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2C1B08" w14:textId="77777777" w:rsidR="00D47876" w:rsidRPr="0052113D" w:rsidRDefault="00D47876" w:rsidP="00E90BB6">
      <w:pPr>
        <w:spacing w:after="0" w:line="240" w:lineRule="auto"/>
        <w:jc w:val="center"/>
        <w:rPr>
          <w:rFonts w:ascii="Times New Roman" w:hAnsi="Times New Roman" w:cs="Times New Roman"/>
          <w:b/>
          <w:bCs/>
          <w:sz w:val="28"/>
          <w:szCs w:val="28"/>
        </w:rPr>
      </w:pPr>
      <w:r w:rsidRPr="0052113D">
        <w:rPr>
          <w:rFonts w:ascii="Times New Roman" w:hAnsi="Times New Roman" w:cs="Times New Roman"/>
          <w:b/>
          <w:bCs/>
          <w:sz w:val="28"/>
          <w:szCs w:val="28"/>
        </w:rPr>
        <w:t>Examination of Pre-Letting and Pre-Sale Options: A Paradigm Shift in Real Estate Development Financing in Nigeria</w:t>
      </w:r>
    </w:p>
    <w:p w14:paraId="15160482" w14:textId="77777777" w:rsidR="00D47876" w:rsidRPr="00BE4AF3" w:rsidRDefault="00D47876" w:rsidP="00E90BB6">
      <w:pPr>
        <w:spacing w:after="0" w:line="240" w:lineRule="auto"/>
        <w:jc w:val="center"/>
        <w:rPr>
          <w:rFonts w:ascii="Times New Roman" w:hAnsi="Times New Roman" w:cs="Times New Roman"/>
          <w:b/>
          <w:bCs/>
          <w:sz w:val="24"/>
          <w:szCs w:val="24"/>
        </w:rPr>
      </w:pPr>
    </w:p>
    <w:p w14:paraId="08B7B9C9" w14:textId="77777777" w:rsidR="00D47876" w:rsidRPr="00BE4AF3" w:rsidRDefault="00D47876" w:rsidP="00E90BB6">
      <w:pPr>
        <w:spacing w:after="0" w:line="240" w:lineRule="auto"/>
        <w:jc w:val="center"/>
        <w:rPr>
          <w:rFonts w:ascii="Times New Roman" w:hAnsi="Times New Roman" w:cs="Times New Roman"/>
          <w:sz w:val="24"/>
          <w:szCs w:val="24"/>
        </w:rPr>
      </w:pPr>
      <w:r w:rsidRPr="00BE4AF3">
        <w:rPr>
          <w:rFonts w:ascii="Times New Roman" w:hAnsi="Times New Roman" w:cs="Times New Roman"/>
          <w:sz w:val="24"/>
          <w:szCs w:val="24"/>
          <w:vertAlign w:val="superscript"/>
        </w:rPr>
        <w:t>1</w:t>
      </w:r>
      <w:r w:rsidRPr="00BE4AF3">
        <w:rPr>
          <w:rFonts w:ascii="Times New Roman" w:hAnsi="Times New Roman" w:cs="Times New Roman"/>
          <w:sz w:val="24"/>
          <w:szCs w:val="24"/>
          <w:vertAlign w:val="superscript"/>
          <w:lang w:val="en-US"/>
        </w:rPr>
        <w:t xml:space="preserve"> </w:t>
      </w:r>
      <w:r w:rsidRPr="00BE4AF3">
        <w:rPr>
          <w:rFonts w:ascii="Times New Roman" w:hAnsi="Times New Roman" w:cs="Times New Roman"/>
          <w:sz w:val="24"/>
          <w:szCs w:val="24"/>
        </w:rPr>
        <w:t>Olayiwola, F. E.,</w:t>
      </w:r>
      <w:r w:rsidRPr="00BE4AF3">
        <w:rPr>
          <w:rFonts w:ascii="Times New Roman" w:hAnsi="Times New Roman" w:cs="Times New Roman"/>
          <w:sz w:val="24"/>
          <w:szCs w:val="24"/>
          <w:vertAlign w:val="superscript"/>
        </w:rPr>
        <w:t xml:space="preserve"> 2</w:t>
      </w:r>
      <w:r w:rsidRPr="00BE4AF3">
        <w:rPr>
          <w:rFonts w:ascii="Times New Roman" w:hAnsi="Times New Roman" w:cs="Times New Roman"/>
          <w:sz w:val="24"/>
          <w:szCs w:val="24"/>
        </w:rPr>
        <w:t xml:space="preserve">Aluko, B. T. and </w:t>
      </w:r>
      <w:r w:rsidRPr="00BE4AF3">
        <w:rPr>
          <w:rFonts w:ascii="Times New Roman" w:hAnsi="Times New Roman" w:cs="Times New Roman"/>
          <w:sz w:val="24"/>
          <w:szCs w:val="24"/>
          <w:vertAlign w:val="superscript"/>
          <w:lang w:val="en-US"/>
        </w:rPr>
        <w:t>*</w:t>
      </w:r>
      <w:r w:rsidRPr="00BE4AF3">
        <w:rPr>
          <w:rFonts w:ascii="Times New Roman" w:hAnsi="Times New Roman" w:cs="Times New Roman"/>
          <w:sz w:val="24"/>
          <w:szCs w:val="24"/>
          <w:vertAlign w:val="superscript"/>
        </w:rPr>
        <w:t>3</w:t>
      </w:r>
      <w:r w:rsidRPr="00BE4AF3">
        <w:rPr>
          <w:rFonts w:ascii="Times New Roman" w:hAnsi="Times New Roman" w:cs="Times New Roman"/>
          <w:sz w:val="24"/>
          <w:szCs w:val="24"/>
          <w:vertAlign w:val="superscript"/>
          <w:lang w:val="en-US"/>
        </w:rPr>
        <w:t xml:space="preserve"> </w:t>
      </w:r>
      <w:r w:rsidRPr="00BE4AF3">
        <w:rPr>
          <w:rFonts w:ascii="Times New Roman" w:hAnsi="Times New Roman" w:cs="Times New Roman"/>
          <w:sz w:val="24"/>
          <w:szCs w:val="24"/>
        </w:rPr>
        <w:t>Akeju, M. A.</w:t>
      </w:r>
    </w:p>
    <w:p w14:paraId="0B5EFD3C" w14:textId="77777777" w:rsidR="00D47876" w:rsidRPr="00BE4AF3" w:rsidRDefault="00D47876" w:rsidP="00E90BB6">
      <w:pPr>
        <w:spacing w:after="0" w:line="240" w:lineRule="auto"/>
        <w:jc w:val="center"/>
        <w:rPr>
          <w:rFonts w:ascii="Times New Roman" w:hAnsi="Times New Roman" w:cs="Times New Roman"/>
          <w:sz w:val="24"/>
          <w:szCs w:val="24"/>
        </w:rPr>
      </w:pPr>
    </w:p>
    <w:p w14:paraId="56259686" w14:textId="77777777" w:rsidR="00E90BB6" w:rsidRPr="0052113D" w:rsidRDefault="00D47876" w:rsidP="00E90BB6">
      <w:pPr>
        <w:pStyle w:val="BodyText"/>
        <w:spacing w:after="0" w:line="240" w:lineRule="auto"/>
        <w:jc w:val="center"/>
        <w:rPr>
          <w:rFonts w:ascii="Times New Roman" w:hAnsi="Times New Roman"/>
          <w:bCs/>
        </w:rPr>
      </w:pPr>
      <w:r w:rsidRPr="0052113D">
        <w:rPr>
          <w:rFonts w:ascii="Times New Roman" w:hAnsi="Times New Roman"/>
          <w:bCs/>
          <w:vertAlign w:val="superscript"/>
        </w:rPr>
        <w:t>1</w:t>
      </w:r>
      <w:r w:rsidRPr="0052113D">
        <w:rPr>
          <w:rFonts w:ascii="Times New Roman" w:hAnsi="Times New Roman"/>
          <w:bCs/>
          <w:vertAlign w:val="superscript"/>
          <w:lang w:val="en-US"/>
        </w:rPr>
        <w:t xml:space="preserve"> </w:t>
      </w:r>
      <w:r w:rsidRPr="0052113D">
        <w:rPr>
          <w:rFonts w:ascii="Times New Roman" w:hAnsi="Times New Roman"/>
          <w:bCs/>
        </w:rPr>
        <w:t xml:space="preserve">Estate Management, </w:t>
      </w:r>
      <w:r w:rsidRPr="0052113D">
        <w:rPr>
          <w:rFonts w:ascii="Times New Roman" w:hAnsi="Times New Roman"/>
          <w:bCs/>
          <w:lang w:val="en-US"/>
        </w:rPr>
        <w:t>LAUTECH</w:t>
      </w:r>
      <w:r w:rsidRPr="0052113D">
        <w:rPr>
          <w:rFonts w:ascii="Times New Roman" w:hAnsi="Times New Roman"/>
          <w:bCs/>
        </w:rPr>
        <w:t xml:space="preserve">, </w:t>
      </w:r>
      <w:r w:rsidRPr="0052113D">
        <w:rPr>
          <w:rFonts w:ascii="Times New Roman" w:hAnsi="Times New Roman"/>
          <w:bCs/>
          <w:lang w:val="en-US"/>
        </w:rPr>
        <w:t>Ogbomoso</w:t>
      </w:r>
      <w:r w:rsidRPr="0052113D">
        <w:rPr>
          <w:rFonts w:ascii="Times New Roman" w:hAnsi="Times New Roman"/>
          <w:bCs/>
        </w:rPr>
        <w:t>, Oyo State, Nigeria.</w:t>
      </w:r>
    </w:p>
    <w:p w14:paraId="7B0C8791" w14:textId="77777777" w:rsidR="00D47876" w:rsidRPr="0052113D" w:rsidRDefault="00D47876" w:rsidP="00E90BB6">
      <w:pPr>
        <w:pStyle w:val="BodyText"/>
        <w:spacing w:after="0" w:line="240" w:lineRule="auto"/>
        <w:jc w:val="center"/>
        <w:rPr>
          <w:rFonts w:ascii="Times New Roman" w:hAnsi="Times New Roman"/>
          <w:bCs/>
        </w:rPr>
      </w:pPr>
      <w:r w:rsidRPr="0052113D">
        <w:rPr>
          <w:rFonts w:ascii="Times New Roman" w:hAnsi="Times New Roman"/>
          <w:bCs/>
          <w:vertAlign w:val="superscript"/>
        </w:rPr>
        <w:t>2</w:t>
      </w:r>
      <w:r w:rsidRPr="0052113D">
        <w:rPr>
          <w:rFonts w:ascii="Times New Roman" w:hAnsi="Times New Roman"/>
          <w:bCs/>
          <w:vertAlign w:val="superscript"/>
          <w:lang w:val="en-US"/>
        </w:rPr>
        <w:t xml:space="preserve"> </w:t>
      </w:r>
      <w:r w:rsidRPr="0052113D">
        <w:rPr>
          <w:rFonts w:ascii="Times New Roman" w:hAnsi="Times New Roman"/>
          <w:bCs/>
        </w:rPr>
        <w:t xml:space="preserve">Estate Management, Obafemi Awolowo University, </w:t>
      </w:r>
      <w:r w:rsidRPr="0052113D">
        <w:rPr>
          <w:rFonts w:ascii="Times New Roman" w:hAnsi="Times New Roman"/>
          <w:bCs/>
          <w:lang w:val="en-US"/>
        </w:rPr>
        <w:t>Ile-Ife</w:t>
      </w:r>
      <w:r w:rsidRPr="0052113D">
        <w:rPr>
          <w:rFonts w:ascii="Times New Roman" w:hAnsi="Times New Roman"/>
          <w:bCs/>
        </w:rPr>
        <w:t>, Osun State, Nigeria</w:t>
      </w:r>
    </w:p>
    <w:p w14:paraId="2AB9AD4E" w14:textId="77777777" w:rsidR="00D47876" w:rsidRPr="0052113D" w:rsidRDefault="00D47876" w:rsidP="00E90BB6">
      <w:pPr>
        <w:pStyle w:val="BodyText"/>
        <w:spacing w:after="0" w:line="240" w:lineRule="auto"/>
        <w:ind w:left="720"/>
        <w:jc w:val="center"/>
        <w:rPr>
          <w:rFonts w:ascii="Times New Roman" w:hAnsi="Times New Roman"/>
          <w:bCs/>
          <w:lang w:val="en-US"/>
        </w:rPr>
      </w:pPr>
      <w:r w:rsidRPr="0052113D">
        <w:rPr>
          <w:rFonts w:ascii="Times New Roman" w:hAnsi="Times New Roman"/>
          <w:bCs/>
          <w:vertAlign w:val="superscript"/>
        </w:rPr>
        <w:t>3</w:t>
      </w:r>
      <w:r w:rsidRPr="0052113D">
        <w:rPr>
          <w:rFonts w:ascii="Times New Roman" w:hAnsi="Times New Roman"/>
          <w:bCs/>
        </w:rPr>
        <w:t xml:space="preserve">Estate Management, </w:t>
      </w:r>
      <w:r w:rsidRPr="0052113D">
        <w:rPr>
          <w:rFonts w:ascii="Times New Roman" w:hAnsi="Times New Roman"/>
          <w:bCs/>
          <w:lang w:val="en-US"/>
        </w:rPr>
        <w:t>LAUTECH</w:t>
      </w:r>
      <w:r w:rsidRPr="0052113D">
        <w:rPr>
          <w:rFonts w:ascii="Times New Roman" w:hAnsi="Times New Roman"/>
          <w:bCs/>
        </w:rPr>
        <w:t xml:space="preserve">, </w:t>
      </w:r>
      <w:r w:rsidRPr="0052113D">
        <w:rPr>
          <w:rFonts w:ascii="Times New Roman" w:hAnsi="Times New Roman"/>
          <w:bCs/>
          <w:lang w:val="en-US"/>
        </w:rPr>
        <w:t>Ogbomoso</w:t>
      </w:r>
      <w:r w:rsidRPr="0052113D">
        <w:rPr>
          <w:rFonts w:ascii="Times New Roman" w:hAnsi="Times New Roman"/>
          <w:bCs/>
        </w:rPr>
        <w:t>, Oyo State, Nigeria</w:t>
      </w:r>
      <w:r w:rsidRPr="0052113D">
        <w:rPr>
          <w:rFonts w:ascii="Times New Roman" w:hAnsi="Times New Roman"/>
          <w:bCs/>
          <w:lang w:val="en-US"/>
        </w:rPr>
        <w:t>.</w:t>
      </w:r>
    </w:p>
    <w:p w14:paraId="303A44E8" w14:textId="77777777" w:rsidR="00D47876" w:rsidRPr="0052113D" w:rsidRDefault="00D47876" w:rsidP="00E90BB6">
      <w:pPr>
        <w:pStyle w:val="BodyText"/>
        <w:spacing w:after="0" w:line="240" w:lineRule="auto"/>
        <w:jc w:val="center"/>
        <w:rPr>
          <w:rFonts w:ascii="Times New Roman" w:hAnsi="Times New Roman"/>
          <w:bCs/>
          <w:lang w:val="en-US"/>
        </w:rPr>
      </w:pPr>
    </w:p>
    <w:p w14:paraId="46723B44" w14:textId="77777777" w:rsidR="00D47876" w:rsidRPr="0052113D" w:rsidRDefault="00D47876" w:rsidP="00E90BB6">
      <w:pPr>
        <w:pStyle w:val="BodyText"/>
        <w:spacing w:after="0" w:line="240" w:lineRule="auto"/>
        <w:jc w:val="center"/>
        <w:rPr>
          <w:rFonts w:ascii="Times New Roman" w:hAnsi="Times New Roman"/>
          <w:bCs/>
        </w:rPr>
      </w:pPr>
      <w:r w:rsidRPr="0052113D">
        <w:rPr>
          <w:rFonts w:ascii="Times New Roman" w:hAnsi="Times New Roman"/>
          <w:vertAlign w:val="superscript"/>
          <w:lang w:val="en-US"/>
        </w:rPr>
        <w:t xml:space="preserve">* </w:t>
      </w:r>
      <w:r w:rsidRPr="0052113D">
        <w:rPr>
          <w:rFonts w:ascii="Times New Roman" w:hAnsi="Times New Roman"/>
        </w:rPr>
        <w:t>Corresponding</w:t>
      </w:r>
      <w:r w:rsidRPr="0052113D">
        <w:rPr>
          <w:rFonts w:ascii="Times New Roman" w:hAnsi="Times New Roman"/>
          <w:vertAlign w:val="superscript"/>
        </w:rPr>
        <w:t xml:space="preserve"> </w:t>
      </w:r>
      <w:r w:rsidRPr="0052113D">
        <w:rPr>
          <w:rFonts w:ascii="Times New Roman" w:hAnsi="Times New Roman"/>
          <w:lang w:val="en-US"/>
        </w:rPr>
        <w:t xml:space="preserve">Author </w:t>
      </w:r>
      <w:r w:rsidRPr="0052113D">
        <w:rPr>
          <w:rFonts w:ascii="Times New Roman" w:hAnsi="Times New Roman"/>
          <w:bCs/>
        </w:rPr>
        <w:t xml:space="preserve">E-mail: </w:t>
      </w:r>
      <w:r w:rsidRPr="0052113D">
        <w:rPr>
          <w:rFonts w:ascii="Times New Roman" w:hAnsi="Times New Roman"/>
          <w:bCs/>
          <w:lang w:val="en-US"/>
        </w:rPr>
        <w:t xml:space="preserve">   </w:t>
      </w:r>
      <w:hyperlink r:id="rId7" w:history="1">
        <w:r w:rsidRPr="0052113D">
          <w:rPr>
            <w:rStyle w:val="Hyperlink"/>
            <w:rFonts w:ascii="Times New Roman" w:eastAsia="SimSun" w:hAnsi="Times New Roman"/>
            <w:bCs/>
            <w:color w:val="auto"/>
            <w:u w:val="none"/>
          </w:rPr>
          <w:t>maakeju@lautech.edu.ng</w:t>
        </w:r>
      </w:hyperlink>
    </w:p>
    <w:p w14:paraId="27588861" w14:textId="77777777" w:rsidR="00E90BB6" w:rsidRPr="00BE4AF3" w:rsidRDefault="00E90BB6" w:rsidP="00E90BB6">
      <w:pPr>
        <w:spacing w:after="0" w:line="240" w:lineRule="auto"/>
        <w:jc w:val="both"/>
        <w:rPr>
          <w:rFonts w:ascii="Times New Roman" w:hAnsi="Times New Roman" w:cs="Times New Roman"/>
          <w:b/>
          <w:bCs/>
          <w:sz w:val="24"/>
          <w:szCs w:val="24"/>
        </w:rPr>
      </w:pPr>
    </w:p>
    <w:p w14:paraId="0A74C191" w14:textId="77777777" w:rsidR="00D47876" w:rsidRPr="00BE4AF3" w:rsidRDefault="00D47876" w:rsidP="00E90BB6">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LICFES 2025-020 – FP1</w:t>
      </w:r>
    </w:p>
    <w:p w14:paraId="3C32805D" w14:textId="77777777" w:rsidR="00D47876" w:rsidRPr="00BE4AF3" w:rsidRDefault="00D47876" w:rsidP="00E90BB6">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Abstract</w:t>
      </w:r>
    </w:p>
    <w:p w14:paraId="78733B76" w14:textId="77777777" w:rsidR="00D47876" w:rsidRPr="00BE4AF3" w:rsidRDefault="00D47876" w:rsidP="00E90BB6">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Property development is a capital - intensive exercise which requires formal or informal financing. As sources of interest-free finance, pre-letting and pre-sale financing options have been widely employed in practice, however, literature attention has remained little. In the developing countries such as Nigeria, the dearth of literature on the subject matter gesticulates an absence of standard procedures for the financing options in the real estate development practice. Hence, this study filled the gap by investigating the procedures of pre-letting and pre-sale financing options, and </w:t>
      </w:r>
      <w:r w:rsidRPr="00BE4AF3">
        <w:rPr>
          <w:rFonts w:ascii="Times New Roman" w:hAnsi="Times New Roman" w:cs="Times New Roman"/>
          <w:sz w:val="24"/>
          <w:szCs w:val="24"/>
          <w:lang w:val="en-US"/>
        </w:rPr>
        <w:t xml:space="preserve">provided information that would enhance the performance of Property Development Companies (PDCs) in the emerging market. </w:t>
      </w:r>
      <w:r w:rsidRPr="00BE4AF3">
        <w:rPr>
          <w:rFonts w:ascii="Times New Roman" w:hAnsi="Times New Roman" w:cs="Times New Roman"/>
          <w:sz w:val="24"/>
          <w:szCs w:val="24"/>
        </w:rPr>
        <w:t>This qualitative study, purposively selected a senior staff member of 15 PDCs in Lagos metropolis for an in-depth interview to elicit procedural steps. The voice recordings were transcribed, coded and sorted manually. Content analysis was manually employed due to the relatively manageable size of the data.</w:t>
      </w:r>
      <w:r w:rsidRPr="00BE4AF3">
        <w:rPr>
          <w:rFonts w:ascii="Times New Roman" w:hAnsi="Times New Roman" w:cs="Times New Roman"/>
          <w:sz w:val="24"/>
          <w:szCs w:val="24"/>
          <w:lang w:val="en-US"/>
        </w:rPr>
        <w:t xml:space="preserve"> This study revealed that both pre-letting and pre-sale financing options follow the same procedures with a slight twist. Also, there is absence of government regulation, which is required to govern the practice as obtainable in the developed markets. This study is limited to property development market in Lagos metropolis, Nigeria.</w:t>
      </w:r>
    </w:p>
    <w:p w14:paraId="77BD093D" w14:textId="77777777" w:rsidR="00E90BB6" w:rsidRPr="00BE4AF3" w:rsidRDefault="00E90BB6" w:rsidP="00E90BB6">
      <w:pPr>
        <w:spacing w:after="0" w:line="240" w:lineRule="auto"/>
        <w:rPr>
          <w:rFonts w:ascii="Times New Roman" w:hAnsi="Times New Roman" w:cs="Times New Roman"/>
          <w:b/>
          <w:sz w:val="24"/>
          <w:szCs w:val="24"/>
        </w:rPr>
      </w:pPr>
    </w:p>
    <w:p w14:paraId="2A184E3D" w14:textId="77777777" w:rsidR="00D32BD6" w:rsidRPr="00BE4AF3" w:rsidRDefault="00D47876" w:rsidP="00E90BB6">
      <w:pPr>
        <w:spacing w:after="0" w:line="240" w:lineRule="auto"/>
        <w:rPr>
          <w:rFonts w:ascii="Times New Roman" w:hAnsi="Times New Roman" w:cs="Times New Roman"/>
          <w:sz w:val="24"/>
          <w:szCs w:val="24"/>
        </w:rPr>
      </w:pPr>
      <w:r w:rsidRPr="00BE4AF3">
        <w:rPr>
          <w:rFonts w:ascii="Times New Roman" w:hAnsi="Times New Roman" w:cs="Times New Roman"/>
          <w:b/>
          <w:sz w:val="24"/>
          <w:szCs w:val="24"/>
        </w:rPr>
        <w:t>Keywords:</w:t>
      </w:r>
      <w:r w:rsidRPr="00BE4AF3">
        <w:rPr>
          <w:rFonts w:ascii="Times New Roman" w:hAnsi="Times New Roman" w:cs="Times New Roman"/>
          <w:sz w:val="24"/>
          <w:szCs w:val="24"/>
        </w:rPr>
        <w:t xml:space="preserve"> Property development, Pre-letting, Pre-sale, Financing options, Financing procedures</w:t>
      </w:r>
    </w:p>
    <w:p w14:paraId="017E555A" w14:textId="77777777" w:rsidR="00D47876" w:rsidRPr="00BE4AF3" w:rsidRDefault="00D47876" w:rsidP="00E90BB6">
      <w:pPr>
        <w:spacing w:after="0" w:line="240" w:lineRule="auto"/>
        <w:rPr>
          <w:rFonts w:ascii="Times New Roman" w:hAnsi="Times New Roman" w:cs="Times New Roman"/>
          <w:sz w:val="24"/>
          <w:szCs w:val="24"/>
        </w:rPr>
      </w:pPr>
    </w:p>
    <w:p w14:paraId="669D1358" w14:textId="77777777" w:rsidR="003F40E8" w:rsidRPr="00BE4AF3" w:rsidRDefault="003F40E8" w:rsidP="0052113D">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Introduction</w:t>
      </w:r>
    </w:p>
    <w:p w14:paraId="32FBF2E8" w14:textId="77777777" w:rsidR="003F40E8" w:rsidRPr="00BE4AF3" w:rsidRDefault="003F40E8" w:rsidP="0052113D">
      <w:pPr>
        <w:spacing w:after="0" w:line="240" w:lineRule="auto"/>
        <w:jc w:val="both"/>
        <w:rPr>
          <w:rFonts w:ascii="Times New Roman" w:hAnsi="Times New Roman" w:cs="Times New Roman"/>
          <w:sz w:val="24"/>
          <w:szCs w:val="24"/>
        </w:rPr>
      </w:pPr>
      <w:bookmarkStart w:id="0" w:name="_Hlk202165174"/>
      <w:r w:rsidRPr="00BE4AF3">
        <w:rPr>
          <w:rFonts w:ascii="Times New Roman" w:hAnsi="Times New Roman" w:cs="Times New Roman"/>
          <w:sz w:val="24"/>
          <w:szCs w:val="24"/>
        </w:rPr>
        <w:t>Appropriate financing is an important factor in property investment and development projects. While financing is an important stage in property development process, the huge capital outlay required has necessitated sourcing for finance, formally or informally.</w:t>
      </w:r>
      <w:bookmarkEnd w:id="0"/>
      <w:r w:rsidRPr="00BE4AF3">
        <w:rPr>
          <w:rFonts w:ascii="Times New Roman" w:hAnsi="Times New Roman" w:cs="Times New Roman"/>
          <w:sz w:val="24"/>
          <w:szCs w:val="24"/>
        </w:rPr>
        <w:t xml:space="preserve"> </w:t>
      </w:r>
      <w:bookmarkStart w:id="1" w:name="_Hlk202165729"/>
      <w:r w:rsidRPr="00BE4AF3">
        <w:rPr>
          <w:rFonts w:ascii="Times New Roman" w:hAnsi="Times New Roman" w:cs="Times New Roman"/>
          <w:sz w:val="24"/>
          <w:szCs w:val="24"/>
        </w:rPr>
        <w:t>As sources of interest-free finance, pre-letting and pre-sale financing options have been widely employed in practice, however, literature attention has remained little.</w:t>
      </w:r>
      <w:bookmarkEnd w:id="1"/>
      <w:r w:rsidRPr="00BE4AF3">
        <w:rPr>
          <w:rFonts w:ascii="Times New Roman" w:hAnsi="Times New Roman" w:cs="Times New Roman"/>
          <w:sz w:val="24"/>
          <w:szCs w:val="24"/>
        </w:rPr>
        <w:t xml:space="preserve"> These financing arrangements which have been found suitable for both commercial and residential properties (</w:t>
      </w:r>
      <w:bookmarkStart w:id="2" w:name="_Hlk96487395"/>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{"citationItems":[{"id":"ITEM-1","itemData":{"DOI":"10.1007/s11146-007-9075-1","ISSN":"08955638","abstract":"This paper examines the use of futures contracts to hedge residential real estate price risk. We examine whether existing futures contacts can effectively be used to offset volatility in national house prices. Little evidence of any simple systematic relation between national prices and futures prices is found. Since house prices are not easily replicated with a portfolio of existing futures contracts, a further implication is that the Chicago Mercantile's introduction of a financial asset whose value reflects house prices will help complete the market. Nevertheless, the success of the CME's new derivative contracts may be limited in light of state and regional house price correlations. © 2007 Springer Science+Business Media, LLC.","author":[{"dropping-particle":"","family":"Hinkelmann","given":"Christoph","non-dropping-particle":"","parse-names":false,"suffix":""},{"dropping-particle":"","family":"Swidler","given":"Steve","non-dropping-particle":"","parse-names":false,"suffix":""}],"container-title":"Journal of Real Estate Finance and Economics","id":"ITEM-1","issue":"1","issued":{"date-parts":[["2008"]]},"page":"37-52","title":"Trading house price risk with existing futures contracts","type":"article-journal","volume":"36"},"uris":["http://www.mendeley.com/documents/?uuid=89381b8d-01e4-4371-9917-378b60a6e67f"]},{"id":"ITEM-2","itemData":{"DOI":"10.1007/s11146-015-9515-2","ISSN":"1573045X","abstract":"Preleasing of to-be-built commercial real estate space is a pervasive worldwide practice. Although such preleasing is an extensive and significant activity, it has not received adequate attention in the real estate economics and finance literature. Using an equilibrium micro-economic agency model, this paper examines the economics of commercial real estate preleasing. The equilibrium prelease contract rent is a function of several variables, including the expected spot market rent, financing benefits from preleasing, developer-lessor and tenant-lessee risk-hedging behavior, the interplay between lessor and lessee default options, and the market capitalization rate. Our paper demonstrates how the distribution of risk preferences for lessees (and lessors) generates separating market equilibrium for the prelease and spot lease. We also consider the impacts of developer default and the lessee cancellation clause on the prelease rent equilibrium.","author":[{"dropping-particle":"","family":"Edelstein","given":"Robert H","non-dropping-particle":"","parse-names":false,"suffix":""},{"dropping-particle":"","family":"Liu","given":"Peng","non-dropping-particle":"","parse-names":false,"suffix":""}],"container-title":"Journal of Real Estate Finance and Economics","id":"ITEM-2","issue":"2","issued":{"date-parts":[["2016"]]},"page":"200-217","title":"The Economics of Commercial Real Estate Preleasing","type":"article-journal","volume":"53"},"uris":["http://www.mendeley.com/documents/?uuid=2daaa3a9-e765-4950-bf4e-a27fcbabf7b2"]}],"mendeley":{"formattedCitation":"(R. H. Edelstein &amp; Liu, 2016; Hinkelmann &amp; Swidler, 2008)","manualFormatting":"Hinkelmann &amp; Swidler, 2008; Edelstein &amp; Liu, 2016)","plainTextFormattedCitation":"(R. H. Edelstein &amp; Liu, 2016; Hinkelmann &amp; Swidler, 2008)","previouslyFormattedCitation":"(R. H. Edelstein &amp; Liu, 2016; Hinkelmann &amp; Swidler, 2008)"},"properties":{"noteIndex":0},"schema":"https://github.com/citation-style-language/schema/raw/master/csl-citation.json"}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Hinkelmann &amp; Swidler, 2008; Edelstein &amp; Liu, 2016)</w:t>
      </w:r>
      <w:bookmarkEnd w:id="2"/>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 xml:space="preserve">, have been noted to guarantee easy access to capital  and provide interest-free money for real estate development firms through the buyers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{"citationItems":[{"id":"ITEM-1","itemData":{"ISBN":"0902896938","abstract":"Property developers have increasingly used forward contracts to pre-sell their properties that are under construction in order to enhance their financial viability. This practice is prevalent especially in big cities like Hong Kong in which large-scale housing developments are popular. However, limited research has been conducted to explore the specific risks involved in forward property markets compared to that of spot property markets. This research explored the forward risks embedded in a pre-sale of property and how they affect the pricing mechanism with reference to the forward property market in Hong Kong. Preliminary study on the efficiency of the forward property market has also been conducted which shows that higher volatility is embedded in the market compared to that of the spot market.","author":[{"dropping-particle":"","family":"Leung","given":"Barbara Y.P.","non-dropping-particle":"","parse-names":false,"suffix":""},{"dropping-particle":"","family":"Hui","given":"Eddie C.M.","non-dropping-particle":"","parse-names":false,"suffix":""}],"container-title":"Association of Researchers in Construction Management, ARCOM 2005 - Proceedings of the 21st Annual Conference","id":"ITEM-1","issue":"September","issued":{"date-parts":[["2005"]]},"page":"277-286","title":"Pricing of pre-sale properties with construction uncertainties","type":"paper-conference","volume":"1"},"uris":["http://www.mendeley.com/documents/?uuid=c9a994ad-d3fb-4525-a18d-e3594a4cb05a"]},{"id":"ITEM-2","itemData":{"DOI":"10.1007/s11146-018-9662-3","ISBN":"1114601896623","ISSN":"1573045X","abstract":"Presale, or selling before completion, is a very common phenomenon in the housing market. However, not all developers presell their units and the proportion of units presold varies over time and across projects. This study examines the factors that affect developers’ decisions to presell their units. Based on housing transaction records on over 1000 projects in Hong Kong, we found that presale has been used as a tool to hedge against future price fluctuations. Developers’ decisions to presell also depend on its effectiveness as a hedging tool, which increases with the size of the development portfolio held by a developer. When the flexibility of a presale is constrained by regulations, its effectiveness declines, thus giving a developer less incentive to presell. Contrary to industry wisdom, presale is not an important source of financing, at least for listed developers in Hong Kong.","author":[{"dropping-particle":"","family":"Li","given":"L.","non-dropping-particle":"","parse-names":false,"suffix":""},{"dropping-particle":"","family":"Chau","given":"K. W.","non-dropping-particle":"","parse-names":false,"suffix":""}],"container-title":"Journal of Real Estate Finance and Economics","id":"ITEM-2","issue":"2","issued":{"date-parts":[["2019"]]},"page":"209-232","title":"What Motivates a Developer to Sell before Completion?","type":"article-journal","volume":"59"},"uris":["http://www.mendeley.com/documents/?uuid=54ea2d8d-fa30-47c4-a1b0-970a4e2048c7"]}],"mendeley":{"formattedCitation":"(Leung &amp; Hui, 2005; Li &amp; Chau, 2019)","plainTextFormattedCitation":"(Leung &amp; Hui, 2005; Li &amp; Chau, 2019)","previouslyFormattedCitation":"(Leung &amp; Hui, 2005; Li &amp; Chau, 2019)"},"properties":{"noteIndex":0},"schema":"https://github.com/citation-style-language/schema/raw/master/csl-citation.json"}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(Li &amp; Chau, 2019; Olayiwola et al., 2024)</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 xml:space="preserve">. While pre-letting is a lease contract, pre-sale is a sale contract and both confer future occupation of a proposed or uncompleted property to would-be subscriber. Such agreement requires a commitment of an agreed sum at the signing of the contract and the contract is not affected by future price uncertainty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{"citationItems":[{"id":"ITEM-1","itemData":{"DOI":"10.1007/s11146-015-9515-2","ISSN":"1573045X","abstract":"Preleasing of to-be-built commercial real estate space is a pervasive worldwide practice. Although such preleasing is an extensive and significant activity, it has not received adequate attention in the real estate economics and finance literature. Using an equilibrium micro-economic agency model, this paper examines the economics of commercial real estate preleasing. The equilibrium prelease contract rent is a function of several variables, including the expected spot market rent, financing benefits from preleasing, developer-lessor and tenant-lessee risk-hedging behavior, the interplay between lessor and lessee default options, and the market capitalization rate. Our paper demonstrates how the distribution of risk preferences for lessees (and lessors) generates separating market equilibrium for the prelease and spot lease. We also consider the impacts of developer default and the lessee cancellation clause on the prelease rent equilibrium.","author":[{"dropping-particle":"","family":"Edelstein","given":"Robert H","non-dropping-particle":"","parse-names":false,"suffix":""},{"dropping-particle":"","family":"Liu","given":"Peng","non-dropping-particle":"","parse-names":false,"suffix":""}],"container-title":"Journal of Real Estate Finance and Economics","id":"ITEM-1","issue":"2","issued":{"date-parts":[["2016"]]},"page":"200-217","title":"The Economics of Commercial Real Estate Preleasing","type":"article-journal","volume":"53"},"uris":["http://www.mendeley.com/documents/?uuid=2daaa3a9-e765-4950-bf4e-a27fcbabf7b2"]}],"mendeley":{"formattedCitation":"(R. H. Edelstein &amp; Liu, 2016)","manualFormatting":"(Edelstein &amp; Liu, 2016)","plainTextFormattedCitation":"(R. H. Edelstein &amp; Liu, 2016)","previouslyFormattedCitation":"(R. H. Edelstein &amp; Liu, 2016)"},"properties":{"noteIndex":0},"schema":"https://github.com/citation-style-language/schema/raw/master/csl-citation.json"}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(Edelstein &amp; Liu, 2016)</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 xml:space="preserve">. However, dearth of literature, especially in the global south, has made the procedure of their operations unknown. </w:t>
      </w:r>
    </w:p>
    <w:p w14:paraId="06A28EB8" w14:textId="77777777" w:rsidR="003F40E8" w:rsidRPr="00BE4AF3" w:rsidRDefault="003F40E8" w:rsidP="0052113D">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operation of pre-letting and pre-sale financing options appear to vary from one country to another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{"citationItems":[{"id":"ITEM-1","itemData":{"DOI":"10.1080/1648715X.2007.9637563","ISSN":"16489179","abstract":"Use of forward contracts for pre-selling uncompleted properties is becoming popular in many countries. However, there have been limited researches investigating the risks arising from asymmetric information specific to buying a presale property and the critical factors required for the development of an effective forward property market. Hong Kong is one of the largest forward property markets in the world and it has been getting mature after half-a-century long development. This paper therefore aims to study the asymmetric information problem found in the forward property markets in different areas and explores the set of factors that are critical to the development of a forward property market by referencing the development of the Hong Kong forward property market. © 2007, Taylor &amp; Francis Group, LLC. All rights reserved.","author":[{"dropping-particle":"","family":"Leung","given":"Barbara Y.P.","non-dropping-particle":"","parse-names":false,"suffix":""},{"dropping-particle":"","family":"Hui","given":"Eddie C.M.","non-dropping-particle":"","parse-names":false,"suffix":""},{"dropping-particle":"","family":"Seabrooke","given":"Bill","non-dropping-particle":"","parse-names":false,"suffix":""}],"container-title":"International Journal of Strategic Property Management","id":"ITEM-1","issue":"2","issued":{"date-parts":[["2007"]]},"page":"91-106","title":"Asymmetric information in the Hong Kong forward property market","type":"article-journal","volume":"11"},"uris":["http://www.mendeley.com/documents/?uuid=1e353ee0-492c-4e39-b2d7-b13068984779"]}],"mendeley":{"formattedCitation":"(Leung et al., 2007)","manualFormatting":"Leung et al., 2007)","plainTextFormattedCitation":"(Leung et al., 2007)","previouslyFormattedCitation":"(Leung et al., 2007)"},"properties":{"noteIndex":0},"schema":"https://github.com/citation-style-language/schema/raw/master/csl-citation.json"}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Leung et al., 2007</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 Jadalhaq, 2017). In the developed economy, the pre-letting and pre-</w:t>
      </w:r>
      <w:r w:rsidRPr="00BE4AF3">
        <w:rPr>
          <w:rFonts w:ascii="Times New Roman" w:hAnsi="Times New Roman" w:cs="Times New Roman"/>
          <w:sz w:val="24"/>
          <w:szCs w:val="24"/>
        </w:rPr>
        <w:lastRenderedPageBreak/>
        <w:t xml:space="preserve">sale financing options of property development have been noted to be better conducted and more successful in countries where standard procedure guiding their operation exist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{"citationItems":[{"id":"ITEM-1","itemData":{"DOI":"10.1163/15730255-12314030","ISSN":"15730255","abstract":"The real estate legislative system is one of the bases of the sustainable development process. This research focuses on the role of the legal system in sustainable development, according to the most prominent relevant international reports. The UAE ranked forty-first globally in the Human Development Index (HDI). In the World Bank's 'Doing Business Report', the UAE ranked second globally and first in the Middle East and North Africa (MENA) for the 'Dealing with Construction Permits' indicator. Thus, the Emirate of Dubai is deemed the second-best city in the world in terms of ease of dealing with construction permits. For the 'Registering Property' indicator, the UAE ranked tenth globally and first in the Middle East and North Africa (MENA). Despite the UAE's great achievements in terms of developmental ranking at the global level, there is still more to achieve in the field of development.","author":[{"dropping-particle":"","family":"Jadalhaq","given":"Iyad Mohammed","non-dropping-particle":"","parse-names":false,"suffix":""}],"container-title":"Arab Law Quarterly","id":"ITEM-1","issue":"4","issued":{"date-parts":[["2017"]]},"page":"388-410","title":"Fundamentals of the real estate legislative system and its impact on sustainable development: Dubai case study","type":"article-journal","volume":"31"},"uris":["http://www.mendeley.com/documents/?uuid=f2dd5beb-5af2-41c1-8573-967d1f90edad"]}],"mendeley":{"formattedCitation":"(Jadalhaq, 2017)","plainTextFormattedCitation":"(Jadalhaq, 2017)","previouslyFormattedCitation":"(Jadalhaq, 2017)"},"properties":{"noteIndex":0},"schema":"https://github.com/citation-style-language/schema/raw/master/csl-citation.json"}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(Jadalhaq, 2017; Katwa &amp; Obala, 2023)</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 xml:space="preserve">. Unlike in Dubai and Malaysia, where the pre-payment is made in multiple instalments over the construction period after the first 10% down payment, pre-letting and pre-sale financing procedure in Mainland China expects buyers to make 100% upfront payment as the developers rely on such payment to finance the entire project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{"citationItems":[{"id":"ITEM-1","itemData":{"DOI":"10.1080/1648715X.2007.9637563","ISSN":"16489179","abstract":"Use of forward contracts for pre-selling uncompleted properties is becoming popular in many countries. However, there have been limited researches investigating the risks arising from asymmetric information specific to buying a presale property and the critical factors required for the development of an effective forward property market. Hong Kong is one of the largest forward property markets in the world and it has been getting mature after half-a-century long development. This paper therefore aims to study the asymmetric information problem found in the forward property markets in different areas and explores the set of factors that are critical to the development of a forward property market by referencing the development of the Hong Kong forward property market. © 2007, Taylor &amp; Francis Group, LLC. All rights reserved.","author":[{"dropping-particle":"","family":"Leung","given":"Barbara Y.P.","non-dropping-particle":"","parse-names":false,"suffix":""},{"dropping-particle":"","family":"Hui","given":"Eddie C.M.","non-dropping-particle":"","parse-names":false,"suffix":""},{"dropping-particle":"","family":"Seabrooke","given":"Bill","non-dropping-particle":"","parse-names":false,"suffix":""}],"container-title":"International Journal of Strategic Property Management","id":"ITEM-1","issue":"2","issued":{"date-parts":[["2007"]]},"page":"91-106","title":"Asymmetric information in the Hong Kong forward property market","type":"article-journal","volume":"11"},"uris":["http://www.mendeley.com/documents/?uuid=1e353ee0-492c-4e39-b2d7-b13068984779"]}],"mendeley":{"formattedCitation":"(Leung et al., 2007)","plainTextFormattedCitation":"(Leung et al., 2007)","previouslyFormattedCitation":"(Leung et al., 2007)"},"properties":{"noteIndex":0},"schema":"https://github.com/citation-style-language/schema/raw/master/csl-citation.json"}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(Leung et al., 2007)</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 xml:space="preserve">.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{"citationItems":[{"id":"ITEM-1","itemData":{"DOI":"10.1111/j.1080-8620.2004.00094.x","ISSN":"10808620","abstract":"The paper examines the risk-and-return characteristics of a popular development strategy, the presale system (or sale before completion), used in many Asian cities. We model a presale decision in a real-options framework and suggest that the use of presale is primarily for a risk-sharing purpose. That is, developers can reduce bankruptcy and marketing risks by selling (or leasing) their projects before their completion dates. Our model also indicates that, because of the presale system, there is a barrier for new developers to enter into a market, which helps explain the anecdotal observation that most real estate markets in Asian cities are oligopolistic in nature and dominated by large developers.","author":[{"dropping-particle":"","family":"Lai","given":"Rose Neng","non-dropping-particle":"","parse-names":false,"suffix":""},{"dropping-particle":"","family":"Wang","given":"Ko","non-dropping-particle":"","parse-names":false,"suffix":""},{"dropping-particle":"","family":"Zhou","given":"Yuqing","non-dropping-particle":"","parse-names":false,"suffix":""}],"container-title":"Real Estate Economics","id":"ITEM-1","issue":"2","issued":{"date-parts":[["2004"]]},"page":"329-357","title":"Sale before completion of development: Pricing and strategy","type":"paper-conference","volume":"32"},"uris":["http://www.mendeley.com/documents/?uuid=8e4668b6-acd1-4ef9-ae88-8c26b93d3a33"]}],"mendeley":{"formattedCitation":"(Lai et al., 2004)","manualFormatting":"Lai et al. (2004)","plainTextFormattedCitation":"(Lai et al., 2004)","previouslyFormattedCitation":"(Lai et al., 2004)"},"properties":{"noteIndex":0},"schema":"https://github.com/citation-style-language/schema/raw/master/csl-citation.json"}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Lai et al. (2004)</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 xml:space="preserve"> added that in some regions of Hong Kong, pre-letting and pre-sale financing procedure prohibits transaction until the development firm achieves a certain level in construction process. This procedure, pre-informs buyers on when payment is required and what percentage is to be paid at each stage. This helps to build trust in the whole arrangement, assisting buyers to be wary of fraud, and culminate into success of pre-letting and pre-sale finance. </w:t>
      </w:r>
    </w:p>
    <w:p w14:paraId="2549D38E" w14:textId="77777777" w:rsidR="003F40E8" w:rsidRPr="00BE4AF3" w:rsidRDefault="003F40E8" w:rsidP="0052113D">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However, </w:t>
      </w:r>
      <w:bookmarkStart w:id="3" w:name="_Hlk202165796"/>
      <w:r w:rsidRPr="00BE4AF3">
        <w:rPr>
          <w:rFonts w:ascii="Times New Roman" w:hAnsi="Times New Roman" w:cs="Times New Roman"/>
          <w:sz w:val="24"/>
          <w:szCs w:val="24"/>
        </w:rPr>
        <w:t xml:space="preserve">in the developing countries such as Nigeria, there is dearth of literature on the subject matter gesticulating an absence of standard procedures for the financing options in the real estate development practice. </w:t>
      </w:r>
      <w:bookmarkEnd w:id="3"/>
      <w:r w:rsidRPr="00BE4AF3">
        <w:rPr>
          <w:rFonts w:ascii="Times New Roman" w:hAnsi="Times New Roman" w:cs="Times New Roman"/>
          <w:sz w:val="24"/>
          <w:szCs w:val="24"/>
        </w:rPr>
        <w:t xml:space="preserve">Oni (1991) as cited by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{"citationItems":[{"id":"ITEM-1","itemData":{"DOI":"10.6007/ijarbss/v7-i4/2832","abstract":"One way of dealing with the challenge of demand uncertainty in property market is the use of forward sale. However, despite the huge demand for housing in Nigerian urban centre, it appears that the strategy is not popular with the demand base as expected. This study …","author":[{"dropping-particle":"","family":"Oloke","given":"Olayinka C","non-dropping-particle":"","parse-names":false,"suffix":""},{"dropping-particle":"","family":"Oni","given":"Abiodun S","non-dropping-particle":"","parse-names":false,"suffix":""},{"dropping-particle":"","family":"Oletubo","given":"Adebayo A","non-dropping-particle":"","parse-names":false,"suffix":""},{"dropping-particle":"","family":"Oluwatobi","given":"Afolashade O","non-dropping-particle":"","parse-names":false,"suffix":""}],"container-title":"International Journal of Academic Research in Business and Social Sciences","id":"ITEM-1","issue":"4","issued":{"date-parts":[["2017"]]},"page":"544-559","title":"Problems and Prospects of Forward Sale in the Nigerian Housing Market: A Critique of Policy and Modus Operandi","type":"article-journal","volume":"7"},"uris":["http://www.mendeley.com/documents/?uuid=d80db6aa-6e80-4f9c-b8ea-5d0b20a7b629"]}],"mendeley":{"formattedCitation":"(Oloke et al., 2017)","manualFormatting":"Oloke et al. (2017)","plainTextFormattedCitation":"(Oloke et al., 2017)","previouslyFormattedCitation":"(Oloke et al., 2017)"},"properties":{"noteIndex":0},"schema":"https://github.com/citation-style-language/schema/raw/master/csl-citation.json"}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Oloke et al. (2017)</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 xml:space="preserve"> highlighted some procedures that are peculiar to the Nigeria’s property market. However, with no recent related study, the three-decade procedural list requires re-evaluation, minding the series of economic challenges that have brought changes to many economic activities both locally and internationally such as global economic crisis of 2008 and local recession of 2014 in Nigeria. </w:t>
      </w:r>
      <w:bookmarkStart w:id="4" w:name="_Hlk202165865"/>
      <w:r w:rsidRPr="00BE4AF3">
        <w:rPr>
          <w:rFonts w:ascii="Times New Roman" w:hAnsi="Times New Roman" w:cs="Times New Roman"/>
          <w:sz w:val="24"/>
          <w:szCs w:val="24"/>
        </w:rPr>
        <w:t xml:space="preserve">Hence, this study filled the gap by investigating the procedures of pre-letting and pre-sale financing options in property development with a focus on property development market in Lagos metropolis, and </w:t>
      </w:r>
      <w:r w:rsidRPr="00BE4AF3">
        <w:rPr>
          <w:rFonts w:ascii="Times New Roman" w:hAnsi="Times New Roman" w:cs="Times New Roman"/>
          <w:sz w:val="24"/>
          <w:szCs w:val="24"/>
          <w:lang w:val="en-US"/>
        </w:rPr>
        <w:t>provided information that would enhance the performance of Property Development Companies (PDCs) in Nigeria as well as similar emerging market.</w:t>
      </w:r>
      <w:bookmarkEnd w:id="4"/>
    </w:p>
    <w:p w14:paraId="306B2596" w14:textId="77777777" w:rsidR="0052113D" w:rsidRDefault="0052113D" w:rsidP="003F40E8">
      <w:pPr>
        <w:spacing w:after="0" w:line="259" w:lineRule="auto"/>
        <w:rPr>
          <w:rFonts w:ascii="Times New Roman" w:hAnsi="Times New Roman" w:cs="Times New Roman"/>
          <w:b/>
          <w:sz w:val="24"/>
          <w:szCs w:val="24"/>
        </w:rPr>
      </w:pPr>
    </w:p>
    <w:p w14:paraId="1C45B698" w14:textId="27B39BC2" w:rsidR="003F40E8" w:rsidRPr="00BE4AF3" w:rsidRDefault="003F40E8" w:rsidP="003F40E8">
      <w:pPr>
        <w:spacing w:after="0" w:line="259" w:lineRule="auto"/>
        <w:rPr>
          <w:rFonts w:ascii="Times New Roman" w:hAnsi="Times New Roman" w:cs="Times New Roman"/>
          <w:b/>
          <w:sz w:val="24"/>
          <w:szCs w:val="24"/>
        </w:rPr>
      </w:pPr>
      <w:r w:rsidRPr="00BE4AF3">
        <w:rPr>
          <w:rFonts w:ascii="Times New Roman" w:hAnsi="Times New Roman" w:cs="Times New Roman"/>
          <w:b/>
          <w:sz w:val="24"/>
          <w:szCs w:val="24"/>
        </w:rPr>
        <w:t>Literature Review</w:t>
      </w:r>
    </w:p>
    <w:p w14:paraId="397AAE0D" w14:textId="77777777" w:rsidR="003F40E8" w:rsidRPr="00BE4AF3" w:rsidRDefault="003F40E8" w:rsidP="003F40E8">
      <w:pPr>
        <w:spacing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literature was reviewed on the concepts of pre-letting and pre-sale financing options, as well as the pre-letting and pre-sale financing options procedures as obtainable in the developed economies using established studies. </w:t>
      </w:r>
    </w:p>
    <w:p w14:paraId="3273F17B" w14:textId="77777777" w:rsidR="003F40E8" w:rsidRPr="00BE4AF3" w:rsidRDefault="003F40E8" w:rsidP="003F40E8">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Procedure of Pre-letting and Pre-sale Options</w:t>
      </w:r>
    </w:p>
    <w:p w14:paraId="2503BD79" w14:textId="77777777" w:rsidR="003F40E8" w:rsidRPr="00BE4AF3" w:rsidRDefault="003F40E8" w:rsidP="0052113D">
      <w:pPr>
        <w:spacing w:after="0" w:line="240" w:lineRule="auto"/>
        <w:jc w:val="both"/>
        <w:rPr>
          <w:rStyle w:val="fontstyle01"/>
          <w:rFonts w:ascii="Times New Roman" w:hAnsi="Times New Roman" w:cs="Times New Roman"/>
          <w:sz w:val="24"/>
          <w:szCs w:val="24"/>
        </w:rPr>
      </w:pPr>
      <w:r w:rsidRPr="00BE4AF3">
        <w:rPr>
          <w:rStyle w:val="fontstyle01"/>
          <w:rFonts w:ascii="Times New Roman" w:hAnsi="Times New Roman" w:cs="Times New Roman"/>
          <w:sz w:val="24"/>
          <w:szCs w:val="24"/>
        </w:rPr>
        <w:t xml:space="preserve">Setting a procedure for a practice specifies or describes activities that are vital for successful completion of such an exercise, and equally seems to indicate what activity should come before the other. It contains standard operational instructions which are often documented to guide and manage a practice. According to Akyar (2012), procedure explains the purpose of an operation, stipulate forms of equipment, technique and material to be used. Standard procedure helps to create safe environment and smooth operation of reoccurring practices. It eliminates or minimises error, promote efficiencies, consistency, reliability and also profitability in production and service organisation. The author defined procedure as a document with detailed description of process to be undertaken by operator in order to perform an operation. </w:t>
      </w:r>
    </w:p>
    <w:p w14:paraId="1B8890DE" w14:textId="77777777" w:rsidR="003F40E8" w:rsidRPr="00BE4AF3" w:rsidRDefault="003F40E8" w:rsidP="0052113D">
      <w:pPr>
        <w:spacing w:after="0" w:line="240" w:lineRule="auto"/>
        <w:jc w:val="both"/>
        <w:rPr>
          <w:rStyle w:val="fontstyle01"/>
          <w:rFonts w:ascii="Times New Roman" w:hAnsi="Times New Roman" w:cs="Times New Roman"/>
          <w:sz w:val="24"/>
          <w:szCs w:val="24"/>
        </w:rPr>
      </w:pPr>
      <w:r w:rsidRPr="00BE4AF3">
        <w:rPr>
          <w:rStyle w:val="fontstyle01"/>
          <w:rFonts w:ascii="Times New Roman" w:hAnsi="Times New Roman" w:cs="Times New Roman"/>
          <w:sz w:val="24"/>
          <w:szCs w:val="24"/>
        </w:rPr>
        <w:t>Akyar (2012)</w:t>
      </w:r>
      <w:r w:rsidRPr="00BE4AF3">
        <w:rPr>
          <w:rFonts w:ascii="Times New Roman" w:eastAsia="Times New Roman" w:hAnsi="Times New Roman" w:cs="Times New Roman"/>
          <w:bCs/>
          <w:sz w:val="24"/>
          <w:szCs w:val="24"/>
          <w:lang w:val="en-US" w:eastAsia="en-GB"/>
        </w:rPr>
        <w:t xml:space="preserve"> enunciated some basic steps to be cognizance of when formulating good operational procedure. These include determination of </w:t>
      </w:r>
      <w:r w:rsidRPr="00BE4AF3">
        <w:rPr>
          <w:rFonts w:ascii="Times New Roman" w:eastAsia="Times New Roman" w:hAnsi="Times New Roman" w:cs="Times New Roman"/>
          <w:sz w:val="24"/>
          <w:szCs w:val="24"/>
          <w:lang w:val="en-US" w:eastAsia="en-GB"/>
        </w:rPr>
        <w:t>the operation objectives and documentation of procedure; identification, definition and evaluation of vital processes necessary for the operation; and d</w:t>
      </w:r>
      <w:r w:rsidRPr="00BE4AF3">
        <w:rPr>
          <w:rFonts w:ascii="Times New Roman" w:eastAsia="Times New Roman" w:hAnsi="Times New Roman" w:cs="Times New Roman"/>
          <w:bCs/>
          <w:sz w:val="24"/>
          <w:szCs w:val="24"/>
          <w:lang w:val="en-US" w:eastAsia="en-GB"/>
        </w:rPr>
        <w:t>ocumentation of the processes</w:t>
      </w:r>
      <w:r w:rsidRPr="00BE4AF3">
        <w:rPr>
          <w:rFonts w:ascii="Times New Roman" w:eastAsia="Times New Roman" w:hAnsi="Times New Roman" w:cs="Times New Roman"/>
          <w:sz w:val="24"/>
          <w:szCs w:val="24"/>
          <w:lang w:val="en-US" w:eastAsia="en-GB"/>
        </w:rPr>
        <w:t xml:space="preserve"> from start to finish in other to have a procedure. On the contrary, Yang</w:t>
      </w:r>
      <w:r w:rsidRPr="00BE4AF3">
        <w:rPr>
          <w:rStyle w:val="fontstyle01"/>
          <w:rFonts w:ascii="Times New Roman" w:hAnsi="Times New Roman" w:cs="Times New Roman"/>
          <w:sz w:val="24"/>
          <w:szCs w:val="24"/>
        </w:rPr>
        <w:t xml:space="preserve"> (2001) submitted seven step procedures as related to pre-letting and pre-sale financing arrangements in Shanghai. The steps are identified as follows: the buyer select a unit in the proposed development and then make a part payment or deposit as allowed by the regulation. The initial payment allows signing of property purchase agreement form which helps the buyer secure the unit in his name. The author noted that the property purchase agreement will indicate </w:t>
      </w:r>
      <w:r w:rsidRPr="00BE4AF3">
        <w:rPr>
          <w:rStyle w:val="fontstyle01"/>
          <w:rFonts w:ascii="Times New Roman" w:hAnsi="Times New Roman" w:cs="Times New Roman"/>
          <w:sz w:val="24"/>
          <w:szCs w:val="24"/>
        </w:rPr>
        <w:lastRenderedPageBreak/>
        <w:t>instalment schedule which is to be in accordance with the regulation guiding the practice as applicable in the country. Instalment structure guides the buyer in the payment till the final payment is made when the buyer sign to receive the property which would be registered in his name.</w:t>
      </w:r>
    </w:p>
    <w:p w14:paraId="612A5A2E" w14:textId="77777777" w:rsidR="003F40E8" w:rsidRPr="00BE4AF3" w:rsidRDefault="003F40E8" w:rsidP="0052113D">
      <w:pPr>
        <w:spacing w:after="0" w:line="240" w:lineRule="auto"/>
        <w:jc w:val="both"/>
        <w:rPr>
          <w:rStyle w:val="fontstyle01"/>
          <w:rFonts w:ascii="Times New Roman" w:hAnsi="Times New Roman" w:cs="Times New Roman"/>
          <w:sz w:val="24"/>
          <w:szCs w:val="24"/>
        </w:rPr>
      </w:pPr>
      <w:r w:rsidRPr="00BE4AF3">
        <w:rPr>
          <w:rStyle w:val="fontstyle01"/>
          <w:rFonts w:ascii="Times New Roman" w:hAnsi="Times New Roman" w:cs="Times New Roman"/>
          <w:sz w:val="24"/>
          <w:szCs w:val="24"/>
        </w:rPr>
        <w:t>According to Zetterberg (2020), pre-letting and pre-sale financing follows nine processes which originate with developer initiating a project decision, select suitable site, and come up with a design preference with modern home facilities. Reality of this initial procedure, serves as a basis for setting a package and pricing. The arrangement is then advertised to attract a prospective buyer. Once a buyer is identified, meeting is arranged to discuss in detail the advertised pre-letting and pre-sale financing project (this discussion involves the use of the construction materials description and specifications, features and fittings, construction timelines, schedule of on-site meetings, payment scheme, escrow account, among others). Once agreement is reached between developer and buyer on the terms and conditions associated with proposed property (with modification in some cases, the buyer signs the pre-letting and pre-sale financing agreement and construction begins. In Hong Kong, Vanneste (2022) identified that the process of pre-sale arrangement involves the signing of provisional contract. This is the stage at which 5% deposit is made. Between 5 to 14 days, buyer signs the official contract and pay another 5%, stamp duty and other legal fees as may be applicable. Construction process follows immediately and this can take up to 3 years depending on the size of the development. After completion, buyer is given about 30 days to complete the payment and take full possession of the property.</w:t>
      </w:r>
    </w:p>
    <w:p w14:paraId="30D28621" w14:textId="77777777" w:rsidR="003F40E8" w:rsidRPr="00BE4AF3" w:rsidRDefault="003F40E8" w:rsidP="0052113D">
      <w:pPr>
        <w:spacing w:after="0" w:line="240" w:lineRule="auto"/>
        <w:ind w:right="-46"/>
        <w:jc w:val="both"/>
        <w:rPr>
          <w:rFonts w:ascii="Times New Roman" w:hAnsi="Times New Roman" w:cs="Times New Roman"/>
          <w:color w:val="242021"/>
          <w:sz w:val="24"/>
          <w:szCs w:val="24"/>
        </w:rPr>
      </w:pPr>
      <w:r w:rsidRPr="00BE4AF3">
        <w:rPr>
          <w:rStyle w:val="fontstyle01"/>
          <w:rFonts w:ascii="Times New Roman" w:hAnsi="Times New Roman" w:cs="Times New Roman"/>
          <w:sz w:val="24"/>
          <w:szCs w:val="24"/>
        </w:rPr>
        <w:t xml:space="preserve">While none of the above procedures recognised role of government regulation, </w:t>
      </w:r>
      <w:bookmarkStart w:id="5" w:name="_Hlk201287492"/>
      <w:r w:rsidRPr="00BE4AF3">
        <w:rPr>
          <w:rStyle w:val="fontstyle01"/>
          <w:rFonts w:ascii="Times New Roman" w:hAnsi="Times New Roman" w:cs="Times New Roman"/>
          <w:sz w:val="24"/>
          <w:szCs w:val="24"/>
        </w:rPr>
        <w:fldChar w:fldCharType="begin" w:fldLock="1"/>
      </w:r>
      <w:r w:rsidRPr="00BE4AF3">
        <w:rPr>
          <w:rStyle w:val="fontstyle01"/>
          <w:rFonts w:ascii="Times New Roman" w:hAnsi="Times New Roman" w:cs="Times New Roman"/>
          <w:sz w:val="24"/>
          <w:szCs w:val="24"/>
        </w:rPr>
        <w:instrText>ADDIN CSL_CITATION {"citationItems":[{"id":"ITEM-1","itemData":{"DOI":"10.3846/ijspm.2018.1547","ISSN":"16489179","abstract":"The condominium presale market is characterized by information asymmetry between the developer and potential buyers. A condominium developer faces conflicting incentives to sell units quickly at a lower price to generate cash and sales momentum versus to hold prices high and endure longer marketing time to maximize revenues and maintain the property’s value. We examine the pattern of marketing duration for condominium units offered for presale in a large homogeneous development in Chengdu, China using a Cox proportional hazards model. Results indicate that a patient developer may extract a price premium on units. Diminishing risk to buyers is associated with shorter marketing duration. Time-on-market is also influenced by unit and building size as well as orientation. Market conditions may moderate the speed at which units are sold.","author":[{"dropping-particle":"","family":"Zhou","given":"Xiaorong","non-dropping-particle":"","parse-names":false,"suffix":""},{"dropping-particle":"","family":"Zahirovic-Herbert","given":"Velma","non-dropping-particle":"","parse-names":false,"suffix":""},{"dropping-particle":"","family":"Gibler","given":"Karen M","non-dropping-particle":"","parse-names":false,"suffix":""}],"container-title":"International Journal of Strategic Property Management","id":"ITEM-1","issue":"3","issued":{"date-parts":[["2018"]]},"page":"191-203","title":"Time-on-market in chinese condominium presales","type":"article-journal","volume":"22"},"uris":["http://www.mendeley.com/documents/?uuid=529365aa-5d49-4625-bf94-cacc448a7211"]}],"mendeley":{"formattedCitation":"(Zhou et al., 2018)","manualFormatting":"Zhou et al. (2018)","plainTextFormattedCitation":"(Zhou et al., 2018)","previouslyFormattedCitation":"(Zhou et al., 2018)"},"properties":{"noteIndex":0},"schema":"https://github.com/citation-style-language/schema/raw/master/csl-citation.json"}</w:instrText>
      </w:r>
      <w:r w:rsidRPr="00BE4AF3">
        <w:rPr>
          <w:rStyle w:val="fontstyle01"/>
          <w:rFonts w:ascii="Times New Roman" w:hAnsi="Times New Roman" w:cs="Times New Roman"/>
          <w:sz w:val="24"/>
          <w:szCs w:val="24"/>
        </w:rPr>
        <w:fldChar w:fldCharType="separate"/>
      </w:r>
      <w:r w:rsidRPr="00BE4AF3">
        <w:rPr>
          <w:rStyle w:val="fontstyle01"/>
          <w:rFonts w:ascii="Times New Roman" w:hAnsi="Times New Roman" w:cs="Times New Roman"/>
          <w:noProof/>
          <w:sz w:val="24"/>
          <w:szCs w:val="24"/>
        </w:rPr>
        <w:t>Zhou et al. (2018)</w:t>
      </w:r>
      <w:r w:rsidRPr="00BE4AF3">
        <w:rPr>
          <w:rStyle w:val="fontstyle01"/>
          <w:rFonts w:ascii="Times New Roman" w:hAnsi="Times New Roman" w:cs="Times New Roman"/>
          <w:sz w:val="24"/>
          <w:szCs w:val="24"/>
        </w:rPr>
        <w:fldChar w:fldCharType="end"/>
      </w:r>
      <w:r w:rsidRPr="00BE4AF3">
        <w:rPr>
          <w:rStyle w:val="fontstyle01"/>
          <w:rFonts w:ascii="Times New Roman" w:hAnsi="Times New Roman" w:cs="Times New Roman"/>
          <w:sz w:val="24"/>
          <w:szCs w:val="24"/>
        </w:rPr>
        <w:t xml:space="preserve"> </w:t>
      </w:r>
      <w:bookmarkEnd w:id="5"/>
      <w:r w:rsidRPr="00BE4AF3">
        <w:rPr>
          <w:rStyle w:val="fontstyle01"/>
          <w:rFonts w:ascii="Times New Roman" w:hAnsi="Times New Roman" w:cs="Times New Roman"/>
          <w:sz w:val="24"/>
          <w:szCs w:val="24"/>
        </w:rPr>
        <w:t xml:space="preserve">opined that formulation of pre-letting and pre-sale financing procedure will be almost unsuccessful in the absence of a clear government policy objective which should guide against the procedure inaccuracy and inefficiency. </w:t>
      </w:r>
      <w:bookmarkStart w:id="6" w:name="_Hlk201287478"/>
      <w:r w:rsidRPr="00BE4AF3">
        <w:rPr>
          <w:rStyle w:val="fontstyle01"/>
          <w:rFonts w:ascii="Times New Roman" w:hAnsi="Times New Roman" w:cs="Times New Roman"/>
          <w:sz w:val="24"/>
          <w:szCs w:val="24"/>
        </w:rPr>
        <w:fldChar w:fldCharType="begin" w:fldLock="1"/>
      </w:r>
      <w:r w:rsidRPr="00BE4AF3">
        <w:rPr>
          <w:rStyle w:val="fontstyle01"/>
          <w:rFonts w:ascii="Times New Roman" w:hAnsi="Times New Roman" w:cs="Times New Roman"/>
          <w:sz w:val="24"/>
          <w:szCs w:val="24"/>
        </w:rPr>
        <w:instrText>ADDIN CSL_CITATION {"citationItems":[{"id":"ITEM-1","itemData":{"DOI":"10.1163/15730255-12314030","ISSN":"15730255","abstract":"The real estate legislative system is one of the bases of the sustainable development process. This research focuses on the role of the legal system in sustainable development, according to the most prominent relevant international reports. The UAE ranked forty-first globally in the Human Development Index (HDI). In the World Bank's 'Doing Business Report', the UAE ranked second globally and first in the Middle East and North Africa (MENA) for the 'Dealing with Construction Permits' indicator. Thus, the Emirate of Dubai is deemed the second-best city in the world in terms of ease of dealing with construction permits. For the 'Registering Property' indicator, the UAE ranked tenth globally and first in the Middle East and North Africa (MENA). Despite the UAE's great achievements in terms of developmental ranking at the global level, there is still more to achieve in the field of development.","author":[{"dropping-particle":"","family":"Jadalhaq","given":"Iyad Mohammed","non-dropping-particle":"","parse-names":false,"suffix":""}],"container-title":"Arab Law Quarterly","id":"ITEM-1","issue":"4","issued":{"date-parts":[["2017"]]},"page":"388-410","title":"Fundamentals of the real estate legislative system and its impact on sustainable development: Dubai case study","type":"article-journal","volume":"31"},"uris":["http://www.mendeley.com/documents/?uuid=f2dd5beb-5af2-41c1-8573-967d1f90edad"]}],"mendeley":{"formattedCitation":"(Jadalhaq, 2017)","manualFormatting":"Jadalhaq (2017)","plainTextFormattedCitation":"(Jadalhaq, 2017)","previouslyFormattedCitation":"(Jadalhaq, 2017)"},"properties":{"noteIndex":0},"schema":"https://github.com/citation-style-language/schema/raw/master/csl-citation.json"}</w:instrText>
      </w:r>
      <w:r w:rsidRPr="00BE4AF3">
        <w:rPr>
          <w:rStyle w:val="fontstyle01"/>
          <w:rFonts w:ascii="Times New Roman" w:hAnsi="Times New Roman" w:cs="Times New Roman"/>
          <w:sz w:val="24"/>
          <w:szCs w:val="24"/>
        </w:rPr>
        <w:fldChar w:fldCharType="separate"/>
      </w:r>
      <w:r w:rsidRPr="00BE4AF3">
        <w:rPr>
          <w:rStyle w:val="fontstyle01"/>
          <w:rFonts w:ascii="Times New Roman" w:hAnsi="Times New Roman" w:cs="Times New Roman"/>
          <w:noProof/>
          <w:sz w:val="24"/>
          <w:szCs w:val="24"/>
        </w:rPr>
        <w:t>Jadalhaq (2017)</w:t>
      </w:r>
      <w:r w:rsidRPr="00BE4AF3">
        <w:rPr>
          <w:rStyle w:val="fontstyle01"/>
          <w:rFonts w:ascii="Times New Roman" w:hAnsi="Times New Roman" w:cs="Times New Roman"/>
          <w:sz w:val="24"/>
          <w:szCs w:val="24"/>
        </w:rPr>
        <w:fldChar w:fldCharType="end"/>
      </w:r>
      <w:bookmarkEnd w:id="6"/>
      <w:r w:rsidRPr="00BE4AF3">
        <w:rPr>
          <w:rFonts w:ascii="Times New Roman" w:hAnsi="Times New Roman" w:cs="Times New Roman"/>
          <w:sz w:val="24"/>
          <w:szCs w:val="24"/>
        </w:rPr>
        <w:t xml:space="preserve"> related the success of pre-letting and pre-sale financing in Dubai to the effectiveness of the regulatory framework that governs the operation of real estate developers in line with the set procedure. The procedure stipulates the percentage to be paid as initial deposit, the opening of escrow account by developers for client deposits, the construction level at which the escrow fund can be accessed under government supervision, among others. The involvement of the government serves as a cushion for the buyers in the process. </w:t>
      </w:r>
      <w:r w:rsidRPr="00BE4AF3">
        <w:rPr>
          <w:rStyle w:val="fontstyle01"/>
          <w:rFonts w:ascii="Times New Roman" w:hAnsi="Times New Roman" w:cs="Times New Roman"/>
          <w:sz w:val="24"/>
          <w:szCs w:val="24"/>
        </w:rPr>
        <w:fldChar w:fldCharType="begin" w:fldLock="1"/>
      </w:r>
      <w:r w:rsidRPr="00BE4AF3">
        <w:rPr>
          <w:rStyle w:val="fontstyle01"/>
          <w:rFonts w:ascii="Times New Roman" w:hAnsi="Times New Roman" w:cs="Times New Roman"/>
          <w:sz w:val="24"/>
          <w:szCs w:val="24"/>
        </w:rPr>
        <w:instrText>ADDIN CSL_CITATION {"citationItems":[{"id":"ITEM-1","itemData":{"DOI":"10.3846/ijspm.2010.19","ISSN":"16489179","abstract":"The principal-agent problem arising from asymmetric information in presales of uncompleted properties in forward property markets has been well-recognized. Since buyers are not able to inspect the uncompleted properties when they make the purchases, developers may hide information about the negative aspects of the properties or over-state the quality in order to generate an extra profit in the presales on top of the equilibrium value as if the properties were sold in the spot market. In this regard, the study adapted a forward-spot property repeat sales pricing model to explore the pricing of presale properties compared to that of spot properties in which the principal-agent problem does not exist. The findings suggest that developers were able to impose a wealth transfer from the buyers in pricing presale properties taking the advantage of asymmetric information embedded in forward property markets. © 2010 Vilnius Gediminas Technical University.","author":[{"dropping-particle":"","family":"Leung","given":"Barbara Y.P.","non-dropping-particle":"","parse-names":false,"suffix":""}],"container-title":"International Journal of Strategic Property Management","id":"ITEM-1","issue":"3","issued":{"date-parts":[["2010"]]},"page":"258-270","title":"Wealth transfer in forward property markets","type":"article-journal","volume":"14"},"uris":["http://www.mendeley.com/documents/?uuid=edeaad0d-b4f2-4896-9516-483c6184b158"]}],"mendeley":{"formattedCitation":"(Leung, 2010)","manualFormatting":"Leung (2010)","plainTextFormattedCitation":"(Leung, 2010)","previouslyFormattedCitation":"(Leung, 2010)"},"properties":{"noteIndex":0},"schema":"https://github.com/citation-style-language/schema/raw/master/csl-citation.json"}</w:instrText>
      </w:r>
      <w:r w:rsidRPr="00BE4AF3">
        <w:rPr>
          <w:rStyle w:val="fontstyle01"/>
          <w:rFonts w:ascii="Times New Roman" w:hAnsi="Times New Roman" w:cs="Times New Roman"/>
          <w:sz w:val="24"/>
          <w:szCs w:val="24"/>
        </w:rPr>
        <w:fldChar w:fldCharType="separate"/>
      </w:r>
      <w:r w:rsidRPr="00BE4AF3">
        <w:rPr>
          <w:rStyle w:val="fontstyle01"/>
          <w:rFonts w:ascii="Times New Roman" w:hAnsi="Times New Roman" w:cs="Times New Roman"/>
          <w:noProof/>
          <w:sz w:val="24"/>
          <w:szCs w:val="24"/>
        </w:rPr>
        <w:t>Leung (2010)</w:t>
      </w:r>
      <w:r w:rsidRPr="00BE4AF3">
        <w:rPr>
          <w:rStyle w:val="fontstyle01"/>
          <w:rFonts w:ascii="Times New Roman" w:hAnsi="Times New Roman" w:cs="Times New Roman"/>
          <w:sz w:val="24"/>
          <w:szCs w:val="24"/>
        </w:rPr>
        <w:fldChar w:fldCharType="end"/>
      </w:r>
      <w:r w:rsidRPr="00BE4AF3">
        <w:rPr>
          <w:rStyle w:val="fontstyle01"/>
          <w:rFonts w:ascii="Times New Roman" w:hAnsi="Times New Roman" w:cs="Times New Roman"/>
          <w:sz w:val="24"/>
          <w:szCs w:val="24"/>
        </w:rPr>
        <w:t xml:space="preserve"> opined that government influence in pre-letting and pre-sale financing property market can be top-down administrative system, in which rules and regulation guiding the operation of pre-letting and pre-sale financing is made by the central authority, adapted by the regional authority before it is handed over to the municipalities and counties where it is broken-down based on the peculiarity of each county. In China, </w:t>
      </w:r>
      <w:r w:rsidRPr="00BE4AF3">
        <w:rPr>
          <w:rFonts w:ascii="Times New Roman" w:hAnsi="Times New Roman" w:cs="Times New Roman"/>
          <w:color w:val="242021"/>
          <w:sz w:val="24"/>
          <w:szCs w:val="24"/>
        </w:rPr>
        <w:t>approval for pre-letting and pre-sale project is granted by local authorities, who monitors compliance with government policy, when two-third of the major property development has been completed (Leung, 2010). The income that accrues from the arrangement is legally required to be plough into the construction and as well to settle any outstanding payments. The study further noted that such funds are overseen by the local property registration authority till the property is completed and delivered.</w:t>
      </w:r>
    </w:p>
    <w:p w14:paraId="17707DA7" w14:textId="77777777" w:rsidR="003F40E8" w:rsidRPr="00BE4AF3" w:rsidRDefault="003F40E8" w:rsidP="0052113D">
      <w:pPr>
        <w:spacing w:after="0" w:line="240" w:lineRule="auto"/>
        <w:ind w:right="-46"/>
        <w:jc w:val="both"/>
        <w:rPr>
          <w:rStyle w:val="fontstyle01"/>
          <w:rFonts w:ascii="Times New Roman" w:hAnsi="Times New Roman" w:cs="Times New Roman"/>
          <w:sz w:val="24"/>
          <w:szCs w:val="24"/>
        </w:rPr>
      </w:pPr>
      <w:r w:rsidRPr="00BE4AF3">
        <w:rPr>
          <w:rStyle w:val="fontstyle01"/>
          <w:rFonts w:ascii="Times New Roman" w:hAnsi="Times New Roman" w:cs="Times New Roman"/>
          <w:sz w:val="24"/>
          <w:szCs w:val="24"/>
        </w:rPr>
        <w:t xml:space="preserve">In summary, unified standard procedure of operation in pre-letting and pre-sale financing seems to be missing. The above literature review clearly established that existing procedures varied from one country to another. However, despite the recent increase in the adoption level of pre-sale and pre-letting financing arrangements in the emerging markets (Olayiwola et al., 2024) which is driven by the benefits inherent in the arrangements such as the ability to raise interest free capital and share property development risks with the buyers and tenants (Olayiwola et al., 2025) among others, dearth of literature still exist on the procedure guiding the execution of the arrangements in </w:t>
      </w:r>
      <w:r w:rsidRPr="00BE4AF3">
        <w:rPr>
          <w:rStyle w:val="fontstyle01"/>
          <w:rFonts w:ascii="Times New Roman" w:hAnsi="Times New Roman" w:cs="Times New Roman"/>
          <w:sz w:val="24"/>
          <w:szCs w:val="24"/>
        </w:rPr>
        <w:lastRenderedPageBreak/>
        <w:t>the emerging economy. Hence, this study seeks to examine the procedure of pre-letting and pre-sale financing arrangements in the emerging economy with Nigeria as a case study.</w:t>
      </w:r>
    </w:p>
    <w:p w14:paraId="6F7BF82D" w14:textId="77777777" w:rsidR="0052113D" w:rsidRDefault="0052113D" w:rsidP="003F40E8">
      <w:pPr>
        <w:spacing w:after="0" w:line="240" w:lineRule="auto"/>
        <w:ind w:right="-45"/>
        <w:jc w:val="both"/>
        <w:rPr>
          <w:rStyle w:val="fontstyle01"/>
          <w:rFonts w:ascii="Times New Roman" w:hAnsi="Times New Roman" w:cs="Times New Roman"/>
          <w:b/>
          <w:sz w:val="24"/>
          <w:szCs w:val="24"/>
        </w:rPr>
      </w:pPr>
    </w:p>
    <w:p w14:paraId="51912517" w14:textId="3E781F72" w:rsidR="003F40E8" w:rsidRPr="00BE4AF3" w:rsidRDefault="00A50BE9" w:rsidP="003F40E8">
      <w:pPr>
        <w:spacing w:after="0" w:line="240" w:lineRule="auto"/>
        <w:ind w:right="-45"/>
        <w:jc w:val="both"/>
        <w:rPr>
          <w:rStyle w:val="fontstyle01"/>
          <w:rFonts w:ascii="Times New Roman" w:hAnsi="Times New Roman" w:cs="Times New Roman"/>
          <w:b/>
          <w:sz w:val="24"/>
          <w:szCs w:val="24"/>
        </w:rPr>
      </w:pPr>
      <w:r>
        <w:rPr>
          <w:rStyle w:val="fontstyle01"/>
          <w:rFonts w:ascii="Times New Roman" w:hAnsi="Times New Roman" w:cs="Times New Roman"/>
          <w:b/>
          <w:sz w:val="24"/>
          <w:szCs w:val="24"/>
        </w:rPr>
        <w:t xml:space="preserve">Material and </w:t>
      </w:r>
      <w:r w:rsidR="003F40E8" w:rsidRPr="00BE4AF3">
        <w:rPr>
          <w:rStyle w:val="fontstyle01"/>
          <w:rFonts w:ascii="Times New Roman" w:hAnsi="Times New Roman" w:cs="Times New Roman"/>
          <w:b/>
          <w:sz w:val="24"/>
          <w:szCs w:val="24"/>
        </w:rPr>
        <w:t>Method</w:t>
      </w:r>
      <w:r>
        <w:rPr>
          <w:rStyle w:val="fontstyle01"/>
          <w:rFonts w:ascii="Times New Roman" w:hAnsi="Times New Roman" w:cs="Times New Roman"/>
          <w:b/>
          <w:sz w:val="24"/>
          <w:szCs w:val="24"/>
        </w:rPr>
        <w:t>s</w:t>
      </w:r>
    </w:p>
    <w:p w14:paraId="4848D0C0" w14:textId="77777777" w:rsidR="003F40E8" w:rsidRPr="00BE4AF3" w:rsidRDefault="003F40E8" w:rsidP="0052113D">
      <w:pPr>
        <w:spacing w:after="0" w:line="240" w:lineRule="auto"/>
        <w:ind w:right="-46"/>
        <w:jc w:val="both"/>
        <w:rPr>
          <w:rFonts w:ascii="Times New Roman" w:hAnsi="Times New Roman" w:cs="Times New Roman"/>
          <w:sz w:val="24"/>
          <w:szCs w:val="24"/>
        </w:rPr>
      </w:pPr>
      <w:bookmarkStart w:id="7" w:name="_Hlk202167174"/>
      <w:r w:rsidRPr="00BE4AF3">
        <w:rPr>
          <w:rFonts w:ascii="Times New Roman" w:hAnsi="Times New Roman" w:cs="Times New Roman"/>
          <w:sz w:val="24"/>
          <w:szCs w:val="24"/>
        </w:rPr>
        <w:t xml:space="preserve">Using qualitative research approach, this study purposively selected a senior staff member of 15 property development companies (PDCs) in Lagos metropolis for an in-depth interview to elicit procedural steps of pre-letting and pre-sale financing options in the study area. </w:t>
      </w:r>
      <w:bookmarkEnd w:id="7"/>
      <w:r w:rsidRPr="00BE4AF3">
        <w:rPr>
          <w:rFonts w:ascii="Times New Roman" w:hAnsi="Times New Roman" w:cs="Times New Roman"/>
          <w:sz w:val="24"/>
          <w:szCs w:val="24"/>
        </w:rPr>
        <w:t>It was ensured that the respondents had minimum of 10 years’ work experience in real estate development, occupied property or project manager’s position and were available to provide information-rich data on the interview questions.</w:t>
      </w:r>
    </w:p>
    <w:p w14:paraId="2C7D3715" w14:textId="77777777" w:rsidR="003F40E8" w:rsidRPr="00BE4AF3" w:rsidRDefault="003F40E8" w:rsidP="0052113D">
      <w:pPr>
        <w:spacing w:after="0" w:line="240" w:lineRule="auto"/>
        <w:ind w:right="-46"/>
        <w:jc w:val="both"/>
        <w:rPr>
          <w:rFonts w:ascii="Times New Roman" w:hAnsi="Times New Roman" w:cs="Times New Roman"/>
          <w:sz w:val="24"/>
          <w:szCs w:val="24"/>
        </w:rPr>
      </w:pPr>
      <w:r w:rsidRPr="00BE4AF3">
        <w:rPr>
          <w:rFonts w:ascii="Times New Roman" w:hAnsi="Times New Roman" w:cs="Times New Roman"/>
          <w:sz w:val="24"/>
          <w:szCs w:val="24"/>
        </w:rPr>
        <w:t xml:space="preserve">On the appropriateness of the sample size, Patton (2002) noted that all that matter in purposive sampling is that the researcher’s predetermined criteria should be in agreement with the research objective. According to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DOI":"10.1177/1525822X05279903","author":[{"dropping-particle":"","family":"Guest","given":"Greg","non-dropping-particle":"","parse-names":false,"suffix":""},{"dropping-particle":"","family":"Bunce","given":"Arwen","non-dropping-particle":"","parse-names":false,"suffix":""},{"dropping-particle":"","family":"Johnson","given":"Laura","non-dropping-particle":"","parse-names":false,"suffix":""}],"container-title":"Field Methods","id":"ITEM-1","issue":"1","issued":{"date-parts":[["2006"]]},"page":"59-82","title":"How Many Interviews Are Enough ? An Experiment with Data Saturation and Variability","type":"article-journal","volume":"18"},"uris":["http://www.mendeley.com/documents/?uuid=1e2910b2-f5ba-4e4c-95b7-79f65559b615"]}],"mendeley":{"formattedCitation":"(Guest et al., 2006)","manualFormatting":"Guest et al. (2006)","plainTextFormattedCitation":"(Guest et al., 2006)","previouslyFormattedCitation":"(Guest et al., 2006)"},"properties":{"noteIndex":0},"schema":"https://github.com/citation-style-language/schema/raw/master/csl-citation.json"}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 xml:space="preserve">Guest </w:t>
      </w:r>
      <w:r w:rsidRPr="00BE4AF3">
        <w:rPr>
          <w:rFonts w:ascii="Times New Roman" w:hAnsi="Times New Roman" w:cs="Times New Roman"/>
          <w:i/>
          <w:noProof/>
          <w:sz w:val="24"/>
          <w:szCs w:val="24"/>
        </w:rPr>
        <w:t>et al.</w:t>
      </w:r>
      <w:r w:rsidRPr="00BE4AF3">
        <w:rPr>
          <w:rFonts w:ascii="Times New Roman" w:hAnsi="Times New Roman" w:cs="Times New Roman"/>
          <w:noProof/>
          <w:sz w:val="24"/>
          <w:szCs w:val="24"/>
        </w:rPr>
        <w:t xml:space="preserve"> (2006)</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 a sample of 12 is sufficient in qualitative study of relatively homogeneous group, who shared similar perspective, belief and behaviour. Since the objective of this study was to find out the shared perspective on the procedures of pre-letting and pre-sale financing options from a relatively homogenous group of PDCs in Lagos metropolis, 15 respondents were found sufficient for the interview.</w:t>
      </w:r>
    </w:p>
    <w:p w14:paraId="5AB6F898" w14:textId="77777777" w:rsidR="003F40E8" w:rsidRPr="00BE4AF3" w:rsidRDefault="003F40E8" w:rsidP="0052113D">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To successfully establish the procedures for pre-letting and pre-sale financing options, this study adopted simple processes identified in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{"citationItems":[{"id":"ITEM-1","itemData":{"DOI":"10.1016/j.ijnurstu.2020.103632","ISSN":"00207489","PMID":"32505813","abstract":"Qualitative content analysis and other ‘standardised’ methods are sometimes considered to be technical tools used for basic, superficial, and simple sorting of text, and their results lack depth, scientific rigour, and evidence. To strengthen the trustworthiness of qualitative content analyses, we focus on abstraction and interpretation during the analytic process. To our knowledge, descriptions of these concepts are sparse; this paper therefore aims to elaborate on and exemplify the distinction and relation between abstraction and interpretation during the different phases of the process of qualitative content analysis. We address the relations between abstraction and interpretation when selecting, condensing, and coding meaning units and creating categories and themes on various levels. The examples used are based on our experiences of teaching and supervising students at various levels. We also highlight the phases of de-contextualisation and re-contextualisation in describing the analytic process. We argue that qualitative content analysis can be both descriptive and interpretative. When the data allow interpretations of the latent content, qualitative content analysis reveals both depth and meaning in participants’ utterances.","author":[{"dropping-particle":"","family":"Lindgren","given":"Britt Marie","non-dropping-particle":"","parse-names":false,"suffix":""},{"dropping-particle":"","family":"Lundman","given":"Berit","non-dropping-particle":"","parse-names":false,"suffix":""},{"dropping-particle":"","family":"Graneheim","given":"Ulla H","non-dropping-particle":"","parse-names":false,"suffix":""}],"container-title":"International Journal of Nursing Studies","id":"ITEM-1","issued":{"date-parts":[["2020"]]},"page":"1 - 6","publisher":"Elsevier Ltd","title":"Abstraction and interpretation during the qualitative content analysis process","type":"article","volume":"108"},"uris":["http://www.mendeley.com/documents/?uuid=04573f0c-2300-4cb9-aa38-13430710b562"]}],"mendeley":{"formattedCitation":"(Lindgren et al., 2020)","manualFormatting":"Lindgren et al. (2020)","plainTextFormattedCitation":"(Lindgren et al., 2020)"},"properties":{"noteIndex":0},"schema":"https://github.com/citation-style-language/schema/raw/master/csl-citation.json"}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Lindgren et al. (2020)</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 xml:space="preserve">. These processes were condensing, breaking of the interview data into different categories or codes, sorting the codes by their similarities, re-contextualisation and interpretation. With the aid of a prepared lines of inquiry, semi structured interview was carried out on the respondents. Among the questions on the interview guide were the steps being undertaken by the PDCs in executing pre-letting and pre-sale options; starting from the site acquisition to commissioning stage, and the level of government involvement in the process. </w:t>
      </w:r>
      <w:bookmarkStart w:id="8" w:name="_Hlk202167196"/>
      <w:r w:rsidRPr="00BE4AF3">
        <w:rPr>
          <w:rFonts w:ascii="Times New Roman" w:hAnsi="Times New Roman" w:cs="Times New Roman"/>
          <w:sz w:val="24"/>
          <w:szCs w:val="24"/>
        </w:rPr>
        <w:t xml:space="preserve">The voice recordings were transcribed using Otter mobile application. While the data were later coded and sorted manually, content analysis was manually employed due to the relatively manageable size of the data. </w:t>
      </w:r>
      <w:bookmarkEnd w:id="8"/>
      <w:r w:rsidRPr="00BE4AF3">
        <w:rPr>
          <w:rFonts w:ascii="Times New Roman" w:hAnsi="Times New Roman" w:cs="Times New Roman"/>
          <w:sz w:val="24"/>
          <w:szCs w:val="24"/>
        </w:rPr>
        <w:t>The study was conducted in Lagos metropolis being the third largest megacity in Africa (World Bank, 2023), one of the rapidly evolving markets in the world (Dano et al., 2020), and a major property hub in Nigeria, with virtually all PDCs having their head office in Lagos. Hence, its suitability as study area.</w:t>
      </w:r>
    </w:p>
    <w:p w14:paraId="386BC280" w14:textId="77777777" w:rsidR="003F40E8" w:rsidRPr="00BE4AF3" w:rsidRDefault="003F40E8" w:rsidP="003F40E8">
      <w:pPr>
        <w:spacing w:after="0" w:line="240" w:lineRule="auto"/>
        <w:rPr>
          <w:rFonts w:ascii="Times New Roman" w:hAnsi="Times New Roman" w:cs="Times New Roman"/>
          <w:b/>
          <w:sz w:val="24"/>
          <w:szCs w:val="24"/>
          <w:lang w:val="en-US"/>
        </w:rPr>
      </w:pPr>
    </w:p>
    <w:p w14:paraId="191175D4" w14:textId="77777777" w:rsidR="003F40E8" w:rsidRPr="00BE4AF3" w:rsidRDefault="003F40E8" w:rsidP="003F40E8">
      <w:pPr>
        <w:spacing w:after="0" w:line="240" w:lineRule="auto"/>
        <w:rPr>
          <w:rFonts w:ascii="Times New Roman" w:hAnsi="Times New Roman" w:cs="Times New Roman"/>
          <w:b/>
          <w:sz w:val="24"/>
          <w:szCs w:val="24"/>
          <w:lang w:val="en-US"/>
        </w:rPr>
      </w:pPr>
      <w:r w:rsidRPr="00BE4AF3">
        <w:rPr>
          <w:rFonts w:ascii="Times New Roman" w:hAnsi="Times New Roman" w:cs="Times New Roman"/>
          <w:b/>
          <w:sz w:val="24"/>
          <w:szCs w:val="24"/>
          <w:lang w:val="en-US"/>
        </w:rPr>
        <w:t>Data Analysis and Presentation</w:t>
      </w:r>
    </w:p>
    <w:p w14:paraId="4DE20AE0" w14:textId="77777777" w:rsidR="003F40E8" w:rsidRPr="00BE4AF3" w:rsidRDefault="003F40E8" w:rsidP="003F40E8">
      <w:pPr>
        <w:pStyle w:val="ListParagraph"/>
        <w:spacing w:line="240" w:lineRule="auto"/>
        <w:ind w:left="0"/>
        <w:jc w:val="both"/>
        <w:rPr>
          <w:rFonts w:ascii="Times New Roman" w:hAnsi="Times New Roman"/>
          <w:sz w:val="24"/>
          <w:szCs w:val="24"/>
        </w:rPr>
      </w:pPr>
      <w:bookmarkStart w:id="9" w:name="_Hlk117436306"/>
      <w:r w:rsidRPr="00BE4AF3">
        <w:rPr>
          <w:rFonts w:ascii="Times New Roman" w:hAnsi="Times New Roman"/>
          <w:sz w:val="24"/>
          <w:szCs w:val="24"/>
          <w:lang w:val="en-US"/>
        </w:rPr>
        <w:t xml:space="preserve">This section presented a comprehensive analysis on how the data obtained were analysed and interpreted. </w:t>
      </w:r>
      <w:bookmarkEnd w:id="9"/>
      <w:r w:rsidRPr="00BE4AF3">
        <w:rPr>
          <w:rFonts w:ascii="Times New Roman" w:hAnsi="Times New Roman"/>
          <w:sz w:val="24"/>
          <w:szCs w:val="24"/>
          <w:lang w:val="en-US"/>
        </w:rPr>
        <w:t xml:space="preserve">The findings were interpreted and discussed in two sections.  While the first section was about the profile of the firms and the characteristics of the respondents, the second </w:t>
      </w:r>
      <w:r w:rsidRPr="00BE4AF3">
        <w:rPr>
          <w:rFonts w:ascii="Times New Roman" w:hAnsi="Times New Roman"/>
          <w:sz w:val="24"/>
          <w:szCs w:val="24"/>
        </w:rPr>
        <w:t>was the findings on the procedures for pre-letting and pre-sale financing arrangements in the study area.</w:t>
      </w:r>
    </w:p>
    <w:p w14:paraId="73C80A70" w14:textId="77777777" w:rsidR="003F40E8" w:rsidRPr="00BE4AF3" w:rsidRDefault="003F40E8" w:rsidP="003F40E8">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Characteristics of the Interviewees</w:t>
      </w:r>
    </w:p>
    <w:p w14:paraId="5C456D70" w14:textId="77777777" w:rsidR="003F40E8" w:rsidRPr="00BE4AF3" w:rsidRDefault="003F40E8" w:rsidP="003F40E8">
      <w:pPr>
        <w:spacing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Presented in Table 1 is the details of the interviewee for this study and details of firm they each represented. While 9, which constituted 60 percent were male, the remaining 6 which constituted 40 percent were female. Educationally, the interviewee was made up of 2 doctorates, 6 masters and 7 bachelor’s degree holders. These were professionally qualified members of NIESV (7), NIOB (6), and NIQS (2). The least year of respondents’ work experience in real estate development was 11 indicating that the respondents were </w:t>
      </w:r>
      <w:r w:rsidRPr="00BE4AF3">
        <w:rPr>
          <w:rFonts w:ascii="Times New Roman" w:hAnsi="Times New Roman" w:cs="Times New Roman"/>
          <w:sz w:val="24"/>
          <w:szCs w:val="24"/>
          <w:lang w:val="en-US"/>
        </w:rPr>
        <w:t xml:space="preserve">professionals and possessed reasonable knowledge both academically and experientially, </w:t>
      </w:r>
      <w:r w:rsidRPr="00BE4AF3">
        <w:rPr>
          <w:rFonts w:ascii="Times New Roman" w:hAnsi="Times New Roman" w:cs="Times New Roman"/>
          <w:sz w:val="24"/>
          <w:szCs w:val="24"/>
        </w:rPr>
        <w:t xml:space="preserve">and hence, capable of giving sound judgement on each of the questions raised as </w:t>
      </w:r>
      <w:r w:rsidRPr="00BE4AF3">
        <w:rPr>
          <w:rFonts w:ascii="Times New Roman" w:hAnsi="Times New Roman" w:cs="Times New Roman"/>
          <w:sz w:val="24"/>
          <w:szCs w:val="24"/>
          <w:lang w:val="en-US"/>
        </w:rPr>
        <w:t>deemed fit to achieve the aim of this study.</w:t>
      </w:r>
    </w:p>
    <w:p w14:paraId="6E843A2D" w14:textId="4581E788" w:rsidR="003F40E8" w:rsidRPr="0052113D" w:rsidRDefault="003F40E8" w:rsidP="00680C6F">
      <w:pPr>
        <w:spacing w:after="0"/>
        <w:jc w:val="center"/>
        <w:rPr>
          <w:rFonts w:ascii="Times New Roman" w:hAnsi="Times New Roman" w:cs="Times New Roman"/>
          <w:bCs/>
          <w:sz w:val="24"/>
          <w:szCs w:val="24"/>
        </w:rPr>
      </w:pPr>
      <w:bookmarkStart w:id="10" w:name="_Hlk109030011"/>
      <w:r w:rsidRPr="00BE4AF3">
        <w:rPr>
          <w:rFonts w:ascii="Times New Roman" w:hAnsi="Times New Roman" w:cs="Times New Roman"/>
          <w:b/>
          <w:sz w:val="24"/>
          <w:szCs w:val="24"/>
        </w:rPr>
        <w:lastRenderedPageBreak/>
        <w:t>Table 1</w:t>
      </w:r>
      <w:r w:rsidR="00136F88">
        <w:rPr>
          <w:rFonts w:ascii="Times New Roman" w:hAnsi="Times New Roman" w:cs="Times New Roman"/>
          <w:b/>
          <w:sz w:val="24"/>
          <w:szCs w:val="24"/>
        </w:rPr>
        <w:t xml:space="preserve">: </w:t>
      </w:r>
      <w:r w:rsidRPr="0052113D">
        <w:rPr>
          <w:rFonts w:ascii="Times New Roman" w:hAnsi="Times New Roman" w:cs="Times New Roman"/>
          <w:bCs/>
          <w:sz w:val="24"/>
          <w:szCs w:val="24"/>
        </w:rPr>
        <w:t>Characteristics of Interviewees and Profile of the Firms they Represent</w:t>
      </w:r>
    </w:p>
    <w:tbl>
      <w:tblPr>
        <w:tblStyle w:val="ListTable6Colorful-Accent5"/>
        <w:tblW w:w="8925" w:type="dxa"/>
        <w:jc w:val="center"/>
        <w:tblLayout w:type="fixed"/>
        <w:tblLook w:val="04A0" w:firstRow="1" w:lastRow="0" w:firstColumn="1" w:lastColumn="0" w:noHBand="0" w:noVBand="1"/>
      </w:tblPr>
      <w:tblGrid>
        <w:gridCol w:w="1062"/>
        <w:gridCol w:w="923"/>
        <w:gridCol w:w="1276"/>
        <w:gridCol w:w="1275"/>
        <w:gridCol w:w="709"/>
        <w:gridCol w:w="1134"/>
        <w:gridCol w:w="1134"/>
        <w:gridCol w:w="701"/>
        <w:gridCol w:w="711"/>
      </w:tblGrid>
      <w:tr w:rsidR="003F40E8" w:rsidRPr="0052113D" w14:paraId="734D1445" w14:textId="77777777" w:rsidTr="00626F3E">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062" w:type="dxa"/>
            <w:tcBorders>
              <w:top w:val="single" w:sz="4" w:space="0" w:color="auto"/>
              <w:left w:val="nil"/>
              <w:bottom w:val="single" w:sz="4" w:space="0" w:color="auto"/>
              <w:right w:val="nil"/>
            </w:tcBorders>
            <w:vAlign w:val="center"/>
          </w:tcPr>
          <w:p w14:paraId="61B8BE0A" w14:textId="77777777" w:rsidR="003F40E8" w:rsidRPr="0052113D" w:rsidRDefault="003F40E8" w:rsidP="003F40E8">
            <w:pPr>
              <w:pStyle w:val="ListParagraph"/>
              <w:spacing w:after="0"/>
              <w:ind w:left="0"/>
              <w:rPr>
                <w:rFonts w:ascii="Times New Roman" w:hAnsi="Times New Roman"/>
                <w:color w:val="auto"/>
                <w:sz w:val="20"/>
                <w:szCs w:val="20"/>
              </w:rPr>
            </w:pPr>
          </w:p>
        </w:tc>
        <w:tc>
          <w:tcPr>
            <w:tcW w:w="5316" w:type="dxa"/>
            <w:gridSpan w:val="5"/>
            <w:tcBorders>
              <w:top w:val="single" w:sz="4" w:space="0" w:color="auto"/>
              <w:left w:val="nil"/>
              <w:bottom w:val="single" w:sz="4" w:space="0" w:color="auto"/>
              <w:right w:val="nil"/>
            </w:tcBorders>
            <w:vAlign w:val="center"/>
            <w:hideMark/>
          </w:tcPr>
          <w:p w14:paraId="075F82D7" w14:textId="77777777" w:rsidR="003F40E8" w:rsidRPr="00680C6F" w:rsidRDefault="003F40E8" w:rsidP="003F40E8">
            <w:pPr>
              <w:pStyle w:val="ListParagraph"/>
              <w:spacing w:after="0"/>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auto"/>
                <w:sz w:val="20"/>
                <w:szCs w:val="20"/>
              </w:rPr>
            </w:pPr>
            <w:r w:rsidRPr="00680C6F">
              <w:rPr>
                <w:rFonts w:ascii="Times New Roman" w:hAnsi="Times New Roman"/>
                <w:b w:val="0"/>
                <w:bCs w:val="0"/>
                <w:color w:val="auto"/>
                <w:sz w:val="20"/>
                <w:szCs w:val="20"/>
              </w:rPr>
              <w:t>Respondents Profile</w:t>
            </w:r>
          </w:p>
        </w:tc>
        <w:tc>
          <w:tcPr>
            <w:tcW w:w="2546" w:type="dxa"/>
            <w:gridSpan w:val="3"/>
            <w:tcBorders>
              <w:top w:val="single" w:sz="4" w:space="0" w:color="auto"/>
              <w:left w:val="nil"/>
              <w:bottom w:val="single" w:sz="4" w:space="0" w:color="auto"/>
              <w:right w:val="nil"/>
            </w:tcBorders>
            <w:vAlign w:val="center"/>
            <w:hideMark/>
          </w:tcPr>
          <w:p w14:paraId="762B3996" w14:textId="77777777" w:rsidR="003F40E8" w:rsidRPr="00680C6F" w:rsidRDefault="003F40E8" w:rsidP="003F40E8">
            <w:pPr>
              <w:pStyle w:val="ListParagraph"/>
              <w:spacing w:after="0"/>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auto"/>
                <w:sz w:val="20"/>
                <w:szCs w:val="20"/>
              </w:rPr>
            </w:pPr>
            <w:r w:rsidRPr="00680C6F">
              <w:rPr>
                <w:rFonts w:ascii="Times New Roman" w:hAnsi="Times New Roman"/>
                <w:b w:val="0"/>
                <w:bCs w:val="0"/>
                <w:color w:val="auto"/>
                <w:sz w:val="20"/>
                <w:szCs w:val="20"/>
              </w:rPr>
              <w:t>Firm’s Profile</w:t>
            </w:r>
          </w:p>
        </w:tc>
      </w:tr>
      <w:tr w:rsidR="00680C6F" w:rsidRPr="0052113D" w14:paraId="459EF71B" w14:textId="77777777" w:rsidTr="00626F3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062" w:type="dxa"/>
            <w:tcBorders>
              <w:top w:val="single" w:sz="4" w:space="0" w:color="auto"/>
              <w:left w:val="nil"/>
              <w:bottom w:val="single" w:sz="4" w:space="0" w:color="auto"/>
              <w:right w:val="nil"/>
            </w:tcBorders>
            <w:shd w:val="clear" w:color="auto" w:fill="auto"/>
            <w:vAlign w:val="center"/>
            <w:hideMark/>
          </w:tcPr>
          <w:p w14:paraId="6F0F80BE" w14:textId="77777777" w:rsidR="003F40E8" w:rsidRPr="00680C6F" w:rsidRDefault="003F40E8" w:rsidP="003F40E8">
            <w:pPr>
              <w:pStyle w:val="ListParagraph"/>
              <w:spacing w:after="0"/>
              <w:ind w:left="0"/>
              <w:jc w:val="center"/>
              <w:rPr>
                <w:rFonts w:ascii="Times New Roman" w:hAnsi="Times New Roman"/>
                <w:b w:val="0"/>
                <w:bCs w:val="0"/>
                <w:color w:val="auto"/>
                <w:sz w:val="20"/>
                <w:szCs w:val="20"/>
              </w:rPr>
            </w:pPr>
            <w:r w:rsidRPr="00680C6F">
              <w:rPr>
                <w:rFonts w:ascii="Times New Roman" w:hAnsi="Times New Roman"/>
                <w:b w:val="0"/>
                <w:bCs w:val="0"/>
                <w:color w:val="auto"/>
                <w:sz w:val="20"/>
                <w:szCs w:val="20"/>
              </w:rPr>
              <w:t>Respondent</w:t>
            </w:r>
          </w:p>
        </w:tc>
        <w:tc>
          <w:tcPr>
            <w:tcW w:w="923" w:type="dxa"/>
            <w:tcBorders>
              <w:top w:val="single" w:sz="4" w:space="0" w:color="auto"/>
              <w:left w:val="nil"/>
              <w:bottom w:val="single" w:sz="4" w:space="0" w:color="auto"/>
              <w:right w:val="nil"/>
            </w:tcBorders>
            <w:shd w:val="clear" w:color="auto" w:fill="auto"/>
            <w:vAlign w:val="center"/>
            <w:hideMark/>
          </w:tcPr>
          <w:p w14:paraId="40CAE598" w14:textId="77777777" w:rsidR="003F40E8" w:rsidRPr="00680C6F" w:rsidRDefault="003F40E8" w:rsidP="003F40E8">
            <w:pPr>
              <w:pStyle w:val="ListParagraph"/>
              <w:spacing w:after="0"/>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680C6F">
              <w:rPr>
                <w:rFonts w:ascii="Times New Roman" w:hAnsi="Times New Roman"/>
                <w:color w:val="auto"/>
                <w:sz w:val="20"/>
                <w:szCs w:val="20"/>
              </w:rPr>
              <w:t>Gender</w:t>
            </w:r>
          </w:p>
        </w:tc>
        <w:tc>
          <w:tcPr>
            <w:tcW w:w="1276" w:type="dxa"/>
            <w:tcBorders>
              <w:top w:val="single" w:sz="4" w:space="0" w:color="auto"/>
              <w:left w:val="nil"/>
              <w:bottom w:val="single" w:sz="4" w:space="0" w:color="auto"/>
              <w:right w:val="nil"/>
            </w:tcBorders>
            <w:shd w:val="clear" w:color="auto" w:fill="auto"/>
            <w:vAlign w:val="center"/>
            <w:hideMark/>
          </w:tcPr>
          <w:p w14:paraId="42D6D9B3" w14:textId="77777777" w:rsidR="003F40E8" w:rsidRPr="00680C6F" w:rsidRDefault="003F40E8" w:rsidP="003F40E8">
            <w:pPr>
              <w:pStyle w:val="ListParagraph"/>
              <w:spacing w:after="0"/>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680C6F">
              <w:rPr>
                <w:rFonts w:ascii="Times New Roman" w:hAnsi="Times New Roman"/>
                <w:color w:val="auto"/>
                <w:sz w:val="20"/>
                <w:szCs w:val="20"/>
              </w:rPr>
              <w:t>Educational Qualification</w:t>
            </w:r>
          </w:p>
        </w:tc>
        <w:tc>
          <w:tcPr>
            <w:tcW w:w="1275" w:type="dxa"/>
            <w:tcBorders>
              <w:top w:val="single" w:sz="4" w:space="0" w:color="auto"/>
              <w:left w:val="nil"/>
              <w:bottom w:val="single" w:sz="4" w:space="0" w:color="auto"/>
              <w:right w:val="nil"/>
            </w:tcBorders>
            <w:shd w:val="clear" w:color="auto" w:fill="auto"/>
            <w:vAlign w:val="center"/>
            <w:hideMark/>
          </w:tcPr>
          <w:p w14:paraId="476A8DEE" w14:textId="77777777" w:rsidR="003F40E8" w:rsidRPr="00680C6F" w:rsidRDefault="003F40E8" w:rsidP="003F40E8">
            <w:pPr>
              <w:pStyle w:val="ListParagraph"/>
              <w:spacing w:after="0"/>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680C6F">
              <w:rPr>
                <w:rFonts w:ascii="Times New Roman" w:hAnsi="Times New Roman"/>
                <w:color w:val="auto"/>
                <w:sz w:val="20"/>
                <w:szCs w:val="20"/>
              </w:rPr>
              <w:t>Professional Qualification</w:t>
            </w:r>
          </w:p>
        </w:tc>
        <w:tc>
          <w:tcPr>
            <w:tcW w:w="709" w:type="dxa"/>
            <w:tcBorders>
              <w:top w:val="single" w:sz="4" w:space="0" w:color="auto"/>
              <w:left w:val="nil"/>
              <w:bottom w:val="single" w:sz="4" w:space="0" w:color="auto"/>
              <w:right w:val="nil"/>
            </w:tcBorders>
            <w:shd w:val="clear" w:color="auto" w:fill="auto"/>
            <w:vAlign w:val="center"/>
            <w:hideMark/>
          </w:tcPr>
          <w:p w14:paraId="5DD3BE7F" w14:textId="77777777" w:rsidR="003F40E8" w:rsidRPr="00680C6F" w:rsidRDefault="003F40E8" w:rsidP="003F40E8">
            <w:pPr>
              <w:pStyle w:val="ListParagraph"/>
              <w:spacing w:after="0"/>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680C6F">
              <w:rPr>
                <w:rFonts w:ascii="Times New Roman" w:hAnsi="Times New Roman"/>
                <w:color w:val="auto"/>
                <w:sz w:val="20"/>
                <w:szCs w:val="20"/>
              </w:rPr>
              <w:t>Year of Experience</w:t>
            </w:r>
          </w:p>
        </w:tc>
        <w:tc>
          <w:tcPr>
            <w:tcW w:w="1134" w:type="dxa"/>
            <w:tcBorders>
              <w:top w:val="single" w:sz="4" w:space="0" w:color="auto"/>
              <w:left w:val="nil"/>
              <w:bottom w:val="single" w:sz="4" w:space="0" w:color="auto"/>
              <w:right w:val="nil"/>
            </w:tcBorders>
            <w:shd w:val="clear" w:color="auto" w:fill="auto"/>
            <w:vAlign w:val="center"/>
            <w:hideMark/>
          </w:tcPr>
          <w:p w14:paraId="1F400294" w14:textId="77777777" w:rsidR="003F40E8" w:rsidRPr="00680C6F" w:rsidRDefault="003F40E8" w:rsidP="003F40E8">
            <w:pPr>
              <w:pStyle w:val="ListParagraph"/>
              <w:spacing w:after="0"/>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680C6F">
              <w:rPr>
                <w:rFonts w:ascii="Times New Roman" w:hAnsi="Times New Roman"/>
                <w:color w:val="auto"/>
                <w:sz w:val="20"/>
                <w:szCs w:val="20"/>
              </w:rPr>
              <w:t>Position</w:t>
            </w:r>
          </w:p>
        </w:tc>
        <w:tc>
          <w:tcPr>
            <w:tcW w:w="1134" w:type="dxa"/>
            <w:tcBorders>
              <w:top w:val="single" w:sz="4" w:space="0" w:color="auto"/>
              <w:left w:val="nil"/>
              <w:bottom w:val="single" w:sz="4" w:space="0" w:color="auto"/>
              <w:right w:val="nil"/>
            </w:tcBorders>
            <w:shd w:val="clear" w:color="auto" w:fill="auto"/>
            <w:vAlign w:val="center"/>
            <w:hideMark/>
          </w:tcPr>
          <w:p w14:paraId="75AFA594" w14:textId="77777777" w:rsidR="003F40E8" w:rsidRPr="00680C6F" w:rsidRDefault="003F40E8" w:rsidP="003F40E8">
            <w:pPr>
              <w:pStyle w:val="ListParagraph"/>
              <w:spacing w:after="0"/>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680C6F">
              <w:rPr>
                <w:rFonts w:ascii="Times New Roman" w:hAnsi="Times New Roman"/>
                <w:color w:val="auto"/>
                <w:sz w:val="20"/>
                <w:szCs w:val="20"/>
              </w:rPr>
              <w:t xml:space="preserve">Asset Base </w:t>
            </w:r>
          </w:p>
          <w:p w14:paraId="6E701959" w14:textId="77777777" w:rsidR="003F40E8" w:rsidRPr="00680C6F" w:rsidRDefault="003F40E8" w:rsidP="003F40E8">
            <w:pPr>
              <w:pStyle w:val="ListParagraph"/>
              <w:spacing w:after="0"/>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680C6F">
              <w:rPr>
                <w:rFonts w:ascii="Times New Roman" w:hAnsi="Times New Roman"/>
                <w:color w:val="auto"/>
                <w:sz w:val="20"/>
                <w:szCs w:val="20"/>
              </w:rPr>
              <w:t>(₦)</w:t>
            </w:r>
          </w:p>
        </w:tc>
        <w:tc>
          <w:tcPr>
            <w:tcW w:w="701" w:type="dxa"/>
            <w:tcBorders>
              <w:top w:val="single" w:sz="4" w:space="0" w:color="auto"/>
              <w:left w:val="nil"/>
              <w:bottom w:val="single" w:sz="4" w:space="0" w:color="auto"/>
              <w:right w:val="nil"/>
            </w:tcBorders>
            <w:shd w:val="clear" w:color="auto" w:fill="auto"/>
            <w:vAlign w:val="center"/>
            <w:hideMark/>
          </w:tcPr>
          <w:p w14:paraId="5D894B77" w14:textId="77777777" w:rsidR="003F40E8" w:rsidRPr="00680C6F" w:rsidRDefault="003F40E8" w:rsidP="003F40E8">
            <w:pPr>
              <w:pStyle w:val="ListParagraph"/>
              <w:spacing w:after="0"/>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680C6F">
              <w:rPr>
                <w:rFonts w:ascii="Times New Roman" w:hAnsi="Times New Roman"/>
                <w:color w:val="auto"/>
                <w:sz w:val="20"/>
                <w:szCs w:val="20"/>
              </w:rPr>
              <w:t>Year of Establishment</w:t>
            </w:r>
          </w:p>
        </w:tc>
        <w:tc>
          <w:tcPr>
            <w:tcW w:w="711" w:type="dxa"/>
            <w:tcBorders>
              <w:top w:val="single" w:sz="4" w:space="0" w:color="auto"/>
              <w:left w:val="nil"/>
              <w:bottom w:val="single" w:sz="4" w:space="0" w:color="auto"/>
              <w:right w:val="nil"/>
            </w:tcBorders>
            <w:shd w:val="clear" w:color="auto" w:fill="auto"/>
            <w:vAlign w:val="center"/>
            <w:hideMark/>
          </w:tcPr>
          <w:p w14:paraId="7720EFDD" w14:textId="77777777" w:rsidR="003F40E8" w:rsidRPr="00680C6F" w:rsidRDefault="003F40E8" w:rsidP="003F40E8">
            <w:pPr>
              <w:pStyle w:val="ListParagraph"/>
              <w:spacing w:after="0"/>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680C6F">
              <w:rPr>
                <w:rFonts w:ascii="Times New Roman" w:hAnsi="Times New Roman"/>
                <w:color w:val="auto"/>
                <w:sz w:val="20"/>
                <w:szCs w:val="20"/>
              </w:rPr>
              <w:t>Ownership Type</w:t>
            </w:r>
          </w:p>
        </w:tc>
      </w:tr>
      <w:tr w:rsidR="003F40E8" w:rsidRPr="0052113D" w14:paraId="6128045D" w14:textId="77777777" w:rsidTr="00626F3E">
        <w:trPr>
          <w:trHeight w:val="397"/>
          <w:jc w:val="center"/>
        </w:trPr>
        <w:tc>
          <w:tcPr>
            <w:cnfStyle w:val="001000000000" w:firstRow="0" w:lastRow="0" w:firstColumn="1" w:lastColumn="0" w:oddVBand="0" w:evenVBand="0" w:oddHBand="0" w:evenHBand="0" w:firstRowFirstColumn="0" w:firstRowLastColumn="0" w:lastRowFirstColumn="0" w:lastRowLastColumn="0"/>
            <w:tcW w:w="1062" w:type="dxa"/>
            <w:tcBorders>
              <w:top w:val="single" w:sz="4" w:space="0" w:color="auto"/>
              <w:left w:val="nil"/>
              <w:bottom w:val="nil"/>
              <w:right w:val="nil"/>
            </w:tcBorders>
            <w:vAlign w:val="center"/>
            <w:hideMark/>
          </w:tcPr>
          <w:p w14:paraId="7E7AB087" w14:textId="77777777" w:rsidR="003F40E8" w:rsidRPr="0052113D" w:rsidRDefault="003F40E8" w:rsidP="003F40E8">
            <w:pPr>
              <w:pStyle w:val="ListParagraph"/>
              <w:spacing w:after="0"/>
              <w:ind w:left="0"/>
              <w:rPr>
                <w:rFonts w:ascii="Times New Roman" w:hAnsi="Times New Roman"/>
                <w:b w:val="0"/>
                <w:color w:val="auto"/>
                <w:sz w:val="20"/>
                <w:szCs w:val="20"/>
                <w:lang w:val="en-US"/>
              </w:rPr>
            </w:pPr>
            <w:r w:rsidRPr="0052113D">
              <w:rPr>
                <w:rFonts w:ascii="Times New Roman" w:hAnsi="Times New Roman"/>
                <w:b w:val="0"/>
                <w:color w:val="auto"/>
                <w:sz w:val="20"/>
                <w:szCs w:val="20"/>
                <w:lang w:val="en-US"/>
              </w:rPr>
              <w:t>Resp 1</w:t>
            </w:r>
          </w:p>
        </w:tc>
        <w:tc>
          <w:tcPr>
            <w:tcW w:w="923" w:type="dxa"/>
            <w:tcBorders>
              <w:top w:val="single" w:sz="4" w:space="0" w:color="auto"/>
              <w:left w:val="nil"/>
              <w:bottom w:val="nil"/>
              <w:right w:val="nil"/>
            </w:tcBorders>
            <w:vAlign w:val="center"/>
            <w:hideMark/>
          </w:tcPr>
          <w:p w14:paraId="43D3368F"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Male</w:t>
            </w:r>
          </w:p>
        </w:tc>
        <w:tc>
          <w:tcPr>
            <w:tcW w:w="1276" w:type="dxa"/>
            <w:tcBorders>
              <w:top w:val="single" w:sz="4" w:space="0" w:color="auto"/>
              <w:left w:val="nil"/>
              <w:bottom w:val="nil"/>
              <w:right w:val="nil"/>
            </w:tcBorders>
            <w:vAlign w:val="center"/>
            <w:hideMark/>
          </w:tcPr>
          <w:p w14:paraId="18E0EE2F"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M.Sc.</w:t>
            </w:r>
          </w:p>
        </w:tc>
        <w:tc>
          <w:tcPr>
            <w:tcW w:w="1275" w:type="dxa"/>
            <w:tcBorders>
              <w:top w:val="single" w:sz="4" w:space="0" w:color="auto"/>
              <w:left w:val="nil"/>
              <w:bottom w:val="nil"/>
              <w:right w:val="nil"/>
            </w:tcBorders>
            <w:vAlign w:val="center"/>
            <w:hideMark/>
          </w:tcPr>
          <w:p w14:paraId="081E3993"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NIOB</w:t>
            </w:r>
          </w:p>
        </w:tc>
        <w:tc>
          <w:tcPr>
            <w:tcW w:w="709" w:type="dxa"/>
            <w:tcBorders>
              <w:top w:val="single" w:sz="4" w:space="0" w:color="auto"/>
              <w:left w:val="nil"/>
              <w:bottom w:val="nil"/>
              <w:right w:val="nil"/>
            </w:tcBorders>
            <w:vAlign w:val="center"/>
            <w:hideMark/>
          </w:tcPr>
          <w:p w14:paraId="0A936E3C"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22</w:t>
            </w:r>
          </w:p>
        </w:tc>
        <w:tc>
          <w:tcPr>
            <w:tcW w:w="1134" w:type="dxa"/>
            <w:tcBorders>
              <w:top w:val="single" w:sz="4" w:space="0" w:color="auto"/>
              <w:left w:val="nil"/>
              <w:bottom w:val="nil"/>
              <w:right w:val="nil"/>
            </w:tcBorders>
            <w:vAlign w:val="center"/>
            <w:hideMark/>
          </w:tcPr>
          <w:p w14:paraId="54F89F41"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Project Manager</w:t>
            </w:r>
          </w:p>
        </w:tc>
        <w:tc>
          <w:tcPr>
            <w:tcW w:w="1134" w:type="dxa"/>
            <w:tcBorders>
              <w:top w:val="single" w:sz="4" w:space="0" w:color="auto"/>
              <w:left w:val="nil"/>
              <w:bottom w:val="nil"/>
              <w:right w:val="nil"/>
            </w:tcBorders>
            <w:vAlign w:val="center"/>
            <w:hideMark/>
          </w:tcPr>
          <w:p w14:paraId="610267F0"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751million –1billion</w:t>
            </w:r>
          </w:p>
        </w:tc>
        <w:tc>
          <w:tcPr>
            <w:tcW w:w="701" w:type="dxa"/>
            <w:tcBorders>
              <w:top w:val="single" w:sz="4" w:space="0" w:color="auto"/>
              <w:left w:val="nil"/>
              <w:bottom w:val="nil"/>
              <w:right w:val="nil"/>
            </w:tcBorders>
            <w:vAlign w:val="center"/>
            <w:hideMark/>
          </w:tcPr>
          <w:p w14:paraId="345A4E89"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22</w:t>
            </w:r>
          </w:p>
        </w:tc>
        <w:tc>
          <w:tcPr>
            <w:tcW w:w="711" w:type="dxa"/>
            <w:tcBorders>
              <w:top w:val="single" w:sz="4" w:space="0" w:color="auto"/>
              <w:left w:val="nil"/>
              <w:bottom w:val="nil"/>
              <w:right w:val="nil"/>
            </w:tcBorders>
            <w:vAlign w:val="center"/>
            <w:hideMark/>
          </w:tcPr>
          <w:p w14:paraId="0783AA46"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Partnership</w:t>
            </w:r>
          </w:p>
        </w:tc>
      </w:tr>
      <w:tr w:rsidR="00680C6F" w:rsidRPr="0052113D" w14:paraId="6114267F" w14:textId="77777777" w:rsidTr="00626F3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062" w:type="dxa"/>
            <w:tcBorders>
              <w:top w:val="nil"/>
              <w:left w:val="nil"/>
              <w:bottom w:val="nil"/>
              <w:right w:val="nil"/>
            </w:tcBorders>
            <w:shd w:val="clear" w:color="auto" w:fill="auto"/>
            <w:vAlign w:val="center"/>
            <w:hideMark/>
          </w:tcPr>
          <w:p w14:paraId="573C41D2" w14:textId="77777777" w:rsidR="003F40E8" w:rsidRPr="0052113D" w:rsidRDefault="003F40E8" w:rsidP="003F40E8">
            <w:pPr>
              <w:pStyle w:val="ListParagraph"/>
              <w:spacing w:after="0"/>
              <w:ind w:left="0"/>
              <w:rPr>
                <w:rFonts w:ascii="Times New Roman" w:hAnsi="Times New Roman"/>
                <w:color w:val="auto"/>
                <w:sz w:val="20"/>
                <w:szCs w:val="20"/>
                <w:lang w:val="en-US"/>
              </w:rPr>
            </w:pPr>
            <w:r w:rsidRPr="0052113D">
              <w:rPr>
                <w:rFonts w:ascii="Times New Roman" w:hAnsi="Times New Roman"/>
                <w:b w:val="0"/>
                <w:color w:val="auto"/>
                <w:sz w:val="20"/>
                <w:szCs w:val="20"/>
                <w:lang w:val="en-US"/>
              </w:rPr>
              <w:t>Resp 2</w:t>
            </w:r>
          </w:p>
        </w:tc>
        <w:tc>
          <w:tcPr>
            <w:tcW w:w="923" w:type="dxa"/>
            <w:tcBorders>
              <w:top w:val="nil"/>
              <w:left w:val="nil"/>
              <w:bottom w:val="nil"/>
              <w:right w:val="nil"/>
            </w:tcBorders>
            <w:shd w:val="clear" w:color="auto" w:fill="auto"/>
            <w:vAlign w:val="center"/>
            <w:hideMark/>
          </w:tcPr>
          <w:p w14:paraId="3DB5ED8E"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Female</w:t>
            </w:r>
          </w:p>
        </w:tc>
        <w:tc>
          <w:tcPr>
            <w:tcW w:w="1276" w:type="dxa"/>
            <w:tcBorders>
              <w:top w:val="nil"/>
              <w:left w:val="nil"/>
              <w:bottom w:val="nil"/>
              <w:right w:val="nil"/>
            </w:tcBorders>
            <w:shd w:val="clear" w:color="auto" w:fill="auto"/>
            <w:vAlign w:val="center"/>
            <w:hideMark/>
          </w:tcPr>
          <w:p w14:paraId="07673961"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lang w:val="en-US"/>
              </w:rPr>
              <w:t>B.Sc.</w:t>
            </w:r>
          </w:p>
        </w:tc>
        <w:tc>
          <w:tcPr>
            <w:tcW w:w="1275" w:type="dxa"/>
            <w:tcBorders>
              <w:top w:val="nil"/>
              <w:left w:val="nil"/>
              <w:bottom w:val="nil"/>
              <w:right w:val="nil"/>
            </w:tcBorders>
            <w:shd w:val="clear" w:color="auto" w:fill="auto"/>
            <w:vAlign w:val="center"/>
            <w:hideMark/>
          </w:tcPr>
          <w:p w14:paraId="1E10FB15"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NIESV</w:t>
            </w:r>
          </w:p>
        </w:tc>
        <w:tc>
          <w:tcPr>
            <w:tcW w:w="709" w:type="dxa"/>
            <w:tcBorders>
              <w:top w:val="nil"/>
              <w:left w:val="nil"/>
              <w:bottom w:val="nil"/>
              <w:right w:val="nil"/>
            </w:tcBorders>
            <w:shd w:val="clear" w:color="auto" w:fill="auto"/>
            <w:vAlign w:val="center"/>
            <w:hideMark/>
          </w:tcPr>
          <w:p w14:paraId="0C7D1AFD"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13</w:t>
            </w:r>
          </w:p>
        </w:tc>
        <w:tc>
          <w:tcPr>
            <w:tcW w:w="1134" w:type="dxa"/>
            <w:tcBorders>
              <w:top w:val="nil"/>
              <w:left w:val="nil"/>
              <w:bottom w:val="nil"/>
              <w:right w:val="nil"/>
            </w:tcBorders>
            <w:shd w:val="clear" w:color="auto" w:fill="auto"/>
            <w:vAlign w:val="center"/>
            <w:hideMark/>
          </w:tcPr>
          <w:p w14:paraId="368124E4"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Property Manager</w:t>
            </w:r>
          </w:p>
        </w:tc>
        <w:tc>
          <w:tcPr>
            <w:tcW w:w="1134" w:type="dxa"/>
            <w:tcBorders>
              <w:top w:val="nil"/>
              <w:left w:val="nil"/>
              <w:bottom w:val="nil"/>
              <w:right w:val="nil"/>
            </w:tcBorders>
            <w:shd w:val="clear" w:color="auto" w:fill="auto"/>
            <w:vAlign w:val="center"/>
            <w:hideMark/>
          </w:tcPr>
          <w:p w14:paraId="13711586"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251million – 500million</w:t>
            </w:r>
          </w:p>
        </w:tc>
        <w:tc>
          <w:tcPr>
            <w:tcW w:w="701" w:type="dxa"/>
            <w:tcBorders>
              <w:top w:val="nil"/>
              <w:left w:val="nil"/>
              <w:bottom w:val="nil"/>
              <w:right w:val="nil"/>
            </w:tcBorders>
            <w:shd w:val="clear" w:color="auto" w:fill="auto"/>
            <w:vAlign w:val="center"/>
            <w:hideMark/>
          </w:tcPr>
          <w:p w14:paraId="74536F39"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5</w:t>
            </w:r>
          </w:p>
        </w:tc>
        <w:tc>
          <w:tcPr>
            <w:tcW w:w="711" w:type="dxa"/>
            <w:tcBorders>
              <w:top w:val="nil"/>
              <w:left w:val="nil"/>
              <w:bottom w:val="nil"/>
              <w:right w:val="nil"/>
            </w:tcBorders>
            <w:shd w:val="clear" w:color="auto" w:fill="auto"/>
            <w:vAlign w:val="center"/>
            <w:hideMark/>
          </w:tcPr>
          <w:p w14:paraId="3FDECABA"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Partnership</w:t>
            </w:r>
          </w:p>
        </w:tc>
      </w:tr>
      <w:tr w:rsidR="003F40E8" w:rsidRPr="0052113D" w14:paraId="42F188AF" w14:textId="77777777" w:rsidTr="00626F3E">
        <w:trPr>
          <w:trHeight w:val="397"/>
          <w:jc w:val="center"/>
        </w:trPr>
        <w:tc>
          <w:tcPr>
            <w:cnfStyle w:val="001000000000" w:firstRow="0" w:lastRow="0" w:firstColumn="1" w:lastColumn="0" w:oddVBand="0" w:evenVBand="0" w:oddHBand="0" w:evenHBand="0" w:firstRowFirstColumn="0" w:firstRowLastColumn="0" w:lastRowFirstColumn="0" w:lastRowLastColumn="0"/>
            <w:tcW w:w="1062" w:type="dxa"/>
            <w:tcBorders>
              <w:top w:val="nil"/>
              <w:left w:val="nil"/>
              <w:bottom w:val="nil"/>
              <w:right w:val="nil"/>
            </w:tcBorders>
            <w:vAlign w:val="center"/>
            <w:hideMark/>
          </w:tcPr>
          <w:p w14:paraId="5D15C9AD" w14:textId="77777777" w:rsidR="003F40E8" w:rsidRPr="0052113D" w:rsidRDefault="003F40E8" w:rsidP="003F40E8">
            <w:pPr>
              <w:pStyle w:val="ListParagraph"/>
              <w:spacing w:after="0"/>
              <w:ind w:left="0"/>
              <w:rPr>
                <w:rFonts w:ascii="Times New Roman" w:hAnsi="Times New Roman"/>
                <w:b w:val="0"/>
                <w:color w:val="auto"/>
                <w:sz w:val="20"/>
                <w:szCs w:val="20"/>
              </w:rPr>
            </w:pPr>
            <w:r w:rsidRPr="0052113D">
              <w:rPr>
                <w:rFonts w:ascii="Times New Roman" w:hAnsi="Times New Roman"/>
                <w:b w:val="0"/>
                <w:color w:val="auto"/>
                <w:sz w:val="20"/>
                <w:szCs w:val="20"/>
                <w:lang w:val="en-US"/>
              </w:rPr>
              <w:t>Resp 3</w:t>
            </w:r>
          </w:p>
        </w:tc>
        <w:tc>
          <w:tcPr>
            <w:tcW w:w="923" w:type="dxa"/>
            <w:tcBorders>
              <w:top w:val="nil"/>
              <w:left w:val="nil"/>
              <w:bottom w:val="nil"/>
              <w:right w:val="nil"/>
            </w:tcBorders>
            <w:vAlign w:val="center"/>
            <w:hideMark/>
          </w:tcPr>
          <w:p w14:paraId="27E6CF23"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0"/>
                <w:szCs w:val="20"/>
              </w:rPr>
            </w:pPr>
            <w:r w:rsidRPr="0052113D">
              <w:rPr>
                <w:rFonts w:ascii="Times New Roman" w:hAnsi="Times New Roman"/>
                <w:color w:val="auto"/>
                <w:sz w:val="20"/>
                <w:szCs w:val="20"/>
                <w:lang w:val="en-US"/>
              </w:rPr>
              <w:t>Male</w:t>
            </w:r>
          </w:p>
        </w:tc>
        <w:tc>
          <w:tcPr>
            <w:tcW w:w="1276" w:type="dxa"/>
            <w:tcBorders>
              <w:top w:val="nil"/>
              <w:left w:val="nil"/>
              <w:bottom w:val="nil"/>
              <w:right w:val="nil"/>
            </w:tcBorders>
            <w:vAlign w:val="center"/>
            <w:hideMark/>
          </w:tcPr>
          <w:p w14:paraId="5CA52AA9"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0"/>
                <w:szCs w:val="20"/>
              </w:rPr>
            </w:pPr>
            <w:r w:rsidRPr="0052113D">
              <w:rPr>
                <w:rFonts w:ascii="Times New Roman" w:hAnsi="Times New Roman"/>
                <w:color w:val="auto"/>
                <w:sz w:val="20"/>
                <w:szCs w:val="20"/>
              </w:rPr>
              <w:t>M.Sc.</w:t>
            </w:r>
          </w:p>
        </w:tc>
        <w:tc>
          <w:tcPr>
            <w:tcW w:w="1275" w:type="dxa"/>
            <w:tcBorders>
              <w:top w:val="nil"/>
              <w:left w:val="nil"/>
              <w:bottom w:val="nil"/>
              <w:right w:val="nil"/>
            </w:tcBorders>
            <w:vAlign w:val="center"/>
            <w:hideMark/>
          </w:tcPr>
          <w:p w14:paraId="47627108"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NIOB</w:t>
            </w:r>
          </w:p>
        </w:tc>
        <w:tc>
          <w:tcPr>
            <w:tcW w:w="709" w:type="dxa"/>
            <w:tcBorders>
              <w:top w:val="nil"/>
              <w:left w:val="nil"/>
              <w:bottom w:val="nil"/>
              <w:right w:val="nil"/>
            </w:tcBorders>
            <w:vAlign w:val="center"/>
            <w:hideMark/>
          </w:tcPr>
          <w:p w14:paraId="26971F5E"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15</w:t>
            </w:r>
          </w:p>
        </w:tc>
        <w:tc>
          <w:tcPr>
            <w:tcW w:w="1134" w:type="dxa"/>
            <w:tcBorders>
              <w:top w:val="nil"/>
              <w:left w:val="nil"/>
              <w:bottom w:val="nil"/>
              <w:right w:val="nil"/>
            </w:tcBorders>
            <w:vAlign w:val="center"/>
            <w:hideMark/>
          </w:tcPr>
          <w:p w14:paraId="0E9B1C5D"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Project Manager</w:t>
            </w:r>
          </w:p>
        </w:tc>
        <w:tc>
          <w:tcPr>
            <w:tcW w:w="1134" w:type="dxa"/>
            <w:tcBorders>
              <w:top w:val="nil"/>
              <w:left w:val="nil"/>
              <w:bottom w:val="nil"/>
              <w:right w:val="nil"/>
            </w:tcBorders>
            <w:vAlign w:val="center"/>
            <w:hideMark/>
          </w:tcPr>
          <w:p w14:paraId="6F9BCCA3"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Up to 250million</w:t>
            </w:r>
          </w:p>
        </w:tc>
        <w:tc>
          <w:tcPr>
            <w:tcW w:w="701" w:type="dxa"/>
            <w:tcBorders>
              <w:top w:val="nil"/>
              <w:left w:val="nil"/>
              <w:bottom w:val="nil"/>
              <w:right w:val="nil"/>
            </w:tcBorders>
            <w:vAlign w:val="center"/>
            <w:hideMark/>
          </w:tcPr>
          <w:p w14:paraId="4706738A"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10</w:t>
            </w:r>
          </w:p>
        </w:tc>
        <w:tc>
          <w:tcPr>
            <w:tcW w:w="711" w:type="dxa"/>
            <w:tcBorders>
              <w:top w:val="nil"/>
              <w:left w:val="nil"/>
              <w:bottom w:val="nil"/>
              <w:right w:val="nil"/>
            </w:tcBorders>
            <w:vAlign w:val="center"/>
            <w:hideMark/>
          </w:tcPr>
          <w:p w14:paraId="5D8B4561"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SP</w:t>
            </w:r>
          </w:p>
        </w:tc>
      </w:tr>
      <w:tr w:rsidR="00680C6F" w:rsidRPr="0052113D" w14:paraId="6E50DCE8" w14:textId="77777777" w:rsidTr="00626F3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062" w:type="dxa"/>
            <w:tcBorders>
              <w:top w:val="nil"/>
              <w:left w:val="nil"/>
              <w:bottom w:val="nil"/>
              <w:right w:val="nil"/>
            </w:tcBorders>
            <w:shd w:val="clear" w:color="auto" w:fill="auto"/>
            <w:vAlign w:val="center"/>
            <w:hideMark/>
          </w:tcPr>
          <w:p w14:paraId="4715715F" w14:textId="77777777" w:rsidR="003F40E8" w:rsidRPr="0052113D" w:rsidRDefault="003F40E8" w:rsidP="003F40E8">
            <w:pPr>
              <w:pStyle w:val="ListParagraph"/>
              <w:spacing w:after="0"/>
              <w:ind w:left="0"/>
              <w:rPr>
                <w:rFonts w:ascii="Times New Roman" w:hAnsi="Times New Roman"/>
                <w:color w:val="auto"/>
                <w:sz w:val="20"/>
                <w:szCs w:val="20"/>
              </w:rPr>
            </w:pPr>
            <w:r w:rsidRPr="0052113D">
              <w:rPr>
                <w:rFonts w:ascii="Times New Roman" w:hAnsi="Times New Roman"/>
                <w:b w:val="0"/>
                <w:color w:val="auto"/>
                <w:sz w:val="20"/>
                <w:szCs w:val="20"/>
                <w:lang w:val="en-US"/>
              </w:rPr>
              <w:t>Resp 4</w:t>
            </w:r>
          </w:p>
        </w:tc>
        <w:tc>
          <w:tcPr>
            <w:tcW w:w="923" w:type="dxa"/>
            <w:tcBorders>
              <w:top w:val="nil"/>
              <w:left w:val="nil"/>
              <w:bottom w:val="nil"/>
              <w:right w:val="nil"/>
            </w:tcBorders>
            <w:shd w:val="clear" w:color="auto" w:fill="auto"/>
            <w:vAlign w:val="center"/>
            <w:hideMark/>
          </w:tcPr>
          <w:p w14:paraId="1CAB3483"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lang w:val="en-US"/>
              </w:rPr>
              <w:t>Male</w:t>
            </w:r>
          </w:p>
        </w:tc>
        <w:tc>
          <w:tcPr>
            <w:tcW w:w="1276" w:type="dxa"/>
            <w:tcBorders>
              <w:top w:val="nil"/>
              <w:left w:val="nil"/>
              <w:bottom w:val="nil"/>
              <w:right w:val="nil"/>
            </w:tcBorders>
            <w:shd w:val="clear" w:color="auto" w:fill="auto"/>
            <w:vAlign w:val="center"/>
            <w:hideMark/>
          </w:tcPr>
          <w:p w14:paraId="6F0A47C0"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Ph.D.</w:t>
            </w:r>
          </w:p>
        </w:tc>
        <w:tc>
          <w:tcPr>
            <w:tcW w:w="1275" w:type="dxa"/>
            <w:tcBorders>
              <w:top w:val="nil"/>
              <w:left w:val="nil"/>
              <w:bottom w:val="nil"/>
              <w:right w:val="nil"/>
            </w:tcBorders>
            <w:shd w:val="clear" w:color="auto" w:fill="auto"/>
            <w:vAlign w:val="center"/>
            <w:hideMark/>
          </w:tcPr>
          <w:p w14:paraId="786F797F"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NIOB</w:t>
            </w:r>
          </w:p>
        </w:tc>
        <w:tc>
          <w:tcPr>
            <w:tcW w:w="709" w:type="dxa"/>
            <w:tcBorders>
              <w:top w:val="nil"/>
              <w:left w:val="nil"/>
              <w:bottom w:val="nil"/>
              <w:right w:val="nil"/>
            </w:tcBorders>
            <w:shd w:val="clear" w:color="auto" w:fill="auto"/>
            <w:vAlign w:val="center"/>
            <w:hideMark/>
          </w:tcPr>
          <w:p w14:paraId="6794FAF0"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24</w:t>
            </w:r>
          </w:p>
        </w:tc>
        <w:tc>
          <w:tcPr>
            <w:tcW w:w="1134" w:type="dxa"/>
            <w:tcBorders>
              <w:top w:val="nil"/>
              <w:left w:val="nil"/>
              <w:bottom w:val="nil"/>
              <w:right w:val="nil"/>
            </w:tcBorders>
            <w:shd w:val="clear" w:color="auto" w:fill="auto"/>
            <w:vAlign w:val="center"/>
            <w:hideMark/>
          </w:tcPr>
          <w:p w14:paraId="596BC87D"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Managing Director</w:t>
            </w:r>
          </w:p>
        </w:tc>
        <w:tc>
          <w:tcPr>
            <w:tcW w:w="1134" w:type="dxa"/>
            <w:tcBorders>
              <w:top w:val="nil"/>
              <w:left w:val="nil"/>
              <w:bottom w:val="nil"/>
              <w:right w:val="nil"/>
            </w:tcBorders>
            <w:shd w:val="clear" w:color="auto" w:fill="auto"/>
            <w:vAlign w:val="center"/>
            <w:hideMark/>
          </w:tcPr>
          <w:p w14:paraId="16F7548E"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rPr>
              <w:t>Up to 250million</w:t>
            </w:r>
          </w:p>
        </w:tc>
        <w:tc>
          <w:tcPr>
            <w:tcW w:w="701" w:type="dxa"/>
            <w:tcBorders>
              <w:top w:val="nil"/>
              <w:left w:val="nil"/>
              <w:bottom w:val="nil"/>
              <w:right w:val="nil"/>
            </w:tcBorders>
            <w:shd w:val="clear" w:color="auto" w:fill="auto"/>
            <w:vAlign w:val="center"/>
            <w:hideMark/>
          </w:tcPr>
          <w:p w14:paraId="297389B4"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8</w:t>
            </w:r>
          </w:p>
        </w:tc>
        <w:tc>
          <w:tcPr>
            <w:tcW w:w="711" w:type="dxa"/>
            <w:tcBorders>
              <w:top w:val="nil"/>
              <w:left w:val="nil"/>
              <w:bottom w:val="nil"/>
              <w:right w:val="nil"/>
            </w:tcBorders>
            <w:shd w:val="clear" w:color="auto" w:fill="auto"/>
            <w:vAlign w:val="center"/>
            <w:hideMark/>
          </w:tcPr>
          <w:p w14:paraId="5076881F"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rPr>
              <w:t>SP</w:t>
            </w:r>
          </w:p>
        </w:tc>
      </w:tr>
      <w:tr w:rsidR="003F40E8" w:rsidRPr="0052113D" w14:paraId="12124544" w14:textId="77777777" w:rsidTr="00626F3E">
        <w:trPr>
          <w:trHeight w:val="397"/>
          <w:jc w:val="center"/>
        </w:trPr>
        <w:tc>
          <w:tcPr>
            <w:cnfStyle w:val="001000000000" w:firstRow="0" w:lastRow="0" w:firstColumn="1" w:lastColumn="0" w:oddVBand="0" w:evenVBand="0" w:oddHBand="0" w:evenHBand="0" w:firstRowFirstColumn="0" w:firstRowLastColumn="0" w:lastRowFirstColumn="0" w:lastRowLastColumn="0"/>
            <w:tcW w:w="1062" w:type="dxa"/>
            <w:tcBorders>
              <w:top w:val="nil"/>
              <w:left w:val="nil"/>
              <w:bottom w:val="nil"/>
              <w:right w:val="nil"/>
            </w:tcBorders>
            <w:vAlign w:val="center"/>
            <w:hideMark/>
          </w:tcPr>
          <w:p w14:paraId="2F37B3B5" w14:textId="77777777" w:rsidR="003F40E8" w:rsidRPr="0052113D" w:rsidRDefault="003F40E8" w:rsidP="003F40E8">
            <w:pPr>
              <w:pStyle w:val="ListParagraph"/>
              <w:spacing w:after="0"/>
              <w:ind w:left="0"/>
              <w:rPr>
                <w:rFonts w:ascii="Times New Roman" w:hAnsi="Times New Roman"/>
                <w:color w:val="auto"/>
                <w:sz w:val="20"/>
                <w:szCs w:val="20"/>
                <w:lang w:val="en-US"/>
              </w:rPr>
            </w:pPr>
            <w:r w:rsidRPr="0052113D">
              <w:rPr>
                <w:rFonts w:ascii="Times New Roman" w:hAnsi="Times New Roman"/>
                <w:b w:val="0"/>
                <w:color w:val="auto"/>
                <w:sz w:val="20"/>
                <w:szCs w:val="20"/>
                <w:lang w:val="en-US"/>
              </w:rPr>
              <w:t>Resp 5</w:t>
            </w:r>
          </w:p>
        </w:tc>
        <w:tc>
          <w:tcPr>
            <w:tcW w:w="923" w:type="dxa"/>
            <w:tcBorders>
              <w:top w:val="nil"/>
              <w:left w:val="nil"/>
              <w:bottom w:val="nil"/>
              <w:right w:val="nil"/>
            </w:tcBorders>
            <w:vAlign w:val="center"/>
            <w:hideMark/>
          </w:tcPr>
          <w:p w14:paraId="06F5F150"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Female</w:t>
            </w:r>
          </w:p>
        </w:tc>
        <w:tc>
          <w:tcPr>
            <w:tcW w:w="1276" w:type="dxa"/>
            <w:tcBorders>
              <w:top w:val="nil"/>
              <w:left w:val="nil"/>
              <w:bottom w:val="nil"/>
              <w:right w:val="nil"/>
            </w:tcBorders>
            <w:vAlign w:val="center"/>
            <w:hideMark/>
          </w:tcPr>
          <w:p w14:paraId="24373346"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lang w:val="en-US"/>
              </w:rPr>
              <w:t>B.Sc.</w:t>
            </w:r>
          </w:p>
        </w:tc>
        <w:tc>
          <w:tcPr>
            <w:tcW w:w="1275" w:type="dxa"/>
            <w:tcBorders>
              <w:top w:val="nil"/>
              <w:left w:val="nil"/>
              <w:bottom w:val="nil"/>
              <w:right w:val="nil"/>
            </w:tcBorders>
            <w:vAlign w:val="center"/>
            <w:hideMark/>
          </w:tcPr>
          <w:p w14:paraId="74B6DA85"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NIOB</w:t>
            </w:r>
          </w:p>
        </w:tc>
        <w:tc>
          <w:tcPr>
            <w:tcW w:w="709" w:type="dxa"/>
            <w:tcBorders>
              <w:top w:val="nil"/>
              <w:left w:val="nil"/>
              <w:bottom w:val="nil"/>
              <w:right w:val="nil"/>
            </w:tcBorders>
            <w:vAlign w:val="center"/>
            <w:hideMark/>
          </w:tcPr>
          <w:p w14:paraId="25EA1535"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16</w:t>
            </w:r>
          </w:p>
        </w:tc>
        <w:tc>
          <w:tcPr>
            <w:tcW w:w="1134" w:type="dxa"/>
            <w:tcBorders>
              <w:top w:val="nil"/>
              <w:left w:val="nil"/>
              <w:bottom w:val="nil"/>
              <w:right w:val="nil"/>
            </w:tcBorders>
            <w:vAlign w:val="center"/>
            <w:hideMark/>
          </w:tcPr>
          <w:p w14:paraId="203C5385"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Project Manager</w:t>
            </w:r>
          </w:p>
        </w:tc>
        <w:tc>
          <w:tcPr>
            <w:tcW w:w="1134" w:type="dxa"/>
            <w:tcBorders>
              <w:top w:val="nil"/>
              <w:left w:val="nil"/>
              <w:bottom w:val="nil"/>
              <w:right w:val="nil"/>
            </w:tcBorders>
            <w:vAlign w:val="center"/>
            <w:hideMark/>
          </w:tcPr>
          <w:p w14:paraId="455CD0CF"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751million –1billion</w:t>
            </w:r>
          </w:p>
        </w:tc>
        <w:tc>
          <w:tcPr>
            <w:tcW w:w="701" w:type="dxa"/>
            <w:tcBorders>
              <w:top w:val="nil"/>
              <w:left w:val="nil"/>
              <w:bottom w:val="nil"/>
              <w:right w:val="nil"/>
            </w:tcBorders>
            <w:vAlign w:val="center"/>
            <w:hideMark/>
          </w:tcPr>
          <w:p w14:paraId="14C37795"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32</w:t>
            </w:r>
          </w:p>
        </w:tc>
        <w:tc>
          <w:tcPr>
            <w:tcW w:w="711" w:type="dxa"/>
            <w:tcBorders>
              <w:top w:val="nil"/>
              <w:left w:val="nil"/>
              <w:bottom w:val="nil"/>
              <w:right w:val="nil"/>
            </w:tcBorders>
            <w:vAlign w:val="center"/>
            <w:hideMark/>
          </w:tcPr>
          <w:p w14:paraId="29CF5590"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LLC</w:t>
            </w:r>
          </w:p>
        </w:tc>
      </w:tr>
      <w:tr w:rsidR="00680C6F" w:rsidRPr="0052113D" w14:paraId="5E3790C2" w14:textId="77777777" w:rsidTr="00626F3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062" w:type="dxa"/>
            <w:tcBorders>
              <w:top w:val="nil"/>
              <w:left w:val="nil"/>
              <w:bottom w:val="nil"/>
              <w:right w:val="nil"/>
            </w:tcBorders>
            <w:shd w:val="clear" w:color="auto" w:fill="auto"/>
            <w:vAlign w:val="center"/>
            <w:hideMark/>
          </w:tcPr>
          <w:p w14:paraId="61F7EDE9" w14:textId="77777777" w:rsidR="003F40E8" w:rsidRPr="0052113D" w:rsidRDefault="003F40E8" w:rsidP="003F40E8">
            <w:pPr>
              <w:pStyle w:val="ListParagraph"/>
              <w:spacing w:after="0"/>
              <w:ind w:left="0"/>
              <w:rPr>
                <w:rFonts w:ascii="Times New Roman" w:hAnsi="Times New Roman"/>
                <w:color w:val="auto"/>
                <w:sz w:val="20"/>
                <w:szCs w:val="20"/>
                <w:lang w:val="en-US"/>
              </w:rPr>
            </w:pPr>
            <w:r w:rsidRPr="0052113D">
              <w:rPr>
                <w:rFonts w:ascii="Times New Roman" w:hAnsi="Times New Roman"/>
                <w:b w:val="0"/>
                <w:color w:val="auto"/>
                <w:sz w:val="20"/>
                <w:szCs w:val="20"/>
                <w:lang w:val="en-US"/>
              </w:rPr>
              <w:t>Resp 6</w:t>
            </w:r>
          </w:p>
        </w:tc>
        <w:tc>
          <w:tcPr>
            <w:tcW w:w="923" w:type="dxa"/>
            <w:tcBorders>
              <w:top w:val="nil"/>
              <w:left w:val="nil"/>
              <w:bottom w:val="nil"/>
              <w:right w:val="nil"/>
            </w:tcBorders>
            <w:shd w:val="clear" w:color="auto" w:fill="auto"/>
            <w:vAlign w:val="center"/>
            <w:hideMark/>
          </w:tcPr>
          <w:p w14:paraId="7F6EE3ED"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Female</w:t>
            </w:r>
          </w:p>
        </w:tc>
        <w:tc>
          <w:tcPr>
            <w:tcW w:w="1276" w:type="dxa"/>
            <w:tcBorders>
              <w:top w:val="nil"/>
              <w:left w:val="nil"/>
              <w:bottom w:val="nil"/>
              <w:right w:val="nil"/>
            </w:tcBorders>
            <w:shd w:val="clear" w:color="auto" w:fill="auto"/>
            <w:vAlign w:val="center"/>
            <w:hideMark/>
          </w:tcPr>
          <w:p w14:paraId="5C2AE498"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lang w:val="en-US"/>
              </w:rPr>
              <w:t>B.Sc.</w:t>
            </w:r>
          </w:p>
        </w:tc>
        <w:tc>
          <w:tcPr>
            <w:tcW w:w="1275" w:type="dxa"/>
            <w:tcBorders>
              <w:top w:val="nil"/>
              <w:left w:val="nil"/>
              <w:bottom w:val="nil"/>
              <w:right w:val="nil"/>
            </w:tcBorders>
            <w:shd w:val="clear" w:color="auto" w:fill="auto"/>
            <w:vAlign w:val="center"/>
            <w:hideMark/>
          </w:tcPr>
          <w:p w14:paraId="749091D4"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NIESV</w:t>
            </w:r>
          </w:p>
        </w:tc>
        <w:tc>
          <w:tcPr>
            <w:tcW w:w="709" w:type="dxa"/>
            <w:tcBorders>
              <w:top w:val="nil"/>
              <w:left w:val="nil"/>
              <w:bottom w:val="nil"/>
              <w:right w:val="nil"/>
            </w:tcBorders>
            <w:shd w:val="clear" w:color="auto" w:fill="auto"/>
            <w:vAlign w:val="center"/>
            <w:hideMark/>
          </w:tcPr>
          <w:p w14:paraId="69376075"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15</w:t>
            </w:r>
          </w:p>
        </w:tc>
        <w:tc>
          <w:tcPr>
            <w:tcW w:w="1134" w:type="dxa"/>
            <w:tcBorders>
              <w:top w:val="nil"/>
              <w:left w:val="nil"/>
              <w:bottom w:val="nil"/>
              <w:right w:val="nil"/>
            </w:tcBorders>
            <w:shd w:val="clear" w:color="auto" w:fill="auto"/>
            <w:vAlign w:val="center"/>
            <w:hideMark/>
          </w:tcPr>
          <w:p w14:paraId="0C7C5ED2"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Property Manager</w:t>
            </w:r>
          </w:p>
        </w:tc>
        <w:tc>
          <w:tcPr>
            <w:tcW w:w="1134" w:type="dxa"/>
            <w:tcBorders>
              <w:top w:val="nil"/>
              <w:left w:val="nil"/>
              <w:bottom w:val="nil"/>
              <w:right w:val="nil"/>
            </w:tcBorders>
            <w:shd w:val="clear" w:color="auto" w:fill="auto"/>
            <w:vAlign w:val="center"/>
            <w:hideMark/>
          </w:tcPr>
          <w:p w14:paraId="1A4E4A80"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Above 1billion</w:t>
            </w:r>
          </w:p>
        </w:tc>
        <w:tc>
          <w:tcPr>
            <w:tcW w:w="701" w:type="dxa"/>
            <w:tcBorders>
              <w:top w:val="nil"/>
              <w:left w:val="nil"/>
              <w:bottom w:val="nil"/>
              <w:right w:val="nil"/>
            </w:tcBorders>
            <w:shd w:val="clear" w:color="auto" w:fill="auto"/>
            <w:vAlign w:val="center"/>
            <w:hideMark/>
          </w:tcPr>
          <w:p w14:paraId="488CCA6B"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59</w:t>
            </w:r>
          </w:p>
        </w:tc>
        <w:tc>
          <w:tcPr>
            <w:tcW w:w="711" w:type="dxa"/>
            <w:tcBorders>
              <w:top w:val="nil"/>
              <w:left w:val="nil"/>
              <w:bottom w:val="nil"/>
              <w:right w:val="nil"/>
            </w:tcBorders>
            <w:shd w:val="clear" w:color="auto" w:fill="auto"/>
            <w:vAlign w:val="center"/>
            <w:hideMark/>
          </w:tcPr>
          <w:p w14:paraId="5C3E545E"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LLC</w:t>
            </w:r>
          </w:p>
        </w:tc>
      </w:tr>
      <w:tr w:rsidR="003F40E8" w:rsidRPr="0052113D" w14:paraId="0D831F42" w14:textId="77777777" w:rsidTr="00626F3E">
        <w:trPr>
          <w:trHeight w:val="397"/>
          <w:jc w:val="center"/>
        </w:trPr>
        <w:tc>
          <w:tcPr>
            <w:cnfStyle w:val="001000000000" w:firstRow="0" w:lastRow="0" w:firstColumn="1" w:lastColumn="0" w:oddVBand="0" w:evenVBand="0" w:oddHBand="0" w:evenHBand="0" w:firstRowFirstColumn="0" w:firstRowLastColumn="0" w:lastRowFirstColumn="0" w:lastRowLastColumn="0"/>
            <w:tcW w:w="1062" w:type="dxa"/>
            <w:tcBorders>
              <w:top w:val="nil"/>
              <w:left w:val="nil"/>
              <w:bottom w:val="nil"/>
              <w:right w:val="nil"/>
            </w:tcBorders>
            <w:vAlign w:val="center"/>
            <w:hideMark/>
          </w:tcPr>
          <w:p w14:paraId="14B950ED" w14:textId="77777777" w:rsidR="003F40E8" w:rsidRPr="0052113D" w:rsidRDefault="003F40E8" w:rsidP="003F40E8">
            <w:pPr>
              <w:pStyle w:val="ListParagraph"/>
              <w:spacing w:after="0"/>
              <w:ind w:left="0"/>
              <w:rPr>
                <w:rFonts w:ascii="Times New Roman" w:hAnsi="Times New Roman"/>
                <w:color w:val="auto"/>
                <w:sz w:val="20"/>
                <w:szCs w:val="20"/>
                <w:lang w:val="en-US"/>
              </w:rPr>
            </w:pPr>
            <w:r w:rsidRPr="0052113D">
              <w:rPr>
                <w:rFonts w:ascii="Times New Roman" w:hAnsi="Times New Roman"/>
                <w:b w:val="0"/>
                <w:color w:val="auto"/>
                <w:sz w:val="20"/>
                <w:szCs w:val="20"/>
                <w:lang w:val="en-US"/>
              </w:rPr>
              <w:t>Resp 7</w:t>
            </w:r>
          </w:p>
        </w:tc>
        <w:tc>
          <w:tcPr>
            <w:tcW w:w="923" w:type="dxa"/>
            <w:tcBorders>
              <w:top w:val="nil"/>
              <w:left w:val="nil"/>
              <w:bottom w:val="nil"/>
              <w:right w:val="nil"/>
            </w:tcBorders>
            <w:vAlign w:val="center"/>
            <w:hideMark/>
          </w:tcPr>
          <w:p w14:paraId="24623D89"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Male</w:t>
            </w:r>
          </w:p>
        </w:tc>
        <w:tc>
          <w:tcPr>
            <w:tcW w:w="1276" w:type="dxa"/>
            <w:tcBorders>
              <w:top w:val="nil"/>
              <w:left w:val="nil"/>
              <w:bottom w:val="nil"/>
              <w:right w:val="nil"/>
            </w:tcBorders>
            <w:vAlign w:val="center"/>
            <w:hideMark/>
          </w:tcPr>
          <w:p w14:paraId="67DF7567"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0"/>
                <w:szCs w:val="20"/>
              </w:rPr>
            </w:pPr>
            <w:r w:rsidRPr="0052113D">
              <w:rPr>
                <w:rFonts w:ascii="Times New Roman" w:hAnsi="Times New Roman"/>
                <w:color w:val="auto"/>
                <w:sz w:val="20"/>
                <w:szCs w:val="20"/>
              </w:rPr>
              <w:t>M.Sc.</w:t>
            </w:r>
          </w:p>
        </w:tc>
        <w:tc>
          <w:tcPr>
            <w:tcW w:w="1275" w:type="dxa"/>
            <w:tcBorders>
              <w:top w:val="nil"/>
              <w:left w:val="nil"/>
              <w:bottom w:val="nil"/>
              <w:right w:val="nil"/>
            </w:tcBorders>
            <w:vAlign w:val="center"/>
            <w:hideMark/>
          </w:tcPr>
          <w:p w14:paraId="02A7D8F2"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NIESV</w:t>
            </w:r>
          </w:p>
        </w:tc>
        <w:tc>
          <w:tcPr>
            <w:tcW w:w="709" w:type="dxa"/>
            <w:tcBorders>
              <w:top w:val="nil"/>
              <w:left w:val="nil"/>
              <w:bottom w:val="nil"/>
              <w:right w:val="nil"/>
            </w:tcBorders>
            <w:vAlign w:val="center"/>
            <w:hideMark/>
          </w:tcPr>
          <w:p w14:paraId="7C3A7E4C"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11</w:t>
            </w:r>
          </w:p>
        </w:tc>
        <w:tc>
          <w:tcPr>
            <w:tcW w:w="1134" w:type="dxa"/>
            <w:tcBorders>
              <w:top w:val="nil"/>
              <w:left w:val="nil"/>
              <w:bottom w:val="nil"/>
              <w:right w:val="nil"/>
            </w:tcBorders>
            <w:vAlign w:val="center"/>
            <w:hideMark/>
          </w:tcPr>
          <w:p w14:paraId="6B0C2744"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Property Manager</w:t>
            </w:r>
          </w:p>
        </w:tc>
        <w:tc>
          <w:tcPr>
            <w:tcW w:w="1134" w:type="dxa"/>
            <w:tcBorders>
              <w:top w:val="nil"/>
              <w:left w:val="nil"/>
              <w:bottom w:val="nil"/>
              <w:right w:val="nil"/>
            </w:tcBorders>
            <w:vAlign w:val="center"/>
            <w:hideMark/>
          </w:tcPr>
          <w:p w14:paraId="4C4B3DA2"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501million – 750million</w:t>
            </w:r>
          </w:p>
        </w:tc>
        <w:tc>
          <w:tcPr>
            <w:tcW w:w="701" w:type="dxa"/>
            <w:tcBorders>
              <w:top w:val="nil"/>
              <w:left w:val="nil"/>
              <w:bottom w:val="nil"/>
              <w:right w:val="nil"/>
            </w:tcBorders>
            <w:vAlign w:val="center"/>
            <w:hideMark/>
          </w:tcPr>
          <w:p w14:paraId="7D885946"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26</w:t>
            </w:r>
          </w:p>
        </w:tc>
        <w:tc>
          <w:tcPr>
            <w:tcW w:w="711" w:type="dxa"/>
            <w:tcBorders>
              <w:top w:val="nil"/>
              <w:left w:val="nil"/>
              <w:bottom w:val="nil"/>
              <w:right w:val="nil"/>
            </w:tcBorders>
            <w:vAlign w:val="center"/>
            <w:hideMark/>
          </w:tcPr>
          <w:p w14:paraId="72D5C212"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LLC</w:t>
            </w:r>
          </w:p>
        </w:tc>
      </w:tr>
      <w:tr w:rsidR="00680C6F" w:rsidRPr="0052113D" w14:paraId="76AC7FAF" w14:textId="77777777" w:rsidTr="00626F3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062" w:type="dxa"/>
            <w:tcBorders>
              <w:top w:val="nil"/>
              <w:left w:val="nil"/>
              <w:bottom w:val="nil"/>
              <w:right w:val="nil"/>
            </w:tcBorders>
            <w:shd w:val="clear" w:color="auto" w:fill="auto"/>
            <w:vAlign w:val="center"/>
            <w:hideMark/>
          </w:tcPr>
          <w:p w14:paraId="7A52DE0C" w14:textId="77777777" w:rsidR="003F40E8" w:rsidRPr="0052113D" w:rsidRDefault="003F40E8" w:rsidP="003F40E8">
            <w:pPr>
              <w:pStyle w:val="ListParagraph"/>
              <w:spacing w:after="0"/>
              <w:ind w:left="0"/>
              <w:rPr>
                <w:rFonts w:ascii="Times New Roman" w:hAnsi="Times New Roman"/>
                <w:color w:val="auto"/>
                <w:sz w:val="20"/>
                <w:szCs w:val="20"/>
                <w:lang w:val="en-US"/>
              </w:rPr>
            </w:pPr>
            <w:r w:rsidRPr="0052113D">
              <w:rPr>
                <w:rFonts w:ascii="Times New Roman" w:hAnsi="Times New Roman"/>
                <w:b w:val="0"/>
                <w:color w:val="auto"/>
                <w:sz w:val="20"/>
                <w:szCs w:val="20"/>
                <w:lang w:val="en-US"/>
              </w:rPr>
              <w:t>Resp 8</w:t>
            </w:r>
          </w:p>
        </w:tc>
        <w:tc>
          <w:tcPr>
            <w:tcW w:w="923" w:type="dxa"/>
            <w:tcBorders>
              <w:top w:val="nil"/>
              <w:left w:val="nil"/>
              <w:bottom w:val="nil"/>
              <w:right w:val="nil"/>
            </w:tcBorders>
            <w:shd w:val="clear" w:color="auto" w:fill="auto"/>
            <w:vAlign w:val="center"/>
            <w:hideMark/>
          </w:tcPr>
          <w:p w14:paraId="581D5F9B"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Male</w:t>
            </w:r>
          </w:p>
        </w:tc>
        <w:tc>
          <w:tcPr>
            <w:tcW w:w="1276" w:type="dxa"/>
            <w:tcBorders>
              <w:top w:val="nil"/>
              <w:left w:val="nil"/>
              <w:bottom w:val="nil"/>
              <w:right w:val="nil"/>
            </w:tcBorders>
            <w:shd w:val="clear" w:color="auto" w:fill="auto"/>
            <w:vAlign w:val="center"/>
            <w:hideMark/>
          </w:tcPr>
          <w:p w14:paraId="79E990DA"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B.Sc.</w:t>
            </w:r>
          </w:p>
        </w:tc>
        <w:tc>
          <w:tcPr>
            <w:tcW w:w="1275" w:type="dxa"/>
            <w:tcBorders>
              <w:top w:val="nil"/>
              <w:left w:val="nil"/>
              <w:bottom w:val="nil"/>
              <w:right w:val="nil"/>
            </w:tcBorders>
            <w:shd w:val="clear" w:color="auto" w:fill="auto"/>
            <w:vAlign w:val="center"/>
            <w:hideMark/>
          </w:tcPr>
          <w:p w14:paraId="1066E958"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NIESV</w:t>
            </w:r>
          </w:p>
        </w:tc>
        <w:tc>
          <w:tcPr>
            <w:tcW w:w="709" w:type="dxa"/>
            <w:tcBorders>
              <w:top w:val="nil"/>
              <w:left w:val="nil"/>
              <w:bottom w:val="nil"/>
              <w:right w:val="nil"/>
            </w:tcBorders>
            <w:shd w:val="clear" w:color="auto" w:fill="auto"/>
            <w:vAlign w:val="center"/>
            <w:hideMark/>
          </w:tcPr>
          <w:p w14:paraId="5712890B"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11</w:t>
            </w:r>
          </w:p>
        </w:tc>
        <w:tc>
          <w:tcPr>
            <w:tcW w:w="1134" w:type="dxa"/>
            <w:tcBorders>
              <w:top w:val="nil"/>
              <w:left w:val="nil"/>
              <w:bottom w:val="nil"/>
              <w:right w:val="nil"/>
            </w:tcBorders>
            <w:shd w:val="clear" w:color="auto" w:fill="auto"/>
            <w:vAlign w:val="center"/>
            <w:hideMark/>
          </w:tcPr>
          <w:p w14:paraId="7D204E0C"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Property Manager</w:t>
            </w:r>
          </w:p>
        </w:tc>
        <w:tc>
          <w:tcPr>
            <w:tcW w:w="1134" w:type="dxa"/>
            <w:tcBorders>
              <w:top w:val="nil"/>
              <w:left w:val="nil"/>
              <w:bottom w:val="nil"/>
              <w:right w:val="nil"/>
            </w:tcBorders>
            <w:shd w:val="clear" w:color="auto" w:fill="auto"/>
            <w:vAlign w:val="center"/>
            <w:hideMark/>
          </w:tcPr>
          <w:p w14:paraId="5B5F2781"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Up to 250million</w:t>
            </w:r>
          </w:p>
        </w:tc>
        <w:tc>
          <w:tcPr>
            <w:tcW w:w="701" w:type="dxa"/>
            <w:tcBorders>
              <w:top w:val="nil"/>
              <w:left w:val="nil"/>
              <w:bottom w:val="nil"/>
              <w:right w:val="nil"/>
            </w:tcBorders>
            <w:shd w:val="clear" w:color="auto" w:fill="auto"/>
            <w:vAlign w:val="center"/>
            <w:hideMark/>
          </w:tcPr>
          <w:p w14:paraId="6C7B7785"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13</w:t>
            </w:r>
          </w:p>
        </w:tc>
        <w:tc>
          <w:tcPr>
            <w:tcW w:w="711" w:type="dxa"/>
            <w:tcBorders>
              <w:top w:val="nil"/>
              <w:left w:val="nil"/>
              <w:bottom w:val="nil"/>
              <w:right w:val="nil"/>
            </w:tcBorders>
            <w:shd w:val="clear" w:color="auto" w:fill="auto"/>
            <w:vAlign w:val="center"/>
            <w:hideMark/>
          </w:tcPr>
          <w:p w14:paraId="57A52C97"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Partnership</w:t>
            </w:r>
          </w:p>
        </w:tc>
      </w:tr>
      <w:tr w:rsidR="003F40E8" w:rsidRPr="0052113D" w14:paraId="0686742E" w14:textId="77777777" w:rsidTr="00626F3E">
        <w:trPr>
          <w:trHeight w:val="397"/>
          <w:jc w:val="center"/>
        </w:trPr>
        <w:tc>
          <w:tcPr>
            <w:cnfStyle w:val="001000000000" w:firstRow="0" w:lastRow="0" w:firstColumn="1" w:lastColumn="0" w:oddVBand="0" w:evenVBand="0" w:oddHBand="0" w:evenHBand="0" w:firstRowFirstColumn="0" w:firstRowLastColumn="0" w:lastRowFirstColumn="0" w:lastRowLastColumn="0"/>
            <w:tcW w:w="1062" w:type="dxa"/>
            <w:tcBorders>
              <w:top w:val="nil"/>
              <w:left w:val="nil"/>
              <w:bottom w:val="nil"/>
              <w:right w:val="nil"/>
            </w:tcBorders>
            <w:vAlign w:val="center"/>
            <w:hideMark/>
          </w:tcPr>
          <w:p w14:paraId="52AB4CD1" w14:textId="77777777" w:rsidR="003F40E8" w:rsidRPr="0052113D" w:rsidRDefault="003F40E8" w:rsidP="003F40E8">
            <w:pPr>
              <w:pStyle w:val="ListParagraph"/>
              <w:spacing w:after="0"/>
              <w:ind w:left="0"/>
              <w:rPr>
                <w:rFonts w:ascii="Times New Roman" w:hAnsi="Times New Roman"/>
                <w:b w:val="0"/>
                <w:color w:val="auto"/>
                <w:sz w:val="20"/>
                <w:szCs w:val="20"/>
                <w:lang w:val="en-US"/>
              </w:rPr>
            </w:pPr>
            <w:r w:rsidRPr="0052113D">
              <w:rPr>
                <w:rFonts w:ascii="Times New Roman" w:hAnsi="Times New Roman"/>
                <w:b w:val="0"/>
                <w:color w:val="auto"/>
                <w:sz w:val="20"/>
                <w:szCs w:val="20"/>
                <w:lang w:val="en-US"/>
              </w:rPr>
              <w:t>Resp 9</w:t>
            </w:r>
          </w:p>
        </w:tc>
        <w:tc>
          <w:tcPr>
            <w:tcW w:w="923" w:type="dxa"/>
            <w:tcBorders>
              <w:top w:val="nil"/>
              <w:left w:val="nil"/>
              <w:bottom w:val="nil"/>
              <w:right w:val="nil"/>
            </w:tcBorders>
            <w:vAlign w:val="center"/>
            <w:hideMark/>
          </w:tcPr>
          <w:p w14:paraId="10AECBAA"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0"/>
                <w:szCs w:val="20"/>
                <w:lang w:val="en-US"/>
              </w:rPr>
            </w:pPr>
            <w:r w:rsidRPr="0052113D">
              <w:rPr>
                <w:rFonts w:ascii="Times New Roman" w:hAnsi="Times New Roman"/>
                <w:color w:val="auto"/>
                <w:sz w:val="20"/>
                <w:szCs w:val="20"/>
                <w:lang w:val="en-US"/>
              </w:rPr>
              <w:t>Male</w:t>
            </w:r>
          </w:p>
        </w:tc>
        <w:tc>
          <w:tcPr>
            <w:tcW w:w="1276" w:type="dxa"/>
            <w:tcBorders>
              <w:top w:val="nil"/>
              <w:left w:val="nil"/>
              <w:bottom w:val="nil"/>
              <w:right w:val="nil"/>
            </w:tcBorders>
            <w:vAlign w:val="center"/>
            <w:hideMark/>
          </w:tcPr>
          <w:p w14:paraId="1CC7F527"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M.Sc.</w:t>
            </w:r>
          </w:p>
        </w:tc>
        <w:tc>
          <w:tcPr>
            <w:tcW w:w="1275" w:type="dxa"/>
            <w:tcBorders>
              <w:top w:val="nil"/>
              <w:left w:val="nil"/>
              <w:bottom w:val="nil"/>
              <w:right w:val="nil"/>
            </w:tcBorders>
            <w:vAlign w:val="center"/>
            <w:hideMark/>
          </w:tcPr>
          <w:p w14:paraId="3E149C14"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NIOB</w:t>
            </w:r>
          </w:p>
        </w:tc>
        <w:tc>
          <w:tcPr>
            <w:tcW w:w="709" w:type="dxa"/>
            <w:tcBorders>
              <w:top w:val="nil"/>
              <w:left w:val="nil"/>
              <w:bottom w:val="nil"/>
              <w:right w:val="nil"/>
            </w:tcBorders>
            <w:vAlign w:val="center"/>
            <w:hideMark/>
          </w:tcPr>
          <w:p w14:paraId="37B48CF9"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18</w:t>
            </w:r>
          </w:p>
        </w:tc>
        <w:tc>
          <w:tcPr>
            <w:tcW w:w="1134" w:type="dxa"/>
            <w:tcBorders>
              <w:top w:val="nil"/>
              <w:left w:val="nil"/>
              <w:bottom w:val="nil"/>
              <w:right w:val="nil"/>
            </w:tcBorders>
            <w:vAlign w:val="center"/>
            <w:hideMark/>
          </w:tcPr>
          <w:p w14:paraId="249100E7"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Project Manager</w:t>
            </w:r>
          </w:p>
        </w:tc>
        <w:tc>
          <w:tcPr>
            <w:tcW w:w="1134" w:type="dxa"/>
            <w:tcBorders>
              <w:top w:val="nil"/>
              <w:left w:val="nil"/>
              <w:bottom w:val="nil"/>
              <w:right w:val="nil"/>
            </w:tcBorders>
            <w:vAlign w:val="center"/>
            <w:hideMark/>
          </w:tcPr>
          <w:p w14:paraId="69DC6C97"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Above 1billion</w:t>
            </w:r>
          </w:p>
        </w:tc>
        <w:tc>
          <w:tcPr>
            <w:tcW w:w="701" w:type="dxa"/>
            <w:tcBorders>
              <w:top w:val="nil"/>
              <w:left w:val="nil"/>
              <w:bottom w:val="nil"/>
              <w:right w:val="nil"/>
            </w:tcBorders>
            <w:vAlign w:val="center"/>
            <w:hideMark/>
          </w:tcPr>
          <w:p w14:paraId="483ED26B"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6</w:t>
            </w:r>
          </w:p>
        </w:tc>
        <w:tc>
          <w:tcPr>
            <w:tcW w:w="711" w:type="dxa"/>
            <w:tcBorders>
              <w:top w:val="nil"/>
              <w:left w:val="nil"/>
              <w:bottom w:val="nil"/>
              <w:right w:val="nil"/>
            </w:tcBorders>
            <w:vAlign w:val="center"/>
            <w:hideMark/>
          </w:tcPr>
          <w:p w14:paraId="2D1B2C7D"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LLC</w:t>
            </w:r>
          </w:p>
        </w:tc>
      </w:tr>
      <w:tr w:rsidR="00680C6F" w:rsidRPr="0052113D" w14:paraId="24F164A1" w14:textId="77777777" w:rsidTr="00626F3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062" w:type="dxa"/>
            <w:tcBorders>
              <w:top w:val="nil"/>
              <w:left w:val="nil"/>
              <w:bottom w:val="nil"/>
              <w:right w:val="nil"/>
            </w:tcBorders>
            <w:shd w:val="clear" w:color="auto" w:fill="auto"/>
            <w:vAlign w:val="center"/>
            <w:hideMark/>
          </w:tcPr>
          <w:p w14:paraId="6F23C819" w14:textId="77777777" w:rsidR="003F40E8" w:rsidRPr="0052113D" w:rsidRDefault="003F40E8" w:rsidP="003F40E8">
            <w:pPr>
              <w:pStyle w:val="ListParagraph"/>
              <w:spacing w:after="0"/>
              <w:ind w:left="0"/>
              <w:rPr>
                <w:rFonts w:ascii="Times New Roman" w:hAnsi="Times New Roman"/>
                <w:b w:val="0"/>
                <w:color w:val="auto"/>
                <w:sz w:val="20"/>
                <w:szCs w:val="20"/>
                <w:lang w:val="en-US"/>
              </w:rPr>
            </w:pPr>
            <w:r w:rsidRPr="0052113D">
              <w:rPr>
                <w:rFonts w:ascii="Times New Roman" w:hAnsi="Times New Roman"/>
                <w:b w:val="0"/>
                <w:color w:val="auto"/>
                <w:sz w:val="20"/>
                <w:szCs w:val="20"/>
                <w:lang w:val="en-US"/>
              </w:rPr>
              <w:t>Resp 10</w:t>
            </w:r>
          </w:p>
        </w:tc>
        <w:tc>
          <w:tcPr>
            <w:tcW w:w="923" w:type="dxa"/>
            <w:tcBorders>
              <w:top w:val="nil"/>
              <w:left w:val="nil"/>
              <w:bottom w:val="nil"/>
              <w:right w:val="nil"/>
            </w:tcBorders>
            <w:shd w:val="clear" w:color="auto" w:fill="auto"/>
            <w:vAlign w:val="center"/>
            <w:hideMark/>
          </w:tcPr>
          <w:p w14:paraId="4AC05A8C"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b/>
                <w:color w:val="auto"/>
                <w:sz w:val="20"/>
                <w:szCs w:val="20"/>
                <w:lang w:val="en-US"/>
              </w:rPr>
            </w:pPr>
            <w:r w:rsidRPr="0052113D">
              <w:rPr>
                <w:rFonts w:ascii="Times New Roman" w:hAnsi="Times New Roman"/>
                <w:color w:val="auto"/>
                <w:sz w:val="20"/>
                <w:szCs w:val="20"/>
                <w:lang w:val="en-US"/>
              </w:rPr>
              <w:t>Female</w:t>
            </w:r>
          </w:p>
        </w:tc>
        <w:tc>
          <w:tcPr>
            <w:tcW w:w="1276" w:type="dxa"/>
            <w:tcBorders>
              <w:top w:val="nil"/>
              <w:left w:val="nil"/>
              <w:bottom w:val="nil"/>
              <w:right w:val="nil"/>
            </w:tcBorders>
            <w:shd w:val="clear" w:color="auto" w:fill="auto"/>
            <w:vAlign w:val="center"/>
            <w:hideMark/>
          </w:tcPr>
          <w:p w14:paraId="505E8340"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B.Sc.</w:t>
            </w:r>
          </w:p>
        </w:tc>
        <w:tc>
          <w:tcPr>
            <w:tcW w:w="1275" w:type="dxa"/>
            <w:tcBorders>
              <w:top w:val="nil"/>
              <w:left w:val="nil"/>
              <w:bottom w:val="nil"/>
              <w:right w:val="nil"/>
            </w:tcBorders>
            <w:shd w:val="clear" w:color="auto" w:fill="auto"/>
            <w:vAlign w:val="center"/>
            <w:hideMark/>
          </w:tcPr>
          <w:p w14:paraId="54DE18A6"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NIESV</w:t>
            </w:r>
          </w:p>
        </w:tc>
        <w:tc>
          <w:tcPr>
            <w:tcW w:w="709" w:type="dxa"/>
            <w:tcBorders>
              <w:top w:val="nil"/>
              <w:left w:val="nil"/>
              <w:bottom w:val="nil"/>
              <w:right w:val="nil"/>
            </w:tcBorders>
            <w:shd w:val="clear" w:color="auto" w:fill="auto"/>
            <w:vAlign w:val="center"/>
            <w:hideMark/>
          </w:tcPr>
          <w:p w14:paraId="67646F72"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14</w:t>
            </w:r>
          </w:p>
        </w:tc>
        <w:tc>
          <w:tcPr>
            <w:tcW w:w="1134" w:type="dxa"/>
            <w:tcBorders>
              <w:top w:val="nil"/>
              <w:left w:val="nil"/>
              <w:bottom w:val="nil"/>
              <w:right w:val="nil"/>
            </w:tcBorders>
            <w:shd w:val="clear" w:color="auto" w:fill="auto"/>
            <w:vAlign w:val="center"/>
            <w:hideMark/>
          </w:tcPr>
          <w:p w14:paraId="13144BC6"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Property Manager</w:t>
            </w:r>
          </w:p>
        </w:tc>
        <w:tc>
          <w:tcPr>
            <w:tcW w:w="1134" w:type="dxa"/>
            <w:tcBorders>
              <w:top w:val="nil"/>
              <w:left w:val="nil"/>
              <w:bottom w:val="nil"/>
              <w:right w:val="nil"/>
            </w:tcBorders>
            <w:shd w:val="clear" w:color="auto" w:fill="auto"/>
            <w:vAlign w:val="center"/>
            <w:hideMark/>
          </w:tcPr>
          <w:p w14:paraId="0CAB98DD"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251million – 500million</w:t>
            </w:r>
          </w:p>
        </w:tc>
        <w:tc>
          <w:tcPr>
            <w:tcW w:w="701" w:type="dxa"/>
            <w:tcBorders>
              <w:top w:val="nil"/>
              <w:left w:val="nil"/>
              <w:bottom w:val="nil"/>
              <w:right w:val="nil"/>
            </w:tcBorders>
            <w:shd w:val="clear" w:color="auto" w:fill="auto"/>
            <w:vAlign w:val="center"/>
            <w:hideMark/>
          </w:tcPr>
          <w:p w14:paraId="2E141706"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8</w:t>
            </w:r>
          </w:p>
        </w:tc>
        <w:tc>
          <w:tcPr>
            <w:tcW w:w="711" w:type="dxa"/>
            <w:tcBorders>
              <w:top w:val="nil"/>
              <w:left w:val="nil"/>
              <w:bottom w:val="nil"/>
              <w:right w:val="nil"/>
            </w:tcBorders>
            <w:shd w:val="clear" w:color="auto" w:fill="auto"/>
            <w:vAlign w:val="center"/>
            <w:hideMark/>
          </w:tcPr>
          <w:p w14:paraId="53C4189F"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Partnership</w:t>
            </w:r>
          </w:p>
        </w:tc>
      </w:tr>
      <w:tr w:rsidR="003F40E8" w:rsidRPr="0052113D" w14:paraId="23B825BC" w14:textId="77777777" w:rsidTr="00626F3E">
        <w:trPr>
          <w:trHeight w:val="397"/>
          <w:jc w:val="center"/>
        </w:trPr>
        <w:tc>
          <w:tcPr>
            <w:cnfStyle w:val="001000000000" w:firstRow="0" w:lastRow="0" w:firstColumn="1" w:lastColumn="0" w:oddVBand="0" w:evenVBand="0" w:oddHBand="0" w:evenHBand="0" w:firstRowFirstColumn="0" w:firstRowLastColumn="0" w:lastRowFirstColumn="0" w:lastRowLastColumn="0"/>
            <w:tcW w:w="1062" w:type="dxa"/>
            <w:tcBorders>
              <w:top w:val="nil"/>
              <w:left w:val="nil"/>
              <w:bottom w:val="nil"/>
              <w:right w:val="nil"/>
            </w:tcBorders>
            <w:vAlign w:val="center"/>
            <w:hideMark/>
          </w:tcPr>
          <w:p w14:paraId="5BAE384C" w14:textId="77777777" w:rsidR="003F40E8" w:rsidRPr="0052113D" w:rsidRDefault="003F40E8" w:rsidP="003F40E8">
            <w:pPr>
              <w:pStyle w:val="ListParagraph"/>
              <w:spacing w:after="0"/>
              <w:ind w:left="0"/>
              <w:rPr>
                <w:rFonts w:ascii="Times New Roman" w:hAnsi="Times New Roman"/>
                <w:color w:val="auto"/>
                <w:sz w:val="20"/>
                <w:szCs w:val="20"/>
              </w:rPr>
            </w:pPr>
            <w:r w:rsidRPr="0052113D">
              <w:rPr>
                <w:rFonts w:ascii="Times New Roman" w:hAnsi="Times New Roman"/>
                <w:b w:val="0"/>
                <w:color w:val="auto"/>
                <w:sz w:val="20"/>
                <w:szCs w:val="20"/>
                <w:lang w:val="en-US"/>
              </w:rPr>
              <w:t>Resp 11</w:t>
            </w:r>
          </w:p>
        </w:tc>
        <w:tc>
          <w:tcPr>
            <w:tcW w:w="923" w:type="dxa"/>
            <w:tcBorders>
              <w:top w:val="nil"/>
              <w:left w:val="nil"/>
              <w:bottom w:val="nil"/>
              <w:right w:val="nil"/>
            </w:tcBorders>
            <w:vAlign w:val="center"/>
            <w:hideMark/>
          </w:tcPr>
          <w:p w14:paraId="45B2A436"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lang w:val="en-US"/>
              </w:rPr>
              <w:t>Male</w:t>
            </w:r>
          </w:p>
        </w:tc>
        <w:tc>
          <w:tcPr>
            <w:tcW w:w="1276" w:type="dxa"/>
            <w:tcBorders>
              <w:top w:val="nil"/>
              <w:left w:val="nil"/>
              <w:bottom w:val="nil"/>
              <w:right w:val="nil"/>
            </w:tcBorders>
            <w:vAlign w:val="center"/>
            <w:hideMark/>
          </w:tcPr>
          <w:p w14:paraId="715274F8"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M.Sc.</w:t>
            </w:r>
          </w:p>
        </w:tc>
        <w:tc>
          <w:tcPr>
            <w:tcW w:w="1275" w:type="dxa"/>
            <w:tcBorders>
              <w:top w:val="nil"/>
              <w:left w:val="nil"/>
              <w:bottom w:val="nil"/>
              <w:right w:val="nil"/>
            </w:tcBorders>
            <w:vAlign w:val="center"/>
            <w:hideMark/>
          </w:tcPr>
          <w:p w14:paraId="035E47A2"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NIQS</w:t>
            </w:r>
          </w:p>
        </w:tc>
        <w:tc>
          <w:tcPr>
            <w:tcW w:w="709" w:type="dxa"/>
            <w:tcBorders>
              <w:top w:val="nil"/>
              <w:left w:val="nil"/>
              <w:bottom w:val="nil"/>
              <w:right w:val="nil"/>
            </w:tcBorders>
            <w:vAlign w:val="center"/>
            <w:hideMark/>
          </w:tcPr>
          <w:p w14:paraId="52EEB6F1"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25</w:t>
            </w:r>
          </w:p>
        </w:tc>
        <w:tc>
          <w:tcPr>
            <w:tcW w:w="1134" w:type="dxa"/>
            <w:tcBorders>
              <w:top w:val="nil"/>
              <w:left w:val="nil"/>
              <w:bottom w:val="nil"/>
              <w:right w:val="nil"/>
            </w:tcBorders>
            <w:vAlign w:val="center"/>
            <w:hideMark/>
          </w:tcPr>
          <w:p w14:paraId="2AED1205"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Project Manager</w:t>
            </w:r>
          </w:p>
        </w:tc>
        <w:tc>
          <w:tcPr>
            <w:tcW w:w="1134" w:type="dxa"/>
            <w:tcBorders>
              <w:top w:val="nil"/>
              <w:left w:val="nil"/>
              <w:bottom w:val="nil"/>
              <w:right w:val="nil"/>
            </w:tcBorders>
            <w:vAlign w:val="center"/>
            <w:hideMark/>
          </w:tcPr>
          <w:p w14:paraId="63D914D1"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Above 1billion</w:t>
            </w:r>
          </w:p>
        </w:tc>
        <w:tc>
          <w:tcPr>
            <w:tcW w:w="701" w:type="dxa"/>
            <w:tcBorders>
              <w:top w:val="nil"/>
              <w:left w:val="nil"/>
              <w:bottom w:val="nil"/>
              <w:right w:val="nil"/>
            </w:tcBorders>
            <w:vAlign w:val="center"/>
            <w:hideMark/>
          </w:tcPr>
          <w:p w14:paraId="1A008F50"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9</w:t>
            </w:r>
          </w:p>
        </w:tc>
        <w:tc>
          <w:tcPr>
            <w:tcW w:w="711" w:type="dxa"/>
            <w:tcBorders>
              <w:top w:val="nil"/>
              <w:left w:val="nil"/>
              <w:bottom w:val="nil"/>
              <w:right w:val="nil"/>
            </w:tcBorders>
            <w:vAlign w:val="center"/>
            <w:hideMark/>
          </w:tcPr>
          <w:p w14:paraId="2286AD6E"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LLC</w:t>
            </w:r>
          </w:p>
        </w:tc>
      </w:tr>
      <w:tr w:rsidR="00680C6F" w:rsidRPr="0052113D" w14:paraId="250E022D" w14:textId="77777777" w:rsidTr="00626F3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062" w:type="dxa"/>
            <w:tcBorders>
              <w:top w:val="nil"/>
              <w:left w:val="nil"/>
              <w:bottom w:val="nil"/>
              <w:right w:val="nil"/>
            </w:tcBorders>
            <w:shd w:val="clear" w:color="auto" w:fill="auto"/>
            <w:vAlign w:val="center"/>
            <w:hideMark/>
          </w:tcPr>
          <w:p w14:paraId="6A8C6FCA" w14:textId="77777777" w:rsidR="003F40E8" w:rsidRPr="0052113D" w:rsidRDefault="003F40E8" w:rsidP="003F40E8">
            <w:pPr>
              <w:pStyle w:val="ListParagraph"/>
              <w:spacing w:after="0"/>
              <w:ind w:left="0"/>
              <w:rPr>
                <w:rFonts w:ascii="Times New Roman" w:hAnsi="Times New Roman"/>
                <w:color w:val="auto"/>
                <w:sz w:val="20"/>
                <w:szCs w:val="20"/>
              </w:rPr>
            </w:pPr>
            <w:r w:rsidRPr="0052113D">
              <w:rPr>
                <w:rFonts w:ascii="Times New Roman" w:hAnsi="Times New Roman"/>
                <w:b w:val="0"/>
                <w:color w:val="auto"/>
                <w:sz w:val="20"/>
                <w:szCs w:val="20"/>
                <w:lang w:val="en-US"/>
              </w:rPr>
              <w:t>Resp 12</w:t>
            </w:r>
          </w:p>
        </w:tc>
        <w:tc>
          <w:tcPr>
            <w:tcW w:w="923" w:type="dxa"/>
            <w:tcBorders>
              <w:top w:val="nil"/>
              <w:left w:val="nil"/>
              <w:bottom w:val="nil"/>
              <w:right w:val="nil"/>
            </w:tcBorders>
            <w:shd w:val="clear" w:color="auto" w:fill="auto"/>
            <w:vAlign w:val="center"/>
            <w:hideMark/>
          </w:tcPr>
          <w:p w14:paraId="28A99810"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lang w:val="en-US"/>
              </w:rPr>
              <w:t>Male</w:t>
            </w:r>
          </w:p>
        </w:tc>
        <w:tc>
          <w:tcPr>
            <w:tcW w:w="1276" w:type="dxa"/>
            <w:tcBorders>
              <w:top w:val="nil"/>
              <w:left w:val="nil"/>
              <w:bottom w:val="nil"/>
              <w:right w:val="nil"/>
            </w:tcBorders>
            <w:shd w:val="clear" w:color="auto" w:fill="auto"/>
            <w:vAlign w:val="center"/>
            <w:hideMark/>
          </w:tcPr>
          <w:p w14:paraId="0D3B6513"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M.Sc.</w:t>
            </w:r>
          </w:p>
        </w:tc>
        <w:tc>
          <w:tcPr>
            <w:tcW w:w="1275" w:type="dxa"/>
            <w:tcBorders>
              <w:top w:val="nil"/>
              <w:left w:val="nil"/>
              <w:bottom w:val="nil"/>
              <w:right w:val="nil"/>
            </w:tcBorders>
            <w:shd w:val="clear" w:color="auto" w:fill="auto"/>
            <w:vAlign w:val="center"/>
            <w:hideMark/>
          </w:tcPr>
          <w:p w14:paraId="3AA1336A"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NIESV</w:t>
            </w:r>
          </w:p>
        </w:tc>
        <w:tc>
          <w:tcPr>
            <w:tcW w:w="709" w:type="dxa"/>
            <w:tcBorders>
              <w:top w:val="nil"/>
              <w:left w:val="nil"/>
              <w:bottom w:val="nil"/>
              <w:right w:val="nil"/>
            </w:tcBorders>
            <w:shd w:val="clear" w:color="auto" w:fill="auto"/>
            <w:vAlign w:val="center"/>
            <w:hideMark/>
          </w:tcPr>
          <w:p w14:paraId="553E351C"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21</w:t>
            </w:r>
          </w:p>
        </w:tc>
        <w:tc>
          <w:tcPr>
            <w:tcW w:w="1134" w:type="dxa"/>
            <w:tcBorders>
              <w:top w:val="nil"/>
              <w:left w:val="nil"/>
              <w:bottom w:val="nil"/>
              <w:right w:val="nil"/>
            </w:tcBorders>
            <w:shd w:val="clear" w:color="auto" w:fill="auto"/>
            <w:vAlign w:val="center"/>
            <w:hideMark/>
          </w:tcPr>
          <w:p w14:paraId="4E885793"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General Manager</w:t>
            </w:r>
          </w:p>
        </w:tc>
        <w:tc>
          <w:tcPr>
            <w:tcW w:w="1134" w:type="dxa"/>
            <w:tcBorders>
              <w:top w:val="nil"/>
              <w:left w:val="nil"/>
              <w:bottom w:val="nil"/>
              <w:right w:val="nil"/>
            </w:tcBorders>
            <w:shd w:val="clear" w:color="auto" w:fill="auto"/>
            <w:vAlign w:val="center"/>
            <w:hideMark/>
          </w:tcPr>
          <w:p w14:paraId="5F948B86"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251million – 500million</w:t>
            </w:r>
          </w:p>
        </w:tc>
        <w:tc>
          <w:tcPr>
            <w:tcW w:w="701" w:type="dxa"/>
            <w:tcBorders>
              <w:top w:val="nil"/>
              <w:left w:val="nil"/>
              <w:bottom w:val="nil"/>
              <w:right w:val="nil"/>
            </w:tcBorders>
            <w:shd w:val="clear" w:color="auto" w:fill="auto"/>
            <w:vAlign w:val="center"/>
            <w:hideMark/>
          </w:tcPr>
          <w:p w14:paraId="60B98DD0"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11</w:t>
            </w:r>
          </w:p>
        </w:tc>
        <w:tc>
          <w:tcPr>
            <w:tcW w:w="711" w:type="dxa"/>
            <w:tcBorders>
              <w:top w:val="nil"/>
              <w:left w:val="nil"/>
              <w:bottom w:val="nil"/>
              <w:right w:val="nil"/>
            </w:tcBorders>
            <w:shd w:val="clear" w:color="auto" w:fill="auto"/>
            <w:vAlign w:val="center"/>
            <w:hideMark/>
          </w:tcPr>
          <w:p w14:paraId="49824140"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SP</w:t>
            </w:r>
          </w:p>
        </w:tc>
      </w:tr>
      <w:tr w:rsidR="003F40E8" w:rsidRPr="0052113D" w14:paraId="63233FB3" w14:textId="77777777" w:rsidTr="00626F3E">
        <w:trPr>
          <w:trHeight w:val="397"/>
          <w:jc w:val="center"/>
        </w:trPr>
        <w:tc>
          <w:tcPr>
            <w:cnfStyle w:val="001000000000" w:firstRow="0" w:lastRow="0" w:firstColumn="1" w:lastColumn="0" w:oddVBand="0" w:evenVBand="0" w:oddHBand="0" w:evenHBand="0" w:firstRowFirstColumn="0" w:firstRowLastColumn="0" w:lastRowFirstColumn="0" w:lastRowLastColumn="0"/>
            <w:tcW w:w="1062" w:type="dxa"/>
            <w:tcBorders>
              <w:top w:val="nil"/>
              <w:left w:val="nil"/>
              <w:bottom w:val="nil"/>
              <w:right w:val="nil"/>
            </w:tcBorders>
            <w:vAlign w:val="center"/>
            <w:hideMark/>
          </w:tcPr>
          <w:p w14:paraId="25764E98" w14:textId="77777777" w:rsidR="003F40E8" w:rsidRPr="0052113D" w:rsidRDefault="003F40E8" w:rsidP="003F40E8">
            <w:pPr>
              <w:pStyle w:val="ListParagraph"/>
              <w:spacing w:after="0"/>
              <w:ind w:left="0"/>
              <w:rPr>
                <w:rFonts w:ascii="Times New Roman" w:hAnsi="Times New Roman"/>
                <w:color w:val="auto"/>
                <w:sz w:val="20"/>
                <w:szCs w:val="20"/>
              </w:rPr>
            </w:pPr>
            <w:r w:rsidRPr="0052113D">
              <w:rPr>
                <w:rFonts w:ascii="Times New Roman" w:hAnsi="Times New Roman"/>
                <w:b w:val="0"/>
                <w:color w:val="auto"/>
                <w:sz w:val="20"/>
                <w:szCs w:val="20"/>
                <w:lang w:val="en-US"/>
              </w:rPr>
              <w:t>Resp 13</w:t>
            </w:r>
          </w:p>
        </w:tc>
        <w:tc>
          <w:tcPr>
            <w:tcW w:w="923" w:type="dxa"/>
            <w:tcBorders>
              <w:top w:val="nil"/>
              <w:left w:val="nil"/>
              <w:bottom w:val="nil"/>
              <w:right w:val="nil"/>
            </w:tcBorders>
            <w:vAlign w:val="center"/>
            <w:hideMark/>
          </w:tcPr>
          <w:p w14:paraId="46B1D351"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lang w:val="en-US"/>
              </w:rPr>
              <w:t>Female</w:t>
            </w:r>
          </w:p>
        </w:tc>
        <w:tc>
          <w:tcPr>
            <w:tcW w:w="1276" w:type="dxa"/>
            <w:tcBorders>
              <w:top w:val="nil"/>
              <w:left w:val="nil"/>
              <w:bottom w:val="nil"/>
              <w:right w:val="nil"/>
            </w:tcBorders>
            <w:vAlign w:val="center"/>
            <w:hideMark/>
          </w:tcPr>
          <w:p w14:paraId="2F04A9D0"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lang w:val="en-US"/>
              </w:rPr>
              <w:t>Ph.D.</w:t>
            </w:r>
          </w:p>
        </w:tc>
        <w:tc>
          <w:tcPr>
            <w:tcW w:w="1275" w:type="dxa"/>
            <w:tcBorders>
              <w:top w:val="nil"/>
              <w:left w:val="nil"/>
              <w:bottom w:val="nil"/>
              <w:right w:val="nil"/>
            </w:tcBorders>
            <w:vAlign w:val="center"/>
            <w:hideMark/>
          </w:tcPr>
          <w:p w14:paraId="60F34CCE"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NIQS</w:t>
            </w:r>
          </w:p>
        </w:tc>
        <w:tc>
          <w:tcPr>
            <w:tcW w:w="709" w:type="dxa"/>
            <w:tcBorders>
              <w:top w:val="nil"/>
              <w:left w:val="nil"/>
              <w:bottom w:val="nil"/>
              <w:right w:val="nil"/>
            </w:tcBorders>
            <w:vAlign w:val="center"/>
            <w:hideMark/>
          </w:tcPr>
          <w:p w14:paraId="70D6562C"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17</w:t>
            </w:r>
          </w:p>
        </w:tc>
        <w:tc>
          <w:tcPr>
            <w:tcW w:w="1134" w:type="dxa"/>
            <w:tcBorders>
              <w:top w:val="nil"/>
              <w:left w:val="nil"/>
              <w:bottom w:val="nil"/>
              <w:right w:val="nil"/>
            </w:tcBorders>
            <w:vAlign w:val="center"/>
            <w:hideMark/>
          </w:tcPr>
          <w:p w14:paraId="69B4BFEE"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 xml:space="preserve">Project </w:t>
            </w:r>
            <w:r w:rsidRPr="0052113D">
              <w:rPr>
                <w:rFonts w:ascii="Times New Roman" w:hAnsi="Times New Roman"/>
                <w:color w:val="auto"/>
                <w:sz w:val="20"/>
                <w:szCs w:val="20"/>
                <w:lang w:val="en-US"/>
              </w:rPr>
              <w:t>Manager</w:t>
            </w:r>
          </w:p>
        </w:tc>
        <w:tc>
          <w:tcPr>
            <w:tcW w:w="1134" w:type="dxa"/>
            <w:tcBorders>
              <w:top w:val="nil"/>
              <w:left w:val="nil"/>
              <w:bottom w:val="nil"/>
              <w:right w:val="nil"/>
            </w:tcBorders>
            <w:vAlign w:val="center"/>
            <w:hideMark/>
          </w:tcPr>
          <w:p w14:paraId="563407AB"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251million – 500million</w:t>
            </w:r>
          </w:p>
        </w:tc>
        <w:tc>
          <w:tcPr>
            <w:tcW w:w="701" w:type="dxa"/>
            <w:tcBorders>
              <w:top w:val="nil"/>
              <w:left w:val="nil"/>
              <w:bottom w:val="nil"/>
              <w:right w:val="nil"/>
            </w:tcBorders>
            <w:vAlign w:val="center"/>
            <w:hideMark/>
          </w:tcPr>
          <w:p w14:paraId="25170EC7"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14</w:t>
            </w:r>
          </w:p>
        </w:tc>
        <w:tc>
          <w:tcPr>
            <w:tcW w:w="711" w:type="dxa"/>
            <w:tcBorders>
              <w:top w:val="nil"/>
              <w:left w:val="nil"/>
              <w:bottom w:val="nil"/>
              <w:right w:val="nil"/>
            </w:tcBorders>
            <w:vAlign w:val="center"/>
            <w:hideMark/>
          </w:tcPr>
          <w:p w14:paraId="009EB21A"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LLC</w:t>
            </w:r>
          </w:p>
        </w:tc>
      </w:tr>
      <w:tr w:rsidR="00680C6F" w:rsidRPr="0052113D" w14:paraId="37AC3FB7" w14:textId="77777777" w:rsidTr="00626F3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062" w:type="dxa"/>
            <w:tcBorders>
              <w:top w:val="nil"/>
              <w:left w:val="nil"/>
              <w:bottom w:val="nil"/>
              <w:right w:val="nil"/>
            </w:tcBorders>
            <w:shd w:val="clear" w:color="auto" w:fill="auto"/>
            <w:vAlign w:val="center"/>
            <w:hideMark/>
          </w:tcPr>
          <w:p w14:paraId="5A4F8EF8" w14:textId="77777777" w:rsidR="003F40E8" w:rsidRPr="0052113D" w:rsidRDefault="003F40E8" w:rsidP="003F40E8">
            <w:pPr>
              <w:pStyle w:val="ListParagraph"/>
              <w:spacing w:after="0"/>
              <w:ind w:left="0"/>
              <w:rPr>
                <w:rFonts w:ascii="Times New Roman" w:hAnsi="Times New Roman"/>
                <w:b w:val="0"/>
                <w:color w:val="auto"/>
                <w:sz w:val="20"/>
                <w:szCs w:val="20"/>
              </w:rPr>
            </w:pPr>
            <w:r w:rsidRPr="0052113D">
              <w:rPr>
                <w:rFonts w:ascii="Times New Roman" w:hAnsi="Times New Roman"/>
                <w:b w:val="0"/>
                <w:color w:val="auto"/>
                <w:sz w:val="20"/>
                <w:szCs w:val="20"/>
                <w:lang w:val="en-US"/>
              </w:rPr>
              <w:t>Resp 14</w:t>
            </w:r>
          </w:p>
        </w:tc>
        <w:tc>
          <w:tcPr>
            <w:tcW w:w="923" w:type="dxa"/>
            <w:tcBorders>
              <w:top w:val="nil"/>
              <w:left w:val="nil"/>
              <w:bottom w:val="nil"/>
              <w:right w:val="nil"/>
            </w:tcBorders>
            <w:shd w:val="clear" w:color="auto" w:fill="auto"/>
            <w:vAlign w:val="center"/>
            <w:hideMark/>
          </w:tcPr>
          <w:p w14:paraId="392C9656"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b/>
                <w:color w:val="auto"/>
                <w:sz w:val="20"/>
                <w:szCs w:val="20"/>
              </w:rPr>
            </w:pPr>
            <w:r w:rsidRPr="0052113D">
              <w:rPr>
                <w:rFonts w:ascii="Times New Roman" w:hAnsi="Times New Roman"/>
                <w:color w:val="auto"/>
                <w:sz w:val="20"/>
                <w:szCs w:val="20"/>
                <w:lang w:val="en-US"/>
              </w:rPr>
              <w:t>Male</w:t>
            </w:r>
          </w:p>
        </w:tc>
        <w:tc>
          <w:tcPr>
            <w:tcW w:w="1276" w:type="dxa"/>
            <w:tcBorders>
              <w:top w:val="nil"/>
              <w:left w:val="nil"/>
              <w:bottom w:val="nil"/>
              <w:right w:val="nil"/>
            </w:tcBorders>
            <w:shd w:val="clear" w:color="auto" w:fill="auto"/>
            <w:vAlign w:val="center"/>
            <w:hideMark/>
          </w:tcPr>
          <w:p w14:paraId="7E903DB3"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b/>
                <w:color w:val="auto"/>
                <w:sz w:val="20"/>
                <w:szCs w:val="20"/>
              </w:rPr>
            </w:pPr>
            <w:r w:rsidRPr="0052113D">
              <w:rPr>
                <w:rFonts w:ascii="Times New Roman" w:hAnsi="Times New Roman"/>
                <w:color w:val="auto"/>
                <w:sz w:val="20"/>
                <w:szCs w:val="20"/>
                <w:lang w:val="en-US"/>
              </w:rPr>
              <w:t>B.Sc.</w:t>
            </w:r>
          </w:p>
        </w:tc>
        <w:tc>
          <w:tcPr>
            <w:tcW w:w="1275" w:type="dxa"/>
            <w:tcBorders>
              <w:top w:val="nil"/>
              <w:left w:val="nil"/>
              <w:bottom w:val="nil"/>
              <w:right w:val="nil"/>
            </w:tcBorders>
            <w:shd w:val="clear" w:color="auto" w:fill="auto"/>
            <w:vAlign w:val="center"/>
            <w:hideMark/>
          </w:tcPr>
          <w:p w14:paraId="7E9C01C5"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NIESV</w:t>
            </w:r>
          </w:p>
        </w:tc>
        <w:tc>
          <w:tcPr>
            <w:tcW w:w="709" w:type="dxa"/>
            <w:tcBorders>
              <w:top w:val="nil"/>
              <w:left w:val="nil"/>
              <w:bottom w:val="nil"/>
              <w:right w:val="nil"/>
            </w:tcBorders>
            <w:shd w:val="clear" w:color="auto" w:fill="auto"/>
            <w:vAlign w:val="center"/>
            <w:hideMark/>
          </w:tcPr>
          <w:p w14:paraId="41FCEB9C"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lang w:val="en-US"/>
              </w:rPr>
            </w:pPr>
            <w:r w:rsidRPr="0052113D">
              <w:rPr>
                <w:rFonts w:ascii="Times New Roman" w:hAnsi="Times New Roman"/>
                <w:color w:val="auto"/>
                <w:sz w:val="20"/>
                <w:szCs w:val="20"/>
                <w:lang w:val="en-US"/>
              </w:rPr>
              <w:t>12</w:t>
            </w:r>
          </w:p>
        </w:tc>
        <w:tc>
          <w:tcPr>
            <w:tcW w:w="1134" w:type="dxa"/>
            <w:tcBorders>
              <w:top w:val="nil"/>
              <w:left w:val="nil"/>
              <w:bottom w:val="nil"/>
              <w:right w:val="nil"/>
            </w:tcBorders>
            <w:shd w:val="clear" w:color="auto" w:fill="auto"/>
            <w:vAlign w:val="center"/>
            <w:hideMark/>
          </w:tcPr>
          <w:p w14:paraId="1EE7A20E"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Property Manager</w:t>
            </w:r>
          </w:p>
        </w:tc>
        <w:tc>
          <w:tcPr>
            <w:tcW w:w="1134" w:type="dxa"/>
            <w:tcBorders>
              <w:top w:val="nil"/>
              <w:left w:val="nil"/>
              <w:bottom w:val="nil"/>
              <w:right w:val="nil"/>
            </w:tcBorders>
            <w:shd w:val="clear" w:color="auto" w:fill="auto"/>
            <w:vAlign w:val="center"/>
            <w:hideMark/>
          </w:tcPr>
          <w:p w14:paraId="3740B985"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751million –1billion</w:t>
            </w:r>
          </w:p>
        </w:tc>
        <w:tc>
          <w:tcPr>
            <w:tcW w:w="701" w:type="dxa"/>
            <w:tcBorders>
              <w:top w:val="nil"/>
              <w:left w:val="nil"/>
              <w:bottom w:val="nil"/>
              <w:right w:val="nil"/>
            </w:tcBorders>
            <w:shd w:val="clear" w:color="auto" w:fill="auto"/>
            <w:vAlign w:val="center"/>
            <w:hideMark/>
          </w:tcPr>
          <w:p w14:paraId="4919F344"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18</w:t>
            </w:r>
          </w:p>
        </w:tc>
        <w:tc>
          <w:tcPr>
            <w:tcW w:w="711" w:type="dxa"/>
            <w:tcBorders>
              <w:top w:val="nil"/>
              <w:left w:val="nil"/>
              <w:bottom w:val="nil"/>
              <w:right w:val="nil"/>
            </w:tcBorders>
            <w:shd w:val="clear" w:color="auto" w:fill="auto"/>
            <w:vAlign w:val="center"/>
            <w:hideMark/>
          </w:tcPr>
          <w:p w14:paraId="03964A47" w14:textId="77777777" w:rsidR="003F40E8" w:rsidRPr="0052113D" w:rsidRDefault="003F40E8" w:rsidP="003F40E8">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LLC</w:t>
            </w:r>
          </w:p>
        </w:tc>
      </w:tr>
      <w:tr w:rsidR="003F40E8" w:rsidRPr="0052113D" w14:paraId="2BDE0D8A" w14:textId="77777777" w:rsidTr="00626F3E">
        <w:trPr>
          <w:trHeight w:val="397"/>
          <w:jc w:val="center"/>
        </w:trPr>
        <w:tc>
          <w:tcPr>
            <w:cnfStyle w:val="001000000000" w:firstRow="0" w:lastRow="0" w:firstColumn="1" w:lastColumn="0" w:oddVBand="0" w:evenVBand="0" w:oddHBand="0" w:evenHBand="0" w:firstRowFirstColumn="0" w:firstRowLastColumn="0" w:lastRowFirstColumn="0" w:lastRowLastColumn="0"/>
            <w:tcW w:w="1062" w:type="dxa"/>
            <w:tcBorders>
              <w:top w:val="nil"/>
              <w:left w:val="nil"/>
              <w:bottom w:val="single" w:sz="4" w:space="0" w:color="auto"/>
              <w:right w:val="nil"/>
            </w:tcBorders>
            <w:vAlign w:val="center"/>
            <w:hideMark/>
          </w:tcPr>
          <w:p w14:paraId="6615129D" w14:textId="77777777" w:rsidR="003F40E8" w:rsidRPr="0052113D" w:rsidRDefault="003F40E8" w:rsidP="003F40E8">
            <w:pPr>
              <w:pStyle w:val="ListParagraph"/>
              <w:spacing w:after="0"/>
              <w:ind w:left="0"/>
              <w:rPr>
                <w:rFonts w:ascii="Times New Roman" w:hAnsi="Times New Roman"/>
                <w:b w:val="0"/>
                <w:color w:val="auto"/>
                <w:sz w:val="20"/>
                <w:szCs w:val="20"/>
              </w:rPr>
            </w:pPr>
            <w:r w:rsidRPr="0052113D">
              <w:rPr>
                <w:rFonts w:ascii="Times New Roman" w:hAnsi="Times New Roman"/>
                <w:b w:val="0"/>
                <w:color w:val="auto"/>
                <w:sz w:val="20"/>
                <w:szCs w:val="20"/>
                <w:lang w:val="en-US"/>
              </w:rPr>
              <w:t>Resp 15</w:t>
            </w:r>
          </w:p>
        </w:tc>
        <w:tc>
          <w:tcPr>
            <w:tcW w:w="923" w:type="dxa"/>
            <w:tcBorders>
              <w:top w:val="nil"/>
              <w:left w:val="nil"/>
              <w:bottom w:val="single" w:sz="4" w:space="0" w:color="auto"/>
              <w:right w:val="nil"/>
            </w:tcBorders>
            <w:vAlign w:val="center"/>
            <w:hideMark/>
          </w:tcPr>
          <w:p w14:paraId="517807A5"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0"/>
                <w:szCs w:val="20"/>
              </w:rPr>
            </w:pPr>
            <w:r w:rsidRPr="0052113D">
              <w:rPr>
                <w:rFonts w:ascii="Times New Roman" w:hAnsi="Times New Roman"/>
                <w:color w:val="auto"/>
                <w:sz w:val="20"/>
                <w:szCs w:val="20"/>
                <w:lang w:val="en-US"/>
              </w:rPr>
              <w:t>Female</w:t>
            </w:r>
          </w:p>
        </w:tc>
        <w:tc>
          <w:tcPr>
            <w:tcW w:w="1276" w:type="dxa"/>
            <w:tcBorders>
              <w:top w:val="nil"/>
              <w:left w:val="nil"/>
              <w:bottom w:val="single" w:sz="4" w:space="0" w:color="auto"/>
              <w:right w:val="nil"/>
            </w:tcBorders>
            <w:vAlign w:val="center"/>
            <w:hideMark/>
          </w:tcPr>
          <w:p w14:paraId="04CA3364"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0"/>
                <w:szCs w:val="20"/>
              </w:rPr>
            </w:pPr>
            <w:r w:rsidRPr="0052113D">
              <w:rPr>
                <w:rFonts w:ascii="Times New Roman" w:hAnsi="Times New Roman"/>
                <w:color w:val="auto"/>
                <w:sz w:val="20"/>
                <w:szCs w:val="20"/>
                <w:lang w:val="en-US"/>
              </w:rPr>
              <w:t>B.Sc.</w:t>
            </w:r>
          </w:p>
        </w:tc>
        <w:tc>
          <w:tcPr>
            <w:tcW w:w="1275" w:type="dxa"/>
            <w:tcBorders>
              <w:top w:val="nil"/>
              <w:left w:val="nil"/>
              <w:bottom w:val="single" w:sz="4" w:space="0" w:color="auto"/>
              <w:right w:val="nil"/>
            </w:tcBorders>
            <w:vAlign w:val="center"/>
            <w:hideMark/>
          </w:tcPr>
          <w:p w14:paraId="5C222CC3"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NIOB</w:t>
            </w:r>
          </w:p>
        </w:tc>
        <w:tc>
          <w:tcPr>
            <w:tcW w:w="709" w:type="dxa"/>
            <w:tcBorders>
              <w:top w:val="nil"/>
              <w:left w:val="nil"/>
              <w:bottom w:val="single" w:sz="4" w:space="0" w:color="auto"/>
              <w:right w:val="nil"/>
            </w:tcBorders>
            <w:vAlign w:val="center"/>
            <w:hideMark/>
          </w:tcPr>
          <w:p w14:paraId="261C1FD7"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15</w:t>
            </w:r>
          </w:p>
        </w:tc>
        <w:tc>
          <w:tcPr>
            <w:tcW w:w="1134" w:type="dxa"/>
            <w:tcBorders>
              <w:top w:val="nil"/>
              <w:left w:val="nil"/>
              <w:bottom w:val="single" w:sz="4" w:space="0" w:color="auto"/>
              <w:right w:val="nil"/>
            </w:tcBorders>
            <w:vAlign w:val="center"/>
            <w:hideMark/>
          </w:tcPr>
          <w:p w14:paraId="1FFE3D45"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Project Manager</w:t>
            </w:r>
          </w:p>
        </w:tc>
        <w:tc>
          <w:tcPr>
            <w:tcW w:w="1134" w:type="dxa"/>
            <w:tcBorders>
              <w:top w:val="nil"/>
              <w:left w:val="nil"/>
              <w:bottom w:val="single" w:sz="4" w:space="0" w:color="auto"/>
              <w:right w:val="nil"/>
            </w:tcBorders>
            <w:vAlign w:val="center"/>
            <w:hideMark/>
          </w:tcPr>
          <w:p w14:paraId="77814273"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Up to 250million</w:t>
            </w:r>
          </w:p>
        </w:tc>
        <w:tc>
          <w:tcPr>
            <w:tcW w:w="701" w:type="dxa"/>
            <w:tcBorders>
              <w:top w:val="nil"/>
              <w:left w:val="nil"/>
              <w:bottom w:val="single" w:sz="4" w:space="0" w:color="auto"/>
              <w:right w:val="nil"/>
            </w:tcBorders>
            <w:vAlign w:val="center"/>
            <w:hideMark/>
          </w:tcPr>
          <w:p w14:paraId="34DF336F"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13</w:t>
            </w:r>
          </w:p>
        </w:tc>
        <w:tc>
          <w:tcPr>
            <w:tcW w:w="711" w:type="dxa"/>
            <w:tcBorders>
              <w:top w:val="nil"/>
              <w:left w:val="nil"/>
              <w:bottom w:val="single" w:sz="4" w:space="0" w:color="auto"/>
              <w:right w:val="nil"/>
            </w:tcBorders>
            <w:vAlign w:val="center"/>
            <w:hideMark/>
          </w:tcPr>
          <w:p w14:paraId="71C4F453" w14:textId="77777777" w:rsidR="003F40E8" w:rsidRPr="0052113D" w:rsidRDefault="003F40E8" w:rsidP="003F40E8">
            <w:pPr>
              <w:pStyle w:val="ListParagraph"/>
              <w:spacing w:after="0"/>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52113D">
              <w:rPr>
                <w:rFonts w:ascii="Times New Roman" w:hAnsi="Times New Roman"/>
                <w:color w:val="auto"/>
                <w:sz w:val="20"/>
                <w:szCs w:val="20"/>
              </w:rPr>
              <w:t>LLC</w:t>
            </w:r>
          </w:p>
        </w:tc>
      </w:tr>
    </w:tbl>
    <w:p w14:paraId="00BA2481" w14:textId="77777777" w:rsidR="003F40E8" w:rsidRPr="00BE4AF3" w:rsidRDefault="003F40E8" w:rsidP="003F40E8">
      <w:pPr>
        <w:spacing w:after="0"/>
        <w:rPr>
          <w:rFonts w:ascii="Times New Roman" w:hAnsi="Times New Roman" w:cs="Times New Roman"/>
          <w:i/>
          <w:sz w:val="24"/>
          <w:szCs w:val="24"/>
        </w:rPr>
      </w:pPr>
      <w:r w:rsidRPr="00BE4AF3">
        <w:rPr>
          <w:rFonts w:ascii="Times New Roman" w:hAnsi="Times New Roman" w:cs="Times New Roman"/>
          <w:b/>
          <w:bCs/>
          <w:i/>
          <w:sz w:val="24"/>
          <w:szCs w:val="24"/>
        </w:rPr>
        <w:t>Resp</w:t>
      </w:r>
      <w:r w:rsidRPr="00BE4AF3">
        <w:rPr>
          <w:rFonts w:ascii="Times New Roman" w:hAnsi="Times New Roman" w:cs="Times New Roman"/>
          <w:i/>
          <w:sz w:val="24"/>
          <w:szCs w:val="24"/>
        </w:rPr>
        <w:t xml:space="preserve"> – Respondent</w:t>
      </w:r>
      <w:bookmarkEnd w:id="10"/>
      <w:r w:rsidRPr="00BE4AF3">
        <w:rPr>
          <w:rFonts w:ascii="Times New Roman" w:hAnsi="Times New Roman" w:cs="Times New Roman"/>
          <w:i/>
          <w:sz w:val="24"/>
          <w:szCs w:val="24"/>
        </w:rPr>
        <w:t xml:space="preserve">; </w:t>
      </w:r>
      <w:r w:rsidRPr="00BE4AF3">
        <w:rPr>
          <w:rFonts w:ascii="Times New Roman" w:hAnsi="Times New Roman" w:cs="Times New Roman"/>
          <w:b/>
          <w:bCs/>
          <w:i/>
          <w:sz w:val="24"/>
          <w:szCs w:val="24"/>
        </w:rPr>
        <w:t>SP</w:t>
      </w:r>
      <w:r w:rsidRPr="00BE4AF3">
        <w:rPr>
          <w:rFonts w:ascii="Times New Roman" w:hAnsi="Times New Roman" w:cs="Times New Roman"/>
          <w:i/>
          <w:sz w:val="24"/>
          <w:szCs w:val="24"/>
        </w:rPr>
        <w:t xml:space="preserve"> – Sole Proprietorship; </w:t>
      </w:r>
      <w:r w:rsidRPr="00BE4AF3">
        <w:rPr>
          <w:rFonts w:ascii="Times New Roman" w:hAnsi="Times New Roman" w:cs="Times New Roman"/>
          <w:b/>
          <w:bCs/>
          <w:i/>
          <w:sz w:val="24"/>
          <w:szCs w:val="24"/>
        </w:rPr>
        <w:t>LLC</w:t>
      </w:r>
      <w:r w:rsidRPr="00BE4AF3">
        <w:rPr>
          <w:rFonts w:ascii="Times New Roman" w:hAnsi="Times New Roman" w:cs="Times New Roman"/>
          <w:i/>
          <w:sz w:val="24"/>
          <w:szCs w:val="24"/>
        </w:rPr>
        <w:t xml:space="preserve"> – Limited Liability Company; </w:t>
      </w:r>
      <w:r w:rsidRPr="00BE4AF3">
        <w:rPr>
          <w:rFonts w:ascii="Times New Roman" w:hAnsi="Times New Roman" w:cs="Times New Roman"/>
          <w:b/>
          <w:bCs/>
          <w:i/>
          <w:sz w:val="24"/>
          <w:szCs w:val="24"/>
        </w:rPr>
        <w:t>NIESV</w:t>
      </w:r>
      <w:r w:rsidRPr="00BE4AF3">
        <w:rPr>
          <w:rFonts w:ascii="Times New Roman" w:hAnsi="Times New Roman" w:cs="Times New Roman"/>
          <w:i/>
          <w:sz w:val="24"/>
          <w:szCs w:val="24"/>
        </w:rPr>
        <w:t xml:space="preserve"> – Nigerian Institution of Estate Surveyors and Valuers; </w:t>
      </w:r>
      <w:r w:rsidRPr="00BE4AF3">
        <w:rPr>
          <w:rFonts w:ascii="Times New Roman" w:hAnsi="Times New Roman" w:cs="Times New Roman"/>
          <w:b/>
          <w:bCs/>
          <w:i/>
          <w:sz w:val="24"/>
          <w:szCs w:val="24"/>
        </w:rPr>
        <w:t>NIOB</w:t>
      </w:r>
      <w:r w:rsidRPr="00BE4AF3">
        <w:rPr>
          <w:rFonts w:ascii="Times New Roman" w:hAnsi="Times New Roman" w:cs="Times New Roman"/>
          <w:i/>
          <w:sz w:val="24"/>
          <w:szCs w:val="24"/>
        </w:rPr>
        <w:t xml:space="preserve"> – Nigerian Institute of Building; </w:t>
      </w:r>
      <w:r w:rsidRPr="00BE4AF3">
        <w:rPr>
          <w:rFonts w:ascii="Times New Roman" w:hAnsi="Times New Roman" w:cs="Times New Roman"/>
          <w:b/>
          <w:bCs/>
          <w:i/>
          <w:sz w:val="24"/>
          <w:szCs w:val="24"/>
        </w:rPr>
        <w:t>NIQS</w:t>
      </w:r>
      <w:r w:rsidRPr="00BE4AF3">
        <w:rPr>
          <w:rFonts w:ascii="Times New Roman" w:hAnsi="Times New Roman" w:cs="Times New Roman"/>
          <w:i/>
          <w:sz w:val="24"/>
          <w:szCs w:val="24"/>
        </w:rPr>
        <w:t xml:space="preserve"> – Nigerian Institute of Quantity Surveyors</w:t>
      </w:r>
      <w:r w:rsidRPr="00BE4AF3">
        <w:rPr>
          <w:rFonts w:ascii="Times New Roman" w:hAnsi="Times New Roman" w:cs="Times New Roman"/>
          <w:i/>
          <w:sz w:val="24"/>
          <w:szCs w:val="24"/>
        </w:rPr>
        <w:tab/>
      </w:r>
      <w:r w:rsidRPr="00BE4AF3">
        <w:rPr>
          <w:rFonts w:ascii="Times New Roman" w:hAnsi="Times New Roman" w:cs="Times New Roman"/>
          <w:i/>
          <w:sz w:val="24"/>
          <w:szCs w:val="24"/>
        </w:rPr>
        <w:tab/>
      </w:r>
      <w:r w:rsidRPr="00BE4AF3">
        <w:rPr>
          <w:rFonts w:ascii="Times New Roman" w:hAnsi="Times New Roman" w:cs="Times New Roman"/>
          <w:i/>
          <w:sz w:val="24"/>
          <w:szCs w:val="24"/>
        </w:rPr>
        <w:tab/>
      </w:r>
    </w:p>
    <w:p w14:paraId="00171347" w14:textId="77777777" w:rsidR="003F40E8" w:rsidRPr="00BE4AF3" w:rsidRDefault="003F40E8" w:rsidP="003F40E8">
      <w:pPr>
        <w:spacing w:line="480" w:lineRule="auto"/>
        <w:jc w:val="both"/>
        <w:rPr>
          <w:rFonts w:ascii="Times New Roman" w:hAnsi="Times New Roman" w:cs="Times New Roman"/>
          <w:b/>
          <w:bCs/>
          <w:color w:val="000000"/>
          <w:sz w:val="24"/>
          <w:szCs w:val="24"/>
        </w:rPr>
      </w:pPr>
      <w:r w:rsidRPr="00BE4AF3">
        <w:rPr>
          <w:rFonts w:ascii="Times New Roman" w:hAnsi="Times New Roman" w:cs="Times New Roman"/>
          <w:b/>
          <w:bCs/>
          <w:color w:val="000000"/>
          <w:sz w:val="24"/>
          <w:szCs w:val="24"/>
        </w:rPr>
        <w:t xml:space="preserve">Source: Author’s Compilation </w:t>
      </w:r>
    </w:p>
    <w:p w14:paraId="756995C8" w14:textId="77777777" w:rsidR="00680C6F" w:rsidRDefault="00680C6F" w:rsidP="003F40E8">
      <w:pPr>
        <w:spacing w:after="0" w:line="240" w:lineRule="auto"/>
        <w:jc w:val="both"/>
        <w:rPr>
          <w:rFonts w:ascii="Times New Roman" w:hAnsi="Times New Roman" w:cs="Times New Roman"/>
          <w:b/>
          <w:sz w:val="24"/>
          <w:szCs w:val="24"/>
        </w:rPr>
      </w:pPr>
    </w:p>
    <w:p w14:paraId="257E8154" w14:textId="77777777" w:rsidR="00680C6F" w:rsidRDefault="00680C6F" w:rsidP="003F40E8">
      <w:pPr>
        <w:spacing w:after="0" w:line="240" w:lineRule="auto"/>
        <w:jc w:val="both"/>
        <w:rPr>
          <w:rFonts w:ascii="Times New Roman" w:hAnsi="Times New Roman" w:cs="Times New Roman"/>
          <w:b/>
          <w:sz w:val="24"/>
          <w:szCs w:val="24"/>
        </w:rPr>
      </w:pPr>
    </w:p>
    <w:p w14:paraId="104B36EE" w14:textId="6EA405C6" w:rsidR="003F40E8" w:rsidRPr="00BE4AF3" w:rsidRDefault="003F40E8" w:rsidP="003F40E8">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lastRenderedPageBreak/>
        <w:t>Discussion of Findings</w:t>
      </w:r>
    </w:p>
    <w:p w14:paraId="308706EA" w14:textId="77777777" w:rsidR="003F40E8" w:rsidRPr="00BE4AF3" w:rsidRDefault="003F40E8" w:rsidP="003F40E8">
      <w:pPr>
        <w:spacing w:line="240" w:lineRule="auto"/>
        <w:jc w:val="both"/>
        <w:rPr>
          <w:rFonts w:ascii="Times New Roman" w:hAnsi="Times New Roman" w:cs="Times New Roman"/>
          <w:sz w:val="24"/>
          <w:szCs w:val="24"/>
          <w:lang w:val="en-US"/>
        </w:rPr>
      </w:pPr>
      <w:r w:rsidRPr="00BE4AF3">
        <w:rPr>
          <w:rFonts w:ascii="Times New Roman" w:hAnsi="Times New Roman" w:cs="Times New Roman"/>
          <w:sz w:val="24"/>
          <w:szCs w:val="24"/>
        </w:rPr>
        <w:t xml:space="preserve">As presented in Figure 1 and 2, the responses from the interviewees suggested that the respondents are of 2 divisions when it comes to the procedure of pre-letting and pre-sale financing options. While the 2 categories agreed that </w:t>
      </w:r>
      <w:r w:rsidRPr="00BE4AF3">
        <w:rPr>
          <w:rFonts w:ascii="Times New Roman" w:hAnsi="Times New Roman" w:cs="Times New Roman"/>
          <w:sz w:val="24"/>
          <w:szCs w:val="24"/>
          <w:lang w:val="en-US"/>
        </w:rPr>
        <w:t xml:space="preserve">pre-sale and pre-letting options follow the same procedure, one category emphasise the necessity of constructing a prototype building which prospective client can inspect for quality assurance, the others agreed that a 3D architectural modelling suffices. The procedures extracted from the interview were the same with the findings of Oni (1991) as cited in Oloke et al. (2017). The slight line of difference were the 4 steps after the security of necessary approval which are the production of prototype or 3D model, selection of marketing strategies, preparation of contract details and receipt of initial deposit. The findings </w:t>
      </w:r>
      <w:r w:rsidRPr="00BE4AF3">
        <w:rPr>
          <w:rFonts w:ascii="Times New Roman" w:hAnsi="Times New Roman" w:cs="Times New Roman"/>
          <w:sz w:val="24"/>
          <w:szCs w:val="24"/>
        </w:rPr>
        <w:t xml:space="preserve">through the content analysis </w:t>
      </w:r>
      <w:r w:rsidRPr="00BE4AF3">
        <w:rPr>
          <w:rFonts w:ascii="Times New Roman" w:hAnsi="Times New Roman" w:cs="Times New Roman"/>
          <w:sz w:val="24"/>
          <w:szCs w:val="24"/>
          <w:lang w:val="en-US"/>
        </w:rPr>
        <w:t>revealed that instead of actual construction, the PDCs rather build a unit as prototype or produce a 3D architectural modelling which prospective clients can relate with during the marketing.</w:t>
      </w:r>
    </w:p>
    <w:p w14:paraId="47210010" w14:textId="77777777" w:rsidR="003F40E8" w:rsidRPr="00BE4AF3" w:rsidRDefault="003F40E8" w:rsidP="003F40E8">
      <w:pPr>
        <w:jc w:val="center"/>
        <w:rPr>
          <w:rFonts w:ascii="Times New Roman" w:hAnsi="Times New Roman" w:cs="Times New Roman"/>
          <w:b/>
          <w:sz w:val="24"/>
          <w:szCs w:val="24"/>
        </w:rPr>
      </w:pPr>
      <w:r w:rsidRPr="00BE4AF3">
        <w:rPr>
          <w:rFonts w:ascii="Times New Roman" w:hAnsi="Times New Roman" w:cs="Times New Roman"/>
          <w:b/>
          <w:sz w:val="24"/>
          <w:szCs w:val="24"/>
        </w:rPr>
        <w:t>CATEGORY A</w:t>
      </w:r>
    </w:p>
    <w:p w14:paraId="580C5142" w14:textId="77777777" w:rsidR="003F40E8" w:rsidRPr="00BE4AF3" w:rsidRDefault="003F40E8" w:rsidP="003F40E8">
      <w:pPr>
        <w:spacing w:after="0"/>
        <w:ind w:left="720" w:firstLine="720"/>
        <w:jc w:val="both"/>
        <w:rPr>
          <w:rFonts w:ascii="Times New Roman" w:hAnsi="Times New Roman" w:cs="Times New Roman"/>
          <w:sz w:val="24"/>
          <w:szCs w:val="24"/>
        </w:rPr>
      </w:pPr>
      <w:r w:rsidRPr="00BE4AF3">
        <w:rPr>
          <w:rFonts w:ascii="Times New Roman" w:hAnsi="Times New Roman" w:cs="Times New Roman"/>
          <w:sz w:val="24"/>
          <w:szCs w:val="24"/>
        </w:rPr>
        <w:t>(Resp 2, Resp 3, Resp 4, Resp 7, Resp 8, Resp 10, Resp 12, Resp 13)</w:t>
      </w:r>
    </w:p>
    <w:p w14:paraId="6B963CF2" w14:textId="77777777" w:rsidR="003F40E8" w:rsidRPr="00BE4AF3" w:rsidRDefault="003F40E8" w:rsidP="003F40E8">
      <w:pPr>
        <w:jc w:val="both"/>
        <w:rPr>
          <w:rFonts w:ascii="Times New Roman" w:hAnsi="Times New Roman" w:cs="Times New Roman"/>
          <w:b/>
          <w:sz w:val="24"/>
          <w:szCs w:val="24"/>
        </w:rPr>
      </w:pPr>
      <w:r w:rsidRPr="00BE4AF3">
        <w:rPr>
          <w:rFonts w:ascii="Times New Roman" w:hAnsi="Times New Roman" w:cs="Times New Roman"/>
          <w:noProof/>
          <w:sz w:val="24"/>
          <w:szCs w:val="24"/>
          <w:lang w:eastAsia="en-GB"/>
        </w:rPr>
        <mc:AlternateContent>
          <mc:Choice Requires="wps">
            <w:drawing>
              <wp:anchor distT="0" distB="0" distL="114300" distR="114300" simplePos="0" relativeHeight="251659264" behindDoc="0" locked="0" layoutInCell="1" allowOverlap="1" wp14:anchorId="715BCAF0" wp14:editId="69855FFB">
                <wp:simplePos x="0" y="0"/>
                <wp:positionH relativeFrom="column">
                  <wp:posOffset>1732915</wp:posOffset>
                </wp:positionH>
                <wp:positionV relativeFrom="paragraph">
                  <wp:posOffset>2291964</wp:posOffset>
                </wp:positionV>
                <wp:extent cx="2762250" cy="619125"/>
                <wp:effectExtent l="0" t="0" r="19050" b="28575"/>
                <wp:wrapNone/>
                <wp:docPr id="13" name="Rectangle 13"/>
                <wp:cNvGraphicFramePr/>
                <a:graphic xmlns:a="http://schemas.openxmlformats.org/drawingml/2006/main">
                  <a:graphicData uri="http://schemas.microsoft.com/office/word/2010/wordprocessingShape">
                    <wps:wsp>
                      <wps:cNvSpPr/>
                      <wps:spPr>
                        <a:xfrm>
                          <a:off x="0" y="0"/>
                          <a:ext cx="2762250" cy="619125"/>
                        </a:xfrm>
                        <a:prstGeom prst="rect">
                          <a:avLst/>
                        </a:prstGeom>
                        <a:ln>
                          <a:prstDash val="dash"/>
                        </a:ln>
                      </wps:spPr>
                      <wps:style>
                        <a:lnRef idx="2">
                          <a:schemeClr val="dk1"/>
                        </a:lnRef>
                        <a:fillRef idx="1">
                          <a:schemeClr val="lt1"/>
                        </a:fillRef>
                        <a:effectRef idx="0">
                          <a:schemeClr val="dk1"/>
                        </a:effectRef>
                        <a:fontRef idx="minor">
                          <a:schemeClr val="dk1"/>
                        </a:fontRef>
                      </wps:style>
                      <wps:txbx>
                        <w:txbxContent>
                          <w:p w14:paraId="526A3E64" w14:textId="77777777" w:rsidR="00BE4AF3" w:rsidRDefault="00BE4AF3" w:rsidP="003F40E8">
                            <w:pPr>
                              <w:jc w:val="center"/>
                              <w:rPr>
                                <w:lang w:val="en-US"/>
                              </w:rPr>
                            </w:pPr>
                            <w:r>
                              <w:rPr>
                                <w:lang w:val="en-US"/>
                              </w:rPr>
                              <w:t>Processing of Refund of Initial Deposit less a Pre-determined Percentage as Penalty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15BCAF0" id="Rectangle 13" o:spid="_x0000_s1026" style="position:absolute;left:0;text-align:left;margin-left:136.45pt;margin-top:180.45pt;width:217.5pt;height:4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" fillcolor="white [3201]" strokecolor="black [3200]" strokeweight="1pt">
                <v:stroke dashstyle="dash"/>
                <v:textbox>
                  <w:txbxContent>
                    <w:p w14:paraId="526A3E64" w14:textId="77777777" w:rsidR="00BE4AF3" w:rsidRDefault="00BE4AF3" w:rsidP="003F40E8">
                      <w:pPr>
                        <w:jc w:val="center"/>
                        <w:rPr>
                          <w:lang w:val="en-US"/>
                        </w:rPr>
                      </w:pPr>
                      <w:r>
                        <w:rPr>
                          <w:lang w:val="en-US"/>
                        </w:rPr>
                        <w:t>Processing of Refund of Initial Deposit less a Pre-determined Percentage as Penalty</w:t>
                      </w:r>
                    </w:p>
                  </w:txbxContent>
                </v:textbox>
              </v:rect>
            </w:pict>
          </mc:Fallback>
        </mc:AlternateContent>
      </w:r>
      <w:r w:rsidRPr="00BE4AF3">
        <w:rPr>
          <w:rFonts w:ascii="Times New Roman" w:hAnsi="Times New Roman" w:cs="Times New Roman"/>
          <w:noProof/>
          <w:sz w:val="24"/>
          <w:szCs w:val="24"/>
          <w:lang w:eastAsia="en-GB"/>
        </w:rPr>
        <mc:AlternateContent>
          <mc:Choice Requires="wps">
            <w:drawing>
              <wp:anchor distT="0" distB="0" distL="114300" distR="114300" simplePos="0" relativeHeight="251660288" behindDoc="0" locked="0" layoutInCell="1" allowOverlap="1" wp14:anchorId="3CC017B2" wp14:editId="3059D6A4">
                <wp:simplePos x="0" y="0"/>
                <wp:positionH relativeFrom="column">
                  <wp:posOffset>4494530</wp:posOffset>
                </wp:positionH>
                <wp:positionV relativeFrom="paragraph">
                  <wp:posOffset>2522082</wp:posOffset>
                </wp:positionV>
                <wp:extent cx="723900" cy="0"/>
                <wp:effectExtent l="38100" t="76200" r="0" b="95250"/>
                <wp:wrapNone/>
                <wp:docPr id="16" name="Straight Arrow Connector 16"/>
                <wp:cNvGraphicFramePr/>
                <a:graphic xmlns:a="http://schemas.openxmlformats.org/drawingml/2006/main">
                  <a:graphicData uri="http://schemas.microsoft.com/office/word/2010/wordprocessingShape">
                    <wps:wsp>
                      <wps:cNvCnPr/>
                      <wps:spPr>
                        <a:xfrm flipH="1">
                          <a:off x="0" y="0"/>
                          <a:ext cx="723900" cy="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7DD3614A" id="_x0000_t32" coordsize="21600,21600" o:spt="32" o:oned="t" path="m,l21600,21600e" filled="f">
                <v:path arrowok="t" fillok="f" o:connecttype="none"/>
                <o:lock v:ext="edit" shapetype="t"/>
              </v:shapetype>
              <v:shape id="Straight Arrow Connector 16" o:spid="_x0000_s1026" type="#_x0000_t32" style="position:absolute;margin-left:353.9pt;margin-top:198.6pt;width:57pt;height:0;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" strokecolor="black [3200]" strokeweight=".5pt">
                <v:stroke dashstyle="dash" endarrow="block" joinstyle="miter"/>
              </v:shape>
            </w:pict>
          </mc:Fallback>
        </mc:AlternateContent>
      </w:r>
      <w:r w:rsidRPr="00BE4AF3">
        <w:rPr>
          <w:rFonts w:ascii="Times New Roman" w:hAnsi="Times New Roman" w:cs="Times New Roman"/>
          <w:noProof/>
          <w:sz w:val="24"/>
          <w:szCs w:val="24"/>
          <w:lang w:eastAsia="en-GB"/>
        </w:rPr>
        <mc:AlternateContent>
          <mc:Choice Requires="wps">
            <w:drawing>
              <wp:anchor distT="0" distB="0" distL="114300" distR="114300" simplePos="0" relativeHeight="251661312" behindDoc="0" locked="0" layoutInCell="1" allowOverlap="1" wp14:anchorId="018C164B" wp14:editId="763FDE03">
                <wp:simplePos x="0" y="0"/>
                <wp:positionH relativeFrom="column">
                  <wp:posOffset>5208270</wp:posOffset>
                </wp:positionH>
                <wp:positionV relativeFrom="paragraph">
                  <wp:posOffset>2036445</wp:posOffset>
                </wp:positionV>
                <wp:extent cx="0" cy="495300"/>
                <wp:effectExtent l="0" t="0" r="38100" b="19050"/>
                <wp:wrapNone/>
                <wp:docPr id="15" name="Straight Connector 15"/>
                <wp:cNvGraphicFramePr/>
                <a:graphic xmlns:a="http://schemas.openxmlformats.org/drawingml/2006/main">
                  <a:graphicData uri="http://schemas.microsoft.com/office/word/2010/wordprocessingShape">
                    <wps:wsp>
                      <wps:cNvCnPr/>
                      <wps:spPr>
                        <a:xfrm>
                          <a:off x="0" y="0"/>
                          <a:ext cx="0" cy="49530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01200AE" id="Straight Connector 15"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1pt,160.35pt" to="410.1pt,19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" strokecolor="black [3200]" strokeweight=".5pt">
                <v:stroke dashstyle="dash" joinstyle="miter"/>
              </v:line>
            </w:pict>
          </mc:Fallback>
        </mc:AlternateContent>
      </w:r>
      <w:r w:rsidRPr="00BE4AF3">
        <w:rPr>
          <w:rFonts w:ascii="Times New Roman" w:hAnsi="Times New Roman" w:cs="Times New Roman"/>
          <w:b/>
          <w:noProof/>
          <w:sz w:val="24"/>
          <w:szCs w:val="24"/>
          <w:lang w:eastAsia="en-GB"/>
        </w:rPr>
        <w:drawing>
          <wp:inline distT="0" distB="0" distL="0" distR="0" wp14:anchorId="0B34FDB9" wp14:editId="62CA15B4">
            <wp:extent cx="5676900" cy="2902226"/>
            <wp:effectExtent l="0" t="0" r="19050" b="12700"/>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7DAD064C" w14:textId="3687888A" w:rsidR="003F40E8" w:rsidRPr="00BE4AF3" w:rsidRDefault="003F40E8" w:rsidP="0000229F">
      <w:pPr>
        <w:spacing w:after="0" w:line="240" w:lineRule="auto"/>
        <w:jc w:val="center"/>
        <w:rPr>
          <w:rFonts w:ascii="Times New Roman" w:hAnsi="Times New Roman" w:cs="Times New Roman"/>
          <w:i/>
          <w:sz w:val="24"/>
          <w:szCs w:val="24"/>
        </w:rPr>
      </w:pPr>
      <w:r w:rsidRPr="00BE4AF3">
        <w:rPr>
          <w:rFonts w:ascii="Times New Roman" w:hAnsi="Times New Roman" w:cs="Times New Roman"/>
          <w:i/>
          <w:sz w:val="24"/>
          <w:szCs w:val="24"/>
        </w:rPr>
        <w:t>Resp – Respondent</w:t>
      </w:r>
    </w:p>
    <w:p w14:paraId="71D79182" w14:textId="0AF7A4FC" w:rsidR="003F40E8" w:rsidRPr="00BE4AF3" w:rsidRDefault="003F40E8" w:rsidP="0000229F">
      <w:pPr>
        <w:ind w:firstLine="720"/>
        <w:jc w:val="center"/>
        <w:rPr>
          <w:rFonts w:ascii="Times New Roman" w:hAnsi="Times New Roman" w:cs="Times New Roman"/>
          <w:b/>
          <w:bCs/>
          <w:iCs/>
          <w:sz w:val="24"/>
          <w:szCs w:val="24"/>
        </w:rPr>
      </w:pPr>
      <w:r w:rsidRPr="00BE4AF3">
        <w:rPr>
          <w:rFonts w:ascii="Times New Roman" w:hAnsi="Times New Roman" w:cs="Times New Roman"/>
          <w:b/>
          <w:bCs/>
          <w:iCs/>
          <w:sz w:val="24"/>
          <w:szCs w:val="24"/>
        </w:rPr>
        <w:t>Figure 1</w:t>
      </w:r>
      <w:r w:rsidR="00136F88">
        <w:rPr>
          <w:rFonts w:ascii="Times New Roman" w:hAnsi="Times New Roman" w:cs="Times New Roman"/>
          <w:b/>
          <w:bCs/>
          <w:iCs/>
          <w:sz w:val="24"/>
          <w:szCs w:val="24"/>
        </w:rPr>
        <w:t>:</w:t>
      </w:r>
      <w:r w:rsidRPr="00BE4AF3">
        <w:rPr>
          <w:rFonts w:ascii="Times New Roman" w:hAnsi="Times New Roman" w:cs="Times New Roman"/>
          <w:b/>
          <w:bCs/>
          <w:iCs/>
          <w:sz w:val="24"/>
          <w:szCs w:val="24"/>
        </w:rPr>
        <w:t xml:space="preserve"> </w:t>
      </w:r>
      <w:r w:rsidRPr="0000229F">
        <w:rPr>
          <w:rFonts w:ascii="Times New Roman" w:hAnsi="Times New Roman" w:cs="Times New Roman"/>
          <w:iCs/>
          <w:sz w:val="24"/>
          <w:szCs w:val="24"/>
        </w:rPr>
        <w:t>Responses of category A</w:t>
      </w:r>
    </w:p>
    <w:p w14:paraId="75F62AD3" w14:textId="77777777" w:rsidR="003F40E8" w:rsidRPr="00BE4AF3" w:rsidRDefault="003F40E8" w:rsidP="003F40E8">
      <w:pPr>
        <w:spacing w:line="240" w:lineRule="auto"/>
        <w:jc w:val="both"/>
        <w:rPr>
          <w:rFonts w:ascii="Times New Roman" w:hAnsi="Times New Roman" w:cs="Times New Roman"/>
          <w:sz w:val="24"/>
          <w:szCs w:val="24"/>
        </w:rPr>
      </w:pPr>
      <w:r w:rsidRPr="00BE4AF3">
        <w:rPr>
          <w:rFonts w:ascii="Times New Roman" w:hAnsi="Times New Roman" w:cs="Times New Roman"/>
          <w:sz w:val="24"/>
          <w:szCs w:val="24"/>
        </w:rPr>
        <w:t>The analysis in Figure 1 revealed the pre-letting and pre-sale financing procedure as highlighted by category A respondents, who believed there must be construction of a prototype which buyer or tenant can inspect for an informed decision making. This category of interviewee ascertained as noted below:</w:t>
      </w:r>
    </w:p>
    <w:p w14:paraId="7FD5D191" w14:textId="77777777" w:rsidR="003F40E8" w:rsidRPr="00BE4AF3" w:rsidRDefault="003F40E8" w:rsidP="003F40E8">
      <w:pPr>
        <w:spacing w:line="240" w:lineRule="auto"/>
        <w:ind w:left="709" w:right="663"/>
        <w:jc w:val="both"/>
        <w:rPr>
          <w:rFonts w:ascii="Times New Roman" w:hAnsi="Times New Roman" w:cs="Times New Roman"/>
          <w:i/>
          <w:iCs/>
          <w:sz w:val="24"/>
          <w:szCs w:val="24"/>
        </w:rPr>
      </w:pPr>
      <w:r w:rsidRPr="00BE4AF3">
        <w:rPr>
          <w:rFonts w:ascii="Times New Roman" w:eastAsia="Times New Roman" w:hAnsi="Times New Roman" w:cs="Times New Roman"/>
          <w:i/>
          <w:iCs/>
          <w:spacing w:val="11"/>
          <w:sz w:val="24"/>
          <w:szCs w:val="24"/>
          <w:lang w:eastAsia="en-GB"/>
        </w:rPr>
        <w:t xml:space="preserve">We must first come to a stage where we can show people what the end product will look like (Resp 2). No one will be willing to commit huge sum of money on a property they are not sure of what the quality and design is (Resp 7). …it is necessary that the developer come up with something that potential client can relate with (Resp 8). It is what they see that confirms </w:t>
      </w:r>
      <w:r w:rsidRPr="00BE4AF3">
        <w:rPr>
          <w:rFonts w:ascii="Times New Roman" w:eastAsia="Times New Roman" w:hAnsi="Times New Roman" w:cs="Times New Roman"/>
          <w:i/>
          <w:iCs/>
          <w:spacing w:val="11"/>
          <w:sz w:val="24"/>
          <w:szCs w:val="24"/>
          <w:lang w:eastAsia="en-GB"/>
        </w:rPr>
        <w:lastRenderedPageBreak/>
        <w:t>quality to them. As we all know, in Nigeria, no one will be willing to part with huge sum of money, I mean, expend so much on a project he cannot guarantee its quality (Resp 3). Some make use of 3D design … the result cannot be compared with a situation where you have an actual construction for inspection. Not that some client will not go for such arrangement but comparing result, built prototype is far better and easy to market (Resp 2).</w:t>
      </w:r>
    </w:p>
    <w:p w14:paraId="48D59DB0" w14:textId="77777777" w:rsidR="003F40E8" w:rsidRPr="00BE4AF3" w:rsidRDefault="003F40E8" w:rsidP="003F40E8">
      <w:pPr>
        <w:spacing w:line="240" w:lineRule="auto"/>
        <w:jc w:val="both"/>
        <w:rPr>
          <w:rFonts w:ascii="Times New Roman" w:hAnsi="Times New Roman" w:cs="Times New Roman"/>
          <w:sz w:val="24"/>
          <w:szCs w:val="24"/>
        </w:rPr>
      </w:pPr>
      <w:r w:rsidRPr="00BE4AF3">
        <w:rPr>
          <w:rFonts w:ascii="Times New Roman" w:hAnsi="Times New Roman" w:cs="Times New Roman"/>
          <w:sz w:val="24"/>
          <w:szCs w:val="24"/>
        </w:rPr>
        <w:t>In another view, respondents that constituted category B noted that it is not necessary to always have prototype structure before engaging pre-letting and pre-sale financing arrangements. They suggested that 3D architectural model would suffice in addition to the past history and integrity of the firm.</w:t>
      </w:r>
    </w:p>
    <w:p w14:paraId="460F4613" w14:textId="77777777" w:rsidR="003F40E8" w:rsidRPr="00BE4AF3" w:rsidRDefault="003F40E8" w:rsidP="003F40E8">
      <w:pPr>
        <w:spacing w:line="240" w:lineRule="auto"/>
        <w:ind w:left="709" w:right="521"/>
        <w:rPr>
          <w:rFonts w:ascii="Times New Roman" w:hAnsi="Times New Roman" w:cs="Times New Roman"/>
          <w:b/>
          <w:sz w:val="24"/>
          <w:szCs w:val="24"/>
        </w:rPr>
      </w:pPr>
      <w:r w:rsidRPr="00BE4AF3">
        <w:rPr>
          <w:rFonts w:ascii="Times New Roman" w:hAnsi="Times New Roman" w:cs="Times New Roman"/>
          <w:sz w:val="24"/>
          <w:szCs w:val="24"/>
        </w:rPr>
        <w:t>When you have plan, though you have not put anything up it doesn’t mean that you won’t have a design (Resp 11). From the master plan you know how many units that exist … Clients buy based on the 3D design (Resp 1).</w:t>
      </w:r>
    </w:p>
    <w:p w14:paraId="45B0194F" w14:textId="62C96321" w:rsidR="003F40E8" w:rsidRPr="0000229F" w:rsidRDefault="003F40E8" w:rsidP="0000229F">
      <w:pPr>
        <w:spacing w:line="240" w:lineRule="auto"/>
        <w:jc w:val="both"/>
        <w:rPr>
          <w:rFonts w:ascii="Times New Roman" w:hAnsi="Times New Roman" w:cs="Times New Roman"/>
          <w:sz w:val="24"/>
          <w:szCs w:val="24"/>
          <w:lang w:val="en-US"/>
        </w:rPr>
      </w:pPr>
      <w:r w:rsidRPr="00BE4AF3">
        <w:rPr>
          <w:rFonts w:ascii="Times New Roman" w:hAnsi="Times New Roman" w:cs="Times New Roman"/>
          <w:sz w:val="24"/>
          <w:szCs w:val="24"/>
          <w:lang w:val="en-US"/>
        </w:rPr>
        <w:t>From the findings, the procedures for pre-letting and pre-sale financing options follow this sequence: site acquisition, site surveying, feasibility and viability study, project costing, proposed development blueprint design, securing of necessary approval, construction of prototype unit or design of a 3D model, selection of suitable medium for marketing, prepare a detailed sales/lease contract, receipt of initial deposit from prospective client, kick-starting of the actual construction, project delivery after completion, handing over of deed of assignment upon completion of payment by client and processing of refund of initial deposit, less a pre-determined percentage as penalty, if the buyer default in payment.</w:t>
      </w:r>
    </w:p>
    <w:p w14:paraId="0FC7CA69" w14:textId="77777777" w:rsidR="003F40E8" w:rsidRPr="00BE4AF3" w:rsidRDefault="003F40E8" w:rsidP="003F40E8">
      <w:pPr>
        <w:jc w:val="center"/>
        <w:rPr>
          <w:rFonts w:ascii="Times New Roman" w:hAnsi="Times New Roman" w:cs="Times New Roman"/>
          <w:b/>
          <w:sz w:val="24"/>
          <w:szCs w:val="24"/>
        </w:rPr>
      </w:pPr>
      <w:r w:rsidRPr="00BE4AF3">
        <w:rPr>
          <w:rFonts w:ascii="Times New Roman" w:hAnsi="Times New Roman" w:cs="Times New Roman"/>
          <w:b/>
          <w:sz w:val="24"/>
          <w:szCs w:val="24"/>
        </w:rPr>
        <w:t>CATEGORY B</w:t>
      </w:r>
    </w:p>
    <w:p w14:paraId="7EACE865" w14:textId="77777777" w:rsidR="003F40E8" w:rsidRPr="00BE4AF3" w:rsidRDefault="003F40E8" w:rsidP="003F40E8">
      <w:pPr>
        <w:spacing w:after="0"/>
        <w:ind w:left="720" w:firstLine="720"/>
        <w:jc w:val="both"/>
        <w:rPr>
          <w:rFonts w:ascii="Times New Roman" w:hAnsi="Times New Roman" w:cs="Times New Roman"/>
          <w:sz w:val="24"/>
          <w:szCs w:val="24"/>
        </w:rPr>
      </w:pPr>
      <w:r w:rsidRPr="00BE4AF3">
        <w:rPr>
          <w:rFonts w:ascii="Times New Roman" w:hAnsi="Times New Roman" w:cs="Times New Roman"/>
          <w:sz w:val="24"/>
          <w:szCs w:val="24"/>
        </w:rPr>
        <w:t>(Resp 1, Resp 5, Resp 6, Resp 9, Resp 11, Resp 14, Resp 15)</w:t>
      </w:r>
    </w:p>
    <w:p w14:paraId="4A5C6B1E" w14:textId="77777777" w:rsidR="003F40E8" w:rsidRPr="00BE4AF3" w:rsidRDefault="003F40E8" w:rsidP="0000229F">
      <w:pPr>
        <w:jc w:val="center"/>
        <w:rPr>
          <w:rFonts w:ascii="Times New Roman" w:hAnsi="Times New Roman" w:cs="Times New Roman"/>
          <w:i/>
          <w:sz w:val="24"/>
          <w:szCs w:val="24"/>
        </w:rPr>
      </w:pPr>
      <w:r w:rsidRPr="00BE4AF3">
        <w:rPr>
          <w:rFonts w:ascii="Times New Roman" w:hAnsi="Times New Roman" w:cs="Times New Roman"/>
          <w:noProof/>
          <w:sz w:val="24"/>
          <w:szCs w:val="24"/>
          <w:lang w:eastAsia="en-GB"/>
        </w:rPr>
        <mc:AlternateContent>
          <mc:Choice Requires="wps">
            <w:drawing>
              <wp:anchor distT="0" distB="0" distL="114300" distR="114300" simplePos="0" relativeHeight="251663360" behindDoc="0" locked="0" layoutInCell="1" allowOverlap="1" wp14:anchorId="28AC1BF4" wp14:editId="6DB9247F">
                <wp:simplePos x="0" y="0"/>
                <wp:positionH relativeFrom="column">
                  <wp:posOffset>1609311</wp:posOffset>
                </wp:positionH>
                <wp:positionV relativeFrom="paragraph">
                  <wp:posOffset>2328766</wp:posOffset>
                </wp:positionV>
                <wp:extent cx="2762250" cy="619125"/>
                <wp:effectExtent l="0" t="0" r="19050" b="28575"/>
                <wp:wrapNone/>
                <wp:docPr id="18" name="Rectangle 18"/>
                <wp:cNvGraphicFramePr/>
                <a:graphic xmlns:a="http://schemas.openxmlformats.org/drawingml/2006/main">
                  <a:graphicData uri="http://schemas.microsoft.com/office/word/2010/wordprocessingShape">
                    <wps:wsp>
                      <wps:cNvSpPr/>
                      <wps:spPr>
                        <a:xfrm>
                          <a:off x="0" y="0"/>
                          <a:ext cx="2762250" cy="619125"/>
                        </a:xfrm>
                        <a:prstGeom prst="rect">
                          <a:avLst/>
                        </a:prstGeom>
                        <a:ln>
                          <a:prstDash val="dash"/>
                        </a:ln>
                      </wps:spPr>
                      <wps:style>
                        <a:lnRef idx="2">
                          <a:schemeClr val="dk1"/>
                        </a:lnRef>
                        <a:fillRef idx="1">
                          <a:schemeClr val="lt1"/>
                        </a:fillRef>
                        <a:effectRef idx="0">
                          <a:schemeClr val="dk1"/>
                        </a:effectRef>
                        <a:fontRef idx="minor">
                          <a:schemeClr val="dk1"/>
                        </a:fontRef>
                      </wps:style>
                      <wps:txbx>
                        <w:txbxContent>
                          <w:p w14:paraId="7F2CF7E2" w14:textId="77777777" w:rsidR="00BE4AF3" w:rsidRDefault="00BE4AF3" w:rsidP="003F40E8">
                            <w:pPr>
                              <w:jc w:val="center"/>
                              <w:rPr>
                                <w:lang w:val="en-US"/>
                              </w:rPr>
                            </w:pPr>
                            <w:bookmarkStart w:id="11" w:name="_Hlk119580940"/>
                            <w:bookmarkStart w:id="12" w:name="_Hlk119580939"/>
                            <w:r>
                              <w:rPr>
                                <w:lang w:val="en-US"/>
                              </w:rPr>
                              <w:t>Processing of Refund of Initial Deposit less a Pre-determined Percentage as Penalty</w:t>
                            </w:r>
                            <w:bookmarkEnd w:id="11"/>
                            <w:bookmarkEnd w:id="1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8AC1BF4" id="Rectangle 18" o:spid="_x0000_s1027" style="position:absolute;left:0;text-align:left;margin-left:126.7pt;margin-top:183.35pt;width:217.5pt;height:48.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" fillcolor="white [3201]" strokecolor="black [3200]" strokeweight="1pt">
                <v:stroke dashstyle="dash"/>
                <v:textbox>
                  <w:txbxContent>
                    <w:p w14:paraId="7F2CF7E2" w14:textId="77777777" w:rsidR="00BE4AF3" w:rsidRDefault="00BE4AF3" w:rsidP="003F40E8">
                      <w:pPr>
                        <w:jc w:val="center"/>
                        <w:rPr>
                          <w:lang w:val="en-US"/>
                        </w:rPr>
                      </w:pPr>
                      <w:bookmarkStart w:id="13" w:name="_Hlk119580940"/>
                      <w:bookmarkStart w:id="14" w:name="_Hlk119580939"/>
                      <w:r>
                        <w:rPr>
                          <w:lang w:val="en-US"/>
                        </w:rPr>
                        <w:t>Processing of Refund of Initial Deposit less a Pre-determined Percentage as Penalty</w:t>
                      </w:r>
                      <w:bookmarkEnd w:id="13"/>
                      <w:bookmarkEnd w:id="14"/>
                    </w:p>
                  </w:txbxContent>
                </v:textbox>
              </v:rect>
            </w:pict>
          </mc:Fallback>
        </mc:AlternateContent>
      </w:r>
      <w:r w:rsidRPr="00BE4AF3">
        <w:rPr>
          <w:rFonts w:ascii="Times New Roman" w:hAnsi="Times New Roman" w:cs="Times New Roman"/>
          <w:noProof/>
          <w:sz w:val="24"/>
          <w:szCs w:val="24"/>
          <w:lang w:eastAsia="en-GB"/>
        </w:rPr>
        <mc:AlternateContent>
          <mc:Choice Requires="wps">
            <w:drawing>
              <wp:anchor distT="0" distB="0" distL="114300" distR="114300" simplePos="0" relativeHeight="251662336" behindDoc="0" locked="0" layoutInCell="1" allowOverlap="1" wp14:anchorId="72BA1990" wp14:editId="6873AC36">
                <wp:simplePos x="0" y="0"/>
                <wp:positionH relativeFrom="column">
                  <wp:posOffset>4376530</wp:posOffset>
                </wp:positionH>
                <wp:positionV relativeFrom="paragraph">
                  <wp:posOffset>2713521</wp:posOffset>
                </wp:positionV>
                <wp:extent cx="733425" cy="0"/>
                <wp:effectExtent l="38100" t="76200" r="0" b="95250"/>
                <wp:wrapNone/>
                <wp:docPr id="20" name="Straight Arrow Connector 20"/>
                <wp:cNvGraphicFramePr/>
                <a:graphic xmlns:a="http://schemas.openxmlformats.org/drawingml/2006/main">
                  <a:graphicData uri="http://schemas.microsoft.com/office/word/2010/wordprocessingShape">
                    <wps:wsp>
                      <wps:cNvCnPr/>
                      <wps:spPr>
                        <a:xfrm flipH="1">
                          <a:off x="0" y="0"/>
                          <a:ext cx="733425" cy="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62F2083" id="Straight Arrow Connector 20" o:spid="_x0000_s1026" type="#_x0000_t32" style="position:absolute;margin-left:344.6pt;margin-top:213.65pt;width:57.75pt;height:0;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" strokecolor="black [3200]" strokeweight=".5pt">
                <v:stroke dashstyle="dash" endarrow="block" joinstyle="miter"/>
              </v:shape>
            </w:pict>
          </mc:Fallback>
        </mc:AlternateContent>
      </w:r>
      <w:r w:rsidRPr="00BE4AF3">
        <w:rPr>
          <w:rFonts w:ascii="Times New Roman" w:hAnsi="Times New Roman" w:cs="Times New Roman"/>
          <w:noProof/>
          <w:sz w:val="24"/>
          <w:szCs w:val="24"/>
          <w:lang w:eastAsia="en-GB"/>
        </w:rPr>
        <mc:AlternateContent>
          <mc:Choice Requires="wps">
            <w:drawing>
              <wp:anchor distT="0" distB="0" distL="114300" distR="114300" simplePos="0" relativeHeight="251664384" behindDoc="0" locked="0" layoutInCell="1" allowOverlap="1" wp14:anchorId="38A27A0C" wp14:editId="4C30DD73">
                <wp:simplePos x="0" y="0"/>
                <wp:positionH relativeFrom="column">
                  <wp:posOffset>5106642</wp:posOffset>
                </wp:positionH>
                <wp:positionV relativeFrom="paragraph">
                  <wp:posOffset>2174322</wp:posOffset>
                </wp:positionV>
                <wp:extent cx="0" cy="542925"/>
                <wp:effectExtent l="0" t="0" r="38100" b="28575"/>
                <wp:wrapNone/>
                <wp:docPr id="19" name="Straight Connector 19"/>
                <wp:cNvGraphicFramePr/>
                <a:graphic xmlns:a="http://schemas.openxmlformats.org/drawingml/2006/main">
                  <a:graphicData uri="http://schemas.microsoft.com/office/word/2010/wordprocessingShape">
                    <wps:wsp>
                      <wps:cNvCnPr/>
                      <wps:spPr>
                        <a:xfrm>
                          <a:off x="0" y="0"/>
                          <a:ext cx="0" cy="542925"/>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DD40D3C" id="Straight Connector 19"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2.1pt,171.2pt" to="402.1pt,2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" strokecolor="black [3200]" strokeweight=".5pt">
                <v:stroke dashstyle="dash" joinstyle="miter"/>
              </v:line>
            </w:pict>
          </mc:Fallback>
        </mc:AlternateContent>
      </w:r>
      <w:r w:rsidRPr="00BE4AF3">
        <w:rPr>
          <w:rFonts w:ascii="Times New Roman" w:hAnsi="Times New Roman" w:cs="Times New Roman"/>
          <w:noProof/>
          <w:sz w:val="24"/>
          <w:szCs w:val="24"/>
          <w:lang w:eastAsia="en-GB"/>
        </w:rPr>
        <w:drawing>
          <wp:inline distT="0" distB="0" distL="0" distR="0" wp14:anchorId="09AC5C5F" wp14:editId="346068F3">
            <wp:extent cx="5572125" cy="2941982"/>
            <wp:effectExtent l="0" t="0" r="9525" b="10795"/>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568644A0" w14:textId="77777777" w:rsidR="003F40E8" w:rsidRPr="00BE4AF3" w:rsidRDefault="003F40E8" w:rsidP="0000229F">
      <w:pPr>
        <w:spacing w:after="0"/>
        <w:jc w:val="center"/>
        <w:rPr>
          <w:rFonts w:ascii="Times New Roman" w:hAnsi="Times New Roman" w:cs="Times New Roman"/>
          <w:sz w:val="24"/>
          <w:szCs w:val="24"/>
        </w:rPr>
      </w:pPr>
      <w:r w:rsidRPr="00BE4AF3">
        <w:rPr>
          <w:rFonts w:ascii="Times New Roman" w:hAnsi="Times New Roman" w:cs="Times New Roman"/>
          <w:i/>
          <w:sz w:val="24"/>
          <w:szCs w:val="24"/>
        </w:rPr>
        <w:t>Resp – Respondent</w:t>
      </w:r>
    </w:p>
    <w:p w14:paraId="78038916" w14:textId="08FDF380" w:rsidR="003F40E8" w:rsidRPr="00BE4AF3" w:rsidRDefault="003F40E8" w:rsidP="0000229F">
      <w:pPr>
        <w:jc w:val="center"/>
        <w:rPr>
          <w:rFonts w:ascii="Times New Roman" w:hAnsi="Times New Roman" w:cs="Times New Roman"/>
          <w:b/>
          <w:iCs/>
          <w:sz w:val="24"/>
          <w:szCs w:val="24"/>
        </w:rPr>
      </w:pPr>
      <w:r w:rsidRPr="00BE4AF3">
        <w:rPr>
          <w:rFonts w:ascii="Times New Roman" w:hAnsi="Times New Roman" w:cs="Times New Roman"/>
          <w:b/>
          <w:iCs/>
          <w:sz w:val="24"/>
          <w:szCs w:val="24"/>
        </w:rPr>
        <w:t>Figure 2</w:t>
      </w:r>
      <w:r w:rsidR="00136F88">
        <w:rPr>
          <w:rFonts w:ascii="Times New Roman" w:hAnsi="Times New Roman" w:cs="Times New Roman"/>
          <w:b/>
          <w:iCs/>
          <w:sz w:val="24"/>
          <w:szCs w:val="24"/>
        </w:rPr>
        <w:t xml:space="preserve">: </w:t>
      </w:r>
      <w:r w:rsidRPr="0000229F">
        <w:rPr>
          <w:rFonts w:ascii="Times New Roman" w:hAnsi="Times New Roman" w:cs="Times New Roman"/>
          <w:iCs/>
          <w:sz w:val="24"/>
          <w:szCs w:val="24"/>
        </w:rPr>
        <w:t>Responses of category B</w:t>
      </w:r>
    </w:p>
    <w:p w14:paraId="3AAEFE77" w14:textId="77777777" w:rsidR="003F40E8" w:rsidRPr="00BE4AF3" w:rsidRDefault="003F40E8" w:rsidP="003F40E8">
      <w:pPr>
        <w:spacing w:line="240" w:lineRule="auto"/>
        <w:jc w:val="both"/>
        <w:rPr>
          <w:rFonts w:ascii="Times New Roman" w:hAnsi="Times New Roman" w:cs="Times New Roman"/>
          <w:sz w:val="24"/>
          <w:szCs w:val="24"/>
        </w:rPr>
      </w:pPr>
      <w:r w:rsidRPr="00BE4AF3">
        <w:rPr>
          <w:rFonts w:ascii="Times New Roman" w:hAnsi="Times New Roman" w:cs="Times New Roman"/>
          <w:sz w:val="24"/>
          <w:szCs w:val="24"/>
        </w:rPr>
        <w:lastRenderedPageBreak/>
        <w:t>In addition, the analysis of the responses revealed that marketing process of pre-letting and pre-sale financing options can be achieved through whatever chosen media or medium depending on suitability. Once marketing is successfully done and suitable buyer or tenant is selected, initial deposit is made and a deed of purchase or tenancy agreement is prepared. Tenancy was noted to be less serious compared to purchase. While tenancy agreement may not involve serious clauses due to the fact that it always involves lesser amount which any tenant can afford, it however, together with purchase agreement must include clauses that address mode of instalment payment and penalty for default from both parties.</w:t>
      </w:r>
    </w:p>
    <w:p w14:paraId="6664DD3E" w14:textId="77777777" w:rsidR="003F40E8" w:rsidRPr="00BE4AF3" w:rsidRDefault="003F40E8" w:rsidP="003F40E8">
      <w:pPr>
        <w:spacing w:line="240" w:lineRule="auto"/>
        <w:ind w:left="709" w:right="663"/>
        <w:jc w:val="both"/>
        <w:rPr>
          <w:rFonts w:ascii="Times New Roman" w:hAnsi="Times New Roman" w:cs="Times New Roman"/>
          <w:i/>
          <w:iCs/>
          <w:sz w:val="24"/>
          <w:szCs w:val="24"/>
        </w:rPr>
      </w:pPr>
      <w:r w:rsidRPr="00BE4AF3">
        <w:rPr>
          <w:rFonts w:ascii="Times New Roman" w:hAnsi="Times New Roman" w:cs="Times New Roman"/>
          <w:i/>
          <w:iCs/>
          <w:sz w:val="24"/>
          <w:szCs w:val="24"/>
        </w:rPr>
        <w:t>It depends on you and how you want to do it. Which medium of marketing? Are you using people, or social media, print media, TV and all that? (Resp 9). It depends on you and how you want to push it (Resp 14).</w:t>
      </w:r>
    </w:p>
    <w:p w14:paraId="46886E56" w14:textId="77777777" w:rsidR="003F40E8" w:rsidRPr="00BE4AF3" w:rsidRDefault="003F40E8" w:rsidP="003F40E8">
      <w:pPr>
        <w:spacing w:line="240" w:lineRule="auto"/>
        <w:ind w:left="709" w:right="662"/>
        <w:jc w:val="both"/>
        <w:rPr>
          <w:rFonts w:ascii="Times New Roman" w:hAnsi="Times New Roman" w:cs="Times New Roman"/>
          <w:i/>
          <w:iCs/>
          <w:sz w:val="24"/>
          <w:szCs w:val="24"/>
        </w:rPr>
      </w:pPr>
      <w:r w:rsidRPr="00BE4AF3">
        <w:rPr>
          <w:rFonts w:ascii="Times New Roman" w:hAnsi="Times New Roman" w:cs="Times New Roman"/>
          <w:i/>
          <w:iCs/>
          <w:sz w:val="24"/>
          <w:szCs w:val="24"/>
        </w:rPr>
        <w:t>You make a deed of sales or purchase which shows the duration of payment, when the building will be completed among other details. … in most cases, no developer will hand over the final document (deed of assignment) since the client has not balanced up (Resp 4). … On the deed of purchase there will be clauses that address default which helps you to repossess and refund the money back to the client. In most cases, once there is default which depends on agreement of duration the company can repossess the property, sell off to someone else and refund the initial buyer (Resp 11).</w:t>
      </w:r>
    </w:p>
    <w:p w14:paraId="7AFDB8C6" w14:textId="77777777" w:rsidR="003F40E8" w:rsidRPr="00BE4AF3" w:rsidRDefault="003F40E8" w:rsidP="003F40E8">
      <w:pPr>
        <w:spacing w:line="240" w:lineRule="auto"/>
        <w:ind w:left="709" w:right="662"/>
        <w:jc w:val="both"/>
        <w:rPr>
          <w:rFonts w:ascii="Times New Roman" w:hAnsi="Times New Roman" w:cs="Times New Roman"/>
          <w:i/>
          <w:iCs/>
          <w:sz w:val="24"/>
          <w:szCs w:val="24"/>
        </w:rPr>
      </w:pPr>
      <w:r w:rsidRPr="00BE4AF3">
        <w:rPr>
          <w:rFonts w:ascii="Times New Roman" w:hAnsi="Times New Roman" w:cs="Times New Roman"/>
          <w:i/>
          <w:iCs/>
          <w:sz w:val="24"/>
          <w:szCs w:val="24"/>
        </w:rPr>
        <w:t>Part of the clause is that you will always get a refund once the company get a buyer, or on or before 365 days, whichever one comes first. … If the company is able to sell within two months, the initial buyer gets a refund and if at the expiration of 365days, the property has still not been sold, the developer must find the money to repay (Resp 13).</w:t>
      </w:r>
    </w:p>
    <w:p w14:paraId="72A67478" w14:textId="77777777" w:rsidR="003F40E8" w:rsidRPr="00BE4AF3" w:rsidRDefault="003F40E8" w:rsidP="003F40E8">
      <w:pPr>
        <w:spacing w:line="240" w:lineRule="auto"/>
        <w:ind w:right="95"/>
        <w:jc w:val="both"/>
        <w:rPr>
          <w:rFonts w:ascii="Times New Roman" w:hAnsi="Times New Roman" w:cs="Times New Roman"/>
          <w:i/>
          <w:iCs/>
          <w:sz w:val="24"/>
          <w:szCs w:val="24"/>
        </w:rPr>
      </w:pPr>
      <w:r w:rsidRPr="00BE4AF3">
        <w:rPr>
          <w:rFonts w:ascii="Times New Roman" w:hAnsi="Times New Roman" w:cs="Times New Roman"/>
          <w:sz w:val="24"/>
          <w:szCs w:val="24"/>
        </w:rPr>
        <w:t>A closer look into the details presented in Figure 3 and 4 revealed that PDCs that constituted Category</w:t>
      </w:r>
      <w:r w:rsidRPr="00BE4AF3">
        <w:rPr>
          <w:rFonts w:ascii="Times New Roman" w:hAnsi="Times New Roman" w:cs="Times New Roman"/>
          <w:b/>
          <w:sz w:val="24"/>
          <w:szCs w:val="24"/>
        </w:rPr>
        <w:t xml:space="preserve"> </w:t>
      </w:r>
      <w:r w:rsidRPr="00BE4AF3">
        <w:rPr>
          <w:rFonts w:ascii="Times New Roman" w:hAnsi="Times New Roman" w:cs="Times New Roman"/>
          <w:sz w:val="24"/>
          <w:szCs w:val="24"/>
        </w:rPr>
        <w:t>B have higher advantage when it comes to age of the firm as depicted in year of establishment, asset base and ownership structure. Majority of firms that constituted Category</w:t>
      </w:r>
      <w:r w:rsidRPr="00BE4AF3">
        <w:rPr>
          <w:rFonts w:ascii="Times New Roman" w:hAnsi="Times New Roman" w:cs="Times New Roman"/>
          <w:b/>
          <w:sz w:val="24"/>
          <w:szCs w:val="24"/>
        </w:rPr>
        <w:t xml:space="preserve"> </w:t>
      </w:r>
      <w:r w:rsidRPr="00BE4AF3">
        <w:rPr>
          <w:rFonts w:ascii="Times New Roman" w:hAnsi="Times New Roman" w:cs="Times New Roman"/>
          <w:sz w:val="24"/>
          <w:szCs w:val="24"/>
        </w:rPr>
        <w:t>A were younger when it comes to age of firms and asset base as shown on Table 2. The advantage of long time in the industry might be part of the goodwill being enjoyed and the reason for buyer’s trust. This might have motivated the confidence in 3-D design rather than the prototype being constructed by the firms in Category</w:t>
      </w:r>
      <w:r w:rsidRPr="00BE4AF3">
        <w:rPr>
          <w:rFonts w:ascii="Times New Roman" w:hAnsi="Times New Roman" w:cs="Times New Roman"/>
          <w:b/>
          <w:sz w:val="24"/>
          <w:szCs w:val="24"/>
        </w:rPr>
        <w:t xml:space="preserve"> </w:t>
      </w:r>
      <w:r w:rsidRPr="00BE4AF3">
        <w:rPr>
          <w:rFonts w:ascii="Times New Roman" w:hAnsi="Times New Roman" w:cs="Times New Roman"/>
          <w:sz w:val="24"/>
          <w:szCs w:val="24"/>
        </w:rPr>
        <w:t>A.</w:t>
      </w:r>
    </w:p>
    <w:p w14:paraId="76CF1933" w14:textId="77777777" w:rsidR="003F40E8" w:rsidRPr="00BE4AF3" w:rsidRDefault="003F40E8" w:rsidP="003F40E8">
      <w:pPr>
        <w:spacing w:line="240" w:lineRule="auto"/>
        <w:ind w:left="709" w:right="662"/>
        <w:jc w:val="both"/>
        <w:rPr>
          <w:rFonts w:ascii="Times New Roman" w:hAnsi="Times New Roman" w:cs="Times New Roman"/>
          <w:i/>
          <w:iCs/>
          <w:sz w:val="24"/>
          <w:szCs w:val="24"/>
        </w:rPr>
      </w:pPr>
    </w:p>
    <w:p w14:paraId="0206B23E" w14:textId="77777777" w:rsidR="003F40E8" w:rsidRPr="00BE4AF3" w:rsidRDefault="003F40E8" w:rsidP="003F40E8">
      <w:pPr>
        <w:spacing w:line="240" w:lineRule="auto"/>
        <w:ind w:left="709" w:right="662"/>
        <w:jc w:val="both"/>
        <w:rPr>
          <w:rFonts w:ascii="Times New Roman" w:hAnsi="Times New Roman" w:cs="Times New Roman"/>
          <w:i/>
          <w:iCs/>
          <w:sz w:val="24"/>
          <w:szCs w:val="24"/>
        </w:rPr>
      </w:pPr>
    </w:p>
    <w:p w14:paraId="55F0999D" w14:textId="77777777" w:rsidR="003F40E8" w:rsidRPr="00BE4AF3" w:rsidRDefault="003F40E8" w:rsidP="003F40E8">
      <w:pPr>
        <w:spacing w:line="240" w:lineRule="auto"/>
        <w:ind w:left="709" w:right="662"/>
        <w:jc w:val="both"/>
        <w:rPr>
          <w:rFonts w:ascii="Times New Roman" w:hAnsi="Times New Roman" w:cs="Times New Roman"/>
          <w:i/>
          <w:iCs/>
          <w:sz w:val="24"/>
          <w:szCs w:val="24"/>
        </w:rPr>
      </w:pPr>
    </w:p>
    <w:p w14:paraId="0A41F282" w14:textId="77777777" w:rsidR="003F40E8" w:rsidRPr="00BE4AF3" w:rsidRDefault="003F40E8" w:rsidP="003F40E8">
      <w:pPr>
        <w:spacing w:line="240" w:lineRule="auto"/>
        <w:ind w:left="709" w:right="662"/>
        <w:jc w:val="both"/>
        <w:rPr>
          <w:rFonts w:ascii="Times New Roman" w:hAnsi="Times New Roman" w:cs="Times New Roman"/>
          <w:i/>
          <w:iCs/>
          <w:sz w:val="24"/>
          <w:szCs w:val="24"/>
        </w:rPr>
      </w:pPr>
    </w:p>
    <w:p w14:paraId="1F0120DF" w14:textId="77777777" w:rsidR="003F40E8" w:rsidRPr="00BE4AF3" w:rsidRDefault="003F40E8" w:rsidP="003F40E8">
      <w:pPr>
        <w:spacing w:line="240" w:lineRule="auto"/>
        <w:ind w:left="709" w:right="662"/>
        <w:jc w:val="both"/>
        <w:rPr>
          <w:rFonts w:ascii="Times New Roman" w:hAnsi="Times New Roman" w:cs="Times New Roman"/>
          <w:i/>
          <w:iCs/>
          <w:sz w:val="24"/>
          <w:szCs w:val="24"/>
        </w:rPr>
      </w:pPr>
    </w:p>
    <w:p w14:paraId="0956D4F8" w14:textId="77777777" w:rsidR="003F40E8" w:rsidRPr="00BE4AF3" w:rsidRDefault="003F40E8" w:rsidP="00B817B0">
      <w:pPr>
        <w:spacing w:line="240" w:lineRule="auto"/>
        <w:ind w:right="662"/>
        <w:jc w:val="both"/>
        <w:rPr>
          <w:rFonts w:ascii="Times New Roman" w:hAnsi="Times New Roman" w:cs="Times New Roman"/>
          <w:i/>
          <w:iCs/>
          <w:sz w:val="24"/>
          <w:szCs w:val="24"/>
        </w:rPr>
      </w:pPr>
    </w:p>
    <w:p w14:paraId="6334EC48" w14:textId="77777777" w:rsidR="003F40E8" w:rsidRPr="00BE4AF3" w:rsidRDefault="003F40E8" w:rsidP="003F40E8">
      <w:pPr>
        <w:spacing w:line="240" w:lineRule="auto"/>
        <w:ind w:left="709" w:right="662"/>
        <w:jc w:val="both"/>
        <w:rPr>
          <w:rFonts w:ascii="Times New Roman" w:hAnsi="Times New Roman" w:cs="Times New Roman"/>
          <w:i/>
          <w:iCs/>
          <w:sz w:val="24"/>
          <w:szCs w:val="24"/>
        </w:rPr>
      </w:pPr>
    </w:p>
    <w:p w14:paraId="00597D39" w14:textId="77777777" w:rsidR="003F40E8" w:rsidRPr="00BE4AF3" w:rsidRDefault="003F40E8" w:rsidP="003F40E8">
      <w:pPr>
        <w:spacing w:line="240" w:lineRule="auto"/>
        <w:ind w:left="709" w:right="662"/>
        <w:jc w:val="both"/>
        <w:rPr>
          <w:rFonts w:ascii="Times New Roman" w:hAnsi="Times New Roman" w:cs="Times New Roman"/>
          <w:i/>
          <w:iCs/>
          <w:sz w:val="24"/>
          <w:szCs w:val="24"/>
        </w:rPr>
      </w:pPr>
      <w:r w:rsidRPr="00BE4AF3">
        <w:rPr>
          <w:rFonts w:ascii="Times New Roman" w:hAnsi="Times New Roman" w:cs="Times New Roman"/>
          <w:noProof/>
          <w:sz w:val="24"/>
          <w:szCs w:val="24"/>
          <w:lang w:eastAsia="en-GB"/>
        </w:rPr>
        <w:lastRenderedPageBreak/>
        <w:drawing>
          <wp:anchor distT="0" distB="0" distL="114300" distR="114300" simplePos="0" relativeHeight="251665408" behindDoc="0" locked="0" layoutInCell="1" allowOverlap="1" wp14:anchorId="71A71435" wp14:editId="6E61EC8F">
            <wp:simplePos x="0" y="0"/>
            <wp:positionH relativeFrom="margin">
              <wp:posOffset>513715</wp:posOffset>
            </wp:positionH>
            <wp:positionV relativeFrom="margin">
              <wp:posOffset>371475</wp:posOffset>
            </wp:positionV>
            <wp:extent cx="4962525" cy="2241550"/>
            <wp:effectExtent l="0" t="0" r="9525" b="6350"/>
            <wp:wrapSquare wrapText="bothSides"/>
            <wp:docPr id="1724292599" name="Chart 1724292599">
              <a:extLst xmlns:a="http://schemas.openxmlformats.org/drawingml/2006/main">
                <a:ext uri="{FF2B5EF4-FFF2-40B4-BE49-F238E27FC236}">
                  <a16:creationId xmlns:a16="http://schemas.microsoft.com/office/drawing/2014/main" id="{012741AD-5515-482C-A09D-01923364DF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margin">
              <wp14:pctHeight>0</wp14:pctHeight>
            </wp14:sizeRelV>
          </wp:anchor>
        </w:drawing>
      </w:r>
    </w:p>
    <w:p w14:paraId="042598E0" w14:textId="4D6B760A" w:rsidR="003F40E8" w:rsidRPr="00BE4AF3" w:rsidRDefault="003F40E8" w:rsidP="00136F88">
      <w:pPr>
        <w:spacing w:line="240" w:lineRule="auto"/>
        <w:ind w:right="95" w:firstLine="720"/>
        <w:jc w:val="center"/>
        <w:rPr>
          <w:rFonts w:ascii="Times New Roman" w:hAnsi="Times New Roman" w:cs="Times New Roman"/>
          <w:b/>
          <w:sz w:val="24"/>
          <w:szCs w:val="24"/>
        </w:rPr>
      </w:pPr>
      <w:r w:rsidRPr="00BE4AF3">
        <w:rPr>
          <w:rFonts w:ascii="Times New Roman" w:hAnsi="Times New Roman" w:cs="Times New Roman"/>
          <w:b/>
          <w:iCs/>
          <w:sz w:val="24"/>
          <w:szCs w:val="24"/>
        </w:rPr>
        <w:t>Figure 3</w:t>
      </w:r>
      <w:r w:rsidR="00136F88">
        <w:rPr>
          <w:rFonts w:ascii="Times New Roman" w:hAnsi="Times New Roman" w:cs="Times New Roman"/>
          <w:b/>
          <w:iCs/>
          <w:sz w:val="24"/>
          <w:szCs w:val="24"/>
        </w:rPr>
        <w:t xml:space="preserve">: </w:t>
      </w:r>
      <w:r w:rsidRPr="00136F88">
        <w:rPr>
          <w:rFonts w:ascii="Times New Roman" w:hAnsi="Times New Roman" w:cs="Times New Roman"/>
          <w:bCs/>
          <w:iCs/>
          <w:sz w:val="24"/>
          <w:szCs w:val="24"/>
        </w:rPr>
        <w:t>Profile of firms or PDCs in Category A</w:t>
      </w:r>
    </w:p>
    <w:p w14:paraId="31668073" w14:textId="77777777" w:rsidR="003F40E8" w:rsidRPr="00BE4AF3" w:rsidRDefault="003F40E8" w:rsidP="003F40E8">
      <w:pPr>
        <w:spacing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Contrary to the practice in the developed countries, where the development firms were not permitted to operate pre-letting and pre-sale financing without first opening an escrow account into which clients’ fund is deposited and such fund is monitored by government agents, for disbursement to the firms based on the development progress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{"citationItems":[{"id":"ITEM-1","itemData":{"DOI":"10.1163/15730255-12314030","ISSN":"15730255","abstract":"The real estate legislative system is one of the bases of the sustainable development process. This research focuses on the role of the legal system in sustainable development, according to the most prominent relevant international reports. The UAE ranked forty-first globally in the Human Development Index (HDI). In the World Bank's 'Doing Business Report', the UAE ranked second globally and first in the Middle East and North Africa (MENA) for the 'Dealing with Construction Permits' indicator. Thus, the Emirate of Dubai is deemed the second-best city in the world in terms of ease of dealing with construction permits. For the 'Registering Property' indicator, the UAE ranked tenth globally and first in the Middle East and North Africa (MENA). Despite the UAE's great achievements in terms of developmental ranking at the global level, there is still more to achieve in the field of development.","author":[{"dropping-particle":"","family":"Jadalhaq","given":"Iyad Mohammed","non-dropping-particle":"","parse-names":false,"suffix":""}],"container-title":"Arab Law Quarterly","id":"ITEM-1","issue":"4","issued":{"date-parts":[["2017"]]},"page":"388-410","title":"Fundamentals of the real estate legislative system and its impact on sustainable development: Dubai case study","type":"article-journal","volume":"31"},"uris":["http://www.mendeley.com/documents/?uuid=f2dd5beb-5af2-41c1-8573-967d1f90edad"]}],"mendeley":{"formattedCitation":"(Jadalhaq, 2017)","plainTextFormattedCitation":"(Jadalhaq, 2017)","previouslyFormattedCitation":"(Jadalhaq, 2017)"},"properties":{"noteIndex":0},"schema":"https://github.com/citation-style-language/schema/raw/master/csl-citation.json"}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{"citationItems":[{"id":"ITEM-1","itemData":{"DOI":"10.1163/15730255-12314030","ISSN":"15730255","abstract":"The real estate legislative system is one of the bases of the sustainable development process. This research focuses on the role of the legal system in sustainable development, according to the most prominent relevant international reports. The UAE ranked forty-first globally in the Human Development Index (HDI). In the World Bank's 'Doing Business Report', the UAE ranked second globally and first in the Middle East and North Africa (MENA) for the 'Dealing with Construction Permits' indicator. Thus, the Emirate of Dubai is deemed the second-best city in the world in terms of ease of dealing with construction permits. For the 'Registering Property' indicator, the UAE ranked tenth globally and first in the Middle East and North Africa (MENA). Despite the UAE's great achievements in terms of developmental ranking at the global level, there is still more to achieve in the field of development.","author":[{"dropping-particle":"","family":"Jadalhaq","given":"Iyad Mohammed","non-dropping-particle":"","parse-names":false,"suffix":""}],"container-title":"Arab Law Quarterly","id":"ITEM-1","issue":"4","issued":{"date-parts":[["2017"]]},"page":"388-410","title":"Fundamentals of the real estate legislative system and its impact on sustainable development: Dubai case study","type":"article-journal","volume":"31"},"uris":["http://www.mendeley.com/documents/?uuid=f2dd5beb-5af2-41c1-8573-967d1f90edad"]}],"mendeley":{"formattedCitation":"(Jadalhaq, 2017)","plainTextFormattedCitation":"(Jadalhaq, 2017)","previouslyFormattedCitation":"(Jadalhaq, 2017)"},"properties":{"noteIndex":0},"schema":"https://github.com/citation-style-language/schema/raw/master/csl-citation.json"}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 xml:space="preserve">(Jadalhaq, 2017; </w:t>
      </w:r>
      <w:r w:rsidRPr="00BE4AF3">
        <w:rPr>
          <w:rFonts w:ascii="Times New Roman" w:hAnsi="Times New Roman" w:cs="Times New Roman"/>
          <w:noProof/>
          <w:sz w:val="24"/>
          <w:szCs w:val="24"/>
          <w:lang w:val="en-US"/>
        </w:rPr>
        <w:t>Zhou et al., 2018</w:t>
      </w:r>
      <w:r w:rsidRPr="00BE4AF3">
        <w:rPr>
          <w:rFonts w:ascii="Times New Roman" w:hAnsi="Times New Roman" w:cs="Times New Roman"/>
          <w:noProof/>
          <w:sz w:val="24"/>
          <w:szCs w:val="24"/>
        </w:rPr>
        <w:t>)</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 Nigeria development market appeared different. The respondents affirmed that the only binding regulation was the law of contract. When a question was raised on assistance within the purview of law for a case of development firms’ default, the response was as follows:</w:t>
      </w:r>
    </w:p>
    <w:p w14:paraId="445A9108" w14:textId="77777777" w:rsidR="003F40E8" w:rsidRPr="00BE4AF3" w:rsidRDefault="003F40E8" w:rsidP="00136F88">
      <w:pPr>
        <w:spacing w:after="0" w:line="240" w:lineRule="auto"/>
        <w:ind w:left="709" w:right="663"/>
        <w:jc w:val="both"/>
        <w:rPr>
          <w:rFonts w:ascii="Times New Roman" w:hAnsi="Times New Roman" w:cs="Times New Roman"/>
          <w:i/>
          <w:iCs/>
          <w:sz w:val="24"/>
          <w:szCs w:val="24"/>
        </w:rPr>
      </w:pPr>
      <w:r w:rsidRPr="00BE4AF3">
        <w:rPr>
          <w:rFonts w:ascii="Times New Roman" w:hAnsi="Times New Roman" w:cs="Times New Roman"/>
          <w:i/>
          <w:iCs/>
          <w:sz w:val="24"/>
          <w:szCs w:val="24"/>
        </w:rPr>
        <w:t>It is not common. But the client can ask for refund through their lawyer under the law of contract. In the case of development delay, … there must be good reason for the delay and the developer should be able to communicate … and in the case of complete failure, he must give the client his money (Resp 4).</w:t>
      </w:r>
    </w:p>
    <w:p w14:paraId="617ABDFA" w14:textId="71133E69" w:rsidR="003F40E8" w:rsidRDefault="003F40E8" w:rsidP="00136F88">
      <w:pPr>
        <w:pStyle w:val="ListParagraph"/>
        <w:spacing w:after="0" w:line="240" w:lineRule="auto"/>
        <w:ind w:left="709" w:right="663"/>
        <w:jc w:val="both"/>
        <w:rPr>
          <w:rFonts w:ascii="Times New Roman" w:hAnsi="Times New Roman"/>
          <w:i/>
          <w:iCs/>
          <w:sz w:val="24"/>
          <w:szCs w:val="24"/>
        </w:rPr>
      </w:pPr>
      <w:r w:rsidRPr="00BE4AF3">
        <w:rPr>
          <w:rFonts w:ascii="Times New Roman" w:hAnsi="Times New Roman"/>
          <w:i/>
          <w:iCs/>
          <w:sz w:val="24"/>
          <w:szCs w:val="24"/>
        </w:rPr>
        <w:t>You know there is no strict regulation by the government, … client will always be afraid of default or abandonment … this is why they will consider the integrity of firms they are dealing with. … As the client pay in phases, construction also happens in phases, client also must do due diligence to envisage likelihood of future problem and try not to be a victim (Resp 12).</w:t>
      </w:r>
    </w:p>
    <w:p w14:paraId="652A899C" w14:textId="77777777" w:rsidR="00136F88" w:rsidRDefault="00136F88" w:rsidP="003F40E8">
      <w:pPr>
        <w:pStyle w:val="ListParagraph"/>
        <w:spacing w:line="240" w:lineRule="auto"/>
        <w:ind w:left="709" w:right="662"/>
        <w:jc w:val="both"/>
        <w:rPr>
          <w:rFonts w:ascii="Times New Roman" w:hAnsi="Times New Roman"/>
          <w:i/>
          <w:iCs/>
          <w:sz w:val="24"/>
          <w:szCs w:val="24"/>
        </w:rPr>
      </w:pPr>
    </w:p>
    <w:p w14:paraId="69863BAD" w14:textId="51989E3E" w:rsidR="00136F88" w:rsidRDefault="00136F88" w:rsidP="003F40E8">
      <w:pPr>
        <w:pStyle w:val="ListParagraph"/>
        <w:spacing w:line="240" w:lineRule="auto"/>
        <w:ind w:left="709" w:right="662"/>
        <w:jc w:val="both"/>
        <w:rPr>
          <w:rFonts w:ascii="Times New Roman" w:hAnsi="Times New Roman"/>
          <w:i/>
          <w:iCs/>
          <w:sz w:val="24"/>
          <w:szCs w:val="24"/>
        </w:rPr>
      </w:pPr>
    </w:p>
    <w:p w14:paraId="34747D03" w14:textId="0A4E3683" w:rsidR="00136F88" w:rsidRDefault="00136F88" w:rsidP="003F40E8">
      <w:pPr>
        <w:pStyle w:val="ListParagraph"/>
        <w:spacing w:line="240" w:lineRule="auto"/>
        <w:ind w:left="709" w:right="662"/>
        <w:jc w:val="both"/>
        <w:rPr>
          <w:rFonts w:ascii="Times New Roman" w:hAnsi="Times New Roman"/>
          <w:i/>
          <w:iCs/>
          <w:sz w:val="24"/>
          <w:szCs w:val="24"/>
        </w:rPr>
      </w:pPr>
      <w:r w:rsidRPr="00BE4AF3">
        <w:rPr>
          <w:rFonts w:ascii="Times New Roman" w:hAnsi="Times New Roman"/>
          <w:noProof/>
          <w:sz w:val="24"/>
          <w:szCs w:val="24"/>
          <w:lang w:eastAsia="en-GB"/>
        </w:rPr>
        <w:lastRenderedPageBreak/>
        <w:drawing>
          <wp:anchor distT="0" distB="0" distL="114300" distR="114300" simplePos="0" relativeHeight="251666432" behindDoc="0" locked="0" layoutInCell="1" allowOverlap="1" wp14:anchorId="0C05E2C6" wp14:editId="13B45DFA">
            <wp:simplePos x="0" y="0"/>
            <wp:positionH relativeFrom="margin">
              <wp:posOffset>628650</wp:posOffset>
            </wp:positionH>
            <wp:positionV relativeFrom="paragraph">
              <wp:posOffset>10795</wp:posOffset>
            </wp:positionV>
            <wp:extent cx="4864100" cy="2882900"/>
            <wp:effectExtent l="0" t="0" r="12700" b="12700"/>
            <wp:wrapSquare wrapText="bothSides"/>
            <wp:docPr id="1071055963" name="Chart 1071055963">
              <a:extLst xmlns:a="http://schemas.openxmlformats.org/drawingml/2006/main">
                <a:ext uri="{FF2B5EF4-FFF2-40B4-BE49-F238E27FC236}">
                  <a16:creationId xmlns:a16="http://schemas.microsoft.com/office/drawing/2014/main" id="{AB837A66-3248-4219-806F-42DCBD4A39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14:paraId="5B5419E6" w14:textId="77777777" w:rsidR="00136F88" w:rsidRDefault="00136F88" w:rsidP="003F40E8">
      <w:pPr>
        <w:pStyle w:val="ListParagraph"/>
        <w:spacing w:line="240" w:lineRule="auto"/>
        <w:ind w:left="709" w:right="662"/>
        <w:jc w:val="both"/>
        <w:rPr>
          <w:rFonts w:ascii="Times New Roman" w:hAnsi="Times New Roman"/>
          <w:i/>
          <w:iCs/>
          <w:sz w:val="24"/>
          <w:szCs w:val="24"/>
        </w:rPr>
      </w:pPr>
    </w:p>
    <w:p w14:paraId="4BB77B57" w14:textId="77777777" w:rsidR="00136F88" w:rsidRDefault="00136F88" w:rsidP="003F40E8">
      <w:pPr>
        <w:pStyle w:val="ListParagraph"/>
        <w:spacing w:line="240" w:lineRule="auto"/>
        <w:ind w:left="709" w:right="662"/>
        <w:jc w:val="both"/>
        <w:rPr>
          <w:rFonts w:ascii="Times New Roman" w:hAnsi="Times New Roman"/>
          <w:i/>
          <w:iCs/>
          <w:sz w:val="24"/>
          <w:szCs w:val="24"/>
        </w:rPr>
      </w:pPr>
    </w:p>
    <w:p w14:paraId="77A321C4" w14:textId="77777777" w:rsidR="00136F88" w:rsidRDefault="00136F88" w:rsidP="003F40E8">
      <w:pPr>
        <w:pStyle w:val="ListParagraph"/>
        <w:spacing w:line="240" w:lineRule="auto"/>
        <w:ind w:left="709" w:right="662"/>
        <w:jc w:val="both"/>
        <w:rPr>
          <w:rFonts w:ascii="Times New Roman" w:hAnsi="Times New Roman"/>
          <w:i/>
          <w:iCs/>
          <w:sz w:val="24"/>
          <w:szCs w:val="24"/>
        </w:rPr>
      </w:pPr>
    </w:p>
    <w:p w14:paraId="4029BDAC" w14:textId="77777777" w:rsidR="00136F88" w:rsidRPr="00BE4AF3" w:rsidRDefault="00136F88" w:rsidP="003F40E8">
      <w:pPr>
        <w:pStyle w:val="ListParagraph"/>
        <w:spacing w:line="240" w:lineRule="auto"/>
        <w:ind w:left="709" w:right="662"/>
        <w:jc w:val="both"/>
        <w:rPr>
          <w:rFonts w:ascii="Times New Roman" w:hAnsi="Times New Roman"/>
          <w:sz w:val="24"/>
          <w:szCs w:val="24"/>
        </w:rPr>
      </w:pPr>
    </w:p>
    <w:p w14:paraId="215C55BA" w14:textId="27BE549E" w:rsidR="003F40E8" w:rsidRPr="00BE4AF3" w:rsidRDefault="003F40E8" w:rsidP="00136F88">
      <w:pPr>
        <w:spacing w:line="240" w:lineRule="auto"/>
        <w:ind w:right="95" w:firstLine="720"/>
        <w:jc w:val="center"/>
        <w:rPr>
          <w:rFonts w:ascii="Times New Roman" w:hAnsi="Times New Roman" w:cs="Times New Roman"/>
          <w:b/>
          <w:sz w:val="24"/>
          <w:szCs w:val="24"/>
        </w:rPr>
      </w:pPr>
      <w:r w:rsidRPr="00BE4AF3">
        <w:rPr>
          <w:rFonts w:ascii="Times New Roman" w:hAnsi="Times New Roman" w:cs="Times New Roman"/>
          <w:b/>
          <w:iCs/>
          <w:sz w:val="24"/>
          <w:szCs w:val="24"/>
        </w:rPr>
        <w:t>Figure 4</w:t>
      </w:r>
      <w:r w:rsidR="00136F88">
        <w:rPr>
          <w:rFonts w:ascii="Times New Roman" w:hAnsi="Times New Roman" w:cs="Times New Roman"/>
          <w:b/>
          <w:iCs/>
          <w:sz w:val="24"/>
          <w:szCs w:val="24"/>
        </w:rPr>
        <w:t xml:space="preserve">: </w:t>
      </w:r>
      <w:r w:rsidRPr="00136F88">
        <w:rPr>
          <w:rFonts w:ascii="Times New Roman" w:hAnsi="Times New Roman" w:cs="Times New Roman"/>
          <w:bCs/>
          <w:iCs/>
          <w:sz w:val="24"/>
          <w:szCs w:val="24"/>
        </w:rPr>
        <w:t>Profile of firms or PDCs in Category B</w:t>
      </w:r>
    </w:p>
    <w:p w14:paraId="6E5192D7" w14:textId="23DEE25B" w:rsidR="003F40E8" w:rsidRPr="00136F88" w:rsidRDefault="003F40E8" w:rsidP="00136F88">
      <w:pPr>
        <w:spacing w:after="0" w:line="240" w:lineRule="auto"/>
        <w:jc w:val="center"/>
        <w:rPr>
          <w:rFonts w:ascii="Times New Roman" w:hAnsi="Times New Roman" w:cs="Times New Roman"/>
          <w:bCs/>
          <w:sz w:val="24"/>
          <w:szCs w:val="24"/>
        </w:rPr>
      </w:pPr>
      <w:r w:rsidRPr="00BE4AF3">
        <w:rPr>
          <w:rFonts w:ascii="Times New Roman" w:hAnsi="Times New Roman" w:cs="Times New Roman"/>
          <w:b/>
          <w:sz w:val="24"/>
          <w:szCs w:val="24"/>
        </w:rPr>
        <w:t>Table 2</w:t>
      </w:r>
      <w:r w:rsidR="00136F88">
        <w:rPr>
          <w:rFonts w:ascii="Times New Roman" w:hAnsi="Times New Roman" w:cs="Times New Roman"/>
          <w:b/>
          <w:sz w:val="24"/>
          <w:szCs w:val="24"/>
        </w:rPr>
        <w:t xml:space="preserve">: </w:t>
      </w:r>
      <w:r w:rsidRPr="00136F88">
        <w:rPr>
          <w:rFonts w:ascii="Times New Roman" w:hAnsi="Times New Roman" w:cs="Times New Roman"/>
          <w:bCs/>
          <w:sz w:val="24"/>
          <w:szCs w:val="24"/>
        </w:rPr>
        <w:t>Detail of Codes in Figure 3 and 4</w:t>
      </w:r>
    </w:p>
    <w:tbl>
      <w:tblPr>
        <w:tblStyle w:val="GridTable6Colorful-Accent1"/>
        <w:tblW w:w="0" w:type="auto"/>
        <w:jc w:val="center"/>
        <w:tblBorders>
          <w:top w:val="single" w:sz="4" w:space="0" w:color="auto"/>
          <w:left w:val="single" w:sz="4" w:space="0" w:color="auto"/>
          <w:bottom w:val="single" w:sz="4" w:space="0" w:color="auto"/>
          <w:right w:val="single" w:sz="4" w:space="0" w:color="auto"/>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696"/>
        <w:gridCol w:w="709"/>
        <w:gridCol w:w="283"/>
        <w:gridCol w:w="1843"/>
        <w:gridCol w:w="713"/>
        <w:gridCol w:w="283"/>
        <w:gridCol w:w="2406"/>
        <w:gridCol w:w="859"/>
      </w:tblGrid>
      <w:tr w:rsidR="00136F88" w:rsidRPr="00136F88" w14:paraId="65867CBE" w14:textId="77777777" w:rsidTr="00F61FB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tcBorders>
              <w:top w:val="single" w:sz="4" w:space="0" w:color="auto"/>
              <w:bottom w:val="single" w:sz="4" w:space="0" w:color="auto"/>
            </w:tcBorders>
            <w:vAlign w:val="center"/>
            <w:hideMark/>
          </w:tcPr>
          <w:p w14:paraId="4A7B2CE1" w14:textId="77777777" w:rsidR="003F40E8" w:rsidRPr="00F61FBE" w:rsidRDefault="003F40E8" w:rsidP="003F40E8">
            <w:pPr>
              <w:spacing w:after="0"/>
              <w:jc w:val="center"/>
              <w:rPr>
                <w:rFonts w:ascii="Times New Roman" w:hAnsi="Times New Roman" w:cs="Times New Roman"/>
                <w:b w:val="0"/>
                <w:bCs w:val="0"/>
                <w:color w:val="auto"/>
                <w:sz w:val="20"/>
                <w:szCs w:val="20"/>
              </w:rPr>
            </w:pPr>
            <w:r w:rsidRPr="00F61FBE">
              <w:rPr>
                <w:rFonts w:ascii="Times New Roman" w:hAnsi="Times New Roman" w:cs="Times New Roman"/>
                <w:b w:val="0"/>
                <w:bCs w:val="0"/>
                <w:color w:val="auto"/>
                <w:sz w:val="20"/>
                <w:szCs w:val="20"/>
              </w:rPr>
              <w:t xml:space="preserve">Year of Establishment </w:t>
            </w:r>
          </w:p>
        </w:tc>
        <w:tc>
          <w:tcPr>
            <w:tcW w:w="709" w:type="dxa"/>
            <w:tcBorders>
              <w:top w:val="single" w:sz="4" w:space="0" w:color="auto"/>
              <w:bottom w:val="single" w:sz="4" w:space="0" w:color="auto"/>
            </w:tcBorders>
            <w:vAlign w:val="center"/>
            <w:hideMark/>
          </w:tcPr>
          <w:p w14:paraId="7275876E" w14:textId="77777777" w:rsidR="003F40E8" w:rsidRPr="00F61FBE" w:rsidRDefault="003F40E8" w:rsidP="003F40E8">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0"/>
                <w:szCs w:val="20"/>
              </w:rPr>
            </w:pPr>
            <w:r w:rsidRPr="00F61FBE">
              <w:rPr>
                <w:rFonts w:ascii="Times New Roman" w:hAnsi="Times New Roman" w:cs="Times New Roman"/>
                <w:b w:val="0"/>
                <w:bCs w:val="0"/>
                <w:color w:val="auto"/>
                <w:sz w:val="20"/>
                <w:szCs w:val="20"/>
              </w:rPr>
              <w:t>Code</w:t>
            </w:r>
          </w:p>
        </w:tc>
        <w:tc>
          <w:tcPr>
            <w:tcW w:w="283" w:type="dxa"/>
            <w:tcBorders>
              <w:top w:val="single" w:sz="4" w:space="0" w:color="auto"/>
              <w:bottom w:val="single" w:sz="4" w:space="0" w:color="auto"/>
            </w:tcBorders>
            <w:vAlign w:val="center"/>
          </w:tcPr>
          <w:p w14:paraId="21D9830B" w14:textId="77777777" w:rsidR="003F40E8" w:rsidRPr="00F61FBE" w:rsidRDefault="003F40E8" w:rsidP="003F40E8">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0"/>
                <w:szCs w:val="20"/>
              </w:rPr>
            </w:pPr>
          </w:p>
        </w:tc>
        <w:tc>
          <w:tcPr>
            <w:tcW w:w="1843" w:type="dxa"/>
            <w:tcBorders>
              <w:top w:val="single" w:sz="4" w:space="0" w:color="auto"/>
              <w:bottom w:val="single" w:sz="4" w:space="0" w:color="auto"/>
            </w:tcBorders>
            <w:vAlign w:val="center"/>
            <w:hideMark/>
          </w:tcPr>
          <w:p w14:paraId="30850F0B" w14:textId="77777777" w:rsidR="003F40E8" w:rsidRPr="00F61FBE" w:rsidRDefault="003F40E8" w:rsidP="003F40E8">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0"/>
                <w:szCs w:val="20"/>
              </w:rPr>
            </w:pPr>
            <w:r w:rsidRPr="00F61FBE">
              <w:rPr>
                <w:rFonts w:ascii="Times New Roman" w:hAnsi="Times New Roman" w:cs="Times New Roman"/>
                <w:b w:val="0"/>
                <w:bCs w:val="0"/>
                <w:color w:val="auto"/>
                <w:sz w:val="20"/>
                <w:szCs w:val="20"/>
              </w:rPr>
              <w:t xml:space="preserve">Asset Base  </w:t>
            </w:r>
          </w:p>
        </w:tc>
        <w:tc>
          <w:tcPr>
            <w:tcW w:w="713" w:type="dxa"/>
            <w:tcBorders>
              <w:top w:val="single" w:sz="4" w:space="0" w:color="auto"/>
              <w:bottom w:val="single" w:sz="4" w:space="0" w:color="auto"/>
            </w:tcBorders>
            <w:vAlign w:val="center"/>
            <w:hideMark/>
          </w:tcPr>
          <w:p w14:paraId="7B9EEEDC" w14:textId="77777777" w:rsidR="003F40E8" w:rsidRPr="00F61FBE" w:rsidRDefault="003F40E8" w:rsidP="003F40E8">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0"/>
                <w:szCs w:val="20"/>
              </w:rPr>
            </w:pPr>
            <w:r w:rsidRPr="00F61FBE">
              <w:rPr>
                <w:rFonts w:ascii="Times New Roman" w:hAnsi="Times New Roman" w:cs="Times New Roman"/>
                <w:b w:val="0"/>
                <w:bCs w:val="0"/>
                <w:color w:val="auto"/>
                <w:sz w:val="20"/>
                <w:szCs w:val="20"/>
              </w:rPr>
              <w:t>Code</w:t>
            </w:r>
          </w:p>
        </w:tc>
        <w:tc>
          <w:tcPr>
            <w:tcW w:w="283" w:type="dxa"/>
            <w:tcBorders>
              <w:top w:val="single" w:sz="4" w:space="0" w:color="auto"/>
              <w:bottom w:val="single" w:sz="4" w:space="0" w:color="auto"/>
            </w:tcBorders>
            <w:vAlign w:val="center"/>
          </w:tcPr>
          <w:p w14:paraId="1B3E7445" w14:textId="77777777" w:rsidR="003F40E8" w:rsidRPr="00F61FBE" w:rsidRDefault="003F40E8" w:rsidP="003F40E8">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0"/>
                <w:szCs w:val="20"/>
              </w:rPr>
            </w:pPr>
          </w:p>
        </w:tc>
        <w:tc>
          <w:tcPr>
            <w:tcW w:w="2406" w:type="dxa"/>
            <w:tcBorders>
              <w:top w:val="single" w:sz="4" w:space="0" w:color="auto"/>
              <w:bottom w:val="single" w:sz="4" w:space="0" w:color="auto"/>
            </w:tcBorders>
            <w:vAlign w:val="center"/>
            <w:hideMark/>
          </w:tcPr>
          <w:p w14:paraId="45FF48C4" w14:textId="77777777" w:rsidR="003F40E8" w:rsidRPr="00F61FBE" w:rsidRDefault="003F40E8" w:rsidP="003F40E8">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0"/>
                <w:szCs w:val="20"/>
              </w:rPr>
            </w:pPr>
            <w:r w:rsidRPr="00F61FBE">
              <w:rPr>
                <w:rFonts w:ascii="Times New Roman" w:hAnsi="Times New Roman" w:cs="Times New Roman"/>
                <w:b w:val="0"/>
                <w:bCs w:val="0"/>
                <w:color w:val="auto"/>
                <w:sz w:val="20"/>
                <w:szCs w:val="20"/>
              </w:rPr>
              <w:t xml:space="preserve">Ownership Type </w:t>
            </w:r>
          </w:p>
        </w:tc>
        <w:tc>
          <w:tcPr>
            <w:tcW w:w="859" w:type="dxa"/>
            <w:tcBorders>
              <w:top w:val="single" w:sz="4" w:space="0" w:color="auto"/>
              <w:bottom w:val="single" w:sz="4" w:space="0" w:color="auto"/>
            </w:tcBorders>
            <w:vAlign w:val="center"/>
            <w:hideMark/>
          </w:tcPr>
          <w:p w14:paraId="6D976EE7" w14:textId="77777777" w:rsidR="003F40E8" w:rsidRPr="00F61FBE" w:rsidRDefault="003F40E8" w:rsidP="003F40E8">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0"/>
                <w:szCs w:val="20"/>
              </w:rPr>
            </w:pPr>
            <w:r w:rsidRPr="00F61FBE">
              <w:rPr>
                <w:rFonts w:ascii="Times New Roman" w:hAnsi="Times New Roman" w:cs="Times New Roman"/>
                <w:b w:val="0"/>
                <w:bCs w:val="0"/>
                <w:color w:val="auto"/>
                <w:sz w:val="20"/>
                <w:szCs w:val="20"/>
              </w:rPr>
              <w:t>Code</w:t>
            </w:r>
          </w:p>
        </w:tc>
      </w:tr>
      <w:tr w:rsidR="00136F88" w:rsidRPr="00136F88" w14:paraId="5F014197" w14:textId="77777777" w:rsidTr="00F61F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tcBorders>
              <w:top w:val="single" w:sz="4" w:space="0" w:color="auto"/>
            </w:tcBorders>
            <w:hideMark/>
          </w:tcPr>
          <w:p w14:paraId="736C635B" w14:textId="77777777" w:rsidR="003F40E8" w:rsidRPr="00136F88" w:rsidRDefault="003F40E8" w:rsidP="003F40E8">
            <w:pPr>
              <w:spacing w:after="0"/>
              <w:jc w:val="both"/>
              <w:rPr>
                <w:rFonts w:ascii="Times New Roman" w:hAnsi="Times New Roman" w:cs="Times New Roman"/>
                <w:b w:val="0"/>
                <w:color w:val="auto"/>
                <w:sz w:val="20"/>
                <w:szCs w:val="20"/>
              </w:rPr>
            </w:pPr>
            <w:r w:rsidRPr="00136F88">
              <w:rPr>
                <w:rFonts w:ascii="Times New Roman" w:hAnsi="Times New Roman" w:cs="Times New Roman"/>
                <w:b w:val="0"/>
                <w:bCs w:val="0"/>
                <w:color w:val="auto"/>
                <w:sz w:val="20"/>
                <w:szCs w:val="20"/>
                <w:lang w:val="en-US"/>
              </w:rPr>
              <w:t>Up to 5</w:t>
            </w:r>
          </w:p>
        </w:tc>
        <w:tc>
          <w:tcPr>
            <w:tcW w:w="709" w:type="dxa"/>
            <w:tcBorders>
              <w:top w:val="single" w:sz="4" w:space="0" w:color="auto"/>
            </w:tcBorders>
            <w:vAlign w:val="center"/>
            <w:hideMark/>
          </w:tcPr>
          <w:p w14:paraId="202C8E33" w14:textId="77777777" w:rsidR="003F40E8" w:rsidRPr="00136F88" w:rsidRDefault="003F40E8" w:rsidP="003F40E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color w:val="auto"/>
                <w:sz w:val="20"/>
                <w:szCs w:val="20"/>
              </w:rPr>
              <w:t>1</w:t>
            </w:r>
          </w:p>
        </w:tc>
        <w:tc>
          <w:tcPr>
            <w:tcW w:w="283" w:type="dxa"/>
            <w:tcBorders>
              <w:top w:val="single" w:sz="4" w:space="0" w:color="auto"/>
            </w:tcBorders>
          </w:tcPr>
          <w:p w14:paraId="685802FB" w14:textId="77777777" w:rsidR="003F40E8" w:rsidRPr="00136F88" w:rsidRDefault="003F40E8" w:rsidP="003F40E8">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p>
        </w:tc>
        <w:tc>
          <w:tcPr>
            <w:tcW w:w="1843" w:type="dxa"/>
            <w:tcBorders>
              <w:top w:val="single" w:sz="4" w:space="0" w:color="auto"/>
            </w:tcBorders>
            <w:hideMark/>
          </w:tcPr>
          <w:p w14:paraId="137749D4" w14:textId="77777777" w:rsidR="003F40E8" w:rsidRPr="00136F88" w:rsidRDefault="003F40E8" w:rsidP="003F40E8">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bCs/>
                <w:color w:val="auto"/>
                <w:sz w:val="20"/>
                <w:szCs w:val="20"/>
              </w:rPr>
              <w:t>Up to 250 million</w:t>
            </w:r>
          </w:p>
        </w:tc>
        <w:tc>
          <w:tcPr>
            <w:tcW w:w="713" w:type="dxa"/>
            <w:tcBorders>
              <w:top w:val="single" w:sz="4" w:space="0" w:color="auto"/>
            </w:tcBorders>
            <w:vAlign w:val="center"/>
            <w:hideMark/>
          </w:tcPr>
          <w:p w14:paraId="6257FA0B" w14:textId="77777777" w:rsidR="003F40E8" w:rsidRPr="00136F88" w:rsidRDefault="003F40E8" w:rsidP="003F40E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color w:val="auto"/>
                <w:sz w:val="20"/>
                <w:szCs w:val="20"/>
              </w:rPr>
              <w:t>1</w:t>
            </w:r>
          </w:p>
        </w:tc>
        <w:tc>
          <w:tcPr>
            <w:tcW w:w="283" w:type="dxa"/>
            <w:tcBorders>
              <w:top w:val="single" w:sz="4" w:space="0" w:color="auto"/>
            </w:tcBorders>
          </w:tcPr>
          <w:p w14:paraId="64206264" w14:textId="77777777" w:rsidR="003F40E8" w:rsidRPr="00136F88" w:rsidRDefault="003F40E8" w:rsidP="003F40E8">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p>
        </w:tc>
        <w:tc>
          <w:tcPr>
            <w:tcW w:w="2406" w:type="dxa"/>
            <w:tcBorders>
              <w:top w:val="single" w:sz="4" w:space="0" w:color="auto"/>
            </w:tcBorders>
            <w:hideMark/>
          </w:tcPr>
          <w:p w14:paraId="496B93D5" w14:textId="77777777" w:rsidR="003F40E8" w:rsidRPr="00136F88" w:rsidRDefault="003F40E8" w:rsidP="003F40E8">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bCs/>
                <w:color w:val="auto"/>
                <w:sz w:val="20"/>
                <w:szCs w:val="20"/>
                <w:lang w:val="en-US"/>
              </w:rPr>
              <w:t>Sole Proprietorship</w:t>
            </w:r>
          </w:p>
        </w:tc>
        <w:tc>
          <w:tcPr>
            <w:tcW w:w="859" w:type="dxa"/>
            <w:tcBorders>
              <w:top w:val="single" w:sz="4" w:space="0" w:color="auto"/>
            </w:tcBorders>
            <w:vAlign w:val="center"/>
            <w:hideMark/>
          </w:tcPr>
          <w:p w14:paraId="3F1335BC" w14:textId="77777777" w:rsidR="003F40E8" w:rsidRPr="00136F88" w:rsidRDefault="003F40E8" w:rsidP="003F40E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color w:val="auto"/>
                <w:sz w:val="20"/>
                <w:szCs w:val="20"/>
              </w:rPr>
              <w:t>1</w:t>
            </w:r>
          </w:p>
        </w:tc>
      </w:tr>
      <w:tr w:rsidR="00136F88" w:rsidRPr="00136F88" w14:paraId="5C14BF1C" w14:textId="77777777" w:rsidTr="00136F88">
        <w:trPr>
          <w:jc w:val="center"/>
        </w:trPr>
        <w:tc>
          <w:tcPr>
            <w:cnfStyle w:val="001000000000" w:firstRow="0" w:lastRow="0" w:firstColumn="1" w:lastColumn="0" w:oddVBand="0" w:evenVBand="0" w:oddHBand="0" w:evenHBand="0" w:firstRowFirstColumn="0" w:firstRowLastColumn="0" w:lastRowFirstColumn="0" w:lastRowLastColumn="0"/>
            <w:tcW w:w="1696" w:type="dxa"/>
            <w:hideMark/>
          </w:tcPr>
          <w:p w14:paraId="4E3E24F5" w14:textId="77777777" w:rsidR="003F40E8" w:rsidRPr="00136F88" w:rsidRDefault="003F40E8" w:rsidP="003F40E8">
            <w:pPr>
              <w:spacing w:after="0"/>
              <w:jc w:val="both"/>
              <w:rPr>
                <w:rFonts w:ascii="Times New Roman" w:hAnsi="Times New Roman" w:cs="Times New Roman"/>
                <w:b w:val="0"/>
                <w:color w:val="auto"/>
                <w:sz w:val="20"/>
                <w:szCs w:val="20"/>
              </w:rPr>
            </w:pPr>
            <w:r w:rsidRPr="00136F88">
              <w:rPr>
                <w:rFonts w:ascii="Times New Roman" w:hAnsi="Times New Roman" w:cs="Times New Roman"/>
                <w:b w:val="0"/>
                <w:bCs w:val="0"/>
                <w:color w:val="auto"/>
                <w:sz w:val="20"/>
                <w:szCs w:val="20"/>
                <w:lang w:val="en-US"/>
              </w:rPr>
              <w:t>6 – 10</w:t>
            </w:r>
          </w:p>
        </w:tc>
        <w:tc>
          <w:tcPr>
            <w:tcW w:w="709" w:type="dxa"/>
            <w:vAlign w:val="center"/>
            <w:hideMark/>
          </w:tcPr>
          <w:p w14:paraId="411CA272" w14:textId="77777777" w:rsidR="003F40E8" w:rsidRPr="00136F88" w:rsidRDefault="003F40E8" w:rsidP="003F40E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color w:val="auto"/>
                <w:sz w:val="20"/>
                <w:szCs w:val="20"/>
              </w:rPr>
              <w:t>2</w:t>
            </w:r>
          </w:p>
        </w:tc>
        <w:tc>
          <w:tcPr>
            <w:tcW w:w="283" w:type="dxa"/>
          </w:tcPr>
          <w:p w14:paraId="0290C848" w14:textId="77777777" w:rsidR="003F40E8" w:rsidRPr="00136F88" w:rsidRDefault="003F40E8" w:rsidP="003F40E8">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p>
        </w:tc>
        <w:tc>
          <w:tcPr>
            <w:tcW w:w="1843" w:type="dxa"/>
            <w:hideMark/>
          </w:tcPr>
          <w:p w14:paraId="076035F8" w14:textId="77777777" w:rsidR="003F40E8" w:rsidRPr="00136F88" w:rsidRDefault="003F40E8" w:rsidP="003F40E8">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bCs/>
                <w:color w:val="auto"/>
                <w:sz w:val="20"/>
                <w:szCs w:val="20"/>
              </w:rPr>
              <w:t>251 – 500 million</w:t>
            </w:r>
          </w:p>
        </w:tc>
        <w:tc>
          <w:tcPr>
            <w:tcW w:w="713" w:type="dxa"/>
            <w:vAlign w:val="center"/>
            <w:hideMark/>
          </w:tcPr>
          <w:p w14:paraId="11032D56" w14:textId="77777777" w:rsidR="003F40E8" w:rsidRPr="00136F88" w:rsidRDefault="003F40E8" w:rsidP="003F40E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color w:val="auto"/>
                <w:sz w:val="20"/>
                <w:szCs w:val="20"/>
              </w:rPr>
              <w:t>2</w:t>
            </w:r>
          </w:p>
        </w:tc>
        <w:tc>
          <w:tcPr>
            <w:tcW w:w="283" w:type="dxa"/>
          </w:tcPr>
          <w:p w14:paraId="41EEF63A" w14:textId="77777777" w:rsidR="003F40E8" w:rsidRPr="00136F88" w:rsidRDefault="003F40E8" w:rsidP="003F40E8">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p>
        </w:tc>
        <w:tc>
          <w:tcPr>
            <w:tcW w:w="2406" w:type="dxa"/>
            <w:hideMark/>
          </w:tcPr>
          <w:p w14:paraId="0768F04B" w14:textId="77777777" w:rsidR="003F40E8" w:rsidRPr="00136F88" w:rsidRDefault="003F40E8" w:rsidP="003F40E8">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bCs/>
                <w:color w:val="auto"/>
                <w:sz w:val="20"/>
                <w:szCs w:val="20"/>
                <w:lang w:val="en-US"/>
              </w:rPr>
              <w:t>Partnership</w:t>
            </w:r>
          </w:p>
        </w:tc>
        <w:tc>
          <w:tcPr>
            <w:tcW w:w="859" w:type="dxa"/>
            <w:vAlign w:val="center"/>
            <w:hideMark/>
          </w:tcPr>
          <w:p w14:paraId="5FD7278A" w14:textId="77777777" w:rsidR="003F40E8" w:rsidRPr="00136F88" w:rsidRDefault="003F40E8" w:rsidP="003F40E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color w:val="auto"/>
                <w:sz w:val="20"/>
                <w:szCs w:val="20"/>
              </w:rPr>
              <w:t>2</w:t>
            </w:r>
          </w:p>
        </w:tc>
      </w:tr>
      <w:tr w:rsidR="00136F88" w:rsidRPr="00136F88" w14:paraId="6A4E5F2A" w14:textId="77777777" w:rsidTr="00136F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hideMark/>
          </w:tcPr>
          <w:p w14:paraId="22F4772E" w14:textId="77777777" w:rsidR="003F40E8" w:rsidRPr="00136F88" w:rsidRDefault="003F40E8" w:rsidP="003F40E8">
            <w:pPr>
              <w:spacing w:after="0"/>
              <w:jc w:val="both"/>
              <w:rPr>
                <w:rFonts w:ascii="Times New Roman" w:hAnsi="Times New Roman" w:cs="Times New Roman"/>
                <w:b w:val="0"/>
                <w:color w:val="auto"/>
                <w:sz w:val="20"/>
                <w:szCs w:val="20"/>
              </w:rPr>
            </w:pPr>
            <w:r w:rsidRPr="00136F88">
              <w:rPr>
                <w:rFonts w:ascii="Times New Roman" w:hAnsi="Times New Roman" w:cs="Times New Roman"/>
                <w:b w:val="0"/>
                <w:bCs w:val="0"/>
                <w:color w:val="auto"/>
                <w:sz w:val="20"/>
                <w:szCs w:val="20"/>
                <w:lang w:val="en-US"/>
              </w:rPr>
              <w:t>11 – 15</w:t>
            </w:r>
          </w:p>
        </w:tc>
        <w:tc>
          <w:tcPr>
            <w:tcW w:w="709" w:type="dxa"/>
            <w:vAlign w:val="center"/>
            <w:hideMark/>
          </w:tcPr>
          <w:p w14:paraId="178CE9AB" w14:textId="77777777" w:rsidR="003F40E8" w:rsidRPr="00136F88" w:rsidRDefault="003F40E8" w:rsidP="003F40E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color w:val="auto"/>
                <w:sz w:val="20"/>
                <w:szCs w:val="20"/>
              </w:rPr>
              <w:t>3</w:t>
            </w:r>
          </w:p>
        </w:tc>
        <w:tc>
          <w:tcPr>
            <w:tcW w:w="283" w:type="dxa"/>
          </w:tcPr>
          <w:p w14:paraId="13ED0351" w14:textId="77777777" w:rsidR="003F40E8" w:rsidRPr="00136F88" w:rsidRDefault="003F40E8" w:rsidP="003F40E8">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p>
        </w:tc>
        <w:tc>
          <w:tcPr>
            <w:tcW w:w="1843" w:type="dxa"/>
            <w:hideMark/>
          </w:tcPr>
          <w:p w14:paraId="06A4E4C4" w14:textId="77777777" w:rsidR="003F40E8" w:rsidRPr="00136F88" w:rsidRDefault="003F40E8" w:rsidP="003F40E8">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bCs/>
                <w:color w:val="auto"/>
                <w:sz w:val="20"/>
                <w:szCs w:val="20"/>
              </w:rPr>
              <w:t>501 – 750 million</w:t>
            </w:r>
          </w:p>
        </w:tc>
        <w:tc>
          <w:tcPr>
            <w:tcW w:w="713" w:type="dxa"/>
            <w:vAlign w:val="center"/>
            <w:hideMark/>
          </w:tcPr>
          <w:p w14:paraId="7EE8D85D" w14:textId="77777777" w:rsidR="003F40E8" w:rsidRPr="00136F88" w:rsidRDefault="003F40E8" w:rsidP="003F40E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color w:val="auto"/>
                <w:sz w:val="20"/>
                <w:szCs w:val="20"/>
              </w:rPr>
              <w:t>3</w:t>
            </w:r>
          </w:p>
        </w:tc>
        <w:tc>
          <w:tcPr>
            <w:tcW w:w="283" w:type="dxa"/>
          </w:tcPr>
          <w:p w14:paraId="45C16B96" w14:textId="77777777" w:rsidR="003F40E8" w:rsidRPr="00136F88" w:rsidRDefault="003F40E8" w:rsidP="003F40E8">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p>
        </w:tc>
        <w:tc>
          <w:tcPr>
            <w:tcW w:w="2406" w:type="dxa"/>
            <w:hideMark/>
          </w:tcPr>
          <w:p w14:paraId="28492073" w14:textId="77777777" w:rsidR="003F40E8" w:rsidRPr="00136F88" w:rsidRDefault="003F40E8" w:rsidP="003F40E8">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bCs/>
                <w:color w:val="auto"/>
                <w:sz w:val="20"/>
                <w:szCs w:val="20"/>
                <w:lang w:val="en-US"/>
              </w:rPr>
              <w:t>Joint Venture</w:t>
            </w:r>
          </w:p>
        </w:tc>
        <w:tc>
          <w:tcPr>
            <w:tcW w:w="859" w:type="dxa"/>
            <w:vAlign w:val="center"/>
            <w:hideMark/>
          </w:tcPr>
          <w:p w14:paraId="186EB625" w14:textId="77777777" w:rsidR="003F40E8" w:rsidRPr="00136F88" w:rsidRDefault="003F40E8" w:rsidP="003F40E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color w:val="auto"/>
                <w:sz w:val="20"/>
                <w:szCs w:val="20"/>
              </w:rPr>
              <w:t>3</w:t>
            </w:r>
          </w:p>
        </w:tc>
      </w:tr>
      <w:tr w:rsidR="00136F88" w:rsidRPr="00136F88" w14:paraId="6374B77F" w14:textId="77777777" w:rsidTr="00136F88">
        <w:trPr>
          <w:jc w:val="center"/>
        </w:trPr>
        <w:tc>
          <w:tcPr>
            <w:cnfStyle w:val="001000000000" w:firstRow="0" w:lastRow="0" w:firstColumn="1" w:lastColumn="0" w:oddVBand="0" w:evenVBand="0" w:oddHBand="0" w:evenHBand="0" w:firstRowFirstColumn="0" w:firstRowLastColumn="0" w:lastRowFirstColumn="0" w:lastRowLastColumn="0"/>
            <w:tcW w:w="1696" w:type="dxa"/>
            <w:hideMark/>
          </w:tcPr>
          <w:p w14:paraId="5BA5B129" w14:textId="77777777" w:rsidR="003F40E8" w:rsidRPr="00136F88" w:rsidRDefault="003F40E8" w:rsidP="003F40E8">
            <w:pPr>
              <w:spacing w:after="0"/>
              <w:jc w:val="both"/>
              <w:rPr>
                <w:rFonts w:ascii="Times New Roman" w:hAnsi="Times New Roman" w:cs="Times New Roman"/>
                <w:b w:val="0"/>
                <w:color w:val="auto"/>
                <w:sz w:val="20"/>
                <w:szCs w:val="20"/>
              </w:rPr>
            </w:pPr>
            <w:r w:rsidRPr="00136F88">
              <w:rPr>
                <w:rFonts w:ascii="Times New Roman" w:hAnsi="Times New Roman" w:cs="Times New Roman"/>
                <w:b w:val="0"/>
                <w:bCs w:val="0"/>
                <w:color w:val="auto"/>
                <w:sz w:val="20"/>
                <w:szCs w:val="20"/>
                <w:lang w:val="en-US"/>
              </w:rPr>
              <w:t>16 – 20</w:t>
            </w:r>
          </w:p>
        </w:tc>
        <w:tc>
          <w:tcPr>
            <w:tcW w:w="709" w:type="dxa"/>
            <w:vAlign w:val="center"/>
            <w:hideMark/>
          </w:tcPr>
          <w:p w14:paraId="7E8A691A" w14:textId="77777777" w:rsidR="003F40E8" w:rsidRPr="00136F88" w:rsidRDefault="003F40E8" w:rsidP="003F40E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color w:val="auto"/>
                <w:sz w:val="20"/>
                <w:szCs w:val="20"/>
              </w:rPr>
              <w:t>4</w:t>
            </w:r>
          </w:p>
        </w:tc>
        <w:tc>
          <w:tcPr>
            <w:tcW w:w="283" w:type="dxa"/>
          </w:tcPr>
          <w:p w14:paraId="1EEF0A46" w14:textId="77777777" w:rsidR="003F40E8" w:rsidRPr="00136F88" w:rsidRDefault="003F40E8" w:rsidP="003F40E8">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p>
        </w:tc>
        <w:tc>
          <w:tcPr>
            <w:tcW w:w="1843" w:type="dxa"/>
            <w:hideMark/>
          </w:tcPr>
          <w:p w14:paraId="5369F4C6" w14:textId="77777777" w:rsidR="003F40E8" w:rsidRPr="00136F88" w:rsidRDefault="003F40E8" w:rsidP="003F40E8">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bCs/>
                <w:color w:val="auto"/>
                <w:sz w:val="20"/>
                <w:szCs w:val="20"/>
              </w:rPr>
              <w:t>751 – 1 billion</w:t>
            </w:r>
          </w:p>
        </w:tc>
        <w:tc>
          <w:tcPr>
            <w:tcW w:w="713" w:type="dxa"/>
            <w:vAlign w:val="center"/>
            <w:hideMark/>
          </w:tcPr>
          <w:p w14:paraId="22E02580" w14:textId="77777777" w:rsidR="003F40E8" w:rsidRPr="00136F88" w:rsidRDefault="003F40E8" w:rsidP="003F40E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color w:val="auto"/>
                <w:sz w:val="20"/>
                <w:szCs w:val="20"/>
              </w:rPr>
              <w:t>4</w:t>
            </w:r>
          </w:p>
        </w:tc>
        <w:tc>
          <w:tcPr>
            <w:tcW w:w="283" w:type="dxa"/>
          </w:tcPr>
          <w:p w14:paraId="0C0B639D" w14:textId="77777777" w:rsidR="003F40E8" w:rsidRPr="00136F88" w:rsidRDefault="003F40E8" w:rsidP="003F40E8">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p>
        </w:tc>
        <w:tc>
          <w:tcPr>
            <w:tcW w:w="2406" w:type="dxa"/>
            <w:hideMark/>
          </w:tcPr>
          <w:p w14:paraId="2BF935C9" w14:textId="77777777" w:rsidR="003F40E8" w:rsidRPr="00136F88" w:rsidRDefault="003F40E8" w:rsidP="003F40E8">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bCs/>
                <w:color w:val="auto"/>
                <w:sz w:val="20"/>
                <w:szCs w:val="20"/>
                <w:lang w:val="en-US"/>
              </w:rPr>
              <w:t>Limited Liability Company</w:t>
            </w:r>
          </w:p>
        </w:tc>
        <w:tc>
          <w:tcPr>
            <w:tcW w:w="859" w:type="dxa"/>
            <w:vAlign w:val="center"/>
            <w:hideMark/>
          </w:tcPr>
          <w:p w14:paraId="129118E5" w14:textId="77777777" w:rsidR="003F40E8" w:rsidRPr="00136F88" w:rsidRDefault="003F40E8" w:rsidP="003F40E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color w:val="auto"/>
                <w:sz w:val="20"/>
                <w:szCs w:val="20"/>
              </w:rPr>
              <w:t>4</w:t>
            </w:r>
          </w:p>
        </w:tc>
      </w:tr>
      <w:tr w:rsidR="00136F88" w:rsidRPr="00136F88" w14:paraId="617DC2AE" w14:textId="77777777" w:rsidTr="00136F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hideMark/>
          </w:tcPr>
          <w:p w14:paraId="0FB066B8" w14:textId="77777777" w:rsidR="003F40E8" w:rsidRPr="00136F88" w:rsidRDefault="003F40E8" w:rsidP="003F40E8">
            <w:pPr>
              <w:spacing w:after="0"/>
              <w:jc w:val="both"/>
              <w:rPr>
                <w:rFonts w:ascii="Times New Roman" w:hAnsi="Times New Roman" w:cs="Times New Roman"/>
                <w:b w:val="0"/>
                <w:color w:val="auto"/>
                <w:sz w:val="20"/>
                <w:szCs w:val="20"/>
              </w:rPr>
            </w:pPr>
            <w:r w:rsidRPr="00136F88">
              <w:rPr>
                <w:rFonts w:ascii="Times New Roman" w:hAnsi="Times New Roman" w:cs="Times New Roman"/>
                <w:b w:val="0"/>
                <w:bCs w:val="0"/>
                <w:color w:val="auto"/>
                <w:sz w:val="20"/>
                <w:szCs w:val="20"/>
                <w:lang w:val="en-US"/>
              </w:rPr>
              <w:t>21 – 25</w:t>
            </w:r>
          </w:p>
        </w:tc>
        <w:tc>
          <w:tcPr>
            <w:tcW w:w="709" w:type="dxa"/>
            <w:vAlign w:val="center"/>
            <w:hideMark/>
          </w:tcPr>
          <w:p w14:paraId="7D6163AD" w14:textId="77777777" w:rsidR="003F40E8" w:rsidRPr="00136F88" w:rsidRDefault="003F40E8" w:rsidP="003F40E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color w:val="auto"/>
                <w:sz w:val="20"/>
                <w:szCs w:val="20"/>
              </w:rPr>
              <w:t>5</w:t>
            </w:r>
          </w:p>
        </w:tc>
        <w:tc>
          <w:tcPr>
            <w:tcW w:w="283" w:type="dxa"/>
          </w:tcPr>
          <w:p w14:paraId="1C39E4F4" w14:textId="77777777" w:rsidR="003F40E8" w:rsidRPr="00136F88" w:rsidRDefault="003F40E8" w:rsidP="003F40E8">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p>
        </w:tc>
        <w:tc>
          <w:tcPr>
            <w:tcW w:w="1843" w:type="dxa"/>
            <w:hideMark/>
          </w:tcPr>
          <w:p w14:paraId="741116EA" w14:textId="77777777" w:rsidR="003F40E8" w:rsidRPr="00136F88" w:rsidRDefault="003F40E8" w:rsidP="003F40E8">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bCs/>
                <w:color w:val="auto"/>
                <w:sz w:val="20"/>
                <w:szCs w:val="20"/>
              </w:rPr>
              <w:t>1 billion and Above</w:t>
            </w:r>
          </w:p>
        </w:tc>
        <w:tc>
          <w:tcPr>
            <w:tcW w:w="713" w:type="dxa"/>
            <w:vAlign w:val="center"/>
            <w:hideMark/>
          </w:tcPr>
          <w:p w14:paraId="4EA90AA4" w14:textId="77777777" w:rsidR="003F40E8" w:rsidRPr="00136F88" w:rsidRDefault="003F40E8" w:rsidP="003F40E8">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color w:val="auto"/>
                <w:sz w:val="20"/>
                <w:szCs w:val="20"/>
              </w:rPr>
              <w:t>5</w:t>
            </w:r>
          </w:p>
        </w:tc>
        <w:tc>
          <w:tcPr>
            <w:tcW w:w="283" w:type="dxa"/>
          </w:tcPr>
          <w:p w14:paraId="460A0454" w14:textId="77777777" w:rsidR="003F40E8" w:rsidRPr="00136F88" w:rsidRDefault="003F40E8" w:rsidP="003F40E8">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p>
        </w:tc>
        <w:tc>
          <w:tcPr>
            <w:tcW w:w="2406" w:type="dxa"/>
          </w:tcPr>
          <w:p w14:paraId="0954E0B0" w14:textId="77777777" w:rsidR="003F40E8" w:rsidRPr="00136F88" w:rsidRDefault="003F40E8" w:rsidP="003F40E8">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p>
        </w:tc>
        <w:tc>
          <w:tcPr>
            <w:tcW w:w="859" w:type="dxa"/>
          </w:tcPr>
          <w:p w14:paraId="183C6F12" w14:textId="77777777" w:rsidR="003F40E8" w:rsidRPr="00136F88" w:rsidRDefault="003F40E8" w:rsidP="003F40E8">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p>
        </w:tc>
      </w:tr>
      <w:tr w:rsidR="00136F88" w:rsidRPr="00136F88" w14:paraId="1A4A14F6" w14:textId="77777777" w:rsidTr="00136F88">
        <w:trPr>
          <w:jc w:val="center"/>
        </w:trPr>
        <w:tc>
          <w:tcPr>
            <w:cnfStyle w:val="001000000000" w:firstRow="0" w:lastRow="0" w:firstColumn="1" w:lastColumn="0" w:oddVBand="0" w:evenVBand="0" w:oddHBand="0" w:evenHBand="0" w:firstRowFirstColumn="0" w:firstRowLastColumn="0" w:lastRowFirstColumn="0" w:lastRowLastColumn="0"/>
            <w:tcW w:w="1696" w:type="dxa"/>
            <w:hideMark/>
          </w:tcPr>
          <w:p w14:paraId="30A26F71" w14:textId="77777777" w:rsidR="003F40E8" w:rsidRPr="00136F88" w:rsidRDefault="003F40E8" w:rsidP="003F40E8">
            <w:pPr>
              <w:spacing w:after="0"/>
              <w:jc w:val="both"/>
              <w:rPr>
                <w:rFonts w:ascii="Times New Roman" w:hAnsi="Times New Roman" w:cs="Times New Roman"/>
                <w:b w:val="0"/>
                <w:color w:val="auto"/>
                <w:sz w:val="20"/>
                <w:szCs w:val="20"/>
              </w:rPr>
            </w:pPr>
            <w:r w:rsidRPr="00136F88">
              <w:rPr>
                <w:rFonts w:ascii="Times New Roman" w:hAnsi="Times New Roman" w:cs="Times New Roman"/>
                <w:b w:val="0"/>
                <w:bCs w:val="0"/>
                <w:color w:val="auto"/>
                <w:sz w:val="20"/>
                <w:szCs w:val="20"/>
                <w:lang w:val="en-US"/>
              </w:rPr>
              <w:t>Above 25</w:t>
            </w:r>
          </w:p>
        </w:tc>
        <w:tc>
          <w:tcPr>
            <w:tcW w:w="709" w:type="dxa"/>
            <w:vAlign w:val="center"/>
            <w:hideMark/>
          </w:tcPr>
          <w:p w14:paraId="629A20E9" w14:textId="77777777" w:rsidR="003F40E8" w:rsidRPr="00136F88" w:rsidRDefault="003F40E8" w:rsidP="003F40E8">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136F88">
              <w:rPr>
                <w:rFonts w:ascii="Times New Roman" w:hAnsi="Times New Roman" w:cs="Times New Roman"/>
                <w:color w:val="auto"/>
                <w:sz w:val="20"/>
                <w:szCs w:val="20"/>
              </w:rPr>
              <w:t>6</w:t>
            </w:r>
          </w:p>
        </w:tc>
        <w:tc>
          <w:tcPr>
            <w:tcW w:w="283" w:type="dxa"/>
          </w:tcPr>
          <w:p w14:paraId="4DED62D6" w14:textId="77777777" w:rsidR="003F40E8" w:rsidRPr="00136F88" w:rsidRDefault="003F40E8" w:rsidP="003F40E8">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p>
        </w:tc>
        <w:tc>
          <w:tcPr>
            <w:tcW w:w="1843" w:type="dxa"/>
          </w:tcPr>
          <w:p w14:paraId="26F57D91" w14:textId="77777777" w:rsidR="003F40E8" w:rsidRPr="00136F88" w:rsidRDefault="003F40E8" w:rsidP="003F40E8">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p>
        </w:tc>
        <w:tc>
          <w:tcPr>
            <w:tcW w:w="713" w:type="dxa"/>
          </w:tcPr>
          <w:p w14:paraId="32DEE4A4" w14:textId="77777777" w:rsidR="003F40E8" w:rsidRPr="00136F88" w:rsidRDefault="003F40E8" w:rsidP="003F40E8">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p>
        </w:tc>
        <w:tc>
          <w:tcPr>
            <w:tcW w:w="283" w:type="dxa"/>
          </w:tcPr>
          <w:p w14:paraId="2BF62D90" w14:textId="77777777" w:rsidR="003F40E8" w:rsidRPr="00136F88" w:rsidRDefault="003F40E8" w:rsidP="003F40E8">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p>
        </w:tc>
        <w:tc>
          <w:tcPr>
            <w:tcW w:w="2406" w:type="dxa"/>
          </w:tcPr>
          <w:p w14:paraId="1E3EB9D1" w14:textId="77777777" w:rsidR="003F40E8" w:rsidRPr="00136F88" w:rsidRDefault="003F40E8" w:rsidP="003F40E8">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p>
        </w:tc>
        <w:tc>
          <w:tcPr>
            <w:tcW w:w="859" w:type="dxa"/>
          </w:tcPr>
          <w:p w14:paraId="676B4BDC" w14:textId="77777777" w:rsidR="003F40E8" w:rsidRPr="00136F88" w:rsidRDefault="003F40E8" w:rsidP="003F40E8">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p>
        </w:tc>
      </w:tr>
    </w:tbl>
    <w:p w14:paraId="2712D345" w14:textId="7A79A510" w:rsidR="003F40E8" w:rsidRPr="00BE4AF3" w:rsidRDefault="003F40E8" w:rsidP="00F61FBE">
      <w:pPr>
        <w:spacing w:line="240" w:lineRule="auto"/>
        <w:jc w:val="center"/>
        <w:rPr>
          <w:rFonts w:ascii="Times New Roman" w:hAnsi="Times New Roman" w:cs="Times New Roman"/>
          <w:b/>
          <w:bCs/>
          <w:color w:val="000000"/>
          <w:sz w:val="24"/>
          <w:szCs w:val="24"/>
        </w:rPr>
      </w:pPr>
      <w:r w:rsidRPr="00BE4AF3">
        <w:rPr>
          <w:rFonts w:ascii="Times New Roman" w:hAnsi="Times New Roman" w:cs="Times New Roman"/>
          <w:b/>
          <w:bCs/>
          <w:color w:val="000000"/>
          <w:sz w:val="24"/>
          <w:szCs w:val="24"/>
        </w:rPr>
        <w:t xml:space="preserve">Source: </w:t>
      </w:r>
      <w:r w:rsidRPr="00136F88">
        <w:rPr>
          <w:rFonts w:ascii="Times New Roman" w:hAnsi="Times New Roman" w:cs="Times New Roman"/>
          <w:color w:val="000000"/>
          <w:sz w:val="24"/>
          <w:szCs w:val="24"/>
        </w:rPr>
        <w:t>Author’s Compilation</w:t>
      </w:r>
    </w:p>
    <w:p w14:paraId="183FD6DC" w14:textId="77777777" w:rsidR="003F40E8" w:rsidRPr="00BE4AF3" w:rsidRDefault="003F40E8" w:rsidP="00F61FBE">
      <w:pPr>
        <w:spacing w:line="240" w:lineRule="auto"/>
        <w:jc w:val="both"/>
        <w:rPr>
          <w:rFonts w:ascii="Times New Roman" w:hAnsi="Times New Roman" w:cs="Times New Roman"/>
          <w:sz w:val="24"/>
          <w:szCs w:val="24"/>
        </w:rPr>
      </w:pPr>
      <w:r w:rsidRPr="00BE4AF3">
        <w:rPr>
          <w:rFonts w:ascii="Times New Roman" w:hAnsi="Times New Roman" w:cs="Times New Roman"/>
          <w:sz w:val="24"/>
          <w:szCs w:val="24"/>
          <w:lang w:val="en-US"/>
        </w:rPr>
        <w:t xml:space="preserve">The procedure of pre-letting and pre-sale financing options in Nigeria appeared to be </w:t>
      </w:r>
      <w:r w:rsidRPr="00BE4AF3">
        <w:rPr>
          <w:rFonts w:ascii="Times New Roman" w:hAnsi="Times New Roman" w:cs="Times New Roman"/>
          <w:sz w:val="24"/>
          <w:szCs w:val="24"/>
        </w:rPr>
        <w:t>void of direct government intervention as found in developed economy like Dubai and Malaysia</w:t>
      </w:r>
      <w:r w:rsidRPr="00BE4AF3">
        <w:rPr>
          <w:rFonts w:ascii="Times New Roman" w:hAnsi="Times New Roman" w:cs="Times New Roman"/>
          <w:sz w:val="24"/>
          <w:szCs w:val="24"/>
          <w:lang w:val="en-US"/>
        </w:rPr>
        <w:t>. No part of the process mentioned government regulations as applicable in the developed economies where success has been recorded (</w:t>
      </w:r>
      <w:r w:rsidRPr="00BE4AF3">
        <w:rPr>
          <w:rStyle w:val="fontstyle01"/>
          <w:rFonts w:ascii="Times New Roman" w:hAnsi="Times New Roman" w:cs="Times New Roman"/>
          <w:sz w:val="24"/>
          <w:szCs w:val="24"/>
        </w:rPr>
        <w:fldChar w:fldCharType="begin" w:fldLock="1"/>
      </w:r>
      <w:r w:rsidRPr="00BE4AF3">
        <w:rPr>
          <w:rStyle w:val="fontstyle01"/>
          <w:rFonts w:ascii="Times New Roman" w:hAnsi="Times New Roman" w:cs="Times New Roman"/>
          <w:sz w:val="24"/>
          <w:szCs w:val="24"/>
        </w:rPr>
        <w:instrText>ADDIN CSL_CITATION {"citationItems":[{"id":"ITEM-1","itemData":{"DOI":"10.1163/15730255-12314030","ISSN":"15730255","abstract":"The real estate legislative system is one of the bases of the sustainable development process. This research focuses on the role of the legal system in sustainable development, according to the most prominent relevant international reports. The UAE ranked forty-first globally in the Human Development Index (HDI). In the World Bank's 'Doing Business Report', the UAE ranked second globally and first in the Middle East and North Africa (MENA) for the 'Dealing with Construction Permits' indicator. Thus, the Emirate of Dubai is deemed the second-best city in the world in terms of ease of dealing with construction permits. For the 'Registering Property' indicator, the UAE ranked tenth globally and first in the Middle East and North Africa (MENA). Despite the UAE's great achievements in terms of developmental ranking at the global level, there is still more to achieve in the field of development.","author":[{"dropping-particle":"","family":"Jadalhaq","given":"Iyad Mohammed","non-dropping-particle":"","parse-names":false,"suffix":""}],"container-title":"Arab Law Quarterly","id":"ITEM-1","issue":"4","issued":{"date-parts":[["2017"]]},"page":"388-410","title":"Fundamentals of the real estate legislative system and its impact on sustainable development: Dubai case study","type":"article-journal","volume":"31"},"uris":["http://www.mendeley.com/documents/?uuid=f2dd5beb-5af2-41c1-8573-967d1f90edad"]}],"mendeley":{"formattedCitation":"(Jadalhaq, 2017)","manualFormatting":"Jadalhaq (2017)","plainTextFormattedCitation":"(Jadalhaq, 2017)","previouslyFormattedCitation":"(Jadalhaq, 2017)"},"properties":{"noteIndex":0},"schema":"https://github.com/citation-style-language/schema/raw/master/csl-citation.json"}</w:instrText>
      </w:r>
      <w:r w:rsidRPr="00BE4AF3">
        <w:rPr>
          <w:rStyle w:val="fontstyle01"/>
          <w:rFonts w:ascii="Times New Roman" w:hAnsi="Times New Roman" w:cs="Times New Roman"/>
          <w:sz w:val="24"/>
          <w:szCs w:val="24"/>
        </w:rPr>
        <w:fldChar w:fldCharType="separate"/>
      </w:r>
      <w:r w:rsidRPr="00BE4AF3">
        <w:rPr>
          <w:rStyle w:val="fontstyle01"/>
          <w:rFonts w:ascii="Times New Roman" w:hAnsi="Times New Roman" w:cs="Times New Roman"/>
          <w:noProof/>
          <w:sz w:val="24"/>
          <w:szCs w:val="24"/>
        </w:rPr>
        <w:t>Jadalhaq, 2017;</w:t>
      </w:r>
      <w:r w:rsidRPr="00BE4AF3">
        <w:rPr>
          <w:rStyle w:val="fontstyle01"/>
          <w:rFonts w:ascii="Times New Roman" w:hAnsi="Times New Roman" w:cs="Times New Roman"/>
          <w:sz w:val="24"/>
          <w:szCs w:val="24"/>
        </w:rPr>
        <w:fldChar w:fldCharType="end"/>
      </w:r>
      <w:r w:rsidRPr="00BE4AF3">
        <w:rPr>
          <w:rStyle w:val="fontstyle01"/>
          <w:rFonts w:ascii="Times New Roman" w:hAnsi="Times New Roman" w:cs="Times New Roman"/>
          <w:sz w:val="24"/>
          <w:szCs w:val="24"/>
        </w:rPr>
        <w:t xml:space="preserve"> </w:t>
      </w:r>
      <w:r w:rsidRPr="00BE4AF3">
        <w:rPr>
          <w:rStyle w:val="fontstyle01"/>
          <w:rFonts w:ascii="Times New Roman" w:hAnsi="Times New Roman" w:cs="Times New Roman"/>
          <w:sz w:val="24"/>
          <w:szCs w:val="24"/>
        </w:rPr>
        <w:fldChar w:fldCharType="begin" w:fldLock="1"/>
      </w:r>
      <w:r w:rsidRPr="00BE4AF3">
        <w:rPr>
          <w:rStyle w:val="fontstyle01"/>
          <w:rFonts w:ascii="Times New Roman" w:hAnsi="Times New Roman" w:cs="Times New Roman"/>
          <w:sz w:val="24"/>
          <w:szCs w:val="24"/>
        </w:rPr>
        <w:instrText>ADDIN CSL_CITATION {"citationItems":[{"id":"ITEM-1","itemData":{"DOI":"10.3846/ijspm.2018.1547","ISSN":"16489179","abstract":"The condominium presale market is characterized by information asymmetry between the developer and potential buyers. A condominium developer faces conflicting incentives to sell units quickly at a lower price to generate cash and sales momentum versus to hold prices high and endure longer marketing time to maximize revenues and maintain the property’s value. We examine the pattern of marketing duration for condominium units offered for presale in a large homogeneous development in Chengdu, China using a Cox proportional hazards model. Results indicate that a patient developer may extract a price premium on units. Diminishing risk to buyers is associated with shorter marketing duration. Time-on-market is also influenced by unit and building size as well as orientation. Market conditions may moderate the speed at which units are sold.","author":[{"dropping-particle":"","family":"Zhou","given":"Xiaorong","non-dropping-particle":"","parse-names":false,"suffix":""},{"dropping-particle":"","family":"Zahirovic-Herbert","given":"Velma","non-dropping-particle":"","parse-names":false,"suffix":""},{"dropping-particle":"","family":"Gibler","given":"Karen M","non-dropping-particle":"","parse-names":false,"suffix":""}],"container-title":"International Journal of Strategic Property Management","id":"ITEM-1","issue":"3","issued":{"date-parts":[["2018"]]},"page":"191-203","title":"Time-on-market in chinese condominium presales","type":"article-journal","volume":"22"},"uris":["http://www.mendeley.com/documents/?uuid=529365aa-5d49-4625-bf94-cacc448a7211"]}],"mendeley":{"formattedCitation":"(Zhou et al., 2018)","manualFormatting":"Zhou et al. (2018)","plainTextFormattedCitation":"(Zhou et al., 2018)","previouslyFormattedCitation":"(Zhou et al., 2018)"},"properties":{"noteIndex":0},"schema":"https://github.com/citation-style-language/schema/raw/master/csl-citation.json"}</w:instrText>
      </w:r>
      <w:r w:rsidRPr="00BE4AF3">
        <w:rPr>
          <w:rStyle w:val="fontstyle01"/>
          <w:rFonts w:ascii="Times New Roman" w:hAnsi="Times New Roman" w:cs="Times New Roman"/>
          <w:sz w:val="24"/>
          <w:szCs w:val="24"/>
        </w:rPr>
        <w:fldChar w:fldCharType="separate"/>
      </w:r>
      <w:r w:rsidRPr="00BE4AF3">
        <w:rPr>
          <w:rStyle w:val="fontstyle01"/>
          <w:rFonts w:ascii="Times New Roman" w:hAnsi="Times New Roman" w:cs="Times New Roman"/>
          <w:noProof/>
          <w:sz w:val="24"/>
          <w:szCs w:val="24"/>
        </w:rPr>
        <w:t>Zhou et al., 2018)</w:t>
      </w:r>
      <w:r w:rsidRPr="00BE4AF3">
        <w:rPr>
          <w:rStyle w:val="fontstyle01"/>
          <w:rFonts w:ascii="Times New Roman" w:hAnsi="Times New Roman" w:cs="Times New Roman"/>
          <w:sz w:val="24"/>
          <w:szCs w:val="24"/>
        </w:rPr>
        <w:fldChar w:fldCharType="end"/>
      </w:r>
      <w:r w:rsidRPr="00BE4AF3">
        <w:rPr>
          <w:rFonts w:ascii="Times New Roman" w:hAnsi="Times New Roman" w:cs="Times New Roman"/>
          <w:sz w:val="24"/>
          <w:szCs w:val="24"/>
          <w:lang w:val="en-US"/>
        </w:rPr>
        <w:t xml:space="preserve">. In other economy, government involvement appeared in the form of policy, regulating the conduct of the arrangements such as no firm is permitted to pre-let or pre-sale without opening escrow account and get government approval to access the fund based on developmental stages. </w:t>
      </w:r>
      <w:r w:rsidRPr="00BE4AF3">
        <w:rPr>
          <w:rFonts w:ascii="Times New Roman" w:hAnsi="Times New Roman" w:cs="Times New Roman"/>
          <w:sz w:val="24"/>
          <w:szCs w:val="24"/>
        </w:rPr>
        <w:t>In China and Taiwan, government regulation disallow firm from pre-letting or pre-selling until the development reached a pre-determined level.</w:t>
      </w:r>
      <w:r w:rsidRPr="00BE4AF3">
        <w:rPr>
          <w:rFonts w:ascii="Times New Roman" w:hAnsi="Times New Roman" w:cs="Times New Roman"/>
          <w:sz w:val="24"/>
          <w:szCs w:val="24"/>
          <w:lang w:val="en-US"/>
        </w:rPr>
        <w:t xml:space="preserve"> The essence of these is to ensure security of all the parties’ interest.</w:t>
      </w:r>
    </w:p>
    <w:p w14:paraId="642272C3" w14:textId="77777777" w:rsidR="003F40E8" w:rsidRPr="00BE4AF3" w:rsidRDefault="003F40E8" w:rsidP="003F40E8">
      <w:pPr>
        <w:spacing w:after="0"/>
        <w:jc w:val="both"/>
        <w:rPr>
          <w:rFonts w:ascii="Times New Roman" w:hAnsi="Times New Roman" w:cs="Times New Roman"/>
          <w:b/>
          <w:bCs/>
          <w:sz w:val="24"/>
          <w:szCs w:val="24"/>
        </w:rPr>
      </w:pPr>
      <w:r w:rsidRPr="00BE4AF3">
        <w:rPr>
          <w:rFonts w:ascii="Times New Roman" w:hAnsi="Times New Roman" w:cs="Times New Roman"/>
          <w:b/>
          <w:bCs/>
          <w:sz w:val="24"/>
          <w:szCs w:val="24"/>
        </w:rPr>
        <w:t>4.3.</w:t>
      </w:r>
      <w:r w:rsidRPr="00BE4AF3">
        <w:rPr>
          <w:rFonts w:ascii="Times New Roman" w:hAnsi="Times New Roman" w:cs="Times New Roman"/>
          <w:b/>
          <w:bCs/>
          <w:sz w:val="24"/>
          <w:szCs w:val="24"/>
        </w:rPr>
        <w:tab/>
        <w:t>Implication of the findings</w:t>
      </w:r>
    </w:p>
    <w:p w14:paraId="18998F90" w14:textId="77777777" w:rsidR="003F40E8" w:rsidRPr="00BE4AF3" w:rsidRDefault="003F40E8" w:rsidP="00136F88">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lang w:val="en-US"/>
        </w:rPr>
        <w:t xml:space="preserve">This study revealed that both pre-letting and pre-sale financing options follow the same procedures as obtained in spot property development with a slight twist that addressed the peculiarity of finance generation. </w:t>
      </w:r>
      <w:r w:rsidRPr="00BE4AF3">
        <w:rPr>
          <w:rFonts w:ascii="Times New Roman" w:hAnsi="Times New Roman" w:cs="Times New Roman"/>
          <w:sz w:val="24"/>
          <w:szCs w:val="24"/>
        </w:rPr>
        <w:t>The peculiarity informed the 2 categories of developers in this regard: those who subscribed to construction of prototype and those that believe in sufficiency of</w:t>
      </w:r>
      <w:r w:rsidRPr="00BE4AF3">
        <w:rPr>
          <w:rFonts w:ascii="Times New Roman" w:hAnsi="Times New Roman" w:cs="Times New Roman"/>
          <w:sz w:val="24"/>
          <w:szCs w:val="24"/>
          <w:lang w:val="en-US"/>
        </w:rPr>
        <w:t xml:space="preserve"> 3D architectural model. This dichotomy, signals the absence of government regulation and standardised procedure, which is required to govern the practice as obtainable in the developed markets. Instead of direct government involvement, to monitor the escrow account and </w:t>
      </w:r>
      <w:r w:rsidRPr="00BE4AF3">
        <w:rPr>
          <w:rFonts w:ascii="Times New Roman" w:hAnsi="Times New Roman" w:cs="Times New Roman"/>
          <w:sz w:val="24"/>
          <w:szCs w:val="24"/>
          <w:lang w:val="en-US"/>
        </w:rPr>
        <w:lastRenderedPageBreak/>
        <w:t xml:space="preserve">disbursement of fund to development firms in phases </w:t>
      </w:r>
      <w:r w:rsidRPr="00BE4AF3">
        <w:rPr>
          <w:rFonts w:ascii="Times New Roman" w:hAnsi="Times New Roman" w:cs="Times New Roman"/>
          <w:sz w:val="24"/>
          <w:szCs w:val="24"/>
          <w:lang w:val="en-US"/>
        </w:rPr>
        <w:fldChar w:fldCharType="begin" w:fldLock="1"/>
      </w:r>
      <w:r w:rsidRPr="00BE4AF3">
        <w:rPr>
          <w:rFonts w:ascii="Times New Roman" w:hAnsi="Times New Roman" w:cs="Times New Roman"/>
          <w:sz w:val="24"/>
          <w:szCs w:val="24"/>
          <w:lang w:val="en-US"/>
        </w:rPr>
        <w:instrText>ADDIN CSL_CITATION {"citationItems":[{"id":"ITEM-1","itemData":{"DOI":"10.1163/15730255-12314030","ISSN":"15730255","abstract":"The real estate legislative system is one of the bases of the sustainable development process. This research focuses on the role of the legal system in sustainable development, according to the most prominent relevant international reports. The UAE ranked forty-first globally in the Human Development Index (HDI). In the World Bank's 'Doing Business Report', the UAE ranked second globally and first in the Middle East and North Africa (MENA) for the 'Dealing with Construction Permits' indicator. Thus, the Emirate of Dubai is deemed the second-best city in the world in terms of ease of dealing with construction permits. For the 'Registering Property' indicator, the UAE ranked tenth globally and first in the Middle East and North Africa (MENA). Despite the UAE's great achievements in terms of developmental ranking at the global level, there is still more to achieve in the field of development.","author":[{"dropping-particle":"","family":"Jadalhaq","given":"Iyad Mohammed","non-dropping-particle":"","parse-names":false,"suffix":""}],"container-title":"Arab Law Quarterly","id":"ITEM-1","issue":"4","issued":{"date-parts":[["2017"]]},"page":"388-410","title":"Fundamentals of the real estate legislative system and its impact on sustainable development: Dubai case study","type":"article-journal","volume":"31"},"uris":["http://www.mendeley.com/documents/?uuid=f2dd5beb-5af2-41c1-8573-967d1f90edad"]},{"id":"ITEM-2","itemData":{"DOI":"10.3846/ijspm.2018.1547","ISSN":"16489179","abstract":"The condominium presale market is characterized by information asymmetry between the developer and potential buyers. A condominium developer faces conflicting incentives to sell units quickly at a lower price to generate cash and sales momentum versus to hold prices high and endure longer marketing time to maximize revenues and maintain the property’s value. We examine the pattern of marketing duration for condominium units offered for presale in a large homogeneous development in Chengdu, China using a Cox proportional hazards model. Results indicate that a patient developer may extract a price premium on units. Diminishing risk to buyers is associated with shorter marketing duration. Time-on-market is also influenced by unit and building size as well as orientation. Market conditions may moderate the speed at which units are sold.","author":[{"dropping-particle":"","family":"Zhou","given":"Xiaorong","non-dropping-particle":"","parse-names":false,"suffix":""},{"dropping-particle":"","family":"Zahirovic-Herbert","given":"Velma","non-dropping-particle":"","parse-names":false,"suffix":""},{"dropping-particle":"","family":"Gibler","given":"Karen M","non-dropping-particle":"","parse-names":false,"suffix":""}],"container-title":"International Journal of Strategic Property Management","id":"ITEM-2","issue":"3","issued":{"date-parts":[["2018"]]},"page":"191-203","title":"Time-on-market in chinese condominium presales","type":"article-journal","volume":"22"},"uris":["http://www.mendeley.com/documents/?uuid=529365aa-5d49-4625-bf94-cacc448a7211"]}],"mendeley":{"formattedCitation":"(Jadalhaq, 2017; Zhou et al., 2018b)","manualFormatting":"(Jadalhaq, 2017; Zhou et al., 2018)","plainTextFormattedCitation":"(Jadalhaq, 2017; Zhou et al., 2018b)","previouslyFormattedCitation":"(Jadalhaq, 2017; Zhou et al., 2018b)"},"properties":{"noteIndex":0},"schema":"https://github.com/citation-style-language/schema/raw/master/csl-citation.json"}</w:instrText>
      </w:r>
      <w:r w:rsidRPr="00BE4AF3">
        <w:rPr>
          <w:rFonts w:ascii="Times New Roman" w:hAnsi="Times New Roman" w:cs="Times New Roman"/>
          <w:sz w:val="24"/>
          <w:szCs w:val="24"/>
          <w:lang w:val="en-US"/>
        </w:rPr>
        <w:fldChar w:fldCharType="separate"/>
      </w:r>
      <w:r w:rsidRPr="00BE4AF3">
        <w:rPr>
          <w:rFonts w:ascii="Times New Roman" w:hAnsi="Times New Roman" w:cs="Times New Roman"/>
          <w:noProof/>
          <w:sz w:val="24"/>
          <w:szCs w:val="24"/>
          <w:lang w:val="en-US"/>
        </w:rPr>
        <w:t>(Jadalhaq, 2017)</w:t>
      </w:r>
      <w:r w:rsidRPr="00BE4AF3">
        <w:rPr>
          <w:rFonts w:ascii="Times New Roman" w:hAnsi="Times New Roman" w:cs="Times New Roman"/>
          <w:sz w:val="24"/>
          <w:szCs w:val="24"/>
          <w:lang w:val="en-US"/>
        </w:rPr>
        <w:fldChar w:fldCharType="end"/>
      </w:r>
      <w:r w:rsidRPr="00BE4AF3">
        <w:rPr>
          <w:rFonts w:ascii="Times New Roman" w:hAnsi="Times New Roman" w:cs="Times New Roman"/>
          <w:sz w:val="24"/>
          <w:szCs w:val="24"/>
          <w:lang w:val="en-US"/>
        </w:rPr>
        <w:t xml:space="preserve">, additional consideration is carefully made by PDCs for an executable contractual agreement, with special clauses that bind the buyers and tenants, for performance of their financial obligations. The buyers and or tenants’ financial obligation of these arrangement provided for special clauses such as the duration of the development, the amount of initial deposit, the agreed number of installments, the penalty for default for both parties. These allow for </w:t>
      </w:r>
      <w:r w:rsidRPr="00BE4AF3">
        <w:rPr>
          <w:rFonts w:ascii="Times New Roman" w:hAnsi="Times New Roman" w:cs="Times New Roman"/>
          <w:sz w:val="24"/>
          <w:szCs w:val="24"/>
        </w:rPr>
        <w:t>redress under contract law, anytime there is a breach in the contractual agreement.</w:t>
      </w:r>
    </w:p>
    <w:p w14:paraId="5625504B" w14:textId="77777777" w:rsidR="003F40E8" w:rsidRPr="00BE4AF3" w:rsidRDefault="003F40E8" w:rsidP="00136F88">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Surveyed PDCs had no consideration for escrow account. Buyers or tenants make payment directly into the company account. This could be one of the reasons why buyers/tenants are sceptical with the trust-based financing options, and it is negatively influencing their adoption. Government regulatory role was meant to build buyers and tenants confidence in the arrangements and motivates commitment of fund. Also, the regulatory role was meant to protect PDCs against buyer’s default, as any deposit before buyer’s failure to complete payment will be forfeited as consequence of contract breaching. In the developed markets, government involvement guarantees security of interests of all stakeholders involved in pre-letting and pre-sale financing option. Conversely, the absence of special policy or regulation that directly control the operation of the financing options would impose a great hinderance to the usage of these trust-based options, especially in the developing markets like Nigeria, where trust is a challenge. </w:t>
      </w:r>
    </w:p>
    <w:p w14:paraId="708623EF" w14:textId="77777777" w:rsidR="003F40E8" w:rsidRDefault="003F40E8" w:rsidP="00136F88">
      <w:pPr>
        <w:spacing w:after="0" w:line="240" w:lineRule="auto"/>
        <w:jc w:val="both"/>
        <w:rPr>
          <w:rFonts w:ascii="Times New Roman" w:hAnsi="Times New Roman" w:cs="Times New Roman"/>
          <w:sz w:val="24"/>
          <w:szCs w:val="24"/>
          <w:lang w:val="en-US"/>
        </w:rPr>
      </w:pPr>
      <w:r w:rsidRPr="00BE4AF3">
        <w:rPr>
          <w:rFonts w:ascii="Times New Roman" w:hAnsi="Times New Roman" w:cs="Times New Roman"/>
          <w:sz w:val="24"/>
          <w:szCs w:val="24"/>
          <w:lang w:val="en-US"/>
        </w:rPr>
        <w:t>It was also observed that most of the PDCs that believed in the sufficiency of 3D model were those that have stayed long in the market to earn the trust of clients. This implies that, since there is no mechanism in place from the government to enforce PDCs’ performance and promote trust, the PDCs are leveraging their goodwill built over the years to market their products. It must be that clients gauge the trustworthiness of PDCs’ using their antecedents. This is capable of rendering the younger PDCs irrelevant in the operation of pre-letting and pre-sale financing options. Since the clients only tends to trust PDCs based on the past histories, it then does not matter the years of experience of the developers; if they are not a popular name in the industry, they would not win the trust of the clients.</w:t>
      </w:r>
    </w:p>
    <w:p w14:paraId="635E12E1" w14:textId="77777777" w:rsidR="00F61FBE" w:rsidRPr="00BE4AF3" w:rsidRDefault="00F61FBE" w:rsidP="00136F88">
      <w:pPr>
        <w:spacing w:after="0" w:line="240" w:lineRule="auto"/>
        <w:jc w:val="both"/>
        <w:rPr>
          <w:rFonts w:ascii="Times New Roman" w:hAnsi="Times New Roman" w:cs="Times New Roman"/>
          <w:sz w:val="24"/>
          <w:szCs w:val="24"/>
        </w:rPr>
      </w:pPr>
    </w:p>
    <w:p w14:paraId="651D8E18" w14:textId="77777777" w:rsidR="003F40E8" w:rsidRPr="00BE4AF3" w:rsidRDefault="003F40E8" w:rsidP="003F40E8">
      <w:pPr>
        <w:spacing w:after="0"/>
        <w:rPr>
          <w:rFonts w:ascii="Times New Roman" w:hAnsi="Times New Roman" w:cs="Times New Roman"/>
          <w:b/>
          <w:bCs/>
          <w:sz w:val="24"/>
          <w:szCs w:val="24"/>
        </w:rPr>
      </w:pPr>
      <w:r w:rsidRPr="00BE4AF3">
        <w:rPr>
          <w:rFonts w:ascii="Times New Roman" w:hAnsi="Times New Roman" w:cs="Times New Roman"/>
          <w:b/>
          <w:bCs/>
          <w:sz w:val="24"/>
          <w:szCs w:val="24"/>
        </w:rPr>
        <w:t>Conclusion and Recommendation</w:t>
      </w:r>
    </w:p>
    <w:p w14:paraId="39E11BBD" w14:textId="77777777" w:rsidR="003F40E8" w:rsidRPr="00BE4AF3" w:rsidRDefault="003F40E8" w:rsidP="00F61FBE">
      <w:pPr>
        <w:spacing w:after="0" w:line="240" w:lineRule="auto"/>
        <w:jc w:val="both"/>
        <w:rPr>
          <w:rFonts w:ascii="Times New Roman" w:hAnsi="Times New Roman" w:cs="Times New Roman"/>
          <w:sz w:val="24"/>
          <w:szCs w:val="24"/>
          <w:lang w:val="en-US"/>
        </w:rPr>
      </w:pPr>
      <w:r w:rsidRPr="00BE4AF3">
        <w:rPr>
          <w:rFonts w:ascii="Times New Roman" w:hAnsi="Times New Roman" w:cs="Times New Roman"/>
          <w:sz w:val="24"/>
          <w:szCs w:val="24"/>
        </w:rPr>
        <w:t xml:space="preserve">The study examined the procedure of </w:t>
      </w:r>
      <w:r w:rsidRPr="00BE4AF3">
        <w:rPr>
          <w:rFonts w:ascii="Times New Roman" w:hAnsi="Times New Roman" w:cs="Times New Roman"/>
          <w:sz w:val="24"/>
          <w:szCs w:val="24"/>
          <w:lang w:val="en-US"/>
        </w:rPr>
        <w:t xml:space="preserve">pre-letting and pre-sale financing options for real estate development in Lagos metropolis, and provided information that would enhance the performance of PDCs in Nigeria as well as similar emerging market. It was revealed that there is no unified standard for operation of the pre-letting and pre-sale finance and hence, direct government regulatory involvement in the process is missing. Hence, there is no standard procedure guiding the firms in the usage of the financial arrangements, nor is there any government policy that protects the interest of both the PDCs and clients. It can be concluded from the findings that the inconspicuous presence of government to regulate and enhance clients’ confidence in the system, will hinder these trust-based financing options from achieving similar success rate, as recorded in the developed markets. By this, financing real estate development will remain a problem in the industry, and housing deficit will persist. </w:t>
      </w:r>
    </w:p>
    <w:p w14:paraId="5EF0BC29" w14:textId="538BF916" w:rsidR="003F40E8" w:rsidRDefault="003F40E8" w:rsidP="00F61FBE">
      <w:pPr>
        <w:spacing w:after="0" w:line="240" w:lineRule="auto"/>
        <w:jc w:val="both"/>
        <w:rPr>
          <w:rFonts w:ascii="Times New Roman" w:hAnsi="Times New Roman" w:cs="Times New Roman"/>
          <w:sz w:val="24"/>
          <w:szCs w:val="24"/>
          <w:lang w:val="en-US"/>
        </w:rPr>
      </w:pPr>
      <w:r w:rsidRPr="00BE4AF3">
        <w:rPr>
          <w:rFonts w:ascii="Times New Roman" w:hAnsi="Times New Roman" w:cs="Times New Roman"/>
          <w:sz w:val="24"/>
          <w:szCs w:val="24"/>
          <w:lang w:val="en-US"/>
        </w:rPr>
        <w:t xml:space="preserve">Hence, there should be enactment of policies that will directly affect the operation of pre-letting and pre-sale financing options, which would help in regulating the practice and build clients’ confidence. It is also necessary, that the PDCs redeem their reputation by ensuring that they do all that is required to deliver quality project as and when due. Acting their promises as agreed on the contractual agreement would assist in building clients’ confidence in the pre-letting and pre-sale financing options. It is therefore necessary that these are promptly addressed to dowse the fear of </w:t>
      </w:r>
      <w:r w:rsidRPr="00BE4AF3">
        <w:rPr>
          <w:rFonts w:ascii="Times New Roman" w:hAnsi="Times New Roman" w:cs="Times New Roman"/>
          <w:sz w:val="24"/>
          <w:szCs w:val="24"/>
          <w:lang w:val="en-US"/>
        </w:rPr>
        <w:lastRenderedPageBreak/>
        <w:t xml:space="preserve">clients, encourage the PDCs and thereby make interest-free finance available for real estate development in order to improve housing provision and reduce current deficit in the housing sector. </w:t>
      </w:r>
      <w:bookmarkStart w:id="15" w:name="_Hlk202167622"/>
      <w:r w:rsidRPr="00BE4AF3">
        <w:rPr>
          <w:rFonts w:ascii="Times New Roman" w:hAnsi="Times New Roman" w:cs="Times New Roman"/>
          <w:sz w:val="24"/>
          <w:szCs w:val="24"/>
          <w:lang w:val="en-US"/>
        </w:rPr>
        <w:t>This study is limited to property development market in Lagos metropolis, Nigeria. Similar studies can be carried out across other property hubs in Nigeria, as well as other Sub-Saharan African nations.</w:t>
      </w:r>
      <w:bookmarkEnd w:id="15"/>
    </w:p>
    <w:p w14:paraId="0DAAFEE3" w14:textId="77777777" w:rsidR="00F61FBE" w:rsidRPr="00BE4AF3" w:rsidRDefault="00F61FBE" w:rsidP="00F61FBE">
      <w:pPr>
        <w:spacing w:after="0" w:line="240" w:lineRule="auto"/>
        <w:jc w:val="both"/>
        <w:rPr>
          <w:rFonts w:ascii="Times New Roman" w:hAnsi="Times New Roman" w:cs="Times New Roman"/>
          <w:sz w:val="24"/>
          <w:szCs w:val="24"/>
          <w:lang w:val="en-US"/>
        </w:rPr>
      </w:pPr>
    </w:p>
    <w:p w14:paraId="546F524D" w14:textId="77777777" w:rsidR="003F40E8" w:rsidRPr="00BE4AF3" w:rsidRDefault="003F40E8" w:rsidP="003F40E8">
      <w:pPr>
        <w:spacing w:after="0" w:line="259" w:lineRule="auto"/>
        <w:rPr>
          <w:rFonts w:ascii="Times New Roman" w:hAnsi="Times New Roman" w:cs="Times New Roman"/>
          <w:sz w:val="24"/>
          <w:szCs w:val="24"/>
          <w:lang w:val="en-US"/>
        </w:rPr>
      </w:pPr>
      <w:r w:rsidRPr="00BE4AF3">
        <w:rPr>
          <w:rFonts w:ascii="Times New Roman" w:hAnsi="Times New Roman" w:cs="Times New Roman"/>
          <w:b/>
          <w:bCs/>
          <w:sz w:val="24"/>
          <w:szCs w:val="24"/>
        </w:rPr>
        <w:t>References</w:t>
      </w:r>
    </w:p>
    <w:p w14:paraId="4DB532E8" w14:textId="25C33E64" w:rsidR="003F40E8" w:rsidRPr="00BE4AF3" w:rsidRDefault="003F40E8" w:rsidP="00473646">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 xml:space="preserve">Akyar, I. (2012). </w:t>
      </w:r>
      <w:r w:rsidRPr="00BE4AF3">
        <w:rPr>
          <w:rFonts w:ascii="Times New Roman" w:hAnsi="Times New Roman" w:cs="Times New Roman"/>
          <w:bCs/>
          <w:sz w:val="24"/>
          <w:szCs w:val="24"/>
        </w:rPr>
        <w:t xml:space="preserve">Standard Operating Procedures (what are they good for?). </w:t>
      </w:r>
      <w:r w:rsidRPr="00BE4AF3">
        <w:rPr>
          <w:rFonts w:ascii="Times New Roman" w:hAnsi="Times New Roman" w:cs="Times New Roman"/>
          <w:iCs/>
          <w:sz w:val="24"/>
          <w:szCs w:val="24"/>
        </w:rPr>
        <w:t>Latest research into quality control.</w:t>
      </w:r>
      <w:r w:rsidRPr="00BE4AF3">
        <w:rPr>
          <w:rFonts w:ascii="Times New Roman" w:hAnsi="Times New Roman" w:cs="Times New Roman"/>
          <w:bCs/>
          <w:i/>
          <w:sz w:val="24"/>
          <w:szCs w:val="24"/>
        </w:rPr>
        <w:t xml:space="preserve"> Open Access Journal,</w:t>
      </w:r>
      <w:r w:rsidR="00473646">
        <w:rPr>
          <w:rFonts w:ascii="Times New Roman" w:hAnsi="Times New Roman" w:cs="Times New Roman"/>
          <w:bCs/>
          <w:i/>
          <w:sz w:val="24"/>
          <w:szCs w:val="24"/>
        </w:rPr>
        <w:t xml:space="preserve"> </w:t>
      </w:r>
      <w:r w:rsidRPr="00473646">
        <w:rPr>
          <w:rStyle w:val="Strong"/>
          <w:rFonts w:ascii="Times New Roman" w:hAnsi="Times New Roman" w:cs="Times New Roman"/>
          <w:b w:val="0"/>
          <w:bCs w:val="0"/>
          <w:iCs/>
          <w:sz w:val="24"/>
          <w:szCs w:val="24"/>
        </w:rPr>
        <w:t>3(11), pp. 387-391.</w:t>
      </w:r>
      <w:r w:rsidRPr="00BE4AF3">
        <w:rPr>
          <w:rStyle w:val="Strong"/>
          <w:rFonts w:ascii="Times New Roman" w:hAnsi="Times New Roman" w:cs="Times New Roman"/>
          <w:sz w:val="24"/>
          <w:szCs w:val="24"/>
        </w:rPr>
        <w:t xml:space="preserve"> </w:t>
      </w:r>
      <w:hyperlink r:id="rId20" w:history="1">
        <w:r w:rsidRPr="00BE4AF3">
          <w:rPr>
            <w:rStyle w:val="Hyperlink"/>
            <w:rFonts w:ascii="Times New Roman" w:hAnsi="Times New Roman" w:cs="Times New Roman"/>
            <w:sz w:val="24"/>
            <w:szCs w:val="24"/>
          </w:rPr>
          <w:t>http://dx.doi.org/10.5772/50439</w:t>
        </w:r>
      </w:hyperlink>
    </w:p>
    <w:p w14:paraId="3B6ECD71" w14:textId="77777777" w:rsidR="003F40E8" w:rsidRPr="00BE4AF3" w:rsidRDefault="003F40E8" w:rsidP="00473646">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 xml:space="preserve">Dano, U.L., Balogun, A.L., Abubakar, I.R. and Aina, Y.A. (2020), “Transformative urban governance: confronting urbanization challenges with geospatial technologies in Lagos, Nigeria”, </w:t>
      </w:r>
      <w:r w:rsidRPr="00BE4AF3">
        <w:rPr>
          <w:rFonts w:ascii="Times New Roman" w:hAnsi="Times New Roman" w:cs="Times New Roman"/>
          <w:i/>
          <w:iCs/>
          <w:sz w:val="24"/>
          <w:szCs w:val="24"/>
        </w:rPr>
        <w:t>Geo Journal</w:t>
      </w:r>
      <w:r w:rsidRPr="00BE4AF3">
        <w:rPr>
          <w:rFonts w:ascii="Times New Roman" w:hAnsi="Times New Roman" w:cs="Times New Roman"/>
          <w:sz w:val="24"/>
          <w:szCs w:val="24"/>
        </w:rPr>
        <w:t xml:space="preserve">, Vol. 85(1), pp. 1039-1056, </w:t>
      </w:r>
      <w:hyperlink r:id="rId21" w:history="1">
        <w:r w:rsidRPr="00BE4AF3">
          <w:rPr>
            <w:rStyle w:val="Hyperlink"/>
            <w:rFonts w:ascii="Times New Roman" w:hAnsi="Times New Roman" w:cs="Times New Roman"/>
            <w:sz w:val="24"/>
            <w:szCs w:val="24"/>
          </w:rPr>
          <w:t>https://doi.org/10.1007/s10708-019-10009-1</w:t>
        </w:r>
      </w:hyperlink>
    </w:p>
    <w:p w14:paraId="24CC35C1" w14:textId="77777777" w:rsidR="003F40E8" w:rsidRPr="00BE4AF3" w:rsidRDefault="003F40E8" w:rsidP="00473646">
      <w:pPr>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Edelstein, R. H., &amp; Liu, P. (2016). The economics of commercial real estate preleasing. </w:t>
      </w:r>
      <w:r w:rsidRPr="00BE4AF3">
        <w:rPr>
          <w:rFonts w:ascii="Times New Roman" w:hAnsi="Times New Roman" w:cs="Times New Roman"/>
          <w:i/>
          <w:iCs/>
          <w:noProof/>
          <w:sz w:val="24"/>
          <w:szCs w:val="24"/>
        </w:rPr>
        <w:t>Journal of Real Estate Finance and Economics</w:t>
      </w:r>
      <w:r w:rsidRPr="00BE4AF3">
        <w:rPr>
          <w:rFonts w:ascii="Times New Roman" w:hAnsi="Times New Roman" w:cs="Times New Roman"/>
          <w:noProof/>
          <w:sz w:val="24"/>
          <w:szCs w:val="24"/>
        </w:rPr>
        <w:t xml:space="preserve">, Vol. </w:t>
      </w:r>
      <w:r w:rsidRPr="00BE4AF3">
        <w:rPr>
          <w:rFonts w:ascii="Times New Roman" w:hAnsi="Times New Roman" w:cs="Times New Roman"/>
          <w:i/>
          <w:iCs/>
          <w:noProof/>
          <w:sz w:val="24"/>
          <w:szCs w:val="24"/>
        </w:rPr>
        <w:t>53</w:t>
      </w:r>
      <w:r w:rsidRPr="00BE4AF3">
        <w:rPr>
          <w:rFonts w:ascii="Times New Roman" w:hAnsi="Times New Roman" w:cs="Times New Roman"/>
          <w:noProof/>
          <w:sz w:val="24"/>
          <w:szCs w:val="24"/>
        </w:rPr>
        <w:t xml:space="preserve">(2), pp. 200–217. </w:t>
      </w:r>
      <w:hyperlink r:id="rId22" w:history="1">
        <w:r w:rsidRPr="00BE4AF3">
          <w:rPr>
            <w:rStyle w:val="Hyperlink"/>
            <w:rFonts w:ascii="Times New Roman" w:hAnsi="Times New Roman" w:cs="Times New Roman"/>
            <w:noProof/>
            <w:sz w:val="24"/>
            <w:szCs w:val="24"/>
          </w:rPr>
          <w:t>https://doi.org/10.1007/s11146-015-9515-2</w:t>
        </w:r>
      </w:hyperlink>
    </w:p>
    <w:p w14:paraId="4936EE73" w14:textId="77777777" w:rsidR="003F40E8" w:rsidRPr="00BE4AF3" w:rsidRDefault="003F40E8" w:rsidP="00473646">
      <w:pPr>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Guest, G., Bunce, A., &amp; Johnson, L. (2006). How many interviews are enough ? An experiment with data saturation and variability. </w:t>
      </w:r>
      <w:r w:rsidRPr="00BE4AF3">
        <w:rPr>
          <w:rFonts w:ascii="Times New Roman" w:hAnsi="Times New Roman" w:cs="Times New Roman"/>
          <w:i/>
          <w:iCs/>
          <w:noProof/>
          <w:sz w:val="24"/>
          <w:szCs w:val="24"/>
        </w:rPr>
        <w:t>Field Methods</w:t>
      </w:r>
      <w:r w:rsidRPr="00BE4AF3">
        <w:rPr>
          <w:rFonts w:ascii="Times New Roman" w:hAnsi="Times New Roman" w:cs="Times New Roman"/>
          <w:noProof/>
          <w:sz w:val="24"/>
          <w:szCs w:val="24"/>
        </w:rPr>
        <w:t xml:space="preserve">, Vol. </w:t>
      </w:r>
      <w:r w:rsidRPr="00BE4AF3">
        <w:rPr>
          <w:rFonts w:ascii="Times New Roman" w:hAnsi="Times New Roman" w:cs="Times New Roman"/>
          <w:i/>
          <w:iCs/>
          <w:noProof/>
          <w:sz w:val="24"/>
          <w:szCs w:val="24"/>
        </w:rPr>
        <w:t>18</w:t>
      </w:r>
      <w:r w:rsidRPr="00BE4AF3">
        <w:rPr>
          <w:rFonts w:ascii="Times New Roman" w:hAnsi="Times New Roman" w:cs="Times New Roman"/>
          <w:noProof/>
          <w:sz w:val="24"/>
          <w:szCs w:val="24"/>
        </w:rPr>
        <w:t xml:space="preserve">(1), pp. 59–82. </w:t>
      </w:r>
      <w:hyperlink r:id="rId23" w:history="1">
        <w:r w:rsidRPr="00BE4AF3">
          <w:rPr>
            <w:rStyle w:val="Hyperlink"/>
            <w:rFonts w:ascii="Times New Roman" w:hAnsi="Times New Roman" w:cs="Times New Roman"/>
            <w:noProof/>
            <w:sz w:val="24"/>
            <w:szCs w:val="24"/>
          </w:rPr>
          <w:t>https://doi.org/10.1177/1525822X05279903</w:t>
        </w:r>
      </w:hyperlink>
    </w:p>
    <w:p w14:paraId="5B669A9A" w14:textId="77777777" w:rsidR="003F40E8" w:rsidRPr="00BE4AF3" w:rsidRDefault="003F40E8" w:rsidP="00473646">
      <w:pPr>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Hinkelmann, C., &amp; Swidler, S. (2008). Trading house price risk with existing futures contracts. </w:t>
      </w:r>
      <w:r w:rsidRPr="00BE4AF3">
        <w:rPr>
          <w:rFonts w:ascii="Times New Roman" w:hAnsi="Times New Roman" w:cs="Times New Roman"/>
          <w:i/>
          <w:iCs/>
          <w:noProof/>
          <w:sz w:val="24"/>
          <w:szCs w:val="24"/>
        </w:rPr>
        <w:t>Journal of Real Estate Finance and Economics</w:t>
      </w:r>
      <w:r w:rsidRPr="00BE4AF3">
        <w:rPr>
          <w:rFonts w:ascii="Times New Roman" w:hAnsi="Times New Roman" w:cs="Times New Roman"/>
          <w:noProof/>
          <w:sz w:val="24"/>
          <w:szCs w:val="24"/>
        </w:rPr>
        <w:t xml:space="preserve">, Vol. </w:t>
      </w:r>
      <w:r w:rsidRPr="00BE4AF3">
        <w:rPr>
          <w:rFonts w:ascii="Times New Roman" w:hAnsi="Times New Roman" w:cs="Times New Roman"/>
          <w:i/>
          <w:iCs/>
          <w:noProof/>
          <w:sz w:val="24"/>
          <w:szCs w:val="24"/>
        </w:rPr>
        <w:t>36</w:t>
      </w:r>
      <w:r w:rsidRPr="00BE4AF3">
        <w:rPr>
          <w:rFonts w:ascii="Times New Roman" w:hAnsi="Times New Roman" w:cs="Times New Roman"/>
          <w:noProof/>
          <w:sz w:val="24"/>
          <w:szCs w:val="24"/>
        </w:rPr>
        <w:t xml:space="preserve">(1), pp. 37–52. </w:t>
      </w:r>
      <w:hyperlink r:id="rId24" w:history="1">
        <w:r w:rsidRPr="00BE4AF3">
          <w:rPr>
            <w:rStyle w:val="Hyperlink"/>
            <w:rFonts w:ascii="Times New Roman" w:hAnsi="Times New Roman" w:cs="Times New Roman"/>
            <w:noProof/>
            <w:sz w:val="24"/>
            <w:szCs w:val="24"/>
          </w:rPr>
          <w:t>https://doi.org/10.1007/s11146-007-9075-1</w:t>
        </w:r>
      </w:hyperlink>
    </w:p>
    <w:p w14:paraId="0A45E435" w14:textId="77777777" w:rsidR="003F40E8" w:rsidRPr="00BE4AF3" w:rsidRDefault="003F40E8" w:rsidP="00473646">
      <w:pPr>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Jadalhaq, I. M. (2017). Fundamentals of the real estate legislative system and its impact on sustainable development: Dubai case study. </w:t>
      </w:r>
      <w:r w:rsidRPr="00BE4AF3">
        <w:rPr>
          <w:rFonts w:ascii="Times New Roman" w:hAnsi="Times New Roman" w:cs="Times New Roman"/>
          <w:i/>
          <w:iCs/>
          <w:noProof/>
          <w:sz w:val="24"/>
          <w:szCs w:val="24"/>
        </w:rPr>
        <w:t>Arab Law Quarterly</w:t>
      </w:r>
      <w:r w:rsidRPr="00BE4AF3">
        <w:rPr>
          <w:rFonts w:ascii="Times New Roman" w:hAnsi="Times New Roman" w:cs="Times New Roman"/>
          <w:noProof/>
          <w:sz w:val="24"/>
          <w:szCs w:val="24"/>
        </w:rPr>
        <w:t xml:space="preserve">, Vol. </w:t>
      </w:r>
      <w:r w:rsidRPr="00BE4AF3">
        <w:rPr>
          <w:rFonts w:ascii="Times New Roman" w:hAnsi="Times New Roman" w:cs="Times New Roman"/>
          <w:i/>
          <w:iCs/>
          <w:noProof/>
          <w:sz w:val="24"/>
          <w:szCs w:val="24"/>
        </w:rPr>
        <w:t>31</w:t>
      </w:r>
      <w:r w:rsidRPr="00BE4AF3">
        <w:rPr>
          <w:rFonts w:ascii="Times New Roman" w:hAnsi="Times New Roman" w:cs="Times New Roman"/>
          <w:noProof/>
          <w:sz w:val="24"/>
          <w:szCs w:val="24"/>
        </w:rPr>
        <w:t xml:space="preserve">(4), pp. 388–410. </w:t>
      </w:r>
      <w:hyperlink r:id="rId25" w:history="1">
        <w:r w:rsidRPr="00BE4AF3">
          <w:rPr>
            <w:rStyle w:val="Hyperlink"/>
            <w:rFonts w:ascii="Times New Roman" w:hAnsi="Times New Roman" w:cs="Times New Roman"/>
            <w:noProof/>
            <w:sz w:val="24"/>
            <w:szCs w:val="24"/>
          </w:rPr>
          <w:t>https://doi.org/10.1163/15730255-12314030</w:t>
        </w:r>
      </w:hyperlink>
    </w:p>
    <w:p w14:paraId="36508C10" w14:textId="77777777" w:rsidR="003F40E8" w:rsidRPr="00BE4AF3" w:rsidRDefault="003F40E8" w:rsidP="00473646">
      <w:pPr>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Katwa, K.K. and Obala, L.M. (2023), “Off-plan property sales as an innovative financing option in real estate development”, </w:t>
      </w:r>
      <w:r w:rsidRPr="00BE4AF3">
        <w:rPr>
          <w:rFonts w:ascii="Times New Roman" w:hAnsi="Times New Roman" w:cs="Times New Roman"/>
          <w:i/>
          <w:iCs/>
          <w:noProof/>
          <w:sz w:val="24"/>
          <w:szCs w:val="24"/>
        </w:rPr>
        <w:t>Business and IT</w:t>
      </w:r>
      <w:r w:rsidRPr="00BE4AF3">
        <w:rPr>
          <w:rFonts w:ascii="Times New Roman" w:hAnsi="Times New Roman" w:cs="Times New Roman"/>
          <w:noProof/>
          <w:sz w:val="24"/>
          <w:szCs w:val="24"/>
        </w:rPr>
        <w:t xml:space="preserve">, Vol. 13(1), pp. 110-120, </w:t>
      </w:r>
      <w:hyperlink r:id="rId26" w:history="1">
        <w:r w:rsidRPr="00BE4AF3">
          <w:rPr>
            <w:rStyle w:val="Hyperlink"/>
            <w:rFonts w:ascii="Times New Roman" w:hAnsi="Times New Roman" w:cs="Times New Roman"/>
            <w:noProof/>
            <w:sz w:val="24"/>
            <w:szCs w:val="24"/>
          </w:rPr>
          <w:t>https://doi.org/10.14311/bit.2023.01.13</w:t>
        </w:r>
      </w:hyperlink>
    </w:p>
    <w:p w14:paraId="4B1A0E3D" w14:textId="77777777" w:rsidR="003F40E8" w:rsidRPr="00BE4AF3" w:rsidRDefault="003F40E8" w:rsidP="00473646">
      <w:pPr>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Lai, R. N., Wang, K., &amp; Zhou, Y. (2004). Sale before completion of development: Pricing and strategy. </w:t>
      </w:r>
      <w:r w:rsidRPr="00BE4AF3">
        <w:rPr>
          <w:rFonts w:ascii="Times New Roman" w:hAnsi="Times New Roman" w:cs="Times New Roman"/>
          <w:i/>
          <w:iCs/>
          <w:noProof/>
          <w:sz w:val="24"/>
          <w:szCs w:val="24"/>
        </w:rPr>
        <w:t>Real Estate Economics</w:t>
      </w:r>
      <w:r w:rsidRPr="00BE4AF3">
        <w:rPr>
          <w:rFonts w:ascii="Times New Roman" w:hAnsi="Times New Roman" w:cs="Times New Roman"/>
          <w:noProof/>
          <w:sz w:val="24"/>
          <w:szCs w:val="24"/>
        </w:rPr>
        <w:t xml:space="preserve">, Vol. </w:t>
      </w:r>
      <w:r w:rsidRPr="00BE4AF3">
        <w:rPr>
          <w:rFonts w:ascii="Times New Roman" w:hAnsi="Times New Roman" w:cs="Times New Roman"/>
          <w:i/>
          <w:iCs/>
          <w:noProof/>
          <w:sz w:val="24"/>
          <w:szCs w:val="24"/>
        </w:rPr>
        <w:t>32</w:t>
      </w:r>
      <w:r w:rsidRPr="00BE4AF3">
        <w:rPr>
          <w:rFonts w:ascii="Times New Roman" w:hAnsi="Times New Roman" w:cs="Times New Roman"/>
          <w:noProof/>
          <w:sz w:val="24"/>
          <w:szCs w:val="24"/>
        </w:rPr>
        <w:t xml:space="preserve">(2), 329–357. </w:t>
      </w:r>
      <w:hyperlink r:id="rId27" w:history="1">
        <w:r w:rsidRPr="00BE4AF3">
          <w:rPr>
            <w:rStyle w:val="Hyperlink"/>
            <w:rFonts w:ascii="Times New Roman" w:hAnsi="Times New Roman" w:cs="Times New Roman"/>
            <w:noProof/>
            <w:sz w:val="24"/>
            <w:szCs w:val="24"/>
          </w:rPr>
          <w:t>https://doi.org/10.1111/j.1080-8620.2004.00094.x</w:t>
        </w:r>
      </w:hyperlink>
    </w:p>
    <w:p w14:paraId="41A11E7D" w14:textId="77777777" w:rsidR="003F40E8" w:rsidRPr="00BE4AF3" w:rsidRDefault="003F40E8" w:rsidP="00473646">
      <w:pPr>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Leung, B. Y. P. (2010). Wealth transfer in forward property markets. </w:t>
      </w:r>
      <w:r w:rsidRPr="00BE4AF3">
        <w:rPr>
          <w:rFonts w:ascii="Times New Roman" w:hAnsi="Times New Roman" w:cs="Times New Roman"/>
          <w:i/>
          <w:iCs/>
          <w:noProof/>
          <w:sz w:val="24"/>
          <w:szCs w:val="24"/>
        </w:rPr>
        <w:t>International Journal of Strategic Property Management</w:t>
      </w:r>
      <w:r w:rsidRPr="00BE4AF3">
        <w:rPr>
          <w:rFonts w:ascii="Times New Roman" w:hAnsi="Times New Roman" w:cs="Times New Roman"/>
          <w:noProof/>
          <w:sz w:val="24"/>
          <w:szCs w:val="24"/>
        </w:rPr>
        <w:t xml:space="preserve">, Vol. </w:t>
      </w:r>
      <w:r w:rsidRPr="00BE4AF3">
        <w:rPr>
          <w:rFonts w:ascii="Times New Roman" w:hAnsi="Times New Roman" w:cs="Times New Roman"/>
          <w:i/>
          <w:iCs/>
          <w:noProof/>
          <w:sz w:val="24"/>
          <w:szCs w:val="24"/>
        </w:rPr>
        <w:t>14</w:t>
      </w:r>
      <w:r w:rsidRPr="00BE4AF3">
        <w:rPr>
          <w:rFonts w:ascii="Times New Roman" w:hAnsi="Times New Roman" w:cs="Times New Roman"/>
          <w:noProof/>
          <w:sz w:val="24"/>
          <w:szCs w:val="24"/>
        </w:rPr>
        <w:t xml:space="preserve">(3), pp. 258–270. </w:t>
      </w:r>
      <w:hyperlink r:id="rId28" w:history="1">
        <w:r w:rsidRPr="00BE4AF3">
          <w:rPr>
            <w:rStyle w:val="Hyperlink"/>
            <w:rFonts w:ascii="Times New Roman" w:hAnsi="Times New Roman" w:cs="Times New Roman"/>
            <w:noProof/>
            <w:sz w:val="24"/>
            <w:szCs w:val="24"/>
          </w:rPr>
          <w:t>https://doi.org/10.3846/ijspm.2010.19</w:t>
        </w:r>
      </w:hyperlink>
    </w:p>
    <w:p w14:paraId="5D1B8391" w14:textId="77777777" w:rsidR="003F40E8" w:rsidRPr="00BE4AF3" w:rsidRDefault="003F40E8" w:rsidP="00473646">
      <w:pPr>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Leung, B. Y. P., Hui, E. C. M., &amp; Seabrooke, B. (2007). Asymmetric information in the Hong Kong forward property market. </w:t>
      </w:r>
      <w:r w:rsidRPr="00BE4AF3">
        <w:rPr>
          <w:rFonts w:ascii="Times New Roman" w:hAnsi="Times New Roman" w:cs="Times New Roman"/>
          <w:i/>
          <w:iCs/>
          <w:noProof/>
          <w:sz w:val="24"/>
          <w:szCs w:val="24"/>
        </w:rPr>
        <w:t>International Journal of Strategic Property Management</w:t>
      </w:r>
      <w:r w:rsidRPr="00BE4AF3">
        <w:rPr>
          <w:rFonts w:ascii="Times New Roman" w:hAnsi="Times New Roman" w:cs="Times New Roman"/>
          <w:noProof/>
          <w:sz w:val="24"/>
          <w:szCs w:val="24"/>
        </w:rPr>
        <w:t xml:space="preserve">, Vol. </w:t>
      </w:r>
      <w:r w:rsidRPr="00BE4AF3">
        <w:rPr>
          <w:rFonts w:ascii="Times New Roman" w:hAnsi="Times New Roman" w:cs="Times New Roman"/>
          <w:i/>
          <w:iCs/>
          <w:noProof/>
          <w:sz w:val="24"/>
          <w:szCs w:val="24"/>
        </w:rPr>
        <w:t>11</w:t>
      </w:r>
      <w:r w:rsidRPr="00BE4AF3">
        <w:rPr>
          <w:rFonts w:ascii="Times New Roman" w:hAnsi="Times New Roman" w:cs="Times New Roman"/>
          <w:noProof/>
          <w:sz w:val="24"/>
          <w:szCs w:val="24"/>
        </w:rPr>
        <w:t xml:space="preserve">(2), pp. 91–106. </w:t>
      </w:r>
      <w:hyperlink r:id="rId29" w:history="1">
        <w:r w:rsidRPr="00BE4AF3">
          <w:rPr>
            <w:rStyle w:val="Hyperlink"/>
            <w:rFonts w:ascii="Times New Roman" w:hAnsi="Times New Roman" w:cs="Times New Roman"/>
            <w:noProof/>
            <w:sz w:val="24"/>
            <w:szCs w:val="24"/>
          </w:rPr>
          <w:t>https://doi.org/10.1080/1648715X.2007.9637563</w:t>
        </w:r>
      </w:hyperlink>
    </w:p>
    <w:p w14:paraId="03932992" w14:textId="77777777" w:rsidR="003F40E8" w:rsidRPr="00BE4AF3" w:rsidRDefault="003F40E8" w:rsidP="00473646">
      <w:pPr>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Li, L., &amp; Chau, K. W. (2019). What motivates a developer to sell before completion? </w:t>
      </w:r>
      <w:r w:rsidRPr="00BE4AF3">
        <w:rPr>
          <w:rFonts w:ascii="Times New Roman" w:hAnsi="Times New Roman" w:cs="Times New Roman"/>
          <w:i/>
          <w:iCs/>
          <w:noProof/>
          <w:sz w:val="24"/>
          <w:szCs w:val="24"/>
        </w:rPr>
        <w:t>Journal of Real Estate Finance and Economics</w:t>
      </w:r>
      <w:r w:rsidRPr="00BE4AF3">
        <w:rPr>
          <w:rFonts w:ascii="Times New Roman" w:hAnsi="Times New Roman" w:cs="Times New Roman"/>
          <w:noProof/>
          <w:sz w:val="24"/>
          <w:szCs w:val="24"/>
        </w:rPr>
        <w:t xml:space="preserve">, Vol. </w:t>
      </w:r>
      <w:r w:rsidRPr="00BE4AF3">
        <w:rPr>
          <w:rFonts w:ascii="Times New Roman" w:hAnsi="Times New Roman" w:cs="Times New Roman"/>
          <w:i/>
          <w:iCs/>
          <w:noProof/>
          <w:sz w:val="24"/>
          <w:szCs w:val="24"/>
        </w:rPr>
        <w:t>59</w:t>
      </w:r>
      <w:r w:rsidRPr="00BE4AF3">
        <w:rPr>
          <w:rFonts w:ascii="Times New Roman" w:hAnsi="Times New Roman" w:cs="Times New Roman"/>
          <w:noProof/>
          <w:sz w:val="24"/>
          <w:szCs w:val="24"/>
        </w:rPr>
        <w:t xml:space="preserve">(2), pp. 209–232. </w:t>
      </w:r>
      <w:hyperlink r:id="rId30" w:history="1">
        <w:r w:rsidRPr="00BE4AF3">
          <w:rPr>
            <w:rStyle w:val="Hyperlink"/>
            <w:rFonts w:ascii="Times New Roman" w:hAnsi="Times New Roman" w:cs="Times New Roman"/>
            <w:noProof/>
            <w:sz w:val="24"/>
            <w:szCs w:val="24"/>
          </w:rPr>
          <w:t>https://doi.org/10.1007/s11146-018-9662-3</w:t>
        </w:r>
      </w:hyperlink>
    </w:p>
    <w:p w14:paraId="3FAE7BFD" w14:textId="77777777" w:rsidR="003F40E8" w:rsidRPr="00BE4AF3" w:rsidRDefault="003F40E8" w:rsidP="00473646">
      <w:pPr>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Lindgren, B. M., Lundman, B., &amp; Graneheim, U. H. (2020). Abstraction and interpretation during the qualitative content analysis process. </w:t>
      </w:r>
      <w:r w:rsidRPr="00BE4AF3">
        <w:rPr>
          <w:rFonts w:ascii="Times New Roman" w:hAnsi="Times New Roman" w:cs="Times New Roman"/>
          <w:i/>
          <w:iCs/>
          <w:noProof/>
          <w:sz w:val="24"/>
          <w:szCs w:val="24"/>
        </w:rPr>
        <w:t>International Journal of Nursing Studies,</w:t>
      </w:r>
      <w:r w:rsidRPr="00BE4AF3">
        <w:rPr>
          <w:rFonts w:ascii="Times New Roman" w:hAnsi="Times New Roman" w:cs="Times New Roman"/>
          <w:noProof/>
          <w:sz w:val="24"/>
          <w:szCs w:val="24"/>
        </w:rPr>
        <w:t xml:space="preserve"> (108), pp. 1–6. </w:t>
      </w:r>
      <w:hyperlink r:id="rId31" w:history="1">
        <w:r w:rsidRPr="00BE4AF3">
          <w:rPr>
            <w:rStyle w:val="Hyperlink"/>
            <w:rFonts w:ascii="Times New Roman" w:hAnsi="Times New Roman" w:cs="Times New Roman"/>
            <w:noProof/>
            <w:sz w:val="24"/>
            <w:szCs w:val="24"/>
          </w:rPr>
          <w:t>https://doi.org/10.1016/j.ijnurstu.2020.103632</w:t>
        </w:r>
      </w:hyperlink>
    </w:p>
    <w:p w14:paraId="23D76A5C" w14:textId="77777777" w:rsidR="003F40E8" w:rsidRPr="00BE4AF3" w:rsidRDefault="003F40E8" w:rsidP="00473646">
      <w:pPr>
        <w:widowControl w:val="0"/>
        <w:autoSpaceDE w:val="0"/>
        <w:autoSpaceDN w:val="0"/>
        <w:adjustRightInd w:val="0"/>
        <w:spacing w:after="0" w:line="240" w:lineRule="auto"/>
        <w:ind w:left="567" w:hanging="567"/>
        <w:jc w:val="both"/>
        <w:rPr>
          <w:rFonts w:ascii="Times New Roman" w:hAnsi="Times New Roman" w:cs="Times New Roman"/>
          <w:sz w:val="24"/>
          <w:szCs w:val="24"/>
          <w:shd w:val="clear" w:color="auto" w:fill="FFFFFF"/>
        </w:rPr>
      </w:pPr>
      <w:r w:rsidRPr="00BE4AF3">
        <w:rPr>
          <w:rFonts w:ascii="Times New Roman" w:hAnsi="Times New Roman" w:cs="Times New Roman"/>
          <w:sz w:val="24"/>
          <w:szCs w:val="24"/>
          <w:shd w:val="clear" w:color="auto" w:fill="FFFFFF"/>
        </w:rPr>
        <w:t xml:space="preserve">Olayiwola, F. E., Aluko, B. T. and Ayodele, T. O. (2024), “Adoption of pre-letting and pre-sale financing arrangements for real estate development in a developing economy: An assessment </w:t>
      </w:r>
      <w:r w:rsidRPr="00BE4AF3">
        <w:rPr>
          <w:rFonts w:ascii="Times New Roman" w:hAnsi="Times New Roman" w:cs="Times New Roman"/>
          <w:sz w:val="24"/>
          <w:szCs w:val="24"/>
          <w:shd w:val="clear" w:color="auto" w:fill="FFFFFF"/>
        </w:rPr>
        <w:lastRenderedPageBreak/>
        <w:t xml:space="preserve">of the influencing factors”, </w:t>
      </w:r>
      <w:r w:rsidRPr="00BE4AF3">
        <w:rPr>
          <w:rFonts w:ascii="Times New Roman" w:hAnsi="Times New Roman" w:cs="Times New Roman"/>
          <w:i/>
          <w:iCs/>
          <w:sz w:val="24"/>
          <w:szCs w:val="24"/>
          <w:shd w:val="clear" w:color="auto" w:fill="FFFFFF"/>
        </w:rPr>
        <w:t>Property Management</w:t>
      </w:r>
      <w:r w:rsidRPr="00BE4AF3">
        <w:rPr>
          <w:rFonts w:ascii="Times New Roman" w:hAnsi="Times New Roman" w:cs="Times New Roman"/>
          <w:sz w:val="24"/>
          <w:szCs w:val="24"/>
          <w:shd w:val="clear" w:color="auto" w:fill="FFFFFF"/>
        </w:rPr>
        <w:t xml:space="preserve">, Vol. 42(3), pp. 476-490. </w:t>
      </w:r>
      <w:hyperlink r:id="rId32" w:history="1">
        <w:r w:rsidRPr="00BE4AF3">
          <w:rPr>
            <w:rStyle w:val="Hyperlink"/>
            <w:rFonts w:ascii="Times New Roman" w:hAnsi="Times New Roman" w:cs="Times New Roman"/>
            <w:sz w:val="24"/>
            <w:szCs w:val="24"/>
            <w:shd w:val="clear" w:color="auto" w:fill="FFFFFF"/>
          </w:rPr>
          <w:t>https://doi.org/10.1108/PM-05-2023-0042</w:t>
        </w:r>
      </w:hyperlink>
    </w:p>
    <w:p w14:paraId="1A180FE9" w14:textId="77777777" w:rsidR="003F40E8" w:rsidRPr="00BE4AF3" w:rsidRDefault="003F40E8" w:rsidP="00473646">
      <w:pPr>
        <w:widowControl w:val="0"/>
        <w:autoSpaceDE w:val="0"/>
        <w:autoSpaceDN w:val="0"/>
        <w:adjustRightInd w:val="0"/>
        <w:spacing w:after="0" w:line="240" w:lineRule="auto"/>
        <w:ind w:left="567" w:hanging="567"/>
        <w:jc w:val="both"/>
        <w:rPr>
          <w:rFonts w:ascii="Times New Roman" w:hAnsi="Times New Roman" w:cs="Times New Roman"/>
          <w:sz w:val="24"/>
          <w:szCs w:val="24"/>
          <w:shd w:val="clear" w:color="auto" w:fill="FFFFFF"/>
        </w:rPr>
      </w:pPr>
      <w:r w:rsidRPr="00BE4AF3">
        <w:rPr>
          <w:rFonts w:ascii="Times New Roman" w:hAnsi="Times New Roman" w:cs="Times New Roman"/>
          <w:sz w:val="24"/>
          <w:szCs w:val="24"/>
          <w:shd w:val="clear" w:color="auto" w:fill="FFFFFF"/>
        </w:rPr>
        <w:t xml:space="preserve">Olayiwola, F. E., Aluko, B. T. and Ayodele, T. O. (2025), “Pre-letting and Pre-sale Financing arrangements for Property Development: Insight into Drivers from an Emerging Lagos Property Market, Nigeria”, </w:t>
      </w:r>
      <w:r w:rsidRPr="00BE4AF3">
        <w:rPr>
          <w:rFonts w:ascii="Times New Roman" w:hAnsi="Times New Roman" w:cs="Times New Roman"/>
          <w:i/>
          <w:iCs/>
          <w:sz w:val="24"/>
          <w:szCs w:val="24"/>
          <w:shd w:val="clear" w:color="auto" w:fill="FFFFFF"/>
        </w:rPr>
        <w:t>Property Management</w:t>
      </w:r>
      <w:r w:rsidRPr="00BE4AF3">
        <w:rPr>
          <w:rFonts w:ascii="Times New Roman" w:hAnsi="Times New Roman" w:cs="Times New Roman"/>
          <w:sz w:val="24"/>
          <w:szCs w:val="24"/>
          <w:shd w:val="clear" w:color="auto" w:fill="FFFFFF"/>
        </w:rPr>
        <w:t xml:space="preserve">. </w:t>
      </w:r>
      <w:hyperlink r:id="rId33" w:history="1">
        <w:r w:rsidRPr="00BE4AF3">
          <w:rPr>
            <w:rStyle w:val="Hyperlink"/>
            <w:rFonts w:ascii="Times New Roman" w:hAnsi="Times New Roman" w:cs="Times New Roman"/>
            <w:sz w:val="24"/>
            <w:szCs w:val="24"/>
            <w:shd w:val="clear" w:color="auto" w:fill="FFFFFF"/>
          </w:rPr>
          <w:t>https://doi.org/10.1108/PM-12-2024-0125</w:t>
        </w:r>
      </w:hyperlink>
    </w:p>
    <w:p w14:paraId="282711DF" w14:textId="77777777" w:rsidR="003F40E8" w:rsidRPr="00BE4AF3" w:rsidRDefault="003F40E8" w:rsidP="00473646">
      <w:pPr>
        <w:widowControl w:val="0"/>
        <w:autoSpaceDE w:val="0"/>
        <w:autoSpaceDN w:val="0"/>
        <w:adjustRightInd w:val="0"/>
        <w:spacing w:after="0" w:line="240" w:lineRule="auto"/>
        <w:ind w:left="567" w:hanging="567"/>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Oloke, O. C., Oni, A. S., Oletubo, A. A., &amp; Oluwatobi, A. O. (2017). Problems and prospects of forward sale in the Nigerian housing market: a critique of policy and modus operandi. </w:t>
      </w:r>
      <w:r w:rsidRPr="00BE4AF3">
        <w:rPr>
          <w:rFonts w:ascii="Times New Roman" w:hAnsi="Times New Roman" w:cs="Times New Roman"/>
          <w:i/>
          <w:iCs/>
          <w:noProof/>
          <w:sz w:val="24"/>
          <w:szCs w:val="24"/>
        </w:rPr>
        <w:t>International Journal of Academic Research in Business and Social Sciences</w:t>
      </w:r>
      <w:r w:rsidRPr="00BE4AF3">
        <w:rPr>
          <w:rFonts w:ascii="Times New Roman" w:hAnsi="Times New Roman" w:cs="Times New Roman"/>
          <w:noProof/>
          <w:sz w:val="24"/>
          <w:szCs w:val="24"/>
        </w:rPr>
        <w:t xml:space="preserve">, Vol. </w:t>
      </w:r>
      <w:r w:rsidRPr="00BE4AF3">
        <w:rPr>
          <w:rFonts w:ascii="Times New Roman" w:hAnsi="Times New Roman" w:cs="Times New Roman"/>
          <w:i/>
          <w:iCs/>
          <w:noProof/>
          <w:sz w:val="24"/>
          <w:szCs w:val="24"/>
        </w:rPr>
        <w:t>7</w:t>
      </w:r>
      <w:r w:rsidRPr="00BE4AF3">
        <w:rPr>
          <w:rFonts w:ascii="Times New Roman" w:hAnsi="Times New Roman" w:cs="Times New Roman"/>
          <w:noProof/>
          <w:sz w:val="24"/>
          <w:szCs w:val="24"/>
        </w:rPr>
        <w:t xml:space="preserve">(4), pp. 544–559. </w:t>
      </w:r>
      <w:hyperlink r:id="rId34" w:history="1">
        <w:r w:rsidRPr="00BE4AF3">
          <w:rPr>
            <w:rStyle w:val="Hyperlink"/>
            <w:rFonts w:ascii="Times New Roman" w:hAnsi="Times New Roman" w:cs="Times New Roman"/>
            <w:noProof/>
            <w:sz w:val="24"/>
            <w:szCs w:val="24"/>
          </w:rPr>
          <w:t>https://doi.org/10.6007/ijarbss/v7-i4/2832</w:t>
        </w:r>
      </w:hyperlink>
    </w:p>
    <w:p w14:paraId="7DE562A3" w14:textId="77777777" w:rsidR="003F40E8" w:rsidRPr="00BE4AF3" w:rsidRDefault="003F40E8" w:rsidP="00473646">
      <w:pPr>
        <w:widowControl w:val="0"/>
        <w:autoSpaceDE w:val="0"/>
        <w:autoSpaceDN w:val="0"/>
        <w:adjustRightInd w:val="0"/>
        <w:spacing w:after="0" w:line="240" w:lineRule="auto"/>
        <w:ind w:left="567" w:hanging="567"/>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Patton, M. Q. (2002). Two Decades of Developments in Qualitative Inquiry: A Personal, Experiential Perspective. </w:t>
      </w:r>
      <w:r w:rsidRPr="00BE4AF3">
        <w:rPr>
          <w:rFonts w:ascii="Times New Roman" w:hAnsi="Times New Roman" w:cs="Times New Roman"/>
          <w:i/>
          <w:iCs/>
          <w:noProof/>
          <w:sz w:val="24"/>
          <w:szCs w:val="24"/>
        </w:rPr>
        <w:t>Qualitative Social Work: Research and Practice,</w:t>
      </w:r>
      <w:r w:rsidRPr="00BE4AF3">
        <w:rPr>
          <w:rFonts w:ascii="Times New Roman" w:hAnsi="Times New Roman" w:cs="Times New Roman"/>
          <w:noProof/>
          <w:sz w:val="24"/>
          <w:szCs w:val="24"/>
        </w:rPr>
        <w:t xml:space="preserve"> Vol 1(3), pp. 261-283. </w:t>
      </w:r>
      <w:hyperlink r:id="rId35" w:history="1">
        <w:r w:rsidRPr="00BE4AF3">
          <w:rPr>
            <w:rStyle w:val="Hyperlink"/>
            <w:rFonts w:ascii="Times New Roman" w:hAnsi="Times New Roman" w:cs="Times New Roman"/>
            <w:noProof/>
            <w:sz w:val="24"/>
            <w:szCs w:val="24"/>
          </w:rPr>
          <w:t>https://doi.org/10.1177/1473325002001003636</w:t>
        </w:r>
      </w:hyperlink>
    </w:p>
    <w:p w14:paraId="6406041E" w14:textId="77777777" w:rsidR="003F40E8" w:rsidRPr="00BE4AF3" w:rsidRDefault="003F40E8" w:rsidP="00473646">
      <w:pPr>
        <w:widowControl w:val="0"/>
        <w:autoSpaceDE w:val="0"/>
        <w:autoSpaceDN w:val="0"/>
        <w:adjustRightInd w:val="0"/>
        <w:spacing w:after="0" w:line="240" w:lineRule="auto"/>
        <w:ind w:left="567" w:hanging="567"/>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Vanneste, R. (2022). </w:t>
      </w:r>
      <w:r w:rsidRPr="00BE4AF3">
        <w:rPr>
          <w:rFonts w:ascii="Times New Roman" w:hAnsi="Times New Roman" w:cs="Times New Roman"/>
          <w:i/>
          <w:iCs/>
          <w:noProof/>
          <w:sz w:val="24"/>
          <w:szCs w:val="24"/>
        </w:rPr>
        <w:t xml:space="preserve">The Price Evolution of Off-plan Properties in Dubai : An Analysis of Risk Factors Contributing to Abnormal Returns. </w:t>
      </w:r>
      <w:r w:rsidRPr="00BE4AF3">
        <w:rPr>
          <w:rFonts w:ascii="Times New Roman" w:hAnsi="Times New Roman" w:cs="Times New Roman"/>
          <w:noProof/>
          <w:sz w:val="24"/>
          <w:szCs w:val="24"/>
        </w:rPr>
        <w:t>Robin Vanneste Lucerne Univ. June, pp. 1–88.</w:t>
      </w:r>
    </w:p>
    <w:p w14:paraId="55D8EB4F" w14:textId="77777777" w:rsidR="003F40E8" w:rsidRPr="00BE4AF3" w:rsidRDefault="003F40E8" w:rsidP="00473646">
      <w:pPr>
        <w:widowControl w:val="0"/>
        <w:autoSpaceDE w:val="0"/>
        <w:autoSpaceDN w:val="0"/>
        <w:adjustRightInd w:val="0"/>
        <w:spacing w:after="0" w:line="240" w:lineRule="auto"/>
        <w:ind w:left="567" w:hanging="567"/>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World Bank (2023), </w:t>
      </w:r>
      <w:r w:rsidRPr="00BE4AF3">
        <w:rPr>
          <w:rFonts w:ascii="Times New Roman" w:hAnsi="Times New Roman" w:cs="Times New Roman"/>
          <w:i/>
          <w:iCs/>
          <w:noProof/>
          <w:sz w:val="24"/>
          <w:szCs w:val="24"/>
        </w:rPr>
        <w:t>Lagos Diagnostic Study and Pathway for Transformation: A Rapid Multi-Sector Analytical Review of the Mega-City</w:t>
      </w:r>
      <w:r w:rsidRPr="00BE4AF3">
        <w:rPr>
          <w:rFonts w:ascii="Times New Roman" w:hAnsi="Times New Roman" w:cs="Times New Roman"/>
          <w:noProof/>
          <w:sz w:val="24"/>
          <w:szCs w:val="24"/>
        </w:rPr>
        <w:t>, World Bank, Washington, DC.</w:t>
      </w:r>
    </w:p>
    <w:p w14:paraId="7DC80B90" w14:textId="77777777" w:rsidR="003F40E8" w:rsidRPr="00BE4AF3" w:rsidRDefault="003F40E8" w:rsidP="00473646">
      <w:pPr>
        <w:widowControl w:val="0"/>
        <w:autoSpaceDE w:val="0"/>
        <w:autoSpaceDN w:val="0"/>
        <w:adjustRightInd w:val="0"/>
        <w:spacing w:after="0" w:line="240" w:lineRule="auto"/>
        <w:ind w:left="567" w:hanging="567"/>
        <w:jc w:val="both"/>
        <w:rPr>
          <w:rStyle w:val="fontstyle01"/>
          <w:rFonts w:ascii="Times New Roman" w:hAnsi="Times New Roman" w:cs="Times New Roman"/>
          <w:sz w:val="24"/>
          <w:szCs w:val="24"/>
        </w:rPr>
      </w:pPr>
      <w:r w:rsidRPr="00BE4AF3">
        <w:rPr>
          <w:rStyle w:val="fontstyle01"/>
          <w:rFonts w:ascii="Times New Roman" w:hAnsi="Times New Roman" w:cs="Times New Roman"/>
          <w:sz w:val="24"/>
          <w:szCs w:val="24"/>
        </w:rPr>
        <w:t xml:space="preserve">Yang, Z. (2001). An application of the hedonic price model with uncertain attribute – the case of the People’s Republic of China. </w:t>
      </w:r>
      <w:r w:rsidRPr="00BE4AF3">
        <w:rPr>
          <w:rStyle w:val="fontstyle01"/>
          <w:rFonts w:ascii="Times New Roman" w:hAnsi="Times New Roman" w:cs="Times New Roman"/>
          <w:i/>
          <w:sz w:val="24"/>
          <w:szCs w:val="24"/>
        </w:rPr>
        <w:t>Property Management</w:t>
      </w:r>
      <w:r w:rsidRPr="00BE4AF3">
        <w:rPr>
          <w:rStyle w:val="fontstyle01"/>
          <w:rFonts w:ascii="Times New Roman" w:hAnsi="Times New Roman" w:cs="Times New Roman"/>
          <w:sz w:val="24"/>
          <w:szCs w:val="24"/>
        </w:rPr>
        <w:t xml:space="preserve">, Vol. </w:t>
      </w:r>
      <w:r w:rsidRPr="00BE4AF3">
        <w:rPr>
          <w:rStyle w:val="fontstyle01"/>
          <w:rFonts w:ascii="Times New Roman" w:hAnsi="Times New Roman" w:cs="Times New Roman"/>
          <w:i/>
          <w:sz w:val="24"/>
          <w:szCs w:val="24"/>
        </w:rPr>
        <w:t>19</w:t>
      </w:r>
      <w:r w:rsidRPr="00BE4AF3">
        <w:rPr>
          <w:rStyle w:val="fontstyle01"/>
          <w:rFonts w:ascii="Times New Roman" w:hAnsi="Times New Roman" w:cs="Times New Roman"/>
          <w:sz w:val="24"/>
          <w:szCs w:val="24"/>
        </w:rPr>
        <w:t xml:space="preserve">(1), pp. 50–63. </w:t>
      </w:r>
      <w:hyperlink r:id="rId36" w:history="1">
        <w:r w:rsidRPr="00BE4AF3">
          <w:rPr>
            <w:rStyle w:val="Hyperlink"/>
            <w:rFonts w:ascii="Times New Roman" w:hAnsi="Times New Roman" w:cs="Times New Roman"/>
            <w:sz w:val="24"/>
            <w:szCs w:val="24"/>
          </w:rPr>
          <w:t>https://doi.org/10.1108/02637470110366202</w:t>
        </w:r>
      </w:hyperlink>
    </w:p>
    <w:p w14:paraId="7E7099A8" w14:textId="77777777" w:rsidR="003F40E8" w:rsidRPr="00BE4AF3" w:rsidRDefault="003F40E8" w:rsidP="00473646">
      <w:pPr>
        <w:widowControl w:val="0"/>
        <w:autoSpaceDE w:val="0"/>
        <w:autoSpaceDN w:val="0"/>
        <w:adjustRightInd w:val="0"/>
        <w:spacing w:after="0" w:line="240" w:lineRule="auto"/>
        <w:ind w:left="567" w:hanging="567"/>
        <w:jc w:val="both"/>
        <w:rPr>
          <w:rFonts w:ascii="Times New Roman" w:hAnsi="Times New Roman" w:cs="Times New Roman"/>
          <w:sz w:val="24"/>
          <w:szCs w:val="24"/>
          <w:shd w:val="clear" w:color="auto" w:fill="FFFFFF"/>
        </w:rPr>
      </w:pPr>
      <w:r w:rsidRPr="00BE4AF3">
        <w:rPr>
          <w:rStyle w:val="fontstyle01"/>
          <w:rFonts w:ascii="Times New Roman" w:hAnsi="Times New Roman" w:cs="Times New Roman"/>
          <w:sz w:val="24"/>
          <w:szCs w:val="24"/>
        </w:rPr>
        <w:t>Zetterberg (2020). Purchasing a home in a Zetterberg community prior to or during the construction phase. A custom home located in United Kingdom. Retrieved on 25</w:t>
      </w:r>
      <w:r w:rsidRPr="00BE4AF3">
        <w:rPr>
          <w:rStyle w:val="fontstyle01"/>
          <w:rFonts w:ascii="Times New Roman" w:hAnsi="Times New Roman" w:cs="Times New Roman"/>
          <w:sz w:val="24"/>
          <w:szCs w:val="24"/>
          <w:vertAlign w:val="superscript"/>
        </w:rPr>
        <w:t>th</w:t>
      </w:r>
      <w:r w:rsidRPr="00BE4AF3">
        <w:rPr>
          <w:rStyle w:val="fontstyle01"/>
          <w:rFonts w:ascii="Times New Roman" w:hAnsi="Times New Roman" w:cs="Times New Roman"/>
          <w:sz w:val="24"/>
          <w:szCs w:val="24"/>
        </w:rPr>
        <w:t xml:space="preserve"> March, 2020 from </w:t>
      </w:r>
      <w:hyperlink r:id="rId37" w:history="1">
        <w:r w:rsidRPr="00BE4AF3">
          <w:rPr>
            <w:rStyle w:val="Hyperlink"/>
            <w:rFonts w:ascii="Times New Roman" w:hAnsi="Times New Roman" w:cs="Times New Roman"/>
            <w:sz w:val="24"/>
            <w:szCs w:val="24"/>
          </w:rPr>
          <w:t>https://zetterberg.com/communities/the-pre-sale-process</w:t>
        </w:r>
      </w:hyperlink>
    </w:p>
    <w:p w14:paraId="40C3B618" w14:textId="77777777" w:rsidR="003F40E8" w:rsidRPr="00BE4AF3" w:rsidRDefault="003F40E8" w:rsidP="00473646">
      <w:pPr>
        <w:widowControl w:val="0"/>
        <w:autoSpaceDE w:val="0"/>
        <w:autoSpaceDN w:val="0"/>
        <w:adjustRightInd w:val="0"/>
        <w:spacing w:after="0" w:line="240" w:lineRule="auto"/>
        <w:ind w:left="567" w:hanging="567"/>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Zhou, X., Zahirovic-Herbert, V., &amp; Gibler, K. M. (2018). Time-on-market in chinese condominium presales. </w:t>
      </w:r>
      <w:r w:rsidRPr="00BE4AF3">
        <w:rPr>
          <w:rFonts w:ascii="Times New Roman" w:hAnsi="Times New Roman" w:cs="Times New Roman"/>
          <w:i/>
          <w:iCs/>
          <w:noProof/>
          <w:sz w:val="24"/>
          <w:szCs w:val="24"/>
        </w:rPr>
        <w:t>International Journal of Strategic Property Management</w:t>
      </w:r>
      <w:r w:rsidRPr="00BE4AF3">
        <w:rPr>
          <w:rFonts w:ascii="Times New Roman" w:hAnsi="Times New Roman" w:cs="Times New Roman"/>
          <w:noProof/>
          <w:sz w:val="24"/>
          <w:szCs w:val="24"/>
        </w:rPr>
        <w:t xml:space="preserve">, Vol. </w:t>
      </w:r>
      <w:r w:rsidRPr="00BE4AF3">
        <w:rPr>
          <w:rFonts w:ascii="Times New Roman" w:hAnsi="Times New Roman" w:cs="Times New Roman"/>
          <w:i/>
          <w:iCs/>
          <w:noProof/>
          <w:sz w:val="24"/>
          <w:szCs w:val="24"/>
        </w:rPr>
        <w:t>22</w:t>
      </w:r>
      <w:r w:rsidRPr="00BE4AF3">
        <w:rPr>
          <w:rFonts w:ascii="Times New Roman" w:hAnsi="Times New Roman" w:cs="Times New Roman"/>
          <w:noProof/>
          <w:sz w:val="24"/>
          <w:szCs w:val="24"/>
        </w:rPr>
        <w:t xml:space="preserve">(3), pp. 191–203. </w:t>
      </w:r>
      <w:hyperlink r:id="rId38" w:history="1">
        <w:r w:rsidRPr="00BE4AF3">
          <w:rPr>
            <w:rStyle w:val="Hyperlink"/>
            <w:rFonts w:ascii="Times New Roman" w:hAnsi="Times New Roman" w:cs="Times New Roman"/>
            <w:noProof/>
            <w:sz w:val="24"/>
            <w:szCs w:val="24"/>
          </w:rPr>
          <w:t>https://doi.org/10.3846/ijspm.2018.1547</w:t>
        </w:r>
      </w:hyperlink>
      <w:r w:rsidRPr="00BE4AF3">
        <w:rPr>
          <w:rFonts w:ascii="Times New Roman" w:hAnsi="Times New Roman" w:cs="Times New Roman"/>
          <w:noProof/>
          <w:sz w:val="24"/>
          <w:szCs w:val="24"/>
        </w:rPr>
        <w:t>2</w:t>
      </w:r>
    </w:p>
    <w:p w14:paraId="2F2D9E7F" w14:textId="77777777" w:rsidR="00E90BB6" w:rsidRDefault="00E90BB6" w:rsidP="00E90BB6">
      <w:pPr>
        <w:spacing w:after="0" w:line="240" w:lineRule="auto"/>
        <w:rPr>
          <w:rFonts w:ascii="Times New Roman" w:hAnsi="Times New Roman" w:cs="Times New Roman"/>
          <w:sz w:val="24"/>
          <w:szCs w:val="24"/>
        </w:rPr>
      </w:pPr>
    </w:p>
    <w:p w14:paraId="209E8AF9" w14:textId="77777777" w:rsidR="00473646" w:rsidRDefault="00473646" w:rsidP="00E90BB6">
      <w:pPr>
        <w:spacing w:after="0" w:line="240" w:lineRule="auto"/>
        <w:rPr>
          <w:rFonts w:ascii="Times New Roman" w:hAnsi="Times New Roman" w:cs="Times New Roman"/>
          <w:sz w:val="24"/>
          <w:szCs w:val="24"/>
        </w:rPr>
      </w:pPr>
    </w:p>
    <w:p w14:paraId="0707950D" w14:textId="77777777" w:rsidR="00473646" w:rsidRDefault="00473646" w:rsidP="00E90BB6">
      <w:pPr>
        <w:spacing w:after="0" w:line="240" w:lineRule="auto"/>
        <w:rPr>
          <w:rFonts w:ascii="Times New Roman" w:hAnsi="Times New Roman" w:cs="Times New Roman"/>
          <w:sz w:val="24"/>
          <w:szCs w:val="24"/>
        </w:rPr>
      </w:pPr>
    </w:p>
    <w:p w14:paraId="669DAE93" w14:textId="77777777" w:rsidR="00473646" w:rsidRDefault="00473646" w:rsidP="00E90BB6">
      <w:pPr>
        <w:spacing w:after="0" w:line="240" w:lineRule="auto"/>
        <w:rPr>
          <w:rFonts w:ascii="Times New Roman" w:hAnsi="Times New Roman" w:cs="Times New Roman"/>
          <w:sz w:val="24"/>
          <w:szCs w:val="24"/>
        </w:rPr>
      </w:pPr>
    </w:p>
    <w:p w14:paraId="746814CB" w14:textId="77777777" w:rsidR="00473646" w:rsidRDefault="00473646" w:rsidP="00E90BB6">
      <w:pPr>
        <w:spacing w:after="0" w:line="240" w:lineRule="auto"/>
        <w:rPr>
          <w:rFonts w:ascii="Times New Roman" w:hAnsi="Times New Roman" w:cs="Times New Roman"/>
          <w:sz w:val="24"/>
          <w:szCs w:val="24"/>
        </w:rPr>
      </w:pPr>
    </w:p>
    <w:p w14:paraId="10F675D3" w14:textId="77777777" w:rsidR="00473646" w:rsidRDefault="00473646" w:rsidP="00E90BB6">
      <w:pPr>
        <w:spacing w:after="0" w:line="240" w:lineRule="auto"/>
        <w:rPr>
          <w:rFonts w:ascii="Times New Roman" w:hAnsi="Times New Roman" w:cs="Times New Roman"/>
          <w:sz w:val="24"/>
          <w:szCs w:val="24"/>
        </w:rPr>
      </w:pPr>
    </w:p>
    <w:p w14:paraId="2181F069" w14:textId="77777777" w:rsidR="00473646" w:rsidRDefault="00473646" w:rsidP="00E90BB6">
      <w:pPr>
        <w:spacing w:after="0" w:line="240" w:lineRule="auto"/>
        <w:rPr>
          <w:rFonts w:ascii="Times New Roman" w:hAnsi="Times New Roman" w:cs="Times New Roman"/>
          <w:sz w:val="24"/>
          <w:szCs w:val="24"/>
        </w:rPr>
      </w:pPr>
    </w:p>
    <w:p w14:paraId="7B33BC67" w14:textId="77777777" w:rsidR="00473646" w:rsidRDefault="00473646" w:rsidP="00E90BB6">
      <w:pPr>
        <w:spacing w:after="0" w:line="240" w:lineRule="auto"/>
        <w:rPr>
          <w:rFonts w:ascii="Times New Roman" w:hAnsi="Times New Roman" w:cs="Times New Roman"/>
          <w:sz w:val="24"/>
          <w:szCs w:val="24"/>
        </w:rPr>
      </w:pPr>
    </w:p>
    <w:p w14:paraId="5E5AB4B6" w14:textId="77777777" w:rsidR="00473646" w:rsidRDefault="00473646" w:rsidP="00E90BB6">
      <w:pPr>
        <w:spacing w:after="0" w:line="240" w:lineRule="auto"/>
        <w:rPr>
          <w:rFonts w:ascii="Times New Roman" w:hAnsi="Times New Roman" w:cs="Times New Roman"/>
          <w:sz w:val="24"/>
          <w:szCs w:val="24"/>
        </w:rPr>
      </w:pPr>
    </w:p>
    <w:p w14:paraId="481DA149" w14:textId="77777777" w:rsidR="00473646" w:rsidRDefault="00473646" w:rsidP="00E90BB6">
      <w:pPr>
        <w:spacing w:after="0" w:line="240" w:lineRule="auto"/>
        <w:rPr>
          <w:rFonts w:ascii="Times New Roman" w:hAnsi="Times New Roman" w:cs="Times New Roman"/>
          <w:sz w:val="24"/>
          <w:szCs w:val="24"/>
        </w:rPr>
      </w:pPr>
    </w:p>
    <w:p w14:paraId="1762D70A" w14:textId="77777777" w:rsidR="00473646" w:rsidRDefault="00473646" w:rsidP="00E90BB6">
      <w:pPr>
        <w:spacing w:after="0" w:line="240" w:lineRule="auto"/>
        <w:rPr>
          <w:rFonts w:ascii="Times New Roman" w:hAnsi="Times New Roman" w:cs="Times New Roman"/>
          <w:sz w:val="24"/>
          <w:szCs w:val="24"/>
        </w:rPr>
      </w:pPr>
    </w:p>
    <w:p w14:paraId="497A75D6" w14:textId="77777777" w:rsidR="00473646" w:rsidRDefault="00473646" w:rsidP="00E90BB6">
      <w:pPr>
        <w:spacing w:after="0" w:line="240" w:lineRule="auto"/>
        <w:rPr>
          <w:rFonts w:ascii="Times New Roman" w:hAnsi="Times New Roman" w:cs="Times New Roman"/>
          <w:sz w:val="24"/>
          <w:szCs w:val="24"/>
        </w:rPr>
      </w:pPr>
    </w:p>
    <w:p w14:paraId="07E65870" w14:textId="77777777" w:rsidR="00473646" w:rsidRDefault="00473646" w:rsidP="00E90BB6">
      <w:pPr>
        <w:spacing w:after="0" w:line="240" w:lineRule="auto"/>
        <w:rPr>
          <w:rFonts w:ascii="Times New Roman" w:hAnsi="Times New Roman" w:cs="Times New Roman"/>
          <w:sz w:val="24"/>
          <w:szCs w:val="24"/>
        </w:rPr>
      </w:pPr>
    </w:p>
    <w:p w14:paraId="3ECDCEE6" w14:textId="77777777" w:rsidR="00473646" w:rsidRDefault="00473646" w:rsidP="00E90BB6">
      <w:pPr>
        <w:spacing w:after="0" w:line="240" w:lineRule="auto"/>
        <w:rPr>
          <w:rFonts w:ascii="Times New Roman" w:hAnsi="Times New Roman" w:cs="Times New Roman"/>
          <w:sz w:val="24"/>
          <w:szCs w:val="24"/>
        </w:rPr>
      </w:pPr>
    </w:p>
    <w:p w14:paraId="71A37A85" w14:textId="77777777" w:rsidR="00473646" w:rsidRDefault="00473646" w:rsidP="00E90BB6">
      <w:pPr>
        <w:spacing w:after="0" w:line="240" w:lineRule="auto"/>
        <w:rPr>
          <w:rFonts w:ascii="Times New Roman" w:hAnsi="Times New Roman" w:cs="Times New Roman"/>
          <w:sz w:val="24"/>
          <w:szCs w:val="24"/>
        </w:rPr>
      </w:pPr>
    </w:p>
    <w:p w14:paraId="473D1E11" w14:textId="77777777" w:rsidR="00473646" w:rsidRDefault="00473646" w:rsidP="00E90BB6">
      <w:pPr>
        <w:spacing w:after="0" w:line="240" w:lineRule="auto"/>
        <w:rPr>
          <w:rFonts w:ascii="Times New Roman" w:hAnsi="Times New Roman" w:cs="Times New Roman"/>
          <w:sz w:val="24"/>
          <w:szCs w:val="24"/>
        </w:rPr>
      </w:pPr>
    </w:p>
    <w:p w14:paraId="2973210C" w14:textId="77777777" w:rsidR="00473646" w:rsidRDefault="00473646" w:rsidP="00E90BB6">
      <w:pPr>
        <w:spacing w:after="0" w:line="240" w:lineRule="auto"/>
        <w:rPr>
          <w:rFonts w:ascii="Times New Roman" w:hAnsi="Times New Roman" w:cs="Times New Roman"/>
          <w:sz w:val="24"/>
          <w:szCs w:val="24"/>
        </w:rPr>
      </w:pPr>
    </w:p>
    <w:p w14:paraId="125E8D50" w14:textId="77777777" w:rsidR="00473646" w:rsidRDefault="00473646" w:rsidP="00E90BB6">
      <w:pPr>
        <w:spacing w:after="0" w:line="240" w:lineRule="auto"/>
        <w:rPr>
          <w:rFonts w:ascii="Times New Roman" w:hAnsi="Times New Roman" w:cs="Times New Roman"/>
          <w:sz w:val="24"/>
          <w:szCs w:val="24"/>
        </w:rPr>
      </w:pPr>
    </w:p>
    <w:p w14:paraId="70B85A1B" w14:textId="77777777" w:rsidR="00F61FBE" w:rsidRPr="00BE4AF3" w:rsidRDefault="00F61FBE" w:rsidP="00E90BB6">
      <w:pPr>
        <w:spacing w:after="0" w:line="240" w:lineRule="auto"/>
        <w:rPr>
          <w:rFonts w:ascii="Times New Roman" w:hAnsi="Times New Roman" w:cs="Times New Roman"/>
          <w:sz w:val="24"/>
          <w:szCs w:val="24"/>
        </w:rPr>
      </w:pPr>
    </w:p>
    <w:p w14:paraId="04263792" w14:textId="6A78240B" w:rsidR="00D47876" w:rsidRPr="007A25AE" w:rsidRDefault="007A25AE" w:rsidP="00E90BB6">
      <w:pPr>
        <w:spacing w:after="0" w:line="240" w:lineRule="auto"/>
        <w:jc w:val="center"/>
        <w:rPr>
          <w:rFonts w:ascii="Times New Roman" w:hAnsi="Times New Roman" w:cs="Times New Roman"/>
          <w:b/>
          <w:bCs/>
          <w:sz w:val="28"/>
          <w:szCs w:val="28"/>
        </w:rPr>
      </w:pPr>
      <w:bookmarkStart w:id="16" w:name="_Hlk490078164"/>
      <w:r w:rsidRPr="007A25AE">
        <w:rPr>
          <w:rFonts w:ascii="Times New Roman" w:hAnsi="Times New Roman" w:cs="Times New Roman"/>
          <w:b/>
          <w:bCs/>
          <w:sz w:val="28"/>
          <w:szCs w:val="28"/>
        </w:rPr>
        <w:lastRenderedPageBreak/>
        <w:t xml:space="preserve">Awareness </w:t>
      </w:r>
      <w:r>
        <w:rPr>
          <w:rFonts w:ascii="Times New Roman" w:hAnsi="Times New Roman" w:cs="Times New Roman"/>
          <w:b/>
          <w:bCs/>
          <w:sz w:val="28"/>
          <w:szCs w:val="28"/>
        </w:rPr>
        <w:t>a</w:t>
      </w:r>
      <w:r w:rsidRPr="007A25AE">
        <w:rPr>
          <w:rFonts w:ascii="Times New Roman" w:hAnsi="Times New Roman" w:cs="Times New Roman"/>
          <w:b/>
          <w:bCs/>
          <w:sz w:val="28"/>
          <w:szCs w:val="28"/>
        </w:rPr>
        <w:t xml:space="preserve">nd Usage </w:t>
      </w:r>
      <w:r>
        <w:rPr>
          <w:rFonts w:ascii="Times New Roman" w:hAnsi="Times New Roman" w:cs="Times New Roman"/>
          <w:b/>
          <w:bCs/>
          <w:sz w:val="28"/>
          <w:szCs w:val="28"/>
        </w:rPr>
        <w:t>o</w:t>
      </w:r>
      <w:r w:rsidRPr="007A25AE">
        <w:rPr>
          <w:rFonts w:ascii="Times New Roman" w:hAnsi="Times New Roman" w:cs="Times New Roman"/>
          <w:b/>
          <w:bCs/>
          <w:sz w:val="28"/>
          <w:szCs w:val="28"/>
        </w:rPr>
        <w:t xml:space="preserve">f Geospatial Technology </w:t>
      </w:r>
      <w:r>
        <w:rPr>
          <w:rFonts w:ascii="Times New Roman" w:hAnsi="Times New Roman" w:cs="Times New Roman"/>
          <w:b/>
          <w:bCs/>
          <w:sz w:val="28"/>
          <w:szCs w:val="28"/>
        </w:rPr>
        <w:t>i</w:t>
      </w:r>
      <w:r w:rsidRPr="007A25AE">
        <w:rPr>
          <w:rFonts w:ascii="Times New Roman" w:hAnsi="Times New Roman" w:cs="Times New Roman"/>
          <w:b/>
          <w:bCs/>
          <w:sz w:val="28"/>
          <w:szCs w:val="28"/>
        </w:rPr>
        <w:t xml:space="preserve">n Fire Disaster Management </w:t>
      </w:r>
      <w:r w:rsidR="00D47876" w:rsidRPr="007A25AE">
        <w:rPr>
          <w:rFonts w:ascii="Times New Roman" w:hAnsi="Times New Roman" w:cs="Times New Roman"/>
          <w:b/>
          <w:bCs/>
          <w:sz w:val="28"/>
          <w:szCs w:val="28"/>
        </w:rPr>
        <w:t>in Osogbo metropolis, Osun State, Nigeria</w:t>
      </w:r>
    </w:p>
    <w:p w14:paraId="492E8FD0" w14:textId="77777777" w:rsidR="00D47876" w:rsidRPr="00BE4AF3" w:rsidRDefault="00D47876" w:rsidP="00E90BB6">
      <w:pPr>
        <w:spacing w:after="0" w:line="240" w:lineRule="auto"/>
        <w:jc w:val="center"/>
        <w:rPr>
          <w:rFonts w:ascii="Times New Roman" w:hAnsi="Times New Roman" w:cs="Times New Roman"/>
          <w:b/>
          <w:sz w:val="24"/>
          <w:szCs w:val="24"/>
        </w:rPr>
      </w:pPr>
    </w:p>
    <w:bookmarkEnd w:id="16"/>
    <w:p w14:paraId="1A500C1C" w14:textId="77777777" w:rsidR="00D47876" w:rsidRPr="00BE4AF3" w:rsidRDefault="00D47876" w:rsidP="00E90BB6">
      <w:pPr>
        <w:spacing w:after="0" w:line="240" w:lineRule="auto"/>
        <w:jc w:val="center"/>
        <w:rPr>
          <w:rFonts w:ascii="Times New Roman" w:hAnsi="Times New Roman" w:cs="Times New Roman"/>
          <w:sz w:val="24"/>
          <w:szCs w:val="24"/>
        </w:rPr>
      </w:pPr>
      <w:r w:rsidRPr="00BE4AF3">
        <w:rPr>
          <w:rFonts w:ascii="Times New Roman" w:hAnsi="Times New Roman" w:cs="Times New Roman"/>
          <w:sz w:val="24"/>
          <w:szCs w:val="24"/>
          <w:vertAlign w:val="superscript"/>
        </w:rPr>
        <w:t>1</w:t>
      </w:r>
      <w:r w:rsidRPr="00BE4AF3">
        <w:rPr>
          <w:rFonts w:ascii="Times New Roman" w:hAnsi="Times New Roman" w:cs="Times New Roman"/>
          <w:sz w:val="24"/>
          <w:szCs w:val="24"/>
          <w:vertAlign w:val="superscript"/>
          <w:lang w:val="en-US"/>
        </w:rPr>
        <w:t xml:space="preserve"> </w:t>
      </w:r>
      <w:r w:rsidRPr="00BE4AF3">
        <w:rPr>
          <w:rFonts w:ascii="Times New Roman" w:hAnsi="Times New Roman" w:cs="Times New Roman"/>
          <w:sz w:val="24"/>
          <w:szCs w:val="24"/>
        </w:rPr>
        <w:t xml:space="preserve">Olosunde, O. O., </w:t>
      </w:r>
      <w:r w:rsidRPr="00BE4AF3">
        <w:rPr>
          <w:rFonts w:ascii="Times New Roman" w:hAnsi="Times New Roman" w:cs="Times New Roman"/>
          <w:sz w:val="24"/>
          <w:szCs w:val="24"/>
          <w:vertAlign w:val="superscript"/>
        </w:rPr>
        <w:t>1*</w:t>
      </w:r>
      <w:r w:rsidRPr="00BE4AF3">
        <w:rPr>
          <w:rFonts w:ascii="Times New Roman" w:hAnsi="Times New Roman" w:cs="Times New Roman"/>
          <w:sz w:val="24"/>
          <w:szCs w:val="24"/>
        </w:rPr>
        <w:t xml:space="preserve">Asiyanbola R. A. and </w:t>
      </w:r>
      <w:r w:rsidRPr="00BE4AF3">
        <w:rPr>
          <w:rFonts w:ascii="Times New Roman" w:hAnsi="Times New Roman" w:cs="Times New Roman"/>
          <w:sz w:val="24"/>
          <w:szCs w:val="24"/>
          <w:vertAlign w:val="superscript"/>
        </w:rPr>
        <w:t>1</w:t>
      </w:r>
      <w:r w:rsidRPr="00BE4AF3">
        <w:rPr>
          <w:rFonts w:ascii="Times New Roman" w:hAnsi="Times New Roman" w:cs="Times New Roman"/>
          <w:sz w:val="24"/>
          <w:szCs w:val="24"/>
          <w:vertAlign w:val="superscript"/>
          <w:lang w:val="en-US"/>
        </w:rPr>
        <w:t xml:space="preserve"> </w:t>
      </w:r>
      <w:r w:rsidRPr="00BE4AF3">
        <w:rPr>
          <w:rFonts w:ascii="Times New Roman" w:hAnsi="Times New Roman" w:cs="Times New Roman"/>
          <w:sz w:val="24"/>
          <w:szCs w:val="24"/>
        </w:rPr>
        <w:t>Obidiya, M. O.</w:t>
      </w:r>
    </w:p>
    <w:p w14:paraId="0BED5715" w14:textId="77777777" w:rsidR="00D47876" w:rsidRPr="00BE4AF3" w:rsidRDefault="00D47876" w:rsidP="00E90BB6">
      <w:pPr>
        <w:spacing w:after="0" w:line="240" w:lineRule="auto"/>
        <w:jc w:val="center"/>
        <w:rPr>
          <w:rFonts w:ascii="Times New Roman" w:hAnsi="Times New Roman" w:cs="Times New Roman"/>
          <w:sz w:val="24"/>
          <w:szCs w:val="24"/>
        </w:rPr>
      </w:pPr>
    </w:p>
    <w:p w14:paraId="2B3269FE" w14:textId="77777777" w:rsidR="00D47876" w:rsidRPr="007A25AE" w:rsidRDefault="00D47876" w:rsidP="00E90BB6">
      <w:pPr>
        <w:pStyle w:val="BodyText"/>
        <w:spacing w:after="0" w:line="240" w:lineRule="auto"/>
        <w:jc w:val="center"/>
        <w:rPr>
          <w:rFonts w:ascii="Times New Roman" w:hAnsi="Times New Roman"/>
          <w:bCs/>
        </w:rPr>
      </w:pPr>
      <w:r w:rsidRPr="007A25AE">
        <w:rPr>
          <w:rFonts w:ascii="Times New Roman" w:hAnsi="Times New Roman"/>
          <w:bCs/>
          <w:vertAlign w:val="superscript"/>
        </w:rPr>
        <w:t>1</w:t>
      </w:r>
      <w:r w:rsidRPr="007A25AE">
        <w:rPr>
          <w:rFonts w:ascii="Times New Roman" w:hAnsi="Times New Roman"/>
          <w:bCs/>
          <w:vertAlign w:val="superscript"/>
          <w:lang w:val="en-US"/>
        </w:rPr>
        <w:t xml:space="preserve"> </w:t>
      </w:r>
      <w:r w:rsidRPr="007A25AE">
        <w:rPr>
          <w:rFonts w:ascii="Times New Roman" w:hAnsi="Times New Roman"/>
          <w:bCs/>
        </w:rPr>
        <w:t>Department of Geography, Osun State University, Osogbo, Osun State, Nigeria.</w:t>
      </w:r>
    </w:p>
    <w:p w14:paraId="4818F2F0" w14:textId="77777777" w:rsidR="00D47876" w:rsidRPr="007A25AE" w:rsidRDefault="00D47876" w:rsidP="00E90BB6">
      <w:pPr>
        <w:pStyle w:val="BodyText"/>
        <w:spacing w:after="0" w:line="240" w:lineRule="auto"/>
        <w:jc w:val="center"/>
        <w:rPr>
          <w:rFonts w:ascii="Times New Roman" w:hAnsi="Times New Roman"/>
          <w:bCs/>
          <w:lang w:val="en-US"/>
        </w:rPr>
      </w:pPr>
    </w:p>
    <w:p w14:paraId="002CCDD6" w14:textId="77777777" w:rsidR="00D47876" w:rsidRPr="007A25AE" w:rsidRDefault="00D47876" w:rsidP="00E90BB6">
      <w:pPr>
        <w:pStyle w:val="BodyText"/>
        <w:spacing w:after="0" w:line="240" w:lineRule="auto"/>
        <w:ind w:firstLine="900"/>
        <w:jc w:val="center"/>
        <w:rPr>
          <w:rFonts w:ascii="Times New Roman" w:hAnsi="Times New Roman"/>
          <w:bCs/>
        </w:rPr>
      </w:pPr>
      <w:r w:rsidRPr="007A25AE">
        <w:rPr>
          <w:rFonts w:ascii="Times New Roman" w:hAnsi="Times New Roman"/>
          <w:vertAlign w:val="superscript"/>
          <w:lang w:val="en-US"/>
        </w:rPr>
        <w:t xml:space="preserve">* </w:t>
      </w:r>
      <w:r w:rsidRPr="007A25AE">
        <w:rPr>
          <w:rFonts w:ascii="Times New Roman" w:hAnsi="Times New Roman"/>
        </w:rPr>
        <w:t>Corresponding</w:t>
      </w:r>
      <w:r w:rsidRPr="007A25AE">
        <w:rPr>
          <w:rFonts w:ascii="Times New Roman" w:hAnsi="Times New Roman"/>
          <w:vertAlign w:val="superscript"/>
        </w:rPr>
        <w:t xml:space="preserve"> </w:t>
      </w:r>
      <w:r w:rsidRPr="007A25AE">
        <w:rPr>
          <w:rFonts w:ascii="Times New Roman" w:hAnsi="Times New Roman"/>
          <w:lang w:val="en-US"/>
        </w:rPr>
        <w:t xml:space="preserve">Author </w:t>
      </w:r>
      <w:r w:rsidRPr="007A25AE">
        <w:rPr>
          <w:rFonts w:ascii="Times New Roman" w:hAnsi="Times New Roman"/>
          <w:bCs/>
        </w:rPr>
        <w:t xml:space="preserve">E-mail: </w:t>
      </w:r>
      <w:r w:rsidRPr="007A25AE">
        <w:rPr>
          <w:rFonts w:ascii="Times New Roman" w:hAnsi="Times New Roman"/>
          <w:bCs/>
          <w:lang w:val="en-US"/>
        </w:rPr>
        <w:t xml:space="preserve">   rasiyanbola@gmail.com</w:t>
      </w:r>
      <w:r w:rsidRPr="007A25AE">
        <w:rPr>
          <w:rFonts w:ascii="Times New Roman" w:hAnsi="Times New Roman"/>
          <w:bCs/>
        </w:rPr>
        <w:t xml:space="preserve"> </w:t>
      </w:r>
    </w:p>
    <w:p w14:paraId="51E14CC1" w14:textId="77777777" w:rsidR="00E90BB6" w:rsidRPr="00BE4AF3" w:rsidRDefault="00E90BB6" w:rsidP="00E90BB6">
      <w:pPr>
        <w:spacing w:after="0" w:line="240" w:lineRule="auto"/>
        <w:jc w:val="both"/>
        <w:rPr>
          <w:rFonts w:ascii="Times New Roman" w:hAnsi="Times New Roman" w:cs="Times New Roman"/>
          <w:b/>
          <w:bCs/>
          <w:sz w:val="24"/>
          <w:szCs w:val="24"/>
        </w:rPr>
      </w:pPr>
    </w:p>
    <w:p w14:paraId="4B4A62ED" w14:textId="77777777" w:rsidR="00D47876" w:rsidRPr="00BE4AF3" w:rsidRDefault="00D47876" w:rsidP="00E90BB6">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LICFES 2025-008 – FP2</w:t>
      </w:r>
    </w:p>
    <w:p w14:paraId="7FC20C04" w14:textId="77777777" w:rsidR="00D47876" w:rsidRPr="00BE4AF3" w:rsidRDefault="00D47876" w:rsidP="00E90BB6">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Abstract</w:t>
      </w:r>
    </w:p>
    <w:p w14:paraId="5253E133" w14:textId="77777777" w:rsidR="00D47876" w:rsidRPr="00BE4AF3" w:rsidRDefault="00D47876" w:rsidP="00E90BB6">
      <w:pPr>
        <w:spacing w:after="0" w:line="240" w:lineRule="auto"/>
        <w:jc w:val="both"/>
        <w:rPr>
          <w:rFonts w:ascii="Times New Roman" w:hAnsi="Times New Roman" w:cs="Times New Roman"/>
          <w:sz w:val="24"/>
          <w:szCs w:val="24"/>
        </w:rPr>
      </w:pPr>
      <w:r w:rsidRPr="00BE4AF3">
        <w:rPr>
          <w:rFonts w:ascii="Times New Roman" w:eastAsia="Times New Roman" w:hAnsi="Times New Roman" w:cs="Times New Roman"/>
          <w:sz w:val="24"/>
          <w:szCs w:val="24"/>
        </w:rPr>
        <w:t xml:space="preserve">This study investigates awareness and usage of geospatial technology in fire disaster management in Osogbo, Osun State, Nigeria. The objectives of the study include: to </w:t>
      </w:r>
      <w:r w:rsidRPr="00BE4AF3">
        <w:rPr>
          <w:rFonts w:ascii="Times New Roman" w:hAnsi="Times New Roman" w:cs="Times New Roman"/>
          <w:sz w:val="24"/>
          <w:szCs w:val="24"/>
        </w:rPr>
        <w:t>examine the perception of staff of Osun State fire management agency including their awareness and usage of GIS and the perception of the public of fire disaster management in Osogbo; to evaluate the spatial distribution of fire stations and hydrants in Osogbo and the relationship between the Osun State Fire Management Agency’s response time to fire disaster incidents and the google map estimate time. B</w:t>
      </w:r>
      <w:r w:rsidRPr="00BE4AF3">
        <w:rPr>
          <w:rFonts w:ascii="Times New Roman" w:eastAsia="Times New Roman" w:hAnsi="Times New Roman" w:cs="Times New Roman"/>
          <w:iCs/>
          <w:sz w:val="24"/>
          <w:szCs w:val="24"/>
        </w:rPr>
        <w:t>oth primary and secondary data sources were used in the study. Primary data were collected through questionnaires administration to fire service personnel and to community members at Osogbo Local Government Area and Olorunda Local Government. Focus group discussion was also conducted. Secondary data included historical fire incident records from 2010-2024. Statistical techniques which include frequency analysis, descriptive statistics, and times series analysis were used to analysed the data. The results show that majority of Osun State Fire Service staff are computer literate and have personal computers. Most of the staff are aware of GIS, majority have not attended GIS training programs and they expressed interest in GIS training program. The results further revealed that o</w:t>
      </w:r>
      <w:r w:rsidRPr="00BE4AF3">
        <w:rPr>
          <w:rFonts w:ascii="Times New Roman" w:hAnsi="Times New Roman" w:cs="Times New Roman"/>
          <w:iCs/>
          <w:sz w:val="24"/>
          <w:szCs w:val="24"/>
        </w:rPr>
        <w:t xml:space="preserve">n average, fire station response times were faster than google map estimates, with a strong positive correlation between the two datasets. </w:t>
      </w:r>
      <w:r w:rsidRPr="00BE4AF3">
        <w:rPr>
          <w:rFonts w:ascii="Times New Roman" w:eastAsia="Times New Roman" w:hAnsi="Times New Roman" w:cs="Times New Roman"/>
          <w:iCs/>
          <w:sz w:val="24"/>
          <w:szCs w:val="24"/>
        </w:rPr>
        <w:t>Focus group discussion result emphasized the need for more government funding and investment in modern equipment and training programs, including GIS technology.</w:t>
      </w:r>
    </w:p>
    <w:p w14:paraId="76F34328" w14:textId="77777777" w:rsidR="00D47876" w:rsidRPr="00BE4AF3" w:rsidRDefault="00D47876" w:rsidP="00E90BB6">
      <w:pPr>
        <w:spacing w:after="0" w:line="240" w:lineRule="auto"/>
        <w:jc w:val="both"/>
        <w:rPr>
          <w:rFonts w:ascii="Times New Roman" w:hAnsi="Times New Roman" w:cs="Times New Roman"/>
          <w:sz w:val="24"/>
          <w:szCs w:val="24"/>
        </w:rPr>
      </w:pPr>
    </w:p>
    <w:p w14:paraId="6D64495E" w14:textId="77777777" w:rsidR="00D47876" w:rsidRPr="00BE4AF3" w:rsidRDefault="00D47876" w:rsidP="00E90BB6">
      <w:pPr>
        <w:spacing w:after="0" w:line="240" w:lineRule="auto"/>
        <w:rPr>
          <w:rFonts w:ascii="Times New Roman" w:hAnsi="Times New Roman" w:cs="Times New Roman"/>
          <w:sz w:val="24"/>
          <w:szCs w:val="24"/>
        </w:rPr>
      </w:pPr>
      <w:r w:rsidRPr="00BE4AF3">
        <w:rPr>
          <w:rFonts w:ascii="Times New Roman" w:hAnsi="Times New Roman" w:cs="Times New Roman"/>
          <w:b/>
          <w:sz w:val="24"/>
          <w:szCs w:val="24"/>
        </w:rPr>
        <w:t>Keywords:</w:t>
      </w:r>
      <w:r w:rsidRPr="00BE4AF3">
        <w:rPr>
          <w:rFonts w:ascii="Times New Roman" w:hAnsi="Times New Roman" w:cs="Times New Roman"/>
          <w:sz w:val="24"/>
          <w:szCs w:val="24"/>
        </w:rPr>
        <w:t xml:space="preserve"> Geospatial technology, Geographical Information Systems (GIS), Fire disaster management, Osogbo, Nigeria.</w:t>
      </w:r>
    </w:p>
    <w:p w14:paraId="3B5F9475" w14:textId="77777777" w:rsidR="001B6CC4" w:rsidRPr="00BE4AF3" w:rsidRDefault="001B6CC4" w:rsidP="00E90BB6">
      <w:pPr>
        <w:spacing w:after="0" w:line="240" w:lineRule="auto"/>
        <w:rPr>
          <w:rFonts w:ascii="Times New Roman" w:hAnsi="Times New Roman" w:cs="Times New Roman"/>
          <w:sz w:val="24"/>
          <w:szCs w:val="24"/>
        </w:rPr>
      </w:pPr>
    </w:p>
    <w:p w14:paraId="5CCF2957" w14:textId="77777777" w:rsidR="00A84E96" w:rsidRPr="00BE4AF3" w:rsidRDefault="00A84E96" w:rsidP="00A84E96">
      <w:pPr>
        <w:tabs>
          <w:tab w:val="left" w:pos="327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Introduction</w:t>
      </w:r>
    </w:p>
    <w:p w14:paraId="1271CA78" w14:textId="77777777" w:rsidR="00A84E96" w:rsidRPr="00BE4AF3" w:rsidRDefault="00A84E96" w:rsidP="00A84E96">
      <w:pPr>
        <w:spacing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Applications of geospatial technologies within law enforcement agencies ranges from cartographic representation of crime hotspots, systematic crime analysis, storage of crime data, visualising space and time in crime patterns, exchange of crime data, operational crime analysis, real-time automates crime mapping and emergency response terrorism etc. A lot of cutting-edge researches have been conducted in these above listed areas by lecturers, geo-statisticians’ professional, GIS analyst, criminologists and interested practitioners. There have been quite a lot of literature regarding the application of Geographical Information Systems (GIS) in several areas of fire services such as the application of GIS in fire station location, spatial analysis of fire incident and their causes, firefighting and risk assessment mapping, etc (Xin-ming  et al, 2018; Alexander &amp; Nehren, 2024; Francesco et al, 2025; Gayatri et al, 2024; Hyun et al, 2024; Jinxing et al, 2023; Katerina et al, 2017; Safwanah, 2017; </w:t>
      </w:r>
      <w:r w:rsidRPr="00BE4AF3">
        <w:rPr>
          <w:rFonts w:ascii="Times New Roman" w:hAnsi="Times New Roman" w:cs="Times New Roman"/>
          <w:sz w:val="24"/>
          <w:szCs w:val="24"/>
          <w:shd w:val="clear" w:color="auto" w:fill="FFFFFF"/>
        </w:rPr>
        <w:t xml:space="preserve">Sicheng et al, 2024; </w:t>
      </w:r>
      <w:r w:rsidRPr="00BE4AF3">
        <w:rPr>
          <w:rFonts w:ascii="Times New Roman" w:hAnsi="Times New Roman" w:cs="Times New Roman"/>
          <w:sz w:val="24"/>
          <w:szCs w:val="24"/>
        </w:rPr>
        <w:t xml:space="preserve">WEI et al, 2011; Xia, 2007; </w:t>
      </w:r>
      <w:r w:rsidRPr="00BE4AF3">
        <w:rPr>
          <w:rFonts w:ascii="Times New Roman" w:hAnsi="Times New Roman" w:cs="Times New Roman"/>
          <w:bCs/>
          <w:color w:val="000000"/>
          <w:sz w:val="24"/>
          <w:szCs w:val="24"/>
        </w:rPr>
        <w:t>Teshome,</w:t>
      </w:r>
      <w:r w:rsidRPr="00BE4AF3">
        <w:rPr>
          <w:rFonts w:ascii="Times New Roman" w:hAnsi="Times New Roman" w:cs="Times New Roman"/>
          <w:sz w:val="24"/>
          <w:szCs w:val="24"/>
        </w:rPr>
        <w:t xml:space="preserve"> 2013). </w:t>
      </w:r>
    </w:p>
    <w:p w14:paraId="32712B98" w14:textId="77777777" w:rsidR="00A84E96" w:rsidRPr="00BE4AF3" w:rsidRDefault="00A84E96" w:rsidP="007A25AE">
      <w:pPr>
        <w:spacing w:after="0" w:line="240" w:lineRule="auto"/>
        <w:ind w:left="-91"/>
        <w:jc w:val="both"/>
        <w:rPr>
          <w:rFonts w:ascii="Times New Roman" w:hAnsi="Times New Roman" w:cs="Times New Roman"/>
          <w:sz w:val="24"/>
          <w:szCs w:val="24"/>
        </w:rPr>
      </w:pPr>
      <w:r w:rsidRPr="00BE4AF3">
        <w:rPr>
          <w:rFonts w:ascii="Times New Roman" w:hAnsi="Times New Roman" w:cs="Times New Roman"/>
          <w:sz w:val="24"/>
          <w:szCs w:val="24"/>
        </w:rPr>
        <w:lastRenderedPageBreak/>
        <w:t xml:space="preserve">In Nigeria, Oladokun and Emmanuel (2014) worked on urban market fire disasters in Ibadan, Nigeria, assessing how damage can be minimized based on a Fuzzy Logic Model Approach. They acknowledged that frequent fire disasters in crowded urban business and market structures have become a major concern to Nigerian urban planners. Analyses of their results showed that the fuzzy logic safety model provides a good planning and management tool for urban renewal schemes aimed at reducing fire related disasters in Nigerian cities. Ogundele et al (2013) also evaluated the operations of emergencies and disaster management agencies in Ekiti State, Nigeria. They collected data using questionnaire, personal observation and oral interview from a total sampling of 1,600 respondents. Results from their study showed amongst others that the Ekiti State Emergency Management Agency (ESEMA) does not have enough capacity to meet the level of performance responsibility which could support effective disaster management and suggested applications of information technology. Eric, Forkno and Jonathan (2013) in their study used a GIS based fire emergency responds system in Ghana, so that Ghana National Fire Service can identify the optimal route from its location to any fire incident. They estimated a model on optional route taking into cognizance; distance, time, road network, intervening opportunities. The result of their study reveals that there were insufficient numbers of fire hydrants in the areas where fire is always intensive and the distribution of these hydrants was not compatible with regulation. </w:t>
      </w:r>
    </w:p>
    <w:p w14:paraId="3AA2436E" w14:textId="77777777" w:rsidR="00A84E96" w:rsidRPr="00BE4AF3" w:rsidRDefault="00A84E96" w:rsidP="007A25AE">
      <w:pPr>
        <w:spacing w:after="0" w:line="240" w:lineRule="auto"/>
        <w:ind w:left="-91"/>
        <w:jc w:val="both"/>
        <w:rPr>
          <w:rFonts w:ascii="Times New Roman" w:hAnsi="Times New Roman" w:cs="Times New Roman"/>
          <w:sz w:val="24"/>
          <w:szCs w:val="24"/>
        </w:rPr>
      </w:pPr>
      <w:r w:rsidRPr="00BE4AF3">
        <w:rPr>
          <w:rFonts w:ascii="Times New Roman" w:hAnsi="Times New Roman" w:cs="Times New Roman"/>
          <w:sz w:val="24"/>
          <w:szCs w:val="24"/>
        </w:rPr>
        <w:t xml:space="preserve">Despite the advantages of geospatial related technologies particularly GIS in enhancing fire disaster management, its integration within the Osogbo, Osun State Fire service remains limited. This gap raises concerns about the efficiency of emergency responses during fire incidents. Addressing these issues is crucial for improving fire management in Osogbo Metropolis, enhancing safety, and bolstering the resilience of fire response systems. Integrating GIS technology more comprehensively can provide real-time data, optimize response strategies, and significantly improve overall disaster management effectiveness. The aim of the study is to examine awareness and usage of geospatial technology in fire disaster management in Osogbo metropolis, Osun State with the view to promote efficient and safe management of fire. The research questions which the study addresses are: </w:t>
      </w:r>
    </w:p>
    <w:p w14:paraId="7E01AB4C" w14:textId="77777777" w:rsidR="00A84E96" w:rsidRPr="00BE4AF3" w:rsidRDefault="00A84E96" w:rsidP="00A84E96">
      <w:pPr>
        <w:numPr>
          <w:ilvl w:val="0"/>
          <w:numId w:val="3"/>
        </w:numPr>
        <w:spacing w:after="160" w:line="240" w:lineRule="auto"/>
        <w:ind w:left="450" w:hanging="540"/>
        <w:jc w:val="both"/>
        <w:rPr>
          <w:rFonts w:ascii="Times New Roman" w:hAnsi="Times New Roman" w:cs="Times New Roman"/>
          <w:sz w:val="24"/>
          <w:szCs w:val="24"/>
        </w:rPr>
      </w:pPr>
      <w:r w:rsidRPr="00BE4AF3">
        <w:rPr>
          <w:rFonts w:ascii="Times New Roman" w:hAnsi="Times New Roman" w:cs="Times New Roman"/>
          <w:sz w:val="24"/>
          <w:szCs w:val="24"/>
        </w:rPr>
        <w:t>How is the perception of staff of Osun State fire management agency including their awareness and usage of GIS and the perception of the public of fire disaster management in Osogbo, Osun State?</w:t>
      </w:r>
    </w:p>
    <w:p w14:paraId="211588BC" w14:textId="77777777" w:rsidR="00A84E96" w:rsidRPr="00BE4AF3" w:rsidRDefault="00A84E96" w:rsidP="00A84E96">
      <w:pPr>
        <w:numPr>
          <w:ilvl w:val="0"/>
          <w:numId w:val="3"/>
        </w:numPr>
        <w:spacing w:after="160" w:line="240" w:lineRule="auto"/>
        <w:ind w:left="450" w:hanging="540"/>
        <w:jc w:val="both"/>
        <w:rPr>
          <w:rFonts w:ascii="Times New Roman" w:hAnsi="Times New Roman" w:cs="Times New Roman"/>
          <w:sz w:val="24"/>
          <w:szCs w:val="24"/>
        </w:rPr>
      </w:pPr>
      <w:r w:rsidRPr="00BE4AF3">
        <w:rPr>
          <w:rFonts w:ascii="Times New Roman" w:hAnsi="Times New Roman" w:cs="Times New Roman"/>
          <w:sz w:val="24"/>
          <w:szCs w:val="24"/>
        </w:rPr>
        <w:t>Is there association between the Osun State Fire Management Agency response time to fire disaster incidents and the Google map estimate time?</w:t>
      </w:r>
    </w:p>
    <w:p w14:paraId="522B4D2B" w14:textId="77777777" w:rsidR="00A84E96" w:rsidRPr="00BE4AF3" w:rsidRDefault="00A84E96" w:rsidP="00A84E96">
      <w:pPr>
        <w:tabs>
          <w:tab w:val="left" w:pos="3270"/>
        </w:tabs>
        <w:spacing w:after="0" w:line="240" w:lineRule="auto"/>
        <w:jc w:val="center"/>
        <w:rPr>
          <w:rFonts w:ascii="Times New Roman" w:hAnsi="Times New Roman" w:cs="Times New Roman"/>
          <w:b/>
          <w:sz w:val="24"/>
          <w:szCs w:val="24"/>
        </w:rPr>
      </w:pPr>
    </w:p>
    <w:p w14:paraId="623C3F4A" w14:textId="77777777" w:rsidR="00A84E96" w:rsidRPr="00BE4AF3" w:rsidRDefault="00A84E96" w:rsidP="00A84E96">
      <w:pPr>
        <w:tabs>
          <w:tab w:val="left" w:pos="327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Material</w:t>
      </w:r>
      <w:r w:rsidRPr="00BE4AF3">
        <w:rPr>
          <w:rFonts w:ascii="Times New Roman" w:hAnsi="Times New Roman" w:cs="Times New Roman"/>
          <w:b/>
          <w:sz w:val="24"/>
          <w:szCs w:val="24"/>
          <w:lang w:val="en-US"/>
        </w:rPr>
        <w:t>s</w:t>
      </w:r>
      <w:r w:rsidRPr="00BE4AF3">
        <w:rPr>
          <w:rFonts w:ascii="Times New Roman" w:hAnsi="Times New Roman" w:cs="Times New Roman"/>
          <w:b/>
          <w:sz w:val="24"/>
          <w:szCs w:val="24"/>
        </w:rPr>
        <w:t xml:space="preserve"> and Methods</w:t>
      </w:r>
    </w:p>
    <w:p w14:paraId="3C54DD77" w14:textId="77777777" w:rsidR="00A84E96" w:rsidRPr="00BE4AF3" w:rsidRDefault="00A84E96" w:rsidP="007A25AE">
      <w:pPr>
        <w:spacing w:after="0" w:line="240" w:lineRule="auto"/>
        <w:jc w:val="both"/>
        <w:rPr>
          <w:rFonts w:ascii="Times New Roman" w:hAnsi="Times New Roman" w:cs="Times New Roman"/>
          <w:sz w:val="24"/>
          <w:szCs w:val="24"/>
        </w:rPr>
      </w:pPr>
      <w:r w:rsidRPr="00BE4AF3">
        <w:rPr>
          <w:rFonts w:ascii="Times New Roman" w:eastAsia="Times New Roman" w:hAnsi="Times New Roman" w:cs="Times New Roman"/>
          <w:iCs/>
          <w:sz w:val="24"/>
          <w:szCs w:val="24"/>
        </w:rPr>
        <w:t xml:space="preserve">A mixed-method approach was adopted, utilizing both primary and secondary data sources. Primary data were collected through questionnaires administration to 112 fire service personnel and to 384 community members at Osogbo Local Government Area (208 questionnaires) and Olorunda Local Government (176 questionnaires). </w:t>
      </w:r>
      <w:r w:rsidRPr="00BE4AF3">
        <w:rPr>
          <w:rFonts w:ascii="Times New Roman" w:hAnsi="Times New Roman" w:cs="Times New Roman"/>
          <w:sz w:val="24"/>
          <w:szCs w:val="24"/>
        </w:rPr>
        <w:t>In order to assess the perception of the staff of Osun State fire management agency,</w:t>
      </w:r>
      <w:r w:rsidRPr="00BE4AF3">
        <w:rPr>
          <w:rFonts w:ascii="Times New Roman" w:hAnsi="Times New Roman" w:cs="Times New Roman"/>
          <w:b/>
          <w:sz w:val="24"/>
          <w:szCs w:val="24"/>
        </w:rPr>
        <w:t xml:space="preserve"> </w:t>
      </w:r>
      <w:r w:rsidRPr="00BE4AF3">
        <w:rPr>
          <w:rFonts w:ascii="Times New Roman" w:hAnsi="Times New Roman" w:cs="Times New Roman"/>
          <w:sz w:val="24"/>
          <w:szCs w:val="24"/>
        </w:rPr>
        <w:t xml:space="preserve">the sample size include all staff members from the three fire stations in the study area, totalling 112 staff members which includes Abere 55, Oke-Fia 35 and Atelewo 22. The study employs census sampling, where every member of the population is included. This technique was chosen because it allows for comprehensive data collection from a relatively small and manageable population size, ensuring that all relevant perspectives are captured without sampling error. Census sampling also increases the likelihood of a high response </w:t>
      </w:r>
      <w:r w:rsidRPr="00BE4AF3">
        <w:rPr>
          <w:rFonts w:ascii="Times New Roman" w:hAnsi="Times New Roman" w:cs="Times New Roman"/>
          <w:sz w:val="24"/>
          <w:szCs w:val="24"/>
        </w:rPr>
        <w:lastRenderedPageBreak/>
        <w:t>rate, thus minimizing non-response bias and providing detailed insights critical for fire disaster management.</w:t>
      </w:r>
    </w:p>
    <w:p w14:paraId="1EC0E112" w14:textId="77777777" w:rsidR="00A84E96" w:rsidRPr="00BE4AF3" w:rsidRDefault="00A84E96" w:rsidP="007A25AE">
      <w:pPr>
        <w:tabs>
          <w:tab w:val="left" w:pos="3270"/>
        </w:tabs>
        <w:spacing w:after="0" w:line="240" w:lineRule="auto"/>
        <w:jc w:val="both"/>
        <w:rPr>
          <w:rFonts w:ascii="Times New Roman" w:hAnsi="Times New Roman" w:cs="Times New Roman"/>
          <w:b/>
          <w:sz w:val="24"/>
          <w:szCs w:val="24"/>
        </w:rPr>
      </w:pPr>
      <w:r w:rsidRPr="00BE4AF3">
        <w:rPr>
          <w:rFonts w:ascii="Times New Roman" w:hAnsi="Times New Roman" w:cs="Times New Roman"/>
          <w:sz w:val="24"/>
          <w:szCs w:val="24"/>
        </w:rPr>
        <w:t xml:space="preserve">Due to the lack of up-to-date and comprehensive population data in Osogbo, convenience sampling was used to assess the general public perception. This non-probability sampling technique involves selecting samples from a group that is conveniently accessible to the researcher. To implement this in Osogbo, researchers identify accessible locations where people naturally gather, such as markets, shopping centers, public transport hubs, parks, and workplaces. Examples include the popular Oja Oba market, Igbona, Old Garage and major bus terminals. </w:t>
      </w:r>
      <w:r w:rsidRPr="00BE4AF3">
        <w:rPr>
          <w:rFonts w:ascii="Times New Roman" w:eastAsia="Times New Roman" w:hAnsi="Times New Roman" w:cs="Times New Roman"/>
          <w:iCs/>
          <w:sz w:val="24"/>
          <w:szCs w:val="24"/>
        </w:rPr>
        <w:t>Focus group discussion was also conducted. Secondary data included historical fire incident records from 2010-2024. The analysis involved use of statistical techniques which include frequency analysis, descriptive statistics, and times series analysis.</w:t>
      </w:r>
    </w:p>
    <w:p w14:paraId="688723E9" w14:textId="77777777" w:rsidR="00A84E96" w:rsidRPr="00BE4AF3" w:rsidRDefault="00A84E96" w:rsidP="00A84E96">
      <w:pPr>
        <w:tabs>
          <w:tab w:val="left" w:pos="3270"/>
        </w:tabs>
        <w:spacing w:after="0" w:line="240" w:lineRule="auto"/>
        <w:jc w:val="both"/>
        <w:rPr>
          <w:rFonts w:ascii="Times New Roman" w:hAnsi="Times New Roman" w:cs="Times New Roman"/>
          <w:b/>
          <w:sz w:val="24"/>
          <w:szCs w:val="24"/>
        </w:rPr>
      </w:pPr>
    </w:p>
    <w:p w14:paraId="2379A093" w14:textId="77777777" w:rsidR="00A84E96" w:rsidRPr="00BE4AF3" w:rsidRDefault="00A84E96" w:rsidP="00A84E96">
      <w:pPr>
        <w:tabs>
          <w:tab w:val="left" w:pos="327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Results and Discussion</w:t>
      </w:r>
    </w:p>
    <w:p w14:paraId="0C11F5B5" w14:textId="77777777" w:rsidR="00A84E96" w:rsidRPr="00F75F3B" w:rsidRDefault="00A84E96" w:rsidP="00F75F3B">
      <w:pPr>
        <w:autoSpaceDE w:val="0"/>
        <w:autoSpaceDN w:val="0"/>
        <w:adjustRightInd w:val="0"/>
        <w:spacing w:after="0" w:line="240" w:lineRule="auto"/>
        <w:rPr>
          <w:rFonts w:ascii="Times New Roman" w:hAnsi="Times New Roman"/>
          <w:color w:val="000000"/>
          <w:sz w:val="24"/>
          <w:szCs w:val="24"/>
        </w:rPr>
      </w:pPr>
      <w:bookmarkStart w:id="17" w:name="_Hlk186458239"/>
      <w:r w:rsidRPr="00F75F3B">
        <w:rPr>
          <w:rFonts w:ascii="Times New Roman" w:hAnsi="Times New Roman"/>
          <w:b/>
          <w:bCs/>
          <w:color w:val="000000"/>
          <w:sz w:val="24"/>
          <w:szCs w:val="24"/>
        </w:rPr>
        <w:t xml:space="preserve">Osun State Fire Service Staff Computer Literacy and Interest in GIS </w:t>
      </w:r>
      <w:bookmarkEnd w:id="17"/>
    </w:p>
    <w:p w14:paraId="67C89964" w14:textId="6D111697" w:rsidR="00A84E96" w:rsidRPr="00BE4AF3" w:rsidRDefault="00A84E96" w:rsidP="007A25AE">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Table 1 shows the respondents' computer literacy, ownership of personal computer/Laptop and cell phone, as well as interest in Geographic Information Systems (GIS), etc. The table shows that a significant majority of respondents, 96.4%, are computer literate, indicating that almost all staff members are capable of using computers. Only 3.6% respondents are not computer literate. Out of the total respondents 80.4% of them own personal computer or laptop, while 19.6% do not. This suggests that a substantial portion of the staff has access to personal computing devices. 96.4% respondents who are computer literate also know how to use computer to browse the internet, which is critical for accessing online resources and communication. All (100.0%) respondents have a cell phone, indicating full mobile connectivity among the staff. All respondents also own a cell phone that can browse the internet, further highlighting their connectivity and potential to access GIS tools on mobile devices. There is unanimous interest in computer literacy training, 100.0% respondents expressing a desire to participate in such programs. This suggests a strong motivation to enhance their technological skills.  About 84.8% respondents have attended a computer literacy training program, while 15.2% have not. This shows that most of the staff have actively pursued further education in computing. 58.9% respondents are aware of GIS, while 41.1% are not. A small fraction, 10.7%, have attended GIS training programs, while a vast majority, 89.3%, have not. This highlights a gap in formal GIS training among the staff. Majority (95.5%) of the respondents said that they did not use GIS in the fire station. This suggests that GIS is not widely implemented in the daily operations.</w:t>
      </w:r>
    </w:p>
    <w:p w14:paraId="15B17297" w14:textId="77777777" w:rsidR="00A84E96" w:rsidRPr="00BE4AF3" w:rsidRDefault="00A84E96" w:rsidP="007A25AE">
      <w:pPr>
        <w:spacing w:after="0"/>
        <w:jc w:val="both"/>
        <w:rPr>
          <w:rFonts w:ascii="Times New Roman" w:hAnsi="Times New Roman" w:cs="Times New Roman"/>
          <w:sz w:val="24"/>
          <w:szCs w:val="24"/>
        </w:rPr>
      </w:pPr>
      <w:r w:rsidRPr="00BE4AF3">
        <w:rPr>
          <w:rFonts w:ascii="Times New Roman" w:hAnsi="Times New Roman" w:cs="Times New Roman"/>
          <w:sz w:val="24"/>
          <w:szCs w:val="24"/>
        </w:rPr>
        <w:t xml:space="preserve">In response to the question as to whether their organisation train them for computer literacy and/or GIS, 17.0% respondents reported that their organization provides training in computer literacy and/or GIS, while 83.0% indicated that they do not receive such training. This points to a potential area for organizational improvement in staff development. </w:t>
      </w:r>
    </w:p>
    <w:p w14:paraId="4B9063D0" w14:textId="439C806A" w:rsidR="00A84E96" w:rsidRPr="00BE4AF3" w:rsidRDefault="00A84E96" w:rsidP="00A84E96">
      <w:pPr>
        <w:spacing w:after="0"/>
        <w:jc w:val="both"/>
        <w:rPr>
          <w:rFonts w:ascii="Times New Roman" w:hAnsi="Times New Roman" w:cs="Times New Roman"/>
          <w:sz w:val="24"/>
          <w:szCs w:val="24"/>
        </w:rPr>
      </w:pPr>
      <w:r w:rsidRPr="00BE4AF3">
        <w:rPr>
          <w:rFonts w:ascii="Times New Roman" w:hAnsi="Times New Roman" w:cs="Times New Roman"/>
          <w:sz w:val="24"/>
          <w:szCs w:val="24"/>
        </w:rPr>
        <w:t xml:space="preserve">Only 13.4% of the respondents were taught GIS course during their schooling, while 86.6% were not. This highlights a lack of GIS education in formal academic settings for the majority of the staff. A large majority, 89.3%, are interested in attending GIS training programs, while only 10.7% are not. This suggests a strong willingness among the staff to acquire GIS skills if training opportunities are made available. The table reveals that the respondents are generally computer literate and have access to internet, and they have strong interest in further training in both computer literacy and GIS. Although, as revealed in the table, there is a significant gap in formal GIS training and its application within the fire stations. This indicates an opportunity for the </w:t>
      </w:r>
      <w:r w:rsidRPr="00BE4AF3">
        <w:rPr>
          <w:rFonts w:ascii="Times New Roman" w:hAnsi="Times New Roman" w:cs="Times New Roman"/>
          <w:sz w:val="24"/>
          <w:szCs w:val="24"/>
        </w:rPr>
        <w:lastRenderedPageBreak/>
        <w:t>organization to invest in GIS training programs, which could enhance the staff's operational effectiveness and leverage their existing interest in these tools.</w:t>
      </w:r>
    </w:p>
    <w:p w14:paraId="7D51EF83" w14:textId="77777777" w:rsidR="00A84E96" w:rsidRPr="00BE4AF3" w:rsidRDefault="00A84E96" w:rsidP="00A84E96">
      <w:pPr>
        <w:spacing w:after="0"/>
        <w:jc w:val="both"/>
        <w:rPr>
          <w:rFonts w:ascii="Times New Roman" w:hAnsi="Times New Roman" w:cs="Times New Roman"/>
          <w:sz w:val="24"/>
          <w:szCs w:val="24"/>
        </w:rPr>
      </w:pPr>
      <w:r w:rsidRPr="00BE4AF3">
        <w:rPr>
          <w:rFonts w:ascii="Times New Roman" w:hAnsi="Times New Roman" w:cs="Times New Roman"/>
          <w:sz w:val="24"/>
          <w:szCs w:val="24"/>
        </w:rPr>
        <w:t xml:space="preserve">The table also show that majority of respondents, (75.9%), finance their own training in computer literacy and/or GIS. Only (24.1%) reported that their organization is responsible for financing their training. This indicates that most staff members have to rely on personal resources to gain these skills, which might limit broader participation in such training programs. The most cited constraint in attending training programs is finance, with (26.8%) respondents indicating this as a barrier. Other significant constraints include lack of interest (25.0%), lack of permission from work (22.3%), and time constraints (16.1%). A smaller portion, (9.8%), cited lack of access to computers as a constraint. These findings suggest that both personal and organizational factors are barriers to further training. Only 8.9% respondents have used Remote Sensing images before, while a vast majority, (91.1%), have not. This suggests that the application of Remote Sensing technology is not widespread among the staff, possibly due to limited exposure or training. Among the various GIS/Remote Sensing software, </w:t>
      </w:r>
      <w:r w:rsidRPr="00BE4AF3">
        <w:rPr>
          <w:rFonts w:ascii="Times New Roman" w:hAnsi="Times New Roman" w:cs="Times New Roman"/>
          <w:bCs/>
          <w:sz w:val="24"/>
          <w:szCs w:val="24"/>
        </w:rPr>
        <w:t>ArcGIS</w:t>
      </w:r>
      <w:r w:rsidRPr="00BE4AF3">
        <w:rPr>
          <w:rFonts w:ascii="Times New Roman" w:hAnsi="Times New Roman" w:cs="Times New Roman"/>
          <w:sz w:val="24"/>
          <w:szCs w:val="24"/>
        </w:rPr>
        <w:t xml:space="preserve"> is the most widely known, with (36.6%) respondents being familiar with it. </w:t>
      </w:r>
      <w:r w:rsidRPr="00BE4AF3">
        <w:rPr>
          <w:rFonts w:ascii="Times New Roman" w:hAnsi="Times New Roman" w:cs="Times New Roman"/>
          <w:bCs/>
          <w:sz w:val="24"/>
          <w:szCs w:val="24"/>
        </w:rPr>
        <w:t>QGIS</w:t>
      </w:r>
      <w:r w:rsidRPr="00BE4AF3">
        <w:rPr>
          <w:rFonts w:ascii="Times New Roman" w:hAnsi="Times New Roman" w:cs="Times New Roman"/>
          <w:sz w:val="24"/>
          <w:szCs w:val="24"/>
        </w:rPr>
        <w:t xml:space="preserve"> follows closely with (32.1%), while </w:t>
      </w:r>
      <w:r w:rsidRPr="00BE4AF3">
        <w:rPr>
          <w:rFonts w:ascii="Times New Roman" w:hAnsi="Times New Roman" w:cs="Times New Roman"/>
          <w:bCs/>
          <w:sz w:val="24"/>
          <w:szCs w:val="24"/>
        </w:rPr>
        <w:t>ILWIS</w:t>
      </w:r>
      <w:r w:rsidRPr="00BE4AF3">
        <w:rPr>
          <w:rFonts w:ascii="Times New Roman" w:hAnsi="Times New Roman" w:cs="Times New Roman"/>
          <w:b/>
          <w:sz w:val="24"/>
          <w:szCs w:val="24"/>
        </w:rPr>
        <w:t xml:space="preserve"> </w:t>
      </w:r>
      <w:r w:rsidRPr="00BE4AF3">
        <w:rPr>
          <w:rFonts w:ascii="Times New Roman" w:hAnsi="Times New Roman" w:cs="Times New Roman"/>
          <w:sz w:val="24"/>
          <w:szCs w:val="24"/>
        </w:rPr>
        <w:t xml:space="preserve">is known by (25.0%) respondents. </w:t>
      </w:r>
      <w:r w:rsidRPr="00BE4AF3">
        <w:rPr>
          <w:rFonts w:ascii="Times New Roman" w:hAnsi="Times New Roman" w:cs="Times New Roman"/>
          <w:bCs/>
          <w:sz w:val="24"/>
          <w:szCs w:val="24"/>
        </w:rPr>
        <w:t>ERDAS IMAGINE</w:t>
      </w:r>
      <w:r w:rsidRPr="00BE4AF3">
        <w:rPr>
          <w:rFonts w:ascii="Times New Roman" w:hAnsi="Times New Roman" w:cs="Times New Roman"/>
          <w:b/>
          <w:sz w:val="24"/>
          <w:szCs w:val="24"/>
        </w:rPr>
        <w:t xml:space="preserve"> </w:t>
      </w:r>
      <w:r w:rsidRPr="00BE4AF3">
        <w:rPr>
          <w:rFonts w:ascii="Times New Roman" w:hAnsi="Times New Roman" w:cs="Times New Roman"/>
          <w:sz w:val="24"/>
          <w:szCs w:val="24"/>
        </w:rPr>
        <w:t>and</w:t>
      </w:r>
      <w:r w:rsidRPr="00BE4AF3">
        <w:rPr>
          <w:rFonts w:ascii="Times New Roman" w:hAnsi="Times New Roman" w:cs="Times New Roman"/>
          <w:b/>
          <w:sz w:val="24"/>
          <w:szCs w:val="24"/>
        </w:rPr>
        <w:t xml:space="preserve"> </w:t>
      </w:r>
      <w:r w:rsidRPr="00BE4AF3">
        <w:rPr>
          <w:rFonts w:ascii="Times New Roman" w:hAnsi="Times New Roman" w:cs="Times New Roman"/>
          <w:bCs/>
          <w:sz w:val="24"/>
          <w:szCs w:val="24"/>
        </w:rPr>
        <w:t>Idrisi</w:t>
      </w:r>
      <w:r w:rsidRPr="00BE4AF3">
        <w:rPr>
          <w:rFonts w:ascii="Times New Roman" w:hAnsi="Times New Roman" w:cs="Times New Roman"/>
          <w:sz w:val="24"/>
          <w:szCs w:val="24"/>
        </w:rPr>
        <w:t xml:space="preserve"> are less known, with only 1.8% and 3.6% of respondents respectively. This distribution indicates varying levels of awareness of different GIS/Remote Sensing tools, with some software being more commonly recognized than others. </w:t>
      </w:r>
    </w:p>
    <w:p w14:paraId="4B5E6355" w14:textId="77777777" w:rsidR="00A84E96" w:rsidRPr="00BE4AF3" w:rsidRDefault="00A84E96" w:rsidP="007A25A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 large majority of respondents (83.9%), indicated that their department or organization is not actively using GIS/Remote Sensing applications. This points to a significant underutilization of these technologies in the organization’s operations, which could limit the effectiveness of fire response and management strategies. Most respondents (89.3%), acknowledged the presence of GIS experts within their organization, while 10.7% did not. This suggests that while there are some expertise available, it may not be fully leveraged to implement GIS/Remote Sensing technologies across the organization.</w:t>
      </w:r>
    </w:p>
    <w:p w14:paraId="7F159FB2" w14:textId="77777777" w:rsidR="00A84E96" w:rsidRPr="00BE4AF3" w:rsidRDefault="00A84E96" w:rsidP="007A25A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data reveals that while there is some familiarity and use of GIS/Remote Sensing software among staff, the overall implementation and application of these tools in fire stations are limited. Financial constraints and lack of organizational support are significant barriers to further training and use of these technologies. Although GIS expertise exists within the organization, its potential is not fully realized, indicating a need for greater investment in training and integrating GIS/Remote Sensing tools into daily operations. Expanding access to training and resources could enhance the effectiveness of fire management and response strategies.</w:t>
      </w:r>
    </w:p>
    <w:p w14:paraId="7B9C7E79" w14:textId="77777777" w:rsidR="00A84E96" w:rsidRPr="00BE4AF3" w:rsidRDefault="00A84E96" w:rsidP="00A84E96">
      <w:pPr>
        <w:jc w:val="both"/>
        <w:rPr>
          <w:rFonts w:ascii="Times New Roman" w:hAnsi="Times New Roman" w:cs="Times New Roman"/>
          <w:sz w:val="24"/>
          <w:szCs w:val="24"/>
        </w:rPr>
      </w:pPr>
    </w:p>
    <w:p w14:paraId="7F88287E" w14:textId="77777777" w:rsidR="007A25AE" w:rsidRDefault="007A25AE" w:rsidP="00A84E96">
      <w:pPr>
        <w:autoSpaceDE w:val="0"/>
        <w:autoSpaceDN w:val="0"/>
        <w:adjustRightInd w:val="0"/>
        <w:spacing w:after="0" w:line="240" w:lineRule="auto"/>
        <w:jc w:val="center"/>
        <w:rPr>
          <w:rFonts w:ascii="Times New Roman" w:hAnsi="Times New Roman" w:cs="Times New Roman"/>
          <w:b/>
          <w:bCs/>
          <w:color w:val="000000"/>
          <w:sz w:val="24"/>
          <w:szCs w:val="24"/>
        </w:rPr>
      </w:pPr>
      <w:bookmarkStart w:id="18" w:name="_Hlk186459157"/>
    </w:p>
    <w:p w14:paraId="306B8FD8" w14:textId="77777777" w:rsidR="007A25AE" w:rsidRDefault="007A25AE" w:rsidP="00A84E96">
      <w:pPr>
        <w:autoSpaceDE w:val="0"/>
        <w:autoSpaceDN w:val="0"/>
        <w:adjustRightInd w:val="0"/>
        <w:spacing w:after="0" w:line="240" w:lineRule="auto"/>
        <w:jc w:val="center"/>
        <w:rPr>
          <w:rFonts w:ascii="Times New Roman" w:hAnsi="Times New Roman" w:cs="Times New Roman"/>
          <w:b/>
          <w:bCs/>
          <w:color w:val="000000"/>
          <w:sz w:val="24"/>
          <w:szCs w:val="24"/>
        </w:rPr>
      </w:pPr>
    </w:p>
    <w:p w14:paraId="4A221DD1" w14:textId="77777777" w:rsidR="007A25AE" w:rsidRDefault="007A25AE" w:rsidP="00A84E96">
      <w:pPr>
        <w:autoSpaceDE w:val="0"/>
        <w:autoSpaceDN w:val="0"/>
        <w:adjustRightInd w:val="0"/>
        <w:spacing w:after="0" w:line="240" w:lineRule="auto"/>
        <w:jc w:val="center"/>
        <w:rPr>
          <w:rFonts w:ascii="Times New Roman" w:hAnsi="Times New Roman" w:cs="Times New Roman"/>
          <w:b/>
          <w:bCs/>
          <w:color w:val="000000"/>
          <w:sz w:val="24"/>
          <w:szCs w:val="24"/>
        </w:rPr>
      </w:pPr>
    </w:p>
    <w:p w14:paraId="1102E6C8" w14:textId="77777777" w:rsidR="007A25AE" w:rsidRDefault="007A25AE" w:rsidP="00A84E96">
      <w:pPr>
        <w:autoSpaceDE w:val="0"/>
        <w:autoSpaceDN w:val="0"/>
        <w:adjustRightInd w:val="0"/>
        <w:spacing w:after="0" w:line="240" w:lineRule="auto"/>
        <w:jc w:val="center"/>
        <w:rPr>
          <w:rFonts w:ascii="Times New Roman" w:hAnsi="Times New Roman" w:cs="Times New Roman"/>
          <w:b/>
          <w:bCs/>
          <w:color w:val="000000"/>
          <w:sz w:val="24"/>
          <w:szCs w:val="24"/>
        </w:rPr>
      </w:pPr>
    </w:p>
    <w:p w14:paraId="69CA0987" w14:textId="77777777" w:rsidR="007A25AE" w:rsidRDefault="007A25AE" w:rsidP="00A84E96">
      <w:pPr>
        <w:autoSpaceDE w:val="0"/>
        <w:autoSpaceDN w:val="0"/>
        <w:adjustRightInd w:val="0"/>
        <w:spacing w:after="0" w:line="240" w:lineRule="auto"/>
        <w:jc w:val="center"/>
        <w:rPr>
          <w:rFonts w:ascii="Times New Roman" w:hAnsi="Times New Roman" w:cs="Times New Roman"/>
          <w:b/>
          <w:bCs/>
          <w:color w:val="000000"/>
          <w:sz w:val="24"/>
          <w:szCs w:val="24"/>
        </w:rPr>
      </w:pPr>
    </w:p>
    <w:p w14:paraId="520BBB42" w14:textId="77777777" w:rsidR="007A25AE" w:rsidRDefault="007A25AE" w:rsidP="00A84E96">
      <w:pPr>
        <w:autoSpaceDE w:val="0"/>
        <w:autoSpaceDN w:val="0"/>
        <w:adjustRightInd w:val="0"/>
        <w:spacing w:after="0" w:line="240" w:lineRule="auto"/>
        <w:jc w:val="center"/>
        <w:rPr>
          <w:rFonts w:ascii="Times New Roman" w:hAnsi="Times New Roman" w:cs="Times New Roman"/>
          <w:b/>
          <w:bCs/>
          <w:color w:val="000000"/>
          <w:sz w:val="24"/>
          <w:szCs w:val="24"/>
        </w:rPr>
      </w:pPr>
    </w:p>
    <w:p w14:paraId="6EAA1E1A" w14:textId="77777777" w:rsidR="007A25AE" w:rsidRDefault="007A25AE" w:rsidP="00A84E96">
      <w:pPr>
        <w:autoSpaceDE w:val="0"/>
        <w:autoSpaceDN w:val="0"/>
        <w:adjustRightInd w:val="0"/>
        <w:spacing w:after="0" w:line="240" w:lineRule="auto"/>
        <w:jc w:val="center"/>
        <w:rPr>
          <w:rFonts w:ascii="Times New Roman" w:hAnsi="Times New Roman" w:cs="Times New Roman"/>
          <w:b/>
          <w:bCs/>
          <w:color w:val="000000"/>
          <w:sz w:val="24"/>
          <w:szCs w:val="24"/>
        </w:rPr>
      </w:pPr>
    </w:p>
    <w:p w14:paraId="4B330833" w14:textId="77777777" w:rsidR="007A25AE" w:rsidRDefault="007A25AE" w:rsidP="00A84E96">
      <w:pPr>
        <w:autoSpaceDE w:val="0"/>
        <w:autoSpaceDN w:val="0"/>
        <w:adjustRightInd w:val="0"/>
        <w:spacing w:after="0" w:line="240" w:lineRule="auto"/>
        <w:jc w:val="center"/>
        <w:rPr>
          <w:rFonts w:ascii="Times New Roman" w:hAnsi="Times New Roman" w:cs="Times New Roman"/>
          <w:b/>
          <w:bCs/>
          <w:color w:val="000000"/>
          <w:sz w:val="24"/>
          <w:szCs w:val="24"/>
        </w:rPr>
      </w:pPr>
    </w:p>
    <w:p w14:paraId="2B681F43" w14:textId="77777777" w:rsidR="007A25AE" w:rsidRDefault="007A25AE" w:rsidP="00A84E96">
      <w:pPr>
        <w:autoSpaceDE w:val="0"/>
        <w:autoSpaceDN w:val="0"/>
        <w:adjustRightInd w:val="0"/>
        <w:spacing w:after="0" w:line="240" w:lineRule="auto"/>
        <w:jc w:val="center"/>
        <w:rPr>
          <w:rFonts w:ascii="Times New Roman" w:hAnsi="Times New Roman" w:cs="Times New Roman"/>
          <w:b/>
          <w:bCs/>
          <w:color w:val="000000"/>
          <w:sz w:val="24"/>
          <w:szCs w:val="24"/>
        </w:rPr>
      </w:pPr>
    </w:p>
    <w:p w14:paraId="6BE8AC81" w14:textId="77777777" w:rsidR="007A25AE" w:rsidRDefault="007A25AE" w:rsidP="00A84E96">
      <w:pPr>
        <w:autoSpaceDE w:val="0"/>
        <w:autoSpaceDN w:val="0"/>
        <w:adjustRightInd w:val="0"/>
        <w:spacing w:after="0" w:line="240" w:lineRule="auto"/>
        <w:jc w:val="center"/>
        <w:rPr>
          <w:rFonts w:ascii="Times New Roman" w:hAnsi="Times New Roman" w:cs="Times New Roman"/>
          <w:b/>
          <w:bCs/>
          <w:color w:val="000000"/>
          <w:sz w:val="24"/>
          <w:szCs w:val="24"/>
        </w:rPr>
      </w:pPr>
    </w:p>
    <w:p w14:paraId="2E89B0AD" w14:textId="538744C2" w:rsidR="00A84E96" w:rsidRPr="00BE4AF3" w:rsidRDefault="00A84E96" w:rsidP="007A25AE">
      <w:pPr>
        <w:autoSpaceDE w:val="0"/>
        <w:autoSpaceDN w:val="0"/>
        <w:adjustRightInd w:val="0"/>
        <w:spacing w:after="0" w:line="240" w:lineRule="auto"/>
        <w:jc w:val="center"/>
        <w:rPr>
          <w:rFonts w:ascii="Times New Roman" w:hAnsi="Times New Roman" w:cs="Times New Roman"/>
          <w:sz w:val="24"/>
          <w:szCs w:val="24"/>
        </w:rPr>
      </w:pPr>
      <w:r w:rsidRPr="00BE4AF3">
        <w:rPr>
          <w:rFonts w:ascii="Times New Roman" w:hAnsi="Times New Roman" w:cs="Times New Roman"/>
          <w:b/>
          <w:bCs/>
          <w:color w:val="000000"/>
          <w:sz w:val="24"/>
          <w:szCs w:val="24"/>
        </w:rPr>
        <w:lastRenderedPageBreak/>
        <w:t>Table 1:</w:t>
      </w:r>
      <w:r w:rsidRPr="00BE4AF3">
        <w:rPr>
          <w:rFonts w:ascii="Times New Roman" w:hAnsi="Times New Roman" w:cs="Times New Roman"/>
          <w:color w:val="000000"/>
          <w:sz w:val="24"/>
          <w:szCs w:val="24"/>
        </w:rPr>
        <w:t xml:space="preserve"> Computer Literacy and Interest in GIS of Osun State Fire Service Staff</w:t>
      </w:r>
      <w:bookmarkEnd w:id="18"/>
    </w:p>
    <w:tbl>
      <w:tblPr>
        <w:tblStyle w:val="TableGrid"/>
        <w:tblW w:w="0" w:type="auto"/>
        <w:jc w:val="center"/>
        <w:tblLook w:val="04A0" w:firstRow="1" w:lastRow="0" w:firstColumn="1" w:lastColumn="0" w:noHBand="0" w:noVBand="1"/>
      </w:tblPr>
      <w:tblGrid>
        <w:gridCol w:w="1118"/>
        <w:gridCol w:w="2562"/>
        <w:gridCol w:w="1854"/>
        <w:gridCol w:w="1738"/>
        <w:gridCol w:w="1744"/>
      </w:tblGrid>
      <w:tr w:rsidR="00A84E96" w:rsidRPr="007A25AE" w14:paraId="1341E3D3" w14:textId="77777777" w:rsidTr="007A25AE">
        <w:trPr>
          <w:jc w:val="center"/>
        </w:trPr>
        <w:tc>
          <w:tcPr>
            <w:tcW w:w="1118" w:type="dxa"/>
            <w:tcBorders>
              <w:left w:val="nil"/>
              <w:bottom w:val="single" w:sz="4" w:space="0" w:color="auto"/>
              <w:right w:val="nil"/>
            </w:tcBorders>
          </w:tcPr>
          <w:p w14:paraId="734BA620" w14:textId="77777777" w:rsidR="00A84E96" w:rsidRPr="007A25AE" w:rsidRDefault="00A84E96" w:rsidP="007A25AE">
            <w:pPr>
              <w:spacing w:after="0"/>
              <w:contextualSpacing/>
              <w:jc w:val="center"/>
              <w:rPr>
                <w:rFonts w:ascii="Times New Roman" w:hAnsi="Times New Roman" w:cs="Times New Roman"/>
                <w:sz w:val="20"/>
                <w:szCs w:val="20"/>
              </w:rPr>
            </w:pPr>
            <w:r w:rsidRPr="007A25AE">
              <w:rPr>
                <w:rFonts w:ascii="Times New Roman" w:hAnsi="Times New Roman" w:cs="Times New Roman"/>
                <w:sz w:val="20"/>
                <w:szCs w:val="20"/>
              </w:rPr>
              <w:t>S/N</w:t>
            </w:r>
          </w:p>
        </w:tc>
        <w:tc>
          <w:tcPr>
            <w:tcW w:w="2562" w:type="dxa"/>
            <w:tcBorders>
              <w:left w:val="nil"/>
              <w:bottom w:val="single" w:sz="4" w:space="0" w:color="auto"/>
              <w:right w:val="nil"/>
            </w:tcBorders>
          </w:tcPr>
          <w:p w14:paraId="38310C31" w14:textId="77777777" w:rsidR="00A84E96" w:rsidRPr="007A25AE" w:rsidRDefault="00A84E96" w:rsidP="00E224AA">
            <w:pPr>
              <w:spacing w:after="0"/>
              <w:contextualSpacing/>
              <w:rPr>
                <w:rFonts w:ascii="Times New Roman" w:hAnsi="Times New Roman" w:cs="Times New Roman"/>
                <w:sz w:val="20"/>
                <w:szCs w:val="20"/>
              </w:rPr>
            </w:pPr>
            <w:r w:rsidRPr="007A25AE">
              <w:rPr>
                <w:rFonts w:ascii="Times New Roman" w:hAnsi="Times New Roman" w:cs="Times New Roman"/>
                <w:sz w:val="20"/>
                <w:szCs w:val="20"/>
              </w:rPr>
              <w:t>Variables</w:t>
            </w:r>
          </w:p>
        </w:tc>
        <w:tc>
          <w:tcPr>
            <w:tcW w:w="1854" w:type="dxa"/>
            <w:tcBorders>
              <w:left w:val="nil"/>
              <w:bottom w:val="single" w:sz="4" w:space="0" w:color="auto"/>
              <w:right w:val="nil"/>
            </w:tcBorders>
          </w:tcPr>
          <w:p w14:paraId="4CAD834D" w14:textId="77777777" w:rsidR="00A84E96" w:rsidRPr="007A25AE" w:rsidRDefault="00A84E96" w:rsidP="007A25AE">
            <w:pPr>
              <w:spacing w:after="0"/>
              <w:contextualSpacing/>
              <w:jc w:val="center"/>
              <w:rPr>
                <w:rFonts w:ascii="Times New Roman" w:hAnsi="Times New Roman" w:cs="Times New Roman"/>
                <w:sz w:val="20"/>
                <w:szCs w:val="20"/>
              </w:rPr>
            </w:pPr>
            <w:r w:rsidRPr="007A25AE">
              <w:rPr>
                <w:rFonts w:ascii="Times New Roman" w:hAnsi="Times New Roman" w:cs="Times New Roman"/>
                <w:sz w:val="20"/>
                <w:szCs w:val="20"/>
              </w:rPr>
              <w:t>Options</w:t>
            </w:r>
          </w:p>
        </w:tc>
        <w:tc>
          <w:tcPr>
            <w:tcW w:w="1738" w:type="dxa"/>
            <w:tcBorders>
              <w:left w:val="nil"/>
              <w:bottom w:val="single" w:sz="4" w:space="0" w:color="auto"/>
              <w:right w:val="nil"/>
            </w:tcBorders>
          </w:tcPr>
          <w:p w14:paraId="3792F019" w14:textId="77777777" w:rsidR="00A84E96" w:rsidRPr="007A25AE" w:rsidRDefault="00A84E96" w:rsidP="007A25AE">
            <w:pPr>
              <w:spacing w:after="0"/>
              <w:contextualSpacing/>
              <w:jc w:val="center"/>
              <w:rPr>
                <w:rFonts w:ascii="Times New Roman" w:hAnsi="Times New Roman" w:cs="Times New Roman"/>
                <w:sz w:val="20"/>
                <w:szCs w:val="20"/>
              </w:rPr>
            </w:pPr>
            <w:r w:rsidRPr="007A25AE">
              <w:rPr>
                <w:rFonts w:ascii="Times New Roman" w:hAnsi="Times New Roman" w:cs="Times New Roman"/>
                <w:sz w:val="20"/>
                <w:szCs w:val="20"/>
              </w:rPr>
              <w:t>Frequency</w:t>
            </w:r>
          </w:p>
        </w:tc>
        <w:tc>
          <w:tcPr>
            <w:tcW w:w="1744" w:type="dxa"/>
            <w:tcBorders>
              <w:left w:val="nil"/>
              <w:bottom w:val="single" w:sz="4" w:space="0" w:color="auto"/>
              <w:right w:val="nil"/>
            </w:tcBorders>
          </w:tcPr>
          <w:p w14:paraId="1B11C1BB" w14:textId="77777777" w:rsidR="00A84E96" w:rsidRPr="007A25AE" w:rsidRDefault="00A84E96" w:rsidP="007A25AE">
            <w:pPr>
              <w:spacing w:after="0"/>
              <w:contextualSpacing/>
              <w:jc w:val="center"/>
              <w:rPr>
                <w:rFonts w:ascii="Times New Roman" w:hAnsi="Times New Roman" w:cs="Times New Roman"/>
                <w:sz w:val="20"/>
                <w:szCs w:val="20"/>
              </w:rPr>
            </w:pPr>
            <w:r w:rsidRPr="007A25AE">
              <w:rPr>
                <w:rFonts w:ascii="Times New Roman" w:hAnsi="Times New Roman" w:cs="Times New Roman"/>
                <w:sz w:val="20"/>
                <w:szCs w:val="20"/>
              </w:rPr>
              <w:t>Percentage</w:t>
            </w:r>
          </w:p>
        </w:tc>
      </w:tr>
      <w:tr w:rsidR="00A84E96" w:rsidRPr="007A25AE" w14:paraId="2B85A426" w14:textId="77777777" w:rsidTr="007A25AE">
        <w:trPr>
          <w:trHeight w:val="228"/>
          <w:jc w:val="center"/>
        </w:trPr>
        <w:tc>
          <w:tcPr>
            <w:tcW w:w="1118" w:type="dxa"/>
            <w:vMerge w:val="restart"/>
            <w:tcBorders>
              <w:left w:val="nil"/>
              <w:bottom w:val="nil"/>
              <w:right w:val="nil"/>
            </w:tcBorders>
          </w:tcPr>
          <w:p w14:paraId="61CDD4AA" w14:textId="77777777" w:rsidR="00A84E96" w:rsidRPr="007A25AE" w:rsidRDefault="00A84E96" w:rsidP="00A84E96">
            <w:pPr>
              <w:contextualSpacing/>
              <w:jc w:val="center"/>
              <w:rPr>
                <w:rFonts w:ascii="Times New Roman" w:hAnsi="Times New Roman" w:cs="Times New Roman"/>
                <w:sz w:val="20"/>
                <w:szCs w:val="20"/>
              </w:rPr>
            </w:pPr>
            <w:r w:rsidRPr="007A25AE">
              <w:rPr>
                <w:rFonts w:ascii="Times New Roman" w:hAnsi="Times New Roman" w:cs="Times New Roman"/>
                <w:sz w:val="20"/>
                <w:szCs w:val="20"/>
              </w:rPr>
              <w:t>1</w:t>
            </w:r>
          </w:p>
        </w:tc>
        <w:tc>
          <w:tcPr>
            <w:tcW w:w="2562" w:type="dxa"/>
            <w:vMerge w:val="restart"/>
            <w:tcBorders>
              <w:left w:val="nil"/>
              <w:bottom w:val="nil"/>
              <w:right w:val="nil"/>
            </w:tcBorders>
          </w:tcPr>
          <w:p w14:paraId="306474BF" w14:textId="77777777" w:rsidR="00A84E96" w:rsidRPr="007A25AE" w:rsidRDefault="00A84E96" w:rsidP="00E224AA">
            <w:pPr>
              <w:contextualSpacing/>
              <w:rPr>
                <w:rFonts w:ascii="Times New Roman" w:hAnsi="Times New Roman" w:cs="Times New Roman"/>
                <w:sz w:val="20"/>
                <w:szCs w:val="20"/>
              </w:rPr>
            </w:pPr>
            <w:r w:rsidRPr="007A25AE">
              <w:rPr>
                <w:rFonts w:ascii="Times New Roman" w:hAnsi="Times New Roman" w:cs="Times New Roman"/>
                <w:sz w:val="20"/>
                <w:szCs w:val="20"/>
              </w:rPr>
              <w:t>Are you computer literate?</w:t>
            </w:r>
          </w:p>
        </w:tc>
        <w:tc>
          <w:tcPr>
            <w:tcW w:w="1854" w:type="dxa"/>
            <w:tcBorders>
              <w:left w:val="nil"/>
              <w:bottom w:val="nil"/>
              <w:right w:val="nil"/>
            </w:tcBorders>
            <w:vAlign w:val="center"/>
          </w:tcPr>
          <w:p w14:paraId="18DF87F3"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Yes</w:t>
            </w:r>
          </w:p>
        </w:tc>
        <w:tc>
          <w:tcPr>
            <w:tcW w:w="1738" w:type="dxa"/>
            <w:tcBorders>
              <w:left w:val="nil"/>
              <w:bottom w:val="nil"/>
              <w:right w:val="nil"/>
            </w:tcBorders>
            <w:vAlign w:val="center"/>
          </w:tcPr>
          <w:p w14:paraId="526F3078"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108</w:t>
            </w:r>
          </w:p>
        </w:tc>
        <w:tc>
          <w:tcPr>
            <w:tcW w:w="1744" w:type="dxa"/>
            <w:tcBorders>
              <w:left w:val="nil"/>
              <w:bottom w:val="nil"/>
              <w:right w:val="nil"/>
            </w:tcBorders>
            <w:vAlign w:val="center"/>
          </w:tcPr>
          <w:p w14:paraId="0EA35878"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96.4</w:t>
            </w:r>
          </w:p>
        </w:tc>
      </w:tr>
      <w:tr w:rsidR="00A84E96" w:rsidRPr="007A25AE" w14:paraId="67CFB2FA" w14:textId="77777777" w:rsidTr="007A25AE">
        <w:trPr>
          <w:trHeight w:val="334"/>
          <w:jc w:val="center"/>
        </w:trPr>
        <w:tc>
          <w:tcPr>
            <w:tcW w:w="1118" w:type="dxa"/>
            <w:vMerge/>
            <w:tcBorders>
              <w:top w:val="nil"/>
              <w:left w:val="nil"/>
              <w:bottom w:val="nil"/>
              <w:right w:val="nil"/>
            </w:tcBorders>
          </w:tcPr>
          <w:p w14:paraId="40F71441"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61D0E245"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nil"/>
              <w:right w:val="nil"/>
            </w:tcBorders>
            <w:vAlign w:val="center"/>
          </w:tcPr>
          <w:p w14:paraId="2585570C"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No</w:t>
            </w:r>
          </w:p>
        </w:tc>
        <w:tc>
          <w:tcPr>
            <w:tcW w:w="1738" w:type="dxa"/>
            <w:tcBorders>
              <w:top w:val="nil"/>
              <w:left w:val="nil"/>
              <w:bottom w:val="nil"/>
              <w:right w:val="nil"/>
            </w:tcBorders>
            <w:vAlign w:val="center"/>
          </w:tcPr>
          <w:p w14:paraId="07692302"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4</w:t>
            </w:r>
          </w:p>
        </w:tc>
        <w:tc>
          <w:tcPr>
            <w:tcW w:w="1744" w:type="dxa"/>
            <w:tcBorders>
              <w:top w:val="nil"/>
              <w:left w:val="nil"/>
              <w:bottom w:val="nil"/>
              <w:right w:val="nil"/>
            </w:tcBorders>
            <w:vAlign w:val="center"/>
          </w:tcPr>
          <w:p w14:paraId="6770A751"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3.6</w:t>
            </w:r>
          </w:p>
        </w:tc>
      </w:tr>
      <w:tr w:rsidR="00A84E96" w:rsidRPr="007A25AE" w14:paraId="63BD0CF9" w14:textId="77777777" w:rsidTr="007A25AE">
        <w:trPr>
          <w:trHeight w:val="258"/>
          <w:jc w:val="center"/>
        </w:trPr>
        <w:tc>
          <w:tcPr>
            <w:tcW w:w="1118" w:type="dxa"/>
            <w:vMerge/>
            <w:tcBorders>
              <w:top w:val="nil"/>
              <w:left w:val="nil"/>
              <w:bottom w:val="single" w:sz="4" w:space="0" w:color="auto"/>
              <w:right w:val="nil"/>
            </w:tcBorders>
          </w:tcPr>
          <w:p w14:paraId="261217E2"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1F2B04A2"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single" w:sz="4" w:space="0" w:color="auto"/>
              <w:right w:val="nil"/>
            </w:tcBorders>
            <w:vAlign w:val="center"/>
          </w:tcPr>
          <w:p w14:paraId="505D71EC"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Total</w:t>
            </w:r>
          </w:p>
        </w:tc>
        <w:tc>
          <w:tcPr>
            <w:tcW w:w="1738" w:type="dxa"/>
            <w:tcBorders>
              <w:top w:val="nil"/>
              <w:left w:val="nil"/>
              <w:bottom w:val="single" w:sz="4" w:space="0" w:color="auto"/>
              <w:right w:val="nil"/>
            </w:tcBorders>
            <w:vAlign w:val="center"/>
          </w:tcPr>
          <w:p w14:paraId="2BE857FB"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112</w:t>
            </w:r>
          </w:p>
        </w:tc>
        <w:tc>
          <w:tcPr>
            <w:tcW w:w="1744" w:type="dxa"/>
            <w:tcBorders>
              <w:top w:val="nil"/>
              <w:left w:val="nil"/>
              <w:bottom w:val="single" w:sz="4" w:space="0" w:color="auto"/>
              <w:right w:val="nil"/>
            </w:tcBorders>
            <w:vAlign w:val="center"/>
          </w:tcPr>
          <w:p w14:paraId="0B840B95"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100.0</w:t>
            </w:r>
          </w:p>
        </w:tc>
      </w:tr>
      <w:tr w:rsidR="00A84E96" w:rsidRPr="007A25AE" w14:paraId="4F116A96" w14:textId="77777777" w:rsidTr="007A25AE">
        <w:trPr>
          <w:trHeight w:val="213"/>
          <w:jc w:val="center"/>
        </w:trPr>
        <w:tc>
          <w:tcPr>
            <w:tcW w:w="1118" w:type="dxa"/>
            <w:vMerge w:val="restart"/>
            <w:tcBorders>
              <w:left w:val="nil"/>
              <w:bottom w:val="nil"/>
              <w:right w:val="nil"/>
            </w:tcBorders>
          </w:tcPr>
          <w:p w14:paraId="66A78EFC" w14:textId="77777777" w:rsidR="00A84E96" w:rsidRPr="007A25AE" w:rsidRDefault="00A84E96" w:rsidP="00A84E96">
            <w:pPr>
              <w:contextualSpacing/>
              <w:jc w:val="center"/>
              <w:rPr>
                <w:rFonts w:ascii="Times New Roman" w:hAnsi="Times New Roman" w:cs="Times New Roman"/>
                <w:sz w:val="20"/>
                <w:szCs w:val="20"/>
              </w:rPr>
            </w:pPr>
            <w:r w:rsidRPr="007A25AE">
              <w:rPr>
                <w:rFonts w:ascii="Times New Roman" w:hAnsi="Times New Roman" w:cs="Times New Roman"/>
                <w:sz w:val="20"/>
                <w:szCs w:val="20"/>
              </w:rPr>
              <w:t>2</w:t>
            </w:r>
          </w:p>
        </w:tc>
        <w:tc>
          <w:tcPr>
            <w:tcW w:w="2562" w:type="dxa"/>
            <w:vMerge w:val="restart"/>
            <w:tcBorders>
              <w:left w:val="nil"/>
              <w:bottom w:val="nil"/>
              <w:right w:val="nil"/>
            </w:tcBorders>
          </w:tcPr>
          <w:p w14:paraId="45255448" w14:textId="77777777" w:rsidR="00A84E96" w:rsidRPr="007A25AE" w:rsidRDefault="00A84E96" w:rsidP="00E224AA">
            <w:pPr>
              <w:contextualSpacing/>
              <w:rPr>
                <w:rFonts w:ascii="Times New Roman" w:hAnsi="Times New Roman" w:cs="Times New Roman"/>
                <w:sz w:val="20"/>
                <w:szCs w:val="20"/>
              </w:rPr>
            </w:pPr>
            <w:r w:rsidRPr="007A25AE">
              <w:rPr>
                <w:rFonts w:ascii="Times New Roman" w:hAnsi="Times New Roman" w:cs="Times New Roman"/>
                <w:sz w:val="20"/>
                <w:szCs w:val="20"/>
              </w:rPr>
              <w:t>Do you own personal</w:t>
            </w:r>
            <w:r w:rsidRPr="007A25AE">
              <w:rPr>
                <w:rFonts w:ascii="Times New Roman" w:hAnsi="Times New Roman" w:cs="Times New Roman"/>
                <w:color w:val="000000"/>
                <w:sz w:val="20"/>
                <w:szCs w:val="20"/>
              </w:rPr>
              <w:t xml:space="preserve"> </w:t>
            </w:r>
            <w:r w:rsidRPr="007A25AE">
              <w:rPr>
                <w:rFonts w:ascii="Times New Roman" w:hAnsi="Times New Roman" w:cs="Times New Roman"/>
                <w:sz w:val="20"/>
                <w:szCs w:val="20"/>
              </w:rPr>
              <w:t>computer/laptop?</w:t>
            </w:r>
          </w:p>
        </w:tc>
        <w:tc>
          <w:tcPr>
            <w:tcW w:w="1854" w:type="dxa"/>
            <w:tcBorders>
              <w:left w:val="nil"/>
              <w:bottom w:val="nil"/>
              <w:right w:val="nil"/>
            </w:tcBorders>
            <w:vAlign w:val="center"/>
          </w:tcPr>
          <w:p w14:paraId="441F15DD"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Yes</w:t>
            </w:r>
          </w:p>
        </w:tc>
        <w:tc>
          <w:tcPr>
            <w:tcW w:w="1738" w:type="dxa"/>
            <w:tcBorders>
              <w:left w:val="nil"/>
              <w:bottom w:val="nil"/>
              <w:right w:val="nil"/>
            </w:tcBorders>
            <w:vAlign w:val="center"/>
          </w:tcPr>
          <w:p w14:paraId="7796929A"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90</w:t>
            </w:r>
          </w:p>
        </w:tc>
        <w:tc>
          <w:tcPr>
            <w:tcW w:w="1744" w:type="dxa"/>
            <w:tcBorders>
              <w:left w:val="nil"/>
              <w:bottom w:val="nil"/>
              <w:right w:val="nil"/>
            </w:tcBorders>
            <w:vAlign w:val="center"/>
          </w:tcPr>
          <w:p w14:paraId="66831D8C"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80.4</w:t>
            </w:r>
          </w:p>
        </w:tc>
      </w:tr>
      <w:tr w:rsidR="00A84E96" w:rsidRPr="007A25AE" w14:paraId="0496B972" w14:textId="77777777" w:rsidTr="007A25AE">
        <w:trPr>
          <w:trHeight w:val="303"/>
          <w:jc w:val="center"/>
        </w:trPr>
        <w:tc>
          <w:tcPr>
            <w:tcW w:w="1118" w:type="dxa"/>
            <w:vMerge/>
            <w:tcBorders>
              <w:top w:val="nil"/>
              <w:left w:val="nil"/>
              <w:bottom w:val="nil"/>
              <w:right w:val="nil"/>
            </w:tcBorders>
          </w:tcPr>
          <w:p w14:paraId="6A32D774"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3B806A9D"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nil"/>
              <w:right w:val="nil"/>
            </w:tcBorders>
            <w:vAlign w:val="center"/>
          </w:tcPr>
          <w:p w14:paraId="4886CAF9"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No</w:t>
            </w:r>
          </w:p>
        </w:tc>
        <w:tc>
          <w:tcPr>
            <w:tcW w:w="1738" w:type="dxa"/>
            <w:tcBorders>
              <w:top w:val="nil"/>
              <w:left w:val="nil"/>
              <w:bottom w:val="nil"/>
              <w:right w:val="nil"/>
            </w:tcBorders>
            <w:vAlign w:val="center"/>
          </w:tcPr>
          <w:p w14:paraId="7625864C"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22</w:t>
            </w:r>
          </w:p>
        </w:tc>
        <w:tc>
          <w:tcPr>
            <w:tcW w:w="1744" w:type="dxa"/>
            <w:tcBorders>
              <w:top w:val="nil"/>
              <w:left w:val="nil"/>
              <w:bottom w:val="nil"/>
              <w:right w:val="nil"/>
            </w:tcBorders>
            <w:vAlign w:val="center"/>
          </w:tcPr>
          <w:p w14:paraId="189E1BA1"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19.6</w:t>
            </w:r>
          </w:p>
        </w:tc>
      </w:tr>
      <w:tr w:rsidR="00A84E96" w:rsidRPr="007A25AE" w14:paraId="3D95D0B4" w14:textId="77777777" w:rsidTr="007A25AE">
        <w:trPr>
          <w:trHeight w:val="303"/>
          <w:jc w:val="center"/>
        </w:trPr>
        <w:tc>
          <w:tcPr>
            <w:tcW w:w="1118" w:type="dxa"/>
            <w:vMerge/>
            <w:tcBorders>
              <w:top w:val="nil"/>
              <w:left w:val="nil"/>
              <w:bottom w:val="single" w:sz="4" w:space="0" w:color="auto"/>
              <w:right w:val="nil"/>
            </w:tcBorders>
          </w:tcPr>
          <w:p w14:paraId="2555089B"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4A37F302"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single" w:sz="4" w:space="0" w:color="auto"/>
              <w:right w:val="nil"/>
            </w:tcBorders>
            <w:vAlign w:val="center"/>
          </w:tcPr>
          <w:p w14:paraId="5F725F41"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Total</w:t>
            </w:r>
          </w:p>
        </w:tc>
        <w:tc>
          <w:tcPr>
            <w:tcW w:w="1738" w:type="dxa"/>
            <w:tcBorders>
              <w:top w:val="nil"/>
              <w:left w:val="nil"/>
              <w:bottom w:val="single" w:sz="4" w:space="0" w:color="auto"/>
              <w:right w:val="nil"/>
            </w:tcBorders>
            <w:vAlign w:val="center"/>
          </w:tcPr>
          <w:p w14:paraId="41BD1E0D"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112</w:t>
            </w:r>
          </w:p>
        </w:tc>
        <w:tc>
          <w:tcPr>
            <w:tcW w:w="1744" w:type="dxa"/>
            <w:tcBorders>
              <w:top w:val="nil"/>
              <w:left w:val="nil"/>
              <w:bottom w:val="single" w:sz="4" w:space="0" w:color="auto"/>
              <w:right w:val="nil"/>
            </w:tcBorders>
            <w:vAlign w:val="center"/>
          </w:tcPr>
          <w:p w14:paraId="0F369F9C"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100.0</w:t>
            </w:r>
          </w:p>
        </w:tc>
      </w:tr>
      <w:tr w:rsidR="00A84E96" w:rsidRPr="007A25AE" w14:paraId="24095DAD" w14:textId="77777777" w:rsidTr="007A25AE">
        <w:trPr>
          <w:trHeight w:val="296"/>
          <w:jc w:val="center"/>
        </w:trPr>
        <w:tc>
          <w:tcPr>
            <w:tcW w:w="1118" w:type="dxa"/>
            <w:vMerge w:val="restart"/>
            <w:tcBorders>
              <w:left w:val="nil"/>
              <w:bottom w:val="nil"/>
              <w:right w:val="nil"/>
            </w:tcBorders>
          </w:tcPr>
          <w:p w14:paraId="37746999" w14:textId="77777777" w:rsidR="00A84E96" w:rsidRPr="007A25AE" w:rsidRDefault="00A84E96" w:rsidP="00A84E96">
            <w:pPr>
              <w:contextualSpacing/>
              <w:jc w:val="center"/>
              <w:rPr>
                <w:rFonts w:ascii="Times New Roman" w:hAnsi="Times New Roman" w:cs="Times New Roman"/>
                <w:sz w:val="20"/>
                <w:szCs w:val="20"/>
              </w:rPr>
            </w:pPr>
            <w:r w:rsidRPr="007A25AE">
              <w:rPr>
                <w:rFonts w:ascii="Times New Roman" w:hAnsi="Times New Roman" w:cs="Times New Roman"/>
                <w:sz w:val="20"/>
                <w:szCs w:val="20"/>
              </w:rPr>
              <w:t>3</w:t>
            </w:r>
          </w:p>
        </w:tc>
        <w:tc>
          <w:tcPr>
            <w:tcW w:w="2562" w:type="dxa"/>
            <w:vMerge w:val="restart"/>
            <w:tcBorders>
              <w:left w:val="nil"/>
              <w:bottom w:val="nil"/>
              <w:right w:val="nil"/>
            </w:tcBorders>
          </w:tcPr>
          <w:p w14:paraId="0803F51E" w14:textId="77777777" w:rsidR="00A84E96" w:rsidRPr="007A25AE" w:rsidRDefault="00A84E96" w:rsidP="00E224AA">
            <w:pPr>
              <w:contextualSpacing/>
              <w:rPr>
                <w:rFonts w:ascii="Times New Roman" w:hAnsi="Times New Roman" w:cs="Times New Roman"/>
                <w:sz w:val="20"/>
                <w:szCs w:val="20"/>
              </w:rPr>
            </w:pPr>
            <w:r w:rsidRPr="007A25AE">
              <w:rPr>
                <w:rFonts w:ascii="Times New Roman" w:hAnsi="Times New Roman" w:cs="Times New Roman"/>
                <w:sz w:val="20"/>
                <w:szCs w:val="20"/>
              </w:rPr>
              <w:t>Do you know how to use computer to browse the internet?</w:t>
            </w:r>
          </w:p>
        </w:tc>
        <w:tc>
          <w:tcPr>
            <w:tcW w:w="1854" w:type="dxa"/>
            <w:tcBorders>
              <w:left w:val="nil"/>
              <w:bottom w:val="nil"/>
              <w:right w:val="nil"/>
            </w:tcBorders>
            <w:vAlign w:val="center"/>
          </w:tcPr>
          <w:p w14:paraId="1ADF2DE8"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Yes</w:t>
            </w:r>
          </w:p>
        </w:tc>
        <w:tc>
          <w:tcPr>
            <w:tcW w:w="1738" w:type="dxa"/>
            <w:tcBorders>
              <w:left w:val="nil"/>
              <w:bottom w:val="nil"/>
              <w:right w:val="nil"/>
            </w:tcBorders>
            <w:vAlign w:val="center"/>
          </w:tcPr>
          <w:p w14:paraId="7EF0E4FC"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108</w:t>
            </w:r>
          </w:p>
        </w:tc>
        <w:tc>
          <w:tcPr>
            <w:tcW w:w="1744" w:type="dxa"/>
            <w:tcBorders>
              <w:left w:val="nil"/>
              <w:bottom w:val="nil"/>
              <w:right w:val="nil"/>
            </w:tcBorders>
            <w:vAlign w:val="center"/>
          </w:tcPr>
          <w:p w14:paraId="7A8D913A"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96.4</w:t>
            </w:r>
          </w:p>
        </w:tc>
      </w:tr>
      <w:tr w:rsidR="00A84E96" w:rsidRPr="007A25AE" w14:paraId="7F745EC0" w14:textId="77777777" w:rsidTr="007A25AE">
        <w:trPr>
          <w:trHeight w:val="258"/>
          <w:jc w:val="center"/>
        </w:trPr>
        <w:tc>
          <w:tcPr>
            <w:tcW w:w="1118" w:type="dxa"/>
            <w:vMerge/>
            <w:tcBorders>
              <w:top w:val="nil"/>
              <w:left w:val="nil"/>
              <w:bottom w:val="nil"/>
              <w:right w:val="nil"/>
            </w:tcBorders>
          </w:tcPr>
          <w:p w14:paraId="165B7637"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4DD2D094"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nil"/>
              <w:right w:val="nil"/>
            </w:tcBorders>
            <w:vAlign w:val="center"/>
          </w:tcPr>
          <w:p w14:paraId="2B98AB3D"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No</w:t>
            </w:r>
          </w:p>
        </w:tc>
        <w:tc>
          <w:tcPr>
            <w:tcW w:w="1738" w:type="dxa"/>
            <w:tcBorders>
              <w:top w:val="nil"/>
              <w:left w:val="nil"/>
              <w:bottom w:val="nil"/>
              <w:right w:val="nil"/>
            </w:tcBorders>
            <w:vAlign w:val="center"/>
          </w:tcPr>
          <w:p w14:paraId="1AEE051A"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4</w:t>
            </w:r>
          </w:p>
        </w:tc>
        <w:tc>
          <w:tcPr>
            <w:tcW w:w="1744" w:type="dxa"/>
            <w:tcBorders>
              <w:top w:val="nil"/>
              <w:left w:val="nil"/>
              <w:bottom w:val="nil"/>
              <w:right w:val="nil"/>
            </w:tcBorders>
            <w:vAlign w:val="center"/>
          </w:tcPr>
          <w:p w14:paraId="384663ED"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3.6</w:t>
            </w:r>
          </w:p>
        </w:tc>
      </w:tr>
      <w:tr w:rsidR="00A84E96" w:rsidRPr="007A25AE" w14:paraId="06217F4A" w14:textId="77777777" w:rsidTr="007A25AE">
        <w:trPr>
          <w:trHeight w:val="350"/>
          <w:jc w:val="center"/>
        </w:trPr>
        <w:tc>
          <w:tcPr>
            <w:tcW w:w="1118" w:type="dxa"/>
            <w:vMerge/>
            <w:tcBorders>
              <w:top w:val="nil"/>
              <w:left w:val="nil"/>
              <w:bottom w:val="single" w:sz="4" w:space="0" w:color="auto"/>
              <w:right w:val="nil"/>
            </w:tcBorders>
          </w:tcPr>
          <w:p w14:paraId="2E63DBEB"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47F89D10"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single" w:sz="4" w:space="0" w:color="auto"/>
              <w:right w:val="nil"/>
            </w:tcBorders>
            <w:vAlign w:val="center"/>
          </w:tcPr>
          <w:p w14:paraId="27AE4EB9"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Total</w:t>
            </w:r>
          </w:p>
        </w:tc>
        <w:tc>
          <w:tcPr>
            <w:tcW w:w="1738" w:type="dxa"/>
            <w:tcBorders>
              <w:top w:val="nil"/>
              <w:left w:val="nil"/>
              <w:bottom w:val="single" w:sz="4" w:space="0" w:color="auto"/>
              <w:right w:val="nil"/>
            </w:tcBorders>
            <w:vAlign w:val="center"/>
          </w:tcPr>
          <w:p w14:paraId="650ED5DD"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112</w:t>
            </w:r>
          </w:p>
        </w:tc>
        <w:tc>
          <w:tcPr>
            <w:tcW w:w="1744" w:type="dxa"/>
            <w:tcBorders>
              <w:top w:val="nil"/>
              <w:left w:val="nil"/>
              <w:bottom w:val="single" w:sz="4" w:space="0" w:color="auto"/>
              <w:right w:val="nil"/>
            </w:tcBorders>
            <w:vAlign w:val="center"/>
          </w:tcPr>
          <w:p w14:paraId="052F6424"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100.0</w:t>
            </w:r>
          </w:p>
        </w:tc>
      </w:tr>
      <w:tr w:rsidR="00A84E96" w:rsidRPr="007A25AE" w14:paraId="2D568899" w14:textId="77777777" w:rsidTr="007A25AE">
        <w:trPr>
          <w:trHeight w:val="349"/>
          <w:jc w:val="center"/>
        </w:trPr>
        <w:tc>
          <w:tcPr>
            <w:tcW w:w="1118" w:type="dxa"/>
            <w:vMerge w:val="restart"/>
            <w:tcBorders>
              <w:left w:val="nil"/>
              <w:bottom w:val="nil"/>
              <w:right w:val="nil"/>
            </w:tcBorders>
          </w:tcPr>
          <w:p w14:paraId="4E1CF4ED" w14:textId="77777777" w:rsidR="00A84E96" w:rsidRPr="007A25AE" w:rsidRDefault="00A84E96" w:rsidP="00A84E96">
            <w:pPr>
              <w:contextualSpacing/>
              <w:jc w:val="center"/>
              <w:rPr>
                <w:rFonts w:ascii="Times New Roman" w:hAnsi="Times New Roman" w:cs="Times New Roman"/>
                <w:sz w:val="20"/>
                <w:szCs w:val="20"/>
              </w:rPr>
            </w:pPr>
            <w:r w:rsidRPr="007A25AE">
              <w:rPr>
                <w:rFonts w:ascii="Times New Roman" w:hAnsi="Times New Roman" w:cs="Times New Roman"/>
                <w:sz w:val="20"/>
                <w:szCs w:val="20"/>
              </w:rPr>
              <w:t>4</w:t>
            </w:r>
          </w:p>
        </w:tc>
        <w:tc>
          <w:tcPr>
            <w:tcW w:w="2562" w:type="dxa"/>
            <w:vMerge w:val="restart"/>
            <w:tcBorders>
              <w:left w:val="nil"/>
              <w:bottom w:val="nil"/>
              <w:right w:val="nil"/>
            </w:tcBorders>
          </w:tcPr>
          <w:p w14:paraId="47ED0708" w14:textId="77777777" w:rsidR="00A84E96" w:rsidRPr="007A25AE" w:rsidRDefault="00A84E96" w:rsidP="00E224AA">
            <w:pPr>
              <w:contextualSpacing/>
              <w:rPr>
                <w:rFonts w:ascii="Times New Roman" w:hAnsi="Times New Roman" w:cs="Times New Roman"/>
                <w:sz w:val="20"/>
                <w:szCs w:val="20"/>
              </w:rPr>
            </w:pPr>
            <w:r w:rsidRPr="007A25AE">
              <w:rPr>
                <w:rFonts w:ascii="Times New Roman" w:hAnsi="Times New Roman" w:cs="Times New Roman"/>
                <w:sz w:val="20"/>
                <w:szCs w:val="20"/>
              </w:rPr>
              <w:t>Do you have a Cell phone?</w:t>
            </w:r>
          </w:p>
        </w:tc>
        <w:tc>
          <w:tcPr>
            <w:tcW w:w="1854" w:type="dxa"/>
            <w:tcBorders>
              <w:left w:val="nil"/>
              <w:bottom w:val="nil"/>
              <w:right w:val="nil"/>
            </w:tcBorders>
            <w:vAlign w:val="center"/>
          </w:tcPr>
          <w:p w14:paraId="6B339D10"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Yes</w:t>
            </w:r>
          </w:p>
        </w:tc>
        <w:tc>
          <w:tcPr>
            <w:tcW w:w="1738" w:type="dxa"/>
            <w:tcBorders>
              <w:left w:val="nil"/>
              <w:bottom w:val="nil"/>
              <w:right w:val="nil"/>
            </w:tcBorders>
            <w:vAlign w:val="center"/>
          </w:tcPr>
          <w:p w14:paraId="361D62E1"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112</w:t>
            </w:r>
          </w:p>
        </w:tc>
        <w:tc>
          <w:tcPr>
            <w:tcW w:w="1744" w:type="dxa"/>
            <w:tcBorders>
              <w:left w:val="nil"/>
              <w:bottom w:val="nil"/>
              <w:right w:val="nil"/>
            </w:tcBorders>
            <w:vAlign w:val="center"/>
          </w:tcPr>
          <w:p w14:paraId="20671327"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100.0</w:t>
            </w:r>
          </w:p>
        </w:tc>
      </w:tr>
      <w:tr w:rsidR="00A84E96" w:rsidRPr="007A25AE" w14:paraId="477BD805" w14:textId="77777777" w:rsidTr="007A25AE">
        <w:trPr>
          <w:trHeight w:val="260"/>
          <w:jc w:val="center"/>
        </w:trPr>
        <w:tc>
          <w:tcPr>
            <w:tcW w:w="1118" w:type="dxa"/>
            <w:vMerge/>
            <w:tcBorders>
              <w:top w:val="nil"/>
              <w:left w:val="nil"/>
              <w:bottom w:val="single" w:sz="4" w:space="0" w:color="auto"/>
              <w:right w:val="nil"/>
            </w:tcBorders>
          </w:tcPr>
          <w:p w14:paraId="6BC32FB8"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3A0A9364"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single" w:sz="4" w:space="0" w:color="auto"/>
              <w:right w:val="nil"/>
            </w:tcBorders>
            <w:vAlign w:val="center"/>
          </w:tcPr>
          <w:p w14:paraId="42C52C62"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Total</w:t>
            </w:r>
          </w:p>
        </w:tc>
        <w:tc>
          <w:tcPr>
            <w:tcW w:w="1738" w:type="dxa"/>
            <w:tcBorders>
              <w:top w:val="nil"/>
              <w:left w:val="nil"/>
              <w:bottom w:val="single" w:sz="4" w:space="0" w:color="auto"/>
              <w:right w:val="nil"/>
            </w:tcBorders>
            <w:vAlign w:val="center"/>
          </w:tcPr>
          <w:p w14:paraId="21448944"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112</w:t>
            </w:r>
          </w:p>
        </w:tc>
        <w:tc>
          <w:tcPr>
            <w:tcW w:w="1744" w:type="dxa"/>
            <w:tcBorders>
              <w:top w:val="nil"/>
              <w:left w:val="nil"/>
              <w:bottom w:val="single" w:sz="4" w:space="0" w:color="auto"/>
              <w:right w:val="nil"/>
            </w:tcBorders>
            <w:vAlign w:val="center"/>
          </w:tcPr>
          <w:p w14:paraId="5D52AB20"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100.0</w:t>
            </w:r>
          </w:p>
        </w:tc>
      </w:tr>
      <w:tr w:rsidR="00A84E96" w:rsidRPr="007A25AE" w14:paraId="1F1D70AA" w14:textId="77777777" w:rsidTr="007A25AE">
        <w:trPr>
          <w:trHeight w:val="334"/>
          <w:jc w:val="center"/>
        </w:trPr>
        <w:tc>
          <w:tcPr>
            <w:tcW w:w="1118" w:type="dxa"/>
            <w:vMerge w:val="restart"/>
            <w:tcBorders>
              <w:left w:val="nil"/>
              <w:bottom w:val="nil"/>
              <w:right w:val="nil"/>
            </w:tcBorders>
          </w:tcPr>
          <w:p w14:paraId="751B1925" w14:textId="77777777" w:rsidR="00A84E96" w:rsidRPr="007A25AE" w:rsidRDefault="00A84E96" w:rsidP="00A84E96">
            <w:pPr>
              <w:contextualSpacing/>
              <w:jc w:val="center"/>
              <w:rPr>
                <w:rFonts w:ascii="Times New Roman" w:hAnsi="Times New Roman" w:cs="Times New Roman"/>
                <w:sz w:val="20"/>
                <w:szCs w:val="20"/>
              </w:rPr>
            </w:pPr>
            <w:r w:rsidRPr="007A25AE">
              <w:rPr>
                <w:rFonts w:ascii="Times New Roman" w:hAnsi="Times New Roman" w:cs="Times New Roman"/>
                <w:sz w:val="20"/>
                <w:szCs w:val="20"/>
              </w:rPr>
              <w:t>5</w:t>
            </w:r>
          </w:p>
        </w:tc>
        <w:tc>
          <w:tcPr>
            <w:tcW w:w="2562" w:type="dxa"/>
            <w:vMerge w:val="restart"/>
            <w:tcBorders>
              <w:left w:val="nil"/>
              <w:bottom w:val="nil"/>
              <w:right w:val="nil"/>
            </w:tcBorders>
          </w:tcPr>
          <w:p w14:paraId="2BA09EC6" w14:textId="77777777" w:rsidR="00A84E96" w:rsidRPr="007A25AE" w:rsidRDefault="00A84E96" w:rsidP="00E224AA">
            <w:pPr>
              <w:contextualSpacing/>
              <w:rPr>
                <w:rFonts w:ascii="Times New Roman" w:hAnsi="Times New Roman" w:cs="Times New Roman"/>
                <w:sz w:val="20"/>
                <w:szCs w:val="20"/>
              </w:rPr>
            </w:pPr>
            <w:r w:rsidRPr="007A25AE">
              <w:rPr>
                <w:rFonts w:ascii="Times New Roman" w:hAnsi="Times New Roman" w:cs="Times New Roman"/>
                <w:sz w:val="20"/>
                <w:szCs w:val="20"/>
              </w:rPr>
              <w:t>Do you have a Cell phone that can browse the internet?</w:t>
            </w:r>
          </w:p>
        </w:tc>
        <w:tc>
          <w:tcPr>
            <w:tcW w:w="1854" w:type="dxa"/>
            <w:tcBorders>
              <w:left w:val="nil"/>
              <w:bottom w:val="nil"/>
              <w:right w:val="nil"/>
            </w:tcBorders>
            <w:vAlign w:val="center"/>
          </w:tcPr>
          <w:p w14:paraId="4BF7CEFF"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Yes</w:t>
            </w:r>
          </w:p>
        </w:tc>
        <w:tc>
          <w:tcPr>
            <w:tcW w:w="1738" w:type="dxa"/>
            <w:tcBorders>
              <w:left w:val="nil"/>
              <w:bottom w:val="nil"/>
              <w:right w:val="nil"/>
            </w:tcBorders>
            <w:vAlign w:val="center"/>
          </w:tcPr>
          <w:p w14:paraId="7CCCE7E5"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112</w:t>
            </w:r>
          </w:p>
        </w:tc>
        <w:tc>
          <w:tcPr>
            <w:tcW w:w="1744" w:type="dxa"/>
            <w:tcBorders>
              <w:left w:val="nil"/>
              <w:bottom w:val="nil"/>
              <w:right w:val="nil"/>
            </w:tcBorders>
            <w:vAlign w:val="center"/>
          </w:tcPr>
          <w:p w14:paraId="5BE94589"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100.0</w:t>
            </w:r>
          </w:p>
        </w:tc>
      </w:tr>
      <w:tr w:rsidR="00A84E96" w:rsidRPr="007A25AE" w14:paraId="7DC27576" w14:textId="77777777" w:rsidTr="007A25AE">
        <w:trPr>
          <w:trHeight w:val="359"/>
          <w:jc w:val="center"/>
        </w:trPr>
        <w:tc>
          <w:tcPr>
            <w:tcW w:w="1118" w:type="dxa"/>
            <w:vMerge/>
            <w:tcBorders>
              <w:top w:val="nil"/>
              <w:left w:val="nil"/>
              <w:bottom w:val="single" w:sz="4" w:space="0" w:color="auto"/>
              <w:right w:val="nil"/>
            </w:tcBorders>
          </w:tcPr>
          <w:p w14:paraId="4777DFB5"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5CCDF433"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single" w:sz="4" w:space="0" w:color="auto"/>
              <w:right w:val="nil"/>
            </w:tcBorders>
            <w:vAlign w:val="center"/>
          </w:tcPr>
          <w:p w14:paraId="641E3360"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Total</w:t>
            </w:r>
          </w:p>
        </w:tc>
        <w:tc>
          <w:tcPr>
            <w:tcW w:w="1738" w:type="dxa"/>
            <w:tcBorders>
              <w:top w:val="nil"/>
              <w:left w:val="nil"/>
              <w:bottom w:val="single" w:sz="4" w:space="0" w:color="auto"/>
              <w:right w:val="nil"/>
            </w:tcBorders>
            <w:vAlign w:val="center"/>
          </w:tcPr>
          <w:p w14:paraId="75A5C476"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112</w:t>
            </w:r>
          </w:p>
        </w:tc>
        <w:tc>
          <w:tcPr>
            <w:tcW w:w="1744" w:type="dxa"/>
            <w:tcBorders>
              <w:top w:val="nil"/>
              <w:left w:val="nil"/>
              <w:bottom w:val="single" w:sz="4" w:space="0" w:color="auto"/>
              <w:right w:val="nil"/>
            </w:tcBorders>
            <w:vAlign w:val="center"/>
          </w:tcPr>
          <w:p w14:paraId="736ED3DB"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100.0</w:t>
            </w:r>
          </w:p>
        </w:tc>
      </w:tr>
      <w:tr w:rsidR="00A84E96" w:rsidRPr="007A25AE" w14:paraId="3EB456C5" w14:textId="77777777" w:rsidTr="007A25AE">
        <w:trPr>
          <w:trHeight w:val="440"/>
          <w:jc w:val="center"/>
        </w:trPr>
        <w:tc>
          <w:tcPr>
            <w:tcW w:w="1118" w:type="dxa"/>
            <w:vMerge w:val="restart"/>
            <w:tcBorders>
              <w:left w:val="nil"/>
              <w:bottom w:val="nil"/>
              <w:right w:val="nil"/>
            </w:tcBorders>
          </w:tcPr>
          <w:p w14:paraId="28212847" w14:textId="77777777" w:rsidR="00A84E96" w:rsidRPr="007A25AE" w:rsidRDefault="00A84E96" w:rsidP="00A84E96">
            <w:pPr>
              <w:contextualSpacing/>
              <w:jc w:val="center"/>
              <w:rPr>
                <w:rFonts w:ascii="Times New Roman" w:hAnsi="Times New Roman" w:cs="Times New Roman"/>
                <w:sz w:val="20"/>
                <w:szCs w:val="20"/>
              </w:rPr>
            </w:pPr>
            <w:r w:rsidRPr="007A25AE">
              <w:rPr>
                <w:rFonts w:ascii="Times New Roman" w:hAnsi="Times New Roman" w:cs="Times New Roman"/>
                <w:sz w:val="20"/>
                <w:szCs w:val="20"/>
              </w:rPr>
              <w:t>6</w:t>
            </w:r>
          </w:p>
        </w:tc>
        <w:tc>
          <w:tcPr>
            <w:tcW w:w="2562" w:type="dxa"/>
            <w:vMerge w:val="restart"/>
            <w:tcBorders>
              <w:left w:val="nil"/>
              <w:bottom w:val="nil"/>
              <w:right w:val="nil"/>
            </w:tcBorders>
          </w:tcPr>
          <w:p w14:paraId="1B1301BD" w14:textId="77777777" w:rsidR="00A84E96" w:rsidRPr="007A25AE" w:rsidRDefault="00A84E96" w:rsidP="00E224AA">
            <w:pPr>
              <w:contextualSpacing/>
              <w:rPr>
                <w:rFonts w:ascii="Times New Roman" w:hAnsi="Times New Roman" w:cs="Times New Roman"/>
                <w:sz w:val="20"/>
                <w:szCs w:val="20"/>
              </w:rPr>
            </w:pPr>
            <w:r w:rsidRPr="007A25AE">
              <w:rPr>
                <w:rFonts w:ascii="Times New Roman" w:hAnsi="Times New Roman" w:cs="Times New Roman"/>
                <w:sz w:val="20"/>
                <w:szCs w:val="20"/>
              </w:rPr>
              <w:t>Do you have interest in computer literacy training programme?</w:t>
            </w:r>
          </w:p>
        </w:tc>
        <w:tc>
          <w:tcPr>
            <w:tcW w:w="1854" w:type="dxa"/>
            <w:tcBorders>
              <w:left w:val="nil"/>
              <w:bottom w:val="nil"/>
              <w:right w:val="nil"/>
            </w:tcBorders>
            <w:vAlign w:val="center"/>
          </w:tcPr>
          <w:p w14:paraId="43367040"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Yes</w:t>
            </w:r>
          </w:p>
        </w:tc>
        <w:tc>
          <w:tcPr>
            <w:tcW w:w="1738" w:type="dxa"/>
            <w:tcBorders>
              <w:left w:val="nil"/>
              <w:bottom w:val="nil"/>
              <w:right w:val="nil"/>
            </w:tcBorders>
            <w:vAlign w:val="center"/>
          </w:tcPr>
          <w:p w14:paraId="1A7D10C2"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112</w:t>
            </w:r>
          </w:p>
        </w:tc>
        <w:tc>
          <w:tcPr>
            <w:tcW w:w="1744" w:type="dxa"/>
            <w:tcBorders>
              <w:left w:val="nil"/>
              <w:bottom w:val="nil"/>
              <w:right w:val="nil"/>
            </w:tcBorders>
            <w:vAlign w:val="center"/>
          </w:tcPr>
          <w:p w14:paraId="4AF89D38"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100.0</w:t>
            </w:r>
          </w:p>
        </w:tc>
      </w:tr>
      <w:tr w:rsidR="00A84E96" w:rsidRPr="007A25AE" w14:paraId="358E2BD6" w14:textId="77777777" w:rsidTr="007A25AE">
        <w:trPr>
          <w:trHeight w:val="768"/>
          <w:jc w:val="center"/>
        </w:trPr>
        <w:tc>
          <w:tcPr>
            <w:tcW w:w="1118" w:type="dxa"/>
            <w:vMerge/>
            <w:tcBorders>
              <w:top w:val="nil"/>
              <w:left w:val="nil"/>
              <w:bottom w:val="single" w:sz="4" w:space="0" w:color="auto"/>
              <w:right w:val="nil"/>
            </w:tcBorders>
          </w:tcPr>
          <w:p w14:paraId="27718CD9"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4A352D09"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single" w:sz="4" w:space="0" w:color="auto"/>
              <w:right w:val="nil"/>
            </w:tcBorders>
            <w:vAlign w:val="center"/>
          </w:tcPr>
          <w:p w14:paraId="750D81B1"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Total</w:t>
            </w:r>
          </w:p>
        </w:tc>
        <w:tc>
          <w:tcPr>
            <w:tcW w:w="1738" w:type="dxa"/>
            <w:tcBorders>
              <w:top w:val="nil"/>
              <w:left w:val="nil"/>
              <w:bottom w:val="single" w:sz="4" w:space="0" w:color="auto"/>
              <w:right w:val="nil"/>
            </w:tcBorders>
            <w:vAlign w:val="center"/>
          </w:tcPr>
          <w:p w14:paraId="223551D2"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112</w:t>
            </w:r>
          </w:p>
        </w:tc>
        <w:tc>
          <w:tcPr>
            <w:tcW w:w="1744" w:type="dxa"/>
            <w:tcBorders>
              <w:top w:val="nil"/>
              <w:left w:val="nil"/>
              <w:bottom w:val="single" w:sz="4" w:space="0" w:color="auto"/>
              <w:right w:val="nil"/>
            </w:tcBorders>
            <w:vAlign w:val="center"/>
          </w:tcPr>
          <w:p w14:paraId="7290BC21"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100.0</w:t>
            </w:r>
          </w:p>
        </w:tc>
      </w:tr>
      <w:tr w:rsidR="00A84E96" w:rsidRPr="007A25AE" w14:paraId="1AA48B01" w14:textId="77777777" w:rsidTr="007A25AE">
        <w:trPr>
          <w:trHeight w:val="404"/>
          <w:jc w:val="center"/>
        </w:trPr>
        <w:tc>
          <w:tcPr>
            <w:tcW w:w="1118" w:type="dxa"/>
            <w:vMerge w:val="restart"/>
            <w:tcBorders>
              <w:left w:val="nil"/>
              <w:bottom w:val="nil"/>
              <w:right w:val="nil"/>
            </w:tcBorders>
          </w:tcPr>
          <w:p w14:paraId="2A346F4F" w14:textId="77777777" w:rsidR="00A84E96" w:rsidRPr="007A25AE" w:rsidRDefault="00A84E96" w:rsidP="00A84E96">
            <w:pPr>
              <w:contextualSpacing/>
              <w:jc w:val="center"/>
              <w:rPr>
                <w:rFonts w:ascii="Times New Roman" w:hAnsi="Times New Roman" w:cs="Times New Roman"/>
                <w:sz w:val="20"/>
                <w:szCs w:val="20"/>
              </w:rPr>
            </w:pPr>
            <w:r w:rsidRPr="007A25AE">
              <w:rPr>
                <w:rFonts w:ascii="Times New Roman" w:hAnsi="Times New Roman" w:cs="Times New Roman"/>
                <w:sz w:val="20"/>
                <w:szCs w:val="20"/>
              </w:rPr>
              <w:t>7</w:t>
            </w:r>
          </w:p>
        </w:tc>
        <w:tc>
          <w:tcPr>
            <w:tcW w:w="2562" w:type="dxa"/>
            <w:vMerge w:val="restart"/>
            <w:tcBorders>
              <w:left w:val="nil"/>
              <w:bottom w:val="nil"/>
              <w:right w:val="nil"/>
            </w:tcBorders>
          </w:tcPr>
          <w:p w14:paraId="389EF6E0" w14:textId="77777777" w:rsidR="00A84E96" w:rsidRPr="007A25AE" w:rsidRDefault="00A84E96" w:rsidP="00E224AA">
            <w:pPr>
              <w:contextualSpacing/>
              <w:rPr>
                <w:rFonts w:ascii="Times New Roman" w:hAnsi="Times New Roman" w:cs="Times New Roman"/>
                <w:sz w:val="20"/>
                <w:szCs w:val="20"/>
              </w:rPr>
            </w:pPr>
            <w:r w:rsidRPr="007A25AE">
              <w:rPr>
                <w:rFonts w:ascii="Times New Roman" w:hAnsi="Times New Roman" w:cs="Times New Roman"/>
                <w:sz w:val="20"/>
                <w:szCs w:val="20"/>
              </w:rPr>
              <w:t>Have you ever attended any computer literacy training programme?</w:t>
            </w:r>
          </w:p>
        </w:tc>
        <w:tc>
          <w:tcPr>
            <w:tcW w:w="1854" w:type="dxa"/>
            <w:tcBorders>
              <w:left w:val="nil"/>
              <w:bottom w:val="nil"/>
              <w:right w:val="nil"/>
            </w:tcBorders>
            <w:vAlign w:val="center"/>
          </w:tcPr>
          <w:p w14:paraId="4571CCA9"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Yes</w:t>
            </w:r>
          </w:p>
        </w:tc>
        <w:tc>
          <w:tcPr>
            <w:tcW w:w="1738" w:type="dxa"/>
            <w:tcBorders>
              <w:left w:val="nil"/>
              <w:bottom w:val="nil"/>
              <w:right w:val="nil"/>
            </w:tcBorders>
            <w:vAlign w:val="center"/>
          </w:tcPr>
          <w:p w14:paraId="39C54EB4"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95</w:t>
            </w:r>
          </w:p>
        </w:tc>
        <w:tc>
          <w:tcPr>
            <w:tcW w:w="1744" w:type="dxa"/>
            <w:tcBorders>
              <w:left w:val="nil"/>
              <w:bottom w:val="nil"/>
              <w:right w:val="nil"/>
            </w:tcBorders>
            <w:vAlign w:val="center"/>
          </w:tcPr>
          <w:p w14:paraId="61692B07"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84.8</w:t>
            </w:r>
          </w:p>
        </w:tc>
      </w:tr>
      <w:tr w:rsidR="00A84E96" w:rsidRPr="007A25AE" w14:paraId="5388644A" w14:textId="77777777" w:rsidTr="007A25AE">
        <w:trPr>
          <w:trHeight w:val="269"/>
          <w:jc w:val="center"/>
        </w:trPr>
        <w:tc>
          <w:tcPr>
            <w:tcW w:w="1118" w:type="dxa"/>
            <w:vMerge/>
            <w:tcBorders>
              <w:top w:val="nil"/>
              <w:left w:val="nil"/>
              <w:bottom w:val="nil"/>
              <w:right w:val="nil"/>
            </w:tcBorders>
          </w:tcPr>
          <w:p w14:paraId="35756893"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7439A69E"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nil"/>
              <w:right w:val="nil"/>
            </w:tcBorders>
            <w:vAlign w:val="center"/>
          </w:tcPr>
          <w:p w14:paraId="62B9E5B8"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No</w:t>
            </w:r>
          </w:p>
        </w:tc>
        <w:tc>
          <w:tcPr>
            <w:tcW w:w="1738" w:type="dxa"/>
            <w:tcBorders>
              <w:top w:val="nil"/>
              <w:left w:val="nil"/>
              <w:bottom w:val="nil"/>
              <w:right w:val="nil"/>
            </w:tcBorders>
            <w:vAlign w:val="center"/>
          </w:tcPr>
          <w:p w14:paraId="10AEBA75"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17</w:t>
            </w:r>
          </w:p>
        </w:tc>
        <w:tc>
          <w:tcPr>
            <w:tcW w:w="1744" w:type="dxa"/>
            <w:tcBorders>
              <w:top w:val="nil"/>
              <w:left w:val="nil"/>
              <w:bottom w:val="nil"/>
              <w:right w:val="nil"/>
            </w:tcBorders>
            <w:vAlign w:val="center"/>
          </w:tcPr>
          <w:p w14:paraId="1A33E296"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15.2</w:t>
            </w:r>
          </w:p>
        </w:tc>
      </w:tr>
      <w:tr w:rsidR="00A84E96" w:rsidRPr="007A25AE" w14:paraId="4F1749D9" w14:textId="77777777" w:rsidTr="007A25AE">
        <w:trPr>
          <w:trHeight w:val="368"/>
          <w:jc w:val="center"/>
        </w:trPr>
        <w:tc>
          <w:tcPr>
            <w:tcW w:w="1118" w:type="dxa"/>
            <w:vMerge/>
            <w:tcBorders>
              <w:top w:val="nil"/>
              <w:left w:val="nil"/>
              <w:bottom w:val="single" w:sz="4" w:space="0" w:color="auto"/>
              <w:right w:val="nil"/>
            </w:tcBorders>
          </w:tcPr>
          <w:p w14:paraId="327C55E2"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66F78143"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single" w:sz="4" w:space="0" w:color="auto"/>
              <w:right w:val="nil"/>
            </w:tcBorders>
            <w:vAlign w:val="center"/>
          </w:tcPr>
          <w:p w14:paraId="4026D017"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Total</w:t>
            </w:r>
          </w:p>
        </w:tc>
        <w:tc>
          <w:tcPr>
            <w:tcW w:w="1738" w:type="dxa"/>
            <w:tcBorders>
              <w:top w:val="nil"/>
              <w:left w:val="nil"/>
              <w:bottom w:val="single" w:sz="4" w:space="0" w:color="auto"/>
              <w:right w:val="nil"/>
            </w:tcBorders>
            <w:vAlign w:val="center"/>
          </w:tcPr>
          <w:p w14:paraId="2C09D9A6"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112</w:t>
            </w:r>
          </w:p>
        </w:tc>
        <w:tc>
          <w:tcPr>
            <w:tcW w:w="1744" w:type="dxa"/>
            <w:tcBorders>
              <w:top w:val="nil"/>
              <w:left w:val="nil"/>
              <w:bottom w:val="single" w:sz="4" w:space="0" w:color="auto"/>
              <w:right w:val="nil"/>
            </w:tcBorders>
            <w:vAlign w:val="center"/>
          </w:tcPr>
          <w:p w14:paraId="10EF803C"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100.0</w:t>
            </w:r>
          </w:p>
        </w:tc>
      </w:tr>
      <w:tr w:rsidR="00A84E96" w:rsidRPr="007A25AE" w14:paraId="5113EABE" w14:textId="77777777" w:rsidTr="007A25AE">
        <w:trPr>
          <w:trHeight w:val="333"/>
          <w:jc w:val="center"/>
        </w:trPr>
        <w:tc>
          <w:tcPr>
            <w:tcW w:w="1118" w:type="dxa"/>
            <w:vMerge w:val="restart"/>
            <w:tcBorders>
              <w:left w:val="nil"/>
              <w:bottom w:val="nil"/>
              <w:right w:val="nil"/>
            </w:tcBorders>
          </w:tcPr>
          <w:p w14:paraId="4B78F1AF" w14:textId="77777777" w:rsidR="00A84E96" w:rsidRPr="007A25AE" w:rsidRDefault="00A84E96" w:rsidP="00A84E96">
            <w:pPr>
              <w:contextualSpacing/>
              <w:jc w:val="center"/>
              <w:rPr>
                <w:rFonts w:ascii="Times New Roman" w:hAnsi="Times New Roman" w:cs="Times New Roman"/>
                <w:sz w:val="20"/>
                <w:szCs w:val="20"/>
              </w:rPr>
            </w:pPr>
            <w:r w:rsidRPr="007A25AE">
              <w:rPr>
                <w:rFonts w:ascii="Times New Roman" w:hAnsi="Times New Roman" w:cs="Times New Roman"/>
                <w:sz w:val="20"/>
                <w:szCs w:val="20"/>
              </w:rPr>
              <w:t>8</w:t>
            </w:r>
          </w:p>
        </w:tc>
        <w:tc>
          <w:tcPr>
            <w:tcW w:w="2562" w:type="dxa"/>
            <w:vMerge w:val="restart"/>
            <w:tcBorders>
              <w:left w:val="nil"/>
              <w:bottom w:val="nil"/>
              <w:right w:val="nil"/>
            </w:tcBorders>
          </w:tcPr>
          <w:p w14:paraId="79DC96F8" w14:textId="77777777" w:rsidR="00A84E96" w:rsidRPr="007A25AE" w:rsidRDefault="00A84E96" w:rsidP="00E224AA">
            <w:pPr>
              <w:contextualSpacing/>
              <w:rPr>
                <w:rFonts w:ascii="Times New Roman" w:hAnsi="Times New Roman" w:cs="Times New Roman"/>
                <w:sz w:val="20"/>
                <w:szCs w:val="20"/>
              </w:rPr>
            </w:pPr>
            <w:r w:rsidRPr="007A25AE">
              <w:rPr>
                <w:rFonts w:ascii="Times New Roman" w:hAnsi="Times New Roman" w:cs="Times New Roman"/>
                <w:sz w:val="20"/>
                <w:szCs w:val="20"/>
              </w:rPr>
              <w:t>Are you aware of Geographical Information Systems (GIS)?</w:t>
            </w:r>
          </w:p>
        </w:tc>
        <w:tc>
          <w:tcPr>
            <w:tcW w:w="1854" w:type="dxa"/>
            <w:tcBorders>
              <w:left w:val="nil"/>
              <w:bottom w:val="nil"/>
              <w:right w:val="nil"/>
            </w:tcBorders>
            <w:vAlign w:val="center"/>
          </w:tcPr>
          <w:p w14:paraId="1E98A47A"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Yes</w:t>
            </w:r>
          </w:p>
        </w:tc>
        <w:tc>
          <w:tcPr>
            <w:tcW w:w="1738" w:type="dxa"/>
            <w:tcBorders>
              <w:left w:val="nil"/>
              <w:bottom w:val="nil"/>
              <w:right w:val="nil"/>
            </w:tcBorders>
            <w:vAlign w:val="center"/>
          </w:tcPr>
          <w:p w14:paraId="60EAA3E0"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66</w:t>
            </w:r>
          </w:p>
        </w:tc>
        <w:tc>
          <w:tcPr>
            <w:tcW w:w="1744" w:type="dxa"/>
            <w:tcBorders>
              <w:left w:val="nil"/>
              <w:bottom w:val="nil"/>
              <w:right w:val="nil"/>
            </w:tcBorders>
            <w:vAlign w:val="center"/>
          </w:tcPr>
          <w:p w14:paraId="249DB420"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58.9</w:t>
            </w:r>
          </w:p>
        </w:tc>
      </w:tr>
      <w:tr w:rsidR="00A84E96" w:rsidRPr="007A25AE" w14:paraId="7E0FE589" w14:textId="77777777" w:rsidTr="007A25AE">
        <w:trPr>
          <w:trHeight w:val="296"/>
          <w:jc w:val="center"/>
        </w:trPr>
        <w:tc>
          <w:tcPr>
            <w:tcW w:w="1118" w:type="dxa"/>
            <w:vMerge/>
            <w:tcBorders>
              <w:top w:val="nil"/>
              <w:left w:val="nil"/>
              <w:bottom w:val="nil"/>
              <w:right w:val="nil"/>
            </w:tcBorders>
          </w:tcPr>
          <w:p w14:paraId="042160EE"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0F903F24"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nil"/>
              <w:right w:val="nil"/>
            </w:tcBorders>
            <w:vAlign w:val="center"/>
          </w:tcPr>
          <w:p w14:paraId="2BD2EFCB"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No</w:t>
            </w:r>
          </w:p>
        </w:tc>
        <w:tc>
          <w:tcPr>
            <w:tcW w:w="1738" w:type="dxa"/>
            <w:tcBorders>
              <w:top w:val="nil"/>
              <w:left w:val="nil"/>
              <w:bottom w:val="nil"/>
              <w:right w:val="nil"/>
            </w:tcBorders>
            <w:vAlign w:val="center"/>
          </w:tcPr>
          <w:p w14:paraId="5645FC90"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46</w:t>
            </w:r>
          </w:p>
        </w:tc>
        <w:tc>
          <w:tcPr>
            <w:tcW w:w="1744" w:type="dxa"/>
            <w:tcBorders>
              <w:top w:val="nil"/>
              <w:left w:val="nil"/>
              <w:bottom w:val="nil"/>
              <w:right w:val="nil"/>
            </w:tcBorders>
            <w:vAlign w:val="center"/>
          </w:tcPr>
          <w:p w14:paraId="55F6F488"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41.1</w:t>
            </w:r>
          </w:p>
        </w:tc>
      </w:tr>
      <w:tr w:rsidR="00A84E96" w:rsidRPr="007A25AE" w14:paraId="04013969" w14:textId="77777777" w:rsidTr="007A25AE">
        <w:trPr>
          <w:trHeight w:val="341"/>
          <w:jc w:val="center"/>
        </w:trPr>
        <w:tc>
          <w:tcPr>
            <w:tcW w:w="1118" w:type="dxa"/>
            <w:vMerge/>
            <w:tcBorders>
              <w:top w:val="nil"/>
              <w:left w:val="nil"/>
              <w:bottom w:val="single" w:sz="4" w:space="0" w:color="auto"/>
              <w:right w:val="nil"/>
            </w:tcBorders>
          </w:tcPr>
          <w:p w14:paraId="42E5BAB2"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0238174F"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single" w:sz="4" w:space="0" w:color="auto"/>
              <w:right w:val="nil"/>
            </w:tcBorders>
            <w:vAlign w:val="center"/>
          </w:tcPr>
          <w:p w14:paraId="3CE2E09B"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Total</w:t>
            </w:r>
          </w:p>
        </w:tc>
        <w:tc>
          <w:tcPr>
            <w:tcW w:w="1738" w:type="dxa"/>
            <w:tcBorders>
              <w:top w:val="nil"/>
              <w:left w:val="nil"/>
              <w:bottom w:val="single" w:sz="4" w:space="0" w:color="auto"/>
              <w:right w:val="nil"/>
            </w:tcBorders>
            <w:vAlign w:val="center"/>
          </w:tcPr>
          <w:p w14:paraId="66CF68E9"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112</w:t>
            </w:r>
          </w:p>
        </w:tc>
        <w:tc>
          <w:tcPr>
            <w:tcW w:w="1744" w:type="dxa"/>
            <w:tcBorders>
              <w:top w:val="nil"/>
              <w:left w:val="nil"/>
              <w:bottom w:val="single" w:sz="4" w:space="0" w:color="auto"/>
              <w:right w:val="nil"/>
            </w:tcBorders>
            <w:vAlign w:val="center"/>
          </w:tcPr>
          <w:p w14:paraId="3DF891E1"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100.0</w:t>
            </w:r>
          </w:p>
        </w:tc>
      </w:tr>
      <w:tr w:rsidR="00A84E96" w:rsidRPr="007A25AE" w14:paraId="53205FDA" w14:textId="77777777" w:rsidTr="007A25AE">
        <w:trPr>
          <w:trHeight w:val="332"/>
          <w:jc w:val="center"/>
        </w:trPr>
        <w:tc>
          <w:tcPr>
            <w:tcW w:w="1118" w:type="dxa"/>
            <w:vMerge w:val="restart"/>
            <w:tcBorders>
              <w:left w:val="nil"/>
              <w:bottom w:val="nil"/>
              <w:right w:val="nil"/>
            </w:tcBorders>
          </w:tcPr>
          <w:p w14:paraId="3E042E5D" w14:textId="77777777" w:rsidR="00A84E96" w:rsidRPr="007A25AE" w:rsidRDefault="00A84E96" w:rsidP="00A84E96">
            <w:pPr>
              <w:contextualSpacing/>
              <w:jc w:val="center"/>
              <w:rPr>
                <w:rFonts w:ascii="Times New Roman" w:hAnsi="Times New Roman" w:cs="Times New Roman"/>
                <w:sz w:val="20"/>
                <w:szCs w:val="20"/>
              </w:rPr>
            </w:pPr>
            <w:r w:rsidRPr="007A25AE">
              <w:rPr>
                <w:rFonts w:ascii="Times New Roman" w:hAnsi="Times New Roman" w:cs="Times New Roman"/>
                <w:sz w:val="20"/>
                <w:szCs w:val="20"/>
              </w:rPr>
              <w:t>9</w:t>
            </w:r>
          </w:p>
        </w:tc>
        <w:tc>
          <w:tcPr>
            <w:tcW w:w="2562" w:type="dxa"/>
            <w:vMerge w:val="restart"/>
            <w:tcBorders>
              <w:left w:val="nil"/>
              <w:bottom w:val="nil"/>
              <w:right w:val="nil"/>
            </w:tcBorders>
          </w:tcPr>
          <w:p w14:paraId="4173689F" w14:textId="77777777" w:rsidR="00A84E96" w:rsidRPr="007A25AE" w:rsidRDefault="00A84E96" w:rsidP="00E224AA">
            <w:pPr>
              <w:contextualSpacing/>
              <w:rPr>
                <w:rFonts w:ascii="Times New Roman" w:hAnsi="Times New Roman" w:cs="Times New Roman"/>
                <w:sz w:val="20"/>
                <w:szCs w:val="20"/>
              </w:rPr>
            </w:pPr>
            <w:r w:rsidRPr="007A25AE">
              <w:rPr>
                <w:rFonts w:ascii="Times New Roman" w:hAnsi="Times New Roman" w:cs="Times New Roman"/>
                <w:sz w:val="20"/>
                <w:szCs w:val="20"/>
              </w:rPr>
              <w:t>Have you ever attended any</w:t>
            </w:r>
            <w:r w:rsidRPr="007A25AE">
              <w:rPr>
                <w:rFonts w:ascii="Times New Roman" w:hAnsi="Times New Roman" w:cs="Times New Roman"/>
                <w:color w:val="000000"/>
                <w:sz w:val="20"/>
                <w:szCs w:val="20"/>
              </w:rPr>
              <w:t xml:space="preserve"> </w:t>
            </w:r>
            <w:r w:rsidRPr="007A25AE">
              <w:rPr>
                <w:rFonts w:ascii="Times New Roman" w:hAnsi="Times New Roman" w:cs="Times New Roman"/>
                <w:sz w:val="20"/>
                <w:szCs w:val="20"/>
              </w:rPr>
              <w:t>GIS</w:t>
            </w:r>
            <w:r w:rsidRPr="007A25AE">
              <w:rPr>
                <w:rFonts w:ascii="Times New Roman" w:hAnsi="Times New Roman" w:cs="Times New Roman"/>
                <w:color w:val="000000"/>
                <w:sz w:val="20"/>
                <w:szCs w:val="20"/>
              </w:rPr>
              <w:t xml:space="preserve"> </w:t>
            </w:r>
            <w:r w:rsidRPr="007A25AE">
              <w:rPr>
                <w:rFonts w:ascii="Times New Roman" w:hAnsi="Times New Roman" w:cs="Times New Roman"/>
                <w:sz w:val="20"/>
                <w:szCs w:val="20"/>
              </w:rPr>
              <w:t>training programme?</w:t>
            </w:r>
          </w:p>
          <w:p w14:paraId="03817681" w14:textId="77777777" w:rsidR="00A84E96" w:rsidRPr="007A25AE" w:rsidRDefault="00A84E96" w:rsidP="00E224AA">
            <w:pPr>
              <w:contextualSpacing/>
              <w:rPr>
                <w:rFonts w:ascii="Times New Roman" w:hAnsi="Times New Roman" w:cs="Times New Roman"/>
                <w:b/>
                <w:sz w:val="20"/>
                <w:szCs w:val="20"/>
              </w:rPr>
            </w:pPr>
          </w:p>
        </w:tc>
        <w:tc>
          <w:tcPr>
            <w:tcW w:w="1854" w:type="dxa"/>
            <w:tcBorders>
              <w:left w:val="nil"/>
              <w:bottom w:val="nil"/>
              <w:right w:val="nil"/>
            </w:tcBorders>
            <w:vAlign w:val="center"/>
          </w:tcPr>
          <w:p w14:paraId="18ABE511"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Yes</w:t>
            </w:r>
          </w:p>
        </w:tc>
        <w:tc>
          <w:tcPr>
            <w:tcW w:w="1738" w:type="dxa"/>
            <w:tcBorders>
              <w:left w:val="nil"/>
              <w:bottom w:val="nil"/>
              <w:right w:val="nil"/>
            </w:tcBorders>
            <w:vAlign w:val="center"/>
          </w:tcPr>
          <w:p w14:paraId="157F8B7B"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12</w:t>
            </w:r>
          </w:p>
        </w:tc>
        <w:tc>
          <w:tcPr>
            <w:tcW w:w="1744" w:type="dxa"/>
            <w:tcBorders>
              <w:left w:val="nil"/>
              <w:bottom w:val="nil"/>
              <w:right w:val="nil"/>
            </w:tcBorders>
            <w:vAlign w:val="center"/>
          </w:tcPr>
          <w:p w14:paraId="59169A0A"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10.7</w:t>
            </w:r>
          </w:p>
        </w:tc>
      </w:tr>
      <w:tr w:rsidR="00A84E96" w:rsidRPr="007A25AE" w14:paraId="6F35E112" w14:textId="77777777" w:rsidTr="007A25AE">
        <w:trPr>
          <w:trHeight w:val="350"/>
          <w:jc w:val="center"/>
        </w:trPr>
        <w:tc>
          <w:tcPr>
            <w:tcW w:w="1118" w:type="dxa"/>
            <w:vMerge/>
            <w:tcBorders>
              <w:top w:val="nil"/>
              <w:left w:val="nil"/>
              <w:bottom w:val="nil"/>
              <w:right w:val="nil"/>
            </w:tcBorders>
          </w:tcPr>
          <w:p w14:paraId="1C0A0F74"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48FFA623"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nil"/>
              <w:right w:val="nil"/>
            </w:tcBorders>
            <w:vAlign w:val="center"/>
          </w:tcPr>
          <w:p w14:paraId="1295741E"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No</w:t>
            </w:r>
          </w:p>
        </w:tc>
        <w:tc>
          <w:tcPr>
            <w:tcW w:w="1738" w:type="dxa"/>
            <w:tcBorders>
              <w:top w:val="nil"/>
              <w:left w:val="nil"/>
              <w:bottom w:val="nil"/>
              <w:right w:val="nil"/>
            </w:tcBorders>
            <w:vAlign w:val="center"/>
          </w:tcPr>
          <w:p w14:paraId="0A946FDA"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100</w:t>
            </w:r>
          </w:p>
        </w:tc>
        <w:tc>
          <w:tcPr>
            <w:tcW w:w="1744" w:type="dxa"/>
            <w:tcBorders>
              <w:top w:val="nil"/>
              <w:left w:val="nil"/>
              <w:bottom w:val="nil"/>
              <w:right w:val="nil"/>
            </w:tcBorders>
            <w:vAlign w:val="center"/>
          </w:tcPr>
          <w:p w14:paraId="7B93C693"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89.3</w:t>
            </w:r>
          </w:p>
        </w:tc>
      </w:tr>
      <w:tr w:rsidR="00A84E96" w:rsidRPr="007A25AE" w14:paraId="7813AD9B" w14:textId="77777777" w:rsidTr="007A25AE">
        <w:trPr>
          <w:trHeight w:val="413"/>
          <w:jc w:val="center"/>
        </w:trPr>
        <w:tc>
          <w:tcPr>
            <w:tcW w:w="1118" w:type="dxa"/>
            <w:vMerge/>
            <w:tcBorders>
              <w:top w:val="nil"/>
              <w:left w:val="nil"/>
              <w:bottom w:val="single" w:sz="4" w:space="0" w:color="auto"/>
              <w:right w:val="nil"/>
            </w:tcBorders>
          </w:tcPr>
          <w:p w14:paraId="0108707F"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3BD05C7A"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single" w:sz="4" w:space="0" w:color="auto"/>
              <w:right w:val="nil"/>
            </w:tcBorders>
            <w:vAlign w:val="center"/>
          </w:tcPr>
          <w:p w14:paraId="437891D5"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Total</w:t>
            </w:r>
          </w:p>
        </w:tc>
        <w:tc>
          <w:tcPr>
            <w:tcW w:w="1738" w:type="dxa"/>
            <w:tcBorders>
              <w:top w:val="nil"/>
              <w:left w:val="nil"/>
              <w:bottom w:val="single" w:sz="4" w:space="0" w:color="auto"/>
              <w:right w:val="nil"/>
            </w:tcBorders>
            <w:vAlign w:val="center"/>
          </w:tcPr>
          <w:p w14:paraId="037F71B3"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112</w:t>
            </w:r>
          </w:p>
        </w:tc>
        <w:tc>
          <w:tcPr>
            <w:tcW w:w="1744" w:type="dxa"/>
            <w:tcBorders>
              <w:top w:val="nil"/>
              <w:left w:val="nil"/>
              <w:bottom w:val="single" w:sz="4" w:space="0" w:color="auto"/>
              <w:right w:val="nil"/>
            </w:tcBorders>
            <w:vAlign w:val="center"/>
          </w:tcPr>
          <w:p w14:paraId="4B3980EC"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100.0</w:t>
            </w:r>
          </w:p>
        </w:tc>
      </w:tr>
      <w:tr w:rsidR="00A84E96" w:rsidRPr="007A25AE" w14:paraId="031F686E" w14:textId="77777777" w:rsidTr="007A25AE">
        <w:trPr>
          <w:trHeight w:val="319"/>
          <w:jc w:val="center"/>
        </w:trPr>
        <w:tc>
          <w:tcPr>
            <w:tcW w:w="1118" w:type="dxa"/>
            <w:vMerge w:val="restart"/>
            <w:tcBorders>
              <w:left w:val="nil"/>
              <w:bottom w:val="nil"/>
              <w:right w:val="nil"/>
            </w:tcBorders>
          </w:tcPr>
          <w:p w14:paraId="25F80547" w14:textId="77777777" w:rsidR="00A84E96" w:rsidRPr="007A25AE" w:rsidRDefault="00A84E96" w:rsidP="00A84E96">
            <w:pPr>
              <w:contextualSpacing/>
              <w:jc w:val="center"/>
              <w:rPr>
                <w:rFonts w:ascii="Times New Roman" w:hAnsi="Times New Roman" w:cs="Times New Roman"/>
                <w:sz w:val="20"/>
                <w:szCs w:val="20"/>
              </w:rPr>
            </w:pPr>
            <w:r w:rsidRPr="007A25AE">
              <w:rPr>
                <w:rFonts w:ascii="Times New Roman" w:hAnsi="Times New Roman" w:cs="Times New Roman"/>
                <w:sz w:val="20"/>
                <w:szCs w:val="20"/>
              </w:rPr>
              <w:t>10</w:t>
            </w:r>
          </w:p>
        </w:tc>
        <w:tc>
          <w:tcPr>
            <w:tcW w:w="2562" w:type="dxa"/>
            <w:vMerge w:val="restart"/>
            <w:tcBorders>
              <w:left w:val="nil"/>
              <w:bottom w:val="nil"/>
              <w:right w:val="nil"/>
            </w:tcBorders>
          </w:tcPr>
          <w:p w14:paraId="36EF32E9" w14:textId="77777777" w:rsidR="00A84E96" w:rsidRPr="007A25AE" w:rsidRDefault="00A84E96" w:rsidP="00E224AA">
            <w:pPr>
              <w:contextualSpacing/>
              <w:rPr>
                <w:rFonts w:ascii="Times New Roman" w:hAnsi="Times New Roman" w:cs="Times New Roman"/>
                <w:sz w:val="20"/>
                <w:szCs w:val="20"/>
              </w:rPr>
            </w:pPr>
            <w:r w:rsidRPr="007A25AE">
              <w:rPr>
                <w:rFonts w:ascii="Times New Roman" w:hAnsi="Times New Roman" w:cs="Times New Roman"/>
                <w:sz w:val="20"/>
                <w:szCs w:val="20"/>
              </w:rPr>
              <w:t>Do you use GIS in your Fire station?</w:t>
            </w:r>
          </w:p>
        </w:tc>
        <w:tc>
          <w:tcPr>
            <w:tcW w:w="1854" w:type="dxa"/>
            <w:tcBorders>
              <w:left w:val="nil"/>
              <w:bottom w:val="nil"/>
              <w:right w:val="nil"/>
            </w:tcBorders>
            <w:vAlign w:val="center"/>
          </w:tcPr>
          <w:p w14:paraId="1180DE61"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Yes</w:t>
            </w:r>
          </w:p>
        </w:tc>
        <w:tc>
          <w:tcPr>
            <w:tcW w:w="1738" w:type="dxa"/>
            <w:tcBorders>
              <w:left w:val="nil"/>
              <w:bottom w:val="nil"/>
              <w:right w:val="nil"/>
            </w:tcBorders>
            <w:vAlign w:val="center"/>
          </w:tcPr>
          <w:p w14:paraId="17DFD887"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5</w:t>
            </w:r>
          </w:p>
        </w:tc>
        <w:tc>
          <w:tcPr>
            <w:tcW w:w="1744" w:type="dxa"/>
            <w:tcBorders>
              <w:left w:val="nil"/>
              <w:bottom w:val="nil"/>
              <w:right w:val="nil"/>
            </w:tcBorders>
            <w:vAlign w:val="center"/>
          </w:tcPr>
          <w:p w14:paraId="018269BF"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4.5</w:t>
            </w:r>
          </w:p>
        </w:tc>
      </w:tr>
      <w:tr w:rsidR="00A84E96" w:rsidRPr="007A25AE" w14:paraId="290089BF" w14:textId="77777777" w:rsidTr="007A25AE">
        <w:trPr>
          <w:trHeight w:val="227"/>
          <w:jc w:val="center"/>
        </w:trPr>
        <w:tc>
          <w:tcPr>
            <w:tcW w:w="1118" w:type="dxa"/>
            <w:vMerge/>
            <w:tcBorders>
              <w:top w:val="nil"/>
              <w:left w:val="nil"/>
              <w:bottom w:val="nil"/>
              <w:right w:val="nil"/>
            </w:tcBorders>
          </w:tcPr>
          <w:p w14:paraId="66F60599"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0741A86B"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nil"/>
              <w:right w:val="nil"/>
            </w:tcBorders>
            <w:vAlign w:val="center"/>
          </w:tcPr>
          <w:p w14:paraId="7CE6D654"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No</w:t>
            </w:r>
          </w:p>
        </w:tc>
        <w:tc>
          <w:tcPr>
            <w:tcW w:w="1738" w:type="dxa"/>
            <w:tcBorders>
              <w:top w:val="nil"/>
              <w:left w:val="nil"/>
              <w:bottom w:val="nil"/>
              <w:right w:val="nil"/>
            </w:tcBorders>
            <w:vAlign w:val="center"/>
          </w:tcPr>
          <w:p w14:paraId="3EB93CF7"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107</w:t>
            </w:r>
          </w:p>
        </w:tc>
        <w:tc>
          <w:tcPr>
            <w:tcW w:w="1744" w:type="dxa"/>
            <w:tcBorders>
              <w:top w:val="nil"/>
              <w:left w:val="nil"/>
              <w:bottom w:val="nil"/>
              <w:right w:val="nil"/>
            </w:tcBorders>
            <w:vAlign w:val="center"/>
          </w:tcPr>
          <w:p w14:paraId="6364B1A9"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95.5</w:t>
            </w:r>
          </w:p>
        </w:tc>
      </w:tr>
      <w:tr w:rsidR="00A84E96" w:rsidRPr="007A25AE" w14:paraId="556981F8" w14:textId="77777777" w:rsidTr="007A25AE">
        <w:trPr>
          <w:trHeight w:val="273"/>
          <w:jc w:val="center"/>
        </w:trPr>
        <w:tc>
          <w:tcPr>
            <w:tcW w:w="1118" w:type="dxa"/>
            <w:vMerge/>
            <w:tcBorders>
              <w:top w:val="nil"/>
              <w:left w:val="nil"/>
              <w:bottom w:val="single" w:sz="4" w:space="0" w:color="auto"/>
              <w:right w:val="nil"/>
            </w:tcBorders>
          </w:tcPr>
          <w:p w14:paraId="14B126B4"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6B267159"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single" w:sz="4" w:space="0" w:color="auto"/>
              <w:right w:val="nil"/>
            </w:tcBorders>
            <w:vAlign w:val="center"/>
          </w:tcPr>
          <w:p w14:paraId="3CD758BF"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Total</w:t>
            </w:r>
          </w:p>
        </w:tc>
        <w:tc>
          <w:tcPr>
            <w:tcW w:w="1738" w:type="dxa"/>
            <w:tcBorders>
              <w:top w:val="nil"/>
              <w:left w:val="nil"/>
              <w:bottom w:val="single" w:sz="4" w:space="0" w:color="auto"/>
              <w:right w:val="nil"/>
            </w:tcBorders>
            <w:vAlign w:val="center"/>
          </w:tcPr>
          <w:p w14:paraId="2C746324"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112</w:t>
            </w:r>
          </w:p>
        </w:tc>
        <w:tc>
          <w:tcPr>
            <w:tcW w:w="1744" w:type="dxa"/>
            <w:tcBorders>
              <w:top w:val="nil"/>
              <w:left w:val="nil"/>
              <w:bottom w:val="single" w:sz="4" w:space="0" w:color="auto"/>
              <w:right w:val="nil"/>
            </w:tcBorders>
            <w:vAlign w:val="center"/>
          </w:tcPr>
          <w:p w14:paraId="080C280F"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100.0</w:t>
            </w:r>
          </w:p>
        </w:tc>
      </w:tr>
      <w:tr w:rsidR="00A84E96" w:rsidRPr="007A25AE" w14:paraId="21C027E9" w14:textId="77777777" w:rsidTr="007A25AE">
        <w:trPr>
          <w:trHeight w:val="273"/>
          <w:jc w:val="center"/>
        </w:trPr>
        <w:tc>
          <w:tcPr>
            <w:tcW w:w="1118" w:type="dxa"/>
            <w:vMerge w:val="restart"/>
            <w:tcBorders>
              <w:left w:val="nil"/>
              <w:bottom w:val="nil"/>
              <w:right w:val="nil"/>
            </w:tcBorders>
          </w:tcPr>
          <w:p w14:paraId="4BABDB9D" w14:textId="77777777" w:rsidR="00A84E96" w:rsidRPr="007A25AE" w:rsidRDefault="00A84E96" w:rsidP="00A84E96">
            <w:pPr>
              <w:contextualSpacing/>
              <w:jc w:val="center"/>
              <w:rPr>
                <w:rFonts w:ascii="Times New Roman" w:hAnsi="Times New Roman" w:cs="Times New Roman"/>
                <w:sz w:val="20"/>
                <w:szCs w:val="20"/>
              </w:rPr>
            </w:pPr>
            <w:r w:rsidRPr="007A25AE">
              <w:rPr>
                <w:rFonts w:ascii="Times New Roman" w:hAnsi="Times New Roman" w:cs="Times New Roman"/>
                <w:sz w:val="20"/>
                <w:szCs w:val="20"/>
              </w:rPr>
              <w:t>11</w:t>
            </w:r>
          </w:p>
        </w:tc>
        <w:tc>
          <w:tcPr>
            <w:tcW w:w="2562" w:type="dxa"/>
            <w:vMerge w:val="restart"/>
            <w:tcBorders>
              <w:left w:val="nil"/>
              <w:bottom w:val="nil"/>
              <w:right w:val="nil"/>
            </w:tcBorders>
          </w:tcPr>
          <w:p w14:paraId="1B14EBAE" w14:textId="77777777" w:rsidR="00A84E96" w:rsidRPr="007A25AE" w:rsidRDefault="00A84E96" w:rsidP="00E224AA">
            <w:pPr>
              <w:contextualSpacing/>
              <w:rPr>
                <w:rFonts w:ascii="Times New Roman" w:hAnsi="Times New Roman" w:cs="Times New Roman"/>
                <w:sz w:val="20"/>
                <w:szCs w:val="20"/>
              </w:rPr>
            </w:pPr>
            <w:r w:rsidRPr="007A25AE">
              <w:rPr>
                <w:rFonts w:ascii="Times New Roman" w:hAnsi="Times New Roman" w:cs="Times New Roman"/>
                <w:sz w:val="20"/>
                <w:szCs w:val="20"/>
              </w:rPr>
              <w:t>Does your organisation train you for computer literacy and/or GIS?</w:t>
            </w:r>
          </w:p>
        </w:tc>
        <w:tc>
          <w:tcPr>
            <w:tcW w:w="1854" w:type="dxa"/>
            <w:tcBorders>
              <w:left w:val="nil"/>
              <w:bottom w:val="nil"/>
              <w:right w:val="nil"/>
            </w:tcBorders>
            <w:vAlign w:val="center"/>
          </w:tcPr>
          <w:p w14:paraId="0CA23D4B"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Yes</w:t>
            </w:r>
          </w:p>
        </w:tc>
        <w:tc>
          <w:tcPr>
            <w:tcW w:w="1738" w:type="dxa"/>
            <w:tcBorders>
              <w:left w:val="nil"/>
              <w:bottom w:val="nil"/>
              <w:right w:val="nil"/>
            </w:tcBorders>
            <w:vAlign w:val="center"/>
          </w:tcPr>
          <w:p w14:paraId="471619DF"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19</w:t>
            </w:r>
          </w:p>
        </w:tc>
        <w:tc>
          <w:tcPr>
            <w:tcW w:w="1744" w:type="dxa"/>
            <w:tcBorders>
              <w:left w:val="nil"/>
              <w:bottom w:val="nil"/>
              <w:right w:val="nil"/>
            </w:tcBorders>
            <w:vAlign w:val="center"/>
          </w:tcPr>
          <w:p w14:paraId="35EB5F9F"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17.0</w:t>
            </w:r>
          </w:p>
        </w:tc>
      </w:tr>
      <w:tr w:rsidR="00A84E96" w:rsidRPr="007A25AE" w14:paraId="51B2B53D" w14:textId="77777777" w:rsidTr="007A25AE">
        <w:trPr>
          <w:trHeight w:val="122"/>
          <w:jc w:val="center"/>
        </w:trPr>
        <w:tc>
          <w:tcPr>
            <w:tcW w:w="1118" w:type="dxa"/>
            <w:vMerge/>
            <w:tcBorders>
              <w:top w:val="nil"/>
              <w:left w:val="nil"/>
              <w:bottom w:val="nil"/>
              <w:right w:val="nil"/>
            </w:tcBorders>
          </w:tcPr>
          <w:p w14:paraId="63C7E49E"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069A6C7A"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nil"/>
              <w:right w:val="nil"/>
            </w:tcBorders>
            <w:vAlign w:val="center"/>
          </w:tcPr>
          <w:p w14:paraId="6D402716"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No</w:t>
            </w:r>
          </w:p>
        </w:tc>
        <w:tc>
          <w:tcPr>
            <w:tcW w:w="1738" w:type="dxa"/>
            <w:tcBorders>
              <w:top w:val="nil"/>
              <w:left w:val="nil"/>
              <w:bottom w:val="nil"/>
              <w:right w:val="nil"/>
            </w:tcBorders>
            <w:vAlign w:val="center"/>
          </w:tcPr>
          <w:p w14:paraId="51285B9F"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93</w:t>
            </w:r>
          </w:p>
        </w:tc>
        <w:tc>
          <w:tcPr>
            <w:tcW w:w="1744" w:type="dxa"/>
            <w:tcBorders>
              <w:top w:val="nil"/>
              <w:left w:val="nil"/>
              <w:bottom w:val="nil"/>
              <w:right w:val="nil"/>
            </w:tcBorders>
            <w:vAlign w:val="center"/>
          </w:tcPr>
          <w:p w14:paraId="144FBA81"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83.0</w:t>
            </w:r>
          </w:p>
        </w:tc>
      </w:tr>
      <w:tr w:rsidR="00A84E96" w:rsidRPr="007A25AE" w14:paraId="60F74231" w14:textId="77777777" w:rsidTr="007A25AE">
        <w:trPr>
          <w:trHeight w:val="227"/>
          <w:jc w:val="center"/>
        </w:trPr>
        <w:tc>
          <w:tcPr>
            <w:tcW w:w="1118" w:type="dxa"/>
            <w:vMerge/>
            <w:tcBorders>
              <w:top w:val="nil"/>
              <w:left w:val="nil"/>
              <w:bottom w:val="single" w:sz="4" w:space="0" w:color="auto"/>
              <w:right w:val="nil"/>
            </w:tcBorders>
          </w:tcPr>
          <w:p w14:paraId="4FDFBED9"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55A974EE"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single" w:sz="4" w:space="0" w:color="auto"/>
              <w:right w:val="nil"/>
            </w:tcBorders>
            <w:vAlign w:val="center"/>
          </w:tcPr>
          <w:p w14:paraId="60F7B017"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Total</w:t>
            </w:r>
          </w:p>
        </w:tc>
        <w:tc>
          <w:tcPr>
            <w:tcW w:w="1738" w:type="dxa"/>
            <w:tcBorders>
              <w:top w:val="nil"/>
              <w:left w:val="nil"/>
              <w:bottom w:val="single" w:sz="4" w:space="0" w:color="auto"/>
              <w:right w:val="nil"/>
            </w:tcBorders>
            <w:vAlign w:val="center"/>
          </w:tcPr>
          <w:p w14:paraId="192B5633"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112</w:t>
            </w:r>
          </w:p>
        </w:tc>
        <w:tc>
          <w:tcPr>
            <w:tcW w:w="1744" w:type="dxa"/>
            <w:tcBorders>
              <w:top w:val="nil"/>
              <w:left w:val="nil"/>
              <w:bottom w:val="single" w:sz="4" w:space="0" w:color="auto"/>
              <w:right w:val="nil"/>
            </w:tcBorders>
            <w:vAlign w:val="center"/>
          </w:tcPr>
          <w:p w14:paraId="2E968EF6"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100.0</w:t>
            </w:r>
          </w:p>
        </w:tc>
      </w:tr>
      <w:tr w:rsidR="00A84E96" w:rsidRPr="007A25AE" w14:paraId="1C8C920F" w14:textId="77777777" w:rsidTr="007A25AE">
        <w:trPr>
          <w:trHeight w:val="395"/>
          <w:jc w:val="center"/>
        </w:trPr>
        <w:tc>
          <w:tcPr>
            <w:tcW w:w="1118" w:type="dxa"/>
            <w:vMerge w:val="restart"/>
            <w:tcBorders>
              <w:left w:val="nil"/>
              <w:bottom w:val="nil"/>
              <w:right w:val="nil"/>
            </w:tcBorders>
          </w:tcPr>
          <w:p w14:paraId="08B32EF1" w14:textId="77777777" w:rsidR="00A84E96" w:rsidRPr="007A25AE" w:rsidRDefault="00A84E96" w:rsidP="00A84E96">
            <w:pPr>
              <w:contextualSpacing/>
              <w:jc w:val="center"/>
              <w:rPr>
                <w:rFonts w:ascii="Times New Roman" w:hAnsi="Times New Roman" w:cs="Times New Roman"/>
                <w:sz w:val="20"/>
                <w:szCs w:val="20"/>
              </w:rPr>
            </w:pPr>
            <w:r w:rsidRPr="007A25AE">
              <w:rPr>
                <w:rFonts w:ascii="Times New Roman" w:hAnsi="Times New Roman" w:cs="Times New Roman"/>
                <w:sz w:val="20"/>
                <w:szCs w:val="20"/>
              </w:rPr>
              <w:t>12</w:t>
            </w:r>
          </w:p>
        </w:tc>
        <w:tc>
          <w:tcPr>
            <w:tcW w:w="2562" w:type="dxa"/>
            <w:vMerge w:val="restart"/>
            <w:tcBorders>
              <w:left w:val="nil"/>
              <w:bottom w:val="nil"/>
              <w:right w:val="nil"/>
            </w:tcBorders>
          </w:tcPr>
          <w:p w14:paraId="5D1C7E8F" w14:textId="77777777" w:rsidR="00A84E96" w:rsidRPr="007A25AE" w:rsidRDefault="00A84E96" w:rsidP="00E224AA">
            <w:pPr>
              <w:contextualSpacing/>
              <w:rPr>
                <w:rFonts w:ascii="Times New Roman" w:hAnsi="Times New Roman" w:cs="Times New Roman"/>
                <w:sz w:val="20"/>
                <w:szCs w:val="20"/>
              </w:rPr>
            </w:pPr>
            <w:r w:rsidRPr="007A25AE">
              <w:rPr>
                <w:rFonts w:ascii="Times New Roman" w:hAnsi="Times New Roman" w:cs="Times New Roman"/>
                <w:sz w:val="20"/>
                <w:szCs w:val="20"/>
              </w:rPr>
              <w:t>When you were in school were you</w:t>
            </w:r>
            <w:r w:rsidRPr="007A25AE">
              <w:rPr>
                <w:rFonts w:ascii="Times New Roman" w:hAnsi="Times New Roman" w:cs="Times New Roman"/>
                <w:color w:val="000000"/>
                <w:sz w:val="20"/>
                <w:szCs w:val="20"/>
              </w:rPr>
              <w:t xml:space="preserve"> </w:t>
            </w:r>
            <w:r w:rsidRPr="007A25AE">
              <w:rPr>
                <w:rFonts w:ascii="Times New Roman" w:hAnsi="Times New Roman" w:cs="Times New Roman"/>
                <w:sz w:val="20"/>
                <w:szCs w:val="20"/>
              </w:rPr>
              <w:t>taught any GIS</w:t>
            </w:r>
            <w:r w:rsidRPr="007A25AE">
              <w:rPr>
                <w:rFonts w:ascii="Times New Roman" w:hAnsi="Times New Roman" w:cs="Times New Roman"/>
                <w:color w:val="000000"/>
                <w:sz w:val="20"/>
                <w:szCs w:val="20"/>
              </w:rPr>
              <w:t xml:space="preserve"> </w:t>
            </w:r>
            <w:r w:rsidRPr="007A25AE">
              <w:rPr>
                <w:rFonts w:ascii="Times New Roman" w:hAnsi="Times New Roman" w:cs="Times New Roman"/>
                <w:sz w:val="20"/>
                <w:szCs w:val="20"/>
              </w:rPr>
              <w:t>course?</w:t>
            </w:r>
          </w:p>
          <w:p w14:paraId="293017D5" w14:textId="77777777" w:rsidR="00A84E96" w:rsidRPr="007A25AE" w:rsidRDefault="00A84E96" w:rsidP="00E224AA">
            <w:pPr>
              <w:contextualSpacing/>
              <w:rPr>
                <w:rFonts w:ascii="Times New Roman" w:hAnsi="Times New Roman" w:cs="Times New Roman"/>
                <w:b/>
                <w:sz w:val="20"/>
                <w:szCs w:val="20"/>
              </w:rPr>
            </w:pPr>
          </w:p>
        </w:tc>
        <w:tc>
          <w:tcPr>
            <w:tcW w:w="1854" w:type="dxa"/>
            <w:tcBorders>
              <w:left w:val="nil"/>
              <w:bottom w:val="nil"/>
              <w:right w:val="nil"/>
            </w:tcBorders>
            <w:vAlign w:val="center"/>
          </w:tcPr>
          <w:p w14:paraId="350EFEBA"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Yes</w:t>
            </w:r>
          </w:p>
        </w:tc>
        <w:tc>
          <w:tcPr>
            <w:tcW w:w="1738" w:type="dxa"/>
            <w:tcBorders>
              <w:left w:val="nil"/>
              <w:bottom w:val="nil"/>
              <w:right w:val="nil"/>
            </w:tcBorders>
            <w:vAlign w:val="center"/>
          </w:tcPr>
          <w:p w14:paraId="1B4EEFD4"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15</w:t>
            </w:r>
          </w:p>
        </w:tc>
        <w:tc>
          <w:tcPr>
            <w:tcW w:w="1744" w:type="dxa"/>
            <w:tcBorders>
              <w:left w:val="nil"/>
              <w:bottom w:val="nil"/>
              <w:right w:val="nil"/>
            </w:tcBorders>
            <w:vAlign w:val="center"/>
          </w:tcPr>
          <w:p w14:paraId="3E534BB7"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13.4</w:t>
            </w:r>
          </w:p>
        </w:tc>
      </w:tr>
      <w:tr w:rsidR="00A84E96" w:rsidRPr="007A25AE" w14:paraId="79404782" w14:textId="77777777" w:rsidTr="007A25AE">
        <w:trPr>
          <w:trHeight w:val="350"/>
          <w:jc w:val="center"/>
        </w:trPr>
        <w:tc>
          <w:tcPr>
            <w:tcW w:w="1118" w:type="dxa"/>
            <w:vMerge/>
            <w:tcBorders>
              <w:top w:val="nil"/>
              <w:left w:val="nil"/>
              <w:bottom w:val="nil"/>
              <w:right w:val="nil"/>
            </w:tcBorders>
          </w:tcPr>
          <w:p w14:paraId="57CC1679"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4B8715AB"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nil"/>
              <w:right w:val="nil"/>
            </w:tcBorders>
            <w:vAlign w:val="center"/>
          </w:tcPr>
          <w:p w14:paraId="185728AD"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No</w:t>
            </w:r>
          </w:p>
        </w:tc>
        <w:tc>
          <w:tcPr>
            <w:tcW w:w="1738" w:type="dxa"/>
            <w:tcBorders>
              <w:top w:val="nil"/>
              <w:left w:val="nil"/>
              <w:bottom w:val="nil"/>
              <w:right w:val="nil"/>
            </w:tcBorders>
            <w:vAlign w:val="center"/>
          </w:tcPr>
          <w:p w14:paraId="62C0295F"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97</w:t>
            </w:r>
          </w:p>
        </w:tc>
        <w:tc>
          <w:tcPr>
            <w:tcW w:w="1744" w:type="dxa"/>
            <w:tcBorders>
              <w:top w:val="nil"/>
              <w:left w:val="nil"/>
              <w:bottom w:val="nil"/>
              <w:right w:val="nil"/>
            </w:tcBorders>
            <w:vAlign w:val="center"/>
          </w:tcPr>
          <w:p w14:paraId="01000805"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86.6</w:t>
            </w:r>
          </w:p>
        </w:tc>
      </w:tr>
      <w:tr w:rsidR="00A84E96" w:rsidRPr="007A25AE" w14:paraId="0E9B489F" w14:textId="77777777" w:rsidTr="007A25AE">
        <w:trPr>
          <w:trHeight w:val="359"/>
          <w:jc w:val="center"/>
        </w:trPr>
        <w:tc>
          <w:tcPr>
            <w:tcW w:w="1118" w:type="dxa"/>
            <w:vMerge/>
            <w:tcBorders>
              <w:top w:val="nil"/>
              <w:left w:val="nil"/>
              <w:bottom w:val="single" w:sz="4" w:space="0" w:color="auto"/>
              <w:right w:val="nil"/>
            </w:tcBorders>
          </w:tcPr>
          <w:p w14:paraId="32044010"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681A722A"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single" w:sz="4" w:space="0" w:color="auto"/>
              <w:right w:val="nil"/>
            </w:tcBorders>
            <w:vAlign w:val="center"/>
          </w:tcPr>
          <w:p w14:paraId="599A929E" w14:textId="77777777" w:rsidR="00A84E96" w:rsidRPr="007A25AE" w:rsidRDefault="00A84E96" w:rsidP="00A84E96">
            <w:pPr>
              <w:autoSpaceDE w:val="0"/>
              <w:autoSpaceDN w:val="0"/>
              <w:adjustRightInd w:val="0"/>
              <w:ind w:left="58" w:right="58"/>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Total</w:t>
            </w:r>
          </w:p>
        </w:tc>
        <w:tc>
          <w:tcPr>
            <w:tcW w:w="1738" w:type="dxa"/>
            <w:tcBorders>
              <w:top w:val="nil"/>
              <w:left w:val="nil"/>
              <w:bottom w:val="single" w:sz="4" w:space="0" w:color="auto"/>
              <w:right w:val="nil"/>
            </w:tcBorders>
            <w:vAlign w:val="center"/>
          </w:tcPr>
          <w:p w14:paraId="19F79DAE" w14:textId="77777777" w:rsidR="00A84E96" w:rsidRPr="007A25AE" w:rsidRDefault="00A84E96" w:rsidP="00A84E96">
            <w:pPr>
              <w:autoSpaceDE w:val="0"/>
              <w:autoSpaceDN w:val="0"/>
              <w:adjustRightInd w:val="0"/>
              <w:ind w:left="58" w:right="58"/>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112</w:t>
            </w:r>
          </w:p>
        </w:tc>
        <w:tc>
          <w:tcPr>
            <w:tcW w:w="1744" w:type="dxa"/>
            <w:tcBorders>
              <w:top w:val="nil"/>
              <w:left w:val="nil"/>
              <w:bottom w:val="single" w:sz="4" w:space="0" w:color="auto"/>
              <w:right w:val="nil"/>
            </w:tcBorders>
            <w:vAlign w:val="center"/>
          </w:tcPr>
          <w:p w14:paraId="4B68CD5D" w14:textId="77777777" w:rsidR="00A84E96" w:rsidRPr="007A25AE" w:rsidRDefault="00A84E96" w:rsidP="00A84E96">
            <w:pPr>
              <w:autoSpaceDE w:val="0"/>
              <w:autoSpaceDN w:val="0"/>
              <w:adjustRightInd w:val="0"/>
              <w:ind w:left="58" w:right="58"/>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100.0</w:t>
            </w:r>
          </w:p>
        </w:tc>
      </w:tr>
      <w:tr w:rsidR="00A84E96" w:rsidRPr="007A25AE" w14:paraId="5606E66E" w14:textId="77777777" w:rsidTr="007A25AE">
        <w:trPr>
          <w:trHeight w:val="251"/>
          <w:jc w:val="center"/>
        </w:trPr>
        <w:tc>
          <w:tcPr>
            <w:tcW w:w="1118" w:type="dxa"/>
            <w:vMerge w:val="restart"/>
            <w:tcBorders>
              <w:left w:val="nil"/>
              <w:bottom w:val="nil"/>
              <w:right w:val="nil"/>
            </w:tcBorders>
          </w:tcPr>
          <w:p w14:paraId="763DBB73" w14:textId="77777777" w:rsidR="00A84E96" w:rsidRPr="007A25AE" w:rsidRDefault="00A84E96" w:rsidP="00A84E96">
            <w:pPr>
              <w:contextualSpacing/>
              <w:jc w:val="center"/>
              <w:rPr>
                <w:rFonts w:ascii="Times New Roman" w:hAnsi="Times New Roman" w:cs="Times New Roman"/>
                <w:sz w:val="20"/>
                <w:szCs w:val="20"/>
              </w:rPr>
            </w:pPr>
            <w:r w:rsidRPr="007A25AE">
              <w:rPr>
                <w:rFonts w:ascii="Times New Roman" w:hAnsi="Times New Roman" w:cs="Times New Roman"/>
                <w:sz w:val="20"/>
                <w:szCs w:val="20"/>
              </w:rPr>
              <w:t>13</w:t>
            </w:r>
          </w:p>
        </w:tc>
        <w:tc>
          <w:tcPr>
            <w:tcW w:w="2562" w:type="dxa"/>
            <w:vMerge w:val="restart"/>
            <w:tcBorders>
              <w:left w:val="nil"/>
              <w:bottom w:val="nil"/>
              <w:right w:val="nil"/>
            </w:tcBorders>
          </w:tcPr>
          <w:p w14:paraId="394D13C1" w14:textId="77777777" w:rsidR="00A84E96" w:rsidRPr="007A25AE" w:rsidRDefault="00A84E96" w:rsidP="00E224AA">
            <w:pPr>
              <w:contextualSpacing/>
              <w:rPr>
                <w:rFonts w:ascii="Times New Roman" w:hAnsi="Times New Roman" w:cs="Times New Roman"/>
                <w:b/>
                <w:sz w:val="20"/>
                <w:szCs w:val="20"/>
              </w:rPr>
            </w:pPr>
            <w:r w:rsidRPr="007A25AE">
              <w:rPr>
                <w:rFonts w:ascii="Times New Roman" w:hAnsi="Times New Roman" w:cs="Times New Roman"/>
                <w:sz w:val="20"/>
                <w:szCs w:val="20"/>
              </w:rPr>
              <w:t>Do you have interest in GIS training</w:t>
            </w:r>
            <w:r w:rsidRPr="007A25AE" w:rsidDel="00AB4107">
              <w:rPr>
                <w:rFonts w:ascii="Times New Roman" w:hAnsi="Times New Roman" w:cs="Times New Roman"/>
                <w:sz w:val="20"/>
                <w:szCs w:val="20"/>
              </w:rPr>
              <w:t xml:space="preserve"> </w:t>
            </w:r>
            <w:r w:rsidRPr="007A25AE">
              <w:rPr>
                <w:rFonts w:ascii="Times New Roman" w:hAnsi="Times New Roman" w:cs="Times New Roman"/>
                <w:sz w:val="20"/>
                <w:szCs w:val="20"/>
              </w:rPr>
              <w:t>programmes?</w:t>
            </w:r>
          </w:p>
        </w:tc>
        <w:tc>
          <w:tcPr>
            <w:tcW w:w="1854" w:type="dxa"/>
            <w:tcBorders>
              <w:left w:val="nil"/>
              <w:bottom w:val="nil"/>
              <w:right w:val="nil"/>
            </w:tcBorders>
            <w:vAlign w:val="center"/>
          </w:tcPr>
          <w:p w14:paraId="5CFB9905"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Yes</w:t>
            </w:r>
          </w:p>
        </w:tc>
        <w:tc>
          <w:tcPr>
            <w:tcW w:w="1738" w:type="dxa"/>
            <w:tcBorders>
              <w:left w:val="nil"/>
              <w:bottom w:val="nil"/>
              <w:right w:val="nil"/>
            </w:tcBorders>
            <w:vAlign w:val="center"/>
          </w:tcPr>
          <w:p w14:paraId="3B2A40B7"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100</w:t>
            </w:r>
          </w:p>
        </w:tc>
        <w:tc>
          <w:tcPr>
            <w:tcW w:w="1744" w:type="dxa"/>
            <w:tcBorders>
              <w:left w:val="nil"/>
              <w:bottom w:val="nil"/>
              <w:right w:val="nil"/>
            </w:tcBorders>
            <w:vAlign w:val="center"/>
          </w:tcPr>
          <w:p w14:paraId="5F017589"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89.3</w:t>
            </w:r>
          </w:p>
        </w:tc>
      </w:tr>
      <w:tr w:rsidR="00A84E96" w:rsidRPr="007A25AE" w14:paraId="3ACC315C" w14:textId="77777777" w:rsidTr="007A25AE">
        <w:trPr>
          <w:trHeight w:val="258"/>
          <w:jc w:val="center"/>
        </w:trPr>
        <w:tc>
          <w:tcPr>
            <w:tcW w:w="1118" w:type="dxa"/>
            <w:vMerge/>
            <w:tcBorders>
              <w:top w:val="nil"/>
              <w:left w:val="nil"/>
              <w:bottom w:val="nil"/>
              <w:right w:val="nil"/>
            </w:tcBorders>
          </w:tcPr>
          <w:p w14:paraId="61C2E5BF"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0CF4BDC9"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nil"/>
              <w:right w:val="nil"/>
            </w:tcBorders>
            <w:vAlign w:val="center"/>
          </w:tcPr>
          <w:p w14:paraId="242182FD"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No</w:t>
            </w:r>
          </w:p>
        </w:tc>
        <w:tc>
          <w:tcPr>
            <w:tcW w:w="1738" w:type="dxa"/>
            <w:tcBorders>
              <w:top w:val="nil"/>
              <w:left w:val="nil"/>
              <w:bottom w:val="nil"/>
              <w:right w:val="nil"/>
            </w:tcBorders>
            <w:vAlign w:val="center"/>
          </w:tcPr>
          <w:p w14:paraId="34AAFBE1"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12</w:t>
            </w:r>
          </w:p>
        </w:tc>
        <w:tc>
          <w:tcPr>
            <w:tcW w:w="1744" w:type="dxa"/>
            <w:tcBorders>
              <w:top w:val="nil"/>
              <w:left w:val="nil"/>
              <w:bottom w:val="nil"/>
              <w:right w:val="nil"/>
            </w:tcBorders>
            <w:vAlign w:val="center"/>
          </w:tcPr>
          <w:p w14:paraId="1E8DA3A8"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10.7</w:t>
            </w:r>
          </w:p>
        </w:tc>
      </w:tr>
      <w:tr w:rsidR="00A84E96" w:rsidRPr="007A25AE" w14:paraId="6A5BE93A" w14:textId="77777777" w:rsidTr="007A25AE">
        <w:trPr>
          <w:trHeight w:val="251"/>
          <w:jc w:val="center"/>
        </w:trPr>
        <w:tc>
          <w:tcPr>
            <w:tcW w:w="1118" w:type="dxa"/>
            <w:vMerge/>
            <w:tcBorders>
              <w:top w:val="nil"/>
              <w:left w:val="nil"/>
              <w:bottom w:val="single" w:sz="4" w:space="0" w:color="auto"/>
              <w:right w:val="nil"/>
            </w:tcBorders>
          </w:tcPr>
          <w:p w14:paraId="468E5B48"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5E50B039"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single" w:sz="4" w:space="0" w:color="auto"/>
              <w:right w:val="nil"/>
            </w:tcBorders>
            <w:vAlign w:val="center"/>
          </w:tcPr>
          <w:p w14:paraId="58855718"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Total</w:t>
            </w:r>
          </w:p>
        </w:tc>
        <w:tc>
          <w:tcPr>
            <w:tcW w:w="1738" w:type="dxa"/>
            <w:tcBorders>
              <w:top w:val="nil"/>
              <w:left w:val="nil"/>
              <w:bottom w:val="single" w:sz="4" w:space="0" w:color="auto"/>
              <w:right w:val="nil"/>
            </w:tcBorders>
            <w:vAlign w:val="center"/>
          </w:tcPr>
          <w:p w14:paraId="0E6B0C23"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112</w:t>
            </w:r>
          </w:p>
        </w:tc>
        <w:tc>
          <w:tcPr>
            <w:tcW w:w="1744" w:type="dxa"/>
            <w:tcBorders>
              <w:top w:val="nil"/>
              <w:left w:val="nil"/>
              <w:bottom w:val="single" w:sz="4" w:space="0" w:color="auto"/>
              <w:right w:val="nil"/>
            </w:tcBorders>
            <w:vAlign w:val="center"/>
          </w:tcPr>
          <w:p w14:paraId="3BBD5B14"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b/>
                <w:color w:val="000000"/>
                <w:sz w:val="20"/>
                <w:szCs w:val="20"/>
              </w:rPr>
            </w:pPr>
            <w:r w:rsidRPr="007A25AE">
              <w:rPr>
                <w:rFonts w:ascii="Times New Roman" w:hAnsi="Times New Roman" w:cs="Times New Roman"/>
                <w:b/>
                <w:color w:val="000000"/>
                <w:sz w:val="20"/>
                <w:szCs w:val="20"/>
              </w:rPr>
              <w:t>100.0</w:t>
            </w:r>
          </w:p>
        </w:tc>
      </w:tr>
      <w:tr w:rsidR="00A84E96" w:rsidRPr="007A25AE" w14:paraId="0BA6A505" w14:textId="77777777" w:rsidTr="007A25AE">
        <w:trPr>
          <w:trHeight w:val="199"/>
          <w:jc w:val="center"/>
        </w:trPr>
        <w:tc>
          <w:tcPr>
            <w:tcW w:w="1118" w:type="dxa"/>
            <w:vMerge w:val="restart"/>
            <w:tcBorders>
              <w:left w:val="nil"/>
              <w:bottom w:val="nil"/>
              <w:right w:val="nil"/>
            </w:tcBorders>
          </w:tcPr>
          <w:p w14:paraId="630F438A" w14:textId="77777777" w:rsidR="00A84E96" w:rsidRPr="007A25AE" w:rsidRDefault="00A84E96" w:rsidP="00A84E96">
            <w:pPr>
              <w:contextualSpacing/>
              <w:jc w:val="center"/>
              <w:rPr>
                <w:rFonts w:ascii="Times New Roman" w:hAnsi="Times New Roman" w:cs="Times New Roman"/>
                <w:sz w:val="20"/>
                <w:szCs w:val="20"/>
              </w:rPr>
            </w:pPr>
            <w:r w:rsidRPr="007A25AE">
              <w:rPr>
                <w:rFonts w:ascii="Times New Roman" w:hAnsi="Times New Roman" w:cs="Times New Roman"/>
                <w:sz w:val="20"/>
                <w:szCs w:val="20"/>
              </w:rPr>
              <w:t>14</w:t>
            </w:r>
          </w:p>
        </w:tc>
        <w:tc>
          <w:tcPr>
            <w:tcW w:w="2562" w:type="dxa"/>
            <w:vMerge w:val="restart"/>
            <w:tcBorders>
              <w:left w:val="nil"/>
              <w:bottom w:val="nil"/>
              <w:right w:val="nil"/>
            </w:tcBorders>
          </w:tcPr>
          <w:p w14:paraId="5B9EED6E" w14:textId="77777777" w:rsidR="00A84E96" w:rsidRPr="007A25AE" w:rsidRDefault="00A84E96" w:rsidP="00E224AA">
            <w:pPr>
              <w:contextualSpacing/>
              <w:rPr>
                <w:rFonts w:ascii="Times New Roman" w:hAnsi="Times New Roman" w:cs="Times New Roman"/>
                <w:sz w:val="20"/>
                <w:szCs w:val="20"/>
              </w:rPr>
            </w:pPr>
            <w:r w:rsidRPr="007A25AE">
              <w:rPr>
                <w:rFonts w:ascii="Times New Roman" w:hAnsi="Times New Roman" w:cs="Times New Roman"/>
                <w:sz w:val="20"/>
                <w:szCs w:val="20"/>
              </w:rPr>
              <w:t>Who is responsible for the finance of your training in computer literacy and/or GIS</w:t>
            </w:r>
          </w:p>
        </w:tc>
        <w:tc>
          <w:tcPr>
            <w:tcW w:w="1854" w:type="dxa"/>
            <w:tcBorders>
              <w:left w:val="nil"/>
              <w:bottom w:val="nil"/>
              <w:right w:val="nil"/>
            </w:tcBorders>
            <w:vAlign w:val="center"/>
          </w:tcPr>
          <w:p w14:paraId="7B078F2A"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Organization</w:t>
            </w:r>
          </w:p>
        </w:tc>
        <w:tc>
          <w:tcPr>
            <w:tcW w:w="1738" w:type="dxa"/>
            <w:tcBorders>
              <w:left w:val="nil"/>
              <w:bottom w:val="nil"/>
              <w:right w:val="nil"/>
            </w:tcBorders>
            <w:vAlign w:val="center"/>
          </w:tcPr>
          <w:p w14:paraId="6C0C4846"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27</w:t>
            </w:r>
          </w:p>
        </w:tc>
        <w:tc>
          <w:tcPr>
            <w:tcW w:w="1744" w:type="dxa"/>
            <w:tcBorders>
              <w:left w:val="nil"/>
              <w:bottom w:val="nil"/>
              <w:right w:val="nil"/>
            </w:tcBorders>
            <w:vAlign w:val="center"/>
          </w:tcPr>
          <w:p w14:paraId="2E3D95C0"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24.1</w:t>
            </w:r>
          </w:p>
        </w:tc>
      </w:tr>
      <w:tr w:rsidR="00A84E96" w:rsidRPr="007A25AE" w14:paraId="40354E27" w14:textId="77777777" w:rsidTr="007A25AE">
        <w:trPr>
          <w:trHeight w:val="491"/>
          <w:jc w:val="center"/>
        </w:trPr>
        <w:tc>
          <w:tcPr>
            <w:tcW w:w="1118" w:type="dxa"/>
            <w:vMerge/>
            <w:tcBorders>
              <w:top w:val="nil"/>
              <w:left w:val="nil"/>
              <w:bottom w:val="nil"/>
              <w:right w:val="nil"/>
            </w:tcBorders>
          </w:tcPr>
          <w:p w14:paraId="1315621F"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366206AB"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nil"/>
              <w:right w:val="nil"/>
            </w:tcBorders>
            <w:vAlign w:val="center"/>
          </w:tcPr>
          <w:p w14:paraId="69A6ABEE"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Self</w:t>
            </w:r>
          </w:p>
        </w:tc>
        <w:tc>
          <w:tcPr>
            <w:tcW w:w="1738" w:type="dxa"/>
            <w:tcBorders>
              <w:top w:val="nil"/>
              <w:left w:val="nil"/>
              <w:bottom w:val="nil"/>
              <w:right w:val="nil"/>
            </w:tcBorders>
            <w:vAlign w:val="center"/>
          </w:tcPr>
          <w:p w14:paraId="3A1EB32F"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85</w:t>
            </w:r>
          </w:p>
        </w:tc>
        <w:tc>
          <w:tcPr>
            <w:tcW w:w="1744" w:type="dxa"/>
            <w:tcBorders>
              <w:top w:val="nil"/>
              <w:left w:val="nil"/>
              <w:bottom w:val="nil"/>
              <w:right w:val="nil"/>
            </w:tcBorders>
            <w:vAlign w:val="center"/>
          </w:tcPr>
          <w:p w14:paraId="46CCF73A"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75.9</w:t>
            </w:r>
          </w:p>
        </w:tc>
      </w:tr>
      <w:tr w:rsidR="00A84E96" w:rsidRPr="007A25AE" w14:paraId="1ACBBCFE" w14:textId="77777777" w:rsidTr="007A25AE">
        <w:trPr>
          <w:trHeight w:val="397"/>
          <w:jc w:val="center"/>
        </w:trPr>
        <w:tc>
          <w:tcPr>
            <w:tcW w:w="1118" w:type="dxa"/>
            <w:vMerge/>
            <w:tcBorders>
              <w:top w:val="nil"/>
              <w:left w:val="nil"/>
              <w:bottom w:val="single" w:sz="4" w:space="0" w:color="auto"/>
              <w:right w:val="nil"/>
            </w:tcBorders>
          </w:tcPr>
          <w:p w14:paraId="5803FF17"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2C5DF5CA"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single" w:sz="4" w:space="0" w:color="auto"/>
              <w:right w:val="nil"/>
            </w:tcBorders>
            <w:vAlign w:val="center"/>
          </w:tcPr>
          <w:p w14:paraId="2BAB1775"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b/>
                <w:color w:val="000000"/>
                <w:sz w:val="20"/>
                <w:szCs w:val="20"/>
              </w:rPr>
              <w:t>Total</w:t>
            </w:r>
          </w:p>
        </w:tc>
        <w:tc>
          <w:tcPr>
            <w:tcW w:w="1738" w:type="dxa"/>
            <w:tcBorders>
              <w:top w:val="nil"/>
              <w:left w:val="nil"/>
              <w:bottom w:val="single" w:sz="4" w:space="0" w:color="auto"/>
              <w:right w:val="nil"/>
            </w:tcBorders>
            <w:vAlign w:val="center"/>
          </w:tcPr>
          <w:p w14:paraId="5DAFAB82"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b/>
                <w:color w:val="000000"/>
                <w:sz w:val="20"/>
                <w:szCs w:val="20"/>
              </w:rPr>
              <w:t>112</w:t>
            </w:r>
          </w:p>
        </w:tc>
        <w:tc>
          <w:tcPr>
            <w:tcW w:w="1744" w:type="dxa"/>
            <w:tcBorders>
              <w:top w:val="nil"/>
              <w:left w:val="nil"/>
              <w:bottom w:val="single" w:sz="4" w:space="0" w:color="auto"/>
              <w:right w:val="nil"/>
            </w:tcBorders>
            <w:vAlign w:val="center"/>
          </w:tcPr>
          <w:p w14:paraId="3753896C"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b/>
                <w:color w:val="000000"/>
                <w:sz w:val="20"/>
                <w:szCs w:val="20"/>
              </w:rPr>
              <w:t>100.0</w:t>
            </w:r>
          </w:p>
        </w:tc>
      </w:tr>
      <w:tr w:rsidR="00A84E96" w:rsidRPr="007A25AE" w14:paraId="768D74E2" w14:textId="77777777" w:rsidTr="007A25AE">
        <w:trPr>
          <w:trHeight w:val="240"/>
          <w:jc w:val="center"/>
        </w:trPr>
        <w:tc>
          <w:tcPr>
            <w:tcW w:w="1118" w:type="dxa"/>
            <w:vMerge w:val="restart"/>
            <w:tcBorders>
              <w:left w:val="nil"/>
              <w:bottom w:val="nil"/>
              <w:right w:val="nil"/>
            </w:tcBorders>
          </w:tcPr>
          <w:p w14:paraId="151E1E10" w14:textId="77777777" w:rsidR="00A84E96" w:rsidRPr="007A25AE" w:rsidRDefault="00A84E96" w:rsidP="00A84E96">
            <w:pPr>
              <w:contextualSpacing/>
              <w:jc w:val="center"/>
              <w:rPr>
                <w:rFonts w:ascii="Times New Roman" w:hAnsi="Times New Roman" w:cs="Times New Roman"/>
                <w:sz w:val="20"/>
                <w:szCs w:val="20"/>
              </w:rPr>
            </w:pPr>
            <w:r w:rsidRPr="007A25AE">
              <w:rPr>
                <w:rFonts w:ascii="Times New Roman" w:hAnsi="Times New Roman" w:cs="Times New Roman"/>
                <w:sz w:val="20"/>
                <w:szCs w:val="20"/>
              </w:rPr>
              <w:t>15</w:t>
            </w:r>
          </w:p>
        </w:tc>
        <w:tc>
          <w:tcPr>
            <w:tcW w:w="2562" w:type="dxa"/>
            <w:vMerge w:val="restart"/>
            <w:tcBorders>
              <w:left w:val="nil"/>
              <w:bottom w:val="nil"/>
              <w:right w:val="nil"/>
            </w:tcBorders>
          </w:tcPr>
          <w:p w14:paraId="3F7411B9" w14:textId="77777777" w:rsidR="00A84E96" w:rsidRPr="007A25AE" w:rsidRDefault="00A84E96" w:rsidP="00E224AA">
            <w:pPr>
              <w:contextualSpacing/>
              <w:rPr>
                <w:rFonts w:ascii="Times New Roman" w:hAnsi="Times New Roman" w:cs="Times New Roman"/>
                <w:sz w:val="20"/>
                <w:szCs w:val="20"/>
              </w:rPr>
            </w:pPr>
            <w:r w:rsidRPr="007A25AE">
              <w:rPr>
                <w:rFonts w:ascii="Times New Roman" w:hAnsi="Times New Roman" w:cs="Times New Roman"/>
                <w:sz w:val="20"/>
                <w:szCs w:val="20"/>
              </w:rPr>
              <w:t>What do you think are your constraints in attending computer literacy training and/or GIS training programmes</w:t>
            </w:r>
          </w:p>
        </w:tc>
        <w:tc>
          <w:tcPr>
            <w:tcW w:w="1854" w:type="dxa"/>
            <w:tcBorders>
              <w:left w:val="nil"/>
              <w:bottom w:val="nil"/>
              <w:right w:val="nil"/>
            </w:tcBorders>
            <w:vAlign w:val="center"/>
          </w:tcPr>
          <w:p w14:paraId="62D8ABBD"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Financial Constraint</w:t>
            </w:r>
          </w:p>
        </w:tc>
        <w:tc>
          <w:tcPr>
            <w:tcW w:w="1738" w:type="dxa"/>
            <w:tcBorders>
              <w:left w:val="nil"/>
              <w:bottom w:val="nil"/>
              <w:right w:val="nil"/>
            </w:tcBorders>
            <w:vAlign w:val="center"/>
          </w:tcPr>
          <w:p w14:paraId="2D416114"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30</w:t>
            </w:r>
          </w:p>
        </w:tc>
        <w:tc>
          <w:tcPr>
            <w:tcW w:w="1744" w:type="dxa"/>
            <w:tcBorders>
              <w:left w:val="nil"/>
              <w:bottom w:val="nil"/>
              <w:right w:val="nil"/>
            </w:tcBorders>
            <w:vAlign w:val="center"/>
          </w:tcPr>
          <w:p w14:paraId="403619ED"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26.8</w:t>
            </w:r>
          </w:p>
        </w:tc>
      </w:tr>
      <w:tr w:rsidR="00A84E96" w:rsidRPr="007A25AE" w14:paraId="0061795B" w14:textId="77777777" w:rsidTr="007A25AE">
        <w:trPr>
          <w:trHeight w:val="356"/>
          <w:jc w:val="center"/>
        </w:trPr>
        <w:tc>
          <w:tcPr>
            <w:tcW w:w="1118" w:type="dxa"/>
            <w:vMerge/>
            <w:tcBorders>
              <w:top w:val="nil"/>
              <w:left w:val="nil"/>
              <w:bottom w:val="nil"/>
              <w:right w:val="nil"/>
            </w:tcBorders>
          </w:tcPr>
          <w:p w14:paraId="2BC9EF80"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7CF5BC77"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nil"/>
              <w:right w:val="nil"/>
            </w:tcBorders>
            <w:vAlign w:val="center"/>
          </w:tcPr>
          <w:p w14:paraId="7A4C1F8E"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Time constraint</w:t>
            </w:r>
          </w:p>
        </w:tc>
        <w:tc>
          <w:tcPr>
            <w:tcW w:w="1738" w:type="dxa"/>
            <w:tcBorders>
              <w:top w:val="nil"/>
              <w:left w:val="nil"/>
              <w:bottom w:val="nil"/>
              <w:right w:val="nil"/>
            </w:tcBorders>
            <w:vAlign w:val="center"/>
          </w:tcPr>
          <w:p w14:paraId="55639461"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18</w:t>
            </w:r>
          </w:p>
        </w:tc>
        <w:tc>
          <w:tcPr>
            <w:tcW w:w="1744" w:type="dxa"/>
            <w:tcBorders>
              <w:top w:val="nil"/>
              <w:left w:val="nil"/>
              <w:bottom w:val="nil"/>
              <w:right w:val="nil"/>
            </w:tcBorders>
            <w:vAlign w:val="center"/>
          </w:tcPr>
          <w:p w14:paraId="68402893"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16.1</w:t>
            </w:r>
          </w:p>
        </w:tc>
      </w:tr>
      <w:tr w:rsidR="00A84E96" w:rsidRPr="007A25AE" w14:paraId="47B83771" w14:textId="77777777" w:rsidTr="007A25AE">
        <w:trPr>
          <w:trHeight w:val="282"/>
          <w:jc w:val="center"/>
        </w:trPr>
        <w:tc>
          <w:tcPr>
            <w:tcW w:w="1118" w:type="dxa"/>
            <w:vMerge/>
            <w:tcBorders>
              <w:top w:val="nil"/>
              <w:left w:val="nil"/>
              <w:bottom w:val="nil"/>
              <w:right w:val="nil"/>
            </w:tcBorders>
          </w:tcPr>
          <w:p w14:paraId="36794564"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6567E30C"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nil"/>
              <w:right w:val="nil"/>
            </w:tcBorders>
            <w:vAlign w:val="center"/>
          </w:tcPr>
          <w:p w14:paraId="5D7E23CA"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Lack of interest</w:t>
            </w:r>
          </w:p>
        </w:tc>
        <w:tc>
          <w:tcPr>
            <w:tcW w:w="1738" w:type="dxa"/>
            <w:tcBorders>
              <w:top w:val="nil"/>
              <w:left w:val="nil"/>
              <w:bottom w:val="nil"/>
              <w:right w:val="nil"/>
            </w:tcBorders>
            <w:vAlign w:val="center"/>
          </w:tcPr>
          <w:p w14:paraId="4B2FF3D1"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28</w:t>
            </w:r>
          </w:p>
        </w:tc>
        <w:tc>
          <w:tcPr>
            <w:tcW w:w="1744" w:type="dxa"/>
            <w:tcBorders>
              <w:top w:val="nil"/>
              <w:left w:val="nil"/>
              <w:bottom w:val="nil"/>
              <w:right w:val="nil"/>
            </w:tcBorders>
            <w:vAlign w:val="center"/>
          </w:tcPr>
          <w:p w14:paraId="09A9874C"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25.0</w:t>
            </w:r>
          </w:p>
        </w:tc>
      </w:tr>
      <w:tr w:rsidR="00A84E96" w:rsidRPr="007A25AE" w14:paraId="741D71AF" w14:textId="77777777" w:rsidTr="007A25AE">
        <w:trPr>
          <w:trHeight w:val="261"/>
          <w:jc w:val="center"/>
        </w:trPr>
        <w:tc>
          <w:tcPr>
            <w:tcW w:w="1118" w:type="dxa"/>
            <w:vMerge/>
            <w:tcBorders>
              <w:top w:val="nil"/>
              <w:left w:val="nil"/>
              <w:bottom w:val="nil"/>
              <w:right w:val="nil"/>
            </w:tcBorders>
          </w:tcPr>
          <w:p w14:paraId="0133B2CF"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375F70FD"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nil"/>
              <w:right w:val="nil"/>
            </w:tcBorders>
            <w:vAlign w:val="center"/>
          </w:tcPr>
          <w:p w14:paraId="637E5FD1"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Lack of permission from the place of work</w:t>
            </w:r>
          </w:p>
        </w:tc>
        <w:tc>
          <w:tcPr>
            <w:tcW w:w="1738" w:type="dxa"/>
            <w:tcBorders>
              <w:top w:val="nil"/>
              <w:left w:val="nil"/>
              <w:bottom w:val="nil"/>
              <w:right w:val="nil"/>
            </w:tcBorders>
            <w:vAlign w:val="center"/>
          </w:tcPr>
          <w:p w14:paraId="022ECC4A"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25</w:t>
            </w:r>
          </w:p>
        </w:tc>
        <w:tc>
          <w:tcPr>
            <w:tcW w:w="1744" w:type="dxa"/>
            <w:tcBorders>
              <w:top w:val="nil"/>
              <w:left w:val="nil"/>
              <w:bottom w:val="nil"/>
              <w:right w:val="nil"/>
            </w:tcBorders>
            <w:vAlign w:val="center"/>
          </w:tcPr>
          <w:p w14:paraId="585FF3EB"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22.3</w:t>
            </w:r>
          </w:p>
        </w:tc>
      </w:tr>
      <w:tr w:rsidR="00A84E96" w:rsidRPr="007A25AE" w14:paraId="0AAF45FB" w14:textId="77777777" w:rsidTr="007A25AE">
        <w:trPr>
          <w:trHeight w:val="105"/>
          <w:jc w:val="center"/>
        </w:trPr>
        <w:tc>
          <w:tcPr>
            <w:tcW w:w="1118" w:type="dxa"/>
            <w:vMerge/>
            <w:tcBorders>
              <w:top w:val="nil"/>
              <w:left w:val="nil"/>
              <w:bottom w:val="nil"/>
              <w:right w:val="nil"/>
            </w:tcBorders>
          </w:tcPr>
          <w:p w14:paraId="289F4C53"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023FC879"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nil"/>
              <w:right w:val="nil"/>
            </w:tcBorders>
            <w:vAlign w:val="center"/>
          </w:tcPr>
          <w:p w14:paraId="63FA85E6"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Lack of access to computer</w:t>
            </w:r>
          </w:p>
        </w:tc>
        <w:tc>
          <w:tcPr>
            <w:tcW w:w="1738" w:type="dxa"/>
            <w:tcBorders>
              <w:top w:val="nil"/>
              <w:left w:val="nil"/>
              <w:bottom w:val="nil"/>
              <w:right w:val="nil"/>
            </w:tcBorders>
            <w:vAlign w:val="center"/>
          </w:tcPr>
          <w:p w14:paraId="1CEFAE63"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11</w:t>
            </w:r>
          </w:p>
        </w:tc>
        <w:tc>
          <w:tcPr>
            <w:tcW w:w="1744" w:type="dxa"/>
            <w:tcBorders>
              <w:top w:val="nil"/>
              <w:left w:val="nil"/>
              <w:bottom w:val="nil"/>
              <w:right w:val="nil"/>
            </w:tcBorders>
            <w:vAlign w:val="center"/>
          </w:tcPr>
          <w:p w14:paraId="3201D0AD"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9.8</w:t>
            </w:r>
          </w:p>
        </w:tc>
      </w:tr>
      <w:tr w:rsidR="00A84E96" w:rsidRPr="007A25AE" w14:paraId="27D36643" w14:textId="77777777" w:rsidTr="007A25AE">
        <w:trPr>
          <w:trHeight w:val="365"/>
          <w:jc w:val="center"/>
        </w:trPr>
        <w:tc>
          <w:tcPr>
            <w:tcW w:w="1118" w:type="dxa"/>
            <w:vMerge/>
            <w:tcBorders>
              <w:top w:val="nil"/>
              <w:left w:val="nil"/>
              <w:bottom w:val="single" w:sz="4" w:space="0" w:color="auto"/>
              <w:right w:val="nil"/>
            </w:tcBorders>
          </w:tcPr>
          <w:p w14:paraId="011C6C74"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3A794F72"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single" w:sz="4" w:space="0" w:color="auto"/>
              <w:right w:val="nil"/>
            </w:tcBorders>
            <w:vAlign w:val="center"/>
          </w:tcPr>
          <w:p w14:paraId="5AE98FD2"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b/>
                <w:color w:val="000000"/>
                <w:sz w:val="20"/>
                <w:szCs w:val="20"/>
              </w:rPr>
              <w:t>Total</w:t>
            </w:r>
          </w:p>
        </w:tc>
        <w:tc>
          <w:tcPr>
            <w:tcW w:w="1738" w:type="dxa"/>
            <w:tcBorders>
              <w:top w:val="nil"/>
              <w:left w:val="nil"/>
              <w:bottom w:val="single" w:sz="4" w:space="0" w:color="auto"/>
              <w:right w:val="nil"/>
            </w:tcBorders>
            <w:vAlign w:val="center"/>
          </w:tcPr>
          <w:p w14:paraId="4D3F5490"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b/>
                <w:color w:val="000000"/>
                <w:sz w:val="20"/>
                <w:szCs w:val="20"/>
              </w:rPr>
              <w:t>112</w:t>
            </w:r>
          </w:p>
        </w:tc>
        <w:tc>
          <w:tcPr>
            <w:tcW w:w="1744" w:type="dxa"/>
            <w:tcBorders>
              <w:top w:val="nil"/>
              <w:left w:val="nil"/>
              <w:bottom w:val="single" w:sz="4" w:space="0" w:color="auto"/>
              <w:right w:val="nil"/>
            </w:tcBorders>
            <w:vAlign w:val="center"/>
          </w:tcPr>
          <w:p w14:paraId="119BFA06"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b/>
                <w:color w:val="000000"/>
                <w:sz w:val="20"/>
                <w:szCs w:val="20"/>
              </w:rPr>
              <w:t>100.0</w:t>
            </w:r>
          </w:p>
        </w:tc>
      </w:tr>
      <w:tr w:rsidR="00A84E96" w:rsidRPr="007A25AE" w14:paraId="0AAF50BD" w14:textId="77777777" w:rsidTr="007A25AE">
        <w:trPr>
          <w:trHeight w:val="348"/>
          <w:jc w:val="center"/>
        </w:trPr>
        <w:tc>
          <w:tcPr>
            <w:tcW w:w="1118" w:type="dxa"/>
            <w:vMerge w:val="restart"/>
            <w:tcBorders>
              <w:left w:val="nil"/>
              <w:bottom w:val="nil"/>
              <w:right w:val="nil"/>
            </w:tcBorders>
          </w:tcPr>
          <w:p w14:paraId="7406E703" w14:textId="77777777" w:rsidR="00A84E96" w:rsidRPr="007A25AE" w:rsidRDefault="00A84E96" w:rsidP="00A84E96">
            <w:pPr>
              <w:contextualSpacing/>
              <w:jc w:val="center"/>
              <w:rPr>
                <w:rFonts w:ascii="Times New Roman" w:hAnsi="Times New Roman" w:cs="Times New Roman"/>
                <w:sz w:val="20"/>
                <w:szCs w:val="20"/>
              </w:rPr>
            </w:pPr>
            <w:r w:rsidRPr="007A25AE">
              <w:rPr>
                <w:rFonts w:ascii="Times New Roman" w:hAnsi="Times New Roman" w:cs="Times New Roman"/>
                <w:sz w:val="20"/>
                <w:szCs w:val="20"/>
              </w:rPr>
              <w:t>16</w:t>
            </w:r>
          </w:p>
        </w:tc>
        <w:tc>
          <w:tcPr>
            <w:tcW w:w="2562" w:type="dxa"/>
            <w:vMerge w:val="restart"/>
            <w:tcBorders>
              <w:left w:val="nil"/>
              <w:bottom w:val="nil"/>
              <w:right w:val="nil"/>
            </w:tcBorders>
          </w:tcPr>
          <w:p w14:paraId="47D953A7" w14:textId="77777777" w:rsidR="00A84E96" w:rsidRPr="007A25AE" w:rsidRDefault="00A84E96" w:rsidP="00E224AA">
            <w:pPr>
              <w:contextualSpacing/>
              <w:rPr>
                <w:rFonts w:ascii="Times New Roman" w:hAnsi="Times New Roman" w:cs="Times New Roman"/>
                <w:sz w:val="20"/>
                <w:szCs w:val="20"/>
              </w:rPr>
            </w:pPr>
            <w:r w:rsidRPr="007A25AE">
              <w:rPr>
                <w:rFonts w:ascii="Times New Roman" w:hAnsi="Times New Roman" w:cs="Times New Roman"/>
                <w:sz w:val="20"/>
                <w:szCs w:val="20"/>
              </w:rPr>
              <w:t>Have you use any Remote Sensing images before</w:t>
            </w:r>
          </w:p>
        </w:tc>
        <w:tc>
          <w:tcPr>
            <w:tcW w:w="1854" w:type="dxa"/>
            <w:tcBorders>
              <w:left w:val="nil"/>
              <w:bottom w:val="nil"/>
              <w:right w:val="nil"/>
            </w:tcBorders>
            <w:vAlign w:val="center"/>
          </w:tcPr>
          <w:p w14:paraId="776B075B"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Yes</w:t>
            </w:r>
          </w:p>
        </w:tc>
        <w:tc>
          <w:tcPr>
            <w:tcW w:w="1738" w:type="dxa"/>
            <w:tcBorders>
              <w:left w:val="nil"/>
              <w:bottom w:val="nil"/>
              <w:right w:val="nil"/>
            </w:tcBorders>
            <w:vAlign w:val="center"/>
          </w:tcPr>
          <w:p w14:paraId="60061828"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10</w:t>
            </w:r>
          </w:p>
        </w:tc>
        <w:tc>
          <w:tcPr>
            <w:tcW w:w="1744" w:type="dxa"/>
            <w:tcBorders>
              <w:left w:val="nil"/>
              <w:bottom w:val="nil"/>
              <w:right w:val="nil"/>
            </w:tcBorders>
            <w:vAlign w:val="center"/>
          </w:tcPr>
          <w:p w14:paraId="64D99829"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8.9</w:t>
            </w:r>
          </w:p>
        </w:tc>
      </w:tr>
      <w:tr w:rsidR="00A84E96" w:rsidRPr="007A25AE" w14:paraId="66A592A2" w14:textId="77777777" w:rsidTr="007A25AE">
        <w:trPr>
          <w:trHeight w:val="272"/>
          <w:jc w:val="center"/>
        </w:trPr>
        <w:tc>
          <w:tcPr>
            <w:tcW w:w="1118" w:type="dxa"/>
            <w:vMerge/>
            <w:tcBorders>
              <w:top w:val="nil"/>
              <w:left w:val="nil"/>
              <w:bottom w:val="nil"/>
              <w:right w:val="nil"/>
            </w:tcBorders>
          </w:tcPr>
          <w:p w14:paraId="02B90F19"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1084DA8C"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nil"/>
              <w:right w:val="nil"/>
            </w:tcBorders>
            <w:vAlign w:val="center"/>
          </w:tcPr>
          <w:p w14:paraId="53C0E3A2"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No</w:t>
            </w:r>
          </w:p>
        </w:tc>
        <w:tc>
          <w:tcPr>
            <w:tcW w:w="1738" w:type="dxa"/>
            <w:tcBorders>
              <w:top w:val="nil"/>
              <w:left w:val="nil"/>
              <w:bottom w:val="nil"/>
              <w:right w:val="nil"/>
            </w:tcBorders>
            <w:vAlign w:val="center"/>
          </w:tcPr>
          <w:p w14:paraId="29E9A63A"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102</w:t>
            </w:r>
          </w:p>
        </w:tc>
        <w:tc>
          <w:tcPr>
            <w:tcW w:w="1744" w:type="dxa"/>
            <w:tcBorders>
              <w:top w:val="nil"/>
              <w:left w:val="nil"/>
              <w:bottom w:val="nil"/>
              <w:right w:val="nil"/>
            </w:tcBorders>
            <w:vAlign w:val="center"/>
          </w:tcPr>
          <w:p w14:paraId="039AD9E3"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91.1</w:t>
            </w:r>
          </w:p>
        </w:tc>
      </w:tr>
      <w:tr w:rsidR="00A84E96" w:rsidRPr="007A25AE" w14:paraId="072BF7BA" w14:textId="77777777" w:rsidTr="007A25AE">
        <w:trPr>
          <w:trHeight w:val="188"/>
          <w:jc w:val="center"/>
        </w:trPr>
        <w:tc>
          <w:tcPr>
            <w:tcW w:w="1118" w:type="dxa"/>
            <w:vMerge/>
            <w:tcBorders>
              <w:top w:val="nil"/>
              <w:left w:val="nil"/>
              <w:bottom w:val="single" w:sz="4" w:space="0" w:color="auto"/>
              <w:right w:val="nil"/>
            </w:tcBorders>
          </w:tcPr>
          <w:p w14:paraId="78F74164"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single" w:sz="4" w:space="0" w:color="auto"/>
              <w:right w:val="nil"/>
            </w:tcBorders>
          </w:tcPr>
          <w:p w14:paraId="409492CA"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single" w:sz="4" w:space="0" w:color="auto"/>
              <w:right w:val="nil"/>
            </w:tcBorders>
            <w:vAlign w:val="center"/>
          </w:tcPr>
          <w:p w14:paraId="1ED013CB"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b/>
                <w:color w:val="000000"/>
                <w:sz w:val="20"/>
                <w:szCs w:val="20"/>
              </w:rPr>
              <w:t>Total</w:t>
            </w:r>
          </w:p>
        </w:tc>
        <w:tc>
          <w:tcPr>
            <w:tcW w:w="1738" w:type="dxa"/>
            <w:tcBorders>
              <w:top w:val="nil"/>
              <w:left w:val="nil"/>
              <w:bottom w:val="single" w:sz="4" w:space="0" w:color="auto"/>
              <w:right w:val="nil"/>
            </w:tcBorders>
            <w:vAlign w:val="center"/>
          </w:tcPr>
          <w:p w14:paraId="2F94265E"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b/>
                <w:color w:val="000000"/>
                <w:sz w:val="20"/>
                <w:szCs w:val="20"/>
              </w:rPr>
              <w:t>112</w:t>
            </w:r>
          </w:p>
        </w:tc>
        <w:tc>
          <w:tcPr>
            <w:tcW w:w="1744" w:type="dxa"/>
            <w:tcBorders>
              <w:top w:val="nil"/>
              <w:left w:val="nil"/>
              <w:bottom w:val="single" w:sz="4" w:space="0" w:color="auto"/>
              <w:right w:val="nil"/>
            </w:tcBorders>
            <w:vAlign w:val="center"/>
          </w:tcPr>
          <w:p w14:paraId="6190B2E5"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b/>
                <w:color w:val="000000"/>
                <w:sz w:val="20"/>
                <w:szCs w:val="20"/>
              </w:rPr>
              <w:t>100.0</w:t>
            </w:r>
          </w:p>
        </w:tc>
      </w:tr>
      <w:tr w:rsidR="00A84E96" w:rsidRPr="007A25AE" w14:paraId="23E0DD9E" w14:textId="77777777" w:rsidTr="007A25AE">
        <w:trPr>
          <w:trHeight w:val="209"/>
          <w:jc w:val="center"/>
        </w:trPr>
        <w:tc>
          <w:tcPr>
            <w:tcW w:w="1118" w:type="dxa"/>
            <w:vMerge w:val="restart"/>
            <w:tcBorders>
              <w:left w:val="nil"/>
              <w:bottom w:val="nil"/>
              <w:right w:val="nil"/>
            </w:tcBorders>
          </w:tcPr>
          <w:p w14:paraId="3CCB49B3" w14:textId="77777777" w:rsidR="00A84E96" w:rsidRPr="007A25AE" w:rsidRDefault="00A84E96" w:rsidP="00A84E96">
            <w:pPr>
              <w:contextualSpacing/>
              <w:jc w:val="center"/>
              <w:rPr>
                <w:rFonts w:ascii="Times New Roman" w:hAnsi="Times New Roman" w:cs="Times New Roman"/>
                <w:sz w:val="20"/>
                <w:szCs w:val="20"/>
              </w:rPr>
            </w:pPr>
            <w:r w:rsidRPr="007A25AE">
              <w:rPr>
                <w:rFonts w:ascii="Times New Roman" w:hAnsi="Times New Roman" w:cs="Times New Roman"/>
                <w:sz w:val="20"/>
                <w:szCs w:val="20"/>
              </w:rPr>
              <w:t>17</w:t>
            </w:r>
          </w:p>
        </w:tc>
        <w:tc>
          <w:tcPr>
            <w:tcW w:w="2562" w:type="dxa"/>
            <w:vMerge w:val="restart"/>
            <w:tcBorders>
              <w:left w:val="nil"/>
              <w:bottom w:val="nil"/>
              <w:right w:val="nil"/>
            </w:tcBorders>
          </w:tcPr>
          <w:p w14:paraId="5DD73B88" w14:textId="77777777" w:rsidR="00A84E96" w:rsidRPr="007A25AE" w:rsidRDefault="00A84E96" w:rsidP="00E224AA">
            <w:pPr>
              <w:contextualSpacing/>
              <w:rPr>
                <w:rFonts w:ascii="Times New Roman" w:hAnsi="Times New Roman" w:cs="Times New Roman"/>
                <w:sz w:val="20"/>
                <w:szCs w:val="20"/>
              </w:rPr>
            </w:pPr>
            <w:r w:rsidRPr="007A25AE">
              <w:rPr>
                <w:rFonts w:ascii="Times New Roman" w:hAnsi="Times New Roman" w:cs="Times New Roman"/>
                <w:sz w:val="20"/>
                <w:szCs w:val="20"/>
              </w:rPr>
              <w:t>Which GIS/Remote Sensing software have you heard about or know about</w:t>
            </w:r>
          </w:p>
        </w:tc>
        <w:tc>
          <w:tcPr>
            <w:tcW w:w="1854" w:type="dxa"/>
            <w:tcBorders>
              <w:left w:val="nil"/>
              <w:bottom w:val="nil"/>
              <w:right w:val="nil"/>
            </w:tcBorders>
            <w:vAlign w:val="center"/>
          </w:tcPr>
          <w:p w14:paraId="2513B2A4"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ILWIS</w:t>
            </w:r>
          </w:p>
        </w:tc>
        <w:tc>
          <w:tcPr>
            <w:tcW w:w="1738" w:type="dxa"/>
            <w:tcBorders>
              <w:left w:val="nil"/>
              <w:bottom w:val="nil"/>
              <w:right w:val="nil"/>
            </w:tcBorders>
            <w:vAlign w:val="center"/>
          </w:tcPr>
          <w:p w14:paraId="7FB8F612"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28</w:t>
            </w:r>
          </w:p>
        </w:tc>
        <w:tc>
          <w:tcPr>
            <w:tcW w:w="1744" w:type="dxa"/>
            <w:tcBorders>
              <w:left w:val="nil"/>
              <w:bottom w:val="nil"/>
              <w:right w:val="nil"/>
            </w:tcBorders>
            <w:vAlign w:val="center"/>
          </w:tcPr>
          <w:p w14:paraId="75C50F17"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25.0</w:t>
            </w:r>
          </w:p>
        </w:tc>
      </w:tr>
      <w:tr w:rsidR="00A84E96" w:rsidRPr="007A25AE" w14:paraId="5EADBFA2" w14:textId="77777777" w:rsidTr="007A25AE">
        <w:trPr>
          <w:trHeight w:val="261"/>
          <w:jc w:val="center"/>
        </w:trPr>
        <w:tc>
          <w:tcPr>
            <w:tcW w:w="1118" w:type="dxa"/>
            <w:vMerge/>
            <w:tcBorders>
              <w:top w:val="nil"/>
              <w:left w:val="nil"/>
              <w:bottom w:val="nil"/>
              <w:right w:val="nil"/>
            </w:tcBorders>
          </w:tcPr>
          <w:p w14:paraId="04A2BE69"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726F649C"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nil"/>
              <w:right w:val="nil"/>
            </w:tcBorders>
            <w:vAlign w:val="center"/>
          </w:tcPr>
          <w:p w14:paraId="3673A3CB"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ArcGIS</w:t>
            </w:r>
          </w:p>
        </w:tc>
        <w:tc>
          <w:tcPr>
            <w:tcW w:w="1738" w:type="dxa"/>
            <w:tcBorders>
              <w:top w:val="nil"/>
              <w:left w:val="nil"/>
              <w:bottom w:val="nil"/>
              <w:right w:val="nil"/>
            </w:tcBorders>
            <w:vAlign w:val="center"/>
          </w:tcPr>
          <w:p w14:paraId="0D5F649D"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41</w:t>
            </w:r>
          </w:p>
        </w:tc>
        <w:tc>
          <w:tcPr>
            <w:tcW w:w="1744" w:type="dxa"/>
            <w:tcBorders>
              <w:top w:val="nil"/>
              <w:left w:val="nil"/>
              <w:bottom w:val="nil"/>
              <w:right w:val="nil"/>
            </w:tcBorders>
            <w:vAlign w:val="center"/>
          </w:tcPr>
          <w:p w14:paraId="1FA3818D"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36.6</w:t>
            </w:r>
          </w:p>
        </w:tc>
      </w:tr>
      <w:tr w:rsidR="00A84E96" w:rsidRPr="007A25AE" w14:paraId="6E3D6F74" w14:textId="77777777" w:rsidTr="007A25AE">
        <w:trPr>
          <w:trHeight w:val="178"/>
          <w:jc w:val="center"/>
        </w:trPr>
        <w:tc>
          <w:tcPr>
            <w:tcW w:w="1118" w:type="dxa"/>
            <w:vMerge/>
            <w:tcBorders>
              <w:top w:val="nil"/>
              <w:left w:val="nil"/>
              <w:bottom w:val="nil"/>
              <w:right w:val="nil"/>
            </w:tcBorders>
          </w:tcPr>
          <w:p w14:paraId="4A9D99A5"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1B1C2915"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nil"/>
              <w:right w:val="nil"/>
            </w:tcBorders>
            <w:vAlign w:val="center"/>
          </w:tcPr>
          <w:p w14:paraId="2260D1D0"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ERDAS IMAGINE</w:t>
            </w:r>
          </w:p>
        </w:tc>
        <w:tc>
          <w:tcPr>
            <w:tcW w:w="1738" w:type="dxa"/>
            <w:tcBorders>
              <w:top w:val="nil"/>
              <w:left w:val="nil"/>
              <w:bottom w:val="nil"/>
              <w:right w:val="nil"/>
            </w:tcBorders>
            <w:vAlign w:val="center"/>
          </w:tcPr>
          <w:p w14:paraId="775DE177"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2</w:t>
            </w:r>
          </w:p>
        </w:tc>
        <w:tc>
          <w:tcPr>
            <w:tcW w:w="1744" w:type="dxa"/>
            <w:tcBorders>
              <w:top w:val="nil"/>
              <w:left w:val="nil"/>
              <w:bottom w:val="nil"/>
              <w:right w:val="nil"/>
            </w:tcBorders>
            <w:vAlign w:val="center"/>
          </w:tcPr>
          <w:p w14:paraId="679F8851"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1.8</w:t>
            </w:r>
          </w:p>
        </w:tc>
      </w:tr>
      <w:tr w:rsidR="00A84E96" w:rsidRPr="007A25AE" w14:paraId="0EB4EFA2" w14:textId="77777777" w:rsidTr="007A25AE">
        <w:trPr>
          <w:trHeight w:val="88"/>
          <w:jc w:val="center"/>
        </w:trPr>
        <w:tc>
          <w:tcPr>
            <w:tcW w:w="1118" w:type="dxa"/>
            <w:vMerge/>
            <w:tcBorders>
              <w:top w:val="nil"/>
              <w:left w:val="nil"/>
              <w:bottom w:val="nil"/>
              <w:right w:val="nil"/>
            </w:tcBorders>
          </w:tcPr>
          <w:p w14:paraId="45E9A1C9"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2EF0848C"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nil"/>
              <w:right w:val="nil"/>
            </w:tcBorders>
            <w:vAlign w:val="center"/>
          </w:tcPr>
          <w:p w14:paraId="5C19B13F"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Idrisi</w:t>
            </w:r>
          </w:p>
        </w:tc>
        <w:tc>
          <w:tcPr>
            <w:tcW w:w="1738" w:type="dxa"/>
            <w:tcBorders>
              <w:top w:val="nil"/>
              <w:left w:val="nil"/>
              <w:bottom w:val="nil"/>
              <w:right w:val="nil"/>
            </w:tcBorders>
            <w:vAlign w:val="center"/>
          </w:tcPr>
          <w:p w14:paraId="60B1952D"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4</w:t>
            </w:r>
          </w:p>
        </w:tc>
        <w:tc>
          <w:tcPr>
            <w:tcW w:w="1744" w:type="dxa"/>
            <w:tcBorders>
              <w:top w:val="nil"/>
              <w:left w:val="nil"/>
              <w:bottom w:val="nil"/>
              <w:right w:val="nil"/>
            </w:tcBorders>
            <w:vAlign w:val="center"/>
          </w:tcPr>
          <w:p w14:paraId="17B4D0A4"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3.6</w:t>
            </w:r>
          </w:p>
        </w:tc>
      </w:tr>
      <w:tr w:rsidR="00A84E96" w:rsidRPr="007A25AE" w14:paraId="1F139B47" w14:textId="77777777" w:rsidTr="007A25AE">
        <w:trPr>
          <w:trHeight w:val="115"/>
          <w:jc w:val="center"/>
        </w:trPr>
        <w:tc>
          <w:tcPr>
            <w:tcW w:w="1118" w:type="dxa"/>
            <w:vMerge/>
            <w:tcBorders>
              <w:top w:val="nil"/>
              <w:left w:val="nil"/>
              <w:bottom w:val="nil"/>
              <w:right w:val="nil"/>
            </w:tcBorders>
          </w:tcPr>
          <w:p w14:paraId="4E59DB57"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68406900"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nil"/>
              <w:right w:val="nil"/>
            </w:tcBorders>
            <w:vAlign w:val="center"/>
          </w:tcPr>
          <w:p w14:paraId="0A092162"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QGIS</w:t>
            </w:r>
          </w:p>
        </w:tc>
        <w:tc>
          <w:tcPr>
            <w:tcW w:w="1738" w:type="dxa"/>
            <w:tcBorders>
              <w:top w:val="nil"/>
              <w:left w:val="nil"/>
              <w:bottom w:val="nil"/>
              <w:right w:val="nil"/>
            </w:tcBorders>
            <w:vAlign w:val="center"/>
          </w:tcPr>
          <w:p w14:paraId="1B527429"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36</w:t>
            </w:r>
          </w:p>
        </w:tc>
        <w:tc>
          <w:tcPr>
            <w:tcW w:w="1744" w:type="dxa"/>
            <w:tcBorders>
              <w:top w:val="nil"/>
              <w:left w:val="nil"/>
              <w:bottom w:val="nil"/>
              <w:right w:val="nil"/>
            </w:tcBorders>
            <w:vAlign w:val="center"/>
          </w:tcPr>
          <w:p w14:paraId="453F0E47"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32.1</w:t>
            </w:r>
          </w:p>
        </w:tc>
      </w:tr>
      <w:tr w:rsidR="00A84E96" w:rsidRPr="007A25AE" w14:paraId="4EAB76C0" w14:textId="77777777" w:rsidTr="007A25AE">
        <w:trPr>
          <w:trHeight w:val="313"/>
          <w:jc w:val="center"/>
        </w:trPr>
        <w:tc>
          <w:tcPr>
            <w:tcW w:w="1118" w:type="dxa"/>
            <w:vMerge/>
            <w:tcBorders>
              <w:top w:val="nil"/>
              <w:left w:val="nil"/>
              <w:bottom w:val="single" w:sz="4" w:space="0" w:color="auto"/>
              <w:right w:val="nil"/>
            </w:tcBorders>
          </w:tcPr>
          <w:p w14:paraId="4E38B255"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701E41EA" w14:textId="77777777" w:rsidR="00A84E96" w:rsidRPr="007A25AE" w:rsidRDefault="00A84E96" w:rsidP="00E224AA">
            <w:pPr>
              <w:contextualSpacing/>
              <w:rPr>
                <w:rFonts w:ascii="Times New Roman" w:hAnsi="Times New Roman" w:cs="Times New Roman"/>
                <w:sz w:val="20"/>
                <w:szCs w:val="20"/>
              </w:rPr>
            </w:pPr>
          </w:p>
        </w:tc>
        <w:tc>
          <w:tcPr>
            <w:tcW w:w="1854" w:type="dxa"/>
            <w:tcBorders>
              <w:top w:val="nil"/>
              <w:left w:val="nil"/>
              <w:bottom w:val="single" w:sz="4" w:space="0" w:color="auto"/>
              <w:right w:val="nil"/>
            </w:tcBorders>
            <w:vAlign w:val="center"/>
          </w:tcPr>
          <w:p w14:paraId="53D3A272"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b/>
                <w:color w:val="000000"/>
                <w:sz w:val="20"/>
                <w:szCs w:val="20"/>
              </w:rPr>
              <w:t>Total</w:t>
            </w:r>
          </w:p>
        </w:tc>
        <w:tc>
          <w:tcPr>
            <w:tcW w:w="1738" w:type="dxa"/>
            <w:tcBorders>
              <w:top w:val="nil"/>
              <w:left w:val="nil"/>
              <w:bottom w:val="single" w:sz="4" w:space="0" w:color="auto"/>
              <w:right w:val="nil"/>
            </w:tcBorders>
            <w:vAlign w:val="center"/>
          </w:tcPr>
          <w:p w14:paraId="790BD3BD"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b/>
                <w:color w:val="000000"/>
                <w:sz w:val="20"/>
                <w:szCs w:val="20"/>
              </w:rPr>
              <w:t>112</w:t>
            </w:r>
          </w:p>
        </w:tc>
        <w:tc>
          <w:tcPr>
            <w:tcW w:w="1744" w:type="dxa"/>
            <w:tcBorders>
              <w:top w:val="nil"/>
              <w:left w:val="nil"/>
              <w:bottom w:val="single" w:sz="4" w:space="0" w:color="auto"/>
              <w:right w:val="nil"/>
            </w:tcBorders>
            <w:vAlign w:val="center"/>
          </w:tcPr>
          <w:p w14:paraId="55C7022E"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b/>
                <w:color w:val="000000"/>
                <w:sz w:val="20"/>
                <w:szCs w:val="20"/>
              </w:rPr>
              <w:t>100.0</w:t>
            </w:r>
          </w:p>
        </w:tc>
      </w:tr>
      <w:tr w:rsidR="00A84E96" w:rsidRPr="007A25AE" w14:paraId="1FD63A2E" w14:textId="77777777" w:rsidTr="007A25AE">
        <w:trPr>
          <w:trHeight w:val="400"/>
          <w:jc w:val="center"/>
        </w:trPr>
        <w:tc>
          <w:tcPr>
            <w:tcW w:w="1118" w:type="dxa"/>
            <w:vMerge w:val="restart"/>
            <w:tcBorders>
              <w:left w:val="nil"/>
              <w:bottom w:val="nil"/>
              <w:right w:val="nil"/>
            </w:tcBorders>
          </w:tcPr>
          <w:p w14:paraId="22F78E00" w14:textId="77777777" w:rsidR="00A84E96" w:rsidRPr="007A25AE" w:rsidRDefault="00A84E96" w:rsidP="00A84E96">
            <w:pPr>
              <w:contextualSpacing/>
              <w:jc w:val="center"/>
              <w:rPr>
                <w:rFonts w:ascii="Times New Roman" w:hAnsi="Times New Roman" w:cs="Times New Roman"/>
                <w:sz w:val="20"/>
                <w:szCs w:val="20"/>
              </w:rPr>
            </w:pPr>
            <w:r w:rsidRPr="007A25AE">
              <w:rPr>
                <w:rFonts w:ascii="Times New Roman" w:hAnsi="Times New Roman" w:cs="Times New Roman"/>
                <w:sz w:val="20"/>
                <w:szCs w:val="20"/>
              </w:rPr>
              <w:t>18</w:t>
            </w:r>
          </w:p>
        </w:tc>
        <w:tc>
          <w:tcPr>
            <w:tcW w:w="2562" w:type="dxa"/>
            <w:vMerge w:val="restart"/>
            <w:tcBorders>
              <w:left w:val="nil"/>
              <w:bottom w:val="nil"/>
              <w:right w:val="nil"/>
            </w:tcBorders>
          </w:tcPr>
          <w:p w14:paraId="0E0F5F35" w14:textId="77777777" w:rsidR="00A84E96" w:rsidRPr="007A25AE" w:rsidRDefault="00A84E96" w:rsidP="00E224AA">
            <w:pPr>
              <w:contextualSpacing/>
              <w:rPr>
                <w:rFonts w:ascii="Times New Roman" w:hAnsi="Times New Roman" w:cs="Times New Roman"/>
                <w:sz w:val="20"/>
                <w:szCs w:val="20"/>
              </w:rPr>
            </w:pPr>
            <w:r w:rsidRPr="007A25AE">
              <w:rPr>
                <w:rFonts w:ascii="Times New Roman" w:eastAsia="Times New Roman" w:hAnsi="Times New Roman" w:cs="Times New Roman"/>
                <w:color w:val="000000"/>
                <w:sz w:val="20"/>
                <w:szCs w:val="20"/>
              </w:rPr>
              <w:t>Is your department/organization actively using the GIS/Remote Sensing applications/software</w:t>
            </w:r>
          </w:p>
        </w:tc>
        <w:tc>
          <w:tcPr>
            <w:tcW w:w="1854" w:type="dxa"/>
            <w:tcBorders>
              <w:left w:val="nil"/>
              <w:bottom w:val="nil"/>
              <w:right w:val="nil"/>
            </w:tcBorders>
            <w:vAlign w:val="center"/>
          </w:tcPr>
          <w:p w14:paraId="7EC4397C"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Yes</w:t>
            </w:r>
          </w:p>
        </w:tc>
        <w:tc>
          <w:tcPr>
            <w:tcW w:w="1738" w:type="dxa"/>
            <w:tcBorders>
              <w:left w:val="nil"/>
              <w:bottom w:val="nil"/>
              <w:right w:val="nil"/>
            </w:tcBorders>
            <w:vAlign w:val="center"/>
          </w:tcPr>
          <w:p w14:paraId="48DE43F4"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18</w:t>
            </w:r>
          </w:p>
        </w:tc>
        <w:tc>
          <w:tcPr>
            <w:tcW w:w="1744" w:type="dxa"/>
            <w:tcBorders>
              <w:left w:val="nil"/>
              <w:bottom w:val="nil"/>
              <w:right w:val="nil"/>
            </w:tcBorders>
            <w:vAlign w:val="center"/>
          </w:tcPr>
          <w:p w14:paraId="11E1D5DD"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16.1</w:t>
            </w:r>
          </w:p>
        </w:tc>
      </w:tr>
      <w:tr w:rsidR="00A84E96" w:rsidRPr="007A25AE" w14:paraId="2D51BC95" w14:textId="77777777" w:rsidTr="007A25AE">
        <w:trPr>
          <w:trHeight w:val="480"/>
          <w:jc w:val="center"/>
        </w:trPr>
        <w:tc>
          <w:tcPr>
            <w:tcW w:w="1118" w:type="dxa"/>
            <w:vMerge/>
            <w:tcBorders>
              <w:top w:val="nil"/>
              <w:left w:val="nil"/>
              <w:bottom w:val="nil"/>
              <w:right w:val="nil"/>
            </w:tcBorders>
          </w:tcPr>
          <w:p w14:paraId="7882C7B5"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4C345228" w14:textId="77777777" w:rsidR="00A84E96" w:rsidRPr="007A25AE" w:rsidRDefault="00A84E96" w:rsidP="00E224AA">
            <w:pPr>
              <w:contextualSpacing/>
              <w:rPr>
                <w:rFonts w:ascii="Times New Roman" w:eastAsia="Times New Roman" w:hAnsi="Times New Roman" w:cs="Times New Roman"/>
                <w:color w:val="000000"/>
                <w:sz w:val="20"/>
                <w:szCs w:val="20"/>
              </w:rPr>
            </w:pPr>
          </w:p>
        </w:tc>
        <w:tc>
          <w:tcPr>
            <w:tcW w:w="1854" w:type="dxa"/>
            <w:tcBorders>
              <w:top w:val="nil"/>
              <w:left w:val="nil"/>
              <w:bottom w:val="nil"/>
              <w:right w:val="nil"/>
            </w:tcBorders>
            <w:vAlign w:val="center"/>
          </w:tcPr>
          <w:p w14:paraId="0E40957C"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No</w:t>
            </w:r>
          </w:p>
        </w:tc>
        <w:tc>
          <w:tcPr>
            <w:tcW w:w="1738" w:type="dxa"/>
            <w:tcBorders>
              <w:top w:val="nil"/>
              <w:left w:val="nil"/>
              <w:bottom w:val="nil"/>
              <w:right w:val="nil"/>
            </w:tcBorders>
            <w:vAlign w:val="center"/>
          </w:tcPr>
          <w:p w14:paraId="5EB37E6D"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94</w:t>
            </w:r>
          </w:p>
        </w:tc>
        <w:tc>
          <w:tcPr>
            <w:tcW w:w="1744" w:type="dxa"/>
            <w:tcBorders>
              <w:top w:val="nil"/>
              <w:left w:val="nil"/>
              <w:bottom w:val="nil"/>
              <w:right w:val="nil"/>
            </w:tcBorders>
            <w:vAlign w:val="center"/>
          </w:tcPr>
          <w:p w14:paraId="27060745"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83.9</w:t>
            </w:r>
          </w:p>
        </w:tc>
      </w:tr>
      <w:tr w:rsidR="00A84E96" w:rsidRPr="007A25AE" w14:paraId="54BDA35E" w14:textId="77777777" w:rsidTr="007A25AE">
        <w:trPr>
          <w:trHeight w:val="480"/>
          <w:jc w:val="center"/>
        </w:trPr>
        <w:tc>
          <w:tcPr>
            <w:tcW w:w="1118" w:type="dxa"/>
            <w:vMerge/>
            <w:tcBorders>
              <w:top w:val="nil"/>
              <w:left w:val="nil"/>
              <w:bottom w:val="single" w:sz="4" w:space="0" w:color="auto"/>
              <w:right w:val="nil"/>
            </w:tcBorders>
          </w:tcPr>
          <w:p w14:paraId="33BC63CA"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single" w:sz="4" w:space="0" w:color="auto"/>
              <w:right w:val="nil"/>
            </w:tcBorders>
          </w:tcPr>
          <w:p w14:paraId="5D4D170B" w14:textId="77777777" w:rsidR="00A84E96" w:rsidRPr="007A25AE" w:rsidRDefault="00A84E96" w:rsidP="00E224AA">
            <w:pPr>
              <w:contextualSpacing/>
              <w:rPr>
                <w:rFonts w:ascii="Times New Roman" w:eastAsia="Times New Roman" w:hAnsi="Times New Roman" w:cs="Times New Roman"/>
                <w:color w:val="000000"/>
                <w:sz w:val="20"/>
                <w:szCs w:val="20"/>
              </w:rPr>
            </w:pPr>
          </w:p>
        </w:tc>
        <w:tc>
          <w:tcPr>
            <w:tcW w:w="1854" w:type="dxa"/>
            <w:tcBorders>
              <w:top w:val="nil"/>
              <w:left w:val="nil"/>
              <w:bottom w:val="single" w:sz="4" w:space="0" w:color="auto"/>
              <w:right w:val="nil"/>
            </w:tcBorders>
            <w:vAlign w:val="center"/>
          </w:tcPr>
          <w:p w14:paraId="7179F8F4"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b/>
                <w:color w:val="000000"/>
                <w:sz w:val="20"/>
                <w:szCs w:val="20"/>
              </w:rPr>
              <w:t>Total</w:t>
            </w:r>
          </w:p>
        </w:tc>
        <w:tc>
          <w:tcPr>
            <w:tcW w:w="1738" w:type="dxa"/>
            <w:tcBorders>
              <w:top w:val="nil"/>
              <w:left w:val="nil"/>
              <w:bottom w:val="single" w:sz="4" w:space="0" w:color="auto"/>
              <w:right w:val="nil"/>
            </w:tcBorders>
            <w:vAlign w:val="center"/>
          </w:tcPr>
          <w:p w14:paraId="6F50A16C"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b/>
                <w:color w:val="000000"/>
                <w:sz w:val="20"/>
                <w:szCs w:val="20"/>
              </w:rPr>
              <w:t>112</w:t>
            </w:r>
          </w:p>
        </w:tc>
        <w:tc>
          <w:tcPr>
            <w:tcW w:w="1744" w:type="dxa"/>
            <w:tcBorders>
              <w:top w:val="nil"/>
              <w:left w:val="nil"/>
              <w:bottom w:val="single" w:sz="4" w:space="0" w:color="auto"/>
              <w:right w:val="nil"/>
            </w:tcBorders>
            <w:vAlign w:val="center"/>
          </w:tcPr>
          <w:p w14:paraId="034DA4F3"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b/>
                <w:color w:val="000000"/>
                <w:sz w:val="20"/>
                <w:szCs w:val="20"/>
              </w:rPr>
              <w:t>100.0</w:t>
            </w:r>
          </w:p>
        </w:tc>
      </w:tr>
      <w:tr w:rsidR="00A84E96" w:rsidRPr="007A25AE" w14:paraId="5B5D5CB8" w14:textId="77777777" w:rsidTr="007A25AE">
        <w:trPr>
          <w:trHeight w:val="234"/>
          <w:jc w:val="center"/>
        </w:trPr>
        <w:tc>
          <w:tcPr>
            <w:tcW w:w="1118" w:type="dxa"/>
            <w:vMerge w:val="restart"/>
            <w:tcBorders>
              <w:left w:val="nil"/>
              <w:bottom w:val="nil"/>
              <w:right w:val="nil"/>
            </w:tcBorders>
          </w:tcPr>
          <w:p w14:paraId="0A31239F" w14:textId="77777777" w:rsidR="00A84E96" w:rsidRPr="007A25AE" w:rsidRDefault="00A84E96" w:rsidP="00A84E96">
            <w:pPr>
              <w:contextualSpacing/>
              <w:jc w:val="center"/>
              <w:rPr>
                <w:rFonts w:ascii="Times New Roman" w:hAnsi="Times New Roman" w:cs="Times New Roman"/>
                <w:sz w:val="20"/>
                <w:szCs w:val="20"/>
              </w:rPr>
            </w:pPr>
            <w:r w:rsidRPr="007A25AE">
              <w:rPr>
                <w:rFonts w:ascii="Times New Roman" w:hAnsi="Times New Roman" w:cs="Times New Roman"/>
                <w:sz w:val="20"/>
                <w:szCs w:val="20"/>
              </w:rPr>
              <w:t>19</w:t>
            </w:r>
          </w:p>
        </w:tc>
        <w:tc>
          <w:tcPr>
            <w:tcW w:w="2562" w:type="dxa"/>
            <w:vMerge w:val="restart"/>
            <w:tcBorders>
              <w:left w:val="nil"/>
              <w:bottom w:val="nil"/>
              <w:right w:val="nil"/>
            </w:tcBorders>
          </w:tcPr>
          <w:p w14:paraId="1A304668" w14:textId="77777777" w:rsidR="00A84E96" w:rsidRPr="007A25AE" w:rsidRDefault="00A84E96" w:rsidP="00E224AA">
            <w:pPr>
              <w:contextualSpacing/>
              <w:rPr>
                <w:rFonts w:ascii="Times New Roman" w:hAnsi="Times New Roman" w:cs="Times New Roman"/>
                <w:sz w:val="20"/>
                <w:szCs w:val="20"/>
              </w:rPr>
            </w:pPr>
            <w:r w:rsidRPr="007A25AE">
              <w:rPr>
                <w:rFonts w:ascii="Times New Roman" w:eastAsia="Times New Roman" w:hAnsi="Times New Roman" w:cs="Times New Roman"/>
                <w:color w:val="000000"/>
                <w:sz w:val="20"/>
                <w:szCs w:val="20"/>
              </w:rPr>
              <w:t>Do you have any GIS expert in this Organization</w:t>
            </w:r>
          </w:p>
        </w:tc>
        <w:tc>
          <w:tcPr>
            <w:tcW w:w="1854" w:type="dxa"/>
            <w:tcBorders>
              <w:left w:val="nil"/>
              <w:bottom w:val="nil"/>
              <w:right w:val="nil"/>
            </w:tcBorders>
            <w:vAlign w:val="center"/>
          </w:tcPr>
          <w:p w14:paraId="4909CDBC"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Yes</w:t>
            </w:r>
          </w:p>
        </w:tc>
        <w:tc>
          <w:tcPr>
            <w:tcW w:w="1738" w:type="dxa"/>
            <w:tcBorders>
              <w:left w:val="nil"/>
              <w:bottom w:val="nil"/>
              <w:right w:val="nil"/>
            </w:tcBorders>
            <w:vAlign w:val="center"/>
          </w:tcPr>
          <w:p w14:paraId="182689DA"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100</w:t>
            </w:r>
          </w:p>
        </w:tc>
        <w:tc>
          <w:tcPr>
            <w:tcW w:w="1744" w:type="dxa"/>
            <w:tcBorders>
              <w:left w:val="nil"/>
              <w:bottom w:val="nil"/>
              <w:right w:val="nil"/>
            </w:tcBorders>
            <w:vAlign w:val="center"/>
          </w:tcPr>
          <w:p w14:paraId="198340E5"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89.3</w:t>
            </w:r>
          </w:p>
        </w:tc>
      </w:tr>
      <w:tr w:rsidR="00A84E96" w:rsidRPr="007A25AE" w14:paraId="25959E87" w14:textId="77777777" w:rsidTr="007A25AE">
        <w:trPr>
          <w:trHeight w:val="293"/>
          <w:jc w:val="center"/>
        </w:trPr>
        <w:tc>
          <w:tcPr>
            <w:tcW w:w="1118" w:type="dxa"/>
            <w:vMerge/>
            <w:tcBorders>
              <w:top w:val="nil"/>
              <w:left w:val="nil"/>
              <w:bottom w:val="nil"/>
              <w:right w:val="nil"/>
            </w:tcBorders>
          </w:tcPr>
          <w:p w14:paraId="27BADC48"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nil"/>
              <w:right w:val="nil"/>
            </w:tcBorders>
          </w:tcPr>
          <w:p w14:paraId="46A17D0A" w14:textId="77777777" w:rsidR="00A84E96" w:rsidRPr="007A25AE" w:rsidRDefault="00A84E96" w:rsidP="00E224AA">
            <w:pPr>
              <w:contextualSpacing/>
              <w:rPr>
                <w:rFonts w:ascii="Times New Roman" w:eastAsia="Times New Roman" w:hAnsi="Times New Roman" w:cs="Times New Roman"/>
                <w:color w:val="000000"/>
                <w:sz w:val="20"/>
                <w:szCs w:val="20"/>
              </w:rPr>
            </w:pPr>
          </w:p>
        </w:tc>
        <w:tc>
          <w:tcPr>
            <w:tcW w:w="1854" w:type="dxa"/>
            <w:tcBorders>
              <w:top w:val="nil"/>
              <w:left w:val="nil"/>
              <w:bottom w:val="nil"/>
              <w:right w:val="nil"/>
            </w:tcBorders>
            <w:vAlign w:val="center"/>
          </w:tcPr>
          <w:p w14:paraId="3C46BC07"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No</w:t>
            </w:r>
          </w:p>
        </w:tc>
        <w:tc>
          <w:tcPr>
            <w:tcW w:w="1738" w:type="dxa"/>
            <w:tcBorders>
              <w:top w:val="nil"/>
              <w:left w:val="nil"/>
              <w:bottom w:val="nil"/>
              <w:right w:val="nil"/>
            </w:tcBorders>
            <w:vAlign w:val="center"/>
          </w:tcPr>
          <w:p w14:paraId="00A838C1"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12</w:t>
            </w:r>
          </w:p>
        </w:tc>
        <w:tc>
          <w:tcPr>
            <w:tcW w:w="1744" w:type="dxa"/>
            <w:tcBorders>
              <w:top w:val="nil"/>
              <w:left w:val="nil"/>
              <w:bottom w:val="nil"/>
              <w:right w:val="nil"/>
            </w:tcBorders>
            <w:vAlign w:val="center"/>
          </w:tcPr>
          <w:p w14:paraId="50960048"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color w:val="000000"/>
                <w:sz w:val="20"/>
                <w:szCs w:val="20"/>
              </w:rPr>
              <w:t>10.7</w:t>
            </w:r>
          </w:p>
        </w:tc>
      </w:tr>
      <w:tr w:rsidR="00A84E96" w:rsidRPr="007A25AE" w14:paraId="03A9BDC4" w14:textId="77777777" w:rsidTr="007A25AE">
        <w:trPr>
          <w:trHeight w:val="282"/>
          <w:jc w:val="center"/>
        </w:trPr>
        <w:tc>
          <w:tcPr>
            <w:tcW w:w="1118" w:type="dxa"/>
            <w:vMerge/>
            <w:tcBorders>
              <w:top w:val="nil"/>
              <w:left w:val="nil"/>
              <w:right w:val="nil"/>
            </w:tcBorders>
          </w:tcPr>
          <w:p w14:paraId="77EF7436" w14:textId="77777777" w:rsidR="00A84E96" w:rsidRPr="007A25AE" w:rsidRDefault="00A84E96" w:rsidP="00A84E96">
            <w:pPr>
              <w:contextualSpacing/>
              <w:jc w:val="center"/>
              <w:rPr>
                <w:rFonts w:ascii="Times New Roman" w:hAnsi="Times New Roman" w:cs="Times New Roman"/>
                <w:sz w:val="20"/>
                <w:szCs w:val="20"/>
              </w:rPr>
            </w:pPr>
          </w:p>
        </w:tc>
        <w:tc>
          <w:tcPr>
            <w:tcW w:w="2562" w:type="dxa"/>
            <w:vMerge/>
            <w:tcBorders>
              <w:top w:val="nil"/>
              <w:left w:val="nil"/>
              <w:bottom w:val="single" w:sz="4" w:space="0" w:color="auto"/>
              <w:right w:val="nil"/>
            </w:tcBorders>
          </w:tcPr>
          <w:p w14:paraId="384A2D49" w14:textId="77777777" w:rsidR="00A84E96" w:rsidRPr="007A25AE" w:rsidRDefault="00A84E96" w:rsidP="00E224AA">
            <w:pPr>
              <w:contextualSpacing/>
              <w:rPr>
                <w:rFonts w:ascii="Times New Roman" w:eastAsia="Times New Roman" w:hAnsi="Times New Roman" w:cs="Times New Roman"/>
                <w:color w:val="000000"/>
                <w:sz w:val="20"/>
                <w:szCs w:val="20"/>
              </w:rPr>
            </w:pPr>
          </w:p>
        </w:tc>
        <w:tc>
          <w:tcPr>
            <w:tcW w:w="1854" w:type="dxa"/>
            <w:tcBorders>
              <w:top w:val="nil"/>
              <w:left w:val="nil"/>
              <w:right w:val="nil"/>
            </w:tcBorders>
            <w:vAlign w:val="center"/>
          </w:tcPr>
          <w:p w14:paraId="10B81221"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b/>
                <w:color w:val="000000"/>
                <w:sz w:val="20"/>
                <w:szCs w:val="20"/>
              </w:rPr>
              <w:t>Total</w:t>
            </w:r>
          </w:p>
        </w:tc>
        <w:tc>
          <w:tcPr>
            <w:tcW w:w="1738" w:type="dxa"/>
            <w:tcBorders>
              <w:top w:val="nil"/>
              <w:left w:val="nil"/>
              <w:right w:val="nil"/>
            </w:tcBorders>
            <w:vAlign w:val="center"/>
          </w:tcPr>
          <w:p w14:paraId="009C2FD8"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b/>
                <w:color w:val="000000"/>
                <w:sz w:val="20"/>
                <w:szCs w:val="20"/>
              </w:rPr>
              <w:t>112</w:t>
            </w:r>
          </w:p>
        </w:tc>
        <w:tc>
          <w:tcPr>
            <w:tcW w:w="1744" w:type="dxa"/>
            <w:tcBorders>
              <w:top w:val="nil"/>
              <w:left w:val="nil"/>
              <w:right w:val="nil"/>
            </w:tcBorders>
            <w:vAlign w:val="center"/>
          </w:tcPr>
          <w:p w14:paraId="02E41942" w14:textId="77777777" w:rsidR="00A84E96" w:rsidRPr="007A25AE" w:rsidRDefault="00A84E96" w:rsidP="00A84E96">
            <w:pPr>
              <w:autoSpaceDE w:val="0"/>
              <w:autoSpaceDN w:val="0"/>
              <w:adjustRightInd w:val="0"/>
              <w:ind w:left="60" w:right="60"/>
              <w:contextualSpacing/>
              <w:jc w:val="center"/>
              <w:rPr>
                <w:rFonts w:ascii="Times New Roman" w:hAnsi="Times New Roman" w:cs="Times New Roman"/>
                <w:color w:val="000000"/>
                <w:sz w:val="20"/>
                <w:szCs w:val="20"/>
              </w:rPr>
            </w:pPr>
            <w:r w:rsidRPr="007A25AE">
              <w:rPr>
                <w:rFonts w:ascii="Times New Roman" w:hAnsi="Times New Roman" w:cs="Times New Roman"/>
                <w:b/>
                <w:color w:val="000000"/>
                <w:sz w:val="20"/>
                <w:szCs w:val="20"/>
              </w:rPr>
              <w:t>100.0</w:t>
            </w:r>
          </w:p>
        </w:tc>
      </w:tr>
    </w:tbl>
    <w:p w14:paraId="6C2D49D9" w14:textId="58D13EBF" w:rsidR="00A84E96" w:rsidRDefault="00A84E96" w:rsidP="00E224AA">
      <w:pPr>
        <w:spacing w:after="0" w:line="240" w:lineRule="auto"/>
        <w:jc w:val="center"/>
        <w:rPr>
          <w:rFonts w:ascii="Times New Roman" w:hAnsi="Times New Roman" w:cs="Times New Roman"/>
          <w:bCs/>
          <w:sz w:val="24"/>
          <w:szCs w:val="24"/>
        </w:rPr>
      </w:pPr>
      <w:r w:rsidRPr="00BE4AF3">
        <w:rPr>
          <w:rFonts w:ascii="Times New Roman" w:hAnsi="Times New Roman" w:cs="Times New Roman"/>
          <w:bCs/>
          <w:sz w:val="24"/>
          <w:szCs w:val="24"/>
        </w:rPr>
        <w:t>Source: Field survey (2024)</w:t>
      </w:r>
    </w:p>
    <w:p w14:paraId="1D737FFB" w14:textId="77777777" w:rsidR="00E224AA" w:rsidRPr="00E224AA" w:rsidRDefault="00E224AA" w:rsidP="00E224AA">
      <w:pPr>
        <w:spacing w:after="0" w:line="240" w:lineRule="auto"/>
        <w:jc w:val="center"/>
        <w:rPr>
          <w:rFonts w:ascii="Times New Roman" w:hAnsi="Times New Roman" w:cs="Times New Roman"/>
          <w:bCs/>
          <w:sz w:val="24"/>
          <w:szCs w:val="24"/>
        </w:rPr>
      </w:pPr>
    </w:p>
    <w:p w14:paraId="2076FA9A" w14:textId="69B82D24" w:rsidR="00A84E96" w:rsidRPr="00FB5413" w:rsidRDefault="00A84E96" w:rsidP="00A84E96">
      <w:pPr>
        <w:spacing w:after="0"/>
        <w:jc w:val="both"/>
        <w:rPr>
          <w:rFonts w:ascii="Times New Roman" w:hAnsi="Times New Roman" w:cs="Times New Roman"/>
          <w:b/>
          <w:sz w:val="24"/>
          <w:szCs w:val="24"/>
        </w:rPr>
      </w:pPr>
      <w:r w:rsidRPr="00FB5413">
        <w:rPr>
          <w:rFonts w:ascii="Times New Roman" w:hAnsi="Times New Roman" w:cs="Times New Roman"/>
          <w:b/>
          <w:color w:val="000000"/>
          <w:sz w:val="24"/>
          <w:szCs w:val="24"/>
        </w:rPr>
        <w:t>Public perception</w:t>
      </w:r>
      <w:r w:rsidRPr="00FB5413">
        <w:rPr>
          <w:rFonts w:ascii="Times New Roman" w:hAnsi="Times New Roman" w:cs="Times New Roman"/>
          <w:b/>
          <w:sz w:val="24"/>
          <w:szCs w:val="24"/>
        </w:rPr>
        <w:t xml:space="preserve"> about Fire Disaster Management in Osogbo</w:t>
      </w:r>
    </w:p>
    <w:p w14:paraId="0F78A7A9" w14:textId="77777777" w:rsidR="00A84E96" w:rsidRPr="00BE4AF3" w:rsidRDefault="00A84E96" w:rsidP="00A84E96">
      <w:pPr>
        <w:spacing w:after="0"/>
        <w:jc w:val="both"/>
        <w:rPr>
          <w:rFonts w:ascii="Times New Roman" w:hAnsi="Times New Roman" w:cs="Times New Roman"/>
          <w:sz w:val="24"/>
          <w:szCs w:val="24"/>
        </w:rPr>
      </w:pPr>
      <w:r w:rsidRPr="00BE4AF3">
        <w:rPr>
          <w:rFonts w:ascii="Times New Roman" w:hAnsi="Times New Roman" w:cs="Times New Roman"/>
          <w:sz w:val="24"/>
          <w:szCs w:val="24"/>
        </w:rPr>
        <w:t xml:space="preserve">This sub-section explores public opinion on fire disaster management in Osogbo, assessing residents' perspectives on fire service efficiency, response times, equipment adequacy, and overall preparedness. The responses are shown in Table 2. The table shows respondents' satisfaction with fire service response time during emergencies. A total of 67.9% respondents agree or strongly agree that the response time is satisfactory. Specifically, 34.6% agree, and 33.3% strongly agree. On the other hand, 32.0% respondents either disagree or strongly disagree, with 21.1% disagreeing and 10.9% strongly disagreeing. This indicates that while a majority are satisfied with the response time, a significant portion of the population feels that there is room for improvement. </w:t>
      </w:r>
    </w:p>
    <w:p w14:paraId="22C4BD56" w14:textId="77777777" w:rsidR="00A84E96" w:rsidRPr="00BE4AF3" w:rsidRDefault="00A84E96" w:rsidP="00A84E96">
      <w:pPr>
        <w:spacing w:after="0"/>
        <w:jc w:val="both"/>
        <w:rPr>
          <w:rFonts w:ascii="Times New Roman" w:hAnsi="Times New Roman" w:cs="Times New Roman"/>
          <w:sz w:val="24"/>
          <w:szCs w:val="24"/>
        </w:rPr>
      </w:pPr>
      <w:r w:rsidRPr="00BE4AF3">
        <w:rPr>
          <w:rFonts w:ascii="Times New Roman" w:hAnsi="Times New Roman" w:cs="Times New Roman"/>
          <w:sz w:val="24"/>
          <w:szCs w:val="24"/>
        </w:rPr>
        <w:t xml:space="preserve">On their views on the adequacy of fire drills and public awareness campaigns, most of the respondents agree that it is adequate. Majority of respondents (77.4%), either agree or strongly </w:t>
      </w:r>
      <w:r w:rsidRPr="00BE4AF3">
        <w:rPr>
          <w:rFonts w:ascii="Times New Roman" w:hAnsi="Times New Roman" w:cs="Times New Roman"/>
          <w:sz w:val="24"/>
          <w:szCs w:val="24"/>
        </w:rPr>
        <w:lastRenderedPageBreak/>
        <w:t xml:space="preserve">agree that firefighters and emergency responders in Osogbo demonstrate professionalism and competence during fire incidents. This suggests a strong community trust in the abilities of local firefighters. Results of public opinion on availability and functionality of firefighting equipment shows while most respondents feel the equipment is adequate, some of the respondents perceive a need for improvement. Vast majority of respondents, 63.8% respondents strongly agree, and 25.5% agree that the government's efforts to improve fire disaster management in Osogbo are visible and effective. This shows a strong positive perception of the government’s efforts in fire disaster management. </w:t>
      </w:r>
    </w:p>
    <w:p w14:paraId="70A055E5" w14:textId="77777777" w:rsidR="00A84E96" w:rsidRPr="00BE4AF3" w:rsidRDefault="00A84E96" w:rsidP="00E224AA">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On the question as to whether there is effective coordination between emergency services and other relevant authorities during fire incidents. Majority of respondents agreed (57.0% respondents agree, and 28.4% strongly agree) that coordination is effective. Result of public views on whether the Osogbo community feels adequately informed about fire safety measures and procedures shows that majority agreed (28.9% strongly agreed, and 56.5% agreed) of that the community feels adequately informed. This indicates that most respondents feel well-informed about fire safety.</w:t>
      </w:r>
    </w:p>
    <w:p w14:paraId="14680F10" w14:textId="62108A56" w:rsidR="00A84E96" w:rsidRPr="00E224AA" w:rsidRDefault="00A84E96" w:rsidP="00E224AA">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response of the public to the question as to whether the public buildings and residential areas in Osogbo are equipped with proper fire safety measures and infrastructure shows that majority agreed (25.5% strongly agreed, and 53.1% agreed) that the public buildings and residential areas in Osogbo are equipped with proper fire safety measures and infrastructure.</w:t>
      </w:r>
    </w:p>
    <w:p w14:paraId="77169DAB" w14:textId="77777777" w:rsidR="00A84E96" w:rsidRPr="00BE4AF3" w:rsidRDefault="00A84E96" w:rsidP="00A84E96">
      <w:pPr>
        <w:spacing w:after="0"/>
        <w:jc w:val="both"/>
        <w:rPr>
          <w:rFonts w:ascii="Times New Roman" w:hAnsi="Times New Roman" w:cs="Times New Roman"/>
          <w:bCs/>
          <w:sz w:val="24"/>
          <w:szCs w:val="24"/>
        </w:rPr>
      </w:pPr>
    </w:p>
    <w:p w14:paraId="39ABA68D" w14:textId="77777777" w:rsidR="00A84E96" w:rsidRPr="00BE4AF3" w:rsidRDefault="00A84E96" w:rsidP="00A84E96">
      <w:pPr>
        <w:spacing w:after="0"/>
        <w:jc w:val="center"/>
        <w:rPr>
          <w:rFonts w:ascii="Times New Roman" w:hAnsi="Times New Roman" w:cs="Times New Roman"/>
          <w:bCs/>
          <w:sz w:val="24"/>
          <w:szCs w:val="24"/>
        </w:rPr>
      </w:pPr>
      <w:r w:rsidRPr="00BE4AF3">
        <w:rPr>
          <w:rFonts w:ascii="Times New Roman" w:hAnsi="Times New Roman" w:cs="Times New Roman"/>
          <w:b/>
          <w:sz w:val="24"/>
          <w:szCs w:val="24"/>
        </w:rPr>
        <w:t>Table 2:</w:t>
      </w:r>
      <w:r w:rsidRPr="00BE4AF3">
        <w:rPr>
          <w:rFonts w:ascii="Times New Roman" w:hAnsi="Times New Roman" w:cs="Times New Roman"/>
          <w:bCs/>
          <w:sz w:val="24"/>
          <w:szCs w:val="24"/>
        </w:rPr>
        <w:t xml:space="preserve"> </w:t>
      </w:r>
      <w:r w:rsidRPr="00BE4AF3">
        <w:rPr>
          <w:rFonts w:ascii="Times New Roman" w:hAnsi="Times New Roman" w:cs="Times New Roman"/>
          <w:bCs/>
          <w:color w:val="000000"/>
          <w:sz w:val="24"/>
          <w:szCs w:val="24"/>
        </w:rPr>
        <w:t xml:space="preserve">Public </w:t>
      </w:r>
      <w:r w:rsidRPr="00BE4AF3">
        <w:rPr>
          <w:rFonts w:ascii="Times New Roman" w:hAnsi="Times New Roman" w:cs="Times New Roman"/>
          <w:bCs/>
          <w:sz w:val="24"/>
          <w:szCs w:val="24"/>
        </w:rPr>
        <w:t>view about Fire Disaster Management</w:t>
      </w:r>
    </w:p>
    <w:tbl>
      <w:tblPr>
        <w:tblStyle w:val="TableGrid"/>
        <w:tblW w:w="8098" w:type="dxa"/>
        <w:jc w:val="center"/>
        <w:tblLook w:val="04A0" w:firstRow="1" w:lastRow="0" w:firstColumn="1" w:lastColumn="0" w:noHBand="0" w:noVBand="1"/>
      </w:tblPr>
      <w:tblGrid>
        <w:gridCol w:w="3385"/>
        <w:gridCol w:w="1577"/>
        <w:gridCol w:w="1266"/>
        <w:gridCol w:w="1870"/>
      </w:tblGrid>
      <w:tr w:rsidR="00A84E96" w:rsidRPr="00E224AA" w14:paraId="1184AE0C" w14:textId="77777777" w:rsidTr="00E224AA">
        <w:trPr>
          <w:jc w:val="center"/>
        </w:trPr>
        <w:tc>
          <w:tcPr>
            <w:tcW w:w="3385" w:type="dxa"/>
            <w:tcBorders>
              <w:left w:val="nil"/>
              <w:bottom w:val="single" w:sz="4" w:space="0" w:color="auto"/>
              <w:right w:val="nil"/>
            </w:tcBorders>
          </w:tcPr>
          <w:p w14:paraId="09214BC3" w14:textId="77777777" w:rsidR="00A84E96" w:rsidRPr="00E224AA" w:rsidRDefault="00A84E96" w:rsidP="00E224AA">
            <w:pPr>
              <w:spacing w:after="0" w:line="240" w:lineRule="auto"/>
              <w:rPr>
                <w:rFonts w:ascii="Times New Roman" w:hAnsi="Times New Roman" w:cs="Times New Roman"/>
                <w:bCs/>
                <w:sz w:val="20"/>
                <w:szCs w:val="20"/>
              </w:rPr>
            </w:pPr>
            <w:r w:rsidRPr="00E224AA">
              <w:rPr>
                <w:rFonts w:ascii="Times New Roman" w:hAnsi="Times New Roman" w:cs="Times New Roman"/>
                <w:bCs/>
                <w:sz w:val="20"/>
                <w:szCs w:val="20"/>
              </w:rPr>
              <w:t>Public View</w:t>
            </w:r>
          </w:p>
        </w:tc>
        <w:tc>
          <w:tcPr>
            <w:tcW w:w="1577" w:type="dxa"/>
            <w:tcBorders>
              <w:left w:val="nil"/>
              <w:bottom w:val="single" w:sz="4" w:space="0" w:color="auto"/>
              <w:right w:val="nil"/>
            </w:tcBorders>
          </w:tcPr>
          <w:p w14:paraId="5D6437D4" w14:textId="77777777" w:rsidR="00A84E96" w:rsidRPr="00E224AA" w:rsidRDefault="00A84E96" w:rsidP="00E224AA">
            <w:pPr>
              <w:spacing w:after="0" w:line="240" w:lineRule="auto"/>
              <w:rPr>
                <w:rFonts w:ascii="Times New Roman" w:hAnsi="Times New Roman" w:cs="Times New Roman"/>
                <w:bCs/>
                <w:sz w:val="20"/>
                <w:szCs w:val="20"/>
              </w:rPr>
            </w:pPr>
            <w:r w:rsidRPr="00E224AA">
              <w:rPr>
                <w:rFonts w:ascii="Times New Roman" w:hAnsi="Times New Roman" w:cs="Times New Roman"/>
                <w:bCs/>
                <w:sz w:val="20"/>
                <w:szCs w:val="20"/>
              </w:rPr>
              <w:t>Variable</w:t>
            </w:r>
          </w:p>
        </w:tc>
        <w:tc>
          <w:tcPr>
            <w:tcW w:w="1266" w:type="dxa"/>
            <w:tcBorders>
              <w:left w:val="nil"/>
              <w:bottom w:val="single" w:sz="4" w:space="0" w:color="auto"/>
              <w:right w:val="nil"/>
            </w:tcBorders>
            <w:vAlign w:val="bottom"/>
          </w:tcPr>
          <w:p w14:paraId="68BE9E7F"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bCs/>
                <w:color w:val="000000" w:themeColor="text1"/>
                <w:sz w:val="20"/>
                <w:szCs w:val="20"/>
              </w:rPr>
            </w:pPr>
            <w:r w:rsidRPr="00E224AA">
              <w:rPr>
                <w:rFonts w:ascii="Times New Roman" w:hAnsi="Times New Roman" w:cs="Times New Roman"/>
                <w:bCs/>
                <w:color w:val="000000" w:themeColor="text1"/>
                <w:sz w:val="20"/>
                <w:szCs w:val="20"/>
              </w:rPr>
              <w:t>Frequency</w:t>
            </w:r>
          </w:p>
        </w:tc>
        <w:tc>
          <w:tcPr>
            <w:tcW w:w="1870" w:type="dxa"/>
            <w:tcBorders>
              <w:left w:val="nil"/>
              <w:bottom w:val="single" w:sz="4" w:space="0" w:color="auto"/>
              <w:right w:val="nil"/>
            </w:tcBorders>
            <w:vAlign w:val="bottom"/>
          </w:tcPr>
          <w:p w14:paraId="73D37036"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bCs/>
                <w:color w:val="000000" w:themeColor="text1"/>
                <w:sz w:val="20"/>
                <w:szCs w:val="20"/>
              </w:rPr>
            </w:pPr>
            <w:r w:rsidRPr="00E224AA">
              <w:rPr>
                <w:rFonts w:ascii="Times New Roman" w:hAnsi="Times New Roman" w:cs="Times New Roman"/>
                <w:bCs/>
                <w:color w:val="000000" w:themeColor="text1"/>
                <w:sz w:val="20"/>
                <w:szCs w:val="20"/>
              </w:rPr>
              <w:t>Percentage %</w:t>
            </w:r>
          </w:p>
        </w:tc>
      </w:tr>
      <w:tr w:rsidR="00A84E96" w:rsidRPr="00E224AA" w14:paraId="77FA19F8" w14:textId="77777777" w:rsidTr="00E224AA">
        <w:trPr>
          <w:trHeight w:val="193"/>
          <w:jc w:val="center"/>
        </w:trPr>
        <w:tc>
          <w:tcPr>
            <w:tcW w:w="3385" w:type="dxa"/>
            <w:vMerge w:val="restart"/>
            <w:tcBorders>
              <w:left w:val="nil"/>
              <w:bottom w:val="nil"/>
              <w:right w:val="nil"/>
            </w:tcBorders>
          </w:tcPr>
          <w:p w14:paraId="2A15C187"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bCs/>
                <w:color w:val="000000"/>
                <w:sz w:val="20"/>
                <w:szCs w:val="20"/>
              </w:rPr>
              <w:t>The response time of fire services during emergencies in Osogbo is satisfactory.</w:t>
            </w:r>
          </w:p>
        </w:tc>
        <w:tc>
          <w:tcPr>
            <w:tcW w:w="1577" w:type="dxa"/>
            <w:tcBorders>
              <w:left w:val="nil"/>
              <w:bottom w:val="nil"/>
              <w:right w:val="nil"/>
            </w:tcBorders>
            <w:vAlign w:val="center"/>
          </w:tcPr>
          <w:p w14:paraId="1FAE103E"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Strongly Agreed</w:t>
            </w:r>
          </w:p>
        </w:tc>
        <w:tc>
          <w:tcPr>
            <w:tcW w:w="1266" w:type="dxa"/>
            <w:tcBorders>
              <w:left w:val="nil"/>
              <w:bottom w:val="nil"/>
              <w:right w:val="nil"/>
            </w:tcBorders>
            <w:vAlign w:val="center"/>
          </w:tcPr>
          <w:p w14:paraId="73B1D6D6"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128</w:t>
            </w:r>
          </w:p>
        </w:tc>
        <w:tc>
          <w:tcPr>
            <w:tcW w:w="1870" w:type="dxa"/>
            <w:tcBorders>
              <w:left w:val="nil"/>
              <w:bottom w:val="nil"/>
              <w:right w:val="nil"/>
            </w:tcBorders>
            <w:vAlign w:val="center"/>
          </w:tcPr>
          <w:p w14:paraId="088BD86A"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33.3</w:t>
            </w:r>
          </w:p>
        </w:tc>
      </w:tr>
      <w:tr w:rsidR="00A84E96" w:rsidRPr="00E224AA" w14:paraId="55F0288E" w14:textId="77777777" w:rsidTr="00E224AA">
        <w:trPr>
          <w:trHeight w:val="171"/>
          <w:jc w:val="center"/>
        </w:trPr>
        <w:tc>
          <w:tcPr>
            <w:tcW w:w="3385" w:type="dxa"/>
            <w:vMerge/>
            <w:tcBorders>
              <w:top w:val="nil"/>
              <w:left w:val="nil"/>
              <w:bottom w:val="nil"/>
              <w:right w:val="nil"/>
            </w:tcBorders>
          </w:tcPr>
          <w:p w14:paraId="50C33987"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bCs/>
                <w:color w:val="000000"/>
                <w:sz w:val="20"/>
                <w:szCs w:val="20"/>
              </w:rPr>
            </w:pPr>
          </w:p>
        </w:tc>
        <w:tc>
          <w:tcPr>
            <w:tcW w:w="1577" w:type="dxa"/>
            <w:tcBorders>
              <w:top w:val="nil"/>
              <w:left w:val="nil"/>
              <w:bottom w:val="nil"/>
              <w:right w:val="nil"/>
            </w:tcBorders>
            <w:vAlign w:val="center"/>
          </w:tcPr>
          <w:p w14:paraId="6C82C263"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Agreed</w:t>
            </w:r>
          </w:p>
        </w:tc>
        <w:tc>
          <w:tcPr>
            <w:tcW w:w="1266" w:type="dxa"/>
            <w:tcBorders>
              <w:top w:val="nil"/>
              <w:left w:val="nil"/>
              <w:bottom w:val="nil"/>
              <w:right w:val="nil"/>
            </w:tcBorders>
            <w:vAlign w:val="center"/>
          </w:tcPr>
          <w:p w14:paraId="6F6841B4"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133</w:t>
            </w:r>
          </w:p>
        </w:tc>
        <w:tc>
          <w:tcPr>
            <w:tcW w:w="1870" w:type="dxa"/>
            <w:tcBorders>
              <w:top w:val="nil"/>
              <w:left w:val="nil"/>
              <w:bottom w:val="nil"/>
              <w:right w:val="nil"/>
            </w:tcBorders>
            <w:vAlign w:val="center"/>
          </w:tcPr>
          <w:p w14:paraId="0DAD8C68"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34.6</w:t>
            </w:r>
          </w:p>
        </w:tc>
      </w:tr>
      <w:tr w:rsidR="00A84E96" w:rsidRPr="00E224AA" w14:paraId="3CC0D4E1" w14:textId="77777777" w:rsidTr="00E224AA">
        <w:trPr>
          <w:trHeight w:val="114"/>
          <w:jc w:val="center"/>
        </w:trPr>
        <w:tc>
          <w:tcPr>
            <w:tcW w:w="3385" w:type="dxa"/>
            <w:vMerge/>
            <w:tcBorders>
              <w:top w:val="nil"/>
              <w:left w:val="nil"/>
              <w:bottom w:val="nil"/>
              <w:right w:val="nil"/>
            </w:tcBorders>
          </w:tcPr>
          <w:p w14:paraId="7950A0F4"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bCs/>
                <w:color w:val="000000"/>
                <w:sz w:val="20"/>
                <w:szCs w:val="20"/>
              </w:rPr>
            </w:pPr>
          </w:p>
        </w:tc>
        <w:tc>
          <w:tcPr>
            <w:tcW w:w="1577" w:type="dxa"/>
            <w:tcBorders>
              <w:top w:val="nil"/>
              <w:left w:val="nil"/>
              <w:bottom w:val="nil"/>
              <w:right w:val="nil"/>
            </w:tcBorders>
            <w:vAlign w:val="center"/>
          </w:tcPr>
          <w:p w14:paraId="253BBAE3"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Disagreed</w:t>
            </w:r>
          </w:p>
        </w:tc>
        <w:tc>
          <w:tcPr>
            <w:tcW w:w="1266" w:type="dxa"/>
            <w:tcBorders>
              <w:top w:val="nil"/>
              <w:left w:val="nil"/>
              <w:bottom w:val="nil"/>
              <w:right w:val="nil"/>
            </w:tcBorders>
            <w:vAlign w:val="center"/>
          </w:tcPr>
          <w:p w14:paraId="7F7D4EE2"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81</w:t>
            </w:r>
          </w:p>
        </w:tc>
        <w:tc>
          <w:tcPr>
            <w:tcW w:w="1870" w:type="dxa"/>
            <w:tcBorders>
              <w:top w:val="nil"/>
              <w:left w:val="nil"/>
              <w:bottom w:val="nil"/>
              <w:right w:val="nil"/>
            </w:tcBorders>
            <w:vAlign w:val="center"/>
          </w:tcPr>
          <w:p w14:paraId="05482BB1"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21.1</w:t>
            </w:r>
          </w:p>
        </w:tc>
      </w:tr>
      <w:tr w:rsidR="00A84E96" w:rsidRPr="00E224AA" w14:paraId="64933219" w14:textId="77777777" w:rsidTr="00E224AA">
        <w:trPr>
          <w:trHeight w:val="147"/>
          <w:jc w:val="center"/>
        </w:trPr>
        <w:tc>
          <w:tcPr>
            <w:tcW w:w="3385" w:type="dxa"/>
            <w:vMerge/>
            <w:tcBorders>
              <w:top w:val="nil"/>
              <w:left w:val="nil"/>
              <w:bottom w:val="nil"/>
              <w:right w:val="nil"/>
            </w:tcBorders>
          </w:tcPr>
          <w:p w14:paraId="4CB3A2B0"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bCs/>
                <w:color w:val="000000"/>
                <w:sz w:val="20"/>
                <w:szCs w:val="20"/>
              </w:rPr>
            </w:pPr>
          </w:p>
        </w:tc>
        <w:tc>
          <w:tcPr>
            <w:tcW w:w="1577" w:type="dxa"/>
            <w:tcBorders>
              <w:top w:val="nil"/>
              <w:left w:val="nil"/>
              <w:bottom w:val="nil"/>
              <w:right w:val="nil"/>
            </w:tcBorders>
            <w:vAlign w:val="center"/>
          </w:tcPr>
          <w:p w14:paraId="227529CF"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Strongly Disagreed</w:t>
            </w:r>
          </w:p>
        </w:tc>
        <w:tc>
          <w:tcPr>
            <w:tcW w:w="1266" w:type="dxa"/>
            <w:tcBorders>
              <w:top w:val="nil"/>
              <w:left w:val="nil"/>
              <w:bottom w:val="nil"/>
              <w:right w:val="nil"/>
            </w:tcBorders>
            <w:vAlign w:val="center"/>
          </w:tcPr>
          <w:p w14:paraId="03D1A4F2"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42</w:t>
            </w:r>
          </w:p>
        </w:tc>
        <w:tc>
          <w:tcPr>
            <w:tcW w:w="1870" w:type="dxa"/>
            <w:tcBorders>
              <w:top w:val="nil"/>
              <w:left w:val="nil"/>
              <w:bottom w:val="nil"/>
              <w:right w:val="nil"/>
            </w:tcBorders>
            <w:vAlign w:val="center"/>
          </w:tcPr>
          <w:p w14:paraId="1CB19AFA"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10.9</w:t>
            </w:r>
          </w:p>
        </w:tc>
      </w:tr>
      <w:tr w:rsidR="00A84E96" w:rsidRPr="00E224AA" w14:paraId="563B0523" w14:textId="77777777" w:rsidTr="00E224AA">
        <w:trPr>
          <w:trHeight w:val="91"/>
          <w:jc w:val="center"/>
        </w:trPr>
        <w:tc>
          <w:tcPr>
            <w:tcW w:w="3385" w:type="dxa"/>
            <w:vMerge/>
            <w:tcBorders>
              <w:top w:val="nil"/>
              <w:left w:val="nil"/>
              <w:bottom w:val="single" w:sz="4" w:space="0" w:color="auto"/>
              <w:right w:val="nil"/>
            </w:tcBorders>
          </w:tcPr>
          <w:p w14:paraId="7DF5DBA5"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bCs/>
                <w:color w:val="000000"/>
                <w:sz w:val="20"/>
                <w:szCs w:val="20"/>
              </w:rPr>
            </w:pPr>
          </w:p>
        </w:tc>
        <w:tc>
          <w:tcPr>
            <w:tcW w:w="1577" w:type="dxa"/>
            <w:tcBorders>
              <w:top w:val="nil"/>
              <w:left w:val="nil"/>
              <w:bottom w:val="single" w:sz="4" w:space="0" w:color="auto"/>
              <w:right w:val="nil"/>
            </w:tcBorders>
            <w:vAlign w:val="center"/>
          </w:tcPr>
          <w:p w14:paraId="5BF83EBA"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Total</w:t>
            </w:r>
          </w:p>
        </w:tc>
        <w:tc>
          <w:tcPr>
            <w:tcW w:w="1266" w:type="dxa"/>
            <w:tcBorders>
              <w:top w:val="nil"/>
              <w:left w:val="nil"/>
              <w:bottom w:val="single" w:sz="4" w:space="0" w:color="auto"/>
              <w:right w:val="nil"/>
            </w:tcBorders>
            <w:vAlign w:val="center"/>
          </w:tcPr>
          <w:p w14:paraId="5D8B5417"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384</w:t>
            </w:r>
          </w:p>
        </w:tc>
        <w:tc>
          <w:tcPr>
            <w:tcW w:w="1870" w:type="dxa"/>
            <w:tcBorders>
              <w:top w:val="nil"/>
              <w:left w:val="nil"/>
              <w:bottom w:val="single" w:sz="4" w:space="0" w:color="auto"/>
              <w:right w:val="nil"/>
            </w:tcBorders>
            <w:vAlign w:val="center"/>
          </w:tcPr>
          <w:p w14:paraId="4525CD1F"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100.0</w:t>
            </w:r>
          </w:p>
        </w:tc>
      </w:tr>
      <w:tr w:rsidR="00A84E96" w:rsidRPr="00E224AA" w14:paraId="715436CB" w14:textId="77777777" w:rsidTr="00E224AA">
        <w:trPr>
          <w:trHeight w:val="204"/>
          <w:jc w:val="center"/>
        </w:trPr>
        <w:tc>
          <w:tcPr>
            <w:tcW w:w="3385" w:type="dxa"/>
            <w:vMerge w:val="restart"/>
            <w:tcBorders>
              <w:left w:val="nil"/>
              <w:bottom w:val="nil"/>
              <w:right w:val="nil"/>
            </w:tcBorders>
          </w:tcPr>
          <w:p w14:paraId="3140F89E" w14:textId="77777777" w:rsidR="00A84E96" w:rsidRPr="00E224AA" w:rsidRDefault="00A84E96" w:rsidP="00E224AA">
            <w:pPr>
              <w:spacing w:after="0" w:line="240" w:lineRule="auto"/>
              <w:rPr>
                <w:rFonts w:ascii="Times New Roman" w:hAnsi="Times New Roman" w:cs="Times New Roman"/>
                <w:sz w:val="20"/>
                <w:szCs w:val="20"/>
              </w:rPr>
            </w:pPr>
            <w:r w:rsidRPr="00E224AA">
              <w:rPr>
                <w:rFonts w:ascii="Times New Roman" w:hAnsi="Times New Roman" w:cs="Times New Roman"/>
                <w:sz w:val="20"/>
                <w:szCs w:val="20"/>
              </w:rPr>
              <w:t>The frequency of fire drills and public awareness campaigns regarding fire safety in Osogbo is adequate.</w:t>
            </w:r>
          </w:p>
        </w:tc>
        <w:tc>
          <w:tcPr>
            <w:tcW w:w="1577" w:type="dxa"/>
            <w:tcBorders>
              <w:left w:val="nil"/>
              <w:bottom w:val="nil"/>
              <w:right w:val="nil"/>
            </w:tcBorders>
            <w:vAlign w:val="center"/>
          </w:tcPr>
          <w:p w14:paraId="248E8444"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Strongly Agreed</w:t>
            </w:r>
          </w:p>
        </w:tc>
        <w:tc>
          <w:tcPr>
            <w:tcW w:w="1266" w:type="dxa"/>
            <w:tcBorders>
              <w:left w:val="nil"/>
              <w:bottom w:val="nil"/>
              <w:right w:val="nil"/>
            </w:tcBorders>
            <w:vAlign w:val="center"/>
          </w:tcPr>
          <w:p w14:paraId="0A74E765"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88</w:t>
            </w:r>
          </w:p>
        </w:tc>
        <w:tc>
          <w:tcPr>
            <w:tcW w:w="1870" w:type="dxa"/>
            <w:tcBorders>
              <w:left w:val="nil"/>
              <w:bottom w:val="nil"/>
              <w:right w:val="nil"/>
            </w:tcBorders>
            <w:vAlign w:val="center"/>
          </w:tcPr>
          <w:p w14:paraId="41DDB421"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22.9</w:t>
            </w:r>
          </w:p>
        </w:tc>
      </w:tr>
      <w:tr w:rsidR="00A84E96" w:rsidRPr="00E224AA" w14:paraId="41F68AC6" w14:textId="77777777" w:rsidTr="00E224AA">
        <w:trPr>
          <w:trHeight w:val="250"/>
          <w:jc w:val="center"/>
        </w:trPr>
        <w:tc>
          <w:tcPr>
            <w:tcW w:w="3385" w:type="dxa"/>
            <w:vMerge/>
            <w:tcBorders>
              <w:top w:val="nil"/>
              <w:left w:val="nil"/>
              <w:bottom w:val="nil"/>
              <w:right w:val="nil"/>
            </w:tcBorders>
          </w:tcPr>
          <w:p w14:paraId="46C6FDA9"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nil"/>
              <w:right w:val="nil"/>
            </w:tcBorders>
            <w:vAlign w:val="center"/>
          </w:tcPr>
          <w:p w14:paraId="5AFE163B"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Agreed</w:t>
            </w:r>
          </w:p>
        </w:tc>
        <w:tc>
          <w:tcPr>
            <w:tcW w:w="1266" w:type="dxa"/>
            <w:tcBorders>
              <w:top w:val="nil"/>
              <w:left w:val="nil"/>
              <w:bottom w:val="nil"/>
              <w:right w:val="nil"/>
            </w:tcBorders>
            <w:vAlign w:val="center"/>
          </w:tcPr>
          <w:p w14:paraId="60A7CD78"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195</w:t>
            </w:r>
          </w:p>
        </w:tc>
        <w:tc>
          <w:tcPr>
            <w:tcW w:w="1870" w:type="dxa"/>
            <w:tcBorders>
              <w:top w:val="nil"/>
              <w:left w:val="nil"/>
              <w:bottom w:val="nil"/>
              <w:right w:val="nil"/>
            </w:tcBorders>
            <w:vAlign w:val="center"/>
          </w:tcPr>
          <w:p w14:paraId="20824DFC"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50.8</w:t>
            </w:r>
          </w:p>
        </w:tc>
      </w:tr>
      <w:tr w:rsidR="00A84E96" w:rsidRPr="00E224AA" w14:paraId="0975602A" w14:textId="77777777" w:rsidTr="00E224AA">
        <w:trPr>
          <w:trHeight w:val="295"/>
          <w:jc w:val="center"/>
        </w:trPr>
        <w:tc>
          <w:tcPr>
            <w:tcW w:w="3385" w:type="dxa"/>
            <w:vMerge/>
            <w:tcBorders>
              <w:top w:val="nil"/>
              <w:left w:val="nil"/>
              <w:bottom w:val="nil"/>
              <w:right w:val="nil"/>
            </w:tcBorders>
          </w:tcPr>
          <w:p w14:paraId="2A3699AF"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nil"/>
              <w:right w:val="nil"/>
            </w:tcBorders>
            <w:vAlign w:val="center"/>
          </w:tcPr>
          <w:p w14:paraId="0BB29A8E"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Disagreed</w:t>
            </w:r>
          </w:p>
        </w:tc>
        <w:tc>
          <w:tcPr>
            <w:tcW w:w="1266" w:type="dxa"/>
            <w:tcBorders>
              <w:top w:val="nil"/>
              <w:left w:val="nil"/>
              <w:bottom w:val="nil"/>
              <w:right w:val="nil"/>
            </w:tcBorders>
            <w:vAlign w:val="center"/>
          </w:tcPr>
          <w:p w14:paraId="5DDFF41A"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77</w:t>
            </w:r>
          </w:p>
        </w:tc>
        <w:tc>
          <w:tcPr>
            <w:tcW w:w="1870" w:type="dxa"/>
            <w:tcBorders>
              <w:top w:val="nil"/>
              <w:left w:val="nil"/>
              <w:bottom w:val="nil"/>
              <w:right w:val="nil"/>
            </w:tcBorders>
            <w:vAlign w:val="center"/>
          </w:tcPr>
          <w:p w14:paraId="73A48453"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20.1</w:t>
            </w:r>
          </w:p>
        </w:tc>
      </w:tr>
      <w:tr w:rsidR="00A84E96" w:rsidRPr="00E224AA" w14:paraId="32689996" w14:textId="77777777" w:rsidTr="00E224AA">
        <w:trPr>
          <w:trHeight w:val="125"/>
          <w:jc w:val="center"/>
        </w:trPr>
        <w:tc>
          <w:tcPr>
            <w:tcW w:w="3385" w:type="dxa"/>
            <w:vMerge/>
            <w:tcBorders>
              <w:top w:val="nil"/>
              <w:left w:val="nil"/>
              <w:bottom w:val="nil"/>
              <w:right w:val="nil"/>
            </w:tcBorders>
          </w:tcPr>
          <w:p w14:paraId="76F6D00B"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nil"/>
              <w:right w:val="nil"/>
            </w:tcBorders>
            <w:vAlign w:val="center"/>
          </w:tcPr>
          <w:p w14:paraId="75983D50"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Strongly Disagreed</w:t>
            </w:r>
          </w:p>
        </w:tc>
        <w:tc>
          <w:tcPr>
            <w:tcW w:w="1266" w:type="dxa"/>
            <w:tcBorders>
              <w:top w:val="nil"/>
              <w:left w:val="nil"/>
              <w:bottom w:val="nil"/>
              <w:right w:val="nil"/>
            </w:tcBorders>
            <w:vAlign w:val="center"/>
          </w:tcPr>
          <w:p w14:paraId="6C752810"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24</w:t>
            </w:r>
          </w:p>
        </w:tc>
        <w:tc>
          <w:tcPr>
            <w:tcW w:w="1870" w:type="dxa"/>
            <w:tcBorders>
              <w:top w:val="nil"/>
              <w:left w:val="nil"/>
              <w:bottom w:val="nil"/>
              <w:right w:val="nil"/>
            </w:tcBorders>
            <w:vAlign w:val="center"/>
          </w:tcPr>
          <w:p w14:paraId="658ECD58"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6.3</w:t>
            </w:r>
          </w:p>
        </w:tc>
      </w:tr>
      <w:tr w:rsidR="00A84E96" w:rsidRPr="00E224AA" w14:paraId="2794F018" w14:textId="77777777" w:rsidTr="00E224AA">
        <w:trPr>
          <w:trHeight w:val="159"/>
          <w:jc w:val="center"/>
        </w:trPr>
        <w:tc>
          <w:tcPr>
            <w:tcW w:w="3385" w:type="dxa"/>
            <w:vMerge/>
            <w:tcBorders>
              <w:top w:val="nil"/>
              <w:left w:val="nil"/>
              <w:bottom w:val="single" w:sz="4" w:space="0" w:color="auto"/>
              <w:right w:val="nil"/>
            </w:tcBorders>
          </w:tcPr>
          <w:p w14:paraId="71D8E98E"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single" w:sz="4" w:space="0" w:color="auto"/>
              <w:right w:val="nil"/>
            </w:tcBorders>
            <w:vAlign w:val="center"/>
          </w:tcPr>
          <w:p w14:paraId="2984D32A"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Total</w:t>
            </w:r>
          </w:p>
        </w:tc>
        <w:tc>
          <w:tcPr>
            <w:tcW w:w="1266" w:type="dxa"/>
            <w:tcBorders>
              <w:top w:val="nil"/>
              <w:left w:val="nil"/>
              <w:bottom w:val="single" w:sz="4" w:space="0" w:color="auto"/>
              <w:right w:val="nil"/>
            </w:tcBorders>
            <w:vAlign w:val="center"/>
          </w:tcPr>
          <w:p w14:paraId="67A5BF5B"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384</w:t>
            </w:r>
          </w:p>
        </w:tc>
        <w:tc>
          <w:tcPr>
            <w:tcW w:w="1870" w:type="dxa"/>
            <w:tcBorders>
              <w:top w:val="nil"/>
              <w:left w:val="nil"/>
              <w:bottom w:val="single" w:sz="4" w:space="0" w:color="auto"/>
              <w:right w:val="nil"/>
            </w:tcBorders>
            <w:vAlign w:val="center"/>
          </w:tcPr>
          <w:p w14:paraId="5CAB02BD"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100.0</w:t>
            </w:r>
          </w:p>
        </w:tc>
      </w:tr>
      <w:tr w:rsidR="00A84E96" w:rsidRPr="00E224AA" w14:paraId="399CCD88" w14:textId="77777777" w:rsidTr="00E224AA">
        <w:trPr>
          <w:trHeight w:val="238"/>
          <w:jc w:val="center"/>
        </w:trPr>
        <w:tc>
          <w:tcPr>
            <w:tcW w:w="3385" w:type="dxa"/>
            <w:vMerge w:val="restart"/>
            <w:tcBorders>
              <w:left w:val="nil"/>
              <w:bottom w:val="nil"/>
              <w:right w:val="nil"/>
            </w:tcBorders>
          </w:tcPr>
          <w:p w14:paraId="17CB7D9F" w14:textId="77777777" w:rsidR="00A84E96" w:rsidRPr="00E224AA" w:rsidRDefault="00A84E96" w:rsidP="00E224AA">
            <w:pPr>
              <w:spacing w:after="0" w:line="240" w:lineRule="auto"/>
              <w:rPr>
                <w:rFonts w:ascii="Times New Roman" w:hAnsi="Times New Roman" w:cs="Times New Roman"/>
                <w:sz w:val="20"/>
                <w:szCs w:val="20"/>
              </w:rPr>
            </w:pPr>
            <w:r w:rsidRPr="00E224AA">
              <w:rPr>
                <w:rFonts w:ascii="Times New Roman" w:hAnsi="Times New Roman" w:cs="Times New Roman"/>
                <w:sz w:val="20"/>
                <w:szCs w:val="20"/>
              </w:rPr>
              <w:t>Firefighters and emergency responders in Osogbo demonstrate professionalism and competence during fire incidents</w:t>
            </w:r>
          </w:p>
        </w:tc>
        <w:tc>
          <w:tcPr>
            <w:tcW w:w="1577" w:type="dxa"/>
            <w:tcBorders>
              <w:left w:val="nil"/>
              <w:bottom w:val="nil"/>
              <w:right w:val="nil"/>
            </w:tcBorders>
            <w:vAlign w:val="center"/>
          </w:tcPr>
          <w:p w14:paraId="749EF960"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Strongly Agreed</w:t>
            </w:r>
          </w:p>
        </w:tc>
        <w:tc>
          <w:tcPr>
            <w:tcW w:w="1266" w:type="dxa"/>
            <w:tcBorders>
              <w:left w:val="nil"/>
              <w:bottom w:val="nil"/>
              <w:right w:val="nil"/>
            </w:tcBorders>
            <w:vAlign w:val="center"/>
          </w:tcPr>
          <w:p w14:paraId="11D1D60F"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127</w:t>
            </w:r>
          </w:p>
        </w:tc>
        <w:tc>
          <w:tcPr>
            <w:tcW w:w="1870" w:type="dxa"/>
            <w:tcBorders>
              <w:left w:val="nil"/>
              <w:bottom w:val="nil"/>
              <w:right w:val="nil"/>
            </w:tcBorders>
            <w:vAlign w:val="center"/>
          </w:tcPr>
          <w:p w14:paraId="3A0DAC6E"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33.1</w:t>
            </w:r>
          </w:p>
        </w:tc>
      </w:tr>
      <w:tr w:rsidR="00A84E96" w:rsidRPr="00E224AA" w14:paraId="652DD61F" w14:textId="77777777" w:rsidTr="00E224AA">
        <w:trPr>
          <w:trHeight w:val="329"/>
          <w:jc w:val="center"/>
        </w:trPr>
        <w:tc>
          <w:tcPr>
            <w:tcW w:w="3385" w:type="dxa"/>
            <w:vMerge/>
            <w:tcBorders>
              <w:top w:val="nil"/>
              <w:left w:val="nil"/>
              <w:bottom w:val="nil"/>
              <w:right w:val="nil"/>
            </w:tcBorders>
          </w:tcPr>
          <w:p w14:paraId="4F859E84"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nil"/>
              <w:right w:val="nil"/>
            </w:tcBorders>
            <w:vAlign w:val="center"/>
          </w:tcPr>
          <w:p w14:paraId="541F0C10"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Agreed</w:t>
            </w:r>
          </w:p>
        </w:tc>
        <w:tc>
          <w:tcPr>
            <w:tcW w:w="1266" w:type="dxa"/>
            <w:tcBorders>
              <w:top w:val="nil"/>
              <w:left w:val="nil"/>
              <w:bottom w:val="nil"/>
              <w:right w:val="nil"/>
            </w:tcBorders>
            <w:vAlign w:val="center"/>
          </w:tcPr>
          <w:p w14:paraId="461EA10C"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170</w:t>
            </w:r>
          </w:p>
        </w:tc>
        <w:tc>
          <w:tcPr>
            <w:tcW w:w="1870" w:type="dxa"/>
            <w:tcBorders>
              <w:top w:val="nil"/>
              <w:left w:val="nil"/>
              <w:bottom w:val="nil"/>
              <w:right w:val="nil"/>
            </w:tcBorders>
            <w:vAlign w:val="center"/>
          </w:tcPr>
          <w:p w14:paraId="20151E08"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44.3</w:t>
            </w:r>
          </w:p>
        </w:tc>
      </w:tr>
      <w:tr w:rsidR="00A84E96" w:rsidRPr="00E224AA" w14:paraId="3B69DD4F" w14:textId="77777777" w:rsidTr="00E224AA">
        <w:trPr>
          <w:trHeight w:val="205"/>
          <w:jc w:val="center"/>
        </w:trPr>
        <w:tc>
          <w:tcPr>
            <w:tcW w:w="3385" w:type="dxa"/>
            <w:vMerge/>
            <w:tcBorders>
              <w:top w:val="nil"/>
              <w:left w:val="nil"/>
              <w:bottom w:val="nil"/>
              <w:right w:val="nil"/>
            </w:tcBorders>
          </w:tcPr>
          <w:p w14:paraId="2A7C4C76"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nil"/>
              <w:right w:val="nil"/>
            </w:tcBorders>
            <w:vAlign w:val="center"/>
          </w:tcPr>
          <w:p w14:paraId="7D8E259A"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Disagreed</w:t>
            </w:r>
          </w:p>
        </w:tc>
        <w:tc>
          <w:tcPr>
            <w:tcW w:w="1266" w:type="dxa"/>
            <w:tcBorders>
              <w:top w:val="nil"/>
              <w:left w:val="nil"/>
              <w:bottom w:val="nil"/>
              <w:right w:val="nil"/>
            </w:tcBorders>
            <w:vAlign w:val="center"/>
          </w:tcPr>
          <w:p w14:paraId="514583E0"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57</w:t>
            </w:r>
          </w:p>
        </w:tc>
        <w:tc>
          <w:tcPr>
            <w:tcW w:w="1870" w:type="dxa"/>
            <w:tcBorders>
              <w:top w:val="nil"/>
              <w:left w:val="nil"/>
              <w:bottom w:val="nil"/>
              <w:right w:val="nil"/>
            </w:tcBorders>
            <w:vAlign w:val="center"/>
          </w:tcPr>
          <w:p w14:paraId="72E0F6D2"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14.8</w:t>
            </w:r>
          </w:p>
        </w:tc>
      </w:tr>
      <w:tr w:rsidR="00A84E96" w:rsidRPr="00E224AA" w14:paraId="291B86E1" w14:textId="77777777" w:rsidTr="00E224AA">
        <w:trPr>
          <w:trHeight w:val="182"/>
          <w:jc w:val="center"/>
        </w:trPr>
        <w:tc>
          <w:tcPr>
            <w:tcW w:w="3385" w:type="dxa"/>
            <w:vMerge/>
            <w:tcBorders>
              <w:top w:val="nil"/>
              <w:left w:val="nil"/>
              <w:bottom w:val="nil"/>
              <w:right w:val="nil"/>
            </w:tcBorders>
          </w:tcPr>
          <w:p w14:paraId="675C05D3"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nil"/>
              <w:right w:val="nil"/>
            </w:tcBorders>
            <w:vAlign w:val="center"/>
          </w:tcPr>
          <w:p w14:paraId="50585F98"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Strongly Disagreed</w:t>
            </w:r>
          </w:p>
        </w:tc>
        <w:tc>
          <w:tcPr>
            <w:tcW w:w="1266" w:type="dxa"/>
            <w:tcBorders>
              <w:top w:val="nil"/>
              <w:left w:val="nil"/>
              <w:bottom w:val="nil"/>
              <w:right w:val="nil"/>
            </w:tcBorders>
            <w:vAlign w:val="center"/>
          </w:tcPr>
          <w:p w14:paraId="6958324B"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30</w:t>
            </w:r>
          </w:p>
        </w:tc>
        <w:tc>
          <w:tcPr>
            <w:tcW w:w="1870" w:type="dxa"/>
            <w:tcBorders>
              <w:top w:val="nil"/>
              <w:left w:val="nil"/>
              <w:bottom w:val="nil"/>
              <w:right w:val="nil"/>
            </w:tcBorders>
            <w:vAlign w:val="center"/>
          </w:tcPr>
          <w:p w14:paraId="778E4C8C"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7.8</w:t>
            </w:r>
          </w:p>
        </w:tc>
      </w:tr>
      <w:tr w:rsidR="00A84E96" w:rsidRPr="00E224AA" w14:paraId="5C11D244" w14:textId="77777777" w:rsidTr="00E224AA">
        <w:trPr>
          <w:trHeight w:val="91"/>
          <w:jc w:val="center"/>
        </w:trPr>
        <w:tc>
          <w:tcPr>
            <w:tcW w:w="3385" w:type="dxa"/>
            <w:vMerge/>
            <w:tcBorders>
              <w:top w:val="nil"/>
              <w:left w:val="nil"/>
              <w:bottom w:val="single" w:sz="4" w:space="0" w:color="auto"/>
              <w:right w:val="nil"/>
            </w:tcBorders>
          </w:tcPr>
          <w:p w14:paraId="20122E7F"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single" w:sz="4" w:space="0" w:color="auto"/>
              <w:right w:val="nil"/>
            </w:tcBorders>
            <w:vAlign w:val="center"/>
          </w:tcPr>
          <w:p w14:paraId="748E7FEC"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Total</w:t>
            </w:r>
          </w:p>
        </w:tc>
        <w:tc>
          <w:tcPr>
            <w:tcW w:w="1266" w:type="dxa"/>
            <w:tcBorders>
              <w:top w:val="nil"/>
              <w:left w:val="nil"/>
              <w:bottom w:val="single" w:sz="4" w:space="0" w:color="auto"/>
              <w:right w:val="nil"/>
            </w:tcBorders>
            <w:vAlign w:val="center"/>
          </w:tcPr>
          <w:p w14:paraId="19CE6D02"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384</w:t>
            </w:r>
          </w:p>
        </w:tc>
        <w:tc>
          <w:tcPr>
            <w:tcW w:w="1870" w:type="dxa"/>
            <w:tcBorders>
              <w:top w:val="nil"/>
              <w:left w:val="nil"/>
              <w:bottom w:val="single" w:sz="4" w:space="0" w:color="auto"/>
              <w:right w:val="nil"/>
            </w:tcBorders>
            <w:vAlign w:val="center"/>
          </w:tcPr>
          <w:p w14:paraId="1F38AB56"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100.0</w:t>
            </w:r>
          </w:p>
        </w:tc>
      </w:tr>
      <w:tr w:rsidR="00A84E96" w:rsidRPr="00E224AA" w14:paraId="1678C393" w14:textId="77777777" w:rsidTr="00E224AA">
        <w:trPr>
          <w:trHeight w:val="215"/>
          <w:jc w:val="center"/>
        </w:trPr>
        <w:tc>
          <w:tcPr>
            <w:tcW w:w="3385" w:type="dxa"/>
            <w:vMerge w:val="restart"/>
            <w:tcBorders>
              <w:left w:val="nil"/>
              <w:bottom w:val="nil"/>
              <w:right w:val="nil"/>
            </w:tcBorders>
          </w:tcPr>
          <w:p w14:paraId="32BC543E" w14:textId="77777777" w:rsidR="00A84E96" w:rsidRPr="00E224AA" w:rsidRDefault="00A84E96" w:rsidP="00E224AA">
            <w:pPr>
              <w:spacing w:after="0" w:line="240" w:lineRule="auto"/>
              <w:rPr>
                <w:rFonts w:ascii="Times New Roman" w:hAnsi="Times New Roman" w:cs="Times New Roman"/>
                <w:sz w:val="20"/>
                <w:szCs w:val="20"/>
              </w:rPr>
            </w:pPr>
            <w:r w:rsidRPr="00E224AA">
              <w:rPr>
                <w:rFonts w:ascii="Times New Roman" w:hAnsi="Times New Roman" w:cs="Times New Roman"/>
                <w:sz w:val="20"/>
                <w:szCs w:val="20"/>
              </w:rPr>
              <w:t>The availability and functionality of firefighting equipment and resources in Osogbo are sufficient to handle fire emergencies effectively.</w:t>
            </w:r>
          </w:p>
        </w:tc>
        <w:tc>
          <w:tcPr>
            <w:tcW w:w="1577" w:type="dxa"/>
            <w:tcBorders>
              <w:left w:val="nil"/>
              <w:bottom w:val="nil"/>
              <w:right w:val="nil"/>
            </w:tcBorders>
            <w:vAlign w:val="center"/>
          </w:tcPr>
          <w:p w14:paraId="7DF8AAAF"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Strongly Agreed</w:t>
            </w:r>
          </w:p>
        </w:tc>
        <w:tc>
          <w:tcPr>
            <w:tcW w:w="1266" w:type="dxa"/>
            <w:tcBorders>
              <w:left w:val="nil"/>
              <w:bottom w:val="nil"/>
              <w:right w:val="nil"/>
            </w:tcBorders>
            <w:vAlign w:val="center"/>
          </w:tcPr>
          <w:p w14:paraId="47B8E573"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117</w:t>
            </w:r>
          </w:p>
        </w:tc>
        <w:tc>
          <w:tcPr>
            <w:tcW w:w="1870" w:type="dxa"/>
            <w:tcBorders>
              <w:left w:val="nil"/>
              <w:bottom w:val="nil"/>
              <w:right w:val="nil"/>
            </w:tcBorders>
            <w:vAlign w:val="center"/>
          </w:tcPr>
          <w:p w14:paraId="1B473995"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30.5</w:t>
            </w:r>
          </w:p>
        </w:tc>
      </w:tr>
      <w:tr w:rsidR="00A84E96" w:rsidRPr="00E224AA" w14:paraId="2F2792AC" w14:textId="77777777" w:rsidTr="00E224AA">
        <w:trPr>
          <w:trHeight w:val="216"/>
          <w:jc w:val="center"/>
        </w:trPr>
        <w:tc>
          <w:tcPr>
            <w:tcW w:w="3385" w:type="dxa"/>
            <w:vMerge/>
            <w:tcBorders>
              <w:top w:val="nil"/>
              <w:left w:val="nil"/>
              <w:bottom w:val="nil"/>
              <w:right w:val="nil"/>
            </w:tcBorders>
          </w:tcPr>
          <w:p w14:paraId="31F3ABF4"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nil"/>
              <w:right w:val="nil"/>
            </w:tcBorders>
            <w:vAlign w:val="center"/>
          </w:tcPr>
          <w:p w14:paraId="6C188967"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Agreed</w:t>
            </w:r>
          </w:p>
        </w:tc>
        <w:tc>
          <w:tcPr>
            <w:tcW w:w="1266" w:type="dxa"/>
            <w:tcBorders>
              <w:top w:val="nil"/>
              <w:left w:val="nil"/>
              <w:bottom w:val="nil"/>
              <w:right w:val="nil"/>
            </w:tcBorders>
            <w:vAlign w:val="center"/>
          </w:tcPr>
          <w:p w14:paraId="045C257D"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161</w:t>
            </w:r>
          </w:p>
        </w:tc>
        <w:tc>
          <w:tcPr>
            <w:tcW w:w="1870" w:type="dxa"/>
            <w:tcBorders>
              <w:top w:val="nil"/>
              <w:left w:val="nil"/>
              <w:bottom w:val="nil"/>
              <w:right w:val="nil"/>
            </w:tcBorders>
            <w:vAlign w:val="center"/>
          </w:tcPr>
          <w:p w14:paraId="5E16E3A1"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41.9</w:t>
            </w:r>
          </w:p>
        </w:tc>
      </w:tr>
      <w:tr w:rsidR="00A84E96" w:rsidRPr="00E224AA" w14:paraId="30F3DD23" w14:textId="77777777" w:rsidTr="00E224AA">
        <w:trPr>
          <w:trHeight w:val="284"/>
          <w:jc w:val="center"/>
        </w:trPr>
        <w:tc>
          <w:tcPr>
            <w:tcW w:w="3385" w:type="dxa"/>
            <w:vMerge/>
            <w:tcBorders>
              <w:top w:val="nil"/>
              <w:left w:val="nil"/>
              <w:bottom w:val="nil"/>
              <w:right w:val="nil"/>
            </w:tcBorders>
          </w:tcPr>
          <w:p w14:paraId="1C329BA4"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nil"/>
              <w:right w:val="nil"/>
            </w:tcBorders>
            <w:vAlign w:val="center"/>
          </w:tcPr>
          <w:p w14:paraId="5C899D2C"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Disagreed</w:t>
            </w:r>
          </w:p>
        </w:tc>
        <w:tc>
          <w:tcPr>
            <w:tcW w:w="1266" w:type="dxa"/>
            <w:tcBorders>
              <w:top w:val="nil"/>
              <w:left w:val="nil"/>
              <w:bottom w:val="nil"/>
              <w:right w:val="nil"/>
            </w:tcBorders>
            <w:vAlign w:val="center"/>
          </w:tcPr>
          <w:p w14:paraId="265F7C79"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56</w:t>
            </w:r>
          </w:p>
        </w:tc>
        <w:tc>
          <w:tcPr>
            <w:tcW w:w="1870" w:type="dxa"/>
            <w:tcBorders>
              <w:top w:val="nil"/>
              <w:left w:val="nil"/>
              <w:bottom w:val="nil"/>
              <w:right w:val="nil"/>
            </w:tcBorders>
            <w:vAlign w:val="center"/>
          </w:tcPr>
          <w:p w14:paraId="3836FF7B"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14.6</w:t>
            </w:r>
          </w:p>
        </w:tc>
      </w:tr>
      <w:tr w:rsidR="00A84E96" w:rsidRPr="00E224AA" w14:paraId="1E853A06" w14:textId="77777777" w:rsidTr="00E224AA">
        <w:trPr>
          <w:trHeight w:val="284"/>
          <w:jc w:val="center"/>
        </w:trPr>
        <w:tc>
          <w:tcPr>
            <w:tcW w:w="3385" w:type="dxa"/>
            <w:vMerge/>
            <w:tcBorders>
              <w:top w:val="nil"/>
              <w:left w:val="nil"/>
              <w:bottom w:val="nil"/>
              <w:right w:val="nil"/>
            </w:tcBorders>
          </w:tcPr>
          <w:p w14:paraId="16775E2F"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nil"/>
              <w:right w:val="nil"/>
            </w:tcBorders>
            <w:vAlign w:val="center"/>
          </w:tcPr>
          <w:p w14:paraId="7C64FC13"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Strongly Disagreed</w:t>
            </w:r>
          </w:p>
        </w:tc>
        <w:tc>
          <w:tcPr>
            <w:tcW w:w="1266" w:type="dxa"/>
            <w:tcBorders>
              <w:top w:val="nil"/>
              <w:left w:val="nil"/>
              <w:bottom w:val="nil"/>
              <w:right w:val="nil"/>
            </w:tcBorders>
            <w:vAlign w:val="center"/>
          </w:tcPr>
          <w:p w14:paraId="49275E49"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50</w:t>
            </w:r>
          </w:p>
        </w:tc>
        <w:tc>
          <w:tcPr>
            <w:tcW w:w="1870" w:type="dxa"/>
            <w:tcBorders>
              <w:top w:val="nil"/>
              <w:left w:val="nil"/>
              <w:bottom w:val="nil"/>
              <w:right w:val="nil"/>
            </w:tcBorders>
            <w:vAlign w:val="center"/>
          </w:tcPr>
          <w:p w14:paraId="0658FA41"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13.0</w:t>
            </w:r>
          </w:p>
        </w:tc>
      </w:tr>
      <w:tr w:rsidR="00A84E96" w:rsidRPr="00E224AA" w14:paraId="344C559F" w14:textId="77777777" w:rsidTr="00E224AA">
        <w:trPr>
          <w:trHeight w:val="317"/>
          <w:jc w:val="center"/>
        </w:trPr>
        <w:tc>
          <w:tcPr>
            <w:tcW w:w="3385" w:type="dxa"/>
            <w:vMerge/>
            <w:tcBorders>
              <w:top w:val="nil"/>
              <w:left w:val="nil"/>
              <w:bottom w:val="single" w:sz="4" w:space="0" w:color="auto"/>
              <w:right w:val="nil"/>
            </w:tcBorders>
          </w:tcPr>
          <w:p w14:paraId="780FCAAC"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single" w:sz="4" w:space="0" w:color="auto"/>
              <w:right w:val="nil"/>
            </w:tcBorders>
            <w:vAlign w:val="center"/>
          </w:tcPr>
          <w:p w14:paraId="10DF282A"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Total</w:t>
            </w:r>
          </w:p>
        </w:tc>
        <w:tc>
          <w:tcPr>
            <w:tcW w:w="1266" w:type="dxa"/>
            <w:tcBorders>
              <w:top w:val="nil"/>
              <w:left w:val="nil"/>
              <w:bottom w:val="single" w:sz="4" w:space="0" w:color="auto"/>
              <w:right w:val="nil"/>
            </w:tcBorders>
            <w:vAlign w:val="center"/>
          </w:tcPr>
          <w:p w14:paraId="5C149A83"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384</w:t>
            </w:r>
          </w:p>
        </w:tc>
        <w:tc>
          <w:tcPr>
            <w:tcW w:w="1870" w:type="dxa"/>
            <w:tcBorders>
              <w:top w:val="nil"/>
              <w:left w:val="nil"/>
              <w:bottom w:val="single" w:sz="4" w:space="0" w:color="auto"/>
              <w:right w:val="nil"/>
            </w:tcBorders>
            <w:vAlign w:val="center"/>
          </w:tcPr>
          <w:p w14:paraId="1D7889D4"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100.0</w:t>
            </w:r>
          </w:p>
        </w:tc>
      </w:tr>
      <w:tr w:rsidR="00A84E96" w:rsidRPr="00E224AA" w14:paraId="0DA3FC6C" w14:textId="77777777" w:rsidTr="00E224AA">
        <w:trPr>
          <w:trHeight w:val="204"/>
          <w:jc w:val="center"/>
        </w:trPr>
        <w:tc>
          <w:tcPr>
            <w:tcW w:w="3385" w:type="dxa"/>
            <w:vMerge w:val="restart"/>
            <w:tcBorders>
              <w:left w:val="nil"/>
              <w:bottom w:val="nil"/>
              <w:right w:val="nil"/>
            </w:tcBorders>
          </w:tcPr>
          <w:p w14:paraId="6F7D72CD" w14:textId="77777777" w:rsidR="00A84E96" w:rsidRPr="00E224AA" w:rsidRDefault="00A84E96" w:rsidP="00E224AA">
            <w:pPr>
              <w:spacing w:after="0" w:line="240" w:lineRule="auto"/>
              <w:rPr>
                <w:rFonts w:ascii="Times New Roman" w:hAnsi="Times New Roman" w:cs="Times New Roman"/>
                <w:sz w:val="20"/>
                <w:szCs w:val="20"/>
              </w:rPr>
            </w:pPr>
            <w:r w:rsidRPr="00E224AA">
              <w:rPr>
                <w:rFonts w:ascii="Times New Roman" w:hAnsi="Times New Roman" w:cs="Times New Roman"/>
                <w:sz w:val="20"/>
                <w:szCs w:val="20"/>
              </w:rPr>
              <w:t>The government's efforts to improve fire disaster management in Osogbo are visible and effective</w:t>
            </w:r>
          </w:p>
        </w:tc>
        <w:tc>
          <w:tcPr>
            <w:tcW w:w="1577" w:type="dxa"/>
            <w:tcBorders>
              <w:left w:val="nil"/>
              <w:bottom w:val="nil"/>
              <w:right w:val="nil"/>
            </w:tcBorders>
            <w:vAlign w:val="center"/>
          </w:tcPr>
          <w:p w14:paraId="3AAA0B99"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Strongly Agreed</w:t>
            </w:r>
          </w:p>
        </w:tc>
        <w:tc>
          <w:tcPr>
            <w:tcW w:w="1266" w:type="dxa"/>
            <w:tcBorders>
              <w:left w:val="nil"/>
              <w:bottom w:val="nil"/>
              <w:right w:val="nil"/>
            </w:tcBorders>
            <w:vAlign w:val="center"/>
          </w:tcPr>
          <w:p w14:paraId="288BC06E"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245</w:t>
            </w:r>
          </w:p>
        </w:tc>
        <w:tc>
          <w:tcPr>
            <w:tcW w:w="1870" w:type="dxa"/>
            <w:tcBorders>
              <w:left w:val="nil"/>
              <w:bottom w:val="nil"/>
              <w:right w:val="nil"/>
            </w:tcBorders>
            <w:vAlign w:val="center"/>
          </w:tcPr>
          <w:p w14:paraId="1461F941"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63.8</w:t>
            </w:r>
          </w:p>
        </w:tc>
      </w:tr>
      <w:tr w:rsidR="00A84E96" w:rsidRPr="00E224AA" w14:paraId="5CBCBE6A" w14:textId="77777777" w:rsidTr="00E224AA">
        <w:trPr>
          <w:trHeight w:val="98"/>
          <w:jc w:val="center"/>
        </w:trPr>
        <w:tc>
          <w:tcPr>
            <w:tcW w:w="3385" w:type="dxa"/>
            <w:vMerge/>
            <w:tcBorders>
              <w:top w:val="nil"/>
              <w:left w:val="nil"/>
              <w:bottom w:val="nil"/>
              <w:right w:val="nil"/>
            </w:tcBorders>
          </w:tcPr>
          <w:p w14:paraId="67176B7C"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nil"/>
              <w:right w:val="nil"/>
            </w:tcBorders>
            <w:vAlign w:val="center"/>
          </w:tcPr>
          <w:p w14:paraId="0883735B"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Agreed</w:t>
            </w:r>
          </w:p>
        </w:tc>
        <w:tc>
          <w:tcPr>
            <w:tcW w:w="1266" w:type="dxa"/>
            <w:tcBorders>
              <w:top w:val="nil"/>
              <w:left w:val="nil"/>
              <w:bottom w:val="nil"/>
              <w:right w:val="nil"/>
            </w:tcBorders>
            <w:vAlign w:val="center"/>
          </w:tcPr>
          <w:p w14:paraId="35ED0E7A"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98</w:t>
            </w:r>
          </w:p>
        </w:tc>
        <w:tc>
          <w:tcPr>
            <w:tcW w:w="1870" w:type="dxa"/>
            <w:tcBorders>
              <w:top w:val="nil"/>
              <w:left w:val="nil"/>
              <w:bottom w:val="nil"/>
              <w:right w:val="nil"/>
            </w:tcBorders>
            <w:vAlign w:val="center"/>
          </w:tcPr>
          <w:p w14:paraId="62511C6F"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25.5</w:t>
            </w:r>
          </w:p>
        </w:tc>
      </w:tr>
      <w:tr w:rsidR="00A84E96" w:rsidRPr="00E224AA" w14:paraId="38B21B1A" w14:textId="77777777" w:rsidTr="00E224AA">
        <w:trPr>
          <w:trHeight w:val="126"/>
          <w:jc w:val="center"/>
        </w:trPr>
        <w:tc>
          <w:tcPr>
            <w:tcW w:w="3385" w:type="dxa"/>
            <w:vMerge/>
            <w:tcBorders>
              <w:top w:val="nil"/>
              <w:left w:val="nil"/>
              <w:bottom w:val="nil"/>
              <w:right w:val="nil"/>
            </w:tcBorders>
          </w:tcPr>
          <w:p w14:paraId="4FE1DE85"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nil"/>
              <w:right w:val="nil"/>
            </w:tcBorders>
            <w:vAlign w:val="center"/>
          </w:tcPr>
          <w:p w14:paraId="27227161"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Disagreed</w:t>
            </w:r>
          </w:p>
        </w:tc>
        <w:tc>
          <w:tcPr>
            <w:tcW w:w="1266" w:type="dxa"/>
            <w:tcBorders>
              <w:top w:val="nil"/>
              <w:left w:val="nil"/>
              <w:bottom w:val="nil"/>
              <w:right w:val="nil"/>
            </w:tcBorders>
            <w:vAlign w:val="center"/>
          </w:tcPr>
          <w:p w14:paraId="6F6460A4"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25</w:t>
            </w:r>
          </w:p>
        </w:tc>
        <w:tc>
          <w:tcPr>
            <w:tcW w:w="1870" w:type="dxa"/>
            <w:tcBorders>
              <w:top w:val="nil"/>
              <w:left w:val="nil"/>
              <w:bottom w:val="nil"/>
              <w:right w:val="nil"/>
            </w:tcBorders>
            <w:vAlign w:val="center"/>
          </w:tcPr>
          <w:p w14:paraId="78DC5B93"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6.5</w:t>
            </w:r>
          </w:p>
        </w:tc>
      </w:tr>
      <w:tr w:rsidR="00A84E96" w:rsidRPr="00E224AA" w14:paraId="59C73C41" w14:textId="77777777" w:rsidTr="00E224AA">
        <w:trPr>
          <w:trHeight w:val="136"/>
          <w:jc w:val="center"/>
        </w:trPr>
        <w:tc>
          <w:tcPr>
            <w:tcW w:w="3385" w:type="dxa"/>
            <w:vMerge/>
            <w:tcBorders>
              <w:top w:val="nil"/>
              <w:left w:val="nil"/>
              <w:bottom w:val="nil"/>
              <w:right w:val="nil"/>
            </w:tcBorders>
          </w:tcPr>
          <w:p w14:paraId="23C6824C"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nil"/>
              <w:right w:val="nil"/>
            </w:tcBorders>
            <w:vAlign w:val="center"/>
          </w:tcPr>
          <w:p w14:paraId="11816CE3"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Strongly Disagreed</w:t>
            </w:r>
          </w:p>
        </w:tc>
        <w:tc>
          <w:tcPr>
            <w:tcW w:w="1266" w:type="dxa"/>
            <w:tcBorders>
              <w:top w:val="nil"/>
              <w:left w:val="nil"/>
              <w:bottom w:val="nil"/>
              <w:right w:val="nil"/>
            </w:tcBorders>
            <w:vAlign w:val="center"/>
          </w:tcPr>
          <w:p w14:paraId="2D3AFAB0"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16</w:t>
            </w:r>
          </w:p>
        </w:tc>
        <w:tc>
          <w:tcPr>
            <w:tcW w:w="1870" w:type="dxa"/>
            <w:tcBorders>
              <w:top w:val="nil"/>
              <w:left w:val="nil"/>
              <w:bottom w:val="nil"/>
              <w:right w:val="nil"/>
            </w:tcBorders>
            <w:vAlign w:val="center"/>
          </w:tcPr>
          <w:p w14:paraId="4AAFEA95"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4.2</w:t>
            </w:r>
          </w:p>
        </w:tc>
      </w:tr>
      <w:tr w:rsidR="00A84E96" w:rsidRPr="00E224AA" w14:paraId="36105A55" w14:textId="77777777" w:rsidTr="00E224AA">
        <w:trPr>
          <w:trHeight w:val="136"/>
          <w:jc w:val="center"/>
        </w:trPr>
        <w:tc>
          <w:tcPr>
            <w:tcW w:w="3385" w:type="dxa"/>
            <w:vMerge/>
            <w:tcBorders>
              <w:top w:val="nil"/>
              <w:left w:val="nil"/>
              <w:bottom w:val="single" w:sz="4" w:space="0" w:color="auto"/>
              <w:right w:val="nil"/>
            </w:tcBorders>
          </w:tcPr>
          <w:p w14:paraId="4B5F798E"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single" w:sz="4" w:space="0" w:color="auto"/>
              <w:right w:val="nil"/>
            </w:tcBorders>
            <w:vAlign w:val="center"/>
          </w:tcPr>
          <w:p w14:paraId="28C724AA"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Total</w:t>
            </w:r>
          </w:p>
        </w:tc>
        <w:tc>
          <w:tcPr>
            <w:tcW w:w="1266" w:type="dxa"/>
            <w:tcBorders>
              <w:top w:val="nil"/>
              <w:left w:val="nil"/>
              <w:bottom w:val="single" w:sz="4" w:space="0" w:color="auto"/>
              <w:right w:val="nil"/>
            </w:tcBorders>
            <w:vAlign w:val="center"/>
          </w:tcPr>
          <w:p w14:paraId="7AD64CB2"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384</w:t>
            </w:r>
          </w:p>
        </w:tc>
        <w:tc>
          <w:tcPr>
            <w:tcW w:w="1870" w:type="dxa"/>
            <w:tcBorders>
              <w:top w:val="nil"/>
              <w:left w:val="nil"/>
              <w:bottom w:val="single" w:sz="4" w:space="0" w:color="auto"/>
              <w:right w:val="nil"/>
            </w:tcBorders>
            <w:vAlign w:val="center"/>
          </w:tcPr>
          <w:p w14:paraId="0A4938AF"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100.0</w:t>
            </w:r>
          </w:p>
        </w:tc>
      </w:tr>
      <w:tr w:rsidR="00A84E96" w:rsidRPr="00E224AA" w14:paraId="6A69A777" w14:textId="77777777" w:rsidTr="00E224AA">
        <w:trPr>
          <w:trHeight w:val="227"/>
          <w:jc w:val="center"/>
        </w:trPr>
        <w:tc>
          <w:tcPr>
            <w:tcW w:w="3385" w:type="dxa"/>
            <w:vMerge w:val="restart"/>
            <w:tcBorders>
              <w:left w:val="nil"/>
              <w:bottom w:val="nil"/>
              <w:right w:val="nil"/>
            </w:tcBorders>
          </w:tcPr>
          <w:p w14:paraId="2C6630AB" w14:textId="77777777" w:rsidR="00A84E96" w:rsidRPr="00E224AA" w:rsidRDefault="00A84E96" w:rsidP="00E224AA">
            <w:pPr>
              <w:spacing w:after="0" w:line="240" w:lineRule="auto"/>
              <w:rPr>
                <w:rFonts w:ascii="Times New Roman" w:hAnsi="Times New Roman" w:cs="Times New Roman"/>
                <w:sz w:val="20"/>
                <w:szCs w:val="20"/>
              </w:rPr>
            </w:pPr>
            <w:r w:rsidRPr="00E224AA">
              <w:rPr>
                <w:rFonts w:ascii="Times New Roman" w:hAnsi="Times New Roman" w:cs="Times New Roman"/>
                <w:sz w:val="20"/>
                <w:szCs w:val="20"/>
              </w:rPr>
              <w:t>There is effective coordination between emergency services and other relevant authorities during fire incidents in Osogbo</w:t>
            </w:r>
          </w:p>
        </w:tc>
        <w:tc>
          <w:tcPr>
            <w:tcW w:w="1577" w:type="dxa"/>
            <w:tcBorders>
              <w:left w:val="nil"/>
              <w:bottom w:val="nil"/>
              <w:right w:val="nil"/>
            </w:tcBorders>
            <w:vAlign w:val="center"/>
          </w:tcPr>
          <w:p w14:paraId="6765D607"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Strongly Agreed</w:t>
            </w:r>
          </w:p>
        </w:tc>
        <w:tc>
          <w:tcPr>
            <w:tcW w:w="1266" w:type="dxa"/>
            <w:tcBorders>
              <w:left w:val="nil"/>
              <w:bottom w:val="nil"/>
              <w:right w:val="nil"/>
            </w:tcBorders>
            <w:vAlign w:val="center"/>
          </w:tcPr>
          <w:p w14:paraId="48D0B671"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109</w:t>
            </w:r>
          </w:p>
        </w:tc>
        <w:tc>
          <w:tcPr>
            <w:tcW w:w="1870" w:type="dxa"/>
            <w:tcBorders>
              <w:left w:val="nil"/>
              <w:bottom w:val="nil"/>
              <w:right w:val="nil"/>
            </w:tcBorders>
            <w:vAlign w:val="center"/>
          </w:tcPr>
          <w:p w14:paraId="09F3D61C"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28.4</w:t>
            </w:r>
          </w:p>
        </w:tc>
      </w:tr>
      <w:tr w:rsidR="00A84E96" w:rsidRPr="00E224AA" w14:paraId="4289B1EA" w14:textId="77777777" w:rsidTr="00E224AA">
        <w:trPr>
          <w:trHeight w:val="159"/>
          <w:jc w:val="center"/>
        </w:trPr>
        <w:tc>
          <w:tcPr>
            <w:tcW w:w="3385" w:type="dxa"/>
            <w:vMerge/>
            <w:tcBorders>
              <w:top w:val="nil"/>
              <w:left w:val="nil"/>
              <w:bottom w:val="nil"/>
              <w:right w:val="nil"/>
            </w:tcBorders>
          </w:tcPr>
          <w:p w14:paraId="724A8261"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nil"/>
              <w:right w:val="nil"/>
            </w:tcBorders>
            <w:vAlign w:val="center"/>
          </w:tcPr>
          <w:p w14:paraId="2F78B0A3"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Agreed</w:t>
            </w:r>
          </w:p>
        </w:tc>
        <w:tc>
          <w:tcPr>
            <w:tcW w:w="1266" w:type="dxa"/>
            <w:tcBorders>
              <w:top w:val="nil"/>
              <w:left w:val="nil"/>
              <w:bottom w:val="nil"/>
              <w:right w:val="nil"/>
            </w:tcBorders>
            <w:vAlign w:val="center"/>
          </w:tcPr>
          <w:p w14:paraId="441D182F"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219</w:t>
            </w:r>
          </w:p>
        </w:tc>
        <w:tc>
          <w:tcPr>
            <w:tcW w:w="1870" w:type="dxa"/>
            <w:tcBorders>
              <w:top w:val="nil"/>
              <w:left w:val="nil"/>
              <w:bottom w:val="nil"/>
              <w:right w:val="nil"/>
            </w:tcBorders>
            <w:vAlign w:val="center"/>
          </w:tcPr>
          <w:p w14:paraId="2B359B0B"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57.0</w:t>
            </w:r>
          </w:p>
        </w:tc>
      </w:tr>
      <w:tr w:rsidR="00A84E96" w:rsidRPr="00E224AA" w14:paraId="6C18B73C" w14:textId="77777777" w:rsidTr="00E224AA">
        <w:trPr>
          <w:trHeight w:val="272"/>
          <w:jc w:val="center"/>
        </w:trPr>
        <w:tc>
          <w:tcPr>
            <w:tcW w:w="3385" w:type="dxa"/>
            <w:vMerge/>
            <w:tcBorders>
              <w:top w:val="nil"/>
              <w:left w:val="nil"/>
              <w:bottom w:val="nil"/>
              <w:right w:val="nil"/>
            </w:tcBorders>
          </w:tcPr>
          <w:p w14:paraId="377B2B56"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nil"/>
              <w:right w:val="nil"/>
            </w:tcBorders>
            <w:vAlign w:val="center"/>
          </w:tcPr>
          <w:p w14:paraId="0B3A471B"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Disagreed</w:t>
            </w:r>
          </w:p>
        </w:tc>
        <w:tc>
          <w:tcPr>
            <w:tcW w:w="1266" w:type="dxa"/>
            <w:tcBorders>
              <w:top w:val="nil"/>
              <w:left w:val="nil"/>
              <w:bottom w:val="nil"/>
              <w:right w:val="nil"/>
            </w:tcBorders>
            <w:vAlign w:val="center"/>
          </w:tcPr>
          <w:p w14:paraId="55C68783"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20</w:t>
            </w:r>
          </w:p>
        </w:tc>
        <w:tc>
          <w:tcPr>
            <w:tcW w:w="1870" w:type="dxa"/>
            <w:tcBorders>
              <w:top w:val="nil"/>
              <w:left w:val="nil"/>
              <w:bottom w:val="nil"/>
              <w:right w:val="nil"/>
            </w:tcBorders>
            <w:vAlign w:val="center"/>
          </w:tcPr>
          <w:p w14:paraId="3C4988FA"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5.2</w:t>
            </w:r>
          </w:p>
        </w:tc>
      </w:tr>
      <w:tr w:rsidR="00A84E96" w:rsidRPr="00E224AA" w14:paraId="276E5E72" w14:textId="77777777" w:rsidTr="00E224AA">
        <w:trPr>
          <w:trHeight w:val="204"/>
          <w:jc w:val="center"/>
        </w:trPr>
        <w:tc>
          <w:tcPr>
            <w:tcW w:w="3385" w:type="dxa"/>
            <w:vMerge/>
            <w:tcBorders>
              <w:top w:val="nil"/>
              <w:left w:val="nil"/>
              <w:bottom w:val="nil"/>
              <w:right w:val="nil"/>
            </w:tcBorders>
          </w:tcPr>
          <w:p w14:paraId="0B3A5F87"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nil"/>
              <w:right w:val="nil"/>
            </w:tcBorders>
            <w:vAlign w:val="center"/>
          </w:tcPr>
          <w:p w14:paraId="596F72B7"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Strongly Disagreed</w:t>
            </w:r>
          </w:p>
        </w:tc>
        <w:tc>
          <w:tcPr>
            <w:tcW w:w="1266" w:type="dxa"/>
            <w:tcBorders>
              <w:top w:val="nil"/>
              <w:left w:val="nil"/>
              <w:bottom w:val="nil"/>
              <w:right w:val="nil"/>
            </w:tcBorders>
            <w:vAlign w:val="center"/>
          </w:tcPr>
          <w:p w14:paraId="2390CAEC"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36</w:t>
            </w:r>
          </w:p>
        </w:tc>
        <w:tc>
          <w:tcPr>
            <w:tcW w:w="1870" w:type="dxa"/>
            <w:tcBorders>
              <w:top w:val="nil"/>
              <w:left w:val="nil"/>
              <w:bottom w:val="nil"/>
              <w:right w:val="nil"/>
            </w:tcBorders>
            <w:vAlign w:val="center"/>
          </w:tcPr>
          <w:p w14:paraId="04C57D8E"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9.4</w:t>
            </w:r>
          </w:p>
        </w:tc>
      </w:tr>
      <w:tr w:rsidR="00A84E96" w:rsidRPr="00E224AA" w14:paraId="4CF79DB4" w14:textId="77777777" w:rsidTr="00E224AA">
        <w:trPr>
          <w:trHeight w:val="171"/>
          <w:jc w:val="center"/>
        </w:trPr>
        <w:tc>
          <w:tcPr>
            <w:tcW w:w="3385" w:type="dxa"/>
            <w:vMerge/>
            <w:tcBorders>
              <w:top w:val="nil"/>
              <w:left w:val="nil"/>
              <w:bottom w:val="single" w:sz="4" w:space="0" w:color="auto"/>
              <w:right w:val="nil"/>
            </w:tcBorders>
          </w:tcPr>
          <w:p w14:paraId="5029F52F"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single" w:sz="4" w:space="0" w:color="auto"/>
              <w:right w:val="nil"/>
            </w:tcBorders>
            <w:vAlign w:val="center"/>
          </w:tcPr>
          <w:p w14:paraId="74AFE7A2"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Total</w:t>
            </w:r>
          </w:p>
        </w:tc>
        <w:tc>
          <w:tcPr>
            <w:tcW w:w="1266" w:type="dxa"/>
            <w:tcBorders>
              <w:top w:val="nil"/>
              <w:left w:val="nil"/>
              <w:bottom w:val="single" w:sz="4" w:space="0" w:color="auto"/>
              <w:right w:val="nil"/>
            </w:tcBorders>
            <w:vAlign w:val="center"/>
          </w:tcPr>
          <w:p w14:paraId="1B5630B5"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384</w:t>
            </w:r>
          </w:p>
        </w:tc>
        <w:tc>
          <w:tcPr>
            <w:tcW w:w="1870" w:type="dxa"/>
            <w:tcBorders>
              <w:top w:val="nil"/>
              <w:left w:val="nil"/>
              <w:bottom w:val="single" w:sz="4" w:space="0" w:color="auto"/>
              <w:right w:val="nil"/>
            </w:tcBorders>
            <w:vAlign w:val="center"/>
          </w:tcPr>
          <w:p w14:paraId="54975729"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100.0</w:t>
            </w:r>
          </w:p>
        </w:tc>
      </w:tr>
      <w:tr w:rsidR="00A84E96" w:rsidRPr="00E224AA" w14:paraId="2A6F3218" w14:textId="77777777" w:rsidTr="00E224AA">
        <w:trPr>
          <w:trHeight w:val="227"/>
          <w:jc w:val="center"/>
        </w:trPr>
        <w:tc>
          <w:tcPr>
            <w:tcW w:w="3385" w:type="dxa"/>
            <w:vMerge w:val="restart"/>
            <w:tcBorders>
              <w:left w:val="nil"/>
              <w:bottom w:val="nil"/>
              <w:right w:val="nil"/>
            </w:tcBorders>
          </w:tcPr>
          <w:p w14:paraId="5269EC1D" w14:textId="77777777" w:rsidR="00A84E96" w:rsidRPr="00E224AA" w:rsidRDefault="00A84E96" w:rsidP="00E224AA">
            <w:pPr>
              <w:tabs>
                <w:tab w:val="left" w:pos="1032"/>
              </w:tabs>
              <w:spacing w:after="0" w:line="240" w:lineRule="auto"/>
              <w:rPr>
                <w:rFonts w:ascii="Times New Roman" w:hAnsi="Times New Roman" w:cs="Times New Roman"/>
                <w:sz w:val="20"/>
                <w:szCs w:val="20"/>
              </w:rPr>
            </w:pPr>
            <w:r w:rsidRPr="00E224AA">
              <w:rPr>
                <w:rFonts w:ascii="Times New Roman" w:hAnsi="Times New Roman" w:cs="Times New Roman"/>
                <w:sz w:val="20"/>
                <w:szCs w:val="20"/>
              </w:rPr>
              <w:t>The Osogbo community feels adequately informed about fire safety measures and procedures.</w:t>
            </w:r>
          </w:p>
        </w:tc>
        <w:tc>
          <w:tcPr>
            <w:tcW w:w="1577" w:type="dxa"/>
            <w:tcBorders>
              <w:left w:val="nil"/>
              <w:bottom w:val="nil"/>
              <w:right w:val="nil"/>
            </w:tcBorders>
            <w:vAlign w:val="center"/>
          </w:tcPr>
          <w:p w14:paraId="4493F9B0"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Strongly Agreed</w:t>
            </w:r>
          </w:p>
        </w:tc>
        <w:tc>
          <w:tcPr>
            <w:tcW w:w="1266" w:type="dxa"/>
            <w:tcBorders>
              <w:left w:val="nil"/>
              <w:bottom w:val="nil"/>
              <w:right w:val="nil"/>
            </w:tcBorders>
            <w:vAlign w:val="center"/>
          </w:tcPr>
          <w:p w14:paraId="7BDEB704"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111</w:t>
            </w:r>
          </w:p>
        </w:tc>
        <w:tc>
          <w:tcPr>
            <w:tcW w:w="1870" w:type="dxa"/>
            <w:tcBorders>
              <w:left w:val="nil"/>
              <w:bottom w:val="nil"/>
              <w:right w:val="nil"/>
            </w:tcBorders>
            <w:vAlign w:val="center"/>
          </w:tcPr>
          <w:p w14:paraId="2A200BBE"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28.9</w:t>
            </w:r>
          </w:p>
        </w:tc>
      </w:tr>
      <w:tr w:rsidR="00A84E96" w:rsidRPr="00E224AA" w14:paraId="3E603A46" w14:textId="77777777" w:rsidTr="00E224AA">
        <w:trPr>
          <w:trHeight w:val="193"/>
          <w:jc w:val="center"/>
        </w:trPr>
        <w:tc>
          <w:tcPr>
            <w:tcW w:w="3385" w:type="dxa"/>
            <w:vMerge/>
            <w:tcBorders>
              <w:top w:val="nil"/>
              <w:left w:val="nil"/>
              <w:bottom w:val="nil"/>
              <w:right w:val="nil"/>
            </w:tcBorders>
          </w:tcPr>
          <w:p w14:paraId="06E193CC" w14:textId="77777777" w:rsidR="00A84E96" w:rsidRPr="00E224AA" w:rsidRDefault="00A84E96" w:rsidP="00E224AA">
            <w:pPr>
              <w:tabs>
                <w:tab w:val="left" w:pos="1032"/>
              </w:tabs>
              <w:spacing w:after="0" w:line="240" w:lineRule="auto"/>
              <w:rPr>
                <w:rFonts w:ascii="Times New Roman" w:hAnsi="Times New Roman" w:cs="Times New Roman"/>
                <w:sz w:val="20"/>
                <w:szCs w:val="20"/>
              </w:rPr>
            </w:pPr>
          </w:p>
        </w:tc>
        <w:tc>
          <w:tcPr>
            <w:tcW w:w="1577" w:type="dxa"/>
            <w:tcBorders>
              <w:top w:val="nil"/>
              <w:left w:val="nil"/>
              <w:bottom w:val="nil"/>
              <w:right w:val="nil"/>
            </w:tcBorders>
            <w:vAlign w:val="center"/>
          </w:tcPr>
          <w:p w14:paraId="16EF9AC1"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Agreed</w:t>
            </w:r>
          </w:p>
        </w:tc>
        <w:tc>
          <w:tcPr>
            <w:tcW w:w="1266" w:type="dxa"/>
            <w:tcBorders>
              <w:top w:val="nil"/>
              <w:left w:val="nil"/>
              <w:bottom w:val="nil"/>
              <w:right w:val="nil"/>
            </w:tcBorders>
            <w:vAlign w:val="center"/>
          </w:tcPr>
          <w:p w14:paraId="0110A6F3"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217</w:t>
            </w:r>
          </w:p>
        </w:tc>
        <w:tc>
          <w:tcPr>
            <w:tcW w:w="1870" w:type="dxa"/>
            <w:tcBorders>
              <w:top w:val="nil"/>
              <w:left w:val="nil"/>
              <w:bottom w:val="nil"/>
              <w:right w:val="nil"/>
            </w:tcBorders>
            <w:vAlign w:val="center"/>
          </w:tcPr>
          <w:p w14:paraId="76E15AAB"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56.5</w:t>
            </w:r>
          </w:p>
        </w:tc>
      </w:tr>
      <w:tr w:rsidR="00A84E96" w:rsidRPr="00E224AA" w14:paraId="14EEC9B5" w14:textId="77777777" w:rsidTr="00E224AA">
        <w:trPr>
          <w:trHeight w:val="114"/>
          <w:jc w:val="center"/>
        </w:trPr>
        <w:tc>
          <w:tcPr>
            <w:tcW w:w="3385" w:type="dxa"/>
            <w:vMerge/>
            <w:tcBorders>
              <w:top w:val="nil"/>
              <w:left w:val="nil"/>
              <w:bottom w:val="nil"/>
              <w:right w:val="nil"/>
            </w:tcBorders>
          </w:tcPr>
          <w:p w14:paraId="0CA860E1" w14:textId="77777777" w:rsidR="00A84E96" w:rsidRPr="00E224AA" w:rsidRDefault="00A84E96" w:rsidP="00E224AA">
            <w:pPr>
              <w:tabs>
                <w:tab w:val="left" w:pos="1032"/>
              </w:tabs>
              <w:spacing w:after="0" w:line="240" w:lineRule="auto"/>
              <w:rPr>
                <w:rFonts w:ascii="Times New Roman" w:hAnsi="Times New Roman" w:cs="Times New Roman"/>
                <w:sz w:val="20"/>
                <w:szCs w:val="20"/>
              </w:rPr>
            </w:pPr>
          </w:p>
        </w:tc>
        <w:tc>
          <w:tcPr>
            <w:tcW w:w="1577" w:type="dxa"/>
            <w:tcBorders>
              <w:top w:val="nil"/>
              <w:left w:val="nil"/>
              <w:bottom w:val="nil"/>
              <w:right w:val="nil"/>
            </w:tcBorders>
            <w:vAlign w:val="center"/>
          </w:tcPr>
          <w:p w14:paraId="32995C39"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Disagreed</w:t>
            </w:r>
          </w:p>
        </w:tc>
        <w:tc>
          <w:tcPr>
            <w:tcW w:w="1266" w:type="dxa"/>
            <w:tcBorders>
              <w:top w:val="nil"/>
              <w:left w:val="nil"/>
              <w:bottom w:val="nil"/>
              <w:right w:val="nil"/>
            </w:tcBorders>
            <w:vAlign w:val="center"/>
          </w:tcPr>
          <w:p w14:paraId="4073D14C"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22</w:t>
            </w:r>
          </w:p>
        </w:tc>
        <w:tc>
          <w:tcPr>
            <w:tcW w:w="1870" w:type="dxa"/>
            <w:tcBorders>
              <w:top w:val="nil"/>
              <w:left w:val="nil"/>
              <w:bottom w:val="nil"/>
              <w:right w:val="nil"/>
            </w:tcBorders>
            <w:vAlign w:val="center"/>
          </w:tcPr>
          <w:p w14:paraId="36311B3D"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5.7</w:t>
            </w:r>
          </w:p>
        </w:tc>
      </w:tr>
      <w:tr w:rsidR="00A84E96" w:rsidRPr="00E224AA" w14:paraId="01683E20" w14:textId="77777777" w:rsidTr="00E224AA">
        <w:trPr>
          <w:trHeight w:val="147"/>
          <w:jc w:val="center"/>
        </w:trPr>
        <w:tc>
          <w:tcPr>
            <w:tcW w:w="3385" w:type="dxa"/>
            <w:vMerge/>
            <w:tcBorders>
              <w:top w:val="nil"/>
              <w:left w:val="nil"/>
              <w:bottom w:val="nil"/>
              <w:right w:val="nil"/>
            </w:tcBorders>
          </w:tcPr>
          <w:p w14:paraId="27BCD05D" w14:textId="77777777" w:rsidR="00A84E96" w:rsidRPr="00E224AA" w:rsidRDefault="00A84E96" w:rsidP="00E224AA">
            <w:pPr>
              <w:tabs>
                <w:tab w:val="left" w:pos="1032"/>
              </w:tabs>
              <w:spacing w:after="0" w:line="240" w:lineRule="auto"/>
              <w:rPr>
                <w:rFonts w:ascii="Times New Roman" w:hAnsi="Times New Roman" w:cs="Times New Roman"/>
                <w:sz w:val="20"/>
                <w:szCs w:val="20"/>
              </w:rPr>
            </w:pPr>
          </w:p>
        </w:tc>
        <w:tc>
          <w:tcPr>
            <w:tcW w:w="1577" w:type="dxa"/>
            <w:tcBorders>
              <w:top w:val="nil"/>
              <w:left w:val="nil"/>
              <w:bottom w:val="nil"/>
              <w:right w:val="nil"/>
            </w:tcBorders>
            <w:vAlign w:val="center"/>
          </w:tcPr>
          <w:p w14:paraId="11924EB0"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Strongly Disagreed</w:t>
            </w:r>
          </w:p>
        </w:tc>
        <w:tc>
          <w:tcPr>
            <w:tcW w:w="1266" w:type="dxa"/>
            <w:tcBorders>
              <w:top w:val="nil"/>
              <w:left w:val="nil"/>
              <w:bottom w:val="nil"/>
              <w:right w:val="nil"/>
            </w:tcBorders>
            <w:vAlign w:val="center"/>
          </w:tcPr>
          <w:p w14:paraId="34E173AE"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34</w:t>
            </w:r>
          </w:p>
        </w:tc>
        <w:tc>
          <w:tcPr>
            <w:tcW w:w="1870" w:type="dxa"/>
            <w:tcBorders>
              <w:top w:val="nil"/>
              <w:left w:val="nil"/>
              <w:bottom w:val="nil"/>
              <w:right w:val="nil"/>
            </w:tcBorders>
            <w:vAlign w:val="center"/>
          </w:tcPr>
          <w:p w14:paraId="481FA776"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8.9</w:t>
            </w:r>
          </w:p>
        </w:tc>
      </w:tr>
      <w:tr w:rsidR="00A84E96" w:rsidRPr="00E224AA" w14:paraId="399301B8" w14:textId="77777777" w:rsidTr="00E224AA">
        <w:trPr>
          <w:trHeight w:val="193"/>
          <w:jc w:val="center"/>
        </w:trPr>
        <w:tc>
          <w:tcPr>
            <w:tcW w:w="3385" w:type="dxa"/>
            <w:vMerge/>
            <w:tcBorders>
              <w:top w:val="nil"/>
              <w:left w:val="nil"/>
              <w:bottom w:val="single" w:sz="4" w:space="0" w:color="auto"/>
              <w:right w:val="nil"/>
            </w:tcBorders>
          </w:tcPr>
          <w:p w14:paraId="17240674" w14:textId="77777777" w:rsidR="00A84E96" w:rsidRPr="00E224AA" w:rsidRDefault="00A84E96" w:rsidP="00E224AA">
            <w:pPr>
              <w:tabs>
                <w:tab w:val="left" w:pos="1032"/>
              </w:tabs>
              <w:spacing w:after="0" w:line="240" w:lineRule="auto"/>
              <w:rPr>
                <w:rFonts w:ascii="Times New Roman" w:hAnsi="Times New Roman" w:cs="Times New Roman"/>
                <w:sz w:val="20"/>
                <w:szCs w:val="20"/>
              </w:rPr>
            </w:pPr>
          </w:p>
        </w:tc>
        <w:tc>
          <w:tcPr>
            <w:tcW w:w="1577" w:type="dxa"/>
            <w:tcBorders>
              <w:top w:val="nil"/>
              <w:left w:val="nil"/>
              <w:bottom w:val="single" w:sz="4" w:space="0" w:color="auto"/>
              <w:right w:val="nil"/>
            </w:tcBorders>
            <w:vAlign w:val="center"/>
          </w:tcPr>
          <w:p w14:paraId="5C1845CA"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Total</w:t>
            </w:r>
          </w:p>
        </w:tc>
        <w:tc>
          <w:tcPr>
            <w:tcW w:w="1266" w:type="dxa"/>
            <w:tcBorders>
              <w:top w:val="nil"/>
              <w:left w:val="nil"/>
              <w:bottom w:val="single" w:sz="4" w:space="0" w:color="auto"/>
              <w:right w:val="nil"/>
            </w:tcBorders>
            <w:vAlign w:val="center"/>
          </w:tcPr>
          <w:p w14:paraId="2A3A3DD3"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384</w:t>
            </w:r>
          </w:p>
        </w:tc>
        <w:tc>
          <w:tcPr>
            <w:tcW w:w="1870" w:type="dxa"/>
            <w:tcBorders>
              <w:top w:val="nil"/>
              <w:left w:val="nil"/>
              <w:bottom w:val="single" w:sz="4" w:space="0" w:color="auto"/>
              <w:right w:val="nil"/>
            </w:tcBorders>
            <w:vAlign w:val="center"/>
          </w:tcPr>
          <w:p w14:paraId="176284F2"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100.0</w:t>
            </w:r>
          </w:p>
        </w:tc>
      </w:tr>
      <w:tr w:rsidR="00A84E96" w:rsidRPr="00E224AA" w14:paraId="3844F272" w14:textId="77777777" w:rsidTr="00E224AA">
        <w:trPr>
          <w:trHeight w:val="182"/>
          <w:jc w:val="center"/>
        </w:trPr>
        <w:tc>
          <w:tcPr>
            <w:tcW w:w="3385" w:type="dxa"/>
            <w:vMerge w:val="restart"/>
            <w:tcBorders>
              <w:left w:val="nil"/>
              <w:bottom w:val="nil"/>
              <w:right w:val="nil"/>
            </w:tcBorders>
          </w:tcPr>
          <w:p w14:paraId="57B5C676" w14:textId="77777777" w:rsidR="00A84E96" w:rsidRPr="00E224AA" w:rsidRDefault="00A84E96" w:rsidP="00E224AA">
            <w:pPr>
              <w:spacing w:after="0" w:line="240" w:lineRule="auto"/>
              <w:rPr>
                <w:rFonts w:ascii="Times New Roman" w:hAnsi="Times New Roman" w:cs="Times New Roman"/>
                <w:sz w:val="20"/>
                <w:szCs w:val="20"/>
              </w:rPr>
            </w:pPr>
            <w:r w:rsidRPr="00E224AA">
              <w:rPr>
                <w:rFonts w:ascii="Times New Roman" w:hAnsi="Times New Roman" w:cs="Times New Roman"/>
                <w:sz w:val="20"/>
                <w:szCs w:val="20"/>
              </w:rPr>
              <w:t>Public buildings and residential areas in Osogbo are equipped with proper fire safety measures and infrastructure</w:t>
            </w:r>
          </w:p>
        </w:tc>
        <w:tc>
          <w:tcPr>
            <w:tcW w:w="1577" w:type="dxa"/>
            <w:tcBorders>
              <w:left w:val="nil"/>
              <w:bottom w:val="nil"/>
              <w:right w:val="nil"/>
            </w:tcBorders>
            <w:vAlign w:val="center"/>
          </w:tcPr>
          <w:p w14:paraId="738B75CE"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Strongly Agreed</w:t>
            </w:r>
          </w:p>
        </w:tc>
        <w:tc>
          <w:tcPr>
            <w:tcW w:w="1266" w:type="dxa"/>
            <w:tcBorders>
              <w:left w:val="nil"/>
              <w:bottom w:val="nil"/>
              <w:right w:val="nil"/>
            </w:tcBorders>
            <w:vAlign w:val="center"/>
          </w:tcPr>
          <w:p w14:paraId="483350FA"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98</w:t>
            </w:r>
          </w:p>
        </w:tc>
        <w:tc>
          <w:tcPr>
            <w:tcW w:w="1870" w:type="dxa"/>
            <w:tcBorders>
              <w:left w:val="nil"/>
              <w:bottom w:val="nil"/>
              <w:right w:val="nil"/>
            </w:tcBorders>
            <w:vAlign w:val="center"/>
          </w:tcPr>
          <w:p w14:paraId="73B66B72"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25.5</w:t>
            </w:r>
          </w:p>
        </w:tc>
      </w:tr>
      <w:tr w:rsidR="00A84E96" w:rsidRPr="00E224AA" w14:paraId="53E68DBA" w14:textId="77777777" w:rsidTr="00E224AA">
        <w:trPr>
          <w:trHeight w:val="136"/>
          <w:jc w:val="center"/>
        </w:trPr>
        <w:tc>
          <w:tcPr>
            <w:tcW w:w="3385" w:type="dxa"/>
            <w:vMerge/>
            <w:tcBorders>
              <w:top w:val="nil"/>
              <w:left w:val="nil"/>
              <w:bottom w:val="nil"/>
              <w:right w:val="nil"/>
            </w:tcBorders>
          </w:tcPr>
          <w:p w14:paraId="4815C6F8"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nil"/>
              <w:right w:val="nil"/>
            </w:tcBorders>
            <w:vAlign w:val="center"/>
          </w:tcPr>
          <w:p w14:paraId="067F03D8"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Agreed</w:t>
            </w:r>
          </w:p>
        </w:tc>
        <w:tc>
          <w:tcPr>
            <w:tcW w:w="1266" w:type="dxa"/>
            <w:tcBorders>
              <w:top w:val="nil"/>
              <w:left w:val="nil"/>
              <w:bottom w:val="nil"/>
              <w:right w:val="nil"/>
            </w:tcBorders>
            <w:vAlign w:val="center"/>
          </w:tcPr>
          <w:p w14:paraId="51C33096"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204</w:t>
            </w:r>
          </w:p>
        </w:tc>
        <w:tc>
          <w:tcPr>
            <w:tcW w:w="1870" w:type="dxa"/>
            <w:tcBorders>
              <w:top w:val="nil"/>
              <w:left w:val="nil"/>
              <w:bottom w:val="nil"/>
              <w:right w:val="nil"/>
            </w:tcBorders>
            <w:vAlign w:val="center"/>
          </w:tcPr>
          <w:p w14:paraId="482BD065"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53.1</w:t>
            </w:r>
          </w:p>
        </w:tc>
      </w:tr>
      <w:tr w:rsidR="00A84E96" w:rsidRPr="00E224AA" w14:paraId="6BD41D6A" w14:textId="77777777" w:rsidTr="00E224AA">
        <w:trPr>
          <w:trHeight w:val="125"/>
          <w:jc w:val="center"/>
        </w:trPr>
        <w:tc>
          <w:tcPr>
            <w:tcW w:w="3385" w:type="dxa"/>
            <w:vMerge/>
            <w:tcBorders>
              <w:top w:val="nil"/>
              <w:left w:val="nil"/>
              <w:bottom w:val="nil"/>
              <w:right w:val="nil"/>
            </w:tcBorders>
          </w:tcPr>
          <w:p w14:paraId="4ED80D02"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nil"/>
              <w:right w:val="nil"/>
            </w:tcBorders>
            <w:vAlign w:val="center"/>
          </w:tcPr>
          <w:p w14:paraId="5177E9E8"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Disagreed</w:t>
            </w:r>
          </w:p>
        </w:tc>
        <w:tc>
          <w:tcPr>
            <w:tcW w:w="1266" w:type="dxa"/>
            <w:tcBorders>
              <w:top w:val="nil"/>
              <w:left w:val="nil"/>
              <w:bottom w:val="nil"/>
              <w:right w:val="nil"/>
            </w:tcBorders>
            <w:vAlign w:val="center"/>
          </w:tcPr>
          <w:p w14:paraId="00553D81"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33</w:t>
            </w:r>
          </w:p>
        </w:tc>
        <w:tc>
          <w:tcPr>
            <w:tcW w:w="1870" w:type="dxa"/>
            <w:tcBorders>
              <w:top w:val="nil"/>
              <w:left w:val="nil"/>
              <w:bottom w:val="nil"/>
              <w:right w:val="nil"/>
            </w:tcBorders>
            <w:vAlign w:val="center"/>
          </w:tcPr>
          <w:p w14:paraId="612537A2"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8.6</w:t>
            </w:r>
          </w:p>
        </w:tc>
      </w:tr>
      <w:tr w:rsidR="00A84E96" w:rsidRPr="00E224AA" w14:paraId="357B6DC4" w14:textId="77777777" w:rsidTr="00E224AA">
        <w:trPr>
          <w:trHeight w:val="113"/>
          <w:jc w:val="center"/>
        </w:trPr>
        <w:tc>
          <w:tcPr>
            <w:tcW w:w="3385" w:type="dxa"/>
            <w:vMerge/>
            <w:tcBorders>
              <w:top w:val="nil"/>
              <w:left w:val="nil"/>
              <w:bottom w:val="nil"/>
              <w:right w:val="nil"/>
            </w:tcBorders>
          </w:tcPr>
          <w:p w14:paraId="43795262"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bottom w:val="nil"/>
              <w:right w:val="nil"/>
            </w:tcBorders>
            <w:vAlign w:val="center"/>
          </w:tcPr>
          <w:p w14:paraId="205A6294"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color w:val="000000"/>
                <w:sz w:val="20"/>
                <w:szCs w:val="20"/>
              </w:rPr>
            </w:pPr>
            <w:r w:rsidRPr="00E224AA">
              <w:rPr>
                <w:rFonts w:ascii="Times New Roman" w:hAnsi="Times New Roman" w:cs="Times New Roman"/>
                <w:color w:val="000000"/>
                <w:sz w:val="20"/>
                <w:szCs w:val="20"/>
              </w:rPr>
              <w:t>Strongly Disagreed</w:t>
            </w:r>
          </w:p>
        </w:tc>
        <w:tc>
          <w:tcPr>
            <w:tcW w:w="1266" w:type="dxa"/>
            <w:tcBorders>
              <w:top w:val="nil"/>
              <w:left w:val="nil"/>
              <w:bottom w:val="nil"/>
              <w:right w:val="nil"/>
            </w:tcBorders>
            <w:vAlign w:val="center"/>
          </w:tcPr>
          <w:p w14:paraId="46848D99"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49</w:t>
            </w:r>
          </w:p>
        </w:tc>
        <w:tc>
          <w:tcPr>
            <w:tcW w:w="1870" w:type="dxa"/>
            <w:tcBorders>
              <w:top w:val="nil"/>
              <w:left w:val="nil"/>
              <w:bottom w:val="nil"/>
              <w:right w:val="nil"/>
            </w:tcBorders>
            <w:vAlign w:val="center"/>
          </w:tcPr>
          <w:p w14:paraId="66390B82"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224AA">
              <w:rPr>
                <w:rFonts w:ascii="Times New Roman" w:hAnsi="Times New Roman" w:cs="Times New Roman"/>
                <w:color w:val="000000"/>
                <w:sz w:val="20"/>
                <w:szCs w:val="20"/>
              </w:rPr>
              <w:t>12.8</w:t>
            </w:r>
          </w:p>
        </w:tc>
      </w:tr>
      <w:tr w:rsidR="00A84E96" w:rsidRPr="00E224AA" w14:paraId="67D6E9A6" w14:textId="77777777" w:rsidTr="00E224AA">
        <w:trPr>
          <w:trHeight w:val="215"/>
          <w:jc w:val="center"/>
        </w:trPr>
        <w:tc>
          <w:tcPr>
            <w:tcW w:w="3385" w:type="dxa"/>
            <w:vMerge/>
            <w:tcBorders>
              <w:top w:val="nil"/>
              <w:left w:val="nil"/>
              <w:right w:val="nil"/>
            </w:tcBorders>
          </w:tcPr>
          <w:p w14:paraId="5B2ED57D" w14:textId="77777777" w:rsidR="00A84E96" w:rsidRPr="00E224AA" w:rsidRDefault="00A84E96" w:rsidP="00E224AA">
            <w:pPr>
              <w:spacing w:after="0" w:line="240" w:lineRule="auto"/>
              <w:rPr>
                <w:rFonts w:ascii="Times New Roman" w:hAnsi="Times New Roman" w:cs="Times New Roman"/>
                <w:sz w:val="20"/>
                <w:szCs w:val="20"/>
              </w:rPr>
            </w:pPr>
          </w:p>
        </w:tc>
        <w:tc>
          <w:tcPr>
            <w:tcW w:w="1577" w:type="dxa"/>
            <w:tcBorders>
              <w:top w:val="nil"/>
              <w:left w:val="nil"/>
              <w:right w:val="nil"/>
            </w:tcBorders>
            <w:vAlign w:val="center"/>
          </w:tcPr>
          <w:p w14:paraId="2EC0FBB8" w14:textId="77777777" w:rsidR="00A84E96" w:rsidRPr="00E224AA" w:rsidRDefault="00A84E96" w:rsidP="00E224AA">
            <w:pPr>
              <w:autoSpaceDE w:val="0"/>
              <w:autoSpaceDN w:val="0"/>
              <w:adjustRightInd w:val="0"/>
              <w:spacing w:after="0" w:line="240" w:lineRule="auto"/>
              <w:ind w:left="60" w:right="60"/>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Total</w:t>
            </w:r>
          </w:p>
        </w:tc>
        <w:tc>
          <w:tcPr>
            <w:tcW w:w="1266" w:type="dxa"/>
            <w:tcBorders>
              <w:top w:val="nil"/>
              <w:left w:val="nil"/>
              <w:right w:val="nil"/>
            </w:tcBorders>
            <w:vAlign w:val="center"/>
          </w:tcPr>
          <w:p w14:paraId="3C859D7B"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384</w:t>
            </w:r>
          </w:p>
        </w:tc>
        <w:tc>
          <w:tcPr>
            <w:tcW w:w="1870" w:type="dxa"/>
            <w:tcBorders>
              <w:top w:val="nil"/>
              <w:left w:val="nil"/>
              <w:right w:val="nil"/>
            </w:tcBorders>
            <w:vAlign w:val="center"/>
          </w:tcPr>
          <w:p w14:paraId="6CF75724" w14:textId="77777777" w:rsidR="00A84E96" w:rsidRPr="00E224AA" w:rsidRDefault="00A84E96" w:rsidP="00E224AA">
            <w:pPr>
              <w:autoSpaceDE w:val="0"/>
              <w:autoSpaceDN w:val="0"/>
              <w:adjustRightInd w:val="0"/>
              <w:spacing w:after="0" w:line="240" w:lineRule="auto"/>
              <w:ind w:left="60" w:right="60"/>
              <w:jc w:val="center"/>
              <w:rPr>
                <w:rFonts w:ascii="Times New Roman" w:hAnsi="Times New Roman" w:cs="Times New Roman"/>
                <w:b/>
                <w:bCs/>
                <w:color w:val="000000"/>
                <w:sz w:val="20"/>
                <w:szCs w:val="20"/>
              </w:rPr>
            </w:pPr>
            <w:r w:rsidRPr="00E224AA">
              <w:rPr>
                <w:rFonts w:ascii="Times New Roman" w:hAnsi="Times New Roman" w:cs="Times New Roman"/>
                <w:b/>
                <w:bCs/>
                <w:color w:val="000000"/>
                <w:sz w:val="20"/>
                <w:szCs w:val="20"/>
              </w:rPr>
              <w:t>100.0</w:t>
            </w:r>
          </w:p>
        </w:tc>
      </w:tr>
    </w:tbl>
    <w:p w14:paraId="3ACE82F6" w14:textId="77777777" w:rsidR="00A84E96" w:rsidRPr="00BE4AF3" w:rsidRDefault="00A84E96" w:rsidP="00A84E96">
      <w:pPr>
        <w:spacing w:after="0" w:line="240" w:lineRule="auto"/>
        <w:jc w:val="center"/>
        <w:rPr>
          <w:rFonts w:ascii="Times New Roman" w:hAnsi="Times New Roman" w:cs="Times New Roman"/>
          <w:bCs/>
          <w:sz w:val="24"/>
          <w:szCs w:val="24"/>
        </w:rPr>
      </w:pPr>
      <w:r w:rsidRPr="00BE4AF3">
        <w:rPr>
          <w:rFonts w:ascii="Times New Roman" w:hAnsi="Times New Roman" w:cs="Times New Roman"/>
          <w:bCs/>
          <w:sz w:val="24"/>
          <w:szCs w:val="24"/>
        </w:rPr>
        <w:t>Source: Field survey (2024)</w:t>
      </w:r>
    </w:p>
    <w:p w14:paraId="1F82E24C" w14:textId="77777777" w:rsidR="00A84E96" w:rsidRPr="00BE4AF3" w:rsidRDefault="00A84E96" w:rsidP="00A84E96">
      <w:pPr>
        <w:spacing w:line="240" w:lineRule="auto"/>
        <w:ind w:left="-90"/>
        <w:jc w:val="both"/>
        <w:rPr>
          <w:rFonts w:ascii="Times New Roman" w:hAnsi="Times New Roman" w:cs="Times New Roman"/>
          <w:sz w:val="24"/>
          <w:szCs w:val="24"/>
        </w:rPr>
      </w:pPr>
    </w:p>
    <w:p w14:paraId="7B3049A9" w14:textId="77777777" w:rsidR="00A84E96" w:rsidRPr="00FB5413" w:rsidRDefault="00A84E96" w:rsidP="00F75F3B">
      <w:pPr>
        <w:pStyle w:val="Heading3"/>
        <w:spacing w:line="240" w:lineRule="auto"/>
        <w:jc w:val="both"/>
        <w:rPr>
          <w:rFonts w:ascii="Times New Roman" w:hAnsi="Times New Roman" w:cs="Times New Roman"/>
          <w:b/>
          <w:bCs/>
          <w:color w:val="auto"/>
        </w:rPr>
      </w:pPr>
      <w:r w:rsidRPr="00FB5413">
        <w:rPr>
          <w:rFonts w:ascii="Times New Roman" w:hAnsi="Times New Roman" w:cs="Times New Roman"/>
          <w:b/>
          <w:bCs/>
          <w:color w:val="auto"/>
        </w:rPr>
        <w:t>Fire Incident in the study area from 2010 - 2024</w:t>
      </w:r>
    </w:p>
    <w:p w14:paraId="7A8A016E" w14:textId="444C9182" w:rsidR="00A84E96" w:rsidRPr="00BE4AF3" w:rsidRDefault="00A84E96" w:rsidP="00A84E96">
      <w:pPr>
        <w:jc w:val="both"/>
        <w:rPr>
          <w:rFonts w:ascii="Times New Roman" w:hAnsi="Times New Roman" w:cs="Times New Roman"/>
          <w:sz w:val="24"/>
          <w:szCs w:val="24"/>
        </w:rPr>
      </w:pPr>
      <w:r w:rsidRPr="00BE4AF3">
        <w:rPr>
          <w:rFonts w:ascii="Times New Roman" w:hAnsi="Times New Roman" w:cs="Times New Roman"/>
          <w:sz w:val="24"/>
          <w:szCs w:val="24"/>
        </w:rPr>
        <w:t>Results of the analysis of the historical records of fire incident data collected from 2010-2024 shows there were five major categories of fire incidents which are residential fires, market fires, industrial fires, vehicular fires, and bush fires. Residential fires accounted for the majority of incidents, with 197 cases reported during the study period. These incidents often resulted in significant property damage and were attributed to electrical faults and cooking-related mishaps. A total of 58 incidents were reported in markets, often due to overcrowding, illegal electrical connections, and poor fire safety practices. Industrial areas reported 29 cases, primarily caused by equipment malfunctions and flammable materials. There were 25 vehicular fire incidents, usually resulting from fuel leaks and engine overheating. A total of 20 bush fires were recorded, often caused by human negligence or dry weather conditions.</w:t>
      </w:r>
    </w:p>
    <w:p w14:paraId="1B65E348" w14:textId="77777777" w:rsidR="00A84E96" w:rsidRPr="00FB5413" w:rsidRDefault="00A84E96" w:rsidP="00F75F3B">
      <w:pPr>
        <w:spacing w:line="240" w:lineRule="auto"/>
        <w:jc w:val="both"/>
        <w:rPr>
          <w:rFonts w:ascii="Times New Roman" w:hAnsi="Times New Roman"/>
          <w:b/>
          <w:bCs/>
          <w:sz w:val="24"/>
          <w:szCs w:val="24"/>
        </w:rPr>
      </w:pPr>
      <w:r w:rsidRPr="00FB5413">
        <w:rPr>
          <w:rFonts w:ascii="Times New Roman" w:hAnsi="Times New Roman"/>
          <w:b/>
          <w:bCs/>
          <w:sz w:val="24"/>
          <w:szCs w:val="24"/>
        </w:rPr>
        <w:t>Time Series Analysis of Fire Station Response Times and Google Maps Estimated Times 2010-2024</w:t>
      </w:r>
    </w:p>
    <w:p w14:paraId="2ECD009F" w14:textId="77777777" w:rsidR="00A84E96" w:rsidRPr="00BE4AF3" w:rsidRDefault="00A84E96" w:rsidP="00E224AA">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Analysing response times is crucial for assessing the efficiency of fire disaster management. This sub-section examines the actual response time from the fire station to the fire incidence and the estimated time calculated from google maps. This analysis is to determine the accuracy of google </w:t>
      </w:r>
      <w:r w:rsidRPr="00BE4AF3">
        <w:rPr>
          <w:rFonts w:ascii="Times New Roman" w:hAnsi="Times New Roman" w:cs="Times New Roman"/>
          <w:sz w:val="24"/>
          <w:szCs w:val="24"/>
        </w:rPr>
        <w:lastRenderedPageBreak/>
        <w:t>maps in predicting fire station response times, identify the patterns, and highlight any discrepancies between the two datasets. The datasets consist of response times collected over several months. The primary variables analysed are Fire Station Time (Min): the actual time taken by the fire station to reach the fire incidence; and Google Maps Time (Min): the time calculated by google maps for the same route under normal conditions.</w:t>
      </w:r>
    </w:p>
    <w:p w14:paraId="099DA7D6" w14:textId="77777777" w:rsidR="00A84E96" w:rsidRPr="00BE4AF3" w:rsidRDefault="00A84E96" w:rsidP="00E224AA">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analysis for 2010 revealed that fire station response times (mean = 4.55 min, std = 1.21 min) were significantly faster than Google Maps predictions (mean = 9.09 min, std = 5.21 min). The time differences ranged from -3.00 to 18.00 minutes, with fire stations consistently outperforming Google Maps. In 2011, the gap narrowed slightly (mean difference = 1.33 min), though variability in Google Maps estimates persisted (std = 3.45 min).</w:t>
      </w:r>
    </w:p>
    <w:p w14:paraId="003C6894" w14:textId="77777777" w:rsidR="00A84E96" w:rsidRPr="00BE4AF3" w:rsidRDefault="00A84E96" w:rsidP="00E224AA">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From 2012 to 2014, fire station response times remained stable, with mean values ranging from 4.18 to 4.72 minutes and standard deviations below 1.20 minutes. By contrast, Google Maps predictions exhibited greater variability (std = 4.07–3.90 min) and occasional overestimations, including a maximum prediction of 20.00 minutes in 2012. Time differences during this period ranged from -3.00 to 10.00 minutes, with fire stations maintaining superior performance.</w:t>
      </w:r>
    </w:p>
    <w:p w14:paraId="2884B335" w14:textId="77777777" w:rsidR="00A84E96" w:rsidRPr="00BE4AF3" w:rsidRDefault="00A84E96" w:rsidP="00E224AA">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Between 2015 and 2019, fire station response times demonstrated minimal variability, with means between 4.84 and 4.90 minutes. While Google Maps predictions became closer to fire station times, they still showed higher variability (std = 2.15–3.65 min). Positive time differences dominated, indicating faster fire station responses. However, occasional underestimations by Google Maps resulted in negative differences, such as -3.00 minutes in 2015.</w:t>
      </w:r>
    </w:p>
    <w:p w14:paraId="5CC74666" w14:textId="49BF0643" w:rsidR="00A84E96" w:rsidRDefault="00A84E96" w:rsidP="00E224AA">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final years of the analysis (2020–2024) highlighted continued consistency in fire station response times, with mean values around 5.00 minutes and standard deviations below 1.20 minutes. Google Maps predictions improved slightly, with reduced variability (std = 1.30–2.33 min). Nevertheless, overestimations persisted, particularly in 2024, when the maximum Google Maps prediction reached 12.00 minutes compared to a maximum fire station time of 7.00 minutes. Overall, fire station response times exhibited remarkable consistency and lower variability compared to Google Maps predictions. </w:t>
      </w:r>
    </w:p>
    <w:p w14:paraId="40F99CA2" w14:textId="77777777" w:rsidR="00E224AA" w:rsidRPr="00BE4AF3" w:rsidRDefault="00E224AA" w:rsidP="00E224AA">
      <w:pPr>
        <w:spacing w:after="0" w:line="240" w:lineRule="auto"/>
        <w:jc w:val="both"/>
        <w:rPr>
          <w:rFonts w:ascii="Times New Roman" w:hAnsi="Times New Roman" w:cs="Times New Roman"/>
          <w:sz w:val="24"/>
          <w:szCs w:val="24"/>
        </w:rPr>
      </w:pPr>
    </w:p>
    <w:p w14:paraId="63E48BF2" w14:textId="77777777" w:rsidR="00A84E96" w:rsidRPr="00FB5413" w:rsidRDefault="00A84E96" w:rsidP="00FB5413">
      <w:pPr>
        <w:spacing w:after="0" w:line="240" w:lineRule="auto"/>
        <w:jc w:val="both"/>
        <w:rPr>
          <w:rFonts w:ascii="Times New Roman" w:hAnsi="Times New Roman"/>
          <w:b/>
          <w:bCs/>
          <w:sz w:val="24"/>
          <w:szCs w:val="24"/>
        </w:rPr>
      </w:pPr>
      <w:r w:rsidRPr="00FB5413">
        <w:rPr>
          <w:rFonts w:ascii="Times New Roman" w:hAnsi="Times New Roman"/>
          <w:b/>
          <w:bCs/>
          <w:sz w:val="24"/>
          <w:szCs w:val="24"/>
        </w:rPr>
        <w:t>Report of focus group discussion</w:t>
      </w:r>
    </w:p>
    <w:p w14:paraId="51D9BB66" w14:textId="77777777" w:rsidR="00A84E96" w:rsidRPr="00BE4AF3" w:rsidRDefault="00A84E96" w:rsidP="00FB5413">
      <w:pPr>
        <w:autoSpaceDE w:val="0"/>
        <w:autoSpaceDN w:val="0"/>
        <w:adjustRightInd w:val="0"/>
        <w:spacing w:after="0" w:line="240" w:lineRule="auto"/>
        <w:jc w:val="both"/>
        <w:rPr>
          <w:rFonts w:ascii="Times New Roman" w:hAnsi="Times New Roman" w:cs="Times New Roman"/>
          <w:b/>
          <w:sz w:val="24"/>
          <w:szCs w:val="24"/>
        </w:rPr>
      </w:pPr>
      <w:r w:rsidRPr="00BE4AF3">
        <w:rPr>
          <w:rFonts w:ascii="Times New Roman" w:eastAsia="Times New Roman" w:hAnsi="Times New Roman" w:cs="Times New Roman"/>
          <w:iCs/>
          <w:sz w:val="24"/>
          <w:szCs w:val="24"/>
        </w:rPr>
        <w:t>Focus group discussion revealed that Osogbo's fire disaster management system has improved over the years, particularly in response times and coordination among emergency agencies. However, challenges such as limited fire hydrants, outdated equipment, and insufficient staffing persist, hindering optimal operations. Community engagement in fire safety awareness programs is growing but remains inconsistent, especially in underserved areas. Respondents emphasized the need for more government funding and investment in modern equipment and training programs, including GIS technology.</w:t>
      </w:r>
    </w:p>
    <w:p w14:paraId="28F714E4" w14:textId="77777777" w:rsidR="00A84E96" w:rsidRPr="00BE4AF3" w:rsidRDefault="00A84E96" w:rsidP="00A84E96">
      <w:pPr>
        <w:spacing w:after="0" w:line="240" w:lineRule="auto"/>
        <w:jc w:val="both"/>
        <w:rPr>
          <w:rFonts w:ascii="Times New Roman" w:hAnsi="Times New Roman" w:cs="Times New Roman"/>
          <w:b/>
          <w:sz w:val="24"/>
          <w:szCs w:val="24"/>
        </w:rPr>
      </w:pPr>
    </w:p>
    <w:p w14:paraId="29E94AB1" w14:textId="77777777" w:rsidR="00A84E96" w:rsidRPr="00BE4AF3" w:rsidRDefault="00A84E96" w:rsidP="00A84E96">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Conclusions</w:t>
      </w:r>
    </w:p>
    <w:p w14:paraId="75E3364C" w14:textId="77777777" w:rsidR="00A84E96" w:rsidRPr="00BE4AF3" w:rsidRDefault="00A84E96" w:rsidP="00E224AA">
      <w:pPr>
        <w:spacing w:after="0" w:line="240" w:lineRule="auto"/>
        <w:jc w:val="both"/>
        <w:rPr>
          <w:rFonts w:ascii="Times New Roman" w:eastAsia="Times New Roman" w:hAnsi="Times New Roman" w:cs="Times New Roman"/>
          <w:iCs/>
          <w:sz w:val="24"/>
          <w:szCs w:val="24"/>
        </w:rPr>
      </w:pPr>
      <w:r w:rsidRPr="00BE4AF3">
        <w:rPr>
          <w:rFonts w:ascii="Times New Roman" w:eastAsia="Times New Roman" w:hAnsi="Times New Roman" w:cs="Times New Roman"/>
          <w:sz w:val="24"/>
          <w:szCs w:val="24"/>
        </w:rPr>
        <w:t xml:space="preserve">This study investigates awareness and usage of geospatial technology in fire disaster management in Osogbo metropolis by the staff of Osun State Fire Service. </w:t>
      </w:r>
      <w:r w:rsidRPr="00BE4AF3">
        <w:rPr>
          <w:rFonts w:ascii="Times New Roman" w:eastAsia="Times New Roman" w:hAnsi="Times New Roman" w:cs="Times New Roman"/>
          <w:iCs/>
          <w:sz w:val="24"/>
          <w:szCs w:val="24"/>
        </w:rPr>
        <w:t>The result shows that: majority of Osun State Fire Service staff are computer literate and have personal computers. Most of the staff are aware of GIS, majority have not attended GIS training programs and they expressed interest in GIS training program. Majority of the staff said they do not use GIS in their operation. Findings on public perception of fire disaster management in Osogbo revealed mixed satisfaction levels across various aspects of fire safety infrastructure. The study revealed significant inadequacies in the spatial distribution of fire stations and hydrants.</w:t>
      </w:r>
      <w:r w:rsidRPr="00BE4AF3">
        <w:rPr>
          <w:rFonts w:ascii="Times New Roman" w:hAnsi="Times New Roman" w:cs="Times New Roman"/>
          <w:iCs/>
          <w:sz w:val="24"/>
          <w:szCs w:val="24"/>
        </w:rPr>
        <w:t xml:space="preserve"> The time series analysis compared actual fire </w:t>
      </w:r>
      <w:r w:rsidRPr="00BE4AF3">
        <w:rPr>
          <w:rFonts w:ascii="Times New Roman" w:hAnsi="Times New Roman" w:cs="Times New Roman"/>
          <w:iCs/>
          <w:sz w:val="24"/>
          <w:szCs w:val="24"/>
        </w:rPr>
        <w:lastRenderedPageBreak/>
        <w:t xml:space="preserve">station response times with Google Maps estimated times for fire incidents in Osogbo from 2010 to 2024. On average, fire station response times (mean: 8.5 minutes) were faster than Google Maps estimates (mean: 9.2 minutes), with a strong positive correlation (0.85) between the two datasets. </w:t>
      </w:r>
      <w:r w:rsidRPr="00BE4AF3">
        <w:rPr>
          <w:rFonts w:ascii="Times New Roman" w:eastAsia="Times New Roman" w:hAnsi="Times New Roman" w:cs="Times New Roman"/>
          <w:iCs/>
          <w:sz w:val="24"/>
          <w:szCs w:val="24"/>
        </w:rPr>
        <w:t xml:space="preserve"> Focus group discussion result emphasized the need for more government funding and investment in modern equipment and training programs, including GIS technology. </w:t>
      </w:r>
    </w:p>
    <w:p w14:paraId="28A7052F" w14:textId="77777777" w:rsidR="00A84E96" w:rsidRPr="00BE4AF3" w:rsidRDefault="00A84E96" w:rsidP="00E224AA">
      <w:pPr>
        <w:tabs>
          <w:tab w:val="left" w:pos="90"/>
          <w:tab w:val="left" w:pos="270"/>
        </w:tabs>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iCs/>
          <w:sz w:val="24"/>
          <w:szCs w:val="24"/>
        </w:rPr>
        <w:t xml:space="preserve">Although, </w:t>
      </w:r>
      <w:r w:rsidRPr="00BE4AF3">
        <w:rPr>
          <w:rFonts w:ascii="Times New Roman" w:eastAsia="Times New Roman" w:hAnsi="Times New Roman" w:cs="Times New Roman"/>
          <w:sz w:val="24"/>
          <w:szCs w:val="24"/>
        </w:rPr>
        <w:t>geospatial technologies hold transformative potential for fire disaster management but are underutilized in Osogbo. Strengthening GIS integration, improving staff training, and ensuring equitable resource distribution are critical steps toward enhanced fire management. Therefore, recommendations include establishing a centralized GIS database for fire-related data, periodic staff training on GIS applications, and increased investment in modern firefighting equipment. Public awareness campaigns and the inclusion of community stakeholders in planning processes are also advised to foster a collaborative approach to fire safety.</w:t>
      </w:r>
    </w:p>
    <w:p w14:paraId="2A7EB46B" w14:textId="77777777" w:rsidR="00A84E96" w:rsidRPr="00BE4AF3" w:rsidRDefault="00A84E96" w:rsidP="00A84E96">
      <w:pPr>
        <w:tabs>
          <w:tab w:val="left" w:pos="90"/>
          <w:tab w:val="left" w:pos="270"/>
        </w:tabs>
        <w:spacing w:after="0" w:line="240" w:lineRule="auto"/>
        <w:jc w:val="both"/>
        <w:rPr>
          <w:rFonts w:ascii="Times New Roman" w:hAnsi="Times New Roman" w:cs="Times New Roman"/>
          <w:b/>
          <w:sz w:val="24"/>
          <w:szCs w:val="24"/>
        </w:rPr>
      </w:pPr>
    </w:p>
    <w:p w14:paraId="59DC2644" w14:textId="77777777" w:rsidR="00A84E96" w:rsidRPr="00BE4AF3" w:rsidRDefault="00A84E96" w:rsidP="00A84E96">
      <w:pPr>
        <w:tabs>
          <w:tab w:val="left" w:pos="90"/>
          <w:tab w:val="left" w:pos="27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References</w:t>
      </w:r>
    </w:p>
    <w:p w14:paraId="6DB4DDC9" w14:textId="77777777" w:rsidR="00A84E96" w:rsidRPr="00BE4AF3" w:rsidRDefault="00A84E96" w:rsidP="00E224AA">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Alexander Fekete, Udo Nehren (2024) Climate change increased risk of forest fire, winter </w:t>
      </w:r>
    </w:p>
    <w:p w14:paraId="4EAD551D" w14:textId="77777777" w:rsidR="00A84E96" w:rsidRPr="00BE4AF3" w:rsidRDefault="00A84E96" w:rsidP="00E224AA">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rPr>
        <w:t xml:space="preserve">storm and technical failure risks related to power transmission lines – a spatial GIS risk assessment at Cologne district, Germany. </w:t>
      </w:r>
      <w:r w:rsidRPr="00BE4AF3">
        <w:rPr>
          <w:rFonts w:ascii="Times New Roman" w:hAnsi="Times New Roman" w:cs="Times New Roman"/>
          <w:i/>
          <w:iCs/>
          <w:sz w:val="24"/>
          <w:szCs w:val="24"/>
        </w:rPr>
        <w:t>Progress in Disaster Science</w:t>
      </w:r>
      <w:r w:rsidRPr="00BE4AF3">
        <w:rPr>
          <w:rFonts w:ascii="Times New Roman" w:hAnsi="Times New Roman" w:cs="Times New Roman"/>
          <w:sz w:val="24"/>
          <w:szCs w:val="24"/>
        </w:rPr>
        <w:t xml:space="preserve">, 24:100387. https://doi.org/10.1016/j.pdisas.2024.100387 </w:t>
      </w:r>
    </w:p>
    <w:p w14:paraId="6AA7255B" w14:textId="77777777" w:rsidR="00A84E96" w:rsidRPr="00BE4AF3" w:rsidRDefault="00A84E96" w:rsidP="00E224AA">
      <w:pPr>
        <w:spacing w:after="0" w:line="240" w:lineRule="auto"/>
        <w:jc w:val="both"/>
        <w:rPr>
          <w:rFonts w:ascii="Times New Roman" w:hAnsi="Times New Roman" w:cs="Times New Roman"/>
          <w:bCs/>
          <w:color w:val="000000"/>
          <w:sz w:val="24"/>
          <w:szCs w:val="24"/>
        </w:rPr>
      </w:pPr>
      <w:r w:rsidRPr="00BE4AF3">
        <w:rPr>
          <w:rFonts w:ascii="Times New Roman" w:hAnsi="Times New Roman" w:cs="Times New Roman"/>
          <w:sz w:val="24"/>
          <w:szCs w:val="24"/>
        </w:rPr>
        <w:t xml:space="preserve">Eric, Forkno, and Jonathan (2013) in </w:t>
      </w:r>
      <w:r w:rsidRPr="00BE4AF3">
        <w:rPr>
          <w:rFonts w:ascii="Times New Roman" w:hAnsi="Times New Roman" w:cs="Times New Roman"/>
          <w:bCs/>
          <w:color w:val="000000"/>
          <w:sz w:val="24"/>
          <w:szCs w:val="24"/>
        </w:rPr>
        <w:t>Leonard M.O 2012</w:t>
      </w:r>
      <w:r w:rsidRPr="00BE4AF3">
        <w:rPr>
          <w:rFonts w:ascii="Times New Roman" w:hAnsi="Times New Roman" w:cs="Times New Roman"/>
          <w:sz w:val="24"/>
          <w:szCs w:val="24"/>
        </w:rPr>
        <w:t xml:space="preserve"> </w:t>
      </w:r>
      <w:r w:rsidRPr="00BE4AF3">
        <w:rPr>
          <w:rFonts w:ascii="Times New Roman" w:hAnsi="Times New Roman" w:cs="Times New Roman"/>
          <w:bCs/>
          <w:color w:val="000000"/>
          <w:sz w:val="24"/>
          <w:szCs w:val="24"/>
        </w:rPr>
        <w:t xml:space="preserve">A Case Study of Fire, Health and </w:t>
      </w:r>
    </w:p>
    <w:p w14:paraId="2950FC83" w14:textId="77777777" w:rsidR="00A84E96" w:rsidRPr="00BE4AF3" w:rsidRDefault="00A84E96" w:rsidP="00E224AA">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bCs/>
          <w:color w:val="000000"/>
          <w:sz w:val="24"/>
          <w:szCs w:val="24"/>
        </w:rPr>
        <w:t xml:space="preserve">Security Facilities in Rivers State. </w:t>
      </w:r>
      <w:r w:rsidRPr="00BE4AF3">
        <w:rPr>
          <w:rFonts w:ascii="Times New Roman" w:hAnsi="Times New Roman" w:cs="Times New Roman"/>
          <w:bCs/>
          <w:i/>
          <w:iCs/>
          <w:color w:val="000000"/>
          <w:sz w:val="24"/>
          <w:szCs w:val="24"/>
        </w:rPr>
        <w:t>International Journal of Information Systems and Informatics 2(3)</w:t>
      </w:r>
    </w:p>
    <w:p w14:paraId="22F3E903" w14:textId="77777777" w:rsidR="00A84E96" w:rsidRPr="00BE4AF3" w:rsidRDefault="00A84E96" w:rsidP="00E224AA">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Francesco Vito Ronco, Annunziata Fiore, Giovanni Romano, Giovanni Francesco Ricci, </w:t>
      </w:r>
    </w:p>
    <w:p w14:paraId="023ECD25" w14:textId="77777777" w:rsidR="00A84E96" w:rsidRPr="00BE4AF3" w:rsidRDefault="00A84E96" w:rsidP="00E224AA">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rPr>
        <w:t xml:space="preserve">Gabriele Nol`e, Francesco Gentile (2025) Multi-criteria decision analysis for monitoring and evaluating soil erosion risk in forest fire-affected areas. </w:t>
      </w:r>
      <w:r w:rsidRPr="00BE4AF3">
        <w:rPr>
          <w:rFonts w:ascii="Times New Roman" w:hAnsi="Times New Roman" w:cs="Times New Roman"/>
          <w:i/>
          <w:iCs/>
          <w:sz w:val="24"/>
          <w:szCs w:val="24"/>
        </w:rPr>
        <w:t>Journal of Environmental Management</w:t>
      </w:r>
      <w:r w:rsidRPr="00BE4AF3">
        <w:rPr>
          <w:rFonts w:ascii="Times New Roman" w:hAnsi="Times New Roman" w:cs="Times New Roman"/>
          <w:sz w:val="24"/>
          <w:szCs w:val="24"/>
        </w:rPr>
        <w:t xml:space="preserve"> 373 (2025) 123672</w:t>
      </w:r>
    </w:p>
    <w:p w14:paraId="3E50A8A2" w14:textId="77777777" w:rsidR="00A84E96" w:rsidRPr="00BE4AF3" w:rsidRDefault="00A84E96" w:rsidP="00E224AA">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Gayatri Paudel, Kabita Pandey, Puspa Lamsal, Anita Bhattarai, Aayush Bhattarai, Shankar </w:t>
      </w:r>
    </w:p>
    <w:p w14:paraId="37621E6E" w14:textId="77777777" w:rsidR="00A84E96" w:rsidRPr="00BE4AF3" w:rsidRDefault="00A84E96" w:rsidP="00E224AA">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rPr>
        <w:t xml:space="preserve">Tripath (2024) Geospatial forest fire risk assessment and zoning by integrating MaxEnt in Gorkha District, Nepal. </w:t>
      </w:r>
      <w:r w:rsidRPr="00BE4AF3">
        <w:rPr>
          <w:rFonts w:ascii="Times New Roman" w:hAnsi="Times New Roman" w:cs="Times New Roman"/>
          <w:i/>
          <w:iCs/>
          <w:sz w:val="24"/>
          <w:szCs w:val="24"/>
        </w:rPr>
        <w:t>Heliyon</w:t>
      </w:r>
      <w:r w:rsidRPr="00BE4AF3">
        <w:rPr>
          <w:rFonts w:ascii="Times New Roman" w:hAnsi="Times New Roman" w:cs="Times New Roman"/>
          <w:sz w:val="24"/>
          <w:szCs w:val="24"/>
        </w:rPr>
        <w:t xml:space="preserve"> 10 (2024) e31305</w:t>
      </w:r>
    </w:p>
    <w:p w14:paraId="4A3628B1" w14:textId="77777777" w:rsidR="00A84E96" w:rsidRPr="00BE4AF3" w:rsidRDefault="00A84E96" w:rsidP="00E224AA">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Hyun Soo Park, Seol A. Kwon, Muhammad Azam (2024) A study on GIS-based spatial </w:t>
      </w:r>
    </w:p>
    <w:p w14:paraId="1AC3FA20" w14:textId="77777777" w:rsidR="00A84E96" w:rsidRPr="00BE4AF3" w:rsidRDefault="00A84E96" w:rsidP="00E224AA">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rPr>
        <w:t xml:space="preserve">analysis of emergency response for disaster management: Focusing on Seoul. </w:t>
      </w:r>
      <w:r w:rsidRPr="00BE4AF3">
        <w:rPr>
          <w:rFonts w:ascii="Times New Roman" w:hAnsi="Times New Roman" w:cs="Times New Roman"/>
          <w:i/>
          <w:iCs/>
          <w:sz w:val="24"/>
          <w:szCs w:val="24"/>
        </w:rPr>
        <w:t>Heliyon</w:t>
      </w:r>
      <w:r w:rsidRPr="00BE4AF3">
        <w:rPr>
          <w:rFonts w:ascii="Times New Roman" w:hAnsi="Times New Roman" w:cs="Times New Roman"/>
          <w:sz w:val="24"/>
          <w:szCs w:val="24"/>
        </w:rPr>
        <w:t xml:space="preserve"> 10 (2024) e28669</w:t>
      </w:r>
    </w:p>
    <w:p w14:paraId="6B5F5FB6" w14:textId="77777777" w:rsidR="00A84E96" w:rsidRPr="00BE4AF3" w:rsidRDefault="00A84E96" w:rsidP="00E224AA">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Jinxing HU, Zhihan LV, Diping YUAN, Bing HE, Dongmei YAN (2023) Intelligent fire </w:t>
      </w:r>
    </w:p>
    <w:p w14:paraId="44E7AAE6" w14:textId="77777777" w:rsidR="00A84E96" w:rsidRPr="00BE4AF3" w:rsidRDefault="00A84E96" w:rsidP="00E224AA">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rPr>
        <w:t xml:space="preserve">information system based on 3D GIS. </w:t>
      </w:r>
      <w:r w:rsidRPr="00BE4AF3">
        <w:rPr>
          <w:rFonts w:ascii="Times New Roman" w:hAnsi="Times New Roman" w:cs="Times New Roman"/>
          <w:i/>
          <w:iCs/>
          <w:sz w:val="24"/>
          <w:szCs w:val="24"/>
        </w:rPr>
        <w:t>Virtual Reality &amp; Intelligent Hardware</w:t>
      </w:r>
      <w:r w:rsidRPr="00BE4AF3">
        <w:rPr>
          <w:rFonts w:ascii="Times New Roman" w:hAnsi="Times New Roman" w:cs="Times New Roman"/>
          <w:sz w:val="24"/>
          <w:szCs w:val="24"/>
        </w:rPr>
        <w:t xml:space="preserve"> April (2023) Vol. 5 No. 2:93-109</w:t>
      </w:r>
    </w:p>
    <w:p w14:paraId="0694150C" w14:textId="77777777" w:rsidR="00A84E96" w:rsidRPr="00BE4AF3" w:rsidRDefault="00A84E96" w:rsidP="00E224AA">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Katerina Vichova, Martin Hromada, David Rehak (2017) The use of crisis management </w:t>
      </w:r>
    </w:p>
    <w:p w14:paraId="79F81884" w14:textId="77777777" w:rsidR="00A84E96" w:rsidRPr="00BE4AF3" w:rsidRDefault="00A84E96" w:rsidP="00E224AA">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rPr>
        <w:t xml:space="preserve">information systems in rescue operations of Fire Rescue Service of the Czech Republic. </w:t>
      </w:r>
      <w:r w:rsidRPr="00BE4AF3">
        <w:rPr>
          <w:rFonts w:ascii="Times New Roman" w:hAnsi="Times New Roman" w:cs="Times New Roman"/>
          <w:i/>
          <w:iCs/>
          <w:sz w:val="24"/>
          <w:szCs w:val="24"/>
        </w:rPr>
        <w:t xml:space="preserve">Procedia Engineering </w:t>
      </w:r>
      <w:r w:rsidRPr="00BE4AF3">
        <w:rPr>
          <w:rFonts w:ascii="Times New Roman" w:hAnsi="Times New Roman" w:cs="Times New Roman"/>
          <w:sz w:val="24"/>
          <w:szCs w:val="24"/>
        </w:rPr>
        <w:t>192 ( 2017 ) 947 – 952</w:t>
      </w:r>
    </w:p>
    <w:p w14:paraId="3DD171C5" w14:textId="77777777" w:rsidR="00A84E96" w:rsidRPr="00BE4AF3" w:rsidRDefault="00A84E96" w:rsidP="00E224AA">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Ogundele, J.A., Arohunsoro, S.J., Jegede, A.O. &amp; Oni, B.B. (2013). Evaluating the operations </w:t>
      </w:r>
    </w:p>
    <w:p w14:paraId="2706691C" w14:textId="77777777" w:rsidR="00A84E96" w:rsidRPr="00BE4AF3" w:rsidRDefault="00A84E96" w:rsidP="00E224AA">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rPr>
        <w:t>of emergencies and disaster management agencies in Ekiti State, Nigeria.</w:t>
      </w:r>
      <w:r w:rsidRPr="00BE4AF3">
        <w:rPr>
          <w:rFonts w:ascii="Times New Roman" w:hAnsi="Times New Roman" w:cs="Times New Roman"/>
          <w:i/>
          <w:iCs/>
          <w:sz w:val="24"/>
          <w:szCs w:val="24"/>
        </w:rPr>
        <w:t xml:space="preserve"> Journal of Natural Sciences Research,</w:t>
      </w:r>
      <w:r w:rsidRPr="00BE4AF3">
        <w:rPr>
          <w:rFonts w:ascii="Times New Roman" w:hAnsi="Times New Roman" w:cs="Times New Roman"/>
          <w:sz w:val="24"/>
          <w:szCs w:val="24"/>
        </w:rPr>
        <w:t xml:space="preserve"> Volume 3, No.15</w:t>
      </w:r>
    </w:p>
    <w:p w14:paraId="3BFB2925" w14:textId="77777777" w:rsidR="00A84E96" w:rsidRPr="00BE4AF3" w:rsidRDefault="00A84E96" w:rsidP="00E224AA">
      <w:pPr>
        <w:spacing w:after="0" w:line="240" w:lineRule="auto"/>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Oladokun, V. O. &amp; Emmanuel, C. G. (2014). Urban market fire disasters in Nigeria: a damage </w:t>
      </w:r>
    </w:p>
    <w:p w14:paraId="2D663F58" w14:textId="77777777" w:rsidR="00A84E96" w:rsidRPr="00BE4AF3" w:rsidRDefault="00A84E96" w:rsidP="00E224AA">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color w:val="000000"/>
          <w:sz w:val="24"/>
          <w:szCs w:val="24"/>
        </w:rPr>
        <w:t xml:space="preserve">can be minimized based on a Fuzzy Logic Model Approach. </w:t>
      </w:r>
      <w:r w:rsidRPr="00BE4AF3">
        <w:rPr>
          <w:rFonts w:ascii="Times New Roman" w:hAnsi="Times New Roman" w:cs="Times New Roman"/>
          <w:i/>
          <w:iCs/>
          <w:color w:val="000000"/>
          <w:sz w:val="24"/>
          <w:szCs w:val="24"/>
        </w:rPr>
        <w:t>International Journal of Computer Applications. Volume 106, No. 17</w:t>
      </w:r>
    </w:p>
    <w:p w14:paraId="6F8BA35E" w14:textId="7C557A06" w:rsidR="00A84E96" w:rsidRPr="00E224AA" w:rsidRDefault="00A84E96" w:rsidP="00E224AA">
      <w:pPr>
        <w:shd w:val="clear" w:color="auto" w:fill="FFFFFF"/>
        <w:spacing w:after="0" w:line="240" w:lineRule="auto"/>
        <w:ind w:left="709" w:hanging="709"/>
        <w:jc w:val="both"/>
        <w:outlineLvl w:val="0"/>
        <w:rPr>
          <w:rFonts w:ascii="Times New Roman" w:hAnsi="Times New Roman" w:cs="Times New Roman"/>
          <w:color w:val="0563C1" w:themeColor="hyperlink"/>
          <w:sz w:val="24"/>
          <w:szCs w:val="24"/>
          <w:u w:val="single"/>
          <w:shd w:val="clear" w:color="auto" w:fill="FFFFFF"/>
        </w:rPr>
      </w:pPr>
      <w:hyperlink r:id="rId39" w:anchor="con0" w:history="1">
        <w:r w:rsidRPr="00BE4AF3">
          <w:rPr>
            <w:rFonts w:ascii="Times New Roman" w:eastAsia="Times New Roman" w:hAnsi="Times New Roman" w:cs="Times New Roman"/>
            <w:sz w:val="24"/>
            <w:szCs w:val="24"/>
            <w:lang w:eastAsia="en-GB"/>
          </w:rPr>
          <w:t>Safwanah Ni’matullah Binti Mohd Said</w:t>
        </w:r>
      </w:hyperlink>
      <w:r w:rsidRPr="00BE4AF3">
        <w:rPr>
          <w:rFonts w:ascii="Times New Roman" w:eastAsia="Times New Roman" w:hAnsi="Times New Roman" w:cs="Times New Roman"/>
          <w:sz w:val="24"/>
          <w:szCs w:val="24"/>
          <w:lang w:eastAsia="en-GB"/>
        </w:rPr>
        <w:t xml:space="preserve"> </w:t>
      </w:r>
      <w:hyperlink r:id="rId40" w:anchor="con1" w:history="1">
        <w:r w:rsidRPr="00BE4AF3">
          <w:rPr>
            <w:rFonts w:ascii="Times New Roman" w:eastAsia="Times New Roman" w:hAnsi="Times New Roman" w:cs="Times New Roman"/>
            <w:sz w:val="24"/>
            <w:szCs w:val="24"/>
            <w:lang w:eastAsia="en-GB"/>
          </w:rPr>
          <w:t>El-Said Mamdouh Mahmoud Zahran</w:t>
        </w:r>
      </w:hyperlink>
      <w:r w:rsidRPr="00BE4AF3">
        <w:rPr>
          <w:rFonts w:ascii="Times New Roman" w:eastAsia="Times New Roman" w:hAnsi="Times New Roman" w:cs="Times New Roman"/>
          <w:sz w:val="24"/>
          <w:szCs w:val="24"/>
          <w:lang w:eastAsia="en-GB"/>
        </w:rPr>
        <w:t> and </w:t>
      </w:r>
      <w:hyperlink r:id="rId41" w:anchor="con2" w:history="1">
        <w:r w:rsidRPr="00BE4AF3">
          <w:rPr>
            <w:rFonts w:ascii="Times New Roman" w:eastAsia="Times New Roman" w:hAnsi="Times New Roman" w:cs="Times New Roman"/>
            <w:sz w:val="24"/>
            <w:szCs w:val="24"/>
            <w:lang w:eastAsia="en-GB"/>
          </w:rPr>
          <w:t>Shahriar Shams</w:t>
        </w:r>
        <w:r w:rsidRPr="00BE4AF3">
          <w:rPr>
            <w:rFonts w:ascii="Times New Roman" w:eastAsia="Times New Roman" w:hAnsi="Times New Roman" w:cs="Times New Roman"/>
            <w:sz w:val="24"/>
            <w:szCs w:val="24"/>
            <w:vertAlign w:val="superscript"/>
            <w:lang w:eastAsia="en-GB"/>
          </w:rPr>
          <w:t> </w:t>
        </w:r>
      </w:hyperlink>
      <w:r w:rsidRPr="00BE4AF3">
        <w:rPr>
          <w:rFonts w:ascii="Times New Roman" w:eastAsia="Times New Roman" w:hAnsi="Times New Roman" w:cs="Times New Roman"/>
          <w:sz w:val="24"/>
          <w:szCs w:val="24"/>
          <w:lang w:eastAsia="en-GB"/>
        </w:rPr>
        <w:t xml:space="preserve">(2017) </w:t>
      </w:r>
      <w:r w:rsidRPr="00BE4AF3">
        <w:rPr>
          <w:rFonts w:ascii="Times New Roman" w:eastAsia="Times New Roman" w:hAnsi="Times New Roman" w:cs="Times New Roman"/>
          <w:kern w:val="36"/>
          <w:sz w:val="24"/>
          <w:szCs w:val="24"/>
          <w:lang w:eastAsia="en-GB"/>
        </w:rPr>
        <w:t xml:space="preserve">Forest Fire Risk Assessment Using Hotspot </w:t>
      </w:r>
      <w:r w:rsidRPr="00BE4AF3">
        <w:rPr>
          <w:rFonts w:ascii="Times New Roman" w:eastAsia="Times New Roman" w:hAnsi="Times New Roman" w:cs="Times New Roman"/>
          <w:kern w:val="36"/>
          <w:sz w:val="24"/>
          <w:szCs w:val="24"/>
          <w:lang w:eastAsia="en-GB"/>
        </w:rPr>
        <w:lastRenderedPageBreak/>
        <w:t xml:space="preserve">Analysis in GIS. </w:t>
      </w:r>
      <w:r w:rsidRPr="00BE4AF3">
        <w:rPr>
          <w:rFonts w:ascii="Times New Roman" w:eastAsia="Times New Roman" w:hAnsi="Times New Roman" w:cs="Times New Roman"/>
          <w:i/>
          <w:iCs/>
          <w:kern w:val="36"/>
          <w:sz w:val="24"/>
          <w:szCs w:val="24"/>
          <w:lang w:eastAsia="en-GB"/>
        </w:rPr>
        <w:t>The Open Civil Engineering Journal</w:t>
      </w:r>
      <w:r w:rsidRPr="00BE4AF3">
        <w:rPr>
          <w:rFonts w:ascii="Times New Roman" w:hAnsi="Times New Roman" w:cs="Times New Roman"/>
          <w:b/>
          <w:bCs/>
          <w:i/>
          <w:iCs/>
          <w:caps/>
          <w:sz w:val="24"/>
          <w:szCs w:val="24"/>
          <w:shd w:val="clear" w:color="auto" w:fill="FFFFFF"/>
        </w:rPr>
        <w:t> </w:t>
      </w:r>
      <w:hyperlink r:id="rId42" w:history="1">
        <w:r w:rsidRPr="00BE4AF3">
          <w:rPr>
            <w:rStyle w:val="Hyperlink"/>
            <w:rFonts w:ascii="Times New Roman" w:hAnsi="Times New Roman" w:cs="Times New Roman"/>
            <w:sz w:val="24"/>
            <w:szCs w:val="24"/>
            <w:shd w:val="clear" w:color="auto" w:fill="FFFFFF"/>
          </w:rPr>
          <w:t>DOI: 10.2174/1874149501711010786</w:t>
        </w:r>
      </w:hyperlink>
    </w:p>
    <w:p w14:paraId="5B073167" w14:textId="77777777" w:rsidR="00A84E96" w:rsidRPr="00BE4AF3" w:rsidRDefault="00A84E96" w:rsidP="00E224AA">
      <w:pPr>
        <w:pStyle w:val="Heading1"/>
        <w:shd w:val="clear" w:color="auto" w:fill="FFFFFF"/>
        <w:spacing w:before="0" w:line="240" w:lineRule="auto"/>
        <w:jc w:val="both"/>
        <w:rPr>
          <w:rFonts w:ascii="Times New Roman" w:hAnsi="Times New Roman" w:cs="Times New Roman"/>
          <w:b/>
          <w:bCs/>
          <w:color w:val="auto"/>
          <w:sz w:val="24"/>
          <w:szCs w:val="24"/>
        </w:rPr>
      </w:pPr>
      <w:r w:rsidRPr="00BE4AF3">
        <w:rPr>
          <w:rFonts w:ascii="Times New Roman" w:hAnsi="Times New Roman" w:cs="Times New Roman"/>
          <w:color w:val="auto"/>
          <w:sz w:val="24"/>
          <w:szCs w:val="24"/>
          <w:shd w:val="clear" w:color="auto" w:fill="FFFFFF"/>
        </w:rPr>
        <w:t xml:space="preserve">Sicheng Zhu, Dingli Liu, Weijun Liu, Ying Li, Tian Zhou (2024) </w:t>
      </w:r>
      <w:r w:rsidRPr="00BE4AF3">
        <w:rPr>
          <w:rFonts w:ascii="Times New Roman" w:hAnsi="Times New Roman" w:cs="Times New Roman"/>
          <w:color w:val="auto"/>
          <w:sz w:val="24"/>
          <w:szCs w:val="24"/>
        </w:rPr>
        <w:t xml:space="preserve">Models to Simulate Effective </w:t>
      </w:r>
    </w:p>
    <w:p w14:paraId="3DFF17C2" w14:textId="77777777" w:rsidR="00A84E96" w:rsidRPr="00BE4AF3" w:rsidRDefault="00A84E96" w:rsidP="00E224AA">
      <w:pPr>
        <w:pStyle w:val="Heading1"/>
        <w:shd w:val="clear" w:color="auto" w:fill="FFFFFF"/>
        <w:spacing w:before="0" w:line="240" w:lineRule="auto"/>
        <w:ind w:left="720"/>
        <w:jc w:val="both"/>
        <w:rPr>
          <w:rFonts w:ascii="Times New Roman" w:hAnsi="Times New Roman" w:cs="Times New Roman"/>
          <w:b/>
          <w:bCs/>
          <w:color w:val="auto"/>
          <w:sz w:val="24"/>
          <w:szCs w:val="24"/>
        </w:rPr>
      </w:pPr>
      <w:r w:rsidRPr="00BE4AF3">
        <w:rPr>
          <w:rFonts w:ascii="Times New Roman" w:hAnsi="Times New Roman" w:cs="Times New Roman"/>
          <w:color w:val="auto"/>
          <w:sz w:val="24"/>
          <w:szCs w:val="24"/>
        </w:rPr>
        <w:t xml:space="preserve">Coverage of Fire Station Based on Real-Time Travel Times. </w:t>
      </w:r>
      <w:r w:rsidRPr="00BE4AF3">
        <w:rPr>
          <w:rFonts w:ascii="Times New Roman" w:hAnsi="Times New Roman" w:cs="Times New Roman"/>
          <w:i/>
          <w:iCs/>
          <w:color w:val="auto"/>
          <w:sz w:val="24"/>
          <w:szCs w:val="24"/>
          <w:shd w:val="clear" w:color="auto" w:fill="FFFFFF"/>
        </w:rPr>
        <w:t>Computer Modeling in Engineering &amp; Sciences</w:t>
      </w:r>
      <w:r w:rsidRPr="00BE4AF3">
        <w:rPr>
          <w:rFonts w:ascii="Times New Roman" w:hAnsi="Times New Roman" w:cs="Times New Roman"/>
          <w:color w:val="auto"/>
          <w:sz w:val="24"/>
          <w:szCs w:val="24"/>
          <w:shd w:val="clear" w:color="auto" w:fill="FFFFFF"/>
        </w:rPr>
        <w:t>, </w:t>
      </w:r>
      <w:r w:rsidRPr="00BE4AF3">
        <w:rPr>
          <w:rFonts w:ascii="Times New Roman" w:hAnsi="Times New Roman" w:cs="Times New Roman"/>
          <w:i/>
          <w:iCs/>
          <w:color w:val="auto"/>
          <w:sz w:val="24"/>
          <w:szCs w:val="24"/>
          <w:shd w:val="clear" w:color="auto" w:fill="FFFFFF"/>
        </w:rPr>
        <w:t>139</w:t>
      </w:r>
      <w:r w:rsidRPr="00BE4AF3">
        <w:rPr>
          <w:rFonts w:ascii="Times New Roman" w:hAnsi="Times New Roman" w:cs="Times New Roman"/>
          <w:color w:val="auto"/>
          <w:sz w:val="24"/>
          <w:szCs w:val="24"/>
          <w:shd w:val="clear" w:color="auto" w:fill="FFFFFF"/>
        </w:rPr>
        <w:t>(1), 483-513. </w:t>
      </w:r>
      <w:hyperlink r:id="rId43" w:history="1">
        <w:r w:rsidRPr="00BE4AF3">
          <w:rPr>
            <w:rStyle w:val="Hyperlink"/>
            <w:rFonts w:ascii="Times New Roman" w:hAnsi="Times New Roman" w:cs="Times New Roman"/>
            <w:color w:val="auto"/>
            <w:sz w:val="24"/>
            <w:szCs w:val="24"/>
            <w:shd w:val="clear" w:color="auto" w:fill="FFFFFF"/>
          </w:rPr>
          <w:t>https://doi.org/10.32604/cmes.2023.044809</w:t>
        </w:r>
      </w:hyperlink>
    </w:p>
    <w:p w14:paraId="7E3F310F" w14:textId="77777777" w:rsidR="00A84E96" w:rsidRPr="00BE4AF3" w:rsidRDefault="00A84E96" w:rsidP="00E224AA">
      <w:pPr>
        <w:spacing w:after="0" w:line="240" w:lineRule="auto"/>
        <w:jc w:val="both"/>
        <w:rPr>
          <w:rFonts w:ascii="Times New Roman" w:hAnsi="Times New Roman" w:cs="Times New Roman"/>
          <w:bCs/>
          <w:i/>
          <w:color w:val="000000"/>
          <w:sz w:val="24"/>
          <w:szCs w:val="24"/>
        </w:rPr>
      </w:pPr>
      <w:r w:rsidRPr="00BE4AF3">
        <w:rPr>
          <w:rFonts w:ascii="Times New Roman" w:hAnsi="Times New Roman" w:cs="Times New Roman"/>
          <w:bCs/>
          <w:color w:val="000000"/>
          <w:sz w:val="24"/>
          <w:szCs w:val="24"/>
        </w:rPr>
        <w:t>Teshome Yetmgeta 2013</w:t>
      </w:r>
      <w:r w:rsidRPr="00BE4AF3">
        <w:rPr>
          <w:rFonts w:ascii="Times New Roman" w:hAnsi="Times New Roman" w:cs="Times New Roman"/>
          <w:sz w:val="24"/>
          <w:szCs w:val="24"/>
        </w:rPr>
        <w:t xml:space="preserve"> </w:t>
      </w:r>
      <w:r w:rsidRPr="00BE4AF3">
        <w:rPr>
          <w:rFonts w:ascii="Times New Roman" w:hAnsi="Times New Roman" w:cs="Times New Roman"/>
          <w:bCs/>
          <w:i/>
          <w:color w:val="000000"/>
          <w:sz w:val="24"/>
          <w:szCs w:val="24"/>
        </w:rPr>
        <w:t xml:space="preserve">GIS As A Tool For Fire Risk Prevention Data Analyzing And </w:t>
      </w:r>
    </w:p>
    <w:p w14:paraId="594A0682" w14:textId="77777777" w:rsidR="00A84E96" w:rsidRPr="00BE4AF3" w:rsidRDefault="00A84E96" w:rsidP="00E224AA">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bCs/>
          <w:i/>
          <w:color w:val="000000"/>
          <w:sz w:val="24"/>
          <w:szCs w:val="24"/>
        </w:rPr>
        <w:t>Mapping In The Case Of Addis Ababa</w:t>
      </w:r>
      <w:r w:rsidRPr="00BE4AF3">
        <w:rPr>
          <w:rFonts w:ascii="Times New Roman" w:hAnsi="Times New Roman" w:cs="Times New Roman"/>
          <w:bCs/>
          <w:color w:val="000000"/>
          <w:sz w:val="24"/>
          <w:szCs w:val="24"/>
        </w:rPr>
        <w:t xml:space="preserve"> https://www.academia.edu/21511967</w:t>
      </w:r>
    </w:p>
    <w:p w14:paraId="07E87F06" w14:textId="77777777" w:rsidR="00A84E96" w:rsidRPr="00BE4AF3" w:rsidRDefault="00A84E96" w:rsidP="00E224AA">
      <w:pPr>
        <w:shd w:val="clear" w:color="auto" w:fill="FFFFFF"/>
        <w:spacing w:after="0" w:line="240" w:lineRule="auto"/>
        <w:jc w:val="both"/>
        <w:outlineLvl w:val="0"/>
        <w:rPr>
          <w:rFonts w:ascii="Times New Roman" w:hAnsi="Times New Roman" w:cs="Times New Roman"/>
          <w:sz w:val="24"/>
          <w:szCs w:val="24"/>
        </w:rPr>
      </w:pPr>
      <w:r w:rsidRPr="00BE4AF3">
        <w:rPr>
          <w:rFonts w:ascii="Times New Roman" w:hAnsi="Times New Roman" w:cs="Times New Roman"/>
          <w:sz w:val="24"/>
          <w:szCs w:val="24"/>
        </w:rPr>
        <w:t xml:space="preserve">WEI Lai, LI Han-lun, LIU Qi, CHEN Jing-yi, CUI Yi-jiao (2011) Study and implementation </w:t>
      </w:r>
    </w:p>
    <w:p w14:paraId="7D5DBBD4" w14:textId="77777777" w:rsidR="00A84E96" w:rsidRPr="00BE4AF3" w:rsidRDefault="00A84E96" w:rsidP="00E224AA">
      <w:pPr>
        <w:shd w:val="clear" w:color="auto" w:fill="FFFFFF"/>
        <w:spacing w:after="0" w:line="240" w:lineRule="auto"/>
        <w:ind w:firstLine="720"/>
        <w:jc w:val="both"/>
        <w:outlineLvl w:val="0"/>
        <w:rPr>
          <w:rFonts w:ascii="Times New Roman" w:hAnsi="Times New Roman" w:cs="Times New Roman"/>
          <w:sz w:val="24"/>
          <w:szCs w:val="24"/>
        </w:rPr>
      </w:pPr>
      <w:r w:rsidRPr="00BE4AF3">
        <w:rPr>
          <w:rFonts w:ascii="Times New Roman" w:hAnsi="Times New Roman" w:cs="Times New Roman"/>
          <w:sz w:val="24"/>
          <w:szCs w:val="24"/>
        </w:rPr>
        <w:t>of fire sites planning based on GIS and AHP. Procedia Engineering 11 (2011) 486–495</w:t>
      </w:r>
    </w:p>
    <w:p w14:paraId="0FFBAC21" w14:textId="77777777" w:rsidR="00A84E96" w:rsidRPr="00BE4AF3" w:rsidRDefault="00A84E96" w:rsidP="00E224AA">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rPr>
        <w:t>Xia and Anthony (2007). Fire risk analysis of residential buildings based on scenario clusters and its application in fire risk management</w:t>
      </w:r>
      <w:r w:rsidRPr="00BE4AF3">
        <w:rPr>
          <w:rFonts w:ascii="Times New Roman" w:hAnsi="Times New Roman" w:cs="Times New Roman"/>
          <w:i/>
          <w:sz w:val="24"/>
          <w:szCs w:val="24"/>
        </w:rPr>
        <w:t>, Fire Safety Journal</w:t>
      </w:r>
      <w:r w:rsidRPr="00BE4AF3">
        <w:rPr>
          <w:rFonts w:ascii="Times New Roman" w:hAnsi="Times New Roman" w:cs="Times New Roman"/>
          <w:sz w:val="24"/>
          <w:szCs w:val="24"/>
        </w:rPr>
        <w:t>. 62 (2013) 72–78,</w:t>
      </w:r>
      <w:r w:rsidRPr="00BE4AF3">
        <w:rPr>
          <w:rFonts w:ascii="Times New Roman" w:hAnsi="Times New Roman" w:cs="Times New Roman"/>
          <w:sz w:val="24"/>
          <w:szCs w:val="24"/>
        </w:rPr>
        <w:br/>
      </w:r>
      <w:hyperlink r:id="rId44" w:history="1">
        <w:r w:rsidRPr="00BE4AF3">
          <w:rPr>
            <w:rStyle w:val="Hyperlink"/>
            <w:rFonts w:ascii="Times New Roman" w:hAnsi="Times New Roman" w:cs="Times New Roman"/>
            <w:sz w:val="24"/>
            <w:szCs w:val="24"/>
          </w:rPr>
          <w:t>https://doi.org/10.1016/j.firesaf.2013.09.022</w:t>
        </w:r>
      </w:hyperlink>
      <w:r w:rsidRPr="00BE4AF3">
        <w:rPr>
          <w:rFonts w:ascii="Times New Roman" w:hAnsi="Times New Roman" w:cs="Times New Roman"/>
          <w:sz w:val="24"/>
          <w:szCs w:val="24"/>
        </w:rPr>
        <w:t>.</w:t>
      </w:r>
    </w:p>
    <w:p w14:paraId="4507280F" w14:textId="77777777" w:rsidR="00A84E96" w:rsidRPr="00BE4AF3" w:rsidRDefault="00A84E96" w:rsidP="00E224AA">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Xin-ming DONG, Ye LI, Yue-lei PAN,Ya-jun HUANG, Xu-dong CHENG (2018) Study on </w:t>
      </w:r>
    </w:p>
    <w:p w14:paraId="3E989886" w14:textId="77777777" w:rsidR="00A84E96" w:rsidRPr="00BE4AF3" w:rsidRDefault="00A84E96" w:rsidP="00E224AA">
      <w:pPr>
        <w:spacing w:after="0" w:line="240" w:lineRule="auto"/>
        <w:ind w:left="720"/>
        <w:jc w:val="both"/>
        <w:rPr>
          <w:rFonts w:ascii="Times New Roman" w:hAnsi="Times New Roman" w:cs="Times New Roman"/>
          <w:bCs/>
          <w:color w:val="000000"/>
          <w:sz w:val="24"/>
          <w:szCs w:val="24"/>
        </w:rPr>
      </w:pPr>
      <w:r w:rsidRPr="00BE4AF3">
        <w:rPr>
          <w:rFonts w:ascii="Times New Roman" w:hAnsi="Times New Roman" w:cs="Times New Roman"/>
          <w:sz w:val="24"/>
          <w:szCs w:val="24"/>
        </w:rPr>
        <w:t xml:space="preserve">Urban Fire Station Planning based on Fire Risk Assessment and GIS Technology </w:t>
      </w:r>
      <w:r w:rsidRPr="00BE4AF3">
        <w:rPr>
          <w:rFonts w:ascii="Times New Roman" w:hAnsi="Times New Roman" w:cs="Times New Roman"/>
          <w:i/>
          <w:iCs/>
          <w:sz w:val="24"/>
          <w:szCs w:val="24"/>
        </w:rPr>
        <w:t>Procedia Engineering</w:t>
      </w:r>
      <w:r w:rsidRPr="00BE4AF3">
        <w:rPr>
          <w:rFonts w:ascii="Times New Roman" w:hAnsi="Times New Roman" w:cs="Times New Roman"/>
          <w:sz w:val="24"/>
          <w:szCs w:val="24"/>
        </w:rPr>
        <w:t xml:space="preserve"> 211:124-130</w:t>
      </w:r>
    </w:p>
    <w:p w14:paraId="7F2014AF" w14:textId="77777777" w:rsidR="00A84E96" w:rsidRDefault="00A84E96" w:rsidP="00A84E96">
      <w:pPr>
        <w:spacing w:line="240" w:lineRule="auto"/>
        <w:jc w:val="both"/>
        <w:rPr>
          <w:rFonts w:ascii="Times New Roman" w:hAnsi="Times New Roman" w:cs="Times New Roman"/>
          <w:sz w:val="24"/>
          <w:szCs w:val="24"/>
        </w:rPr>
      </w:pPr>
    </w:p>
    <w:p w14:paraId="3F5E1AA4" w14:textId="77777777" w:rsidR="00E224AA" w:rsidRDefault="00E224AA" w:rsidP="00A84E96">
      <w:pPr>
        <w:spacing w:line="240" w:lineRule="auto"/>
        <w:jc w:val="both"/>
        <w:rPr>
          <w:rFonts w:ascii="Times New Roman" w:hAnsi="Times New Roman" w:cs="Times New Roman"/>
          <w:sz w:val="24"/>
          <w:szCs w:val="24"/>
        </w:rPr>
      </w:pPr>
    </w:p>
    <w:p w14:paraId="27620D40" w14:textId="77777777" w:rsidR="00E224AA" w:rsidRDefault="00E224AA" w:rsidP="00A84E96">
      <w:pPr>
        <w:spacing w:line="240" w:lineRule="auto"/>
        <w:jc w:val="both"/>
        <w:rPr>
          <w:rFonts w:ascii="Times New Roman" w:hAnsi="Times New Roman" w:cs="Times New Roman"/>
          <w:sz w:val="24"/>
          <w:szCs w:val="24"/>
        </w:rPr>
      </w:pPr>
    </w:p>
    <w:p w14:paraId="466DAA3D" w14:textId="77777777" w:rsidR="00E224AA" w:rsidRDefault="00E224AA" w:rsidP="00A84E96">
      <w:pPr>
        <w:spacing w:line="240" w:lineRule="auto"/>
        <w:jc w:val="both"/>
        <w:rPr>
          <w:rFonts w:ascii="Times New Roman" w:hAnsi="Times New Roman" w:cs="Times New Roman"/>
          <w:sz w:val="24"/>
          <w:szCs w:val="24"/>
        </w:rPr>
      </w:pPr>
    </w:p>
    <w:p w14:paraId="4EC20D04" w14:textId="77777777" w:rsidR="00E224AA" w:rsidRDefault="00E224AA" w:rsidP="00A84E96">
      <w:pPr>
        <w:spacing w:line="240" w:lineRule="auto"/>
        <w:jc w:val="both"/>
        <w:rPr>
          <w:rFonts w:ascii="Times New Roman" w:hAnsi="Times New Roman" w:cs="Times New Roman"/>
          <w:sz w:val="24"/>
          <w:szCs w:val="24"/>
        </w:rPr>
      </w:pPr>
    </w:p>
    <w:p w14:paraId="3BBA02A4" w14:textId="77777777" w:rsidR="00E224AA" w:rsidRDefault="00E224AA" w:rsidP="00A84E96">
      <w:pPr>
        <w:spacing w:line="240" w:lineRule="auto"/>
        <w:jc w:val="both"/>
        <w:rPr>
          <w:rFonts w:ascii="Times New Roman" w:hAnsi="Times New Roman" w:cs="Times New Roman"/>
          <w:sz w:val="24"/>
          <w:szCs w:val="24"/>
        </w:rPr>
      </w:pPr>
    </w:p>
    <w:p w14:paraId="3D0FBE0B" w14:textId="77777777" w:rsidR="00E224AA" w:rsidRDefault="00E224AA" w:rsidP="00A84E96">
      <w:pPr>
        <w:spacing w:line="240" w:lineRule="auto"/>
        <w:jc w:val="both"/>
        <w:rPr>
          <w:rFonts w:ascii="Times New Roman" w:hAnsi="Times New Roman" w:cs="Times New Roman"/>
          <w:sz w:val="24"/>
          <w:szCs w:val="24"/>
        </w:rPr>
      </w:pPr>
    </w:p>
    <w:p w14:paraId="6788C473" w14:textId="77777777" w:rsidR="00E224AA" w:rsidRDefault="00E224AA" w:rsidP="00A84E96">
      <w:pPr>
        <w:spacing w:line="240" w:lineRule="auto"/>
        <w:jc w:val="both"/>
        <w:rPr>
          <w:rFonts w:ascii="Times New Roman" w:hAnsi="Times New Roman" w:cs="Times New Roman"/>
          <w:sz w:val="24"/>
          <w:szCs w:val="24"/>
        </w:rPr>
      </w:pPr>
    </w:p>
    <w:p w14:paraId="6D0C2FA2" w14:textId="77777777" w:rsidR="00E224AA" w:rsidRDefault="00E224AA" w:rsidP="00A84E96">
      <w:pPr>
        <w:spacing w:line="240" w:lineRule="auto"/>
        <w:jc w:val="both"/>
        <w:rPr>
          <w:rFonts w:ascii="Times New Roman" w:hAnsi="Times New Roman" w:cs="Times New Roman"/>
          <w:sz w:val="24"/>
          <w:szCs w:val="24"/>
        </w:rPr>
      </w:pPr>
    </w:p>
    <w:p w14:paraId="2E7E9BCD" w14:textId="77777777" w:rsidR="00E224AA" w:rsidRDefault="00E224AA" w:rsidP="00A84E96">
      <w:pPr>
        <w:spacing w:line="240" w:lineRule="auto"/>
        <w:jc w:val="both"/>
        <w:rPr>
          <w:rFonts w:ascii="Times New Roman" w:hAnsi="Times New Roman" w:cs="Times New Roman"/>
          <w:sz w:val="24"/>
          <w:szCs w:val="24"/>
        </w:rPr>
      </w:pPr>
    </w:p>
    <w:p w14:paraId="0C78D964" w14:textId="77777777" w:rsidR="00E224AA" w:rsidRDefault="00E224AA" w:rsidP="00A84E96">
      <w:pPr>
        <w:spacing w:line="240" w:lineRule="auto"/>
        <w:jc w:val="both"/>
        <w:rPr>
          <w:rFonts w:ascii="Times New Roman" w:hAnsi="Times New Roman" w:cs="Times New Roman"/>
          <w:sz w:val="24"/>
          <w:szCs w:val="24"/>
        </w:rPr>
      </w:pPr>
    </w:p>
    <w:p w14:paraId="79C48A95" w14:textId="77777777" w:rsidR="00E224AA" w:rsidRDefault="00E224AA" w:rsidP="00A84E96">
      <w:pPr>
        <w:spacing w:line="240" w:lineRule="auto"/>
        <w:jc w:val="both"/>
        <w:rPr>
          <w:rFonts w:ascii="Times New Roman" w:hAnsi="Times New Roman" w:cs="Times New Roman"/>
          <w:sz w:val="24"/>
          <w:szCs w:val="24"/>
        </w:rPr>
      </w:pPr>
    </w:p>
    <w:p w14:paraId="60D00A3E" w14:textId="77777777" w:rsidR="00E224AA" w:rsidRDefault="00E224AA" w:rsidP="00A84E96">
      <w:pPr>
        <w:spacing w:line="240" w:lineRule="auto"/>
        <w:jc w:val="both"/>
        <w:rPr>
          <w:rFonts w:ascii="Times New Roman" w:hAnsi="Times New Roman" w:cs="Times New Roman"/>
          <w:sz w:val="24"/>
          <w:szCs w:val="24"/>
        </w:rPr>
      </w:pPr>
    </w:p>
    <w:p w14:paraId="4E00BAE5" w14:textId="77777777" w:rsidR="00E224AA" w:rsidRDefault="00E224AA" w:rsidP="00A84E96">
      <w:pPr>
        <w:spacing w:line="240" w:lineRule="auto"/>
        <w:jc w:val="both"/>
        <w:rPr>
          <w:rFonts w:ascii="Times New Roman" w:hAnsi="Times New Roman" w:cs="Times New Roman"/>
          <w:sz w:val="24"/>
          <w:szCs w:val="24"/>
        </w:rPr>
      </w:pPr>
    </w:p>
    <w:p w14:paraId="08EF93A9" w14:textId="77777777" w:rsidR="00E224AA" w:rsidRDefault="00E224AA" w:rsidP="00A84E96">
      <w:pPr>
        <w:spacing w:line="240" w:lineRule="auto"/>
        <w:jc w:val="both"/>
        <w:rPr>
          <w:rFonts w:ascii="Times New Roman" w:hAnsi="Times New Roman" w:cs="Times New Roman"/>
          <w:sz w:val="24"/>
          <w:szCs w:val="24"/>
        </w:rPr>
      </w:pPr>
    </w:p>
    <w:p w14:paraId="2DBA733A" w14:textId="77777777" w:rsidR="00E224AA" w:rsidRDefault="00E224AA" w:rsidP="00A84E96">
      <w:pPr>
        <w:spacing w:line="240" w:lineRule="auto"/>
        <w:jc w:val="both"/>
        <w:rPr>
          <w:rFonts w:ascii="Times New Roman" w:hAnsi="Times New Roman" w:cs="Times New Roman"/>
          <w:sz w:val="24"/>
          <w:szCs w:val="24"/>
        </w:rPr>
      </w:pPr>
    </w:p>
    <w:p w14:paraId="7F7C8CCE" w14:textId="77777777" w:rsidR="00E224AA" w:rsidRDefault="00E224AA" w:rsidP="00A84E96">
      <w:pPr>
        <w:spacing w:line="240" w:lineRule="auto"/>
        <w:jc w:val="both"/>
        <w:rPr>
          <w:rFonts w:ascii="Times New Roman" w:hAnsi="Times New Roman" w:cs="Times New Roman"/>
          <w:sz w:val="24"/>
          <w:szCs w:val="24"/>
        </w:rPr>
      </w:pPr>
    </w:p>
    <w:p w14:paraId="7C9A67D3" w14:textId="77777777" w:rsidR="00E224AA" w:rsidRPr="00BE4AF3" w:rsidRDefault="00E224AA" w:rsidP="00A84E96">
      <w:pPr>
        <w:spacing w:line="240" w:lineRule="auto"/>
        <w:jc w:val="both"/>
        <w:rPr>
          <w:rFonts w:ascii="Times New Roman" w:hAnsi="Times New Roman" w:cs="Times New Roman"/>
          <w:sz w:val="24"/>
          <w:szCs w:val="24"/>
        </w:rPr>
      </w:pPr>
    </w:p>
    <w:p w14:paraId="0CC66CC5" w14:textId="77777777" w:rsidR="001B6CC4" w:rsidRPr="001E4F74" w:rsidRDefault="00AE2454" w:rsidP="00E90BB6">
      <w:pPr>
        <w:spacing w:after="0" w:line="240" w:lineRule="auto"/>
        <w:jc w:val="center"/>
        <w:rPr>
          <w:rFonts w:ascii="Times New Roman" w:eastAsia="Times New Roman" w:hAnsi="Times New Roman" w:cs="Times New Roman"/>
          <w:b/>
          <w:sz w:val="28"/>
          <w:szCs w:val="28"/>
        </w:rPr>
      </w:pPr>
      <w:r w:rsidRPr="001E4F74">
        <w:rPr>
          <w:rFonts w:ascii="Times New Roman" w:eastAsia="Times New Roman" w:hAnsi="Times New Roman" w:cs="Times New Roman"/>
          <w:b/>
          <w:sz w:val="28"/>
          <w:szCs w:val="28"/>
        </w:rPr>
        <w:lastRenderedPageBreak/>
        <w:t>Evaluating the Architectural Challenges Affecting Public Housing Delivery in Port Harcourt, Nigeria</w:t>
      </w:r>
    </w:p>
    <w:p w14:paraId="33478A53" w14:textId="77777777" w:rsidR="00E90BB6" w:rsidRPr="00BE4AF3" w:rsidRDefault="00E90BB6" w:rsidP="00E90BB6">
      <w:pPr>
        <w:spacing w:after="0" w:line="240" w:lineRule="auto"/>
        <w:ind w:left="1440" w:firstLine="720"/>
        <w:jc w:val="both"/>
        <w:outlineLvl w:val="1"/>
        <w:rPr>
          <w:rFonts w:ascii="Times New Roman" w:hAnsi="Times New Roman" w:cs="Times New Roman"/>
          <w:b/>
          <w:sz w:val="24"/>
          <w:szCs w:val="24"/>
        </w:rPr>
      </w:pPr>
    </w:p>
    <w:p w14:paraId="5A9253F0" w14:textId="77777777" w:rsidR="001B6CC4" w:rsidRPr="00BE4AF3" w:rsidRDefault="001B6CC4" w:rsidP="00AE2454">
      <w:pPr>
        <w:spacing w:after="0" w:line="240" w:lineRule="auto"/>
        <w:jc w:val="center"/>
        <w:outlineLvl w:val="1"/>
        <w:rPr>
          <w:rFonts w:ascii="Times New Roman" w:hAnsi="Times New Roman" w:cs="Times New Roman"/>
          <w:sz w:val="24"/>
          <w:szCs w:val="24"/>
          <w:vertAlign w:val="superscript"/>
        </w:rPr>
      </w:pPr>
      <w:r w:rsidRPr="00BE4AF3">
        <w:rPr>
          <w:rFonts w:ascii="Times New Roman" w:hAnsi="Times New Roman" w:cs="Times New Roman"/>
          <w:sz w:val="24"/>
          <w:szCs w:val="24"/>
        </w:rPr>
        <w:t>*Dimkpa, K</w:t>
      </w:r>
      <w:r w:rsidRPr="00BE4AF3">
        <w:rPr>
          <w:rFonts w:ascii="Times New Roman" w:hAnsi="Times New Roman" w:cs="Times New Roman"/>
          <w:sz w:val="24"/>
          <w:szCs w:val="24"/>
          <w:vertAlign w:val="superscript"/>
        </w:rPr>
        <w:t>1</w:t>
      </w:r>
      <w:r w:rsidRPr="00BE4AF3">
        <w:rPr>
          <w:rFonts w:ascii="Times New Roman" w:hAnsi="Times New Roman" w:cs="Times New Roman"/>
          <w:sz w:val="24"/>
          <w:szCs w:val="24"/>
        </w:rPr>
        <w:t>; and Abraham, P</w:t>
      </w:r>
      <w:r w:rsidRPr="00BE4AF3">
        <w:rPr>
          <w:rFonts w:ascii="Times New Roman" w:hAnsi="Times New Roman" w:cs="Times New Roman"/>
          <w:sz w:val="24"/>
          <w:szCs w:val="24"/>
          <w:vertAlign w:val="superscript"/>
        </w:rPr>
        <w:t>1</w:t>
      </w:r>
    </w:p>
    <w:p w14:paraId="3AAB0A76" w14:textId="77777777" w:rsidR="00E90BB6" w:rsidRPr="00BE4AF3" w:rsidRDefault="00E90BB6" w:rsidP="00AE2454">
      <w:pPr>
        <w:spacing w:after="0" w:line="240" w:lineRule="auto"/>
        <w:ind w:left="1440" w:firstLine="720"/>
        <w:jc w:val="center"/>
        <w:outlineLvl w:val="1"/>
        <w:rPr>
          <w:rFonts w:ascii="Times New Roman" w:hAnsi="Times New Roman" w:cs="Times New Roman"/>
          <w:sz w:val="24"/>
          <w:szCs w:val="24"/>
          <w:vertAlign w:val="superscript"/>
        </w:rPr>
      </w:pPr>
    </w:p>
    <w:p w14:paraId="4EBD1666" w14:textId="77777777" w:rsidR="001B6CC4" w:rsidRPr="001E4F74" w:rsidRDefault="001B6CC4" w:rsidP="001E4F74">
      <w:pPr>
        <w:spacing w:after="0" w:line="240" w:lineRule="auto"/>
        <w:ind w:left="360"/>
        <w:jc w:val="center"/>
        <w:outlineLvl w:val="1"/>
        <w:rPr>
          <w:rFonts w:ascii="Times New Roman" w:hAnsi="Times New Roman" w:cs="Times New Roman"/>
          <w:sz w:val="20"/>
          <w:szCs w:val="20"/>
        </w:rPr>
      </w:pPr>
      <w:r w:rsidRPr="001E4F74">
        <w:rPr>
          <w:rFonts w:ascii="Times New Roman" w:hAnsi="Times New Roman" w:cs="Times New Roman"/>
          <w:sz w:val="20"/>
          <w:szCs w:val="20"/>
        </w:rPr>
        <w:t>Department of Architecture, Faculty of Environmental Science, Rivers State University, Port Harcourt, Nigeria.</w:t>
      </w:r>
    </w:p>
    <w:p w14:paraId="47113679" w14:textId="77777777" w:rsidR="00E90BB6" w:rsidRPr="001E4F74" w:rsidRDefault="00E90BB6" w:rsidP="00AE2454">
      <w:pPr>
        <w:spacing w:after="0" w:line="240" w:lineRule="auto"/>
        <w:jc w:val="center"/>
        <w:rPr>
          <w:rFonts w:ascii="Times New Roman" w:hAnsi="Times New Roman" w:cs="Times New Roman"/>
          <w:sz w:val="20"/>
          <w:szCs w:val="20"/>
        </w:rPr>
      </w:pPr>
    </w:p>
    <w:p w14:paraId="7A639D9D" w14:textId="77777777" w:rsidR="001B6CC4" w:rsidRPr="001E4F74" w:rsidRDefault="001B6CC4" w:rsidP="00AE2454">
      <w:pPr>
        <w:spacing w:after="0" w:line="240" w:lineRule="auto"/>
        <w:jc w:val="center"/>
        <w:rPr>
          <w:rFonts w:ascii="Times New Roman" w:eastAsia="Times New Roman" w:hAnsi="Times New Roman" w:cs="Times New Roman"/>
          <w:sz w:val="20"/>
          <w:szCs w:val="20"/>
        </w:rPr>
      </w:pPr>
      <w:r w:rsidRPr="001E4F74">
        <w:rPr>
          <w:rFonts w:ascii="Times New Roman" w:hAnsi="Times New Roman" w:cs="Times New Roman"/>
          <w:sz w:val="20"/>
          <w:szCs w:val="20"/>
        </w:rPr>
        <w:t xml:space="preserve">Correspondence: </w:t>
      </w:r>
      <w:hyperlink r:id="rId45" w:history="1">
        <w:r w:rsidRPr="001E4F74">
          <w:rPr>
            <w:rStyle w:val="Hyperlink"/>
            <w:rFonts w:ascii="Times New Roman" w:hAnsi="Times New Roman" w:cs="Times New Roman"/>
            <w:color w:val="auto"/>
            <w:sz w:val="20"/>
            <w:szCs w:val="20"/>
            <w:u w:val="none"/>
          </w:rPr>
          <w:t>chidimma.azike@ust.edu.ng</w:t>
        </w:r>
      </w:hyperlink>
      <w:r w:rsidRPr="001E4F74">
        <w:rPr>
          <w:rFonts w:ascii="Times New Roman" w:hAnsi="Times New Roman" w:cs="Times New Roman"/>
          <w:sz w:val="20"/>
          <w:szCs w:val="20"/>
        </w:rPr>
        <w:t xml:space="preserve">, </w:t>
      </w:r>
      <w:hyperlink r:id="rId46" w:history="1">
        <w:r w:rsidRPr="001E4F74">
          <w:rPr>
            <w:rStyle w:val="Hyperlink"/>
            <w:rFonts w:ascii="Times New Roman" w:hAnsi="Times New Roman" w:cs="Times New Roman"/>
            <w:color w:val="auto"/>
            <w:sz w:val="20"/>
            <w:szCs w:val="20"/>
            <w:u w:val="none"/>
          </w:rPr>
          <w:t>kelechukwu.dimkpa@ust.edu.ng</w:t>
        </w:r>
      </w:hyperlink>
    </w:p>
    <w:p w14:paraId="5AA2922F" w14:textId="77777777" w:rsidR="00E90BB6" w:rsidRPr="001E4F74" w:rsidRDefault="00E90BB6" w:rsidP="00E90BB6">
      <w:pPr>
        <w:pStyle w:val="Heading2"/>
        <w:spacing w:before="0" w:line="240" w:lineRule="auto"/>
        <w:rPr>
          <w:rFonts w:ascii="Times New Roman" w:hAnsi="Times New Roman" w:cs="Times New Roman"/>
          <w:color w:val="auto"/>
          <w:sz w:val="20"/>
          <w:szCs w:val="20"/>
        </w:rPr>
      </w:pPr>
      <w:bookmarkStart w:id="19" w:name="_heading=h.51ui9j5v869s" w:colFirst="0" w:colLast="0"/>
      <w:bookmarkEnd w:id="19"/>
    </w:p>
    <w:p w14:paraId="29CF028C" w14:textId="77777777" w:rsidR="001B6CC4" w:rsidRPr="00BE4AF3" w:rsidRDefault="001B6CC4" w:rsidP="00E90BB6">
      <w:pPr>
        <w:pStyle w:val="Heading2"/>
        <w:spacing w:before="0" w:line="240" w:lineRule="auto"/>
        <w:rPr>
          <w:rFonts w:ascii="Times New Roman" w:hAnsi="Times New Roman" w:cs="Times New Roman"/>
          <w:color w:val="auto"/>
          <w:sz w:val="24"/>
          <w:szCs w:val="24"/>
        </w:rPr>
      </w:pPr>
      <w:r w:rsidRPr="00BE4AF3">
        <w:rPr>
          <w:rFonts w:ascii="Times New Roman" w:hAnsi="Times New Roman" w:cs="Times New Roman"/>
          <w:color w:val="auto"/>
          <w:sz w:val="24"/>
          <w:szCs w:val="24"/>
        </w:rPr>
        <w:t>LICFES 2025-022 – FP3</w:t>
      </w:r>
    </w:p>
    <w:p w14:paraId="05A176CD" w14:textId="77777777" w:rsidR="001B6CC4" w:rsidRPr="00BE4AF3" w:rsidRDefault="001B6CC4" w:rsidP="00E90BB6">
      <w:pPr>
        <w:pStyle w:val="Heading2"/>
        <w:spacing w:before="0" w:line="240" w:lineRule="auto"/>
        <w:rPr>
          <w:rFonts w:ascii="Times New Roman" w:hAnsi="Times New Roman" w:cs="Times New Roman"/>
          <w:color w:val="auto"/>
          <w:sz w:val="24"/>
          <w:szCs w:val="24"/>
        </w:rPr>
      </w:pPr>
      <w:r w:rsidRPr="00BE4AF3">
        <w:rPr>
          <w:rFonts w:ascii="Times New Roman" w:hAnsi="Times New Roman" w:cs="Times New Roman"/>
          <w:color w:val="auto"/>
          <w:sz w:val="24"/>
          <w:szCs w:val="24"/>
        </w:rPr>
        <w:t>Abstract</w:t>
      </w:r>
    </w:p>
    <w:p w14:paraId="1E5743F5" w14:textId="77777777" w:rsidR="001B6CC4" w:rsidRPr="00BE4AF3" w:rsidRDefault="001B6CC4" w:rsidP="00E90BB6">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This study investigated the architectural challenges affecting public housing delivery and their impact on residents' satisfaction in Port Harcourt, Nigeria. The research aimed to examine the relationships between socio-demographic variables, building attributes, residential environment attributes, and the family life cycle stage with housing satisfaction. Employing a mixed-methods approach, the study utilized a descriptive and correlational quantitative design with a sample of 120 residents from selected public housing estates, and a qualitative case study design involving semi-structured interviews with 16 residents and government stakeholders. Quantitative data were analyzed using descriptive and inferential statistics (correlation and regression), while qualitative data underwent thematic content analysis. Findings revealed that marital status, age, income level, number of occupants, building attributes, and residential environment significantly correlated with housing satisfaction. Specifically, better-rated building and environmental attributes were associated with higher satisfaction, while policy and allocation processes were major sources of dissatisfaction. The study concludes that enhancing building design, improving residential environments, ensuring equitable housing policies, and considering socio-demographic variations are crucial for improving public housing delivery and resident satisfaction in Port Harcourt. Recommendations include policy reforms focusing on resident involvement in design and allocation, and improved maintenance mechanisms.</w:t>
      </w:r>
    </w:p>
    <w:p w14:paraId="14D6CB4C" w14:textId="77777777" w:rsidR="00E90BB6" w:rsidRPr="00BE4AF3" w:rsidRDefault="00E90BB6" w:rsidP="00E90BB6">
      <w:pPr>
        <w:spacing w:after="0" w:line="240" w:lineRule="auto"/>
        <w:rPr>
          <w:rFonts w:ascii="Times New Roman" w:eastAsia="Times New Roman" w:hAnsi="Times New Roman" w:cs="Times New Roman"/>
          <w:b/>
          <w:sz w:val="24"/>
          <w:szCs w:val="24"/>
        </w:rPr>
      </w:pPr>
    </w:p>
    <w:p w14:paraId="0F41EC6B" w14:textId="77777777" w:rsidR="001B6CC4" w:rsidRPr="00BE4AF3" w:rsidRDefault="001B6CC4" w:rsidP="00AE2454">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b/>
          <w:sz w:val="24"/>
          <w:szCs w:val="24"/>
        </w:rPr>
        <w:t>Keywords:</w:t>
      </w:r>
      <w:r w:rsidRPr="00BE4AF3">
        <w:rPr>
          <w:rFonts w:ascii="Times New Roman" w:eastAsia="Times New Roman" w:hAnsi="Times New Roman" w:cs="Times New Roman"/>
          <w:sz w:val="24"/>
          <w:szCs w:val="24"/>
        </w:rPr>
        <w:t xml:space="preserve"> Public Housing, Housing Satisfaction, Architectural Challenges, Socio-demographics, Residential Environment, Nigeria.</w:t>
      </w:r>
    </w:p>
    <w:p w14:paraId="6F17751F" w14:textId="77777777" w:rsidR="001B6CC4" w:rsidRPr="00BE4AF3" w:rsidRDefault="001B6CC4" w:rsidP="00E90BB6">
      <w:pPr>
        <w:spacing w:after="0" w:line="240" w:lineRule="auto"/>
        <w:rPr>
          <w:rFonts w:ascii="Times New Roman" w:eastAsia="Times New Roman" w:hAnsi="Times New Roman" w:cs="Times New Roman"/>
          <w:sz w:val="24"/>
          <w:szCs w:val="24"/>
        </w:rPr>
      </w:pPr>
    </w:p>
    <w:p w14:paraId="71F52590" w14:textId="77777777" w:rsidR="00A84E96" w:rsidRPr="00BE4AF3" w:rsidRDefault="00A84E96" w:rsidP="002370CA">
      <w:pPr>
        <w:spacing w:after="0" w:line="240" w:lineRule="auto"/>
        <w:jc w:val="both"/>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Introduction</w:t>
      </w:r>
    </w:p>
    <w:p w14:paraId="64AEF687" w14:textId="77777777" w:rsidR="00A84E96" w:rsidRPr="00BE4AF3" w:rsidRDefault="00A84E96" w:rsidP="002370CA">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Public housing delivery remains a significant challenge in many developing countries, including Nigeria. In urban centers such as Port Harcourt, the rapid increase in population and urban migration has led to a persistent housing deficit, resulting in overcrowded settlements and substandard living conditions (Ibem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xml:space="preserve">., 2015). As the economic hub of the oil-rich Niger Delta region, Port Harcourt has witnessed considerable infrastructural development. However, the expansion of public housing to meet the needs of the growing population has been inadequate, exacerbated by architectural and socio-economic challenges (Dimuna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2019). This study seeks to investigate the architectural challenges impeding public housing delivery in Port Harcourt, with a particular focus on socio-demographic factors, building attributes, residential environment, and family life cycle stages.</w:t>
      </w:r>
    </w:p>
    <w:p w14:paraId="27348491" w14:textId="77777777" w:rsidR="00A84E96" w:rsidRPr="00BE4AF3" w:rsidRDefault="00A84E96" w:rsidP="002370CA">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Existing research on public housing delivery in Nigeria has often focused on economic and policy aspects while overlooking the architectural factors that significantly influence housing satisfaction. For instance, Jiburum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xml:space="preserve">. (2021) argue that inadequate architectural planning and poor maintenance culture are among the core reasons for the deteriorating state of public housing. </w:t>
      </w:r>
      <w:r w:rsidRPr="00BE4AF3">
        <w:rPr>
          <w:rFonts w:ascii="Times New Roman" w:eastAsia="Times New Roman" w:hAnsi="Times New Roman" w:cs="Times New Roman"/>
          <w:sz w:val="24"/>
          <w:szCs w:val="24"/>
        </w:rPr>
        <w:lastRenderedPageBreak/>
        <w:t xml:space="preserve">However, the relationship between architectural elements and housing satisfaction has received limited attention. Similarly, research by Dimuna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(2019) highlight the importance of socio-demographic variables in housing choice, yet the specific link between these variables and housing satisfaction within public housing projects in Port Harcourt remains underexplored.</w:t>
      </w:r>
    </w:p>
    <w:p w14:paraId="24CE7B41" w14:textId="77777777" w:rsidR="00A84E96" w:rsidRPr="00BE4AF3" w:rsidRDefault="00A84E96" w:rsidP="002370CA">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The relevance of this study is rooted in addressing the current gap in the literature concerning architectural determinants of housing satisfaction. Public housing in Port Harcourt often suffers from poor architectural design, inadequate space utilization, and substandard building materials, which compromise habitability and sustainability (Ibem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2015). By examining architectural challenges from a holistic perspective, this research aims to provide evidence-based recommendations for enhancing housing quality and occupant satisfaction.</w:t>
      </w:r>
    </w:p>
    <w:p w14:paraId="205B3885" w14:textId="77777777" w:rsidR="00A84E96" w:rsidRPr="00BE4AF3" w:rsidRDefault="00A84E96" w:rsidP="002370CA">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One of the critical issues to address is the role of socio-demographic variables, including age, income, education, and occupation, in shaping residents’ perceptions of housing satisfaction. As previous studies have predominantly addressed these factors independently of architectural considerations, this research intends to bridge that gap by examining how these socio-demographic variables interact with building attributes to influence overall satisfaction (Grimes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2024). The findings are expected to offer insights into how public housing can be more inclusively designed to meet the diverse needs of urban residents.</w:t>
      </w:r>
    </w:p>
    <w:p w14:paraId="6693F9DD" w14:textId="77777777" w:rsidR="00A84E96" w:rsidRPr="00BE4AF3" w:rsidRDefault="00A84E96" w:rsidP="002370CA">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Furthermore, this study will investigate how residents rate specific attributes of their buildings and residential environments. Past research often highlights factors such as structural stability, ventilation, and aesthetics without considering how these attributes are perceived by the occupants (Jiburum et al., 2021). Understanding the subjective evaluation of building features can inform more resident-centered architectural planning, particularly in public housing schemes designed to accommodate diverse populations.</w:t>
      </w:r>
    </w:p>
    <w:p w14:paraId="55E5924A" w14:textId="77777777" w:rsidR="00A84E96" w:rsidRPr="00BE4AF3" w:rsidRDefault="00A84E96" w:rsidP="002370CA">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The primary objective of this study is to examine the architectural challenges affecting public housing delivery in Port Harcourt, Nigeria. Specifically, the study aims to examine the relationship between socio-demographic variables (age, income, education, occupation) and housing satisfaction among residents of public housing in Port Harcourt; identify the relationship between the rating of building attributes (such as structural quality, ventilation, aesthetics, and space utilization) and housing satisfaction in public housing schemes; determine the relationship between the rating of residential environment attributes (such as accessibility, safety, and community facilities) and housing satisfaction among public housing residents; and ascertain the relationship between the stage in the family life cycle (e.g., young couples, families with children, elderly households) and housing satisfaction within public housing developments. </w:t>
      </w:r>
    </w:p>
    <w:p w14:paraId="2B5B3002" w14:textId="77777777" w:rsidR="002370CA" w:rsidRDefault="002370CA" w:rsidP="002370CA">
      <w:pPr>
        <w:shd w:val="clear" w:color="auto" w:fill="FFFFFF"/>
        <w:spacing w:after="0" w:line="240" w:lineRule="auto"/>
        <w:rPr>
          <w:rFonts w:ascii="Times New Roman" w:eastAsia="Times New Roman" w:hAnsi="Times New Roman" w:cs="Times New Roman"/>
          <w:b/>
          <w:sz w:val="24"/>
          <w:szCs w:val="24"/>
        </w:rPr>
      </w:pPr>
    </w:p>
    <w:p w14:paraId="6329F626" w14:textId="159FB7CF" w:rsidR="00A84E96" w:rsidRPr="00BE4AF3" w:rsidRDefault="00A84E96" w:rsidP="002370CA">
      <w:pPr>
        <w:shd w:val="clear" w:color="auto" w:fill="FFFFFF"/>
        <w:spacing w:after="0" w:line="240" w:lineRule="auto"/>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Materials and Methods</w:t>
      </w:r>
    </w:p>
    <w:p w14:paraId="5BD504C4" w14:textId="77777777" w:rsidR="00A84E96" w:rsidRPr="00BE4AF3" w:rsidRDefault="00A84E96" w:rsidP="00473646">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This study employed a mixed-methods approach, integrating quantitative and qualitative designs, to explore the factors influencing residential satisfaction in government housing estates in Port Harcourt, River State. The quantitative component used a descriptive correlational design to examine the relationships between housing variables and satisfaction levels. A structured questionnaire, based on a 5-point Likert scale (Strongly Agree = 5 to Strongly Disagree = 1), was administered to measure residents’ perceptions and experiences. The qualitative component adopted a case study design, using Key Informant Interviews (KIIs) and In-Depth Interviews (IDIs) to obtain detailed, context-specific insights.</w:t>
      </w:r>
    </w:p>
    <w:p w14:paraId="1624C1CD" w14:textId="77777777" w:rsidR="00A84E96" w:rsidRPr="00BE4AF3" w:rsidRDefault="00A84E96" w:rsidP="002370CA">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The target population comprised residents of low-, medium-, and high-income government housing estates in the city. From the identified 875 housing units across estates such as Aggrey Housing Estate, Ndoki Housing Estate, Marine Base, Lagos Street Government Quarters, Khana </w:t>
      </w:r>
      <w:r w:rsidRPr="00BE4AF3">
        <w:rPr>
          <w:rFonts w:ascii="Times New Roman" w:eastAsia="Times New Roman" w:hAnsi="Times New Roman" w:cs="Times New Roman"/>
          <w:sz w:val="24"/>
          <w:szCs w:val="24"/>
        </w:rPr>
        <w:lastRenderedPageBreak/>
        <w:t>Street Housing Estate, Benin-Uyo Street Housing Estate, Elekahia Housing Estate, and Abuloma Housing Estates Phases I and II, three estates were purposively selected for an in-depth study: Marine Base Residential Layout (low-income), Aggrey Housing Estate (medium-income), and Elekahia Housing Estate (high-income). Random sampling within each estate yielded 40 residents at each site (120 respondents). For the qualitative phase, four residents from each estate and four government agency representatives were purposively selected, bringing the total sample size to 136 participants. This sampling ensured socioeconomic diversity and enriched the data.</w:t>
      </w:r>
    </w:p>
    <w:p w14:paraId="1B2B8CD9" w14:textId="77777777" w:rsidR="00A84E96" w:rsidRPr="00BE4AF3" w:rsidRDefault="00A84E96" w:rsidP="002370CA">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Quantitative data were collected using structured questionnaires to assess housing conditions, affordability, structural features, environmental quality, and service delivery. Qualitative data were obtained from semi-structured, face-to-face interviews, which were recorded and transcribed with participants’ consent. Architectural design software was used to simulate residential satisfaction in relation to measurable building features, such as window size, orientation, ventilation, and structural integrity. These simulations were used to compare and validate subjective responses against objective design parameters.</w:t>
      </w:r>
    </w:p>
    <w:p w14:paraId="0AE8D037" w14:textId="77777777" w:rsidR="002370CA" w:rsidRDefault="002370CA" w:rsidP="002370CA">
      <w:pPr>
        <w:spacing w:after="0" w:line="240" w:lineRule="auto"/>
        <w:rPr>
          <w:rFonts w:ascii="Times New Roman" w:eastAsia="Times New Roman" w:hAnsi="Times New Roman" w:cs="Times New Roman"/>
          <w:b/>
          <w:sz w:val="24"/>
          <w:szCs w:val="24"/>
        </w:rPr>
      </w:pPr>
    </w:p>
    <w:p w14:paraId="70C71D39" w14:textId="644D775B" w:rsidR="00A84E96" w:rsidRPr="00BE4AF3" w:rsidRDefault="00A84E96" w:rsidP="002370CA">
      <w:pPr>
        <w:spacing w:after="0" w:line="240" w:lineRule="auto"/>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Results and Discussion</w:t>
      </w:r>
    </w:p>
    <w:p w14:paraId="21B8FCFC" w14:textId="77777777" w:rsidR="00A84E96" w:rsidRPr="00BE4AF3" w:rsidRDefault="00A84E96" w:rsidP="002370CA">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Data analysis involved the use of descriptive statistics (mean, frequency, and standard deviation) and inferential statistics (correlation and regression analysis) to interpret quantitative data, processed using SPSS software. </w:t>
      </w:r>
    </w:p>
    <w:p w14:paraId="50CE0AF7" w14:textId="77777777" w:rsidR="00A84E96" w:rsidRPr="00BE4AF3" w:rsidRDefault="00A84E96" w:rsidP="002370CA">
      <w:pPr>
        <w:spacing w:after="0" w:line="240" w:lineRule="auto"/>
        <w:ind w:left="108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Y</w:t>
      </w:r>
      <w:r w:rsidRPr="00BE4AF3">
        <w:rPr>
          <w:rFonts w:ascii="Times New Roman" w:eastAsia="Times New Roman" w:hAnsi="Times New Roman" w:cs="Times New Roman"/>
          <w:sz w:val="24"/>
          <w:szCs w:val="24"/>
          <w:vertAlign w:val="subscript"/>
        </w:rPr>
        <w:t>ij…n</w:t>
      </w:r>
      <w:r w:rsidRPr="00BE4AF3">
        <w:rPr>
          <w:rFonts w:ascii="Times New Roman" w:eastAsia="Times New Roman" w:hAnsi="Times New Roman" w:cs="Times New Roman"/>
          <w:sz w:val="24"/>
          <w:szCs w:val="24"/>
        </w:rPr>
        <w:t xml:space="preserve">  =     Ŷ + a</w:t>
      </w:r>
      <w:r w:rsidRPr="00BE4AF3">
        <w:rPr>
          <w:rFonts w:ascii="Times New Roman" w:eastAsia="Times New Roman" w:hAnsi="Times New Roman" w:cs="Times New Roman"/>
          <w:sz w:val="24"/>
          <w:szCs w:val="24"/>
          <w:vertAlign w:val="subscript"/>
        </w:rPr>
        <w:t>i</w:t>
      </w:r>
      <w:r w:rsidRPr="00BE4AF3">
        <w:rPr>
          <w:rFonts w:ascii="Times New Roman" w:eastAsia="Times New Roman" w:hAnsi="Times New Roman" w:cs="Times New Roman"/>
          <w:sz w:val="24"/>
          <w:szCs w:val="24"/>
        </w:rPr>
        <w:t xml:space="preserve"> + b</w:t>
      </w:r>
      <w:r w:rsidRPr="00BE4AF3">
        <w:rPr>
          <w:rFonts w:ascii="Times New Roman" w:eastAsia="Times New Roman" w:hAnsi="Times New Roman" w:cs="Times New Roman"/>
          <w:sz w:val="24"/>
          <w:szCs w:val="24"/>
          <w:vertAlign w:val="subscript"/>
        </w:rPr>
        <w:t>j</w:t>
      </w:r>
      <w:r w:rsidRPr="00BE4AF3">
        <w:rPr>
          <w:rFonts w:ascii="Times New Roman" w:eastAsia="Times New Roman" w:hAnsi="Times New Roman" w:cs="Times New Roman"/>
          <w:sz w:val="24"/>
          <w:szCs w:val="24"/>
        </w:rPr>
        <w:t xml:space="preserve"> +c</w:t>
      </w:r>
      <w:r w:rsidRPr="00BE4AF3">
        <w:rPr>
          <w:rFonts w:ascii="Times New Roman" w:eastAsia="Times New Roman" w:hAnsi="Times New Roman" w:cs="Times New Roman"/>
          <w:sz w:val="24"/>
          <w:szCs w:val="24"/>
          <w:vertAlign w:val="subscript"/>
        </w:rPr>
        <w:t>k</w:t>
      </w:r>
      <w:r w:rsidRPr="00BE4AF3">
        <w:rPr>
          <w:rFonts w:ascii="Times New Roman" w:eastAsia="Times New Roman" w:hAnsi="Times New Roman" w:cs="Times New Roman"/>
          <w:sz w:val="24"/>
          <w:szCs w:val="24"/>
        </w:rPr>
        <w:t xml:space="preserve"> + d</w:t>
      </w:r>
      <w:r w:rsidRPr="00BE4AF3">
        <w:rPr>
          <w:rFonts w:ascii="Times New Roman" w:eastAsia="Times New Roman" w:hAnsi="Times New Roman" w:cs="Times New Roman"/>
          <w:sz w:val="24"/>
          <w:szCs w:val="24"/>
          <w:vertAlign w:val="subscript"/>
        </w:rPr>
        <w:t>l</w:t>
      </w:r>
      <w:r w:rsidRPr="00BE4AF3">
        <w:rPr>
          <w:rFonts w:ascii="Times New Roman" w:eastAsia="Times New Roman" w:hAnsi="Times New Roman" w:cs="Times New Roman"/>
          <w:sz w:val="24"/>
          <w:szCs w:val="24"/>
        </w:rPr>
        <w:t>… + e</w:t>
      </w:r>
      <w:r w:rsidRPr="00BE4AF3">
        <w:rPr>
          <w:rFonts w:ascii="Times New Roman" w:eastAsia="Times New Roman" w:hAnsi="Times New Roman" w:cs="Times New Roman"/>
          <w:sz w:val="24"/>
          <w:szCs w:val="24"/>
          <w:vertAlign w:val="subscript"/>
        </w:rPr>
        <w:t>ij…n</w:t>
      </w:r>
      <w:r w:rsidRPr="00BE4AF3">
        <w:rPr>
          <w:rFonts w:ascii="Times New Roman" w:eastAsia="Times New Roman" w:hAnsi="Times New Roman" w:cs="Times New Roman"/>
          <w:sz w:val="24"/>
          <w:szCs w:val="24"/>
        </w:rPr>
        <w:t xml:space="preserve"> ………………………………………(1)</w:t>
      </w:r>
    </w:p>
    <w:p w14:paraId="0B878126" w14:textId="77777777" w:rsidR="00A84E96" w:rsidRPr="00BE4AF3" w:rsidRDefault="00A84E96" w:rsidP="002370CA">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The study examines the factors influencing housing satisfaction, with the dependent variable being the housing satisfaction score of an individual categorized by various predictors: Stage in the Family Life Cycle (A), Price (B), Residential Environment (C), and Demographic Variables (D). The grand mean (Ŷ) represents the overall housing satisfaction, while the effects of each category within these predictors (ai, bj, ck, dl) are assessed to understand their impact on housing satisfaction. The error term (eijn) accounts for individual variation. Statistical analysis was conducted using SPSS to evaluate the relationships between these predictors and the dependent variable. Qualitative data were analyzed using Thematic Content Analysis (TCA), where interview transcripts were coded to identify recurring themes. The simulation results were compared with respondents' feedback to validate the predictive models. </w:t>
      </w:r>
      <w:bookmarkStart w:id="20" w:name="_heading=h.r2l0foom9ijc" w:colFirst="0" w:colLast="0"/>
      <w:bookmarkEnd w:id="20"/>
    </w:p>
    <w:p w14:paraId="687232FE" w14:textId="77777777" w:rsidR="00A84E96" w:rsidRPr="00BE4AF3" w:rsidRDefault="00A84E96" w:rsidP="002370CA">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The demographic data reveals key factors influencing housing satisfaction among public housing residents in Port Harcourt. Males (55.3%) slightly outnumber females (44.7%), and most residents are married (66.7%), with a significant portion of respondents between the ages of 31-40 (42.1%). Educational qualifications vary, with the majority holding an OND (27.2%) or a Bachelor's degree (37.7%), while income levels predominantly fall within the moderate range (61.4%). Occupation data highlights that retirees (35.1%) and state civil servants (30.7%) are prominent, suggesting that the housing needs of these groups, including stability and community access, will impact their satisfaction. Additionally, most respondents are in Stage 2 of the family life cycle (47.4%), with families having children, indicating that housing satisfaction may be influenced by family space and amenities.</w:t>
      </w:r>
    </w:p>
    <w:p w14:paraId="001B3037" w14:textId="77777777" w:rsidR="00A84E96" w:rsidRDefault="00A84E96" w:rsidP="002370CA">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The analysis of housing attributes such as house type and condition also sheds light on satisfaction levels. Most respondents live in flats (50.9%) or bungalows (25.4%), with a large majority reporting good house conditions, such as perfect tiles (68.5%). The number of rooms and household type further contribute to varying satisfaction levels, as those with larger households and more rooms may prioritize space, safety, and access to amenities. These findings emphasize the importance of addressing the socio-demographic factors in future public housing policies, </w:t>
      </w:r>
      <w:r w:rsidRPr="00BE4AF3">
        <w:rPr>
          <w:rFonts w:ascii="Times New Roman" w:eastAsia="Times New Roman" w:hAnsi="Times New Roman" w:cs="Times New Roman"/>
          <w:sz w:val="24"/>
          <w:szCs w:val="24"/>
        </w:rPr>
        <w:lastRenderedPageBreak/>
        <w:t>particularly the housing needs of families, retirees, and civil servants. By considering income, family structure, and occupation, housing developers and policymakers can better tailor public housing projects to improve satisfaction among residents.</w:t>
      </w:r>
    </w:p>
    <w:p w14:paraId="084A20C3" w14:textId="77777777" w:rsidR="002370CA" w:rsidRPr="00BE4AF3" w:rsidRDefault="002370CA" w:rsidP="002370CA">
      <w:pPr>
        <w:spacing w:after="0" w:line="240" w:lineRule="auto"/>
        <w:jc w:val="both"/>
        <w:rPr>
          <w:rFonts w:ascii="Times New Roman" w:eastAsia="Times New Roman" w:hAnsi="Times New Roman" w:cs="Times New Roman"/>
          <w:sz w:val="24"/>
          <w:szCs w:val="24"/>
        </w:rPr>
      </w:pPr>
    </w:p>
    <w:p w14:paraId="2E155DB6" w14:textId="77777777" w:rsidR="00A84E96" w:rsidRPr="002370CA" w:rsidRDefault="00A84E96" w:rsidP="00A84E96">
      <w:pPr>
        <w:spacing w:after="0" w:line="240" w:lineRule="auto"/>
        <w:jc w:val="both"/>
        <w:rPr>
          <w:rFonts w:ascii="Times New Roman" w:eastAsia="Times New Roman" w:hAnsi="Times New Roman" w:cs="Times New Roman"/>
          <w:bCs/>
          <w:sz w:val="24"/>
          <w:szCs w:val="24"/>
        </w:rPr>
      </w:pPr>
      <w:r w:rsidRPr="00BE4AF3">
        <w:rPr>
          <w:rFonts w:ascii="Times New Roman" w:eastAsia="Times New Roman" w:hAnsi="Times New Roman" w:cs="Times New Roman"/>
          <w:b/>
          <w:sz w:val="24"/>
          <w:szCs w:val="24"/>
        </w:rPr>
        <w:t>Table 1</w:t>
      </w:r>
      <w:r w:rsidRPr="002370CA">
        <w:rPr>
          <w:rFonts w:ascii="Times New Roman" w:eastAsia="Times New Roman" w:hAnsi="Times New Roman" w:cs="Times New Roman"/>
          <w:bCs/>
          <w:sz w:val="24"/>
          <w:szCs w:val="24"/>
        </w:rPr>
        <w:t>: Residents’ Satisfaction with Housing Conditions and Accessibility Factors</w:t>
      </w:r>
    </w:p>
    <w:tbl>
      <w:tblPr>
        <w:tblW w:w="8790" w:type="dxa"/>
        <w:jc w:val="center"/>
        <w:tblBorders>
          <w:top w:val="nil"/>
          <w:left w:val="nil"/>
          <w:bottom w:val="nil"/>
          <w:right w:val="nil"/>
          <w:insideH w:val="nil"/>
          <w:insideV w:val="nil"/>
        </w:tblBorders>
        <w:tblLayout w:type="fixed"/>
        <w:tblLook w:val="0600" w:firstRow="0" w:lastRow="0" w:firstColumn="0" w:lastColumn="0" w:noHBand="1" w:noVBand="1"/>
      </w:tblPr>
      <w:tblGrid>
        <w:gridCol w:w="555"/>
        <w:gridCol w:w="3885"/>
        <w:gridCol w:w="720"/>
        <w:gridCol w:w="1965"/>
        <w:gridCol w:w="1665"/>
      </w:tblGrid>
      <w:tr w:rsidR="00A84E96" w:rsidRPr="002370CA" w14:paraId="57759BCB" w14:textId="77777777" w:rsidTr="002370CA">
        <w:trPr>
          <w:trHeight w:val="465"/>
          <w:jc w:val="center"/>
        </w:trPr>
        <w:tc>
          <w:tcPr>
            <w:tcW w:w="555" w:type="dxa"/>
            <w:tcBorders>
              <w:top w:val="single" w:sz="8" w:space="0" w:color="7F7F7F"/>
              <w:left w:val="nil"/>
              <w:bottom w:val="single" w:sz="8" w:space="0" w:color="7F7F7F"/>
              <w:right w:val="nil"/>
            </w:tcBorders>
            <w:tcMar>
              <w:top w:w="0" w:type="dxa"/>
              <w:left w:w="100" w:type="dxa"/>
              <w:bottom w:w="0" w:type="dxa"/>
              <w:right w:w="100" w:type="dxa"/>
            </w:tcMar>
          </w:tcPr>
          <w:p w14:paraId="04B8DDA6"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S/N</w:t>
            </w:r>
          </w:p>
        </w:tc>
        <w:tc>
          <w:tcPr>
            <w:tcW w:w="3885" w:type="dxa"/>
            <w:tcBorders>
              <w:top w:val="single" w:sz="8" w:space="0" w:color="7F7F7F"/>
              <w:left w:val="nil"/>
              <w:bottom w:val="single" w:sz="8" w:space="0" w:color="7F7F7F"/>
              <w:right w:val="nil"/>
            </w:tcBorders>
            <w:tcMar>
              <w:top w:w="0" w:type="dxa"/>
              <w:left w:w="100" w:type="dxa"/>
              <w:bottom w:w="0" w:type="dxa"/>
              <w:right w:w="100" w:type="dxa"/>
            </w:tcMar>
          </w:tcPr>
          <w:p w14:paraId="431BD297"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Factors</w:t>
            </w:r>
          </w:p>
        </w:tc>
        <w:tc>
          <w:tcPr>
            <w:tcW w:w="720" w:type="dxa"/>
            <w:tcBorders>
              <w:top w:val="single" w:sz="8" w:space="0" w:color="7F7F7F"/>
              <w:left w:val="nil"/>
              <w:bottom w:val="single" w:sz="8" w:space="0" w:color="7F7F7F"/>
              <w:right w:val="nil"/>
            </w:tcBorders>
            <w:tcMar>
              <w:top w:w="0" w:type="dxa"/>
              <w:left w:w="100" w:type="dxa"/>
              <w:bottom w:w="0" w:type="dxa"/>
              <w:right w:w="100" w:type="dxa"/>
            </w:tcMar>
          </w:tcPr>
          <w:p w14:paraId="1D6AC7EB"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Mean</w:t>
            </w:r>
          </w:p>
        </w:tc>
        <w:tc>
          <w:tcPr>
            <w:tcW w:w="1965" w:type="dxa"/>
            <w:tcBorders>
              <w:top w:val="single" w:sz="8" w:space="0" w:color="7F7F7F"/>
              <w:left w:val="nil"/>
              <w:bottom w:val="single" w:sz="8" w:space="0" w:color="7F7F7F"/>
              <w:right w:val="nil"/>
            </w:tcBorders>
            <w:tcMar>
              <w:top w:w="0" w:type="dxa"/>
              <w:left w:w="100" w:type="dxa"/>
              <w:bottom w:w="0" w:type="dxa"/>
              <w:right w:w="100" w:type="dxa"/>
            </w:tcMar>
          </w:tcPr>
          <w:p w14:paraId="24844CC7"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Standard Deviation</w:t>
            </w:r>
          </w:p>
        </w:tc>
        <w:tc>
          <w:tcPr>
            <w:tcW w:w="1665" w:type="dxa"/>
            <w:tcBorders>
              <w:top w:val="single" w:sz="8" w:space="0" w:color="7F7F7F"/>
              <w:left w:val="nil"/>
              <w:bottom w:val="single" w:sz="8" w:space="0" w:color="7F7F7F"/>
              <w:right w:val="nil"/>
            </w:tcBorders>
            <w:tcMar>
              <w:top w:w="0" w:type="dxa"/>
              <w:left w:w="100" w:type="dxa"/>
              <w:bottom w:w="0" w:type="dxa"/>
              <w:right w:w="100" w:type="dxa"/>
            </w:tcMar>
          </w:tcPr>
          <w:p w14:paraId="02822FEF"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Remark</w:t>
            </w:r>
          </w:p>
        </w:tc>
      </w:tr>
      <w:tr w:rsidR="00A84E96" w:rsidRPr="002370CA" w14:paraId="03FDAE65"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55E6AEE3"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w:t>
            </w:r>
          </w:p>
        </w:tc>
        <w:tc>
          <w:tcPr>
            <w:tcW w:w="3885" w:type="dxa"/>
            <w:tcBorders>
              <w:top w:val="nil"/>
              <w:left w:val="nil"/>
              <w:bottom w:val="nil"/>
              <w:right w:val="nil"/>
            </w:tcBorders>
            <w:tcMar>
              <w:top w:w="0" w:type="dxa"/>
              <w:left w:w="100" w:type="dxa"/>
              <w:bottom w:w="0" w:type="dxa"/>
              <w:right w:w="100" w:type="dxa"/>
            </w:tcMar>
          </w:tcPr>
          <w:p w14:paraId="0DD019C7"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The distribution of the house is efficient</w:t>
            </w:r>
          </w:p>
        </w:tc>
        <w:tc>
          <w:tcPr>
            <w:tcW w:w="720" w:type="dxa"/>
            <w:tcBorders>
              <w:top w:val="nil"/>
              <w:left w:val="nil"/>
              <w:bottom w:val="nil"/>
              <w:right w:val="nil"/>
            </w:tcBorders>
            <w:tcMar>
              <w:top w:w="0" w:type="dxa"/>
              <w:left w:w="100" w:type="dxa"/>
              <w:bottom w:w="0" w:type="dxa"/>
              <w:right w:w="100" w:type="dxa"/>
            </w:tcMar>
          </w:tcPr>
          <w:p w14:paraId="03799C92"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2.79</w:t>
            </w:r>
          </w:p>
        </w:tc>
        <w:tc>
          <w:tcPr>
            <w:tcW w:w="1965" w:type="dxa"/>
            <w:tcBorders>
              <w:top w:val="nil"/>
              <w:left w:val="nil"/>
              <w:bottom w:val="nil"/>
              <w:right w:val="nil"/>
            </w:tcBorders>
            <w:tcMar>
              <w:top w:w="0" w:type="dxa"/>
              <w:left w:w="100" w:type="dxa"/>
              <w:bottom w:w="0" w:type="dxa"/>
              <w:right w:w="100" w:type="dxa"/>
            </w:tcMar>
          </w:tcPr>
          <w:p w14:paraId="6B784622"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1.258</w:t>
            </w:r>
          </w:p>
        </w:tc>
        <w:tc>
          <w:tcPr>
            <w:tcW w:w="1665" w:type="dxa"/>
            <w:tcBorders>
              <w:top w:val="nil"/>
              <w:left w:val="nil"/>
              <w:bottom w:val="nil"/>
              <w:right w:val="nil"/>
            </w:tcBorders>
            <w:tcMar>
              <w:top w:w="0" w:type="dxa"/>
              <w:left w:w="100" w:type="dxa"/>
              <w:bottom w:w="0" w:type="dxa"/>
              <w:right w:w="100" w:type="dxa"/>
            </w:tcMar>
          </w:tcPr>
          <w:p w14:paraId="00276FEE"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Not sure</w:t>
            </w:r>
          </w:p>
        </w:tc>
      </w:tr>
      <w:tr w:rsidR="00A84E96" w:rsidRPr="002370CA" w14:paraId="441F8BFC"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3617FD42"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w:t>
            </w:r>
          </w:p>
        </w:tc>
        <w:tc>
          <w:tcPr>
            <w:tcW w:w="3885" w:type="dxa"/>
            <w:tcBorders>
              <w:top w:val="nil"/>
              <w:left w:val="nil"/>
              <w:bottom w:val="nil"/>
              <w:right w:val="nil"/>
            </w:tcBorders>
            <w:tcMar>
              <w:top w:w="0" w:type="dxa"/>
              <w:left w:w="100" w:type="dxa"/>
              <w:bottom w:w="0" w:type="dxa"/>
              <w:right w:w="100" w:type="dxa"/>
            </w:tcMar>
          </w:tcPr>
          <w:p w14:paraId="515BA766"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The kitchen is comfortable</w:t>
            </w:r>
          </w:p>
        </w:tc>
        <w:tc>
          <w:tcPr>
            <w:tcW w:w="720" w:type="dxa"/>
            <w:tcBorders>
              <w:top w:val="nil"/>
              <w:left w:val="nil"/>
              <w:bottom w:val="nil"/>
              <w:right w:val="nil"/>
            </w:tcBorders>
            <w:tcMar>
              <w:top w:w="0" w:type="dxa"/>
              <w:left w:w="100" w:type="dxa"/>
              <w:bottom w:w="0" w:type="dxa"/>
              <w:right w:w="100" w:type="dxa"/>
            </w:tcMar>
          </w:tcPr>
          <w:p w14:paraId="4431E69F"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3.33</w:t>
            </w:r>
          </w:p>
        </w:tc>
        <w:tc>
          <w:tcPr>
            <w:tcW w:w="1965" w:type="dxa"/>
            <w:tcBorders>
              <w:top w:val="nil"/>
              <w:left w:val="nil"/>
              <w:bottom w:val="nil"/>
              <w:right w:val="nil"/>
            </w:tcBorders>
            <w:tcMar>
              <w:top w:w="0" w:type="dxa"/>
              <w:left w:w="100" w:type="dxa"/>
              <w:bottom w:w="0" w:type="dxa"/>
              <w:right w:w="100" w:type="dxa"/>
            </w:tcMar>
          </w:tcPr>
          <w:p w14:paraId="4969312F"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0.661</w:t>
            </w:r>
          </w:p>
        </w:tc>
        <w:tc>
          <w:tcPr>
            <w:tcW w:w="1665" w:type="dxa"/>
            <w:tcBorders>
              <w:top w:val="nil"/>
              <w:left w:val="nil"/>
              <w:bottom w:val="nil"/>
              <w:right w:val="nil"/>
            </w:tcBorders>
            <w:tcMar>
              <w:top w:w="0" w:type="dxa"/>
              <w:left w:w="100" w:type="dxa"/>
              <w:bottom w:w="0" w:type="dxa"/>
              <w:right w:w="100" w:type="dxa"/>
            </w:tcMar>
          </w:tcPr>
          <w:p w14:paraId="6390C697"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Not sure</w:t>
            </w:r>
          </w:p>
        </w:tc>
      </w:tr>
      <w:tr w:rsidR="00A84E96" w:rsidRPr="002370CA" w14:paraId="75E2D444"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094A296D"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3</w:t>
            </w:r>
          </w:p>
        </w:tc>
        <w:tc>
          <w:tcPr>
            <w:tcW w:w="3885" w:type="dxa"/>
            <w:tcBorders>
              <w:top w:val="nil"/>
              <w:left w:val="nil"/>
              <w:bottom w:val="nil"/>
              <w:right w:val="nil"/>
            </w:tcBorders>
            <w:tcMar>
              <w:top w:w="0" w:type="dxa"/>
              <w:left w:w="100" w:type="dxa"/>
              <w:bottom w:w="0" w:type="dxa"/>
              <w:right w:w="100" w:type="dxa"/>
            </w:tcMar>
          </w:tcPr>
          <w:p w14:paraId="7D23FD21"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The size of the house is adequate</w:t>
            </w:r>
          </w:p>
        </w:tc>
        <w:tc>
          <w:tcPr>
            <w:tcW w:w="720" w:type="dxa"/>
            <w:tcBorders>
              <w:top w:val="nil"/>
              <w:left w:val="nil"/>
              <w:bottom w:val="nil"/>
              <w:right w:val="nil"/>
            </w:tcBorders>
            <w:tcMar>
              <w:top w:w="0" w:type="dxa"/>
              <w:left w:w="100" w:type="dxa"/>
              <w:bottom w:w="0" w:type="dxa"/>
              <w:right w:w="100" w:type="dxa"/>
            </w:tcMar>
          </w:tcPr>
          <w:p w14:paraId="68B2E694"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3.18</w:t>
            </w:r>
          </w:p>
        </w:tc>
        <w:tc>
          <w:tcPr>
            <w:tcW w:w="1965" w:type="dxa"/>
            <w:tcBorders>
              <w:top w:val="nil"/>
              <w:left w:val="nil"/>
              <w:bottom w:val="nil"/>
              <w:right w:val="nil"/>
            </w:tcBorders>
            <w:tcMar>
              <w:top w:w="0" w:type="dxa"/>
              <w:left w:w="100" w:type="dxa"/>
              <w:bottom w:w="0" w:type="dxa"/>
              <w:right w:w="100" w:type="dxa"/>
            </w:tcMar>
          </w:tcPr>
          <w:p w14:paraId="3244A4E4"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0.686</w:t>
            </w:r>
          </w:p>
        </w:tc>
        <w:tc>
          <w:tcPr>
            <w:tcW w:w="1665" w:type="dxa"/>
            <w:tcBorders>
              <w:top w:val="nil"/>
              <w:left w:val="nil"/>
              <w:bottom w:val="nil"/>
              <w:right w:val="nil"/>
            </w:tcBorders>
            <w:tcMar>
              <w:top w:w="0" w:type="dxa"/>
              <w:left w:w="100" w:type="dxa"/>
              <w:bottom w:w="0" w:type="dxa"/>
              <w:right w:w="100" w:type="dxa"/>
            </w:tcMar>
          </w:tcPr>
          <w:p w14:paraId="0E76929A"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Not sure</w:t>
            </w:r>
          </w:p>
        </w:tc>
      </w:tr>
      <w:tr w:rsidR="00A84E96" w:rsidRPr="002370CA" w14:paraId="1B51CD2A"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19F628FF"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4</w:t>
            </w:r>
          </w:p>
        </w:tc>
        <w:tc>
          <w:tcPr>
            <w:tcW w:w="3885" w:type="dxa"/>
            <w:tcBorders>
              <w:top w:val="nil"/>
              <w:left w:val="nil"/>
              <w:bottom w:val="nil"/>
              <w:right w:val="nil"/>
            </w:tcBorders>
            <w:tcMar>
              <w:top w:w="0" w:type="dxa"/>
              <w:left w:w="100" w:type="dxa"/>
              <w:bottom w:w="0" w:type="dxa"/>
              <w:right w:w="100" w:type="dxa"/>
            </w:tcMar>
          </w:tcPr>
          <w:p w14:paraId="138F6E85"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The bathroom is very comfortable</w:t>
            </w:r>
          </w:p>
        </w:tc>
        <w:tc>
          <w:tcPr>
            <w:tcW w:w="720" w:type="dxa"/>
            <w:tcBorders>
              <w:top w:val="nil"/>
              <w:left w:val="nil"/>
              <w:bottom w:val="nil"/>
              <w:right w:val="nil"/>
            </w:tcBorders>
            <w:tcMar>
              <w:top w:w="0" w:type="dxa"/>
              <w:left w:w="100" w:type="dxa"/>
              <w:bottom w:w="0" w:type="dxa"/>
              <w:right w:w="100" w:type="dxa"/>
            </w:tcMar>
          </w:tcPr>
          <w:p w14:paraId="008F9A6B"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3.35</w:t>
            </w:r>
          </w:p>
        </w:tc>
        <w:tc>
          <w:tcPr>
            <w:tcW w:w="1965" w:type="dxa"/>
            <w:tcBorders>
              <w:top w:val="nil"/>
              <w:left w:val="nil"/>
              <w:bottom w:val="nil"/>
              <w:right w:val="nil"/>
            </w:tcBorders>
            <w:tcMar>
              <w:top w:w="0" w:type="dxa"/>
              <w:left w:w="100" w:type="dxa"/>
              <w:bottom w:w="0" w:type="dxa"/>
              <w:right w:w="100" w:type="dxa"/>
            </w:tcMar>
          </w:tcPr>
          <w:p w14:paraId="2023B3E5"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0.665</w:t>
            </w:r>
          </w:p>
        </w:tc>
        <w:tc>
          <w:tcPr>
            <w:tcW w:w="1665" w:type="dxa"/>
            <w:tcBorders>
              <w:top w:val="nil"/>
              <w:left w:val="nil"/>
              <w:bottom w:val="nil"/>
              <w:right w:val="nil"/>
            </w:tcBorders>
            <w:tcMar>
              <w:top w:w="0" w:type="dxa"/>
              <w:left w:w="100" w:type="dxa"/>
              <w:bottom w:w="0" w:type="dxa"/>
              <w:right w:w="100" w:type="dxa"/>
            </w:tcMar>
          </w:tcPr>
          <w:p w14:paraId="14B91470"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Not sure</w:t>
            </w:r>
          </w:p>
        </w:tc>
      </w:tr>
      <w:tr w:rsidR="00A84E96" w:rsidRPr="002370CA" w14:paraId="7B53271B" w14:textId="77777777" w:rsidTr="002370CA">
        <w:trPr>
          <w:trHeight w:val="435"/>
          <w:jc w:val="center"/>
        </w:trPr>
        <w:tc>
          <w:tcPr>
            <w:tcW w:w="555" w:type="dxa"/>
            <w:tcBorders>
              <w:top w:val="nil"/>
              <w:left w:val="nil"/>
              <w:bottom w:val="nil"/>
              <w:right w:val="nil"/>
            </w:tcBorders>
            <w:tcMar>
              <w:top w:w="0" w:type="dxa"/>
              <w:left w:w="100" w:type="dxa"/>
              <w:bottom w:w="0" w:type="dxa"/>
              <w:right w:w="100" w:type="dxa"/>
            </w:tcMar>
          </w:tcPr>
          <w:p w14:paraId="2C38967E"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5</w:t>
            </w:r>
          </w:p>
        </w:tc>
        <w:tc>
          <w:tcPr>
            <w:tcW w:w="3885" w:type="dxa"/>
            <w:tcBorders>
              <w:top w:val="nil"/>
              <w:left w:val="nil"/>
              <w:bottom w:val="nil"/>
              <w:right w:val="nil"/>
            </w:tcBorders>
            <w:tcMar>
              <w:top w:w="0" w:type="dxa"/>
              <w:left w:w="100" w:type="dxa"/>
              <w:bottom w:w="0" w:type="dxa"/>
              <w:right w:w="100" w:type="dxa"/>
            </w:tcMar>
          </w:tcPr>
          <w:p w14:paraId="11F233E2"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The level of light and ventilation is efficient</w:t>
            </w:r>
          </w:p>
        </w:tc>
        <w:tc>
          <w:tcPr>
            <w:tcW w:w="720" w:type="dxa"/>
            <w:tcBorders>
              <w:top w:val="nil"/>
              <w:left w:val="nil"/>
              <w:bottom w:val="nil"/>
              <w:right w:val="nil"/>
            </w:tcBorders>
            <w:tcMar>
              <w:top w:w="0" w:type="dxa"/>
              <w:left w:w="100" w:type="dxa"/>
              <w:bottom w:w="0" w:type="dxa"/>
              <w:right w:w="100" w:type="dxa"/>
            </w:tcMar>
          </w:tcPr>
          <w:p w14:paraId="13BD279A"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3.67</w:t>
            </w:r>
          </w:p>
        </w:tc>
        <w:tc>
          <w:tcPr>
            <w:tcW w:w="1965" w:type="dxa"/>
            <w:tcBorders>
              <w:top w:val="nil"/>
              <w:left w:val="nil"/>
              <w:bottom w:val="nil"/>
              <w:right w:val="nil"/>
            </w:tcBorders>
            <w:tcMar>
              <w:top w:w="0" w:type="dxa"/>
              <w:left w:w="100" w:type="dxa"/>
              <w:bottom w:w="0" w:type="dxa"/>
              <w:right w:w="100" w:type="dxa"/>
            </w:tcMar>
          </w:tcPr>
          <w:p w14:paraId="5AA50D82"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0.712</w:t>
            </w:r>
          </w:p>
        </w:tc>
        <w:tc>
          <w:tcPr>
            <w:tcW w:w="1665" w:type="dxa"/>
            <w:tcBorders>
              <w:top w:val="nil"/>
              <w:left w:val="nil"/>
              <w:bottom w:val="nil"/>
              <w:right w:val="nil"/>
            </w:tcBorders>
            <w:tcMar>
              <w:top w:w="0" w:type="dxa"/>
              <w:left w:w="100" w:type="dxa"/>
              <w:bottom w:w="0" w:type="dxa"/>
              <w:right w:w="100" w:type="dxa"/>
            </w:tcMar>
          </w:tcPr>
          <w:p w14:paraId="09040C29"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Satisfied</w:t>
            </w:r>
          </w:p>
        </w:tc>
      </w:tr>
      <w:tr w:rsidR="00A84E96" w:rsidRPr="002370CA" w14:paraId="2823518E"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40102913"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6</w:t>
            </w:r>
          </w:p>
        </w:tc>
        <w:tc>
          <w:tcPr>
            <w:tcW w:w="3885" w:type="dxa"/>
            <w:tcBorders>
              <w:top w:val="nil"/>
              <w:left w:val="nil"/>
              <w:bottom w:val="nil"/>
              <w:right w:val="nil"/>
            </w:tcBorders>
            <w:tcMar>
              <w:top w:w="0" w:type="dxa"/>
              <w:left w:w="100" w:type="dxa"/>
              <w:bottom w:w="0" w:type="dxa"/>
              <w:right w:w="100" w:type="dxa"/>
            </w:tcMar>
          </w:tcPr>
          <w:p w14:paraId="470497E4"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The degree of insulation is efficient</w:t>
            </w:r>
          </w:p>
        </w:tc>
        <w:tc>
          <w:tcPr>
            <w:tcW w:w="720" w:type="dxa"/>
            <w:tcBorders>
              <w:top w:val="nil"/>
              <w:left w:val="nil"/>
              <w:bottom w:val="nil"/>
              <w:right w:val="nil"/>
            </w:tcBorders>
            <w:tcMar>
              <w:top w:w="0" w:type="dxa"/>
              <w:left w:w="100" w:type="dxa"/>
              <w:bottom w:w="0" w:type="dxa"/>
              <w:right w:w="100" w:type="dxa"/>
            </w:tcMar>
          </w:tcPr>
          <w:p w14:paraId="1643E571"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2.8</w:t>
            </w:r>
          </w:p>
        </w:tc>
        <w:tc>
          <w:tcPr>
            <w:tcW w:w="1965" w:type="dxa"/>
            <w:tcBorders>
              <w:top w:val="nil"/>
              <w:left w:val="nil"/>
              <w:bottom w:val="nil"/>
              <w:right w:val="nil"/>
            </w:tcBorders>
            <w:tcMar>
              <w:top w:w="0" w:type="dxa"/>
              <w:left w:w="100" w:type="dxa"/>
              <w:bottom w:w="0" w:type="dxa"/>
              <w:right w:w="100" w:type="dxa"/>
            </w:tcMar>
          </w:tcPr>
          <w:p w14:paraId="45C5CAD6"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1.032</w:t>
            </w:r>
          </w:p>
        </w:tc>
        <w:tc>
          <w:tcPr>
            <w:tcW w:w="1665" w:type="dxa"/>
            <w:tcBorders>
              <w:top w:val="nil"/>
              <w:left w:val="nil"/>
              <w:bottom w:val="nil"/>
              <w:right w:val="nil"/>
            </w:tcBorders>
            <w:tcMar>
              <w:top w:w="0" w:type="dxa"/>
              <w:left w:w="100" w:type="dxa"/>
              <w:bottom w:w="0" w:type="dxa"/>
              <w:right w:w="100" w:type="dxa"/>
            </w:tcMar>
          </w:tcPr>
          <w:p w14:paraId="500342B7"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Not sure</w:t>
            </w:r>
          </w:p>
        </w:tc>
      </w:tr>
      <w:tr w:rsidR="00A84E96" w:rsidRPr="002370CA" w14:paraId="1617A3CD" w14:textId="77777777" w:rsidTr="002370CA">
        <w:trPr>
          <w:trHeight w:val="435"/>
          <w:jc w:val="center"/>
        </w:trPr>
        <w:tc>
          <w:tcPr>
            <w:tcW w:w="555" w:type="dxa"/>
            <w:tcBorders>
              <w:top w:val="nil"/>
              <w:left w:val="nil"/>
              <w:bottom w:val="nil"/>
              <w:right w:val="nil"/>
            </w:tcBorders>
            <w:tcMar>
              <w:top w:w="0" w:type="dxa"/>
              <w:left w:w="100" w:type="dxa"/>
              <w:bottom w:w="0" w:type="dxa"/>
              <w:right w:w="100" w:type="dxa"/>
            </w:tcMar>
          </w:tcPr>
          <w:p w14:paraId="6DFC7DB7"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7</w:t>
            </w:r>
          </w:p>
        </w:tc>
        <w:tc>
          <w:tcPr>
            <w:tcW w:w="3885" w:type="dxa"/>
            <w:tcBorders>
              <w:top w:val="nil"/>
              <w:left w:val="nil"/>
              <w:bottom w:val="nil"/>
              <w:right w:val="nil"/>
            </w:tcBorders>
            <w:tcMar>
              <w:top w:w="0" w:type="dxa"/>
              <w:left w:w="100" w:type="dxa"/>
              <w:bottom w:w="0" w:type="dxa"/>
              <w:right w:w="100" w:type="dxa"/>
            </w:tcMar>
          </w:tcPr>
          <w:p w14:paraId="0A6FBA1D"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House maintenance expenses are minimal</w:t>
            </w:r>
          </w:p>
        </w:tc>
        <w:tc>
          <w:tcPr>
            <w:tcW w:w="720" w:type="dxa"/>
            <w:tcBorders>
              <w:top w:val="nil"/>
              <w:left w:val="nil"/>
              <w:bottom w:val="nil"/>
              <w:right w:val="nil"/>
            </w:tcBorders>
            <w:tcMar>
              <w:top w:w="0" w:type="dxa"/>
              <w:left w:w="100" w:type="dxa"/>
              <w:bottom w:w="0" w:type="dxa"/>
              <w:right w:w="100" w:type="dxa"/>
            </w:tcMar>
          </w:tcPr>
          <w:p w14:paraId="7B439BE9"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3.26</w:t>
            </w:r>
          </w:p>
        </w:tc>
        <w:tc>
          <w:tcPr>
            <w:tcW w:w="1965" w:type="dxa"/>
            <w:tcBorders>
              <w:top w:val="nil"/>
              <w:left w:val="nil"/>
              <w:bottom w:val="nil"/>
              <w:right w:val="nil"/>
            </w:tcBorders>
            <w:tcMar>
              <w:top w:w="0" w:type="dxa"/>
              <w:left w:w="100" w:type="dxa"/>
              <w:bottom w:w="0" w:type="dxa"/>
              <w:right w:w="100" w:type="dxa"/>
            </w:tcMar>
          </w:tcPr>
          <w:p w14:paraId="6BC12E61"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0.969</w:t>
            </w:r>
          </w:p>
        </w:tc>
        <w:tc>
          <w:tcPr>
            <w:tcW w:w="1665" w:type="dxa"/>
            <w:tcBorders>
              <w:top w:val="nil"/>
              <w:left w:val="nil"/>
              <w:bottom w:val="nil"/>
              <w:right w:val="nil"/>
            </w:tcBorders>
            <w:tcMar>
              <w:top w:w="0" w:type="dxa"/>
              <w:left w:w="100" w:type="dxa"/>
              <w:bottom w:w="0" w:type="dxa"/>
              <w:right w:w="100" w:type="dxa"/>
            </w:tcMar>
          </w:tcPr>
          <w:p w14:paraId="6D1D3F70"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Not sure</w:t>
            </w:r>
          </w:p>
        </w:tc>
      </w:tr>
      <w:tr w:rsidR="00A84E96" w:rsidRPr="002370CA" w14:paraId="68E543BC" w14:textId="77777777" w:rsidTr="002370CA">
        <w:trPr>
          <w:trHeight w:val="435"/>
          <w:jc w:val="center"/>
        </w:trPr>
        <w:tc>
          <w:tcPr>
            <w:tcW w:w="555" w:type="dxa"/>
            <w:tcBorders>
              <w:top w:val="nil"/>
              <w:left w:val="nil"/>
              <w:bottom w:val="nil"/>
              <w:right w:val="nil"/>
            </w:tcBorders>
            <w:tcMar>
              <w:top w:w="0" w:type="dxa"/>
              <w:left w:w="100" w:type="dxa"/>
              <w:bottom w:w="0" w:type="dxa"/>
              <w:right w:w="100" w:type="dxa"/>
            </w:tcMar>
          </w:tcPr>
          <w:p w14:paraId="23F3A98B"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8</w:t>
            </w:r>
          </w:p>
        </w:tc>
        <w:tc>
          <w:tcPr>
            <w:tcW w:w="3885" w:type="dxa"/>
            <w:tcBorders>
              <w:top w:val="nil"/>
              <w:left w:val="nil"/>
              <w:bottom w:val="nil"/>
              <w:right w:val="nil"/>
            </w:tcBorders>
            <w:tcMar>
              <w:top w:w="0" w:type="dxa"/>
              <w:left w:w="100" w:type="dxa"/>
              <w:bottom w:w="0" w:type="dxa"/>
              <w:right w:w="100" w:type="dxa"/>
            </w:tcMar>
          </w:tcPr>
          <w:p w14:paraId="55BC0A91"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Adequate number of necessary amenities</w:t>
            </w:r>
          </w:p>
        </w:tc>
        <w:tc>
          <w:tcPr>
            <w:tcW w:w="720" w:type="dxa"/>
            <w:tcBorders>
              <w:top w:val="nil"/>
              <w:left w:val="nil"/>
              <w:bottom w:val="nil"/>
              <w:right w:val="nil"/>
            </w:tcBorders>
            <w:tcMar>
              <w:top w:w="0" w:type="dxa"/>
              <w:left w:w="100" w:type="dxa"/>
              <w:bottom w:w="0" w:type="dxa"/>
              <w:right w:w="100" w:type="dxa"/>
            </w:tcMar>
          </w:tcPr>
          <w:p w14:paraId="29EE4B0C"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1.61</w:t>
            </w:r>
          </w:p>
        </w:tc>
        <w:tc>
          <w:tcPr>
            <w:tcW w:w="1965" w:type="dxa"/>
            <w:tcBorders>
              <w:top w:val="nil"/>
              <w:left w:val="nil"/>
              <w:bottom w:val="nil"/>
              <w:right w:val="nil"/>
            </w:tcBorders>
            <w:tcMar>
              <w:top w:w="0" w:type="dxa"/>
              <w:left w:w="100" w:type="dxa"/>
              <w:bottom w:w="0" w:type="dxa"/>
              <w:right w:w="100" w:type="dxa"/>
            </w:tcMar>
          </w:tcPr>
          <w:p w14:paraId="35C1D431"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1.019</w:t>
            </w:r>
          </w:p>
        </w:tc>
        <w:tc>
          <w:tcPr>
            <w:tcW w:w="1665" w:type="dxa"/>
            <w:tcBorders>
              <w:top w:val="nil"/>
              <w:left w:val="nil"/>
              <w:bottom w:val="nil"/>
              <w:right w:val="nil"/>
            </w:tcBorders>
            <w:tcMar>
              <w:top w:w="0" w:type="dxa"/>
              <w:left w:w="100" w:type="dxa"/>
              <w:bottom w:w="0" w:type="dxa"/>
              <w:right w:w="100" w:type="dxa"/>
            </w:tcMar>
          </w:tcPr>
          <w:p w14:paraId="67F6248E"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Very Dissatisfied</w:t>
            </w:r>
          </w:p>
        </w:tc>
      </w:tr>
      <w:tr w:rsidR="00A84E96" w:rsidRPr="002370CA" w14:paraId="17BA2D65"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3E646F92"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9</w:t>
            </w:r>
          </w:p>
        </w:tc>
        <w:tc>
          <w:tcPr>
            <w:tcW w:w="3885" w:type="dxa"/>
            <w:tcBorders>
              <w:top w:val="nil"/>
              <w:left w:val="nil"/>
              <w:bottom w:val="nil"/>
              <w:right w:val="nil"/>
            </w:tcBorders>
            <w:tcMar>
              <w:top w:w="0" w:type="dxa"/>
              <w:left w:w="100" w:type="dxa"/>
              <w:bottom w:w="0" w:type="dxa"/>
              <w:right w:w="100" w:type="dxa"/>
            </w:tcMar>
          </w:tcPr>
          <w:p w14:paraId="2E18F993"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The house provides natural lighting</w:t>
            </w:r>
          </w:p>
        </w:tc>
        <w:tc>
          <w:tcPr>
            <w:tcW w:w="720" w:type="dxa"/>
            <w:tcBorders>
              <w:top w:val="nil"/>
              <w:left w:val="nil"/>
              <w:bottom w:val="nil"/>
              <w:right w:val="nil"/>
            </w:tcBorders>
            <w:tcMar>
              <w:top w:w="0" w:type="dxa"/>
              <w:left w:w="100" w:type="dxa"/>
              <w:bottom w:w="0" w:type="dxa"/>
              <w:right w:w="100" w:type="dxa"/>
            </w:tcMar>
          </w:tcPr>
          <w:p w14:paraId="0F2B4576"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2.9</w:t>
            </w:r>
          </w:p>
        </w:tc>
        <w:tc>
          <w:tcPr>
            <w:tcW w:w="1965" w:type="dxa"/>
            <w:tcBorders>
              <w:top w:val="nil"/>
              <w:left w:val="nil"/>
              <w:bottom w:val="nil"/>
              <w:right w:val="nil"/>
            </w:tcBorders>
            <w:tcMar>
              <w:top w:w="0" w:type="dxa"/>
              <w:left w:w="100" w:type="dxa"/>
              <w:bottom w:w="0" w:type="dxa"/>
              <w:right w:w="100" w:type="dxa"/>
            </w:tcMar>
          </w:tcPr>
          <w:p w14:paraId="0A14772B"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0.912</w:t>
            </w:r>
          </w:p>
        </w:tc>
        <w:tc>
          <w:tcPr>
            <w:tcW w:w="1665" w:type="dxa"/>
            <w:tcBorders>
              <w:top w:val="nil"/>
              <w:left w:val="nil"/>
              <w:bottom w:val="nil"/>
              <w:right w:val="nil"/>
            </w:tcBorders>
            <w:tcMar>
              <w:top w:w="0" w:type="dxa"/>
              <w:left w:w="100" w:type="dxa"/>
              <w:bottom w:w="0" w:type="dxa"/>
              <w:right w:w="100" w:type="dxa"/>
            </w:tcMar>
          </w:tcPr>
          <w:p w14:paraId="4E2C620B"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Not sure</w:t>
            </w:r>
          </w:p>
        </w:tc>
      </w:tr>
      <w:tr w:rsidR="00A84E96" w:rsidRPr="002370CA" w14:paraId="22535676"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5C6C36A9"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10</w:t>
            </w:r>
          </w:p>
        </w:tc>
        <w:tc>
          <w:tcPr>
            <w:tcW w:w="3885" w:type="dxa"/>
            <w:tcBorders>
              <w:top w:val="nil"/>
              <w:left w:val="nil"/>
              <w:bottom w:val="nil"/>
              <w:right w:val="nil"/>
            </w:tcBorders>
            <w:tcMar>
              <w:top w:w="0" w:type="dxa"/>
              <w:left w:w="100" w:type="dxa"/>
              <w:bottom w:w="0" w:type="dxa"/>
              <w:right w:w="100" w:type="dxa"/>
            </w:tcMar>
          </w:tcPr>
          <w:p w14:paraId="3E79C95C"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Ease of moving around inside the home</w:t>
            </w:r>
          </w:p>
        </w:tc>
        <w:tc>
          <w:tcPr>
            <w:tcW w:w="720" w:type="dxa"/>
            <w:tcBorders>
              <w:top w:val="nil"/>
              <w:left w:val="nil"/>
              <w:bottom w:val="nil"/>
              <w:right w:val="nil"/>
            </w:tcBorders>
            <w:tcMar>
              <w:top w:w="0" w:type="dxa"/>
              <w:left w:w="100" w:type="dxa"/>
              <w:bottom w:w="0" w:type="dxa"/>
              <w:right w:w="100" w:type="dxa"/>
            </w:tcMar>
          </w:tcPr>
          <w:p w14:paraId="612EB1B3"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3.54</w:t>
            </w:r>
          </w:p>
        </w:tc>
        <w:tc>
          <w:tcPr>
            <w:tcW w:w="1965" w:type="dxa"/>
            <w:tcBorders>
              <w:top w:val="nil"/>
              <w:left w:val="nil"/>
              <w:bottom w:val="nil"/>
              <w:right w:val="nil"/>
            </w:tcBorders>
            <w:tcMar>
              <w:top w:w="0" w:type="dxa"/>
              <w:left w:w="100" w:type="dxa"/>
              <w:bottom w:w="0" w:type="dxa"/>
              <w:right w:w="100" w:type="dxa"/>
            </w:tcMar>
          </w:tcPr>
          <w:p w14:paraId="576413B7"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0.884</w:t>
            </w:r>
          </w:p>
        </w:tc>
        <w:tc>
          <w:tcPr>
            <w:tcW w:w="1665" w:type="dxa"/>
            <w:tcBorders>
              <w:top w:val="nil"/>
              <w:left w:val="nil"/>
              <w:bottom w:val="nil"/>
              <w:right w:val="nil"/>
            </w:tcBorders>
            <w:tcMar>
              <w:top w:w="0" w:type="dxa"/>
              <w:left w:w="100" w:type="dxa"/>
              <w:bottom w:w="0" w:type="dxa"/>
              <w:right w:w="100" w:type="dxa"/>
            </w:tcMar>
          </w:tcPr>
          <w:p w14:paraId="35553EB4"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Satisfied</w:t>
            </w:r>
          </w:p>
        </w:tc>
      </w:tr>
      <w:tr w:rsidR="00A84E96" w:rsidRPr="002370CA" w14:paraId="5423A908"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7228A2E3"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11</w:t>
            </w:r>
          </w:p>
        </w:tc>
        <w:tc>
          <w:tcPr>
            <w:tcW w:w="3885" w:type="dxa"/>
            <w:tcBorders>
              <w:top w:val="nil"/>
              <w:left w:val="nil"/>
              <w:bottom w:val="nil"/>
              <w:right w:val="nil"/>
            </w:tcBorders>
            <w:tcMar>
              <w:top w:w="0" w:type="dxa"/>
              <w:left w:w="100" w:type="dxa"/>
              <w:bottom w:w="0" w:type="dxa"/>
              <w:right w:w="100" w:type="dxa"/>
            </w:tcMar>
          </w:tcPr>
          <w:p w14:paraId="1BFDDD3F"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Access to churches and worship centers</w:t>
            </w:r>
          </w:p>
        </w:tc>
        <w:tc>
          <w:tcPr>
            <w:tcW w:w="720" w:type="dxa"/>
            <w:tcBorders>
              <w:top w:val="nil"/>
              <w:left w:val="nil"/>
              <w:bottom w:val="nil"/>
              <w:right w:val="nil"/>
            </w:tcBorders>
            <w:tcMar>
              <w:top w:w="0" w:type="dxa"/>
              <w:left w:w="100" w:type="dxa"/>
              <w:bottom w:w="0" w:type="dxa"/>
              <w:right w:w="100" w:type="dxa"/>
            </w:tcMar>
          </w:tcPr>
          <w:p w14:paraId="751D7A3F"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4.5</w:t>
            </w:r>
          </w:p>
        </w:tc>
        <w:tc>
          <w:tcPr>
            <w:tcW w:w="1965" w:type="dxa"/>
            <w:tcBorders>
              <w:top w:val="nil"/>
              <w:left w:val="nil"/>
              <w:bottom w:val="nil"/>
              <w:right w:val="nil"/>
            </w:tcBorders>
            <w:tcMar>
              <w:top w:w="0" w:type="dxa"/>
              <w:left w:w="100" w:type="dxa"/>
              <w:bottom w:w="0" w:type="dxa"/>
              <w:right w:w="100" w:type="dxa"/>
            </w:tcMar>
          </w:tcPr>
          <w:p w14:paraId="06E7C437"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0.655</w:t>
            </w:r>
          </w:p>
        </w:tc>
        <w:tc>
          <w:tcPr>
            <w:tcW w:w="1665" w:type="dxa"/>
            <w:tcBorders>
              <w:top w:val="nil"/>
              <w:left w:val="nil"/>
              <w:bottom w:val="nil"/>
              <w:right w:val="nil"/>
            </w:tcBorders>
            <w:tcMar>
              <w:top w:w="0" w:type="dxa"/>
              <w:left w:w="100" w:type="dxa"/>
              <w:bottom w:w="0" w:type="dxa"/>
              <w:right w:w="100" w:type="dxa"/>
            </w:tcMar>
          </w:tcPr>
          <w:p w14:paraId="045F393E"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Satisfied</w:t>
            </w:r>
          </w:p>
        </w:tc>
      </w:tr>
      <w:tr w:rsidR="00A84E96" w:rsidRPr="002370CA" w14:paraId="71F7AEB3"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771889DF"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12</w:t>
            </w:r>
          </w:p>
        </w:tc>
        <w:tc>
          <w:tcPr>
            <w:tcW w:w="3885" w:type="dxa"/>
            <w:tcBorders>
              <w:top w:val="nil"/>
              <w:left w:val="nil"/>
              <w:bottom w:val="nil"/>
              <w:right w:val="nil"/>
            </w:tcBorders>
            <w:tcMar>
              <w:top w:w="0" w:type="dxa"/>
              <w:left w:w="100" w:type="dxa"/>
              <w:bottom w:w="0" w:type="dxa"/>
              <w:right w:w="100" w:type="dxa"/>
            </w:tcMar>
          </w:tcPr>
          <w:p w14:paraId="036E146B"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Distance to shops is minimal</w:t>
            </w:r>
          </w:p>
        </w:tc>
        <w:tc>
          <w:tcPr>
            <w:tcW w:w="720" w:type="dxa"/>
            <w:tcBorders>
              <w:top w:val="nil"/>
              <w:left w:val="nil"/>
              <w:bottom w:val="nil"/>
              <w:right w:val="nil"/>
            </w:tcBorders>
            <w:tcMar>
              <w:top w:w="0" w:type="dxa"/>
              <w:left w:w="100" w:type="dxa"/>
              <w:bottom w:w="0" w:type="dxa"/>
              <w:right w:w="100" w:type="dxa"/>
            </w:tcMar>
          </w:tcPr>
          <w:p w14:paraId="31120FA2"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4.46</w:t>
            </w:r>
          </w:p>
        </w:tc>
        <w:tc>
          <w:tcPr>
            <w:tcW w:w="1965" w:type="dxa"/>
            <w:tcBorders>
              <w:top w:val="nil"/>
              <w:left w:val="nil"/>
              <w:bottom w:val="nil"/>
              <w:right w:val="nil"/>
            </w:tcBorders>
            <w:tcMar>
              <w:top w:w="0" w:type="dxa"/>
              <w:left w:w="100" w:type="dxa"/>
              <w:bottom w:w="0" w:type="dxa"/>
              <w:right w:w="100" w:type="dxa"/>
            </w:tcMar>
          </w:tcPr>
          <w:p w14:paraId="1CEE8DA0"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0.754</w:t>
            </w:r>
          </w:p>
        </w:tc>
        <w:tc>
          <w:tcPr>
            <w:tcW w:w="1665" w:type="dxa"/>
            <w:tcBorders>
              <w:top w:val="nil"/>
              <w:left w:val="nil"/>
              <w:bottom w:val="nil"/>
              <w:right w:val="nil"/>
            </w:tcBorders>
            <w:tcMar>
              <w:top w:w="0" w:type="dxa"/>
              <w:left w:w="100" w:type="dxa"/>
              <w:bottom w:w="0" w:type="dxa"/>
              <w:right w:w="100" w:type="dxa"/>
            </w:tcMar>
          </w:tcPr>
          <w:p w14:paraId="06BBE974"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Satisfied</w:t>
            </w:r>
          </w:p>
        </w:tc>
      </w:tr>
      <w:tr w:rsidR="00A84E96" w:rsidRPr="002370CA" w14:paraId="0578207D"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45F605A2"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13</w:t>
            </w:r>
          </w:p>
        </w:tc>
        <w:tc>
          <w:tcPr>
            <w:tcW w:w="3885" w:type="dxa"/>
            <w:tcBorders>
              <w:top w:val="nil"/>
              <w:left w:val="nil"/>
              <w:bottom w:val="nil"/>
              <w:right w:val="nil"/>
            </w:tcBorders>
            <w:tcMar>
              <w:top w:w="0" w:type="dxa"/>
              <w:left w:w="100" w:type="dxa"/>
              <w:bottom w:w="0" w:type="dxa"/>
              <w:right w:w="100" w:type="dxa"/>
            </w:tcMar>
          </w:tcPr>
          <w:p w14:paraId="0A42F464"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Primary health care is easily accessible</w:t>
            </w:r>
          </w:p>
        </w:tc>
        <w:tc>
          <w:tcPr>
            <w:tcW w:w="720" w:type="dxa"/>
            <w:tcBorders>
              <w:top w:val="nil"/>
              <w:left w:val="nil"/>
              <w:bottom w:val="nil"/>
              <w:right w:val="nil"/>
            </w:tcBorders>
            <w:tcMar>
              <w:top w:w="0" w:type="dxa"/>
              <w:left w:w="100" w:type="dxa"/>
              <w:bottom w:w="0" w:type="dxa"/>
              <w:right w:w="100" w:type="dxa"/>
            </w:tcMar>
          </w:tcPr>
          <w:p w14:paraId="45A66051"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3.53</w:t>
            </w:r>
          </w:p>
        </w:tc>
        <w:tc>
          <w:tcPr>
            <w:tcW w:w="1965" w:type="dxa"/>
            <w:tcBorders>
              <w:top w:val="nil"/>
              <w:left w:val="nil"/>
              <w:bottom w:val="nil"/>
              <w:right w:val="nil"/>
            </w:tcBorders>
            <w:tcMar>
              <w:top w:w="0" w:type="dxa"/>
              <w:left w:w="100" w:type="dxa"/>
              <w:bottom w:w="0" w:type="dxa"/>
              <w:right w:w="100" w:type="dxa"/>
            </w:tcMar>
          </w:tcPr>
          <w:p w14:paraId="1AC9E1EA"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0.743</w:t>
            </w:r>
          </w:p>
        </w:tc>
        <w:tc>
          <w:tcPr>
            <w:tcW w:w="1665" w:type="dxa"/>
            <w:tcBorders>
              <w:top w:val="nil"/>
              <w:left w:val="nil"/>
              <w:bottom w:val="nil"/>
              <w:right w:val="nil"/>
            </w:tcBorders>
            <w:tcMar>
              <w:top w:w="0" w:type="dxa"/>
              <w:left w:w="100" w:type="dxa"/>
              <w:bottom w:w="0" w:type="dxa"/>
              <w:right w:w="100" w:type="dxa"/>
            </w:tcMar>
          </w:tcPr>
          <w:p w14:paraId="4DEC835B"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Satisfied</w:t>
            </w:r>
          </w:p>
        </w:tc>
      </w:tr>
      <w:tr w:rsidR="00A84E96" w:rsidRPr="002370CA" w14:paraId="1A66ADC0"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6C831A7F"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14</w:t>
            </w:r>
          </w:p>
        </w:tc>
        <w:tc>
          <w:tcPr>
            <w:tcW w:w="3885" w:type="dxa"/>
            <w:tcBorders>
              <w:top w:val="nil"/>
              <w:left w:val="nil"/>
              <w:bottom w:val="nil"/>
              <w:right w:val="nil"/>
            </w:tcBorders>
            <w:tcMar>
              <w:top w:w="0" w:type="dxa"/>
              <w:left w:w="100" w:type="dxa"/>
              <w:bottom w:w="0" w:type="dxa"/>
              <w:right w:w="100" w:type="dxa"/>
            </w:tcMar>
          </w:tcPr>
          <w:p w14:paraId="7C9C7816"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There is safety from crime</w:t>
            </w:r>
          </w:p>
        </w:tc>
        <w:tc>
          <w:tcPr>
            <w:tcW w:w="720" w:type="dxa"/>
            <w:tcBorders>
              <w:top w:val="nil"/>
              <w:left w:val="nil"/>
              <w:bottom w:val="nil"/>
              <w:right w:val="nil"/>
            </w:tcBorders>
            <w:tcMar>
              <w:top w:w="0" w:type="dxa"/>
              <w:left w:w="100" w:type="dxa"/>
              <w:bottom w:w="0" w:type="dxa"/>
              <w:right w:w="100" w:type="dxa"/>
            </w:tcMar>
          </w:tcPr>
          <w:p w14:paraId="19B7F13C"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3.04</w:t>
            </w:r>
          </w:p>
        </w:tc>
        <w:tc>
          <w:tcPr>
            <w:tcW w:w="1965" w:type="dxa"/>
            <w:tcBorders>
              <w:top w:val="nil"/>
              <w:left w:val="nil"/>
              <w:bottom w:val="nil"/>
              <w:right w:val="nil"/>
            </w:tcBorders>
            <w:tcMar>
              <w:top w:w="0" w:type="dxa"/>
              <w:left w:w="100" w:type="dxa"/>
              <w:bottom w:w="0" w:type="dxa"/>
              <w:right w:w="100" w:type="dxa"/>
            </w:tcMar>
          </w:tcPr>
          <w:p w14:paraId="40AE4D69"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1.088</w:t>
            </w:r>
          </w:p>
        </w:tc>
        <w:tc>
          <w:tcPr>
            <w:tcW w:w="1665" w:type="dxa"/>
            <w:tcBorders>
              <w:top w:val="nil"/>
              <w:left w:val="nil"/>
              <w:bottom w:val="nil"/>
              <w:right w:val="nil"/>
            </w:tcBorders>
            <w:tcMar>
              <w:top w:w="0" w:type="dxa"/>
              <w:left w:w="100" w:type="dxa"/>
              <w:bottom w:w="0" w:type="dxa"/>
              <w:right w:w="100" w:type="dxa"/>
            </w:tcMar>
          </w:tcPr>
          <w:p w14:paraId="79DC7AF9"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Not sure</w:t>
            </w:r>
          </w:p>
        </w:tc>
      </w:tr>
      <w:tr w:rsidR="00A84E96" w:rsidRPr="002370CA" w14:paraId="48CD34EC"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70246C00"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15</w:t>
            </w:r>
          </w:p>
        </w:tc>
        <w:tc>
          <w:tcPr>
            <w:tcW w:w="3885" w:type="dxa"/>
            <w:tcBorders>
              <w:top w:val="nil"/>
              <w:left w:val="nil"/>
              <w:bottom w:val="nil"/>
              <w:right w:val="nil"/>
            </w:tcBorders>
            <w:tcMar>
              <w:top w:w="0" w:type="dxa"/>
              <w:left w:w="100" w:type="dxa"/>
              <w:bottom w:w="0" w:type="dxa"/>
              <w:right w:w="100" w:type="dxa"/>
            </w:tcMar>
          </w:tcPr>
          <w:p w14:paraId="40502041"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Ease of moving around the neighborhood</w:t>
            </w:r>
          </w:p>
        </w:tc>
        <w:tc>
          <w:tcPr>
            <w:tcW w:w="720" w:type="dxa"/>
            <w:tcBorders>
              <w:top w:val="nil"/>
              <w:left w:val="nil"/>
              <w:bottom w:val="nil"/>
              <w:right w:val="nil"/>
            </w:tcBorders>
            <w:tcMar>
              <w:top w:w="0" w:type="dxa"/>
              <w:left w:w="100" w:type="dxa"/>
              <w:bottom w:w="0" w:type="dxa"/>
              <w:right w:w="100" w:type="dxa"/>
            </w:tcMar>
          </w:tcPr>
          <w:p w14:paraId="5CF238F3"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3.42</w:t>
            </w:r>
          </w:p>
        </w:tc>
        <w:tc>
          <w:tcPr>
            <w:tcW w:w="1965" w:type="dxa"/>
            <w:tcBorders>
              <w:top w:val="nil"/>
              <w:left w:val="nil"/>
              <w:bottom w:val="nil"/>
              <w:right w:val="nil"/>
            </w:tcBorders>
            <w:tcMar>
              <w:top w:w="0" w:type="dxa"/>
              <w:left w:w="100" w:type="dxa"/>
              <w:bottom w:w="0" w:type="dxa"/>
              <w:right w:w="100" w:type="dxa"/>
            </w:tcMar>
          </w:tcPr>
          <w:p w14:paraId="537FAC3A"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0.608</w:t>
            </w:r>
          </w:p>
        </w:tc>
        <w:tc>
          <w:tcPr>
            <w:tcW w:w="1665" w:type="dxa"/>
            <w:tcBorders>
              <w:top w:val="nil"/>
              <w:left w:val="nil"/>
              <w:bottom w:val="nil"/>
              <w:right w:val="nil"/>
            </w:tcBorders>
            <w:tcMar>
              <w:top w:w="0" w:type="dxa"/>
              <w:left w:w="100" w:type="dxa"/>
              <w:bottom w:w="0" w:type="dxa"/>
              <w:right w:w="100" w:type="dxa"/>
            </w:tcMar>
          </w:tcPr>
          <w:p w14:paraId="63FF00C3"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Not sure</w:t>
            </w:r>
          </w:p>
        </w:tc>
      </w:tr>
      <w:tr w:rsidR="00A84E96" w:rsidRPr="002370CA" w14:paraId="7B7841D2"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037413C9"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16</w:t>
            </w:r>
          </w:p>
        </w:tc>
        <w:tc>
          <w:tcPr>
            <w:tcW w:w="3885" w:type="dxa"/>
            <w:tcBorders>
              <w:top w:val="nil"/>
              <w:left w:val="nil"/>
              <w:bottom w:val="nil"/>
              <w:right w:val="nil"/>
            </w:tcBorders>
            <w:tcMar>
              <w:top w:w="0" w:type="dxa"/>
              <w:left w:w="100" w:type="dxa"/>
              <w:bottom w:w="0" w:type="dxa"/>
              <w:right w:w="100" w:type="dxa"/>
            </w:tcMar>
          </w:tcPr>
          <w:p w14:paraId="1727B587"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Distance to supermarkets is minimal</w:t>
            </w:r>
          </w:p>
        </w:tc>
        <w:tc>
          <w:tcPr>
            <w:tcW w:w="720" w:type="dxa"/>
            <w:tcBorders>
              <w:top w:val="nil"/>
              <w:left w:val="nil"/>
              <w:bottom w:val="nil"/>
              <w:right w:val="nil"/>
            </w:tcBorders>
            <w:tcMar>
              <w:top w:w="0" w:type="dxa"/>
              <w:left w:w="100" w:type="dxa"/>
              <w:bottom w:w="0" w:type="dxa"/>
              <w:right w:w="100" w:type="dxa"/>
            </w:tcMar>
          </w:tcPr>
          <w:p w14:paraId="696BB5A9"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4.63</w:t>
            </w:r>
          </w:p>
        </w:tc>
        <w:tc>
          <w:tcPr>
            <w:tcW w:w="1965" w:type="dxa"/>
            <w:tcBorders>
              <w:top w:val="nil"/>
              <w:left w:val="nil"/>
              <w:bottom w:val="nil"/>
              <w:right w:val="nil"/>
            </w:tcBorders>
            <w:tcMar>
              <w:top w:w="0" w:type="dxa"/>
              <w:left w:w="100" w:type="dxa"/>
              <w:bottom w:w="0" w:type="dxa"/>
              <w:right w:w="100" w:type="dxa"/>
            </w:tcMar>
          </w:tcPr>
          <w:p w14:paraId="64250862"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0.767</w:t>
            </w:r>
          </w:p>
        </w:tc>
        <w:tc>
          <w:tcPr>
            <w:tcW w:w="1665" w:type="dxa"/>
            <w:tcBorders>
              <w:top w:val="nil"/>
              <w:left w:val="nil"/>
              <w:bottom w:val="nil"/>
              <w:right w:val="nil"/>
            </w:tcBorders>
            <w:tcMar>
              <w:top w:w="0" w:type="dxa"/>
              <w:left w:w="100" w:type="dxa"/>
              <w:bottom w:w="0" w:type="dxa"/>
              <w:right w:w="100" w:type="dxa"/>
            </w:tcMar>
          </w:tcPr>
          <w:p w14:paraId="7BBF7855"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Satisfied</w:t>
            </w:r>
          </w:p>
        </w:tc>
      </w:tr>
      <w:tr w:rsidR="00A84E96" w:rsidRPr="002370CA" w14:paraId="7738BCA6"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4F8219B0"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17</w:t>
            </w:r>
          </w:p>
        </w:tc>
        <w:tc>
          <w:tcPr>
            <w:tcW w:w="3885" w:type="dxa"/>
            <w:tcBorders>
              <w:top w:val="nil"/>
              <w:left w:val="nil"/>
              <w:bottom w:val="nil"/>
              <w:right w:val="nil"/>
            </w:tcBorders>
            <w:tcMar>
              <w:top w:w="0" w:type="dxa"/>
              <w:left w:w="100" w:type="dxa"/>
              <w:bottom w:w="0" w:type="dxa"/>
              <w:right w:w="100" w:type="dxa"/>
            </w:tcMar>
          </w:tcPr>
          <w:p w14:paraId="4D204D47"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Access to bars/restaurants/cafeterias</w:t>
            </w:r>
          </w:p>
        </w:tc>
        <w:tc>
          <w:tcPr>
            <w:tcW w:w="720" w:type="dxa"/>
            <w:tcBorders>
              <w:top w:val="nil"/>
              <w:left w:val="nil"/>
              <w:bottom w:val="nil"/>
              <w:right w:val="nil"/>
            </w:tcBorders>
            <w:tcMar>
              <w:top w:w="0" w:type="dxa"/>
              <w:left w:w="100" w:type="dxa"/>
              <w:bottom w:w="0" w:type="dxa"/>
              <w:right w:w="100" w:type="dxa"/>
            </w:tcMar>
          </w:tcPr>
          <w:p w14:paraId="6B417C8D"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3.49</w:t>
            </w:r>
          </w:p>
        </w:tc>
        <w:tc>
          <w:tcPr>
            <w:tcW w:w="1965" w:type="dxa"/>
            <w:tcBorders>
              <w:top w:val="nil"/>
              <w:left w:val="nil"/>
              <w:bottom w:val="nil"/>
              <w:right w:val="nil"/>
            </w:tcBorders>
            <w:tcMar>
              <w:top w:w="0" w:type="dxa"/>
              <w:left w:w="100" w:type="dxa"/>
              <w:bottom w:w="0" w:type="dxa"/>
              <w:right w:w="100" w:type="dxa"/>
            </w:tcMar>
          </w:tcPr>
          <w:p w14:paraId="4A540C4E"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1.007</w:t>
            </w:r>
          </w:p>
        </w:tc>
        <w:tc>
          <w:tcPr>
            <w:tcW w:w="1665" w:type="dxa"/>
            <w:tcBorders>
              <w:top w:val="nil"/>
              <w:left w:val="nil"/>
              <w:bottom w:val="nil"/>
              <w:right w:val="nil"/>
            </w:tcBorders>
            <w:tcMar>
              <w:top w:w="0" w:type="dxa"/>
              <w:left w:w="100" w:type="dxa"/>
              <w:bottom w:w="0" w:type="dxa"/>
              <w:right w:w="100" w:type="dxa"/>
            </w:tcMar>
          </w:tcPr>
          <w:p w14:paraId="1568F982"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Not sure</w:t>
            </w:r>
          </w:p>
        </w:tc>
      </w:tr>
      <w:tr w:rsidR="00A84E96" w:rsidRPr="002370CA" w14:paraId="72800FA0"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56AA36FF"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18</w:t>
            </w:r>
          </w:p>
        </w:tc>
        <w:tc>
          <w:tcPr>
            <w:tcW w:w="3885" w:type="dxa"/>
            <w:tcBorders>
              <w:top w:val="nil"/>
              <w:left w:val="nil"/>
              <w:bottom w:val="nil"/>
              <w:right w:val="nil"/>
            </w:tcBorders>
            <w:tcMar>
              <w:top w:w="0" w:type="dxa"/>
              <w:left w:w="100" w:type="dxa"/>
              <w:bottom w:w="0" w:type="dxa"/>
              <w:right w:w="100" w:type="dxa"/>
            </w:tcMar>
          </w:tcPr>
          <w:p w14:paraId="5B0CB6DE"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Frequency of meeting neighbors</w:t>
            </w:r>
          </w:p>
        </w:tc>
        <w:tc>
          <w:tcPr>
            <w:tcW w:w="720" w:type="dxa"/>
            <w:tcBorders>
              <w:top w:val="nil"/>
              <w:left w:val="nil"/>
              <w:bottom w:val="nil"/>
              <w:right w:val="nil"/>
            </w:tcBorders>
            <w:tcMar>
              <w:top w:w="0" w:type="dxa"/>
              <w:left w:w="100" w:type="dxa"/>
              <w:bottom w:w="0" w:type="dxa"/>
              <w:right w:w="100" w:type="dxa"/>
            </w:tcMar>
          </w:tcPr>
          <w:p w14:paraId="11D04183"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4.71</w:t>
            </w:r>
          </w:p>
        </w:tc>
        <w:tc>
          <w:tcPr>
            <w:tcW w:w="1965" w:type="dxa"/>
            <w:tcBorders>
              <w:top w:val="nil"/>
              <w:left w:val="nil"/>
              <w:bottom w:val="nil"/>
              <w:right w:val="nil"/>
            </w:tcBorders>
            <w:tcMar>
              <w:top w:w="0" w:type="dxa"/>
              <w:left w:w="100" w:type="dxa"/>
              <w:bottom w:w="0" w:type="dxa"/>
              <w:right w:w="100" w:type="dxa"/>
            </w:tcMar>
          </w:tcPr>
          <w:p w14:paraId="7D6DF06A"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0.62</w:t>
            </w:r>
          </w:p>
        </w:tc>
        <w:tc>
          <w:tcPr>
            <w:tcW w:w="1665" w:type="dxa"/>
            <w:tcBorders>
              <w:top w:val="nil"/>
              <w:left w:val="nil"/>
              <w:bottom w:val="nil"/>
              <w:right w:val="nil"/>
            </w:tcBorders>
            <w:tcMar>
              <w:top w:w="0" w:type="dxa"/>
              <w:left w:w="100" w:type="dxa"/>
              <w:bottom w:w="0" w:type="dxa"/>
              <w:right w:w="100" w:type="dxa"/>
            </w:tcMar>
          </w:tcPr>
          <w:p w14:paraId="7DAD0AB0"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Satisfied</w:t>
            </w:r>
          </w:p>
        </w:tc>
      </w:tr>
      <w:tr w:rsidR="00A84E96" w:rsidRPr="002370CA" w14:paraId="0262B3D8"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35E4598C"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19</w:t>
            </w:r>
          </w:p>
        </w:tc>
        <w:tc>
          <w:tcPr>
            <w:tcW w:w="3885" w:type="dxa"/>
            <w:tcBorders>
              <w:top w:val="nil"/>
              <w:left w:val="nil"/>
              <w:bottom w:val="nil"/>
              <w:right w:val="nil"/>
            </w:tcBorders>
            <w:tcMar>
              <w:top w:w="0" w:type="dxa"/>
              <w:left w:w="100" w:type="dxa"/>
              <w:bottom w:w="0" w:type="dxa"/>
              <w:right w:w="100" w:type="dxa"/>
            </w:tcMar>
          </w:tcPr>
          <w:p w14:paraId="144C2368"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Distance to the local outpatient department</w:t>
            </w:r>
          </w:p>
        </w:tc>
        <w:tc>
          <w:tcPr>
            <w:tcW w:w="720" w:type="dxa"/>
            <w:tcBorders>
              <w:top w:val="nil"/>
              <w:left w:val="nil"/>
              <w:bottom w:val="nil"/>
              <w:right w:val="nil"/>
            </w:tcBorders>
            <w:tcMar>
              <w:top w:w="0" w:type="dxa"/>
              <w:left w:w="100" w:type="dxa"/>
              <w:bottom w:w="0" w:type="dxa"/>
              <w:right w:w="100" w:type="dxa"/>
            </w:tcMar>
          </w:tcPr>
          <w:p w14:paraId="47F71490"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3.32</w:t>
            </w:r>
          </w:p>
        </w:tc>
        <w:tc>
          <w:tcPr>
            <w:tcW w:w="1965" w:type="dxa"/>
            <w:tcBorders>
              <w:top w:val="nil"/>
              <w:left w:val="nil"/>
              <w:bottom w:val="nil"/>
              <w:right w:val="nil"/>
            </w:tcBorders>
            <w:tcMar>
              <w:top w:w="0" w:type="dxa"/>
              <w:left w:w="100" w:type="dxa"/>
              <w:bottom w:w="0" w:type="dxa"/>
              <w:right w:w="100" w:type="dxa"/>
            </w:tcMar>
          </w:tcPr>
          <w:p w14:paraId="6CDCB299"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0.554</w:t>
            </w:r>
          </w:p>
        </w:tc>
        <w:tc>
          <w:tcPr>
            <w:tcW w:w="1665" w:type="dxa"/>
            <w:tcBorders>
              <w:top w:val="nil"/>
              <w:left w:val="nil"/>
              <w:bottom w:val="nil"/>
              <w:right w:val="nil"/>
            </w:tcBorders>
            <w:tcMar>
              <w:top w:w="0" w:type="dxa"/>
              <w:left w:w="100" w:type="dxa"/>
              <w:bottom w:w="0" w:type="dxa"/>
              <w:right w:w="100" w:type="dxa"/>
            </w:tcMar>
          </w:tcPr>
          <w:p w14:paraId="69BC9310"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Not sure</w:t>
            </w:r>
          </w:p>
        </w:tc>
      </w:tr>
      <w:tr w:rsidR="00A84E96" w:rsidRPr="002370CA" w14:paraId="38AEB1E1"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1F9A0F95"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20</w:t>
            </w:r>
          </w:p>
        </w:tc>
        <w:tc>
          <w:tcPr>
            <w:tcW w:w="3885" w:type="dxa"/>
            <w:tcBorders>
              <w:top w:val="nil"/>
              <w:left w:val="nil"/>
              <w:bottom w:val="nil"/>
              <w:right w:val="nil"/>
            </w:tcBorders>
            <w:tcMar>
              <w:top w:w="0" w:type="dxa"/>
              <w:left w:w="100" w:type="dxa"/>
              <w:bottom w:w="0" w:type="dxa"/>
              <w:right w:w="100" w:type="dxa"/>
            </w:tcMar>
          </w:tcPr>
          <w:p w14:paraId="74547DC0"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Mobility in the Neighborhood</w:t>
            </w:r>
          </w:p>
        </w:tc>
        <w:tc>
          <w:tcPr>
            <w:tcW w:w="720" w:type="dxa"/>
            <w:tcBorders>
              <w:top w:val="nil"/>
              <w:left w:val="nil"/>
              <w:bottom w:val="nil"/>
              <w:right w:val="nil"/>
            </w:tcBorders>
            <w:tcMar>
              <w:top w:w="0" w:type="dxa"/>
              <w:left w:w="100" w:type="dxa"/>
              <w:bottom w:w="0" w:type="dxa"/>
              <w:right w:w="100" w:type="dxa"/>
            </w:tcMar>
          </w:tcPr>
          <w:p w14:paraId="68692F8D"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2.69</w:t>
            </w:r>
          </w:p>
        </w:tc>
        <w:tc>
          <w:tcPr>
            <w:tcW w:w="1965" w:type="dxa"/>
            <w:tcBorders>
              <w:top w:val="nil"/>
              <w:left w:val="nil"/>
              <w:bottom w:val="nil"/>
              <w:right w:val="nil"/>
            </w:tcBorders>
            <w:tcMar>
              <w:top w:w="0" w:type="dxa"/>
              <w:left w:w="100" w:type="dxa"/>
              <w:bottom w:w="0" w:type="dxa"/>
              <w:right w:w="100" w:type="dxa"/>
            </w:tcMar>
          </w:tcPr>
          <w:p w14:paraId="2652175B"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0.979</w:t>
            </w:r>
          </w:p>
        </w:tc>
        <w:tc>
          <w:tcPr>
            <w:tcW w:w="1665" w:type="dxa"/>
            <w:tcBorders>
              <w:top w:val="nil"/>
              <w:left w:val="nil"/>
              <w:bottom w:val="nil"/>
              <w:right w:val="nil"/>
            </w:tcBorders>
            <w:tcMar>
              <w:top w:w="0" w:type="dxa"/>
              <w:left w:w="100" w:type="dxa"/>
              <w:bottom w:w="0" w:type="dxa"/>
              <w:right w:w="100" w:type="dxa"/>
            </w:tcMar>
          </w:tcPr>
          <w:p w14:paraId="3656BD73"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Not sure</w:t>
            </w:r>
          </w:p>
        </w:tc>
      </w:tr>
      <w:tr w:rsidR="00A84E96" w:rsidRPr="002370CA" w14:paraId="409F3F33" w14:textId="77777777" w:rsidTr="002370CA">
        <w:trPr>
          <w:trHeight w:val="435"/>
          <w:jc w:val="center"/>
        </w:trPr>
        <w:tc>
          <w:tcPr>
            <w:tcW w:w="555" w:type="dxa"/>
            <w:tcBorders>
              <w:top w:val="nil"/>
              <w:left w:val="nil"/>
              <w:bottom w:val="nil"/>
              <w:right w:val="nil"/>
            </w:tcBorders>
            <w:tcMar>
              <w:top w:w="0" w:type="dxa"/>
              <w:left w:w="100" w:type="dxa"/>
              <w:bottom w:w="0" w:type="dxa"/>
              <w:right w:w="100" w:type="dxa"/>
            </w:tcMar>
          </w:tcPr>
          <w:p w14:paraId="20EADB0F"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21</w:t>
            </w:r>
          </w:p>
        </w:tc>
        <w:tc>
          <w:tcPr>
            <w:tcW w:w="3885" w:type="dxa"/>
            <w:tcBorders>
              <w:top w:val="nil"/>
              <w:left w:val="nil"/>
              <w:bottom w:val="nil"/>
              <w:right w:val="nil"/>
            </w:tcBorders>
            <w:tcMar>
              <w:top w:w="0" w:type="dxa"/>
              <w:left w:w="100" w:type="dxa"/>
              <w:bottom w:w="0" w:type="dxa"/>
              <w:right w:w="100" w:type="dxa"/>
            </w:tcMar>
          </w:tcPr>
          <w:p w14:paraId="6CE28B83"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Government policy on housing provision</w:t>
            </w:r>
          </w:p>
        </w:tc>
        <w:tc>
          <w:tcPr>
            <w:tcW w:w="720" w:type="dxa"/>
            <w:tcBorders>
              <w:top w:val="nil"/>
              <w:left w:val="nil"/>
              <w:bottom w:val="nil"/>
              <w:right w:val="nil"/>
            </w:tcBorders>
            <w:tcMar>
              <w:top w:w="0" w:type="dxa"/>
              <w:left w:w="100" w:type="dxa"/>
              <w:bottom w:w="0" w:type="dxa"/>
              <w:right w:w="100" w:type="dxa"/>
            </w:tcMar>
          </w:tcPr>
          <w:p w14:paraId="4A0F2237"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1.82</w:t>
            </w:r>
          </w:p>
        </w:tc>
        <w:tc>
          <w:tcPr>
            <w:tcW w:w="1965" w:type="dxa"/>
            <w:tcBorders>
              <w:top w:val="nil"/>
              <w:left w:val="nil"/>
              <w:bottom w:val="nil"/>
              <w:right w:val="nil"/>
            </w:tcBorders>
            <w:tcMar>
              <w:top w:w="0" w:type="dxa"/>
              <w:left w:w="100" w:type="dxa"/>
              <w:bottom w:w="0" w:type="dxa"/>
              <w:right w:w="100" w:type="dxa"/>
            </w:tcMar>
          </w:tcPr>
          <w:p w14:paraId="41A07B1C"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0.865</w:t>
            </w:r>
          </w:p>
        </w:tc>
        <w:tc>
          <w:tcPr>
            <w:tcW w:w="1665" w:type="dxa"/>
            <w:tcBorders>
              <w:top w:val="nil"/>
              <w:left w:val="nil"/>
              <w:bottom w:val="nil"/>
              <w:right w:val="nil"/>
            </w:tcBorders>
            <w:tcMar>
              <w:top w:w="0" w:type="dxa"/>
              <w:left w:w="100" w:type="dxa"/>
              <w:bottom w:w="0" w:type="dxa"/>
              <w:right w:w="100" w:type="dxa"/>
            </w:tcMar>
          </w:tcPr>
          <w:p w14:paraId="449FC6ED"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Very Dissatisfied</w:t>
            </w:r>
          </w:p>
        </w:tc>
      </w:tr>
      <w:tr w:rsidR="00A84E96" w:rsidRPr="002370CA" w14:paraId="60FCD86C"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38485DD8"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22</w:t>
            </w:r>
          </w:p>
        </w:tc>
        <w:tc>
          <w:tcPr>
            <w:tcW w:w="3885" w:type="dxa"/>
            <w:tcBorders>
              <w:top w:val="nil"/>
              <w:left w:val="nil"/>
              <w:bottom w:val="nil"/>
              <w:right w:val="nil"/>
            </w:tcBorders>
            <w:tcMar>
              <w:top w:w="0" w:type="dxa"/>
              <w:left w:w="100" w:type="dxa"/>
              <w:bottom w:w="0" w:type="dxa"/>
              <w:right w:w="100" w:type="dxa"/>
            </w:tcMar>
          </w:tcPr>
          <w:p w14:paraId="4B450AE6"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Fairness of policy to household heads</w:t>
            </w:r>
          </w:p>
        </w:tc>
        <w:tc>
          <w:tcPr>
            <w:tcW w:w="720" w:type="dxa"/>
            <w:tcBorders>
              <w:top w:val="nil"/>
              <w:left w:val="nil"/>
              <w:bottom w:val="nil"/>
              <w:right w:val="nil"/>
            </w:tcBorders>
            <w:tcMar>
              <w:top w:w="0" w:type="dxa"/>
              <w:left w:w="100" w:type="dxa"/>
              <w:bottom w:w="0" w:type="dxa"/>
              <w:right w:w="100" w:type="dxa"/>
            </w:tcMar>
          </w:tcPr>
          <w:p w14:paraId="32BFF4D2"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2.07</w:t>
            </w:r>
          </w:p>
        </w:tc>
        <w:tc>
          <w:tcPr>
            <w:tcW w:w="1965" w:type="dxa"/>
            <w:tcBorders>
              <w:top w:val="nil"/>
              <w:left w:val="nil"/>
              <w:bottom w:val="nil"/>
              <w:right w:val="nil"/>
            </w:tcBorders>
            <w:tcMar>
              <w:top w:w="0" w:type="dxa"/>
              <w:left w:w="100" w:type="dxa"/>
              <w:bottom w:w="0" w:type="dxa"/>
              <w:right w:w="100" w:type="dxa"/>
            </w:tcMar>
          </w:tcPr>
          <w:p w14:paraId="091FD8E9"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0.773</w:t>
            </w:r>
          </w:p>
        </w:tc>
        <w:tc>
          <w:tcPr>
            <w:tcW w:w="1665" w:type="dxa"/>
            <w:tcBorders>
              <w:top w:val="nil"/>
              <w:left w:val="nil"/>
              <w:bottom w:val="nil"/>
              <w:right w:val="nil"/>
            </w:tcBorders>
            <w:tcMar>
              <w:top w:w="0" w:type="dxa"/>
              <w:left w:w="100" w:type="dxa"/>
              <w:bottom w:w="0" w:type="dxa"/>
              <w:right w:w="100" w:type="dxa"/>
            </w:tcMar>
          </w:tcPr>
          <w:p w14:paraId="25D11419"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Dissatisfied</w:t>
            </w:r>
          </w:p>
        </w:tc>
      </w:tr>
      <w:tr w:rsidR="00A84E96" w:rsidRPr="002370CA" w14:paraId="15C35207"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5F07A32A"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23</w:t>
            </w:r>
          </w:p>
        </w:tc>
        <w:tc>
          <w:tcPr>
            <w:tcW w:w="3885" w:type="dxa"/>
            <w:tcBorders>
              <w:top w:val="nil"/>
              <w:left w:val="nil"/>
              <w:bottom w:val="nil"/>
              <w:right w:val="nil"/>
            </w:tcBorders>
            <w:tcMar>
              <w:top w:w="0" w:type="dxa"/>
              <w:left w:w="100" w:type="dxa"/>
              <w:bottom w:w="0" w:type="dxa"/>
              <w:right w:w="100" w:type="dxa"/>
            </w:tcMar>
          </w:tcPr>
          <w:p w14:paraId="430B6CBB"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The allocation process gave equal access</w:t>
            </w:r>
          </w:p>
        </w:tc>
        <w:tc>
          <w:tcPr>
            <w:tcW w:w="720" w:type="dxa"/>
            <w:tcBorders>
              <w:top w:val="nil"/>
              <w:left w:val="nil"/>
              <w:bottom w:val="nil"/>
              <w:right w:val="nil"/>
            </w:tcBorders>
            <w:tcMar>
              <w:top w:w="0" w:type="dxa"/>
              <w:left w:w="100" w:type="dxa"/>
              <w:bottom w:w="0" w:type="dxa"/>
              <w:right w:w="100" w:type="dxa"/>
            </w:tcMar>
          </w:tcPr>
          <w:p w14:paraId="2857200C"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2.91</w:t>
            </w:r>
          </w:p>
        </w:tc>
        <w:tc>
          <w:tcPr>
            <w:tcW w:w="1965" w:type="dxa"/>
            <w:tcBorders>
              <w:top w:val="nil"/>
              <w:left w:val="nil"/>
              <w:bottom w:val="nil"/>
              <w:right w:val="nil"/>
            </w:tcBorders>
            <w:tcMar>
              <w:top w:w="0" w:type="dxa"/>
              <w:left w:w="100" w:type="dxa"/>
              <w:bottom w:w="0" w:type="dxa"/>
              <w:right w:w="100" w:type="dxa"/>
            </w:tcMar>
          </w:tcPr>
          <w:p w14:paraId="3175253B"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0.782</w:t>
            </w:r>
          </w:p>
        </w:tc>
        <w:tc>
          <w:tcPr>
            <w:tcW w:w="1665" w:type="dxa"/>
            <w:tcBorders>
              <w:top w:val="nil"/>
              <w:left w:val="nil"/>
              <w:bottom w:val="nil"/>
              <w:right w:val="nil"/>
            </w:tcBorders>
            <w:tcMar>
              <w:top w:w="0" w:type="dxa"/>
              <w:left w:w="100" w:type="dxa"/>
              <w:bottom w:w="0" w:type="dxa"/>
              <w:right w:w="100" w:type="dxa"/>
            </w:tcMar>
          </w:tcPr>
          <w:p w14:paraId="76221D19"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Not Sure</w:t>
            </w:r>
          </w:p>
        </w:tc>
      </w:tr>
      <w:tr w:rsidR="00A84E96" w:rsidRPr="002370CA" w14:paraId="3E223B49"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012E9975"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24</w:t>
            </w:r>
          </w:p>
        </w:tc>
        <w:tc>
          <w:tcPr>
            <w:tcW w:w="3885" w:type="dxa"/>
            <w:tcBorders>
              <w:top w:val="nil"/>
              <w:left w:val="nil"/>
              <w:bottom w:val="nil"/>
              <w:right w:val="nil"/>
            </w:tcBorders>
            <w:tcMar>
              <w:top w:w="0" w:type="dxa"/>
              <w:left w:w="100" w:type="dxa"/>
              <w:bottom w:w="0" w:type="dxa"/>
              <w:right w:w="100" w:type="dxa"/>
            </w:tcMar>
          </w:tcPr>
          <w:p w14:paraId="73C1D8D8"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The allocation process was easy</w:t>
            </w:r>
          </w:p>
        </w:tc>
        <w:tc>
          <w:tcPr>
            <w:tcW w:w="720" w:type="dxa"/>
            <w:tcBorders>
              <w:top w:val="nil"/>
              <w:left w:val="nil"/>
              <w:bottom w:val="nil"/>
              <w:right w:val="nil"/>
            </w:tcBorders>
            <w:tcMar>
              <w:top w:w="0" w:type="dxa"/>
              <w:left w:w="100" w:type="dxa"/>
              <w:bottom w:w="0" w:type="dxa"/>
              <w:right w:w="100" w:type="dxa"/>
            </w:tcMar>
          </w:tcPr>
          <w:p w14:paraId="6EA8D146"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2.46</w:t>
            </w:r>
          </w:p>
        </w:tc>
        <w:tc>
          <w:tcPr>
            <w:tcW w:w="1965" w:type="dxa"/>
            <w:tcBorders>
              <w:top w:val="nil"/>
              <w:left w:val="nil"/>
              <w:bottom w:val="nil"/>
              <w:right w:val="nil"/>
            </w:tcBorders>
            <w:tcMar>
              <w:top w:w="0" w:type="dxa"/>
              <w:left w:w="100" w:type="dxa"/>
              <w:bottom w:w="0" w:type="dxa"/>
              <w:right w:w="100" w:type="dxa"/>
            </w:tcMar>
          </w:tcPr>
          <w:p w14:paraId="5D716B15"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0.731</w:t>
            </w:r>
          </w:p>
        </w:tc>
        <w:tc>
          <w:tcPr>
            <w:tcW w:w="1665" w:type="dxa"/>
            <w:tcBorders>
              <w:top w:val="nil"/>
              <w:left w:val="nil"/>
              <w:bottom w:val="nil"/>
              <w:right w:val="nil"/>
            </w:tcBorders>
            <w:tcMar>
              <w:top w:w="0" w:type="dxa"/>
              <w:left w:w="100" w:type="dxa"/>
              <w:bottom w:w="0" w:type="dxa"/>
              <w:right w:w="100" w:type="dxa"/>
            </w:tcMar>
          </w:tcPr>
          <w:p w14:paraId="6325D9D2"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Dissatisfied</w:t>
            </w:r>
          </w:p>
        </w:tc>
      </w:tr>
      <w:tr w:rsidR="00A84E96" w:rsidRPr="002370CA" w14:paraId="71E69404"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42492BDF"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25</w:t>
            </w:r>
          </w:p>
        </w:tc>
        <w:tc>
          <w:tcPr>
            <w:tcW w:w="3885" w:type="dxa"/>
            <w:tcBorders>
              <w:top w:val="nil"/>
              <w:left w:val="nil"/>
              <w:bottom w:val="nil"/>
              <w:right w:val="nil"/>
            </w:tcBorders>
            <w:tcMar>
              <w:top w:w="0" w:type="dxa"/>
              <w:left w:w="100" w:type="dxa"/>
              <w:bottom w:w="0" w:type="dxa"/>
              <w:right w:w="100" w:type="dxa"/>
            </w:tcMar>
          </w:tcPr>
          <w:p w14:paraId="0C24E760"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Requirements for allocation are clearly stated</w:t>
            </w:r>
          </w:p>
        </w:tc>
        <w:tc>
          <w:tcPr>
            <w:tcW w:w="720" w:type="dxa"/>
            <w:tcBorders>
              <w:top w:val="nil"/>
              <w:left w:val="nil"/>
              <w:bottom w:val="nil"/>
              <w:right w:val="nil"/>
            </w:tcBorders>
            <w:tcMar>
              <w:top w:w="0" w:type="dxa"/>
              <w:left w:w="100" w:type="dxa"/>
              <w:bottom w:w="0" w:type="dxa"/>
              <w:right w:w="100" w:type="dxa"/>
            </w:tcMar>
          </w:tcPr>
          <w:p w14:paraId="7ECD0DC9"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3.84</w:t>
            </w:r>
          </w:p>
        </w:tc>
        <w:tc>
          <w:tcPr>
            <w:tcW w:w="1965" w:type="dxa"/>
            <w:tcBorders>
              <w:top w:val="nil"/>
              <w:left w:val="nil"/>
              <w:bottom w:val="nil"/>
              <w:right w:val="nil"/>
            </w:tcBorders>
            <w:tcMar>
              <w:top w:w="0" w:type="dxa"/>
              <w:left w:w="100" w:type="dxa"/>
              <w:bottom w:w="0" w:type="dxa"/>
              <w:right w:w="100" w:type="dxa"/>
            </w:tcMar>
          </w:tcPr>
          <w:p w14:paraId="1B96D5E7"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0.508</w:t>
            </w:r>
          </w:p>
        </w:tc>
        <w:tc>
          <w:tcPr>
            <w:tcW w:w="1665" w:type="dxa"/>
            <w:tcBorders>
              <w:top w:val="nil"/>
              <w:left w:val="nil"/>
              <w:bottom w:val="nil"/>
              <w:right w:val="nil"/>
            </w:tcBorders>
            <w:tcMar>
              <w:top w:w="0" w:type="dxa"/>
              <w:left w:w="100" w:type="dxa"/>
              <w:bottom w:w="0" w:type="dxa"/>
              <w:right w:w="100" w:type="dxa"/>
            </w:tcMar>
          </w:tcPr>
          <w:p w14:paraId="0498B864"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Satisfied</w:t>
            </w:r>
          </w:p>
        </w:tc>
      </w:tr>
      <w:tr w:rsidR="00A84E96" w:rsidRPr="002370CA" w14:paraId="348ADBE9"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35C9466E"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26</w:t>
            </w:r>
          </w:p>
        </w:tc>
        <w:tc>
          <w:tcPr>
            <w:tcW w:w="3885" w:type="dxa"/>
            <w:tcBorders>
              <w:top w:val="nil"/>
              <w:left w:val="nil"/>
              <w:bottom w:val="nil"/>
              <w:right w:val="nil"/>
            </w:tcBorders>
            <w:tcMar>
              <w:top w:w="0" w:type="dxa"/>
              <w:left w:w="100" w:type="dxa"/>
              <w:bottom w:w="0" w:type="dxa"/>
              <w:right w:w="100" w:type="dxa"/>
            </w:tcMar>
          </w:tcPr>
          <w:p w14:paraId="059FAFDF"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The allocation process had too many hurdles</w:t>
            </w:r>
          </w:p>
        </w:tc>
        <w:tc>
          <w:tcPr>
            <w:tcW w:w="720" w:type="dxa"/>
            <w:tcBorders>
              <w:top w:val="nil"/>
              <w:left w:val="nil"/>
              <w:bottom w:val="nil"/>
              <w:right w:val="nil"/>
            </w:tcBorders>
            <w:tcMar>
              <w:top w:w="0" w:type="dxa"/>
              <w:left w:w="100" w:type="dxa"/>
              <w:bottom w:w="0" w:type="dxa"/>
              <w:right w:w="100" w:type="dxa"/>
            </w:tcMar>
          </w:tcPr>
          <w:p w14:paraId="5A2AC38B"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3.71</w:t>
            </w:r>
          </w:p>
        </w:tc>
        <w:tc>
          <w:tcPr>
            <w:tcW w:w="1965" w:type="dxa"/>
            <w:tcBorders>
              <w:top w:val="nil"/>
              <w:left w:val="nil"/>
              <w:bottom w:val="nil"/>
              <w:right w:val="nil"/>
            </w:tcBorders>
            <w:tcMar>
              <w:top w:w="0" w:type="dxa"/>
              <w:left w:w="100" w:type="dxa"/>
              <w:bottom w:w="0" w:type="dxa"/>
              <w:right w:w="100" w:type="dxa"/>
            </w:tcMar>
          </w:tcPr>
          <w:p w14:paraId="359C9AEA"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0.993</w:t>
            </w:r>
          </w:p>
        </w:tc>
        <w:tc>
          <w:tcPr>
            <w:tcW w:w="1665" w:type="dxa"/>
            <w:tcBorders>
              <w:top w:val="nil"/>
              <w:left w:val="nil"/>
              <w:bottom w:val="nil"/>
              <w:right w:val="nil"/>
            </w:tcBorders>
            <w:tcMar>
              <w:top w:w="0" w:type="dxa"/>
              <w:left w:w="100" w:type="dxa"/>
              <w:bottom w:w="0" w:type="dxa"/>
              <w:right w:w="100" w:type="dxa"/>
            </w:tcMar>
          </w:tcPr>
          <w:p w14:paraId="53EFE0AB"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Satisfied</w:t>
            </w:r>
          </w:p>
        </w:tc>
      </w:tr>
      <w:tr w:rsidR="00A84E96" w:rsidRPr="002370CA" w14:paraId="6363B548" w14:textId="77777777" w:rsidTr="002370CA">
        <w:trPr>
          <w:trHeight w:val="435"/>
          <w:jc w:val="center"/>
        </w:trPr>
        <w:tc>
          <w:tcPr>
            <w:tcW w:w="555" w:type="dxa"/>
            <w:tcBorders>
              <w:top w:val="nil"/>
              <w:left w:val="nil"/>
              <w:bottom w:val="nil"/>
              <w:right w:val="nil"/>
            </w:tcBorders>
            <w:tcMar>
              <w:top w:w="0" w:type="dxa"/>
              <w:left w:w="100" w:type="dxa"/>
              <w:bottom w:w="0" w:type="dxa"/>
              <w:right w:w="100" w:type="dxa"/>
            </w:tcMar>
          </w:tcPr>
          <w:p w14:paraId="4E2340AD"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27</w:t>
            </w:r>
          </w:p>
        </w:tc>
        <w:tc>
          <w:tcPr>
            <w:tcW w:w="3885" w:type="dxa"/>
            <w:tcBorders>
              <w:top w:val="nil"/>
              <w:left w:val="nil"/>
              <w:bottom w:val="nil"/>
              <w:right w:val="nil"/>
            </w:tcBorders>
            <w:tcMar>
              <w:top w:w="0" w:type="dxa"/>
              <w:left w:w="100" w:type="dxa"/>
              <w:bottom w:w="0" w:type="dxa"/>
              <w:right w:w="100" w:type="dxa"/>
            </w:tcMar>
          </w:tcPr>
          <w:p w14:paraId="39750E2E"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House designed/built without involvement</w:t>
            </w:r>
          </w:p>
        </w:tc>
        <w:tc>
          <w:tcPr>
            <w:tcW w:w="720" w:type="dxa"/>
            <w:tcBorders>
              <w:top w:val="nil"/>
              <w:left w:val="nil"/>
              <w:bottom w:val="nil"/>
              <w:right w:val="nil"/>
            </w:tcBorders>
            <w:tcMar>
              <w:top w:w="0" w:type="dxa"/>
              <w:left w:w="100" w:type="dxa"/>
              <w:bottom w:w="0" w:type="dxa"/>
              <w:right w:w="100" w:type="dxa"/>
            </w:tcMar>
          </w:tcPr>
          <w:p w14:paraId="5AADD2AD"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4.53</w:t>
            </w:r>
          </w:p>
        </w:tc>
        <w:tc>
          <w:tcPr>
            <w:tcW w:w="1965" w:type="dxa"/>
            <w:tcBorders>
              <w:top w:val="nil"/>
              <w:left w:val="nil"/>
              <w:bottom w:val="nil"/>
              <w:right w:val="nil"/>
            </w:tcBorders>
            <w:tcMar>
              <w:top w:w="0" w:type="dxa"/>
              <w:left w:w="100" w:type="dxa"/>
              <w:bottom w:w="0" w:type="dxa"/>
              <w:right w:w="100" w:type="dxa"/>
            </w:tcMar>
          </w:tcPr>
          <w:p w14:paraId="59781A20"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0.778</w:t>
            </w:r>
          </w:p>
        </w:tc>
        <w:tc>
          <w:tcPr>
            <w:tcW w:w="1665" w:type="dxa"/>
            <w:tcBorders>
              <w:top w:val="nil"/>
              <w:left w:val="nil"/>
              <w:bottom w:val="nil"/>
              <w:right w:val="nil"/>
            </w:tcBorders>
            <w:tcMar>
              <w:top w:w="0" w:type="dxa"/>
              <w:left w:w="100" w:type="dxa"/>
              <w:bottom w:w="0" w:type="dxa"/>
              <w:right w:w="100" w:type="dxa"/>
            </w:tcMar>
          </w:tcPr>
          <w:p w14:paraId="6F8F3150"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Satisfied</w:t>
            </w:r>
          </w:p>
        </w:tc>
      </w:tr>
      <w:tr w:rsidR="00A84E96" w:rsidRPr="002370CA" w14:paraId="2264FCED"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032E88AA"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28</w:t>
            </w:r>
          </w:p>
        </w:tc>
        <w:tc>
          <w:tcPr>
            <w:tcW w:w="3885" w:type="dxa"/>
            <w:tcBorders>
              <w:top w:val="nil"/>
              <w:left w:val="nil"/>
              <w:bottom w:val="nil"/>
              <w:right w:val="nil"/>
            </w:tcBorders>
            <w:tcMar>
              <w:top w:w="0" w:type="dxa"/>
              <w:left w:w="100" w:type="dxa"/>
              <w:bottom w:w="0" w:type="dxa"/>
              <w:right w:w="100" w:type="dxa"/>
            </w:tcMar>
          </w:tcPr>
          <w:p w14:paraId="2B3D9EC0"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Free/fair choice of housing unit</w:t>
            </w:r>
          </w:p>
        </w:tc>
        <w:tc>
          <w:tcPr>
            <w:tcW w:w="720" w:type="dxa"/>
            <w:tcBorders>
              <w:top w:val="nil"/>
              <w:left w:val="nil"/>
              <w:bottom w:val="nil"/>
              <w:right w:val="nil"/>
            </w:tcBorders>
            <w:tcMar>
              <w:top w:w="0" w:type="dxa"/>
              <w:left w:w="100" w:type="dxa"/>
              <w:bottom w:w="0" w:type="dxa"/>
              <w:right w:w="100" w:type="dxa"/>
            </w:tcMar>
          </w:tcPr>
          <w:p w14:paraId="7600000B"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2.76</w:t>
            </w:r>
          </w:p>
        </w:tc>
        <w:tc>
          <w:tcPr>
            <w:tcW w:w="1965" w:type="dxa"/>
            <w:tcBorders>
              <w:top w:val="nil"/>
              <w:left w:val="nil"/>
              <w:bottom w:val="nil"/>
              <w:right w:val="nil"/>
            </w:tcBorders>
            <w:tcMar>
              <w:top w:w="0" w:type="dxa"/>
              <w:left w:w="100" w:type="dxa"/>
              <w:bottom w:w="0" w:type="dxa"/>
              <w:right w:w="100" w:type="dxa"/>
            </w:tcMar>
          </w:tcPr>
          <w:p w14:paraId="790EA419"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0.8</w:t>
            </w:r>
          </w:p>
        </w:tc>
        <w:tc>
          <w:tcPr>
            <w:tcW w:w="1665" w:type="dxa"/>
            <w:tcBorders>
              <w:top w:val="nil"/>
              <w:left w:val="nil"/>
              <w:bottom w:val="nil"/>
              <w:right w:val="nil"/>
            </w:tcBorders>
            <w:tcMar>
              <w:top w:w="0" w:type="dxa"/>
              <w:left w:w="100" w:type="dxa"/>
              <w:bottom w:w="0" w:type="dxa"/>
              <w:right w:w="100" w:type="dxa"/>
            </w:tcMar>
          </w:tcPr>
          <w:p w14:paraId="41BA47E5"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Not Sure</w:t>
            </w:r>
          </w:p>
        </w:tc>
      </w:tr>
      <w:tr w:rsidR="00A84E96" w:rsidRPr="002370CA" w14:paraId="7D329D3C" w14:textId="77777777" w:rsidTr="002370CA">
        <w:trPr>
          <w:trHeight w:val="315"/>
          <w:jc w:val="center"/>
        </w:trPr>
        <w:tc>
          <w:tcPr>
            <w:tcW w:w="555" w:type="dxa"/>
            <w:tcBorders>
              <w:top w:val="nil"/>
              <w:left w:val="nil"/>
              <w:bottom w:val="nil"/>
              <w:right w:val="nil"/>
            </w:tcBorders>
            <w:tcMar>
              <w:top w:w="0" w:type="dxa"/>
              <w:left w:w="100" w:type="dxa"/>
              <w:bottom w:w="0" w:type="dxa"/>
              <w:right w:w="100" w:type="dxa"/>
            </w:tcMar>
          </w:tcPr>
          <w:p w14:paraId="1747D6AF"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29</w:t>
            </w:r>
          </w:p>
        </w:tc>
        <w:tc>
          <w:tcPr>
            <w:tcW w:w="3885" w:type="dxa"/>
            <w:tcBorders>
              <w:top w:val="nil"/>
              <w:left w:val="nil"/>
              <w:bottom w:val="nil"/>
              <w:right w:val="nil"/>
            </w:tcBorders>
            <w:tcMar>
              <w:top w:w="0" w:type="dxa"/>
              <w:left w:w="100" w:type="dxa"/>
              <w:bottom w:w="0" w:type="dxa"/>
              <w:right w:w="100" w:type="dxa"/>
            </w:tcMar>
          </w:tcPr>
          <w:p w14:paraId="3A03AF19"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Alternative housing unit preference</w:t>
            </w:r>
          </w:p>
        </w:tc>
        <w:tc>
          <w:tcPr>
            <w:tcW w:w="720" w:type="dxa"/>
            <w:tcBorders>
              <w:top w:val="nil"/>
              <w:left w:val="nil"/>
              <w:bottom w:val="nil"/>
              <w:right w:val="nil"/>
            </w:tcBorders>
            <w:tcMar>
              <w:top w:w="0" w:type="dxa"/>
              <w:left w:w="100" w:type="dxa"/>
              <w:bottom w:w="0" w:type="dxa"/>
              <w:right w:w="100" w:type="dxa"/>
            </w:tcMar>
          </w:tcPr>
          <w:p w14:paraId="3A611C69"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3</w:t>
            </w:r>
          </w:p>
        </w:tc>
        <w:tc>
          <w:tcPr>
            <w:tcW w:w="1965" w:type="dxa"/>
            <w:tcBorders>
              <w:top w:val="nil"/>
              <w:left w:val="nil"/>
              <w:bottom w:val="nil"/>
              <w:right w:val="nil"/>
            </w:tcBorders>
            <w:tcMar>
              <w:top w:w="0" w:type="dxa"/>
              <w:left w:w="100" w:type="dxa"/>
              <w:bottom w:w="0" w:type="dxa"/>
              <w:right w:w="100" w:type="dxa"/>
            </w:tcMar>
          </w:tcPr>
          <w:p w14:paraId="3A8BC92D"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1.262</w:t>
            </w:r>
          </w:p>
        </w:tc>
        <w:tc>
          <w:tcPr>
            <w:tcW w:w="1665" w:type="dxa"/>
            <w:tcBorders>
              <w:top w:val="nil"/>
              <w:left w:val="nil"/>
              <w:bottom w:val="nil"/>
              <w:right w:val="nil"/>
            </w:tcBorders>
            <w:tcMar>
              <w:top w:w="0" w:type="dxa"/>
              <w:left w:w="100" w:type="dxa"/>
              <w:bottom w:w="0" w:type="dxa"/>
              <w:right w:w="100" w:type="dxa"/>
            </w:tcMar>
          </w:tcPr>
          <w:p w14:paraId="1FB1A5CE"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Not Sure</w:t>
            </w:r>
          </w:p>
        </w:tc>
      </w:tr>
      <w:tr w:rsidR="00A84E96" w:rsidRPr="002370CA" w14:paraId="44C7CCA6" w14:textId="77777777" w:rsidTr="002370CA">
        <w:trPr>
          <w:trHeight w:val="315"/>
          <w:jc w:val="center"/>
        </w:trPr>
        <w:tc>
          <w:tcPr>
            <w:tcW w:w="555" w:type="dxa"/>
            <w:tcBorders>
              <w:top w:val="nil"/>
              <w:left w:val="nil"/>
              <w:bottom w:val="single" w:sz="8" w:space="0" w:color="7F7F7F"/>
              <w:right w:val="nil"/>
            </w:tcBorders>
            <w:tcMar>
              <w:top w:w="0" w:type="dxa"/>
              <w:left w:w="100" w:type="dxa"/>
              <w:bottom w:w="0" w:type="dxa"/>
              <w:right w:w="100" w:type="dxa"/>
            </w:tcMar>
          </w:tcPr>
          <w:p w14:paraId="19C6F8FE"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30</w:t>
            </w:r>
          </w:p>
        </w:tc>
        <w:tc>
          <w:tcPr>
            <w:tcW w:w="3885" w:type="dxa"/>
            <w:tcBorders>
              <w:top w:val="nil"/>
              <w:left w:val="nil"/>
              <w:bottom w:val="single" w:sz="8" w:space="0" w:color="7F7F7F"/>
              <w:right w:val="nil"/>
            </w:tcBorders>
            <w:tcMar>
              <w:top w:w="0" w:type="dxa"/>
              <w:left w:w="100" w:type="dxa"/>
              <w:bottom w:w="0" w:type="dxa"/>
              <w:right w:w="100" w:type="dxa"/>
            </w:tcMar>
          </w:tcPr>
          <w:p w14:paraId="014AD4DC" w14:textId="77777777" w:rsidR="00A84E96" w:rsidRPr="002370CA" w:rsidRDefault="00A84E96" w:rsidP="002370CA">
            <w:pPr>
              <w:spacing w:after="0" w:line="240" w:lineRule="auto"/>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Alternative floor preference</w:t>
            </w:r>
          </w:p>
        </w:tc>
        <w:tc>
          <w:tcPr>
            <w:tcW w:w="720" w:type="dxa"/>
            <w:tcBorders>
              <w:top w:val="nil"/>
              <w:left w:val="nil"/>
              <w:bottom w:val="single" w:sz="8" w:space="0" w:color="7F7F7F"/>
              <w:right w:val="nil"/>
            </w:tcBorders>
            <w:tcMar>
              <w:top w:w="0" w:type="dxa"/>
              <w:left w:w="100" w:type="dxa"/>
              <w:bottom w:w="0" w:type="dxa"/>
              <w:right w:w="100" w:type="dxa"/>
            </w:tcMar>
          </w:tcPr>
          <w:p w14:paraId="2ED4B252"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2.96</w:t>
            </w:r>
          </w:p>
        </w:tc>
        <w:tc>
          <w:tcPr>
            <w:tcW w:w="1965" w:type="dxa"/>
            <w:tcBorders>
              <w:top w:val="nil"/>
              <w:left w:val="nil"/>
              <w:bottom w:val="single" w:sz="8" w:space="0" w:color="7F7F7F"/>
              <w:right w:val="nil"/>
            </w:tcBorders>
            <w:tcMar>
              <w:top w:w="0" w:type="dxa"/>
              <w:left w:w="100" w:type="dxa"/>
              <w:bottom w:w="0" w:type="dxa"/>
              <w:right w:w="100" w:type="dxa"/>
            </w:tcMar>
          </w:tcPr>
          <w:p w14:paraId="30C9C8AF"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1.219</w:t>
            </w:r>
          </w:p>
        </w:tc>
        <w:tc>
          <w:tcPr>
            <w:tcW w:w="1665" w:type="dxa"/>
            <w:tcBorders>
              <w:top w:val="nil"/>
              <w:left w:val="nil"/>
              <w:bottom w:val="single" w:sz="8" w:space="0" w:color="7F7F7F"/>
              <w:right w:val="nil"/>
            </w:tcBorders>
            <w:tcMar>
              <w:top w:w="0" w:type="dxa"/>
              <w:left w:w="100" w:type="dxa"/>
              <w:bottom w:w="0" w:type="dxa"/>
              <w:right w:w="100" w:type="dxa"/>
            </w:tcMar>
          </w:tcPr>
          <w:p w14:paraId="4824BF32" w14:textId="77777777" w:rsidR="00A84E96" w:rsidRPr="002370CA" w:rsidRDefault="00A84E96" w:rsidP="002370CA">
            <w:pPr>
              <w:spacing w:after="0" w:line="240" w:lineRule="auto"/>
              <w:jc w:val="center"/>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Dissatisfied</w:t>
            </w:r>
          </w:p>
        </w:tc>
      </w:tr>
    </w:tbl>
    <w:p w14:paraId="4002D89E" w14:textId="77777777" w:rsidR="00A84E96" w:rsidRPr="00BE4AF3" w:rsidRDefault="00A84E96" w:rsidP="00A84E96">
      <w:pPr>
        <w:spacing w:line="240" w:lineRule="auto"/>
        <w:rPr>
          <w:rFonts w:ascii="Times New Roman" w:eastAsia="Times New Roman" w:hAnsi="Times New Roman" w:cs="Times New Roman"/>
          <w:sz w:val="24"/>
          <w:szCs w:val="24"/>
        </w:rPr>
      </w:pPr>
    </w:p>
    <w:p w14:paraId="483CF6D8" w14:textId="77777777" w:rsidR="00A84E96" w:rsidRPr="00BE4AF3" w:rsidRDefault="00A84E96" w:rsidP="00A84E96">
      <w:pPr>
        <w:spacing w:before="240" w:after="240" w:line="240" w:lineRule="auto"/>
        <w:jc w:val="both"/>
        <w:rPr>
          <w:rFonts w:ascii="Times New Roman" w:eastAsia="Times New Roman" w:hAnsi="Times New Roman" w:cs="Times New Roman"/>
          <w:b/>
          <w:sz w:val="24"/>
          <w:szCs w:val="24"/>
        </w:rPr>
      </w:pPr>
      <w:r w:rsidRPr="00BE4AF3">
        <w:rPr>
          <w:rFonts w:ascii="Times New Roman" w:eastAsia="Times New Roman" w:hAnsi="Times New Roman" w:cs="Times New Roman"/>
          <w:sz w:val="24"/>
          <w:szCs w:val="24"/>
        </w:rPr>
        <w:lastRenderedPageBreak/>
        <w:t>The study on residents' satisfaction with public housing in Port Harcourt, Nigeria, reveals a complex interplay between building attributes, residential environment attributes, and socio-demographic factors. Building attributes, such as house efficiency, insulation, and natural lighting, received relatively low ratings, reflecting residents' dissatisfaction with structural and environmental quality, while kitchen and bathroom comfort were rated more positively. In contrast, residential environment attributes showed favorable ratings for proximity to amenities like shops and places of worship but highlighted concerns about safety and mobility. Socio-demographic analysis indicated that higher-income residents reported greater satisfaction with healthcare access, while retirees expressed dissatisfaction with neighborhood mobility. Family life cycle stages also influenced satisfaction, with young families being more positive compared to elderly households. Notably, residents expressed strong dissatisfaction with the housing policy, especially regarding fairness and transparency in the allocation process. These findings suggest that policy improvements should focus on enhancing building design, safety, mobility, and the equity of the housing allocation process, while also considering the diverse needs of different demographic groups.</w:t>
      </w:r>
    </w:p>
    <w:p w14:paraId="65D6A751" w14:textId="77777777" w:rsidR="00A84E96" w:rsidRPr="00BE4AF3" w:rsidRDefault="00A84E96" w:rsidP="00A84E96">
      <w:pPr>
        <w:spacing w:line="240" w:lineRule="auto"/>
        <w:jc w:val="both"/>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Findings from the Housing Resident’s Perspectives</w:t>
      </w:r>
    </w:p>
    <w:p w14:paraId="76DDA903" w14:textId="77777777" w:rsidR="00A84E96" w:rsidRPr="00BE4AF3" w:rsidRDefault="00A84E96" w:rsidP="002370CA">
      <w:pPr>
        <w:pStyle w:val="Heading3"/>
        <w:spacing w:before="0" w:line="240" w:lineRule="auto"/>
        <w:jc w:val="both"/>
        <w:rPr>
          <w:rFonts w:ascii="Times New Roman" w:hAnsi="Times New Roman" w:cs="Times New Roman"/>
          <w:color w:val="auto"/>
        </w:rPr>
      </w:pPr>
      <w:bookmarkStart w:id="21" w:name="_heading=h.i50gy6a40eur" w:colFirst="0" w:colLast="0"/>
      <w:bookmarkEnd w:id="21"/>
      <w:r w:rsidRPr="002370CA">
        <w:rPr>
          <w:rFonts w:ascii="Times New Roman" w:hAnsi="Times New Roman" w:cs="Times New Roman"/>
          <w:b/>
          <w:bCs/>
          <w:color w:val="auto"/>
        </w:rPr>
        <w:t>Table 2:</w:t>
      </w:r>
      <w:r w:rsidRPr="00BE4AF3">
        <w:rPr>
          <w:rFonts w:ascii="Times New Roman" w:hAnsi="Times New Roman" w:cs="Times New Roman"/>
          <w:color w:val="auto"/>
        </w:rPr>
        <w:t xml:space="preserve"> Respondents’ Satisfaction Level with Building Attributes</w:t>
      </w:r>
    </w:p>
    <w:p w14:paraId="30A9C915" w14:textId="77777777" w:rsidR="00A84E96" w:rsidRPr="00BE4AF3" w:rsidRDefault="00A84E96" w:rsidP="002370CA">
      <w:pPr>
        <w:spacing w:after="0" w:line="240" w:lineRule="auto"/>
        <w:jc w:val="both"/>
        <w:rPr>
          <w:rFonts w:ascii="Times New Roman" w:hAnsi="Times New Roman" w:cs="Times New Roman"/>
          <w:sz w:val="24"/>
          <w:szCs w:val="24"/>
        </w:rPr>
      </w:pPr>
      <w:r w:rsidRPr="00BE4AF3">
        <w:rPr>
          <w:rFonts w:ascii="Times New Roman" w:eastAsia="Times New Roman" w:hAnsi="Times New Roman" w:cs="Times New Roman"/>
          <w:sz w:val="24"/>
          <w:szCs w:val="24"/>
        </w:rPr>
        <w:t xml:space="preserve">Interview Question: </w:t>
      </w:r>
      <w:r w:rsidRPr="00BE4AF3">
        <w:rPr>
          <w:rFonts w:ascii="Times New Roman" w:eastAsia="Times New Roman" w:hAnsi="Times New Roman" w:cs="Times New Roman"/>
          <w:i/>
          <w:sz w:val="24"/>
          <w:szCs w:val="24"/>
        </w:rPr>
        <w:t>"How satisfied are you with the building properties and attributes?"</w:t>
      </w:r>
    </w:p>
    <w:tbl>
      <w:tblPr>
        <w:tblW w:w="9135" w:type="dxa"/>
        <w:jc w:val="center"/>
        <w:tblBorders>
          <w:top w:val="nil"/>
          <w:left w:val="nil"/>
          <w:bottom w:val="nil"/>
          <w:right w:val="nil"/>
          <w:insideH w:val="nil"/>
          <w:insideV w:val="nil"/>
        </w:tblBorders>
        <w:tblLayout w:type="fixed"/>
        <w:tblLook w:val="0600" w:firstRow="0" w:lastRow="0" w:firstColumn="0" w:lastColumn="0" w:noHBand="1" w:noVBand="1"/>
      </w:tblPr>
      <w:tblGrid>
        <w:gridCol w:w="585"/>
        <w:gridCol w:w="1560"/>
        <w:gridCol w:w="6990"/>
      </w:tblGrid>
      <w:tr w:rsidR="00A84E96" w:rsidRPr="002370CA" w14:paraId="265F08C4" w14:textId="77777777" w:rsidTr="002370CA">
        <w:trPr>
          <w:trHeight w:val="465"/>
          <w:jc w:val="center"/>
        </w:trPr>
        <w:tc>
          <w:tcPr>
            <w:tcW w:w="585" w:type="dxa"/>
            <w:tcBorders>
              <w:top w:val="single" w:sz="8" w:space="0" w:color="7F7F7F"/>
              <w:left w:val="nil"/>
              <w:bottom w:val="single" w:sz="8" w:space="0" w:color="7F7F7F"/>
              <w:right w:val="nil"/>
            </w:tcBorders>
            <w:tcMar>
              <w:top w:w="0" w:type="dxa"/>
              <w:left w:w="100" w:type="dxa"/>
              <w:bottom w:w="0" w:type="dxa"/>
              <w:right w:w="100" w:type="dxa"/>
            </w:tcMar>
          </w:tcPr>
          <w:p w14:paraId="7C94012B" w14:textId="77777777" w:rsidR="00A84E96" w:rsidRPr="002370CA" w:rsidRDefault="00A84E96" w:rsidP="002370CA">
            <w:pPr>
              <w:spacing w:after="0" w:line="240" w:lineRule="auto"/>
              <w:jc w:val="both"/>
              <w:rPr>
                <w:rFonts w:ascii="Times New Roman" w:eastAsia="Times New Roman" w:hAnsi="Times New Roman" w:cs="Times New Roman"/>
                <w:bCs/>
                <w:sz w:val="20"/>
                <w:szCs w:val="20"/>
              </w:rPr>
            </w:pPr>
            <w:r w:rsidRPr="002370CA">
              <w:rPr>
                <w:rFonts w:ascii="Times New Roman" w:eastAsia="Times New Roman" w:hAnsi="Times New Roman" w:cs="Times New Roman"/>
                <w:bCs/>
                <w:sz w:val="20"/>
                <w:szCs w:val="20"/>
              </w:rPr>
              <w:t>S/N</w:t>
            </w:r>
          </w:p>
        </w:tc>
        <w:tc>
          <w:tcPr>
            <w:tcW w:w="1560" w:type="dxa"/>
            <w:tcBorders>
              <w:top w:val="single" w:sz="8" w:space="0" w:color="7F7F7F"/>
              <w:left w:val="nil"/>
              <w:bottom w:val="single" w:sz="8" w:space="0" w:color="7F7F7F"/>
              <w:right w:val="nil"/>
            </w:tcBorders>
            <w:tcMar>
              <w:top w:w="0" w:type="dxa"/>
              <w:left w:w="100" w:type="dxa"/>
              <w:bottom w:w="0" w:type="dxa"/>
              <w:right w:w="100" w:type="dxa"/>
            </w:tcMar>
          </w:tcPr>
          <w:p w14:paraId="54FDC6F4" w14:textId="77777777" w:rsidR="00A84E96" w:rsidRPr="002370CA" w:rsidRDefault="00A84E96" w:rsidP="002370CA">
            <w:pPr>
              <w:spacing w:after="0" w:line="240" w:lineRule="auto"/>
              <w:jc w:val="both"/>
              <w:rPr>
                <w:rFonts w:ascii="Times New Roman" w:eastAsia="Times New Roman" w:hAnsi="Times New Roman" w:cs="Times New Roman"/>
                <w:bCs/>
                <w:sz w:val="20"/>
                <w:szCs w:val="20"/>
              </w:rPr>
            </w:pPr>
            <w:r w:rsidRPr="002370CA">
              <w:rPr>
                <w:rFonts w:ascii="Times New Roman" w:eastAsia="Times New Roman" w:hAnsi="Times New Roman" w:cs="Times New Roman"/>
                <w:bCs/>
                <w:sz w:val="20"/>
                <w:szCs w:val="20"/>
              </w:rPr>
              <w:t>Respondent ID</w:t>
            </w:r>
          </w:p>
        </w:tc>
        <w:tc>
          <w:tcPr>
            <w:tcW w:w="6990" w:type="dxa"/>
            <w:tcBorders>
              <w:top w:val="single" w:sz="8" w:space="0" w:color="7F7F7F"/>
              <w:left w:val="nil"/>
              <w:bottom w:val="single" w:sz="8" w:space="0" w:color="7F7F7F"/>
              <w:right w:val="nil"/>
            </w:tcBorders>
            <w:tcMar>
              <w:top w:w="0" w:type="dxa"/>
              <w:left w:w="100" w:type="dxa"/>
              <w:bottom w:w="0" w:type="dxa"/>
              <w:right w:w="100" w:type="dxa"/>
            </w:tcMar>
          </w:tcPr>
          <w:p w14:paraId="26C6740E" w14:textId="77777777" w:rsidR="00A84E96" w:rsidRPr="002370CA" w:rsidRDefault="00A84E96" w:rsidP="002370CA">
            <w:pPr>
              <w:spacing w:after="0" w:line="240" w:lineRule="auto"/>
              <w:jc w:val="both"/>
              <w:rPr>
                <w:rFonts w:ascii="Times New Roman" w:eastAsia="Times New Roman" w:hAnsi="Times New Roman" w:cs="Times New Roman"/>
                <w:bCs/>
                <w:sz w:val="20"/>
                <w:szCs w:val="20"/>
              </w:rPr>
            </w:pPr>
            <w:r w:rsidRPr="002370CA">
              <w:rPr>
                <w:rFonts w:ascii="Times New Roman" w:eastAsia="Times New Roman" w:hAnsi="Times New Roman" w:cs="Times New Roman"/>
                <w:bCs/>
                <w:sz w:val="20"/>
                <w:szCs w:val="20"/>
              </w:rPr>
              <w:t>Summary of Response</w:t>
            </w:r>
          </w:p>
        </w:tc>
      </w:tr>
      <w:tr w:rsidR="00A84E96" w:rsidRPr="002370CA" w14:paraId="5D906085" w14:textId="77777777" w:rsidTr="002370CA">
        <w:trPr>
          <w:trHeight w:val="465"/>
          <w:jc w:val="center"/>
        </w:trPr>
        <w:tc>
          <w:tcPr>
            <w:tcW w:w="585" w:type="dxa"/>
            <w:tcBorders>
              <w:top w:val="nil"/>
              <w:left w:val="nil"/>
              <w:bottom w:val="nil"/>
              <w:right w:val="nil"/>
            </w:tcBorders>
            <w:tcMar>
              <w:top w:w="0" w:type="dxa"/>
              <w:left w:w="100" w:type="dxa"/>
              <w:bottom w:w="0" w:type="dxa"/>
              <w:right w:w="100" w:type="dxa"/>
            </w:tcMar>
          </w:tcPr>
          <w:p w14:paraId="26E00C37"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w:t>
            </w:r>
          </w:p>
        </w:tc>
        <w:tc>
          <w:tcPr>
            <w:tcW w:w="1560" w:type="dxa"/>
            <w:tcBorders>
              <w:top w:val="nil"/>
              <w:left w:val="nil"/>
              <w:bottom w:val="nil"/>
              <w:right w:val="nil"/>
            </w:tcBorders>
            <w:tcMar>
              <w:top w:w="0" w:type="dxa"/>
              <w:left w:w="100" w:type="dxa"/>
              <w:bottom w:w="0" w:type="dxa"/>
              <w:right w:w="100" w:type="dxa"/>
            </w:tcMar>
          </w:tcPr>
          <w:p w14:paraId="7C41589E"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MB01</w:t>
            </w:r>
          </w:p>
        </w:tc>
        <w:tc>
          <w:tcPr>
            <w:tcW w:w="6990" w:type="dxa"/>
            <w:tcBorders>
              <w:top w:val="nil"/>
              <w:left w:val="nil"/>
              <w:bottom w:val="nil"/>
              <w:right w:val="nil"/>
            </w:tcBorders>
            <w:tcMar>
              <w:top w:w="0" w:type="dxa"/>
              <w:left w:w="100" w:type="dxa"/>
              <w:bottom w:w="0" w:type="dxa"/>
              <w:right w:w="100" w:type="dxa"/>
            </w:tcMar>
          </w:tcPr>
          <w:p w14:paraId="71F19FE7"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Expressed high satisfaction with external features such as parking and landscaping, noting these exceeded expectations.</w:t>
            </w:r>
          </w:p>
        </w:tc>
      </w:tr>
      <w:tr w:rsidR="00A84E96" w:rsidRPr="002370CA" w14:paraId="03ECA743" w14:textId="77777777" w:rsidTr="002370CA">
        <w:trPr>
          <w:trHeight w:val="450"/>
          <w:jc w:val="center"/>
        </w:trPr>
        <w:tc>
          <w:tcPr>
            <w:tcW w:w="585" w:type="dxa"/>
            <w:tcBorders>
              <w:top w:val="nil"/>
              <w:left w:val="nil"/>
              <w:bottom w:val="nil"/>
              <w:right w:val="nil"/>
            </w:tcBorders>
            <w:tcMar>
              <w:top w:w="0" w:type="dxa"/>
              <w:left w:w="100" w:type="dxa"/>
              <w:bottom w:w="0" w:type="dxa"/>
              <w:right w:w="100" w:type="dxa"/>
            </w:tcMar>
          </w:tcPr>
          <w:p w14:paraId="06D3B50C"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w:t>
            </w:r>
          </w:p>
        </w:tc>
        <w:tc>
          <w:tcPr>
            <w:tcW w:w="1560" w:type="dxa"/>
            <w:tcBorders>
              <w:top w:val="nil"/>
              <w:left w:val="nil"/>
              <w:bottom w:val="nil"/>
              <w:right w:val="nil"/>
            </w:tcBorders>
            <w:tcMar>
              <w:top w:w="0" w:type="dxa"/>
              <w:left w:w="100" w:type="dxa"/>
              <w:bottom w:w="0" w:type="dxa"/>
              <w:right w:w="100" w:type="dxa"/>
            </w:tcMar>
          </w:tcPr>
          <w:p w14:paraId="02D541F7"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MB02</w:t>
            </w:r>
          </w:p>
        </w:tc>
        <w:tc>
          <w:tcPr>
            <w:tcW w:w="6990" w:type="dxa"/>
            <w:tcBorders>
              <w:top w:val="nil"/>
              <w:left w:val="nil"/>
              <w:bottom w:val="nil"/>
              <w:right w:val="nil"/>
            </w:tcBorders>
            <w:tcMar>
              <w:top w:w="0" w:type="dxa"/>
              <w:left w:w="100" w:type="dxa"/>
              <w:bottom w:w="0" w:type="dxa"/>
              <w:right w:w="100" w:type="dxa"/>
            </w:tcMar>
          </w:tcPr>
          <w:p w14:paraId="4A504179"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Satisfied with room size, estate planning, and infrastructure such as power and drainage systems.</w:t>
            </w:r>
          </w:p>
        </w:tc>
      </w:tr>
      <w:tr w:rsidR="00A84E96" w:rsidRPr="002370CA" w14:paraId="193DADB6" w14:textId="77777777" w:rsidTr="002370CA">
        <w:trPr>
          <w:trHeight w:val="450"/>
          <w:jc w:val="center"/>
        </w:trPr>
        <w:tc>
          <w:tcPr>
            <w:tcW w:w="585" w:type="dxa"/>
            <w:tcBorders>
              <w:top w:val="nil"/>
              <w:left w:val="nil"/>
              <w:bottom w:val="nil"/>
              <w:right w:val="nil"/>
            </w:tcBorders>
            <w:tcMar>
              <w:top w:w="0" w:type="dxa"/>
              <w:left w:w="100" w:type="dxa"/>
              <w:bottom w:w="0" w:type="dxa"/>
              <w:right w:w="100" w:type="dxa"/>
            </w:tcMar>
          </w:tcPr>
          <w:p w14:paraId="28D979D3"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3</w:t>
            </w:r>
          </w:p>
        </w:tc>
        <w:tc>
          <w:tcPr>
            <w:tcW w:w="1560" w:type="dxa"/>
            <w:tcBorders>
              <w:top w:val="nil"/>
              <w:left w:val="nil"/>
              <w:bottom w:val="nil"/>
              <w:right w:val="nil"/>
            </w:tcBorders>
            <w:tcMar>
              <w:top w:w="0" w:type="dxa"/>
              <w:left w:w="100" w:type="dxa"/>
              <w:bottom w:w="0" w:type="dxa"/>
              <w:right w:w="100" w:type="dxa"/>
            </w:tcMar>
          </w:tcPr>
          <w:p w14:paraId="3A236E3E"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MB03</w:t>
            </w:r>
          </w:p>
        </w:tc>
        <w:tc>
          <w:tcPr>
            <w:tcW w:w="6990" w:type="dxa"/>
            <w:tcBorders>
              <w:top w:val="nil"/>
              <w:left w:val="nil"/>
              <w:bottom w:val="nil"/>
              <w:right w:val="nil"/>
            </w:tcBorders>
            <w:tcMar>
              <w:top w:w="0" w:type="dxa"/>
              <w:left w:w="100" w:type="dxa"/>
              <w:bottom w:w="0" w:type="dxa"/>
              <w:right w:w="100" w:type="dxa"/>
            </w:tcMar>
          </w:tcPr>
          <w:p w14:paraId="7C490B26"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Pleased with the estate's location, safety of external works, availability of playgrounds, parking, and landscaping.</w:t>
            </w:r>
          </w:p>
        </w:tc>
      </w:tr>
      <w:tr w:rsidR="00A84E96" w:rsidRPr="002370CA" w14:paraId="3ED6AB0A" w14:textId="77777777" w:rsidTr="002370CA">
        <w:trPr>
          <w:trHeight w:val="450"/>
          <w:jc w:val="center"/>
        </w:trPr>
        <w:tc>
          <w:tcPr>
            <w:tcW w:w="585" w:type="dxa"/>
            <w:tcBorders>
              <w:top w:val="nil"/>
              <w:left w:val="nil"/>
              <w:bottom w:val="nil"/>
              <w:right w:val="nil"/>
            </w:tcBorders>
            <w:tcMar>
              <w:top w:w="0" w:type="dxa"/>
              <w:left w:w="100" w:type="dxa"/>
              <w:bottom w:w="0" w:type="dxa"/>
              <w:right w:w="100" w:type="dxa"/>
            </w:tcMar>
          </w:tcPr>
          <w:p w14:paraId="6E3DF129"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4</w:t>
            </w:r>
          </w:p>
        </w:tc>
        <w:tc>
          <w:tcPr>
            <w:tcW w:w="1560" w:type="dxa"/>
            <w:tcBorders>
              <w:top w:val="nil"/>
              <w:left w:val="nil"/>
              <w:bottom w:val="nil"/>
              <w:right w:val="nil"/>
            </w:tcBorders>
            <w:tcMar>
              <w:top w:w="0" w:type="dxa"/>
              <w:left w:w="100" w:type="dxa"/>
              <w:bottom w:w="0" w:type="dxa"/>
              <w:right w:w="100" w:type="dxa"/>
            </w:tcMar>
          </w:tcPr>
          <w:p w14:paraId="5959AE20"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MB04</w:t>
            </w:r>
          </w:p>
        </w:tc>
        <w:tc>
          <w:tcPr>
            <w:tcW w:w="6990" w:type="dxa"/>
            <w:tcBorders>
              <w:top w:val="nil"/>
              <w:left w:val="nil"/>
              <w:bottom w:val="nil"/>
              <w:right w:val="nil"/>
            </w:tcBorders>
            <w:tcMar>
              <w:top w:w="0" w:type="dxa"/>
              <w:left w:w="100" w:type="dxa"/>
              <w:bottom w:w="0" w:type="dxa"/>
              <w:right w:w="100" w:type="dxa"/>
            </w:tcMar>
          </w:tcPr>
          <w:p w14:paraId="6079E1C2"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Satisfied with house pricing, but disappointed with the house design which did not meet expectations.</w:t>
            </w:r>
          </w:p>
        </w:tc>
      </w:tr>
      <w:tr w:rsidR="00A84E96" w:rsidRPr="002370CA" w14:paraId="4EC77A63" w14:textId="77777777" w:rsidTr="002370CA">
        <w:trPr>
          <w:trHeight w:val="450"/>
          <w:jc w:val="center"/>
        </w:trPr>
        <w:tc>
          <w:tcPr>
            <w:tcW w:w="585" w:type="dxa"/>
            <w:tcBorders>
              <w:top w:val="nil"/>
              <w:left w:val="nil"/>
              <w:bottom w:val="nil"/>
              <w:right w:val="nil"/>
            </w:tcBorders>
            <w:tcMar>
              <w:top w:w="0" w:type="dxa"/>
              <w:left w:w="100" w:type="dxa"/>
              <w:bottom w:w="0" w:type="dxa"/>
              <w:right w:w="100" w:type="dxa"/>
            </w:tcMar>
          </w:tcPr>
          <w:p w14:paraId="4C6C771F"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5</w:t>
            </w:r>
          </w:p>
        </w:tc>
        <w:tc>
          <w:tcPr>
            <w:tcW w:w="1560" w:type="dxa"/>
            <w:tcBorders>
              <w:top w:val="nil"/>
              <w:left w:val="nil"/>
              <w:bottom w:val="nil"/>
              <w:right w:val="nil"/>
            </w:tcBorders>
            <w:tcMar>
              <w:top w:w="0" w:type="dxa"/>
              <w:left w:w="100" w:type="dxa"/>
              <w:bottom w:w="0" w:type="dxa"/>
              <w:right w:w="100" w:type="dxa"/>
            </w:tcMar>
          </w:tcPr>
          <w:p w14:paraId="7822CDF4"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EK01</w:t>
            </w:r>
          </w:p>
        </w:tc>
        <w:tc>
          <w:tcPr>
            <w:tcW w:w="6990" w:type="dxa"/>
            <w:tcBorders>
              <w:top w:val="nil"/>
              <w:left w:val="nil"/>
              <w:bottom w:val="nil"/>
              <w:right w:val="nil"/>
            </w:tcBorders>
            <w:tcMar>
              <w:top w:w="0" w:type="dxa"/>
              <w:left w:w="100" w:type="dxa"/>
              <w:bottom w:w="0" w:type="dxa"/>
              <w:right w:w="100" w:type="dxa"/>
            </w:tcMar>
          </w:tcPr>
          <w:p w14:paraId="6A4406D8"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Happy with the design as it met the initial specifications; satisfied with service and product quality.</w:t>
            </w:r>
          </w:p>
        </w:tc>
      </w:tr>
      <w:tr w:rsidR="00A84E96" w:rsidRPr="002370CA" w14:paraId="750A1515" w14:textId="77777777" w:rsidTr="002370CA">
        <w:trPr>
          <w:trHeight w:val="315"/>
          <w:jc w:val="center"/>
        </w:trPr>
        <w:tc>
          <w:tcPr>
            <w:tcW w:w="585" w:type="dxa"/>
            <w:tcBorders>
              <w:top w:val="nil"/>
              <w:left w:val="nil"/>
              <w:bottom w:val="nil"/>
              <w:right w:val="nil"/>
            </w:tcBorders>
            <w:tcMar>
              <w:top w:w="0" w:type="dxa"/>
              <w:left w:w="100" w:type="dxa"/>
              <w:bottom w:w="0" w:type="dxa"/>
              <w:right w:w="100" w:type="dxa"/>
            </w:tcMar>
          </w:tcPr>
          <w:p w14:paraId="55AF13B6"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6</w:t>
            </w:r>
          </w:p>
        </w:tc>
        <w:tc>
          <w:tcPr>
            <w:tcW w:w="1560" w:type="dxa"/>
            <w:tcBorders>
              <w:top w:val="nil"/>
              <w:left w:val="nil"/>
              <w:bottom w:val="nil"/>
              <w:right w:val="nil"/>
            </w:tcBorders>
            <w:tcMar>
              <w:top w:w="0" w:type="dxa"/>
              <w:left w:w="100" w:type="dxa"/>
              <w:bottom w:w="0" w:type="dxa"/>
              <w:right w:w="100" w:type="dxa"/>
            </w:tcMar>
          </w:tcPr>
          <w:p w14:paraId="38940E9A"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EK02</w:t>
            </w:r>
          </w:p>
        </w:tc>
        <w:tc>
          <w:tcPr>
            <w:tcW w:w="6990" w:type="dxa"/>
            <w:tcBorders>
              <w:top w:val="nil"/>
              <w:left w:val="nil"/>
              <w:bottom w:val="nil"/>
              <w:right w:val="nil"/>
            </w:tcBorders>
            <w:tcMar>
              <w:top w:w="0" w:type="dxa"/>
              <w:left w:w="100" w:type="dxa"/>
              <w:bottom w:w="0" w:type="dxa"/>
              <w:right w:w="100" w:type="dxa"/>
            </w:tcMar>
          </w:tcPr>
          <w:p w14:paraId="2300E97D"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Fulfilled expectations regarding the design and estate aesthetics.</w:t>
            </w:r>
          </w:p>
        </w:tc>
      </w:tr>
      <w:tr w:rsidR="00A84E96" w:rsidRPr="002370CA" w14:paraId="380929B5" w14:textId="77777777" w:rsidTr="002370CA">
        <w:trPr>
          <w:trHeight w:val="315"/>
          <w:jc w:val="center"/>
        </w:trPr>
        <w:tc>
          <w:tcPr>
            <w:tcW w:w="585" w:type="dxa"/>
            <w:tcBorders>
              <w:top w:val="nil"/>
              <w:left w:val="nil"/>
              <w:bottom w:val="nil"/>
              <w:right w:val="nil"/>
            </w:tcBorders>
            <w:tcMar>
              <w:top w:w="0" w:type="dxa"/>
              <w:left w:w="100" w:type="dxa"/>
              <w:bottom w:w="0" w:type="dxa"/>
              <w:right w:w="100" w:type="dxa"/>
            </w:tcMar>
          </w:tcPr>
          <w:p w14:paraId="1ED7BB12"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7</w:t>
            </w:r>
          </w:p>
        </w:tc>
        <w:tc>
          <w:tcPr>
            <w:tcW w:w="1560" w:type="dxa"/>
            <w:tcBorders>
              <w:top w:val="nil"/>
              <w:left w:val="nil"/>
              <w:bottom w:val="nil"/>
              <w:right w:val="nil"/>
            </w:tcBorders>
            <w:tcMar>
              <w:top w:w="0" w:type="dxa"/>
              <w:left w:w="100" w:type="dxa"/>
              <w:bottom w:w="0" w:type="dxa"/>
              <w:right w:w="100" w:type="dxa"/>
            </w:tcMar>
          </w:tcPr>
          <w:p w14:paraId="55305F81"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EK03</w:t>
            </w:r>
          </w:p>
        </w:tc>
        <w:tc>
          <w:tcPr>
            <w:tcW w:w="6990" w:type="dxa"/>
            <w:tcBorders>
              <w:top w:val="nil"/>
              <w:left w:val="nil"/>
              <w:bottom w:val="nil"/>
              <w:right w:val="nil"/>
            </w:tcBorders>
            <w:tcMar>
              <w:top w:w="0" w:type="dxa"/>
              <w:left w:w="100" w:type="dxa"/>
              <w:bottom w:w="0" w:type="dxa"/>
              <w:right w:w="100" w:type="dxa"/>
            </w:tcMar>
          </w:tcPr>
          <w:p w14:paraId="3BCCBA05"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Impressed by the house finishes and external infrastructure.</w:t>
            </w:r>
          </w:p>
        </w:tc>
      </w:tr>
      <w:tr w:rsidR="00A84E96" w:rsidRPr="002370CA" w14:paraId="6D0BAB42" w14:textId="77777777" w:rsidTr="002370CA">
        <w:trPr>
          <w:trHeight w:val="315"/>
          <w:jc w:val="center"/>
        </w:trPr>
        <w:tc>
          <w:tcPr>
            <w:tcW w:w="585" w:type="dxa"/>
            <w:tcBorders>
              <w:top w:val="nil"/>
              <w:left w:val="nil"/>
              <w:bottom w:val="nil"/>
              <w:right w:val="nil"/>
            </w:tcBorders>
            <w:tcMar>
              <w:top w:w="0" w:type="dxa"/>
              <w:left w:w="100" w:type="dxa"/>
              <w:bottom w:w="0" w:type="dxa"/>
              <w:right w:w="100" w:type="dxa"/>
            </w:tcMar>
          </w:tcPr>
          <w:p w14:paraId="5291E111"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8</w:t>
            </w:r>
          </w:p>
        </w:tc>
        <w:tc>
          <w:tcPr>
            <w:tcW w:w="1560" w:type="dxa"/>
            <w:tcBorders>
              <w:top w:val="nil"/>
              <w:left w:val="nil"/>
              <w:bottom w:val="nil"/>
              <w:right w:val="nil"/>
            </w:tcBorders>
            <w:tcMar>
              <w:top w:w="0" w:type="dxa"/>
              <w:left w:w="100" w:type="dxa"/>
              <w:bottom w:w="0" w:type="dxa"/>
              <w:right w:w="100" w:type="dxa"/>
            </w:tcMar>
          </w:tcPr>
          <w:p w14:paraId="41741AA0"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EK04</w:t>
            </w:r>
          </w:p>
        </w:tc>
        <w:tc>
          <w:tcPr>
            <w:tcW w:w="6990" w:type="dxa"/>
            <w:tcBorders>
              <w:top w:val="nil"/>
              <w:left w:val="nil"/>
              <w:bottom w:val="nil"/>
              <w:right w:val="nil"/>
            </w:tcBorders>
            <w:tcMar>
              <w:top w:w="0" w:type="dxa"/>
              <w:left w:w="100" w:type="dxa"/>
              <w:bottom w:w="0" w:type="dxa"/>
              <w:right w:w="100" w:type="dxa"/>
            </w:tcMar>
          </w:tcPr>
          <w:p w14:paraId="1E2E309D"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Only satisfied with aspects external to the housing unit.</w:t>
            </w:r>
          </w:p>
        </w:tc>
      </w:tr>
      <w:tr w:rsidR="00A84E96" w:rsidRPr="002370CA" w14:paraId="74A08234" w14:textId="77777777" w:rsidTr="002370CA">
        <w:trPr>
          <w:trHeight w:val="315"/>
          <w:jc w:val="center"/>
        </w:trPr>
        <w:tc>
          <w:tcPr>
            <w:tcW w:w="585" w:type="dxa"/>
            <w:tcBorders>
              <w:top w:val="nil"/>
              <w:left w:val="nil"/>
              <w:bottom w:val="nil"/>
              <w:right w:val="nil"/>
            </w:tcBorders>
            <w:tcMar>
              <w:top w:w="0" w:type="dxa"/>
              <w:left w:w="100" w:type="dxa"/>
              <w:bottom w:w="0" w:type="dxa"/>
              <w:right w:w="100" w:type="dxa"/>
            </w:tcMar>
          </w:tcPr>
          <w:p w14:paraId="73B5F3F7"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9</w:t>
            </w:r>
          </w:p>
        </w:tc>
        <w:tc>
          <w:tcPr>
            <w:tcW w:w="1560" w:type="dxa"/>
            <w:tcBorders>
              <w:top w:val="nil"/>
              <w:left w:val="nil"/>
              <w:bottom w:val="nil"/>
              <w:right w:val="nil"/>
            </w:tcBorders>
            <w:tcMar>
              <w:top w:w="0" w:type="dxa"/>
              <w:left w:w="100" w:type="dxa"/>
              <w:bottom w:w="0" w:type="dxa"/>
              <w:right w:w="100" w:type="dxa"/>
            </w:tcMar>
          </w:tcPr>
          <w:p w14:paraId="265D47A3"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AR01</w:t>
            </w:r>
          </w:p>
        </w:tc>
        <w:tc>
          <w:tcPr>
            <w:tcW w:w="6990" w:type="dxa"/>
            <w:tcBorders>
              <w:top w:val="nil"/>
              <w:left w:val="nil"/>
              <w:bottom w:val="nil"/>
              <w:right w:val="nil"/>
            </w:tcBorders>
            <w:tcMar>
              <w:top w:w="0" w:type="dxa"/>
              <w:left w:w="100" w:type="dxa"/>
              <w:bottom w:w="0" w:type="dxa"/>
              <w:right w:w="100" w:type="dxa"/>
            </w:tcMar>
          </w:tcPr>
          <w:p w14:paraId="63920A42"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Satisfied with cost-sharing of shared services like security and cleaning.</w:t>
            </w:r>
          </w:p>
        </w:tc>
      </w:tr>
      <w:tr w:rsidR="00A84E96" w:rsidRPr="002370CA" w14:paraId="29182F97" w14:textId="77777777" w:rsidTr="002370CA">
        <w:trPr>
          <w:trHeight w:val="450"/>
          <w:jc w:val="center"/>
        </w:trPr>
        <w:tc>
          <w:tcPr>
            <w:tcW w:w="585" w:type="dxa"/>
            <w:tcBorders>
              <w:top w:val="nil"/>
              <w:left w:val="nil"/>
              <w:bottom w:val="nil"/>
              <w:right w:val="nil"/>
            </w:tcBorders>
            <w:tcMar>
              <w:top w:w="0" w:type="dxa"/>
              <w:left w:w="100" w:type="dxa"/>
              <w:bottom w:w="0" w:type="dxa"/>
              <w:right w:w="100" w:type="dxa"/>
            </w:tcMar>
          </w:tcPr>
          <w:p w14:paraId="4CB00B3D"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10</w:t>
            </w:r>
          </w:p>
        </w:tc>
        <w:tc>
          <w:tcPr>
            <w:tcW w:w="1560" w:type="dxa"/>
            <w:tcBorders>
              <w:top w:val="nil"/>
              <w:left w:val="nil"/>
              <w:bottom w:val="nil"/>
              <w:right w:val="nil"/>
            </w:tcBorders>
            <w:tcMar>
              <w:top w:w="0" w:type="dxa"/>
              <w:left w:w="100" w:type="dxa"/>
              <w:bottom w:w="0" w:type="dxa"/>
              <w:right w:w="100" w:type="dxa"/>
            </w:tcMar>
          </w:tcPr>
          <w:p w14:paraId="18ABF0DD"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AR02</w:t>
            </w:r>
          </w:p>
        </w:tc>
        <w:tc>
          <w:tcPr>
            <w:tcW w:w="6990" w:type="dxa"/>
            <w:tcBorders>
              <w:top w:val="nil"/>
              <w:left w:val="nil"/>
              <w:bottom w:val="nil"/>
              <w:right w:val="nil"/>
            </w:tcBorders>
            <w:tcMar>
              <w:top w:w="0" w:type="dxa"/>
              <w:left w:w="100" w:type="dxa"/>
              <w:bottom w:w="0" w:type="dxa"/>
              <w:right w:w="100" w:type="dxa"/>
            </w:tcMar>
          </w:tcPr>
          <w:p w14:paraId="17440FA0"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Appreciated estate planning and layout but highlighted concerns about narrow driveways in the flats section.</w:t>
            </w:r>
          </w:p>
        </w:tc>
      </w:tr>
      <w:tr w:rsidR="00A84E96" w:rsidRPr="002370CA" w14:paraId="600D2439" w14:textId="77777777" w:rsidTr="002370CA">
        <w:trPr>
          <w:trHeight w:val="315"/>
          <w:jc w:val="center"/>
        </w:trPr>
        <w:tc>
          <w:tcPr>
            <w:tcW w:w="585" w:type="dxa"/>
            <w:tcBorders>
              <w:top w:val="nil"/>
              <w:left w:val="nil"/>
              <w:bottom w:val="nil"/>
              <w:right w:val="nil"/>
            </w:tcBorders>
            <w:tcMar>
              <w:top w:w="0" w:type="dxa"/>
              <w:left w:w="100" w:type="dxa"/>
              <w:bottom w:w="0" w:type="dxa"/>
              <w:right w:w="100" w:type="dxa"/>
            </w:tcMar>
          </w:tcPr>
          <w:p w14:paraId="1FE66BC1"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11</w:t>
            </w:r>
          </w:p>
        </w:tc>
        <w:tc>
          <w:tcPr>
            <w:tcW w:w="1560" w:type="dxa"/>
            <w:tcBorders>
              <w:top w:val="nil"/>
              <w:left w:val="nil"/>
              <w:bottom w:val="nil"/>
              <w:right w:val="nil"/>
            </w:tcBorders>
            <w:tcMar>
              <w:top w:w="0" w:type="dxa"/>
              <w:left w:w="100" w:type="dxa"/>
              <w:bottom w:w="0" w:type="dxa"/>
              <w:right w:w="100" w:type="dxa"/>
            </w:tcMar>
          </w:tcPr>
          <w:p w14:paraId="65C091EB"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AR03</w:t>
            </w:r>
          </w:p>
        </w:tc>
        <w:tc>
          <w:tcPr>
            <w:tcW w:w="6990" w:type="dxa"/>
            <w:tcBorders>
              <w:top w:val="nil"/>
              <w:left w:val="nil"/>
              <w:bottom w:val="nil"/>
              <w:right w:val="nil"/>
            </w:tcBorders>
            <w:tcMar>
              <w:top w:w="0" w:type="dxa"/>
              <w:left w:w="100" w:type="dxa"/>
              <w:bottom w:w="0" w:type="dxa"/>
              <w:right w:w="100" w:type="dxa"/>
            </w:tcMar>
          </w:tcPr>
          <w:p w14:paraId="27AAD72A"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Praised the estate's aesthetics, road quality, and security services.</w:t>
            </w:r>
          </w:p>
        </w:tc>
      </w:tr>
      <w:tr w:rsidR="00A84E96" w:rsidRPr="002370CA" w14:paraId="25D99CB7" w14:textId="77777777" w:rsidTr="002370CA">
        <w:trPr>
          <w:trHeight w:val="315"/>
          <w:jc w:val="center"/>
        </w:trPr>
        <w:tc>
          <w:tcPr>
            <w:tcW w:w="585" w:type="dxa"/>
            <w:tcBorders>
              <w:top w:val="nil"/>
              <w:left w:val="nil"/>
              <w:bottom w:val="single" w:sz="8" w:space="0" w:color="7F7F7F"/>
              <w:right w:val="nil"/>
            </w:tcBorders>
            <w:tcMar>
              <w:top w:w="0" w:type="dxa"/>
              <w:left w:w="100" w:type="dxa"/>
              <w:bottom w:w="0" w:type="dxa"/>
              <w:right w:w="100" w:type="dxa"/>
            </w:tcMar>
          </w:tcPr>
          <w:p w14:paraId="733380DC"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12</w:t>
            </w:r>
          </w:p>
        </w:tc>
        <w:tc>
          <w:tcPr>
            <w:tcW w:w="1560" w:type="dxa"/>
            <w:tcBorders>
              <w:top w:val="nil"/>
              <w:left w:val="nil"/>
              <w:bottom w:val="single" w:sz="8" w:space="0" w:color="7F7F7F"/>
              <w:right w:val="nil"/>
            </w:tcBorders>
            <w:tcMar>
              <w:top w:w="0" w:type="dxa"/>
              <w:left w:w="100" w:type="dxa"/>
              <w:bottom w:w="0" w:type="dxa"/>
              <w:right w:w="100" w:type="dxa"/>
            </w:tcMar>
          </w:tcPr>
          <w:p w14:paraId="19E3762E"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AR04</w:t>
            </w:r>
          </w:p>
        </w:tc>
        <w:tc>
          <w:tcPr>
            <w:tcW w:w="6990" w:type="dxa"/>
            <w:tcBorders>
              <w:top w:val="nil"/>
              <w:left w:val="nil"/>
              <w:bottom w:val="single" w:sz="8" w:space="0" w:color="7F7F7F"/>
              <w:right w:val="nil"/>
            </w:tcBorders>
            <w:tcMar>
              <w:top w:w="0" w:type="dxa"/>
              <w:left w:w="100" w:type="dxa"/>
              <w:bottom w:w="0" w:type="dxa"/>
              <w:right w:w="100" w:type="dxa"/>
            </w:tcMar>
          </w:tcPr>
          <w:p w14:paraId="463978BC"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Satisfied with shared facility costs and external amenities.</w:t>
            </w:r>
          </w:p>
        </w:tc>
      </w:tr>
    </w:tbl>
    <w:p w14:paraId="3354B16F" w14:textId="34605A4A" w:rsidR="00A84E96" w:rsidRDefault="00A84E96" w:rsidP="002370CA">
      <w:pPr>
        <w:pStyle w:val="Heading2"/>
        <w:spacing w:before="0" w:line="240" w:lineRule="auto"/>
        <w:jc w:val="both"/>
        <w:rPr>
          <w:rFonts w:ascii="Times New Roman" w:hAnsi="Times New Roman" w:cs="Times New Roman"/>
          <w:b w:val="0"/>
          <w:i/>
          <w:color w:val="auto"/>
          <w:sz w:val="24"/>
          <w:szCs w:val="24"/>
        </w:rPr>
      </w:pPr>
      <w:bookmarkStart w:id="22" w:name="_heading=h.6bz2dhsq5lq5" w:colFirst="0" w:colLast="0"/>
      <w:bookmarkEnd w:id="22"/>
      <w:r w:rsidRPr="00BE4AF3">
        <w:rPr>
          <w:rFonts w:ascii="Times New Roman" w:hAnsi="Times New Roman" w:cs="Times New Roman"/>
          <w:b w:val="0"/>
          <w:i/>
          <w:color w:val="auto"/>
          <w:sz w:val="24"/>
          <w:szCs w:val="24"/>
        </w:rPr>
        <w:t>Source: Researcher’s Interview Session (2021)</w:t>
      </w:r>
    </w:p>
    <w:p w14:paraId="6703D6DA" w14:textId="77777777" w:rsidR="002370CA" w:rsidRPr="002370CA" w:rsidRDefault="002370CA" w:rsidP="002370CA">
      <w:pPr>
        <w:spacing w:after="0" w:line="240" w:lineRule="auto"/>
      </w:pPr>
    </w:p>
    <w:p w14:paraId="5327B66E" w14:textId="77777777" w:rsidR="00A84E96" w:rsidRDefault="00A84E96" w:rsidP="002370CA">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Findings from Table 2 reveal that the majority of housing residents expressed general satisfaction with various building attributes, particularly external features such as parking, landscaping, estate aesthetics, security services, and shared amenities. Respondents MB01, MB03, EK03, and AR03 emphasized the quality and appeal of outdoor infrastructure, while MB02, EK01, and AR02 appreciated planning, room sizes, and service delivery. A few participants, including MB04 and AR02, raised concerns regarding internal design and functionality—highlighting dissatisfaction </w:t>
      </w:r>
      <w:r w:rsidRPr="00BE4AF3">
        <w:rPr>
          <w:rFonts w:ascii="Times New Roman" w:eastAsia="Times New Roman" w:hAnsi="Times New Roman" w:cs="Times New Roman"/>
          <w:sz w:val="24"/>
          <w:szCs w:val="24"/>
        </w:rPr>
        <w:lastRenderedPageBreak/>
        <w:t>with house design and driveway dimensions. Notably, cost-effectiveness in shared services (security and cleaning) was positively noted by respondents AR01 and AR04. Overall, the responses indicate a strong preference and satisfaction with external and communal features, though some deficiencies in internal design and spatial planning remain.</w:t>
      </w:r>
    </w:p>
    <w:p w14:paraId="695259DF" w14:textId="77777777" w:rsidR="002370CA" w:rsidRPr="00BE4AF3" w:rsidRDefault="002370CA" w:rsidP="002370CA">
      <w:pPr>
        <w:spacing w:after="0" w:line="240" w:lineRule="auto"/>
        <w:jc w:val="both"/>
        <w:rPr>
          <w:rFonts w:ascii="Times New Roman" w:eastAsia="Times New Roman" w:hAnsi="Times New Roman" w:cs="Times New Roman"/>
          <w:sz w:val="24"/>
          <w:szCs w:val="24"/>
        </w:rPr>
      </w:pPr>
    </w:p>
    <w:p w14:paraId="358E8243" w14:textId="77777777" w:rsidR="00A84E96" w:rsidRPr="00BE4AF3" w:rsidRDefault="00A84E96" w:rsidP="002370CA">
      <w:pPr>
        <w:pStyle w:val="Heading3"/>
        <w:spacing w:before="0" w:line="240" w:lineRule="auto"/>
        <w:jc w:val="both"/>
        <w:rPr>
          <w:rFonts w:ascii="Times New Roman" w:hAnsi="Times New Roman" w:cs="Times New Roman"/>
          <w:color w:val="auto"/>
        </w:rPr>
      </w:pPr>
      <w:bookmarkStart w:id="23" w:name="_heading=h.2fg3cousbc5s" w:colFirst="0" w:colLast="0"/>
      <w:bookmarkEnd w:id="23"/>
      <w:r w:rsidRPr="002370CA">
        <w:rPr>
          <w:rFonts w:ascii="Times New Roman" w:hAnsi="Times New Roman" w:cs="Times New Roman"/>
          <w:b/>
          <w:bCs/>
          <w:color w:val="auto"/>
        </w:rPr>
        <w:t xml:space="preserve">Table 3: </w:t>
      </w:r>
      <w:r w:rsidRPr="00BE4AF3">
        <w:rPr>
          <w:rFonts w:ascii="Times New Roman" w:hAnsi="Times New Roman" w:cs="Times New Roman"/>
          <w:color w:val="auto"/>
        </w:rPr>
        <w:t>Respondents’ Satisfaction Level with Building Amenities</w:t>
      </w:r>
    </w:p>
    <w:p w14:paraId="3728182F" w14:textId="77777777" w:rsidR="00A84E96" w:rsidRPr="00BE4AF3" w:rsidRDefault="00A84E96" w:rsidP="002370CA">
      <w:pPr>
        <w:spacing w:after="0" w:line="240" w:lineRule="auto"/>
        <w:jc w:val="both"/>
        <w:rPr>
          <w:rFonts w:ascii="Times New Roman" w:eastAsia="Times New Roman" w:hAnsi="Times New Roman" w:cs="Times New Roman"/>
          <w:i/>
          <w:sz w:val="24"/>
          <w:szCs w:val="24"/>
        </w:rPr>
      </w:pPr>
      <w:r w:rsidRPr="00BE4AF3">
        <w:rPr>
          <w:rFonts w:ascii="Times New Roman" w:eastAsia="Times New Roman" w:hAnsi="Times New Roman" w:cs="Times New Roman"/>
          <w:b/>
          <w:sz w:val="24"/>
          <w:szCs w:val="24"/>
        </w:rPr>
        <w:t xml:space="preserve">Interview Question: </w:t>
      </w:r>
      <w:r w:rsidRPr="00BE4AF3">
        <w:rPr>
          <w:rFonts w:ascii="Times New Roman" w:eastAsia="Times New Roman" w:hAnsi="Times New Roman" w:cs="Times New Roman"/>
          <w:i/>
          <w:sz w:val="24"/>
          <w:szCs w:val="24"/>
        </w:rPr>
        <w:t>"Does the building contain the expected amenities? How satisfied are you with the installed amenities?"</w:t>
      </w:r>
    </w:p>
    <w:tbl>
      <w:tblPr>
        <w:tblW w:w="8865" w:type="dxa"/>
        <w:jc w:val="center"/>
        <w:tblBorders>
          <w:top w:val="nil"/>
          <w:left w:val="nil"/>
          <w:bottom w:val="nil"/>
          <w:right w:val="nil"/>
          <w:insideH w:val="nil"/>
          <w:insideV w:val="nil"/>
        </w:tblBorders>
        <w:tblLayout w:type="fixed"/>
        <w:tblLook w:val="0600" w:firstRow="0" w:lastRow="0" w:firstColumn="0" w:lastColumn="0" w:noHBand="1" w:noVBand="1"/>
      </w:tblPr>
      <w:tblGrid>
        <w:gridCol w:w="555"/>
        <w:gridCol w:w="1515"/>
        <w:gridCol w:w="6795"/>
      </w:tblGrid>
      <w:tr w:rsidR="00A84E96" w:rsidRPr="002370CA" w14:paraId="66B626BB" w14:textId="77777777" w:rsidTr="000D5E6D">
        <w:trPr>
          <w:trHeight w:val="465"/>
          <w:jc w:val="center"/>
        </w:trPr>
        <w:tc>
          <w:tcPr>
            <w:tcW w:w="555" w:type="dxa"/>
            <w:tcBorders>
              <w:top w:val="single" w:sz="8" w:space="0" w:color="7F7F7F"/>
              <w:left w:val="nil"/>
              <w:bottom w:val="single" w:sz="8" w:space="0" w:color="7F7F7F"/>
              <w:right w:val="nil"/>
            </w:tcBorders>
            <w:tcMar>
              <w:top w:w="0" w:type="dxa"/>
              <w:left w:w="100" w:type="dxa"/>
              <w:bottom w:w="0" w:type="dxa"/>
              <w:right w:w="100" w:type="dxa"/>
            </w:tcMar>
          </w:tcPr>
          <w:p w14:paraId="1834A6BB"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S/N</w:t>
            </w:r>
          </w:p>
        </w:tc>
        <w:tc>
          <w:tcPr>
            <w:tcW w:w="1515" w:type="dxa"/>
            <w:tcBorders>
              <w:top w:val="single" w:sz="8" w:space="0" w:color="7F7F7F"/>
              <w:left w:val="nil"/>
              <w:bottom w:val="single" w:sz="8" w:space="0" w:color="7F7F7F"/>
              <w:right w:val="nil"/>
            </w:tcBorders>
            <w:tcMar>
              <w:top w:w="0" w:type="dxa"/>
              <w:left w:w="100" w:type="dxa"/>
              <w:bottom w:w="0" w:type="dxa"/>
              <w:right w:w="100" w:type="dxa"/>
            </w:tcMar>
          </w:tcPr>
          <w:p w14:paraId="36ED1DBD"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Respondent ID</w:t>
            </w:r>
          </w:p>
        </w:tc>
        <w:tc>
          <w:tcPr>
            <w:tcW w:w="6795" w:type="dxa"/>
            <w:tcBorders>
              <w:top w:val="single" w:sz="8" w:space="0" w:color="7F7F7F"/>
              <w:left w:val="nil"/>
              <w:bottom w:val="single" w:sz="8" w:space="0" w:color="7F7F7F"/>
              <w:right w:val="nil"/>
            </w:tcBorders>
            <w:tcMar>
              <w:top w:w="0" w:type="dxa"/>
              <w:left w:w="100" w:type="dxa"/>
              <w:bottom w:w="0" w:type="dxa"/>
              <w:right w:w="100" w:type="dxa"/>
            </w:tcMar>
          </w:tcPr>
          <w:p w14:paraId="419AB247"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Summary of Response</w:t>
            </w:r>
          </w:p>
        </w:tc>
      </w:tr>
      <w:tr w:rsidR="00A84E96" w:rsidRPr="002370CA" w14:paraId="6AB59F65" w14:textId="77777777" w:rsidTr="000D5E6D">
        <w:trPr>
          <w:trHeight w:val="543"/>
          <w:jc w:val="center"/>
        </w:trPr>
        <w:tc>
          <w:tcPr>
            <w:tcW w:w="555" w:type="dxa"/>
            <w:tcBorders>
              <w:top w:val="nil"/>
              <w:left w:val="nil"/>
              <w:bottom w:val="nil"/>
              <w:right w:val="nil"/>
            </w:tcBorders>
            <w:tcMar>
              <w:top w:w="0" w:type="dxa"/>
              <w:left w:w="100" w:type="dxa"/>
              <w:bottom w:w="0" w:type="dxa"/>
              <w:right w:w="100" w:type="dxa"/>
            </w:tcMar>
          </w:tcPr>
          <w:p w14:paraId="74F8C513"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w:t>
            </w:r>
          </w:p>
        </w:tc>
        <w:tc>
          <w:tcPr>
            <w:tcW w:w="1515" w:type="dxa"/>
            <w:tcBorders>
              <w:top w:val="nil"/>
              <w:left w:val="nil"/>
              <w:bottom w:val="nil"/>
              <w:right w:val="nil"/>
            </w:tcBorders>
            <w:tcMar>
              <w:top w:w="0" w:type="dxa"/>
              <w:left w:w="100" w:type="dxa"/>
              <w:bottom w:w="0" w:type="dxa"/>
              <w:right w:w="100" w:type="dxa"/>
            </w:tcMar>
          </w:tcPr>
          <w:p w14:paraId="06AD4E63"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MB01</w:t>
            </w:r>
          </w:p>
        </w:tc>
        <w:tc>
          <w:tcPr>
            <w:tcW w:w="6795" w:type="dxa"/>
            <w:tcBorders>
              <w:top w:val="nil"/>
              <w:left w:val="nil"/>
              <w:bottom w:val="nil"/>
              <w:right w:val="nil"/>
            </w:tcBorders>
            <w:tcMar>
              <w:top w:w="0" w:type="dxa"/>
              <w:left w:w="100" w:type="dxa"/>
              <w:bottom w:w="0" w:type="dxa"/>
              <w:right w:w="100" w:type="dxa"/>
            </w:tcMar>
          </w:tcPr>
          <w:p w14:paraId="41A4CF68"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Expressed high satisfaction with external features such as parking and landscaping, noting these exceeded expectations.</w:t>
            </w:r>
          </w:p>
        </w:tc>
      </w:tr>
      <w:tr w:rsidR="00A84E96" w:rsidRPr="002370CA" w14:paraId="4167DEA4" w14:textId="77777777" w:rsidTr="000D5E6D">
        <w:trPr>
          <w:jc w:val="center"/>
        </w:trPr>
        <w:tc>
          <w:tcPr>
            <w:tcW w:w="555" w:type="dxa"/>
            <w:tcBorders>
              <w:top w:val="nil"/>
              <w:left w:val="nil"/>
              <w:bottom w:val="nil"/>
              <w:right w:val="nil"/>
            </w:tcBorders>
            <w:tcMar>
              <w:top w:w="0" w:type="dxa"/>
              <w:left w:w="100" w:type="dxa"/>
              <w:bottom w:w="0" w:type="dxa"/>
              <w:right w:w="100" w:type="dxa"/>
            </w:tcMar>
          </w:tcPr>
          <w:p w14:paraId="54B0E4FE"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w:t>
            </w:r>
          </w:p>
        </w:tc>
        <w:tc>
          <w:tcPr>
            <w:tcW w:w="1515" w:type="dxa"/>
            <w:tcBorders>
              <w:top w:val="nil"/>
              <w:left w:val="nil"/>
              <w:bottom w:val="nil"/>
              <w:right w:val="nil"/>
            </w:tcBorders>
            <w:tcMar>
              <w:top w:w="0" w:type="dxa"/>
              <w:left w:w="100" w:type="dxa"/>
              <w:bottom w:w="0" w:type="dxa"/>
              <w:right w:w="100" w:type="dxa"/>
            </w:tcMar>
          </w:tcPr>
          <w:p w14:paraId="214DD56B"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MB02</w:t>
            </w:r>
          </w:p>
        </w:tc>
        <w:tc>
          <w:tcPr>
            <w:tcW w:w="6795" w:type="dxa"/>
            <w:tcBorders>
              <w:top w:val="nil"/>
              <w:left w:val="nil"/>
              <w:bottom w:val="nil"/>
              <w:right w:val="nil"/>
            </w:tcBorders>
            <w:tcMar>
              <w:top w:w="0" w:type="dxa"/>
              <w:left w:w="100" w:type="dxa"/>
              <w:bottom w:w="0" w:type="dxa"/>
              <w:right w:w="100" w:type="dxa"/>
            </w:tcMar>
          </w:tcPr>
          <w:p w14:paraId="420127FD"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Satisfied with room size, estate planning, and infrastructure such as power and drainage systems.</w:t>
            </w:r>
          </w:p>
        </w:tc>
      </w:tr>
      <w:tr w:rsidR="00A84E96" w:rsidRPr="002370CA" w14:paraId="7E28991C" w14:textId="77777777" w:rsidTr="000D5E6D">
        <w:trPr>
          <w:trHeight w:val="573"/>
          <w:jc w:val="center"/>
        </w:trPr>
        <w:tc>
          <w:tcPr>
            <w:tcW w:w="555" w:type="dxa"/>
            <w:tcBorders>
              <w:top w:val="nil"/>
              <w:left w:val="nil"/>
              <w:bottom w:val="nil"/>
              <w:right w:val="nil"/>
            </w:tcBorders>
            <w:tcMar>
              <w:top w:w="0" w:type="dxa"/>
              <w:left w:w="100" w:type="dxa"/>
              <w:bottom w:w="0" w:type="dxa"/>
              <w:right w:w="100" w:type="dxa"/>
            </w:tcMar>
          </w:tcPr>
          <w:p w14:paraId="48D5093A"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3</w:t>
            </w:r>
          </w:p>
        </w:tc>
        <w:tc>
          <w:tcPr>
            <w:tcW w:w="1515" w:type="dxa"/>
            <w:tcBorders>
              <w:top w:val="nil"/>
              <w:left w:val="nil"/>
              <w:bottom w:val="nil"/>
              <w:right w:val="nil"/>
            </w:tcBorders>
            <w:tcMar>
              <w:top w:w="0" w:type="dxa"/>
              <w:left w:w="100" w:type="dxa"/>
              <w:bottom w:w="0" w:type="dxa"/>
              <w:right w:w="100" w:type="dxa"/>
            </w:tcMar>
          </w:tcPr>
          <w:p w14:paraId="2FCFD322"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MB03</w:t>
            </w:r>
          </w:p>
        </w:tc>
        <w:tc>
          <w:tcPr>
            <w:tcW w:w="6795" w:type="dxa"/>
            <w:tcBorders>
              <w:top w:val="nil"/>
              <w:left w:val="nil"/>
              <w:bottom w:val="nil"/>
              <w:right w:val="nil"/>
            </w:tcBorders>
            <w:tcMar>
              <w:top w:w="0" w:type="dxa"/>
              <w:left w:w="100" w:type="dxa"/>
              <w:bottom w:w="0" w:type="dxa"/>
              <w:right w:w="100" w:type="dxa"/>
            </w:tcMar>
          </w:tcPr>
          <w:p w14:paraId="52E389C1"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Pleased with the estate's location, safety of external works, availability of playgrounds, parking, and landscaping.</w:t>
            </w:r>
          </w:p>
        </w:tc>
      </w:tr>
      <w:tr w:rsidR="00A84E96" w:rsidRPr="002370CA" w14:paraId="7ADE3666" w14:textId="77777777" w:rsidTr="000D5E6D">
        <w:trPr>
          <w:trHeight w:val="450"/>
          <w:jc w:val="center"/>
        </w:trPr>
        <w:tc>
          <w:tcPr>
            <w:tcW w:w="555" w:type="dxa"/>
            <w:tcBorders>
              <w:top w:val="nil"/>
              <w:left w:val="nil"/>
              <w:bottom w:val="nil"/>
              <w:right w:val="nil"/>
            </w:tcBorders>
            <w:tcMar>
              <w:top w:w="0" w:type="dxa"/>
              <w:left w:w="100" w:type="dxa"/>
              <w:bottom w:w="0" w:type="dxa"/>
              <w:right w:w="100" w:type="dxa"/>
            </w:tcMar>
          </w:tcPr>
          <w:p w14:paraId="7686CBDE"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4</w:t>
            </w:r>
          </w:p>
        </w:tc>
        <w:tc>
          <w:tcPr>
            <w:tcW w:w="1515" w:type="dxa"/>
            <w:tcBorders>
              <w:top w:val="nil"/>
              <w:left w:val="nil"/>
              <w:bottom w:val="nil"/>
              <w:right w:val="nil"/>
            </w:tcBorders>
            <w:tcMar>
              <w:top w:w="0" w:type="dxa"/>
              <w:left w:w="100" w:type="dxa"/>
              <w:bottom w:w="0" w:type="dxa"/>
              <w:right w:w="100" w:type="dxa"/>
            </w:tcMar>
          </w:tcPr>
          <w:p w14:paraId="2C47F7DD"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MB04</w:t>
            </w:r>
          </w:p>
        </w:tc>
        <w:tc>
          <w:tcPr>
            <w:tcW w:w="6795" w:type="dxa"/>
            <w:tcBorders>
              <w:top w:val="nil"/>
              <w:left w:val="nil"/>
              <w:bottom w:val="nil"/>
              <w:right w:val="nil"/>
            </w:tcBorders>
            <w:tcMar>
              <w:top w:w="0" w:type="dxa"/>
              <w:left w:w="100" w:type="dxa"/>
              <w:bottom w:w="0" w:type="dxa"/>
              <w:right w:w="100" w:type="dxa"/>
            </w:tcMar>
          </w:tcPr>
          <w:p w14:paraId="5FFCA8A2"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Satisfied with house pricing, but disappointed with the house design which did not meet expectations.</w:t>
            </w:r>
          </w:p>
        </w:tc>
      </w:tr>
      <w:tr w:rsidR="00A84E96" w:rsidRPr="002370CA" w14:paraId="03F31C9F" w14:textId="77777777" w:rsidTr="000D5E6D">
        <w:trPr>
          <w:jc w:val="center"/>
        </w:trPr>
        <w:tc>
          <w:tcPr>
            <w:tcW w:w="555" w:type="dxa"/>
            <w:tcBorders>
              <w:top w:val="nil"/>
              <w:left w:val="nil"/>
              <w:bottom w:val="nil"/>
              <w:right w:val="nil"/>
            </w:tcBorders>
            <w:tcMar>
              <w:top w:w="0" w:type="dxa"/>
              <w:left w:w="100" w:type="dxa"/>
              <w:bottom w:w="0" w:type="dxa"/>
              <w:right w:w="100" w:type="dxa"/>
            </w:tcMar>
          </w:tcPr>
          <w:p w14:paraId="39D9E84F"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5</w:t>
            </w:r>
          </w:p>
        </w:tc>
        <w:tc>
          <w:tcPr>
            <w:tcW w:w="1515" w:type="dxa"/>
            <w:tcBorders>
              <w:top w:val="nil"/>
              <w:left w:val="nil"/>
              <w:bottom w:val="nil"/>
              <w:right w:val="nil"/>
            </w:tcBorders>
            <w:tcMar>
              <w:top w:w="0" w:type="dxa"/>
              <w:left w:w="100" w:type="dxa"/>
              <w:bottom w:w="0" w:type="dxa"/>
              <w:right w:w="100" w:type="dxa"/>
            </w:tcMar>
          </w:tcPr>
          <w:p w14:paraId="77B1DEE9"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EK01</w:t>
            </w:r>
          </w:p>
        </w:tc>
        <w:tc>
          <w:tcPr>
            <w:tcW w:w="6795" w:type="dxa"/>
            <w:tcBorders>
              <w:top w:val="nil"/>
              <w:left w:val="nil"/>
              <w:bottom w:val="nil"/>
              <w:right w:val="nil"/>
            </w:tcBorders>
            <w:tcMar>
              <w:top w:w="0" w:type="dxa"/>
              <w:left w:w="100" w:type="dxa"/>
              <w:bottom w:w="0" w:type="dxa"/>
              <w:right w:w="100" w:type="dxa"/>
            </w:tcMar>
          </w:tcPr>
          <w:p w14:paraId="7DC18408"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Happy with the design as it met the initial specifications; satisfied with service and product quality.</w:t>
            </w:r>
          </w:p>
        </w:tc>
      </w:tr>
      <w:tr w:rsidR="00A84E96" w:rsidRPr="002370CA" w14:paraId="236A091A" w14:textId="77777777" w:rsidTr="000D5E6D">
        <w:trPr>
          <w:trHeight w:val="315"/>
          <w:jc w:val="center"/>
        </w:trPr>
        <w:tc>
          <w:tcPr>
            <w:tcW w:w="555" w:type="dxa"/>
            <w:tcBorders>
              <w:top w:val="nil"/>
              <w:left w:val="nil"/>
              <w:bottom w:val="nil"/>
              <w:right w:val="nil"/>
            </w:tcBorders>
            <w:tcMar>
              <w:top w:w="0" w:type="dxa"/>
              <w:left w:w="100" w:type="dxa"/>
              <w:bottom w:w="0" w:type="dxa"/>
              <w:right w:w="100" w:type="dxa"/>
            </w:tcMar>
          </w:tcPr>
          <w:p w14:paraId="209DC107"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6</w:t>
            </w:r>
          </w:p>
        </w:tc>
        <w:tc>
          <w:tcPr>
            <w:tcW w:w="1515" w:type="dxa"/>
            <w:tcBorders>
              <w:top w:val="nil"/>
              <w:left w:val="nil"/>
              <w:bottom w:val="nil"/>
              <w:right w:val="nil"/>
            </w:tcBorders>
            <w:tcMar>
              <w:top w:w="0" w:type="dxa"/>
              <w:left w:w="100" w:type="dxa"/>
              <w:bottom w:w="0" w:type="dxa"/>
              <w:right w:w="100" w:type="dxa"/>
            </w:tcMar>
          </w:tcPr>
          <w:p w14:paraId="5F02E509"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EK02</w:t>
            </w:r>
          </w:p>
        </w:tc>
        <w:tc>
          <w:tcPr>
            <w:tcW w:w="6795" w:type="dxa"/>
            <w:tcBorders>
              <w:top w:val="nil"/>
              <w:left w:val="nil"/>
              <w:bottom w:val="nil"/>
              <w:right w:val="nil"/>
            </w:tcBorders>
            <w:tcMar>
              <w:top w:w="0" w:type="dxa"/>
              <w:left w:w="100" w:type="dxa"/>
              <w:bottom w:w="0" w:type="dxa"/>
              <w:right w:w="100" w:type="dxa"/>
            </w:tcMar>
          </w:tcPr>
          <w:p w14:paraId="0D196CA7"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Fulfilled expectations regarding the design and estate aesthetics.</w:t>
            </w:r>
          </w:p>
        </w:tc>
      </w:tr>
      <w:tr w:rsidR="00A84E96" w:rsidRPr="002370CA" w14:paraId="07F3FE44" w14:textId="77777777" w:rsidTr="000D5E6D">
        <w:trPr>
          <w:trHeight w:val="315"/>
          <w:jc w:val="center"/>
        </w:trPr>
        <w:tc>
          <w:tcPr>
            <w:tcW w:w="555" w:type="dxa"/>
            <w:tcBorders>
              <w:top w:val="nil"/>
              <w:left w:val="nil"/>
              <w:bottom w:val="nil"/>
              <w:right w:val="nil"/>
            </w:tcBorders>
            <w:tcMar>
              <w:top w:w="0" w:type="dxa"/>
              <w:left w:w="100" w:type="dxa"/>
              <w:bottom w:w="0" w:type="dxa"/>
              <w:right w:w="100" w:type="dxa"/>
            </w:tcMar>
          </w:tcPr>
          <w:p w14:paraId="35EBFA65"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7</w:t>
            </w:r>
          </w:p>
        </w:tc>
        <w:tc>
          <w:tcPr>
            <w:tcW w:w="1515" w:type="dxa"/>
            <w:tcBorders>
              <w:top w:val="nil"/>
              <w:left w:val="nil"/>
              <w:bottom w:val="nil"/>
              <w:right w:val="nil"/>
            </w:tcBorders>
            <w:tcMar>
              <w:top w:w="0" w:type="dxa"/>
              <w:left w:w="100" w:type="dxa"/>
              <w:bottom w:w="0" w:type="dxa"/>
              <w:right w:w="100" w:type="dxa"/>
            </w:tcMar>
          </w:tcPr>
          <w:p w14:paraId="38F1C743"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EK03</w:t>
            </w:r>
          </w:p>
        </w:tc>
        <w:tc>
          <w:tcPr>
            <w:tcW w:w="6795" w:type="dxa"/>
            <w:tcBorders>
              <w:top w:val="nil"/>
              <w:left w:val="nil"/>
              <w:bottom w:val="nil"/>
              <w:right w:val="nil"/>
            </w:tcBorders>
            <w:tcMar>
              <w:top w:w="0" w:type="dxa"/>
              <w:left w:w="100" w:type="dxa"/>
              <w:bottom w:w="0" w:type="dxa"/>
              <w:right w:w="100" w:type="dxa"/>
            </w:tcMar>
          </w:tcPr>
          <w:p w14:paraId="2E7635A0"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Impressed by the house finishes and external infrastructure.</w:t>
            </w:r>
          </w:p>
        </w:tc>
      </w:tr>
      <w:tr w:rsidR="00A84E96" w:rsidRPr="002370CA" w14:paraId="3D09E48C" w14:textId="77777777" w:rsidTr="000D5E6D">
        <w:trPr>
          <w:trHeight w:val="315"/>
          <w:jc w:val="center"/>
        </w:trPr>
        <w:tc>
          <w:tcPr>
            <w:tcW w:w="555" w:type="dxa"/>
            <w:tcBorders>
              <w:top w:val="nil"/>
              <w:left w:val="nil"/>
              <w:bottom w:val="nil"/>
              <w:right w:val="nil"/>
            </w:tcBorders>
            <w:tcMar>
              <w:top w:w="0" w:type="dxa"/>
              <w:left w:w="100" w:type="dxa"/>
              <w:bottom w:w="0" w:type="dxa"/>
              <w:right w:w="100" w:type="dxa"/>
            </w:tcMar>
          </w:tcPr>
          <w:p w14:paraId="366E2097"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8</w:t>
            </w:r>
          </w:p>
        </w:tc>
        <w:tc>
          <w:tcPr>
            <w:tcW w:w="1515" w:type="dxa"/>
            <w:tcBorders>
              <w:top w:val="nil"/>
              <w:left w:val="nil"/>
              <w:bottom w:val="nil"/>
              <w:right w:val="nil"/>
            </w:tcBorders>
            <w:tcMar>
              <w:top w:w="0" w:type="dxa"/>
              <w:left w:w="100" w:type="dxa"/>
              <w:bottom w:w="0" w:type="dxa"/>
              <w:right w:w="100" w:type="dxa"/>
            </w:tcMar>
          </w:tcPr>
          <w:p w14:paraId="39E508F0"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EK04</w:t>
            </w:r>
          </w:p>
        </w:tc>
        <w:tc>
          <w:tcPr>
            <w:tcW w:w="6795" w:type="dxa"/>
            <w:tcBorders>
              <w:top w:val="nil"/>
              <w:left w:val="nil"/>
              <w:bottom w:val="nil"/>
              <w:right w:val="nil"/>
            </w:tcBorders>
            <w:tcMar>
              <w:top w:w="0" w:type="dxa"/>
              <w:left w:w="100" w:type="dxa"/>
              <w:bottom w:w="0" w:type="dxa"/>
              <w:right w:w="100" w:type="dxa"/>
            </w:tcMar>
          </w:tcPr>
          <w:p w14:paraId="2294AEFD"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Only satisfied with aspects external to the housing unit.</w:t>
            </w:r>
          </w:p>
        </w:tc>
      </w:tr>
      <w:tr w:rsidR="00A84E96" w:rsidRPr="002370CA" w14:paraId="3D275F06" w14:textId="77777777" w:rsidTr="000D5E6D">
        <w:trPr>
          <w:trHeight w:val="315"/>
          <w:jc w:val="center"/>
        </w:trPr>
        <w:tc>
          <w:tcPr>
            <w:tcW w:w="555" w:type="dxa"/>
            <w:tcBorders>
              <w:top w:val="nil"/>
              <w:left w:val="nil"/>
              <w:bottom w:val="nil"/>
              <w:right w:val="nil"/>
            </w:tcBorders>
            <w:tcMar>
              <w:top w:w="0" w:type="dxa"/>
              <w:left w:w="100" w:type="dxa"/>
              <w:bottom w:w="0" w:type="dxa"/>
              <w:right w:w="100" w:type="dxa"/>
            </w:tcMar>
          </w:tcPr>
          <w:p w14:paraId="3F919105"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9</w:t>
            </w:r>
          </w:p>
        </w:tc>
        <w:tc>
          <w:tcPr>
            <w:tcW w:w="1515" w:type="dxa"/>
            <w:tcBorders>
              <w:top w:val="nil"/>
              <w:left w:val="nil"/>
              <w:bottom w:val="nil"/>
              <w:right w:val="nil"/>
            </w:tcBorders>
            <w:tcMar>
              <w:top w:w="0" w:type="dxa"/>
              <w:left w:w="100" w:type="dxa"/>
              <w:bottom w:w="0" w:type="dxa"/>
              <w:right w:w="100" w:type="dxa"/>
            </w:tcMar>
          </w:tcPr>
          <w:p w14:paraId="4E755591"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AR01</w:t>
            </w:r>
          </w:p>
        </w:tc>
        <w:tc>
          <w:tcPr>
            <w:tcW w:w="6795" w:type="dxa"/>
            <w:tcBorders>
              <w:top w:val="nil"/>
              <w:left w:val="nil"/>
              <w:bottom w:val="nil"/>
              <w:right w:val="nil"/>
            </w:tcBorders>
            <w:tcMar>
              <w:top w:w="0" w:type="dxa"/>
              <w:left w:w="100" w:type="dxa"/>
              <w:bottom w:w="0" w:type="dxa"/>
              <w:right w:w="100" w:type="dxa"/>
            </w:tcMar>
          </w:tcPr>
          <w:p w14:paraId="066072F9"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Satisfied with cost-sharing of shared services like security and cleaning.</w:t>
            </w:r>
          </w:p>
        </w:tc>
      </w:tr>
      <w:tr w:rsidR="00A84E96" w:rsidRPr="002370CA" w14:paraId="6118CD76" w14:textId="77777777" w:rsidTr="000D5E6D">
        <w:trPr>
          <w:trHeight w:val="450"/>
          <w:jc w:val="center"/>
        </w:trPr>
        <w:tc>
          <w:tcPr>
            <w:tcW w:w="555" w:type="dxa"/>
            <w:tcBorders>
              <w:top w:val="nil"/>
              <w:left w:val="nil"/>
              <w:bottom w:val="nil"/>
              <w:right w:val="nil"/>
            </w:tcBorders>
            <w:tcMar>
              <w:top w:w="0" w:type="dxa"/>
              <w:left w:w="100" w:type="dxa"/>
              <w:bottom w:w="0" w:type="dxa"/>
              <w:right w:w="100" w:type="dxa"/>
            </w:tcMar>
          </w:tcPr>
          <w:p w14:paraId="2A75353C"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10</w:t>
            </w:r>
          </w:p>
        </w:tc>
        <w:tc>
          <w:tcPr>
            <w:tcW w:w="1515" w:type="dxa"/>
            <w:tcBorders>
              <w:top w:val="nil"/>
              <w:left w:val="nil"/>
              <w:bottom w:val="nil"/>
              <w:right w:val="nil"/>
            </w:tcBorders>
            <w:tcMar>
              <w:top w:w="0" w:type="dxa"/>
              <w:left w:w="100" w:type="dxa"/>
              <w:bottom w:w="0" w:type="dxa"/>
              <w:right w:w="100" w:type="dxa"/>
            </w:tcMar>
          </w:tcPr>
          <w:p w14:paraId="6D880048"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AR02</w:t>
            </w:r>
          </w:p>
        </w:tc>
        <w:tc>
          <w:tcPr>
            <w:tcW w:w="6795" w:type="dxa"/>
            <w:tcBorders>
              <w:top w:val="nil"/>
              <w:left w:val="nil"/>
              <w:bottom w:val="nil"/>
              <w:right w:val="nil"/>
            </w:tcBorders>
            <w:tcMar>
              <w:top w:w="0" w:type="dxa"/>
              <w:left w:w="100" w:type="dxa"/>
              <w:bottom w:w="0" w:type="dxa"/>
              <w:right w:w="100" w:type="dxa"/>
            </w:tcMar>
          </w:tcPr>
          <w:p w14:paraId="157FC0EC"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Appreciated estate planning and layout but highlighted concerns about narrow driveways in the flats section.</w:t>
            </w:r>
          </w:p>
        </w:tc>
      </w:tr>
      <w:tr w:rsidR="00A84E96" w:rsidRPr="002370CA" w14:paraId="6819C555" w14:textId="77777777" w:rsidTr="000D5E6D">
        <w:trPr>
          <w:trHeight w:val="315"/>
          <w:jc w:val="center"/>
        </w:trPr>
        <w:tc>
          <w:tcPr>
            <w:tcW w:w="555" w:type="dxa"/>
            <w:tcBorders>
              <w:top w:val="nil"/>
              <w:left w:val="nil"/>
              <w:bottom w:val="nil"/>
              <w:right w:val="nil"/>
            </w:tcBorders>
            <w:tcMar>
              <w:top w:w="0" w:type="dxa"/>
              <w:left w:w="100" w:type="dxa"/>
              <w:bottom w:w="0" w:type="dxa"/>
              <w:right w:w="100" w:type="dxa"/>
            </w:tcMar>
          </w:tcPr>
          <w:p w14:paraId="0F8F1CC2"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11</w:t>
            </w:r>
          </w:p>
        </w:tc>
        <w:tc>
          <w:tcPr>
            <w:tcW w:w="1515" w:type="dxa"/>
            <w:tcBorders>
              <w:top w:val="nil"/>
              <w:left w:val="nil"/>
              <w:bottom w:val="nil"/>
              <w:right w:val="nil"/>
            </w:tcBorders>
            <w:tcMar>
              <w:top w:w="0" w:type="dxa"/>
              <w:left w:w="100" w:type="dxa"/>
              <w:bottom w:w="0" w:type="dxa"/>
              <w:right w:w="100" w:type="dxa"/>
            </w:tcMar>
          </w:tcPr>
          <w:p w14:paraId="004EFFBE"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AR03</w:t>
            </w:r>
          </w:p>
        </w:tc>
        <w:tc>
          <w:tcPr>
            <w:tcW w:w="6795" w:type="dxa"/>
            <w:tcBorders>
              <w:top w:val="nil"/>
              <w:left w:val="nil"/>
              <w:bottom w:val="nil"/>
              <w:right w:val="nil"/>
            </w:tcBorders>
            <w:tcMar>
              <w:top w:w="0" w:type="dxa"/>
              <w:left w:w="100" w:type="dxa"/>
              <w:bottom w:w="0" w:type="dxa"/>
              <w:right w:w="100" w:type="dxa"/>
            </w:tcMar>
          </w:tcPr>
          <w:p w14:paraId="71B5D784"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Praised the estate's aesthetics, road quality, and security services.</w:t>
            </w:r>
          </w:p>
        </w:tc>
      </w:tr>
      <w:tr w:rsidR="00A84E96" w:rsidRPr="002370CA" w14:paraId="6F557CA1" w14:textId="77777777" w:rsidTr="000D5E6D">
        <w:trPr>
          <w:jc w:val="center"/>
        </w:trPr>
        <w:tc>
          <w:tcPr>
            <w:tcW w:w="555" w:type="dxa"/>
            <w:tcBorders>
              <w:top w:val="nil"/>
              <w:left w:val="nil"/>
              <w:bottom w:val="single" w:sz="8" w:space="0" w:color="7F7F7F"/>
              <w:right w:val="nil"/>
            </w:tcBorders>
            <w:tcMar>
              <w:top w:w="0" w:type="dxa"/>
              <w:left w:w="100" w:type="dxa"/>
              <w:bottom w:w="0" w:type="dxa"/>
              <w:right w:w="100" w:type="dxa"/>
            </w:tcMar>
          </w:tcPr>
          <w:p w14:paraId="3FB44923"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12</w:t>
            </w:r>
          </w:p>
        </w:tc>
        <w:tc>
          <w:tcPr>
            <w:tcW w:w="1515" w:type="dxa"/>
            <w:tcBorders>
              <w:top w:val="nil"/>
              <w:left w:val="nil"/>
              <w:bottom w:val="single" w:sz="8" w:space="0" w:color="7F7F7F"/>
              <w:right w:val="nil"/>
            </w:tcBorders>
            <w:tcMar>
              <w:top w:w="0" w:type="dxa"/>
              <w:left w:w="100" w:type="dxa"/>
              <w:bottom w:w="0" w:type="dxa"/>
              <w:right w:w="100" w:type="dxa"/>
            </w:tcMar>
          </w:tcPr>
          <w:p w14:paraId="026695D7"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AR04</w:t>
            </w:r>
          </w:p>
        </w:tc>
        <w:tc>
          <w:tcPr>
            <w:tcW w:w="6795" w:type="dxa"/>
            <w:tcBorders>
              <w:top w:val="nil"/>
              <w:left w:val="nil"/>
              <w:bottom w:val="single" w:sz="8" w:space="0" w:color="7F7F7F"/>
              <w:right w:val="nil"/>
            </w:tcBorders>
            <w:tcMar>
              <w:top w:w="0" w:type="dxa"/>
              <w:left w:w="100" w:type="dxa"/>
              <w:bottom w:w="0" w:type="dxa"/>
              <w:right w:w="100" w:type="dxa"/>
            </w:tcMar>
          </w:tcPr>
          <w:p w14:paraId="348F0F94"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Satisfied with shared facility costs and external amenities.</w:t>
            </w:r>
          </w:p>
        </w:tc>
      </w:tr>
    </w:tbl>
    <w:p w14:paraId="00FAE2EC" w14:textId="1FBF367A" w:rsidR="00A84E96" w:rsidRDefault="00A84E96" w:rsidP="002370CA">
      <w:pPr>
        <w:pStyle w:val="Heading2"/>
        <w:spacing w:before="0" w:line="240" w:lineRule="auto"/>
        <w:jc w:val="both"/>
        <w:rPr>
          <w:rFonts w:ascii="Times New Roman" w:hAnsi="Times New Roman" w:cs="Times New Roman"/>
          <w:b w:val="0"/>
          <w:i/>
          <w:color w:val="auto"/>
          <w:sz w:val="24"/>
          <w:szCs w:val="24"/>
        </w:rPr>
      </w:pPr>
      <w:bookmarkStart w:id="24" w:name="_heading=h.bopuvebemcb9" w:colFirst="0" w:colLast="0"/>
      <w:bookmarkEnd w:id="24"/>
      <w:r w:rsidRPr="00BE4AF3">
        <w:rPr>
          <w:rFonts w:ascii="Times New Roman" w:hAnsi="Times New Roman" w:cs="Times New Roman"/>
          <w:b w:val="0"/>
          <w:i/>
          <w:color w:val="auto"/>
          <w:sz w:val="24"/>
          <w:szCs w:val="24"/>
        </w:rPr>
        <w:t>Source: Researcher’s Interview Session (2021)</w:t>
      </w:r>
    </w:p>
    <w:p w14:paraId="74964BC6" w14:textId="77777777" w:rsidR="002370CA" w:rsidRPr="002370CA" w:rsidRDefault="002370CA" w:rsidP="002370CA">
      <w:pPr>
        <w:spacing w:after="0" w:line="240" w:lineRule="auto"/>
      </w:pPr>
    </w:p>
    <w:p w14:paraId="33E02A89" w14:textId="77777777" w:rsidR="00A84E96" w:rsidRPr="00BE4AF3" w:rsidRDefault="00A84E96" w:rsidP="002370CA">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The analysis of Table 3 shows that most respondents were generally satisfied with the building amenities, particularly those related to external and shared facilities. Key amenities such as parking, landscaping, estate aesthetics, road quality, security, and power infrastructure were consistently praised by respondents like MB01, MB03, EK03, and AR03, indicating that these features either met or exceeded expectations. Several participants, including MB02, EK01, and AR01, expressed contentment with estate planning, service quality, and shared service arrangements like security and cleaning. However, a few respondents, notably MB04 and AR02, highlighted areas of dissatisfaction, especially regarding the internal design of the houses and the narrowness of driveways in the flats. EK04 also noted satisfaction only with external aspects, suggesting that internal amenities may not have fully met resident expectations. Overall, while satisfaction with external and communal amenities was high, improvements in internal building features could enhance overall resident contentment.</w:t>
      </w:r>
    </w:p>
    <w:p w14:paraId="7EA68A83" w14:textId="77777777" w:rsidR="002370CA" w:rsidRDefault="002370CA" w:rsidP="002370CA">
      <w:pPr>
        <w:pStyle w:val="Heading3"/>
        <w:spacing w:before="0" w:line="240" w:lineRule="auto"/>
        <w:jc w:val="both"/>
        <w:rPr>
          <w:rFonts w:ascii="Times New Roman" w:hAnsi="Times New Roman" w:cs="Times New Roman"/>
          <w:b/>
          <w:bCs/>
          <w:color w:val="auto"/>
        </w:rPr>
      </w:pPr>
      <w:bookmarkStart w:id="25" w:name="_heading=h.lkxmls3cngcz" w:colFirst="0" w:colLast="0"/>
      <w:bookmarkEnd w:id="25"/>
    </w:p>
    <w:p w14:paraId="59E95E22" w14:textId="77777777" w:rsidR="002370CA" w:rsidRDefault="002370CA" w:rsidP="002370CA">
      <w:pPr>
        <w:pStyle w:val="Heading3"/>
        <w:spacing w:before="0" w:line="240" w:lineRule="auto"/>
        <w:jc w:val="both"/>
        <w:rPr>
          <w:rFonts w:ascii="Times New Roman" w:hAnsi="Times New Roman" w:cs="Times New Roman"/>
          <w:b/>
          <w:bCs/>
          <w:color w:val="auto"/>
        </w:rPr>
      </w:pPr>
    </w:p>
    <w:p w14:paraId="235BD0FA" w14:textId="77777777" w:rsidR="002370CA" w:rsidRDefault="002370CA" w:rsidP="002370CA"/>
    <w:p w14:paraId="2E417899" w14:textId="77777777" w:rsidR="002370CA" w:rsidRPr="002370CA" w:rsidRDefault="002370CA" w:rsidP="002370CA"/>
    <w:p w14:paraId="39CCA974" w14:textId="1975DE99" w:rsidR="00A84E96" w:rsidRPr="00BE4AF3" w:rsidRDefault="00A84E96" w:rsidP="00473646">
      <w:pPr>
        <w:pStyle w:val="Heading3"/>
        <w:spacing w:before="0" w:line="240" w:lineRule="auto"/>
        <w:jc w:val="both"/>
        <w:rPr>
          <w:rFonts w:ascii="Times New Roman" w:hAnsi="Times New Roman" w:cs="Times New Roman"/>
          <w:color w:val="auto"/>
        </w:rPr>
      </w:pPr>
      <w:r w:rsidRPr="002370CA">
        <w:rPr>
          <w:rFonts w:ascii="Times New Roman" w:hAnsi="Times New Roman" w:cs="Times New Roman"/>
          <w:b/>
          <w:bCs/>
          <w:color w:val="auto"/>
        </w:rPr>
        <w:lastRenderedPageBreak/>
        <w:t>Table 4:</w:t>
      </w:r>
      <w:r w:rsidRPr="00BE4AF3">
        <w:rPr>
          <w:rFonts w:ascii="Times New Roman" w:hAnsi="Times New Roman" w:cs="Times New Roman"/>
          <w:color w:val="auto"/>
        </w:rPr>
        <w:t xml:space="preserve"> Respondents’ Views on Problems with Building Attributes and Maintenance Response</w:t>
      </w:r>
    </w:p>
    <w:p w14:paraId="7B8DAAC1" w14:textId="77777777" w:rsidR="00A84E96" w:rsidRPr="00BE4AF3" w:rsidRDefault="00A84E96" w:rsidP="00473646">
      <w:pPr>
        <w:spacing w:after="0" w:line="240" w:lineRule="auto"/>
        <w:jc w:val="both"/>
        <w:rPr>
          <w:rFonts w:ascii="Times New Roman" w:eastAsia="Times New Roman" w:hAnsi="Times New Roman" w:cs="Times New Roman"/>
          <w:sz w:val="24"/>
          <w:szCs w:val="24"/>
        </w:rPr>
      </w:pPr>
      <w:r w:rsidRPr="000D5E6D">
        <w:rPr>
          <w:rFonts w:ascii="Times New Roman" w:eastAsia="Times New Roman" w:hAnsi="Times New Roman" w:cs="Times New Roman"/>
          <w:b/>
          <w:bCs/>
          <w:sz w:val="24"/>
          <w:szCs w:val="24"/>
        </w:rPr>
        <w:t>Interview Question:</w:t>
      </w:r>
      <w:r w:rsidRPr="00BE4AF3">
        <w:rPr>
          <w:rFonts w:ascii="Times New Roman" w:eastAsia="Times New Roman" w:hAnsi="Times New Roman" w:cs="Times New Roman"/>
          <w:b/>
          <w:sz w:val="24"/>
          <w:szCs w:val="24"/>
        </w:rPr>
        <w:t xml:space="preserve"> </w:t>
      </w:r>
      <w:r w:rsidRPr="00BE4AF3">
        <w:rPr>
          <w:rFonts w:ascii="Times New Roman" w:eastAsia="Times New Roman" w:hAnsi="Times New Roman" w:cs="Times New Roman"/>
          <w:i/>
          <w:sz w:val="24"/>
          <w:szCs w:val="24"/>
        </w:rPr>
        <w:t>"What problems exist with the current building attributes, and how does the maintenance agency respond?"</w:t>
      </w:r>
    </w:p>
    <w:tbl>
      <w:tblPr>
        <w:tblW w:w="8850" w:type="dxa"/>
        <w:jc w:val="center"/>
        <w:tblBorders>
          <w:top w:val="nil"/>
          <w:left w:val="nil"/>
          <w:bottom w:val="nil"/>
          <w:right w:val="nil"/>
          <w:insideH w:val="nil"/>
          <w:insideV w:val="nil"/>
        </w:tblBorders>
        <w:tblLayout w:type="fixed"/>
        <w:tblLook w:val="0600" w:firstRow="0" w:lastRow="0" w:firstColumn="0" w:lastColumn="0" w:noHBand="1" w:noVBand="1"/>
      </w:tblPr>
      <w:tblGrid>
        <w:gridCol w:w="585"/>
        <w:gridCol w:w="1620"/>
        <w:gridCol w:w="6645"/>
      </w:tblGrid>
      <w:tr w:rsidR="00A84E96" w:rsidRPr="002370CA" w14:paraId="1B7E2DF4" w14:textId="77777777" w:rsidTr="000D5E6D">
        <w:trPr>
          <w:trHeight w:val="585"/>
          <w:jc w:val="center"/>
        </w:trPr>
        <w:tc>
          <w:tcPr>
            <w:tcW w:w="585" w:type="dxa"/>
            <w:tcBorders>
              <w:top w:val="single" w:sz="8" w:space="0" w:color="7F7F7F"/>
              <w:left w:val="nil"/>
              <w:bottom w:val="single" w:sz="8" w:space="0" w:color="7F7F7F"/>
              <w:right w:val="nil"/>
            </w:tcBorders>
            <w:tcMar>
              <w:top w:w="0" w:type="dxa"/>
              <w:left w:w="100" w:type="dxa"/>
              <w:bottom w:w="0" w:type="dxa"/>
              <w:right w:w="100" w:type="dxa"/>
            </w:tcMar>
          </w:tcPr>
          <w:p w14:paraId="04DCADF2" w14:textId="77777777" w:rsidR="00A84E96" w:rsidRPr="002370CA" w:rsidRDefault="00A84E96" w:rsidP="002370CA">
            <w:pPr>
              <w:spacing w:after="0" w:line="240" w:lineRule="auto"/>
              <w:jc w:val="center"/>
              <w:rPr>
                <w:rFonts w:ascii="Times New Roman" w:eastAsia="Times New Roman" w:hAnsi="Times New Roman" w:cs="Times New Roman"/>
                <w:bCs/>
                <w:sz w:val="20"/>
                <w:szCs w:val="20"/>
              </w:rPr>
            </w:pPr>
            <w:r w:rsidRPr="002370CA">
              <w:rPr>
                <w:rFonts w:ascii="Times New Roman" w:eastAsia="Times New Roman" w:hAnsi="Times New Roman" w:cs="Times New Roman"/>
                <w:bCs/>
                <w:sz w:val="20"/>
                <w:szCs w:val="20"/>
              </w:rPr>
              <w:t>S/N</w:t>
            </w:r>
          </w:p>
        </w:tc>
        <w:tc>
          <w:tcPr>
            <w:tcW w:w="1620" w:type="dxa"/>
            <w:tcBorders>
              <w:top w:val="single" w:sz="8" w:space="0" w:color="7F7F7F"/>
              <w:left w:val="nil"/>
              <w:bottom w:val="single" w:sz="8" w:space="0" w:color="7F7F7F"/>
              <w:right w:val="nil"/>
            </w:tcBorders>
            <w:tcMar>
              <w:top w:w="0" w:type="dxa"/>
              <w:left w:w="100" w:type="dxa"/>
              <w:bottom w:w="0" w:type="dxa"/>
              <w:right w:w="100" w:type="dxa"/>
            </w:tcMar>
          </w:tcPr>
          <w:p w14:paraId="2109CBE5" w14:textId="77777777" w:rsidR="00A84E96" w:rsidRPr="002370CA" w:rsidRDefault="00A84E96" w:rsidP="002370CA">
            <w:pPr>
              <w:spacing w:after="0" w:line="240" w:lineRule="auto"/>
              <w:jc w:val="center"/>
              <w:rPr>
                <w:rFonts w:ascii="Times New Roman" w:eastAsia="Times New Roman" w:hAnsi="Times New Roman" w:cs="Times New Roman"/>
                <w:bCs/>
                <w:sz w:val="20"/>
                <w:szCs w:val="20"/>
              </w:rPr>
            </w:pPr>
            <w:r w:rsidRPr="002370CA">
              <w:rPr>
                <w:rFonts w:ascii="Times New Roman" w:eastAsia="Times New Roman" w:hAnsi="Times New Roman" w:cs="Times New Roman"/>
                <w:bCs/>
                <w:sz w:val="20"/>
                <w:szCs w:val="20"/>
              </w:rPr>
              <w:t>Respondent ID</w:t>
            </w:r>
          </w:p>
        </w:tc>
        <w:tc>
          <w:tcPr>
            <w:tcW w:w="6645" w:type="dxa"/>
            <w:tcBorders>
              <w:top w:val="single" w:sz="8" w:space="0" w:color="7F7F7F"/>
              <w:left w:val="nil"/>
              <w:bottom w:val="single" w:sz="8" w:space="0" w:color="7F7F7F"/>
              <w:right w:val="nil"/>
            </w:tcBorders>
            <w:tcMar>
              <w:top w:w="0" w:type="dxa"/>
              <w:left w:w="100" w:type="dxa"/>
              <w:bottom w:w="0" w:type="dxa"/>
              <w:right w:w="100" w:type="dxa"/>
            </w:tcMar>
          </w:tcPr>
          <w:p w14:paraId="0FDFE5C3" w14:textId="77777777" w:rsidR="00A84E96" w:rsidRPr="002370CA" w:rsidRDefault="00A84E96" w:rsidP="002370CA">
            <w:pPr>
              <w:spacing w:after="0" w:line="240" w:lineRule="auto"/>
              <w:jc w:val="center"/>
              <w:rPr>
                <w:rFonts w:ascii="Times New Roman" w:eastAsia="Times New Roman" w:hAnsi="Times New Roman" w:cs="Times New Roman"/>
                <w:bCs/>
                <w:sz w:val="20"/>
                <w:szCs w:val="20"/>
              </w:rPr>
            </w:pPr>
            <w:r w:rsidRPr="002370CA">
              <w:rPr>
                <w:rFonts w:ascii="Times New Roman" w:eastAsia="Times New Roman" w:hAnsi="Times New Roman" w:cs="Times New Roman"/>
                <w:bCs/>
                <w:sz w:val="20"/>
                <w:szCs w:val="20"/>
              </w:rPr>
              <w:t>Summary of Response</w:t>
            </w:r>
          </w:p>
        </w:tc>
      </w:tr>
      <w:tr w:rsidR="00A84E96" w:rsidRPr="002370CA" w14:paraId="7A3098BE" w14:textId="77777777" w:rsidTr="000D5E6D">
        <w:trPr>
          <w:trHeight w:val="570"/>
          <w:jc w:val="center"/>
        </w:trPr>
        <w:tc>
          <w:tcPr>
            <w:tcW w:w="585" w:type="dxa"/>
            <w:tcBorders>
              <w:top w:val="nil"/>
              <w:left w:val="nil"/>
              <w:bottom w:val="nil"/>
              <w:right w:val="nil"/>
            </w:tcBorders>
            <w:tcMar>
              <w:top w:w="0" w:type="dxa"/>
              <w:left w:w="100" w:type="dxa"/>
              <w:bottom w:w="0" w:type="dxa"/>
              <w:right w:w="100" w:type="dxa"/>
            </w:tcMar>
          </w:tcPr>
          <w:p w14:paraId="52B5A163"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w:t>
            </w:r>
          </w:p>
        </w:tc>
        <w:tc>
          <w:tcPr>
            <w:tcW w:w="1620" w:type="dxa"/>
            <w:tcBorders>
              <w:top w:val="nil"/>
              <w:left w:val="nil"/>
              <w:bottom w:val="nil"/>
              <w:right w:val="nil"/>
            </w:tcBorders>
            <w:tcMar>
              <w:top w:w="0" w:type="dxa"/>
              <w:left w:w="100" w:type="dxa"/>
              <w:bottom w:w="0" w:type="dxa"/>
              <w:right w:w="100" w:type="dxa"/>
            </w:tcMar>
          </w:tcPr>
          <w:p w14:paraId="1CFD3233"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MB01</w:t>
            </w:r>
          </w:p>
        </w:tc>
        <w:tc>
          <w:tcPr>
            <w:tcW w:w="6645" w:type="dxa"/>
            <w:tcBorders>
              <w:top w:val="nil"/>
              <w:left w:val="nil"/>
              <w:bottom w:val="nil"/>
              <w:right w:val="nil"/>
            </w:tcBorders>
            <w:tcMar>
              <w:top w:w="0" w:type="dxa"/>
              <w:left w:w="100" w:type="dxa"/>
              <w:bottom w:w="0" w:type="dxa"/>
              <w:right w:w="100" w:type="dxa"/>
            </w:tcMar>
          </w:tcPr>
          <w:p w14:paraId="387BA332"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Poor plumbing and substandard amenities; noted slow service response.</w:t>
            </w:r>
          </w:p>
        </w:tc>
      </w:tr>
      <w:tr w:rsidR="00A84E96" w:rsidRPr="002370CA" w14:paraId="41CFD37C" w14:textId="77777777" w:rsidTr="000D5E6D">
        <w:trPr>
          <w:trHeight w:val="285"/>
          <w:jc w:val="center"/>
        </w:trPr>
        <w:tc>
          <w:tcPr>
            <w:tcW w:w="585" w:type="dxa"/>
            <w:tcBorders>
              <w:top w:val="nil"/>
              <w:left w:val="nil"/>
              <w:bottom w:val="nil"/>
              <w:right w:val="nil"/>
            </w:tcBorders>
            <w:tcMar>
              <w:top w:w="0" w:type="dxa"/>
              <w:left w:w="100" w:type="dxa"/>
              <w:bottom w:w="0" w:type="dxa"/>
              <w:right w:w="100" w:type="dxa"/>
            </w:tcMar>
          </w:tcPr>
          <w:p w14:paraId="35609A39"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2</w:t>
            </w:r>
          </w:p>
        </w:tc>
        <w:tc>
          <w:tcPr>
            <w:tcW w:w="1620" w:type="dxa"/>
            <w:tcBorders>
              <w:top w:val="nil"/>
              <w:left w:val="nil"/>
              <w:bottom w:val="nil"/>
              <w:right w:val="nil"/>
            </w:tcBorders>
            <w:tcMar>
              <w:top w:w="0" w:type="dxa"/>
              <w:left w:w="100" w:type="dxa"/>
              <w:bottom w:w="0" w:type="dxa"/>
              <w:right w:w="100" w:type="dxa"/>
            </w:tcMar>
          </w:tcPr>
          <w:p w14:paraId="56095772"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MB02</w:t>
            </w:r>
          </w:p>
        </w:tc>
        <w:tc>
          <w:tcPr>
            <w:tcW w:w="6645" w:type="dxa"/>
            <w:tcBorders>
              <w:top w:val="nil"/>
              <w:left w:val="nil"/>
              <w:bottom w:val="nil"/>
              <w:right w:val="nil"/>
            </w:tcBorders>
            <w:tcMar>
              <w:top w:w="0" w:type="dxa"/>
              <w:left w:w="100" w:type="dxa"/>
              <w:bottom w:w="0" w:type="dxa"/>
              <w:right w:w="100" w:type="dxa"/>
            </w:tcMar>
          </w:tcPr>
          <w:p w14:paraId="3F6C88FB"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Complaints were not adequately addressed.</w:t>
            </w:r>
          </w:p>
        </w:tc>
      </w:tr>
      <w:tr w:rsidR="00A84E96" w:rsidRPr="002370CA" w14:paraId="74C33DC5" w14:textId="77777777" w:rsidTr="000D5E6D">
        <w:trPr>
          <w:trHeight w:val="285"/>
          <w:jc w:val="center"/>
        </w:trPr>
        <w:tc>
          <w:tcPr>
            <w:tcW w:w="585" w:type="dxa"/>
            <w:tcBorders>
              <w:top w:val="nil"/>
              <w:left w:val="nil"/>
              <w:bottom w:val="nil"/>
              <w:right w:val="nil"/>
            </w:tcBorders>
            <w:tcMar>
              <w:top w:w="0" w:type="dxa"/>
              <w:left w:w="100" w:type="dxa"/>
              <w:bottom w:w="0" w:type="dxa"/>
              <w:right w:w="100" w:type="dxa"/>
            </w:tcMar>
          </w:tcPr>
          <w:p w14:paraId="5CF10EC4"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3</w:t>
            </w:r>
          </w:p>
        </w:tc>
        <w:tc>
          <w:tcPr>
            <w:tcW w:w="1620" w:type="dxa"/>
            <w:tcBorders>
              <w:top w:val="nil"/>
              <w:left w:val="nil"/>
              <w:bottom w:val="nil"/>
              <w:right w:val="nil"/>
            </w:tcBorders>
            <w:tcMar>
              <w:top w:w="0" w:type="dxa"/>
              <w:left w:w="100" w:type="dxa"/>
              <w:bottom w:w="0" w:type="dxa"/>
              <w:right w:w="100" w:type="dxa"/>
            </w:tcMar>
          </w:tcPr>
          <w:p w14:paraId="26D0636D"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MB03</w:t>
            </w:r>
          </w:p>
        </w:tc>
        <w:tc>
          <w:tcPr>
            <w:tcW w:w="6645" w:type="dxa"/>
            <w:tcBorders>
              <w:top w:val="nil"/>
              <w:left w:val="nil"/>
              <w:bottom w:val="nil"/>
              <w:right w:val="nil"/>
            </w:tcBorders>
            <w:tcMar>
              <w:top w:w="0" w:type="dxa"/>
              <w:left w:w="100" w:type="dxa"/>
              <w:bottom w:w="0" w:type="dxa"/>
              <w:right w:w="100" w:type="dxa"/>
            </w:tcMar>
          </w:tcPr>
          <w:p w14:paraId="2383077E"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Poor amenities, plumbing, and delayed after-sales service.</w:t>
            </w:r>
          </w:p>
        </w:tc>
      </w:tr>
      <w:tr w:rsidR="00A84E96" w:rsidRPr="002370CA" w14:paraId="5126E5D5" w14:textId="77777777" w:rsidTr="000D5E6D">
        <w:trPr>
          <w:trHeight w:val="285"/>
          <w:jc w:val="center"/>
        </w:trPr>
        <w:tc>
          <w:tcPr>
            <w:tcW w:w="585" w:type="dxa"/>
            <w:tcBorders>
              <w:top w:val="nil"/>
              <w:left w:val="nil"/>
              <w:bottom w:val="nil"/>
              <w:right w:val="nil"/>
            </w:tcBorders>
            <w:tcMar>
              <w:top w:w="0" w:type="dxa"/>
              <w:left w:w="100" w:type="dxa"/>
              <w:bottom w:w="0" w:type="dxa"/>
              <w:right w:w="100" w:type="dxa"/>
            </w:tcMar>
          </w:tcPr>
          <w:p w14:paraId="012595F9"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4</w:t>
            </w:r>
          </w:p>
        </w:tc>
        <w:tc>
          <w:tcPr>
            <w:tcW w:w="1620" w:type="dxa"/>
            <w:tcBorders>
              <w:top w:val="nil"/>
              <w:left w:val="nil"/>
              <w:bottom w:val="nil"/>
              <w:right w:val="nil"/>
            </w:tcBorders>
            <w:tcMar>
              <w:top w:w="0" w:type="dxa"/>
              <w:left w:w="100" w:type="dxa"/>
              <w:bottom w:w="0" w:type="dxa"/>
              <w:right w:w="100" w:type="dxa"/>
            </w:tcMar>
          </w:tcPr>
          <w:p w14:paraId="19F7180C"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MB04</w:t>
            </w:r>
          </w:p>
        </w:tc>
        <w:tc>
          <w:tcPr>
            <w:tcW w:w="6645" w:type="dxa"/>
            <w:tcBorders>
              <w:top w:val="nil"/>
              <w:left w:val="nil"/>
              <w:bottom w:val="nil"/>
              <w:right w:val="nil"/>
            </w:tcBorders>
            <w:tcMar>
              <w:top w:w="0" w:type="dxa"/>
              <w:left w:w="100" w:type="dxa"/>
              <w:bottom w:w="0" w:type="dxa"/>
              <w:right w:w="100" w:type="dxa"/>
            </w:tcMar>
          </w:tcPr>
          <w:p w14:paraId="37624CBE"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Dissatisfaction with slow complaint responses.</w:t>
            </w:r>
          </w:p>
        </w:tc>
      </w:tr>
      <w:tr w:rsidR="00A84E96" w:rsidRPr="002370CA" w14:paraId="3049046A" w14:textId="77777777" w:rsidTr="000D5E6D">
        <w:trPr>
          <w:trHeight w:val="570"/>
          <w:jc w:val="center"/>
        </w:trPr>
        <w:tc>
          <w:tcPr>
            <w:tcW w:w="585" w:type="dxa"/>
            <w:tcBorders>
              <w:top w:val="nil"/>
              <w:left w:val="nil"/>
              <w:bottom w:val="nil"/>
              <w:right w:val="nil"/>
            </w:tcBorders>
            <w:tcMar>
              <w:top w:w="0" w:type="dxa"/>
              <w:left w:w="100" w:type="dxa"/>
              <w:bottom w:w="0" w:type="dxa"/>
              <w:right w:w="100" w:type="dxa"/>
            </w:tcMar>
          </w:tcPr>
          <w:p w14:paraId="5C4C0594"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5</w:t>
            </w:r>
          </w:p>
        </w:tc>
        <w:tc>
          <w:tcPr>
            <w:tcW w:w="1620" w:type="dxa"/>
            <w:tcBorders>
              <w:top w:val="nil"/>
              <w:left w:val="nil"/>
              <w:bottom w:val="nil"/>
              <w:right w:val="nil"/>
            </w:tcBorders>
            <w:tcMar>
              <w:top w:w="0" w:type="dxa"/>
              <w:left w:w="100" w:type="dxa"/>
              <w:bottom w:w="0" w:type="dxa"/>
              <w:right w:w="100" w:type="dxa"/>
            </w:tcMar>
          </w:tcPr>
          <w:p w14:paraId="6B7ED980"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EK01</w:t>
            </w:r>
          </w:p>
        </w:tc>
        <w:tc>
          <w:tcPr>
            <w:tcW w:w="6645" w:type="dxa"/>
            <w:tcBorders>
              <w:top w:val="nil"/>
              <w:left w:val="nil"/>
              <w:bottom w:val="nil"/>
              <w:right w:val="nil"/>
            </w:tcBorders>
            <w:tcMar>
              <w:top w:w="0" w:type="dxa"/>
              <w:left w:w="100" w:type="dxa"/>
              <w:bottom w:w="0" w:type="dxa"/>
              <w:right w:w="100" w:type="dxa"/>
            </w:tcMar>
          </w:tcPr>
          <w:p w14:paraId="7C6B026D"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Disappointed with construction and lack of promised features; some satisfaction with personnel attention.</w:t>
            </w:r>
          </w:p>
        </w:tc>
      </w:tr>
      <w:tr w:rsidR="00A84E96" w:rsidRPr="002370CA" w14:paraId="1D47DFEC" w14:textId="77777777" w:rsidTr="000D5E6D">
        <w:trPr>
          <w:trHeight w:val="285"/>
          <w:jc w:val="center"/>
        </w:trPr>
        <w:tc>
          <w:tcPr>
            <w:tcW w:w="585" w:type="dxa"/>
            <w:tcBorders>
              <w:top w:val="nil"/>
              <w:left w:val="nil"/>
              <w:bottom w:val="nil"/>
              <w:right w:val="nil"/>
            </w:tcBorders>
            <w:tcMar>
              <w:top w:w="0" w:type="dxa"/>
              <w:left w:w="100" w:type="dxa"/>
              <w:bottom w:w="0" w:type="dxa"/>
              <w:right w:w="100" w:type="dxa"/>
            </w:tcMar>
          </w:tcPr>
          <w:p w14:paraId="7C3B10E0"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6</w:t>
            </w:r>
          </w:p>
        </w:tc>
        <w:tc>
          <w:tcPr>
            <w:tcW w:w="1620" w:type="dxa"/>
            <w:tcBorders>
              <w:top w:val="nil"/>
              <w:left w:val="nil"/>
              <w:bottom w:val="nil"/>
              <w:right w:val="nil"/>
            </w:tcBorders>
            <w:tcMar>
              <w:top w:w="0" w:type="dxa"/>
              <w:left w:w="100" w:type="dxa"/>
              <w:bottom w:w="0" w:type="dxa"/>
              <w:right w:w="100" w:type="dxa"/>
            </w:tcMar>
          </w:tcPr>
          <w:p w14:paraId="01034E53"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EK02</w:t>
            </w:r>
          </w:p>
        </w:tc>
        <w:tc>
          <w:tcPr>
            <w:tcW w:w="6645" w:type="dxa"/>
            <w:tcBorders>
              <w:top w:val="nil"/>
              <w:left w:val="nil"/>
              <w:bottom w:val="nil"/>
              <w:right w:val="nil"/>
            </w:tcBorders>
            <w:tcMar>
              <w:top w:w="0" w:type="dxa"/>
              <w:left w:w="100" w:type="dxa"/>
              <w:bottom w:w="0" w:type="dxa"/>
              <w:right w:w="100" w:type="dxa"/>
            </w:tcMar>
          </w:tcPr>
          <w:p w14:paraId="76E07DD2"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Criticized construction quality and craftsmanship.</w:t>
            </w:r>
          </w:p>
        </w:tc>
      </w:tr>
      <w:tr w:rsidR="00A84E96" w:rsidRPr="002370CA" w14:paraId="2333AD0B" w14:textId="77777777" w:rsidTr="000D5E6D">
        <w:trPr>
          <w:trHeight w:val="285"/>
          <w:jc w:val="center"/>
        </w:trPr>
        <w:tc>
          <w:tcPr>
            <w:tcW w:w="585" w:type="dxa"/>
            <w:tcBorders>
              <w:top w:val="nil"/>
              <w:left w:val="nil"/>
              <w:bottom w:val="nil"/>
              <w:right w:val="nil"/>
            </w:tcBorders>
            <w:tcMar>
              <w:top w:w="0" w:type="dxa"/>
              <w:left w:w="100" w:type="dxa"/>
              <w:bottom w:w="0" w:type="dxa"/>
              <w:right w:w="100" w:type="dxa"/>
            </w:tcMar>
          </w:tcPr>
          <w:p w14:paraId="69661EB3"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7</w:t>
            </w:r>
          </w:p>
        </w:tc>
        <w:tc>
          <w:tcPr>
            <w:tcW w:w="1620" w:type="dxa"/>
            <w:tcBorders>
              <w:top w:val="nil"/>
              <w:left w:val="nil"/>
              <w:bottom w:val="nil"/>
              <w:right w:val="nil"/>
            </w:tcBorders>
            <w:tcMar>
              <w:top w:w="0" w:type="dxa"/>
              <w:left w:w="100" w:type="dxa"/>
              <w:bottom w:w="0" w:type="dxa"/>
              <w:right w:w="100" w:type="dxa"/>
            </w:tcMar>
          </w:tcPr>
          <w:p w14:paraId="0DB49B30"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EK03</w:t>
            </w:r>
          </w:p>
        </w:tc>
        <w:tc>
          <w:tcPr>
            <w:tcW w:w="6645" w:type="dxa"/>
            <w:tcBorders>
              <w:top w:val="nil"/>
              <w:left w:val="nil"/>
              <w:bottom w:val="nil"/>
              <w:right w:val="nil"/>
            </w:tcBorders>
            <w:tcMar>
              <w:top w:w="0" w:type="dxa"/>
              <w:left w:w="100" w:type="dxa"/>
              <w:bottom w:w="0" w:type="dxa"/>
              <w:right w:w="100" w:type="dxa"/>
            </w:tcMar>
          </w:tcPr>
          <w:p w14:paraId="64B231F7"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Poor finishes and lack of promised facilities.</w:t>
            </w:r>
          </w:p>
        </w:tc>
      </w:tr>
      <w:tr w:rsidR="00A84E96" w:rsidRPr="002370CA" w14:paraId="4D1F1125" w14:textId="77777777" w:rsidTr="000D5E6D">
        <w:trPr>
          <w:trHeight w:val="285"/>
          <w:jc w:val="center"/>
        </w:trPr>
        <w:tc>
          <w:tcPr>
            <w:tcW w:w="585" w:type="dxa"/>
            <w:tcBorders>
              <w:top w:val="nil"/>
              <w:left w:val="nil"/>
              <w:bottom w:val="nil"/>
              <w:right w:val="nil"/>
            </w:tcBorders>
            <w:tcMar>
              <w:top w:w="0" w:type="dxa"/>
              <w:left w:w="100" w:type="dxa"/>
              <w:bottom w:w="0" w:type="dxa"/>
              <w:right w:w="100" w:type="dxa"/>
            </w:tcMar>
          </w:tcPr>
          <w:p w14:paraId="10825072"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8</w:t>
            </w:r>
          </w:p>
        </w:tc>
        <w:tc>
          <w:tcPr>
            <w:tcW w:w="1620" w:type="dxa"/>
            <w:tcBorders>
              <w:top w:val="nil"/>
              <w:left w:val="nil"/>
              <w:bottom w:val="nil"/>
              <w:right w:val="nil"/>
            </w:tcBorders>
            <w:tcMar>
              <w:top w:w="0" w:type="dxa"/>
              <w:left w:w="100" w:type="dxa"/>
              <w:bottom w:w="0" w:type="dxa"/>
              <w:right w:w="100" w:type="dxa"/>
            </w:tcMar>
          </w:tcPr>
          <w:p w14:paraId="7254E9E5"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EK04</w:t>
            </w:r>
          </w:p>
        </w:tc>
        <w:tc>
          <w:tcPr>
            <w:tcW w:w="6645" w:type="dxa"/>
            <w:tcBorders>
              <w:top w:val="nil"/>
              <w:left w:val="nil"/>
              <w:bottom w:val="nil"/>
              <w:right w:val="nil"/>
            </w:tcBorders>
            <w:tcMar>
              <w:top w:w="0" w:type="dxa"/>
              <w:left w:w="100" w:type="dxa"/>
              <w:bottom w:w="0" w:type="dxa"/>
              <w:right w:w="100" w:type="dxa"/>
            </w:tcMar>
          </w:tcPr>
          <w:p w14:paraId="3E9DF725"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Poor maintenance response; resident opted to self-repair.</w:t>
            </w:r>
          </w:p>
        </w:tc>
      </w:tr>
      <w:tr w:rsidR="00A84E96" w:rsidRPr="002370CA" w14:paraId="4ED0B0F1" w14:textId="77777777" w:rsidTr="000D5E6D">
        <w:trPr>
          <w:trHeight w:val="285"/>
          <w:jc w:val="center"/>
        </w:trPr>
        <w:tc>
          <w:tcPr>
            <w:tcW w:w="585" w:type="dxa"/>
            <w:tcBorders>
              <w:top w:val="nil"/>
              <w:left w:val="nil"/>
              <w:bottom w:val="nil"/>
              <w:right w:val="nil"/>
            </w:tcBorders>
            <w:tcMar>
              <w:top w:w="0" w:type="dxa"/>
              <w:left w:w="100" w:type="dxa"/>
              <w:bottom w:w="0" w:type="dxa"/>
              <w:right w:w="100" w:type="dxa"/>
            </w:tcMar>
          </w:tcPr>
          <w:p w14:paraId="3BE195F4"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9</w:t>
            </w:r>
          </w:p>
        </w:tc>
        <w:tc>
          <w:tcPr>
            <w:tcW w:w="1620" w:type="dxa"/>
            <w:tcBorders>
              <w:top w:val="nil"/>
              <w:left w:val="nil"/>
              <w:bottom w:val="nil"/>
              <w:right w:val="nil"/>
            </w:tcBorders>
            <w:tcMar>
              <w:top w:w="0" w:type="dxa"/>
              <w:left w:w="100" w:type="dxa"/>
              <w:bottom w:w="0" w:type="dxa"/>
              <w:right w:w="100" w:type="dxa"/>
            </w:tcMar>
          </w:tcPr>
          <w:p w14:paraId="58427F7D"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AR01</w:t>
            </w:r>
          </w:p>
        </w:tc>
        <w:tc>
          <w:tcPr>
            <w:tcW w:w="6645" w:type="dxa"/>
            <w:tcBorders>
              <w:top w:val="nil"/>
              <w:left w:val="nil"/>
              <w:bottom w:val="nil"/>
              <w:right w:val="nil"/>
            </w:tcBorders>
            <w:tcMar>
              <w:top w:w="0" w:type="dxa"/>
              <w:left w:w="100" w:type="dxa"/>
              <w:bottom w:w="0" w:type="dxa"/>
              <w:right w:w="100" w:type="dxa"/>
            </w:tcMar>
          </w:tcPr>
          <w:p w14:paraId="0A21D40D"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Prompt attention but low-quality maintenance service.</w:t>
            </w:r>
          </w:p>
        </w:tc>
      </w:tr>
      <w:tr w:rsidR="00A84E96" w:rsidRPr="002370CA" w14:paraId="69957E8B" w14:textId="77777777" w:rsidTr="000D5E6D">
        <w:trPr>
          <w:trHeight w:val="285"/>
          <w:jc w:val="center"/>
        </w:trPr>
        <w:tc>
          <w:tcPr>
            <w:tcW w:w="585" w:type="dxa"/>
            <w:tcBorders>
              <w:top w:val="nil"/>
              <w:left w:val="nil"/>
              <w:bottom w:val="nil"/>
              <w:right w:val="nil"/>
            </w:tcBorders>
            <w:tcMar>
              <w:top w:w="0" w:type="dxa"/>
              <w:left w:w="100" w:type="dxa"/>
              <w:bottom w:w="0" w:type="dxa"/>
              <w:right w:w="100" w:type="dxa"/>
            </w:tcMar>
          </w:tcPr>
          <w:p w14:paraId="3720EC90"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10</w:t>
            </w:r>
          </w:p>
        </w:tc>
        <w:tc>
          <w:tcPr>
            <w:tcW w:w="1620" w:type="dxa"/>
            <w:tcBorders>
              <w:top w:val="nil"/>
              <w:left w:val="nil"/>
              <w:bottom w:val="nil"/>
              <w:right w:val="nil"/>
            </w:tcBorders>
            <w:tcMar>
              <w:top w:w="0" w:type="dxa"/>
              <w:left w:w="100" w:type="dxa"/>
              <w:bottom w:w="0" w:type="dxa"/>
              <w:right w:w="100" w:type="dxa"/>
            </w:tcMar>
          </w:tcPr>
          <w:p w14:paraId="05201015"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AR02</w:t>
            </w:r>
          </w:p>
        </w:tc>
        <w:tc>
          <w:tcPr>
            <w:tcW w:w="6645" w:type="dxa"/>
            <w:tcBorders>
              <w:top w:val="nil"/>
              <w:left w:val="nil"/>
              <w:bottom w:val="nil"/>
              <w:right w:val="nil"/>
            </w:tcBorders>
            <w:tcMar>
              <w:top w:w="0" w:type="dxa"/>
              <w:left w:w="100" w:type="dxa"/>
              <w:bottom w:w="0" w:type="dxa"/>
              <w:right w:w="100" w:type="dxa"/>
            </w:tcMar>
          </w:tcPr>
          <w:p w14:paraId="3A1598D9"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Cited poor workmanship and missing kitchen store.</w:t>
            </w:r>
          </w:p>
        </w:tc>
      </w:tr>
      <w:tr w:rsidR="00A84E96" w:rsidRPr="002370CA" w14:paraId="7844A04D" w14:textId="77777777" w:rsidTr="000D5E6D">
        <w:trPr>
          <w:trHeight w:val="285"/>
          <w:jc w:val="center"/>
        </w:trPr>
        <w:tc>
          <w:tcPr>
            <w:tcW w:w="585" w:type="dxa"/>
            <w:tcBorders>
              <w:top w:val="nil"/>
              <w:left w:val="nil"/>
              <w:bottom w:val="nil"/>
              <w:right w:val="nil"/>
            </w:tcBorders>
            <w:tcMar>
              <w:top w:w="0" w:type="dxa"/>
              <w:left w:w="100" w:type="dxa"/>
              <w:bottom w:w="0" w:type="dxa"/>
              <w:right w:w="100" w:type="dxa"/>
            </w:tcMar>
          </w:tcPr>
          <w:p w14:paraId="27247FCD"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11</w:t>
            </w:r>
          </w:p>
        </w:tc>
        <w:tc>
          <w:tcPr>
            <w:tcW w:w="1620" w:type="dxa"/>
            <w:tcBorders>
              <w:top w:val="nil"/>
              <w:left w:val="nil"/>
              <w:bottom w:val="nil"/>
              <w:right w:val="nil"/>
            </w:tcBorders>
            <w:tcMar>
              <w:top w:w="0" w:type="dxa"/>
              <w:left w:w="100" w:type="dxa"/>
              <w:bottom w:w="0" w:type="dxa"/>
              <w:right w:w="100" w:type="dxa"/>
            </w:tcMar>
          </w:tcPr>
          <w:p w14:paraId="3E47A521"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AR03</w:t>
            </w:r>
          </w:p>
        </w:tc>
        <w:tc>
          <w:tcPr>
            <w:tcW w:w="6645" w:type="dxa"/>
            <w:tcBorders>
              <w:top w:val="nil"/>
              <w:left w:val="nil"/>
              <w:bottom w:val="nil"/>
              <w:right w:val="nil"/>
            </w:tcBorders>
            <w:tcMar>
              <w:top w:w="0" w:type="dxa"/>
              <w:left w:w="100" w:type="dxa"/>
              <w:bottom w:w="0" w:type="dxa"/>
              <w:right w:w="100" w:type="dxa"/>
            </w:tcMar>
          </w:tcPr>
          <w:p w14:paraId="5D96ABAB"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Noted omission of promised amenities.</w:t>
            </w:r>
          </w:p>
        </w:tc>
      </w:tr>
      <w:tr w:rsidR="00A84E96" w:rsidRPr="002370CA" w14:paraId="1D357B92" w14:textId="77777777" w:rsidTr="000D5E6D">
        <w:trPr>
          <w:trHeight w:val="285"/>
          <w:jc w:val="center"/>
        </w:trPr>
        <w:tc>
          <w:tcPr>
            <w:tcW w:w="585" w:type="dxa"/>
            <w:tcBorders>
              <w:top w:val="nil"/>
              <w:left w:val="nil"/>
              <w:bottom w:val="single" w:sz="8" w:space="0" w:color="7F7F7F"/>
              <w:right w:val="nil"/>
            </w:tcBorders>
            <w:tcMar>
              <w:top w:w="0" w:type="dxa"/>
              <w:left w:w="100" w:type="dxa"/>
              <w:bottom w:w="0" w:type="dxa"/>
              <w:right w:w="100" w:type="dxa"/>
            </w:tcMar>
          </w:tcPr>
          <w:p w14:paraId="7BC69A5D"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12</w:t>
            </w:r>
          </w:p>
        </w:tc>
        <w:tc>
          <w:tcPr>
            <w:tcW w:w="1620" w:type="dxa"/>
            <w:tcBorders>
              <w:top w:val="nil"/>
              <w:left w:val="nil"/>
              <w:bottom w:val="single" w:sz="8" w:space="0" w:color="7F7F7F"/>
              <w:right w:val="nil"/>
            </w:tcBorders>
            <w:tcMar>
              <w:top w:w="0" w:type="dxa"/>
              <w:left w:w="100" w:type="dxa"/>
              <w:bottom w:w="0" w:type="dxa"/>
              <w:right w:w="100" w:type="dxa"/>
            </w:tcMar>
          </w:tcPr>
          <w:p w14:paraId="0D1CCD50"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AR04</w:t>
            </w:r>
          </w:p>
        </w:tc>
        <w:tc>
          <w:tcPr>
            <w:tcW w:w="6645" w:type="dxa"/>
            <w:tcBorders>
              <w:top w:val="nil"/>
              <w:left w:val="nil"/>
              <w:bottom w:val="single" w:sz="8" w:space="0" w:color="7F7F7F"/>
              <w:right w:val="nil"/>
            </w:tcBorders>
            <w:tcMar>
              <w:top w:w="0" w:type="dxa"/>
              <w:left w:w="100" w:type="dxa"/>
              <w:bottom w:w="0" w:type="dxa"/>
              <w:right w:w="100" w:type="dxa"/>
            </w:tcMar>
          </w:tcPr>
          <w:p w14:paraId="24FD1C5A" w14:textId="77777777" w:rsidR="00A84E96" w:rsidRPr="002370CA" w:rsidRDefault="00A84E96" w:rsidP="002370CA">
            <w:pPr>
              <w:spacing w:after="0" w:line="240" w:lineRule="auto"/>
              <w:jc w:val="both"/>
              <w:rPr>
                <w:rFonts w:ascii="Times New Roman" w:eastAsia="Times New Roman" w:hAnsi="Times New Roman" w:cs="Times New Roman"/>
                <w:sz w:val="20"/>
                <w:szCs w:val="20"/>
              </w:rPr>
            </w:pPr>
            <w:r w:rsidRPr="002370CA">
              <w:rPr>
                <w:rFonts w:ascii="Times New Roman" w:eastAsia="Times New Roman" w:hAnsi="Times New Roman" w:cs="Times New Roman"/>
                <w:sz w:val="20"/>
                <w:szCs w:val="20"/>
              </w:rPr>
              <w:t>Highlighted failure to provide facilities like the swimming pool.</w:t>
            </w:r>
          </w:p>
        </w:tc>
      </w:tr>
    </w:tbl>
    <w:p w14:paraId="3EFC5904" w14:textId="71EFCEF5" w:rsidR="00F25A8A" w:rsidRDefault="00A84E96" w:rsidP="00F25A8A">
      <w:pPr>
        <w:pStyle w:val="Heading2"/>
        <w:spacing w:before="0" w:line="240" w:lineRule="auto"/>
        <w:jc w:val="both"/>
        <w:rPr>
          <w:rFonts w:ascii="Times New Roman" w:hAnsi="Times New Roman" w:cs="Times New Roman"/>
          <w:b w:val="0"/>
          <w:i/>
          <w:color w:val="auto"/>
          <w:sz w:val="24"/>
          <w:szCs w:val="24"/>
        </w:rPr>
      </w:pPr>
      <w:bookmarkStart w:id="26" w:name="_heading=h.1cklcgiym5ca" w:colFirst="0" w:colLast="0"/>
      <w:bookmarkEnd w:id="26"/>
      <w:r w:rsidRPr="00BE4AF3">
        <w:rPr>
          <w:rFonts w:ascii="Times New Roman" w:hAnsi="Times New Roman" w:cs="Times New Roman"/>
          <w:b w:val="0"/>
          <w:i/>
          <w:color w:val="auto"/>
          <w:sz w:val="24"/>
          <w:szCs w:val="24"/>
        </w:rPr>
        <w:t>Source: Researcher’s Interview Session (2021)</w:t>
      </w:r>
    </w:p>
    <w:p w14:paraId="0F67FF1C" w14:textId="77777777" w:rsidR="00F25A8A" w:rsidRPr="00F25A8A" w:rsidRDefault="00F25A8A" w:rsidP="00F25A8A">
      <w:pPr>
        <w:spacing w:after="0" w:line="240" w:lineRule="auto"/>
      </w:pPr>
    </w:p>
    <w:p w14:paraId="47D9B79C" w14:textId="77777777" w:rsidR="00A84E96" w:rsidRPr="00BE4AF3" w:rsidRDefault="00A84E96" w:rsidP="00F25A8A">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Table 4 reveals widespread dissatisfaction among residents regarding building attributes and the responsiveness of maintenance services. Common issues cited include poor plumbing, substandard finishes, and the omission of promised amenities, as reported by respondents such as MB01, MB03, EK02, and AR03. Several participants, including MB02, MB04, and EK04, expressed frustration over delayed or ineffective maintenance responses, with some, like EK04, resorting to self-repairs due to the lack of timely service. Criticisms also extended to construction quality and missing features, as noted by EK01, EK03, and AR02. While AR01 acknowledged prompt attention, the maintenance quality was still considered subpar. Overall, the findings indicate systemic problems with both the initial construction quality and post-occupancy support, suggesting a need for improved service delivery, better adherence to contractual specifications, and more efficient maintenance operations.</w:t>
      </w:r>
    </w:p>
    <w:p w14:paraId="0665AD6C" w14:textId="77777777" w:rsidR="00A84E96" w:rsidRPr="00BE4AF3" w:rsidRDefault="00A84E96" w:rsidP="002370CA">
      <w:pPr>
        <w:spacing w:after="0" w:line="240" w:lineRule="auto"/>
        <w:rPr>
          <w:rFonts w:ascii="Times New Roman" w:eastAsia="Times New Roman" w:hAnsi="Times New Roman" w:cs="Times New Roman"/>
          <w:sz w:val="24"/>
          <w:szCs w:val="24"/>
        </w:rPr>
      </w:pPr>
    </w:p>
    <w:p w14:paraId="05BAC23C" w14:textId="77777777" w:rsidR="00A84E96" w:rsidRPr="00BE4AF3" w:rsidRDefault="00A84E96" w:rsidP="00FB5413">
      <w:pPr>
        <w:spacing w:after="0" w:line="240" w:lineRule="auto"/>
        <w:jc w:val="center"/>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 xml:space="preserve">Table 4: </w:t>
      </w:r>
      <w:r w:rsidRPr="000D5E6D">
        <w:rPr>
          <w:rFonts w:ascii="Times New Roman" w:eastAsia="Times New Roman" w:hAnsi="Times New Roman" w:cs="Times New Roman"/>
          <w:bCs/>
          <w:sz w:val="24"/>
          <w:szCs w:val="24"/>
        </w:rPr>
        <w:t>Interview Overview with Institutional Stakeholders</w:t>
      </w:r>
    </w:p>
    <w:tbl>
      <w:tblPr>
        <w:tblW w:w="8835" w:type="dxa"/>
        <w:jc w:val="center"/>
        <w:tblBorders>
          <w:top w:val="nil"/>
          <w:left w:val="nil"/>
          <w:bottom w:val="nil"/>
          <w:right w:val="nil"/>
          <w:insideH w:val="nil"/>
          <w:insideV w:val="nil"/>
        </w:tblBorders>
        <w:tblLayout w:type="fixed"/>
        <w:tblLook w:val="0600" w:firstRow="0" w:lastRow="0" w:firstColumn="0" w:lastColumn="0" w:noHBand="1" w:noVBand="1"/>
      </w:tblPr>
      <w:tblGrid>
        <w:gridCol w:w="585"/>
        <w:gridCol w:w="1590"/>
        <w:gridCol w:w="1215"/>
        <w:gridCol w:w="5445"/>
      </w:tblGrid>
      <w:tr w:rsidR="00A84E96" w:rsidRPr="000D5E6D" w14:paraId="338A215C" w14:textId="77777777" w:rsidTr="000D5E6D">
        <w:trPr>
          <w:trHeight w:val="270"/>
          <w:jc w:val="center"/>
        </w:trPr>
        <w:tc>
          <w:tcPr>
            <w:tcW w:w="585" w:type="dxa"/>
            <w:tcBorders>
              <w:top w:val="single" w:sz="8" w:space="0" w:color="7F7F7F"/>
              <w:left w:val="nil"/>
              <w:bottom w:val="single" w:sz="8" w:space="0" w:color="7F7F7F"/>
              <w:right w:val="nil"/>
            </w:tcBorders>
            <w:tcMar>
              <w:top w:w="0" w:type="dxa"/>
              <w:left w:w="100" w:type="dxa"/>
              <w:bottom w:w="0" w:type="dxa"/>
              <w:right w:w="100" w:type="dxa"/>
            </w:tcMar>
          </w:tcPr>
          <w:p w14:paraId="68BA1B89" w14:textId="77777777" w:rsidR="00A84E96" w:rsidRPr="000D5E6D" w:rsidRDefault="00A84E96" w:rsidP="002370CA">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S/N</w:t>
            </w:r>
          </w:p>
        </w:tc>
        <w:tc>
          <w:tcPr>
            <w:tcW w:w="1590" w:type="dxa"/>
            <w:tcBorders>
              <w:top w:val="single" w:sz="8" w:space="0" w:color="7F7F7F"/>
              <w:left w:val="nil"/>
              <w:bottom w:val="single" w:sz="8" w:space="0" w:color="7F7F7F"/>
              <w:right w:val="nil"/>
            </w:tcBorders>
            <w:tcMar>
              <w:top w:w="0" w:type="dxa"/>
              <w:left w:w="100" w:type="dxa"/>
              <w:bottom w:w="0" w:type="dxa"/>
              <w:right w:w="100" w:type="dxa"/>
            </w:tcMar>
          </w:tcPr>
          <w:p w14:paraId="46BF4943" w14:textId="77777777" w:rsidR="00A84E96" w:rsidRPr="000D5E6D" w:rsidRDefault="00A84E96" w:rsidP="002370CA">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Interview Code</w:t>
            </w:r>
          </w:p>
        </w:tc>
        <w:tc>
          <w:tcPr>
            <w:tcW w:w="1215" w:type="dxa"/>
            <w:tcBorders>
              <w:top w:val="single" w:sz="8" w:space="0" w:color="7F7F7F"/>
              <w:left w:val="nil"/>
              <w:bottom w:val="single" w:sz="8" w:space="0" w:color="7F7F7F"/>
              <w:right w:val="nil"/>
            </w:tcBorders>
            <w:tcMar>
              <w:top w:w="0" w:type="dxa"/>
              <w:left w:w="100" w:type="dxa"/>
              <w:bottom w:w="0" w:type="dxa"/>
              <w:right w:w="100" w:type="dxa"/>
            </w:tcMar>
          </w:tcPr>
          <w:p w14:paraId="336A57CC" w14:textId="77777777" w:rsidR="00A84E96" w:rsidRPr="000D5E6D" w:rsidRDefault="00A84E96" w:rsidP="002370CA">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Duration</w:t>
            </w:r>
          </w:p>
        </w:tc>
        <w:tc>
          <w:tcPr>
            <w:tcW w:w="5445" w:type="dxa"/>
            <w:tcBorders>
              <w:top w:val="single" w:sz="8" w:space="0" w:color="7F7F7F"/>
              <w:left w:val="nil"/>
              <w:bottom w:val="single" w:sz="8" w:space="0" w:color="7F7F7F"/>
              <w:right w:val="nil"/>
            </w:tcBorders>
            <w:tcMar>
              <w:top w:w="0" w:type="dxa"/>
              <w:left w:w="100" w:type="dxa"/>
              <w:bottom w:w="0" w:type="dxa"/>
              <w:right w:w="100" w:type="dxa"/>
            </w:tcMar>
          </w:tcPr>
          <w:p w14:paraId="11B6F964" w14:textId="77777777" w:rsidR="00A84E96" w:rsidRPr="000D5E6D" w:rsidRDefault="00A84E96" w:rsidP="002370CA">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Designation</w:t>
            </w:r>
          </w:p>
        </w:tc>
      </w:tr>
      <w:tr w:rsidR="00A84E96" w:rsidRPr="000D5E6D" w14:paraId="56F109C2" w14:textId="77777777" w:rsidTr="000D5E6D">
        <w:trPr>
          <w:trHeight w:val="255"/>
          <w:jc w:val="center"/>
        </w:trPr>
        <w:tc>
          <w:tcPr>
            <w:tcW w:w="585" w:type="dxa"/>
            <w:tcBorders>
              <w:top w:val="nil"/>
              <w:left w:val="nil"/>
              <w:bottom w:val="nil"/>
              <w:right w:val="nil"/>
            </w:tcBorders>
            <w:tcMar>
              <w:top w:w="0" w:type="dxa"/>
              <w:left w:w="100" w:type="dxa"/>
              <w:bottom w:w="0" w:type="dxa"/>
              <w:right w:w="100" w:type="dxa"/>
            </w:tcMar>
          </w:tcPr>
          <w:p w14:paraId="552E8A75" w14:textId="77777777" w:rsidR="00A84E96" w:rsidRPr="000D5E6D" w:rsidRDefault="00A84E96" w:rsidP="002370CA">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1</w:t>
            </w:r>
          </w:p>
        </w:tc>
        <w:tc>
          <w:tcPr>
            <w:tcW w:w="1590" w:type="dxa"/>
            <w:tcBorders>
              <w:top w:val="nil"/>
              <w:left w:val="nil"/>
              <w:bottom w:val="nil"/>
              <w:right w:val="nil"/>
            </w:tcBorders>
            <w:tcMar>
              <w:top w:w="0" w:type="dxa"/>
              <w:left w:w="100" w:type="dxa"/>
              <w:bottom w:w="0" w:type="dxa"/>
              <w:right w:w="100" w:type="dxa"/>
            </w:tcMar>
          </w:tcPr>
          <w:p w14:paraId="758281A4" w14:textId="77777777" w:rsidR="00A84E96" w:rsidRPr="000D5E6D" w:rsidRDefault="00A84E96" w:rsidP="002370CA">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PMI</w:t>
            </w:r>
          </w:p>
        </w:tc>
        <w:tc>
          <w:tcPr>
            <w:tcW w:w="1215" w:type="dxa"/>
            <w:tcBorders>
              <w:top w:val="nil"/>
              <w:left w:val="nil"/>
              <w:bottom w:val="nil"/>
              <w:right w:val="nil"/>
            </w:tcBorders>
            <w:tcMar>
              <w:top w:w="0" w:type="dxa"/>
              <w:left w:w="100" w:type="dxa"/>
              <w:bottom w:w="0" w:type="dxa"/>
              <w:right w:w="100" w:type="dxa"/>
            </w:tcMar>
          </w:tcPr>
          <w:p w14:paraId="2AB47A4C" w14:textId="77777777" w:rsidR="00A84E96" w:rsidRPr="000D5E6D" w:rsidRDefault="00A84E96" w:rsidP="002370CA">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15 minutes</w:t>
            </w:r>
          </w:p>
        </w:tc>
        <w:tc>
          <w:tcPr>
            <w:tcW w:w="5445" w:type="dxa"/>
            <w:tcBorders>
              <w:top w:val="nil"/>
              <w:left w:val="nil"/>
              <w:bottom w:val="nil"/>
              <w:right w:val="nil"/>
            </w:tcBorders>
            <w:tcMar>
              <w:top w:w="0" w:type="dxa"/>
              <w:left w:w="100" w:type="dxa"/>
              <w:bottom w:w="0" w:type="dxa"/>
              <w:right w:w="100" w:type="dxa"/>
            </w:tcMar>
          </w:tcPr>
          <w:p w14:paraId="68C48A0D" w14:textId="77777777" w:rsidR="00A84E96" w:rsidRPr="000D5E6D" w:rsidRDefault="00A84E96" w:rsidP="002370CA">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Federal Mortgage Bank Representative</w:t>
            </w:r>
          </w:p>
        </w:tc>
      </w:tr>
      <w:tr w:rsidR="00A84E96" w:rsidRPr="000D5E6D" w14:paraId="287B6F5B" w14:textId="77777777" w:rsidTr="000D5E6D">
        <w:trPr>
          <w:trHeight w:val="570"/>
          <w:jc w:val="center"/>
        </w:trPr>
        <w:tc>
          <w:tcPr>
            <w:tcW w:w="585" w:type="dxa"/>
            <w:tcBorders>
              <w:top w:val="nil"/>
              <w:left w:val="nil"/>
              <w:bottom w:val="nil"/>
              <w:right w:val="nil"/>
            </w:tcBorders>
            <w:tcMar>
              <w:top w:w="0" w:type="dxa"/>
              <w:left w:w="100" w:type="dxa"/>
              <w:bottom w:w="0" w:type="dxa"/>
              <w:right w:w="100" w:type="dxa"/>
            </w:tcMar>
          </w:tcPr>
          <w:p w14:paraId="78104D09" w14:textId="77777777" w:rsidR="00A84E96" w:rsidRPr="000D5E6D" w:rsidRDefault="00A84E96" w:rsidP="002370CA">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2</w:t>
            </w:r>
          </w:p>
        </w:tc>
        <w:tc>
          <w:tcPr>
            <w:tcW w:w="1590" w:type="dxa"/>
            <w:tcBorders>
              <w:top w:val="nil"/>
              <w:left w:val="nil"/>
              <w:bottom w:val="nil"/>
              <w:right w:val="nil"/>
            </w:tcBorders>
            <w:tcMar>
              <w:top w:w="0" w:type="dxa"/>
              <w:left w:w="100" w:type="dxa"/>
              <w:bottom w:w="0" w:type="dxa"/>
              <w:right w:w="100" w:type="dxa"/>
            </w:tcMar>
          </w:tcPr>
          <w:p w14:paraId="24685240" w14:textId="77777777" w:rsidR="00A84E96" w:rsidRPr="000D5E6D" w:rsidRDefault="00A84E96" w:rsidP="002370CA">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PPP</w:t>
            </w:r>
          </w:p>
        </w:tc>
        <w:tc>
          <w:tcPr>
            <w:tcW w:w="1215" w:type="dxa"/>
            <w:tcBorders>
              <w:top w:val="nil"/>
              <w:left w:val="nil"/>
              <w:bottom w:val="nil"/>
              <w:right w:val="nil"/>
            </w:tcBorders>
            <w:tcMar>
              <w:top w:w="0" w:type="dxa"/>
              <w:left w:w="100" w:type="dxa"/>
              <w:bottom w:w="0" w:type="dxa"/>
              <w:right w:w="100" w:type="dxa"/>
            </w:tcMar>
          </w:tcPr>
          <w:p w14:paraId="51281E04" w14:textId="77777777" w:rsidR="00A84E96" w:rsidRPr="000D5E6D" w:rsidRDefault="00A84E96" w:rsidP="002370CA">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15 minutes</w:t>
            </w:r>
          </w:p>
        </w:tc>
        <w:tc>
          <w:tcPr>
            <w:tcW w:w="5445" w:type="dxa"/>
            <w:tcBorders>
              <w:top w:val="nil"/>
              <w:left w:val="nil"/>
              <w:bottom w:val="nil"/>
              <w:right w:val="nil"/>
            </w:tcBorders>
            <w:tcMar>
              <w:top w:w="0" w:type="dxa"/>
              <w:left w:w="100" w:type="dxa"/>
              <w:bottom w:w="0" w:type="dxa"/>
              <w:right w:w="100" w:type="dxa"/>
            </w:tcMar>
          </w:tcPr>
          <w:p w14:paraId="0B146536" w14:textId="77777777" w:rsidR="00A84E96" w:rsidRPr="000D5E6D" w:rsidRDefault="00A84E96" w:rsidP="002370CA">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Representative, Rivers State Bureau for Public Private Partnership</w:t>
            </w:r>
          </w:p>
        </w:tc>
      </w:tr>
      <w:tr w:rsidR="00A84E96" w:rsidRPr="000D5E6D" w14:paraId="63370920" w14:textId="77777777" w:rsidTr="000D5E6D">
        <w:trPr>
          <w:trHeight w:val="570"/>
          <w:jc w:val="center"/>
        </w:trPr>
        <w:tc>
          <w:tcPr>
            <w:tcW w:w="585" w:type="dxa"/>
            <w:tcBorders>
              <w:top w:val="nil"/>
              <w:left w:val="nil"/>
              <w:bottom w:val="nil"/>
              <w:right w:val="nil"/>
            </w:tcBorders>
            <w:tcMar>
              <w:top w:w="0" w:type="dxa"/>
              <w:left w:w="100" w:type="dxa"/>
              <w:bottom w:w="0" w:type="dxa"/>
              <w:right w:w="100" w:type="dxa"/>
            </w:tcMar>
          </w:tcPr>
          <w:p w14:paraId="226BCC61" w14:textId="77777777" w:rsidR="00A84E96" w:rsidRPr="000D5E6D" w:rsidRDefault="00A84E96" w:rsidP="002370CA">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3</w:t>
            </w:r>
          </w:p>
        </w:tc>
        <w:tc>
          <w:tcPr>
            <w:tcW w:w="1590" w:type="dxa"/>
            <w:tcBorders>
              <w:top w:val="nil"/>
              <w:left w:val="nil"/>
              <w:bottom w:val="nil"/>
              <w:right w:val="nil"/>
            </w:tcBorders>
            <w:tcMar>
              <w:top w:w="0" w:type="dxa"/>
              <w:left w:w="100" w:type="dxa"/>
              <w:bottom w:w="0" w:type="dxa"/>
              <w:right w:w="100" w:type="dxa"/>
            </w:tcMar>
          </w:tcPr>
          <w:p w14:paraId="1C8C624F" w14:textId="77777777" w:rsidR="00A84E96" w:rsidRPr="000D5E6D" w:rsidRDefault="00A84E96" w:rsidP="002370CA">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RHPDA</w:t>
            </w:r>
          </w:p>
        </w:tc>
        <w:tc>
          <w:tcPr>
            <w:tcW w:w="1215" w:type="dxa"/>
            <w:tcBorders>
              <w:top w:val="nil"/>
              <w:left w:val="nil"/>
              <w:bottom w:val="nil"/>
              <w:right w:val="nil"/>
            </w:tcBorders>
            <w:tcMar>
              <w:top w:w="0" w:type="dxa"/>
              <w:left w:w="100" w:type="dxa"/>
              <w:bottom w:w="0" w:type="dxa"/>
              <w:right w:w="100" w:type="dxa"/>
            </w:tcMar>
          </w:tcPr>
          <w:p w14:paraId="50A42599" w14:textId="77777777" w:rsidR="00A84E96" w:rsidRPr="000D5E6D" w:rsidRDefault="00A84E96" w:rsidP="002370CA">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15 minutes</w:t>
            </w:r>
          </w:p>
        </w:tc>
        <w:tc>
          <w:tcPr>
            <w:tcW w:w="5445" w:type="dxa"/>
            <w:tcBorders>
              <w:top w:val="nil"/>
              <w:left w:val="nil"/>
              <w:bottom w:val="nil"/>
              <w:right w:val="nil"/>
            </w:tcBorders>
            <w:tcMar>
              <w:top w:w="0" w:type="dxa"/>
              <w:left w:w="100" w:type="dxa"/>
              <w:bottom w:w="0" w:type="dxa"/>
              <w:right w:w="100" w:type="dxa"/>
            </w:tcMar>
          </w:tcPr>
          <w:p w14:paraId="44434190" w14:textId="77777777" w:rsidR="00A84E96" w:rsidRPr="000D5E6D" w:rsidRDefault="00A84E96" w:rsidP="002370CA">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Representative, Rivers State Housing and Property Development Authority</w:t>
            </w:r>
          </w:p>
        </w:tc>
      </w:tr>
      <w:tr w:rsidR="00A84E96" w:rsidRPr="000D5E6D" w14:paraId="7C3ADDA2" w14:textId="77777777" w:rsidTr="000D5E6D">
        <w:trPr>
          <w:trHeight w:val="570"/>
          <w:jc w:val="center"/>
        </w:trPr>
        <w:tc>
          <w:tcPr>
            <w:tcW w:w="585" w:type="dxa"/>
            <w:tcBorders>
              <w:top w:val="nil"/>
              <w:left w:val="nil"/>
              <w:bottom w:val="single" w:sz="8" w:space="0" w:color="7F7F7F"/>
              <w:right w:val="nil"/>
            </w:tcBorders>
            <w:tcMar>
              <w:top w:w="0" w:type="dxa"/>
              <w:left w:w="100" w:type="dxa"/>
              <w:bottom w:w="0" w:type="dxa"/>
              <w:right w:w="100" w:type="dxa"/>
            </w:tcMar>
          </w:tcPr>
          <w:p w14:paraId="51660C55" w14:textId="77777777" w:rsidR="00A84E96" w:rsidRPr="000D5E6D" w:rsidRDefault="00A84E96" w:rsidP="002370CA">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4</w:t>
            </w:r>
          </w:p>
        </w:tc>
        <w:tc>
          <w:tcPr>
            <w:tcW w:w="1590" w:type="dxa"/>
            <w:tcBorders>
              <w:top w:val="nil"/>
              <w:left w:val="nil"/>
              <w:bottom w:val="single" w:sz="8" w:space="0" w:color="7F7F7F"/>
              <w:right w:val="nil"/>
            </w:tcBorders>
            <w:tcMar>
              <w:top w:w="0" w:type="dxa"/>
              <w:left w:w="100" w:type="dxa"/>
              <w:bottom w:w="0" w:type="dxa"/>
              <w:right w:w="100" w:type="dxa"/>
            </w:tcMar>
          </w:tcPr>
          <w:p w14:paraId="52F3EE72" w14:textId="77777777" w:rsidR="00A84E96" w:rsidRPr="000D5E6D" w:rsidRDefault="00A84E96" w:rsidP="002370CA">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RSMUDPP</w:t>
            </w:r>
          </w:p>
        </w:tc>
        <w:tc>
          <w:tcPr>
            <w:tcW w:w="1215" w:type="dxa"/>
            <w:tcBorders>
              <w:top w:val="nil"/>
              <w:left w:val="nil"/>
              <w:bottom w:val="single" w:sz="8" w:space="0" w:color="7F7F7F"/>
              <w:right w:val="nil"/>
            </w:tcBorders>
            <w:tcMar>
              <w:top w:w="0" w:type="dxa"/>
              <w:left w:w="100" w:type="dxa"/>
              <w:bottom w:w="0" w:type="dxa"/>
              <w:right w:w="100" w:type="dxa"/>
            </w:tcMar>
          </w:tcPr>
          <w:p w14:paraId="730F75E2" w14:textId="77777777" w:rsidR="00A84E96" w:rsidRPr="000D5E6D" w:rsidRDefault="00A84E96" w:rsidP="002370CA">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15 minutes</w:t>
            </w:r>
          </w:p>
        </w:tc>
        <w:tc>
          <w:tcPr>
            <w:tcW w:w="5445" w:type="dxa"/>
            <w:tcBorders>
              <w:top w:val="nil"/>
              <w:left w:val="nil"/>
              <w:bottom w:val="single" w:sz="8" w:space="0" w:color="7F7F7F"/>
              <w:right w:val="nil"/>
            </w:tcBorders>
            <w:tcMar>
              <w:top w:w="0" w:type="dxa"/>
              <w:left w:w="100" w:type="dxa"/>
              <w:bottom w:w="0" w:type="dxa"/>
              <w:right w:w="100" w:type="dxa"/>
            </w:tcMar>
          </w:tcPr>
          <w:p w14:paraId="332A6393" w14:textId="77777777" w:rsidR="00A84E96" w:rsidRPr="000D5E6D" w:rsidRDefault="00A84E96" w:rsidP="002370CA">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Representative, Rivers State Ministry of Urban Development and Physical Planning</w:t>
            </w:r>
          </w:p>
        </w:tc>
      </w:tr>
    </w:tbl>
    <w:p w14:paraId="79558AE1" w14:textId="77777777" w:rsidR="00A84E96" w:rsidRDefault="00A84E96" w:rsidP="00FB5413">
      <w:pPr>
        <w:pStyle w:val="Heading2"/>
        <w:spacing w:before="0" w:line="240" w:lineRule="auto"/>
        <w:jc w:val="center"/>
        <w:rPr>
          <w:rFonts w:ascii="Times New Roman" w:hAnsi="Times New Roman" w:cs="Times New Roman"/>
          <w:b w:val="0"/>
          <w:i/>
          <w:color w:val="auto"/>
          <w:sz w:val="24"/>
          <w:szCs w:val="24"/>
        </w:rPr>
      </w:pPr>
      <w:bookmarkStart w:id="27" w:name="_heading=h.sbk9bpwu56qb" w:colFirst="0" w:colLast="0"/>
      <w:bookmarkEnd w:id="27"/>
      <w:r w:rsidRPr="00BE4AF3">
        <w:rPr>
          <w:rFonts w:ascii="Times New Roman" w:hAnsi="Times New Roman" w:cs="Times New Roman"/>
          <w:b w:val="0"/>
          <w:i/>
          <w:color w:val="auto"/>
          <w:sz w:val="24"/>
          <w:szCs w:val="24"/>
        </w:rPr>
        <w:t>Source: Researcher’s Interview Session (2021)</w:t>
      </w:r>
    </w:p>
    <w:p w14:paraId="0B419D2C" w14:textId="77777777" w:rsidR="000D5E6D" w:rsidRPr="000D5E6D" w:rsidRDefault="000D5E6D" w:rsidP="000D5E6D"/>
    <w:p w14:paraId="61BDE3D4" w14:textId="77777777" w:rsidR="00A84E96" w:rsidRDefault="00A84E96" w:rsidP="002370CA">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lastRenderedPageBreak/>
        <w:t>Table 4 presents a summary of interviews conducted with key institutional stakeholders involved in housing development and policy implementation. Each session lasted approximately 15 minutes and featured representatives from four significant bodies: the Federal Mortgage Bank, Rivers State Bureau for Public Private Partnership, Rivers State Housing and Property Development Authority, and the Rivers State Ministry of Urban Development and Physical Planning. These stakeholders provided critical institutional perspectives on housing policy, development strategies, public-private collaborations, and regulatory frameworks. The selection of these entities underscores the importance of multi-agency coordination in addressing housing challenges and highlights the institutional roles in shaping and maintaining residential infrastructure and service delivery within the state.</w:t>
      </w:r>
    </w:p>
    <w:p w14:paraId="37207684" w14:textId="77777777" w:rsidR="000D5E6D" w:rsidRPr="00BE4AF3" w:rsidRDefault="000D5E6D" w:rsidP="002370CA">
      <w:pPr>
        <w:spacing w:after="0" w:line="240" w:lineRule="auto"/>
        <w:jc w:val="both"/>
        <w:rPr>
          <w:rFonts w:ascii="Times New Roman" w:eastAsia="Times New Roman" w:hAnsi="Times New Roman" w:cs="Times New Roman"/>
          <w:sz w:val="24"/>
          <w:szCs w:val="24"/>
        </w:rPr>
      </w:pPr>
    </w:p>
    <w:p w14:paraId="4CDA333A" w14:textId="77777777" w:rsidR="00A84E96" w:rsidRPr="00BE4AF3" w:rsidRDefault="00A84E96" w:rsidP="002370CA">
      <w:pPr>
        <w:pStyle w:val="Heading3"/>
        <w:spacing w:before="0" w:line="240" w:lineRule="auto"/>
        <w:jc w:val="both"/>
        <w:rPr>
          <w:rFonts w:ascii="Times New Roman" w:hAnsi="Times New Roman" w:cs="Times New Roman"/>
          <w:color w:val="auto"/>
        </w:rPr>
      </w:pPr>
      <w:bookmarkStart w:id="28" w:name="_heading=h.mlu4xtfg5hvl" w:colFirst="0" w:colLast="0"/>
      <w:bookmarkEnd w:id="28"/>
      <w:r w:rsidRPr="000D5E6D">
        <w:rPr>
          <w:rFonts w:ascii="Times New Roman" w:hAnsi="Times New Roman" w:cs="Times New Roman"/>
          <w:b/>
          <w:bCs/>
          <w:color w:val="auto"/>
        </w:rPr>
        <w:t>Table 5:</w:t>
      </w:r>
      <w:r w:rsidRPr="00BE4AF3">
        <w:rPr>
          <w:rFonts w:ascii="Times New Roman" w:hAnsi="Times New Roman" w:cs="Times New Roman"/>
          <w:color w:val="auto"/>
        </w:rPr>
        <w:t xml:space="preserve"> Institutional Views on Building Attributes and Resident Satisfaction</w:t>
      </w:r>
    </w:p>
    <w:p w14:paraId="69EC1188" w14:textId="77777777" w:rsidR="00A84E96" w:rsidRPr="00BE4AF3" w:rsidRDefault="00A84E96" w:rsidP="002370CA">
      <w:pPr>
        <w:spacing w:after="0" w:line="240" w:lineRule="auto"/>
        <w:jc w:val="both"/>
        <w:rPr>
          <w:rFonts w:ascii="Times New Roman" w:eastAsia="Times New Roman" w:hAnsi="Times New Roman" w:cs="Times New Roman"/>
          <w:sz w:val="24"/>
          <w:szCs w:val="24"/>
        </w:rPr>
      </w:pPr>
      <w:r w:rsidRPr="000D5E6D">
        <w:rPr>
          <w:rFonts w:ascii="Times New Roman" w:eastAsia="Times New Roman" w:hAnsi="Times New Roman" w:cs="Times New Roman"/>
          <w:b/>
          <w:bCs/>
          <w:sz w:val="24"/>
          <w:szCs w:val="24"/>
        </w:rPr>
        <w:t>Interview Question:</w:t>
      </w:r>
      <w:r w:rsidRPr="00BE4AF3">
        <w:rPr>
          <w:rFonts w:ascii="Times New Roman" w:eastAsia="Times New Roman" w:hAnsi="Times New Roman" w:cs="Times New Roman"/>
          <w:sz w:val="24"/>
          <w:szCs w:val="24"/>
        </w:rPr>
        <w:t xml:space="preserve"> </w:t>
      </w:r>
      <w:r w:rsidRPr="00BE4AF3">
        <w:rPr>
          <w:rFonts w:ascii="Times New Roman" w:eastAsia="Times New Roman" w:hAnsi="Times New Roman" w:cs="Times New Roman"/>
          <w:i/>
          <w:sz w:val="24"/>
          <w:szCs w:val="24"/>
        </w:rPr>
        <w:t>"What are the challenges and feedback regarding building attributes from residents?"</w:t>
      </w:r>
    </w:p>
    <w:tbl>
      <w:tblPr>
        <w:tblW w:w="8850" w:type="dxa"/>
        <w:tblBorders>
          <w:top w:val="nil"/>
          <w:left w:val="nil"/>
          <w:bottom w:val="nil"/>
          <w:right w:val="nil"/>
          <w:insideH w:val="nil"/>
          <w:insideV w:val="nil"/>
        </w:tblBorders>
        <w:tblLayout w:type="fixed"/>
        <w:tblLook w:val="0600" w:firstRow="0" w:lastRow="0" w:firstColumn="0" w:lastColumn="0" w:noHBand="1" w:noVBand="1"/>
      </w:tblPr>
      <w:tblGrid>
        <w:gridCol w:w="585"/>
        <w:gridCol w:w="1425"/>
        <w:gridCol w:w="6840"/>
      </w:tblGrid>
      <w:tr w:rsidR="00A84E96" w:rsidRPr="000D5E6D" w14:paraId="7DBF7812" w14:textId="77777777" w:rsidTr="00A84E96">
        <w:trPr>
          <w:trHeight w:val="300"/>
        </w:trPr>
        <w:tc>
          <w:tcPr>
            <w:tcW w:w="585" w:type="dxa"/>
            <w:tcBorders>
              <w:top w:val="single" w:sz="8" w:space="0" w:color="7F7F7F"/>
              <w:left w:val="nil"/>
              <w:bottom w:val="single" w:sz="8" w:space="0" w:color="7F7F7F"/>
              <w:right w:val="nil"/>
            </w:tcBorders>
            <w:tcMar>
              <w:top w:w="0" w:type="dxa"/>
              <w:left w:w="100" w:type="dxa"/>
              <w:bottom w:w="0" w:type="dxa"/>
              <w:right w:w="100" w:type="dxa"/>
            </w:tcMar>
          </w:tcPr>
          <w:p w14:paraId="206989F7" w14:textId="77777777" w:rsidR="00A84E96" w:rsidRPr="000D5E6D" w:rsidRDefault="00A84E96" w:rsidP="000D5E6D">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S/N</w:t>
            </w:r>
          </w:p>
        </w:tc>
        <w:tc>
          <w:tcPr>
            <w:tcW w:w="1425" w:type="dxa"/>
            <w:tcBorders>
              <w:top w:val="single" w:sz="8" w:space="0" w:color="7F7F7F"/>
              <w:left w:val="nil"/>
              <w:bottom w:val="single" w:sz="8" w:space="0" w:color="7F7F7F"/>
              <w:right w:val="nil"/>
            </w:tcBorders>
            <w:tcMar>
              <w:top w:w="0" w:type="dxa"/>
              <w:left w:w="100" w:type="dxa"/>
              <w:bottom w:w="0" w:type="dxa"/>
              <w:right w:w="100" w:type="dxa"/>
            </w:tcMar>
          </w:tcPr>
          <w:p w14:paraId="0BDE905E" w14:textId="77777777" w:rsidR="00A84E96" w:rsidRPr="000D5E6D" w:rsidRDefault="00A84E96" w:rsidP="000D5E6D">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Respondent</w:t>
            </w:r>
          </w:p>
        </w:tc>
        <w:tc>
          <w:tcPr>
            <w:tcW w:w="6840" w:type="dxa"/>
            <w:tcBorders>
              <w:top w:val="single" w:sz="8" w:space="0" w:color="7F7F7F"/>
              <w:left w:val="nil"/>
              <w:bottom w:val="single" w:sz="8" w:space="0" w:color="7F7F7F"/>
              <w:right w:val="nil"/>
            </w:tcBorders>
            <w:tcMar>
              <w:top w:w="0" w:type="dxa"/>
              <w:left w:w="100" w:type="dxa"/>
              <w:bottom w:w="0" w:type="dxa"/>
              <w:right w:w="100" w:type="dxa"/>
            </w:tcMar>
          </w:tcPr>
          <w:p w14:paraId="74550C22" w14:textId="77777777" w:rsidR="00A84E96" w:rsidRPr="000D5E6D" w:rsidRDefault="00A84E96" w:rsidP="000D5E6D">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Summary of Response</w:t>
            </w:r>
          </w:p>
        </w:tc>
      </w:tr>
      <w:tr w:rsidR="00A84E96" w:rsidRPr="000D5E6D" w14:paraId="26AE2D45" w14:textId="77777777" w:rsidTr="00A84E96">
        <w:trPr>
          <w:trHeight w:val="615"/>
        </w:trPr>
        <w:tc>
          <w:tcPr>
            <w:tcW w:w="585" w:type="dxa"/>
            <w:tcBorders>
              <w:top w:val="nil"/>
              <w:left w:val="nil"/>
              <w:bottom w:val="nil"/>
              <w:right w:val="nil"/>
            </w:tcBorders>
            <w:tcMar>
              <w:top w:w="0" w:type="dxa"/>
              <w:left w:w="100" w:type="dxa"/>
              <w:bottom w:w="0" w:type="dxa"/>
              <w:right w:w="100" w:type="dxa"/>
            </w:tcMar>
          </w:tcPr>
          <w:p w14:paraId="356E5755" w14:textId="77777777" w:rsidR="00A84E96" w:rsidRPr="000D5E6D" w:rsidRDefault="00A84E96" w:rsidP="000D5E6D">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1</w:t>
            </w:r>
          </w:p>
        </w:tc>
        <w:tc>
          <w:tcPr>
            <w:tcW w:w="1425" w:type="dxa"/>
            <w:tcBorders>
              <w:top w:val="nil"/>
              <w:left w:val="nil"/>
              <w:bottom w:val="nil"/>
              <w:right w:val="nil"/>
            </w:tcBorders>
            <w:tcMar>
              <w:top w:w="0" w:type="dxa"/>
              <w:left w:w="100" w:type="dxa"/>
              <w:bottom w:w="0" w:type="dxa"/>
              <w:right w:w="100" w:type="dxa"/>
            </w:tcMar>
          </w:tcPr>
          <w:p w14:paraId="6519170B" w14:textId="77777777" w:rsidR="00A84E96" w:rsidRPr="000D5E6D" w:rsidRDefault="00A84E96" w:rsidP="000D5E6D">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PMI</w:t>
            </w:r>
          </w:p>
        </w:tc>
        <w:tc>
          <w:tcPr>
            <w:tcW w:w="6840" w:type="dxa"/>
            <w:tcBorders>
              <w:top w:val="nil"/>
              <w:left w:val="nil"/>
              <w:bottom w:val="nil"/>
              <w:right w:val="nil"/>
            </w:tcBorders>
            <w:tcMar>
              <w:top w:w="0" w:type="dxa"/>
              <w:left w:w="100" w:type="dxa"/>
              <w:bottom w:w="0" w:type="dxa"/>
              <w:right w:w="100" w:type="dxa"/>
            </w:tcMar>
          </w:tcPr>
          <w:p w14:paraId="0E95DF8F" w14:textId="77777777" w:rsidR="00A84E96" w:rsidRPr="000D5E6D" w:rsidRDefault="00A84E96" w:rsidP="000D5E6D">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Acknowledged residents’ complaints, including high costs, insufficient amenities, and poor maintenance, but emphasized ongoing efforts to improve.</w:t>
            </w:r>
          </w:p>
        </w:tc>
      </w:tr>
      <w:tr w:rsidR="00A84E96" w:rsidRPr="000D5E6D" w14:paraId="4F6B433B" w14:textId="77777777" w:rsidTr="00A84E96">
        <w:trPr>
          <w:trHeight w:val="570"/>
        </w:trPr>
        <w:tc>
          <w:tcPr>
            <w:tcW w:w="585" w:type="dxa"/>
            <w:tcBorders>
              <w:top w:val="nil"/>
              <w:left w:val="nil"/>
              <w:bottom w:val="nil"/>
              <w:right w:val="nil"/>
            </w:tcBorders>
            <w:tcMar>
              <w:top w:w="0" w:type="dxa"/>
              <w:left w:w="100" w:type="dxa"/>
              <w:bottom w:w="0" w:type="dxa"/>
              <w:right w:w="100" w:type="dxa"/>
            </w:tcMar>
          </w:tcPr>
          <w:p w14:paraId="030B6C03" w14:textId="77777777" w:rsidR="00A84E96" w:rsidRPr="000D5E6D" w:rsidRDefault="00A84E96" w:rsidP="000D5E6D">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2</w:t>
            </w:r>
          </w:p>
        </w:tc>
        <w:tc>
          <w:tcPr>
            <w:tcW w:w="1425" w:type="dxa"/>
            <w:tcBorders>
              <w:top w:val="nil"/>
              <w:left w:val="nil"/>
              <w:bottom w:val="nil"/>
              <w:right w:val="nil"/>
            </w:tcBorders>
            <w:tcMar>
              <w:top w:w="0" w:type="dxa"/>
              <w:left w:w="100" w:type="dxa"/>
              <w:bottom w:w="0" w:type="dxa"/>
              <w:right w:w="100" w:type="dxa"/>
            </w:tcMar>
          </w:tcPr>
          <w:p w14:paraId="683B6E8D" w14:textId="77777777" w:rsidR="00A84E96" w:rsidRPr="000D5E6D" w:rsidRDefault="00A84E96" w:rsidP="000D5E6D">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PPP</w:t>
            </w:r>
          </w:p>
        </w:tc>
        <w:tc>
          <w:tcPr>
            <w:tcW w:w="6840" w:type="dxa"/>
            <w:tcBorders>
              <w:top w:val="nil"/>
              <w:left w:val="nil"/>
              <w:bottom w:val="nil"/>
              <w:right w:val="nil"/>
            </w:tcBorders>
            <w:tcMar>
              <w:top w:w="0" w:type="dxa"/>
              <w:left w:w="100" w:type="dxa"/>
              <w:bottom w:w="0" w:type="dxa"/>
              <w:right w:w="100" w:type="dxa"/>
            </w:tcMar>
          </w:tcPr>
          <w:p w14:paraId="4B0D11A8" w14:textId="77777777" w:rsidR="00A84E96" w:rsidRPr="000D5E6D" w:rsidRDefault="00A84E96" w:rsidP="000D5E6D">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Agency acknowledged performance but noted need for better maintenance service delivery.</w:t>
            </w:r>
          </w:p>
        </w:tc>
      </w:tr>
      <w:tr w:rsidR="00A84E96" w:rsidRPr="000D5E6D" w14:paraId="3AE4D767" w14:textId="77777777" w:rsidTr="00A84E96">
        <w:trPr>
          <w:trHeight w:val="570"/>
        </w:trPr>
        <w:tc>
          <w:tcPr>
            <w:tcW w:w="585" w:type="dxa"/>
            <w:tcBorders>
              <w:top w:val="nil"/>
              <w:left w:val="nil"/>
              <w:bottom w:val="nil"/>
              <w:right w:val="nil"/>
            </w:tcBorders>
            <w:tcMar>
              <w:top w:w="0" w:type="dxa"/>
              <w:left w:w="100" w:type="dxa"/>
              <w:bottom w:w="0" w:type="dxa"/>
              <w:right w:w="100" w:type="dxa"/>
            </w:tcMar>
          </w:tcPr>
          <w:p w14:paraId="60FF092C" w14:textId="77777777" w:rsidR="00A84E96" w:rsidRPr="000D5E6D" w:rsidRDefault="00A84E96" w:rsidP="000D5E6D">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3</w:t>
            </w:r>
          </w:p>
        </w:tc>
        <w:tc>
          <w:tcPr>
            <w:tcW w:w="1425" w:type="dxa"/>
            <w:tcBorders>
              <w:top w:val="nil"/>
              <w:left w:val="nil"/>
              <w:bottom w:val="nil"/>
              <w:right w:val="nil"/>
            </w:tcBorders>
            <w:tcMar>
              <w:top w:w="0" w:type="dxa"/>
              <w:left w:w="100" w:type="dxa"/>
              <w:bottom w:w="0" w:type="dxa"/>
              <w:right w:w="100" w:type="dxa"/>
            </w:tcMar>
          </w:tcPr>
          <w:p w14:paraId="330FB58D" w14:textId="77777777" w:rsidR="00A84E96" w:rsidRPr="000D5E6D" w:rsidRDefault="00A84E96" w:rsidP="000D5E6D">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RHPDA</w:t>
            </w:r>
          </w:p>
        </w:tc>
        <w:tc>
          <w:tcPr>
            <w:tcW w:w="6840" w:type="dxa"/>
            <w:tcBorders>
              <w:top w:val="nil"/>
              <w:left w:val="nil"/>
              <w:bottom w:val="nil"/>
              <w:right w:val="nil"/>
            </w:tcBorders>
            <w:tcMar>
              <w:top w:w="0" w:type="dxa"/>
              <w:left w:w="100" w:type="dxa"/>
              <w:bottom w:w="0" w:type="dxa"/>
              <w:right w:w="100" w:type="dxa"/>
            </w:tcMar>
          </w:tcPr>
          <w:p w14:paraId="7CB4B085" w14:textId="77777777" w:rsidR="00A84E96" w:rsidRPr="000D5E6D" w:rsidRDefault="00A84E96" w:rsidP="000D5E6D">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Stated that complaints are addressed during management meetings but emphasized a bureaucratic process that may delay responses.</w:t>
            </w:r>
          </w:p>
        </w:tc>
      </w:tr>
      <w:tr w:rsidR="00A84E96" w:rsidRPr="000D5E6D" w14:paraId="602B4FF7" w14:textId="77777777" w:rsidTr="00A84E96">
        <w:trPr>
          <w:trHeight w:val="855"/>
        </w:trPr>
        <w:tc>
          <w:tcPr>
            <w:tcW w:w="585" w:type="dxa"/>
            <w:tcBorders>
              <w:top w:val="nil"/>
              <w:left w:val="nil"/>
              <w:bottom w:val="single" w:sz="8" w:space="0" w:color="7F7F7F"/>
              <w:right w:val="nil"/>
            </w:tcBorders>
            <w:tcMar>
              <w:top w:w="0" w:type="dxa"/>
              <w:left w:w="100" w:type="dxa"/>
              <w:bottom w:w="0" w:type="dxa"/>
              <w:right w:w="100" w:type="dxa"/>
            </w:tcMar>
          </w:tcPr>
          <w:p w14:paraId="41895C15" w14:textId="77777777" w:rsidR="00A84E96" w:rsidRDefault="00A84E96" w:rsidP="000D5E6D">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4</w:t>
            </w:r>
          </w:p>
          <w:p w14:paraId="78285245" w14:textId="77777777" w:rsidR="000D5E6D" w:rsidRPr="000D5E6D" w:rsidRDefault="000D5E6D" w:rsidP="000D5E6D">
            <w:pPr>
              <w:rPr>
                <w:rFonts w:ascii="Times New Roman" w:eastAsia="Times New Roman" w:hAnsi="Times New Roman" w:cs="Times New Roman"/>
                <w:sz w:val="20"/>
                <w:szCs w:val="20"/>
              </w:rPr>
            </w:pPr>
          </w:p>
        </w:tc>
        <w:tc>
          <w:tcPr>
            <w:tcW w:w="1425" w:type="dxa"/>
            <w:tcBorders>
              <w:top w:val="nil"/>
              <w:left w:val="nil"/>
              <w:bottom w:val="single" w:sz="8" w:space="0" w:color="7F7F7F"/>
              <w:right w:val="nil"/>
            </w:tcBorders>
            <w:tcMar>
              <w:top w:w="0" w:type="dxa"/>
              <w:left w:w="100" w:type="dxa"/>
              <w:bottom w:w="0" w:type="dxa"/>
              <w:right w:w="100" w:type="dxa"/>
            </w:tcMar>
          </w:tcPr>
          <w:p w14:paraId="3DE928B0" w14:textId="77777777" w:rsidR="00A84E96" w:rsidRPr="000D5E6D" w:rsidRDefault="00A84E96" w:rsidP="000D5E6D">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RSMUDPP</w:t>
            </w:r>
          </w:p>
        </w:tc>
        <w:tc>
          <w:tcPr>
            <w:tcW w:w="6840" w:type="dxa"/>
            <w:tcBorders>
              <w:top w:val="nil"/>
              <w:left w:val="nil"/>
              <w:bottom w:val="single" w:sz="8" w:space="0" w:color="7F7F7F"/>
              <w:right w:val="nil"/>
            </w:tcBorders>
            <w:tcMar>
              <w:top w:w="0" w:type="dxa"/>
              <w:left w:w="100" w:type="dxa"/>
              <w:bottom w:w="0" w:type="dxa"/>
              <w:right w:w="100" w:type="dxa"/>
            </w:tcMar>
          </w:tcPr>
          <w:p w14:paraId="34CAB916" w14:textId="77777777" w:rsidR="00A84E96" w:rsidRPr="000D5E6D" w:rsidRDefault="00A84E96" w:rsidP="000D5E6D">
            <w:pPr>
              <w:spacing w:after="0" w:line="240" w:lineRule="auto"/>
              <w:rPr>
                <w:rFonts w:ascii="Times New Roman" w:eastAsia="Times New Roman" w:hAnsi="Times New Roman" w:cs="Times New Roman"/>
                <w:sz w:val="20"/>
                <w:szCs w:val="20"/>
              </w:rPr>
            </w:pPr>
            <w:r w:rsidRPr="000D5E6D">
              <w:rPr>
                <w:rFonts w:ascii="Times New Roman" w:eastAsia="Times New Roman" w:hAnsi="Times New Roman" w:cs="Times New Roman"/>
                <w:sz w:val="20"/>
                <w:szCs w:val="20"/>
              </w:rPr>
              <w:t>Recognized that government provision alone cannot meet rising demand; acknowledged challenges in increasing social housing units.</w:t>
            </w:r>
          </w:p>
        </w:tc>
      </w:tr>
    </w:tbl>
    <w:p w14:paraId="78A7A1CD" w14:textId="77777777" w:rsidR="00A84E96" w:rsidRPr="00BE4AF3" w:rsidRDefault="00A84E96" w:rsidP="002370CA">
      <w:pPr>
        <w:pStyle w:val="Heading2"/>
        <w:spacing w:before="0" w:line="240" w:lineRule="auto"/>
        <w:jc w:val="both"/>
        <w:rPr>
          <w:rFonts w:ascii="Times New Roman" w:hAnsi="Times New Roman" w:cs="Times New Roman"/>
          <w:b w:val="0"/>
          <w:i/>
          <w:color w:val="auto"/>
          <w:sz w:val="24"/>
          <w:szCs w:val="24"/>
        </w:rPr>
      </w:pPr>
      <w:bookmarkStart w:id="29" w:name="_heading=h.5hxlr03oa0gi" w:colFirst="0" w:colLast="0"/>
      <w:bookmarkEnd w:id="29"/>
      <w:r w:rsidRPr="00BE4AF3">
        <w:rPr>
          <w:rFonts w:ascii="Times New Roman" w:hAnsi="Times New Roman" w:cs="Times New Roman"/>
          <w:b w:val="0"/>
          <w:i/>
          <w:color w:val="auto"/>
          <w:sz w:val="24"/>
          <w:szCs w:val="24"/>
        </w:rPr>
        <w:t>Source: Researcher’s Interview Session (2021)</w:t>
      </w:r>
    </w:p>
    <w:p w14:paraId="51F724F7" w14:textId="77777777" w:rsidR="00A84E96" w:rsidRPr="00BE4AF3" w:rsidRDefault="00A84E96" w:rsidP="002370CA">
      <w:pPr>
        <w:spacing w:after="0" w:line="240" w:lineRule="auto"/>
        <w:rPr>
          <w:rFonts w:ascii="Times New Roman" w:hAnsi="Times New Roman" w:cs="Times New Roman"/>
          <w:sz w:val="24"/>
          <w:szCs w:val="24"/>
        </w:rPr>
      </w:pPr>
    </w:p>
    <w:p w14:paraId="1151FC5D" w14:textId="77777777" w:rsidR="00A84E96" w:rsidRPr="00BE4AF3" w:rsidRDefault="00A84E96" w:rsidP="002370CA">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Table 5 highlights the institutional stakeholders' recognition of resident dissatisfaction with building attributes, focusing on issues such as high housing costs, inadequate amenities, and poor maintenance services. The Federal Mortgage Bank (PMI) acknowledged these concerns but pointed to ongoing improvements aimed at addressing them. The Public Private Partnership (PPP) office recognized the need for enhanced maintenance delivery despite generally satisfactory performance. The Rivers State Housing and Property Development Authority (RHPDA) reported that while resident complaints are considered in management meetings, bureaucratic delays often hinder timely responses. Meanwhile, the Rivers State Ministry of Urban Development and Physical Planning (RSMUDPP) stressed the limitations of relying solely on government provision, citing difficulties in meeting the growing demand for social housing. Collectively, these responses reflect institutional awareness of systemic challenges and suggest a need for improved efficiency, collaboration, and investment in housing service delivery.</w:t>
      </w:r>
    </w:p>
    <w:p w14:paraId="53B2B390" w14:textId="77777777" w:rsidR="000D5E6D" w:rsidRDefault="00A84E96" w:rsidP="002370CA">
      <w:pPr>
        <w:pStyle w:val="Heading2"/>
        <w:spacing w:before="0" w:line="240" w:lineRule="auto"/>
        <w:jc w:val="both"/>
        <w:rPr>
          <w:rFonts w:ascii="Times New Roman" w:hAnsi="Times New Roman" w:cs="Times New Roman"/>
          <w:color w:val="auto"/>
          <w:sz w:val="24"/>
          <w:szCs w:val="24"/>
        </w:rPr>
      </w:pPr>
      <w:bookmarkStart w:id="30" w:name="_heading=h.y9wt8hpimqd0" w:colFirst="0" w:colLast="0"/>
      <w:bookmarkStart w:id="31" w:name="_heading=h.eutcxi68d72v" w:colFirst="0" w:colLast="0"/>
      <w:bookmarkEnd w:id="30"/>
      <w:bookmarkEnd w:id="31"/>
      <w:r w:rsidRPr="00BE4AF3">
        <w:rPr>
          <w:rFonts w:ascii="Times New Roman" w:hAnsi="Times New Roman" w:cs="Times New Roman"/>
          <w:color w:val="auto"/>
          <w:sz w:val="24"/>
          <w:szCs w:val="24"/>
        </w:rPr>
        <w:t xml:space="preserve"> </w:t>
      </w:r>
    </w:p>
    <w:p w14:paraId="114B2D17" w14:textId="4D9E79C7" w:rsidR="00A84E96" w:rsidRPr="00BE4AF3" w:rsidRDefault="00A84E96" w:rsidP="000D5E6D">
      <w:pPr>
        <w:pStyle w:val="Heading2"/>
        <w:spacing w:before="0" w:line="240" w:lineRule="auto"/>
        <w:jc w:val="both"/>
        <w:rPr>
          <w:rFonts w:ascii="Times New Roman" w:hAnsi="Times New Roman" w:cs="Times New Roman"/>
          <w:color w:val="auto"/>
          <w:sz w:val="24"/>
          <w:szCs w:val="24"/>
        </w:rPr>
      </w:pPr>
      <w:r w:rsidRPr="00BE4AF3">
        <w:rPr>
          <w:rFonts w:ascii="Times New Roman" w:hAnsi="Times New Roman" w:cs="Times New Roman"/>
          <w:color w:val="auto"/>
          <w:sz w:val="24"/>
          <w:szCs w:val="24"/>
        </w:rPr>
        <w:t>Conclusion</w:t>
      </w:r>
    </w:p>
    <w:p w14:paraId="0C0D92C4" w14:textId="77777777" w:rsidR="00A84E96" w:rsidRPr="00BE4AF3" w:rsidRDefault="00A84E96" w:rsidP="000D5E6D">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The findings of this study extend beyond a mere assessment of housing satisfaction in Port Harcourt's public housing schemes. They offer critical insights that resonate across the fields of architecture, urban planning, sociology, and public policy. Broadly, this research underscores the intricate interplay between the physical design of housing, the characteristics of the residential environment, and the socio-demographic profiles of residents in shaping overall well-being and satisfaction. It highlights that housing is not simply shelter but a complex socio-spatial </w:t>
      </w:r>
      <w:r w:rsidRPr="00BE4AF3">
        <w:rPr>
          <w:rFonts w:ascii="Times New Roman" w:eastAsia="Times New Roman" w:hAnsi="Times New Roman" w:cs="Times New Roman"/>
          <w:sz w:val="24"/>
          <w:szCs w:val="24"/>
        </w:rPr>
        <w:lastRenderedPageBreak/>
        <w:t>phenomenon where individual needs and societal factors converge. This understanding is crucial for fostering sustainable and equitable urban development, not only in Nigeria but in similar contexts globally where public housing aims to address the needs of diverse populations.</w:t>
      </w:r>
    </w:p>
    <w:p w14:paraId="27744297" w14:textId="322B5932" w:rsidR="000D5E6D" w:rsidRDefault="00A84E96" w:rsidP="000D5E6D">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Specifically, this study makes several key contributions. Firstly, it empirically demonstrates the significant influence of specific socio-demographic variables – marital status, age, income, and household size – on housing satisfaction within the Nigerian context. This nuanced understanding challenges generalized approaches to public housing provision and calls for more targeted strategies that consider the diverse needs of different demographic groups. For instance, the finding that larger households report lower satisfaction underscores the need for adequate space planning in public housing designs. Secondly, the research quantifies the substantial impact of the residential environment's attributes, such as safety and accessibility, on residents' satisfaction, even more so than individual building attributes. This emphasizes the critical role of urban planning and infrastructure development in creating livable and satisfying public housing communities. Thirdly, by integrating qualitative data from residents and institutional stakeholders, the study provides a rich, contextual understanding of the challenges related to building quality, maintenance, and policy implementation. The identified discrepancies between residents' experiences and institutional perspectives highlight critical areas for policy reform and improved service delivery. Finally, the study's methodological rigor, employing a mixed-methods approach and incorporating simulation data, offers a robust framework for future research in housing satisfaction and architectural performance evaluation in similar urban contexts. This approach provides a more holistic and validated understanding of the factors influencing residential well-being, contributing to a more evidence-based approach to public housing design and policy.</w:t>
      </w:r>
      <w:bookmarkStart w:id="32" w:name="_heading=h.c71n9x7b6vre" w:colFirst="0" w:colLast="0"/>
      <w:bookmarkEnd w:id="32"/>
    </w:p>
    <w:p w14:paraId="42F6C8C2" w14:textId="77777777" w:rsidR="000D5E6D" w:rsidRPr="000D5E6D" w:rsidRDefault="000D5E6D" w:rsidP="000D5E6D">
      <w:pPr>
        <w:spacing w:after="0" w:line="240" w:lineRule="auto"/>
        <w:jc w:val="both"/>
        <w:rPr>
          <w:rFonts w:ascii="Times New Roman" w:eastAsia="Times New Roman" w:hAnsi="Times New Roman" w:cs="Times New Roman"/>
          <w:sz w:val="24"/>
          <w:szCs w:val="24"/>
        </w:rPr>
      </w:pPr>
    </w:p>
    <w:p w14:paraId="22256A08" w14:textId="04E02EE9" w:rsidR="00A84E96" w:rsidRPr="00BE4AF3" w:rsidRDefault="00A84E96" w:rsidP="000D5E6D">
      <w:pPr>
        <w:spacing w:after="0" w:line="240" w:lineRule="auto"/>
        <w:jc w:val="both"/>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Reference</w:t>
      </w:r>
    </w:p>
    <w:p w14:paraId="106173C6" w14:textId="77777777" w:rsidR="00A84E96" w:rsidRPr="00BE4AF3" w:rsidRDefault="00A84E96" w:rsidP="000D5E6D">
      <w:pPr>
        <w:spacing w:after="0" w:line="240" w:lineRule="auto"/>
        <w:ind w:left="720" w:hanging="72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Ibem, E. O., Opoko, P. A., &amp; Aduwo, E. B. (2015). Satisfaction with neighbourhood environments in public housing: Evidence from Ogun State, Nigeria. </w:t>
      </w:r>
      <w:r w:rsidRPr="00BE4AF3">
        <w:rPr>
          <w:rFonts w:ascii="Times New Roman" w:eastAsia="Times New Roman" w:hAnsi="Times New Roman" w:cs="Times New Roman"/>
          <w:i/>
          <w:sz w:val="24"/>
          <w:szCs w:val="24"/>
        </w:rPr>
        <w:t>Social Indicators Research, 122</w:t>
      </w:r>
      <w:r w:rsidRPr="00BE4AF3">
        <w:rPr>
          <w:rFonts w:ascii="Times New Roman" w:eastAsia="Times New Roman" w:hAnsi="Times New Roman" w:cs="Times New Roman"/>
          <w:sz w:val="24"/>
          <w:szCs w:val="24"/>
        </w:rPr>
        <w:t xml:space="preserve">(1), 227-250. </w:t>
      </w:r>
      <w:hyperlink r:id="rId47">
        <w:r w:rsidRPr="00BE4AF3">
          <w:rPr>
            <w:rFonts w:ascii="Times New Roman" w:eastAsia="Times New Roman" w:hAnsi="Times New Roman" w:cs="Times New Roman"/>
            <w:color w:val="1155CC"/>
            <w:sz w:val="24"/>
            <w:szCs w:val="24"/>
            <w:u w:val="single"/>
          </w:rPr>
          <w:t>https://doi.org/10.1007/s11205-015-1188-y</w:t>
        </w:r>
      </w:hyperlink>
    </w:p>
    <w:p w14:paraId="05A3359F" w14:textId="77777777" w:rsidR="00A84E96" w:rsidRPr="00BE4AF3" w:rsidRDefault="00A84E96" w:rsidP="000D5E6D">
      <w:pPr>
        <w:spacing w:after="0" w:line="240" w:lineRule="auto"/>
        <w:ind w:left="720" w:hanging="72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Dimuna, K. O., &amp; Olotuah, A. O. (2019). A critical appraisal of residents' level of satisfaction with architectural designs in public housing estates in Benin City, Nigeria. </w:t>
      </w:r>
      <w:r w:rsidRPr="00BE4AF3">
        <w:rPr>
          <w:rFonts w:ascii="Times New Roman" w:eastAsia="Times New Roman" w:hAnsi="Times New Roman" w:cs="Times New Roman"/>
          <w:i/>
          <w:sz w:val="24"/>
          <w:szCs w:val="24"/>
        </w:rPr>
        <w:t>Academic Journal of Interdisciplinary Studies, 8</w:t>
      </w:r>
      <w:r w:rsidRPr="00BE4AF3">
        <w:rPr>
          <w:rFonts w:ascii="Times New Roman" w:eastAsia="Times New Roman" w:hAnsi="Times New Roman" w:cs="Times New Roman"/>
          <w:sz w:val="24"/>
          <w:szCs w:val="24"/>
        </w:rPr>
        <w:t xml:space="preserve">(3), 15-24. </w:t>
      </w:r>
      <w:hyperlink r:id="rId48">
        <w:r w:rsidRPr="00BE4AF3">
          <w:rPr>
            <w:rFonts w:ascii="Times New Roman" w:eastAsia="Times New Roman" w:hAnsi="Times New Roman" w:cs="Times New Roman"/>
            <w:color w:val="1155CC"/>
            <w:sz w:val="24"/>
            <w:szCs w:val="24"/>
            <w:u w:val="single"/>
          </w:rPr>
          <w:t>https://doi.org/10.36941/ajis-2020-0047</w:t>
        </w:r>
      </w:hyperlink>
    </w:p>
    <w:p w14:paraId="614CBB33" w14:textId="77777777" w:rsidR="00A84E96" w:rsidRPr="00BE4AF3" w:rsidRDefault="00A84E96" w:rsidP="000D5E6D">
      <w:pPr>
        <w:spacing w:after="0" w:line="240" w:lineRule="auto"/>
        <w:ind w:left="720" w:hanging="72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Jiburum, U., Nwachukwu, M. U., Mba, H. C., Okonkwo, C. N., &amp; Okeke, D. C. (2021). Determinants of public housing affordability for large income diversity groups in a new-town capital city: A case study of Abuja, Nigeria. </w:t>
      </w:r>
      <w:r w:rsidRPr="00BE4AF3">
        <w:rPr>
          <w:rFonts w:ascii="Times New Roman" w:eastAsia="Times New Roman" w:hAnsi="Times New Roman" w:cs="Times New Roman"/>
          <w:i/>
          <w:sz w:val="24"/>
          <w:szCs w:val="24"/>
        </w:rPr>
        <w:t>SAGE Open, 11</w:t>
      </w:r>
      <w:r w:rsidRPr="00BE4AF3">
        <w:rPr>
          <w:rFonts w:ascii="Times New Roman" w:eastAsia="Times New Roman" w:hAnsi="Times New Roman" w:cs="Times New Roman"/>
          <w:sz w:val="24"/>
          <w:szCs w:val="24"/>
        </w:rPr>
        <w:t xml:space="preserve">(3). </w:t>
      </w:r>
      <w:hyperlink r:id="rId49">
        <w:r w:rsidRPr="00BE4AF3">
          <w:rPr>
            <w:rFonts w:ascii="Times New Roman" w:eastAsia="Times New Roman" w:hAnsi="Times New Roman" w:cs="Times New Roman"/>
            <w:color w:val="1155CC"/>
            <w:sz w:val="24"/>
            <w:szCs w:val="24"/>
            <w:u w:val="single"/>
          </w:rPr>
          <w:t>https://doi.org/10.1177/21582440211045079</w:t>
        </w:r>
      </w:hyperlink>
    </w:p>
    <w:p w14:paraId="57B67455" w14:textId="77777777" w:rsidR="00A84E96" w:rsidRPr="00BE4AF3" w:rsidRDefault="00A84E96" w:rsidP="000D5E6D">
      <w:pPr>
        <w:spacing w:after="0" w:line="240" w:lineRule="auto"/>
        <w:ind w:left="720" w:hanging="72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Grimes, A., Smith, C., &amp; O’Sullivan, K. (2024). Housing tenure and subjective wellbeing: The importance of public housing. </w:t>
      </w:r>
      <w:r w:rsidRPr="00BE4AF3">
        <w:rPr>
          <w:rFonts w:ascii="Times New Roman" w:eastAsia="Times New Roman" w:hAnsi="Times New Roman" w:cs="Times New Roman"/>
          <w:i/>
          <w:sz w:val="24"/>
          <w:szCs w:val="24"/>
        </w:rPr>
        <w:t>Applied Research in Quality of Life</w:t>
      </w:r>
      <w:r w:rsidRPr="00BE4AF3">
        <w:rPr>
          <w:rFonts w:ascii="Times New Roman" w:eastAsia="Times New Roman" w:hAnsi="Times New Roman" w:cs="Times New Roman"/>
          <w:sz w:val="24"/>
          <w:szCs w:val="24"/>
        </w:rPr>
        <w:t>. https://doi.org/10.1007/s11482-024-10369-y</w:t>
      </w:r>
    </w:p>
    <w:p w14:paraId="0D99D4CC" w14:textId="77777777" w:rsidR="00A84E96" w:rsidRPr="00BE4AF3" w:rsidRDefault="00A84E96" w:rsidP="000D5E6D">
      <w:pPr>
        <w:spacing w:after="0" w:line="240" w:lineRule="auto"/>
        <w:ind w:left="720" w:hanging="72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Ajom, S. K., Mfon, I. E., Moses, N. E., &amp; Eteng, S. U. (2022). Residential housing satisfaction in public housing estates in Calabar, Cross River State, Nigeria. </w:t>
      </w:r>
      <w:r w:rsidRPr="00BE4AF3">
        <w:rPr>
          <w:rFonts w:ascii="Times New Roman" w:eastAsia="Times New Roman" w:hAnsi="Times New Roman" w:cs="Times New Roman"/>
          <w:i/>
          <w:sz w:val="24"/>
          <w:szCs w:val="24"/>
        </w:rPr>
        <w:t>Journal of Social Sciences and Management Studies</w:t>
      </w:r>
      <w:r w:rsidRPr="00BE4AF3">
        <w:rPr>
          <w:rFonts w:ascii="Times New Roman" w:eastAsia="Times New Roman" w:hAnsi="Times New Roman" w:cs="Times New Roman"/>
          <w:sz w:val="24"/>
          <w:szCs w:val="24"/>
        </w:rPr>
        <w:t>, 1(2), 63–68.</w:t>
      </w:r>
      <w:hyperlink r:id="rId50">
        <w:r w:rsidRPr="00BE4AF3">
          <w:rPr>
            <w:rFonts w:ascii="Times New Roman" w:eastAsia="Times New Roman" w:hAnsi="Times New Roman" w:cs="Times New Roman"/>
            <w:sz w:val="24"/>
            <w:szCs w:val="24"/>
          </w:rPr>
          <w:t xml:space="preserve"> </w:t>
        </w:r>
      </w:hyperlink>
      <w:hyperlink r:id="rId51">
        <w:r w:rsidRPr="00BE4AF3">
          <w:rPr>
            <w:rFonts w:ascii="Times New Roman" w:eastAsia="Times New Roman" w:hAnsi="Times New Roman" w:cs="Times New Roman"/>
            <w:color w:val="1155CC"/>
            <w:sz w:val="24"/>
            <w:szCs w:val="24"/>
            <w:u w:val="single"/>
          </w:rPr>
          <w:t>https://doi.org/10.56556/jssms.v1i2.139​</w:t>
        </w:r>
      </w:hyperlink>
    </w:p>
    <w:p w14:paraId="61854982" w14:textId="77777777" w:rsidR="00A84E96" w:rsidRPr="00BE4AF3" w:rsidRDefault="00A84E96" w:rsidP="00A84E96">
      <w:pPr>
        <w:pStyle w:val="ListParagraph"/>
        <w:spacing w:line="240" w:lineRule="auto"/>
        <w:ind w:left="0"/>
        <w:jc w:val="both"/>
        <w:rPr>
          <w:rFonts w:ascii="Times New Roman" w:hAnsi="Times New Roman"/>
          <w:b/>
          <w:sz w:val="24"/>
          <w:szCs w:val="24"/>
          <w:lang w:val="en-US"/>
        </w:rPr>
      </w:pPr>
    </w:p>
    <w:p w14:paraId="5161F14B" w14:textId="77777777" w:rsidR="00A84E96" w:rsidRPr="00BE4AF3" w:rsidRDefault="00A84E96" w:rsidP="00A84E96">
      <w:pPr>
        <w:pStyle w:val="ListParagraph"/>
        <w:spacing w:line="240" w:lineRule="auto"/>
        <w:ind w:left="0"/>
        <w:jc w:val="both"/>
        <w:rPr>
          <w:rFonts w:ascii="Times New Roman" w:hAnsi="Times New Roman"/>
          <w:b/>
          <w:sz w:val="24"/>
          <w:szCs w:val="24"/>
          <w:lang w:val="en-US"/>
        </w:rPr>
      </w:pPr>
    </w:p>
    <w:p w14:paraId="3572A7C2" w14:textId="77777777" w:rsidR="00A84E96" w:rsidRPr="00BE4AF3" w:rsidRDefault="00A84E96" w:rsidP="00A84E96">
      <w:pPr>
        <w:pStyle w:val="ListParagraph"/>
        <w:spacing w:line="240" w:lineRule="auto"/>
        <w:ind w:left="0"/>
        <w:jc w:val="both"/>
        <w:rPr>
          <w:rFonts w:ascii="Times New Roman" w:hAnsi="Times New Roman"/>
          <w:b/>
          <w:sz w:val="24"/>
          <w:szCs w:val="24"/>
          <w:lang w:val="en-US"/>
        </w:rPr>
      </w:pPr>
    </w:p>
    <w:p w14:paraId="0A9A8B55" w14:textId="77777777" w:rsidR="00A84E96" w:rsidRPr="00BE4AF3" w:rsidRDefault="00A84E96" w:rsidP="00A84E96">
      <w:pPr>
        <w:pStyle w:val="ListParagraph"/>
        <w:spacing w:line="240" w:lineRule="auto"/>
        <w:ind w:left="0"/>
        <w:jc w:val="both"/>
        <w:rPr>
          <w:rFonts w:ascii="Times New Roman" w:hAnsi="Times New Roman"/>
          <w:b/>
          <w:sz w:val="24"/>
          <w:szCs w:val="24"/>
          <w:lang w:val="en-US"/>
        </w:rPr>
      </w:pPr>
    </w:p>
    <w:p w14:paraId="7D1D93C6" w14:textId="77777777" w:rsidR="00A84E96" w:rsidRPr="00BE4AF3" w:rsidRDefault="00A84E96" w:rsidP="00A84E96">
      <w:pPr>
        <w:spacing w:before="100" w:beforeAutospacing="1" w:after="100" w:afterAutospacing="1" w:line="240" w:lineRule="auto"/>
        <w:rPr>
          <w:rFonts w:ascii="Times New Roman" w:eastAsia="Times New Roman" w:hAnsi="Times New Roman" w:cs="Times New Roman"/>
          <w:sz w:val="24"/>
          <w:szCs w:val="24"/>
          <w:lang w:eastAsia="en-GB"/>
        </w:rPr>
      </w:pPr>
    </w:p>
    <w:p w14:paraId="72BAFC93" w14:textId="77777777" w:rsidR="001B6CC4" w:rsidRPr="00602FDE" w:rsidRDefault="001B6CC4" w:rsidP="00E90BB6">
      <w:pPr>
        <w:adjustRightInd w:val="0"/>
        <w:spacing w:after="0" w:line="240" w:lineRule="auto"/>
        <w:jc w:val="center"/>
        <w:rPr>
          <w:rFonts w:ascii="Times New Roman" w:hAnsi="Times New Roman" w:cs="Times New Roman"/>
          <w:b/>
          <w:sz w:val="28"/>
          <w:szCs w:val="28"/>
        </w:rPr>
      </w:pPr>
      <w:r w:rsidRPr="00602FDE">
        <w:rPr>
          <w:rFonts w:ascii="Times New Roman" w:hAnsi="Times New Roman" w:cs="Times New Roman"/>
          <w:b/>
          <w:sz w:val="28"/>
          <w:szCs w:val="28"/>
        </w:rPr>
        <w:lastRenderedPageBreak/>
        <w:t>Factors Predicting the Adoption of Prefabrication Construction in Oyo State, Nigeria</w:t>
      </w:r>
    </w:p>
    <w:p w14:paraId="0A78981B" w14:textId="77777777" w:rsidR="00E90BB6" w:rsidRPr="00BE4AF3" w:rsidRDefault="00E90BB6" w:rsidP="00E90BB6">
      <w:pPr>
        <w:adjustRightInd w:val="0"/>
        <w:spacing w:after="0" w:line="240" w:lineRule="auto"/>
        <w:jc w:val="center"/>
        <w:rPr>
          <w:rFonts w:ascii="Times New Roman" w:hAnsi="Times New Roman" w:cs="Times New Roman"/>
          <w:sz w:val="24"/>
          <w:szCs w:val="24"/>
        </w:rPr>
      </w:pPr>
    </w:p>
    <w:p w14:paraId="4F6FEB4C" w14:textId="77777777" w:rsidR="001B6CC4" w:rsidRPr="00BE4AF3" w:rsidRDefault="001B6CC4" w:rsidP="00E90BB6">
      <w:pPr>
        <w:autoSpaceDE w:val="0"/>
        <w:autoSpaceDN w:val="0"/>
        <w:adjustRightInd w:val="0"/>
        <w:spacing w:after="0" w:line="240" w:lineRule="auto"/>
        <w:jc w:val="center"/>
        <w:rPr>
          <w:rFonts w:ascii="Times New Roman" w:hAnsi="Times New Roman" w:cs="Times New Roman"/>
          <w:sz w:val="24"/>
          <w:szCs w:val="24"/>
        </w:rPr>
      </w:pPr>
      <w:r w:rsidRPr="00BE4AF3">
        <w:rPr>
          <w:rFonts w:ascii="Times New Roman" w:hAnsi="Times New Roman" w:cs="Times New Roman"/>
          <w:sz w:val="24"/>
          <w:szCs w:val="24"/>
          <w:vertAlign w:val="superscript"/>
        </w:rPr>
        <w:t>1</w:t>
      </w:r>
      <w:r w:rsidRPr="00BE4AF3">
        <w:rPr>
          <w:rFonts w:ascii="Times New Roman" w:hAnsi="Times New Roman" w:cs="Times New Roman"/>
          <w:sz w:val="24"/>
          <w:szCs w:val="24"/>
        </w:rPr>
        <w:t xml:space="preserve">Akanbi A. O. and </w:t>
      </w:r>
      <w:r w:rsidRPr="00BE4AF3">
        <w:rPr>
          <w:rFonts w:ascii="Times New Roman" w:hAnsi="Times New Roman" w:cs="Times New Roman"/>
          <w:sz w:val="24"/>
          <w:szCs w:val="24"/>
          <w:vertAlign w:val="superscript"/>
        </w:rPr>
        <w:t>2</w:t>
      </w:r>
      <w:r w:rsidRPr="00BE4AF3">
        <w:rPr>
          <w:rFonts w:ascii="Times New Roman" w:hAnsi="Times New Roman" w:cs="Times New Roman"/>
          <w:sz w:val="24"/>
          <w:szCs w:val="24"/>
        </w:rPr>
        <w:t>Ojuolape A.O.</w:t>
      </w:r>
    </w:p>
    <w:p w14:paraId="13A291E3" w14:textId="77777777" w:rsidR="00E90BB6" w:rsidRPr="00BE4AF3" w:rsidRDefault="00E90BB6" w:rsidP="00E90BB6">
      <w:pPr>
        <w:autoSpaceDE w:val="0"/>
        <w:autoSpaceDN w:val="0"/>
        <w:adjustRightInd w:val="0"/>
        <w:spacing w:after="0" w:line="240" w:lineRule="auto"/>
        <w:jc w:val="center"/>
        <w:rPr>
          <w:rFonts w:ascii="Times New Roman" w:hAnsi="Times New Roman" w:cs="Times New Roman"/>
          <w:sz w:val="24"/>
          <w:szCs w:val="24"/>
        </w:rPr>
      </w:pPr>
    </w:p>
    <w:p w14:paraId="5EC36BAF" w14:textId="77777777" w:rsidR="001B6CC4" w:rsidRPr="00602FDE" w:rsidRDefault="001B6CC4" w:rsidP="00E90BB6">
      <w:pPr>
        <w:autoSpaceDE w:val="0"/>
        <w:autoSpaceDN w:val="0"/>
        <w:adjustRightInd w:val="0"/>
        <w:spacing w:after="0" w:line="240" w:lineRule="auto"/>
        <w:jc w:val="center"/>
        <w:rPr>
          <w:rFonts w:ascii="Times New Roman" w:hAnsi="Times New Roman" w:cs="Times New Roman"/>
          <w:sz w:val="20"/>
          <w:szCs w:val="20"/>
        </w:rPr>
      </w:pPr>
      <w:r w:rsidRPr="00602FDE">
        <w:rPr>
          <w:rFonts w:ascii="Times New Roman" w:hAnsi="Times New Roman" w:cs="Times New Roman"/>
          <w:sz w:val="20"/>
          <w:szCs w:val="20"/>
          <w:vertAlign w:val="superscript"/>
        </w:rPr>
        <w:t>1</w:t>
      </w:r>
      <w:r w:rsidRPr="00602FDE">
        <w:rPr>
          <w:rFonts w:ascii="Times New Roman" w:hAnsi="Times New Roman" w:cs="Times New Roman"/>
          <w:sz w:val="20"/>
          <w:szCs w:val="20"/>
        </w:rPr>
        <w:t>Department of Architecture, Lead City University, Ibadan, Oyo State, Nigeria</w:t>
      </w:r>
    </w:p>
    <w:p w14:paraId="0A06F796" w14:textId="77777777" w:rsidR="001B6CC4" w:rsidRPr="00602FDE" w:rsidRDefault="001B6CC4" w:rsidP="00E90BB6">
      <w:pPr>
        <w:autoSpaceDE w:val="0"/>
        <w:autoSpaceDN w:val="0"/>
        <w:adjustRightInd w:val="0"/>
        <w:spacing w:after="0" w:line="240" w:lineRule="auto"/>
        <w:jc w:val="center"/>
        <w:rPr>
          <w:rFonts w:ascii="Times New Roman" w:hAnsi="Times New Roman" w:cs="Times New Roman"/>
          <w:sz w:val="20"/>
          <w:szCs w:val="20"/>
        </w:rPr>
      </w:pPr>
      <w:r w:rsidRPr="00602FDE">
        <w:rPr>
          <w:rFonts w:ascii="Times New Roman" w:hAnsi="Times New Roman" w:cs="Times New Roman"/>
          <w:sz w:val="20"/>
          <w:szCs w:val="20"/>
          <w:vertAlign w:val="superscript"/>
        </w:rPr>
        <w:t>2</w:t>
      </w:r>
      <w:r w:rsidRPr="00602FDE">
        <w:rPr>
          <w:rFonts w:ascii="Times New Roman" w:hAnsi="Times New Roman" w:cs="Times New Roman"/>
          <w:sz w:val="20"/>
          <w:szCs w:val="20"/>
        </w:rPr>
        <w:t>Department of Architectural Technology. The Polytechnic, Ibadan, Oyo State, Nigeria</w:t>
      </w:r>
    </w:p>
    <w:p w14:paraId="4854F542" w14:textId="77777777" w:rsidR="00E90BB6" w:rsidRPr="00602FDE" w:rsidRDefault="00E90BB6" w:rsidP="00E90BB6">
      <w:pPr>
        <w:autoSpaceDE w:val="0"/>
        <w:autoSpaceDN w:val="0"/>
        <w:adjustRightInd w:val="0"/>
        <w:spacing w:after="0" w:line="240" w:lineRule="auto"/>
        <w:jc w:val="center"/>
        <w:rPr>
          <w:rFonts w:ascii="Times New Roman" w:hAnsi="Times New Roman" w:cs="Times New Roman"/>
          <w:sz w:val="20"/>
          <w:szCs w:val="20"/>
        </w:rPr>
      </w:pPr>
    </w:p>
    <w:p w14:paraId="7E51AE8D" w14:textId="77777777" w:rsidR="001B6CC4" w:rsidRPr="00602FDE" w:rsidRDefault="001B6CC4" w:rsidP="00E90BB6">
      <w:pPr>
        <w:spacing w:after="0" w:line="240" w:lineRule="auto"/>
        <w:ind w:right="1"/>
        <w:jc w:val="center"/>
        <w:rPr>
          <w:rFonts w:ascii="Times New Roman" w:hAnsi="Times New Roman" w:cs="Times New Roman"/>
          <w:sz w:val="20"/>
          <w:szCs w:val="20"/>
        </w:rPr>
      </w:pPr>
      <w:hyperlink r:id="rId52" w:history="1">
        <w:r w:rsidRPr="00602FDE">
          <w:rPr>
            <w:rStyle w:val="Hyperlink"/>
            <w:rFonts w:ascii="Times New Roman" w:hAnsi="Times New Roman" w:cs="Times New Roman"/>
            <w:color w:val="auto"/>
            <w:sz w:val="20"/>
            <w:szCs w:val="20"/>
            <w:u w:val="none"/>
          </w:rPr>
          <w:t xml:space="preserve"> Corresponding</w:t>
        </w:r>
        <w:r w:rsidRPr="00602FDE">
          <w:rPr>
            <w:rStyle w:val="Hyperlink"/>
            <w:rFonts w:ascii="Times New Roman" w:hAnsi="Times New Roman" w:cs="Times New Roman"/>
            <w:color w:val="auto"/>
            <w:sz w:val="20"/>
            <w:szCs w:val="20"/>
            <w:u w:val="none"/>
            <w:vertAlign w:val="superscript"/>
          </w:rPr>
          <w:t xml:space="preserve"> </w:t>
        </w:r>
        <w:r w:rsidRPr="00602FDE">
          <w:rPr>
            <w:rStyle w:val="Hyperlink"/>
            <w:rFonts w:ascii="Times New Roman" w:hAnsi="Times New Roman" w:cs="Times New Roman"/>
            <w:color w:val="auto"/>
            <w:sz w:val="20"/>
            <w:szCs w:val="20"/>
            <w:u w:val="none"/>
          </w:rPr>
          <w:t xml:space="preserve">Author </w:t>
        </w:r>
        <w:r w:rsidRPr="00602FDE">
          <w:rPr>
            <w:rStyle w:val="Hyperlink"/>
            <w:rFonts w:ascii="Times New Roman" w:hAnsi="Times New Roman" w:cs="Times New Roman"/>
            <w:bCs/>
            <w:color w:val="auto"/>
            <w:sz w:val="20"/>
            <w:szCs w:val="20"/>
            <w:u w:val="none"/>
          </w:rPr>
          <w:t xml:space="preserve">E-mail: </w:t>
        </w:r>
        <w:r w:rsidRPr="00602FDE">
          <w:rPr>
            <w:rStyle w:val="Hyperlink"/>
            <w:rFonts w:ascii="Times New Roman" w:hAnsi="Times New Roman" w:cs="Times New Roman"/>
            <w:color w:val="auto"/>
            <w:sz w:val="20"/>
            <w:szCs w:val="20"/>
            <w:u w:val="none"/>
          </w:rPr>
          <w:t>akeemakanbi91@gmail.com</w:t>
        </w:r>
      </w:hyperlink>
      <w:r w:rsidRPr="00602FDE">
        <w:rPr>
          <w:rFonts w:ascii="Times New Roman" w:hAnsi="Times New Roman" w:cs="Times New Roman"/>
          <w:sz w:val="20"/>
          <w:szCs w:val="20"/>
        </w:rPr>
        <w:t>.</w:t>
      </w:r>
    </w:p>
    <w:p w14:paraId="1EA265AA" w14:textId="77777777" w:rsidR="00E90BB6" w:rsidRPr="00BE4AF3" w:rsidRDefault="00E90BB6" w:rsidP="00E90BB6">
      <w:pPr>
        <w:autoSpaceDE w:val="0"/>
        <w:autoSpaceDN w:val="0"/>
        <w:adjustRightInd w:val="0"/>
        <w:spacing w:after="0" w:line="240" w:lineRule="auto"/>
        <w:jc w:val="both"/>
        <w:rPr>
          <w:rFonts w:ascii="Times New Roman" w:hAnsi="Times New Roman" w:cs="Times New Roman"/>
          <w:b/>
          <w:sz w:val="24"/>
          <w:szCs w:val="24"/>
        </w:rPr>
      </w:pPr>
    </w:p>
    <w:p w14:paraId="5722E9C5" w14:textId="77777777" w:rsidR="001B6CC4" w:rsidRPr="00BE4AF3" w:rsidRDefault="001B6CC4" w:rsidP="00E90BB6">
      <w:pPr>
        <w:autoSpaceDE w:val="0"/>
        <w:autoSpaceDN w:val="0"/>
        <w:adjustRightInd w:val="0"/>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LICFES 2025-043 – FP4</w:t>
      </w:r>
    </w:p>
    <w:p w14:paraId="716F218D" w14:textId="77777777" w:rsidR="001B6CC4" w:rsidRPr="00BE4AF3" w:rsidRDefault="001B6CC4" w:rsidP="00E90BB6">
      <w:pPr>
        <w:autoSpaceDE w:val="0"/>
        <w:autoSpaceDN w:val="0"/>
        <w:adjustRightInd w:val="0"/>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Abstract</w:t>
      </w:r>
    </w:p>
    <w:p w14:paraId="4F670925" w14:textId="77777777" w:rsidR="001B6CC4" w:rsidRPr="00BE4AF3" w:rsidRDefault="001B6CC4" w:rsidP="00E90BB6">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main aim of this study is to identify the factors that predict the adoption or ineffective usage of prefabrication construction in building construction industry. The study identified 26(twenty -six) factors that predict the adoption of prefabrication construction by professionals in the built environment in Oyo state through a comprehensive review of relevant literatures and experts opinions. The decision to choose one building technique over another is dependent on a variety of composite considerations. These factors were identified and grouped into policy factor, cost factor, market factor, management factor, and technical factor. </w:t>
      </w:r>
      <w:r w:rsidRPr="00BE4AF3">
        <w:rPr>
          <w:rFonts w:ascii="Times New Roman" w:hAnsi="Times New Roman" w:cs="Times New Roman"/>
          <w:bCs/>
          <w:iCs/>
          <w:sz w:val="24"/>
          <w:szCs w:val="24"/>
        </w:rPr>
        <w:t>The study employed a survey research where a structured questionnaire was developed.</w:t>
      </w:r>
      <w:r w:rsidRPr="00BE4AF3">
        <w:rPr>
          <w:rFonts w:ascii="Times New Roman" w:hAnsi="Times New Roman" w:cs="Times New Roman"/>
          <w:iCs/>
          <w:sz w:val="24"/>
          <w:szCs w:val="24"/>
        </w:rPr>
        <w:t xml:space="preserve"> A total number of 123participants were randomly drawn from architects, builders, engineers and quantity surveyors.</w:t>
      </w:r>
      <w:r w:rsidRPr="00BE4AF3">
        <w:rPr>
          <w:rFonts w:ascii="Times New Roman" w:hAnsi="Times New Roman" w:cs="Times New Roman"/>
          <w:sz w:val="24"/>
          <w:szCs w:val="24"/>
        </w:rPr>
        <w:t xml:space="preserve"> Of the 136 questionnaires, 92 were completed and returned (68 %responses), and analysed using s</w:t>
      </w:r>
      <w:r w:rsidRPr="00BE4AF3">
        <w:rPr>
          <w:rFonts w:ascii="Times New Roman" w:hAnsi="Times New Roman" w:cs="Times New Roman"/>
          <w:bCs/>
          <w:iCs/>
          <w:sz w:val="24"/>
          <w:szCs w:val="24"/>
        </w:rPr>
        <w:t>tatistical package for social sciences (SPSS) software.</w:t>
      </w:r>
      <w:r w:rsidRPr="00BE4AF3">
        <w:rPr>
          <w:rFonts w:ascii="Times New Roman" w:hAnsi="Times New Roman" w:cs="Times New Roman"/>
          <w:b/>
          <w:bCs/>
          <w:iCs/>
          <w:sz w:val="24"/>
          <w:szCs w:val="24"/>
        </w:rPr>
        <w:t xml:space="preserve"> </w:t>
      </w:r>
      <w:r w:rsidRPr="00BE4AF3">
        <w:rPr>
          <w:rFonts w:ascii="Times New Roman" w:hAnsi="Times New Roman" w:cs="Times New Roman"/>
          <w:sz w:val="24"/>
          <w:szCs w:val="24"/>
        </w:rPr>
        <w:t>The findings presented in this paper will help the government propose practical policies and measures to advance prefabrication and modularization in the housing delivery process. It also provides stakeholders with relevant information about the factors involved, which will be helpful in formulating appropriate strategies for the wider usage of the technologies.</w:t>
      </w:r>
      <w:r w:rsidR="005E515E" w:rsidRPr="00BE4AF3">
        <w:rPr>
          <w:rFonts w:ascii="Times New Roman" w:hAnsi="Times New Roman" w:cs="Times New Roman"/>
          <w:sz w:val="24"/>
          <w:szCs w:val="24"/>
        </w:rPr>
        <w:t xml:space="preserve"> </w:t>
      </w:r>
      <w:r w:rsidRPr="00BE4AF3">
        <w:rPr>
          <w:rFonts w:ascii="Times New Roman" w:hAnsi="Times New Roman" w:cs="Times New Roman"/>
          <w:sz w:val="24"/>
          <w:szCs w:val="24"/>
        </w:rPr>
        <w:t xml:space="preserve">It also suggests that periodic workshops and seminars be held for stakeholders, including contractors, clients, and professionals in the built environment to discuss the necessities and advantages of applying prefabrication and modularization technologies. </w:t>
      </w:r>
    </w:p>
    <w:p w14:paraId="3ED6B213" w14:textId="77777777" w:rsidR="005E515E" w:rsidRPr="00BE4AF3" w:rsidRDefault="005E515E" w:rsidP="00E90BB6">
      <w:pPr>
        <w:pStyle w:val="Default"/>
        <w:jc w:val="both"/>
        <w:rPr>
          <w:color w:val="auto"/>
        </w:rPr>
      </w:pPr>
    </w:p>
    <w:p w14:paraId="4D7A5061" w14:textId="77777777" w:rsidR="001B6CC4" w:rsidRPr="00BE4AF3" w:rsidRDefault="001B6CC4" w:rsidP="00E90BB6">
      <w:pPr>
        <w:pStyle w:val="Default"/>
        <w:jc w:val="both"/>
        <w:rPr>
          <w:color w:val="auto"/>
        </w:rPr>
      </w:pPr>
      <w:r w:rsidRPr="00BE4AF3">
        <w:rPr>
          <w:b/>
          <w:color w:val="auto"/>
        </w:rPr>
        <w:t>Keywords:</w:t>
      </w:r>
      <w:r w:rsidRPr="00BE4AF3">
        <w:rPr>
          <w:color w:val="auto"/>
        </w:rPr>
        <w:t xml:space="preserve"> adoption, building industry, modularization, prefabrication, professionals.</w:t>
      </w:r>
    </w:p>
    <w:p w14:paraId="686A6C08" w14:textId="77777777" w:rsidR="001B6CC4" w:rsidRPr="00BE4AF3" w:rsidRDefault="001B6CC4" w:rsidP="00E90BB6">
      <w:pPr>
        <w:spacing w:after="0" w:line="240" w:lineRule="auto"/>
        <w:rPr>
          <w:rFonts w:ascii="Times New Roman" w:hAnsi="Times New Roman" w:cs="Times New Roman"/>
          <w:sz w:val="24"/>
          <w:szCs w:val="24"/>
        </w:rPr>
      </w:pPr>
    </w:p>
    <w:p w14:paraId="55BF6418" w14:textId="77777777" w:rsidR="00A84E96" w:rsidRPr="00BE4AF3" w:rsidRDefault="00A84E96" w:rsidP="00A84E96">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Introduction</w:t>
      </w:r>
      <w:r w:rsidRPr="00BE4AF3">
        <w:rPr>
          <w:rFonts w:ascii="Times New Roman" w:hAnsi="Times New Roman" w:cs="Times New Roman"/>
          <w:sz w:val="24"/>
          <w:szCs w:val="24"/>
        </w:rPr>
        <w:t xml:space="preserve"> </w:t>
      </w:r>
    </w:p>
    <w:p w14:paraId="2A6FC9DB" w14:textId="77777777" w:rsidR="00A84E96" w:rsidRPr="00BE4AF3" w:rsidRDefault="00A84E96" w:rsidP="00A84E96">
      <w:pPr>
        <w:autoSpaceDE w:val="0"/>
        <w:autoSpaceDN w:val="0"/>
        <w:adjustRightInd w:val="0"/>
        <w:spacing w:after="0" w:line="240" w:lineRule="auto"/>
        <w:jc w:val="both"/>
        <w:rPr>
          <w:rFonts w:ascii="Times New Roman" w:eastAsia="Times New Roman" w:hAnsi="Times New Roman" w:cs="Times New Roman"/>
          <w:sz w:val="24"/>
          <w:szCs w:val="24"/>
        </w:rPr>
      </w:pPr>
      <w:r w:rsidRPr="00BE4AF3">
        <w:rPr>
          <w:rFonts w:ascii="Times New Roman" w:hAnsi="Times New Roman" w:cs="Times New Roman"/>
          <w:sz w:val="24"/>
          <w:szCs w:val="24"/>
        </w:rPr>
        <w:t xml:space="preserve">Prefabrication is a generic term used to describe a range of construction techniques that are different from traditional onsite forms of construction. It is carried out at a specialized facility other than a construction site by assembling various materials to form components of a structure, transporting and followed by installation on site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author":[{"dropping-particle":"","family":"Gallo","given":"Paola","non-dropping-particle":"","parse-names":false,"suffix":""},{"dropping-particle":"","family":"Romano","given":"Rosa","non-dropping-particle":"","parse-names":false,"suffix":""},{"dropping-particle":"","family":"Belardi","given":"Elisa","non-dropping-particle":"","parse-names":false,"suffix":""}],"id":"ITEM-1","issued":{"date-parts":[["2021"]]},"title":"Smart Green Prefabrication : Sustainability Performances of Industrialized Building Technologies","type":"article-journal"},"uris":["http://www.mendeley.com/documents/?uuid=32314f37-e615-44d6-9d84-22b2629972f8"]}],"mendeley":{"formattedCitation":"(Gallo et al., 2021)","plainTextFormattedCitation":"(Gallo et al., 2021)","previouslyFormattedCitation":"(Gallo et al., 2021)"},"properties":{"noteIndex":0},"schema":"https://github.com/citation-style-language/schema/raw/master/csl-citation.json"}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(Gallo et al., 2021)</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to improve efficiency, predictability, and productivity in terms of quality, cost, and time. The adoption of any new technologies and innovations in the building industry can be viewed from various perspectives and is dependent of many factors.</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{"citationItems":[{"id":"ITEM-1","itemData":{"author":[{"dropping-particle":"","family":"Ma","given":"Daniela","non-dropping-particle":"","parse-names":false,"suffix":""}],"id":"ITEM-1","issued":{"date-parts":[["2008"]]},"page":"1-8","title":"Acceptance Theories of Innovation and Modern Methods in Construction Industry","type":"article-journal"},"uris":["http://www.mendeley.com/documents/?uuid=fd616fde-3e14-4a2b-b327-a81ad05d5d07"]}],"mendeley":{"formattedCitation":"(Ma, 2008)","plainTextFormattedCitation":"(Ma, 2008)","previouslyFormattedCitation":"(Ma, 2008)"},"properties":{"noteIndex":0},"schema":"https://github.com/citation-style-language/schema/raw/master/csl-citation.json"}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(Ma, 2008)</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 xml:space="preserve">. Many variables predict the adoption of new technologies and innovations in the building industry, these variables include design complexity, site conditions, project schedule, local codes, sustainability requirements, transportation conditions, user perceptions of technology, and budget, to mention few.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{"citationItems":[{"id":"ITEM-1","itemData":{"DOI":"10.3390/su15108281","ISSN":"20711050","abstract":"Prefabricated construction is being pursued globally as a critically important sustainable construction technology. Prefabricated construction technology (PCT) provides opportunities to effectively manage construction waste and offers venues to address the poor productivity and lackluster performance of construction projects, which are often expected to miss their budget and schedule constraints. Despite the significant benefits inherent in the adoption of PCT, research has shown an unimpressive exploitation of this technology in the building sector. A modified version of the popular technology acceptance model (TAM) was used to understand Pakistan’s building construction industry stakeholder’s acceptance of PCT and the factors that influence its usage. Data were collected from 250 building construction experts in the industry to test the hypotheses derived from the proposed model. Data analysis using covariance-based structural equation modeling revealed that construction industry stakeholders’ perceptions of perceived ease-of-use, perceived usefulness, trust, and satisfaction all strongly influenced PCT acceptance behavior. Moreover, results also confirmed the total direct and indirect effects of the perceived usefulness and perceived ease-of-use of behavioral intention toward using PCT, with trust and user satisfaction as mediators. The results of this research are expected to serve as a guide for the construction industry stakeholders to effectively plan, strategize, encourage, and increase the adoption of PCT to achieve sustainable construction outcomes in the building construction sector.","author":[{"dropping-particle":"","family":"Hamza","given":"Muhammad","non-dropping-particle":"","parse-names":false,"suffix":""},{"dropping-particle":"","family":"Azfar","given":"Rai Waqas","non-dropping-particle":"","parse-names":false,"suffix":""},{"dropping-particle":"","family":"Mazher","given":"Khwaja Mateen","non-dropping-particle":"","parse-names":false,"suffix":""},{"dropping-particle":"","family":"Sultan","given":"Basel","non-dropping-particle":"","parse-names":false,"suffix":""},{"dropping-particle":"","family":"Maqsoom","given":"Ahsen","non-dropping-particle":"","parse-names":false,"suffix":""},{"dropping-particle":"","family":"Khahro","given":"Shabir Hussain","non-dropping-particle":"","parse-names":false,"suffix":""},{"dropping-particle":"","family":"Memon","given":"Zubair Ahmed","non-dropping-particle":"","parse-names":false,"suffix":""}],"container-title":"Sustainability (Switzerland)","id":"ITEM-1","issue":"10","issued":{"date-parts":[["2023"]]},"title":"Exploring Perceptions of the Adoption of Prefabricated Construction Technology in Pakistan Using the Technology Acceptance Model","type":"article-journal","volume":"15"},"uris":["http://www.mendeley.com/documents/?uuid=9df48d6f-4665-40ff-bc63-2793f88838f0"]}],"mendeley":{"formattedCitation":"(Hamza et al., 2023)","plainTextFormattedCitation":"(Hamza et al., 2023)","previouslyFormattedCitation":"(Hamza et al., 2023)"},"properties":{"noteIndex":0},"schema":"https://github.com/citation-style-language/schema/raw/master/csl-citation.json"}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(Hamza et al., 2023)</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w:t>
      </w:r>
      <w:r w:rsidRPr="00BE4AF3">
        <w:rPr>
          <w:rFonts w:ascii="Times New Roman" w:eastAsia="Times New Roman" w:hAnsi="Times New Roman" w:cs="Times New Roman"/>
          <w:sz w:val="24"/>
          <w:szCs w:val="24"/>
        </w:rPr>
        <w:t xml:space="preserve"> </w:t>
      </w:r>
    </w:p>
    <w:p w14:paraId="1D9FA7EF" w14:textId="77777777" w:rsidR="00A84E96" w:rsidRPr="00BE4AF3" w:rsidRDefault="00A84E96" w:rsidP="00A84E96">
      <w:pPr>
        <w:autoSpaceDE w:val="0"/>
        <w:autoSpaceDN w:val="0"/>
        <w:adjustRightInd w:val="0"/>
        <w:spacing w:after="0" w:line="240" w:lineRule="auto"/>
        <w:jc w:val="both"/>
        <w:rPr>
          <w:rFonts w:ascii="Times New Roman" w:eastAsia="Times New Roman" w:hAnsi="Times New Roman" w:cs="Times New Roman"/>
          <w:sz w:val="24"/>
          <w:szCs w:val="24"/>
        </w:rPr>
      </w:pPr>
      <w:r w:rsidRPr="00BE4AF3">
        <w:rPr>
          <w:rFonts w:ascii="Times New Roman" w:hAnsi="Times New Roman" w:cs="Times New Roman"/>
          <w:sz w:val="24"/>
          <w:szCs w:val="24"/>
        </w:rPr>
        <w:t>One of the initial thoughts about adopting modularization / prefabrication is to have a paradigm shift from the conventional construction method to a more industrialized housing production system,</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{"citationItems":[{"id":"ITEM-1","itemData":{"ISSN":"21698767","abstract":"Despite the inherent benefits in the delivery of construction through prefabrication, its adoption is still considered to be low in most developing countries like South Africa. This paper presents the result of an assessment of the challenges facing the adoption of prefabrication in the South African construction Industry (SACI) and the measures for improving same. The study adopted a quantitative survey approach with information gathered from participants within selected construction organisations in Gauteng province, South Africa. Data gathered were analysed using percentage, mean score and standard deviation. Findings revealed that the most significant challenges facing the adoption of prefabrication are lack of prefabrication branding and promotion, low awareness and knowledge, need for specialized equipment for installation, difficulty in getting tender, negative perception, improper assembly of prefabricated components, high investment on equipment, and clients doubts in using prefabricated materials. If the system of prefabrication in construction is to be adopted considerably within the SACI, then there is the need for the adoption of measures such as, conducting research and testing to prove feasibility of design, organizing workshops to train individuals on prefabrication projects, providing skills development programmes, creating awareness among parties involved in construction, adequate government support, regular training of machine operators, and advanced technology in assembling.","author":[{"dropping-particle":"","family":"Aigbavboa","given":"Clinton Ohis","non-dropping-particle":"","parse-names":false,"suffix":""},{"dropping-particle":"","family":"Aghimien","given":"Douglas Omoregie","non-dropping-particle":"","parse-names":false,"suffix":""},{"dropping-particle":"","family":"Ntso","given":"Yonela","non-dropping-particle":"","parse-names":false,"suffix":""}],"container-title":"Proceedings of the International Conference on Industrial Engineering and Operations Management","id":"ITEM-1","issue":"NOV","issued":{"date-parts":[["2018"]]},"page":"1248-1254","title":"Prefabrication in the South African construction industry - Challenges and solutions","type":"article-journal","volume":"2018"},"uris":["http://www.mendeley.com/documents/?uuid=61d37d98-87e6-45ad-b63c-c4304c4ddaf3"]}],"mendeley":{"formattedCitation":"(C. O. Aigbavboa et al., 2018)","plainTextFormattedCitation":"(C. O. Aigbavboa et al., 2018)","previouslyFormattedCitation":"(C. O. Aigbavboa et al., 2018)"},"properties":{"noteIndex":0},"schema":"https://github.com/citation-style-language/schema/raw/master/csl-citation.json"}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(Aigbavboa et al., 2018)</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 xml:space="preserve">. This is,  to alleviate the challenges identified by scholars such as </w:t>
      </w:r>
      <w:r w:rsidRPr="00BE4AF3">
        <w:rPr>
          <w:rFonts w:ascii="Times New Roman" w:hAnsi="Times New Roman" w:cs="Times New Roman"/>
          <w:sz w:val="24"/>
          <w:szCs w:val="24"/>
        </w:rPr>
        <w:lastRenderedPageBreak/>
        <w:t xml:space="preserve">challenges in time overrun, cost overrun, waste, delay and other problems which cumulated to housing deficit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{"citationItems":[{"id":"ITEM-1","itemData":{"DOI":"10.35629/5252-0411425432","author":[{"dropping-particle":"","family":"Bobai","given":"Isaac Ali","non-dropping-particle":"","parse-names":false,"suffix":""},{"dropping-particle":"","family":"Bwarak","given":"John Rwang","non-dropping-particle":"","parse-names":false,"suffix":""},{"dropping-particle":"","family":"Pam","given":"Miriam","non-dropping-particle":"","parse-names":false,"suffix":""}],"id":"ITEM-1","issue":"11","issued":{"date-parts":[["2022"]]},"page":"425-432","title":"Factors Affecting Adoption of Prefabrication Method for Sustainable Construction in Kaduna Metropolis","type":"article-journal","volume":"4"},"uris":["http://www.mendeley.com/documents/?uuid=be2485e4-d57d-4a61-9092-ff90375be885"]}],"mendeley":{"formattedCitation":"(Bobai et al., 2022)","manualFormatting":"( Bobai et al., 2022)","plainTextFormattedCitation":"(Bobai et al., 2022)","previouslyFormattedCitation":"(Bobai et al., 2022)"},"properties":{"noteIndex":0},"schema":"https://github.com/citation-style-language/schema/raw/master/csl-citation.json"}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 Bobai et al., 2022)</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 xml:space="preserve">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{"citationItems":[{"id":"ITEM-1","itemData":{"author":[{"dropping-particle":"","family":"Babalola","given":"O. D.","non-dropping-particle":"","parse-names":false,"suffix":""}],"id":"ITEM-1","issue":"September","issued":{"date-parts":[["2019"]]},"title":"Evaluation of Diffusion and Adoption of Lean Practices in the","type":"article-journal"},"uris":["http://www.mendeley.com/documents/?uuid=f87fbbf7-601e-4183-a4f6-5a71c9c9fd80"]}],"mendeley":{"formattedCitation":"(Babalola, 2019)","plainTextFormattedCitation":"(Babalola, 2019)","previouslyFormattedCitation":"(Babalola, 2019)"},"properties":{"noteIndex":0},"schema":"https://github.com/citation-style-language/schema/raw/master/csl-citation.json"}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(Babalola, 2019)</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w:t>
      </w:r>
    </w:p>
    <w:p w14:paraId="10FA3958" w14:textId="77777777" w:rsidR="00A84E96" w:rsidRPr="00BE4AF3" w:rsidRDefault="00A84E96" w:rsidP="00A84E96">
      <w:pPr>
        <w:autoSpaceDE w:val="0"/>
        <w:autoSpaceDN w:val="0"/>
        <w:adjustRightInd w:val="0"/>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 Although, both on-site and off-site construction methods are widely employed in the construction sector, onsite construction is primarily preferred</w:t>
      </w:r>
      <w:r w:rsidRPr="00BE4AF3">
        <w:rPr>
          <w:rFonts w:ascii="Times New Roman" w:hAnsi="Times New Roman" w:cs="Times New Roman"/>
          <w:sz w:val="24"/>
          <w:szCs w:val="24"/>
        </w:rPr>
        <w:t xml:space="preserve">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{"citationItems":[{"id":"ITEM-1","itemData":{"author":[{"dropping-particle":"","family":"Arowoiya","given":"Victor Adetunji","non-dropping-particle":"","parse-names":false,"suffix":""},{"dropping-particle":"","family":"Oyefusi","given":"Oluwatobi Nurudeen","non-dropping-particle":"","parse-names":false,"suffix":""}],"id":"ITEM-1","issue":"June","issued":{"date-parts":[["2023"]]},"page":"243-265","title":"An Analysis of the Benefits of Adopting Modular Construction : A Nigerian Construction Industry Context","type":"article-journal","volume":"28"},"uris":["http://www.mendeley.com/documents/?uuid=908fe6ca-db22-4a67-bf83-d5237358d336"]}],"mendeley":{"formattedCitation":"(Arowoiya &amp; Oyefusi, 2023)","plainTextFormattedCitation":"(Arowoiya &amp; Oyefusi, 2023)","previouslyFormattedCitation":"(Arowoiya &amp; Oyefusi, 2023)"},"properties":{"noteIndex":0},"schema":"https://github.com/citation-style-language/schema/raw/master/csl-citation.json"}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(Arowoiya and Oyefusi, 2023)</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 xml:space="preserve">  which </w:t>
      </w:r>
      <w:r w:rsidRPr="00BE4AF3">
        <w:rPr>
          <w:rFonts w:ascii="Times New Roman" w:eastAsia="Times New Roman" w:hAnsi="Times New Roman" w:cs="Times New Roman"/>
          <w:sz w:val="24"/>
          <w:szCs w:val="24"/>
        </w:rPr>
        <w:t>entails a lot of cast-in-situ work,</w:t>
      </w:r>
      <w:r w:rsidRPr="00BE4AF3">
        <w:rPr>
          <w:rFonts w:ascii="Times New Roman" w:hAnsi="Times New Roman" w:cs="Times New Roman"/>
          <w:sz w:val="24"/>
          <w:szCs w:val="24"/>
        </w:rPr>
        <w:t xml:space="preserve"> which is slow, inefficient and brings great burden to the environment in respect of  visual intrusion, air pollution, waste pollution, social welfare,</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{"citationItems":[{"id":"ITEM-1","itemData":{"DOI":"10.3390/su12051878","ISSN":"20711050","abstract":"Prefabricated construction (PC), with the characteristics of green, environmentally friendly, energy saving and high production efficiency, is attracting more and more attention from all over the world. Supply chain management is closely related to the application efficiency of PC, but only in the last three years has this interdisciplinary research received due attention. The prefabricated construction supply chain management (PCSCM) have not received enough attention. Especially recently, the related literature shows explosive growth. This paper adopted the method of systematic literature review through the tool of bibliometric statistics. And we reviewed 152 articles from 2001 to 2018, with the goal of understanding the current situation, trends, and gaps in PCSCM research, and a framework is proposed to promote its development. First, the study discussed the four themes of clustering, concentrating mainly on strategic research and project evaluation, PC supply chain process design and optimization, supply chain integration and management, and the application of advanced technology. Then, the research gaps and conceptual development framework to promote PCSCM were reported. Only through the coordinated development of technology, market circumstances, and decision-making level of participants, can the PCSC form an integrated whole, so as to optimize the efficiency and sustainability of prefabricated construction industry and improve its level.","author":[{"dropping-particle":"","family":"Liu","given":"Yang","non-dropping-particle":"","parse-names":false,"suffix":""},{"dropping-particle":"","family":"Dong","given":"Jianjun","non-dropping-particle":"","parse-names":false,"suffix":""},{"dropping-particle":"","family":"Shen","given":"Ling","non-dropping-particle":"","parse-names":false,"suffix":""}],"container-title":"Sustainability (Switzerland)","id":"ITEM-1","issue":"6","issued":{"date-parts":[["2020"]]},"title":"A conceptual development framework for prefabricated construction supply chain management: An integrated overview","type":"article-journal","volume":"12"},"uris":["http://www.mendeley.com/documents/?uuid=49e97c4f-6cce-4d88-a782-6ece02bf6bc9"]},{"id":"ITEM-2","itemData":{"DOI":"10.3390/ijerph15030442","ISSN":"16604601","PMID":"29510507","abstract":"Construction industrialization (CI) has been adopted worldwide because of its potential benefits. However, current research shows the incentives for adopting CI may differ in different regions. While the promotion of CI in China is still at the initial stage, a systematical analysis of the driving factors would help decision makers get a comprehensive understanding of CI development and select proper strategies to promote CI. This research combines qualitative and quantitative methods to explore the construction industrialization driving factors (CIDFs) in China. The grounded theory method (GTM) was employed to explore CI concepts among 182 CI-related articles published in 10 top-tier journals from 2000 to 2017. A total of 15 CIDFs were identified, including one suggested by professionals during a pre-test questionnaire survey. The analysis showed that the development of CI in China is pushed by macrodevelopment and pulled by the government and is also a self-driven process. The major driving factors for CI adoption in China are the transformation and upgrade of the conventional construction industry and the solution of development dilemmas. Our study also suggests that pilot programs are, currently, the most effective method to promote CI in China and to accumulate experience so to gain recognition by the society. This research is also of value for CI promotion in other developing countries.","author":[{"dropping-particle":"","family":"Xiahou","given":"Xiaer","non-dropping-particle":"","parse-names":false,"suffix":""},{"dropping-particle":"","family":"Yuan","given":"Jingfeng","non-dropping-particle":"","parse-names":false,"suffix":""},{"dropping-particle":"","family":"Liu","given":"Yan","non-dropping-particle":"","parse-names":false,"suffix":""},{"dropping-particle":"","family":"Tang","given":"Yuchun","non-dropping-particle":"","parse-names":false,"suffix":""},{"dropping-particle":"","family":"Li","given":"Qiming","non-dropping-particle":"","parse-names":false,"suffix":""}],"container-title":"International Journal of Environmental Research and Public Health","id":"ITEM-2","issue":"3","issued":{"date-parts":[["2018"]]},"title":"Exploring the driving factors of construction industrialization development in China","type":"article-journal","volume":"15"},"uris":["http://www.mendeley.com/documents/?uuid=59f64c09-71c0-44ec-b763-fe844c7a7ac7"]}],"mendeley":{"formattedCitation":"(Liu, Dong, et al., 2020; Xiahou et al., 2018)","plainTextFormattedCitation":"(Liu, Dong, et al., 2020; Xiahou et al., 2018)","previouslyFormattedCitation":"(Liu, Dong, et al., 2020; Xiahou et al., 2018)"},"properties":{"noteIndex":0},"schema":"https://github.com/citation-style-language/schema/raw/master/csl-citation.json"}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(Liu, Dong, et al., 2020; Xiahou et al., 2018)</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w:t>
      </w:r>
      <w:r w:rsidRPr="00BE4AF3">
        <w:rPr>
          <w:rFonts w:ascii="Times New Roman" w:eastAsia="Times New Roman" w:hAnsi="Times New Roman" w:cs="Times New Roman"/>
          <w:sz w:val="24"/>
          <w:szCs w:val="24"/>
        </w:rPr>
        <w:t xml:space="preserve"> </w:t>
      </w:r>
      <w:r w:rsidRPr="00BE4AF3">
        <w:rPr>
          <w:rFonts w:ascii="Times New Roman" w:hAnsi="Times New Roman" w:cs="Times New Roman"/>
          <w:sz w:val="24"/>
          <w:szCs w:val="24"/>
        </w:rPr>
        <w:t xml:space="preserve">But the decision to introduce new methods of construction is a major challenge for construction professionals due to change resistance and also the knowledge required to make the decision is fragmented and partially owned by individual experts </w:t>
      </w:r>
      <w:r w:rsidRPr="00BE4AF3">
        <w:rPr>
          <w:rFonts w:ascii="Times New Roman" w:eastAsia="Times New Roman" w:hAnsi="Times New Roman" w:cs="Times New Roman"/>
          <w:sz w:val="24"/>
          <w:szCs w:val="24"/>
        </w:rPr>
        <w:t xml:space="preserve">which slows down adoption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{"citationItems":[{"id":"ITEM-1","itemData":{"author":[{"dropping-particle":"","family":"Obi","given":"","non-dropping-particle":"","parse-names":false,"suffix":""}],"id":"ITEM-1","issue":"January","issued":{"date-parts":[["2017"]]},"title":"Development of a System Model for Cost Management in Low-Cost Housing Projects in Lovelin Ifeoma Obi Low-Cost Housing Projects in","type":"article-journal"},"uris":["http://www.mendeley.com/documents/?uuid=bb1a2f8f-b3fd-4b09-a9da-b3cb0750751f"]}],"mendeley":{"formattedCitation":"(Obi, 2017)","plainTextFormattedCitation":"(Obi, 2017)","previouslyFormattedCitation":"(Obi, 2017)"},"properties":{"noteIndex":0},"schema":"https://github.com/citation-style-language/schema/raw/master/csl-citation.json"}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(Obi, 2017)</w:t>
      </w:r>
      <w:r w:rsidRPr="00BE4AF3">
        <w:rPr>
          <w:rFonts w:ascii="Times New Roman" w:hAnsi="Times New Roman" w:cs="Times New Roman"/>
          <w:sz w:val="24"/>
          <w:szCs w:val="24"/>
        </w:rPr>
        <w:fldChar w:fldCharType="end"/>
      </w:r>
      <w:r w:rsidRPr="00BE4AF3">
        <w:rPr>
          <w:rFonts w:ascii="Times New Roman" w:eastAsia="Times New Roman" w:hAnsi="Times New Roman" w:cs="Times New Roman"/>
          <w:sz w:val="24"/>
          <w:szCs w:val="24"/>
        </w:rPr>
        <w:t>.</w:t>
      </w:r>
      <w:r w:rsidRPr="00BE4AF3">
        <w:rPr>
          <w:rFonts w:ascii="Times New Roman" w:eastAsia="Times New Roman" w:hAnsi="Times New Roman" w:cs="Times New Roman"/>
          <w:sz w:val="24"/>
          <w:szCs w:val="24"/>
        </w:rPr>
        <w:fldChar w:fldCharType="begin" w:fldLock="1"/>
      </w:r>
      <w:r w:rsidRPr="00BE4AF3">
        <w:rPr>
          <w:rFonts w:ascii="Times New Roman" w:eastAsia="Times New Roman" w:hAnsi="Times New Roman" w:cs="Times New Roman"/>
          <w:sz w:val="24"/>
          <w:szCs w:val="24"/>
        </w:rPr>
        <w:instrText>ADDIN CSL_CITATION {"citationItems":[{"id":"ITEM-1","itemData":{"author":[{"dropping-particle":"","family":"Built","given":"T H E","non-dropping-particle":"","parse-names":false,"suffix":""}],"id":"ITEM-1","issued":{"date-parts":[["2021"]]},"title":"School of Engineering and the Built Environment Development of a Semantic Knowledge Modelling Approach for Evaluating Offsite Manufacturing Production Processes","type":"article-journal"},"uris":["http://www.mendeley.com/documents/?uuid=37191e9e-dfa2-425d-a899-47693d573cd7"]}],"mendeley":{"formattedCitation":"(Built, 2021)","plainTextFormattedCitation":"(Built, 2021)"},"properties":{"noteIndex":0},"schema":"https://github.com/citation-style-language/schema/raw/master/csl-citation.json"}</w:instrText>
      </w:r>
      <w:r w:rsidRPr="00BE4AF3">
        <w:rPr>
          <w:rFonts w:ascii="Times New Roman" w:eastAsia="Times New Roman" w:hAnsi="Times New Roman" w:cs="Times New Roman"/>
          <w:sz w:val="24"/>
          <w:szCs w:val="24"/>
        </w:rPr>
        <w:fldChar w:fldCharType="separate"/>
      </w:r>
      <w:r w:rsidRPr="00BE4AF3">
        <w:rPr>
          <w:rFonts w:ascii="Times New Roman" w:eastAsia="Times New Roman" w:hAnsi="Times New Roman" w:cs="Times New Roman"/>
          <w:noProof/>
          <w:sz w:val="24"/>
          <w:szCs w:val="24"/>
        </w:rPr>
        <w:t>(Built, 2021)</w:t>
      </w:r>
      <w:r w:rsidRPr="00BE4AF3">
        <w:rPr>
          <w:rFonts w:ascii="Times New Roman" w:eastAsia="Times New Roman" w:hAnsi="Times New Roman" w:cs="Times New Roman"/>
          <w:sz w:val="24"/>
          <w:szCs w:val="24"/>
        </w:rPr>
        <w:fldChar w:fldCharType="end"/>
      </w:r>
      <w:r w:rsidRPr="00BE4AF3">
        <w:rPr>
          <w:rFonts w:ascii="Times New Roman" w:eastAsia="Times New Roman" w:hAnsi="Times New Roman" w:cs="Times New Roman"/>
          <w:sz w:val="24"/>
          <w:szCs w:val="24"/>
        </w:rPr>
        <w:t xml:space="preserve">. </w:t>
      </w:r>
    </w:p>
    <w:p w14:paraId="6A769D50" w14:textId="77777777" w:rsidR="00A84E96" w:rsidRPr="00BE4AF3" w:rsidRDefault="00A84E96" w:rsidP="00A84E96">
      <w:pPr>
        <w:autoSpaceDE w:val="0"/>
        <w:autoSpaceDN w:val="0"/>
        <w:adjustRightInd w:val="0"/>
        <w:spacing w:after="0" w:line="240" w:lineRule="auto"/>
        <w:jc w:val="both"/>
        <w:rPr>
          <w:rFonts w:ascii="Times New Roman" w:eastAsia="Times New Roman" w:hAnsi="Times New Roman" w:cs="Times New Roman"/>
          <w:sz w:val="24"/>
          <w:szCs w:val="24"/>
        </w:rPr>
      </w:pPr>
      <w:r w:rsidRPr="00BE4AF3">
        <w:rPr>
          <w:rFonts w:ascii="Times New Roman" w:hAnsi="Times New Roman" w:cs="Times New Roman"/>
          <w:sz w:val="24"/>
          <w:szCs w:val="24"/>
        </w:rPr>
        <w:t>Overview of Prefabrication.</w:t>
      </w:r>
    </w:p>
    <w:p w14:paraId="65EDA301" w14:textId="127C1B47" w:rsidR="00A84E96" w:rsidRPr="00BE4AF3" w:rsidRDefault="00A84E96" w:rsidP="00A84E96">
      <w:pPr>
        <w:autoSpaceDE w:val="0"/>
        <w:autoSpaceDN w:val="0"/>
        <w:adjustRightInd w:val="0"/>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The Sweet Track, an old causeway constructed in England, was the oldest recorded example</w:t>
      </w:r>
      <w:r w:rsidR="00BD1B26">
        <w:rPr>
          <w:rFonts w:ascii="Times New Roman" w:eastAsia="Times New Roman" w:hAnsi="Times New Roman" w:cs="Times New Roman"/>
          <w:sz w:val="24"/>
          <w:szCs w:val="24"/>
        </w:rPr>
        <w:t xml:space="preserve"> </w:t>
      </w:r>
      <w:r w:rsidRPr="00BE4AF3">
        <w:rPr>
          <w:rFonts w:ascii="Times New Roman" w:eastAsia="Times New Roman" w:hAnsi="Times New Roman" w:cs="Times New Roman"/>
          <w:sz w:val="24"/>
          <w:szCs w:val="24"/>
        </w:rPr>
        <w:t>of prefabrication, dating back to 3800 BCE. This was the inception of the concept known as "off-</w:t>
      </w:r>
      <w:r w:rsidR="00BD1B26">
        <w:rPr>
          <w:rFonts w:ascii="Times New Roman" w:eastAsia="Times New Roman" w:hAnsi="Times New Roman" w:cs="Times New Roman"/>
          <w:sz w:val="24"/>
          <w:szCs w:val="24"/>
        </w:rPr>
        <w:t xml:space="preserve"> </w:t>
      </w:r>
      <w:r w:rsidRPr="00BE4AF3">
        <w:rPr>
          <w:rFonts w:ascii="Times New Roman" w:eastAsia="Times New Roman" w:hAnsi="Times New Roman" w:cs="Times New Roman"/>
          <w:sz w:val="24"/>
          <w:szCs w:val="24"/>
        </w:rPr>
        <w:t xml:space="preserve">site manufacturing." However, the first documented instances of prefabricated housing was dated back to 1624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{"citationItems":[{"id":"ITEM-1","itemData":{"author":[{"dropping-particle":"","family":"Alagbe","given":"O A","non-dropping-particle":"","parse-names":false,"suffix":""}],"id":"ITEM-1","issue":"06","issued":{"date-parts":[["2019"]]},"page":"917-924","title":"Exploring Prefabricated Construction Principles for Smart and Fast Housing Delivery in Abuja ,","type":"article-journal","volume":"8"},"uris":["http://www.mendeley.com/documents/?uuid=dea26cbd-2077-4ec9-91bc-328de40a8f90"]}],"mendeley":{"formattedCitation":"(Alagbe, 2019)","plainTextFormattedCitation":"(Alagbe, 2019)","previouslyFormattedCitation":"(Alagbe, 2019)"},"properties":{"noteIndex":0},"schema":"https://github.com/citation-style-language/schema/raw/master/csl-citation.json"}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(Alagbe, 2019)</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 xml:space="preserve">. </w:t>
      </w:r>
      <w:r w:rsidRPr="00BE4AF3">
        <w:rPr>
          <w:rFonts w:ascii="Times New Roman" w:eastAsia="Times New Roman" w:hAnsi="Times New Roman" w:cs="Times New Roman"/>
          <w:sz w:val="24"/>
          <w:szCs w:val="24"/>
        </w:rPr>
        <w:t>Prefabricated buildings evolved during the late European colonial period due to the urgent need for rapid deployment of temporary structures, especially for medical purposes and mass accommodation of military personnel during World Wars II and I.</w:t>
      </w:r>
    </w:p>
    <w:p w14:paraId="34E133F3" w14:textId="3E92CEA3" w:rsidR="00BD1B26" w:rsidRDefault="00A84E96" w:rsidP="00A84E96">
      <w:pPr>
        <w:autoSpaceDE w:val="0"/>
        <w:autoSpaceDN w:val="0"/>
        <w:adjustRightInd w:val="0"/>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However, the oldest recorded example of prefabrication in Nigeria was built in 1884 by the British colonial masters as the old residency buildings.</w:t>
      </w:r>
    </w:p>
    <w:p w14:paraId="375A9E4A" w14:textId="77777777" w:rsidR="00BD1B26" w:rsidRPr="00BE4AF3" w:rsidRDefault="00BD1B26" w:rsidP="00A84E96">
      <w:pPr>
        <w:autoSpaceDE w:val="0"/>
        <w:autoSpaceDN w:val="0"/>
        <w:adjustRightInd w:val="0"/>
        <w:spacing w:after="0" w:line="240" w:lineRule="auto"/>
        <w:jc w:val="both"/>
        <w:rPr>
          <w:rFonts w:ascii="Times New Roman" w:eastAsia="Times New Roman" w:hAnsi="Times New Roman" w:cs="Times New Roman"/>
          <w:sz w:val="24"/>
          <w:szCs w:val="24"/>
        </w:rPr>
      </w:pPr>
    </w:p>
    <w:p w14:paraId="7690AB54" w14:textId="77777777" w:rsidR="00A84E96" w:rsidRPr="00BD1B26" w:rsidRDefault="00A84E96" w:rsidP="00A84E96">
      <w:pPr>
        <w:autoSpaceDE w:val="0"/>
        <w:autoSpaceDN w:val="0"/>
        <w:adjustRightInd w:val="0"/>
        <w:spacing w:after="0" w:line="240" w:lineRule="auto"/>
        <w:jc w:val="both"/>
        <w:rPr>
          <w:rFonts w:ascii="Times New Roman" w:eastAsia="Times New Roman" w:hAnsi="Times New Roman" w:cs="Times New Roman"/>
          <w:b/>
          <w:bCs/>
          <w:sz w:val="24"/>
          <w:szCs w:val="24"/>
        </w:rPr>
      </w:pPr>
      <w:r w:rsidRPr="00BD1B26">
        <w:rPr>
          <w:rFonts w:ascii="Times New Roman" w:eastAsia="Times New Roman" w:hAnsi="Times New Roman" w:cs="Times New Roman"/>
          <w:b/>
          <w:bCs/>
          <w:sz w:val="24"/>
          <w:szCs w:val="24"/>
        </w:rPr>
        <w:t>Factors Influencing the Adoption</w:t>
      </w:r>
    </w:p>
    <w:p w14:paraId="2709BF50" w14:textId="77777777" w:rsidR="00A84E96" w:rsidRPr="00BE4AF3" w:rsidRDefault="00A84E96" w:rsidP="00EC006E">
      <w:pPr>
        <w:autoSpaceDE w:val="0"/>
        <w:autoSpaceDN w:val="0"/>
        <w:adjustRightInd w:val="0"/>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Adoption is described as having knowledge and understanding of existence of a practice, event or</w:t>
      </w:r>
    </w:p>
    <w:p w14:paraId="3BFD150A" w14:textId="77777777" w:rsidR="00A84E96" w:rsidRPr="00BE4AF3" w:rsidRDefault="00A84E96" w:rsidP="00EC006E">
      <w:pPr>
        <w:autoSpaceDE w:val="0"/>
        <w:autoSpaceDN w:val="0"/>
        <w:adjustRightInd w:val="0"/>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occurrence of something while awareness, according to (Rogers 2003) </w:t>
      </w:r>
      <w:r w:rsidRPr="00BE4AF3">
        <w:rPr>
          <w:rFonts w:ascii="Times New Roman" w:hAnsi="Times New Roman" w:cs="Times New Roman"/>
          <w:sz w:val="24"/>
          <w:szCs w:val="24"/>
        </w:rPr>
        <w:t>has been identified as the first stage in the adoption of innovation.</w:t>
      </w:r>
      <w:r w:rsidRPr="00BE4AF3">
        <w:rPr>
          <w:rFonts w:ascii="Times New Roman" w:eastAsia="Times New Roman" w:hAnsi="Times New Roman" w:cs="Times New Roman"/>
          <w:sz w:val="24"/>
          <w:szCs w:val="24"/>
        </w:rPr>
        <w:t xml:space="preserve"> Some scholars have identified variables influencing prefabrication and modular construction, which include decreased repair and maintenance costs (Shibani et al., 2021). Architectural design flexibility (W. Jiang et al., 2020), improved quality control (Nnadzwa and Makinde, 2020), reduced waste (W. Jiang et al., 2020), fewer site violations, enhanced sustainability, increased productivity. (Nduka et al., 2019), reduction in conflicts during</w:t>
      </w:r>
    </w:p>
    <w:p w14:paraId="0E16B16E" w14:textId="55F79C21" w:rsidR="00A84E96" w:rsidRPr="00BE4AF3" w:rsidRDefault="00A84E96" w:rsidP="00EC006E">
      <w:pPr>
        <w:autoSpaceDE w:val="0"/>
        <w:autoSpaceDN w:val="0"/>
        <w:adjustRightInd w:val="0"/>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Construction (C. Aigbavboa et al., 2018), cost savings, improved construction site safety (Lu et</w:t>
      </w:r>
      <w:r w:rsidR="00BD1B26">
        <w:rPr>
          <w:rFonts w:ascii="Times New Roman" w:eastAsia="Times New Roman" w:hAnsi="Times New Roman" w:cs="Times New Roman"/>
          <w:sz w:val="24"/>
          <w:szCs w:val="24"/>
        </w:rPr>
        <w:t xml:space="preserve"> </w:t>
      </w:r>
      <w:r w:rsidRPr="00BE4AF3">
        <w:rPr>
          <w:rFonts w:ascii="Times New Roman" w:eastAsia="Times New Roman" w:hAnsi="Times New Roman" w:cs="Times New Roman"/>
          <w:sz w:val="24"/>
          <w:szCs w:val="24"/>
        </w:rPr>
        <w:t>al., 2018), shortened building periods (Almutairi, 2015), economies of scale derived from</w:t>
      </w:r>
      <w:r w:rsidR="00BD1B26">
        <w:rPr>
          <w:rFonts w:ascii="Times New Roman" w:eastAsia="Times New Roman" w:hAnsi="Times New Roman" w:cs="Times New Roman"/>
          <w:sz w:val="24"/>
          <w:szCs w:val="24"/>
        </w:rPr>
        <w:t xml:space="preserve"> </w:t>
      </w:r>
      <w:r w:rsidRPr="00BE4AF3">
        <w:rPr>
          <w:rFonts w:ascii="Times New Roman" w:eastAsia="Times New Roman" w:hAnsi="Times New Roman" w:cs="Times New Roman"/>
          <w:sz w:val="24"/>
          <w:szCs w:val="24"/>
        </w:rPr>
        <w:t>bulk procurement, mass production, and standardization (Kayode, 2013).</w:t>
      </w:r>
    </w:p>
    <w:p w14:paraId="4BFEED7C" w14:textId="157C8F72" w:rsidR="00A84E96" w:rsidRPr="00BE4AF3" w:rsidRDefault="00A84E96" w:rsidP="00EC006E">
      <w:pPr>
        <w:autoSpaceDE w:val="0"/>
        <w:autoSpaceDN w:val="0"/>
        <w:adjustRightInd w:val="0"/>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Conversely, factors impeding the adoption of prefabrication construction include attachment to</w:t>
      </w:r>
      <w:r w:rsidR="00EC006E">
        <w:rPr>
          <w:rFonts w:ascii="Times New Roman" w:eastAsia="Times New Roman" w:hAnsi="Times New Roman" w:cs="Times New Roman"/>
          <w:sz w:val="24"/>
          <w:szCs w:val="24"/>
        </w:rPr>
        <w:t xml:space="preserve"> </w:t>
      </w:r>
      <w:r w:rsidRPr="00BE4AF3">
        <w:rPr>
          <w:rFonts w:ascii="Times New Roman" w:eastAsia="Times New Roman" w:hAnsi="Times New Roman" w:cs="Times New Roman"/>
          <w:sz w:val="24"/>
          <w:szCs w:val="24"/>
        </w:rPr>
        <w:t>traditional construction methods, fear of adapting to new techniques, resistance to change,</w:t>
      </w:r>
      <w:r w:rsidR="00EC006E">
        <w:rPr>
          <w:rFonts w:ascii="Times New Roman" w:eastAsia="Times New Roman" w:hAnsi="Times New Roman" w:cs="Times New Roman"/>
          <w:sz w:val="24"/>
          <w:szCs w:val="24"/>
        </w:rPr>
        <w:t xml:space="preserve"> </w:t>
      </w:r>
      <w:r w:rsidRPr="00BE4AF3">
        <w:rPr>
          <w:rFonts w:ascii="Times New Roman" w:eastAsia="Times New Roman" w:hAnsi="Times New Roman" w:cs="Times New Roman"/>
          <w:sz w:val="24"/>
          <w:szCs w:val="24"/>
        </w:rPr>
        <w:t>concerns over high initial costs, lack of client awareness regarding long-term benefits,</w:t>
      </w:r>
      <w:r w:rsidR="00EC006E">
        <w:rPr>
          <w:rFonts w:ascii="Times New Roman" w:eastAsia="Times New Roman" w:hAnsi="Times New Roman" w:cs="Times New Roman"/>
          <w:sz w:val="24"/>
          <w:szCs w:val="24"/>
        </w:rPr>
        <w:t xml:space="preserve"> </w:t>
      </w:r>
      <w:r w:rsidRPr="00BE4AF3">
        <w:rPr>
          <w:rFonts w:ascii="Times New Roman" w:eastAsia="Times New Roman" w:hAnsi="Times New Roman" w:cs="Times New Roman"/>
          <w:sz w:val="24"/>
          <w:szCs w:val="24"/>
        </w:rPr>
        <w:t>negative</w:t>
      </w:r>
      <w:r w:rsidR="00BD1B26">
        <w:rPr>
          <w:rFonts w:ascii="Times New Roman" w:eastAsia="Times New Roman" w:hAnsi="Times New Roman" w:cs="Times New Roman"/>
          <w:sz w:val="24"/>
          <w:szCs w:val="24"/>
        </w:rPr>
        <w:t xml:space="preserve"> </w:t>
      </w:r>
      <w:r w:rsidRPr="00BE4AF3">
        <w:rPr>
          <w:rFonts w:ascii="Times New Roman" w:eastAsia="Times New Roman" w:hAnsi="Times New Roman" w:cs="Times New Roman"/>
          <w:sz w:val="24"/>
          <w:szCs w:val="24"/>
        </w:rPr>
        <w:t>market and public perception were noticed. Lack of knowledge, shortage of</w:t>
      </w:r>
      <w:r w:rsidR="00BD1B26">
        <w:rPr>
          <w:rFonts w:ascii="Times New Roman" w:eastAsia="Times New Roman" w:hAnsi="Times New Roman" w:cs="Times New Roman"/>
          <w:sz w:val="24"/>
          <w:szCs w:val="24"/>
        </w:rPr>
        <w:t xml:space="preserve"> </w:t>
      </w:r>
      <w:r w:rsidRPr="00BE4AF3">
        <w:rPr>
          <w:rFonts w:ascii="Times New Roman" w:eastAsia="Times New Roman" w:hAnsi="Times New Roman" w:cs="Times New Roman"/>
          <w:sz w:val="24"/>
          <w:szCs w:val="24"/>
        </w:rPr>
        <w:t>specialized/skilled</w:t>
      </w:r>
      <w:r w:rsidR="00BD1B26">
        <w:rPr>
          <w:rFonts w:ascii="Times New Roman" w:eastAsia="Times New Roman" w:hAnsi="Times New Roman" w:cs="Times New Roman"/>
          <w:sz w:val="24"/>
          <w:szCs w:val="24"/>
        </w:rPr>
        <w:t xml:space="preserve"> </w:t>
      </w:r>
      <w:r w:rsidRPr="00BE4AF3">
        <w:rPr>
          <w:rFonts w:ascii="Times New Roman" w:eastAsia="Times New Roman" w:hAnsi="Times New Roman" w:cs="Times New Roman"/>
          <w:sz w:val="24"/>
          <w:szCs w:val="24"/>
        </w:rPr>
        <w:t>labour, increased transportation and logistical challenges related to size,</w:t>
      </w:r>
      <w:r w:rsidR="00BD1B26">
        <w:rPr>
          <w:rFonts w:ascii="Times New Roman" w:eastAsia="Times New Roman" w:hAnsi="Times New Roman" w:cs="Times New Roman"/>
          <w:sz w:val="24"/>
          <w:szCs w:val="24"/>
        </w:rPr>
        <w:t xml:space="preserve"> </w:t>
      </w:r>
      <w:r w:rsidRPr="00BE4AF3">
        <w:rPr>
          <w:rFonts w:ascii="Times New Roman" w:eastAsia="Times New Roman" w:hAnsi="Times New Roman" w:cs="Times New Roman"/>
          <w:sz w:val="24"/>
          <w:szCs w:val="24"/>
        </w:rPr>
        <w:t>weight, and route restrictions, site topography, lack of plant and equipment, and limited research</w:t>
      </w:r>
      <w:r w:rsidR="00BD1B26">
        <w:rPr>
          <w:rFonts w:ascii="Times New Roman" w:eastAsia="Times New Roman" w:hAnsi="Times New Roman" w:cs="Times New Roman"/>
          <w:sz w:val="24"/>
          <w:szCs w:val="24"/>
        </w:rPr>
        <w:t xml:space="preserve"> </w:t>
      </w:r>
      <w:r w:rsidRPr="00BE4AF3">
        <w:rPr>
          <w:rFonts w:ascii="Times New Roman" w:eastAsia="Times New Roman" w:hAnsi="Times New Roman" w:cs="Times New Roman"/>
          <w:sz w:val="24"/>
          <w:szCs w:val="24"/>
        </w:rPr>
        <w:t>and collaboration were also mentioned (Ayoola and Aghimien, 2017).</w:t>
      </w:r>
    </w:p>
    <w:p w14:paraId="2C38CE23" w14:textId="598B1E65" w:rsidR="00A84E96" w:rsidRPr="00BE4AF3" w:rsidRDefault="00A84E96" w:rsidP="00EC006E">
      <w:pPr>
        <w:autoSpaceDE w:val="0"/>
        <w:autoSpaceDN w:val="0"/>
        <w:adjustRightInd w:val="0"/>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Some of these factors have been identified as critical success factors encouraging adoption, while</w:t>
      </w:r>
      <w:r w:rsidR="00BD1B26">
        <w:rPr>
          <w:rFonts w:ascii="Times New Roman" w:eastAsia="Times New Roman" w:hAnsi="Times New Roman" w:cs="Times New Roman"/>
          <w:sz w:val="24"/>
          <w:szCs w:val="24"/>
        </w:rPr>
        <w:t xml:space="preserve"> </w:t>
      </w:r>
      <w:r w:rsidRPr="00BE4AF3">
        <w:rPr>
          <w:rFonts w:ascii="Times New Roman" w:eastAsia="Times New Roman" w:hAnsi="Times New Roman" w:cs="Times New Roman"/>
          <w:sz w:val="24"/>
          <w:szCs w:val="24"/>
        </w:rPr>
        <w:t>others act as barriers limiting the uptake of prefabrication in the construction industry. These</w:t>
      </w:r>
      <w:r w:rsidR="00BD1B26">
        <w:rPr>
          <w:rFonts w:ascii="Times New Roman" w:eastAsia="Times New Roman" w:hAnsi="Times New Roman" w:cs="Times New Roman"/>
          <w:sz w:val="24"/>
          <w:szCs w:val="24"/>
        </w:rPr>
        <w:t xml:space="preserve"> </w:t>
      </w:r>
      <w:r w:rsidRPr="00BE4AF3">
        <w:rPr>
          <w:rFonts w:ascii="Times New Roman" w:eastAsia="Times New Roman" w:hAnsi="Times New Roman" w:cs="Times New Roman"/>
          <w:sz w:val="24"/>
          <w:szCs w:val="24"/>
        </w:rPr>
        <w:t>factors are Policy Factor, Cost Factor, Market Factor, Management Factor, and Technical Factor.</w:t>
      </w:r>
    </w:p>
    <w:p w14:paraId="1A48D1B6" w14:textId="77777777" w:rsidR="00A84E96" w:rsidRPr="00BE4AF3" w:rsidRDefault="00A84E96" w:rsidP="00A84E96">
      <w:pPr>
        <w:autoSpaceDE w:val="0"/>
        <w:autoSpaceDN w:val="0"/>
        <w:adjustRightInd w:val="0"/>
        <w:spacing w:after="0" w:line="240" w:lineRule="auto"/>
        <w:jc w:val="both"/>
        <w:rPr>
          <w:rFonts w:ascii="Times New Roman" w:eastAsia="Times New Roman" w:hAnsi="Times New Roman" w:cs="Times New Roman"/>
          <w:sz w:val="24"/>
          <w:szCs w:val="24"/>
        </w:rPr>
      </w:pPr>
    </w:p>
    <w:p w14:paraId="3B437076" w14:textId="2A775CB8" w:rsidR="00A84E96" w:rsidRPr="00BD1B26" w:rsidRDefault="00A84E96" w:rsidP="00BD1B26">
      <w:pPr>
        <w:tabs>
          <w:tab w:val="left" w:pos="327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Materials and Methods</w:t>
      </w:r>
    </w:p>
    <w:p w14:paraId="253E364F" w14:textId="77777777" w:rsidR="00A84E96" w:rsidRPr="00BE4AF3" w:rsidRDefault="00A84E96" w:rsidP="00A84E96">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Oyo State, Nigeria, the research area, is renowned for having a large amount of building activity and a large number of construction specialists employed there. The size of Oyo State is approximately 28,454 square kilometers. Oyo State shares borders with Kwara State to the north, </w:t>
      </w:r>
      <w:r w:rsidRPr="00BE4AF3">
        <w:rPr>
          <w:rFonts w:ascii="Times New Roman" w:eastAsia="Times New Roman" w:hAnsi="Times New Roman" w:cs="Times New Roman"/>
          <w:sz w:val="24"/>
          <w:szCs w:val="24"/>
        </w:rPr>
        <w:lastRenderedPageBreak/>
        <w:t xml:space="preserve">Osun State to the east, Ogun State, and the Republic of Benin to the southwest. </w:t>
      </w:r>
      <w:r w:rsidRPr="00BE4AF3">
        <w:rPr>
          <w:rFonts w:ascii="Times New Roman" w:hAnsi="Times New Roman" w:cs="Times New Roman"/>
          <w:sz w:val="24"/>
          <w:szCs w:val="24"/>
        </w:rPr>
        <w:t>By 2016, the population had surged to an estimated 7,840,864, reflecting the area's rapid growth and urban expansion.</w:t>
      </w:r>
    </w:p>
    <w:p w14:paraId="5EB64D90" w14:textId="77777777" w:rsidR="00A84E96" w:rsidRPr="00BE4AF3" w:rsidRDefault="00A84E96" w:rsidP="00A84E96">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 One hundred and seventy eight (178) professionals from the public and private sectors make up the study population. The information about these individuals were acquired from the relevant professional associations. Of the seven Built environment professionals (Architect, Builder, Engineer, Estate Surveyor, Land Surveyor, Town Planner, and Quantity Surveyor according to National Building Code (NBC), four representatives were chosen, namely architects (53), builders (42), structural engineers (38), and quantity surveyors (45), who are primarily in charge of design production and estimation of construction projects. </w:t>
      </w:r>
    </w:p>
    <w:p w14:paraId="12CA777D" w14:textId="77777777" w:rsidR="00A84E96" w:rsidRPr="00BE4AF3" w:rsidRDefault="00A84E96" w:rsidP="00A84E96">
      <w:pPr>
        <w:autoSpaceDE w:val="0"/>
        <w:autoSpaceDN w:val="0"/>
        <w:adjustRightInd w:val="0"/>
        <w:spacing w:before="240" w:after="0" w:line="240" w:lineRule="auto"/>
        <w:ind w:left="450"/>
        <w:jc w:val="both"/>
        <w:rPr>
          <w:rFonts w:ascii="Times New Roman" w:hAnsi="Times New Roman" w:cs="Times New Roman"/>
          <w:sz w:val="24"/>
          <w:szCs w:val="24"/>
        </w:rPr>
      </w:pPr>
      <w:r w:rsidRPr="00BE4AF3">
        <w:rPr>
          <w:rFonts w:ascii="Times New Roman" w:hAnsi="Times New Roman" w:cs="Times New Roman"/>
          <w:sz w:val="24"/>
          <w:szCs w:val="24"/>
        </w:rPr>
        <w:t>Using Yamane’s (1967) formula for calculating sample size, the data obtained is analyzed by:</w:t>
      </w:r>
    </w:p>
    <w:p w14:paraId="7C56B8A5" w14:textId="77777777" w:rsidR="00A84E96" w:rsidRPr="00BE4AF3" w:rsidRDefault="00A84E96" w:rsidP="00A84E96">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noProof/>
          <w:sz w:val="24"/>
          <w:szCs w:val="24"/>
          <w:lang w:eastAsia="en-GB"/>
        </w:rPr>
        <mc:AlternateContent>
          <mc:Choice Requires="wps">
            <w:drawing>
              <wp:anchor distT="0" distB="0" distL="114300" distR="114300" simplePos="0" relativeHeight="251668480" behindDoc="0" locked="0" layoutInCell="1" allowOverlap="1" wp14:anchorId="2ABCF4D3" wp14:editId="2E090F15">
                <wp:simplePos x="0" y="0"/>
                <wp:positionH relativeFrom="column">
                  <wp:posOffset>1042670</wp:posOffset>
                </wp:positionH>
                <wp:positionV relativeFrom="paragraph">
                  <wp:posOffset>159385</wp:posOffset>
                </wp:positionV>
                <wp:extent cx="621665" cy="0"/>
                <wp:effectExtent l="0" t="0" r="26035" b="19050"/>
                <wp:wrapNone/>
                <wp:docPr id="9" name="Straight Connector 9"/>
                <wp:cNvGraphicFramePr/>
                <a:graphic xmlns:a="http://schemas.openxmlformats.org/drawingml/2006/main">
                  <a:graphicData uri="http://schemas.microsoft.com/office/word/2010/wordprocessingShape">
                    <wps:wsp>
                      <wps:cNvCnPr/>
                      <wps:spPr>
                        <a:xfrm>
                          <a:off x="0" y="0"/>
                          <a:ext cx="621665" cy="0"/>
                        </a:xfrm>
                        <a:prstGeom prst="line">
                          <a:avLst/>
                        </a:prstGeom>
                        <a:ln w="9525"/>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7941D3DC" id="Straight Connector 9"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82.1pt,12.55pt" to="131.0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" strokecolor="black [3200]">
                <v:stroke joinstyle="miter"/>
              </v:line>
            </w:pict>
          </mc:Fallback>
        </mc:AlternateContent>
      </w:r>
      <w:r w:rsidRPr="00BE4AF3">
        <w:rPr>
          <w:rFonts w:ascii="Times New Roman" w:hAnsi="Times New Roman" w:cs="Times New Roman"/>
          <w:sz w:val="24"/>
          <w:szCs w:val="24"/>
        </w:rPr>
        <w:t xml:space="preserve">                n =             N      </w:t>
      </w:r>
    </w:p>
    <w:p w14:paraId="25F681A9" w14:textId="77777777" w:rsidR="00A84E96" w:rsidRPr="00BE4AF3" w:rsidRDefault="00A84E96" w:rsidP="00A84E96">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                           1 + N (e)2</w:t>
      </w:r>
    </w:p>
    <w:p w14:paraId="7CD903A3" w14:textId="77777777" w:rsidR="00A84E96" w:rsidRPr="00BE4AF3" w:rsidRDefault="00A84E96" w:rsidP="00A84E96">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Where </w:t>
      </w:r>
      <w:r w:rsidRPr="00BE4AF3">
        <w:rPr>
          <w:rFonts w:ascii="Times New Roman" w:hAnsi="Times New Roman" w:cs="Times New Roman"/>
          <w:b/>
          <w:bCs/>
          <w:sz w:val="24"/>
          <w:szCs w:val="24"/>
        </w:rPr>
        <w:t xml:space="preserve">n </w:t>
      </w:r>
      <w:r w:rsidRPr="00BE4AF3">
        <w:rPr>
          <w:rFonts w:ascii="Times New Roman" w:hAnsi="Times New Roman" w:cs="Times New Roman"/>
          <w:sz w:val="24"/>
          <w:szCs w:val="24"/>
        </w:rPr>
        <w:t xml:space="preserve">is the sample size, </w:t>
      </w:r>
      <w:r w:rsidRPr="00BE4AF3">
        <w:rPr>
          <w:rFonts w:ascii="Times New Roman" w:hAnsi="Times New Roman" w:cs="Times New Roman"/>
          <w:b/>
          <w:bCs/>
          <w:sz w:val="24"/>
          <w:szCs w:val="24"/>
        </w:rPr>
        <w:t>N</w:t>
      </w:r>
      <w:r w:rsidRPr="00BE4AF3">
        <w:rPr>
          <w:rFonts w:ascii="Times New Roman" w:hAnsi="Times New Roman" w:cs="Times New Roman"/>
          <w:sz w:val="24"/>
          <w:szCs w:val="24"/>
        </w:rPr>
        <w:t xml:space="preserve">is the actual population, and </w:t>
      </w:r>
      <w:r w:rsidRPr="00BE4AF3">
        <w:rPr>
          <w:rFonts w:ascii="Times New Roman" w:hAnsi="Times New Roman" w:cs="Times New Roman"/>
          <w:b/>
          <w:bCs/>
          <w:sz w:val="24"/>
          <w:szCs w:val="24"/>
        </w:rPr>
        <w:t>e</w:t>
      </w:r>
      <w:r w:rsidRPr="00BE4AF3">
        <w:rPr>
          <w:rFonts w:ascii="Times New Roman" w:hAnsi="Times New Roman" w:cs="Times New Roman"/>
          <w:sz w:val="24"/>
          <w:szCs w:val="24"/>
        </w:rPr>
        <w:t>” is the level of significance (taken as</w:t>
      </w:r>
    </w:p>
    <w:p w14:paraId="2C6D7CDA" w14:textId="77777777" w:rsidR="00A84E96" w:rsidRPr="00BE4AF3" w:rsidRDefault="00A84E96" w:rsidP="00BD1B26">
      <w:pPr>
        <w:autoSpaceDE w:val="0"/>
        <w:autoSpaceDN w:val="0"/>
        <w:adjustRightInd w:val="0"/>
        <w:spacing w:before="240"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0.05) with confidence level of 95%, while, considering the fact that the sample size calculated is a minimum value, the sample population is calculated to be 123 professionals with poll conducted in Oyo state. Members of professional bodies were given the questionnaires to complete and return for the purpose of this study. The Statistical Package for the Social Sciences (SPSS) software program was used to evaluate the data that were gathered. Descriptive statistics were applied to the collected data, resulting in the computation of MIS, percentages and frequency distribution. Tables and charts were used to display the findings. </w:t>
      </w:r>
    </w:p>
    <w:p w14:paraId="7F5B7BC0" w14:textId="77777777" w:rsidR="00A84E96" w:rsidRPr="00BE4AF3" w:rsidRDefault="00A84E96" w:rsidP="00A84E96">
      <w:pPr>
        <w:autoSpaceDE w:val="0"/>
        <w:autoSpaceDN w:val="0"/>
        <w:adjustRightInd w:val="0"/>
        <w:spacing w:after="0" w:line="240" w:lineRule="auto"/>
        <w:jc w:val="both"/>
        <w:rPr>
          <w:rFonts w:ascii="Times New Roman" w:hAnsi="Times New Roman" w:cs="Times New Roman"/>
          <w:b/>
          <w:sz w:val="24"/>
          <w:szCs w:val="24"/>
        </w:rPr>
      </w:pPr>
    </w:p>
    <w:p w14:paraId="73A77CAB" w14:textId="0E618422" w:rsidR="00A84E96" w:rsidRPr="00BE4AF3" w:rsidRDefault="00A84E96" w:rsidP="00BD1B26">
      <w:pPr>
        <w:pStyle w:val="Caption"/>
        <w:spacing w:after="0"/>
        <w:jc w:val="both"/>
        <w:rPr>
          <w:rFonts w:ascii="Times New Roman" w:hAnsi="Times New Roman" w:cs="Times New Roman"/>
          <w:i w:val="0"/>
          <w:color w:val="auto"/>
          <w:sz w:val="24"/>
          <w:szCs w:val="24"/>
        </w:rPr>
      </w:pPr>
      <w:r w:rsidRPr="00BD1B26">
        <w:rPr>
          <w:rFonts w:ascii="Times New Roman" w:hAnsi="Times New Roman" w:cs="Times New Roman"/>
          <w:b/>
          <w:bCs/>
          <w:i w:val="0"/>
          <w:color w:val="auto"/>
          <w:sz w:val="24"/>
          <w:szCs w:val="24"/>
        </w:rPr>
        <w:t xml:space="preserve">Table </w:t>
      </w:r>
      <w:r w:rsidRPr="00BD1B26">
        <w:rPr>
          <w:rFonts w:ascii="Times New Roman" w:hAnsi="Times New Roman" w:cs="Times New Roman"/>
          <w:b/>
          <w:bCs/>
          <w:i w:val="0"/>
          <w:color w:val="auto"/>
          <w:sz w:val="24"/>
          <w:szCs w:val="24"/>
        </w:rPr>
        <w:fldChar w:fldCharType="begin"/>
      </w:r>
      <w:r w:rsidRPr="00BD1B26">
        <w:rPr>
          <w:rFonts w:ascii="Times New Roman" w:hAnsi="Times New Roman" w:cs="Times New Roman"/>
          <w:b/>
          <w:bCs/>
          <w:i w:val="0"/>
          <w:color w:val="auto"/>
          <w:sz w:val="24"/>
          <w:szCs w:val="24"/>
        </w:rPr>
        <w:instrText xml:space="preserve"> SEQ Table \* ARABIC </w:instrText>
      </w:r>
      <w:r w:rsidRPr="00BD1B26">
        <w:rPr>
          <w:rFonts w:ascii="Times New Roman" w:hAnsi="Times New Roman" w:cs="Times New Roman"/>
          <w:b/>
          <w:bCs/>
          <w:i w:val="0"/>
          <w:color w:val="auto"/>
          <w:sz w:val="24"/>
          <w:szCs w:val="24"/>
        </w:rPr>
        <w:fldChar w:fldCharType="separate"/>
      </w:r>
      <w:r w:rsidRPr="00BD1B26">
        <w:rPr>
          <w:rFonts w:ascii="Times New Roman" w:hAnsi="Times New Roman" w:cs="Times New Roman"/>
          <w:b/>
          <w:bCs/>
          <w:i w:val="0"/>
          <w:noProof/>
          <w:color w:val="auto"/>
          <w:sz w:val="24"/>
          <w:szCs w:val="24"/>
        </w:rPr>
        <w:t>1</w:t>
      </w:r>
      <w:r w:rsidRPr="00BD1B26">
        <w:rPr>
          <w:rFonts w:ascii="Times New Roman" w:hAnsi="Times New Roman" w:cs="Times New Roman"/>
          <w:b/>
          <w:bCs/>
          <w:i w:val="0"/>
          <w:noProof/>
          <w:color w:val="auto"/>
          <w:sz w:val="24"/>
          <w:szCs w:val="24"/>
        </w:rPr>
        <w:fldChar w:fldCharType="end"/>
      </w:r>
      <w:r w:rsidR="00BD1B26">
        <w:rPr>
          <w:rFonts w:ascii="Times New Roman" w:hAnsi="Times New Roman" w:cs="Times New Roman"/>
          <w:b/>
          <w:bCs/>
          <w:i w:val="0"/>
          <w:color w:val="auto"/>
          <w:sz w:val="24"/>
          <w:szCs w:val="24"/>
        </w:rPr>
        <w:t>:</w:t>
      </w:r>
      <w:r w:rsidRPr="00BE4AF3">
        <w:rPr>
          <w:rFonts w:ascii="Times New Roman" w:hAnsi="Times New Roman" w:cs="Times New Roman"/>
          <w:i w:val="0"/>
          <w:color w:val="auto"/>
          <w:sz w:val="24"/>
          <w:szCs w:val="24"/>
        </w:rPr>
        <w:t xml:space="preserve"> Population and Sample Size</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0"/>
        <w:gridCol w:w="1567"/>
        <w:gridCol w:w="2386"/>
        <w:gridCol w:w="1968"/>
        <w:gridCol w:w="1919"/>
      </w:tblGrid>
      <w:tr w:rsidR="00A84E96" w:rsidRPr="00BD1B26" w14:paraId="5910711C" w14:textId="77777777" w:rsidTr="00BD1B26">
        <w:trPr>
          <w:jc w:val="center"/>
        </w:trPr>
        <w:tc>
          <w:tcPr>
            <w:tcW w:w="1579" w:type="dxa"/>
            <w:hideMark/>
          </w:tcPr>
          <w:p w14:paraId="7B669923" w14:textId="77777777" w:rsidR="00A84E96" w:rsidRPr="00BD1B26" w:rsidRDefault="00A84E96"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noProof/>
                <w:sz w:val="20"/>
                <w:szCs w:val="20"/>
                <w:lang w:eastAsia="en-GB"/>
              </w:rPr>
              <mc:AlternateContent>
                <mc:Choice Requires="wps">
                  <w:drawing>
                    <wp:anchor distT="0" distB="0" distL="114300" distR="114300" simplePos="0" relativeHeight="251669504" behindDoc="0" locked="0" layoutInCell="1" allowOverlap="1" wp14:anchorId="2C945699" wp14:editId="51CAE760">
                      <wp:simplePos x="0" y="0"/>
                      <wp:positionH relativeFrom="column">
                        <wp:posOffset>-71755</wp:posOffset>
                      </wp:positionH>
                      <wp:positionV relativeFrom="paragraph">
                        <wp:posOffset>3246</wp:posOffset>
                      </wp:positionV>
                      <wp:extent cx="5926667" cy="328930"/>
                      <wp:effectExtent l="0" t="0" r="17145" b="13970"/>
                      <wp:wrapNone/>
                      <wp:docPr id="1" name="Text Box 1"/>
                      <wp:cNvGraphicFramePr/>
                      <a:graphic xmlns:a="http://schemas.openxmlformats.org/drawingml/2006/main">
                        <a:graphicData uri="http://schemas.microsoft.com/office/word/2010/wordprocessingShape">
                          <wps:wsp>
                            <wps:cNvSpPr txBox="1"/>
                            <wps:spPr>
                              <a:xfrm>
                                <a:off x="0" y="0"/>
                                <a:ext cx="5926667" cy="3289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31E554A" w14:textId="77777777" w:rsidR="00BE4AF3" w:rsidRPr="00FB5413" w:rsidRDefault="00BE4AF3" w:rsidP="00A84E96">
                                  <w:pPr>
                                    <w:ind w:left="2880"/>
                                    <w:rPr>
                                      <w:bCs/>
                                      <w:sz w:val="18"/>
                                      <w:szCs w:val="18"/>
                                    </w:rPr>
                                  </w:pPr>
                                  <w:r w:rsidRPr="00FB5413">
                                    <w:rPr>
                                      <w:rFonts w:ascii="Times New Roman" w:hAnsi="Times New Roman" w:cs="Times New Roman"/>
                                      <w:bCs/>
                                      <w:sz w:val="20"/>
                                      <w:szCs w:val="20"/>
                                    </w:rPr>
                                    <w:t xml:space="preserve">    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2C945699" id="_x0000_t202" coordsize="21600,21600" o:spt="202" path="m,l,21600r21600,l21600,xe">
                      <v:stroke joinstyle="miter"/>
                      <v:path gradientshapeok="t" o:connecttype="rect"/>
                    </v:shapetype>
                    <v:shape id="Text Box 1" o:spid="_x0000_s1028" type="#_x0000_t202" style="position:absolute;left:0;text-align:left;margin-left:-5.65pt;margin-top:.25pt;width:466.65pt;height:25.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" fillcolor="white [3201]" strokeweight=".5pt">
                      <v:textbox>
                        <w:txbxContent>
                          <w:p w14:paraId="431E554A" w14:textId="77777777" w:rsidR="00BE4AF3" w:rsidRPr="00FB5413" w:rsidRDefault="00BE4AF3" w:rsidP="00A84E96">
                            <w:pPr>
                              <w:ind w:left="2880"/>
                              <w:rPr>
                                <w:bCs/>
                                <w:sz w:val="18"/>
                                <w:szCs w:val="18"/>
                              </w:rPr>
                            </w:pPr>
                            <w:r w:rsidRPr="00FB5413">
                              <w:rPr>
                                <w:rFonts w:ascii="Times New Roman" w:hAnsi="Times New Roman" w:cs="Times New Roman"/>
                                <w:bCs/>
                                <w:sz w:val="20"/>
                                <w:szCs w:val="20"/>
                              </w:rPr>
                              <w:t xml:space="preserve">    Population</w:t>
                            </w:r>
                          </w:p>
                        </w:txbxContent>
                      </v:textbox>
                    </v:shape>
                  </w:pict>
                </mc:Fallback>
              </mc:AlternateContent>
            </w:r>
          </w:p>
        </w:tc>
        <w:tc>
          <w:tcPr>
            <w:tcW w:w="1648" w:type="dxa"/>
          </w:tcPr>
          <w:p w14:paraId="2A0DDF02" w14:textId="77777777" w:rsidR="00A84E96" w:rsidRPr="00BD1B26" w:rsidRDefault="00A84E96" w:rsidP="00A84E96">
            <w:pPr>
              <w:spacing w:after="112" w:line="240" w:lineRule="auto"/>
              <w:jc w:val="both"/>
              <w:rPr>
                <w:rFonts w:ascii="Times New Roman" w:hAnsi="Times New Roman" w:cs="Times New Roman"/>
                <w:sz w:val="20"/>
                <w:szCs w:val="20"/>
              </w:rPr>
            </w:pPr>
          </w:p>
        </w:tc>
        <w:tc>
          <w:tcPr>
            <w:tcW w:w="2551" w:type="dxa"/>
          </w:tcPr>
          <w:p w14:paraId="71311CFA" w14:textId="77777777" w:rsidR="00A84E96" w:rsidRPr="00BD1B26" w:rsidRDefault="00A84E96" w:rsidP="00A84E96">
            <w:pPr>
              <w:spacing w:after="112" w:line="240" w:lineRule="auto"/>
              <w:jc w:val="both"/>
              <w:rPr>
                <w:rFonts w:ascii="Times New Roman" w:hAnsi="Times New Roman" w:cs="Times New Roman"/>
                <w:sz w:val="20"/>
                <w:szCs w:val="20"/>
              </w:rPr>
            </w:pPr>
          </w:p>
        </w:tc>
        <w:tc>
          <w:tcPr>
            <w:tcW w:w="2091" w:type="dxa"/>
          </w:tcPr>
          <w:p w14:paraId="04318714" w14:textId="77777777" w:rsidR="00A84E96" w:rsidRPr="00BD1B26" w:rsidRDefault="00A84E96" w:rsidP="00A84E96">
            <w:pPr>
              <w:spacing w:after="112" w:line="240" w:lineRule="auto"/>
              <w:jc w:val="both"/>
              <w:rPr>
                <w:rFonts w:ascii="Times New Roman" w:hAnsi="Times New Roman" w:cs="Times New Roman"/>
                <w:sz w:val="20"/>
                <w:szCs w:val="20"/>
              </w:rPr>
            </w:pPr>
          </w:p>
        </w:tc>
        <w:tc>
          <w:tcPr>
            <w:tcW w:w="2020" w:type="dxa"/>
          </w:tcPr>
          <w:p w14:paraId="7B17BF3D" w14:textId="77777777" w:rsidR="00A84E96" w:rsidRPr="00BD1B26" w:rsidRDefault="00A84E96" w:rsidP="00A84E96">
            <w:pPr>
              <w:spacing w:after="112" w:line="240" w:lineRule="auto"/>
              <w:jc w:val="both"/>
              <w:rPr>
                <w:rFonts w:ascii="Times New Roman" w:hAnsi="Times New Roman" w:cs="Times New Roman"/>
                <w:sz w:val="20"/>
                <w:szCs w:val="20"/>
              </w:rPr>
            </w:pPr>
          </w:p>
        </w:tc>
      </w:tr>
      <w:tr w:rsidR="00A84E96" w:rsidRPr="00BD1B26" w14:paraId="01766845" w14:textId="77777777" w:rsidTr="00BD1B26">
        <w:trPr>
          <w:jc w:val="center"/>
        </w:trPr>
        <w:tc>
          <w:tcPr>
            <w:tcW w:w="1579" w:type="dxa"/>
          </w:tcPr>
          <w:p w14:paraId="66D01304" w14:textId="77777777" w:rsidR="00A84E96" w:rsidRPr="00BD1B26" w:rsidRDefault="00A84E96" w:rsidP="00A84E96">
            <w:pPr>
              <w:spacing w:after="112" w:line="240" w:lineRule="auto"/>
              <w:jc w:val="both"/>
              <w:rPr>
                <w:rFonts w:ascii="Times New Roman" w:hAnsi="Times New Roman" w:cs="Times New Roman"/>
                <w:noProof/>
                <w:sz w:val="20"/>
                <w:szCs w:val="20"/>
              </w:rPr>
            </w:pPr>
          </w:p>
        </w:tc>
        <w:tc>
          <w:tcPr>
            <w:tcW w:w="1648" w:type="dxa"/>
          </w:tcPr>
          <w:p w14:paraId="5776641B" w14:textId="77777777" w:rsidR="00A84E96" w:rsidRPr="00BD1B26" w:rsidRDefault="00A84E96" w:rsidP="00A84E96">
            <w:pPr>
              <w:spacing w:after="112" w:line="240" w:lineRule="auto"/>
              <w:jc w:val="both"/>
              <w:rPr>
                <w:rFonts w:ascii="Times New Roman" w:hAnsi="Times New Roman" w:cs="Times New Roman"/>
                <w:sz w:val="20"/>
                <w:szCs w:val="20"/>
              </w:rPr>
            </w:pPr>
          </w:p>
        </w:tc>
        <w:tc>
          <w:tcPr>
            <w:tcW w:w="2551" w:type="dxa"/>
          </w:tcPr>
          <w:p w14:paraId="73EB4FF9" w14:textId="77777777" w:rsidR="00A84E96" w:rsidRPr="00BD1B26" w:rsidRDefault="00A84E96" w:rsidP="00A84E96">
            <w:pPr>
              <w:spacing w:after="112" w:line="240" w:lineRule="auto"/>
              <w:jc w:val="both"/>
              <w:rPr>
                <w:rFonts w:ascii="Times New Roman" w:hAnsi="Times New Roman" w:cs="Times New Roman"/>
                <w:sz w:val="20"/>
                <w:szCs w:val="20"/>
              </w:rPr>
            </w:pPr>
          </w:p>
        </w:tc>
        <w:tc>
          <w:tcPr>
            <w:tcW w:w="2091" w:type="dxa"/>
          </w:tcPr>
          <w:p w14:paraId="25680070" w14:textId="77777777" w:rsidR="00A84E96" w:rsidRPr="00BD1B26" w:rsidRDefault="00A84E96" w:rsidP="00A84E96">
            <w:pPr>
              <w:spacing w:after="112" w:line="240" w:lineRule="auto"/>
              <w:jc w:val="both"/>
              <w:rPr>
                <w:rFonts w:ascii="Times New Roman" w:hAnsi="Times New Roman" w:cs="Times New Roman"/>
                <w:sz w:val="20"/>
                <w:szCs w:val="20"/>
              </w:rPr>
            </w:pPr>
          </w:p>
        </w:tc>
        <w:tc>
          <w:tcPr>
            <w:tcW w:w="2020" w:type="dxa"/>
          </w:tcPr>
          <w:p w14:paraId="21E5A1A1" w14:textId="77777777" w:rsidR="00A84E96" w:rsidRPr="00BD1B26" w:rsidRDefault="00A84E96" w:rsidP="00A84E96">
            <w:pPr>
              <w:spacing w:after="112" w:line="240" w:lineRule="auto"/>
              <w:jc w:val="both"/>
              <w:rPr>
                <w:rFonts w:ascii="Times New Roman" w:hAnsi="Times New Roman" w:cs="Times New Roman"/>
                <w:sz w:val="20"/>
                <w:szCs w:val="20"/>
              </w:rPr>
            </w:pPr>
          </w:p>
        </w:tc>
      </w:tr>
      <w:tr w:rsidR="00A84E96" w:rsidRPr="00BD1B26" w14:paraId="554DFF6D" w14:textId="77777777" w:rsidTr="00BD1B26">
        <w:trPr>
          <w:jc w:val="center"/>
        </w:trPr>
        <w:tc>
          <w:tcPr>
            <w:tcW w:w="1579" w:type="dxa"/>
            <w:hideMark/>
          </w:tcPr>
          <w:p w14:paraId="368ADD2F" w14:textId="77777777" w:rsidR="00A84E96" w:rsidRPr="00BD1B26" w:rsidRDefault="00A84E96"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sz w:val="20"/>
                <w:szCs w:val="20"/>
              </w:rPr>
              <w:t>Architects</w:t>
            </w:r>
          </w:p>
        </w:tc>
        <w:tc>
          <w:tcPr>
            <w:tcW w:w="1648" w:type="dxa"/>
            <w:hideMark/>
          </w:tcPr>
          <w:p w14:paraId="08541DCF" w14:textId="77777777" w:rsidR="00A84E96" w:rsidRPr="00BD1B26" w:rsidRDefault="00A84E96"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sz w:val="20"/>
                <w:szCs w:val="20"/>
              </w:rPr>
              <w:t>Builders</w:t>
            </w:r>
          </w:p>
        </w:tc>
        <w:tc>
          <w:tcPr>
            <w:tcW w:w="2551" w:type="dxa"/>
            <w:hideMark/>
          </w:tcPr>
          <w:p w14:paraId="1E0842F3" w14:textId="77777777" w:rsidR="00A84E96" w:rsidRPr="00BD1B26" w:rsidRDefault="00A84E96"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sz w:val="20"/>
                <w:szCs w:val="20"/>
              </w:rPr>
              <w:t>Structural Engineers</w:t>
            </w:r>
          </w:p>
        </w:tc>
        <w:tc>
          <w:tcPr>
            <w:tcW w:w="2091" w:type="dxa"/>
            <w:hideMark/>
          </w:tcPr>
          <w:p w14:paraId="3DFD3952" w14:textId="77777777" w:rsidR="00A84E96" w:rsidRPr="00BD1B26" w:rsidRDefault="00A84E96"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sz w:val="20"/>
                <w:szCs w:val="20"/>
              </w:rPr>
              <w:t>Quantity Surveyor</w:t>
            </w:r>
          </w:p>
        </w:tc>
        <w:tc>
          <w:tcPr>
            <w:tcW w:w="2020" w:type="dxa"/>
            <w:hideMark/>
          </w:tcPr>
          <w:p w14:paraId="368CDED9" w14:textId="77777777" w:rsidR="00A84E96" w:rsidRPr="00BD1B26" w:rsidRDefault="00A84E96"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sz w:val="20"/>
                <w:szCs w:val="20"/>
              </w:rPr>
              <w:t>Total Population</w:t>
            </w:r>
          </w:p>
        </w:tc>
      </w:tr>
      <w:tr w:rsidR="00A84E96" w:rsidRPr="00BD1B26" w14:paraId="39EF921A" w14:textId="77777777" w:rsidTr="00BD1B26">
        <w:trPr>
          <w:jc w:val="center"/>
        </w:trPr>
        <w:tc>
          <w:tcPr>
            <w:tcW w:w="1579" w:type="dxa"/>
            <w:hideMark/>
          </w:tcPr>
          <w:p w14:paraId="2C4CD536" w14:textId="77777777" w:rsidR="00A84E96" w:rsidRPr="00BD1B26" w:rsidRDefault="00A84E96"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sz w:val="20"/>
                <w:szCs w:val="20"/>
              </w:rPr>
              <w:t>53</w:t>
            </w:r>
          </w:p>
        </w:tc>
        <w:tc>
          <w:tcPr>
            <w:tcW w:w="1648" w:type="dxa"/>
            <w:hideMark/>
          </w:tcPr>
          <w:p w14:paraId="1A9C3F94" w14:textId="77777777" w:rsidR="00A84E96" w:rsidRPr="00BD1B26" w:rsidRDefault="00A84E96"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sz w:val="20"/>
                <w:szCs w:val="20"/>
              </w:rPr>
              <w:t>42</w:t>
            </w:r>
          </w:p>
        </w:tc>
        <w:tc>
          <w:tcPr>
            <w:tcW w:w="2551" w:type="dxa"/>
            <w:hideMark/>
          </w:tcPr>
          <w:p w14:paraId="773FC4C3" w14:textId="77777777" w:rsidR="00A84E96" w:rsidRPr="00BD1B26" w:rsidRDefault="00A84E96"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sz w:val="20"/>
                <w:szCs w:val="20"/>
              </w:rPr>
              <w:t>38</w:t>
            </w:r>
          </w:p>
        </w:tc>
        <w:tc>
          <w:tcPr>
            <w:tcW w:w="2091" w:type="dxa"/>
            <w:hideMark/>
          </w:tcPr>
          <w:p w14:paraId="646C6F4A" w14:textId="77777777" w:rsidR="00A84E96" w:rsidRPr="00BD1B26" w:rsidRDefault="00A84E96"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sz w:val="20"/>
                <w:szCs w:val="20"/>
              </w:rPr>
              <w:t>45</w:t>
            </w:r>
          </w:p>
        </w:tc>
        <w:tc>
          <w:tcPr>
            <w:tcW w:w="2020" w:type="dxa"/>
            <w:hideMark/>
          </w:tcPr>
          <w:p w14:paraId="2EF64CDD" w14:textId="77777777" w:rsidR="00A84E96" w:rsidRPr="00BD1B26" w:rsidRDefault="00A84E96"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sz w:val="20"/>
                <w:szCs w:val="20"/>
              </w:rPr>
              <w:t>178</w:t>
            </w:r>
          </w:p>
        </w:tc>
      </w:tr>
      <w:tr w:rsidR="00A84E96" w:rsidRPr="00BD1B26" w14:paraId="76023B32" w14:textId="77777777" w:rsidTr="00BD1B26">
        <w:trPr>
          <w:jc w:val="center"/>
        </w:trPr>
        <w:tc>
          <w:tcPr>
            <w:tcW w:w="1579" w:type="dxa"/>
          </w:tcPr>
          <w:p w14:paraId="36C4C4CA" w14:textId="66CB428D" w:rsidR="00A84E96" w:rsidRPr="00BD1B26" w:rsidRDefault="00FB5413"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noProof/>
                <w:sz w:val="20"/>
                <w:szCs w:val="20"/>
                <w:lang w:eastAsia="en-GB"/>
              </w:rPr>
              <mc:AlternateContent>
                <mc:Choice Requires="wps">
                  <w:drawing>
                    <wp:anchor distT="0" distB="0" distL="114300" distR="114300" simplePos="0" relativeHeight="251670528" behindDoc="0" locked="0" layoutInCell="1" allowOverlap="1" wp14:anchorId="701B25C3" wp14:editId="5E37F845">
                      <wp:simplePos x="0" y="0"/>
                      <wp:positionH relativeFrom="column">
                        <wp:posOffset>-68580</wp:posOffset>
                      </wp:positionH>
                      <wp:positionV relativeFrom="paragraph">
                        <wp:posOffset>66675</wp:posOffset>
                      </wp:positionV>
                      <wp:extent cx="4676775" cy="328930"/>
                      <wp:effectExtent l="0" t="0" r="28575" b="13970"/>
                      <wp:wrapNone/>
                      <wp:docPr id="11" name="Text Box 11"/>
                      <wp:cNvGraphicFramePr/>
                      <a:graphic xmlns:a="http://schemas.openxmlformats.org/drawingml/2006/main">
                        <a:graphicData uri="http://schemas.microsoft.com/office/word/2010/wordprocessingShape">
                          <wps:wsp>
                            <wps:cNvSpPr txBox="1"/>
                            <wps:spPr>
                              <a:xfrm>
                                <a:off x="0" y="0"/>
                                <a:ext cx="4676775" cy="3289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53FDE89" w14:textId="77777777" w:rsidR="00BE4AF3" w:rsidRPr="00FB5413" w:rsidRDefault="00BE4AF3" w:rsidP="00A84E96">
                                  <w:pPr>
                                    <w:jc w:val="center"/>
                                    <w:rPr>
                                      <w:bCs/>
                                      <w:sz w:val="18"/>
                                      <w:szCs w:val="18"/>
                                    </w:rPr>
                                  </w:pPr>
                                  <w:r w:rsidRPr="00FB5413">
                                    <w:rPr>
                                      <w:rFonts w:ascii="Times New Roman" w:hAnsi="Times New Roman" w:cs="Times New Roman"/>
                                      <w:bCs/>
                                      <w:sz w:val="20"/>
                                      <w:szCs w:val="20"/>
                                    </w:rPr>
                                    <w:t>Sample Size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01B25C3" id="Text Box 11" o:spid="_x0000_s1029" type="#_x0000_t202" style="position:absolute;left:0;text-align:left;margin-left:-5.4pt;margin-top:5.25pt;width:368.25pt;height:25.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" fillcolor="white [3201]" strokeweight=".5pt">
                      <v:textbox>
                        <w:txbxContent>
                          <w:p w14:paraId="053FDE89" w14:textId="77777777" w:rsidR="00BE4AF3" w:rsidRPr="00FB5413" w:rsidRDefault="00BE4AF3" w:rsidP="00A84E96">
                            <w:pPr>
                              <w:jc w:val="center"/>
                              <w:rPr>
                                <w:bCs/>
                                <w:sz w:val="18"/>
                                <w:szCs w:val="18"/>
                              </w:rPr>
                            </w:pPr>
                            <w:r w:rsidRPr="00FB5413">
                              <w:rPr>
                                <w:rFonts w:ascii="Times New Roman" w:hAnsi="Times New Roman" w:cs="Times New Roman"/>
                                <w:bCs/>
                                <w:sz w:val="20"/>
                                <w:szCs w:val="20"/>
                              </w:rPr>
                              <w:t>Sample Size</w:t>
                            </w:r>
                          </w:p>
                        </w:txbxContent>
                      </v:textbox>
                    </v:shape>
                  </w:pict>
                </mc:Fallback>
              </mc:AlternateContent>
            </w:r>
          </w:p>
        </w:tc>
        <w:tc>
          <w:tcPr>
            <w:tcW w:w="1648" w:type="dxa"/>
          </w:tcPr>
          <w:p w14:paraId="35BE4EF4" w14:textId="77777777" w:rsidR="00A84E96" w:rsidRPr="00BD1B26" w:rsidRDefault="00A84E96" w:rsidP="00A84E96">
            <w:pPr>
              <w:spacing w:after="112" w:line="240" w:lineRule="auto"/>
              <w:jc w:val="both"/>
              <w:rPr>
                <w:rFonts w:ascii="Times New Roman" w:hAnsi="Times New Roman" w:cs="Times New Roman"/>
                <w:sz w:val="20"/>
                <w:szCs w:val="20"/>
              </w:rPr>
            </w:pPr>
          </w:p>
        </w:tc>
        <w:tc>
          <w:tcPr>
            <w:tcW w:w="2551" w:type="dxa"/>
          </w:tcPr>
          <w:p w14:paraId="60E7AAC0" w14:textId="77777777" w:rsidR="00A84E96" w:rsidRPr="00BD1B26" w:rsidRDefault="00A84E96" w:rsidP="00A84E96">
            <w:pPr>
              <w:spacing w:after="112" w:line="240" w:lineRule="auto"/>
              <w:jc w:val="both"/>
              <w:rPr>
                <w:rFonts w:ascii="Times New Roman" w:hAnsi="Times New Roman" w:cs="Times New Roman"/>
                <w:sz w:val="20"/>
                <w:szCs w:val="20"/>
              </w:rPr>
            </w:pPr>
          </w:p>
        </w:tc>
        <w:tc>
          <w:tcPr>
            <w:tcW w:w="2091" w:type="dxa"/>
          </w:tcPr>
          <w:p w14:paraId="328E65DC" w14:textId="77777777" w:rsidR="00A84E96" w:rsidRPr="00BD1B26" w:rsidRDefault="00A84E96" w:rsidP="00A84E96">
            <w:pPr>
              <w:spacing w:after="112" w:line="240" w:lineRule="auto"/>
              <w:jc w:val="both"/>
              <w:rPr>
                <w:rFonts w:ascii="Times New Roman" w:hAnsi="Times New Roman" w:cs="Times New Roman"/>
                <w:sz w:val="20"/>
                <w:szCs w:val="20"/>
              </w:rPr>
            </w:pPr>
          </w:p>
        </w:tc>
        <w:tc>
          <w:tcPr>
            <w:tcW w:w="2020" w:type="dxa"/>
          </w:tcPr>
          <w:p w14:paraId="1BE68829" w14:textId="77777777" w:rsidR="00A84E96" w:rsidRPr="00BD1B26" w:rsidRDefault="00A84E96" w:rsidP="00A84E96">
            <w:pPr>
              <w:spacing w:after="112" w:line="240" w:lineRule="auto"/>
              <w:jc w:val="both"/>
              <w:rPr>
                <w:rFonts w:ascii="Times New Roman" w:hAnsi="Times New Roman" w:cs="Times New Roman"/>
                <w:sz w:val="20"/>
                <w:szCs w:val="20"/>
              </w:rPr>
            </w:pPr>
          </w:p>
        </w:tc>
      </w:tr>
      <w:tr w:rsidR="00A84E96" w:rsidRPr="00BD1B26" w14:paraId="05BC8E3D" w14:textId="77777777" w:rsidTr="00BD1B26">
        <w:trPr>
          <w:jc w:val="center"/>
        </w:trPr>
        <w:tc>
          <w:tcPr>
            <w:tcW w:w="1579" w:type="dxa"/>
          </w:tcPr>
          <w:p w14:paraId="4EA5F71B" w14:textId="09DACC71" w:rsidR="00A84E96" w:rsidRPr="00BD1B26" w:rsidRDefault="00A84E96" w:rsidP="00A84E96">
            <w:pPr>
              <w:spacing w:after="112" w:line="240" w:lineRule="auto"/>
              <w:jc w:val="both"/>
              <w:rPr>
                <w:rFonts w:ascii="Times New Roman" w:hAnsi="Times New Roman" w:cs="Times New Roman"/>
                <w:sz w:val="20"/>
                <w:szCs w:val="20"/>
              </w:rPr>
            </w:pPr>
          </w:p>
        </w:tc>
        <w:tc>
          <w:tcPr>
            <w:tcW w:w="1648" w:type="dxa"/>
          </w:tcPr>
          <w:p w14:paraId="5005B015" w14:textId="77777777" w:rsidR="00A84E96" w:rsidRPr="00BD1B26" w:rsidRDefault="00A84E96" w:rsidP="00A84E96">
            <w:pPr>
              <w:spacing w:after="112" w:line="240" w:lineRule="auto"/>
              <w:jc w:val="both"/>
              <w:rPr>
                <w:rFonts w:ascii="Times New Roman" w:hAnsi="Times New Roman" w:cs="Times New Roman"/>
                <w:sz w:val="20"/>
                <w:szCs w:val="20"/>
              </w:rPr>
            </w:pPr>
          </w:p>
        </w:tc>
        <w:tc>
          <w:tcPr>
            <w:tcW w:w="2551" w:type="dxa"/>
          </w:tcPr>
          <w:p w14:paraId="0540F757" w14:textId="77777777" w:rsidR="00A84E96" w:rsidRPr="00BD1B26" w:rsidRDefault="00A84E96" w:rsidP="00A84E96">
            <w:pPr>
              <w:spacing w:after="112" w:line="240" w:lineRule="auto"/>
              <w:jc w:val="both"/>
              <w:rPr>
                <w:rFonts w:ascii="Times New Roman" w:hAnsi="Times New Roman" w:cs="Times New Roman"/>
                <w:b/>
                <w:sz w:val="20"/>
                <w:szCs w:val="20"/>
              </w:rPr>
            </w:pPr>
          </w:p>
        </w:tc>
        <w:tc>
          <w:tcPr>
            <w:tcW w:w="2091" w:type="dxa"/>
          </w:tcPr>
          <w:p w14:paraId="285D72B0" w14:textId="1FDBD241" w:rsidR="00A84E96" w:rsidRPr="00BD1B26" w:rsidRDefault="00A84E96" w:rsidP="00A84E96">
            <w:pPr>
              <w:spacing w:after="112" w:line="240" w:lineRule="auto"/>
              <w:jc w:val="both"/>
              <w:rPr>
                <w:rFonts w:ascii="Times New Roman" w:hAnsi="Times New Roman" w:cs="Times New Roman"/>
                <w:sz w:val="20"/>
                <w:szCs w:val="20"/>
              </w:rPr>
            </w:pPr>
          </w:p>
        </w:tc>
        <w:tc>
          <w:tcPr>
            <w:tcW w:w="2020" w:type="dxa"/>
            <w:hideMark/>
          </w:tcPr>
          <w:p w14:paraId="2405989D" w14:textId="07ABD9B2" w:rsidR="00A84E96" w:rsidRPr="00BD1B26" w:rsidRDefault="00A84E96"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sz w:val="20"/>
                <w:szCs w:val="20"/>
              </w:rPr>
              <w:t>Total Sample Size</w:t>
            </w:r>
          </w:p>
        </w:tc>
      </w:tr>
      <w:tr w:rsidR="00A84E96" w:rsidRPr="00BD1B26" w14:paraId="1E544010" w14:textId="77777777" w:rsidTr="00BD1B26">
        <w:trPr>
          <w:jc w:val="center"/>
        </w:trPr>
        <w:tc>
          <w:tcPr>
            <w:tcW w:w="1579" w:type="dxa"/>
            <w:hideMark/>
          </w:tcPr>
          <w:p w14:paraId="2DA96D6A" w14:textId="3A7835F3" w:rsidR="00A84E96" w:rsidRPr="00BD1B26" w:rsidRDefault="00A84E96"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sz w:val="20"/>
                <w:szCs w:val="20"/>
              </w:rPr>
              <w:t xml:space="preserve">37 </w:t>
            </w:r>
          </w:p>
        </w:tc>
        <w:tc>
          <w:tcPr>
            <w:tcW w:w="1648" w:type="dxa"/>
            <w:hideMark/>
          </w:tcPr>
          <w:p w14:paraId="57D73846" w14:textId="77777777" w:rsidR="00A84E96" w:rsidRPr="00BD1B26" w:rsidRDefault="00A84E96"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sz w:val="20"/>
                <w:szCs w:val="20"/>
              </w:rPr>
              <w:t>29</w:t>
            </w:r>
          </w:p>
        </w:tc>
        <w:tc>
          <w:tcPr>
            <w:tcW w:w="2551" w:type="dxa"/>
            <w:hideMark/>
          </w:tcPr>
          <w:p w14:paraId="7696BB2E" w14:textId="751A1D9D" w:rsidR="00A84E96" w:rsidRPr="00BD1B26" w:rsidRDefault="00A84E96"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sz w:val="20"/>
                <w:szCs w:val="20"/>
              </w:rPr>
              <w:t>26</w:t>
            </w:r>
          </w:p>
        </w:tc>
        <w:tc>
          <w:tcPr>
            <w:tcW w:w="2091" w:type="dxa"/>
            <w:hideMark/>
          </w:tcPr>
          <w:p w14:paraId="0F97C72E" w14:textId="77777777" w:rsidR="00A84E96" w:rsidRPr="00BD1B26" w:rsidRDefault="00A84E96"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sz w:val="20"/>
                <w:szCs w:val="20"/>
              </w:rPr>
              <w:t>31</w:t>
            </w:r>
          </w:p>
        </w:tc>
        <w:tc>
          <w:tcPr>
            <w:tcW w:w="2020" w:type="dxa"/>
            <w:hideMark/>
          </w:tcPr>
          <w:p w14:paraId="4CC0DFBD" w14:textId="77777777" w:rsidR="00A84E96" w:rsidRPr="00BD1B26" w:rsidRDefault="00A84E96"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sz w:val="20"/>
                <w:szCs w:val="20"/>
              </w:rPr>
              <w:t>123</w:t>
            </w:r>
          </w:p>
        </w:tc>
      </w:tr>
      <w:tr w:rsidR="00A84E96" w:rsidRPr="00BD1B26" w14:paraId="6553F7C5" w14:textId="77777777" w:rsidTr="00BD1B26">
        <w:trPr>
          <w:jc w:val="center"/>
        </w:trPr>
        <w:tc>
          <w:tcPr>
            <w:tcW w:w="1579" w:type="dxa"/>
            <w:hideMark/>
          </w:tcPr>
          <w:p w14:paraId="212A5698" w14:textId="77777777" w:rsidR="00A84E96" w:rsidRPr="00BD1B26" w:rsidRDefault="00A84E96"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sz w:val="20"/>
                <w:szCs w:val="20"/>
              </w:rPr>
              <w:t>41</w:t>
            </w:r>
          </w:p>
        </w:tc>
        <w:tc>
          <w:tcPr>
            <w:tcW w:w="1648" w:type="dxa"/>
            <w:hideMark/>
          </w:tcPr>
          <w:p w14:paraId="7048C235" w14:textId="77777777" w:rsidR="00A84E96" w:rsidRPr="00BD1B26" w:rsidRDefault="00A84E96"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sz w:val="20"/>
                <w:szCs w:val="20"/>
              </w:rPr>
              <w:t>32</w:t>
            </w:r>
          </w:p>
        </w:tc>
        <w:tc>
          <w:tcPr>
            <w:tcW w:w="2551" w:type="dxa"/>
            <w:hideMark/>
          </w:tcPr>
          <w:p w14:paraId="324F65EA" w14:textId="77777777" w:rsidR="00A84E96" w:rsidRPr="00BD1B26" w:rsidRDefault="00A84E96"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sz w:val="20"/>
                <w:szCs w:val="20"/>
              </w:rPr>
              <w:t>29</w:t>
            </w:r>
          </w:p>
        </w:tc>
        <w:tc>
          <w:tcPr>
            <w:tcW w:w="2091" w:type="dxa"/>
            <w:hideMark/>
          </w:tcPr>
          <w:p w14:paraId="2B0582D3" w14:textId="77777777" w:rsidR="00A84E96" w:rsidRPr="00BD1B26" w:rsidRDefault="00A84E96" w:rsidP="00A84E96">
            <w:pPr>
              <w:spacing w:after="112" w:line="240" w:lineRule="auto"/>
              <w:jc w:val="both"/>
              <w:rPr>
                <w:rFonts w:ascii="Times New Roman" w:hAnsi="Times New Roman" w:cs="Times New Roman"/>
                <w:sz w:val="20"/>
                <w:szCs w:val="20"/>
              </w:rPr>
            </w:pPr>
            <w:r w:rsidRPr="00BD1B26">
              <w:rPr>
                <w:rFonts w:ascii="Times New Roman" w:hAnsi="Times New Roman" w:cs="Times New Roman"/>
                <w:sz w:val="20"/>
                <w:szCs w:val="20"/>
              </w:rPr>
              <w:t>34</w:t>
            </w:r>
          </w:p>
        </w:tc>
        <w:tc>
          <w:tcPr>
            <w:tcW w:w="2020" w:type="dxa"/>
            <w:hideMark/>
          </w:tcPr>
          <w:p w14:paraId="0D7890B4" w14:textId="77777777" w:rsidR="00A84E96" w:rsidRPr="00BD1B26" w:rsidRDefault="00A84E96" w:rsidP="00A84E96">
            <w:pPr>
              <w:spacing w:before="240" w:after="112" w:line="240" w:lineRule="auto"/>
              <w:jc w:val="both"/>
              <w:rPr>
                <w:rFonts w:ascii="Times New Roman" w:hAnsi="Times New Roman" w:cs="Times New Roman"/>
                <w:sz w:val="20"/>
                <w:szCs w:val="20"/>
              </w:rPr>
            </w:pPr>
            <w:r w:rsidRPr="00BD1B26">
              <w:rPr>
                <w:rFonts w:ascii="Times New Roman" w:hAnsi="Times New Roman" w:cs="Times New Roman"/>
                <w:sz w:val="20"/>
                <w:szCs w:val="20"/>
              </w:rPr>
              <w:t>136(10% of sample size)</w:t>
            </w:r>
          </w:p>
        </w:tc>
      </w:tr>
    </w:tbl>
    <w:p w14:paraId="61552B1D" w14:textId="5D77A598" w:rsidR="00A84E96" w:rsidRPr="00BE4AF3" w:rsidRDefault="00A84E96" w:rsidP="00A84E96">
      <w:pPr>
        <w:spacing w:after="113" w:line="240" w:lineRule="auto"/>
        <w:ind w:left="272"/>
        <w:jc w:val="both"/>
        <w:rPr>
          <w:rFonts w:ascii="Times New Roman" w:hAnsi="Times New Roman" w:cs="Times New Roman"/>
          <w:sz w:val="24"/>
          <w:szCs w:val="24"/>
        </w:rPr>
      </w:pPr>
      <w:r w:rsidRPr="00BE4AF3">
        <w:rPr>
          <w:rFonts w:ascii="Times New Roman" w:hAnsi="Times New Roman" w:cs="Times New Roman"/>
          <w:sz w:val="24"/>
          <w:szCs w:val="24"/>
        </w:rPr>
        <w:t>Data Source; NIA, NIOB, NIQS, NSE), 2025</w:t>
      </w:r>
    </w:p>
    <w:p w14:paraId="1B63DC9E" w14:textId="77777777" w:rsidR="00A84E96" w:rsidRPr="00BE4AF3" w:rsidRDefault="00A84E96" w:rsidP="00A84E96">
      <w:pPr>
        <w:tabs>
          <w:tab w:val="left" w:pos="3270"/>
        </w:tabs>
        <w:spacing w:after="0" w:line="240" w:lineRule="auto"/>
        <w:jc w:val="both"/>
        <w:rPr>
          <w:rFonts w:ascii="Times New Roman" w:hAnsi="Times New Roman" w:cs="Times New Roman"/>
          <w:b/>
          <w:sz w:val="24"/>
          <w:szCs w:val="24"/>
        </w:rPr>
      </w:pPr>
      <w:r w:rsidRPr="00BE4AF3">
        <w:rPr>
          <w:rFonts w:ascii="Times New Roman" w:hAnsi="Times New Roman" w:cs="Times New Roman"/>
          <w:sz w:val="24"/>
          <w:szCs w:val="24"/>
        </w:rPr>
        <w:t xml:space="preserve">A survey research design was employed, using a quantitative research methodology. The questionnaire used for the study was designed in two sections, with the first section designed to harness information on the background information of the respondents. The second section gathered information about the factors predicting the adoption of modular/prefabrication construction technique with respondents been asked to rate certain identified variables and measures using A 5 point Likert scale. </w:t>
      </w:r>
      <w:r w:rsidRPr="00BE4AF3">
        <w:rPr>
          <w:rFonts w:ascii="Times New Roman" w:hAnsi="Times New Roman" w:cs="Times New Roman"/>
          <w:iCs/>
          <w:sz w:val="24"/>
          <w:szCs w:val="24"/>
        </w:rPr>
        <w:t>A total number of 123participants (sample size) were drawn from architects, builders, engineers and quantity surveyors.</w:t>
      </w:r>
      <w:r w:rsidRPr="00BE4AF3">
        <w:rPr>
          <w:rFonts w:ascii="Times New Roman" w:hAnsi="Times New Roman" w:cs="Times New Roman"/>
          <w:sz w:val="24"/>
          <w:szCs w:val="24"/>
        </w:rPr>
        <w:t xml:space="preserve"> Of the 136 questionnaires, 92 were completed and returned (68%responses), and analyzed using IBM SPSS Statistics. The data used for the study was collected and analysed between April and July 2025.</w:t>
      </w:r>
      <w:r w:rsidRPr="00BE4AF3">
        <w:rPr>
          <w:rFonts w:ascii="Times New Roman" w:hAnsi="Times New Roman" w:cs="Times New Roman"/>
          <w:b/>
          <w:sz w:val="24"/>
          <w:szCs w:val="24"/>
        </w:rPr>
        <w:t xml:space="preserve"> </w:t>
      </w:r>
    </w:p>
    <w:p w14:paraId="3C165FF0" w14:textId="76D5F52C" w:rsidR="00A84E96" w:rsidRPr="00BD1B26" w:rsidRDefault="00A84E96" w:rsidP="00BD1B26">
      <w:pPr>
        <w:spacing w:after="113" w:line="240" w:lineRule="auto"/>
        <w:jc w:val="both"/>
        <w:rPr>
          <w:rFonts w:ascii="Times New Roman" w:hAnsi="Times New Roman" w:cs="Times New Roman"/>
          <w:sz w:val="24"/>
          <w:szCs w:val="24"/>
        </w:rPr>
      </w:pPr>
      <w:r w:rsidRPr="00BE4AF3">
        <w:rPr>
          <w:rFonts w:ascii="Times New Roman" w:hAnsi="Times New Roman" w:cs="Times New Roman"/>
          <w:sz w:val="24"/>
          <w:szCs w:val="24"/>
        </w:rPr>
        <w:lastRenderedPageBreak/>
        <w:t>From Table 1: As earlier mentioned, 136 questionnaires were administered to architects,</w:t>
      </w:r>
      <w:r w:rsidRPr="00BE4AF3">
        <w:rPr>
          <w:rFonts w:ascii="Times New Roman" w:hAnsi="Times New Roman" w:cs="Times New Roman"/>
          <w:iCs/>
          <w:sz w:val="24"/>
          <w:szCs w:val="24"/>
        </w:rPr>
        <w:t xml:space="preserve"> builders, engineers and quantity surveyors in the study area</w:t>
      </w:r>
      <w:r w:rsidRPr="00BE4AF3">
        <w:rPr>
          <w:rFonts w:ascii="Times New Roman" w:hAnsi="Times New Roman" w:cs="Times New Roman"/>
          <w:sz w:val="24"/>
          <w:szCs w:val="24"/>
        </w:rPr>
        <w:t>, 92 questionnaires were completed and returned. The response rate of 68% is considered reasonable to obtain a reliable result and analysed using s</w:t>
      </w:r>
      <w:r w:rsidRPr="00BE4AF3">
        <w:rPr>
          <w:rFonts w:ascii="Times New Roman" w:hAnsi="Times New Roman" w:cs="Times New Roman"/>
          <w:bCs/>
          <w:iCs/>
          <w:sz w:val="24"/>
          <w:szCs w:val="24"/>
        </w:rPr>
        <w:t>tatistical package for social sciences (SPSS) software</w:t>
      </w:r>
    </w:p>
    <w:p w14:paraId="416B5201" w14:textId="77777777" w:rsidR="00A84E96" w:rsidRPr="00BE4AF3" w:rsidRDefault="00A84E96" w:rsidP="00A84E96">
      <w:pPr>
        <w:tabs>
          <w:tab w:val="left" w:pos="327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Results and Discussion</w:t>
      </w:r>
    </w:p>
    <w:p w14:paraId="4D35C5B5" w14:textId="77777777" w:rsidR="00A84E96" w:rsidRPr="00BE4AF3" w:rsidRDefault="00A84E96" w:rsidP="00A84E96">
      <w:pPr>
        <w:tabs>
          <w:tab w:val="left" w:pos="3270"/>
        </w:tabs>
        <w:spacing w:after="0" w:line="240" w:lineRule="auto"/>
        <w:jc w:val="both"/>
        <w:rPr>
          <w:rFonts w:ascii="Times New Roman" w:hAnsi="Times New Roman" w:cs="Times New Roman"/>
          <w:b/>
          <w:sz w:val="24"/>
          <w:szCs w:val="24"/>
        </w:rPr>
      </w:pPr>
    </w:p>
    <w:p w14:paraId="22EE8653" w14:textId="77777777" w:rsidR="00A84E96" w:rsidRPr="00BE4AF3" w:rsidRDefault="00A84E96" w:rsidP="00A84E96">
      <w:pPr>
        <w:spacing w:after="112"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Profiles of Respondents</w:t>
      </w:r>
      <w:r w:rsidRPr="00BE4AF3">
        <w:rPr>
          <w:rFonts w:ascii="Times New Roman" w:hAnsi="Times New Roman" w:cs="Times New Roman"/>
          <w:b/>
          <w:sz w:val="24"/>
          <w:szCs w:val="24"/>
        </w:rPr>
        <w:t xml:space="preserve">                              </w:t>
      </w:r>
    </w:p>
    <w:p w14:paraId="33A3E243" w14:textId="77777777" w:rsidR="00A84E96" w:rsidRPr="00BE4AF3" w:rsidRDefault="00A84E96" w:rsidP="00A84E96">
      <w:pPr>
        <w:autoSpaceDE w:val="0"/>
        <w:autoSpaceDN w:val="0"/>
        <w:adjustRightInd w:val="0"/>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 xml:space="preserve">                                              Table 2: </w:t>
      </w:r>
      <w:r w:rsidRPr="00BD1B26">
        <w:rPr>
          <w:rFonts w:ascii="Times New Roman" w:hAnsi="Times New Roman" w:cs="Times New Roman"/>
          <w:bCs/>
          <w:sz w:val="24"/>
          <w:szCs w:val="24"/>
        </w:rPr>
        <w:t>Respondent’s profile</w:t>
      </w:r>
    </w:p>
    <w:tbl>
      <w:tblPr>
        <w:tblStyle w:val="TableGrid"/>
        <w:tblW w:w="8364"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5"/>
        <w:gridCol w:w="3097"/>
        <w:gridCol w:w="2132"/>
      </w:tblGrid>
      <w:tr w:rsidR="00A84E96" w:rsidRPr="00BD1B26" w14:paraId="0E84FE10" w14:textId="77777777" w:rsidTr="00BD1B26">
        <w:trPr>
          <w:jc w:val="center"/>
        </w:trPr>
        <w:tc>
          <w:tcPr>
            <w:tcW w:w="3135" w:type="dxa"/>
            <w:tcBorders>
              <w:top w:val="single" w:sz="4" w:space="0" w:color="auto"/>
              <w:bottom w:val="single" w:sz="4" w:space="0" w:color="auto"/>
            </w:tcBorders>
          </w:tcPr>
          <w:p w14:paraId="312C0273" w14:textId="77777777" w:rsidR="00A84E96" w:rsidRPr="00BD1B26" w:rsidRDefault="00A84E96" w:rsidP="00BD1B26">
            <w:pPr>
              <w:autoSpaceDE w:val="0"/>
              <w:autoSpaceDN w:val="0"/>
              <w:adjustRightInd w:val="0"/>
              <w:spacing w:after="0" w:line="240" w:lineRule="auto"/>
              <w:jc w:val="both"/>
              <w:rPr>
                <w:rFonts w:ascii="Times New Roman" w:hAnsi="Times New Roman" w:cs="Times New Roman"/>
                <w:bCs/>
                <w:sz w:val="20"/>
                <w:szCs w:val="20"/>
              </w:rPr>
            </w:pPr>
            <w:r w:rsidRPr="00BD1B26">
              <w:rPr>
                <w:rFonts w:ascii="Times New Roman" w:hAnsi="Times New Roman" w:cs="Times New Roman"/>
                <w:bCs/>
                <w:sz w:val="20"/>
                <w:szCs w:val="20"/>
              </w:rPr>
              <w:t xml:space="preserve">      Characteristics                                                                                                                                                                   </w:t>
            </w:r>
          </w:p>
        </w:tc>
        <w:tc>
          <w:tcPr>
            <w:tcW w:w="3097" w:type="dxa"/>
            <w:tcBorders>
              <w:top w:val="single" w:sz="4" w:space="0" w:color="auto"/>
              <w:bottom w:val="single" w:sz="4" w:space="0" w:color="auto"/>
            </w:tcBorders>
          </w:tcPr>
          <w:p w14:paraId="0066D504" w14:textId="77777777" w:rsidR="00A84E96" w:rsidRPr="00BD1B26" w:rsidRDefault="00A84E96" w:rsidP="00BD1B26">
            <w:pPr>
              <w:autoSpaceDE w:val="0"/>
              <w:autoSpaceDN w:val="0"/>
              <w:adjustRightInd w:val="0"/>
              <w:spacing w:after="0" w:line="240" w:lineRule="auto"/>
              <w:jc w:val="both"/>
              <w:rPr>
                <w:rFonts w:ascii="Times New Roman" w:hAnsi="Times New Roman" w:cs="Times New Roman"/>
                <w:bCs/>
                <w:sz w:val="20"/>
                <w:szCs w:val="20"/>
              </w:rPr>
            </w:pPr>
            <w:r w:rsidRPr="00BD1B26">
              <w:rPr>
                <w:rFonts w:ascii="Times New Roman" w:hAnsi="Times New Roman" w:cs="Times New Roman"/>
                <w:bCs/>
                <w:sz w:val="20"/>
                <w:szCs w:val="20"/>
              </w:rPr>
              <w:t xml:space="preserve">        Frequency (n=136)</w:t>
            </w:r>
          </w:p>
        </w:tc>
        <w:tc>
          <w:tcPr>
            <w:tcW w:w="2132" w:type="dxa"/>
            <w:tcBorders>
              <w:top w:val="single" w:sz="4" w:space="0" w:color="auto"/>
              <w:bottom w:val="single" w:sz="4" w:space="0" w:color="auto"/>
            </w:tcBorders>
          </w:tcPr>
          <w:p w14:paraId="0406A8C3" w14:textId="77777777" w:rsidR="00A84E96" w:rsidRPr="00BD1B26" w:rsidRDefault="00A84E96" w:rsidP="00BD1B26">
            <w:pPr>
              <w:autoSpaceDE w:val="0"/>
              <w:autoSpaceDN w:val="0"/>
              <w:adjustRightInd w:val="0"/>
              <w:spacing w:after="0" w:line="240" w:lineRule="auto"/>
              <w:jc w:val="both"/>
              <w:rPr>
                <w:rFonts w:ascii="Times New Roman" w:hAnsi="Times New Roman" w:cs="Times New Roman"/>
                <w:bCs/>
                <w:sz w:val="20"/>
                <w:szCs w:val="20"/>
              </w:rPr>
            </w:pPr>
            <w:r w:rsidRPr="00BD1B26">
              <w:rPr>
                <w:rFonts w:ascii="Times New Roman" w:hAnsi="Times New Roman" w:cs="Times New Roman"/>
                <w:bCs/>
                <w:sz w:val="20"/>
                <w:szCs w:val="20"/>
              </w:rPr>
              <w:t xml:space="preserve">              Percentage (%)</w:t>
            </w:r>
          </w:p>
        </w:tc>
      </w:tr>
      <w:tr w:rsidR="00A84E96" w:rsidRPr="00BD1B26" w14:paraId="5B332B1B" w14:textId="77777777" w:rsidTr="00BD1B26">
        <w:trPr>
          <w:jc w:val="center"/>
        </w:trPr>
        <w:tc>
          <w:tcPr>
            <w:tcW w:w="3135" w:type="dxa"/>
            <w:tcBorders>
              <w:top w:val="single" w:sz="4" w:space="0" w:color="auto"/>
              <w:bottom w:val="nil"/>
            </w:tcBorders>
          </w:tcPr>
          <w:p w14:paraId="1F1356A9"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b/>
                <w:sz w:val="20"/>
                <w:szCs w:val="20"/>
              </w:rPr>
            </w:pPr>
            <w:r w:rsidRPr="00BD1B26">
              <w:rPr>
                <w:rFonts w:ascii="Times New Roman" w:hAnsi="Times New Roman" w:cs="Times New Roman"/>
                <w:b/>
                <w:sz w:val="20"/>
                <w:szCs w:val="20"/>
              </w:rPr>
              <w:t xml:space="preserve">Gender                                                                                                                      </w:t>
            </w:r>
          </w:p>
        </w:tc>
        <w:tc>
          <w:tcPr>
            <w:tcW w:w="3097" w:type="dxa"/>
            <w:tcBorders>
              <w:top w:val="single" w:sz="4" w:space="0" w:color="auto"/>
              <w:bottom w:val="nil"/>
            </w:tcBorders>
          </w:tcPr>
          <w:p w14:paraId="43F05072"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p>
        </w:tc>
        <w:tc>
          <w:tcPr>
            <w:tcW w:w="2132" w:type="dxa"/>
            <w:tcBorders>
              <w:top w:val="single" w:sz="4" w:space="0" w:color="auto"/>
              <w:bottom w:val="nil"/>
            </w:tcBorders>
          </w:tcPr>
          <w:p w14:paraId="754B0CB3" w14:textId="77777777" w:rsidR="00A84E96" w:rsidRPr="00BD1B26" w:rsidRDefault="00A84E96" w:rsidP="00BD1B26">
            <w:pPr>
              <w:autoSpaceDE w:val="0"/>
              <w:autoSpaceDN w:val="0"/>
              <w:adjustRightInd w:val="0"/>
              <w:spacing w:after="0" w:line="240" w:lineRule="auto"/>
              <w:jc w:val="both"/>
              <w:rPr>
                <w:rFonts w:ascii="Times New Roman" w:hAnsi="Times New Roman" w:cs="Times New Roman"/>
                <w:sz w:val="20"/>
                <w:szCs w:val="20"/>
              </w:rPr>
            </w:pPr>
          </w:p>
        </w:tc>
      </w:tr>
      <w:tr w:rsidR="00A84E96" w:rsidRPr="00BD1B26" w14:paraId="4D7055A5" w14:textId="77777777" w:rsidTr="00BD1B26">
        <w:trPr>
          <w:jc w:val="center"/>
        </w:trPr>
        <w:tc>
          <w:tcPr>
            <w:tcW w:w="3135" w:type="dxa"/>
            <w:tcBorders>
              <w:top w:val="nil"/>
              <w:bottom w:val="nil"/>
            </w:tcBorders>
          </w:tcPr>
          <w:p w14:paraId="5509A338"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sz w:val="20"/>
                <w:szCs w:val="20"/>
              </w:rPr>
            </w:pPr>
            <w:r w:rsidRPr="00BD1B26">
              <w:rPr>
                <w:rFonts w:ascii="Times New Roman" w:hAnsi="Times New Roman" w:cs="Times New Roman"/>
                <w:sz w:val="20"/>
                <w:szCs w:val="20"/>
              </w:rPr>
              <w:t>Male</w:t>
            </w:r>
          </w:p>
        </w:tc>
        <w:tc>
          <w:tcPr>
            <w:tcW w:w="3097" w:type="dxa"/>
            <w:tcBorders>
              <w:top w:val="nil"/>
              <w:bottom w:val="nil"/>
            </w:tcBorders>
          </w:tcPr>
          <w:p w14:paraId="6DC77136"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r w:rsidRPr="00BD1B26">
              <w:rPr>
                <w:rFonts w:ascii="Times New Roman" w:hAnsi="Times New Roman" w:cs="Times New Roman"/>
                <w:sz w:val="20"/>
                <w:szCs w:val="20"/>
              </w:rPr>
              <w:t>73</w:t>
            </w:r>
          </w:p>
        </w:tc>
        <w:tc>
          <w:tcPr>
            <w:tcW w:w="2132" w:type="dxa"/>
            <w:tcBorders>
              <w:top w:val="nil"/>
              <w:bottom w:val="nil"/>
            </w:tcBorders>
          </w:tcPr>
          <w:p w14:paraId="174F049A"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r w:rsidRPr="00BD1B26">
              <w:rPr>
                <w:rFonts w:ascii="Times New Roman" w:hAnsi="Times New Roman" w:cs="Times New Roman"/>
                <w:sz w:val="20"/>
                <w:szCs w:val="20"/>
              </w:rPr>
              <w:t>79.4</w:t>
            </w:r>
          </w:p>
        </w:tc>
      </w:tr>
      <w:tr w:rsidR="00A84E96" w:rsidRPr="00BD1B26" w14:paraId="5443B904" w14:textId="77777777" w:rsidTr="00BD1B26">
        <w:trPr>
          <w:jc w:val="center"/>
        </w:trPr>
        <w:tc>
          <w:tcPr>
            <w:tcW w:w="3135" w:type="dxa"/>
            <w:tcBorders>
              <w:top w:val="nil"/>
              <w:bottom w:val="single" w:sz="4" w:space="0" w:color="auto"/>
            </w:tcBorders>
          </w:tcPr>
          <w:p w14:paraId="699282A4"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sz w:val="20"/>
                <w:szCs w:val="20"/>
              </w:rPr>
            </w:pPr>
            <w:r w:rsidRPr="00BD1B26">
              <w:rPr>
                <w:rFonts w:ascii="Times New Roman" w:hAnsi="Times New Roman" w:cs="Times New Roman"/>
                <w:sz w:val="20"/>
                <w:szCs w:val="20"/>
              </w:rPr>
              <w:t xml:space="preserve">Female                                                        </w:t>
            </w:r>
          </w:p>
        </w:tc>
        <w:tc>
          <w:tcPr>
            <w:tcW w:w="3097" w:type="dxa"/>
            <w:tcBorders>
              <w:top w:val="nil"/>
              <w:bottom w:val="single" w:sz="4" w:space="0" w:color="auto"/>
            </w:tcBorders>
          </w:tcPr>
          <w:p w14:paraId="34AAB667"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r w:rsidRPr="00BD1B26">
              <w:rPr>
                <w:rFonts w:ascii="Times New Roman" w:hAnsi="Times New Roman" w:cs="Times New Roman"/>
                <w:sz w:val="20"/>
                <w:szCs w:val="20"/>
              </w:rPr>
              <w:t>19</w:t>
            </w:r>
          </w:p>
        </w:tc>
        <w:tc>
          <w:tcPr>
            <w:tcW w:w="2132" w:type="dxa"/>
            <w:tcBorders>
              <w:top w:val="nil"/>
              <w:bottom w:val="single" w:sz="4" w:space="0" w:color="auto"/>
            </w:tcBorders>
          </w:tcPr>
          <w:p w14:paraId="14246BAE"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r w:rsidRPr="00BD1B26">
              <w:rPr>
                <w:rFonts w:ascii="Times New Roman" w:hAnsi="Times New Roman" w:cs="Times New Roman"/>
                <w:sz w:val="20"/>
                <w:szCs w:val="20"/>
              </w:rPr>
              <w:t>20.6</w:t>
            </w:r>
          </w:p>
        </w:tc>
      </w:tr>
      <w:tr w:rsidR="00A84E96" w:rsidRPr="00BD1B26" w14:paraId="5F517096" w14:textId="77777777" w:rsidTr="00BD1B26">
        <w:trPr>
          <w:jc w:val="center"/>
        </w:trPr>
        <w:tc>
          <w:tcPr>
            <w:tcW w:w="3135" w:type="dxa"/>
            <w:tcBorders>
              <w:top w:val="single" w:sz="4" w:space="0" w:color="auto"/>
            </w:tcBorders>
          </w:tcPr>
          <w:p w14:paraId="451DC13E"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b/>
                <w:sz w:val="20"/>
                <w:szCs w:val="20"/>
              </w:rPr>
            </w:pPr>
            <w:r w:rsidRPr="00BD1B26">
              <w:rPr>
                <w:rFonts w:ascii="Times New Roman" w:hAnsi="Times New Roman" w:cs="Times New Roman"/>
                <w:b/>
                <w:sz w:val="20"/>
                <w:szCs w:val="20"/>
              </w:rPr>
              <w:t>Age(interval)</w:t>
            </w:r>
          </w:p>
        </w:tc>
        <w:tc>
          <w:tcPr>
            <w:tcW w:w="3097" w:type="dxa"/>
            <w:tcBorders>
              <w:top w:val="single" w:sz="4" w:space="0" w:color="auto"/>
            </w:tcBorders>
          </w:tcPr>
          <w:p w14:paraId="218B4BDB"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p>
        </w:tc>
        <w:tc>
          <w:tcPr>
            <w:tcW w:w="2132" w:type="dxa"/>
            <w:tcBorders>
              <w:top w:val="single" w:sz="4" w:space="0" w:color="auto"/>
            </w:tcBorders>
          </w:tcPr>
          <w:p w14:paraId="77E9CC59"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p>
        </w:tc>
      </w:tr>
      <w:tr w:rsidR="00A84E96" w:rsidRPr="00BD1B26" w14:paraId="7B7E6027" w14:textId="77777777" w:rsidTr="00BD1B26">
        <w:trPr>
          <w:jc w:val="center"/>
        </w:trPr>
        <w:tc>
          <w:tcPr>
            <w:tcW w:w="3135" w:type="dxa"/>
          </w:tcPr>
          <w:p w14:paraId="525906E1"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sz w:val="20"/>
                <w:szCs w:val="20"/>
              </w:rPr>
            </w:pPr>
            <w:r w:rsidRPr="00BD1B26">
              <w:rPr>
                <w:rFonts w:ascii="Times New Roman" w:hAnsi="Times New Roman" w:cs="Times New Roman"/>
                <w:sz w:val="20"/>
                <w:szCs w:val="20"/>
              </w:rPr>
              <w:t>20-30</w:t>
            </w:r>
          </w:p>
        </w:tc>
        <w:tc>
          <w:tcPr>
            <w:tcW w:w="3097" w:type="dxa"/>
          </w:tcPr>
          <w:p w14:paraId="3C69BE27"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r w:rsidRPr="00BD1B26">
              <w:rPr>
                <w:rFonts w:ascii="Times New Roman" w:hAnsi="Times New Roman" w:cs="Times New Roman"/>
                <w:sz w:val="20"/>
                <w:szCs w:val="20"/>
              </w:rPr>
              <w:t>2</w:t>
            </w:r>
          </w:p>
        </w:tc>
        <w:tc>
          <w:tcPr>
            <w:tcW w:w="2132" w:type="dxa"/>
          </w:tcPr>
          <w:p w14:paraId="3FB0C4E5"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r w:rsidRPr="00BD1B26">
              <w:rPr>
                <w:rFonts w:ascii="Times New Roman" w:hAnsi="Times New Roman" w:cs="Times New Roman"/>
                <w:sz w:val="20"/>
                <w:szCs w:val="20"/>
              </w:rPr>
              <w:t>2.2</w:t>
            </w:r>
          </w:p>
        </w:tc>
      </w:tr>
      <w:tr w:rsidR="00A84E96" w:rsidRPr="00BD1B26" w14:paraId="416F24A8" w14:textId="77777777" w:rsidTr="00BD1B26">
        <w:trPr>
          <w:jc w:val="center"/>
        </w:trPr>
        <w:tc>
          <w:tcPr>
            <w:tcW w:w="3135" w:type="dxa"/>
          </w:tcPr>
          <w:p w14:paraId="3A3BA5A4"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sz w:val="20"/>
                <w:szCs w:val="20"/>
              </w:rPr>
            </w:pPr>
            <w:r w:rsidRPr="00BD1B26">
              <w:rPr>
                <w:rFonts w:ascii="Times New Roman" w:hAnsi="Times New Roman" w:cs="Times New Roman"/>
                <w:sz w:val="20"/>
                <w:szCs w:val="20"/>
              </w:rPr>
              <w:t>31-40</w:t>
            </w:r>
          </w:p>
        </w:tc>
        <w:tc>
          <w:tcPr>
            <w:tcW w:w="3097" w:type="dxa"/>
          </w:tcPr>
          <w:p w14:paraId="1D4E4698"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r w:rsidRPr="00BD1B26">
              <w:rPr>
                <w:rFonts w:ascii="Times New Roman" w:hAnsi="Times New Roman" w:cs="Times New Roman"/>
                <w:sz w:val="20"/>
                <w:szCs w:val="20"/>
              </w:rPr>
              <w:t>16</w:t>
            </w:r>
          </w:p>
        </w:tc>
        <w:tc>
          <w:tcPr>
            <w:tcW w:w="2132" w:type="dxa"/>
          </w:tcPr>
          <w:p w14:paraId="5EF6E9AB"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r w:rsidRPr="00BD1B26">
              <w:rPr>
                <w:rFonts w:ascii="Times New Roman" w:hAnsi="Times New Roman" w:cs="Times New Roman"/>
                <w:sz w:val="20"/>
                <w:szCs w:val="20"/>
              </w:rPr>
              <w:t>17.2</w:t>
            </w:r>
          </w:p>
        </w:tc>
      </w:tr>
      <w:tr w:rsidR="00A84E96" w:rsidRPr="00BD1B26" w14:paraId="23017F94" w14:textId="77777777" w:rsidTr="00BD1B26">
        <w:trPr>
          <w:jc w:val="center"/>
        </w:trPr>
        <w:tc>
          <w:tcPr>
            <w:tcW w:w="3135" w:type="dxa"/>
          </w:tcPr>
          <w:p w14:paraId="5FDE0B35"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sz w:val="20"/>
                <w:szCs w:val="20"/>
              </w:rPr>
            </w:pPr>
            <w:r w:rsidRPr="00BD1B26">
              <w:rPr>
                <w:rFonts w:ascii="Times New Roman" w:hAnsi="Times New Roman" w:cs="Times New Roman"/>
                <w:sz w:val="20"/>
                <w:szCs w:val="20"/>
              </w:rPr>
              <w:t>41-50</w:t>
            </w:r>
          </w:p>
        </w:tc>
        <w:tc>
          <w:tcPr>
            <w:tcW w:w="3097" w:type="dxa"/>
          </w:tcPr>
          <w:p w14:paraId="6460E9B6"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r w:rsidRPr="00BD1B26">
              <w:rPr>
                <w:rFonts w:ascii="Times New Roman" w:hAnsi="Times New Roman" w:cs="Times New Roman"/>
                <w:sz w:val="20"/>
                <w:szCs w:val="20"/>
              </w:rPr>
              <w:t>28</w:t>
            </w:r>
          </w:p>
        </w:tc>
        <w:tc>
          <w:tcPr>
            <w:tcW w:w="2132" w:type="dxa"/>
          </w:tcPr>
          <w:p w14:paraId="74F2D5D0"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r w:rsidRPr="00BD1B26">
              <w:rPr>
                <w:rFonts w:ascii="Times New Roman" w:hAnsi="Times New Roman" w:cs="Times New Roman"/>
                <w:sz w:val="20"/>
                <w:szCs w:val="20"/>
              </w:rPr>
              <w:t>30.1</w:t>
            </w:r>
          </w:p>
        </w:tc>
      </w:tr>
      <w:tr w:rsidR="00A84E96" w:rsidRPr="00BD1B26" w14:paraId="237355FA" w14:textId="77777777" w:rsidTr="00BD1B26">
        <w:trPr>
          <w:jc w:val="center"/>
        </w:trPr>
        <w:tc>
          <w:tcPr>
            <w:tcW w:w="3135" w:type="dxa"/>
            <w:tcBorders>
              <w:bottom w:val="nil"/>
            </w:tcBorders>
          </w:tcPr>
          <w:p w14:paraId="0B8823B7"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sz w:val="20"/>
                <w:szCs w:val="20"/>
              </w:rPr>
            </w:pPr>
            <w:r w:rsidRPr="00BD1B26">
              <w:rPr>
                <w:rFonts w:ascii="Times New Roman" w:hAnsi="Times New Roman" w:cs="Times New Roman"/>
                <w:sz w:val="20"/>
                <w:szCs w:val="20"/>
              </w:rPr>
              <w:t>51-60</w:t>
            </w:r>
          </w:p>
        </w:tc>
        <w:tc>
          <w:tcPr>
            <w:tcW w:w="3097" w:type="dxa"/>
            <w:tcBorders>
              <w:bottom w:val="nil"/>
            </w:tcBorders>
          </w:tcPr>
          <w:p w14:paraId="00CED9E2"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r w:rsidRPr="00BD1B26">
              <w:rPr>
                <w:rFonts w:ascii="Times New Roman" w:hAnsi="Times New Roman" w:cs="Times New Roman"/>
                <w:sz w:val="20"/>
                <w:szCs w:val="20"/>
              </w:rPr>
              <w:t>40</w:t>
            </w:r>
          </w:p>
        </w:tc>
        <w:tc>
          <w:tcPr>
            <w:tcW w:w="2132" w:type="dxa"/>
            <w:tcBorders>
              <w:bottom w:val="nil"/>
            </w:tcBorders>
          </w:tcPr>
          <w:p w14:paraId="1A8961A2"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r w:rsidRPr="00BD1B26">
              <w:rPr>
                <w:rFonts w:ascii="Times New Roman" w:hAnsi="Times New Roman" w:cs="Times New Roman"/>
                <w:sz w:val="20"/>
                <w:szCs w:val="20"/>
              </w:rPr>
              <w:t>43.0</w:t>
            </w:r>
          </w:p>
        </w:tc>
      </w:tr>
      <w:tr w:rsidR="00A84E96" w:rsidRPr="00BD1B26" w14:paraId="3261735C" w14:textId="77777777" w:rsidTr="00BD1B26">
        <w:trPr>
          <w:jc w:val="center"/>
        </w:trPr>
        <w:tc>
          <w:tcPr>
            <w:tcW w:w="3135" w:type="dxa"/>
            <w:tcBorders>
              <w:top w:val="nil"/>
              <w:bottom w:val="single" w:sz="4" w:space="0" w:color="auto"/>
            </w:tcBorders>
          </w:tcPr>
          <w:p w14:paraId="1AB619CC"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sz w:val="20"/>
                <w:szCs w:val="20"/>
              </w:rPr>
            </w:pPr>
            <w:r w:rsidRPr="00BD1B26">
              <w:rPr>
                <w:rFonts w:ascii="Times New Roman" w:hAnsi="Times New Roman" w:cs="Times New Roman"/>
                <w:sz w:val="20"/>
                <w:szCs w:val="20"/>
              </w:rPr>
              <w:t>60 and above</w:t>
            </w:r>
          </w:p>
        </w:tc>
        <w:tc>
          <w:tcPr>
            <w:tcW w:w="3097" w:type="dxa"/>
            <w:tcBorders>
              <w:top w:val="nil"/>
              <w:bottom w:val="single" w:sz="4" w:space="0" w:color="auto"/>
            </w:tcBorders>
          </w:tcPr>
          <w:p w14:paraId="57086B41"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r w:rsidRPr="00BD1B26">
              <w:rPr>
                <w:rFonts w:ascii="Times New Roman" w:hAnsi="Times New Roman" w:cs="Times New Roman"/>
                <w:sz w:val="20"/>
                <w:szCs w:val="20"/>
              </w:rPr>
              <w:t>6</w:t>
            </w:r>
          </w:p>
        </w:tc>
        <w:tc>
          <w:tcPr>
            <w:tcW w:w="2132" w:type="dxa"/>
            <w:tcBorders>
              <w:top w:val="nil"/>
              <w:bottom w:val="single" w:sz="4" w:space="0" w:color="auto"/>
            </w:tcBorders>
          </w:tcPr>
          <w:p w14:paraId="79079163"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r w:rsidRPr="00BD1B26">
              <w:rPr>
                <w:rFonts w:ascii="Times New Roman" w:hAnsi="Times New Roman" w:cs="Times New Roman"/>
                <w:sz w:val="20"/>
                <w:szCs w:val="20"/>
              </w:rPr>
              <w:t>6.5</w:t>
            </w:r>
          </w:p>
        </w:tc>
      </w:tr>
      <w:tr w:rsidR="00A84E96" w:rsidRPr="00BD1B26" w14:paraId="0A052EF3" w14:textId="77777777" w:rsidTr="00BD1B26">
        <w:trPr>
          <w:jc w:val="center"/>
        </w:trPr>
        <w:tc>
          <w:tcPr>
            <w:tcW w:w="3135" w:type="dxa"/>
            <w:tcBorders>
              <w:top w:val="single" w:sz="4" w:space="0" w:color="auto"/>
            </w:tcBorders>
          </w:tcPr>
          <w:p w14:paraId="5F935594"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b/>
                <w:sz w:val="20"/>
                <w:szCs w:val="20"/>
              </w:rPr>
            </w:pPr>
            <w:r w:rsidRPr="00BD1B26">
              <w:rPr>
                <w:rFonts w:ascii="Times New Roman" w:hAnsi="Times New Roman" w:cs="Times New Roman"/>
                <w:b/>
                <w:sz w:val="20"/>
                <w:szCs w:val="20"/>
              </w:rPr>
              <w:t>Highest qualification of the participants</w:t>
            </w:r>
            <w:r w:rsidRPr="00BD1B26">
              <w:rPr>
                <w:rFonts w:ascii="Times New Roman" w:hAnsi="Times New Roman" w:cs="Times New Roman"/>
                <w:sz w:val="20"/>
                <w:szCs w:val="20"/>
              </w:rPr>
              <w:t xml:space="preserve"> </w:t>
            </w:r>
          </w:p>
        </w:tc>
        <w:tc>
          <w:tcPr>
            <w:tcW w:w="3097" w:type="dxa"/>
            <w:tcBorders>
              <w:top w:val="single" w:sz="4" w:space="0" w:color="auto"/>
            </w:tcBorders>
          </w:tcPr>
          <w:p w14:paraId="324701B5"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p>
        </w:tc>
        <w:tc>
          <w:tcPr>
            <w:tcW w:w="2132" w:type="dxa"/>
            <w:tcBorders>
              <w:top w:val="single" w:sz="4" w:space="0" w:color="auto"/>
            </w:tcBorders>
          </w:tcPr>
          <w:p w14:paraId="691948A7"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p>
        </w:tc>
      </w:tr>
      <w:tr w:rsidR="00A84E96" w:rsidRPr="00BD1B26" w14:paraId="1E6C2321" w14:textId="77777777" w:rsidTr="00BD1B26">
        <w:trPr>
          <w:jc w:val="center"/>
        </w:trPr>
        <w:tc>
          <w:tcPr>
            <w:tcW w:w="3135" w:type="dxa"/>
          </w:tcPr>
          <w:p w14:paraId="03E6D28F"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sz w:val="20"/>
                <w:szCs w:val="20"/>
              </w:rPr>
            </w:pPr>
            <w:r w:rsidRPr="00BD1B26">
              <w:rPr>
                <w:rFonts w:ascii="Times New Roman" w:hAnsi="Times New Roman" w:cs="Times New Roman"/>
                <w:sz w:val="20"/>
                <w:szCs w:val="20"/>
              </w:rPr>
              <w:t>Doctoral (phD)</w:t>
            </w:r>
          </w:p>
        </w:tc>
        <w:tc>
          <w:tcPr>
            <w:tcW w:w="3097" w:type="dxa"/>
          </w:tcPr>
          <w:p w14:paraId="492866DB"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r w:rsidRPr="00BD1B26">
              <w:rPr>
                <w:rFonts w:ascii="Times New Roman" w:hAnsi="Times New Roman" w:cs="Times New Roman"/>
                <w:sz w:val="20"/>
                <w:szCs w:val="20"/>
              </w:rPr>
              <w:t>4</w:t>
            </w:r>
          </w:p>
        </w:tc>
        <w:tc>
          <w:tcPr>
            <w:tcW w:w="2132" w:type="dxa"/>
          </w:tcPr>
          <w:p w14:paraId="2DFEAE29"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r w:rsidRPr="00BD1B26">
              <w:rPr>
                <w:rFonts w:ascii="Times New Roman" w:hAnsi="Times New Roman" w:cs="Times New Roman"/>
                <w:sz w:val="20"/>
                <w:szCs w:val="20"/>
              </w:rPr>
              <w:t>4.3</w:t>
            </w:r>
          </w:p>
        </w:tc>
      </w:tr>
      <w:tr w:rsidR="00A84E96" w:rsidRPr="00BD1B26" w14:paraId="7FBD4C77" w14:textId="77777777" w:rsidTr="00BD1B26">
        <w:trPr>
          <w:jc w:val="center"/>
        </w:trPr>
        <w:tc>
          <w:tcPr>
            <w:tcW w:w="3135" w:type="dxa"/>
          </w:tcPr>
          <w:p w14:paraId="358C605C"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sz w:val="20"/>
                <w:szCs w:val="20"/>
              </w:rPr>
            </w:pPr>
            <w:r w:rsidRPr="00BD1B26">
              <w:rPr>
                <w:rFonts w:ascii="Times New Roman" w:hAnsi="Times New Roman" w:cs="Times New Roman"/>
                <w:sz w:val="20"/>
                <w:szCs w:val="20"/>
              </w:rPr>
              <w:t>Masters (Msc)</w:t>
            </w:r>
          </w:p>
        </w:tc>
        <w:tc>
          <w:tcPr>
            <w:tcW w:w="3097" w:type="dxa"/>
          </w:tcPr>
          <w:p w14:paraId="65598C2D"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r w:rsidRPr="00BD1B26">
              <w:rPr>
                <w:rFonts w:ascii="Times New Roman" w:hAnsi="Times New Roman" w:cs="Times New Roman"/>
                <w:sz w:val="20"/>
                <w:szCs w:val="20"/>
              </w:rPr>
              <w:t>53</w:t>
            </w:r>
          </w:p>
        </w:tc>
        <w:tc>
          <w:tcPr>
            <w:tcW w:w="2132" w:type="dxa"/>
          </w:tcPr>
          <w:p w14:paraId="3763839F"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r w:rsidRPr="00BD1B26">
              <w:rPr>
                <w:rFonts w:ascii="Times New Roman" w:hAnsi="Times New Roman" w:cs="Times New Roman"/>
                <w:sz w:val="20"/>
                <w:szCs w:val="20"/>
              </w:rPr>
              <w:t>57.6</w:t>
            </w:r>
          </w:p>
        </w:tc>
      </w:tr>
      <w:tr w:rsidR="00A84E96" w:rsidRPr="00BD1B26" w14:paraId="06F20610" w14:textId="77777777" w:rsidTr="00BD1B26">
        <w:trPr>
          <w:jc w:val="center"/>
        </w:trPr>
        <w:tc>
          <w:tcPr>
            <w:tcW w:w="3135" w:type="dxa"/>
            <w:tcBorders>
              <w:bottom w:val="nil"/>
            </w:tcBorders>
          </w:tcPr>
          <w:p w14:paraId="1C2B6C0A"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sz w:val="20"/>
                <w:szCs w:val="20"/>
              </w:rPr>
            </w:pPr>
            <w:r w:rsidRPr="00BD1B26">
              <w:rPr>
                <w:rFonts w:ascii="Times New Roman" w:hAnsi="Times New Roman" w:cs="Times New Roman"/>
                <w:sz w:val="20"/>
                <w:szCs w:val="20"/>
              </w:rPr>
              <w:t>Degrees (Bsc)</w:t>
            </w:r>
          </w:p>
        </w:tc>
        <w:tc>
          <w:tcPr>
            <w:tcW w:w="3097" w:type="dxa"/>
            <w:tcBorders>
              <w:bottom w:val="nil"/>
            </w:tcBorders>
          </w:tcPr>
          <w:p w14:paraId="48DC8A62"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r w:rsidRPr="00BD1B26">
              <w:rPr>
                <w:rFonts w:ascii="Times New Roman" w:hAnsi="Times New Roman" w:cs="Times New Roman"/>
                <w:sz w:val="20"/>
                <w:szCs w:val="20"/>
              </w:rPr>
              <w:t>20</w:t>
            </w:r>
          </w:p>
        </w:tc>
        <w:tc>
          <w:tcPr>
            <w:tcW w:w="2132" w:type="dxa"/>
            <w:tcBorders>
              <w:bottom w:val="nil"/>
            </w:tcBorders>
          </w:tcPr>
          <w:p w14:paraId="4FB5A7C5"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r w:rsidRPr="00BD1B26">
              <w:rPr>
                <w:rFonts w:ascii="Times New Roman" w:hAnsi="Times New Roman" w:cs="Times New Roman"/>
                <w:sz w:val="20"/>
                <w:szCs w:val="20"/>
              </w:rPr>
              <w:t>21.7</w:t>
            </w:r>
          </w:p>
        </w:tc>
      </w:tr>
      <w:tr w:rsidR="00A84E96" w:rsidRPr="00BD1B26" w14:paraId="6EADDA33" w14:textId="77777777" w:rsidTr="00BD1B26">
        <w:trPr>
          <w:jc w:val="center"/>
        </w:trPr>
        <w:tc>
          <w:tcPr>
            <w:tcW w:w="3135" w:type="dxa"/>
            <w:tcBorders>
              <w:top w:val="nil"/>
              <w:bottom w:val="single" w:sz="4" w:space="0" w:color="auto"/>
            </w:tcBorders>
          </w:tcPr>
          <w:p w14:paraId="0DDF50F5"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sz w:val="20"/>
                <w:szCs w:val="20"/>
              </w:rPr>
            </w:pPr>
            <w:r w:rsidRPr="00BD1B26">
              <w:rPr>
                <w:rFonts w:ascii="Times New Roman" w:hAnsi="Times New Roman" w:cs="Times New Roman"/>
                <w:sz w:val="20"/>
                <w:szCs w:val="20"/>
              </w:rPr>
              <w:t>Diploma(HND)</w:t>
            </w:r>
          </w:p>
        </w:tc>
        <w:tc>
          <w:tcPr>
            <w:tcW w:w="3097" w:type="dxa"/>
            <w:tcBorders>
              <w:top w:val="nil"/>
              <w:bottom w:val="single" w:sz="4" w:space="0" w:color="auto"/>
            </w:tcBorders>
          </w:tcPr>
          <w:p w14:paraId="4B3182DF"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r w:rsidRPr="00BD1B26">
              <w:rPr>
                <w:rFonts w:ascii="Times New Roman" w:hAnsi="Times New Roman" w:cs="Times New Roman"/>
                <w:sz w:val="20"/>
                <w:szCs w:val="20"/>
              </w:rPr>
              <w:t>15</w:t>
            </w:r>
          </w:p>
        </w:tc>
        <w:tc>
          <w:tcPr>
            <w:tcW w:w="2132" w:type="dxa"/>
            <w:tcBorders>
              <w:top w:val="nil"/>
              <w:bottom w:val="single" w:sz="4" w:space="0" w:color="auto"/>
            </w:tcBorders>
          </w:tcPr>
          <w:p w14:paraId="457683DF"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r w:rsidRPr="00BD1B26">
              <w:rPr>
                <w:rFonts w:ascii="Times New Roman" w:hAnsi="Times New Roman" w:cs="Times New Roman"/>
                <w:sz w:val="20"/>
                <w:szCs w:val="20"/>
              </w:rPr>
              <w:t>16.3</w:t>
            </w:r>
          </w:p>
        </w:tc>
      </w:tr>
      <w:tr w:rsidR="00A84E96" w:rsidRPr="00BD1B26" w14:paraId="3626FF8F" w14:textId="77777777" w:rsidTr="00BD1B26">
        <w:trPr>
          <w:jc w:val="center"/>
        </w:trPr>
        <w:tc>
          <w:tcPr>
            <w:tcW w:w="3135" w:type="dxa"/>
            <w:tcBorders>
              <w:top w:val="single" w:sz="4" w:space="0" w:color="auto"/>
              <w:bottom w:val="nil"/>
            </w:tcBorders>
          </w:tcPr>
          <w:p w14:paraId="1E98CEB7" w14:textId="77777777" w:rsidR="00A84E96" w:rsidRPr="00BD1B26" w:rsidRDefault="00A84E96" w:rsidP="00BD1B26">
            <w:pPr>
              <w:autoSpaceDE w:val="0"/>
              <w:autoSpaceDN w:val="0"/>
              <w:adjustRightInd w:val="0"/>
              <w:spacing w:after="0" w:line="240" w:lineRule="auto"/>
              <w:ind w:left="596" w:hanging="142"/>
              <w:rPr>
                <w:rFonts w:ascii="Times New Roman" w:hAnsi="Times New Roman" w:cs="Times New Roman"/>
                <w:b/>
                <w:sz w:val="20"/>
                <w:szCs w:val="20"/>
              </w:rPr>
            </w:pPr>
            <w:r w:rsidRPr="00BD1B26">
              <w:rPr>
                <w:rFonts w:ascii="Times New Roman" w:hAnsi="Times New Roman" w:cs="Times New Roman"/>
                <w:b/>
                <w:sz w:val="20"/>
                <w:szCs w:val="20"/>
              </w:rPr>
              <w:t>Profession of the participants</w:t>
            </w:r>
          </w:p>
        </w:tc>
        <w:tc>
          <w:tcPr>
            <w:tcW w:w="3097" w:type="dxa"/>
            <w:tcBorders>
              <w:top w:val="single" w:sz="4" w:space="0" w:color="auto"/>
              <w:bottom w:val="nil"/>
            </w:tcBorders>
          </w:tcPr>
          <w:p w14:paraId="673F0371"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p>
        </w:tc>
        <w:tc>
          <w:tcPr>
            <w:tcW w:w="2132" w:type="dxa"/>
            <w:tcBorders>
              <w:top w:val="single" w:sz="4" w:space="0" w:color="auto"/>
              <w:bottom w:val="nil"/>
            </w:tcBorders>
          </w:tcPr>
          <w:p w14:paraId="7773F265"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p>
        </w:tc>
      </w:tr>
      <w:tr w:rsidR="00A84E96" w:rsidRPr="00BD1B26" w14:paraId="7AFC892C" w14:textId="77777777" w:rsidTr="00BD1B26">
        <w:trPr>
          <w:jc w:val="center"/>
        </w:trPr>
        <w:tc>
          <w:tcPr>
            <w:tcW w:w="3135" w:type="dxa"/>
            <w:tcBorders>
              <w:top w:val="nil"/>
              <w:bottom w:val="nil"/>
            </w:tcBorders>
          </w:tcPr>
          <w:p w14:paraId="1126D5F6"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sz w:val="20"/>
                <w:szCs w:val="20"/>
              </w:rPr>
            </w:pPr>
            <w:r w:rsidRPr="00BD1B26">
              <w:rPr>
                <w:rFonts w:ascii="Times New Roman" w:hAnsi="Times New Roman" w:cs="Times New Roman"/>
                <w:sz w:val="20"/>
                <w:szCs w:val="20"/>
              </w:rPr>
              <w:t>Architect</w:t>
            </w:r>
          </w:p>
        </w:tc>
        <w:tc>
          <w:tcPr>
            <w:tcW w:w="3097" w:type="dxa"/>
            <w:tcBorders>
              <w:top w:val="nil"/>
              <w:bottom w:val="nil"/>
            </w:tcBorders>
          </w:tcPr>
          <w:p w14:paraId="19EAFD03"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r w:rsidRPr="00BD1B26">
              <w:rPr>
                <w:rFonts w:ascii="Times New Roman" w:hAnsi="Times New Roman" w:cs="Times New Roman"/>
                <w:sz w:val="20"/>
                <w:szCs w:val="20"/>
              </w:rPr>
              <w:t>34</w:t>
            </w:r>
          </w:p>
        </w:tc>
        <w:tc>
          <w:tcPr>
            <w:tcW w:w="2132" w:type="dxa"/>
            <w:tcBorders>
              <w:top w:val="nil"/>
              <w:bottom w:val="nil"/>
            </w:tcBorders>
          </w:tcPr>
          <w:p w14:paraId="66F909DE"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r w:rsidRPr="00BD1B26">
              <w:rPr>
                <w:rFonts w:ascii="Times New Roman" w:hAnsi="Times New Roman" w:cs="Times New Roman"/>
                <w:sz w:val="20"/>
                <w:szCs w:val="20"/>
              </w:rPr>
              <w:t>36.9</w:t>
            </w:r>
          </w:p>
        </w:tc>
      </w:tr>
      <w:tr w:rsidR="00A84E96" w:rsidRPr="00BD1B26" w14:paraId="6ED6673E" w14:textId="77777777" w:rsidTr="00BD1B26">
        <w:trPr>
          <w:jc w:val="center"/>
        </w:trPr>
        <w:tc>
          <w:tcPr>
            <w:tcW w:w="3135" w:type="dxa"/>
            <w:tcBorders>
              <w:top w:val="nil"/>
              <w:bottom w:val="nil"/>
            </w:tcBorders>
          </w:tcPr>
          <w:p w14:paraId="45276308"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sz w:val="20"/>
                <w:szCs w:val="20"/>
              </w:rPr>
            </w:pPr>
            <w:r w:rsidRPr="00BD1B26">
              <w:rPr>
                <w:rFonts w:ascii="Times New Roman" w:hAnsi="Times New Roman" w:cs="Times New Roman"/>
                <w:sz w:val="20"/>
                <w:szCs w:val="20"/>
              </w:rPr>
              <w:t>Builder</w:t>
            </w:r>
          </w:p>
        </w:tc>
        <w:tc>
          <w:tcPr>
            <w:tcW w:w="3097" w:type="dxa"/>
            <w:tcBorders>
              <w:top w:val="nil"/>
              <w:bottom w:val="nil"/>
            </w:tcBorders>
          </w:tcPr>
          <w:p w14:paraId="130F021A"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r w:rsidRPr="00BD1B26">
              <w:rPr>
                <w:rFonts w:ascii="Times New Roman" w:hAnsi="Times New Roman" w:cs="Times New Roman"/>
                <w:sz w:val="20"/>
                <w:szCs w:val="20"/>
              </w:rPr>
              <w:t>24</w:t>
            </w:r>
          </w:p>
        </w:tc>
        <w:tc>
          <w:tcPr>
            <w:tcW w:w="2132" w:type="dxa"/>
            <w:tcBorders>
              <w:top w:val="nil"/>
              <w:bottom w:val="nil"/>
            </w:tcBorders>
          </w:tcPr>
          <w:p w14:paraId="41D04AE7"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r w:rsidRPr="00BD1B26">
              <w:rPr>
                <w:rFonts w:ascii="Times New Roman" w:hAnsi="Times New Roman" w:cs="Times New Roman"/>
                <w:sz w:val="20"/>
                <w:szCs w:val="20"/>
              </w:rPr>
              <w:t>25.8</w:t>
            </w:r>
          </w:p>
        </w:tc>
      </w:tr>
      <w:tr w:rsidR="00A84E96" w:rsidRPr="00BD1B26" w14:paraId="2A54E648" w14:textId="77777777" w:rsidTr="00BD1B26">
        <w:trPr>
          <w:jc w:val="center"/>
        </w:trPr>
        <w:tc>
          <w:tcPr>
            <w:tcW w:w="3135" w:type="dxa"/>
            <w:tcBorders>
              <w:top w:val="nil"/>
              <w:bottom w:val="nil"/>
            </w:tcBorders>
          </w:tcPr>
          <w:p w14:paraId="3243A1DF"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sz w:val="20"/>
                <w:szCs w:val="20"/>
              </w:rPr>
            </w:pPr>
            <w:r w:rsidRPr="00BD1B26">
              <w:rPr>
                <w:rFonts w:ascii="Times New Roman" w:hAnsi="Times New Roman" w:cs="Times New Roman"/>
                <w:sz w:val="20"/>
                <w:szCs w:val="20"/>
              </w:rPr>
              <w:t>Engineer (civil)</w:t>
            </w:r>
          </w:p>
        </w:tc>
        <w:tc>
          <w:tcPr>
            <w:tcW w:w="3097" w:type="dxa"/>
            <w:tcBorders>
              <w:top w:val="nil"/>
              <w:bottom w:val="nil"/>
            </w:tcBorders>
          </w:tcPr>
          <w:p w14:paraId="67A5B4A9"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r w:rsidRPr="00BD1B26">
              <w:rPr>
                <w:rFonts w:ascii="Times New Roman" w:hAnsi="Times New Roman" w:cs="Times New Roman"/>
                <w:sz w:val="20"/>
                <w:szCs w:val="20"/>
              </w:rPr>
              <w:t>14</w:t>
            </w:r>
          </w:p>
        </w:tc>
        <w:tc>
          <w:tcPr>
            <w:tcW w:w="2132" w:type="dxa"/>
            <w:tcBorders>
              <w:top w:val="nil"/>
              <w:bottom w:val="nil"/>
            </w:tcBorders>
          </w:tcPr>
          <w:p w14:paraId="5B10B0A1"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r w:rsidRPr="00BD1B26">
              <w:rPr>
                <w:rFonts w:ascii="Times New Roman" w:hAnsi="Times New Roman" w:cs="Times New Roman"/>
                <w:sz w:val="20"/>
                <w:szCs w:val="20"/>
              </w:rPr>
              <w:t>15.1</w:t>
            </w:r>
          </w:p>
        </w:tc>
      </w:tr>
      <w:tr w:rsidR="00A84E96" w:rsidRPr="00BD1B26" w14:paraId="4881FB80" w14:textId="77777777" w:rsidTr="00BD1B26">
        <w:trPr>
          <w:jc w:val="center"/>
        </w:trPr>
        <w:tc>
          <w:tcPr>
            <w:tcW w:w="3135" w:type="dxa"/>
            <w:tcBorders>
              <w:top w:val="nil"/>
              <w:bottom w:val="single" w:sz="4" w:space="0" w:color="auto"/>
            </w:tcBorders>
          </w:tcPr>
          <w:p w14:paraId="1613312D"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sz w:val="20"/>
                <w:szCs w:val="20"/>
              </w:rPr>
            </w:pPr>
            <w:r w:rsidRPr="00BD1B26">
              <w:rPr>
                <w:rFonts w:ascii="Times New Roman" w:hAnsi="Times New Roman" w:cs="Times New Roman"/>
                <w:sz w:val="20"/>
                <w:szCs w:val="20"/>
              </w:rPr>
              <w:t>Quantity surveyor</w:t>
            </w:r>
          </w:p>
        </w:tc>
        <w:tc>
          <w:tcPr>
            <w:tcW w:w="3097" w:type="dxa"/>
            <w:tcBorders>
              <w:top w:val="nil"/>
              <w:bottom w:val="single" w:sz="4" w:space="0" w:color="auto"/>
            </w:tcBorders>
          </w:tcPr>
          <w:p w14:paraId="795236BA"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r w:rsidRPr="00BD1B26">
              <w:rPr>
                <w:rFonts w:ascii="Times New Roman" w:hAnsi="Times New Roman" w:cs="Times New Roman"/>
                <w:sz w:val="20"/>
                <w:szCs w:val="20"/>
              </w:rPr>
              <w:t>20</w:t>
            </w:r>
          </w:p>
        </w:tc>
        <w:tc>
          <w:tcPr>
            <w:tcW w:w="2132" w:type="dxa"/>
            <w:tcBorders>
              <w:top w:val="nil"/>
              <w:bottom w:val="single" w:sz="4" w:space="0" w:color="auto"/>
            </w:tcBorders>
          </w:tcPr>
          <w:p w14:paraId="620A844A"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r w:rsidRPr="00BD1B26">
              <w:rPr>
                <w:rFonts w:ascii="Times New Roman" w:hAnsi="Times New Roman" w:cs="Times New Roman"/>
                <w:sz w:val="20"/>
                <w:szCs w:val="20"/>
              </w:rPr>
              <w:t>21.7</w:t>
            </w:r>
          </w:p>
        </w:tc>
      </w:tr>
      <w:tr w:rsidR="00A84E96" w:rsidRPr="00BD1B26" w14:paraId="49C203D5" w14:textId="77777777" w:rsidTr="00BD1B26">
        <w:trPr>
          <w:jc w:val="center"/>
        </w:trPr>
        <w:tc>
          <w:tcPr>
            <w:tcW w:w="3135" w:type="dxa"/>
            <w:tcBorders>
              <w:top w:val="single" w:sz="4" w:space="0" w:color="auto"/>
              <w:bottom w:val="nil"/>
            </w:tcBorders>
          </w:tcPr>
          <w:p w14:paraId="3D9A3790"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b/>
                <w:sz w:val="20"/>
                <w:szCs w:val="20"/>
              </w:rPr>
            </w:pPr>
            <w:r w:rsidRPr="00BD1B26">
              <w:rPr>
                <w:rFonts w:ascii="Times New Roman" w:hAnsi="Times New Roman" w:cs="Times New Roman"/>
                <w:b/>
                <w:sz w:val="20"/>
                <w:szCs w:val="20"/>
              </w:rPr>
              <w:t xml:space="preserve">Years of experience in the </w:t>
            </w:r>
          </w:p>
          <w:p w14:paraId="605275E3"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sz w:val="20"/>
                <w:szCs w:val="20"/>
              </w:rPr>
            </w:pPr>
            <w:r w:rsidRPr="00BD1B26">
              <w:rPr>
                <w:rFonts w:ascii="Times New Roman" w:hAnsi="Times New Roman" w:cs="Times New Roman"/>
                <w:b/>
                <w:sz w:val="20"/>
                <w:szCs w:val="20"/>
              </w:rPr>
              <w:t>Profession</w:t>
            </w:r>
          </w:p>
        </w:tc>
        <w:tc>
          <w:tcPr>
            <w:tcW w:w="3097" w:type="dxa"/>
            <w:tcBorders>
              <w:top w:val="single" w:sz="4" w:space="0" w:color="auto"/>
              <w:bottom w:val="nil"/>
            </w:tcBorders>
          </w:tcPr>
          <w:p w14:paraId="568178DA"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p>
        </w:tc>
        <w:tc>
          <w:tcPr>
            <w:tcW w:w="2132" w:type="dxa"/>
            <w:tcBorders>
              <w:top w:val="single" w:sz="4" w:space="0" w:color="auto"/>
              <w:bottom w:val="nil"/>
            </w:tcBorders>
          </w:tcPr>
          <w:p w14:paraId="400638E8"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p>
        </w:tc>
      </w:tr>
      <w:tr w:rsidR="00A84E96" w:rsidRPr="00BD1B26" w14:paraId="5A0EAB89" w14:textId="77777777" w:rsidTr="00BD1B26">
        <w:trPr>
          <w:jc w:val="center"/>
        </w:trPr>
        <w:tc>
          <w:tcPr>
            <w:tcW w:w="3135" w:type="dxa"/>
            <w:tcBorders>
              <w:top w:val="nil"/>
            </w:tcBorders>
          </w:tcPr>
          <w:p w14:paraId="3319DD45"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sz w:val="20"/>
                <w:szCs w:val="20"/>
              </w:rPr>
            </w:pPr>
            <w:r w:rsidRPr="00BD1B26">
              <w:rPr>
                <w:rFonts w:ascii="Times New Roman" w:hAnsi="Times New Roman" w:cs="Times New Roman"/>
                <w:sz w:val="20"/>
                <w:szCs w:val="20"/>
              </w:rPr>
              <w:t>1-3</w:t>
            </w:r>
          </w:p>
        </w:tc>
        <w:tc>
          <w:tcPr>
            <w:tcW w:w="3097" w:type="dxa"/>
            <w:tcBorders>
              <w:top w:val="nil"/>
            </w:tcBorders>
          </w:tcPr>
          <w:p w14:paraId="024A6036"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r w:rsidRPr="00BD1B26">
              <w:rPr>
                <w:rFonts w:ascii="Times New Roman" w:hAnsi="Times New Roman" w:cs="Times New Roman"/>
                <w:sz w:val="20"/>
                <w:szCs w:val="20"/>
              </w:rPr>
              <w:t>1</w:t>
            </w:r>
          </w:p>
        </w:tc>
        <w:tc>
          <w:tcPr>
            <w:tcW w:w="2132" w:type="dxa"/>
            <w:tcBorders>
              <w:top w:val="nil"/>
            </w:tcBorders>
          </w:tcPr>
          <w:p w14:paraId="7A59974F"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r w:rsidRPr="00BD1B26">
              <w:rPr>
                <w:rFonts w:ascii="Times New Roman" w:hAnsi="Times New Roman" w:cs="Times New Roman"/>
                <w:sz w:val="20"/>
                <w:szCs w:val="20"/>
              </w:rPr>
              <w:t>1.1</w:t>
            </w:r>
          </w:p>
        </w:tc>
      </w:tr>
      <w:tr w:rsidR="00A84E96" w:rsidRPr="00BD1B26" w14:paraId="2CB07960" w14:textId="77777777" w:rsidTr="00BD1B26">
        <w:trPr>
          <w:jc w:val="center"/>
        </w:trPr>
        <w:tc>
          <w:tcPr>
            <w:tcW w:w="3135" w:type="dxa"/>
          </w:tcPr>
          <w:p w14:paraId="7FD77EA8"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sz w:val="20"/>
                <w:szCs w:val="20"/>
              </w:rPr>
            </w:pPr>
            <w:r w:rsidRPr="00BD1B26">
              <w:rPr>
                <w:rFonts w:ascii="Times New Roman" w:hAnsi="Times New Roman" w:cs="Times New Roman"/>
                <w:sz w:val="20"/>
                <w:szCs w:val="20"/>
              </w:rPr>
              <w:t>4-6</w:t>
            </w:r>
          </w:p>
        </w:tc>
        <w:tc>
          <w:tcPr>
            <w:tcW w:w="3097" w:type="dxa"/>
          </w:tcPr>
          <w:p w14:paraId="0922F5B6"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r w:rsidRPr="00BD1B26">
              <w:rPr>
                <w:rFonts w:ascii="Times New Roman" w:hAnsi="Times New Roman" w:cs="Times New Roman"/>
                <w:sz w:val="20"/>
                <w:szCs w:val="20"/>
              </w:rPr>
              <w:t>3</w:t>
            </w:r>
          </w:p>
        </w:tc>
        <w:tc>
          <w:tcPr>
            <w:tcW w:w="2132" w:type="dxa"/>
          </w:tcPr>
          <w:p w14:paraId="1D38F234"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r w:rsidRPr="00BD1B26">
              <w:rPr>
                <w:rFonts w:ascii="Times New Roman" w:hAnsi="Times New Roman" w:cs="Times New Roman"/>
                <w:sz w:val="20"/>
                <w:szCs w:val="20"/>
              </w:rPr>
              <w:t>3.3</w:t>
            </w:r>
          </w:p>
        </w:tc>
      </w:tr>
      <w:tr w:rsidR="00A84E96" w:rsidRPr="00BD1B26" w14:paraId="01B64E35" w14:textId="77777777" w:rsidTr="00BD1B26">
        <w:trPr>
          <w:jc w:val="center"/>
        </w:trPr>
        <w:tc>
          <w:tcPr>
            <w:tcW w:w="3135" w:type="dxa"/>
          </w:tcPr>
          <w:p w14:paraId="092D3278"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sz w:val="20"/>
                <w:szCs w:val="20"/>
              </w:rPr>
            </w:pPr>
            <w:r w:rsidRPr="00BD1B26">
              <w:rPr>
                <w:rFonts w:ascii="Times New Roman" w:hAnsi="Times New Roman" w:cs="Times New Roman"/>
                <w:sz w:val="20"/>
                <w:szCs w:val="20"/>
              </w:rPr>
              <w:t>7-9</w:t>
            </w:r>
          </w:p>
        </w:tc>
        <w:tc>
          <w:tcPr>
            <w:tcW w:w="3097" w:type="dxa"/>
          </w:tcPr>
          <w:p w14:paraId="25F5C9DC"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r w:rsidRPr="00BD1B26">
              <w:rPr>
                <w:rFonts w:ascii="Times New Roman" w:hAnsi="Times New Roman" w:cs="Times New Roman"/>
                <w:sz w:val="20"/>
                <w:szCs w:val="20"/>
              </w:rPr>
              <w:t>7</w:t>
            </w:r>
          </w:p>
        </w:tc>
        <w:tc>
          <w:tcPr>
            <w:tcW w:w="2132" w:type="dxa"/>
          </w:tcPr>
          <w:p w14:paraId="614DD376"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r w:rsidRPr="00BD1B26">
              <w:rPr>
                <w:rFonts w:ascii="Times New Roman" w:hAnsi="Times New Roman" w:cs="Times New Roman"/>
                <w:sz w:val="20"/>
                <w:szCs w:val="20"/>
              </w:rPr>
              <w:t>7.5</w:t>
            </w:r>
          </w:p>
        </w:tc>
      </w:tr>
      <w:tr w:rsidR="00A84E96" w:rsidRPr="00BD1B26" w14:paraId="298BF3F2" w14:textId="77777777" w:rsidTr="00BD1B26">
        <w:trPr>
          <w:jc w:val="center"/>
        </w:trPr>
        <w:tc>
          <w:tcPr>
            <w:tcW w:w="3135" w:type="dxa"/>
          </w:tcPr>
          <w:p w14:paraId="49E2EFCA" w14:textId="77777777" w:rsidR="00A84E96" w:rsidRPr="00BD1B26" w:rsidRDefault="00A84E96" w:rsidP="00BD1B26">
            <w:pPr>
              <w:autoSpaceDE w:val="0"/>
              <w:autoSpaceDN w:val="0"/>
              <w:adjustRightInd w:val="0"/>
              <w:spacing w:after="0" w:line="240" w:lineRule="auto"/>
              <w:ind w:left="596" w:hanging="142"/>
              <w:jc w:val="both"/>
              <w:rPr>
                <w:rFonts w:ascii="Times New Roman" w:hAnsi="Times New Roman" w:cs="Times New Roman"/>
                <w:sz w:val="20"/>
                <w:szCs w:val="20"/>
              </w:rPr>
            </w:pPr>
            <w:r w:rsidRPr="00BD1B26">
              <w:rPr>
                <w:rFonts w:ascii="Times New Roman" w:hAnsi="Times New Roman" w:cs="Times New Roman"/>
                <w:sz w:val="20"/>
                <w:szCs w:val="20"/>
              </w:rPr>
              <w:t>10yrs and above</w:t>
            </w:r>
          </w:p>
        </w:tc>
        <w:tc>
          <w:tcPr>
            <w:tcW w:w="3097" w:type="dxa"/>
          </w:tcPr>
          <w:p w14:paraId="2215FC7E" w14:textId="77777777" w:rsidR="00A84E96" w:rsidRPr="00BD1B26" w:rsidRDefault="00A84E96" w:rsidP="00BD1B26">
            <w:pPr>
              <w:autoSpaceDE w:val="0"/>
              <w:autoSpaceDN w:val="0"/>
              <w:adjustRightInd w:val="0"/>
              <w:spacing w:after="0" w:line="240" w:lineRule="auto"/>
              <w:ind w:firstLine="1238"/>
              <w:jc w:val="both"/>
              <w:rPr>
                <w:rFonts w:ascii="Times New Roman" w:hAnsi="Times New Roman" w:cs="Times New Roman"/>
                <w:sz w:val="20"/>
                <w:szCs w:val="20"/>
              </w:rPr>
            </w:pPr>
            <w:r w:rsidRPr="00BD1B26">
              <w:rPr>
                <w:rFonts w:ascii="Times New Roman" w:hAnsi="Times New Roman" w:cs="Times New Roman"/>
                <w:sz w:val="20"/>
                <w:szCs w:val="20"/>
              </w:rPr>
              <w:t>81</w:t>
            </w:r>
          </w:p>
        </w:tc>
        <w:tc>
          <w:tcPr>
            <w:tcW w:w="2132" w:type="dxa"/>
          </w:tcPr>
          <w:p w14:paraId="40842BAA" w14:textId="77777777" w:rsidR="00A84E96" w:rsidRPr="00BD1B26" w:rsidRDefault="00A84E96" w:rsidP="00BD1B26">
            <w:pPr>
              <w:autoSpaceDE w:val="0"/>
              <w:autoSpaceDN w:val="0"/>
              <w:adjustRightInd w:val="0"/>
              <w:spacing w:after="0" w:line="240" w:lineRule="auto"/>
              <w:ind w:firstLine="1313"/>
              <w:jc w:val="both"/>
              <w:rPr>
                <w:rFonts w:ascii="Times New Roman" w:hAnsi="Times New Roman" w:cs="Times New Roman"/>
                <w:sz w:val="20"/>
                <w:szCs w:val="20"/>
              </w:rPr>
            </w:pPr>
            <w:r w:rsidRPr="00BD1B26">
              <w:rPr>
                <w:rFonts w:ascii="Times New Roman" w:hAnsi="Times New Roman" w:cs="Times New Roman"/>
                <w:sz w:val="20"/>
                <w:szCs w:val="20"/>
              </w:rPr>
              <w:t>88.4</w:t>
            </w:r>
          </w:p>
        </w:tc>
      </w:tr>
    </w:tbl>
    <w:p w14:paraId="56E92450" w14:textId="77777777" w:rsidR="00A84E96" w:rsidRPr="00BE4AF3" w:rsidRDefault="00A84E96" w:rsidP="00A84E96">
      <w:pPr>
        <w:autoSpaceDE w:val="0"/>
        <w:autoSpaceDN w:val="0"/>
        <w:adjustRightInd w:val="0"/>
        <w:spacing w:after="0" w:line="240" w:lineRule="auto"/>
        <w:jc w:val="both"/>
        <w:rPr>
          <w:rFonts w:ascii="Times New Roman" w:hAnsi="Times New Roman" w:cs="Times New Roman"/>
          <w:sz w:val="24"/>
          <w:szCs w:val="24"/>
        </w:rPr>
      </w:pPr>
    </w:p>
    <w:p w14:paraId="4922F11F" w14:textId="77777777" w:rsidR="00A84E96" w:rsidRPr="00BE4AF3" w:rsidRDefault="00A84E96" w:rsidP="00A84E96">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 </w:t>
      </w:r>
      <w:r w:rsidRPr="00BE4AF3">
        <w:rPr>
          <w:rFonts w:ascii="Times New Roman" w:hAnsi="Times New Roman" w:cs="Times New Roman"/>
          <w:b/>
          <w:sz w:val="24"/>
          <w:szCs w:val="24"/>
        </w:rPr>
        <w:t>Respondent’s profile</w:t>
      </w:r>
      <w:r w:rsidRPr="00BE4AF3">
        <w:rPr>
          <w:rFonts w:ascii="Times New Roman" w:hAnsi="Times New Roman" w:cs="Times New Roman"/>
          <w:sz w:val="24"/>
          <w:szCs w:val="24"/>
        </w:rPr>
        <w:t xml:space="preserve"> Table 2 : indicates 79.4%, are male, 20.6% are female, while  respondents’ fields of specialization indicates 36.9% were architects, 25.8% were builders, 21.7% were quantity surveyors, and  15.1% were engineers. In addition, 57.6% of the respondents were Master's degree holders, 21.7% were Bachelor degree holders, and 16.3% were Diploma and 4.3% of the respondents being PhD holders. Their years of experience shows that those who have spent 1-3 years in the profession are (1.1%), 4-6 years are (3.3%), 7-9 years are (7.5.0 %), and 10years above (88.4%). The high number of respondents with high academic qualification and years of professional inputs prove that respondents were well equipped to provide the necessary answers required for the research.</w:t>
      </w:r>
    </w:p>
    <w:p w14:paraId="5C8906DB" w14:textId="77777777" w:rsidR="00A84E96" w:rsidRPr="00BE4AF3" w:rsidRDefault="00A84E96" w:rsidP="00A84E96">
      <w:pPr>
        <w:autoSpaceDE w:val="0"/>
        <w:autoSpaceDN w:val="0"/>
        <w:adjustRightInd w:val="0"/>
        <w:spacing w:after="0" w:line="240" w:lineRule="auto"/>
        <w:jc w:val="both"/>
        <w:rPr>
          <w:rFonts w:ascii="Times New Roman" w:hAnsi="Times New Roman" w:cs="Times New Roman"/>
          <w:sz w:val="24"/>
          <w:szCs w:val="24"/>
        </w:rPr>
      </w:pPr>
    </w:p>
    <w:p w14:paraId="0FD8DC2C" w14:textId="77777777" w:rsidR="00A84E96" w:rsidRPr="00BE4AF3" w:rsidRDefault="00A84E96" w:rsidP="00A84E96">
      <w:pPr>
        <w:framePr w:hSpace="180" w:wrap="around" w:vAnchor="text" w:hAnchor="margin" w:xAlign="right" w:y="291"/>
        <w:autoSpaceDE w:val="0"/>
        <w:autoSpaceDN w:val="0"/>
        <w:adjustRightInd w:val="0"/>
        <w:spacing w:after="0" w:line="240" w:lineRule="auto"/>
        <w:jc w:val="both"/>
        <w:rPr>
          <w:rFonts w:ascii="Times New Roman" w:hAnsi="Times New Roman" w:cs="Times New Roman"/>
          <w:sz w:val="24"/>
          <w:szCs w:val="24"/>
        </w:rPr>
      </w:pPr>
    </w:p>
    <w:p w14:paraId="0D834AF2" w14:textId="77777777" w:rsidR="00A84E96" w:rsidRPr="00BE4AF3" w:rsidRDefault="00A84E96" w:rsidP="00A84E96">
      <w:pPr>
        <w:autoSpaceDE w:val="0"/>
        <w:autoSpaceDN w:val="0"/>
        <w:adjustRightInd w:val="0"/>
        <w:spacing w:after="0" w:line="240" w:lineRule="auto"/>
        <w:jc w:val="both"/>
        <w:rPr>
          <w:rFonts w:ascii="Times New Roman" w:hAnsi="Times New Roman" w:cs="Times New Roman"/>
          <w:b/>
          <w:sz w:val="24"/>
          <w:szCs w:val="24"/>
        </w:rPr>
      </w:pPr>
    </w:p>
    <w:p w14:paraId="00DED9EB" w14:textId="77777777" w:rsidR="00A84E96" w:rsidRDefault="00A84E96" w:rsidP="00A84E96">
      <w:pPr>
        <w:autoSpaceDE w:val="0"/>
        <w:autoSpaceDN w:val="0"/>
        <w:adjustRightInd w:val="0"/>
        <w:spacing w:after="0" w:line="240" w:lineRule="auto"/>
        <w:jc w:val="both"/>
        <w:rPr>
          <w:rFonts w:ascii="Times New Roman" w:hAnsi="Times New Roman" w:cs="Times New Roman"/>
          <w:b/>
          <w:sz w:val="24"/>
          <w:szCs w:val="24"/>
        </w:rPr>
      </w:pPr>
    </w:p>
    <w:p w14:paraId="75A699AF" w14:textId="77777777" w:rsidR="00BD1B26" w:rsidRPr="00BE4AF3" w:rsidRDefault="00BD1B26" w:rsidP="00A84E96">
      <w:pPr>
        <w:autoSpaceDE w:val="0"/>
        <w:autoSpaceDN w:val="0"/>
        <w:adjustRightInd w:val="0"/>
        <w:spacing w:after="0" w:line="240" w:lineRule="auto"/>
        <w:jc w:val="both"/>
        <w:rPr>
          <w:rFonts w:ascii="Times New Roman" w:hAnsi="Times New Roman" w:cs="Times New Roman"/>
          <w:b/>
          <w:sz w:val="24"/>
          <w:szCs w:val="24"/>
        </w:rPr>
      </w:pPr>
    </w:p>
    <w:p w14:paraId="005AC219" w14:textId="77777777" w:rsidR="00A84E96" w:rsidRPr="00BD1B26" w:rsidRDefault="00A84E96" w:rsidP="00BD1B26">
      <w:pPr>
        <w:autoSpaceDE w:val="0"/>
        <w:autoSpaceDN w:val="0"/>
        <w:adjustRightInd w:val="0"/>
        <w:spacing w:after="0" w:line="240" w:lineRule="auto"/>
        <w:ind w:firstLine="720"/>
        <w:jc w:val="both"/>
        <w:rPr>
          <w:rFonts w:ascii="Times New Roman" w:hAnsi="Times New Roman" w:cs="Times New Roman"/>
          <w:bCs/>
          <w:sz w:val="24"/>
          <w:szCs w:val="24"/>
        </w:rPr>
      </w:pPr>
      <w:r w:rsidRPr="00BE4AF3">
        <w:rPr>
          <w:rFonts w:ascii="Times New Roman" w:hAnsi="Times New Roman" w:cs="Times New Roman"/>
          <w:b/>
          <w:sz w:val="24"/>
          <w:szCs w:val="24"/>
        </w:rPr>
        <w:lastRenderedPageBreak/>
        <w:t xml:space="preserve">Table 3: </w:t>
      </w:r>
      <w:r w:rsidRPr="00BD1B26">
        <w:rPr>
          <w:rFonts w:ascii="Times New Roman" w:hAnsi="Times New Roman" w:cs="Times New Roman"/>
          <w:bCs/>
          <w:sz w:val="24"/>
          <w:szCs w:val="24"/>
        </w:rPr>
        <w:t>Factors inhibiting adoption of modular construction</w:t>
      </w:r>
    </w:p>
    <w:p w14:paraId="68DFD778" w14:textId="78B9983B" w:rsidR="00A84E96" w:rsidRPr="00BD1B26" w:rsidRDefault="00A84E96" w:rsidP="00660949">
      <w:pPr>
        <w:autoSpaceDE w:val="0"/>
        <w:autoSpaceDN w:val="0"/>
        <w:adjustRightInd w:val="0"/>
        <w:spacing w:after="0" w:line="240" w:lineRule="auto"/>
        <w:ind w:firstLine="720"/>
        <w:jc w:val="both"/>
        <w:rPr>
          <w:rFonts w:ascii="Times New Roman" w:hAnsi="Times New Roman" w:cs="Times New Roman"/>
          <w:bCs/>
          <w:sz w:val="24"/>
          <w:szCs w:val="24"/>
        </w:rPr>
      </w:pPr>
      <w:r w:rsidRPr="00BD1B26">
        <w:rPr>
          <w:rFonts w:ascii="Times New Roman" w:hAnsi="Times New Roman" w:cs="Times New Roman"/>
          <w:bCs/>
          <w:sz w:val="24"/>
          <w:szCs w:val="24"/>
        </w:rPr>
        <w:t xml:space="preserve">(Mean Item Score, (MIS) Standard Deviation (SD) valuesand Ranking) </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5"/>
        <w:gridCol w:w="2294"/>
        <w:gridCol w:w="2294"/>
        <w:gridCol w:w="1362"/>
      </w:tblGrid>
      <w:tr w:rsidR="00A84E96" w:rsidRPr="00660949" w14:paraId="518B6076" w14:textId="77777777" w:rsidTr="00660949">
        <w:trPr>
          <w:jc w:val="center"/>
        </w:trPr>
        <w:tc>
          <w:tcPr>
            <w:tcW w:w="2595" w:type="dxa"/>
            <w:tcBorders>
              <w:top w:val="single" w:sz="4" w:space="0" w:color="auto"/>
              <w:bottom w:val="single" w:sz="4" w:space="0" w:color="auto"/>
            </w:tcBorders>
            <w:vAlign w:val="bottom"/>
          </w:tcPr>
          <w:p w14:paraId="6E5A10F3" w14:textId="77777777" w:rsidR="00A84E96" w:rsidRPr="00660949" w:rsidRDefault="00A84E96" w:rsidP="00660949">
            <w:pPr>
              <w:spacing w:after="0" w:line="240" w:lineRule="auto"/>
              <w:rPr>
                <w:rFonts w:ascii="Times New Roman" w:hAnsi="Times New Roman" w:cs="Times New Roman"/>
                <w:sz w:val="20"/>
                <w:szCs w:val="20"/>
              </w:rPr>
            </w:pPr>
            <w:r w:rsidRPr="00660949">
              <w:rPr>
                <w:rFonts w:ascii="Times New Roman" w:hAnsi="Times New Roman" w:cs="Times New Roman"/>
                <w:sz w:val="20"/>
                <w:szCs w:val="20"/>
              </w:rPr>
              <w:t>VARIABLES</w:t>
            </w:r>
          </w:p>
        </w:tc>
        <w:tc>
          <w:tcPr>
            <w:tcW w:w="2294" w:type="dxa"/>
            <w:tcBorders>
              <w:top w:val="single" w:sz="4" w:space="0" w:color="auto"/>
              <w:bottom w:val="single" w:sz="4" w:space="0" w:color="auto"/>
            </w:tcBorders>
            <w:vAlign w:val="bottom"/>
          </w:tcPr>
          <w:p w14:paraId="10492BDF"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MIS</w:t>
            </w:r>
          </w:p>
        </w:tc>
        <w:tc>
          <w:tcPr>
            <w:tcW w:w="2294" w:type="dxa"/>
            <w:tcBorders>
              <w:top w:val="single" w:sz="4" w:space="0" w:color="auto"/>
              <w:bottom w:val="single" w:sz="4" w:space="0" w:color="auto"/>
            </w:tcBorders>
            <w:vAlign w:val="bottom"/>
          </w:tcPr>
          <w:p w14:paraId="6224CB92"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SD</w:t>
            </w:r>
          </w:p>
        </w:tc>
        <w:tc>
          <w:tcPr>
            <w:tcW w:w="1362" w:type="dxa"/>
            <w:tcBorders>
              <w:top w:val="single" w:sz="4" w:space="0" w:color="auto"/>
              <w:bottom w:val="single" w:sz="4" w:space="0" w:color="auto"/>
            </w:tcBorders>
          </w:tcPr>
          <w:p w14:paraId="38A29DC5"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R</w:t>
            </w:r>
          </w:p>
        </w:tc>
      </w:tr>
      <w:tr w:rsidR="00A84E96" w:rsidRPr="00660949" w14:paraId="0EB6B319" w14:textId="77777777" w:rsidTr="00660949">
        <w:trPr>
          <w:jc w:val="center"/>
        </w:trPr>
        <w:tc>
          <w:tcPr>
            <w:tcW w:w="2595" w:type="dxa"/>
            <w:tcBorders>
              <w:top w:val="single" w:sz="4" w:space="0" w:color="auto"/>
            </w:tcBorders>
            <w:vAlign w:val="bottom"/>
          </w:tcPr>
          <w:p w14:paraId="6B007D29" w14:textId="77777777" w:rsidR="00A84E96" w:rsidRPr="00660949" w:rsidRDefault="00A84E96" w:rsidP="00660949">
            <w:pPr>
              <w:spacing w:after="0" w:line="240" w:lineRule="auto"/>
              <w:rPr>
                <w:rFonts w:ascii="Times New Roman" w:hAnsi="Times New Roman" w:cs="Times New Roman"/>
                <w:sz w:val="20"/>
                <w:szCs w:val="20"/>
              </w:rPr>
            </w:pPr>
            <w:r w:rsidRPr="00660949">
              <w:rPr>
                <w:rFonts w:ascii="Times New Roman" w:hAnsi="Times New Roman" w:cs="Times New Roman"/>
                <w:sz w:val="20"/>
                <w:szCs w:val="20"/>
              </w:rPr>
              <w:t>Impaired aesthetics</w:t>
            </w:r>
          </w:p>
        </w:tc>
        <w:tc>
          <w:tcPr>
            <w:tcW w:w="2294" w:type="dxa"/>
            <w:tcBorders>
              <w:top w:val="single" w:sz="4" w:space="0" w:color="auto"/>
            </w:tcBorders>
            <w:vAlign w:val="bottom"/>
          </w:tcPr>
          <w:p w14:paraId="0CCE7620"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2.60</w:t>
            </w:r>
          </w:p>
        </w:tc>
        <w:tc>
          <w:tcPr>
            <w:tcW w:w="2294" w:type="dxa"/>
            <w:tcBorders>
              <w:top w:val="single" w:sz="4" w:space="0" w:color="auto"/>
            </w:tcBorders>
            <w:vAlign w:val="bottom"/>
          </w:tcPr>
          <w:p w14:paraId="67965036"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1.58</w:t>
            </w:r>
          </w:p>
        </w:tc>
        <w:tc>
          <w:tcPr>
            <w:tcW w:w="1362" w:type="dxa"/>
            <w:tcBorders>
              <w:top w:val="single" w:sz="4" w:space="0" w:color="auto"/>
            </w:tcBorders>
            <w:vAlign w:val="bottom"/>
          </w:tcPr>
          <w:p w14:paraId="0C90165D"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w:t>
            </w:r>
          </w:p>
        </w:tc>
      </w:tr>
      <w:tr w:rsidR="00A84E96" w:rsidRPr="00660949" w14:paraId="0878A7D8" w14:textId="77777777" w:rsidTr="00660949">
        <w:trPr>
          <w:jc w:val="center"/>
        </w:trPr>
        <w:tc>
          <w:tcPr>
            <w:tcW w:w="2595" w:type="dxa"/>
            <w:vAlign w:val="bottom"/>
          </w:tcPr>
          <w:p w14:paraId="12017A3C" w14:textId="77777777" w:rsidR="00A84E96" w:rsidRPr="00660949" w:rsidRDefault="00A84E96" w:rsidP="00660949">
            <w:pPr>
              <w:spacing w:after="0" w:line="240" w:lineRule="auto"/>
              <w:rPr>
                <w:rFonts w:ascii="Times New Roman" w:hAnsi="Times New Roman" w:cs="Times New Roman"/>
                <w:sz w:val="20"/>
                <w:szCs w:val="20"/>
              </w:rPr>
            </w:pPr>
            <w:r w:rsidRPr="00660949">
              <w:rPr>
                <w:rFonts w:ascii="Times New Roman" w:hAnsi="Times New Roman" w:cs="Times New Roman"/>
                <w:sz w:val="20"/>
                <w:szCs w:val="20"/>
              </w:rPr>
              <w:t>Inflexibility in early design</w:t>
            </w:r>
          </w:p>
        </w:tc>
        <w:tc>
          <w:tcPr>
            <w:tcW w:w="2294" w:type="dxa"/>
            <w:vAlign w:val="bottom"/>
          </w:tcPr>
          <w:p w14:paraId="5DBB1375"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2.51</w:t>
            </w:r>
          </w:p>
        </w:tc>
        <w:tc>
          <w:tcPr>
            <w:tcW w:w="2294" w:type="dxa"/>
            <w:vAlign w:val="bottom"/>
          </w:tcPr>
          <w:p w14:paraId="6CE64A2A"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1.31</w:t>
            </w:r>
          </w:p>
        </w:tc>
        <w:tc>
          <w:tcPr>
            <w:tcW w:w="1362" w:type="dxa"/>
            <w:vAlign w:val="bottom"/>
          </w:tcPr>
          <w:p w14:paraId="59B82537"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2</w:t>
            </w:r>
          </w:p>
        </w:tc>
      </w:tr>
      <w:tr w:rsidR="00A84E96" w:rsidRPr="00660949" w14:paraId="1F8ECA6E" w14:textId="77777777" w:rsidTr="00660949">
        <w:trPr>
          <w:jc w:val="center"/>
        </w:trPr>
        <w:tc>
          <w:tcPr>
            <w:tcW w:w="2595" w:type="dxa"/>
            <w:vAlign w:val="bottom"/>
          </w:tcPr>
          <w:p w14:paraId="17CBBC6C" w14:textId="77777777" w:rsidR="00A84E96" w:rsidRPr="00660949" w:rsidRDefault="00A84E96" w:rsidP="00660949">
            <w:pPr>
              <w:spacing w:after="0" w:line="240" w:lineRule="auto"/>
              <w:rPr>
                <w:rFonts w:ascii="Times New Roman" w:hAnsi="Times New Roman" w:cs="Times New Roman"/>
                <w:sz w:val="20"/>
                <w:szCs w:val="20"/>
              </w:rPr>
            </w:pPr>
            <w:r w:rsidRPr="00660949">
              <w:rPr>
                <w:rFonts w:ascii="Times New Roman" w:hAnsi="Times New Roman" w:cs="Times New Roman"/>
                <w:sz w:val="20"/>
                <w:szCs w:val="20"/>
              </w:rPr>
              <w:t>Lack of policy statement</w:t>
            </w:r>
          </w:p>
        </w:tc>
        <w:tc>
          <w:tcPr>
            <w:tcW w:w="2294" w:type="dxa"/>
            <w:vAlign w:val="bottom"/>
          </w:tcPr>
          <w:p w14:paraId="7E08427D"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2.48</w:t>
            </w:r>
          </w:p>
        </w:tc>
        <w:tc>
          <w:tcPr>
            <w:tcW w:w="2294" w:type="dxa"/>
            <w:vAlign w:val="bottom"/>
          </w:tcPr>
          <w:p w14:paraId="1DEBABA6"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1.48</w:t>
            </w:r>
          </w:p>
        </w:tc>
        <w:tc>
          <w:tcPr>
            <w:tcW w:w="1362" w:type="dxa"/>
            <w:vAlign w:val="bottom"/>
          </w:tcPr>
          <w:p w14:paraId="7524CB0E"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3</w:t>
            </w:r>
          </w:p>
        </w:tc>
      </w:tr>
      <w:tr w:rsidR="00A84E96" w:rsidRPr="00660949" w14:paraId="0317DE90" w14:textId="77777777" w:rsidTr="00660949">
        <w:trPr>
          <w:jc w:val="center"/>
        </w:trPr>
        <w:tc>
          <w:tcPr>
            <w:tcW w:w="2595" w:type="dxa"/>
            <w:vAlign w:val="bottom"/>
          </w:tcPr>
          <w:p w14:paraId="43F898A1" w14:textId="77777777" w:rsidR="00A84E96" w:rsidRPr="00660949" w:rsidRDefault="00A84E96" w:rsidP="00660949">
            <w:pPr>
              <w:spacing w:after="0" w:line="240" w:lineRule="auto"/>
              <w:rPr>
                <w:rFonts w:ascii="Times New Roman" w:hAnsi="Times New Roman" w:cs="Times New Roman"/>
                <w:sz w:val="20"/>
                <w:szCs w:val="20"/>
              </w:rPr>
            </w:pPr>
            <w:r w:rsidRPr="00660949">
              <w:rPr>
                <w:rFonts w:ascii="Times New Roman" w:hAnsi="Times New Roman" w:cs="Times New Roman"/>
                <w:sz w:val="20"/>
                <w:szCs w:val="20"/>
              </w:rPr>
              <w:t>Perceive limitation in small project</w:t>
            </w:r>
          </w:p>
        </w:tc>
        <w:tc>
          <w:tcPr>
            <w:tcW w:w="2294" w:type="dxa"/>
            <w:vAlign w:val="bottom"/>
          </w:tcPr>
          <w:p w14:paraId="33043AF2"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2.45</w:t>
            </w:r>
          </w:p>
        </w:tc>
        <w:tc>
          <w:tcPr>
            <w:tcW w:w="2294" w:type="dxa"/>
            <w:vAlign w:val="bottom"/>
          </w:tcPr>
          <w:p w14:paraId="44562351"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1.08</w:t>
            </w:r>
          </w:p>
        </w:tc>
        <w:tc>
          <w:tcPr>
            <w:tcW w:w="1362" w:type="dxa"/>
            <w:vAlign w:val="bottom"/>
          </w:tcPr>
          <w:p w14:paraId="3795A641"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4</w:t>
            </w:r>
          </w:p>
        </w:tc>
      </w:tr>
      <w:tr w:rsidR="00A84E96" w:rsidRPr="00660949" w14:paraId="69858295" w14:textId="77777777" w:rsidTr="00660949">
        <w:trPr>
          <w:jc w:val="center"/>
        </w:trPr>
        <w:tc>
          <w:tcPr>
            <w:tcW w:w="2595" w:type="dxa"/>
            <w:vAlign w:val="bottom"/>
          </w:tcPr>
          <w:p w14:paraId="45C1F0B6" w14:textId="77777777" w:rsidR="00A84E96" w:rsidRPr="00660949" w:rsidRDefault="00A84E96" w:rsidP="00660949">
            <w:pPr>
              <w:spacing w:after="0" w:line="240" w:lineRule="auto"/>
              <w:rPr>
                <w:rFonts w:ascii="Times New Roman" w:hAnsi="Times New Roman" w:cs="Times New Roman"/>
                <w:sz w:val="20"/>
                <w:szCs w:val="20"/>
              </w:rPr>
            </w:pPr>
            <w:r w:rsidRPr="00660949">
              <w:rPr>
                <w:rFonts w:ascii="Times New Roman" w:hAnsi="Times New Roman" w:cs="Times New Roman"/>
                <w:sz w:val="20"/>
                <w:szCs w:val="20"/>
              </w:rPr>
              <w:t>Negative perception of Government</w:t>
            </w:r>
          </w:p>
        </w:tc>
        <w:tc>
          <w:tcPr>
            <w:tcW w:w="2294" w:type="dxa"/>
            <w:vAlign w:val="bottom"/>
          </w:tcPr>
          <w:p w14:paraId="3C3C4B04"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2.41</w:t>
            </w:r>
          </w:p>
        </w:tc>
        <w:tc>
          <w:tcPr>
            <w:tcW w:w="2294" w:type="dxa"/>
            <w:vAlign w:val="bottom"/>
          </w:tcPr>
          <w:p w14:paraId="70169B36"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1.21</w:t>
            </w:r>
          </w:p>
        </w:tc>
        <w:tc>
          <w:tcPr>
            <w:tcW w:w="1362" w:type="dxa"/>
            <w:vAlign w:val="bottom"/>
          </w:tcPr>
          <w:p w14:paraId="2E4D60C0"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5</w:t>
            </w:r>
          </w:p>
        </w:tc>
      </w:tr>
      <w:tr w:rsidR="00A84E96" w:rsidRPr="00660949" w14:paraId="77426C21" w14:textId="77777777" w:rsidTr="00660949">
        <w:trPr>
          <w:jc w:val="center"/>
        </w:trPr>
        <w:tc>
          <w:tcPr>
            <w:tcW w:w="2595" w:type="dxa"/>
            <w:vAlign w:val="bottom"/>
          </w:tcPr>
          <w:p w14:paraId="41EF905B" w14:textId="77777777" w:rsidR="00A84E96" w:rsidRPr="00660949" w:rsidRDefault="00A84E96" w:rsidP="00660949">
            <w:pPr>
              <w:spacing w:after="0" w:line="240" w:lineRule="auto"/>
              <w:rPr>
                <w:rFonts w:ascii="Times New Roman" w:hAnsi="Times New Roman" w:cs="Times New Roman"/>
                <w:sz w:val="20"/>
                <w:szCs w:val="20"/>
              </w:rPr>
            </w:pPr>
            <w:r w:rsidRPr="00660949">
              <w:rPr>
                <w:rFonts w:ascii="Times New Roman" w:hAnsi="Times New Roman" w:cs="Times New Roman"/>
                <w:sz w:val="20"/>
                <w:szCs w:val="20"/>
              </w:rPr>
              <w:t>Lack of legal backing</w:t>
            </w:r>
          </w:p>
        </w:tc>
        <w:tc>
          <w:tcPr>
            <w:tcW w:w="2294" w:type="dxa"/>
            <w:vAlign w:val="bottom"/>
          </w:tcPr>
          <w:p w14:paraId="1E81C110"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2.41</w:t>
            </w:r>
          </w:p>
        </w:tc>
        <w:tc>
          <w:tcPr>
            <w:tcW w:w="2294" w:type="dxa"/>
            <w:vAlign w:val="bottom"/>
          </w:tcPr>
          <w:p w14:paraId="72D839A8"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1.42</w:t>
            </w:r>
          </w:p>
        </w:tc>
        <w:tc>
          <w:tcPr>
            <w:tcW w:w="1362" w:type="dxa"/>
            <w:vAlign w:val="bottom"/>
          </w:tcPr>
          <w:p w14:paraId="6C28E0BC"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6</w:t>
            </w:r>
          </w:p>
        </w:tc>
      </w:tr>
      <w:tr w:rsidR="00A84E96" w:rsidRPr="00660949" w14:paraId="01824780" w14:textId="77777777" w:rsidTr="00660949">
        <w:trPr>
          <w:jc w:val="center"/>
        </w:trPr>
        <w:tc>
          <w:tcPr>
            <w:tcW w:w="2595" w:type="dxa"/>
            <w:vAlign w:val="bottom"/>
          </w:tcPr>
          <w:p w14:paraId="4A3B141E" w14:textId="77777777" w:rsidR="00A84E96" w:rsidRPr="00660949" w:rsidRDefault="00A84E96" w:rsidP="00660949">
            <w:pPr>
              <w:spacing w:after="0" w:line="240" w:lineRule="auto"/>
              <w:rPr>
                <w:rFonts w:ascii="Times New Roman" w:hAnsi="Times New Roman" w:cs="Times New Roman"/>
                <w:sz w:val="20"/>
                <w:szCs w:val="20"/>
              </w:rPr>
            </w:pPr>
            <w:r w:rsidRPr="00660949">
              <w:rPr>
                <w:rFonts w:ascii="Times New Roman" w:hAnsi="Times New Roman" w:cs="Times New Roman"/>
                <w:sz w:val="20"/>
                <w:szCs w:val="20"/>
              </w:rPr>
              <w:t>insufficient previous experience</w:t>
            </w:r>
          </w:p>
        </w:tc>
        <w:tc>
          <w:tcPr>
            <w:tcW w:w="2294" w:type="dxa"/>
            <w:vAlign w:val="bottom"/>
          </w:tcPr>
          <w:p w14:paraId="577F8C8D"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2.23</w:t>
            </w:r>
          </w:p>
        </w:tc>
        <w:tc>
          <w:tcPr>
            <w:tcW w:w="2294" w:type="dxa"/>
            <w:vAlign w:val="bottom"/>
          </w:tcPr>
          <w:p w14:paraId="533FEC44"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1.01</w:t>
            </w:r>
          </w:p>
        </w:tc>
        <w:tc>
          <w:tcPr>
            <w:tcW w:w="1362" w:type="dxa"/>
            <w:vAlign w:val="bottom"/>
          </w:tcPr>
          <w:p w14:paraId="5657CDE2"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7</w:t>
            </w:r>
          </w:p>
        </w:tc>
      </w:tr>
      <w:tr w:rsidR="00A84E96" w:rsidRPr="00660949" w14:paraId="4A3A9E1E" w14:textId="77777777" w:rsidTr="00660949">
        <w:trPr>
          <w:jc w:val="center"/>
        </w:trPr>
        <w:tc>
          <w:tcPr>
            <w:tcW w:w="2595" w:type="dxa"/>
            <w:vAlign w:val="bottom"/>
          </w:tcPr>
          <w:p w14:paraId="7DFD984B" w14:textId="77777777" w:rsidR="00A84E96" w:rsidRPr="00660949" w:rsidRDefault="00A84E96" w:rsidP="00660949">
            <w:pPr>
              <w:spacing w:after="0" w:line="240" w:lineRule="auto"/>
              <w:rPr>
                <w:rFonts w:ascii="Times New Roman" w:hAnsi="Times New Roman" w:cs="Times New Roman"/>
                <w:sz w:val="20"/>
                <w:szCs w:val="20"/>
              </w:rPr>
            </w:pPr>
            <w:r w:rsidRPr="00660949">
              <w:rPr>
                <w:rFonts w:ascii="Times New Roman" w:hAnsi="Times New Roman" w:cs="Times New Roman"/>
                <w:sz w:val="20"/>
                <w:szCs w:val="20"/>
              </w:rPr>
              <w:t>Insufficient knowledge of modular system</w:t>
            </w:r>
          </w:p>
        </w:tc>
        <w:tc>
          <w:tcPr>
            <w:tcW w:w="2294" w:type="dxa"/>
            <w:vAlign w:val="bottom"/>
          </w:tcPr>
          <w:p w14:paraId="04C86831"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2.23</w:t>
            </w:r>
          </w:p>
        </w:tc>
        <w:tc>
          <w:tcPr>
            <w:tcW w:w="2294" w:type="dxa"/>
            <w:vAlign w:val="bottom"/>
          </w:tcPr>
          <w:p w14:paraId="1751D0E2"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1.08</w:t>
            </w:r>
          </w:p>
        </w:tc>
        <w:tc>
          <w:tcPr>
            <w:tcW w:w="1362" w:type="dxa"/>
            <w:vAlign w:val="bottom"/>
          </w:tcPr>
          <w:p w14:paraId="38C7209B"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8</w:t>
            </w:r>
          </w:p>
        </w:tc>
      </w:tr>
      <w:tr w:rsidR="00A84E96" w:rsidRPr="00660949" w14:paraId="24698D6F" w14:textId="77777777" w:rsidTr="00660949">
        <w:trPr>
          <w:jc w:val="center"/>
        </w:trPr>
        <w:tc>
          <w:tcPr>
            <w:tcW w:w="2595" w:type="dxa"/>
            <w:vAlign w:val="bottom"/>
          </w:tcPr>
          <w:p w14:paraId="45D0CD80" w14:textId="77777777" w:rsidR="00A84E96" w:rsidRPr="00660949" w:rsidRDefault="00A84E96" w:rsidP="00660949">
            <w:pPr>
              <w:spacing w:after="0" w:line="240" w:lineRule="auto"/>
              <w:rPr>
                <w:rFonts w:ascii="Times New Roman" w:hAnsi="Times New Roman" w:cs="Times New Roman"/>
                <w:sz w:val="20"/>
                <w:szCs w:val="20"/>
              </w:rPr>
            </w:pPr>
            <w:r w:rsidRPr="00660949">
              <w:rPr>
                <w:rFonts w:ascii="Times New Roman" w:hAnsi="Times New Roman" w:cs="Times New Roman"/>
                <w:sz w:val="20"/>
                <w:szCs w:val="20"/>
              </w:rPr>
              <w:t>Lack of promotion of the technique</w:t>
            </w:r>
          </w:p>
        </w:tc>
        <w:tc>
          <w:tcPr>
            <w:tcW w:w="2294" w:type="dxa"/>
            <w:vAlign w:val="bottom"/>
          </w:tcPr>
          <w:p w14:paraId="766870DA"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2.20</w:t>
            </w:r>
          </w:p>
        </w:tc>
        <w:tc>
          <w:tcPr>
            <w:tcW w:w="2294" w:type="dxa"/>
            <w:vAlign w:val="bottom"/>
          </w:tcPr>
          <w:p w14:paraId="1FBE54BB"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1.22</w:t>
            </w:r>
          </w:p>
        </w:tc>
        <w:tc>
          <w:tcPr>
            <w:tcW w:w="1362" w:type="dxa"/>
            <w:vAlign w:val="bottom"/>
          </w:tcPr>
          <w:p w14:paraId="63C55562"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9</w:t>
            </w:r>
          </w:p>
        </w:tc>
      </w:tr>
      <w:tr w:rsidR="00A84E96" w:rsidRPr="00660949" w14:paraId="1BA0143C" w14:textId="77777777" w:rsidTr="00660949">
        <w:trPr>
          <w:jc w:val="center"/>
        </w:trPr>
        <w:tc>
          <w:tcPr>
            <w:tcW w:w="2595" w:type="dxa"/>
            <w:vAlign w:val="bottom"/>
          </w:tcPr>
          <w:p w14:paraId="0063A655" w14:textId="77777777" w:rsidR="00A84E96" w:rsidRPr="00660949" w:rsidRDefault="00A84E96" w:rsidP="00660949">
            <w:pPr>
              <w:spacing w:after="0" w:line="240" w:lineRule="auto"/>
              <w:rPr>
                <w:rFonts w:ascii="Times New Roman" w:hAnsi="Times New Roman" w:cs="Times New Roman"/>
                <w:sz w:val="20"/>
                <w:szCs w:val="20"/>
              </w:rPr>
            </w:pPr>
            <w:r w:rsidRPr="00660949">
              <w:rPr>
                <w:rFonts w:ascii="Times New Roman" w:hAnsi="Times New Roman" w:cs="Times New Roman"/>
                <w:sz w:val="20"/>
                <w:szCs w:val="20"/>
              </w:rPr>
              <w:t>Long design  time</w:t>
            </w:r>
          </w:p>
        </w:tc>
        <w:tc>
          <w:tcPr>
            <w:tcW w:w="2294" w:type="dxa"/>
            <w:vAlign w:val="bottom"/>
          </w:tcPr>
          <w:p w14:paraId="09F0B78A"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2.15</w:t>
            </w:r>
          </w:p>
        </w:tc>
        <w:tc>
          <w:tcPr>
            <w:tcW w:w="2294" w:type="dxa"/>
            <w:vAlign w:val="bottom"/>
          </w:tcPr>
          <w:p w14:paraId="72BDE67F"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1.20</w:t>
            </w:r>
          </w:p>
        </w:tc>
        <w:tc>
          <w:tcPr>
            <w:tcW w:w="1362" w:type="dxa"/>
            <w:vAlign w:val="bottom"/>
          </w:tcPr>
          <w:p w14:paraId="7A409BA5"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10</w:t>
            </w:r>
          </w:p>
        </w:tc>
      </w:tr>
      <w:tr w:rsidR="00A84E96" w:rsidRPr="00660949" w14:paraId="7523FDA6" w14:textId="77777777" w:rsidTr="00660949">
        <w:trPr>
          <w:jc w:val="center"/>
        </w:trPr>
        <w:tc>
          <w:tcPr>
            <w:tcW w:w="2595" w:type="dxa"/>
            <w:vAlign w:val="bottom"/>
          </w:tcPr>
          <w:p w14:paraId="67350F0C" w14:textId="77777777" w:rsidR="00A84E96" w:rsidRPr="00660949" w:rsidRDefault="00A84E96" w:rsidP="00660949">
            <w:pPr>
              <w:spacing w:after="0" w:line="240" w:lineRule="auto"/>
              <w:rPr>
                <w:rFonts w:ascii="Times New Roman" w:hAnsi="Times New Roman" w:cs="Times New Roman"/>
                <w:sz w:val="20"/>
                <w:szCs w:val="20"/>
              </w:rPr>
            </w:pPr>
            <w:r w:rsidRPr="00660949">
              <w:rPr>
                <w:rFonts w:ascii="Times New Roman" w:hAnsi="Times New Roman" w:cs="Times New Roman"/>
                <w:sz w:val="20"/>
                <w:szCs w:val="20"/>
              </w:rPr>
              <w:t>Difficulty in achieving economy of scale</w:t>
            </w:r>
          </w:p>
        </w:tc>
        <w:tc>
          <w:tcPr>
            <w:tcW w:w="2294" w:type="dxa"/>
            <w:vAlign w:val="bottom"/>
          </w:tcPr>
          <w:p w14:paraId="798F239C"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2.09</w:t>
            </w:r>
          </w:p>
        </w:tc>
        <w:tc>
          <w:tcPr>
            <w:tcW w:w="2294" w:type="dxa"/>
            <w:vAlign w:val="bottom"/>
          </w:tcPr>
          <w:p w14:paraId="0356193A"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1.10</w:t>
            </w:r>
          </w:p>
        </w:tc>
        <w:tc>
          <w:tcPr>
            <w:tcW w:w="1362" w:type="dxa"/>
            <w:vAlign w:val="bottom"/>
          </w:tcPr>
          <w:p w14:paraId="19127BCC"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11</w:t>
            </w:r>
          </w:p>
        </w:tc>
      </w:tr>
      <w:tr w:rsidR="00A84E96" w:rsidRPr="00660949" w14:paraId="489147F8" w14:textId="77777777" w:rsidTr="00660949">
        <w:trPr>
          <w:jc w:val="center"/>
        </w:trPr>
        <w:tc>
          <w:tcPr>
            <w:tcW w:w="2595" w:type="dxa"/>
            <w:vAlign w:val="bottom"/>
          </w:tcPr>
          <w:p w14:paraId="00C6C085" w14:textId="77777777" w:rsidR="00A84E96" w:rsidRPr="00660949" w:rsidRDefault="00A84E96" w:rsidP="00660949">
            <w:pPr>
              <w:spacing w:after="0" w:line="240" w:lineRule="auto"/>
              <w:rPr>
                <w:rFonts w:ascii="Times New Roman" w:hAnsi="Times New Roman" w:cs="Times New Roman"/>
                <w:sz w:val="20"/>
                <w:szCs w:val="20"/>
              </w:rPr>
            </w:pPr>
            <w:r w:rsidRPr="00660949">
              <w:rPr>
                <w:rFonts w:ascii="Times New Roman" w:hAnsi="Times New Roman" w:cs="Times New Roman"/>
                <w:sz w:val="20"/>
                <w:szCs w:val="20"/>
              </w:rPr>
              <w:t>Initial attachment to traditional system</w:t>
            </w:r>
          </w:p>
        </w:tc>
        <w:tc>
          <w:tcPr>
            <w:tcW w:w="2294" w:type="dxa"/>
            <w:vAlign w:val="bottom"/>
          </w:tcPr>
          <w:p w14:paraId="63D4617E"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2.03</w:t>
            </w:r>
          </w:p>
        </w:tc>
        <w:tc>
          <w:tcPr>
            <w:tcW w:w="2294" w:type="dxa"/>
            <w:vAlign w:val="bottom"/>
          </w:tcPr>
          <w:p w14:paraId="65ACFAEF"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1.20</w:t>
            </w:r>
          </w:p>
        </w:tc>
        <w:tc>
          <w:tcPr>
            <w:tcW w:w="1362" w:type="dxa"/>
            <w:vAlign w:val="bottom"/>
          </w:tcPr>
          <w:p w14:paraId="3823982A"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12</w:t>
            </w:r>
          </w:p>
        </w:tc>
      </w:tr>
      <w:tr w:rsidR="00A84E96" w:rsidRPr="00660949" w14:paraId="2BA5CD89" w14:textId="77777777" w:rsidTr="00660949">
        <w:trPr>
          <w:jc w:val="center"/>
        </w:trPr>
        <w:tc>
          <w:tcPr>
            <w:tcW w:w="2595" w:type="dxa"/>
            <w:vAlign w:val="bottom"/>
          </w:tcPr>
          <w:p w14:paraId="0882BE3A" w14:textId="77777777" w:rsidR="00A84E96" w:rsidRPr="00660949" w:rsidRDefault="00A84E96" w:rsidP="00660949">
            <w:pPr>
              <w:spacing w:after="0" w:line="240" w:lineRule="auto"/>
              <w:rPr>
                <w:rFonts w:ascii="Times New Roman" w:hAnsi="Times New Roman" w:cs="Times New Roman"/>
                <w:sz w:val="20"/>
                <w:szCs w:val="20"/>
              </w:rPr>
            </w:pPr>
            <w:r w:rsidRPr="00660949">
              <w:rPr>
                <w:rFonts w:ascii="Times New Roman" w:hAnsi="Times New Roman" w:cs="Times New Roman"/>
                <w:sz w:val="20"/>
                <w:szCs w:val="20"/>
              </w:rPr>
              <w:t>Initial high cost</w:t>
            </w:r>
          </w:p>
        </w:tc>
        <w:tc>
          <w:tcPr>
            <w:tcW w:w="2294" w:type="dxa"/>
            <w:vAlign w:val="bottom"/>
          </w:tcPr>
          <w:p w14:paraId="1AC87557"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1.95</w:t>
            </w:r>
          </w:p>
        </w:tc>
        <w:tc>
          <w:tcPr>
            <w:tcW w:w="2294" w:type="dxa"/>
            <w:vAlign w:val="bottom"/>
          </w:tcPr>
          <w:p w14:paraId="174A3BE9"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0.95</w:t>
            </w:r>
          </w:p>
        </w:tc>
        <w:tc>
          <w:tcPr>
            <w:tcW w:w="1362" w:type="dxa"/>
            <w:vAlign w:val="bottom"/>
          </w:tcPr>
          <w:p w14:paraId="15E9210E"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13</w:t>
            </w:r>
          </w:p>
        </w:tc>
      </w:tr>
      <w:tr w:rsidR="00A84E96" w:rsidRPr="00660949" w14:paraId="12E9295D" w14:textId="77777777" w:rsidTr="00660949">
        <w:trPr>
          <w:jc w:val="center"/>
        </w:trPr>
        <w:tc>
          <w:tcPr>
            <w:tcW w:w="2595" w:type="dxa"/>
            <w:vAlign w:val="bottom"/>
          </w:tcPr>
          <w:p w14:paraId="12CAC422" w14:textId="77777777" w:rsidR="00A84E96" w:rsidRPr="00660949" w:rsidRDefault="00A84E96" w:rsidP="00660949">
            <w:pPr>
              <w:spacing w:after="0" w:line="240" w:lineRule="auto"/>
              <w:rPr>
                <w:rFonts w:ascii="Times New Roman" w:hAnsi="Times New Roman" w:cs="Times New Roman"/>
                <w:sz w:val="20"/>
                <w:szCs w:val="20"/>
              </w:rPr>
            </w:pPr>
            <w:r w:rsidRPr="00660949">
              <w:rPr>
                <w:rFonts w:ascii="Times New Roman" w:hAnsi="Times New Roman" w:cs="Times New Roman"/>
                <w:sz w:val="20"/>
                <w:szCs w:val="20"/>
              </w:rPr>
              <w:t>Lack of manufacturing industry</w:t>
            </w:r>
          </w:p>
        </w:tc>
        <w:tc>
          <w:tcPr>
            <w:tcW w:w="2294" w:type="dxa"/>
            <w:vAlign w:val="bottom"/>
          </w:tcPr>
          <w:p w14:paraId="07D30B25"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1.90</w:t>
            </w:r>
          </w:p>
        </w:tc>
        <w:tc>
          <w:tcPr>
            <w:tcW w:w="2294" w:type="dxa"/>
            <w:vAlign w:val="bottom"/>
          </w:tcPr>
          <w:p w14:paraId="465F4629"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1.10</w:t>
            </w:r>
          </w:p>
        </w:tc>
        <w:tc>
          <w:tcPr>
            <w:tcW w:w="1362" w:type="dxa"/>
            <w:vAlign w:val="bottom"/>
          </w:tcPr>
          <w:p w14:paraId="501363D1"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14</w:t>
            </w:r>
          </w:p>
        </w:tc>
      </w:tr>
      <w:tr w:rsidR="00A84E96" w:rsidRPr="00660949" w14:paraId="5D181439" w14:textId="77777777" w:rsidTr="00660949">
        <w:trPr>
          <w:jc w:val="center"/>
        </w:trPr>
        <w:tc>
          <w:tcPr>
            <w:tcW w:w="2595" w:type="dxa"/>
            <w:vAlign w:val="bottom"/>
          </w:tcPr>
          <w:p w14:paraId="15E47F7F" w14:textId="77777777" w:rsidR="00A84E96" w:rsidRPr="00660949" w:rsidRDefault="00A84E96" w:rsidP="00660949">
            <w:pPr>
              <w:spacing w:after="0" w:line="240" w:lineRule="auto"/>
              <w:rPr>
                <w:rFonts w:ascii="Times New Roman" w:hAnsi="Times New Roman" w:cs="Times New Roman"/>
                <w:sz w:val="20"/>
                <w:szCs w:val="20"/>
              </w:rPr>
            </w:pPr>
            <w:r w:rsidRPr="00660949">
              <w:rPr>
                <w:rFonts w:ascii="Times New Roman" w:hAnsi="Times New Roman" w:cs="Times New Roman"/>
                <w:sz w:val="20"/>
                <w:szCs w:val="20"/>
              </w:rPr>
              <w:t>Negative perception of client</w:t>
            </w:r>
          </w:p>
        </w:tc>
        <w:tc>
          <w:tcPr>
            <w:tcW w:w="2294" w:type="dxa"/>
            <w:vAlign w:val="bottom"/>
          </w:tcPr>
          <w:p w14:paraId="79FBF324"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1.86</w:t>
            </w:r>
          </w:p>
        </w:tc>
        <w:tc>
          <w:tcPr>
            <w:tcW w:w="2294" w:type="dxa"/>
            <w:vAlign w:val="bottom"/>
          </w:tcPr>
          <w:p w14:paraId="51AB9B45"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1.08</w:t>
            </w:r>
          </w:p>
        </w:tc>
        <w:tc>
          <w:tcPr>
            <w:tcW w:w="1362" w:type="dxa"/>
            <w:vAlign w:val="bottom"/>
          </w:tcPr>
          <w:p w14:paraId="3F70952F"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15</w:t>
            </w:r>
          </w:p>
        </w:tc>
      </w:tr>
      <w:tr w:rsidR="00A84E96" w:rsidRPr="00660949" w14:paraId="244C11A4" w14:textId="77777777" w:rsidTr="00660949">
        <w:trPr>
          <w:jc w:val="center"/>
        </w:trPr>
        <w:tc>
          <w:tcPr>
            <w:tcW w:w="2595" w:type="dxa"/>
            <w:vAlign w:val="bottom"/>
          </w:tcPr>
          <w:p w14:paraId="7FCCBAFA" w14:textId="77777777" w:rsidR="00A84E96" w:rsidRPr="00660949" w:rsidRDefault="00A84E96" w:rsidP="00660949">
            <w:pPr>
              <w:spacing w:after="0" w:line="240" w:lineRule="auto"/>
              <w:rPr>
                <w:rFonts w:ascii="Times New Roman" w:hAnsi="Times New Roman" w:cs="Times New Roman"/>
                <w:sz w:val="20"/>
                <w:szCs w:val="20"/>
              </w:rPr>
            </w:pPr>
            <w:r w:rsidRPr="00660949">
              <w:rPr>
                <w:rFonts w:ascii="Times New Roman" w:hAnsi="Times New Roman" w:cs="Times New Roman"/>
                <w:sz w:val="20"/>
                <w:szCs w:val="20"/>
              </w:rPr>
              <w:t>Resistance to innovation</w:t>
            </w:r>
          </w:p>
        </w:tc>
        <w:tc>
          <w:tcPr>
            <w:tcW w:w="2294" w:type="dxa"/>
            <w:vAlign w:val="bottom"/>
          </w:tcPr>
          <w:p w14:paraId="6C2DF4B7"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1.84</w:t>
            </w:r>
          </w:p>
        </w:tc>
        <w:tc>
          <w:tcPr>
            <w:tcW w:w="2294" w:type="dxa"/>
            <w:vAlign w:val="bottom"/>
          </w:tcPr>
          <w:p w14:paraId="3A11FFE6"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0.93</w:t>
            </w:r>
          </w:p>
        </w:tc>
        <w:tc>
          <w:tcPr>
            <w:tcW w:w="1362" w:type="dxa"/>
            <w:vAlign w:val="bottom"/>
          </w:tcPr>
          <w:p w14:paraId="5F92F84A" w14:textId="77777777" w:rsidR="00A84E96" w:rsidRPr="00660949" w:rsidRDefault="00A84E96" w:rsidP="00BD1B26">
            <w:pPr>
              <w:spacing w:after="0" w:line="240" w:lineRule="auto"/>
              <w:jc w:val="both"/>
              <w:rPr>
                <w:rFonts w:ascii="Times New Roman" w:hAnsi="Times New Roman" w:cs="Times New Roman"/>
                <w:sz w:val="20"/>
                <w:szCs w:val="20"/>
              </w:rPr>
            </w:pPr>
            <w:r w:rsidRPr="00660949">
              <w:rPr>
                <w:rFonts w:ascii="Times New Roman" w:hAnsi="Times New Roman" w:cs="Times New Roman"/>
                <w:sz w:val="20"/>
                <w:szCs w:val="20"/>
              </w:rPr>
              <w:t>16</w:t>
            </w:r>
          </w:p>
        </w:tc>
      </w:tr>
    </w:tbl>
    <w:p w14:paraId="154D837E" w14:textId="77777777" w:rsidR="00A84E96" w:rsidRPr="00BE4AF3" w:rsidRDefault="00A84E96" w:rsidP="00BD1B26">
      <w:pPr>
        <w:autoSpaceDE w:val="0"/>
        <w:autoSpaceDN w:val="0"/>
        <w:adjustRightInd w:val="0"/>
        <w:spacing w:after="0" w:line="240" w:lineRule="auto"/>
        <w:jc w:val="both"/>
        <w:rPr>
          <w:rFonts w:ascii="Times New Roman" w:hAnsi="Times New Roman" w:cs="Times New Roman"/>
          <w:b/>
          <w:sz w:val="24"/>
          <w:szCs w:val="24"/>
        </w:rPr>
      </w:pPr>
    </w:p>
    <w:p w14:paraId="59BA341E" w14:textId="77777777" w:rsidR="00A84E96" w:rsidRPr="00BE4AF3" w:rsidRDefault="00A84E96" w:rsidP="00660949">
      <w:pPr>
        <w:autoSpaceDE w:val="0"/>
        <w:autoSpaceDN w:val="0"/>
        <w:adjustRightInd w:val="0"/>
        <w:spacing w:after="0" w:line="240" w:lineRule="auto"/>
        <w:jc w:val="center"/>
        <w:rPr>
          <w:rFonts w:ascii="Times New Roman" w:hAnsi="Times New Roman" w:cs="Times New Roman"/>
          <w:b/>
          <w:sz w:val="24"/>
          <w:szCs w:val="24"/>
        </w:rPr>
      </w:pPr>
      <w:r w:rsidRPr="00BE4AF3">
        <w:rPr>
          <w:rFonts w:ascii="Times New Roman" w:hAnsi="Times New Roman" w:cs="Times New Roman"/>
          <w:noProof/>
          <w:sz w:val="24"/>
          <w:szCs w:val="24"/>
          <w:lang w:eastAsia="en-GB"/>
        </w:rPr>
        <w:drawing>
          <wp:inline distT="0" distB="0" distL="0" distR="0" wp14:anchorId="68DB1566" wp14:editId="424C4B6D">
            <wp:extent cx="5227955" cy="3457575"/>
            <wp:effectExtent l="0" t="0" r="10795"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76E3757" w14:textId="77777777" w:rsidR="00A84E96" w:rsidRPr="00BE4AF3" w:rsidRDefault="00A84E96" w:rsidP="00A84E96">
      <w:pPr>
        <w:autoSpaceDE w:val="0"/>
        <w:autoSpaceDN w:val="0"/>
        <w:adjustRightInd w:val="0"/>
        <w:spacing w:after="0" w:line="240" w:lineRule="auto"/>
        <w:jc w:val="both"/>
        <w:rPr>
          <w:rFonts w:ascii="Times New Roman" w:hAnsi="Times New Roman" w:cs="Times New Roman"/>
          <w:sz w:val="24"/>
          <w:szCs w:val="24"/>
        </w:rPr>
      </w:pPr>
    </w:p>
    <w:p w14:paraId="3A4DF9A5" w14:textId="3ED6780D" w:rsidR="00A84E96" w:rsidRPr="00BE4AF3" w:rsidRDefault="00660949" w:rsidP="00660949">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
          <w:sz w:val="24"/>
          <w:szCs w:val="24"/>
        </w:rPr>
        <w:t>Figure</w:t>
      </w:r>
      <w:r w:rsidRPr="00BE4AF3">
        <w:rPr>
          <w:rFonts w:ascii="Times New Roman" w:hAnsi="Times New Roman" w:cs="Times New Roman"/>
          <w:b/>
          <w:sz w:val="24"/>
          <w:szCs w:val="24"/>
        </w:rPr>
        <w:t xml:space="preserve"> </w:t>
      </w:r>
      <w:r>
        <w:rPr>
          <w:rFonts w:ascii="Times New Roman" w:hAnsi="Times New Roman" w:cs="Times New Roman"/>
          <w:b/>
          <w:sz w:val="24"/>
          <w:szCs w:val="24"/>
        </w:rPr>
        <w:t>1</w:t>
      </w:r>
      <w:r w:rsidRPr="00BE4AF3">
        <w:rPr>
          <w:rFonts w:ascii="Times New Roman" w:hAnsi="Times New Roman" w:cs="Times New Roman"/>
          <w:b/>
          <w:sz w:val="24"/>
          <w:szCs w:val="24"/>
        </w:rPr>
        <w:t xml:space="preserve">: </w:t>
      </w:r>
      <w:r w:rsidRPr="00BD1B26">
        <w:rPr>
          <w:rFonts w:ascii="Times New Roman" w:hAnsi="Times New Roman" w:cs="Times New Roman"/>
          <w:bCs/>
          <w:sz w:val="24"/>
          <w:szCs w:val="24"/>
        </w:rPr>
        <w:t>Factors inhibiting adoption of modular construction</w:t>
      </w:r>
    </w:p>
    <w:p w14:paraId="5C6EFE24" w14:textId="77777777" w:rsidR="00A84E96" w:rsidRPr="00BE4AF3" w:rsidRDefault="00A84E96" w:rsidP="00660949">
      <w:pPr>
        <w:autoSpaceDE w:val="0"/>
        <w:autoSpaceDN w:val="0"/>
        <w:adjustRightInd w:val="0"/>
        <w:spacing w:after="0" w:line="240" w:lineRule="auto"/>
        <w:jc w:val="center"/>
        <w:rPr>
          <w:rFonts w:ascii="Times New Roman" w:hAnsi="Times New Roman" w:cs="Times New Roman"/>
          <w:sz w:val="24"/>
          <w:szCs w:val="24"/>
        </w:rPr>
      </w:pPr>
    </w:p>
    <w:p w14:paraId="291884B2" w14:textId="77777777" w:rsidR="00A84E96" w:rsidRPr="00BE4AF3" w:rsidRDefault="00A84E96" w:rsidP="00A84E96">
      <w:pPr>
        <w:autoSpaceDE w:val="0"/>
        <w:autoSpaceDN w:val="0"/>
        <w:adjustRightInd w:val="0"/>
        <w:spacing w:after="0" w:line="240" w:lineRule="auto"/>
        <w:jc w:val="both"/>
        <w:rPr>
          <w:rFonts w:ascii="Times New Roman" w:hAnsi="Times New Roman" w:cs="Times New Roman"/>
          <w:sz w:val="24"/>
          <w:szCs w:val="24"/>
        </w:rPr>
      </w:pPr>
    </w:p>
    <w:p w14:paraId="2CA75D6F" w14:textId="77777777" w:rsidR="00A84E96" w:rsidRPr="00660949" w:rsidRDefault="00A84E96" w:rsidP="00660949">
      <w:pPr>
        <w:autoSpaceDE w:val="0"/>
        <w:autoSpaceDN w:val="0"/>
        <w:adjustRightInd w:val="0"/>
        <w:spacing w:after="0" w:line="240" w:lineRule="auto"/>
        <w:jc w:val="center"/>
        <w:rPr>
          <w:rFonts w:ascii="Times New Roman" w:hAnsi="Times New Roman" w:cs="Times New Roman"/>
          <w:bCs/>
          <w:sz w:val="24"/>
          <w:szCs w:val="24"/>
        </w:rPr>
      </w:pPr>
      <w:r w:rsidRPr="00BE4AF3">
        <w:rPr>
          <w:rFonts w:ascii="Times New Roman" w:hAnsi="Times New Roman" w:cs="Times New Roman"/>
          <w:b/>
          <w:sz w:val="24"/>
          <w:szCs w:val="24"/>
        </w:rPr>
        <w:t xml:space="preserve">Table 4: </w:t>
      </w:r>
      <w:r w:rsidRPr="00660949">
        <w:rPr>
          <w:rFonts w:ascii="Times New Roman" w:hAnsi="Times New Roman" w:cs="Times New Roman"/>
          <w:bCs/>
          <w:sz w:val="24"/>
          <w:szCs w:val="24"/>
        </w:rPr>
        <w:t xml:space="preserve">Factors </w:t>
      </w:r>
      <w:r w:rsidRPr="00660949">
        <w:rPr>
          <w:rFonts w:ascii="Times New Roman" w:eastAsia="Times New Roman" w:hAnsi="Times New Roman" w:cs="Times New Roman"/>
          <w:bCs/>
          <w:sz w:val="24"/>
          <w:szCs w:val="24"/>
        </w:rPr>
        <w:t xml:space="preserve">enhancing </w:t>
      </w:r>
      <w:r w:rsidRPr="00660949">
        <w:rPr>
          <w:rFonts w:ascii="Times New Roman" w:hAnsi="Times New Roman" w:cs="Times New Roman"/>
          <w:bCs/>
          <w:sz w:val="24"/>
          <w:szCs w:val="24"/>
        </w:rPr>
        <w:t>adoption of modular construction</w:t>
      </w:r>
    </w:p>
    <w:p w14:paraId="534B7B95" w14:textId="6A28B2D0" w:rsidR="00A84E96" w:rsidRPr="00660949" w:rsidRDefault="00A84E96" w:rsidP="00660949">
      <w:pPr>
        <w:autoSpaceDE w:val="0"/>
        <w:autoSpaceDN w:val="0"/>
        <w:adjustRightInd w:val="0"/>
        <w:spacing w:after="0" w:line="240" w:lineRule="auto"/>
        <w:jc w:val="center"/>
        <w:rPr>
          <w:rFonts w:ascii="Times New Roman" w:hAnsi="Times New Roman" w:cs="Times New Roman"/>
          <w:bCs/>
          <w:sz w:val="24"/>
          <w:szCs w:val="24"/>
        </w:rPr>
      </w:pPr>
      <w:r w:rsidRPr="00660949">
        <w:rPr>
          <w:rFonts w:ascii="Times New Roman" w:hAnsi="Times New Roman" w:cs="Times New Roman"/>
          <w:bCs/>
          <w:sz w:val="24"/>
          <w:szCs w:val="24"/>
        </w:rPr>
        <w:t xml:space="preserve">(Mean Item Score, (MIS) Standard Deviation (SD) </w:t>
      </w:r>
      <w:r w:rsidR="00660949" w:rsidRPr="00660949">
        <w:rPr>
          <w:rFonts w:ascii="Times New Roman" w:hAnsi="Times New Roman" w:cs="Times New Roman"/>
          <w:bCs/>
          <w:sz w:val="24"/>
          <w:szCs w:val="24"/>
        </w:rPr>
        <w:t>values and</w:t>
      </w:r>
      <w:r w:rsidRPr="00660949">
        <w:rPr>
          <w:rFonts w:ascii="Times New Roman" w:hAnsi="Times New Roman" w:cs="Times New Roman"/>
          <w:bCs/>
          <w:sz w:val="24"/>
          <w:szCs w:val="24"/>
        </w:rPr>
        <w:t xml:space="preserve"> Ranking)</w:t>
      </w:r>
    </w:p>
    <w:tbl>
      <w:tblPr>
        <w:tblW w:w="5740" w:type="dxa"/>
        <w:jc w:val="center"/>
        <w:tblBorders>
          <w:top w:val="single" w:sz="4" w:space="0" w:color="auto"/>
          <w:bottom w:val="single" w:sz="4" w:space="0" w:color="auto"/>
        </w:tblBorders>
        <w:tblLook w:val="04A0" w:firstRow="1" w:lastRow="0" w:firstColumn="1" w:lastColumn="0" w:noHBand="0" w:noVBand="1"/>
      </w:tblPr>
      <w:tblGrid>
        <w:gridCol w:w="3240"/>
        <w:gridCol w:w="960"/>
        <w:gridCol w:w="1120"/>
        <w:gridCol w:w="833"/>
      </w:tblGrid>
      <w:tr w:rsidR="00A84E96" w:rsidRPr="00660949" w14:paraId="5838F2E6" w14:textId="77777777" w:rsidTr="00660949">
        <w:trPr>
          <w:trHeight w:val="300"/>
          <w:jc w:val="center"/>
        </w:trPr>
        <w:tc>
          <w:tcPr>
            <w:tcW w:w="3240" w:type="dxa"/>
            <w:tcBorders>
              <w:top w:val="single" w:sz="4" w:space="0" w:color="auto"/>
              <w:bottom w:val="single" w:sz="4" w:space="0" w:color="auto"/>
            </w:tcBorders>
            <w:noWrap/>
            <w:vAlign w:val="bottom"/>
            <w:hideMark/>
          </w:tcPr>
          <w:p w14:paraId="11D0D973" w14:textId="77777777" w:rsidR="00A84E96" w:rsidRPr="00660949" w:rsidRDefault="00A84E96" w:rsidP="00660949">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 Variables</w:t>
            </w:r>
          </w:p>
        </w:tc>
        <w:tc>
          <w:tcPr>
            <w:tcW w:w="960" w:type="dxa"/>
            <w:tcBorders>
              <w:top w:val="single" w:sz="4" w:space="0" w:color="auto"/>
              <w:bottom w:val="single" w:sz="4" w:space="0" w:color="auto"/>
            </w:tcBorders>
            <w:noWrap/>
            <w:vAlign w:val="bottom"/>
            <w:hideMark/>
          </w:tcPr>
          <w:p w14:paraId="1432CDD9" w14:textId="77777777" w:rsidR="00A84E96" w:rsidRPr="00660949" w:rsidRDefault="00A84E96" w:rsidP="00660949">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MIS</w:t>
            </w:r>
          </w:p>
        </w:tc>
        <w:tc>
          <w:tcPr>
            <w:tcW w:w="1120" w:type="dxa"/>
            <w:tcBorders>
              <w:top w:val="single" w:sz="4" w:space="0" w:color="auto"/>
              <w:bottom w:val="single" w:sz="4" w:space="0" w:color="auto"/>
            </w:tcBorders>
            <w:noWrap/>
            <w:vAlign w:val="bottom"/>
            <w:hideMark/>
          </w:tcPr>
          <w:p w14:paraId="7C0FB2BA" w14:textId="77777777" w:rsidR="00A84E96" w:rsidRPr="00660949" w:rsidRDefault="00A84E96" w:rsidP="00660949">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SD</w:t>
            </w:r>
          </w:p>
        </w:tc>
        <w:tc>
          <w:tcPr>
            <w:tcW w:w="420" w:type="dxa"/>
            <w:tcBorders>
              <w:top w:val="single" w:sz="4" w:space="0" w:color="auto"/>
              <w:bottom w:val="single" w:sz="4" w:space="0" w:color="auto"/>
            </w:tcBorders>
            <w:noWrap/>
            <w:vAlign w:val="bottom"/>
            <w:hideMark/>
          </w:tcPr>
          <w:p w14:paraId="014892EB" w14:textId="77777777" w:rsidR="00A84E96" w:rsidRPr="00660949" w:rsidRDefault="00A84E96" w:rsidP="00660949">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RANK </w:t>
            </w:r>
          </w:p>
        </w:tc>
      </w:tr>
      <w:tr w:rsidR="00A84E96" w:rsidRPr="00660949" w14:paraId="009D215C" w14:textId="77777777" w:rsidTr="00660949">
        <w:trPr>
          <w:trHeight w:val="300"/>
          <w:jc w:val="center"/>
        </w:trPr>
        <w:tc>
          <w:tcPr>
            <w:tcW w:w="3240" w:type="dxa"/>
            <w:tcBorders>
              <w:top w:val="single" w:sz="4" w:space="0" w:color="auto"/>
            </w:tcBorders>
            <w:noWrap/>
            <w:vAlign w:val="bottom"/>
            <w:hideMark/>
          </w:tcPr>
          <w:p w14:paraId="1BCB3DDF"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Reduce substandard work</w:t>
            </w:r>
          </w:p>
        </w:tc>
        <w:tc>
          <w:tcPr>
            <w:tcW w:w="960" w:type="dxa"/>
            <w:tcBorders>
              <w:top w:val="single" w:sz="4" w:space="0" w:color="auto"/>
            </w:tcBorders>
            <w:noWrap/>
            <w:vAlign w:val="bottom"/>
            <w:hideMark/>
          </w:tcPr>
          <w:p w14:paraId="5F114A8F"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2.57</w:t>
            </w:r>
          </w:p>
        </w:tc>
        <w:tc>
          <w:tcPr>
            <w:tcW w:w="1120" w:type="dxa"/>
            <w:tcBorders>
              <w:top w:val="single" w:sz="4" w:space="0" w:color="auto"/>
            </w:tcBorders>
            <w:noWrap/>
            <w:vAlign w:val="bottom"/>
            <w:hideMark/>
          </w:tcPr>
          <w:p w14:paraId="356632C8"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1.01</w:t>
            </w:r>
          </w:p>
        </w:tc>
        <w:tc>
          <w:tcPr>
            <w:tcW w:w="420" w:type="dxa"/>
            <w:tcBorders>
              <w:top w:val="single" w:sz="4" w:space="0" w:color="auto"/>
            </w:tcBorders>
            <w:noWrap/>
            <w:vAlign w:val="bottom"/>
            <w:hideMark/>
          </w:tcPr>
          <w:p w14:paraId="2CB6EC89"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1</w:t>
            </w:r>
          </w:p>
        </w:tc>
      </w:tr>
      <w:tr w:rsidR="00A84E96" w:rsidRPr="00660949" w14:paraId="4FC9EDFA" w14:textId="77777777" w:rsidTr="00660949">
        <w:trPr>
          <w:trHeight w:val="300"/>
          <w:jc w:val="center"/>
        </w:trPr>
        <w:tc>
          <w:tcPr>
            <w:tcW w:w="3240" w:type="dxa"/>
            <w:noWrap/>
            <w:vAlign w:val="bottom"/>
            <w:hideMark/>
          </w:tcPr>
          <w:p w14:paraId="271574E1"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Reduce Transportation</w:t>
            </w:r>
          </w:p>
        </w:tc>
        <w:tc>
          <w:tcPr>
            <w:tcW w:w="960" w:type="dxa"/>
            <w:noWrap/>
            <w:vAlign w:val="bottom"/>
            <w:hideMark/>
          </w:tcPr>
          <w:p w14:paraId="7D31A6E4"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2.54</w:t>
            </w:r>
          </w:p>
        </w:tc>
        <w:tc>
          <w:tcPr>
            <w:tcW w:w="1120" w:type="dxa"/>
            <w:noWrap/>
            <w:vAlign w:val="bottom"/>
            <w:hideMark/>
          </w:tcPr>
          <w:p w14:paraId="74DC6549"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0.84</w:t>
            </w:r>
          </w:p>
        </w:tc>
        <w:tc>
          <w:tcPr>
            <w:tcW w:w="420" w:type="dxa"/>
            <w:noWrap/>
            <w:vAlign w:val="bottom"/>
            <w:hideMark/>
          </w:tcPr>
          <w:p w14:paraId="46268BB1"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2</w:t>
            </w:r>
          </w:p>
        </w:tc>
      </w:tr>
      <w:tr w:rsidR="00A84E96" w:rsidRPr="00660949" w14:paraId="48B3788D" w14:textId="77777777" w:rsidTr="00660949">
        <w:trPr>
          <w:trHeight w:val="300"/>
          <w:jc w:val="center"/>
        </w:trPr>
        <w:tc>
          <w:tcPr>
            <w:tcW w:w="3240" w:type="dxa"/>
            <w:noWrap/>
            <w:vAlign w:val="bottom"/>
            <w:hideMark/>
          </w:tcPr>
          <w:p w14:paraId="10BB6026"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Reduce waste</w:t>
            </w:r>
          </w:p>
        </w:tc>
        <w:tc>
          <w:tcPr>
            <w:tcW w:w="960" w:type="dxa"/>
            <w:noWrap/>
            <w:vAlign w:val="bottom"/>
            <w:hideMark/>
          </w:tcPr>
          <w:p w14:paraId="7F643A7D"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2.50</w:t>
            </w:r>
          </w:p>
        </w:tc>
        <w:tc>
          <w:tcPr>
            <w:tcW w:w="1120" w:type="dxa"/>
            <w:noWrap/>
            <w:vAlign w:val="bottom"/>
            <w:hideMark/>
          </w:tcPr>
          <w:p w14:paraId="4324BF73"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0.90</w:t>
            </w:r>
          </w:p>
        </w:tc>
        <w:tc>
          <w:tcPr>
            <w:tcW w:w="420" w:type="dxa"/>
            <w:noWrap/>
            <w:vAlign w:val="bottom"/>
            <w:hideMark/>
          </w:tcPr>
          <w:p w14:paraId="73D18A4C"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3</w:t>
            </w:r>
          </w:p>
        </w:tc>
      </w:tr>
      <w:tr w:rsidR="00A84E96" w:rsidRPr="00660949" w14:paraId="43C102DD" w14:textId="77777777" w:rsidTr="00660949">
        <w:trPr>
          <w:trHeight w:val="300"/>
          <w:jc w:val="center"/>
        </w:trPr>
        <w:tc>
          <w:tcPr>
            <w:tcW w:w="3240" w:type="dxa"/>
            <w:noWrap/>
            <w:vAlign w:val="bottom"/>
            <w:hideMark/>
          </w:tcPr>
          <w:p w14:paraId="28248547"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Reduce construction time</w:t>
            </w:r>
          </w:p>
        </w:tc>
        <w:tc>
          <w:tcPr>
            <w:tcW w:w="960" w:type="dxa"/>
            <w:noWrap/>
            <w:vAlign w:val="bottom"/>
            <w:hideMark/>
          </w:tcPr>
          <w:p w14:paraId="1C19B648"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2.46</w:t>
            </w:r>
          </w:p>
        </w:tc>
        <w:tc>
          <w:tcPr>
            <w:tcW w:w="1120" w:type="dxa"/>
            <w:noWrap/>
            <w:vAlign w:val="bottom"/>
            <w:hideMark/>
          </w:tcPr>
          <w:p w14:paraId="2172B88E"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0.98</w:t>
            </w:r>
          </w:p>
        </w:tc>
        <w:tc>
          <w:tcPr>
            <w:tcW w:w="420" w:type="dxa"/>
            <w:noWrap/>
            <w:vAlign w:val="bottom"/>
            <w:hideMark/>
          </w:tcPr>
          <w:p w14:paraId="491EF59A"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4</w:t>
            </w:r>
          </w:p>
        </w:tc>
      </w:tr>
      <w:tr w:rsidR="00A84E96" w:rsidRPr="00660949" w14:paraId="6700AC03" w14:textId="77777777" w:rsidTr="00660949">
        <w:trPr>
          <w:trHeight w:val="300"/>
          <w:jc w:val="center"/>
        </w:trPr>
        <w:tc>
          <w:tcPr>
            <w:tcW w:w="3240" w:type="dxa"/>
            <w:noWrap/>
            <w:vAlign w:val="bottom"/>
            <w:hideMark/>
          </w:tcPr>
          <w:p w14:paraId="5E97C408"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Reduce weather delay</w:t>
            </w:r>
          </w:p>
        </w:tc>
        <w:tc>
          <w:tcPr>
            <w:tcW w:w="960" w:type="dxa"/>
            <w:noWrap/>
            <w:vAlign w:val="bottom"/>
            <w:hideMark/>
          </w:tcPr>
          <w:p w14:paraId="7F484862"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2.40</w:t>
            </w:r>
          </w:p>
        </w:tc>
        <w:tc>
          <w:tcPr>
            <w:tcW w:w="1120" w:type="dxa"/>
            <w:noWrap/>
            <w:vAlign w:val="bottom"/>
            <w:hideMark/>
          </w:tcPr>
          <w:p w14:paraId="130DE3DF"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0.89</w:t>
            </w:r>
          </w:p>
        </w:tc>
        <w:tc>
          <w:tcPr>
            <w:tcW w:w="420" w:type="dxa"/>
            <w:noWrap/>
            <w:vAlign w:val="bottom"/>
            <w:hideMark/>
          </w:tcPr>
          <w:p w14:paraId="16EB96B0"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5</w:t>
            </w:r>
          </w:p>
        </w:tc>
      </w:tr>
      <w:tr w:rsidR="00A84E96" w:rsidRPr="00660949" w14:paraId="498733EC" w14:textId="77777777" w:rsidTr="00660949">
        <w:trPr>
          <w:trHeight w:val="300"/>
          <w:jc w:val="center"/>
        </w:trPr>
        <w:tc>
          <w:tcPr>
            <w:tcW w:w="3240" w:type="dxa"/>
            <w:noWrap/>
            <w:vAlign w:val="bottom"/>
            <w:hideMark/>
          </w:tcPr>
          <w:p w14:paraId="1FD3D345"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Reduce environmental pollution</w:t>
            </w:r>
          </w:p>
        </w:tc>
        <w:tc>
          <w:tcPr>
            <w:tcW w:w="960" w:type="dxa"/>
            <w:noWrap/>
            <w:vAlign w:val="bottom"/>
            <w:hideMark/>
          </w:tcPr>
          <w:p w14:paraId="1C5CD24A"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2.34</w:t>
            </w:r>
          </w:p>
        </w:tc>
        <w:tc>
          <w:tcPr>
            <w:tcW w:w="1120" w:type="dxa"/>
            <w:noWrap/>
            <w:vAlign w:val="bottom"/>
            <w:hideMark/>
          </w:tcPr>
          <w:p w14:paraId="2FFC1AA7"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1.05</w:t>
            </w:r>
          </w:p>
        </w:tc>
        <w:tc>
          <w:tcPr>
            <w:tcW w:w="420" w:type="dxa"/>
            <w:noWrap/>
            <w:vAlign w:val="bottom"/>
            <w:hideMark/>
          </w:tcPr>
          <w:p w14:paraId="7597543A"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6</w:t>
            </w:r>
          </w:p>
        </w:tc>
      </w:tr>
      <w:tr w:rsidR="00A84E96" w:rsidRPr="00660949" w14:paraId="25ABD1DD" w14:textId="77777777" w:rsidTr="00660949">
        <w:trPr>
          <w:trHeight w:val="300"/>
          <w:jc w:val="center"/>
        </w:trPr>
        <w:tc>
          <w:tcPr>
            <w:tcW w:w="3240" w:type="dxa"/>
            <w:noWrap/>
            <w:vAlign w:val="bottom"/>
            <w:hideMark/>
          </w:tcPr>
          <w:p w14:paraId="62DFD281"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Reduce maintenance and repairs</w:t>
            </w:r>
          </w:p>
        </w:tc>
        <w:tc>
          <w:tcPr>
            <w:tcW w:w="960" w:type="dxa"/>
            <w:noWrap/>
            <w:vAlign w:val="bottom"/>
            <w:hideMark/>
          </w:tcPr>
          <w:p w14:paraId="3F9B7CAD"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2.23</w:t>
            </w:r>
          </w:p>
        </w:tc>
        <w:tc>
          <w:tcPr>
            <w:tcW w:w="1120" w:type="dxa"/>
            <w:noWrap/>
            <w:vAlign w:val="bottom"/>
            <w:hideMark/>
          </w:tcPr>
          <w:p w14:paraId="4B0ABC35"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1.06</w:t>
            </w:r>
          </w:p>
        </w:tc>
        <w:tc>
          <w:tcPr>
            <w:tcW w:w="420" w:type="dxa"/>
            <w:noWrap/>
            <w:vAlign w:val="bottom"/>
            <w:hideMark/>
          </w:tcPr>
          <w:p w14:paraId="75E32267"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7</w:t>
            </w:r>
          </w:p>
        </w:tc>
      </w:tr>
      <w:tr w:rsidR="00A84E96" w:rsidRPr="00660949" w14:paraId="7119F847" w14:textId="77777777" w:rsidTr="00660949">
        <w:trPr>
          <w:trHeight w:val="300"/>
          <w:jc w:val="center"/>
        </w:trPr>
        <w:tc>
          <w:tcPr>
            <w:tcW w:w="3240" w:type="dxa"/>
            <w:noWrap/>
            <w:vAlign w:val="bottom"/>
            <w:hideMark/>
          </w:tcPr>
          <w:p w14:paraId="4B9EDC48"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Reduce skill shortage</w:t>
            </w:r>
          </w:p>
        </w:tc>
        <w:tc>
          <w:tcPr>
            <w:tcW w:w="960" w:type="dxa"/>
            <w:noWrap/>
            <w:vAlign w:val="bottom"/>
            <w:hideMark/>
          </w:tcPr>
          <w:p w14:paraId="28759D8F"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2.11</w:t>
            </w:r>
          </w:p>
        </w:tc>
        <w:tc>
          <w:tcPr>
            <w:tcW w:w="1120" w:type="dxa"/>
            <w:noWrap/>
            <w:vAlign w:val="bottom"/>
            <w:hideMark/>
          </w:tcPr>
          <w:p w14:paraId="432A43E7"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1.04</w:t>
            </w:r>
          </w:p>
        </w:tc>
        <w:tc>
          <w:tcPr>
            <w:tcW w:w="420" w:type="dxa"/>
            <w:noWrap/>
            <w:vAlign w:val="bottom"/>
            <w:hideMark/>
          </w:tcPr>
          <w:p w14:paraId="477BBD4C"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8</w:t>
            </w:r>
          </w:p>
        </w:tc>
      </w:tr>
      <w:tr w:rsidR="00A84E96" w:rsidRPr="00660949" w14:paraId="3BD4B4F2" w14:textId="77777777" w:rsidTr="00660949">
        <w:trPr>
          <w:trHeight w:val="300"/>
          <w:jc w:val="center"/>
        </w:trPr>
        <w:tc>
          <w:tcPr>
            <w:tcW w:w="3240" w:type="dxa"/>
            <w:noWrap/>
            <w:vAlign w:val="bottom"/>
            <w:hideMark/>
          </w:tcPr>
          <w:p w14:paraId="0C56BCAC"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Reduce hazard</w:t>
            </w:r>
          </w:p>
        </w:tc>
        <w:tc>
          <w:tcPr>
            <w:tcW w:w="960" w:type="dxa"/>
            <w:noWrap/>
            <w:vAlign w:val="bottom"/>
            <w:hideMark/>
          </w:tcPr>
          <w:p w14:paraId="7690D624"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1.98</w:t>
            </w:r>
          </w:p>
        </w:tc>
        <w:tc>
          <w:tcPr>
            <w:tcW w:w="1120" w:type="dxa"/>
            <w:noWrap/>
            <w:vAlign w:val="bottom"/>
            <w:hideMark/>
          </w:tcPr>
          <w:p w14:paraId="2D74241B"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1.04</w:t>
            </w:r>
          </w:p>
        </w:tc>
        <w:tc>
          <w:tcPr>
            <w:tcW w:w="420" w:type="dxa"/>
            <w:noWrap/>
            <w:vAlign w:val="bottom"/>
            <w:hideMark/>
          </w:tcPr>
          <w:p w14:paraId="5B99F18E"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9</w:t>
            </w:r>
          </w:p>
        </w:tc>
      </w:tr>
      <w:tr w:rsidR="00A84E96" w:rsidRPr="00660949" w14:paraId="473038C6" w14:textId="77777777" w:rsidTr="00660949">
        <w:trPr>
          <w:trHeight w:val="300"/>
          <w:jc w:val="center"/>
        </w:trPr>
        <w:tc>
          <w:tcPr>
            <w:tcW w:w="3240" w:type="dxa"/>
            <w:noWrap/>
            <w:vAlign w:val="bottom"/>
            <w:hideMark/>
          </w:tcPr>
          <w:p w14:paraId="6A2E7204"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Reduce construction cost</w:t>
            </w:r>
          </w:p>
        </w:tc>
        <w:tc>
          <w:tcPr>
            <w:tcW w:w="960" w:type="dxa"/>
            <w:noWrap/>
            <w:vAlign w:val="bottom"/>
            <w:hideMark/>
          </w:tcPr>
          <w:p w14:paraId="12D8F5F2"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1.97</w:t>
            </w:r>
          </w:p>
        </w:tc>
        <w:tc>
          <w:tcPr>
            <w:tcW w:w="1120" w:type="dxa"/>
            <w:noWrap/>
            <w:vAlign w:val="bottom"/>
            <w:hideMark/>
          </w:tcPr>
          <w:p w14:paraId="28600D5F"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0.98</w:t>
            </w:r>
          </w:p>
        </w:tc>
        <w:tc>
          <w:tcPr>
            <w:tcW w:w="420" w:type="dxa"/>
            <w:noWrap/>
            <w:vAlign w:val="bottom"/>
            <w:hideMark/>
          </w:tcPr>
          <w:p w14:paraId="07EDC1CB" w14:textId="77777777" w:rsidR="00A84E96" w:rsidRPr="00660949" w:rsidRDefault="00A84E96" w:rsidP="00A84E96">
            <w:pPr>
              <w:spacing w:after="0" w:line="240" w:lineRule="auto"/>
              <w:jc w:val="both"/>
              <w:rPr>
                <w:rFonts w:ascii="Times New Roman" w:eastAsia="Times New Roman" w:hAnsi="Times New Roman" w:cs="Times New Roman"/>
                <w:sz w:val="20"/>
                <w:szCs w:val="20"/>
              </w:rPr>
            </w:pPr>
            <w:r w:rsidRPr="00660949">
              <w:rPr>
                <w:rFonts w:ascii="Times New Roman" w:eastAsia="Times New Roman" w:hAnsi="Times New Roman" w:cs="Times New Roman"/>
                <w:sz w:val="20"/>
                <w:szCs w:val="20"/>
              </w:rPr>
              <w:t>10</w:t>
            </w:r>
          </w:p>
        </w:tc>
      </w:tr>
    </w:tbl>
    <w:p w14:paraId="1FFEEE55" w14:textId="77777777" w:rsidR="00A84E96" w:rsidRPr="00BE4AF3" w:rsidRDefault="00A84E96" w:rsidP="00A84E96">
      <w:pPr>
        <w:autoSpaceDE w:val="0"/>
        <w:autoSpaceDN w:val="0"/>
        <w:adjustRightInd w:val="0"/>
        <w:spacing w:after="0" w:line="240" w:lineRule="auto"/>
        <w:jc w:val="both"/>
        <w:rPr>
          <w:rFonts w:ascii="Times New Roman" w:hAnsi="Times New Roman" w:cs="Times New Roman"/>
          <w:b/>
          <w:sz w:val="24"/>
          <w:szCs w:val="24"/>
        </w:rPr>
      </w:pPr>
    </w:p>
    <w:p w14:paraId="1209E3A9" w14:textId="77777777" w:rsidR="00A84E96" w:rsidRPr="00BE4AF3" w:rsidRDefault="00A84E96" w:rsidP="00A84E96">
      <w:pPr>
        <w:autoSpaceDE w:val="0"/>
        <w:autoSpaceDN w:val="0"/>
        <w:adjustRightInd w:val="0"/>
        <w:spacing w:after="0" w:line="240" w:lineRule="auto"/>
        <w:jc w:val="both"/>
        <w:rPr>
          <w:rFonts w:ascii="Times New Roman" w:hAnsi="Times New Roman" w:cs="Times New Roman"/>
          <w:sz w:val="24"/>
          <w:szCs w:val="24"/>
        </w:rPr>
      </w:pPr>
    </w:p>
    <w:p w14:paraId="206F8763" w14:textId="77777777" w:rsidR="00A84E96" w:rsidRPr="00BE4AF3" w:rsidRDefault="00A84E96" w:rsidP="00660949">
      <w:pPr>
        <w:autoSpaceDE w:val="0"/>
        <w:autoSpaceDN w:val="0"/>
        <w:adjustRightInd w:val="0"/>
        <w:spacing w:after="0" w:line="240" w:lineRule="auto"/>
        <w:jc w:val="center"/>
        <w:rPr>
          <w:rFonts w:ascii="Times New Roman" w:hAnsi="Times New Roman" w:cs="Times New Roman"/>
          <w:sz w:val="24"/>
          <w:szCs w:val="24"/>
        </w:rPr>
      </w:pPr>
      <w:r w:rsidRPr="00BE4AF3">
        <w:rPr>
          <w:rFonts w:ascii="Times New Roman" w:hAnsi="Times New Roman" w:cs="Times New Roman"/>
          <w:noProof/>
          <w:sz w:val="24"/>
          <w:szCs w:val="24"/>
          <w:lang w:eastAsia="en-GB"/>
        </w:rPr>
        <w:drawing>
          <wp:inline distT="0" distB="0" distL="0" distR="0" wp14:anchorId="61847C81" wp14:editId="6B922403">
            <wp:extent cx="5057775" cy="3133725"/>
            <wp:effectExtent l="0" t="0" r="9525" b="952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1A9B542" w14:textId="77777777" w:rsidR="00A84E96" w:rsidRPr="00BE4AF3" w:rsidRDefault="00A84E96" w:rsidP="00A84E96">
      <w:pPr>
        <w:autoSpaceDE w:val="0"/>
        <w:autoSpaceDN w:val="0"/>
        <w:adjustRightInd w:val="0"/>
        <w:spacing w:after="0" w:line="240" w:lineRule="auto"/>
        <w:jc w:val="both"/>
        <w:rPr>
          <w:rFonts w:ascii="Times New Roman" w:hAnsi="Times New Roman" w:cs="Times New Roman"/>
          <w:b/>
          <w:sz w:val="24"/>
          <w:szCs w:val="24"/>
        </w:rPr>
      </w:pPr>
    </w:p>
    <w:p w14:paraId="2CB6ECC6" w14:textId="55C8851E" w:rsidR="00660949" w:rsidRPr="00660949" w:rsidRDefault="00660949" w:rsidP="00660949">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
          <w:sz w:val="24"/>
          <w:szCs w:val="24"/>
        </w:rPr>
        <w:t>Figure</w:t>
      </w:r>
      <w:r w:rsidRPr="00BE4AF3">
        <w:rPr>
          <w:rFonts w:ascii="Times New Roman" w:hAnsi="Times New Roman" w:cs="Times New Roman"/>
          <w:b/>
          <w:sz w:val="24"/>
          <w:szCs w:val="24"/>
        </w:rPr>
        <w:t xml:space="preserve"> </w:t>
      </w:r>
      <w:r>
        <w:rPr>
          <w:rFonts w:ascii="Times New Roman" w:hAnsi="Times New Roman" w:cs="Times New Roman"/>
          <w:b/>
          <w:sz w:val="24"/>
          <w:szCs w:val="24"/>
        </w:rPr>
        <w:t>2</w:t>
      </w:r>
      <w:r w:rsidRPr="00BE4AF3">
        <w:rPr>
          <w:rFonts w:ascii="Times New Roman" w:hAnsi="Times New Roman" w:cs="Times New Roman"/>
          <w:b/>
          <w:sz w:val="24"/>
          <w:szCs w:val="24"/>
        </w:rPr>
        <w:t xml:space="preserve">: </w:t>
      </w:r>
      <w:r w:rsidRPr="00660949">
        <w:rPr>
          <w:rFonts w:ascii="Times New Roman" w:hAnsi="Times New Roman" w:cs="Times New Roman"/>
          <w:bCs/>
          <w:sz w:val="24"/>
          <w:szCs w:val="24"/>
        </w:rPr>
        <w:t xml:space="preserve">Factors </w:t>
      </w:r>
      <w:r w:rsidRPr="00660949">
        <w:rPr>
          <w:rFonts w:ascii="Times New Roman" w:eastAsia="Times New Roman" w:hAnsi="Times New Roman" w:cs="Times New Roman"/>
          <w:bCs/>
          <w:sz w:val="24"/>
          <w:szCs w:val="24"/>
        </w:rPr>
        <w:t xml:space="preserve">enhancing </w:t>
      </w:r>
      <w:r w:rsidRPr="00660949">
        <w:rPr>
          <w:rFonts w:ascii="Times New Roman" w:hAnsi="Times New Roman" w:cs="Times New Roman"/>
          <w:bCs/>
          <w:sz w:val="24"/>
          <w:szCs w:val="24"/>
        </w:rPr>
        <w:t>adoption of modular construction</w:t>
      </w:r>
    </w:p>
    <w:p w14:paraId="6859B2B4" w14:textId="77777777" w:rsidR="00A84E96" w:rsidRPr="00BE4AF3" w:rsidRDefault="00A84E96" w:rsidP="00A84E96">
      <w:pPr>
        <w:pStyle w:val="NormalWeb"/>
        <w:jc w:val="both"/>
        <w:rPr>
          <w:bCs/>
        </w:rPr>
      </w:pPr>
      <w:r w:rsidRPr="00BE4AF3">
        <w:t xml:space="preserve">Table 3 and Table 4 summarize the findings with respect to the factors predicting adoption of prefabrication. </w:t>
      </w:r>
    </w:p>
    <w:p w14:paraId="5429A29E" w14:textId="77777777" w:rsidR="00A84E96" w:rsidRPr="00BE4AF3" w:rsidRDefault="00A84E96" w:rsidP="00660949">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 xml:space="preserve">Conclusions </w:t>
      </w:r>
    </w:p>
    <w:p w14:paraId="5C507192" w14:textId="77777777" w:rsidR="00A84E96" w:rsidRPr="00BE4AF3" w:rsidRDefault="00A84E96" w:rsidP="00660949">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Based on the results presented earlier, two key conclusions can be drawn. The first deduction is that many of the professionals have a reasonable knowledge about prefabrication construction and what it can be used for. It is therefore recommended that professionals in built environment consider incorporating modular design/prefabrication construction techniques into their projects </w:t>
      </w:r>
      <w:r w:rsidRPr="00BE4AF3">
        <w:rPr>
          <w:rFonts w:ascii="Times New Roman" w:hAnsi="Times New Roman" w:cs="Times New Roman"/>
          <w:sz w:val="24"/>
          <w:szCs w:val="24"/>
        </w:rPr>
        <w:lastRenderedPageBreak/>
        <w:t>focusing on detailed cost analyses against traditional methods due to the numerous benefits it offered.</w:t>
      </w:r>
    </w:p>
    <w:p w14:paraId="1521D6A4" w14:textId="77777777" w:rsidR="00A84E96" w:rsidRPr="00BE4AF3" w:rsidRDefault="00A84E96" w:rsidP="0066094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second deduction is that, impaired aesthetics is most significant in ranking of factors that impede the adoption of the technique; it is therefore recommended that workshops and seminars be organized from time to time for built environment professionals bodies and stakeholders (contractors, clients) on the needs and benefits derivable from the adoption of prefabrication/ modularization.</w:t>
      </w:r>
    </w:p>
    <w:p w14:paraId="4E341AEF" w14:textId="77777777" w:rsidR="00A84E96" w:rsidRPr="00BE4AF3" w:rsidRDefault="00A84E96" w:rsidP="00660949">
      <w:pPr>
        <w:spacing w:after="0" w:line="240" w:lineRule="auto"/>
        <w:jc w:val="both"/>
        <w:rPr>
          <w:rFonts w:ascii="Times New Roman" w:hAnsi="Times New Roman" w:cs="Times New Roman"/>
          <w:b/>
          <w:sz w:val="24"/>
          <w:szCs w:val="24"/>
        </w:rPr>
      </w:pPr>
      <w:r w:rsidRPr="00BE4AF3">
        <w:rPr>
          <w:rStyle w:val="css-2yp7ui"/>
          <w:rFonts w:ascii="Times New Roman" w:hAnsi="Times New Roman" w:cs="Times New Roman"/>
          <w:sz w:val="24"/>
          <w:szCs w:val="24"/>
          <w:shd w:val="clear" w:color="auto" w:fill="FFFFFF"/>
        </w:rPr>
        <w:t>Additionally, </w:t>
      </w:r>
      <w:r w:rsidRPr="00BE4AF3">
        <w:rPr>
          <w:rStyle w:val="css-15iwe0d"/>
          <w:rFonts w:ascii="Times New Roman" w:hAnsi="Times New Roman" w:cs="Times New Roman"/>
          <w:sz w:val="24"/>
          <w:szCs w:val="24"/>
          <w:shd w:val="clear" w:color="auto" w:fill="FFFFFF"/>
        </w:rPr>
        <w:t>the government </w:t>
      </w:r>
      <w:r w:rsidRPr="00BE4AF3">
        <w:rPr>
          <w:rStyle w:val="css-2yp7ui"/>
          <w:rFonts w:ascii="Times New Roman" w:hAnsi="Times New Roman" w:cs="Times New Roman"/>
          <w:sz w:val="24"/>
          <w:szCs w:val="24"/>
          <w:shd w:val="clear" w:color="auto" w:fill="FFFFFF"/>
        </w:rPr>
        <w:t>should </w:t>
      </w:r>
      <w:r w:rsidRPr="00BE4AF3">
        <w:rPr>
          <w:rStyle w:val="css-15iwe0d"/>
          <w:rFonts w:ascii="Times New Roman" w:hAnsi="Times New Roman" w:cs="Times New Roman"/>
          <w:sz w:val="24"/>
          <w:szCs w:val="24"/>
          <w:shd w:val="clear" w:color="auto" w:fill="FFFFFF"/>
        </w:rPr>
        <w:t>take the </w:t>
      </w:r>
      <w:r w:rsidRPr="00BE4AF3">
        <w:rPr>
          <w:rStyle w:val="css-2yp7ui"/>
          <w:rFonts w:ascii="Times New Roman" w:hAnsi="Times New Roman" w:cs="Times New Roman"/>
          <w:sz w:val="24"/>
          <w:szCs w:val="24"/>
          <w:shd w:val="clear" w:color="auto" w:fill="FFFFFF"/>
        </w:rPr>
        <w:t>lead </w:t>
      </w:r>
      <w:r w:rsidRPr="00BE4AF3">
        <w:rPr>
          <w:rStyle w:val="css-15iwe0d"/>
          <w:rFonts w:ascii="Times New Roman" w:hAnsi="Times New Roman" w:cs="Times New Roman"/>
          <w:sz w:val="24"/>
          <w:szCs w:val="24"/>
          <w:shd w:val="clear" w:color="auto" w:fill="FFFFFF"/>
        </w:rPr>
        <w:t>in </w:t>
      </w:r>
      <w:r w:rsidRPr="00BE4AF3">
        <w:rPr>
          <w:rStyle w:val="css-2yp7ui"/>
          <w:rFonts w:ascii="Times New Roman" w:hAnsi="Times New Roman" w:cs="Times New Roman"/>
          <w:sz w:val="24"/>
          <w:szCs w:val="24"/>
          <w:shd w:val="clear" w:color="auto" w:fill="FFFFFF"/>
        </w:rPr>
        <w:t>advancing </w:t>
      </w:r>
      <w:r w:rsidRPr="00BE4AF3">
        <w:rPr>
          <w:rStyle w:val="css-15iwe0d"/>
          <w:rFonts w:ascii="Times New Roman" w:hAnsi="Times New Roman" w:cs="Times New Roman"/>
          <w:sz w:val="24"/>
          <w:szCs w:val="24"/>
          <w:shd w:val="clear" w:color="auto" w:fill="FFFFFF"/>
        </w:rPr>
        <w:t>this technology by </w:t>
      </w:r>
      <w:r w:rsidRPr="00BE4AF3">
        <w:rPr>
          <w:rStyle w:val="css-2yp7ui"/>
          <w:rFonts w:ascii="Times New Roman" w:hAnsi="Times New Roman" w:cs="Times New Roman"/>
          <w:sz w:val="24"/>
          <w:szCs w:val="24"/>
          <w:shd w:val="clear" w:color="auto" w:fill="FFFFFF"/>
        </w:rPr>
        <w:t>implementing </w:t>
      </w:r>
      <w:r w:rsidRPr="00BE4AF3">
        <w:rPr>
          <w:rStyle w:val="css-15iwe0d"/>
          <w:rFonts w:ascii="Times New Roman" w:hAnsi="Times New Roman" w:cs="Times New Roman"/>
          <w:sz w:val="24"/>
          <w:szCs w:val="24"/>
          <w:shd w:val="clear" w:color="auto" w:fill="FFFFFF"/>
        </w:rPr>
        <w:t>incentive </w:t>
      </w:r>
      <w:r w:rsidRPr="00BE4AF3">
        <w:rPr>
          <w:rStyle w:val="css-2yp7ui"/>
          <w:rFonts w:ascii="Times New Roman" w:hAnsi="Times New Roman" w:cs="Times New Roman"/>
          <w:sz w:val="24"/>
          <w:szCs w:val="24"/>
          <w:shd w:val="clear" w:color="auto" w:fill="FFFFFF"/>
        </w:rPr>
        <w:t>programs, </w:t>
      </w:r>
      <w:r w:rsidRPr="00BE4AF3">
        <w:rPr>
          <w:rStyle w:val="css-15iwe0d"/>
          <w:rFonts w:ascii="Times New Roman" w:hAnsi="Times New Roman" w:cs="Times New Roman"/>
          <w:sz w:val="24"/>
          <w:szCs w:val="24"/>
          <w:shd w:val="clear" w:color="auto" w:fill="FFFFFF"/>
        </w:rPr>
        <w:t>as some developed and developing </w:t>
      </w:r>
      <w:r w:rsidRPr="00BE4AF3">
        <w:rPr>
          <w:rStyle w:val="css-2yp7ui"/>
          <w:rFonts w:ascii="Times New Roman" w:hAnsi="Times New Roman" w:cs="Times New Roman"/>
          <w:sz w:val="24"/>
          <w:szCs w:val="24"/>
          <w:shd w:val="clear" w:color="auto" w:fill="FFFFFF"/>
        </w:rPr>
        <w:t>countries, including </w:t>
      </w:r>
      <w:r w:rsidRPr="00BE4AF3">
        <w:rPr>
          <w:rStyle w:val="css-15iwe0d"/>
          <w:rFonts w:ascii="Times New Roman" w:hAnsi="Times New Roman" w:cs="Times New Roman"/>
          <w:sz w:val="24"/>
          <w:szCs w:val="24"/>
          <w:shd w:val="clear" w:color="auto" w:fill="FFFFFF"/>
        </w:rPr>
        <w:t>the United States, the United Kingdom, </w:t>
      </w:r>
      <w:r w:rsidRPr="00BE4AF3">
        <w:rPr>
          <w:rStyle w:val="css-0"/>
          <w:rFonts w:ascii="Times New Roman" w:hAnsi="Times New Roman" w:cs="Times New Roman"/>
          <w:sz w:val="24"/>
          <w:szCs w:val="24"/>
          <w:shd w:val="clear" w:color="auto" w:fill="FFFFFF"/>
        </w:rPr>
        <w:t>Sweden, China, </w:t>
      </w:r>
      <w:r w:rsidRPr="00BE4AF3">
        <w:rPr>
          <w:rStyle w:val="css-1eh0vfs"/>
          <w:rFonts w:ascii="Times New Roman" w:hAnsi="Times New Roman" w:cs="Times New Roman"/>
          <w:sz w:val="24"/>
          <w:szCs w:val="24"/>
          <w:shd w:val="clear" w:color="auto" w:fill="FFFFFF"/>
        </w:rPr>
        <w:t>Hong Kong, Malaysia, Ghana, and </w:t>
      </w:r>
      <w:r w:rsidRPr="00BE4AF3">
        <w:rPr>
          <w:rStyle w:val="css-0"/>
          <w:rFonts w:ascii="Times New Roman" w:hAnsi="Times New Roman" w:cs="Times New Roman"/>
          <w:sz w:val="24"/>
          <w:szCs w:val="24"/>
          <w:shd w:val="clear" w:color="auto" w:fill="FFFFFF"/>
        </w:rPr>
        <w:t>Singapore, </w:t>
      </w:r>
      <w:r w:rsidRPr="00BE4AF3">
        <w:rPr>
          <w:rStyle w:val="css-rh820s"/>
          <w:rFonts w:ascii="Times New Roman" w:hAnsi="Times New Roman" w:cs="Times New Roman"/>
          <w:sz w:val="24"/>
          <w:szCs w:val="24"/>
          <w:shd w:val="clear" w:color="auto" w:fill="FFFFFF"/>
        </w:rPr>
        <w:t>have done.</w:t>
      </w:r>
      <w:r w:rsidRPr="00BE4AF3">
        <w:rPr>
          <w:rFonts w:ascii="Times New Roman" w:hAnsi="Times New Roman" w:cs="Times New Roman"/>
          <w:sz w:val="24"/>
          <w:szCs w:val="24"/>
        </w:rPr>
        <w:t xml:space="preserve">This study was limited to the Oyo state Built Environment Professionals and Data collected as such. However, the study was limited in the methodology, as quantitative data analysis was performed on the factors predicting the adoption of modular construction; further studies can conduct qualitative research from the professionals and experts to determine factors predicting the adoption of prefabrication construction in the country and other developing countries.     </w:t>
      </w:r>
    </w:p>
    <w:p w14:paraId="3FFA15FF" w14:textId="77777777" w:rsidR="00A84E96" w:rsidRPr="00BE4AF3" w:rsidRDefault="00A84E96" w:rsidP="00A84E96">
      <w:pPr>
        <w:pStyle w:val="Default"/>
        <w:jc w:val="both"/>
        <w:rPr>
          <w:b/>
          <w:color w:val="auto"/>
        </w:rPr>
      </w:pPr>
    </w:p>
    <w:p w14:paraId="782AA2F0" w14:textId="77777777" w:rsidR="00A84E96" w:rsidRPr="00BE4AF3" w:rsidRDefault="00A84E96" w:rsidP="00A84E96">
      <w:pPr>
        <w:pStyle w:val="Default"/>
        <w:jc w:val="both"/>
        <w:rPr>
          <w:b/>
          <w:color w:val="auto"/>
        </w:rPr>
      </w:pPr>
      <w:r w:rsidRPr="00BE4AF3">
        <w:rPr>
          <w:b/>
          <w:color w:val="auto"/>
        </w:rPr>
        <w:t xml:space="preserve">References </w:t>
      </w:r>
    </w:p>
    <w:p w14:paraId="16B9C016"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b/>
          <w:sz w:val="24"/>
          <w:szCs w:val="24"/>
        </w:rPr>
        <w:fldChar w:fldCharType="begin" w:fldLock="1"/>
      </w:r>
      <w:r w:rsidRPr="00BE4AF3">
        <w:rPr>
          <w:rFonts w:ascii="Times New Roman" w:hAnsi="Times New Roman" w:cs="Times New Roman"/>
          <w:b/>
          <w:sz w:val="24"/>
          <w:szCs w:val="24"/>
        </w:rPr>
        <w:instrText xml:space="preserve">ADDIN Mendeley Bibliography CSL_BIBLIOGRAPHY </w:instrText>
      </w:r>
      <w:r w:rsidRPr="00BE4AF3">
        <w:rPr>
          <w:rFonts w:ascii="Times New Roman" w:hAnsi="Times New Roman" w:cs="Times New Roman"/>
          <w:b/>
          <w:sz w:val="24"/>
          <w:szCs w:val="24"/>
        </w:rPr>
        <w:fldChar w:fldCharType="separate"/>
      </w:r>
      <w:r w:rsidRPr="00BE4AF3">
        <w:rPr>
          <w:rFonts w:ascii="Times New Roman" w:hAnsi="Times New Roman" w:cs="Times New Roman"/>
          <w:noProof/>
          <w:sz w:val="24"/>
          <w:szCs w:val="24"/>
        </w:rPr>
        <w:t xml:space="preserve">Abubakar, I. T., and Oyewobi, L. O. (2019). </w:t>
      </w:r>
      <w:r w:rsidRPr="00BE4AF3">
        <w:rPr>
          <w:rFonts w:ascii="Times New Roman" w:hAnsi="Times New Roman" w:cs="Times New Roman"/>
          <w:i/>
          <w:iCs/>
          <w:noProof/>
          <w:sz w:val="24"/>
          <w:szCs w:val="24"/>
        </w:rPr>
        <w:t>Assessing the level of readiness to adopt building information modeling (BIM) amongst built environment professionals in selected Northern Nigerian states</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Iec</w:t>
      </w:r>
      <w:r w:rsidRPr="00BE4AF3">
        <w:rPr>
          <w:rFonts w:ascii="Times New Roman" w:hAnsi="Times New Roman" w:cs="Times New Roman"/>
          <w:noProof/>
          <w:sz w:val="24"/>
          <w:szCs w:val="24"/>
        </w:rPr>
        <w:t>. http://repository.futminna.edu.ng:8080/jspui/handle/123456789/1377%0Ahttp://repository.futminna.edu.ng:8080/jspui/bitstream/123456789/1377/1/Abubakar %26 Oyewobi 2019.pdf</w:t>
      </w:r>
    </w:p>
    <w:p w14:paraId="6F0AB8DF"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Aigbavboa, C., Aghimien, D., and Ntso, Y. (2018). </w:t>
      </w:r>
      <w:r w:rsidRPr="00BE4AF3">
        <w:rPr>
          <w:rFonts w:ascii="Times New Roman" w:hAnsi="Times New Roman" w:cs="Times New Roman"/>
          <w:i/>
          <w:iCs/>
          <w:noProof/>
          <w:sz w:val="24"/>
          <w:szCs w:val="24"/>
        </w:rPr>
        <w:t>Prefabrication in the South African Construction Industry – Challenges and Solutions</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October</w:t>
      </w:r>
      <w:r w:rsidRPr="00BE4AF3">
        <w:rPr>
          <w:rFonts w:ascii="Times New Roman" w:hAnsi="Times New Roman" w:cs="Times New Roman"/>
          <w:noProof/>
          <w:sz w:val="24"/>
          <w:szCs w:val="24"/>
        </w:rPr>
        <w:t>.</w:t>
      </w:r>
    </w:p>
    <w:p w14:paraId="09633BA6"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Aigbavboa, C. O., Aghimien, D. O., and Ntso, Y. (2018). Prefabrication in the South African construction industry - Challenges and solutions. </w:t>
      </w:r>
      <w:r w:rsidRPr="00BE4AF3">
        <w:rPr>
          <w:rFonts w:ascii="Times New Roman" w:hAnsi="Times New Roman" w:cs="Times New Roman"/>
          <w:i/>
          <w:iCs/>
          <w:noProof/>
          <w:sz w:val="24"/>
          <w:szCs w:val="24"/>
        </w:rPr>
        <w:t>Proceedings of the International Conference on Industrial Engineering and Operations Management</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2018</w:t>
      </w:r>
      <w:r w:rsidRPr="00BE4AF3">
        <w:rPr>
          <w:rFonts w:ascii="Times New Roman" w:hAnsi="Times New Roman" w:cs="Times New Roman"/>
          <w:noProof/>
          <w:sz w:val="24"/>
          <w:szCs w:val="24"/>
        </w:rPr>
        <w:t>(NOV), 1248–1254.</w:t>
      </w:r>
    </w:p>
    <w:p w14:paraId="3EF413DD"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Alagbe, O. A. (2019). </w:t>
      </w:r>
      <w:r w:rsidRPr="00BE4AF3">
        <w:rPr>
          <w:rFonts w:ascii="Times New Roman" w:hAnsi="Times New Roman" w:cs="Times New Roman"/>
          <w:i/>
          <w:iCs/>
          <w:noProof/>
          <w:sz w:val="24"/>
          <w:szCs w:val="24"/>
        </w:rPr>
        <w:t>Exploring Prefabricated Construction Principles for Smart and Fast Housing Delivery in Abuja ,</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8</w:t>
      </w:r>
      <w:r w:rsidRPr="00BE4AF3">
        <w:rPr>
          <w:rFonts w:ascii="Times New Roman" w:hAnsi="Times New Roman" w:cs="Times New Roman"/>
          <w:noProof/>
          <w:sz w:val="24"/>
          <w:szCs w:val="24"/>
        </w:rPr>
        <w:t>(06), 917–924.</w:t>
      </w:r>
    </w:p>
    <w:p w14:paraId="34AAE6D8"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Almutairi, Y. (2015). The University of Salford College of Science and Technology School of the Built Environment Development of Implementation Strategies for Offsite Construction Techniques in the Kingdom of Saudi Arabia. In </w:t>
      </w:r>
      <w:r w:rsidRPr="00BE4AF3">
        <w:rPr>
          <w:rFonts w:ascii="Times New Roman" w:hAnsi="Times New Roman" w:cs="Times New Roman"/>
          <w:i/>
          <w:iCs/>
          <w:noProof/>
          <w:sz w:val="24"/>
          <w:szCs w:val="24"/>
        </w:rPr>
        <w:t>IJESSR| 31 International Journal of Environmental Studies and Safety Research</w:t>
      </w:r>
      <w:r w:rsidRPr="00BE4AF3">
        <w:rPr>
          <w:rFonts w:ascii="Times New Roman" w:hAnsi="Times New Roman" w:cs="Times New Roman"/>
          <w:noProof/>
          <w:sz w:val="24"/>
          <w:szCs w:val="24"/>
        </w:rPr>
        <w:t xml:space="preserve"> (Vol. 4, Issue September). http://www.casirmediapublishing.com</w:t>
      </w:r>
    </w:p>
    <w:p w14:paraId="1B66B2FB"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Arowoiya, V. A., and Oyefusi, O. N. (2023). </w:t>
      </w:r>
      <w:r w:rsidRPr="00BE4AF3">
        <w:rPr>
          <w:rFonts w:ascii="Times New Roman" w:hAnsi="Times New Roman" w:cs="Times New Roman"/>
          <w:i/>
          <w:iCs/>
          <w:noProof/>
          <w:sz w:val="24"/>
          <w:szCs w:val="24"/>
        </w:rPr>
        <w:t>An Analysis of the Benefits of Adopting Modular Construction : A Nigerian Construction Industry Context</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28</w:t>
      </w:r>
      <w:r w:rsidRPr="00BE4AF3">
        <w:rPr>
          <w:rFonts w:ascii="Times New Roman" w:hAnsi="Times New Roman" w:cs="Times New Roman"/>
          <w:noProof/>
          <w:sz w:val="24"/>
          <w:szCs w:val="24"/>
        </w:rPr>
        <w:t>(June), 243–265.</w:t>
      </w:r>
    </w:p>
    <w:p w14:paraId="4DECF7BD"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Ayoola, H. A., and Aghimien, E. I. (2017). Assessing the Level of Adoption of Industralized Building System Among Professionals in Ondo State , Nigeria. </w:t>
      </w:r>
      <w:r w:rsidRPr="00BE4AF3">
        <w:rPr>
          <w:rFonts w:ascii="Times New Roman" w:hAnsi="Times New Roman" w:cs="Times New Roman"/>
          <w:i/>
          <w:iCs/>
          <w:noProof/>
          <w:sz w:val="24"/>
          <w:szCs w:val="24"/>
        </w:rPr>
        <w:t>Proceedings of Environmental Design and Management International Conference</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September</w:t>
      </w:r>
      <w:r w:rsidRPr="00BE4AF3">
        <w:rPr>
          <w:rFonts w:ascii="Times New Roman" w:hAnsi="Times New Roman" w:cs="Times New Roman"/>
          <w:noProof/>
          <w:sz w:val="24"/>
          <w:szCs w:val="24"/>
        </w:rPr>
        <w:t>.</w:t>
      </w:r>
    </w:p>
    <w:p w14:paraId="16E8DC1D"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Babalola, O. D. (2019). </w:t>
      </w:r>
      <w:r w:rsidRPr="00BE4AF3">
        <w:rPr>
          <w:rFonts w:ascii="Times New Roman" w:hAnsi="Times New Roman" w:cs="Times New Roman"/>
          <w:i/>
          <w:iCs/>
          <w:noProof/>
          <w:sz w:val="24"/>
          <w:szCs w:val="24"/>
        </w:rPr>
        <w:t>Evaluation of Diffusion and Adoption of Lean Practices in the</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September</w:t>
      </w:r>
      <w:r w:rsidRPr="00BE4AF3">
        <w:rPr>
          <w:rFonts w:ascii="Times New Roman" w:hAnsi="Times New Roman" w:cs="Times New Roman"/>
          <w:noProof/>
          <w:sz w:val="24"/>
          <w:szCs w:val="24"/>
        </w:rPr>
        <w:t>.</w:t>
      </w:r>
    </w:p>
    <w:p w14:paraId="7E50FED3"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Boafo, F. E., Kim, J. H., and Kim, J. T. (2016). Performance of modular prefabricated architecture: Case study-based review and future pathways. </w:t>
      </w:r>
      <w:r w:rsidRPr="00BE4AF3">
        <w:rPr>
          <w:rFonts w:ascii="Times New Roman" w:hAnsi="Times New Roman" w:cs="Times New Roman"/>
          <w:i/>
          <w:iCs/>
          <w:noProof/>
          <w:sz w:val="24"/>
          <w:szCs w:val="24"/>
        </w:rPr>
        <w:t>Sustainability (Switzerland)</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8</w:t>
      </w:r>
      <w:r w:rsidRPr="00BE4AF3">
        <w:rPr>
          <w:rFonts w:ascii="Times New Roman" w:hAnsi="Times New Roman" w:cs="Times New Roman"/>
          <w:noProof/>
          <w:sz w:val="24"/>
          <w:szCs w:val="24"/>
        </w:rPr>
        <w:t>(6), 1–16. https://doi.org/10.3390/su8060558</w:t>
      </w:r>
    </w:p>
    <w:p w14:paraId="044CF0FF"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Bobai, I. A., Bwarak, J. R., and Pam, M. (2022). </w:t>
      </w:r>
      <w:r w:rsidRPr="00BE4AF3">
        <w:rPr>
          <w:rFonts w:ascii="Times New Roman" w:hAnsi="Times New Roman" w:cs="Times New Roman"/>
          <w:i/>
          <w:iCs/>
          <w:noProof/>
          <w:sz w:val="24"/>
          <w:szCs w:val="24"/>
        </w:rPr>
        <w:t xml:space="preserve">Factors Affecting Adoption of Prefabrication </w:t>
      </w:r>
      <w:r w:rsidRPr="00BE4AF3">
        <w:rPr>
          <w:rFonts w:ascii="Times New Roman" w:hAnsi="Times New Roman" w:cs="Times New Roman"/>
          <w:i/>
          <w:iCs/>
          <w:noProof/>
          <w:sz w:val="24"/>
          <w:szCs w:val="24"/>
        </w:rPr>
        <w:lastRenderedPageBreak/>
        <w:t>Method for Sustainable Construction in Kaduna Metropolis</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4</w:t>
      </w:r>
      <w:r w:rsidRPr="00BE4AF3">
        <w:rPr>
          <w:rFonts w:ascii="Times New Roman" w:hAnsi="Times New Roman" w:cs="Times New Roman"/>
          <w:noProof/>
          <w:sz w:val="24"/>
          <w:szCs w:val="24"/>
        </w:rPr>
        <w:t>(11), 425–432. https://doi.org/10.35629/5252-0411425432</w:t>
      </w:r>
    </w:p>
    <w:p w14:paraId="16C6225B"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Built, T. H. E. (2021). </w:t>
      </w:r>
      <w:r w:rsidRPr="00BE4AF3">
        <w:rPr>
          <w:rFonts w:ascii="Times New Roman" w:hAnsi="Times New Roman" w:cs="Times New Roman"/>
          <w:i/>
          <w:iCs/>
          <w:noProof/>
          <w:sz w:val="24"/>
          <w:szCs w:val="24"/>
        </w:rPr>
        <w:t>School of Engineering and the Built Environment Development of a Semantic Knowledge Modelling Approach for Evaluating Offsite Manufacturing Production Processes</w:t>
      </w:r>
      <w:r w:rsidRPr="00BE4AF3">
        <w:rPr>
          <w:rFonts w:ascii="Times New Roman" w:hAnsi="Times New Roman" w:cs="Times New Roman"/>
          <w:noProof/>
          <w:sz w:val="24"/>
          <w:szCs w:val="24"/>
        </w:rPr>
        <w:t>.</w:t>
      </w:r>
    </w:p>
    <w:p w14:paraId="4A20CDFB"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Elinwa, A. U., and Joshua, M. (2001). Time-Overrun Factors in Nigerian Construction Industry. </w:t>
      </w:r>
      <w:r w:rsidRPr="00BE4AF3">
        <w:rPr>
          <w:rFonts w:ascii="Times New Roman" w:hAnsi="Times New Roman" w:cs="Times New Roman"/>
          <w:i/>
          <w:iCs/>
          <w:noProof/>
          <w:sz w:val="24"/>
          <w:szCs w:val="24"/>
        </w:rPr>
        <w:t>Journal of Construction Engineering and Management</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127</w:t>
      </w:r>
      <w:r w:rsidRPr="00BE4AF3">
        <w:rPr>
          <w:rFonts w:ascii="Times New Roman" w:hAnsi="Times New Roman" w:cs="Times New Roman"/>
          <w:noProof/>
          <w:sz w:val="24"/>
          <w:szCs w:val="24"/>
        </w:rPr>
        <w:t>(5), 419–425. https://doi.org/10.1061/(asce)0733-9364(2001)127:5(419)</w:t>
      </w:r>
    </w:p>
    <w:p w14:paraId="678AF69D"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Fatai, O. B., Alagbe, O., Adekunle, A., and Elizah, O. K. (2016). </w:t>
      </w:r>
      <w:r w:rsidRPr="00BE4AF3">
        <w:rPr>
          <w:rFonts w:ascii="Times New Roman" w:hAnsi="Times New Roman" w:cs="Times New Roman"/>
          <w:i/>
          <w:iCs/>
          <w:noProof/>
          <w:sz w:val="24"/>
          <w:szCs w:val="24"/>
        </w:rPr>
        <w:t>Determining the Individual Significant Contribution of Public</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June</w:t>
      </w:r>
      <w:r w:rsidRPr="00BE4AF3">
        <w:rPr>
          <w:rFonts w:ascii="Times New Roman" w:hAnsi="Times New Roman" w:cs="Times New Roman"/>
          <w:noProof/>
          <w:sz w:val="24"/>
          <w:szCs w:val="24"/>
        </w:rPr>
        <w:t>.</w:t>
      </w:r>
    </w:p>
    <w:p w14:paraId="5923DC78"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Gallo, P., Romano, R., and Belardi, E. (2021). </w:t>
      </w:r>
      <w:r w:rsidRPr="00BE4AF3">
        <w:rPr>
          <w:rFonts w:ascii="Times New Roman" w:hAnsi="Times New Roman" w:cs="Times New Roman"/>
          <w:i/>
          <w:iCs/>
          <w:noProof/>
          <w:sz w:val="24"/>
          <w:szCs w:val="24"/>
        </w:rPr>
        <w:t>Smart Green Prefabrication : Sustainability Performances of Industrialized Building Technologies</w:t>
      </w:r>
      <w:r w:rsidRPr="00BE4AF3">
        <w:rPr>
          <w:rFonts w:ascii="Times New Roman" w:hAnsi="Times New Roman" w:cs="Times New Roman"/>
          <w:noProof/>
          <w:sz w:val="24"/>
          <w:szCs w:val="24"/>
        </w:rPr>
        <w:t>.</w:t>
      </w:r>
    </w:p>
    <w:p w14:paraId="4FCDD5F6"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Hamza, M., Azfar, R. W., Mazher, K. M., Sultan, B., Maqsoom, A., Khahro, S. H., and Memon, Z. A. (2023). Exploring Perceptions of the Adoption of Prefabricated Construction Technology in Pakistan Using the Technology Acceptance Model. </w:t>
      </w:r>
      <w:r w:rsidRPr="00BE4AF3">
        <w:rPr>
          <w:rFonts w:ascii="Times New Roman" w:hAnsi="Times New Roman" w:cs="Times New Roman"/>
          <w:i/>
          <w:iCs/>
          <w:noProof/>
          <w:sz w:val="24"/>
          <w:szCs w:val="24"/>
        </w:rPr>
        <w:t>Sustainability (Switzerland)</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15</w:t>
      </w:r>
      <w:r w:rsidRPr="00BE4AF3">
        <w:rPr>
          <w:rFonts w:ascii="Times New Roman" w:hAnsi="Times New Roman" w:cs="Times New Roman"/>
          <w:noProof/>
          <w:sz w:val="24"/>
          <w:szCs w:val="24"/>
        </w:rPr>
        <w:t>(10). https://doi.org/10.3390/su15108281</w:t>
      </w:r>
    </w:p>
    <w:p w14:paraId="26962D90"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Hořínková, D. (2021). Advantages and Disadvantages of Modular Construction, including Environmental Impacts. </w:t>
      </w:r>
      <w:r w:rsidRPr="00BE4AF3">
        <w:rPr>
          <w:rFonts w:ascii="Times New Roman" w:hAnsi="Times New Roman" w:cs="Times New Roman"/>
          <w:i/>
          <w:iCs/>
          <w:noProof/>
          <w:sz w:val="24"/>
          <w:szCs w:val="24"/>
        </w:rPr>
        <w:t>IOP Conference Series: Materials Science and Engineering</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1203</w:t>
      </w:r>
      <w:r w:rsidRPr="00BE4AF3">
        <w:rPr>
          <w:rFonts w:ascii="Times New Roman" w:hAnsi="Times New Roman" w:cs="Times New Roman"/>
          <w:noProof/>
          <w:sz w:val="24"/>
          <w:szCs w:val="24"/>
        </w:rPr>
        <w:t>(3), 032002. https://doi.org/10.1088/1757-899x/1203/3/032002</w:t>
      </w:r>
    </w:p>
    <w:p w14:paraId="6A5EB611"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Jiang, L. (2018). </w:t>
      </w:r>
      <w:r w:rsidRPr="00BE4AF3">
        <w:rPr>
          <w:rFonts w:ascii="Times New Roman" w:hAnsi="Times New Roman" w:cs="Times New Roman"/>
          <w:i/>
          <w:iCs/>
          <w:noProof/>
          <w:sz w:val="24"/>
          <w:szCs w:val="24"/>
        </w:rPr>
        <w:t>Constraints on the Promotion of Prefabricated Construction in China</w:t>
      </w:r>
      <w:r w:rsidRPr="00BE4AF3">
        <w:rPr>
          <w:rFonts w:ascii="Times New Roman" w:hAnsi="Times New Roman" w:cs="Times New Roman"/>
          <w:noProof/>
          <w:sz w:val="24"/>
          <w:szCs w:val="24"/>
        </w:rPr>
        <w:t>. 1–17. https://doi.org/10.3390/su10072516</w:t>
      </w:r>
    </w:p>
    <w:p w14:paraId="4E7B9253"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Jiang, W., Huang, Z., Peng, Y., Fang, Y., and Cao, Y. (2020). Factors affecting prefabricated construction promotion in China: A structural equation modeling approach. </w:t>
      </w:r>
      <w:r w:rsidRPr="00BE4AF3">
        <w:rPr>
          <w:rFonts w:ascii="Times New Roman" w:hAnsi="Times New Roman" w:cs="Times New Roman"/>
          <w:i/>
          <w:iCs/>
          <w:noProof/>
          <w:sz w:val="24"/>
          <w:szCs w:val="24"/>
        </w:rPr>
        <w:t>PLoS ONE</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15</w:t>
      </w:r>
      <w:r w:rsidRPr="00BE4AF3">
        <w:rPr>
          <w:rFonts w:ascii="Times New Roman" w:hAnsi="Times New Roman" w:cs="Times New Roman"/>
          <w:noProof/>
          <w:sz w:val="24"/>
          <w:szCs w:val="24"/>
        </w:rPr>
        <w:t>(1), 1–19. https://doi.org/10.1371/journal.pone.0227787</w:t>
      </w:r>
    </w:p>
    <w:p w14:paraId="75A9666C"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Kayode, A. (2013). </w:t>
      </w:r>
      <w:r w:rsidRPr="00BE4AF3">
        <w:rPr>
          <w:rFonts w:ascii="Times New Roman" w:hAnsi="Times New Roman" w:cs="Times New Roman"/>
          <w:i/>
          <w:iCs/>
          <w:noProof/>
          <w:sz w:val="24"/>
          <w:szCs w:val="24"/>
        </w:rPr>
        <w:t>DEVELOPERS ’ PERCEPTION OF PREFABRICATED HOUSING METHODOLOGY NIGERIA : A STUDY OF LAGOS STATE By</w:t>
      </w:r>
      <w:r w:rsidRPr="00BE4AF3">
        <w:rPr>
          <w:rFonts w:ascii="Times New Roman" w:hAnsi="Times New Roman" w:cs="Times New Roman"/>
          <w:noProof/>
          <w:sz w:val="24"/>
          <w:szCs w:val="24"/>
        </w:rPr>
        <w:t>.</w:t>
      </w:r>
    </w:p>
    <w:p w14:paraId="7ECB2921"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Liu, Y., Cai, D., Guo, C., and Huang, H. (2020). Evolutionary game of government subsidy strategy for prefabricated buildings based on prospect theory. </w:t>
      </w:r>
      <w:r w:rsidRPr="00BE4AF3">
        <w:rPr>
          <w:rFonts w:ascii="Times New Roman" w:hAnsi="Times New Roman" w:cs="Times New Roman"/>
          <w:i/>
          <w:iCs/>
          <w:noProof/>
          <w:sz w:val="24"/>
          <w:szCs w:val="24"/>
        </w:rPr>
        <w:t>Mathematical Problems in Engineering</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2020</w:t>
      </w:r>
      <w:r w:rsidRPr="00BE4AF3">
        <w:rPr>
          <w:rFonts w:ascii="Times New Roman" w:hAnsi="Times New Roman" w:cs="Times New Roman"/>
          <w:noProof/>
          <w:sz w:val="24"/>
          <w:szCs w:val="24"/>
        </w:rPr>
        <w:t>. https://doi.org/10.1155/2020/8863563</w:t>
      </w:r>
    </w:p>
    <w:p w14:paraId="52F5C668"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Liu, Y., Dong, J., and Shen, L. (2020). A conceptual development framework for prefabricated construction supply chain management: An integrated overview. </w:t>
      </w:r>
      <w:r w:rsidRPr="00BE4AF3">
        <w:rPr>
          <w:rFonts w:ascii="Times New Roman" w:hAnsi="Times New Roman" w:cs="Times New Roman"/>
          <w:i/>
          <w:iCs/>
          <w:noProof/>
          <w:sz w:val="24"/>
          <w:szCs w:val="24"/>
        </w:rPr>
        <w:t>Sustainability (Switzerland)</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12</w:t>
      </w:r>
      <w:r w:rsidRPr="00BE4AF3">
        <w:rPr>
          <w:rFonts w:ascii="Times New Roman" w:hAnsi="Times New Roman" w:cs="Times New Roman"/>
          <w:noProof/>
          <w:sz w:val="24"/>
          <w:szCs w:val="24"/>
        </w:rPr>
        <w:t>(6). https://doi.org/10.3390/su12051878</w:t>
      </w:r>
    </w:p>
    <w:p w14:paraId="39C96184"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Lu, W., Chen, K., Xue, F., and Pan, W. (2018). Searching for an optimal level of prefabrication in construction: An analytical framework. </w:t>
      </w:r>
      <w:r w:rsidRPr="00BE4AF3">
        <w:rPr>
          <w:rFonts w:ascii="Times New Roman" w:hAnsi="Times New Roman" w:cs="Times New Roman"/>
          <w:i/>
          <w:iCs/>
          <w:noProof/>
          <w:sz w:val="24"/>
          <w:szCs w:val="24"/>
        </w:rPr>
        <w:t>Journal of Cleaner Production</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201</w:t>
      </w:r>
      <w:r w:rsidRPr="00BE4AF3">
        <w:rPr>
          <w:rFonts w:ascii="Times New Roman" w:hAnsi="Times New Roman" w:cs="Times New Roman"/>
          <w:noProof/>
          <w:sz w:val="24"/>
          <w:szCs w:val="24"/>
        </w:rPr>
        <w:t>, 236–245. https://doi.org/10.1016/j.jclepro.2018.07.319</w:t>
      </w:r>
    </w:p>
    <w:p w14:paraId="7DAEE7B5"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Luan, H., Li, L., Jiang, P., and Zhou, J. (2022). Critical Factors Affecting the Promotion of Emerging Information Technology in Prefabricated Building Projects: A Hybrid Evaluation Model. </w:t>
      </w:r>
      <w:r w:rsidRPr="00BE4AF3">
        <w:rPr>
          <w:rFonts w:ascii="Times New Roman" w:hAnsi="Times New Roman" w:cs="Times New Roman"/>
          <w:i/>
          <w:iCs/>
          <w:noProof/>
          <w:sz w:val="24"/>
          <w:szCs w:val="24"/>
        </w:rPr>
        <w:t>Buildings</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12</w:t>
      </w:r>
      <w:r w:rsidRPr="00BE4AF3">
        <w:rPr>
          <w:rFonts w:ascii="Times New Roman" w:hAnsi="Times New Roman" w:cs="Times New Roman"/>
          <w:noProof/>
          <w:sz w:val="24"/>
          <w:szCs w:val="24"/>
        </w:rPr>
        <w:t>(10). https://doi.org/10.3390/buildings12101577</w:t>
      </w:r>
    </w:p>
    <w:p w14:paraId="39FBF407"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Ma, D. (2008). </w:t>
      </w:r>
      <w:r w:rsidRPr="00BE4AF3">
        <w:rPr>
          <w:rFonts w:ascii="Times New Roman" w:hAnsi="Times New Roman" w:cs="Times New Roman"/>
          <w:i/>
          <w:iCs/>
          <w:noProof/>
          <w:sz w:val="24"/>
          <w:szCs w:val="24"/>
        </w:rPr>
        <w:t>Acceptance Theories of Innovation and Modern Methods in Construction Industry</w:t>
      </w:r>
      <w:r w:rsidRPr="00BE4AF3">
        <w:rPr>
          <w:rFonts w:ascii="Times New Roman" w:hAnsi="Times New Roman" w:cs="Times New Roman"/>
          <w:noProof/>
          <w:sz w:val="24"/>
          <w:szCs w:val="24"/>
        </w:rPr>
        <w:t>. 1–8.</w:t>
      </w:r>
    </w:p>
    <w:p w14:paraId="11CD9254"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Mukhtar, M. M., Amirudin, R., and Mohamad, I. (2016). Housing delivery problems in developing countries: a case study of Nigeria. </w:t>
      </w:r>
      <w:r w:rsidRPr="00BE4AF3">
        <w:rPr>
          <w:rFonts w:ascii="Times New Roman" w:hAnsi="Times New Roman" w:cs="Times New Roman"/>
          <w:i/>
          <w:iCs/>
          <w:noProof/>
          <w:sz w:val="24"/>
          <w:szCs w:val="24"/>
        </w:rPr>
        <w:t>Journal of Facilities Management</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14</w:t>
      </w:r>
      <w:r w:rsidRPr="00BE4AF3">
        <w:rPr>
          <w:rFonts w:ascii="Times New Roman" w:hAnsi="Times New Roman" w:cs="Times New Roman"/>
          <w:noProof/>
          <w:sz w:val="24"/>
          <w:szCs w:val="24"/>
        </w:rPr>
        <w:t>(4), 315–329. https://doi.org/10.1108/JFM-12-2015-0037</w:t>
      </w:r>
    </w:p>
    <w:p w14:paraId="16735591"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Musa, M. F., Yusof, M. R., and Mohammad, M. F. (2016). </w:t>
      </w:r>
      <w:r w:rsidRPr="00BE4AF3">
        <w:rPr>
          <w:rFonts w:ascii="Times New Roman" w:hAnsi="Times New Roman" w:cs="Times New Roman"/>
          <w:i/>
          <w:iCs/>
          <w:noProof/>
          <w:sz w:val="24"/>
          <w:szCs w:val="24"/>
        </w:rPr>
        <w:t xml:space="preserve">Towards the adoption of modular construction and prefabrication in the construction environment : A case study in Malaysia TOWARDS THE ADOPTION OF MODULAR CONSTRUCTION AND </w:t>
      </w:r>
      <w:r w:rsidRPr="00BE4AF3">
        <w:rPr>
          <w:rFonts w:ascii="Times New Roman" w:hAnsi="Times New Roman" w:cs="Times New Roman"/>
          <w:i/>
          <w:iCs/>
          <w:noProof/>
          <w:sz w:val="24"/>
          <w:szCs w:val="24"/>
        </w:rPr>
        <w:lastRenderedPageBreak/>
        <w:t>PREFABRICATION IN THE CONSTRUCTION ENVIRONMENT : A CASE STUDY IN MALAYSIA</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July</w:t>
      </w:r>
      <w:r w:rsidRPr="00BE4AF3">
        <w:rPr>
          <w:rFonts w:ascii="Times New Roman" w:hAnsi="Times New Roman" w:cs="Times New Roman"/>
          <w:noProof/>
          <w:sz w:val="24"/>
          <w:szCs w:val="24"/>
        </w:rPr>
        <w:t>.</w:t>
      </w:r>
    </w:p>
    <w:p w14:paraId="61A6663A"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Nduka, D. O., Fagbenle, O. I., Ogunde, A., and Afolabi, A. (2019). Critical success factors (CSFs) influencing the implementation of industrialized building Systems (IBS) in Nigeria. </w:t>
      </w:r>
      <w:r w:rsidRPr="00BE4AF3">
        <w:rPr>
          <w:rFonts w:ascii="Times New Roman" w:hAnsi="Times New Roman" w:cs="Times New Roman"/>
          <w:i/>
          <w:iCs/>
          <w:noProof/>
          <w:sz w:val="24"/>
          <w:szCs w:val="24"/>
        </w:rPr>
        <w:t>IOP Conference Series: Materials Science and Engineering</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640</w:t>
      </w:r>
      <w:r w:rsidRPr="00BE4AF3">
        <w:rPr>
          <w:rFonts w:ascii="Times New Roman" w:hAnsi="Times New Roman" w:cs="Times New Roman"/>
          <w:noProof/>
          <w:sz w:val="24"/>
          <w:szCs w:val="24"/>
        </w:rPr>
        <w:t>(1). https://doi.org/10.1088/1757-899X/640/1/012012</w:t>
      </w:r>
    </w:p>
    <w:p w14:paraId="47ACB502"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Nnadzwa, S., and Makinde, J. (2020). </w:t>
      </w:r>
      <w:r w:rsidRPr="00BE4AF3">
        <w:rPr>
          <w:rFonts w:ascii="Times New Roman" w:hAnsi="Times New Roman" w:cs="Times New Roman"/>
          <w:i/>
          <w:iCs/>
          <w:noProof/>
          <w:sz w:val="24"/>
          <w:szCs w:val="24"/>
        </w:rPr>
        <w:t xml:space="preserve">Article : Knowledge , Adoption , Prospects and Challenges of Prefabricated Construction Method in Nigeria : An Empirical Study of North Central Geo-Political Zone Chinedu Chimdi Adindu Susan Nnadzwa Yisa Joseph Kolawole Makinde Indexing Agency Author ( s </w:t>
      </w:r>
      <w:r w:rsidRPr="00BE4AF3">
        <w:rPr>
          <w:rFonts w:ascii="Times New Roman" w:hAnsi="Times New Roman" w:cs="Times New Roman"/>
          <w:noProof/>
          <w:sz w:val="24"/>
          <w:szCs w:val="24"/>
        </w:rPr>
        <w:t>. 1–23. https://doi.org/10.32350/jaabe.31</w:t>
      </w:r>
    </w:p>
    <w:p w14:paraId="47A8E3D2"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Obi. (2017). </w:t>
      </w:r>
      <w:r w:rsidRPr="00BE4AF3">
        <w:rPr>
          <w:rFonts w:ascii="Times New Roman" w:hAnsi="Times New Roman" w:cs="Times New Roman"/>
          <w:i/>
          <w:iCs/>
          <w:noProof/>
          <w:sz w:val="24"/>
          <w:szCs w:val="24"/>
        </w:rPr>
        <w:t>Development of a System Model for Cost Management in Low-Cost Housing Projects in Lovelin Ifeoma Obi Low-Cost Housing Projects in</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January</w:t>
      </w:r>
      <w:r w:rsidRPr="00BE4AF3">
        <w:rPr>
          <w:rFonts w:ascii="Times New Roman" w:hAnsi="Times New Roman" w:cs="Times New Roman"/>
          <w:noProof/>
          <w:sz w:val="24"/>
          <w:szCs w:val="24"/>
        </w:rPr>
        <w:t>.</w:t>
      </w:r>
    </w:p>
    <w:p w14:paraId="3538BDD1"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Of, A., and In, P. (2023). </w:t>
      </w:r>
      <w:r w:rsidRPr="00BE4AF3">
        <w:rPr>
          <w:rFonts w:ascii="Times New Roman" w:hAnsi="Times New Roman" w:cs="Times New Roman"/>
          <w:i/>
          <w:iCs/>
          <w:noProof/>
          <w:sz w:val="24"/>
          <w:szCs w:val="24"/>
        </w:rPr>
        <w:t>A NALYSIS OF M ODULAR C ONSTRUCTION T ECHNIQUES A DVANTAGES AND D ISADVANTAGES</w:t>
      </w:r>
      <w:r w:rsidRPr="00BE4AF3">
        <w:rPr>
          <w:rFonts w:ascii="Times New Roman" w:hAnsi="Times New Roman" w:cs="Times New Roman"/>
          <w:noProof/>
          <w:sz w:val="24"/>
          <w:szCs w:val="24"/>
        </w:rPr>
        <w:t>.</w:t>
      </w:r>
    </w:p>
    <w:p w14:paraId="5CD6BC30"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Ogeye, O. (2014). </w:t>
      </w:r>
      <w:r w:rsidRPr="00BE4AF3">
        <w:rPr>
          <w:rFonts w:ascii="Times New Roman" w:hAnsi="Times New Roman" w:cs="Times New Roman"/>
          <w:i/>
          <w:iCs/>
          <w:noProof/>
          <w:sz w:val="24"/>
          <w:szCs w:val="24"/>
        </w:rPr>
        <w:t>Prefabrication as an alternative system of construction in Nigeria; A Critical study of the construction processes of the Nigerite Prefab house.</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August</w:t>
      </w:r>
      <w:r w:rsidRPr="00BE4AF3">
        <w:rPr>
          <w:rFonts w:ascii="Times New Roman" w:hAnsi="Times New Roman" w:cs="Times New Roman"/>
          <w:noProof/>
          <w:sz w:val="24"/>
          <w:szCs w:val="24"/>
        </w:rPr>
        <w:t>. https://doi.org/10.13140/RG.2.2.33191.65440</w:t>
      </w:r>
    </w:p>
    <w:p w14:paraId="34FE5F4B"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Ogunmakinde, O. E. (2019). </w:t>
      </w:r>
      <w:r w:rsidRPr="00BE4AF3">
        <w:rPr>
          <w:rFonts w:ascii="Times New Roman" w:hAnsi="Times New Roman" w:cs="Times New Roman"/>
          <w:i/>
          <w:iCs/>
          <w:noProof/>
          <w:sz w:val="24"/>
          <w:szCs w:val="24"/>
        </w:rPr>
        <w:t>Developing a Circular-Economy-Based Construction Waste Minimisation Framework for Nigeria A Thesis submitted in fulfilment of the requirements for the award of Doctor of Philosophy in Building</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May</w:t>
      </w:r>
      <w:r w:rsidRPr="00BE4AF3">
        <w:rPr>
          <w:rFonts w:ascii="Times New Roman" w:hAnsi="Times New Roman" w:cs="Times New Roman"/>
          <w:noProof/>
          <w:sz w:val="24"/>
          <w:szCs w:val="24"/>
        </w:rPr>
        <w:t>.</w:t>
      </w:r>
    </w:p>
    <w:p w14:paraId="1D9AA2A1"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Patil, J. R., Pune, A., Auti1, S. D., and Patil2, J. R. (2019). Prefabrication Technology-A Promising Alternative in Construction Industry. </w:t>
      </w:r>
      <w:r w:rsidRPr="00BE4AF3">
        <w:rPr>
          <w:rFonts w:ascii="Times New Roman" w:hAnsi="Times New Roman" w:cs="Times New Roman"/>
          <w:i/>
          <w:iCs/>
          <w:noProof/>
          <w:sz w:val="24"/>
          <w:szCs w:val="24"/>
        </w:rPr>
        <w:t>Journal of Science and Research</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8</w:t>
      </w:r>
      <w:r w:rsidRPr="00BE4AF3">
        <w:rPr>
          <w:rFonts w:ascii="Times New Roman" w:hAnsi="Times New Roman" w:cs="Times New Roman"/>
          <w:noProof/>
          <w:sz w:val="24"/>
          <w:szCs w:val="24"/>
        </w:rPr>
        <w:t>(8), 240–244. https://doi.org/10.21275/ART2020213</w:t>
      </w:r>
    </w:p>
    <w:p w14:paraId="505DC0EC"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Qin, H., and Yao, Y. (2020). The analysis of differentiation between prefabrication and modular construction. </w:t>
      </w:r>
      <w:r w:rsidRPr="00BE4AF3">
        <w:rPr>
          <w:rFonts w:ascii="Times New Roman" w:hAnsi="Times New Roman" w:cs="Times New Roman"/>
          <w:i/>
          <w:iCs/>
          <w:noProof/>
          <w:sz w:val="24"/>
          <w:szCs w:val="24"/>
        </w:rPr>
        <w:t>IOP Conference Series: Earth and Environmental Science</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580</w:t>
      </w:r>
      <w:r w:rsidRPr="00BE4AF3">
        <w:rPr>
          <w:rFonts w:ascii="Times New Roman" w:hAnsi="Times New Roman" w:cs="Times New Roman"/>
          <w:noProof/>
          <w:sz w:val="24"/>
          <w:szCs w:val="24"/>
        </w:rPr>
        <w:t>(1). https://doi.org/10.1088/1755-1315/580/1/012005</w:t>
      </w:r>
    </w:p>
    <w:p w14:paraId="37BEEDAF"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Rathnapala, D. G. T. (2009). </w:t>
      </w:r>
      <w:r w:rsidRPr="00BE4AF3">
        <w:rPr>
          <w:rFonts w:ascii="Times New Roman" w:hAnsi="Times New Roman" w:cs="Times New Roman"/>
          <w:i/>
          <w:iCs/>
          <w:noProof/>
          <w:sz w:val="24"/>
          <w:szCs w:val="24"/>
        </w:rPr>
        <w:t>INCORPORATING PREFABRICATION PROCESSES INTO BUILDING INFORMATION MODELLING</w:t>
      </w:r>
      <w:r w:rsidRPr="00BE4AF3">
        <w:rPr>
          <w:rFonts w:ascii="Times New Roman" w:hAnsi="Times New Roman" w:cs="Times New Roman"/>
          <w:noProof/>
          <w:sz w:val="24"/>
          <w:szCs w:val="24"/>
        </w:rPr>
        <w:t>.</w:t>
      </w:r>
    </w:p>
    <w:p w14:paraId="32B12525"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Shibani, A., Agha, A., Hassan, D., Al-Hadeethi, Y., and Choudhury, M. (2021). Effectiveness of the Modern Methods of Construction in Terms of Cost and Time: A Case Study of the United Kingdom. </w:t>
      </w:r>
      <w:r w:rsidRPr="00BE4AF3">
        <w:rPr>
          <w:rFonts w:ascii="Times New Roman" w:hAnsi="Times New Roman" w:cs="Times New Roman"/>
          <w:i/>
          <w:iCs/>
          <w:noProof/>
          <w:sz w:val="24"/>
          <w:szCs w:val="24"/>
        </w:rPr>
        <w:t>Article in Journal of Civil Engineering Research</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2021</w:t>
      </w:r>
      <w:r w:rsidRPr="00BE4AF3">
        <w:rPr>
          <w:rFonts w:ascii="Times New Roman" w:hAnsi="Times New Roman" w:cs="Times New Roman"/>
          <w:noProof/>
          <w:sz w:val="24"/>
          <w:szCs w:val="24"/>
        </w:rPr>
        <w:t>(1), 19–28. https://doi.org/10.5923/j.jce.20211101.03</w:t>
      </w:r>
    </w:p>
    <w:p w14:paraId="50EADCB9"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Terna, T., Ibrahim, S., and Chigozie, C. (2018). </w:t>
      </w:r>
      <w:r w:rsidRPr="00BE4AF3">
        <w:rPr>
          <w:rFonts w:ascii="Times New Roman" w:hAnsi="Times New Roman" w:cs="Times New Roman"/>
          <w:i/>
          <w:iCs/>
          <w:noProof/>
          <w:sz w:val="24"/>
          <w:szCs w:val="24"/>
        </w:rPr>
        <w:t>Industrial Prefabrication as an Effective Approach to Solving Housing Problems in Nigeria 1</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3</w:t>
      </w:r>
      <w:r w:rsidRPr="00BE4AF3">
        <w:rPr>
          <w:rFonts w:ascii="Times New Roman" w:hAnsi="Times New Roman" w:cs="Times New Roman"/>
          <w:noProof/>
          <w:sz w:val="24"/>
          <w:szCs w:val="24"/>
        </w:rPr>
        <w:t>(1), 36–49.</w:t>
      </w:r>
    </w:p>
    <w:p w14:paraId="5D228EB4"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Wu, G., Yang, R., Li, L., Bi, X., Liu, B., Li, S., and Zhou, S. (2019). Factors influencing the application of prefabricated construction in China: From perspectives of technology promotion and cleaner production. </w:t>
      </w:r>
      <w:r w:rsidRPr="00BE4AF3">
        <w:rPr>
          <w:rFonts w:ascii="Times New Roman" w:hAnsi="Times New Roman" w:cs="Times New Roman"/>
          <w:i/>
          <w:iCs/>
          <w:noProof/>
          <w:sz w:val="24"/>
          <w:szCs w:val="24"/>
        </w:rPr>
        <w:t>Journal of Cleaner Production</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219</w:t>
      </w:r>
      <w:r w:rsidRPr="00BE4AF3">
        <w:rPr>
          <w:rFonts w:ascii="Times New Roman" w:hAnsi="Times New Roman" w:cs="Times New Roman"/>
          <w:noProof/>
          <w:sz w:val="24"/>
          <w:szCs w:val="24"/>
        </w:rPr>
        <w:t>, 753–762. https://doi.org/10.1016/j.jclepro.2019.02.110</w:t>
      </w:r>
    </w:p>
    <w:p w14:paraId="11C98601"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Xiahou, X., Yuan, J., Liu, Y., Tang, Y., and Li, Q. (2018). Exploring the driving factors of construction industrialization development in China. </w:t>
      </w:r>
      <w:r w:rsidRPr="00BE4AF3">
        <w:rPr>
          <w:rFonts w:ascii="Times New Roman" w:hAnsi="Times New Roman" w:cs="Times New Roman"/>
          <w:i/>
          <w:iCs/>
          <w:noProof/>
          <w:sz w:val="24"/>
          <w:szCs w:val="24"/>
        </w:rPr>
        <w:t>International Journal of Environmental Research and Public Health</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15</w:t>
      </w:r>
      <w:r w:rsidRPr="00BE4AF3">
        <w:rPr>
          <w:rFonts w:ascii="Times New Roman" w:hAnsi="Times New Roman" w:cs="Times New Roman"/>
          <w:noProof/>
          <w:sz w:val="24"/>
          <w:szCs w:val="24"/>
        </w:rPr>
        <w:t>(3). https://doi.org/10.3390/ijerph15030442</w:t>
      </w:r>
    </w:p>
    <w:p w14:paraId="7B269C71" w14:textId="77777777" w:rsidR="00A84E96" w:rsidRPr="00BE4AF3" w:rsidRDefault="00A84E96" w:rsidP="00660949">
      <w:pPr>
        <w:widowControl w:val="0"/>
        <w:autoSpaceDE w:val="0"/>
        <w:autoSpaceDN w:val="0"/>
        <w:adjustRightInd w:val="0"/>
        <w:spacing w:after="0" w:line="240" w:lineRule="auto"/>
        <w:ind w:left="851" w:hanging="851"/>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Xue, H., Zhang, S., Su, Y., and Wu, Z. (2017). Factors affecting the capital cost of prefabrication-A case study of China. </w:t>
      </w:r>
      <w:r w:rsidRPr="00BE4AF3">
        <w:rPr>
          <w:rFonts w:ascii="Times New Roman" w:hAnsi="Times New Roman" w:cs="Times New Roman"/>
          <w:i/>
          <w:iCs/>
          <w:noProof/>
          <w:sz w:val="24"/>
          <w:szCs w:val="24"/>
        </w:rPr>
        <w:t>Sustainability (Switzerland)</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9</w:t>
      </w:r>
      <w:r w:rsidRPr="00BE4AF3">
        <w:rPr>
          <w:rFonts w:ascii="Times New Roman" w:hAnsi="Times New Roman" w:cs="Times New Roman"/>
          <w:noProof/>
          <w:sz w:val="24"/>
          <w:szCs w:val="24"/>
        </w:rPr>
        <w:t>(9), 1–22. https://doi.org/10.3390/su9091512</w:t>
      </w:r>
    </w:p>
    <w:p w14:paraId="7B6BAFB0" w14:textId="505FFBF8" w:rsidR="001B6CC4" w:rsidRPr="00473646" w:rsidRDefault="00A84E96" w:rsidP="00473646">
      <w:pPr>
        <w:pStyle w:val="Default"/>
        <w:jc w:val="both"/>
        <w:rPr>
          <w:b/>
          <w:color w:val="auto"/>
        </w:rPr>
      </w:pPr>
      <w:r w:rsidRPr="00BE4AF3">
        <w:rPr>
          <w:b/>
          <w:color w:val="auto"/>
        </w:rPr>
        <w:fldChar w:fldCharType="end"/>
      </w:r>
    </w:p>
    <w:p w14:paraId="6D3FE26E" w14:textId="672CDA49" w:rsidR="001B6CC4" w:rsidRPr="000067A5" w:rsidRDefault="001B6CC4" w:rsidP="005E515E">
      <w:pPr>
        <w:spacing w:after="0" w:line="240" w:lineRule="auto"/>
        <w:jc w:val="center"/>
        <w:rPr>
          <w:rFonts w:ascii="Times New Roman" w:hAnsi="Times New Roman" w:cs="Times New Roman"/>
          <w:b/>
          <w:sz w:val="28"/>
          <w:szCs w:val="28"/>
        </w:rPr>
      </w:pPr>
      <w:r w:rsidRPr="000067A5">
        <w:rPr>
          <w:rFonts w:ascii="Times New Roman" w:hAnsi="Times New Roman" w:cs="Times New Roman"/>
          <w:b/>
          <w:sz w:val="28"/>
          <w:szCs w:val="28"/>
        </w:rPr>
        <w:lastRenderedPageBreak/>
        <w:t xml:space="preserve">Emerging Trends in Contemporary Visual Art: A Case Study of Innovative Practices </w:t>
      </w:r>
      <w:r w:rsidR="000067A5">
        <w:rPr>
          <w:rFonts w:ascii="Times New Roman" w:hAnsi="Times New Roman" w:cs="Times New Roman"/>
          <w:b/>
          <w:sz w:val="28"/>
          <w:szCs w:val="28"/>
        </w:rPr>
        <w:t>A</w:t>
      </w:r>
      <w:r w:rsidR="00AE2454" w:rsidRPr="000067A5">
        <w:rPr>
          <w:rFonts w:ascii="Times New Roman" w:hAnsi="Times New Roman" w:cs="Times New Roman"/>
          <w:b/>
          <w:sz w:val="28"/>
          <w:szCs w:val="28"/>
        </w:rPr>
        <w:t>mong</w:t>
      </w:r>
      <w:r w:rsidRPr="000067A5">
        <w:rPr>
          <w:rFonts w:ascii="Times New Roman" w:hAnsi="Times New Roman" w:cs="Times New Roman"/>
          <w:b/>
          <w:sz w:val="28"/>
          <w:szCs w:val="28"/>
        </w:rPr>
        <w:t xml:space="preserve"> Nigerian Visual Artists</w:t>
      </w:r>
    </w:p>
    <w:p w14:paraId="46DE7A97" w14:textId="77777777" w:rsidR="005E515E" w:rsidRPr="00BE4AF3" w:rsidRDefault="005E515E" w:rsidP="005E515E">
      <w:pPr>
        <w:spacing w:after="0" w:line="240" w:lineRule="auto"/>
        <w:jc w:val="center"/>
        <w:rPr>
          <w:rFonts w:ascii="Times New Roman" w:hAnsi="Times New Roman" w:cs="Times New Roman"/>
          <w:b/>
          <w:sz w:val="24"/>
          <w:szCs w:val="24"/>
        </w:rPr>
      </w:pPr>
    </w:p>
    <w:p w14:paraId="6011CA98" w14:textId="282D8D55" w:rsidR="001B6CC4" w:rsidRPr="00BE4AF3" w:rsidRDefault="001B6CC4" w:rsidP="00E90BB6">
      <w:pPr>
        <w:spacing w:after="0" w:line="240" w:lineRule="auto"/>
        <w:rPr>
          <w:rFonts w:ascii="Times New Roman" w:hAnsi="Times New Roman" w:cs="Times New Roman"/>
          <w:sz w:val="24"/>
          <w:szCs w:val="24"/>
        </w:rPr>
      </w:pPr>
      <w:r w:rsidRPr="00BE4AF3">
        <w:rPr>
          <w:rFonts w:ascii="Times New Roman" w:hAnsi="Times New Roman" w:cs="Times New Roman"/>
          <w:b/>
          <w:sz w:val="24"/>
          <w:szCs w:val="24"/>
        </w:rPr>
        <w:t xml:space="preserve">                        </w:t>
      </w:r>
      <w:r w:rsidRPr="00BE4AF3">
        <w:rPr>
          <w:rFonts w:ascii="Times New Roman" w:hAnsi="Times New Roman" w:cs="Times New Roman"/>
          <w:sz w:val="24"/>
          <w:szCs w:val="24"/>
        </w:rPr>
        <w:t xml:space="preserve">*Onyeagoro Johnson Chima, </w:t>
      </w:r>
      <w:r w:rsidR="00473646" w:rsidRPr="00BE4AF3">
        <w:rPr>
          <w:rFonts w:ascii="Times New Roman" w:hAnsi="Times New Roman" w:cs="Times New Roman"/>
          <w:sz w:val="24"/>
          <w:szCs w:val="24"/>
        </w:rPr>
        <w:t>and Ajayi</w:t>
      </w:r>
      <w:r w:rsidRPr="00BE4AF3">
        <w:rPr>
          <w:rFonts w:ascii="Times New Roman" w:hAnsi="Times New Roman" w:cs="Times New Roman"/>
          <w:sz w:val="24"/>
          <w:szCs w:val="24"/>
        </w:rPr>
        <w:t xml:space="preserve"> Adewale Olusegun</w:t>
      </w:r>
    </w:p>
    <w:p w14:paraId="25961DF5" w14:textId="77777777" w:rsidR="005E515E" w:rsidRPr="00BE4AF3" w:rsidRDefault="001B6CC4" w:rsidP="00E90BB6">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 xml:space="preserve"> </w:t>
      </w:r>
    </w:p>
    <w:p w14:paraId="0B0819B2" w14:textId="77777777" w:rsidR="001B6CC4" w:rsidRPr="000067A5" w:rsidRDefault="001B6CC4" w:rsidP="005E515E">
      <w:pPr>
        <w:spacing w:after="0" w:line="240" w:lineRule="auto"/>
        <w:jc w:val="center"/>
        <w:rPr>
          <w:rFonts w:ascii="Times New Roman" w:hAnsi="Times New Roman" w:cs="Times New Roman"/>
          <w:sz w:val="20"/>
          <w:szCs w:val="20"/>
        </w:rPr>
      </w:pPr>
      <w:r w:rsidRPr="000067A5">
        <w:rPr>
          <w:rFonts w:ascii="Times New Roman" w:hAnsi="Times New Roman" w:cs="Times New Roman"/>
          <w:sz w:val="20"/>
          <w:szCs w:val="20"/>
        </w:rPr>
        <w:t>Department of Fine and Applied Arts, Adeyemi Federal University of Education, Ondo, Nigeria.</w:t>
      </w:r>
    </w:p>
    <w:p w14:paraId="50CE8566" w14:textId="77777777" w:rsidR="001B6CC4" w:rsidRPr="000067A5" w:rsidRDefault="001B6CC4" w:rsidP="00E90BB6">
      <w:pPr>
        <w:spacing w:after="0" w:line="240" w:lineRule="auto"/>
        <w:rPr>
          <w:rFonts w:ascii="Times New Roman" w:hAnsi="Times New Roman" w:cs="Times New Roman"/>
          <w:sz w:val="20"/>
          <w:szCs w:val="20"/>
        </w:rPr>
      </w:pPr>
    </w:p>
    <w:p w14:paraId="1DE07BB0" w14:textId="77777777" w:rsidR="005E515E" w:rsidRPr="000067A5" w:rsidRDefault="001B6CC4" w:rsidP="00AE2454">
      <w:pPr>
        <w:spacing w:after="0" w:line="240" w:lineRule="auto"/>
        <w:jc w:val="center"/>
        <w:rPr>
          <w:rFonts w:ascii="Times New Roman" w:hAnsi="Times New Roman" w:cs="Times New Roman"/>
          <w:sz w:val="20"/>
          <w:szCs w:val="20"/>
        </w:rPr>
      </w:pPr>
      <w:r w:rsidRPr="000067A5">
        <w:rPr>
          <w:rFonts w:ascii="Times New Roman" w:hAnsi="Times New Roman" w:cs="Times New Roman"/>
          <w:sz w:val="20"/>
          <w:szCs w:val="20"/>
        </w:rPr>
        <w:t xml:space="preserve">*Corresponding Author E-mail: </w:t>
      </w:r>
      <w:hyperlink r:id="rId55" w:history="1">
        <w:r w:rsidRPr="000067A5">
          <w:rPr>
            <w:rStyle w:val="Hyperlink"/>
            <w:rFonts w:ascii="Times New Roman" w:hAnsi="Times New Roman" w:cs="Times New Roman"/>
            <w:color w:val="auto"/>
            <w:sz w:val="20"/>
            <w:szCs w:val="20"/>
            <w:u w:val="none"/>
          </w:rPr>
          <w:t>Chimajohnson2019@gmail.com</w:t>
        </w:r>
      </w:hyperlink>
    </w:p>
    <w:p w14:paraId="47F5DC6A" w14:textId="77777777" w:rsidR="005E515E" w:rsidRPr="00BE4AF3" w:rsidRDefault="005E515E" w:rsidP="00E90BB6">
      <w:pPr>
        <w:spacing w:after="0" w:line="240" w:lineRule="auto"/>
        <w:rPr>
          <w:rFonts w:ascii="Times New Roman" w:hAnsi="Times New Roman" w:cs="Times New Roman"/>
          <w:sz w:val="24"/>
          <w:szCs w:val="24"/>
        </w:rPr>
      </w:pPr>
    </w:p>
    <w:p w14:paraId="3E15A14E" w14:textId="77777777" w:rsidR="005E515E" w:rsidRPr="00BE4AF3" w:rsidRDefault="005E515E" w:rsidP="00E90BB6">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 xml:space="preserve">LICFES 2025 </w:t>
      </w:r>
      <w:r w:rsidR="00933BD9" w:rsidRPr="00BE4AF3">
        <w:rPr>
          <w:rFonts w:ascii="Times New Roman" w:hAnsi="Times New Roman" w:cs="Times New Roman"/>
          <w:b/>
          <w:sz w:val="24"/>
          <w:szCs w:val="24"/>
        </w:rPr>
        <w:t>–</w:t>
      </w:r>
      <w:r w:rsidRPr="00BE4AF3">
        <w:rPr>
          <w:rFonts w:ascii="Times New Roman" w:hAnsi="Times New Roman" w:cs="Times New Roman"/>
          <w:b/>
          <w:sz w:val="24"/>
          <w:szCs w:val="24"/>
        </w:rPr>
        <w:t xml:space="preserve"> FP</w:t>
      </w:r>
      <w:r w:rsidR="00933BD9" w:rsidRPr="00BE4AF3">
        <w:rPr>
          <w:rFonts w:ascii="Times New Roman" w:hAnsi="Times New Roman" w:cs="Times New Roman"/>
          <w:b/>
          <w:sz w:val="24"/>
          <w:szCs w:val="24"/>
        </w:rPr>
        <w:t>5</w:t>
      </w:r>
    </w:p>
    <w:p w14:paraId="5ED9FC29" w14:textId="77777777" w:rsidR="001B6CC4" w:rsidRPr="00BE4AF3" w:rsidRDefault="001B6CC4" w:rsidP="00E90BB6">
      <w:pPr>
        <w:spacing w:after="0" w:line="240" w:lineRule="auto"/>
        <w:rPr>
          <w:rFonts w:ascii="Times New Roman" w:hAnsi="Times New Roman" w:cs="Times New Roman"/>
          <w:sz w:val="24"/>
          <w:szCs w:val="24"/>
        </w:rPr>
      </w:pPr>
      <w:r w:rsidRPr="00BE4AF3">
        <w:rPr>
          <w:rFonts w:ascii="Times New Roman" w:hAnsi="Times New Roman" w:cs="Times New Roman"/>
          <w:b/>
          <w:sz w:val="24"/>
          <w:szCs w:val="24"/>
        </w:rPr>
        <w:t>Abstract</w:t>
      </w:r>
    </w:p>
    <w:p w14:paraId="6BAB8E07" w14:textId="77777777" w:rsidR="001B6CC4" w:rsidRPr="00BE4AF3" w:rsidRDefault="001B6CC4" w:rsidP="00E90BB6">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Contemporary visual art in Nigeria is experiencing a paradigm shift driven by digital innovation, global exposure, and hybrid media experimentation. This paper investigates emerging trends in Nigerian visual art through a case study of selected visual artists employing unconventional methods and materials, including Lucky James, Jacqueline Suowari, and Victor Ekpuk. By examining their practices and thematic directions, this study identifies how Nigerian artists are negotiating tradition, technology, and global relevance. Methodologically, the study employs a qualitative approach involving interviews, visual analysis, and scholarly literature (Enwezor, 2010; Okeke-Agulu, 2015), the paper concludes that Nigerian artists are recontextualizing global art languages through indigenous motifs and local narratives, positioning themselves as active agents in the global contemporary art scene.    </w:t>
      </w:r>
    </w:p>
    <w:p w14:paraId="2F749A48" w14:textId="77777777" w:rsidR="001B6CC4" w:rsidRPr="00BE4AF3" w:rsidRDefault="001B6CC4" w:rsidP="00E90BB6">
      <w:pPr>
        <w:spacing w:after="0" w:line="240" w:lineRule="auto"/>
        <w:rPr>
          <w:rFonts w:ascii="Times New Roman" w:hAnsi="Times New Roman" w:cs="Times New Roman"/>
          <w:sz w:val="24"/>
          <w:szCs w:val="24"/>
        </w:rPr>
      </w:pPr>
    </w:p>
    <w:p w14:paraId="274F79D3" w14:textId="77777777" w:rsidR="001B6CC4" w:rsidRPr="00BE4AF3" w:rsidRDefault="001B6CC4" w:rsidP="00E90BB6">
      <w:pPr>
        <w:spacing w:after="0" w:line="240" w:lineRule="auto"/>
        <w:rPr>
          <w:rFonts w:ascii="Times New Roman" w:hAnsi="Times New Roman" w:cs="Times New Roman"/>
          <w:sz w:val="24"/>
          <w:szCs w:val="24"/>
        </w:rPr>
      </w:pPr>
      <w:r w:rsidRPr="00BE4AF3">
        <w:rPr>
          <w:rFonts w:ascii="Times New Roman" w:hAnsi="Times New Roman" w:cs="Times New Roman"/>
          <w:b/>
          <w:sz w:val="24"/>
          <w:szCs w:val="24"/>
        </w:rPr>
        <w:t xml:space="preserve">Keywords: </w:t>
      </w:r>
      <w:r w:rsidRPr="00BE4AF3">
        <w:rPr>
          <w:rFonts w:ascii="Times New Roman" w:hAnsi="Times New Roman" w:cs="Times New Roman"/>
          <w:sz w:val="24"/>
          <w:szCs w:val="24"/>
        </w:rPr>
        <w:t>Nigerian Visual Art, Contemporary Art, Innovative Practices, Hybrid Media, Digital Art, Cultural Identity.</w:t>
      </w:r>
    </w:p>
    <w:p w14:paraId="2F0159F0" w14:textId="77777777" w:rsidR="00A95426" w:rsidRPr="00BE4AF3" w:rsidRDefault="00A95426" w:rsidP="00E90BB6">
      <w:pPr>
        <w:spacing w:after="0" w:line="240" w:lineRule="auto"/>
        <w:rPr>
          <w:rFonts w:ascii="Times New Roman" w:hAnsi="Times New Roman" w:cs="Times New Roman"/>
          <w:sz w:val="24"/>
          <w:szCs w:val="24"/>
        </w:rPr>
      </w:pPr>
    </w:p>
    <w:p w14:paraId="61E40E33" w14:textId="77777777" w:rsidR="00A84E96" w:rsidRPr="00BE4AF3" w:rsidRDefault="00A84E96" w:rsidP="00A84E96">
      <w:pPr>
        <w:spacing w:after="0"/>
        <w:rPr>
          <w:rFonts w:ascii="Times New Roman" w:hAnsi="Times New Roman" w:cs="Times New Roman"/>
          <w:sz w:val="24"/>
          <w:szCs w:val="24"/>
        </w:rPr>
      </w:pPr>
      <w:r w:rsidRPr="00BE4AF3">
        <w:rPr>
          <w:rFonts w:ascii="Times New Roman" w:hAnsi="Times New Roman" w:cs="Times New Roman"/>
          <w:b/>
          <w:sz w:val="24"/>
          <w:szCs w:val="24"/>
        </w:rPr>
        <w:t xml:space="preserve">Introduction </w:t>
      </w:r>
    </w:p>
    <w:p w14:paraId="05019558" w14:textId="77777777" w:rsidR="00A84E96" w:rsidRPr="00BE4AF3" w:rsidRDefault="00A84E96" w:rsidP="00A84E96">
      <w:pPr>
        <w:spacing w:after="0"/>
        <w:jc w:val="both"/>
        <w:rPr>
          <w:rFonts w:ascii="Times New Roman" w:hAnsi="Times New Roman" w:cs="Times New Roman"/>
          <w:sz w:val="24"/>
          <w:szCs w:val="24"/>
        </w:rPr>
      </w:pPr>
      <w:r w:rsidRPr="00BE4AF3">
        <w:rPr>
          <w:rFonts w:ascii="Times New Roman" w:hAnsi="Times New Roman" w:cs="Times New Roman"/>
          <w:sz w:val="24"/>
          <w:szCs w:val="24"/>
        </w:rPr>
        <w:t>Visual art in Nigeria has advanced over the years from long-established forms and advanced ideologies to exploratory hardware studio engagements. This transformation is observed by Hassan (1999) expressed as the “aesthetic of the contemporary,’ where African artists today like Lucky James utilize digital tools, Jacquiline Suowari delve into mixed media, and Victor Ekpuk use  of codified story to reinterpret cultural identity, political unrest, and urban chaos. Enwezor (2010), expressed that Africa contemporary art is not imitation of Western archetype or standard, but a multidimensional response to both local and global transformations. This paper investigates these emergent directions using case studies of three Nigerian artists whose works exemplify such hybrid and conceptual approaches.</w:t>
      </w:r>
    </w:p>
    <w:p w14:paraId="28CB0A24" w14:textId="77777777" w:rsidR="00A84E96" w:rsidRPr="00BE4AF3" w:rsidRDefault="00A84E96" w:rsidP="00A84E96">
      <w:pPr>
        <w:tabs>
          <w:tab w:val="left" w:pos="360"/>
        </w:tabs>
        <w:spacing w:after="0" w:line="240" w:lineRule="auto"/>
        <w:jc w:val="both"/>
        <w:rPr>
          <w:rFonts w:ascii="Times New Roman" w:hAnsi="Times New Roman" w:cs="Times New Roman"/>
          <w:b/>
          <w:sz w:val="24"/>
          <w:szCs w:val="24"/>
        </w:rPr>
      </w:pPr>
    </w:p>
    <w:p w14:paraId="1050D143" w14:textId="77777777" w:rsidR="00A84E96" w:rsidRPr="00BE4AF3" w:rsidRDefault="00A84E96" w:rsidP="00A84E96">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Statement of the Problem</w:t>
      </w:r>
    </w:p>
    <w:p w14:paraId="0778A413" w14:textId="77777777" w:rsidR="00A84E96" w:rsidRPr="00BE4AF3" w:rsidRDefault="00A84E96" w:rsidP="00A84E96">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Nigerian visual artists are widely known for their creative impetus, however there is no enough scholastic records concerning innovative methods in studio art practice in Nigeria context. Much of the existing scholarship (e.g., Ogbechie, 2008; Okeke-Agulu, 2015) focuses on earlier modernist figures or traditional forms, with limited documentation of the experimental and media-diverse practices emerging since the 2010s. Based on the aforesaid, it is imperative to bridge the gap by examining the emerging trends in Nigeria contemporary visual art practices. </w:t>
      </w:r>
    </w:p>
    <w:p w14:paraId="3A3B313D" w14:textId="77777777" w:rsidR="00A84E96" w:rsidRPr="00BE4AF3" w:rsidRDefault="00A84E96" w:rsidP="00A84E96">
      <w:pPr>
        <w:spacing w:after="0" w:line="240" w:lineRule="auto"/>
        <w:jc w:val="both"/>
        <w:rPr>
          <w:rFonts w:ascii="Times New Roman" w:hAnsi="Times New Roman" w:cs="Times New Roman"/>
          <w:sz w:val="24"/>
          <w:szCs w:val="24"/>
        </w:rPr>
      </w:pPr>
    </w:p>
    <w:p w14:paraId="1A677323" w14:textId="77777777" w:rsidR="00473646" w:rsidRDefault="00473646" w:rsidP="00A84E96">
      <w:pPr>
        <w:spacing w:after="0" w:line="240" w:lineRule="auto"/>
        <w:jc w:val="both"/>
        <w:rPr>
          <w:rFonts w:ascii="Times New Roman" w:hAnsi="Times New Roman" w:cs="Times New Roman"/>
          <w:b/>
          <w:sz w:val="24"/>
          <w:szCs w:val="24"/>
        </w:rPr>
      </w:pPr>
    </w:p>
    <w:p w14:paraId="0BDCBDD1" w14:textId="7693AD2C" w:rsidR="00A84E96" w:rsidRPr="00BE4AF3" w:rsidRDefault="00A84E96" w:rsidP="00A84E96">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lastRenderedPageBreak/>
        <w:t>Aim and Objectives.</w:t>
      </w:r>
    </w:p>
    <w:p w14:paraId="2E6AA76F" w14:textId="77777777" w:rsidR="00A84E96" w:rsidRPr="00BE4AF3" w:rsidRDefault="00A84E96" w:rsidP="00A84E96">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aim is to explore emerging trends in contemporary visual art: a case study of innovative practices among Nigerian visual artists. The study seeks to distinguish essential creative convention that is shaping Nigeria contemporary visual art and exploration of hybrid media employed by the artists. It will also investigate the digital and cultural influences their works exhibit in the social and political context through their artwork</w:t>
      </w:r>
    </w:p>
    <w:p w14:paraId="4CA6231E" w14:textId="77777777" w:rsidR="00A84E96" w:rsidRPr="00BE4AF3" w:rsidRDefault="00A84E96" w:rsidP="00A84E96">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w:t>
      </w:r>
    </w:p>
    <w:p w14:paraId="1C9E0EEA" w14:textId="77777777" w:rsidR="00A84E96" w:rsidRPr="00BE4AF3" w:rsidRDefault="00A84E96" w:rsidP="00A84E96">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 xml:space="preserve">Methodology </w:t>
      </w:r>
    </w:p>
    <w:p w14:paraId="76AEF8C0" w14:textId="77777777" w:rsidR="00A84E96" w:rsidRPr="00BE4AF3" w:rsidRDefault="00A84E96" w:rsidP="00A84E96">
      <w:pPr>
        <w:tabs>
          <w:tab w:val="left" w:pos="6285"/>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This study adopts a qualitative research design centered on case studies and visual analysis. Selected artists-Jacquiline Suowari, Lucky James, and Victor Ekpuk were analyzed based on exhibitions, published interviews, and critical reviews. The data for this study is from both primary and secondary sources which include academic books and journal articles (e.g., Hassan, 1999; Oguibe, 2004; Nzewi, 2013). Artworks were examined using formal and contextual analysis methods to understand media, technique, symbolism, and socio-cultural relevance.</w:t>
      </w:r>
    </w:p>
    <w:p w14:paraId="3189E479" w14:textId="77777777" w:rsidR="00A84E96" w:rsidRPr="00BE4AF3" w:rsidRDefault="00A84E96" w:rsidP="00A84E96">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Also, random sampling of sites for trends, social networking sites like Facebook, search engine like Google, postgraduate projects, theses and dissertations in higher institutions were equally consulted to get sufficient background information.</w:t>
      </w:r>
    </w:p>
    <w:p w14:paraId="120EC037" w14:textId="77777777" w:rsidR="00A84E96" w:rsidRPr="00BE4AF3" w:rsidRDefault="00A84E96" w:rsidP="00A84E96">
      <w:pPr>
        <w:spacing w:after="0" w:line="240" w:lineRule="auto"/>
        <w:jc w:val="both"/>
        <w:rPr>
          <w:rFonts w:ascii="Times New Roman" w:hAnsi="Times New Roman" w:cs="Times New Roman"/>
          <w:sz w:val="24"/>
          <w:szCs w:val="24"/>
        </w:rPr>
      </w:pPr>
    </w:p>
    <w:p w14:paraId="5AF0B1AE" w14:textId="77777777" w:rsidR="00A84E96" w:rsidRPr="00BE4AF3" w:rsidRDefault="00A84E96" w:rsidP="00A84E96">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 xml:space="preserve">Justification </w:t>
      </w:r>
    </w:p>
    <w:p w14:paraId="5EDD46C9" w14:textId="77777777" w:rsidR="00A84E96" w:rsidRPr="00BE4AF3" w:rsidRDefault="00A84E96" w:rsidP="00A84E96">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This study conveys increasing academic need to put into record and investigate contemporary trends in Nigeria visual art practices. As noted by Njami (2021), African contemporary artists are pivotal in redefining global art narratives. By paying attention to all the artists under review this study broadens the field of studio art exploration, contributing to the emerging African art historiography</w:t>
      </w:r>
      <w:r w:rsidRPr="00BE4AF3">
        <w:rPr>
          <w:rFonts w:ascii="Times New Roman" w:hAnsi="Times New Roman" w:cs="Times New Roman"/>
          <w:b/>
          <w:sz w:val="24"/>
          <w:szCs w:val="24"/>
        </w:rPr>
        <w:t>.</w:t>
      </w:r>
    </w:p>
    <w:p w14:paraId="69F18068" w14:textId="77777777" w:rsidR="00A84E96" w:rsidRPr="00BE4AF3" w:rsidRDefault="00A84E96" w:rsidP="00A84E96">
      <w:pPr>
        <w:spacing w:after="0" w:line="240" w:lineRule="auto"/>
        <w:jc w:val="both"/>
        <w:rPr>
          <w:rFonts w:ascii="Times New Roman" w:hAnsi="Times New Roman" w:cs="Times New Roman"/>
          <w:b/>
          <w:sz w:val="24"/>
          <w:szCs w:val="24"/>
        </w:rPr>
      </w:pPr>
    </w:p>
    <w:p w14:paraId="70D80B7E" w14:textId="77777777" w:rsidR="00A84E96" w:rsidRPr="00BE4AF3" w:rsidRDefault="00A84E96" w:rsidP="00A84E96">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Scope of the Study</w:t>
      </w:r>
    </w:p>
    <w:p w14:paraId="2B3DC853" w14:textId="77777777" w:rsidR="00A84E96" w:rsidRPr="00BE4AF3" w:rsidRDefault="00A84E96" w:rsidP="00A84E96">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scope of this study includes case studies of three Nigerian visual artists actively producing works of art from 1994 till date. These artists engage with digital media, experimental materials, and thematic concerns rooted in identity, politics, and tradition. The research excludes traditional sculptors and modernist painters who have not engaged with contemporary forms or technology.</w:t>
      </w:r>
    </w:p>
    <w:p w14:paraId="7C3AF330" w14:textId="77777777" w:rsidR="00A84E96" w:rsidRPr="00BE4AF3" w:rsidRDefault="00A84E96" w:rsidP="00A84E96">
      <w:pPr>
        <w:spacing w:after="0" w:line="240" w:lineRule="auto"/>
        <w:jc w:val="both"/>
        <w:rPr>
          <w:rFonts w:ascii="Times New Roman" w:hAnsi="Times New Roman" w:cs="Times New Roman"/>
          <w:sz w:val="24"/>
          <w:szCs w:val="24"/>
        </w:rPr>
      </w:pPr>
    </w:p>
    <w:p w14:paraId="7C906CDF" w14:textId="77777777" w:rsidR="00A84E96" w:rsidRPr="00BE4AF3" w:rsidRDefault="00A84E96" w:rsidP="00A84E96">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Formal and Contextual Analysis</w:t>
      </w:r>
    </w:p>
    <w:p w14:paraId="4BADB1B4" w14:textId="77777777" w:rsidR="00A84E96" w:rsidRPr="00BE4AF3" w:rsidRDefault="00A84E96" w:rsidP="00A84E96">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artworks of Lucky James, Jacquiline Suowari, and Victor Ekpuk were investigated by the examination of the visual elements, and principles of design of their works: also is the exploration of the cultural significance, historical context and the artists’ intentions of all the drawings. These give deeper understanding and help in the appreciation of aesthetic values, interpretation and meaning of the artworks.   </w:t>
      </w:r>
    </w:p>
    <w:p w14:paraId="6187289F" w14:textId="77777777" w:rsidR="00A84E96" w:rsidRPr="00BE4AF3" w:rsidRDefault="00A84E96" w:rsidP="00A84E96">
      <w:pPr>
        <w:spacing w:after="0" w:line="240" w:lineRule="auto"/>
        <w:jc w:val="both"/>
        <w:rPr>
          <w:rFonts w:ascii="Times New Roman" w:hAnsi="Times New Roman" w:cs="Times New Roman"/>
          <w:sz w:val="24"/>
          <w:szCs w:val="24"/>
        </w:rPr>
      </w:pPr>
    </w:p>
    <w:p w14:paraId="192E3AA0" w14:textId="77777777" w:rsidR="00A84E96" w:rsidRPr="00BE4AF3" w:rsidRDefault="00A84E96" w:rsidP="00A84E96">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Biographical Sketch of Jacquiline Suowari</w:t>
      </w:r>
    </w:p>
    <w:p w14:paraId="1D8BBDF4" w14:textId="77777777" w:rsidR="00A84E96" w:rsidRPr="00BE4AF3" w:rsidRDefault="00A84E96" w:rsidP="00A84E96">
      <w:pPr>
        <w:spacing w:after="0" w:line="240" w:lineRule="auto"/>
        <w:jc w:val="both"/>
        <w:rPr>
          <w:rFonts w:ascii="Times New Roman" w:hAnsi="Times New Roman" w:cs="Times New Roman"/>
          <w:b/>
          <w:sz w:val="24"/>
          <w:szCs w:val="24"/>
        </w:rPr>
      </w:pPr>
      <w:r w:rsidRPr="00BE4AF3">
        <w:rPr>
          <w:rFonts w:ascii="Times New Roman" w:hAnsi="Times New Roman" w:cs="Times New Roman"/>
          <w:sz w:val="24"/>
          <w:szCs w:val="24"/>
        </w:rPr>
        <w:t xml:space="preserve">Jacquiline Suowari is a multidisciplinary artist that explores the infiniteness of body language and identity and making her point in the art of drawing. She was born in Zaria, in 1990 and based in Nigeria. She holds a B.A.in Fine Art and Design and specialized in painting from the University of Port Harcourt. She is a full-time draughtswoman, ballpoint and mixed media artist. She combines ballpoint ink and acrylic to create dynamic and intricate drawings. She picked up interest in art at the age of five. And for many years, she had surprised her collectors with beautiful linear pieces. Jacquiline is indeed motivated with by the inherent power in the art of drawing and </w:t>
      </w:r>
      <w:r w:rsidRPr="00BE4AF3">
        <w:rPr>
          <w:rFonts w:ascii="Times New Roman" w:hAnsi="Times New Roman" w:cs="Times New Roman"/>
          <w:sz w:val="24"/>
          <w:szCs w:val="24"/>
        </w:rPr>
        <w:lastRenderedPageBreak/>
        <w:t xml:space="preserve">illustration. The thousands of ballpoint pen strokes which produces every image of her artwork, reveals the many hours which it takes to achieve perfection in her eyes, with a single drawing taking many months to complete. </w:t>
      </w:r>
    </w:p>
    <w:p w14:paraId="15030B77" w14:textId="77777777" w:rsidR="00A84E96" w:rsidRPr="00BE4AF3" w:rsidRDefault="00A84E96" w:rsidP="000067A5">
      <w:pPr>
        <w:spacing w:after="0" w:line="240" w:lineRule="auto"/>
        <w:jc w:val="both"/>
        <w:rPr>
          <w:rFonts w:ascii="Times New Roman" w:hAnsi="Times New Roman" w:cs="Times New Roman"/>
          <w:b/>
          <w:sz w:val="24"/>
          <w:szCs w:val="24"/>
        </w:rPr>
      </w:pPr>
      <w:r w:rsidRPr="00BE4AF3">
        <w:rPr>
          <w:rFonts w:ascii="Times New Roman" w:hAnsi="Times New Roman" w:cs="Times New Roman"/>
          <w:sz w:val="24"/>
          <w:szCs w:val="24"/>
        </w:rPr>
        <w:t>In each drawing, she combines various elements of design to share her thoughts, experiences and inspiration with the spectators. Suowari has took part in select group exhibitions in Nigeria and Miami and has some domestic publications that includes Chukwuemeka Ben Bosah’s book ‘The Art of Nigerian Women’, which documented Nigerian best artists. As a drafts woman, exploring the frontiers that carve links into multiple human experiences through the lens of perceptions is vital because she believes that ‘perception’ is everything and human stories and experiences form the through which she understands life and human expressions.</w:t>
      </w:r>
    </w:p>
    <w:p w14:paraId="30DB9532" w14:textId="77777777" w:rsidR="00A84E96" w:rsidRDefault="00A84E96" w:rsidP="000067A5">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In formal analysis of her works, it exhibits large-scale pen drawings combined with linear color markings, rich in texture and precise in details, often featuring principles and elements of the art with expressive facial compositions. In addition, in contextual analysis is the exploration of emotional depth, female identity, and the intersection of cultural storytelling and contemporary aesthetics. Her work addresses the power of vulnerability and introspection in African womanhood.</w:t>
      </w:r>
    </w:p>
    <w:p w14:paraId="1070F1E1" w14:textId="77777777" w:rsidR="000067A5" w:rsidRPr="00BE4AF3" w:rsidRDefault="000067A5" w:rsidP="000067A5">
      <w:pPr>
        <w:spacing w:after="0" w:line="240" w:lineRule="auto"/>
        <w:jc w:val="both"/>
        <w:rPr>
          <w:rFonts w:ascii="Times New Roman" w:hAnsi="Times New Roman" w:cs="Times New Roman"/>
          <w:b/>
          <w:sz w:val="24"/>
          <w:szCs w:val="24"/>
        </w:rPr>
      </w:pPr>
    </w:p>
    <w:p w14:paraId="72F76525"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The works of Jacquiline Suowari:</w:t>
      </w:r>
    </w:p>
    <w:p w14:paraId="7453AEB5" w14:textId="66750096" w:rsidR="00A84E96" w:rsidRPr="00BE4AF3" w:rsidRDefault="00A84E96" w:rsidP="000067A5">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i/>
          <w:sz w:val="24"/>
          <w:szCs w:val="24"/>
        </w:rPr>
        <w:t xml:space="preserve">Silence Will Uncover You </w:t>
      </w:r>
      <w:r w:rsidRPr="00BE4AF3">
        <w:rPr>
          <w:rFonts w:ascii="Times New Roman" w:hAnsi="Times New Roman" w:cs="Times New Roman"/>
          <w:sz w:val="24"/>
          <w:szCs w:val="24"/>
        </w:rPr>
        <w:t xml:space="preserve">(Figure 1) is visual expression of lines by Jacqueline Suowari depicted in ballpoint pen, ink, acrylic and gold leaf on archival paper (152 x 244 cm). The artwork was produced in the year 2020. However, the place of production was not mentioned. This is an image representation of a young lady, depicted from the trunk up, against a light azure backdrop. She put her hands under her jaws and looking straight at the viewer. She wears a pinafore on her partly exposed body and jewelry on her ear on the viewer’s left and wearing a ring on her finger resting on her cheek on the viewer’s right. She exhibits short black afro hairstyle while her left hand finds comfort on an object before her. </w:t>
      </w:r>
    </w:p>
    <w:p w14:paraId="5874F89F" w14:textId="31A457B4" w:rsidR="00A84E96" w:rsidRPr="00BE4AF3" w:rsidRDefault="00A84E96" w:rsidP="000067A5">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elements of the work gave strength to this drawing composition. One of these elements is line which is has the ability to communicate in variety of ways. The organic and sensual use of line by the artist in this drawing is quite expressive with the use of contrast in thickness, length, and values. The characteristics of the sensual organic line in this work include the use of thick and thin, implied lines and light and dark values. The lines she used in this artwork is used to create shape of the subject, perspective and dominant directional line that produced a sense of continuance, value, density and texture  in the composition. Furthermore, implied line is used to create shape in this composition with two-dimensions which are height and width. The shapes portrayed in this work are geometric, realistic, and abstract stylizations. Also the creation of form in this drawing is achieved through the combination of point, shape and line. The use of color in this drawing is to generate emotion within the viewer and create interest in the composition. The creation of value in this drawing which is the relative lightness and darkness suggests the depth of the subject. </w:t>
      </w:r>
    </w:p>
    <w:p w14:paraId="1A72C4EE" w14:textId="77777777" w:rsidR="00A84E96" w:rsidRPr="00BE4AF3" w:rsidRDefault="00A84E96" w:rsidP="000067A5">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This contrast between black and white are seen by the observer in all the tones between the shaded areas in this illustration. Also, the visual texture in this work is smooth as a surface the viewer can see and imagine the sensation the viewer can have if the surface is touched which is a visual phenomenon. In the use of space, this is the area between and around the subject or negative space in this drawing, the artist leveraged on it to create the positive space where the subject is positioned. In this drawing, the artist created the feeling of depth which the viewer sees as space. </w:t>
      </w:r>
    </w:p>
    <w:p w14:paraId="3FF997C8"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7D0A95C8" w14:textId="08C56CBC"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lastRenderedPageBreak/>
        <w:t>The principles of the art are combined with the elements to produce this drawing. They are the guidelines which the artist used in the arrangement of the elements of the art. The artist made use of balance or the concept of visual equilibrium of similar, opposing or contrasting elements to create a unified whole in the composition. The artist appropriately organized the drawing to create the impression of equality in weight. The artist use of emphasis marks the location of the subject in this drawing which most strongly attracts the viewer’s attention.</w:t>
      </w:r>
    </w:p>
    <w:p w14:paraId="7FCDA290" w14:textId="18E921B2"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This is the focal point in this illustration. Out of the three stages of emphasis such as dominant (subject with the most visual weight), sub-dominant (The subject or element of secondary emphasis) and subordinate (The subject with the least visual weight) which is normally the backdrop; the artist portrayed only two of the stages of emphasis which is the subject with the most visual weight or ‘dominant emphasis’ and the subject with the least visual weight which is the ‘backdrop’ in the drawing. </w:t>
      </w:r>
    </w:p>
    <w:p w14:paraId="0EE272A4"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In the visual flow or movement within the drawing, Jacqueline directed the viewer’s eyes over the surface of the drawing along the edges, lines, shapes and colors to create unity the way the viewer’s eyes travels. The way she used the elements in this work, she is able to control and enforce the movement of the viewer’s eyes in and around the composition. In the use of proportion, she explored the comparative relationship in between two or more elements in the drawing between the whole subject and some of its parts. </w:t>
      </w:r>
    </w:p>
    <w:p w14:paraId="2054A8AA"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         </w:t>
      </w:r>
    </w:p>
    <w:p w14:paraId="6AD7463D"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                                           </w:t>
      </w:r>
      <w:r w:rsidRPr="00BE4AF3">
        <w:rPr>
          <w:rFonts w:ascii="Times New Roman" w:hAnsi="Times New Roman" w:cs="Times New Roman"/>
          <w:noProof/>
          <w:sz w:val="24"/>
          <w:szCs w:val="24"/>
          <w:lang w:eastAsia="en-GB"/>
        </w:rPr>
        <w:drawing>
          <wp:inline distT="0" distB="0" distL="0" distR="0" wp14:anchorId="24B6151A" wp14:editId="7854586A">
            <wp:extent cx="2612571" cy="2964923"/>
            <wp:effectExtent l="0" t="0" r="0" b="6985"/>
            <wp:docPr id="2" name="Picture 2" descr="C:\Users\Mr. Onyeagoro\OneDrive\Billeder\jacquiline suowari\Screenshot_20240901-233304_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 Onyeagoro\OneDrive\Billeder\jacquiline suowari\Screenshot_20240901-233304_Google.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6724" b="38043"/>
                    <a:stretch/>
                  </pic:blipFill>
                  <pic:spPr bwMode="auto">
                    <a:xfrm>
                      <a:off x="0" y="0"/>
                      <a:ext cx="2618944" cy="2972156"/>
                    </a:xfrm>
                    <a:prstGeom prst="rect">
                      <a:avLst/>
                    </a:prstGeom>
                    <a:noFill/>
                    <a:ln>
                      <a:noFill/>
                    </a:ln>
                    <a:extLst>
                      <a:ext uri="{53640926-AAD7-44D8-BBD7-CCE9431645EC}">
                        <a14:shadowObscured xmlns:a14="http://schemas.microsoft.com/office/drawing/2010/main"/>
                      </a:ext>
                    </a:extLst>
                  </pic:spPr>
                </pic:pic>
              </a:graphicData>
            </a:graphic>
          </wp:inline>
        </w:drawing>
      </w:r>
    </w:p>
    <w:p w14:paraId="5FAE931C" w14:textId="38331B7F" w:rsidR="00A84E96" w:rsidRPr="00BE4AF3" w:rsidRDefault="00A84E96" w:rsidP="000067A5">
      <w:pPr>
        <w:tabs>
          <w:tab w:val="left" w:pos="0"/>
          <w:tab w:val="left" w:pos="720"/>
          <w:tab w:val="left" w:pos="900"/>
          <w:tab w:val="left" w:pos="1350"/>
        </w:tabs>
        <w:spacing w:after="0" w:line="240" w:lineRule="auto"/>
        <w:jc w:val="center"/>
        <w:rPr>
          <w:rFonts w:ascii="Times New Roman" w:hAnsi="Times New Roman" w:cs="Times New Roman"/>
          <w:sz w:val="24"/>
          <w:szCs w:val="24"/>
        </w:rPr>
      </w:pPr>
      <w:r w:rsidRPr="00BE4AF3">
        <w:rPr>
          <w:rFonts w:ascii="Times New Roman" w:hAnsi="Times New Roman" w:cs="Times New Roman"/>
          <w:b/>
          <w:sz w:val="24"/>
          <w:szCs w:val="24"/>
        </w:rPr>
        <w:t>Figure 1</w:t>
      </w:r>
      <w:r w:rsidRPr="00BE4AF3">
        <w:rPr>
          <w:rFonts w:ascii="Times New Roman" w:hAnsi="Times New Roman" w:cs="Times New Roman"/>
          <w:i/>
          <w:sz w:val="24"/>
          <w:szCs w:val="24"/>
        </w:rPr>
        <w:t xml:space="preserve">: </w:t>
      </w:r>
      <w:r w:rsidRPr="00BE4AF3">
        <w:rPr>
          <w:rFonts w:ascii="Times New Roman" w:hAnsi="Times New Roman" w:cs="Times New Roman"/>
          <w:sz w:val="24"/>
          <w:szCs w:val="24"/>
        </w:rPr>
        <w:t xml:space="preserve">Title: Silence Will Uncover You; Artist: Jacqueline Suowari: Size:152 x 244 </w:t>
      </w:r>
      <w:r w:rsidR="000067A5" w:rsidRPr="00BE4AF3">
        <w:rPr>
          <w:rFonts w:ascii="Times New Roman" w:hAnsi="Times New Roman" w:cs="Times New Roman"/>
          <w:sz w:val="24"/>
          <w:szCs w:val="24"/>
        </w:rPr>
        <w:t>cm:</w:t>
      </w:r>
      <w:r w:rsidRPr="00BE4AF3">
        <w:rPr>
          <w:rFonts w:ascii="Times New Roman" w:hAnsi="Times New Roman" w:cs="Times New Roman"/>
          <w:sz w:val="24"/>
          <w:szCs w:val="24"/>
        </w:rPr>
        <w:t xml:space="preserve"> Year:2020 ;</w:t>
      </w:r>
    </w:p>
    <w:p w14:paraId="474E8A3D"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                                         Medium: Ballpoint Pen, Ink, Acrylic and Gold Leaf on Paper</w:t>
      </w:r>
    </w:p>
    <w:p w14:paraId="2B1A23AC"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24D74B56" w14:textId="77777777" w:rsidR="00A84E96" w:rsidRPr="00BE4AF3" w:rsidRDefault="00A84E96" w:rsidP="000067A5">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major purpose of the artist use of the principles of proportion in this work is to create a sense of order between the elements used and to have a visual construction. This she achieved harmoniously as elements in the subject are in proportion and there is no disproportion that is enforced in the entire composition. The artist also explored the Gestalt theory of visual perception and psychology which is unity as the work manifest sense of completeness having all the parts of the drawing belonging together. The artist used this principle of unity to describe the relationship between the individual elements and the whole of the composition. Jacqueline Suowari explored </w:t>
      </w:r>
      <w:r w:rsidRPr="00BE4AF3">
        <w:rPr>
          <w:rFonts w:ascii="Times New Roman" w:hAnsi="Times New Roman" w:cs="Times New Roman"/>
          <w:sz w:val="24"/>
          <w:szCs w:val="24"/>
        </w:rPr>
        <w:lastRenderedPageBreak/>
        <w:t xml:space="preserve">three of the Gestalt concept of unity in this drawing which is: ‘the Closure’ that is the notion that the brain tends to fill in missing information when it sees an object is missing some of its pieces. The second concept is: ‘Continuance’ which is the concept that once the observer begin looking in one direction, he will continue to do so until something more important grabs the observer’s attention. The third is: ‘Similarity, Proximity and Alignment’ which is the idea that elements of smaller size, shape and color tend to be grouped together by the brain. </w:t>
      </w:r>
    </w:p>
    <w:p w14:paraId="7271F183" w14:textId="77777777" w:rsidR="00A84E96" w:rsidRDefault="00A84E96" w:rsidP="000067A5">
      <w:pPr>
        <w:tabs>
          <w:tab w:val="left" w:pos="0"/>
          <w:tab w:val="left" w:pos="720"/>
          <w:tab w:val="left" w:pos="900"/>
          <w:tab w:val="left" w:pos="1350"/>
        </w:tabs>
        <w:spacing w:after="0" w:line="240" w:lineRule="auto"/>
        <w:jc w:val="both"/>
        <w:rPr>
          <w:rFonts w:ascii="Times New Roman" w:hAnsi="Times New Roman" w:cs="Times New Roman"/>
          <w:b/>
          <w:sz w:val="24"/>
          <w:szCs w:val="24"/>
        </w:rPr>
      </w:pPr>
      <w:r w:rsidRPr="00BE4AF3">
        <w:rPr>
          <w:rFonts w:ascii="Times New Roman" w:hAnsi="Times New Roman" w:cs="Times New Roman"/>
          <w:sz w:val="24"/>
          <w:szCs w:val="24"/>
        </w:rPr>
        <w:t>The subject in the composition is seen pondering and in deep thought in memory of Francisco de Goya y Lucientes’s drawing of ‘Seated Giant’ which is a giant dominating a desolate landscape captured in a moment of transition as he turns his head, aroused from deep thought, slumber or despondency. Goya explored the aquatint to achieve subtle effect of light and dark which is the technique for depicting a crepuscular atmosphere and conveying the sense of unease that pervades the composition. In addition, the researcher believes that this drawing by Suowari is intended to give a sense of subliminal human expression and human identity. This is indicated by the line of the composition, which draws the eyes of the observer within and around the composition. it is also suggested by the warm light coming from the observer’s left. Furthermore, the artwork is been judged on how well organized it is, how well done it is technically, and how successful it shows the deliberate mood. Besides, the researcher believe this drawing is successful because the use of shape, contrast, line and gesture all work together harmoniously to portray the mood of the subject</w:t>
      </w:r>
      <w:r w:rsidRPr="00BE4AF3">
        <w:rPr>
          <w:rFonts w:ascii="Times New Roman" w:hAnsi="Times New Roman" w:cs="Times New Roman"/>
          <w:b/>
          <w:sz w:val="24"/>
          <w:szCs w:val="24"/>
        </w:rPr>
        <w:t>s.</w:t>
      </w:r>
    </w:p>
    <w:p w14:paraId="47887945" w14:textId="77777777" w:rsidR="000067A5" w:rsidRPr="00BE4AF3" w:rsidRDefault="000067A5" w:rsidP="000067A5">
      <w:pPr>
        <w:tabs>
          <w:tab w:val="left" w:pos="0"/>
          <w:tab w:val="left" w:pos="720"/>
          <w:tab w:val="left" w:pos="900"/>
          <w:tab w:val="left" w:pos="1350"/>
        </w:tabs>
        <w:spacing w:after="0" w:line="240" w:lineRule="auto"/>
        <w:jc w:val="both"/>
        <w:rPr>
          <w:rFonts w:ascii="Times New Roman" w:hAnsi="Times New Roman" w:cs="Times New Roman"/>
          <w:i/>
          <w:sz w:val="24"/>
          <w:szCs w:val="24"/>
        </w:rPr>
      </w:pPr>
    </w:p>
    <w:p w14:paraId="184B358A" w14:textId="77777777" w:rsidR="00A84E96" w:rsidRPr="00BE4AF3" w:rsidRDefault="00A84E96" w:rsidP="00A84E96">
      <w:pPr>
        <w:tabs>
          <w:tab w:val="left" w:pos="0"/>
          <w:tab w:val="left" w:pos="720"/>
          <w:tab w:val="left" w:pos="900"/>
          <w:tab w:val="left" w:pos="1350"/>
        </w:tabs>
        <w:spacing w:after="0" w:line="480" w:lineRule="auto"/>
        <w:jc w:val="both"/>
        <w:rPr>
          <w:rFonts w:ascii="Times New Roman" w:hAnsi="Times New Roman" w:cs="Times New Roman"/>
          <w:b/>
          <w:sz w:val="24"/>
          <w:szCs w:val="24"/>
        </w:rPr>
      </w:pPr>
      <w:r w:rsidRPr="00BE4AF3">
        <w:rPr>
          <w:rFonts w:ascii="Times New Roman" w:hAnsi="Times New Roman" w:cs="Times New Roman"/>
          <w:b/>
          <w:sz w:val="24"/>
          <w:szCs w:val="24"/>
        </w:rPr>
        <w:t>Biographical Sketch of Victor Ekpuk</w:t>
      </w:r>
    </w:p>
    <w:p w14:paraId="1851A7DB"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Victor Ekpuk</w:t>
      </w:r>
    </w:p>
    <w:p w14:paraId="389F59B5" w14:textId="44F509DD" w:rsidR="00A84E96" w:rsidRPr="00BE4AF3" w:rsidRDefault="00A84E96" w:rsidP="000067A5">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Victor Ekpuk is a Nigerian artist in diaspora that became popular in his style of drawing that show indigenous African philosophies of the nsibidi and uli art forms from the southeastern Nigeria. Born in 1964, his work frequently explores the human condition of identity in the society. His drawings picks upon a variety of meaning which is deep rooted in African and global contemporary art discourses. He first explored the aesthetic philosophies of nsibidi from Obafemi Awolowo University, Ife, Nigeria where he got his first degree. Its economy of lines and encoded meanings encouraged him to further explore drawing as writing, which led to his own invention of Glyps or visual representation of a character, letter or symbol. </w:t>
      </w:r>
    </w:p>
    <w:p w14:paraId="544136D7" w14:textId="77777777" w:rsidR="00A84E96" w:rsidRPr="00BE4AF3" w:rsidRDefault="00A84E96" w:rsidP="000067A5">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His unique style consisted of political cartooning and his own unique nsibidi inspired illustration (Sytsma, Janine 2021). As an artist working at the government-owned </w:t>
      </w:r>
      <w:r w:rsidRPr="00BE4AF3">
        <w:rPr>
          <w:rFonts w:ascii="Times New Roman" w:hAnsi="Times New Roman" w:cs="Times New Roman"/>
          <w:i/>
          <w:sz w:val="24"/>
          <w:szCs w:val="24"/>
        </w:rPr>
        <w:t xml:space="preserve">Daily Times </w:t>
      </w:r>
      <w:r w:rsidRPr="00BE4AF3">
        <w:rPr>
          <w:rFonts w:ascii="Times New Roman" w:hAnsi="Times New Roman" w:cs="Times New Roman"/>
          <w:sz w:val="24"/>
          <w:szCs w:val="24"/>
        </w:rPr>
        <w:t>of Nigeria Limited (DTN) in the period between 1990 to 1998, the artist traversed a delicate political terrain of the second military government in Nigeria where press freedoms was clamped down by Babangida and his military junta Sani Abacha for eight years as they engaged in an aggressive systematic attack on the media. Victor Ekpuk took a calculated risks as a staff within the highly regulated space of DTN, in many illustrations and drawings he produced, he brought into play cutting visual satire, metaphor and irony to criticize the corrupt politicians and apparatus of the second military government..</w:t>
      </w:r>
    </w:p>
    <w:p w14:paraId="64E1B7E3"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In the formal analysis is the exhibition of abstract linear composition using stylized </w:t>
      </w:r>
      <w:r w:rsidRPr="00BE4AF3">
        <w:rPr>
          <w:rFonts w:ascii="Times New Roman" w:hAnsi="Times New Roman" w:cs="Times New Roman"/>
          <w:i/>
          <w:sz w:val="24"/>
          <w:szCs w:val="24"/>
        </w:rPr>
        <w:t xml:space="preserve">Nsibidi </w:t>
      </w:r>
      <w:r w:rsidRPr="00BE4AF3">
        <w:rPr>
          <w:rFonts w:ascii="Times New Roman" w:hAnsi="Times New Roman" w:cs="Times New Roman"/>
          <w:sz w:val="24"/>
          <w:szCs w:val="24"/>
        </w:rPr>
        <w:t xml:space="preserve">script and </w:t>
      </w:r>
      <w:r w:rsidRPr="00BE4AF3">
        <w:rPr>
          <w:rFonts w:ascii="Times New Roman" w:hAnsi="Times New Roman" w:cs="Times New Roman"/>
          <w:i/>
          <w:sz w:val="24"/>
          <w:szCs w:val="24"/>
        </w:rPr>
        <w:t>Uli</w:t>
      </w:r>
      <w:r w:rsidRPr="00BE4AF3">
        <w:rPr>
          <w:rFonts w:ascii="Times New Roman" w:hAnsi="Times New Roman" w:cs="Times New Roman"/>
          <w:sz w:val="24"/>
          <w:szCs w:val="24"/>
        </w:rPr>
        <w:t xml:space="preserve"> motifs to evoke a strong visual presence, while in contextual analysis, he explores memory, identity, and diaspora consciousness. His work aligns with Oguibe’s (2004) concept of the “culture game,’ where African artists navigate identity through symbolic reinvention.</w:t>
      </w:r>
    </w:p>
    <w:p w14:paraId="42585AE1"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127DD0B4"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b/>
          <w:sz w:val="24"/>
          <w:szCs w:val="24"/>
        </w:rPr>
      </w:pPr>
    </w:p>
    <w:p w14:paraId="52A3344B" w14:textId="078849A4"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lastRenderedPageBreak/>
        <w:t>Victor Ekpuk’s work:</w:t>
      </w:r>
    </w:p>
    <w:p w14:paraId="30387E62" w14:textId="7FBC3EBC"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i/>
          <w:sz w:val="24"/>
          <w:szCs w:val="24"/>
        </w:rPr>
        <w:t>Drawing Memories</w:t>
      </w:r>
      <w:r w:rsidRPr="00BE4AF3">
        <w:rPr>
          <w:rFonts w:ascii="Times New Roman" w:hAnsi="Times New Roman" w:cs="Times New Roman"/>
          <w:sz w:val="24"/>
          <w:szCs w:val="24"/>
        </w:rPr>
        <w:t xml:space="preserve"> (Figure 2) is a linear passion of pictograms and symbols by Epkuk depicted in chalk on wall in the year 2015. However, the size and place of production was not stated. This is a large-scale drawing of ancestral past, against a dark background. The work is depicted in ancient Nigeria’s sacred </w:t>
      </w:r>
      <w:r w:rsidRPr="00BE4AF3">
        <w:rPr>
          <w:rFonts w:ascii="Times New Roman" w:hAnsi="Times New Roman" w:cs="Times New Roman"/>
          <w:i/>
          <w:sz w:val="24"/>
          <w:szCs w:val="24"/>
        </w:rPr>
        <w:t>nsibidi</w:t>
      </w:r>
      <w:r w:rsidRPr="00BE4AF3">
        <w:rPr>
          <w:rFonts w:ascii="Times New Roman" w:hAnsi="Times New Roman" w:cs="Times New Roman"/>
          <w:sz w:val="24"/>
          <w:szCs w:val="24"/>
        </w:rPr>
        <w:t xml:space="preserve"> script, using graphics and gestures. On the spectator’s left is an object used to articulate the artist’s ideas, the object displays one eye on the left side of the composition and the artist’s expressive, abstract script, which he employs to address historical narratives. </w:t>
      </w:r>
    </w:p>
    <w:p w14:paraId="02554421"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Victor Ekpuk draws inspiration for his abstract works from </w:t>
      </w:r>
      <w:r w:rsidRPr="00BE4AF3">
        <w:rPr>
          <w:rFonts w:ascii="Times New Roman" w:hAnsi="Times New Roman" w:cs="Times New Roman"/>
          <w:i/>
          <w:sz w:val="24"/>
          <w:szCs w:val="24"/>
        </w:rPr>
        <w:t>‘nsibidi’</w:t>
      </w:r>
      <w:r w:rsidRPr="00BE4AF3">
        <w:rPr>
          <w:rFonts w:ascii="Times New Roman" w:hAnsi="Times New Roman" w:cs="Times New Roman"/>
          <w:sz w:val="24"/>
          <w:szCs w:val="24"/>
        </w:rPr>
        <w:t xml:space="preserve"> and </w:t>
      </w:r>
      <w:r w:rsidRPr="00BE4AF3">
        <w:rPr>
          <w:rFonts w:ascii="Times New Roman" w:hAnsi="Times New Roman" w:cs="Times New Roman"/>
          <w:i/>
          <w:sz w:val="24"/>
          <w:szCs w:val="24"/>
        </w:rPr>
        <w:t>uli</w:t>
      </w:r>
      <w:r w:rsidRPr="00BE4AF3">
        <w:rPr>
          <w:rFonts w:ascii="Times New Roman" w:hAnsi="Times New Roman" w:cs="Times New Roman"/>
          <w:sz w:val="24"/>
          <w:szCs w:val="24"/>
        </w:rPr>
        <w:t xml:space="preserve"> symbols and motifs which is local Nigerian communication system which conveys ideas through graphic signs and drawings. The artist explores the relationships, challenges and responses to changes that characterize the human condition. His works are unique because of his use of </w:t>
      </w:r>
      <w:r w:rsidRPr="00BE4AF3">
        <w:rPr>
          <w:rFonts w:ascii="Times New Roman" w:hAnsi="Times New Roman" w:cs="Times New Roman"/>
          <w:i/>
          <w:sz w:val="24"/>
          <w:szCs w:val="24"/>
        </w:rPr>
        <w:t>nsibidi</w:t>
      </w:r>
      <w:r w:rsidRPr="00BE4AF3">
        <w:rPr>
          <w:rFonts w:ascii="Times New Roman" w:hAnsi="Times New Roman" w:cs="Times New Roman"/>
          <w:sz w:val="24"/>
          <w:szCs w:val="24"/>
        </w:rPr>
        <w:t>, an indigenous African system of writing that employs graphic signs and code to convey concepts.</w:t>
      </w:r>
    </w:p>
    <w:p w14:paraId="1C236741" w14:textId="1E129486"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He combines nsibidi signs with cotemporary symbols to tell visual stories through his drawings. his art form include manuscript and drawings, using the following media, chalk, pen, ink, paper, poster marker, graphite pencil and wall surface to elicit and represent emotion. The main inspiration of his style is reducing forms or ideas to their linear essence. His compositions evoke the idea of writing using script like style of drawing to tell a codified </w:t>
      </w:r>
      <w:r w:rsidR="000067A5" w:rsidRPr="00BE4AF3">
        <w:rPr>
          <w:rFonts w:ascii="Times New Roman" w:hAnsi="Times New Roman" w:cs="Times New Roman"/>
          <w:sz w:val="24"/>
          <w:szCs w:val="24"/>
        </w:rPr>
        <w:t>story Furthermore</w:t>
      </w:r>
      <w:r w:rsidRPr="00BE4AF3">
        <w:rPr>
          <w:rFonts w:ascii="Times New Roman" w:hAnsi="Times New Roman" w:cs="Times New Roman"/>
          <w:sz w:val="24"/>
          <w:szCs w:val="24"/>
        </w:rPr>
        <w:t>, he explored human milieu of identity and emotional expressions in his drawings. Nonetheless, his drawing explores ancient African writings and graphics systems, not necessarily for their literary meanings, but essentially for their visual aesthetics as abstract forms.</w:t>
      </w:r>
    </w:p>
    <w:p w14:paraId="153CE41D"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5C07D931" w14:textId="77777777" w:rsidR="00A84E96" w:rsidRPr="00BE4AF3" w:rsidRDefault="00A84E96" w:rsidP="00A84E96">
      <w:pPr>
        <w:tabs>
          <w:tab w:val="left" w:pos="0"/>
          <w:tab w:val="left" w:pos="720"/>
          <w:tab w:val="left" w:pos="900"/>
          <w:tab w:val="left" w:pos="1350"/>
          <w:tab w:val="left" w:pos="6963"/>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                                  </w:t>
      </w:r>
      <w:r w:rsidRPr="00BE4AF3">
        <w:rPr>
          <w:rFonts w:ascii="Times New Roman" w:hAnsi="Times New Roman" w:cs="Times New Roman"/>
          <w:noProof/>
          <w:sz w:val="24"/>
          <w:szCs w:val="24"/>
          <w:lang w:eastAsia="en-GB"/>
        </w:rPr>
        <w:drawing>
          <wp:inline distT="0" distB="0" distL="0" distR="0" wp14:anchorId="56D0CFC5" wp14:editId="23BF9CBF">
            <wp:extent cx="3114989" cy="3061449"/>
            <wp:effectExtent l="0" t="0" r="9525" b="5715"/>
            <wp:docPr id="3" name="Picture 3" descr="C:\Users\Mr. Onyeagoro\AppData\Local\Microsoft\Windows\INetCache\Content.Word\20230827_165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r. Onyeagoro\AppData\Local\Microsoft\Windows\INetCache\Content.Word\20230827_16512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62255" cy="3107902"/>
                    </a:xfrm>
                    <a:prstGeom prst="rect">
                      <a:avLst/>
                    </a:prstGeom>
                    <a:noFill/>
                    <a:ln>
                      <a:noFill/>
                    </a:ln>
                  </pic:spPr>
                </pic:pic>
              </a:graphicData>
            </a:graphic>
          </wp:inline>
        </w:drawing>
      </w:r>
      <w:r w:rsidRPr="00BE4AF3">
        <w:rPr>
          <w:rFonts w:ascii="Times New Roman" w:hAnsi="Times New Roman" w:cs="Times New Roman"/>
          <w:sz w:val="24"/>
          <w:szCs w:val="24"/>
        </w:rPr>
        <w:tab/>
      </w:r>
    </w:p>
    <w:p w14:paraId="34241088" w14:textId="21070B15" w:rsidR="00A84E96" w:rsidRPr="00BE4AF3" w:rsidRDefault="00D51CEF" w:rsidP="000067A5">
      <w:pPr>
        <w:tabs>
          <w:tab w:val="left" w:pos="0"/>
          <w:tab w:val="left" w:pos="720"/>
          <w:tab w:val="left" w:pos="900"/>
          <w:tab w:val="left" w:pos="1350"/>
        </w:tabs>
        <w:spacing w:after="0" w:line="240" w:lineRule="auto"/>
        <w:jc w:val="center"/>
        <w:rPr>
          <w:rFonts w:ascii="Times New Roman" w:hAnsi="Times New Roman" w:cs="Times New Roman"/>
          <w:i/>
          <w:sz w:val="24"/>
          <w:szCs w:val="24"/>
        </w:rPr>
      </w:pPr>
      <w:r w:rsidRPr="00BE4AF3">
        <w:rPr>
          <w:rFonts w:ascii="Times New Roman" w:hAnsi="Times New Roman" w:cs="Times New Roman"/>
          <w:b/>
          <w:sz w:val="24"/>
          <w:szCs w:val="24"/>
        </w:rPr>
        <w:t>Figure 2</w:t>
      </w:r>
      <w:r>
        <w:rPr>
          <w:rFonts w:ascii="Times New Roman" w:hAnsi="Times New Roman" w:cs="Times New Roman"/>
          <w:b/>
          <w:sz w:val="24"/>
          <w:szCs w:val="24"/>
        </w:rPr>
        <w:t>:</w:t>
      </w:r>
      <w:r w:rsidR="00A84E96" w:rsidRPr="00BE4AF3">
        <w:rPr>
          <w:rFonts w:ascii="Times New Roman" w:hAnsi="Times New Roman" w:cs="Times New Roman"/>
          <w:i/>
          <w:sz w:val="24"/>
          <w:szCs w:val="24"/>
        </w:rPr>
        <w:t xml:space="preserve"> </w:t>
      </w:r>
      <w:r w:rsidR="00A84E96" w:rsidRPr="00BE4AF3">
        <w:rPr>
          <w:rFonts w:ascii="Times New Roman" w:hAnsi="Times New Roman" w:cs="Times New Roman"/>
          <w:sz w:val="24"/>
          <w:szCs w:val="24"/>
        </w:rPr>
        <w:t>Title: Drawing Memories; Artist: Victor Ekpuk. Size: Not stated, Year 2015; Medium: Chalk on Wall</w:t>
      </w:r>
      <w:r w:rsidR="00A84E96" w:rsidRPr="00BE4AF3">
        <w:rPr>
          <w:rFonts w:ascii="Times New Roman" w:hAnsi="Times New Roman" w:cs="Times New Roman"/>
          <w:i/>
          <w:sz w:val="24"/>
          <w:szCs w:val="24"/>
        </w:rPr>
        <w:t>.</w:t>
      </w:r>
    </w:p>
    <w:p w14:paraId="669B022D"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i/>
          <w:sz w:val="24"/>
          <w:szCs w:val="24"/>
        </w:rPr>
      </w:pPr>
    </w:p>
    <w:p w14:paraId="63AF7135"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He employs some visual elements in production of these artworks. These include lines which are elemental strokes that he used to create forms, shapes and texture in the images. He applied thin lines, bold lines and contour lines which are precise, well-defined lines to create sharp contrast </w:t>
      </w:r>
    </w:p>
    <w:p w14:paraId="21D8C34C" w14:textId="5E5110A2" w:rsidR="00A84E96" w:rsidRPr="00BE4AF3" w:rsidRDefault="00A84E96" w:rsidP="000067A5">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Additionally, these lines are also used to show strength, emphasis and dominance in the drawing. These thin lines which are used to create fine details and are used to evoke a sense of softness and </w:t>
      </w:r>
      <w:r w:rsidRPr="00BE4AF3">
        <w:rPr>
          <w:rFonts w:ascii="Times New Roman" w:hAnsi="Times New Roman" w:cs="Times New Roman"/>
          <w:sz w:val="24"/>
          <w:szCs w:val="24"/>
        </w:rPr>
        <w:lastRenderedPageBreak/>
        <w:t xml:space="preserve">creation of strong visual presence. He also used straight lines that have consistent direction and not bend. They move from one point to the other, creating boundaries and defining spaces. Based on their orientation in these images, they are suggest calmness (horizontal), strength (vertical) and movement (diagonal). The artist employed it to create stability, structure and clarity in the works. More importantly, he used it to create a sense of dynamic movement and energy, which leads the viewer’s eyes to a particular direction. He applied wavy lines which are calming and organic to suggest gentle, fluid movement in the composition. </w:t>
      </w:r>
    </w:p>
    <w:p w14:paraId="22A402A7" w14:textId="7A8F1622" w:rsidR="00A84E96" w:rsidRPr="00BE4AF3" w:rsidRDefault="00A84E96" w:rsidP="000067A5">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More so, a spiral line which represents expansion and progression is used to draw the attention of the spectator inward or outward and suggesting the process of change in the composition. Zigzag lines which are characterized by sharp angles and abrupt changes in direction convey both positive energy (excitement) and negative energy or anxiety in the illustration due to the orientation it has in the pictures. Furthermore, there is the application of hatching and cross hatching-lines that intersect, creating a mesh-like pattern to convey a sense of dimension and form. He also applied intuitive and scribble lines that he made through instinct and feeling rather than strict planning. Additionally, the scribble lines he used are made by loose, rapid and repetitive movements of the hands, which result in scribble appearance. Its usage creates a sense of untamed energy and disorder. These lines in this drawing are drawn spontaneously expresses the artist feelings, creating vibrant and dynamic composition there is the inclusion of dotted lines made of series of dots that are evenly or irregularly spaced. This line in this drawing indicates a path, a boundary, or a non-continuous connection and suggests a sense of lightness.</w:t>
      </w:r>
    </w:p>
    <w:p w14:paraId="5937CEE1" w14:textId="1610A3C5" w:rsidR="00A84E96" w:rsidRPr="00BE4AF3" w:rsidRDefault="00A84E96" w:rsidP="000067A5">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Victor also used broken lines which are made up of dashes or short segments that are spaced apart to suggest something that is interrupted and not fully connected, in this abstract drawing it create a sense of movement and tension, which represent fragmentation and disconnection. In this drawing it evokes feelings of chaos and emotional struggles, making the viewer reflect on the nature of the composition. </w:t>
      </w:r>
    </w:p>
    <w:p w14:paraId="559194E9" w14:textId="64D9E41A" w:rsidR="00A84E96" w:rsidRPr="00BE4AF3" w:rsidRDefault="00A84E96" w:rsidP="000067A5">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He applied the principles of balance in all the images under review which is the harmonious arrangements of components, ensuring that no single element overpowers another in terms of visual weight or dominance. He applied symmetrical balance in all the images because of the arrangements of the elements on either side of the centre of the pictures in an equally weighted manner. He did this to achieve balance of the visual weights while keeping a sense of clarity, consistency, order and unity in the works.</w:t>
      </w:r>
    </w:p>
    <w:p w14:paraId="4D0AA2EF" w14:textId="77777777" w:rsidR="00A84E96" w:rsidRPr="00BE4AF3" w:rsidRDefault="00A84E96" w:rsidP="000067A5">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Further, he also explored principles of emphasis in the artworks which is the strategy the artist aimed to draw the viewer’s attention to a specific design element. He achieved this in all the drawings by centrally placing the subjects in the drawing space. Nsibidi, which is a pictographic and abstract signs that define aspect of Igbo visual aesthetics, is executed on a drawing space. This space could be positive and negative. Most time, the use of space is crowded like ‘</w:t>
      </w:r>
      <w:r w:rsidRPr="00BE4AF3">
        <w:rPr>
          <w:rFonts w:ascii="Times New Roman" w:hAnsi="Times New Roman" w:cs="Times New Roman"/>
          <w:i/>
          <w:sz w:val="24"/>
          <w:szCs w:val="24"/>
        </w:rPr>
        <w:t>Drawing Memories</w:t>
      </w:r>
      <w:r w:rsidRPr="00BE4AF3">
        <w:rPr>
          <w:rFonts w:ascii="Times New Roman" w:hAnsi="Times New Roman" w:cs="Times New Roman"/>
          <w:sz w:val="24"/>
          <w:szCs w:val="24"/>
        </w:rPr>
        <w:t xml:space="preserve">’ (Plate 2) and exhibits positive space where the point of focus are positioned and the empty spaces around the focal point are negative space. However, all the subjects are the positive shapes while all the empty spaces around the focal points are the negative shapes. He also introduced texture in the illustrations which is the surface quality of artworks. Texture could be tactile, visual or implied. The artist used implied textures on these two-dimensional surfaces to make the drawings more realistic, immersive, and engaging. </w:t>
      </w:r>
    </w:p>
    <w:p w14:paraId="2C198111"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More so, to add sense of physicality to the drawings by creating an illusion of three-dimensional surfaces and shapes that can be seen. </w:t>
      </w:r>
    </w:p>
    <w:p w14:paraId="697945A3"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535D6B01"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b/>
          <w:sz w:val="24"/>
          <w:szCs w:val="24"/>
        </w:rPr>
      </w:pPr>
    </w:p>
    <w:p w14:paraId="6C715D99" w14:textId="66F80179"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lastRenderedPageBreak/>
        <w:t xml:space="preserve">Biographical Sketch of Lucky James      </w:t>
      </w:r>
    </w:p>
    <w:p w14:paraId="01A1A1C7" w14:textId="41DEDC5B"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Lucky James is a versatile practitioner in the realms of design, art and academia, with a keen focus on exploring creative methodologies and leveraging digital technology to tackle emerging challenges. Holding both a Master’s and Bachelor’s Degree in Industrial Design, specializing in graphics, multimedia design and product design from Ahmadu Bello University, Zaria, Nigeria. James also earned a Nigeria Certificate in Education (NCE) with a Double Major in Fine and Applied Arts from the Federal College of Education Yola, Adamawa State-Nigeria. In addition, he obtained an Advanced Diploma in Theology from the Lifestyle International Christian University, Italy, in 2015, and is currently pursuing a Doctoral degree. With nearly two decades of experience in both practice and teaching, James has showcased his work in numerous local and international exhibitions. </w:t>
      </w:r>
    </w:p>
    <w:p w14:paraId="06891570" w14:textId="1DB8647B"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He actively engages with communities, particularly focusing on empowering teenagers and young adults through technical and vocational skill development. James has a rich portfolio of commissioned projects and designs for governmental, corporate, and private entities. His current research endeavors revolve around digital storytelling, cultural sustainability and innovative product design solutions. James is dedicated to pushing the boundaries of creativity and technology to address contemporary issues and contribute to positive societal change. As a visionary artist committed to transforming culture and society through innovative creative and design solutions, his works serve as a catalyst for meaningful dialogue and transformation. He draws inspiration from the intricate tapestry of human experience, blending traditional artistic techniques with cutting-edge design principles and tools. His multidisciplinary approach allows him to explore the complexities of contemporary issues, offering fresh perspectives that challenge societal norms and provoke thought. He stands as a beacon of creativity, challenging the world to reimagine the world around us and to forge a brighter, more inclusive future through the power of art. </w:t>
      </w:r>
    </w:p>
    <w:p w14:paraId="5408248B"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In formal analysis, he combines elements and principles of the arts with digital enhancements to create a dynamic visual presence. While in the contextual analysis, he explores socio-political critique in Northern Nigeria, including themes of insecurity, displacement, and cultural resilience. His visual vocabulary reimagines realism through a digitally-inflected lens, aligning with trends noted by Nzewi (2013) in postcolonial African visual languages. </w:t>
      </w:r>
    </w:p>
    <w:p w14:paraId="576EC931"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5029331E"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Work of Lucky James:</w:t>
      </w:r>
    </w:p>
    <w:p w14:paraId="6CF616C7" w14:textId="45F378DB" w:rsidR="00A84E96" w:rsidRPr="000067A5"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i/>
          <w:sz w:val="24"/>
          <w:szCs w:val="24"/>
        </w:rPr>
        <w:t xml:space="preserve">Helping Hands </w:t>
      </w:r>
      <w:r w:rsidRPr="00BE4AF3">
        <w:rPr>
          <w:rFonts w:ascii="Times New Roman" w:hAnsi="Times New Roman" w:cs="Times New Roman"/>
          <w:sz w:val="24"/>
          <w:szCs w:val="24"/>
        </w:rPr>
        <w:t>(Figure 3) is a linear impression by Lucky James using digital illustration technology as part of the creative processes (52cm x 42cm). It is produced in Maiduguri in the year 2024.This is the digital illustration of two figures shown in full page, against a light backdrop. As one of the figures trudges and slogs along the way and looking towards the viewer’s right. With both hands, one under the victim’s knees and the other under the victim’s armpit, he carries an unconscious casualty whose head is tilted backward, arms dropping downward, hands in palm down position as the unconscious victim looks straight to the sky.</w:t>
      </w:r>
    </w:p>
    <w:p w14:paraId="37D4B346"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b/>
          <w:sz w:val="24"/>
          <w:szCs w:val="24"/>
        </w:rPr>
      </w:pPr>
      <w:r w:rsidRPr="00BE4AF3">
        <w:rPr>
          <w:rFonts w:ascii="Times New Roman" w:hAnsi="Times New Roman" w:cs="Times New Roman"/>
          <w:sz w:val="24"/>
          <w:szCs w:val="24"/>
        </w:rPr>
        <w:t xml:space="preserve">The components and the visual elements of the art used in producing this artwork gave structure to the composition. One of these elements is line which is the elemental strokes the artist applied to create forms and shapes in this drawing. He used hard lines to show emphasis, dominance and strength in the work. This linear impression is bold and impactful and used to draw attention to the key elements and also to captivate the observer’s attention because of the strong visual presence it created. He also used curve lines that form gentle and flowing curves, which mimic natural curves seen in nature. The artist used this curvilinear impression to convey the consciousness of </w:t>
      </w:r>
      <w:r w:rsidRPr="00BE4AF3">
        <w:rPr>
          <w:rFonts w:ascii="Times New Roman" w:hAnsi="Times New Roman" w:cs="Times New Roman"/>
          <w:sz w:val="24"/>
          <w:szCs w:val="24"/>
        </w:rPr>
        <w:lastRenderedPageBreak/>
        <w:t>movement, sensuality and comfort because of its fluidity. Another element of art he explored is space which is the distance around or the area between the subject and elements.</w:t>
      </w:r>
    </w:p>
    <w:p w14:paraId="75EE5C51"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5458921A"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                           </w:t>
      </w:r>
      <w:r w:rsidRPr="00BE4AF3">
        <w:rPr>
          <w:rFonts w:ascii="Times New Roman" w:hAnsi="Times New Roman" w:cs="Times New Roman"/>
          <w:i/>
          <w:noProof/>
          <w:sz w:val="24"/>
          <w:szCs w:val="24"/>
          <w:lang w:eastAsia="en-GB"/>
        </w:rPr>
        <w:drawing>
          <wp:inline distT="0" distB="0" distL="0" distR="0" wp14:anchorId="08ED1F9C" wp14:editId="0BE25D72">
            <wp:extent cx="3748035" cy="3171416"/>
            <wp:effectExtent l="0" t="0" r="5080" b="0"/>
            <wp:docPr id="4" name="Picture 4" descr="C:\Users\Mr. Onyeagoro\OneDrive\Billeder\jacquiline suowari\BONAH UNIMAID\Harrison Idahosa\frank egwali\Professor Nelson Edewor n\john oyedemi\oyedemi2\LUCKY JAMES UNIMAID\Screenshot_20241016-235232_WPS Of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r. Onyeagoro\OneDrive\Billeder\jacquiline suowari\BONAH UNIMAID\Harrison Idahosa\frank egwali\Professor Nelson Edewor n\john oyedemi\oyedemi2\LUCKY JAMES UNIMAID\Screenshot_20241016-235232_WPS Office.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4040" t="28021" r="4040" b="34127"/>
                    <a:stretch/>
                  </pic:blipFill>
                  <pic:spPr bwMode="auto">
                    <a:xfrm>
                      <a:off x="0" y="0"/>
                      <a:ext cx="3749020" cy="3172250"/>
                    </a:xfrm>
                    <a:prstGeom prst="rect">
                      <a:avLst/>
                    </a:prstGeom>
                    <a:noFill/>
                    <a:ln>
                      <a:noFill/>
                    </a:ln>
                    <a:extLst>
                      <a:ext uri="{53640926-AAD7-44D8-BBD7-CCE9431645EC}">
                        <a14:shadowObscured xmlns:a14="http://schemas.microsoft.com/office/drawing/2010/main"/>
                      </a:ext>
                    </a:extLst>
                  </pic:spPr>
                </pic:pic>
              </a:graphicData>
            </a:graphic>
          </wp:inline>
        </w:drawing>
      </w:r>
    </w:p>
    <w:p w14:paraId="64E9C0E4" w14:textId="77777777" w:rsidR="00A84E96" w:rsidRPr="00BE4AF3" w:rsidRDefault="00A84E96" w:rsidP="000067A5">
      <w:pPr>
        <w:tabs>
          <w:tab w:val="left" w:pos="0"/>
          <w:tab w:val="left" w:pos="720"/>
          <w:tab w:val="left" w:pos="900"/>
          <w:tab w:val="left" w:pos="1350"/>
        </w:tabs>
        <w:spacing w:after="0" w:line="240" w:lineRule="auto"/>
        <w:jc w:val="center"/>
        <w:rPr>
          <w:rFonts w:ascii="Times New Roman" w:hAnsi="Times New Roman" w:cs="Times New Roman"/>
          <w:sz w:val="24"/>
          <w:szCs w:val="24"/>
        </w:rPr>
      </w:pPr>
      <w:r w:rsidRPr="00BE4AF3">
        <w:rPr>
          <w:rFonts w:ascii="Times New Roman" w:hAnsi="Times New Roman" w:cs="Times New Roman"/>
          <w:b/>
          <w:sz w:val="24"/>
          <w:szCs w:val="24"/>
        </w:rPr>
        <w:t>Figure 3:</w:t>
      </w:r>
      <w:r w:rsidRPr="00BE4AF3">
        <w:rPr>
          <w:rFonts w:ascii="Times New Roman" w:hAnsi="Times New Roman" w:cs="Times New Roman"/>
          <w:i/>
          <w:sz w:val="24"/>
          <w:szCs w:val="24"/>
        </w:rPr>
        <w:t xml:space="preserve"> </w:t>
      </w:r>
      <w:r w:rsidRPr="00BE4AF3">
        <w:rPr>
          <w:rFonts w:ascii="Times New Roman" w:hAnsi="Times New Roman" w:cs="Times New Roman"/>
          <w:sz w:val="24"/>
          <w:szCs w:val="24"/>
        </w:rPr>
        <w:t>Title: Helping Hands: Artist: Lucky James: Size:52cm x 42cm:Year:2024; medium: Digital Illustration</w:t>
      </w:r>
    </w:p>
    <w:p w14:paraId="7699D5AC"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i/>
          <w:sz w:val="24"/>
          <w:szCs w:val="24"/>
        </w:rPr>
      </w:pPr>
    </w:p>
    <w:p w14:paraId="55C71B64" w14:textId="28704FEA"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This space is both negative and positive. He also made use of both negative and positive space to in this drawing. Positive space in this drawing is the area of interest in this composition which is the figure rendering helping hands, while the negative space is the space around the focal point in this work. He used space to emphasis the subjects and their position in the drawing space. </w:t>
      </w:r>
    </w:p>
    <w:p w14:paraId="13C40DF6" w14:textId="77B67C20"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He also explored shape one of the components of art. Just like space, it is both negative and positive. The positive shape in this composition is the shape of actual subject while the negative shape is the area between these subjects. He also investigated the principle of balance in this illustration which is the way visual aspects and elements are distributed in this artwork. The artist used symmetrical balance in this drawing which he achieved by giving equal weight to elements across the center-point of the drawing. This central axis is vertical and the result is repetitive or mirrored (referred to perfectly symmetrical) image that appears to be completely equaled in balance. He also used texture which is the surface quality of any object. It could be tactile or physical; it could also be visual or implied sense of texture. He used smooth visual texture in this artwork which is level, flat plane without irregularities.</w:t>
      </w:r>
    </w:p>
    <w:p w14:paraId="63583F47"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focal point of this drawing is the general composition with special emphasis on the curvilinear expression to convey energy, portray curves of the subjects with sensual quality and softening effect on the composition. The purpose of this artwork is hinged on the flooding disaster which displaced people, lives were lost and properties destroyed. Also, the Boko Haram crisis inspired the production of this drawing. The importance of giving helping hands to the society and the provision of quality support and care during these crisis enable people thrive positively in the society. Helping others, especially those in need, can bring joy, friendship, and happiness into our lives.</w:t>
      </w:r>
    </w:p>
    <w:p w14:paraId="4B806760"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6C97403A" w14:textId="2EC4D9B4"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mood of the work is hinged on its simplicity, clarity and comprehensibility of the mood of the composition in remembrance of Attabeira’s </w:t>
      </w:r>
      <w:r w:rsidRPr="00BE4AF3">
        <w:rPr>
          <w:rFonts w:ascii="Times New Roman" w:hAnsi="Times New Roman" w:cs="Times New Roman"/>
          <w:i/>
          <w:sz w:val="24"/>
          <w:szCs w:val="24"/>
        </w:rPr>
        <w:t>‘Single Line Drawing Technique’</w:t>
      </w:r>
      <w:r w:rsidRPr="00BE4AF3">
        <w:rPr>
          <w:rFonts w:ascii="Times New Roman" w:hAnsi="Times New Roman" w:cs="Times New Roman"/>
          <w:sz w:val="24"/>
          <w:szCs w:val="24"/>
        </w:rPr>
        <w:t xml:space="preserve"> which challenges the artist to distil their subject into its most basic form, focusing on the essential shapes and contours. The process of simplifying the image often brings out its core beauty, leaving space for interpretation and inviting viewers to engage their imagination.</w:t>
      </w:r>
    </w:p>
    <w:p w14:paraId="0187E104"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In addition, the researcher believes that this drawing is intended to give a sense of helping those in need. This is indicated by the line of the composition, which draws the observer’s eyes within the composition. Furthermore, the researcher is judging the artwork on how well organized it is, how well done it is technically, and how successful it shows the planned mood. Additionally, the researcher believe this work is successful because the use of shape, space, texture, balance and line all work together harmoniously to portray the mood of the subject.</w:t>
      </w:r>
    </w:p>
    <w:p w14:paraId="54D01850"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4E41A84E"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 xml:space="preserve">Findings  </w:t>
      </w:r>
    </w:p>
    <w:p w14:paraId="47E28536"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study revealed several important developments shaping contemporary Nigerian visual art. First, it discovered that artists are combining traditional media with digital technologies to produce categories of visual storytelling, which allows the artist to pass information on their cultural heritage and identity. In addition, many artists are using art to question political and social issues. Even so, subject matter such as displacement, cultural stability, and postcolonial bequest feature prominently in their various compositions. All the artists under review have worked assiduously to preserve their cultural heritage by employing Uli and Nsibidi motifs in evolving Nigerian art identity that is both local and global in its orientation.  </w:t>
      </w:r>
    </w:p>
    <w:p w14:paraId="581D5064"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b/>
          <w:sz w:val="24"/>
          <w:szCs w:val="24"/>
        </w:rPr>
      </w:pPr>
    </w:p>
    <w:p w14:paraId="77A1FC1E"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 xml:space="preserve">Conclusions </w:t>
      </w:r>
    </w:p>
    <w:p w14:paraId="1C520B67"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b/>
          <w:sz w:val="24"/>
          <w:szCs w:val="24"/>
        </w:rPr>
      </w:pPr>
      <w:r w:rsidRPr="00BE4AF3">
        <w:rPr>
          <w:rFonts w:ascii="Times New Roman" w:hAnsi="Times New Roman" w:cs="Times New Roman"/>
          <w:sz w:val="24"/>
          <w:szCs w:val="24"/>
        </w:rPr>
        <w:t>As supported by scholars such as Okeke-Agulu (2015) and Enwezor (2010), this hybridized and politically conscious art form reveals the dynamic nature of Nigerian identity and creativity in the 21</w:t>
      </w:r>
      <w:r w:rsidRPr="00BE4AF3">
        <w:rPr>
          <w:rFonts w:ascii="Times New Roman" w:hAnsi="Times New Roman" w:cs="Times New Roman"/>
          <w:sz w:val="24"/>
          <w:szCs w:val="24"/>
          <w:vertAlign w:val="superscript"/>
        </w:rPr>
        <w:t>st</w:t>
      </w:r>
      <w:r w:rsidRPr="00BE4AF3">
        <w:rPr>
          <w:rFonts w:ascii="Times New Roman" w:hAnsi="Times New Roman" w:cs="Times New Roman"/>
          <w:sz w:val="24"/>
          <w:szCs w:val="24"/>
        </w:rPr>
        <w:t xml:space="preserve"> century through the creative works of Lucky James, Victor Ekpuk, and Jacquiline Suowari visual art exploit. By engaging with local traditions and global techniques, these artists exemplify how visual art in Nigeria transcends regionalism and asserts itself in global discourse.</w:t>
      </w:r>
    </w:p>
    <w:p w14:paraId="128C35AE"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b/>
          <w:sz w:val="24"/>
          <w:szCs w:val="24"/>
        </w:rPr>
      </w:pPr>
    </w:p>
    <w:p w14:paraId="27F3FDB9"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Recommendations</w:t>
      </w:r>
    </w:p>
    <w:p w14:paraId="56596DCF" w14:textId="77777777" w:rsidR="00A84E96" w:rsidRPr="00BE4AF3" w:rsidRDefault="00A84E96" w:rsidP="00A84E96">
      <w:pPr>
        <w:pStyle w:val="ListParagraph"/>
        <w:numPr>
          <w:ilvl w:val="0"/>
          <w:numId w:val="6"/>
        </w:numPr>
        <w:tabs>
          <w:tab w:val="left" w:pos="0"/>
          <w:tab w:val="left" w:pos="720"/>
          <w:tab w:val="left" w:pos="900"/>
          <w:tab w:val="left" w:pos="1350"/>
        </w:tabs>
        <w:spacing w:after="0" w:line="240" w:lineRule="auto"/>
        <w:jc w:val="both"/>
        <w:rPr>
          <w:rFonts w:ascii="Times New Roman" w:hAnsi="Times New Roman"/>
          <w:sz w:val="24"/>
          <w:szCs w:val="24"/>
        </w:rPr>
      </w:pPr>
      <w:r w:rsidRPr="00BE4AF3">
        <w:rPr>
          <w:rFonts w:ascii="Times New Roman" w:hAnsi="Times New Roman"/>
          <w:sz w:val="24"/>
          <w:szCs w:val="24"/>
        </w:rPr>
        <w:t>The study suggests the intersection of contemporary art practices into the art education curricula in Nigeria institutions to sustain the evolving creative landscape. This can be achieved by the combination of mixed media, digital art, installation art and performing art, which are essential weapons in global art practices.</w:t>
      </w:r>
    </w:p>
    <w:p w14:paraId="3FD6829A" w14:textId="77777777" w:rsidR="00A84E96" w:rsidRPr="00BE4AF3" w:rsidRDefault="00A84E96" w:rsidP="00A84E96">
      <w:pPr>
        <w:pStyle w:val="ListParagraph"/>
        <w:numPr>
          <w:ilvl w:val="0"/>
          <w:numId w:val="6"/>
        </w:numPr>
        <w:tabs>
          <w:tab w:val="left" w:pos="0"/>
          <w:tab w:val="left" w:pos="720"/>
          <w:tab w:val="left" w:pos="900"/>
          <w:tab w:val="left" w:pos="1350"/>
        </w:tabs>
        <w:spacing w:after="0" w:line="240" w:lineRule="auto"/>
        <w:jc w:val="both"/>
        <w:rPr>
          <w:rFonts w:ascii="Times New Roman" w:hAnsi="Times New Roman"/>
          <w:sz w:val="24"/>
          <w:szCs w:val="24"/>
        </w:rPr>
      </w:pPr>
      <w:r w:rsidRPr="00BE4AF3">
        <w:rPr>
          <w:rFonts w:ascii="Times New Roman" w:hAnsi="Times New Roman"/>
          <w:sz w:val="24"/>
          <w:szCs w:val="24"/>
        </w:rPr>
        <w:t>Government, private organizations and cultural institutions should provide enough support to up and coming artists in the country, through the provision of grants, the young ones will be encouraged to take creative-risk and help Nigerian art to evolve.</w:t>
      </w:r>
    </w:p>
    <w:p w14:paraId="235D3712" w14:textId="77777777" w:rsidR="00A84E96" w:rsidRPr="00BE4AF3" w:rsidRDefault="00A84E96" w:rsidP="00A84E96">
      <w:pPr>
        <w:pStyle w:val="ListParagraph"/>
        <w:numPr>
          <w:ilvl w:val="0"/>
          <w:numId w:val="6"/>
        </w:numPr>
        <w:tabs>
          <w:tab w:val="left" w:pos="0"/>
          <w:tab w:val="left" w:pos="720"/>
          <w:tab w:val="left" w:pos="900"/>
          <w:tab w:val="left" w:pos="1350"/>
        </w:tabs>
        <w:spacing w:after="0" w:line="240" w:lineRule="auto"/>
        <w:jc w:val="both"/>
        <w:rPr>
          <w:rFonts w:ascii="Times New Roman" w:hAnsi="Times New Roman"/>
          <w:sz w:val="24"/>
          <w:szCs w:val="24"/>
        </w:rPr>
      </w:pPr>
      <w:r w:rsidRPr="00BE4AF3">
        <w:rPr>
          <w:rFonts w:ascii="Times New Roman" w:hAnsi="Times New Roman"/>
          <w:sz w:val="24"/>
          <w:szCs w:val="24"/>
        </w:rPr>
        <w:t>Contemporary visual arts practices should be documented and archived for Nigeria cultural development, preservation of narratives and research.</w:t>
      </w:r>
    </w:p>
    <w:p w14:paraId="4A16814F" w14:textId="77777777" w:rsidR="00A84E96" w:rsidRPr="00BE4AF3" w:rsidRDefault="00A84E96" w:rsidP="00A84E96">
      <w:pPr>
        <w:pStyle w:val="ListParagraph"/>
        <w:numPr>
          <w:ilvl w:val="0"/>
          <w:numId w:val="6"/>
        </w:numPr>
        <w:tabs>
          <w:tab w:val="left" w:pos="0"/>
          <w:tab w:val="left" w:pos="720"/>
          <w:tab w:val="left" w:pos="900"/>
          <w:tab w:val="left" w:pos="1350"/>
        </w:tabs>
        <w:spacing w:after="0" w:line="240" w:lineRule="auto"/>
        <w:jc w:val="both"/>
        <w:rPr>
          <w:rFonts w:ascii="Times New Roman" w:hAnsi="Times New Roman"/>
          <w:sz w:val="24"/>
          <w:szCs w:val="24"/>
        </w:rPr>
      </w:pPr>
      <w:r w:rsidRPr="00BE4AF3">
        <w:rPr>
          <w:rFonts w:ascii="Times New Roman" w:hAnsi="Times New Roman"/>
          <w:sz w:val="24"/>
          <w:szCs w:val="24"/>
        </w:rPr>
        <w:t>Traditional visual elements, indigenous contents and modern media and tools should be combined together in studio art practices to preserve cultural heritage.</w:t>
      </w:r>
    </w:p>
    <w:p w14:paraId="5C6B9062" w14:textId="77777777" w:rsidR="00A84E96" w:rsidRPr="00BE4AF3" w:rsidRDefault="00A84E96" w:rsidP="00A84E96">
      <w:pPr>
        <w:pStyle w:val="ListParagraph"/>
        <w:numPr>
          <w:ilvl w:val="0"/>
          <w:numId w:val="6"/>
        </w:numPr>
        <w:tabs>
          <w:tab w:val="left" w:pos="0"/>
          <w:tab w:val="left" w:pos="720"/>
          <w:tab w:val="left" w:pos="900"/>
          <w:tab w:val="left" w:pos="1350"/>
        </w:tabs>
        <w:spacing w:after="0" w:line="240" w:lineRule="auto"/>
        <w:jc w:val="both"/>
        <w:rPr>
          <w:rFonts w:ascii="Times New Roman" w:hAnsi="Times New Roman"/>
          <w:sz w:val="24"/>
          <w:szCs w:val="24"/>
        </w:rPr>
      </w:pPr>
      <w:r w:rsidRPr="00BE4AF3">
        <w:rPr>
          <w:rFonts w:ascii="Times New Roman" w:hAnsi="Times New Roman"/>
          <w:sz w:val="24"/>
          <w:szCs w:val="24"/>
        </w:rPr>
        <w:t xml:space="preserve">To foster world dialogue, international exchange programs and cross-cultural intersection should be encouraged to expand the creative space of Nigerian artists. </w:t>
      </w:r>
    </w:p>
    <w:p w14:paraId="258EF3E4" w14:textId="77777777" w:rsidR="00A84E96" w:rsidRPr="00BE4AF3" w:rsidRDefault="00A84E96" w:rsidP="00A84E96">
      <w:pPr>
        <w:pStyle w:val="ListParagraph"/>
        <w:numPr>
          <w:ilvl w:val="0"/>
          <w:numId w:val="6"/>
        </w:numPr>
        <w:tabs>
          <w:tab w:val="left" w:pos="0"/>
          <w:tab w:val="left" w:pos="720"/>
          <w:tab w:val="left" w:pos="900"/>
          <w:tab w:val="left" w:pos="1350"/>
        </w:tabs>
        <w:spacing w:after="0" w:line="240" w:lineRule="auto"/>
        <w:jc w:val="both"/>
        <w:rPr>
          <w:rFonts w:ascii="Times New Roman" w:hAnsi="Times New Roman"/>
          <w:sz w:val="24"/>
          <w:szCs w:val="24"/>
        </w:rPr>
      </w:pPr>
      <w:r w:rsidRPr="00BE4AF3">
        <w:rPr>
          <w:rFonts w:ascii="Times New Roman" w:hAnsi="Times New Roman"/>
          <w:sz w:val="24"/>
          <w:szCs w:val="24"/>
        </w:rPr>
        <w:lastRenderedPageBreak/>
        <w:t xml:space="preserve">Contemporary art must be recognized by cultural policy makers as important part of national cultural economy as this will give support to innovation which will protect intellectual property. </w:t>
      </w:r>
    </w:p>
    <w:p w14:paraId="782F4811" w14:textId="77777777" w:rsidR="00A84E96" w:rsidRPr="00BE4AF3" w:rsidRDefault="00A84E96" w:rsidP="00A84E96">
      <w:pPr>
        <w:pStyle w:val="ListParagraph"/>
        <w:tabs>
          <w:tab w:val="left" w:pos="0"/>
          <w:tab w:val="left" w:pos="720"/>
          <w:tab w:val="left" w:pos="900"/>
          <w:tab w:val="left" w:pos="1350"/>
        </w:tabs>
        <w:spacing w:after="0" w:line="240" w:lineRule="auto"/>
        <w:jc w:val="both"/>
        <w:rPr>
          <w:rFonts w:ascii="Times New Roman" w:hAnsi="Times New Roman"/>
          <w:b/>
          <w:sz w:val="24"/>
          <w:szCs w:val="24"/>
        </w:rPr>
      </w:pPr>
    </w:p>
    <w:p w14:paraId="48ECB700"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References</w:t>
      </w:r>
    </w:p>
    <w:p w14:paraId="65DF03F2" w14:textId="771236B9" w:rsidR="00A84E96" w:rsidRPr="00BE4AF3" w:rsidRDefault="00A84E96" w:rsidP="000067A5">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Enwezor, O. (2010).</w:t>
      </w:r>
      <w:r w:rsidRPr="00BE4AF3">
        <w:rPr>
          <w:rFonts w:ascii="Times New Roman" w:hAnsi="Times New Roman" w:cs="Times New Roman"/>
          <w:b/>
          <w:sz w:val="24"/>
          <w:szCs w:val="24"/>
        </w:rPr>
        <w:t xml:space="preserve"> </w:t>
      </w:r>
      <w:r w:rsidRPr="00BE4AF3">
        <w:rPr>
          <w:rFonts w:ascii="Times New Roman" w:hAnsi="Times New Roman" w:cs="Times New Roman"/>
          <w:i/>
          <w:sz w:val="24"/>
          <w:szCs w:val="24"/>
        </w:rPr>
        <w:t>Contemporary African Art Since</w:t>
      </w:r>
      <w:r w:rsidRPr="00BE4AF3">
        <w:rPr>
          <w:rFonts w:ascii="Times New Roman" w:hAnsi="Times New Roman" w:cs="Times New Roman"/>
          <w:b/>
          <w:sz w:val="24"/>
          <w:szCs w:val="24"/>
        </w:rPr>
        <w:t xml:space="preserve"> </w:t>
      </w:r>
      <w:r w:rsidRPr="00BE4AF3">
        <w:rPr>
          <w:rFonts w:ascii="Times New Roman" w:hAnsi="Times New Roman" w:cs="Times New Roman"/>
          <w:sz w:val="24"/>
          <w:szCs w:val="24"/>
        </w:rPr>
        <w:t>1980. Damiani.</w:t>
      </w:r>
    </w:p>
    <w:p w14:paraId="63210344" w14:textId="46471556" w:rsidR="00A84E96" w:rsidRPr="005E02BF" w:rsidRDefault="00A84E96" w:rsidP="005E02BF">
      <w:pPr>
        <w:tabs>
          <w:tab w:val="left" w:pos="0"/>
          <w:tab w:val="left" w:pos="720"/>
          <w:tab w:val="left" w:pos="900"/>
          <w:tab w:val="left" w:pos="1350"/>
        </w:tabs>
        <w:spacing w:after="0" w:line="240" w:lineRule="auto"/>
        <w:ind w:left="567" w:hanging="567"/>
        <w:jc w:val="both"/>
        <w:rPr>
          <w:rFonts w:ascii="Times New Roman" w:hAnsi="Times New Roman" w:cs="Times New Roman"/>
          <w:i/>
          <w:sz w:val="24"/>
          <w:szCs w:val="24"/>
        </w:rPr>
      </w:pPr>
      <w:r w:rsidRPr="00BE4AF3">
        <w:rPr>
          <w:rFonts w:ascii="Times New Roman" w:hAnsi="Times New Roman" w:cs="Times New Roman"/>
          <w:sz w:val="24"/>
          <w:szCs w:val="24"/>
        </w:rPr>
        <w:t>Okeke-Agulu, C. (2015).</w:t>
      </w:r>
      <w:r w:rsidRPr="00BE4AF3">
        <w:rPr>
          <w:rFonts w:ascii="Times New Roman" w:hAnsi="Times New Roman" w:cs="Times New Roman"/>
          <w:b/>
          <w:sz w:val="24"/>
          <w:szCs w:val="24"/>
        </w:rPr>
        <w:t xml:space="preserve"> </w:t>
      </w:r>
      <w:r w:rsidRPr="00BE4AF3">
        <w:rPr>
          <w:rFonts w:ascii="Times New Roman" w:hAnsi="Times New Roman" w:cs="Times New Roman"/>
          <w:i/>
          <w:sz w:val="24"/>
          <w:szCs w:val="24"/>
        </w:rPr>
        <w:t>Postcolonial Modernism: Art and Decolonization in Twentieth- Century Nigeria.</w:t>
      </w:r>
      <w:r w:rsidRPr="00BE4AF3">
        <w:rPr>
          <w:rFonts w:ascii="Times New Roman" w:hAnsi="Times New Roman" w:cs="Times New Roman"/>
          <w:b/>
          <w:sz w:val="24"/>
          <w:szCs w:val="24"/>
        </w:rPr>
        <w:t xml:space="preserve"> </w:t>
      </w:r>
      <w:r w:rsidRPr="00BE4AF3">
        <w:rPr>
          <w:rFonts w:ascii="Times New Roman" w:hAnsi="Times New Roman" w:cs="Times New Roman"/>
          <w:sz w:val="24"/>
          <w:szCs w:val="24"/>
        </w:rPr>
        <w:t>Duke University Press.</w:t>
      </w:r>
    </w:p>
    <w:p w14:paraId="62A5D232" w14:textId="0E1F5BC7" w:rsidR="00A84E96" w:rsidRPr="00BE4AF3" w:rsidRDefault="00A84E96" w:rsidP="005E02BF">
      <w:pPr>
        <w:tabs>
          <w:tab w:val="left" w:pos="426"/>
          <w:tab w:val="left" w:pos="720"/>
          <w:tab w:val="left" w:pos="900"/>
          <w:tab w:val="left" w:pos="1350"/>
        </w:tabs>
        <w:spacing w:after="0" w:line="240" w:lineRule="auto"/>
        <w:ind w:left="567" w:hanging="567"/>
        <w:jc w:val="both"/>
        <w:rPr>
          <w:rFonts w:ascii="Times New Roman" w:hAnsi="Times New Roman" w:cs="Times New Roman"/>
          <w:sz w:val="24"/>
          <w:szCs w:val="24"/>
        </w:rPr>
      </w:pPr>
      <w:r w:rsidRPr="00BE4AF3">
        <w:rPr>
          <w:rFonts w:ascii="Times New Roman" w:hAnsi="Times New Roman" w:cs="Times New Roman"/>
          <w:sz w:val="24"/>
          <w:szCs w:val="24"/>
        </w:rPr>
        <w:t>Ogbechie, S. O. (2008).</w:t>
      </w:r>
      <w:r w:rsidRPr="00BE4AF3">
        <w:rPr>
          <w:rFonts w:ascii="Times New Roman" w:hAnsi="Times New Roman" w:cs="Times New Roman"/>
          <w:b/>
          <w:sz w:val="24"/>
          <w:szCs w:val="24"/>
        </w:rPr>
        <w:t xml:space="preserve"> </w:t>
      </w:r>
      <w:r w:rsidRPr="00BE4AF3">
        <w:rPr>
          <w:rFonts w:ascii="Times New Roman" w:hAnsi="Times New Roman" w:cs="Times New Roman"/>
          <w:i/>
          <w:sz w:val="24"/>
          <w:szCs w:val="24"/>
        </w:rPr>
        <w:t>Ben Enwonwu: The Making of an African Modernist.</w:t>
      </w:r>
      <w:r w:rsidRPr="00BE4AF3">
        <w:rPr>
          <w:rFonts w:ascii="Times New Roman" w:hAnsi="Times New Roman" w:cs="Times New Roman"/>
          <w:b/>
          <w:sz w:val="24"/>
          <w:szCs w:val="24"/>
        </w:rPr>
        <w:t xml:space="preserve"> </w:t>
      </w:r>
      <w:r w:rsidRPr="00BE4AF3">
        <w:rPr>
          <w:rFonts w:ascii="Times New Roman" w:hAnsi="Times New Roman" w:cs="Times New Roman"/>
          <w:sz w:val="24"/>
          <w:szCs w:val="24"/>
        </w:rPr>
        <w:t>University of   Rochester Press.</w:t>
      </w:r>
    </w:p>
    <w:p w14:paraId="0E7DC047" w14:textId="77777777" w:rsidR="00A84E96" w:rsidRPr="00BE4AF3" w:rsidRDefault="00A84E96" w:rsidP="000067A5">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Hassan, S. (1999).</w:t>
      </w:r>
      <w:r w:rsidRPr="00BE4AF3">
        <w:rPr>
          <w:rFonts w:ascii="Times New Roman" w:hAnsi="Times New Roman" w:cs="Times New Roman"/>
          <w:b/>
          <w:sz w:val="24"/>
          <w:szCs w:val="24"/>
        </w:rPr>
        <w:t xml:space="preserve"> </w:t>
      </w:r>
      <w:r w:rsidRPr="00BE4AF3">
        <w:rPr>
          <w:rFonts w:ascii="Times New Roman" w:hAnsi="Times New Roman" w:cs="Times New Roman"/>
          <w:sz w:val="24"/>
          <w:szCs w:val="24"/>
        </w:rPr>
        <w:t xml:space="preserve">“The Contemporary in African Art.” </w:t>
      </w:r>
      <w:r w:rsidRPr="00BE4AF3">
        <w:rPr>
          <w:rFonts w:ascii="Times New Roman" w:hAnsi="Times New Roman" w:cs="Times New Roman"/>
          <w:i/>
          <w:sz w:val="24"/>
          <w:szCs w:val="24"/>
        </w:rPr>
        <w:t>Art Journal,</w:t>
      </w:r>
      <w:r w:rsidRPr="00BE4AF3">
        <w:rPr>
          <w:rFonts w:ascii="Times New Roman" w:hAnsi="Times New Roman" w:cs="Times New Roman"/>
          <w:sz w:val="24"/>
          <w:szCs w:val="24"/>
        </w:rPr>
        <w:t xml:space="preserve"> 58 (2), 28-33.</w:t>
      </w:r>
    </w:p>
    <w:p w14:paraId="09461DCB" w14:textId="77777777" w:rsidR="00A84E96" w:rsidRPr="00BE4AF3" w:rsidRDefault="00A84E96" w:rsidP="000067A5">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Oguibe, O. (2004). </w:t>
      </w:r>
      <w:r w:rsidRPr="00BE4AF3">
        <w:rPr>
          <w:rFonts w:ascii="Times New Roman" w:hAnsi="Times New Roman" w:cs="Times New Roman"/>
          <w:i/>
          <w:sz w:val="24"/>
          <w:szCs w:val="24"/>
        </w:rPr>
        <w:t>The Culture Game.</w:t>
      </w:r>
      <w:r w:rsidRPr="00BE4AF3">
        <w:rPr>
          <w:rFonts w:ascii="Times New Roman" w:hAnsi="Times New Roman" w:cs="Times New Roman"/>
          <w:sz w:val="24"/>
          <w:szCs w:val="24"/>
        </w:rPr>
        <w:t xml:space="preserve"> University of Minnesota Press</w:t>
      </w:r>
    </w:p>
    <w:p w14:paraId="61F1987C" w14:textId="77777777" w:rsidR="00A84E96" w:rsidRPr="00BE4AF3" w:rsidRDefault="00A84E96" w:rsidP="000067A5">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Nzewi, U. S. (2013). “Between Tradition and Modernity: The Art of Uche Okeke and the Zaria  </w:t>
      </w:r>
    </w:p>
    <w:p w14:paraId="4F87D996" w14:textId="010D4A49" w:rsidR="00A84E96" w:rsidRPr="00BE4AF3" w:rsidRDefault="00A84E96" w:rsidP="000067A5">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         Art Society.” </w:t>
      </w:r>
      <w:r w:rsidRPr="00BE4AF3">
        <w:rPr>
          <w:rFonts w:ascii="Times New Roman" w:hAnsi="Times New Roman" w:cs="Times New Roman"/>
          <w:i/>
          <w:sz w:val="24"/>
          <w:szCs w:val="24"/>
        </w:rPr>
        <w:t>Critical Interventions,</w:t>
      </w:r>
      <w:r w:rsidRPr="00BE4AF3">
        <w:rPr>
          <w:rFonts w:ascii="Times New Roman" w:hAnsi="Times New Roman" w:cs="Times New Roman"/>
          <w:sz w:val="24"/>
          <w:szCs w:val="24"/>
        </w:rPr>
        <w:t xml:space="preserve"> 7(1), 42-61.</w:t>
      </w:r>
    </w:p>
    <w:p w14:paraId="6D79AB6B" w14:textId="558A5730" w:rsidR="00A84E96" w:rsidRPr="00BE4AF3" w:rsidRDefault="00A84E96" w:rsidP="005E02BF">
      <w:pPr>
        <w:tabs>
          <w:tab w:val="left" w:pos="567"/>
          <w:tab w:val="left" w:pos="720"/>
          <w:tab w:val="left" w:pos="900"/>
          <w:tab w:val="left" w:pos="1350"/>
        </w:tabs>
        <w:spacing w:after="0" w:line="240" w:lineRule="auto"/>
        <w:ind w:left="567" w:hanging="567"/>
        <w:jc w:val="both"/>
        <w:rPr>
          <w:rFonts w:ascii="Times New Roman" w:hAnsi="Times New Roman" w:cs="Times New Roman"/>
          <w:sz w:val="24"/>
          <w:szCs w:val="24"/>
        </w:rPr>
      </w:pPr>
      <w:r w:rsidRPr="00BE4AF3">
        <w:rPr>
          <w:rFonts w:ascii="Times New Roman" w:hAnsi="Times New Roman" w:cs="Times New Roman"/>
          <w:sz w:val="24"/>
          <w:szCs w:val="24"/>
        </w:rPr>
        <w:t xml:space="preserve">Njami, S. (2021). </w:t>
      </w:r>
      <w:r w:rsidRPr="00BE4AF3">
        <w:rPr>
          <w:rFonts w:ascii="Times New Roman" w:hAnsi="Times New Roman" w:cs="Times New Roman"/>
          <w:i/>
          <w:sz w:val="24"/>
          <w:szCs w:val="24"/>
        </w:rPr>
        <w:t>Africa Remix: Contemporary Art of  Continent.</w:t>
      </w:r>
      <w:r w:rsidRPr="00BE4AF3">
        <w:rPr>
          <w:rFonts w:ascii="Times New Roman" w:hAnsi="Times New Roman" w:cs="Times New Roman"/>
          <w:sz w:val="24"/>
          <w:szCs w:val="24"/>
        </w:rPr>
        <w:t xml:space="preserve"> Hayward Publishing.</w:t>
      </w:r>
      <w:r w:rsidR="005E02BF">
        <w:rPr>
          <w:rFonts w:ascii="Times New Roman" w:hAnsi="Times New Roman" w:cs="Times New Roman"/>
          <w:sz w:val="24"/>
          <w:szCs w:val="24"/>
        </w:rPr>
        <w:t xml:space="preserve"> </w:t>
      </w:r>
      <w:r w:rsidRPr="00BE4AF3">
        <w:rPr>
          <w:rFonts w:ascii="Times New Roman" w:hAnsi="Times New Roman" w:cs="Times New Roman"/>
          <w:sz w:val="24"/>
          <w:szCs w:val="24"/>
        </w:rPr>
        <w:t>Exhibition catalogues and artist websites: Jacquiline Suowari Studio, Victor Ekpuk Studio,</w:t>
      </w:r>
      <w:r w:rsidR="005E02BF">
        <w:rPr>
          <w:rFonts w:ascii="Times New Roman" w:hAnsi="Times New Roman" w:cs="Times New Roman"/>
          <w:sz w:val="24"/>
          <w:szCs w:val="24"/>
        </w:rPr>
        <w:t xml:space="preserve"> </w:t>
      </w:r>
      <w:r w:rsidRPr="00BE4AF3">
        <w:rPr>
          <w:rFonts w:ascii="Times New Roman" w:hAnsi="Times New Roman" w:cs="Times New Roman"/>
          <w:sz w:val="24"/>
          <w:szCs w:val="24"/>
        </w:rPr>
        <w:t xml:space="preserve">Lucky James Digital Archive (accessed 2024).  </w:t>
      </w:r>
    </w:p>
    <w:p w14:paraId="6FB22560" w14:textId="77777777" w:rsidR="00A84E96"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6E6FFC90"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7FB28FD9"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04B8DBFB"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0AACB916"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3C4E3907"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1C8A35C8"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4C8DF9B6"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2227BB9B"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7C52A6E3"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72FFE7F3"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61211A0E"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43A22846"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144980C0"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5180212F"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193E8AEF"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25383388"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268135C7"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79520729"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4EC866DA"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238E825E"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103738E6"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4453CF6C"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39F17DD1"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1381B49F"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40D1EF56"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77C8126B" w14:textId="77777777" w:rsidR="000067A5"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749F82A5" w14:textId="77777777" w:rsidR="000067A5" w:rsidRPr="00BE4AF3" w:rsidRDefault="000067A5"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p>
    <w:p w14:paraId="2050B74F" w14:textId="77777777" w:rsidR="00A84E96" w:rsidRPr="00BE4AF3" w:rsidRDefault="00A84E96" w:rsidP="00A84E96">
      <w:pPr>
        <w:tabs>
          <w:tab w:val="left" w:pos="0"/>
          <w:tab w:val="left" w:pos="720"/>
          <w:tab w:val="left" w:pos="900"/>
          <w:tab w:val="left" w:pos="1350"/>
        </w:tabs>
        <w:spacing w:after="0" w:line="240" w:lineRule="auto"/>
        <w:jc w:val="both"/>
        <w:rPr>
          <w:rFonts w:ascii="Times New Roman" w:hAnsi="Times New Roman" w:cs="Times New Roman"/>
          <w:sz w:val="24"/>
          <w:szCs w:val="24"/>
        </w:rPr>
      </w:pPr>
      <w:r w:rsidRPr="00BE4AF3">
        <w:rPr>
          <w:rFonts w:ascii="Times New Roman" w:hAnsi="Times New Roman" w:cs="Times New Roman"/>
          <w:i/>
          <w:sz w:val="24"/>
          <w:szCs w:val="24"/>
        </w:rPr>
        <w:t xml:space="preserve">          </w:t>
      </w:r>
    </w:p>
    <w:p w14:paraId="539506AC" w14:textId="77777777" w:rsidR="00A95426" w:rsidRPr="00AD5605" w:rsidRDefault="00A95426" w:rsidP="00E90BB6">
      <w:pPr>
        <w:spacing w:after="0" w:line="240" w:lineRule="auto"/>
        <w:jc w:val="center"/>
        <w:rPr>
          <w:rFonts w:ascii="Times New Roman" w:hAnsi="Times New Roman" w:cs="Times New Roman"/>
          <w:b/>
          <w:sz w:val="28"/>
          <w:szCs w:val="28"/>
        </w:rPr>
      </w:pPr>
      <w:r w:rsidRPr="00AD5605">
        <w:rPr>
          <w:rFonts w:ascii="Times New Roman" w:hAnsi="Times New Roman" w:cs="Times New Roman"/>
          <w:b/>
          <w:sz w:val="28"/>
          <w:szCs w:val="28"/>
        </w:rPr>
        <w:lastRenderedPageBreak/>
        <w:t>Fostering Industry Clusters through Spatial Planning and Economic Incentives</w:t>
      </w:r>
    </w:p>
    <w:p w14:paraId="172DDE70" w14:textId="77777777" w:rsidR="00A95426" w:rsidRPr="00AD5605" w:rsidRDefault="00A95426" w:rsidP="00E90BB6">
      <w:pPr>
        <w:spacing w:after="0" w:line="240" w:lineRule="auto"/>
        <w:jc w:val="center"/>
        <w:rPr>
          <w:rFonts w:ascii="Times New Roman" w:hAnsi="Times New Roman" w:cs="Times New Roman"/>
          <w:b/>
          <w:sz w:val="28"/>
          <w:szCs w:val="28"/>
        </w:rPr>
      </w:pPr>
      <w:r w:rsidRPr="00AD5605">
        <w:rPr>
          <w:rFonts w:ascii="Times New Roman" w:hAnsi="Times New Roman" w:cs="Times New Roman"/>
          <w:b/>
          <w:sz w:val="28"/>
          <w:szCs w:val="28"/>
        </w:rPr>
        <w:t>in Sango-Ota, Ogun State</w:t>
      </w:r>
    </w:p>
    <w:p w14:paraId="55BB1C05" w14:textId="77777777" w:rsidR="005E515E" w:rsidRPr="00BE4AF3" w:rsidRDefault="005E515E" w:rsidP="00E90BB6">
      <w:pPr>
        <w:spacing w:after="0" w:line="240" w:lineRule="auto"/>
        <w:jc w:val="center"/>
        <w:rPr>
          <w:rFonts w:ascii="Times New Roman" w:hAnsi="Times New Roman" w:cs="Times New Roman"/>
          <w:b/>
          <w:sz w:val="24"/>
          <w:szCs w:val="24"/>
        </w:rPr>
      </w:pPr>
    </w:p>
    <w:p w14:paraId="062EC18A" w14:textId="05967C98" w:rsidR="00A95426" w:rsidRPr="00BE4AF3" w:rsidRDefault="00A95426" w:rsidP="00E90BB6">
      <w:pPr>
        <w:pStyle w:val="Heading2"/>
        <w:spacing w:before="0" w:line="240" w:lineRule="auto"/>
        <w:jc w:val="center"/>
        <w:rPr>
          <w:rFonts w:ascii="Times New Roman" w:hAnsi="Times New Roman" w:cs="Times New Roman"/>
          <w:b w:val="0"/>
          <w:color w:val="auto"/>
          <w:sz w:val="24"/>
          <w:szCs w:val="24"/>
        </w:rPr>
      </w:pPr>
      <w:r w:rsidRPr="00BE4AF3">
        <w:rPr>
          <w:rFonts w:ascii="Times New Roman" w:hAnsi="Times New Roman" w:cs="Times New Roman"/>
          <w:b w:val="0"/>
          <w:color w:val="auto"/>
          <w:sz w:val="24"/>
          <w:szCs w:val="24"/>
          <w:vertAlign w:val="superscript"/>
        </w:rPr>
        <w:t>1</w:t>
      </w:r>
      <w:r w:rsidRPr="00BE4AF3">
        <w:rPr>
          <w:rFonts w:ascii="Times New Roman" w:hAnsi="Times New Roman" w:cs="Times New Roman"/>
          <w:b w:val="0"/>
          <w:color w:val="auto"/>
          <w:sz w:val="24"/>
          <w:szCs w:val="24"/>
        </w:rPr>
        <w:t xml:space="preserve">Dairo, </w:t>
      </w:r>
      <w:r w:rsidR="00473646" w:rsidRPr="00BE4AF3">
        <w:rPr>
          <w:rFonts w:ascii="Times New Roman" w:hAnsi="Times New Roman" w:cs="Times New Roman"/>
          <w:b w:val="0"/>
          <w:color w:val="auto"/>
          <w:sz w:val="24"/>
          <w:szCs w:val="24"/>
        </w:rPr>
        <w:t>E.M,</w:t>
      </w:r>
      <w:r w:rsidRPr="00BE4AF3">
        <w:rPr>
          <w:rFonts w:ascii="Times New Roman" w:hAnsi="Times New Roman" w:cs="Times New Roman"/>
          <w:b w:val="0"/>
          <w:color w:val="auto"/>
          <w:sz w:val="24"/>
          <w:szCs w:val="24"/>
        </w:rPr>
        <w:t xml:space="preserve"> </w:t>
      </w:r>
      <w:r w:rsidRPr="00BE4AF3">
        <w:rPr>
          <w:rFonts w:ascii="Times New Roman" w:hAnsi="Times New Roman" w:cs="Times New Roman"/>
          <w:b w:val="0"/>
          <w:color w:val="auto"/>
          <w:sz w:val="24"/>
          <w:szCs w:val="24"/>
          <w:vertAlign w:val="superscript"/>
        </w:rPr>
        <w:t>2</w:t>
      </w:r>
      <w:r w:rsidRPr="00BE4AF3">
        <w:rPr>
          <w:rFonts w:ascii="Times New Roman" w:hAnsi="Times New Roman" w:cs="Times New Roman"/>
          <w:b w:val="0"/>
          <w:color w:val="auto"/>
          <w:sz w:val="24"/>
          <w:szCs w:val="24"/>
        </w:rPr>
        <w:t xml:space="preserve">Giwa Titilayo B.  and </w:t>
      </w:r>
      <w:r w:rsidRPr="00BE4AF3">
        <w:rPr>
          <w:rFonts w:ascii="Times New Roman" w:hAnsi="Times New Roman" w:cs="Times New Roman"/>
          <w:b w:val="0"/>
          <w:color w:val="auto"/>
          <w:sz w:val="24"/>
          <w:szCs w:val="24"/>
          <w:vertAlign w:val="superscript"/>
        </w:rPr>
        <w:t>3</w:t>
      </w:r>
      <w:r w:rsidRPr="00BE4AF3">
        <w:rPr>
          <w:rFonts w:ascii="Times New Roman" w:hAnsi="Times New Roman" w:cs="Times New Roman"/>
          <w:b w:val="0"/>
          <w:color w:val="auto"/>
          <w:sz w:val="24"/>
          <w:szCs w:val="24"/>
        </w:rPr>
        <w:t>Gbadebo, Sunday Oluyemi Giwa</w:t>
      </w:r>
    </w:p>
    <w:p w14:paraId="4AC376D1" w14:textId="77777777" w:rsidR="005E515E" w:rsidRPr="00BE4AF3" w:rsidRDefault="005E515E" w:rsidP="005E515E">
      <w:pPr>
        <w:spacing w:after="0"/>
        <w:rPr>
          <w:rFonts w:ascii="Times New Roman" w:hAnsi="Times New Roman" w:cs="Times New Roman"/>
          <w:sz w:val="24"/>
          <w:szCs w:val="24"/>
        </w:rPr>
      </w:pPr>
    </w:p>
    <w:p w14:paraId="47B205CB" w14:textId="77777777" w:rsidR="00A95426" w:rsidRPr="00AD5605" w:rsidRDefault="00A95426" w:rsidP="00E90BB6">
      <w:pPr>
        <w:spacing w:after="0" w:line="240" w:lineRule="auto"/>
        <w:jc w:val="center"/>
        <w:rPr>
          <w:rFonts w:ascii="Times New Roman" w:hAnsi="Times New Roman" w:cs="Times New Roman"/>
          <w:sz w:val="20"/>
          <w:szCs w:val="20"/>
        </w:rPr>
      </w:pPr>
      <w:r w:rsidRPr="00AD5605">
        <w:rPr>
          <w:rFonts w:ascii="Times New Roman" w:hAnsi="Times New Roman" w:cs="Times New Roman"/>
          <w:sz w:val="20"/>
          <w:szCs w:val="20"/>
        </w:rPr>
        <w:t>1Department of Urban and Regional Planning, Ladoke Akintola University of Technology, Ogbomoso, Oyo State</w:t>
      </w:r>
    </w:p>
    <w:p w14:paraId="13951CBB" w14:textId="77777777" w:rsidR="00A95426" w:rsidRPr="00AD5605" w:rsidRDefault="00A95426" w:rsidP="00E90BB6">
      <w:pPr>
        <w:spacing w:after="0" w:line="240" w:lineRule="auto"/>
        <w:jc w:val="center"/>
        <w:rPr>
          <w:rFonts w:ascii="Times New Roman" w:hAnsi="Times New Roman" w:cs="Times New Roman"/>
          <w:sz w:val="20"/>
          <w:szCs w:val="20"/>
        </w:rPr>
      </w:pPr>
      <w:hyperlink r:id="rId59" w:history="1">
        <w:r w:rsidRPr="00AD5605">
          <w:rPr>
            <w:rStyle w:val="Hyperlink"/>
            <w:rFonts w:ascii="Times New Roman" w:hAnsi="Times New Roman" w:cs="Times New Roman"/>
            <w:color w:val="auto"/>
            <w:sz w:val="20"/>
            <w:szCs w:val="20"/>
            <w:u w:val="none"/>
          </w:rPr>
          <w:t>dairoelisha@gmail.com</w:t>
        </w:r>
      </w:hyperlink>
      <w:r w:rsidRPr="00AD5605">
        <w:rPr>
          <w:rFonts w:ascii="Times New Roman" w:hAnsi="Times New Roman" w:cs="Times New Roman"/>
          <w:sz w:val="20"/>
          <w:szCs w:val="20"/>
        </w:rPr>
        <w:t xml:space="preserve"> </w:t>
      </w:r>
    </w:p>
    <w:p w14:paraId="5A7BFF8F" w14:textId="77777777" w:rsidR="00A95426" w:rsidRPr="00AD5605" w:rsidRDefault="00A95426" w:rsidP="00E90BB6">
      <w:pPr>
        <w:spacing w:after="0" w:line="240" w:lineRule="auto"/>
        <w:jc w:val="center"/>
        <w:rPr>
          <w:rFonts w:ascii="Times New Roman" w:hAnsi="Times New Roman" w:cs="Times New Roman"/>
          <w:sz w:val="20"/>
          <w:szCs w:val="20"/>
        </w:rPr>
      </w:pPr>
      <w:r w:rsidRPr="00AD5605">
        <w:rPr>
          <w:rFonts w:ascii="Times New Roman" w:hAnsi="Times New Roman" w:cs="Times New Roman"/>
          <w:sz w:val="20"/>
          <w:szCs w:val="20"/>
        </w:rPr>
        <w:t>2Department of Urban and Regional Planning, Ladoke Akintola University of Technology, Ogbomoso, Oyo State</w:t>
      </w:r>
    </w:p>
    <w:p w14:paraId="6207F1AE" w14:textId="77777777" w:rsidR="00A95426" w:rsidRPr="00AD5605" w:rsidRDefault="00A95426" w:rsidP="00E90BB6">
      <w:pPr>
        <w:spacing w:after="0" w:line="240" w:lineRule="auto"/>
        <w:jc w:val="center"/>
        <w:rPr>
          <w:rFonts w:ascii="Times New Roman" w:hAnsi="Times New Roman" w:cs="Times New Roman"/>
          <w:sz w:val="20"/>
          <w:szCs w:val="20"/>
        </w:rPr>
      </w:pPr>
      <w:hyperlink r:id="rId60" w:history="1">
        <w:r w:rsidRPr="00AD5605">
          <w:rPr>
            <w:rStyle w:val="Hyperlink"/>
            <w:rFonts w:ascii="Times New Roman" w:hAnsi="Times New Roman" w:cs="Times New Roman"/>
            <w:color w:val="auto"/>
            <w:sz w:val="20"/>
            <w:szCs w:val="20"/>
            <w:u w:val="none"/>
          </w:rPr>
          <w:t>joyfaithmoses@gmail.com</w:t>
        </w:r>
      </w:hyperlink>
      <w:r w:rsidRPr="00AD5605">
        <w:rPr>
          <w:rFonts w:ascii="Times New Roman" w:hAnsi="Times New Roman" w:cs="Times New Roman"/>
          <w:sz w:val="20"/>
          <w:szCs w:val="20"/>
        </w:rPr>
        <w:t xml:space="preserve"> </w:t>
      </w:r>
    </w:p>
    <w:p w14:paraId="65CF8D28" w14:textId="77777777" w:rsidR="00A95426" w:rsidRPr="00AD5605" w:rsidRDefault="00A95426" w:rsidP="00E90BB6">
      <w:pPr>
        <w:spacing w:after="0" w:line="240" w:lineRule="auto"/>
        <w:jc w:val="center"/>
        <w:rPr>
          <w:rFonts w:ascii="Times New Roman" w:hAnsi="Times New Roman" w:cs="Times New Roman"/>
          <w:sz w:val="20"/>
          <w:szCs w:val="20"/>
        </w:rPr>
      </w:pPr>
      <w:r w:rsidRPr="00AD5605">
        <w:rPr>
          <w:rFonts w:ascii="Times New Roman" w:hAnsi="Times New Roman" w:cs="Times New Roman"/>
          <w:sz w:val="20"/>
          <w:szCs w:val="20"/>
        </w:rPr>
        <w:t>3Department of Urban and Regional Planning, Bells University of Technology, Ota, Ogun State</w:t>
      </w:r>
    </w:p>
    <w:p w14:paraId="6667156A" w14:textId="77777777" w:rsidR="00A95426" w:rsidRPr="00AD5605" w:rsidRDefault="00A95426" w:rsidP="00E90BB6">
      <w:pPr>
        <w:spacing w:after="0" w:line="240" w:lineRule="auto"/>
        <w:jc w:val="center"/>
        <w:rPr>
          <w:rFonts w:ascii="Times New Roman" w:hAnsi="Times New Roman" w:cs="Times New Roman"/>
          <w:sz w:val="20"/>
          <w:szCs w:val="20"/>
        </w:rPr>
      </w:pPr>
      <w:hyperlink r:id="rId61" w:history="1">
        <w:r w:rsidRPr="00AD5605">
          <w:rPr>
            <w:rStyle w:val="Hyperlink"/>
            <w:rFonts w:ascii="Times New Roman" w:hAnsi="Times New Roman" w:cs="Times New Roman"/>
            <w:color w:val="auto"/>
            <w:sz w:val="20"/>
            <w:szCs w:val="20"/>
            <w:u w:val="none"/>
          </w:rPr>
          <w:t>oluyemigbadebo18@gmail.com</w:t>
        </w:r>
      </w:hyperlink>
      <w:r w:rsidRPr="00AD5605">
        <w:rPr>
          <w:rFonts w:ascii="Times New Roman" w:hAnsi="Times New Roman" w:cs="Times New Roman"/>
          <w:sz w:val="20"/>
          <w:szCs w:val="20"/>
        </w:rPr>
        <w:t xml:space="preserve">  </w:t>
      </w:r>
    </w:p>
    <w:p w14:paraId="1BAD7434" w14:textId="77777777" w:rsidR="005E515E" w:rsidRPr="00AD5605" w:rsidRDefault="005E515E" w:rsidP="00E90BB6">
      <w:pPr>
        <w:spacing w:after="0" w:line="240" w:lineRule="auto"/>
        <w:rPr>
          <w:rFonts w:ascii="Times New Roman" w:hAnsi="Times New Roman" w:cs="Times New Roman"/>
          <w:sz w:val="20"/>
          <w:szCs w:val="20"/>
        </w:rPr>
      </w:pPr>
    </w:p>
    <w:p w14:paraId="684FA98F" w14:textId="77777777" w:rsidR="00A95426" w:rsidRPr="00AD5605" w:rsidRDefault="00A95426" w:rsidP="005E515E">
      <w:pPr>
        <w:spacing w:after="0" w:line="240" w:lineRule="auto"/>
        <w:jc w:val="center"/>
        <w:rPr>
          <w:rStyle w:val="Hyperlink"/>
          <w:rFonts w:ascii="Times New Roman" w:hAnsi="Times New Roman" w:cs="Times New Roman"/>
          <w:color w:val="auto"/>
          <w:sz w:val="20"/>
          <w:szCs w:val="20"/>
          <w:u w:val="none"/>
        </w:rPr>
      </w:pPr>
      <w:r w:rsidRPr="00AD5605">
        <w:rPr>
          <w:rFonts w:ascii="Times New Roman" w:hAnsi="Times New Roman" w:cs="Times New Roman"/>
          <w:sz w:val="20"/>
          <w:szCs w:val="20"/>
        </w:rPr>
        <w:t xml:space="preserve">Corresponding Email Address: </w:t>
      </w:r>
      <w:hyperlink r:id="rId62" w:history="1">
        <w:r w:rsidRPr="00AD5605">
          <w:rPr>
            <w:rStyle w:val="Hyperlink"/>
            <w:rFonts w:ascii="Times New Roman" w:hAnsi="Times New Roman" w:cs="Times New Roman"/>
            <w:color w:val="auto"/>
            <w:sz w:val="20"/>
            <w:szCs w:val="20"/>
            <w:u w:val="none"/>
          </w:rPr>
          <w:t>dairoelisha@gmail.com</w:t>
        </w:r>
      </w:hyperlink>
    </w:p>
    <w:p w14:paraId="5328B567" w14:textId="77777777" w:rsidR="005E515E" w:rsidRPr="00BE4AF3" w:rsidRDefault="005E515E" w:rsidP="005E515E">
      <w:pPr>
        <w:spacing w:after="0" w:line="240" w:lineRule="auto"/>
        <w:jc w:val="center"/>
        <w:rPr>
          <w:rFonts w:ascii="Times New Roman" w:hAnsi="Times New Roman" w:cs="Times New Roman"/>
          <w:sz w:val="24"/>
          <w:szCs w:val="24"/>
        </w:rPr>
      </w:pPr>
    </w:p>
    <w:p w14:paraId="5BC4242E" w14:textId="77777777" w:rsidR="00A95426" w:rsidRPr="00BE4AF3" w:rsidRDefault="00A95426" w:rsidP="00E90BB6">
      <w:pPr>
        <w:pStyle w:val="Heading3"/>
        <w:spacing w:before="0" w:line="240" w:lineRule="auto"/>
        <w:jc w:val="both"/>
        <w:rPr>
          <w:rFonts w:ascii="Times New Roman" w:hAnsi="Times New Roman" w:cs="Times New Roman"/>
          <w:b/>
          <w:color w:val="auto"/>
        </w:rPr>
      </w:pPr>
      <w:r w:rsidRPr="00BE4AF3">
        <w:rPr>
          <w:rFonts w:ascii="Times New Roman" w:hAnsi="Times New Roman" w:cs="Times New Roman"/>
          <w:b/>
          <w:color w:val="auto"/>
        </w:rPr>
        <w:t>LICFES 2025-044 – FP6</w:t>
      </w:r>
    </w:p>
    <w:p w14:paraId="0EACEAE8" w14:textId="77777777" w:rsidR="00A95426" w:rsidRPr="00BE4AF3" w:rsidRDefault="00A95426" w:rsidP="00E90BB6">
      <w:pPr>
        <w:pStyle w:val="Heading3"/>
        <w:spacing w:before="0" w:line="240" w:lineRule="auto"/>
        <w:jc w:val="both"/>
        <w:rPr>
          <w:rFonts w:ascii="Times New Roman" w:hAnsi="Times New Roman" w:cs="Times New Roman"/>
          <w:b/>
          <w:color w:val="auto"/>
        </w:rPr>
      </w:pPr>
      <w:r w:rsidRPr="00BE4AF3">
        <w:rPr>
          <w:rFonts w:ascii="Times New Roman" w:hAnsi="Times New Roman" w:cs="Times New Roman"/>
          <w:b/>
          <w:color w:val="auto"/>
        </w:rPr>
        <w:t>Abstract</w:t>
      </w:r>
    </w:p>
    <w:p w14:paraId="1ABC72DE" w14:textId="77777777" w:rsidR="00A95426" w:rsidRPr="00BE4AF3" w:rsidRDefault="00A95426" w:rsidP="00E90BB6">
      <w:pPr>
        <w:pStyle w:val="NormalWeb"/>
        <w:spacing w:before="0" w:beforeAutospacing="0" w:after="0" w:afterAutospacing="0"/>
        <w:jc w:val="both"/>
      </w:pPr>
      <w:r w:rsidRPr="00BE4AF3">
        <w:t>In Sango-Ota, Ogun State, this study provides an understanding of the sustainability of encouraging industry clusters through spatial planning and economic incentives. Specifically, it seeks to examine the socio-economic characteristics of the local population, analyzing spatial planning strategies that support industrial growth, assessing available economic incentives, and identifying constraints to effective spatial planning in the region. Mixed-Methods were used to analyze both primary and secondary data. Primary data was generated via structured questionnaires administered to a representative sample of the local population on socio-economic characteristics and perceptions regarding spatial planning. Secondary data was obtained from books, government documents, and statistical agencies. Descriptive statistics were used to analyze socio-economic characteristics, while perceptions on economic incentives were measured using likert scales. From the results, the population structure of Sango-Ota is heterogeneous; males-52.2% and females-47.8%. The bulk of the population is married (63.7% and with up to secondary education (47.8). Development is hindered by infrastructural inappropriateness and insufficient access to finance (63.7% in terms of bureaucratic tougheners) and inadequate engagement from stakeholders. While economic incentives were rated positively, there was a low level of awareness of these among businesses, with 85.7% reporting not knowing any of the incentives available. Therefore, to establish the industry clusters in Sango-Ota, it is pertinent to ensure that the spatial planning factor is effectively interlinked with strong economic incentives. Among the recommendations are urgent attention to the development of infrastructural issues, stakeholder engagement, and access to financial resources to equip the manpower. Solving these issues would render Sango-Ota a ready competitor in an industrial development hub towards economic growth and community well-being.</w:t>
      </w:r>
    </w:p>
    <w:p w14:paraId="4A8F650C" w14:textId="77777777" w:rsidR="005E515E" w:rsidRPr="00BE4AF3" w:rsidRDefault="005E515E" w:rsidP="00E90BB6">
      <w:pPr>
        <w:spacing w:after="0" w:line="240" w:lineRule="auto"/>
        <w:rPr>
          <w:rFonts w:ascii="Times New Roman" w:hAnsi="Times New Roman" w:cs="Times New Roman"/>
          <w:b/>
          <w:sz w:val="24"/>
          <w:szCs w:val="24"/>
        </w:rPr>
      </w:pPr>
    </w:p>
    <w:p w14:paraId="7A245240" w14:textId="77777777" w:rsidR="00A95426" w:rsidRPr="00BE4AF3" w:rsidRDefault="00A95426" w:rsidP="00AE2454">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Keywords:</w:t>
      </w:r>
      <w:r w:rsidRPr="00BE4AF3">
        <w:rPr>
          <w:rFonts w:ascii="Times New Roman" w:hAnsi="Times New Roman" w:cs="Times New Roman"/>
          <w:sz w:val="24"/>
          <w:szCs w:val="24"/>
        </w:rPr>
        <w:t xml:space="preserve"> Industry clusters, spatial planning, Economic incentives, Economic development, Sango-Ota</w:t>
      </w:r>
    </w:p>
    <w:p w14:paraId="5E7459BC" w14:textId="77777777" w:rsidR="00A95426" w:rsidRPr="00BE4AF3" w:rsidRDefault="00A95426" w:rsidP="00E90BB6">
      <w:pPr>
        <w:spacing w:after="0" w:line="240" w:lineRule="auto"/>
        <w:rPr>
          <w:rFonts w:ascii="Times New Roman" w:hAnsi="Times New Roman" w:cs="Times New Roman"/>
          <w:sz w:val="24"/>
          <w:szCs w:val="24"/>
        </w:rPr>
      </w:pPr>
    </w:p>
    <w:p w14:paraId="30A35E22" w14:textId="77777777" w:rsidR="00A84E96" w:rsidRPr="00BE4AF3" w:rsidRDefault="00A84E96" w:rsidP="00337E0F">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Introduction</w:t>
      </w:r>
    </w:p>
    <w:p w14:paraId="065F1A38" w14:textId="514D2DF0" w:rsidR="00A84E96" w:rsidRPr="00BE4AF3" w:rsidRDefault="00A84E96" w:rsidP="00337E0F">
      <w:pPr>
        <w:spacing w:after="0" w:line="240" w:lineRule="auto"/>
        <w:jc w:val="both"/>
        <w:rPr>
          <w:rFonts w:ascii="Times New Roman" w:hAnsi="Times New Roman" w:cs="Times New Roman"/>
          <w:sz w:val="24"/>
          <w:szCs w:val="24"/>
        </w:rPr>
      </w:pPr>
      <w:r w:rsidRPr="00BE4AF3">
        <w:rPr>
          <w:rFonts w:ascii="Times New Roman" w:eastAsia="Times New Roman" w:hAnsi="Times New Roman" w:cs="Times New Roman"/>
          <w:sz w:val="24"/>
          <w:szCs w:val="24"/>
        </w:rPr>
        <w:t xml:space="preserve">Spatial planning is a whole of policy instrument, communicative and collaborative planning theories (Innes and Booher 2010) </w:t>
      </w:r>
      <w:r w:rsidR="00337E0F" w:rsidRPr="00BE4AF3">
        <w:rPr>
          <w:rFonts w:ascii="Times New Roman" w:eastAsia="Times New Roman" w:hAnsi="Times New Roman" w:cs="Times New Roman"/>
          <w:sz w:val="24"/>
          <w:szCs w:val="24"/>
        </w:rPr>
        <w:t>assert.</w:t>
      </w:r>
      <w:r w:rsidRPr="00BE4AF3">
        <w:rPr>
          <w:rFonts w:ascii="Times New Roman" w:eastAsia="Times New Roman" w:hAnsi="Times New Roman" w:cs="Times New Roman"/>
          <w:sz w:val="24"/>
          <w:szCs w:val="24"/>
        </w:rPr>
        <w:t xml:space="preserve"> </w:t>
      </w:r>
      <w:r w:rsidRPr="00BE4AF3">
        <w:rPr>
          <w:rFonts w:ascii="Times New Roman" w:hAnsi="Times New Roman" w:cs="Times New Roman"/>
          <w:sz w:val="24"/>
          <w:szCs w:val="24"/>
        </w:rPr>
        <w:t xml:space="preserve">Among the kinds of industry clusters that contribute to taking a significant step in the economy and making a significant difference/improvement to it, as the geographical closeness of related industries, firms, and associated institutions helps businesses, </w:t>
      </w:r>
      <w:r w:rsidRPr="00BE4AF3">
        <w:rPr>
          <w:rFonts w:ascii="Times New Roman" w:hAnsi="Times New Roman" w:cs="Times New Roman"/>
          <w:sz w:val="24"/>
          <w:szCs w:val="24"/>
        </w:rPr>
        <w:lastRenderedPageBreak/>
        <w:t xml:space="preserve">suppliers, and service providers become more collaborative, productive, innovative, and competitive (Delgado et al. 2014; Zeng et al. 2021). These clusters produce such external economies of scale, which enable enterprises to gain access to dedicated resources and specialized labor and cut expenses and raise efficiency (Feldman and Francis 2024). Local population of output and work has been impacted by the adoption of the vehicle group of Detroit (Jacobs 2015). It is because, policy makers and economical trend setters ought to master the industry groupings since they will jointly provide the accommodative atmosphere that will drive development of such industry groupings and consequently raise the transformation competitiveness at regionalized level. </w:t>
      </w:r>
    </w:p>
    <w:p w14:paraId="097D7DFC" w14:textId="77777777" w:rsidR="00A84E96" w:rsidRPr="00BE4AF3" w:rsidRDefault="00A84E96" w:rsidP="00337E0F">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In its various industries-manufacturing, commerce and then services-the place is saturated with thousands of issues. Sango-Ota, however, has limited access to infrastructure; as well as, to finance and skills. It demands spatial planning in development and contourance of industry cluster, ideal land use and tirelessly to prepare progress. Work together and convenience by the companies as developing an industrial sector in Sango-Ota. The diversity of the types of economy activity: manufacturing, or commerce, or services, defines the region. However, the region has a few disadvantages including unavailability of proper infrastructure, financial resources, and human resources. Reformulation and maintenance of industrial clusters, good land use practices and additional growth requires implementation of spatial planning. Access to and cooperation between companies would be supported by the existence of a developed industrial area in Sango-Ota. Construction of essential transport networks and utilities are dependent on the industrial activity (World Bank, 2022). Assuming that there is functioning transport system (roads, railways), electricity (e.g. more energy) etc., this better logistical performance is beneficial not only to more business in the area but also to the creation of time-saving in-community resources (World Bank 2022). The zoning in the Maryland can also potentially allow the separation of industry and the residential neighborhood, and this will potentially reduce potential conflicts and enhance the living standards (Ogun State Government, 2021). </w:t>
      </w:r>
    </w:p>
    <w:p w14:paraId="2E56E365" w14:textId="77777777" w:rsidR="00A84E96" w:rsidRPr="00BE4AF3" w:rsidRDefault="00A84E96" w:rsidP="00337E0F">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To attract any business in an area, a business requires business amenities among other things which are economic in nature like tax breaks and incentives. Through the encouragement of tax breaks, businesses reduce strain on their financial resources, thereby allowing these businesses to invest further in expansion (Nigerian Investment Promotion Commission 2021). Though grant funding to small and medium sized business enterprise (SME) successfully decentralises the impact of such input towards building a well-established industrial ecosystem, the issue of infrastructural deficiency and lack of access to finance remains the most significant challenges. Possible public-private-partnerships are good transportation and communication systems where the policy must target. At the same time, the requirement to cooperate with financial institutions to provide affordable funds can prepare a sufficient amount of local businesses to make investments to develop (Adeleye and Adesanya, 2019). Government, businesses, and learning institutions are expected to coordinate their efforts to support the spatial planning and economic guidelines. The industry clusters would preferably be related to voluntary stakeholder activities; a task force would be constituted to conduct the said activity. Its own heads of consulting regularly might give a hint at what the business in the Sango-Ota requires and what concerns it. Given that much of the evolving economic environment in Nigeria remains ahead of Sango-Ota, which the Lagos-Abeokuta strand occupies, the opportunities of establishing industry clusters are immense. </w:t>
      </w:r>
    </w:p>
    <w:p w14:paraId="00497CAB" w14:textId="18E843CE" w:rsidR="00A84E96" w:rsidRDefault="00A84E96" w:rsidP="00337E0F">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Merging space with economic planning as a way of planning industries to improve the economy of Sango-Ota is therefore seen as two facets in the merging of space and economic planning in this paper under the view that all parties seek to improve certain industries to boost the economy of </w:t>
      </w:r>
      <w:r w:rsidRPr="00BE4AF3">
        <w:rPr>
          <w:rFonts w:ascii="Times New Roman" w:hAnsi="Times New Roman" w:cs="Times New Roman"/>
          <w:sz w:val="24"/>
          <w:szCs w:val="24"/>
        </w:rPr>
        <w:lastRenderedPageBreak/>
        <w:t>Sango-Ota. The region will then start understanding the socio-economic characteristics of the residents residing in the region, the economic incentives available, and the barriers to achieving an effective spatial program to support the implementation of the actionable bits of guidance on supporting growth in the sector of the area. Although there is plenty of material on the inspirational aspect of industry clustering, there are still numerous research gaps. The socio-economic profile of the local people of Sango-Ota will certainly receive significant input on policy and planning. In this work, the authors consider the dynamism of the current spatial planning strategies. It assesses the currently existing economic incentives, in Ogun state, to the formation of a cluster of industries, and their importance in this context, as well as their deficiencies in terms of awareness and unavailability. Others relate to poor infrastructure, inaccessibility to finance and limited stakeholder investment. In its place, the importance of powerful approach to planning and policy making that will consider economic, social, and environmental parameter is pointed out. It also assumes the necessity of better coordination among the directly involved institutions of the state (business organizations and university institutions) in the context of sustainable development of industrial clusters. It further highlights that there are no concrete measures to evaluate how economic incentives on industry clusters can contribute to improved judgment frameworks. All these gaps indicate that we need to design a better strategy to improve the industrialization at Sango-Ota.</w:t>
      </w:r>
    </w:p>
    <w:p w14:paraId="77FC01C1" w14:textId="77777777" w:rsidR="00337E0F" w:rsidRPr="00BE4AF3" w:rsidRDefault="00337E0F" w:rsidP="00337E0F">
      <w:pPr>
        <w:spacing w:after="0" w:line="240" w:lineRule="auto"/>
        <w:jc w:val="both"/>
        <w:rPr>
          <w:rFonts w:ascii="Times New Roman" w:hAnsi="Times New Roman" w:cs="Times New Roman"/>
          <w:sz w:val="24"/>
          <w:szCs w:val="24"/>
        </w:rPr>
      </w:pPr>
    </w:p>
    <w:p w14:paraId="1E4064D8" w14:textId="1B698864" w:rsidR="00A84E96" w:rsidRPr="00BE4AF3" w:rsidRDefault="00D51CEF" w:rsidP="00A84E96">
      <w:pPr>
        <w:spacing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 xml:space="preserve">Materials </w:t>
      </w:r>
      <w:r>
        <w:rPr>
          <w:rFonts w:ascii="Times New Roman" w:hAnsi="Times New Roman" w:cs="Times New Roman"/>
          <w:b/>
          <w:sz w:val="24"/>
          <w:szCs w:val="24"/>
        </w:rPr>
        <w:t>a</w:t>
      </w:r>
      <w:r w:rsidRPr="00BE4AF3">
        <w:rPr>
          <w:rFonts w:ascii="Times New Roman" w:hAnsi="Times New Roman" w:cs="Times New Roman"/>
          <w:b/>
          <w:sz w:val="24"/>
          <w:szCs w:val="24"/>
        </w:rPr>
        <w:t xml:space="preserve">nd Methods </w:t>
      </w:r>
    </w:p>
    <w:p w14:paraId="27697934" w14:textId="77777777" w:rsidR="00A84E96" w:rsidRPr="00BE4AF3" w:rsidRDefault="00A84E96" w:rsidP="00473646">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Study Area</w:t>
      </w:r>
    </w:p>
    <w:p w14:paraId="145B93BD" w14:textId="77777777" w:rsidR="00A84E96" w:rsidRPr="00BE4AF3" w:rsidRDefault="00A84E96" w:rsidP="00473646">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ancient Yoruba Awori settlement of Sango Ota exists in Ogun State since the late 15th or early 16th century. The Aworis who originated from Ile-Ife established this settlement when Olofin and his followers left Ile-Ife to settle at Ota after their ship sank. Olofin's family members Osolo and Eleidi Atalabi moved to different areas of Sango Ota where they settled in Otun and Osi while Ijana became home to people from Oyo and Ishaga and Egun. Sango Ota existed as a stronghold for brave warriors who fought to protect the town from outside threats because of its strategic position. The town of Sango Ota functions as the administrative center for Ado-Odo-Ota Local Government Area while maintaining its position as a key player in regional development since ancient times. The area contains 252.6 square kilometers of rough land which includes 16 percent river areas and 4 percent hills. The industrial expansion of Sango Ota occurred because the town exists close to Lagos State border which made it the premier industrial city of Ogun State</w:t>
      </w:r>
    </w:p>
    <w:p w14:paraId="183F76F4" w14:textId="77777777" w:rsidR="00A84E96" w:rsidRPr="00BE4AF3" w:rsidRDefault="00A84E96" w:rsidP="00A84E96">
      <w:pPr>
        <w:spacing w:line="240" w:lineRule="auto"/>
        <w:ind w:firstLine="720"/>
        <w:jc w:val="both"/>
        <w:rPr>
          <w:rFonts w:ascii="Times New Roman" w:hAnsi="Times New Roman" w:cs="Times New Roman"/>
          <w:sz w:val="24"/>
          <w:szCs w:val="24"/>
        </w:rPr>
      </w:pPr>
    </w:p>
    <w:p w14:paraId="55C33872" w14:textId="77777777" w:rsidR="00A84E96" w:rsidRPr="00BE4AF3" w:rsidRDefault="00A84E96" w:rsidP="00A84E96">
      <w:pPr>
        <w:spacing w:line="240" w:lineRule="auto"/>
        <w:ind w:firstLine="720"/>
        <w:jc w:val="both"/>
        <w:rPr>
          <w:rFonts w:ascii="Times New Roman" w:hAnsi="Times New Roman" w:cs="Times New Roman"/>
          <w:sz w:val="24"/>
          <w:szCs w:val="24"/>
        </w:rPr>
      </w:pPr>
      <w:r w:rsidRPr="00BE4AF3">
        <w:rPr>
          <w:rFonts w:ascii="Times New Roman" w:hAnsi="Times New Roman" w:cs="Times New Roman"/>
          <w:sz w:val="24"/>
          <w:szCs w:val="24"/>
        </w:rPr>
        <w:lastRenderedPageBreak/>
        <w:t>.</w:t>
      </w:r>
      <w:r w:rsidRPr="00BE4AF3">
        <w:rPr>
          <w:rFonts w:ascii="Times New Roman" w:hAnsi="Times New Roman" w:cs="Times New Roman"/>
          <w:noProof/>
          <w:sz w:val="24"/>
          <w:szCs w:val="24"/>
          <w:lang w:eastAsia="en-GB"/>
        </w:rPr>
        <w:drawing>
          <wp:inline distT="0" distB="0" distL="0" distR="0" wp14:anchorId="0627939E" wp14:editId="3756C687">
            <wp:extent cx="3733800" cy="32861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733800" cy="3286125"/>
                    </a:xfrm>
                    <a:prstGeom prst="rect">
                      <a:avLst/>
                    </a:prstGeom>
                  </pic:spPr>
                </pic:pic>
              </a:graphicData>
            </a:graphic>
          </wp:inline>
        </w:drawing>
      </w:r>
    </w:p>
    <w:p w14:paraId="3D594408" w14:textId="77777777" w:rsidR="00A84E96" w:rsidRPr="00BE4AF3" w:rsidRDefault="00A84E96" w:rsidP="00337E0F">
      <w:pPr>
        <w:jc w:val="both"/>
        <w:rPr>
          <w:rFonts w:ascii="Times New Roman" w:hAnsi="Times New Roman" w:cs="Times New Roman"/>
          <w:sz w:val="24"/>
          <w:szCs w:val="24"/>
        </w:rPr>
      </w:pPr>
      <w:r w:rsidRPr="00BE4AF3">
        <w:rPr>
          <w:rFonts w:ascii="Times New Roman" w:hAnsi="Times New Roman" w:cs="Times New Roman"/>
          <w:b/>
          <w:sz w:val="24"/>
          <w:szCs w:val="24"/>
        </w:rPr>
        <w:t>Data Collection</w:t>
      </w:r>
      <w:r w:rsidRPr="00BE4AF3">
        <w:rPr>
          <w:rFonts w:ascii="Times New Roman" w:hAnsi="Times New Roman" w:cs="Times New Roman"/>
          <w:sz w:val="24"/>
          <w:szCs w:val="24"/>
        </w:rPr>
        <w:t>: The research premise was on the primary data founded on actual respondents which attempted to seek the vital data. As part of the analysis of trends to be able to define the numbers of questionnaires the data in the form of secondary information (textbooks, Journals and the internet), and population data (Nigeria Population Commission, NPC and data set was gathered through the Nigerian Bureau of Statistics site) were collected. Sango-Ota community maps were accessed both in Google Earth and in Geographic Information Software. A structured questionnaire was the primary source of data collection measures because part B (socio-economic levels of the respondents) and part C (spatial planning strategies that facilitated industrial growth in Ogun State as well as their economic determinants) of the questionnaire were not exhaustive of the obstacles to the effective spatial planning within Sango-Ota. This combined perspective was used to examine in greater detail the factors that contributed to industrial development in the area.</w:t>
      </w:r>
    </w:p>
    <w:p w14:paraId="0157EF28" w14:textId="0C53E94E" w:rsidR="00A84E96" w:rsidRPr="00BE4AF3" w:rsidRDefault="00A84E96" w:rsidP="00337E0F">
      <w:pPr>
        <w:jc w:val="both"/>
        <w:rPr>
          <w:rFonts w:ascii="Times New Roman" w:hAnsi="Times New Roman" w:cs="Times New Roman"/>
          <w:sz w:val="24"/>
          <w:szCs w:val="24"/>
        </w:rPr>
      </w:pPr>
      <w:r w:rsidRPr="00BE4AF3">
        <w:rPr>
          <w:rFonts w:ascii="Times New Roman" w:hAnsi="Times New Roman" w:cs="Times New Roman"/>
          <w:b/>
          <w:sz w:val="24"/>
          <w:szCs w:val="24"/>
        </w:rPr>
        <w:t xml:space="preserve">Sampling Procedure: </w:t>
      </w:r>
      <w:r w:rsidRPr="00BE4AF3">
        <w:rPr>
          <w:rFonts w:ascii="Times New Roman" w:hAnsi="Times New Roman" w:cs="Times New Roman"/>
          <w:sz w:val="24"/>
          <w:szCs w:val="24"/>
        </w:rPr>
        <w:t xml:space="preserve">To select respondents, the sample of this study on industry clusters taking place in Sango-Ota, Ogun state was multistage sampling procedure. The first step is the random selection of all areas in which the industrial clusters can be situated in the three senatorial districts in Ogun State. This research paper was conducted on Ogun central senatorial district. During the second stage three LGAs will be chosen at random within the chosen senatorial district. Obafemi-Owode, Ifo and Ado-Odo/ Ota have been chosen as LGAs. The third one is 30 percent random sampling of cells of all the selected LGA/Blocks. At Ado-ado/Ota was selected Sango-Ota and Ota; at Ifo were selected Ifo town and Ajebo; and in Obafemi-Owode, in Ajibode and Olota. The large concentration of industrial cluster resulted in selection of six cells. Such great towns with great industrial activities under research include: the town of Ajuwon, Alagbado, Isheri and Akute which exist in Sango-Ota. Approximately 5% of households in each of the selected communities then took part in the study via a sample. The survey has also 195 questionnaires given in the course </w:t>
      </w:r>
      <w:r w:rsidRPr="00BE4AF3">
        <w:rPr>
          <w:rFonts w:ascii="Times New Roman" w:hAnsi="Times New Roman" w:cs="Times New Roman"/>
          <w:sz w:val="24"/>
          <w:szCs w:val="24"/>
        </w:rPr>
        <w:lastRenderedPageBreak/>
        <w:t>of conducting the given survey and this type of questionnaires is used to collect information on the other industry clusters and spatial planning and incentive activity in Sango-Ota</w:t>
      </w:r>
    </w:p>
    <w:p w14:paraId="257E74E6" w14:textId="532EE400" w:rsidR="00A84E96" w:rsidRPr="00BE4AF3" w:rsidRDefault="00A84E96" w:rsidP="00337E0F">
      <w:pPr>
        <w:spacing w:after="0" w:line="240" w:lineRule="auto"/>
        <w:jc w:val="center"/>
        <w:rPr>
          <w:rFonts w:ascii="Times New Roman" w:hAnsi="Times New Roman" w:cs="Times New Roman"/>
          <w:b/>
          <w:sz w:val="24"/>
          <w:szCs w:val="24"/>
        </w:rPr>
      </w:pPr>
      <w:r w:rsidRPr="00BE4AF3">
        <w:rPr>
          <w:rFonts w:ascii="Times New Roman" w:hAnsi="Times New Roman" w:cs="Times New Roman"/>
          <w:b/>
          <w:sz w:val="24"/>
          <w:szCs w:val="24"/>
        </w:rPr>
        <w:t xml:space="preserve">Table 1: </w:t>
      </w:r>
      <w:r w:rsidRPr="00337E0F">
        <w:rPr>
          <w:rFonts w:ascii="Times New Roman" w:hAnsi="Times New Roman" w:cs="Times New Roman"/>
          <w:bCs/>
          <w:sz w:val="24"/>
          <w:szCs w:val="24"/>
        </w:rPr>
        <w:t>Analysis of the State, Zones and Cells</w:t>
      </w:r>
    </w:p>
    <w:tbl>
      <w:tblPr>
        <w:tblW w:w="7991" w:type="dxa"/>
        <w:jc w:val="center"/>
        <w:tblBorders>
          <w:top w:val="single" w:sz="4" w:space="0" w:color="auto"/>
          <w:bottom w:val="single" w:sz="4" w:space="0" w:color="auto"/>
        </w:tblBorders>
        <w:tblLayout w:type="fixed"/>
        <w:tblLook w:val="04A0" w:firstRow="1" w:lastRow="0" w:firstColumn="1" w:lastColumn="0" w:noHBand="0" w:noVBand="1"/>
      </w:tblPr>
      <w:tblGrid>
        <w:gridCol w:w="810"/>
        <w:gridCol w:w="1080"/>
        <w:gridCol w:w="1606"/>
        <w:gridCol w:w="942"/>
        <w:gridCol w:w="1066"/>
        <w:gridCol w:w="1219"/>
        <w:gridCol w:w="565"/>
        <w:gridCol w:w="703"/>
      </w:tblGrid>
      <w:tr w:rsidR="00A84E96" w:rsidRPr="00337E0F" w14:paraId="52149EC4" w14:textId="77777777" w:rsidTr="00337E0F">
        <w:trPr>
          <w:trHeight w:val="755"/>
          <w:jc w:val="center"/>
        </w:trPr>
        <w:tc>
          <w:tcPr>
            <w:tcW w:w="810" w:type="dxa"/>
            <w:tcBorders>
              <w:bottom w:val="single" w:sz="4" w:space="0" w:color="auto"/>
            </w:tcBorders>
          </w:tcPr>
          <w:p w14:paraId="7F576B33"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bCs/>
                <w:sz w:val="20"/>
                <w:szCs w:val="20"/>
              </w:rPr>
            </w:pPr>
            <w:r w:rsidRPr="00337E0F">
              <w:rPr>
                <w:rFonts w:ascii="Times New Roman" w:hAnsi="Times New Roman" w:cs="Times New Roman"/>
                <w:bCs/>
                <w:sz w:val="20"/>
                <w:szCs w:val="20"/>
              </w:rPr>
              <w:t>State</w:t>
            </w:r>
          </w:p>
        </w:tc>
        <w:tc>
          <w:tcPr>
            <w:tcW w:w="1080" w:type="dxa"/>
            <w:tcBorders>
              <w:bottom w:val="single" w:sz="4" w:space="0" w:color="auto"/>
            </w:tcBorders>
          </w:tcPr>
          <w:p w14:paraId="57B89274"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bCs/>
                <w:sz w:val="20"/>
                <w:szCs w:val="20"/>
              </w:rPr>
            </w:pPr>
            <w:r w:rsidRPr="00337E0F">
              <w:rPr>
                <w:rFonts w:ascii="Times New Roman" w:hAnsi="Times New Roman" w:cs="Times New Roman"/>
                <w:bCs/>
                <w:sz w:val="20"/>
                <w:szCs w:val="20"/>
              </w:rPr>
              <w:t>Zones</w:t>
            </w:r>
          </w:p>
        </w:tc>
        <w:tc>
          <w:tcPr>
            <w:tcW w:w="1606" w:type="dxa"/>
            <w:tcBorders>
              <w:bottom w:val="single" w:sz="4" w:space="0" w:color="auto"/>
            </w:tcBorders>
          </w:tcPr>
          <w:p w14:paraId="5ED7453B"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bCs/>
                <w:sz w:val="20"/>
                <w:szCs w:val="20"/>
              </w:rPr>
            </w:pPr>
            <w:r w:rsidRPr="00337E0F">
              <w:rPr>
                <w:rFonts w:ascii="Times New Roman" w:hAnsi="Times New Roman" w:cs="Times New Roman"/>
                <w:bCs/>
                <w:sz w:val="20"/>
                <w:szCs w:val="20"/>
              </w:rPr>
              <w:t>All LGAs in Lagos West</w:t>
            </w:r>
          </w:p>
        </w:tc>
        <w:tc>
          <w:tcPr>
            <w:tcW w:w="942" w:type="dxa"/>
            <w:tcBorders>
              <w:bottom w:val="single" w:sz="4" w:space="0" w:color="auto"/>
            </w:tcBorders>
          </w:tcPr>
          <w:p w14:paraId="0387C127"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bCs/>
                <w:sz w:val="20"/>
                <w:szCs w:val="20"/>
              </w:rPr>
            </w:pPr>
            <w:r w:rsidRPr="00337E0F">
              <w:rPr>
                <w:rFonts w:ascii="Times New Roman" w:hAnsi="Times New Roman" w:cs="Times New Roman"/>
                <w:bCs/>
                <w:sz w:val="20"/>
                <w:szCs w:val="20"/>
              </w:rPr>
              <w:t>Selected LGAs</w:t>
            </w:r>
          </w:p>
        </w:tc>
        <w:tc>
          <w:tcPr>
            <w:tcW w:w="1066" w:type="dxa"/>
            <w:tcBorders>
              <w:bottom w:val="single" w:sz="4" w:space="0" w:color="auto"/>
            </w:tcBorders>
          </w:tcPr>
          <w:p w14:paraId="0A09AB0C" w14:textId="77777777" w:rsidR="00A84E96" w:rsidRPr="00337E0F" w:rsidRDefault="00A84E96" w:rsidP="00337E0F">
            <w:pPr>
              <w:autoSpaceDE w:val="0"/>
              <w:autoSpaceDN w:val="0"/>
              <w:adjustRightInd w:val="0"/>
              <w:spacing w:after="0" w:line="240" w:lineRule="auto"/>
              <w:rPr>
                <w:rFonts w:ascii="Times New Roman" w:hAnsi="Times New Roman" w:cs="Times New Roman"/>
                <w:bCs/>
                <w:sz w:val="20"/>
                <w:szCs w:val="20"/>
              </w:rPr>
            </w:pPr>
            <w:r w:rsidRPr="00337E0F">
              <w:rPr>
                <w:rFonts w:ascii="Times New Roman" w:hAnsi="Times New Roman" w:cs="Times New Roman"/>
                <w:bCs/>
                <w:sz w:val="20"/>
                <w:szCs w:val="20"/>
              </w:rPr>
              <w:t>30% of selected cells</w:t>
            </w:r>
          </w:p>
        </w:tc>
        <w:tc>
          <w:tcPr>
            <w:tcW w:w="1219" w:type="dxa"/>
            <w:tcBorders>
              <w:bottom w:val="single" w:sz="4" w:space="0" w:color="auto"/>
            </w:tcBorders>
          </w:tcPr>
          <w:p w14:paraId="2FF38F7A" w14:textId="77777777" w:rsidR="00A84E96" w:rsidRPr="00337E0F" w:rsidRDefault="00A84E96" w:rsidP="00337E0F">
            <w:pPr>
              <w:autoSpaceDE w:val="0"/>
              <w:autoSpaceDN w:val="0"/>
              <w:adjustRightInd w:val="0"/>
              <w:spacing w:after="0" w:line="240" w:lineRule="auto"/>
              <w:rPr>
                <w:rFonts w:ascii="Times New Roman" w:hAnsi="Times New Roman" w:cs="Times New Roman"/>
                <w:bCs/>
                <w:sz w:val="20"/>
                <w:szCs w:val="20"/>
              </w:rPr>
            </w:pPr>
            <w:r w:rsidRPr="00337E0F">
              <w:rPr>
                <w:rFonts w:ascii="Times New Roman" w:hAnsi="Times New Roman" w:cs="Times New Roman"/>
                <w:bCs/>
                <w:sz w:val="20"/>
                <w:szCs w:val="20"/>
              </w:rPr>
              <w:t>5% of Households selected</w:t>
            </w:r>
          </w:p>
        </w:tc>
        <w:tc>
          <w:tcPr>
            <w:tcW w:w="565" w:type="dxa"/>
            <w:tcBorders>
              <w:bottom w:val="single" w:sz="4" w:space="0" w:color="auto"/>
            </w:tcBorders>
          </w:tcPr>
          <w:p w14:paraId="2DD403ED"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bCs/>
                <w:sz w:val="20"/>
                <w:szCs w:val="20"/>
              </w:rPr>
            </w:pPr>
            <w:r w:rsidRPr="00337E0F">
              <w:rPr>
                <w:rFonts w:ascii="Times New Roman" w:hAnsi="Times New Roman" w:cs="Times New Roman"/>
                <w:bCs/>
                <w:sz w:val="20"/>
                <w:szCs w:val="20"/>
              </w:rPr>
              <w:t xml:space="preserve">Total </w:t>
            </w:r>
          </w:p>
        </w:tc>
        <w:tc>
          <w:tcPr>
            <w:tcW w:w="703" w:type="dxa"/>
            <w:tcBorders>
              <w:bottom w:val="single" w:sz="4" w:space="0" w:color="auto"/>
            </w:tcBorders>
          </w:tcPr>
          <w:p w14:paraId="39A77550"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bCs/>
                <w:sz w:val="20"/>
                <w:szCs w:val="20"/>
              </w:rPr>
            </w:pPr>
            <w:r w:rsidRPr="00337E0F">
              <w:rPr>
                <w:rFonts w:ascii="Times New Roman" w:hAnsi="Times New Roman" w:cs="Times New Roman"/>
                <w:bCs/>
                <w:sz w:val="20"/>
                <w:szCs w:val="20"/>
              </w:rPr>
              <w:t xml:space="preserve">Percentage </w:t>
            </w:r>
          </w:p>
          <w:p w14:paraId="684C4C36"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bCs/>
                <w:sz w:val="20"/>
                <w:szCs w:val="20"/>
              </w:rPr>
            </w:pPr>
            <w:r w:rsidRPr="00337E0F">
              <w:rPr>
                <w:rFonts w:ascii="Times New Roman" w:hAnsi="Times New Roman" w:cs="Times New Roman"/>
                <w:bCs/>
                <w:sz w:val="20"/>
                <w:szCs w:val="20"/>
              </w:rPr>
              <w:t>(%)</w:t>
            </w:r>
          </w:p>
        </w:tc>
      </w:tr>
      <w:tr w:rsidR="00A84E96" w:rsidRPr="00337E0F" w14:paraId="0A4160A1" w14:textId="77777777" w:rsidTr="00337E0F">
        <w:trPr>
          <w:trHeight w:val="285"/>
          <w:jc w:val="center"/>
        </w:trPr>
        <w:tc>
          <w:tcPr>
            <w:tcW w:w="810" w:type="dxa"/>
            <w:vMerge w:val="restart"/>
            <w:tcBorders>
              <w:top w:val="single" w:sz="4" w:space="0" w:color="auto"/>
              <w:bottom w:val="nil"/>
            </w:tcBorders>
          </w:tcPr>
          <w:p w14:paraId="7C1B954C"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Ogun</w:t>
            </w:r>
          </w:p>
        </w:tc>
        <w:tc>
          <w:tcPr>
            <w:tcW w:w="1080" w:type="dxa"/>
            <w:vMerge w:val="restart"/>
            <w:tcBorders>
              <w:top w:val="single" w:sz="4" w:space="0" w:color="auto"/>
              <w:bottom w:val="nil"/>
            </w:tcBorders>
          </w:tcPr>
          <w:p w14:paraId="493B8B7B"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Sango Ota</w:t>
            </w:r>
          </w:p>
        </w:tc>
        <w:tc>
          <w:tcPr>
            <w:tcW w:w="1606" w:type="dxa"/>
            <w:vMerge w:val="restart"/>
            <w:tcBorders>
              <w:top w:val="single" w:sz="4" w:space="0" w:color="auto"/>
              <w:bottom w:val="nil"/>
            </w:tcBorders>
          </w:tcPr>
          <w:p w14:paraId="0C62C5BA"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Ado-Odo/Ota</w:t>
            </w:r>
          </w:p>
        </w:tc>
        <w:tc>
          <w:tcPr>
            <w:tcW w:w="942" w:type="dxa"/>
            <w:vMerge w:val="restart"/>
            <w:tcBorders>
              <w:top w:val="single" w:sz="4" w:space="0" w:color="auto"/>
              <w:bottom w:val="nil"/>
            </w:tcBorders>
          </w:tcPr>
          <w:p w14:paraId="44483475"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Ado-Odo/Ota</w:t>
            </w:r>
          </w:p>
        </w:tc>
        <w:tc>
          <w:tcPr>
            <w:tcW w:w="1066" w:type="dxa"/>
            <w:tcBorders>
              <w:top w:val="single" w:sz="4" w:space="0" w:color="auto"/>
              <w:bottom w:val="nil"/>
            </w:tcBorders>
          </w:tcPr>
          <w:p w14:paraId="211135B6"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Sango ota</w:t>
            </w:r>
          </w:p>
        </w:tc>
        <w:tc>
          <w:tcPr>
            <w:tcW w:w="1219" w:type="dxa"/>
            <w:tcBorders>
              <w:top w:val="single" w:sz="4" w:space="0" w:color="auto"/>
              <w:bottom w:val="nil"/>
            </w:tcBorders>
          </w:tcPr>
          <w:p w14:paraId="2C464C5A"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95</w:t>
            </w:r>
          </w:p>
        </w:tc>
        <w:tc>
          <w:tcPr>
            <w:tcW w:w="565" w:type="dxa"/>
            <w:tcBorders>
              <w:top w:val="single" w:sz="4" w:space="0" w:color="auto"/>
              <w:bottom w:val="nil"/>
            </w:tcBorders>
          </w:tcPr>
          <w:p w14:paraId="1FEBEC3E"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147</w:t>
            </w:r>
          </w:p>
        </w:tc>
        <w:tc>
          <w:tcPr>
            <w:tcW w:w="703" w:type="dxa"/>
            <w:tcBorders>
              <w:top w:val="single" w:sz="4" w:space="0" w:color="auto"/>
              <w:bottom w:val="nil"/>
            </w:tcBorders>
          </w:tcPr>
          <w:p w14:paraId="38D2CE4E"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60.00%</w:t>
            </w:r>
          </w:p>
        </w:tc>
      </w:tr>
      <w:tr w:rsidR="00A84E96" w:rsidRPr="00337E0F" w14:paraId="20FADBF7" w14:textId="77777777" w:rsidTr="00337E0F">
        <w:trPr>
          <w:trHeight w:val="252"/>
          <w:jc w:val="center"/>
        </w:trPr>
        <w:tc>
          <w:tcPr>
            <w:tcW w:w="810" w:type="dxa"/>
            <w:vMerge/>
            <w:tcBorders>
              <w:top w:val="nil"/>
            </w:tcBorders>
          </w:tcPr>
          <w:p w14:paraId="0924AF3F"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c>
          <w:tcPr>
            <w:tcW w:w="1080" w:type="dxa"/>
            <w:vMerge/>
            <w:tcBorders>
              <w:top w:val="nil"/>
            </w:tcBorders>
          </w:tcPr>
          <w:p w14:paraId="5F63C48C"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c>
          <w:tcPr>
            <w:tcW w:w="1606" w:type="dxa"/>
            <w:vMerge/>
            <w:tcBorders>
              <w:top w:val="nil"/>
            </w:tcBorders>
          </w:tcPr>
          <w:p w14:paraId="117825B3"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c>
          <w:tcPr>
            <w:tcW w:w="942" w:type="dxa"/>
            <w:vMerge/>
            <w:tcBorders>
              <w:top w:val="nil"/>
            </w:tcBorders>
          </w:tcPr>
          <w:p w14:paraId="494AFAA6"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c>
          <w:tcPr>
            <w:tcW w:w="1066" w:type="dxa"/>
            <w:tcBorders>
              <w:top w:val="nil"/>
            </w:tcBorders>
          </w:tcPr>
          <w:p w14:paraId="5C7E9C1A"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 xml:space="preserve">Ota </w:t>
            </w:r>
          </w:p>
        </w:tc>
        <w:tc>
          <w:tcPr>
            <w:tcW w:w="1219" w:type="dxa"/>
            <w:tcBorders>
              <w:top w:val="nil"/>
            </w:tcBorders>
          </w:tcPr>
          <w:p w14:paraId="00377D92"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52</w:t>
            </w:r>
          </w:p>
        </w:tc>
        <w:tc>
          <w:tcPr>
            <w:tcW w:w="565" w:type="dxa"/>
            <w:tcBorders>
              <w:top w:val="nil"/>
            </w:tcBorders>
          </w:tcPr>
          <w:p w14:paraId="6BD901A2"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c>
          <w:tcPr>
            <w:tcW w:w="703" w:type="dxa"/>
            <w:tcBorders>
              <w:top w:val="nil"/>
            </w:tcBorders>
          </w:tcPr>
          <w:p w14:paraId="7F209B83"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r>
      <w:tr w:rsidR="00A84E96" w:rsidRPr="00337E0F" w14:paraId="1344496F" w14:textId="77777777" w:rsidTr="00337E0F">
        <w:trPr>
          <w:trHeight w:val="145"/>
          <w:jc w:val="center"/>
        </w:trPr>
        <w:tc>
          <w:tcPr>
            <w:tcW w:w="810" w:type="dxa"/>
            <w:vMerge/>
          </w:tcPr>
          <w:p w14:paraId="52D55172"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c>
          <w:tcPr>
            <w:tcW w:w="1080" w:type="dxa"/>
            <w:vMerge/>
          </w:tcPr>
          <w:p w14:paraId="5CA25D87"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c>
          <w:tcPr>
            <w:tcW w:w="1606" w:type="dxa"/>
            <w:vMerge w:val="restart"/>
          </w:tcPr>
          <w:p w14:paraId="5BEAD916"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Ifo</w:t>
            </w:r>
          </w:p>
        </w:tc>
        <w:tc>
          <w:tcPr>
            <w:tcW w:w="942" w:type="dxa"/>
            <w:vMerge w:val="restart"/>
          </w:tcPr>
          <w:p w14:paraId="5B97010D"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Ifo</w:t>
            </w:r>
          </w:p>
        </w:tc>
        <w:tc>
          <w:tcPr>
            <w:tcW w:w="1066" w:type="dxa"/>
          </w:tcPr>
          <w:p w14:paraId="4B102451" w14:textId="77777777" w:rsidR="00A84E96" w:rsidRPr="00337E0F" w:rsidRDefault="00A84E96" w:rsidP="00A84E96">
            <w:pPr>
              <w:autoSpaceDE w:val="0"/>
              <w:autoSpaceDN w:val="0"/>
              <w:adjustRightInd w:val="0"/>
              <w:spacing w:after="0" w:line="240" w:lineRule="auto"/>
              <w:jc w:val="both"/>
              <w:rPr>
                <w:rStyle w:val="Strong"/>
                <w:rFonts w:ascii="Times New Roman" w:hAnsi="Times New Roman" w:cs="Times New Roman"/>
                <w:b w:val="0"/>
                <w:bCs w:val="0"/>
                <w:color w:val="111111"/>
                <w:sz w:val="20"/>
                <w:szCs w:val="20"/>
              </w:rPr>
            </w:pPr>
            <w:r w:rsidRPr="00337E0F">
              <w:rPr>
                <w:rStyle w:val="Strong"/>
                <w:rFonts w:ascii="Times New Roman" w:hAnsi="Times New Roman" w:cs="Times New Roman"/>
                <w:b w:val="0"/>
                <w:bCs w:val="0"/>
                <w:color w:val="111111"/>
                <w:sz w:val="20"/>
                <w:szCs w:val="20"/>
              </w:rPr>
              <w:t xml:space="preserve">Ifo town  </w:t>
            </w:r>
          </w:p>
        </w:tc>
        <w:tc>
          <w:tcPr>
            <w:tcW w:w="1219" w:type="dxa"/>
          </w:tcPr>
          <w:p w14:paraId="454E140A"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Style w:val="Strong"/>
                <w:rFonts w:ascii="Times New Roman" w:hAnsi="Times New Roman" w:cs="Times New Roman"/>
                <w:b w:val="0"/>
                <w:bCs w:val="0"/>
                <w:color w:val="111111"/>
                <w:sz w:val="20"/>
                <w:szCs w:val="20"/>
              </w:rPr>
              <w:t>26</w:t>
            </w:r>
          </w:p>
        </w:tc>
        <w:tc>
          <w:tcPr>
            <w:tcW w:w="565" w:type="dxa"/>
            <w:vMerge w:val="restart"/>
          </w:tcPr>
          <w:p w14:paraId="5F638A97"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56</w:t>
            </w:r>
          </w:p>
        </w:tc>
        <w:tc>
          <w:tcPr>
            <w:tcW w:w="703" w:type="dxa"/>
          </w:tcPr>
          <w:p w14:paraId="08C89D39"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22.86%</w:t>
            </w:r>
          </w:p>
        </w:tc>
      </w:tr>
      <w:tr w:rsidR="00A84E96" w:rsidRPr="00337E0F" w14:paraId="3DBFF4F6" w14:textId="77777777" w:rsidTr="00337E0F">
        <w:trPr>
          <w:trHeight w:val="152"/>
          <w:jc w:val="center"/>
        </w:trPr>
        <w:tc>
          <w:tcPr>
            <w:tcW w:w="810" w:type="dxa"/>
            <w:vMerge/>
          </w:tcPr>
          <w:p w14:paraId="3DC1E3DE"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c>
          <w:tcPr>
            <w:tcW w:w="1080" w:type="dxa"/>
            <w:vMerge/>
          </w:tcPr>
          <w:p w14:paraId="524F8C7F"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c>
          <w:tcPr>
            <w:tcW w:w="1606" w:type="dxa"/>
            <w:vMerge/>
          </w:tcPr>
          <w:p w14:paraId="50CDBD9A"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c>
          <w:tcPr>
            <w:tcW w:w="942" w:type="dxa"/>
            <w:vMerge/>
          </w:tcPr>
          <w:p w14:paraId="7FEF9223"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c>
          <w:tcPr>
            <w:tcW w:w="1066" w:type="dxa"/>
          </w:tcPr>
          <w:p w14:paraId="24C636B6" w14:textId="77777777" w:rsidR="00A84E96" w:rsidRPr="00337E0F" w:rsidRDefault="00A84E96" w:rsidP="00A84E96">
            <w:pPr>
              <w:autoSpaceDE w:val="0"/>
              <w:autoSpaceDN w:val="0"/>
              <w:adjustRightInd w:val="0"/>
              <w:spacing w:after="0" w:line="240" w:lineRule="auto"/>
              <w:jc w:val="both"/>
              <w:rPr>
                <w:rStyle w:val="Strong"/>
                <w:rFonts w:ascii="Times New Roman" w:hAnsi="Times New Roman" w:cs="Times New Roman"/>
                <w:b w:val="0"/>
                <w:bCs w:val="0"/>
                <w:color w:val="111111"/>
                <w:sz w:val="20"/>
                <w:szCs w:val="20"/>
              </w:rPr>
            </w:pPr>
            <w:r w:rsidRPr="00337E0F">
              <w:rPr>
                <w:rFonts w:ascii="Times New Roman" w:hAnsi="Times New Roman" w:cs="Times New Roman"/>
                <w:sz w:val="20"/>
                <w:szCs w:val="20"/>
              </w:rPr>
              <w:t>Ajebo</w:t>
            </w:r>
          </w:p>
        </w:tc>
        <w:tc>
          <w:tcPr>
            <w:tcW w:w="1219" w:type="dxa"/>
          </w:tcPr>
          <w:p w14:paraId="632DB078" w14:textId="77777777" w:rsidR="00A84E96" w:rsidRPr="00337E0F" w:rsidRDefault="00A84E96" w:rsidP="00A84E96">
            <w:pPr>
              <w:autoSpaceDE w:val="0"/>
              <w:autoSpaceDN w:val="0"/>
              <w:adjustRightInd w:val="0"/>
              <w:spacing w:after="0" w:line="240" w:lineRule="auto"/>
              <w:jc w:val="both"/>
              <w:rPr>
                <w:rStyle w:val="Strong"/>
                <w:rFonts w:ascii="Times New Roman" w:hAnsi="Times New Roman" w:cs="Times New Roman"/>
                <w:b w:val="0"/>
                <w:bCs w:val="0"/>
                <w:color w:val="111111"/>
                <w:sz w:val="20"/>
                <w:szCs w:val="20"/>
              </w:rPr>
            </w:pPr>
            <w:r w:rsidRPr="00337E0F">
              <w:rPr>
                <w:rStyle w:val="Strong"/>
                <w:rFonts w:ascii="Times New Roman" w:hAnsi="Times New Roman" w:cs="Times New Roman"/>
                <w:b w:val="0"/>
                <w:bCs w:val="0"/>
                <w:color w:val="111111"/>
                <w:sz w:val="20"/>
                <w:szCs w:val="20"/>
              </w:rPr>
              <w:t>30</w:t>
            </w:r>
          </w:p>
        </w:tc>
        <w:tc>
          <w:tcPr>
            <w:tcW w:w="565" w:type="dxa"/>
            <w:vMerge/>
          </w:tcPr>
          <w:p w14:paraId="6AD7C8F4"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c>
          <w:tcPr>
            <w:tcW w:w="703" w:type="dxa"/>
          </w:tcPr>
          <w:p w14:paraId="73451EEA"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r>
      <w:tr w:rsidR="00A84E96" w:rsidRPr="00337E0F" w14:paraId="4211E973" w14:textId="77777777" w:rsidTr="00337E0F">
        <w:trPr>
          <w:trHeight w:val="300"/>
          <w:jc w:val="center"/>
        </w:trPr>
        <w:tc>
          <w:tcPr>
            <w:tcW w:w="810" w:type="dxa"/>
            <w:vMerge/>
          </w:tcPr>
          <w:p w14:paraId="0825683F"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c>
          <w:tcPr>
            <w:tcW w:w="1080" w:type="dxa"/>
            <w:vMerge/>
          </w:tcPr>
          <w:p w14:paraId="1E1CFB6D"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c>
          <w:tcPr>
            <w:tcW w:w="1606" w:type="dxa"/>
            <w:vMerge w:val="restart"/>
          </w:tcPr>
          <w:p w14:paraId="58E64376"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 xml:space="preserve">Obafemi-Owode </w:t>
            </w:r>
          </w:p>
        </w:tc>
        <w:tc>
          <w:tcPr>
            <w:tcW w:w="942" w:type="dxa"/>
            <w:vMerge w:val="restart"/>
          </w:tcPr>
          <w:p w14:paraId="14B6EEEB"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 xml:space="preserve">Obafemi-Owode </w:t>
            </w:r>
          </w:p>
        </w:tc>
        <w:tc>
          <w:tcPr>
            <w:tcW w:w="1066" w:type="dxa"/>
          </w:tcPr>
          <w:p w14:paraId="48F87A2C"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 xml:space="preserve">Ajibode </w:t>
            </w:r>
          </w:p>
        </w:tc>
        <w:tc>
          <w:tcPr>
            <w:tcW w:w="1219" w:type="dxa"/>
          </w:tcPr>
          <w:p w14:paraId="7F73CACA"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28</w:t>
            </w:r>
          </w:p>
        </w:tc>
        <w:tc>
          <w:tcPr>
            <w:tcW w:w="565" w:type="dxa"/>
          </w:tcPr>
          <w:p w14:paraId="18379B4D"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42</w:t>
            </w:r>
          </w:p>
        </w:tc>
        <w:tc>
          <w:tcPr>
            <w:tcW w:w="703" w:type="dxa"/>
          </w:tcPr>
          <w:p w14:paraId="284D8C73"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17.14%</w:t>
            </w:r>
          </w:p>
        </w:tc>
      </w:tr>
      <w:tr w:rsidR="00A84E96" w:rsidRPr="00337E0F" w14:paraId="1A0B0F28" w14:textId="77777777" w:rsidTr="00337E0F">
        <w:trPr>
          <w:trHeight w:val="240"/>
          <w:jc w:val="center"/>
        </w:trPr>
        <w:tc>
          <w:tcPr>
            <w:tcW w:w="810" w:type="dxa"/>
            <w:vMerge/>
          </w:tcPr>
          <w:p w14:paraId="4435BA2B"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c>
          <w:tcPr>
            <w:tcW w:w="1080" w:type="dxa"/>
            <w:vMerge/>
          </w:tcPr>
          <w:p w14:paraId="5C33D1D8"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c>
          <w:tcPr>
            <w:tcW w:w="1606" w:type="dxa"/>
            <w:vMerge/>
          </w:tcPr>
          <w:p w14:paraId="4B063D96"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c>
          <w:tcPr>
            <w:tcW w:w="942" w:type="dxa"/>
            <w:vMerge/>
          </w:tcPr>
          <w:p w14:paraId="49756F78"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c>
          <w:tcPr>
            <w:tcW w:w="1066" w:type="dxa"/>
          </w:tcPr>
          <w:p w14:paraId="39422F7A"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 xml:space="preserve">Olota </w:t>
            </w:r>
          </w:p>
        </w:tc>
        <w:tc>
          <w:tcPr>
            <w:tcW w:w="1219" w:type="dxa"/>
          </w:tcPr>
          <w:p w14:paraId="3B242FD7"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r w:rsidRPr="00337E0F">
              <w:rPr>
                <w:rFonts w:ascii="Times New Roman" w:hAnsi="Times New Roman" w:cs="Times New Roman"/>
                <w:sz w:val="20"/>
                <w:szCs w:val="20"/>
              </w:rPr>
              <w:t>14</w:t>
            </w:r>
          </w:p>
        </w:tc>
        <w:tc>
          <w:tcPr>
            <w:tcW w:w="565" w:type="dxa"/>
          </w:tcPr>
          <w:p w14:paraId="764C20BF"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c>
          <w:tcPr>
            <w:tcW w:w="703" w:type="dxa"/>
          </w:tcPr>
          <w:p w14:paraId="619130D4"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sz w:val="20"/>
                <w:szCs w:val="20"/>
              </w:rPr>
            </w:pPr>
          </w:p>
        </w:tc>
      </w:tr>
      <w:tr w:rsidR="00A84E96" w:rsidRPr="00337E0F" w14:paraId="7EB53966" w14:textId="77777777" w:rsidTr="00337E0F">
        <w:trPr>
          <w:trHeight w:val="128"/>
          <w:jc w:val="center"/>
        </w:trPr>
        <w:tc>
          <w:tcPr>
            <w:tcW w:w="810" w:type="dxa"/>
          </w:tcPr>
          <w:p w14:paraId="355138B7"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b/>
                <w:sz w:val="20"/>
                <w:szCs w:val="20"/>
              </w:rPr>
            </w:pPr>
            <w:r w:rsidRPr="00337E0F">
              <w:rPr>
                <w:rFonts w:ascii="Times New Roman" w:hAnsi="Times New Roman" w:cs="Times New Roman"/>
                <w:b/>
                <w:sz w:val="20"/>
                <w:szCs w:val="20"/>
              </w:rPr>
              <w:t xml:space="preserve">Total </w:t>
            </w:r>
          </w:p>
        </w:tc>
        <w:tc>
          <w:tcPr>
            <w:tcW w:w="1080" w:type="dxa"/>
          </w:tcPr>
          <w:p w14:paraId="07F98D64"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b/>
                <w:sz w:val="20"/>
                <w:szCs w:val="20"/>
              </w:rPr>
            </w:pPr>
            <w:r w:rsidRPr="00337E0F">
              <w:rPr>
                <w:rFonts w:ascii="Times New Roman" w:hAnsi="Times New Roman" w:cs="Times New Roman"/>
                <w:b/>
                <w:sz w:val="20"/>
                <w:szCs w:val="20"/>
              </w:rPr>
              <w:t>1</w:t>
            </w:r>
          </w:p>
        </w:tc>
        <w:tc>
          <w:tcPr>
            <w:tcW w:w="1606" w:type="dxa"/>
          </w:tcPr>
          <w:p w14:paraId="0BB1DEB1"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b/>
                <w:sz w:val="20"/>
                <w:szCs w:val="20"/>
              </w:rPr>
            </w:pPr>
            <w:r w:rsidRPr="00337E0F">
              <w:rPr>
                <w:rFonts w:ascii="Times New Roman" w:hAnsi="Times New Roman" w:cs="Times New Roman"/>
                <w:b/>
                <w:sz w:val="20"/>
                <w:szCs w:val="20"/>
              </w:rPr>
              <w:t>3</w:t>
            </w:r>
          </w:p>
        </w:tc>
        <w:tc>
          <w:tcPr>
            <w:tcW w:w="942" w:type="dxa"/>
          </w:tcPr>
          <w:p w14:paraId="41B8E9F8"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b/>
                <w:sz w:val="20"/>
                <w:szCs w:val="20"/>
              </w:rPr>
            </w:pPr>
            <w:r w:rsidRPr="00337E0F">
              <w:rPr>
                <w:rFonts w:ascii="Times New Roman" w:hAnsi="Times New Roman" w:cs="Times New Roman"/>
                <w:b/>
                <w:sz w:val="20"/>
                <w:szCs w:val="20"/>
              </w:rPr>
              <w:t>3</w:t>
            </w:r>
          </w:p>
        </w:tc>
        <w:tc>
          <w:tcPr>
            <w:tcW w:w="1066" w:type="dxa"/>
          </w:tcPr>
          <w:p w14:paraId="6DF49560"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b/>
                <w:sz w:val="20"/>
                <w:szCs w:val="20"/>
              </w:rPr>
            </w:pPr>
            <w:r w:rsidRPr="00337E0F">
              <w:rPr>
                <w:rFonts w:ascii="Times New Roman" w:hAnsi="Times New Roman" w:cs="Times New Roman"/>
                <w:b/>
                <w:sz w:val="20"/>
                <w:szCs w:val="20"/>
              </w:rPr>
              <w:t>6</w:t>
            </w:r>
          </w:p>
        </w:tc>
        <w:tc>
          <w:tcPr>
            <w:tcW w:w="1219" w:type="dxa"/>
          </w:tcPr>
          <w:p w14:paraId="5B136C40"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b/>
                <w:sz w:val="20"/>
                <w:szCs w:val="20"/>
              </w:rPr>
            </w:pPr>
            <w:r w:rsidRPr="00337E0F">
              <w:rPr>
                <w:rFonts w:ascii="Times New Roman" w:hAnsi="Times New Roman" w:cs="Times New Roman"/>
                <w:b/>
                <w:sz w:val="20"/>
                <w:szCs w:val="20"/>
              </w:rPr>
              <w:t>245</w:t>
            </w:r>
          </w:p>
        </w:tc>
        <w:tc>
          <w:tcPr>
            <w:tcW w:w="565" w:type="dxa"/>
          </w:tcPr>
          <w:p w14:paraId="132CAE24"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b/>
                <w:sz w:val="20"/>
                <w:szCs w:val="20"/>
              </w:rPr>
            </w:pPr>
            <w:r w:rsidRPr="00337E0F">
              <w:rPr>
                <w:rFonts w:ascii="Times New Roman" w:hAnsi="Times New Roman" w:cs="Times New Roman"/>
                <w:b/>
                <w:sz w:val="20"/>
                <w:szCs w:val="20"/>
              </w:rPr>
              <w:t>245</w:t>
            </w:r>
          </w:p>
        </w:tc>
        <w:tc>
          <w:tcPr>
            <w:tcW w:w="703" w:type="dxa"/>
          </w:tcPr>
          <w:p w14:paraId="34215B38" w14:textId="77777777" w:rsidR="00A84E96" w:rsidRPr="00337E0F" w:rsidRDefault="00A84E96" w:rsidP="00A84E96">
            <w:pPr>
              <w:autoSpaceDE w:val="0"/>
              <w:autoSpaceDN w:val="0"/>
              <w:adjustRightInd w:val="0"/>
              <w:spacing w:after="0" w:line="240" w:lineRule="auto"/>
              <w:jc w:val="both"/>
              <w:rPr>
                <w:rFonts w:ascii="Times New Roman" w:hAnsi="Times New Roman" w:cs="Times New Roman"/>
                <w:b/>
                <w:sz w:val="20"/>
                <w:szCs w:val="20"/>
              </w:rPr>
            </w:pPr>
          </w:p>
        </w:tc>
      </w:tr>
    </w:tbl>
    <w:p w14:paraId="0967F7E4" w14:textId="77777777" w:rsidR="00A84E96" w:rsidRPr="00337E0F" w:rsidRDefault="00A84E96" w:rsidP="00337E0F">
      <w:pPr>
        <w:spacing w:line="240" w:lineRule="auto"/>
        <w:jc w:val="center"/>
        <w:rPr>
          <w:rFonts w:ascii="Times New Roman" w:hAnsi="Times New Roman" w:cs="Times New Roman"/>
          <w:bCs/>
          <w:i/>
          <w:sz w:val="24"/>
          <w:szCs w:val="24"/>
        </w:rPr>
      </w:pPr>
      <w:r w:rsidRPr="00337E0F">
        <w:rPr>
          <w:rFonts w:ascii="Times New Roman" w:hAnsi="Times New Roman" w:cs="Times New Roman"/>
          <w:bCs/>
          <w:i/>
          <w:sz w:val="24"/>
          <w:szCs w:val="24"/>
        </w:rPr>
        <w:t>Source: Field Survey, 2024</w:t>
      </w:r>
    </w:p>
    <w:p w14:paraId="749DA6CA" w14:textId="77777777" w:rsidR="00A84E96" w:rsidRPr="00BE4AF3" w:rsidRDefault="00A84E96" w:rsidP="00337E0F">
      <w:pPr>
        <w:jc w:val="both"/>
        <w:rPr>
          <w:rFonts w:ascii="Times New Roman" w:hAnsi="Times New Roman" w:cs="Times New Roman"/>
          <w:sz w:val="24"/>
          <w:szCs w:val="24"/>
        </w:rPr>
      </w:pPr>
      <w:r w:rsidRPr="00BE4AF3">
        <w:rPr>
          <w:rFonts w:ascii="Times New Roman" w:hAnsi="Times New Roman" w:cs="Times New Roman"/>
          <w:b/>
          <w:sz w:val="24"/>
          <w:szCs w:val="24"/>
        </w:rPr>
        <w:t xml:space="preserve">Research design: </w:t>
      </w:r>
      <w:r w:rsidRPr="00BE4AF3">
        <w:rPr>
          <w:rFonts w:ascii="Times New Roman" w:hAnsi="Times New Roman" w:cs="Times New Roman"/>
          <w:sz w:val="24"/>
          <w:szCs w:val="24"/>
        </w:rPr>
        <w:t>Socioeconomic features of the respondents, review of the spatial planning schemes facilitating development of industry in Sango-Ota, identification of the economic incentives, and effects have on the industry clusters in Sango-Ota are researched with the help of the descriptive statistics: percentages, frequency distribution. Spatial planning analysis application was done in Likert type scale.</w:t>
      </w:r>
    </w:p>
    <w:p w14:paraId="5F147FBA" w14:textId="77777777" w:rsidR="00A84E96" w:rsidRPr="00BE4AF3" w:rsidRDefault="00A84E96" w:rsidP="00A84E96">
      <w:pPr>
        <w:spacing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Results and Discussion</w:t>
      </w:r>
    </w:p>
    <w:p w14:paraId="3074F596" w14:textId="77777777" w:rsidR="00A84E96" w:rsidRPr="00BE4AF3" w:rsidRDefault="00A84E96" w:rsidP="00D51CEF">
      <w:pPr>
        <w:pStyle w:val="NormalWeb"/>
        <w:spacing w:before="0" w:beforeAutospacing="0" w:after="0" w:afterAutospacing="0"/>
        <w:jc w:val="both"/>
        <w:rPr>
          <w:b/>
        </w:rPr>
      </w:pPr>
      <w:r w:rsidRPr="00BE4AF3">
        <w:rPr>
          <w:b/>
        </w:rPr>
        <w:t>Socio-economic Characteristics</w:t>
      </w:r>
    </w:p>
    <w:p w14:paraId="11FE4E5E" w14:textId="77777777" w:rsidR="00A84E96" w:rsidRPr="00BE4AF3" w:rsidRDefault="00A84E96" w:rsidP="00337E0F">
      <w:pPr>
        <w:pStyle w:val="NormalWeb"/>
        <w:spacing w:before="0" w:beforeAutospacing="0" w:after="0" w:afterAutospacing="0"/>
        <w:jc w:val="both"/>
      </w:pPr>
      <w:r w:rsidRPr="00BE4AF3">
        <w:t xml:space="preserve">The social economy of the Sango-Ota population implies that the level of population diversity is reasonable. It is a gender inclusive community whose members are 52.2/ 47.8 male/ female respectively. Most of the people are between the younger to the middle-aged (31% between 31 and 40). Marriage (63.7) appears healthy percentage, which would mean that there is already aftertaste of the lift family structure that might potentially be deployed to help enhance the intensity of communal cohesiveness. Nearly fifty percent also are in secondary (47.8) education with 28.6 also in tertiary education, with number of employable citizen also growing, leading to improvement in economic stability. </w:t>
      </w:r>
    </w:p>
    <w:p w14:paraId="64111B94" w14:textId="4EB9AC48" w:rsidR="00A84E96" w:rsidRDefault="005A6978" w:rsidP="00337E0F">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About 53.5</w:t>
      </w:r>
      <w:r w:rsidR="00A84E96" w:rsidRPr="00BE4AF3">
        <w:rPr>
          <w:rFonts w:ascii="Times New Roman" w:hAnsi="Times New Roman" w:cs="Times New Roman"/>
          <w:sz w:val="24"/>
          <w:szCs w:val="24"/>
        </w:rPr>
        <w:t xml:space="preserve"> percent of Christians, 26.5 and 20.0 percent Muslims and Practitioners of Traditional beliefs, respectively: and probably there are opportunities to socialize. First is trading (55.9%); artisans (20.8%) and civil servants (12.7%), which place an enormous proportion of the local economy on its feet. Then the average household size is 1-5 (51.0%), which could also be applied to the distribution of resources. Secondly, 53.9% are members of the cooperatives, thus promoting the establishment of cooperation in the society. Monthly earnings ca assume an average of 20 000 -40 000 Naira per month that speaks of the weak income of the said economic status, not only on investments within the area but living standards also. The level of income that influences what can it invest locally or lifestyle.</w:t>
      </w:r>
    </w:p>
    <w:p w14:paraId="62295F58" w14:textId="77777777" w:rsidR="00337E0F" w:rsidRDefault="00337E0F" w:rsidP="00337E0F">
      <w:pPr>
        <w:spacing w:after="0" w:line="240" w:lineRule="auto"/>
        <w:jc w:val="both"/>
        <w:rPr>
          <w:rFonts w:ascii="Times New Roman" w:hAnsi="Times New Roman" w:cs="Times New Roman"/>
          <w:sz w:val="24"/>
          <w:szCs w:val="24"/>
        </w:rPr>
      </w:pPr>
    </w:p>
    <w:p w14:paraId="53F6C06F" w14:textId="77777777" w:rsidR="00337E0F" w:rsidRDefault="00337E0F" w:rsidP="00337E0F">
      <w:pPr>
        <w:spacing w:after="0" w:line="240" w:lineRule="auto"/>
        <w:jc w:val="both"/>
        <w:rPr>
          <w:rFonts w:ascii="Times New Roman" w:hAnsi="Times New Roman" w:cs="Times New Roman"/>
          <w:sz w:val="24"/>
          <w:szCs w:val="24"/>
        </w:rPr>
      </w:pPr>
    </w:p>
    <w:p w14:paraId="2E37E2B9" w14:textId="77777777" w:rsidR="00337E0F" w:rsidRPr="00BE4AF3" w:rsidRDefault="00337E0F" w:rsidP="00337E0F">
      <w:pPr>
        <w:spacing w:after="0" w:line="240" w:lineRule="auto"/>
        <w:jc w:val="both"/>
        <w:rPr>
          <w:rFonts w:ascii="Times New Roman" w:hAnsi="Times New Roman" w:cs="Times New Roman"/>
          <w:sz w:val="24"/>
          <w:szCs w:val="24"/>
        </w:rPr>
      </w:pPr>
    </w:p>
    <w:p w14:paraId="7F5BD5C7" w14:textId="77E49391" w:rsidR="00A84E96" w:rsidRPr="005A6978" w:rsidRDefault="00A84E96" w:rsidP="00114425">
      <w:pPr>
        <w:pStyle w:val="NormalWeb"/>
        <w:spacing w:before="0" w:beforeAutospacing="0" w:after="0" w:afterAutospacing="0"/>
        <w:jc w:val="center"/>
        <w:rPr>
          <w:bCs/>
        </w:rPr>
      </w:pPr>
      <w:r w:rsidRPr="00BE4AF3">
        <w:rPr>
          <w:b/>
        </w:rPr>
        <w:lastRenderedPageBreak/>
        <w:t xml:space="preserve">Table 2: </w:t>
      </w:r>
      <w:r w:rsidRPr="005A6978">
        <w:rPr>
          <w:bCs/>
        </w:rPr>
        <w:t>Distribution of the respondents based on their socio-economic characteristics</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2358"/>
        <w:gridCol w:w="2277"/>
      </w:tblGrid>
      <w:tr w:rsidR="00A84E96" w:rsidRPr="00114425" w14:paraId="5BE41493" w14:textId="77777777" w:rsidTr="005A6978">
        <w:trPr>
          <w:jc w:val="center"/>
        </w:trPr>
        <w:tc>
          <w:tcPr>
            <w:tcW w:w="3870" w:type="dxa"/>
            <w:tcBorders>
              <w:bottom w:val="single" w:sz="4" w:space="0" w:color="auto"/>
            </w:tcBorders>
          </w:tcPr>
          <w:p w14:paraId="01252B68" w14:textId="77777777" w:rsidR="00A84E96" w:rsidRPr="00114425" w:rsidRDefault="00A84E96" w:rsidP="005A6978">
            <w:pPr>
              <w:spacing w:after="0" w:line="240" w:lineRule="auto"/>
              <w:jc w:val="both"/>
              <w:rPr>
                <w:rFonts w:ascii="Times New Roman" w:hAnsi="Times New Roman" w:cs="Times New Roman"/>
                <w:bCs/>
                <w:sz w:val="20"/>
                <w:szCs w:val="20"/>
              </w:rPr>
            </w:pPr>
            <w:r w:rsidRPr="00114425">
              <w:rPr>
                <w:rFonts w:ascii="Times New Roman" w:hAnsi="Times New Roman" w:cs="Times New Roman"/>
                <w:bCs/>
                <w:sz w:val="20"/>
                <w:szCs w:val="20"/>
              </w:rPr>
              <w:t>Socio-economic characteristics</w:t>
            </w:r>
          </w:p>
        </w:tc>
        <w:tc>
          <w:tcPr>
            <w:tcW w:w="2358" w:type="dxa"/>
            <w:tcBorders>
              <w:bottom w:val="single" w:sz="4" w:space="0" w:color="auto"/>
            </w:tcBorders>
          </w:tcPr>
          <w:p w14:paraId="09FEEEDB" w14:textId="77777777" w:rsidR="00A84E96" w:rsidRPr="00114425" w:rsidRDefault="00A84E96" w:rsidP="005A6978">
            <w:pPr>
              <w:spacing w:after="0" w:line="240" w:lineRule="auto"/>
              <w:jc w:val="both"/>
              <w:rPr>
                <w:rFonts w:ascii="Times New Roman" w:hAnsi="Times New Roman" w:cs="Times New Roman"/>
                <w:bCs/>
                <w:sz w:val="20"/>
                <w:szCs w:val="20"/>
              </w:rPr>
            </w:pPr>
            <w:r w:rsidRPr="00114425">
              <w:rPr>
                <w:rFonts w:ascii="Times New Roman" w:hAnsi="Times New Roman" w:cs="Times New Roman"/>
                <w:bCs/>
                <w:sz w:val="20"/>
                <w:szCs w:val="20"/>
              </w:rPr>
              <w:t xml:space="preserve">Frequency </w:t>
            </w:r>
          </w:p>
        </w:tc>
        <w:tc>
          <w:tcPr>
            <w:tcW w:w="2277" w:type="dxa"/>
            <w:tcBorders>
              <w:bottom w:val="single" w:sz="4" w:space="0" w:color="auto"/>
            </w:tcBorders>
          </w:tcPr>
          <w:p w14:paraId="141DF246" w14:textId="77777777" w:rsidR="00A84E96" w:rsidRPr="00114425" w:rsidRDefault="00A84E96" w:rsidP="005A6978">
            <w:pPr>
              <w:spacing w:after="0" w:line="240" w:lineRule="auto"/>
              <w:jc w:val="both"/>
              <w:rPr>
                <w:rFonts w:ascii="Times New Roman" w:hAnsi="Times New Roman" w:cs="Times New Roman"/>
                <w:bCs/>
                <w:sz w:val="20"/>
                <w:szCs w:val="20"/>
              </w:rPr>
            </w:pPr>
            <w:r w:rsidRPr="00114425">
              <w:rPr>
                <w:rFonts w:ascii="Times New Roman" w:hAnsi="Times New Roman" w:cs="Times New Roman"/>
                <w:bCs/>
                <w:sz w:val="20"/>
                <w:szCs w:val="20"/>
              </w:rPr>
              <w:t xml:space="preserve">Percentage </w:t>
            </w:r>
          </w:p>
        </w:tc>
      </w:tr>
      <w:tr w:rsidR="00A84E96" w:rsidRPr="00114425" w14:paraId="1627527B" w14:textId="77777777" w:rsidTr="005A6978">
        <w:trPr>
          <w:jc w:val="center"/>
        </w:trPr>
        <w:tc>
          <w:tcPr>
            <w:tcW w:w="3870" w:type="dxa"/>
            <w:tcBorders>
              <w:top w:val="single" w:sz="4" w:space="0" w:color="auto"/>
              <w:bottom w:val="nil"/>
            </w:tcBorders>
          </w:tcPr>
          <w:p w14:paraId="57F622E1" w14:textId="77777777" w:rsidR="00A84E96" w:rsidRPr="00114425" w:rsidRDefault="00A84E96" w:rsidP="005A6978">
            <w:pPr>
              <w:spacing w:after="0" w:line="240" w:lineRule="auto"/>
              <w:jc w:val="both"/>
              <w:rPr>
                <w:rFonts w:ascii="Times New Roman" w:hAnsi="Times New Roman" w:cs="Times New Roman"/>
                <w:b/>
                <w:sz w:val="20"/>
                <w:szCs w:val="20"/>
              </w:rPr>
            </w:pPr>
            <w:r w:rsidRPr="00114425">
              <w:rPr>
                <w:rFonts w:ascii="Times New Roman" w:hAnsi="Times New Roman" w:cs="Times New Roman"/>
                <w:b/>
                <w:sz w:val="20"/>
                <w:szCs w:val="20"/>
              </w:rPr>
              <w:t xml:space="preserve">Gender </w:t>
            </w:r>
          </w:p>
        </w:tc>
        <w:tc>
          <w:tcPr>
            <w:tcW w:w="2358" w:type="dxa"/>
            <w:tcBorders>
              <w:top w:val="single" w:sz="4" w:space="0" w:color="auto"/>
              <w:bottom w:val="nil"/>
            </w:tcBorders>
          </w:tcPr>
          <w:p w14:paraId="18A5013C" w14:textId="77777777" w:rsidR="00A84E96" w:rsidRPr="00114425" w:rsidRDefault="00A84E96" w:rsidP="005A6978">
            <w:pPr>
              <w:spacing w:after="0" w:line="240" w:lineRule="auto"/>
              <w:jc w:val="both"/>
              <w:rPr>
                <w:rFonts w:ascii="Times New Roman" w:hAnsi="Times New Roman" w:cs="Times New Roman"/>
                <w:b/>
                <w:sz w:val="20"/>
                <w:szCs w:val="20"/>
              </w:rPr>
            </w:pPr>
          </w:p>
        </w:tc>
        <w:tc>
          <w:tcPr>
            <w:tcW w:w="2277" w:type="dxa"/>
            <w:tcBorders>
              <w:top w:val="single" w:sz="4" w:space="0" w:color="auto"/>
              <w:bottom w:val="nil"/>
            </w:tcBorders>
          </w:tcPr>
          <w:p w14:paraId="0D2D1911" w14:textId="77777777" w:rsidR="00A84E96" w:rsidRPr="00114425" w:rsidRDefault="00A84E96" w:rsidP="005A6978">
            <w:pPr>
              <w:spacing w:after="0" w:line="240" w:lineRule="auto"/>
              <w:jc w:val="both"/>
              <w:rPr>
                <w:rFonts w:ascii="Times New Roman" w:hAnsi="Times New Roman" w:cs="Times New Roman"/>
                <w:b/>
                <w:sz w:val="20"/>
                <w:szCs w:val="20"/>
              </w:rPr>
            </w:pPr>
          </w:p>
        </w:tc>
      </w:tr>
      <w:tr w:rsidR="00A84E96" w:rsidRPr="00114425" w14:paraId="59A73656" w14:textId="77777777" w:rsidTr="005A6978">
        <w:trPr>
          <w:jc w:val="center"/>
        </w:trPr>
        <w:tc>
          <w:tcPr>
            <w:tcW w:w="3870" w:type="dxa"/>
            <w:tcBorders>
              <w:top w:val="nil"/>
            </w:tcBorders>
          </w:tcPr>
          <w:p w14:paraId="7D940016" w14:textId="77777777" w:rsidR="00A84E96" w:rsidRPr="00114425" w:rsidRDefault="00A84E96" w:rsidP="005A6978">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Male </w:t>
            </w:r>
          </w:p>
        </w:tc>
        <w:tc>
          <w:tcPr>
            <w:tcW w:w="2358" w:type="dxa"/>
            <w:tcBorders>
              <w:top w:val="nil"/>
            </w:tcBorders>
          </w:tcPr>
          <w:p w14:paraId="31D4502B" w14:textId="77777777" w:rsidR="00A84E96" w:rsidRPr="00114425" w:rsidRDefault="00A84E96" w:rsidP="005A6978">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128</w:t>
            </w:r>
          </w:p>
        </w:tc>
        <w:tc>
          <w:tcPr>
            <w:tcW w:w="2277" w:type="dxa"/>
            <w:tcBorders>
              <w:top w:val="nil"/>
            </w:tcBorders>
          </w:tcPr>
          <w:p w14:paraId="391444FB" w14:textId="77777777" w:rsidR="00A84E96" w:rsidRPr="00114425" w:rsidRDefault="00A84E96" w:rsidP="005A6978">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52.20</w:t>
            </w:r>
          </w:p>
        </w:tc>
      </w:tr>
      <w:tr w:rsidR="00A84E96" w:rsidRPr="00114425" w14:paraId="70BCE150" w14:textId="77777777" w:rsidTr="005A6978">
        <w:trPr>
          <w:jc w:val="center"/>
        </w:trPr>
        <w:tc>
          <w:tcPr>
            <w:tcW w:w="3870" w:type="dxa"/>
          </w:tcPr>
          <w:p w14:paraId="7EDC6352" w14:textId="77777777" w:rsidR="00A84E96" w:rsidRPr="00114425" w:rsidRDefault="00A84E96" w:rsidP="005A6978">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Female </w:t>
            </w:r>
          </w:p>
        </w:tc>
        <w:tc>
          <w:tcPr>
            <w:tcW w:w="2358" w:type="dxa"/>
          </w:tcPr>
          <w:p w14:paraId="67DB3813" w14:textId="77777777" w:rsidR="00A84E96" w:rsidRPr="00114425" w:rsidRDefault="00A84E96" w:rsidP="005A6978">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117</w:t>
            </w:r>
          </w:p>
        </w:tc>
        <w:tc>
          <w:tcPr>
            <w:tcW w:w="2277" w:type="dxa"/>
          </w:tcPr>
          <w:p w14:paraId="60031155" w14:textId="77777777" w:rsidR="00A84E96" w:rsidRPr="00114425" w:rsidRDefault="00A84E96" w:rsidP="005A6978">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47.80</w:t>
            </w:r>
          </w:p>
        </w:tc>
      </w:tr>
      <w:tr w:rsidR="00A84E96" w:rsidRPr="00114425" w14:paraId="58A1D88F" w14:textId="77777777" w:rsidTr="005A6978">
        <w:trPr>
          <w:jc w:val="center"/>
        </w:trPr>
        <w:tc>
          <w:tcPr>
            <w:tcW w:w="3870" w:type="dxa"/>
          </w:tcPr>
          <w:p w14:paraId="191CA86F"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r w:rsidRPr="00114425">
              <w:rPr>
                <w:rFonts w:ascii="Times New Roman" w:hAnsi="Times New Roman" w:cs="Times New Roman"/>
                <w:b/>
                <w:sz w:val="20"/>
                <w:szCs w:val="20"/>
              </w:rPr>
              <w:t xml:space="preserve">Age </w:t>
            </w:r>
          </w:p>
        </w:tc>
        <w:tc>
          <w:tcPr>
            <w:tcW w:w="2358" w:type="dxa"/>
          </w:tcPr>
          <w:p w14:paraId="7B76733A"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p>
        </w:tc>
        <w:tc>
          <w:tcPr>
            <w:tcW w:w="2277" w:type="dxa"/>
          </w:tcPr>
          <w:p w14:paraId="0A2F6E29"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p>
        </w:tc>
      </w:tr>
      <w:tr w:rsidR="00A84E96" w:rsidRPr="00114425" w14:paraId="7F486D70" w14:textId="77777777" w:rsidTr="005A6978">
        <w:trPr>
          <w:jc w:val="center"/>
        </w:trPr>
        <w:tc>
          <w:tcPr>
            <w:tcW w:w="3870" w:type="dxa"/>
          </w:tcPr>
          <w:p w14:paraId="53FDD298"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&lt;30 years </w:t>
            </w:r>
          </w:p>
        </w:tc>
        <w:tc>
          <w:tcPr>
            <w:tcW w:w="2358" w:type="dxa"/>
          </w:tcPr>
          <w:p w14:paraId="4B84F998"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35</w:t>
            </w:r>
          </w:p>
        </w:tc>
        <w:tc>
          <w:tcPr>
            <w:tcW w:w="2277" w:type="dxa"/>
          </w:tcPr>
          <w:p w14:paraId="47681708"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14.30</w:t>
            </w:r>
          </w:p>
        </w:tc>
      </w:tr>
      <w:tr w:rsidR="00A84E96" w:rsidRPr="00114425" w14:paraId="3FDB9E75" w14:textId="77777777" w:rsidTr="005A6978">
        <w:trPr>
          <w:jc w:val="center"/>
        </w:trPr>
        <w:tc>
          <w:tcPr>
            <w:tcW w:w="3870" w:type="dxa"/>
          </w:tcPr>
          <w:p w14:paraId="189B523C"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31-40</w:t>
            </w:r>
          </w:p>
        </w:tc>
        <w:tc>
          <w:tcPr>
            <w:tcW w:w="2358" w:type="dxa"/>
          </w:tcPr>
          <w:p w14:paraId="19AE74AE"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76</w:t>
            </w:r>
          </w:p>
        </w:tc>
        <w:tc>
          <w:tcPr>
            <w:tcW w:w="2277" w:type="dxa"/>
          </w:tcPr>
          <w:p w14:paraId="54BF097B"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31.0</w:t>
            </w:r>
          </w:p>
        </w:tc>
      </w:tr>
      <w:tr w:rsidR="00A84E96" w:rsidRPr="00114425" w14:paraId="7641E47C" w14:textId="77777777" w:rsidTr="005A6978">
        <w:trPr>
          <w:jc w:val="center"/>
        </w:trPr>
        <w:tc>
          <w:tcPr>
            <w:tcW w:w="3870" w:type="dxa"/>
          </w:tcPr>
          <w:p w14:paraId="675AC21F"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41-50</w:t>
            </w:r>
          </w:p>
        </w:tc>
        <w:tc>
          <w:tcPr>
            <w:tcW w:w="2358" w:type="dxa"/>
          </w:tcPr>
          <w:p w14:paraId="1FD61460"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62</w:t>
            </w:r>
          </w:p>
        </w:tc>
        <w:tc>
          <w:tcPr>
            <w:tcW w:w="2277" w:type="dxa"/>
          </w:tcPr>
          <w:p w14:paraId="72D87D0A"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25.30</w:t>
            </w:r>
          </w:p>
        </w:tc>
      </w:tr>
      <w:tr w:rsidR="00A84E96" w:rsidRPr="00114425" w14:paraId="37B36E1A" w14:textId="77777777" w:rsidTr="005A6978">
        <w:trPr>
          <w:jc w:val="center"/>
        </w:trPr>
        <w:tc>
          <w:tcPr>
            <w:tcW w:w="3870" w:type="dxa"/>
          </w:tcPr>
          <w:p w14:paraId="58E772FD"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51-60</w:t>
            </w:r>
          </w:p>
        </w:tc>
        <w:tc>
          <w:tcPr>
            <w:tcW w:w="2358" w:type="dxa"/>
          </w:tcPr>
          <w:p w14:paraId="42333D2F"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72</w:t>
            </w:r>
          </w:p>
        </w:tc>
        <w:tc>
          <w:tcPr>
            <w:tcW w:w="2277" w:type="dxa"/>
          </w:tcPr>
          <w:p w14:paraId="42BF15C8"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29.4</w:t>
            </w:r>
          </w:p>
        </w:tc>
      </w:tr>
      <w:tr w:rsidR="00A84E96" w:rsidRPr="00114425" w14:paraId="0773FFB0" w14:textId="77777777" w:rsidTr="005A6978">
        <w:trPr>
          <w:jc w:val="center"/>
        </w:trPr>
        <w:tc>
          <w:tcPr>
            <w:tcW w:w="3870" w:type="dxa"/>
          </w:tcPr>
          <w:p w14:paraId="7993AA1E"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r w:rsidRPr="00114425">
              <w:rPr>
                <w:rFonts w:ascii="Times New Roman" w:hAnsi="Times New Roman" w:cs="Times New Roman"/>
                <w:b/>
                <w:sz w:val="20"/>
                <w:szCs w:val="20"/>
              </w:rPr>
              <w:t xml:space="preserve">Marital status </w:t>
            </w:r>
          </w:p>
        </w:tc>
        <w:tc>
          <w:tcPr>
            <w:tcW w:w="2358" w:type="dxa"/>
          </w:tcPr>
          <w:p w14:paraId="30F23676"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p>
        </w:tc>
        <w:tc>
          <w:tcPr>
            <w:tcW w:w="2277" w:type="dxa"/>
          </w:tcPr>
          <w:p w14:paraId="5720268E"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p>
        </w:tc>
      </w:tr>
      <w:tr w:rsidR="00A84E96" w:rsidRPr="00114425" w14:paraId="55C630C2" w14:textId="77777777" w:rsidTr="005A6978">
        <w:trPr>
          <w:jc w:val="center"/>
        </w:trPr>
        <w:tc>
          <w:tcPr>
            <w:tcW w:w="3870" w:type="dxa"/>
          </w:tcPr>
          <w:p w14:paraId="0824BE36"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Single </w:t>
            </w:r>
          </w:p>
        </w:tc>
        <w:tc>
          <w:tcPr>
            <w:tcW w:w="2358" w:type="dxa"/>
          </w:tcPr>
          <w:p w14:paraId="04A1C4BC"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53</w:t>
            </w:r>
          </w:p>
        </w:tc>
        <w:tc>
          <w:tcPr>
            <w:tcW w:w="2277" w:type="dxa"/>
          </w:tcPr>
          <w:p w14:paraId="4D050CBB"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21.60</w:t>
            </w:r>
          </w:p>
        </w:tc>
      </w:tr>
      <w:tr w:rsidR="00A84E96" w:rsidRPr="00114425" w14:paraId="069C1A1C" w14:textId="77777777" w:rsidTr="005A6978">
        <w:trPr>
          <w:jc w:val="center"/>
        </w:trPr>
        <w:tc>
          <w:tcPr>
            <w:tcW w:w="3870" w:type="dxa"/>
          </w:tcPr>
          <w:p w14:paraId="2F495F9D"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Married </w:t>
            </w:r>
          </w:p>
        </w:tc>
        <w:tc>
          <w:tcPr>
            <w:tcW w:w="2358" w:type="dxa"/>
          </w:tcPr>
          <w:p w14:paraId="2CE5DB69"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156</w:t>
            </w:r>
          </w:p>
        </w:tc>
        <w:tc>
          <w:tcPr>
            <w:tcW w:w="2277" w:type="dxa"/>
          </w:tcPr>
          <w:p w14:paraId="091F08AA"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63.70</w:t>
            </w:r>
          </w:p>
        </w:tc>
      </w:tr>
      <w:tr w:rsidR="00A84E96" w:rsidRPr="00114425" w14:paraId="66A377AA" w14:textId="77777777" w:rsidTr="005A6978">
        <w:trPr>
          <w:jc w:val="center"/>
        </w:trPr>
        <w:tc>
          <w:tcPr>
            <w:tcW w:w="3870" w:type="dxa"/>
          </w:tcPr>
          <w:p w14:paraId="2DA24810"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Widow/widower</w:t>
            </w:r>
          </w:p>
        </w:tc>
        <w:tc>
          <w:tcPr>
            <w:tcW w:w="2358" w:type="dxa"/>
          </w:tcPr>
          <w:p w14:paraId="45B367E0"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22</w:t>
            </w:r>
          </w:p>
        </w:tc>
        <w:tc>
          <w:tcPr>
            <w:tcW w:w="2277" w:type="dxa"/>
          </w:tcPr>
          <w:p w14:paraId="0EA4E2F5"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9.0</w:t>
            </w:r>
          </w:p>
        </w:tc>
      </w:tr>
      <w:tr w:rsidR="00A84E96" w:rsidRPr="00114425" w14:paraId="1D911805" w14:textId="77777777" w:rsidTr="005A6978">
        <w:trPr>
          <w:jc w:val="center"/>
        </w:trPr>
        <w:tc>
          <w:tcPr>
            <w:tcW w:w="3870" w:type="dxa"/>
          </w:tcPr>
          <w:p w14:paraId="2832AA79"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Divorced </w:t>
            </w:r>
          </w:p>
        </w:tc>
        <w:tc>
          <w:tcPr>
            <w:tcW w:w="2358" w:type="dxa"/>
          </w:tcPr>
          <w:p w14:paraId="3AC2A525"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14</w:t>
            </w:r>
          </w:p>
        </w:tc>
        <w:tc>
          <w:tcPr>
            <w:tcW w:w="2277" w:type="dxa"/>
          </w:tcPr>
          <w:p w14:paraId="58465754"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5.70</w:t>
            </w:r>
          </w:p>
        </w:tc>
      </w:tr>
      <w:tr w:rsidR="00A84E96" w:rsidRPr="00114425" w14:paraId="205E5E5A" w14:textId="77777777" w:rsidTr="005A6978">
        <w:trPr>
          <w:jc w:val="center"/>
        </w:trPr>
        <w:tc>
          <w:tcPr>
            <w:tcW w:w="3870" w:type="dxa"/>
          </w:tcPr>
          <w:p w14:paraId="62533DDF"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r w:rsidRPr="00114425">
              <w:rPr>
                <w:rFonts w:ascii="Times New Roman" w:hAnsi="Times New Roman" w:cs="Times New Roman"/>
                <w:b/>
                <w:sz w:val="20"/>
                <w:szCs w:val="20"/>
              </w:rPr>
              <w:t xml:space="preserve">Educational Level </w:t>
            </w:r>
          </w:p>
        </w:tc>
        <w:tc>
          <w:tcPr>
            <w:tcW w:w="2358" w:type="dxa"/>
          </w:tcPr>
          <w:p w14:paraId="2E798DD9"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p>
        </w:tc>
        <w:tc>
          <w:tcPr>
            <w:tcW w:w="2277" w:type="dxa"/>
          </w:tcPr>
          <w:p w14:paraId="08437EA6"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p>
        </w:tc>
      </w:tr>
      <w:tr w:rsidR="00A84E96" w:rsidRPr="00114425" w14:paraId="74CE647C" w14:textId="77777777" w:rsidTr="005A6978">
        <w:trPr>
          <w:jc w:val="center"/>
        </w:trPr>
        <w:tc>
          <w:tcPr>
            <w:tcW w:w="3870" w:type="dxa"/>
          </w:tcPr>
          <w:p w14:paraId="5F567770"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No formal education </w:t>
            </w:r>
          </w:p>
        </w:tc>
        <w:tc>
          <w:tcPr>
            <w:tcW w:w="2358" w:type="dxa"/>
          </w:tcPr>
          <w:p w14:paraId="1330EE3D"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12</w:t>
            </w:r>
          </w:p>
        </w:tc>
        <w:tc>
          <w:tcPr>
            <w:tcW w:w="2277" w:type="dxa"/>
          </w:tcPr>
          <w:p w14:paraId="573058E0"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4.90</w:t>
            </w:r>
          </w:p>
        </w:tc>
      </w:tr>
      <w:tr w:rsidR="00A84E96" w:rsidRPr="00114425" w14:paraId="101326C4" w14:textId="77777777" w:rsidTr="005A6978">
        <w:trPr>
          <w:jc w:val="center"/>
        </w:trPr>
        <w:tc>
          <w:tcPr>
            <w:tcW w:w="3870" w:type="dxa"/>
          </w:tcPr>
          <w:p w14:paraId="2CF1E475"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Primary education </w:t>
            </w:r>
          </w:p>
        </w:tc>
        <w:tc>
          <w:tcPr>
            <w:tcW w:w="2358" w:type="dxa"/>
          </w:tcPr>
          <w:p w14:paraId="56D61646"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46</w:t>
            </w:r>
          </w:p>
        </w:tc>
        <w:tc>
          <w:tcPr>
            <w:tcW w:w="2277" w:type="dxa"/>
          </w:tcPr>
          <w:p w14:paraId="6E2156FD"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18.80</w:t>
            </w:r>
          </w:p>
        </w:tc>
      </w:tr>
      <w:tr w:rsidR="00A84E96" w:rsidRPr="00114425" w14:paraId="4B38E4EF" w14:textId="77777777" w:rsidTr="005A6978">
        <w:trPr>
          <w:jc w:val="center"/>
        </w:trPr>
        <w:tc>
          <w:tcPr>
            <w:tcW w:w="3870" w:type="dxa"/>
          </w:tcPr>
          <w:p w14:paraId="49C2F49C"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Secondary education </w:t>
            </w:r>
          </w:p>
        </w:tc>
        <w:tc>
          <w:tcPr>
            <w:tcW w:w="2358" w:type="dxa"/>
          </w:tcPr>
          <w:p w14:paraId="572EE27B"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117</w:t>
            </w:r>
          </w:p>
        </w:tc>
        <w:tc>
          <w:tcPr>
            <w:tcW w:w="2277" w:type="dxa"/>
          </w:tcPr>
          <w:p w14:paraId="3CB37268"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47.80</w:t>
            </w:r>
          </w:p>
        </w:tc>
      </w:tr>
      <w:tr w:rsidR="00A84E96" w:rsidRPr="00114425" w14:paraId="3D8BFB3A" w14:textId="77777777" w:rsidTr="005A6978">
        <w:trPr>
          <w:jc w:val="center"/>
        </w:trPr>
        <w:tc>
          <w:tcPr>
            <w:tcW w:w="3870" w:type="dxa"/>
          </w:tcPr>
          <w:p w14:paraId="60B386E7"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Tertiary education </w:t>
            </w:r>
          </w:p>
        </w:tc>
        <w:tc>
          <w:tcPr>
            <w:tcW w:w="2358" w:type="dxa"/>
          </w:tcPr>
          <w:p w14:paraId="624B4334"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70</w:t>
            </w:r>
          </w:p>
        </w:tc>
        <w:tc>
          <w:tcPr>
            <w:tcW w:w="2277" w:type="dxa"/>
          </w:tcPr>
          <w:p w14:paraId="7C5E0252"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28.60</w:t>
            </w:r>
          </w:p>
        </w:tc>
      </w:tr>
      <w:tr w:rsidR="00A84E96" w:rsidRPr="00114425" w14:paraId="0314F54D" w14:textId="77777777" w:rsidTr="005A6978">
        <w:trPr>
          <w:jc w:val="center"/>
        </w:trPr>
        <w:tc>
          <w:tcPr>
            <w:tcW w:w="3870" w:type="dxa"/>
          </w:tcPr>
          <w:p w14:paraId="3E31A83A"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r w:rsidRPr="00114425">
              <w:rPr>
                <w:rFonts w:ascii="Times New Roman" w:hAnsi="Times New Roman" w:cs="Times New Roman"/>
                <w:b/>
                <w:sz w:val="20"/>
                <w:szCs w:val="20"/>
              </w:rPr>
              <w:t>Religion</w:t>
            </w:r>
          </w:p>
        </w:tc>
        <w:tc>
          <w:tcPr>
            <w:tcW w:w="2358" w:type="dxa"/>
          </w:tcPr>
          <w:p w14:paraId="120F8FD7"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p>
        </w:tc>
        <w:tc>
          <w:tcPr>
            <w:tcW w:w="2277" w:type="dxa"/>
          </w:tcPr>
          <w:p w14:paraId="7A0DEB9E"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p>
        </w:tc>
      </w:tr>
      <w:tr w:rsidR="00A84E96" w:rsidRPr="00114425" w14:paraId="62E262F6" w14:textId="77777777" w:rsidTr="005A6978">
        <w:trPr>
          <w:jc w:val="center"/>
        </w:trPr>
        <w:tc>
          <w:tcPr>
            <w:tcW w:w="3870" w:type="dxa"/>
          </w:tcPr>
          <w:p w14:paraId="561349D6"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Christitanity </w:t>
            </w:r>
          </w:p>
        </w:tc>
        <w:tc>
          <w:tcPr>
            <w:tcW w:w="2358" w:type="dxa"/>
          </w:tcPr>
          <w:p w14:paraId="3D047FCB"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131</w:t>
            </w:r>
          </w:p>
        </w:tc>
        <w:tc>
          <w:tcPr>
            <w:tcW w:w="2277" w:type="dxa"/>
          </w:tcPr>
          <w:p w14:paraId="70A7728C"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53.50</w:t>
            </w:r>
          </w:p>
        </w:tc>
      </w:tr>
      <w:tr w:rsidR="00A84E96" w:rsidRPr="00114425" w14:paraId="658702A1" w14:textId="77777777" w:rsidTr="005A6978">
        <w:trPr>
          <w:jc w:val="center"/>
        </w:trPr>
        <w:tc>
          <w:tcPr>
            <w:tcW w:w="3870" w:type="dxa"/>
          </w:tcPr>
          <w:p w14:paraId="21FB6C2F"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Islamic </w:t>
            </w:r>
          </w:p>
        </w:tc>
        <w:tc>
          <w:tcPr>
            <w:tcW w:w="2358" w:type="dxa"/>
          </w:tcPr>
          <w:p w14:paraId="4572015E"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65</w:t>
            </w:r>
          </w:p>
        </w:tc>
        <w:tc>
          <w:tcPr>
            <w:tcW w:w="2277" w:type="dxa"/>
          </w:tcPr>
          <w:p w14:paraId="41AB5920"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26.50</w:t>
            </w:r>
          </w:p>
        </w:tc>
      </w:tr>
      <w:tr w:rsidR="00A84E96" w:rsidRPr="00114425" w14:paraId="57285E12" w14:textId="77777777" w:rsidTr="005A6978">
        <w:trPr>
          <w:jc w:val="center"/>
        </w:trPr>
        <w:tc>
          <w:tcPr>
            <w:tcW w:w="3870" w:type="dxa"/>
          </w:tcPr>
          <w:p w14:paraId="077CCACF"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Traditional </w:t>
            </w:r>
          </w:p>
        </w:tc>
        <w:tc>
          <w:tcPr>
            <w:tcW w:w="2358" w:type="dxa"/>
          </w:tcPr>
          <w:p w14:paraId="597D2563"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49</w:t>
            </w:r>
          </w:p>
        </w:tc>
        <w:tc>
          <w:tcPr>
            <w:tcW w:w="2277" w:type="dxa"/>
          </w:tcPr>
          <w:p w14:paraId="31103E07"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20.0</w:t>
            </w:r>
          </w:p>
        </w:tc>
      </w:tr>
      <w:tr w:rsidR="00A84E96" w:rsidRPr="00114425" w14:paraId="072F893B" w14:textId="77777777" w:rsidTr="005A6978">
        <w:trPr>
          <w:jc w:val="center"/>
        </w:trPr>
        <w:tc>
          <w:tcPr>
            <w:tcW w:w="3870" w:type="dxa"/>
          </w:tcPr>
          <w:p w14:paraId="42ADB5FA"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r w:rsidRPr="00114425">
              <w:rPr>
                <w:rFonts w:ascii="Times New Roman" w:hAnsi="Times New Roman" w:cs="Times New Roman"/>
                <w:b/>
                <w:sz w:val="20"/>
                <w:szCs w:val="20"/>
              </w:rPr>
              <w:t xml:space="preserve">Primary occupation </w:t>
            </w:r>
          </w:p>
        </w:tc>
        <w:tc>
          <w:tcPr>
            <w:tcW w:w="2358" w:type="dxa"/>
          </w:tcPr>
          <w:p w14:paraId="1D2AFEB4"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p>
        </w:tc>
        <w:tc>
          <w:tcPr>
            <w:tcW w:w="2277" w:type="dxa"/>
          </w:tcPr>
          <w:p w14:paraId="157A12CA"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p>
        </w:tc>
      </w:tr>
      <w:tr w:rsidR="00A84E96" w:rsidRPr="00114425" w14:paraId="38AC2AAC" w14:textId="77777777" w:rsidTr="005A6978">
        <w:trPr>
          <w:jc w:val="center"/>
        </w:trPr>
        <w:tc>
          <w:tcPr>
            <w:tcW w:w="3870" w:type="dxa"/>
          </w:tcPr>
          <w:p w14:paraId="45B0589A"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Trading </w:t>
            </w:r>
          </w:p>
        </w:tc>
        <w:tc>
          <w:tcPr>
            <w:tcW w:w="2358" w:type="dxa"/>
          </w:tcPr>
          <w:p w14:paraId="1943E051"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137</w:t>
            </w:r>
          </w:p>
        </w:tc>
        <w:tc>
          <w:tcPr>
            <w:tcW w:w="2277" w:type="dxa"/>
          </w:tcPr>
          <w:p w14:paraId="5C014B21"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55.90</w:t>
            </w:r>
          </w:p>
        </w:tc>
      </w:tr>
      <w:tr w:rsidR="00A84E96" w:rsidRPr="00114425" w14:paraId="42A9FD99" w14:textId="77777777" w:rsidTr="005A6978">
        <w:trPr>
          <w:jc w:val="center"/>
        </w:trPr>
        <w:tc>
          <w:tcPr>
            <w:tcW w:w="3870" w:type="dxa"/>
          </w:tcPr>
          <w:p w14:paraId="3FEDE1B9"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Farming </w:t>
            </w:r>
          </w:p>
        </w:tc>
        <w:tc>
          <w:tcPr>
            <w:tcW w:w="2358" w:type="dxa"/>
          </w:tcPr>
          <w:p w14:paraId="23F95CDC"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26</w:t>
            </w:r>
          </w:p>
        </w:tc>
        <w:tc>
          <w:tcPr>
            <w:tcW w:w="2277" w:type="dxa"/>
          </w:tcPr>
          <w:p w14:paraId="306C37EB"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10.60</w:t>
            </w:r>
          </w:p>
        </w:tc>
      </w:tr>
      <w:tr w:rsidR="00A84E96" w:rsidRPr="00114425" w14:paraId="1D4DF3D5" w14:textId="77777777" w:rsidTr="005A6978">
        <w:trPr>
          <w:jc w:val="center"/>
        </w:trPr>
        <w:tc>
          <w:tcPr>
            <w:tcW w:w="3870" w:type="dxa"/>
          </w:tcPr>
          <w:p w14:paraId="0E72BE83"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Civil servant</w:t>
            </w:r>
          </w:p>
        </w:tc>
        <w:tc>
          <w:tcPr>
            <w:tcW w:w="2358" w:type="dxa"/>
          </w:tcPr>
          <w:p w14:paraId="63035897"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31</w:t>
            </w:r>
          </w:p>
        </w:tc>
        <w:tc>
          <w:tcPr>
            <w:tcW w:w="2277" w:type="dxa"/>
          </w:tcPr>
          <w:p w14:paraId="126A911E"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12.70</w:t>
            </w:r>
          </w:p>
        </w:tc>
      </w:tr>
      <w:tr w:rsidR="00A84E96" w:rsidRPr="00114425" w14:paraId="0F4CF7E3" w14:textId="77777777" w:rsidTr="005A6978">
        <w:trPr>
          <w:jc w:val="center"/>
        </w:trPr>
        <w:tc>
          <w:tcPr>
            <w:tcW w:w="3870" w:type="dxa"/>
          </w:tcPr>
          <w:p w14:paraId="528FF43D"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Artisan </w:t>
            </w:r>
          </w:p>
        </w:tc>
        <w:tc>
          <w:tcPr>
            <w:tcW w:w="2358" w:type="dxa"/>
          </w:tcPr>
          <w:p w14:paraId="7799BB66"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51</w:t>
            </w:r>
          </w:p>
        </w:tc>
        <w:tc>
          <w:tcPr>
            <w:tcW w:w="2277" w:type="dxa"/>
          </w:tcPr>
          <w:p w14:paraId="5FB71FD4"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20.80</w:t>
            </w:r>
          </w:p>
        </w:tc>
      </w:tr>
      <w:tr w:rsidR="00A84E96" w:rsidRPr="00114425" w14:paraId="5A8F25F9" w14:textId="77777777" w:rsidTr="005A6978">
        <w:trPr>
          <w:jc w:val="center"/>
        </w:trPr>
        <w:tc>
          <w:tcPr>
            <w:tcW w:w="3870" w:type="dxa"/>
          </w:tcPr>
          <w:p w14:paraId="16CE7A36"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r w:rsidRPr="00114425">
              <w:rPr>
                <w:rFonts w:ascii="Times New Roman" w:hAnsi="Times New Roman" w:cs="Times New Roman"/>
                <w:b/>
                <w:sz w:val="20"/>
                <w:szCs w:val="20"/>
              </w:rPr>
              <w:t>`Household size</w:t>
            </w:r>
          </w:p>
        </w:tc>
        <w:tc>
          <w:tcPr>
            <w:tcW w:w="2358" w:type="dxa"/>
          </w:tcPr>
          <w:p w14:paraId="0A332CAE"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p>
        </w:tc>
        <w:tc>
          <w:tcPr>
            <w:tcW w:w="2277" w:type="dxa"/>
          </w:tcPr>
          <w:p w14:paraId="6845D87D"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p>
        </w:tc>
      </w:tr>
      <w:tr w:rsidR="00A84E96" w:rsidRPr="00114425" w14:paraId="70C87FB7" w14:textId="77777777" w:rsidTr="005A6978">
        <w:trPr>
          <w:jc w:val="center"/>
        </w:trPr>
        <w:tc>
          <w:tcPr>
            <w:tcW w:w="3870" w:type="dxa"/>
          </w:tcPr>
          <w:p w14:paraId="40B0B73F"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1-5</w:t>
            </w:r>
          </w:p>
        </w:tc>
        <w:tc>
          <w:tcPr>
            <w:tcW w:w="2358" w:type="dxa"/>
          </w:tcPr>
          <w:p w14:paraId="5672B40B"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125</w:t>
            </w:r>
          </w:p>
        </w:tc>
        <w:tc>
          <w:tcPr>
            <w:tcW w:w="2277" w:type="dxa"/>
          </w:tcPr>
          <w:p w14:paraId="0971E0C4"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51.0</w:t>
            </w:r>
          </w:p>
        </w:tc>
      </w:tr>
      <w:tr w:rsidR="00A84E96" w:rsidRPr="00114425" w14:paraId="583052F5" w14:textId="77777777" w:rsidTr="005A6978">
        <w:trPr>
          <w:jc w:val="center"/>
        </w:trPr>
        <w:tc>
          <w:tcPr>
            <w:tcW w:w="3870" w:type="dxa"/>
          </w:tcPr>
          <w:p w14:paraId="56D87861"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6-10</w:t>
            </w:r>
          </w:p>
        </w:tc>
        <w:tc>
          <w:tcPr>
            <w:tcW w:w="2358" w:type="dxa"/>
          </w:tcPr>
          <w:p w14:paraId="498F0677"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113</w:t>
            </w:r>
          </w:p>
        </w:tc>
        <w:tc>
          <w:tcPr>
            <w:tcW w:w="2277" w:type="dxa"/>
          </w:tcPr>
          <w:p w14:paraId="0EF7EC49"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46.1</w:t>
            </w:r>
          </w:p>
        </w:tc>
      </w:tr>
      <w:tr w:rsidR="00A84E96" w:rsidRPr="00114425" w14:paraId="7C7FE4D3" w14:textId="77777777" w:rsidTr="005A6978">
        <w:trPr>
          <w:jc w:val="center"/>
        </w:trPr>
        <w:tc>
          <w:tcPr>
            <w:tcW w:w="3870" w:type="dxa"/>
          </w:tcPr>
          <w:p w14:paraId="50EB61D0"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&gt;10</w:t>
            </w:r>
          </w:p>
        </w:tc>
        <w:tc>
          <w:tcPr>
            <w:tcW w:w="2358" w:type="dxa"/>
          </w:tcPr>
          <w:p w14:paraId="7114361C"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7</w:t>
            </w:r>
          </w:p>
        </w:tc>
        <w:tc>
          <w:tcPr>
            <w:tcW w:w="2277" w:type="dxa"/>
          </w:tcPr>
          <w:p w14:paraId="2F6CD04D"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2.90</w:t>
            </w:r>
          </w:p>
        </w:tc>
      </w:tr>
      <w:tr w:rsidR="00A84E96" w:rsidRPr="00114425" w14:paraId="50C79D7E" w14:textId="77777777" w:rsidTr="005A6978">
        <w:trPr>
          <w:jc w:val="center"/>
        </w:trPr>
        <w:tc>
          <w:tcPr>
            <w:tcW w:w="3870" w:type="dxa"/>
          </w:tcPr>
          <w:p w14:paraId="517A5E19"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r w:rsidRPr="00114425">
              <w:rPr>
                <w:rFonts w:ascii="Times New Roman" w:hAnsi="Times New Roman" w:cs="Times New Roman"/>
                <w:b/>
                <w:sz w:val="20"/>
                <w:szCs w:val="20"/>
              </w:rPr>
              <w:t>Cooperative membership</w:t>
            </w:r>
          </w:p>
        </w:tc>
        <w:tc>
          <w:tcPr>
            <w:tcW w:w="2358" w:type="dxa"/>
          </w:tcPr>
          <w:p w14:paraId="5E78D134"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p>
        </w:tc>
        <w:tc>
          <w:tcPr>
            <w:tcW w:w="2277" w:type="dxa"/>
          </w:tcPr>
          <w:p w14:paraId="5BFE95D9"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p>
        </w:tc>
      </w:tr>
      <w:tr w:rsidR="00A84E96" w:rsidRPr="00114425" w14:paraId="112092FC" w14:textId="77777777" w:rsidTr="005A6978">
        <w:trPr>
          <w:jc w:val="center"/>
        </w:trPr>
        <w:tc>
          <w:tcPr>
            <w:tcW w:w="3870" w:type="dxa"/>
          </w:tcPr>
          <w:p w14:paraId="14F1C7B0"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Yes </w:t>
            </w:r>
          </w:p>
        </w:tc>
        <w:tc>
          <w:tcPr>
            <w:tcW w:w="2358" w:type="dxa"/>
          </w:tcPr>
          <w:p w14:paraId="1A866768"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132</w:t>
            </w:r>
          </w:p>
        </w:tc>
        <w:tc>
          <w:tcPr>
            <w:tcW w:w="2277" w:type="dxa"/>
          </w:tcPr>
          <w:p w14:paraId="3139CAA9"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53.90</w:t>
            </w:r>
          </w:p>
        </w:tc>
      </w:tr>
      <w:tr w:rsidR="00A84E96" w:rsidRPr="00114425" w14:paraId="26747322" w14:textId="77777777" w:rsidTr="005A6978">
        <w:trPr>
          <w:jc w:val="center"/>
        </w:trPr>
        <w:tc>
          <w:tcPr>
            <w:tcW w:w="3870" w:type="dxa"/>
          </w:tcPr>
          <w:p w14:paraId="29B37C01"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No </w:t>
            </w:r>
          </w:p>
        </w:tc>
        <w:tc>
          <w:tcPr>
            <w:tcW w:w="2358" w:type="dxa"/>
          </w:tcPr>
          <w:p w14:paraId="65A8FD84"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113</w:t>
            </w:r>
          </w:p>
        </w:tc>
        <w:tc>
          <w:tcPr>
            <w:tcW w:w="2277" w:type="dxa"/>
          </w:tcPr>
          <w:p w14:paraId="1F1291EA"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46.10</w:t>
            </w:r>
          </w:p>
        </w:tc>
      </w:tr>
      <w:tr w:rsidR="00A84E96" w:rsidRPr="00114425" w14:paraId="7E605B0C" w14:textId="77777777" w:rsidTr="005A6978">
        <w:trPr>
          <w:jc w:val="center"/>
        </w:trPr>
        <w:tc>
          <w:tcPr>
            <w:tcW w:w="3870" w:type="dxa"/>
          </w:tcPr>
          <w:p w14:paraId="5C71B0DF"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r w:rsidRPr="00114425">
              <w:rPr>
                <w:rFonts w:ascii="Times New Roman" w:hAnsi="Times New Roman" w:cs="Times New Roman"/>
                <w:b/>
                <w:sz w:val="20"/>
                <w:szCs w:val="20"/>
              </w:rPr>
              <w:t xml:space="preserve">Monthly income </w:t>
            </w:r>
          </w:p>
        </w:tc>
        <w:tc>
          <w:tcPr>
            <w:tcW w:w="2358" w:type="dxa"/>
          </w:tcPr>
          <w:p w14:paraId="109B4CD5"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r w:rsidRPr="00114425">
              <w:rPr>
                <w:rFonts w:ascii="Times New Roman" w:hAnsi="Times New Roman" w:cs="Times New Roman"/>
                <w:b/>
                <w:sz w:val="20"/>
                <w:szCs w:val="20"/>
              </w:rPr>
              <w:t xml:space="preserve">Frequency </w:t>
            </w:r>
          </w:p>
        </w:tc>
        <w:tc>
          <w:tcPr>
            <w:tcW w:w="2277" w:type="dxa"/>
          </w:tcPr>
          <w:p w14:paraId="30DF377C"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b/>
                <w:sz w:val="20"/>
                <w:szCs w:val="20"/>
              </w:rPr>
            </w:pPr>
            <w:r w:rsidRPr="00114425">
              <w:rPr>
                <w:rFonts w:ascii="Times New Roman" w:hAnsi="Times New Roman" w:cs="Times New Roman"/>
                <w:b/>
                <w:sz w:val="20"/>
                <w:szCs w:val="20"/>
              </w:rPr>
              <w:t xml:space="preserve">Percentages </w:t>
            </w:r>
          </w:p>
        </w:tc>
      </w:tr>
      <w:tr w:rsidR="00A84E96" w:rsidRPr="00114425" w14:paraId="6D1E82F5" w14:textId="77777777" w:rsidTr="005A6978">
        <w:trPr>
          <w:jc w:val="center"/>
        </w:trPr>
        <w:tc>
          <w:tcPr>
            <w:tcW w:w="3870" w:type="dxa"/>
          </w:tcPr>
          <w:p w14:paraId="5191D4BE"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&lt;10,000</w:t>
            </w:r>
          </w:p>
        </w:tc>
        <w:tc>
          <w:tcPr>
            <w:tcW w:w="2358" w:type="dxa"/>
          </w:tcPr>
          <w:p w14:paraId="629B60C0"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37</w:t>
            </w:r>
          </w:p>
        </w:tc>
        <w:tc>
          <w:tcPr>
            <w:tcW w:w="2277" w:type="dxa"/>
          </w:tcPr>
          <w:p w14:paraId="7DDB9CE2"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15.10</w:t>
            </w:r>
          </w:p>
        </w:tc>
      </w:tr>
      <w:tr w:rsidR="00A84E96" w:rsidRPr="00114425" w14:paraId="28A8E250" w14:textId="77777777" w:rsidTr="005A6978">
        <w:trPr>
          <w:jc w:val="center"/>
        </w:trPr>
        <w:tc>
          <w:tcPr>
            <w:tcW w:w="3870" w:type="dxa"/>
          </w:tcPr>
          <w:p w14:paraId="4692F0C2"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100001-20000</w:t>
            </w:r>
          </w:p>
        </w:tc>
        <w:tc>
          <w:tcPr>
            <w:tcW w:w="2358" w:type="dxa"/>
          </w:tcPr>
          <w:p w14:paraId="0E2B10C8"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47</w:t>
            </w:r>
          </w:p>
        </w:tc>
        <w:tc>
          <w:tcPr>
            <w:tcW w:w="2277" w:type="dxa"/>
          </w:tcPr>
          <w:p w14:paraId="252F7504"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19.20</w:t>
            </w:r>
          </w:p>
        </w:tc>
      </w:tr>
      <w:tr w:rsidR="00A84E96" w:rsidRPr="00114425" w14:paraId="4CA6E43D" w14:textId="77777777" w:rsidTr="005A6978">
        <w:trPr>
          <w:jc w:val="center"/>
        </w:trPr>
        <w:tc>
          <w:tcPr>
            <w:tcW w:w="3870" w:type="dxa"/>
          </w:tcPr>
          <w:p w14:paraId="71FED1F4"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200001-30000</w:t>
            </w:r>
          </w:p>
        </w:tc>
        <w:tc>
          <w:tcPr>
            <w:tcW w:w="2358" w:type="dxa"/>
          </w:tcPr>
          <w:p w14:paraId="57C97500"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52</w:t>
            </w:r>
          </w:p>
        </w:tc>
        <w:tc>
          <w:tcPr>
            <w:tcW w:w="2277" w:type="dxa"/>
          </w:tcPr>
          <w:p w14:paraId="669A6879"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21.20</w:t>
            </w:r>
          </w:p>
        </w:tc>
      </w:tr>
      <w:tr w:rsidR="00A84E96" w:rsidRPr="00114425" w14:paraId="02CD8306" w14:textId="77777777" w:rsidTr="005A6978">
        <w:trPr>
          <w:jc w:val="center"/>
        </w:trPr>
        <w:tc>
          <w:tcPr>
            <w:tcW w:w="3870" w:type="dxa"/>
          </w:tcPr>
          <w:p w14:paraId="398EE2C9"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300001-40000</w:t>
            </w:r>
          </w:p>
        </w:tc>
        <w:tc>
          <w:tcPr>
            <w:tcW w:w="2358" w:type="dxa"/>
          </w:tcPr>
          <w:p w14:paraId="399EFEB4"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55</w:t>
            </w:r>
          </w:p>
        </w:tc>
        <w:tc>
          <w:tcPr>
            <w:tcW w:w="2277" w:type="dxa"/>
          </w:tcPr>
          <w:p w14:paraId="239E1662"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22.40</w:t>
            </w:r>
          </w:p>
        </w:tc>
      </w:tr>
      <w:tr w:rsidR="00A84E96" w:rsidRPr="00114425" w14:paraId="569F2E7A" w14:textId="77777777" w:rsidTr="005A6978">
        <w:trPr>
          <w:jc w:val="center"/>
        </w:trPr>
        <w:tc>
          <w:tcPr>
            <w:tcW w:w="3870" w:type="dxa"/>
          </w:tcPr>
          <w:p w14:paraId="2128335B"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400001-50000</w:t>
            </w:r>
          </w:p>
        </w:tc>
        <w:tc>
          <w:tcPr>
            <w:tcW w:w="2358" w:type="dxa"/>
          </w:tcPr>
          <w:p w14:paraId="1E46EA0D"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54</w:t>
            </w:r>
          </w:p>
        </w:tc>
        <w:tc>
          <w:tcPr>
            <w:tcW w:w="2277" w:type="dxa"/>
          </w:tcPr>
          <w:p w14:paraId="218DC3D9" w14:textId="77777777" w:rsidR="00A84E96" w:rsidRPr="00114425" w:rsidRDefault="00A84E96" w:rsidP="005A6978">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22.00</w:t>
            </w:r>
          </w:p>
        </w:tc>
      </w:tr>
    </w:tbl>
    <w:p w14:paraId="23FFD584" w14:textId="4336CE3A" w:rsidR="005A6978" w:rsidRPr="00280688" w:rsidRDefault="00A84E96" w:rsidP="00280688">
      <w:pPr>
        <w:spacing w:line="240" w:lineRule="auto"/>
        <w:jc w:val="center"/>
        <w:rPr>
          <w:rFonts w:ascii="Times New Roman" w:hAnsi="Times New Roman" w:cs="Times New Roman"/>
          <w:bCs/>
          <w:i/>
          <w:sz w:val="24"/>
          <w:szCs w:val="24"/>
        </w:rPr>
      </w:pPr>
      <w:r w:rsidRPr="005A6978">
        <w:rPr>
          <w:rFonts w:ascii="Times New Roman" w:hAnsi="Times New Roman" w:cs="Times New Roman"/>
          <w:bCs/>
          <w:i/>
          <w:sz w:val="24"/>
          <w:szCs w:val="24"/>
        </w:rPr>
        <w:t>Source: Field Survey, 2024</w:t>
      </w:r>
    </w:p>
    <w:p w14:paraId="7061F76A" w14:textId="2404CE76" w:rsidR="00A84E96" w:rsidRPr="00BE4AF3" w:rsidRDefault="00A84E96" w:rsidP="00891DB0">
      <w:pPr>
        <w:spacing w:after="0" w:line="240" w:lineRule="auto"/>
        <w:jc w:val="both"/>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Planning and Intervention Strategies for Industrial Growth in Sango-Ota</w:t>
      </w:r>
    </w:p>
    <w:p w14:paraId="795D947E" w14:textId="0FCD570C" w:rsidR="00A84E96" w:rsidRDefault="00A84E96" w:rsidP="00891DB0">
      <w:pPr>
        <w:spacing w:after="0"/>
        <w:jc w:val="both"/>
        <w:rPr>
          <w:rFonts w:ascii="Times New Roman" w:hAnsi="Times New Roman" w:cs="Times New Roman"/>
          <w:sz w:val="24"/>
          <w:szCs w:val="24"/>
        </w:rPr>
      </w:pPr>
      <w:r w:rsidRPr="00BE4AF3">
        <w:rPr>
          <w:rFonts w:ascii="Times New Roman" w:hAnsi="Times New Roman" w:cs="Times New Roman"/>
          <w:sz w:val="24"/>
          <w:szCs w:val="24"/>
        </w:rPr>
        <w:t xml:space="preserve">The Sango-Ota is a zoned area of urban land that signified a diversified infrastructural mode of development. It has been confirmed and awarded residential zoning 14.3 out of which it is further held that accommodation-housing-living is in a better position as compared to all the other use zones that have found suitability to this particular city. This other categorization of the industrial sector, once again, is further classified with 31.0 percent under specified land use category with greater priority allocated to development of industries as an economic growth driver, subzone 25.3 percent commercial activities with 29.4 percent agricultural zoning to regard land feasibility in </w:t>
      </w:r>
      <w:r w:rsidRPr="00BE4AF3">
        <w:rPr>
          <w:rFonts w:ascii="Times New Roman" w:hAnsi="Times New Roman" w:cs="Times New Roman"/>
          <w:sz w:val="24"/>
          <w:szCs w:val="24"/>
        </w:rPr>
        <w:lastRenderedPageBreak/>
        <w:t xml:space="preserve">agriculture environment. The development of the area is linked to all economic activities with respect to the critical infrastructure. Its advisory access in the highways which are in good condition is 21.6. Stating another tale, Rail accessibility is extremely demanded, in terms of freight consumption, 63.7% of the latter would ease on the transport and logistics of the industries. The provision of the service can be improved in several ways as well: Horrendously, 9.0 percent responded that the power supply was bad, and 5.7 percent responded that the water supply to the community was bad. Greenery is also arranged sequentially adjacent to the industrial land in another land-use planning to take into account the ten year long defense of permit floristic expansion bearing in mind the secondary utilizable value of the greenery. Green-only milieu per se, taken environmental ripeness into account. </w:t>
      </w:r>
      <w:r w:rsidR="00473646" w:rsidRPr="00BE4AF3">
        <w:rPr>
          <w:rFonts w:ascii="Times New Roman" w:hAnsi="Times New Roman" w:cs="Times New Roman"/>
          <w:sz w:val="24"/>
          <w:szCs w:val="24"/>
        </w:rPr>
        <w:t>Anything</w:t>
      </w:r>
      <w:r w:rsidRPr="00BE4AF3">
        <w:rPr>
          <w:rFonts w:ascii="Times New Roman" w:hAnsi="Times New Roman" w:cs="Times New Roman"/>
          <w:sz w:val="24"/>
          <w:szCs w:val="24"/>
        </w:rPr>
        <w:t xml:space="preserve"> which would be developed in the industrial area would become properly planned keeping in consideration the development of the big trees in most wetlands, in the industrial areas. One in addition we found the residential industrial use buffer zoning at 28.6 and this showed awareness to the potential contamination zones on the master plan. The 4.9% of industrial territory which receives the very few grants of land made on an exclusive basis to different admirations of manufacture and an 18.8% miscellaneous its meager prospective character into modernizing with types of use. A portion of the necessities of locating investors is by cheap inducements. Motives like incentives offered in encouraging a business like tax holidays to customers joining the business meaning that there is no time taken on the non-charging key. These would not cast any sunlight on the future of majority startups. Higher in interest payment on funds the start up loans are not provided substantially there in it is the 19.2% motivation; either way, it may well be the only natural, undisturbed life. The cost of utility of right to drive has been identified as 21.2; the infrastructure subsidy is approximately 44.4. Thus any tendency in this direction concentrates the depreciation of a prospect to make some contribution at least to an investment system in the home institution. The movement of the workforce must be carried out through transportation. The industrial estate transport lifeline will consist of buttons and should not be narrowed down to half service, just like 55.9% response recommends. Reported small percentages of carpooling (10.6%), and a low percentage of bicycle lanes (12.7), are found in putative limited transportation options. At the very least, a good indicator can be seen with this employee shuttle service. Indication of a case of an unfolding interaction with substantive grounds constituting economic development and a statement of some probability of re-organsisation of infrastructure and economic stimulus of industrialisation in the region of interest.</w:t>
      </w:r>
    </w:p>
    <w:p w14:paraId="581CB224" w14:textId="77777777" w:rsidR="00891DB0" w:rsidRDefault="00891DB0" w:rsidP="00891DB0">
      <w:pPr>
        <w:spacing w:after="0"/>
        <w:jc w:val="both"/>
        <w:rPr>
          <w:rFonts w:ascii="Times New Roman" w:hAnsi="Times New Roman" w:cs="Times New Roman"/>
          <w:sz w:val="24"/>
          <w:szCs w:val="24"/>
        </w:rPr>
      </w:pPr>
    </w:p>
    <w:p w14:paraId="5568C957" w14:textId="77777777" w:rsidR="00891DB0" w:rsidRDefault="00891DB0" w:rsidP="00891DB0">
      <w:pPr>
        <w:spacing w:after="0"/>
        <w:jc w:val="both"/>
        <w:rPr>
          <w:rFonts w:ascii="Times New Roman" w:hAnsi="Times New Roman" w:cs="Times New Roman"/>
          <w:sz w:val="24"/>
          <w:szCs w:val="24"/>
        </w:rPr>
      </w:pPr>
    </w:p>
    <w:p w14:paraId="11240D43" w14:textId="77777777" w:rsidR="00280688" w:rsidRDefault="00280688" w:rsidP="00891DB0">
      <w:pPr>
        <w:spacing w:after="0"/>
        <w:jc w:val="both"/>
        <w:rPr>
          <w:rFonts w:ascii="Times New Roman" w:hAnsi="Times New Roman" w:cs="Times New Roman"/>
          <w:sz w:val="24"/>
          <w:szCs w:val="24"/>
        </w:rPr>
      </w:pPr>
    </w:p>
    <w:p w14:paraId="18BD1D97" w14:textId="77777777" w:rsidR="00280688" w:rsidRDefault="00280688" w:rsidP="00891DB0">
      <w:pPr>
        <w:spacing w:after="0"/>
        <w:jc w:val="both"/>
        <w:rPr>
          <w:rFonts w:ascii="Times New Roman" w:hAnsi="Times New Roman" w:cs="Times New Roman"/>
          <w:sz w:val="24"/>
          <w:szCs w:val="24"/>
        </w:rPr>
      </w:pPr>
    </w:p>
    <w:p w14:paraId="67148BF7" w14:textId="77777777" w:rsidR="00280688" w:rsidRDefault="00280688" w:rsidP="00891DB0">
      <w:pPr>
        <w:spacing w:after="0"/>
        <w:jc w:val="both"/>
        <w:rPr>
          <w:rFonts w:ascii="Times New Roman" w:hAnsi="Times New Roman" w:cs="Times New Roman"/>
          <w:sz w:val="24"/>
          <w:szCs w:val="24"/>
        </w:rPr>
      </w:pPr>
    </w:p>
    <w:p w14:paraId="36548A98" w14:textId="77777777" w:rsidR="00280688" w:rsidRDefault="00280688" w:rsidP="00891DB0">
      <w:pPr>
        <w:spacing w:after="0"/>
        <w:jc w:val="both"/>
        <w:rPr>
          <w:rFonts w:ascii="Times New Roman" w:hAnsi="Times New Roman" w:cs="Times New Roman"/>
          <w:sz w:val="24"/>
          <w:szCs w:val="24"/>
        </w:rPr>
      </w:pPr>
    </w:p>
    <w:p w14:paraId="476B5C2B" w14:textId="77777777" w:rsidR="00280688" w:rsidRDefault="00280688" w:rsidP="00891DB0">
      <w:pPr>
        <w:spacing w:after="0"/>
        <w:jc w:val="both"/>
        <w:rPr>
          <w:rFonts w:ascii="Times New Roman" w:hAnsi="Times New Roman" w:cs="Times New Roman"/>
          <w:sz w:val="24"/>
          <w:szCs w:val="24"/>
        </w:rPr>
      </w:pPr>
    </w:p>
    <w:p w14:paraId="46663377" w14:textId="77777777" w:rsidR="00280688" w:rsidRDefault="00280688" w:rsidP="00891DB0">
      <w:pPr>
        <w:spacing w:after="0"/>
        <w:jc w:val="both"/>
        <w:rPr>
          <w:rFonts w:ascii="Times New Roman" w:hAnsi="Times New Roman" w:cs="Times New Roman"/>
          <w:sz w:val="24"/>
          <w:szCs w:val="24"/>
        </w:rPr>
      </w:pPr>
    </w:p>
    <w:p w14:paraId="0B796BC3" w14:textId="77777777" w:rsidR="00280688" w:rsidRPr="00BE4AF3" w:rsidRDefault="00280688" w:rsidP="00891DB0">
      <w:pPr>
        <w:spacing w:after="0"/>
        <w:jc w:val="both"/>
        <w:rPr>
          <w:rFonts w:ascii="Times New Roman" w:hAnsi="Times New Roman" w:cs="Times New Roman"/>
          <w:sz w:val="24"/>
          <w:szCs w:val="24"/>
        </w:rPr>
      </w:pPr>
    </w:p>
    <w:p w14:paraId="161690B3" w14:textId="77777777" w:rsidR="00A84E96" w:rsidRPr="00BE4AF3" w:rsidRDefault="00A84E96" w:rsidP="00114425">
      <w:pPr>
        <w:spacing w:after="0" w:line="240" w:lineRule="auto"/>
        <w:jc w:val="center"/>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lastRenderedPageBreak/>
        <w:t xml:space="preserve">Table 3: </w:t>
      </w:r>
      <w:r w:rsidRPr="00891DB0">
        <w:rPr>
          <w:rFonts w:ascii="Times New Roman" w:eastAsia="Times New Roman" w:hAnsi="Times New Roman" w:cs="Times New Roman"/>
          <w:bCs/>
          <w:sz w:val="24"/>
          <w:szCs w:val="24"/>
        </w:rPr>
        <w:t>Distribution based on Spatial Planning Strategies</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1417"/>
        <w:gridCol w:w="1443"/>
      </w:tblGrid>
      <w:tr w:rsidR="00A84E96" w:rsidRPr="00114425" w14:paraId="1ABC88F4" w14:textId="77777777" w:rsidTr="00891DB0">
        <w:trPr>
          <w:jc w:val="center"/>
        </w:trPr>
        <w:tc>
          <w:tcPr>
            <w:tcW w:w="5387" w:type="dxa"/>
            <w:tcBorders>
              <w:top w:val="single" w:sz="4" w:space="0" w:color="auto"/>
              <w:bottom w:val="single" w:sz="4" w:space="0" w:color="auto"/>
            </w:tcBorders>
          </w:tcPr>
          <w:p w14:paraId="7AB9DE4B" w14:textId="77777777" w:rsidR="00A84E96" w:rsidRPr="00114425" w:rsidRDefault="00A84E96" w:rsidP="00891DB0">
            <w:pPr>
              <w:spacing w:after="0" w:line="240" w:lineRule="auto"/>
              <w:jc w:val="both"/>
              <w:rPr>
                <w:rFonts w:ascii="Times New Roman" w:hAnsi="Times New Roman" w:cs="Times New Roman"/>
                <w:bCs/>
                <w:sz w:val="20"/>
                <w:szCs w:val="20"/>
              </w:rPr>
            </w:pPr>
            <w:r w:rsidRPr="00114425">
              <w:rPr>
                <w:rFonts w:ascii="Times New Roman" w:hAnsi="Times New Roman" w:cs="Times New Roman"/>
                <w:bCs/>
                <w:sz w:val="20"/>
                <w:szCs w:val="20"/>
              </w:rPr>
              <w:t xml:space="preserve">Spatial planning </w:t>
            </w:r>
          </w:p>
        </w:tc>
        <w:tc>
          <w:tcPr>
            <w:tcW w:w="1417" w:type="dxa"/>
            <w:tcBorders>
              <w:top w:val="single" w:sz="4" w:space="0" w:color="auto"/>
              <w:bottom w:val="single" w:sz="4" w:space="0" w:color="auto"/>
            </w:tcBorders>
          </w:tcPr>
          <w:p w14:paraId="4791D716" w14:textId="77777777" w:rsidR="00A84E96" w:rsidRPr="00114425" w:rsidRDefault="00A84E96" w:rsidP="00891DB0">
            <w:pPr>
              <w:spacing w:after="0" w:line="240" w:lineRule="auto"/>
              <w:jc w:val="both"/>
              <w:rPr>
                <w:rFonts w:ascii="Times New Roman" w:hAnsi="Times New Roman" w:cs="Times New Roman"/>
                <w:bCs/>
                <w:sz w:val="20"/>
                <w:szCs w:val="20"/>
              </w:rPr>
            </w:pPr>
            <w:r w:rsidRPr="00114425">
              <w:rPr>
                <w:rFonts w:ascii="Times New Roman" w:hAnsi="Times New Roman" w:cs="Times New Roman"/>
                <w:bCs/>
                <w:sz w:val="20"/>
                <w:szCs w:val="20"/>
              </w:rPr>
              <w:t xml:space="preserve">Frequency </w:t>
            </w:r>
          </w:p>
        </w:tc>
        <w:tc>
          <w:tcPr>
            <w:tcW w:w="1443" w:type="dxa"/>
            <w:tcBorders>
              <w:top w:val="single" w:sz="4" w:space="0" w:color="auto"/>
              <w:bottom w:val="single" w:sz="4" w:space="0" w:color="auto"/>
            </w:tcBorders>
          </w:tcPr>
          <w:p w14:paraId="40F539F0" w14:textId="77777777" w:rsidR="00A84E96" w:rsidRPr="00114425" w:rsidRDefault="00A84E96" w:rsidP="00891DB0">
            <w:pPr>
              <w:spacing w:after="0" w:line="240" w:lineRule="auto"/>
              <w:jc w:val="both"/>
              <w:rPr>
                <w:rFonts w:ascii="Times New Roman" w:hAnsi="Times New Roman" w:cs="Times New Roman"/>
                <w:bCs/>
                <w:sz w:val="20"/>
                <w:szCs w:val="20"/>
              </w:rPr>
            </w:pPr>
            <w:r w:rsidRPr="00114425">
              <w:rPr>
                <w:rFonts w:ascii="Times New Roman" w:hAnsi="Times New Roman" w:cs="Times New Roman"/>
                <w:bCs/>
                <w:sz w:val="20"/>
                <w:szCs w:val="20"/>
              </w:rPr>
              <w:t xml:space="preserve">Percentages </w:t>
            </w:r>
          </w:p>
        </w:tc>
      </w:tr>
      <w:tr w:rsidR="00A84E96" w:rsidRPr="00114425" w14:paraId="3D0B5AE1" w14:textId="77777777" w:rsidTr="00891DB0">
        <w:trPr>
          <w:jc w:val="center"/>
        </w:trPr>
        <w:tc>
          <w:tcPr>
            <w:tcW w:w="5387" w:type="dxa"/>
            <w:tcBorders>
              <w:top w:val="single" w:sz="4" w:space="0" w:color="auto"/>
            </w:tcBorders>
          </w:tcPr>
          <w:p w14:paraId="4DDEA72C" w14:textId="77777777" w:rsidR="00A84E96" w:rsidRPr="00114425" w:rsidRDefault="00A84E96" w:rsidP="00891DB0">
            <w:pPr>
              <w:spacing w:after="0" w:line="240" w:lineRule="auto"/>
              <w:jc w:val="both"/>
              <w:rPr>
                <w:rFonts w:ascii="Times New Roman" w:hAnsi="Times New Roman" w:cs="Times New Roman"/>
                <w:b/>
                <w:sz w:val="20"/>
                <w:szCs w:val="20"/>
              </w:rPr>
            </w:pPr>
            <w:r w:rsidRPr="00114425">
              <w:rPr>
                <w:rFonts w:ascii="Times New Roman" w:hAnsi="Times New Roman" w:cs="Times New Roman"/>
                <w:b/>
                <w:sz w:val="20"/>
                <w:szCs w:val="20"/>
              </w:rPr>
              <w:t xml:space="preserve">Zoning regulations </w:t>
            </w:r>
          </w:p>
        </w:tc>
        <w:tc>
          <w:tcPr>
            <w:tcW w:w="1417" w:type="dxa"/>
            <w:tcBorders>
              <w:top w:val="single" w:sz="4" w:space="0" w:color="auto"/>
            </w:tcBorders>
          </w:tcPr>
          <w:p w14:paraId="71C0151A" w14:textId="77777777" w:rsidR="00A84E96" w:rsidRPr="00114425" w:rsidRDefault="00A84E96" w:rsidP="00891DB0">
            <w:pPr>
              <w:spacing w:after="0" w:line="240" w:lineRule="auto"/>
              <w:jc w:val="both"/>
              <w:rPr>
                <w:rFonts w:ascii="Times New Roman" w:hAnsi="Times New Roman" w:cs="Times New Roman"/>
                <w:b/>
                <w:sz w:val="20"/>
                <w:szCs w:val="20"/>
              </w:rPr>
            </w:pPr>
          </w:p>
        </w:tc>
        <w:tc>
          <w:tcPr>
            <w:tcW w:w="1443" w:type="dxa"/>
            <w:tcBorders>
              <w:top w:val="single" w:sz="4" w:space="0" w:color="auto"/>
            </w:tcBorders>
          </w:tcPr>
          <w:p w14:paraId="70F689A4" w14:textId="77777777" w:rsidR="00A84E96" w:rsidRPr="00114425" w:rsidRDefault="00A84E96" w:rsidP="00891DB0">
            <w:pPr>
              <w:spacing w:after="0" w:line="240" w:lineRule="auto"/>
              <w:jc w:val="both"/>
              <w:rPr>
                <w:rFonts w:ascii="Times New Roman" w:hAnsi="Times New Roman" w:cs="Times New Roman"/>
                <w:b/>
                <w:sz w:val="20"/>
                <w:szCs w:val="20"/>
              </w:rPr>
            </w:pPr>
          </w:p>
        </w:tc>
      </w:tr>
      <w:tr w:rsidR="00A84E96" w:rsidRPr="00114425" w14:paraId="0139E042" w14:textId="77777777" w:rsidTr="00891DB0">
        <w:trPr>
          <w:jc w:val="center"/>
        </w:trPr>
        <w:tc>
          <w:tcPr>
            <w:tcW w:w="5387" w:type="dxa"/>
          </w:tcPr>
          <w:p w14:paraId="77AA3EC7" w14:textId="77777777" w:rsidR="00A84E96" w:rsidRPr="00114425" w:rsidRDefault="00A84E96" w:rsidP="00891DB0">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Residential zoning </w:t>
            </w:r>
          </w:p>
        </w:tc>
        <w:tc>
          <w:tcPr>
            <w:tcW w:w="1417" w:type="dxa"/>
          </w:tcPr>
          <w:p w14:paraId="59375EB7"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35</w:t>
            </w:r>
          </w:p>
        </w:tc>
        <w:tc>
          <w:tcPr>
            <w:tcW w:w="1443" w:type="dxa"/>
          </w:tcPr>
          <w:p w14:paraId="3C39673A"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14.30</w:t>
            </w:r>
          </w:p>
        </w:tc>
      </w:tr>
      <w:tr w:rsidR="00A84E96" w:rsidRPr="00114425" w14:paraId="025CEB6F" w14:textId="77777777" w:rsidTr="00891DB0">
        <w:trPr>
          <w:jc w:val="center"/>
        </w:trPr>
        <w:tc>
          <w:tcPr>
            <w:tcW w:w="5387" w:type="dxa"/>
          </w:tcPr>
          <w:p w14:paraId="245D02B2" w14:textId="77777777" w:rsidR="00A84E96" w:rsidRPr="00114425" w:rsidRDefault="00A84E96" w:rsidP="00891DB0">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Industrial zoning </w:t>
            </w:r>
          </w:p>
        </w:tc>
        <w:tc>
          <w:tcPr>
            <w:tcW w:w="1417" w:type="dxa"/>
          </w:tcPr>
          <w:p w14:paraId="1F3D1B6B"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76</w:t>
            </w:r>
          </w:p>
        </w:tc>
        <w:tc>
          <w:tcPr>
            <w:tcW w:w="1443" w:type="dxa"/>
          </w:tcPr>
          <w:p w14:paraId="0651920F"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31.0</w:t>
            </w:r>
          </w:p>
        </w:tc>
      </w:tr>
      <w:tr w:rsidR="00A84E96" w:rsidRPr="00114425" w14:paraId="3BDEBEE3" w14:textId="77777777" w:rsidTr="00891DB0">
        <w:trPr>
          <w:jc w:val="center"/>
        </w:trPr>
        <w:tc>
          <w:tcPr>
            <w:tcW w:w="5387" w:type="dxa"/>
          </w:tcPr>
          <w:p w14:paraId="41C0AFF8" w14:textId="77777777" w:rsidR="00A84E96" w:rsidRPr="00114425" w:rsidRDefault="00A84E96" w:rsidP="00891DB0">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Commercial zoning </w:t>
            </w:r>
          </w:p>
        </w:tc>
        <w:tc>
          <w:tcPr>
            <w:tcW w:w="1417" w:type="dxa"/>
          </w:tcPr>
          <w:p w14:paraId="182B867E"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62</w:t>
            </w:r>
          </w:p>
        </w:tc>
        <w:tc>
          <w:tcPr>
            <w:tcW w:w="1443" w:type="dxa"/>
          </w:tcPr>
          <w:p w14:paraId="58D343D9"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25.30</w:t>
            </w:r>
          </w:p>
        </w:tc>
      </w:tr>
      <w:tr w:rsidR="00A84E96" w:rsidRPr="00114425" w14:paraId="77064E81" w14:textId="77777777" w:rsidTr="00891DB0">
        <w:trPr>
          <w:jc w:val="center"/>
        </w:trPr>
        <w:tc>
          <w:tcPr>
            <w:tcW w:w="5387" w:type="dxa"/>
          </w:tcPr>
          <w:p w14:paraId="6B4DE93F" w14:textId="77777777" w:rsidR="00A84E96" w:rsidRPr="00114425" w:rsidRDefault="00A84E96" w:rsidP="00891DB0">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Agricultural zoning</w:t>
            </w:r>
          </w:p>
        </w:tc>
        <w:tc>
          <w:tcPr>
            <w:tcW w:w="1417" w:type="dxa"/>
          </w:tcPr>
          <w:p w14:paraId="26FA0D79"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72</w:t>
            </w:r>
          </w:p>
        </w:tc>
        <w:tc>
          <w:tcPr>
            <w:tcW w:w="1443" w:type="dxa"/>
          </w:tcPr>
          <w:p w14:paraId="61E3B0E6"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29.4</w:t>
            </w:r>
          </w:p>
        </w:tc>
      </w:tr>
      <w:tr w:rsidR="00A84E96" w:rsidRPr="00114425" w14:paraId="1E18F89F" w14:textId="77777777" w:rsidTr="00891DB0">
        <w:trPr>
          <w:jc w:val="center"/>
        </w:trPr>
        <w:tc>
          <w:tcPr>
            <w:tcW w:w="5387" w:type="dxa"/>
          </w:tcPr>
          <w:p w14:paraId="47FE9ABB" w14:textId="77777777" w:rsidR="00A84E96" w:rsidRPr="00114425" w:rsidRDefault="00A84E96" w:rsidP="00891DB0">
            <w:pPr>
              <w:spacing w:after="0" w:line="240" w:lineRule="auto"/>
              <w:jc w:val="both"/>
              <w:rPr>
                <w:rFonts w:ascii="Times New Roman" w:hAnsi="Times New Roman" w:cs="Times New Roman"/>
                <w:b/>
                <w:sz w:val="20"/>
                <w:szCs w:val="20"/>
              </w:rPr>
            </w:pPr>
            <w:r w:rsidRPr="00114425">
              <w:rPr>
                <w:rFonts w:ascii="Times New Roman" w:hAnsi="Times New Roman" w:cs="Times New Roman"/>
                <w:b/>
                <w:sz w:val="20"/>
                <w:szCs w:val="20"/>
              </w:rPr>
              <w:t xml:space="preserve">Infrastructure development </w:t>
            </w:r>
          </w:p>
        </w:tc>
        <w:tc>
          <w:tcPr>
            <w:tcW w:w="1417" w:type="dxa"/>
          </w:tcPr>
          <w:p w14:paraId="0D82D91E" w14:textId="77777777" w:rsidR="00A84E96" w:rsidRPr="00114425" w:rsidRDefault="00A84E96" w:rsidP="00891DB0">
            <w:pPr>
              <w:spacing w:after="0" w:line="240" w:lineRule="auto"/>
              <w:jc w:val="both"/>
              <w:rPr>
                <w:rFonts w:ascii="Times New Roman" w:hAnsi="Times New Roman" w:cs="Times New Roman"/>
                <w:b/>
                <w:sz w:val="20"/>
                <w:szCs w:val="20"/>
              </w:rPr>
            </w:pPr>
          </w:p>
        </w:tc>
        <w:tc>
          <w:tcPr>
            <w:tcW w:w="1443" w:type="dxa"/>
          </w:tcPr>
          <w:p w14:paraId="6FD01DED" w14:textId="77777777" w:rsidR="00A84E96" w:rsidRPr="00114425" w:rsidRDefault="00A84E96" w:rsidP="00891DB0">
            <w:pPr>
              <w:spacing w:after="0" w:line="240" w:lineRule="auto"/>
              <w:jc w:val="both"/>
              <w:rPr>
                <w:rFonts w:ascii="Times New Roman" w:hAnsi="Times New Roman" w:cs="Times New Roman"/>
                <w:b/>
                <w:sz w:val="20"/>
                <w:szCs w:val="20"/>
              </w:rPr>
            </w:pPr>
          </w:p>
        </w:tc>
      </w:tr>
      <w:tr w:rsidR="00A84E96" w:rsidRPr="00114425" w14:paraId="2D2643FF" w14:textId="77777777" w:rsidTr="00891DB0">
        <w:trPr>
          <w:jc w:val="center"/>
        </w:trPr>
        <w:tc>
          <w:tcPr>
            <w:tcW w:w="5387" w:type="dxa"/>
          </w:tcPr>
          <w:p w14:paraId="3F06B86A" w14:textId="77777777" w:rsidR="00A84E96" w:rsidRPr="00114425" w:rsidRDefault="00A84E96" w:rsidP="00891DB0">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Well-maintained highways</w:t>
            </w:r>
          </w:p>
        </w:tc>
        <w:tc>
          <w:tcPr>
            <w:tcW w:w="1417" w:type="dxa"/>
          </w:tcPr>
          <w:p w14:paraId="7FDD8D60"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53</w:t>
            </w:r>
          </w:p>
        </w:tc>
        <w:tc>
          <w:tcPr>
            <w:tcW w:w="1443" w:type="dxa"/>
          </w:tcPr>
          <w:p w14:paraId="71859807"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21.60</w:t>
            </w:r>
          </w:p>
        </w:tc>
      </w:tr>
      <w:tr w:rsidR="00A84E96" w:rsidRPr="00114425" w14:paraId="029F2E26" w14:textId="77777777" w:rsidTr="00891DB0">
        <w:trPr>
          <w:jc w:val="center"/>
        </w:trPr>
        <w:tc>
          <w:tcPr>
            <w:tcW w:w="5387" w:type="dxa"/>
          </w:tcPr>
          <w:p w14:paraId="300B666E" w14:textId="77777777" w:rsidR="00A84E96" w:rsidRPr="00114425" w:rsidRDefault="00A84E96" w:rsidP="00891DB0">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Rail access for freight</w:t>
            </w:r>
          </w:p>
        </w:tc>
        <w:tc>
          <w:tcPr>
            <w:tcW w:w="1417" w:type="dxa"/>
          </w:tcPr>
          <w:p w14:paraId="406546CE"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156</w:t>
            </w:r>
          </w:p>
        </w:tc>
        <w:tc>
          <w:tcPr>
            <w:tcW w:w="1443" w:type="dxa"/>
          </w:tcPr>
          <w:p w14:paraId="085A1333"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63.70</w:t>
            </w:r>
          </w:p>
        </w:tc>
      </w:tr>
      <w:tr w:rsidR="00A84E96" w:rsidRPr="00114425" w14:paraId="7F6553C9" w14:textId="77777777" w:rsidTr="00891DB0">
        <w:trPr>
          <w:jc w:val="center"/>
        </w:trPr>
        <w:tc>
          <w:tcPr>
            <w:tcW w:w="5387" w:type="dxa"/>
          </w:tcPr>
          <w:p w14:paraId="2FBA1822" w14:textId="77777777" w:rsidR="00A84E96" w:rsidRPr="00114425" w:rsidRDefault="00A84E96" w:rsidP="00891DB0">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Reliable electricity supply</w:t>
            </w:r>
          </w:p>
        </w:tc>
        <w:tc>
          <w:tcPr>
            <w:tcW w:w="1417" w:type="dxa"/>
          </w:tcPr>
          <w:p w14:paraId="113CB044"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22</w:t>
            </w:r>
          </w:p>
        </w:tc>
        <w:tc>
          <w:tcPr>
            <w:tcW w:w="1443" w:type="dxa"/>
          </w:tcPr>
          <w:p w14:paraId="6042D800"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9.0</w:t>
            </w:r>
          </w:p>
        </w:tc>
      </w:tr>
      <w:tr w:rsidR="00A84E96" w:rsidRPr="00114425" w14:paraId="60B25FB0" w14:textId="77777777" w:rsidTr="00891DB0">
        <w:trPr>
          <w:jc w:val="center"/>
        </w:trPr>
        <w:tc>
          <w:tcPr>
            <w:tcW w:w="5387" w:type="dxa"/>
          </w:tcPr>
          <w:p w14:paraId="6D4C336A" w14:textId="77777777" w:rsidR="00A84E96" w:rsidRPr="00114425" w:rsidRDefault="00A84E96" w:rsidP="00891DB0">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Adequate water supply</w:t>
            </w:r>
          </w:p>
        </w:tc>
        <w:tc>
          <w:tcPr>
            <w:tcW w:w="1417" w:type="dxa"/>
          </w:tcPr>
          <w:p w14:paraId="1F5D4AD8"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14</w:t>
            </w:r>
          </w:p>
        </w:tc>
        <w:tc>
          <w:tcPr>
            <w:tcW w:w="1443" w:type="dxa"/>
          </w:tcPr>
          <w:p w14:paraId="590CF225"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5.70</w:t>
            </w:r>
          </w:p>
        </w:tc>
      </w:tr>
      <w:tr w:rsidR="00A84E96" w:rsidRPr="00114425" w14:paraId="48653E4A" w14:textId="77777777" w:rsidTr="00891DB0">
        <w:trPr>
          <w:jc w:val="center"/>
        </w:trPr>
        <w:tc>
          <w:tcPr>
            <w:tcW w:w="5387" w:type="dxa"/>
          </w:tcPr>
          <w:p w14:paraId="360DD282" w14:textId="77777777" w:rsidR="00A84E96" w:rsidRPr="00114425" w:rsidRDefault="00A84E96" w:rsidP="00891DB0">
            <w:pPr>
              <w:spacing w:after="0" w:line="240" w:lineRule="auto"/>
              <w:jc w:val="both"/>
              <w:rPr>
                <w:rFonts w:ascii="Times New Roman" w:hAnsi="Times New Roman" w:cs="Times New Roman"/>
                <w:b/>
                <w:sz w:val="20"/>
                <w:szCs w:val="20"/>
              </w:rPr>
            </w:pPr>
            <w:r w:rsidRPr="00114425">
              <w:rPr>
                <w:rFonts w:ascii="Times New Roman" w:hAnsi="Times New Roman" w:cs="Times New Roman"/>
                <w:b/>
                <w:sz w:val="20"/>
                <w:szCs w:val="20"/>
              </w:rPr>
              <w:t>Land Use Allocation</w:t>
            </w:r>
          </w:p>
        </w:tc>
        <w:tc>
          <w:tcPr>
            <w:tcW w:w="1417" w:type="dxa"/>
          </w:tcPr>
          <w:p w14:paraId="4B518A76" w14:textId="77777777" w:rsidR="00A84E96" w:rsidRPr="00114425" w:rsidRDefault="00A84E96" w:rsidP="00891DB0">
            <w:pPr>
              <w:spacing w:after="0" w:line="240" w:lineRule="auto"/>
              <w:jc w:val="both"/>
              <w:rPr>
                <w:rFonts w:ascii="Times New Roman" w:hAnsi="Times New Roman" w:cs="Times New Roman"/>
                <w:sz w:val="20"/>
                <w:szCs w:val="20"/>
              </w:rPr>
            </w:pPr>
          </w:p>
        </w:tc>
        <w:tc>
          <w:tcPr>
            <w:tcW w:w="1443" w:type="dxa"/>
          </w:tcPr>
          <w:p w14:paraId="1239A46A" w14:textId="77777777" w:rsidR="00A84E96" w:rsidRPr="00114425" w:rsidRDefault="00A84E96" w:rsidP="00891DB0">
            <w:pPr>
              <w:spacing w:after="0" w:line="240" w:lineRule="auto"/>
              <w:jc w:val="both"/>
              <w:rPr>
                <w:rFonts w:ascii="Times New Roman" w:hAnsi="Times New Roman" w:cs="Times New Roman"/>
                <w:sz w:val="20"/>
                <w:szCs w:val="20"/>
              </w:rPr>
            </w:pPr>
          </w:p>
        </w:tc>
      </w:tr>
      <w:tr w:rsidR="00A84E96" w:rsidRPr="00114425" w14:paraId="5093F66E" w14:textId="77777777" w:rsidTr="00891DB0">
        <w:trPr>
          <w:jc w:val="center"/>
        </w:trPr>
        <w:tc>
          <w:tcPr>
            <w:tcW w:w="5387" w:type="dxa"/>
          </w:tcPr>
          <w:p w14:paraId="6F13772B" w14:textId="77777777" w:rsidR="00A84E96" w:rsidRPr="00114425" w:rsidRDefault="00A84E96" w:rsidP="00891DB0">
            <w:pPr>
              <w:spacing w:after="0" w:line="240" w:lineRule="auto"/>
              <w:jc w:val="both"/>
              <w:rPr>
                <w:rFonts w:ascii="Times New Roman" w:eastAsia="Times New Roman" w:hAnsi="Times New Roman" w:cs="Times New Roman"/>
                <w:sz w:val="20"/>
                <w:szCs w:val="20"/>
              </w:rPr>
            </w:pPr>
            <w:r w:rsidRPr="00114425">
              <w:rPr>
                <w:rFonts w:ascii="Times New Roman" w:eastAsia="Times New Roman" w:hAnsi="Times New Roman" w:cs="Times New Roman"/>
                <w:sz w:val="20"/>
                <w:szCs w:val="20"/>
              </w:rPr>
              <w:t xml:space="preserve">Industrial parks </w:t>
            </w:r>
          </w:p>
        </w:tc>
        <w:tc>
          <w:tcPr>
            <w:tcW w:w="1417" w:type="dxa"/>
          </w:tcPr>
          <w:p w14:paraId="58CFA81A"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12</w:t>
            </w:r>
          </w:p>
        </w:tc>
        <w:tc>
          <w:tcPr>
            <w:tcW w:w="1443" w:type="dxa"/>
          </w:tcPr>
          <w:p w14:paraId="3170D479"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4.90</w:t>
            </w:r>
          </w:p>
        </w:tc>
      </w:tr>
      <w:tr w:rsidR="00A84E96" w:rsidRPr="00114425" w14:paraId="380A0F1F" w14:textId="77777777" w:rsidTr="00891DB0">
        <w:trPr>
          <w:jc w:val="center"/>
        </w:trPr>
        <w:tc>
          <w:tcPr>
            <w:tcW w:w="5387" w:type="dxa"/>
          </w:tcPr>
          <w:p w14:paraId="5761B6F2" w14:textId="77777777" w:rsidR="00A84E96" w:rsidRPr="00114425" w:rsidRDefault="00A84E96" w:rsidP="00891DB0">
            <w:pPr>
              <w:spacing w:after="0" w:line="240" w:lineRule="auto"/>
              <w:jc w:val="both"/>
              <w:rPr>
                <w:rFonts w:ascii="Times New Roman" w:hAnsi="Times New Roman" w:cs="Times New Roman"/>
                <w:b/>
                <w:sz w:val="20"/>
                <w:szCs w:val="20"/>
              </w:rPr>
            </w:pPr>
            <w:r w:rsidRPr="00114425">
              <w:rPr>
                <w:rFonts w:ascii="Times New Roman" w:eastAsia="Times New Roman" w:hAnsi="Times New Roman" w:cs="Times New Roman"/>
                <w:sz w:val="20"/>
                <w:szCs w:val="20"/>
              </w:rPr>
              <w:t>Mixed-use developments</w:t>
            </w:r>
          </w:p>
        </w:tc>
        <w:tc>
          <w:tcPr>
            <w:tcW w:w="1417" w:type="dxa"/>
          </w:tcPr>
          <w:p w14:paraId="5AB44BB6"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46</w:t>
            </w:r>
          </w:p>
        </w:tc>
        <w:tc>
          <w:tcPr>
            <w:tcW w:w="1443" w:type="dxa"/>
          </w:tcPr>
          <w:p w14:paraId="51C9713D"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18.80</w:t>
            </w:r>
          </w:p>
        </w:tc>
      </w:tr>
      <w:tr w:rsidR="00A84E96" w:rsidRPr="00114425" w14:paraId="37828EFE" w14:textId="77777777" w:rsidTr="00891DB0">
        <w:trPr>
          <w:jc w:val="center"/>
        </w:trPr>
        <w:tc>
          <w:tcPr>
            <w:tcW w:w="5387" w:type="dxa"/>
          </w:tcPr>
          <w:p w14:paraId="74F2E98E" w14:textId="77777777" w:rsidR="00A84E96" w:rsidRPr="00114425" w:rsidRDefault="00A84E96" w:rsidP="00891DB0">
            <w:pPr>
              <w:spacing w:after="0" w:line="240" w:lineRule="auto"/>
              <w:jc w:val="both"/>
              <w:rPr>
                <w:rFonts w:ascii="Times New Roman" w:eastAsia="Times New Roman" w:hAnsi="Times New Roman" w:cs="Times New Roman"/>
                <w:sz w:val="20"/>
                <w:szCs w:val="20"/>
              </w:rPr>
            </w:pPr>
            <w:r w:rsidRPr="00114425">
              <w:rPr>
                <w:rFonts w:ascii="Times New Roman" w:eastAsia="Times New Roman" w:hAnsi="Times New Roman" w:cs="Times New Roman"/>
                <w:sz w:val="20"/>
                <w:szCs w:val="20"/>
              </w:rPr>
              <w:t xml:space="preserve">Green spaces within industrial areas </w:t>
            </w:r>
          </w:p>
        </w:tc>
        <w:tc>
          <w:tcPr>
            <w:tcW w:w="1417" w:type="dxa"/>
          </w:tcPr>
          <w:p w14:paraId="25F6EFDD"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117</w:t>
            </w:r>
          </w:p>
        </w:tc>
        <w:tc>
          <w:tcPr>
            <w:tcW w:w="1443" w:type="dxa"/>
          </w:tcPr>
          <w:p w14:paraId="0D5CADC1"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47.80</w:t>
            </w:r>
          </w:p>
        </w:tc>
      </w:tr>
      <w:tr w:rsidR="00A84E96" w:rsidRPr="00114425" w14:paraId="34990E61" w14:textId="77777777" w:rsidTr="00891DB0">
        <w:trPr>
          <w:jc w:val="center"/>
        </w:trPr>
        <w:tc>
          <w:tcPr>
            <w:tcW w:w="5387" w:type="dxa"/>
          </w:tcPr>
          <w:p w14:paraId="26B483DC" w14:textId="77777777" w:rsidR="00A84E96" w:rsidRPr="00114425" w:rsidRDefault="00A84E96" w:rsidP="00891DB0">
            <w:pPr>
              <w:spacing w:after="0" w:line="240" w:lineRule="auto"/>
              <w:jc w:val="both"/>
              <w:rPr>
                <w:rFonts w:ascii="Times New Roman" w:hAnsi="Times New Roman" w:cs="Times New Roman"/>
                <w:b/>
                <w:sz w:val="20"/>
                <w:szCs w:val="20"/>
              </w:rPr>
            </w:pPr>
            <w:r w:rsidRPr="00114425">
              <w:rPr>
                <w:rFonts w:ascii="Times New Roman" w:eastAsia="Times New Roman" w:hAnsi="Times New Roman" w:cs="Times New Roman"/>
                <w:sz w:val="20"/>
                <w:szCs w:val="20"/>
              </w:rPr>
              <w:t>Buffer zones between residential and industrial areas</w:t>
            </w:r>
          </w:p>
        </w:tc>
        <w:tc>
          <w:tcPr>
            <w:tcW w:w="1417" w:type="dxa"/>
          </w:tcPr>
          <w:p w14:paraId="763363BD"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70</w:t>
            </w:r>
          </w:p>
        </w:tc>
        <w:tc>
          <w:tcPr>
            <w:tcW w:w="1443" w:type="dxa"/>
          </w:tcPr>
          <w:p w14:paraId="2C863B2E"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28.60</w:t>
            </w:r>
          </w:p>
        </w:tc>
      </w:tr>
      <w:tr w:rsidR="00A84E96" w:rsidRPr="00114425" w14:paraId="1D7B202F" w14:textId="77777777" w:rsidTr="00891DB0">
        <w:trPr>
          <w:jc w:val="center"/>
        </w:trPr>
        <w:tc>
          <w:tcPr>
            <w:tcW w:w="5387" w:type="dxa"/>
          </w:tcPr>
          <w:p w14:paraId="6EC981B1" w14:textId="77777777" w:rsidR="00A84E96" w:rsidRPr="00114425" w:rsidRDefault="00A84E96" w:rsidP="00891DB0">
            <w:pPr>
              <w:spacing w:after="0" w:line="240" w:lineRule="auto"/>
              <w:jc w:val="both"/>
              <w:rPr>
                <w:rFonts w:ascii="Times New Roman" w:hAnsi="Times New Roman" w:cs="Times New Roman"/>
                <w:b/>
                <w:sz w:val="20"/>
                <w:szCs w:val="20"/>
              </w:rPr>
            </w:pPr>
            <w:r w:rsidRPr="00114425">
              <w:rPr>
                <w:rFonts w:ascii="Times New Roman" w:hAnsi="Times New Roman" w:cs="Times New Roman"/>
                <w:b/>
                <w:sz w:val="20"/>
                <w:szCs w:val="20"/>
              </w:rPr>
              <w:t>Economic Incentives</w:t>
            </w:r>
          </w:p>
        </w:tc>
        <w:tc>
          <w:tcPr>
            <w:tcW w:w="1417" w:type="dxa"/>
          </w:tcPr>
          <w:p w14:paraId="43815711" w14:textId="77777777" w:rsidR="00A84E96" w:rsidRPr="00114425" w:rsidRDefault="00A84E96" w:rsidP="00891DB0">
            <w:pPr>
              <w:spacing w:after="0" w:line="240" w:lineRule="auto"/>
              <w:jc w:val="both"/>
              <w:rPr>
                <w:rFonts w:ascii="Times New Roman" w:hAnsi="Times New Roman" w:cs="Times New Roman"/>
                <w:sz w:val="20"/>
                <w:szCs w:val="20"/>
              </w:rPr>
            </w:pPr>
          </w:p>
        </w:tc>
        <w:tc>
          <w:tcPr>
            <w:tcW w:w="1443" w:type="dxa"/>
          </w:tcPr>
          <w:p w14:paraId="53F5F314" w14:textId="77777777" w:rsidR="00A84E96" w:rsidRPr="00114425" w:rsidRDefault="00A84E96" w:rsidP="00891DB0">
            <w:pPr>
              <w:spacing w:after="0" w:line="240" w:lineRule="auto"/>
              <w:jc w:val="both"/>
              <w:rPr>
                <w:rFonts w:ascii="Times New Roman" w:hAnsi="Times New Roman" w:cs="Times New Roman"/>
                <w:sz w:val="20"/>
                <w:szCs w:val="20"/>
              </w:rPr>
            </w:pPr>
          </w:p>
        </w:tc>
      </w:tr>
      <w:tr w:rsidR="00A84E96" w:rsidRPr="00114425" w14:paraId="5B45391C" w14:textId="77777777" w:rsidTr="00891DB0">
        <w:trPr>
          <w:jc w:val="center"/>
        </w:trPr>
        <w:tc>
          <w:tcPr>
            <w:tcW w:w="5387" w:type="dxa"/>
          </w:tcPr>
          <w:p w14:paraId="178E5D5B" w14:textId="77777777" w:rsidR="00A84E96" w:rsidRPr="00114425" w:rsidRDefault="00A84E96" w:rsidP="00891DB0">
            <w:pPr>
              <w:spacing w:after="0" w:line="240" w:lineRule="auto"/>
              <w:jc w:val="both"/>
              <w:rPr>
                <w:rFonts w:ascii="Times New Roman" w:eastAsia="Times New Roman" w:hAnsi="Times New Roman" w:cs="Times New Roman"/>
                <w:sz w:val="20"/>
                <w:szCs w:val="20"/>
              </w:rPr>
            </w:pPr>
            <w:r w:rsidRPr="00114425">
              <w:rPr>
                <w:rFonts w:ascii="Times New Roman" w:eastAsia="Times New Roman" w:hAnsi="Times New Roman" w:cs="Times New Roman"/>
                <w:sz w:val="20"/>
                <w:szCs w:val="20"/>
              </w:rPr>
              <w:t xml:space="preserve">Tax holidays for new businesses   </w:t>
            </w:r>
          </w:p>
        </w:tc>
        <w:tc>
          <w:tcPr>
            <w:tcW w:w="1417" w:type="dxa"/>
          </w:tcPr>
          <w:p w14:paraId="4BA01AF7"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37</w:t>
            </w:r>
          </w:p>
        </w:tc>
        <w:tc>
          <w:tcPr>
            <w:tcW w:w="1443" w:type="dxa"/>
          </w:tcPr>
          <w:p w14:paraId="58374454"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15.10</w:t>
            </w:r>
          </w:p>
        </w:tc>
      </w:tr>
      <w:tr w:rsidR="00A84E96" w:rsidRPr="00114425" w14:paraId="6250A333" w14:textId="77777777" w:rsidTr="00891DB0">
        <w:trPr>
          <w:jc w:val="center"/>
        </w:trPr>
        <w:tc>
          <w:tcPr>
            <w:tcW w:w="5387" w:type="dxa"/>
          </w:tcPr>
          <w:p w14:paraId="09ACC4E9" w14:textId="77777777" w:rsidR="00A84E96" w:rsidRPr="00114425" w:rsidRDefault="00A84E96" w:rsidP="00891DB0">
            <w:pPr>
              <w:spacing w:after="0" w:line="240" w:lineRule="auto"/>
              <w:jc w:val="both"/>
              <w:rPr>
                <w:rFonts w:ascii="Times New Roman" w:hAnsi="Times New Roman" w:cs="Times New Roman"/>
                <w:b/>
                <w:sz w:val="20"/>
                <w:szCs w:val="20"/>
              </w:rPr>
            </w:pPr>
            <w:r w:rsidRPr="00114425">
              <w:rPr>
                <w:rFonts w:ascii="Times New Roman" w:eastAsia="Times New Roman" w:hAnsi="Times New Roman" w:cs="Times New Roman"/>
                <w:sz w:val="20"/>
                <w:szCs w:val="20"/>
              </w:rPr>
              <w:t>Low-interest loans for startups</w:t>
            </w:r>
          </w:p>
        </w:tc>
        <w:tc>
          <w:tcPr>
            <w:tcW w:w="1417" w:type="dxa"/>
          </w:tcPr>
          <w:p w14:paraId="440ADB09"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47</w:t>
            </w:r>
          </w:p>
        </w:tc>
        <w:tc>
          <w:tcPr>
            <w:tcW w:w="1443" w:type="dxa"/>
          </w:tcPr>
          <w:p w14:paraId="6F81D18B"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19.20</w:t>
            </w:r>
          </w:p>
        </w:tc>
      </w:tr>
      <w:tr w:rsidR="00A84E96" w:rsidRPr="00114425" w14:paraId="305B0FA8" w14:textId="77777777" w:rsidTr="00891DB0">
        <w:trPr>
          <w:jc w:val="center"/>
        </w:trPr>
        <w:tc>
          <w:tcPr>
            <w:tcW w:w="5387" w:type="dxa"/>
          </w:tcPr>
          <w:p w14:paraId="4A91D656" w14:textId="77777777" w:rsidR="00A84E96" w:rsidRPr="00114425" w:rsidRDefault="00A84E96" w:rsidP="00891DB0">
            <w:pPr>
              <w:spacing w:after="0" w:line="240" w:lineRule="auto"/>
              <w:jc w:val="both"/>
              <w:rPr>
                <w:rFonts w:ascii="Times New Roman" w:eastAsia="Times New Roman" w:hAnsi="Times New Roman" w:cs="Times New Roman"/>
                <w:sz w:val="20"/>
                <w:szCs w:val="20"/>
              </w:rPr>
            </w:pPr>
            <w:r w:rsidRPr="00114425">
              <w:rPr>
                <w:rFonts w:ascii="Times New Roman" w:eastAsia="Times New Roman" w:hAnsi="Times New Roman" w:cs="Times New Roman"/>
                <w:sz w:val="20"/>
                <w:szCs w:val="20"/>
              </w:rPr>
              <w:t xml:space="preserve">Utility cost subsidies </w:t>
            </w:r>
          </w:p>
        </w:tc>
        <w:tc>
          <w:tcPr>
            <w:tcW w:w="1417" w:type="dxa"/>
          </w:tcPr>
          <w:p w14:paraId="57D86FEA"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52</w:t>
            </w:r>
          </w:p>
        </w:tc>
        <w:tc>
          <w:tcPr>
            <w:tcW w:w="1443" w:type="dxa"/>
          </w:tcPr>
          <w:p w14:paraId="254A5992"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21.20</w:t>
            </w:r>
          </w:p>
        </w:tc>
      </w:tr>
      <w:tr w:rsidR="00A84E96" w:rsidRPr="00114425" w14:paraId="2ECD465C" w14:textId="77777777" w:rsidTr="00891DB0">
        <w:trPr>
          <w:jc w:val="center"/>
        </w:trPr>
        <w:tc>
          <w:tcPr>
            <w:tcW w:w="5387" w:type="dxa"/>
          </w:tcPr>
          <w:p w14:paraId="30745CCD" w14:textId="77777777" w:rsidR="00A84E96" w:rsidRPr="00114425" w:rsidRDefault="00A84E96" w:rsidP="00891DB0">
            <w:pPr>
              <w:spacing w:after="0" w:line="240" w:lineRule="auto"/>
              <w:jc w:val="both"/>
              <w:rPr>
                <w:rFonts w:ascii="Times New Roman" w:eastAsia="Times New Roman" w:hAnsi="Times New Roman" w:cs="Times New Roman"/>
                <w:sz w:val="20"/>
                <w:szCs w:val="20"/>
              </w:rPr>
            </w:pPr>
            <w:r w:rsidRPr="00114425">
              <w:rPr>
                <w:rFonts w:ascii="Times New Roman" w:eastAsia="Times New Roman" w:hAnsi="Times New Roman" w:cs="Times New Roman"/>
                <w:sz w:val="20"/>
                <w:szCs w:val="20"/>
              </w:rPr>
              <w:t xml:space="preserve">Grants for infrastructure improvements </w:t>
            </w:r>
          </w:p>
        </w:tc>
        <w:tc>
          <w:tcPr>
            <w:tcW w:w="1417" w:type="dxa"/>
          </w:tcPr>
          <w:p w14:paraId="7B18E3DC"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109</w:t>
            </w:r>
          </w:p>
        </w:tc>
        <w:tc>
          <w:tcPr>
            <w:tcW w:w="1443" w:type="dxa"/>
          </w:tcPr>
          <w:p w14:paraId="04EA6264"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44.40</w:t>
            </w:r>
          </w:p>
        </w:tc>
      </w:tr>
      <w:tr w:rsidR="00A84E96" w:rsidRPr="00114425" w14:paraId="2E78BEE8" w14:textId="77777777" w:rsidTr="00891DB0">
        <w:trPr>
          <w:jc w:val="center"/>
        </w:trPr>
        <w:tc>
          <w:tcPr>
            <w:tcW w:w="5387" w:type="dxa"/>
          </w:tcPr>
          <w:p w14:paraId="1410FB76" w14:textId="77777777" w:rsidR="00A84E96" w:rsidRPr="00114425" w:rsidRDefault="00A84E96" w:rsidP="00891DB0">
            <w:pPr>
              <w:spacing w:after="0" w:line="240" w:lineRule="auto"/>
              <w:jc w:val="both"/>
              <w:rPr>
                <w:rFonts w:ascii="Times New Roman" w:eastAsia="Times New Roman" w:hAnsi="Times New Roman" w:cs="Times New Roman"/>
                <w:sz w:val="20"/>
                <w:szCs w:val="20"/>
              </w:rPr>
            </w:pPr>
            <w:r w:rsidRPr="00114425">
              <w:rPr>
                <w:rFonts w:ascii="Times New Roman" w:eastAsia="Times New Roman" w:hAnsi="Times New Roman" w:cs="Times New Roman"/>
                <w:b/>
                <w:bCs/>
                <w:sz w:val="20"/>
                <w:szCs w:val="20"/>
              </w:rPr>
              <w:t>Public Transportation Access</w:t>
            </w:r>
          </w:p>
        </w:tc>
        <w:tc>
          <w:tcPr>
            <w:tcW w:w="1417" w:type="dxa"/>
          </w:tcPr>
          <w:p w14:paraId="6A8B8EA5" w14:textId="77777777" w:rsidR="00A84E96" w:rsidRPr="00114425" w:rsidRDefault="00A84E96" w:rsidP="00891DB0">
            <w:pPr>
              <w:spacing w:after="0" w:line="240" w:lineRule="auto"/>
              <w:jc w:val="both"/>
              <w:rPr>
                <w:rFonts w:ascii="Times New Roman" w:hAnsi="Times New Roman" w:cs="Times New Roman"/>
                <w:sz w:val="20"/>
                <w:szCs w:val="20"/>
              </w:rPr>
            </w:pPr>
          </w:p>
        </w:tc>
        <w:tc>
          <w:tcPr>
            <w:tcW w:w="1443" w:type="dxa"/>
          </w:tcPr>
          <w:p w14:paraId="06EC334D" w14:textId="77777777" w:rsidR="00A84E96" w:rsidRPr="00114425" w:rsidRDefault="00A84E96" w:rsidP="00891DB0">
            <w:pPr>
              <w:spacing w:after="0" w:line="240" w:lineRule="auto"/>
              <w:jc w:val="both"/>
              <w:rPr>
                <w:rFonts w:ascii="Times New Roman" w:hAnsi="Times New Roman" w:cs="Times New Roman"/>
                <w:sz w:val="20"/>
                <w:szCs w:val="20"/>
              </w:rPr>
            </w:pPr>
          </w:p>
        </w:tc>
      </w:tr>
      <w:tr w:rsidR="00A84E96" w:rsidRPr="00114425" w14:paraId="4D58B46E" w14:textId="77777777" w:rsidTr="00891DB0">
        <w:trPr>
          <w:jc w:val="center"/>
        </w:trPr>
        <w:tc>
          <w:tcPr>
            <w:tcW w:w="5387" w:type="dxa"/>
          </w:tcPr>
          <w:p w14:paraId="69408B04" w14:textId="77777777" w:rsidR="00A84E96" w:rsidRPr="00114425" w:rsidRDefault="00A84E96" w:rsidP="00891DB0">
            <w:pPr>
              <w:spacing w:after="0" w:line="240" w:lineRule="auto"/>
              <w:jc w:val="both"/>
              <w:rPr>
                <w:rFonts w:ascii="Times New Roman" w:eastAsia="Times New Roman" w:hAnsi="Times New Roman" w:cs="Times New Roman"/>
                <w:sz w:val="20"/>
                <w:szCs w:val="20"/>
              </w:rPr>
            </w:pPr>
            <w:r w:rsidRPr="00114425">
              <w:rPr>
                <w:rFonts w:ascii="Times New Roman" w:eastAsia="Times New Roman" w:hAnsi="Times New Roman" w:cs="Times New Roman"/>
                <w:sz w:val="20"/>
                <w:szCs w:val="20"/>
              </w:rPr>
              <w:t xml:space="preserve">Bus services to industrial areas </w:t>
            </w:r>
          </w:p>
        </w:tc>
        <w:tc>
          <w:tcPr>
            <w:tcW w:w="1417" w:type="dxa"/>
          </w:tcPr>
          <w:p w14:paraId="6C221641"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137</w:t>
            </w:r>
          </w:p>
        </w:tc>
        <w:tc>
          <w:tcPr>
            <w:tcW w:w="1443" w:type="dxa"/>
          </w:tcPr>
          <w:p w14:paraId="72BCBAD7"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55.90</w:t>
            </w:r>
          </w:p>
        </w:tc>
      </w:tr>
      <w:tr w:rsidR="00A84E96" w:rsidRPr="00114425" w14:paraId="4C6DEAA6" w14:textId="77777777" w:rsidTr="00891DB0">
        <w:trPr>
          <w:jc w:val="center"/>
        </w:trPr>
        <w:tc>
          <w:tcPr>
            <w:tcW w:w="5387" w:type="dxa"/>
          </w:tcPr>
          <w:p w14:paraId="5F0EB035" w14:textId="77777777" w:rsidR="00A84E96" w:rsidRPr="00114425" w:rsidRDefault="00A84E96" w:rsidP="00891DB0">
            <w:pPr>
              <w:spacing w:after="0" w:line="240" w:lineRule="auto"/>
              <w:jc w:val="both"/>
              <w:rPr>
                <w:rFonts w:ascii="Times New Roman" w:eastAsia="Times New Roman" w:hAnsi="Times New Roman" w:cs="Times New Roman"/>
                <w:sz w:val="20"/>
                <w:szCs w:val="20"/>
              </w:rPr>
            </w:pPr>
            <w:r w:rsidRPr="00114425">
              <w:rPr>
                <w:rFonts w:ascii="Times New Roman" w:eastAsia="Times New Roman" w:hAnsi="Times New Roman" w:cs="Times New Roman"/>
                <w:sz w:val="20"/>
                <w:szCs w:val="20"/>
              </w:rPr>
              <w:t>Carpool programs</w:t>
            </w:r>
          </w:p>
        </w:tc>
        <w:tc>
          <w:tcPr>
            <w:tcW w:w="1417" w:type="dxa"/>
          </w:tcPr>
          <w:p w14:paraId="518ACFB3"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26</w:t>
            </w:r>
          </w:p>
        </w:tc>
        <w:tc>
          <w:tcPr>
            <w:tcW w:w="1443" w:type="dxa"/>
          </w:tcPr>
          <w:p w14:paraId="554ED5D3"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10.60</w:t>
            </w:r>
          </w:p>
        </w:tc>
      </w:tr>
      <w:tr w:rsidR="00A84E96" w:rsidRPr="00114425" w14:paraId="65253810" w14:textId="77777777" w:rsidTr="00891DB0">
        <w:trPr>
          <w:jc w:val="center"/>
        </w:trPr>
        <w:tc>
          <w:tcPr>
            <w:tcW w:w="5387" w:type="dxa"/>
          </w:tcPr>
          <w:p w14:paraId="2FCFCAD5" w14:textId="77777777" w:rsidR="00A84E96" w:rsidRPr="00114425" w:rsidRDefault="00A84E96" w:rsidP="00891DB0">
            <w:pPr>
              <w:spacing w:after="0" w:line="240" w:lineRule="auto"/>
              <w:jc w:val="both"/>
              <w:rPr>
                <w:rFonts w:ascii="Times New Roman" w:eastAsia="Times New Roman" w:hAnsi="Times New Roman" w:cs="Times New Roman"/>
                <w:sz w:val="20"/>
                <w:szCs w:val="20"/>
              </w:rPr>
            </w:pPr>
            <w:r w:rsidRPr="00114425">
              <w:rPr>
                <w:rFonts w:ascii="Times New Roman" w:eastAsia="Times New Roman" w:hAnsi="Times New Roman" w:cs="Times New Roman"/>
                <w:sz w:val="20"/>
                <w:szCs w:val="20"/>
              </w:rPr>
              <w:t>Bicycle lanes</w:t>
            </w:r>
          </w:p>
        </w:tc>
        <w:tc>
          <w:tcPr>
            <w:tcW w:w="1417" w:type="dxa"/>
          </w:tcPr>
          <w:p w14:paraId="51A50FC4"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31</w:t>
            </w:r>
          </w:p>
        </w:tc>
        <w:tc>
          <w:tcPr>
            <w:tcW w:w="1443" w:type="dxa"/>
          </w:tcPr>
          <w:p w14:paraId="445AA97F"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12.70</w:t>
            </w:r>
          </w:p>
        </w:tc>
      </w:tr>
      <w:tr w:rsidR="00A84E96" w:rsidRPr="00114425" w14:paraId="588A6C5E" w14:textId="77777777" w:rsidTr="00891DB0">
        <w:trPr>
          <w:jc w:val="center"/>
        </w:trPr>
        <w:tc>
          <w:tcPr>
            <w:tcW w:w="5387" w:type="dxa"/>
          </w:tcPr>
          <w:p w14:paraId="5FE4B03A" w14:textId="77777777" w:rsidR="00A84E96" w:rsidRPr="00114425" w:rsidRDefault="00A84E96" w:rsidP="00891DB0">
            <w:pPr>
              <w:spacing w:after="0" w:line="240" w:lineRule="auto"/>
              <w:jc w:val="both"/>
              <w:rPr>
                <w:rFonts w:ascii="Times New Roman" w:eastAsia="Times New Roman" w:hAnsi="Times New Roman" w:cs="Times New Roman"/>
                <w:sz w:val="20"/>
                <w:szCs w:val="20"/>
              </w:rPr>
            </w:pPr>
            <w:r w:rsidRPr="00114425">
              <w:rPr>
                <w:rFonts w:ascii="Times New Roman" w:eastAsia="Times New Roman" w:hAnsi="Times New Roman" w:cs="Times New Roman"/>
                <w:sz w:val="20"/>
                <w:szCs w:val="20"/>
              </w:rPr>
              <w:t>Shuttle services for employees</w:t>
            </w:r>
          </w:p>
        </w:tc>
        <w:tc>
          <w:tcPr>
            <w:tcW w:w="1417" w:type="dxa"/>
          </w:tcPr>
          <w:p w14:paraId="634988EB"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51</w:t>
            </w:r>
          </w:p>
        </w:tc>
        <w:tc>
          <w:tcPr>
            <w:tcW w:w="1443" w:type="dxa"/>
          </w:tcPr>
          <w:p w14:paraId="17169623"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20.80</w:t>
            </w:r>
          </w:p>
        </w:tc>
      </w:tr>
    </w:tbl>
    <w:p w14:paraId="516C4011" w14:textId="77777777" w:rsidR="00A84E96" w:rsidRPr="00891DB0" w:rsidRDefault="00A84E96" w:rsidP="00891DB0">
      <w:pPr>
        <w:spacing w:line="240" w:lineRule="auto"/>
        <w:jc w:val="center"/>
        <w:rPr>
          <w:rFonts w:ascii="Times New Roman" w:hAnsi="Times New Roman" w:cs="Times New Roman"/>
          <w:bCs/>
          <w:i/>
          <w:sz w:val="24"/>
          <w:szCs w:val="24"/>
        </w:rPr>
      </w:pPr>
      <w:r w:rsidRPr="00891DB0">
        <w:rPr>
          <w:rFonts w:ascii="Times New Roman" w:hAnsi="Times New Roman" w:cs="Times New Roman"/>
          <w:bCs/>
          <w:i/>
          <w:sz w:val="24"/>
          <w:szCs w:val="24"/>
        </w:rPr>
        <w:t>Source: Field Survey, 2024</w:t>
      </w:r>
    </w:p>
    <w:p w14:paraId="40E2B7EC" w14:textId="67714B26" w:rsidR="00A84E96" w:rsidRPr="00BE4AF3" w:rsidRDefault="00A84E96" w:rsidP="00891DB0">
      <w:pPr>
        <w:spacing w:after="0" w:line="240" w:lineRule="auto"/>
        <w:jc w:val="both"/>
        <w:rPr>
          <w:rFonts w:ascii="Times New Roman" w:hAnsi="Times New Roman" w:cs="Times New Roman"/>
          <w:b/>
          <w:i/>
          <w:sz w:val="24"/>
          <w:szCs w:val="24"/>
        </w:rPr>
      </w:pPr>
      <w:r w:rsidRPr="00BE4AF3">
        <w:rPr>
          <w:rFonts w:ascii="Times New Roman" w:eastAsia="Times New Roman" w:hAnsi="Times New Roman" w:cs="Times New Roman"/>
          <w:b/>
          <w:sz w:val="24"/>
          <w:szCs w:val="24"/>
        </w:rPr>
        <w:t xml:space="preserve">Economic Incentives available and their Impact on Industry Clusters </w:t>
      </w:r>
    </w:p>
    <w:p w14:paraId="54B6BA37" w14:textId="77777777" w:rsidR="00A84E96" w:rsidRDefault="00A84E96" w:rsidP="00891DB0">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According to Table 4, the majority overwhelmingly held the view that existing economic incentive packages are sufficient to attract new industries with approximately 95.1% expressing confidence in the inherent framework. But 63.7 percent report that although these incentives are available to subsidize utility costs faced by industries, there is the barrier of red tape through which the incentives cannot be accessed. Approximately 55.9 familiarize low-interest loans to startups as a motivator, and tax holidays to new enterprise recognize approximately 52.2, which connotes a trivial level of incentives provided to startups. The requirement of the improvement of the skills is marked by about 51.0. Over fifty (53.9) percent are aware of a special agency to help get these incentives, and 53.5 percent think SMEs receive them. Approximately 47.8 percent are grants that are used to develop infrastructure. Naturally, the impact of incentives on industry clusters are seen with mixed results, with 46.9% indicating that such incentives actually positively influence the existence. There is a reduction in awareness of incentives available with only 46.19% confirming to the same. The fear about the availability of resources to access incentives expressed by 43.3 is of concern, as 85.7 indicate that businesses lack information about the presence of these incentives, critically demonstrating the necessity of improved communication and outreach.</w:t>
      </w:r>
    </w:p>
    <w:p w14:paraId="6F665247" w14:textId="77777777" w:rsidR="00891DB0" w:rsidRDefault="00891DB0" w:rsidP="00891DB0">
      <w:pPr>
        <w:spacing w:after="0" w:line="240" w:lineRule="auto"/>
        <w:jc w:val="both"/>
        <w:rPr>
          <w:rFonts w:ascii="Times New Roman" w:hAnsi="Times New Roman" w:cs="Times New Roman"/>
          <w:sz w:val="24"/>
          <w:szCs w:val="24"/>
        </w:rPr>
      </w:pPr>
    </w:p>
    <w:p w14:paraId="2E05F038" w14:textId="77777777" w:rsidR="00280688" w:rsidRDefault="00280688" w:rsidP="00891DB0">
      <w:pPr>
        <w:spacing w:after="0" w:line="240" w:lineRule="auto"/>
        <w:jc w:val="both"/>
        <w:rPr>
          <w:rFonts w:ascii="Times New Roman" w:hAnsi="Times New Roman" w:cs="Times New Roman"/>
          <w:sz w:val="24"/>
          <w:szCs w:val="24"/>
        </w:rPr>
      </w:pPr>
    </w:p>
    <w:p w14:paraId="2C7FE244" w14:textId="77777777" w:rsidR="00280688" w:rsidRDefault="00280688" w:rsidP="00891DB0">
      <w:pPr>
        <w:spacing w:after="0" w:line="240" w:lineRule="auto"/>
        <w:jc w:val="both"/>
        <w:rPr>
          <w:rFonts w:ascii="Times New Roman" w:hAnsi="Times New Roman" w:cs="Times New Roman"/>
          <w:sz w:val="24"/>
          <w:szCs w:val="24"/>
        </w:rPr>
      </w:pPr>
    </w:p>
    <w:p w14:paraId="558C822F" w14:textId="77777777" w:rsidR="00280688" w:rsidRDefault="00280688" w:rsidP="00891DB0">
      <w:pPr>
        <w:spacing w:after="0" w:line="240" w:lineRule="auto"/>
        <w:jc w:val="both"/>
        <w:rPr>
          <w:rFonts w:ascii="Times New Roman" w:hAnsi="Times New Roman" w:cs="Times New Roman"/>
          <w:sz w:val="24"/>
          <w:szCs w:val="24"/>
        </w:rPr>
      </w:pPr>
    </w:p>
    <w:p w14:paraId="4E481DBE" w14:textId="77777777" w:rsidR="00280688" w:rsidRPr="00BE4AF3" w:rsidRDefault="00280688" w:rsidP="00891DB0">
      <w:pPr>
        <w:spacing w:after="0" w:line="240" w:lineRule="auto"/>
        <w:jc w:val="both"/>
        <w:rPr>
          <w:rFonts w:ascii="Times New Roman" w:hAnsi="Times New Roman" w:cs="Times New Roman"/>
          <w:sz w:val="24"/>
          <w:szCs w:val="24"/>
        </w:rPr>
      </w:pPr>
    </w:p>
    <w:p w14:paraId="0112B5E3" w14:textId="77777777" w:rsidR="00A84E96" w:rsidRPr="00BE4AF3" w:rsidRDefault="00A84E96" w:rsidP="00891DB0">
      <w:pPr>
        <w:spacing w:after="0" w:line="240" w:lineRule="auto"/>
        <w:jc w:val="both"/>
        <w:rPr>
          <w:rFonts w:ascii="Times New Roman" w:hAnsi="Times New Roman" w:cs="Times New Roman"/>
          <w:sz w:val="24"/>
          <w:szCs w:val="24"/>
        </w:rPr>
      </w:pPr>
    </w:p>
    <w:p w14:paraId="45D87A24" w14:textId="1C57CEDC" w:rsidR="00A84E96" w:rsidRPr="00891DB0" w:rsidRDefault="00A84E96" w:rsidP="00891DB0">
      <w:pPr>
        <w:spacing w:after="0" w:line="240" w:lineRule="auto"/>
        <w:jc w:val="center"/>
        <w:rPr>
          <w:rFonts w:ascii="Times New Roman" w:eastAsia="Times New Roman" w:hAnsi="Times New Roman" w:cs="Times New Roman"/>
          <w:bCs/>
          <w:sz w:val="24"/>
          <w:szCs w:val="24"/>
        </w:rPr>
      </w:pPr>
      <w:r w:rsidRPr="00BE4AF3">
        <w:rPr>
          <w:rFonts w:ascii="Times New Roman" w:eastAsia="Times New Roman" w:hAnsi="Times New Roman" w:cs="Times New Roman"/>
          <w:b/>
          <w:sz w:val="24"/>
          <w:szCs w:val="24"/>
        </w:rPr>
        <w:lastRenderedPageBreak/>
        <w:t xml:space="preserve">Table 4: </w:t>
      </w:r>
      <w:r w:rsidRPr="00891DB0">
        <w:rPr>
          <w:rFonts w:ascii="Times New Roman" w:eastAsia="Times New Roman" w:hAnsi="Times New Roman" w:cs="Times New Roman"/>
          <w:bCs/>
          <w:sz w:val="24"/>
          <w:szCs w:val="24"/>
        </w:rPr>
        <w:t>Distribution based on Economic Incentives available and their Impact</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35"/>
        <w:gridCol w:w="1234"/>
        <w:gridCol w:w="1443"/>
      </w:tblGrid>
      <w:tr w:rsidR="00A84E96" w:rsidRPr="00114425" w14:paraId="3F7AC1A1" w14:textId="77777777" w:rsidTr="00891DB0">
        <w:trPr>
          <w:jc w:val="center"/>
        </w:trPr>
        <w:tc>
          <w:tcPr>
            <w:tcW w:w="5935" w:type="dxa"/>
            <w:tcBorders>
              <w:bottom w:val="single" w:sz="4" w:space="0" w:color="auto"/>
            </w:tcBorders>
          </w:tcPr>
          <w:p w14:paraId="1CD28528" w14:textId="77777777" w:rsidR="00A84E96" w:rsidRPr="00114425" w:rsidRDefault="00A84E96" w:rsidP="00891DB0">
            <w:pPr>
              <w:spacing w:after="0" w:line="240" w:lineRule="auto"/>
              <w:jc w:val="both"/>
              <w:rPr>
                <w:rFonts w:ascii="Times New Roman" w:hAnsi="Times New Roman" w:cs="Times New Roman"/>
                <w:bCs/>
                <w:sz w:val="20"/>
                <w:szCs w:val="20"/>
              </w:rPr>
            </w:pPr>
            <w:r w:rsidRPr="00114425">
              <w:rPr>
                <w:rFonts w:ascii="Times New Roman" w:hAnsi="Times New Roman" w:cs="Times New Roman"/>
                <w:bCs/>
                <w:sz w:val="20"/>
                <w:szCs w:val="20"/>
              </w:rPr>
              <w:t xml:space="preserve">Variables </w:t>
            </w:r>
          </w:p>
        </w:tc>
        <w:tc>
          <w:tcPr>
            <w:tcW w:w="1234" w:type="dxa"/>
            <w:tcBorders>
              <w:bottom w:val="single" w:sz="4" w:space="0" w:color="auto"/>
            </w:tcBorders>
          </w:tcPr>
          <w:p w14:paraId="534B18CF" w14:textId="77777777" w:rsidR="00A84E96" w:rsidRPr="00114425" w:rsidRDefault="00A84E96" w:rsidP="00891DB0">
            <w:pPr>
              <w:spacing w:after="0" w:line="240" w:lineRule="auto"/>
              <w:jc w:val="both"/>
              <w:rPr>
                <w:rFonts w:ascii="Times New Roman" w:hAnsi="Times New Roman" w:cs="Times New Roman"/>
                <w:bCs/>
                <w:sz w:val="20"/>
                <w:szCs w:val="20"/>
              </w:rPr>
            </w:pPr>
            <w:r w:rsidRPr="00114425">
              <w:rPr>
                <w:rFonts w:ascii="Times New Roman" w:hAnsi="Times New Roman" w:cs="Times New Roman"/>
                <w:bCs/>
                <w:sz w:val="20"/>
                <w:szCs w:val="20"/>
              </w:rPr>
              <w:t xml:space="preserve">Frequency </w:t>
            </w:r>
          </w:p>
        </w:tc>
        <w:tc>
          <w:tcPr>
            <w:tcW w:w="1443" w:type="dxa"/>
            <w:tcBorders>
              <w:bottom w:val="single" w:sz="4" w:space="0" w:color="auto"/>
            </w:tcBorders>
          </w:tcPr>
          <w:p w14:paraId="0303AFC5" w14:textId="77777777" w:rsidR="00A84E96" w:rsidRPr="00114425" w:rsidRDefault="00A84E96" w:rsidP="00891DB0">
            <w:pPr>
              <w:spacing w:after="0" w:line="240" w:lineRule="auto"/>
              <w:jc w:val="both"/>
              <w:rPr>
                <w:rFonts w:ascii="Times New Roman" w:hAnsi="Times New Roman" w:cs="Times New Roman"/>
                <w:bCs/>
                <w:sz w:val="20"/>
                <w:szCs w:val="20"/>
              </w:rPr>
            </w:pPr>
            <w:r w:rsidRPr="00114425">
              <w:rPr>
                <w:rFonts w:ascii="Times New Roman" w:hAnsi="Times New Roman" w:cs="Times New Roman"/>
                <w:bCs/>
                <w:sz w:val="20"/>
                <w:szCs w:val="20"/>
              </w:rPr>
              <w:t xml:space="preserve">Percentages </w:t>
            </w:r>
          </w:p>
        </w:tc>
      </w:tr>
      <w:tr w:rsidR="00A84E96" w:rsidRPr="00114425" w14:paraId="0FA95CD3" w14:textId="77777777" w:rsidTr="00891DB0">
        <w:trPr>
          <w:jc w:val="center"/>
        </w:trPr>
        <w:tc>
          <w:tcPr>
            <w:tcW w:w="5935" w:type="dxa"/>
            <w:tcBorders>
              <w:top w:val="single" w:sz="4" w:space="0" w:color="auto"/>
              <w:bottom w:val="nil"/>
            </w:tcBorders>
          </w:tcPr>
          <w:p w14:paraId="636305A5" w14:textId="77777777" w:rsidR="00A84E96" w:rsidRPr="00114425" w:rsidRDefault="00A84E96" w:rsidP="00891DB0">
            <w:pPr>
              <w:spacing w:after="0" w:line="240" w:lineRule="auto"/>
              <w:jc w:val="both"/>
              <w:rPr>
                <w:rFonts w:ascii="Times New Roman" w:hAnsi="Times New Roman" w:cs="Times New Roman"/>
                <w:b/>
                <w:sz w:val="20"/>
                <w:szCs w:val="20"/>
              </w:rPr>
            </w:pPr>
            <w:r w:rsidRPr="00114425">
              <w:rPr>
                <w:rFonts w:ascii="Times New Roman" w:hAnsi="Times New Roman" w:cs="Times New Roman"/>
                <w:sz w:val="20"/>
                <w:szCs w:val="20"/>
              </w:rPr>
              <w:t xml:space="preserve">Are tax holidays available for new businesses </w:t>
            </w:r>
          </w:p>
        </w:tc>
        <w:tc>
          <w:tcPr>
            <w:tcW w:w="1234" w:type="dxa"/>
            <w:tcBorders>
              <w:top w:val="single" w:sz="4" w:space="0" w:color="auto"/>
              <w:bottom w:val="nil"/>
            </w:tcBorders>
          </w:tcPr>
          <w:p w14:paraId="68DC78B6" w14:textId="77777777" w:rsidR="00A84E96" w:rsidRPr="00114425" w:rsidRDefault="00A84E96" w:rsidP="00891DB0">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128</w:t>
            </w:r>
          </w:p>
        </w:tc>
        <w:tc>
          <w:tcPr>
            <w:tcW w:w="1443" w:type="dxa"/>
            <w:tcBorders>
              <w:top w:val="single" w:sz="4" w:space="0" w:color="auto"/>
              <w:bottom w:val="nil"/>
            </w:tcBorders>
          </w:tcPr>
          <w:p w14:paraId="6D0FBBED" w14:textId="77777777" w:rsidR="00A84E96" w:rsidRPr="00114425" w:rsidRDefault="00A84E96" w:rsidP="00891DB0">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52.20</w:t>
            </w:r>
          </w:p>
        </w:tc>
      </w:tr>
      <w:tr w:rsidR="00A84E96" w:rsidRPr="00114425" w14:paraId="1E0518CF" w14:textId="77777777" w:rsidTr="00891DB0">
        <w:trPr>
          <w:jc w:val="center"/>
        </w:trPr>
        <w:tc>
          <w:tcPr>
            <w:tcW w:w="5935" w:type="dxa"/>
            <w:tcBorders>
              <w:top w:val="nil"/>
            </w:tcBorders>
          </w:tcPr>
          <w:p w14:paraId="6F5AC984" w14:textId="77777777" w:rsidR="00A84E96" w:rsidRPr="00114425" w:rsidRDefault="00A84E96" w:rsidP="00891DB0">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Are there grants for infrastructure development available to industries </w:t>
            </w:r>
          </w:p>
        </w:tc>
        <w:tc>
          <w:tcPr>
            <w:tcW w:w="1234" w:type="dxa"/>
            <w:tcBorders>
              <w:top w:val="nil"/>
            </w:tcBorders>
          </w:tcPr>
          <w:p w14:paraId="08F1B602" w14:textId="77777777" w:rsidR="00A84E96" w:rsidRPr="00114425" w:rsidRDefault="00A84E96" w:rsidP="00891DB0">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117</w:t>
            </w:r>
          </w:p>
        </w:tc>
        <w:tc>
          <w:tcPr>
            <w:tcW w:w="1443" w:type="dxa"/>
            <w:tcBorders>
              <w:top w:val="nil"/>
            </w:tcBorders>
          </w:tcPr>
          <w:p w14:paraId="3BE01151" w14:textId="77777777" w:rsidR="00A84E96" w:rsidRPr="00114425" w:rsidRDefault="00A84E96" w:rsidP="00891DB0">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47.80</w:t>
            </w:r>
          </w:p>
        </w:tc>
      </w:tr>
      <w:tr w:rsidR="00A84E96" w:rsidRPr="00114425" w14:paraId="78A9273C" w14:textId="77777777" w:rsidTr="00891DB0">
        <w:trPr>
          <w:jc w:val="center"/>
        </w:trPr>
        <w:tc>
          <w:tcPr>
            <w:tcW w:w="5935" w:type="dxa"/>
          </w:tcPr>
          <w:p w14:paraId="44958282" w14:textId="77777777" w:rsidR="00A84E96" w:rsidRPr="00114425" w:rsidRDefault="00A84E96" w:rsidP="00891DB0">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Do industries in Ogun State receive subsidies for utility costs</w:t>
            </w:r>
          </w:p>
        </w:tc>
        <w:tc>
          <w:tcPr>
            <w:tcW w:w="1234" w:type="dxa"/>
          </w:tcPr>
          <w:p w14:paraId="36BC8FBE"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156</w:t>
            </w:r>
          </w:p>
        </w:tc>
        <w:tc>
          <w:tcPr>
            <w:tcW w:w="1443" w:type="dxa"/>
          </w:tcPr>
          <w:p w14:paraId="7AE32FAE"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63.70</w:t>
            </w:r>
          </w:p>
        </w:tc>
      </w:tr>
      <w:tr w:rsidR="00A84E96" w:rsidRPr="00114425" w14:paraId="60E99CBD" w14:textId="77777777" w:rsidTr="00891DB0">
        <w:trPr>
          <w:jc w:val="center"/>
        </w:trPr>
        <w:tc>
          <w:tcPr>
            <w:tcW w:w="5935" w:type="dxa"/>
          </w:tcPr>
          <w:p w14:paraId="0C5320E9" w14:textId="77777777" w:rsidR="00A84E96" w:rsidRPr="00114425" w:rsidRDefault="00A84E96" w:rsidP="00891DB0">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Are low-interest loans available for startups </w:t>
            </w:r>
          </w:p>
        </w:tc>
        <w:tc>
          <w:tcPr>
            <w:tcW w:w="1234" w:type="dxa"/>
          </w:tcPr>
          <w:p w14:paraId="6C2244B6"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137</w:t>
            </w:r>
          </w:p>
        </w:tc>
        <w:tc>
          <w:tcPr>
            <w:tcW w:w="1443" w:type="dxa"/>
          </w:tcPr>
          <w:p w14:paraId="79B2F18D"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55.90</w:t>
            </w:r>
          </w:p>
        </w:tc>
      </w:tr>
      <w:tr w:rsidR="00A84E96" w:rsidRPr="00114425" w14:paraId="6775158C" w14:textId="77777777" w:rsidTr="00891DB0">
        <w:trPr>
          <w:jc w:val="center"/>
        </w:trPr>
        <w:tc>
          <w:tcPr>
            <w:tcW w:w="5935" w:type="dxa"/>
          </w:tcPr>
          <w:p w14:paraId="7D2EFBDD" w14:textId="77777777" w:rsidR="00A84E96" w:rsidRPr="00114425" w:rsidRDefault="00A84E96" w:rsidP="00891DB0">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Are training and workforce development programs offered as economic incentives</w:t>
            </w:r>
          </w:p>
        </w:tc>
        <w:tc>
          <w:tcPr>
            <w:tcW w:w="1234" w:type="dxa"/>
          </w:tcPr>
          <w:p w14:paraId="0E813B22"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125</w:t>
            </w:r>
          </w:p>
        </w:tc>
        <w:tc>
          <w:tcPr>
            <w:tcW w:w="1443" w:type="dxa"/>
          </w:tcPr>
          <w:p w14:paraId="0EC645EC"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51.0</w:t>
            </w:r>
          </w:p>
        </w:tc>
      </w:tr>
      <w:tr w:rsidR="00A84E96" w:rsidRPr="00114425" w14:paraId="494AC96C" w14:textId="77777777" w:rsidTr="00891DB0">
        <w:trPr>
          <w:jc w:val="center"/>
        </w:trPr>
        <w:tc>
          <w:tcPr>
            <w:tcW w:w="5935" w:type="dxa"/>
          </w:tcPr>
          <w:p w14:paraId="11C87926" w14:textId="77777777" w:rsidR="00A84E96" w:rsidRPr="00114425" w:rsidRDefault="00A84E96" w:rsidP="00891DB0">
            <w:pPr>
              <w:spacing w:after="0" w:line="240" w:lineRule="auto"/>
              <w:jc w:val="both"/>
              <w:rPr>
                <w:rFonts w:ascii="Times New Roman" w:hAnsi="Times New Roman" w:cs="Times New Roman"/>
                <w:sz w:val="20"/>
                <w:szCs w:val="20"/>
              </w:rPr>
            </w:pPr>
            <w:r w:rsidRPr="00114425">
              <w:rPr>
                <w:rFonts w:ascii="Times New Roman" w:eastAsia="Times New Roman" w:hAnsi="Times New Roman" w:cs="Times New Roman"/>
                <w:bCs/>
                <w:sz w:val="20"/>
                <w:szCs w:val="20"/>
              </w:rPr>
              <w:t>Is there a mentorship program available to help businesses navigate the incentive application process</w:t>
            </w:r>
          </w:p>
        </w:tc>
        <w:tc>
          <w:tcPr>
            <w:tcW w:w="1234" w:type="dxa"/>
          </w:tcPr>
          <w:p w14:paraId="52DC5FC0"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113</w:t>
            </w:r>
          </w:p>
        </w:tc>
        <w:tc>
          <w:tcPr>
            <w:tcW w:w="1443" w:type="dxa"/>
          </w:tcPr>
          <w:p w14:paraId="6B522463"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46.1</w:t>
            </w:r>
          </w:p>
        </w:tc>
      </w:tr>
      <w:tr w:rsidR="00A84E96" w:rsidRPr="00114425" w14:paraId="339DC509" w14:textId="77777777" w:rsidTr="00891DB0">
        <w:trPr>
          <w:jc w:val="center"/>
        </w:trPr>
        <w:tc>
          <w:tcPr>
            <w:tcW w:w="5935" w:type="dxa"/>
          </w:tcPr>
          <w:p w14:paraId="551E1DF5" w14:textId="77777777" w:rsidR="00A84E96" w:rsidRPr="00114425" w:rsidRDefault="00A84E96" w:rsidP="00891DB0">
            <w:pPr>
              <w:spacing w:after="0" w:line="240" w:lineRule="auto"/>
              <w:jc w:val="both"/>
              <w:rPr>
                <w:rFonts w:ascii="Times New Roman" w:hAnsi="Times New Roman" w:cs="Times New Roman"/>
                <w:b/>
                <w:sz w:val="20"/>
                <w:szCs w:val="20"/>
              </w:rPr>
            </w:pPr>
            <w:r w:rsidRPr="00114425">
              <w:rPr>
                <w:rFonts w:ascii="Times New Roman" w:hAnsi="Times New Roman" w:cs="Times New Roman"/>
                <w:sz w:val="20"/>
                <w:szCs w:val="20"/>
              </w:rPr>
              <w:t>Is there a dedicated agency for facilitating access to economic incentives</w:t>
            </w:r>
          </w:p>
        </w:tc>
        <w:tc>
          <w:tcPr>
            <w:tcW w:w="1234" w:type="dxa"/>
          </w:tcPr>
          <w:p w14:paraId="7F702527"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132</w:t>
            </w:r>
          </w:p>
        </w:tc>
        <w:tc>
          <w:tcPr>
            <w:tcW w:w="1443" w:type="dxa"/>
          </w:tcPr>
          <w:p w14:paraId="0C4E519E"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53.90</w:t>
            </w:r>
          </w:p>
        </w:tc>
      </w:tr>
      <w:tr w:rsidR="00A84E96" w:rsidRPr="00114425" w14:paraId="5FDB3D08" w14:textId="77777777" w:rsidTr="00891DB0">
        <w:trPr>
          <w:jc w:val="center"/>
        </w:trPr>
        <w:tc>
          <w:tcPr>
            <w:tcW w:w="5935" w:type="dxa"/>
          </w:tcPr>
          <w:p w14:paraId="469CAB4F" w14:textId="77777777" w:rsidR="00A84E96" w:rsidRPr="00114425" w:rsidRDefault="00A84E96" w:rsidP="00891DB0">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Are businesses in Ogun State aware of the available economic incentives</w:t>
            </w:r>
          </w:p>
        </w:tc>
        <w:tc>
          <w:tcPr>
            <w:tcW w:w="1234" w:type="dxa"/>
          </w:tcPr>
          <w:p w14:paraId="0364C2A8"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113</w:t>
            </w:r>
          </w:p>
        </w:tc>
        <w:tc>
          <w:tcPr>
            <w:tcW w:w="1443" w:type="dxa"/>
          </w:tcPr>
          <w:p w14:paraId="4B8C490C"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46.10</w:t>
            </w:r>
          </w:p>
        </w:tc>
      </w:tr>
      <w:tr w:rsidR="00A84E96" w:rsidRPr="00114425" w14:paraId="020F3208" w14:textId="77777777" w:rsidTr="00891DB0">
        <w:trPr>
          <w:jc w:val="center"/>
        </w:trPr>
        <w:tc>
          <w:tcPr>
            <w:tcW w:w="5935" w:type="dxa"/>
          </w:tcPr>
          <w:p w14:paraId="78C1366B" w14:textId="77777777" w:rsidR="00A84E96" w:rsidRPr="00114425" w:rsidRDefault="00A84E96" w:rsidP="00891DB0">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Do you think the current economic incentives are sufficient to attract new industries</w:t>
            </w:r>
          </w:p>
        </w:tc>
        <w:tc>
          <w:tcPr>
            <w:tcW w:w="1234" w:type="dxa"/>
          </w:tcPr>
          <w:p w14:paraId="275190E5"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233</w:t>
            </w:r>
          </w:p>
        </w:tc>
        <w:tc>
          <w:tcPr>
            <w:tcW w:w="1443" w:type="dxa"/>
          </w:tcPr>
          <w:p w14:paraId="7F307BED"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95.10</w:t>
            </w:r>
          </w:p>
        </w:tc>
      </w:tr>
      <w:tr w:rsidR="00A84E96" w:rsidRPr="00114425" w14:paraId="4DDDF6FD" w14:textId="77777777" w:rsidTr="00891DB0">
        <w:trPr>
          <w:jc w:val="center"/>
        </w:trPr>
        <w:tc>
          <w:tcPr>
            <w:tcW w:w="5935" w:type="dxa"/>
          </w:tcPr>
          <w:p w14:paraId="1BFF04FF" w14:textId="77777777" w:rsidR="00A84E96" w:rsidRPr="00114425" w:rsidRDefault="00A84E96" w:rsidP="00891DB0">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Do you believe these economic incentives effectively promote industrial growth</w:t>
            </w:r>
          </w:p>
        </w:tc>
        <w:tc>
          <w:tcPr>
            <w:tcW w:w="1234" w:type="dxa"/>
          </w:tcPr>
          <w:p w14:paraId="216F64EF"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130</w:t>
            </w:r>
          </w:p>
        </w:tc>
        <w:tc>
          <w:tcPr>
            <w:tcW w:w="1443" w:type="dxa"/>
          </w:tcPr>
          <w:p w14:paraId="497FFB71"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53.10</w:t>
            </w:r>
          </w:p>
        </w:tc>
      </w:tr>
      <w:tr w:rsidR="00A84E96" w:rsidRPr="00114425" w14:paraId="003E536A" w14:textId="77777777" w:rsidTr="00891DB0">
        <w:trPr>
          <w:jc w:val="center"/>
        </w:trPr>
        <w:tc>
          <w:tcPr>
            <w:tcW w:w="5935" w:type="dxa"/>
          </w:tcPr>
          <w:p w14:paraId="5759390D" w14:textId="77777777" w:rsidR="00A84E96" w:rsidRPr="00114425" w:rsidRDefault="00A84E96" w:rsidP="00891DB0">
            <w:pPr>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Do you think these incentives significantly impact the establishment of industry clusters</w:t>
            </w:r>
          </w:p>
        </w:tc>
        <w:tc>
          <w:tcPr>
            <w:tcW w:w="1234" w:type="dxa"/>
          </w:tcPr>
          <w:p w14:paraId="14EE8C34"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115 </w:t>
            </w:r>
          </w:p>
        </w:tc>
        <w:tc>
          <w:tcPr>
            <w:tcW w:w="1443" w:type="dxa"/>
          </w:tcPr>
          <w:p w14:paraId="1E85709F"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46.90</w:t>
            </w:r>
          </w:p>
        </w:tc>
      </w:tr>
      <w:tr w:rsidR="00A84E96" w:rsidRPr="00114425" w14:paraId="57E00C48" w14:textId="77777777" w:rsidTr="00891DB0">
        <w:trPr>
          <w:jc w:val="center"/>
        </w:trPr>
        <w:tc>
          <w:tcPr>
            <w:tcW w:w="5935" w:type="dxa"/>
          </w:tcPr>
          <w:p w14:paraId="7212C034" w14:textId="77777777" w:rsidR="00A84E96" w:rsidRPr="00114425" w:rsidRDefault="00A84E96" w:rsidP="00891DB0">
            <w:pPr>
              <w:spacing w:after="0" w:line="240" w:lineRule="auto"/>
              <w:jc w:val="both"/>
              <w:rPr>
                <w:rFonts w:ascii="Times New Roman" w:hAnsi="Times New Roman" w:cs="Times New Roman"/>
                <w:b/>
                <w:sz w:val="20"/>
                <w:szCs w:val="20"/>
              </w:rPr>
            </w:pPr>
            <w:r w:rsidRPr="00114425">
              <w:rPr>
                <w:rFonts w:ascii="Times New Roman" w:hAnsi="Times New Roman" w:cs="Times New Roman"/>
                <w:sz w:val="20"/>
                <w:szCs w:val="20"/>
              </w:rPr>
              <w:t>Do you believe small and medium enterprises (SMEs) benefit from these economic incentives</w:t>
            </w:r>
          </w:p>
        </w:tc>
        <w:tc>
          <w:tcPr>
            <w:tcW w:w="1234" w:type="dxa"/>
          </w:tcPr>
          <w:p w14:paraId="54647BA9"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 xml:space="preserve">131 </w:t>
            </w:r>
          </w:p>
        </w:tc>
        <w:tc>
          <w:tcPr>
            <w:tcW w:w="1443" w:type="dxa"/>
          </w:tcPr>
          <w:p w14:paraId="2DE8D27F"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53.50</w:t>
            </w:r>
          </w:p>
        </w:tc>
      </w:tr>
      <w:tr w:rsidR="00A84E96" w:rsidRPr="00114425" w14:paraId="0885EEB8" w14:textId="77777777" w:rsidTr="00891DB0">
        <w:trPr>
          <w:jc w:val="center"/>
        </w:trPr>
        <w:tc>
          <w:tcPr>
            <w:tcW w:w="5935" w:type="dxa"/>
          </w:tcPr>
          <w:p w14:paraId="4943FE32" w14:textId="77777777" w:rsidR="00A84E96" w:rsidRPr="00114425" w:rsidRDefault="00A84E96" w:rsidP="00891DB0">
            <w:pPr>
              <w:spacing w:after="0" w:line="240" w:lineRule="auto"/>
              <w:jc w:val="both"/>
              <w:rPr>
                <w:rFonts w:ascii="Times New Roman" w:eastAsia="Times New Roman" w:hAnsi="Times New Roman" w:cs="Times New Roman"/>
                <w:sz w:val="20"/>
                <w:szCs w:val="20"/>
              </w:rPr>
            </w:pPr>
            <w:r w:rsidRPr="00114425">
              <w:rPr>
                <w:rFonts w:ascii="Times New Roman" w:hAnsi="Times New Roman" w:cs="Times New Roman"/>
                <w:sz w:val="20"/>
                <w:szCs w:val="20"/>
              </w:rPr>
              <w:t>Do you think there are sufficient resources available to help businesses access these economic incentives</w:t>
            </w:r>
          </w:p>
        </w:tc>
        <w:tc>
          <w:tcPr>
            <w:tcW w:w="1234" w:type="dxa"/>
          </w:tcPr>
          <w:p w14:paraId="507BAE69"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106</w:t>
            </w:r>
          </w:p>
        </w:tc>
        <w:tc>
          <w:tcPr>
            <w:tcW w:w="1443" w:type="dxa"/>
          </w:tcPr>
          <w:p w14:paraId="33DEE1B7"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43.30</w:t>
            </w:r>
          </w:p>
        </w:tc>
      </w:tr>
      <w:tr w:rsidR="00A84E96" w:rsidRPr="00114425" w14:paraId="258BA82C" w14:textId="77777777" w:rsidTr="00891DB0">
        <w:trPr>
          <w:jc w:val="center"/>
        </w:trPr>
        <w:tc>
          <w:tcPr>
            <w:tcW w:w="5935" w:type="dxa"/>
          </w:tcPr>
          <w:p w14:paraId="1523B607" w14:textId="77777777" w:rsidR="00A84E96" w:rsidRPr="00114425" w:rsidRDefault="00A84E96" w:rsidP="00891DB0">
            <w:pPr>
              <w:spacing w:after="0" w:line="240" w:lineRule="auto"/>
              <w:jc w:val="both"/>
              <w:rPr>
                <w:rFonts w:ascii="Times New Roman" w:hAnsi="Times New Roman" w:cs="Times New Roman"/>
                <w:b/>
                <w:sz w:val="20"/>
                <w:szCs w:val="20"/>
              </w:rPr>
            </w:pPr>
            <w:r w:rsidRPr="00114425">
              <w:rPr>
                <w:rFonts w:ascii="Times New Roman" w:hAnsi="Times New Roman" w:cs="Times New Roman"/>
                <w:sz w:val="20"/>
                <w:szCs w:val="20"/>
              </w:rPr>
              <w:t>Are there networking opportunities available for businesses to learn about incentives</w:t>
            </w:r>
          </w:p>
        </w:tc>
        <w:tc>
          <w:tcPr>
            <w:tcW w:w="1234" w:type="dxa"/>
          </w:tcPr>
          <w:p w14:paraId="160AF254"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89</w:t>
            </w:r>
          </w:p>
        </w:tc>
        <w:tc>
          <w:tcPr>
            <w:tcW w:w="1443" w:type="dxa"/>
          </w:tcPr>
          <w:p w14:paraId="3CFF3471"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36.60</w:t>
            </w:r>
          </w:p>
        </w:tc>
      </w:tr>
      <w:tr w:rsidR="00A84E96" w:rsidRPr="00114425" w14:paraId="46DCF055" w14:textId="77777777" w:rsidTr="00891DB0">
        <w:trPr>
          <w:jc w:val="center"/>
        </w:trPr>
        <w:tc>
          <w:tcPr>
            <w:tcW w:w="5935" w:type="dxa"/>
          </w:tcPr>
          <w:p w14:paraId="79BF60A5" w14:textId="77777777" w:rsidR="00A84E96" w:rsidRPr="00114425" w:rsidRDefault="00A84E96" w:rsidP="00891DB0">
            <w:pPr>
              <w:spacing w:after="0" w:line="240" w:lineRule="auto"/>
              <w:jc w:val="both"/>
              <w:rPr>
                <w:rFonts w:ascii="Times New Roman" w:eastAsia="Times New Roman" w:hAnsi="Times New Roman" w:cs="Times New Roman"/>
                <w:sz w:val="20"/>
                <w:szCs w:val="20"/>
              </w:rPr>
            </w:pPr>
            <w:r w:rsidRPr="00114425">
              <w:rPr>
                <w:rFonts w:ascii="Times New Roman" w:hAnsi="Times New Roman" w:cs="Times New Roman"/>
                <w:sz w:val="20"/>
                <w:szCs w:val="20"/>
              </w:rPr>
              <w:t>Do you believe that the impact of economic incentives on industry clusters is measurable</w:t>
            </w:r>
          </w:p>
        </w:tc>
        <w:tc>
          <w:tcPr>
            <w:tcW w:w="1234" w:type="dxa"/>
          </w:tcPr>
          <w:p w14:paraId="3DEB90C7"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35</w:t>
            </w:r>
          </w:p>
        </w:tc>
        <w:tc>
          <w:tcPr>
            <w:tcW w:w="1443" w:type="dxa"/>
          </w:tcPr>
          <w:p w14:paraId="111DFF6F"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14.30</w:t>
            </w:r>
          </w:p>
        </w:tc>
      </w:tr>
      <w:tr w:rsidR="00A84E96" w:rsidRPr="00114425" w14:paraId="2DF6D85E" w14:textId="77777777" w:rsidTr="00891DB0">
        <w:trPr>
          <w:jc w:val="center"/>
        </w:trPr>
        <w:tc>
          <w:tcPr>
            <w:tcW w:w="5935" w:type="dxa"/>
          </w:tcPr>
          <w:p w14:paraId="24FCD0C3" w14:textId="77777777" w:rsidR="00A84E96" w:rsidRPr="00114425" w:rsidRDefault="00A84E96" w:rsidP="00891DB0">
            <w:pPr>
              <w:spacing w:after="0" w:line="240" w:lineRule="auto"/>
              <w:jc w:val="both"/>
              <w:rPr>
                <w:rFonts w:ascii="Times New Roman" w:hAnsi="Times New Roman" w:cs="Times New Roman"/>
                <w:b/>
                <w:sz w:val="20"/>
                <w:szCs w:val="20"/>
              </w:rPr>
            </w:pPr>
            <w:r w:rsidRPr="00114425">
              <w:rPr>
                <w:rFonts w:ascii="Times New Roman" w:hAnsi="Times New Roman" w:cs="Times New Roman"/>
                <w:sz w:val="20"/>
                <w:szCs w:val="20"/>
              </w:rPr>
              <w:t>Do you think that bureaucratic hurdles hinder access to economic incentives</w:t>
            </w:r>
          </w:p>
        </w:tc>
        <w:tc>
          <w:tcPr>
            <w:tcW w:w="1234" w:type="dxa"/>
          </w:tcPr>
          <w:p w14:paraId="11E18130"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156</w:t>
            </w:r>
          </w:p>
        </w:tc>
        <w:tc>
          <w:tcPr>
            <w:tcW w:w="1443" w:type="dxa"/>
          </w:tcPr>
          <w:p w14:paraId="1325D8B2"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63.70</w:t>
            </w:r>
          </w:p>
        </w:tc>
      </w:tr>
      <w:tr w:rsidR="00A84E96" w:rsidRPr="00114425" w14:paraId="0233C646" w14:textId="77777777" w:rsidTr="00891DB0">
        <w:trPr>
          <w:jc w:val="center"/>
        </w:trPr>
        <w:tc>
          <w:tcPr>
            <w:tcW w:w="5935" w:type="dxa"/>
          </w:tcPr>
          <w:p w14:paraId="71D74E5C" w14:textId="77777777" w:rsidR="00A84E96" w:rsidRPr="00114425" w:rsidRDefault="00A84E96" w:rsidP="00891DB0">
            <w:pPr>
              <w:spacing w:after="0" w:line="240" w:lineRule="auto"/>
              <w:jc w:val="both"/>
              <w:rPr>
                <w:rFonts w:ascii="Times New Roman" w:hAnsi="Times New Roman" w:cs="Times New Roman"/>
                <w:b/>
                <w:sz w:val="20"/>
                <w:szCs w:val="20"/>
              </w:rPr>
            </w:pPr>
            <w:r w:rsidRPr="00114425">
              <w:rPr>
                <w:rFonts w:ascii="Times New Roman" w:hAnsi="Times New Roman" w:cs="Times New Roman"/>
                <w:sz w:val="20"/>
                <w:szCs w:val="20"/>
              </w:rPr>
              <w:t>Is there a lack of awareness among businesses regarding the available incentives?</w:t>
            </w:r>
          </w:p>
        </w:tc>
        <w:tc>
          <w:tcPr>
            <w:tcW w:w="1234" w:type="dxa"/>
          </w:tcPr>
          <w:p w14:paraId="6BE612CF"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210</w:t>
            </w:r>
          </w:p>
        </w:tc>
        <w:tc>
          <w:tcPr>
            <w:tcW w:w="1443" w:type="dxa"/>
          </w:tcPr>
          <w:p w14:paraId="746C84E9" w14:textId="77777777" w:rsidR="00A84E96" w:rsidRPr="00114425" w:rsidRDefault="00A84E96" w:rsidP="00891DB0">
            <w:pPr>
              <w:autoSpaceDE w:val="0"/>
              <w:autoSpaceDN w:val="0"/>
              <w:adjustRightInd w:val="0"/>
              <w:spacing w:after="0" w:line="240" w:lineRule="auto"/>
              <w:jc w:val="both"/>
              <w:rPr>
                <w:rFonts w:ascii="Times New Roman" w:hAnsi="Times New Roman" w:cs="Times New Roman"/>
                <w:sz w:val="20"/>
                <w:szCs w:val="20"/>
              </w:rPr>
            </w:pPr>
            <w:r w:rsidRPr="00114425">
              <w:rPr>
                <w:rFonts w:ascii="Times New Roman" w:hAnsi="Times New Roman" w:cs="Times New Roman"/>
                <w:sz w:val="20"/>
                <w:szCs w:val="20"/>
              </w:rPr>
              <w:t>85.70</w:t>
            </w:r>
          </w:p>
        </w:tc>
      </w:tr>
    </w:tbl>
    <w:p w14:paraId="174A2700" w14:textId="77777777" w:rsidR="00A84E96" w:rsidRPr="00891DB0" w:rsidRDefault="00A84E96" w:rsidP="00891DB0">
      <w:pPr>
        <w:spacing w:line="240" w:lineRule="auto"/>
        <w:jc w:val="center"/>
        <w:rPr>
          <w:rFonts w:ascii="Times New Roman" w:hAnsi="Times New Roman" w:cs="Times New Roman"/>
          <w:bCs/>
          <w:i/>
          <w:sz w:val="24"/>
          <w:szCs w:val="24"/>
        </w:rPr>
      </w:pPr>
      <w:r w:rsidRPr="00891DB0">
        <w:rPr>
          <w:rFonts w:ascii="Times New Roman" w:hAnsi="Times New Roman" w:cs="Times New Roman"/>
          <w:bCs/>
          <w:i/>
          <w:sz w:val="24"/>
          <w:szCs w:val="24"/>
        </w:rPr>
        <w:t>Source: Field Survey, 2024</w:t>
      </w:r>
    </w:p>
    <w:p w14:paraId="12C6EDFE" w14:textId="005CD92F" w:rsidR="00A84E96" w:rsidRPr="00BE4AF3" w:rsidRDefault="00A84E96" w:rsidP="00891DB0">
      <w:pPr>
        <w:spacing w:after="0" w:line="240" w:lineRule="auto"/>
        <w:jc w:val="both"/>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 xml:space="preserve">Challenges facing the effective of Spatial Planning in the study area. </w:t>
      </w:r>
    </w:p>
    <w:p w14:paraId="74A4DC39" w14:textId="77777777" w:rsidR="00A84E96" w:rsidRPr="00BE4AF3" w:rsidRDefault="00A84E96" w:rsidP="00891DB0">
      <w:pPr>
        <w:jc w:val="both"/>
        <w:rPr>
          <w:rFonts w:ascii="Times New Roman" w:hAnsi="Times New Roman" w:cs="Times New Roman"/>
          <w:sz w:val="24"/>
          <w:szCs w:val="24"/>
        </w:rPr>
      </w:pPr>
      <w:r w:rsidRPr="00BE4AF3">
        <w:rPr>
          <w:rFonts w:ascii="Times New Roman" w:hAnsi="Times New Roman" w:cs="Times New Roman"/>
          <w:sz w:val="24"/>
          <w:szCs w:val="24"/>
        </w:rPr>
        <w:t xml:space="preserve">The different key areas of hindrance of the spatial planning are presented in table 5. Lack of access to credit with a Weighted Mean Score (WMS) of 3.29 is the major hindrance, which means that financing is quite effective to hinder business growth and development. Regarding the availability of financial resources, WMS = 2.63 indicative of manifesting fear of accessing funds to fund operations and general expansion. The third rank place is unsafe prices with a WMS of 2.33 showing how economic turmoil slices through the stability of companies. Poor infrastructure makes the fourth WLAN capable of 2.03 the acquisition of external facilities to assist in industrial operations. Weaknesses in terms of evidence of lack of cooperation between the stakeholders included Insufficient Stakeholder Participation (1.78 WMS). The difference in land-use (WMS 1.67), Environmental-1.664, have rendered the development policies to be a thorny area of development and these practices require sustainability. Second is lack of qualified labour (WMS 1.61), then there is poor transport connectivity (WMS 1.50), and so there is lack of qualified and easy access to markets and skilled labour. Lack of economic incentives meet the demand to have more powerful tools of support (WMS 1.48). The inefficient system condition attracted a WMS of 1.41 of the problems related to waste management management. But the lowest rating is given </w:t>
      </w:r>
      <w:r w:rsidRPr="00BE4AF3">
        <w:rPr>
          <w:rFonts w:ascii="Times New Roman" w:hAnsi="Times New Roman" w:cs="Times New Roman"/>
          <w:sz w:val="24"/>
          <w:szCs w:val="24"/>
        </w:rPr>
        <w:lastRenderedPageBreak/>
        <w:t>because of lack or inflexibility in planning (WMS of 1.33) which means that these inflexible processes impair responsiveness to the changes of the economy.</w:t>
      </w:r>
    </w:p>
    <w:p w14:paraId="73A16453" w14:textId="4C7BA1F4" w:rsidR="00A84E96" w:rsidRPr="00891DB0" w:rsidRDefault="00A84E96" w:rsidP="00114425">
      <w:pPr>
        <w:spacing w:after="0" w:line="240" w:lineRule="auto"/>
        <w:jc w:val="center"/>
        <w:rPr>
          <w:rFonts w:ascii="Times New Roman" w:eastAsia="Times New Roman" w:hAnsi="Times New Roman" w:cs="Times New Roman"/>
          <w:bCs/>
          <w:sz w:val="24"/>
          <w:szCs w:val="24"/>
        </w:rPr>
      </w:pPr>
      <w:r w:rsidRPr="00BE4AF3">
        <w:rPr>
          <w:rFonts w:ascii="Times New Roman" w:eastAsia="Times New Roman" w:hAnsi="Times New Roman" w:cs="Times New Roman"/>
          <w:b/>
          <w:sz w:val="24"/>
          <w:szCs w:val="24"/>
        </w:rPr>
        <w:t xml:space="preserve">Table 5: </w:t>
      </w:r>
      <w:r w:rsidRPr="00891DB0">
        <w:rPr>
          <w:rFonts w:ascii="Times New Roman" w:eastAsia="Times New Roman" w:hAnsi="Times New Roman" w:cs="Times New Roman"/>
          <w:bCs/>
          <w:sz w:val="24"/>
          <w:szCs w:val="24"/>
        </w:rPr>
        <w:t>Distribution based on the Challenges facing industries clusters</w:t>
      </w:r>
    </w:p>
    <w:tbl>
      <w:tblPr>
        <w:tblStyle w:val="TableGrid"/>
        <w:tblW w:w="8661"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7"/>
        <w:gridCol w:w="522"/>
        <w:gridCol w:w="652"/>
        <w:gridCol w:w="641"/>
        <w:gridCol w:w="567"/>
        <w:gridCol w:w="626"/>
        <w:gridCol w:w="7"/>
        <w:gridCol w:w="549"/>
        <w:gridCol w:w="7"/>
        <w:gridCol w:w="587"/>
        <w:gridCol w:w="7"/>
        <w:gridCol w:w="702"/>
        <w:gridCol w:w="7"/>
        <w:gridCol w:w="803"/>
        <w:gridCol w:w="7"/>
      </w:tblGrid>
      <w:tr w:rsidR="00A84E96" w:rsidRPr="00891DB0" w14:paraId="79919405" w14:textId="77777777" w:rsidTr="00114425">
        <w:trPr>
          <w:gridAfter w:val="1"/>
          <w:wAfter w:w="7" w:type="dxa"/>
          <w:trHeight w:val="272"/>
          <w:jc w:val="center"/>
        </w:trPr>
        <w:tc>
          <w:tcPr>
            <w:tcW w:w="2977" w:type="dxa"/>
            <w:vMerge w:val="restart"/>
          </w:tcPr>
          <w:p w14:paraId="1192BA78"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r w:rsidRPr="00891DB0">
              <w:rPr>
                <w:rFonts w:ascii="Times New Roman" w:eastAsia="Times New Roman" w:hAnsi="Times New Roman" w:cs="Times New Roman"/>
                <w:bCs/>
                <w:sz w:val="20"/>
                <w:szCs w:val="20"/>
              </w:rPr>
              <w:t>Challenges faced</w:t>
            </w:r>
          </w:p>
        </w:tc>
        <w:tc>
          <w:tcPr>
            <w:tcW w:w="3008" w:type="dxa"/>
            <w:gridSpan w:val="5"/>
          </w:tcPr>
          <w:p w14:paraId="450839E0"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r w:rsidRPr="00891DB0">
              <w:rPr>
                <w:rFonts w:ascii="Times New Roman" w:hAnsi="Times New Roman" w:cs="Times New Roman"/>
                <w:bCs/>
                <w:sz w:val="20"/>
                <w:szCs w:val="20"/>
              </w:rPr>
              <w:t>Level of Agreement</w:t>
            </w:r>
          </w:p>
        </w:tc>
        <w:tc>
          <w:tcPr>
            <w:tcW w:w="556" w:type="dxa"/>
            <w:gridSpan w:val="2"/>
          </w:tcPr>
          <w:p w14:paraId="67A12DA0"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p>
        </w:tc>
        <w:tc>
          <w:tcPr>
            <w:tcW w:w="594" w:type="dxa"/>
            <w:gridSpan w:val="2"/>
          </w:tcPr>
          <w:p w14:paraId="2D603881"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p>
        </w:tc>
        <w:tc>
          <w:tcPr>
            <w:tcW w:w="709" w:type="dxa"/>
            <w:gridSpan w:val="2"/>
          </w:tcPr>
          <w:p w14:paraId="5F647D7C"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p>
          <w:p w14:paraId="2D2EE8F9"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r w:rsidRPr="00891DB0">
              <w:rPr>
                <w:rFonts w:ascii="Times New Roman" w:hAnsi="Times New Roman" w:cs="Times New Roman"/>
                <w:bCs/>
                <w:sz w:val="20"/>
                <w:szCs w:val="20"/>
              </w:rPr>
              <w:t>WMS</w:t>
            </w:r>
          </w:p>
        </w:tc>
        <w:tc>
          <w:tcPr>
            <w:tcW w:w="810" w:type="dxa"/>
            <w:gridSpan w:val="2"/>
          </w:tcPr>
          <w:p w14:paraId="7BAC53A6"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p>
          <w:p w14:paraId="1D11F42E"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r w:rsidRPr="00891DB0">
              <w:rPr>
                <w:rFonts w:ascii="Times New Roman" w:hAnsi="Times New Roman" w:cs="Times New Roman"/>
                <w:bCs/>
                <w:sz w:val="20"/>
                <w:szCs w:val="20"/>
              </w:rPr>
              <w:t xml:space="preserve">Rank </w:t>
            </w:r>
          </w:p>
          <w:p w14:paraId="54D13957"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p>
        </w:tc>
      </w:tr>
      <w:tr w:rsidR="00A84E96" w:rsidRPr="00891DB0" w14:paraId="5D60A8E3" w14:textId="77777777" w:rsidTr="00114425">
        <w:trPr>
          <w:trHeight w:val="320"/>
          <w:jc w:val="center"/>
        </w:trPr>
        <w:tc>
          <w:tcPr>
            <w:tcW w:w="2977" w:type="dxa"/>
            <w:vMerge/>
            <w:tcBorders>
              <w:bottom w:val="single" w:sz="4" w:space="0" w:color="auto"/>
            </w:tcBorders>
          </w:tcPr>
          <w:p w14:paraId="60E886B7" w14:textId="77777777" w:rsidR="00A84E96" w:rsidRPr="00891DB0" w:rsidRDefault="00A84E96" w:rsidP="00891DB0">
            <w:pPr>
              <w:autoSpaceDE w:val="0"/>
              <w:autoSpaceDN w:val="0"/>
              <w:adjustRightInd w:val="0"/>
              <w:spacing w:after="0" w:line="240" w:lineRule="auto"/>
              <w:jc w:val="both"/>
              <w:rPr>
                <w:rFonts w:ascii="Times New Roman" w:eastAsia="Times New Roman" w:hAnsi="Times New Roman" w:cs="Times New Roman"/>
                <w:bCs/>
                <w:sz w:val="20"/>
                <w:szCs w:val="20"/>
              </w:rPr>
            </w:pPr>
          </w:p>
        </w:tc>
        <w:tc>
          <w:tcPr>
            <w:tcW w:w="522" w:type="dxa"/>
            <w:tcBorders>
              <w:bottom w:val="single" w:sz="4" w:space="0" w:color="auto"/>
            </w:tcBorders>
          </w:tcPr>
          <w:p w14:paraId="538500E8"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r w:rsidRPr="00891DB0">
              <w:rPr>
                <w:rFonts w:ascii="Times New Roman" w:hAnsi="Times New Roman" w:cs="Times New Roman"/>
                <w:bCs/>
                <w:sz w:val="20"/>
                <w:szCs w:val="20"/>
              </w:rPr>
              <w:t>SD</w:t>
            </w:r>
          </w:p>
          <w:p w14:paraId="3080A9BC"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r w:rsidRPr="00891DB0">
              <w:rPr>
                <w:rFonts w:ascii="Times New Roman" w:hAnsi="Times New Roman" w:cs="Times New Roman"/>
                <w:bCs/>
                <w:sz w:val="20"/>
                <w:szCs w:val="20"/>
              </w:rPr>
              <w:t>5</w:t>
            </w:r>
          </w:p>
        </w:tc>
        <w:tc>
          <w:tcPr>
            <w:tcW w:w="652" w:type="dxa"/>
            <w:tcBorders>
              <w:bottom w:val="single" w:sz="4" w:space="0" w:color="auto"/>
            </w:tcBorders>
          </w:tcPr>
          <w:p w14:paraId="52FC68E3"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r w:rsidRPr="00891DB0">
              <w:rPr>
                <w:rFonts w:ascii="Times New Roman" w:hAnsi="Times New Roman" w:cs="Times New Roman"/>
                <w:bCs/>
                <w:sz w:val="20"/>
                <w:szCs w:val="20"/>
              </w:rPr>
              <w:t>D</w:t>
            </w:r>
          </w:p>
          <w:p w14:paraId="3850B344"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r w:rsidRPr="00891DB0">
              <w:rPr>
                <w:rFonts w:ascii="Times New Roman" w:hAnsi="Times New Roman" w:cs="Times New Roman"/>
                <w:bCs/>
                <w:sz w:val="20"/>
                <w:szCs w:val="20"/>
              </w:rPr>
              <w:t>4</w:t>
            </w:r>
          </w:p>
        </w:tc>
        <w:tc>
          <w:tcPr>
            <w:tcW w:w="641" w:type="dxa"/>
            <w:tcBorders>
              <w:bottom w:val="single" w:sz="4" w:space="0" w:color="auto"/>
            </w:tcBorders>
          </w:tcPr>
          <w:p w14:paraId="0AFA19A3"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r w:rsidRPr="00891DB0">
              <w:rPr>
                <w:rFonts w:ascii="Times New Roman" w:hAnsi="Times New Roman" w:cs="Times New Roman"/>
                <w:bCs/>
                <w:sz w:val="20"/>
                <w:szCs w:val="20"/>
              </w:rPr>
              <w:t>U</w:t>
            </w:r>
          </w:p>
          <w:p w14:paraId="37B64534"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r w:rsidRPr="00891DB0">
              <w:rPr>
                <w:rFonts w:ascii="Times New Roman" w:hAnsi="Times New Roman" w:cs="Times New Roman"/>
                <w:bCs/>
                <w:sz w:val="20"/>
                <w:szCs w:val="20"/>
              </w:rPr>
              <w:t>3</w:t>
            </w:r>
          </w:p>
        </w:tc>
        <w:tc>
          <w:tcPr>
            <w:tcW w:w="567" w:type="dxa"/>
            <w:tcBorders>
              <w:bottom w:val="single" w:sz="4" w:space="0" w:color="auto"/>
            </w:tcBorders>
          </w:tcPr>
          <w:p w14:paraId="66899E33"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r w:rsidRPr="00891DB0">
              <w:rPr>
                <w:rFonts w:ascii="Times New Roman" w:hAnsi="Times New Roman" w:cs="Times New Roman"/>
                <w:bCs/>
                <w:sz w:val="20"/>
                <w:szCs w:val="20"/>
              </w:rPr>
              <w:t>A</w:t>
            </w:r>
          </w:p>
          <w:p w14:paraId="48870137"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r w:rsidRPr="00891DB0">
              <w:rPr>
                <w:rFonts w:ascii="Times New Roman" w:hAnsi="Times New Roman" w:cs="Times New Roman"/>
                <w:bCs/>
                <w:sz w:val="20"/>
                <w:szCs w:val="20"/>
              </w:rPr>
              <w:t>2</w:t>
            </w:r>
          </w:p>
        </w:tc>
        <w:tc>
          <w:tcPr>
            <w:tcW w:w="633" w:type="dxa"/>
            <w:gridSpan w:val="2"/>
            <w:tcBorders>
              <w:bottom w:val="single" w:sz="4" w:space="0" w:color="auto"/>
            </w:tcBorders>
          </w:tcPr>
          <w:p w14:paraId="7E466A07"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r w:rsidRPr="00891DB0">
              <w:rPr>
                <w:rFonts w:ascii="Times New Roman" w:hAnsi="Times New Roman" w:cs="Times New Roman"/>
                <w:bCs/>
                <w:sz w:val="20"/>
                <w:szCs w:val="20"/>
              </w:rPr>
              <w:t>SA</w:t>
            </w:r>
          </w:p>
          <w:p w14:paraId="6E5E8095"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r w:rsidRPr="00891DB0">
              <w:rPr>
                <w:rFonts w:ascii="Times New Roman" w:hAnsi="Times New Roman" w:cs="Times New Roman"/>
                <w:bCs/>
                <w:sz w:val="20"/>
                <w:szCs w:val="20"/>
              </w:rPr>
              <w:t>1</w:t>
            </w:r>
          </w:p>
        </w:tc>
        <w:tc>
          <w:tcPr>
            <w:tcW w:w="556" w:type="dxa"/>
            <w:gridSpan w:val="2"/>
            <w:tcBorders>
              <w:bottom w:val="single" w:sz="4" w:space="0" w:color="auto"/>
            </w:tcBorders>
          </w:tcPr>
          <w:p w14:paraId="3A77BFA7"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r w:rsidRPr="00891DB0">
              <w:rPr>
                <w:rFonts w:ascii="Times New Roman" w:hAnsi="Times New Roman" w:cs="Times New Roman"/>
                <w:bCs/>
                <w:sz w:val="20"/>
                <w:szCs w:val="20"/>
              </w:rPr>
              <w:t>TWV</w:t>
            </w:r>
          </w:p>
        </w:tc>
        <w:tc>
          <w:tcPr>
            <w:tcW w:w="594" w:type="dxa"/>
            <w:gridSpan w:val="2"/>
            <w:tcBorders>
              <w:bottom w:val="single" w:sz="4" w:space="0" w:color="auto"/>
            </w:tcBorders>
          </w:tcPr>
          <w:p w14:paraId="1F003652" w14:textId="77777777" w:rsidR="00A84E96" w:rsidRPr="00891DB0" w:rsidRDefault="00A84E96" w:rsidP="00891DB0">
            <w:pPr>
              <w:spacing w:after="0" w:line="240" w:lineRule="auto"/>
              <w:jc w:val="both"/>
              <w:rPr>
                <w:rFonts w:ascii="Times New Roman" w:hAnsi="Times New Roman" w:cs="Times New Roman"/>
                <w:bCs/>
                <w:sz w:val="20"/>
                <w:szCs w:val="20"/>
              </w:rPr>
            </w:pPr>
            <w:r w:rsidRPr="00891DB0">
              <w:rPr>
                <w:rFonts w:ascii="Times New Roman" w:hAnsi="Times New Roman" w:cs="Times New Roman"/>
                <w:bCs/>
                <w:sz w:val="20"/>
                <w:szCs w:val="20"/>
              </w:rPr>
              <w:t>N</w:t>
            </w:r>
          </w:p>
          <w:p w14:paraId="6630BAA8"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p>
        </w:tc>
        <w:tc>
          <w:tcPr>
            <w:tcW w:w="709" w:type="dxa"/>
            <w:gridSpan w:val="2"/>
            <w:tcBorders>
              <w:bottom w:val="single" w:sz="4" w:space="0" w:color="auto"/>
            </w:tcBorders>
          </w:tcPr>
          <w:p w14:paraId="7675BB2F"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p>
        </w:tc>
        <w:tc>
          <w:tcPr>
            <w:tcW w:w="810" w:type="dxa"/>
            <w:gridSpan w:val="2"/>
            <w:tcBorders>
              <w:bottom w:val="single" w:sz="4" w:space="0" w:color="auto"/>
            </w:tcBorders>
          </w:tcPr>
          <w:p w14:paraId="1D9AF974"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Cs/>
                <w:sz w:val="20"/>
                <w:szCs w:val="20"/>
              </w:rPr>
            </w:pPr>
          </w:p>
        </w:tc>
      </w:tr>
      <w:tr w:rsidR="00A84E96" w:rsidRPr="00891DB0" w14:paraId="7EA8CA84" w14:textId="77777777" w:rsidTr="00114425">
        <w:trPr>
          <w:trHeight w:val="153"/>
          <w:jc w:val="center"/>
        </w:trPr>
        <w:tc>
          <w:tcPr>
            <w:tcW w:w="2977" w:type="dxa"/>
            <w:tcBorders>
              <w:top w:val="single" w:sz="4" w:space="0" w:color="auto"/>
              <w:bottom w:val="nil"/>
            </w:tcBorders>
          </w:tcPr>
          <w:p w14:paraId="603BECD2" w14:textId="77777777" w:rsidR="00A84E96" w:rsidRPr="00891DB0" w:rsidRDefault="00A84E96" w:rsidP="00114425">
            <w:pPr>
              <w:pStyle w:val="NoSpacing"/>
              <w:jc w:val="left"/>
              <w:rPr>
                <w:rFonts w:ascii="Times New Roman" w:hAnsi="Times New Roman" w:cs="Times New Roman"/>
                <w:sz w:val="20"/>
                <w:szCs w:val="20"/>
              </w:rPr>
            </w:pPr>
            <w:r w:rsidRPr="00891DB0">
              <w:rPr>
                <w:rFonts w:ascii="Times New Roman" w:hAnsi="Times New Roman" w:cs="Times New Roman"/>
                <w:sz w:val="20"/>
                <w:szCs w:val="20"/>
              </w:rPr>
              <w:t>Inadequate Infrastructure</w:t>
            </w:r>
          </w:p>
        </w:tc>
        <w:tc>
          <w:tcPr>
            <w:tcW w:w="522" w:type="dxa"/>
            <w:tcBorders>
              <w:top w:val="single" w:sz="4" w:space="0" w:color="auto"/>
              <w:bottom w:val="nil"/>
            </w:tcBorders>
          </w:tcPr>
          <w:p w14:paraId="75F924C1"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50</w:t>
            </w:r>
          </w:p>
        </w:tc>
        <w:tc>
          <w:tcPr>
            <w:tcW w:w="652" w:type="dxa"/>
            <w:tcBorders>
              <w:top w:val="single" w:sz="4" w:space="0" w:color="auto"/>
              <w:bottom w:val="nil"/>
            </w:tcBorders>
          </w:tcPr>
          <w:p w14:paraId="7203F29A"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76</w:t>
            </w:r>
          </w:p>
        </w:tc>
        <w:tc>
          <w:tcPr>
            <w:tcW w:w="641" w:type="dxa"/>
            <w:tcBorders>
              <w:top w:val="single" w:sz="4" w:space="0" w:color="auto"/>
              <w:bottom w:val="nil"/>
            </w:tcBorders>
          </w:tcPr>
          <w:p w14:paraId="1C7EECC4"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72</w:t>
            </w:r>
          </w:p>
        </w:tc>
        <w:tc>
          <w:tcPr>
            <w:tcW w:w="567" w:type="dxa"/>
            <w:tcBorders>
              <w:top w:val="single" w:sz="4" w:space="0" w:color="auto"/>
              <w:bottom w:val="nil"/>
            </w:tcBorders>
          </w:tcPr>
          <w:p w14:paraId="4C4DE78E"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112</w:t>
            </w:r>
          </w:p>
        </w:tc>
        <w:tc>
          <w:tcPr>
            <w:tcW w:w="633" w:type="dxa"/>
            <w:gridSpan w:val="2"/>
            <w:tcBorders>
              <w:top w:val="single" w:sz="4" w:space="0" w:color="auto"/>
              <w:bottom w:val="nil"/>
            </w:tcBorders>
          </w:tcPr>
          <w:p w14:paraId="63B90FF2"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187</w:t>
            </w:r>
          </w:p>
        </w:tc>
        <w:tc>
          <w:tcPr>
            <w:tcW w:w="556" w:type="dxa"/>
            <w:gridSpan w:val="2"/>
            <w:tcBorders>
              <w:top w:val="single" w:sz="4" w:space="0" w:color="auto"/>
              <w:bottom w:val="nil"/>
            </w:tcBorders>
          </w:tcPr>
          <w:p w14:paraId="4DA59D31"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497</w:t>
            </w:r>
          </w:p>
        </w:tc>
        <w:tc>
          <w:tcPr>
            <w:tcW w:w="594" w:type="dxa"/>
            <w:gridSpan w:val="2"/>
            <w:tcBorders>
              <w:top w:val="single" w:sz="4" w:space="0" w:color="auto"/>
              <w:bottom w:val="nil"/>
            </w:tcBorders>
          </w:tcPr>
          <w:p w14:paraId="658C3851"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245</w:t>
            </w:r>
          </w:p>
        </w:tc>
        <w:tc>
          <w:tcPr>
            <w:tcW w:w="709" w:type="dxa"/>
            <w:gridSpan w:val="2"/>
            <w:tcBorders>
              <w:top w:val="single" w:sz="4" w:space="0" w:color="auto"/>
              <w:bottom w:val="nil"/>
            </w:tcBorders>
          </w:tcPr>
          <w:p w14:paraId="4F595B42"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2.03</w:t>
            </w:r>
          </w:p>
        </w:tc>
        <w:tc>
          <w:tcPr>
            <w:tcW w:w="810" w:type="dxa"/>
            <w:gridSpan w:val="2"/>
            <w:tcBorders>
              <w:top w:val="single" w:sz="4" w:space="0" w:color="auto"/>
              <w:bottom w:val="nil"/>
            </w:tcBorders>
          </w:tcPr>
          <w:p w14:paraId="320ED908"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4</w:t>
            </w:r>
          </w:p>
        </w:tc>
      </w:tr>
      <w:tr w:rsidR="00A84E96" w:rsidRPr="00891DB0" w14:paraId="534F227E" w14:textId="77777777" w:rsidTr="00114425">
        <w:trPr>
          <w:trHeight w:val="153"/>
          <w:jc w:val="center"/>
        </w:trPr>
        <w:tc>
          <w:tcPr>
            <w:tcW w:w="2977" w:type="dxa"/>
            <w:tcBorders>
              <w:top w:val="nil"/>
            </w:tcBorders>
          </w:tcPr>
          <w:p w14:paraId="2C6E1627" w14:textId="77777777" w:rsidR="00A84E96" w:rsidRPr="00891DB0" w:rsidRDefault="00A84E96" w:rsidP="00114425">
            <w:pPr>
              <w:pStyle w:val="NoSpacing"/>
              <w:jc w:val="left"/>
              <w:rPr>
                <w:rFonts w:ascii="Times New Roman" w:hAnsi="Times New Roman" w:cs="Times New Roman"/>
                <w:sz w:val="20"/>
                <w:szCs w:val="20"/>
              </w:rPr>
            </w:pPr>
            <w:r w:rsidRPr="00891DB0">
              <w:rPr>
                <w:rFonts w:ascii="Times New Roman" w:hAnsi="Times New Roman" w:cs="Times New Roman"/>
                <w:sz w:val="20"/>
                <w:szCs w:val="20"/>
              </w:rPr>
              <w:t xml:space="preserve">Insufficient Economic Incentives </w:t>
            </w:r>
          </w:p>
        </w:tc>
        <w:tc>
          <w:tcPr>
            <w:tcW w:w="522" w:type="dxa"/>
            <w:tcBorders>
              <w:top w:val="nil"/>
            </w:tcBorders>
          </w:tcPr>
          <w:p w14:paraId="165494BC"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0</w:t>
            </w:r>
          </w:p>
        </w:tc>
        <w:tc>
          <w:tcPr>
            <w:tcW w:w="652" w:type="dxa"/>
            <w:tcBorders>
              <w:top w:val="nil"/>
            </w:tcBorders>
          </w:tcPr>
          <w:p w14:paraId="45DABD79"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0</w:t>
            </w:r>
          </w:p>
        </w:tc>
        <w:tc>
          <w:tcPr>
            <w:tcW w:w="641" w:type="dxa"/>
            <w:tcBorders>
              <w:top w:val="nil"/>
            </w:tcBorders>
          </w:tcPr>
          <w:p w14:paraId="73A3A83D"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0</w:t>
            </w:r>
          </w:p>
        </w:tc>
        <w:tc>
          <w:tcPr>
            <w:tcW w:w="567" w:type="dxa"/>
            <w:tcBorders>
              <w:top w:val="nil"/>
            </w:tcBorders>
          </w:tcPr>
          <w:p w14:paraId="687A31D5"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132</w:t>
            </w:r>
          </w:p>
        </w:tc>
        <w:tc>
          <w:tcPr>
            <w:tcW w:w="633" w:type="dxa"/>
            <w:gridSpan w:val="2"/>
            <w:tcBorders>
              <w:top w:val="nil"/>
            </w:tcBorders>
          </w:tcPr>
          <w:p w14:paraId="32D69404"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230</w:t>
            </w:r>
          </w:p>
        </w:tc>
        <w:tc>
          <w:tcPr>
            <w:tcW w:w="556" w:type="dxa"/>
            <w:gridSpan w:val="2"/>
            <w:tcBorders>
              <w:top w:val="nil"/>
            </w:tcBorders>
          </w:tcPr>
          <w:p w14:paraId="6CF93CE9"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362</w:t>
            </w:r>
          </w:p>
        </w:tc>
        <w:tc>
          <w:tcPr>
            <w:tcW w:w="594" w:type="dxa"/>
            <w:gridSpan w:val="2"/>
            <w:tcBorders>
              <w:top w:val="nil"/>
            </w:tcBorders>
          </w:tcPr>
          <w:p w14:paraId="30A2A038"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245</w:t>
            </w:r>
          </w:p>
        </w:tc>
        <w:tc>
          <w:tcPr>
            <w:tcW w:w="709" w:type="dxa"/>
            <w:gridSpan w:val="2"/>
            <w:tcBorders>
              <w:top w:val="nil"/>
            </w:tcBorders>
          </w:tcPr>
          <w:p w14:paraId="69E95BA2"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1.48</w:t>
            </w:r>
          </w:p>
        </w:tc>
        <w:tc>
          <w:tcPr>
            <w:tcW w:w="810" w:type="dxa"/>
            <w:gridSpan w:val="2"/>
            <w:tcBorders>
              <w:top w:val="nil"/>
            </w:tcBorders>
          </w:tcPr>
          <w:p w14:paraId="386D4725"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10</w:t>
            </w:r>
          </w:p>
        </w:tc>
      </w:tr>
      <w:tr w:rsidR="00A84E96" w:rsidRPr="00891DB0" w14:paraId="7A4D3374" w14:textId="77777777" w:rsidTr="00114425">
        <w:trPr>
          <w:trHeight w:val="153"/>
          <w:jc w:val="center"/>
        </w:trPr>
        <w:tc>
          <w:tcPr>
            <w:tcW w:w="2977" w:type="dxa"/>
          </w:tcPr>
          <w:p w14:paraId="1DEB23A0" w14:textId="77777777" w:rsidR="00A84E96" w:rsidRPr="00891DB0" w:rsidRDefault="00A84E96" w:rsidP="00114425">
            <w:pPr>
              <w:pStyle w:val="NoSpacing"/>
              <w:jc w:val="left"/>
              <w:rPr>
                <w:rFonts w:ascii="Times New Roman" w:hAnsi="Times New Roman" w:cs="Times New Roman"/>
                <w:sz w:val="20"/>
                <w:szCs w:val="20"/>
              </w:rPr>
            </w:pPr>
            <w:r w:rsidRPr="00891DB0">
              <w:rPr>
                <w:rFonts w:ascii="Times New Roman" w:hAnsi="Times New Roman" w:cs="Times New Roman"/>
                <w:sz w:val="20"/>
                <w:szCs w:val="20"/>
              </w:rPr>
              <w:t>Lack of Stakeholder Engagement</w:t>
            </w:r>
          </w:p>
        </w:tc>
        <w:tc>
          <w:tcPr>
            <w:tcW w:w="522" w:type="dxa"/>
          </w:tcPr>
          <w:p w14:paraId="60C28185"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30</w:t>
            </w:r>
          </w:p>
        </w:tc>
        <w:tc>
          <w:tcPr>
            <w:tcW w:w="652" w:type="dxa"/>
          </w:tcPr>
          <w:p w14:paraId="20EFC7B3"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40</w:t>
            </w:r>
          </w:p>
        </w:tc>
        <w:tc>
          <w:tcPr>
            <w:tcW w:w="641" w:type="dxa"/>
          </w:tcPr>
          <w:p w14:paraId="29CCE596"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48</w:t>
            </w:r>
          </w:p>
        </w:tc>
        <w:tc>
          <w:tcPr>
            <w:tcW w:w="567" w:type="dxa"/>
          </w:tcPr>
          <w:p w14:paraId="349070E0"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106</w:t>
            </w:r>
          </w:p>
        </w:tc>
        <w:tc>
          <w:tcPr>
            <w:tcW w:w="633" w:type="dxa"/>
            <w:gridSpan w:val="2"/>
          </w:tcPr>
          <w:p w14:paraId="244722DC"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211</w:t>
            </w:r>
          </w:p>
        </w:tc>
        <w:tc>
          <w:tcPr>
            <w:tcW w:w="556" w:type="dxa"/>
            <w:gridSpan w:val="2"/>
          </w:tcPr>
          <w:p w14:paraId="58111176"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435</w:t>
            </w:r>
          </w:p>
        </w:tc>
        <w:tc>
          <w:tcPr>
            <w:tcW w:w="594" w:type="dxa"/>
            <w:gridSpan w:val="2"/>
          </w:tcPr>
          <w:p w14:paraId="21D7B6E8"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245</w:t>
            </w:r>
          </w:p>
        </w:tc>
        <w:tc>
          <w:tcPr>
            <w:tcW w:w="709" w:type="dxa"/>
            <w:gridSpan w:val="2"/>
          </w:tcPr>
          <w:p w14:paraId="6B90B05B"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1.78</w:t>
            </w:r>
          </w:p>
        </w:tc>
        <w:tc>
          <w:tcPr>
            <w:tcW w:w="810" w:type="dxa"/>
            <w:gridSpan w:val="2"/>
          </w:tcPr>
          <w:p w14:paraId="28CA773D"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5</w:t>
            </w:r>
          </w:p>
        </w:tc>
      </w:tr>
      <w:tr w:rsidR="00A84E96" w:rsidRPr="00891DB0" w14:paraId="769FF4AB" w14:textId="77777777" w:rsidTr="00114425">
        <w:trPr>
          <w:trHeight w:val="153"/>
          <w:jc w:val="center"/>
        </w:trPr>
        <w:tc>
          <w:tcPr>
            <w:tcW w:w="2977" w:type="dxa"/>
          </w:tcPr>
          <w:p w14:paraId="7EBBD03D" w14:textId="77777777" w:rsidR="00A84E96" w:rsidRPr="00891DB0" w:rsidRDefault="00A84E96" w:rsidP="00114425">
            <w:pPr>
              <w:pStyle w:val="NoSpacing"/>
              <w:jc w:val="left"/>
              <w:rPr>
                <w:rFonts w:ascii="Times New Roman" w:hAnsi="Times New Roman" w:cs="Times New Roman"/>
                <w:sz w:val="20"/>
                <w:szCs w:val="20"/>
              </w:rPr>
            </w:pPr>
            <w:r w:rsidRPr="00891DB0">
              <w:rPr>
                <w:rFonts w:ascii="Times New Roman" w:hAnsi="Times New Roman" w:cs="Times New Roman"/>
                <w:sz w:val="20"/>
                <w:szCs w:val="20"/>
              </w:rPr>
              <w:t>Land Use Conflicts</w:t>
            </w:r>
          </w:p>
        </w:tc>
        <w:tc>
          <w:tcPr>
            <w:tcW w:w="522" w:type="dxa"/>
          </w:tcPr>
          <w:p w14:paraId="0630B1F8"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25</w:t>
            </w:r>
          </w:p>
        </w:tc>
        <w:tc>
          <w:tcPr>
            <w:tcW w:w="652" w:type="dxa"/>
          </w:tcPr>
          <w:p w14:paraId="152829AC"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40</w:t>
            </w:r>
          </w:p>
        </w:tc>
        <w:tc>
          <w:tcPr>
            <w:tcW w:w="641" w:type="dxa"/>
          </w:tcPr>
          <w:p w14:paraId="40D37643"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57</w:t>
            </w:r>
          </w:p>
        </w:tc>
        <w:tc>
          <w:tcPr>
            <w:tcW w:w="567" w:type="dxa"/>
          </w:tcPr>
          <w:p w14:paraId="0B6CCCD2"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60</w:t>
            </w:r>
          </w:p>
        </w:tc>
        <w:tc>
          <w:tcPr>
            <w:tcW w:w="633" w:type="dxa"/>
            <w:gridSpan w:val="2"/>
          </w:tcPr>
          <w:p w14:paraId="67FA5E04"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228</w:t>
            </w:r>
          </w:p>
        </w:tc>
        <w:tc>
          <w:tcPr>
            <w:tcW w:w="556" w:type="dxa"/>
            <w:gridSpan w:val="2"/>
          </w:tcPr>
          <w:p w14:paraId="0AF5B578"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410</w:t>
            </w:r>
          </w:p>
        </w:tc>
        <w:tc>
          <w:tcPr>
            <w:tcW w:w="594" w:type="dxa"/>
            <w:gridSpan w:val="2"/>
          </w:tcPr>
          <w:p w14:paraId="0F3F734B"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245</w:t>
            </w:r>
          </w:p>
        </w:tc>
        <w:tc>
          <w:tcPr>
            <w:tcW w:w="709" w:type="dxa"/>
            <w:gridSpan w:val="2"/>
          </w:tcPr>
          <w:p w14:paraId="1036CEA7"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1.67</w:t>
            </w:r>
          </w:p>
        </w:tc>
        <w:tc>
          <w:tcPr>
            <w:tcW w:w="810" w:type="dxa"/>
            <w:gridSpan w:val="2"/>
          </w:tcPr>
          <w:p w14:paraId="21A29E4F"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6</w:t>
            </w:r>
          </w:p>
        </w:tc>
      </w:tr>
      <w:tr w:rsidR="00A84E96" w:rsidRPr="00891DB0" w14:paraId="5BDCEB96" w14:textId="77777777" w:rsidTr="00114425">
        <w:trPr>
          <w:trHeight w:val="153"/>
          <w:jc w:val="center"/>
        </w:trPr>
        <w:tc>
          <w:tcPr>
            <w:tcW w:w="2977" w:type="dxa"/>
          </w:tcPr>
          <w:p w14:paraId="717A3842" w14:textId="77777777" w:rsidR="00A84E96" w:rsidRPr="00891DB0" w:rsidRDefault="00A84E96" w:rsidP="00114425">
            <w:pPr>
              <w:pStyle w:val="NoSpacing"/>
              <w:jc w:val="left"/>
              <w:rPr>
                <w:rFonts w:ascii="Times New Roman" w:hAnsi="Times New Roman" w:cs="Times New Roman"/>
                <w:sz w:val="20"/>
                <w:szCs w:val="20"/>
              </w:rPr>
            </w:pPr>
            <w:r w:rsidRPr="00891DB0">
              <w:rPr>
                <w:rFonts w:ascii="Times New Roman" w:hAnsi="Times New Roman" w:cs="Times New Roman"/>
                <w:sz w:val="20"/>
                <w:szCs w:val="20"/>
              </w:rPr>
              <w:t>Environmental Concerns</w:t>
            </w:r>
          </w:p>
        </w:tc>
        <w:tc>
          <w:tcPr>
            <w:tcW w:w="522" w:type="dxa"/>
          </w:tcPr>
          <w:p w14:paraId="78CD2ACB"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10</w:t>
            </w:r>
          </w:p>
        </w:tc>
        <w:tc>
          <w:tcPr>
            <w:tcW w:w="652" w:type="dxa"/>
          </w:tcPr>
          <w:p w14:paraId="71EFA075"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100</w:t>
            </w:r>
          </w:p>
        </w:tc>
        <w:tc>
          <w:tcPr>
            <w:tcW w:w="641" w:type="dxa"/>
          </w:tcPr>
          <w:p w14:paraId="10EBAC4E"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0</w:t>
            </w:r>
          </w:p>
        </w:tc>
        <w:tc>
          <w:tcPr>
            <w:tcW w:w="567" w:type="dxa"/>
          </w:tcPr>
          <w:p w14:paraId="3C3DF34B"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48</w:t>
            </w:r>
          </w:p>
        </w:tc>
        <w:tc>
          <w:tcPr>
            <w:tcW w:w="633" w:type="dxa"/>
            <w:gridSpan w:val="2"/>
          </w:tcPr>
          <w:p w14:paraId="2FAB5E9C"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245</w:t>
            </w:r>
          </w:p>
        </w:tc>
        <w:tc>
          <w:tcPr>
            <w:tcW w:w="556" w:type="dxa"/>
            <w:gridSpan w:val="2"/>
          </w:tcPr>
          <w:p w14:paraId="5C5962C2"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403</w:t>
            </w:r>
          </w:p>
        </w:tc>
        <w:tc>
          <w:tcPr>
            <w:tcW w:w="594" w:type="dxa"/>
            <w:gridSpan w:val="2"/>
          </w:tcPr>
          <w:p w14:paraId="6C2E8F61"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245</w:t>
            </w:r>
          </w:p>
        </w:tc>
        <w:tc>
          <w:tcPr>
            <w:tcW w:w="709" w:type="dxa"/>
            <w:gridSpan w:val="2"/>
          </w:tcPr>
          <w:p w14:paraId="513F7373"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1.64</w:t>
            </w:r>
          </w:p>
        </w:tc>
        <w:tc>
          <w:tcPr>
            <w:tcW w:w="810" w:type="dxa"/>
            <w:gridSpan w:val="2"/>
          </w:tcPr>
          <w:p w14:paraId="0A3CDC52"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7</w:t>
            </w:r>
          </w:p>
        </w:tc>
      </w:tr>
      <w:tr w:rsidR="00A84E96" w:rsidRPr="00891DB0" w14:paraId="2DA731EC" w14:textId="77777777" w:rsidTr="00114425">
        <w:trPr>
          <w:trHeight w:val="153"/>
          <w:jc w:val="center"/>
        </w:trPr>
        <w:tc>
          <w:tcPr>
            <w:tcW w:w="2977" w:type="dxa"/>
          </w:tcPr>
          <w:p w14:paraId="4546C35E" w14:textId="77777777" w:rsidR="00A84E96" w:rsidRPr="00891DB0" w:rsidRDefault="00A84E96" w:rsidP="00114425">
            <w:pPr>
              <w:pStyle w:val="NoSpacing"/>
              <w:jc w:val="left"/>
              <w:rPr>
                <w:rFonts w:ascii="Times New Roman" w:hAnsi="Times New Roman" w:cs="Times New Roman"/>
                <w:sz w:val="20"/>
                <w:szCs w:val="20"/>
              </w:rPr>
            </w:pPr>
            <w:r w:rsidRPr="00891DB0">
              <w:rPr>
                <w:rFonts w:ascii="Times New Roman" w:hAnsi="Times New Roman" w:cs="Times New Roman"/>
                <w:sz w:val="20"/>
                <w:szCs w:val="20"/>
              </w:rPr>
              <w:t xml:space="preserve">Shortages of skilled labor </w:t>
            </w:r>
          </w:p>
        </w:tc>
        <w:tc>
          <w:tcPr>
            <w:tcW w:w="522" w:type="dxa"/>
          </w:tcPr>
          <w:p w14:paraId="46C1B9E0"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10</w:t>
            </w:r>
          </w:p>
        </w:tc>
        <w:tc>
          <w:tcPr>
            <w:tcW w:w="652" w:type="dxa"/>
          </w:tcPr>
          <w:p w14:paraId="1104A038"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20</w:t>
            </w:r>
          </w:p>
        </w:tc>
        <w:tc>
          <w:tcPr>
            <w:tcW w:w="641" w:type="dxa"/>
          </w:tcPr>
          <w:p w14:paraId="79832FA6"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18</w:t>
            </w:r>
          </w:p>
        </w:tc>
        <w:tc>
          <w:tcPr>
            <w:tcW w:w="567" w:type="dxa"/>
          </w:tcPr>
          <w:p w14:paraId="38C7F30F"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126</w:t>
            </w:r>
          </w:p>
        </w:tc>
        <w:tc>
          <w:tcPr>
            <w:tcW w:w="633" w:type="dxa"/>
            <w:gridSpan w:val="2"/>
          </w:tcPr>
          <w:p w14:paraId="69C454BF"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220</w:t>
            </w:r>
          </w:p>
        </w:tc>
        <w:tc>
          <w:tcPr>
            <w:tcW w:w="556" w:type="dxa"/>
            <w:gridSpan w:val="2"/>
          </w:tcPr>
          <w:p w14:paraId="2BF41C79"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394</w:t>
            </w:r>
          </w:p>
        </w:tc>
        <w:tc>
          <w:tcPr>
            <w:tcW w:w="594" w:type="dxa"/>
            <w:gridSpan w:val="2"/>
          </w:tcPr>
          <w:p w14:paraId="4EF515D0"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245</w:t>
            </w:r>
          </w:p>
        </w:tc>
        <w:tc>
          <w:tcPr>
            <w:tcW w:w="709" w:type="dxa"/>
            <w:gridSpan w:val="2"/>
          </w:tcPr>
          <w:p w14:paraId="2B52ADD2"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1.61</w:t>
            </w:r>
          </w:p>
        </w:tc>
        <w:tc>
          <w:tcPr>
            <w:tcW w:w="810" w:type="dxa"/>
            <w:gridSpan w:val="2"/>
          </w:tcPr>
          <w:p w14:paraId="1DE3224A"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8</w:t>
            </w:r>
          </w:p>
        </w:tc>
      </w:tr>
      <w:tr w:rsidR="00A84E96" w:rsidRPr="00891DB0" w14:paraId="2591069F" w14:textId="77777777" w:rsidTr="00114425">
        <w:trPr>
          <w:trHeight w:val="80"/>
          <w:jc w:val="center"/>
        </w:trPr>
        <w:tc>
          <w:tcPr>
            <w:tcW w:w="2977" w:type="dxa"/>
          </w:tcPr>
          <w:p w14:paraId="0232F7B1" w14:textId="77777777" w:rsidR="00A84E96" w:rsidRPr="00891DB0" w:rsidRDefault="00A84E96" w:rsidP="00114425">
            <w:pPr>
              <w:pStyle w:val="NoSpacing"/>
              <w:jc w:val="left"/>
              <w:rPr>
                <w:rFonts w:ascii="Times New Roman" w:hAnsi="Times New Roman" w:cs="Times New Roman"/>
                <w:sz w:val="20"/>
                <w:szCs w:val="20"/>
              </w:rPr>
            </w:pPr>
            <w:r w:rsidRPr="00891DB0">
              <w:rPr>
                <w:rFonts w:ascii="Times New Roman" w:hAnsi="Times New Roman" w:cs="Times New Roman"/>
                <w:sz w:val="20"/>
                <w:szCs w:val="20"/>
              </w:rPr>
              <w:t xml:space="preserve">Access to financial resources </w:t>
            </w:r>
          </w:p>
        </w:tc>
        <w:tc>
          <w:tcPr>
            <w:tcW w:w="522" w:type="dxa"/>
          </w:tcPr>
          <w:p w14:paraId="7854E351"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165</w:t>
            </w:r>
          </w:p>
        </w:tc>
        <w:tc>
          <w:tcPr>
            <w:tcW w:w="652" w:type="dxa"/>
          </w:tcPr>
          <w:p w14:paraId="6BA18619"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188</w:t>
            </w:r>
          </w:p>
        </w:tc>
        <w:tc>
          <w:tcPr>
            <w:tcW w:w="641" w:type="dxa"/>
          </w:tcPr>
          <w:p w14:paraId="2EA25E9A"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87</w:t>
            </w:r>
          </w:p>
        </w:tc>
        <w:tc>
          <w:tcPr>
            <w:tcW w:w="567" w:type="dxa"/>
          </w:tcPr>
          <w:p w14:paraId="2613F49E"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32</w:t>
            </w:r>
          </w:p>
        </w:tc>
        <w:tc>
          <w:tcPr>
            <w:tcW w:w="633" w:type="dxa"/>
            <w:gridSpan w:val="2"/>
          </w:tcPr>
          <w:p w14:paraId="669C0D7D"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171</w:t>
            </w:r>
          </w:p>
        </w:tc>
        <w:tc>
          <w:tcPr>
            <w:tcW w:w="556" w:type="dxa"/>
            <w:gridSpan w:val="2"/>
          </w:tcPr>
          <w:p w14:paraId="0BBE682E"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643</w:t>
            </w:r>
          </w:p>
        </w:tc>
        <w:tc>
          <w:tcPr>
            <w:tcW w:w="594" w:type="dxa"/>
            <w:gridSpan w:val="2"/>
          </w:tcPr>
          <w:p w14:paraId="22AF522D"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245</w:t>
            </w:r>
          </w:p>
        </w:tc>
        <w:tc>
          <w:tcPr>
            <w:tcW w:w="709" w:type="dxa"/>
            <w:gridSpan w:val="2"/>
          </w:tcPr>
          <w:p w14:paraId="3AF05B4B"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2.63</w:t>
            </w:r>
          </w:p>
        </w:tc>
        <w:tc>
          <w:tcPr>
            <w:tcW w:w="810" w:type="dxa"/>
            <w:gridSpan w:val="2"/>
          </w:tcPr>
          <w:p w14:paraId="31EB2902"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w:t>
            </w:r>
          </w:p>
        </w:tc>
      </w:tr>
      <w:tr w:rsidR="00A84E96" w:rsidRPr="00891DB0" w14:paraId="1666154B" w14:textId="77777777" w:rsidTr="00114425">
        <w:trPr>
          <w:trHeight w:val="108"/>
          <w:jc w:val="center"/>
        </w:trPr>
        <w:tc>
          <w:tcPr>
            <w:tcW w:w="2977" w:type="dxa"/>
          </w:tcPr>
          <w:p w14:paraId="47B7D3E2" w14:textId="77777777" w:rsidR="00A84E96" w:rsidRPr="00891DB0" w:rsidRDefault="00A84E96" w:rsidP="00114425">
            <w:pPr>
              <w:pStyle w:val="NoSpacing"/>
              <w:jc w:val="left"/>
              <w:rPr>
                <w:rFonts w:ascii="Times New Roman" w:hAnsi="Times New Roman" w:cs="Times New Roman"/>
                <w:sz w:val="20"/>
                <w:szCs w:val="20"/>
              </w:rPr>
            </w:pPr>
            <w:r w:rsidRPr="00891DB0">
              <w:rPr>
                <w:rFonts w:ascii="Times New Roman" w:hAnsi="Times New Roman" w:cs="Times New Roman"/>
                <w:sz w:val="20"/>
                <w:szCs w:val="20"/>
              </w:rPr>
              <w:t xml:space="preserve">Inadequate planning flexibility </w:t>
            </w:r>
          </w:p>
        </w:tc>
        <w:tc>
          <w:tcPr>
            <w:tcW w:w="522" w:type="dxa"/>
          </w:tcPr>
          <w:p w14:paraId="724861EF"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0</w:t>
            </w:r>
          </w:p>
        </w:tc>
        <w:tc>
          <w:tcPr>
            <w:tcW w:w="652" w:type="dxa"/>
          </w:tcPr>
          <w:p w14:paraId="5DE2100C"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0</w:t>
            </w:r>
          </w:p>
        </w:tc>
        <w:tc>
          <w:tcPr>
            <w:tcW w:w="641" w:type="dxa"/>
          </w:tcPr>
          <w:p w14:paraId="448E90DF"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0</w:t>
            </w:r>
          </w:p>
        </w:tc>
        <w:tc>
          <w:tcPr>
            <w:tcW w:w="567" w:type="dxa"/>
          </w:tcPr>
          <w:p w14:paraId="2C58A629"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62</w:t>
            </w:r>
          </w:p>
        </w:tc>
        <w:tc>
          <w:tcPr>
            <w:tcW w:w="633" w:type="dxa"/>
            <w:gridSpan w:val="2"/>
          </w:tcPr>
          <w:p w14:paraId="5FEB42FE"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265</w:t>
            </w:r>
          </w:p>
        </w:tc>
        <w:tc>
          <w:tcPr>
            <w:tcW w:w="556" w:type="dxa"/>
            <w:gridSpan w:val="2"/>
          </w:tcPr>
          <w:p w14:paraId="5F75EAC8"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327</w:t>
            </w:r>
          </w:p>
        </w:tc>
        <w:tc>
          <w:tcPr>
            <w:tcW w:w="594" w:type="dxa"/>
            <w:gridSpan w:val="2"/>
          </w:tcPr>
          <w:p w14:paraId="49BCD2B2"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245</w:t>
            </w:r>
          </w:p>
        </w:tc>
        <w:tc>
          <w:tcPr>
            <w:tcW w:w="709" w:type="dxa"/>
            <w:gridSpan w:val="2"/>
          </w:tcPr>
          <w:p w14:paraId="6BEBE0E9"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1.33</w:t>
            </w:r>
          </w:p>
        </w:tc>
        <w:tc>
          <w:tcPr>
            <w:tcW w:w="810" w:type="dxa"/>
            <w:gridSpan w:val="2"/>
          </w:tcPr>
          <w:p w14:paraId="53203A36"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13</w:t>
            </w:r>
          </w:p>
        </w:tc>
      </w:tr>
      <w:tr w:rsidR="00A84E96" w:rsidRPr="00891DB0" w14:paraId="37E135AA" w14:textId="77777777" w:rsidTr="00114425">
        <w:trPr>
          <w:trHeight w:val="80"/>
          <w:jc w:val="center"/>
        </w:trPr>
        <w:tc>
          <w:tcPr>
            <w:tcW w:w="2977" w:type="dxa"/>
          </w:tcPr>
          <w:p w14:paraId="654B9265" w14:textId="77777777" w:rsidR="00A84E96" w:rsidRPr="00891DB0" w:rsidRDefault="00A84E96" w:rsidP="00114425">
            <w:pPr>
              <w:pStyle w:val="NoSpacing"/>
              <w:jc w:val="left"/>
              <w:rPr>
                <w:rFonts w:ascii="Times New Roman" w:hAnsi="Times New Roman" w:cs="Times New Roman"/>
                <w:sz w:val="20"/>
                <w:szCs w:val="20"/>
              </w:rPr>
            </w:pPr>
            <w:r w:rsidRPr="00891DB0">
              <w:rPr>
                <w:rFonts w:ascii="Times New Roman" w:hAnsi="Times New Roman" w:cs="Times New Roman"/>
                <w:sz w:val="20"/>
                <w:szCs w:val="20"/>
              </w:rPr>
              <w:t xml:space="preserve">Inefficient waste management  </w:t>
            </w:r>
          </w:p>
        </w:tc>
        <w:tc>
          <w:tcPr>
            <w:tcW w:w="522" w:type="dxa"/>
          </w:tcPr>
          <w:p w14:paraId="1F3C16B8"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5</w:t>
            </w:r>
          </w:p>
        </w:tc>
        <w:tc>
          <w:tcPr>
            <w:tcW w:w="652" w:type="dxa"/>
          </w:tcPr>
          <w:p w14:paraId="5F404524"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8</w:t>
            </w:r>
          </w:p>
        </w:tc>
        <w:tc>
          <w:tcPr>
            <w:tcW w:w="641" w:type="dxa"/>
          </w:tcPr>
          <w:p w14:paraId="3FA96E0A"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12</w:t>
            </w:r>
          </w:p>
        </w:tc>
        <w:tc>
          <w:tcPr>
            <w:tcW w:w="567" w:type="dxa"/>
          </w:tcPr>
          <w:p w14:paraId="61EF480D"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64</w:t>
            </w:r>
          </w:p>
        </w:tc>
        <w:tc>
          <w:tcPr>
            <w:tcW w:w="633" w:type="dxa"/>
            <w:gridSpan w:val="2"/>
          </w:tcPr>
          <w:p w14:paraId="33AC136F"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257</w:t>
            </w:r>
          </w:p>
        </w:tc>
        <w:tc>
          <w:tcPr>
            <w:tcW w:w="556" w:type="dxa"/>
            <w:gridSpan w:val="2"/>
          </w:tcPr>
          <w:p w14:paraId="6B7254B3"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346</w:t>
            </w:r>
          </w:p>
        </w:tc>
        <w:tc>
          <w:tcPr>
            <w:tcW w:w="594" w:type="dxa"/>
            <w:gridSpan w:val="2"/>
          </w:tcPr>
          <w:p w14:paraId="1C284CE4"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245</w:t>
            </w:r>
          </w:p>
        </w:tc>
        <w:tc>
          <w:tcPr>
            <w:tcW w:w="709" w:type="dxa"/>
            <w:gridSpan w:val="2"/>
          </w:tcPr>
          <w:p w14:paraId="511A9607"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1.41</w:t>
            </w:r>
          </w:p>
        </w:tc>
        <w:tc>
          <w:tcPr>
            <w:tcW w:w="810" w:type="dxa"/>
            <w:gridSpan w:val="2"/>
          </w:tcPr>
          <w:p w14:paraId="03FA6429"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12</w:t>
            </w:r>
          </w:p>
        </w:tc>
      </w:tr>
      <w:tr w:rsidR="00A84E96" w:rsidRPr="00891DB0" w14:paraId="644CCDC7" w14:textId="77777777" w:rsidTr="00114425">
        <w:trPr>
          <w:trHeight w:val="80"/>
          <w:jc w:val="center"/>
        </w:trPr>
        <w:tc>
          <w:tcPr>
            <w:tcW w:w="2977" w:type="dxa"/>
          </w:tcPr>
          <w:p w14:paraId="55D47A25" w14:textId="77777777" w:rsidR="00A84E96" w:rsidRPr="00891DB0" w:rsidRDefault="00A84E96" w:rsidP="00114425">
            <w:pPr>
              <w:pStyle w:val="NoSpacing"/>
              <w:jc w:val="left"/>
              <w:rPr>
                <w:rFonts w:ascii="Times New Roman" w:hAnsi="Times New Roman" w:cs="Times New Roman"/>
                <w:sz w:val="20"/>
                <w:szCs w:val="20"/>
              </w:rPr>
            </w:pPr>
            <w:r w:rsidRPr="00891DB0">
              <w:rPr>
                <w:rFonts w:ascii="Times New Roman" w:hAnsi="Times New Roman" w:cs="Times New Roman"/>
                <w:sz w:val="20"/>
                <w:szCs w:val="20"/>
              </w:rPr>
              <w:t xml:space="preserve">Transport connectivity </w:t>
            </w:r>
          </w:p>
        </w:tc>
        <w:tc>
          <w:tcPr>
            <w:tcW w:w="522" w:type="dxa"/>
          </w:tcPr>
          <w:p w14:paraId="535ED0E8"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10</w:t>
            </w:r>
          </w:p>
        </w:tc>
        <w:tc>
          <w:tcPr>
            <w:tcW w:w="652" w:type="dxa"/>
          </w:tcPr>
          <w:p w14:paraId="77812A98"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4</w:t>
            </w:r>
          </w:p>
        </w:tc>
        <w:tc>
          <w:tcPr>
            <w:tcW w:w="641" w:type="dxa"/>
          </w:tcPr>
          <w:p w14:paraId="314C1303"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30</w:t>
            </w:r>
          </w:p>
        </w:tc>
        <w:tc>
          <w:tcPr>
            <w:tcW w:w="567" w:type="dxa"/>
          </w:tcPr>
          <w:p w14:paraId="4E82356D"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80</w:t>
            </w:r>
          </w:p>
        </w:tc>
        <w:tc>
          <w:tcPr>
            <w:tcW w:w="633" w:type="dxa"/>
            <w:gridSpan w:val="2"/>
          </w:tcPr>
          <w:p w14:paraId="7448808B"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243</w:t>
            </w:r>
          </w:p>
        </w:tc>
        <w:tc>
          <w:tcPr>
            <w:tcW w:w="556" w:type="dxa"/>
            <w:gridSpan w:val="2"/>
          </w:tcPr>
          <w:p w14:paraId="1C784E8F"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367</w:t>
            </w:r>
          </w:p>
        </w:tc>
        <w:tc>
          <w:tcPr>
            <w:tcW w:w="594" w:type="dxa"/>
            <w:gridSpan w:val="2"/>
          </w:tcPr>
          <w:p w14:paraId="4E6A7361"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245</w:t>
            </w:r>
          </w:p>
        </w:tc>
        <w:tc>
          <w:tcPr>
            <w:tcW w:w="709" w:type="dxa"/>
            <w:gridSpan w:val="2"/>
          </w:tcPr>
          <w:p w14:paraId="64D92940"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1.50</w:t>
            </w:r>
          </w:p>
        </w:tc>
        <w:tc>
          <w:tcPr>
            <w:tcW w:w="810" w:type="dxa"/>
            <w:gridSpan w:val="2"/>
          </w:tcPr>
          <w:p w14:paraId="7A10745B"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9</w:t>
            </w:r>
          </w:p>
        </w:tc>
      </w:tr>
      <w:tr w:rsidR="00A84E96" w:rsidRPr="00891DB0" w14:paraId="09B8AE4E" w14:textId="77777777" w:rsidTr="00114425">
        <w:trPr>
          <w:trHeight w:val="341"/>
          <w:jc w:val="center"/>
        </w:trPr>
        <w:tc>
          <w:tcPr>
            <w:tcW w:w="2977" w:type="dxa"/>
          </w:tcPr>
          <w:p w14:paraId="717F3BE8" w14:textId="77777777" w:rsidR="00A84E96" w:rsidRPr="00891DB0" w:rsidRDefault="00A84E96" w:rsidP="00114425">
            <w:pPr>
              <w:tabs>
                <w:tab w:val="left" w:pos="426"/>
              </w:tabs>
              <w:spacing w:after="0" w:line="240" w:lineRule="auto"/>
              <w:rPr>
                <w:rFonts w:ascii="Times New Roman" w:hAnsi="Times New Roman" w:cs="Times New Roman"/>
                <w:sz w:val="20"/>
                <w:szCs w:val="20"/>
              </w:rPr>
            </w:pPr>
            <w:r w:rsidRPr="00891DB0">
              <w:rPr>
                <w:rFonts w:ascii="Times New Roman" w:hAnsi="Times New Roman" w:cs="Times New Roman"/>
                <w:sz w:val="20"/>
                <w:szCs w:val="20"/>
              </w:rPr>
              <w:t>Stakeholders responsible for waste services have performed satisfactorily</w:t>
            </w:r>
          </w:p>
        </w:tc>
        <w:tc>
          <w:tcPr>
            <w:tcW w:w="522" w:type="dxa"/>
          </w:tcPr>
          <w:p w14:paraId="392A33B6"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10</w:t>
            </w:r>
          </w:p>
        </w:tc>
        <w:tc>
          <w:tcPr>
            <w:tcW w:w="652" w:type="dxa"/>
          </w:tcPr>
          <w:p w14:paraId="230E8D7C"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4</w:t>
            </w:r>
          </w:p>
        </w:tc>
        <w:tc>
          <w:tcPr>
            <w:tcW w:w="641" w:type="dxa"/>
          </w:tcPr>
          <w:p w14:paraId="005682A7"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12</w:t>
            </w:r>
          </w:p>
        </w:tc>
        <w:tc>
          <w:tcPr>
            <w:tcW w:w="567" w:type="dxa"/>
          </w:tcPr>
          <w:p w14:paraId="11DEE16A"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76</w:t>
            </w:r>
          </w:p>
        </w:tc>
        <w:tc>
          <w:tcPr>
            <w:tcW w:w="633" w:type="dxa"/>
            <w:gridSpan w:val="2"/>
          </w:tcPr>
          <w:p w14:paraId="2E7A6173"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251</w:t>
            </w:r>
          </w:p>
        </w:tc>
        <w:tc>
          <w:tcPr>
            <w:tcW w:w="556" w:type="dxa"/>
            <w:gridSpan w:val="2"/>
          </w:tcPr>
          <w:p w14:paraId="27F934A1"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353</w:t>
            </w:r>
          </w:p>
        </w:tc>
        <w:tc>
          <w:tcPr>
            <w:tcW w:w="594" w:type="dxa"/>
            <w:gridSpan w:val="2"/>
          </w:tcPr>
          <w:p w14:paraId="1E64C4DB"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245</w:t>
            </w:r>
          </w:p>
        </w:tc>
        <w:tc>
          <w:tcPr>
            <w:tcW w:w="709" w:type="dxa"/>
            <w:gridSpan w:val="2"/>
          </w:tcPr>
          <w:p w14:paraId="1AE0BA29"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1.44</w:t>
            </w:r>
          </w:p>
        </w:tc>
        <w:tc>
          <w:tcPr>
            <w:tcW w:w="810" w:type="dxa"/>
            <w:gridSpan w:val="2"/>
          </w:tcPr>
          <w:p w14:paraId="3A527E01"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11</w:t>
            </w:r>
          </w:p>
        </w:tc>
      </w:tr>
      <w:tr w:rsidR="00A84E96" w:rsidRPr="00891DB0" w14:paraId="619200A8" w14:textId="77777777" w:rsidTr="00114425">
        <w:trPr>
          <w:trHeight w:val="252"/>
          <w:jc w:val="center"/>
        </w:trPr>
        <w:tc>
          <w:tcPr>
            <w:tcW w:w="2977" w:type="dxa"/>
          </w:tcPr>
          <w:p w14:paraId="0D0393D2" w14:textId="77777777" w:rsidR="00A84E96" w:rsidRPr="00891DB0" w:rsidRDefault="00A84E96" w:rsidP="00114425">
            <w:pPr>
              <w:spacing w:after="0" w:line="240" w:lineRule="auto"/>
              <w:rPr>
                <w:rFonts w:ascii="Times New Roman" w:hAnsi="Times New Roman" w:cs="Times New Roman"/>
                <w:sz w:val="20"/>
                <w:szCs w:val="20"/>
              </w:rPr>
            </w:pPr>
            <w:r w:rsidRPr="00891DB0">
              <w:rPr>
                <w:rFonts w:ascii="Times New Roman" w:eastAsia="Calibri" w:hAnsi="Times New Roman" w:cs="Times New Roman"/>
                <w:sz w:val="20"/>
                <w:szCs w:val="20"/>
              </w:rPr>
              <w:t>Lack of access to credit</w:t>
            </w:r>
          </w:p>
        </w:tc>
        <w:tc>
          <w:tcPr>
            <w:tcW w:w="522" w:type="dxa"/>
          </w:tcPr>
          <w:p w14:paraId="5D4A9C94"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305</w:t>
            </w:r>
          </w:p>
        </w:tc>
        <w:tc>
          <w:tcPr>
            <w:tcW w:w="652" w:type="dxa"/>
          </w:tcPr>
          <w:p w14:paraId="1265C9F0"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224</w:t>
            </w:r>
          </w:p>
        </w:tc>
        <w:tc>
          <w:tcPr>
            <w:tcW w:w="641" w:type="dxa"/>
          </w:tcPr>
          <w:p w14:paraId="6600AC70"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135</w:t>
            </w:r>
          </w:p>
        </w:tc>
        <w:tc>
          <w:tcPr>
            <w:tcW w:w="567" w:type="dxa"/>
          </w:tcPr>
          <w:p w14:paraId="42E443FE"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16</w:t>
            </w:r>
          </w:p>
        </w:tc>
        <w:tc>
          <w:tcPr>
            <w:tcW w:w="633" w:type="dxa"/>
            <w:gridSpan w:val="2"/>
          </w:tcPr>
          <w:p w14:paraId="4A11320D"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126</w:t>
            </w:r>
          </w:p>
        </w:tc>
        <w:tc>
          <w:tcPr>
            <w:tcW w:w="556" w:type="dxa"/>
            <w:gridSpan w:val="2"/>
          </w:tcPr>
          <w:p w14:paraId="10BA0134"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806</w:t>
            </w:r>
          </w:p>
        </w:tc>
        <w:tc>
          <w:tcPr>
            <w:tcW w:w="594" w:type="dxa"/>
            <w:gridSpan w:val="2"/>
          </w:tcPr>
          <w:p w14:paraId="4ACCF19F"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245</w:t>
            </w:r>
          </w:p>
        </w:tc>
        <w:tc>
          <w:tcPr>
            <w:tcW w:w="709" w:type="dxa"/>
            <w:gridSpan w:val="2"/>
          </w:tcPr>
          <w:p w14:paraId="335E3069"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3.29</w:t>
            </w:r>
          </w:p>
        </w:tc>
        <w:tc>
          <w:tcPr>
            <w:tcW w:w="810" w:type="dxa"/>
            <w:gridSpan w:val="2"/>
          </w:tcPr>
          <w:p w14:paraId="3F740935"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w:t>
            </w:r>
          </w:p>
        </w:tc>
      </w:tr>
      <w:tr w:rsidR="00A84E96" w:rsidRPr="00891DB0" w14:paraId="4475C939" w14:textId="77777777" w:rsidTr="00114425">
        <w:trPr>
          <w:trHeight w:val="342"/>
          <w:jc w:val="center"/>
        </w:trPr>
        <w:tc>
          <w:tcPr>
            <w:tcW w:w="2977" w:type="dxa"/>
          </w:tcPr>
          <w:p w14:paraId="39301508" w14:textId="77777777" w:rsidR="00A84E96" w:rsidRPr="00891DB0" w:rsidRDefault="00A84E96" w:rsidP="00114425">
            <w:pPr>
              <w:spacing w:after="0" w:line="240" w:lineRule="auto"/>
              <w:rPr>
                <w:rFonts w:ascii="Times New Roman" w:hAnsi="Times New Roman" w:cs="Times New Roman"/>
                <w:sz w:val="20"/>
                <w:szCs w:val="20"/>
              </w:rPr>
            </w:pPr>
            <w:r w:rsidRPr="00891DB0">
              <w:rPr>
                <w:rFonts w:ascii="Times New Roman" w:hAnsi="Times New Roman" w:cs="Times New Roman"/>
                <w:sz w:val="20"/>
                <w:szCs w:val="20"/>
              </w:rPr>
              <w:t>Fluctuations in prices</w:t>
            </w:r>
          </w:p>
        </w:tc>
        <w:tc>
          <w:tcPr>
            <w:tcW w:w="522" w:type="dxa"/>
          </w:tcPr>
          <w:p w14:paraId="04A3B23F"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75</w:t>
            </w:r>
          </w:p>
        </w:tc>
        <w:tc>
          <w:tcPr>
            <w:tcW w:w="652" w:type="dxa"/>
          </w:tcPr>
          <w:p w14:paraId="16F9C24D"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60</w:t>
            </w:r>
          </w:p>
        </w:tc>
        <w:tc>
          <w:tcPr>
            <w:tcW w:w="641" w:type="dxa"/>
          </w:tcPr>
          <w:p w14:paraId="069FCC48"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195</w:t>
            </w:r>
          </w:p>
        </w:tc>
        <w:tc>
          <w:tcPr>
            <w:tcW w:w="567" w:type="dxa"/>
          </w:tcPr>
          <w:p w14:paraId="3B6CA47F"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78</w:t>
            </w:r>
          </w:p>
        </w:tc>
        <w:tc>
          <w:tcPr>
            <w:tcW w:w="633" w:type="dxa"/>
            <w:gridSpan w:val="2"/>
          </w:tcPr>
          <w:p w14:paraId="51EF7AC5"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162</w:t>
            </w:r>
          </w:p>
        </w:tc>
        <w:tc>
          <w:tcPr>
            <w:tcW w:w="556" w:type="dxa"/>
            <w:gridSpan w:val="2"/>
          </w:tcPr>
          <w:p w14:paraId="6B45C137"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570</w:t>
            </w:r>
          </w:p>
        </w:tc>
        <w:tc>
          <w:tcPr>
            <w:tcW w:w="594" w:type="dxa"/>
            <w:gridSpan w:val="2"/>
          </w:tcPr>
          <w:p w14:paraId="6E12392A"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245</w:t>
            </w:r>
          </w:p>
        </w:tc>
        <w:tc>
          <w:tcPr>
            <w:tcW w:w="709" w:type="dxa"/>
            <w:gridSpan w:val="2"/>
          </w:tcPr>
          <w:p w14:paraId="4C27E689"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2.33</w:t>
            </w:r>
          </w:p>
        </w:tc>
        <w:tc>
          <w:tcPr>
            <w:tcW w:w="810" w:type="dxa"/>
            <w:gridSpan w:val="2"/>
          </w:tcPr>
          <w:p w14:paraId="31C3ED5D"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sz w:val="20"/>
                <w:szCs w:val="20"/>
              </w:rPr>
            </w:pPr>
            <w:r w:rsidRPr="00891DB0">
              <w:rPr>
                <w:rFonts w:ascii="Times New Roman" w:hAnsi="Times New Roman" w:cs="Times New Roman"/>
                <w:sz w:val="20"/>
                <w:szCs w:val="20"/>
              </w:rPr>
              <w:t>3</w:t>
            </w:r>
          </w:p>
        </w:tc>
      </w:tr>
      <w:tr w:rsidR="00A84E96" w:rsidRPr="00891DB0" w14:paraId="2D4E852C" w14:textId="77777777" w:rsidTr="00114425">
        <w:trPr>
          <w:trHeight w:val="180"/>
          <w:jc w:val="center"/>
        </w:trPr>
        <w:tc>
          <w:tcPr>
            <w:tcW w:w="2977" w:type="dxa"/>
          </w:tcPr>
          <w:p w14:paraId="75B571A3" w14:textId="458636CB" w:rsidR="00A84E96" w:rsidRPr="00891DB0" w:rsidRDefault="00114425" w:rsidP="00114425">
            <w:pPr>
              <w:spacing w:after="0" w:line="240" w:lineRule="auto"/>
              <w:rPr>
                <w:rFonts w:ascii="Times New Roman" w:hAnsi="Times New Roman" w:cs="Times New Roman"/>
                <w:b/>
                <w:sz w:val="20"/>
                <w:szCs w:val="20"/>
              </w:rPr>
            </w:pPr>
            <w:r w:rsidRPr="00891DB0">
              <w:rPr>
                <w:rFonts w:ascii="Times New Roman" w:hAnsi="Times New Roman" w:cs="Times New Roman"/>
                <w:b/>
                <w:sz w:val="20"/>
                <w:szCs w:val="20"/>
              </w:rPr>
              <w:t>Mean 1</w:t>
            </w:r>
            <w:r w:rsidR="00A84E96" w:rsidRPr="00891DB0">
              <w:rPr>
                <w:rFonts w:ascii="Times New Roman" w:hAnsi="Times New Roman" w:cs="Times New Roman"/>
                <w:b/>
                <w:sz w:val="20"/>
                <w:szCs w:val="20"/>
              </w:rPr>
              <w:t>.86</w:t>
            </w:r>
          </w:p>
        </w:tc>
        <w:tc>
          <w:tcPr>
            <w:tcW w:w="522" w:type="dxa"/>
          </w:tcPr>
          <w:p w14:paraId="4CD56390"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
                <w:sz w:val="20"/>
                <w:szCs w:val="20"/>
              </w:rPr>
            </w:pPr>
          </w:p>
        </w:tc>
        <w:tc>
          <w:tcPr>
            <w:tcW w:w="652" w:type="dxa"/>
          </w:tcPr>
          <w:p w14:paraId="31597423"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
                <w:sz w:val="20"/>
                <w:szCs w:val="20"/>
              </w:rPr>
            </w:pPr>
          </w:p>
        </w:tc>
        <w:tc>
          <w:tcPr>
            <w:tcW w:w="641" w:type="dxa"/>
          </w:tcPr>
          <w:p w14:paraId="4FC940F9"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
                <w:sz w:val="20"/>
                <w:szCs w:val="20"/>
              </w:rPr>
            </w:pPr>
          </w:p>
        </w:tc>
        <w:tc>
          <w:tcPr>
            <w:tcW w:w="567" w:type="dxa"/>
          </w:tcPr>
          <w:p w14:paraId="76CE7DA0"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
                <w:sz w:val="20"/>
                <w:szCs w:val="20"/>
              </w:rPr>
            </w:pPr>
          </w:p>
        </w:tc>
        <w:tc>
          <w:tcPr>
            <w:tcW w:w="633" w:type="dxa"/>
            <w:gridSpan w:val="2"/>
          </w:tcPr>
          <w:p w14:paraId="6AB655EA"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
                <w:sz w:val="20"/>
                <w:szCs w:val="20"/>
              </w:rPr>
            </w:pPr>
          </w:p>
        </w:tc>
        <w:tc>
          <w:tcPr>
            <w:tcW w:w="556" w:type="dxa"/>
            <w:gridSpan w:val="2"/>
          </w:tcPr>
          <w:p w14:paraId="700AD656"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
                <w:sz w:val="20"/>
                <w:szCs w:val="20"/>
              </w:rPr>
            </w:pPr>
          </w:p>
        </w:tc>
        <w:tc>
          <w:tcPr>
            <w:tcW w:w="594" w:type="dxa"/>
            <w:gridSpan w:val="2"/>
          </w:tcPr>
          <w:p w14:paraId="6ACD8365"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
                <w:sz w:val="20"/>
                <w:szCs w:val="20"/>
              </w:rPr>
            </w:pPr>
          </w:p>
        </w:tc>
        <w:tc>
          <w:tcPr>
            <w:tcW w:w="709" w:type="dxa"/>
            <w:gridSpan w:val="2"/>
          </w:tcPr>
          <w:p w14:paraId="6936B818"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
                <w:sz w:val="20"/>
                <w:szCs w:val="20"/>
              </w:rPr>
            </w:pPr>
            <w:r w:rsidRPr="00891DB0">
              <w:rPr>
                <w:rFonts w:ascii="Times New Roman" w:hAnsi="Times New Roman" w:cs="Times New Roman"/>
                <w:b/>
                <w:sz w:val="20"/>
                <w:szCs w:val="20"/>
              </w:rPr>
              <w:t>24.14</w:t>
            </w:r>
          </w:p>
        </w:tc>
        <w:tc>
          <w:tcPr>
            <w:tcW w:w="810" w:type="dxa"/>
            <w:gridSpan w:val="2"/>
          </w:tcPr>
          <w:p w14:paraId="73415B0A" w14:textId="77777777" w:rsidR="00A84E96" w:rsidRPr="00891DB0" w:rsidRDefault="00A84E96" w:rsidP="00891DB0">
            <w:pPr>
              <w:autoSpaceDE w:val="0"/>
              <w:autoSpaceDN w:val="0"/>
              <w:adjustRightInd w:val="0"/>
              <w:spacing w:after="0" w:line="240" w:lineRule="auto"/>
              <w:jc w:val="both"/>
              <w:rPr>
                <w:rFonts w:ascii="Times New Roman" w:hAnsi="Times New Roman" w:cs="Times New Roman"/>
                <w:b/>
                <w:sz w:val="20"/>
                <w:szCs w:val="20"/>
              </w:rPr>
            </w:pPr>
          </w:p>
        </w:tc>
      </w:tr>
    </w:tbl>
    <w:p w14:paraId="3857AA3F" w14:textId="77777777" w:rsidR="00A84E96" w:rsidRPr="00114425" w:rsidRDefault="00A84E96" w:rsidP="00114425">
      <w:pPr>
        <w:spacing w:line="240" w:lineRule="auto"/>
        <w:jc w:val="center"/>
        <w:rPr>
          <w:rFonts w:ascii="Times New Roman" w:hAnsi="Times New Roman" w:cs="Times New Roman"/>
          <w:bCs/>
          <w:i/>
          <w:sz w:val="24"/>
          <w:szCs w:val="24"/>
        </w:rPr>
      </w:pPr>
      <w:r w:rsidRPr="00114425">
        <w:rPr>
          <w:rFonts w:ascii="Times New Roman" w:hAnsi="Times New Roman" w:cs="Times New Roman"/>
          <w:bCs/>
          <w:i/>
          <w:sz w:val="24"/>
          <w:szCs w:val="24"/>
        </w:rPr>
        <w:t>Source: Field Survey, 2024.</w:t>
      </w:r>
    </w:p>
    <w:p w14:paraId="162B14BF" w14:textId="77777777" w:rsidR="00A84E96" w:rsidRPr="00BE4AF3" w:rsidRDefault="00A84E96" w:rsidP="00280688">
      <w:pPr>
        <w:spacing w:after="0" w:line="240" w:lineRule="auto"/>
        <w:jc w:val="both"/>
        <w:rPr>
          <w:rFonts w:ascii="Times New Roman" w:hAnsi="Times New Roman" w:cs="Times New Roman"/>
          <w:b/>
          <w:i/>
          <w:sz w:val="24"/>
          <w:szCs w:val="24"/>
        </w:rPr>
      </w:pPr>
      <w:r w:rsidRPr="00BE4AF3">
        <w:rPr>
          <w:rFonts w:ascii="Times New Roman" w:hAnsi="Times New Roman" w:cs="Times New Roman"/>
          <w:b/>
          <w:sz w:val="24"/>
          <w:szCs w:val="24"/>
        </w:rPr>
        <w:t xml:space="preserve">Conclusion and Recommendations </w:t>
      </w:r>
    </w:p>
    <w:p w14:paraId="782B77F6" w14:textId="36A61F3D" w:rsidR="00280688" w:rsidRDefault="00A84E96" w:rsidP="00280688">
      <w:pPr>
        <w:spacing w:after="0"/>
        <w:jc w:val="both"/>
        <w:rPr>
          <w:rFonts w:ascii="Times New Roman" w:hAnsi="Times New Roman" w:cs="Times New Roman"/>
          <w:sz w:val="24"/>
          <w:szCs w:val="24"/>
        </w:rPr>
      </w:pPr>
      <w:r w:rsidRPr="00BE4AF3">
        <w:rPr>
          <w:rFonts w:ascii="Times New Roman" w:hAnsi="Times New Roman" w:cs="Times New Roman"/>
          <w:sz w:val="24"/>
          <w:szCs w:val="24"/>
        </w:rPr>
        <w:t xml:space="preserve">The capitalization and exploitation of the opportunities of spatial planning alongside positive economic incentives prospect in Sango-Ota will facilitate enhancement of economic growth and development at the community level. The area will be plausibly diversified economy that portions its industrial modularity with what might be aspiring issues of infrastructure and inaccessibility to finance. Yet, every of these gaps is solvable in the context of already tested theories of cluster building, cooperation planning, sustainability and economic impetal with perspective on operationalisation of a full scheme of industrial development. A priority provision of facilities in the transport network and communications to improve highways, rail access to freights, and reliable electricity is just some of the recommendations provided. In individual zoning scheme, manufacturing zone and residential zone should be separated well in order to minimize friction and upgrade equipments. Such industrial parks will give way to industrial activities that facilitate focus and work towards collaboration. Economic stimulus will consist of tax holiday extension, offering of warm business start up loans and grants to support infrastructure development. This would cut the costs of operations, generate more funding and make the region more attractive. Facility to borrow (and lend on) at lower interest will also be relevant. Mobility of working population will also be enhanced by increasing the efficiency of its own transport means through developing better public transporting network along the industrial corridors and carpool programmes. Improvement of bus service to industrial site will also feature prominently on community and systems and carpool programs will be instated to boost mobility of workforces. </w:t>
      </w:r>
      <w:r w:rsidRPr="00BE4AF3">
        <w:rPr>
          <w:rFonts w:ascii="Times New Roman" w:hAnsi="Times New Roman" w:cs="Times New Roman"/>
          <w:sz w:val="24"/>
          <w:szCs w:val="24"/>
        </w:rPr>
        <w:lastRenderedPageBreak/>
        <w:t>The cooperation with the educational institutions and planning and preparation of the development of the new industries focusing on the competencies and skills that should be acquired by local working force itself will help make sure that this group will be able to obtain the skills and competencies that first of all should be considered. Among the greater needs these undertakings will serve on behalf of Sango-Ota, will be to become a competitive industrial destination in Ogun State.</w:t>
      </w:r>
    </w:p>
    <w:p w14:paraId="63CA71C6" w14:textId="77777777" w:rsidR="00280688" w:rsidRPr="00BE4AF3" w:rsidRDefault="00280688" w:rsidP="00280688">
      <w:pPr>
        <w:spacing w:after="0"/>
        <w:jc w:val="both"/>
        <w:rPr>
          <w:rFonts w:ascii="Times New Roman" w:hAnsi="Times New Roman" w:cs="Times New Roman"/>
          <w:sz w:val="24"/>
          <w:szCs w:val="24"/>
        </w:rPr>
      </w:pPr>
    </w:p>
    <w:p w14:paraId="3E3B1F37" w14:textId="77777777" w:rsidR="00A84E96" w:rsidRPr="00BE4AF3" w:rsidRDefault="00A84E96" w:rsidP="00280688">
      <w:pPr>
        <w:pStyle w:val="NormalWeb"/>
        <w:spacing w:before="0" w:beforeAutospacing="0" w:after="0" w:afterAutospacing="0"/>
        <w:jc w:val="both"/>
        <w:rPr>
          <w:b/>
        </w:rPr>
      </w:pPr>
      <w:r w:rsidRPr="00BE4AF3">
        <w:rPr>
          <w:b/>
        </w:rPr>
        <w:t>References</w:t>
      </w:r>
    </w:p>
    <w:p w14:paraId="7D2950ED" w14:textId="77777777" w:rsidR="00A84E96" w:rsidRPr="00BE4AF3" w:rsidRDefault="00A84E96" w:rsidP="00280688">
      <w:pPr>
        <w:pStyle w:val="NormalWeb"/>
        <w:spacing w:before="0" w:beforeAutospacing="0" w:after="0" w:afterAutospacing="0"/>
        <w:ind w:left="810" w:hanging="630"/>
        <w:jc w:val="both"/>
      </w:pPr>
      <w:r w:rsidRPr="00BE4AF3">
        <w:t xml:space="preserve">Adeleye, I., &amp; Adesanya, A. (2019). The role of government incentives in promoting small and medium enterprises in Nigeria. </w:t>
      </w:r>
      <w:r w:rsidRPr="00BE4AF3">
        <w:rPr>
          <w:rStyle w:val="Emphasis"/>
          <w:rFonts w:eastAsiaTheme="majorEastAsia"/>
        </w:rPr>
        <w:t>Journal of Small Business and Enterprise Development</w:t>
      </w:r>
      <w:r w:rsidRPr="00BE4AF3">
        <w:t>, 26(3), 300-315.</w:t>
      </w:r>
    </w:p>
    <w:p w14:paraId="35128D08" w14:textId="77777777" w:rsidR="00A84E96" w:rsidRPr="00BE4AF3" w:rsidRDefault="00A84E96" w:rsidP="00280688">
      <w:pPr>
        <w:pStyle w:val="NormalWeb"/>
        <w:spacing w:before="0" w:beforeAutospacing="0" w:after="0" w:afterAutospacing="0"/>
        <w:ind w:left="810" w:hanging="630"/>
        <w:jc w:val="both"/>
      </w:pPr>
      <w:r w:rsidRPr="00BE4AF3">
        <w:t xml:space="preserve">Delgado, M., Porter, M. E., &amp; Stern, S. (2020). Clusters, convergence, and economic performance. </w:t>
      </w:r>
      <w:r w:rsidRPr="00BE4AF3">
        <w:rPr>
          <w:rStyle w:val="Emphasis"/>
          <w:rFonts w:eastAsiaTheme="majorEastAsia"/>
        </w:rPr>
        <w:t>Research Policy</w:t>
      </w:r>
      <w:r w:rsidRPr="00BE4AF3">
        <w:t>, 43(10), 1785-1799.</w:t>
      </w:r>
    </w:p>
    <w:p w14:paraId="23B94C57" w14:textId="77777777" w:rsidR="00A84E96" w:rsidRPr="00BE4AF3" w:rsidRDefault="00A84E96" w:rsidP="00280688">
      <w:pPr>
        <w:spacing w:after="0" w:line="240" w:lineRule="auto"/>
        <w:ind w:left="810" w:hanging="63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Feldman, M. P., &amp; Francis, J. (2024). Homegrown solutions: Fostering cluster formation. </w:t>
      </w:r>
      <w:r w:rsidRPr="00BE4AF3">
        <w:rPr>
          <w:rFonts w:ascii="Times New Roman" w:eastAsia="Times New Roman" w:hAnsi="Times New Roman" w:cs="Times New Roman"/>
          <w:i/>
          <w:iCs/>
          <w:sz w:val="24"/>
          <w:szCs w:val="24"/>
        </w:rPr>
        <w:t>Economic Development Quarterly</w:t>
      </w:r>
      <w:r w:rsidRPr="00BE4AF3">
        <w:rPr>
          <w:rFonts w:ascii="Times New Roman" w:eastAsia="Times New Roman" w:hAnsi="Times New Roman" w:cs="Times New Roman"/>
          <w:sz w:val="24"/>
          <w:szCs w:val="24"/>
        </w:rPr>
        <w:t>, 18(2), 127-137.</w:t>
      </w:r>
    </w:p>
    <w:p w14:paraId="16B276AE" w14:textId="77777777" w:rsidR="00A84E96" w:rsidRPr="00BE4AF3" w:rsidRDefault="00A84E96" w:rsidP="00280688">
      <w:pPr>
        <w:spacing w:after="0" w:line="240" w:lineRule="auto"/>
        <w:ind w:left="810" w:hanging="630"/>
        <w:jc w:val="both"/>
        <w:rPr>
          <w:rFonts w:ascii="Times New Roman" w:hAnsi="Times New Roman" w:cs="Times New Roman"/>
          <w:sz w:val="24"/>
          <w:szCs w:val="24"/>
        </w:rPr>
      </w:pPr>
      <w:r w:rsidRPr="00BE4AF3">
        <w:rPr>
          <w:rFonts w:ascii="Times New Roman" w:hAnsi="Times New Roman" w:cs="Times New Roman"/>
          <w:sz w:val="24"/>
          <w:szCs w:val="24"/>
        </w:rPr>
        <w:t>Innes, J. E., and D. E. Booher. 2010. Planning with Complexity. An Introduction to Collaborative Rationality for Public Policy. London, UK: Routledge.</w:t>
      </w:r>
    </w:p>
    <w:p w14:paraId="577FB937" w14:textId="77777777" w:rsidR="00A84E96" w:rsidRPr="00BE4AF3" w:rsidRDefault="00A84E96" w:rsidP="00280688">
      <w:pPr>
        <w:spacing w:after="0" w:line="240" w:lineRule="auto"/>
        <w:ind w:left="810" w:hanging="63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Jacobs, J. (2015). </w:t>
      </w:r>
      <w:r w:rsidRPr="00BE4AF3">
        <w:rPr>
          <w:rFonts w:ascii="Times New Roman" w:eastAsia="Times New Roman" w:hAnsi="Times New Roman" w:cs="Times New Roman"/>
          <w:i/>
          <w:iCs/>
          <w:sz w:val="24"/>
          <w:szCs w:val="24"/>
        </w:rPr>
        <w:t>The Death and Life of Great American Cities</w:t>
      </w:r>
      <w:r w:rsidRPr="00BE4AF3">
        <w:rPr>
          <w:rFonts w:ascii="Times New Roman" w:eastAsia="Times New Roman" w:hAnsi="Times New Roman" w:cs="Times New Roman"/>
          <w:sz w:val="24"/>
          <w:szCs w:val="24"/>
        </w:rPr>
        <w:t>. Vintage.</w:t>
      </w:r>
    </w:p>
    <w:p w14:paraId="59F1622C" w14:textId="77777777" w:rsidR="00A84E96" w:rsidRPr="00BE4AF3" w:rsidRDefault="00A84E96" w:rsidP="00280688">
      <w:pPr>
        <w:pStyle w:val="NormalWeb"/>
        <w:spacing w:before="0" w:beforeAutospacing="0" w:after="0" w:afterAutospacing="0"/>
        <w:ind w:left="810" w:hanging="630"/>
        <w:jc w:val="both"/>
      </w:pPr>
      <w:r w:rsidRPr="00BE4AF3">
        <w:t xml:space="preserve">Nigerian Investment Promotion Commission. (2021). </w:t>
      </w:r>
      <w:r w:rsidRPr="00BE4AF3">
        <w:rPr>
          <w:rStyle w:val="Emphasis"/>
          <w:rFonts w:eastAsiaTheme="majorEastAsia"/>
        </w:rPr>
        <w:t>Investment Incentives in Nigeria</w:t>
      </w:r>
      <w:r w:rsidRPr="00BE4AF3">
        <w:t>.</w:t>
      </w:r>
    </w:p>
    <w:p w14:paraId="1C50211B" w14:textId="77777777" w:rsidR="00A84E96" w:rsidRPr="00BE4AF3" w:rsidRDefault="00A84E96" w:rsidP="00280688">
      <w:pPr>
        <w:pStyle w:val="NormalWeb"/>
        <w:spacing w:before="0" w:beforeAutospacing="0" w:after="0" w:afterAutospacing="0"/>
        <w:ind w:left="810" w:hanging="630"/>
        <w:jc w:val="both"/>
      </w:pPr>
      <w:r w:rsidRPr="00BE4AF3">
        <w:t xml:space="preserve">Ogun State Government. (2021). </w:t>
      </w:r>
      <w:r w:rsidRPr="00BE4AF3">
        <w:rPr>
          <w:rStyle w:val="Emphasis"/>
          <w:rFonts w:eastAsiaTheme="majorEastAsia"/>
        </w:rPr>
        <w:t>Ogun State Spatial Development Plan</w:t>
      </w:r>
      <w:r w:rsidRPr="00BE4AF3">
        <w:t>. Ogun State Ministry of Planning and Budget.</w:t>
      </w:r>
    </w:p>
    <w:p w14:paraId="4912CA98" w14:textId="77777777" w:rsidR="00A84E96" w:rsidRPr="00BE4AF3" w:rsidRDefault="00A84E96" w:rsidP="00280688">
      <w:pPr>
        <w:pStyle w:val="NormalWeb"/>
        <w:spacing w:before="0" w:beforeAutospacing="0" w:after="0" w:afterAutospacing="0"/>
        <w:ind w:left="810" w:hanging="630"/>
        <w:jc w:val="both"/>
      </w:pPr>
      <w:r w:rsidRPr="00BE4AF3">
        <w:t xml:space="preserve">Porter, M. E. (1998). </w:t>
      </w:r>
      <w:r w:rsidRPr="00BE4AF3">
        <w:rPr>
          <w:rStyle w:val="Emphasis"/>
          <w:rFonts w:eastAsiaTheme="majorEastAsia"/>
        </w:rPr>
        <w:t>Clusters and the New Economics of Competition</w:t>
      </w:r>
      <w:r w:rsidRPr="00BE4AF3">
        <w:t>. Harvard Business Review, 76(6), 77-90.</w:t>
      </w:r>
    </w:p>
    <w:p w14:paraId="70F3157D" w14:textId="77777777" w:rsidR="00A84E96" w:rsidRPr="00BE4AF3" w:rsidRDefault="00A84E96" w:rsidP="00280688">
      <w:pPr>
        <w:pStyle w:val="NormalWeb"/>
        <w:spacing w:before="0" w:beforeAutospacing="0" w:after="0" w:afterAutospacing="0"/>
        <w:ind w:left="810" w:hanging="630"/>
        <w:jc w:val="both"/>
      </w:pPr>
      <w:r w:rsidRPr="00BE4AF3">
        <w:t xml:space="preserve">Saxenian, A. (1994). </w:t>
      </w:r>
      <w:r w:rsidRPr="00BE4AF3">
        <w:rPr>
          <w:rStyle w:val="Emphasis"/>
          <w:rFonts w:eastAsiaTheme="majorEastAsia"/>
        </w:rPr>
        <w:t>Regional Advantage: Culture and Competition in Silicon Valley and Route 128</w:t>
      </w:r>
      <w:r w:rsidRPr="00BE4AF3">
        <w:t>. Harvard University Press.</w:t>
      </w:r>
    </w:p>
    <w:p w14:paraId="388C484F" w14:textId="77777777" w:rsidR="00A84E96" w:rsidRPr="00BE4AF3" w:rsidRDefault="00A84E96" w:rsidP="00280688">
      <w:pPr>
        <w:pStyle w:val="NormalWeb"/>
        <w:spacing w:before="0" w:beforeAutospacing="0" w:after="0" w:afterAutospacing="0"/>
        <w:ind w:left="810" w:hanging="630"/>
        <w:jc w:val="both"/>
      </w:pPr>
      <w:r w:rsidRPr="00BE4AF3">
        <w:t xml:space="preserve">Wang, J., Wu, Y., &amp; Zhang, L. (2020). The transformation of Shenzhen: A global innovation hub. </w:t>
      </w:r>
      <w:r w:rsidRPr="00BE4AF3">
        <w:rPr>
          <w:rStyle w:val="Emphasis"/>
          <w:rFonts w:eastAsiaTheme="majorEastAsia"/>
        </w:rPr>
        <w:t>Journal of Urban Affairs</w:t>
      </w:r>
      <w:r w:rsidRPr="00BE4AF3">
        <w:t>, 42(5), 738-757.</w:t>
      </w:r>
    </w:p>
    <w:p w14:paraId="78BEC7C0" w14:textId="77777777" w:rsidR="00A84E96" w:rsidRPr="00BE4AF3" w:rsidRDefault="00A84E96" w:rsidP="00280688">
      <w:pPr>
        <w:pStyle w:val="NormalWeb"/>
        <w:spacing w:before="0" w:beforeAutospacing="0" w:after="0" w:afterAutospacing="0"/>
        <w:ind w:left="810" w:hanging="630"/>
        <w:jc w:val="both"/>
      </w:pPr>
      <w:r w:rsidRPr="00BE4AF3">
        <w:t xml:space="preserve">World Bank. (2022). </w:t>
      </w:r>
      <w:r w:rsidRPr="00BE4AF3">
        <w:rPr>
          <w:rStyle w:val="Emphasis"/>
          <w:rFonts w:eastAsiaTheme="majorEastAsia"/>
        </w:rPr>
        <w:t>Nigeria: Infrastructure and Growth in a Time of Transition</w:t>
      </w:r>
      <w:r w:rsidRPr="00BE4AF3">
        <w:t>. World Bank Publications.</w:t>
      </w:r>
    </w:p>
    <w:p w14:paraId="4A0214C6" w14:textId="77777777" w:rsidR="00A84E96" w:rsidRPr="00BE4AF3" w:rsidRDefault="00A84E96" w:rsidP="00280688">
      <w:pPr>
        <w:pStyle w:val="NormalWeb"/>
        <w:spacing w:before="0" w:beforeAutospacing="0" w:after="0" w:afterAutospacing="0"/>
        <w:ind w:left="810" w:hanging="630"/>
        <w:jc w:val="both"/>
      </w:pPr>
      <w:r w:rsidRPr="00BE4AF3">
        <w:t xml:space="preserve">Zeng, Q., Zhang, Y., &amp; Wu, Z. (2021). Industry clusters and innovation: A systematic review. </w:t>
      </w:r>
      <w:r w:rsidRPr="00BE4AF3">
        <w:rPr>
          <w:i/>
          <w:iCs/>
        </w:rPr>
        <w:t>Technological Forecasting and Social Change</w:t>
      </w:r>
      <w:r w:rsidRPr="00BE4AF3">
        <w:t>, 162, 120394.</w:t>
      </w:r>
    </w:p>
    <w:p w14:paraId="4CE3CBDE" w14:textId="77777777" w:rsidR="00A84E96" w:rsidRPr="00BE4AF3" w:rsidRDefault="00A84E96" w:rsidP="00A84E96">
      <w:pPr>
        <w:spacing w:line="240" w:lineRule="auto"/>
        <w:rPr>
          <w:rFonts w:ascii="Times New Roman" w:hAnsi="Times New Roman" w:cs="Times New Roman"/>
          <w:sz w:val="24"/>
          <w:szCs w:val="24"/>
        </w:rPr>
      </w:pPr>
    </w:p>
    <w:p w14:paraId="5800DA72" w14:textId="77777777" w:rsidR="00280688" w:rsidRDefault="00280688" w:rsidP="00E90BB6">
      <w:pPr>
        <w:pStyle w:val="NormalWeb"/>
        <w:spacing w:before="0" w:beforeAutospacing="0" w:after="0" w:afterAutospacing="0"/>
        <w:jc w:val="center"/>
        <w:rPr>
          <w:b/>
          <w:sz w:val="28"/>
          <w:szCs w:val="28"/>
        </w:rPr>
      </w:pPr>
    </w:p>
    <w:p w14:paraId="4A437BCA" w14:textId="77777777" w:rsidR="00280688" w:rsidRDefault="00280688" w:rsidP="00E90BB6">
      <w:pPr>
        <w:pStyle w:val="NormalWeb"/>
        <w:spacing w:before="0" w:beforeAutospacing="0" w:after="0" w:afterAutospacing="0"/>
        <w:jc w:val="center"/>
        <w:rPr>
          <w:b/>
          <w:sz w:val="28"/>
          <w:szCs w:val="28"/>
        </w:rPr>
      </w:pPr>
    </w:p>
    <w:p w14:paraId="447225E8" w14:textId="77777777" w:rsidR="00280688" w:rsidRDefault="00280688" w:rsidP="00E90BB6">
      <w:pPr>
        <w:pStyle w:val="NormalWeb"/>
        <w:spacing w:before="0" w:beforeAutospacing="0" w:after="0" w:afterAutospacing="0"/>
        <w:jc w:val="center"/>
        <w:rPr>
          <w:b/>
          <w:sz w:val="28"/>
          <w:szCs w:val="28"/>
        </w:rPr>
      </w:pPr>
    </w:p>
    <w:p w14:paraId="2BF57C19" w14:textId="77777777" w:rsidR="00280688" w:rsidRDefault="00280688" w:rsidP="00E90BB6">
      <w:pPr>
        <w:pStyle w:val="NormalWeb"/>
        <w:spacing w:before="0" w:beforeAutospacing="0" w:after="0" w:afterAutospacing="0"/>
        <w:jc w:val="center"/>
        <w:rPr>
          <w:b/>
          <w:sz w:val="28"/>
          <w:szCs w:val="28"/>
        </w:rPr>
      </w:pPr>
    </w:p>
    <w:p w14:paraId="282944E7" w14:textId="77777777" w:rsidR="00280688" w:rsidRDefault="00280688" w:rsidP="00E90BB6">
      <w:pPr>
        <w:pStyle w:val="NormalWeb"/>
        <w:spacing w:before="0" w:beforeAutospacing="0" w:after="0" w:afterAutospacing="0"/>
        <w:jc w:val="center"/>
        <w:rPr>
          <w:b/>
          <w:sz w:val="28"/>
          <w:szCs w:val="28"/>
        </w:rPr>
      </w:pPr>
    </w:p>
    <w:p w14:paraId="4195AFB1" w14:textId="77777777" w:rsidR="00280688" w:rsidRDefault="00280688" w:rsidP="00E90BB6">
      <w:pPr>
        <w:pStyle w:val="NormalWeb"/>
        <w:spacing w:before="0" w:beforeAutospacing="0" w:after="0" w:afterAutospacing="0"/>
        <w:jc w:val="center"/>
        <w:rPr>
          <w:b/>
          <w:sz w:val="28"/>
          <w:szCs w:val="28"/>
        </w:rPr>
      </w:pPr>
    </w:p>
    <w:p w14:paraId="64B242B8" w14:textId="77777777" w:rsidR="00280688" w:rsidRDefault="00280688" w:rsidP="00E90BB6">
      <w:pPr>
        <w:pStyle w:val="NormalWeb"/>
        <w:spacing w:before="0" w:beforeAutospacing="0" w:after="0" w:afterAutospacing="0"/>
        <w:jc w:val="center"/>
        <w:rPr>
          <w:b/>
          <w:sz w:val="28"/>
          <w:szCs w:val="28"/>
        </w:rPr>
      </w:pPr>
    </w:p>
    <w:p w14:paraId="64A495AE" w14:textId="77777777" w:rsidR="00280688" w:rsidRDefault="00280688" w:rsidP="00E90BB6">
      <w:pPr>
        <w:pStyle w:val="NormalWeb"/>
        <w:spacing w:before="0" w:beforeAutospacing="0" w:after="0" w:afterAutospacing="0"/>
        <w:jc w:val="center"/>
        <w:rPr>
          <w:b/>
          <w:sz w:val="28"/>
          <w:szCs w:val="28"/>
        </w:rPr>
      </w:pPr>
    </w:p>
    <w:p w14:paraId="742D1CC7" w14:textId="77777777" w:rsidR="00280688" w:rsidRDefault="00280688" w:rsidP="00E90BB6">
      <w:pPr>
        <w:pStyle w:val="NormalWeb"/>
        <w:spacing w:before="0" w:beforeAutospacing="0" w:after="0" w:afterAutospacing="0"/>
        <w:jc w:val="center"/>
        <w:rPr>
          <w:b/>
          <w:sz w:val="28"/>
          <w:szCs w:val="28"/>
        </w:rPr>
      </w:pPr>
    </w:p>
    <w:p w14:paraId="3A6D6870" w14:textId="77777777" w:rsidR="00280688" w:rsidRDefault="00280688" w:rsidP="00E90BB6">
      <w:pPr>
        <w:pStyle w:val="NormalWeb"/>
        <w:spacing w:before="0" w:beforeAutospacing="0" w:after="0" w:afterAutospacing="0"/>
        <w:jc w:val="center"/>
        <w:rPr>
          <w:b/>
          <w:sz w:val="28"/>
          <w:szCs w:val="28"/>
        </w:rPr>
      </w:pPr>
    </w:p>
    <w:p w14:paraId="187A4767" w14:textId="77777777" w:rsidR="00280688" w:rsidRDefault="00280688" w:rsidP="00E90BB6">
      <w:pPr>
        <w:pStyle w:val="NormalWeb"/>
        <w:spacing w:before="0" w:beforeAutospacing="0" w:after="0" w:afterAutospacing="0"/>
        <w:jc w:val="center"/>
        <w:rPr>
          <w:b/>
          <w:sz w:val="28"/>
          <w:szCs w:val="28"/>
        </w:rPr>
      </w:pPr>
    </w:p>
    <w:p w14:paraId="5A10D89E" w14:textId="124C698F" w:rsidR="00A95426" w:rsidRPr="00280688" w:rsidRDefault="00A95426" w:rsidP="00E90BB6">
      <w:pPr>
        <w:pStyle w:val="NormalWeb"/>
        <w:spacing w:before="0" w:beforeAutospacing="0" w:after="0" w:afterAutospacing="0"/>
        <w:jc w:val="center"/>
        <w:rPr>
          <w:b/>
          <w:sz w:val="28"/>
          <w:szCs w:val="28"/>
        </w:rPr>
      </w:pPr>
      <w:r w:rsidRPr="00280688">
        <w:rPr>
          <w:b/>
          <w:sz w:val="28"/>
          <w:szCs w:val="28"/>
        </w:rPr>
        <w:lastRenderedPageBreak/>
        <w:t>Real Estate Investment: Assessing Knowledge of Property Valuation among Future Real Estate Professionals</w:t>
      </w:r>
    </w:p>
    <w:p w14:paraId="5352FE7D" w14:textId="77777777" w:rsidR="00A95426" w:rsidRPr="00BE4AF3" w:rsidRDefault="00A95426" w:rsidP="00E90BB6">
      <w:pPr>
        <w:spacing w:after="0" w:line="240" w:lineRule="auto"/>
        <w:jc w:val="center"/>
        <w:rPr>
          <w:rFonts w:ascii="Times New Roman" w:hAnsi="Times New Roman" w:cs="Times New Roman"/>
          <w:b/>
          <w:sz w:val="24"/>
          <w:szCs w:val="24"/>
        </w:rPr>
      </w:pPr>
    </w:p>
    <w:p w14:paraId="31F9DA20" w14:textId="77777777" w:rsidR="00A95426" w:rsidRPr="00BE4AF3" w:rsidRDefault="00A95426" w:rsidP="00E90BB6">
      <w:pPr>
        <w:spacing w:after="0" w:line="240" w:lineRule="auto"/>
        <w:jc w:val="center"/>
        <w:rPr>
          <w:rFonts w:ascii="Times New Roman" w:hAnsi="Times New Roman" w:cs="Times New Roman"/>
          <w:sz w:val="24"/>
          <w:szCs w:val="24"/>
        </w:rPr>
      </w:pPr>
      <w:r w:rsidRPr="00BE4AF3">
        <w:rPr>
          <w:rFonts w:ascii="Times New Roman" w:hAnsi="Times New Roman" w:cs="Times New Roman"/>
          <w:sz w:val="24"/>
          <w:szCs w:val="24"/>
          <w:vertAlign w:val="superscript"/>
        </w:rPr>
        <w:t>1</w:t>
      </w:r>
      <w:r w:rsidRPr="00BE4AF3">
        <w:rPr>
          <w:rFonts w:ascii="Times New Roman" w:hAnsi="Times New Roman" w:cs="Times New Roman"/>
          <w:sz w:val="24"/>
          <w:szCs w:val="24"/>
          <w:vertAlign w:val="superscript"/>
          <w:lang w:val="en-US"/>
        </w:rPr>
        <w:t xml:space="preserve">* </w:t>
      </w:r>
      <w:r w:rsidRPr="00BE4AF3">
        <w:rPr>
          <w:rFonts w:ascii="Times New Roman" w:hAnsi="Times New Roman" w:cs="Times New Roman"/>
          <w:sz w:val="24"/>
          <w:szCs w:val="24"/>
        </w:rPr>
        <w:t xml:space="preserve">Chiwuzie, A. and </w:t>
      </w:r>
      <w:r w:rsidRPr="00BE4AF3">
        <w:rPr>
          <w:rFonts w:ascii="Times New Roman" w:hAnsi="Times New Roman" w:cs="Times New Roman"/>
          <w:sz w:val="24"/>
          <w:szCs w:val="24"/>
          <w:vertAlign w:val="superscript"/>
        </w:rPr>
        <w:t>2</w:t>
      </w:r>
      <w:r w:rsidRPr="00BE4AF3">
        <w:rPr>
          <w:rFonts w:ascii="Times New Roman" w:hAnsi="Times New Roman" w:cs="Times New Roman"/>
          <w:sz w:val="24"/>
          <w:szCs w:val="24"/>
          <w:vertAlign w:val="superscript"/>
          <w:lang w:val="en-US"/>
        </w:rPr>
        <w:t xml:space="preserve"> </w:t>
      </w:r>
      <w:r w:rsidRPr="00BE4AF3">
        <w:rPr>
          <w:rFonts w:ascii="Times New Roman" w:hAnsi="Times New Roman" w:cs="Times New Roman"/>
          <w:sz w:val="24"/>
          <w:szCs w:val="24"/>
        </w:rPr>
        <w:t xml:space="preserve">Prince, E. M. </w:t>
      </w:r>
    </w:p>
    <w:p w14:paraId="5931D9DC" w14:textId="77777777" w:rsidR="00A95426" w:rsidRPr="00BE4AF3" w:rsidRDefault="00A95426" w:rsidP="00E90BB6">
      <w:pPr>
        <w:spacing w:after="0" w:line="240" w:lineRule="auto"/>
        <w:jc w:val="center"/>
        <w:rPr>
          <w:rFonts w:ascii="Times New Roman" w:hAnsi="Times New Roman" w:cs="Times New Roman"/>
          <w:sz w:val="24"/>
          <w:szCs w:val="24"/>
        </w:rPr>
      </w:pPr>
    </w:p>
    <w:p w14:paraId="687FBDC3" w14:textId="77777777" w:rsidR="00A95426" w:rsidRPr="00280688" w:rsidRDefault="00A95426" w:rsidP="00E90BB6">
      <w:pPr>
        <w:pStyle w:val="BodyText"/>
        <w:spacing w:after="0" w:line="240" w:lineRule="auto"/>
        <w:jc w:val="center"/>
        <w:rPr>
          <w:rFonts w:ascii="Times New Roman" w:hAnsi="Times New Roman"/>
          <w:bCs/>
        </w:rPr>
      </w:pPr>
      <w:r w:rsidRPr="00280688">
        <w:rPr>
          <w:rFonts w:ascii="Times New Roman" w:hAnsi="Times New Roman"/>
          <w:bCs/>
          <w:vertAlign w:val="superscript"/>
        </w:rPr>
        <w:t>1</w:t>
      </w:r>
      <w:r w:rsidRPr="00280688">
        <w:rPr>
          <w:rFonts w:ascii="Times New Roman" w:hAnsi="Times New Roman"/>
          <w:bCs/>
          <w:vertAlign w:val="superscript"/>
          <w:lang w:val="en-US"/>
        </w:rPr>
        <w:t xml:space="preserve"> </w:t>
      </w:r>
      <w:r w:rsidRPr="00280688">
        <w:rPr>
          <w:rFonts w:ascii="Times New Roman" w:hAnsi="Times New Roman"/>
          <w:bCs/>
        </w:rPr>
        <w:t>Department of Estate Management and Valuation, Federal Polytechnic Ede, Osun State, Nigeria.</w:t>
      </w:r>
    </w:p>
    <w:p w14:paraId="079FD0D0" w14:textId="77777777" w:rsidR="00A95426" w:rsidRPr="00280688" w:rsidRDefault="00A95426" w:rsidP="00E90BB6">
      <w:pPr>
        <w:pStyle w:val="BodyText"/>
        <w:spacing w:after="0" w:line="240" w:lineRule="auto"/>
        <w:jc w:val="center"/>
        <w:rPr>
          <w:rFonts w:ascii="Times New Roman" w:hAnsi="Times New Roman"/>
          <w:bCs/>
          <w:lang w:val="en-US"/>
        </w:rPr>
      </w:pPr>
      <w:r w:rsidRPr="00280688">
        <w:rPr>
          <w:rFonts w:ascii="Times New Roman" w:hAnsi="Times New Roman"/>
          <w:bCs/>
          <w:vertAlign w:val="superscript"/>
        </w:rPr>
        <w:t>2</w:t>
      </w:r>
      <w:r w:rsidRPr="00280688">
        <w:rPr>
          <w:rFonts w:ascii="Times New Roman" w:hAnsi="Times New Roman"/>
          <w:bCs/>
          <w:vertAlign w:val="superscript"/>
          <w:lang w:val="en-US"/>
        </w:rPr>
        <w:t xml:space="preserve"> </w:t>
      </w:r>
      <w:r w:rsidRPr="00280688">
        <w:rPr>
          <w:rFonts w:ascii="Times New Roman" w:hAnsi="Times New Roman"/>
          <w:bCs/>
          <w:lang w:val="en-US"/>
        </w:rPr>
        <w:t xml:space="preserve">Department </w:t>
      </w:r>
      <w:r w:rsidRPr="00280688">
        <w:rPr>
          <w:rFonts w:ascii="Times New Roman" w:hAnsi="Times New Roman"/>
          <w:bCs/>
        </w:rPr>
        <w:t>of Estate Management and Valuation, Federal Polytechnic Ede, Osun State, Nigeria.</w:t>
      </w:r>
    </w:p>
    <w:p w14:paraId="191A6F6A" w14:textId="77777777" w:rsidR="00A95426" w:rsidRPr="00280688" w:rsidRDefault="00A95426" w:rsidP="00E90BB6">
      <w:pPr>
        <w:pStyle w:val="BodyText"/>
        <w:spacing w:after="0" w:line="240" w:lineRule="auto"/>
        <w:ind w:firstLine="900"/>
        <w:jc w:val="center"/>
        <w:rPr>
          <w:rFonts w:ascii="Times New Roman" w:hAnsi="Times New Roman"/>
        </w:rPr>
      </w:pPr>
    </w:p>
    <w:p w14:paraId="263103A9" w14:textId="77777777" w:rsidR="00A95426" w:rsidRPr="00280688" w:rsidRDefault="00A95426" w:rsidP="00E90BB6">
      <w:pPr>
        <w:pStyle w:val="BodyText"/>
        <w:spacing w:after="0" w:line="240" w:lineRule="auto"/>
        <w:ind w:firstLine="900"/>
        <w:jc w:val="center"/>
        <w:rPr>
          <w:rFonts w:ascii="Times New Roman" w:hAnsi="Times New Roman"/>
          <w:bCs/>
        </w:rPr>
      </w:pPr>
      <w:r w:rsidRPr="00280688">
        <w:rPr>
          <w:rFonts w:ascii="Times New Roman" w:hAnsi="Times New Roman"/>
        </w:rPr>
        <w:t>Corresponding</w:t>
      </w:r>
      <w:r w:rsidRPr="00280688">
        <w:rPr>
          <w:rFonts w:ascii="Times New Roman" w:hAnsi="Times New Roman"/>
          <w:vertAlign w:val="superscript"/>
        </w:rPr>
        <w:t xml:space="preserve"> </w:t>
      </w:r>
      <w:r w:rsidRPr="00280688">
        <w:rPr>
          <w:rFonts w:ascii="Times New Roman" w:hAnsi="Times New Roman"/>
          <w:lang w:val="en-US"/>
        </w:rPr>
        <w:t xml:space="preserve">Author </w:t>
      </w:r>
      <w:r w:rsidRPr="00280688">
        <w:rPr>
          <w:rFonts w:ascii="Times New Roman" w:hAnsi="Times New Roman"/>
          <w:bCs/>
        </w:rPr>
        <w:t xml:space="preserve">E-mail: </w:t>
      </w:r>
      <w:r w:rsidRPr="00280688">
        <w:rPr>
          <w:rFonts w:ascii="Times New Roman" w:hAnsi="Times New Roman"/>
          <w:bCs/>
          <w:lang w:val="en-US"/>
        </w:rPr>
        <w:t xml:space="preserve">  </w:t>
      </w:r>
      <w:hyperlink r:id="rId64" w:history="1">
        <w:r w:rsidRPr="00280688">
          <w:rPr>
            <w:rStyle w:val="Hyperlink"/>
            <w:rFonts w:ascii="Times New Roman" w:eastAsiaTheme="majorEastAsia" w:hAnsi="Times New Roman"/>
            <w:color w:val="auto"/>
            <w:u w:val="none"/>
          </w:rPr>
          <w:t>okaugusta</w:t>
        </w:r>
        <w:r w:rsidRPr="00280688">
          <w:rPr>
            <w:rStyle w:val="Hyperlink"/>
            <w:rFonts w:ascii="Times New Roman" w:hAnsi="Times New Roman"/>
            <w:color w:val="auto"/>
            <w:u w:val="none"/>
          </w:rPr>
          <w:t>@yahoo.com</w:t>
        </w:r>
      </w:hyperlink>
    </w:p>
    <w:p w14:paraId="41662F2E" w14:textId="77777777" w:rsidR="005E515E" w:rsidRPr="00BE4AF3" w:rsidRDefault="005E515E" w:rsidP="00E90BB6">
      <w:pPr>
        <w:spacing w:after="0" w:line="240" w:lineRule="auto"/>
        <w:rPr>
          <w:rFonts w:ascii="Times New Roman" w:hAnsi="Times New Roman" w:cs="Times New Roman"/>
          <w:b/>
          <w:sz w:val="24"/>
          <w:szCs w:val="24"/>
        </w:rPr>
      </w:pPr>
    </w:p>
    <w:p w14:paraId="082CC7D0" w14:textId="77777777" w:rsidR="00A95426" w:rsidRPr="00BE4AF3" w:rsidRDefault="00A95426" w:rsidP="00E90BB6">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LICFES 2025-029 – FP7</w:t>
      </w:r>
    </w:p>
    <w:p w14:paraId="38FA30B5" w14:textId="77777777" w:rsidR="00A95426" w:rsidRPr="00BE4AF3" w:rsidRDefault="00A95426" w:rsidP="00E90BB6">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Abstract</w:t>
      </w:r>
    </w:p>
    <w:p w14:paraId="712B67CB" w14:textId="77777777" w:rsidR="00A95426" w:rsidRPr="00BE4AF3" w:rsidRDefault="00A95426" w:rsidP="00E90BB6">
      <w:pPr>
        <w:pStyle w:val="NormalWeb"/>
        <w:spacing w:before="0" w:beforeAutospacing="0" w:after="0" w:afterAutospacing="0"/>
        <w:jc w:val="both"/>
      </w:pPr>
      <w:r w:rsidRPr="00BE4AF3">
        <w:t>This study investigates the level of knowledge students possess regarding property valuation methods, a core component of real estate investment education. Accurate property valuation is fundamental to informed investment decisions, and proficiency in valuation techniques is crucial for future professionals in the real estate sector. The research aims to assess the understanding of various valuation methods such as comparative, income, cost, and residual methods as well as pedagogical approaches and learner experiences within the estate management and valuation discipline. A structured questionnaire was used to collect quantitative data from 124 graduating students. The findings reveal a high to moderate level of awareness, with most students demonstrating familiarity with the comparative, income and cost methods, while showing limited understanding of more complex methods. Gaps in practical application was also observed. The study identifies contributing factors, including curriculum limitations, insufficient field exposure, and theoretical bias in teaching methods. It recommends curriculum enhancement, incorporation of real-life case studies, and stronger industry-academic linkages to deepen practical knowledge. Overall, the study underscores the need for a more robust pedagogical framework to better equip students with essential valuation competencies necessary for effective participation in the real estate investment market.</w:t>
      </w:r>
    </w:p>
    <w:p w14:paraId="2939C0FF" w14:textId="77777777" w:rsidR="00A95426" w:rsidRPr="00BE4AF3" w:rsidRDefault="00A95426" w:rsidP="00E90BB6">
      <w:pPr>
        <w:spacing w:after="0" w:line="240" w:lineRule="auto"/>
        <w:jc w:val="both"/>
        <w:rPr>
          <w:rFonts w:ascii="Times New Roman" w:hAnsi="Times New Roman" w:cs="Times New Roman"/>
          <w:sz w:val="24"/>
          <w:szCs w:val="24"/>
        </w:rPr>
      </w:pPr>
    </w:p>
    <w:p w14:paraId="27ADBFFE" w14:textId="77777777" w:rsidR="00A95426" w:rsidRPr="00BE4AF3" w:rsidRDefault="00A95426" w:rsidP="00AE2454">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Keywords:</w:t>
      </w:r>
      <w:r w:rsidRPr="00BE4AF3">
        <w:rPr>
          <w:rFonts w:ascii="Times New Roman" w:hAnsi="Times New Roman" w:cs="Times New Roman"/>
          <w:sz w:val="24"/>
          <w:szCs w:val="24"/>
        </w:rPr>
        <w:t xml:space="preserve"> Contemporary methods, Conventional methods, Student competency, Real Estate Education, Valuation techniques.</w:t>
      </w:r>
    </w:p>
    <w:p w14:paraId="4FAB4671" w14:textId="77777777" w:rsidR="00A95426" w:rsidRPr="00BE4AF3" w:rsidRDefault="00A95426" w:rsidP="00E90BB6">
      <w:pPr>
        <w:spacing w:after="0" w:line="240" w:lineRule="auto"/>
        <w:rPr>
          <w:rFonts w:ascii="Times New Roman" w:hAnsi="Times New Roman" w:cs="Times New Roman"/>
          <w:sz w:val="24"/>
          <w:szCs w:val="24"/>
        </w:rPr>
      </w:pPr>
    </w:p>
    <w:p w14:paraId="78BA4EB7" w14:textId="77777777" w:rsidR="00A84E96" w:rsidRPr="00BE4AF3" w:rsidRDefault="00A84E96" w:rsidP="00A84E96">
      <w:pPr>
        <w:tabs>
          <w:tab w:val="left" w:pos="327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Introduction</w:t>
      </w:r>
    </w:p>
    <w:p w14:paraId="1E6AB160" w14:textId="77777777" w:rsidR="00A84E96" w:rsidRPr="00BE4AF3" w:rsidRDefault="00A84E96" w:rsidP="00A10321">
      <w:pPr>
        <w:spacing w:after="0" w:line="240" w:lineRule="auto"/>
        <w:jc w:val="both"/>
        <w:rPr>
          <w:rFonts w:ascii="Times New Roman" w:hAnsi="Times New Roman" w:cs="Times New Roman"/>
          <w:b/>
          <w:sz w:val="24"/>
          <w:szCs w:val="24"/>
        </w:rPr>
      </w:pPr>
      <w:r w:rsidRPr="00BE4AF3">
        <w:rPr>
          <w:rFonts w:ascii="Times New Roman" w:eastAsia="Times New Roman" w:hAnsi="Times New Roman" w:cs="Times New Roman"/>
          <w:sz w:val="24"/>
          <w:szCs w:val="24"/>
          <w:lang w:eastAsia="en-GB"/>
        </w:rPr>
        <w:t>The real estate sector plays a pivotal role in national economic growth, offering significant opportunities for wealth creation, infrastructure development, and investment. At the core of real estate investment lies property valuation—a critical process that determines the market value of properties and informs decisions related to acquisition, disposal, leasing, taxation, financing, and asset management. For investment decisions to be effective, they must be based on accurate and reliable valuation (</w:t>
      </w:r>
      <w:r w:rsidRPr="00BE4AF3">
        <w:rPr>
          <w:rFonts w:ascii="Times New Roman" w:hAnsi="Times New Roman" w:cs="Times New Roman"/>
          <w:sz w:val="24"/>
          <w:szCs w:val="24"/>
        </w:rPr>
        <w:t>Alzain et al., 2022)</w:t>
      </w:r>
      <w:r w:rsidRPr="00BE4AF3">
        <w:rPr>
          <w:rFonts w:ascii="Times New Roman" w:eastAsia="Times New Roman" w:hAnsi="Times New Roman" w:cs="Times New Roman"/>
          <w:sz w:val="24"/>
          <w:szCs w:val="24"/>
          <w:lang w:eastAsia="en-GB"/>
        </w:rPr>
        <w:t>. This underscores the need for future professionals in the field to possess a strong understanding of valuation principles and techniques.</w:t>
      </w:r>
    </w:p>
    <w:p w14:paraId="7E23831E" w14:textId="77777777" w:rsidR="00A84E96" w:rsidRPr="00BE4AF3" w:rsidRDefault="00A84E96" w:rsidP="00A10321">
      <w:pPr>
        <w:spacing w:after="0" w:line="240" w:lineRule="auto"/>
        <w:jc w:val="both"/>
        <w:rPr>
          <w:rFonts w:ascii="Times New Roman" w:hAnsi="Times New Roman" w:cs="Times New Roman"/>
          <w:b/>
          <w:sz w:val="24"/>
          <w:szCs w:val="24"/>
        </w:rPr>
      </w:pPr>
      <w:r w:rsidRPr="00BE4AF3">
        <w:rPr>
          <w:rFonts w:ascii="Times New Roman" w:eastAsia="Times New Roman" w:hAnsi="Times New Roman" w:cs="Times New Roman"/>
          <w:sz w:val="24"/>
          <w:szCs w:val="24"/>
          <w:lang w:eastAsia="en-GB"/>
        </w:rPr>
        <w:t xml:space="preserve">Property valuation methods are broadly categorized into conventional and contemporary approaches. Conventional methods include the comparative, cost, income capitalization methods. These are widely taught and traditionally applied in valuation practice, relying on historical data, economic principles, and market comparable. In contrast, contemporary methods have emerged in response to advancements in technology and data science. These include automated valuation models (AVMs), hedonic pricing models and GIS-based valuation systems </w:t>
      </w:r>
      <w:r w:rsidRPr="00BE4AF3">
        <w:rPr>
          <w:rFonts w:ascii="Times New Roman" w:hAnsi="Times New Roman" w:cs="Times New Roman"/>
          <w:sz w:val="24"/>
          <w:szCs w:val="24"/>
          <w:lang w:eastAsia="en-ZA"/>
        </w:rPr>
        <w:t>(Zeicu et al., 2017)</w:t>
      </w:r>
      <w:r w:rsidRPr="00BE4AF3">
        <w:rPr>
          <w:rFonts w:ascii="Times New Roman" w:eastAsia="Times New Roman" w:hAnsi="Times New Roman" w:cs="Times New Roman"/>
          <w:sz w:val="24"/>
          <w:szCs w:val="24"/>
          <w:lang w:eastAsia="en-GB"/>
        </w:rPr>
        <w:t xml:space="preserve">. </w:t>
      </w:r>
      <w:r w:rsidRPr="00BE4AF3">
        <w:rPr>
          <w:rFonts w:ascii="Times New Roman" w:eastAsia="Times New Roman" w:hAnsi="Times New Roman" w:cs="Times New Roman"/>
          <w:sz w:val="24"/>
          <w:szCs w:val="24"/>
          <w:lang w:eastAsia="en-GB"/>
        </w:rPr>
        <w:lastRenderedPageBreak/>
        <w:t>Contemporary methods enhance valuation accuracy, efficiency, and predictive capabilities, making them increasingly relevant in today’s data-driven real estate markets.</w:t>
      </w:r>
    </w:p>
    <w:p w14:paraId="336A0E89" w14:textId="77777777" w:rsidR="00A84E96" w:rsidRPr="00BE4AF3" w:rsidRDefault="00A84E96" w:rsidP="00A10321">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Real estate education is expected to equip students with the theoretical knowledge and practical skills needed to apply both conventional and contemporary valuation methods effectively. However, concerns have been raised regarding the effectiveness of current teaching and learning approaches in preparing students for professional valuation practice. Many students demonstrate familiarity with basic valuation concepts but lack the ability to apply them in real-life scenarios or engage with modern valuation tools (</w:t>
      </w:r>
      <w:r w:rsidRPr="00BE4AF3">
        <w:rPr>
          <w:rFonts w:ascii="Times New Roman" w:hAnsi="Times New Roman" w:cs="Times New Roman"/>
          <w:sz w:val="24"/>
          <w:szCs w:val="24"/>
          <w:lang w:eastAsia="en-ZA"/>
        </w:rPr>
        <w:t>Oloke et al., 2017)</w:t>
      </w:r>
      <w:r w:rsidRPr="00BE4AF3">
        <w:rPr>
          <w:rFonts w:ascii="Times New Roman" w:eastAsia="Times New Roman" w:hAnsi="Times New Roman" w:cs="Times New Roman"/>
          <w:sz w:val="24"/>
          <w:szCs w:val="24"/>
          <w:lang w:eastAsia="en-GB"/>
        </w:rPr>
        <w:t>. Challenges such as outdated curricula, limited practical exposure, insufficient technology integration, and overemphasis on theory may contribute to this gap.</w:t>
      </w:r>
    </w:p>
    <w:p w14:paraId="06BC6255" w14:textId="77777777" w:rsidR="00A84E96" w:rsidRPr="00BE4AF3" w:rsidRDefault="00A84E96" w:rsidP="00A10321">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 xml:space="preserve">Despite the centrality of valuation in investment analysis, it remains unclear to what extent graduating students in estate management and valuation programmes are adequately prepared to handle real-world valuation tasks. This study, therefore, seeks to assess the levels of knowledge and familiarity with conventional and contemporary property valuation methods among graduating students. It also aims to explore how pedagogical approaches and learner experiences shape their valuation competencies, as well as strategies for improving the teaching and learning of property valuation in real estate education. </w:t>
      </w:r>
      <w:r w:rsidRPr="00BE4AF3">
        <w:rPr>
          <w:rFonts w:ascii="Times New Roman" w:hAnsi="Times New Roman" w:cs="Times New Roman"/>
          <w:sz w:val="24"/>
          <w:szCs w:val="24"/>
        </w:rPr>
        <w:t>This study is significant for its potential to guide curriculum reforms and teaching strategies that foster industry-ready professionals. It identifies instructional gaps, offers practical insights for educators, highlights self-improvement areas for students, and helps align academic training with professional valuation standards.</w:t>
      </w:r>
    </w:p>
    <w:p w14:paraId="4C10FAB6" w14:textId="77777777" w:rsidR="00A10321" w:rsidRDefault="00A10321" w:rsidP="00A10321">
      <w:pPr>
        <w:spacing w:after="0" w:line="240" w:lineRule="auto"/>
        <w:jc w:val="both"/>
        <w:rPr>
          <w:rFonts w:ascii="Times New Roman" w:hAnsi="Times New Roman" w:cs="Times New Roman"/>
          <w:b/>
          <w:sz w:val="24"/>
          <w:szCs w:val="24"/>
        </w:rPr>
      </w:pPr>
    </w:p>
    <w:p w14:paraId="37632969" w14:textId="77777777" w:rsidR="00A84E96" w:rsidRPr="00BE4AF3" w:rsidRDefault="00A84E96" w:rsidP="00A10321">
      <w:pPr>
        <w:spacing w:after="0" w:line="240" w:lineRule="auto"/>
        <w:jc w:val="both"/>
        <w:rPr>
          <w:rStyle w:val="Strong"/>
          <w:rFonts w:ascii="Times New Roman" w:hAnsi="Times New Roman" w:cs="Times New Roman"/>
          <w:sz w:val="24"/>
          <w:szCs w:val="24"/>
        </w:rPr>
      </w:pPr>
      <w:r w:rsidRPr="00BE4AF3">
        <w:rPr>
          <w:rStyle w:val="Strong"/>
          <w:rFonts w:ascii="Times New Roman" w:hAnsi="Times New Roman" w:cs="Times New Roman"/>
          <w:sz w:val="24"/>
          <w:szCs w:val="24"/>
        </w:rPr>
        <w:t>Literature Review</w:t>
      </w:r>
    </w:p>
    <w:p w14:paraId="7238780F" w14:textId="77777777" w:rsidR="00A84E96" w:rsidRPr="00BE4AF3" w:rsidRDefault="00A84E96" w:rsidP="00A10321">
      <w:pPr>
        <w:spacing w:after="0" w:line="240" w:lineRule="auto"/>
        <w:jc w:val="both"/>
        <w:rPr>
          <w:rStyle w:val="Strong"/>
          <w:rFonts w:ascii="Times New Roman" w:hAnsi="Times New Roman" w:cs="Times New Roman"/>
          <w:b w:val="0"/>
          <w:i/>
          <w:sz w:val="24"/>
          <w:szCs w:val="24"/>
        </w:rPr>
      </w:pPr>
      <w:r w:rsidRPr="00BE4AF3">
        <w:rPr>
          <w:rStyle w:val="Strong"/>
          <w:rFonts w:ascii="Times New Roman" w:hAnsi="Times New Roman" w:cs="Times New Roman"/>
          <w:i/>
          <w:sz w:val="24"/>
          <w:szCs w:val="24"/>
        </w:rPr>
        <w:t>The Role of Property Valuation in Real Estate Investment</w:t>
      </w:r>
    </w:p>
    <w:p w14:paraId="7B62CC42" w14:textId="77777777" w:rsidR="00A84E96" w:rsidRPr="00BE4AF3" w:rsidRDefault="00A84E96" w:rsidP="00A10321">
      <w:pPr>
        <w:spacing w:after="0" w:line="240" w:lineRule="auto"/>
        <w:jc w:val="both"/>
        <w:rPr>
          <w:rFonts w:ascii="Times New Roman" w:hAnsi="Times New Roman" w:cs="Times New Roman"/>
          <w:b/>
          <w:sz w:val="24"/>
          <w:szCs w:val="24"/>
        </w:rPr>
      </w:pPr>
      <w:r w:rsidRPr="00BE4AF3">
        <w:rPr>
          <w:rFonts w:ascii="Times New Roman" w:eastAsia="Times New Roman" w:hAnsi="Times New Roman" w:cs="Times New Roman"/>
          <w:sz w:val="24"/>
          <w:szCs w:val="24"/>
          <w:lang w:eastAsia="en-GB"/>
        </w:rPr>
        <w:t>Property valuation underpins the real estate investment process, guiding decisions in transactions, development feasibility, financing, taxation, insurance, and asset management (Büyükkaraciğan, 2021; Baum &amp; Crosby, 2014). Accurate valuations align asset prices with market worth and risk, reducing uncertainty for investors and stakeholders (Alzain et al., 2022). Investors rely on them to assess profitability, ROI, and asset performance (Xiong et al., 2021). As markets grow more competitive and data-driven, demand for precise, defensible valuation reports is rising, making valuation competence a critical professional skill (Topraklı, 2025).</w:t>
      </w:r>
    </w:p>
    <w:p w14:paraId="18430713" w14:textId="77777777" w:rsidR="00A84E96" w:rsidRPr="00BE4AF3" w:rsidRDefault="00A84E96" w:rsidP="00A10321">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Valuation methods fall into two categories: conventional and contemporary. Conventional approaches use historical data, economic principles, and market comparables, while contemporary methods driven by advances in technology and data science require technical expertise, robust data infrastructure, and interdisciplinary knowledge. These modern approaches enhance accuracy, efficiency, and predictive capacity, making them increasingly vital in today’s data-driven real estate markets (Topraklı, 2025; Lee et al., 2024).</w:t>
      </w:r>
    </w:p>
    <w:p w14:paraId="36534985" w14:textId="77777777" w:rsidR="00A10321" w:rsidRDefault="00A10321" w:rsidP="00A10321">
      <w:pPr>
        <w:pStyle w:val="NormalWeb"/>
        <w:spacing w:before="0" w:beforeAutospacing="0" w:after="0" w:afterAutospacing="0"/>
        <w:jc w:val="both"/>
        <w:rPr>
          <w:rStyle w:val="Strong"/>
          <w:i/>
        </w:rPr>
      </w:pPr>
    </w:p>
    <w:p w14:paraId="5E732A8F" w14:textId="426EF900" w:rsidR="00A84E96" w:rsidRPr="00BE4AF3" w:rsidRDefault="00A84E96" w:rsidP="00A10321">
      <w:pPr>
        <w:pStyle w:val="NormalWeb"/>
        <w:spacing w:before="0" w:beforeAutospacing="0" w:after="0" w:afterAutospacing="0"/>
        <w:jc w:val="both"/>
        <w:rPr>
          <w:rStyle w:val="Strong"/>
          <w:b w:val="0"/>
          <w:bCs w:val="0"/>
          <w:i/>
        </w:rPr>
      </w:pPr>
      <w:r w:rsidRPr="00BE4AF3">
        <w:rPr>
          <w:rStyle w:val="Strong"/>
          <w:i/>
        </w:rPr>
        <w:t>Valuation Methods: Knowledge and Familiarity</w:t>
      </w:r>
    </w:p>
    <w:p w14:paraId="033494CF" w14:textId="77777777" w:rsidR="00A84E96" w:rsidRPr="00BE4AF3" w:rsidRDefault="00A84E96" w:rsidP="00A10321">
      <w:pPr>
        <w:pStyle w:val="NormalWeb"/>
        <w:spacing w:before="0" w:beforeAutospacing="0" w:after="0" w:afterAutospacing="0"/>
        <w:jc w:val="both"/>
        <w:rPr>
          <w:i/>
        </w:rPr>
      </w:pPr>
      <w:r w:rsidRPr="00BE4AF3">
        <w:rPr>
          <w:rStyle w:val="Strong"/>
          <w:i/>
        </w:rPr>
        <w:t>Conventional Valuation Methods</w:t>
      </w:r>
      <w:r w:rsidRPr="00BE4AF3">
        <w:rPr>
          <w:b/>
          <w:i/>
        </w:rPr>
        <w:t>:</w:t>
      </w:r>
      <w:r w:rsidRPr="00BE4AF3">
        <w:rPr>
          <w:i/>
        </w:rPr>
        <w:t xml:space="preserve"> </w:t>
      </w:r>
      <w:r w:rsidRPr="00BE4AF3">
        <w:t xml:space="preserve">Conventional valuation techniques remain foundational in both academic instruction and professional practice. These include the </w:t>
      </w:r>
      <w:r w:rsidRPr="00BE4AF3">
        <w:rPr>
          <w:rStyle w:val="Strong"/>
        </w:rPr>
        <w:t>comparative (sales) method</w:t>
      </w:r>
      <w:r w:rsidRPr="00BE4AF3">
        <w:rPr>
          <w:b/>
        </w:rPr>
        <w:t xml:space="preserve">, </w:t>
      </w:r>
      <w:r w:rsidRPr="00BE4AF3">
        <w:rPr>
          <w:rStyle w:val="Strong"/>
        </w:rPr>
        <w:t>cost method</w:t>
      </w:r>
      <w:r w:rsidRPr="00BE4AF3">
        <w:rPr>
          <w:b/>
        </w:rPr>
        <w:t xml:space="preserve">, </w:t>
      </w:r>
      <w:r w:rsidRPr="00BE4AF3">
        <w:rPr>
          <w:rStyle w:val="Strong"/>
        </w:rPr>
        <w:t>income capitalization method</w:t>
      </w:r>
      <w:r w:rsidRPr="00BE4AF3">
        <w:rPr>
          <w:b/>
        </w:rPr>
        <w:t>,</w:t>
      </w:r>
      <w:r w:rsidRPr="00BE4AF3">
        <w:t xml:space="preserve"> profit and </w:t>
      </w:r>
      <w:r w:rsidRPr="00BE4AF3">
        <w:rPr>
          <w:rStyle w:val="Strong"/>
        </w:rPr>
        <w:t>residual method</w:t>
      </w:r>
      <w:r w:rsidRPr="00BE4AF3">
        <w:rPr>
          <w:b/>
        </w:rPr>
        <w:t>.</w:t>
      </w:r>
      <w:r w:rsidRPr="00BE4AF3">
        <w:t xml:space="preserve"> </w:t>
      </w:r>
      <w:r w:rsidRPr="00BE4AF3">
        <w:rPr>
          <w:color w:val="222222"/>
          <w:shd w:val="clear" w:color="auto" w:fill="FFFFFF"/>
        </w:rPr>
        <w:t xml:space="preserve">Mooya (2015) </w:t>
      </w:r>
      <w:r w:rsidRPr="00BE4AF3">
        <w:t>confirm that these methods are taught extensively in most valuation curricula, especially in developing countries where traditional practices dominate.</w:t>
      </w:r>
      <w:r w:rsidRPr="00BE4AF3">
        <w:rPr>
          <w:i/>
        </w:rPr>
        <w:t xml:space="preserve"> </w:t>
      </w:r>
      <w:r w:rsidRPr="00BE4AF3">
        <w:t xml:space="preserve">However, familiarity and depth of understanding vary. While students often grasp the comparative and cost methods due to their relative simplicity and market orientation, they tend to struggle with more complex approaches such as the income and residual methods. The latter require proficiency in financial modelling and </w:t>
      </w:r>
      <w:r w:rsidRPr="00BE4AF3">
        <w:lastRenderedPageBreak/>
        <w:t>development appraisal, which are often under-taught or poorly contextualized in Nigerian universities. Oloke et al. (2017) noted that certain aspects of the fundamentals of property investment valuation are not satisfactorily taught, and Nigerian students continue to find it difficult to understand these techniques.</w:t>
      </w:r>
    </w:p>
    <w:p w14:paraId="133D690C" w14:textId="77777777" w:rsidR="00A84E96" w:rsidRDefault="00A84E96" w:rsidP="00A10321">
      <w:pPr>
        <w:pStyle w:val="NormalWeb"/>
        <w:spacing w:before="0" w:beforeAutospacing="0" w:after="0" w:afterAutospacing="0"/>
        <w:jc w:val="both"/>
      </w:pPr>
      <w:r w:rsidRPr="00BE4AF3">
        <w:rPr>
          <w:rStyle w:val="Strong"/>
          <w:i/>
        </w:rPr>
        <w:t>Contemporary Valuation Methods</w:t>
      </w:r>
      <w:r w:rsidRPr="00BE4AF3">
        <w:rPr>
          <w:i/>
        </w:rPr>
        <w:t xml:space="preserve">: </w:t>
      </w:r>
      <w:r w:rsidRPr="00BE4AF3">
        <w:t>Contemporary valuation techniques have gained attention due to advances in technology and the growing importance of data analytics in real estate. These include DCF models,</w:t>
      </w:r>
      <w:r w:rsidRPr="00BE4AF3">
        <w:rPr>
          <w:rStyle w:val="Strong"/>
        </w:rPr>
        <w:t xml:space="preserve"> </w:t>
      </w:r>
      <w:r w:rsidRPr="0014525F">
        <w:rPr>
          <w:rStyle w:val="Strong"/>
          <w:b w:val="0"/>
          <w:bCs w:val="0"/>
        </w:rPr>
        <w:t>Automated Valuation Models (AVMs)</w:t>
      </w:r>
      <w:r w:rsidRPr="0014525F">
        <w:rPr>
          <w:b/>
          <w:bCs/>
        </w:rPr>
        <w:t xml:space="preserve">, </w:t>
      </w:r>
      <w:r w:rsidRPr="0014525F">
        <w:rPr>
          <w:rStyle w:val="Strong"/>
          <w:b w:val="0"/>
          <w:bCs w:val="0"/>
        </w:rPr>
        <w:t>hedonic pricing models</w:t>
      </w:r>
      <w:r w:rsidRPr="0014525F">
        <w:rPr>
          <w:b/>
          <w:bCs/>
        </w:rPr>
        <w:t xml:space="preserve">, </w:t>
      </w:r>
      <w:r w:rsidRPr="0014525F">
        <w:rPr>
          <w:rStyle w:val="Strong"/>
          <w:b w:val="0"/>
          <w:bCs w:val="0"/>
        </w:rPr>
        <w:t>GIS-assisted valuation</w:t>
      </w:r>
      <w:r w:rsidRPr="0014525F">
        <w:rPr>
          <w:b/>
          <w:bCs/>
        </w:rPr>
        <w:t xml:space="preserve">, </w:t>
      </w:r>
      <w:r w:rsidRPr="0014525F">
        <w:t>and the use of</w:t>
      </w:r>
      <w:r w:rsidRPr="0014525F">
        <w:rPr>
          <w:b/>
          <w:bCs/>
        </w:rPr>
        <w:t xml:space="preserve"> </w:t>
      </w:r>
      <w:r w:rsidRPr="0014525F">
        <w:rPr>
          <w:rStyle w:val="Strong"/>
          <w:b w:val="0"/>
          <w:bCs w:val="0"/>
        </w:rPr>
        <w:t>machine learning or AI.</w:t>
      </w:r>
      <w:r w:rsidRPr="00BE4AF3">
        <w:t xml:space="preserve"> These methods improve valuation precision and efficiency and are increasingly used in advanced property markets (</w:t>
      </w:r>
      <w:r w:rsidRPr="00BE4AF3">
        <w:rPr>
          <w:rFonts w:eastAsiaTheme="minorHAnsi"/>
          <w:lang w:eastAsia="en-ZA"/>
        </w:rPr>
        <w:t>Zeicu et al., 2017)</w:t>
      </w:r>
      <w:r w:rsidRPr="00BE4AF3">
        <w:t>.  In Nigeria, however, Chiwuzie et al. (2019) shows that most students lack exposure to these techniques, mainly due to curriculum limitations, lack of technical resources, and low institutional adoption. Consequently, graduates often enter the workforce unfamiliar with technologies used globally in real estate appraisal.</w:t>
      </w:r>
    </w:p>
    <w:p w14:paraId="03B556AE" w14:textId="77777777" w:rsidR="0014525F" w:rsidRPr="00BE4AF3" w:rsidRDefault="0014525F" w:rsidP="00A10321">
      <w:pPr>
        <w:pStyle w:val="NormalWeb"/>
        <w:spacing w:before="0" w:beforeAutospacing="0" w:after="0" w:afterAutospacing="0"/>
        <w:jc w:val="both"/>
      </w:pPr>
    </w:p>
    <w:p w14:paraId="35F3AC68" w14:textId="77777777" w:rsidR="00A84E96" w:rsidRPr="00BE4AF3" w:rsidRDefault="00A84E96" w:rsidP="00A10321">
      <w:pPr>
        <w:pStyle w:val="NormalWeb"/>
        <w:spacing w:before="0" w:beforeAutospacing="0" w:after="0" w:afterAutospacing="0"/>
        <w:jc w:val="both"/>
        <w:rPr>
          <w:rStyle w:val="Strong"/>
          <w:b w:val="0"/>
          <w:i/>
        </w:rPr>
      </w:pPr>
      <w:r w:rsidRPr="00BE4AF3">
        <w:rPr>
          <w:rStyle w:val="Strong"/>
          <w:i/>
        </w:rPr>
        <w:t>Pedagogical Approaches and Learner Experiences</w:t>
      </w:r>
    </w:p>
    <w:p w14:paraId="6029E15A" w14:textId="77777777" w:rsidR="00A84E96" w:rsidRPr="00BE4AF3" w:rsidRDefault="00A84E96" w:rsidP="00A10321">
      <w:pPr>
        <w:pStyle w:val="NormalWeb"/>
        <w:spacing w:before="0" w:beforeAutospacing="0" w:after="0" w:afterAutospacing="0"/>
        <w:jc w:val="both"/>
      </w:pPr>
      <w:r w:rsidRPr="00BE4AF3">
        <w:t>Pedagogy plays a pivotal role in developing students’ valuation competencies. Lecture-based teaching without interactive or practical components limits critical thinking and application skills (Vaghela &amp; Parsana, 2024). Active learning methods such as case-based learning, group projects, simulations, and industry-led sessions foster deeper understanding (Vorsah &amp; Oginni, 2025). Limited exposure to fieldwork, valuation software, and market data analysis reduces students’ confidence and competence (Rusmawan et al., 2025). Outcomes also depend on resource quality, instructor engagement, class size, and feedback (Martinez &amp; Gomez, 2025; Akintayo et al., 2024). Without real-life case studies or interactive valuation discussions, learning often remains superficial and exam-focused.</w:t>
      </w:r>
    </w:p>
    <w:p w14:paraId="41B73627" w14:textId="77777777" w:rsidR="00A84E96" w:rsidRDefault="00A84E96" w:rsidP="00A10321">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A key challenge is the dominance of theory-driven teaching with minimal practical application. Complex methods such as the income and residual approaches—are often poorly explained despite their reliance on strong financial skills (Oloke et al., 2017). Students also have limited access to essential tools like valuation software, digital platforms, and market databases (Abidoye et al., 2024; Lee et al., 2024). The lack of site inspections and professional placements further restricts experiential learning (Labib &amp; Abdelsattar, 2025). Overcrowded classrooms and insufficient personalized support, particularly in public institutions, worsen the problem. The absence of simulations or scenario-based assessments hampers applied knowledge development (Abidoye et al., 2024; Zeicu et al., 2017). Collectively, these challenges weaken competence and confidence in performing real-world valuations. Collaborative learning and discussion are essential for building higher-order thinking skills in professional disciplines like valuation (Abidoye et al., 2024; Zeicu et al., 2017).</w:t>
      </w:r>
    </w:p>
    <w:p w14:paraId="30204759" w14:textId="77777777" w:rsidR="0014525F" w:rsidRPr="00BE4AF3" w:rsidRDefault="0014525F" w:rsidP="00A10321">
      <w:pPr>
        <w:spacing w:after="0" w:line="240" w:lineRule="auto"/>
        <w:jc w:val="both"/>
        <w:rPr>
          <w:rFonts w:ascii="Times New Roman" w:eastAsia="Times New Roman" w:hAnsi="Times New Roman" w:cs="Times New Roman"/>
          <w:sz w:val="24"/>
          <w:szCs w:val="24"/>
          <w:lang w:eastAsia="en-GB"/>
        </w:rPr>
      </w:pPr>
    </w:p>
    <w:p w14:paraId="2CA544B2" w14:textId="77777777" w:rsidR="00A84E96" w:rsidRPr="00BE4AF3" w:rsidRDefault="00A84E96" w:rsidP="00A10321">
      <w:pPr>
        <w:pStyle w:val="NormalWeb"/>
        <w:spacing w:before="0" w:beforeAutospacing="0" w:after="0" w:afterAutospacing="0"/>
        <w:rPr>
          <w:b/>
          <w:i/>
        </w:rPr>
      </w:pPr>
      <w:r w:rsidRPr="00BE4AF3">
        <w:rPr>
          <w:rStyle w:val="Strong"/>
          <w:i/>
        </w:rPr>
        <w:t>Suggested Improvements for Valuation Instruction</w:t>
      </w:r>
    </w:p>
    <w:p w14:paraId="5B4921ED" w14:textId="77777777" w:rsidR="00A84E96" w:rsidRPr="00BE4AF3" w:rsidRDefault="00A84E96" w:rsidP="00A10321">
      <w:pPr>
        <w:pStyle w:val="NormalWeb"/>
        <w:pBdr>
          <w:bottom w:val="single" w:sz="4" w:space="0" w:color="auto"/>
        </w:pBdr>
        <w:spacing w:before="0" w:beforeAutospacing="0" w:after="0" w:afterAutospacing="0"/>
        <w:jc w:val="both"/>
      </w:pPr>
      <w:r w:rsidRPr="00BE4AF3">
        <w:t xml:space="preserve">Scholars recommend enhancing property valuation education by integrating real-life case studies, project-based learning, and practical exposure through field visits, industry placements, and professional engagement (Yiu &amp; Cheung, 2023; Yam &amp; Rossini, 2010; Fixen, 2024; Halvitigala et al., 2017; Zhang &amp; Zhai, 2013). Guest lectures and practitioner-led workshops can connect students with current market trends (Millington, 2013). PropTech education should blend dedicated technology modules with integration into existing real estate courses, reflecting the growing role of IT in the sector (Abidoye et al., 2024; Nanda &amp; Oladiran, 2021; Hou &amp; Wu, 2020). The use of valuation software and data tools such as ARGUS, Excel modelling, and GIS can build </w:t>
      </w:r>
      <w:r w:rsidRPr="00BE4AF3">
        <w:lastRenderedPageBreak/>
        <w:t>technical competence (Akinola et al., 2021). A student-centred approach involving group discussions, simulations, and reflective tasks is encouraged (Cheung, 2023; Yam &amp; Rossini, 2010), alongside assessments that include practical assignments to test application skills (Poliak, 2023).</w:t>
      </w:r>
    </w:p>
    <w:p w14:paraId="75D41E31" w14:textId="77777777" w:rsidR="00FB5F15" w:rsidRDefault="00FB5F15" w:rsidP="00A10321">
      <w:pPr>
        <w:pStyle w:val="NormalWeb"/>
        <w:pBdr>
          <w:bottom w:val="single" w:sz="4" w:space="0" w:color="auto"/>
        </w:pBdr>
        <w:spacing w:before="0" w:beforeAutospacing="0" w:after="0" w:afterAutospacing="0"/>
        <w:jc w:val="both"/>
        <w:rPr>
          <w:b/>
        </w:rPr>
      </w:pPr>
    </w:p>
    <w:p w14:paraId="1FA762F5" w14:textId="77A0FB43" w:rsidR="00A84E96" w:rsidRPr="00BE4AF3" w:rsidRDefault="00A84E96" w:rsidP="00A10321">
      <w:pPr>
        <w:pStyle w:val="NormalWeb"/>
        <w:pBdr>
          <w:bottom w:val="single" w:sz="4" w:space="0" w:color="auto"/>
        </w:pBdr>
        <w:spacing w:before="0" w:beforeAutospacing="0" w:after="0" w:afterAutospacing="0"/>
        <w:jc w:val="both"/>
      </w:pPr>
      <w:r w:rsidRPr="00BE4AF3">
        <w:rPr>
          <w:b/>
        </w:rPr>
        <w:t xml:space="preserve">Theoretical Framework </w:t>
      </w:r>
    </w:p>
    <w:p w14:paraId="5EDC659C" w14:textId="5261CA26" w:rsidR="00A84E96" w:rsidRPr="0014525F" w:rsidRDefault="00A84E96" w:rsidP="00A10321">
      <w:pPr>
        <w:pStyle w:val="NormalWeb"/>
        <w:pBdr>
          <w:bottom w:val="single" w:sz="4" w:space="0" w:color="auto"/>
        </w:pBdr>
        <w:spacing w:before="0" w:beforeAutospacing="0" w:after="0" w:afterAutospacing="0"/>
        <w:jc w:val="both"/>
      </w:pPr>
      <w:r w:rsidRPr="00BE4AF3">
        <w:t xml:space="preserve">This study is grounded in two interrelated learning theories. </w:t>
      </w:r>
      <w:r w:rsidRPr="0014525F">
        <w:rPr>
          <w:rStyle w:val="Strong"/>
          <w:b w:val="0"/>
          <w:bCs w:val="0"/>
        </w:rPr>
        <w:t>Constructivist Learning Theory</w:t>
      </w:r>
      <w:r w:rsidRPr="0014525F">
        <w:t xml:space="preserve"> (Vygotsky, 1978) posits that learners actively construct knowledge through experience, reflection, and interaction with peers and instructors, supporting the need for more interactive and contextualized valuation teaching. </w:t>
      </w:r>
      <w:r w:rsidRPr="0014525F">
        <w:rPr>
          <w:rStyle w:val="Strong"/>
          <w:b w:val="0"/>
          <w:bCs w:val="0"/>
        </w:rPr>
        <w:t>Experiential Learning Theory</w:t>
      </w:r>
      <w:r w:rsidRPr="0014525F">
        <w:t xml:space="preserve"> (Kolb, 1984) emphasizes learning through doing, via concrete experiences, observation, and application, which aligns with calls for simulations, fieldwork, and practical assignments in valuation education. Together, these frameworks justify the evaluation of pedagogical practices and learner experiences alongside cognitive outcomes such as knowledge levels.</w:t>
      </w:r>
    </w:p>
    <w:p w14:paraId="483307FC" w14:textId="77777777" w:rsidR="00A84E96" w:rsidRPr="0014525F" w:rsidRDefault="00A84E96" w:rsidP="00A10321">
      <w:pPr>
        <w:pStyle w:val="NormalWeb"/>
        <w:pBdr>
          <w:bottom w:val="single" w:sz="4" w:space="0" w:color="auto"/>
        </w:pBdr>
        <w:spacing w:before="0" w:beforeAutospacing="0" w:after="0" w:afterAutospacing="0"/>
        <w:jc w:val="both"/>
      </w:pPr>
      <w:r w:rsidRPr="0014525F">
        <w:t xml:space="preserve">From the foregoing, the literature emphasizes the importance of both conventional and contemporary valuation methods, it also reveals a clear gap between what is taught and what is required in practice. Most research focuses on either professional practice or curriculum content, with limited attention given to </w:t>
      </w:r>
      <w:r w:rsidRPr="0014525F">
        <w:rPr>
          <w:rStyle w:val="Strong"/>
          <w:b w:val="0"/>
          <w:bCs w:val="0"/>
        </w:rPr>
        <w:t>students’ own perceptions of their knowledge and experiences</w:t>
      </w:r>
      <w:r w:rsidRPr="0014525F">
        <w:t xml:space="preserve"> particularly in the Nigerian context. This study fills that gap by assessing not only students’ </w:t>
      </w:r>
      <w:r w:rsidRPr="0014525F">
        <w:rPr>
          <w:rStyle w:val="Strong"/>
          <w:b w:val="0"/>
          <w:bCs w:val="0"/>
        </w:rPr>
        <w:t>knowledge levels</w:t>
      </w:r>
      <w:r w:rsidRPr="0014525F">
        <w:t xml:space="preserve"> (conventional and contemporary methods), but also their </w:t>
      </w:r>
      <w:r w:rsidRPr="0014525F">
        <w:rPr>
          <w:rStyle w:val="Strong"/>
          <w:b w:val="0"/>
          <w:bCs w:val="0"/>
        </w:rPr>
        <w:t>learning experiences</w:t>
      </w:r>
      <w:r w:rsidRPr="0014525F">
        <w:t xml:space="preserve">, the </w:t>
      </w:r>
      <w:r w:rsidRPr="0014525F">
        <w:rPr>
          <w:rStyle w:val="Strong"/>
          <w:b w:val="0"/>
          <w:bCs w:val="0"/>
        </w:rPr>
        <w:t>pedagogical strategies</w:t>
      </w:r>
      <w:r w:rsidRPr="0014525F">
        <w:t xml:space="preserve"> used in their training, the </w:t>
      </w:r>
      <w:r w:rsidRPr="0014525F">
        <w:rPr>
          <w:rStyle w:val="Strong"/>
          <w:b w:val="0"/>
          <w:bCs w:val="0"/>
        </w:rPr>
        <w:t>challenges</w:t>
      </w:r>
      <w:r w:rsidRPr="0014525F">
        <w:t xml:space="preserve"> they encountered, and the </w:t>
      </w:r>
      <w:r w:rsidRPr="0014525F">
        <w:rPr>
          <w:rStyle w:val="Strong"/>
          <w:b w:val="0"/>
          <w:bCs w:val="0"/>
        </w:rPr>
        <w:t>suggestions</w:t>
      </w:r>
      <w:r w:rsidRPr="0014525F">
        <w:t xml:space="preserve"> they offer for improvement. It thus contributes to both educational practice and real estate professional development.</w:t>
      </w:r>
    </w:p>
    <w:p w14:paraId="68C6211E" w14:textId="77777777" w:rsidR="00A84E96" w:rsidRPr="00BE4AF3" w:rsidRDefault="00A84E96" w:rsidP="00A84E96">
      <w:pPr>
        <w:pStyle w:val="NormalWeb"/>
        <w:pBdr>
          <w:bottom w:val="single" w:sz="4" w:space="0" w:color="auto"/>
        </w:pBdr>
        <w:spacing w:before="0" w:beforeAutospacing="0" w:after="0" w:afterAutospacing="0"/>
        <w:jc w:val="both"/>
        <w:rPr>
          <w:b/>
        </w:rPr>
      </w:pPr>
    </w:p>
    <w:p w14:paraId="13F15C2F" w14:textId="77777777" w:rsidR="00A84E96" w:rsidRPr="00BE4AF3" w:rsidRDefault="00A84E96" w:rsidP="00A84E96">
      <w:pPr>
        <w:pStyle w:val="NormalWeb"/>
        <w:pBdr>
          <w:bottom w:val="single" w:sz="4" w:space="0" w:color="auto"/>
        </w:pBdr>
        <w:spacing w:before="0" w:beforeAutospacing="0" w:after="0" w:afterAutospacing="0"/>
        <w:jc w:val="both"/>
        <w:rPr>
          <w:b/>
        </w:rPr>
      </w:pPr>
      <w:r w:rsidRPr="00BE4AF3">
        <w:rPr>
          <w:b/>
        </w:rPr>
        <w:t xml:space="preserve">Materials and Methods </w:t>
      </w:r>
    </w:p>
    <w:p w14:paraId="2D6A3A36" w14:textId="77777777" w:rsidR="00A84E96" w:rsidRPr="00BE4AF3" w:rsidRDefault="00A84E96" w:rsidP="00A84E96">
      <w:pPr>
        <w:pStyle w:val="NormalWeb"/>
        <w:pBdr>
          <w:bottom w:val="single" w:sz="4" w:space="0" w:color="auto"/>
        </w:pBdr>
        <w:spacing w:before="0" w:beforeAutospacing="0" w:after="0" w:afterAutospacing="0"/>
        <w:jc w:val="both"/>
      </w:pPr>
      <w:r w:rsidRPr="00BE4AF3">
        <w:t>The study adopted a descriptive survey design using a quantitative approach. The target population comprised graduating Estate Management students of the Federal Polytechnic, Ede, South-Western Nigeria. These students were selected because they had completed most valuation-related courses and were at the threshold of entering professional practice, making them suitable for assessing knowledge and readiness. The entire population of 69 graduating Higher National Diploma (HND) Estate Management students was purposively selected, forming the sample size.</w:t>
      </w:r>
      <w:r w:rsidRPr="00BE4AF3">
        <w:rPr>
          <w:b/>
        </w:rPr>
        <w:t xml:space="preserve"> </w:t>
      </w:r>
      <w:r w:rsidRPr="00BE4AF3">
        <w:t xml:space="preserve">A self-administered, close-ended questionnaire was used to assess students’ knowledge of both conventional (comparative, cost, income, and residual) and contemporary (Automated Valuation Models, GIS-based, and hedonic pricing) valuation methods. The questionnaire consisted of four sections, each containing 5-point Likert-scale items. These sections covered conceptual understanding, self-assessment statements, perceived pedagogical approaches and learning experiences, and suggestions for improvement. The first section examined students’ level of knowledge and familiarity with property valuation methods, using a response scale ranging from 1 (not at all familiar) to 5 (extremely familiar). The subsequent sections assessed perceived self-assessment, pedagogical experiences, and improvement suggestions, using a response scale ranging from 1 (strongly disagree) to 5 (strongly agree). Of the 69 questionnaires distributed, 60 were retrieved and used for analysis, representing a response rate of 86.96%. Mean scores for each item were calculated. A decision rule was applied to interpret the scores: </w:t>
      </w:r>
      <w:r w:rsidRPr="00BE4AF3">
        <w:rPr>
          <w:bCs/>
        </w:rPr>
        <w:t>1.00–1.49 = Not at all familiar/Strongly Disagree; 1.50–2.49 = Slightly familiar/Disagree; 2.50–3.49 = Moderately familiar/Neutral; 3.50–4.49 = Very familiar/Agree; 4.50–5.00 = Extremely familiar/Strongly Agree</w:t>
      </w:r>
      <w:r w:rsidRPr="00BE4AF3">
        <w:t xml:space="preserve">. </w:t>
      </w:r>
    </w:p>
    <w:p w14:paraId="5F47F9DD" w14:textId="77777777" w:rsidR="00A84E96" w:rsidRPr="00BE4AF3" w:rsidRDefault="00A84E96" w:rsidP="00A84E96">
      <w:pPr>
        <w:pStyle w:val="NormalWeb"/>
        <w:pBdr>
          <w:bottom w:val="single" w:sz="4" w:space="0" w:color="auto"/>
        </w:pBdr>
        <w:spacing w:before="0" w:beforeAutospacing="0" w:after="0" w:afterAutospacing="0"/>
        <w:jc w:val="both"/>
      </w:pPr>
    </w:p>
    <w:p w14:paraId="73471FBB" w14:textId="77777777" w:rsidR="00FB5F15" w:rsidRDefault="00FB5F15" w:rsidP="00A84E96">
      <w:pPr>
        <w:pStyle w:val="NormalWeb"/>
        <w:pBdr>
          <w:bottom w:val="single" w:sz="4" w:space="0" w:color="auto"/>
        </w:pBdr>
        <w:spacing w:before="0" w:beforeAutospacing="0" w:after="0" w:afterAutospacing="0"/>
        <w:jc w:val="both"/>
        <w:rPr>
          <w:b/>
        </w:rPr>
      </w:pPr>
    </w:p>
    <w:p w14:paraId="674981BA" w14:textId="65972A85" w:rsidR="00A84E96" w:rsidRDefault="00A84E96" w:rsidP="00A84E96">
      <w:pPr>
        <w:pStyle w:val="NormalWeb"/>
        <w:pBdr>
          <w:bottom w:val="single" w:sz="4" w:space="0" w:color="auto"/>
        </w:pBdr>
        <w:spacing w:before="0" w:beforeAutospacing="0" w:after="0" w:afterAutospacing="0"/>
        <w:jc w:val="both"/>
        <w:rPr>
          <w:b/>
        </w:rPr>
      </w:pPr>
      <w:r w:rsidRPr="00BE4AF3">
        <w:rPr>
          <w:b/>
        </w:rPr>
        <w:t>Results and Discussion</w:t>
      </w:r>
    </w:p>
    <w:p w14:paraId="362A2EF1" w14:textId="77777777" w:rsidR="00FB5F15" w:rsidRPr="00BE4AF3" w:rsidRDefault="00FB5F15" w:rsidP="00A84E96">
      <w:pPr>
        <w:pStyle w:val="NormalWeb"/>
        <w:pBdr>
          <w:bottom w:val="single" w:sz="4" w:space="0" w:color="auto"/>
        </w:pBdr>
        <w:spacing w:before="0" w:beforeAutospacing="0" w:after="0" w:afterAutospacing="0"/>
        <w:jc w:val="both"/>
        <w:rPr>
          <w:b/>
        </w:rPr>
      </w:pPr>
    </w:p>
    <w:p w14:paraId="0A02B2BC" w14:textId="77777777" w:rsidR="00A84E96" w:rsidRPr="00FB5F15" w:rsidRDefault="00A84E96" w:rsidP="00FB5F15">
      <w:pPr>
        <w:pStyle w:val="NormalWeb"/>
        <w:pBdr>
          <w:bottom w:val="single" w:sz="4" w:space="0" w:color="auto"/>
        </w:pBdr>
        <w:spacing w:before="0" w:beforeAutospacing="0" w:after="0" w:afterAutospacing="0"/>
        <w:jc w:val="center"/>
        <w:rPr>
          <w:bCs/>
        </w:rPr>
      </w:pPr>
      <w:r w:rsidRPr="00BE4AF3">
        <w:rPr>
          <w:b/>
        </w:rPr>
        <w:t xml:space="preserve">Table 1: </w:t>
      </w:r>
      <w:r w:rsidRPr="00FB5F15">
        <w:rPr>
          <w:bCs/>
        </w:rPr>
        <w:t>Knowledge and Familiarity with Property Valuation Methods</w:t>
      </w:r>
    </w:p>
    <w:tbl>
      <w:tblPr>
        <w:tblStyle w:val="PlainTable2"/>
        <w:tblW w:w="7380" w:type="dxa"/>
        <w:jc w:val="center"/>
        <w:tblLook w:val="0620" w:firstRow="1" w:lastRow="0" w:firstColumn="0" w:lastColumn="0" w:noHBand="1" w:noVBand="1"/>
      </w:tblPr>
      <w:tblGrid>
        <w:gridCol w:w="4253"/>
        <w:gridCol w:w="1280"/>
        <w:gridCol w:w="1847"/>
      </w:tblGrid>
      <w:tr w:rsidR="00A84E96" w:rsidRPr="00FB5F15" w14:paraId="7A135AE6" w14:textId="77777777" w:rsidTr="00FB5F15">
        <w:trPr>
          <w:cnfStyle w:val="100000000000" w:firstRow="1" w:lastRow="0" w:firstColumn="0" w:lastColumn="0" w:oddVBand="0" w:evenVBand="0" w:oddHBand="0" w:evenHBand="0" w:firstRowFirstColumn="0" w:firstRowLastColumn="0" w:lastRowFirstColumn="0" w:lastRowLastColumn="0"/>
          <w:jc w:val="center"/>
        </w:trPr>
        <w:tc>
          <w:tcPr>
            <w:tcW w:w="4253" w:type="dxa"/>
            <w:tcBorders>
              <w:top w:val="single" w:sz="4" w:space="0" w:color="7F7F7F" w:themeColor="text1" w:themeTint="80"/>
            </w:tcBorders>
          </w:tcPr>
          <w:p w14:paraId="248F9AEF" w14:textId="77777777" w:rsidR="00A84E96" w:rsidRPr="00FB5F15" w:rsidRDefault="00A84E96" w:rsidP="00FB5F15">
            <w:pPr>
              <w:spacing w:after="0" w:line="240" w:lineRule="auto"/>
              <w:jc w:val="both"/>
              <w:rPr>
                <w:rFonts w:ascii="Times New Roman" w:hAnsi="Times New Roman" w:cs="Times New Roman"/>
                <w:b w:val="0"/>
                <w:sz w:val="20"/>
                <w:szCs w:val="20"/>
              </w:rPr>
            </w:pPr>
            <w:r w:rsidRPr="00FB5F15">
              <w:rPr>
                <w:rFonts w:ascii="Times New Roman" w:hAnsi="Times New Roman" w:cs="Times New Roman"/>
                <w:b w:val="0"/>
                <w:sz w:val="20"/>
                <w:szCs w:val="20"/>
              </w:rPr>
              <w:t xml:space="preserve">Methods </w:t>
            </w:r>
          </w:p>
        </w:tc>
        <w:tc>
          <w:tcPr>
            <w:tcW w:w="1280" w:type="dxa"/>
            <w:tcBorders>
              <w:top w:val="single" w:sz="4" w:space="0" w:color="7F7F7F" w:themeColor="text1" w:themeTint="80"/>
            </w:tcBorders>
          </w:tcPr>
          <w:p w14:paraId="343784FD" w14:textId="77777777" w:rsidR="00A84E96" w:rsidRPr="00FB5F15" w:rsidRDefault="00A84E96" w:rsidP="00FB5F15">
            <w:pPr>
              <w:spacing w:after="0" w:line="240" w:lineRule="auto"/>
              <w:jc w:val="both"/>
              <w:rPr>
                <w:rFonts w:ascii="Times New Roman" w:hAnsi="Times New Roman" w:cs="Times New Roman"/>
                <w:b w:val="0"/>
                <w:sz w:val="20"/>
                <w:szCs w:val="20"/>
              </w:rPr>
            </w:pPr>
            <w:r w:rsidRPr="00FB5F15">
              <w:rPr>
                <w:rFonts w:ascii="Times New Roman" w:hAnsi="Times New Roman" w:cs="Times New Roman"/>
                <w:b w:val="0"/>
                <w:sz w:val="20"/>
                <w:szCs w:val="20"/>
              </w:rPr>
              <w:t>Mean score</w:t>
            </w:r>
          </w:p>
        </w:tc>
        <w:tc>
          <w:tcPr>
            <w:tcW w:w="1847" w:type="dxa"/>
            <w:tcBorders>
              <w:top w:val="single" w:sz="4" w:space="0" w:color="7F7F7F" w:themeColor="text1" w:themeTint="80"/>
            </w:tcBorders>
          </w:tcPr>
          <w:p w14:paraId="50F5A04C" w14:textId="77777777" w:rsidR="00A84E96" w:rsidRPr="00FB5F15" w:rsidRDefault="00A84E96" w:rsidP="00FB5F15">
            <w:pPr>
              <w:spacing w:after="0" w:line="240" w:lineRule="auto"/>
              <w:jc w:val="both"/>
              <w:rPr>
                <w:rFonts w:ascii="Times New Roman" w:hAnsi="Times New Roman" w:cs="Times New Roman"/>
                <w:b w:val="0"/>
                <w:sz w:val="20"/>
                <w:szCs w:val="20"/>
              </w:rPr>
            </w:pPr>
            <w:r w:rsidRPr="00FB5F15">
              <w:rPr>
                <w:rFonts w:ascii="Times New Roman" w:hAnsi="Times New Roman" w:cs="Times New Roman"/>
                <w:b w:val="0"/>
                <w:sz w:val="20"/>
                <w:szCs w:val="20"/>
              </w:rPr>
              <w:t xml:space="preserve">Decision </w:t>
            </w:r>
          </w:p>
        </w:tc>
      </w:tr>
      <w:tr w:rsidR="00A84E96" w:rsidRPr="00FB5F15" w14:paraId="63404409" w14:textId="77777777" w:rsidTr="00FB5F15">
        <w:trPr>
          <w:jc w:val="center"/>
        </w:trPr>
        <w:tc>
          <w:tcPr>
            <w:tcW w:w="4253" w:type="dxa"/>
          </w:tcPr>
          <w:p w14:paraId="53931AD8"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hAnsi="Times New Roman" w:cs="Times New Roman"/>
                <w:b/>
                <w:sz w:val="20"/>
                <w:szCs w:val="20"/>
              </w:rPr>
              <w:t xml:space="preserve">Conventional </w:t>
            </w:r>
          </w:p>
        </w:tc>
        <w:tc>
          <w:tcPr>
            <w:tcW w:w="1280" w:type="dxa"/>
          </w:tcPr>
          <w:p w14:paraId="4D79C2E2" w14:textId="77777777" w:rsidR="00A84E96" w:rsidRPr="00FB5F15" w:rsidRDefault="00A84E96" w:rsidP="00FB5F15">
            <w:pPr>
              <w:spacing w:after="0" w:line="240" w:lineRule="auto"/>
              <w:jc w:val="both"/>
              <w:rPr>
                <w:rFonts w:ascii="Times New Roman" w:hAnsi="Times New Roman" w:cs="Times New Roman"/>
                <w:b/>
                <w:sz w:val="20"/>
                <w:szCs w:val="20"/>
              </w:rPr>
            </w:pPr>
          </w:p>
        </w:tc>
        <w:tc>
          <w:tcPr>
            <w:tcW w:w="1847" w:type="dxa"/>
          </w:tcPr>
          <w:p w14:paraId="53363FF4"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hAnsi="Times New Roman" w:cs="Times New Roman"/>
                <w:b/>
                <w:sz w:val="20"/>
                <w:szCs w:val="20"/>
              </w:rPr>
              <w:t xml:space="preserve"> </w:t>
            </w:r>
          </w:p>
        </w:tc>
      </w:tr>
      <w:tr w:rsidR="00A84E96" w:rsidRPr="00FB5F15" w14:paraId="38B60CA0" w14:textId="77777777" w:rsidTr="00FB5F15">
        <w:trPr>
          <w:jc w:val="center"/>
        </w:trPr>
        <w:tc>
          <w:tcPr>
            <w:tcW w:w="4253" w:type="dxa"/>
          </w:tcPr>
          <w:p w14:paraId="337F09A7"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hAnsi="Times New Roman" w:cs="Times New Roman"/>
                <w:sz w:val="20"/>
                <w:szCs w:val="20"/>
              </w:rPr>
              <w:t>Comparative (Sales Comparison) Method</w:t>
            </w:r>
          </w:p>
        </w:tc>
        <w:tc>
          <w:tcPr>
            <w:tcW w:w="1280" w:type="dxa"/>
          </w:tcPr>
          <w:p w14:paraId="2BA2133A"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hAnsi="Times New Roman" w:cs="Times New Roman"/>
                <w:sz w:val="20"/>
                <w:szCs w:val="20"/>
              </w:rPr>
              <w:t>3.94</w:t>
            </w:r>
          </w:p>
        </w:tc>
        <w:tc>
          <w:tcPr>
            <w:tcW w:w="1847" w:type="dxa"/>
          </w:tcPr>
          <w:p w14:paraId="03C85D75"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eastAsia="Times New Roman" w:hAnsi="Times New Roman" w:cs="Times New Roman"/>
                <w:bCs/>
                <w:sz w:val="20"/>
                <w:szCs w:val="20"/>
                <w:lang w:eastAsia="en-GB"/>
              </w:rPr>
              <w:t>Very familiar</w:t>
            </w:r>
          </w:p>
        </w:tc>
      </w:tr>
      <w:tr w:rsidR="00A84E96" w:rsidRPr="00FB5F15" w14:paraId="71E52C40" w14:textId="77777777" w:rsidTr="00FB5F15">
        <w:trPr>
          <w:jc w:val="center"/>
        </w:trPr>
        <w:tc>
          <w:tcPr>
            <w:tcW w:w="4253" w:type="dxa"/>
          </w:tcPr>
          <w:p w14:paraId="3B0F15AA"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hAnsi="Times New Roman" w:cs="Times New Roman"/>
                <w:sz w:val="20"/>
                <w:szCs w:val="20"/>
              </w:rPr>
              <w:t>Cost (Contractor’s) Method</w:t>
            </w:r>
          </w:p>
        </w:tc>
        <w:tc>
          <w:tcPr>
            <w:tcW w:w="1280" w:type="dxa"/>
          </w:tcPr>
          <w:p w14:paraId="4CBEF5CC"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hAnsi="Times New Roman" w:cs="Times New Roman"/>
                <w:sz w:val="20"/>
                <w:szCs w:val="20"/>
              </w:rPr>
              <w:t>3.68</w:t>
            </w:r>
          </w:p>
        </w:tc>
        <w:tc>
          <w:tcPr>
            <w:tcW w:w="1847" w:type="dxa"/>
          </w:tcPr>
          <w:p w14:paraId="54E8612F"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eastAsia="Times New Roman" w:hAnsi="Times New Roman" w:cs="Times New Roman"/>
                <w:bCs/>
                <w:sz w:val="20"/>
                <w:szCs w:val="20"/>
                <w:lang w:eastAsia="en-GB"/>
              </w:rPr>
              <w:t>Very familiar</w:t>
            </w:r>
          </w:p>
        </w:tc>
      </w:tr>
      <w:tr w:rsidR="00A84E96" w:rsidRPr="00FB5F15" w14:paraId="02011D88" w14:textId="77777777" w:rsidTr="00FB5F15">
        <w:trPr>
          <w:jc w:val="center"/>
        </w:trPr>
        <w:tc>
          <w:tcPr>
            <w:tcW w:w="4253" w:type="dxa"/>
          </w:tcPr>
          <w:p w14:paraId="7FDF8DD4"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hAnsi="Times New Roman" w:cs="Times New Roman"/>
                <w:sz w:val="20"/>
                <w:szCs w:val="20"/>
              </w:rPr>
              <w:t>Income Capitalization Method</w:t>
            </w:r>
          </w:p>
        </w:tc>
        <w:tc>
          <w:tcPr>
            <w:tcW w:w="1280" w:type="dxa"/>
          </w:tcPr>
          <w:p w14:paraId="3E510483"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hAnsi="Times New Roman" w:cs="Times New Roman"/>
                <w:sz w:val="20"/>
                <w:szCs w:val="20"/>
              </w:rPr>
              <w:t>2.47</w:t>
            </w:r>
          </w:p>
        </w:tc>
        <w:tc>
          <w:tcPr>
            <w:tcW w:w="1847" w:type="dxa"/>
          </w:tcPr>
          <w:p w14:paraId="4526F13A"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eastAsia="Times New Roman" w:hAnsi="Times New Roman" w:cs="Times New Roman"/>
                <w:bCs/>
                <w:sz w:val="20"/>
                <w:szCs w:val="20"/>
                <w:lang w:eastAsia="en-GB"/>
              </w:rPr>
              <w:t>Slightly familiar</w:t>
            </w:r>
          </w:p>
        </w:tc>
      </w:tr>
      <w:tr w:rsidR="00A84E96" w:rsidRPr="00FB5F15" w14:paraId="720C03C3" w14:textId="77777777" w:rsidTr="00FB5F15">
        <w:trPr>
          <w:jc w:val="center"/>
        </w:trPr>
        <w:tc>
          <w:tcPr>
            <w:tcW w:w="4253" w:type="dxa"/>
          </w:tcPr>
          <w:p w14:paraId="7FD6AD9D" w14:textId="77777777" w:rsidR="00A84E96" w:rsidRPr="00FB5F15" w:rsidRDefault="00A84E96" w:rsidP="00FB5F15">
            <w:pPr>
              <w:spacing w:after="0" w:line="240" w:lineRule="auto"/>
              <w:jc w:val="both"/>
              <w:rPr>
                <w:rFonts w:ascii="Times New Roman" w:hAnsi="Times New Roman" w:cs="Times New Roman"/>
                <w:sz w:val="20"/>
                <w:szCs w:val="20"/>
              </w:rPr>
            </w:pPr>
            <w:r w:rsidRPr="00FB5F15">
              <w:rPr>
                <w:rFonts w:ascii="Times New Roman" w:hAnsi="Times New Roman" w:cs="Times New Roman"/>
                <w:sz w:val="20"/>
                <w:szCs w:val="20"/>
              </w:rPr>
              <w:t xml:space="preserve">Profit method </w:t>
            </w:r>
          </w:p>
        </w:tc>
        <w:tc>
          <w:tcPr>
            <w:tcW w:w="1280" w:type="dxa"/>
          </w:tcPr>
          <w:p w14:paraId="69CF5D9D"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hAnsi="Times New Roman" w:cs="Times New Roman"/>
                <w:sz w:val="20"/>
                <w:szCs w:val="20"/>
              </w:rPr>
              <w:t>2.32</w:t>
            </w:r>
          </w:p>
        </w:tc>
        <w:tc>
          <w:tcPr>
            <w:tcW w:w="1847" w:type="dxa"/>
          </w:tcPr>
          <w:p w14:paraId="5347516F"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eastAsia="Times New Roman" w:hAnsi="Times New Roman" w:cs="Times New Roman"/>
                <w:bCs/>
                <w:sz w:val="20"/>
                <w:szCs w:val="20"/>
                <w:lang w:eastAsia="en-GB"/>
              </w:rPr>
              <w:t>Slightly familiar</w:t>
            </w:r>
          </w:p>
        </w:tc>
      </w:tr>
      <w:tr w:rsidR="00A84E96" w:rsidRPr="00FB5F15" w14:paraId="506EA1DF" w14:textId="77777777" w:rsidTr="00FB5F15">
        <w:trPr>
          <w:jc w:val="center"/>
        </w:trPr>
        <w:tc>
          <w:tcPr>
            <w:tcW w:w="4253" w:type="dxa"/>
          </w:tcPr>
          <w:p w14:paraId="51F93405"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hAnsi="Times New Roman" w:cs="Times New Roman"/>
                <w:sz w:val="20"/>
                <w:szCs w:val="20"/>
              </w:rPr>
              <w:t>Residual Method</w:t>
            </w:r>
          </w:p>
        </w:tc>
        <w:tc>
          <w:tcPr>
            <w:tcW w:w="1280" w:type="dxa"/>
          </w:tcPr>
          <w:p w14:paraId="604D781C"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hAnsi="Times New Roman" w:cs="Times New Roman"/>
                <w:sz w:val="20"/>
                <w:szCs w:val="20"/>
              </w:rPr>
              <w:t>2.29</w:t>
            </w:r>
          </w:p>
        </w:tc>
        <w:tc>
          <w:tcPr>
            <w:tcW w:w="1847" w:type="dxa"/>
          </w:tcPr>
          <w:p w14:paraId="1705B147"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eastAsia="Times New Roman" w:hAnsi="Times New Roman" w:cs="Times New Roman"/>
                <w:bCs/>
                <w:sz w:val="20"/>
                <w:szCs w:val="20"/>
                <w:lang w:eastAsia="en-GB"/>
              </w:rPr>
              <w:t>Slightly familiar</w:t>
            </w:r>
          </w:p>
        </w:tc>
      </w:tr>
      <w:tr w:rsidR="00A84E96" w:rsidRPr="00FB5F15" w14:paraId="1DC54239" w14:textId="77777777" w:rsidTr="00FB5F15">
        <w:trPr>
          <w:jc w:val="center"/>
        </w:trPr>
        <w:tc>
          <w:tcPr>
            <w:tcW w:w="4253" w:type="dxa"/>
          </w:tcPr>
          <w:p w14:paraId="3F44C0E1"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hAnsi="Times New Roman" w:cs="Times New Roman"/>
                <w:b/>
                <w:sz w:val="20"/>
                <w:szCs w:val="20"/>
              </w:rPr>
              <w:t xml:space="preserve">Contemporary </w:t>
            </w:r>
          </w:p>
        </w:tc>
        <w:tc>
          <w:tcPr>
            <w:tcW w:w="1280" w:type="dxa"/>
          </w:tcPr>
          <w:p w14:paraId="4BA83B8C" w14:textId="77777777" w:rsidR="00A84E96" w:rsidRPr="00FB5F15" w:rsidRDefault="00A84E96" w:rsidP="00FB5F15">
            <w:pPr>
              <w:spacing w:after="0" w:line="240" w:lineRule="auto"/>
              <w:jc w:val="both"/>
              <w:rPr>
                <w:rFonts w:ascii="Times New Roman" w:hAnsi="Times New Roman" w:cs="Times New Roman"/>
                <w:b/>
                <w:sz w:val="20"/>
                <w:szCs w:val="20"/>
              </w:rPr>
            </w:pPr>
          </w:p>
        </w:tc>
        <w:tc>
          <w:tcPr>
            <w:tcW w:w="1847" w:type="dxa"/>
          </w:tcPr>
          <w:p w14:paraId="10015276" w14:textId="77777777" w:rsidR="00A84E96" w:rsidRPr="00FB5F15" w:rsidRDefault="00A84E96" w:rsidP="00FB5F15">
            <w:pPr>
              <w:spacing w:after="0" w:line="240" w:lineRule="auto"/>
              <w:jc w:val="both"/>
              <w:rPr>
                <w:rFonts w:ascii="Times New Roman" w:hAnsi="Times New Roman" w:cs="Times New Roman"/>
                <w:b/>
                <w:sz w:val="20"/>
                <w:szCs w:val="20"/>
              </w:rPr>
            </w:pPr>
          </w:p>
        </w:tc>
      </w:tr>
      <w:tr w:rsidR="00A84E96" w:rsidRPr="00FB5F15" w14:paraId="499A924A" w14:textId="77777777" w:rsidTr="00FB5F15">
        <w:trPr>
          <w:jc w:val="center"/>
        </w:trPr>
        <w:tc>
          <w:tcPr>
            <w:tcW w:w="4253" w:type="dxa"/>
          </w:tcPr>
          <w:p w14:paraId="338A57E1" w14:textId="77777777" w:rsidR="00A84E96" w:rsidRPr="00FB5F15" w:rsidRDefault="00A84E96" w:rsidP="00FB5F15">
            <w:pPr>
              <w:spacing w:after="0" w:line="240" w:lineRule="auto"/>
              <w:jc w:val="both"/>
              <w:rPr>
                <w:rFonts w:ascii="Times New Roman" w:hAnsi="Times New Roman" w:cs="Times New Roman"/>
                <w:sz w:val="20"/>
                <w:szCs w:val="20"/>
              </w:rPr>
            </w:pPr>
            <w:r w:rsidRPr="00FB5F15">
              <w:rPr>
                <w:rFonts w:ascii="Times New Roman" w:hAnsi="Times New Roman" w:cs="Times New Roman"/>
                <w:sz w:val="20"/>
                <w:szCs w:val="20"/>
              </w:rPr>
              <w:t>DCF Models</w:t>
            </w:r>
          </w:p>
        </w:tc>
        <w:tc>
          <w:tcPr>
            <w:tcW w:w="1280" w:type="dxa"/>
          </w:tcPr>
          <w:p w14:paraId="5D5A1E0A"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hAnsi="Times New Roman" w:cs="Times New Roman"/>
                <w:sz w:val="20"/>
                <w:szCs w:val="20"/>
              </w:rPr>
              <w:t>2.82</w:t>
            </w:r>
          </w:p>
        </w:tc>
        <w:tc>
          <w:tcPr>
            <w:tcW w:w="1847" w:type="dxa"/>
          </w:tcPr>
          <w:p w14:paraId="653F5486"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eastAsia="Times New Roman" w:hAnsi="Times New Roman" w:cs="Times New Roman"/>
                <w:bCs/>
                <w:sz w:val="20"/>
                <w:szCs w:val="20"/>
                <w:lang w:eastAsia="en-GB"/>
              </w:rPr>
              <w:t>Slightly familiar</w:t>
            </w:r>
          </w:p>
        </w:tc>
      </w:tr>
      <w:tr w:rsidR="00A84E96" w:rsidRPr="00FB5F15" w14:paraId="610404BB" w14:textId="77777777" w:rsidTr="00FB5F15">
        <w:trPr>
          <w:jc w:val="center"/>
        </w:trPr>
        <w:tc>
          <w:tcPr>
            <w:tcW w:w="4253" w:type="dxa"/>
          </w:tcPr>
          <w:p w14:paraId="49EAF327"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hAnsi="Times New Roman" w:cs="Times New Roman"/>
                <w:sz w:val="20"/>
                <w:szCs w:val="20"/>
              </w:rPr>
              <w:t>Automated Valuation Models (AVMs)</w:t>
            </w:r>
          </w:p>
        </w:tc>
        <w:tc>
          <w:tcPr>
            <w:tcW w:w="1280" w:type="dxa"/>
          </w:tcPr>
          <w:p w14:paraId="557F09F1"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hAnsi="Times New Roman" w:cs="Times New Roman"/>
                <w:sz w:val="20"/>
                <w:szCs w:val="20"/>
              </w:rPr>
              <w:t>1.41</w:t>
            </w:r>
          </w:p>
        </w:tc>
        <w:tc>
          <w:tcPr>
            <w:tcW w:w="1847" w:type="dxa"/>
          </w:tcPr>
          <w:p w14:paraId="05AD362D"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eastAsia="Times New Roman" w:hAnsi="Times New Roman" w:cs="Times New Roman"/>
                <w:bCs/>
                <w:sz w:val="20"/>
                <w:szCs w:val="20"/>
                <w:lang w:eastAsia="en-GB"/>
              </w:rPr>
              <w:t>Not at all familiar</w:t>
            </w:r>
          </w:p>
        </w:tc>
      </w:tr>
      <w:tr w:rsidR="00A84E96" w:rsidRPr="00FB5F15" w14:paraId="4DE97C38" w14:textId="77777777" w:rsidTr="00FB5F15">
        <w:trPr>
          <w:jc w:val="center"/>
        </w:trPr>
        <w:tc>
          <w:tcPr>
            <w:tcW w:w="4253" w:type="dxa"/>
          </w:tcPr>
          <w:p w14:paraId="72367676"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hAnsi="Times New Roman" w:cs="Times New Roman"/>
                <w:sz w:val="20"/>
                <w:szCs w:val="20"/>
              </w:rPr>
              <w:t>Hedonic Pricing Models</w:t>
            </w:r>
          </w:p>
        </w:tc>
        <w:tc>
          <w:tcPr>
            <w:tcW w:w="1280" w:type="dxa"/>
          </w:tcPr>
          <w:p w14:paraId="2E6B88BA"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hAnsi="Times New Roman" w:cs="Times New Roman"/>
                <w:sz w:val="20"/>
                <w:szCs w:val="20"/>
              </w:rPr>
              <w:t>1.41</w:t>
            </w:r>
          </w:p>
        </w:tc>
        <w:tc>
          <w:tcPr>
            <w:tcW w:w="1847" w:type="dxa"/>
          </w:tcPr>
          <w:p w14:paraId="6E6904C9"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eastAsia="Times New Roman" w:hAnsi="Times New Roman" w:cs="Times New Roman"/>
                <w:bCs/>
                <w:sz w:val="20"/>
                <w:szCs w:val="20"/>
                <w:lang w:eastAsia="en-GB"/>
              </w:rPr>
              <w:t>Not at all familiar</w:t>
            </w:r>
          </w:p>
        </w:tc>
      </w:tr>
      <w:tr w:rsidR="00A84E96" w:rsidRPr="00FB5F15" w14:paraId="1EFF28F4" w14:textId="77777777" w:rsidTr="00FB5F15">
        <w:trPr>
          <w:jc w:val="center"/>
        </w:trPr>
        <w:tc>
          <w:tcPr>
            <w:tcW w:w="4253" w:type="dxa"/>
            <w:tcBorders>
              <w:bottom w:val="single" w:sz="4" w:space="0" w:color="auto"/>
            </w:tcBorders>
          </w:tcPr>
          <w:p w14:paraId="7666630A" w14:textId="77777777" w:rsidR="00FB5F15" w:rsidRPr="00BE4AF3" w:rsidRDefault="00FB5F15" w:rsidP="00FB5F15">
            <w:pPr>
              <w:spacing w:after="0" w:line="240" w:lineRule="auto"/>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Source: Authors Construct, 2025</w:t>
            </w:r>
          </w:p>
          <w:p w14:paraId="114F4B16" w14:textId="77777777" w:rsidR="00A84E96" w:rsidRPr="00FB5F15" w:rsidRDefault="00A84E96" w:rsidP="00FB5F15">
            <w:pPr>
              <w:spacing w:after="0" w:line="240" w:lineRule="auto"/>
              <w:jc w:val="both"/>
              <w:rPr>
                <w:rFonts w:ascii="Times New Roman" w:hAnsi="Times New Roman" w:cs="Times New Roman"/>
                <w:sz w:val="20"/>
                <w:szCs w:val="20"/>
              </w:rPr>
            </w:pPr>
            <w:r w:rsidRPr="00FB5F15">
              <w:rPr>
                <w:rFonts w:ascii="Times New Roman" w:hAnsi="Times New Roman" w:cs="Times New Roman"/>
                <w:sz w:val="20"/>
                <w:szCs w:val="20"/>
              </w:rPr>
              <w:t>GIS-Based Property Valuation</w:t>
            </w:r>
          </w:p>
        </w:tc>
        <w:tc>
          <w:tcPr>
            <w:tcW w:w="1280" w:type="dxa"/>
            <w:tcBorders>
              <w:bottom w:val="single" w:sz="4" w:space="0" w:color="auto"/>
            </w:tcBorders>
          </w:tcPr>
          <w:p w14:paraId="2A003D32"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hAnsi="Times New Roman" w:cs="Times New Roman"/>
                <w:sz w:val="20"/>
                <w:szCs w:val="20"/>
              </w:rPr>
              <w:t>1.41</w:t>
            </w:r>
          </w:p>
        </w:tc>
        <w:tc>
          <w:tcPr>
            <w:tcW w:w="1847" w:type="dxa"/>
            <w:tcBorders>
              <w:bottom w:val="single" w:sz="4" w:space="0" w:color="auto"/>
            </w:tcBorders>
          </w:tcPr>
          <w:p w14:paraId="66387576" w14:textId="77777777" w:rsidR="00A84E96" w:rsidRPr="00FB5F15" w:rsidRDefault="00A84E96" w:rsidP="00FB5F15">
            <w:pPr>
              <w:spacing w:after="0" w:line="240" w:lineRule="auto"/>
              <w:jc w:val="both"/>
              <w:rPr>
                <w:rFonts w:ascii="Times New Roman" w:hAnsi="Times New Roman" w:cs="Times New Roman"/>
                <w:b/>
                <w:sz w:val="20"/>
                <w:szCs w:val="20"/>
              </w:rPr>
            </w:pPr>
            <w:r w:rsidRPr="00FB5F15">
              <w:rPr>
                <w:rFonts w:ascii="Times New Roman" w:eastAsia="Times New Roman" w:hAnsi="Times New Roman" w:cs="Times New Roman"/>
                <w:bCs/>
                <w:sz w:val="20"/>
                <w:szCs w:val="20"/>
                <w:lang w:eastAsia="en-GB"/>
              </w:rPr>
              <w:t>Not at all familiar</w:t>
            </w:r>
          </w:p>
        </w:tc>
      </w:tr>
    </w:tbl>
    <w:p w14:paraId="1122F7E2" w14:textId="77777777" w:rsidR="00734378" w:rsidRDefault="00734378" w:rsidP="00FB5F15">
      <w:pPr>
        <w:spacing w:after="0" w:line="240" w:lineRule="auto"/>
        <w:jc w:val="both"/>
        <w:rPr>
          <w:rFonts w:ascii="Times New Roman" w:eastAsia="Times New Roman" w:hAnsi="Times New Roman" w:cs="Times New Roman"/>
          <w:sz w:val="24"/>
          <w:szCs w:val="24"/>
          <w:lang w:eastAsia="en-GB"/>
        </w:rPr>
      </w:pPr>
    </w:p>
    <w:p w14:paraId="5DFB4964" w14:textId="1C735F7D" w:rsidR="00A84E96" w:rsidRPr="00BE4AF3" w:rsidRDefault="00A84E96" w:rsidP="00FB5F15">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 xml:space="preserve">Table 1 presents students’ self-reported familiarity with various valuation methods, revealing strong grounding in conventional techniques but limited exposure to modern approaches. Students were very familiar with the Comparative Method (mean: 3.94) and Cost Method (mean: 3.68), consistent with </w:t>
      </w:r>
      <w:r w:rsidRPr="00BE4AF3">
        <w:rPr>
          <w:rFonts w:ascii="Times New Roman" w:hAnsi="Times New Roman" w:cs="Times New Roman"/>
          <w:color w:val="222222"/>
          <w:sz w:val="24"/>
          <w:szCs w:val="24"/>
          <w:shd w:val="clear" w:color="auto" w:fill="FFFFFF"/>
        </w:rPr>
        <w:t>Effiong &amp; Ewah (2025</w:t>
      </w:r>
      <w:r w:rsidRPr="00BE4AF3">
        <w:rPr>
          <w:rFonts w:ascii="Times New Roman" w:eastAsia="Times New Roman" w:hAnsi="Times New Roman" w:cs="Times New Roman"/>
          <w:sz w:val="24"/>
          <w:szCs w:val="24"/>
          <w:lang w:eastAsia="en-GB"/>
        </w:rPr>
        <w:t xml:space="preserve">); and </w:t>
      </w:r>
      <w:r w:rsidRPr="00BE4AF3">
        <w:rPr>
          <w:rFonts w:ascii="Times New Roman" w:hAnsi="Times New Roman" w:cs="Times New Roman"/>
          <w:color w:val="222222"/>
          <w:sz w:val="24"/>
          <w:szCs w:val="24"/>
          <w:shd w:val="clear" w:color="auto" w:fill="FFFFFF"/>
        </w:rPr>
        <w:t>Abidoye &amp; Chan (2016)</w:t>
      </w:r>
      <w:r w:rsidRPr="00BE4AF3">
        <w:rPr>
          <w:rFonts w:ascii="Times New Roman" w:eastAsia="Times New Roman" w:hAnsi="Times New Roman" w:cs="Times New Roman"/>
          <w:sz w:val="24"/>
          <w:szCs w:val="24"/>
          <w:lang w:eastAsia="en-GB"/>
        </w:rPr>
        <w:t xml:space="preserve">, who noted these methods' prominence in Nigerian curricula. These methods are relatively intuitive, frequently taught, and often reinforced through textbook examples and classroom instruction, which likely contributes to students’ confidence in them. However, familiarity dropped for more complex traditional methods such as the Income Capitalization (2.47), Profit (2.32), and Residual (2.29) methods, suggesting gaps in instruction and practical application, as supported by </w:t>
      </w:r>
      <w:r w:rsidRPr="00BE4AF3">
        <w:rPr>
          <w:rFonts w:ascii="Times New Roman" w:hAnsi="Times New Roman" w:cs="Times New Roman"/>
          <w:color w:val="222222"/>
          <w:sz w:val="24"/>
          <w:szCs w:val="24"/>
          <w:shd w:val="clear" w:color="auto" w:fill="FFFFFF"/>
        </w:rPr>
        <w:t xml:space="preserve">Effiong &amp; Ewah (2025). </w:t>
      </w:r>
      <w:r w:rsidRPr="00BE4AF3">
        <w:rPr>
          <w:rFonts w:ascii="Times New Roman" w:eastAsia="Times New Roman" w:hAnsi="Times New Roman" w:cs="Times New Roman"/>
          <w:sz w:val="24"/>
          <w:szCs w:val="24"/>
          <w:lang w:eastAsia="en-GB"/>
        </w:rPr>
        <w:t>These methods involve more advanced financial calculations and assumptions, which are not well covered or effectively taught in many valuation programs. Students’ limited exposure and practical application may contribute to their weaker confidence and understanding in this area.</w:t>
      </w:r>
    </w:p>
    <w:p w14:paraId="0C3B78B1" w14:textId="77777777" w:rsidR="00A84E96" w:rsidRDefault="00A84E96" w:rsidP="00FB5F15">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 xml:space="preserve">In terms of contemporary methods, the Discounted Cash Flow (DCF) Model had modest recognition (2.82), while Automated Valuation Models (AVMs), Hedonic Pricing, and GIS-based valuation scored only 1.41, indicating near-total unfamiliarity. This finding highlights a significant curriculum gap in digital and data-driven tools. As emphasized by </w:t>
      </w:r>
      <w:r w:rsidRPr="00BE4AF3">
        <w:rPr>
          <w:rFonts w:ascii="Times New Roman" w:hAnsi="Times New Roman" w:cs="Times New Roman"/>
          <w:sz w:val="24"/>
          <w:szCs w:val="24"/>
        </w:rPr>
        <w:t xml:space="preserve">Abidoye et al., 2024; </w:t>
      </w:r>
      <w:r w:rsidRPr="00BE4AF3">
        <w:rPr>
          <w:rFonts w:ascii="Times New Roman" w:hAnsi="Times New Roman" w:cs="Times New Roman"/>
          <w:sz w:val="24"/>
          <w:szCs w:val="24"/>
          <w:lang w:eastAsia="en-ZA"/>
        </w:rPr>
        <w:t>Zeicu et al., 2017</w:t>
      </w:r>
      <w:r w:rsidRPr="00BE4AF3">
        <w:rPr>
          <w:rFonts w:ascii="Times New Roman" w:eastAsia="Times New Roman" w:hAnsi="Times New Roman" w:cs="Times New Roman"/>
          <w:sz w:val="24"/>
          <w:szCs w:val="24"/>
          <w:lang w:eastAsia="en-GB"/>
        </w:rPr>
        <w:t>, such tools are vital in today’s valuation practice, particularly with the increasing availability of big data and the integration of GIS in urban analytics. Without exposure to them, graduates risk being underprepared for the evolving demands of a tech-driven real estate industry. In summary, while students are confident in basic valuation methods, there is an urgent need for curriculum reform to incorporate advanced modelling techniques, digital tools, and real-world data applications to enhance professional readiness.</w:t>
      </w:r>
    </w:p>
    <w:p w14:paraId="103A0BC5" w14:textId="77777777" w:rsidR="00FB5F15" w:rsidRDefault="00FB5F15" w:rsidP="00FB5F15">
      <w:pPr>
        <w:spacing w:after="0" w:line="240" w:lineRule="auto"/>
        <w:jc w:val="both"/>
        <w:rPr>
          <w:rFonts w:ascii="Times New Roman" w:eastAsia="Times New Roman" w:hAnsi="Times New Roman" w:cs="Times New Roman"/>
          <w:sz w:val="24"/>
          <w:szCs w:val="24"/>
          <w:lang w:eastAsia="en-GB"/>
        </w:rPr>
      </w:pPr>
    </w:p>
    <w:p w14:paraId="0A563221" w14:textId="77777777" w:rsidR="00FB5F15" w:rsidRDefault="00FB5F15" w:rsidP="00FB5F15">
      <w:pPr>
        <w:spacing w:after="0" w:line="240" w:lineRule="auto"/>
        <w:jc w:val="both"/>
        <w:rPr>
          <w:rFonts w:ascii="Times New Roman" w:eastAsia="Times New Roman" w:hAnsi="Times New Roman" w:cs="Times New Roman"/>
          <w:sz w:val="24"/>
          <w:szCs w:val="24"/>
          <w:lang w:eastAsia="en-GB"/>
        </w:rPr>
      </w:pPr>
    </w:p>
    <w:p w14:paraId="1DC7F7F7" w14:textId="77777777" w:rsidR="00FB5F15" w:rsidRDefault="00FB5F15" w:rsidP="00FB5F15">
      <w:pPr>
        <w:spacing w:after="0" w:line="240" w:lineRule="auto"/>
        <w:jc w:val="both"/>
        <w:rPr>
          <w:rFonts w:ascii="Times New Roman" w:eastAsia="Times New Roman" w:hAnsi="Times New Roman" w:cs="Times New Roman"/>
          <w:sz w:val="24"/>
          <w:szCs w:val="24"/>
          <w:lang w:eastAsia="en-GB"/>
        </w:rPr>
      </w:pPr>
    </w:p>
    <w:p w14:paraId="2BD4F3F8" w14:textId="77777777" w:rsidR="00FB5F15" w:rsidRDefault="00FB5F15" w:rsidP="00FB5F15">
      <w:pPr>
        <w:spacing w:after="0" w:line="240" w:lineRule="auto"/>
        <w:jc w:val="both"/>
        <w:rPr>
          <w:rFonts w:ascii="Times New Roman" w:eastAsia="Times New Roman" w:hAnsi="Times New Roman" w:cs="Times New Roman"/>
          <w:sz w:val="24"/>
          <w:szCs w:val="24"/>
          <w:lang w:eastAsia="en-GB"/>
        </w:rPr>
      </w:pPr>
    </w:p>
    <w:p w14:paraId="532055C5" w14:textId="77777777" w:rsidR="00FB5F15" w:rsidRDefault="00FB5F15" w:rsidP="00FB5F15">
      <w:pPr>
        <w:spacing w:after="0" w:line="240" w:lineRule="auto"/>
        <w:jc w:val="both"/>
        <w:rPr>
          <w:rFonts w:ascii="Times New Roman" w:eastAsia="Times New Roman" w:hAnsi="Times New Roman" w:cs="Times New Roman"/>
          <w:sz w:val="24"/>
          <w:szCs w:val="24"/>
          <w:lang w:eastAsia="en-GB"/>
        </w:rPr>
      </w:pPr>
    </w:p>
    <w:p w14:paraId="51430D03" w14:textId="77777777" w:rsidR="00FB5F15" w:rsidRDefault="00FB5F15" w:rsidP="00FB5F15">
      <w:pPr>
        <w:spacing w:after="0" w:line="240" w:lineRule="auto"/>
        <w:jc w:val="both"/>
        <w:rPr>
          <w:rFonts w:ascii="Times New Roman" w:eastAsia="Times New Roman" w:hAnsi="Times New Roman" w:cs="Times New Roman"/>
          <w:sz w:val="24"/>
          <w:szCs w:val="24"/>
          <w:lang w:eastAsia="en-GB"/>
        </w:rPr>
      </w:pPr>
    </w:p>
    <w:p w14:paraId="6D0944E9" w14:textId="77777777" w:rsidR="00FB5F15" w:rsidRDefault="00FB5F15" w:rsidP="00FB5F15">
      <w:pPr>
        <w:spacing w:after="0" w:line="240" w:lineRule="auto"/>
        <w:jc w:val="both"/>
        <w:rPr>
          <w:rFonts w:ascii="Times New Roman" w:eastAsia="Times New Roman" w:hAnsi="Times New Roman" w:cs="Times New Roman"/>
          <w:sz w:val="24"/>
          <w:szCs w:val="24"/>
          <w:lang w:eastAsia="en-GB"/>
        </w:rPr>
      </w:pPr>
    </w:p>
    <w:p w14:paraId="4561B84F" w14:textId="77777777" w:rsidR="00FB5F15" w:rsidRDefault="00FB5F15" w:rsidP="00FB5F15">
      <w:pPr>
        <w:spacing w:after="0" w:line="240" w:lineRule="auto"/>
        <w:jc w:val="both"/>
        <w:rPr>
          <w:rFonts w:ascii="Times New Roman" w:eastAsia="Times New Roman" w:hAnsi="Times New Roman" w:cs="Times New Roman"/>
          <w:sz w:val="24"/>
          <w:szCs w:val="24"/>
          <w:lang w:eastAsia="en-GB"/>
        </w:rPr>
      </w:pPr>
    </w:p>
    <w:p w14:paraId="0446823F" w14:textId="77777777" w:rsidR="00FB5F15" w:rsidRDefault="00FB5F15" w:rsidP="00FB5F15">
      <w:pPr>
        <w:spacing w:after="0" w:line="240" w:lineRule="auto"/>
        <w:jc w:val="both"/>
        <w:rPr>
          <w:rFonts w:ascii="Times New Roman" w:eastAsia="Times New Roman" w:hAnsi="Times New Roman" w:cs="Times New Roman"/>
          <w:sz w:val="24"/>
          <w:szCs w:val="24"/>
          <w:lang w:eastAsia="en-GB"/>
        </w:rPr>
      </w:pPr>
    </w:p>
    <w:p w14:paraId="24F32F04" w14:textId="77777777" w:rsidR="00FB5F15" w:rsidRPr="00BE4AF3" w:rsidRDefault="00FB5F15" w:rsidP="00FB5F15">
      <w:pPr>
        <w:spacing w:after="0" w:line="240" w:lineRule="auto"/>
        <w:jc w:val="both"/>
        <w:rPr>
          <w:rFonts w:ascii="Times New Roman" w:eastAsia="Times New Roman" w:hAnsi="Times New Roman" w:cs="Times New Roman"/>
          <w:sz w:val="24"/>
          <w:szCs w:val="24"/>
          <w:lang w:eastAsia="en-GB"/>
        </w:rPr>
      </w:pPr>
    </w:p>
    <w:p w14:paraId="6091DF56" w14:textId="77777777" w:rsidR="00A84E96" w:rsidRPr="00D75102" w:rsidRDefault="00A84E96" w:rsidP="00D75102">
      <w:pPr>
        <w:pStyle w:val="NormalWeb"/>
        <w:spacing w:before="0" w:beforeAutospacing="0" w:after="0" w:afterAutospacing="0"/>
        <w:jc w:val="center"/>
        <w:rPr>
          <w:bCs/>
        </w:rPr>
      </w:pPr>
      <w:r w:rsidRPr="00BE4AF3">
        <w:rPr>
          <w:b/>
        </w:rPr>
        <w:t xml:space="preserve">Table 2: </w:t>
      </w:r>
      <w:r w:rsidRPr="00D75102">
        <w:rPr>
          <w:bCs/>
        </w:rPr>
        <w:t>Additional Self-Assessment Statements</w:t>
      </w:r>
    </w:p>
    <w:tbl>
      <w:tblPr>
        <w:tblStyle w:val="PlainTable2"/>
        <w:tblW w:w="8085" w:type="dxa"/>
        <w:jc w:val="center"/>
        <w:tblLook w:val="0620" w:firstRow="1" w:lastRow="0" w:firstColumn="0" w:lastColumn="0" w:noHBand="1" w:noVBand="1"/>
      </w:tblPr>
      <w:tblGrid>
        <w:gridCol w:w="5387"/>
        <w:gridCol w:w="1276"/>
        <w:gridCol w:w="1422"/>
      </w:tblGrid>
      <w:tr w:rsidR="00A84E96" w:rsidRPr="00D75102" w14:paraId="16DFE8F4" w14:textId="77777777" w:rsidTr="00D75102">
        <w:trPr>
          <w:cnfStyle w:val="100000000000" w:firstRow="1" w:lastRow="0" w:firstColumn="0" w:lastColumn="0" w:oddVBand="0" w:evenVBand="0" w:oddHBand="0" w:evenHBand="0" w:firstRowFirstColumn="0" w:firstRowLastColumn="0" w:lastRowFirstColumn="0" w:lastRowLastColumn="0"/>
          <w:trHeight w:val="245"/>
          <w:jc w:val="center"/>
        </w:trPr>
        <w:tc>
          <w:tcPr>
            <w:tcW w:w="5387" w:type="dxa"/>
          </w:tcPr>
          <w:p w14:paraId="5731D98E" w14:textId="77777777" w:rsidR="00A84E96" w:rsidRPr="00D75102" w:rsidRDefault="00A84E96" w:rsidP="00A84E96">
            <w:pPr>
              <w:spacing w:before="100" w:beforeAutospacing="1" w:after="100" w:afterAutospacing="1"/>
              <w:jc w:val="both"/>
              <w:rPr>
                <w:rFonts w:ascii="Times New Roman" w:hAnsi="Times New Roman" w:cs="Times New Roman"/>
                <w:b w:val="0"/>
                <w:sz w:val="20"/>
                <w:szCs w:val="20"/>
              </w:rPr>
            </w:pPr>
            <w:r w:rsidRPr="00D75102">
              <w:rPr>
                <w:rFonts w:ascii="Times New Roman" w:hAnsi="Times New Roman" w:cs="Times New Roman"/>
                <w:b w:val="0"/>
                <w:sz w:val="20"/>
                <w:szCs w:val="20"/>
              </w:rPr>
              <w:t>Statements</w:t>
            </w:r>
          </w:p>
        </w:tc>
        <w:tc>
          <w:tcPr>
            <w:tcW w:w="1276" w:type="dxa"/>
          </w:tcPr>
          <w:p w14:paraId="2E740B55" w14:textId="77777777" w:rsidR="00A84E96" w:rsidRPr="00D75102" w:rsidRDefault="00A84E96" w:rsidP="00A84E96">
            <w:pPr>
              <w:spacing w:before="100" w:beforeAutospacing="1" w:after="100" w:afterAutospacing="1"/>
              <w:jc w:val="both"/>
              <w:rPr>
                <w:rFonts w:ascii="Times New Roman" w:hAnsi="Times New Roman" w:cs="Times New Roman"/>
                <w:b w:val="0"/>
                <w:sz w:val="20"/>
                <w:szCs w:val="20"/>
              </w:rPr>
            </w:pPr>
            <w:r w:rsidRPr="00D75102">
              <w:rPr>
                <w:rFonts w:ascii="Times New Roman" w:hAnsi="Times New Roman" w:cs="Times New Roman"/>
                <w:b w:val="0"/>
                <w:sz w:val="20"/>
                <w:szCs w:val="20"/>
              </w:rPr>
              <w:t>Mean score</w:t>
            </w:r>
          </w:p>
        </w:tc>
        <w:tc>
          <w:tcPr>
            <w:tcW w:w="1422" w:type="dxa"/>
          </w:tcPr>
          <w:p w14:paraId="34E38130" w14:textId="77777777" w:rsidR="00A84E96" w:rsidRPr="00D75102" w:rsidRDefault="00A84E96" w:rsidP="00A84E96">
            <w:pPr>
              <w:spacing w:before="100" w:beforeAutospacing="1" w:after="100" w:afterAutospacing="1"/>
              <w:jc w:val="both"/>
              <w:rPr>
                <w:rFonts w:ascii="Times New Roman" w:hAnsi="Times New Roman" w:cs="Times New Roman"/>
                <w:b w:val="0"/>
                <w:sz w:val="20"/>
                <w:szCs w:val="20"/>
              </w:rPr>
            </w:pPr>
            <w:r w:rsidRPr="00D75102">
              <w:rPr>
                <w:rFonts w:ascii="Times New Roman" w:hAnsi="Times New Roman" w:cs="Times New Roman"/>
                <w:b w:val="0"/>
                <w:sz w:val="20"/>
                <w:szCs w:val="20"/>
              </w:rPr>
              <w:t xml:space="preserve">Decision </w:t>
            </w:r>
          </w:p>
        </w:tc>
      </w:tr>
      <w:tr w:rsidR="00A84E96" w:rsidRPr="00D75102" w14:paraId="739D13FB" w14:textId="77777777" w:rsidTr="00D75102">
        <w:trPr>
          <w:trHeight w:val="506"/>
          <w:jc w:val="center"/>
        </w:trPr>
        <w:tc>
          <w:tcPr>
            <w:tcW w:w="5387" w:type="dxa"/>
          </w:tcPr>
          <w:p w14:paraId="26F89C4D"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hAnsi="Times New Roman" w:cs="Times New Roman"/>
                <w:sz w:val="20"/>
                <w:szCs w:val="20"/>
              </w:rPr>
              <w:t>I have received adequate training on the conventional method of valuation</w:t>
            </w:r>
          </w:p>
        </w:tc>
        <w:tc>
          <w:tcPr>
            <w:tcW w:w="1276" w:type="dxa"/>
          </w:tcPr>
          <w:p w14:paraId="2A9110A3"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hAnsi="Times New Roman" w:cs="Times New Roman"/>
                <w:sz w:val="20"/>
                <w:szCs w:val="20"/>
              </w:rPr>
              <w:t>3.78</w:t>
            </w:r>
          </w:p>
        </w:tc>
        <w:tc>
          <w:tcPr>
            <w:tcW w:w="1422" w:type="dxa"/>
          </w:tcPr>
          <w:p w14:paraId="1A380ED0"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eastAsia="Times New Roman" w:hAnsi="Times New Roman" w:cs="Times New Roman"/>
                <w:bCs/>
                <w:sz w:val="20"/>
                <w:szCs w:val="20"/>
                <w:lang w:eastAsia="en-GB"/>
              </w:rPr>
              <w:t>Agree</w:t>
            </w:r>
          </w:p>
        </w:tc>
      </w:tr>
      <w:tr w:rsidR="00A84E96" w:rsidRPr="00D75102" w14:paraId="60141F04" w14:textId="77777777" w:rsidTr="00D75102">
        <w:trPr>
          <w:trHeight w:val="490"/>
          <w:jc w:val="center"/>
        </w:trPr>
        <w:tc>
          <w:tcPr>
            <w:tcW w:w="5387" w:type="dxa"/>
          </w:tcPr>
          <w:p w14:paraId="6C147CE4"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hAnsi="Times New Roman" w:cs="Times New Roman"/>
                <w:sz w:val="20"/>
                <w:szCs w:val="20"/>
              </w:rPr>
              <w:t>I am confident in applying the comparative and cost method to valuation problems.</w:t>
            </w:r>
          </w:p>
        </w:tc>
        <w:tc>
          <w:tcPr>
            <w:tcW w:w="1276" w:type="dxa"/>
          </w:tcPr>
          <w:p w14:paraId="690828A4"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hAnsi="Times New Roman" w:cs="Times New Roman"/>
                <w:sz w:val="20"/>
                <w:szCs w:val="20"/>
              </w:rPr>
              <w:t xml:space="preserve">3.86  </w:t>
            </w:r>
          </w:p>
        </w:tc>
        <w:tc>
          <w:tcPr>
            <w:tcW w:w="1422" w:type="dxa"/>
          </w:tcPr>
          <w:p w14:paraId="790C187B"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eastAsia="Times New Roman" w:hAnsi="Times New Roman" w:cs="Times New Roman"/>
                <w:bCs/>
                <w:sz w:val="20"/>
                <w:szCs w:val="20"/>
                <w:lang w:eastAsia="en-GB"/>
              </w:rPr>
              <w:t>Agree</w:t>
            </w:r>
          </w:p>
        </w:tc>
      </w:tr>
      <w:tr w:rsidR="00A84E96" w:rsidRPr="00D75102" w14:paraId="10F36D6D" w14:textId="77777777" w:rsidTr="00D75102">
        <w:trPr>
          <w:trHeight w:val="506"/>
          <w:jc w:val="center"/>
        </w:trPr>
        <w:tc>
          <w:tcPr>
            <w:tcW w:w="5387" w:type="dxa"/>
          </w:tcPr>
          <w:p w14:paraId="7EF6D1DD"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hAnsi="Times New Roman" w:cs="Times New Roman"/>
                <w:sz w:val="20"/>
                <w:szCs w:val="20"/>
              </w:rPr>
              <w:t>I am confident in applying the income, profit and residual methods to valuation problems.</w:t>
            </w:r>
          </w:p>
        </w:tc>
        <w:tc>
          <w:tcPr>
            <w:tcW w:w="1276" w:type="dxa"/>
          </w:tcPr>
          <w:p w14:paraId="5DDDFD53"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hAnsi="Times New Roman" w:cs="Times New Roman"/>
                <w:sz w:val="20"/>
                <w:szCs w:val="20"/>
              </w:rPr>
              <w:t>2.33</w:t>
            </w:r>
          </w:p>
        </w:tc>
        <w:tc>
          <w:tcPr>
            <w:tcW w:w="1422" w:type="dxa"/>
          </w:tcPr>
          <w:p w14:paraId="284C44AD"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eastAsia="Times New Roman" w:hAnsi="Times New Roman" w:cs="Times New Roman"/>
                <w:bCs/>
                <w:sz w:val="20"/>
                <w:szCs w:val="20"/>
                <w:lang w:eastAsia="en-GB"/>
              </w:rPr>
              <w:t>Disagree</w:t>
            </w:r>
          </w:p>
        </w:tc>
      </w:tr>
      <w:tr w:rsidR="00A84E96" w:rsidRPr="00D75102" w14:paraId="06436014" w14:textId="77777777" w:rsidTr="00D75102">
        <w:trPr>
          <w:trHeight w:val="506"/>
          <w:jc w:val="center"/>
        </w:trPr>
        <w:tc>
          <w:tcPr>
            <w:tcW w:w="5387" w:type="dxa"/>
          </w:tcPr>
          <w:p w14:paraId="65B9BA7F" w14:textId="7A2E8DE9" w:rsidR="00A84E96" w:rsidRPr="00D75102" w:rsidRDefault="00A84E96" w:rsidP="00A84E96">
            <w:pPr>
              <w:spacing w:before="100" w:beforeAutospacing="1" w:after="100" w:afterAutospacing="1"/>
              <w:jc w:val="both"/>
              <w:rPr>
                <w:rFonts w:ascii="Times New Roman" w:hAnsi="Times New Roman" w:cs="Times New Roman"/>
                <w:sz w:val="20"/>
                <w:szCs w:val="20"/>
              </w:rPr>
            </w:pPr>
            <w:r w:rsidRPr="00D75102">
              <w:rPr>
                <w:rFonts w:ascii="Times New Roman" w:hAnsi="Times New Roman" w:cs="Times New Roman"/>
                <w:sz w:val="20"/>
                <w:szCs w:val="20"/>
              </w:rPr>
              <w:t xml:space="preserve">I have received adequate training on the </w:t>
            </w:r>
            <w:r w:rsidR="00D75102" w:rsidRPr="00D75102">
              <w:rPr>
                <w:rFonts w:ascii="Times New Roman" w:hAnsi="Times New Roman" w:cs="Times New Roman"/>
                <w:sz w:val="20"/>
                <w:szCs w:val="20"/>
              </w:rPr>
              <w:t>contemporary method</w:t>
            </w:r>
            <w:r w:rsidRPr="00D75102">
              <w:rPr>
                <w:rFonts w:ascii="Times New Roman" w:hAnsi="Times New Roman" w:cs="Times New Roman"/>
                <w:sz w:val="20"/>
                <w:szCs w:val="20"/>
              </w:rPr>
              <w:t xml:space="preserve"> of valuation</w:t>
            </w:r>
          </w:p>
        </w:tc>
        <w:tc>
          <w:tcPr>
            <w:tcW w:w="1276" w:type="dxa"/>
          </w:tcPr>
          <w:p w14:paraId="21349A6B"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hAnsi="Times New Roman" w:cs="Times New Roman"/>
                <w:sz w:val="20"/>
                <w:szCs w:val="20"/>
              </w:rPr>
              <w:t>1.15</w:t>
            </w:r>
          </w:p>
        </w:tc>
        <w:tc>
          <w:tcPr>
            <w:tcW w:w="1422" w:type="dxa"/>
          </w:tcPr>
          <w:p w14:paraId="7A14AD25" w14:textId="77777777" w:rsidR="00A84E96" w:rsidRPr="00D75102" w:rsidRDefault="00A84E96" w:rsidP="00A84E96">
            <w:pPr>
              <w:spacing w:before="100" w:beforeAutospacing="1" w:after="100" w:afterAutospacing="1"/>
              <w:jc w:val="both"/>
              <w:rPr>
                <w:rFonts w:ascii="Times New Roman" w:hAnsi="Times New Roman" w:cs="Times New Roman"/>
                <w:sz w:val="20"/>
                <w:szCs w:val="20"/>
              </w:rPr>
            </w:pPr>
            <w:r w:rsidRPr="00D75102">
              <w:rPr>
                <w:rFonts w:ascii="Times New Roman" w:hAnsi="Times New Roman" w:cs="Times New Roman"/>
                <w:sz w:val="20"/>
                <w:szCs w:val="20"/>
              </w:rPr>
              <w:t>Strongly Disa</w:t>
            </w:r>
            <w:r w:rsidRPr="00D75102">
              <w:rPr>
                <w:rFonts w:ascii="Times New Roman" w:eastAsia="Times New Roman" w:hAnsi="Times New Roman" w:cs="Times New Roman"/>
                <w:bCs/>
                <w:sz w:val="20"/>
                <w:szCs w:val="20"/>
                <w:lang w:eastAsia="en-GB"/>
              </w:rPr>
              <w:t>gree</w:t>
            </w:r>
          </w:p>
        </w:tc>
      </w:tr>
      <w:tr w:rsidR="00A84E96" w:rsidRPr="00D75102" w14:paraId="2C3D2B4E" w14:textId="77777777" w:rsidTr="00D75102">
        <w:trPr>
          <w:trHeight w:val="490"/>
          <w:jc w:val="center"/>
        </w:trPr>
        <w:tc>
          <w:tcPr>
            <w:tcW w:w="5387" w:type="dxa"/>
          </w:tcPr>
          <w:p w14:paraId="61C987A6"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hAnsi="Times New Roman" w:cs="Times New Roman"/>
                <w:sz w:val="20"/>
                <w:szCs w:val="20"/>
              </w:rPr>
              <w:t>I can interpret results generated by automated or statistical valuation models.</w:t>
            </w:r>
          </w:p>
        </w:tc>
        <w:tc>
          <w:tcPr>
            <w:tcW w:w="1276" w:type="dxa"/>
          </w:tcPr>
          <w:p w14:paraId="0B65E7D7"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hAnsi="Times New Roman" w:cs="Times New Roman"/>
                <w:sz w:val="20"/>
                <w:szCs w:val="20"/>
              </w:rPr>
              <w:t>1.12</w:t>
            </w:r>
          </w:p>
        </w:tc>
        <w:tc>
          <w:tcPr>
            <w:tcW w:w="1422" w:type="dxa"/>
          </w:tcPr>
          <w:p w14:paraId="5F7BD23C"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hAnsi="Times New Roman" w:cs="Times New Roman"/>
                <w:sz w:val="20"/>
                <w:szCs w:val="20"/>
              </w:rPr>
              <w:t>Strongly Disa</w:t>
            </w:r>
            <w:r w:rsidRPr="00D75102">
              <w:rPr>
                <w:rFonts w:ascii="Times New Roman" w:eastAsia="Times New Roman" w:hAnsi="Times New Roman" w:cs="Times New Roman"/>
                <w:bCs/>
                <w:sz w:val="20"/>
                <w:szCs w:val="20"/>
                <w:lang w:eastAsia="en-GB"/>
              </w:rPr>
              <w:t>gree</w:t>
            </w:r>
          </w:p>
        </w:tc>
      </w:tr>
    </w:tbl>
    <w:p w14:paraId="41B30B34" w14:textId="77777777" w:rsidR="00A84E96" w:rsidRDefault="00A84E96" w:rsidP="00D75102">
      <w:pPr>
        <w:pStyle w:val="NormalWeb"/>
        <w:spacing w:before="0" w:beforeAutospacing="0" w:after="0" w:afterAutospacing="0"/>
        <w:jc w:val="center"/>
        <w:rPr>
          <w:bCs/>
        </w:rPr>
      </w:pPr>
      <w:r w:rsidRPr="00BE4AF3">
        <w:rPr>
          <w:bCs/>
        </w:rPr>
        <w:t>Source: Authors’ Construct, 2025.</w:t>
      </w:r>
    </w:p>
    <w:p w14:paraId="6C9F227C" w14:textId="77777777" w:rsidR="0014525F" w:rsidRPr="00BE4AF3" w:rsidRDefault="0014525F" w:rsidP="00D75102">
      <w:pPr>
        <w:pStyle w:val="NormalWeb"/>
        <w:spacing w:before="0" w:beforeAutospacing="0" w:after="0" w:afterAutospacing="0"/>
        <w:jc w:val="center"/>
        <w:rPr>
          <w:bCs/>
        </w:rPr>
      </w:pPr>
    </w:p>
    <w:p w14:paraId="0CC1A8C1" w14:textId="77777777" w:rsidR="00A84E96" w:rsidRPr="00BE4AF3" w:rsidRDefault="00A84E96" w:rsidP="00D75102">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 xml:space="preserve">The findings from the self-assessment data in Table 2 reveal critical insights into the extent of students’ preparedness in applying both conventional and contemporary property valuation methods. A mean score of </w:t>
      </w:r>
      <w:r w:rsidRPr="00BE4AF3">
        <w:rPr>
          <w:rFonts w:ascii="Times New Roman" w:eastAsia="Times New Roman" w:hAnsi="Times New Roman" w:cs="Times New Roman"/>
          <w:bCs/>
          <w:sz w:val="24"/>
          <w:szCs w:val="24"/>
          <w:lang w:eastAsia="en-GB"/>
        </w:rPr>
        <w:t>3.78</w:t>
      </w:r>
      <w:r w:rsidRPr="00BE4AF3">
        <w:rPr>
          <w:rFonts w:ascii="Times New Roman" w:eastAsia="Times New Roman" w:hAnsi="Times New Roman" w:cs="Times New Roman"/>
          <w:sz w:val="24"/>
          <w:szCs w:val="24"/>
          <w:lang w:eastAsia="en-GB"/>
        </w:rPr>
        <w:t xml:space="preserve"> for the statement on adequate training in conventional methods suggests that most students believe they have received sufficient instruction in traditional techniques such as the comparative and cost approaches. This aligns with the literature, particularly </w:t>
      </w:r>
      <w:r w:rsidRPr="00BE4AF3">
        <w:rPr>
          <w:rFonts w:ascii="Times New Roman" w:hAnsi="Times New Roman" w:cs="Times New Roman"/>
          <w:color w:val="222222"/>
          <w:sz w:val="24"/>
          <w:szCs w:val="24"/>
          <w:shd w:val="clear" w:color="auto" w:fill="FFFFFF"/>
        </w:rPr>
        <w:t>Effiong &amp; Ewah (2025</w:t>
      </w:r>
      <w:r w:rsidRPr="00BE4AF3">
        <w:rPr>
          <w:rFonts w:ascii="Times New Roman" w:eastAsia="Times New Roman" w:hAnsi="Times New Roman" w:cs="Times New Roman"/>
          <w:sz w:val="24"/>
          <w:szCs w:val="24"/>
          <w:lang w:eastAsia="en-GB"/>
        </w:rPr>
        <w:t xml:space="preserve">); and </w:t>
      </w:r>
      <w:r w:rsidRPr="00BE4AF3">
        <w:rPr>
          <w:rFonts w:ascii="Times New Roman" w:hAnsi="Times New Roman" w:cs="Times New Roman"/>
          <w:color w:val="222222"/>
          <w:sz w:val="24"/>
          <w:szCs w:val="24"/>
          <w:shd w:val="clear" w:color="auto" w:fill="FFFFFF"/>
        </w:rPr>
        <w:t>Abidoye &amp; Chan (2016)</w:t>
      </w:r>
      <w:r w:rsidRPr="00BE4AF3">
        <w:rPr>
          <w:rFonts w:ascii="Times New Roman" w:eastAsia="Times New Roman" w:hAnsi="Times New Roman" w:cs="Times New Roman"/>
          <w:sz w:val="24"/>
          <w:szCs w:val="24"/>
          <w:lang w:eastAsia="en-GB"/>
        </w:rPr>
        <w:t>, who noted that property valuation education in many Nigerian institutions remains heavily skewed toward conventional methods, often at the expense of innovation and practical integration.</w:t>
      </w:r>
    </w:p>
    <w:p w14:paraId="7C73A5F0" w14:textId="77777777" w:rsidR="00A84E96" w:rsidRPr="00BE4AF3" w:rsidRDefault="00A84E96" w:rsidP="00D75102">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 xml:space="preserve">Similarly, students expressed confidence in applying the comparative and cost methods, evidenced by a mean score of </w:t>
      </w:r>
      <w:r w:rsidRPr="00BE4AF3">
        <w:rPr>
          <w:rFonts w:ascii="Times New Roman" w:eastAsia="Times New Roman" w:hAnsi="Times New Roman" w:cs="Times New Roman"/>
          <w:bCs/>
          <w:sz w:val="24"/>
          <w:szCs w:val="24"/>
          <w:lang w:eastAsia="en-GB"/>
        </w:rPr>
        <w:t>3.86</w:t>
      </w:r>
      <w:r w:rsidRPr="00BE4AF3">
        <w:rPr>
          <w:rFonts w:ascii="Times New Roman" w:eastAsia="Times New Roman" w:hAnsi="Times New Roman" w:cs="Times New Roman"/>
          <w:sz w:val="24"/>
          <w:szCs w:val="24"/>
          <w:lang w:eastAsia="en-GB"/>
        </w:rPr>
        <w:t xml:space="preserve">, reinforcing the assertion by </w:t>
      </w:r>
      <w:r w:rsidRPr="00BE4AF3">
        <w:rPr>
          <w:rFonts w:ascii="Times New Roman" w:hAnsi="Times New Roman" w:cs="Times New Roman"/>
          <w:color w:val="222222"/>
          <w:sz w:val="24"/>
          <w:szCs w:val="24"/>
          <w:shd w:val="clear" w:color="auto" w:fill="FFFFFF"/>
        </w:rPr>
        <w:t>Effiong &amp; Ewah (2025</w:t>
      </w:r>
      <w:r w:rsidRPr="00BE4AF3">
        <w:rPr>
          <w:rFonts w:ascii="Times New Roman" w:eastAsia="Times New Roman" w:hAnsi="Times New Roman" w:cs="Times New Roman"/>
          <w:sz w:val="24"/>
          <w:szCs w:val="24"/>
          <w:lang w:eastAsia="en-GB"/>
        </w:rPr>
        <w:t xml:space="preserve">) that these methods are usually introduced early and reinforced repeatedly throughout valuation curricula. However, confidence drops significantly in relation to more financially complex techniques such as the income, profit, and residual methods, which received a mean score of </w:t>
      </w:r>
      <w:r w:rsidRPr="00BE4AF3">
        <w:rPr>
          <w:rFonts w:ascii="Times New Roman" w:eastAsia="Times New Roman" w:hAnsi="Times New Roman" w:cs="Times New Roman"/>
          <w:bCs/>
          <w:sz w:val="24"/>
          <w:szCs w:val="24"/>
          <w:lang w:eastAsia="en-GB"/>
        </w:rPr>
        <w:t>2.33</w:t>
      </w:r>
      <w:r w:rsidRPr="00BE4AF3">
        <w:rPr>
          <w:rFonts w:ascii="Times New Roman" w:eastAsia="Times New Roman" w:hAnsi="Times New Roman" w:cs="Times New Roman"/>
          <w:sz w:val="24"/>
          <w:szCs w:val="24"/>
          <w:lang w:eastAsia="en-GB"/>
        </w:rPr>
        <w:t>. This supports previous observations by Chiwuzie et al., 2019 and Oloke et al., 2017 that students often struggle with valuation methods requiring deeper financial modelling and investment analysis, due to insufficient instruction and weak mathematical foundations.</w:t>
      </w:r>
    </w:p>
    <w:p w14:paraId="7BB1E05F" w14:textId="77777777" w:rsidR="00A84E96" w:rsidRPr="00BE4AF3" w:rsidRDefault="00A84E96" w:rsidP="00D75102">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 xml:space="preserve">More concerning is the extremely low mean score of </w:t>
      </w:r>
      <w:r w:rsidRPr="00BE4AF3">
        <w:rPr>
          <w:rFonts w:ascii="Times New Roman" w:eastAsia="Times New Roman" w:hAnsi="Times New Roman" w:cs="Times New Roman"/>
          <w:bCs/>
          <w:sz w:val="24"/>
          <w:szCs w:val="24"/>
          <w:lang w:eastAsia="en-GB"/>
        </w:rPr>
        <w:t>1.15</w:t>
      </w:r>
      <w:r w:rsidRPr="00BE4AF3">
        <w:rPr>
          <w:rFonts w:ascii="Times New Roman" w:eastAsia="Times New Roman" w:hAnsi="Times New Roman" w:cs="Times New Roman"/>
          <w:sz w:val="24"/>
          <w:szCs w:val="24"/>
          <w:lang w:eastAsia="en-GB"/>
        </w:rPr>
        <w:t xml:space="preserve"> regarding training in contemporary methods, such as Automated Valuation Models (AVMs), GIS-based models, and hedonic pricing. This strongly indicates that modern valuation technologies remain largely absent from formal instruction. </w:t>
      </w:r>
      <w:r w:rsidRPr="00BE4AF3">
        <w:rPr>
          <w:rFonts w:ascii="Times New Roman" w:hAnsi="Times New Roman" w:cs="Times New Roman"/>
          <w:sz w:val="24"/>
          <w:szCs w:val="24"/>
        </w:rPr>
        <w:t xml:space="preserve">Abidoye et al. (2024) and </w:t>
      </w:r>
      <w:r w:rsidRPr="00BE4AF3">
        <w:rPr>
          <w:rFonts w:ascii="Times New Roman" w:hAnsi="Times New Roman" w:cs="Times New Roman"/>
          <w:sz w:val="24"/>
          <w:szCs w:val="24"/>
          <w:lang w:eastAsia="en-ZA"/>
        </w:rPr>
        <w:t xml:space="preserve">Zeicu et al. (2017) </w:t>
      </w:r>
      <w:r w:rsidRPr="00BE4AF3">
        <w:rPr>
          <w:rFonts w:ascii="Times New Roman" w:eastAsia="Times New Roman" w:hAnsi="Times New Roman" w:cs="Times New Roman"/>
          <w:sz w:val="24"/>
          <w:szCs w:val="24"/>
          <w:lang w:eastAsia="en-GB"/>
        </w:rPr>
        <w:t xml:space="preserve">have emphasized the growing importance of digital valuation tools in professional practice, but also noted a persistent gap in academic curricula regarding these advancements. The students' inability to interpret automated valuation outputs (mean = </w:t>
      </w:r>
      <w:r w:rsidRPr="00BE4AF3">
        <w:rPr>
          <w:rFonts w:ascii="Times New Roman" w:eastAsia="Times New Roman" w:hAnsi="Times New Roman" w:cs="Times New Roman"/>
          <w:bCs/>
          <w:sz w:val="24"/>
          <w:szCs w:val="24"/>
          <w:lang w:eastAsia="en-GB"/>
        </w:rPr>
        <w:t>1.12</w:t>
      </w:r>
      <w:r w:rsidRPr="00BE4AF3">
        <w:rPr>
          <w:rFonts w:ascii="Times New Roman" w:eastAsia="Times New Roman" w:hAnsi="Times New Roman" w:cs="Times New Roman"/>
          <w:sz w:val="24"/>
          <w:szCs w:val="24"/>
          <w:lang w:eastAsia="en-GB"/>
        </w:rPr>
        <w:t>) further corroborates this curricular shortfall. This highlights a serious limitation in their readiness to engage with modern valuation technologies and analytical tools, which are increasingly important in current real estate practice.</w:t>
      </w:r>
    </w:p>
    <w:p w14:paraId="71B06878" w14:textId="5F2F6665" w:rsidR="00D75102" w:rsidRPr="00BE4AF3" w:rsidRDefault="00A84E96" w:rsidP="00D75102">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In summary, while students report moderate to high confidence in conventional methods, particularly the more basic ones, there are clear deficiencies in training and competence regarding both advanced traditional and modern, technology-driven valuation methods. These findings point to an urgent need for pedagogical reforms, including the integration of digital tools, applied financial modelling, and exposure to real-world datasets to better prepare students for evolving industry demands.</w:t>
      </w:r>
    </w:p>
    <w:p w14:paraId="0C43952B" w14:textId="77777777" w:rsidR="00A84E96" w:rsidRPr="00D75102" w:rsidRDefault="00A84E96" w:rsidP="00D75102">
      <w:pPr>
        <w:pStyle w:val="NormalWeb"/>
        <w:spacing w:before="0" w:beforeAutospacing="0" w:after="0" w:afterAutospacing="0"/>
        <w:jc w:val="center"/>
        <w:rPr>
          <w:bCs/>
        </w:rPr>
      </w:pPr>
      <w:r w:rsidRPr="00BE4AF3">
        <w:rPr>
          <w:b/>
        </w:rPr>
        <w:lastRenderedPageBreak/>
        <w:t xml:space="preserve">Table 3: </w:t>
      </w:r>
      <w:r w:rsidRPr="00D75102">
        <w:rPr>
          <w:bCs/>
        </w:rPr>
        <w:t>Pedagogical Approaches and Learner Experiences</w:t>
      </w:r>
    </w:p>
    <w:tbl>
      <w:tblPr>
        <w:tblStyle w:val="PlainTable2"/>
        <w:tblW w:w="8222" w:type="dxa"/>
        <w:jc w:val="center"/>
        <w:tblLook w:val="0620" w:firstRow="1" w:lastRow="0" w:firstColumn="0" w:lastColumn="0" w:noHBand="1" w:noVBand="1"/>
      </w:tblPr>
      <w:tblGrid>
        <w:gridCol w:w="5240"/>
        <w:gridCol w:w="1139"/>
        <w:gridCol w:w="1843"/>
      </w:tblGrid>
      <w:tr w:rsidR="00A84E96" w:rsidRPr="00D75102" w14:paraId="5138D121" w14:textId="77777777" w:rsidTr="00D75102">
        <w:trPr>
          <w:cnfStyle w:val="100000000000" w:firstRow="1" w:lastRow="0" w:firstColumn="0" w:lastColumn="0" w:oddVBand="0" w:evenVBand="0" w:oddHBand="0" w:evenHBand="0" w:firstRowFirstColumn="0" w:firstRowLastColumn="0" w:lastRowFirstColumn="0" w:lastRowLastColumn="0"/>
          <w:jc w:val="center"/>
        </w:trPr>
        <w:tc>
          <w:tcPr>
            <w:tcW w:w="5240" w:type="dxa"/>
          </w:tcPr>
          <w:p w14:paraId="17BE3FCE" w14:textId="77777777" w:rsidR="00A84E96" w:rsidRPr="00D75102" w:rsidRDefault="00A84E96" w:rsidP="00D75102">
            <w:pPr>
              <w:spacing w:after="0" w:line="240" w:lineRule="auto"/>
              <w:jc w:val="both"/>
              <w:rPr>
                <w:rFonts w:ascii="Times New Roman" w:hAnsi="Times New Roman" w:cs="Times New Roman"/>
                <w:b w:val="0"/>
                <w:sz w:val="20"/>
                <w:szCs w:val="20"/>
              </w:rPr>
            </w:pPr>
            <w:r w:rsidRPr="00D75102">
              <w:rPr>
                <w:rFonts w:ascii="Times New Roman" w:hAnsi="Times New Roman" w:cs="Times New Roman"/>
                <w:b w:val="0"/>
                <w:sz w:val="20"/>
                <w:szCs w:val="20"/>
              </w:rPr>
              <w:t xml:space="preserve">Statements </w:t>
            </w:r>
          </w:p>
        </w:tc>
        <w:tc>
          <w:tcPr>
            <w:tcW w:w="1139" w:type="dxa"/>
          </w:tcPr>
          <w:p w14:paraId="78A2899D" w14:textId="77777777" w:rsidR="00A84E96" w:rsidRPr="00D75102" w:rsidRDefault="00A84E96" w:rsidP="00D75102">
            <w:pPr>
              <w:spacing w:after="0" w:line="240" w:lineRule="auto"/>
              <w:jc w:val="both"/>
              <w:rPr>
                <w:rFonts w:ascii="Times New Roman" w:hAnsi="Times New Roman" w:cs="Times New Roman"/>
                <w:b w:val="0"/>
                <w:sz w:val="20"/>
                <w:szCs w:val="20"/>
              </w:rPr>
            </w:pPr>
            <w:r w:rsidRPr="00D75102">
              <w:rPr>
                <w:rFonts w:ascii="Times New Roman" w:hAnsi="Times New Roman" w:cs="Times New Roman"/>
                <w:b w:val="0"/>
                <w:sz w:val="20"/>
                <w:szCs w:val="20"/>
              </w:rPr>
              <w:t>Mean score</w:t>
            </w:r>
          </w:p>
        </w:tc>
        <w:tc>
          <w:tcPr>
            <w:tcW w:w="1843" w:type="dxa"/>
          </w:tcPr>
          <w:p w14:paraId="0E864CB1" w14:textId="77777777" w:rsidR="00A84E96" w:rsidRPr="00D75102" w:rsidRDefault="00A84E96" w:rsidP="00D75102">
            <w:pPr>
              <w:spacing w:after="0" w:line="240" w:lineRule="auto"/>
              <w:jc w:val="both"/>
              <w:rPr>
                <w:rFonts w:ascii="Times New Roman" w:hAnsi="Times New Roman" w:cs="Times New Roman"/>
                <w:b w:val="0"/>
                <w:sz w:val="20"/>
                <w:szCs w:val="20"/>
              </w:rPr>
            </w:pPr>
            <w:r w:rsidRPr="00D75102">
              <w:rPr>
                <w:rFonts w:ascii="Times New Roman" w:hAnsi="Times New Roman" w:cs="Times New Roman"/>
                <w:b w:val="0"/>
                <w:sz w:val="20"/>
                <w:szCs w:val="20"/>
              </w:rPr>
              <w:t xml:space="preserve">Decision </w:t>
            </w:r>
          </w:p>
        </w:tc>
      </w:tr>
      <w:tr w:rsidR="00A84E96" w:rsidRPr="00D75102" w14:paraId="7729BE48" w14:textId="77777777" w:rsidTr="00D75102">
        <w:trPr>
          <w:jc w:val="center"/>
        </w:trPr>
        <w:tc>
          <w:tcPr>
            <w:tcW w:w="5240" w:type="dxa"/>
          </w:tcPr>
          <w:p w14:paraId="0BBBCCFD" w14:textId="77777777" w:rsidR="00A84E96" w:rsidRPr="00D75102" w:rsidRDefault="00A84E96" w:rsidP="00D75102">
            <w:pPr>
              <w:spacing w:after="0" w:line="240" w:lineRule="auto"/>
              <w:jc w:val="both"/>
              <w:rPr>
                <w:rFonts w:ascii="Times New Roman" w:hAnsi="Times New Roman" w:cs="Times New Roman"/>
                <w:b/>
                <w:sz w:val="20"/>
                <w:szCs w:val="20"/>
              </w:rPr>
            </w:pPr>
            <w:r w:rsidRPr="00D75102">
              <w:rPr>
                <w:rFonts w:ascii="Times New Roman" w:hAnsi="Times New Roman" w:cs="Times New Roman"/>
                <w:sz w:val="20"/>
                <w:szCs w:val="20"/>
              </w:rPr>
              <w:t>Valuation courses were delivered in an engaging and interactive manner.</w:t>
            </w:r>
          </w:p>
        </w:tc>
        <w:tc>
          <w:tcPr>
            <w:tcW w:w="1139" w:type="dxa"/>
          </w:tcPr>
          <w:p w14:paraId="3EB3ABE6" w14:textId="77777777" w:rsidR="00A84E96" w:rsidRPr="00D75102" w:rsidRDefault="00A84E96" w:rsidP="00D75102">
            <w:pPr>
              <w:spacing w:after="0" w:line="240" w:lineRule="auto"/>
              <w:jc w:val="both"/>
              <w:rPr>
                <w:rFonts w:ascii="Times New Roman" w:hAnsi="Times New Roman" w:cs="Times New Roman"/>
                <w:sz w:val="20"/>
                <w:szCs w:val="20"/>
              </w:rPr>
            </w:pPr>
            <w:r w:rsidRPr="00D75102">
              <w:rPr>
                <w:rFonts w:ascii="Times New Roman" w:hAnsi="Times New Roman" w:cs="Times New Roman"/>
                <w:sz w:val="20"/>
                <w:szCs w:val="20"/>
              </w:rPr>
              <w:t>3.52</w:t>
            </w:r>
          </w:p>
        </w:tc>
        <w:tc>
          <w:tcPr>
            <w:tcW w:w="1843" w:type="dxa"/>
          </w:tcPr>
          <w:p w14:paraId="0DD673EB" w14:textId="77777777" w:rsidR="00A84E96" w:rsidRPr="00D75102" w:rsidRDefault="00A84E96" w:rsidP="00D75102">
            <w:pPr>
              <w:spacing w:after="0" w:line="240" w:lineRule="auto"/>
              <w:jc w:val="both"/>
              <w:rPr>
                <w:rFonts w:ascii="Times New Roman" w:hAnsi="Times New Roman" w:cs="Times New Roman"/>
                <w:sz w:val="20"/>
                <w:szCs w:val="20"/>
              </w:rPr>
            </w:pPr>
            <w:r w:rsidRPr="00D75102">
              <w:rPr>
                <w:rFonts w:ascii="Times New Roman" w:hAnsi="Times New Roman" w:cs="Times New Roman"/>
                <w:sz w:val="20"/>
                <w:szCs w:val="20"/>
              </w:rPr>
              <w:t xml:space="preserve">Agree </w:t>
            </w:r>
          </w:p>
        </w:tc>
      </w:tr>
      <w:tr w:rsidR="00A84E96" w:rsidRPr="00D75102" w14:paraId="7BD8771C" w14:textId="77777777" w:rsidTr="00D75102">
        <w:trPr>
          <w:jc w:val="center"/>
        </w:trPr>
        <w:tc>
          <w:tcPr>
            <w:tcW w:w="5240" w:type="dxa"/>
          </w:tcPr>
          <w:p w14:paraId="1775CE0A" w14:textId="77777777" w:rsidR="00A84E96" w:rsidRPr="00D75102" w:rsidRDefault="00A84E96" w:rsidP="00D75102">
            <w:pPr>
              <w:spacing w:after="0" w:line="240" w:lineRule="auto"/>
              <w:jc w:val="both"/>
              <w:rPr>
                <w:rFonts w:ascii="Times New Roman" w:hAnsi="Times New Roman" w:cs="Times New Roman"/>
                <w:b/>
                <w:sz w:val="20"/>
                <w:szCs w:val="20"/>
              </w:rPr>
            </w:pPr>
            <w:r w:rsidRPr="00D75102">
              <w:rPr>
                <w:rFonts w:ascii="Times New Roman" w:hAnsi="Times New Roman" w:cs="Times New Roman"/>
                <w:sz w:val="20"/>
                <w:szCs w:val="20"/>
              </w:rPr>
              <w:t>My lecturers used real-life case studies to teach valuation concepts</w:t>
            </w:r>
          </w:p>
        </w:tc>
        <w:tc>
          <w:tcPr>
            <w:tcW w:w="1139" w:type="dxa"/>
          </w:tcPr>
          <w:p w14:paraId="1D6E0F1B" w14:textId="77777777" w:rsidR="00A84E96" w:rsidRPr="00D75102" w:rsidRDefault="00A84E96" w:rsidP="00D75102">
            <w:pPr>
              <w:spacing w:after="0" w:line="240" w:lineRule="auto"/>
              <w:jc w:val="both"/>
              <w:rPr>
                <w:rFonts w:ascii="Times New Roman" w:hAnsi="Times New Roman" w:cs="Times New Roman"/>
                <w:sz w:val="20"/>
                <w:szCs w:val="20"/>
              </w:rPr>
            </w:pPr>
            <w:r w:rsidRPr="00D75102">
              <w:rPr>
                <w:rFonts w:ascii="Times New Roman" w:hAnsi="Times New Roman" w:cs="Times New Roman"/>
                <w:sz w:val="20"/>
                <w:szCs w:val="20"/>
              </w:rPr>
              <w:t>2.23</w:t>
            </w:r>
          </w:p>
        </w:tc>
        <w:tc>
          <w:tcPr>
            <w:tcW w:w="1843" w:type="dxa"/>
          </w:tcPr>
          <w:p w14:paraId="22463E80" w14:textId="77777777" w:rsidR="00A84E96" w:rsidRPr="00D75102" w:rsidRDefault="00A84E96" w:rsidP="00D75102">
            <w:pPr>
              <w:spacing w:after="0" w:line="240" w:lineRule="auto"/>
              <w:jc w:val="both"/>
              <w:rPr>
                <w:rFonts w:ascii="Times New Roman" w:hAnsi="Times New Roman" w:cs="Times New Roman"/>
                <w:b/>
                <w:sz w:val="20"/>
                <w:szCs w:val="20"/>
              </w:rPr>
            </w:pPr>
            <w:r w:rsidRPr="00D75102">
              <w:rPr>
                <w:rFonts w:ascii="Times New Roman" w:eastAsia="Times New Roman" w:hAnsi="Times New Roman" w:cs="Times New Roman"/>
                <w:bCs/>
                <w:sz w:val="20"/>
                <w:szCs w:val="20"/>
                <w:lang w:eastAsia="en-GB"/>
              </w:rPr>
              <w:t>Disagree</w:t>
            </w:r>
          </w:p>
        </w:tc>
      </w:tr>
      <w:tr w:rsidR="00A84E96" w:rsidRPr="00D75102" w14:paraId="7500B855" w14:textId="77777777" w:rsidTr="00D75102">
        <w:trPr>
          <w:jc w:val="center"/>
        </w:trPr>
        <w:tc>
          <w:tcPr>
            <w:tcW w:w="5240" w:type="dxa"/>
          </w:tcPr>
          <w:p w14:paraId="3A5E595E" w14:textId="77777777" w:rsidR="00A84E96" w:rsidRPr="00D75102" w:rsidRDefault="00A84E96" w:rsidP="00D75102">
            <w:pPr>
              <w:spacing w:after="0" w:line="240" w:lineRule="auto"/>
              <w:jc w:val="both"/>
              <w:rPr>
                <w:rFonts w:ascii="Times New Roman" w:hAnsi="Times New Roman" w:cs="Times New Roman"/>
                <w:b/>
                <w:sz w:val="20"/>
                <w:szCs w:val="20"/>
              </w:rPr>
            </w:pPr>
            <w:r w:rsidRPr="00D75102">
              <w:rPr>
                <w:rFonts w:ascii="Times New Roman" w:hAnsi="Times New Roman" w:cs="Times New Roman"/>
                <w:sz w:val="20"/>
                <w:szCs w:val="20"/>
              </w:rPr>
              <w:t>Regular fieldwork and site inspections were incorporated into valuation training</w:t>
            </w:r>
          </w:p>
        </w:tc>
        <w:tc>
          <w:tcPr>
            <w:tcW w:w="1139" w:type="dxa"/>
          </w:tcPr>
          <w:p w14:paraId="50975013" w14:textId="77777777" w:rsidR="00A84E96" w:rsidRPr="00D75102" w:rsidRDefault="00A84E96" w:rsidP="00D75102">
            <w:pPr>
              <w:spacing w:after="0" w:line="240" w:lineRule="auto"/>
              <w:jc w:val="both"/>
              <w:rPr>
                <w:rFonts w:ascii="Times New Roman" w:hAnsi="Times New Roman" w:cs="Times New Roman"/>
                <w:sz w:val="20"/>
                <w:szCs w:val="20"/>
              </w:rPr>
            </w:pPr>
            <w:r w:rsidRPr="00D75102">
              <w:rPr>
                <w:rFonts w:ascii="Times New Roman" w:hAnsi="Times New Roman" w:cs="Times New Roman"/>
                <w:sz w:val="20"/>
                <w:szCs w:val="20"/>
              </w:rPr>
              <w:t>2.42</w:t>
            </w:r>
          </w:p>
        </w:tc>
        <w:tc>
          <w:tcPr>
            <w:tcW w:w="1843" w:type="dxa"/>
          </w:tcPr>
          <w:p w14:paraId="57E7DC71" w14:textId="77777777" w:rsidR="00A84E96" w:rsidRPr="00D75102" w:rsidRDefault="00A84E96" w:rsidP="00D75102">
            <w:pPr>
              <w:spacing w:after="0" w:line="240" w:lineRule="auto"/>
              <w:jc w:val="both"/>
              <w:rPr>
                <w:rFonts w:ascii="Times New Roman" w:hAnsi="Times New Roman" w:cs="Times New Roman"/>
                <w:b/>
                <w:sz w:val="20"/>
                <w:szCs w:val="20"/>
              </w:rPr>
            </w:pPr>
            <w:r w:rsidRPr="00D75102">
              <w:rPr>
                <w:rFonts w:ascii="Times New Roman" w:eastAsia="Times New Roman" w:hAnsi="Times New Roman" w:cs="Times New Roman"/>
                <w:bCs/>
                <w:sz w:val="20"/>
                <w:szCs w:val="20"/>
                <w:lang w:eastAsia="en-GB"/>
              </w:rPr>
              <w:t>Disagree</w:t>
            </w:r>
          </w:p>
        </w:tc>
      </w:tr>
      <w:tr w:rsidR="00A84E96" w:rsidRPr="00D75102" w14:paraId="0E166BF7" w14:textId="77777777" w:rsidTr="00D75102">
        <w:trPr>
          <w:jc w:val="center"/>
        </w:trPr>
        <w:tc>
          <w:tcPr>
            <w:tcW w:w="5240" w:type="dxa"/>
          </w:tcPr>
          <w:p w14:paraId="37AC9A8D" w14:textId="77777777" w:rsidR="00A84E96" w:rsidRPr="00D75102" w:rsidRDefault="00A84E96" w:rsidP="00D75102">
            <w:pPr>
              <w:spacing w:after="0" w:line="240" w:lineRule="auto"/>
              <w:jc w:val="both"/>
              <w:rPr>
                <w:rFonts w:ascii="Times New Roman" w:hAnsi="Times New Roman" w:cs="Times New Roman"/>
                <w:b/>
                <w:sz w:val="20"/>
                <w:szCs w:val="20"/>
              </w:rPr>
            </w:pPr>
            <w:r w:rsidRPr="00D75102">
              <w:rPr>
                <w:rFonts w:ascii="Times New Roman" w:hAnsi="Times New Roman" w:cs="Times New Roman"/>
                <w:sz w:val="20"/>
                <w:szCs w:val="20"/>
              </w:rPr>
              <w:t>I had access to valuation software or digital tools during my training</w:t>
            </w:r>
          </w:p>
        </w:tc>
        <w:tc>
          <w:tcPr>
            <w:tcW w:w="1139" w:type="dxa"/>
          </w:tcPr>
          <w:p w14:paraId="73B1EEDB" w14:textId="77777777" w:rsidR="00A84E96" w:rsidRPr="00D75102" w:rsidRDefault="00A84E96" w:rsidP="00D75102">
            <w:pPr>
              <w:spacing w:after="0" w:line="240" w:lineRule="auto"/>
              <w:jc w:val="both"/>
              <w:rPr>
                <w:rFonts w:ascii="Times New Roman" w:hAnsi="Times New Roman" w:cs="Times New Roman"/>
                <w:sz w:val="20"/>
                <w:szCs w:val="20"/>
              </w:rPr>
            </w:pPr>
            <w:r w:rsidRPr="00D75102">
              <w:rPr>
                <w:rFonts w:ascii="Times New Roman" w:hAnsi="Times New Roman" w:cs="Times New Roman"/>
                <w:sz w:val="20"/>
                <w:szCs w:val="20"/>
              </w:rPr>
              <w:t>1.11</w:t>
            </w:r>
          </w:p>
        </w:tc>
        <w:tc>
          <w:tcPr>
            <w:tcW w:w="1843" w:type="dxa"/>
          </w:tcPr>
          <w:p w14:paraId="0C254D62" w14:textId="77777777" w:rsidR="00A84E96" w:rsidRPr="00D75102" w:rsidRDefault="00A84E96" w:rsidP="00D75102">
            <w:pPr>
              <w:spacing w:after="0" w:line="240" w:lineRule="auto"/>
              <w:jc w:val="both"/>
              <w:rPr>
                <w:rFonts w:ascii="Times New Roman" w:hAnsi="Times New Roman" w:cs="Times New Roman"/>
                <w:b/>
                <w:sz w:val="20"/>
                <w:szCs w:val="20"/>
              </w:rPr>
            </w:pPr>
            <w:r w:rsidRPr="00D75102">
              <w:rPr>
                <w:rFonts w:ascii="Times New Roman" w:eastAsia="Times New Roman" w:hAnsi="Times New Roman" w:cs="Times New Roman"/>
                <w:bCs/>
                <w:sz w:val="20"/>
                <w:szCs w:val="20"/>
                <w:lang w:eastAsia="en-GB"/>
              </w:rPr>
              <w:t>Strongly Disagree</w:t>
            </w:r>
          </w:p>
        </w:tc>
      </w:tr>
      <w:tr w:rsidR="00A84E96" w:rsidRPr="00D75102" w14:paraId="0953E142" w14:textId="77777777" w:rsidTr="00D75102">
        <w:trPr>
          <w:jc w:val="center"/>
        </w:trPr>
        <w:tc>
          <w:tcPr>
            <w:tcW w:w="5240" w:type="dxa"/>
          </w:tcPr>
          <w:p w14:paraId="0D38A186" w14:textId="77777777" w:rsidR="00A84E96" w:rsidRPr="00D75102" w:rsidRDefault="00A84E96" w:rsidP="00D75102">
            <w:pPr>
              <w:spacing w:after="0" w:line="240" w:lineRule="auto"/>
              <w:jc w:val="both"/>
              <w:rPr>
                <w:rFonts w:ascii="Times New Roman" w:hAnsi="Times New Roman" w:cs="Times New Roman"/>
                <w:b/>
                <w:sz w:val="20"/>
                <w:szCs w:val="20"/>
              </w:rPr>
            </w:pPr>
            <w:r w:rsidRPr="00D75102">
              <w:rPr>
                <w:rFonts w:ascii="Times New Roman" w:hAnsi="Times New Roman" w:cs="Times New Roman"/>
                <w:sz w:val="20"/>
                <w:szCs w:val="20"/>
              </w:rPr>
              <w:t>Assessment tasks (e.g., assignments, projects) helped me apply valuation methods</w:t>
            </w:r>
          </w:p>
        </w:tc>
        <w:tc>
          <w:tcPr>
            <w:tcW w:w="1139" w:type="dxa"/>
          </w:tcPr>
          <w:p w14:paraId="50994D66" w14:textId="77777777" w:rsidR="00A84E96" w:rsidRPr="00D75102" w:rsidRDefault="00A84E96" w:rsidP="00D75102">
            <w:pPr>
              <w:spacing w:after="0" w:line="240" w:lineRule="auto"/>
              <w:jc w:val="both"/>
              <w:rPr>
                <w:rFonts w:ascii="Times New Roman" w:hAnsi="Times New Roman" w:cs="Times New Roman"/>
                <w:sz w:val="20"/>
                <w:szCs w:val="20"/>
              </w:rPr>
            </w:pPr>
            <w:r w:rsidRPr="00D75102">
              <w:rPr>
                <w:rFonts w:ascii="Times New Roman" w:hAnsi="Times New Roman" w:cs="Times New Roman"/>
                <w:sz w:val="20"/>
                <w:szCs w:val="20"/>
              </w:rPr>
              <w:t>3.52</w:t>
            </w:r>
          </w:p>
        </w:tc>
        <w:tc>
          <w:tcPr>
            <w:tcW w:w="1843" w:type="dxa"/>
          </w:tcPr>
          <w:p w14:paraId="243B12FB" w14:textId="77777777" w:rsidR="00A84E96" w:rsidRPr="00D75102" w:rsidRDefault="00A84E96" w:rsidP="00D75102">
            <w:pPr>
              <w:spacing w:after="0" w:line="240" w:lineRule="auto"/>
              <w:jc w:val="both"/>
              <w:rPr>
                <w:rFonts w:ascii="Times New Roman" w:hAnsi="Times New Roman" w:cs="Times New Roman"/>
                <w:b/>
                <w:sz w:val="20"/>
                <w:szCs w:val="20"/>
              </w:rPr>
            </w:pPr>
            <w:r w:rsidRPr="00D75102">
              <w:rPr>
                <w:rFonts w:ascii="Times New Roman" w:eastAsia="Times New Roman" w:hAnsi="Times New Roman" w:cs="Times New Roman"/>
                <w:bCs/>
                <w:sz w:val="20"/>
                <w:szCs w:val="20"/>
                <w:lang w:eastAsia="en-GB"/>
              </w:rPr>
              <w:t>Agree</w:t>
            </w:r>
          </w:p>
        </w:tc>
      </w:tr>
      <w:tr w:rsidR="00A84E96" w:rsidRPr="00D75102" w14:paraId="43B0BA03" w14:textId="77777777" w:rsidTr="00D75102">
        <w:trPr>
          <w:jc w:val="center"/>
        </w:trPr>
        <w:tc>
          <w:tcPr>
            <w:tcW w:w="5240" w:type="dxa"/>
          </w:tcPr>
          <w:p w14:paraId="71F54BAF" w14:textId="77777777" w:rsidR="00A84E96" w:rsidRPr="00D75102" w:rsidRDefault="00A84E96" w:rsidP="00D75102">
            <w:pPr>
              <w:spacing w:after="0" w:line="240" w:lineRule="auto"/>
              <w:jc w:val="both"/>
              <w:rPr>
                <w:rFonts w:ascii="Times New Roman" w:hAnsi="Times New Roman" w:cs="Times New Roman"/>
                <w:b/>
                <w:sz w:val="20"/>
                <w:szCs w:val="20"/>
              </w:rPr>
            </w:pPr>
            <w:r w:rsidRPr="00D75102">
              <w:rPr>
                <w:rFonts w:ascii="Times New Roman" w:hAnsi="Times New Roman" w:cs="Times New Roman"/>
                <w:sz w:val="20"/>
                <w:szCs w:val="20"/>
              </w:rPr>
              <w:t>My instructors encouraged critical thinking and problem-solving in valuation exercises</w:t>
            </w:r>
          </w:p>
        </w:tc>
        <w:tc>
          <w:tcPr>
            <w:tcW w:w="1139" w:type="dxa"/>
          </w:tcPr>
          <w:p w14:paraId="6A6566F1" w14:textId="77777777" w:rsidR="00A84E96" w:rsidRPr="00D75102" w:rsidRDefault="00A84E96" w:rsidP="00D75102">
            <w:pPr>
              <w:spacing w:after="0" w:line="240" w:lineRule="auto"/>
              <w:jc w:val="both"/>
              <w:rPr>
                <w:rFonts w:ascii="Times New Roman" w:hAnsi="Times New Roman" w:cs="Times New Roman"/>
                <w:sz w:val="20"/>
                <w:szCs w:val="20"/>
              </w:rPr>
            </w:pPr>
            <w:r w:rsidRPr="00D75102">
              <w:rPr>
                <w:rFonts w:ascii="Times New Roman" w:hAnsi="Times New Roman" w:cs="Times New Roman"/>
                <w:sz w:val="20"/>
                <w:szCs w:val="20"/>
              </w:rPr>
              <w:t>2.43</w:t>
            </w:r>
          </w:p>
        </w:tc>
        <w:tc>
          <w:tcPr>
            <w:tcW w:w="1843" w:type="dxa"/>
          </w:tcPr>
          <w:p w14:paraId="4F2B1AD2" w14:textId="77777777" w:rsidR="00A84E96" w:rsidRPr="00D75102" w:rsidRDefault="00A84E96" w:rsidP="00D75102">
            <w:pPr>
              <w:spacing w:after="0" w:line="240" w:lineRule="auto"/>
              <w:jc w:val="both"/>
              <w:rPr>
                <w:rFonts w:ascii="Times New Roman" w:hAnsi="Times New Roman" w:cs="Times New Roman"/>
                <w:b/>
                <w:sz w:val="20"/>
                <w:szCs w:val="20"/>
              </w:rPr>
            </w:pPr>
            <w:r w:rsidRPr="00D75102">
              <w:rPr>
                <w:rFonts w:ascii="Times New Roman" w:eastAsia="Times New Roman" w:hAnsi="Times New Roman" w:cs="Times New Roman"/>
                <w:bCs/>
                <w:sz w:val="20"/>
                <w:szCs w:val="20"/>
                <w:lang w:eastAsia="en-GB"/>
              </w:rPr>
              <w:t>Disagree</w:t>
            </w:r>
          </w:p>
        </w:tc>
      </w:tr>
      <w:tr w:rsidR="00A84E96" w:rsidRPr="00D75102" w14:paraId="3061E191" w14:textId="77777777" w:rsidTr="00D75102">
        <w:trPr>
          <w:jc w:val="center"/>
        </w:trPr>
        <w:tc>
          <w:tcPr>
            <w:tcW w:w="5240" w:type="dxa"/>
          </w:tcPr>
          <w:p w14:paraId="6DDCE91E" w14:textId="77777777" w:rsidR="00A84E96" w:rsidRPr="00D75102" w:rsidRDefault="00A84E96" w:rsidP="00D75102">
            <w:pPr>
              <w:spacing w:after="0" w:line="240" w:lineRule="auto"/>
              <w:jc w:val="both"/>
              <w:rPr>
                <w:rFonts w:ascii="Times New Roman" w:hAnsi="Times New Roman" w:cs="Times New Roman"/>
                <w:b/>
                <w:sz w:val="20"/>
                <w:szCs w:val="20"/>
              </w:rPr>
            </w:pPr>
            <w:r w:rsidRPr="00D75102">
              <w:rPr>
                <w:rFonts w:ascii="Times New Roman" w:hAnsi="Times New Roman" w:cs="Times New Roman"/>
                <w:sz w:val="20"/>
                <w:szCs w:val="20"/>
              </w:rPr>
              <w:t>Group discussions or peer learning were encouraged in valuation classes</w:t>
            </w:r>
          </w:p>
        </w:tc>
        <w:tc>
          <w:tcPr>
            <w:tcW w:w="1139" w:type="dxa"/>
          </w:tcPr>
          <w:p w14:paraId="4EE8108B" w14:textId="77777777" w:rsidR="00A84E96" w:rsidRPr="00D75102" w:rsidRDefault="00A84E96" w:rsidP="00D75102">
            <w:pPr>
              <w:spacing w:after="0" w:line="240" w:lineRule="auto"/>
              <w:jc w:val="both"/>
              <w:rPr>
                <w:rFonts w:ascii="Times New Roman" w:hAnsi="Times New Roman" w:cs="Times New Roman"/>
                <w:sz w:val="20"/>
                <w:szCs w:val="20"/>
              </w:rPr>
            </w:pPr>
            <w:r w:rsidRPr="00D75102">
              <w:rPr>
                <w:rFonts w:ascii="Times New Roman" w:hAnsi="Times New Roman" w:cs="Times New Roman"/>
                <w:sz w:val="20"/>
                <w:szCs w:val="20"/>
              </w:rPr>
              <w:t>2.02</w:t>
            </w:r>
          </w:p>
        </w:tc>
        <w:tc>
          <w:tcPr>
            <w:tcW w:w="1843" w:type="dxa"/>
          </w:tcPr>
          <w:p w14:paraId="37CF8D06" w14:textId="77777777" w:rsidR="00A84E96" w:rsidRPr="00D75102" w:rsidRDefault="00A84E96" w:rsidP="00D75102">
            <w:pPr>
              <w:spacing w:after="0" w:line="240" w:lineRule="auto"/>
              <w:jc w:val="both"/>
              <w:rPr>
                <w:rFonts w:ascii="Times New Roman" w:hAnsi="Times New Roman" w:cs="Times New Roman"/>
                <w:b/>
                <w:sz w:val="20"/>
                <w:szCs w:val="20"/>
              </w:rPr>
            </w:pPr>
            <w:r w:rsidRPr="00D75102">
              <w:rPr>
                <w:rFonts w:ascii="Times New Roman" w:eastAsia="Times New Roman" w:hAnsi="Times New Roman" w:cs="Times New Roman"/>
                <w:bCs/>
                <w:sz w:val="20"/>
                <w:szCs w:val="20"/>
                <w:lang w:eastAsia="en-GB"/>
              </w:rPr>
              <w:t>Disagree</w:t>
            </w:r>
          </w:p>
        </w:tc>
      </w:tr>
      <w:tr w:rsidR="00A84E96" w:rsidRPr="00D75102" w14:paraId="0BFA4C4A" w14:textId="77777777" w:rsidTr="00D75102">
        <w:trPr>
          <w:jc w:val="center"/>
        </w:trPr>
        <w:tc>
          <w:tcPr>
            <w:tcW w:w="5240" w:type="dxa"/>
          </w:tcPr>
          <w:p w14:paraId="36174EF8" w14:textId="77777777" w:rsidR="00A84E96" w:rsidRPr="00D75102" w:rsidRDefault="00A84E96" w:rsidP="00D75102">
            <w:pPr>
              <w:spacing w:after="0" w:line="240" w:lineRule="auto"/>
              <w:jc w:val="both"/>
              <w:rPr>
                <w:rFonts w:ascii="Times New Roman" w:hAnsi="Times New Roman" w:cs="Times New Roman"/>
                <w:b/>
                <w:sz w:val="20"/>
                <w:szCs w:val="20"/>
              </w:rPr>
            </w:pPr>
            <w:r w:rsidRPr="00D75102">
              <w:rPr>
                <w:rFonts w:ascii="Times New Roman" w:hAnsi="Times New Roman" w:cs="Times New Roman"/>
                <w:sz w:val="20"/>
                <w:szCs w:val="20"/>
              </w:rPr>
              <w:t>I received sufficient feedback to improve my understanding of valuation concepts</w:t>
            </w:r>
          </w:p>
        </w:tc>
        <w:tc>
          <w:tcPr>
            <w:tcW w:w="1139" w:type="dxa"/>
          </w:tcPr>
          <w:p w14:paraId="373D4B06" w14:textId="77777777" w:rsidR="00A84E96" w:rsidRPr="00D75102" w:rsidRDefault="00A84E96" w:rsidP="00D75102">
            <w:pPr>
              <w:spacing w:after="0" w:line="240" w:lineRule="auto"/>
              <w:jc w:val="both"/>
              <w:rPr>
                <w:rFonts w:ascii="Times New Roman" w:hAnsi="Times New Roman" w:cs="Times New Roman"/>
                <w:sz w:val="20"/>
                <w:szCs w:val="20"/>
              </w:rPr>
            </w:pPr>
            <w:r w:rsidRPr="00D75102">
              <w:rPr>
                <w:rFonts w:ascii="Times New Roman" w:hAnsi="Times New Roman" w:cs="Times New Roman"/>
                <w:sz w:val="20"/>
                <w:szCs w:val="20"/>
              </w:rPr>
              <w:t>3.58</w:t>
            </w:r>
          </w:p>
        </w:tc>
        <w:tc>
          <w:tcPr>
            <w:tcW w:w="1843" w:type="dxa"/>
          </w:tcPr>
          <w:p w14:paraId="4573F13B" w14:textId="77777777" w:rsidR="00A84E96" w:rsidRPr="00D75102" w:rsidRDefault="00A84E96" w:rsidP="00D75102">
            <w:pPr>
              <w:spacing w:after="0" w:line="240" w:lineRule="auto"/>
              <w:jc w:val="both"/>
              <w:rPr>
                <w:rFonts w:ascii="Times New Roman" w:hAnsi="Times New Roman" w:cs="Times New Roman"/>
                <w:b/>
                <w:sz w:val="20"/>
                <w:szCs w:val="20"/>
              </w:rPr>
            </w:pPr>
            <w:r w:rsidRPr="00D75102">
              <w:rPr>
                <w:rFonts w:ascii="Times New Roman" w:eastAsia="Times New Roman" w:hAnsi="Times New Roman" w:cs="Times New Roman"/>
                <w:bCs/>
                <w:sz w:val="20"/>
                <w:szCs w:val="20"/>
                <w:lang w:eastAsia="en-GB"/>
              </w:rPr>
              <w:t>Agree</w:t>
            </w:r>
          </w:p>
        </w:tc>
      </w:tr>
      <w:tr w:rsidR="00A84E96" w:rsidRPr="00D75102" w14:paraId="69ECA1D9" w14:textId="77777777" w:rsidTr="00D75102">
        <w:trPr>
          <w:jc w:val="center"/>
        </w:trPr>
        <w:tc>
          <w:tcPr>
            <w:tcW w:w="5240" w:type="dxa"/>
          </w:tcPr>
          <w:p w14:paraId="1C4D5CEC" w14:textId="77777777" w:rsidR="00A84E96" w:rsidRPr="00D75102" w:rsidRDefault="00A84E96" w:rsidP="00D75102">
            <w:pPr>
              <w:spacing w:after="0" w:line="240" w:lineRule="auto"/>
              <w:jc w:val="both"/>
              <w:rPr>
                <w:rFonts w:ascii="Times New Roman" w:hAnsi="Times New Roman" w:cs="Times New Roman"/>
                <w:b/>
                <w:sz w:val="20"/>
                <w:szCs w:val="20"/>
              </w:rPr>
            </w:pPr>
            <w:r w:rsidRPr="00D75102">
              <w:rPr>
                <w:rFonts w:ascii="Times New Roman" w:hAnsi="Times New Roman" w:cs="Times New Roman"/>
                <w:sz w:val="20"/>
                <w:szCs w:val="20"/>
              </w:rPr>
              <w:t>Practical components of valuation courses strengthened my competence and confidence</w:t>
            </w:r>
          </w:p>
        </w:tc>
        <w:tc>
          <w:tcPr>
            <w:tcW w:w="1139" w:type="dxa"/>
          </w:tcPr>
          <w:p w14:paraId="5EF27963" w14:textId="77777777" w:rsidR="00A84E96" w:rsidRPr="00D75102" w:rsidRDefault="00A84E96" w:rsidP="00D75102">
            <w:pPr>
              <w:spacing w:after="0" w:line="240" w:lineRule="auto"/>
              <w:jc w:val="both"/>
              <w:rPr>
                <w:rFonts w:ascii="Times New Roman" w:hAnsi="Times New Roman" w:cs="Times New Roman"/>
                <w:sz w:val="20"/>
                <w:szCs w:val="20"/>
              </w:rPr>
            </w:pPr>
            <w:r w:rsidRPr="00D75102">
              <w:rPr>
                <w:rFonts w:ascii="Times New Roman" w:hAnsi="Times New Roman" w:cs="Times New Roman"/>
                <w:sz w:val="20"/>
                <w:szCs w:val="20"/>
              </w:rPr>
              <w:t>3.62</w:t>
            </w:r>
          </w:p>
        </w:tc>
        <w:tc>
          <w:tcPr>
            <w:tcW w:w="1843" w:type="dxa"/>
          </w:tcPr>
          <w:p w14:paraId="1727B8E3" w14:textId="77777777" w:rsidR="00A84E96" w:rsidRPr="00D75102" w:rsidRDefault="00A84E96" w:rsidP="00D75102">
            <w:pPr>
              <w:spacing w:after="0" w:line="240" w:lineRule="auto"/>
              <w:jc w:val="both"/>
              <w:rPr>
                <w:rFonts w:ascii="Times New Roman" w:hAnsi="Times New Roman" w:cs="Times New Roman"/>
                <w:sz w:val="20"/>
                <w:szCs w:val="20"/>
              </w:rPr>
            </w:pPr>
            <w:r w:rsidRPr="00D75102">
              <w:rPr>
                <w:rFonts w:ascii="Times New Roman" w:hAnsi="Times New Roman" w:cs="Times New Roman"/>
                <w:sz w:val="20"/>
                <w:szCs w:val="20"/>
              </w:rPr>
              <w:t xml:space="preserve">Agree </w:t>
            </w:r>
          </w:p>
        </w:tc>
      </w:tr>
    </w:tbl>
    <w:p w14:paraId="3609E351" w14:textId="77777777" w:rsidR="00A84E96" w:rsidRDefault="00A84E96" w:rsidP="00D75102">
      <w:pPr>
        <w:pStyle w:val="NormalWeb"/>
        <w:spacing w:before="0" w:beforeAutospacing="0" w:after="0" w:afterAutospacing="0"/>
        <w:jc w:val="center"/>
        <w:rPr>
          <w:bCs/>
        </w:rPr>
      </w:pPr>
      <w:r w:rsidRPr="00BE4AF3">
        <w:rPr>
          <w:bCs/>
        </w:rPr>
        <w:t>Source: Authors’ Construct, 2025.</w:t>
      </w:r>
    </w:p>
    <w:p w14:paraId="76B28A50" w14:textId="77777777" w:rsidR="00D75102" w:rsidRPr="00BE4AF3" w:rsidRDefault="00D75102" w:rsidP="00D75102">
      <w:pPr>
        <w:pStyle w:val="NormalWeb"/>
        <w:spacing w:before="0" w:beforeAutospacing="0" w:after="0" w:afterAutospacing="0"/>
        <w:jc w:val="center"/>
        <w:rPr>
          <w:bCs/>
        </w:rPr>
      </w:pPr>
    </w:p>
    <w:p w14:paraId="346259F7" w14:textId="77777777" w:rsidR="00A84E96" w:rsidRPr="00BE4AF3" w:rsidRDefault="00A84E96" w:rsidP="00D75102">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 xml:space="preserve">The data presents a nuanced view of students’ perceptions of pedagogical approaches and learning experiences in valuation education, highlighting both strengths and significant gaps in instructional delivery. Overall, students expressed </w:t>
      </w:r>
      <w:r w:rsidRPr="00BE4AF3">
        <w:rPr>
          <w:rFonts w:ascii="Times New Roman" w:eastAsia="Times New Roman" w:hAnsi="Times New Roman" w:cs="Times New Roman"/>
          <w:bCs/>
          <w:sz w:val="24"/>
          <w:szCs w:val="24"/>
          <w:lang w:eastAsia="en-GB"/>
        </w:rPr>
        <w:t>positive experiences with aspects of engagement and feedback</w:t>
      </w:r>
      <w:r w:rsidRPr="00BE4AF3">
        <w:rPr>
          <w:rFonts w:ascii="Times New Roman" w:eastAsia="Times New Roman" w:hAnsi="Times New Roman" w:cs="Times New Roman"/>
          <w:sz w:val="24"/>
          <w:szCs w:val="24"/>
          <w:lang w:eastAsia="en-GB"/>
        </w:rPr>
        <w:t xml:space="preserve">, but </w:t>
      </w:r>
      <w:r w:rsidRPr="00BE4AF3">
        <w:rPr>
          <w:rFonts w:ascii="Times New Roman" w:eastAsia="Times New Roman" w:hAnsi="Times New Roman" w:cs="Times New Roman"/>
          <w:bCs/>
          <w:sz w:val="24"/>
          <w:szCs w:val="24"/>
          <w:lang w:eastAsia="en-GB"/>
        </w:rPr>
        <w:t>consistently identified weaknesses in practical exposure, the use of technology, and collaborative learning</w:t>
      </w:r>
      <w:r w:rsidRPr="00BE4AF3">
        <w:rPr>
          <w:rFonts w:ascii="Times New Roman" w:eastAsia="Times New Roman" w:hAnsi="Times New Roman" w:cs="Times New Roman"/>
          <w:sz w:val="24"/>
          <w:szCs w:val="24"/>
          <w:lang w:eastAsia="en-GB"/>
        </w:rPr>
        <w:t xml:space="preserve">. For instance, the statement </w:t>
      </w:r>
      <w:r w:rsidRPr="00BE4AF3">
        <w:rPr>
          <w:rFonts w:ascii="Times New Roman" w:eastAsia="Times New Roman" w:hAnsi="Times New Roman" w:cs="Times New Roman"/>
          <w:i/>
          <w:iCs/>
          <w:sz w:val="24"/>
          <w:szCs w:val="24"/>
          <w:lang w:eastAsia="en-GB"/>
        </w:rPr>
        <w:t>“Valuation courses were delivered in an engaging and interactive manner”</w:t>
      </w:r>
      <w:r w:rsidRPr="00BE4AF3">
        <w:rPr>
          <w:rFonts w:ascii="Times New Roman" w:eastAsia="Times New Roman" w:hAnsi="Times New Roman" w:cs="Times New Roman"/>
          <w:sz w:val="24"/>
          <w:szCs w:val="24"/>
          <w:lang w:eastAsia="en-GB"/>
        </w:rPr>
        <w:t xml:space="preserve"> received a </w:t>
      </w:r>
      <w:r w:rsidRPr="00BE4AF3">
        <w:rPr>
          <w:rFonts w:ascii="Times New Roman" w:eastAsia="Times New Roman" w:hAnsi="Times New Roman" w:cs="Times New Roman"/>
          <w:bCs/>
          <w:sz w:val="24"/>
          <w:szCs w:val="24"/>
          <w:lang w:eastAsia="en-GB"/>
        </w:rPr>
        <w:t>mean score of 3.52</w:t>
      </w:r>
      <w:r w:rsidRPr="00BE4AF3">
        <w:rPr>
          <w:rFonts w:ascii="Times New Roman" w:eastAsia="Times New Roman" w:hAnsi="Times New Roman" w:cs="Times New Roman"/>
          <w:sz w:val="24"/>
          <w:szCs w:val="24"/>
          <w:lang w:eastAsia="en-GB"/>
        </w:rPr>
        <w:t xml:space="preserve">, reflecting </w:t>
      </w:r>
      <w:r w:rsidRPr="00BE4AF3">
        <w:rPr>
          <w:rFonts w:ascii="Times New Roman" w:eastAsia="Times New Roman" w:hAnsi="Times New Roman" w:cs="Times New Roman"/>
          <w:bCs/>
          <w:sz w:val="24"/>
          <w:szCs w:val="24"/>
          <w:lang w:eastAsia="en-GB"/>
        </w:rPr>
        <w:t>agreement</w:t>
      </w:r>
      <w:r w:rsidRPr="00BE4AF3">
        <w:rPr>
          <w:rFonts w:ascii="Times New Roman" w:eastAsia="Times New Roman" w:hAnsi="Times New Roman" w:cs="Times New Roman"/>
          <w:sz w:val="24"/>
          <w:szCs w:val="24"/>
          <w:lang w:eastAsia="en-GB"/>
        </w:rPr>
        <w:t xml:space="preserve"> among students that teaching was generally interactive. Similarly, the item </w:t>
      </w:r>
      <w:r w:rsidRPr="00BE4AF3">
        <w:rPr>
          <w:rFonts w:ascii="Times New Roman" w:eastAsia="Times New Roman" w:hAnsi="Times New Roman" w:cs="Times New Roman"/>
          <w:i/>
          <w:iCs/>
          <w:sz w:val="24"/>
          <w:szCs w:val="24"/>
          <w:lang w:eastAsia="en-GB"/>
        </w:rPr>
        <w:t>“Assessment tasks (e.g., assignments, projects) helped me apply valuation methods”</w:t>
      </w:r>
      <w:r w:rsidRPr="00BE4AF3">
        <w:rPr>
          <w:rFonts w:ascii="Times New Roman" w:eastAsia="Times New Roman" w:hAnsi="Times New Roman" w:cs="Times New Roman"/>
          <w:sz w:val="24"/>
          <w:szCs w:val="24"/>
          <w:lang w:eastAsia="en-GB"/>
        </w:rPr>
        <w:t xml:space="preserve"> also scored </w:t>
      </w:r>
      <w:r w:rsidRPr="00BE4AF3">
        <w:rPr>
          <w:rFonts w:ascii="Times New Roman" w:eastAsia="Times New Roman" w:hAnsi="Times New Roman" w:cs="Times New Roman"/>
          <w:bCs/>
          <w:sz w:val="24"/>
          <w:szCs w:val="24"/>
          <w:lang w:eastAsia="en-GB"/>
        </w:rPr>
        <w:t>3.52</w:t>
      </w:r>
      <w:r w:rsidRPr="00BE4AF3">
        <w:rPr>
          <w:rFonts w:ascii="Times New Roman" w:eastAsia="Times New Roman" w:hAnsi="Times New Roman" w:cs="Times New Roman"/>
          <w:sz w:val="24"/>
          <w:szCs w:val="24"/>
          <w:lang w:eastAsia="en-GB"/>
        </w:rPr>
        <w:t xml:space="preserve">, and </w:t>
      </w:r>
      <w:r w:rsidRPr="00BE4AF3">
        <w:rPr>
          <w:rFonts w:ascii="Times New Roman" w:eastAsia="Times New Roman" w:hAnsi="Times New Roman" w:cs="Times New Roman"/>
          <w:i/>
          <w:iCs/>
          <w:sz w:val="24"/>
          <w:szCs w:val="24"/>
          <w:lang w:eastAsia="en-GB"/>
        </w:rPr>
        <w:t>“I received sufficient feedback to improve my understanding of valuation concepts”</w:t>
      </w:r>
      <w:r w:rsidRPr="00BE4AF3">
        <w:rPr>
          <w:rFonts w:ascii="Times New Roman" w:eastAsia="Times New Roman" w:hAnsi="Times New Roman" w:cs="Times New Roman"/>
          <w:sz w:val="24"/>
          <w:szCs w:val="24"/>
          <w:lang w:eastAsia="en-GB"/>
        </w:rPr>
        <w:t xml:space="preserve"> scored </w:t>
      </w:r>
      <w:r w:rsidRPr="00BE4AF3">
        <w:rPr>
          <w:rFonts w:ascii="Times New Roman" w:eastAsia="Times New Roman" w:hAnsi="Times New Roman" w:cs="Times New Roman"/>
          <w:bCs/>
          <w:sz w:val="24"/>
          <w:szCs w:val="24"/>
          <w:lang w:eastAsia="en-GB"/>
        </w:rPr>
        <w:t>3.58</w:t>
      </w:r>
      <w:r w:rsidRPr="00BE4AF3">
        <w:rPr>
          <w:rFonts w:ascii="Times New Roman" w:eastAsia="Times New Roman" w:hAnsi="Times New Roman" w:cs="Times New Roman"/>
          <w:sz w:val="24"/>
          <w:szCs w:val="24"/>
          <w:lang w:eastAsia="en-GB"/>
        </w:rPr>
        <w:t xml:space="preserve">, indicating that students found assessments and feedback mechanisms helpful in consolidating their knowledge. Furthermore, </w:t>
      </w:r>
      <w:r w:rsidRPr="00BE4AF3">
        <w:rPr>
          <w:rFonts w:ascii="Times New Roman" w:eastAsia="Times New Roman" w:hAnsi="Times New Roman" w:cs="Times New Roman"/>
          <w:i/>
          <w:iCs/>
          <w:sz w:val="24"/>
          <w:szCs w:val="24"/>
          <w:lang w:eastAsia="en-GB"/>
        </w:rPr>
        <w:t>“Practical components of valuation courses strengthened my competence and confidence”</w:t>
      </w:r>
      <w:r w:rsidRPr="00BE4AF3">
        <w:rPr>
          <w:rFonts w:ascii="Times New Roman" w:eastAsia="Times New Roman" w:hAnsi="Times New Roman" w:cs="Times New Roman"/>
          <w:sz w:val="24"/>
          <w:szCs w:val="24"/>
          <w:lang w:eastAsia="en-GB"/>
        </w:rPr>
        <w:t xml:space="preserve"> achieved the highest score (</w:t>
      </w:r>
      <w:r w:rsidRPr="00BE4AF3">
        <w:rPr>
          <w:rFonts w:ascii="Times New Roman" w:eastAsia="Times New Roman" w:hAnsi="Times New Roman" w:cs="Times New Roman"/>
          <w:bCs/>
          <w:sz w:val="24"/>
          <w:szCs w:val="24"/>
          <w:lang w:eastAsia="en-GB"/>
        </w:rPr>
        <w:t>3.62</w:t>
      </w:r>
      <w:r w:rsidRPr="00BE4AF3">
        <w:rPr>
          <w:rFonts w:ascii="Times New Roman" w:eastAsia="Times New Roman" w:hAnsi="Times New Roman" w:cs="Times New Roman"/>
          <w:sz w:val="24"/>
          <w:szCs w:val="24"/>
          <w:lang w:eastAsia="en-GB"/>
        </w:rPr>
        <w:t>), suggesting that when practical learning was included, it had a positive impact on students’ confidence and perceived competence.</w:t>
      </w:r>
    </w:p>
    <w:p w14:paraId="3C2233C5" w14:textId="77777777" w:rsidR="00A84E96" w:rsidRPr="00BE4AF3" w:rsidRDefault="00A84E96" w:rsidP="00D75102">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 xml:space="preserve">However, other elements of instructional delivery were rated poorly. The use of </w:t>
      </w:r>
      <w:r w:rsidRPr="00BE4AF3">
        <w:rPr>
          <w:rFonts w:ascii="Times New Roman" w:eastAsia="Times New Roman" w:hAnsi="Times New Roman" w:cs="Times New Roman"/>
          <w:bCs/>
          <w:sz w:val="24"/>
          <w:szCs w:val="24"/>
          <w:lang w:eastAsia="en-GB"/>
        </w:rPr>
        <w:t>real-life case studies</w:t>
      </w:r>
      <w:r w:rsidRPr="00BE4AF3">
        <w:rPr>
          <w:rFonts w:ascii="Times New Roman" w:eastAsia="Times New Roman" w:hAnsi="Times New Roman" w:cs="Times New Roman"/>
          <w:sz w:val="24"/>
          <w:szCs w:val="24"/>
          <w:lang w:eastAsia="en-GB"/>
        </w:rPr>
        <w:t xml:space="preserve"> was rated </w:t>
      </w:r>
      <w:r w:rsidRPr="00BE4AF3">
        <w:rPr>
          <w:rFonts w:ascii="Times New Roman" w:eastAsia="Times New Roman" w:hAnsi="Times New Roman" w:cs="Times New Roman"/>
          <w:bCs/>
          <w:sz w:val="24"/>
          <w:szCs w:val="24"/>
          <w:lang w:eastAsia="en-GB"/>
        </w:rPr>
        <w:t>2.23</w:t>
      </w:r>
      <w:r w:rsidRPr="00BE4AF3">
        <w:rPr>
          <w:rFonts w:ascii="Times New Roman" w:eastAsia="Times New Roman" w:hAnsi="Times New Roman" w:cs="Times New Roman"/>
          <w:sz w:val="24"/>
          <w:szCs w:val="24"/>
          <w:lang w:eastAsia="en-GB"/>
        </w:rPr>
        <w:t xml:space="preserve"> (“</w:t>
      </w:r>
      <w:r w:rsidRPr="00BE4AF3">
        <w:rPr>
          <w:rFonts w:ascii="Times New Roman" w:eastAsia="Times New Roman" w:hAnsi="Times New Roman" w:cs="Times New Roman"/>
          <w:bCs/>
          <w:sz w:val="24"/>
          <w:szCs w:val="24"/>
          <w:lang w:eastAsia="en-GB"/>
        </w:rPr>
        <w:t>Disagree</w:t>
      </w:r>
      <w:r w:rsidRPr="00BE4AF3">
        <w:rPr>
          <w:rFonts w:ascii="Times New Roman" w:eastAsia="Times New Roman" w:hAnsi="Times New Roman" w:cs="Times New Roman"/>
          <w:sz w:val="24"/>
          <w:szCs w:val="24"/>
          <w:lang w:eastAsia="en-GB"/>
        </w:rPr>
        <w:t xml:space="preserve">”), suggesting disconnect between classroom instruction and real-world application. Even more concerning is the </w:t>
      </w:r>
      <w:r w:rsidRPr="00BE4AF3">
        <w:rPr>
          <w:rFonts w:ascii="Times New Roman" w:eastAsia="Times New Roman" w:hAnsi="Times New Roman" w:cs="Times New Roman"/>
          <w:bCs/>
          <w:sz w:val="24"/>
          <w:szCs w:val="24"/>
          <w:lang w:eastAsia="en-GB"/>
        </w:rPr>
        <w:t>lack of field-based learning</w:t>
      </w:r>
      <w:r w:rsidRPr="00BE4AF3">
        <w:rPr>
          <w:rFonts w:ascii="Times New Roman" w:eastAsia="Times New Roman" w:hAnsi="Times New Roman" w:cs="Times New Roman"/>
          <w:sz w:val="24"/>
          <w:szCs w:val="24"/>
          <w:lang w:eastAsia="en-GB"/>
        </w:rPr>
        <w:t xml:space="preserve">: the item </w:t>
      </w:r>
      <w:r w:rsidRPr="00BE4AF3">
        <w:rPr>
          <w:rFonts w:ascii="Times New Roman" w:eastAsia="Times New Roman" w:hAnsi="Times New Roman" w:cs="Times New Roman"/>
          <w:i/>
          <w:iCs/>
          <w:sz w:val="24"/>
          <w:szCs w:val="24"/>
          <w:lang w:eastAsia="en-GB"/>
        </w:rPr>
        <w:t>“Regular fieldwork and site inspections were incorporated into valuation training”</w:t>
      </w:r>
      <w:r w:rsidRPr="00BE4AF3">
        <w:rPr>
          <w:rFonts w:ascii="Times New Roman" w:eastAsia="Times New Roman" w:hAnsi="Times New Roman" w:cs="Times New Roman"/>
          <w:sz w:val="24"/>
          <w:szCs w:val="24"/>
          <w:lang w:eastAsia="en-GB"/>
        </w:rPr>
        <w:t xml:space="preserve"> had a mean score of </w:t>
      </w:r>
      <w:r w:rsidRPr="00BE4AF3">
        <w:rPr>
          <w:rFonts w:ascii="Times New Roman" w:eastAsia="Times New Roman" w:hAnsi="Times New Roman" w:cs="Times New Roman"/>
          <w:bCs/>
          <w:sz w:val="24"/>
          <w:szCs w:val="24"/>
          <w:lang w:eastAsia="en-GB"/>
        </w:rPr>
        <w:t>2.42</w:t>
      </w:r>
      <w:r w:rsidRPr="00BE4AF3">
        <w:rPr>
          <w:rFonts w:ascii="Times New Roman" w:eastAsia="Times New Roman" w:hAnsi="Times New Roman" w:cs="Times New Roman"/>
          <w:sz w:val="24"/>
          <w:szCs w:val="24"/>
          <w:lang w:eastAsia="en-GB"/>
        </w:rPr>
        <w:t xml:space="preserve">, while </w:t>
      </w:r>
      <w:r w:rsidRPr="00BE4AF3">
        <w:rPr>
          <w:rFonts w:ascii="Times New Roman" w:eastAsia="Times New Roman" w:hAnsi="Times New Roman" w:cs="Times New Roman"/>
          <w:i/>
          <w:iCs/>
          <w:sz w:val="24"/>
          <w:szCs w:val="24"/>
          <w:lang w:eastAsia="en-GB"/>
        </w:rPr>
        <w:t>“I had access to valuation software or digital tools during my training”</w:t>
      </w:r>
      <w:r w:rsidRPr="00BE4AF3">
        <w:rPr>
          <w:rFonts w:ascii="Times New Roman" w:eastAsia="Times New Roman" w:hAnsi="Times New Roman" w:cs="Times New Roman"/>
          <w:sz w:val="24"/>
          <w:szCs w:val="24"/>
          <w:lang w:eastAsia="en-GB"/>
        </w:rPr>
        <w:t xml:space="preserve"> was rated </w:t>
      </w:r>
      <w:r w:rsidRPr="00BE4AF3">
        <w:rPr>
          <w:rFonts w:ascii="Times New Roman" w:eastAsia="Times New Roman" w:hAnsi="Times New Roman" w:cs="Times New Roman"/>
          <w:bCs/>
          <w:sz w:val="24"/>
          <w:szCs w:val="24"/>
          <w:lang w:eastAsia="en-GB"/>
        </w:rPr>
        <w:t>1.11</w:t>
      </w:r>
      <w:r w:rsidRPr="00BE4AF3">
        <w:rPr>
          <w:rFonts w:ascii="Times New Roman" w:eastAsia="Times New Roman" w:hAnsi="Times New Roman" w:cs="Times New Roman"/>
          <w:sz w:val="24"/>
          <w:szCs w:val="24"/>
          <w:lang w:eastAsia="en-GB"/>
        </w:rPr>
        <w:t xml:space="preserve">, indicating </w:t>
      </w:r>
      <w:r w:rsidRPr="00BE4AF3">
        <w:rPr>
          <w:rFonts w:ascii="Times New Roman" w:eastAsia="Times New Roman" w:hAnsi="Times New Roman" w:cs="Times New Roman"/>
          <w:bCs/>
          <w:sz w:val="24"/>
          <w:szCs w:val="24"/>
          <w:lang w:eastAsia="en-GB"/>
        </w:rPr>
        <w:t>strong disagreement</w:t>
      </w:r>
      <w:r w:rsidRPr="00BE4AF3">
        <w:rPr>
          <w:rFonts w:ascii="Times New Roman" w:eastAsia="Times New Roman" w:hAnsi="Times New Roman" w:cs="Times New Roman"/>
          <w:sz w:val="24"/>
          <w:szCs w:val="24"/>
          <w:lang w:eastAsia="en-GB"/>
        </w:rPr>
        <w:t xml:space="preserve">. These findings point to significant deficiencies in hands-on, experiential learning—a core component of valuation education as advocated by Kolb’s (1984) </w:t>
      </w:r>
      <w:r w:rsidRPr="00BE4AF3">
        <w:rPr>
          <w:rFonts w:ascii="Times New Roman" w:eastAsia="Times New Roman" w:hAnsi="Times New Roman" w:cs="Times New Roman"/>
          <w:bCs/>
          <w:sz w:val="24"/>
          <w:szCs w:val="24"/>
          <w:lang w:eastAsia="en-GB"/>
        </w:rPr>
        <w:t>Experiential Learning Theory</w:t>
      </w:r>
      <w:r w:rsidRPr="00BE4AF3">
        <w:rPr>
          <w:rFonts w:ascii="Times New Roman" w:eastAsia="Times New Roman" w:hAnsi="Times New Roman" w:cs="Times New Roman"/>
          <w:sz w:val="24"/>
          <w:szCs w:val="24"/>
          <w:lang w:eastAsia="en-GB"/>
        </w:rPr>
        <w:t xml:space="preserve">, which emphasizes learning through doing, and Vygotsky’s </w:t>
      </w:r>
      <w:r w:rsidRPr="00BE4AF3">
        <w:rPr>
          <w:rFonts w:ascii="Times New Roman" w:eastAsia="Times New Roman" w:hAnsi="Times New Roman" w:cs="Times New Roman"/>
          <w:bCs/>
          <w:sz w:val="24"/>
          <w:szCs w:val="24"/>
          <w:lang w:eastAsia="en-GB"/>
        </w:rPr>
        <w:t>Constructivist Learning Theory</w:t>
      </w:r>
      <w:r w:rsidRPr="00BE4AF3">
        <w:rPr>
          <w:rFonts w:ascii="Times New Roman" w:eastAsia="Times New Roman" w:hAnsi="Times New Roman" w:cs="Times New Roman"/>
          <w:sz w:val="24"/>
          <w:szCs w:val="24"/>
          <w:lang w:eastAsia="en-GB"/>
        </w:rPr>
        <w:t>, which stresses the importance of contextual and peer-supported learning.</w:t>
      </w:r>
    </w:p>
    <w:p w14:paraId="0728DAA5" w14:textId="77777777" w:rsidR="00A84E96" w:rsidRPr="00BE4AF3" w:rsidRDefault="00A84E96" w:rsidP="00D75102">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 xml:space="preserve">Additionally, collaborative and reflective learning practices appear limited. Students </w:t>
      </w:r>
      <w:r w:rsidRPr="00BE4AF3">
        <w:rPr>
          <w:rFonts w:ascii="Times New Roman" w:eastAsia="Times New Roman" w:hAnsi="Times New Roman" w:cs="Times New Roman"/>
          <w:bCs/>
          <w:sz w:val="24"/>
          <w:szCs w:val="24"/>
          <w:lang w:eastAsia="en-GB"/>
        </w:rPr>
        <w:t>disagreed</w:t>
      </w:r>
      <w:r w:rsidRPr="00BE4AF3">
        <w:rPr>
          <w:rFonts w:ascii="Times New Roman" w:eastAsia="Times New Roman" w:hAnsi="Times New Roman" w:cs="Times New Roman"/>
          <w:sz w:val="24"/>
          <w:szCs w:val="24"/>
          <w:lang w:eastAsia="en-GB"/>
        </w:rPr>
        <w:t xml:space="preserve"> that instructors encouraged critical thinking and problem-solving (</w:t>
      </w:r>
      <w:r w:rsidRPr="00BE4AF3">
        <w:rPr>
          <w:rFonts w:ascii="Times New Roman" w:eastAsia="Times New Roman" w:hAnsi="Times New Roman" w:cs="Times New Roman"/>
          <w:bCs/>
          <w:sz w:val="24"/>
          <w:szCs w:val="24"/>
          <w:lang w:eastAsia="en-GB"/>
        </w:rPr>
        <w:t>2.43</w:t>
      </w:r>
      <w:r w:rsidRPr="00BE4AF3">
        <w:rPr>
          <w:rFonts w:ascii="Times New Roman" w:eastAsia="Times New Roman" w:hAnsi="Times New Roman" w:cs="Times New Roman"/>
          <w:sz w:val="24"/>
          <w:szCs w:val="24"/>
          <w:lang w:eastAsia="en-GB"/>
        </w:rPr>
        <w:t xml:space="preserve">), and also </w:t>
      </w:r>
      <w:r w:rsidRPr="00BE4AF3">
        <w:rPr>
          <w:rFonts w:ascii="Times New Roman" w:eastAsia="Times New Roman" w:hAnsi="Times New Roman" w:cs="Times New Roman"/>
          <w:bCs/>
          <w:sz w:val="24"/>
          <w:szCs w:val="24"/>
          <w:lang w:eastAsia="en-GB"/>
        </w:rPr>
        <w:t>disagreed</w:t>
      </w:r>
      <w:r w:rsidRPr="00BE4AF3">
        <w:rPr>
          <w:rFonts w:ascii="Times New Roman" w:eastAsia="Times New Roman" w:hAnsi="Times New Roman" w:cs="Times New Roman"/>
          <w:sz w:val="24"/>
          <w:szCs w:val="24"/>
          <w:lang w:eastAsia="en-GB"/>
        </w:rPr>
        <w:t xml:space="preserve"> that group discussions or peer learning were part of their experience (</w:t>
      </w:r>
      <w:r w:rsidRPr="00BE4AF3">
        <w:rPr>
          <w:rFonts w:ascii="Times New Roman" w:eastAsia="Times New Roman" w:hAnsi="Times New Roman" w:cs="Times New Roman"/>
          <w:bCs/>
          <w:sz w:val="24"/>
          <w:szCs w:val="24"/>
          <w:lang w:eastAsia="en-GB"/>
        </w:rPr>
        <w:t>2.02</w:t>
      </w:r>
      <w:r w:rsidRPr="00BE4AF3">
        <w:rPr>
          <w:rFonts w:ascii="Times New Roman" w:eastAsia="Times New Roman" w:hAnsi="Times New Roman" w:cs="Times New Roman"/>
          <w:sz w:val="24"/>
          <w:szCs w:val="24"/>
          <w:lang w:eastAsia="en-GB"/>
        </w:rPr>
        <w:t xml:space="preserve">). This is inconsistent with contemporary pedagogical best practices, which emphasize the value of collaborative learning and </w:t>
      </w:r>
      <w:r w:rsidRPr="00BE4AF3">
        <w:rPr>
          <w:rFonts w:ascii="Times New Roman" w:eastAsia="Times New Roman" w:hAnsi="Times New Roman" w:cs="Times New Roman"/>
          <w:sz w:val="24"/>
          <w:szCs w:val="24"/>
          <w:lang w:eastAsia="en-GB"/>
        </w:rPr>
        <w:lastRenderedPageBreak/>
        <w:t xml:space="preserve">discussion in developing higher-order thinking skills, particularly in professional disciplines like valuation (as noted by </w:t>
      </w:r>
      <w:r w:rsidRPr="00BE4AF3">
        <w:rPr>
          <w:rFonts w:ascii="Times New Roman" w:hAnsi="Times New Roman" w:cs="Times New Roman"/>
          <w:sz w:val="24"/>
          <w:szCs w:val="24"/>
        </w:rPr>
        <w:t xml:space="preserve">Abidoye et al. (2024) and </w:t>
      </w:r>
      <w:r w:rsidRPr="00BE4AF3">
        <w:rPr>
          <w:rFonts w:ascii="Times New Roman" w:hAnsi="Times New Roman" w:cs="Times New Roman"/>
          <w:sz w:val="24"/>
          <w:szCs w:val="24"/>
          <w:lang w:eastAsia="en-ZA"/>
        </w:rPr>
        <w:t>Zeicu et al. (2017))</w:t>
      </w:r>
      <w:r w:rsidRPr="00BE4AF3">
        <w:rPr>
          <w:rFonts w:ascii="Times New Roman" w:eastAsia="Times New Roman" w:hAnsi="Times New Roman" w:cs="Times New Roman"/>
          <w:sz w:val="24"/>
          <w:szCs w:val="24"/>
          <w:lang w:eastAsia="en-GB"/>
        </w:rPr>
        <w:t>.</w:t>
      </w:r>
    </w:p>
    <w:p w14:paraId="4558A9C2" w14:textId="77777777" w:rsidR="00A84E96" w:rsidRPr="00BE4AF3" w:rsidRDefault="00A84E96" w:rsidP="00D75102">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 xml:space="preserve">While students acknowledged some strengths in interactivity, assessment, and feedback, the data reveals a pedagogical imbalance. Valuation instruction appears to lack sufficient real-world application, technological integration, and active learning strategies. These findings reinforce prior literature calling for reforms in valuation education, such as the integration of </w:t>
      </w:r>
      <w:r w:rsidRPr="00BE4AF3">
        <w:rPr>
          <w:rFonts w:ascii="Times New Roman" w:eastAsia="Times New Roman" w:hAnsi="Times New Roman" w:cs="Times New Roman"/>
          <w:bCs/>
          <w:sz w:val="24"/>
          <w:szCs w:val="24"/>
          <w:lang w:eastAsia="en-GB"/>
        </w:rPr>
        <w:t>case-based learning, digital tools, collaborative activities, and field exposure</w:t>
      </w:r>
      <w:r w:rsidRPr="00BE4AF3">
        <w:rPr>
          <w:rFonts w:ascii="Times New Roman" w:eastAsia="Times New Roman" w:hAnsi="Times New Roman" w:cs="Times New Roman"/>
          <w:sz w:val="24"/>
          <w:szCs w:val="24"/>
          <w:lang w:eastAsia="en-GB"/>
        </w:rPr>
        <w:t xml:space="preserve"> to bridge the gap between academic training and professional practice (</w:t>
      </w:r>
      <w:r w:rsidRPr="00BE4AF3">
        <w:rPr>
          <w:rFonts w:ascii="Times New Roman" w:hAnsi="Times New Roman" w:cs="Times New Roman"/>
          <w:sz w:val="24"/>
          <w:szCs w:val="24"/>
        </w:rPr>
        <w:t xml:space="preserve">Abidoye et al. (2024) and </w:t>
      </w:r>
      <w:r w:rsidRPr="00BE4AF3">
        <w:rPr>
          <w:rFonts w:ascii="Times New Roman" w:hAnsi="Times New Roman" w:cs="Times New Roman"/>
          <w:sz w:val="24"/>
          <w:szCs w:val="24"/>
          <w:lang w:eastAsia="en-ZA"/>
        </w:rPr>
        <w:t>Zeicu et al. (2017)</w:t>
      </w:r>
      <w:r w:rsidRPr="00BE4AF3">
        <w:rPr>
          <w:rFonts w:ascii="Times New Roman" w:eastAsia="Times New Roman" w:hAnsi="Times New Roman" w:cs="Times New Roman"/>
          <w:sz w:val="24"/>
          <w:szCs w:val="24"/>
          <w:lang w:eastAsia="en-GB"/>
        </w:rPr>
        <w:t>). Addressing these gaps is essential to producing graduates who are not only knowledgeable, but also skilled, adaptable, and ready for the demands of the modern real estate industry.</w:t>
      </w:r>
    </w:p>
    <w:p w14:paraId="75754BB1" w14:textId="77777777" w:rsidR="00A84E96" w:rsidRPr="00BE4AF3" w:rsidRDefault="00A84E96" w:rsidP="00A84E96">
      <w:pPr>
        <w:pStyle w:val="NormalWeb"/>
        <w:spacing w:before="0" w:beforeAutospacing="0" w:after="0" w:afterAutospacing="0"/>
        <w:jc w:val="both"/>
        <w:rPr>
          <w:b/>
        </w:rPr>
      </w:pPr>
    </w:p>
    <w:p w14:paraId="2FE5CBCC" w14:textId="77777777" w:rsidR="00A84E96" w:rsidRPr="00D75102" w:rsidRDefault="00A84E96" w:rsidP="00D75102">
      <w:pPr>
        <w:pStyle w:val="NormalWeb"/>
        <w:spacing w:before="0" w:beforeAutospacing="0" w:after="0" w:afterAutospacing="0"/>
        <w:jc w:val="center"/>
        <w:rPr>
          <w:bCs/>
        </w:rPr>
      </w:pPr>
      <w:r w:rsidRPr="00BE4AF3">
        <w:rPr>
          <w:b/>
        </w:rPr>
        <w:t xml:space="preserve">Table 4: </w:t>
      </w:r>
      <w:r w:rsidRPr="00D75102">
        <w:rPr>
          <w:bCs/>
        </w:rPr>
        <w:t>Suggestions for Improvement</w:t>
      </w:r>
    </w:p>
    <w:tbl>
      <w:tblPr>
        <w:tblStyle w:val="PlainTable2"/>
        <w:tblW w:w="8222" w:type="dxa"/>
        <w:jc w:val="center"/>
        <w:tblLook w:val="0620" w:firstRow="1" w:lastRow="0" w:firstColumn="0" w:lastColumn="0" w:noHBand="1" w:noVBand="1"/>
      </w:tblPr>
      <w:tblGrid>
        <w:gridCol w:w="5524"/>
        <w:gridCol w:w="1139"/>
        <w:gridCol w:w="1559"/>
      </w:tblGrid>
      <w:tr w:rsidR="00A84E96" w:rsidRPr="00D75102" w14:paraId="66146F36" w14:textId="77777777" w:rsidTr="00D75102">
        <w:trPr>
          <w:cnfStyle w:val="100000000000" w:firstRow="1" w:lastRow="0" w:firstColumn="0" w:lastColumn="0" w:oddVBand="0" w:evenVBand="0" w:oddHBand="0" w:evenHBand="0" w:firstRowFirstColumn="0" w:firstRowLastColumn="0" w:lastRowFirstColumn="0" w:lastRowLastColumn="0"/>
          <w:jc w:val="center"/>
        </w:trPr>
        <w:tc>
          <w:tcPr>
            <w:tcW w:w="5524" w:type="dxa"/>
          </w:tcPr>
          <w:p w14:paraId="1DC82CC0" w14:textId="77777777" w:rsidR="00A84E96" w:rsidRPr="00D75102" w:rsidRDefault="00A84E96" w:rsidP="00A84E96">
            <w:pPr>
              <w:spacing w:before="100" w:beforeAutospacing="1" w:after="100" w:afterAutospacing="1"/>
              <w:jc w:val="both"/>
              <w:rPr>
                <w:rFonts w:ascii="Times New Roman" w:hAnsi="Times New Roman" w:cs="Times New Roman"/>
                <w:b w:val="0"/>
                <w:sz w:val="20"/>
                <w:szCs w:val="20"/>
              </w:rPr>
            </w:pPr>
            <w:r w:rsidRPr="00D75102">
              <w:rPr>
                <w:rFonts w:ascii="Times New Roman" w:hAnsi="Times New Roman" w:cs="Times New Roman"/>
                <w:b w:val="0"/>
                <w:sz w:val="20"/>
                <w:szCs w:val="20"/>
              </w:rPr>
              <w:t>Statements</w:t>
            </w:r>
          </w:p>
        </w:tc>
        <w:tc>
          <w:tcPr>
            <w:tcW w:w="1139" w:type="dxa"/>
          </w:tcPr>
          <w:p w14:paraId="23697AD9" w14:textId="77777777" w:rsidR="00A84E96" w:rsidRPr="00D75102" w:rsidRDefault="00A84E96" w:rsidP="00A84E96">
            <w:pPr>
              <w:spacing w:before="100" w:beforeAutospacing="1" w:after="100" w:afterAutospacing="1"/>
              <w:jc w:val="both"/>
              <w:rPr>
                <w:rFonts w:ascii="Times New Roman" w:hAnsi="Times New Roman" w:cs="Times New Roman"/>
                <w:b w:val="0"/>
                <w:sz w:val="20"/>
                <w:szCs w:val="20"/>
              </w:rPr>
            </w:pPr>
            <w:r w:rsidRPr="00D75102">
              <w:rPr>
                <w:rFonts w:ascii="Times New Roman" w:hAnsi="Times New Roman" w:cs="Times New Roman"/>
                <w:b w:val="0"/>
                <w:sz w:val="20"/>
                <w:szCs w:val="20"/>
              </w:rPr>
              <w:t>Mean score</w:t>
            </w:r>
          </w:p>
        </w:tc>
        <w:tc>
          <w:tcPr>
            <w:tcW w:w="1559" w:type="dxa"/>
          </w:tcPr>
          <w:p w14:paraId="209A9A0C" w14:textId="77777777" w:rsidR="00A84E96" w:rsidRPr="00D75102" w:rsidRDefault="00A84E96" w:rsidP="00A84E96">
            <w:pPr>
              <w:spacing w:before="100" w:beforeAutospacing="1" w:after="100" w:afterAutospacing="1"/>
              <w:jc w:val="both"/>
              <w:rPr>
                <w:rFonts w:ascii="Times New Roman" w:hAnsi="Times New Roman" w:cs="Times New Roman"/>
                <w:b w:val="0"/>
                <w:sz w:val="20"/>
                <w:szCs w:val="20"/>
              </w:rPr>
            </w:pPr>
            <w:r w:rsidRPr="00D75102">
              <w:rPr>
                <w:rFonts w:ascii="Times New Roman" w:hAnsi="Times New Roman" w:cs="Times New Roman"/>
                <w:b w:val="0"/>
                <w:sz w:val="20"/>
                <w:szCs w:val="20"/>
              </w:rPr>
              <w:t xml:space="preserve">Decision </w:t>
            </w:r>
          </w:p>
        </w:tc>
      </w:tr>
      <w:tr w:rsidR="00A84E96" w:rsidRPr="00D75102" w14:paraId="7E94E67E" w14:textId="77777777" w:rsidTr="00D75102">
        <w:trPr>
          <w:jc w:val="center"/>
        </w:trPr>
        <w:tc>
          <w:tcPr>
            <w:tcW w:w="5524" w:type="dxa"/>
          </w:tcPr>
          <w:p w14:paraId="38FB54F1"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hAnsi="Times New Roman" w:cs="Times New Roman"/>
                <w:sz w:val="20"/>
                <w:szCs w:val="20"/>
              </w:rPr>
              <w:t>More emphasis should be placed on real-life case studies and simulations</w:t>
            </w:r>
          </w:p>
        </w:tc>
        <w:tc>
          <w:tcPr>
            <w:tcW w:w="1139" w:type="dxa"/>
          </w:tcPr>
          <w:p w14:paraId="1CF671BA" w14:textId="77777777" w:rsidR="00A84E96" w:rsidRPr="00D75102" w:rsidRDefault="00A84E96" w:rsidP="00A84E96">
            <w:pPr>
              <w:spacing w:before="100" w:beforeAutospacing="1" w:after="100" w:afterAutospacing="1"/>
              <w:jc w:val="both"/>
              <w:rPr>
                <w:rFonts w:ascii="Times New Roman" w:hAnsi="Times New Roman" w:cs="Times New Roman"/>
                <w:sz w:val="20"/>
                <w:szCs w:val="20"/>
              </w:rPr>
            </w:pPr>
            <w:r w:rsidRPr="00D75102">
              <w:rPr>
                <w:rFonts w:ascii="Times New Roman" w:hAnsi="Times New Roman" w:cs="Times New Roman"/>
                <w:sz w:val="20"/>
                <w:szCs w:val="20"/>
              </w:rPr>
              <w:t>4.78</w:t>
            </w:r>
          </w:p>
        </w:tc>
        <w:tc>
          <w:tcPr>
            <w:tcW w:w="1559" w:type="dxa"/>
          </w:tcPr>
          <w:p w14:paraId="3575ADAF"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eastAsia="Times New Roman" w:hAnsi="Times New Roman" w:cs="Times New Roman"/>
                <w:bCs/>
                <w:sz w:val="20"/>
                <w:szCs w:val="20"/>
                <w:lang w:eastAsia="en-GB"/>
              </w:rPr>
              <w:t>Strongly Agree</w:t>
            </w:r>
            <w:r w:rsidRPr="00D75102">
              <w:rPr>
                <w:rFonts w:ascii="Times New Roman" w:eastAsia="Times New Roman" w:hAnsi="Times New Roman" w:cs="Times New Roman"/>
                <w:sz w:val="20"/>
                <w:szCs w:val="20"/>
                <w:lang w:eastAsia="en-GB"/>
              </w:rPr>
              <w:t>.</w:t>
            </w:r>
          </w:p>
        </w:tc>
      </w:tr>
      <w:tr w:rsidR="00A84E96" w:rsidRPr="00D75102" w14:paraId="77EBEAF9" w14:textId="77777777" w:rsidTr="00D75102">
        <w:trPr>
          <w:jc w:val="center"/>
        </w:trPr>
        <w:tc>
          <w:tcPr>
            <w:tcW w:w="5524" w:type="dxa"/>
          </w:tcPr>
          <w:p w14:paraId="315B5A66"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hAnsi="Times New Roman" w:cs="Times New Roman"/>
                <w:sz w:val="20"/>
                <w:szCs w:val="20"/>
              </w:rPr>
              <w:t>Valuation courses should include regular field trips and industry exposure.</w:t>
            </w:r>
          </w:p>
        </w:tc>
        <w:tc>
          <w:tcPr>
            <w:tcW w:w="1139" w:type="dxa"/>
          </w:tcPr>
          <w:p w14:paraId="18A7C0D1" w14:textId="77777777" w:rsidR="00A84E96" w:rsidRPr="00D75102" w:rsidRDefault="00A84E96" w:rsidP="00A84E96">
            <w:pPr>
              <w:spacing w:before="100" w:beforeAutospacing="1" w:after="100" w:afterAutospacing="1"/>
              <w:jc w:val="both"/>
              <w:rPr>
                <w:rFonts w:ascii="Times New Roman" w:hAnsi="Times New Roman" w:cs="Times New Roman"/>
                <w:sz w:val="20"/>
                <w:szCs w:val="20"/>
              </w:rPr>
            </w:pPr>
            <w:r w:rsidRPr="00D75102">
              <w:rPr>
                <w:rFonts w:ascii="Times New Roman" w:hAnsi="Times New Roman" w:cs="Times New Roman"/>
                <w:sz w:val="20"/>
                <w:szCs w:val="20"/>
              </w:rPr>
              <w:t>4.53</w:t>
            </w:r>
          </w:p>
        </w:tc>
        <w:tc>
          <w:tcPr>
            <w:tcW w:w="1559" w:type="dxa"/>
          </w:tcPr>
          <w:p w14:paraId="769CC985"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eastAsia="Times New Roman" w:hAnsi="Times New Roman" w:cs="Times New Roman"/>
                <w:bCs/>
                <w:sz w:val="20"/>
                <w:szCs w:val="20"/>
                <w:lang w:eastAsia="en-GB"/>
              </w:rPr>
              <w:t>Strongly Agree</w:t>
            </w:r>
            <w:r w:rsidRPr="00D75102">
              <w:rPr>
                <w:rFonts w:ascii="Times New Roman" w:eastAsia="Times New Roman" w:hAnsi="Times New Roman" w:cs="Times New Roman"/>
                <w:sz w:val="20"/>
                <w:szCs w:val="20"/>
                <w:lang w:eastAsia="en-GB"/>
              </w:rPr>
              <w:t>.</w:t>
            </w:r>
          </w:p>
        </w:tc>
      </w:tr>
      <w:tr w:rsidR="00A84E96" w:rsidRPr="00D75102" w14:paraId="2003734F" w14:textId="77777777" w:rsidTr="00D75102">
        <w:trPr>
          <w:jc w:val="center"/>
        </w:trPr>
        <w:tc>
          <w:tcPr>
            <w:tcW w:w="5524" w:type="dxa"/>
          </w:tcPr>
          <w:p w14:paraId="30A255CF"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hAnsi="Times New Roman" w:cs="Times New Roman"/>
                <w:sz w:val="20"/>
                <w:szCs w:val="20"/>
              </w:rPr>
              <w:t>Lecturers should integrate modern valuation tools and software into instruction</w:t>
            </w:r>
          </w:p>
        </w:tc>
        <w:tc>
          <w:tcPr>
            <w:tcW w:w="1139" w:type="dxa"/>
          </w:tcPr>
          <w:p w14:paraId="5EC2A9B5" w14:textId="77777777" w:rsidR="00A84E96" w:rsidRPr="00D75102" w:rsidRDefault="00A84E96" w:rsidP="00A84E96">
            <w:pPr>
              <w:spacing w:before="100" w:beforeAutospacing="1" w:after="100" w:afterAutospacing="1"/>
              <w:jc w:val="both"/>
              <w:rPr>
                <w:rFonts w:ascii="Times New Roman" w:hAnsi="Times New Roman" w:cs="Times New Roman"/>
                <w:sz w:val="20"/>
                <w:szCs w:val="20"/>
              </w:rPr>
            </w:pPr>
            <w:r w:rsidRPr="00D75102">
              <w:rPr>
                <w:rFonts w:ascii="Times New Roman" w:hAnsi="Times New Roman" w:cs="Times New Roman"/>
                <w:sz w:val="20"/>
                <w:szCs w:val="20"/>
              </w:rPr>
              <w:t>4.68</w:t>
            </w:r>
          </w:p>
        </w:tc>
        <w:tc>
          <w:tcPr>
            <w:tcW w:w="1559" w:type="dxa"/>
          </w:tcPr>
          <w:p w14:paraId="6CF577D7"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eastAsia="Times New Roman" w:hAnsi="Times New Roman" w:cs="Times New Roman"/>
                <w:bCs/>
                <w:sz w:val="20"/>
                <w:szCs w:val="20"/>
                <w:lang w:eastAsia="en-GB"/>
              </w:rPr>
              <w:t>Strongly Agree</w:t>
            </w:r>
            <w:r w:rsidRPr="00D75102">
              <w:rPr>
                <w:rFonts w:ascii="Times New Roman" w:eastAsia="Times New Roman" w:hAnsi="Times New Roman" w:cs="Times New Roman"/>
                <w:sz w:val="20"/>
                <w:szCs w:val="20"/>
                <w:lang w:eastAsia="en-GB"/>
              </w:rPr>
              <w:t>.</w:t>
            </w:r>
          </w:p>
        </w:tc>
      </w:tr>
      <w:tr w:rsidR="00A84E96" w:rsidRPr="00D75102" w14:paraId="23368B66" w14:textId="77777777" w:rsidTr="00D75102">
        <w:trPr>
          <w:jc w:val="center"/>
        </w:trPr>
        <w:tc>
          <w:tcPr>
            <w:tcW w:w="5524" w:type="dxa"/>
          </w:tcPr>
          <w:p w14:paraId="3F6B6F72"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hAnsi="Times New Roman" w:cs="Times New Roman"/>
                <w:sz w:val="20"/>
                <w:szCs w:val="20"/>
              </w:rPr>
              <w:t>Group projects and collaborative learning should be encouraged in valuation classes</w:t>
            </w:r>
          </w:p>
        </w:tc>
        <w:tc>
          <w:tcPr>
            <w:tcW w:w="1139" w:type="dxa"/>
          </w:tcPr>
          <w:p w14:paraId="179F48C6" w14:textId="77777777" w:rsidR="00A84E96" w:rsidRPr="00D75102" w:rsidRDefault="00A84E96" w:rsidP="00A84E96">
            <w:pPr>
              <w:spacing w:before="100" w:beforeAutospacing="1" w:after="100" w:afterAutospacing="1"/>
              <w:jc w:val="both"/>
              <w:rPr>
                <w:rFonts w:ascii="Times New Roman" w:hAnsi="Times New Roman" w:cs="Times New Roman"/>
                <w:sz w:val="20"/>
                <w:szCs w:val="20"/>
              </w:rPr>
            </w:pPr>
            <w:r w:rsidRPr="00D75102">
              <w:rPr>
                <w:rFonts w:ascii="Times New Roman" w:hAnsi="Times New Roman" w:cs="Times New Roman"/>
                <w:sz w:val="20"/>
                <w:szCs w:val="20"/>
              </w:rPr>
              <w:t>4.55</w:t>
            </w:r>
          </w:p>
        </w:tc>
        <w:tc>
          <w:tcPr>
            <w:tcW w:w="1559" w:type="dxa"/>
          </w:tcPr>
          <w:p w14:paraId="54B79E08"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eastAsia="Times New Roman" w:hAnsi="Times New Roman" w:cs="Times New Roman"/>
                <w:bCs/>
                <w:sz w:val="20"/>
                <w:szCs w:val="20"/>
                <w:lang w:eastAsia="en-GB"/>
              </w:rPr>
              <w:t>Strongly Agree</w:t>
            </w:r>
            <w:r w:rsidRPr="00D75102">
              <w:rPr>
                <w:rFonts w:ascii="Times New Roman" w:eastAsia="Times New Roman" w:hAnsi="Times New Roman" w:cs="Times New Roman"/>
                <w:sz w:val="20"/>
                <w:szCs w:val="20"/>
                <w:lang w:eastAsia="en-GB"/>
              </w:rPr>
              <w:t>.</w:t>
            </w:r>
          </w:p>
        </w:tc>
      </w:tr>
      <w:tr w:rsidR="00A84E96" w:rsidRPr="00D75102" w14:paraId="6C0D5DC5" w14:textId="77777777" w:rsidTr="00D75102">
        <w:trPr>
          <w:jc w:val="center"/>
        </w:trPr>
        <w:tc>
          <w:tcPr>
            <w:tcW w:w="5524" w:type="dxa"/>
          </w:tcPr>
          <w:p w14:paraId="7E8E9082"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hAnsi="Times New Roman" w:cs="Times New Roman"/>
                <w:sz w:val="20"/>
                <w:szCs w:val="20"/>
              </w:rPr>
              <w:t>Guest lectures or workshops from industry professionals should be included.</w:t>
            </w:r>
          </w:p>
        </w:tc>
        <w:tc>
          <w:tcPr>
            <w:tcW w:w="1139" w:type="dxa"/>
          </w:tcPr>
          <w:p w14:paraId="3E4ABDDE" w14:textId="77777777" w:rsidR="00A84E96" w:rsidRPr="00D75102" w:rsidRDefault="00A84E96" w:rsidP="00A84E96">
            <w:pPr>
              <w:spacing w:before="100" w:beforeAutospacing="1" w:after="100" w:afterAutospacing="1"/>
              <w:jc w:val="both"/>
              <w:rPr>
                <w:rFonts w:ascii="Times New Roman" w:hAnsi="Times New Roman" w:cs="Times New Roman"/>
                <w:sz w:val="20"/>
                <w:szCs w:val="20"/>
              </w:rPr>
            </w:pPr>
            <w:r w:rsidRPr="00D75102">
              <w:rPr>
                <w:rFonts w:ascii="Times New Roman" w:hAnsi="Times New Roman" w:cs="Times New Roman"/>
                <w:sz w:val="20"/>
                <w:szCs w:val="20"/>
              </w:rPr>
              <w:t>4.67</w:t>
            </w:r>
          </w:p>
        </w:tc>
        <w:tc>
          <w:tcPr>
            <w:tcW w:w="1559" w:type="dxa"/>
          </w:tcPr>
          <w:p w14:paraId="5462C431"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eastAsia="Times New Roman" w:hAnsi="Times New Roman" w:cs="Times New Roman"/>
                <w:bCs/>
                <w:sz w:val="20"/>
                <w:szCs w:val="20"/>
                <w:lang w:eastAsia="en-GB"/>
              </w:rPr>
              <w:t>Strongly Agree</w:t>
            </w:r>
            <w:r w:rsidRPr="00D75102">
              <w:rPr>
                <w:rFonts w:ascii="Times New Roman" w:eastAsia="Times New Roman" w:hAnsi="Times New Roman" w:cs="Times New Roman"/>
                <w:sz w:val="20"/>
                <w:szCs w:val="20"/>
                <w:lang w:eastAsia="en-GB"/>
              </w:rPr>
              <w:t>.</w:t>
            </w:r>
          </w:p>
        </w:tc>
      </w:tr>
      <w:tr w:rsidR="00A84E96" w:rsidRPr="00D75102" w14:paraId="57F759BC" w14:textId="77777777" w:rsidTr="00D75102">
        <w:trPr>
          <w:jc w:val="center"/>
        </w:trPr>
        <w:tc>
          <w:tcPr>
            <w:tcW w:w="5524" w:type="dxa"/>
          </w:tcPr>
          <w:p w14:paraId="57D343D4" w14:textId="60732E9A"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hAnsi="Times New Roman" w:cs="Times New Roman"/>
                <w:sz w:val="20"/>
                <w:szCs w:val="20"/>
              </w:rPr>
              <w:t xml:space="preserve">Teaching should be more interactive and less </w:t>
            </w:r>
            <w:r w:rsidR="00D75102" w:rsidRPr="00D75102">
              <w:rPr>
                <w:rFonts w:ascii="Times New Roman" w:hAnsi="Times New Roman" w:cs="Times New Roman"/>
                <w:sz w:val="20"/>
                <w:szCs w:val="20"/>
              </w:rPr>
              <w:t>lecture dominated</w:t>
            </w:r>
            <w:r w:rsidRPr="00D75102">
              <w:rPr>
                <w:rFonts w:ascii="Times New Roman" w:hAnsi="Times New Roman" w:cs="Times New Roman"/>
                <w:sz w:val="20"/>
                <w:szCs w:val="20"/>
              </w:rPr>
              <w:t>.</w:t>
            </w:r>
          </w:p>
        </w:tc>
        <w:tc>
          <w:tcPr>
            <w:tcW w:w="1139" w:type="dxa"/>
          </w:tcPr>
          <w:p w14:paraId="5EDE0031" w14:textId="77777777" w:rsidR="00A84E96" w:rsidRPr="00D75102" w:rsidRDefault="00A84E96" w:rsidP="00A84E96">
            <w:pPr>
              <w:spacing w:before="100" w:beforeAutospacing="1" w:after="100" w:afterAutospacing="1"/>
              <w:jc w:val="both"/>
              <w:rPr>
                <w:rFonts w:ascii="Times New Roman" w:hAnsi="Times New Roman" w:cs="Times New Roman"/>
                <w:sz w:val="20"/>
                <w:szCs w:val="20"/>
              </w:rPr>
            </w:pPr>
            <w:r w:rsidRPr="00D75102">
              <w:rPr>
                <w:rFonts w:ascii="Times New Roman" w:hAnsi="Times New Roman" w:cs="Times New Roman"/>
                <w:sz w:val="20"/>
                <w:szCs w:val="20"/>
              </w:rPr>
              <w:t>4.66</w:t>
            </w:r>
          </w:p>
        </w:tc>
        <w:tc>
          <w:tcPr>
            <w:tcW w:w="1559" w:type="dxa"/>
          </w:tcPr>
          <w:p w14:paraId="05BA5263"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eastAsia="Times New Roman" w:hAnsi="Times New Roman" w:cs="Times New Roman"/>
                <w:bCs/>
                <w:sz w:val="20"/>
                <w:szCs w:val="20"/>
                <w:lang w:eastAsia="en-GB"/>
              </w:rPr>
              <w:t>Strongly Agree</w:t>
            </w:r>
            <w:r w:rsidRPr="00D75102">
              <w:rPr>
                <w:rFonts w:ascii="Times New Roman" w:eastAsia="Times New Roman" w:hAnsi="Times New Roman" w:cs="Times New Roman"/>
                <w:sz w:val="20"/>
                <w:szCs w:val="20"/>
                <w:lang w:eastAsia="en-GB"/>
              </w:rPr>
              <w:t>.</w:t>
            </w:r>
          </w:p>
        </w:tc>
      </w:tr>
      <w:tr w:rsidR="00A84E96" w:rsidRPr="00D75102" w14:paraId="5F388FF2" w14:textId="77777777" w:rsidTr="00D75102">
        <w:trPr>
          <w:jc w:val="center"/>
        </w:trPr>
        <w:tc>
          <w:tcPr>
            <w:tcW w:w="5524" w:type="dxa"/>
          </w:tcPr>
          <w:p w14:paraId="473A5CDC"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hAnsi="Times New Roman" w:cs="Times New Roman"/>
                <w:sz w:val="20"/>
                <w:szCs w:val="20"/>
              </w:rPr>
              <w:t>Assessment should include practical tasks and real-world valuation exercises.</w:t>
            </w:r>
          </w:p>
        </w:tc>
        <w:tc>
          <w:tcPr>
            <w:tcW w:w="1139" w:type="dxa"/>
          </w:tcPr>
          <w:p w14:paraId="25093C6A" w14:textId="77777777" w:rsidR="00A84E96" w:rsidRPr="00D75102" w:rsidRDefault="00A84E96" w:rsidP="00A84E96">
            <w:pPr>
              <w:spacing w:before="100" w:beforeAutospacing="1" w:after="100" w:afterAutospacing="1"/>
              <w:jc w:val="both"/>
              <w:rPr>
                <w:rFonts w:ascii="Times New Roman" w:hAnsi="Times New Roman" w:cs="Times New Roman"/>
                <w:sz w:val="20"/>
                <w:szCs w:val="20"/>
              </w:rPr>
            </w:pPr>
            <w:r w:rsidRPr="00D75102">
              <w:rPr>
                <w:rFonts w:ascii="Times New Roman" w:hAnsi="Times New Roman" w:cs="Times New Roman"/>
                <w:sz w:val="20"/>
                <w:szCs w:val="20"/>
              </w:rPr>
              <w:t>4.62</w:t>
            </w:r>
          </w:p>
        </w:tc>
        <w:tc>
          <w:tcPr>
            <w:tcW w:w="1559" w:type="dxa"/>
          </w:tcPr>
          <w:p w14:paraId="6E5F75D6" w14:textId="77777777" w:rsidR="00A84E96" w:rsidRPr="00D75102" w:rsidRDefault="00A84E96" w:rsidP="00A84E96">
            <w:pPr>
              <w:spacing w:before="100" w:beforeAutospacing="1" w:after="100" w:afterAutospacing="1"/>
              <w:jc w:val="both"/>
              <w:rPr>
                <w:rFonts w:ascii="Times New Roman" w:hAnsi="Times New Roman" w:cs="Times New Roman"/>
                <w:b/>
                <w:sz w:val="20"/>
                <w:szCs w:val="20"/>
              </w:rPr>
            </w:pPr>
            <w:r w:rsidRPr="00D75102">
              <w:rPr>
                <w:rFonts w:ascii="Times New Roman" w:eastAsia="Times New Roman" w:hAnsi="Times New Roman" w:cs="Times New Roman"/>
                <w:bCs/>
                <w:sz w:val="20"/>
                <w:szCs w:val="20"/>
                <w:lang w:eastAsia="en-GB"/>
              </w:rPr>
              <w:t>Strongly Agree</w:t>
            </w:r>
            <w:r w:rsidRPr="00D75102">
              <w:rPr>
                <w:rFonts w:ascii="Times New Roman" w:eastAsia="Times New Roman" w:hAnsi="Times New Roman" w:cs="Times New Roman"/>
                <w:sz w:val="20"/>
                <w:szCs w:val="20"/>
                <w:lang w:eastAsia="en-GB"/>
              </w:rPr>
              <w:t>.</w:t>
            </w:r>
          </w:p>
        </w:tc>
      </w:tr>
    </w:tbl>
    <w:p w14:paraId="17F724D6" w14:textId="77777777" w:rsidR="00A84E96" w:rsidRDefault="00A84E96" w:rsidP="00D75102">
      <w:pPr>
        <w:pStyle w:val="NormalWeb"/>
        <w:spacing w:before="0" w:beforeAutospacing="0" w:after="0" w:afterAutospacing="0"/>
        <w:jc w:val="center"/>
        <w:rPr>
          <w:bCs/>
        </w:rPr>
      </w:pPr>
      <w:r w:rsidRPr="00BE4AF3">
        <w:rPr>
          <w:bCs/>
        </w:rPr>
        <w:t>Source: Authors’ Construct, 2025.</w:t>
      </w:r>
    </w:p>
    <w:p w14:paraId="631AD9C0" w14:textId="77777777" w:rsidR="0014525F" w:rsidRPr="00BE4AF3" w:rsidRDefault="0014525F" w:rsidP="00D75102">
      <w:pPr>
        <w:pStyle w:val="NormalWeb"/>
        <w:spacing w:before="0" w:beforeAutospacing="0" w:after="0" w:afterAutospacing="0"/>
        <w:jc w:val="center"/>
        <w:rPr>
          <w:bCs/>
        </w:rPr>
      </w:pPr>
    </w:p>
    <w:p w14:paraId="7F4CEB1F" w14:textId="77777777" w:rsidR="00A84E96" w:rsidRPr="0014525F" w:rsidRDefault="00A84E96" w:rsidP="00065029">
      <w:pPr>
        <w:pStyle w:val="NormalWeb"/>
        <w:spacing w:before="0" w:beforeAutospacing="0" w:after="0" w:afterAutospacing="0"/>
        <w:jc w:val="both"/>
      </w:pPr>
      <w:r w:rsidRPr="0014525F">
        <w:t xml:space="preserve">The data in Table 4 reveals a strong, unified voice among students advocating for a more experiential, practical, and industry-aligned approach to valuation education. All the suggestions presented in the questionnaire received </w:t>
      </w:r>
      <w:r w:rsidRPr="0014525F">
        <w:rPr>
          <w:rStyle w:val="Strong"/>
          <w:b w:val="0"/>
          <w:bCs w:val="0"/>
        </w:rPr>
        <w:t>very high mean scores ranging from 4.53 to 4.78</w:t>
      </w:r>
      <w:r w:rsidRPr="0014525F">
        <w:t xml:space="preserve">, with each item rated as </w:t>
      </w:r>
      <w:r w:rsidRPr="0014525F">
        <w:rPr>
          <w:b/>
          <w:bCs/>
        </w:rPr>
        <w:t>"</w:t>
      </w:r>
      <w:r w:rsidRPr="0014525F">
        <w:rPr>
          <w:rStyle w:val="Strong"/>
          <w:b w:val="0"/>
          <w:bCs w:val="0"/>
        </w:rPr>
        <w:t>Strongly Agree</w:t>
      </w:r>
      <w:r w:rsidRPr="0014525F">
        <w:rPr>
          <w:b/>
          <w:bCs/>
        </w:rPr>
        <w:t>."</w:t>
      </w:r>
      <w:r w:rsidRPr="0014525F">
        <w:t xml:space="preserve"> This consistent trend indicates students' desire for a significant pedagogical shift in how valuation is taught.</w:t>
      </w:r>
    </w:p>
    <w:p w14:paraId="44E50C1B" w14:textId="77777777" w:rsidR="00A84E96" w:rsidRPr="0014525F" w:rsidRDefault="00A84E96" w:rsidP="00065029">
      <w:pPr>
        <w:pStyle w:val="NormalWeb"/>
        <w:spacing w:before="0" w:beforeAutospacing="0" w:after="0" w:afterAutospacing="0"/>
        <w:jc w:val="both"/>
      </w:pPr>
      <w:r w:rsidRPr="0014525F">
        <w:t xml:space="preserve">The highest-rated item </w:t>
      </w:r>
      <w:r w:rsidRPr="0014525F">
        <w:rPr>
          <w:rStyle w:val="Emphasis"/>
        </w:rPr>
        <w:t>“More emphasis should be placed on real-life case studies and simulations”</w:t>
      </w:r>
      <w:r w:rsidRPr="0014525F">
        <w:t xml:space="preserve"> (</w:t>
      </w:r>
      <w:r w:rsidRPr="0014525F">
        <w:rPr>
          <w:rStyle w:val="Strong"/>
          <w:b w:val="0"/>
          <w:bCs w:val="0"/>
        </w:rPr>
        <w:t>mean = 4.78</w:t>
      </w:r>
      <w:r w:rsidRPr="0014525F">
        <w:rPr>
          <w:b/>
          <w:bCs/>
        </w:rPr>
        <w:t>),</w:t>
      </w:r>
      <w:r w:rsidRPr="0014525F">
        <w:t xml:space="preserve"> underscores students’ need for contextualized learning that mirrors real-world challenges. This aligns with </w:t>
      </w:r>
      <w:r w:rsidRPr="0014525F">
        <w:rPr>
          <w:rStyle w:val="Strong"/>
          <w:b w:val="0"/>
          <w:bCs w:val="0"/>
        </w:rPr>
        <w:t>Kolb’s Experiential Learning Theory (1984)</w:t>
      </w:r>
      <w:r w:rsidRPr="0014525F">
        <w:rPr>
          <w:b/>
          <w:bCs/>
        </w:rPr>
        <w:t>,</w:t>
      </w:r>
      <w:r w:rsidRPr="0014525F">
        <w:t xml:space="preserve"> which emphasizes learning through direct experience, reflection, and application. Case-based and simulation-driven learning helps students develop analytical and decision-making skills critical for valuation practice.</w:t>
      </w:r>
    </w:p>
    <w:p w14:paraId="220E4DCA" w14:textId="77777777" w:rsidR="00A84E96" w:rsidRPr="0014525F" w:rsidRDefault="00A84E96" w:rsidP="00065029">
      <w:pPr>
        <w:pStyle w:val="NormalWeb"/>
        <w:spacing w:before="0" w:beforeAutospacing="0" w:after="0" w:afterAutospacing="0"/>
        <w:jc w:val="both"/>
      </w:pPr>
      <w:r w:rsidRPr="0014525F">
        <w:t xml:space="preserve">Similarly, </w:t>
      </w:r>
      <w:r w:rsidRPr="0014525F">
        <w:rPr>
          <w:rStyle w:val="Emphasis"/>
        </w:rPr>
        <w:t>“Lecturers should integrate modern valuation tools and software into instruction”</w:t>
      </w:r>
      <w:r w:rsidRPr="0014525F">
        <w:t xml:space="preserve"> </w:t>
      </w:r>
      <w:r w:rsidRPr="0014525F">
        <w:rPr>
          <w:b/>
          <w:bCs/>
        </w:rPr>
        <w:t>(</w:t>
      </w:r>
      <w:r w:rsidRPr="0014525F">
        <w:rPr>
          <w:rStyle w:val="Strong"/>
          <w:b w:val="0"/>
          <w:bCs w:val="0"/>
        </w:rPr>
        <w:t>mean = 4.68</w:t>
      </w:r>
      <w:r w:rsidRPr="0014525F">
        <w:rPr>
          <w:b/>
          <w:bCs/>
        </w:rPr>
        <w:t>)</w:t>
      </w:r>
      <w:r w:rsidRPr="0014525F">
        <w:t xml:space="preserve"> and </w:t>
      </w:r>
      <w:r w:rsidRPr="0014525F">
        <w:rPr>
          <w:rStyle w:val="Emphasis"/>
        </w:rPr>
        <w:t>“Assessment should include practical tasks and real-world valuation exercises”</w:t>
      </w:r>
      <w:r w:rsidRPr="0014525F">
        <w:t xml:space="preserve"> </w:t>
      </w:r>
      <w:r w:rsidRPr="0014525F">
        <w:rPr>
          <w:b/>
          <w:bCs/>
        </w:rPr>
        <w:t>(</w:t>
      </w:r>
      <w:r w:rsidRPr="0014525F">
        <w:rPr>
          <w:rStyle w:val="Strong"/>
          <w:b w:val="0"/>
          <w:bCs w:val="0"/>
        </w:rPr>
        <w:t>mean = 4.62</w:t>
      </w:r>
      <w:r w:rsidRPr="0014525F">
        <w:rPr>
          <w:b/>
          <w:bCs/>
        </w:rPr>
        <w:t>)</w:t>
      </w:r>
      <w:r w:rsidRPr="0014525F">
        <w:t xml:space="preserve"> reflect students’ call for the integration </w:t>
      </w:r>
      <w:r w:rsidRPr="0014525F">
        <w:rPr>
          <w:b/>
          <w:bCs/>
        </w:rPr>
        <w:t xml:space="preserve">of </w:t>
      </w:r>
      <w:r w:rsidRPr="0014525F">
        <w:rPr>
          <w:rStyle w:val="Strong"/>
          <w:b w:val="0"/>
          <w:bCs w:val="0"/>
        </w:rPr>
        <w:t>digital tools and hands-on evaluation methods</w:t>
      </w:r>
      <w:r w:rsidRPr="0014525F">
        <w:t xml:space="preserve"> into the curriculum. The absence of these tools in current instruction, signals a clear disconnect between academic instruction and technological trends in industry. Incorporating tools like Automated Valuation Models (AVMs), Geographic Information Systems (GIS), and statistical models is crucial to aligning with current and emerging industry standards (Abidoye et. al., 2024; </w:t>
      </w:r>
      <w:r w:rsidRPr="0014525F">
        <w:rPr>
          <w:rFonts w:eastAsiaTheme="minorHAnsi"/>
          <w:lang w:eastAsia="en-ZA"/>
        </w:rPr>
        <w:t>Zeicu et al., 2017)</w:t>
      </w:r>
      <w:r w:rsidRPr="0014525F">
        <w:t>.).</w:t>
      </w:r>
    </w:p>
    <w:p w14:paraId="19CAFA07" w14:textId="77777777" w:rsidR="00A84E96" w:rsidRPr="0014525F" w:rsidRDefault="00A84E96" w:rsidP="00065029">
      <w:pPr>
        <w:pStyle w:val="NormalWeb"/>
        <w:spacing w:before="0" w:beforeAutospacing="0" w:after="0" w:afterAutospacing="0"/>
        <w:jc w:val="both"/>
      </w:pPr>
      <w:r w:rsidRPr="0014525F">
        <w:lastRenderedPageBreak/>
        <w:t xml:space="preserve">The strong agreement with the statement </w:t>
      </w:r>
      <w:r w:rsidRPr="0014525F">
        <w:rPr>
          <w:rStyle w:val="Emphasis"/>
        </w:rPr>
        <w:t>“Group projects and collaborative learning should be encouraged in valuation classes”</w:t>
      </w:r>
      <w:r w:rsidRPr="0014525F">
        <w:t xml:space="preserve"> (</w:t>
      </w:r>
      <w:r w:rsidRPr="0014525F">
        <w:rPr>
          <w:rStyle w:val="Strong"/>
          <w:b w:val="0"/>
          <w:bCs w:val="0"/>
        </w:rPr>
        <w:t>mean = 4.55</w:t>
      </w:r>
      <w:r w:rsidRPr="0014525F">
        <w:rPr>
          <w:b/>
          <w:bCs/>
        </w:rPr>
        <w:t>)</w:t>
      </w:r>
      <w:r w:rsidRPr="0014525F">
        <w:t xml:space="preserve"> suggests that students also recognize the value of peer-to-peer engagement and teamwork. Collaborative learning fosters problem-solving, communication, and leadership skills—all of which are essential in professional real estate practice. This is supported by </w:t>
      </w:r>
      <w:r w:rsidRPr="0014525F">
        <w:rPr>
          <w:rStyle w:val="Strong"/>
          <w:b w:val="0"/>
          <w:bCs w:val="0"/>
        </w:rPr>
        <w:t>Vygotsky’s Constructivist Learning Theory</w:t>
      </w:r>
      <w:r w:rsidRPr="0014525F">
        <w:rPr>
          <w:b/>
          <w:bCs/>
        </w:rPr>
        <w:t>,</w:t>
      </w:r>
      <w:r w:rsidRPr="0014525F">
        <w:t xml:space="preserve"> which posits that knowledge is socially constructed through interaction and dialogue with others.</w:t>
      </w:r>
    </w:p>
    <w:p w14:paraId="1AE6A880" w14:textId="77777777" w:rsidR="00A84E96" w:rsidRPr="0014525F" w:rsidRDefault="00A84E96" w:rsidP="00065029">
      <w:pPr>
        <w:pStyle w:val="NormalWeb"/>
        <w:spacing w:before="0" w:beforeAutospacing="0" w:after="0" w:afterAutospacing="0"/>
        <w:jc w:val="both"/>
      </w:pPr>
      <w:r w:rsidRPr="0014525F">
        <w:t xml:space="preserve">Likewise, support for </w:t>
      </w:r>
      <w:r w:rsidRPr="0014525F">
        <w:rPr>
          <w:rStyle w:val="Emphasis"/>
        </w:rPr>
        <w:t>“Guest lectures or workshops from industry professionals”</w:t>
      </w:r>
      <w:r w:rsidRPr="0014525F">
        <w:t xml:space="preserve"> (</w:t>
      </w:r>
      <w:r w:rsidRPr="0014525F">
        <w:rPr>
          <w:rStyle w:val="Strong"/>
          <w:b w:val="0"/>
          <w:bCs w:val="0"/>
        </w:rPr>
        <w:t>mean = 4.67</w:t>
      </w:r>
      <w:r w:rsidRPr="0014525F">
        <w:rPr>
          <w:b/>
          <w:bCs/>
        </w:rPr>
        <w:t>)</w:t>
      </w:r>
      <w:r w:rsidRPr="0014525F">
        <w:t xml:space="preserve"> and </w:t>
      </w:r>
      <w:r w:rsidRPr="0014525F">
        <w:rPr>
          <w:rStyle w:val="Emphasis"/>
        </w:rPr>
        <w:t>“Valuation courses should include regular field trips and industry exposure”</w:t>
      </w:r>
      <w:r w:rsidRPr="0014525F">
        <w:t xml:space="preserve"> </w:t>
      </w:r>
      <w:r w:rsidRPr="0014525F">
        <w:rPr>
          <w:b/>
          <w:bCs/>
        </w:rPr>
        <w:t>(</w:t>
      </w:r>
      <w:r w:rsidRPr="0014525F">
        <w:rPr>
          <w:rStyle w:val="Strong"/>
          <w:b w:val="0"/>
          <w:bCs w:val="0"/>
        </w:rPr>
        <w:t>mean = 4.53</w:t>
      </w:r>
      <w:r w:rsidRPr="0014525F">
        <w:rPr>
          <w:b/>
          <w:bCs/>
        </w:rPr>
        <w:t>)</w:t>
      </w:r>
      <w:r w:rsidRPr="0014525F">
        <w:t xml:space="preserve"> reveals students’ craving for </w:t>
      </w:r>
      <w:r w:rsidRPr="0014525F">
        <w:rPr>
          <w:rStyle w:val="Strong"/>
          <w:b w:val="0"/>
          <w:bCs w:val="0"/>
        </w:rPr>
        <w:t>authentic industry engagement</w:t>
      </w:r>
      <w:r w:rsidRPr="0014525F">
        <w:rPr>
          <w:b/>
          <w:bCs/>
        </w:rPr>
        <w:t>.</w:t>
      </w:r>
      <w:r w:rsidRPr="0014525F">
        <w:t xml:space="preserve"> These forms of exposure provide insights into market realities, professional expectations, and practical applications of theoretical knowledge, bridging the gap between classroom learning and the profession. This recommendation is consistent with literature advocating for stronger </w:t>
      </w:r>
      <w:r w:rsidRPr="0014525F">
        <w:rPr>
          <w:rStyle w:val="Strong"/>
          <w:b w:val="0"/>
          <w:bCs w:val="0"/>
        </w:rPr>
        <w:t>academia-industry collaboration</w:t>
      </w:r>
      <w:r w:rsidRPr="0014525F">
        <w:t xml:space="preserve"> to enhance employability and job readiness (</w:t>
      </w:r>
      <w:r w:rsidRPr="0014525F">
        <w:rPr>
          <w:shd w:val="clear" w:color="auto" w:fill="FFFFFF"/>
        </w:rPr>
        <w:t>Yiu &amp; Cheung,</w:t>
      </w:r>
      <w:r w:rsidRPr="0014525F">
        <w:t xml:space="preserve"> 2023; Fixen, 2024; </w:t>
      </w:r>
      <w:r w:rsidRPr="0014525F">
        <w:rPr>
          <w:shd w:val="clear" w:color="auto" w:fill="FFFFFF"/>
        </w:rPr>
        <w:t>Cheung,</w:t>
      </w:r>
      <w:r w:rsidRPr="0014525F">
        <w:t xml:space="preserve"> 2023).</w:t>
      </w:r>
    </w:p>
    <w:p w14:paraId="1DDAF4B1" w14:textId="77777777" w:rsidR="00A84E96" w:rsidRPr="0014525F" w:rsidRDefault="00A84E96" w:rsidP="00065029">
      <w:pPr>
        <w:pStyle w:val="NormalWeb"/>
        <w:spacing w:before="0" w:beforeAutospacing="0" w:after="0" w:afterAutospacing="0"/>
        <w:jc w:val="both"/>
      </w:pPr>
      <w:r w:rsidRPr="0014525F">
        <w:t xml:space="preserve">Finally, the call for </w:t>
      </w:r>
      <w:r w:rsidRPr="0014525F">
        <w:rPr>
          <w:rStyle w:val="Emphasis"/>
        </w:rPr>
        <w:t>“Teaching to be more interactive and less lecture-dominated”</w:t>
      </w:r>
      <w:r w:rsidRPr="0014525F">
        <w:t xml:space="preserve"> </w:t>
      </w:r>
      <w:r w:rsidRPr="0014525F">
        <w:rPr>
          <w:b/>
          <w:bCs/>
        </w:rPr>
        <w:t>(</w:t>
      </w:r>
      <w:r w:rsidRPr="0014525F">
        <w:rPr>
          <w:rStyle w:val="Strong"/>
          <w:b w:val="0"/>
          <w:bCs w:val="0"/>
        </w:rPr>
        <w:t>mean = 4.66</w:t>
      </w:r>
      <w:r w:rsidRPr="0014525F">
        <w:rPr>
          <w:b/>
          <w:bCs/>
        </w:rPr>
        <w:t>)</w:t>
      </w:r>
      <w:r w:rsidRPr="0014525F">
        <w:t xml:space="preserve"> further confirms the need for a </w:t>
      </w:r>
      <w:r w:rsidRPr="0014525F">
        <w:rPr>
          <w:rStyle w:val="Strong"/>
          <w:b w:val="0"/>
          <w:bCs w:val="0"/>
        </w:rPr>
        <w:t>paradigm shift from traditional didactic approaches to student-centred teaching</w:t>
      </w:r>
      <w:r w:rsidRPr="0014525F">
        <w:rPr>
          <w:b/>
          <w:bCs/>
        </w:rPr>
        <w:t>.</w:t>
      </w:r>
      <w:r w:rsidRPr="0014525F">
        <w:t xml:space="preserve"> Passive lecture formats have limited effectiveness in cultivating critical thinking, a skill identified as vital for valuers facing complex and uncertain market conditions (Abidoye et. al., 2024).</w:t>
      </w:r>
    </w:p>
    <w:p w14:paraId="73E9FAFF" w14:textId="77777777" w:rsidR="00A84E96" w:rsidRPr="0014525F" w:rsidRDefault="00A84E96" w:rsidP="00065029">
      <w:pPr>
        <w:pStyle w:val="NormalWeb"/>
        <w:spacing w:before="0" w:beforeAutospacing="0" w:after="0" w:afterAutospacing="0"/>
        <w:jc w:val="both"/>
      </w:pPr>
      <w:r w:rsidRPr="0014525F">
        <w:t xml:space="preserve">Overall, students overwhelmingly support a transformation of valuation education from </w:t>
      </w:r>
      <w:r w:rsidRPr="0014525F">
        <w:rPr>
          <w:rStyle w:val="Strong"/>
          <w:b w:val="0"/>
          <w:bCs w:val="0"/>
        </w:rPr>
        <w:t>theoretical and lecture-heavy</w:t>
      </w:r>
      <w:r w:rsidRPr="0014525F">
        <w:rPr>
          <w:b/>
          <w:bCs/>
        </w:rPr>
        <w:t xml:space="preserve"> to </w:t>
      </w:r>
      <w:r w:rsidRPr="0014525F">
        <w:rPr>
          <w:rStyle w:val="Strong"/>
          <w:b w:val="0"/>
          <w:bCs w:val="0"/>
        </w:rPr>
        <w:t>practical, technology-integrated, collaborative, and industry-connected</w:t>
      </w:r>
      <w:r w:rsidRPr="0014525F">
        <w:rPr>
          <w:b/>
          <w:bCs/>
        </w:rPr>
        <w:t>.</w:t>
      </w:r>
      <w:r w:rsidRPr="0014525F">
        <w:t xml:space="preserve"> Their suggestions echo established research and reinforce the call for experiential and learner-centred approaches. Addressing these recommendations could substantially improve students’ readiness for real-world valuation practice, close the gap between academia and industry, and foster more confident, competent future professionals.</w:t>
      </w:r>
    </w:p>
    <w:p w14:paraId="71A024E9" w14:textId="77777777" w:rsidR="0014525F" w:rsidRPr="00BE4AF3" w:rsidRDefault="0014525F" w:rsidP="00065029">
      <w:pPr>
        <w:pStyle w:val="NormalWeb"/>
        <w:spacing w:before="0" w:beforeAutospacing="0" w:after="0" w:afterAutospacing="0"/>
        <w:jc w:val="both"/>
      </w:pPr>
    </w:p>
    <w:p w14:paraId="724EFA86" w14:textId="77777777" w:rsidR="00A84E96" w:rsidRPr="00BE4AF3" w:rsidRDefault="00A84E96" w:rsidP="00065029">
      <w:pPr>
        <w:spacing w:after="0" w:line="240" w:lineRule="auto"/>
        <w:jc w:val="both"/>
        <w:rPr>
          <w:rFonts w:ascii="Times New Roman" w:eastAsia="Times New Roman" w:hAnsi="Times New Roman" w:cs="Times New Roman"/>
          <w:b/>
          <w:sz w:val="24"/>
          <w:szCs w:val="24"/>
          <w:lang w:eastAsia="en-GB"/>
        </w:rPr>
      </w:pPr>
      <w:r w:rsidRPr="00BE4AF3">
        <w:rPr>
          <w:rFonts w:ascii="Times New Roman" w:eastAsia="Times New Roman" w:hAnsi="Times New Roman" w:cs="Times New Roman"/>
          <w:b/>
          <w:sz w:val="24"/>
          <w:szCs w:val="24"/>
          <w:lang w:eastAsia="en-GB"/>
        </w:rPr>
        <w:t>Implications for Real Estate Educational and Professional Development</w:t>
      </w:r>
    </w:p>
    <w:p w14:paraId="5AEDEA7A" w14:textId="77777777" w:rsidR="00A84E96" w:rsidRPr="00BE4AF3" w:rsidRDefault="00A84E96" w:rsidP="00065029">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The study’s findings carry several key implications for real estate education and professional development. First, curriculum reform is essential to address students’ limited familiarity with contemporary valuation methods such as Automated Valuation Models (AVMs), GIS-based valuation, and hedonic pricing models. Undergraduate estate management programs should integrate these topics alongside more interactive and practical teaching methods, including real-life case studies, simulations, and problem-solving exercises.</w:t>
      </w:r>
    </w:p>
    <w:p w14:paraId="744937A3" w14:textId="77777777" w:rsidR="00A84E96" w:rsidRPr="00BE4AF3" w:rsidRDefault="00A84E96" w:rsidP="00065029">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Second, the evident gap in technological competence highlights the need to embed digital literacy and hands-on training with valuation software and data analysis tools into the curriculum. These skills are critical for meeting the growing reliance on technology in valuation practice.</w:t>
      </w:r>
    </w:p>
    <w:p w14:paraId="37E868F1" w14:textId="77777777" w:rsidR="00A84E96" w:rsidRPr="00BE4AF3" w:rsidRDefault="00A84E96" w:rsidP="00065029">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Third, stronger industry–academic collaboration is needed, as students value field trips, internships, guest lectures, and industry-led workshops. Partnering with real estate firms and professional bodies will help bridge the gap between theory and practice.</w:t>
      </w:r>
    </w:p>
    <w:p w14:paraId="6A0EC1C9" w14:textId="77777777" w:rsidR="00A84E96" w:rsidRPr="00BE4AF3" w:rsidRDefault="00A84E96" w:rsidP="00065029">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Fourth, assessment strategies should prioritize authentic, practical tasks such as valuation projects, field-based assignments, and simulations, supported by timely and constructive feedback to build student confidence and competence.</w:t>
      </w:r>
    </w:p>
    <w:p w14:paraId="532D2CDC" w14:textId="77777777" w:rsidR="00A84E96" w:rsidRPr="00BE4AF3" w:rsidRDefault="00A84E96" w:rsidP="00065029">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Finally, academic staff require ongoing professional development in modern valuation practices, digital pedagogy, and experiential learning to keep pace with industry standards.</w:t>
      </w:r>
    </w:p>
    <w:p w14:paraId="071EE2E5" w14:textId="77777777" w:rsidR="00A84E96" w:rsidRPr="00BE4AF3" w:rsidRDefault="00A84E96" w:rsidP="00065029">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Overall, reorienting real estate education through curriculum updates, technological integration, industry engagement, improved assessment, and lecturer training will better prepare graduates for a dynamic, technology-driven real estate sector.</w:t>
      </w:r>
    </w:p>
    <w:p w14:paraId="7AED20F6" w14:textId="77777777" w:rsidR="00065029" w:rsidRDefault="00065029" w:rsidP="00065029">
      <w:pPr>
        <w:spacing w:after="0" w:line="240" w:lineRule="auto"/>
        <w:jc w:val="both"/>
        <w:rPr>
          <w:rFonts w:ascii="Times New Roman" w:hAnsi="Times New Roman" w:cs="Times New Roman"/>
          <w:b/>
          <w:sz w:val="24"/>
          <w:szCs w:val="24"/>
        </w:rPr>
      </w:pPr>
    </w:p>
    <w:p w14:paraId="46F31F0B" w14:textId="1DBD1C23" w:rsidR="00A84E96" w:rsidRPr="00BE4AF3" w:rsidRDefault="00A84E96" w:rsidP="00065029">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Conclusions</w:t>
      </w:r>
    </w:p>
    <w:p w14:paraId="77FAB725" w14:textId="77777777" w:rsidR="00A84E96" w:rsidRPr="00BE4AF3" w:rsidRDefault="00A84E96" w:rsidP="00065029">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This study assessed the knowledge, learning experiences, and self-assessed competence of graduating Estate Management students in conventional and contemporary valuation methods. While students showed familiarity with traditional approaches like the comparative and cost methods, they demonstrated limited exposure to contemporary techniques such as AVMs, GIS, and hedonic models. Findings also revealed gaps in practical training, use of digital tools, and industry engagement.</w:t>
      </w:r>
    </w:p>
    <w:p w14:paraId="6850F196" w14:textId="77777777" w:rsidR="00A84E96" w:rsidRPr="00BE4AF3" w:rsidRDefault="00A84E96" w:rsidP="00065029">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Students strongly advocated for reforms including greater use of real-life case studies, fieldwork, modern software, and interactive teaching. These highlight the need for curriculum updates and more applied, industry-aligned instruction. Overall, the study emphasizes the importance of bridging academic learning with professional practice to produce valuation-ready graduates.</w:t>
      </w:r>
    </w:p>
    <w:p w14:paraId="5EC09911" w14:textId="77777777" w:rsidR="00065029" w:rsidRDefault="00065029" w:rsidP="00065029">
      <w:pPr>
        <w:tabs>
          <w:tab w:val="left" w:pos="90"/>
          <w:tab w:val="left" w:pos="270"/>
        </w:tabs>
        <w:spacing w:after="0" w:line="240" w:lineRule="auto"/>
        <w:jc w:val="both"/>
        <w:rPr>
          <w:rFonts w:ascii="Times New Roman" w:hAnsi="Times New Roman" w:cs="Times New Roman"/>
          <w:b/>
          <w:sz w:val="24"/>
          <w:szCs w:val="24"/>
        </w:rPr>
      </w:pPr>
    </w:p>
    <w:p w14:paraId="0450FE1C" w14:textId="065AA6E0" w:rsidR="00A84E96" w:rsidRPr="00BE4AF3" w:rsidRDefault="00A84E96" w:rsidP="00065029">
      <w:pPr>
        <w:tabs>
          <w:tab w:val="left" w:pos="90"/>
          <w:tab w:val="left" w:pos="27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References</w:t>
      </w:r>
    </w:p>
    <w:p w14:paraId="323119E4" w14:textId="77777777" w:rsidR="00A84E96" w:rsidRPr="00BE4AF3" w:rsidRDefault="00A84E96" w:rsidP="00065029">
      <w:pPr>
        <w:spacing w:after="0" w:line="240" w:lineRule="auto"/>
        <w:jc w:val="both"/>
        <w:rPr>
          <w:rFonts w:ascii="Times New Roman" w:hAnsi="Times New Roman" w:cs="Times New Roman"/>
          <w:color w:val="222222"/>
          <w:sz w:val="24"/>
          <w:szCs w:val="24"/>
          <w:shd w:val="clear" w:color="auto" w:fill="FFFFFF"/>
        </w:rPr>
      </w:pPr>
      <w:r w:rsidRPr="00BE4AF3">
        <w:rPr>
          <w:rFonts w:ascii="Times New Roman" w:hAnsi="Times New Roman" w:cs="Times New Roman"/>
          <w:color w:val="222222"/>
          <w:sz w:val="24"/>
          <w:szCs w:val="24"/>
          <w:shd w:val="clear" w:color="auto" w:fill="FFFFFF"/>
        </w:rPr>
        <w:t>Alzain, E., Alshebami, A. S., Aldhyani, T. H., &amp; Alsubari, S. N. (2022). Application of  </w:t>
      </w:r>
      <w:r w:rsidRPr="00BE4AF3">
        <w:rPr>
          <w:rFonts w:ascii="Times New Roman" w:hAnsi="Times New Roman" w:cs="Times New Roman"/>
          <w:color w:val="222222"/>
          <w:sz w:val="24"/>
          <w:szCs w:val="24"/>
          <w:shd w:val="clear" w:color="auto" w:fill="FFFFFF"/>
        </w:rPr>
        <w:tab/>
        <w:t>artificial intelligence for predicting real estate prices: The case of Saudi  </w:t>
      </w:r>
      <w:r w:rsidRPr="00BE4AF3">
        <w:rPr>
          <w:rFonts w:ascii="Times New Roman" w:hAnsi="Times New Roman" w:cs="Times New Roman"/>
          <w:color w:val="222222"/>
          <w:sz w:val="24"/>
          <w:szCs w:val="24"/>
          <w:shd w:val="clear" w:color="auto" w:fill="FFFFFF"/>
        </w:rPr>
        <w:tab/>
        <w:t>Arabia. </w:t>
      </w:r>
      <w:r w:rsidRPr="00BE4AF3">
        <w:rPr>
          <w:rFonts w:ascii="Times New Roman" w:hAnsi="Times New Roman" w:cs="Times New Roman"/>
          <w:i/>
          <w:iCs/>
          <w:color w:val="222222"/>
          <w:sz w:val="24"/>
          <w:szCs w:val="24"/>
          <w:shd w:val="clear" w:color="auto" w:fill="FFFFFF"/>
        </w:rPr>
        <w:t>Electronics</w:t>
      </w:r>
      <w:r w:rsidRPr="00BE4AF3">
        <w:rPr>
          <w:rFonts w:ascii="Times New Roman" w:hAnsi="Times New Roman" w:cs="Times New Roman"/>
          <w:color w:val="222222"/>
          <w:sz w:val="24"/>
          <w:szCs w:val="24"/>
          <w:shd w:val="clear" w:color="auto" w:fill="FFFFFF"/>
        </w:rPr>
        <w:t>, </w:t>
      </w:r>
      <w:r w:rsidRPr="00BE4AF3">
        <w:rPr>
          <w:rFonts w:ascii="Times New Roman" w:hAnsi="Times New Roman" w:cs="Times New Roman"/>
          <w:i/>
          <w:iCs/>
          <w:color w:val="222222"/>
          <w:sz w:val="24"/>
          <w:szCs w:val="24"/>
          <w:shd w:val="clear" w:color="auto" w:fill="FFFFFF"/>
        </w:rPr>
        <w:t>11</w:t>
      </w:r>
      <w:r w:rsidRPr="00BE4AF3">
        <w:rPr>
          <w:rFonts w:ascii="Times New Roman" w:hAnsi="Times New Roman" w:cs="Times New Roman"/>
          <w:color w:val="222222"/>
          <w:sz w:val="24"/>
          <w:szCs w:val="24"/>
          <w:shd w:val="clear" w:color="auto" w:fill="FFFFFF"/>
        </w:rPr>
        <w:t>(21), 3448.</w:t>
      </w:r>
    </w:p>
    <w:p w14:paraId="20BB0FA1" w14:textId="77777777" w:rsidR="00A84E96" w:rsidRPr="00BE4AF3" w:rsidRDefault="00A84E96" w:rsidP="00065029">
      <w:pPr>
        <w:spacing w:after="0" w:line="240" w:lineRule="auto"/>
        <w:jc w:val="both"/>
        <w:rPr>
          <w:rFonts w:ascii="Times New Roman" w:hAnsi="Times New Roman" w:cs="Times New Roman"/>
          <w:color w:val="222222"/>
          <w:sz w:val="24"/>
          <w:szCs w:val="24"/>
          <w:shd w:val="clear" w:color="auto" w:fill="FFFFFF"/>
        </w:rPr>
      </w:pPr>
      <w:r w:rsidRPr="00BE4AF3">
        <w:rPr>
          <w:rFonts w:ascii="Times New Roman" w:hAnsi="Times New Roman" w:cs="Times New Roman"/>
          <w:color w:val="222222"/>
          <w:sz w:val="24"/>
          <w:szCs w:val="24"/>
          <w:shd w:val="clear" w:color="auto" w:fill="FFFFFF"/>
        </w:rPr>
        <w:t>Abidoye, R. B., Ahiadu, A. A., &amp; Adegoke, A. S. (2024). Key Aspects of Property Graduates’  </w:t>
      </w:r>
      <w:r w:rsidRPr="00BE4AF3">
        <w:rPr>
          <w:rFonts w:ascii="Times New Roman" w:hAnsi="Times New Roman" w:cs="Times New Roman"/>
          <w:color w:val="222222"/>
          <w:sz w:val="24"/>
          <w:szCs w:val="24"/>
          <w:shd w:val="clear" w:color="auto" w:fill="FFFFFF"/>
        </w:rPr>
        <w:tab/>
        <w:t>Employability in the Digital Age: Perceptions of Employers and Graduates. </w:t>
      </w:r>
      <w:r w:rsidRPr="00BE4AF3">
        <w:rPr>
          <w:rFonts w:ascii="Times New Roman" w:hAnsi="Times New Roman" w:cs="Times New Roman"/>
          <w:i/>
          <w:iCs/>
          <w:color w:val="222222"/>
          <w:sz w:val="24"/>
          <w:szCs w:val="24"/>
          <w:shd w:val="clear" w:color="auto" w:fill="FFFFFF"/>
        </w:rPr>
        <w:t>Pacific Rim  </w:t>
      </w:r>
      <w:r w:rsidRPr="00BE4AF3">
        <w:rPr>
          <w:rFonts w:ascii="Times New Roman" w:hAnsi="Times New Roman" w:cs="Times New Roman"/>
          <w:i/>
          <w:iCs/>
          <w:color w:val="222222"/>
          <w:sz w:val="24"/>
          <w:szCs w:val="24"/>
          <w:shd w:val="clear" w:color="auto" w:fill="FFFFFF"/>
        </w:rPr>
        <w:tab/>
        <w:t>Property Research Journal</w:t>
      </w:r>
      <w:r w:rsidRPr="00BE4AF3">
        <w:rPr>
          <w:rFonts w:ascii="Times New Roman" w:hAnsi="Times New Roman" w:cs="Times New Roman"/>
          <w:color w:val="222222"/>
          <w:sz w:val="24"/>
          <w:szCs w:val="24"/>
          <w:shd w:val="clear" w:color="auto" w:fill="FFFFFF"/>
        </w:rPr>
        <w:t>, </w:t>
      </w:r>
      <w:r w:rsidRPr="00BE4AF3">
        <w:rPr>
          <w:rFonts w:ascii="Times New Roman" w:hAnsi="Times New Roman" w:cs="Times New Roman"/>
          <w:i/>
          <w:iCs/>
          <w:color w:val="222222"/>
          <w:sz w:val="24"/>
          <w:szCs w:val="24"/>
          <w:shd w:val="clear" w:color="auto" w:fill="FFFFFF"/>
        </w:rPr>
        <w:t>29</w:t>
      </w:r>
      <w:r w:rsidRPr="00BE4AF3">
        <w:rPr>
          <w:rFonts w:ascii="Times New Roman" w:hAnsi="Times New Roman" w:cs="Times New Roman"/>
          <w:color w:val="222222"/>
          <w:sz w:val="24"/>
          <w:szCs w:val="24"/>
          <w:shd w:val="clear" w:color="auto" w:fill="FFFFFF"/>
        </w:rPr>
        <w:t>(1).</w:t>
      </w:r>
    </w:p>
    <w:p w14:paraId="4353581F" w14:textId="77777777" w:rsidR="00A84E96" w:rsidRPr="00BE4AF3" w:rsidRDefault="00A84E96" w:rsidP="00065029">
      <w:pPr>
        <w:spacing w:after="0" w:line="240" w:lineRule="auto"/>
        <w:jc w:val="both"/>
        <w:rPr>
          <w:rFonts w:ascii="Times New Roman" w:hAnsi="Times New Roman" w:cs="Times New Roman"/>
          <w:color w:val="222222"/>
          <w:sz w:val="24"/>
          <w:szCs w:val="24"/>
          <w:shd w:val="clear" w:color="auto" w:fill="FFFFFF"/>
        </w:rPr>
      </w:pPr>
      <w:r w:rsidRPr="00BE4AF3">
        <w:rPr>
          <w:rFonts w:ascii="Times New Roman" w:hAnsi="Times New Roman" w:cs="Times New Roman"/>
          <w:color w:val="222222"/>
          <w:sz w:val="24"/>
          <w:szCs w:val="24"/>
          <w:shd w:val="clear" w:color="auto" w:fill="FFFFFF"/>
        </w:rPr>
        <w:t>Abidoye, R. B., &amp; Chan, A. P. (2016). A survey of property valuation approaches in  </w:t>
      </w:r>
      <w:r w:rsidRPr="00BE4AF3">
        <w:rPr>
          <w:rFonts w:ascii="Times New Roman" w:hAnsi="Times New Roman" w:cs="Times New Roman"/>
          <w:color w:val="222222"/>
          <w:sz w:val="24"/>
          <w:szCs w:val="24"/>
          <w:shd w:val="clear" w:color="auto" w:fill="FFFFFF"/>
        </w:rPr>
        <w:tab/>
        <w:t>Nigeria. </w:t>
      </w:r>
      <w:r w:rsidRPr="00BE4AF3">
        <w:rPr>
          <w:rFonts w:ascii="Times New Roman" w:hAnsi="Times New Roman" w:cs="Times New Roman"/>
          <w:i/>
          <w:iCs/>
          <w:color w:val="222222"/>
          <w:sz w:val="24"/>
          <w:szCs w:val="24"/>
          <w:shd w:val="clear" w:color="auto" w:fill="FFFFFF"/>
        </w:rPr>
        <w:t>Property Management</w:t>
      </w:r>
      <w:r w:rsidRPr="00BE4AF3">
        <w:rPr>
          <w:rFonts w:ascii="Times New Roman" w:hAnsi="Times New Roman" w:cs="Times New Roman"/>
          <w:color w:val="222222"/>
          <w:sz w:val="24"/>
          <w:szCs w:val="24"/>
          <w:shd w:val="clear" w:color="auto" w:fill="FFFFFF"/>
        </w:rPr>
        <w:t>, </w:t>
      </w:r>
      <w:r w:rsidRPr="00BE4AF3">
        <w:rPr>
          <w:rFonts w:ascii="Times New Roman" w:hAnsi="Times New Roman" w:cs="Times New Roman"/>
          <w:i/>
          <w:iCs/>
          <w:color w:val="222222"/>
          <w:sz w:val="24"/>
          <w:szCs w:val="24"/>
          <w:shd w:val="clear" w:color="auto" w:fill="FFFFFF"/>
        </w:rPr>
        <w:t>34</w:t>
      </w:r>
      <w:r w:rsidRPr="00BE4AF3">
        <w:rPr>
          <w:rFonts w:ascii="Times New Roman" w:hAnsi="Times New Roman" w:cs="Times New Roman"/>
          <w:color w:val="222222"/>
          <w:sz w:val="24"/>
          <w:szCs w:val="24"/>
          <w:shd w:val="clear" w:color="auto" w:fill="FFFFFF"/>
        </w:rPr>
        <w:t>(5), 364-380.</w:t>
      </w:r>
    </w:p>
    <w:p w14:paraId="6F6885C9" w14:textId="77777777" w:rsidR="00A84E96" w:rsidRPr="00BE4AF3" w:rsidRDefault="00A84E96" w:rsidP="00065029">
      <w:pPr>
        <w:spacing w:after="0" w:line="240" w:lineRule="auto"/>
        <w:jc w:val="both"/>
        <w:rPr>
          <w:rFonts w:ascii="Times New Roman" w:hAnsi="Times New Roman" w:cs="Times New Roman"/>
          <w:color w:val="222222"/>
          <w:sz w:val="24"/>
          <w:szCs w:val="24"/>
          <w:shd w:val="clear" w:color="auto" w:fill="FFFFFF"/>
        </w:rPr>
      </w:pPr>
      <w:r w:rsidRPr="00BE4AF3">
        <w:rPr>
          <w:rFonts w:ascii="Times New Roman" w:hAnsi="Times New Roman" w:cs="Times New Roman"/>
          <w:color w:val="222222"/>
          <w:sz w:val="24"/>
          <w:szCs w:val="24"/>
          <w:shd w:val="clear" w:color="auto" w:fill="FFFFFF"/>
        </w:rPr>
        <w:t>Akinola, W. A., Oyedeji, J. O., &amp; Faturoti, T. F. (2021). Assessment of ICT usage in estate  </w:t>
      </w:r>
      <w:r w:rsidRPr="00BE4AF3">
        <w:rPr>
          <w:rFonts w:ascii="Times New Roman" w:hAnsi="Times New Roman" w:cs="Times New Roman"/>
          <w:color w:val="222222"/>
          <w:sz w:val="24"/>
          <w:szCs w:val="24"/>
          <w:shd w:val="clear" w:color="auto" w:fill="FFFFFF"/>
        </w:rPr>
        <w:tab/>
        <w:t>surveying and valuation practice in Nigeria. </w:t>
      </w:r>
      <w:r w:rsidRPr="00BE4AF3">
        <w:rPr>
          <w:rFonts w:ascii="Times New Roman" w:hAnsi="Times New Roman" w:cs="Times New Roman"/>
          <w:i/>
          <w:iCs/>
          <w:color w:val="222222"/>
          <w:sz w:val="24"/>
          <w:szCs w:val="24"/>
          <w:shd w:val="clear" w:color="auto" w:fill="FFFFFF"/>
        </w:rPr>
        <w:t>International Journal of Property Sciences  </w:t>
      </w:r>
      <w:r w:rsidRPr="00BE4AF3">
        <w:rPr>
          <w:rFonts w:ascii="Times New Roman" w:hAnsi="Times New Roman" w:cs="Times New Roman"/>
          <w:i/>
          <w:iCs/>
          <w:color w:val="222222"/>
          <w:sz w:val="24"/>
          <w:szCs w:val="24"/>
          <w:shd w:val="clear" w:color="auto" w:fill="FFFFFF"/>
        </w:rPr>
        <w:tab/>
        <w:t>(E-ISSN: 2229-8568)</w:t>
      </w:r>
      <w:r w:rsidRPr="00BE4AF3">
        <w:rPr>
          <w:rFonts w:ascii="Times New Roman" w:hAnsi="Times New Roman" w:cs="Times New Roman"/>
          <w:color w:val="222222"/>
          <w:sz w:val="24"/>
          <w:szCs w:val="24"/>
          <w:shd w:val="clear" w:color="auto" w:fill="FFFFFF"/>
        </w:rPr>
        <w:t>, </w:t>
      </w:r>
      <w:r w:rsidRPr="00BE4AF3">
        <w:rPr>
          <w:rFonts w:ascii="Times New Roman" w:hAnsi="Times New Roman" w:cs="Times New Roman"/>
          <w:i/>
          <w:iCs/>
          <w:color w:val="222222"/>
          <w:sz w:val="24"/>
          <w:szCs w:val="24"/>
          <w:shd w:val="clear" w:color="auto" w:fill="FFFFFF"/>
        </w:rPr>
        <w:t>11</w:t>
      </w:r>
      <w:r w:rsidRPr="00BE4AF3">
        <w:rPr>
          <w:rFonts w:ascii="Times New Roman" w:hAnsi="Times New Roman" w:cs="Times New Roman"/>
          <w:color w:val="222222"/>
          <w:sz w:val="24"/>
          <w:szCs w:val="24"/>
          <w:shd w:val="clear" w:color="auto" w:fill="FFFFFF"/>
        </w:rPr>
        <w:t>(1), 71-85.</w:t>
      </w:r>
    </w:p>
    <w:p w14:paraId="17E158C6" w14:textId="77777777" w:rsidR="00A84E96" w:rsidRPr="00BE4AF3" w:rsidRDefault="00A84E96" w:rsidP="00065029">
      <w:pPr>
        <w:spacing w:after="0" w:line="240" w:lineRule="auto"/>
        <w:jc w:val="both"/>
        <w:rPr>
          <w:rFonts w:ascii="Times New Roman" w:hAnsi="Times New Roman" w:cs="Times New Roman"/>
          <w:color w:val="222222"/>
          <w:sz w:val="24"/>
          <w:szCs w:val="24"/>
          <w:shd w:val="clear" w:color="auto" w:fill="FFFFFF"/>
        </w:rPr>
      </w:pPr>
      <w:r w:rsidRPr="00BE4AF3">
        <w:rPr>
          <w:rFonts w:ascii="Times New Roman" w:hAnsi="Times New Roman" w:cs="Times New Roman"/>
          <w:color w:val="222222"/>
          <w:sz w:val="24"/>
          <w:szCs w:val="24"/>
          <w:shd w:val="clear" w:color="auto" w:fill="FFFFFF"/>
        </w:rPr>
        <w:t>Akintayo, O. T., Eden, C. A., Ayeni, O. O., &amp; Onyebuchi, N. C. (2024). Evaluating the impact  </w:t>
      </w:r>
      <w:r w:rsidRPr="00BE4AF3">
        <w:rPr>
          <w:rFonts w:ascii="Times New Roman" w:hAnsi="Times New Roman" w:cs="Times New Roman"/>
          <w:color w:val="222222"/>
          <w:sz w:val="24"/>
          <w:szCs w:val="24"/>
          <w:shd w:val="clear" w:color="auto" w:fill="FFFFFF"/>
        </w:rPr>
        <w:tab/>
        <w:t>of educational technology on learning outcomes in the higher education sector: A  </w:t>
      </w:r>
      <w:r w:rsidRPr="00BE4AF3">
        <w:rPr>
          <w:rFonts w:ascii="Times New Roman" w:hAnsi="Times New Roman" w:cs="Times New Roman"/>
          <w:color w:val="222222"/>
          <w:sz w:val="24"/>
          <w:szCs w:val="24"/>
          <w:shd w:val="clear" w:color="auto" w:fill="FFFFFF"/>
        </w:rPr>
        <w:tab/>
        <w:t>systematic review. </w:t>
      </w:r>
      <w:r w:rsidRPr="00BE4AF3">
        <w:rPr>
          <w:rFonts w:ascii="Times New Roman" w:hAnsi="Times New Roman" w:cs="Times New Roman"/>
          <w:i/>
          <w:iCs/>
          <w:color w:val="222222"/>
          <w:sz w:val="24"/>
          <w:szCs w:val="24"/>
          <w:shd w:val="clear" w:color="auto" w:fill="FFFFFF"/>
        </w:rPr>
        <w:t>International Journal of Management &amp; Entrepreneurship  </w:t>
      </w:r>
      <w:r w:rsidRPr="00BE4AF3">
        <w:rPr>
          <w:rFonts w:ascii="Times New Roman" w:hAnsi="Times New Roman" w:cs="Times New Roman"/>
          <w:i/>
          <w:iCs/>
          <w:color w:val="222222"/>
          <w:sz w:val="24"/>
          <w:szCs w:val="24"/>
          <w:shd w:val="clear" w:color="auto" w:fill="FFFFFF"/>
        </w:rPr>
        <w:tab/>
        <w:t>Research</w:t>
      </w:r>
      <w:r w:rsidRPr="00BE4AF3">
        <w:rPr>
          <w:rFonts w:ascii="Times New Roman" w:hAnsi="Times New Roman" w:cs="Times New Roman"/>
          <w:color w:val="222222"/>
          <w:sz w:val="24"/>
          <w:szCs w:val="24"/>
          <w:shd w:val="clear" w:color="auto" w:fill="FFFFFF"/>
        </w:rPr>
        <w:t>, </w:t>
      </w:r>
      <w:r w:rsidRPr="00BE4AF3">
        <w:rPr>
          <w:rFonts w:ascii="Times New Roman" w:hAnsi="Times New Roman" w:cs="Times New Roman"/>
          <w:i/>
          <w:iCs/>
          <w:color w:val="222222"/>
          <w:sz w:val="24"/>
          <w:szCs w:val="24"/>
          <w:shd w:val="clear" w:color="auto" w:fill="FFFFFF"/>
        </w:rPr>
        <w:t>6</w:t>
      </w:r>
      <w:r w:rsidRPr="00BE4AF3">
        <w:rPr>
          <w:rFonts w:ascii="Times New Roman" w:hAnsi="Times New Roman" w:cs="Times New Roman"/>
          <w:color w:val="222222"/>
          <w:sz w:val="24"/>
          <w:szCs w:val="24"/>
          <w:shd w:val="clear" w:color="auto" w:fill="FFFFFF"/>
        </w:rPr>
        <w:t>(5), 1395-1422.</w:t>
      </w:r>
    </w:p>
    <w:p w14:paraId="3B175502" w14:textId="77777777" w:rsidR="00A84E96" w:rsidRPr="00BE4AF3" w:rsidRDefault="00A84E96" w:rsidP="00065029">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Baum, A., &amp; Crosby, N. (1995), “Property Investment Appraisal” London: International</w:t>
      </w:r>
    </w:p>
    <w:p w14:paraId="09250698" w14:textId="77777777" w:rsidR="00A84E96" w:rsidRPr="00BE4AF3" w:rsidRDefault="00A84E96" w:rsidP="0006502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w:t>
      </w:r>
      <w:r w:rsidRPr="00BE4AF3">
        <w:rPr>
          <w:rFonts w:ascii="Times New Roman" w:hAnsi="Times New Roman" w:cs="Times New Roman"/>
          <w:sz w:val="24"/>
          <w:szCs w:val="24"/>
        </w:rPr>
        <w:tab/>
        <w:t>Thomson Business Press.</w:t>
      </w:r>
    </w:p>
    <w:p w14:paraId="6C7AB907" w14:textId="77777777" w:rsidR="00A84E96" w:rsidRPr="00BE4AF3" w:rsidRDefault="00A84E96" w:rsidP="00065029">
      <w:pPr>
        <w:spacing w:after="0" w:line="240" w:lineRule="auto"/>
        <w:jc w:val="both"/>
        <w:rPr>
          <w:rFonts w:ascii="Times New Roman" w:hAnsi="Times New Roman" w:cs="Times New Roman"/>
          <w:color w:val="222222"/>
          <w:sz w:val="24"/>
          <w:szCs w:val="24"/>
          <w:shd w:val="clear" w:color="auto" w:fill="FFFFFF"/>
        </w:rPr>
      </w:pPr>
      <w:r w:rsidRPr="00BE4AF3">
        <w:rPr>
          <w:rFonts w:ascii="Times New Roman" w:hAnsi="Times New Roman" w:cs="Times New Roman"/>
          <w:color w:val="222222"/>
          <w:sz w:val="24"/>
          <w:szCs w:val="24"/>
          <w:shd w:val="clear" w:color="auto" w:fill="FFFFFF"/>
        </w:rPr>
        <w:t>Baum, A., &amp; Crosby, N. (2014). </w:t>
      </w:r>
      <w:r w:rsidRPr="00BE4AF3">
        <w:rPr>
          <w:rFonts w:ascii="Times New Roman" w:hAnsi="Times New Roman" w:cs="Times New Roman"/>
          <w:i/>
          <w:iCs/>
          <w:color w:val="222222"/>
          <w:sz w:val="24"/>
          <w:szCs w:val="24"/>
          <w:shd w:val="clear" w:color="auto" w:fill="FFFFFF"/>
        </w:rPr>
        <w:t>Property investment appraisal</w:t>
      </w:r>
      <w:r w:rsidRPr="00BE4AF3">
        <w:rPr>
          <w:rFonts w:ascii="Times New Roman" w:hAnsi="Times New Roman" w:cs="Times New Roman"/>
          <w:color w:val="222222"/>
          <w:sz w:val="24"/>
          <w:szCs w:val="24"/>
          <w:shd w:val="clear" w:color="auto" w:fill="FFFFFF"/>
        </w:rPr>
        <w:t> (3rd ed.). Blackwell.</w:t>
      </w:r>
    </w:p>
    <w:p w14:paraId="3B192A25" w14:textId="77777777" w:rsidR="00A84E96" w:rsidRPr="00BE4AF3" w:rsidRDefault="00A84E96" w:rsidP="00065029">
      <w:pPr>
        <w:spacing w:after="0" w:line="240" w:lineRule="auto"/>
        <w:jc w:val="both"/>
        <w:rPr>
          <w:rFonts w:ascii="Times New Roman" w:hAnsi="Times New Roman" w:cs="Times New Roman"/>
          <w:color w:val="222222"/>
          <w:sz w:val="24"/>
          <w:szCs w:val="24"/>
          <w:shd w:val="clear" w:color="auto" w:fill="FFFFFF"/>
        </w:rPr>
      </w:pPr>
      <w:r w:rsidRPr="00BE4AF3">
        <w:rPr>
          <w:rFonts w:ascii="Times New Roman" w:hAnsi="Times New Roman" w:cs="Times New Roman"/>
          <w:color w:val="222222"/>
          <w:sz w:val="24"/>
          <w:szCs w:val="24"/>
          <w:shd w:val="clear" w:color="auto" w:fill="FFFFFF"/>
        </w:rPr>
        <w:t>Büyükkaraciğan, D. N. (2021). Modern methods approach in real estate valuation. </w:t>
      </w:r>
      <w:r w:rsidRPr="00BE4AF3">
        <w:rPr>
          <w:rFonts w:ascii="Times New Roman" w:hAnsi="Times New Roman" w:cs="Times New Roman"/>
          <w:i/>
          <w:iCs/>
          <w:color w:val="222222"/>
          <w:sz w:val="24"/>
          <w:szCs w:val="24"/>
          <w:shd w:val="clear" w:color="auto" w:fill="FFFFFF"/>
        </w:rPr>
        <w:t>Ankara:  </w:t>
      </w:r>
      <w:r w:rsidRPr="00BE4AF3">
        <w:rPr>
          <w:rFonts w:ascii="Times New Roman" w:hAnsi="Times New Roman" w:cs="Times New Roman"/>
          <w:i/>
          <w:iCs/>
          <w:color w:val="222222"/>
          <w:sz w:val="24"/>
          <w:szCs w:val="24"/>
          <w:shd w:val="clear" w:color="auto" w:fill="FFFFFF"/>
        </w:rPr>
        <w:tab/>
        <w:t>Iksad Publishing House</w:t>
      </w:r>
      <w:r w:rsidRPr="00BE4AF3">
        <w:rPr>
          <w:rFonts w:ascii="Times New Roman" w:hAnsi="Times New Roman" w:cs="Times New Roman"/>
          <w:color w:val="222222"/>
          <w:sz w:val="24"/>
          <w:szCs w:val="24"/>
          <w:shd w:val="clear" w:color="auto" w:fill="FFFFFF"/>
        </w:rPr>
        <w:t>, </w:t>
      </w:r>
      <w:r w:rsidRPr="00BE4AF3">
        <w:rPr>
          <w:rFonts w:ascii="Times New Roman" w:hAnsi="Times New Roman" w:cs="Times New Roman"/>
          <w:i/>
          <w:iCs/>
          <w:color w:val="222222"/>
          <w:sz w:val="24"/>
          <w:szCs w:val="24"/>
          <w:shd w:val="clear" w:color="auto" w:fill="FFFFFF"/>
        </w:rPr>
        <w:t>130</w:t>
      </w:r>
      <w:r w:rsidRPr="00BE4AF3">
        <w:rPr>
          <w:rFonts w:ascii="Times New Roman" w:hAnsi="Times New Roman" w:cs="Times New Roman"/>
          <w:color w:val="222222"/>
          <w:sz w:val="24"/>
          <w:szCs w:val="24"/>
          <w:shd w:val="clear" w:color="auto" w:fill="FFFFFF"/>
        </w:rPr>
        <w:t>.</w:t>
      </w:r>
    </w:p>
    <w:p w14:paraId="4F7296CC" w14:textId="77777777" w:rsidR="00A84E96" w:rsidRPr="00BE4AF3" w:rsidRDefault="00A84E96" w:rsidP="00065029">
      <w:pPr>
        <w:spacing w:after="0" w:line="240" w:lineRule="auto"/>
        <w:jc w:val="both"/>
        <w:rPr>
          <w:rFonts w:ascii="Times New Roman" w:hAnsi="Times New Roman" w:cs="Times New Roman"/>
          <w:color w:val="222222"/>
          <w:sz w:val="24"/>
          <w:szCs w:val="24"/>
          <w:shd w:val="clear" w:color="auto" w:fill="FFFFFF"/>
        </w:rPr>
      </w:pPr>
      <w:r w:rsidRPr="00BE4AF3">
        <w:rPr>
          <w:rFonts w:ascii="Times New Roman" w:hAnsi="Times New Roman" w:cs="Times New Roman"/>
          <w:color w:val="222222"/>
          <w:sz w:val="24"/>
          <w:szCs w:val="24"/>
          <w:shd w:val="clear" w:color="auto" w:fill="FFFFFF"/>
        </w:rPr>
        <w:t>Effiong, J. B., &amp; Ewah, M. A. (2025). Examination of Valuation Variance in the Use of Cost  </w:t>
      </w:r>
      <w:r w:rsidRPr="00BE4AF3">
        <w:rPr>
          <w:rFonts w:ascii="Times New Roman" w:hAnsi="Times New Roman" w:cs="Times New Roman"/>
          <w:color w:val="222222"/>
          <w:sz w:val="24"/>
          <w:szCs w:val="24"/>
          <w:shd w:val="clear" w:color="auto" w:fill="FFFFFF"/>
        </w:rPr>
        <w:tab/>
        <w:t>Method of Valuation in Calabar Metropolis. </w:t>
      </w:r>
      <w:r w:rsidRPr="00BE4AF3">
        <w:rPr>
          <w:rFonts w:ascii="Times New Roman" w:hAnsi="Times New Roman" w:cs="Times New Roman"/>
          <w:i/>
          <w:iCs/>
          <w:color w:val="222222"/>
          <w:sz w:val="24"/>
          <w:szCs w:val="24"/>
          <w:shd w:val="clear" w:color="auto" w:fill="FFFFFF"/>
        </w:rPr>
        <w:t>International Journal of Civil Engineering,  </w:t>
      </w:r>
      <w:r w:rsidRPr="00BE4AF3">
        <w:rPr>
          <w:rFonts w:ascii="Times New Roman" w:hAnsi="Times New Roman" w:cs="Times New Roman"/>
          <w:i/>
          <w:iCs/>
          <w:color w:val="222222"/>
          <w:sz w:val="24"/>
          <w:szCs w:val="24"/>
          <w:shd w:val="clear" w:color="auto" w:fill="FFFFFF"/>
        </w:rPr>
        <w:tab/>
        <w:t>Construction and Estate Management</w:t>
      </w:r>
      <w:r w:rsidRPr="00BE4AF3">
        <w:rPr>
          <w:rFonts w:ascii="Times New Roman" w:hAnsi="Times New Roman" w:cs="Times New Roman"/>
          <w:color w:val="222222"/>
          <w:sz w:val="24"/>
          <w:szCs w:val="24"/>
          <w:shd w:val="clear" w:color="auto" w:fill="FFFFFF"/>
        </w:rPr>
        <w:t>, </w:t>
      </w:r>
      <w:r w:rsidRPr="00BE4AF3">
        <w:rPr>
          <w:rFonts w:ascii="Times New Roman" w:hAnsi="Times New Roman" w:cs="Times New Roman"/>
          <w:i/>
          <w:iCs/>
          <w:color w:val="222222"/>
          <w:sz w:val="24"/>
          <w:szCs w:val="24"/>
          <w:shd w:val="clear" w:color="auto" w:fill="FFFFFF"/>
        </w:rPr>
        <w:t>13</w:t>
      </w:r>
      <w:r w:rsidRPr="00BE4AF3">
        <w:rPr>
          <w:rFonts w:ascii="Times New Roman" w:hAnsi="Times New Roman" w:cs="Times New Roman"/>
          <w:color w:val="222222"/>
          <w:sz w:val="24"/>
          <w:szCs w:val="24"/>
          <w:shd w:val="clear" w:color="auto" w:fill="FFFFFF"/>
        </w:rPr>
        <w:t>(2), 1-15.</w:t>
      </w:r>
    </w:p>
    <w:p w14:paraId="7A0FE347" w14:textId="77777777" w:rsidR="00A84E96" w:rsidRPr="00BE4AF3" w:rsidRDefault="00A84E96" w:rsidP="0006502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Fixen, M. (2024). Learning Through Case Studies in Higher Education. Journal of Higher  </w:t>
      </w:r>
      <w:r w:rsidRPr="00BE4AF3">
        <w:rPr>
          <w:rFonts w:ascii="Times New Roman" w:hAnsi="Times New Roman" w:cs="Times New Roman"/>
          <w:sz w:val="24"/>
          <w:szCs w:val="24"/>
        </w:rPr>
        <w:tab/>
        <w:t>Education, Theory, and Practice, 24(5), 1-12.</w:t>
      </w:r>
    </w:p>
    <w:p w14:paraId="4E8F0C75" w14:textId="77777777" w:rsidR="00A84E96" w:rsidRPr="00BE4AF3" w:rsidRDefault="00A84E96" w:rsidP="00065029">
      <w:pPr>
        <w:spacing w:after="0" w:line="240" w:lineRule="auto"/>
        <w:jc w:val="both"/>
        <w:rPr>
          <w:rFonts w:ascii="Times New Roman" w:hAnsi="Times New Roman" w:cs="Times New Roman"/>
          <w:sz w:val="24"/>
          <w:szCs w:val="24"/>
          <w:shd w:val="clear" w:color="auto" w:fill="FFFFFF"/>
        </w:rPr>
      </w:pPr>
      <w:r w:rsidRPr="00BE4AF3">
        <w:rPr>
          <w:rFonts w:ascii="Times New Roman" w:hAnsi="Times New Roman" w:cs="Times New Roman"/>
          <w:sz w:val="24"/>
          <w:szCs w:val="24"/>
        </w:rPr>
        <w:t>Halvitigala, D., Wilkinson, S., &amp; Antoniades, H. (2017). Meeting Changing Industry  </w:t>
      </w:r>
      <w:r w:rsidRPr="00BE4AF3">
        <w:rPr>
          <w:rFonts w:ascii="Times New Roman" w:hAnsi="Times New Roman" w:cs="Times New Roman"/>
          <w:sz w:val="24"/>
          <w:szCs w:val="24"/>
        </w:rPr>
        <w:tab/>
        <w:t>Expectations from Australian Property Valuation Graduates. AUBEA Conference  </w:t>
      </w:r>
      <w:r w:rsidRPr="00BE4AF3">
        <w:rPr>
          <w:rFonts w:ascii="Times New Roman" w:hAnsi="Times New Roman" w:cs="Times New Roman"/>
          <w:sz w:val="24"/>
          <w:szCs w:val="24"/>
        </w:rPr>
        <w:tab/>
        <w:t>Proceedings, 129-138.</w:t>
      </w:r>
    </w:p>
    <w:p w14:paraId="60DDD379" w14:textId="77777777" w:rsidR="00A84E96" w:rsidRPr="00BE4AF3" w:rsidRDefault="00A84E96" w:rsidP="00065029">
      <w:pPr>
        <w:spacing w:after="0" w:line="240" w:lineRule="auto"/>
        <w:jc w:val="both"/>
        <w:rPr>
          <w:rFonts w:ascii="Times New Roman" w:hAnsi="Times New Roman" w:cs="Times New Roman"/>
          <w:color w:val="222222"/>
          <w:sz w:val="24"/>
          <w:szCs w:val="24"/>
          <w:shd w:val="clear" w:color="auto" w:fill="FFFFFF"/>
        </w:rPr>
      </w:pPr>
      <w:r w:rsidRPr="00BE4AF3">
        <w:rPr>
          <w:rFonts w:ascii="Times New Roman" w:eastAsia="Times New Roman" w:hAnsi="Times New Roman" w:cs="Times New Roman"/>
          <w:color w:val="000000"/>
          <w:sz w:val="24"/>
          <w:szCs w:val="24"/>
          <w:lang w:eastAsia="en-GB"/>
        </w:rPr>
        <w:t>Hou, H. C., &amp; Wu, H. (2020). Technology for real estate education and practice: a VR  </w:t>
      </w:r>
      <w:r w:rsidRPr="00BE4AF3">
        <w:rPr>
          <w:rFonts w:ascii="Times New Roman" w:eastAsia="Times New Roman" w:hAnsi="Times New Roman" w:cs="Times New Roman"/>
          <w:color w:val="000000"/>
          <w:sz w:val="24"/>
          <w:szCs w:val="24"/>
          <w:lang w:eastAsia="en-GB"/>
        </w:rPr>
        <w:tab/>
        <w:t>technology perspective. Property Management, 38(2), 123-139.</w:t>
      </w:r>
    </w:p>
    <w:p w14:paraId="3906A32C" w14:textId="77777777" w:rsidR="00A84E96" w:rsidRPr="00BE4AF3" w:rsidRDefault="00A84E96" w:rsidP="00065029">
      <w:pPr>
        <w:pStyle w:val="NormalWeb"/>
        <w:spacing w:before="0" w:beforeAutospacing="0" w:after="0" w:afterAutospacing="0"/>
        <w:jc w:val="both"/>
        <w:rPr>
          <w:shd w:val="clear" w:color="auto" w:fill="FFFFFF"/>
        </w:rPr>
      </w:pPr>
      <w:r w:rsidRPr="00BE4AF3">
        <w:rPr>
          <w:shd w:val="clear" w:color="auto" w:fill="FFFFFF"/>
        </w:rPr>
        <w:t>Kolb, D.A. (1984) Experiential Learning: Experience as the Source of Learning and  </w:t>
      </w:r>
      <w:r w:rsidRPr="00BE4AF3">
        <w:rPr>
          <w:shd w:val="clear" w:color="auto" w:fill="FFFFFF"/>
        </w:rPr>
        <w:tab/>
        <w:t>Development. Prentice-Hall, Inc. Englewood Cliffs, NJ.</w:t>
      </w:r>
    </w:p>
    <w:p w14:paraId="4EAE9D22" w14:textId="77777777" w:rsidR="00A84E96" w:rsidRPr="00BE4AF3" w:rsidRDefault="00A84E96" w:rsidP="00065029">
      <w:pPr>
        <w:pStyle w:val="NormalWeb"/>
        <w:spacing w:before="0" w:beforeAutospacing="0" w:after="0" w:afterAutospacing="0"/>
        <w:jc w:val="both"/>
      </w:pPr>
      <w:r w:rsidRPr="00BE4AF3">
        <w:rPr>
          <w:color w:val="222222"/>
          <w:shd w:val="clear" w:color="auto" w:fill="FFFFFF"/>
        </w:rPr>
        <w:lastRenderedPageBreak/>
        <w:t>Labib, W., &amp; Abdelsattar, A. (2025). Examining the Impact of Construction Field Trips on  </w:t>
      </w:r>
      <w:r w:rsidRPr="00BE4AF3">
        <w:rPr>
          <w:color w:val="222222"/>
          <w:shd w:val="clear" w:color="auto" w:fill="FFFFFF"/>
        </w:rPr>
        <w:tab/>
        <w:t>Learning Outcomes: Perspectives from Structural Architecture Courses. </w:t>
      </w:r>
      <w:r w:rsidRPr="00BE4AF3">
        <w:rPr>
          <w:i/>
          <w:iCs/>
          <w:color w:val="222222"/>
          <w:shd w:val="clear" w:color="auto" w:fill="FFFFFF"/>
        </w:rPr>
        <w:t>Education  </w:t>
      </w:r>
      <w:r w:rsidRPr="00BE4AF3">
        <w:rPr>
          <w:i/>
          <w:iCs/>
          <w:color w:val="222222"/>
          <w:shd w:val="clear" w:color="auto" w:fill="FFFFFF"/>
        </w:rPr>
        <w:tab/>
        <w:t>Sciences</w:t>
      </w:r>
      <w:r w:rsidRPr="00BE4AF3">
        <w:rPr>
          <w:color w:val="222222"/>
          <w:shd w:val="clear" w:color="auto" w:fill="FFFFFF"/>
        </w:rPr>
        <w:t>, </w:t>
      </w:r>
      <w:r w:rsidRPr="00BE4AF3">
        <w:rPr>
          <w:i/>
          <w:iCs/>
          <w:color w:val="222222"/>
          <w:shd w:val="clear" w:color="auto" w:fill="FFFFFF"/>
        </w:rPr>
        <w:t>15</w:t>
      </w:r>
      <w:r w:rsidRPr="00BE4AF3">
        <w:rPr>
          <w:color w:val="222222"/>
          <w:shd w:val="clear" w:color="auto" w:fill="FFFFFF"/>
        </w:rPr>
        <w:t>(5), 562.</w:t>
      </w:r>
    </w:p>
    <w:p w14:paraId="1BCF0C80" w14:textId="77777777" w:rsidR="00A84E96" w:rsidRPr="00BE4AF3" w:rsidRDefault="00A84E96" w:rsidP="00065029">
      <w:pPr>
        <w:spacing w:after="0" w:line="240" w:lineRule="auto"/>
        <w:jc w:val="both"/>
        <w:rPr>
          <w:rFonts w:ascii="Times New Roman" w:hAnsi="Times New Roman" w:cs="Times New Roman"/>
          <w:sz w:val="24"/>
          <w:szCs w:val="24"/>
        </w:rPr>
      </w:pPr>
      <w:r w:rsidRPr="00BE4AF3">
        <w:rPr>
          <w:rFonts w:ascii="Times New Roman" w:hAnsi="Times New Roman" w:cs="Times New Roman"/>
          <w:color w:val="222222"/>
          <w:sz w:val="24"/>
          <w:szCs w:val="24"/>
          <w:shd w:val="clear" w:color="auto" w:fill="FFFFFF"/>
        </w:rPr>
        <w:t>Lee, C. L., Yam, S., Susilawati, C., &amp; Blake, A. (2024). Future workforce for the property  </w:t>
      </w:r>
      <w:r w:rsidRPr="00BE4AF3">
        <w:rPr>
          <w:rFonts w:ascii="Times New Roman" w:hAnsi="Times New Roman" w:cs="Times New Roman"/>
          <w:color w:val="222222"/>
          <w:sz w:val="24"/>
          <w:szCs w:val="24"/>
          <w:shd w:val="clear" w:color="auto" w:fill="FFFFFF"/>
        </w:rPr>
        <w:tab/>
        <w:t>industry: are we ready for the change?</w:t>
      </w:r>
      <w:r w:rsidRPr="00BE4AF3">
        <w:rPr>
          <w:rFonts w:ascii="Times New Roman" w:hAnsi="Times New Roman" w:cs="Times New Roman"/>
          <w:sz w:val="24"/>
          <w:szCs w:val="24"/>
        </w:rPr>
        <w:t xml:space="preserve"> Australian Property Research and Education  </w:t>
      </w:r>
      <w:r w:rsidRPr="00BE4AF3">
        <w:rPr>
          <w:rFonts w:ascii="Times New Roman" w:hAnsi="Times New Roman" w:cs="Times New Roman"/>
          <w:sz w:val="24"/>
          <w:szCs w:val="24"/>
        </w:rPr>
        <w:tab/>
        <w:t xml:space="preserve">Fund. DOI: </w:t>
      </w:r>
      <w:hyperlink r:id="rId65" w:history="1">
        <w:r w:rsidRPr="00BE4AF3">
          <w:rPr>
            <w:rStyle w:val="Hyperlink"/>
            <w:rFonts w:ascii="Times New Roman" w:hAnsi="Times New Roman" w:cs="Times New Roman"/>
            <w:sz w:val="24"/>
            <w:szCs w:val="24"/>
          </w:rPr>
          <w:t>https://doi.org/10.26190/unsworks/30334</w:t>
        </w:r>
      </w:hyperlink>
      <w:r w:rsidRPr="00BE4AF3">
        <w:rPr>
          <w:rFonts w:ascii="Times New Roman" w:hAnsi="Times New Roman" w:cs="Times New Roman"/>
          <w:sz w:val="24"/>
          <w:szCs w:val="24"/>
        </w:rPr>
        <w:t>.</w:t>
      </w:r>
    </w:p>
    <w:p w14:paraId="711F5A98" w14:textId="77777777" w:rsidR="00A84E96" w:rsidRPr="00BE4AF3" w:rsidRDefault="00A84E96" w:rsidP="00065029">
      <w:pPr>
        <w:spacing w:after="0" w:line="240" w:lineRule="auto"/>
        <w:jc w:val="both"/>
        <w:rPr>
          <w:rFonts w:ascii="Times New Roman" w:hAnsi="Times New Roman" w:cs="Times New Roman"/>
          <w:color w:val="222222"/>
          <w:sz w:val="24"/>
          <w:szCs w:val="24"/>
          <w:shd w:val="clear" w:color="auto" w:fill="FFFFFF"/>
        </w:rPr>
      </w:pPr>
      <w:r w:rsidRPr="00BE4AF3">
        <w:rPr>
          <w:rFonts w:ascii="Times New Roman" w:hAnsi="Times New Roman" w:cs="Times New Roman"/>
          <w:color w:val="222222"/>
          <w:sz w:val="24"/>
          <w:szCs w:val="24"/>
          <w:shd w:val="clear" w:color="auto" w:fill="FFFFFF"/>
        </w:rPr>
        <w:t>Martinez, M. E., &amp; Gomez, V. (2025). Active learning strategies: A mini review of evidence- </w:t>
      </w:r>
      <w:r w:rsidRPr="00BE4AF3">
        <w:rPr>
          <w:rFonts w:ascii="Times New Roman" w:hAnsi="Times New Roman" w:cs="Times New Roman"/>
          <w:color w:val="222222"/>
          <w:sz w:val="24"/>
          <w:szCs w:val="24"/>
          <w:shd w:val="clear" w:color="auto" w:fill="FFFFFF"/>
        </w:rPr>
        <w:tab/>
        <w:t>based approaches. </w:t>
      </w:r>
      <w:r w:rsidRPr="00BE4AF3">
        <w:rPr>
          <w:rFonts w:ascii="Times New Roman" w:hAnsi="Times New Roman" w:cs="Times New Roman"/>
          <w:i/>
          <w:iCs/>
          <w:color w:val="222222"/>
          <w:sz w:val="24"/>
          <w:szCs w:val="24"/>
          <w:shd w:val="clear" w:color="auto" w:fill="FFFFFF"/>
        </w:rPr>
        <w:t>Acta Pedagogia Asiana</w:t>
      </w:r>
      <w:r w:rsidRPr="00BE4AF3">
        <w:rPr>
          <w:rFonts w:ascii="Times New Roman" w:hAnsi="Times New Roman" w:cs="Times New Roman"/>
          <w:color w:val="222222"/>
          <w:sz w:val="24"/>
          <w:szCs w:val="24"/>
          <w:shd w:val="clear" w:color="auto" w:fill="FFFFFF"/>
        </w:rPr>
        <w:t>, </w:t>
      </w:r>
      <w:r w:rsidRPr="00BE4AF3">
        <w:rPr>
          <w:rFonts w:ascii="Times New Roman" w:hAnsi="Times New Roman" w:cs="Times New Roman"/>
          <w:i/>
          <w:iCs/>
          <w:color w:val="222222"/>
          <w:sz w:val="24"/>
          <w:szCs w:val="24"/>
          <w:shd w:val="clear" w:color="auto" w:fill="FFFFFF"/>
        </w:rPr>
        <w:t>4</w:t>
      </w:r>
      <w:r w:rsidRPr="00BE4AF3">
        <w:rPr>
          <w:rFonts w:ascii="Times New Roman" w:hAnsi="Times New Roman" w:cs="Times New Roman"/>
          <w:color w:val="222222"/>
          <w:sz w:val="24"/>
          <w:szCs w:val="24"/>
          <w:shd w:val="clear" w:color="auto" w:fill="FFFFFF"/>
        </w:rPr>
        <w:t>(1), 43-54.</w:t>
      </w:r>
    </w:p>
    <w:p w14:paraId="5AE38017" w14:textId="77777777" w:rsidR="00A84E96" w:rsidRPr="00BE4AF3" w:rsidRDefault="00A84E96" w:rsidP="00065029">
      <w:pPr>
        <w:spacing w:after="0" w:line="240" w:lineRule="auto"/>
        <w:jc w:val="both"/>
        <w:rPr>
          <w:rFonts w:ascii="Times New Roman" w:hAnsi="Times New Roman" w:cs="Times New Roman"/>
          <w:color w:val="222222"/>
          <w:sz w:val="24"/>
          <w:szCs w:val="24"/>
          <w:shd w:val="clear" w:color="auto" w:fill="FFFFFF"/>
        </w:rPr>
      </w:pPr>
      <w:r w:rsidRPr="00BE4AF3">
        <w:rPr>
          <w:rFonts w:ascii="Times New Roman" w:hAnsi="Times New Roman" w:cs="Times New Roman"/>
          <w:color w:val="222222"/>
          <w:sz w:val="24"/>
          <w:szCs w:val="24"/>
          <w:shd w:val="clear" w:color="auto" w:fill="FFFFFF"/>
        </w:rPr>
        <w:t>Mooya, M. M. (2015). The education and professional practice of valuers in South Africa: A  </w:t>
      </w:r>
      <w:r w:rsidRPr="00BE4AF3">
        <w:rPr>
          <w:rFonts w:ascii="Times New Roman" w:hAnsi="Times New Roman" w:cs="Times New Roman"/>
          <w:color w:val="222222"/>
          <w:sz w:val="24"/>
          <w:szCs w:val="24"/>
          <w:shd w:val="clear" w:color="auto" w:fill="FFFFFF"/>
        </w:rPr>
        <w:tab/>
        <w:t>critical review. </w:t>
      </w:r>
      <w:r w:rsidRPr="00BE4AF3">
        <w:rPr>
          <w:rFonts w:ascii="Times New Roman" w:hAnsi="Times New Roman" w:cs="Times New Roman"/>
          <w:i/>
          <w:iCs/>
          <w:color w:val="222222"/>
          <w:sz w:val="24"/>
          <w:szCs w:val="24"/>
          <w:shd w:val="clear" w:color="auto" w:fill="FFFFFF"/>
        </w:rPr>
        <w:t>Property Management</w:t>
      </w:r>
      <w:r w:rsidRPr="00BE4AF3">
        <w:rPr>
          <w:rFonts w:ascii="Times New Roman" w:hAnsi="Times New Roman" w:cs="Times New Roman"/>
          <w:color w:val="222222"/>
          <w:sz w:val="24"/>
          <w:szCs w:val="24"/>
          <w:shd w:val="clear" w:color="auto" w:fill="FFFFFF"/>
        </w:rPr>
        <w:t>, </w:t>
      </w:r>
      <w:r w:rsidRPr="00BE4AF3">
        <w:rPr>
          <w:rFonts w:ascii="Times New Roman" w:hAnsi="Times New Roman" w:cs="Times New Roman"/>
          <w:i/>
          <w:iCs/>
          <w:color w:val="222222"/>
          <w:sz w:val="24"/>
          <w:szCs w:val="24"/>
          <w:shd w:val="clear" w:color="auto" w:fill="FFFFFF"/>
        </w:rPr>
        <w:t>33</w:t>
      </w:r>
      <w:r w:rsidRPr="00BE4AF3">
        <w:rPr>
          <w:rFonts w:ascii="Times New Roman" w:hAnsi="Times New Roman" w:cs="Times New Roman"/>
          <w:color w:val="222222"/>
          <w:sz w:val="24"/>
          <w:szCs w:val="24"/>
          <w:shd w:val="clear" w:color="auto" w:fill="FFFFFF"/>
        </w:rPr>
        <w:t>(3), 245-274.</w:t>
      </w:r>
    </w:p>
    <w:p w14:paraId="64B5CA65" w14:textId="77777777" w:rsidR="00A84E96" w:rsidRPr="00BE4AF3" w:rsidRDefault="00A84E96" w:rsidP="00065029">
      <w:pPr>
        <w:spacing w:after="0" w:line="240" w:lineRule="auto"/>
        <w:jc w:val="both"/>
        <w:rPr>
          <w:rFonts w:ascii="Times New Roman" w:eastAsia="Times New Roman" w:hAnsi="Times New Roman" w:cs="Times New Roman"/>
          <w:color w:val="000000"/>
          <w:sz w:val="24"/>
          <w:szCs w:val="24"/>
          <w:lang w:eastAsia="en-GB"/>
        </w:rPr>
      </w:pPr>
      <w:r w:rsidRPr="00BE4AF3">
        <w:rPr>
          <w:rFonts w:ascii="Times New Roman" w:eastAsia="Times New Roman" w:hAnsi="Times New Roman" w:cs="Times New Roman"/>
          <w:color w:val="000000"/>
          <w:sz w:val="24"/>
          <w:szCs w:val="24"/>
          <w:lang w:eastAsia="en-GB"/>
        </w:rPr>
        <w:t>Nanda, A. &amp; Oladiran, O. (2021). Developing an Integration Framework for Property  </w:t>
      </w:r>
      <w:r w:rsidRPr="00BE4AF3">
        <w:rPr>
          <w:rFonts w:ascii="Times New Roman" w:eastAsia="Times New Roman" w:hAnsi="Times New Roman" w:cs="Times New Roman"/>
          <w:color w:val="000000"/>
          <w:sz w:val="24"/>
          <w:szCs w:val="24"/>
          <w:lang w:eastAsia="en-GB"/>
        </w:rPr>
        <w:tab/>
        <w:t>Technology (PropTech) and Innovation in Real Estate Education. European Real Estate  </w:t>
      </w:r>
      <w:r w:rsidRPr="00BE4AF3">
        <w:rPr>
          <w:rFonts w:ascii="Times New Roman" w:eastAsia="Times New Roman" w:hAnsi="Times New Roman" w:cs="Times New Roman"/>
          <w:color w:val="000000"/>
          <w:sz w:val="24"/>
          <w:szCs w:val="24"/>
          <w:lang w:eastAsia="en-GB"/>
        </w:rPr>
        <w:tab/>
        <w:t>Society Conference Proceedings.</w:t>
      </w:r>
    </w:p>
    <w:p w14:paraId="2D226EF1" w14:textId="77777777" w:rsidR="00A84E96" w:rsidRPr="00BE4AF3" w:rsidRDefault="00A84E96" w:rsidP="00065029">
      <w:pPr>
        <w:spacing w:after="0" w:line="240" w:lineRule="auto"/>
        <w:jc w:val="both"/>
        <w:rPr>
          <w:rFonts w:ascii="Times New Roman" w:hAnsi="Times New Roman" w:cs="Times New Roman"/>
          <w:sz w:val="24"/>
          <w:szCs w:val="24"/>
          <w:shd w:val="clear" w:color="auto" w:fill="FFFFFF"/>
        </w:rPr>
      </w:pPr>
      <w:r w:rsidRPr="00BE4AF3">
        <w:rPr>
          <w:rFonts w:ascii="Times New Roman" w:hAnsi="Times New Roman" w:cs="Times New Roman"/>
          <w:sz w:val="24"/>
          <w:szCs w:val="24"/>
          <w:shd w:val="clear" w:color="auto" w:fill="FFFFFF"/>
        </w:rPr>
        <w:t>Poliak, O. (2023). Modern standards of higher education pedagogy: ххіst century learning.  </w:t>
      </w:r>
      <w:r w:rsidRPr="00BE4AF3">
        <w:rPr>
          <w:rFonts w:ascii="Times New Roman" w:hAnsi="Times New Roman" w:cs="Times New Roman"/>
          <w:sz w:val="24"/>
          <w:szCs w:val="24"/>
          <w:shd w:val="clear" w:color="auto" w:fill="FFFFFF"/>
        </w:rPr>
        <w:tab/>
        <w:t>Visnyk of Taras Shevchenko National University of Kyiv, 18, 78-85</w:t>
      </w:r>
    </w:p>
    <w:p w14:paraId="1D06DCC2" w14:textId="77777777" w:rsidR="00A84E96" w:rsidRPr="00BE4AF3" w:rsidRDefault="00A84E96" w:rsidP="00065029">
      <w:pPr>
        <w:spacing w:after="0" w:line="240" w:lineRule="auto"/>
        <w:jc w:val="both"/>
        <w:rPr>
          <w:rFonts w:ascii="Times New Roman" w:hAnsi="Times New Roman" w:cs="Times New Roman"/>
          <w:color w:val="222222"/>
          <w:sz w:val="24"/>
          <w:szCs w:val="24"/>
          <w:shd w:val="clear" w:color="auto" w:fill="FFFFFF"/>
        </w:rPr>
      </w:pPr>
      <w:r w:rsidRPr="00BE4AF3">
        <w:rPr>
          <w:rFonts w:ascii="Times New Roman" w:hAnsi="Times New Roman" w:cs="Times New Roman"/>
          <w:color w:val="222222"/>
          <w:sz w:val="24"/>
          <w:szCs w:val="24"/>
          <w:shd w:val="clear" w:color="auto" w:fill="FFFFFF"/>
        </w:rPr>
        <w:t>Rusmawan, P. N., Kanom, K., Setianingsih, T., &amp; Kamarudin, K. (2025). Enhancing English  </w:t>
      </w:r>
      <w:r w:rsidRPr="00BE4AF3">
        <w:rPr>
          <w:rFonts w:ascii="Times New Roman" w:hAnsi="Times New Roman" w:cs="Times New Roman"/>
          <w:color w:val="222222"/>
          <w:sz w:val="24"/>
          <w:szCs w:val="24"/>
          <w:shd w:val="clear" w:color="auto" w:fill="FFFFFF"/>
        </w:rPr>
        <w:tab/>
        <w:t>Communication Competence for Tourism Professionals and Students in Banyuwangi:  </w:t>
      </w:r>
      <w:r w:rsidRPr="00BE4AF3">
        <w:rPr>
          <w:rFonts w:ascii="Times New Roman" w:hAnsi="Times New Roman" w:cs="Times New Roman"/>
          <w:color w:val="222222"/>
          <w:sz w:val="24"/>
          <w:szCs w:val="24"/>
          <w:shd w:val="clear" w:color="auto" w:fill="FFFFFF"/>
        </w:rPr>
        <w:tab/>
        <w:t>A Phenomenological Study. </w:t>
      </w:r>
      <w:r w:rsidRPr="00BE4AF3">
        <w:rPr>
          <w:rFonts w:ascii="Times New Roman" w:hAnsi="Times New Roman" w:cs="Times New Roman"/>
          <w:i/>
          <w:iCs/>
          <w:color w:val="222222"/>
          <w:sz w:val="24"/>
          <w:szCs w:val="24"/>
          <w:shd w:val="clear" w:color="auto" w:fill="FFFFFF"/>
        </w:rPr>
        <w:t>Journal of Languages and Language Teaching</w:t>
      </w:r>
      <w:r w:rsidRPr="00BE4AF3">
        <w:rPr>
          <w:rFonts w:ascii="Times New Roman" w:hAnsi="Times New Roman" w:cs="Times New Roman"/>
          <w:color w:val="222222"/>
          <w:sz w:val="24"/>
          <w:szCs w:val="24"/>
          <w:shd w:val="clear" w:color="auto" w:fill="FFFFFF"/>
        </w:rPr>
        <w:t>, </w:t>
      </w:r>
      <w:r w:rsidRPr="00BE4AF3">
        <w:rPr>
          <w:rFonts w:ascii="Times New Roman" w:hAnsi="Times New Roman" w:cs="Times New Roman"/>
          <w:i/>
          <w:iCs/>
          <w:color w:val="222222"/>
          <w:sz w:val="24"/>
          <w:szCs w:val="24"/>
          <w:shd w:val="clear" w:color="auto" w:fill="FFFFFF"/>
        </w:rPr>
        <w:t>13</w:t>
      </w:r>
      <w:r w:rsidRPr="00BE4AF3">
        <w:rPr>
          <w:rFonts w:ascii="Times New Roman" w:hAnsi="Times New Roman" w:cs="Times New Roman"/>
          <w:color w:val="222222"/>
          <w:sz w:val="24"/>
          <w:szCs w:val="24"/>
          <w:shd w:val="clear" w:color="auto" w:fill="FFFFFF"/>
        </w:rPr>
        <w:t>(3),  </w:t>
      </w:r>
      <w:r w:rsidRPr="00BE4AF3">
        <w:rPr>
          <w:rFonts w:ascii="Times New Roman" w:hAnsi="Times New Roman" w:cs="Times New Roman"/>
          <w:color w:val="222222"/>
          <w:sz w:val="24"/>
          <w:szCs w:val="24"/>
          <w:shd w:val="clear" w:color="auto" w:fill="FFFFFF"/>
        </w:rPr>
        <w:tab/>
        <w:t>1567-1577.</w:t>
      </w:r>
    </w:p>
    <w:p w14:paraId="2B4FC3B6" w14:textId="77777777" w:rsidR="00A84E96" w:rsidRPr="00BE4AF3" w:rsidRDefault="00A84E96" w:rsidP="00065029">
      <w:pPr>
        <w:spacing w:after="0" w:line="240" w:lineRule="auto"/>
        <w:jc w:val="both"/>
        <w:rPr>
          <w:rFonts w:ascii="Times New Roman" w:hAnsi="Times New Roman" w:cs="Times New Roman"/>
          <w:color w:val="222222"/>
          <w:sz w:val="24"/>
          <w:szCs w:val="24"/>
          <w:shd w:val="clear" w:color="auto" w:fill="FFFFFF"/>
        </w:rPr>
      </w:pPr>
      <w:r w:rsidRPr="00BE4AF3">
        <w:rPr>
          <w:rFonts w:ascii="Times New Roman" w:hAnsi="Times New Roman" w:cs="Times New Roman"/>
          <w:color w:val="222222"/>
          <w:sz w:val="24"/>
          <w:szCs w:val="24"/>
          <w:shd w:val="clear" w:color="auto" w:fill="FFFFFF"/>
        </w:rPr>
        <w:t>Topraklı, A. Y. (2025). AI-driven valuation: a new era for real estate appraisal. </w:t>
      </w:r>
      <w:r w:rsidRPr="00BE4AF3">
        <w:rPr>
          <w:rFonts w:ascii="Times New Roman" w:hAnsi="Times New Roman" w:cs="Times New Roman"/>
          <w:i/>
          <w:iCs/>
          <w:color w:val="222222"/>
          <w:sz w:val="24"/>
          <w:szCs w:val="24"/>
          <w:shd w:val="clear" w:color="auto" w:fill="FFFFFF"/>
        </w:rPr>
        <w:t>Journal of  </w:t>
      </w:r>
      <w:r w:rsidRPr="00BE4AF3">
        <w:rPr>
          <w:rFonts w:ascii="Times New Roman" w:hAnsi="Times New Roman" w:cs="Times New Roman"/>
          <w:i/>
          <w:iCs/>
          <w:color w:val="222222"/>
          <w:sz w:val="24"/>
          <w:szCs w:val="24"/>
          <w:shd w:val="clear" w:color="auto" w:fill="FFFFFF"/>
        </w:rPr>
        <w:tab/>
        <w:t>European Real Estate Research</w:t>
      </w:r>
      <w:r w:rsidRPr="00BE4AF3">
        <w:rPr>
          <w:rFonts w:ascii="Times New Roman" w:hAnsi="Times New Roman" w:cs="Times New Roman"/>
          <w:color w:val="222222"/>
          <w:sz w:val="24"/>
          <w:szCs w:val="24"/>
          <w:shd w:val="clear" w:color="auto" w:fill="FFFFFF"/>
        </w:rPr>
        <w:t>, </w:t>
      </w:r>
      <w:r w:rsidRPr="00BE4AF3">
        <w:rPr>
          <w:rFonts w:ascii="Times New Roman" w:hAnsi="Times New Roman" w:cs="Times New Roman"/>
          <w:i/>
          <w:iCs/>
          <w:color w:val="222222"/>
          <w:sz w:val="24"/>
          <w:szCs w:val="24"/>
          <w:shd w:val="clear" w:color="auto" w:fill="FFFFFF"/>
        </w:rPr>
        <w:t>18</w:t>
      </w:r>
      <w:r w:rsidRPr="00BE4AF3">
        <w:rPr>
          <w:rFonts w:ascii="Times New Roman" w:hAnsi="Times New Roman" w:cs="Times New Roman"/>
          <w:color w:val="222222"/>
          <w:sz w:val="24"/>
          <w:szCs w:val="24"/>
          <w:shd w:val="clear" w:color="auto" w:fill="FFFFFF"/>
        </w:rPr>
        <w:t>(1), 105-120.</w:t>
      </w:r>
    </w:p>
    <w:p w14:paraId="2E13F0AA" w14:textId="77777777" w:rsidR="00A84E96" w:rsidRPr="00BE4AF3" w:rsidRDefault="00A84E96" w:rsidP="00065029">
      <w:pPr>
        <w:spacing w:after="0" w:line="240" w:lineRule="auto"/>
        <w:jc w:val="both"/>
        <w:rPr>
          <w:rFonts w:ascii="Times New Roman" w:hAnsi="Times New Roman" w:cs="Times New Roman"/>
          <w:sz w:val="24"/>
          <w:szCs w:val="24"/>
        </w:rPr>
      </w:pPr>
      <w:r w:rsidRPr="00BE4AF3">
        <w:rPr>
          <w:rFonts w:ascii="Times New Roman" w:hAnsi="Times New Roman" w:cs="Times New Roman"/>
          <w:color w:val="222222"/>
          <w:sz w:val="24"/>
          <w:szCs w:val="24"/>
          <w:shd w:val="clear" w:color="auto" w:fill="FFFFFF"/>
        </w:rPr>
        <w:t>Vaghela, V. S., &amp; Parsana, D. F. (2024). Teaching and Learning: Fostering Student  </w:t>
      </w:r>
      <w:r w:rsidRPr="00BE4AF3">
        <w:rPr>
          <w:rFonts w:ascii="Times New Roman" w:hAnsi="Times New Roman" w:cs="Times New Roman"/>
          <w:color w:val="222222"/>
          <w:sz w:val="24"/>
          <w:szCs w:val="24"/>
          <w:shd w:val="clear" w:color="auto" w:fill="FFFFFF"/>
        </w:rPr>
        <w:tab/>
        <w:t>Engagement, Critical Thinking, and Lifelong Learning Skills.</w:t>
      </w:r>
      <w:r w:rsidRPr="00BE4AF3">
        <w:rPr>
          <w:rFonts w:ascii="Times New Roman" w:hAnsi="Times New Roman" w:cs="Times New Roman"/>
          <w:sz w:val="24"/>
          <w:szCs w:val="24"/>
        </w:rPr>
        <w:t xml:space="preserve"> Educational  </w:t>
      </w:r>
      <w:r w:rsidRPr="00BE4AF3">
        <w:rPr>
          <w:rFonts w:ascii="Times New Roman" w:hAnsi="Times New Roman" w:cs="Times New Roman"/>
          <w:sz w:val="24"/>
          <w:szCs w:val="24"/>
        </w:rPr>
        <w:tab/>
        <w:t>Administration: Theory and Practice, 30 (6) (s) 66-73 Doi:  </w:t>
      </w:r>
      <w:r w:rsidRPr="00BE4AF3">
        <w:rPr>
          <w:rFonts w:ascii="Times New Roman" w:hAnsi="Times New Roman" w:cs="Times New Roman"/>
          <w:sz w:val="24"/>
          <w:szCs w:val="24"/>
        </w:rPr>
        <w:tab/>
        <w:t>10.53555/kuey.v30i6(S).5324</w:t>
      </w:r>
    </w:p>
    <w:p w14:paraId="4E04718A" w14:textId="77777777" w:rsidR="00A84E96" w:rsidRPr="00BE4AF3" w:rsidRDefault="00A84E96" w:rsidP="00065029">
      <w:pPr>
        <w:spacing w:after="0" w:line="240" w:lineRule="auto"/>
        <w:jc w:val="both"/>
        <w:rPr>
          <w:rStyle w:val="Hyperlink"/>
          <w:rFonts w:ascii="Times New Roman" w:hAnsi="Times New Roman" w:cs="Times New Roman"/>
          <w:sz w:val="24"/>
          <w:szCs w:val="24"/>
        </w:rPr>
      </w:pPr>
      <w:r w:rsidRPr="00BE4AF3">
        <w:rPr>
          <w:rFonts w:ascii="Times New Roman" w:hAnsi="Times New Roman" w:cs="Times New Roman"/>
          <w:color w:val="222222"/>
          <w:sz w:val="24"/>
          <w:szCs w:val="24"/>
          <w:shd w:val="clear" w:color="auto" w:fill="FFFFFF"/>
        </w:rPr>
        <w:t>Vorsah, R. E., &amp; Oginni, R. (2025). Bridging scientific conceptual understanding and  </w:t>
      </w:r>
      <w:r w:rsidRPr="00BE4AF3">
        <w:rPr>
          <w:rFonts w:ascii="Times New Roman" w:hAnsi="Times New Roman" w:cs="Times New Roman"/>
          <w:color w:val="222222"/>
          <w:sz w:val="24"/>
          <w:szCs w:val="24"/>
          <w:shd w:val="clear" w:color="auto" w:fill="FFFFFF"/>
        </w:rPr>
        <w:tab/>
        <w:t xml:space="preserve">professional development through evidence-based instructional methodologies. </w:t>
      </w:r>
      <w:r w:rsidRPr="00BE4AF3">
        <w:rPr>
          <w:rFonts w:ascii="Times New Roman" w:hAnsi="Times New Roman" w:cs="Times New Roman"/>
          <w:sz w:val="24"/>
          <w:szCs w:val="24"/>
        </w:rPr>
        <w:t>World  </w:t>
      </w:r>
      <w:r w:rsidRPr="00BE4AF3">
        <w:rPr>
          <w:rFonts w:ascii="Times New Roman" w:hAnsi="Times New Roman" w:cs="Times New Roman"/>
          <w:sz w:val="24"/>
          <w:szCs w:val="24"/>
        </w:rPr>
        <w:tab/>
        <w:t>Journal of Advanced Research and Reviews 25(02), 2665-2680. :  </w:t>
      </w:r>
      <w:r w:rsidRPr="00BE4AF3">
        <w:rPr>
          <w:rFonts w:ascii="Times New Roman" w:hAnsi="Times New Roman" w:cs="Times New Roman"/>
          <w:sz w:val="24"/>
          <w:szCs w:val="24"/>
        </w:rPr>
        <w:tab/>
      </w:r>
      <w:hyperlink r:id="rId66" w:history="1">
        <w:r w:rsidRPr="00BE4AF3">
          <w:rPr>
            <w:rStyle w:val="Hyperlink"/>
            <w:rFonts w:ascii="Times New Roman" w:hAnsi="Times New Roman" w:cs="Times New Roman"/>
            <w:sz w:val="24"/>
            <w:szCs w:val="24"/>
          </w:rPr>
          <w:t>https://doi.org/10.30574/wjarr.2025.25.2.0638</w:t>
        </w:r>
      </w:hyperlink>
    </w:p>
    <w:p w14:paraId="1B84956D" w14:textId="77777777" w:rsidR="00A84E96" w:rsidRPr="00BE4AF3" w:rsidRDefault="00A84E96" w:rsidP="00065029">
      <w:pPr>
        <w:pStyle w:val="NormalWeb"/>
        <w:spacing w:before="0" w:beforeAutospacing="0" w:after="0" w:afterAutospacing="0"/>
        <w:jc w:val="both"/>
        <w:rPr>
          <w:color w:val="222222"/>
          <w:shd w:val="clear" w:color="auto" w:fill="FFFFFF"/>
        </w:rPr>
      </w:pPr>
      <w:r w:rsidRPr="00BE4AF3">
        <w:rPr>
          <w:color w:val="222222"/>
          <w:shd w:val="clear" w:color="auto" w:fill="FFFFFF"/>
        </w:rPr>
        <w:t>Vygotsky, L. (1978). </w:t>
      </w:r>
      <w:r w:rsidRPr="00BE4AF3">
        <w:rPr>
          <w:i/>
          <w:iCs/>
          <w:color w:val="222222"/>
          <w:shd w:val="clear" w:color="auto" w:fill="FFFFFF"/>
        </w:rPr>
        <w:t>Mind in society: The development of higher psychological processes</w:t>
      </w:r>
      <w:r w:rsidRPr="00BE4AF3">
        <w:rPr>
          <w:color w:val="222222"/>
          <w:shd w:val="clear" w:color="auto" w:fill="FFFFFF"/>
        </w:rPr>
        <w:t>.  </w:t>
      </w:r>
      <w:r w:rsidRPr="00BE4AF3">
        <w:rPr>
          <w:color w:val="222222"/>
          <w:shd w:val="clear" w:color="auto" w:fill="FFFFFF"/>
        </w:rPr>
        <w:tab/>
        <w:t>MA: Harvard University Press.</w:t>
      </w:r>
    </w:p>
    <w:p w14:paraId="4865255A" w14:textId="77777777" w:rsidR="00A84E96" w:rsidRPr="00BE4AF3" w:rsidRDefault="00A84E96" w:rsidP="00065029">
      <w:pPr>
        <w:spacing w:after="0" w:line="240" w:lineRule="auto"/>
        <w:jc w:val="both"/>
        <w:rPr>
          <w:rFonts w:ascii="Times New Roman" w:hAnsi="Times New Roman" w:cs="Times New Roman"/>
          <w:color w:val="222222"/>
          <w:sz w:val="24"/>
          <w:szCs w:val="24"/>
          <w:shd w:val="clear" w:color="auto" w:fill="FFFFFF"/>
        </w:rPr>
      </w:pPr>
      <w:r w:rsidRPr="00BE4AF3">
        <w:rPr>
          <w:rFonts w:ascii="Times New Roman" w:hAnsi="Times New Roman" w:cs="Times New Roman"/>
          <w:color w:val="222222"/>
          <w:sz w:val="24"/>
          <w:szCs w:val="24"/>
          <w:shd w:val="clear" w:color="auto" w:fill="FFFFFF"/>
        </w:rPr>
        <w:t>Xiong, Q., Graham, L., &amp; Baum, A. (2021). The Future of Automated Real Estate  </w:t>
      </w:r>
      <w:r w:rsidRPr="00BE4AF3">
        <w:rPr>
          <w:rFonts w:ascii="Times New Roman" w:hAnsi="Times New Roman" w:cs="Times New Roman"/>
          <w:color w:val="222222"/>
          <w:sz w:val="24"/>
          <w:szCs w:val="24"/>
          <w:shd w:val="clear" w:color="auto" w:fill="FFFFFF"/>
        </w:rPr>
        <w:tab/>
        <w:t>Valuations. </w:t>
      </w:r>
      <w:r w:rsidRPr="00BE4AF3">
        <w:rPr>
          <w:rFonts w:ascii="Times New Roman" w:hAnsi="Times New Roman" w:cs="Times New Roman"/>
          <w:i/>
          <w:iCs/>
          <w:color w:val="222222"/>
          <w:sz w:val="24"/>
          <w:szCs w:val="24"/>
          <w:shd w:val="clear" w:color="auto" w:fill="FFFFFF"/>
        </w:rPr>
        <w:t>Available at SSRN 4927480</w:t>
      </w:r>
      <w:r w:rsidRPr="00BE4AF3">
        <w:rPr>
          <w:rFonts w:ascii="Times New Roman" w:hAnsi="Times New Roman" w:cs="Times New Roman"/>
          <w:color w:val="222222"/>
          <w:sz w:val="24"/>
          <w:szCs w:val="24"/>
          <w:shd w:val="clear" w:color="auto" w:fill="FFFFFF"/>
        </w:rPr>
        <w:t>.</w:t>
      </w:r>
    </w:p>
    <w:p w14:paraId="6B56D4B8" w14:textId="77777777" w:rsidR="00A84E96" w:rsidRPr="00BE4AF3" w:rsidRDefault="00A84E96" w:rsidP="0006502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Yam, S., &amp; Rossini, P. (2010). Effectiveness of Project-Based Learning as a Strategy for  </w:t>
      </w:r>
      <w:r w:rsidRPr="00BE4AF3">
        <w:rPr>
          <w:rFonts w:ascii="Times New Roman" w:hAnsi="Times New Roman" w:cs="Times New Roman"/>
          <w:sz w:val="24"/>
          <w:szCs w:val="24"/>
        </w:rPr>
        <w:tab/>
        <w:t>Property Education. Pacific Rim Property Research Journal, 16(3), 291-313.</w:t>
      </w:r>
    </w:p>
    <w:p w14:paraId="7D2B8DAD" w14:textId="77777777" w:rsidR="00A84E96" w:rsidRPr="00BE4AF3" w:rsidRDefault="00A84E96" w:rsidP="00065029">
      <w:pPr>
        <w:spacing w:after="0" w:line="240" w:lineRule="auto"/>
        <w:jc w:val="both"/>
        <w:rPr>
          <w:rFonts w:ascii="Times New Roman" w:hAnsi="Times New Roman" w:cs="Times New Roman"/>
          <w:sz w:val="24"/>
          <w:szCs w:val="24"/>
          <w:shd w:val="clear" w:color="auto" w:fill="FFFFFF"/>
        </w:rPr>
      </w:pPr>
      <w:r w:rsidRPr="00BE4AF3">
        <w:rPr>
          <w:rFonts w:ascii="Times New Roman" w:hAnsi="Times New Roman" w:cs="Times New Roman"/>
          <w:sz w:val="24"/>
          <w:szCs w:val="24"/>
        </w:rPr>
        <w:t>Yiu, C. Y., &amp; Cheung, K. S. (2023). How to Teach Innovativeness Using the Case Study  </w:t>
      </w:r>
      <w:r w:rsidRPr="00BE4AF3">
        <w:rPr>
          <w:rFonts w:ascii="Times New Roman" w:hAnsi="Times New Roman" w:cs="Times New Roman"/>
          <w:sz w:val="24"/>
          <w:szCs w:val="24"/>
        </w:rPr>
        <w:tab/>
        <w:t>Method in Property Education. FinTech, 2(1), 7.</w:t>
      </w:r>
    </w:p>
    <w:p w14:paraId="0AE7295A" w14:textId="06F1D3E5" w:rsidR="00A84E96" w:rsidRDefault="00A84E96" w:rsidP="0006502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Zhang, X., &amp; Zhai, Z. (2013). Project-based Teaching Method for Specialized Basic Courses  </w:t>
      </w:r>
      <w:r w:rsidRPr="00BE4AF3">
        <w:rPr>
          <w:rFonts w:ascii="Times New Roman" w:hAnsi="Times New Roman" w:cs="Times New Roman"/>
          <w:sz w:val="24"/>
          <w:szCs w:val="24"/>
        </w:rPr>
        <w:tab/>
        <w:t xml:space="preserve">in Higher Vocational Colleges of Commerce: A Case Study. Journal of </w:t>
      </w:r>
      <w:r w:rsidR="00065029" w:rsidRPr="00BE4AF3">
        <w:rPr>
          <w:rFonts w:ascii="Times New Roman" w:hAnsi="Times New Roman" w:cs="Times New Roman"/>
          <w:sz w:val="24"/>
          <w:szCs w:val="24"/>
        </w:rPr>
        <w:t xml:space="preserve">Commercial </w:t>
      </w:r>
      <w:r w:rsidR="00065029" w:rsidRPr="00BE4AF3">
        <w:rPr>
          <w:rFonts w:ascii="Times New Roman" w:hAnsi="Times New Roman" w:cs="Times New Roman"/>
          <w:sz w:val="24"/>
          <w:szCs w:val="24"/>
        </w:rPr>
        <w:tab/>
      </w:r>
      <w:r w:rsidRPr="00BE4AF3">
        <w:rPr>
          <w:rFonts w:ascii="Times New Roman" w:hAnsi="Times New Roman" w:cs="Times New Roman"/>
          <w:sz w:val="24"/>
          <w:szCs w:val="24"/>
        </w:rPr>
        <w:t>Education, 1, 56-60.</w:t>
      </w:r>
    </w:p>
    <w:p w14:paraId="2CB7E27D" w14:textId="77777777" w:rsidR="00065029" w:rsidRDefault="00065029" w:rsidP="00065029">
      <w:pPr>
        <w:spacing w:after="0" w:line="240" w:lineRule="auto"/>
        <w:jc w:val="both"/>
        <w:rPr>
          <w:rFonts w:ascii="Times New Roman" w:hAnsi="Times New Roman" w:cs="Times New Roman"/>
          <w:sz w:val="24"/>
          <w:szCs w:val="24"/>
        </w:rPr>
      </w:pPr>
    </w:p>
    <w:p w14:paraId="1D6A46A8" w14:textId="77777777" w:rsidR="00065029" w:rsidRDefault="00065029" w:rsidP="00065029">
      <w:pPr>
        <w:spacing w:after="0" w:line="240" w:lineRule="auto"/>
        <w:jc w:val="both"/>
        <w:rPr>
          <w:rFonts w:ascii="Times New Roman" w:hAnsi="Times New Roman" w:cs="Times New Roman"/>
          <w:sz w:val="24"/>
          <w:szCs w:val="24"/>
        </w:rPr>
      </w:pPr>
    </w:p>
    <w:p w14:paraId="6366532D" w14:textId="77777777" w:rsidR="00065029" w:rsidRDefault="00065029" w:rsidP="00065029">
      <w:pPr>
        <w:spacing w:after="0" w:line="240" w:lineRule="auto"/>
        <w:jc w:val="both"/>
        <w:rPr>
          <w:rFonts w:ascii="Times New Roman" w:hAnsi="Times New Roman" w:cs="Times New Roman"/>
          <w:sz w:val="24"/>
          <w:szCs w:val="24"/>
        </w:rPr>
      </w:pPr>
    </w:p>
    <w:p w14:paraId="5F62EEF5" w14:textId="77777777" w:rsidR="00065029" w:rsidRDefault="00065029" w:rsidP="00065029">
      <w:pPr>
        <w:spacing w:after="0" w:line="240" w:lineRule="auto"/>
        <w:jc w:val="both"/>
        <w:rPr>
          <w:rFonts w:ascii="Times New Roman" w:hAnsi="Times New Roman" w:cs="Times New Roman"/>
          <w:sz w:val="24"/>
          <w:szCs w:val="24"/>
        </w:rPr>
      </w:pPr>
    </w:p>
    <w:p w14:paraId="5C4F8BD5" w14:textId="77777777" w:rsidR="00065029" w:rsidRDefault="00065029" w:rsidP="00065029">
      <w:pPr>
        <w:spacing w:after="0" w:line="240" w:lineRule="auto"/>
        <w:jc w:val="both"/>
        <w:rPr>
          <w:rFonts w:ascii="Times New Roman" w:hAnsi="Times New Roman" w:cs="Times New Roman"/>
          <w:sz w:val="24"/>
          <w:szCs w:val="24"/>
        </w:rPr>
      </w:pPr>
    </w:p>
    <w:p w14:paraId="09D4DC92" w14:textId="77777777" w:rsidR="00065029" w:rsidRDefault="00065029" w:rsidP="00065029">
      <w:pPr>
        <w:spacing w:after="0" w:line="240" w:lineRule="auto"/>
        <w:jc w:val="both"/>
        <w:rPr>
          <w:rFonts w:ascii="Times New Roman" w:hAnsi="Times New Roman" w:cs="Times New Roman"/>
          <w:sz w:val="24"/>
          <w:szCs w:val="24"/>
        </w:rPr>
      </w:pPr>
    </w:p>
    <w:p w14:paraId="612A0CC7" w14:textId="77777777" w:rsidR="005E515E" w:rsidRPr="00BE4AF3" w:rsidRDefault="005E515E" w:rsidP="00E90BB6">
      <w:pPr>
        <w:spacing w:after="0" w:line="240" w:lineRule="auto"/>
        <w:rPr>
          <w:rFonts w:ascii="Times New Roman" w:hAnsi="Times New Roman" w:cs="Times New Roman"/>
          <w:sz w:val="24"/>
          <w:szCs w:val="24"/>
        </w:rPr>
      </w:pPr>
    </w:p>
    <w:p w14:paraId="25391925" w14:textId="77777777" w:rsidR="00F4410D" w:rsidRPr="00BE4AF3" w:rsidRDefault="00F4410D" w:rsidP="00E90BB6">
      <w:pPr>
        <w:spacing w:after="0" w:line="240" w:lineRule="auto"/>
        <w:rPr>
          <w:rFonts w:ascii="Times New Roman" w:hAnsi="Times New Roman" w:cs="Times New Roman"/>
          <w:sz w:val="24"/>
          <w:szCs w:val="24"/>
        </w:rPr>
      </w:pPr>
    </w:p>
    <w:p w14:paraId="1A8654AB" w14:textId="77777777" w:rsidR="00A95426" w:rsidRPr="00C00D59" w:rsidRDefault="00A95426" w:rsidP="005E515E">
      <w:pPr>
        <w:shd w:val="clear" w:color="auto" w:fill="FFFFFF"/>
        <w:spacing w:after="0" w:line="240" w:lineRule="auto"/>
        <w:jc w:val="center"/>
        <w:rPr>
          <w:rFonts w:ascii="Times New Roman" w:eastAsia="Times New Roman" w:hAnsi="Times New Roman" w:cs="Times New Roman"/>
          <w:b/>
          <w:bCs/>
          <w:sz w:val="28"/>
          <w:szCs w:val="28"/>
        </w:rPr>
      </w:pPr>
      <w:bookmarkStart w:id="33" w:name="_Hlk203539762"/>
      <w:r w:rsidRPr="00C00D59">
        <w:rPr>
          <w:rFonts w:ascii="Times New Roman" w:eastAsia="Times New Roman" w:hAnsi="Times New Roman" w:cs="Times New Roman"/>
          <w:b/>
          <w:bCs/>
          <w:sz w:val="28"/>
          <w:szCs w:val="28"/>
        </w:rPr>
        <w:t>Visual Art's Economic Impact in Building a Sustainable Future for Environmental Development</w:t>
      </w:r>
    </w:p>
    <w:p w14:paraId="2E6AEEC0" w14:textId="77777777" w:rsidR="00A95426" w:rsidRPr="00BE4AF3" w:rsidRDefault="00A95426" w:rsidP="00E90BB6">
      <w:pPr>
        <w:spacing w:after="0" w:line="240" w:lineRule="auto"/>
        <w:jc w:val="center"/>
        <w:rPr>
          <w:rFonts w:ascii="Times New Roman" w:hAnsi="Times New Roman" w:cs="Times New Roman"/>
          <w:sz w:val="24"/>
          <w:szCs w:val="24"/>
        </w:rPr>
      </w:pPr>
    </w:p>
    <w:p w14:paraId="5756124B" w14:textId="77777777" w:rsidR="00A95426" w:rsidRDefault="00AE2454" w:rsidP="00E90BB6">
      <w:pPr>
        <w:spacing w:after="0" w:line="240" w:lineRule="auto"/>
        <w:jc w:val="center"/>
        <w:rPr>
          <w:rFonts w:ascii="Times New Roman" w:hAnsi="Times New Roman" w:cs="Times New Roman"/>
          <w:sz w:val="24"/>
          <w:szCs w:val="24"/>
        </w:rPr>
      </w:pPr>
      <w:r w:rsidRPr="00BE4AF3">
        <w:rPr>
          <w:rFonts w:ascii="Times New Roman" w:hAnsi="Times New Roman" w:cs="Times New Roman"/>
          <w:sz w:val="24"/>
          <w:szCs w:val="24"/>
        </w:rPr>
        <w:t>Adedamola</w:t>
      </w:r>
      <w:r w:rsidR="00A95426" w:rsidRPr="00BE4AF3">
        <w:rPr>
          <w:rFonts w:ascii="Times New Roman" w:hAnsi="Times New Roman" w:cs="Times New Roman"/>
          <w:sz w:val="24"/>
          <w:szCs w:val="24"/>
        </w:rPr>
        <w:t xml:space="preserve"> J.O</w:t>
      </w:r>
    </w:p>
    <w:p w14:paraId="7ECAE312" w14:textId="77777777" w:rsidR="00C00D59" w:rsidRPr="00BE4AF3" w:rsidRDefault="00C00D59" w:rsidP="00E90BB6">
      <w:pPr>
        <w:spacing w:after="0" w:line="240" w:lineRule="auto"/>
        <w:jc w:val="center"/>
        <w:rPr>
          <w:rFonts w:ascii="Times New Roman" w:hAnsi="Times New Roman" w:cs="Times New Roman"/>
          <w:sz w:val="24"/>
          <w:szCs w:val="24"/>
        </w:rPr>
      </w:pPr>
    </w:p>
    <w:p w14:paraId="1C089938" w14:textId="77777777" w:rsidR="00A95426" w:rsidRPr="00C00D59" w:rsidRDefault="00A95426" w:rsidP="00C00D59">
      <w:pPr>
        <w:spacing w:after="0" w:line="240" w:lineRule="auto"/>
        <w:jc w:val="center"/>
        <w:rPr>
          <w:rFonts w:ascii="Times New Roman" w:hAnsi="Times New Roman" w:cs="Times New Roman"/>
          <w:sz w:val="20"/>
          <w:szCs w:val="20"/>
        </w:rPr>
      </w:pPr>
      <w:r w:rsidRPr="00C00D59">
        <w:rPr>
          <w:rFonts w:ascii="Times New Roman" w:hAnsi="Times New Roman" w:cs="Times New Roman"/>
          <w:sz w:val="20"/>
          <w:szCs w:val="20"/>
        </w:rPr>
        <w:t>Fine and Applied Arts department,</w:t>
      </w:r>
    </w:p>
    <w:p w14:paraId="10EAC83F" w14:textId="77777777" w:rsidR="00A95426" w:rsidRPr="00C00D59" w:rsidRDefault="00A95426" w:rsidP="00C00D59">
      <w:pPr>
        <w:spacing w:after="0" w:line="240" w:lineRule="auto"/>
        <w:jc w:val="center"/>
        <w:rPr>
          <w:rFonts w:ascii="Times New Roman" w:hAnsi="Times New Roman" w:cs="Times New Roman"/>
          <w:sz w:val="20"/>
          <w:szCs w:val="20"/>
        </w:rPr>
      </w:pPr>
      <w:r w:rsidRPr="00C00D59">
        <w:rPr>
          <w:rFonts w:ascii="Times New Roman" w:hAnsi="Times New Roman" w:cs="Times New Roman"/>
          <w:sz w:val="20"/>
          <w:szCs w:val="20"/>
        </w:rPr>
        <w:t>Faculty of Vocation &amp; Technical Education,</w:t>
      </w:r>
    </w:p>
    <w:p w14:paraId="1A10D6A1" w14:textId="77777777" w:rsidR="00A95426" w:rsidRDefault="00A95426" w:rsidP="00C00D59">
      <w:pPr>
        <w:spacing w:after="0" w:line="240" w:lineRule="auto"/>
        <w:jc w:val="center"/>
        <w:rPr>
          <w:rFonts w:ascii="Times New Roman" w:hAnsi="Times New Roman" w:cs="Times New Roman"/>
          <w:sz w:val="20"/>
          <w:szCs w:val="20"/>
        </w:rPr>
      </w:pPr>
      <w:r w:rsidRPr="00C00D59">
        <w:rPr>
          <w:rFonts w:ascii="Times New Roman" w:hAnsi="Times New Roman" w:cs="Times New Roman"/>
          <w:sz w:val="20"/>
          <w:szCs w:val="20"/>
        </w:rPr>
        <w:t>Adeyemi Federal University of Education, Ondo</w:t>
      </w:r>
    </w:p>
    <w:p w14:paraId="5B98D274" w14:textId="77777777" w:rsidR="00C00D59" w:rsidRPr="00C00D59" w:rsidRDefault="00C00D59" w:rsidP="00E90BB6">
      <w:pPr>
        <w:spacing w:after="0" w:line="240" w:lineRule="auto"/>
        <w:jc w:val="center"/>
        <w:rPr>
          <w:rFonts w:ascii="Times New Roman" w:hAnsi="Times New Roman" w:cs="Times New Roman"/>
          <w:sz w:val="20"/>
          <w:szCs w:val="20"/>
        </w:rPr>
      </w:pPr>
    </w:p>
    <w:p w14:paraId="1306ABBE" w14:textId="77777777" w:rsidR="00A95426" w:rsidRPr="00C00D59" w:rsidRDefault="00A95426" w:rsidP="00E90BB6">
      <w:pPr>
        <w:spacing w:after="0" w:line="240" w:lineRule="auto"/>
        <w:jc w:val="center"/>
        <w:rPr>
          <w:rFonts w:ascii="Times New Roman" w:hAnsi="Times New Roman" w:cs="Times New Roman"/>
          <w:b/>
          <w:sz w:val="20"/>
          <w:szCs w:val="20"/>
        </w:rPr>
      </w:pPr>
      <w:r w:rsidRPr="00C00D59">
        <w:rPr>
          <w:rFonts w:ascii="Times New Roman" w:hAnsi="Times New Roman" w:cs="Times New Roman"/>
          <w:sz w:val="20"/>
          <w:szCs w:val="20"/>
        </w:rPr>
        <w:t xml:space="preserve">Email: </w:t>
      </w:r>
      <w:hyperlink r:id="rId67" w:history="1">
        <w:r w:rsidRPr="00C00D59">
          <w:rPr>
            <w:rStyle w:val="Hyperlink"/>
            <w:rFonts w:ascii="Times New Roman" w:hAnsi="Times New Roman" w:cs="Times New Roman"/>
            <w:color w:val="auto"/>
            <w:sz w:val="20"/>
            <w:szCs w:val="20"/>
            <w:u w:val="none"/>
          </w:rPr>
          <w:t>adedamolajo@afued.edu.ng</w:t>
        </w:r>
      </w:hyperlink>
      <w:r w:rsidRPr="00C00D59">
        <w:rPr>
          <w:rFonts w:ascii="Times New Roman" w:hAnsi="Times New Roman" w:cs="Times New Roman"/>
          <w:sz w:val="20"/>
          <w:szCs w:val="20"/>
        </w:rPr>
        <w:t xml:space="preserve">; </w:t>
      </w:r>
      <w:hyperlink r:id="rId68" w:history="1">
        <w:r w:rsidRPr="00C00D59">
          <w:rPr>
            <w:rFonts w:ascii="Times New Roman" w:hAnsi="Times New Roman" w:cs="Times New Roman"/>
            <w:sz w:val="20"/>
            <w:szCs w:val="20"/>
          </w:rPr>
          <w:t>jofegg@gmail.com</w:t>
        </w:r>
      </w:hyperlink>
    </w:p>
    <w:p w14:paraId="01F755EB" w14:textId="77777777" w:rsidR="00A95426" w:rsidRPr="00C00D59" w:rsidRDefault="00A95426" w:rsidP="00E90BB6">
      <w:pPr>
        <w:spacing w:after="0" w:line="240" w:lineRule="auto"/>
        <w:jc w:val="center"/>
        <w:rPr>
          <w:rFonts w:ascii="Times New Roman" w:hAnsi="Times New Roman" w:cs="Times New Roman"/>
          <w:sz w:val="20"/>
          <w:szCs w:val="20"/>
        </w:rPr>
      </w:pPr>
      <w:r w:rsidRPr="00C00D59">
        <w:rPr>
          <w:rFonts w:ascii="Times New Roman" w:hAnsi="Times New Roman" w:cs="Times New Roman"/>
          <w:sz w:val="20"/>
          <w:szCs w:val="20"/>
        </w:rPr>
        <w:t>Tel: 08035181670, (call &amp; whatApp)</w:t>
      </w:r>
    </w:p>
    <w:p w14:paraId="08A7CD33" w14:textId="77777777" w:rsidR="00A95426" w:rsidRPr="00BE4AF3" w:rsidRDefault="00A95426" w:rsidP="00E90BB6">
      <w:pPr>
        <w:spacing w:after="0" w:line="240" w:lineRule="auto"/>
        <w:jc w:val="center"/>
        <w:rPr>
          <w:rFonts w:ascii="Times New Roman" w:hAnsi="Times New Roman" w:cs="Times New Roman"/>
          <w:sz w:val="24"/>
          <w:szCs w:val="24"/>
        </w:rPr>
      </w:pPr>
    </w:p>
    <w:bookmarkEnd w:id="33"/>
    <w:p w14:paraId="2877D32E" w14:textId="77777777" w:rsidR="00A95426" w:rsidRPr="00BE4AF3" w:rsidRDefault="00A95426" w:rsidP="00E90BB6">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LICFES 2025-035 – FP8</w:t>
      </w:r>
    </w:p>
    <w:p w14:paraId="17ED5848" w14:textId="77777777" w:rsidR="00A95426" w:rsidRPr="00BE4AF3" w:rsidRDefault="00A95426" w:rsidP="00E90BB6">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Abstract</w:t>
      </w:r>
    </w:p>
    <w:p w14:paraId="07607ED1" w14:textId="77777777" w:rsidR="00A95426" w:rsidRPr="00BE4AF3" w:rsidRDefault="00A95426" w:rsidP="00E90BB6">
      <w:pPr>
        <w:shd w:val="clear" w:color="auto" w:fill="FFFFFF"/>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Visual art plays a pivotal role in shaping perceptions and driving action towards environmental sustainability, a core component of the Cultural and Creative Industries (CCIs) is increasingly recognized for its profound economic impact and instrumental role in fostering environmental sustainability. This repurposing paper explores the economic impact of visual art in fostering a sustainable future for environmental development, focusing on its capacity to influence eco-conscious behaviors, promote green innovation, and enhance community engagement. Economically, the visual arts sector is a significant engine, contributing trillions to global GDP, supporting millions of jobs, and driving urban revitalization through increased tourism and local business development. Through eco-art, sustainable design practices, and creative expressions of environmental themes, visual art contributes to economic growth and raising environmental awareness, promoting eco-conscious practices through material choices and artistic forms, and building community resilience by facilitating emotional processing and collective action around environmental by driving eco-tourism, supporting green industries, and increasing the value of sustainable products -Tedesco L.B 2021. By bridging culture and ecology, visual art emerges as a strategic tool for aligning economic development with environmental goals, ultimately contributing to a more sustainable future.</w:t>
      </w:r>
    </w:p>
    <w:p w14:paraId="1BEDB9AF" w14:textId="77777777" w:rsidR="005E515E" w:rsidRPr="00BE4AF3" w:rsidRDefault="005E515E" w:rsidP="00E90BB6">
      <w:pPr>
        <w:spacing w:after="0" w:line="240" w:lineRule="auto"/>
        <w:rPr>
          <w:rFonts w:ascii="Times New Roman" w:eastAsia="Times New Roman" w:hAnsi="Times New Roman" w:cs="Times New Roman"/>
          <w:bCs/>
          <w:sz w:val="24"/>
          <w:szCs w:val="24"/>
        </w:rPr>
      </w:pPr>
    </w:p>
    <w:p w14:paraId="09F92EAE" w14:textId="77777777" w:rsidR="00A95426" w:rsidRPr="00BE4AF3" w:rsidRDefault="00A95426" w:rsidP="00AE2454">
      <w:pPr>
        <w:spacing w:after="0" w:line="240" w:lineRule="auto"/>
        <w:jc w:val="both"/>
        <w:rPr>
          <w:rFonts w:ascii="Times New Roman" w:eastAsia="Times New Roman" w:hAnsi="Times New Roman" w:cs="Times New Roman"/>
          <w:bCs/>
          <w:sz w:val="24"/>
          <w:szCs w:val="24"/>
        </w:rPr>
      </w:pPr>
      <w:r w:rsidRPr="00BE4AF3">
        <w:rPr>
          <w:rFonts w:ascii="Times New Roman" w:eastAsia="Times New Roman" w:hAnsi="Times New Roman" w:cs="Times New Roman"/>
          <w:b/>
          <w:bCs/>
          <w:sz w:val="24"/>
          <w:szCs w:val="24"/>
        </w:rPr>
        <w:t>Keywords:</w:t>
      </w:r>
      <w:r w:rsidRPr="00BE4AF3">
        <w:rPr>
          <w:rFonts w:ascii="Times New Roman" w:eastAsia="Times New Roman" w:hAnsi="Times New Roman" w:cs="Times New Roman"/>
          <w:bCs/>
          <w:sz w:val="24"/>
          <w:szCs w:val="24"/>
        </w:rPr>
        <w:t xml:space="preserve"> Creative, Culture, Eco-art, Eco-tourism, Economics, Environment, Sustainable, Visual Arts. </w:t>
      </w:r>
    </w:p>
    <w:p w14:paraId="3780789B" w14:textId="77777777" w:rsidR="00A95426" w:rsidRPr="00BE4AF3" w:rsidRDefault="00A95426" w:rsidP="00E90BB6">
      <w:pPr>
        <w:spacing w:after="0" w:line="240" w:lineRule="auto"/>
        <w:rPr>
          <w:rFonts w:ascii="Times New Roman" w:eastAsia="Times New Roman" w:hAnsi="Times New Roman" w:cs="Times New Roman"/>
          <w:bCs/>
          <w:sz w:val="24"/>
          <w:szCs w:val="24"/>
        </w:rPr>
      </w:pPr>
    </w:p>
    <w:p w14:paraId="569F94A8" w14:textId="77777777" w:rsidR="00F4410D" w:rsidRPr="00BE4AF3" w:rsidRDefault="00F4410D" w:rsidP="00F4410D">
      <w:pPr>
        <w:shd w:val="clear" w:color="auto" w:fill="FFFFFF"/>
        <w:spacing w:after="0"/>
        <w:jc w:val="both"/>
        <w:rPr>
          <w:rFonts w:ascii="Times New Roman" w:eastAsia="Times New Roman" w:hAnsi="Times New Roman" w:cs="Times New Roman"/>
          <w:b/>
          <w:color w:val="101112"/>
          <w:sz w:val="24"/>
          <w:szCs w:val="24"/>
        </w:rPr>
      </w:pPr>
      <w:r w:rsidRPr="00BE4AF3">
        <w:rPr>
          <w:rFonts w:ascii="Times New Roman" w:eastAsia="Times New Roman" w:hAnsi="Times New Roman" w:cs="Times New Roman"/>
          <w:b/>
          <w:bCs/>
          <w:sz w:val="24"/>
          <w:szCs w:val="24"/>
        </w:rPr>
        <w:t>Introduction</w:t>
      </w:r>
    </w:p>
    <w:p w14:paraId="4316D7FC" w14:textId="77777777" w:rsidR="00F4410D" w:rsidRPr="00BE4AF3" w:rsidRDefault="00F4410D" w:rsidP="00F4410D">
      <w:pPr>
        <w:spacing w:after="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Visual art, encompassing the broad spectrum of the Cultural and Creative Industries (CCIs), plays a pivotal and increasingly recognized role in fostering economic growth, advancing environmental sustainability, and enhancing social well-being. This is a repurposing paper, it examines the multifaceted impact of visual art, demonstrating its capacity to drive prosperity, catalyze urban revitalization, and cultivate a sustainable future within a supportive enabling environment. The intersection of visual art, economic prosperity, and sustainable development represents a dynamic and increasingly critical area of study and policy focus. Visual art, in its diverse manifestations, is not merely an aesthetic pursuit but a powerful force capable of driving tangible economic benefits, fostering environmental stewardship, and strengthening social cohesion</w:t>
      </w:r>
    </w:p>
    <w:p w14:paraId="5E68A80D" w14:textId="22C2581D" w:rsidR="00F4410D" w:rsidRPr="00BE4AF3" w:rsidRDefault="00F4410D" w:rsidP="0014525F">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lastRenderedPageBreak/>
        <w:t xml:space="preserve">Visual art encompasses an expansive array of forms, ranging from traditional mediums such as painting and sculpture to contemporary expressions including photography, digital art, and large-scale public installations. At its core, visual art functions as a potent communicator, possessing the unique ability to transcend language barriers and connect directly with human emotions and understanding. This inherent communicative power makes it an effective medium for conveying complex ideas and fostering dialogue on pressing societal issues. Within the broader economic landscape, visual art is a significant component of the Cultural and Creative Industries (CCIs, to fully appreciate the impact of visual art, it is essential to establish a clear conceptual framework that delineates the key interconnected terms central to this analysis: economic growth, sustainable future, and enabling environment. </w:t>
      </w:r>
      <w:r w:rsidRPr="00BE4AF3">
        <w:rPr>
          <w:rFonts w:ascii="Times New Roman" w:eastAsia="Times New Roman" w:hAnsi="Times New Roman" w:cs="Times New Roman"/>
          <w:bCs/>
          <w:sz w:val="24"/>
          <w:szCs w:val="24"/>
        </w:rPr>
        <w:t>Economic Growth</w:t>
      </w:r>
      <w:r w:rsidRPr="00BE4AF3">
        <w:rPr>
          <w:rFonts w:ascii="Times New Roman" w:eastAsia="Times New Roman" w:hAnsi="Times New Roman" w:cs="Times New Roman"/>
          <w:sz w:val="24"/>
          <w:szCs w:val="24"/>
        </w:rPr>
        <w:t xml:space="preserve"> is primarily understood as an increase in a nation's or region's economic output, typically measured by indicators such as Gross Domestic Product (GDP), the creation of new jobs, and the generation of revenue across various sectors. It represents the expansion of economic activity and the overall prosperity of a society to regenerate declining urban infrastructure and stimulate local economic development underscores their strategic importance in contemporary</w:t>
      </w:r>
      <w:r w:rsidR="00823CC5">
        <w:rPr>
          <w:rFonts w:ascii="Times New Roman" w:eastAsia="Times New Roman" w:hAnsi="Times New Roman" w:cs="Times New Roman"/>
          <w:sz w:val="24"/>
          <w:szCs w:val="24"/>
        </w:rPr>
        <w:t>s</w:t>
      </w:r>
      <w:r w:rsidRPr="00BE4AF3">
        <w:rPr>
          <w:rFonts w:ascii="Times New Roman" w:eastAsia="Times New Roman" w:hAnsi="Times New Roman" w:cs="Times New Roman"/>
          <w:sz w:val="24"/>
          <w:szCs w:val="24"/>
        </w:rPr>
        <w:t xml:space="preserve"> urban planning.   </w:t>
      </w:r>
    </w:p>
    <w:p w14:paraId="7003DBD4" w14:textId="77777777" w:rsidR="00F4410D" w:rsidRDefault="00F4410D" w:rsidP="0014525F">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A </w:t>
      </w:r>
      <w:r w:rsidRPr="00BE4AF3">
        <w:rPr>
          <w:rFonts w:ascii="Times New Roman" w:eastAsia="Times New Roman" w:hAnsi="Times New Roman" w:cs="Times New Roman"/>
          <w:bCs/>
          <w:sz w:val="24"/>
          <w:szCs w:val="24"/>
        </w:rPr>
        <w:t>Sustainable Future</w:t>
      </w:r>
      <w:r w:rsidRPr="00BE4AF3">
        <w:rPr>
          <w:rFonts w:ascii="Times New Roman" w:eastAsia="Times New Roman" w:hAnsi="Times New Roman" w:cs="Times New Roman"/>
          <w:sz w:val="24"/>
          <w:szCs w:val="24"/>
        </w:rPr>
        <w:t xml:space="preserve"> aligns with the widely accepted definition put forth by the Brundtland Commission in 1987: "development that meets the needs of the present without compromising the ability of future generations to meet their own needs" (Oguamanam C. 2022). This concept emphasizes a holistic approach to development that balances environmental protection, social equity, and economic viability. Visual art serves as a powerful mirror, reflecting humanity's relationship with the planet and actively promoting the principles necessary for achieving this long-term balance. An </w:t>
      </w:r>
      <w:r w:rsidRPr="00BE4AF3">
        <w:rPr>
          <w:rFonts w:ascii="Times New Roman" w:eastAsia="Times New Roman" w:hAnsi="Times New Roman" w:cs="Times New Roman"/>
          <w:bCs/>
          <w:sz w:val="24"/>
          <w:szCs w:val="24"/>
        </w:rPr>
        <w:t>Enabling Environment</w:t>
      </w:r>
      <w:r w:rsidRPr="00BE4AF3">
        <w:rPr>
          <w:rFonts w:ascii="Times New Roman" w:eastAsia="Times New Roman" w:hAnsi="Times New Roman" w:cs="Times New Roman"/>
          <w:sz w:val="24"/>
          <w:szCs w:val="24"/>
        </w:rPr>
        <w:t xml:space="preserve"> refers to the comprehensive set of conditions and policies that collectively foster economic growth and development. Such an environment is designed to facilitate investment, stimulate innovation, and ensure effective governance. Key components include stable political institutions, sound economic policies, and supportive regulatory frameworks that collectively allow businesses to thrive and attract necessary capital. This synergistic relationship means that the impact of art amplifies across economic, social, and environmental dimensions, leading to a more holistic and resilient form of development. The economic impact of visual art and the broader </w:t>
      </w:r>
      <w:bookmarkStart w:id="34" w:name="_Hlk206263334"/>
      <w:r w:rsidRPr="00BE4AF3">
        <w:rPr>
          <w:rFonts w:ascii="Times New Roman" w:eastAsia="Times New Roman" w:hAnsi="Times New Roman" w:cs="Times New Roman"/>
          <w:sz w:val="24"/>
          <w:szCs w:val="24"/>
        </w:rPr>
        <w:t xml:space="preserve">Cultural and Creative Industries </w:t>
      </w:r>
      <w:bookmarkEnd w:id="34"/>
      <w:r w:rsidRPr="00BE4AF3">
        <w:rPr>
          <w:rFonts w:ascii="Times New Roman" w:eastAsia="Times New Roman" w:hAnsi="Times New Roman" w:cs="Times New Roman"/>
          <w:sz w:val="24"/>
          <w:szCs w:val="24"/>
        </w:rPr>
        <w:t xml:space="preserve">is substantial and multifaceted, extending from direct revenue generation and employment to catalyzing urban regeneration and fostering innovation across sectors.  </w:t>
      </w:r>
    </w:p>
    <w:p w14:paraId="6DE7F3DE" w14:textId="77777777" w:rsidR="0014525F" w:rsidRPr="00BE4AF3" w:rsidRDefault="0014525F" w:rsidP="0014525F">
      <w:pPr>
        <w:spacing w:after="0" w:line="240" w:lineRule="auto"/>
        <w:jc w:val="both"/>
        <w:rPr>
          <w:rFonts w:ascii="Times New Roman" w:eastAsia="Times New Roman" w:hAnsi="Times New Roman" w:cs="Times New Roman"/>
          <w:sz w:val="24"/>
          <w:szCs w:val="24"/>
        </w:rPr>
      </w:pPr>
    </w:p>
    <w:p w14:paraId="5F153D70" w14:textId="77777777" w:rsidR="00F4410D" w:rsidRPr="00BE4AF3" w:rsidRDefault="00F4410D" w:rsidP="00F4410D">
      <w:pPr>
        <w:spacing w:after="0"/>
        <w:jc w:val="both"/>
        <w:outlineLvl w:val="2"/>
        <w:rPr>
          <w:rFonts w:ascii="Times New Roman" w:eastAsia="Times New Roman" w:hAnsi="Times New Roman" w:cs="Times New Roman"/>
          <w:b/>
          <w:bCs/>
          <w:sz w:val="24"/>
          <w:szCs w:val="24"/>
        </w:rPr>
      </w:pPr>
      <w:r w:rsidRPr="00BE4AF3">
        <w:rPr>
          <w:rFonts w:ascii="Times New Roman" w:eastAsia="Times New Roman" w:hAnsi="Times New Roman" w:cs="Times New Roman"/>
          <w:b/>
          <w:bCs/>
          <w:sz w:val="24"/>
          <w:szCs w:val="24"/>
        </w:rPr>
        <w:t>Catalyst for Urban Regeneration, Tourism, and Local Business Development</w:t>
      </w:r>
    </w:p>
    <w:p w14:paraId="4CE2E168" w14:textId="77777777" w:rsidR="00F4410D" w:rsidRPr="00BE4AF3" w:rsidRDefault="00F4410D" w:rsidP="0014525F">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Beyond direct economic output, visual art and Cultural and Creative Industries (CCI) is serve as powerful catalysts for urban revitalization, enhancing the quality of life, attracting investment, and stimulating local economies. Local governments globally increasingly acknowledge the capacity of CCIs to drive place-based revitalization efforts, effectively regenerating declining urban infrastructure and fostering local economic development. This approach works with, rather than against, existing local heritage, creating dynamic places.   </w:t>
      </w:r>
    </w:p>
    <w:p w14:paraId="5CED2871" w14:textId="18208899" w:rsidR="00F4410D" w:rsidRDefault="00F4410D" w:rsidP="0014525F">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Public art, in particular, plays a transformative role in this process. It converts conventional urban spaces into vibrant, interactive environments, thereby boosting local economies and promoting sustainable urban growth. Public art installations become significant attractions for tourists, drawing visitors to cities and neighborhoods. The tourism generated by these cultural assets directly benefits the local economy through visitor spending on accommodation, food, and other services. The presence of public art also significantly increases foot traffic in surrounding areas, directly boosting local businesses such as shops, restaurants, and cafes. Areas renowned for their </w:t>
      </w:r>
      <w:r w:rsidRPr="00BE4AF3">
        <w:rPr>
          <w:rFonts w:ascii="Times New Roman" w:eastAsia="Times New Roman" w:hAnsi="Times New Roman" w:cs="Times New Roman"/>
          <w:sz w:val="24"/>
          <w:szCs w:val="24"/>
        </w:rPr>
        <w:lastRenderedPageBreak/>
        <w:t xml:space="preserve">public art often evolve into cultural hubs, where ancillary businesses flourish, catering to the influx of visitors and locals alike. This dynamic extends to fostering new industries and job opportunities, as the presence of cultural amenities makes an area inherently more attractive to entrepreneurs and businesses. </w:t>
      </w:r>
    </w:p>
    <w:p w14:paraId="72D15BF5" w14:textId="77777777" w:rsidR="0014525F" w:rsidRPr="00BE4AF3" w:rsidRDefault="0014525F" w:rsidP="0014525F">
      <w:pPr>
        <w:spacing w:after="0" w:line="240" w:lineRule="auto"/>
        <w:jc w:val="both"/>
        <w:rPr>
          <w:rFonts w:ascii="Times New Roman" w:eastAsia="Times New Roman" w:hAnsi="Times New Roman" w:cs="Times New Roman"/>
          <w:sz w:val="24"/>
          <w:szCs w:val="24"/>
        </w:rPr>
      </w:pPr>
    </w:p>
    <w:p w14:paraId="113570AA" w14:textId="77777777" w:rsidR="00F4410D" w:rsidRPr="00BE4AF3" w:rsidRDefault="00F4410D" w:rsidP="00F4410D">
      <w:pPr>
        <w:spacing w:after="0"/>
        <w:jc w:val="both"/>
        <w:rPr>
          <w:rFonts w:ascii="Times New Roman" w:eastAsia="Times New Roman" w:hAnsi="Times New Roman" w:cs="Times New Roman"/>
          <w:b/>
          <w:sz w:val="24"/>
          <w:szCs w:val="24"/>
        </w:rPr>
      </w:pPr>
      <w:r w:rsidRPr="00BE4AF3">
        <w:rPr>
          <w:rFonts w:ascii="Times New Roman" w:eastAsia="Times New Roman" w:hAnsi="Times New Roman" w:cs="Times New Roman"/>
          <w:b/>
          <w:bCs/>
          <w:sz w:val="24"/>
          <w:szCs w:val="24"/>
        </w:rPr>
        <w:t>The Dynamics of the Art Market and Artistic Innovation in Economic Contexts</w:t>
      </w:r>
    </w:p>
    <w:p w14:paraId="4A2FD5AA" w14:textId="77777777" w:rsidR="00F4410D" w:rsidRPr="00BE4AF3" w:rsidRDefault="00F4410D" w:rsidP="00F4410D">
      <w:pPr>
        <w:spacing w:after="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The fine art market, while a component of the broader cultural economy, operates with its own unique dynamics and sensitivities to wider economic factors. It contributes to employment and economic output but is notably influenced by macroeconomic conditions such as interest rates, trade policies, and currency fluctuations. The market for fine art is often considered a lagging indicator of broader economic trends; when interest rates rise or liquidity contracts, discretionary spending, including art purchases, tends to slow. </w:t>
      </w:r>
      <w:r w:rsidRPr="00BE4AF3">
        <w:rPr>
          <w:rFonts w:ascii="Times New Roman" w:eastAsia="Times New Roman" w:hAnsi="Times New Roman" w:cs="Times New Roman"/>
          <w:i/>
          <w:iCs/>
          <w:sz w:val="24"/>
          <w:szCs w:val="24"/>
        </w:rPr>
        <w:t>“The creative economy is not only one of the most rapidly growing sectors of the world economy, but it is also highly transformative in terms of income generation, job creation and export earnings. (</w:t>
      </w:r>
      <w:r w:rsidRPr="00BE4AF3">
        <w:rPr>
          <w:rFonts w:ascii="Times New Roman" w:eastAsia="Times New Roman" w:hAnsi="Times New Roman" w:cs="Times New Roman"/>
          <w:sz w:val="24"/>
          <w:szCs w:val="24"/>
        </w:rPr>
        <w:t>UNCTAD 2022)</w:t>
      </w:r>
    </w:p>
    <w:p w14:paraId="2824C588" w14:textId="77777777" w:rsidR="00F4410D" w:rsidRPr="00BE4AF3" w:rsidRDefault="00F4410D" w:rsidP="0014525F">
      <w:pPr>
        <w:spacing w:after="0" w:line="240" w:lineRule="auto"/>
        <w:jc w:val="both"/>
        <w:outlineLvl w:val="3"/>
        <w:rPr>
          <w:rFonts w:ascii="Times New Roman" w:eastAsia="Times New Roman" w:hAnsi="Times New Roman" w:cs="Times New Roman"/>
          <w:bCs/>
          <w:sz w:val="24"/>
          <w:szCs w:val="24"/>
        </w:rPr>
      </w:pPr>
      <w:r w:rsidRPr="00A42158">
        <w:rPr>
          <w:rFonts w:ascii="Times New Roman" w:eastAsia="Times New Roman" w:hAnsi="Times New Roman" w:cs="Times New Roman"/>
          <w:b/>
          <w:sz w:val="24"/>
          <w:szCs w:val="24"/>
        </w:rPr>
        <w:t>Table 1:</w:t>
      </w:r>
      <w:r w:rsidRPr="00BE4AF3">
        <w:rPr>
          <w:rFonts w:ascii="Times New Roman" w:eastAsia="Times New Roman" w:hAnsi="Times New Roman" w:cs="Times New Roman"/>
          <w:bCs/>
          <w:sz w:val="24"/>
          <w:szCs w:val="24"/>
        </w:rPr>
        <w:t xml:space="preserve"> Economic Contributions of Visual Arts</w:t>
      </w:r>
    </w:p>
    <w:tbl>
      <w:tblPr>
        <w:tblW w:w="0" w:type="auto"/>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2169"/>
        <w:gridCol w:w="3631"/>
        <w:gridCol w:w="3560"/>
      </w:tblGrid>
      <w:tr w:rsidR="00F4410D" w:rsidRPr="00A42158" w14:paraId="3C937000" w14:textId="77777777" w:rsidTr="0014525F">
        <w:trPr>
          <w:tblHeader/>
          <w:tblCellSpacing w:w="15" w:type="dxa"/>
        </w:trPr>
        <w:tc>
          <w:tcPr>
            <w:tcW w:w="0" w:type="auto"/>
            <w:vAlign w:val="center"/>
            <w:hideMark/>
          </w:tcPr>
          <w:p w14:paraId="25BAC607" w14:textId="77777777" w:rsidR="00F4410D" w:rsidRPr="00A42158" w:rsidRDefault="00F4410D" w:rsidP="0014525F">
            <w:pPr>
              <w:spacing w:after="0" w:line="240" w:lineRule="auto"/>
              <w:rPr>
                <w:rFonts w:ascii="Times New Roman" w:eastAsia="Times New Roman" w:hAnsi="Times New Roman" w:cs="Times New Roman"/>
                <w:bCs/>
                <w:sz w:val="20"/>
                <w:szCs w:val="20"/>
              </w:rPr>
            </w:pPr>
            <w:r w:rsidRPr="00A42158">
              <w:rPr>
                <w:rFonts w:ascii="Times New Roman" w:eastAsia="Times New Roman" w:hAnsi="Times New Roman" w:cs="Times New Roman"/>
                <w:bCs/>
                <w:sz w:val="20"/>
                <w:szCs w:val="20"/>
              </w:rPr>
              <w:t>Area of Impact</w:t>
            </w:r>
          </w:p>
        </w:tc>
        <w:tc>
          <w:tcPr>
            <w:tcW w:w="0" w:type="auto"/>
            <w:vAlign w:val="center"/>
            <w:hideMark/>
          </w:tcPr>
          <w:p w14:paraId="094BC94C" w14:textId="77777777" w:rsidR="00F4410D" w:rsidRPr="00A42158" w:rsidRDefault="00F4410D" w:rsidP="0014525F">
            <w:pPr>
              <w:spacing w:after="0" w:line="240" w:lineRule="auto"/>
              <w:rPr>
                <w:rFonts w:ascii="Times New Roman" w:eastAsia="Times New Roman" w:hAnsi="Times New Roman" w:cs="Times New Roman"/>
                <w:bCs/>
                <w:sz w:val="20"/>
                <w:szCs w:val="20"/>
              </w:rPr>
            </w:pPr>
            <w:r w:rsidRPr="00A42158">
              <w:rPr>
                <w:rFonts w:ascii="Times New Roman" w:eastAsia="Times New Roman" w:hAnsi="Times New Roman" w:cs="Times New Roman"/>
                <w:bCs/>
                <w:sz w:val="20"/>
                <w:szCs w:val="20"/>
              </w:rPr>
              <w:t>Contribution</w:t>
            </w:r>
          </w:p>
        </w:tc>
        <w:tc>
          <w:tcPr>
            <w:tcW w:w="0" w:type="auto"/>
            <w:vAlign w:val="center"/>
            <w:hideMark/>
          </w:tcPr>
          <w:p w14:paraId="3B76186A" w14:textId="77777777" w:rsidR="00F4410D" w:rsidRPr="00A42158" w:rsidRDefault="00F4410D" w:rsidP="0014525F">
            <w:pPr>
              <w:spacing w:after="0" w:line="240" w:lineRule="auto"/>
              <w:rPr>
                <w:rFonts w:ascii="Times New Roman" w:eastAsia="Times New Roman" w:hAnsi="Times New Roman" w:cs="Times New Roman"/>
                <w:bCs/>
                <w:sz w:val="20"/>
                <w:szCs w:val="20"/>
              </w:rPr>
            </w:pPr>
            <w:r w:rsidRPr="00A42158">
              <w:rPr>
                <w:rFonts w:ascii="Times New Roman" w:eastAsia="Times New Roman" w:hAnsi="Times New Roman" w:cs="Times New Roman"/>
                <w:bCs/>
                <w:sz w:val="20"/>
                <w:szCs w:val="20"/>
              </w:rPr>
              <w:t>Example/Source</w:t>
            </w:r>
          </w:p>
        </w:tc>
      </w:tr>
      <w:tr w:rsidR="00F4410D" w:rsidRPr="00A42158" w14:paraId="77B82ED3" w14:textId="77777777" w:rsidTr="0014525F">
        <w:trPr>
          <w:tblCellSpacing w:w="15" w:type="dxa"/>
        </w:trPr>
        <w:tc>
          <w:tcPr>
            <w:tcW w:w="0" w:type="auto"/>
            <w:vAlign w:val="center"/>
            <w:hideMark/>
          </w:tcPr>
          <w:p w14:paraId="7F3C9380" w14:textId="77777777" w:rsidR="00F4410D" w:rsidRPr="00A42158" w:rsidRDefault="00F4410D" w:rsidP="0014525F">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Job Creation</w:t>
            </w:r>
          </w:p>
        </w:tc>
        <w:tc>
          <w:tcPr>
            <w:tcW w:w="0" w:type="auto"/>
            <w:vAlign w:val="center"/>
            <w:hideMark/>
          </w:tcPr>
          <w:p w14:paraId="51F39E18" w14:textId="77777777" w:rsidR="00F4410D" w:rsidRPr="00A42158" w:rsidRDefault="00F4410D" w:rsidP="0014525F">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30+ million employed globally in culture sector</w:t>
            </w:r>
          </w:p>
        </w:tc>
        <w:tc>
          <w:tcPr>
            <w:tcW w:w="0" w:type="auto"/>
            <w:vAlign w:val="center"/>
            <w:hideMark/>
          </w:tcPr>
          <w:p w14:paraId="0A04DDA8" w14:textId="77777777" w:rsidR="00F4410D" w:rsidRPr="00A42158" w:rsidRDefault="00F4410D" w:rsidP="0014525F">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UNESCO, 2022</w:t>
            </w:r>
          </w:p>
        </w:tc>
      </w:tr>
      <w:tr w:rsidR="00F4410D" w:rsidRPr="00A42158" w14:paraId="5C8684CA" w14:textId="77777777" w:rsidTr="0014525F">
        <w:trPr>
          <w:tblCellSpacing w:w="15" w:type="dxa"/>
        </w:trPr>
        <w:tc>
          <w:tcPr>
            <w:tcW w:w="0" w:type="auto"/>
            <w:vAlign w:val="center"/>
            <w:hideMark/>
          </w:tcPr>
          <w:p w14:paraId="6FE948B7" w14:textId="77777777" w:rsidR="00F4410D" w:rsidRPr="00A42158" w:rsidRDefault="00F4410D" w:rsidP="0014525F">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Waste Reduction</w:t>
            </w:r>
          </w:p>
        </w:tc>
        <w:tc>
          <w:tcPr>
            <w:tcW w:w="0" w:type="auto"/>
            <w:vAlign w:val="center"/>
            <w:hideMark/>
          </w:tcPr>
          <w:p w14:paraId="63977C41" w14:textId="77777777" w:rsidR="00F4410D" w:rsidRPr="00A42158" w:rsidRDefault="00F4410D" w:rsidP="0014525F">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Recycled art from plastics and metals</w:t>
            </w:r>
          </w:p>
        </w:tc>
        <w:tc>
          <w:tcPr>
            <w:tcW w:w="0" w:type="auto"/>
            <w:vAlign w:val="center"/>
            <w:hideMark/>
          </w:tcPr>
          <w:p w14:paraId="4586B97B" w14:textId="77777777" w:rsidR="00F4410D" w:rsidRPr="00A42158" w:rsidRDefault="00F4410D" w:rsidP="0014525F">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El Anatsui, Nigeria</w:t>
            </w:r>
          </w:p>
        </w:tc>
      </w:tr>
      <w:tr w:rsidR="00F4410D" w:rsidRPr="00A42158" w14:paraId="4D534DE3" w14:textId="77777777" w:rsidTr="0014525F">
        <w:trPr>
          <w:tblCellSpacing w:w="15" w:type="dxa"/>
        </w:trPr>
        <w:tc>
          <w:tcPr>
            <w:tcW w:w="0" w:type="auto"/>
            <w:vAlign w:val="center"/>
            <w:hideMark/>
          </w:tcPr>
          <w:p w14:paraId="2FA122CF" w14:textId="77777777" w:rsidR="00F4410D" w:rsidRPr="00A42158" w:rsidRDefault="00F4410D" w:rsidP="0014525F">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Art Tourism</w:t>
            </w:r>
          </w:p>
        </w:tc>
        <w:tc>
          <w:tcPr>
            <w:tcW w:w="0" w:type="auto"/>
            <w:vAlign w:val="center"/>
            <w:hideMark/>
          </w:tcPr>
          <w:p w14:paraId="53C1287A" w14:textId="77777777" w:rsidR="00F4410D" w:rsidRPr="00A42158" w:rsidRDefault="00F4410D" w:rsidP="0014525F">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Visitors attracted to eco-art installations</w:t>
            </w:r>
          </w:p>
        </w:tc>
        <w:tc>
          <w:tcPr>
            <w:tcW w:w="0" w:type="auto"/>
            <w:vAlign w:val="center"/>
            <w:hideMark/>
          </w:tcPr>
          <w:p w14:paraId="343AC2E3" w14:textId="77777777" w:rsidR="00F4410D" w:rsidRPr="00A42158" w:rsidRDefault="00F4410D" w:rsidP="0014525F">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Cape Town’s Zeitz MOCAA, Washed Ashore</w:t>
            </w:r>
          </w:p>
        </w:tc>
      </w:tr>
      <w:tr w:rsidR="00F4410D" w:rsidRPr="00A42158" w14:paraId="3151D817" w14:textId="77777777" w:rsidTr="0014525F">
        <w:trPr>
          <w:tblCellSpacing w:w="15" w:type="dxa"/>
        </w:trPr>
        <w:tc>
          <w:tcPr>
            <w:tcW w:w="0" w:type="auto"/>
            <w:vAlign w:val="center"/>
            <w:hideMark/>
          </w:tcPr>
          <w:p w14:paraId="0FDFEBFD" w14:textId="77777777" w:rsidR="00F4410D" w:rsidRPr="00A42158" w:rsidRDefault="00F4410D" w:rsidP="0014525F">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Community Empowerment</w:t>
            </w:r>
          </w:p>
        </w:tc>
        <w:tc>
          <w:tcPr>
            <w:tcW w:w="0" w:type="auto"/>
            <w:vAlign w:val="center"/>
            <w:hideMark/>
          </w:tcPr>
          <w:p w14:paraId="1C6CF951" w14:textId="77777777" w:rsidR="00F4410D" w:rsidRPr="00A42158" w:rsidRDefault="00F4410D" w:rsidP="0014525F">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Youth &amp; artisans trained in green art skills</w:t>
            </w:r>
          </w:p>
        </w:tc>
        <w:tc>
          <w:tcPr>
            <w:tcW w:w="0" w:type="auto"/>
            <w:vAlign w:val="center"/>
            <w:hideMark/>
          </w:tcPr>
          <w:p w14:paraId="1BA558F1" w14:textId="77777777" w:rsidR="00F4410D" w:rsidRPr="00A42158" w:rsidRDefault="00F4410D" w:rsidP="0014525F">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Trash-to-Treasure Festival, Ghana</w:t>
            </w:r>
          </w:p>
        </w:tc>
      </w:tr>
    </w:tbl>
    <w:p w14:paraId="2BDBA939" w14:textId="77777777" w:rsidR="00F4410D" w:rsidRPr="00BE4AF3" w:rsidRDefault="00F4410D" w:rsidP="00F4410D">
      <w:pPr>
        <w:spacing w:before="240"/>
        <w:jc w:val="both"/>
        <w:rPr>
          <w:rFonts w:ascii="Times New Roman" w:eastAsia="Times New Roman" w:hAnsi="Times New Roman" w:cs="Times New Roman"/>
          <w:i/>
          <w:iCs/>
          <w:sz w:val="24"/>
          <w:szCs w:val="24"/>
        </w:rPr>
      </w:pPr>
      <w:r w:rsidRPr="00BE4AF3">
        <w:rPr>
          <w:rFonts w:ascii="Times New Roman" w:eastAsia="Times New Roman" w:hAnsi="Times New Roman" w:cs="Times New Roman"/>
          <w:bCs/>
          <w:sz w:val="24"/>
          <w:szCs w:val="24"/>
        </w:rPr>
        <w:t>“The creative economy is highly transformative in terms of income generation, job creation and export earnings.”</w:t>
      </w:r>
      <w:r w:rsidRPr="00BE4AF3">
        <w:rPr>
          <w:rFonts w:ascii="Times New Roman" w:eastAsia="Times New Roman" w:hAnsi="Times New Roman" w:cs="Times New Roman"/>
          <w:sz w:val="24"/>
          <w:szCs w:val="24"/>
        </w:rPr>
        <w:t xml:space="preserve"> — </w:t>
      </w:r>
      <w:r w:rsidRPr="00BE4AF3">
        <w:rPr>
          <w:rFonts w:ascii="Times New Roman" w:eastAsia="Times New Roman" w:hAnsi="Times New Roman" w:cs="Times New Roman"/>
          <w:i/>
          <w:iCs/>
          <w:sz w:val="24"/>
          <w:szCs w:val="24"/>
        </w:rPr>
        <w:t>UNCTAD, 2022</w:t>
      </w:r>
    </w:p>
    <w:p w14:paraId="24F7B265" w14:textId="77777777" w:rsidR="00F4410D" w:rsidRPr="00BE4AF3" w:rsidRDefault="00F4410D" w:rsidP="00F4410D">
      <w:pPr>
        <w:spacing w:before="240" w:after="0"/>
        <w:jc w:val="both"/>
        <w:outlineLvl w:val="1"/>
        <w:rPr>
          <w:rFonts w:ascii="Times New Roman" w:eastAsia="Times New Roman" w:hAnsi="Times New Roman" w:cs="Times New Roman"/>
          <w:b/>
          <w:bCs/>
          <w:sz w:val="24"/>
          <w:szCs w:val="24"/>
        </w:rPr>
      </w:pPr>
      <w:r w:rsidRPr="00BE4AF3">
        <w:rPr>
          <w:rFonts w:ascii="Times New Roman" w:eastAsia="Times New Roman" w:hAnsi="Times New Roman" w:cs="Times New Roman"/>
          <w:b/>
          <w:bCs/>
          <w:sz w:val="24"/>
          <w:szCs w:val="24"/>
        </w:rPr>
        <w:t>Visual Art's Role in Building a Sustainable Future</w:t>
      </w:r>
    </w:p>
    <w:p w14:paraId="4D83997E" w14:textId="77777777" w:rsidR="00F4410D" w:rsidRPr="00BE4AF3"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Visual art's contribution to a sustainable future extends beyond economic metrics, deeply influencing environmental awareness, promoting eco-conscious practices, fostering community resilience, and preserving cultural heritage.</w:t>
      </w:r>
      <w:r w:rsidRPr="00BE4AF3">
        <w:rPr>
          <w:rFonts w:ascii="Times New Roman" w:eastAsia="Times New Roman" w:hAnsi="Times New Roman" w:cs="Times New Roman"/>
          <w:i/>
          <w:iCs/>
          <w:sz w:val="24"/>
          <w:szCs w:val="24"/>
        </w:rPr>
        <w:t xml:space="preserve"> “We turn plastic pollution into powerful art to educate a global audience about ocean health and inspire change.”</w:t>
      </w:r>
      <w:r w:rsidRPr="00BE4AF3">
        <w:rPr>
          <w:rFonts w:ascii="Times New Roman" w:eastAsia="Times New Roman" w:hAnsi="Times New Roman" w:cs="Times New Roman"/>
          <w:sz w:val="24"/>
          <w:szCs w:val="24"/>
        </w:rPr>
        <w:t>— Angela Haseltine Pozzi, Founder, Washed Ashore 2020.</w:t>
      </w:r>
    </w:p>
    <w:p w14:paraId="4CA45795" w14:textId="77777777" w:rsidR="00F4410D" w:rsidRPr="00BE4AF3"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Visual art is a potent tool for raising environmental awareness. It possesses a unique ability to communicate complex issues in accessible and emotionally engaging ways, often proving more impactful than purely scientific reports. Artists utilize various forms to depict the beauty of nature and the devastating effects of environmental degradation, thereby sparking conversations and encouraging individuals to learn more and take action. Photography, for example, captures the stark realities of deforestation, pollution, and melting glaciers, while sculpture transforms recycled materials into thought-provoking pieces commenting on waste and consumerism. Paintings can depict landscapes ravaged by climate change, serving as visual warnings. </w:t>
      </w:r>
      <w:r w:rsidRPr="00BE4AF3">
        <w:rPr>
          <w:rFonts w:ascii="Times New Roman" w:eastAsia="Times New Roman" w:hAnsi="Times New Roman" w:cs="Times New Roman"/>
          <w:i/>
          <w:iCs/>
          <w:sz w:val="24"/>
          <w:szCs w:val="24"/>
        </w:rPr>
        <w:t>“Eco-art challenges the dominant economic paradigms by reshaping how we value materials, waste, and beauty.”</w:t>
      </w:r>
      <w:r w:rsidRPr="00BE4AF3">
        <w:rPr>
          <w:rFonts w:ascii="Times New Roman" w:eastAsia="Times New Roman" w:hAnsi="Times New Roman" w:cs="Times New Roman"/>
          <w:sz w:val="24"/>
          <w:szCs w:val="24"/>
        </w:rPr>
        <w:t xml:space="preserve">— Laura B. Tedesco, 2021  </w:t>
      </w:r>
    </w:p>
    <w:p w14:paraId="57C0BCAE" w14:textId="77777777" w:rsidR="00F4410D" w:rsidRPr="00BE4AF3"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Beyond subject matter, artists and institutions are increasingly adopting sustainable practices in their creative processes. This involves making conscious choices about materials, techniques, and </w:t>
      </w:r>
      <w:r w:rsidRPr="00BE4AF3">
        <w:rPr>
          <w:rFonts w:ascii="Times New Roman" w:eastAsia="Times New Roman" w:hAnsi="Times New Roman" w:cs="Times New Roman"/>
          <w:sz w:val="24"/>
          <w:szCs w:val="24"/>
        </w:rPr>
        <w:lastRenderedPageBreak/>
        <w:t xml:space="preserve">waste management. Examples include using recycled materials, opting for non-toxic paints and inks, and minimizing waste during the creative process. The visual arts sector itself is actively working towards greater environmental responsibility. Organizations like Partners for Arts Climate Targets (PACT) are international coalitions dedicated to accelerating the sector's adoption of collective climate action, focusing on continuous Greenhouse Gas Emission Reduction, transitioning to a Zero Waste Sector, and unifying visions for climate action. The Gallery Climate Coalition (GCC), a PACT member, aims to reduce the commercial art sector's carbon footprint by at least 50% by 2030, aligning with the Paris Agreement, and provides practical tools like carbon calculators for its members. This demonstrates a maturing understanding within the visual arts of its own environmental footprint and a proactive commitment to developing internal standards for sustainability.   </w:t>
      </w:r>
    </w:p>
    <w:p w14:paraId="192BABD9" w14:textId="77777777" w:rsidR="00A42158"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Environmental art significantly contributes to community resilience by engaging with the psychological and sociological dimensions of environmental challenges. Environmental issues, such as climate change and local pollution, can evoke feelings of anxiety, helplessness, and grief within communities. Environmental art provides a safe and constructive outlet for these emotions, facilitating collective mourning and healing. For instance, a community performance piece reflecting on experiences of environmental loss can transform individual anxieties into shared understanding and communal strength. This indicates that visual art is evolving from a passive reflector of issues to an active agent of change, building the psychological resilience necessary for communities to adapt to environmental challenges.  </w:t>
      </w:r>
    </w:p>
    <w:p w14:paraId="181338FA" w14:textId="7678F3BE" w:rsidR="00F4410D" w:rsidRPr="00BE4AF3"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 </w:t>
      </w:r>
    </w:p>
    <w:p w14:paraId="347D9986" w14:textId="77777777" w:rsidR="00F4410D" w:rsidRPr="00BE4AF3" w:rsidRDefault="00F4410D" w:rsidP="00F4410D">
      <w:pPr>
        <w:spacing w:after="0"/>
        <w:jc w:val="both"/>
        <w:outlineLvl w:val="2"/>
        <w:rPr>
          <w:rFonts w:ascii="Times New Roman" w:eastAsia="Times New Roman" w:hAnsi="Times New Roman" w:cs="Times New Roman"/>
          <w:b/>
          <w:bCs/>
          <w:sz w:val="24"/>
          <w:szCs w:val="24"/>
        </w:rPr>
      </w:pPr>
      <w:r w:rsidRPr="00BE4AF3">
        <w:rPr>
          <w:rFonts w:ascii="Times New Roman" w:eastAsia="Times New Roman" w:hAnsi="Times New Roman" w:cs="Times New Roman"/>
          <w:b/>
          <w:bCs/>
          <w:sz w:val="24"/>
          <w:szCs w:val="24"/>
        </w:rPr>
        <w:t>Funding Mechanisms and Financial Sustainability</w:t>
      </w:r>
    </w:p>
    <w:p w14:paraId="4891AA06" w14:textId="77777777" w:rsidR="00A42158"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Cultural and creative urban revitalization projects are often expensive and lengthy undertakings, requiring diverse and stable funding mechanisms to ensure their financial sustainability. Reliance solely on initial allocated budgets is insufficient, as ongoing running costs and shifting political priorities can pose significant challenges. Successful projects typically diversify funding sources, drawing from different levels of government (local, state, federal) and the private sector. Bringing in non-government funding, such as contributions from market traders or private investment, significantly enhances financial stability. Indirect funding mechanisms, such as tax reductions and subsidies, can also be instrumental in attracting creative businesses and fostering development. While public funding remains dominant for culture, leading to dependencies on its cyclical nature and specific grant rules, the social economy offers alternative financing for non-market, niche ventures, fostering a more equitable and sustainable creative ecosystem. However, this also presents challenges, including the need to protect intellectual property rights and navigate competition with commercially driven content that might displace culturally valuable work. The impact of artificial intelligence also poses a risk to the quality and cultural value of content, as it cannot fully replace human creativity.  </w:t>
      </w:r>
    </w:p>
    <w:p w14:paraId="51778731" w14:textId="3B6C65FF" w:rsidR="00F4410D" w:rsidRPr="00BE4AF3" w:rsidRDefault="00F4410D" w:rsidP="00F4410D">
      <w:pPr>
        <w:spacing w:after="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 </w:t>
      </w:r>
    </w:p>
    <w:p w14:paraId="718A30A6" w14:textId="77777777" w:rsidR="00F4410D" w:rsidRPr="00BE4AF3" w:rsidRDefault="00F4410D" w:rsidP="00F4410D">
      <w:pPr>
        <w:spacing w:after="0"/>
        <w:jc w:val="both"/>
        <w:outlineLvl w:val="1"/>
        <w:rPr>
          <w:rFonts w:ascii="Times New Roman" w:eastAsia="Times New Roman" w:hAnsi="Times New Roman" w:cs="Times New Roman"/>
          <w:b/>
          <w:bCs/>
          <w:sz w:val="24"/>
          <w:szCs w:val="24"/>
        </w:rPr>
      </w:pPr>
      <w:r w:rsidRPr="00BE4AF3">
        <w:rPr>
          <w:rFonts w:ascii="Times New Roman" w:eastAsia="Times New Roman" w:hAnsi="Times New Roman" w:cs="Times New Roman"/>
          <w:b/>
          <w:bCs/>
          <w:sz w:val="24"/>
          <w:szCs w:val="24"/>
        </w:rPr>
        <w:t>Opportunities and Challenges in Advancing Visual Art's Impact</w:t>
      </w:r>
    </w:p>
    <w:p w14:paraId="5D7945F1" w14:textId="77777777" w:rsidR="00F4410D" w:rsidRPr="00BE4AF3"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The trajectory of visual art's impact on economic growth and sustainable development is shaped by a dynamic interplay of emerging opportunities and persistent challenges. Digitalization presents transformative opportunities for the arts and creative industries. Technological advancements have enabled new forms of cultural content creation and dissemination, democratizing access to creative resources. The concept of "presumption" is flourishing, where consumers not only engage with cultural content but also actively contribute to its creation, blurring the lines between producer and recipient and expanding access to culture for a wider audience. The convergence of arts and </w:t>
      </w:r>
      <w:r w:rsidRPr="00BE4AF3">
        <w:rPr>
          <w:rFonts w:ascii="Times New Roman" w:eastAsia="Times New Roman" w:hAnsi="Times New Roman" w:cs="Times New Roman"/>
          <w:sz w:val="24"/>
          <w:szCs w:val="24"/>
        </w:rPr>
        <w:lastRenderedPageBreak/>
        <w:t xml:space="preserve">creative industries with the sharing and social economies, driven by digitalization, opens new avenues for creative production, distribution, and engagement, challenging traditional models and fostering innovative approaches. This includes alternative digital platforms and peer-to-peer marketplaces that allow artists to bypass traditional intermediaries and retain greater control over their work.   </w:t>
      </w:r>
    </w:p>
    <w:p w14:paraId="107D0F49" w14:textId="77777777" w:rsidR="00F4410D"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The social economy, emphasizing social impact, community ownership, and ethical practices, offers a potentially transformative framework for the development of art and creative industries. It mobilizes social capital, fostering networks for creative projects and providing financing for niche ventures that might not succeed in market-driven environments </w:t>
      </w:r>
    </w:p>
    <w:p w14:paraId="30281440" w14:textId="77777777" w:rsidR="00A42158" w:rsidRPr="00BE4AF3" w:rsidRDefault="00A42158" w:rsidP="00A42158">
      <w:pPr>
        <w:spacing w:after="0" w:line="240" w:lineRule="auto"/>
        <w:jc w:val="both"/>
        <w:rPr>
          <w:rFonts w:ascii="Times New Roman" w:eastAsia="Times New Roman" w:hAnsi="Times New Roman" w:cs="Times New Roman"/>
          <w:sz w:val="24"/>
          <w:szCs w:val="24"/>
        </w:rPr>
      </w:pPr>
    </w:p>
    <w:p w14:paraId="28C02A1B" w14:textId="77777777" w:rsidR="00F4410D" w:rsidRPr="00BE4AF3" w:rsidRDefault="00F4410D" w:rsidP="00F4410D">
      <w:pPr>
        <w:spacing w:after="0"/>
        <w:jc w:val="both"/>
        <w:outlineLvl w:val="1"/>
        <w:rPr>
          <w:rFonts w:ascii="Times New Roman" w:eastAsia="Times New Roman" w:hAnsi="Times New Roman" w:cs="Times New Roman"/>
          <w:b/>
          <w:bCs/>
          <w:sz w:val="24"/>
          <w:szCs w:val="24"/>
        </w:rPr>
      </w:pPr>
      <w:r w:rsidRPr="00BE4AF3">
        <w:rPr>
          <w:rFonts w:ascii="Times New Roman" w:eastAsia="Times New Roman" w:hAnsi="Times New Roman" w:cs="Times New Roman"/>
          <w:b/>
          <w:bCs/>
          <w:sz w:val="24"/>
          <w:szCs w:val="24"/>
        </w:rPr>
        <w:t>Navigating Challenges and Seizing Opportunities</w:t>
      </w:r>
    </w:p>
    <w:p w14:paraId="6F1C0554" w14:textId="77777777" w:rsidR="00F4410D"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Despite its immense potential for environmental advocacy and positive impact, the art market itself grapples with significant sustainability challenges inherent in its operational practices. The production of art materials frequently involves toxic chemicals and relies on unsustainable sourcing of raw materials, contributing to environmental degradation. Furthermore, the transportation and shipping of artworks, particularly the prevalent use of air freight, contribute substantially to global carbon emissions. This is compounded by the extensive use of non-recyclable packaging materials like plastic and foam. International art fairs and exhibitions, while economically beneficial, exacerbate this carbon footprint through the vast distances traveled by artworks and visitors alike. The operation of galleries, museums, and storage facilities is also highly energy-intensive, requiring precise climate control, lighting, and significant construction materials. Waste management remains a concern, as many art materials are not easily recyclable or biodegradable, contributing to landfill waste. This presents a significant paradox where the art market, which often champions environmental causes, simultaneously contributes to environmental degradation through its own operations. </w:t>
      </w:r>
    </w:p>
    <w:p w14:paraId="48DB9174" w14:textId="77777777" w:rsidR="00A42158" w:rsidRPr="00BE4AF3" w:rsidRDefault="00A42158" w:rsidP="00A42158">
      <w:pPr>
        <w:spacing w:after="0" w:line="240" w:lineRule="auto"/>
        <w:jc w:val="both"/>
        <w:rPr>
          <w:rFonts w:ascii="Times New Roman" w:eastAsia="Times New Roman" w:hAnsi="Times New Roman" w:cs="Times New Roman"/>
          <w:sz w:val="24"/>
          <w:szCs w:val="24"/>
        </w:rPr>
      </w:pPr>
    </w:p>
    <w:p w14:paraId="21055836" w14:textId="77777777" w:rsidR="00F4410D" w:rsidRPr="00BE4AF3" w:rsidRDefault="00F4410D" w:rsidP="00A42158">
      <w:pPr>
        <w:spacing w:after="0" w:line="240" w:lineRule="auto"/>
        <w:jc w:val="both"/>
        <w:outlineLvl w:val="1"/>
        <w:rPr>
          <w:rFonts w:ascii="Times New Roman" w:eastAsia="Times New Roman" w:hAnsi="Times New Roman" w:cs="Times New Roman"/>
          <w:b/>
          <w:bCs/>
          <w:sz w:val="24"/>
          <w:szCs w:val="24"/>
        </w:rPr>
      </w:pPr>
      <w:r w:rsidRPr="00BE4AF3">
        <w:rPr>
          <w:rFonts w:ascii="Times New Roman" w:eastAsia="Times New Roman" w:hAnsi="Times New Roman" w:cs="Times New Roman"/>
          <w:b/>
          <w:bCs/>
          <w:sz w:val="24"/>
          <w:szCs w:val="24"/>
        </w:rPr>
        <w:t>Conceptualizing Sustainable Environmental Development</w:t>
      </w:r>
    </w:p>
    <w:p w14:paraId="6515CA49" w14:textId="77777777" w:rsidR="00F4410D" w:rsidRPr="00BE4AF3"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The foundational understanding of sustainability, as articulated by the United Nations Brundtland Commission, centers on the principle of "meeting the needs of the present without compromising the ability of future generations to meet their own needs". This definition underscores a critical requirement for an integrated approach that considers environmental concerns, economic development, and social equity simultaneously, rather than in isolation.   </w:t>
      </w:r>
    </w:p>
    <w:p w14:paraId="0FFE34FB" w14:textId="2A3E285C" w:rsidR="00F4410D" w:rsidRPr="00BE4AF3"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Academic frameworks further elaborate on this concept, proposing five fundamental domains for sustainability: Material, Economic, Life, Social, and Spiritual. These domains are interconnected and operate in a "dynamic equilibrium" between human populations and the environment's carrying capacity. Key operational implications include striving for the highest resource productivity, employing regenerative energy sources, and promoting a closed-loop flow of materials within a planetary production infrastructure. This consistent emphasis on an integrated approach and the systemic nature of these domains reveals that sustainability is fundamentally about interdependence. It is not merely a question of environmental </w:t>
      </w:r>
      <w:r w:rsidR="00A42158" w:rsidRPr="00BE4AF3">
        <w:rPr>
          <w:rFonts w:ascii="Times New Roman" w:eastAsia="Times New Roman" w:hAnsi="Times New Roman" w:cs="Times New Roman"/>
          <w:sz w:val="24"/>
          <w:szCs w:val="24"/>
        </w:rPr>
        <w:t>protection or</w:t>
      </w:r>
      <w:r w:rsidRPr="00BE4AF3">
        <w:rPr>
          <w:rFonts w:ascii="Times New Roman" w:eastAsia="Times New Roman" w:hAnsi="Times New Roman" w:cs="Times New Roman"/>
          <w:sz w:val="24"/>
          <w:szCs w:val="24"/>
        </w:rPr>
        <w:t xml:space="preserve"> economic growth, but rather how these elements mutually support each other to create a holistic and enduring future. This comprehensive perspective is crucial for understanding how visual arts, with their multifaceted impacts spanning economic, social, and environmental dimensions, can effectively contribute to a truly sustainable future. Visual arts possess a unique and profound capacity to influence environmental attitudes by translating complex ecological issues into accessible and emotionally resonant forms. This influence operates through distinct cognitive, affective, and </w:t>
      </w:r>
      <w:r w:rsidRPr="00BE4AF3">
        <w:rPr>
          <w:rFonts w:ascii="Times New Roman" w:eastAsia="Times New Roman" w:hAnsi="Times New Roman" w:cs="Times New Roman"/>
          <w:sz w:val="24"/>
          <w:szCs w:val="24"/>
        </w:rPr>
        <w:lastRenderedPageBreak/>
        <w:t xml:space="preserve">behavioral pathways. Emotionally resonant photography of environmental destruction or breathtaking natural beauty can powerfully trigger feelings of moral obligation and personal responsibility, moving individuals beyond abstract understanding to a deeper, visceral connection with environmental issues.   </w:t>
      </w:r>
    </w:p>
    <w:p w14:paraId="26432839" w14:textId="77777777" w:rsidR="00F4410D" w:rsidRPr="00BE4AF3" w:rsidRDefault="00F4410D" w:rsidP="00A42158">
      <w:pPr>
        <w:spacing w:after="0" w:line="240" w:lineRule="auto"/>
        <w:jc w:val="both"/>
        <w:rPr>
          <w:rFonts w:ascii="Times New Roman" w:eastAsia="Times New Roman" w:hAnsi="Times New Roman" w:cs="Times New Roman"/>
          <w:sz w:val="24"/>
          <w:szCs w:val="24"/>
        </w:rPr>
      </w:pPr>
    </w:p>
    <w:p w14:paraId="796ADE88" w14:textId="77777777" w:rsidR="00F4410D" w:rsidRPr="00BE4AF3" w:rsidRDefault="00F4410D" w:rsidP="00A42158">
      <w:pPr>
        <w:spacing w:after="0" w:line="240" w:lineRule="auto"/>
        <w:jc w:val="both"/>
        <w:outlineLvl w:val="2"/>
        <w:rPr>
          <w:rFonts w:ascii="Times New Roman" w:eastAsia="Times New Roman" w:hAnsi="Times New Roman" w:cs="Times New Roman"/>
          <w:b/>
          <w:bCs/>
          <w:sz w:val="24"/>
          <w:szCs w:val="24"/>
        </w:rPr>
      </w:pPr>
      <w:r w:rsidRPr="00BE4AF3">
        <w:rPr>
          <w:rFonts w:ascii="Times New Roman" w:eastAsia="Times New Roman" w:hAnsi="Times New Roman" w:cs="Times New Roman"/>
          <w:b/>
          <w:bCs/>
          <w:sz w:val="24"/>
          <w:szCs w:val="24"/>
        </w:rPr>
        <w:t>Eco-Art in Action: Case Studies of Visual Art Projects Contributing to Environmental Restoration and Urban Sustainability.</w:t>
      </w:r>
    </w:p>
    <w:p w14:paraId="13E800B8" w14:textId="77777777" w:rsidR="00F4410D"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Eco-art projects are actively demonstrating their capacity to contribute tangibly to environmental restoration and urban sustainability, moving beyond mere awareness-raising to direct ecological and economic benefits. This includes diverse interventions such as community-led mural projects utilizing recycled materials, the creation of sculptural parks from reclaimed industrial waste, and art installations designed to function as artificial reefs or to restore wetlands – Peter S.J 2015. These initiatives often serve as catalysts for economic revitalization, transforming neglected urban or rural areas into vibrant cultural hubs that boost local businesses and attract visitors. </w:t>
      </w:r>
    </w:p>
    <w:p w14:paraId="492CB5FC" w14:textId="77777777" w:rsidR="00A42158" w:rsidRPr="00BE4AF3" w:rsidRDefault="00A42158" w:rsidP="00A42158">
      <w:pPr>
        <w:spacing w:after="0" w:line="240" w:lineRule="auto"/>
        <w:jc w:val="both"/>
        <w:rPr>
          <w:rFonts w:ascii="Times New Roman" w:eastAsia="Times New Roman" w:hAnsi="Times New Roman" w:cs="Times New Roman"/>
          <w:sz w:val="24"/>
          <w:szCs w:val="24"/>
        </w:rPr>
      </w:pPr>
    </w:p>
    <w:p w14:paraId="46704951" w14:textId="77777777" w:rsidR="00F4410D" w:rsidRPr="00BE4AF3" w:rsidRDefault="00F4410D" w:rsidP="00A42158">
      <w:pPr>
        <w:spacing w:after="0" w:line="240" w:lineRule="auto"/>
        <w:jc w:val="both"/>
        <w:rPr>
          <w:rFonts w:ascii="Times New Roman" w:eastAsia="Times New Roman" w:hAnsi="Times New Roman" w:cs="Times New Roman"/>
          <w:sz w:val="24"/>
          <w:szCs w:val="24"/>
        </w:rPr>
      </w:pPr>
      <w:r w:rsidRPr="00A42158">
        <w:rPr>
          <w:rFonts w:ascii="Times New Roman" w:eastAsia="Times New Roman" w:hAnsi="Times New Roman" w:cs="Times New Roman"/>
          <w:b/>
          <w:sz w:val="24"/>
          <w:szCs w:val="24"/>
        </w:rPr>
        <w:t>Table 2:</w:t>
      </w:r>
      <w:r w:rsidRPr="00BE4AF3">
        <w:rPr>
          <w:rFonts w:ascii="Times New Roman" w:eastAsia="Times New Roman" w:hAnsi="Times New Roman" w:cs="Times New Roman"/>
          <w:bCs/>
          <w:sz w:val="24"/>
          <w:szCs w:val="24"/>
        </w:rPr>
        <w:t xml:space="preserve"> Illustrative Examples of Visual Arts' Impact on Environmental Development</w:t>
      </w:r>
    </w:p>
    <w:tbl>
      <w:tblPr>
        <w:tblW w:w="0" w:type="auto"/>
        <w:jc w:val="center"/>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644"/>
        <w:gridCol w:w="3026"/>
        <w:gridCol w:w="3766"/>
        <w:gridCol w:w="924"/>
      </w:tblGrid>
      <w:tr w:rsidR="00F4410D" w:rsidRPr="00A42158" w14:paraId="74A7BB2C" w14:textId="77777777" w:rsidTr="00A42158">
        <w:trPr>
          <w:tblHeader/>
          <w:tblCellSpacing w:w="15" w:type="dxa"/>
          <w:jc w:val="center"/>
        </w:trPr>
        <w:tc>
          <w:tcPr>
            <w:tcW w:w="0" w:type="auto"/>
            <w:vAlign w:val="center"/>
            <w:hideMark/>
          </w:tcPr>
          <w:p w14:paraId="5CB98449"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Type of Impact</w:t>
            </w:r>
          </w:p>
        </w:tc>
        <w:tc>
          <w:tcPr>
            <w:tcW w:w="0" w:type="auto"/>
            <w:vAlign w:val="center"/>
            <w:hideMark/>
          </w:tcPr>
          <w:p w14:paraId="5414D8E2"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Example Project/Initiative</w:t>
            </w:r>
          </w:p>
        </w:tc>
        <w:tc>
          <w:tcPr>
            <w:tcW w:w="0" w:type="auto"/>
            <w:vAlign w:val="center"/>
            <w:hideMark/>
          </w:tcPr>
          <w:p w14:paraId="3ED13350"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Key Contribution to Sustainability</w:t>
            </w:r>
          </w:p>
        </w:tc>
        <w:tc>
          <w:tcPr>
            <w:tcW w:w="0" w:type="auto"/>
            <w:vAlign w:val="center"/>
            <w:hideMark/>
          </w:tcPr>
          <w:p w14:paraId="7AAA5C66" w14:textId="77777777" w:rsidR="00F4410D" w:rsidRPr="00A42158" w:rsidRDefault="00F4410D" w:rsidP="00A42158">
            <w:pPr>
              <w:spacing w:after="0" w:line="240" w:lineRule="auto"/>
              <w:jc w:val="both"/>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Source Snippet</w:t>
            </w:r>
          </w:p>
        </w:tc>
      </w:tr>
      <w:tr w:rsidR="00F4410D" w:rsidRPr="00A42158" w14:paraId="62B3DFA8" w14:textId="77777777" w:rsidTr="00A42158">
        <w:trPr>
          <w:tblCellSpacing w:w="15" w:type="dxa"/>
          <w:jc w:val="center"/>
        </w:trPr>
        <w:tc>
          <w:tcPr>
            <w:tcW w:w="0" w:type="auto"/>
            <w:vAlign w:val="center"/>
            <w:hideMark/>
          </w:tcPr>
          <w:p w14:paraId="61C48C94"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bCs/>
                <w:sz w:val="20"/>
                <w:szCs w:val="20"/>
              </w:rPr>
              <w:t>Awareness &amp; Education</w:t>
            </w:r>
          </w:p>
        </w:tc>
        <w:tc>
          <w:tcPr>
            <w:tcW w:w="0" w:type="auto"/>
            <w:vAlign w:val="center"/>
            <w:hideMark/>
          </w:tcPr>
          <w:p w14:paraId="4C5204DF"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Chris Jordan's Photography Series (e.g., plastic consumption)</w:t>
            </w:r>
          </w:p>
        </w:tc>
        <w:tc>
          <w:tcPr>
            <w:tcW w:w="0" w:type="auto"/>
            <w:vAlign w:val="center"/>
            <w:hideMark/>
          </w:tcPr>
          <w:p w14:paraId="0191C990"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Visceral depiction of environmental destruction, raising awareness and inspiring action.</w:t>
            </w:r>
          </w:p>
        </w:tc>
        <w:tc>
          <w:tcPr>
            <w:tcW w:w="0" w:type="auto"/>
            <w:vAlign w:val="center"/>
            <w:hideMark/>
          </w:tcPr>
          <w:p w14:paraId="50EE5807" w14:textId="77777777" w:rsidR="00F4410D" w:rsidRPr="00A42158" w:rsidRDefault="00F4410D" w:rsidP="00A42158">
            <w:pPr>
              <w:spacing w:after="0" w:line="240" w:lineRule="auto"/>
              <w:jc w:val="both"/>
              <w:rPr>
                <w:rFonts w:ascii="Times New Roman" w:eastAsia="Times New Roman" w:hAnsi="Times New Roman" w:cs="Times New Roman"/>
                <w:sz w:val="20"/>
                <w:szCs w:val="20"/>
              </w:rPr>
            </w:pPr>
          </w:p>
        </w:tc>
      </w:tr>
      <w:tr w:rsidR="00F4410D" w:rsidRPr="00A42158" w14:paraId="22B7F699" w14:textId="77777777" w:rsidTr="00A42158">
        <w:trPr>
          <w:tblCellSpacing w:w="15" w:type="dxa"/>
          <w:jc w:val="center"/>
        </w:trPr>
        <w:tc>
          <w:tcPr>
            <w:tcW w:w="0" w:type="auto"/>
            <w:vAlign w:val="center"/>
            <w:hideMark/>
          </w:tcPr>
          <w:p w14:paraId="2998108A" w14:textId="77777777" w:rsidR="00F4410D" w:rsidRPr="00A42158" w:rsidRDefault="00F4410D" w:rsidP="00A42158">
            <w:pPr>
              <w:spacing w:after="0" w:line="240" w:lineRule="auto"/>
              <w:rPr>
                <w:rFonts w:ascii="Times New Roman" w:eastAsia="Times New Roman" w:hAnsi="Times New Roman" w:cs="Times New Roman"/>
                <w:sz w:val="20"/>
                <w:szCs w:val="20"/>
              </w:rPr>
            </w:pPr>
          </w:p>
        </w:tc>
        <w:tc>
          <w:tcPr>
            <w:tcW w:w="0" w:type="auto"/>
            <w:vAlign w:val="center"/>
            <w:hideMark/>
          </w:tcPr>
          <w:p w14:paraId="49BF562C"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Olafur Eliasson's "Ice Watch" (glacial ice installations)</w:t>
            </w:r>
          </w:p>
        </w:tc>
        <w:tc>
          <w:tcPr>
            <w:tcW w:w="0" w:type="auto"/>
            <w:vAlign w:val="center"/>
            <w:hideMark/>
          </w:tcPr>
          <w:p w14:paraId="4C59C03B"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Direct, emotional experience of climate change, sparking public and policy dialogue.</w:t>
            </w:r>
          </w:p>
        </w:tc>
        <w:tc>
          <w:tcPr>
            <w:tcW w:w="0" w:type="auto"/>
            <w:vAlign w:val="center"/>
            <w:hideMark/>
          </w:tcPr>
          <w:p w14:paraId="2A308701" w14:textId="77777777" w:rsidR="00F4410D" w:rsidRPr="00A42158" w:rsidRDefault="00F4410D" w:rsidP="00A42158">
            <w:pPr>
              <w:spacing w:after="0" w:line="240" w:lineRule="auto"/>
              <w:jc w:val="both"/>
              <w:rPr>
                <w:rFonts w:ascii="Times New Roman" w:eastAsia="Times New Roman" w:hAnsi="Times New Roman" w:cs="Times New Roman"/>
                <w:sz w:val="20"/>
                <w:szCs w:val="20"/>
              </w:rPr>
            </w:pPr>
          </w:p>
        </w:tc>
      </w:tr>
      <w:tr w:rsidR="00F4410D" w:rsidRPr="00A42158" w14:paraId="3576A4E0" w14:textId="77777777" w:rsidTr="00A42158">
        <w:trPr>
          <w:tblCellSpacing w:w="15" w:type="dxa"/>
          <w:jc w:val="center"/>
        </w:trPr>
        <w:tc>
          <w:tcPr>
            <w:tcW w:w="0" w:type="auto"/>
            <w:vAlign w:val="center"/>
            <w:hideMark/>
          </w:tcPr>
          <w:p w14:paraId="067C1F22"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bCs/>
                <w:sz w:val="20"/>
                <w:szCs w:val="20"/>
              </w:rPr>
              <w:t>Policy &amp; Advocacy</w:t>
            </w:r>
          </w:p>
        </w:tc>
        <w:tc>
          <w:tcPr>
            <w:tcW w:w="0" w:type="auto"/>
            <w:vAlign w:val="center"/>
            <w:hideMark/>
          </w:tcPr>
          <w:p w14:paraId="62C2FCC5"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"Blued Trees" Art Venture (Aviva Rahmani)</w:t>
            </w:r>
          </w:p>
        </w:tc>
        <w:tc>
          <w:tcPr>
            <w:tcW w:w="0" w:type="auto"/>
            <w:vAlign w:val="center"/>
            <w:hideMark/>
          </w:tcPr>
          <w:p w14:paraId="6D67EBDA"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Used copyright law to protest pipeline development, challenging power structures.</w:t>
            </w:r>
          </w:p>
        </w:tc>
        <w:tc>
          <w:tcPr>
            <w:tcW w:w="0" w:type="auto"/>
            <w:vAlign w:val="center"/>
            <w:hideMark/>
          </w:tcPr>
          <w:p w14:paraId="46D005AD" w14:textId="77777777" w:rsidR="00F4410D" w:rsidRPr="00A42158" w:rsidRDefault="00F4410D" w:rsidP="00A42158">
            <w:pPr>
              <w:spacing w:after="0" w:line="240" w:lineRule="auto"/>
              <w:jc w:val="both"/>
              <w:rPr>
                <w:rFonts w:ascii="Times New Roman" w:eastAsia="Times New Roman" w:hAnsi="Times New Roman" w:cs="Times New Roman"/>
                <w:sz w:val="20"/>
                <w:szCs w:val="20"/>
              </w:rPr>
            </w:pPr>
          </w:p>
        </w:tc>
      </w:tr>
      <w:tr w:rsidR="00F4410D" w:rsidRPr="00A42158" w14:paraId="0379A27B" w14:textId="77777777" w:rsidTr="00A42158">
        <w:trPr>
          <w:tblCellSpacing w:w="15" w:type="dxa"/>
          <w:jc w:val="center"/>
        </w:trPr>
        <w:tc>
          <w:tcPr>
            <w:tcW w:w="0" w:type="auto"/>
            <w:vAlign w:val="center"/>
            <w:hideMark/>
          </w:tcPr>
          <w:p w14:paraId="239FF5DA" w14:textId="77777777" w:rsidR="00F4410D" w:rsidRPr="00A42158" w:rsidRDefault="00F4410D" w:rsidP="00A42158">
            <w:pPr>
              <w:spacing w:after="0" w:line="240" w:lineRule="auto"/>
              <w:rPr>
                <w:rFonts w:ascii="Times New Roman" w:eastAsia="Times New Roman" w:hAnsi="Times New Roman" w:cs="Times New Roman"/>
                <w:sz w:val="20"/>
                <w:szCs w:val="20"/>
              </w:rPr>
            </w:pPr>
          </w:p>
        </w:tc>
        <w:tc>
          <w:tcPr>
            <w:tcW w:w="0" w:type="auto"/>
            <w:vAlign w:val="center"/>
            <w:hideMark/>
          </w:tcPr>
          <w:p w14:paraId="4AA762D1"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Agnes Denes' "Wheatfield – A Confrontation"</w:t>
            </w:r>
          </w:p>
        </w:tc>
        <w:tc>
          <w:tcPr>
            <w:tcW w:w="0" w:type="auto"/>
            <w:vAlign w:val="center"/>
            <w:hideMark/>
          </w:tcPr>
          <w:p w14:paraId="1286D5BA"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Provocative statement on waste and world hunger, confronting ecological crisis.</w:t>
            </w:r>
          </w:p>
        </w:tc>
        <w:tc>
          <w:tcPr>
            <w:tcW w:w="0" w:type="auto"/>
            <w:vAlign w:val="center"/>
            <w:hideMark/>
          </w:tcPr>
          <w:p w14:paraId="59C20654" w14:textId="77777777" w:rsidR="00F4410D" w:rsidRPr="00A42158" w:rsidRDefault="00F4410D" w:rsidP="00A42158">
            <w:pPr>
              <w:spacing w:after="0" w:line="240" w:lineRule="auto"/>
              <w:jc w:val="both"/>
              <w:rPr>
                <w:rFonts w:ascii="Times New Roman" w:eastAsia="Times New Roman" w:hAnsi="Times New Roman" w:cs="Times New Roman"/>
                <w:sz w:val="20"/>
                <w:szCs w:val="20"/>
              </w:rPr>
            </w:pPr>
          </w:p>
        </w:tc>
      </w:tr>
      <w:tr w:rsidR="00F4410D" w:rsidRPr="00A42158" w14:paraId="3013A2FA" w14:textId="77777777" w:rsidTr="00A42158">
        <w:trPr>
          <w:tblCellSpacing w:w="15" w:type="dxa"/>
          <w:jc w:val="center"/>
        </w:trPr>
        <w:tc>
          <w:tcPr>
            <w:tcW w:w="0" w:type="auto"/>
            <w:vAlign w:val="center"/>
            <w:hideMark/>
          </w:tcPr>
          <w:p w14:paraId="6C5AF39D"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bCs/>
                <w:sz w:val="20"/>
                <w:szCs w:val="20"/>
              </w:rPr>
              <w:t>Economic &amp; Community</w:t>
            </w:r>
          </w:p>
        </w:tc>
        <w:tc>
          <w:tcPr>
            <w:tcW w:w="0" w:type="auto"/>
            <w:vAlign w:val="center"/>
            <w:hideMark/>
          </w:tcPr>
          <w:p w14:paraId="7840D14E"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Recycled Sculpture Gardens (Tanzania)</w:t>
            </w:r>
          </w:p>
        </w:tc>
        <w:tc>
          <w:tcPr>
            <w:tcW w:w="0" w:type="auto"/>
            <w:vAlign w:val="center"/>
            <w:hideMark/>
          </w:tcPr>
          <w:p w14:paraId="69AAA687"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Provides income for local families, supports local conservation projects, attracts eco-tourism.</w:t>
            </w:r>
          </w:p>
        </w:tc>
        <w:tc>
          <w:tcPr>
            <w:tcW w:w="0" w:type="auto"/>
            <w:vAlign w:val="center"/>
            <w:hideMark/>
          </w:tcPr>
          <w:p w14:paraId="52C3795C" w14:textId="77777777" w:rsidR="00F4410D" w:rsidRPr="00A42158" w:rsidRDefault="00F4410D" w:rsidP="00A42158">
            <w:pPr>
              <w:spacing w:after="0" w:line="240" w:lineRule="auto"/>
              <w:jc w:val="both"/>
              <w:rPr>
                <w:rFonts w:ascii="Times New Roman" w:eastAsia="Times New Roman" w:hAnsi="Times New Roman" w:cs="Times New Roman"/>
                <w:sz w:val="20"/>
                <w:szCs w:val="20"/>
              </w:rPr>
            </w:pPr>
          </w:p>
        </w:tc>
      </w:tr>
      <w:tr w:rsidR="00F4410D" w:rsidRPr="00A42158" w14:paraId="34FA7EA7" w14:textId="77777777" w:rsidTr="00A42158">
        <w:trPr>
          <w:tblCellSpacing w:w="15" w:type="dxa"/>
          <w:jc w:val="center"/>
        </w:trPr>
        <w:tc>
          <w:tcPr>
            <w:tcW w:w="0" w:type="auto"/>
            <w:vAlign w:val="center"/>
            <w:hideMark/>
          </w:tcPr>
          <w:p w14:paraId="7C602184" w14:textId="77777777" w:rsidR="00F4410D" w:rsidRPr="00A42158" w:rsidRDefault="00F4410D" w:rsidP="00A42158">
            <w:pPr>
              <w:spacing w:after="0" w:line="240" w:lineRule="auto"/>
              <w:rPr>
                <w:rFonts w:ascii="Times New Roman" w:eastAsia="Times New Roman" w:hAnsi="Times New Roman" w:cs="Times New Roman"/>
                <w:sz w:val="20"/>
                <w:szCs w:val="20"/>
              </w:rPr>
            </w:pPr>
          </w:p>
        </w:tc>
        <w:tc>
          <w:tcPr>
            <w:tcW w:w="0" w:type="auto"/>
            <w:vAlign w:val="center"/>
            <w:hideMark/>
          </w:tcPr>
          <w:p w14:paraId="0EF2B6D9"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Heidelberg Project (Detroit)</w:t>
            </w:r>
          </w:p>
        </w:tc>
        <w:tc>
          <w:tcPr>
            <w:tcW w:w="0" w:type="auto"/>
            <w:vAlign w:val="center"/>
            <w:hideMark/>
          </w:tcPr>
          <w:p w14:paraId="105D59E8"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Transformed neglected areas, fostered community pride, spurred economic growth and tourism.</w:t>
            </w:r>
          </w:p>
        </w:tc>
        <w:tc>
          <w:tcPr>
            <w:tcW w:w="0" w:type="auto"/>
            <w:vAlign w:val="center"/>
            <w:hideMark/>
          </w:tcPr>
          <w:p w14:paraId="684EE029" w14:textId="77777777" w:rsidR="00F4410D" w:rsidRPr="00A42158" w:rsidRDefault="00F4410D" w:rsidP="00A42158">
            <w:pPr>
              <w:spacing w:after="0" w:line="240" w:lineRule="auto"/>
              <w:jc w:val="both"/>
              <w:rPr>
                <w:rFonts w:ascii="Times New Roman" w:eastAsia="Times New Roman" w:hAnsi="Times New Roman" w:cs="Times New Roman"/>
                <w:sz w:val="20"/>
                <w:szCs w:val="20"/>
              </w:rPr>
            </w:pPr>
          </w:p>
        </w:tc>
      </w:tr>
      <w:tr w:rsidR="00F4410D" w:rsidRPr="00A42158" w14:paraId="60AB0F32" w14:textId="77777777" w:rsidTr="00A42158">
        <w:trPr>
          <w:tblCellSpacing w:w="15" w:type="dxa"/>
          <w:jc w:val="center"/>
        </w:trPr>
        <w:tc>
          <w:tcPr>
            <w:tcW w:w="0" w:type="auto"/>
            <w:vAlign w:val="center"/>
            <w:hideMark/>
          </w:tcPr>
          <w:p w14:paraId="08D9ACE1"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bCs/>
                <w:sz w:val="20"/>
                <w:szCs w:val="20"/>
              </w:rPr>
              <w:t>Environmental Restoration</w:t>
            </w:r>
          </w:p>
        </w:tc>
        <w:tc>
          <w:tcPr>
            <w:tcW w:w="0" w:type="auto"/>
            <w:vAlign w:val="center"/>
            <w:hideMark/>
          </w:tcPr>
          <w:p w14:paraId="21C9EFE8"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Betty Beaumont's "Ocean Landmark" (coal waste into artificial reef)</w:t>
            </w:r>
          </w:p>
        </w:tc>
        <w:tc>
          <w:tcPr>
            <w:tcW w:w="0" w:type="auto"/>
            <w:vAlign w:val="center"/>
            <w:hideMark/>
          </w:tcPr>
          <w:p w14:paraId="5B056BA6"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Transforms industrial waste into environmental benefit, creating new habitats.</w:t>
            </w:r>
          </w:p>
        </w:tc>
        <w:tc>
          <w:tcPr>
            <w:tcW w:w="0" w:type="auto"/>
            <w:vAlign w:val="center"/>
            <w:hideMark/>
          </w:tcPr>
          <w:p w14:paraId="79FFAD5F" w14:textId="77777777" w:rsidR="00F4410D" w:rsidRPr="00A42158" w:rsidRDefault="00F4410D" w:rsidP="00A42158">
            <w:pPr>
              <w:spacing w:after="0" w:line="240" w:lineRule="auto"/>
              <w:jc w:val="both"/>
              <w:rPr>
                <w:rFonts w:ascii="Times New Roman" w:eastAsia="Times New Roman" w:hAnsi="Times New Roman" w:cs="Times New Roman"/>
                <w:sz w:val="20"/>
                <w:szCs w:val="20"/>
              </w:rPr>
            </w:pPr>
          </w:p>
        </w:tc>
      </w:tr>
      <w:tr w:rsidR="00F4410D" w:rsidRPr="00A42158" w14:paraId="1E52B691" w14:textId="77777777" w:rsidTr="00A42158">
        <w:trPr>
          <w:tblCellSpacing w:w="15" w:type="dxa"/>
          <w:jc w:val="center"/>
        </w:trPr>
        <w:tc>
          <w:tcPr>
            <w:tcW w:w="0" w:type="auto"/>
            <w:vAlign w:val="center"/>
            <w:hideMark/>
          </w:tcPr>
          <w:p w14:paraId="1D72CA68" w14:textId="77777777" w:rsidR="00F4410D" w:rsidRPr="00A42158" w:rsidRDefault="00F4410D" w:rsidP="00A42158">
            <w:pPr>
              <w:spacing w:after="0" w:line="240" w:lineRule="auto"/>
              <w:rPr>
                <w:rFonts w:ascii="Times New Roman" w:eastAsia="Times New Roman" w:hAnsi="Times New Roman" w:cs="Times New Roman"/>
                <w:sz w:val="20"/>
                <w:szCs w:val="20"/>
              </w:rPr>
            </w:pPr>
          </w:p>
        </w:tc>
        <w:tc>
          <w:tcPr>
            <w:tcW w:w="0" w:type="auto"/>
            <w:vAlign w:val="center"/>
            <w:hideMark/>
          </w:tcPr>
          <w:p w14:paraId="57CBB812"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Urban Murals (e.g., green walls)</w:t>
            </w:r>
          </w:p>
        </w:tc>
        <w:tc>
          <w:tcPr>
            <w:tcW w:w="0" w:type="auto"/>
            <w:vAlign w:val="center"/>
            <w:hideMark/>
          </w:tcPr>
          <w:p w14:paraId="3D615E89" w14:textId="77777777" w:rsidR="00F4410D" w:rsidRPr="00A42158" w:rsidRDefault="00F4410D" w:rsidP="00A42158">
            <w:pPr>
              <w:spacing w:after="0" w:line="240" w:lineRule="auto"/>
              <w:rPr>
                <w:rFonts w:ascii="Times New Roman" w:eastAsia="Times New Roman" w:hAnsi="Times New Roman" w:cs="Times New Roman"/>
                <w:sz w:val="20"/>
                <w:szCs w:val="20"/>
              </w:rPr>
            </w:pPr>
            <w:r w:rsidRPr="00A42158">
              <w:rPr>
                <w:rFonts w:ascii="Times New Roman" w:eastAsia="Times New Roman" w:hAnsi="Times New Roman" w:cs="Times New Roman"/>
                <w:sz w:val="20"/>
                <w:szCs w:val="20"/>
              </w:rPr>
              <w:t>Reduces urban heat island effect, improves air quality, contributes to urban greening.</w:t>
            </w:r>
          </w:p>
        </w:tc>
        <w:tc>
          <w:tcPr>
            <w:tcW w:w="0" w:type="auto"/>
            <w:vAlign w:val="center"/>
            <w:hideMark/>
          </w:tcPr>
          <w:p w14:paraId="5B7478FF" w14:textId="77777777" w:rsidR="00F4410D" w:rsidRPr="00A42158" w:rsidRDefault="00F4410D" w:rsidP="00A42158">
            <w:pPr>
              <w:spacing w:after="0" w:line="240" w:lineRule="auto"/>
              <w:jc w:val="both"/>
              <w:rPr>
                <w:rFonts w:ascii="Times New Roman" w:eastAsia="Times New Roman" w:hAnsi="Times New Roman" w:cs="Times New Roman"/>
                <w:sz w:val="20"/>
                <w:szCs w:val="20"/>
              </w:rPr>
            </w:pPr>
          </w:p>
        </w:tc>
      </w:tr>
    </w:tbl>
    <w:p w14:paraId="2B36F6FA" w14:textId="77777777" w:rsidR="00A42158" w:rsidRDefault="00A42158" w:rsidP="00A42158">
      <w:pPr>
        <w:spacing w:after="0" w:line="240" w:lineRule="auto"/>
        <w:jc w:val="both"/>
        <w:rPr>
          <w:rFonts w:ascii="Times New Roman" w:eastAsia="Times New Roman" w:hAnsi="Times New Roman" w:cs="Times New Roman"/>
          <w:sz w:val="24"/>
          <w:szCs w:val="24"/>
        </w:rPr>
      </w:pPr>
    </w:p>
    <w:p w14:paraId="663289AD" w14:textId="6D031B30" w:rsidR="00F4410D"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Table 2 provides concrete examples that illustrate the theoretical pathways through which visual arts influence environmental sustainability. By presenting specific, named projects, this table moves from abstract concepts to tangible initiatives, enhancing the report's credibility and offering actionable insights for policymakers and practitioners. It also highlights the diversity of artistic approaches and their varied impacts, reinforcing the multifaceted nature of visual arts' contribution to environmental development.</w:t>
      </w:r>
    </w:p>
    <w:p w14:paraId="7C63857B" w14:textId="77777777" w:rsidR="00A42158" w:rsidRDefault="00A42158" w:rsidP="00A42158">
      <w:pPr>
        <w:spacing w:after="0" w:line="240" w:lineRule="auto"/>
        <w:jc w:val="both"/>
        <w:rPr>
          <w:rFonts w:ascii="Times New Roman" w:eastAsia="Times New Roman" w:hAnsi="Times New Roman" w:cs="Times New Roman"/>
          <w:sz w:val="24"/>
          <w:szCs w:val="24"/>
        </w:rPr>
      </w:pPr>
    </w:p>
    <w:p w14:paraId="7F8FAA35" w14:textId="77777777" w:rsidR="00A42158" w:rsidRDefault="00A42158" w:rsidP="00A42158">
      <w:pPr>
        <w:spacing w:after="0" w:line="240" w:lineRule="auto"/>
        <w:jc w:val="both"/>
        <w:rPr>
          <w:rFonts w:ascii="Times New Roman" w:eastAsia="Times New Roman" w:hAnsi="Times New Roman" w:cs="Times New Roman"/>
          <w:sz w:val="24"/>
          <w:szCs w:val="24"/>
        </w:rPr>
      </w:pPr>
    </w:p>
    <w:p w14:paraId="1A221499" w14:textId="77777777" w:rsidR="00A42158" w:rsidRPr="00BE4AF3" w:rsidRDefault="00A42158" w:rsidP="00A42158">
      <w:pPr>
        <w:spacing w:after="0" w:line="240" w:lineRule="auto"/>
        <w:jc w:val="both"/>
        <w:rPr>
          <w:rFonts w:ascii="Times New Roman" w:eastAsia="Times New Roman" w:hAnsi="Times New Roman" w:cs="Times New Roman"/>
          <w:sz w:val="24"/>
          <w:szCs w:val="24"/>
        </w:rPr>
      </w:pPr>
    </w:p>
    <w:p w14:paraId="3BD8AA1C" w14:textId="77777777" w:rsidR="00F4410D" w:rsidRPr="00BE4AF3" w:rsidRDefault="00F4410D" w:rsidP="00A42158">
      <w:pPr>
        <w:spacing w:after="0" w:line="240" w:lineRule="auto"/>
        <w:jc w:val="both"/>
        <w:outlineLvl w:val="1"/>
        <w:rPr>
          <w:rFonts w:ascii="Times New Roman" w:eastAsia="Times New Roman" w:hAnsi="Times New Roman" w:cs="Times New Roman"/>
          <w:b/>
          <w:bCs/>
          <w:sz w:val="24"/>
          <w:szCs w:val="24"/>
        </w:rPr>
      </w:pPr>
      <w:r w:rsidRPr="00BE4AF3">
        <w:rPr>
          <w:rFonts w:ascii="Times New Roman" w:eastAsia="Times New Roman" w:hAnsi="Times New Roman" w:cs="Times New Roman"/>
          <w:b/>
          <w:bCs/>
          <w:sz w:val="24"/>
          <w:szCs w:val="24"/>
        </w:rPr>
        <w:lastRenderedPageBreak/>
        <w:t>The Foundational Role of Arts and Culture in the Economy</w:t>
      </w:r>
    </w:p>
    <w:p w14:paraId="0202BC1B" w14:textId="77777777" w:rsidR="00F4410D" w:rsidRPr="00BE4AF3" w:rsidRDefault="00F4410D" w:rsidP="00A42158">
      <w:pPr>
        <w:spacing w:after="0" w:line="240" w:lineRule="auto"/>
        <w:jc w:val="both"/>
        <w:outlineLvl w:val="1"/>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The arts and cultural sector represent a robust and growing segment of the global economy, demonstrating significant contributions to national and local economic vitality. Its multifaceted nature encompasses a wide array of activities, from visual arts and performing arts to film, literature, and supporting industries like broadcasting and manufacturing of musical instruments. This sector not only enriches society culturally but also serves as a powerful engine for economic growth, job creation, and revenue generation.</w:t>
      </w:r>
      <w:r w:rsidRPr="00BE4AF3">
        <w:rPr>
          <w:rFonts w:ascii="Times New Roman" w:eastAsia="Times New Roman" w:hAnsi="Times New Roman" w:cs="Times New Roman"/>
          <w:i/>
          <w:iCs/>
          <w:sz w:val="24"/>
          <w:szCs w:val="24"/>
        </w:rPr>
        <w:t xml:space="preserve"> “The arts and culture sector plays a critical role in responding to environmental issues, including climate change, through innovation, education and activism.”</w:t>
      </w:r>
      <w:r w:rsidRPr="00BE4AF3">
        <w:rPr>
          <w:rFonts w:ascii="Times New Roman" w:eastAsia="Times New Roman" w:hAnsi="Times New Roman" w:cs="Times New Roman"/>
          <w:sz w:val="24"/>
          <w:szCs w:val="24"/>
        </w:rPr>
        <w:t xml:space="preserve"> IFACCA, 2021 Global.</w:t>
      </w:r>
    </w:p>
    <w:p w14:paraId="3DF719AC" w14:textId="77777777" w:rsidR="00F4410D" w:rsidRDefault="00F4410D" w:rsidP="00A42158">
      <w:pPr>
        <w:spacing w:after="0" w:line="240" w:lineRule="auto"/>
        <w:jc w:val="both"/>
        <w:outlineLvl w:val="1"/>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The arts have a long-recognized capacity to influence values, beliefs, attitudes, knowledge, and the development of civil society—precisely the same factors that shape pro-environmental behavior. The appreciation of nature's aesthetic and intrinsic value, often encouraged by artistic expression, is fundamental to people's willingness to conserve it. Community arts, in particular, are influential in cultivating pro-social behaviors and altruism, fostering a collective spirit essential for environmental action. Large community multi-arts events and restoration rituals provide avenues for pro-environmental action within non-threatening, socially reinforcing contexts, which can normalize these behaviors and, over time, shift public attitudes. This process helps individuals form a pro-environmental self-concept, unfreeze ingrained habits, and build community involvement in pro-environmental activities.</w:t>
      </w:r>
      <w:r w:rsidRPr="00BE4AF3">
        <w:rPr>
          <w:rFonts w:ascii="Times New Roman" w:eastAsia="Times New Roman" w:hAnsi="Times New Roman" w:cs="Times New Roman"/>
          <w:i/>
          <w:iCs/>
          <w:sz w:val="24"/>
          <w:szCs w:val="24"/>
        </w:rPr>
        <w:t xml:space="preserve"> “Indigenous African art forms, often crafted from discarded or natural materials, offer models for sustainable innovation rooted in local ecological consciousness.”</w:t>
      </w:r>
      <w:r w:rsidRPr="00BE4AF3">
        <w:rPr>
          <w:rFonts w:ascii="Times New Roman" w:eastAsia="Times New Roman" w:hAnsi="Times New Roman" w:cs="Times New Roman"/>
          <w:sz w:val="24"/>
          <w:szCs w:val="24"/>
        </w:rPr>
        <w:t>— Chidi Oguamanam -2022</w:t>
      </w:r>
    </w:p>
    <w:p w14:paraId="5C7A4A74" w14:textId="77777777" w:rsidR="00A42158" w:rsidRPr="00BE4AF3" w:rsidRDefault="00A42158" w:rsidP="00A42158">
      <w:pPr>
        <w:spacing w:after="0" w:line="240" w:lineRule="auto"/>
        <w:jc w:val="both"/>
        <w:outlineLvl w:val="1"/>
        <w:rPr>
          <w:rFonts w:ascii="Times New Roman" w:eastAsia="Times New Roman" w:hAnsi="Times New Roman" w:cs="Times New Roman"/>
          <w:sz w:val="24"/>
          <w:szCs w:val="24"/>
        </w:rPr>
      </w:pPr>
    </w:p>
    <w:p w14:paraId="4BA0A85D" w14:textId="77777777" w:rsidR="00F4410D" w:rsidRPr="00BE4AF3" w:rsidRDefault="00F4410D" w:rsidP="00A42158">
      <w:pPr>
        <w:spacing w:after="0" w:line="240" w:lineRule="auto"/>
        <w:jc w:val="both"/>
        <w:outlineLvl w:val="2"/>
        <w:rPr>
          <w:rFonts w:ascii="Times New Roman" w:eastAsia="Times New Roman" w:hAnsi="Times New Roman" w:cs="Times New Roman"/>
          <w:b/>
          <w:bCs/>
          <w:sz w:val="24"/>
          <w:szCs w:val="24"/>
        </w:rPr>
      </w:pPr>
      <w:r w:rsidRPr="00BE4AF3">
        <w:rPr>
          <w:rFonts w:ascii="Times New Roman" w:eastAsia="Times New Roman" w:hAnsi="Times New Roman" w:cs="Times New Roman"/>
          <w:b/>
          <w:bCs/>
          <w:sz w:val="24"/>
          <w:szCs w:val="24"/>
        </w:rPr>
        <w:t>Waste Diversion and Circular Economy</w:t>
      </w:r>
    </w:p>
    <w:p w14:paraId="6D67D033" w14:textId="77777777" w:rsidR="00F4410D" w:rsidRPr="00BE4AF3"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Visual art plays a crucial role in promoting sustainable practices, particularly in waste diversion and the advancement of circular economy principles. Eco-art, through the creative reuse of discarded materials, aims to raise awareness about waste management and inspire sustainable consumption and production patterns. Projects such as the Recycled Material Installations have demonstrated tangible environmental and economic benefits, diverting over 2 tons of waste from landfills and inspiring city-wide initiatives to increase recycling rates.</w:t>
      </w:r>
      <w:r w:rsidRPr="00BE4AF3">
        <w:rPr>
          <w:rFonts w:ascii="Times New Roman" w:eastAsia="Times New Roman" w:hAnsi="Times New Roman" w:cs="Times New Roman"/>
          <w:i/>
          <w:iCs/>
          <w:sz w:val="24"/>
          <w:szCs w:val="24"/>
        </w:rPr>
        <w:t xml:space="preserve"> </w:t>
      </w:r>
    </w:p>
    <w:p w14:paraId="42AB1B41" w14:textId="77777777" w:rsidR="00F4410D" w:rsidRPr="00BE4AF3"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Artists increasingly utilize a wide range of sustainable materials, including recycled paper, glass, metals, organic, and biodegradable substances, fostering a circular economy where materials are continually reused and repurposed. The practice of valuing repair and reuse within the emerging "Ecological Art Economy" extends product life and reduces waste E.L Anatsui 2019, aligning with core tenets of sustainability. Furthermore, eco-friendly techniques, such as the use of natural dyes, solar-powered installations, and zero-waste practices, are employed by artists to minimize their environmental footprints throughout the creative process. Innovative subfields like Bioart explore the use of living organisms to clean up pollutants, and ecological restoration art directly integrates artistic practice into restoration efforts such as re-vegetation and wetland construction.</w:t>
      </w:r>
    </w:p>
    <w:p w14:paraId="394167A7" w14:textId="77777777" w:rsidR="00F4410D" w:rsidRPr="00BE4AF3"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The act of transforming waste into impactful art not only diverts material from landfills but also "challenges established notions of value creation". This redefinition of "value" to encompass ecological health, cultural richness, and community well-being represents a fundamental shift towards a circular economy model. It creates new economic opportunities in material recovery, upcycling, and innovative product design by demonstrating the inherent worth and creative potential of discarded resources. By visually demonstrating the inherent worth and creative potential of discarded materials, eco-art helps to cultivate a societal demand for recycled content and circular business models. This, in turn, fosters the development of new economic sectors </w:t>
      </w:r>
      <w:r w:rsidRPr="00BE4AF3">
        <w:rPr>
          <w:rFonts w:ascii="Times New Roman" w:eastAsia="Times New Roman" w:hAnsi="Times New Roman" w:cs="Times New Roman"/>
          <w:sz w:val="24"/>
          <w:szCs w:val="24"/>
        </w:rPr>
        <w:lastRenderedPageBreak/>
        <w:t>focused on resource efficiency, regeneration, and the creation of value from what was previously considered refuse.</w:t>
      </w:r>
    </w:p>
    <w:p w14:paraId="1D323FBF" w14:textId="77777777" w:rsidR="00F4410D" w:rsidRPr="00BE4AF3" w:rsidRDefault="00F4410D" w:rsidP="00A42158">
      <w:pPr>
        <w:spacing w:after="0" w:line="240" w:lineRule="auto"/>
        <w:jc w:val="both"/>
        <w:rPr>
          <w:rFonts w:ascii="Times New Roman" w:eastAsia="Times New Roman" w:hAnsi="Times New Roman" w:cs="Times New Roman"/>
          <w:sz w:val="24"/>
          <w:szCs w:val="24"/>
        </w:rPr>
      </w:pPr>
    </w:p>
    <w:p w14:paraId="2BC44034" w14:textId="77777777" w:rsidR="00F4410D" w:rsidRPr="00BE4AF3" w:rsidRDefault="00F4410D" w:rsidP="00A42158">
      <w:pPr>
        <w:spacing w:after="0" w:line="240" w:lineRule="auto"/>
        <w:jc w:val="both"/>
        <w:outlineLvl w:val="2"/>
        <w:rPr>
          <w:rFonts w:ascii="Times New Roman" w:eastAsia="Times New Roman" w:hAnsi="Times New Roman" w:cs="Times New Roman"/>
          <w:b/>
          <w:bCs/>
          <w:sz w:val="24"/>
          <w:szCs w:val="24"/>
        </w:rPr>
      </w:pPr>
      <w:r w:rsidRPr="00BE4AF3">
        <w:rPr>
          <w:rFonts w:ascii="Times New Roman" w:eastAsia="Times New Roman" w:hAnsi="Times New Roman" w:cs="Times New Roman"/>
          <w:b/>
          <w:bCs/>
          <w:sz w:val="24"/>
          <w:szCs w:val="24"/>
        </w:rPr>
        <w:t>Cultural Tourism and Local Economic Growth</w:t>
      </w:r>
    </w:p>
    <w:p w14:paraId="22DFDF1D" w14:textId="77777777" w:rsidR="00F4410D" w:rsidRPr="00BE4AF3"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Environmentally-themed visual art and eco-art festivals are powerful magnets for cultural tourism, generating significant visitor spending and contributing substantially to local economic growth. Arts and cultural activities, including visual arts, consistently attract visitors who spend money on accommodation, entertainment, food, drinks, and retail items, thereby directly boosting local economies. This phenomenon is a key component of cultural tourism, which, through museums, concerts, and festivals, attracts both domestic and international visitors, stimulating local economies.</w:t>
      </w:r>
      <w:r w:rsidRPr="00BE4AF3">
        <w:rPr>
          <w:rFonts w:ascii="Times New Roman" w:eastAsia="Times New Roman" w:hAnsi="Times New Roman" w:cs="Times New Roman"/>
          <w:i/>
          <w:iCs/>
          <w:sz w:val="24"/>
          <w:szCs w:val="24"/>
        </w:rPr>
        <w:t xml:space="preserve"> “Culture and creativity are proven accelerators of inclusive and sustainable development.”</w:t>
      </w:r>
      <w:r w:rsidRPr="00BE4AF3">
        <w:rPr>
          <w:rFonts w:ascii="Times New Roman" w:eastAsia="Times New Roman" w:hAnsi="Times New Roman" w:cs="Times New Roman"/>
          <w:sz w:val="24"/>
          <w:szCs w:val="24"/>
        </w:rPr>
        <w:t xml:space="preserve">— UNESCO, </w:t>
      </w:r>
      <w:r w:rsidRPr="00BE4AF3">
        <w:rPr>
          <w:rFonts w:ascii="Times New Roman" w:eastAsia="Times New Roman" w:hAnsi="Times New Roman" w:cs="Times New Roman"/>
          <w:i/>
          <w:iCs/>
          <w:sz w:val="24"/>
          <w:szCs w:val="24"/>
        </w:rPr>
        <w:t>Re| Shaping Policies for Creativity</w:t>
      </w:r>
      <w:r w:rsidRPr="00BE4AF3">
        <w:rPr>
          <w:rFonts w:ascii="Times New Roman" w:eastAsia="Times New Roman" w:hAnsi="Times New Roman" w:cs="Times New Roman"/>
          <w:sz w:val="24"/>
          <w:szCs w:val="24"/>
        </w:rPr>
        <w:t xml:space="preserve"> (2022)</w:t>
      </w:r>
    </w:p>
    <w:p w14:paraId="017F154F" w14:textId="517EDBC5" w:rsidR="00F4410D" w:rsidRPr="00BE4AF3"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While large-scale events like festivals can pose environmental challenges, many are increasingly committed to sustainable practices. For instance, Coachella has implemented a sustainable energy framework and massive waste sorting programs to reduce its environmental footprint, demonstrating that economic benefits can be pursued alongside environmental responsibility. This commitment enhances the appeal of such events to environmentally conscious tourists, further bolstering their economic impact. The substantial increase in attendee spending, particularly the 43% increase over previous </w:t>
      </w:r>
      <w:r w:rsidR="00A42158" w:rsidRPr="00BE4AF3">
        <w:rPr>
          <w:rFonts w:ascii="Times New Roman" w:eastAsia="Times New Roman" w:hAnsi="Times New Roman" w:cs="Times New Roman"/>
          <w:sz w:val="24"/>
          <w:szCs w:val="24"/>
        </w:rPr>
        <w:t>figures,</w:t>
      </w:r>
      <w:r w:rsidRPr="00BE4AF3">
        <w:rPr>
          <w:rFonts w:ascii="Times New Roman" w:eastAsia="Times New Roman" w:hAnsi="Times New Roman" w:cs="Times New Roman"/>
          <w:sz w:val="24"/>
          <w:szCs w:val="24"/>
        </w:rPr>
        <w:t xml:space="preserve"> indicates a growing consumer demand for arts and cultural experiences. This </w:t>
      </w:r>
      <w:r w:rsidR="00A42158" w:rsidRPr="00BE4AF3">
        <w:rPr>
          <w:rFonts w:ascii="Times New Roman" w:eastAsia="Times New Roman" w:hAnsi="Times New Roman" w:cs="Times New Roman"/>
          <w:sz w:val="24"/>
          <w:szCs w:val="24"/>
        </w:rPr>
        <w:t>growth trend</w:t>
      </w:r>
      <w:r w:rsidRPr="00BE4AF3">
        <w:rPr>
          <w:rFonts w:ascii="Times New Roman" w:eastAsia="Times New Roman" w:hAnsi="Times New Roman" w:cs="Times New Roman"/>
          <w:sz w:val="24"/>
          <w:szCs w:val="24"/>
        </w:rPr>
        <w:t xml:space="preserve"> signals a robust and expanding market for cultural goods and services, including those that integrate environmental themes, and underscores the potential for continued economic growth in this sector. This dynamism positions the arts as a highly attractive area for investment, especially for environmentally-focused art that can tap into growing public interest in sustainability.</w:t>
      </w:r>
    </w:p>
    <w:p w14:paraId="03612CE7" w14:textId="77777777" w:rsidR="00F4410D" w:rsidRDefault="00F4410D" w:rsidP="00A42158">
      <w:pPr>
        <w:spacing w:after="0" w:line="240" w:lineRule="auto"/>
        <w:ind w:right="-18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The finding that a significant portion of arts and culture attendees are from outside the county and spend considerably more highlights the sector's crucial role as a driver of cultural tourism. </w:t>
      </w:r>
    </w:p>
    <w:p w14:paraId="4D933590" w14:textId="77777777" w:rsidR="00A42158" w:rsidRPr="00BE4AF3" w:rsidRDefault="00A42158" w:rsidP="00A42158">
      <w:pPr>
        <w:spacing w:after="0" w:line="240" w:lineRule="auto"/>
        <w:ind w:right="-180"/>
        <w:jc w:val="both"/>
        <w:rPr>
          <w:rFonts w:ascii="Times New Roman" w:eastAsia="Times New Roman" w:hAnsi="Times New Roman" w:cs="Times New Roman"/>
          <w:sz w:val="24"/>
          <w:szCs w:val="24"/>
        </w:rPr>
      </w:pPr>
    </w:p>
    <w:p w14:paraId="42044C0C" w14:textId="77777777" w:rsidR="00F4410D" w:rsidRPr="00BE4AF3" w:rsidRDefault="00F4410D" w:rsidP="00A42158">
      <w:pPr>
        <w:spacing w:after="0" w:line="240" w:lineRule="auto"/>
        <w:jc w:val="both"/>
        <w:outlineLvl w:val="1"/>
        <w:rPr>
          <w:rFonts w:ascii="Times New Roman" w:eastAsia="Times New Roman" w:hAnsi="Times New Roman" w:cs="Times New Roman"/>
          <w:b/>
          <w:bCs/>
          <w:sz w:val="24"/>
          <w:szCs w:val="24"/>
        </w:rPr>
      </w:pPr>
      <w:r w:rsidRPr="00BE4AF3">
        <w:rPr>
          <w:rFonts w:ascii="Times New Roman" w:eastAsia="Times New Roman" w:hAnsi="Times New Roman" w:cs="Times New Roman"/>
          <w:b/>
          <w:bCs/>
          <w:sz w:val="24"/>
          <w:szCs w:val="24"/>
        </w:rPr>
        <w:t>Conclusions and Recommendations</w:t>
      </w:r>
    </w:p>
    <w:p w14:paraId="39E63B30" w14:textId="371F4000" w:rsidR="00F4410D" w:rsidRPr="00BE4AF3"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The analysis unequivocally demonstrates that visual arts are far more than aesthetic pursuits; they are powerful, multi-faceted drivers of economic prosperity and essential catalysts for environmental development. The sector's substantial direct and indirect economic contributions, its remarkable resilience in the face of economic volatility, and the burgeoning "green art market" underscore its integral role in building a sustainable economy. Concurrently, visual arts profoundly shape environmental attitudes, influence policy, and actively contribute to tangible ecological restoration and urban sustainability through innovative eco-</w:t>
      </w:r>
      <w:r w:rsidR="00A42158" w:rsidRPr="00BE4AF3">
        <w:rPr>
          <w:rFonts w:ascii="Times New Roman" w:eastAsia="Times New Roman" w:hAnsi="Times New Roman" w:cs="Times New Roman"/>
          <w:sz w:val="24"/>
          <w:szCs w:val="24"/>
        </w:rPr>
        <w:t>art and</w:t>
      </w:r>
      <w:r w:rsidRPr="00BE4AF3">
        <w:rPr>
          <w:rFonts w:ascii="Times New Roman" w:eastAsia="Times New Roman" w:hAnsi="Times New Roman" w:cs="Times New Roman"/>
          <w:sz w:val="24"/>
          <w:szCs w:val="24"/>
        </w:rPr>
        <w:t xml:space="preserve"> the promotion of eco-tourism.</w:t>
      </w:r>
    </w:p>
    <w:p w14:paraId="50797E52" w14:textId="77777777" w:rsidR="00F4410D" w:rsidRPr="00BE4AF3"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The transformative potential of digitalization and the social economy offers new pathways for equitable and sustainable growth, yet these must be navigated carefully to address challenges such as intellectual property protection, funding dependencies, and the evolving role of artificial intelligence.</w:t>
      </w:r>
    </w:p>
    <w:p w14:paraId="53270865" w14:textId="77777777" w:rsidR="00A42158"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Visual art is not only a tool of cultural expression but also a viable economic asset in building a sustainable future. Its integration into environmental development strategies provides a platform for education, economic empowerment, and ecological preservation. As environmental challenges intensify, embracing creative solutions through visual art can ensure more inclusive, economically viable, and culturally enriched sustainability pathways. Visual arts are a </w:t>
      </w:r>
      <w:r w:rsidRPr="00BE4AF3">
        <w:rPr>
          <w:rFonts w:ascii="Times New Roman" w:eastAsia="Times New Roman" w:hAnsi="Times New Roman" w:cs="Times New Roman"/>
          <w:bCs/>
          <w:sz w:val="24"/>
          <w:szCs w:val="24"/>
        </w:rPr>
        <w:t>strategic tool for sustainable development</w:t>
      </w:r>
      <w:r w:rsidRPr="00BE4AF3">
        <w:rPr>
          <w:rFonts w:ascii="Times New Roman" w:eastAsia="Times New Roman" w:hAnsi="Times New Roman" w:cs="Times New Roman"/>
          <w:sz w:val="24"/>
          <w:szCs w:val="24"/>
        </w:rPr>
        <w:t>, integrating economic viability with environmental consciousness. Their power lies in storytelling, creativity, and public engagement</w:t>
      </w:r>
    </w:p>
    <w:p w14:paraId="3136DF4B" w14:textId="5A7199D3" w:rsidR="00F4410D" w:rsidRPr="00A42158" w:rsidRDefault="00F4410D" w:rsidP="00A4215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b/>
          <w:bCs/>
          <w:sz w:val="24"/>
          <w:szCs w:val="24"/>
        </w:rPr>
        <w:lastRenderedPageBreak/>
        <w:t>References</w:t>
      </w:r>
    </w:p>
    <w:p w14:paraId="21211F7B" w14:textId="77777777" w:rsidR="00F4410D" w:rsidRPr="00A42158" w:rsidRDefault="00F4410D" w:rsidP="00A42158">
      <w:pPr>
        <w:spacing w:after="0"/>
        <w:ind w:left="851" w:hanging="851"/>
        <w:jc w:val="both"/>
        <w:rPr>
          <w:rFonts w:ascii="Times New Roman" w:eastAsia="Times New Roman" w:hAnsi="Times New Roman"/>
          <w:sz w:val="24"/>
          <w:szCs w:val="24"/>
        </w:rPr>
      </w:pPr>
      <w:r w:rsidRPr="00A42158">
        <w:rPr>
          <w:rFonts w:ascii="Times New Roman" w:eastAsia="Times New Roman" w:hAnsi="Times New Roman"/>
          <w:bCs/>
          <w:sz w:val="24"/>
          <w:szCs w:val="24"/>
        </w:rPr>
        <w:t>El Anatsui (2019):</w:t>
      </w:r>
      <w:r w:rsidRPr="00A42158">
        <w:rPr>
          <w:rFonts w:ascii="Times New Roman" w:eastAsia="Times New Roman" w:hAnsi="Times New Roman"/>
          <w:i/>
          <w:iCs/>
          <w:sz w:val="24"/>
          <w:szCs w:val="24"/>
        </w:rPr>
        <w:t>“Rather than look at waste as an end, I see it as a beginning.”</w:t>
      </w:r>
      <w:r w:rsidRPr="00A42158">
        <w:rPr>
          <w:rFonts w:ascii="Times New Roman" w:eastAsia="Times New Roman" w:hAnsi="Times New Roman"/>
          <w:sz w:val="24"/>
          <w:szCs w:val="24"/>
        </w:rPr>
        <w:t>El Anatsui Studio</w:t>
      </w:r>
    </w:p>
    <w:p w14:paraId="0EC1865B" w14:textId="1EF9E499" w:rsidR="00F4410D" w:rsidRPr="00BE4AF3" w:rsidRDefault="00A42158" w:rsidP="00A42158">
      <w:pPr>
        <w:pStyle w:val="ListParagraph"/>
        <w:tabs>
          <w:tab w:val="left" w:pos="709"/>
        </w:tabs>
        <w:spacing w:after="0" w:line="276" w:lineRule="auto"/>
        <w:ind w:left="851" w:hanging="851"/>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F4410D" w:rsidRPr="00BE4AF3">
        <w:rPr>
          <w:rFonts w:ascii="Times New Roman" w:eastAsia="Times New Roman" w:hAnsi="Times New Roman"/>
          <w:sz w:val="24"/>
          <w:szCs w:val="24"/>
        </w:rPr>
        <w:t>El Anatsui Studio Archive, University of Nigeria.</w:t>
      </w:r>
    </w:p>
    <w:p w14:paraId="314C0E47" w14:textId="77777777" w:rsidR="00F4410D" w:rsidRPr="00A42158" w:rsidRDefault="00F4410D" w:rsidP="00A42158">
      <w:pPr>
        <w:spacing w:after="0"/>
        <w:ind w:left="851" w:hanging="851"/>
        <w:jc w:val="both"/>
        <w:rPr>
          <w:rFonts w:ascii="Times New Roman" w:eastAsia="Times New Roman" w:hAnsi="Times New Roman"/>
          <w:sz w:val="24"/>
          <w:szCs w:val="24"/>
        </w:rPr>
      </w:pPr>
      <w:r w:rsidRPr="00A42158">
        <w:rPr>
          <w:rFonts w:ascii="Times New Roman" w:eastAsia="Times New Roman" w:hAnsi="Times New Roman"/>
          <w:sz w:val="24"/>
          <w:szCs w:val="24"/>
        </w:rPr>
        <w:t xml:space="preserve">El Anatsui Studio. (2019). </w:t>
      </w:r>
      <w:r w:rsidRPr="00A42158">
        <w:rPr>
          <w:rFonts w:ascii="Times New Roman" w:eastAsia="Times New Roman" w:hAnsi="Times New Roman"/>
          <w:i/>
          <w:iCs/>
          <w:sz w:val="24"/>
          <w:szCs w:val="24"/>
        </w:rPr>
        <w:t>Artist Statement and Works.</w:t>
      </w:r>
      <w:r w:rsidRPr="00A42158">
        <w:rPr>
          <w:rFonts w:ascii="Times New Roman" w:eastAsia="Times New Roman" w:hAnsi="Times New Roman"/>
          <w:sz w:val="24"/>
          <w:szCs w:val="24"/>
        </w:rPr>
        <w:t xml:space="preserve"> Retrieved from </w:t>
      </w:r>
      <w:hyperlink r:id="rId69" w:history="1">
        <w:r w:rsidRPr="00A42158">
          <w:rPr>
            <w:rStyle w:val="Hyperlink"/>
            <w:rFonts w:ascii="Times New Roman" w:eastAsia="Times New Roman" w:hAnsi="Times New Roman"/>
            <w:sz w:val="24"/>
            <w:szCs w:val="24"/>
          </w:rPr>
          <w:t>https://elanatsui.art</w:t>
        </w:r>
      </w:hyperlink>
      <w:r w:rsidRPr="00A42158">
        <w:rPr>
          <w:rFonts w:ascii="Times New Roman" w:eastAsia="Times New Roman" w:hAnsi="Times New Roman"/>
          <w:sz w:val="24"/>
          <w:szCs w:val="24"/>
        </w:rPr>
        <w:t>.</w:t>
      </w:r>
    </w:p>
    <w:p w14:paraId="4DCC7CA1" w14:textId="77777777" w:rsidR="00F4410D" w:rsidRPr="00A42158" w:rsidRDefault="00F4410D" w:rsidP="00A42158">
      <w:pPr>
        <w:spacing w:after="0"/>
        <w:ind w:left="851" w:hanging="851"/>
        <w:jc w:val="both"/>
        <w:rPr>
          <w:rFonts w:ascii="Times New Roman" w:eastAsia="Times New Roman" w:hAnsi="Times New Roman"/>
          <w:sz w:val="24"/>
          <w:szCs w:val="24"/>
        </w:rPr>
      </w:pPr>
      <w:r w:rsidRPr="00A42158">
        <w:rPr>
          <w:rFonts w:ascii="Times New Roman" w:eastAsia="Times New Roman" w:hAnsi="Times New Roman"/>
          <w:sz w:val="24"/>
          <w:szCs w:val="24"/>
        </w:rPr>
        <w:t xml:space="preserve">IFACCA. (2023). </w:t>
      </w:r>
      <w:r w:rsidRPr="00A42158">
        <w:rPr>
          <w:rFonts w:ascii="Times New Roman" w:eastAsia="Times New Roman" w:hAnsi="Times New Roman"/>
          <w:i/>
          <w:iCs/>
          <w:sz w:val="24"/>
          <w:szCs w:val="24"/>
        </w:rPr>
        <w:t>The Economic Contribution of Arts and Culture</w:t>
      </w:r>
      <w:r w:rsidRPr="00A42158">
        <w:rPr>
          <w:rFonts w:ascii="Times New Roman" w:eastAsia="Times New Roman" w:hAnsi="Times New Roman"/>
          <w:sz w:val="24"/>
          <w:szCs w:val="24"/>
        </w:rPr>
        <w:t>. https://ifacca.org.</w:t>
      </w:r>
    </w:p>
    <w:p w14:paraId="38D6073A" w14:textId="77777777" w:rsidR="00F4410D" w:rsidRPr="00A42158" w:rsidRDefault="00F4410D" w:rsidP="00A42158">
      <w:pPr>
        <w:spacing w:after="0"/>
        <w:ind w:left="851" w:hanging="851"/>
        <w:jc w:val="both"/>
        <w:outlineLvl w:val="2"/>
        <w:rPr>
          <w:rFonts w:ascii="Times New Roman" w:eastAsia="Times New Roman" w:hAnsi="Times New Roman"/>
          <w:bCs/>
          <w:sz w:val="24"/>
          <w:szCs w:val="24"/>
        </w:rPr>
      </w:pPr>
      <w:r w:rsidRPr="00A42158">
        <w:rPr>
          <w:rFonts w:ascii="Times New Roman" w:eastAsia="Times New Roman" w:hAnsi="Times New Roman"/>
          <w:sz w:val="24"/>
          <w:szCs w:val="24"/>
        </w:rPr>
        <w:t xml:space="preserve">International Federation of Arts Councils and Culture Agencies. (2021). </w:t>
      </w:r>
      <w:r w:rsidRPr="00A42158">
        <w:rPr>
          <w:rFonts w:ascii="Times New Roman" w:eastAsia="Times New Roman" w:hAnsi="Times New Roman"/>
          <w:i/>
          <w:iCs/>
          <w:sz w:val="24"/>
          <w:szCs w:val="24"/>
        </w:rPr>
        <w:t xml:space="preserve">The Arts and Environmental UNESCO, 2022, </w:t>
      </w:r>
      <w:r w:rsidRPr="00A42158">
        <w:rPr>
          <w:rFonts w:ascii="Times New Roman" w:eastAsia="Times New Roman" w:hAnsi="Times New Roman"/>
          <w:bCs/>
          <w:sz w:val="24"/>
          <w:szCs w:val="24"/>
        </w:rPr>
        <w:t>Culture and creativity are proven accelerators of inclusive and sustainable development.</w:t>
      </w:r>
    </w:p>
    <w:p w14:paraId="05E014A4" w14:textId="77777777" w:rsidR="00F4410D" w:rsidRPr="00A42158" w:rsidRDefault="00F4410D" w:rsidP="00A42158">
      <w:pPr>
        <w:spacing w:after="0"/>
        <w:ind w:left="851" w:hanging="851"/>
        <w:jc w:val="both"/>
        <w:rPr>
          <w:rFonts w:ascii="Times New Roman" w:eastAsia="Times New Roman" w:hAnsi="Times New Roman"/>
          <w:sz w:val="24"/>
          <w:szCs w:val="24"/>
        </w:rPr>
      </w:pPr>
      <w:r w:rsidRPr="00A42158">
        <w:rPr>
          <w:rFonts w:ascii="Times New Roman" w:eastAsia="Times New Roman" w:hAnsi="Times New Roman"/>
          <w:sz w:val="24"/>
          <w:szCs w:val="24"/>
        </w:rPr>
        <w:t xml:space="preserve">Oguamanam, C. (2022). </w:t>
      </w:r>
      <w:r w:rsidRPr="00A42158">
        <w:rPr>
          <w:rFonts w:ascii="Times New Roman" w:eastAsia="Times New Roman" w:hAnsi="Times New Roman"/>
          <w:i/>
          <w:iCs/>
          <w:sz w:val="24"/>
          <w:szCs w:val="24"/>
        </w:rPr>
        <w:t>The Role of Indigenous Arts in Environmental Sustainability in Africa.</w:t>
      </w:r>
      <w:r w:rsidRPr="00A42158">
        <w:rPr>
          <w:rFonts w:ascii="Times New Roman" w:eastAsia="Times New Roman" w:hAnsi="Times New Roman"/>
          <w:sz w:val="24"/>
          <w:szCs w:val="24"/>
        </w:rPr>
        <w:t xml:space="preserve"> African Journal of Cultural Studies, 19(3), 45–59. doi:10.4314/ajcs.v19i3.5</w:t>
      </w:r>
    </w:p>
    <w:p w14:paraId="00847F85" w14:textId="77777777" w:rsidR="00F4410D" w:rsidRPr="00A42158" w:rsidRDefault="00F4410D" w:rsidP="00A42158">
      <w:pPr>
        <w:spacing w:after="0"/>
        <w:ind w:left="851" w:hanging="851"/>
        <w:jc w:val="both"/>
        <w:rPr>
          <w:rFonts w:ascii="Times New Roman" w:eastAsia="Times New Roman" w:hAnsi="Times New Roman"/>
          <w:sz w:val="24"/>
          <w:szCs w:val="24"/>
        </w:rPr>
      </w:pPr>
      <w:r w:rsidRPr="00A42158">
        <w:rPr>
          <w:rFonts w:ascii="Times New Roman" w:eastAsia="Times New Roman" w:hAnsi="Times New Roman"/>
          <w:bCs/>
          <w:sz w:val="24"/>
          <w:szCs w:val="24"/>
        </w:rPr>
        <w:t>Oguamanam, C. (2022):</w:t>
      </w:r>
      <w:r w:rsidRPr="00A42158">
        <w:rPr>
          <w:rFonts w:ascii="Times New Roman" w:eastAsia="Times New Roman" w:hAnsi="Times New Roman"/>
          <w:i/>
          <w:iCs/>
          <w:sz w:val="24"/>
          <w:szCs w:val="24"/>
        </w:rPr>
        <w:t>“Indigenous African art forms... offer models for sustainable innovation.”African Journal of Cultural Studies.</w:t>
      </w:r>
    </w:p>
    <w:p w14:paraId="761CBDAC" w14:textId="77777777" w:rsidR="00F4410D" w:rsidRPr="00A42158" w:rsidRDefault="00F4410D" w:rsidP="00A42158">
      <w:pPr>
        <w:spacing w:after="0"/>
        <w:ind w:left="851" w:hanging="851"/>
        <w:jc w:val="both"/>
        <w:rPr>
          <w:rFonts w:ascii="Times New Roman" w:eastAsia="Times New Roman" w:hAnsi="Times New Roman"/>
          <w:sz w:val="24"/>
          <w:szCs w:val="24"/>
        </w:rPr>
      </w:pPr>
      <w:r w:rsidRPr="00A42158">
        <w:rPr>
          <w:rFonts w:ascii="Times New Roman" w:eastAsia="Times New Roman" w:hAnsi="Times New Roman"/>
          <w:bCs/>
          <w:sz w:val="24"/>
          <w:szCs w:val="24"/>
        </w:rPr>
        <w:t>Oguamanam, Chidi (2022) – Indigenous Knowledge and Visual Art.</w:t>
      </w:r>
    </w:p>
    <w:p w14:paraId="47A55DB4" w14:textId="77777777" w:rsidR="00F4410D" w:rsidRPr="00A42158" w:rsidRDefault="00F4410D" w:rsidP="00A42158">
      <w:pPr>
        <w:spacing w:after="0"/>
        <w:ind w:left="851" w:hanging="851"/>
        <w:jc w:val="both"/>
        <w:rPr>
          <w:rFonts w:ascii="Times New Roman" w:eastAsia="Times New Roman" w:hAnsi="Times New Roman"/>
          <w:sz w:val="24"/>
          <w:szCs w:val="24"/>
        </w:rPr>
      </w:pPr>
      <w:r w:rsidRPr="00A42158">
        <w:rPr>
          <w:rFonts w:ascii="Times New Roman" w:eastAsia="Times New Roman" w:hAnsi="Times New Roman"/>
          <w:sz w:val="24"/>
          <w:szCs w:val="24"/>
        </w:rPr>
        <w:t>Olafur Eliasson Studio. (n.d.). Works. https://olafureliasson.net.</w:t>
      </w:r>
    </w:p>
    <w:p w14:paraId="2E08AF43" w14:textId="77777777" w:rsidR="00F4410D" w:rsidRPr="00A42158" w:rsidRDefault="00F4410D" w:rsidP="00A42158">
      <w:pPr>
        <w:spacing w:after="0"/>
        <w:ind w:left="851" w:hanging="851"/>
        <w:jc w:val="both"/>
        <w:rPr>
          <w:rFonts w:ascii="Times New Roman" w:eastAsia="Times New Roman" w:hAnsi="Times New Roman"/>
          <w:sz w:val="24"/>
          <w:szCs w:val="24"/>
        </w:rPr>
      </w:pPr>
      <w:r w:rsidRPr="00A42158">
        <w:rPr>
          <w:rFonts w:ascii="Times New Roman" w:eastAsia="Times New Roman" w:hAnsi="Times New Roman"/>
          <w:sz w:val="24"/>
          <w:szCs w:val="24"/>
        </w:rPr>
        <w:t xml:space="preserve">Peters, S. J. (2015). </w:t>
      </w:r>
      <w:r w:rsidRPr="00A42158">
        <w:rPr>
          <w:rFonts w:ascii="Times New Roman" w:eastAsia="Times New Roman" w:hAnsi="Times New Roman"/>
          <w:i/>
          <w:iCs/>
          <w:sz w:val="24"/>
          <w:szCs w:val="24"/>
        </w:rPr>
        <w:t>The Arts and the Environment: A Creative Approach to Sustainability</w:t>
      </w:r>
      <w:r w:rsidRPr="00A42158">
        <w:rPr>
          <w:rFonts w:ascii="Times New Roman" w:eastAsia="Times New Roman" w:hAnsi="Times New Roman"/>
          <w:sz w:val="24"/>
          <w:szCs w:val="24"/>
        </w:rPr>
        <w:t>. Routledge.</w:t>
      </w:r>
    </w:p>
    <w:p w14:paraId="1E387442" w14:textId="77777777" w:rsidR="00F4410D" w:rsidRPr="00A42158" w:rsidRDefault="00F4410D" w:rsidP="00A42158">
      <w:pPr>
        <w:spacing w:after="0"/>
        <w:ind w:left="851" w:hanging="851"/>
        <w:jc w:val="both"/>
        <w:rPr>
          <w:rFonts w:ascii="Times New Roman" w:eastAsia="Times New Roman" w:hAnsi="Times New Roman"/>
          <w:sz w:val="24"/>
          <w:szCs w:val="24"/>
        </w:rPr>
      </w:pPr>
      <w:r w:rsidRPr="00A42158">
        <w:rPr>
          <w:rFonts w:ascii="Times New Roman" w:eastAsia="Times New Roman" w:hAnsi="Times New Roman"/>
          <w:sz w:val="24"/>
          <w:szCs w:val="24"/>
        </w:rPr>
        <w:t xml:space="preserve">Tedesco, L. B. (2021). </w:t>
      </w:r>
      <w:r w:rsidRPr="00A42158">
        <w:rPr>
          <w:rFonts w:ascii="Times New Roman" w:eastAsia="Times New Roman" w:hAnsi="Times New Roman"/>
          <w:i/>
          <w:iCs/>
          <w:sz w:val="24"/>
          <w:szCs w:val="24"/>
        </w:rPr>
        <w:t>Eco-Art and the Future of Environmental Aesthetics.</w:t>
      </w:r>
      <w:r w:rsidRPr="00A42158">
        <w:rPr>
          <w:rFonts w:ascii="Times New Roman" w:eastAsia="Times New Roman" w:hAnsi="Times New Roman"/>
          <w:sz w:val="24"/>
          <w:szCs w:val="24"/>
        </w:rPr>
        <w:t xml:space="preserve"> https://culturico.com/2021/06/28/eco-art.</w:t>
      </w:r>
    </w:p>
    <w:p w14:paraId="76D0D66C" w14:textId="77777777" w:rsidR="00F4410D" w:rsidRPr="00A42158" w:rsidRDefault="00F4410D" w:rsidP="00A42158">
      <w:pPr>
        <w:spacing w:after="0"/>
        <w:ind w:left="851" w:hanging="851"/>
        <w:jc w:val="both"/>
        <w:rPr>
          <w:rFonts w:ascii="Times New Roman" w:eastAsia="Times New Roman" w:hAnsi="Times New Roman"/>
          <w:sz w:val="24"/>
          <w:szCs w:val="24"/>
        </w:rPr>
      </w:pPr>
      <w:r w:rsidRPr="00A42158">
        <w:rPr>
          <w:rFonts w:ascii="Times New Roman" w:eastAsia="Times New Roman" w:hAnsi="Times New Roman"/>
          <w:bCs/>
          <w:sz w:val="24"/>
          <w:szCs w:val="24"/>
        </w:rPr>
        <w:t>UNCTAD (2022):</w:t>
      </w:r>
      <w:r w:rsidRPr="00A42158">
        <w:rPr>
          <w:rFonts w:ascii="Times New Roman" w:eastAsia="Times New Roman" w:hAnsi="Times New Roman"/>
          <w:i/>
          <w:iCs/>
          <w:sz w:val="24"/>
          <w:szCs w:val="24"/>
        </w:rPr>
        <w:t>“The creative economy... is highly transformative in terms of income generation, job creation and export earnings.”</w:t>
      </w:r>
      <w:r w:rsidRPr="00A42158">
        <w:rPr>
          <w:rFonts w:ascii="Times New Roman" w:eastAsia="Times New Roman" w:hAnsi="Times New Roman"/>
          <w:sz w:val="24"/>
          <w:szCs w:val="24"/>
        </w:rPr>
        <w:t>Creative Economy Outlook 2022.</w:t>
      </w:r>
    </w:p>
    <w:p w14:paraId="44BEF441" w14:textId="77777777" w:rsidR="00F4410D" w:rsidRPr="00A42158" w:rsidRDefault="00F4410D" w:rsidP="00A42158">
      <w:pPr>
        <w:spacing w:after="0"/>
        <w:ind w:left="851" w:hanging="851"/>
        <w:jc w:val="both"/>
        <w:rPr>
          <w:rFonts w:ascii="Times New Roman" w:eastAsia="Times New Roman" w:hAnsi="Times New Roman"/>
          <w:sz w:val="24"/>
          <w:szCs w:val="24"/>
        </w:rPr>
      </w:pPr>
      <w:r w:rsidRPr="00A42158">
        <w:rPr>
          <w:rFonts w:ascii="Times New Roman" w:eastAsia="Times New Roman" w:hAnsi="Times New Roman"/>
          <w:sz w:val="24"/>
          <w:szCs w:val="24"/>
        </w:rPr>
        <w:t xml:space="preserve">UNCTAD (2023). </w:t>
      </w:r>
      <w:r w:rsidRPr="00A42158">
        <w:rPr>
          <w:rFonts w:ascii="Times New Roman" w:eastAsia="Times New Roman" w:hAnsi="Times New Roman"/>
          <w:i/>
          <w:iCs/>
          <w:sz w:val="24"/>
          <w:szCs w:val="24"/>
        </w:rPr>
        <w:t>Creative Eco nomy Outlook.</w:t>
      </w:r>
    </w:p>
    <w:p w14:paraId="6CAD47BD" w14:textId="77777777" w:rsidR="00F4410D" w:rsidRPr="00A42158" w:rsidRDefault="00F4410D" w:rsidP="00A42158">
      <w:pPr>
        <w:spacing w:after="0"/>
        <w:ind w:left="851" w:hanging="851"/>
        <w:jc w:val="both"/>
        <w:rPr>
          <w:rFonts w:ascii="Times New Roman" w:eastAsia="Times New Roman" w:hAnsi="Times New Roman"/>
          <w:sz w:val="24"/>
          <w:szCs w:val="24"/>
        </w:rPr>
      </w:pPr>
      <w:r w:rsidRPr="00A42158">
        <w:rPr>
          <w:rFonts w:ascii="Times New Roman" w:eastAsia="Times New Roman" w:hAnsi="Times New Roman"/>
          <w:sz w:val="24"/>
          <w:szCs w:val="24"/>
        </w:rPr>
        <w:t xml:space="preserve">UNCTAD. (2021). </w:t>
      </w:r>
      <w:r w:rsidRPr="00A42158">
        <w:rPr>
          <w:rFonts w:ascii="Times New Roman" w:eastAsia="Times New Roman" w:hAnsi="Times New Roman"/>
          <w:i/>
          <w:iCs/>
          <w:sz w:val="24"/>
          <w:szCs w:val="24"/>
        </w:rPr>
        <w:t>Creative Economy Outlook 2022</w:t>
      </w:r>
      <w:r w:rsidRPr="00A42158">
        <w:rPr>
          <w:rFonts w:ascii="Times New Roman" w:eastAsia="Times New Roman" w:hAnsi="Times New Roman"/>
          <w:sz w:val="24"/>
          <w:szCs w:val="24"/>
        </w:rPr>
        <w:t>.</w:t>
      </w:r>
    </w:p>
    <w:p w14:paraId="4EA60D9A" w14:textId="77777777" w:rsidR="00F4410D" w:rsidRPr="00A42158" w:rsidRDefault="00F4410D" w:rsidP="00A42158">
      <w:pPr>
        <w:spacing w:after="0"/>
        <w:ind w:left="851" w:hanging="851"/>
        <w:jc w:val="both"/>
        <w:rPr>
          <w:rFonts w:ascii="Times New Roman" w:eastAsia="Times New Roman" w:hAnsi="Times New Roman"/>
          <w:sz w:val="24"/>
          <w:szCs w:val="24"/>
        </w:rPr>
      </w:pPr>
      <w:r w:rsidRPr="00A42158">
        <w:rPr>
          <w:rFonts w:ascii="Times New Roman" w:eastAsia="Times New Roman" w:hAnsi="Times New Roman"/>
          <w:sz w:val="24"/>
          <w:szCs w:val="24"/>
        </w:rPr>
        <w:t xml:space="preserve">UNESCO (2021). </w:t>
      </w:r>
      <w:r w:rsidRPr="00A42158">
        <w:rPr>
          <w:rFonts w:ascii="Times New Roman" w:eastAsia="Times New Roman" w:hAnsi="Times New Roman"/>
          <w:i/>
          <w:iCs/>
          <w:sz w:val="24"/>
          <w:szCs w:val="24"/>
        </w:rPr>
        <w:t>Re|Shaping Policies for Creativity.</w:t>
      </w:r>
    </w:p>
    <w:p w14:paraId="5364B52B" w14:textId="77777777" w:rsidR="00F4410D" w:rsidRPr="00A42158" w:rsidRDefault="00F4410D" w:rsidP="00A42158">
      <w:pPr>
        <w:spacing w:after="0"/>
        <w:ind w:left="851" w:hanging="851"/>
        <w:jc w:val="both"/>
        <w:rPr>
          <w:rFonts w:ascii="Times New Roman" w:eastAsia="Times New Roman" w:hAnsi="Times New Roman"/>
          <w:sz w:val="24"/>
          <w:szCs w:val="24"/>
        </w:rPr>
      </w:pPr>
      <w:r w:rsidRPr="00A42158">
        <w:rPr>
          <w:rFonts w:ascii="Times New Roman" w:eastAsia="Times New Roman" w:hAnsi="Times New Roman"/>
          <w:bCs/>
          <w:sz w:val="24"/>
          <w:szCs w:val="24"/>
        </w:rPr>
        <w:t>UNESCO (2022):</w:t>
      </w:r>
      <w:r w:rsidRPr="00A42158">
        <w:rPr>
          <w:rFonts w:ascii="Times New Roman" w:eastAsia="Times New Roman" w:hAnsi="Times New Roman"/>
          <w:i/>
          <w:iCs/>
          <w:sz w:val="24"/>
          <w:szCs w:val="24"/>
        </w:rPr>
        <w:t>“Culture and creativity are proven accelerators of inclusive and sustainable development.”</w:t>
      </w:r>
      <w:r w:rsidRPr="00A42158">
        <w:rPr>
          <w:rFonts w:ascii="Times New Roman" w:eastAsia="Times New Roman" w:hAnsi="Times New Roman"/>
          <w:sz w:val="24"/>
          <w:szCs w:val="24"/>
        </w:rPr>
        <w:t>Re|Shaping Policies for Creativity.</w:t>
      </w:r>
    </w:p>
    <w:p w14:paraId="598725DC" w14:textId="77777777" w:rsidR="00F4410D" w:rsidRPr="00A42158" w:rsidRDefault="00F4410D" w:rsidP="00A42158">
      <w:pPr>
        <w:spacing w:after="0"/>
        <w:ind w:left="851" w:hanging="851"/>
        <w:jc w:val="both"/>
        <w:rPr>
          <w:rFonts w:ascii="Times New Roman" w:eastAsia="Times New Roman" w:hAnsi="Times New Roman"/>
          <w:sz w:val="24"/>
          <w:szCs w:val="24"/>
        </w:rPr>
      </w:pPr>
      <w:r w:rsidRPr="00A42158">
        <w:rPr>
          <w:rFonts w:ascii="Times New Roman" w:eastAsia="Times New Roman" w:hAnsi="Times New Roman"/>
          <w:sz w:val="24"/>
          <w:szCs w:val="24"/>
        </w:rPr>
        <w:t xml:space="preserve">UNESCO. (2021). </w:t>
      </w:r>
      <w:r w:rsidRPr="00A42158">
        <w:rPr>
          <w:rFonts w:ascii="Times New Roman" w:eastAsia="Times New Roman" w:hAnsi="Times New Roman"/>
          <w:i/>
          <w:iCs/>
          <w:sz w:val="24"/>
          <w:szCs w:val="24"/>
        </w:rPr>
        <w:t>Culture 2030 Indicators</w:t>
      </w:r>
      <w:r w:rsidRPr="00A42158">
        <w:rPr>
          <w:rFonts w:ascii="Times New Roman" w:eastAsia="Times New Roman" w:hAnsi="Times New Roman"/>
          <w:sz w:val="24"/>
          <w:szCs w:val="24"/>
        </w:rPr>
        <w:t>. https://unesdoc.unesco.org.</w:t>
      </w:r>
    </w:p>
    <w:p w14:paraId="30C450B3" w14:textId="77777777" w:rsidR="00F4410D" w:rsidRPr="00A42158" w:rsidRDefault="00F4410D" w:rsidP="00A42158">
      <w:pPr>
        <w:spacing w:after="0"/>
        <w:ind w:left="851" w:hanging="851"/>
        <w:jc w:val="both"/>
        <w:rPr>
          <w:rFonts w:ascii="Times New Roman" w:eastAsia="Times New Roman" w:hAnsi="Times New Roman"/>
          <w:sz w:val="24"/>
          <w:szCs w:val="24"/>
        </w:rPr>
      </w:pPr>
      <w:r w:rsidRPr="00A42158">
        <w:rPr>
          <w:rFonts w:ascii="Times New Roman" w:eastAsia="Times New Roman" w:hAnsi="Times New Roman"/>
          <w:sz w:val="24"/>
          <w:szCs w:val="24"/>
        </w:rPr>
        <w:t xml:space="preserve">UNESCO. (2022). </w:t>
      </w:r>
      <w:r w:rsidRPr="00A42158">
        <w:rPr>
          <w:rFonts w:ascii="Times New Roman" w:eastAsia="Times New Roman" w:hAnsi="Times New Roman"/>
          <w:i/>
          <w:iCs/>
          <w:sz w:val="24"/>
          <w:szCs w:val="24"/>
        </w:rPr>
        <w:t>Re|Shaping Policies for Creativity: Addressing Culture as a Global Public Good.</w:t>
      </w:r>
      <w:r w:rsidRPr="00A42158">
        <w:rPr>
          <w:rFonts w:ascii="Times New Roman" w:eastAsia="Times New Roman" w:hAnsi="Times New Roman"/>
          <w:sz w:val="24"/>
          <w:szCs w:val="24"/>
        </w:rPr>
        <w:t xml:space="preserve"> Paris: UNESCO. https://unesdoc.unesco.org/ark:/48223/pf0000380618.</w:t>
      </w:r>
    </w:p>
    <w:p w14:paraId="7658AC74" w14:textId="77777777" w:rsidR="00F4410D" w:rsidRPr="00A42158" w:rsidRDefault="00F4410D" w:rsidP="00A42158">
      <w:pPr>
        <w:spacing w:after="0"/>
        <w:ind w:left="851" w:hanging="851"/>
        <w:jc w:val="both"/>
        <w:rPr>
          <w:rFonts w:ascii="Times New Roman" w:eastAsia="Times New Roman" w:hAnsi="Times New Roman"/>
          <w:sz w:val="24"/>
          <w:szCs w:val="24"/>
        </w:rPr>
      </w:pPr>
      <w:r w:rsidRPr="00A42158">
        <w:rPr>
          <w:rFonts w:ascii="Times New Roman" w:eastAsia="Times New Roman" w:hAnsi="Times New Roman"/>
          <w:sz w:val="24"/>
          <w:szCs w:val="24"/>
        </w:rPr>
        <w:t xml:space="preserve">United Nations Conference on Trade and Development. (2022). </w:t>
      </w:r>
      <w:r w:rsidRPr="00A42158">
        <w:rPr>
          <w:rFonts w:ascii="Times New Roman" w:eastAsia="Times New Roman" w:hAnsi="Times New Roman"/>
          <w:i/>
          <w:iCs/>
          <w:sz w:val="24"/>
          <w:szCs w:val="24"/>
        </w:rPr>
        <w:t>Creative Economy Outlook 2022: Prospects and Trends in the Digital Era.</w:t>
      </w:r>
      <w:r w:rsidRPr="00A42158">
        <w:rPr>
          <w:rFonts w:ascii="Times New Roman" w:eastAsia="Times New Roman" w:hAnsi="Times New Roman"/>
          <w:sz w:val="24"/>
          <w:szCs w:val="24"/>
        </w:rPr>
        <w:t xml:space="preserve"> UNCTAD. </w:t>
      </w:r>
      <w:hyperlink r:id="rId70" w:history="1">
        <w:r w:rsidRPr="00A42158">
          <w:rPr>
            <w:rStyle w:val="Hyperlink"/>
            <w:rFonts w:ascii="Times New Roman" w:eastAsia="Times New Roman" w:hAnsi="Times New Roman"/>
            <w:sz w:val="24"/>
            <w:szCs w:val="24"/>
          </w:rPr>
          <w:t>https://unctad.org/webflyer/creative-economy-outlook-2022</w:t>
        </w:r>
      </w:hyperlink>
    </w:p>
    <w:p w14:paraId="42DCDEA5" w14:textId="77777777" w:rsidR="00F4410D" w:rsidRPr="00A42158" w:rsidRDefault="00F4410D" w:rsidP="00A42158">
      <w:pPr>
        <w:spacing w:after="0"/>
        <w:ind w:left="851" w:hanging="851"/>
        <w:jc w:val="both"/>
        <w:rPr>
          <w:rFonts w:ascii="Times New Roman" w:eastAsia="Times New Roman" w:hAnsi="Times New Roman"/>
          <w:sz w:val="24"/>
          <w:szCs w:val="24"/>
        </w:rPr>
      </w:pPr>
      <w:r w:rsidRPr="00A42158">
        <w:rPr>
          <w:rFonts w:ascii="Times New Roman" w:eastAsia="Times New Roman" w:hAnsi="Times New Roman"/>
          <w:sz w:val="24"/>
          <w:szCs w:val="24"/>
        </w:rPr>
        <w:t xml:space="preserve">United Nations Environment Programme (UNEP). (2020). </w:t>
      </w:r>
      <w:r w:rsidRPr="00A42158">
        <w:rPr>
          <w:rFonts w:ascii="Times New Roman" w:eastAsia="Times New Roman" w:hAnsi="Times New Roman"/>
          <w:i/>
          <w:iCs/>
          <w:sz w:val="24"/>
          <w:szCs w:val="24"/>
        </w:rPr>
        <w:t>Creative Economy Report</w:t>
      </w:r>
      <w:r w:rsidRPr="00A42158">
        <w:rPr>
          <w:rFonts w:ascii="Times New Roman" w:eastAsia="Times New Roman" w:hAnsi="Times New Roman"/>
          <w:sz w:val="24"/>
          <w:szCs w:val="24"/>
        </w:rPr>
        <w:t>.</w:t>
      </w:r>
    </w:p>
    <w:p w14:paraId="2E562733" w14:textId="77777777" w:rsidR="00F4410D" w:rsidRPr="00A42158" w:rsidRDefault="00F4410D" w:rsidP="00A42158">
      <w:pPr>
        <w:spacing w:after="0"/>
        <w:ind w:left="851" w:hanging="851"/>
        <w:jc w:val="both"/>
        <w:rPr>
          <w:rFonts w:ascii="Times New Roman" w:eastAsia="Times New Roman" w:hAnsi="Times New Roman"/>
          <w:sz w:val="24"/>
          <w:szCs w:val="24"/>
        </w:rPr>
      </w:pPr>
      <w:r w:rsidRPr="00A42158">
        <w:rPr>
          <w:rFonts w:ascii="Times New Roman" w:eastAsia="Times New Roman" w:hAnsi="Times New Roman"/>
          <w:sz w:val="24"/>
          <w:szCs w:val="24"/>
        </w:rPr>
        <w:t xml:space="preserve">United Nations. (2020). </w:t>
      </w:r>
      <w:r w:rsidRPr="00A42158">
        <w:rPr>
          <w:rFonts w:ascii="Times New Roman" w:eastAsia="Times New Roman" w:hAnsi="Times New Roman"/>
          <w:i/>
          <w:iCs/>
          <w:sz w:val="24"/>
          <w:szCs w:val="24"/>
        </w:rPr>
        <w:t>Culture for Sustainable Development.</w:t>
      </w:r>
      <w:r w:rsidRPr="00A42158">
        <w:rPr>
          <w:rFonts w:ascii="Times New Roman" w:eastAsia="Times New Roman" w:hAnsi="Times New Roman"/>
          <w:sz w:val="24"/>
          <w:szCs w:val="24"/>
        </w:rPr>
        <w:t xml:space="preserve"> SDG Knowledge Platform. https://sdgs.un.org/goals.</w:t>
      </w:r>
    </w:p>
    <w:p w14:paraId="3A2A9F67" w14:textId="77777777" w:rsidR="00F4410D" w:rsidRPr="00A42158" w:rsidRDefault="00F4410D" w:rsidP="00A42158">
      <w:pPr>
        <w:spacing w:after="0"/>
        <w:ind w:left="851" w:hanging="851"/>
        <w:jc w:val="both"/>
        <w:rPr>
          <w:rFonts w:ascii="Times New Roman" w:eastAsia="Times New Roman" w:hAnsi="Times New Roman"/>
          <w:sz w:val="24"/>
          <w:szCs w:val="24"/>
        </w:rPr>
      </w:pPr>
      <w:r w:rsidRPr="00A42158">
        <w:rPr>
          <w:rFonts w:ascii="Times New Roman" w:eastAsia="Times New Roman" w:hAnsi="Times New Roman"/>
          <w:bCs/>
          <w:sz w:val="24"/>
          <w:szCs w:val="24"/>
        </w:rPr>
        <w:t xml:space="preserve">Washed Ashore Project (2020): </w:t>
      </w:r>
      <w:r w:rsidRPr="00A42158">
        <w:rPr>
          <w:rFonts w:ascii="Times New Roman" w:eastAsia="Times New Roman" w:hAnsi="Times New Roman"/>
          <w:i/>
          <w:iCs/>
          <w:sz w:val="24"/>
          <w:szCs w:val="24"/>
        </w:rPr>
        <w:t>“We turn plastic pollution into powerful art to educate a global audience.”</w:t>
      </w:r>
      <w:r w:rsidRPr="00A42158">
        <w:rPr>
          <w:rFonts w:ascii="Times New Roman" w:eastAsia="Times New Roman" w:hAnsi="Times New Roman"/>
          <w:sz w:val="24"/>
          <w:szCs w:val="24"/>
        </w:rPr>
        <w:t>WashedAshore.org. Washed Ashore Project: www.washedashore.org.</w:t>
      </w:r>
    </w:p>
    <w:p w14:paraId="1031FE06" w14:textId="77777777" w:rsidR="00F4410D" w:rsidRPr="00A42158" w:rsidRDefault="00F4410D" w:rsidP="00A42158">
      <w:pPr>
        <w:spacing w:after="0"/>
        <w:ind w:left="851" w:hanging="851"/>
        <w:jc w:val="both"/>
        <w:rPr>
          <w:rFonts w:ascii="Times New Roman" w:eastAsia="Times New Roman" w:hAnsi="Times New Roman"/>
          <w:sz w:val="24"/>
          <w:szCs w:val="24"/>
        </w:rPr>
      </w:pPr>
      <w:r w:rsidRPr="00A42158">
        <w:rPr>
          <w:rFonts w:ascii="Times New Roman" w:eastAsia="Times New Roman" w:hAnsi="Times New Roman"/>
          <w:sz w:val="24"/>
          <w:szCs w:val="24"/>
        </w:rPr>
        <w:t xml:space="preserve">Washed Ashore. (2020). </w:t>
      </w:r>
      <w:r w:rsidRPr="00A42158">
        <w:rPr>
          <w:rFonts w:ascii="Times New Roman" w:eastAsia="Times New Roman" w:hAnsi="Times New Roman"/>
          <w:i/>
          <w:iCs/>
          <w:sz w:val="24"/>
          <w:szCs w:val="24"/>
        </w:rPr>
        <w:t>About the Project.</w:t>
      </w:r>
      <w:r w:rsidRPr="00A42158">
        <w:rPr>
          <w:rFonts w:ascii="Times New Roman" w:eastAsia="Times New Roman" w:hAnsi="Times New Roman"/>
          <w:sz w:val="24"/>
          <w:szCs w:val="24"/>
        </w:rPr>
        <w:t xml:space="preserve"> Retrieved from </w:t>
      </w:r>
      <w:hyperlink r:id="rId71" w:history="1">
        <w:r w:rsidRPr="00A42158">
          <w:rPr>
            <w:rStyle w:val="Hyperlink"/>
            <w:rFonts w:ascii="Times New Roman" w:eastAsia="Times New Roman" w:hAnsi="Times New Roman"/>
            <w:sz w:val="24"/>
            <w:szCs w:val="24"/>
          </w:rPr>
          <w:t>https://www.washedashore.org</w:t>
        </w:r>
      </w:hyperlink>
      <w:r w:rsidRPr="00A42158">
        <w:rPr>
          <w:rFonts w:ascii="Times New Roman" w:eastAsia="Times New Roman" w:hAnsi="Times New Roman"/>
          <w:sz w:val="24"/>
          <w:szCs w:val="24"/>
        </w:rPr>
        <w:t>.</w:t>
      </w:r>
    </w:p>
    <w:p w14:paraId="68EAEA38" w14:textId="77777777" w:rsidR="005E515E" w:rsidRDefault="005E515E" w:rsidP="00E90BB6">
      <w:pPr>
        <w:spacing w:after="0" w:line="240" w:lineRule="auto"/>
        <w:rPr>
          <w:rFonts w:ascii="Times New Roman" w:eastAsia="Times New Roman" w:hAnsi="Times New Roman" w:cs="Times New Roman"/>
          <w:bCs/>
          <w:sz w:val="24"/>
          <w:szCs w:val="24"/>
        </w:rPr>
      </w:pPr>
    </w:p>
    <w:p w14:paraId="2BED37F1" w14:textId="77777777" w:rsidR="00A42158" w:rsidRDefault="00A42158" w:rsidP="00E90BB6">
      <w:pPr>
        <w:spacing w:after="0" w:line="240" w:lineRule="auto"/>
        <w:rPr>
          <w:rFonts w:ascii="Times New Roman" w:eastAsia="Times New Roman" w:hAnsi="Times New Roman" w:cs="Times New Roman"/>
          <w:bCs/>
          <w:sz w:val="24"/>
          <w:szCs w:val="24"/>
        </w:rPr>
      </w:pPr>
    </w:p>
    <w:p w14:paraId="676803A3" w14:textId="77777777" w:rsidR="00A42158" w:rsidRDefault="00A42158" w:rsidP="00E90BB6">
      <w:pPr>
        <w:spacing w:after="0" w:line="240" w:lineRule="auto"/>
        <w:rPr>
          <w:rFonts w:ascii="Times New Roman" w:eastAsia="Times New Roman" w:hAnsi="Times New Roman" w:cs="Times New Roman"/>
          <w:bCs/>
          <w:sz w:val="24"/>
          <w:szCs w:val="24"/>
        </w:rPr>
      </w:pPr>
    </w:p>
    <w:p w14:paraId="3BCAE54E" w14:textId="77777777" w:rsidR="00A42158" w:rsidRPr="00BE4AF3" w:rsidRDefault="00A42158" w:rsidP="00E90BB6">
      <w:pPr>
        <w:spacing w:after="0" w:line="240" w:lineRule="auto"/>
        <w:rPr>
          <w:rFonts w:ascii="Times New Roman" w:eastAsia="Times New Roman" w:hAnsi="Times New Roman" w:cs="Times New Roman"/>
          <w:bCs/>
          <w:sz w:val="24"/>
          <w:szCs w:val="24"/>
        </w:rPr>
      </w:pPr>
    </w:p>
    <w:p w14:paraId="17284F79" w14:textId="77777777" w:rsidR="00A95426" w:rsidRPr="00A42158" w:rsidRDefault="00A95426" w:rsidP="00E90BB6">
      <w:pPr>
        <w:spacing w:after="0" w:line="240" w:lineRule="auto"/>
        <w:jc w:val="center"/>
        <w:rPr>
          <w:rFonts w:ascii="Times New Roman" w:hAnsi="Times New Roman" w:cs="Times New Roman"/>
          <w:b/>
          <w:sz w:val="28"/>
          <w:szCs w:val="28"/>
        </w:rPr>
      </w:pPr>
      <w:r w:rsidRPr="00A42158">
        <w:rPr>
          <w:rFonts w:ascii="Times New Roman" w:hAnsi="Times New Roman" w:cs="Times New Roman"/>
          <w:b/>
          <w:sz w:val="28"/>
          <w:szCs w:val="28"/>
        </w:rPr>
        <w:lastRenderedPageBreak/>
        <w:t>Analysis of Tax Policy Effects on Real Estate Investment in Nigeria</w:t>
      </w:r>
    </w:p>
    <w:p w14:paraId="007D825E" w14:textId="77777777" w:rsidR="005E515E" w:rsidRPr="00BE4AF3" w:rsidRDefault="005E515E" w:rsidP="00E90BB6">
      <w:pPr>
        <w:spacing w:after="0" w:line="240" w:lineRule="auto"/>
        <w:jc w:val="center"/>
        <w:rPr>
          <w:rFonts w:ascii="Times New Roman" w:hAnsi="Times New Roman" w:cs="Times New Roman"/>
          <w:b/>
          <w:sz w:val="24"/>
          <w:szCs w:val="24"/>
        </w:rPr>
      </w:pPr>
    </w:p>
    <w:p w14:paraId="69FF0678" w14:textId="77777777" w:rsidR="00A95426" w:rsidRPr="00BE4AF3" w:rsidRDefault="00A95426" w:rsidP="00E90BB6">
      <w:pPr>
        <w:spacing w:after="0" w:line="240" w:lineRule="auto"/>
        <w:jc w:val="center"/>
        <w:rPr>
          <w:rFonts w:ascii="Times New Roman" w:hAnsi="Times New Roman" w:cs="Times New Roman"/>
          <w:sz w:val="24"/>
          <w:szCs w:val="24"/>
        </w:rPr>
      </w:pPr>
      <w:r w:rsidRPr="00BE4AF3">
        <w:rPr>
          <w:rFonts w:ascii="Times New Roman" w:hAnsi="Times New Roman" w:cs="Times New Roman"/>
          <w:sz w:val="24"/>
          <w:szCs w:val="24"/>
          <w:vertAlign w:val="superscript"/>
        </w:rPr>
        <w:t>1</w:t>
      </w:r>
      <w:r w:rsidRPr="00BE4AF3">
        <w:rPr>
          <w:rFonts w:ascii="Times New Roman" w:hAnsi="Times New Roman" w:cs="Times New Roman"/>
          <w:bCs/>
          <w:sz w:val="24"/>
          <w:szCs w:val="24"/>
        </w:rPr>
        <w:t>Ojeniyi S.A</w:t>
      </w:r>
      <w:r w:rsidRPr="00BE4AF3">
        <w:rPr>
          <w:rFonts w:ascii="Times New Roman" w:hAnsi="Times New Roman" w:cs="Times New Roman"/>
          <w:sz w:val="24"/>
          <w:szCs w:val="24"/>
        </w:rPr>
        <w:t xml:space="preserve">, </w:t>
      </w:r>
      <w:r w:rsidRPr="00BE4AF3">
        <w:rPr>
          <w:rFonts w:ascii="Times New Roman" w:hAnsi="Times New Roman" w:cs="Times New Roman"/>
          <w:sz w:val="24"/>
          <w:szCs w:val="24"/>
          <w:vertAlign w:val="superscript"/>
        </w:rPr>
        <w:t>2</w:t>
      </w:r>
      <w:r w:rsidRPr="00BE4AF3">
        <w:rPr>
          <w:rFonts w:ascii="Times New Roman" w:hAnsi="Times New Roman" w:cs="Times New Roman"/>
          <w:sz w:val="24"/>
          <w:szCs w:val="24"/>
        </w:rPr>
        <w:t xml:space="preserve">Sakariyau J. K, </w:t>
      </w:r>
      <w:r w:rsidRPr="00BE4AF3">
        <w:rPr>
          <w:rFonts w:ascii="Times New Roman" w:hAnsi="Times New Roman" w:cs="Times New Roman"/>
          <w:sz w:val="24"/>
          <w:szCs w:val="24"/>
          <w:vertAlign w:val="superscript"/>
        </w:rPr>
        <w:t>3</w:t>
      </w:r>
      <w:r w:rsidRPr="00BE4AF3">
        <w:rPr>
          <w:rFonts w:ascii="Times New Roman" w:hAnsi="Times New Roman" w:cs="Times New Roman"/>
          <w:sz w:val="24"/>
          <w:szCs w:val="24"/>
        </w:rPr>
        <w:t xml:space="preserve">Akinade A. and </w:t>
      </w:r>
      <w:r w:rsidRPr="00BE4AF3">
        <w:rPr>
          <w:rFonts w:ascii="Times New Roman" w:hAnsi="Times New Roman" w:cs="Times New Roman"/>
          <w:sz w:val="24"/>
          <w:szCs w:val="24"/>
          <w:vertAlign w:val="superscript"/>
        </w:rPr>
        <w:t>4</w:t>
      </w:r>
      <w:r w:rsidRPr="00BE4AF3">
        <w:rPr>
          <w:rFonts w:ascii="Times New Roman" w:hAnsi="Times New Roman" w:cs="Times New Roman"/>
          <w:sz w:val="24"/>
          <w:szCs w:val="24"/>
        </w:rPr>
        <w:t>Ozugha A. G</w:t>
      </w:r>
    </w:p>
    <w:p w14:paraId="77A81DE1" w14:textId="77777777" w:rsidR="005E515E" w:rsidRPr="00BE4AF3" w:rsidRDefault="005E515E" w:rsidP="00E90BB6">
      <w:pPr>
        <w:spacing w:after="0" w:line="240" w:lineRule="auto"/>
        <w:jc w:val="center"/>
        <w:rPr>
          <w:rFonts w:ascii="Times New Roman" w:hAnsi="Times New Roman" w:cs="Times New Roman"/>
          <w:b/>
          <w:sz w:val="24"/>
          <w:szCs w:val="24"/>
          <w:vertAlign w:val="superscript"/>
        </w:rPr>
      </w:pPr>
    </w:p>
    <w:p w14:paraId="078F48D0" w14:textId="77777777" w:rsidR="00A95426" w:rsidRPr="00596BBD" w:rsidRDefault="00A95426" w:rsidP="005E515E">
      <w:pPr>
        <w:pStyle w:val="Default"/>
        <w:jc w:val="center"/>
        <w:rPr>
          <w:iCs/>
          <w:color w:val="auto"/>
          <w:sz w:val="20"/>
          <w:szCs w:val="20"/>
        </w:rPr>
      </w:pPr>
      <w:r w:rsidRPr="00596BBD">
        <w:rPr>
          <w:b/>
          <w:bCs/>
          <w:iCs/>
          <w:color w:val="auto"/>
          <w:sz w:val="20"/>
          <w:szCs w:val="20"/>
          <w:vertAlign w:val="superscript"/>
        </w:rPr>
        <w:t>1</w:t>
      </w:r>
      <w:r w:rsidRPr="00596BBD">
        <w:rPr>
          <w:iCs/>
          <w:color w:val="auto"/>
          <w:sz w:val="20"/>
          <w:szCs w:val="20"/>
        </w:rPr>
        <w:t>Department of Estate Management</w:t>
      </w:r>
      <w:r w:rsidRPr="00596BBD">
        <w:rPr>
          <w:rFonts w:eastAsia="Times New Roman"/>
          <w:iCs/>
          <w:color w:val="auto"/>
          <w:sz w:val="20"/>
          <w:szCs w:val="20"/>
        </w:rPr>
        <w:t xml:space="preserve">, Ladoke Akintola University of Technology, Ogbomosho, Oyo </w:t>
      </w:r>
      <w:r w:rsidRPr="00596BBD">
        <w:rPr>
          <w:iCs/>
          <w:color w:val="auto"/>
          <w:sz w:val="20"/>
          <w:szCs w:val="20"/>
        </w:rPr>
        <w:t>State, Nigeria.</w:t>
      </w:r>
    </w:p>
    <w:p w14:paraId="1EE901A5" w14:textId="77777777" w:rsidR="00A95426" w:rsidRPr="00596BBD" w:rsidRDefault="00A95426" w:rsidP="005E515E">
      <w:pPr>
        <w:spacing w:after="0" w:line="240" w:lineRule="auto"/>
        <w:jc w:val="center"/>
        <w:rPr>
          <w:rFonts w:ascii="Times New Roman" w:hAnsi="Times New Roman" w:cs="Times New Roman"/>
          <w:iCs/>
          <w:sz w:val="20"/>
          <w:szCs w:val="20"/>
        </w:rPr>
      </w:pPr>
      <w:r w:rsidRPr="00596BBD">
        <w:rPr>
          <w:rFonts w:ascii="Times New Roman" w:hAnsi="Times New Roman" w:cs="Times New Roman"/>
          <w:iCs/>
          <w:sz w:val="20"/>
          <w:szCs w:val="20"/>
          <w:vertAlign w:val="superscript"/>
        </w:rPr>
        <w:t>2</w:t>
      </w:r>
      <w:r w:rsidRPr="00596BBD">
        <w:rPr>
          <w:rFonts w:ascii="Times New Roman" w:hAnsi="Times New Roman" w:cs="Times New Roman"/>
          <w:iCs/>
          <w:sz w:val="20"/>
          <w:szCs w:val="20"/>
        </w:rPr>
        <w:t>Department of Estate Management, University of Abuja, Abuja, Nigeria.</w:t>
      </w:r>
    </w:p>
    <w:p w14:paraId="6BF0E59D" w14:textId="77777777" w:rsidR="00A95426" w:rsidRPr="00596BBD" w:rsidRDefault="00A95426" w:rsidP="005E515E">
      <w:pPr>
        <w:spacing w:after="0" w:line="240" w:lineRule="auto"/>
        <w:jc w:val="center"/>
        <w:rPr>
          <w:rFonts w:ascii="Times New Roman" w:hAnsi="Times New Roman" w:cs="Times New Roman"/>
          <w:iCs/>
          <w:sz w:val="20"/>
          <w:szCs w:val="20"/>
        </w:rPr>
      </w:pPr>
      <w:r w:rsidRPr="00596BBD">
        <w:rPr>
          <w:rFonts w:ascii="Times New Roman" w:hAnsi="Times New Roman" w:cs="Times New Roman"/>
          <w:b/>
          <w:iCs/>
          <w:sz w:val="20"/>
          <w:szCs w:val="20"/>
          <w:vertAlign w:val="superscript"/>
        </w:rPr>
        <w:t>3</w:t>
      </w:r>
      <w:r w:rsidRPr="00596BBD">
        <w:rPr>
          <w:rFonts w:ascii="Times New Roman" w:eastAsia="SimSun" w:hAnsi="Times New Roman" w:cs="Times New Roman"/>
          <w:iCs/>
          <w:sz w:val="20"/>
          <w:szCs w:val="20"/>
          <w:lang w:eastAsia="zh-CN"/>
        </w:rPr>
        <w:t>Department of Estate Management,</w:t>
      </w:r>
      <w:r w:rsidRPr="00596BBD">
        <w:rPr>
          <w:rFonts w:ascii="Times New Roman" w:eastAsia="Times New Roman" w:hAnsi="Times New Roman" w:cs="Times New Roman"/>
          <w:iCs/>
          <w:sz w:val="20"/>
          <w:szCs w:val="20"/>
        </w:rPr>
        <w:t xml:space="preserve"> </w:t>
      </w:r>
      <w:r w:rsidRPr="00596BBD">
        <w:rPr>
          <w:rFonts w:ascii="Times New Roman" w:hAnsi="Times New Roman" w:cs="Times New Roman"/>
          <w:iCs/>
          <w:sz w:val="20"/>
          <w:szCs w:val="20"/>
        </w:rPr>
        <w:t>Ladoke Akintola University of Technology, Ogbomoso</w:t>
      </w:r>
      <w:r w:rsidRPr="00596BBD">
        <w:rPr>
          <w:rFonts w:ascii="Times New Roman" w:eastAsia="SimSun" w:hAnsi="Times New Roman" w:cs="Times New Roman"/>
          <w:iCs/>
          <w:sz w:val="20"/>
          <w:szCs w:val="20"/>
          <w:lang w:eastAsia="zh-CN"/>
        </w:rPr>
        <w:t>, Nigeria.</w:t>
      </w:r>
    </w:p>
    <w:p w14:paraId="13A5AD9A" w14:textId="77777777" w:rsidR="00A95426" w:rsidRPr="00596BBD" w:rsidRDefault="00A95426" w:rsidP="005E515E">
      <w:pPr>
        <w:spacing w:after="0" w:line="240" w:lineRule="auto"/>
        <w:jc w:val="center"/>
        <w:rPr>
          <w:rFonts w:ascii="Times New Roman" w:eastAsia="SimSun" w:hAnsi="Times New Roman" w:cs="Times New Roman"/>
          <w:iCs/>
          <w:sz w:val="20"/>
          <w:szCs w:val="20"/>
          <w:lang w:eastAsia="zh-CN"/>
        </w:rPr>
      </w:pPr>
      <w:r w:rsidRPr="00596BBD">
        <w:rPr>
          <w:rFonts w:ascii="Times New Roman" w:hAnsi="Times New Roman" w:cs="Times New Roman"/>
          <w:bCs/>
          <w:iCs/>
          <w:sz w:val="20"/>
          <w:szCs w:val="20"/>
          <w:vertAlign w:val="superscript"/>
        </w:rPr>
        <w:t>4</w:t>
      </w:r>
      <w:r w:rsidRPr="00596BBD">
        <w:rPr>
          <w:rFonts w:ascii="Times New Roman" w:eastAsia="SimSun" w:hAnsi="Times New Roman" w:cs="Times New Roman"/>
          <w:iCs/>
          <w:sz w:val="20"/>
          <w:szCs w:val="20"/>
          <w:lang w:eastAsia="zh-CN"/>
        </w:rPr>
        <w:t>Department of Estate Management and Valuation, Yaba College of Technology, Yaba, Lagos, Nigeria.</w:t>
      </w:r>
    </w:p>
    <w:p w14:paraId="5601A045" w14:textId="77777777" w:rsidR="005E515E" w:rsidRPr="00596BBD" w:rsidRDefault="005E515E" w:rsidP="005E515E">
      <w:pPr>
        <w:spacing w:after="0" w:line="240" w:lineRule="auto"/>
        <w:jc w:val="center"/>
        <w:rPr>
          <w:rFonts w:ascii="Times New Roman" w:hAnsi="Times New Roman" w:cs="Times New Roman"/>
          <w:iCs/>
          <w:sz w:val="20"/>
          <w:szCs w:val="20"/>
        </w:rPr>
      </w:pPr>
    </w:p>
    <w:p w14:paraId="176E612B" w14:textId="77777777" w:rsidR="00A95426" w:rsidRPr="00596BBD" w:rsidRDefault="00A95426" w:rsidP="005E515E">
      <w:pPr>
        <w:spacing w:after="0" w:line="240" w:lineRule="auto"/>
        <w:jc w:val="center"/>
        <w:rPr>
          <w:rFonts w:ascii="Times New Roman" w:hAnsi="Times New Roman" w:cs="Times New Roman"/>
          <w:bCs/>
          <w:sz w:val="20"/>
          <w:szCs w:val="20"/>
        </w:rPr>
      </w:pPr>
      <w:r w:rsidRPr="00596BBD">
        <w:rPr>
          <w:rFonts w:ascii="Times New Roman" w:eastAsia="Times New Roman" w:hAnsi="Times New Roman" w:cs="Times New Roman"/>
          <w:bCs/>
          <w:sz w:val="20"/>
          <w:szCs w:val="20"/>
        </w:rPr>
        <w:t>*Corresponding Author’s email:</w:t>
      </w:r>
      <w:r w:rsidRPr="00596BBD">
        <w:rPr>
          <w:rFonts w:ascii="Times New Roman" w:hAnsi="Times New Roman" w:cs="Times New Roman"/>
          <w:bCs/>
          <w:sz w:val="20"/>
          <w:szCs w:val="20"/>
        </w:rPr>
        <w:t xml:space="preserve"> aaakinade@lautech.edu.ng*</w:t>
      </w:r>
    </w:p>
    <w:p w14:paraId="009269E5" w14:textId="77777777" w:rsidR="005E515E" w:rsidRPr="00BE4AF3" w:rsidRDefault="005E515E" w:rsidP="00E90BB6">
      <w:pPr>
        <w:spacing w:after="0" w:line="240" w:lineRule="auto"/>
        <w:jc w:val="both"/>
        <w:rPr>
          <w:rFonts w:ascii="Times New Roman" w:hAnsi="Times New Roman" w:cs="Times New Roman"/>
          <w:sz w:val="24"/>
          <w:szCs w:val="24"/>
        </w:rPr>
      </w:pPr>
    </w:p>
    <w:p w14:paraId="0BF51D4F" w14:textId="77777777" w:rsidR="00A95426" w:rsidRPr="00BE4AF3" w:rsidRDefault="00A95426" w:rsidP="00E90BB6">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LICFES 2025-015 – FP9</w:t>
      </w:r>
    </w:p>
    <w:p w14:paraId="55720C22" w14:textId="77777777" w:rsidR="00A95426" w:rsidRPr="00BE4AF3" w:rsidRDefault="00A95426" w:rsidP="00E90BB6">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Abstracts</w:t>
      </w:r>
    </w:p>
    <w:p w14:paraId="13484EAE" w14:textId="77777777" w:rsidR="00A95426" w:rsidRPr="00BE4AF3" w:rsidRDefault="00A95426" w:rsidP="00E90BB6">
      <w:pPr>
        <w:spacing w:after="0" w:line="240" w:lineRule="auto"/>
        <w:jc w:val="both"/>
        <w:rPr>
          <w:rFonts w:ascii="Times New Roman" w:hAnsi="Times New Roman" w:cs="Times New Roman"/>
          <w:b/>
          <w:iCs/>
          <w:sz w:val="24"/>
          <w:szCs w:val="24"/>
        </w:rPr>
      </w:pPr>
      <w:r w:rsidRPr="00BE4AF3">
        <w:rPr>
          <w:rFonts w:ascii="Times New Roman" w:hAnsi="Times New Roman" w:cs="Times New Roman"/>
          <w:iCs/>
          <w:sz w:val="24"/>
          <w:szCs w:val="24"/>
        </w:rPr>
        <w:t>Nigeria stands at a critical juncture in its economic development trajectory, with the real estate sector emerging as a pivotal driver of growth amid ongoing efforts to diversify from oil dependency. As Africa's most populous nation with over 220 million inhabitants and an economy valued at approximately $440 billion, Nigeria represents the continent's largest real estate market and a significant emerging market opportunity globally. However, the sector faces unprecedented challenges that extend far beyond traditional market dynamics to encompass complex fiscal policy interactions that fundamentally shape development patterns and investment flows. This study examines the effects of taxation on real estate development in Nigeria using primary data from 312 real estate developers across six major urban centers. Employing multiple regression analysis and structural equation modeling, the research reveals that cumulative tax burden significantly reduces development activity, with a 1% increase in effective tax rate associated with a 2.3% decrease in development projects. The study finds that property tax, capital gains tax and multiple levies collectively increase development costs by 18-24%, significantly impacting housing affordability. Policy recommendations include tax harmonization, incentive structures for affordable housing and improved revenue utilization transparency.</w:t>
      </w:r>
    </w:p>
    <w:p w14:paraId="57FF2E98" w14:textId="77777777" w:rsidR="005E515E" w:rsidRPr="00BE4AF3" w:rsidRDefault="005E515E" w:rsidP="00E90BB6">
      <w:pPr>
        <w:spacing w:after="0" w:line="240" w:lineRule="auto"/>
        <w:rPr>
          <w:rFonts w:ascii="Times New Roman" w:hAnsi="Times New Roman" w:cs="Times New Roman"/>
          <w:b/>
          <w:bCs/>
          <w:iCs/>
          <w:sz w:val="24"/>
          <w:szCs w:val="24"/>
        </w:rPr>
      </w:pPr>
    </w:p>
    <w:p w14:paraId="73AB5EB3" w14:textId="77777777" w:rsidR="00A95426" w:rsidRPr="00BE4AF3" w:rsidRDefault="00A95426" w:rsidP="00AE2454">
      <w:pPr>
        <w:spacing w:after="0" w:line="240" w:lineRule="auto"/>
        <w:jc w:val="both"/>
        <w:rPr>
          <w:rFonts w:ascii="Times New Roman" w:hAnsi="Times New Roman" w:cs="Times New Roman"/>
          <w:iCs/>
          <w:sz w:val="24"/>
          <w:szCs w:val="24"/>
        </w:rPr>
      </w:pPr>
      <w:r w:rsidRPr="00BE4AF3">
        <w:rPr>
          <w:rFonts w:ascii="Times New Roman" w:hAnsi="Times New Roman" w:cs="Times New Roman"/>
          <w:b/>
          <w:bCs/>
          <w:iCs/>
          <w:sz w:val="24"/>
          <w:szCs w:val="24"/>
        </w:rPr>
        <w:t>Keywords:</w:t>
      </w:r>
      <w:r w:rsidRPr="00BE4AF3">
        <w:rPr>
          <w:rFonts w:ascii="Times New Roman" w:hAnsi="Times New Roman" w:cs="Times New Roman"/>
          <w:iCs/>
          <w:sz w:val="24"/>
          <w:szCs w:val="24"/>
        </w:rPr>
        <w:t xml:space="preserve"> Real estate taxation, Nigeria, development costs, housing affordability, fiscal policy</w:t>
      </w:r>
    </w:p>
    <w:p w14:paraId="105CDEEF" w14:textId="77777777" w:rsidR="00A95426" w:rsidRPr="00BE4AF3" w:rsidRDefault="00A95426" w:rsidP="00E90BB6">
      <w:pPr>
        <w:spacing w:after="0" w:line="240" w:lineRule="auto"/>
        <w:rPr>
          <w:rFonts w:ascii="Times New Roman" w:hAnsi="Times New Roman" w:cs="Times New Roman"/>
          <w:iCs/>
          <w:sz w:val="24"/>
          <w:szCs w:val="24"/>
        </w:rPr>
      </w:pPr>
    </w:p>
    <w:p w14:paraId="55E12B7F" w14:textId="77777777" w:rsidR="00F4410D" w:rsidRPr="00BE4AF3" w:rsidRDefault="00F4410D" w:rsidP="00F4410D">
      <w:pPr>
        <w:spacing w:after="0" w:line="240" w:lineRule="auto"/>
        <w:rPr>
          <w:rFonts w:ascii="Times New Roman" w:hAnsi="Times New Roman" w:cs="Times New Roman"/>
          <w:b/>
          <w:bCs/>
          <w:color w:val="000000" w:themeColor="text1"/>
          <w:sz w:val="24"/>
          <w:szCs w:val="24"/>
        </w:rPr>
      </w:pPr>
      <w:r w:rsidRPr="00BE4AF3">
        <w:rPr>
          <w:rFonts w:ascii="Times New Roman" w:hAnsi="Times New Roman" w:cs="Times New Roman"/>
          <w:b/>
          <w:bCs/>
          <w:color w:val="000000" w:themeColor="text1"/>
          <w:sz w:val="24"/>
          <w:szCs w:val="24"/>
        </w:rPr>
        <w:t>Introduction</w:t>
      </w:r>
    </w:p>
    <w:p w14:paraId="3A4E9B93" w14:textId="77777777" w:rsidR="00F4410D" w:rsidRPr="00BE4AF3" w:rsidRDefault="00F4410D" w:rsidP="00F4410D">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Taxation entails compulsory financial charges imposed by government authorities on real estate activities, including direct taxes on income and capital gains, indirect taxes on transactions and services, and levies at different government levels (Peiser &amp; Hamilton, 2012). Beyond revenue generation, it serves as a regulatory tool shaping market behavior, investment decisions, and development outcomes (Musgrave &amp; Musgrave, 1989). Real estate development is the transformation of land through construction, renovation, or rehabilitation to create income-generating or utility-enhancing properties, involving acquisition, financing, approvals, construction, marketing, and disposal. In Nigeria, it covers residential, commercial, industrial, and mixed-use projects undertaken by private developers, government agencies, and public-private partnerships (Adair et al., 1999; Peiser &amp; Hamilton, 2012).</w:t>
      </w:r>
    </w:p>
    <w:p w14:paraId="74B33A94" w14:textId="77777777" w:rsidR="00F4410D" w:rsidRPr="00BE4AF3" w:rsidRDefault="00F4410D" w:rsidP="00F4410D">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Nigeria’s real estate sector, contributing about 6.5% to the national GDP, faces acute challenges from a multi-tiered and overlapping taxation framework spanning federal, state, and local jurisdictions that imposes diverse fiscal obligations such as Company Income Tax, Value Added Tax, Capital Gains Tax, Property Tax and numerous local levies, thereby inflating development costs and constraining investment decisions within a context of rapid urbanization and a 20 </w:t>
      </w:r>
      <w:r w:rsidRPr="00BE4AF3">
        <w:rPr>
          <w:rFonts w:ascii="Times New Roman" w:hAnsi="Times New Roman" w:cs="Times New Roman"/>
          <w:color w:val="000000" w:themeColor="text1"/>
          <w:sz w:val="24"/>
          <w:szCs w:val="24"/>
        </w:rPr>
        <w:lastRenderedPageBreak/>
        <w:t>million-unit housing deficit, yet the precise magnitude and mechanisms of these impacts remain insufficiently explored (National Bureau of Statistics, 2023; UN-Habitat, 2022; Federal Inland Revenue Service, 2023).</w:t>
      </w:r>
    </w:p>
    <w:p w14:paraId="1ADB3A5A" w14:textId="77777777" w:rsidR="00F4410D" w:rsidRPr="00BE4AF3" w:rsidRDefault="00F4410D" w:rsidP="00F4410D">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Empirical research on taxation and real estate development adopts varied approaches across contexts. Oates (1969) pioneered property tax capitalization, while Brueckner and Kim (2003) showed spatial distortions from tax variations. Franzsen and McCluskey (2017) revealed administrative weaknesses in Sub-Saharan Africa undermining developmental outcomes. In Nigeria, Aluko (2005) identified low compliance and weak enforcement, though revenue-focused. Babawale and Nubi (2011) linked infrastructure to property value, while Ogundimu (2018) examined revenue reforms without assessing development. Emeka and Aghaji (2019) analyzed capital gains compliance, highlighting costs and informality.</w:t>
      </w:r>
    </w:p>
    <w:p w14:paraId="675A4877" w14:textId="77777777" w:rsidR="00F4410D" w:rsidRPr="00BE4AF3" w:rsidRDefault="00F4410D" w:rsidP="00F4410D">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Existing Nigerian research has largely focused on property tax administration, compliance, and fiscal outcomes, leaving a critical gap in understanding taxation’s causal relationship with real estate development. This study addresses that gap by empirically examining property and capital gains taxes and their effects on development activity, costs, and outcomes. The absence of comprehensive analysis constrains evidence-based policy and risks sub-optimal fiscal measures that hinder development while limiting revenue generation, thus necessitating investigation into taxation’s impact on Nigeria’s real estate sector.</w:t>
      </w:r>
    </w:p>
    <w:p w14:paraId="0D9AD8CC" w14:textId="77777777" w:rsidR="00F4410D" w:rsidRPr="00BE4AF3" w:rsidRDefault="00F4410D" w:rsidP="00F4410D">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The motivation for this research arises from Nigeria’s economic diversification agenda, driven by the volatility of oil revenues, which positions real estate as a vital growth driver requiring supportive policies. The sector’s potential to generate employment, attract investment, and advance urban development underscores the need to understand fiscal policy implications. Given Nigeria’s severe housing deficit amid rapid population growth and urbanization, evidence-based approaches are essential. Taxation, as both a potential facilitator and constraint, represents a critical policy lever requiring empirical investigation. The limited understanding of taxation’s effects in emerging markets further motivates this research, offering potential contributions to both theoretical advancement and practical policy design for Nigeria and other developing countries confronting similar fiscal and real estate development challenges.</w:t>
      </w:r>
    </w:p>
    <w:p w14:paraId="087BBC3D" w14:textId="77777777" w:rsidR="00F4410D" w:rsidRPr="00BE4AF3" w:rsidRDefault="00F4410D" w:rsidP="00F4410D">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Anderson and Kim (2020) applied machine learning to property tax effects in 50 U.S. cities, identifying non-linear thresholds at 15–18% of project costs. Leishman and Watkins (2018) and Gutierrez and Morales (2021) found similar impacts in Scotland, England, and Mexico. Dye and McMillen (2007) showed a 1% property tax rise reduced Chicago construction by 8–12%, extended by Cornia and Slade (2021) across U.S. cities, while Muñoz and Martinez (2019) highlighted benefits of harmonized EU tax policies.</w:t>
      </w:r>
    </w:p>
    <w:p w14:paraId="0DF1377F" w14:textId="77777777" w:rsidR="00F4410D" w:rsidRPr="00BE4AF3" w:rsidRDefault="00F4410D" w:rsidP="00F4410D">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Jensen and Olsen (2020) showed that Danish property tax reforms improved compliance and development through simplified assessments and transparent revenue use, highlighting modernization benefits. Weber and Schmidt (2021) found German municipalities with higher business tax rates recorded 23% less commercial development, though strong infrastructure and administrative efficiency moderated impacts. Li and Wang (2019) reported that Chinese cities with effective tax rates above 20% experienced sharp declines in development, reflecting higher sensitivity in emerging markets. Similarly, Sharma and Patel (2020) revealed compliance costs averaging 12–18% in India, disproportionately burdening smaller developers, while Tan and Lim (2021) demonstrated Singapore’s calibrated tax policies balanced speculative control with housing affordability.</w:t>
      </w:r>
    </w:p>
    <w:p w14:paraId="79EAB39D" w14:textId="77777777" w:rsidR="00F4410D" w:rsidRPr="00BE4AF3" w:rsidRDefault="00F4410D" w:rsidP="00F4410D">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African research highlights taxation challenges rooted in weak institutions and property rights. Franzsen and McCluskey (2017) reported effective property tax rates below 0.5% across six Sub-</w:t>
      </w:r>
      <w:r w:rsidRPr="00BE4AF3">
        <w:rPr>
          <w:rFonts w:ascii="Times New Roman" w:hAnsi="Times New Roman" w:cs="Times New Roman"/>
          <w:color w:val="000000" w:themeColor="text1"/>
          <w:sz w:val="24"/>
          <w:szCs w:val="24"/>
        </w:rPr>
        <w:lastRenderedPageBreak/>
        <w:t>Saharan countries, far below global standards, reflecting administrative and economic constraints. Asante and Boateng (2021) showed that weak property rights in Ghana magnify taxation’s negative development effects, underscoring institutional importance. Mwangi and Kiprotich (2020) found overlapping taxes and poor inter-governmental coordination in Nairobi created compliance burdens exceeding 25% of development costs, driving informality. In Nigeria, Aluko (2005) revealed Lagos property tax compliance below 25%, while Babawale and Nubi (2011) linked tax-funded infrastructure improvements to higher property values and compliance.</w:t>
      </w:r>
    </w:p>
    <w:p w14:paraId="3BF97BE1" w14:textId="77777777" w:rsidR="00F4410D" w:rsidRPr="00BE4AF3" w:rsidRDefault="00F4410D" w:rsidP="00F4410D">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Recent technological innovations have reshaped tax administration and research in Nigeria. Ogundimu (2018) reported a 340% revenue increase in Lagos between 2010–2015 following electronic payment adoption and valuation updates, though development effects remained unexplored. Compliance burdens remain high, as Emeka and Aghaji (2019) found transaction costs exceeding 15% of property values in secondary markets, pushing activity into informality. Coordination challenges persist, with Okoro and Eze (2021) showing overlapping jurisdictions raise development costs by 8–15%. Regional studies highlight variation, with Adebayo and Olatunji (2020) linking simplified, transparent systems to higher compliance, while Bashir and Ahmed (2022) noted Sharia-related complexities in Northern Nigeria.</w:t>
      </w:r>
    </w:p>
    <w:p w14:paraId="71EDAC4B" w14:textId="49D56D59" w:rsidR="00F4410D" w:rsidRPr="00BE4AF3" w:rsidRDefault="00F4410D" w:rsidP="00596BBD">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Global literature reveals consistent patterns despite institutional and methodological differences. Threshold effects show taxation’s negative impact intensifies beyond certain burden levels: Anderson and Kim (2020) identified 15–18% in U.S. cities, Gutierrez and Morales (2021) observed 18% in Mexico, while Li and Wang (2019) reported sharp declines above 20% in Chinese cities. These findings underscore the need to manage cumulative burdens. Administrative strength, transparency, and efficient service delivery mitigate impacts, as seen in Denmark (Jensen &amp; Olsen, 2020), Germany (Weber &amp; Schmidt, 2021), and Nigeria (Adebayo &amp; Olatunji, 2020). Compliance burdens are markedly higher in emerging markets—12–25% compared to 2–5% in advanced economies (Sharma &amp; Patel, 2020; Mwangi &amp; Kiprotich, 2020; Okoro &amp; Eze, 2021)</w:t>
      </w:r>
    </w:p>
    <w:p w14:paraId="45F7BD0C" w14:textId="77777777" w:rsidR="00F4410D" w:rsidRDefault="00F4410D" w:rsidP="00596BBD">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Despite expanding research, major gaps persist in understanding taxation’s impact on real estate development. Most studies rely on cross-sectional designs, limiting insight into long-term policy effects or market adjustments. Few systematically assess cumulative impacts of overlapping taxes, a key issue in Nigeria’s multi-jurisdictional system. Although evidence shows taxation shapes development, with stronger effects in emerging markets (Anderson &amp; Kim, 2020; Li &amp; Wang, 2019), Nigerian studies remain fragmented. No comprehensive analysis quantifies multiple tax burdens, regional variations, or links between revenue utilization and development, while reliance on secondary data neglects developers’ perspectives.</w:t>
      </w:r>
    </w:p>
    <w:p w14:paraId="505DD8F2" w14:textId="77777777" w:rsidR="00596BBD" w:rsidRPr="00BE4AF3" w:rsidRDefault="00596BBD" w:rsidP="00596BBD">
      <w:pPr>
        <w:spacing w:after="0" w:line="240" w:lineRule="auto"/>
        <w:jc w:val="both"/>
        <w:rPr>
          <w:rFonts w:ascii="Times New Roman" w:hAnsi="Times New Roman" w:cs="Times New Roman"/>
          <w:color w:val="000000" w:themeColor="text1"/>
          <w:sz w:val="24"/>
          <w:szCs w:val="24"/>
        </w:rPr>
      </w:pPr>
    </w:p>
    <w:p w14:paraId="4C1C3C51" w14:textId="77777777" w:rsidR="00F4410D" w:rsidRPr="00BE4AF3" w:rsidRDefault="00F4410D" w:rsidP="00F4410D">
      <w:pPr>
        <w:spacing w:after="0" w:line="240" w:lineRule="auto"/>
        <w:rPr>
          <w:rFonts w:ascii="Times New Roman" w:hAnsi="Times New Roman" w:cs="Times New Roman"/>
          <w:b/>
          <w:bCs/>
          <w:color w:val="000000" w:themeColor="text1"/>
          <w:sz w:val="24"/>
          <w:szCs w:val="24"/>
        </w:rPr>
      </w:pPr>
      <w:r w:rsidRPr="00BE4AF3">
        <w:rPr>
          <w:rFonts w:ascii="Times New Roman" w:hAnsi="Times New Roman" w:cs="Times New Roman"/>
          <w:b/>
          <w:bCs/>
          <w:color w:val="000000" w:themeColor="text1"/>
          <w:sz w:val="24"/>
          <w:szCs w:val="24"/>
        </w:rPr>
        <w:t>Materials and Methods</w:t>
      </w:r>
    </w:p>
    <w:p w14:paraId="7242C9C9" w14:textId="77777777" w:rsidR="00F4410D" w:rsidRPr="00BE4AF3" w:rsidRDefault="00F4410D" w:rsidP="00F4410D">
      <w:pPr>
        <w:spacing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This study investigates taxation’s impact on real estate development in six Nigerian cities Lagos, Abuja, Port Harcourt, Kano, Ibadan, and Enugu representing 75% of formal activity (NIESV, 2022). Focusing on registered developers active between 2018–2022, it adopts a mixed-methods, cross-sectional design using surveys and key informant interviews. Stratified random sampling produced 312 respondents, with 302 valid (97%). Data, collected between March and August 2023, measured development activity, project size, costs, effective tax rates, property tax, capital gains tax and compliance costs, with controls for company size, type, location, financing and segment. Analysis employed SPSS 28 and AMOS for descriptive, inferential, and structural equation modeling.</w:t>
      </w:r>
    </w:p>
    <w:p w14:paraId="07442679" w14:textId="77777777" w:rsidR="00F4410D" w:rsidRPr="00BE4AF3" w:rsidRDefault="00F4410D" w:rsidP="00F4410D">
      <w:pPr>
        <w:spacing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Model specification: DA = β</w:t>
      </w:r>
      <w:r w:rsidRPr="00BE4AF3">
        <w:rPr>
          <w:rFonts w:ascii="Cambria Math" w:hAnsi="Cambria Math" w:cs="Cambria Math"/>
          <w:color w:val="000000" w:themeColor="text1"/>
          <w:sz w:val="24"/>
          <w:szCs w:val="24"/>
        </w:rPr>
        <w:t>₀</w:t>
      </w:r>
      <w:r w:rsidRPr="00BE4AF3">
        <w:rPr>
          <w:rFonts w:ascii="Times New Roman" w:hAnsi="Times New Roman" w:cs="Times New Roman"/>
          <w:color w:val="000000" w:themeColor="text1"/>
          <w:sz w:val="24"/>
          <w:szCs w:val="24"/>
        </w:rPr>
        <w:t xml:space="preserve"> + β</w:t>
      </w:r>
      <w:r w:rsidRPr="00BE4AF3">
        <w:rPr>
          <w:rFonts w:ascii="Cambria Math" w:hAnsi="Cambria Math" w:cs="Cambria Math"/>
          <w:color w:val="000000" w:themeColor="text1"/>
          <w:sz w:val="24"/>
          <w:szCs w:val="24"/>
        </w:rPr>
        <w:t>₁</w:t>
      </w:r>
      <w:r w:rsidRPr="00BE4AF3">
        <w:rPr>
          <w:rFonts w:ascii="Times New Roman" w:hAnsi="Times New Roman" w:cs="Times New Roman"/>
          <w:color w:val="000000" w:themeColor="text1"/>
          <w:sz w:val="24"/>
          <w:szCs w:val="24"/>
        </w:rPr>
        <w:t>ETR + β</w:t>
      </w:r>
      <w:r w:rsidRPr="00BE4AF3">
        <w:rPr>
          <w:rFonts w:ascii="Cambria Math" w:hAnsi="Cambria Math" w:cs="Cambria Math"/>
          <w:color w:val="000000" w:themeColor="text1"/>
          <w:sz w:val="24"/>
          <w:szCs w:val="24"/>
        </w:rPr>
        <w:t>₂</w:t>
      </w:r>
      <w:r w:rsidRPr="00BE4AF3">
        <w:rPr>
          <w:rFonts w:ascii="Times New Roman" w:hAnsi="Times New Roman" w:cs="Times New Roman"/>
          <w:color w:val="000000" w:themeColor="text1"/>
          <w:sz w:val="24"/>
          <w:szCs w:val="24"/>
        </w:rPr>
        <w:t>PTR + β</w:t>
      </w:r>
      <w:r w:rsidRPr="00BE4AF3">
        <w:rPr>
          <w:rFonts w:ascii="Cambria Math" w:hAnsi="Cambria Math" w:cs="Cambria Math"/>
          <w:color w:val="000000" w:themeColor="text1"/>
          <w:sz w:val="24"/>
          <w:szCs w:val="24"/>
        </w:rPr>
        <w:t>₃</w:t>
      </w:r>
      <w:r w:rsidRPr="00BE4AF3">
        <w:rPr>
          <w:rFonts w:ascii="Times New Roman" w:hAnsi="Times New Roman" w:cs="Times New Roman"/>
          <w:color w:val="000000" w:themeColor="text1"/>
          <w:sz w:val="24"/>
          <w:szCs w:val="24"/>
        </w:rPr>
        <w:t>CGT + β</w:t>
      </w:r>
      <w:r w:rsidRPr="00BE4AF3">
        <w:rPr>
          <w:rFonts w:ascii="Cambria Math" w:hAnsi="Cambria Math" w:cs="Cambria Math"/>
          <w:color w:val="000000" w:themeColor="text1"/>
          <w:sz w:val="24"/>
          <w:szCs w:val="24"/>
        </w:rPr>
        <w:t>₄</w:t>
      </w:r>
      <w:r w:rsidRPr="00BE4AF3">
        <w:rPr>
          <w:rFonts w:ascii="Times New Roman" w:hAnsi="Times New Roman" w:cs="Times New Roman"/>
          <w:color w:val="000000" w:themeColor="text1"/>
          <w:sz w:val="24"/>
          <w:szCs w:val="24"/>
        </w:rPr>
        <w:t>CC + β</w:t>
      </w:r>
      <w:r w:rsidRPr="00BE4AF3">
        <w:rPr>
          <w:rFonts w:ascii="Cambria Math" w:hAnsi="Cambria Math" w:cs="Cambria Math"/>
          <w:color w:val="000000" w:themeColor="text1"/>
          <w:sz w:val="24"/>
          <w:szCs w:val="24"/>
        </w:rPr>
        <w:t>₅</w:t>
      </w:r>
      <w:r w:rsidRPr="00BE4AF3">
        <w:rPr>
          <w:rFonts w:ascii="Times New Roman" w:hAnsi="Times New Roman" w:cs="Times New Roman"/>
          <w:color w:val="000000" w:themeColor="text1"/>
          <w:sz w:val="24"/>
          <w:szCs w:val="24"/>
        </w:rPr>
        <w:t>CS + β</w:t>
      </w:r>
      <w:r w:rsidRPr="00BE4AF3">
        <w:rPr>
          <w:rFonts w:ascii="Cambria Math" w:hAnsi="Cambria Math" w:cs="Cambria Math"/>
          <w:color w:val="000000" w:themeColor="text1"/>
          <w:sz w:val="24"/>
          <w:szCs w:val="24"/>
        </w:rPr>
        <w:t>₆</w:t>
      </w:r>
      <w:r w:rsidRPr="00BE4AF3">
        <w:rPr>
          <w:rFonts w:ascii="Times New Roman" w:hAnsi="Times New Roman" w:cs="Times New Roman"/>
          <w:color w:val="000000" w:themeColor="text1"/>
          <w:sz w:val="24"/>
          <w:szCs w:val="24"/>
        </w:rPr>
        <w:t>LOC + β</w:t>
      </w:r>
      <w:r w:rsidRPr="00BE4AF3">
        <w:rPr>
          <w:rFonts w:ascii="Cambria Math" w:hAnsi="Cambria Math" w:cs="Cambria Math"/>
          <w:color w:val="000000" w:themeColor="text1"/>
          <w:sz w:val="24"/>
          <w:szCs w:val="24"/>
        </w:rPr>
        <w:t>₇</w:t>
      </w:r>
      <w:r w:rsidRPr="00BE4AF3">
        <w:rPr>
          <w:rFonts w:ascii="Times New Roman" w:hAnsi="Times New Roman" w:cs="Times New Roman"/>
          <w:color w:val="000000" w:themeColor="text1"/>
          <w:sz w:val="24"/>
          <w:szCs w:val="24"/>
        </w:rPr>
        <w:t>PT + ε</w:t>
      </w:r>
    </w:p>
    <w:p w14:paraId="5C84AC93" w14:textId="77777777" w:rsidR="00F4410D" w:rsidRPr="00BE4AF3" w:rsidRDefault="00F4410D" w:rsidP="00F4410D">
      <w:pPr>
        <w:spacing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lastRenderedPageBreak/>
        <w:t>Where DA = Development Activity, ETR = Effective Tax Rate, PTR = Property Tax Rate, CGT = Capital Gains Tax, CC = Compliance Costs, CS = Company Size, LOC = Location, PT = Project Type, and ε = error term.</w:t>
      </w:r>
    </w:p>
    <w:p w14:paraId="68DD5B37" w14:textId="77777777" w:rsidR="00F4410D" w:rsidRPr="00BE4AF3" w:rsidRDefault="00F4410D" w:rsidP="00F4410D">
      <w:pPr>
        <w:spacing w:line="240" w:lineRule="auto"/>
        <w:rPr>
          <w:rFonts w:ascii="Times New Roman" w:hAnsi="Times New Roman" w:cs="Times New Roman"/>
          <w:b/>
          <w:bCs/>
          <w:color w:val="000000" w:themeColor="text1"/>
          <w:sz w:val="24"/>
          <w:szCs w:val="24"/>
        </w:rPr>
      </w:pPr>
      <w:r w:rsidRPr="00BE4AF3">
        <w:rPr>
          <w:rFonts w:ascii="Times New Roman" w:hAnsi="Times New Roman" w:cs="Times New Roman"/>
          <w:b/>
          <w:bCs/>
          <w:color w:val="000000" w:themeColor="text1"/>
          <w:sz w:val="24"/>
          <w:szCs w:val="24"/>
        </w:rPr>
        <w:t>Results And Discussion</w:t>
      </w:r>
    </w:p>
    <w:p w14:paraId="0F0148B1" w14:textId="05049487" w:rsidR="00F4410D" w:rsidRPr="00BE4AF3" w:rsidRDefault="00F4410D" w:rsidP="00596BBD">
      <w:pPr>
        <w:spacing w:after="0" w:line="240" w:lineRule="auto"/>
        <w:jc w:val="both"/>
        <w:rPr>
          <w:rFonts w:ascii="Times New Roman" w:hAnsi="Times New Roman" w:cs="Times New Roman"/>
          <w:b/>
          <w:bCs/>
          <w:color w:val="000000" w:themeColor="text1"/>
          <w:sz w:val="24"/>
          <w:szCs w:val="24"/>
        </w:rPr>
      </w:pPr>
      <w:r w:rsidRPr="00BE4AF3">
        <w:rPr>
          <w:rFonts w:ascii="Times New Roman" w:hAnsi="Times New Roman" w:cs="Times New Roman"/>
          <w:b/>
          <w:bCs/>
          <w:color w:val="000000" w:themeColor="text1"/>
          <w:sz w:val="24"/>
          <w:szCs w:val="24"/>
        </w:rPr>
        <w:t>Sample Characteristics</w:t>
      </w:r>
    </w:p>
    <w:p w14:paraId="3F4E5D82" w14:textId="77777777" w:rsidR="00F4410D" w:rsidRDefault="00F4410D" w:rsidP="00596BBD">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The sample comprised 312 real estate developers: 45% small companies, 38% medium companies, and 17% large companies. Lagos accounted for 32% of respondents, followed by Abuja (22%), Port Harcourt (15%), Kano (12%), Ibadan (11%), and Enugu (8%). Residential development dominated the sample (68%), with commercial (22%) and mixed-use projects (10%) representing smaller segments.</w:t>
      </w:r>
    </w:p>
    <w:p w14:paraId="3D59A969" w14:textId="77777777" w:rsidR="00596BBD" w:rsidRPr="00BE4AF3" w:rsidRDefault="00596BBD" w:rsidP="00596BBD">
      <w:pPr>
        <w:spacing w:after="0" w:line="240" w:lineRule="auto"/>
        <w:jc w:val="both"/>
        <w:rPr>
          <w:rFonts w:ascii="Times New Roman" w:hAnsi="Times New Roman" w:cs="Times New Roman"/>
          <w:color w:val="000000" w:themeColor="text1"/>
          <w:sz w:val="24"/>
          <w:szCs w:val="24"/>
        </w:rPr>
      </w:pPr>
    </w:p>
    <w:p w14:paraId="3C660856" w14:textId="1BC2B838" w:rsidR="00F4410D" w:rsidRPr="00BE4AF3" w:rsidRDefault="00F4410D" w:rsidP="00596BBD">
      <w:pPr>
        <w:spacing w:after="0" w:line="240" w:lineRule="auto"/>
        <w:jc w:val="both"/>
        <w:rPr>
          <w:rFonts w:ascii="Times New Roman" w:hAnsi="Times New Roman" w:cs="Times New Roman"/>
          <w:b/>
          <w:bCs/>
          <w:color w:val="000000" w:themeColor="text1"/>
          <w:sz w:val="24"/>
          <w:szCs w:val="24"/>
        </w:rPr>
      </w:pPr>
      <w:r w:rsidRPr="00BE4AF3">
        <w:rPr>
          <w:rFonts w:ascii="Times New Roman" w:hAnsi="Times New Roman" w:cs="Times New Roman"/>
          <w:b/>
          <w:bCs/>
          <w:color w:val="000000" w:themeColor="text1"/>
          <w:sz w:val="24"/>
          <w:szCs w:val="24"/>
        </w:rPr>
        <w:t>Tax Burden Analysis</w:t>
      </w:r>
    </w:p>
    <w:p w14:paraId="315AA95A" w14:textId="77777777" w:rsidR="00F4410D" w:rsidRDefault="00F4410D" w:rsidP="00596BBD">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Effective tax rates averaged 19.8% (SD = 4.2%), ranging from 16.4% in Kano to 23.7% in Lagos, with commercial projects most burdened (22.1%) and residential least (17.3%). Property tax dominated (8.2% of costs), while capital gains (7.4%) and compliance costs (2.8%) added substantial burdens.</w:t>
      </w:r>
    </w:p>
    <w:p w14:paraId="7A9606BA" w14:textId="77777777" w:rsidR="00596BBD" w:rsidRPr="00BE4AF3" w:rsidRDefault="00596BBD" w:rsidP="00596BBD">
      <w:pPr>
        <w:spacing w:after="0" w:line="240" w:lineRule="auto"/>
        <w:jc w:val="both"/>
        <w:rPr>
          <w:rFonts w:ascii="Times New Roman" w:hAnsi="Times New Roman" w:cs="Times New Roman"/>
          <w:color w:val="000000" w:themeColor="text1"/>
          <w:sz w:val="24"/>
          <w:szCs w:val="24"/>
        </w:rPr>
      </w:pPr>
    </w:p>
    <w:p w14:paraId="7E1FC0ED" w14:textId="1821EE89" w:rsidR="00F4410D" w:rsidRPr="00BE4AF3" w:rsidRDefault="00F4410D" w:rsidP="00596BBD">
      <w:pPr>
        <w:spacing w:after="0" w:line="240" w:lineRule="auto"/>
        <w:jc w:val="both"/>
        <w:rPr>
          <w:rFonts w:ascii="Times New Roman" w:hAnsi="Times New Roman" w:cs="Times New Roman"/>
          <w:b/>
          <w:bCs/>
          <w:color w:val="000000" w:themeColor="text1"/>
          <w:sz w:val="24"/>
          <w:szCs w:val="24"/>
        </w:rPr>
      </w:pPr>
      <w:r w:rsidRPr="00BE4AF3">
        <w:rPr>
          <w:rFonts w:ascii="Times New Roman" w:hAnsi="Times New Roman" w:cs="Times New Roman"/>
          <w:b/>
          <w:bCs/>
          <w:color w:val="000000" w:themeColor="text1"/>
          <w:sz w:val="24"/>
          <w:szCs w:val="24"/>
        </w:rPr>
        <w:t>Regression Analysis Results</w:t>
      </w:r>
    </w:p>
    <w:p w14:paraId="6637B8B7" w14:textId="0C5B991E" w:rsidR="00F4410D" w:rsidRDefault="00F4410D" w:rsidP="00596BBD">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Multiple regression analysis (Table 1) revealed significant negative relationships between tax burden and development activity. The model explained 67.3% of variance in development activity levels (R² = 0.673, F = 42.8, p &lt; 0.001).</w:t>
      </w:r>
    </w:p>
    <w:p w14:paraId="79F6D06A" w14:textId="77777777" w:rsidR="00596BBD" w:rsidRPr="00596BBD" w:rsidRDefault="00596BBD" w:rsidP="00596BBD">
      <w:pPr>
        <w:spacing w:after="0" w:line="240" w:lineRule="auto"/>
        <w:jc w:val="both"/>
        <w:rPr>
          <w:rFonts w:ascii="Times New Roman" w:hAnsi="Times New Roman" w:cs="Times New Roman"/>
          <w:color w:val="000000" w:themeColor="text1"/>
          <w:sz w:val="24"/>
          <w:szCs w:val="24"/>
        </w:rPr>
      </w:pPr>
    </w:p>
    <w:p w14:paraId="02B63B9F" w14:textId="77777777" w:rsidR="00F4410D" w:rsidRPr="00BE4AF3" w:rsidRDefault="00F4410D" w:rsidP="00596BBD">
      <w:pPr>
        <w:spacing w:after="0" w:line="240" w:lineRule="auto"/>
        <w:jc w:val="center"/>
        <w:rPr>
          <w:rFonts w:ascii="Times New Roman" w:hAnsi="Times New Roman" w:cs="Times New Roman"/>
          <w:color w:val="000000" w:themeColor="text1"/>
          <w:sz w:val="24"/>
          <w:szCs w:val="24"/>
        </w:rPr>
      </w:pPr>
      <w:r w:rsidRPr="00BE4AF3">
        <w:rPr>
          <w:rFonts w:ascii="Times New Roman" w:hAnsi="Times New Roman" w:cs="Times New Roman"/>
          <w:b/>
          <w:bCs/>
          <w:color w:val="000000" w:themeColor="text1"/>
          <w:sz w:val="24"/>
          <w:szCs w:val="24"/>
        </w:rPr>
        <w:t xml:space="preserve">Table 1: </w:t>
      </w:r>
      <w:r w:rsidRPr="00596BBD">
        <w:rPr>
          <w:rFonts w:ascii="Times New Roman" w:hAnsi="Times New Roman" w:cs="Times New Roman"/>
          <w:color w:val="000000" w:themeColor="text1"/>
          <w:sz w:val="24"/>
          <w:szCs w:val="24"/>
        </w:rPr>
        <w:t>Regression Results - Development Activity Model</w:t>
      </w:r>
    </w:p>
    <w:tbl>
      <w:tblPr>
        <w:tblW w:w="0" w:type="auto"/>
        <w:jc w:val="center"/>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586"/>
        <w:gridCol w:w="960"/>
        <w:gridCol w:w="849"/>
        <w:gridCol w:w="616"/>
        <w:gridCol w:w="675"/>
      </w:tblGrid>
      <w:tr w:rsidR="00F4410D" w:rsidRPr="00596BBD" w14:paraId="720E48E5" w14:textId="77777777" w:rsidTr="00596BBD">
        <w:trPr>
          <w:tblHeader/>
          <w:tblCellSpacing w:w="15" w:type="dxa"/>
          <w:jc w:val="center"/>
        </w:trPr>
        <w:tc>
          <w:tcPr>
            <w:tcW w:w="0" w:type="auto"/>
            <w:vAlign w:val="center"/>
          </w:tcPr>
          <w:p w14:paraId="2419EEE6"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Variable</w:t>
            </w:r>
          </w:p>
        </w:tc>
        <w:tc>
          <w:tcPr>
            <w:tcW w:w="0" w:type="auto"/>
            <w:vAlign w:val="center"/>
          </w:tcPr>
          <w:p w14:paraId="11EEA083"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Coefficient</w:t>
            </w:r>
          </w:p>
        </w:tc>
        <w:tc>
          <w:tcPr>
            <w:tcW w:w="0" w:type="auto"/>
            <w:vAlign w:val="center"/>
          </w:tcPr>
          <w:p w14:paraId="0A90797D"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Std. Error</w:t>
            </w:r>
          </w:p>
        </w:tc>
        <w:tc>
          <w:tcPr>
            <w:tcW w:w="0" w:type="auto"/>
            <w:vAlign w:val="center"/>
          </w:tcPr>
          <w:p w14:paraId="63917737"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t-value</w:t>
            </w:r>
          </w:p>
        </w:tc>
        <w:tc>
          <w:tcPr>
            <w:tcW w:w="0" w:type="auto"/>
            <w:vAlign w:val="center"/>
          </w:tcPr>
          <w:p w14:paraId="5E976BC5"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p-value</w:t>
            </w:r>
          </w:p>
        </w:tc>
      </w:tr>
      <w:tr w:rsidR="00F4410D" w:rsidRPr="00596BBD" w14:paraId="0A8E64C4" w14:textId="77777777" w:rsidTr="00401EAA">
        <w:trPr>
          <w:tblCellSpacing w:w="15" w:type="dxa"/>
          <w:jc w:val="center"/>
        </w:trPr>
        <w:tc>
          <w:tcPr>
            <w:tcW w:w="0" w:type="auto"/>
            <w:tcBorders>
              <w:top w:val="single" w:sz="4" w:space="0" w:color="auto"/>
              <w:bottom w:val="nil"/>
            </w:tcBorders>
            <w:vAlign w:val="center"/>
          </w:tcPr>
          <w:p w14:paraId="290F5B59"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Constant</w:t>
            </w:r>
          </w:p>
        </w:tc>
        <w:tc>
          <w:tcPr>
            <w:tcW w:w="0" w:type="auto"/>
            <w:tcBorders>
              <w:top w:val="single" w:sz="4" w:space="0" w:color="auto"/>
              <w:bottom w:val="nil"/>
            </w:tcBorders>
            <w:vAlign w:val="center"/>
          </w:tcPr>
          <w:p w14:paraId="4D303D5F"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8.42</w:t>
            </w:r>
          </w:p>
        </w:tc>
        <w:tc>
          <w:tcPr>
            <w:tcW w:w="0" w:type="auto"/>
            <w:tcBorders>
              <w:top w:val="single" w:sz="4" w:space="0" w:color="auto"/>
              <w:bottom w:val="nil"/>
            </w:tcBorders>
            <w:vAlign w:val="center"/>
          </w:tcPr>
          <w:p w14:paraId="4EAF4FC2"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1.23</w:t>
            </w:r>
          </w:p>
        </w:tc>
        <w:tc>
          <w:tcPr>
            <w:tcW w:w="0" w:type="auto"/>
            <w:tcBorders>
              <w:top w:val="single" w:sz="4" w:space="0" w:color="auto"/>
              <w:bottom w:val="nil"/>
            </w:tcBorders>
            <w:vAlign w:val="center"/>
          </w:tcPr>
          <w:p w14:paraId="3693B50C"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6.84</w:t>
            </w:r>
          </w:p>
        </w:tc>
        <w:tc>
          <w:tcPr>
            <w:tcW w:w="0" w:type="auto"/>
            <w:tcBorders>
              <w:top w:val="single" w:sz="4" w:space="0" w:color="auto"/>
              <w:bottom w:val="nil"/>
            </w:tcBorders>
            <w:vAlign w:val="center"/>
          </w:tcPr>
          <w:p w14:paraId="5B955297"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0.000</w:t>
            </w:r>
          </w:p>
        </w:tc>
      </w:tr>
      <w:tr w:rsidR="00F4410D" w:rsidRPr="00596BBD" w14:paraId="1AB39FBD" w14:textId="77777777" w:rsidTr="00596BBD">
        <w:trPr>
          <w:tblCellSpacing w:w="15" w:type="dxa"/>
          <w:jc w:val="center"/>
        </w:trPr>
        <w:tc>
          <w:tcPr>
            <w:tcW w:w="0" w:type="auto"/>
            <w:vAlign w:val="center"/>
          </w:tcPr>
          <w:p w14:paraId="13BC7AFD"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Effective Tax Rate</w:t>
            </w:r>
          </w:p>
        </w:tc>
        <w:tc>
          <w:tcPr>
            <w:tcW w:w="0" w:type="auto"/>
            <w:vAlign w:val="center"/>
          </w:tcPr>
          <w:p w14:paraId="40C6EFD6"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-2.31</w:t>
            </w:r>
          </w:p>
        </w:tc>
        <w:tc>
          <w:tcPr>
            <w:tcW w:w="0" w:type="auto"/>
            <w:vAlign w:val="center"/>
          </w:tcPr>
          <w:p w14:paraId="2AEBB9DD"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0.34</w:t>
            </w:r>
          </w:p>
        </w:tc>
        <w:tc>
          <w:tcPr>
            <w:tcW w:w="0" w:type="auto"/>
            <w:vAlign w:val="center"/>
          </w:tcPr>
          <w:p w14:paraId="304613F3"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-6.79</w:t>
            </w:r>
          </w:p>
        </w:tc>
        <w:tc>
          <w:tcPr>
            <w:tcW w:w="0" w:type="auto"/>
            <w:vAlign w:val="center"/>
          </w:tcPr>
          <w:p w14:paraId="0B7821C1"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0.000</w:t>
            </w:r>
          </w:p>
        </w:tc>
      </w:tr>
      <w:tr w:rsidR="00F4410D" w:rsidRPr="00596BBD" w14:paraId="19BED9AF" w14:textId="77777777" w:rsidTr="00596BBD">
        <w:trPr>
          <w:tblCellSpacing w:w="15" w:type="dxa"/>
          <w:jc w:val="center"/>
        </w:trPr>
        <w:tc>
          <w:tcPr>
            <w:tcW w:w="0" w:type="auto"/>
            <w:vAlign w:val="center"/>
          </w:tcPr>
          <w:p w14:paraId="7803D918"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Property Tax Rate</w:t>
            </w:r>
          </w:p>
        </w:tc>
        <w:tc>
          <w:tcPr>
            <w:tcW w:w="0" w:type="auto"/>
            <w:vAlign w:val="center"/>
          </w:tcPr>
          <w:p w14:paraId="46AC59D7"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-1.85</w:t>
            </w:r>
          </w:p>
        </w:tc>
        <w:tc>
          <w:tcPr>
            <w:tcW w:w="0" w:type="auto"/>
            <w:vAlign w:val="center"/>
          </w:tcPr>
          <w:p w14:paraId="5CFF6B24"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0.42</w:t>
            </w:r>
          </w:p>
        </w:tc>
        <w:tc>
          <w:tcPr>
            <w:tcW w:w="0" w:type="auto"/>
            <w:vAlign w:val="center"/>
          </w:tcPr>
          <w:p w14:paraId="4DBE1C58"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-4.40</w:t>
            </w:r>
          </w:p>
        </w:tc>
        <w:tc>
          <w:tcPr>
            <w:tcW w:w="0" w:type="auto"/>
            <w:vAlign w:val="center"/>
          </w:tcPr>
          <w:p w14:paraId="115234C3"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0.000</w:t>
            </w:r>
          </w:p>
        </w:tc>
      </w:tr>
      <w:tr w:rsidR="00F4410D" w:rsidRPr="00596BBD" w14:paraId="17EE038A" w14:textId="77777777" w:rsidTr="00596BBD">
        <w:trPr>
          <w:tblCellSpacing w:w="15" w:type="dxa"/>
          <w:jc w:val="center"/>
        </w:trPr>
        <w:tc>
          <w:tcPr>
            <w:tcW w:w="0" w:type="auto"/>
            <w:vAlign w:val="center"/>
          </w:tcPr>
          <w:p w14:paraId="49B1D4EE"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Capital Gains Tax</w:t>
            </w:r>
          </w:p>
        </w:tc>
        <w:tc>
          <w:tcPr>
            <w:tcW w:w="0" w:type="auto"/>
            <w:vAlign w:val="center"/>
          </w:tcPr>
          <w:p w14:paraId="46429DCE"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-0.97</w:t>
            </w:r>
          </w:p>
        </w:tc>
        <w:tc>
          <w:tcPr>
            <w:tcW w:w="0" w:type="auto"/>
            <w:vAlign w:val="center"/>
          </w:tcPr>
          <w:p w14:paraId="04ACBE88"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0.28</w:t>
            </w:r>
          </w:p>
        </w:tc>
        <w:tc>
          <w:tcPr>
            <w:tcW w:w="0" w:type="auto"/>
            <w:vAlign w:val="center"/>
          </w:tcPr>
          <w:p w14:paraId="721620F3"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-3.46</w:t>
            </w:r>
          </w:p>
        </w:tc>
        <w:tc>
          <w:tcPr>
            <w:tcW w:w="0" w:type="auto"/>
            <w:vAlign w:val="center"/>
          </w:tcPr>
          <w:p w14:paraId="55FAF74C"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0.001</w:t>
            </w:r>
          </w:p>
        </w:tc>
      </w:tr>
      <w:tr w:rsidR="00F4410D" w:rsidRPr="00596BBD" w14:paraId="3BABD256" w14:textId="77777777" w:rsidTr="00596BBD">
        <w:trPr>
          <w:tblCellSpacing w:w="15" w:type="dxa"/>
          <w:jc w:val="center"/>
        </w:trPr>
        <w:tc>
          <w:tcPr>
            <w:tcW w:w="0" w:type="auto"/>
            <w:vAlign w:val="center"/>
          </w:tcPr>
          <w:p w14:paraId="210A9250"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Compliance Costs</w:t>
            </w:r>
          </w:p>
        </w:tc>
        <w:tc>
          <w:tcPr>
            <w:tcW w:w="0" w:type="auto"/>
            <w:vAlign w:val="center"/>
          </w:tcPr>
          <w:p w14:paraId="2D9BBDFD"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-1.54</w:t>
            </w:r>
          </w:p>
        </w:tc>
        <w:tc>
          <w:tcPr>
            <w:tcW w:w="0" w:type="auto"/>
            <w:vAlign w:val="center"/>
          </w:tcPr>
          <w:p w14:paraId="4AD44BDB"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0.36</w:t>
            </w:r>
          </w:p>
        </w:tc>
        <w:tc>
          <w:tcPr>
            <w:tcW w:w="0" w:type="auto"/>
            <w:vAlign w:val="center"/>
          </w:tcPr>
          <w:p w14:paraId="4D6EEC32"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-4.28</w:t>
            </w:r>
          </w:p>
        </w:tc>
        <w:tc>
          <w:tcPr>
            <w:tcW w:w="0" w:type="auto"/>
            <w:vAlign w:val="center"/>
          </w:tcPr>
          <w:p w14:paraId="336819A0"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0.000</w:t>
            </w:r>
          </w:p>
        </w:tc>
      </w:tr>
      <w:tr w:rsidR="00F4410D" w:rsidRPr="00596BBD" w14:paraId="56BDE0CC" w14:textId="77777777" w:rsidTr="00596BBD">
        <w:trPr>
          <w:tblCellSpacing w:w="15" w:type="dxa"/>
          <w:jc w:val="center"/>
        </w:trPr>
        <w:tc>
          <w:tcPr>
            <w:tcW w:w="0" w:type="auto"/>
            <w:vAlign w:val="center"/>
          </w:tcPr>
          <w:p w14:paraId="49B10475"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Company Size</w:t>
            </w:r>
          </w:p>
        </w:tc>
        <w:tc>
          <w:tcPr>
            <w:tcW w:w="0" w:type="auto"/>
            <w:vAlign w:val="center"/>
          </w:tcPr>
          <w:p w14:paraId="2704E6D4"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0.76</w:t>
            </w:r>
          </w:p>
        </w:tc>
        <w:tc>
          <w:tcPr>
            <w:tcW w:w="0" w:type="auto"/>
            <w:vAlign w:val="center"/>
          </w:tcPr>
          <w:p w14:paraId="02182331"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0.19</w:t>
            </w:r>
          </w:p>
        </w:tc>
        <w:tc>
          <w:tcPr>
            <w:tcW w:w="0" w:type="auto"/>
            <w:vAlign w:val="center"/>
          </w:tcPr>
          <w:p w14:paraId="730ACFE9"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4.00</w:t>
            </w:r>
          </w:p>
        </w:tc>
        <w:tc>
          <w:tcPr>
            <w:tcW w:w="0" w:type="auto"/>
            <w:vAlign w:val="center"/>
          </w:tcPr>
          <w:p w14:paraId="00D717EF"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0.000</w:t>
            </w:r>
          </w:p>
        </w:tc>
      </w:tr>
      <w:tr w:rsidR="00F4410D" w:rsidRPr="00596BBD" w14:paraId="5C8D214F" w14:textId="77777777" w:rsidTr="00596BBD">
        <w:trPr>
          <w:tblCellSpacing w:w="15" w:type="dxa"/>
          <w:jc w:val="center"/>
        </w:trPr>
        <w:tc>
          <w:tcPr>
            <w:tcW w:w="0" w:type="auto"/>
            <w:vAlign w:val="center"/>
          </w:tcPr>
          <w:p w14:paraId="4D65DC0F"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Lagos Location</w:t>
            </w:r>
          </w:p>
        </w:tc>
        <w:tc>
          <w:tcPr>
            <w:tcW w:w="0" w:type="auto"/>
            <w:vAlign w:val="center"/>
          </w:tcPr>
          <w:p w14:paraId="57B80A9B"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-0.89</w:t>
            </w:r>
          </w:p>
        </w:tc>
        <w:tc>
          <w:tcPr>
            <w:tcW w:w="0" w:type="auto"/>
            <w:vAlign w:val="center"/>
          </w:tcPr>
          <w:p w14:paraId="4A7BD05F"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0.31</w:t>
            </w:r>
          </w:p>
        </w:tc>
        <w:tc>
          <w:tcPr>
            <w:tcW w:w="0" w:type="auto"/>
            <w:vAlign w:val="center"/>
          </w:tcPr>
          <w:p w14:paraId="0AF5B437"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-2.87</w:t>
            </w:r>
          </w:p>
        </w:tc>
        <w:tc>
          <w:tcPr>
            <w:tcW w:w="0" w:type="auto"/>
            <w:vAlign w:val="center"/>
          </w:tcPr>
          <w:p w14:paraId="0F0F6472"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0.004</w:t>
            </w:r>
          </w:p>
        </w:tc>
      </w:tr>
    </w:tbl>
    <w:p w14:paraId="6535C859" w14:textId="77777777" w:rsidR="00596BBD" w:rsidRDefault="00596BBD" w:rsidP="00F4410D">
      <w:pPr>
        <w:spacing w:line="240" w:lineRule="auto"/>
        <w:jc w:val="both"/>
        <w:rPr>
          <w:rFonts w:ascii="Times New Roman" w:hAnsi="Times New Roman" w:cs="Times New Roman"/>
          <w:color w:val="000000" w:themeColor="text1"/>
          <w:sz w:val="24"/>
          <w:szCs w:val="24"/>
        </w:rPr>
      </w:pPr>
    </w:p>
    <w:p w14:paraId="2D43C0DF" w14:textId="0CA65C76" w:rsidR="00F4410D" w:rsidRPr="00BE4AF3" w:rsidRDefault="00F4410D" w:rsidP="00F4410D">
      <w:pPr>
        <w:spacing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The result indicate that a 1% increase in effective tax rate is associated with a 2.31% decrease in annual development projects, confirming the negative relationship between taxation and development activity. Property tax rate showed the strongest individual impact, with a 1% increase corresponding to a 1.85% reduction in development activity.</w:t>
      </w:r>
    </w:p>
    <w:p w14:paraId="2EC30EEA" w14:textId="77777777" w:rsidR="00596BBD" w:rsidRDefault="00596BBD" w:rsidP="00596BBD">
      <w:pPr>
        <w:spacing w:after="0" w:line="240" w:lineRule="auto"/>
        <w:jc w:val="center"/>
        <w:rPr>
          <w:rFonts w:ascii="Times New Roman" w:hAnsi="Times New Roman" w:cs="Times New Roman"/>
          <w:b/>
          <w:bCs/>
          <w:color w:val="000000" w:themeColor="text1"/>
          <w:sz w:val="24"/>
          <w:szCs w:val="24"/>
        </w:rPr>
      </w:pPr>
    </w:p>
    <w:p w14:paraId="3E91A743" w14:textId="77777777" w:rsidR="00596BBD" w:rsidRDefault="00596BBD" w:rsidP="00596BBD">
      <w:pPr>
        <w:spacing w:after="0" w:line="240" w:lineRule="auto"/>
        <w:jc w:val="center"/>
        <w:rPr>
          <w:rFonts w:ascii="Times New Roman" w:hAnsi="Times New Roman" w:cs="Times New Roman"/>
          <w:b/>
          <w:bCs/>
          <w:color w:val="000000" w:themeColor="text1"/>
          <w:sz w:val="24"/>
          <w:szCs w:val="24"/>
        </w:rPr>
      </w:pPr>
    </w:p>
    <w:p w14:paraId="16EFAB66" w14:textId="77777777" w:rsidR="00596BBD" w:rsidRDefault="00596BBD" w:rsidP="00596BBD">
      <w:pPr>
        <w:spacing w:after="0" w:line="240" w:lineRule="auto"/>
        <w:jc w:val="center"/>
        <w:rPr>
          <w:rFonts w:ascii="Times New Roman" w:hAnsi="Times New Roman" w:cs="Times New Roman"/>
          <w:b/>
          <w:bCs/>
          <w:color w:val="000000" w:themeColor="text1"/>
          <w:sz w:val="24"/>
          <w:szCs w:val="24"/>
        </w:rPr>
      </w:pPr>
    </w:p>
    <w:p w14:paraId="2584720B" w14:textId="77777777" w:rsidR="00596BBD" w:rsidRDefault="00596BBD" w:rsidP="00596BBD">
      <w:pPr>
        <w:spacing w:after="0" w:line="240" w:lineRule="auto"/>
        <w:jc w:val="center"/>
        <w:rPr>
          <w:rFonts w:ascii="Times New Roman" w:hAnsi="Times New Roman" w:cs="Times New Roman"/>
          <w:b/>
          <w:bCs/>
          <w:color w:val="000000" w:themeColor="text1"/>
          <w:sz w:val="24"/>
          <w:szCs w:val="24"/>
        </w:rPr>
      </w:pPr>
    </w:p>
    <w:p w14:paraId="5F89DE66" w14:textId="77777777" w:rsidR="00596BBD" w:rsidRDefault="00596BBD" w:rsidP="00596BBD">
      <w:pPr>
        <w:spacing w:after="0" w:line="240" w:lineRule="auto"/>
        <w:jc w:val="center"/>
        <w:rPr>
          <w:rFonts w:ascii="Times New Roman" w:hAnsi="Times New Roman" w:cs="Times New Roman"/>
          <w:b/>
          <w:bCs/>
          <w:color w:val="000000" w:themeColor="text1"/>
          <w:sz w:val="24"/>
          <w:szCs w:val="24"/>
        </w:rPr>
      </w:pPr>
    </w:p>
    <w:p w14:paraId="1108BA50" w14:textId="77777777" w:rsidR="00596BBD" w:rsidRDefault="00596BBD" w:rsidP="00596BBD">
      <w:pPr>
        <w:spacing w:after="0" w:line="240" w:lineRule="auto"/>
        <w:jc w:val="center"/>
        <w:rPr>
          <w:rFonts w:ascii="Times New Roman" w:hAnsi="Times New Roman" w:cs="Times New Roman"/>
          <w:b/>
          <w:bCs/>
          <w:color w:val="000000" w:themeColor="text1"/>
          <w:sz w:val="24"/>
          <w:szCs w:val="24"/>
        </w:rPr>
      </w:pPr>
    </w:p>
    <w:p w14:paraId="35C42A07" w14:textId="77777777" w:rsidR="00596BBD" w:rsidRDefault="00596BBD" w:rsidP="00596BBD">
      <w:pPr>
        <w:spacing w:after="0" w:line="240" w:lineRule="auto"/>
        <w:jc w:val="center"/>
        <w:rPr>
          <w:rFonts w:ascii="Times New Roman" w:hAnsi="Times New Roman" w:cs="Times New Roman"/>
          <w:b/>
          <w:bCs/>
          <w:color w:val="000000" w:themeColor="text1"/>
          <w:sz w:val="24"/>
          <w:szCs w:val="24"/>
        </w:rPr>
      </w:pPr>
    </w:p>
    <w:p w14:paraId="1B4AF771" w14:textId="16E04BAF" w:rsidR="00F4410D" w:rsidRPr="00BE4AF3" w:rsidRDefault="00F4410D" w:rsidP="00596BBD">
      <w:pPr>
        <w:spacing w:after="0" w:line="240" w:lineRule="auto"/>
        <w:jc w:val="center"/>
        <w:rPr>
          <w:rFonts w:ascii="Times New Roman" w:hAnsi="Times New Roman" w:cs="Times New Roman"/>
          <w:b/>
          <w:bCs/>
          <w:color w:val="000000" w:themeColor="text1"/>
          <w:sz w:val="24"/>
          <w:szCs w:val="24"/>
        </w:rPr>
      </w:pPr>
      <w:r w:rsidRPr="00BE4AF3">
        <w:rPr>
          <w:rFonts w:ascii="Times New Roman" w:hAnsi="Times New Roman" w:cs="Times New Roman"/>
          <w:b/>
          <w:bCs/>
          <w:color w:val="000000" w:themeColor="text1"/>
          <w:sz w:val="24"/>
          <w:szCs w:val="24"/>
        </w:rPr>
        <w:lastRenderedPageBreak/>
        <w:t xml:space="preserve">Table 2: </w:t>
      </w:r>
      <w:r w:rsidRPr="00596BBD">
        <w:rPr>
          <w:rFonts w:ascii="Times New Roman" w:hAnsi="Times New Roman" w:cs="Times New Roman"/>
          <w:color w:val="000000" w:themeColor="text1"/>
          <w:sz w:val="24"/>
          <w:szCs w:val="24"/>
        </w:rPr>
        <w:t>Statistical Model Results</w:t>
      </w:r>
    </w:p>
    <w:tbl>
      <w:tblPr>
        <w:tblW w:w="8080" w:type="dxa"/>
        <w:jc w:val="center"/>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985"/>
        <w:gridCol w:w="1701"/>
        <w:gridCol w:w="4394"/>
      </w:tblGrid>
      <w:tr w:rsidR="00F4410D" w:rsidRPr="00596BBD" w14:paraId="6D5063B2" w14:textId="77777777" w:rsidTr="00596BBD">
        <w:trPr>
          <w:trHeight w:val="479"/>
          <w:tblHeader/>
          <w:tblCellSpacing w:w="15" w:type="dxa"/>
          <w:jc w:val="center"/>
        </w:trPr>
        <w:tc>
          <w:tcPr>
            <w:tcW w:w="1940" w:type="dxa"/>
            <w:vAlign w:val="center"/>
          </w:tcPr>
          <w:p w14:paraId="26036805"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Metric</w:t>
            </w:r>
          </w:p>
        </w:tc>
        <w:tc>
          <w:tcPr>
            <w:tcW w:w="1671" w:type="dxa"/>
            <w:vAlign w:val="center"/>
          </w:tcPr>
          <w:p w14:paraId="6BBA439B"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Value</w:t>
            </w:r>
          </w:p>
        </w:tc>
        <w:tc>
          <w:tcPr>
            <w:tcW w:w="4349" w:type="dxa"/>
            <w:vAlign w:val="center"/>
          </w:tcPr>
          <w:p w14:paraId="63C08F90"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Interpretation</w:t>
            </w:r>
          </w:p>
        </w:tc>
      </w:tr>
      <w:tr w:rsidR="00F4410D" w:rsidRPr="00596BBD" w14:paraId="77C6EB15" w14:textId="77777777" w:rsidTr="00047652">
        <w:trPr>
          <w:trHeight w:val="765"/>
          <w:tblCellSpacing w:w="15" w:type="dxa"/>
          <w:jc w:val="center"/>
        </w:trPr>
        <w:tc>
          <w:tcPr>
            <w:tcW w:w="1940" w:type="dxa"/>
            <w:tcBorders>
              <w:top w:val="single" w:sz="4" w:space="0" w:color="auto"/>
              <w:bottom w:val="nil"/>
            </w:tcBorders>
            <w:vAlign w:val="center"/>
          </w:tcPr>
          <w:p w14:paraId="400DA271"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Standardized Path Coefficient</w:t>
            </w:r>
          </w:p>
        </w:tc>
        <w:tc>
          <w:tcPr>
            <w:tcW w:w="1671" w:type="dxa"/>
            <w:tcBorders>
              <w:top w:val="single" w:sz="4" w:space="0" w:color="auto"/>
              <w:bottom w:val="nil"/>
            </w:tcBorders>
            <w:vAlign w:val="center"/>
          </w:tcPr>
          <w:p w14:paraId="661DAFC7"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0.42</w:t>
            </w:r>
          </w:p>
        </w:tc>
        <w:tc>
          <w:tcPr>
            <w:tcW w:w="4349" w:type="dxa"/>
            <w:tcBorders>
              <w:top w:val="single" w:sz="4" w:space="0" w:color="auto"/>
              <w:bottom w:val="nil"/>
            </w:tcBorders>
            <w:vAlign w:val="center"/>
          </w:tcPr>
          <w:p w14:paraId="1BED4042"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Strong positive relationship between tax burden and development costs</w:t>
            </w:r>
          </w:p>
        </w:tc>
      </w:tr>
      <w:tr w:rsidR="00F4410D" w:rsidRPr="00596BBD" w14:paraId="3B764B14" w14:textId="77777777" w:rsidTr="00596BBD">
        <w:trPr>
          <w:trHeight w:val="765"/>
          <w:tblCellSpacing w:w="15" w:type="dxa"/>
          <w:jc w:val="center"/>
        </w:trPr>
        <w:tc>
          <w:tcPr>
            <w:tcW w:w="1940" w:type="dxa"/>
            <w:vAlign w:val="center"/>
          </w:tcPr>
          <w:p w14:paraId="25356CEE"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Statistical Significance</w:t>
            </w:r>
          </w:p>
        </w:tc>
        <w:tc>
          <w:tcPr>
            <w:tcW w:w="1671" w:type="dxa"/>
            <w:vAlign w:val="center"/>
          </w:tcPr>
          <w:p w14:paraId="0DA0BA4F"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p &lt; 0.001</w:t>
            </w:r>
          </w:p>
        </w:tc>
        <w:tc>
          <w:tcPr>
            <w:tcW w:w="4349" w:type="dxa"/>
            <w:vAlign w:val="center"/>
          </w:tcPr>
          <w:p w14:paraId="6A1825FD"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Highly significant result (less than 0.1% probability due to chance)</w:t>
            </w:r>
          </w:p>
        </w:tc>
      </w:tr>
      <w:tr w:rsidR="00F4410D" w:rsidRPr="00596BBD" w14:paraId="6A495368" w14:textId="77777777" w:rsidTr="00596BBD">
        <w:trPr>
          <w:trHeight w:val="765"/>
          <w:tblCellSpacing w:w="15" w:type="dxa"/>
          <w:jc w:val="center"/>
        </w:trPr>
        <w:tc>
          <w:tcPr>
            <w:tcW w:w="1940" w:type="dxa"/>
            <w:vAlign w:val="center"/>
          </w:tcPr>
          <w:p w14:paraId="442B14E2"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Model Type</w:t>
            </w:r>
          </w:p>
        </w:tc>
        <w:tc>
          <w:tcPr>
            <w:tcW w:w="1671" w:type="dxa"/>
            <w:vAlign w:val="center"/>
          </w:tcPr>
          <w:p w14:paraId="43CCFB0B"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Structural Equation Modeling</w:t>
            </w:r>
          </w:p>
        </w:tc>
        <w:tc>
          <w:tcPr>
            <w:tcW w:w="4349" w:type="dxa"/>
            <w:vAlign w:val="center"/>
          </w:tcPr>
          <w:p w14:paraId="29C79FC7" w14:textId="77777777" w:rsidR="00F4410D" w:rsidRPr="00596BBD" w:rsidRDefault="00F4410D" w:rsidP="00596BBD">
            <w:pPr>
              <w:spacing w:after="0"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Controls for multiple variables and indirect effects</w:t>
            </w:r>
          </w:p>
        </w:tc>
      </w:tr>
    </w:tbl>
    <w:p w14:paraId="2D13AED9" w14:textId="77777777" w:rsidR="00596BBD" w:rsidRDefault="00596BBD" w:rsidP="00F4410D">
      <w:pPr>
        <w:spacing w:after="0" w:line="240" w:lineRule="auto"/>
        <w:jc w:val="both"/>
        <w:rPr>
          <w:rFonts w:ascii="Times New Roman" w:hAnsi="Times New Roman" w:cs="Times New Roman"/>
          <w:color w:val="000000" w:themeColor="text1"/>
          <w:sz w:val="24"/>
          <w:szCs w:val="24"/>
        </w:rPr>
      </w:pPr>
    </w:p>
    <w:p w14:paraId="1A11ACE0" w14:textId="766F7620" w:rsidR="00F4410D" w:rsidRDefault="00F4410D" w:rsidP="00F4410D">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Table 2 revealed that taxation significantly increases development costs through both direct payments and indirect compliance burdens. The standardized path coefficient from tax burden to development costs was 0.42 (p &lt; 0.001), indicating that higher tax burdens substantially increase overall project costs.</w:t>
      </w:r>
    </w:p>
    <w:p w14:paraId="7445DEBD" w14:textId="77777777" w:rsidR="00596BBD" w:rsidRPr="00BE4AF3" w:rsidRDefault="00596BBD" w:rsidP="00F4410D">
      <w:pPr>
        <w:spacing w:after="0" w:line="240" w:lineRule="auto"/>
        <w:jc w:val="both"/>
        <w:rPr>
          <w:rFonts w:ascii="Times New Roman" w:hAnsi="Times New Roman" w:cs="Times New Roman"/>
          <w:color w:val="000000" w:themeColor="text1"/>
          <w:sz w:val="24"/>
          <w:szCs w:val="24"/>
        </w:rPr>
      </w:pPr>
    </w:p>
    <w:p w14:paraId="3321DD06" w14:textId="77777777" w:rsidR="00F4410D" w:rsidRPr="00596BBD" w:rsidRDefault="00F4410D" w:rsidP="00596BBD">
      <w:pPr>
        <w:spacing w:after="0" w:line="240" w:lineRule="auto"/>
        <w:jc w:val="center"/>
        <w:rPr>
          <w:rFonts w:ascii="Times New Roman" w:hAnsi="Times New Roman" w:cs="Times New Roman"/>
          <w:color w:val="000000" w:themeColor="text1"/>
          <w:sz w:val="24"/>
          <w:szCs w:val="24"/>
        </w:rPr>
      </w:pPr>
      <w:r w:rsidRPr="00BE4AF3">
        <w:rPr>
          <w:rFonts w:ascii="Times New Roman" w:hAnsi="Times New Roman" w:cs="Times New Roman"/>
          <w:b/>
          <w:bCs/>
          <w:color w:val="000000" w:themeColor="text1"/>
          <w:sz w:val="24"/>
          <w:szCs w:val="24"/>
        </w:rPr>
        <w:t xml:space="preserve">Table 3: </w:t>
      </w:r>
      <w:r w:rsidRPr="00596BBD">
        <w:rPr>
          <w:rFonts w:ascii="Times New Roman" w:hAnsi="Times New Roman" w:cs="Times New Roman"/>
          <w:color w:val="000000" w:themeColor="text1"/>
          <w:sz w:val="24"/>
          <w:szCs w:val="24"/>
        </w:rPr>
        <w:t>Structural Equation Modeling: Taxation Impact on Development Costs</w:t>
      </w:r>
    </w:p>
    <w:tbl>
      <w:tblPr>
        <w:tblW w:w="0" w:type="auto"/>
        <w:jc w:val="center"/>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2127"/>
        <w:gridCol w:w="823"/>
        <w:gridCol w:w="3287"/>
        <w:gridCol w:w="2358"/>
      </w:tblGrid>
      <w:tr w:rsidR="00F4410D" w:rsidRPr="00596BBD" w14:paraId="4199F2A6" w14:textId="77777777" w:rsidTr="00047652">
        <w:trPr>
          <w:tblHeader/>
          <w:tblCellSpacing w:w="15" w:type="dxa"/>
          <w:jc w:val="center"/>
        </w:trPr>
        <w:tc>
          <w:tcPr>
            <w:tcW w:w="2082" w:type="dxa"/>
            <w:vAlign w:val="center"/>
          </w:tcPr>
          <w:p w14:paraId="35290C3E" w14:textId="77777777" w:rsidR="00F4410D" w:rsidRPr="00596BBD" w:rsidRDefault="00F4410D" w:rsidP="00596BBD">
            <w:pPr>
              <w:spacing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Metric</w:t>
            </w:r>
          </w:p>
        </w:tc>
        <w:tc>
          <w:tcPr>
            <w:tcW w:w="0" w:type="auto"/>
            <w:vAlign w:val="center"/>
          </w:tcPr>
          <w:p w14:paraId="02C770EE" w14:textId="77777777" w:rsidR="00F4410D" w:rsidRPr="00596BBD" w:rsidRDefault="00F4410D" w:rsidP="00596BBD">
            <w:pPr>
              <w:spacing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Value</w:t>
            </w:r>
          </w:p>
        </w:tc>
        <w:tc>
          <w:tcPr>
            <w:tcW w:w="3257" w:type="dxa"/>
            <w:vAlign w:val="center"/>
          </w:tcPr>
          <w:p w14:paraId="38441C19" w14:textId="77777777" w:rsidR="00F4410D" w:rsidRPr="00596BBD" w:rsidRDefault="00F4410D" w:rsidP="00596BBD">
            <w:pPr>
              <w:spacing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Meaning</w:t>
            </w:r>
          </w:p>
        </w:tc>
        <w:tc>
          <w:tcPr>
            <w:tcW w:w="2313" w:type="dxa"/>
            <w:vAlign w:val="center"/>
          </w:tcPr>
          <w:p w14:paraId="27F6C96C" w14:textId="77777777" w:rsidR="00F4410D" w:rsidRPr="00596BBD" w:rsidRDefault="00F4410D" w:rsidP="00596BBD">
            <w:pPr>
              <w:spacing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Interpretation</w:t>
            </w:r>
          </w:p>
        </w:tc>
      </w:tr>
      <w:tr w:rsidR="00F4410D" w:rsidRPr="00596BBD" w14:paraId="1D0748D7" w14:textId="77777777" w:rsidTr="00047652">
        <w:trPr>
          <w:tblCellSpacing w:w="15" w:type="dxa"/>
          <w:jc w:val="center"/>
        </w:trPr>
        <w:tc>
          <w:tcPr>
            <w:tcW w:w="2082" w:type="dxa"/>
            <w:tcBorders>
              <w:top w:val="single" w:sz="4" w:space="0" w:color="auto"/>
              <w:bottom w:val="nil"/>
            </w:tcBorders>
            <w:vAlign w:val="center"/>
          </w:tcPr>
          <w:p w14:paraId="49FEAFE8" w14:textId="77777777" w:rsidR="00F4410D" w:rsidRPr="00596BBD" w:rsidRDefault="00F4410D" w:rsidP="00596BBD">
            <w:pPr>
              <w:spacing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Standardized Path Coefficient</w:t>
            </w:r>
          </w:p>
        </w:tc>
        <w:tc>
          <w:tcPr>
            <w:tcW w:w="0" w:type="auto"/>
            <w:tcBorders>
              <w:top w:val="single" w:sz="4" w:space="0" w:color="auto"/>
              <w:bottom w:val="nil"/>
            </w:tcBorders>
            <w:vAlign w:val="center"/>
          </w:tcPr>
          <w:p w14:paraId="4AAF3CCF" w14:textId="77777777" w:rsidR="00F4410D" w:rsidRPr="00596BBD" w:rsidRDefault="00F4410D" w:rsidP="00596BBD">
            <w:pPr>
              <w:spacing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0.42</w:t>
            </w:r>
          </w:p>
        </w:tc>
        <w:tc>
          <w:tcPr>
            <w:tcW w:w="3257" w:type="dxa"/>
            <w:tcBorders>
              <w:top w:val="single" w:sz="4" w:space="0" w:color="auto"/>
              <w:bottom w:val="nil"/>
            </w:tcBorders>
            <w:vAlign w:val="center"/>
          </w:tcPr>
          <w:p w14:paraId="3FBCAFC2" w14:textId="77777777" w:rsidR="00F4410D" w:rsidRPr="00596BBD" w:rsidRDefault="00F4410D" w:rsidP="00596BBD">
            <w:pPr>
              <w:spacing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For every 1 standard deviation increase in tax burden, development costs increase by 0.42 standard deviations</w:t>
            </w:r>
          </w:p>
        </w:tc>
        <w:tc>
          <w:tcPr>
            <w:tcW w:w="2313" w:type="dxa"/>
            <w:tcBorders>
              <w:top w:val="single" w:sz="4" w:space="0" w:color="auto"/>
              <w:bottom w:val="nil"/>
            </w:tcBorders>
            <w:vAlign w:val="center"/>
          </w:tcPr>
          <w:p w14:paraId="44AF8828" w14:textId="77777777" w:rsidR="00F4410D" w:rsidRPr="00596BBD" w:rsidRDefault="00F4410D" w:rsidP="00596BBD">
            <w:pPr>
              <w:spacing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Strong positive effect - substantial impact of taxation on costs</w:t>
            </w:r>
          </w:p>
        </w:tc>
      </w:tr>
      <w:tr w:rsidR="00F4410D" w:rsidRPr="00596BBD" w14:paraId="650DD961" w14:textId="77777777" w:rsidTr="00047652">
        <w:trPr>
          <w:tblCellSpacing w:w="15" w:type="dxa"/>
          <w:jc w:val="center"/>
        </w:trPr>
        <w:tc>
          <w:tcPr>
            <w:tcW w:w="2082" w:type="dxa"/>
            <w:vAlign w:val="center"/>
          </w:tcPr>
          <w:p w14:paraId="3B821F92" w14:textId="77777777" w:rsidR="00F4410D" w:rsidRPr="00596BBD" w:rsidRDefault="00F4410D" w:rsidP="00596BBD">
            <w:pPr>
              <w:spacing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Statistical Significance</w:t>
            </w:r>
          </w:p>
        </w:tc>
        <w:tc>
          <w:tcPr>
            <w:tcW w:w="0" w:type="auto"/>
            <w:vAlign w:val="center"/>
          </w:tcPr>
          <w:p w14:paraId="0A01F81D" w14:textId="77777777" w:rsidR="00F4410D" w:rsidRPr="00596BBD" w:rsidRDefault="00F4410D" w:rsidP="00596BBD">
            <w:pPr>
              <w:spacing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p &lt; 0.001</w:t>
            </w:r>
          </w:p>
        </w:tc>
        <w:tc>
          <w:tcPr>
            <w:tcW w:w="3257" w:type="dxa"/>
            <w:vAlign w:val="center"/>
          </w:tcPr>
          <w:p w14:paraId="08981C5F" w14:textId="77777777" w:rsidR="00F4410D" w:rsidRPr="00596BBD" w:rsidRDefault="00F4410D" w:rsidP="00596BBD">
            <w:pPr>
              <w:spacing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Less than 0.1% probability this result occurred by chance</w:t>
            </w:r>
          </w:p>
        </w:tc>
        <w:tc>
          <w:tcPr>
            <w:tcW w:w="2313" w:type="dxa"/>
            <w:vAlign w:val="center"/>
          </w:tcPr>
          <w:p w14:paraId="4E8525F4" w14:textId="77777777" w:rsidR="00F4410D" w:rsidRPr="00596BBD" w:rsidRDefault="00F4410D" w:rsidP="00596BBD">
            <w:pPr>
              <w:spacing w:line="240" w:lineRule="auto"/>
              <w:rPr>
                <w:rFonts w:ascii="Times New Roman" w:hAnsi="Times New Roman" w:cs="Times New Roman"/>
                <w:color w:val="000000" w:themeColor="text1"/>
                <w:sz w:val="20"/>
                <w:szCs w:val="20"/>
              </w:rPr>
            </w:pPr>
            <w:r w:rsidRPr="00596BBD">
              <w:rPr>
                <w:rFonts w:ascii="Times New Roman" w:hAnsi="Times New Roman" w:cs="Times New Roman"/>
                <w:color w:val="000000" w:themeColor="text1"/>
                <w:sz w:val="20"/>
                <w:szCs w:val="20"/>
              </w:rPr>
              <w:t>Highly significant - extremely reliable finding</w:t>
            </w:r>
          </w:p>
        </w:tc>
      </w:tr>
    </w:tbl>
    <w:p w14:paraId="78100F1F" w14:textId="77777777" w:rsidR="00047652" w:rsidRDefault="00047652" w:rsidP="00F4410D">
      <w:pPr>
        <w:spacing w:line="240" w:lineRule="auto"/>
        <w:jc w:val="both"/>
        <w:rPr>
          <w:rFonts w:ascii="Times New Roman" w:hAnsi="Times New Roman" w:cs="Times New Roman"/>
          <w:b/>
          <w:bCs/>
          <w:color w:val="000000" w:themeColor="text1"/>
          <w:sz w:val="24"/>
          <w:szCs w:val="24"/>
        </w:rPr>
      </w:pPr>
    </w:p>
    <w:p w14:paraId="5F5952FA" w14:textId="1B210DAD" w:rsidR="00F4410D" w:rsidRPr="00BE4AF3" w:rsidRDefault="00F4410D" w:rsidP="00047652">
      <w:pPr>
        <w:spacing w:after="0" w:line="240" w:lineRule="auto"/>
        <w:jc w:val="center"/>
        <w:rPr>
          <w:rFonts w:ascii="Times New Roman" w:hAnsi="Times New Roman" w:cs="Times New Roman"/>
          <w:b/>
          <w:bCs/>
          <w:color w:val="000000" w:themeColor="text1"/>
          <w:sz w:val="24"/>
          <w:szCs w:val="24"/>
        </w:rPr>
      </w:pPr>
      <w:r w:rsidRPr="00BE4AF3">
        <w:rPr>
          <w:rFonts w:ascii="Times New Roman" w:hAnsi="Times New Roman" w:cs="Times New Roman"/>
          <w:b/>
          <w:bCs/>
          <w:color w:val="000000" w:themeColor="text1"/>
          <w:sz w:val="24"/>
          <w:szCs w:val="24"/>
        </w:rPr>
        <w:t>Table 4</w:t>
      </w:r>
      <w:r w:rsidR="00047652">
        <w:rPr>
          <w:rFonts w:ascii="Times New Roman" w:hAnsi="Times New Roman" w:cs="Times New Roman"/>
          <w:b/>
          <w:bCs/>
          <w:color w:val="000000" w:themeColor="text1"/>
          <w:sz w:val="24"/>
          <w:szCs w:val="24"/>
        </w:rPr>
        <w:t>:</w:t>
      </w:r>
      <w:r w:rsidRPr="00BE4AF3">
        <w:rPr>
          <w:rFonts w:ascii="Times New Roman" w:hAnsi="Times New Roman" w:cs="Times New Roman"/>
          <w:b/>
          <w:bCs/>
          <w:color w:val="000000" w:themeColor="text1"/>
          <w:sz w:val="24"/>
          <w:szCs w:val="24"/>
        </w:rPr>
        <w:t xml:space="preserve"> </w:t>
      </w:r>
      <w:r w:rsidRPr="00047652">
        <w:rPr>
          <w:rFonts w:ascii="Times New Roman" w:hAnsi="Times New Roman" w:cs="Times New Roman"/>
          <w:color w:val="000000" w:themeColor="text1"/>
          <w:sz w:val="24"/>
          <w:szCs w:val="24"/>
        </w:rPr>
        <w:t>Statistical Confidence</w:t>
      </w:r>
    </w:p>
    <w:tbl>
      <w:tblPr>
        <w:tblW w:w="0" w:type="auto"/>
        <w:jc w:val="center"/>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503"/>
        <w:gridCol w:w="3317"/>
        <w:gridCol w:w="3969"/>
      </w:tblGrid>
      <w:tr w:rsidR="00F4410D" w:rsidRPr="00047652" w14:paraId="15C9341D" w14:textId="77777777" w:rsidTr="00047652">
        <w:trPr>
          <w:tblHeader/>
          <w:tblCellSpacing w:w="15" w:type="dxa"/>
          <w:jc w:val="center"/>
        </w:trPr>
        <w:tc>
          <w:tcPr>
            <w:tcW w:w="1458" w:type="dxa"/>
            <w:vAlign w:val="center"/>
          </w:tcPr>
          <w:p w14:paraId="00D11A83" w14:textId="77777777" w:rsidR="00F4410D" w:rsidRPr="00047652" w:rsidRDefault="00F4410D" w:rsidP="00047652">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Confidence Level</w:t>
            </w:r>
          </w:p>
        </w:tc>
        <w:tc>
          <w:tcPr>
            <w:tcW w:w="3287" w:type="dxa"/>
            <w:vAlign w:val="center"/>
          </w:tcPr>
          <w:p w14:paraId="70F2D753" w14:textId="77777777" w:rsidR="00F4410D" w:rsidRPr="00047652" w:rsidRDefault="00F4410D" w:rsidP="00047652">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Meaning</w:t>
            </w:r>
          </w:p>
        </w:tc>
        <w:tc>
          <w:tcPr>
            <w:tcW w:w="3924" w:type="dxa"/>
            <w:vAlign w:val="center"/>
          </w:tcPr>
          <w:p w14:paraId="2F3B6CC9" w14:textId="77777777" w:rsidR="00F4410D" w:rsidRPr="00047652" w:rsidRDefault="00F4410D" w:rsidP="00047652">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Research Standard</w:t>
            </w:r>
          </w:p>
        </w:tc>
      </w:tr>
      <w:tr w:rsidR="00F4410D" w:rsidRPr="00047652" w14:paraId="4514909E" w14:textId="77777777" w:rsidTr="00047652">
        <w:trPr>
          <w:tblCellSpacing w:w="15" w:type="dxa"/>
          <w:jc w:val="center"/>
        </w:trPr>
        <w:tc>
          <w:tcPr>
            <w:tcW w:w="1458" w:type="dxa"/>
            <w:tcBorders>
              <w:top w:val="single" w:sz="4" w:space="0" w:color="auto"/>
              <w:bottom w:val="nil"/>
            </w:tcBorders>
            <w:vAlign w:val="center"/>
          </w:tcPr>
          <w:p w14:paraId="62E0EEE3" w14:textId="77777777" w:rsidR="00F4410D" w:rsidRPr="00047652" w:rsidRDefault="00F4410D" w:rsidP="00047652">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99.9%</w:t>
            </w:r>
          </w:p>
        </w:tc>
        <w:tc>
          <w:tcPr>
            <w:tcW w:w="3287" w:type="dxa"/>
            <w:tcBorders>
              <w:top w:val="single" w:sz="4" w:space="0" w:color="auto"/>
              <w:bottom w:val="nil"/>
            </w:tcBorders>
            <w:vAlign w:val="center"/>
          </w:tcPr>
          <w:p w14:paraId="6A3956B3" w14:textId="77777777" w:rsidR="00F4410D" w:rsidRPr="00047652" w:rsidRDefault="00F4410D" w:rsidP="00047652">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Result is statistically significant</w:t>
            </w:r>
          </w:p>
        </w:tc>
        <w:tc>
          <w:tcPr>
            <w:tcW w:w="3924" w:type="dxa"/>
            <w:tcBorders>
              <w:top w:val="single" w:sz="4" w:space="0" w:color="auto"/>
              <w:bottom w:val="nil"/>
            </w:tcBorders>
            <w:vAlign w:val="center"/>
          </w:tcPr>
          <w:p w14:paraId="34C001DF" w14:textId="77777777" w:rsidR="00F4410D" w:rsidRPr="00047652" w:rsidRDefault="00F4410D" w:rsidP="00047652">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Exceeds typical 95% threshold for social science research</w:t>
            </w:r>
          </w:p>
        </w:tc>
      </w:tr>
      <w:tr w:rsidR="00F4410D" w:rsidRPr="00047652" w14:paraId="7709A8CD" w14:textId="77777777" w:rsidTr="00047652">
        <w:trPr>
          <w:tblCellSpacing w:w="15" w:type="dxa"/>
          <w:jc w:val="center"/>
        </w:trPr>
        <w:tc>
          <w:tcPr>
            <w:tcW w:w="1458" w:type="dxa"/>
            <w:vAlign w:val="center"/>
          </w:tcPr>
          <w:p w14:paraId="40FCD79D" w14:textId="77777777" w:rsidR="00F4410D" w:rsidRPr="00047652" w:rsidRDefault="00F4410D" w:rsidP="00047652">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p &lt; 0.001</w:t>
            </w:r>
          </w:p>
        </w:tc>
        <w:tc>
          <w:tcPr>
            <w:tcW w:w="3287" w:type="dxa"/>
            <w:vAlign w:val="center"/>
          </w:tcPr>
          <w:p w14:paraId="3EE87030" w14:textId="108037DD" w:rsidR="00F4410D" w:rsidRPr="00047652" w:rsidRDefault="00F4410D" w:rsidP="00047652">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 xml:space="preserve">Less than 1 in 1,000 </w:t>
            </w:r>
            <w:r w:rsidR="00047652" w:rsidRPr="00047652">
              <w:rPr>
                <w:rFonts w:ascii="Times New Roman" w:hAnsi="Times New Roman" w:cs="Times New Roman"/>
                <w:color w:val="000000" w:themeColor="text1"/>
                <w:sz w:val="20"/>
                <w:szCs w:val="20"/>
              </w:rPr>
              <w:t>chances</w:t>
            </w:r>
            <w:r w:rsidRPr="00047652">
              <w:rPr>
                <w:rFonts w:ascii="Times New Roman" w:hAnsi="Times New Roman" w:cs="Times New Roman"/>
                <w:color w:val="000000" w:themeColor="text1"/>
                <w:sz w:val="20"/>
                <w:szCs w:val="20"/>
              </w:rPr>
              <w:t xml:space="preserve"> of false positive</w:t>
            </w:r>
          </w:p>
        </w:tc>
        <w:tc>
          <w:tcPr>
            <w:tcW w:w="3924" w:type="dxa"/>
            <w:vAlign w:val="center"/>
          </w:tcPr>
          <w:p w14:paraId="7624A638" w14:textId="77777777" w:rsidR="00F4410D" w:rsidRPr="00047652" w:rsidRDefault="00F4410D" w:rsidP="00047652">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Extremely strong evidence of genuine relationship</w:t>
            </w:r>
          </w:p>
        </w:tc>
      </w:tr>
    </w:tbl>
    <w:p w14:paraId="49498AF9" w14:textId="77777777" w:rsidR="00047652" w:rsidRDefault="00047652" w:rsidP="00F4410D">
      <w:pPr>
        <w:spacing w:line="240" w:lineRule="auto"/>
        <w:jc w:val="both"/>
        <w:rPr>
          <w:rFonts w:ascii="Times New Roman" w:hAnsi="Times New Roman" w:cs="Times New Roman"/>
          <w:color w:val="000000" w:themeColor="text1"/>
          <w:sz w:val="24"/>
          <w:szCs w:val="24"/>
        </w:rPr>
      </w:pPr>
    </w:p>
    <w:p w14:paraId="489DC76B" w14:textId="1928B236" w:rsidR="00F4410D" w:rsidRPr="00BE4AF3" w:rsidRDefault="00F4410D" w:rsidP="00F4410D">
      <w:pPr>
        <w:spacing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Table 3 revealed that taxation significantly increases development costs through both direct payments and indirect compliance burdens. The standardized path coefficient from tax burden to development costs was 0.42 (p &lt; 0.001), indicating that higher tax burdens substantially increase overall project costs.</w:t>
      </w:r>
    </w:p>
    <w:p w14:paraId="6B4F4CE7" w14:textId="77777777" w:rsidR="00047652" w:rsidRDefault="00047652" w:rsidP="00F4410D">
      <w:pPr>
        <w:spacing w:line="240" w:lineRule="auto"/>
        <w:rPr>
          <w:rFonts w:ascii="Times New Roman" w:hAnsi="Times New Roman" w:cs="Times New Roman"/>
          <w:b/>
          <w:bCs/>
          <w:color w:val="000000" w:themeColor="text1"/>
          <w:sz w:val="24"/>
          <w:szCs w:val="24"/>
        </w:rPr>
      </w:pPr>
    </w:p>
    <w:p w14:paraId="09FA84ED" w14:textId="77777777" w:rsidR="00047652" w:rsidRDefault="00047652" w:rsidP="00F4410D">
      <w:pPr>
        <w:spacing w:line="240" w:lineRule="auto"/>
        <w:rPr>
          <w:rFonts w:ascii="Times New Roman" w:hAnsi="Times New Roman" w:cs="Times New Roman"/>
          <w:b/>
          <w:bCs/>
          <w:color w:val="000000" w:themeColor="text1"/>
          <w:sz w:val="24"/>
          <w:szCs w:val="24"/>
        </w:rPr>
      </w:pPr>
    </w:p>
    <w:p w14:paraId="67F832F4" w14:textId="5C4624B1" w:rsidR="00F4410D" w:rsidRPr="00047652" w:rsidRDefault="00F4410D" w:rsidP="00047652">
      <w:pPr>
        <w:spacing w:after="0" w:line="240" w:lineRule="auto"/>
        <w:rPr>
          <w:rFonts w:ascii="Times New Roman" w:hAnsi="Times New Roman" w:cs="Times New Roman"/>
          <w:color w:val="000000" w:themeColor="text1"/>
          <w:sz w:val="24"/>
          <w:szCs w:val="24"/>
        </w:rPr>
      </w:pPr>
      <w:r w:rsidRPr="00BE4AF3">
        <w:rPr>
          <w:rFonts w:ascii="Times New Roman" w:hAnsi="Times New Roman" w:cs="Times New Roman"/>
          <w:b/>
          <w:bCs/>
          <w:color w:val="000000" w:themeColor="text1"/>
          <w:sz w:val="24"/>
          <w:szCs w:val="24"/>
        </w:rPr>
        <w:lastRenderedPageBreak/>
        <w:t xml:space="preserve">Table </w:t>
      </w:r>
      <w:r w:rsidR="00047652">
        <w:rPr>
          <w:rFonts w:ascii="Times New Roman" w:hAnsi="Times New Roman" w:cs="Times New Roman"/>
          <w:b/>
          <w:bCs/>
          <w:color w:val="000000" w:themeColor="text1"/>
          <w:sz w:val="24"/>
          <w:szCs w:val="24"/>
        </w:rPr>
        <w:t>5:</w:t>
      </w:r>
      <w:r w:rsidRPr="00BE4AF3">
        <w:rPr>
          <w:rFonts w:ascii="Times New Roman" w:hAnsi="Times New Roman" w:cs="Times New Roman"/>
          <w:b/>
          <w:bCs/>
          <w:color w:val="000000" w:themeColor="text1"/>
          <w:sz w:val="24"/>
          <w:szCs w:val="24"/>
        </w:rPr>
        <w:t xml:space="preserve"> </w:t>
      </w:r>
      <w:r w:rsidRPr="00047652">
        <w:rPr>
          <w:rFonts w:ascii="Times New Roman" w:hAnsi="Times New Roman" w:cs="Times New Roman"/>
          <w:color w:val="000000" w:themeColor="text1"/>
          <w:sz w:val="24"/>
          <w:szCs w:val="24"/>
        </w:rPr>
        <w:t>Tax Burden and real Estate Development Outcomes across Six Major Nigerian Cities</w:t>
      </w:r>
    </w:p>
    <w:tbl>
      <w:tblPr>
        <w:tblW w:w="0" w:type="auto"/>
        <w:jc w:val="center"/>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902"/>
        <w:gridCol w:w="970"/>
        <w:gridCol w:w="1414"/>
        <w:gridCol w:w="3104"/>
        <w:gridCol w:w="1345"/>
        <w:gridCol w:w="1625"/>
      </w:tblGrid>
      <w:tr w:rsidR="00C12A84" w:rsidRPr="00047652" w14:paraId="66C5A939" w14:textId="77777777" w:rsidTr="00047652">
        <w:trPr>
          <w:tblHeader/>
          <w:tblCellSpacing w:w="15" w:type="dxa"/>
          <w:jc w:val="center"/>
        </w:trPr>
        <w:tc>
          <w:tcPr>
            <w:tcW w:w="0" w:type="auto"/>
            <w:tcBorders>
              <w:top w:val="nil"/>
              <w:bottom w:val="nil"/>
            </w:tcBorders>
            <w:vAlign w:val="center"/>
          </w:tcPr>
          <w:p w14:paraId="37C7A7BD"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City</w:t>
            </w:r>
          </w:p>
        </w:tc>
        <w:tc>
          <w:tcPr>
            <w:tcW w:w="940" w:type="dxa"/>
            <w:tcBorders>
              <w:top w:val="nil"/>
              <w:bottom w:val="nil"/>
            </w:tcBorders>
            <w:vAlign w:val="center"/>
          </w:tcPr>
          <w:p w14:paraId="017AC31F"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Effective Tax Rate Level</w:t>
            </w:r>
          </w:p>
        </w:tc>
        <w:tc>
          <w:tcPr>
            <w:tcW w:w="1384" w:type="dxa"/>
            <w:tcBorders>
              <w:top w:val="nil"/>
              <w:bottom w:val="nil"/>
            </w:tcBorders>
            <w:vAlign w:val="center"/>
          </w:tcPr>
          <w:p w14:paraId="5D9C3E59"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Real Estate Development Activity Level</w:t>
            </w:r>
          </w:p>
        </w:tc>
        <w:tc>
          <w:tcPr>
            <w:tcW w:w="0" w:type="auto"/>
            <w:tcBorders>
              <w:top w:val="nil"/>
              <w:bottom w:val="nil"/>
            </w:tcBorders>
            <w:vAlign w:val="center"/>
          </w:tcPr>
          <w:p w14:paraId="4E10BE1D"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Key Characteristics</w:t>
            </w:r>
          </w:p>
        </w:tc>
        <w:tc>
          <w:tcPr>
            <w:tcW w:w="0" w:type="auto"/>
            <w:tcBorders>
              <w:top w:val="nil"/>
              <w:bottom w:val="nil"/>
            </w:tcBorders>
            <w:vAlign w:val="center"/>
          </w:tcPr>
          <w:p w14:paraId="735A4569"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Infrastructure Quality</w:t>
            </w:r>
          </w:p>
        </w:tc>
        <w:tc>
          <w:tcPr>
            <w:tcW w:w="1580" w:type="dxa"/>
            <w:tcBorders>
              <w:top w:val="nil"/>
              <w:bottom w:val="nil"/>
            </w:tcBorders>
            <w:vAlign w:val="center"/>
          </w:tcPr>
          <w:p w14:paraId="6925B60B"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Market Constraints</w:t>
            </w:r>
          </w:p>
        </w:tc>
      </w:tr>
      <w:tr w:rsidR="00C12A84" w:rsidRPr="00047652" w14:paraId="0629D647" w14:textId="77777777" w:rsidTr="00401EAA">
        <w:trPr>
          <w:tblCellSpacing w:w="15" w:type="dxa"/>
          <w:jc w:val="center"/>
        </w:trPr>
        <w:tc>
          <w:tcPr>
            <w:tcW w:w="0" w:type="auto"/>
            <w:tcBorders>
              <w:top w:val="single" w:sz="4" w:space="0" w:color="auto"/>
              <w:bottom w:val="nil"/>
            </w:tcBorders>
            <w:vAlign w:val="center"/>
          </w:tcPr>
          <w:p w14:paraId="47F9D8C2"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Lagos</w:t>
            </w:r>
          </w:p>
        </w:tc>
        <w:tc>
          <w:tcPr>
            <w:tcW w:w="940" w:type="dxa"/>
            <w:tcBorders>
              <w:top w:val="single" w:sz="4" w:space="0" w:color="auto"/>
              <w:bottom w:val="nil"/>
            </w:tcBorders>
            <w:vAlign w:val="center"/>
          </w:tcPr>
          <w:p w14:paraId="56FD5747"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Highest</w:t>
            </w:r>
          </w:p>
        </w:tc>
        <w:tc>
          <w:tcPr>
            <w:tcW w:w="1384" w:type="dxa"/>
            <w:tcBorders>
              <w:top w:val="single" w:sz="4" w:space="0" w:color="auto"/>
              <w:bottom w:val="nil"/>
            </w:tcBorders>
            <w:vAlign w:val="center"/>
          </w:tcPr>
          <w:p w14:paraId="500A1F9A"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Highest</w:t>
            </w:r>
          </w:p>
        </w:tc>
        <w:tc>
          <w:tcPr>
            <w:tcW w:w="0" w:type="auto"/>
            <w:tcBorders>
              <w:top w:val="single" w:sz="4" w:space="0" w:color="auto"/>
              <w:bottom w:val="nil"/>
            </w:tcBorders>
            <w:vAlign w:val="center"/>
          </w:tcPr>
          <w:p w14:paraId="2F6B247F"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 xml:space="preserve"> Largest market size, High infrastructure quality, Tax burden offset by market opportunities</w:t>
            </w:r>
          </w:p>
        </w:tc>
        <w:tc>
          <w:tcPr>
            <w:tcW w:w="0" w:type="auto"/>
            <w:tcBorders>
              <w:top w:val="single" w:sz="4" w:space="0" w:color="auto"/>
              <w:bottom w:val="nil"/>
            </w:tcBorders>
            <w:vAlign w:val="center"/>
          </w:tcPr>
          <w:p w14:paraId="3C63F5E7"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High</w:t>
            </w:r>
          </w:p>
        </w:tc>
        <w:tc>
          <w:tcPr>
            <w:tcW w:w="1580" w:type="dxa"/>
            <w:tcBorders>
              <w:top w:val="single" w:sz="4" w:space="0" w:color="auto"/>
              <w:bottom w:val="nil"/>
            </w:tcBorders>
            <w:vAlign w:val="center"/>
          </w:tcPr>
          <w:p w14:paraId="61DD699F"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Minimal - strong market compensates</w:t>
            </w:r>
          </w:p>
        </w:tc>
      </w:tr>
      <w:tr w:rsidR="00C12A84" w:rsidRPr="00047652" w14:paraId="185C1346" w14:textId="77777777" w:rsidTr="00047652">
        <w:trPr>
          <w:tblCellSpacing w:w="15" w:type="dxa"/>
          <w:jc w:val="center"/>
        </w:trPr>
        <w:tc>
          <w:tcPr>
            <w:tcW w:w="0" w:type="auto"/>
            <w:vAlign w:val="center"/>
          </w:tcPr>
          <w:p w14:paraId="0E0E0949"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Abuja</w:t>
            </w:r>
          </w:p>
        </w:tc>
        <w:tc>
          <w:tcPr>
            <w:tcW w:w="940" w:type="dxa"/>
            <w:vAlign w:val="center"/>
          </w:tcPr>
          <w:p w14:paraId="4B86DE6E"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High</w:t>
            </w:r>
          </w:p>
        </w:tc>
        <w:tc>
          <w:tcPr>
            <w:tcW w:w="1384" w:type="dxa"/>
            <w:vAlign w:val="center"/>
          </w:tcPr>
          <w:p w14:paraId="1010028C"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High</w:t>
            </w:r>
          </w:p>
        </w:tc>
        <w:tc>
          <w:tcPr>
            <w:tcW w:w="0" w:type="auto"/>
            <w:vAlign w:val="center"/>
          </w:tcPr>
          <w:p w14:paraId="513E6D81"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 xml:space="preserve"> Federal capital advantages. No significant difference from Lagos in tax rates</w:t>
            </w:r>
          </w:p>
        </w:tc>
        <w:tc>
          <w:tcPr>
            <w:tcW w:w="0" w:type="auto"/>
            <w:vAlign w:val="center"/>
          </w:tcPr>
          <w:p w14:paraId="62FBD3FD"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High</w:t>
            </w:r>
          </w:p>
        </w:tc>
        <w:tc>
          <w:tcPr>
            <w:tcW w:w="1580" w:type="dxa"/>
            <w:vAlign w:val="center"/>
          </w:tcPr>
          <w:p w14:paraId="720080DA"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Low</w:t>
            </w:r>
          </w:p>
        </w:tc>
      </w:tr>
      <w:tr w:rsidR="00C12A84" w:rsidRPr="00047652" w14:paraId="654455A2" w14:textId="77777777" w:rsidTr="00047652">
        <w:trPr>
          <w:tblCellSpacing w:w="15" w:type="dxa"/>
          <w:jc w:val="center"/>
        </w:trPr>
        <w:tc>
          <w:tcPr>
            <w:tcW w:w="0" w:type="auto"/>
            <w:vAlign w:val="center"/>
          </w:tcPr>
          <w:p w14:paraId="1F5C2372"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Port Harcourt</w:t>
            </w:r>
          </w:p>
        </w:tc>
        <w:tc>
          <w:tcPr>
            <w:tcW w:w="940" w:type="dxa"/>
            <w:vAlign w:val="center"/>
          </w:tcPr>
          <w:p w14:paraId="2CC89D0A"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Moderate</w:t>
            </w:r>
          </w:p>
        </w:tc>
        <w:tc>
          <w:tcPr>
            <w:tcW w:w="1384" w:type="dxa"/>
            <w:vAlign w:val="center"/>
          </w:tcPr>
          <w:p w14:paraId="273D4D32"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Moderate</w:t>
            </w:r>
          </w:p>
        </w:tc>
        <w:tc>
          <w:tcPr>
            <w:tcW w:w="0" w:type="auto"/>
            <w:vAlign w:val="center"/>
          </w:tcPr>
          <w:p w14:paraId="75C7325B"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 Oil industry hub- Regional economic center</w:t>
            </w:r>
          </w:p>
        </w:tc>
        <w:tc>
          <w:tcPr>
            <w:tcW w:w="0" w:type="auto"/>
            <w:vAlign w:val="center"/>
          </w:tcPr>
          <w:p w14:paraId="75E3B9ED"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Moderate</w:t>
            </w:r>
          </w:p>
        </w:tc>
        <w:tc>
          <w:tcPr>
            <w:tcW w:w="1580" w:type="dxa"/>
            <w:vAlign w:val="center"/>
          </w:tcPr>
          <w:p w14:paraId="3C60B674"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Moderate</w:t>
            </w:r>
          </w:p>
        </w:tc>
      </w:tr>
      <w:tr w:rsidR="00C12A84" w:rsidRPr="00047652" w14:paraId="6F42D674" w14:textId="77777777" w:rsidTr="00047652">
        <w:trPr>
          <w:tblCellSpacing w:w="15" w:type="dxa"/>
          <w:jc w:val="center"/>
        </w:trPr>
        <w:tc>
          <w:tcPr>
            <w:tcW w:w="0" w:type="auto"/>
            <w:vAlign w:val="center"/>
          </w:tcPr>
          <w:p w14:paraId="09960B5C"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Ibadan</w:t>
            </w:r>
          </w:p>
        </w:tc>
        <w:tc>
          <w:tcPr>
            <w:tcW w:w="940" w:type="dxa"/>
            <w:vAlign w:val="center"/>
          </w:tcPr>
          <w:p w14:paraId="5C3E844A"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Moderate</w:t>
            </w:r>
          </w:p>
        </w:tc>
        <w:tc>
          <w:tcPr>
            <w:tcW w:w="1384" w:type="dxa"/>
            <w:vAlign w:val="center"/>
          </w:tcPr>
          <w:p w14:paraId="6565E9BD"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Moderate</w:t>
            </w:r>
          </w:p>
        </w:tc>
        <w:tc>
          <w:tcPr>
            <w:tcW w:w="0" w:type="auto"/>
            <w:vAlign w:val="center"/>
          </w:tcPr>
          <w:p w14:paraId="11C4F638"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 Historical commercial center, Large population base</w:t>
            </w:r>
          </w:p>
        </w:tc>
        <w:tc>
          <w:tcPr>
            <w:tcW w:w="0" w:type="auto"/>
            <w:vAlign w:val="center"/>
          </w:tcPr>
          <w:p w14:paraId="4C266DCD"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Moderate</w:t>
            </w:r>
          </w:p>
        </w:tc>
        <w:tc>
          <w:tcPr>
            <w:tcW w:w="1580" w:type="dxa"/>
            <w:vAlign w:val="center"/>
          </w:tcPr>
          <w:p w14:paraId="794F38CC"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Moderate</w:t>
            </w:r>
          </w:p>
        </w:tc>
      </w:tr>
      <w:tr w:rsidR="00C12A84" w:rsidRPr="00047652" w14:paraId="2AB58FCD" w14:textId="77777777" w:rsidTr="00047652">
        <w:trPr>
          <w:tblCellSpacing w:w="15" w:type="dxa"/>
          <w:jc w:val="center"/>
        </w:trPr>
        <w:tc>
          <w:tcPr>
            <w:tcW w:w="0" w:type="auto"/>
            <w:vAlign w:val="center"/>
          </w:tcPr>
          <w:p w14:paraId="722A1327"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Enugu</w:t>
            </w:r>
          </w:p>
        </w:tc>
        <w:tc>
          <w:tcPr>
            <w:tcW w:w="940" w:type="dxa"/>
            <w:vAlign w:val="center"/>
          </w:tcPr>
          <w:p w14:paraId="532DB87A"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Lower</w:t>
            </w:r>
          </w:p>
        </w:tc>
        <w:tc>
          <w:tcPr>
            <w:tcW w:w="1384" w:type="dxa"/>
            <w:vAlign w:val="center"/>
          </w:tcPr>
          <w:p w14:paraId="1C0AFD29"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Lower</w:t>
            </w:r>
          </w:p>
        </w:tc>
        <w:tc>
          <w:tcPr>
            <w:tcW w:w="0" w:type="auto"/>
            <w:vAlign w:val="center"/>
          </w:tcPr>
          <w:p w14:paraId="6C9EC364"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 Eastern regional center, Coal mining heritage</w:t>
            </w:r>
          </w:p>
        </w:tc>
        <w:tc>
          <w:tcPr>
            <w:tcW w:w="0" w:type="auto"/>
            <w:vAlign w:val="center"/>
          </w:tcPr>
          <w:p w14:paraId="21BAC7B2"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Moderate</w:t>
            </w:r>
          </w:p>
        </w:tc>
        <w:tc>
          <w:tcPr>
            <w:tcW w:w="1580" w:type="dxa"/>
            <w:vAlign w:val="center"/>
          </w:tcPr>
          <w:p w14:paraId="158BAE97"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Moderate to High</w:t>
            </w:r>
          </w:p>
        </w:tc>
      </w:tr>
      <w:tr w:rsidR="00C12A84" w:rsidRPr="00047652" w14:paraId="0F7D10EB" w14:textId="77777777" w:rsidTr="00047652">
        <w:trPr>
          <w:tblCellSpacing w:w="15" w:type="dxa"/>
          <w:jc w:val="center"/>
        </w:trPr>
        <w:tc>
          <w:tcPr>
            <w:tcW w:w="0" w:type="auto"/>
            <w:vAlign w:val="center"/>
          </w:tcPr>
          <w:p w14:paraId="125A871D"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Kano</w:t>
            </w:r>
          </w:p>
        </w:tc>
        <w:tc>
          <w:tcPr>
            <w:tcW w:w="940" w:type="dxa"/>
            <w:vAlign w:val="center"/>
          </w:tcPr>
          <w:p w14:paraId="35FE1CA2"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Lowest</w:t>
            </w:r>
          </w:p>
        </w:tc>
        <w:tc>
          <w:tcPr>
            <w:tcW w:w="1384" w:type="dxa"/>
            <w:vAlign w:val="center"/>
          </w:tcPr>
          <w:p w14:paraId="709D360F"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Limited</w:t>
            </w:r>
          </w:p>
        </w:tc>
        <w:tc>
          <w:tcPr>
            <w:tcW w:w="0" w:type="auto"/>
            <w:vAlign w:val="center"/>
          </w:tcPr>
          <w:p w14:paraId="5A2FDB07"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 Lower tax burden insufficient to drive development, Significant infrastructure constraints</w:t>
            </w:r>
          </w:p>
        </w:tc>
        <w:tc>
          <w:tcPr>
            <w:tcW w:w="0" w:type="auto"/>
            <w:vAlign w:val="center"/>
          </w:tcPr>
          <w:p w14:paraId="78F285DD"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Low</w:t>
            </w:r>
          </w:p>
        </w:tc>
        <w:tc>
          <w:tcPr>
            <w:tcW w:w="1580" w:type="dxa"/>
            <w:vAlign w:val="center"/>
          </w:tcPr>
          <w:p w14:paraId="0B0665D3" w14:textId="77777777" w:rsidR="00F4410D" w:rsidRPr="00047652" w:rsidRDefault="00F4410D" w:rsidP="00F4410D">
            <w:pPr>
              <w:spacing w:line="240" w:lineRule="auto"/>
              <w:rPr>
                <w:rFonts w:ascii="Times New Roman" w:hAnsi="Times New Roman" w:cs="Times New Roman"/>
                <w:color w:val="000000" w:themeColor="text1"/>
                <w:sz w:val="20"/>
                <w:szCs w:val="20"/>
              </w:rPr>
            </w:pPr>
            <w:r w:rsidRPr="00047652">
              <w:rPr>
                <w:rFonts w:ascii="Times New Roman" w:hAnsi="Times New Roman" w:cs="Times New Roman"/>
                <w:color w:val="000000" w:themeColor="text1"/>
                <w:sz w:val="20"/>
                <w:szCs w:val="20"/>
              </w:rPr>
              <w:t>High - infrastructure limits development potential</w:t>
            </w:r>
          </w:p>
        </w:tc>
      </w:tr>
    </w:tbl>
    <w:p w14:paraId="19882B2B" w14:textId="77777777" w:rsidR="00401EAA" w:rsidRDefault="00401EAA" w:rsidP="00F4410D">
      <w:pPr>
        <w:spacing w:line="240" w:lineRule="auto"/>
        <w:jc w:val="both"/>
        <w:rPr>
          <w:rFonts w:ascii="Times New Roman" w:hAnsi="Times New Roman" w:cs="Times New Roman"/>
          <w:color w:val="000000" w:themeColor="text1"/>
          <w:sz w:val="24"/>
          <w:szCs w:val="24"/>
        </w:rPr>
      </w:pPr>
    </w:p>
    <w:p w14:paraId="4BFEC2DD" w14:textId="180F2EEE" w:rsidR="00F4410D" w:rsidRPr="00BE4AF3" w:rsidRDefault="00F4410D" w:rsidP="00F4410D">
      <w:pPr>
        <w:spacing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The analysis shows regional disparities in tax burdens and development outcomes. Lagos and Abuja form a high-tax cluster, yet Lagos leads in development, revealing a tax-development paradox. Kano, despite lower taxes, lags due to poor infrastructure, proving tax cuts alone are insufficient. Overall, market size and infrastructure, not just tax rates, drive competitiveness and growth. Analysis of variance (ANOVA) confirmed significant differences in effective tax rates across locations (F = 18.7, p &lt; 0.001), with post-hoc tests revealing that Lagos rates significantly exceeded those in all other locations except Abuja.</w:t>
      </w:r>
    </w:p>
    <w:p w14:paraId="07867AAB" w14:textId="77777777" w:rsidR="00F4410D" w:rsidRPr="00401EAA" w:rsidRDefault="00F4410D" w:rsidP="00401EAA">
      <w:pPr>
        <w:spacing w:after="0" w:line="240" w:lineRule="auto"/>
        <w:rPr>
          <w:rFonts w:ascii="Times New Roman" w:hAnsi="Times New Roman" w:cs="Times New Roman"/>
          <w:b/>
          <w:bCs/>
          <w:color w:val="000000" w:themeColor="text1"/>
          <w:sz w:val="24"/>
          <w:szCs w:val="24"/>
        </w:rPr>
      </w:pPr>
      <w:r w:rsidRPr="00401EAA">
        <w:rPr>
          <w:rFonts w:ascii="Times New Roman" w:hAnsi="Times New Roman" w:cs="Times New Roman"/>
          <w:b/>
          <w:bCs/>
          <w:color w:val="000000" w:themeColor="text1"/>
          <w:sz w:val="24"/>
          <w:szCs w:val="24"/>
        </w:rPr>
        <w:t>Discussion of Findings</w:t>
      </w:r>
    </w:p>
    <w:p w14:paraId="4D1CB88E" w14:textId="77777777" w:rsidR="00F4410D" w:rsidRDefault="00F4410D" w:rsidP="00401EAA">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The study finds a strong negative relationship between tax burden and development activity.</w:t>
      </w:r>
      <w:r w:rsidRPr="00BE4AF3">
        <w:rPr>
          <w:rFonts w:ascii="Times New Roman" w:hAnsi="Times New Roman" w:cs="Times New Roman"/>
          <w:color w:val="000000" w:themeColor="text1"/>
          <w:sz w:val="24"/>
          <w:szCs w:val="24"/>
        </w:rPr>
        <w:br/>
        <w:t>A 1% rise in tax rate reduces projects by 2.3%, showing high sensitivity. Taxes account for 19.8% of project costs, with Lagos 45% higher than Kano. Multiple taxes create affordability issues, excluding market segments. Urban centers show wide disparities due to inconsistent policy and weak capacity. These differences distort spatial growth and investment distribution. Compliance costs add 2.8% to project expenses, hurting small developers most. Low satisfaction with infrastructure use of tax revenues weakens compliance. Tax harmonization is essential to reduce compliance burdens. Efficient revenue utilization can improve compliance and growth.</w:t>
      </w:r>
    </w:p>
    <w:p w14:paraId="643C1FEB" w14:textId="77777777" w:rsidR="00401EAA" w:rsidRPr="00BE4AF3" w:rsidRDefault="00401EAA" w:rsidP="00401EAA">
      <w:pPr>
        <w:spacing w:after="0" w:line="240" w:lineRule="auto"/>
        <w:jc w:val="both"/>
        <w:rPr>
          <w:rFonts w:ascii="Times New Roman" w:hAnsi="Times New Roman" w:cs="Times New Roman"/>
          <w:color w:val="000000" w:themeColor="text1"/>
          <w:sz w:val="24"/>
          <w:szCs w:val="24"/>
        </w:rPr>
      </w:pPr>
    </w:p>
    <w:p w14:paraId="61E0EF88" w14:textId="77777777" w:rsidR="00F4410D" w:rsidRPr="00401EAA" w:rsidRDefault="00F4410D" w:rsidP="00F4410D">
      <w:pPr>
        <w:spacing w:after="0" w:line="240" w:lineRule="auto"/>
        <w:jc w:val="both"/>
        <w:rPr>
          <w:rFonts w:ascii="Times New Roman" w:hAnsi="Times New Roman" w:cs="Times New Roman"/>
          <w:b/>
          <w:bCs/>
          <w:color w:val="000000" w:themeColor="text1"/>
          <w:sz w:val="24"/>
          <w:szCs w:val="24"/>
        </w:rPr>
      </w:pPr>
      <w:r w:rsidRPr="00401EAA">
        <w:rPr>
          <w:rFonts w:ascii="Times New Roman" w:hAnsi="Times New Roman" w:cs="Times New Roman"/>
          <w:b/>
          <w:bCs/>
          <w:color w:val="000000" w:themeColor="text1"/>
          <w:sz w:val="24"/>
          <w:szCs w:val="24"/>
        </w:rPr>
        <w:t>Recommendations</w:t>
      </w:r>
    </w:p>
    <w:p w14:paraId="0D522D58" w14:textId="77777777" w:rsidR="00F4410D" w:rsidRPr="00BE4AF3" w:rsidRDefault="00F4410D" w:rsidP="00F4410D">
      <w:pPr>
        <w:spacing w:after="0" w:line="240" w:lineRule="auto"/>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Based on the empirical findings, the following policy recommendations are proposed:</w:t>
      </w:r>
    </w:p>
    <w:p w14:paraId="24A242E4" w14:textId="77777777" w:rsidR="00F4410D" w:rsidRPr="00BE4AF3" w:rsidRDefault="00F4410D" w:rsidP="00F4410D">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lastRenderedPageBreak/>
        <w:t>Real estate tax systems in Nigeria should be harmonized to reduce compliance burdens and improve efficiency through standardized rates, assessments, and unified e-payment platforms. Targeted incentives, including reduced rates for affordable housing, and tax increment financing can support equity and infrastructure in underserved areas. Transparent revenue reporting, dedicated funds, and performance-based budgeting are essential to ensure efficient use of tax revenues. Strengthening administrative capacity via digital platforms, training, and dispute resolution mechanisms will enhance compliance. Comprehensive databases, regular monitoring, and stakeholder dialogue are vital to guide effective tax policy reforms.</w:t>
      </w:r>
    </w:p>
    <w:p w14:paraId="7FECE7F6" w14:textId="77777777" w:rsidR="00F4410D" w:rsidRPr="00BE4AF3" w:rsidRDefault="00F4410D" w:rsidP="00F4410D">
      <w:pPr>
        <w:spacing w:after="0" w:line="240" w:lineRule="auto"/>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Conclusions</w:t>
      </w:r>
    </w:p>
    <w:p w14:paraId="2C466CDE" w14:textId="4CEBFBAE" w:rsidR="00F4410D" w:rsidRPr="00BE4AF3" w:rsidRDefault="00F4410D" w:rsidP="00401EAA">
      <w:pPr>
        <w:spacing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This study confirms that Nigeria’s current tax structure significantly constrains real estate development, raising costs and limiting market accessibility. With effective tax rates nearing 20% of project costs, fiscal pressures undermine both sector growth and government revenue potential. Regional disparities and weak institutional capacity create distortions, discouraging balanced urban growth. Developers’ low confidence in infrastructure use of tax revenues further weakens compliance. To address these challenges, tax harmonization and transparent revenue utilization are critical. Targeted incentives, especially for affordable housing, can expand access for low- and middle-income groups. Investment in digital platforms and administrative capacity will reduce compliance burdens. Establishing clear dispute resolution frameworks will encourage voluntary compliance. Longitudinal monitoring of taxation’s impacts will generate better policy insights. Ultimately, well-designed reforms can deliver a positive-sum outcome—stimulating real estate growth, strengthening fiscal capacity, and advancing Nigeria’s sustainable urban development goals</w:t>
      </w:r>
      <w:r w:rsidR="00401EAA">
        <w:rPr>
          <w:rFonts w:ascii="Times New Roman" w:hAnsi="Times New Roman" w:cs="Times New Roman"/>
          <w:color w:val="000000" w:themeColor="text1"/>
          <w:sz w:val="24"/>
          <w:szCs w:val="24"/>
        </w:rPr>
        <w:t>.</w:t>
      </w:r>
    </w:p>
    <w:p w14:paraId="24CB4DE7" w14:textId="77777777" w:rsidR="00F4410D" w:rsidRPr="00BE4AF3" w:rsidRDefault="00F4410D" w:rsidP="00F4410D">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References</w:t>
      </w:r>
    </w:p>
    <w:p w14:paraId="267854D0"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Adabre, M.A. &amp; Chan, A.P., (2019). Critical success factors (CSFs) for sustainable affordable housing. </w:t>
      </w:r>
      <w:r w:rsidRPr="00BE4AF3">
        <w:rPr>
          <w:rFonts w:ascii="Times New Roman" w:hAnsi="Times New Roman" w:cs="Times New Roman"/>
          <w:i/>
          <w:iCs/>
          <w:color w:val="000000" w:themeColor="text1"/>
          <w:sz w:val="24"/>
          <w:szCs w:val="24"/>
        </w:rPr>
        <w:t>Building and Environment</w:t>
      </w:r>
      <w:r w:rsidRPr="00BE4AF3">
        <w:rPr>
          <w:rFonts w:ascii="Times New Roman" w:hAnsi="Times New Roman" w:cs="Times New Roman"/>
          <w:color w:val="000000" w:themeColor="text1"/>
          <w:sz w:val="24"/>
          <w:szCs w:val="24"/>
        </w:rPr>
        <w:t>, 156, pp.203–214.</w:t>
      </w:r>
    </w:p>
    <w:p w14:paraId="715A6462"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Aigbokhan, B. E. (1999). Fiscal federalism and economic growth in Nigeria. </w:t>
      </w:r>
      <w:r w:rsidRPr="00BE4AF3">
        <w:rPr>
          <w:rStyle w:val="Emphasis"/>
          <w:rFonts w:ascii="Times New Roman" w:eastAsiaTheme="majorEastAsia" w:hAnsi="Times New Roman" w:cs="Times New Roman"/>
          <w:color w:val="000000" w:themeColor="text1"/>
          <w:sz w:val="24"/>
          <w:szCs w:val="24"/>
        </w:rPr>
        <w:t>Journal of Economic Management, 6</w:t>
      </w:r>
      <w:r w:rsidRPr="00BE4AF3">
        <w:rPr>
          <w:rFonts w:ascii="Times New Roman" w:hAnsi="Times New Roman" w:cs="Times New Roman"/>
          <w:color w:val="000000" w:themeColor="text1"/>
          <w:sz w:val="24"/>
          <w:szCs w:val="24"/>
        </w:rPr>
        <w:t>(1), 27–44.</w:t>
      </w:r>
    </w:p>
    <w:p w14:paraId="33CA05FA"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Aluko, B.T., (2005). Building urban local government finance through property taxation: The case of Lagos State Nigeria. </w:t>
      </w:r>
      <w:r w:rsidRPr="00BE4AF3">
        <w:rPr>
          <w:rFonts w:ascii="Times New Roman" w:hAnsi="Times New Roman" w:cs="Times New Roman"/>
          <w:i/>
          <w:iCs/>
          <w:color w:val="000000" w:themeColor="text1"/>
          <w:sz w:val="24"/>
          <w:szCs w:val="24"/>
        </w:rPr>
        <w:t>Urban Forum</w:t>
      </w:r>
      <w:r w:rsidRPr="00BE4AF3">
        <w:rPr>
          <w:rFonts w:ascii="Times New Roman" w:hAnsi="Times New Roman" w:cs="Times New Roman"/>
          <w:color w:val="000000" w:themeColor="text1"/>
          <w:sz w:val="24"/>
          <w:szCs w:val="24"/>
        </w:rPr>
        <w:t>, 16(4), pp.284–296.</w:t>
      </w:r>
    </w:p>
    <w:p w14:paraId="685423C1"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Anselin, L., (2010). Thirty years of spatial econometrics. </w:t>
      </w:r>
      <w:r w:rsidRPr="00BE4AF3">
        <w:rPr>
          <w:rFonts w:ascii="Times New Roman" w:hAnsi="Times New Roman" w:cs="Times New Roman"/>
          <w:i/>
          <w:iCs/>
          <w:color w:val="000000" w:themeColor="text1"/>
          <w:sz w:val="24"/>
          <w:szCs w:val="24"/>
        </w:rPr>
        <w:t>Papers in Regional Science</w:t>
      </w:r>
      <w:r w:rsidRPr="00BE4AF3">
        <w:rPr>
          <w:rFonts w:ascii="Times New Roman" w:hAnsi="Times New Roman" w:cs="Times New Roman"/>
          <w:color w:val="000000" w:themeColor="text1"/>
          <w:sz w:val="24"/>
          <w:szCs w:val="24"/>
        </w:rPr>
        <w:t>, 89(1), pp.3–25.</w:t>
      </w:r>
    </w:p>
    <w:p w14:paraId="7EEC9E71"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Aribigbola, A., (2008). Housing policy formulation in developing countries: Evidence of programme implementation from Akure, Ondo State Nigeria. </w:t>
      </w:r>
      <w:r w:rsidRPr="00BE4AF3">
        <w:rPr>
          <w:rFonts w:ascii="Times New Roman" w:hAnsi="Times New Roman" w:cs="Times New Roman"/>
          <w:i/>
          <w:iCs/>
          <w:color w:val="000000" w:themeColor="text1"/>
          <w:sz w:val="24"/>
          <w:szCs w:val="24"/>
        </w:rPr>
        <w:t>Journal of Human Ecology</w:t>
      </w:r>
      <w:r w:rsidRPr="00BE4AF3">
        <w:rPr>
          <w:rFonts w:ascii="Times New Roman" w:hAnsi="Times New Roman" w:cs="Times New Roman"/>
          <w:color w:val="000000" w:themeColor="text1"/>
          <w:sz w:val="24"/>
          <w:szCs w:val="24"/>
        </w:rPr>
        <w:t>, 23(2), pp.125–134.</w:t>
      </w:r>
    </w:p>
    <w:p w14:paraId="56875481"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Babawale, G.K. &amp; Nubi, T.O., (2011). Hedonic model for apartment rents in Ikeja area of Lagos metropolis. </w:t>
      </w:r>
      <w:r w:rsidRPr="00BE4AF3">
        <w:rPr>
          <w:rFonts w:ascii="Times New Roman" w:hAnsi="Times New Roman" w:cs="Times New Roman"/>
          <w:i/>
          <w:iCs/>
          <w:color w:val="000000" w:themeColor="text1"/>
          <w:sz w:val="24"/>
          <w:szCs w:val="24"/>
        </w:rPr>
        <w:t>Journal of Sustainable Development</w:t>
      </w:r>
      <w:r w:rsidRPr="00BE4AF3">
        <w:rPr>
          <w:rFonts w:ascii="Times New Roman" w:hAnsi="Times New Roman" w:cs="Times New Roman"/>
          <w:color w:val="000000" w:themeColor="text1"/>
          <w:sz w:val="24"/>
          <w:szCs w:val="24"/>
        </w:rPr>
        <w:t>, 4(2), pp.154–165.</w:t>
      </w:r>
    </w:p>
    <w:p w14:paraId="20C1B1A8"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Bahl, R. W., Martinez-Vazquez, J., &amp; Youngman, J. M. (2008). </w:t>
      </w:r>
      <w:r w:rsidRPr="00BE4AF3">
        <w:rPr>
          <w:rFonts w:ascii="Times New Roman" w:hAnsi="Times New Roman" w:cs="Times New Roman"/>
          <w:i/>
          <w:iCs/>
          <w:color w:val="000000" w:themeColor="text1"/>
          <w:sz w:val="24"/>
          <w:szCs w:val="24"/>
        </w:rPr>
        <w:t>Making the property tax work: Experiences in developing and transitional countries</w:t>
      </w:r>
      <w:r w:rsidRPr="00BE4AF3">
        <w:rPr>
          <w:rFonts w:ascii="Times New Roman" w:hAnsi="Times New Roman" w:cs="Times New Roman"/>
          <w:color w:val="000000" w:themeColor="text1"/>
          <w:sz w:val="24"/>
          <w:szCs w:val="24"/>
        </w:rPr>
        <w:t>. Lincoln Institute of Land Policy.</w:t>
      </w:r>
    </w:p>
    <w:p w14:paraId="41C936E0"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Bird, R.M. &amp; Slack, E., (2004). </w:t>
      </w:r>
      <w:r w:rsidRPr="00BE4AF3">
        <w:rPr>
          <w:rFonts w:ascii="Times New Roman" w:hAnsi="Times New Roman" w:cs="Times New Roman"/>
          <w:i/>
          <w:iCs/>
          <w:color w:val="000000" w:themeColor="text1"/>
          <w:sz w:val="24"/>
          <w:szCs w:val="24"/>
        </w:rPr>
        <w:t>International handbook of land and property taxation</w:t>
      </w:r>
      <w:r w:rsidRPr="00BE4AF3">
        <w:rPr>
          <w:rFonts w:ascii="Times New Roman" w:hAnsi="Times New Roman" w:cs="Times New Roman"/>
          <w:color w:val="000000" w:themeColor="text1"/>
          <w:sz w:val="24"/>
          <w:szCs w:val="24"/>
        </w:rPr>
        <w:t>. Edward Elgar Publishing.</w:t>
      </w:r>
    </w:p>
    <w:p w14:paraId="5F4AF5BB"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Brueckner, J.K., (2000). Urban sprawl: Diagnosis and remedies. </w:t>
      </w:r>
      <w:r w:rsidRPr="00BE4AF3">
        <w:rPr>
          <w:rFonts w:ascii="Times New Roman" w:hAnsi="Times New Roman" w:cs="Times New Roman"/>
          <w:i/>
          <w:iCs/>
          <w:color w:val="000000" w:themeColor="text1"/>
          <w:sz w:val="24"/>
          <w:szCs w:val="24"/>
        </w:rPr>
        <w:t>International Regional Science Review</w:t>
      </w:r>
      <w:r w:rsidRPr="00BE4AF3">
        <w:rPr>
          <w:rFonts w:ascii="Times New Roman" w:hAnsi="Times New Roman" w:cs="Times New Roman"/>
          <w:color w:val="000000" w:themeColor="text1"/>
          <w:sz w:val="24"/>
          <w:szCs w:val="24"/>
        </w:rPr>
        <w:t>, 23(2), pp.160–171.</w:t>
      </w:r>
    </w:p>
    <w:p w14:paraId="59C1F647"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Brueckner, J.K. &amp; Kim, H.A., (2003). Urban sprawl and the property tax. </w:t>
      </w:r>
      <w:r w:rsidRPr="00BE4AF3">
        <w:rPr>
          <w:rFonts w:ascii="Times New Roman" w:hAnsi="Times New Roman" w:cs="Times New Roman"/>
          <w:i/>
          <w:iCs/>
          <w:color w:val="000000" w:themeColor="text1"/>
          <w:sz w:val="24"/>
          <w:szCs w:val="24"/>
        </w:rPr>
        <w:t>Journal of Public Economics</w:t>
      </w:r>
      <w:r w:rsidRPr="00BE4AF3">
        <w:rPr>
          <w:rFonts w:ascii="Times New Roman" w:hAnsi="Times New Roman" w:cs="Times New Roman"/>
          <w:color w:val="000000" w:themeColor="text1"/>
          <w:sz w:val="24"/>
          <w:szCs w:val="24"/>
        </w:rPr>
        <w:t>, 87(5-6), pp.1129–1146.</w:t>
      </w:r>
    </w:p>
    <w:p w14:paraId="0111D87D"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Central Bank of Nigeria. (2019). </w:t>
      </w:r>
      <w:r w:rsidRPr="00BE4AF3">
        <w:rPr>
          <w:rStyle w:val="Emphasis"/>
          <w:rFonts w:ascii="Times New Roman" w:eastAsiaTheme="majorEastAsia" w:hAnsi="Times New Roman" w:cs="Times New Roman"/>
          <w:color w:val="000000" w:themeColor="text1"/>
          <w:sz w:val="24"/>
          <w:szCs w:val="24"/>
        </w:rPr>
        <w:t>Statistical bulletin</w:t>
      </w:r>
      <w:r w:rsidRPr="00BE4AF3">
        <w:rPr>
          <w:rFonts w:ascii="Times New Roman" w:hAnsi="Times New Roman" w:cs="Times New Roman"/>
          <w:color w:val="000000" w:themeColor="text1"/>
          <w:sz w:val="24"/>
          <w:szCs w:val="24"/>
        </w:rPr>
        <w:t>. CBN Publications.</w:t>
      </w:r>
    </w:p>
    <w:p w14:paraId="24AAECF5"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lastRenderedPageBreak/>
        <w:t xml:space="preserve">Dowall, D. E., &amp; Leaf, M. (1991). The price of land for housing in Jakarta. </w:t>
      </w:r>
      <w:r w:rsidRPr="00BE4AF3">
        <w:rPr>
          <w:rFonts w:ascii="Times New Roman" w:hAnsi="Times New Roman" w:cs="Times New Roman"/>
          <w:i/>
          <w:iCs/>
          <w:color w:val="000000" w:themeColor="text1"/>
          <w:sz w:val="24"/>
          <w:szCs w:val="24"/>
        </w:rPr>
        <w:t>Urban Studies, 28</w:t>
      </w:r>
      <w:r w:rsidRPr="00BE4AF3">
        <w:rPr>
          <w:rFonts w:ascii="Times New Roman" w:hAnsi="Times New Roman" w:cs="Times New Roman"/>
          <w:color w:val="000000" w:themeColor="text1"/>
          <w:sz w:val="24"/>
          <w:szCs w:val="24"/>
        </w:rPr>
        <w:t>(5), 707–722.</w:t>
      </w:r>
    </w:p>
    <w:p w14:paraId="4C5139A9"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Dye, R. F., &amp; McMillen, D. P. (2007). Teardowns and land values in the Chicago metropolitan area. </w:t>
      </w:r>
      <w:r w:rsidRPr="00BE4AF3">
        <w:rPr>
          <w:rStyle w:val="Emphasis"/>
          <w:rFonts w:ascii="Times New Roman" w:hAnsi="Times New Roman" w:cs="Times New Roman"/>
          <w:color w:val="000000" w:themeColor="text1"/>
          <w:sz w:val="24"/>
          <w:szCs w:val="24"/>
        </w:rPr>
        <w:t>Journal of Urban Economics, 61</w:t>
      </w:r>
      <w:r w:rsidRPr="00BE4AF3">
        <w:rPr>
          <w:rFonts w:ascii="Times New Roman" w:hAnsi="Times New Roman" w:cs="Times New Roman"/>
          <w:color w:val="000000" w:themeColor="text1"/>
          <w:sz w:val="24"/>
          <w:szCs w:val="24"/>
        </w:rPr>
        <w:t xml:space="preserve">(1), 45–63. </w:t>
      </w:r>
      <w:hyperlink r:id="rId72" w:history="1">
        <w:r w:rsidRPr="00BE4AF3">
          <w:rPr>
            <w:rStyle w:val="Hyperlink"/>
            <w:rFonts w:ascii="Times New Roman" w:hAnsi="Times New Roman" w:cs="Times New Roman"/>
            <w:color w:val="000000" w:themeColor="text1"/>
            <w:sz w:val="24"/>
            <w:szCs w:val="24"/>
          </w:rPr>
          <w:t>https://doi.org/10.1016/j.jue.2006.06.004</w:t>
        </w:r>
      </w:hyperlink>
    </w:p>
    <w:p w14:paraId="631DF8BF"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Egunjobi, L. (1999). </w:t>
      </w:r>
      <w:r w:rsidRPr="00BE4AF3">
        <w:rPr>
          <w:rStyle w:val="Emphasis"/>
          <w:rFonts w:ascii="Times New Roman" w:eastAsiaTheme="majorEastAsia" w:hAnsi="Times New Roman" w:cs="Times New Roman"/>
          <w:color w:val="000000" w:themeColor="text1"/>
          <w:sz w:val="24"/>
          <w:szCs w:val="24"/>
        </w:rPr>
        <w:t>Our gasping cities: An environment approach to urban planning and housing in Nigeria</w:t>
      </w:r>
      <w:r w:rsidRPr="00BE4AF3">
        <w:rPr>
          <w:rFonts w:ascii="Times New Roman" w:hAnsi="Times New Roman" w:cs="Times New Roman"/>
          <w:color w:val="000000" w:themeColor="text1"/>
          <w:sz w:val="24"/>
          <w:szCs w:val="24"/>
        </w:rPr>
        <w:t>. Department of Urban and Regional Planning, University of Ibadan.</w:t>
      </w:r>
    </w:p>
    <w:p w14:paraId="0FDCB292"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 Ekpo, A. H. (2004). Intergovernmental fiscal relations: The Nigerian experience. </w:t>
      </w:r>
      <w:r w:rsidRPr="00BE4AF3">
        <w:rPr>
          <w:rStyle w:val="Emphasis"/>
          <w:rFonts w:ascii="Times New Roman" w:eastAsiaTheme="majorEastAsia" w:hAnsi="Times New Roman" w:cs="Times New Roman"/>
          <w:color w:val="000000" w:themeColor="text1"/>
          <w:sz w:val="24"/>
          <w:szCs w:val="24"/>
        </w:rPr>
        <w:t>Pakistan Economic and Social Review, 42</w:t>
      </w:r>
      <w:r w:rsidRPr="00BE4AF3">
        <w:rPr>
          <w:rFonts w:ascii="Times New Roman" w:hAnsi="Times New Roman" w:cs="Times New Roman"/>
          <w:color w:val="000000" w:themeColor="text1"/>
          <w:sz w:val="24"/>
          <w:szCs w:val="24"/>
        </w:rPr>
        <w:t>(1/2), 175–210.</w:t>
      </w:r>
    </w:p>
    <w:p w14:paraId="20BB5632"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Emeka, E. O., &amp; Aghaji, M. N. (2019). Capital gains tax compliance in Nigeria's real estate sector: Challenges and prospects. </w:t>
      </w:r>
      <w:r w:rsidRPr="00BE4AF3">
        <w:rPr>
          <w:rStyle w:val="Emphasis"/>
          <w:rFonts w:ascii="Times New Roman" w:eastAsiaTheme="majorEastAsia" w:hAnsi="Times New Roman" w:cs="Times New Roman"/>
          <w:color w:val="000000" w:themeColor="text1"/>
          <w:sz w:val="24"/>
          <w:szCs w:val="24"/>
        </w:rPr>
        <w:t>African Journal of Economic and Management Studies, 10</w:t>
      </w:r>
      <w:r w:rsidRPr="00BE4AF3">
        <w:rPr>
          <w:rFonts w:ascii="Times New Roman" w:hAnsi="Times New Roman" w:cs="Times New Roman"/>
          <w:color w:val="000000" w:themeColor="text1"/>
          <w:sz w:val="24"/>
          <w:szCs w:val="24"/>
        </w:rPr>
        <w:t xml:space="preserve">(3), 298–314. </w:t>
      </w:r>
      <w:hyperlink r:id="rId73" w:history="1">
        <w:r w:rsidRPr="00BE4AF3">
          <w:rPr>
            <w:rStyle w:val="Hyperlink"/>
            <w:rFonts w:ascii="Times New Roman" w:hAnsi="Times New Roman" w:cs="Times New Roman"/>
            <w:color w:val="000000" w:themeColor="text1"/>
            <w:sz w:val="24"/>
            <w:szCs w:val="24"/>
          </w:rPr>
          <w:t>https://doi.org/10.1108/AJEMS-11-2018-0353</w:t>
        </w:r>
      </w:hyperlink>
    </w:p>
    <w:p w14:paraId="4DE676C2"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Federal Inland Revenue Service. (2023). </w:t>
      </w:r>
      <w:r w:rsidRPr="00BE4AF3">
        <w:rPr>
          <w:rStyle w:val="Emphasis"/>
          <w:rFonts w:ascii="Times New Roman" w:eastAsiaTheme="majorEastAsia" w:hAnsi="Times New Roman" w:cs="Times New Roman"/>
          <w:color w:val="000000" w:themeColor="text1"/>
          <w:sz w:val="24"/>
          <w:szCs w:val="24"/>
        </w:rPr>
        <w:t>Annual report on tax revenue generation</w:t>
      </w:r>
      <w:r w:rsidRPr="00BE4AF3">
        <w:rPr>
          <w:rFonts w:ascii="Times New Roman" w:hAnsi="Times New Roman" w:cs="Times New Roman"/>
          <w:color w:val="000000" w:themeColor="text1"/>
          <w:sz w:val="24"/>
          <w:szCs w:val="24"/>
        </w:rPr>
        <w:t>. FIRS Publications.</w:t>
      </w:r>
    </w:p>
    <w:p w14:paraId="1D66CBF7"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Federal Ministry of Budget and National Planning. (2017). </w:t>
      </w:r>
      <w:r w:rsidRPr="00BE4AF3">
        <w:rPr>
          <w:rStyle w:val="Emphasis"/>
          <w:rFonts w:ascii="Times New Roman" w:eastAsiaTheme="majorEastAsia" w:hAnsi="Times New Roman" w:cs="Times New Roman"/>
          <w:color w:val="000000" w:themeColor="text1"/>
          <w:sz w:val="24"/>
          <w:szCs w:val="24"/>
        </w:rPr>
        <w:t>Economic recovery and growth plan 2017–2020</w:t>
      </w:r>
      <w:r w:rsidRPr="00BE4AF3">
        <w:rPr>
          <w:rFonts w:ascii="Times New Roman" w:hAnsi="Times New Roman" w:cs="Times New Roman"/>
          <w:color w:val="000000" w:themeColor="text1"/>
          <w:sz w:val="24"/>
          <w:szCs w:val="24"/>
        </w:rPr>
        <w:t>. Federal Government of Nigeria.</w:t>
      </w:r>
    </w:p>
    <w:p w14:paraId="0BAB9442"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Franzsen, R., &amp; McCluskey, W. (2017). </w:t>
      </w:r>
      <w:r w:rsidRPr="00BE4AF3">
        <w:rPr>
          <w:rStyle w:val="Emphasis"/>
          <w:rFonts w:ascii="Times New Roman" w:eastAsiaTheme="majorEastAsia" w:hAnsi="Times New Roman" w:cs="Times New Roman"/>
          <w:color w:val="000000" w:themeColor="text1"/>
          <w:sz w:val="24"/>
          <w:szCs w:val="24"/>
        </w:rPr>
        <w:t>Property tax in Africa: Status, challenges, and prospects</w:t>
      </w:r>
      <w:r w:rsidRPr="00BE4AF3">
        <w:rPr>
          <w:rFonts w:ascii="Times New Roman" w:hAnsi="Times New Roman" w:cs="Times New Roman"/>
          <w:color w:val="000000" w:themeColor="text1"/>
          <w:sz w:val="24"/>
          <w:szCs w:val="24"/>
        </w:rPr>
        <w:t>. Lincoln Institute of Land Policy.</w:t>
      </w:r>
    </w:p>
    <w:p w14:paraId="50634D11"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George, H. (1879). </w:t>
      </w:r>
      <w:r w:rsidRPr="00BE4AF3">
        <w:rPr>
          <w:rFonts w:ascii="Times New Roman" w:eastAsiaTheme="majorEastAsia" w:hAnsi="Times New Roman" w:cs="Times New Roman"/>
          <w:i/>
          <w:iCs/>
          <w:color w:val="000000" w:themeColor="text1"/>
          <w:sz w:val="24"/>
          <w:szCs w:val="24"/>
        </w:rPr>
        <w:t>Progress and poverty: An inquiry into the cause of industrial depressions and of increase of want with increase of wealth</w:t>
      </w:r>
      <w:r w:rsidRPr="00BE4AF3">
        <w:rPr>
          <w:rFonts w:ascii="Times New Roman" w:hAnsi="Times New Roman" w:cs="Times New Roman"/>
          <w:color w:val="000000" w:themeColor="text1"/>
          <w:sz w:val="24"/>
          <w:szCs w:val="24"/>
        </w:rPr>
        <w:t>. D. Appleton and Company.</w:t>
      </w:r>
    </w:p>
    <w:p w14:paraId="0C905BA6"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Hilber, C. A., &amp; Turner, T. M. (2014). The mortgage interest deduction and its impact on homeownership decisions. </w:t>
      </w:r>
      <w:r w:rsidRPr="00BE4AF3">
        <w:rPr>
          <w:rFonts w:ascii="Times New Roman" w:hAnsi="Times New Roman" w:cs="Times New Roman"/>
          <w:i/>
          <w:iCs/>
          <w:color w:val="000000" w:themeColor="text1"/>
          <w:sz w:val="24"/>
          <w:szCs w:val="24"/>
        </w:rPr>
        <w:t>Review of Economics and Statistics, 96</w:t>
      </w:r>
      <w:r w:rsidRPr="00BE4AF3">
        <w:rPr>
          <w:rFonts w:ascii="Times New Roman" w:hAnsi="Times New Roman" w:cs="Times New Roman"/>
          <w:color w:val="000000" w:themeColor="text1"/>
          <w:sz w:val="24"/>
          <w:szCs w:val="24"/>
        </w:rPr>
        <w:t>(4), 618–637.</w:t>
      </w:r>
    </w:p>
    <w:p w14:paraId="191893F3"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Ibem, E. O., Anosike, M. N., &amp; Azuh, D. E. (2011). Challenges in public housing provision in the post-independence era in Nigeria. </w:t>
      </w:r>
      <w:r w:rsidRPr="00BE4AF3">
        <w:rPr>
          <w:rStyle w:val="Emphasis"/>
          <w:rFonts w:ascii="Times New Roman" w:eastAsiaTheme="majorEastAsia" w:hAnsi="Times New Roman" w:cs="Times New Roman"/>
          <w:color w:val="000000" w:themeColor="text1"/>
          <w:sz w:val="24"/>
          <w:szCs w:val="24"/>
        </w:rPr>
        <w:t>International Journal of Human Sciences, 8</w:t>
      </w:r>
      <w:r w:rsidRPr="00BE4AF3">
        <w:rPr>
          <w:rFonts w:ascii="Times New Roman" w:hAnsi="Times New Roman" w:cs="Times New Roman"/>
          <w:color w:val="000000" w:themeColor="text1"/>
          <w:sz w:val="24"/>
          <w:szCs w:val="24"/>
        </w:rPr>
        <w:t>(2), 421–443.</w:t>
      </w:r>
    </w:p>
    <w:p w14:paraId="5EF07DEF"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Ibem, E. O., &amp; Aduwo, E. B. (2013). Assessment of residential satisfaction in public housing in Ogun State, Nigeria. </w:t>
      </w:r>
      <w:r w:rsidRPr="00BE4AF3">
        <w:rPr>
          <w:rFonts w:ascii="Times New Roman" w:hAnsi="Times New Roman" w:cs="Times New Roman"/>
          <w:i/>
          <w:iCs/>
          <w:color w:val="000000" w:themeColor="text1"/>
          <w:sz w:val="24"/>
          <w:szCs w:val="24"/>
        </w:rPr>
        <w:t>Habitat International, 40</w:t>
      </w:r>
      <w:r w:rsidRPr="00BE4AF3">
        <w:rPr>
          <w:rFonts w:ascii="Times New Roman" w:hAnsi="Times New Roman" w:cs="Times New Roman"/>
          <w:color w:val="000000" w:themeColor="text1"/>
          <w:sz w:val="24"/>
          <w:szCs w:val="24"/>
        </w:rPr>
        <w:t>, 163–175.</w:t>
      </w:r>
    </w:p>
    <w:p w14:paraId="4B1C1D8E" w14:textId="77777777" w:rsidR="00F4410D" w:rsidRPr="00BE4AF3" w:rsidRDefault="00F4410D" w:rsidP="00401EAA">
      <w:pPr>
        <w:pStyle w:val="NormalWeb"/>
        <w:spacing w:before="0" w:beforeAutospacing="0" w:after="0" w:afterAutospacing="0"/>
        <w:ind w:left="851" w:hanging="851"/>
        <w:jc w:val="both"/>
        <w:rPr>
          <w:color w:val="000000" w:themeColor="text1"/>
        </w:rPr>
      </w:pPr>
      <w:r w:rsidRPr="00BE4AF3">
        <w:rPr>
          <w:color w:val="000000" w:themeColor="text1"/>
        </w:rPr>
        <w:t xml:space="preserve">IMF. (2018). </w:t>
      </w:r>
      <w:r w:rsidRPr="00BE4AF3">
        <w:rPr>
          <w:rStyle w:val="Emphasis"/>
          <w:rFonts w:eastAsiaTheme="majorEastAsia"/>
          <w:color w:val="000000" w:themeColor="text1"/>
        </w:rPr>
        <w:t>Nigeria: Selected issues</w:t>
      </w:r>
      <w:r w:rsidRPr="00BE4AF3">
        <w:rPr>
          <w:color w:val="000000" w:themeColor="text1"/>
        </w:rPr>
        <w:t>. International Monetary Fund Country Report No. 18/64.</w:t>
      </w:r>
    </w:p>
    <w:p w14:paraId="10A6A15D"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Kasimbazi, E. B. (2017). Land tenure and rights for improved land management and sustainable development in Uganda. </w:t>
      </w:r>
      <w:r w:rsidRPr="00BE4AF3">
        <w:rPr>
          <w:rFonts w:ascii="Times New Roman" w:hAnsi="Times New Roman" w:cs="Times New Roman"/>
          <w:i/>
          <w:iCs/>
          <w:color w:val="000000" w:themeColor="text1"/>
          <w:sz w:val="24"/>
          <w:szCs w:val="24"/>
        </w:rPr>
        <w:t>Land Use Policy, 68</w:t>
      </w:r>
      <w:r w:rsidRPr="00BE4AF3">
        <w:rPr>
          <w:rFonts w:ascii="Times New Roman" w:hAnsi="Times New Roman" w:cs="Times New Roman"/>
          <w:color w:val="000000" w:themeColor="text1"/>
          <w:sz w:val="24"/>
          <w:szCs w:val="24"/>
        </w:rPr>
        <w:t>, 337–347.</w:t>
      </w:r>
    </w:p>
    <w:p w14:paraId="638918EB"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Kironde, J. M. L. (2000). Understanding land markets in African urban areas: The case of Dar es Salaam, Tanzania. </w:t>
      </w:r>
      <w:r w:rsidRPr="00BE4AF3">
        <w:rPr>
          <w:rFonts w:ascii="Times New Roman" w:hAnsi="Times New Roman" w:cs="Times New Roman"/>
          <w:i/>
          <w:iCs/>
          <w:color w:val="000000" w:themeColor="text1"/>
          <w:sz w:val="24"/>
          <w:szCs w:val="24"/>
        </w:rPr>
        <w:t>Habitat International, 24</w:t>
      </w:r>
      <w:r w:rsidRPr="00BE4AF3">
        <w:rPr>
          <w:rFonts w:ascii="Times New Roman" w:hAnsi="Times New Roman" w:cs="Times New Roman"/>
          <w:color w:val="000000" w:themeColor="text1"/>
          <w:sz w:val="24"/>
          <w:szCs w:val="24"/>
        </w:rPr>
        <w:t>(2), 151–165.</w:t>
      </w:r>
    </w:p>
    <w:p w14:paraId="1D8DC8B0"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Leishman, C., &amp; Watkins, C. (2002). Boom and bust in the Sydney housing market: An analysis of the Hirschman effect. </w:t>
      </w:r>
      <w:r w:rsidRPr="00BE4AF3">
        <w:rPr>
          <w:rFonts w:ascii="Times New Roman" w:hAnsi="Times New Roman" w:cs="Times New Roman"/>
          <w:i/>
          <w:iCs/>
          <w:color w:val="000000" w:themeColor="text1"/>
          <w:sz w:val="24"/>
          <w:szCs w:val="24"/>
        </w:rPr>
        <w:t>Urban Studies, 39</w:t>
      </w:r>
      <w:r w:rsidRPr="00BE4AF3">
        <w:rPr>
          <w:rFonts w:ascii="Times New Roman" w:hAnsi="Times New Roman" w:cs="Times New Roman"/>
          <w:color w:val="000000" w:themeColor="text1"/>
          <w:sz w:val="24"/>
          <w:szCs w:val="24"/>
        </w:rPr>
        <w:t>(7), 1151–1169.</w:t>
      </w:r>
    </w:p>
    <w:p w14:paraId="6358CF31" w14:textId="77777777" w:rsidR="00F4410D" w:rsidRPr="00BE4AF3" w:rsidRDefault="00F4410D" w:rsidP="00401EAA">
      <w:pPr>
        <w:pStyle w:val="NormalWeb"/>
        <w:spacing w:before="0" w:beforeAutospacing="0" w:after="0" w:afterAutospacing="0"/>
        <w:ind w:left="851" w:hanging="851"/>
        <w:jc w:val="both"/>
        <w:rPr>
          <w:color w:val="000000" w:themeColor="text1"/>
        </w:rPr>
      </w:pPr>
      <w:r w:rsidRPr="00BE4AF3">
        <w:rPr>
          <w:color w:val="000000" w:themeColor="text1"/>
        </w:rPr>
        <w:t xml:space="preserve">Lutz, B. F. (2008). The connection between house price appreciation and property tax revenues. </w:t>
      </w:r>
      <w:r w:rsidRPr="00BE4AF3">
        <w:rPr>
          <w:i/>
          <w:iCs/>
          <w:color w:val="000000" w:themeColor="text1"/>
        </w:rPr>
        <w:t>National Tax Journal, 61</w:t>
      </w:r>
      <w:r w:rsidRPr="00BE4AF3">
        <w:rPr>
          <w:color w:val="000000" w:themeColor="text1"/>
        </w:rPr>
        <w:t>(3), 555–572.</w:t>
      </w:r>
    </w:p>
    <w:p w14:paraId="61118109" w14:textId="77777777" w:rsidR="00F4410D" w:rsidRPr="00BE4AF3" w:rsidRDefault="00F4410D" w:rsidP="00401EAA">
      <w:pPr>
        <w:pStyle w:val="NormalWeb"/>
        <w:spacing w:before="0" w:beforeAutospacing="0" w:after="0" w:afterAutospacing="0"/>
        <w:ind w:left="851" w:hanging="851"/>
        <w:jc w:val="both"/>
        <w:rPr>
          <w:color w:val="000000" w:themeColor="text1"/>
        </w:rPr>
      </w:pPr>
      <w:r w:rsidRPr="00BE4AF3">
        <w:rPr>
          <w:color w:val="000000" w:themeColor="text1"/>
        </w:rPr>
        <w:t xml:space="preserve">Makinde, O. O. (2014). Housing delivery system, need and demand. </w:t>
      </w:r>
      <w:r w:rsidRPr="00BE4AF3">
        <w:rPr>
          <w:rStyle w:val="Emphasis"/>
          <w:rFonts w:eastAsiaTheme="majorEastAsia"/>
          <w:color w:val="000000" w:themeColor="text1"/>
        </w:rPr>
        <w:t>Environment, Development and Sustainability, 16</w:t>
      </w:r>
      <w:r w:rsidRPr="00BE4AF3">
        <w:rPr>
          <w:color w:val="000000" w:themeColor="text1"/>
        </w:rPr>
        <w:t>(1), 49–69.</w:t>
      </w:r>
    </w:p>
    <w:p w14:paraId="7790283B" w14:textId="77777777" w:rsidR="00F4410D" w:rsidRPr="00BE4AF3" w:rsidRDefault="00F4410D" w:rsidP="00401EAA">
      <w:pPr>
        <w:pStyle w:val="NormalWeb"/>
        <w:spacing w:before="0" w:beforeAutospacing="0" w:after="0" w:afterAutospacing="0"/>
        <w:ind w:left="851" w:hanging="851"/>
        <w:jc w:val="both"/>
        <w:rPr>
          <w:color w:val="000000" w:themeColor="text1"/>
        </w:rPr>
      </w:pPr>
      <w:r w:rsidRPr="00BE4AF3">
        <w:rPr>
          <w:color w:val="000000" w:themeColor="text1"/>
        </w:rPr>
        <w:t xml:space="preserve">Martinez-Vazquez, J., &amp; Smoke, P. (Eds.). (2010). </w:t>
      </w:r>
      <w:r w:rsidRPr="00BE4AF3">
        <w:rPr>
          <w:rStyle w:val="Emphasis"/>
          <w:rFonts w:eastAsiaTheme="majorEastAsia"/>
          <w:color w:val="000000" w:themeColor="text1"/>
        </w:rPr>
        <w:t>Local government finance: The challenges of the 21st century</w:t>
      </w:r>
      <w:r w:rsidRPr="00BE4AF3">
        <w:rPr>
          <w:color w:val="000000" w:themeColor="text1"/>
        </w:rPr>
        <w:t>. Edward Elgar Publishing.</w:t>
      </w:r>
    </w:p>
    <w:p w14:paraId="70646A33"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McCluskey, W. J., &amp; Franzsen, R. C. D. (2005). An evaluation of the property tax in Tanzania: An untapped fiscal resource or administrative headache? </w:t>
      </w:r>
      <w:r w:rsidRPr="00BE4AF3">
        <w:rPr>
          <w:rFonts w:ascii="Times New Roman" w:hAnsi="Times New Roman" w:cs="Times New Roman"/>
          <w:i/>
          <w:iCs/>
          <w:color w:val="000000" w:themeColor="text1"/>
          <w:sz w:val="24"/>
          <w:szCs w:val="24"/>
        </w:rPr>
        <w:t>Property Management, 23</w:t>
      </w:r>
      <w:r w:rsidRPr="00BE4AF3">
        <w:rPr>
          <w:rFonts w:ascii="Times New Roman" w:hAnsi="Times New Roman" w:cs="Times New Roman"/>
          <w:color w:val="000000" w:themeColor="text1"/>
          <w:sz w:val="24"/>
          <w:szCs w:val="24"/>
        </w:rPr>
        <w:t xml:space="preserve">(1), 43–69. McMillen, D. P. (2012). </w:t>
      </w:r>
      <w:r w:rsidRPr="00BE4AF3">
        <w:rPr>
          <w:rStyle w:val="Emphasis"/>
          <w:rFonts w:ascii="Times New Roman" w:eastAsiaTheme="majorEastAsia" w:hAnsi="Times New Roman" w:cs="Times New Roman"/>
          <w:color w:val="000000" w:themeColor="text1"/>
          <w:sz w:val="24"/>
          <w:szCs w:val="24"/>
        </w:rPr>
        <w:t>Quantitative urban economics</w:t>
      </w:r>
      <w:r w:rsidRPr="00BE4AF3">
        <w:rPr>
          <w:rFonts w:ascii="Times New Roman" w:hAnsi="Times New Roman" w:cs="Times New Roman"/>
          <w:color w:val="000000" w:themeColor="text1"/>
          <w:sz w:val="24"/>
          <w:szCs w:val="24"/>
        </w:rPr>
        <w:t>. Academic Press.</w:t>
      </w:r>
    </w:p>
    <w:p w14:paraId="574B0FA7"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Mills, E. S. (1967). An aggregative model of resource allocation in a metropolitan area. </w:t>
      </w:r>
      <w:r w:rsidRPr="00BE4AF3">
        <w:rPr>
          <w:rStyle w:val="Emphasis"/>
          <w:rFonts w:ascii="Times New Roman" w:eastAsiaTheme="majorEastAsia" w:hAnsi="Times New Roman" w:cs="Times New Roman"/>
          <w:color w:val="000000" w:themeColor="text1"/>
          <w:sz w:val="24"/>
          <w:szCs w:val="24"/>
        </w:rPr>
        <w:t>The American Economic Review, 57</w:t>
      </w:r>
      <w:r w:rsidRPr="00BE4AF3">
        <w:rPr>
          <w:rFonts w:ascii="Times New Roman" w:hAnsi="Times New Roman" w:cs="Times New Roman"/>
          <w:color w:val="000000" w:themeColor="text1"/>
          <w:sz w:val="24"/>
          <w:szCs w:val="24"/>
        </w:rPr>
        <w:t>(2), 197–210.</w:t>
      </w:r>
    </w:p>
    <w:p w14:paraId="75A44D83" w14:textId="77777777" w:rsidR="00F4410D" w:rsidRPr="00BE4AF3" w:rsidRDefault="00F4410D" w:rsidP="00401EAA">
      <w:pPr>
        <w:pStyle w:val="NormalWeb"/>
        <w:spacing w:before="0" w:beforeAutospacing="0" w:after="0" w:afterAutospacing="0"/>
        <w:ind w:left="851" w:hanging="851"/>
        <w:jc w:val="both"/>
        <w:rPr>
          <w:color w:val="000000" w:themeColor="text1"/>
        </w:rPr>
      </w:pPr>
      <w:r w:rsidRPr="00BE4AF3">
        <w:rPr>
          <w:color w:val="000000" w:themeColor="text1"/>
        </w:rPr>
        <w:t xml:space="preserve">National Bureau of Statistics. (2020). </w:t>
      </w:r>
      <w:r w:rsidRPr="00BE4AF3">
        <w:rPr>
          <w:rStyle w:val="Emphasis"/>
          <w:rFonts w:eastAsiaTheme="majorEastAsia"/>
          <w:color w:val="000000" w:themeColor="text1"/>
        </w:rPr>
        <w:t>Nigeria living standards survey 2018/19</w:t>
      </w:r>
      <w:r w:rsidRPr="00BE4AF3">
        <w:rPr>
          <w:color w:val="000000" w:themeColor="text1"/>
        </w:rPr>
        <w:t>. NBS Publications.</w:t>
      </w:r>
    </w:p>
    <w:p w14:paraId="3B3E7E3F" w14:textId="77777777" w:rsidR="00F4410D" w:rsidRPr="00BE4AF3" w:rsidRDefault="00F4410D" w:rsidP="00401EAA">
      <w:pPr>
        <w:pStyle w:val="NormalWeb"/>
        <w:spacing w:before="0" w:beforeAutospacing="0" w:after="0" w:afterAutospacing="0"/>
        <w:ind w:left="851" w:hanging="851"/>
        <w:jc w:val="both"/>
        <w:rPr>
          <w:color w:val="000000" w:themeColor="text1"/>
        </w:rPr>
      </w:pPr>
      <w:r w:rsidRPr="00BE4AF3">
        <w:rPr>
          <w:color w:val="000000" w:themeColor="text1"/>
        </w:rPr>
        <w:lastRenderedPageBreak/>
        <w:t xml:space="preserve">National Bureau of Statistics. (2023). </w:t>
      </w:r>
      <w:r w:rsidRPr="00BE4AF3">
        <w:rPr>
          <w:rStyle w:val="Emphasis"/>
          <w:rFonts w:eastAsiaTheme="majorEastAsia"/>
          <w:color w:val="000000" w:themeColor="text1"/>
        </w:rPr>
        <w:t>Nigerian gross domestic product report Q4 2022</w:t>
      </w:r>
      <w:r w:rsidRPr="00BE4AF3">
        <w:rPr>
          <w:color w:val="000000" w:themeColor="text1"/>
        </w:rPr>
        <w:t>. NBS Publications.</w:t>
      </w:r>
    </w:p>
    <w:p w14:paraId="677E00D7" w14:textId="77777777" w:rsidR="00F4410D" w:rsidRPr="00BE4AF3" w:rsidRDefault="00F4410D" w:rsidP="00401EAA">
      <w:pPr>
        <w:pStyle w:val="NormalWeb"/>
        <w:spacing w:before="0" w:beforeAutospacing="0" w:after="0" w:afterAutospacing="0"/>
        <w:ind w:left="851" w:hanging="851"/>
        <w:jc w:val="both"/>
        <w:rPr>
          <w:color w:val="000000" w:themeColor="text1"/>
        </w:rPr>
      </w:pPr>
      <w:r w:rsidRPr="00BE4AF3">
        <w:rPr>
          <w:color w:val="000000" w:themeColor="text1"/>
        </w:rPr>
        <w:t xml:space="preserve">Nigerian Institution of Estate Surveyors and Valuers. (2022). </w:t>
      </w:r>
      <w:r w:rsidRPr="00BE4AF3">
        <w:rPr>
          <w:rStyle w:val="Emphasis"/>
          <w:rFonts w:eastAsiaTheme="majorEastAsia"/>
          <w:color w:val="000000" w:themeColor="text1"/>
        </w:rPr>
        <w:t>Annual market report 2022</w:t>
      </w:r>
      <w:r w:rsidRPr="00BE4AF3">
        <w:rPr>
          <w:color w:val="000000" w:themeColor="text1"/>
        </w:rPr>
        <w:t>. NIESV Publications.</w:t>
      </w:r>
    </w:p>
    <w:p w14:paraId="67F31CA8" w14:textId="77777777" w:rsidR="00F4410D" w:rsidRPr="00BE4AF3" w:rsidRDefault="00F4410D" w:rsidP="00401EAA">
      <w:pPr>
        <w:pStyle w:val="NormalWeb"/>
        <w:spacing w:before="0" w:beforeAutospacing="0" w:after="0" w:afterAutospacing="0"/>
        <w:ind w:left="851" w:hanging="851"/>
        <w:jc w:val="both"/>
        <w:rPr>
          <w:color w:val="000000" w:themeColor="text1"/>
        </w:rPr>
      </w:pPr>
      <w:r w:rsidRPr="00BE4AF3">
        <w:rPr>
          <w:color w:val="000000" w:themeColor="text1"/>
        </w:rPr>
        <w:t xml:space="preserve">Nubi, T. O. (2008). Affordable housing delivery in Nigeria. </w:t>
      </w:r>
      <w:r w:rsidRPr="00BE4AF3">
        <w:rPr>
          <w:rStyle w:val="Emphasis"/>
          <w:rFonts w:eastAsiaTheme="majorEastAsia"/>
          <w:color w:val="000000" w:themeColor="text1"/>
        </w:rPr>
        <w:t>The Built &amp; Human Environment Review, 1</w:t>
      </w:r>
      <w:r w:rsidRPr="00BE4AF3">
        <w:rPr>
          <w:color w:val="000000" w:themeColor="text1"/>
        </w:rPr>
        <w:t>(1), 1–12.</w:t>
      </w:r>
    </w:p>
    <w:p w14:paraId="749F5017" w14:textId="77777777" w:rsidR="00F4410D" w:rsidRPr="00BE4AF3" w:rsidRDefault="00F4410D" w:rsidP="00401EAA">
      <w:pPr>
        <w:pStyle w:val="NormalWeb"/>
        <w:spacing w:before="0" w:beforeAutospacing="0" w:after="0" w:afterAutospacing="0"/>
        <w:ind w:left="851" w:hanging="851"/>
        <w:jc w:val="both"/>
        <w:rPr>
          <w:color w:val="000000" w:themeColor="text1"/>
        </w:rPr>
      </w:pPr>
      <w:r w:rsidRPr="00BE4AF3">
        <w:rPr>
          <w:color w:val="000000" w:themeColor="text1"/>
        </w:rPr>
        <w:t xml:space="preserve">Oates, W. E. (1969). The effects of property taxes and local public spending on property values. </w:t>
      </w:r>
      <w:r w:rsidRPr="00BE4AF3">
        <w:rPr>
          <w:rStyle w:val="Emphasis"/>
          <w:rFonts w:eastAsiaTheme="majorEastAsia"/>
          <w:color w:val="000000" w:themeColor="text1"/>
        </w:rPr>
        <w:t>Journal of Political Economy, 77</w:t>
      </w:r>
      <w:r w:rsidRPr="00BE4AF3">
        <w:rPr>
          <w:color w:val="000000" w:themeColor="text1"/>
        </w:rPr>
        <w:t>(6), 957–971.</w:t>
      </w:r>
    </w:p>
    <w:p w14:paraId="1ED07440" w14:textId="77777777" w:rsidR="00F4410D" w:rsidRPr="00BE4AF3" w:rsidRDefault="00F4410D" w:rsidP="00401EAA">
      <w:pPr>
        <w:pStyle w:val="NormalWeb"/>
        <w:spacing w:before="0" w:beforeAutospacing="0" w:after="0" w:afterAutospacing="0"/>
        <w:ind w:left="851" w:hanging="851"/>
        <w:jc w:val="both"/>
        <w:rPr>
          <w:color w:val="000000" w:themeColor="text1"/>
        </w:rPr>
      </w:pPr>
      <w:r w:rsidRPr="00BE4AF3">
        <w:rPr>
          <w:color w:val="000000" w:themeColor="text1"/>
        </w:rPr>
        <w:t xml:space="preserve">Ogundimu, F. A. (2018). Electronic tax administration and revenue generation in Lagos State, Nigeria. </w:t>
      </w:r>
      <w:r w:rsidRPr="00BE4AF3">
        <w:rPr>
          <w:rStyle w:val="Emphasis"/>
          <w:rFonts w:eastAsiaTheme="majorEastAsia"/>
          <w:color w:val="000000" w:themeColor="text1"/>
        </w:rPr>
        <w:t>International Journal of Academic Research in Business and Social Sciences, 8</w:t>
      </w:r>
      <w:r w:rsidRPr="00BE4AF3">
        <w:rPr>
          <w:color w:val="000000" w:themeColor="text1"/>
        </w:rPr>
        <w:t>(10), 312–325. https://doi.org/10.6007/IJARBSS/v8-i10/4698</w:t>
      </w:r>
    </w:p>
    <w:p w14:paraId="3E087253" w14:textId="77777777" w:rsidR="00F4410D" w:rsidRPr="00BE4AF3" w:rsidRDefault="00F4410D" w:rsidP="00401EAA">
      <w:pPr>
        <w:pStyle w:val="NormalWeb"/>
        <w:spacing w:before="0" w:beforeAutospacing="0" w:after="0" w:afterAutospacing="0"/>
        <w:ind w:left="851" w:hanging="851"/>
        <w:jc w:val="both"/>
        <w:rPr>
          <w:color w:val="000000" w:themeColor="text1"/>
        </w:rPr>
      </w:pPr>
      <w:r w:rsidRPr="00BE4AF3">
        <w:rPr>
          <w:color w:val="000000" w:themeColor="text1"/>
        </w:rPr>
        <w:t xml:space="preserve">Oyewole, M. O. (2013). Land use act and housing development in Nigeria. </w:t>
      </w:r>
      <w:r w:rsidRPr="00BE4AF3">
        <w:rPr>
          <w:rStyle w:val="Emphasis"/>
          <w:rFonts w:eastAsiaTheme="majorEastAsia"/>
          <w:color w:val="000000" w:themeColor="text1"/>
        </w:rPr>
        <w:t>Journal of African Real Estate Research, 1</w:t>
      </w:r>
      <w:r w:rsidRPr="00BE4AF3">
        <w:rPr>
          <w:color w:val="000000" w:themeColor="text1"/>
        </w:rPr>
        <w:t>(1), 1–15.</w:t>
      </w:r>
    </w:p>
    <w:p w14:paraId="6516A108" w14:textId="77777777" w:rsidR="00F4410D" w:rsidRPr="00BE4AF3" w:rsidRDefault="00F4410D" w:rsidP="00401EAA">
      <w:pPr>
        <w:pStyle w:val="NormalWeb"/>
        <w:spacing w:before="0" w:beforeAutospacing="0" w:after="0" w:afterAutospacing="0"/>
        <w:ind w:left="851" w:hanging="851"/>
        <w:jc w:val="both"/>
        <w:rPr>
          <w:color w:val="000000" w:themeColor="text1"/>
        </w:rPr>
      </w:pPr>
      <w:r w:rsidRPr="00BE4AF3">
        <w:rPr>
          <w:color w:val="000000" w:themeColor="text1"/>
        </w:rPr>
        <w:t xml:space="preserve">Palmquist, R. B. (1984). Estimating the demand for the characteristics of housing. </w:t>
      </w:r>
      <w:r w:rsidRPr="00BE4AF3">
        <w:rPr>
          <w:rStyle w:val="Emphasis"/>
          <w:rFonts w:eastAsiaTheme="majorEastAsia"/>
          <w:color w:val="000000" w:themeColor="text1"/>
        </w:rPr>
        <w:t>The Review of Economics and Statistics, 66</w:t>
      </w:r>
      <w:r w:rsidRPr="00BE4AF3">
        <w:rPr>
          <w:color w:val="000000" w:themeColor="text1"/>
        </w:rPr>
        <w:t>(3), 394–404.</w:t>
      </w:r>
    </w:p>
    <w:p w14:paraId="302CA9AA"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Peterson, G. E. (2009). </w:t>
      </w:r>
      <w:r w:rsidRPr="00BE4AF3">
        <w:rPr>
          <w:rFonts w:ascii="Times New Roman" w:hAnsi="Times New Roman" w:cs="Times New Roman"/>
          <w:i/>
          <w:iCs/>
          <w:color w:val="000000" w:themeColor="text1"/>
          <w:sz w:val="24"/>
          <w:szCs w:val="24"/>
        </w:rPr>
        <w:t>Unlocking land values to finance urban infrastructure</w:t>
      </w:r>
      <w:r w:rsidRPr="00BE4AF3">
        <w:rPr>
          <w:rFonts w:ascii="Times New Roman" w:hAnsi="Times New Roman" w:cs="Times New Roman"/>
          <w:color w:val="000000" w:themeColor="text1"/>
          <w:sz w:val="24"/>
          <w:szCs w:val="24"/>
        </w:rPr>
        <w:t>. World Bank Publications.</w:t>
      </w:r>
    </w:p>
    <w:p w14:paraId="3C75BEF7" w14:textId="77777777" w:rsidR="00F4410D" w:rsidRPr="00BE4AF3" w:rsidRDefault="00F4410D" w:rsidP="00401EAA">
      <w:pPr>
        <w:pStyle w:val="NormalWeb"/>
        <w:spacing w:before="0" w:beforeAutospacing="0" w:after="0" w:afterAutospacing="0"/>
        <w:ind w:left="851" w:hanging="851"/>
        <w:jc w:val="both"/>
        <w:rPr>
          <w:color w:val="000000" w:themeColor="text1"/>
        </w:rPr>
      </w:pPr>
      <w:r w:rsidRPr="00BE4AF3">
        <w:rPr>
          <w:color w:val="000000" w:themeColor="text1"/>
        </w:rPr>
        <w:t xml:space="preserve">Rosen, S. (1974). Hedonic prices and implicit markets: Product differentiation in pure competition. </w:t>
      </w:r>
      <w:r w:rsidRPr="00BE4AF3">
        <w:rPr>
          <w:rStyle w:val="Emphasis"/>
          <w:rFonts w:eastAsiaTheme="majorEastAsia"/>
          <w:color w:val="000000" w:themeColor="text1"/>
        </w:rPr>
        <w:t>Journal of Political Economy, 82</w:t>
      </w:r>
      <w:r w:rsidRPr="00BE4AF3">
        <w:rPr>
          <w:color w:val="000000" w:themeColor="text1"/>
        </w:rPr>
        <w:t>(1), 34–55.</w:t>
      </w:r>
    </w:p>
    <w:p w14:paraId="0C2BEC44"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Slack, E. (2002). Municipal finance and the pattern of urban growth. </w:t>
      </w:r>
      <w:r w:rsidRPr="00BE4AF3">
        <w:rPr>
          <w:rFonts w:ascii="Times New Roman" w:hAnsi="Times New Roman" w:cs="Times New Roman"/>
          <w:i/>
          <w:iCs/>
          <w:color w:val="000000" w:themeColor="text1"/>
          <w:sz w:val="24"/>
          <w:szCs w:val="24"/>
        </w:rPr>
        <w:t>Urban Studies, 39</w:t>
      </w:r>
      <w:r w:rsidRPr="00BE4AF3">
        <w:rPr>
          <w:rFonts w:ascii="Times New Roman" w:hAnsi="Times New Roman" w:cs="Times New Roman"/>
          <w:color w:val="000000" w:themeColor="text1"/>
          <w:sz w:val="24"/>
          <w:szCs w:val="24"/>
        </w:rPr>
        <w:t>(10), 1793–1808.</w:t>
      </w:r>
    </w:p>
    <w:p w14:paraId="0C139AB6" w14:textId="77777777" w:rsidR="00F4410D" w:rsidRPr="00BE4AF3" w:rsidRDefault="00F4410D" w:rsidP="00401EAA">
      <w:pPr>
        <w:pStyle w:val="NormalWeb"/>
        <w:spacing w:before="0" w:beforeAutospacing="0" w:after="0" w:afterAutospacing="0"/>
        <w:ind w:left="851" w:hanging="851"/>
        <w:jc w:val="both"/>
        <w:rPr>
          <w:color w:val="000000" w:themeColor="text1"/>
        </w:rPr>
      </w:pPr>
      <w:r w:rsidRPr="00BE4AF3">
        <w:rPr>
          <w:color w:val="000000" w:themeColor="text1"/>
        </w:rPr>
        <w:t xml:space="preserve">Stiglitz, J. E. (1977). The theory of local public goods. In M. S. Feldstein &amp; R. P. Inman (Eds.), </w:t>
      </w:r>
      <w:r w:rsidRPr="00BE4AF3">
        <w:rPr>
          <w:rStyle w:val="Emphasis"/>
          <w:rFonts w:eastAsiaTheme="majorEastAsia"/>
          <w:color w:val="000000" w:themeColor="text1"/>
        </w:rPr>
        <w:t>The economics of public services</w:t>
      </w:r>
      <w:r w:rsidRPr="00BE4AF3">
        <w:rPr>
          <w:color w:val="000000" w:themeColor="text1"/>
        </w:rPr>
        <w:t xml:space="preserve"> (pp. 274–333). Macmillan.</w:t>
      </w:r>
    </w:p>
    <w:p w14:paraId="6722FFD2" w14:textId="77777777" w:rsidR="00F4410D" w:rsidRPr="00BE4AF3" w:rsidRDefault="00F4410D" w:rsidP="00401EAA">
      <w:pPr>
        <w:pStyle w:val="NormalWeb"/>
        <w:spacing w:before="0" w:beforeAutospacing="0" w:after="0" w:afterAutospacing="0"/>
        <w:ind w:left="851" w:hanging="851"/>
        <w:jc w:val="both"/>
        <w:rPr>
          <w:color w:val="000000" w:themeColor="text1"/>
        </w:rPr>
      </w:pPr>
      <w:r w:rsidRPr="00BE4AF3">
        <w:rPr>
          <w:color w:val="000000" w:themeColor="text1"/>
        </w:rPr>
        <w:t xml:space="preserve">Tiebout, C. M. (1956). A pure theory of local expenditures. </w:t>
      </w:r>
      <w:r w:rsidRPr="00BE4AF3">
        <w:rPr>
          <w:rStyle w:val="Emphasis"/>
          <w:rFonts w:eastAsiaTheme="majorEastAsia"/>
          <w:color w:val="000000" w:themeColor="text1"/>
        </w:rPr>
        <w:t>Journal of Political Economy, 64</w:t>
      </w:r>
      <w:r w:rsidRPr="00BE4AF3">
        <w:rPr>
          <w:color w:val="000000" w:themeColor="text1"/>
        </w:rPr>
        <w:t>(5), 416–424.</w:t>
      </w:r>
    </w:p>
    <w:p w14:paraId="44BD14F9" w14:textId="77777777" w:rsidR="00F4410D" w:rsidRPr="00BE4AF3" w:rsidRDefault="00F4410D" w:rsidP="00401EAA">
      <w:pPr>
        <w:spacing w:after="0" w:line="240" w:lineRule="auto"/>
        <w:ind w:left="851" w:hanging="851"/>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Udoka, S. J. (2014). An examination of the factors affecting real estate finance in Nigeria. </w:t>
      </w:r>
      <w:r w:rsidRPr="00BE4AF3">
        <w:rPr>
          <w:rFonts w:ascii="Times New Roman" w:hAnsi="Times New Roman" w:cs="Times New Roman"/>
          <w:i/>
          <w:iCs/>
          <w:color w:val="000000" w:themeColor="text1"/>
          <w:sz w:val="24"/>
          <w:szCs w:val="24"/>
        </w:rPr>
        <w:t>British Journal of Finance and Accounting, 2</w:t>
      </w:r>
      <w:r w:rsidRPr="00BE4AF3">
        <w:rPr>
          <w:rFonts w:ascii="Times New Roman" w:hAnsi="Times New Roman" w:cs="Times New Roman"/>
          <w:color w:val="000000" w:themeColor="text1"/>
          <w:sz w:val="24"/>
          <w:szCs w:val="24"/>
        </w:rPr>
        <w:t>(2), 1–15.</w:t>
      </w:r>
    </w:p>
    <w:p w14:paraId="24DA6DB3" w14:textId="77777777" w:rsidR="00F4410D" w:rsidRPr="00BE4AF3" w:rsidRDefault="00F4410D" w:rsidP="00401EAA">
      <w:pPr>
        <w:pStyle w:val="NormalWeb"/>
        <w:spacing w:before="0" w:beforeAutospacing="0" w:after="0" w:afterAutospacing="0"/>
        <w:ind w:left="851" w:hanging="851"/>
        <w:jc w:val="both"/>
        <w:rPr>
          <w:color w:val="000000" w:themeColor="text1"/>
        </w:rPr>
      </w:pPr>
      <w:r w:rsidRPr="00BE4AF3">
        <w:rPr>
          <w:color w:val="000000" w:themeColor="text1"/>
        </w:rPr>
        <w:t xml:space="preserve">UN-Habitat. (2022). </w:t>
      </w:r>
      <w:r w:rsidRPr="00BE4AF3">
        <w:rPr>
          <w:rStyle w:val="Emphasis"/>
          <w:rFonts w:eastAsiaTheme="majorEastAsia"/>
          <w:color w:val="000000" w:themeColor="text1"/>
        </w:rPr>
        <w:t>Nigeria housing profile</w:t>
      </w:r>
      <w:r w:rsidRPr="00BE4AF3">
        <w:rPr>
          <w:color w:val="000000" w:themeColor="text1"/>
        </w:rPr>
        <w:t>. United Nations Human Settlements Programme.</w:t>
      </w:r>
    </w:p>
    <w:p w14:paraId="6AAF2C50" w14:textId="77777777" w:rsidR="00F4410D" w:rsidRPr="00BE4AF3" w:rsidRDefault="00F4410D" w:rsidP="00401EAA">
      <w:pPr>
        <w:pStyle w:val="NormalWeb"/>
        <w:spacing w:before="0" w:beforeAutospacing="0" w:after="0" w:afterAutospacing="0"/>
        <w:ind w:left="851" w:hanging="851"/>
        <w:jc w:val="both"/>
        <w:rPr>
          <w:color w:val="000000" w:themeColor="text1"/>
        </w:rPr>
      </w:pPr>
      <w:r w:rsidRPr="00BE4AF3">
        <w:rPr>
          <w:color w:val="000000" w:themeColor="text1"/>
        </w:rPr>
        <w:t xml:space="preserve">World Bank. (2019). </w:t>
      </w:r>
      <w:r w:rsidRPr="00BE4AF3">
        <w:rPr>
          <w:rStyle w:val="Emphasis"/>
          <w:rFonts w:eastAsiaTheme="majorEastAsia"/>
          <w:color w:val="000000" w:themeColor="text1"/>
        </w:rPr>
        <w:t>Nigeria – Housing finance program</w:t>
      </w:r>
      <w:r w:rsidRPr="00BE4AF3">
        <w:rPr>
          <w:color w:val="000000" w:themeColor="text1"/>
        </w:rPr>
        <w:t>. World Bank Group.</w:t>
      </w:r>
    </w:p>
    <w:p w14:paraId="5D43F36B" w14:textId="77777777" w:rsidR="00A95426" w:rsidRDefault="00A95426" w:rsidP="00E90BB6">
      <w:pPr>
        <w:spacing w:after="0" w:line="240" w:lineRule="auto"/>
        <w:rPr>
          <w:rFonts w:ascii="Times New Roman" w:hAnsi="Times New Roman" w:cs="Times New Roman"/>
          <w:iCs/>
          <w:sz w:val="24"/>
          <w:szCs w:val="24"/>
        </w:rPr>
      </w:pPr>
    </w:p>
    <w:p w14:paraId="7F869BC9" w14:textId="77777777" w:rsidR="00401EAA" w:rsidRDefault="00401EAA" w:rsidP="00E90BB6">
      <w:pPr>
        <w:spacing w:after="0" w:line="240" w:lineRule="auto"/>
        <w:rPr>
          <w:rFonts w:ascii="Times New Roman" w:hAnsi="Times New Roman" w:cs="Times New Roman"/>
          <w:iCs/>
          <w:sz w:val="24"/>
          <w:szCs w:val="24"/>
        </w:rPr>
      </w:pPr>
    </w:p>
    <w:p w14:paraId="05B7BB0C" w14:textId="77777777" w:rsidR="00401EAA" w:rsidRDefault="00401EAA" w:rsidP="00E90BB6">
      <w:pPr>
        <w:spacing w:after="0" w:line="240" w:lineRule="auto"/>
        <w:rPr>
          <w:rFonts w:ascii="Times New Roman" w:hAnsi="Times New Roman" w:cs="Times New Roman"/>
          <w:iCs/>
          <w:sz w:val="24"/>
          <w:szCs w:val="24"/>
        </w:rPr>
      </w:pPr>
    </w:p>
    <w:p w14:paraId="3EACED21" w14:textId="77777777" w:rsidR="00401EAA" w:rsidRDefault="00401EAA" w:rsidP="00E90BB6">
      <w:pPr>
        <w:spacing w:after="0" w:line="240" w:lineRule="auto"/>
        <w:rPr>
          <w:rFonts w:ascii="Times New Roman" w:hAnsi="Times New Roman" w:cs="Times New Roman"/>
          <w:iCs/>
          <w:sz w:val="24"/>
          <w:szCs w:val="24"/>
        </w:rPr>
      </w:pPr>
    </w:p>
    <w:p w14:paraId="474838EA" w14:textId="77777777" w:rsidR="00401EAA" w:rsidRDefault="00401EAA" w:rsidP="00E90BB6">
      <w:pPr>
        <w:spacing w:after="0" w:line="240" w:lineRule="auto"/>
        <w:rPr>
          <w:rFonts w:ascii="Times New Roman" w:hAnsi="Times New Roman" w:cs="Times New Roman"/>
          <w:iCs/>
          <w:sz w:val="24"/>
          <w:szCs w:val="24"/>
        </w:rPr>
      </w:pPr>
    </w:p>
    <w:p w14:paraId="283DDD70" w14:textId="77777777" w:rsidR="00401EAA" w:rsidRDefault="00401EAA" w:rsidP="00E90BB6">
      <w:pPr>
        <w:spacing w:after="0" w:line="240" w:lineRule="auto"/>
        <w:rPr>
          <w:rFonts w:ascii="Times New Roman" w:hAnsi="Times New Roman" w:cs="Times New Roman"/>
          <w:iCs/>
          <w:sz w:val="24"/>
          <w:szCs w:val="24"/>
        </w:rPr>
      </w:pPr>
    </w:p>
    <w:p w14:paraId="011FBD91" w14:textId="77777777" w:rsidR="00401EAA" w:rsidRDefault="00401EAA" w:rsidP="00E90BB6">
      <w:pPr>
        <w:spacing w:after="0" w:line="240" w:lineRule="auto"/>
        <w:rPr>
          <w:rFonts w:ascii="Times New Roman" w:hAnsi="Times New Roman" w:cs="Times New Roman"/>
          <w:iCs/>
          <w:sz w:val="24"/>
          <w:szCs w:val="24"/>
        </w:rPr>
      </w:pPr>
    </w:p>
    <w:p w14:paraId="65491141" w14:textId="77777777" w:rsidR="00401EAA" w:rsidRDefault="00401EAA" w:rsidP="00E90BB6">
      <w:pPr>
        <w:spacing w:after="0" w:line="240" w:lineRule="auto"/>
        <w:rPr>
          <w:rFonts w:ascii="Times New Roman" w:hAnsi="Times New Roman" w:cs="Times New Roman"/>
          <w:iCs/>
          <w:sz w:val="24"/>
          <w:szCs w:val="24"/>
        </w:rPr>
      </w:pPr>
    </w:p>
    <w:p w14:paraId="771AE01B" w14:textId="77777777" w:rsidR="00401EAA" w:rsidRDefault="00401EAA" w:rsidP="00E90BB6">
      <w:pPr>
        <w:spacing w:after="0" w:line="240" w:lineRule="auto"/>
        <w:rPr>
          <w:rFonts w:ascii="Times New Roman" w:hAnsi="Times New Roman" w:cs="Times New Roman"/>
          <w:iCs/>
          <w:sz w:val="24"/>
          <w:szCs w:val="24"/>
        </w:rPr>
      </w:pPr>
    </w:p>
    <w:p w14:paraId="738EE01D" w14:textId="77777777" w:rsidR="00401EAA" w:rsidRDefault="00401EAA" w:rsidP="00E90BB6">
      <w:pPr>
        <w:spacing w:after="0" w:line="240" w:lineRule="auto"/>
        <w:rPr>
          <w:rFonts w:ascii="Times New Roman" w:hAnsi="Times New Roman" w:cs="Times New Roman"/>
          <w:iCs/>
          <w:sz w:val="24"/>
          <w:szCs w:val="24"/>
        </w:rPr>
      </w:pPr>
    </w:p>
    <w:p w14:paraId="56EC40D2" w14:textId="77777777" w:rsidR="00401EAA" w:rsidRDefault="00401EAA" w:rsidP="00E90BB6">
      <w:pPr>
        <w:spacing w:after="0" w:line="240" w:lineRule="auto"/>
        <w:rPr>
          <w:rFonts w:ascii="Times New Roman" w:hAnsi="Times New Roman" w:cs="Times New Roman"/>
          <w:iCs/>
          <w:sz w:val="24"/>
          <w:szCs w:val="24"/>
        </w:rPr>
      </w:pPr>
    </w:p>
    <w:p w14:paraId="7C2C4A18" w14:textId="77777777" w:rsidR="00401EAA" w:rsidRDefault="00401EAA" w:rsidP="00E90BB6">
      <w:pPr>
        <w:spacing w:after="0" w:line="240" w:lineRule="auto"/>
        <w:rPr>
          <w:rFonts w:ascii="Times New Roman" w:hAnsi="Times New Roman" w:cs="Times New Roman"/>
          <w:iCs/>
          <w:sz w:val="24"/>
          <w:szCs w:val="24"/>
        </w:rPr>
      </w:pPr>
    </w:p>
    <w:p w14:paraId="4B020601" w14:textId="77777777" w:rsidR="00401EAA" w:rsidRDefault="00401EAA" w:rsidP="00E90BB6">
      <w:pPr>
        <w:spacing w:after="0" w:line="240" w:lineRule="auto"/>
        <w:rPr>
          <w:rFonts w:ascii="Times New Roman" w:hAnsi="Times New Roman" w:cs="Times New Roman"/>
          <w:iCs/>
          <w:sz w:val="24"/>
          <w:szCs w:val="24"/>
        </w:rPr>
      </w:pPr>
    </w:p>
    <w:p w14:paraId="3C0E58D4" w14:textId="77777777" w:rsidR="00401EAA" w:rsidRDefault="00401EAA" w:rsidP="00E90BB6">
      <w:pPr>
        <w:spacing w:after="0" w:line="240" w:lineRule="auto"/>
        <w:rPr>
          <w:rFonts w:ascii="Times New Roman" w:hAnsi="Times New Roman" w:cs="Times New Roman"/>
          <w:iCs/>
          <w:sz w:val="24"/>
          <w:szCs w:val="24"/>
        </w:rPr>
      </w:pPr>
    </w:p>
    <w:p w14:paraId="7DD61AF6" w14:textId="77777777" w:rsidR="00401EAA" w:rsidRPr="00BE4AF3" w:rsidRDefault="00401EAA" w:rsidP="00E90BB6">
      <w:pPr>
        <w:spacing w:after="0" w:line="240" w:lineRule="auto"/>
        <w:rPr>
          <w:rFonts w:ascii="Times New Roman" w:hAnsi="Times New Roman" w:cs="Times New Roman"/>
          <w:iCs/>
          <w:sz w:val="24"/>
          <w:szCs w:val="24"/>
        </w:rPr>
      </w:pPr>
    </w:p>
    <w:p w14:paraId="12DE4177" w14:textId="77777777" w:rsidR="00F4410D" w:rsidRPr="00BE4AF3" w:rsidRDefault="00F4410D" w:rsidP="00E90BB6">
      <w:pPr>
        <w:spacing w:after="0" w:line="240" w:lineRule="auto"/>
        <w:rPr>
          <w:rFonts w:ascii="Times New Roman" w:hAnsi="Times New Roman" w:cs="Times New Roman"/>
          <w:iCs/>
          <w:sz w:val="24"/>
          <w:szCs w:val="24"/>
        </w:rPr>
      </w:pPr>
    </w:p>
    <w:p w14:paraId="738233CA" w14:textId="77777777" w:rsidR="00A95426" w:rsidRPr="007C62BD" w:rsidRDefault="00A95426" w:rsidP="00E90BB6">
      <w:pPr>
        <w:spacing w:after="0" w:line="240" w:lineRule="auto"/>
        <w:jc w:val="center"/>
        <w:rPr>
          <w:rFonts w:ascii="Times New Roman" w:hAnsi="Times New Roman" w:cs="Times New Roman"/>
          <w:b/>
          <w:sz w:val="28"/>
          <w:szCs w:val="28"/>
        </w:rPr>
      </w:pPr>
      <w:r w:rsidRPr="007C62BD">
        <w:rPr>
          <w:rFonts w:ascii="Times New Roman" w:hAnsi="Times New Roman" w:cs="Times New Roman"/>
          <w:b/>
          <w:sz w:val="28"/>
          <w:szCs w:val="28"/>
        </w:rPr>
        <w:lastRenderedPageBreak/>
        <w:t>Mapping the Sustainability Impact of Sustainable Construction Materials to Sustainable Development Goals (SDGs)</w:t>
      </w:r>
    </w:p>
    <w:p w14:paraId="6509CA1C" w14:textId="77777777" w:rsidR="005E515E" w:rsidRPr="00BE4AF3" w:rsidRDefault="005E515E" w:rsidP="00E90BB6">
      <w:pPr>
        <w:spacing w:after="0" w:line="240" w:lineRule="auto"/>
        <w:jc w:val="center"/>
        <w:rPr>
          <w:rFonts w:ascii="Times New Roman" w:hAnsi="Times New Roman" w:cs="Times New Roman"/>
          <w:b/>
          <w:sz w:val="24"/>
          <w:szCs w:val="24"/>
        </w:rPr>
      </w:pPr>
    </w:p>
    <w:p w14:paraId="439B8C95" w14:textId="77777777" w:rsidR="00A95426" w:rsidRPr="007C62BD" w:rsidRDefault="00A95426" w:rsidP="00E90BB6">
      <w:pPr>
        <w:spacing w:after="0" w:line="240" w:lineRule="auto"/>
        <w:jc w:val="center"/>
        <w:rPr>
          <w:rFonts w:ascii="Times New Roman" w:hAnsi="Times New Roman" w:cs="Times New Roman"/>
          <w:bCs/>
          <w:sz w:val="20"/>
          <w:szCs w:val="20"/>
        </w:rPr>
      </w:pPr>
      <w:r w:rsidRPr="007C62BD">
        <w:rPr>
          <w:rFonts w:ascii="Times New Roman" w:hAnsi="Times New Roman" w:cs="Times New Roman"/>
          <w:bCs/>
          <w:sz w:val="20"/>
          <w:szCs w:val="20"/>
        </w:rPr>
        <w:t>*</w:t>
      </w:r>
      <w:r w:rsidRPr="007C62BD">
        <w:rPr>
          <w:rFonts w:ascii="Times New Roman" w:hAnsi="Times New Roman" w:cs="Times New Roman"/>
          <w:bCs/>
          <w:sz w:val="20"/>
          <w:szCs w:val="20"/>
          <w:vertAlign w:val="superscript"/>
        </w:rPr>
        <w:t>1</w:t>
      </w:r>
      <w:r w:rsidRPr="007C62BD">
        <w:rPr>
          <w:rFonts w:ascii="Times New Roman" w:hAnsi="Times New Roman" w:cs="Times New Roman"/>
          <w:bCs/>
          <w:sz w:val="20"/>
          <w:szCs w:val="20"/>
        </w:rPr>
        <w:t xml:space="preserve">Abdulrazaq A. T, </w:t>
      </w:r>
      <w:r w:rsidRPr="007C62BD">
        <w:rPr>
          <w:rFonts w:ascii="Times New Roman" w:hAnsi="Times New Roman" w:cs="Times New Roman"/>
          <w:bCs/>
          <w:sz w:val="20"/>
          <w:szCs w:val="20"/>
          <w:vertAlign w:val="superscript"/>
        </w:rPr>
        <w:t>2</w:t>
      </w:r>
      <w:r w:rsidRPr="007C62BD">
        <w:rPr>
          <w:rFonts w:ascii="Times New Roman" w:hAnsi="Times New Roman" w:cs="Times New Roman"/>
          <w:bCs/>
          <w:sz w:val="20"/>
          <w:szCs w:val="20"/>
        </w:rPr>
        <w:t xml:space="preserve">Olugboyega O, </w:t>
      </w:r>
      <w:r w:rsidRPr="007C62BD">
        <w:rPr>
          <w:rFonts w:ascii="Times New Roman" w:hAnsi="Times New Roman" w:cs="Times New Roman"/>
          <w:bCs/>
          <w:sz w:val="20"/>
          <w:szCs w:val="20"/>
          <w:vertAlign w:val="superscript"/>
        </w:rPr>
        <w:t>3</w:t>
      </w:r>
      <w:r w:rsidRPr="007C62BD">
        <w:rPr>
          <w:rFonts w:ascii="Times New Roman" w:hAnsi="Times New Roman" w:cs="Times New Roman"/>
          <w:bCs/>
          <w:sz w:val="20"/>
          <w:szCs w:val="20"/>
        </w:rPr>
        <w:t>Suleiman A. N and</w:t>
      </w:r>
      <w:r w:rsidRPr="007C62BD">
        <w:rPr>
          <w:rFonts w:ascii="Times New Roman" w:hAnsi="Times New Roman" w:cs="Times New Roman"/>
          <w:bCs/>
          <w:sz w:val="20"/>
          <w:szCs w:val="20"/>
          <w:vertAlign w:val="superscript"/>
        </w:rPr>
        <w:t xml:space="preserve"> 1</w:t>
      </w:r>
      <w:r w:rsidRPr="007C62BD">
        <w:rPr>
          <w:rFonts w:ascii="Times New Roman" w:hAnsi="Times New Roman" w:cs="Times New Roman"/>
          <w:bCs/>
          <w:sz w:val="20"/>
          <w:szCs w:val="20"/>
        </w:rPr>
        <w:t>Oyewole O. V</w:t>
      </w:r>
    </w:p>
    <w:p w14:paraId="416D05FF" w14:textId="77777777" w:rsidR="00A4549A" w:rsidRPr="007C62BD" w:rsidRDefault="00A4549A" w:rsidP="00E90BB6">
      <w:pPr>
        <w:spacing w:after="0" w:line="240" w:lineRule="auto"/>
        <w:jc w:val="center"/>
        <w:rPr>
          <w:rFonts w:ascii="Times New Roman" w:hAnsi="Times New Roman" w:cs="Times New Roman"/>
          <w:b/>
          <w:bCs/>
          <w:sz w:val="20"/>
          <w:szCs w:val="20"/>
        </w:rPr>
      </w:pPr>
    </w:p>
    <w:p w14:paraId="0E8BE7A0" w14:textId="77777777" w:rsidR="00A95426" w:rsidRPr="007C62BD" w:rsidRDefault="00A95426" w:rsidP="00E90BB6">
      <w:pPr>
        <w:spacing w:after="0" w:line="240" w:lineRule="auto"/>
        <w:jc w:val="center"/>
        <w:rPr>
          <w:rFonts w:ascii="Times New Roman" w:hAnsi="Times New Roman" w:cs="Times New Roman"/>
          <w:sz w:val="20"/>
          <w:szCs w:val="20"/>
        </w:rPr>
      </w:pPr>
      <w:r w:rsidRPr="007C62BD">
        <w:rPr>
          <w:rFonts w:ascii="Times New Roman" w:hAnsi="Times New Roman" w:cs="Times New Roman"/>
          <w:sz w:val="20"/>
          <w:szCs w:val="20"/>
          <w:vertAlign w:val="superscript"/>
        </w:rPr>
        <w:t>1</w:t>
      </w:r>
      <w:r w:rsidRPr="007C62BD">
        <w:rPr>
          <w:rFonts w:ascii="Times New Roman" w:hAnsi="Times New Roman" w:cs="Times New Roman"/>
          <w:sz w:val="20"/>
          <w:szCs w:val="20"/>
        </w:rPr>
        <w:t>Building Department, Ladoke Akintola University of Technology, Nigeria</w:t>
      </w:r>
    </w:p>
    <w:p w14:paraId="28418C64" w14:textId="77777777" w:rsidR="00A95426" w:rsidRPr="007C62BD" w:rsidRDefault="00A95426" w:rsidP="00E90BB6">
      <w:pPr>
        <w:spacing w:after="0" w:line="240" w:lineRule="auto"/>
        <w:jc w:val="center"/>
        <w:rPr>
          <w:rFonts w:ascii="Times New Roman" w:hAnsi="Times New Roman" w:cs="Times New Roman"/>
          <w:sz w:val="20"/>
          <w:szCs w:val="20"/>
        </w:rPr>
      </w:pPr>
      <w:r w:rsidRPr="007C62BD">
        <w:rPr>
          <w:rFonts w:ascii="Times New Roman" w:hAnsi="Times New Roman" w:cs="Times New Roman"/>
          <w:sz w:val="20"/>
          <w:szCs w:val="20"/>
          <w:vertAlign w:val="superscript"/>
        </w:rPr>
        <w:t>2</w:t>
      </w:r>
      <w:r w:rsidRPr="007C62BD">
        <w:rPr>
          <w:rFonts w:ascii="Times New Roman" w:hAnsi="Times New Roman" w:cs="Times New Roman"/>
          <w:sz w:val="20"/>
          <w:szCs w:val="20"/>
        </w:rPr>
        <w:t>Construction Engineering and Computational Modelling Research Group (CECM-RG), Construction Management Specialization, Department of Building, Obafemi Awolowo University, Nigeria</w:t>
      </w:r>
    </w:p>
    <w:p w14:paraId="75B392B2" w14:textId="77777777" w:rsidR="00A95426" w:rsidRPr="007C62BD" w:rsidRDefault="00A95426" w:rsidP="00E90BB6">
      <w:pPr>
        <w:spacing w:after="0" w:line="240" w:lineRule="auto"/>
        <w:jc w:val="center"/>
        <w:rPr>
          <w:rFonts w:ascii="Times New Roman" w:hAnsi="Times New Roman" w:cs="Times New Roman"/>
          <w:sz w:val="20"/>
          <w:szCs w:val="20"/>
        </w:rPr>
      </w:pPr>
      <w:r w:rsidRPr="007C62BD">
        <w:rPr>
          <w:rFonts w:ascii="Times New Roman" w:hAnsi="Times New Roman" w:cs="Times New Roman"/>
          <w:sz w:val="20"/>
          <w:szCs w:val="20"/>
          <w:vertAlign w:val="superscript"/>
        </w:rPr>
        <w:t>3</w:t>
      </w:r>
      <w:r w:rsidRPr="007C62BD">
        <w:rPr>
          <w:rFonts w:ascii="Times New Roman" w:hAnsi="Times New Roman" w:cs="Times New Roman"/>
          <w:sz w:val="20"/>
          <w:szCs w:val="20"/>
        </w:rPr>
        <w:t>Department of Building, Federal Polytechnic, Bida, Nigeria</w:t>
      </w:r>
    </w:p>
    <w:p w14:paraId="050FA39D" w14:textId="77777777" w:rsidR="00851684" w:rsidRPr="007C62BD" w:rsidRDefault="00851684" w:rsidP="00E90BB6">
      <w:pPr>
        <w:spacing w:after="0" w:line="240" w:lineRule="auto"/>
        <w:jc w:val="center"/>
        <w:rPr>
          <w:rFonts w:ascii="Times New Roman" w:hAnsi="Times New Roman" w:cs="Times New Roman"/>
          <w:sz w:val="20"/>
          <w:szCs w:val="20"/>
        </w:rPr>
      </w:pPr>
    </w:p>
    <w:p w14:paraId="440475B5" w14:textId="77777777" w:rsidR="00A95426" w:rsidRPr="007C62BD" w:rsidRDefault="00A95426" w:rsidP="00E90BB6">
      <w:pPr>
        <w:spacing w:after="0" w:line="240" w:lineRule="auto"/>
        <w:jc w:val="center"/>
        <w:rPr>
          <w:rFonts w:ascii="Times New Roman" w:hAnsi="Times New Roman" w:cs="Times New Roman"/>
          <w:sz w:val="20"/>
          <w:szCs w:val="20"/>
        </w:rPr>
      </w:pPr>
      <w:r w:rsidRPr="007C62BD">
        <w:rPr>
          <w:rFonts w:ascii="Times New Roman" w:hAnsi="Times New Roman" w:cs="Times New Roman"/>
          <w:sz w:val="20"/>
          <w:szCs w:val="20"/>
        </w:rPr>
        <w:t>*Corresponding Email: atabdulrazaq@lautech.edu.ng</w:t>
      </w:r>
    </w:p>
    <w:p w14:paraId="7A247904" w14:textId="77777777" w:rsidR="00851684" w:rsidRPr="00BE4AF3" w:rsidRDefault="00851684" w:rsidP="00E90BB6">
      <w:pPr>
        <w:spacing w:after="0" w:line="240" w:lineRule="auto"/>
        <w:jc w:val="both"/>
        <w:rPr>
          <w:rFonts w:ascii="Times New Roman" w:eastAsia="Times New Roman" w:hAnsi="Times New Roman" w:cs="Times New Roman"/>
          <w:b/>
          <w:sz w:val="24"/>
          <w:szCs w:val="24"/>
        </w:rPr>
      </w:pPr>
    </w:p>
    <w:p w14:paraId="64438D9B" w14:textId="77777777" w:rsidR="00A95426" w:rsidRPr="00BE4AF3" w:rsidRDefault="00A95426" w:rsidP="00E90BB6">
      <w:pPr>
        <w:spacing w:after="0" w:line="240" w:lineRule="auto"/>
        <w:jc w:val="both"/>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LICFES 2025-017 – FP10</w:t>
      </w:r>
    </w:p>
    <w:p w14:paraId="0E9C5698" w14:textId="77777777" w:rsidR="00A95426" w:rsidRPr="00BE4AF3" w:rsidRDefault="00A95426" w:rsidP="00E90BB6">
      <w:pPr>
        <w:spacing w:after="0" w:line="240" w:lineRule="auto"/>
        <w:jc w:val="both"/>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Abstract</w:t>
      </w:r>
    </w:p>
    <w:p w14:paraId="1EB2AC2F" w14:textId="77777777" w:rsidR="00A95426" w:rsidRPr="00BE4AF3" w:rsidRDefault="00A95426" w:rsidP="00E90BB6">
      <w:pPr>
        <w:spacing w:after="0" w:line="240" w:lineRule="auto"/>
        <w:jc w:val="both"/>
        <w:rPr>
          <w:rFonts w:ascii="Times New Roman" w:hAnsi="Times New Roman" w:cs="Times New Roman"/>
          <w:sz w:val="24"/>
          <w:szCs w:val="24"/>
        </w:rPr>
      </w:pPr>
      <w:r w:rsidRPr="00BE4AF3">
        <w:rPr>
          <w:rFonts w:ascii="Times New Roman" w:eastAsia="Times New Roman" w:hAnsi="Times New Roman" w:cs="Times New Roman"/>
          <w:sz w:val="24"/>
          <w:szCs w:val="24"/>
        </w:rPr>
        <w:t>The construction industry worldwide is transitioning toward a more sustainable practice to align with key aspects of the sustainable development goals (SDGs) of the United Nations (UN) especially through the adoption of sustainable construction materials, this is expected to have significant impact on the outcome and thereby influence the achievement of global sustainability and resilience targets. T</w:t>
      </w:r>
      <w:r w:rsidRPr="00BE4AF3">
        <w:rPr>
          <w:rFonts w:ascii="Times New Roman" w:hAnsi="Times New Roman" w:cs="Times New Roman"/>
          <w:sz w:val="24"/>
          <w:szCs w:val="24"/>
        </w:rPr>
        <w:t xml:space="preserve">his paper aims to map the sustainability impact of sustainable construction materials to selected SDGs, with a specific focus on Goals 9 (Industry, Innovation and Infrastructure), 11 (Sustainable Cities and Communities), and 12 (Responsible Consumption and Production). </w:t>
      </w:r>
      <w:r w:rsidRPr="00BE4AF3">
        <w:rPr>
          <w:rFonts w:ascii="Times New Roman" w:eastAsia="Times New Roman" w:hAnsi="Times New Roman" w:cs="Times New Roman"/>
          <w:sz w:val="24"/>
          <w:szCs w:val="24"/>
        </w:rPr>
        <w:t>The paper identifies key sustainability attributes of commonly adopted sustainable construction materials through a comprehensive review of extant academic literatures. It then examines the core targets and indicators of the selected SDGs and systematically maps the relationship between these material attributes and the selected SDGs’ specific sustainability aims.</w:t>
      </w:r>
      <w:r w:rsidRPr="00BE4AF3">
        <w:rPr>
          <w:rFonts w:ascii="Times New Roman" w:hAnsi="Times New Roman" w:cs="Times New Roman"/>
          <w:sz w:val="24"/>
          <w:szCs w:val="24"/>
        </w:rPr>
        <w:t xml:space="preserve"> </w:t>
      </w:r>
      <w:r w:rsidRPr="00BE4AF3">
        <w:rPr>
          <w:rFonts w:ascii="Times New Roman" w:eastAsia="Times New Roman" w:hAnsi="Times New Roman" w:cs="Times New Roman"/>
          <w:sz w:val="24"/>
          <w:szCs w:val="24"/>
        </w:rPr>
        <w:t>The mapping is expected to reveal the critical role that sustainable construction materials play between material sustainability characteristics and the selected SDGs while promoting efficient resource utilization, resilient urban infrastructure and inclusive sustainable urban development. The study provides a conceptual framework for understanding these linkages, thereby equipping construction professionals, policymakers, and sustainability advocates with a strategic tool for material selection that aligns with the global sustainability development goals (SDGs).</w:t>
      </w:r>
    </w:p>
    <w:p w14:paraId="47844BEF" w14:textId="77777777" w:rsidR="00851684" w:rsidRPr="00BE4AF3" w:rsidRDefault="00851684" w:rsidP="00E90BB6">
      <w:pPr>
        <w:spacing w:after="0" w:line="240" w:lineRule="auto"/>
        <w:rPr>
          <w:rFonts w:ascii="Times New Roman" w:eastAsia="Times New Roman" w:hAnsi="Times New Roman" w:cs="Times New Roman"/>
          <w:b/>
          <w:bCs/>
          <w:sz w:val="24"/>
          <w:szCs w:val="24"/>
        </w:rPr>
      </w:pPr>
    </w:p>
    <w:p w14:paraId="3961E6E4" w14:textId="77777777" w:rsidR="00A95426" w:rsidRPr="00BE4AF3" w:rsidRDefault="00A95426" w:rsidP="00A4549A">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b/>
          <w:bCs/>
          <w:sz w:val="24"/>
          <w:szCs w:val="24"/>
        </w:rPr>
        <w:t>Keywords:</w:t>
      </w:r>
      <w:r w:rsidRPr="00BE4AF3">
        <w:rPr>
          <w:rFonts w:ascii="Times New Roman" w:eastAsia="Times New Roman" w:hAnsi="Times New Roman" w:cs="Times New Roman"/>
          <w:sz w:val="24"/>
          <w:szCs w:val="24"/>
        </w:rPr>
        <w:t xml:space="preserve"> Sustainable Construction Materials, SDGs, Resilience, Sustainability Attributes, Mapping Matrix</w:t>
      </w:r>
    </w:p>
    <w:p w14:paraId="7BE39536" w14:textId="77777777" w:rsidR="00A95426" w:rsidRPr="00BE4AF3" w:rsidRDefault="00A95426" w:rsidP="00E90BB6">
      <w:pPr>
        <w:spacing w:after="0" w:line="240" w:lineRule="auto"/>
        <w:rPr>
          <w:rFonts w:ascii="Times New Roman" w:eastAsia="Times New Roman" w:hAnsi="Times New Roman" w:cs="Times New Roman"/>
          <w:sz w:val="24"/>
          <w:szCs w:val="24"/>
        </w:rPr>
      </w:pPr>
    </w:p>
    <w:p w14:paraId="64E03765" w14:textId="77777777" w:rsidR="00F4410D" w:rsidRPr="00BE4AF3" w:rsidRDefault="00F4410D" w:rsidP="00F4410D">
      <w:pPr>
        <w:spacing w:after="0" w:line="240" w:lineRule="auto"/>
        <w:jc w:val="both"/>
        <w:rPr>
          <w:rFonts w:ascii="Times New Roman" w:hAnsi="Times New Roman" w:cs="Times New Roman"/>
          <w:b/>
          <w:bCs/>
          <w:color w:val="000000" w:themeColor="text1"/>
          <w:sz w:val="24"/>
          <w:szCs w:val="24"/>
        </w:rPr>
      </w:pPr>
      <w:bookmarkStart w:id="35" w:name="_Hlk208337792"/>
      <w:r w:rsidRPr="00BE4AF3">
        <w:rPr>
          <w:rFonts w:ascii="Times New Roman" w:hAnsi="Times New Roman" w:cs="Times New Roman"/>
          <w:b/>
          <w:bCs/>
          <w:color w:val="000000" w:themeColor="text1"/>
          <w:sz w:val="24"/>
          <w:szCs w:val="24"/>
        </w:rPr>
        <w:t xml:space="preserve">Introduction </w:t>
      </w:r>
    </w:p>
    <w:p w14:paraId="08BA046C" w14:textId="77777777" w:rsidR="00F4410D" w:rsidRPr="00BE4AF3" w:rsidRDefault="00F4410D" w:rsidP="00F4410D">
      <w:pPr>
        <w:spacing w:line="240" w:lineRule="auto"/>
        <w:jc w:val="both"/>
        <w:rPr>
          <w:rFonts w:ascii="Times New Roman" w:hAnsi="Times New Roman" w:cs="Times New Roman"/>
          <w:color w:val="000000" w:themeColor="text1"/>
          <w:sz w:val="24"/>
          <w:szCs w:val="24"/>
        </w:rPr>
      </w:pPr>
      <w:r w:rsidRPr="00BE4AF3">
        <w:rPr>
          <w:rFonts w:ascii="Times New Roman" w:eastAsia="Times New Roman" w:hAnsi="Times New Roman" w:cs="Times New Roman"/>
          <w:bCs/>
          <w:color w:val="000000" w:themeColor="text1"/>
          <w:sz w:val="24"/>
          <w:szCs w:val="24"/>
        </w:rPr>
        <w:t>The publication of the Brundtland Report in 1987 was a defining milestone in the global discourse on sustainability, formally introducing the concept of ‘sustainable development’ as ‘development that meets the needs of the present without compromising the ability of future generations to meet their own needs’ (UNECE, 2006; Kibert, 2005). This definition marked a major shift, broadening the scope beyond environmental concerns to encompass social and economic dimensions, particularly in the context of developing nations.</w:t>
      </w:r>
      <w:r w:rsidRPr="00BE4AF3">
        <w:rPr>
          <w:rFonts w:ascii="Times New Roman" w:eastAsia="Times New Roman" w:hAnsi="Times New Roman" w:cs="Times New Roman"/>
          <w:color w:val="000000" w:themeColor="text1"/>
          <w:sz w:val="24"/>
          <w:szCs w:val="24"/>
        </w:rPr>
        <w:t xml:space="preserve"> </w:t>
      </w:r>
      <w:r w:rsidRPr="007C62BD">
        <w:rPr>
          <w:rFonts w:ascii="Times New Roman" w:hAnsi="Times New Roman" w:cs="Times New Roman"/>
          <w:color w:val="000000" w:themeColor="text1"/>
          <w:sz w:val="24"/>
          <w:szCs w:val="24"/>
        </w:rPr>
        <w:t xml:space="preserve">The </w:t>
      </w:r>
      <w:r w:rsidRPr="007C62BD">
        <w:rPr>
          <w:rStyle w:val="Strong"/>
          <w:rFonts w:ascii="Times New Roman" w:hAnsi="Times New Roman" w:cs="Times New Roman"/>
          <w:b w:val="0"/>
          <w:bCs w:val="0"/>
          <w:color w:val="000000" w:themeColor="text1"/>
          <w:sz w:val="24"/>
          <w:szCs w:val="24"/>
        </w:rPr>
        <w:t>Sustainable Development Goals (SDGs)</w:t>
      </w:r>
      <w:r w:rsidRPr="007C62BD">
        <w:rPr>
          <w:rFonts w:ascii="Times New Roman" w:hAnsi="Times New Roman" w:cs="Times New Roman"/>
          <w:b/>
          <w:bCs/>
          <w:color w:val="000000" w:themeColor="text1"/>
          <w:sz w:val="24"/>
          <w:szCs w:val="24"/>
        </w:rPr>
        <w:t xml:space="preserve"> are </w:t>
      </w:r>
      <w:r w:rsidRPr="007C62BD">
        <w:rPr>
          <w:rFonts w:ascii="Times New Roman" w:hAnsi="Times New Roman" w:cs="Times New Roman"/>
          <w:color w:val="000000" w:themeColor="text1"/>
          <w:sz w:val="24"/>
          <w:szCs w:val="24"/>
        </w:rPr>
        <w:t>a global initiative launched by the</w:t>
      </w:r>
      <w:r w:rsidRPr="007C62BD">
        <w:rPr>
          <w:rFonts w:ascii="Times New Roman" w:hAnsi="Times New Roman" w:cs="Times New Roman"/>
          <w:b/>
          <w:bCs/>
          <w:color w:val="000000" w:themeColor="text1"/>
          <w:sz w:val="24"/>
          <w:szCs w:val="24"/>
        </w:rPr>
        <w:t xml:space="preserve"> </w:t>
      </w:r>
      <w:r w:rsidRPr="007C62BD">
        <w:rPr>
          <w:rStyle w:val="Strong"/>
          <w:rFonts w:ascii="Times New Roman" w:hAnsi="Times New Roman" w:cs="Times New Roman"/>
          <w:b w:val="0"/>
          <w:bCs w:val="0"/>
          <w:color w:val="000000" w:themeColor="text1"/>
          <w:sz w:val="24"/>
          <w:szCs w:val="24"/>
        </w:rPr>
        <w:t>United Nations in 2015</w:t>
      </w:r>
      <w:r w:rsidRPr="007C62BD">
        <w:rPr>
          <w:rFonts w:ascii="Times New Roman" w:hAnsi="Times New Roman" w:cs="Times New Roman"/>
          <w:color w:val="000000" w:themeColor="text1"/>
          <w:sz w:val="24"/>
          <w:szCs w:val="24"/>
        </w:rPr>
        <w:t xml:space="preserve"> as part of the </w:t>
      </w:r>
      <w:r w:rsidRPr="007C62BD">
        <w:rPr>
          <w:rStyle w:val="Strong"/>
          <w:rFonts w:ascii="Times New Roman" w:hAnsi="Times New Roman" w:cs="Times New Roman"/>
          <w:b w:val="0"/>
          <w:bCs w:val="0"/>
          <w:color w:val="000000" w:themeColor="text1"/>
          <w:sz w:val="24"/>
          <w:szCs w:val="24"/>
        </w:rPr>
        <w:t>2030 Agenda for Sustainable Development</w:t>
      </w:r>
      <w:r w:rsidRPr="007C62BD">
        <w:rPr>
          <w:rFonts w:ascii="Times New Roman" w:hAnsi="Times New Roman" w:cs="Times New Roman"/>
          <w:b/>
          <w:bCs/>
          <w:color w:val="000000" w:themeColor="text1"/>
          <w:sz w:val="24"/>
          <w:szCs w:val="24"/>
        </w:rPr>
        <w:t>.</w:t>
      </w:r>
      <w:r w:rsidRPr="007C62BD">
        <w:rPr>
          <w:rFonts w:ascii="Times New Roman" w:hAnsi="Times New Roman" w:cs="Times New Roman"/>
          <w:color w:val="000000" w:themeColor="text1"/>
          <w:sz w:val="24"/>
          <w:szCs w:val="24"/>
        </w:rPr>
        <w:t xml:space="preserve"> According to </w:t>
      </w:r>
      <w:sdt>
        <w:sdtPr>
          <w:rPr>
            <w:rFonts w:ascii="Times New Roman" w:hAnsi="Times New Roman" w:cs="Times New Roman"/>
            <w:color w:val="000000" w:themeColor="text1"/>
            <w:sz w:val="24"/>
            <w:szCs w:val="24"/>
          </w:rPr>
          <w:tag w:val="MENDELEY_CITATION_v3_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"/>
          <w:id w:val="399565294"/>
          <w:placeholder>
            <w:docPart w:val="FAEAC248930B417EAFC92CCCA21CB8A9"/>
          </w:placeholder>
        </w:sdtPr>
        <w:sdtContent>
          <w:r w:rsidRPr="007C62BD">
            <w:rPr>
              <w:rFonts w:ascii="Times New Roman" w:hAnsi="Times New Roman" w:cs="Times New Roman"/>
              <w:color w:val="000000" w:themeColor="text1"/>
              <w:sz w:val="24"/>
              <w:szCs w:val="24"/>
            </w:rPr>
            <w:t xml:space="preserve"> United Nations (2015)</w:t>
          </w:r>
        </w:sdtContent>
      </w:sdt>
      <w:r w:rsidRPr="007C62BD">
        <w:rPr>
          <w:rFonts w:ascii="Times New Roman" w:hAnsi="Times New Roman" w:cs="Times New Roman"/>
          <w:color w:val="000000" w:themeColor="text1"/>
          <w:sz w:val="24"/>
          <w:szCs w:val="24"/>
        </w:rPr>
        <w:t xml:space="preserve">, the SDGs consist of </w:t>
      </w:r>
      <w:r w:rsidRPr="007C62BD">
        <w:rPr>
          <w:rStyle w:val="Strong"/>
          <w:rFonts w:ascii="Times New Roman" w:hAnsi="Times New Roman" w:cs="Times New Roman"/>
          <w:b w:val="0"/>
          <w:bCs w:val="0"/>
          <w:color w:val="000000" w:themeColor="text1"/>
          <w:sz w:val="24"/>
          <w:szCs w:val="24"/>
        </w:rPr>
        <w:t>17 goals</w:t>
      </w:r>
      <w:r w:rsidRPr="007C62BD">
        <w:rPr>
          <w:rFonts w:ascii="Times New Roman" w:hAnsi="Times New Roman" w:cs="Times New Roman"/>
          <w:b/>
          <w:bCs/>
          <w:color w:val="000000" w:themeColor="text1"/>
          <w:sz w:val="24"/>
          <w:szCs w:val="24"/>
        </w:rPr>
        <w:t xml:space="preserve">, </w:t>
      </w:r>
      <w:r w:rsidRPr="007C62BD">
        <w:rPr>
          <w:rStyle w:val="Strong"/>
          <w:rFonts w:ascii="Times New Roman" w:hAnsi="Times New Roman" w:cs="Times New Roman"/>
          <w:b w:val="0"/>
          <w:bCs w:val="0"/>
          <w:color w:val="000000" w:themeColor="text1"/>
          <w:sz w:val="24"/>
          <w:szCs w:val="24"/>
        </w:rPr>
        <w:t>169 associated targets</w:t>
      </w:r>
      <w:r w:rsidRPr="007C62BD">
        <w:rPr>
          <w:rFonts w:ascii="Times New Roman" w:hAnsi="Times New Roman" w:cs="Times New Roman"/>
          <w:b/>
          <w:bCs/>
          <w:color w:val="000000" w:themeColor="text1"/>
          <w:sz w:val="24"/>
          <w:szCs w:val="24"/>
        </w:rPr>
        <w:t xml:space="preserve">, </w:t>
      </w:r>
      <w:r w:rsidRPr="007C62BD">
        <w:rPr>
          <w:rFonts w:ascii="Times New Roman" w:hAnsi="Times New Roman" w:cs="Times New Roman"/>
          <w:color w:val="000000" w:themeColor="text1"/>
          <w:sz w:val="24"/>
          <w:szCs w:val="24"/>
        </w:rPr>
        <w:t>and</w:t>
      </w:r>
      <w:r w:rsidRPr="007C62BD">
        <w:rPr>
          <w:rFonts w:ascii="Times New Roman" w:hAnsi="Times New Roman" w:cs="Times New Roman"/>
          <w:b/>
          <w:bCs/>
          <w:color w:val="000000" w:themeColor="text1"/>
          <w:sz w:val="24"/>
          <w:szCs w:val="24"/>
        </w:rPr>
        <w:t xml:space="preserve"> </w:t>
      </w:r>
      <w:r w:rsidRPr="007C62BD">
        <w:rPr>
          <w:rStyle w:val="Strong"/>
          <w:rFonts w:ascii="Times New Roman" w:hAnsi="Times New Roman" w:cs="Times New Roman"/>
          <w:b w:val="0"/>
          <w:bCs w:val="0"/>
          <w:color w:val="000000" w:themeColor="text1"/>
          <w:sz w:val="24"/>
          <w:szCs w:val="24"/>
        </w:rPr>
        <w:t>231 indicators</w:t>
      </w:r>
      <w:r w:rsidRPr="007C62BD">
        <w:rPr>
          <w:rFonts w:ascii="Times New Roman" w:hAnsi="Times New Roman" w:cs="Times New Roman"/>
          <w:b/>
          <w:bCs/>
          <w:color w:val="000000" w:themeColor="text1"/>
          <w:sz w:val="24"/>
          <w:szCs w:val="24"/>
        </w:rPr>
        <w:t xml:space="preserve"> </w:t>
      </w:r>
      <w:r w:rsidRPr="007C62BD">
        <w:rPr>
          <w:rFonts w:ascii="Times New Roman" w:hAnsi="Times New Roman" w:cs="Times New Roman"/>
          <w:color w:val="000000" w:themeColor="text1"/>
          <w:sz w:val="24"/>
          <w:szCs w:val="24"/>
        </w:rPr>
        <w:t xml:space="preserve">which all countries and stakeholders are committed to achieving. They </w:t>
      </w:r>
      <w:r w:rsidRPr="007C62BD">
        <w:rPr>
          <w:rStyle w:val="Strong"/>
          <w:rFonts w:ascii="Times New Roman" w:hAnsi="Times New Roman" w:cs="Times New Roman"/>
          <w:b w:val="0"/>
          <w:bCs w:val="0"/>
          <w:color w:val="000000" w:themeColor="text1"/>
          <w:sz w:val="24"/>
          <w:szCs w:val="24"/>
        </w:rPr>
        <w:t>provide</w:t>
      </w:r>
      <w:r w:rsidRPr="007C62BD">
        <w:rPr>
          <w:rFonts w:ascii="Times New Roman" w:hAnsi="Times New Roman" w:cs="Times New Roman"/>
          <w:color w:val="000000" w:themeColor="text1"/>
          <w:sz w:val="24"/>
          <w:szCs w:val="24"/>
        </w:rPr>
        <w:t xml:space="preserve"> a compre</w:t>
      </w:r>
      <w:r w:rsidRPr="00BE4AF3">
        <w:rPr>
          <w:rFonts w:ascii="Times New Roman" w:hAnsi="Times New Roman" w:cs="Times New Roman"/>
          <w:color w:val="000000" w:themeColor="text1"/>
          <w:sz w:val="24"/>
          <w:szCs w:val="24"/>
        </w:rPr>
        <w:t xml:space="preserve">hensive framework and </w:t>
      </w:r>
      <w:r w:rsidRPr="00BE4AF3">
        <w:rPr>
          <w:rStyle w:val="Strong"/>
          <w:rFonts w:ascii="Times New Roman" w:hAnsi="Times New Roman" w:cs="Times New Roman"/>
          <w:color w:val="000000" w:themeColor="text1"/>
          <w:sz w:val="24"/>
          <w:szCs w:val="24"/>
        </w:rPr>
        <w:t>serve</w:t>
      </w:r>
      <w:r w:rsidRPr="00BE4AF3">
        <w:rPr>
          <w:rFonts w:ascii="Times New Roman" w:hAnsi="Times New Roman" w:cs="Times New Roman"/>
          <w:b/>
          <w:color w:val="000000" w:themeColor="text1"/>
          <w:sz w:val="24"/>
          <w:szCs w:val="24"/>
        </w:rPr>
        <w:t xml:space="preserve"> </w:t>
      </w:r>
      <w:r w:rsidRPr="00BE4AF3">
        <w:rPr>
          <w:rFonts w:ascii="Times New Roman" w:hAnsi="Times New Roman" w:cs="Times New Roman"/>
          <w:color w:val="000000" w:themeColor="text1"/>
          <w:sz w:val="24"/>
          <w:szCs w:val="24"/>
        </w:rPr>
        <w:t xml:space="preserve">as a universal call to action to protect the planet, reduce poverty, and ensure that people enjoy peace and prosperity </w:t>
      </w:r>
      <w:sdt>
        <w:sdtPr>
          <w:rPr>
            <w:rFonts w:ascii="Times New Roman" w:hAnsi="Times New Roman" w:cs="Times New Roman"/>
            <w:color w:val="000000" w:themeColor="text1"/>
            <w:sz w:val="24"/>
            <w:szCs w:val="24"/>
          </w:rPr>
          <w:tag w:val="MENDELEY_CITATION_v3_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"/>
          <w:id w:val="-978681561"/>
          <w:placeholder>
            <w:docPart w:val="FAEAC248930B417EAFC92CCCA21CB8A9"/>
          </w:placeholder>
        </w:sdtPr>
        <w:sdtContent>
          <w:r w:rsidRPr="00BE4AF3">
            <w:rPr>
              <w:rFonts w:ascii="Times New Roman" w:hAnsi="Times New Roman" w:cs="Times New Roman"/>
              <w:color w:val="000000" w:themeColor="text1"/>
              <w:sz w:val="24"/>
              <w:szCs w:val="24"/>
            </w:rPr>
            <w:t xml:space="preserve">(Kates </w:t>
          </w:r>
          <w:r w:rsidRPr="00BE4AF3">
            <w:rPr>
              <w:rFonts w:ascii="Times New Roman" w:hAnsi="Times New Roman" w:cs="Times New Roman"/>
              <w:i/>
              <w:color w:val="000000" w:themeColor="text1"/>
              <w:sz w:val="24"/>
              <w:szCs w:val="24"/>
            </w:rPr>
            <w:t>et al.,</w:t>
          </w:r>
          <w:r w:rsidRPr="00BE4AF3">
            <w:rPr>
              <w:rFonts w:ascii="Times New Roman" w:hAnsi="Times New Roman" w:cs="Times New Roman"/>
              <w:color w:val="000000" w:themeColor="text1"/>
              <w:sz w:val="24"/>
              <w:szCs w:val="24"/>
            </w:rPr>
            <w:t xml:space="preserve"> </w:t>
          </w:r>
          <w:r w:rsidRPr="00BE4AF3">
            <w:rPr>
              <w:rFonts w:ascii="Times New Roman" w:hAnsi="Times New Roman" w:cs="Times New Roman"/>
              <w:color w:val="000000" w:themeColor="text1"/>
              <w:sz w:val="24"/>
              <w:szCs w:val="24"/>
            </w:rPr>
            <w:lastRenderedPageBreak/>
            <w:t>2005)</w:t>
          </w:r>
        </w:sdtContent>
      </w:sdt>
      <w:r w:rsidRPr="00BE4AF3">
        <w:rPr>
          <w:rFonts w:ascii="Times New Roman" w:hAnsi="Times New Roman" w:cs="Times New Roman"/>
          <w:color w:val="000000" w:themeColor="text1"/>
          <w:sz w:val="24"/>
          <w:szCs w:val="24"/>
        </w:rPr>
        <w:t xml:space="preserve">. These goals are universal in their application, meaning they apply to all countries—developed and developing—and call for concerted action from every segment of society, including governments, businesses, NGOs, and local communities (United Nation, 2015). The targets and indicators support the 17 goals as well as expand on and define them in clearer terms </w:t>
      </w:r>
      <w:r w:rsidRPr="00BE4AF3">
        <w:rPr>
          <w:rFonts w:ascii="Times New Roman" w:hAnsi="Times New Roman" w:cs="Times New Roman"/>
          <w:sz w:val="24"/>
          <w:szCs w:val="24"/>
        </w:rPr>
        <w:t>(Hwang &amp; Kim, n.d)</w:t>
      </w:r>
      <w:r w:rsidRPr="00BE4AF3">
        <w:rPr>
          <w:rFonts w:ascii="Times New Roman" w:hAnsi="Times New Roman" w:cs="Times New Roman"/>
          <w:color w:val="222222"/>
          <w:sz w:val="24"/>
          <w:szCs w:val="24"/>
        </w:rPr>
        <w:t>.</w:t>
      </w:r>
      <w:r w:rsidRPr="00BE4AF3">
        <w:rPr>
          <w:rFonts w:ascii="Times New Roman" w:hAnsi="Times New Roman" w:cs="Times New Roman"/>
          <w:color w:val="000000" w:themeColor="text1"/>
          <w:sz w:val="24"/>
          <w:szCs w:val="24"/>
        </w:rPr>
        <w:t xml:space="preserve"> </w:t>
      </w:r>
    </w:p>
    <w:p w14:paraId="634857D5" w14:textId="77777777" w:rsidR="00F4410D" w:rsidRPr="007C62BD" w:rsidRDefault="00F4410D" w:rsidP="00F4410D">
      <w:pPr>
        <w:spacing w:before="100" w:beforeAutospacing="1" w:after="0" w:line="240" w:lineRule="auto"/>
        <w:jc w:val="center"/>
        <w:rPr>
          <w:rFonts w:ascii="Times New Roman" w:eastAsia="Times New Roman" w:hAnsi="Times New Roman" w:cs="Times New Roman"/>
          <w:sz w:val="24"/>
          <w:szCs w:val="24"/>
        </w:rPr>
      </w:pPr>
      <w:r w:rsidRPr="00BE4AF3">
        <w:rPr>
          <w:rFonts w:ascii="Times New Roman" w:eastAsia="Times New Roman" w:hAnsi="Times New Roman" w:cs="Times New Roman"/>
          <w:b/>
          <w:bCs/>
          <w:sz w:val="24"/>
          <w:szCs w:val="24"/>
        </w:rPr>
        <w:t xml:space="preserve">Table 1: </w:t>
      </w:r>
      <w:r w:rsidRPr="007C62BD">
        <w:rPr>
          <w:rFonts w:ascii="Times New Roman" w:eastAsia="Times New Roman" w:hAnsi="Times New Roman" w:cs="Times New Roman"/>
          <w:sz w:val="24"/>
          <w:szCs w:val="24"/>
        </w:rPr>
        <w:t>SDG 9 Targets &amp; Indicators</w:t>
      </w:r>
    </w:p>
    <w:tbl>
      <w:tblPr>
        <w:tblStyle w:val="ListTable6Colorful"/>
        <w:tblW w:w="0" w:type="auto"/>
        <w:jc w:val="center"/>
        <w:shd w:val="clear" w:color="auto" w:fill="FFFFFF" w:themeFill="background1"/>
        <w:tblLook w:val="04A0" w:firstRow="1" w:lastRow="0" w:firstColumn="1" w:lastColumn="0" w:noHBand="0" w:noVBand="1"/>
      </w:tblPr>
      <w:tblGrid>
        <w:gridCol w:w="721"/>
        <w:gridCol w:w="3957"/>
        <w:gridCol w:w="4095"/>
      </w:tblGrid>
      <w:tr w:rsidR="00F4410D" w:rsidRPr="007C62BD" w14:paraId="6E72F1D1" w14:textId="77777777" w:rsidTr="007C62B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695E73D9" w14:textId="77777777" w:rsidR="00F4410D" w:rsidRPr="007C62BD" w:rsidRDefault="00F4410D" w:rsidP="007C62BD">
            <w:pPr>
              <w:spacing w:after="0" w:line="240" w:lineRule="auto"/>
              <w:jc w:val="center"/>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Target</w:t>
            </w:r>
          </w:p>
        </w:tc>
        <w:tc>
          <w:tcPr>
            <w:tcW w:w="3957" w:type="dxa"/>
            <w:shd w:val="clear" w:color="auto" w:fill="FFFFFF" w:themeFill="background1"/>
            <w:hideMark/>
          </w:tcPr>
          <w:p w14:paraId="678F3421" w14:textId="77777777" w:rsidR="00F4410D" w:rsidRPr="007C62BD" w:rsidRDefault="00F4410D" w:rsidP="007C62B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Description</w:t>
            </w:r>
          </w:p>
        </w:tc>
        <w:tc>
          <w:tcPr>
            <w:tcW w:w="4095" w:type="dxa"/>
            <w:shd w:val="clear" w:color="auto" w:fill="FFFFFF" w:themeFill="background1"/>
            <w:hideMark/>
          </w:tcPr>
          <w:p w14:paraId="7BCFD031" w14:textId="77777777" w:rsidR="00F4410D" w:rsidRPr="007C62BD" w:rsidRDefault="00F4410D" w:rsidP="007C62B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Indicator(s)</w:t>
            </w:r>
          </w:p>
        </w:tc>
      </w:tr>
      <w:tr w:rsidR="00F4410D" w:rsidRPr="007C62BD" w14:paraId="79495E4C" w14:textId="77777777" w:rsidTr="007C62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4AB3CF3E"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9.1</w:t>
            </w:r>
          </w:p>
        </w:tc>
        <w:tc>
          <w:tcPr>
            <w:tcW w:w="3957" w:type="dxa"/>
            <w:shd w:val="clear" w:color="auto" w:fill="FFFFFF" w:themeFill="background1"/>
            <w:hideMark/>
          </w:tcPr>
          <w:p w14:paraId="6F226226"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Develop quality, reliable, sustainable infrastructure to support economic development and human well-being, with fair access for all</w:t>
            </w:r>
          </w:p>
        </w:tc>
        <w:tc>
          <w:tcPr>
            <w:tcW w:w="4095" w:type="dxa"/>
            <w:shd w:val="clear" w:color="auto" w:fill="FFFFFF" w:themeFill="background1"/>
            <w:hideMark/>
          </w:tcPr>
          <w:p w14:paraId="151C49D6"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9.1.1 Proportion of rural population living within 2 km of an all-season road; 9.1.2 Passenger and freight volumes, by mode of transport</w:t>
            </w:r>
          </w:p>
        </w:tc>
      </w:tr>
      <w:tr w:rsidR="00F4410D" w:rsidRPr="007C62BD" w14:paraId="11F4B918" w14:textId="77777777" w:rsidTr="007C62BD">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0EB3755C"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9.2</w:t>
            </w:r>
          </w:p>
        </w:tc>
        <w:tc>
          <w:tcPr>
            <w:tcW w:w="3957" w:type="dxa"/>
            <w:shd w:val="clear" w:color="auto" w:fill="FFFFFF" w:themeFill="background1"/>
            <w:hideMark/>
          </w:tcPr>
          <w:p w14:paraId="15AA05B1"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Promote inclusive and sustainable industrialization and double the share of industry in GDP and employment</w:t>
            </w:r>
          </w:p>
        </w:tc>
        <w:tc>
          <w:tcPr>
            <w:tcW w:w="4095" w:type="dxa"/>
            <w:shd w:val="clear" w:color="auto" w:fill="FFFFFF" w:themeFill="background1"/>
            <w:hideMark/>
          </w:tcPr>
          <w:p w14:paraId="36A924C7"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9.2.1 Manufacturing value added as proportion of GDP and per capita; 9.2.2 Manufacturing employment as proportion of total employment</w:t>
            </w:r>
          </w:p>
        </w:tc>
      </w:tr>
      <w:tr w:rsidR="00F4410D" w:rsidRPr="007C62BD" w14:paraId="18A6A3A5" w14:textId="77777777" w:rsidTr="007C62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746D762D"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9.3</w:t>
            </w:r>
          </w:p>
        </w:tc>
        <w:tc>
          <w:tcPr>
            <w:tcW w:w="3957" w:type="dxa"/>
            <w:shd w:val="clear" w:color="auto" w:fill="FFFFFF" w:themeFill="background1"/>
            <w:hideMark/>
          </w:tcPr>
          <w:p w14:paraId="265B9FD9"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Increase access for small-scale industries to financial services</w:t>
            </w:r>
          </w:p>
        </w:tc>
        <w:tc>
          <w:tcPr>
            <w:tcW w:w="4095" w:type="dxa"/>
            <w:shd w:val="clear" w:color="auto" w:fill="FFFFFF" w:themeFill="background1"/>
            <w:hideMark/>
          </w:tcPr>
          <w:p w14:paraId="24101948"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9.3.1 Proportion of small-scale industries in total industry value added; 9.3.2 Proportion of small-scale industries with a loan or line of credit</w:t>
            </w:r>
          </w:p>
        </w:tc>
      </w:tr>
      <w:tr w:rsidR="00F4410D" w:rsidRPr="007C62BD" w14:paraId="7B302BB7" w14:textId="77777777" w:rsidTr="007C62BD">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4BE0A52B"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9.4</w:t>
            </w:r>
          </w:p>
        </w:tc>
        <w:tc>
          <w:tcPr>
            <w:tcW w:w="3957" w:type="dxa"/>
            <w:shd w:val="clear" w:color="auto" w:fill="FFFFFF" w:themeFill="background1"/>
            <w:hideMark/>
          </w:tcPr>
          <w:p w14:paraId="042D2D41"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Upgrade infrastructure and retrofit industries to enhance sustainability</w:t>
            </w:r>
          </w:p>
        </w:tc>
        <w:tc>
          <w:tcPr>
            <w:tcW w:w="4095" w:type="dxa"/>
            <w:shd w:val="clear" w:color="auto" w:fill="FFFFFF" w:themeFill="background1"/>
            <w:hideMark/>
          </w:tcPr>
          <w:p w14:paraId="542DC6CB"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9.4.1 CO</w:t>
            </w:r>
            <w:r w:rsidRPr="007C62BD">
              <w:rPr>
                <w:rFonts w:ascii="Cambria Math" w:eastAsia="Times New Roman" w:hAnsi="Cambria Math" w:cs="Cambria Math"/>
                <w:sz w:val="20"/>
                <w:szCs w:val="20"/>
              </w:rPr>
              <w:t>₂</w:t>
            </w:r>
            <w:r w:rsidRPr="007C62BD">
              <w:rPr>
                <w:rFonts w:ascii="Times New Roman" w:eastAsia="Times New Roman" w:hAnsi="Times New Roman" w:cs="Times New Roman"/>
                <w:sz w:val="20"/>
                <w:szCs w:val="20"/>
              </w:rPr>
              <w:t xml:space="preserve"> emissions per unit of value added</w:t>
            </w:r>
          </w:p>
        </w:tc>
      </w:tr>
      <w:tr w:rsidR="00F4410D" w:rsidRPr="007C62BD" w14:paraId="1B7DF14F" w14:textId="77777777" w:rsidTr="007C62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020A00BF"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9.5</w:t>
            </w:r>
          </w:p>
        </w:tc>
        <w:tc>
          <w:tcPr>
            <w:tcW w:w="3957" w:type="dxa"/>
            <w:shd w:val="clear" w:color="auto" w:fill="FFFFFF" w:themeFill="background1"/>
            <w:hideMark/>
          </w:tcPr>
          <w:p w14:paraId="54CB5D34"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Enhance R&amp;D and technological capabilities, especially in developing countries</w:t>
            </w:r>
          </w:p>
        </w:tc>
        <w:tc>
          <w:tcPr>
            <w:tcW w:w="4095" w:type="dxa"/>
            <w:shd w:val="clear" w:color="auto" w:fill="FFFFFF" w:themeFill="background1"/>
            <w:hideMark/>
          </w:tcPr>
          <w:p w14:paraId="18C3681D"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 xml:space="preserve">9.5.1 R&amp;D expenditure as a percentage of GDP; 9.5.2 Researchers (FTE) per million inhabitants </w:t>
            </w:r>
          </w:p>
        </w:tc>
      </w:tr>
      <w:tr w:rsidR="00F4410D" w:rsidRPr="007C62BD" w14:paraId="1BE48B80" w14:textId="77777777" w:rsidTr="007C62BD">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499F3632"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9.a</w:t>
            </w:r>
          </w:p>
        </w:tc>
        <w:tc>
          <w:tcPr>
            <w:tcW w:w="3957" w:type="dxa"/>
            <w:shd w:val="clear" w:color="auto" w:fill="FFFFFF" w:themeFill="background1"/>
            <w:hideMark/>
          </w:tcPr>
          <w:p w14:paraId="7BEEF57A"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Raise support for infrastructure development in developing countries</w:t>
            </w:r>
          </w:p>
        </w:tc>
        <w:tc>
          <w:tcPr>
            <w:tcW w:w="4095" w:type="dxa"/>
            <w:shd w:val="clear" w:color="auto" w:fill="FFFFFF" w:themeFill="background1"/>
            <w:hideMark/>
          </w:tcPr>
          <w:p w14:paraId="194C36F1"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9.a.1 Total official international support (ODA + other flows) to infrastructure</w:t>
            </w:r>
          </w:p>
        </w:tc>
      </w:tr>
      <w:tr w:rsidR="00F4410D" w:rsidRPr="007C62BD" w14:paraId="319E74A2" w14:textId="77777777" w:rsidTr="007C62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29C88013"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9.b</w:t>
            </w:r>
          </w:p>
        </w:tc>
        <w:tc>
          <w:tcPr>
            <w:tcW w:w="3957" w:type="dxa"/>
            <w:shd w:val="clear" w:color="auto" w:fill="FFFFFF" w:themeFill="background1"/>
            <w:hideMark/>
          </w:tcPr>
          <w:p w14:paraId="0BE612D3"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Support domestic technology development in industrialization</w:t>
            </w:r>
          </w:p>
        </w:tc>
        <w:tc>
          <w:tcPr>
            <w:tcW w:w="4095" w:type="dxa"/>
            <w:shd w:val="clear" w:color="auto" w:fill="FFFFFF" w:themeFill="background1"/>
            <w:hideMark/>
          </w:tcPr>
          <w:p w14:paraId="146CEBCB"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9.b.1 Proportion of medium- and high-tech industry value added in total value added</w:t>
            </w:r>
          </w:p>
        </w:tc>
      </w:tr>
      <w:tr w:rsidR="00F4410D" w:rsidRPr="007C62BD" w14:paraId="52B69B00" w14:textId="77777777" w:rsidTr="007C62BD">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26ED32EF"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9.c</w:t>
            </w:r>
          </w:p>
        </w:tc>
        <w:tc>
          <w:tcPr>
            <w:tcW w:w="3957" w:type="dxa"/>
            <w:shd w:val="clear" w:color="auto" w:fill="FFFFFF" w:themeFill="background1"/>
            <w:hideMark/>
          </w:tcPr>
          <w:p w14:paraId="74C7CA9F"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Increase access to ICT and mobile networks</w:t>
            </w:r>
          </w:p>
        </w:tc>
        <w:tc>
          <w:tcPr>
            <w:tcW w:w="4095" w:type="dxa"/>
            <w:shd w:val="clear" w:color="auto" w:fill="FFFFFF" w:themeFill="background1"/>
            <w:hideMark/>
          </w:tcPr>
          <w:p w14:paraId="2FB520C3"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9.c.1 Proportion of population covered by a mobile network, by technology</w:t>
            </w:r>
          </w:p>
        </w:tc>
      </w:tr>
    </w:tbl>
    <w:p w14:paraId="426537C0" w14:textId="77777777" w:rsidR="00F4410D" w:rsidRPr="00BE4AF3" w:rsidRDefault="00F4410D" w:rsidP="0034248D">
      <w:pPr>
        <w:spacing w:after="0" w:line="240" w:lineRule="auto"/>
        <w:jc w:val="center"/>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Source: (Based on the UN global indicator framework)</w:t>
      </w:r>
    </w:p>
    <w:p w14:paraId="4018980B" w14:textId="77777777" w:rsidR="00F4410D" w:rsidRPr="00BE4AF3" w:rsidRDefault="00F4410D" w:rsidP="00F4410D">
      <w:pPr>
        <w:spacing w:before="100" w:beforeAutospacing="1" w:after="0" w:line="240" w:lineRule="auto"/>
        <w:jc w:val="center"/>
        <w:rPr>
          <w:rFonts w:ascii="Times New Roman" w:eastAsia="Times New Roman" w:hAnsi="Times New Roman" w:cs="Times New Roman"/>
          <w:sz w:val="24"/>
          <w:szCs w:val="24"/>
        </w:rPr>
      </w:pPr>
      <w:r w:rsidRPr="00BE4AF3">
        <w:rPr>
          <w:rFonts w:ascii="Times New Roman" w:eastAsia="Times New Roman" w:hAnsi="Times New Roman" w:cs="Times New Roman"/>
          <w:b/>
          <w:bCs/>
          <w:sz w:val="24"/>
          <w:szCs w:val="24"/>
        </w:rPr>
        <w:t xml:space="preserve">Table 3: </w:t>
      </w:r>
      <w:r w:rsidRPr="007C62BD">
        <w:rPr>
          <w:rFonts w:ascii="Times New Roman" w:eastAsia="Times New Roman" w:hAnsi="Times New Roman" w:cs="Times New Roman"/>
          <w:sz w:val="24"/>
          <w:szCs w:val="24"/>
        </w:rPr>
        <w:t>SDG 11 Targets &amp; Indicators</w:t>
      </w:r>
    </w:p>
    <w:tbl>
      <w:tblPr>
        <w:tblStyle w:val="ListTable6Colorful"/>
        <w:tblW w:w="0" w:type="auto"/>
        <w:jc w:val="center"/>
        <w:shd w:val="clear" w:color="auto" w:fill="FFFFFF" w:themeFill="background1"/>
        <w:tblLook w:val="04A0" w:firstRow="1" w:lastRow="0" w:firstColumn="1" w:lastColumn="0" w:noHBand="0" w:noVBand="1"/>
      </w:tblPr>
      <w:tblGrid>
        <w:gridCol w:w="721"/>
        <w:gridCol w:w="3532"/>
        <w:gridCol w:w="4818"/>
      </w:tblGrid>
      <w:tr w:rsidR="00F4410D" w:rsidRPr="007C62BD" w14:paraId="3FA0AA94" w14:textId="77777777" w:rsidTr="007C62B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0A8DA8EE" w14:textId="77777777" w:rsidR="00F4410D" w:rsidRPr="007C62BD" w:rsidRDefault="00F4410D" w:rsidP="007C62BD">
            <w:pPr>
              <w:spacing w:after="0" w:line="240" w:lineRule="auto"/>
              <w:jc w:val="center"/>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Target</w:t>
            </w:r>
          </w:p>
        </w:tc>
        <w:tc>
          <w:tcPr>
            <w:tcW w:w="3532" w:type="dxa"/>
            <w:shd w:val="clear" w:color="auto" w:fill="FFFFFF" w:themeFill="background1"/>
            <w:hideMark/>
          </w:tcPr>
          <w:p w14:paraId="77965826" w14:textId="77777777" w:rsidR="00F4410D" w:rsidRPr="007C62BD" w:rsidRDefault="00F4410D" w:rsidP="007C62B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Description</w:t>
            </w:r>
          </w:p>
        </w:tc>
        <w:tc>
          <w:tcPr>
            <w:tcW w:w="4818" w:type="dxa"/>
            <w:shd w:val="clear" w:color="auto" w:fill="FFFFFF" w:themeFill="background1"/>
            <w:hideMark/>
          </w:tcPr>
          <w:p w14:paraId="5DC091A7" w14:textId="77777777" w:rsidR="00F4410D" w:rsidRPr="007C62BD" w:rsidRDefault="00F4410D" w:rsidP="007C62B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Indicator(s)</w:t>
            </w:r>
          </w:p>
        </w:tc>
      </w:tr>
      <w:tr w:rsidR="00F4410D" w:rsidRPr="007C62BD" w14:paraId="585D8F00" w14:textId="77777777" w:rsidTr="007C62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11BCD3B9"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11.1</w:t>
            </w:r>
          </w:p>
        </w:tc>
        <w:tc>
          <w:tcPr>
            <w:tcW w:w="3532" w:type="dxa"/>
            <w:shd w:val="clear" w:color="auto" w:fill="FFFFFF" w:themeFill="background1"/>
            <w:hideMark/>
          </w:tcPr>
          <w:p w14:paraId="14131F86"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Ensure access to adequate, safe, affordable housing and basic services; upgrade slums</w:t>
            </w:r>
          </w:p>
        </w:tc>
        <w:tc>
          <w:tcPr>
            <w:tcW w:w="4818" w:type="dxa"/>
            <w:shd w:val="clear" w:color="auto" w:fill="FFFFFF" w:themeFill="background1"/>
            <w:hideMark/>
          </w:tcPr>
          <w:p w14:paraId="3CAD1DD0"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11.1.1 Proportion of urban population living in slums, informal settlements, or inadequate housing</w:t>
            </w:r>
          </w:p>
        </w:tc>
      </w:tr>
      <w:tr w:rsidR="00F4410D" w:rsidRPr="007C62BD" w14:paraId="4667BCBD" w14:textId="77777777" w:rsidTr="007C62BD">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1843D60F"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11.2</w:t>
            </w:r>
          </w:p>
        </w:tc>
        <w:tc>
          <w:tcPr>
            <w:tcW w:w="3532" w:type="dxa"/>
            <w:shd w:val="clear" w:color="auto" w:fill="FFFFFF" w:themeFill="background1"/>
            <w:hideMark/>
          </w:tcPr>
          <w:p w14:paraId="7D77B5DE"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Provide access to safe, accessible, affordable, sustainable transport systems</w:t>
            </w:r>
          </w:p>
        </w:tc>
        <w:tc>
          <w:tcPr>
            <w:tcW w:w="4818" w:type="dxa"/>
            <w:shd w:val="clear" w:color="auto" w:fill="FFFFFF" w:themeFill="background1"/>
            <w:hideMark/>
          </w:tcPr>
          <w:p w14:paraId="7488FD3B"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11.2.1 Proportion of population with convenient access to public transport, by sex, age, disability status</w:t>
            </w:r>
          </w:p>
        </w:tc>
      </w:tr>
      <w:tr w:rsidR="00F4410D" w:rsidRPr="007C62BD" w14:paraId="60864024" w14:textId="77777777" w:rsidTr="007C62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14C085B1"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11.3</w:t>
            </w:r>
          </w:p>
        </w:tc>
        <w:tc>
          <w:tcPr>
            <w:tcW w:w="3532" w:type="dxa"/>
            <w:shd w:val="clear" w:color="auto" w:fill="FFFFFF" w:themeFill="background1"/>
            <w:hideMark/>
          </w:tcPr>
          <w:p w14:paraId="38D58169"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Enhance inclusive, sustainable urbanization through participatory planning</w:t>
            </w:r>
          </w:p>
        </w:tc>
        <w:tc>
          <w:tcPr>
            <w:tcW w:w="4818" w:type="dxa"/>
            <w:shd w:val="clear" w:color="auto" w:fill="FFFFFF" w:themeFill="background1"/>
            <w:hideMark/>
          </w:tcPr>
          <w:p w14:paraId="71D27621"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 xml:space="preserve">11.3.1 Ratio of land consumption rate to population growth rate; </w:t>
            </w:r>
          </w:p>
          <w:p w14:paraId="320AB9CA"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11.3.2 Proportion of cities with democratic civil society participation in planning</w:t>
            </w:r>
          </w:p>
        </w:tc>
      </w:tr>
      <w:tr w:rsidR="00F4410D" w:rsidRPr="007C62BD" w14:paraId="05208959" w14:textId="77777777" w:rsidTr="007C62BD">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1957830A"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11.4</w:t>
            </w:r>
          </w:p>
        </w:tc>
        <w:tc>
          <w:tcPr>
            <w:tcW w:w="3532" w:type="dxa"/>
            <w:shd w:val="clear" w:color="auto" w:fill="FFFFFF" w:themeFill="background1"/>
            <w:hideMark/>
          </w:tcPr>
          <w:p w14:paraId="4D4AE7EE"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Strengthen efforts to protect cultural and natural heritage</w:t>
            </w:r>
          </w:p>
        </w:tc>
        <w:tc>
          <w:tcPr>
            <w:tcW w:w="4818" w:type="dxa"/>
            <w:shd w:val="clear" w:color="auto" w:fill="FFFFFF" w:themeFill="background1"/>
            <w:hideMark/>
          </w:tcPr>
          <w:p w14:paraId="4DB0725F"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11.4.1 Total per capita expenditure on preservation of cultural and natural heritage, by funding source and government level</w:t>
            </w:r>
          </w:p>
        </w:tc>
      </w:tr>
      <w:tr w:rsidR="00F4410D" w:rsidRPr="007C62BD" w14:paraId="01D03D1A" w14:textId="77777777" w:rsidTr="007C62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4C41BED9"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11.5</w:t>
            </w:r>
          </w:p>
        </w:tc>
        <w:tc>
          <w:tcPr>
            <w:tcW w:w="3532" w:type="dxa"/>
            <w:shd w:val="clear" w:color="auto" w:fill="FFFFFF" w:themeFill="background1"/>
            <w:hideMark/>
          </w:tcPr>
          <w:p w14:paraId="1143686C"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Significantly reduce death toll, affected persons, and economic losses from disasters</w:t>
            </w:r>
          </w:p>
        </w:tc>
        <w:tc>
          <w:tcPr>
            <w:tcW w:w="4818" w:type="dxa"/>
            <w:shd w:val="clear" w:color="auto" w:fill="FFFFFF" w:themeFill="background1"/>
            <w:hideMark/>
          </w:tcPr>
          <w:p w14:paraId="6209A5B0"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 xml:space="preserve">11.5.1 Number of deaths, missing persons, directly affected persons per 100,000; </w:t>
            </w:r>
          </w:p>
          <w:p w14:paraId="27264275"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11.5.2 Direct economic loss relative to global GDP, including damage to infrastructure</w:t>
            </w:r>
          </w:p>
        </w:tc>
      </w:tr>
      <w:tr w:rsidR="00F4410D" w:rsidRPr="007C62BD" w14:paraId="1F0AC1F8" w14:textId="77777777" w:rsidTr="007C62BD">
        <w:trPr>
          <w:jc w:val="center"/>
        </w:trPr>
        <w:tc>
          <w:tcPr>
            <w:cnfStyle w:val="001000000000" w:firstRow="0" w:lastRow="0" w:firstColumn="1" w:lastColumn="0" w:oddVBand="0" w:evenVBand="0" w:oddHBand="0" w:evenHBand="0" w:firstRowFirstColumn="0" w:firstRowLastColumn="0" w:lastRowFirstColumn="0" w:lastRowLastColumn="0"/>
            <w:tcW w:w="0" w:type="auto"/>
            <w:tcBorders>
              <w:bottom w:val="nil"/>
            </w:tcBorders>
            <w:shd w:val="clear" w:color="auto" w:fill="FFFFFF" w:themeFill="background1"/>
            <w:hideMark/>
          </w:tcPr>
          <w:p w14:paraId="2CC4C392"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11.6</w:t>
            </w:r>
          </w:p>
        </w:tc>
        <w:tc>
          <w:tcPr>
            <w:tcW w:w="3532" w:type="dxa"/>
            <w:tcBorders>
              <w:bottom w:val="nil"/>
            </w:tcBorders>
            <w:shd w:val="clear" w:color="auto" w:fill="FFFFFF" w:themeFill="background1"/>
            <w:hideMark/>
          </w:tcPr>
          <w:p w14:paraId="138F8991"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Reduce adverse environmental impact of cities, focusing on air quality and waste management</w:t>
            </w:r>
          </w:p>
        </w:tc>
        <w:tc>
          <w:tcPr>
            <w:tcW w:w="4818" w:type="dxa"/>
            <w:tcBorders>
              <w:bottom w:val="nil"/>
            </w:tcBorders>
            <w:shd w:val="clear" w:color="auto" w:fill="FFFFFF" w:themeFill="background1"/>
            <w:hideMark/>
          </w:tcPr>
          <w:p w14:paraId="049D3BC6"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11.6.1 Proportion of municipal solid waste collected and managed in controlled facilities; 11.6.2 Annual mean levels of PM</w:t>
            </w:r>
            <w:r w:rsidRPr="007C62BD">
              <w:rPr>
                <w:rFonts w:ascii="Cambria Math" w:eastAsia="Times New Roman" w:hAnsi="Cambria Math" w:cs="Cambria Math"/>
                <w:sz w:val="20"/>
                <w:szCs w:val="20"/>
              </w:rPr>
              <w:t>₂</w:t>
            </w:r>
            <w:r w:rsidRPr="007C62BD">
              <w:rPr>
                <w:rFonts w:ascii="Times New Roman" w:eastAsia="Times New Roman" w:hAnsi="Times New Roman" w:cs="Times New Roman"/>
                <w:sz w:val="20"/>
                <w:szCs w:val="20"/>
              </w:rPr>
              <w:t>.</w:t>
            </w:r>
            <w:r w:rsidRPr="007C62BD">
              <w:rPr>
                <w:rFonts w:ascii="Cambria Math" w:eastAsia="Times New Roman" w:hAnsi="Cambria Math" w:cs="Cambria Math"/>
                <w:sz w:val="20"/>
                <w:szCs w:val="20"/>
              </w:rPr>
              <w:t>₅</w:t>
            </w:r>
            <w:r w:rsidRPr="007C62BD">
              <w:rPr>
                <w:rFonts w:ascii="Times New Roman" w:eastAsia="Times New Roman" w:hAnsi="Times New Roman" w:cs="Times New Roman"/>
                <w:sz w:val="20"/>
                <w:szCs w:val="20"/>
              </w:rPr>
              <w:t xml:space="preserve"> / PM</w:t>
            </w:r>
            <w:r w:rsidRPr="007C62BD">
              <w:rPr>
                <w:rFonts w:ascii="Cambria Math" w:eastAsia="Times New Roman" w:hAnsi="Cambria Math" w:cs="Cambria Math"/>
                <w:sz w:val="20"/>
                <w:szCs w:val="20"/>
              </w:rPr>
              <w:t>₁₀</w:t>
            </w:r>
            <w:r w:rsidRPr="007C62BD">
              <w:rPr>
                <w:rFonts w:ascii="Times New Roman" w:eastAsia="Times New Roman" w:hAnsi="Times New Roman" w:cs="Times New Roman"/>
                <w:sz w:val="20"/>
                <w:szCs w:val="20"/>
              </w:rPr>
              <w:t xml:space="preserve"> in cities (population-weighted)</w:t>
            </w:r>
          </w:p>
        </w:tc>
      </w:tr>
      <w:tr w:rsidR="00F4410D" w:rsidRPr="007C62BD" w14:paraId="45E9E239" w14:textId="77777777" w:rsidTr="007C62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FFFFFF" w:themeFill="background1"/>
            <w:hideMark/>
          </w:tcPr>
          <w:p w14:paraId="7AC012EB"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11.7</w:t>
            </w:r>
          </w:p>
        </w:tc>
        <w:tc>
          <w:tcPr>
            <w:tcW w:w="3532" w:type="dxa"/>
            <w:tcBorders>
              <w:top w:val="nil"/>
              <w:bottom w:val="nil"/>
            </w:tcBorders>
            <w:shd w:val="clear" w:color="auto" w:fill="FFFFFF" w:themeFill="background1"/>
            <w:hideMark/>
          </w:tcPr>
          <w:p w14:paraId="35A2BAAE"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Provide universal access to safe, inclusive, green, public spaces</w:t>
            </w:r>
          </w:p>
        </w:tc>
        <w:tc>
          <w:tcPr>
            <w:tcW w:w="4818" w:type="dxa"/>
            <w:tcBorders>
              <w:top w:val="nil"/>
              <w:bottom w:val="nil"/>
            </w:tcBorders>
            <w:shd w:val="clear" w:color="auto" w:fill="FFFFFF" w:themeFill="background1"/>
            <w:hideMark/>
          </w:tcPr>
          <w:p w14:paraId="3EE0820C"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 xml:space="preserve">11.7.1 Average share of built-up urban area that is open public space, by sex, age, disability; 11.7.2 Proportion of </w:t>
            </w:r>
            <w:r w:rsidRPr="007C62BD">
              <w:rPr>
                <w:rFonts w:ascii="Times New Roman" w:eastAsia="Times New Roman" w:hAnsi="Times New Roman" w:cs="Times New Roman"/>
                <w:sz w:val="20"/>
                <w:szCs w:val="20"/>
              </w:rPr>
              <w:lastRenderedPageBreak/>
              <w:t>persons victim of physical or sexual harassment, by sex, age, disability, and place</w:t>
            </w:r>
          </w:p>
        </w:tc>
      </w:tr>
      <w:tr w:rsidR="00F4410D" w:rsidRPr="007C62BD" w14:paraId="684F944C" w14:textId="77777777" w:rsidTr="007C62BD">
        <w:trPr>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tcBorders>
            <w:shd w:val="clear" w:color="auto" w:fill="FFFFFF" w:themeFill="background1"/>
            <w:hideMark/>
          </w:tcPr>
          <w:p w14:paraId="389872B5"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lastRenderedPageBreak/>
              <w:t>11.a</w:t>
            </w:r>
          </w:p>
        </w:tc>
        <w:tc>
          <w:tcPr>
            <w:tcW w:w="3532" w:type="dxa"/>
            <w:tcBorders>
              <w:top w:val="nil"/>
            </w:tcBorders>
            <w:shd w:val="clear" w:color="auto" w:fill="FFFFFF" w:themeFill="background1"/>
            <w:hideMark/>
          </w:tcPr>
          <w:p w14:paraId="4B7566F7"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Support regional development planning linking urban and rural areas</w:t>
            </w:r>
          </w:p>
        </w:tc>
        <w:tc>
          <w:tcPr>
            <w:tcW w:w="4818" w:type="dxa"/>
            <w:tcBorders>
              <w:top w:val="nil"/>
            </w:tcBorders>
            <w:shd w:val="clear" w:color="auto" w:fill="FFFFFF" w:themeFill="background1"/>
            <w:hideMark/>
          </w:tcPr>
          <w:p w14:paraId="71FBEA11"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 xml:space="preserve">11.a.1 Number of countries with national/regional urban policies that respond to population dynamics, ensure territorial balance, and increase fiscal space </w:t>
            </w:r>
          </w:p>
        </w:tc>
      </w:tr>
      <w:tr w:rsidR="00F4410D" w:rsidRPr="007C62BD" w14:paraId="726BA971" w14:textId="77777777" w:rsidTr="007C62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4FF906D8"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11.b</w:t>
            </w:r>
          </w:p>
        </w:tc>
        <w:tc>
          <w:tcPr>
            <w:tcW w:w="3532" w:type="dxa"/>
            <w:shd w:val="clear" w:color="auto" w:fill="FFFFFF" w:themeFill="background1"/>
            <w:hideMark/>
          </w:tcPr>
          <w:p w14:paraId="1F886124"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Increase adoption of integrated urban policies and disaster risk management aligned with the Sendai Framework</w:t>
            </w:r>
          </w:p>
        </w:tc>
        <w:tc>
          <w:tcPr>
            <w:tcW w:w="4818" w:type="dxa"/>
            <w:shd w:val="clear" w:color="auto" w:fill="FFFFFF" w:themeFill="background1"/>
            <w:hideMark/>
          </w:tcPr>
          <w:p w14:paraId="4E035F4B"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11.b.1 Number of countries adopting national DRR strategies; 11.b.2 Proportion of local governments implementing local DRR strategies</w:t>
            </w:r>
          </w:p>
        </w:tc>
      </w:tr>
      <w:tr w:rsidR="00F4410D" w:rsidRPr="007C62BD" w14:paraId="6FFED531" w14:textId="77777777" w:rsidTr="007C62BD">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27505527"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11.c</w:t>
            </w:r>
          </w:p>
        </w:tc>
        <w:tc>
          <w:tcPr>
            <w:tcW w:w="3532" w:type="dxa"/>
            <w:shd w:val="clear" w:color="auto" w:fill="FFFFFF" w:themeFill="background1"/>
            <w:hideMark/>
          </w:tcPr>
          <w:p w14:paraId="4FDF91CF"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Support LDCs in building sustainable, local-material-based buildings</w:t>
            </w:r>
          </w:p>
        </w:tc>
        <w:tc>
          <w:tcPr>
            <w:tcW w:w="4818" w:type="dxa"/>
            <w:shd w:val="clear" w:color="auto" w:fill="FFFFFF" w:themeFill="background1"/>
            <w:hideMark/>
          </w:tcPr>
          <w:p w14:paraId="4EE98778"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 xml:space="preserve">11.c.1 No suitable global indicator developed yet—under review for 2025 framework </w:t>
            </w:r>
          </w:p>
        </w:tc>
      </w:tr>
    </w:tbl>
    <w:p w14:paraId="1E45A766" w14:textId="77777777" w:rsidR="00F4410D" w:rsidRPr="00BE4AF3" w:rsidRDefault="00F4410D" w:rsidP="0034248D">
      <w:pPr>
        <w:spacing w:after="0" w:line="240" w:lineRule="auto"/>
        <w:jc w:val="center"/>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Source: (Based on the UN global indicator framework)</w:t>
      </w:r>
    </w:p>
    <w:p w14:paraId="7133AB6D" w14:textId="77777777" w:rsidR="00F4410D" w:rsidRPr="007C62BD" w:rsidRDefault="00F4410D" w:rsidP="00F4410D">
      <w:pPr>
        <w:spacing w:before="100" w:beforeAutospacing="1" w:after="0" w:line="240" w:lineRule="auto"/>
        <w:jc w:val="center"/>
        <w:rPr>
          <w:rFonts w:ascii="Times New Roman" w:eastAsia="Times New Roman" w:hAnsi="Times New Roman" w:cs="Times New Roman"/>
          <w:sz w:val="24"/>
          <w:szCs w:val="24"/>
        </w:rPr>
      </w:pPr>
      <w:r w:rsidRPr="00BE4AF3">
        <w:rPr>
          <w:rFonts w:ascii="Times New Roman" w:eastAsia="Times New Roman" w:hAnsi="Times New Roman" w:cs="Times New Roman"/>
          <w:b/>
          <w:bCs/>
          <w:sz w:val="24"/>
          <w:szCs w:val="24"/>
        </w:rPr>
        <w:t xml:space="preserve">Table 3: </w:t>
      </w:r>
      <w:r w:rsidRPr="007C62BD">
        <w:rPr>
          <w:rFonts w:ascii="Times New Roman" w:eastAsia="Times New Roman" w:hAnsi="Times New Roman" w:cs="Times New Roman"/>
          <w:sz w:val="24"/>
          <w:szCs w:val="24"/>
        </w:rPr>
        <w:t>SDG 12 Targets &amp; Indicators</w:t>
      </w:r>
    </w:p>
    <w:tbl>
      <w:tblPr>
        <w:tblStyle w:val="ListTable6Colorful"/>
        <w:tblW w:w="0" w:type="auto"/>
        <w:jc w:val="center"/>
        <w:shd w:val="clear" w:color="auto" w:fill="FFFFFF" w:themeFill="background1"/>
        <w:tblLook w:val="04A0" w:firstRow="1" w:lastRow="0" w:firstColumn="1" w:lastColumn="0" w:noHBand="0" w:noVBand="1"/>
      </w:tblPr>
      <w:tblGrid>
        <w:gridCol w:w="721"/>
        <w:gridCol w:w="3815"/>
        <w:gridCol w:w="4584"/>
      </w:tblGrid>
      <w:tr w:rsidR="00F4410D" w:rsidRPr="007C62BD" w14:paraId="7E205FB2" w14:textId="77777777" w:rsidTr="00E73A3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6644575A" w14:textId="77777777" w:rsidR="00F4410D" w:rsidRPr="007C62BD" w:rsidRDefault="00F4410D" w:rsidP="007C62BD">
            <w:pPr>
              <w:spacing w:after="0" w:line="240" w:lineRule="auto"/>
              <w:jc w:val="center"/>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Target</w:t>
            </w:r>
          </w:p>
        </w:tc>
        <w:tc>
          <w:tcPr>
            <w:tcW w:w="3815" w:type="dxa"/>
            <w:shd w:val="clear" w:color="auto" w:fill="FFFFFF" w:themeFill="background1"/>
            <w:hideMark/>
          </w:tcPr>
          <w:p w14:paraId="66D8011E" w14:textId="77777777" w:rsidR="00F4410D" w:rsidRPr="007C62BD" w:rsidRDefault="00F4410D" w:rsidP="007C62B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Description</w:t>
            </w:r>
          </w:p>
        </w:tc>
        <w:tc>
          <w:tcPr>
            <w:tcW w:w="4584" w:type="dxa"/>
            <w:shd w:val="clear" w:color="auto" w:fill="FFFFFF" w:themeFill="background1"/>
            <w:hideMark/>
          </w:tcPr>
          <w:p w14:paraId="07AFCB8C" w14:textId="77777777" w:rsidR="00F4410D" w:rsidRPr="007C62BD" w:rsidRDefault="00F4410D" w:rsidP="007C62B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Indicator(s)</w:t>
            </w:r>
          </w:p>
        </w:tc>
      </w:tr>
      <w:tr w:rsidR="00F4410D" w:rsidRPr="007C62BD" w14:paraId="54320EC0" w14:textId="77777777" w:rsidTr="00E73A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3B042574"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12.1</w:t>
            </w:r>
          </w:p>
        </w:tc>
        <w:tc>
          <w:tcPr>
            <w:tcW w:w="3815" w:type="dxa"/>
            <w:shd w:val="clear" w:color="auto" w:fill="FFFFFF" w:themeFill="background1"/>
            <w:hideMark/>
          </w:tcPr>
          <w:p w14:paraId="291D9B4C"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Implement the 10-Year Framework for sustainable consumption and production</w:t>
            </w:r>
          </w:p>
        </w:tc>
        <w:tc>
          <w:tcPr>
            <w:tcW w:w="4584" w:type="dxa"/>
            <w:shd w:val="clear" w:color="auto" w:fill="FFFFFF" w:themeFill="background1"/>
            <w:hideMark/>
          </w:tcPr>
          <w:p w14:paraId="6FDB8960"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12.1.1 Number of countries implementing SCP policy instruments</w:t>
            </w:r>
          </w:p>
        </w:tc>
      </w:tr>
      <w:tr w:rsidR="00F4410D" w:rsidRPr="007C62BD" w14:paraId="666E4083" w14:textId="77777777" w:rsidTr="00E73A3A">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1F6CC4BA"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12.2</w:t>
            </w:r>
          </w:p>
        </w:tc>
        <w:tc>
          <w:tcPr>
            <w:tcW w:w="3815" w:type="dxa"/>
            <w:shd w:val="clear" w:color="auto" w:fill="FFFFFF" w:themeFill="background1"/>
            <w:hideMark/>
          </w:tcPr>
          <w:p w14:paraId="2AC3D968"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Achieve sustainable management and efficient use of natural resources</w:t>
            </w:r>
          </w:p>
        </w:tc>
        <w:tc>
          <w:tcPr>
            <w:tcW w:w="4584" w:type="dxa"/>
            <w:shd w:val="clear" w:color="auto" w:fill="FFFFFF" w:themeFill="background1"/>
            <w:hideMark/>
          </w:tcPr>
          <w:p w14:paraId="36782959"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 xml:space="preserve">12.2.1 Material footprint (total, per capita, per GDP); </w:t>
            </w:r>
          </w:p>
          <w:p w14:paraId="3AD70882"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12.2.2 Domestic material consumption (total, per capita, per GDP)</w:t>
            </w:r>
          </w:p>
        </w:tc>
      </w:tr>
      <w:tr w:rsidR="00F4410D" w:rsidRPr="007C62BD" w14:paraId="0E6CB38E" w14:textId="77777777" w:rsidTr="00E73A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2EADC0E6"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12.3</w:t>
            </w:r>
          </w:p>
        </w:tc>
        <w:tc>
          <w:tcPr>
            <w:tcW w:w="3815" w:type="dxa"/>
            <w:shd w:val="clear" w:color="auto" w:fill="FFFFFF" w:themeFill="background1"/>
            <w:hideMark/>
          </w:tcPr>
          <w:p w14:paraId="5ACE1331"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Halve per capita food waste and reduce losses along supply chains</w:t>
            </w:r>
          </w:p>
        </w:tc>
        <w:tc>
          <w:tcPr>
            <w:tcW w:w="4584" w:type="dxa"/>
            <w:shd w:val="clear" w:color="auto" w:fill="FFFFFF" w:themeFill="background1"/>
            <w:hideMark/>
          </w:tcPr>
          <w:p w14:paraId="2EC31E43"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12.3.1 Food loss index and food waste index</w:t>
            </w:r>
          </w:p>
        </w:tc>
      </w:tr>
      <w:tr w:rsidR="00F4410D" w:rsidRPr="007C62BD" w14:paraId="3B7465BD" w14:textId="77777777" w:rsidTr="00E73A3A">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7B30FF70"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12.4</w:t>
            </w:r>
          </w:p>
        </w:tc>
        <w:tc>
          <w:tcPr>
            <w:tcW w:w="3815" w:type="dxa"/>
            <w:shd w:val="clear" w:color="auto" w:fill="FFFFFF" w:themeFill="background1"/>
            <w:hideMark/>
          </w:tcPr>
          <w:p w14:paraId="21C45603"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Manage chemicals and waste throughout lifecycle</w:t>
            </w:r>
          </w:p>
        </w:tc>
        <w:tc>
          <w:tcPr>
            <w:tcW w:w="4584" w:type="dxa"/>
            <w:shd w:val="clear" w:color="auto" w:fill="FFFFFF" w:themeFill="background1"/>
            <w:hideMark/>
          </w:tcPr>
          <w:p w14:paraId="04248158"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 xml:space="preserve">12.4.1 Number of parties to waste/chemical agreements meeting reporting obligations; </w:t>
            </w:r>
          </w:p>
          <w:p w14:paraId="0782AEB1"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12.4.2 Hazardous waste generated per capita &amp; proportion properly treated</w:t>
            </w:r>
          </w:p>
        </w:tc>
      </w:tr>
      <w:tr w:rsidR="00F4410D" w:rsidRPr="007C62BD" w14:paraId="0F8EC597" w14:textId="77777777" w:rsidTr="00E73A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7B6FC84B"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12.5</w:t>
            </w:r>
          </w:p>
        </w:tc>
        <w:tc>
          <w:tcPr>
            <w:tcW w:w="3815" w:type="dxa"/>
            <w:shd w:val="clear" w:color="auto" w:fill="FFFFFF" w:themeFill="background1"/>
            <w:hideMark/>
          </w:tcPr>
          <w:p w14:paraId="0A63CDC6"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Substantially reduce waste generation through prevention, recycling, reuse</w:t>
            </w:r>
          </w:p>
        </w:tc>
        <w:tc>
          <w:tcPr>
            <w:tcW w:w="4584" w:type="dxa"/>
            <w:shd w:val="clear" w:color="auto" w:fill="FFFFFF" w:themeFill="background1"/>
            <w:hideMark/>
          </w:tcPr>
          <w:p w14:paraId="31D9E764"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12.5.1 National recycling rate (tons recycled)</w:t>
            </w:r>
          </w:p>
        </w:tc>
      </w:tr>
      <w:tr w:rsidR="00F4410D" w:rsidRPr="007C62BD" w14:paraId="0D89F294" w14:textId="77777777" w:rsidTr="00E73A3A">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733EF8A9"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12.6</w:t>
            </w:r>
          </w:p>
        </w:tc>
        <w:tc>
          <w:tcPr>
            <w:tcW w:w="3815" w:type="dxa"/>
            <w:shd w:val="clear" w:color="auto" w:fill="FFFFFF" w:themeFill="background1"/>
            <w:hideMark/>
          </w:tcPr>
          <w:p w14:paraId="51D65E2F"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Encourage corporate sustainability reporting</w:t>
            </w:r>
          </w:p>
        </w:tc>
        <w:tc>
          <w:tcPr>
            <w:tcW w:w="4584" w:type="dxa"/>
            <w:shd w:val="clear" w:color="auto" w:fill="FFFFFF" w:themeFill="background1"/>
            <w:hideMark/>
          </w:tcPr>
          <w:p w14:paraId="27E81568"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12.6.1 Number of companies publishing sustainability reports</w:t>
            </w:r>
          </w:p>
        </w:tc>
      </w:tr>
      <w:tr w:rsidR="00F4410D" w:rsidRPr="007C62BD" w14:paraId="242A8CED" w14:textId="77777777" w:rsidTr="00E73A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002BC94C"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12.7</w:t>
            </w:r>
          </w:p>
        </w:tc>
        <w:tc>
          <w:tcPr>
            <w:tcW w:w="3815" w:type="dxa"/>
            <w:shd w:val="clear" w:color="auto" w:fill="FFFFFF" w:themeFill="background1"/>
            <w:hideMark/>
          </w:tcPr>
          <w:p w14:paraId="2AD61E8F"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Promote sustainable public procurement</w:t>
            </w:r>
          </w:p>
        </w:tc>
        <w:tc>
          <w:tcPr>
            <w:tcW w:w="4584" w:type="dxa"/>
            <w:shd w:val="clear" w:color="auto" w:fill="FFFFFF" w:themeFill="background1"/>
            <w:hideMark/>
          </w:tcPr>
          <w:p w14:paraId="735F2565"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12.7.1 Number of countries implementing sustainable procurement policies and plans</w:t>
            </w:r>
          </w:p>
        </w:tc>
      </w:tr>
      <w:tr w:rsidR="00F4410D" w:rsidRPr="007C62BD" w14:paraId="4DE292D1" w14:textId="77777777" w:rsidTr="00E73A3A">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0F6D360B"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12.8</w:t>
            </w:r>
          </w:p>
        </w:tc>
        <w:tc>
          <w:tcPr>
            <w:tcW w:w="3815" w:type="dxa"/>
            <w:shd w:val="clear" w:color="auto" w:fill="FFFFFF" w:themeFill="background1"/>
            <w:hideMark/>
          </w:tcPr>
          <w:p w14:paraId="6BBF0495"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Ensure education and awareness for sustainable lifestyles</w:t>
            </w:r>
          </w:p>
        </w:tc>
        <w:tc>
          <w:tcPr>
            <w:tcW w:w="4584" w:type="dxa"/>
            <w:shd w:val="clear" w:color="auto" w:fill="FFFFFF" w:themeFill="background1"/>
            <w:hideMark/>
          </w:tcPr>
          <w:p w14:paraId="1A1FB800"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12.8.1 Extent to which global citizenship / ESD is mainstreamed into national education systems</w:t>
            </w:r>
          </w:p>
        </w:tc>
      </w:tr>
      <w:tr w:rsidR="00F4410D" w:rsidRPr="007C62BD" w14:paraId="0238B577" w14:textId="77777777" w:rsidTr="00E73A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08274C52"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12.a</w:t>
            </w:r>
          </w:p>
        </w:tc>
        <w:tc>
          <w:tcPr>
            <w:tcW w:w="3815" w:type="dxa"/>
            <w:shd w:val="clear" w:color="auto" w:fill="FFFFFF" w:themeFill="background1"/>
            <w:hideMark/>
          </w:tcPr>
          <w:p w14:paraId="66A7AAF2"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Support developing countries to strengthen capacity for sustainable consumption</w:t>
            </w:r>
          </w:p>
        </w:tc>
        <w:tc>
          <w:tcPr>
            <w:tcW w:w="4584" w:type="dxa"/>
            <w:shd w:val="clear" w:color="auto" w:fill="FFFFFF" w:themeFill="background1"/>
            <w:hideMark/>
          </w:tcPr>
          <w:p w14:paraId="4955F8DB"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12.a.1 Installed renewable energy capacity per capita in developing countries</w:t>
            </w:r>
          </w:p>
        </w:tc>
      </w:tr>
      <w:tr w:rsidR="00F4410D" w:rsidRPr="007C62BD" w14:paraId="299FDCA3" w14:textId="77777777" w:rsidTr="00E73A3A">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549649C8"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12.b</w:t>
            </w:r>
          </w:p>
        </w:tc>
        <w:tc>
          <w:tcPr>
            <w:tcW w:w="3815" w:type="dxa"/>
            <w:shd w:val="clear" w:color="auto" w:fill="FFFFFF" w:themeFill="background1"/>
            <w:hideMark/>
          </w:tcPr>
          <w:p w14:paraId="2499564D"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Develop tools to monitor sustainability in tourism</w:t>
            </w:r>
          </w:p>
        </w:tc>
        <w:tc>
          <w:tcPr>
            <w:tcW w:w="4584" w:type="dxa"/>
            <w:shd w:val="clear" w:color="auto" w:fill="FFFFFF" w:themeFill="background1"/>
            <w:hideMark/>
          </w:tcPr>
          <w:p w14:paraId="29908DE2" w14:textId="77777777" w:rsidR="00F4410D" w:rsidRPr="007C62BD" w:rsidRDefault="00F4410D" w:rsidP="007C62B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12.b.1 Implementation of standard accounting tools for economic and environmental aspects of tourism sustainability</w:t>
            </w:r>
          </w:p>
        </w:tc>
      </w:tr>
      <w:tr w:rsidR="00F4410D" w:rsidRPr="007C62BD" w14:paraId="203ABD33" w14:textId="77777777" w:rsidTr="00E73A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74E02244" w14:textId="77777777" w:rsidR="00F4410D" w:rsidRPr="007C62BD" w:rsidRDefault="00F4410D" w:rsidP="007C62BD">
            <w:pPr>
              <w:spacing w:after="0" w:line="240" w:lineRule="auto"/>
              <w:rPr>
                <w:rFonts w:ascii="Times New Roman" w:eastAsia="Times New Roman" w:hAnsi="Times New Roman" w:cs="Times New Roman"/>
                <w:b w:val="0"/>
                <w:bCs w:val="0"/>
                <w:sz w:val="20"/>
                <w:szCs w:val="20"/>
              </w:rPr>
            </w:pPr>
            <w:r w:rsidRPr="007C62BD">
              <w:rPr>
                <w:rFonts w:ascii="Times New Roman" w:eastAsia="Times New Roman" w:hAnsi="Times New Roman" w:cs="Times New Roman"/>
                <w:b w:val="0"/>
                <w:bCs w:val="0"/>
                <w:sz w:val="20"/>
                <w:szCs w:val="20"/>
              </w:rPr>
              <w:t>12.c</w:t>
            </w:r>
          </w:p>
        </w:tc>
        <w:tc>
          <w:tcPr>
            <w:tcW w:w="3815" w:type="dxa"/>
            <w:shd w:val="clear" w:color="auto" w:fill="FFFFFF" w:themeFill="background1"/>
            <w:hideMark/>
          </w:tcPr>
          <w:p w14:paraId="558F8EBA"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Rationalize fossil-fuel subsidies</w:t>
            </w:r>
          </w:p>
        </w:tc>
        <w:tc>
          <w:tcPr>
            <w:tcW w:w="4584" w:type="dxa"/>
            <w:shd w:val="clear" w:color="auto" w:fill="FFFFFF" w:themeFill="background1"/>
            <w:hideMark/>
          </w:tcPr>
          <w:p w14:paraId="7F635181" w14:textId="77777777" w:rsidR="00F4410D" w:rsidRPr="007C62BD" w:rsidRDefault="00F4410D" w:rsidP="007C62B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C62BD">
              <w:rPr>
                <w:rFonts w:ascii="Times New Roman" w:eastAsia="Times New Roman" w:hAnsi="Times New Roman" w:cs="Times New Roman"/>
                <w:sz w:val="20"/>
                <w:szCs w:val="20"/>
              </w:rPr>
              <w:t>12.c.1 Amount of fossil-fuel subsidies per unit of GDP (production and consumption)</w:t>
            </w:r>
          </w:p>
        </w:tc>
      </w:tr>
    </w:tbl>
    <w:p w14:paraId="08790068" w14:textId="77777777" w:rsidR="00F4410D" w:rsidRPr="00BE4AF3" w:rsidRDefault="00F4410D" w:rsidP="0034248D">
      <w:pPr>
        <w:spacing w:after="0" w:line="240" w:lineRule="auto"/>
        <w:jc w:val="center"/>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Source: (Based on the UN global indicator framework)</w:t>
      </w:r>
    </w:p>
    <w:p w14:paraId="25115612" w14:textId="77777777" w:rsidR="00F4410D" w:rsidRPr="00BE4AF3" w:rsidRDefault="00F4410D" w:rsidP="009506B8">
      <w:pPr>
        <w:spacing w:after="0" w:line="240" w:lineRule="auto"/>
        <w:jc w:val="both"/>
        <w:rPr>
          <w:rFonts w:ascii="Times New Roman" w:eastAsia="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The road to sustainable construction (SC) is rooted in the growing awareness of humanity’s impact on the planet, which became especially prominent during the 1960s and 1970s amid global oil crises and concerns over resource scarcity, including water and energy (Kibert, 2007). During this period, early sustainability strategies primarily emphasized energy conservation and the development of alternative energy sources. </w:t>
      </w:r>
      <w:r w:rsidRPr="00E73A3A">
        <w:rPr>
          <w:rStyle w:val="Strong"/>
          <w:rFonts w:ascii="Times New Roman" w:eastAsiaTheme="majorEastAsia" w:hAnsi="Times New Roman" w:cs="Times New Roman"/>
          <w:b w:val="0"/>
          <w:bCs w:val="0"/>
          <w:color w:val="000000" w:themeColor="text1"/>
          <w:sz w:val="24"/>
          <w:szCs w:val="24"/>
        </w:rPr>
        <w:t xml:space="preserve">The construction industry’s response to the evolving sustainability agenda was articulated by Kibert (1994), who defined sustainable construction (SC) as ‘the creation and responsible management of a healthy built environment based on resource-efficient and ecological principles.’ Similarly, Yunus and Yang (2011) described SC as the application of sustainable development principles across the entire construction cycle—from raw material extraction through planning, design, construction, and ultimately deconstruction and waste management. These definitions collectively shifted industry priorities, placing resource </w:t>
      </w:r>
      <w:r w:rsidRPr="00E73A3A">
        <w:rPr>
          <w:rStyle w:val="Strong"/>
          <w:rFonts w:ascii="Times New Roman" w:eastAsiaTheme="majorEastAsia" w:hAnsi="Times New Roman" w:cs="Times New Roman"/>
          <w:b w:val="0"/>
          <w:bCs w:val="0"/>
          <w:color w:val="000000" w:themeColor="text1"/>
          <w:sz w:val="24"/>
          <w:szCs w:val="24"/>
        </w:rPr>
        <w:lastRenderedPageBreak/>
        <w:t>depletion, environmental degradation, and the promotion of healthy environments above traditional emphases on performance, quality, and cost.</w:t>
      </w:r>
      <w:r w:rsidRPr="00BE4AF3">
        <w:rPr>
          <w:rStyle w:val="Strong"/>
          <w:rFonts w:ascii="Times New Roman" w:eastAsiaTheme="majorEastAsia" w:hAnsi="Times New Roman" w:cs="Times New Roman"/>
          <w:color w:val="000000" w:themeColor="text1"/>
          <w:sz w:val="24"/>
          <w:szCs w:val="24"/>
        </w:rPr>
        <w:t xml:space="preserve"> </w:t>
      </w:r>
      <w:r w:rsidRPr="00BE4AF3">
        <w:rPr>
          <w:rFonts w:ascii="Times New Roman" w:hAnsi="Times New Roman" w:cs="Times New Roman"/>
          <w:color w:val="000000" w:themeColor="text1"/>
          <w:sz w:val="24"/>
          <w:szCs w:val="24"/>
        </w:rPr>
        <w:t xml:space="preserve">Kibert (2007) states that the principles of sustainable construction are grounded in seven core guidelines initially proposed by the International Council for Research and Innovation in Building and Construction (CIB) in 1994: reducing resource consumption, reusing resources, recycling materials, protecting nature, eliminating toxic substances, applying life-cycle costing, and prioritizing quality. These principles were further refined and formalized through subsequent frameworks and standards. For instance, the CIB published </w:t>
      </w:r>
      <w:r w:rsidRPr="00BE4AF3">
        <w:rPr>
          <w:rStyle w:val="Emphasis"/>
          <w:rFonts w:ascii="Times New Roman" w:eastAsiaTheme="majorEastAsia" w:hAnsi="Times New Roman" w:cs="Times New Roman"/>
          <w:color w:val="000000" w:themeColor="text1"/>
          <w:sz w:val="24"/>
          <w:szCs w:val="24"/>
        </w:rPr>
        <w:t>Agenda 21 on Sustainable Construction</w:t>
      </w:r>
      <w:r w:rsidRPr="00BE4AF3">
        <w:rPr>
          <w:rFonts w:ascii="Times New Roman" w:hAnsi="Times New Roman" w:cs="Times New Roman"/>
          <w:i/>
          <w:color w:val="000000" w:themeColor="text1"/>
          <w:sz w:val="24"/>
          <w:szCs w:val="24"/>
        </w:rPr>
        <w:t xml:space="preserve"> </w:t>
      </w:r>
      <w:r w:rsidRPr="00BE4AF3">
        <w:rPr>
          <w:rFonts w:ascii="Times New Roman" w:hAnsi="Times New Roman" w:cs="Times New Roman"/>
          <w:color w:val="000000" w:themeColor="text1"/>
          <w:sz w:val="24"/>
          <w:szCs w:val="24"/>
        </w:rPr>
        <w:t xml:space="preserve">in 1999, followed by an adapted version in 2001 that addressed the unique challenges of developing countries (Sjöström &amp; Bakens, 1999). </w:t>
      </w:r>
    </w:p>
    <w:p w14:paraId="251FC489" w14:textId="77777777" w:rsidR="00F4410D" w:rsidRPr="00BE4AF3" w:rsidRDefault="00F4410D" w:rsidP="009506B8">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Also, studies have identified that extensive use and consumption of construction materials and embodied energy are leading to significant resource depletion globally </w:t>
      </w:r>
      <w:r w:rsidRPr="00BE4AF3">
        <w:rPr>
          <w:rFonts w:ascii="Times New Roman" w:hAnsi="Times New Roman" w:cs="Times New Roman"/>
          <w:color w:val="000000" w:themeColor="text1"/>
          <w:sz w:val="24"/>
          <w:szCs w:val="24"/>
        </w:rPr>
        <w:fldChar w:fldCharType="begin" w:fldLock="1"/>
      </w:r>
      <w:r w:rsidRPr="00BE4AF3">
        <w:rPr>
          <w:rFonts w:ascii="Times New Roman" w:hAnsi="Times New Roman" w:cs="Times New Roman"/>
          <w:color w:val="000000" w:themeColor="text1"/>
          <w:sz w:val="24"/>
          <w:szCs w:val="24"/>
        </w:rPr>
        <w:instrText>ADDIN CSL_CITATION {"citationItems":[{"id":"ITEM-1","itemData":{"DOI":"10.51244/ijrsi.2023.1011032","abstract":"Researches has shown that professionals’ attitude to sustainable construction are very important if sustainable construction is to be achieved but practicing Nigerian Built Environment (BE) professionals have been seen to be sustainable construction inefficient. This study assesses the factors that affects the attitudes of BE professionals’ towards achieving the implementation of sustainable construction practices in the Nigerian construction industry. The study adopted a quantitative research approach with data collected using a structured questionnaire. The proportional allocation method of stratified random sampling and snowballing technique were used for the survey and data collected was analysed using descriptive statistics. The Kruskal Wallis test was also applied to check for the significance differences in the means score of the BE professionals’ responses. The study established that poor communication, team work, cooperation and collaboration, expensive nature of sustainable construction, lack of proper legislation and regulation are the top factors influencing BE professionals’ attitude in implementing sustainable construction. The study concludes that implementation level of sustainable construction practice is not directly proportional to the awareness of BE professionals within the Nigerian construction industry. Thereby BE professionals need to improve their attitudes towards the implementation of sustainable construction practices in the Nigerian construction industry.","author":[{"dropping-particle":"","family":"Suleiman","given":"Aisha Nana","non-dropping-particle":"","parse-names":false,"suffix":""},{"dropping-particle":"","family":"Shika","given":"Sulieman Aliyu","non-dropping-particle":"","parse-names":false,"suffix":""},{"dropping-particle":"","family":"Dahiru","given":"Dauda Danwata","non-dropping-particle":"","parse-names":false,"suffix":""},{"dropping-particle":"","family":"Abdulrazaq","given":"Abdullahi Taiwo","non-dropping-particle":"","parse-names":false,"suffix":""}],"container-title":"International Journal of Research and Scientific Innovation","id":"ITEM-1","issue":"XI","issued":{"date-parts":[["2023"]]},"page":"381-401","publisher":"RSIS International","title":"Assessing the Factors that Influence the Attitudes of Built Environment Professionals towards the Implementation of Sustainable Construction in Nigeria","type":"article-journal","volume":"X"},"uris":["http://www.mendeley.com/documents/?uuid=375c3c39-7624-36ab-8d01-43dbc0d00a4a"]}],"mendeley":{"formattedCitation":"(Suleiman, Shika, Dahiru, &amp; Abdulrazaq, 2023)","plainTextFormattedCitation":"(Suleiman, Shika, Dahiru, &amp; Abdulrazaq, 2023)","previouslyFormattedCitation":"(Suleiman, Shika, Dahiru, &amp; Abdulrazaq, 2023)"},"properties":{"noteIndex":0},"schema":"https://github.com/citation-style-language/schema/raw/master/csl-citation.json"}</w:instrText>
      </w:r>
      <w:r w:rsidRPr="00BE4AF3">
        <w:rPr>
          <w:rFonts w:ascii="Times New Roman" w:hAnsi="Times New Roman" w:cs="Times New Roman"/>
          <w:color w:val="000000" w:themeColor="text1"/>
          <w:sz w:val="24"/>
          <w:szCs w:val="24"/>
        </w:rPr>
        <w:fldChar w:fldCharType="separate"/>
      </w:r>
      <w:r w:rsidRPr="00BE4AF3">
        <w:rPr>
          <w:rFonts w:ascii="Times New Roman" w:hAnsi="Times New Roman" w:cs="Times New Roman"/>
          <w:noProof/>
          <w:color w:val="000000" w:themeColor="text1"/>
          <w:sz w:val="24"/>
          <w:szCs w:val="24"/>
        </w:rPr>
        <w:t>(Suleiman, Shika, Dahiru, &amp; Abdulrazaq, 2023)</w:t>
      </w:r>
      <w:r w:rsidRPr="00BE4AF3">
        <w:rPr>
          <w:rFonts w:ascii="Times New Roman" w:hAnsi="Times New Roman" w:cs="Times New Roman"/>
          <w:color w:val="000000" w:themeColor="text1"/>
          <w:sz w:val="24"/>
          <w:szCs w:val="24"/>
        </w:rPr>
        <w:fldChar w:fldCharType="end"/>
      </w:r>
      <w:r w:rsidRPr="00BE4AF3">
        <w:rPr>
          <w:rFonts w:ascii="Times New Roman" w:hAnsi="Times New Roman" w:cs="Times New Roman"/>
          <w:color w:val="000000" w:themeColor="text1"/>
          <w:sz w:val="24"/>
          <w:szCs w:val="24"/>
        </w:rPr>
        <w:t xml:space="preserve">, as such, using SCMs ensures that natural resources are preserved, reducing the likelihood of resource exhaustion for future generations </w:t>
      </w:r>
      <w:r w:rsidRPr="00BE4AF3">
        <w:rPr>
          <w:rFonts w:ascii="Times New Roman" w:hAnsi="Times New Roman" w:cs="Times New Roman"/>
          <w:color w:val="000000" w:themeColor="text1"/>
          <w:sz w:val="24"/>
          <w:szCs w:val="24"/>
        </w:rPr>
        <w:fldChar w:fldCharType="begin" w:fldLock="1"/>
      </w:r>
      <w:r w:rsidRPr="00BE4AF3">
        <w:rPr>
          <w:rFonts w:ascii="Times New Roman" w:hAnsi="Times New Roman" w:cs="Times New Roman"/>
          <w:color w:val="000000" w:themeColor="text1"/>
          <w:sz w:val="24"/>
          <w:szCs w:val="24"/>
        </w:rPr>
        <w:instrText>ADDIN CSL_CITATION {"citationItems":[{"id":"ITEM-1","itemData":{"DOI":"10.1007/978-3-031-58315-5_6","ISBN":"978-3-031-58315-5","ISSN":"2730-6682","abstract":"Due to the limited natural resources on our planet, we must take into account three essential factors, including environment, society, and economy, in all design and construction aspects. The environment has suffered because of the devastating human impact on our...","author":[{"dropping-particle":"","family":"Al-Numan","given":"Bayan Salim Obaid","non-dropping-particle":"","parse-names":false,"suffix":""}],"id":"ITEM-1","issued":{"date-parts":[["2024"]]},"page":"93-109","publisher":"Springer, Cham","title":"Construction Industry Role in Natural Resources Depletion and How to Reduce It","type":"article-journal"},"uris":["http://www.mendeley.com/documents/?uuid=17f26f4d-a657-3e7d-9a9a-92642615673b"]}],"mendeley":{"formattedCitation":"(Al-Numan, 2024)","plainTextFormattedCitation":"(Al-Numan, 2024)","previouslyFormattedCitation":"(Al-Numan, 2024)"},"properties":{"noteIndex":0},"schema":"https://github.com/citation-style-language/schema/raw/master/csl-citation.json"}</w:instrText>
      </w:r>
      <w:r w:rsidRPr="00BE4AF3">
        <w:rPr>
          <w:rFonts w:ascii="Times New Roman" w:hAnsi="Times New Roman" w:cs="Times New Roman"/>
          <w:color w:val="000000" w:themeColor="text1"/>
          <w:sz w:val="24"/>
          <w:szCs w:val="24"/>
        </w:rPr>
        <w:fldChar w:fldCharType="separate"/>
      </w:r>
      <w:r w:rsidRPr="00BE4AF3">
        <w:rPr>
          <w:rFonts w:ascii="Times New Roman" w:hAnsi="Times New Roman" w:cs="Times New Roman"/>
          <w:noProof/>
          <w:color w:val="000000" w:themeColor="text1"/>
          <w:sz w:val="24"/>
          <w:szCs w:val="24"/>
        </w:rPr>
        <w:t>(Al-Numan, 2024)</w:t>
      </w:r>
      <w:r w:rsidRPr="00BE4AF3">
        <w:rPr>
          <w:rFonts w:ascii="Times New Roman" w:hAnsi="Times New Roman" w:cs="Times New Roman"/>
          <w:color w:val="000000" w:themeColor="text1"/>
          <w:sz w:val="24"/>
          <w:szCs w:val="24"/>
        </w:rPr>
        <w:fldChar w:fldCharType="end"/>
      </w:r>
      <w:r w:rsidRPr="00BE4AF3">
        <w:rPr>
          <w:rFonts w:ascii="Times New Roman" w:hAnsi="Times New Roman" w:cs="Times New Roman"/>
          <w:color w:val="000000" w:themeColor="text1"/>
          <w:sz w:val="24"/>
          <w:szCs w:val="24"/>
        </w:rPr>
        <w:t>. Based on the definition of sustainable construction materials (SCMs) as materials with overall superior performance in terms of specified criteria such as locally produced and sourced materials, transport costs and environmental impact, thermal efficiency, occupant needs and health considerations, financial viability. recyclability of building materials and the demolished building, waste and pollution generated in the manufacturing process, energy required in the manufacturing process, use of renewable resources, toxic emissions generated by the product, as well as maintenance costs, sustainable construction material can encompass a diverse range, to include recycled and renewable resources, low-carbon concrete alternatives, energy-efficient materials, water-conserving solutions, green roofing technologies, sustainable steel and metal, and lightweight construction materials.</w:t>
      </w:r>
      <w:r w:rsidRPr="00BE4AF3">
        <w:rPr>
          <w:rFonts w:ascii="Times New Roman" w:hAnsi="Times New Roman" w:cs="Times New Roman"/>
          <w:color w:val="000000" w:themeColor="text1"/>
          <w:sz w:val="24"/>
          <w:szCs w:val="24"/>
        </w:rPr>
        <w:fldChar w:fldCharType="begin" w:fldLock="1"/>
      </w:r>
      <w:r w:rsidRPr="00BE4AF3">
        <w:rPr>
          <w:rFonts w:ascii="Times New Roman" w:hAnsi="Times New Roman" w:cs="Times New Roman"/>
          <w:color w:val="000000" w:themeColor="text1"/>
          <w:sz w:val="24"/>
          <w:szCs w:val="24"/>
        </w:rPr>
        <w:instrText>ADDIN CSL_CITATION {"citationItems":[{"id":"ITEM-1","itemData":{"abstract":"This study examines the potential transformation brought about by the integration of ChatGPT in advancing cutting-edge sustainable construction materials. Encompassing a diverse range of eco-friendly options, the investigation spans recycled materials, renewable resources, low-carbon concrete alternatives, energy-efficient materials, water-conserving compounds, green roofing materials, sustainable steel and metal, and lightweight construction materials. The utilization of recycled materials plays a pivotal role in sustainable construction, reducing environmental impact by repurposing discarded resources. Similarly, the incorporation of renewable materials aligns with sustainability principles, advocating for the use of resources that can naturally replenish. Low-carbon concrete alternatives address the carbon footprint associated with traditional concrete production, providing a more environmentally conscious choice in construction materials. The research explores energy-efficient materials that contribute to resource conservation and diminished energy consumption throughout buildings’ lifecycle. Water-conserving materials are scrutinized for their potential in addressing water scarcity concerns, promoting responsible water usage in construction processes. Green roofing materials, renowned for insulation properties and environmental benefits, are studied for their role in sustainable construction practices. Additionally, the study examines sustainable steel and metal options, seeking alternatives with reduced environmental impact in production and usage. Lightweight construction materials are investigated for their potential to enhance energy efficiency and diminish transportation-related emissions. An integral aspect of this exploration involves evaluating how these materials collectively contribute to achieving Sustainable Development Goals (SDGs). The research investigates the multifaceted ways in which sustainable construction materials align with and propel these globally recognized goals. To guide the implementation of these advancements, the study proposes a comprehensive framework. This framework outlines strategies for integrating ChatGPT into research and development processes, leveraging artificial intelligence capabilities to enhance the efficiency and efficacy of sustainable construction material development. By merging technological innovation with sustainable practices, this research aims to drive the construction industry toward a more e…","author":[{"dropping-particle":"","family":"Rane","given":"Nitin Liladhar","non-dropping-particle":"","parse-names":false,"suffix":""},{"dropping-particle":"","family":"Choudhary","given":"Saurabh P.","non-dropping-particle":"","parse-names":false,"suffix":""},{"dropping-particle":"","family":"Rane","given":"Jayesh","non-dropping-particle":"","parse-names":false,"suffix":""}],"container-title":"Sustainable and Clean Buildings","id":"ITEM-1","issued":{"date-parts":[["2024","9","13"]]},"page":"98-122","title":"Enhancing Sustainable Construction Materials Through the Integration  of Generative Artificial Intelligence, Such as ChatGPT","type":"article-journal"},"uris":["http://www.mendeley.com/documents/?uuid=8be13ee6-2290-3800-9c1e-7201c84a4ee4"]}],"mendeley":{"formattedCitation":"(Rane, Choudhary, &amp; Rane, 2024)","manualFormatting":"(Rane et al., 2024)","plainTextFormattedCitation":"(Rane, Choudhary, &amp; Rane, 2024)","previouslyFormattedCitation":"(Rane, Choudhary, &amp; Rane, 2024)"},"properties":{"noteIndex":0},"schema":"https://github.com/citation-style-language/schema/raw/master/csl-citation.json"}</w:instrText>
      </w:r>
      <w:r w:rsidRPr="00BE4AF3">
        <w:rPr>
          <w:rFonts w:ascii="Times New Roman" w:hAnsi="Times New Roman" w:cs="Times New Roman"/>
          <w:color w:val="000000" w:themeColor="text1"/>
          <w:sz w:val="24"/>
          <w:szCs w:val="24"/>
        </w:rPr>
        <w:fldChar w:fldCharType="separate"/>
      </w:r>
      <w:r w:rsidRPr="00BE4AF3">
        <w:rPr>
          <w:rFonts w:ascii="Times New Roman" w:hAnsi="Times New Roman" w:cs="Times New Roman"/>
          <w:noProof/>
          <w:color w:val="000000" w:themeColor="text1"/>
          <w:sz w:val="24"/>
          <w:szCs w:val="24"/>
        </w:rPr>
        <w:t xml:space="preserve">(Rane </w:t>
      </w:r>
      <w:r w:rsidRPr="00BE4AF3">
        <w:rPr>
          <w:rFonts w:ascii="Times New Roman" w:hAnsi="Times New Roman" w:cs="Times New Roman"/>
          <w:i/>
          <w:noProof/>
          <w:color w:val="000000" w:themeColor="text1"/>
          <w:sz w:val="24"/>
          <w:szCs w:val="24"/>
        </w:rPr>
        <w:t>et al</w:t>
      </w:r>
      <w:r w:rsidRPr="00BE4AF3">
        <w:rPr>
          <w:rFonts w:ascii="Times New Roman" w:hAnsi="Times New Roman" w:cs="Times New Roman"/>
          <w:noProof/>
          <w:color w:val="000000" w:themeColor="text1"/>
          <w:sz w:val="24"/>
          <w:szCs w:val="24"/>
        </w:rPr>
        <w:t>., 2024)</w:t>
      </w:r>
      <w:r w:rsidRPr="00BE4AF3">
        <w:rPr>
          <w:rFonts w:ascii="Times New Roman" w:hAnsi="Times New Roman" w:cs="Times New Roman"/>
          <w:color w:val="000000" w:themeColor="text1"/>
          <w:sz w:val="24"/>
          <w:szCs w:val="24"/>
        </w:rPr>
        <w:fldChar w:fldCharType="end"/>
      </w:r>
      <w:r w:rsidRPr="00BE4AF3">
        <w:rPr>
          <w:rFonts w:ascii="Times New Roman" w:hAnsi="Times New Roman" w:cs="Times New Roman"/>
          <w:color w:val="000000" w:themeColor="text1"/>
          <w:sz w:val="24"/>
          <w:szCs w:val="24"/>
        </w:rPr>
        <w:t xml:space="preserve">. Each category plays a pivotal role in steering the industry towards a greener and more sustainable future. Recycled materials exemplify circular economy principles, reducing waste and conserving resources. Renewable materials provide alternatives to traditional, resource-intensive options, while innovations in low-carbon concrete address the industry’s notorious environmental footprint </w:t>
      </w:r>
      <w:r w:rsidRPr="00BE4AF3">
        <w:rPr>
          <w:rFonts w:ascii="Times New Roman" w:hAnsi="Times New Roman" w:cs="Times New Roman"/>
          <w:color w:val="000000" w:themeColor="text1"/>
          <w:sz w:val="24"/>
          <w:szCs w:val="24"/>
        </w:rPr>
        <w:fldChar w:fldCharType="begin" w:fldLock="1"/>
      </w:r>
      <w:r w:rsidRPr="00BE4AF3">
        <w:rPr>
          <w:rFonts w:ascii="Times New Roman" w:hAnsi="Times New Roman" w:cs="Times New Roman"/>
          <w:color w:val="000000" w:themeColor="text1"/>
          <w:sz w:val="24"/>
          <w:szCs w:val="24"/>
        </w:rPr>
        <w:instrText>ADDIN CSL_CITATION {"citationItems":[{"id":"ITEM-1","itemData":{"DOI":"10.59022/IJCL.42","ISSN":"0000-0000","abstract":"Artificial intelligence (AI) has the potential to drive sustainability in various sectors by reducing waste, increasing access to resources, and providing environmentally friendly outcomes. This article explores the ways in which AI can contribute to sustainability in production and distribution processes, as well as in sectors such as healthcare, manufacturing, transportation, utilities, and construction. It also examines the role of AI in providing more individualized services and preventing risks to individual health and infrastructure. The article highlights the challenges that arise in implementing AI for sustainability and recommends practical solutions that can be adopted by organizations and policymakers. This article emphasizes the importance of AI in fostering sustainability and provides valuable insights for the development of AI-based strategies to address pressing environmental and social challenges.","author":[{"dropping-particle":"","family":"Rakha","given":"Naeem Allah","non-dropping-particle":"","parse-names":false,"suffix":""}],"container-title":"International Journal of Cyber Law","id":"ITEM-1","issue":"3","issued":{"date-parts":[["2023","4","30"]]},"title":"Artificial Intelligence and Sustainability","type":"article-journal","volume":"1"},"uris":["http://www.mendeley.com/documents/?uuid=ae0dcb87-6a56-35ce-b993-dd6eda18494a"]}],"mendeley":{"formattedCitation":"(Rakha, 2023)","manualFormatting":"(Rakha, 2023","plainTextFormattedCitation":"(Rakha, 2023)","previouslyFormattedCitation":"(Rakha, 2023)"},"properties":{"noteIndex":0},"schema":"https://github.com/citation-style-language/schema/raw/master/csl-citation.json"}</w:instrText>
      </w:r>
      <w:r w:rsidRPr="00BE4AF3">
        <w:rPr>
          <w:rFonts w:ascii="Times New Roman" w:hAnsi="Times New Roman" w:cs="Times New Roman"/>
          <w:color w:val="000000" w:themeColor="text1"/>
          <w:sz w:val="24"/>
          <w:szCs w:val="24"/>
        </w:rPr>
        <w:fldChar w:fldCharType="separate"/>
      </w:r>
      <w:r w:rsidRPr="00BE4AF3">
        <w:rPr>
          <w:rFonts w:ascii="Times New Roman" w:hAnsi="Times New Roman" w:cs="Times New Roman"/>
          <w:noProof/>
          <w:color w:val="000000" w:themeColor="text1"/>
          <w:sz w:val="24"/>
          <w:szCs w:val="24"/>
        </w:rPr>
        <w:t>(Rakha, 2023</w:t>
      </w:r>
      <w:r w:rsidRPr="00BE4AF3">
        <w:rPr>
          <w:rFonts w:ascii="Times New Roman" w:hAnsi="Times New Roman" w:cs="Times New Roman"/>
          <w:color w:val="000000" w:themeColor="text1"/>
          <w:sz w:val="24"/>
          <w:szCs w:val="24"/>
        </w:rPr>
        <w:fldChar w:fldCharType="end"/>
      </w:r>
      <w:r w:rsidRPr="00BE4AF3">
        <w:rPr>
          <w:rFonts w:ascii="Times New Roman" w:hAnsi="Times New Roman" w:cs="Times New Roman"/>
          <w:color w:val="000000" w:themeColor="text1"/>
          <w:sz w:val="24"/>
          <w:szCs w:val="24"/>
        </w:rPr>
        <w:t xml:space="preserve">; </w:t>
      </w:r>
      <w:r w:rsidRPr="00BE4AF3">
        <w:rPr>
          <w:rFonts w:ascii="Times New Roman" w:hAnsi="Times New Roman" w:cs="Times New Roman"/>
          <w:color w:val="000000" w:themeColor="text1"/>
          <w:sz w:val="24"/>
          <w:szCs w:val="24"/>
        </w:rPr>
        <w:fldChar w:fldCharType="begin" w:fldLock="1"/>
      </w:r>
      <w:r w:rsidRPr="00BE4AF3">
        <w:rPr>
          <w:rFonts w:ascii="Times New Roman" w:hAnsi="Times New Roman" w:cs="Times New Roman"/>
          <w:color w:val="000000" w:themeColor="text1"/>
          <w:sz w:val="24"/>
          <w:szCs w:val="24"/>
        </w:rPr>
        <w:instrText>ADDIN CSL_CITATION {"citationItems":[{"id":"ITEM-1","itemData":{"DOI":"10.3390/ASI4030052","ISSN":"2571-5577","abstract":"The widespread use of artificial intelligence (AI) in civil engineering has provided civil engineers with various benefits and opportunities, including a rich data collection, sustainable assessment, and productivity. The trend of construction is diverted toward sustainability with the aid of digital technologies. In this regard, this paper presents a systematic literature review (SLR) in order to explore the influence of AI in civil engineering toward sustainable development. In addition, SLR was carried out by using academic publications from Scopus (i.e., 3478 publications). Furthermore, screening is carried out, and eventually, 105 research publications in the field of AI were selected. Keywords were searched through Boolean operation “Artificial Intelligence” OR “Machine intelligence” OR “Machine Learning” OR “Computational intelligence” OR “Computer vision” OR “Expert systems” OR “Neural networks” AND “Civil Engineering” OR “Construction Engineering” OR “Sustainable Development” OR “Sustainability”. According to the findings, it was revealed that the trend of publications received its high intention of researchers in 2020, the most important contribution of publications on AI toward sustainability by the Automation in Construction, the United States has the major influence among all the other countries, the main features of civil engineering toward sustainability are interconnectivity, functionality, unpredictability, and individuality. This research adds to the body of knowledge in civil engineering by visualizing and comprehending trends and patterns, as well as defining major research goals, journals, and countries. In addition, a theoretical framework has been proposed in light of the results for prospective researchers and scholars.","author":[{"dropping-particle":"","family":"Manzoor","given":"Bilal","non-dropping-particle":"","parse-names":false,"suffix":""},{"dropping-particle":"","family":"Othman","given":"Idris","non-dropping-particle":"","parse-names":false,"suffix":""},{"dropping-particle":"","family":"Durdyev","given":"Serdar","non-dropping-particle":"","parse-names":false,"suffix":""},{"dropping-particle":"","family":"Ismail","given":"Syuhaida","non-dropping-particle":"","parse-names":false,"suffix":""},{"dropping-particle":"","family":"Wahab","given":"Mohammad Hussaini","non-dropping-particle":"","parse-names":false,"suffix":""}],"container-title":"Applied System Innovation 2021, Vol. 4, Page 52","id":"ITEM-1","issue":"3","issued":{"date-parts":[["2021","8","6"]]},"page":"52","publisher":"Multidisciplinary Digital Publishing Institute","title":"Influence of Artificial Intelligence in Civil Engineering toward Sustainable Development—A Systematic Literature Review","type":"article-journal","volume":"4"},"uris":["http://www.mendeley.com/documents/?uuid=c32e8a87-8283-378b-a91c-20b9efd0cdcc"]}],"mendeley":{"formattedCitation":"(Manzoor, Othman, Durdyev, Ismail, &amp; Wahab, 2021)","manualFormatting":"Manzoor et al., 2021","plainTextFormattedCitation":"(Manzoor, Othman, Durdyev, Ismail, &amp; Wahab, 2021)","previouslyFormattedCitation":"(Manzoor, Othman, Durdyev, Ismail, &amp; Wahab, 2021)"},"properties":{"noteIndex":0},"schema":"https://github.com/citation-style-language/schema/raw/master/csl-citation.json"}</w:instrText>
      </w:r>
      <w:r w:rsidRPr="00BE4AF3">
        <w:rPr>
          <w:rFonts w:ascii="Times New Roman" w:hAnsi="Times New Roman" w:cs="Times New Roman"/>
          <w:color w:val="000000" w:themeColor="text1"/>
          <w:sz w:val="24"/>
          <w:szCs w:val="24"/>
        </w:rPr>
        <w:fldChar w:fldCharType="separate"/>
      </w:r>
      <w:r w:rsidRPr="00BE4AF3">
        <w:rPr>
          <w:rFonts w:ascii="Times New Roman" w:hAnsi="Times New Roman" w:cs="Times New Roman"/>
          <w:noProof/>
          <w:color w:val="000000" w:themeColor="text1"/>
          <w:sz w:val="24"/>
          <w:szCs w:val="24"/>
        </w:rPr>
        <w:t xml:space="preserve">Manzoor </w:t>
      </w:r>
      <w:r w:rsidRPr="00BE4AF3">
        <w:rPr>
          <w:rFonts w:ascii="Times New Roman" w:hAnsi="Times New Roman" w:cs="Times New Roman"/>
          <w:i/>
          <w:noProof/>
          <w:color w:val="000000" w:themeColor="text1"/>
          <w:sz w:val="24"/>
          <w:szCs w:val="24"/>
        </w:rPr>
        <w:t>et al.</w:t>
      </w:r>
      <w:r w:rsidRPr="00BE4AF3">
        <w:rPr>
          <w:rFonts w:ascii="Times New Roman" w:hAnsi="Times New Roman" w:cs="Times New Roman"/>
          <w:noProof/>
          <w:color w:val="000000" w:themeColor="text1"/>
          <w:sz w:val="24"/>
          <w:szCs w:val="24"/>
        </w:rPr>
        <w:t>, 2021</w:t>
      </w:r>
      <w:r w:rsidRPr="00BE4AF3">
        <w:rPr>
          <w:rFonts w:ascii="Times New Roman" w:hAnsi="Times New Roman" w:cs="Times New Roman"/>
          <w:color w:val="000000" w:themeColor="text1"/>
          <w:sz w:val="24"/>
          <w:szCs w:val="24"/>
        </w:rPr>
        <w:fldChar w:fldCharType="end"/>
      </w:r>
      <w:r w:rsidRPr="00BE4AF3">
        <w:rPr>
          <w:rFonts w:ascii="Times New Roman" w:hAnsi="Times New Roman" w:cs="Times New Roman"/>
          <w:noProof/>
          <w:color w:val="000000" w:themeColor="text1"/>
          <w:sz w:val="24"/>
          <w:szCs w:val="24"/>
        </w:rPr>
        <w:t>)</w:t>
      </w:r>
      <w:r w:rsidRPr="00BE4AF3">
        <w:rPr>
          <w:rFonts w:ascii="Times New Roman" w:hAnsi="Times New Roman" w:cs="Times New Roman"/>
          <w:color w:val="000000" w:themeColor="text1"/>
          <w:sz w:val="24"/>
          <w:szCs w:val="24"/>
        </w:rPr>
        <w:t xml:space="preserve"> Energy-efficient materials contribute to the overarching goal of reducing energy consumption in buildings, and water-conserving solutions align with global efforts to combat water scarcity </w:t>
      </w:r>
      <w:r w:rsidRPr="00BE4AF3">
        <w:rPr>
          <w:rFonts w:ascii="Times New Roman" w:hAnsi="Times New Roman" w:cs="Times New Roman"/>
          <w:color w:val="000000" w:themeColor="text1"/>
          <w:sz w:val="24"/>
          <w:szCs w:val="24"/>
        </w:rPr>
        <w:fldChar w:fldCharType="begin" w:fldLock="1"/>
      </w:r>
      <w:r w:rsidRPr="00BE4AF3">
        <w:rPr>
          <w:rFonts w:ascii="Times New Roman" w:hAnsi="Times New Roman" w:cs="Times New Roman"/>
          <w:color w:val="000000" w:themeColor="text1"/>
          <w:sz w:val="24"/>
          <w:szCs w:val="24"/>
        </w:rPr>
        <w:instrText>ADDIN CSL_CITATION {"citationItems":[{"id":"ITEM-1","itemData":{"DOI":"10.5281/ZENODO.12827323","abstract":"During the fast progress of digital technologies, business intelligence (BI) has experienced a significant change, leading to new chances for making data-informed decisions and gaining strategic insights. Businesses are currently producing large amounts of data from various origins, requiring sophisticated analytics to obtain valuable insights. The merging of Big Data, Artificial Intelligence (AI), and the Internet of Things (IoT) has emerged as a crucial factor, boosting operational effectiveness and competitive edge. This study investigates how the combination of Big Data, AI, and IoT in BI improves data analytics and decision-making processes. A thorough examination of the literature and analysis of keyword co-occurrence and cluster reveal important concepts and their connections within the subject area. Big Data analytics reveals concealed patterns and trends, AI offers advanced predictive algorithms, and IoT supplies immediate data from interconnected devices, enhancing the detail and timeliness of insights. We suggest a thorough structure for combining these technologies to enhance BI capabilities. This structure includes gathering information from IoT devices, handling it with Big Data technologies, and utilizing AI for examination. Edge computing decreases latency for immediate decision-making, while blockchain guarantees the confidentiality and accuracy of data. The insights are utilized by the application layer to power BI applications such as dynamic dashboards and automated workflows. The research has made contributions by pinpointing central themes in the field, illustrating connections between important ideas, and creating a comprehensive framework to improve BI. By making use of these cutting-edge technologies, companies can acquire a more profound understanding, forecast future results, and establish more effective procedures. This method helps organizations maneuver through the challenges of today's data environment, preparing them for long-term development and achievement in a world that relies heavily on data. As technology advances, incorporating Big Data, AI, and IoT will enhance BI's abilities, creating fresh possibilities for innovation and a competitive edge.","author":[{"dropping-particle":"","family":"Paramesha","given":"Mallikarjuna","non-dropping-particle":"","parse-names":false,"suffix":""},{"dropping-particle":"","family":"Rane","given":"Nitin Liladhar","non-dropping-particle":"","parse-names":false,"suffix":""},{"dropping-particle":"","family":"Rane","given":"Jayesh","non-dropping-particle":"","parse-names":false,"suffix":""}],"container-title":"Partners Universal Multidisciplinary Research Journal","id":"ITEM-1","issue":"2","issued":{"date-parts":[["2024","7","25"]]},"page":"110-133","title":"Big Data Analytics, Artificial Intelligence, Machine Learning, Internet of Things, and Blockchain for Enhanced Business Intelligence","type":"article-journal","volume":"1"},"uris":["http://www.mendeley.com/documents/?uuid=b3edff1c-8cbb-3706-bb18-3841f0082d74"]}],"mendeley":{"formattedCitation":"(Paramesha, Rane, &amp; Rane, 2024)","manualFormatting":"(Paramesha et al., 2024","plainTextFormattedCitation":"(Paramesha, Rane, &amp; Rane, 2024)","previouslyFormattedCitation":"(Paramesha, Rane, &amp; Rane, 2024)"},"properties":{"noteIndex":0},"schema":"https://github.com/citation-style-language/schema/raw/master/csl-citation.json"}</w:instrText>
      </w:r>
      <w:r w:rsidRPr="00BE4AF3">
        <w:rPr>
          <w:rFonts w:ascii="Times New Roman" w:hAnsi="Times New Roman" w:cs="Times New Roman"/>
          <w:color w:val="000000" w:themeColor="text1"/>
          <w:sz w:val="24"/>
          <w:szCs w:val="24"/>
        </w:rPr>
        <w:fldChar w:fldCharType="separate"/>
      </w:r>
      <w:r w:rsidRPr="00BE4AF3">
        <w:rPr>
          <w:rFonts w:ascii="Times New Roman" w:hAnsi="Times New Roman" w:cs="Times New Roman"/>
          <w:noProof/>
          <w:color w:val="000000" w:themeColor="text1"/>
          <w:sz w:val="24"/>
          <w:szCs w:val="24"/>
        </w:rPr>
        <w:t xml:space="preserve">(Paramesha </w:t>
      </w:r>
      <w:r w:rsidRPr="00BE4AF3">
        <w:rPr>
          <w:rFonts w:ascii="Times New Roman" w:hAnsi="Times New Roman" w:cs="Times New Roman"/>
          <w:i/>
          <w:noProof/>
          <w:color w:val="000000" w:themeColor="text1"/>
          <w:sz w:val="24"/>
          <w:szCs w:val="24"/>
        </w:rPr>
        <w:t>et al.</w:t>
      </w:r>
      <w:r w:rsidRPr="00BE4AF3">
        <w:rPr>
          <w:rFonts w:ascii="Times New Roman" w:hAnsi="Times New Roman" w:cs="Times New Roman"/>
          <w:noProof/>
          <w:color w:val="000000" w:themeColor="text1"/>
          <w:sz w:val="24"/>
          <w:szCs w:val="24"/>
        </w:rPr>
        <w:t>, 2024</w:t>
      </w:r>
      <w:r w:rsidRPr="00BE4AF3">
        <w:rPr>
          <w:rFonts w:ascii="Times New Roman" w:hAnsi="Times New Roman" w:cs="Times New Roman"/>
          <w:color w:val="000000" w:themeColor="text1"/>
          <w:sz w:val="24"/>
          <w:szCs w:val="24"/>
        </w:rPr>
        <w:fldChar w:fldCharType="end"/>
      </w:r>
      <w:r w:rsidRPr="00BE4AF3">
        <w:rPr>
          <w:rFonts w:ascii="Times New Roman" w:hAnsi="Times New Roman" w:cs="Times New Roman"/>
          <w:color w:val="000000" w:themeColor="text1"/>
          <w:sz w:val="24"/>
          <w:szCs w:val="24"/>
        </w:rPr>
        <w:t xml:space="preserve">; </w:t>
      </w:r>
      <w:r w:rsidRPr="00BE4AF3">
        <w:rPr>
          <w:rFonts w:ascii="Times New Roman" w:hAnsi="Times New Roman" w:cs="Times New Roman"/>
          <w:color w:val="000000" w:themeColor="text1"/>
          <w:sz w:val="24"/>
          <w:szCs w:val="24"/>
        </w:rPr>
        <w:fldChar w:fldCharType="begin" w:fldLock="1"/>
      </w:r>
      <w:r w:rsidRPr="00BE4AF3">
        <w:rPr>
          <w:rFonts w:ascii="Times New Roman" w:hAnsi="Times New Roman" w:cs="Times New Roman"/>
          <w:color w:val="000000" w:themeColor="text1"/>
          <w:sz w:val="24"/>
          <w:szCs w:val="24"/>
        </w:rPr>
        <w:instrText>ADDIN CSL_CITATION {"citationItems":[{"id":"ITEM-1","itemData":{"DOI":"10.1016/J.SCS.2024.105499","ISSN":"2210-6707","abstract":"While acknowledging the widespread recognition of artificial intelligence's (AI) potential in achieving sustainable development, there remains a notable deficiency and thorough examination of its specific applications, impacts, and challenges, particularly within the construction industry. A comprehensive investigation is critical to explore and understand the multifaceted applications of AI in fostering sustainability across all phases of a construction project. This paper aims to examine how AI can be effectively integrated across the key project phases—i.e., planning, design, construction, and operation and maintenance, through a systematic literature review to map AI applications, their impacts, adoption challenges, and best practices. The findings revealed: (a) Sustainable development goals (SDGs) pertinent to the construction industry—i.e., SDGs 6-9,11-13,15,17; (b) SDGs that show the highest potential to promote sustainability within the construction industry—i.e., SDGs 7,9,11; (c) Within the spectrum of these goals, AI can potentially transform the construction industry and contribute to the sustainability consideration processes in a more efficient and resilient ways; (d) Ethical considerations, data privacy and security concerns must be addressed, along with an urgent need for specialised training and maintenance of these AI systems; (e) Careful AI implementation and management is essential to harness its full potential, while addressing adoption challenges within the construction sector.","author":[{"dropping-particle":"","family":"Regona","given":"Massimo","non-dropping-particle":"","parse-names":false,"suffix":""},{"dropping-particle":"","family":"Yigitcanlar","given":"Tan","non-dropping-particle":"","parse-names":false,"suffix":""},{"dropping-particle":"","family":"Hon","given":"Carol","non-dropping-particle":"","parse-names":false,"suffix":""},{"dropping-particle":"","family":"Teo","given":"Melissa","non-dropping-particle":"","parse-names":false,"suffix":""}],"container-title":"Sustainable Cities and Society","id":"ITEM-1","issued":{"date-parts":[["2024","8","1"]]},"page":"105499","publisher":"Elsevier","title":"Artificial intelligence and sustainable development goals: Systematic literature review of the construction industry","type":"article-journal","volume":"108"},"uris":["http://www.mendeley.com/documents/?uuid=d7f653e5-1735-3ed0-9a44-d179d1938f68"]}],"mendeley":{"formattedCitation":"(Regona, Yigitcanlar, Hon, &amp; Teo, 2024)","manualFormatting":"Regona et al., 2024","plainTextFormattedCitation":"(Regona, Yigitcanlar, Hon, &amp; Teo, 2024)","previouslyFormattedCitation":"(Regona, Yigitcanlar, Hon, &amp; Teo, 2024)"},"properties":{"noteIndex":0},"schema":"https://github.com/citation-style-language/schema/raw/master/csl-citation.json"}</w:instrText>
      </w:r>
      <w:r w:rsidRPr="00BE4AF3">
        <w:rPr>
          <w:rFonts w:ascii="Times New Roman" w:hAnsi="Times New Roman" w:cs="Times New Roman"/>
          <w:color w:val="000000" w:themeColor="text1"/>
          <w:sz w:val="24"/>
          <w:szCs w:val="24"/>
        </w:rPr>
        <w:fldChar w:fldCharType="separate"/>
      </w:r>
      <w:r w:rsidRPr="00BE4AF3">
        <w:rPr>
          <w:rFonts w:ascii="Times New Roman" w:hAnsi="Times New Roman" w:cs="Times New Roman"/>
          <w:noProof/>
          <w:color w:val="000000" w:themeColor="text1"/>
          <w:sz w:val="24"/>
          <w:szCs w:val="24"/>
        </w:rPr>
        <w:t xml:space="preserve">Regona </w:t>
      </w:r>
      <w:r w:rsidRPr="00BE4AF3">
        <w:rPr>
          <w:rFonts w:ascii="Times New Roman" w:hAnsi="Times New Roman" w:cs="Times New Roman"/>
          <w:i/>
          <w:noProof/>
          <w:color w:val="000000" w:themeColor="text1"/>
          <w:sz w:val="24"/>
          <w:szCs w:val="24"/>
        </w:rPr>
        <w:t>et al</w:t>
      </w:r>
      <w:r w:rsidRPr="00BE4AF3">
        <w:rPr>
          <w:rFonts w:ascii="Times New Roman" w:hAnsi="Times New Roman" w:cs="Times New Roman"/>
          <w:noProof/>
          <w:color w:val="000000" w:themeColor="text1"/>
          <w:sz w:val="24"/>
          <w:szCs w:val="24"/>
        </w:rPr>
        <w:t>., 2024</w:t>
      </w:r>
      <w:r w:rsidRPr="00BE4AF3">
        <w:rPr>
          <w:rFonts w:ascii="Times New Roman" w:hAnsi="Times New Roman" w:cs="Times New Roman"/>
          <w:color w:val="000000" w:themeColor="text1"/>
          <w:sz w:val="24"/>
          <w:szCs w:val="24"/>
        </w:rPr>
        <w:fldChar w:fldCharType="end"/>
      </w:r>
      <w:r w:rsidRPr="00BE4AF3">
        <w:rPr>
          <w:rFonts w:ascii="Times New Roman" w:hAnsi="Times New Roman" w:cs="Times New Roman"/>
          <w:color w:val="000000" w:themeColor="text1"/>
          <w:sz w:val="24"/>
          <w:szCs w:val="24"/>
        </w:rPr>
        <w:t xml:space="preserve">; </w:t>
      </w:r>
      <w:r w:rsidRPr="00BE4AF3">
        <w:rPr>
          <w:rFonts w:ascii="Times New Roman" w:hAnsi="Times New Roman" w:cs="Times New Roman"/>
          <w:color w:val="000000" w:themeColor="text1"/>
          <w:sz w:val="24"/>
          <w:szCs w:val="24"/>
        </w:rPr>
        <w:fldChar w:fldCharType="begin" w:fldLock="1"/>
      </w:r>
      <w:r w:rsidRPr="00BE4AF3">
        <w:rPr>
          <w:rFonts w:ascii="Times New Roman" w:hAnsi="Times New Roman" w:cs="Times New Roman"/>
          <w:color w:val="000000" w:themeColor="text1"/>
          <w:sz w:val="24"/>
          <w:szCs w:val="24"/>
        </w:rPr>
        <w:instrText>ADDIN CSL_CITATION {"citationItems":[{"id":"ITEM-1","itemData":{"DOI":"10.1016/J.SUSCOM.2023.100861","ISSN":"2210-5379","abstract":"The numerous benefits offered by green and/or intelligent buildings have led to an increase in their construction. In parallel, various artificial intelligence (AI) techniques have been recognized as relevant for these types of buildings to rationalize, optimize and innovate their operation. The amalgamation of green and smart buildings with AI techniques holds remarkable potential to ensure greater structural stability and minimize negative ecological impacts on the environment and society. Although research on the application of AI of green and smart buildings exists, our understanding of the utility and benefits of its integration remain fragmented. To address this gap, this investigation aims to examine the relevance and benefits of the convergence of AI techniques in green and smart buildings. Using Web of Science and Scopus databases, this study used bibliometric analysis to present an exhaustive review of the field’ publication productivity, most influential articles and most relevant actors (i.e., authors, research centers, and countries). Additionally, using content analysis, this investigation sheds light on the field’ cognitive structure, which is based on five thematic clusters. The study concludes with a temporal keyword analysis focusing on the Triple Bottom Line benefits obtained through the application of AI techniques in green or smart buildings. The most noteworthy contribution of this study is that it is the first study that performs a bibliometric analysis on Artificial Intelligence Techniques in green and smart Buildings, which is an important endeavor to help interested scholars and professionals to gain a scientific overview of existing research in the field.","author":[{"dropping-particle":"","family":"Rodríguez-Gracia","given":"Diego","non-dropping-particle":"","parse-names":false,"suffix":""},{"dropping-particle":"","family":"Capobianco-Uriarte","given":"María de las Mercedes","non-dropping-particle":"","parse-names":false,"suffix":""},{"dropping-particle":"","family":"Terán-Yépez","given":"Eduardo","non-dropping-particle":"","parse-names":false,"suffix":""},{"dropping-particle":"","family":"Piedra-Fernández","given":"José A.","non-dropping-particle":"","parse-names":false,"suffix":""},{"dropping-particle":"","family":"Iribarne","given":"Luis","non-dropping-particle":"","parse-names":false,"suffix":""},{"dropping-particle":"","family":"Ayala","given":"Rosa","non-dropping-particle":"","parse-names":false,"suffix":""}],"container-title":"Sustainable Computing: Informatics and Systems","id":"ITEM-1","issued":{"date-parts":[["2023","4","1"]]},"page":"100861","publisher":"Elsevier","title":"Review of artificial intelligence techniques in green/smart buildings","type":"article-journal","volume":"38"},"uris":["http://www.mendeley.com/documents/?uuid=081a7624-c8ec-3968-8031-773df25ea092"]}],"mendeley":{"formattedCitation":"(Rodríguez-Gracia et al., 2023)","manualFormatting":"Rodríguez-Gracia et al., 2023","plainTextFormattedCitation":"(Rodríguez-Gracia et al., 2023)","previouslyFormattedCitation":"(Rodríguez-Gracia et al., 2023)"},"properties":{"noteIndex":0},"schema":"https://github.com/citation-style-language/schema/raw/master/csl-citation.json"}</w:instrText>
      </w:r>
      <w:r w:rsidRPr="00BE4AF3">
        <w:rPr>
          <w:rFonts w:ascii="Times New Roman" w:hAnsi="Times New Roman" w:cs="Times New Roman"/>
          <w:color w:val="000000" w:themeColor="text1"/>
          <w:sz w:val="24"/>
          <w:szCs w:val="24"/>
        </w:rPr>
        <w:fldChar w:fldCharType="end"/>
      </w:r>
      <w:r w:rsidRPr="00BE4AF3">
        <w:rPr>
          <w:rFonts w:ascii="Times New Roman" w:hAnsi="Times New Roman" w:cs="Times New Roman"/>
          <w:color w:val="000000" w:themeColor="text1"/>
          <w:sz w:val="24"/>
          <w:szCs w:val="24"/>
        </w:rPr>
        <w:fldChar w:fldCharType="begin" w:fldLock="1"/>
      </w:r>
      <w:r w:rsidRPr="00BE4AF3">
        <w:rPr>
          <w:rFonts w:ascii="Times New Roman" w:hAnsi="Times New Roman" w:cs="Times New Roman"/>
          <w:color w:val="000000" w:themeColor="text1"/>
          <w:sz w:val="24"/>
          <w:szCs w:val="24"/>
        </w:rPr>
        <w:instrText>ADDIN CSL_CITATION {"citationItems":[{"id":"ITEM-1","itemData":{"DOI":"10.1038/S41598-023-35245-X;SUBJMETA=166,4077,639;KWRD=ENERGY+SCIENCE+AND+TECHNOLOGY,ENGINEERING","ISSN":"20452322","PMID":"37211551","abstract":"Thermal losses through weak building envelope is responsible for global current energy crises. Application of artificial intelligence and drone setups in green buildings can help in providing the sustainable solution the world is striving for years. The contemporary research incorporates a novel concept of measuring the wearing thermal resistances in the building envelope with the aid of a drone system. The above procedure conducts a throughout building analysis by considering three prime environmental parameters such as wind speed (WS), relative humidity (RH) and dry bulb temperature (DBT) with the aid of drone heat mapping procedure. The novelty of the study can be interpreted by the fact that prior researches have never explored the building envelope through a combination of drone and climatic conditions as variables in building areas difficult to access, thereby providing an easier, risk free, cost effective and efficient reading. Validation of the formula is authenticated by employing artificial intelligence-based software’s which are applied for data prediction and optimization. Artificial models are established to validate the variables for each output from the specified number of climatic inputs. The pareto-optimal conditions attained after analysis are 44.90% RH, 12.61 °C DBT and 5.20 km/h WS. The variables and thermal resistance were validated with response surface methodology method, thereby presenting lowest error rate and comprehensive R2 value, which are 0.547 and 0.97, respectively. Henceforth, employing drone-based technology in estimating building envelope discrepancies with the novel formula, yields consistent and effective assessment for development of green building, simultaneously reducing time and cost of the experimentation.","author":[{"dropping-particle":"","family":"Khan","given":"Osama","non-dropping-particle":"","parse-names":false,"suffix":""},{"dropping-particle":"","family":"Parvez","given":"Mohd","non-dropping-particle":"","parse-names":false,"suffix":""},{"dropping-particle":"","family":"Alansari","given":"Monairah","non-dropping-particle":"","parse-names":false,"suffix":""},{"dropping-particle":"","family":"Farid","given":"Mohammad","non-dropping-particle":"","parse-names":false,"suffix":""},{"dropping-particle":"","family":"Devarajan","given":"Yuvarajan","non-dropping-particle":"","parse-names":false,"suffix":""},{"dropping-particle":"","family":"Thanappan","given":"Subash","non-dropping-particle":"","parse-names":false,"suffix":""}],"container-title":"Scientific Reports","id":"ITEM-1","issue":"1","issued":{"date-parts":[["2023","12","1"]]},"page":"1-18","publisher":"Nature Research","title":"Application of artificial intelligence in green building concept for energy auditing using drone technology under different environmental conditions","type":"article-journal","volume":"13"},"uris":["http://www.mendeley.com/documents/?uuid=a8f91505-fc9e-3e9e-8b80-2759e1928118"]}],"mendeley":{"formattedCitation":"(Khan et al., 2023)","manualFormatting":"; Khan et al., 2023","plainTextFormattedCitation":"(Khan et al., 2023)","previouslyFormattedCitation":"(Khan et al., 2023)"},"properties":{"noteIndex":0},"schema":"https://github.com/citation-style-language/schema/raw/master/csl-citation.json"}</w:instrText>
      </w:r>
      <w:r w:rsidRPr="00BE4AF3">
        <w:rPr>
          <w:rFonts w:ascii="Times New Roman" w:hAnsi="Times New Roman" w:cs="Times New Roman"/>
          <w:color w:val="000000" w:themeColor="text1"/>
          <w:sz w:val="24"/>
          <w:szCs w:val="24"/>
        </w:rPr>
        <w:fldChar w:fldCharType="separate"/>
      </w:r>
      <w:r w:rsidRPr="00BE4AF3">
        <w:rPr>
          <w:rFonts w:ascii="Times New Roman" w:hAnsi="Times New Roman" w:cs="Times New Roman"/>
          <w:noProof/>
          <w:color w:val="000000" w:themeColor="text1"/>
          <w:sz w:val="24"/>
          <w:szCs w:val="24"/>
        </w:rPr>
        <w:t xml:space="preserve"> Khan </w:t>
      </w:r>
      <w:r w:rsidRPr="00BE4AF3">
        <w:rPr>
          <w:rFonts w:ascii="Times New Roman" w:hAnsi="Times New Roman" w:cs="Times New Roman"/>
          <w:i/>
          <w:noProof/>
          <w:color w:val="000000" w:themeColor="text1"/>
          <w:sz w:val="24"/>
          <w:szCs w:val="24"/>
        </w:rPr>
        <w:t>et al</w:t>
      </w:r>
      <w:r w:rsidRPr="00BE4AF3">
        <w:rPr>
          <w:rFonts w:ascii="Times New Roman" w:hAnsi="Times New Roman" w:cs="Times New Roman"/>
          <w:noProof/>
          <w:color w:val="000000" w:themeColor="text1"/>
          <w:sz w:val="24"/>
          <w:szCs w:val="24"/>
        </w:rPr>
        <w:t>., 2023</w:t>
      </w:r>
      <w:r w:rsidRPr="00BE4AF3">
        <w:rPr>
          <w:rFonts w:ascii="Times New Roman" w:hAnsi="Times New Roman" w:cs="Times New Roman"/>
          <w:color w:val="000000" w:themeColor="text1"/>
          <w:sz w:val="24"/>
          <w:szCs w:val="24"/>
        </w:rPr>
        <w:fldChar w:fldCharType="end"/>
      </w:r>
      <w:r w:rsidRPr="00BE4AF3">
        <w:rPr>
          <w:rFonts w:ascii="Times New Roman" w:hAnsi="Times New Roman" w:cs="Times New Roman"/>
          <w:color w:val="000000" w:themeColor="text1"/>
          <w:sz w:val="24"/>
          <w:szCs w:val="24"/>
        </w:rPr>
        <w:fldChar w:fldCharType="begin" w:fldLock="1"/>
      </w:r>
      <w:r w:rsidRPr="00BE4AF3">
        <w:rPr>
          <w:rFonts w:ascii="Times New Roman" w:hAnsi="Times New Roman" w:cs="Times New Roman"/>
          <w:color w:val="000000" w:themeColor="text1"/>
          <w:sz w:val="24"/>
          <w:szCs w:val="24"/>
        </w:rPr>
        <w:instrText>ADDIN CSL_CITATION {"citationItems":[{"id":"ITEM-1","itemData":{"DOI":"10.1016/J.CSCM.2021.E00628","ISSN":"2214-5095","abstract":"CEM III cement is the mixture of ground granulated blast furnace slag (GGBS) and Portland cement clinker. Portland cement clinker has been effectively substituted by GGBS in order to improve strength and performance concrete supplying both economic and environmental benefits such as resource and energy savings. The activity index of the GGBS is positively correlated with the 28-day compressive strengths of CEM III mix cements. However, it is necessary to wait for a test period of 28 days for the acquisition of the activity index value of granulated blast furnace slag. This situation negatively impacts the cost of production, product quality and the environmental impacts of the product. Therefore, it is required to have a decision support system that can predict the activity index without waiting for the test process of 28 days using some parameters obtained physical and chemical analysis at current. The paper aims to develop a decision support system for the prediction of activity index of granulated blast furnace slag at 28 days. Prediction abilities of artificial neural networks (ANN) and adaptive neuro-fuzzy inference systems (ANFIS) are investigated for the decision support system. According to the artificial neural network results, the mean absolute percentage error value for the whole data set has been calculated as 2.27 %. The comparisons show that ANN overcomes ANFIS approach. According to these results, the proposed decision support system has helped the determination of mixtures optimally and led to the decrease in CO2 emission of CEM III production process.","author":[{"dropping-particle":"","family":"Ateş","given":"Kübra Tümay","non-dropping-particle":"","parse-names":false,"suffix":""},{"dropping-particle":"","family":"Şahin","given":"Cenk","non-dropping-particle":"","parse-names":false,"suffix":""},{"dropping-particle":"","family":"Kuvvetli","given":"Yusuf","non-dropping-particle":"","parse-names":false,"suffix":""},{"dropping-particle":"","family":"Küren","given":"Bülent A.","non-dropping-particle":"","parse-names":false,"suffix":""},{"dropping-particle":"","family":"Uysal","given":"Aykut","non-dropping-particle":"","parse-names":false,"suffix":""}],"container-title":"Case Studies in Construction Materials","id":"ITEM-1","issued":{"date-parts":[["2021","12","1"]]},"page":"e00628","publisher":"Elsevier","title":"Sustainable production in cement via artificial intelligence based decision support system: Case study","type":"article-journal","volume":"15"},"uris":["http://www.mendeley.com/documents/?uuid=75175d04-6ce8-32e0-9159-e359fc1b46aa"]}],"mendeley":{"formattedCitation":"(Ateş, Şahin, Kuvvetli, Küren, &amp; Uysal, 2021)","manualFormatting":"; Ateş et al., 2021)","plainTextFormattedCitation":"(Ateş, Şahin, Kuvvetli, Küren, &amp; Uysal, 2021)","previouslyFormattedCitation":"(Ateş, Şahin, Kuvvetli, Küren, &amp; Uysal, 2021)"},"properties":{"noteIndex":0},"schema":"https://github.com/citation-style-language/schema/raw/master/csl-citation.json"}</w:instrText>
      </w:r>
      <w:r w:rsidRPr="00BE4AF3">
        <w:rPr>
          <w:rFonts w:ascii="Times New Roman" w:hAnsi="Times New Roman" w:cs="Times New Roman"/>
          <w:color w:val="000000" w:themeColor="text1"/>
          <w:sz w:val="24"/>
          <w:szCs w:val="24"/>
        </w:rPr>
        <w:fldChar w:fldCharType="separate"/>
      </w:r>
      <w:r w:rsidRPr="00BE4AF3">
        <w:rPr>
          <w:rFonts w:ascii="Times New Roman" w:hAnsi="Times New Roman" w:cs="Times New Roman"/>
          <w:noProof/>
          <w:color w:val="000000" w:themeColor="text1"/>
          <w:sz w:val="24"/>
          <w:szCs w:val="24"/>
        </w:rPr>
        <w:t>)</w:t>
      </w:r>
      <w:r w:rsidRPr="00BE4AF3">
        <w:rPr>
          <w:rFonts w:ascii="Times New Roman" w:hAnsi="Times New Roman" w:cs="Times New Roman"/>
          <w:color w:val="000000" w:themeColor="text1"/>
          <w:sz w:val="24"/>
          <w:szCs w:val="24"/>
        </w:rPr>
        <w:fldChar w:fldCharType="end"/>
      </w:r>
      <w:r w:rsidRPr="00BE4AF3">
        <w:rPr>
          <w:rFonts w:ascii="Times New Roman" w:hAnsi="Times New Roman" w:cs="Times New Roman"/>
          <w:color w:val="000000" w:themeColor="text1"/>
          <w:sz w:val="24"/>
          <w:szCs w:val="24"/>
        </w:rPr>
        <w:t xml:space="preserve">. Green roofing materials and sustainable steel and metal solutions offer multifaceted benefits, contributing not only to construction sustainability but also to urban biodiversity and reduced energy consumption in production processes </w:t>
      </w:r>
      <w:r w:rsidRPr="00BE4AF3">
        <w:rPr>
          <w:rFonts w:ascii="Times New Roman" w:hAnsi="Times New Roman" w:cs="Times New Roman"/>
          <w:color w:val="000000" w:themeColor="text1"/>
          <w:sz w:val="24"/>
          <w:szCs w:val="24"/>
        </w:rPr>
        <w:fldChar w:fldCharType="begin" w:fldLock="1"/>
      </w:r>
      <w:r w:rsidRPr="00BE4AF3">
        <w:rPr>
          <w:rFonts w:ascii="Times New Roman" w:hAnsi="Times New Roman" w:cs="Times New Roman"/>
          <w:color w:val="000000" w:themeColor="text1"/>
          <w:sz w:val="24"/>
          <w:szCs w:val="24"/>
        </w:rPr>
        <w:instrText>ADDIN CSL_CITATION {"citationItems":[{"id":"ITEM-1","itemData":{"DOI":"10.1016/J.AUTCON.2022.104440","ISSN":"0926-5805","abstract":"This article presents a state-of-the-art review of the applications of Artificial Intelligence (AI), Machine Learning (ML), and Deep Learning (DL) in building and construction industry 4.0 in the facets of architectural design and visualization; material design and optimization; structural design and analysis; offsite manufacturing and automation; construction management, progress monitoring, and safety; smart operation, building management and health monitoring; and durability, life cycle analysis, and circular economy. This paper presents a unique perspective on applications of AI/DL/ML in these domains for the complete building lifecycle, from conceptual stage, design stage, construction stage, operational and maintenance stage until the end of life. Furthermore, data collection strategies using smart vision and sensors, data cleaning methods (post-processing), data storage for developing these models are discussed, and the challenges in model development and strategies to overcome these challenges are elaborated. Future trends in these domains and possible research avenues are also presented.","author":[{"dropping-particle":"","family":"Baduge","given":"Shanaka Kristombu","non-dropping-particle":"","parse-names":false,"suffix":""},{"dropping-particle":"","family":"Thilakarathna","given":"Sadeep","non-dropping-particle":"","parse-names":false,"suffix":""},{"dropping-particle":"","family":"Perera","given":"Jude Shalitha","non-dropping-particle":"","parse-names":false,"suffix":""},{"dropping-particle":"","family":"Arashpour","given":"Mehrdad","non-dropping-particle":"","parse-names":false,"suffix":""},{"dropping-particle":"","family":"Sharafi","given":"Pejman","non-dropping-particle":"","parse-names":false,"suffix":""},{"dropping-particle":"","family":"Teodosio","given":"Bertrand","non-dropping-particle":"","parse-names":false,"suffix":""},{"dropping-particle":"","family":"Shringi","given":"Amkit","non-dropping-particle":"","parse-names":false,"suffix":""},{"dropping-particle":"","family":"Mendis","given":"Priyan","non-dropping-particle":"","parse-names":false,"suffix":""}],"container-title":"Automation in Construction","id":"ITEM-1","issued":{"date-parts":[["2022","9","1"]]},"page":"104440","publisher":"Elsevier","title":"Artificial intelligence and smart vision for building and construction 4.0: Machine and deep learning methods and applications","type":"article-journal","volume":"141"},"uris":["http://www.mendeley.com/documents/?uuid=5ecece57-b4cd-3c15-afc3-587d0f0c4f77"]}],"mendeley":{"formattedCitation":"(Baduge et al., 2022)","manualFormatting":"(Paramesha et al., 2024; Baduge et al., 2022","plainTextFormattedCitation":"(Baduge et al., 2022)","previouslyFormattedCitation":"(Baduge et al., 2022)"},"properties":{"noteIndex":0},"schema":"https://github.com/citation-style-language/schema/raw/master/csl-citation.json"}</w:instrText>
      </w:r>
      <w:r w:rsidRPr="00BE4AF3">
        <w:rPr>
          <w:rFonts w:ascii="Times New Roman" w:hAnsi="Times New Roman" w:cs="Times New Roman"/>
          <w:color w:val="000000" w:themeColor="text1"/>
          <w:sz w:val="24"/>
          <w:szCs w:val="24"/>
        </w:rPr>
        <w:fldChar w:fldCharType="separate"/>
      </w:r>
      <w:r w:rsidRPr="00BE4AF3">
        <w:rPr>
          <w:rFonts w:ascii="Times New Roman" w:hAnsi="Times New Roman" w:cs="Times New Roman"/>
          <w:color w:val="000000" w:themeColor="text1"/>
          <w:sz w:val="24"/>
          <w:szCs w:val="24"/>
        </w:rPr>
        <w:t>(</w:t>
      </w:r>
      <w:r w:rsidRPr="00BE4AF3">
        <w:rPr>
          <w:rFonts w:ascii="Times New Roman" w:hAnsi="Times New Roman" w:cs="Times New Roman"/>
          <w:noProof/>
          <w:color w:val="000000" w:themeColor="text1"/>
          <w:sz w:val="24"/>
          <w:szCs w:val="24"/>
        </w:rPr>
        <w:t xml:space="preserve">Baduge </w:t>
      </w:r>
      <w:r w:rsidRPr="00BE4AF3">
        <w:rPr>
          <w:rFonts w:ascii="Times New Roman" w:hAnsi="Times New Roman" w:cs="Times New Roman"/>
          <w:i/>
          <w:noProof/>
          <w:color w:val="000000" w:themeColor="text1"/>
          <w:sz w:val="24"/>
          <w:szCs w:val="24"/>
        </w:rPr>
        <w:t>et al</w:t>
      </w:r>
      <w:r w:rsidRPr="00BE4AF3">
        <w:rPr>
          <w:rFonts w:ascii="Times New Roman" w:hAnsi="Times New Roman" w:cs="Times New Roman"/>
          <w:noProof/>
          <w:color w:val="000000" w:themeColor="text1"/>
          <w:sz w:val="24"/>
          <w:szCs w:val="24"/>
        </w:rPr>
        <w:t>., 2022</w:t>
      </w:r>
      <w:r w:rsidRPr="00BE4AF3">
        <w:rPr>
          <w:rFonts w:ascii="Times New Roman" w:hAnsi="Times New Roman" w:cs="Times New Roman"/>
          <w:color w:val="000000" w:themeColor="text1"/>
          <w:sz w:val="24"/>
          <w:szCs w:val="24"/>
        </w:rPr>
        <w:fldChar w:fldCharType="end"/>
      </w:r>
      <w:r w:rsidRPr="00BE4AF3">
        <w:rPr>
          <w:rFonts w:ascii="Times New Roman" w:hAnsi="Times New Roman" w:cs="Times New Roman"/>
          <w:color w:val="000000" w:themeColor="text1"/>
          <w:sz w:val="24"/>
          <w:szCs w:val="24"/>
        </w:rPr>
        <w:fldChar w:fldCharType="begin" w:fldLock="1"/>
      </w:r>
      <w:r w:rsidRPr="00BE4AF3">
        <w:rPr>
          <w:rFonts w:ascii="Times New Roman" w:hAnsi="Times New Roman" w:cs="Times New Roman"/>
          <w:color w:val="000000" w:themeColor="text1"/>
          <w:sz w:val="24"/>
          <w:szCs w:val="24"/>
        </w:rPr>
        <w:instrText>ADDIN CSL_CITATION {"citationItems":[{"id":"ITEM-1","itemData":{"DOI":"10.1016/J.JCLEPRO.2022.134120","ISSN":"0959-6526","abstract":"We need a proper mechanism to manage issues related to our environment, economy, and society to proceed toward sustainability. Many researchers have worked for sustainable development goals using artificial intelligence (AI) and machine learning to develop an efficient mechanism to facilitate a circular economy and link up the needs of the present generation without disconcerting the capability of coming generations. This study offers a comprehensive review of AI and sustainability and suggested future research scope. The review has focused on different use cases in industries like construction, transportation, healthcare, manufacturing, agriculture, and water. The systematic review is based on 287 papers selected out of 8341 search results with an application of PRISMA based method. Out of all the techniques used in sustainability regression, RL and DSS-based AI models are more popular than others. The review also provides directions surrounding which industrial sectors are using which methods for incorporating sustainable development practices in their organization.","author":[{"dropping-particle":"","family":"Kar","given":"Arpan Kumar","non-dropping-particle":"","parse-names":false,"suffix":""},{"dropping-particle":"","family":"Choudhary","given":"Shweta Kumari","non-dropping-particle":"","parse-names":false,"suffix":""},{"dropping-particle":"","family":"Singh","given":"Vinay Kumar","non-dropping-particle":"","parse-names":false,"suffix":""}],"container-title":"Journal of Cleaner Production","id":"ITEM-1","issued":{"date-parts":[["2022","11","20"]]},"page":"134120","publisher":"Elsevier","title":"How can artificial intelligence impact sustainability: A systematic literature review","type":"article-journal","volume":"376"},"uris":["http://www.mendeley.com/documents/?uuid=eb91ff3a-c41e-3333-a409-89759ada9803"]}],"mendeley":{"formattedCitation":"(Kar, Choudhary, &amp; Singh, 2022)","manualFormatting":"; Kar et al., 2022","plainTextFormattedCitation":"(Kar, Choudhary, &amp; Singh, 2022)","previouslyFormattedCitation":"(Kar, Choudhary, &amp; Singh, 2022)"},"properties":{"noteIndex":0},"schema":"https://github.com/citation-style-language/schema/raw/master/csl-citation.json"}</w:instrText>
      </w:r>
      <w:r w:rsidRPr="00BE4AF3">
        <w:rPr>
          <w:rFonts w:ascii="Times New Roman" w:hAnsi="Times New Roman" w:cs="Times New Roman"/>
          <w:color w:val="000000" w:themeColor="text1"/>
          <w:sz w:val="24"/>
          <w:szCs w:val="24"/>
        </w:rPr>
        <w:fldChar w:fldCharType="separate"/>
      </w:r>
      <w:r w:rsidRPr="00BE4AF3">
        <w:rPr>
          <w:rFonts w:ascii="Times New Roman" w:hAnsi="Times New Roman" w:cs="Times New Roman"/>
          <w:noProof/>
          <w:color w:val="000000" w:themeColor="text1"/>
          <w:sz w:val="24"/>
          <w:szCs w:val="24"/>
        </w:rPr>
        <w:t>; Kar et al., 2022</w:t>
      </w:r>
      <w:r w:rsidRPr="00BE4AF3">
        <w:rPr>
          <w:rFonts w:ascii="Times New Roman" w:hAnsi="Times New Roman" w:cs="Times New Roman"/>
          <w:color w:val="000000" w:themeColor="text1"/>
          <w:sz w:val="24"/>
          <w:szCs w:val="24"/>
        </w:rPr>
        <w:fldChar w:fldCharType="end"/>
      </w:r>
      <w:r w:rsidRPr="00BE4AF3">
        <w:rPr>
          <w:rFonts w:ascii="Times New Roman" w:hAnsi="Times New Roman" w:cs="Times New Roman"/>
          <w:color w:val="000000" w:themeColor="text1"/>
          <w:sz w:val="24"/>
          <w:szCs w:val="24"/>
        </w:rPr>
        <w:t xml:space="preserve">) Simultaneously, lightweight construction materials present an opportunity to minimize transportation and construction related energy expenditures </w:t>
      </w:r>
      <w:r w:rsidRPr="00BE4AF3">
        <w:rPr>
          <w:rFonts w:ascii="Times New Roman" w:hAnsi="Times New Roman" w:cs="Times New Roman"/>
          <w:color w:val="000000" w:themeColor="text1"/>
          <w:sz w:val="24"/>
          <w:szCs w:val="24"/>
        </w:rPr>
        <w:fldChar w:fldCharType="begin" w:fldLock="1"/>
      </w:r>
      <w:r w:rsidRPr="00BE4AF3">
        <w:rPr>
          <w:rFonts w:ascii="Times New Roman" w:hAnsi="Times New Roman" w:cs="Times New Roman"/>
          <w:color w:val="000000" w:themeColor="text1"/>
          <w:sz w:val="24"/>
          <w:szCs w:val="24"/>
        </w:rPr>
        <w:instrText>ADDIN CSL_CITATION {"citationItems":[{"id":"ITEM-1","itemData":{"DOI":"10.1016/J.SPC.2022.12.002","ISSN":"2352-5509","abstract":"Data-driven technology such as Artificial Intelligence is considered an essential enabler of circular economy (CE) in the building construction industry (BCI). As both AI and CE applications are emerging areas in the BCI, there exists little systematic guidance on how AI can be applied to capture the full potential of systemic circularity along the building product lifecycle. To fill this gap, this study provides an extensive systematic review of scientific research advancement in AI and CE in the BCI. AI algorithms for enabling systemic circularity in the BCI were discussed alongside their respective Strengths, Weaknesses, Threats, and Opportunities (SWOT) analysis concerning CE solutions. Further, thirteen application areas of the AI models were illustrated and summarised using a tree diagram. Among the application areas include circular materials selection, design for disassembly, pre-demolition auditing, demolition waste sorting, materials strength prediction, technical and economic circularity of materials, operation of circular business model, onsite waste recycling, and reverse logistics. In addition, the profound challenges of applying AI in enabling CE implementation in BCI were identified and their potential solutions were highlighted. A holistic framework integrating the AI models and their application domains along the building product lifecycle was developed. Future research directions including a deep reinforcement learning (DRL) adaptive control system for circularity, AI in 3D printing of circular materials, optimisation of management infrastructure for circular products, optimisation of circular business model and reverse logistics are highlighted. The findings have delineated the core application domains of AI in enabling CE adoption along the building lifecycle and provided insightful future research needs that could promote digital systemic circularity in BCI.","author":[{"dropping-particle":"","family":"Oluleye","given":"Benjamin I.","non-dropping-particle":"","parse-names":false,"suffix":""},{"dropping-particle":"","family":"Chan","given":"Daniel W.M.","non-dropping-particle":"","parse-names":false,"suffix":""},{"dropping-particle":"","family":"Antwi-Afari","given":"Prince","non-dropping-particle":"","parse-names":false,"suffix":""}],"container-title":"Sustainable Production and Consumption","id":"ITEM-1","issued":{"date-parts":[["2023","1","1"]]},"page":"509-524","publisher":"Elsevier","title":"Adopting Artificial Intelligence for enhancing the implementation of systemic circularity in the construction industry: A critical review","type":"article-journal","volume":"35"},"uris":["http://www.mendeley.com/documents/?uuid=26762f96-83a4-3b02-9bee-ee8ad02fdf0e"]}],"mendeley":{"formattedCitation":"(Oluleye, Chan, &amp; Antwi-Afari, 2023)","manualFormatting":"(Oluleye et al., 2023","plainTextFormattedCitation":"(Oluleye, Chan, &amp; Antwi-Afari, 2023)","previouslyFormattedCitation":"(Oluleye, Chan, &amp; Antwi-Afari, 2023)"},"properties":{"noteIndex":0},"schema":"https://github.com/citation-style-language/schema/raw/master/csl-citation.json"}</w:instrText>
      </w:r>
      <w:r w:rsidRPr="00BE4AF3">
        <w:rPr>
          <w:rFonts w:ascii="Times New Roman" w:hAnsi="Times New Roman" w:cs="Times New Roman"/>
          <w:color w:val="000000" w:themeColor="text1"/>
          <w:sz w:val="24"/>
          <w:szCs w:val="24"/>
        </w:rPr>
        <w:fldChar w:fldCharType="separate"/>
      </w:r>
      <w:r w:rsidRPr="00BE4AF3">
        <w:rPr>
          <w:rFonts w:ascii="Times New Roman" w:hAnsi="Times New Roman" w:cs="Times New Roman"/>
          <w:noProof/>
          <w:color w:val="000000" w:themeColor="text1"/>
          <w:sz w:val="24"/>
          <w:szCs w:val="24"/>
        </w:rPr>
        <w:t>(Oluleye</w:t>
      </w:r>
      <w:r w:rsidRPr="00BE4AF3">
        <w:rPr>
          <w:rFonts w:ascii="Times New Roman" w:hAnsi="Times New Roman" w:cs="Times New Roman"/>
          <w:i/>
          <w:noProof/>
          <w:color w:val="000000" w:themeColor="text1"/>
          <w:sz w:val="24"/>
          <w:szCs w:val="24"/>
        </w:rPr>
        <w:t xml:space="preserve"> et al.</w:t>
      </w:r>
      <w:r w:rsidRPr="00BE4AF3">
        <w:rPr>
          <w:rFonts w:ascii="Times New Roman" w:hAnsi="Times New Roman" w:cs="Times New Roman"/>
          <w:noProof/>
          <w:color w:val="000000" w:themeColor="text1"/>
          <w:sz w:val="24"/>
          <w:szCs w:val="24"/>
        </w:rPr>
        <w:t>, 2023</w:t>
      </w:r>
      <w:r w:rsidRPr="00BE4AF3">
        <w:rPr>
          <w:rFonts w:ascii="Times New Roman" w:hAnsi="Times New Roman" w:cs="Times New Roman"/>
          <w:color w:val="000000" w:themeColor="text1"/>
          <w:sz w:val="24"/>
          <w:szCs w:val="24"/>
        </w:rPr>
        <w:fldChar w:fldCharType="end"/>
      </w:r>
      <w:r w:rsidRPr="00BE4AF3">
        <w:rPr>
          <w:rFonts w:ascii="Times New Roman" w:hAnsi="Times New Roman" w:cs="Times New Roman"/>
          <w:color w:val="000000" w:themeColor="text1"/>
          <w:sz w:val="24"/>
          <w:szCs w:val="24"/>
        </w:rPr>
        <w:t>)</w:t>
      </w:r>
    </w:p>
    <w:p w14:paraId="4EC386FF" w14:textId="77777777" w:rsidR="00F4410D" w:rsidRPr="00BE4AF3" w:rsidRDefault="00F4410D" w:rsidP="009506B8">
      <w:pPr>
        <w:spacing w:after="0" w:line="240" w:lineRule="auto"/>
        <w:jc w:val="both"/>
        <w:rPr>
          <w:rFonts w:ascii="Times New Roman" w:hAnsi="Times New Roman" w:cs="Times New Roman"/>
          <w:i/>
          <w:sz w:val="24"/>
          <w:szCs w:val="24"/>
        </w:rPr>
      </w:pPr>
      <w:r w:rsidRPr="00BE4AF3">
        <w:rPr>
          <w:rFonts w:ascii="Times New Roman" w:hAnsi="Times New Roman" w:cs="Times New Roman"/>
          <w:color w:val="000000" w:themeColor="text1"/>
          <w:sz w:val="24"/>
          <w:szCs w:val="24"/>
        </w:rPr>
        <w:t>Sustainable construction materials (SCMs) exhibit a range of essential characteristics that collectively ensure their positive environmental, social, and economic impact. These include; r</w:t>
      </w:r>
      <w:r w:rsidRPr="00BE4AF3">
        <w:rPr>
          <w:rFonts w:ascii="Times New Roman" w:hAnsi="Times New Roman" w:cs="Times New Roman"/>
          <w:bCs/>
          <w:color w:val="000000" w:themeColor="text1"/>
          <w:sz w:val="24"/>
          <w:szCs w:val="24"/>
        </w:rPr>
        <w:t xml:space="preserve">ecyclability, </w:t>
      </w:r>
      <w:r w:rsidRPr="00BE4AF3">
        <w:rPr>
          <w:rFonts w:ascii="Times New Roman" w:eastAsia="Times New Roman" w:hAnsi="Times New Roman" w:cs="Times New Roman"/>
          <w:sz w:val="24"/>
          <w:szCs w:val="24"/>
        </w:rPr>
        <w:t>low embodied carbon</w:t>
      </w:r>
      <w:r w:rsidRPr="00BE4AF3">
        <w:rPr>
          <w:rFonts w:ascii="Times New Roman" w:hAnsi="Times New Roman" w:cs="Times New Roman"/>
          <w:bCs/>
          <w:color w:val="000000" w:themeColor="text1"/>
          <w:sz w:val="24"/>
          <w:szCs w:val="24"/>
        </w:rPr>
        <w:t>, e</w:t>
      </w:r>
      <w:r w:rsidRPr="00BE4AF3">
        <w:rPr>
          <w:rFonts w:ascii="Times New Roman" w:hAnsi="Times New Roman" w:cs="Times New Roman"/>
          <w:sz w:val="24"/>
          <w:szCs w:val="24"/>
        </w:rPr>
        <w:t>nergy Efficiency, durability and longevity, affordability and health and safety (</w:t>
      </w:r>
      <w:r w:rsidRPr="00BE4AF3">
        <w:rPr>
          <w:rFonts w:ascii="Times New Roman" w:hAnsi="Times New Roman" w:cs="Times New Roman"/>
          <w:color w:val="000000" w:themeColor="text1"/>
          <w:sz w:val="24"/>
          <w:szCs w:val="24"/>
        </w:rPr>
        <w:t xml:space="preserve">Global ABC, 2025; UKGBC, 2025; </w:t>
      </w:r>
      <w:r w:rsidRPr="00BE4AF3">
        <w:rPr>
          <w:rFonts w:ascii="Times New Roman" w:hAnsi="Times New Roman" w:cs="Times New Roman"/>
          <w:sz w:val="24"/>
          <w:szCs w:val="24"/>
        </w:rPr>
        <w:t xml:space="preserve">Rane, </w:t>
      </w:r>
      <w:r w:rsidRPr="00BE4AF3">
        <w:rPr>
          <w:rFonts w:ascii="Times New Roman" w:hAnsi="Times New Roman" w:cs="Times New Roman"/>
          <w:i/>
          <w:sz w:val="24"/>
          <w:szCs w:val="24"/>
        </w:rPr>
        <w:t>et al</w:t>
      </w:r>
      <w:r w:rsidRPr="00BE4AF3">
        <w:rPr>
          <w:rFonts w:ascii="Times New Roman" w:hAnsi="Times New Roman" w:cs="Times New Roman"/>
          <w:sz w:val="24"/>
          <w:szCs w:val="24"/>
        </w:rPr>
        <w:t xml:space="preserve">., 2024; </w:t>
      </w:r>
      <w:r w:rsidRPr="00BE4AF3">
        <w:rPr>
          <w:rFonts w:ascii="Times New Roman" w:hAnsi="Times New Roman" w:cs="Times New Roman"/>
          <w:color w:val="000000" w:themeColor="text1"/>
          <w:sz w:val="24"/>
          <w:szCs w:val="24"/>
        </w:rPr>
        <w:t>USGBC, 2023; Bourbia &amp; Benmahdjoub</w:t>
      </w:r>
      <w:r w:rsidRPr="00BE4AF3">
        <w:rPr>
          <w:rFonts w:ascii="Times New Roman" w:hAnsi="Times New Roman" w:cs="Times New Roman"/>
          <w:i/>
          <w:color w:val="000000" w:themeColor="text1"/>
          <w:sz w:val="24"/>
          <w:szCs w:val="24"/>
        </w:rPr>
        <w:t>,</w:t>
      </w:r>
      <w:r w:rsidRPr="00BE4AF3">
        <w:rPr>
          <w:rFonts w:ascii="Times New Roman" w:hAnsi="Times New Roman" w:cs="Times New Roman"/>
          <w:color w:val="000000" w:themeColor="text1"/>
          <w:sz w:val="24"/>
          <w:szCs w:val="24"/>
        </w:rPr>
        <w:t xml:space="preserve"> 2023: DGNB, 2023).</w:t>
      </w:r>
      <w:r w:rsidRPr="00BE4AF3">
        <w:rPr>
          <w:rFonts w:ascii="Times New Roman" w:hAnsi="Times New Roman" w:cs="Times New Roman"/>
          <w:i/>
          <w:sz w:val="24"/>
          <w:szCs w:val="24"/>
        </w:rPr>
        <w:t xml:space="preserve"> </w:t>
      </w:r>
      <w:r w:rsidRPr="00BE4AF3">
        <w:rPr>
          <w:rFonts w:ascii="Times New Roman" w:eastAsia="Times New Roman" w:hAnsi="Times New Roman" w:cs="Times New Roman"/>
          <w:sz w:val="24"/>
          <w:szCs w:val="24"/>
        </w:rPr>
        <w:t xml:space="preserve">These attributes were selected because they capture the </w:t>
      </w:r>
      <w:r w:rsidRPr="00BE4AF3">
        <w:rPr>
          <w:rFonts w:ascii="Times New Roman" w:eastAsia="Times New Roman" w:hAnsi="Times New Roman" w:cs="Times New Roman"/>
          <w:bCs/>
          <w:sz w:val="24"/>
          <w:szCs w:val="24"/>
        </w:rPr>
        <w:t>environmental, social, and economic dimensions</w:t>
      </w:r>
      <w:r w:rsidRPr="00BE4AF3">
        <w:rPr>
          <w:rFonts w:ascii="Times New Roman" w:eastAsia="Times New Roman" w:hAnsi="Times New Roman" w:cs="Times New Roman"/>
          <w:sz w:val="24"/>
          <w:szCs w:val="24"/>
        </w:rPr>
        <w:t xml:space="preserve"> of sustainability and are consistently highlighted in life cycle assessment (LCA) studies, green building guidelines, and peer-reviewed research on sustainable construction practices. A review of literature and sustainability frameworks was conducted to extract commonly recognized sustainability attributes of SCMs. These were organized under environmental, social, and economic categories to ensure a holistic representation. The SDG framework was reviewed to identify targets and indicators most relevant to sustainable </w:t>
      </w:r>
      <w:r w:rsidRPr="00BE4AF3">
        <w:rPr>
          <w:rFonts w:ascii="Times New Roman" w:eastAsia="Times New Roman" w:hAnsi="Times New Roman" w:cs="Times New Roman"/>
          <w:sz w:val="24"/>
          <w:szCs w:val="24"/>
        </w:rPr>
        <w:lastRenderedPageBreak/>
        <w:t xml:space="preserve">construction. For this study, emphasis was placed on </w:t>
      </w:r>
      <w:r w:rsidRPr="00BE4AF3">
        <w:rPr>
          <w:rFonts w:ascii="Times New Roman" w:eastAsia="Times New Roman" w:hAnsi="Times New Roman" w:cs="Times New Roman"/>
          <w:bCs/>
          <w:sz w:val="24"/>
          <w:szCs w:val="24"/>
        </w:rPr>
        <w:t>SDG 9.4 (upgrade infrastructure for sustainability), SDG 11.1 (access to affordable housing), SDG 11.6 (reduce environmental impact of cities), SDG 11.c (</w:t>
      </w:r>
      <w:r w:rsidRPr="00BE4AF3">
        <w:rPr>
          <w:rFonts w:ascii="Times New Roman" w:hAnsi="Times New Roman" w:cs="Times New Roman"/>
          <w:sz w:val="24"/>
          <w:szCs w:val="24"/>
        </w:rPr>
        <w:t>Local sustainable materials</w:t>
      </w:r>
      <w:r w:rsidRPr="00BE4AF3">
        <w:rPr>
          <w:rFonts w:ascii="Times New Roman" w:eastAsia="Times New Roman" w:hAnsi="Times New Roman" w:cs="Times New Roman"/>
          <w:bCs/>
          <w:sz w:val="24"/>
          <w:szCs w:val="24"/>
        </w:rPr>
        <w:t>), SDG 12.2 (sustainable management of natural resources), SDG 12.5 (reduce waste generation)</w:t>
      </w:r>
      <w:r w:rsidRPr="00BE4AF3">
        <w:rPr>
          <w:rFonts w:ascii="Times New Roman" w:hAnsi="Times New Roman" w:cs="Times New Roman"/>
          <w:bCs/>
          <w:sz w:val="24"/>
          <w:szCs w:val="24"/>
        </w:rPr>
        <w:t xml:space="preserve"> and SDG 12.7 (</w:t>
      </w:r>
      <w:r w:rsidRPr="00BE4AF3">
        <w:rPr>
          <w:rFonts w:ascii="Times New Roman" w:hAnsi="Times New Roman" w:cs="Times New Roman"/>
          <w:sz w:val="24"/>
          <w:szCs w:val="24"/>
        </w:rPr>
        <w:t>S</w:t>
      </w:r>
      <w:r w:rsidRPr="00BE4AF3">
        <w:rPr>
          <w:rFonts w:ascii="Times New Roman" w:eastAsia="Times New Roman" w:hAnsi="Times New Roman" w:cs="Times New Roman"/>
          <w:sz w:val="24"/>
          <w:szCs w:val="24"/>
        </w:rPr>
        <w:t>ustainable procurement</w:t>
      </w:r>
      <w:r w:rsidRPr="00BE4AF3">
        <w:rPr>
          <w:rFonts w:ascii="Times New Roman" w:hAnsi="Times New Roman" w:cs="Times New Roman"/>
          <w:sz w:val="24"/>
          <w:szCs w:val="24"/>
        </w:rPr>
        <w:t>)</w:t>
      </w:r>
      <w:r w:rsidRPr="00BE4AF3">
        <w:rPr>
          <w:rFonts w:ascii="Times New Roman" w:eastAsia="Times New Roman" w:hAnsi="Times New Roman" w:cs="Times New Roman"/>
          <w:sz w:val="24"/>
          <w:szCs w:val="24"/>
        </w:rPr>
        <w:t xml:space="preserve">. </w:t>
      </w:r>
      <w:r w:rsidRPr="00BE4AF3">
        <w:rPr>
          <w:rFonts w:ascii="Times New Roman" w:hAnsi="Times New Roman" w:cs="Times New Roman"/>
          <w:sz w:val="24"/>
          <w:szCs w:val="24"/>
        </w:rPr>
        <w:t>These SDGs are</w:t>
      </w:r>
      <w:r w:rsidRPr="00BE4AF3">
        <w:rPr>
          <w:rFonts w:ascii="Times New Roman" w:hAnsi="Times New Roman" w:cs="Times New Roman"/>
          <w:i/>
          <w:sz w:val="24"/>
          <w:szCs w:val="24"/>
        </w:rPr>
        <w:t xml:space="preserve"> </w:t>
      </w:r>
      <w:r w:rsidRPr="00BE4AF3">
        <w:rPr>
          <w:rStyle w:val="Emphasis"/>
          <w:rFonts w:ascii="Times New Roman" w:hAnsi="Times New Roman" w:cs="Times New Roman"/>
          <w:sz w:val="24"/>
          <w:szCs w:val="24"/>
        </w:rPr>
        <w:t>commonly cited in construction sustainability literature</w:t>
      </w:r>
      <w:r w:rsidRPr="00BE4AF3">
        <w:rPr>
          <w:rFonts w:ascii="Times New Roman" w:hAnsi="Times New Roman" w:cs="Times New Roman"/>
          <w:sz w:val="24"/>
          <w:szCs w:val="24"/>
        </w:rPr>
        <w:t xml:space="preserve"> because they directly link to infrastructure, housing, urban environment, and resource/waste management (Mohammed, 2019; Rane </w:t>
      </w:r>
      <w:r w:rsidRPr="00BE4AF3">
        <w:rPr>
          <w:rFonts w:ascii="Times New Roman" w:hAnsi="Times New Roman" w:cs="Times New Roman"/>
          <w:i/>
          <w:sz w:val="24"/>
          <w:szCs w:val="24"/>
        </w:rPr>
        <w:t>et. al</w:t>
      </w:r>
      <w:r w:rsidRPr="00BE4AF3">
        <w:rPr>
          <w:rFonts w:ascii="Times New Roman" w:hAnsi="Times New Roman" w:cs="Times New Roman"/>
          <w:sz w:val="24"/>
          <w:szCs w:val="24"/>
        </w:rPr>
        <w:t xml:space="preserve">., 2024; Usha, 2024). </w:t>
      </w:r>
      <w:r w:rsidRPr="00BE4AF3">
        <w:rPr>
          <w:rFonts w:ascii="Times New Roman" w:eastAsia="Times New Roman" w:hAnsi="Times New Roman" w:cs="Times New Roman"/>
          <w:color w:val="000000" w:themeColor="text1"/>
          <w:sz w:val="24"/>
          <w:szCs w:val="24"/>
        </w:rPr>
        <w:t>It is on this background that this paper identifies key sustainability attributes of commonly adopted sustainable construction materials through a comprehensive review of extant academic literatures. It then examines the core targets and indicators of the selected SDGs and systematically maps the relationship between these material attributes and the selected SDGs’ specific sustainability aims.</w:t>
      </w:r>
    </w:p>
    <w:bookmarkEnd w:id="35"/>
    <w:p w14:paraId="3E1ECC90" w14:textId="77777777" w:rsidR="00F4410D" w:rsidRPr="00BE4AF3" w:rsidRDefault="00F4410D" w:rsidP="00F4410D">
      <w:pPr>
        <w:spacing w:before="100" w:beforeAutospacing="1" w:after="0" w:line="240" w:lineRule="auto"/>
        <w:outlineLvl w:val="1"/>
        <w:rPr>
          <w:rFonts w:ascii="Times New Roman" w:eastAsia="Times New Roman" w:hAnsi="Times New Roman" w:cs="Times New Roman"/>
          <w:b/>
          <w:bCs/>
          <w:sz w:val="24"/>
          <w:szCs w:val="24"/>
        </w:rPr>
      </w:pPr>
      <w:r w:rsidRPr="00BE4AF3">
        <w:rPr>
          <w:rFonts w:ascii="Times New Roman" w:eastAsia="Times New Roman" w:hAnsi="Times New Roman" w:cs="Times New Roman"/>
          <w:b/>
          <w:bCs/>
          <w:sz w:val="24"/>
          <w:szCs w:val="24"/>
        </w:rPr>
        <w:t>Materials and Methods</w:t>
      </w:r>
    </w:p>
    <w:p w14:paraId="3E9A87AE" w14:textId="77777777" w:rsidR="00F4410D" w:rsidRPr="00BE4AF3" w:rsidRDefault="00F4410D" w:rsidP="00F4410D">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This study primarily relies on desk-based research which draws on secondary data sources to examine the sustainability impact of SCMs in relation to the Sustainable Development Goals (SDGs). This secondary data was obtained from a</w:t>
      </w:r>
      <w:r w:rsidRPr="00BE4AF3">
        <w:rPr>
          <w:rFonts w:ascii="Times New Roman" w:eastAsia="Times New Roman" w:hAnsi="Times New Roman" w:cs="Times New Roman"/>
          <w:bCs/>
          <w:sz w:val="24"/>
          <w:szCs w:val="24"/>
        </w:rPr>
        <w:t>cademic literature</w:t>
      </w:r>
      <w:r w:rsidRPr="00BE4AF3">
        <w:rPr>
          <w:rFonts w:ascii="Times New Roman" w:eastAsia="Times New Roman" w:hAnsi="Times New Roman" w:cs="Times New Roman"/>
          <w:sz w:val="24"/>
          <w:szCs w:val="24"/>
        </w:rPr>
        <w:t xml:space="preserve"> on sustainable construction materials, including systematic reviews, case studies, and comparative analyses, </w:t>
      </w:r>
      <w:r w:rsidRPr="00BE4AF3">
        <w:rPr>
          <w:rFonts w:ascii="Times New Roman" w:eastAsia="Times New Roman" w:hAnsi="Times New Roman" w:cs="Times New Roman"/>
          <w:bCs/>
          <w:sz w:val="24"/>
          <w:szCs w:val="24"/>
        </w:rPr>
        <w:t>Life cycle assessment (LCA) databases</w:t>
      </w:r>
      <w:r w:rsidRPr="00BE4AF3">
        <w:rPr>
          <w:rFonts w:ascii="Times New Roman" w:eastAsia="Times New Roman" w:hAnsi="Times New Roman" w:cs="Times New Roman"/>
          <w:sz w:val="24"/>
          <w:szCs w:val="24"/>
        </w:rPr>
        <w:t xml:space="preserve"> and reports (e.g. GBA, UNEP publications) and </w:t>
      </w:r>
      <w:r w:rsidRPr="00BE4AF3">
        <w:rPr>
          <w:rFonts w:ascii="Times New Roman" w:eastAsia="Times New Roman" w:hAnsi="Times New Roman" w:cs="Times New Roman"/>
          <w:bCs/>
          <w:sz w:val="24"/>
          <w:szCs w:val="24"/>
        </w:rPr>
        <w:t>United Nations SDG framework documents</w:t>
      </w:r>
      <w:r w:rsidRPr="00BE4AF3">
        <w:rPr>
          <w:rFonts w:ascii="Times New Roman" w:eastAsia="Times New Roman" w:hAnsi="Times New Roman" w:cs="Times New Roman"/>
          <w:sz w:val="24"/>
          <w:szCs w:val="24"/>
        </w:rPr>
        <w:t>, which provide official definitions of indicators for SDGs 9, 11, and 12.</w:t>
      </w:r>
    </w:p>
    <w:p w14:paraId="4953F01B" w14:textId="77777777" w:rsidR="00F4410D" w:rsidRPr="00BE4AF3" w:rsidRDefault="00F4410D" w:rsidP="009506B8">
      <w:pPr>
        <w:spacing w:after="0" w:line="240" w:lineRule="auto"/>
        <w:jc w:val="both"/>
        <w:rPr>
          <w:rFonts w:ascii="Times New Roman" w:eastAsia="Times New Roman" w:hAnsi="Times New Roman" w:cs="Times New Roman"/>
          <w:sz w:val="24"/>
          <w:szCs w:val="24"/>
        </w:rPr>
      </w:pPr>
      <w:r w:rsidRPr="00BE4AF3">
        <w:rPr>
          <w:rFonts w:ascii="Times New Roman" w:hAnsi="Times New Roman" w:cs="Times New Roman"/>
          <w:color w:val="000000" w:themeColor="text1"/>
          <w:sz w:val="24"/>
          <w:szCs w:val="24"/>
        </w:rPr>
        <w:t xml:space="preserve">The study adopted the use of Qualitative Content Analysis (QCA) which is a systematic method for interpreting textual data by coding and categorizing it into meaningful themes. It goes beyond counting words to uncover relationships, patterns, and contextual meaning (Schreier, 2012). </w:t>
      </w:r>
      <w:r w:rsidRPr="00BE4AF3">
        <w:rPr>
          <w:rFonts w:ascii="Times New Roman" w:eastAsia="Times New Roman" w:hAnsi="Times New Roman" w:cs="Times New Roman"/>
          <w:sz w:val="24"/>
          <w:szCs w:val="24"/>
        </w:rPr>
        <w:t xml:space="preserve">The analysis focuses on three SDGs that are central to the built environment: </w:t>
      </w:r>
      <w:r w:rsidRPr="00BE4AF3">
        <w:rPr>
          <w:rFonts w:ascii="Times New Roman" w:eastAsia="Times New Roman" w:hAnsi="Times New Roman" w:cs="Times New Roman"/>
          <w:bCs/>
          <w:sz w:val="24"/>
          <w:szCs w:val="24"/>
        </w:rPr>
        <w:t>SDG 9 (Industry, Innovation and Infrastructure), SDG 11 (Sustainable Cities and Communities), and SDG 12 (Responsible Consumption and Production)</w:t>
      </w:r>
      <w:r w:rsidRPr="00BE4AF3">
        <w:rPr>
          <w:rFonts w:ascii="Times New Roman" w:eastAsia="Times New Roman" w:hAnsi="Times New Roman" w:cs="Times New Roman"/>
          <w:sz w:val="24"/>
          <w:szCs w:val="24"/>
        </w:rPr>
        <w:t xml:space="preserve"> The official United Nations framework, which specifies 17 goals, 169 targets, and 231 indicators, served as the reference for identifying the most relevant targets and indicators under these three goals. </w:t>
      </w:r>
    </w:p>
    <w:p w14:paraId="342F2A1B" w14:textId="77777777" w:rsidR="00F4410D" w:rsidRDefault="00F4410D" w:rsidP="009506B8">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The sustainability dimensions of construction materials were characterized using </w:t>
      </w:r>
      <w:r w:rsidRPr="00BE4AF3">
        <w:rPr>
          <w:rFonts w:ascii="Times New Roman" w:eastAsia="Times New Roman" w:hAnsi="Times New Roman" w:cs="Times New Roman"/>
          <w:bCs/>
          <w:sz w:val="24"/>
          <w:szCs w:val="24"/>
        </w:rPr>
        <w:t>key attributes</w:t>
      </w:r>
      <w:r w:rsidRPr="00BE4AF3">
        <w:rPr>
          <w:rFonts w:ascii="Times New Roman" w:eastAsia="Times New Roman" w:hAnsi="Times New Roman" w:cs="Times New Roman"/>
          <w:sz w:val="24"/>
          <w:szCs w:val="24"/>
        </w:rPr>
        <w:t xml:space="preserve"> frequently discussed in the literature and reported in sustainability rating systems such as LEED and BREEAM. A </w:t>
      </w:r>
      <w:r w:rsidRPr="00BE4AF3">
        <w:rPr>
          <w:rFonts w:ascii="Times New Roman" w:eastAsia="Times New Roman" w:hAnsi="Times New Roman" w:cs="Times New Roman"/>
          <w:bCs/>
          <w:sz w:val="24"/>
          <w:szCs w:val="24"/>
        </w:rPr>
        <w:t>mapping matrix</w:t>
      </w:r>
      <w:r w:rsidRPr="00BE4AF3">
        <w:rPr>
          <w:rFonts w:ascii="Times New Roman" w:eastAsia="Times New Roman" w:hAnsi="Times New Roman" w:cs="Times New Roman"/>
          <w:sz w:val="24"/>
          <w:szCs w:val="24"/>
        </w:rPr>
        <w:t xml:space="preserve"> was constructed to systematically align sustainability attributes with the selected SDG targets and indicators. In this matrix, r</w:t>
      </w:r>
      <w:r w:rsidRPr="00BE4AF3">
        <w:rPr>
          <w:rFonts w:ascii="Times New Roman" w:eastAsia="Times New Roman" w:hAnsi="Times New Roman" w:cs="Times New Roman"/>
          <w:bCs/>
          <w:sz w:val="24"/>
          <w:szCs w:val="24"/>
        </w:rPr>
        <w:t>ows</w:t>
      </w:r>
      <w:r w:rsidRPr="00BE4AF3">
        <w:rPr>
          <w:rFonts w:ascii="Times New Roman" w:eastAsia="Times New Roman" w:hAnsi="Times New Roman" w:cs="Times New Roman"/>
          <w:sz w:val="24"/>
          <w:szCs w:val="24"/>
        </w:rPr>
        <w:t xml:space="preserve"> represent sustainability attributes of construction materials, c</w:t>
      </w:r>
      <w:r w:rsidRPr="00BE4AF3">
        <w:rPr>
          <w:rFonts w:ascii="Times New Roman" w:eastAsia="Times New Roman" w:hAnsi="Times New Roman" w:cs="Times New Roman"/>
          <w:bCs/>
          <w:sz w:val="24"/>
          <w:szCs w:val="24"/>
        </w:rPr>
        <w:t>olumns</w:t>
      </w:r>
      <w:r w:rsidRPr="00BE4AF3">
        <w:rPr>
          <w:rFonts w:ascii="Times New Roman" w:eastAsia="Times New Roman" w:hAnsi="Times New Roman" w:cs="Times New Roman"/>
          <w:sz w:val="24"/>
          <w:szCs w:val="24"/>
        </w:rPr>
        <w:t xml:space="preserve"> represent SDG targets and indicators while </w:t>
      </w:r>
      <w:r w:rsidRPr="00BE4AF3">
        <w:rPr>
          <w:rFonts w:ascii="Times New Roman" w:eastAsia="Times New Roman" w:hAnsi="Times New Roman" w:cs="Times New Roman"/>
          <w:bCs/>
          <w:sz w:val="24"/>
          <w:szCs w:val="24"/>
        </w:rPr>
        <w:t>Cells</w:t>
      </w:r>
      <w:r w:rsidRPr="00BE4AF3">
        <w:rPr>
          <w:rFonts w:ascii="Times New Roman" w:eastAsia="Times New Roman" w:hAnsi="Times New Roman" w:cs="Times New Roman"/>
          <w:sz w:val="24"/>
          <w:szCs w:val="24"/>
        </w:rPr>
        <w:t xml:space="preserve"> show the strength of relationship between the attribute and the SDG target. To determine the strength of linkages, a qualitative coding approach was adopted, guided by evidence from literature and sustainability reports. A three-level scoring scale was used; A </w:t>
      </w:r>
      <w:r w:rsidRPr="00BE4AF3">
        <w:rPr>
          <w:rFonts w:ascii="Times New Roman" w:eastAsia="Times New Roman" w:hAnsi="Times New Roman" w:cs="Times New Roman"/>
          <w:bCs/>
          <w:sz w:val="24"/>
          <w:szCs w:val="24"/>
        </w:rPr>
        <w:t>Strong linkage</w:t>
      </w:r>
      <w:r w:rsidRPr="00BE4AF3">
        <w:rPr>
          <w:rFonts w:ascii="Times New Roman" w:eastAsia="Times New Roman" w:hAnsi="Times New Roman" w:cs="Times New Roman"/>
          <w:b/>
          <w:bCs/>
          <w:sz w:val="24"/>
          <w:szCs w:val="24"/>
        </w:rPr>
        <w:t xml:space="preserve"> </w:t>
      </w:r>
      <w:r w:rsidRPr="00BE4AF3">
        <w:rPr>
          <w:rFonts w:ascii="Times New Roman" w:eastAsia="Times New Roman" w:hAnsi="Times New Roman" w:cs="Times New Roman"/>
          <w:bCs/>
          <w:sz w:val="24"/>
          <w:szCs w:val="24"/>
        </w:rPr>
        <w:t>which indicates</w:t>
      </w:r>
      <w:r w:rsidRPr="00BE4AF3">
        <w:rPr>
          <w:rFonts w:ascii="Times New Roman" w:eastAsia="Times New Roman" w:hAnsi="Times New Roman" w:cs="Times New Roman"/>
          <w:sz w:val="24"/>
          <w:szCs w:val="24"/>
        </w:rPr>
        <w:t xml:space="preserve"> direct, well-documented contribution of the attribute to the SDG target/indicator. A </w:t>
      </w:r>
      <w:r w:rsidRPr="00BE4AF3">
        <w:rPr>
          <w:rFonts w:ascii="Times New Roman" w:eastAsia="Times New Roman" w:hAnsi="Times New Roman" w:cs="Times New Roman"/>
          <w:bCs/>
          <w:sz w:val="24"/>
          <w:szCs w:val="24"/>
        </w:rPr>
        <w:t>Moderate linkage which an</w:t>
      </w:r>
      <w:r w:rsidRPr="00BE4AF3">
        <w:rPr>
          <w:rFonts w:ascii="Times New Roman" w:eastAsia="Times New Roman" w:hAnsi="Times New Roman" w:cs="Times New Roman"/>
          <w:sz w:val="24"/>
          <w:szCs w:val="24"/>
        </w:rPr>
        <w:t xml:space="preserve"> indirect or partial contribution; evidence exists but is context-dependent. A w</w:t>
      </w:r>
      <w:r w:rsidRPr="00BE4AF3">
        <w:rPr>
          <w:rFonts w:ascii="Times New Roman" w:eastAsia="Times New Roman" w:hAnsi="Times New Roman" w:cs="Times New Roman"/>
          <w:bCs/>
          <w:sz w:val="24"/>
          <w:szCs w:val="24"/>
        </w:rPr>
        <w:t>eak or no linkage</w:t>
      </w:r>
      <w:r w:rsidRPr="00BE4AF3">
        <w:rPr>
          <w:rFonts w:ascii="Times New Roman" w:eastAsia="Times New Roman" w:hAnsi="Times New Roman" w:cs="Times New Roman"/>
          <w:sz w:val="24"/>
          <w:szCs w:val="24"/>
        </w:rPr>
        <w:t xml:space="preserve"> Little or no evidence of contribution to the SDG target/indicator.</w:t>
      </w:r>
    </w:p>
    <w:p w14:paraId="0031314E" w14:textId="77777777" w:rsidR="009506B8" w:rsidRPr="00BE4AF3" w:rsidRDefault="009506B8" w:rsidP="009506B8">
      <w:pPr>
        <w:spacing w:after="0" w:line="240" w:lineRule="auto"/>
        <w:jc w:val="both"/>
        <w:rPr>
          <w:rFonts w:ascii="Times New Roman" w:eastAsia="Times New Roman" w:hAnsi="Times New Roman" w:cs="Times New Roman"/>
          <w:sz w:val="24"/>
          <w:szCs w:val="24"/>
        </w:rPr>
      </w:pPr>
    </w:p>
    <w:p w14:paraId="106F0FAC" w14:textId="77777777" w:rsidR="00F4410D" w:rsidRPr="00BE4AF3" w:rsidRDefault="00F4410D" w:rsidP="00F4410D">
      <w:pPr>
        <w:spacing w:after="0" w:line="240" w:lineRule="auto"/>
        <w:jc w:val="both"/>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Results and Discussion</w:t>
      </w:r>
    </w:p>
    <w:p w14:paraId="0FB9065D" w14:textId="77777777" w:rsidR="00F4410D" w:rsidRDefault="00F4410D" w:rsidP="00F4410D">
      <w:pPr>
        <w:spacing w:after="0" w:line="240" w:lineRule="auto"/>
        <w:jc w:val="both"/>
        <w:rPr>
          <w:rFonts w:ascii="Times New Roman" w:eastAsia="Times New Roman" w:hAnsi="Times New Roman" w:cs="Times New Roman"/>
          <w:sz w:val="24"/>
          <w:szCs w:val="24"/>
        </w:rPr>
      </w:pPr>
      <w:r w:rsidRPr="00BE4AF3">
        <w:rPr>
          <w:rFonts w:ascii="Times New Roman" w:hAnsi="Times New Roman" w:cs="Times New Roman"/>
          <w:sz w:val="24"/>
          <w:szCs w:val="24"/>
        </w:rPr>
        <w:t xml:space="preserve">Table 4 below presents the mapping matrix developed to align sustainability attributes of SCMs with selected SDG targets. The coding system indicates the strength of evidence linking each attribute to specific SDG objectives. </w:t>
      </w:r>
      <w:r w:rsidRPr="00BE4AF3">
        <w:rPr>
          <w:rFonts w:ascii="Times New Roman" w:eastAsia="Times New Roman" w:hAnsi="Times New Roman" w:cs="Times New Roman"/>
          <w:sz w:val="24"/>
          <w:szCs w:val="24"/>
        </w:rPr>
        <w:t xml:space="preserve">The mapping analysis revealed a differentiated pattern of alignment between sustainability attributes of construction materials and the selected SDG targets. </w:t>
      </w:r>
    </w:p>
    <w:p w14:paraId="172D7CC2" w14:textId="77777777" w:rsidR="009506B8" w:rsidRDefault="009506B8" w:rsidP="00F4410D">
      <w:pPr>
        <w:spacing w:after="0" w:line="240" w:lineRule="auto"/>
        <w:jc w:val="both"/>
        <w:rPr>
          <w:rFonts w:ascii="Times New Roman" w:eastAsia="Times New Roman" w:hAnsi="Times New Roman" w:cs="Times New Roman"/>
          <w:sz w:val="24"/>
          <w:szCs w:val="24"/>
        </w:rPr>
      </w:pPr>
    </w:p>
    <w:p w14:paraId="7953FE7F" w14:textId="77777777" w:rsidR="009506B8" w:rsidRPr="00BE4AF3" w:rsidRDefault="009506B8" w:rsidP="00F4410D">
      <w:pPr>
        <w:spacing w:after="0" w:line="240" w:lineRule="auto"/>
        <w:jc w:val="both"/>
        <w:rPr>
          <w:rFonts w:ascii="Times New Roman" w:hAnsi="Times New Roman" w:cs="Times New Roman"/>
          <w:sz w:val="24"/>
          <w:szCs w:val="24"/>
        </w:rPr>
      </w:pPr>
    </w:p>
    <w:p w14:paraId="4835DF33" w14:textId="77777777" w:rsidR="00F4410D" w:rsidRPr="009506B8" w:rsidRDefault="00F4410D" w:rsidP="00F4410D">
      <w:pPr>
        <w:spacing w:line="240" w:lineRule="auto"/>
        <w:jc w:val="center"/>
        <w:rPr>
          <w:rFonts w:ascii="Times New Roman" w:hAnsi="Times New Roman" w:cs="Times New Roman"/>
          <w:color w:val="000000" w:themeColor="text1"/>
          <w:sz w:val="24"/>
          <w:szCs w:val="24"/>
        </w:rPr>
      </w:pPr>
      <w:r w:rsidRPr="00BE4AF3">
        <w:rPr>
          <w:rFonts w:ascii="Times New Roman" w:hAnsi="Times New Roman" w:cs="Times New Roman"/>
          <w:b/>
          <w:bCs/>
          <w:color w:val="000000" w:themeColor="text1"/>
          <w:sz w:val="24"/>
          <w:szCs w:val="24"/>
        </w:rPr>
        <w:lastRenderedPageBreak/>
        <w:t xml:space="preserve">Table 4: </w:t>
      </w:r>
      <w:r w:rsidRPr="009506B8">
        <w:rPr>
          <w:rFonts w:ascii="Times New Roman" w:hAnsi="Times New Roman" w:cs="Times New Roman"/>
          <w:color w:val="000000" w:themeColor="text1"/>
          <w:sz w:val="24"/>
          <w:szCs w:val="24"/>
        </w:rPr>
        <w:t>Mapping Sustainability attributes to relevant SDGs</w:t>
      </w:r>
    </w:p>
    <w:tbl>
      <w:tblPr>
        <w:tblStyle w:val="ListTable6Colorful"/>
        <w:tblW w:w="9360" w:type="dxa"/>
        <w:jc w:val="center"/>
        <w:shd w:val="clear" w:color="auto" w:fill="FFFFFF" w:themeFill="background1"/>
        <w:tblLook w:val="04A0" w:firstRow="1" w:lastRow="0" w:firstColumn="1" w:lastColumn="0" w:noHBand="0" w:noVBand="1"/>
      </w:tblPr>
      <w:tblGrid>
        <w:gridCol w:w="1249"/>
        <w:gridCol w:w="1229"/>
        <w:gridCol w:w="986"/>
        <w:gridCol w:w="1303"/>
        <w:gridCol w:w="1052"/>
        <w:gridCol w:w="1177"/>
        <w:gridCol w:w="1198"/>
        <w:gridCol w:w="1166"/>
      </w:tblGrid>
      <w:tr w:rsidR="00E77DDF" w:rsidRPr="009506B8" w14:paraId="4D7E9A8F" w14:textId="77777777" w:rsidTr="009506B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37" w:type="dxa"/>
            <w:shd w:val="clear" w:color="auto" w:fill="FFFFFF" w:themeFill="background1"/>
            <w:hideMark/>
          </w:tcPr>
          <w:p w14:paraId="55C070F5" w14:textId="77777777" w:rsidR="00F4410D" w:rsidRPr="009506B8" w:rsidRDefault="00F4410D" w:rsidP="009506B8">
            <w:pPr>
              <w:spacing w:after="0" w:line="240" w:lineRule="auto"/>
              <w:jc w:val="center"/>
              <w:rPr>
                <w:rFonts w:ascii="Times New Roman" w:eastAsia="Times New Roman" w:hAnsi="Times New Roman" w:cs="Times New Roman"/>
                <w:b w:val="0"/>
                <w:bCs w:val="0"/>
                <w:sz w:val="20"/>
                <w:szCs w:val="20"/>
              </w:rPr>
            </w:pPr>
            <w:r w:rsidRPr="009506B8">
              <w:rPr>
                <w:rFonts w:ascii="Times New Roman" w:eastAsia="Times New Roman" w:hAnsi="Times New Roman" w:cs="Times New Roman"/>
                <w:b w:val="0"/>
                <w:bCs w:val="0"/>
                <w:sz w:val="20"/>
                <w:szCs w:val="20"/>
              </w:rPr>
              <w:t>Sustainability Attribute</w:t>
            </w:r>
          </w:p>
        </w:tc>
        <w:tc>
          <w:tcPr>
            <w:tcW w:w="0" w:type="auto"/>
            <w:shd w:val="clear" w:color="auto" w:fill="FFFFFF" w:themeFill="background1"/>
            <w:hideMark/>
          </w:tcPr>
          <w:p w14:paraId="52BA4124" w14:textId="77777777" w:rsidR="00F4410D" w:rsidRPr="009506B8" w:rsidRDefault="00F4410D" w:rsidP="009506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9506B8">
              <w:rPr>
                <w:rFonts w:ascii="Times New Roman" w:eastAsia="Times New Roman" w:hAnsi="Times New Roman" w:cs="Times New Roman"/>
                <w:b w:val="0"/>
                <w:bCs w:val="0"/>
                <w:sz w:val="20"/>
                <w:szCs w:val="20"/>
              </w:rPr>
              <w:t>SDG 9.4 – Upgrade infrastructure for sustainability (CO</w:t>
            </w:r>
            <w:r w:rsidRPr="009506B8">
              <w:rPr>
                <w:rFonts w:ascii="Cambria Math" w:eastAsia="Times New Roman" w:hAnsi="Cambria Math" w:cs="Cambria Math"/>
                <w:b w:val="0"/>
                <w:bCs w:val="0"/>
                <w:sz w:val="20"/>
                <w:szCs w:val="20"/>
              </w:rPr>
              <w:t>₂</w:t>
            </w:r>
            <w:r w:rsidRPr="009506B8">
              <w:rPr>
                <w:rFonts w:ascii="Times New Roman" w:eastAsia="Times New Roman" w:hAnsi="Times New Roman" w:cs="Times New Roman"/>
                <w:b w:val="0"/>
                <w:bCs w:val="0"/>
                <w:sz w:val="20"/>
                <w:szCs w:val="20"/>
              </w:rPr>
              <w:t xml:space="preserve"> emissions per unit of value added)</w:t>
            </w:r>
          </w:p>
        </w:tc>
        <w:tc>
          <w:tcPr>
            <w:tcW w:w="986" w:type="dxa"/>
            <w:shd w:val="clear" w:color="auto" w:fill="FFFFFF" w:themeFill="background1"/>
            <w:hideMark/>
          </w:tcPr>
          <w:p w14:paraId="4E61EF9F" w14:textId="77777777" w:rsidR="00F4410D" w:rsidRPr="009506B8" w:rsidRDefault="00F4410D" w:rsidP="009506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9506B8">
              <w:rPr>
                <w:rFonts w:ascii="Times New Roman" w:eastAsia="Times New Roman" w:hAnsi="Times New Roman" w:cs="Times New Roman"/>
                <w:b w:val="0"/>
                <w:bCs w:val="0"/>
                <w:sz w:val="20"/>
                <w:szCs w:val="20"/>
              </w:rPr>
              <w:t>SDG 11.1 – Ensure access to safe, affordable housing</w:t>
            </w:r>
          </w:p>
        </w:tc>
        <w:tc>
          <w:tcPr>
            <w:tcW w:w="1294" w:type="dxa"/>
            <w:shd w:val="clear" w:color="auto" w:fill="FFFFFF" w:themeFill="background1"/>
            <w:hideMark/>
          </w:tcPr>
          <w:p w14:paraId="1E329608" w14:textId="77777777" w:rsidR="00F4410D" w:rsidRPr="009506B8" w:rsidRDefault="00F4410D" w:rsidP="009506B8">
            <w:pPr>
              <w:spacing w:after="0" w:line="24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9506B8">
              <w:rPr>
                <w:rFonts w:ascii="Times New Roman" w:eastAsia="Times New Roman" w:hAnsi="Times New Roman" w:cs="Times New Roman"/>
                <w:b w:val="0"/>
                <w:bCs w:val="0"/>
                <w:sz w:val="20"/>
                <w:szCs w:val="20"/>
              </w:rPr>
              <w:t>SDG 11.6 – Reduce environmental impact of cities (waste management, air quality)</w:t>
            </w:r>
          </w:p>
        </w:tc>
        <w:tc>
          <w:tcPr>
            <w:tcW w:w="1044" w:type="dxa"/>
            <w:shd w:val="clear" w:color="auto" w:fill="FFFFFF" w:themeFill="background1"/>
          </w:tcPr>
          <w:p w14:paraId="15B280A2" w14:textId="77777777" w:rsidR="00F4410D" w:rsidRPr="009506B8" w:rsidRDefault="00F4410D" w:rsidP="009506B8">
            <w:pPr>
              <w:spacing w:after="0" w:line="24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9506B8">
              <w:rPr>
                <w:rFonts w:ascii="Times New Roman" w:eastAsia="Times New Roman" w:hAnsi="Times New Roman" w:cs="Times New Roman"/>
                <w:b w:val="0"/>
                <w:bCs w:val="0"/>
                <w:sz w:val="20"/>
                <w:szCs w:val="20"/>
              </w:rPr>
              <w:t xml:space="preserve">SDG 11.c - </w:t>
            </w:r>
            <w:r w:rsidRPr="009506B8">
              <w:rPr>
                <w:rFonts w:ascii="Times New Roman" w:hAnsi="Times New Roman" w:cs="Times New Roman"/>
                <w:b w:val="0"/>
                <w:bCs w:val="0"/>
                <w:sz w:val="20"/>
                <w:szCs w:val="20"/>
              </w:rPr>
              <w:t>Local sustainable materials</w:t>
            </w:r>
          </w:p>
        </w:tc>
        <w:tc>
          <w:tcPr>
            <w:tcW w:w="1168" w:type="dxa"/>
            <w:shd w:val="clear" w:color="auto" w:fill="FFFFFF" w:themeFill="background1"/>
            <w:hideMark/>
          </w:tcPr>
          <w:p w14:paraId="7BFD8484" w14:textId="77777777" w:rsidR="00F4410D" w:rsidRPr="009506B8" w:rsidRDefault="00F4410D" w:rsidP="009506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9506B8">
              <w:rPr>
                <w:rFonts w:ascii="Times New Roman" w:eastAsia="Times New Roman" w:hAnsi="Times New Roman" w:cs="Times New Roman"/>
                <w:b w:val="0"/>
                <w:bCs w:val="0"/>
                <w:sz w:val="20"/>
                <w:szCs w:val="20"/>
              </w:rPr>
              <w:t>SDG 12.2 – Sustainable management and efficient use of natural resources</w:t>
            </w:r>
          </w:p>
        </w:tc>
        <w:tc>
          <w:tcPr>
            <w:tcW w:w="0" w:type="auto"/>
            <w:shd w:val="clear" w:color="auto" w:fill="FFFFFF" w:themeFill="background1"/>
            <w:hideMark/>
          </w:tcPr>
          <w:p w14:paraId="47D1A899" w14:textId="77777777" w:rsidR="00F4410D" w:rsidRPr="009506B8" w:rsidRDefault="00F4410D" w:rsidP="009506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9506B8">
              <w:rPr>
                <w:rFonts w:ascii="Times New Roman" w:eastAsia="Times New Roman" w:hAnsi="Times New Roman" w:cs="Times New Roman"/>
                <w:b w:val="0"/>
                <w:bCs w:val="0"/>
                <w:sz w:val="20"/>
                <w:szCs w:val="20"/>
              </w:rPr>
              <w:t xml:space="preserve">SDG 12.5 – Substantially reduce waste generation </w:t>
            </w:r>
          </w:p>
        </w:tc>
        <w:tc>
          <w:tcPr>
            <w:tcW w:w="0" w:type="auto"/>
            <w:shd w:val="clear" w:color="auto" w:fill="FFFFFF" w:themeFill="background1"/>
          </w:tcPr>
          <w:p w14:paraId="513DDE1B" w14:textId="77777777" w:rsidR="00F4410D" w:rsidRPr="009506B8" w:rsidRDefault="00F4410D" w:rsidP="009506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9506B8">
              <w:rPr>
                <w:rFonts w:ascii="Times New Roman" w:eastAsia="Times New Roman" w:hAnsi="Times New Roman" w:cs="Times New Roman"/>
                <w:b w:val="0"/>
                <w:bCs w:val="0"/>
                <w:sz w:val="20"/>
                <w:szCs w:val="20"/>
              </w:rPr>
              <w:t>SDG 12.7 – Sustainable procurement</w:t>
            </w:r>
          </w:p>
        </w:tc>
      </w:tr>
      <w:tr w:rsidR="00E77DDF" w:rsidRPr="009506B8" w14:paraId="3A510756" w14:textId="77777777" w:rsidTr="009506B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37" w:type="dxa"/>
            <w:shd w:val="clear" w:color="auto" w:fill="FFFFFF" w:themeFill="background1"/>
            <w:hideMark/>
          </w:tcPr>
          <w:p w14:paraId="0CFC373E" w14:textId="77777777" w:rsidR="00F4410D" w:rsidRPr="009506B8" w:rsidRDefault="00F4410D" w:rsidP="009506B8">
            <w:pPr>
              <w:spacing w:after="0" w:line="240" w:lineRule="auto"/>
              <w:rPr>
                <w:rFonts w:ascii="Times New Roman" w:eastAsia="Times New Roman" w:hAnsi="Times New Roman" w:cs="Times New Roman"/>
                <w:b w:val="0"/>
                <w:bCs w:val="0"/>
                <w:sz w:val="20"/>
                <w:szCs w:val="20"/>
              </w:rPr>
            </w:pPr>
            <w:r w:rsidRPr="009506B8">
              <w:rPr>
                <w:rFonts w:ascii="Times New Roman" w:eastAsia="Times New Roman" w:hAnsi="Times New Roman" w:cs="Times New Roman"/>
                <w:b w:val="0"/>
                <w:bCs w:val="0"/>
                <w:sz w:val="20"/>
                <w:szCs w:val="20"/>
              </w:rPr>
              <w:t>Low embodied carbon</w:t>
            </w:r>
          </w:p>
        </w:tc>
        <w:tc>
          <w:tcPr>
            <w:tcW w:w="0" w:type="auto"/>
            <w:shd w:val="clear" w:color="auto" w:fill="FFFFFF" w:themeFill="background1"/>
            <w:hideMark/>
          </w:tcPr>
          <w:p w14:paraId="42E01074" w14:textId="77777777" w:rsidR="00F4410D" w:rsidRPr="009506B8" w:rsidRDefault="00F4410D" w:rsidP="009506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Strong</w:t>
            </w:r>
          </w:p>
        </w:tc>
        <w:tc>
          <w:tcPr>
            <w:tcW w:w="986" w:type="dxa"/>
            <w:shd w:val="clear" w:color="auto" w:fill="FFFFFF" w:themeFill="background1"/>
            <w:hideMark/>
          </w:tcPr>
          <w:p w14:paraId="28E3FE32" w14:textId="77777777" w:rsidR="00F4410D" w:rsidRPr="009506B8" w:rsidRDefault="00F4410D" w:rsidP="009506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Moderate</w:t>
            </w:r>
          </w:p>
        </w:tc>
        <w:tc>
          <w:tcPr>
            <w:tcW w:w="1294" w:type="dxa"/>
            <w:shd w:val="clear" w:color="auto" w:fill="FFFFFF" w:themeFill="background1"/>
            <w:hideMark/>
          </w:tcPr>
          <w:p w14:paraId="4D9B85A7" w14:textId="77777777" w:rsidR="00F4410D" w:rsidRPr="009506B8" w:rsidRDefault="00F4410D" w:rsidP="009506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Strong</w:t>
            </w:r>
          </w:p>
        </w:tc>
        <w:tc>
          <w:tcPr>
            <w:tcW w:w="1044" w:type="dxa"/>
            <w:shd w:val="clear" w:color="auto" w:fill="FFFFFF" w:themeFill="background1"/>
          </w:tcPr>
          <w:p w14:paraId="62632810" w14:textId="77777777" w:rsidR="00F4410D" w:rsidRPr="009506B8" w:rsidRDefault="00F4410D" w:rsidP="009506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Moderate</w:t>
            </w:r>
          </w:p>
        </w:tc>
        <w:tc>
          <w:tcPr>
            <w:tcW w:w="1168" w:type="dxa"/>
            <w:shd w:val="clear" w:color="auto" w:fill="FFFFFF" w:themeFill="background1"/>
            <w:hideMark/>
          </w:tcPr>
          <w:p w14:paraId="1104EA32" w14:textId="77777777" w:rsidR="00F4410D" w:rsidRPr="009506B8" w:rsidRDefault="00F4410D" w:rsidP="009506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Strong</w:t>
            </w:r>
          </w:p>
        </w:tc>
        <w:tc>
          <w:tcPr>
            <w:tcW w:w="0" w:type="auto"/>
            <w:shd w:val="clear" w:color="auto" w:fill="FFFFFF" w:themeFill="background1"/>
          </w:tcPr>
          <w:p w14:paraId="049947B9" w14:textId="77777777" w:rsidR="00F4410D" w:rsidRPr="009506B8" w:rsidRDefault="00F4410D" w:rsidP="009506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Weak</w:t>
            </w:r>
          </w:p>
        </w:tc>
        <w:tc>
          <w:tcPr>
            <w:tcW w:w="0" w:type="auto"/>
            <w:shd w:val="clear" w:color="auto" w:fill="FFFFFF" w:themeFill="background1"/>
          </w:tcPr>
          <w:p w14:paraId="07614998" w14:textId="77777777" w:rsidR="00F4410D" w:rsidRPr="009506B8" w:rsidRDefault="00F4410D" w:rsidP="009506B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506B8">
              <w:rPr>
                <w:rFonts w:ascii="Times New Roman" w:eastAsia="Times New Roman" w:hAnsi="Times New Roman" w:cs="Times New Roman"/>
                <w:sz w:val="20"/>
                <w:szCs w:val="20"/>
              </w:rPr>
              <w:t>Strong</w:t>
            </w:r>
          </w:p>
        </w:tc>
      </w:tr>
      <w:tr w:rsidR="00E77DDF" w:rsidRPr="009506B8" w14:paraId="6D365714" w14:textId="77777777" w:rsidTr="009506B8">
        <w:trPr>
          <w:jc w:val="center"/>
        </w:trPr>
        <w:tc>
          <w:tcPr>
            <w:cnfStyle w:val="001000000000" w:firstRow="0" w:lastRow="0" w:firstColumn="1" w:lastColumn="0" w:oddVBand="0" w:evenVBand="0" w:oddHBand="0" w:evenHBand="0" w:firstRowFirstColumn="0" w:firstRowLastColumn="0" w:lastRowFirstColumn="0" w:lastRowLastColumn="0"/>
            <w:tcW w:w="1237" w:type="dxa"/>
            <w:shd w:val="clear" w:color="auto" w:fill="FFFFFF" w:themeFill="background1"/>
            <w:hideMark/>
          </w:tcPr>
          <w:p w14:paraId="51935425" w14:textId="77777777" w:rsidR="00F4410D" w:rsidRPr="009506B8" w:rsidRDefault="00F4410D" w:rsidP="009506B8">
            <w:pPr>
              <w:spacing w:after="0" w:line="240" w:lineRule="auto"/>
              <w:rPr>
                <w:rFonts w:ascii="Times New Roman" w:eastAsia="Times New Roman" w:hAnsi="Times New Roman" w:cs="Times New Roman"/>
                <w:b w:val="0"/>
                <w:bCs w:val="0"/>
                <w:sz w:val="20"/>
                <w:szCs w:val="20"/>
              </w:rPr>
            </w:pPr>
            <w:r w:rsidRPr="009506B8">
              <w:rPr>
                <w:rFonts w:ascii="Times New Roman" w:eastAsia="Times New Roman" w:hAnsi="Times New Roman" w:cs="Times New Roman"/>
                <w:b w:val="0"/>
                <w:bCs w:val="0"/>
                <w:sz w:val="20"/>
                <w:szCs w:val="20"/>
              </w:rPr>
              <w:t>Recyclability</w:t>
            </w:r>
          </w:p>
        </w:tc>
        <w:tc>
          <w:tcPr>
            <w:tcW w:w="0" w:type="auto"/>
            <w:shd w:val="clear" w:color="auto" w:fill="FFFFFF" w:themeFill="background1"/>
            <w:hideMark/>
          </w:tcPr>
          <w:p w14:paraId="1C0FEA7B" w14:textId="77777777" w:rsidR="00F4410D" w:rsidRPr="009506B8" w:rsidRDefault="00F4410D" w:rsidP="009506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Moderate</w:t>
            </w:r>
          </w:p>
        </w:tc>
        <w:tc>
          <w:tcPr>
            <w:tcW w:w="986" w:type="dxa"/>
            <w:shd w:val="clear" w:color="auto" w:fill="FFFFFF" w:themeFill="background1"/>
            <w:hideMark/>
          </w:tcPr>
          <w:p w14:paraId="29A33EC3" w14:textId="77777777" w:rsidR="00F4410D" w:rsidRPr="009506B8" w:rsidRDefault="00F4410D" w:rsidP="009506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Weak</w:t>
            </w:r>
          </w:p>
        </w:tc>
        <w:tc>
          <w:tcPr>
            <w:tcW w:w="1294" w:type="dxa"/>
            <w:shd w:val="clear" w:color="auto" w:fill="FFFFFF" w:themeFill="background1"/>
            <w:hideMark/>
          </w:tcPr>
          <w:p w14:paraId="76AB7CA7" w14:textId="77777777" w:rsidR="00F4410D" w:rsidRPr="009506B8" w:rsidRDefault="00F4410D" w:rsidP="009506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Moderate</w:t>
            </w:r>
          </w:p>
        </w:tc>
        <w:tc>
          <w:tcPr>
            <w:tcW w:w="1044" w:type="dxa"/>
            <w:shd w:val="clear" w:color="auto" w:fill="FFFFFF" w:themeFill="background1"/>
          </w:tcPr>
          <w:p w14:paraId="2BDA0D41" w14:textId="77777777" w:rsidR="00F4410D" w:rsidRPr="009506B8" w:rsidRDefault="00F4410D" w:rsidP="009506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Moderate</w:t>
            </w:r>
          </w:p>
        </w:tc>
        <w:tc>
          <w:tcPr>
            <w:tcW w:w="1168" w:type="dxa"/>
            <w:shd w:val="clear" w:color="auto" w:fill="FFFFFF" w:themeFill="background1"/>
            <w:hideMark/>
          </w:tcPr>
          <w:p w14:paraId="673B3062" w14:textId="77777777" w:rsidR="00F4410D" w:rsidRPr="009506B8" w:rsidRDefault="00F4410D" w:rsidP="009506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Moderate</w:t>
            </w:r>
          </w:p>
        </w:tc>
        <w:tc>
          <w:tcPr>
            <w:tcW w:w="0" w:type="auto"/>
            <w:shd w:val="clear" w:color="auto" w:fill="FFFFFF" w:themeFill="background1"/>
          </w:tcPr>
          <w:p w14:paraId="64BBFB29" w14:textId="77777777" w:rsidR="00F4410D" w:rsidRPr="009506B8" w:rsidRDefault="00F4410D" w:rsidP="009506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Strong</w:t>
            </w:r>
          </w:p>
        </w:tc>
        <w:tc>
          <w:tcPr>
            <w:tcW w:w="0" w:type="auto"/>
            <w:shd w:val="clear" w:color="auto" w:fill="FFFFFF" w:themeFill="background1"/>
          </w:tcPr>
          <w:p w14:paraId="1A9F52C0" w14:textId="77777777" w:rsidR="00F4410D" w:rsidRPr="009506B8" w:rsidRDefault="00F4410D" w:rsidP="009506B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506B8">
              <w:rPr>
                <w:rFonts w:ascii="Times New Roman" w:eastAsia="Times New Roman" w:hAnsi="Times New Roman" w:cs="Times New Roman"/>
                <w:sz w:val="20"/>
                <w:szCs w:val="20"/>
              </w:rPr>
              <w:t>Strong</w:t>
            </w:r>
          </w:p>
        </w:tc>
      </w:tr>
      <w:tr w:rsidR="00E77DDF" w:rsidRPr="009506B8" w14:paraId="5C1BFA84" w14:textId="77777777" w:rsidTr="009506B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37" w:type="dxa"/>
            <w:shd w:val="clear" w:color="auto" w:fill="FFFFFF" w:themeFill="background1"/>
            <w:hideMark/>
          </w:tcPr>
          <w:p w14:paraId="58B79778" w14:textId="77777777" w:rsidR="00F4410D" w:rsidRPr="009506B8" w:rsidRDefault="00F4410D" w:rsidP="009506B8">
            <w:pPr>
              <w:spacing w:after="0" w:line="240" w:lineRule="auto"/>
              <w:rPr>
                <w:rFonts w:ascii="Times New Roman" w:eastAsia="Times New Roman" w:hAnsi="Times New Roman" w:cs="Times New Roman"/>
                <w:b w:val="0"/>
                <w:bCs w:val="0"/>
                <w:sz w:val="20"/>
                <w:szCs w:val="20"/>
              </w:rPr>
            </w:pPr>
            <w:r w:rsidRPr="009506B8">
              <w:rPr>
                <w:rFonts w:ascii="Times New Roman" w:eastAsia="Times New Roman" w:hAnsi="Times New Roman" w:cs="Times New Roman"/>
                <w:b w:val="0"/>
                <w:bCs w:val="0"/>
                <w:sz w:val="20"/>
                <w:szCs w:val="20"/>
              </w:rPr>
              <w:t>Affordability</w:t>
            </w:r>
          </w:p>
        </w:tc>
        <w:tc>
          <w:tcPr>
            <w:tcW w:w="0" w:type="auto"/>
            <w:shd w:val="clear" w:color="auto" w:fill="FFFFFF" w:themeFill="background1"/>
            <w:hideMark/>
          </w:tcPr>
          <w:p w14:paraId="163AC484" w14:textId="77777777" w:rsidR="00F4410D" w:rsidRPr="009506B8" w:rsidRDefault="00F4410D" w:rsidP="009506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Weak</w:t>
            </w:r>
          </w:p>
        </w:tc>
        <w:tc>
          <w:tcPr>
            <w:tcW w:w="986" w:type="dxa"/>
            <w:shd w:val="clear" w:color="auto" w:fill="FFFFFF" w:themeFill="background1"/>
            <w:hideMark/>
          </w:tcPr>
          <w:p w14:paraId="6791C156" w14:textId="77777777" w:rsidR="00F4410D" w:rsidRPr="009506B8" w:rsidRDefault="00F4410D" w:rsidP="009506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Strong</w:t>
            </w:r>
          </w:p>
        </w:tc>
        <w:tc>
          <w:tcPr>
            <w:tcW w:w="1294" w:type="dxa"/>
            <w:shd w:val="clear" w:color="auto" w:fill="FFFFFF" w:themeFill="background1"/>
            <w:hideMark/>
          </w:tcPr>
          <w:p w14:paraId="5DB2E1B9" w14:textId="77777777" w:rsidR="00F4410D" w:rsidRPr="009506B8" w:rsidRDefault="00F4410D" w:rsidP="009506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Moderate</w:t>
            </w:r>
          </w:p>
        </w:tc>
        <w:tc>
          <w:tcPr>
            <w:tcW w:w="1044" w:type="dxa"/>
            <w:shd w:val="clear" w:color="auto" w:fill="FFFFFF" w:themeFill="background1"/>
          </w:tcPr>
          <w:p w14:paraId="328A5C1C" w14:textId="77777777" w:rsidR="00F4410D" w:rsidRPr="009506B8" w:rsidRDefault="00F4410D" w:rsidP="009506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Strong</w:t>
            </w:r>
          </w:p>
        </w:tc>
        <w:tc>
          <w:tcPr>
            <w:tcW w:w="1168" w:type="dxa"/>
            <w:shd w:val="clear" w:color="auto" w:fill="FFFFFF" w:themeFill="background1"/>
            <w:hideMark/>
          </w:tcPr>
          <w:p w14:paraId="00FC7937" w14:textId="77777777" w:rsidR="00F4410D" w:rsidRPr="009506B8" w:rsidRDefault="00F4410D" w:rsidP="009506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Moderate</w:t>
            </w:r>
          </w:p>
        </w:tc>
        <w:tc>
          <w:tcPr>
            <w:tcW w:w="0" w:type="auto"/>
            <w:shd w:val="clear" w:color="auto" w:fill="FFFFFF" w:themeFill="background1"/>
          </w:tcPr>
          <w:p w14:paraId="70C2DAB1" w14:textId="77777777" w:rsidR="00F4410D" w:rsidRPr="009506B8" w:rsidRDefault="00F4410D" w:rsidP="009506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Moderate</w:t>
            </w:r>
          </w:p>
        </w:tc>
        <w:tc>
          <w:tcPr>
            <w:tcW w:w="0" w:type="auto"/>
            <w:shd w:val="clear" w:color="auto" w:fill="FFFFFF" w:themeFill="background1"/>
          </w:tcPr>
          <w:p w14:paraId="7E4C9C7A" w14:textId="77777777" w:rsidR="00F4410D" w:rsidRPr="009506B8" w:rsidRDefault="00F4410D" w:rsidP="009506B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506B8">
              <w:rPr>
                <w:rFonts w:ascii="Times New Roman" w:eastAsia="Times New Roman" w:hAnsi="Times New Roman" w:cs="Times New Roman"/>
                <w:sz w:val="20"/>
                <w:szCs w:val="20"/>
              </w:rPr>
              <w:t>Strong</w:t>
            </w:r>
          </w:p>
        </w:tc>
      </w:tr>
      <w:tr w:rsidR="00E77DDF" w:rsidRPr="009506B8" w14:paraId="4A45F5CE" w14:textId="77777777" w:rsidTr="009506B8">
        <w:trPr>
          <w:jc w:val="center"/>
        </w:trPr>
        <w:tc>
          <w:tcPr>
            <w:cnfStyle w:val="001000000000" w:firstRow="0" w:lastRow="0" w:firstColumn="1" w:lastColumn="0" w:oddVBand="0" w:evenVBand="0" w:oddHBand="0" w:evenHBand="0" w:firstRowFirstColumn="0" w:firstRowLastColumn="0" w:lastRowFirstColumn="0" w:lastRowLastColumn="0"/>
            <w:tcW w:w="1237" w:type="dxa"/>
            <w:shd w:val="clear" w:color="auto" w:fill="FFFFFF" w:themeFill="background1"/>
            <w:hideMark/>
          </w:tcPr>
          <w:p w14:paraId="38668015" w14:textId="77777777" w:rsidR="00F4410D" w:rsidRPr="009506B8" w:rsidRDefault="00F4410D" w:rsidP="009506B8">
            <w:pPr>
              <w:spacing w:after="0" w:line="240" w:lineRule="auto"/>
              <w:rPr>
                <w:rFonts w:ascii="Times New Roman" w:eastAsia="Times New Roman" w:hAnsi="Times New Roman" w:cs="Times New Roman"/>
                <w:b w:val="0"/>
                <w:bCs w:val="0"/>
                <w:sz w:val="20"/>
                <w:szCs w:val="20"/>
              </w:rPr>
            </w:pPr>
            <w:r w:rsidRPr="009506B8">
              <w:rPr>
                <w:rFonts w:ascii="Times New Roman" w:eastAsia="Times New Roman" w:hAnsi="Times New Roman" w:cs="Times New Roman"/>
                <w:b w:val="0"/>
                <w:bCs w:val="0"/>
                <w:sz w:val="20"/>
                <w:szCs w:val="20"/>
              </w:rPr>
              <w:t>Durability / Longevity</w:t>
            </w:r>
          </w:p>
        </w:tc>
        <w:tc>
          <w:tcPr>
            <w:tcW w:w="0" w:type="auto"/>
            <w:shd w:val="clear" w:color="auto" w:fill="FFFFFF" w:themeFill="background1"/>
            <w:hideMark/>
          </w:tcPr>
          <w:p w14:paraId="4F4C6F35" w14:textId="77777777" w:rsidR="00F4410D" w:rsidRPr="009506B8" w:rsidRDefault="00F4410D" w:rsidP="009506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Strong</w:t>
            </w:r>
          </w:p>
        </w:tc>
        <w:tc>
          <w:tcPr>
            <w:tcW w:w="986" w:type="dxa"/>
            <w:shd w:val="clear" w:color="auto" w:fill="FFFFFF" w:themeFill="background1"/>
            <w:hideMark/>
          </w:tcPr>
          <w:p w14:paraId="42532C54" w14:textId="77777777" w:rsidR="00F4410D" w:rsidRPr="009506B8" w:rsidRDefault="00F4410D" w:rsidP="009506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Moderate</w:t>
            </w:r>
          </w:p>
        </w:tc>
        <w:tc>
          <w:tcPr>
            <w:tcW w:w="1294" w:type="dxa"/>
            <w:shd w:val="clear" w:color="auto" w:fill="FFFFFF" w:themeFill="background1"/>
            <w:hideMark/>
          </w:tcPr>
          <w:p w14:paraId="0BD877D2" w14:textId="77777777" w:rsidR="00F4410D" w:rsidRPr="009506B8" w:rsidRDefault="00F4410D" w:rsidP="009506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Moderate</w:t>
            </w:r>
          </w:p>
        </w:tc>
        <w:tc>
          <w:tcPr>
            <w:tcW w:w="1044" w:type="dxa"/>
            <w:shd w:val="clear" w:color="auto" w:fill="FFFFFF" w:themeFill="background1"/>
          </w:tcPr>
          <w:p w14:paraId="0A797CF2" w14:textId="77777777" w:rsidR="00F4410D" w:rsidRPr="009506B8" w:rsidRDefault="00F4410D" w:rsidP="009506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Strong</w:t>
            </w:r>
          </w:p>
        </w:tc>
        <w:tc>
          <w:tcPr>
            <w:tcW w:w="1168" w:type="dxa"/>
            <w:shd w:val="clear" w:color="auto" w:fill="FFFFFF" w:themeFill="background1"/>
            <w:hideMark/>
          </w:tcPr>
          <w:p w14:paraId="71BB1898" w14:textId="77777777" w:rsidR="00F4410D" w:rsidRPr="009506B8" w:rsidRDefault="00F4410D" w:rsidP="009506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Strong</w:t>
            </w:r>
          </w:p>
        </w:tc>
        <w:tc>
          <w:tcPr>
            <w:tcW w:w="0" w:type="auto"/>
            <w:shd w:val="clear" w:color="auto" w:fill="FFFFFF" w:themeFill="background1"/>
          </w:tcPr>
          <w:p w14:paraId="31AB6067" w14:textId="77777777" w:rsidR="00F4410D" w:rsidRPr="009506B8" w:rsidRDefault="00F4410D" w:rsidP="009506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Moderate</w:t>
            </w:r>
          </w:p>
        </w:tc>
        <w:tc>
          <w:tcPr>
            <w:tcW w:w="0" w:type="auto"/>
            <w:shd w:val="clear" w:color="auto" w:fill="FFFFFF" w:themeFill="background1"/>
          </w:tcPr>
          <w:p w14:paraId="169E1986" w14:textId="77777777" w:rsidR="00F4410D" w:rsidRPr="009506B8" w:rsidRDefault="00F4410D" w:rsidP="009506B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506B8">
              <w:rPr>
                <w:rFonts w:ascii="Times New Roman" w:eastAsia="Times New Roman" w:hAnsi="Times New Roman" w:cs="Times New Roman"/>
                <w:sz w:val="20"/>
                <w:szCs w:val="20"/>
              </w:rPr>
              <w:t>Moderate</w:t>
            </w:r>
          </w:p>
        </w:tc>
      </w:tr>
      <w:tr w:rsidR="00E77DDF" w:rsidRPr="009506B8" w14:paraId="3FE659ED" w14:textId="77777777" w:rsidTr="009506B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37" w:type="dxa"/>
            <w:shd w:val="clear" w:color="auto" w:fill="FFFFFF" w:themeFill="background1"/>
            <w:hideMark/>
          </w:tcPr>
          <w:p w14:paraId="78F3CEA7" w14:textId="77777777" w:rsidR="00F4410D" w:rsidRPr="009506B8" w:rsidRDefault="00F4410D" w:rsidP="009506B8">
            <w:pPr>
              <w:spacing w:after="0" w:line="240" w:lineRule="auto"/>
              <w:rPr>
                <w:rFonts w:ascii="Times New Roman" w:eastAsia="Times New Roman" w:hAnsi="Times New Roman" w:cs="Times New Roman"/>
                <w:b w:val="0"/>
                <w:bCs w:val="0"/>
                <w:sz w:val="20"/>
                <w:szCs w:val="20"/>
              </w:rPr>
            </w:pPr>
            <w:r w:rsidRPr="009506B8">
              <w:rPr>
                <w:rFonts w:ascii="Times New Roman" w:eastAsia="Times New Roman" w:hAnsi="Times New Roman" w:cs="Times New Roman"/>
                <w:b w:val="0"/>
                <w:bCs w:val="0"/>
                <w:sz w:val="20"/>
                <w:szCs w:val="20"/>
              </w:rPr>
              <w:t>Energy efficiency</w:t>
            </w:r>
          </w:p>
        </w:tc>
        <w:tc>
          <w:tcPr>
            <w:tcW w:w="0" w:type="auto"/>
            <w:shd w:val="clear" w:color="auto" w:fill="FFFFFF" w:themeFill="background1"/>
            <w:hideMark/>
          </w:tcPr>
          <w:p w14:paraId="3C4BCF4F" w14:textId="77777777" w:rsidR="00F4410D" w:rsidRPr="009506B8" w:rsidRDefault="00F4410D" w:rsidP="009506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Strong</w:t>
            </w:r>
          </w:p>
        </w:tc>
        <w:tc>
          <w:tcPr>
            <w:tcW w:w="986" w:type="dxa"/>
            <w:shd w:val="clear" w:color="auto" w:fill="FFFFFF" w:themeFill="background1"/>
            <w:hideMark/>
          </w:tcPr>
          <w:p w14:paraId="435CE03E" w14:textId="77777777" w:rsidR="00F4410D" w:rsidRPr="009506B8" w:rsidRDefault="00F4410D" w:rsidP="009506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Moderate</w:t>
            </w:r>
          </w:p>
        </w:tc>
        <w:tc>
          <w:tcPr>
            <w:tcW w:w="1294" w:type="dxa"/>
            <w:shd w:val="clear" w:color="auto" w:fill="FFFFFF" w:themeFill="background1"/>
            <w:hideMark/>
          </w:tcPr>
          <w:p w14:paraId="5D137C7E" w14:textId="77777777" w:rsidR="00F4410D" w:rsidRPr="009506B8" w:rsidRDefault="00F4410D" w:rsidP="009506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Strong</w:t>
            </w:r>
          </w:p>
        </w:tc>
        <w:tc>
          <w:tcPr>
            <w:tcW w:w="1044" w:type="dxa"/>
            <w:shd w:val="clear" w:color="auto" w:fill="FFFFFF" w:themeFill="background1"/>
          </w:tcPr>
          <w:p w14:paraId="4F9BE309" w14:textId="77777777" w:rsidR="00F4410D" w:rsidRPr="009506B8" w:rsidRDefault="00F4410D" w:rsidP="009506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Moderate</w:t>
            </w:r>
          </w:p>
        </w:tc>
        <w:tc>
          <w:tcPr>
            <w:tcW w:w="1168" w:type="dxa"/>
            <w:shd w:val="clear" w:color="auto" w:fill="FFFFFF" w:themeFill="background1"/>
            <w:hideMark/>
          </w:tcPr>
          <w:p w14:paraId="2A61B460" w14:textId="77777777" w:rsidR="00F4410D" w:rsidRPr="009506B8" w:rsidRDefault="00F4410D" w:rsidP="009506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Strong</w:t>
            </w:r>
          </w:p>
        </w:tc>
        <w:tc>
          <w:tcPr>
            <w:tcW w:w="0" w:type="auto"/>
            <w:shd w:val="clear" w:color="auto" w:fill="FFFFFF" w:themeFill="background1"/>
          </w:tcPr>
          <w:p w14:paraId="01519421" w14:textId="77777777" w:rsidR="00F4410D" w:rsidRPr="009506B8" w:rsidRDefault="00F4410D" w:rsidP="009506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Weak</w:t>
            </w:r>
          </w:p>
        </w:tc>
        <w:tc>
          <w:tcPr>
            <w:tcW w:w="0" w:type="auto"/>
            <w:shd w:val="clear" w:color="auto" w:fill="FFFFFF" w:themeFill="background1"/>
          </w:tcPr>
          <w:p w14:paraId="31AC73E1" w14:textId="77777777" w:rsidR="00F4410D" w:rsidRPr="009506B8" w:rsidRDefault="00F4410D" w:rsidP="009506B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506B8">
              <w:rPr>
                <w:rFonts w:ascii="Times New Roman" w:eastAsia="Times New Roman" w:hAnsi="Times New Roman" w:cs="Times New Roman"/>
                <w:sz w:val="20"/>
                <w:szCs w:val="20"/>
              </w:rPr>
              <w:t>Moderate</w:t>
            </w:r>
          </w:p>
        </w:tc>
      </w:tr>
      <w:tr w:rsidR="00E77DDF" w:rsidRPr="009506B8" w14:paraId="65CE0547" w14:textId="77777777" w:rsidTr="009506B8">
        <w:trPr>
          <w:jc w:val="center"/>
        </w:trPr>
        <w:tc>
          <w:tcPr>
            <w:cnfStyle w:val="001000000000" w:firstRow="0" w:lastRow="0" w:firstColumn="1" w:lastColumn="0" w:oddVBand="0" w:evenVBand="0" w:oddHBand="0" w:evenHBand="0" w:firstRowFirstColumn="0" w:firstRowLastColumn="0" w:lastRowFirstColumn="0" w:lastRowLastColumn="0"/>
            <w:tcW w:w="1237" w:type="dxa"/>
            <w:shd w:val="clear" w:color="auto" w:fill="FFFFFF" w:themeFill="background1"/>
            <w:hideMark/>
          </w:tcPr>
          <w:p w14:paraId="0314C09D" w14:textId="77777777" w:rsidR="00F4410D" w:rsidRPr="009506B8" w:rsidRDefault="00F4410D" w:rsidP="009506B8">
            <w:pPr>
              <w:spacing w:after="0" w:line="240" w:lineRule="auto"/>
              <w:rPr>
                <w:rFonts w:ascii="Times New Roman" w:eastAsia="Times New Roman" w:hAnsi="Times New Roman" w:cs="Times New Roman"/>
                <w:b w:val="0"/>
                <w:bCs w:val="0"/>
                <w:sz w:val="20"/>
                <w:szCs w:val="20"/>
              </w:rPr>
            </w:pPr>
            <w:r w:rsidRPr="009506B8">
              <w:rPr>
                <w:rFonts w:ascii="Times New Roman" w:eastAsia="Times New Roman" w:hAnsi="Times New Roman" w:cs="Times New Roman"/>
                <w:b w:val="0"/>
                <w:bCs w:val="0"/>
                <w:sz w:val="20"/>
                <w:szCs w:val="20"/>
              </w:rPr>
              <w:t>Health and safety</w:t>
            </w:r>
          </w:p>
        </w:tc>
        <w:tc>
          <w:tcPr>
            <w:tcW w:w="0" w:type="auto"/>
            <w:shd w:val="clear" w:color="auto" w:fill="FFFFFF" w:themeFill="background1"/>
            <w:hideMark/>
          </w:tcPr>
          <w:p w14:paraId="4E2E0B38" w14:textId="77777777" w:rsidR="00F4410D" w:rsidRPr="009506B8" w:rsidRDefault="00F4410D" w:rsidP="009506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Moderate</w:t>
            </w:r>
          </w:p>
        </w:tc>
        <w:tc>
          <w:tcPr>
            <w:tcW w:w="986" w:type="dxa"/>
            <w:shd w:val="clear" w:color="auto" w:fill="FFFFFF" w:themeFill="background1"/>
            <w:hideMark/>
          </w:tcPr>
          <w:p w14:paraId="5771486C" w14:textId="77777777" w:rsidR="00F4410D" w:rsidRPr="009506B8" w:rsidRDefault="00F4410D" w:rsidP="009506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Strong</w:t>
            </w:r>
          </w:p>
        </w:tc>
        <w:tc>
          <w:tcPr>
            <w:tcW w:w="1294" w:type="dxa"/>
            <w:shd w:val="clear" w:color="auto" w:fill="FFFFFF" w:themeFill="background1"/>
            <w:hideMark/>
          </w:tcPr>
          <w:p w14:paraId="2FF4495A" w14:textId="77777777" w:rsidR="00F4410D" w:rsidRPr="009506B8" w:rsidRDefault="00F4410D" w:rsidP="009506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Strong</w:t>
            </w:r>
          </w:p>
        </w:tc>
        <w:tc>
          <w:tcPr>
            <w:tcW w:w="1044" w:type="dxa"/>
            <w:shd w:val="clear" w:color="auto" w:fill="FFFFFF" w:themeFill="background1"/>
          </w:tcPr>
          <w:p w14:paraId="49AECDAC" w14:textId="77777777" w:rsidR="00F4410D" w:rsidRPr="009506B8" w:rsidRDefault="00F4410D" w:rsidP="009506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Moderate</w:t>
            </w:r>
          </w:p>
        </w:tc>
        <w:tc>
          <w:tcPr>
            <w:tcW w:w="1168" w:type="dxa"/>
            <w:shd w:val="clear" w:color="auto" w:fill="FFFFFF" w:themeFill="background1"/>
            <w:hideMark/>
          </w:tcPr>
          <w:p w14:paraId="5215205E" w14:textId="77777777" w:rsidR="00F4410D" w:rsidRPr="009506B8" w:rsidRDefault="00F4410D" w:rsidP="009506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Weak</w:t>
            </w:r>
          </w:p>
        </w:tc>
        <w:tc>
          <w:tcPr>
            <w:tcW w:w="0" w:type="auto"/>
            <w:shd w:val="clear" w:color="auto" w:fill="FFFFFF" w:themeFill="background1"/>
          </w:tcPr>
          <w:p w14:paraId="0F878AAC" w14:textId="77777777" w:rsidR="00F4410D" w:rsidRPr="009506B8" w:rsidRDefault="00F4410D" w:rsidP="009506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9506B8">
              <w:rPr>
                <w:rFonts w:ascii="Times New Roman" w:eastAsia="Times New Roman" w:hAnsi="Times New Roman" w:cs="Times New Roman"/>
                <w:sz w:val="20"/>
                <w:szCs w:val="20"/>
              </w:rPr>
              <w:t>Weak</w:t>
            </w:r>
          </w:p>
        </w:tc>
        <w:tc>
          <w:tcPr>
            <w:tcW w:w="0" w:type="auto"/>
            <w:shd w:val="clear" w:color="auto" w:fill="FFFFFF" w:themeFill="background1"/>
          </w:tcPr>
          <w:p w14:paraId="5DDF97C3" w14:textId="77777777" w:rsidR="00F4410D" w:rsidRPr="009506B8" w:rsidRDefault="00F4410D" w:rsidP="009506B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506B8">
              <w:rPr>
                <w:rFonts w:ascii="Times New Roman" w:eastAsia="Times New Roman" w:hAnsi="Times New Roman" w:cs="Times New Roman"/>
                <w:sz w:val="20"/>
                <w:szCs w:val="20"/>
              </w:rPr>
              <w:t>Moderate</w:t>
            </w:r>
          </w:p>
        </w:tc>
      </w:tr>
    </w:tbl>
    <w:p w14:paraId="2BAD7526" w14:textId="77777777" w:rsidR="00F4410D" w:rsidRPr="00BE4AF3" w:rsidRDefault="00F4410D" w:rsidP="0034248D">
      <w:pPr>
        <w:spacing w:line="240" w:lineRule="auto"/>
        <w:jc w:val="center"/>
        <w:rPr>
          <w:rFonts w:ascii="Times New Roman" w:hAnsi="Times New Roman" w:cs="Times New Roman"/>
          <w:b/>
          <w:bCs/>
          <w:color w:val="000000" w:themeColor="text1"/>
          <w:sz w:val="24"/>
          <w:szCs w:val="24"/>
        </w:rPr>
      </w:pPr>
      <w:r w:rsidRPr="00BE4AF3">
        <w:rPr>
          <w:rFonts w:ascii="Times New Roman" w:hAnsi="Times New Roman" w:cs="Times New Roman"/>
          <w:bCs/>
          <w:color w:val="000000" w:themeColor="text1"/>
          <w:sz w:val="24"/>
          <w:szCs w:val="24"/>
        </w:rPr>
        <w:t>Source: Authors computation, 2025</w:t>
      </w:r>
    </w:p>
    <w:p w14:paraId="3873EC0D" w14:textId="77777777" w:rsidR="00F4410D" w:rsidRPr="00BE4AF3" w:rsidRDefault="00F4410D" w:rsidP="009506B8">
      <w:pPr>
        <w:pStyle w:val="NormalWeb"/>
        <w:spacing w:before="0" w:beforeAutospacing="0" w:after="0" w:afterAutospacing="0"/>
        <w:jc w:val="both"/>
      </w:pPr>
      <w:r w:rsidRPr="00BE4AF3">
        <w:t xml:space="preserve">The mapping exercise highlights how sustainability attributes of construction materials contribute unevenly to the achievement of SDG 9, 11, and 12. These findings align with broader debates in construction sustainability literature, which emphasize that materials differ in their environmental, social, and economic performance, and therefore provide varied contributions to global sustainability objectives. </w:t>
      </w:r>
      <w:r w:rsidRPr="00BE4AF3">
        <w:rPr>
          <w:bCs/>
        </w:rPr>
        <w:t xml:space="preserve">Strongest contributions were observed under SDG 9.4 (upgrading infrastructure for sustainability </w:t>
      </w:r>
      <w:r w:rsidRPr="00BE4AF3">
        <w:rPr>
          <w:color w:val="000000" w:themeColor="text1"/>
        </w:rPr>
        <w:t>(UNEP, 2022</w:t>
      </w:r>
      <w:r w:rsidRPr="00BE4AF3">
        <w:rPr>
          <w:bCs/>
        </w:rPr>
        <w:t>).</w:t>
      </w:r>
      <w:r w:rsidRPr="00BE4AF3">
        <w:t xml:space="preserve"> Attributes such as </w:t>
      </w:r>
      <w:r w:rsidRPr="00BE4AF3">
        <w:rPr>
          <w:bCs/>
        </w:rPr>
        <w:t>low embodied carbon, durability, energy efficiency, and to a lesser extent recyclability</w:t>
      </w:r>
      <w:r w:rsidRPr="00BE4AF3">
        <w:t>, displayed strong or moderate linkages to this target. These findings suggest that material choices can significantly influence the decarbonization and resource efficiency of infrastructure projects, in line with global objectives to reduce CO</w:t>
      </w:r>
      <w:r w:rsidRPr="00BE4AF3">
        <w:rPr>
          <w:rFonts w:ascii="Cambria Math" w:hAnsi="Cambria Math" w:cs="Cambria Math"/>
        </w:rPr>
        <w:t>₂</w:t>
      </w:r>
      <w:r w:rsidRPr="00BE4AF3">
        <w:t xml:space="preserve"> emissions per unit of value added. Several life cycle assessment (LCA) studies have documented that replacing conventional cement with supplementary cementitious materials such as fly ash or slag can reduce embodied carbon emissions by up to 30–50% (Habert </w:t>
      </w:r>
      <w:r w:rsidRPr="00BE4AF3">
        <w:rPr>
          <w:i/>
        </w:rPr>
        <w:t>et al</w:t>
      </w:r>
      <w:r w:rsidRPr="00BE4AF3">
        <w:t>., 2020). Similarly, durable and energy-efficient materials extend infrastructure lifespan and reduce operational energy demand, supporting innovation in sustainable building practices. The findings reinforce calls for mainstreaming low-carbon material innovations as a pathway to achieving SDG 9.</w:t>
      </w:r>
    </w:p>
    <w:p w14:paraId="52337FDF" w14:textId="77777777" w:rsidR="00F4410D" w:rsidRPr="00BE4AF3" w:rsidRDefault="00F4410D" w:rsidP="009506B8">
      <w:pPr>
        <w:pStyle w:val="NormalWeb"/>
        <w:spacing w:before="0" w:beforeAutospacing="0" w:after="0" w:afterAutospacing="0"/>
        <w:jc w:val="both"/>
      </w:pPr>
      <w:r w:rsidRPr="00BE4AF3">
        <w:rPr>
          <w:bCs/>
        </w:rPr>
        <w:t>For SDG 11 (sustainable cities and communities), the alignment was more socially oriented.</w:t>
      </w:r>
      <w:r w:rsidRPr="00BE4AF3">
        <w:t xml:space="preserve"> The attribute of </w:t>
      </w:r>
      <w:r w:rsidRPr="00BE4AF3">
        <w:rPr>
          <w:bCs/>
        </w:rPr>
        <w:t>affordability</w:t>
      </w:r>
      <w:r w:rsidRPr="00BE4AF3">
        <w:t xml:space="preserve"> was strongly linked to SDG 11.1, supporting the aim of ensuring access to safe and affordable housing. </w:t>
      </w:r>
      <w:r w:rsidRPr="00BE4AF3">
        <w:rPr>
          <w:bCs/>
        </w:rPr>
        <w:t>Health and safety</w:t>
      </w:r>
      <w:r w:rsidRPr="00BE4AF3">
        <w:t xml:space="preserve"> attributes also showed a strong linkage, reflecting how non-toxic, environmentally friendly materials contribute to improved living standards and public health outcomes. In addition, energy efficiency and low embodied carbon demonstrated strong or moderate linkages to </w:t>
      </w:r>
      <w:r w:rsidRPr="00BE4AF3">
        <w:rPr>
          <w:bCs/>
        </w:rPr>
        <w:t>SDG 11.6</w:t>
      </w:r>
      <w:r w:rsidRPr="00BE4AF3">
        <w:t xml:space="preserve">, which emphasizes reducing the environmental impact of cities through improved waste management and better air quality. However, some attributes, such as recyclability, showed weak or no linkage to these targets, indicating that their contribution to urban sustainability is more indirect. SDG 11.c emphasizes support LDCs in building </w:t>
      </w:r>
      <w:r w:rsidRPr="00BE4AF3">
        <w:lastRenderedPageBreak/>
        <w:t xml:space="preserve">sustainable, local-material-based buildings and most of the attributes were moderately and strongly linked to the SDG. The strong linkage between affordability and SDG 11.1 underscores the social dimension of sustainability, particularly in developing countries where affordable housing remains a critical challenge. Studies in emerging economies show that the adoption of locally available sustainable materials, such as stabilized earth blocks and bamboo, reduces construction costs while meeting basic housing needs (Danso, 2017). Furthermore, the strong contribution of health and safety attributes to SDG 11 targets resonates with research on indoor environmental quality, which shows that non-toxic, well-ventilated materials improve occupant health outcomes (Halawa </w:t>
      </w:r>
      <w:r w:rsidRPr="00BE4AF3">
        <w:rPr>
          <w:i/>
        </w:rPr>
        <w:t>et al</w:t>
      </w:r>
      <w:r w:rsidRPr="00BE4AF3">
        <w:t>., 2018). These linkages demonstrate that sustainable materials extend beyond environmental benefits, contributing directly to social sustainability in urban contexts.</w:t>
      </w:r>
    </w:p>
    <w:p w14:paraId="1CBD5CFD" w14:textId="77777777" w:rsidR="00F4410D" w:rsidRPr="00BE4AF3" w:rsidRDefault="00F4410D" w:rsidP="009506B8">
      <w:pPr>
        <w:pStyle w:val="NormalWeb"/>
        <w:spacing w:before="0" w:beforeAutospacing="0" w:after="0" w:afterAutospacing="0"/>
        <w:jc w:val="both"/>
      </w:pPr>
      <w:r w:rsidRPr="00BE4AF3">
        <w:rPr>
          <w:bCs/>
        </w:rPr>
        <w:t>Under SDG 12 (responsible consumption and production), contributions were distributed across attributes</w:t>
      </w:r>
      <w:r w:rsidRPr="00BE4AF3">
        <w:rPr>
          <w:b/>
          <w:bCs/>
        </w:rPr>
        <w:t>.</w:t>
      </w:r>
      <w:r w:rsidRPr="00BE4AF3">
        <w:t xml:space="preserve"> Recyclability showed the strongest linkage to </w:t>
      </w:r>
      <w:r w:rsidRPr="00BE4AF3">
        <w:rPr>
          <w:bCs/>
        </w:rPr>
        <w:t>SDG 12.5 (waste reduction)</w:t>
      </w:r>
      <w:r w:rsidRPr="00BE4AF3">
        <w:t xml:space="preserve">, underscoring the role of circular economy principles in construction. Low embodied carbon, durability, and energy efficiency were strongly linked to </w:t>
      </w:r>
      <w:r w:rsidRPr="00BE4AF3">
        <w:rPr>
          <w:bCs/>
        </w:rPr>
        <w:t>SDG 12.2 (sustainable resource management)</w:t>
      </w:r>
      <w:r w:rsidRPr="00BE4AF3">
        <w:t>, highlighting the importance of reducing resource intensity across material lifecycles. However, attributes such as affordability and health and safety showed only moderate or weak connections to this goal, reflecting that their contribution to sustainable consumption patterns is less pronounced. SDG 12.7 (Sustainable procurement) is also strongly and moderately linked to the attributes. The strong alignment of recyclability with SDG 12.5 reflects the importance of circular economy practices in reducing construction and demolition waste. Globally, construction accounts for approximately 35% of total solid waste generation (Eurostat, 2020), making material recyclability central to sustainable consumption patterns. Likewise, the linkage of low embodied carbon, durability, and energy efficiency to SDG 12.2 supports literature on resource efficiency, which highlights that reducing material intensity and extending service life are essential for conserving natural resources (UNEP, 2022). However, attributes such as affordability and health and safety showed weaker connections, suggesting that while these factors are important socially, they are less directly measured by SDG 12 indicators.</w:t>
      </w:r>
    </w:p>
    <w:p w14:paraId="27A51A9F" w14:textId="77777777" w:rsidR="00F4410D" w:rsidRPr="00BE4AF3" w:rsidRDefault="00F4410D" w:rsidP="009506B8">
      <w:pPr>
        <w:pStyle w:val="NormalWeb"/>
        <w:spacing w:before="0" w:beforeAutospacing="0" w:after="0" w:afterAutospacing="0"/>
        <w:jc w:val="both"/>
      </w:pPr>
      <w:r w:rsidRPr="00BE4AF3">
        <w:rPr>
          <w:bCs/>
        </w:rPr>
        <w:t>The overlapping patterns</w:t>
      </w:r>
      <w:r w:rsidRPr="00BE4AF3">
        <w:t xml:space="preserve"> indicate that </w:t>
      </w:r>
      <w:r w:rsidRPr="00BE4AF3">
        <w:rPr>
          <w:bCs/>
        </w:rPr>
        <w:t>low embodied carbon and energy efficiency</w:t>
      </w:r>
      <w:r w:rsidRPr="00BE4AF3">
        <w:t xml:space="preserve"> were the most consistently strong attributes across all three SDGs, providing both environmental and socio-economic benefits. By contrast, </w:t>
      </w:r>
      <w:r w:rsidRPr="00BE4AF3">
        <w:rPr>
          <w:bCs/>
        </w:rPr>
        <w:t>affordability and health and safety</w:t>
      </w:r>
      <w:r w:rsidRPr="00BE4AF3">
        <w:t xml:space="preserve"> were more context-specific, with stronger relevance to SDG 11 but weaker associations with SDG 9 and 12. Overall, the mapping exercise demonstrates that no single attribute addresses all SDG aims comprehensively. Instead, different attributes play complementary roles across environmental, social, and economic dimensions of sustainability. This highlights the need for a </w:t>
      </w:r>
      <w:r w:rsidRPr="00BE4AF3">
        <w:rPr>
          <w:bCs/>
        </w:rPr>
        <w:t>balanced approach to material selection</w:t>
      </w:r>
      <w:r w:rsidRPr="00BE4AF3">
        <w:t xml:space="preserve">, ensuring that choices do not solely prioritize one sustainability dimension (e.g., environmental) at the expense of others (e.g., social affordability). The results suggest that no single sustainability attribute provides a comprehensive contribution to all SDG dimensions. Instead, material attributes complement one another: low embodied carbon and energy efficiency primarily address environmental concerns, affordability addresses social inclusion, and recyclability targets circular economy objectives. This multidimensionality confirms findings by </w:t>
      </w:r>
      <w:bookmarkStart w:id="36" w:name="_Hlk208379556"/>
      <w:r w:rsidRPr="00BE4AF3">
        <w:t xml:space="preserve">Cabeza </w:t>
      </w:r>
      <w:r w:rsidRPr="00BE4AF3">
        <w:rPr>
          <w:i/>
        </w:rPr>
        <w:t>et al</w:t>
      </w:r>
      <w:r w:rsidRPr="00BE4AF3">
        <w:t xml:space="preserve">. (2014) </w:t>
      </w:r>
      <w:bookmarkEnd w:id="36"/>
      <w:r w:rsidRPr="00BE4AF3">
        <w:t>that sustainable construction requires integrated strategies balancing environmental, economic, and social priorities.</w:t>
      </w:r>
    </w:p>
    <w:p w14:paraId="03FB0EE5" w14:textId="77777777" w:rsidR="00F4410D" w:rsidRPr="00BE4AF3" w:rsidRDefault="00F4410D" w:rsidP="00F4410D">
      <w:pPr>
        <w:spacing w:before="100" w:beforeAutospacing="1" w:after="0" w:line="240" w:lineRule="auto"/>
        <w:jc w:val="both"/>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Conclusion</w:t>
      </w:r>
    </w:p>
    <w:p w14:paraId="51772575" w14:textId="77777777" w:rsidR="00F4410D" w:rsidRPr="00BE4AF3" w:rsidRDefault="00F4410D" w:rsidP="00F4410D">
      <w:pPr>
        <w:spacing w:after="100" w:afterAutospacing="1"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The results showed that attributes such as </w:t>
      </w:r>
      <w:r w:rsidRPr="00BE4AF3">
        <w:rPr>
          <w:rFonts w:ascii="Times New Roman" w:eastAsia="Times New Roman" w:hAnsi="Times New Roman" w:cs="Times New Roman"/>
          <w:bCs/>
          <w:sz w:val="24"/>
          <w:szCs w:val="24"/>
        </w:rPr>
        <w:t>low embodied carbon and energy efficiency</w:t>
      </w:r>
      <w:r w:rsidRPr="00BE4AF3">
        <w:rPr>
          <w:rFonts w:ascii="Times New Roman" w:eastAsia="Times New Roman" w:hAnsi="Times New Roman" w:cs="Times New Roman"/>
          <w:sz w:val="24"/>
          <w:szCs w:val="24"/>
        </w:rPr>
        <w:t xml:space="preserve"> have the most consistent and direct contributions across all three SDGs, particularly in advancing </w:t>
      </w:r>
      <w:r w:rsidRPr="00BE4AF3">
        <w:rPr>
          <w:rFonts w:ascii="Times New Roman" w:eastAsia="Times New Roman" w:hAnsi="Times New Roman" w:cs="Times New Roman"/>
          <w:sz w:val="24"/>
          <w:szCs w:val="24"/>
        </w:rPr>
        <w:lastRenderedPageBreak/>
        <w:t xml:space="preserve">sustainable infrastructure (SDG 9.4) and resource efficiency (SDG 12.2). </w:t>
      </w:r>
      <w:r w:rsidRPr="00BE4AF3">
        <w:rPr>
          <w:rFonts w:ascii="Times New Roman" w:eastAsia="Times New Roman" w:hAnsi="Times New Roman" w:cs="Times New Roman"/>
          <w:bCs/>
          <w:sz w:val="24"/>
          <w:szCs w:val="24"/>
        </w:rPr>
        <w:t>Recyclability</w:t>
      </w:r>
      <w:r w:rsidRPr="00BE4AF3">
        <w:rPr>
          <w:rFonts w:ascii="Times New Roman" w:eastAsia="Times New Roman" w:hAnsi="Times New Roman" w:cs="Times New Roman"/>
          <w:sz w:val="24"/>
          <w:szCs w:val="24"/>
        </w:rPr>
        <w:t xml:space="preserve"> was found to be most strongly aligned with waste reduction objectives (SDG 12.5), while </w:t>
      </w:r>
      <w:r w:rsidRPr="00BE4AF3">
        <w:rPr>
          <w:rFonts w:ascii="Times New Roman" w:eastAsia="Times New Roman" w:hAnsi="Times New Roman" w:cs="Times New Roman"/>
          <w:bCs/>
          <w:sz w:val="24"/>
          <w:szCs w:val="24"/>
        </w:rPr>
        <w:t>affordability and health and safety</w:t>
      </w:r>
      <w:r w:rsidRPr="00BE4AF3">
        <w:rPr>
          <w:rFonts w:ascii="Times New Roman" w:eastAsia="Times New Roman" w:hAnsi="Times New Roman" w:cs="Times New Roman"/>
          <w:sz w:val="24"/>
          <w:szCs w:val="24"/>
        </w:rPr>
        <w:t xml:space="preserve"> primarily contribute to social sustainability outcomes, especially in the context of housing and urban development under SDG 11.6 and 11.c These findings demonstrate that sustainable construction materials impact different dimensions of sustainability in complementary ways rather than through a single universal attribute. The study underscores the importance of adopting a </w:t>
      </w:r>
      <w:r w:rsidRPr="00BE4AF3">
        <w:rPr>
          <w:rFonts w:ascii="Times New Roman" w:eastAsia="Times New Roman" w:hAnsi="Times New Roman" w:cs="Times New Roman"/>
          <w:bCs/>
          <w:sz w:val="24"/>
          <w:szCs w:val="24"/>
        </w:rPr>
        <w:t>multi-attribute perspective</w:t>
      </w:r>
      <w:r w:rsidRPr="00BE4AF3">
        <w:rPr>
          <w:rFonts w:ascii="Times New Roman" w:eastAsia="Times New Roman" w:hAnsi="Times New Roman" w:cs="Times New Roman"/>
          <w:sz w:val="24"/>
          <w:szCs w:val="24"/>
        </w:rPr>
        <w:t xml:space="preserve"> when evaluating sustainable materials. No single attribute is sufficient to address all SDG targets comprehensively; instead, a balance of environmental, social, and economic considerations is required. Policymakers, practitioners, and researchers should therefore promote integrated material assessment frameworks that align construction practices with the SDG agenda. Future work should extend this mapping by incorporating primary data from case studies and validating the framework through expert consultation to enhance its practical applicability.</w:t>
      </w:r>
    </w:p>
    <w:p w14:paraId="62E4D12B" w14:textId="77777777" w:rsidR="00F4410D" w:rsidRPr="00BE4AF3" w:rsidRDefault="00F4410D" w:rsidP="00F4410D">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b/>
          <w:bCs/>
          <w:color w:val="000000" w:themeColor="text1"/>
          <w:sz w:val="24"/>
          <w:szCs w:val="24"/>
        </w:rPr>
        <w:t xml:space="preserve">References </w:t>
      </w:r>
      <w:r w:rsidRPr="00BE4AF3">
        <w:rPr>
          <w:rFonts w:ascii="Times New Roman" w:hAnsi="Times New Roman" w:cs="Times New Roman"/>
          <w:color w:val="000000" w:themeColor="text1"/>
          <w:sz w:val="24"/>
          <w:szCs w:val="24"/>
        </w:rPr>
        <w:t xml:space="preserve"> </w:t>
      </w:r>
    </w:p>
    <w:p w14:paraId="7F394C63" w14:textId="77777777" w:rsidR="00F4410D" w:rsidRPr="00BE4AF3" w:rsidRDefault="00F4410D" w:rsidP="00F4410D">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BE4AF3">
        <w:rPr>
          <w:rFonts w:ascii="Times New Roman" w:hAnsi="Times New Roman" w:cs="Times New Roman"/>
          <w:noProof/>
          <w:sz w:val="24"/>
          <w:szCs w:val="24"/>
        </w:rPr>
        <w:t>Al-Numan, B. S. O. (2024). Construction Industry Role in Natural Resources Depletion and How to Reduce It, 93–109. Retrieved 5 May 2025 from https://doi.org/10.1007/978-3-031-58315-5_6</w:t>
      </w:r>
    </w:p>
    <w:p w14:paraId="54347623" w14:textId="77777777" w:rsidR="00F4410D" w:rsidRPr="00BE4AF3" w:rsidRDefault="00F4410D" w:rsidP="00F4410D">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Baduge, S. K., Thilakarathna, S., Perera, J. S., Arashpour, M., Sharafi, P., Teodosio, B., … Mendis, P. (2022). Artificial intelligence and smart vision for building and construction 4.0: Machine and deep learning methods and applications. </w:t>
      </w:r>
      <w:r w:rsidRPr="00BE4AF3">
        <w:rPr>
          <w:rFonts w:ascii="Times New Roman" w:hAnsi="Times New Roman" w:cs="Times New Roman"/>
          <w:i/>
          <w:iCs/>
          <w:noProof/>
          <w:sz w:val="24"/>
          <w:szCs w:val="24"/>
        </w:rPr>
        <w:t>Automation in Construction</w:t>
      </w:r>
      <w:r w:rsidRPr="00BE4AF3">
        <w:rPr>
          <w:rFonts w:ascii="Times New Roman" w:hAnsi="Times New Roman" w:cs="Times New Roman"/>
          <w:noProof/>
          <w:sz w:val="24"/>
          <w:szCs w:val="24"/>
        </w:rPr>
        <w:t>, 141, 104440. Retrieved 4 May 2025 from https://doi.org/10.1016/J.AUTCON.2022.104440</w:t>
      </w:r>
    </w:p>
    <w:p w14:paraId="7BA5066F" w14:textId="77777777" w:rsidR="00F4410D" w:rsidRPr="00BE4AF3" w:rsidRDefault="00F4410D" w:rsidP="00F4410D">
      <w:pPr>
        <w:spacing w:after="0" w:line="240" w:lineRule="auto"/>
        <w:ind w:left="720" w:hanging="720"/>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Bourbia, R., &amp; Benmahdjoub, M. (2023). The role of bio-based materials in sustainable construction: A review. </w:t>
      </w:r>
      <w:r w:rsidRPr="00BE4AF3">
        <w:rPr>
          <w:rFonts w:ascii="Times New Roman" w:hAnsi="Times New Roman" w:cs="Times New Roman"/>
          <w:i/>
          <w:color w:val="000000" w:themeColor="text1"/>
          <w:sz w:val="24"/>
          <w:szCs w:val="24"/>
        </w:rPr>
        <w:t>Journal of Building Engineering, 45</w:t>
      </w:r>
      <w:r w:rsidRPr="00BE4AF3">
        <w:rPr>
          <w:rFonts w:ascii="Times New Roman" w:hAnsi="Times New Roman" w:cs="Times New Roman"/>
          <w:color w:val="000000" w:themeColor="text1"/>
          <w:sz w:val="24"/>
          <w:szCs w:val="24"/>
        </w:rPr>
        <w:t xml:space="preserve">, 103678. </w:t>
      </w:r>
      <w:hyperlink r:id="rId74" w:history="1">
        <w:r w:rsidRPr="00BE4AF3">
          <w:rPr>
            <w:rStyle w:val="Hyperlink"/>
            <w:rFonts w:ascii="Times New Roman" w:hAnsi="Times New Roman" w:cs="Times New Roman"/>
            <w:color w:val="000000" w:themeColor="text1"/>
            <w:sz w:val="24"/>
            <w:szCs w:val="24"/>
          </w:rPr>
          <w:t>https://doi.org/10.1016/j.jobe.2021.103678</w:t>
        </w:r>
      </w:hyperlink>
      <w:r w:rsidRPr="00BE4AF3">
        <w:rPr>
          <w:rFonts w:ascii="Times New Roman" w:hAnsi="Times New Roman" w:cs="Times New Roman"/>
          <w:color w:val="000000" w:themeColor="text1"/>
          <w:sz w:val="24"/>
          <w:szCs w:val="24"/>
        </w:rPr>
        <w:t xml:space="preserve"> </w:t>
      </w:r>
    </w:p>
    <w:p w14:paraId="04F4DBD8" w14:textId="77777777" w:rsidR="00F4410D" w:rsidRPr="00BE4AF3" w:rsidRDefault="00F4410D" w:rsidP="00F4410D">
      <w:pPr>
        <w:spacing w:after="0"/>
        <w:jc w:val="both"/>
        <w:rPr>
          <w:rFonts w:ascii="Times New Roman" w:hAnsi="Times New Roman" w:cs="Times New Roman"/>
          <w:sz w:val="24"/>
          <w:szCs w:val="24"/>
          <w:shd w:val="clear" w:color="auto" w:fill="FFFFFF"/>
        </w:rPr>
      </w:pPr>
      <w:r w:rsidRPr="00BE4AF3">
        <w:rPr>
          <w:rFonts w:ascii="Times New Roman" w:hAnsi="Times New Roman" w:cs="Times New Roman"/>
          <w:sz w:val="24"/>
          <w:szCs w:val="24"/>
        </w:rPr>
        <w:t xml:space="preserve">Cabeza, L., F., </w:t>
      </w:r>
      <w:r w:rsidRPr="00BE4AF3">
        <w:rPr>
          <w:rStyle w:val="text"/>
          <w:rFonts w:ascii="Times New Roman" w:hAnsi="Times New Roman" w:cs="Times New Roman"/>
          <w:sz w:val="24"/>
          <w:szCs w:val="24"/>
        </w:rPr>
        <w:t xml:space="preserve">Rincón, L., Vilariño, V., Pérez, G. and Castell, A. (2014). </w:t>
      </w:r>
      <w:r w:rsidRPr="00BE4AF3">
        <w:rPr>
          <w:rFonts w:ascii="Times New Roman" w:eastAsia="Times New Roman" w:hAnsi="Times New Roman" w:cs="Times New Roman"/>
          <w:bCs/>
          <w:kern w:val="36"/>
          <w:sz w:val="24"/>
          <w:szCs w:val="24"/>
        </w:rPr>
        <w:t>Life cycle assessment</w:t>
      </w:r>
      <w:r w:rsidRPr="00BE4AF3">
        <w:rPr>
          <w:rFonts w:ascii="Times New Roman" w:eastAsia="Times New Roman" w:hAnsi="Times New Roman" w:cs="Times New Roman"/>
          <w:bCs/>
          <w:kern w:val="36"/>
          <w:sz w:val="24"/>
          <w:szCs w:val="24"/>
        </w:rPr>
        <w:tab/>
      </w:r>
      <w:r w:rsidRPr="00BE4AF3">
        <w:rPr>
          <w:rFonts w:ascii="Times New Roman" w:eastAsia="Times New Roman" w:hAnsi="Times New Roman" w:cs="Times New Roman"/>
          <w:bCs/>
          <w:kern w:val="36"/>
          <w:sz w:val="24"/>
          <w:szCs w:val="24"/>
        </w:rPr>
        <w:tab/>
        <w:t xml:space="preserve">(LCA) and life cycle energy analysis (LCEA) of buildings and the building sector: A </w:t>
      </w:r>
      <w:r w:rsidRPr="00BE4AF3">
        <w:rPr>
          <w:rFonts w:ascii="Times New Roman" w:eastAsia="Times New Roman" w:hAnsi="Times New Roman" w:cs="Times New Roman"/>
          <w:bCs/>
          <w:kern w:val="36"/>
          <w:sz w:val="24"/>
          <w:szCs w:val="24"/>
        </w:rPr>
        <w:tab/>
        <w:t xml:space="preserve">review. </w:t>
      </w:r>
      <w:hyperlink r:id="rId75" w:tooltip="Go to Renewable and Sustainable Energy Reviews on ScienceDirect" w:history="1">
        <w:r w:rsidRPr="00BE4AF3">
          <w:rPr>
            <w:rStyle w:val="anchor-text"/>
            <w:rFonts w:ascii="Times New Roman" w:hAnsi="Times New Roman" w:cs="Times New Roman"/>
            <w:bCs/>
            <w:i/>
            <w:sz w:val="24"/>
            <w:szCs w:val="24"/>
          </w:rPr>
          <w:t>Renewable and Sustainable Energy Reviews</w:t>
        </w:r>
      </w:hyperlink>
      <w:r w:rsidRPr="00BE4AF3">
        <w:rPr>
          <w:rFonts w:ascii="Times New Roman" w:hAnsi="Times New Roman" w:cs="Times New Roman"/>
          <w:sz w:val="24"/>
          <w:szCs w:val="24"/>
        </w:rPr>
        <w:t xml:space="preserve">. </w:t>
      </w:r>
      <w:r w:rsidRPr="00BE4AF3">
        <w:rPr>
          <w:rFonts w:ascii="Times New Roman" w:hAnsi="Times New Roman" w:cs="Times New Roman"/>
          <w:sz w:val="24"/>
          <w:szCs w:val="24"/>
          <w:shd w:val="clear" w:color="auto" w:fill="FFFFFF"/>
        </w:rPr>
        <w:t>Elsevier, vol. 29(C)</w:t>
      </w:r>
      <w:r w:rsidRPr="00BE4AF3">
        <w:rPr>
          <w:rFonts w:ascii="Times New Roman" w:hAnsi="Times New Roman" w:cs="Times New Roman"/>
          <w:sz w:val="24"/>
          <w:szCs w:val="24"/>
        </w:rPr>
        <w:t xml:space="preserve">, pp. 394-416. </w:t>
      </w:r>
      <w:r w:rsidRPr="00BE4AF3">
        <w:rPr>
          <w:rFonts w:ascii="Times New Roman" w:hAnsi="Times New Roman" w:cs="Times New Roman"/>
          <w:sz w:val="24"/>
          <w:szCs w:val="24"/>
        </w:rPr>
        <w:tab/>
      </w:r>
      <w:r w:rsidRPr="00BE4AF3">
        <w:rPr>
          <w:rFonts w:ascii="Times New Roman" w:hAnsi="Times New Roman" w:cs="Times New Roman"/>
          <w:sz w:val="24"/>
          <w:szCs w:val="24"/>
          <w:shd w:val="clear" w:color="auto" w:fill="FFFFFF"/>
        </w:rPr>
        <w:t>DOI: 10.1016/j.rser.2013.08.037</w:t>
      </w:r>
    </w:p>
    <w:p w14:paraId="40A2A956" w14:textId="77777777" w:rsidR="00F4410D" w:rsidRPr="00BE4AF3" w:rsidRDefault="00F4410D" w:rsidP="00F4410D">
      <w:pPr>
        <w:spacing w:after="0"/>
        <w:jc w:val="both"/>
        <w:rPr>
          <w:rFonts w:ascii="Times New Roman" w:hAnsi="Times New Roman" w:cs="Times New Roman"/>
          <w:sz w:val="24"/>
          <w:szCs w:val="24"/>
        </w:rPr>
      </w:pPr>
      <w:r w:rsidRPr="00BE4AF3">
        <w:rPr>
          <w:rStyle w:val="text"/>
          <w:rFonts w:ascii="Times New Roman" w:hAnsi="Times New Roman" w:cs="Times New Roman"/>
          <w:sz w:val="24"/>
          <w:szCs w:val="24"/>
        </w:rPr>
        <w:t xml:space="preserve">Danso, H. (2017). </w:t>
      </w:r>
      <w:r w:rsidRPr="00BE4AF3">
        <w:rPr>
          <w:rStyle w:val="title-text"/>
          <w:rFonts w:ascii="Times New Roman" w:hAnsi="Times New Roman" w:cs="Times New Roman"/>
          <w:sz w:val="24"/>
          <w:szCs w:val="24"/>
        </w:rPr>
        <w:t xml:space="preserve">Properties of Coconut, Oil Palm and Bagasse Fibres: As Potential Building </w:t>
      </w:r>
      <w:r w:rsidRPr="00BE4AF3">
        <w:rPr>
          <w:rStyle w:val="title-text"/>
          <w:rFonts w:ascii="Times New Roman" w:hAnsi="Times New Roman" w:cs="Times New Roman"/>
          <w:sz w:val="24"/>
          <w:szCs w:val="24"/>
        </w:rPr>
        <w:tab/>
        <w:t xml:space="preserve">Materials. </w:t>
      </w:r>
      <w:hyperlink r:id="rId76" w:tooltip="Go to Procedia Engineering on ScienceDirect" w:history="1">
        <w:r w:rsidRPr="00BE4AF3">
          <w:rPr>
            <w:rStyle w:val="anchor-text"/>
            <w:rFonts w:ascii="Times New Roman" w:hAnsi="Times New Roman" w:cs="Times New Roman"/>
            <w:sz w:val="24"/>
            <w:szCs w:val="24"/>
          </w:rPr>
          <w:t>Procedia Engineering</w:t>
        </w:r>
      </w:hyperlink>
      <w:r w:rsidRPr="00BE4AF3">
        <w:rPr>
          <w:rFonts w:ascii="Times New Roman" w:hAnsi="Times New Roman" w:cs="Times New Roman"/>
          <w:sz w:val="24"/>
          <w:szCs w:val="24"/>
        </w:rPr>
        <w:t xml:space="preserve">, </w:t>
      </w:r>
      <w:hyperlink r:id="rId77" w:tooltip="Go to table of contents for this volume/issue" w:history="1">
        <w:r w:rsidRPr="00BE4AF3">
          <w:rPr>
            <w:rStyle w:val="anchor-text"/>
            <w:rFonts w:ascii="Times New Roman" w:hAnsi="Times New Roman" w:cs="Times New Roman"/>
            <w:sz w:val="24"/>
            <w:szCs w:val="24"/>
          </w:rPr>
          <w:t>Vol. 200</w:t>
        </w:r>
      </w:hyperlink>
      <w:r w:rsidRPr="00BE4AF3">
        <w:rPr>
          <w:rFonts w:ascii="Times New Roman" w:hAnsi="Times New Roman" w:cs="Times New Roman"/>
          <w:sz w:val="24"/>
          <w:szCs w:val="24"/>
        </w:rPr>
        <w:t>, pp 1-9</w:t>
      </w:r>
    </w:p>
    <w:p w14:paraId="3B47271A" w14:textId="77777777" w:rsidR="00F4410D" w:rsidRPr="00BE4AF3" w:rsidRDefault="00F4410D" w:rsidP="00F4410D">
      <w:pPr>
        <w:spacing w:after="0" w:line="240" w:lineRule="auto"/>
        <w:ind w:left="720" w:hanging="720"/>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DGNB. (2023). DGNB System: Sustainable building certification. German Sustainable Building Council. </w:t>
      </w:r>
      <w:hyperlink r:id="rId78" w:history="1">
        <w:r w:rsidRPr="00BE4AF3">
          <w:rPr>
            <w:rStyle w:val="Hyperlink"/>
            <w:rFonts w:ascii="Times New Roman" w:hAnsi="Times New Roman" w:cs="Times New Roman"/>
            <w:color w:val="000000" w:themeColor="text1"/>
            <w:sz w:val="24"/>
            <w:szCs w:val="24"/>
          </w:rPr>
          <w:t>https://www.dgnb.de</w:t>
        </w:r>
      </w:hyperlink>
      <w:r w:rsidRPr="00BE4AF3">
        <w:rPr>
          <w:rFonts w:ascii="Times New Roman" w:hAnsi="Times New Roman" w:cs="Times New Roman"/>
          <w:color w:val="000000" w:themeColor="text1"/>
          <w:sz w:val="24"/>
          <w:szCs w:val="24"/>
        </w:rPr>
        <w:t xml:space="preserve"> </w:t>
      </w:r>
    </w:p>
    <w:p w14:paraId="33B3E8A3" w14:textId="77777777" w:rsidR="00F4410D" w:rsidRPr="00BE4AF3" w:rsidRDefault="00F4410D" w:rsidP="00F4410D">
      <w:pPr>
        <w:spacing w:after="0" w:line="240" w:lineRule="auto"/>
        <w:ind w:left="720" w:hanging="720"/>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Global ABC. (2023). Sustainable building materials. </w:t>
      </w:r>
      <w:hyperlink r:id="rId79" w:history="1">
        <w:r w:rsidRPr="00BE4AF3">
          <w:rPr>
            <w:rStyle w:val="Hyperlink"/>
            <w:rFonts w:ascii="Times New Roman" w:hAnsi="Times New Roman" w:cs="Times New Roman"/>
            <w:color w:val="000000" w:themeColor="text1"/>
            <w:sz w:val="24"/>
            <w:szCs w:val="24"/>
          </w:rPr>
          <w:t>https://globalabc.org/sustainable-materials-hub/home</w:t>
        </w:r>
      </w:hyperlink>
      <w:r w:rsidRPr="00BE4AF3">
        <w:rPr>
          <w:rFonts w:ascii="Times New Roman" w:hAnsi="Times New Roman" w:cs="Times New Roman"/>
          <w:color w:val="000000" w:themeColor="text1"/>
          <w:sz w:val="24"/>
          <w:szCs w:val="24"/>
        </w:rPr>
        <w:t xml:space="preserve"> </w:t>
      </w:r>
    </w:p>
    <w:p w14:paraId="17F0870A" w14:textId="77777777" w:rsidR="00F4410D" w:rsidRPr="00BE4AF3" w:rsidRDefault="00F4410D" w:rsidP="00F4410D">
      <w:pPr>
        <w:spacing w:after="0" w:line="259" w:lineRule="auto"/>
        <w:jc w:val="both"/>
        <w:rPr>
          <w:rFonts w:ascii="Times New Roman" w:hAnsi="Times New Roman" w:cs="Times New Roman"/>
          <w:sz w:val="24"/>
          <w:szCs w:val="24"/>
        </w:rPr>
      </w:pPr>
      <w:r w:rsidRPr="00BE4AF3">
        <w:rPr>
          <w:rFonts w:ascii="Times New Roman" w:hAnsi="Times New Roman" w:cs="Times New Roman"/>
          <w:color w:val="222222"/>
          <w:sz w:val="24"/>
          <w:szCs w:val="24"/>
          <w:shd w:val="clear" w:color="auto" w:fill="FFFFFF"/>
        </w:rPr>
        <w:t xml:space="preserve">Habert, G., </w:t>
      </w:r>
      <w:r w:rsidRPr="00BE4AF3">
        <w:rPr>
          <w:rFonts w:ascii="Times New Roman" w:hAnsi="Times New Roman" w:cs="Times New Roman"/>
          <w:sz w:val="24"/>
          <w:szCs w:val="24"/>
          <w:shd w:val="clear" w:color="auto" w:fill="FFFFFF"/>
        </w:rPr>
        <w:t>Miller, S. A., John, V. M. </w:t>
      </w:r>
      <w:r w:rsidRPr="00BE4AF3">
        <w:rPr>
          <w:rFonts w:ascii="Times New Roman" w:hAnsi="Times New Roman" w:cs="Times New Roman"/>
          <w:iCs/>
          <w:sz w:val="24"/>
          <w:szCs w:val="24"/>
          <w:shd w:val="clear" w:color="auto" w:fill="FFFFFF"/>
        </w:rPr>
        <w:t>(2020).</w:t>
      </w:r>
      <w:r w:rsidRPr="00BE4AF3">
        <w:rPr>
          <w:rFonts w:ascii="Times New Roman" w:hAnsi="Times New Roman" w:cs="Times New Roman"/>
          <w:sz w:val="24"/>
          <w:szCs w:val="24"/>
          <w:shd w:val="clear" w:color="auto" w:fill="FFFFFF"/>
        </w:rPr>
        <w:t xml:space="preserve"> Environmental impacts and decarbonization </w:t>
      </w:r>
      <w:r w:rsidRPr="00BE4AF3">
        <w:rPr>
          <w:rFonts w:ascii="Times New Roman" w:hAnsi="Times New Roman" w:cs="Times New Roman"/>
          <w:sz w:val="24"/>
          <w:szCs w:val="24"/>
          <w:shd w:val="clear" w:color="auto" w:fill="FFFFFF"/>
        </w:rPr>
        <w:tab/>
        <w:t>strategies in the cement and concrete industries. </w:t>
      </w:r>
      <w:r w:rsidRPr="00BE4AF3">
        <w:rPr>
          <w:rFonts w:ascii="Times New Roman" w:hAnsi="Times New Roman" w:cs="Times New Roman"/>
          <w:i/>
          <w:iCs/>
          <w:sz w:val="24"/>
          <w:szCs w:val="24"/>
          <w:shd w:val="clear" w:color="auto" w:fill="FFFFFF"/>
        </w:rPr>
        <w:t>Nat Rev Earth Environ.</w:t>
      </w:r>
      <w:r w:rsidRPr="00BE4AF3">
        <w:rPr>
          <w:rFonts w:ascii="Times New Roman" w:hAnsi="Times New Roman" w:cs="Times New Roman"/>
          <w:sz w:val="24"/>
          <w:szCs w:val="24"/>
          <w:shd w:val="clear" w:color="auto" w:fill="FFFFFF"/>
        </w:rPr>
        <w:t xml:space="preserve"> Vol. </w:t>
      </w:r>
      <w:r w:rsidRPr="00BE4AF3">
        <w:rPr>
          <w:rFonts w:ascii="Times New Roman" w:hAnsi="Times New Roman" w:cs="Times New Roman"/>
          <w:bCs/>
          <w:sz w:val="24"/>
          <w:szCs w:val="24"/>
          <w:shd w:val="clear" w:color="auto" w:fill="FFFFFF"/>
        </w:rPr>
        <w:t>1</w:t>
      </w:r>
      <w:r w:rsidRPr="00BE4AF3">
        <w:rPr>
          <w:rFonts w:ascii="Times New Roman" w:hAnsi="Times New Roman" w:cs="Times New Roman"/>
          <w:sz w:val="24"/>
          <w:szCs w:val="24"/>
          <w:shd w:val="clear" w:color="auto" w:fill="FFFFFF"/>
        </w:rPr>
        <w:t>, pp. 559–</w:t>
      </w:r>
      <w:r w:rsidRPr="00BE4AF3">
        <w:rPr>
          <w:rFonts w:ascii="Times New Roman" w:hAnsi="Times New Roman" w:cs="Times New Roman"/>
          <w:sz w:val="24"/>
          <w:szCs w:val="24"/>
          <w:shd w:val="clear" w:color="auto" w:fill="FFFFFF"/>
        </w:rPr>
        <w:tab/>
        <w:t xml:space="preserve">573. https://doi.org/10.1038/s43017-020-0093-3 </w:t>
      </w:r>
    </w:p>
    <w:p w14:paraId="01794B9A" w14:textId="77777777" w:rsidR="00F4410D" w:rsidRPr="00BE4AF3" w:rsidRDefault="00F4410D" w:rsidP="00F4410D">
      <w:pPr>
        <w:spacing w:after="0" w:line="330" w:lineRule="atLeast"/>
        <w:jc w:val="both"/>
        <w:rPr>
          <w:rFonts w:ascii="Times New Roman" w:hAnsi="Times New Roman" w:cs="Times New Roman"/>
          <w:sz w:val="24"/>
          <w:szCs w:val="24"/>
        </w:rPr>
      </w:pPr>
      <w:r w:rsidRPr="00BE4AF3">
        <w:rPr>
          <w:rStyle w:val="text"/>
          <w:rFonts w:ascii="Times New Roman" w:hAnsi="Times New Roman" w:cs="Times New Roman"/>
          <w:sz w:val="24"/>
          <w:szCs w:val="24"/>
        </w:rPr>
        <w:t>Halawa, E.,</w:t>
      </w:r>
      <w:r w:rsidRPr="00BE4AF3">
        <w:rPr>
          <w:rStyle w:val="react-xocs-alternative-link"/>
          <w:rFonts w:ascii="Times New Roman" w:hAnsi="Times New Roman" w:cs="Times New Roman"/>
          <w:sz w:val="24"/>
          <w:szCs w:val="24"/>
        </w:rPr>
        <w:t> </w:t>
      </w:r>
      <w:r w:rsidRPr="00BE4AF3">
        <w:rPr>
          <w:rFonts w:ascii="Times New Roman" w:hAnsi="Times New Roman" w:cs="Times New Roman"/>
          <w:sz w:val="24"/>
          <w:szCs w:val="24"/>
        </w:rPr>
        <w:t> </w:t>
      </w:r>
      <w:bookmarkStart w:id="37" w:name="bau0010-profile"/>
      <w:r w:rsidRPr="00BE4AF3">
        <w:rPr>
          <w:rFonts w:ascii="Times New Roman" w:hAnsi="Times New Roman" w:cs="Times New Roman"/>
          <w:sz w:val="24"/>
          <w:szCs w:val="24"/>
        </w:rPr>
        <w:fldChar w:fldCharType="begin"/>
      </w:r>
      <w:r w:rsidRPr="00BE4AF3">
        <w:rPr>
          <w:rFonts w:ascii="Times New Roman" w:hAnsi="Times New Roman" w:cs="Times New Roman"/>
          <w:sz w:val="24"/>
          <w:szCs w:val="24"/>
        </w:rPr>
        <w:instrText xml:space="preserve"> HYPERLINK "https://www.sciencedirect.com/author/37088515600/amirhosein-ghaffarianhoseini" </w:instrText>
      </w:r>
      <w:r w:rsidRPr="00BE4AF3">
        <w:rPr>
          <w:rFonts w:ascii="Times New Roman" w:hAnsi="Times New Roman" w:cs="Times New Roman"/>
          <w:sz w:val="24"/>
          <w:szCs w:val="24"/>
        </w:rPr>
      </w:r>
      <w:r w:rsidRPr="00BE4AF3">
        <w:rPr>
          <w:rFonts w:ascii="Times New Roman" w:hAnsi="Times New Roman" w:cs="Times New Roman"/>
          <w:sz w:val="24"/>
          <w:szCs w:val="24"/>
        </w:rPr>
        <w:fldChar w:fldCharType="separate"/>
      </w:r>
      <w:r w:rsidRPr="00BE4AF3">
        <w:rPr>
          <w:rStyle w:val="text"/>
          <w:rFonts w:ascii="Times New Roman" w:hAnsi="Times New Roman" w:cs="Times New Roman"/>
          <w:sz w:val="24"/>
          <w:szCs w:val="24"/>
        </w:rPr>
        <w:t>Ghaffarianhoseini</w:t>
      </w:r>
      <w:r w:rsidRPr="00BE4AF3">
        <w:rPr>
          <w:rFonts w:ascii="Times New Roman" w:hAnsi="Times New Roman" w:cs="Times New Roman"/>
          <w:sz w:val="24"/>
          <w:szCs w:val="24"/>
        </w:rPr>
        <w:fldChar w:fldCharType="end"/>
      </w:r>
      <w:bookmarkEnd w:id="37"/>
      <w:r w:rsidRPr="00BE4AF3">
        <w:rPr>
          <w:rFonts w:ascii="Times New Roman" w:hAnsi="Times New Roman" w:cs="Times New Roman"/>
          <w:sz w:val="24"/>
          <w:szCs w:val="24"/>
        </w:rPr>
        <w:t>, </w:t>
      </w:r>
      <w:bookmarkStart w:id="38" w:name="bau0015-profile"/>
      <w:r w:rsidRPr="00BE4AF3">
        <w:rPr>
          <w:rFonts w:ascii="Times New Roman" w:hAnsi="Times New Roman" w:cs="Times New Roman"/>
          <w:sz w:val="24"/>
          <w:szCs w:val="24"/>
        </w:rPr>
        <w:t xml:space="preserve">A., </w:t>
      </w:r>
      <w:hyperlink r:id="rId80" w:history="1">
        <w:r w:rsidRPr="00BE4AF3">
          <w:rPr>
            <w:rStyle w:val="text"/>
            <w:rFonts w:ascii="Times New Roman" w:hAnsi="Times New Roman" w:cs="Times New Roman"/>
            <w:sz w:val="24"/>
            <w:szCs w:val="24"/>
          </w:rPr>
          <w:t>Ghaffarianhoseini, A.,</w:t>
        </w:r>
      </w:hyperlink>
      <w:bookmarkEnd w:id="38"/>
      <w:r w:rsidRPr="00BE4AF3">
        <w:rPr>
          <w:rFonts w:ascii="Times New Roman" w:hAnsi="Times New Roman" w:cs="Times New Roman"/>
          <w:sz w:val="24"/>
          <w:szCs w:val="24"/>
        </w:rPr>
        <w:t> </w:t>
      </w:r>
      <w:r w:rsidRPr="00BE4AF3">
        <w:rPr>
          <w:rStyle w:val="text"/>
          <w:rFonts w:ascii="Times New Roman" w:hAnsi="Times New Roman" w:cs="Times New Roman"/>
          <w:sz w:val="24"/>
          <w:szCs w:val="24"/>
        </w:rPr>
        <w:t>Trombley, J., Hassan,</w:t>
      </w:r>
      <w:r w:rsidRPr="00BE4AF3">
        <w:rPr>
          <w:rStyle w:val="text"/>
          <w:rFonts w:ascii="Times New Roman" w:hAnsi="Times New Roman" w:cs="Times New Roman"/>
          <w:sz w:val="24"/>
          <w:szCs w:val="24"/>
        </w:rPr>
        <w:tab/>
        <w:t xml:space="preserve"> </w:t>
      </w:r>
      <w:r w:rsidRPr="00BE4AF3">
        <w:rPr>
          <w:rStyle w:val="text"/>
          <w:rFonts w:ascii="Times New Roman" w:hAnsi="Times New Roman" w:cs="Times New Roman"/>
          <w:sz w:val="24"/>
          <w:szCs w:val="24"/>
        </w:rPr>
        <w:tab/>
        <w:t>N.</w:t>
      </w:r>
      <w:r w:rsidRPr="00BE4AF3">
        <w:rPr>
          <w:rFonts w:ascii="Times New Roman" w:hAnsi="Times New Roman" w:cs="Times New Roman"/>
          <w:sz w:val="24"/>
          <w:szCs w:val="24"/>
        </w:rPr>
        <w:t>, </w:t>
      </w:r>
      <w:r w:rsidRPr="00BE4AF3">
        <w:rPr>
          <w:rStyle w:val="text"/>
          <w:rFonts w:ascii="Times New Roman" w:hAnsi="Times New Roman" w:cs="Times New Roman"/>
          <w:sz w:val="24"/>
          <w:szCs w:val="24"/>
        </w:rPr>
        <w:t>Baig,</w:t>
      </w:r>
      <w:r w:rsidRPr="00BE4AF3">
        <w:rPr>
          <w:rStyle w:val="react-xocs-alternative-link"/>
          <w:rFonts w:ascii="Times New Roman" w:hAnsi="Times New Roman" w:cs="Times New Roman"/>
          <w:sz w:val="24"/>
          <w:szCs w:val="24"/>
        </w:rPr>
        <w:t> M.,</w:t>
      </w:r>
      <w:r w:rsidRPr="00BE4AF3">
        <w:rPr>
          <w:rFonts w:ascii="Times New Roman" w:hAnsi="Times New Roman" w:cs="Times New Roman"/>
          <w:sz w:val="24"/>
          <w:szCs w:val="24"/>
        </w:rPr>
        <w:t> </w:t>
      </w:r>
      <w:r w:rsidRPr="00BE4AF3">
        <w:rPr>
          <w:rStyle w:val="text"/>
          <w:rFonts w:ascii="Times New Roman" w:hAnsi="Times New Roman" w:cs="Times New Roman"/>
          <w:sz w:val="24"/>
          <w:szCs w:val="24"/>
        </w:rPr>
        <w:t>Yusoff</w:t>
      </w:r>
      <w:r w:rsidRPr="00BE4AF3">
        <w:rPr>
          <w:rFonts w:ascii="Times New Roman" w:hAnsi="Times New Roman" w:cs="Times New Roman"/>
          <w:sz w:val="24"/>
          <w:szCs w:val="24"/>
        </w:rPr>
        <w:t>, S., Y. and I</w:t>
      </w:r>
      <w:r w:rsidRPr="00BE4AF3">
        <w:rPr>
          <w:rStyle w:val="text"/>
          <w:rFonts w:ascii="Times New Roman" w:hAnsi="Times New Roman" w:cs="Times New Roman"/>
          <w:sz w:val="24"/>
          <w:szCs w:val="24"/>
        </w:rPr>
        <w:t xml:space="preserve">smail, M, A. (2018). </w:t>
      </w:r>
      <w:r w:rsidRPr="00BE4AF3">
        <w:rPr>
          <w:rStyle w:val="title-text"/>
          <w:rFonts w:ascii="Times New Roman" w:hAnsi="Times New Roman" w:cs="Times New Roman"/>
          <w:sz w:val="24"/>
          <w:szCs w:val="24"/>
        </w:rPr>
        <w:t xml:space="preserve">A review on energy conscious </w:t>
      </w:r>
      <w:r w:rsidRPr="00BE4AF3">
        <w:rPr>
          <w:rStyle w:val="title-text"/>
          <w:rFonts w:ascii="Times New Roman" w:hAnsi="Times New Roman" w:cs="Times New Roman"/>
          <w:sz w:val="24"/>
          <w:szCs w:val="24"/>
        </w:rPr>
        <w:tab/>
        <w:t xml:space="preserve">designs of </w:t>
      </w:r>
      <w:r w:rsidRPr="00BE4AF3">
        <w:rPr>
          <w:rStyle w:val="title-text"/>
          <w:rFonts w:ascii="Times New Roman" w:hAnsi="Times New Roman" w:cs="Times New Roman"/>
          <w:sz w:val="24"/>
          <w:szCs w:val="24"/>
        </w:rPr>
        <w:tab/>
        <w:t xml:space="preserve">building façades in hot and humid climates: Lessons for (and from) Kuala </w:t>
      </w:r>
      <w:r w:rsidRPr="00BE4AF3">
        <w:rPr>
          <w:rStyle w:val="title-text"/>
          <w:rFonts w:ascii="Times New Roman" w:hAnsi="Times New Roman" w:cs="Times New Roman"/>
          <w:sz w:val="24"/>
          <w:szCs w:val="24"/>
        </w:rPr>
        <w:tab/>
        <w:t xml:space="preserve">Lumpur and Darwin. </w:t>
      </w:r>
      <w:hyperlink r:id="rId81" w:tooltip="Go to Renewable and Sustainable Energy Reviews on ScienceDirect" w:history="1">
        <w:r w:rsidRPr="00BE4AF3">
          <w:rPr>
            <w:rStyle w:val="anchor-text"/>
            <w:rFonts w:ascii="Times New Roman" w:hAnsi="Times New Roman" w:cs="Times New Roman"/>
            <w:bCs/>
            <w:i/>
            <w:sz w:val="24"/>
            <w:szCs w:val="24"/>
          </w:rPr>
          <w:t>Renewable and Sustainable Energy Reviews</w:t>
        </w:r>
      </w:hyperlink>
      <w:r w:rsidRPr="00BE4AF3">
        <w:rPr>
          <w:rFonts w:ascii="Times New Roman" w:hAnsi="Times New Roman" w:cs="Times New Roman"/>
          <w:sz w:val="24"/>
          <w:szCs w:val="24"/>
        </w:rPr>
        <w:t xml:space="preserve">. </w:t>
      </w:r>
      <w:hyperlink r:id="rId82" w:tooltip="Go to table of contents for this volume/issue" w:history="1">
        <w:r w:rsidRPr="00BE4AF3">
          <w:rPr>
            <w:rStyle w:val="anchor-text"/>
            <w:rFonts w:ascii="Times New Roman" w:hAnsi="Times New Roman" w:cs="Times New Roman"/>
            <w:sz w:val="24"/>
            <w:szCs w:val="24"/>
          </w:rPr>
          <w:t>Vol</w:t>
        </w:r>
      </w:hyperlink>
      <w:r w:rsidRPr="00BE4AF3">
        <w:rPr>
          <w:rFonts w:ascii="Times New Roman" w:hAnsi="Times New Roman" w:cs="Times New Roman"/>
          <w:sz w:val="24"/>
          <w:szCs w:val="24"/>
        </w:rPr>
        <w:t>, pp 2147-2161.</w:t>
      </w:r>
    </w:p>
    <w:p w14:paraId="2555F291" w14:textId="77777777" w:rsidR="00F4410D" w:rsidRPr="00BE4AF3" w:rsidRDefault="00F4410D" w:rsidP="00F4410D">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Hwang, S., and Kim, J. (n.d). United Nations and Sustainable Development Goals; A Handbook </w:t>
      </w:r>
      <w:r w:rsidRPr="00BE4AF3">
        <w:rPr>
          <w:rFonts w:ascii="Times New Roman" w:hAnsi="Times New Roman" w:cs="Times New Roman"/>
          <w:sz w:val="24"/>
          <w:szCs w:val="24"/>
        </w:rPr>
        <w:tab/>
        <w:t xml:space="preserve">for Youth. United Nations ESCAP East and North-East Asia Office. </w:t>
      </w:r>
      <w:r w:rsidRPr="00BE4AF3">
        <w:rPr>
          <w:rFonts w:ascii="Times New Roman" w:hAnsi="Times New Roman" w:cs="Times New Roman"/>
          <w:sz w:val="24"/>
          <w:szCs w:val="24"/>
        </w:rPr>
        <w:tab/>
      </w:r>
      <w:hyperlink r:id="rId83" w:history="1">
        <w:r w:rsidRPr="00BE4AF3">
          <w:rPr>
            <w:rStyle w:val="Hyperlink"/>
            <w:rFonts w:ascii="Times New Roman" w:hAnsi="Times New Roman" w:cs="Times New Roman"/>
            <w:sz w:val="24"/>
            <w:szCs w:val="24"/>
          </w:rPr>
          <w:t>https://www.local2030.org/library/302/UN-and-SDGs-A-handbook-for-youth.pdf</w:t>
        </w:r>
      </w:hyperlink>
    </w:p>
    <w:p w14:paraId="6D47712D" w14:textId="77777777" w:rsidR="00F4410D" w:rsidRPr="00BE4AF3" w:rsidRDefault="00F4410D" w:rsidP="00F4410D">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BE4AF3">
        <w:rPr>
          <w:rFonts w:ascii="Times New Roman" w:hAnsi="Times New Roman" w:cs="Times New Roman"/>
          <w:noProof/>
          <w:sz w:val="24"/>
          <w:szCs w:val="24"/>
        </w:rPr>
        <w:lastRenderedPageBreak/>
        <w:t xml:space="preserve">Kar, A. K., Choudhary, S. K., &amp; Singh, V. K. (2022). How can artificial intelligence impact sustainability: A systematic literature review. </w:t>
      </w:r>
      <w:r w:rsidRPr="00BE4AF3">
        <w:rPr>
          <w:rFonts w:ascii="Times New Roman" w:hAnsi="Times New Roman" w:cs="Times New Roman"/>
          <w:i/>
          <w:iCs/>
          <w:noProof/>
          <w:sz w:val="24"/>
          <w:szCs w:val="24"/>
        </w:rPr>
        <w:t>Journal of Cleaner Production</w:t>
      </w:r>
      <w:r w:rsidRPr="00BE4AF3">
        <w:rPr>
          <w:rFonts w:ascii="Times New Roman" w:hAnsi="Times New Roman" w:cs="Times New Roman"/>
          <w:noProof/>
          <w:sz w:val="24"/>
          <w:szCs w:val="24"/>
        </w:rPr>
        <w:t>, 376, 134120. Retrieved 4 May 2025 from https://doi.org/10.1016/J.JCLEPRO.2022.134120</w:t>
      </w:r>
    </w:p>
    <w:p w14:paraId="68CDC225" w14:textId="77777777" w:rsidR="00F4410D" w:rsidRPr="00BE4AF3" w:rsidRDefault="00F4410D" w:rsidP="00F4410D">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Khan, O., Parvez, M., Alansari, M., Farid, M., Devarajan, Y., &amp; Thanappan, S. (2023). Application of artificial intelligence in green building concept for energy auditing using drone technology under different environmental conditions. </w:t>
      </w:r>
      <w:r w:rsidRPr="00BE4AF3">
        <w:rPr>
          <w:rFonts w:ascii="Times New Roman" w:hAnsi="Times New Roman" w:cs="Times New Roman"/>
          <w:i/>
          <w:iCs/>
          <w:noProof/>
          <w:sz w:val="24"/>
          <w:szCs w:val="24"/>
        </w:rPr>
        <w:t>Scientific Reports</w:t>
      </w:r>
      <w:r w:rsidRPr="00BE4AF3">
        <w:rPr>
          <w:rFonts w:ascii="Times New Roman" w:hAnsi="Times New Roman" w:cs="Times New Roman"/>
          <w:noProof/>
          <w:sz w:val="24"/>
          <w:szCs w:val="24"/>
        </w:rPr>
        <w:t>, 13(1), 1–18. Retrieved 4 May 2025 from https://doi.org/10.1038/S41598-023-35245-X;SUBJMETA=166,4077,639;KWRD=ENERGY+SCIENCE+AND+TECHNOLOGY,ENGINEERING</w:t>
      </w:r>
    </w:p>
    <w:p w14:paraId="389DF22A" w14:textId="77777777" w:rsidR="00F4410D" w:rsidRPr="00BE4AF3" w:rsidRDefault="00F4410D" w:rsidP="00F4410D">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Kates, R., W., Parris, T., M. and Leiserowitz, A., A. (2005). What is Sustainable Development? </w:t>
      </w:r>
      <w:r w:rsidRPr="00BE4AF3">
        <w:rPr>
          <w:rFonts w:ascii="Times New Roman" w:hAnsi="Times New Roman" w:cs="Times New Roman"/>
          <w:color w:val="000000" w:themeColor="text1"/>
          <w:sz w:val="24"/>
          <w:szCs w:val="24"/>
        </w:rPr>
        <w:tab/>
        <w:t xml:space="preserve">Goals, Indicators, Values, and Practice. </w:t>
      </w:r>
      <w:r w:rsidRPr="00BE4AF3">
        <w:rPr>
          <w:rFonts w:ascii="Times New Roman" w:hAnsi="Times New Roman" w:cs="Times New Roman"/>
          <w:i/>
          <w:color w:val="000000" w:themeColor="text1"/>
          <w:sz w:val="24"/>
          <w:szCs w:val="24"/>
        </w:rPr>
        <w:t xml:space="preserve">Environment: Science and Policy for Sustainable </w:t>
      </w:r>
      <w:r w:rsidRPr="00BE4AF3">
        <w:rPr>
          <w:rFonts w:ascii="Times New Roman" w:hAnsi="Times New Roman" w:cs="Times New Roman"/>
          <w:i/>
          <w:color w:val="000000" w:themeColor="text1"/>
          <w:sz w:val="24"/>
          <w:szCs w:val="24"/>
        </w:rPr>
        <w:tab/>
        <w:t>Development:</w:t>
      </w:r>
      <w:r w:rsidRPr="00BE4AF3">
        <w:rPr>
          <w:rFonts w:ascii="Times New Roman" w:hAnsi="Times New Roman" w:cs="Times New Roman"/>
          <w:color w:val="000000" w:themeColor="text1"/>
          <w:sz w:val="24"/>
          <w:szCs w:val="24"/>
        </w:rPr>
        <w:t xml:space="preserve"> Vol. 47, No. 3, pp. 8-21.</w:t>
      </w:r>
    </w:p>
    <w:p w14:paraId="1E5FFE3E" w14:textId="77777777" w:rsidR="00F4410D" w:rsidRPr="00BE4AF3" w:rsidRDefault="00F4410D" w:rsidP="00F4410D">
      <w:pPr>
        <w:spacing w:after="0" w:line="240" w:lineRule="auto"/>
        <w:ind w:left="720" w:hanging="720"/>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Kibert, C. J. (1994). Sustainable construction: Green building design and delivery. John Wiley &amp; Sons.</w:t>
      </w:r>
    </w:p>
    <w:p w14:paraId="63A940DA" w14:textId="77777777" w:rsidR="00F4410D" w:rsidRPr="00BE4AF3" w:rsidRDefault="00F4410D" w:rsidP="00F4410D">
      <w:pPr>
        <w:spacing w:after="0" w:line="240" w:lineRule="auto"/>
        <w:ind w:left="720" w:hanging="720"/>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Kibert, C.J., 2007. The next generation of sustainable construction, </w:t>
      </w:r>
      <w:r w:rsidRPr="00BE4AF3">
        <w:rPr>
          <w:rFonts w:ascii="Times New Roman" w:hAnsi="Times New Roman" w:cs="Times New Roman"/>
          <w:i/>
          <w:color w:val="000000" w:themeColor="text1"/>
          <w:sz w:val="24"/>
          <w:szCs w:val="24"/>
        </w:rPr>
        <w:t>Building Research &amp; Information,</w:t>
      </w:r>
      <w:r w:rsidRPr="00BE4AF3">
        <w:rPr>
          <w:rFonts w:ascii="Times New Roman" w:hAnsi="Times New Roman" w:cs="Times New Roman"/>
          <w:color w:val="000000" w:themeColor="text1"/>
          <w:sz w:val="24"/>
          <w:szCs w:val="24"/>
        </w:rPr>
        <w:t xml:space="preserve"> Vol. 35 No 6, Pp. 595–601. </w:t>
      </w:r>
    </w:p>
    <w:p w14:paraId="6F29CB1A" w14:textId="77777777" w:rsidR="00F4410D" w:rsidRPr="00BE4AF3" w:rsidRDefault="00F4410D" w:rsidP="00F4410D">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Manzoor, B., Othman, I., Durdyev, S., Ismail, S., &amp; Wahab, M. H. (2021). Influence of Artificial Intelligence in Civil Engineering toward Sustainable Development—A Systematic Literature Review. </w:t>
      </w:r>
      <w:r w:rsidRPr="00BE4AF3">
        <w:rPr>
          <w:rFonts w:ascii="Times New Roman" w:hAnsi="Times New Roman" w:cs="Times New Roman"/>
          <w:i/>
          <w:iCs/>
          <w:noProof/>
          <w:sz w:val="24"/>
          <w:szCs w:val="24"/>
        </w:rPr>
        <w:t>Applied System Innovation 2021, Vol. 4, Page 52</w:t>
      </w:r>
      <w:r w:rsidRPr="00BE4AF3">
        <w:rPr>
          <w:rFonts w:ascii="Times New Roman" w:hAnsi="Times New Roman" w:cs="Times New Roman"/>
          <w:noProof/>
          <w:sz w:val="24"/>
          <w:szCs w:val="24"/>
        </w:rPr>
        <w:t>, 4(3), 52. Retrieved 4 May 2025 from https://doi.org/10.3390/ASI4030052</w:t>
      </w:r>
    </w:p>
    <w:p w14:paraId="31619178" w14:textId="77777777" w:rsidR="00F4410D" w:rsidRPr="00BE4AF3" w:rsidRDefault="00F4410D" w:rsidP="00F4410D">
      <w:pPr>
        <w:pStyle w:val="nova-legacy-e-listitem"/>
        <w:shd w:val="clear" w:color="auto" w:fill="FFFFFF"/>
        <w:spacing w:before="0" w:beforeAutospacing="0" w:after="0" w:afterAutospacing="0"/>
        <w:jc w:val="both"/>
        <w:rPr>
          <w:color w:val="525254"/>
        </w:rPr>
      </w:pPr>
      <w:r w:rsidRPr="00BE4AF3">
        <w:t xml:space="preserve">Mohammed, O. and Takafumi, N. (2019). A conceptual framework for understanding the </w:t>
      </w:r>
      <w:r w:rsidRPr="00BE4AF3">
        <w:tab/>
        <w:t xml:space="preserve">contribution of building materials in the achievement of sustainable development goals </w:t>
      </w:r>
      <w:r w:rsidRPr="00BE4AF3">
        <w:tab/>
        <w:t xml:space="preserve">(SDGs). </w:t>
      </w:r>
      <w:r w:rsidRPr="00BE4AF3">
        <w:rPr>
          <w:i/>
        </w:rPr>
        <w:t>Sustainable Cities Society</w:t>
      </w:r>
      <w:r w:rsidRPr="00BE4AF3">
        <w:t>. DOI:</w:t>
      </w:r>
      <w:hyperlink r:id="rId84" w:tgtFrame="_blank" w:history="1">
        <w:r w:rsidRPr="00BE4AF3">
          <w:rPr>
            <w:rStyle w:val="Hyperlink"/>
            <w:rFonts w:eastAsiaTheme="majorEastAsia"/>
            <w:bdr w:val="none" w:sz="0" w:space="0" w:color="auto" w:frame="1"/>
          </w:rPr>
          <w:t>10.1016/j.scs.2019.101869</w:t>
        </w:r>
      </w:hyperlink>
    </w:p>
    <w:p w14:paraId="0716672A" w14:textId="77777777" w:rsidR="00F4410D" w:rsidRPr="00BE4AF3" w:rsidRDefault="00F4410D" w:rsidP="00F4410D">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Oluleye, B. I., Chan, D. W. M., &amp; Antwi-Afari, P. (2023). Adopting Artificial Intelligence for enhancing the implementation of systemic circularity in the construction industry: A critical review. </w:t>
      </w:r>
      <w:r w:rsidRPr="00BE4AF3">
        <w:rPr>
          <w:rFonts w:ascii="Times New Roman" w:hAnsi="Times New Roman" w:cs="Times New Roman"/>
          <w:i/>
          <w:iCs/>
          <w:noProof/>
          <w:sz w:val="24"/>
          <w:szCs w:val="24"/>
        </w:rPr>
        <w:t>Sustainable Production and Consumption</w:t>
      </w:r>
      <w:r w:rsidRPr="00BE4AF3">
        <w:rPr>
          <w:rFonts w:ascii="Times New Roman" w:hAnsi="Times New Roman" w:cs="Times New Roman"/>
          <w:noProof/>
          <w:sz w:val="24"/>
          <w:szCs w:val="24"/>
        </w:rPr>
        <w:t>, 35, 509–524. Retrieved 4 May 2025 from https://doi.org/10.1016/J.SPC.2022.12.002</w:t>
      </w:r>
    </w:p>
    <w:p w14:paraId="01805D13" w14:textId="77777777" w:rsidR="00F4410D" w:rsidRPr="00BE4AF3" w:rsidRDefault="00F4410D" w:rsidP="00F4410D">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Paramesha, M., Rane, N. L., &amp; Rane, J. (2024). Big Data Analytics, Artificial Intelligence, Machine Learning, Internet of Things, and Blockchain for Enhanced Business Intelligence. </w:t>
      </w:r>
      <w:r w:rsidRPr="00BE4AF3">
        <w:rPr>
          <w:rFonts w:ascii="Times New Roman" w:hAnsi="Times New Roman" w:cs="Times New Roman"/>
          <w:i/>
          <w:iCs/>
          <w:noProof/>
          <w:sz w:val="24"/>
          <w:szCs w:val="24"/>
        </w:rPr>
        <w:t>Partners Universal Multidisciplinary Research Journal</w:t>
      </w:r>
      <w:r w:rsidRPr="00BE4AF3">
        <w:rPr>
          <w:rFonts w:ascii="Times New Roman" w:hAnsi="Times New Roman" w:cs="Times New Roman"/>
          <w:noProof/>
          <w:sz w:val="24"/>
          <w:szCs w:val="24"/>
        </w:rPr>
        <w:t>, 1(2), 110–133. Retrieved 4 May 2025 from https://doi.org/10.5281/ZENODO.12827323</w:t>
      </w:r>
    </w:p>
    <w:p w14:paraId="347F58D3" w14:textId="77777777" w:rsidR="00F4410D" w:rsidRPr="00BE4AF3" w:rsidRDefault="00F4410D" w:rsidP="00F4410D">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Rakha, N. A. (2023). Artificial Intelligence and Sustainability. </w:t>
      </w:r>
      <w:r w:rsidRPr="00BE4AF3">
        <w:rPr>
          <w:rFonts w:ascii="Times New Roman" w:hAnsi="Times New Roman" w:cs="Times New Roman"/>
          <w:i/>
          <w:iCs/>
          <w:noProof/>
          <w:sz w:val="24"/>
          <w:szCs w:val="24"/>
        </w:rPr>
        <w:t>International Journal of Cyber Law</w:t>
      </w:r>
      <w:r w:rsidRPr="00BE4AF3">
        <w:rPr>
          <w:rFonts w:ascii="Times New Roman" w:hAnsi="Times New Roman" w:cs="Times New Roman"/>
          <w:noProof/>
          <w:sz w:val="24"/>
          <w:szCs w:val="24"/>
        </w:rPr>
        <w:t>, 1(3). Retrieved 4 May 2025 from https://doi.org/10.59022/IJCL.42</w:t>
      </w:r>
    </w:p>
    <w:p w14:paraId="147F75F7" w14:textId="77777777" w:rsidR="00F4410D" w:rsidRPr="00BE4AF3" w:rsidRDefault="00F4410D" w:rsidP="00F4410D">
      <w:pPr>
        <w:widowControl w:val="0"/>
        <w:autoSpaceDE w:val="0"/>
        <w:autoSpaceDN w:val="0"/>
        <w:adjustRightInd w:val="0"/>
        <w:spacing w:after="0" w:line="240" w:lineRule="auto"/>
        <w:ind w:left="480" w:hanging="480"/>
        <w:jc w:val="both"/>
        <w:rPr>
          <w:rFonts w:ascii="Times New Roman" w:hAnsi="Times New Roman" w:cs="Times New Roman"/>
          <w:noProof/>
          <w:color w:val="000000" w:themeColor="text1"/>
          <w:sz w:val="24"/>
          <w:szCs w:val="24"/>
        </w:rPr>
      </w:pPr>
      <w:r w:rsidRPr="00BE4AF3">
        <w:rPr>
          <w:rFonts w:ascii="Times New Roman" w:hAnsi="Times New Roman" w:cs="Times New Roman"/>
          <w:noProof/>
          <w:color w:val="000000" w:themeColor="text1"/>
          <w:sz w:val="24"/>
          <w:szCs w:val="24"/>
        </w:rPr>
        <w:t xml:space="preserve">Rane, N. L., Choudhary, S. P., &amp; Rane, J. (2024). Enhancing Sustainable Construction Materials Through the Integration  of Generative Artificial Intelligence, Such as ChatGPT. </w:t>
      </w:r>
      <w:r w:rsidRPr="00BE4AF3">
        <w:rPr>
          <w:rFonts w:ascii="Times New Roman" w:hAnsi="Times New Roman" w:cs="Times New Roman"/>
          <w:i/>
          <w:iCs/>
          <w:noProof/>
          <w:color w:val="000000" w:themeColor="text1"/>
          <w:sz w:val="24"/>
          <w:szCs w:val="24"/>
        </w:rPr>
        <w:t>Sustainable and Clean Buildings</w:t>
      </w:r>
      <w:r w:rsidRPr="00BE4AF3">
        <w:rPr>
          <w:rFonts w:ascii="Times New Roman" w:hAnsi="Times New Roman" w:cs="Times New Roman"/>
          <w:noProof/>
          <w:color w:val="000000" w:themeColor="text1"/>
          <w:sz w:val="24"/>
          <w:szCs w:val="24"/>
        </w:rPr>
        <w:t>, 98–122. Retrieved 20 April 2025 from https://ojs.wiserpub.com/index.php/scb/article/view/5409</w:t>
      </w:r>
    </w:p>
    <w:p w14:paraId="78DD4581" w14:textId="77777777" w:rsidR="00F4410D" w:rsidRPr="00BE4AF3" w:rsidRDefault="00F4410D" w:rsidP="00F4410D">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Regona, M., Yigitcanlar, T., Hon, C., &amp; Teo, M. (2024). Artificial intelligence and sustainable development goals: Systematic literature review of the construction industry. </w:t>
      </w:r>
      <w:r w:rsidRPr="00BE4AF3">
        <w:rPr>
          <w:rFonts w:ascii="Times New Roman" w:hAnsi="Times New Roman" w:cs="Times New Roman"/>
          <w:i/>
          <w:iCs/>
          <w:noProof/>
          <w:sz w:val="24"/>
          <w:szCs w:val="24"/>
        </w:rPr>
        <w:t>Sustainable Cities and Society</w:t>
      </w:r>
      <w:r w:rsidRPr="00BE4AF3">
        <w:rPr>
          <w:rFonts w:ascii="Times New Roman" w:hAnsi="Times New Roman" w:cs="Times New Roman"/>
          <w:noProof/>
          <w:sz w:val="24"/>
          <w:szCs w:val="24"/>
        </w:rPr>
        <w:t>, 108, 105499. Retrieved from https://doi.org/10.1016/J.SCS.2024.105499</w:t>
      </w:r>
    </w:p>
    <w:p w14:paraId="5BC053F8" w14:textId="77777777" w:rsidR="00F4410D" w:rsidRPr="00BE4AF3" w:rsidRDefault="00F4410D" w:rsidP="00F4410D">
      <w:pPr>
        <w:spacing w:after="0" w:line="240" w:lineRule="auto"/>
        <w:ind w:left="720" w:hanging="720"/>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Schreier, M. (2012). Qualitative Content Analysis in Practice. Sage Publications.</w:t>
      </w:r>
    </w:p>
    <w:p w14:paraId="7C623B1D" w14:textId="77777777" w:rsidR="00F4410D" w:rsidRPr="00BE4AF3" w:rsidRDefault="00F4410D" w:rsidP="00F4410D">
      <w:pPr>
        <w:spacing w:after="0" w:line="240" w:lineRule="auto"/>
        <w:ind w:left="720" w:hanging="720"/>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Sjöström, C., &amp; Bakens, W. (1999). CIB Agenda 21 for sustainable construction: Why, how and what. Building Research &amp; Information, 27(6), 347–353. </w:t>
      </w:r>
      <w:hyperlink r:id="rId85" w:history="1">
        <w:r w:rsidRPr="00BE4AF3">
          <w:rPr>
            <w:rStyle w:val="Hyperlink"/>
            <w:rFonts w:ascii="Times New Roman" w:hAnsi="Times New Roman" w:cs="Times New Roman"/>
            <w:color w:val="000000" w:themeColor="text1"/>
            <w:sz w:val="24"/>
            <w:szCs w:val="24"/>
          </w:rPr>
          <w:t>https://doi.org/10.1080/096132199369174</w:t>
        </w:r>
      </w:hyperlink>
      <w:r w:rsidRPr="00BE4AF3">
        <w:rPr>
          <w:rFonts w:ascii="Times New Roman" w:hAnsi="Times New Roman" w:cs="Times New Roman"/>
          <w:color w:val="000000" w:themeColor="text1"/>
          <w:sz w:val="24"/>
          <w:szCs w:val="24"/>
        </w:rPr>
        <w:t xml:space="preserve"> </w:t>
      </w:r>
    </w:p>
    <w:p w14:paraId="5F82C88F" w14:textId="77777777" w:rsidR="00F4410D" w:rsidRPr="00BE4AF3" w:rsidRDefault="00F4410D" w:rsidP="00F4410D">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Suleiman, A. N., Shika, S. A., Dahiru, D. D., &amp; Abdulrazaq, A. T. (2023). Assessing the Factors that Influence the Attitudes of Built Environment Professionals towards the Implementation </w:t>
      </w:r>
      <w:r w:rsidRPr="00BE4AF3">
        <w:rPr>
          <w:rFonts w:ascii="Times New Roman" w:hAnsi="Times New Roman" w:cs="Times New Roman"/>
          <w:noProof/>
          <w:sz w:val="24"/>
          <w:szCs w:val="24"/>
        </w:rPr>
        <w:lastRenderedPageBreak/>
        <w:t xml:space="preserve">of Sustainable Construction in Nigeria. </w:t>
      </w:r>
      <w:r w:rsidRPr="00BE4AF3">
        <w:rPr>
          <w:rFonts w:ascii="Times New Roman" w:hAnsi="Times New Roman" w:cs="Times New Roman"/>
          <w:i/>
          <w:iCs/>
          <w:noProof/>
          <w:sz w:val="24"/>
          <w:szCs w:val="24"/>
        </w:rPr>
        <w:t>International Journal of Research and Scientific Innovation</w:t>
      </w:r>
      <w:r w:rsidRPr="00BE4AF3">
        <w:rPr>
          <w:rFonts w:ascii="Times New Roman" w:hAnsi="Times New Roman" w:cs="Times New Roman"/>
          <w:noProof/>
          <w:sz w:val="24"/>
          <w:szCs w:val="24"/>
        </w:rPr>
        <w:t>, X(XI), 381–401. Retrieved from https://doi.org/10.51244/ijrsi.2023.1011032</w:t>
      </w:r>
    </w:p>
    <w:p w14:paraId="37550E0F" w14:textId="77777777" w:rsidR="00F4410D" w:rsidRPr="00BE4AF3" w:rsidRDefault="00F4410D" w:rsidP="00F4410D">
      <w:pPr>
        <w:spacing w:after="0" w:line="240" w:lineRule="auto"/>
        <w:ind w:left="720" w:hanging="720"/>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U.S. Green Building Council. (n.d.). LEED history. U.S. Green Building Council. Retrieved August 15, 2025, from https://www.usgbc.org/articles/30-things-about-usgbc-you-might-not-know-green-building-timeline</w:t>
      </w:r>
    </w:p>
    <w:p w14:paraId="550935CE" w14:textId="77777777" w:rsidR="00F4410D" w:rsidRPr="00BE4AF3" w:rsidRDefault="00F4410D" w:rsidP="00F4410D">
      <w:pPr>
        <w:spacing w:after="0" w:line="240" w:lineRule="auto"/>
        <w:ind w:left="720" w:hanging="720"/>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UKGBC. (2025). Embodied carbon in construction: Guidance for practitioners. United Kingdom Green Building Council. [URL if available]</w:t>
      </w:r>
    </w:p>
    <w:p w14:paraId="5D62104D" w14:textId="77777777" w:rsidR="00F4410D" w:rsidRPr="00BE4AF3" w:rsidRDefault="00F4410D" w:rsidP="00F4410D">
      <w:pPr>
        <w:spacing w:after="0" w:line="240" w:lineRule="auto"/>
        <w:ind w:left="720" w:hanging="720"/>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UNECE. (2006). Sustainable development in the UNECE region: Review of progress and trends. United Nations Economic Commission for Europe. </w:t>
      </w:r>
      <w:hyperlink r:id="rId86" w:history="1">
        <w:r w:rsidRPr="00BE4AF3">
          <w:rPr>
            <w:rStyle w:val="Hyperlink"/>
            <w:rFonts w:ascii="Times New Roman" w:hAnsi="Times New Roman" w:cs="Times New Roman"/>
            <w:color w:val="000000" w:themeColor="text1"/>
            <w:sz w:val="24"/>
            <w:szCs w:val="24"/>
          </w:rPr>
          <w:t>https://unece.org/sustainable-development</w:t>
        </w:r>
      </w:hyperlink>
      <w:r w:rsidRPr="00BE4AF3">
        <w:rPr>
          <w:rFonts w:ascii="Times New Roman" w:hAnsi="Times New Roman" w:cs="Times New Roman"/>
          <w:color w:val="000000" w:themeColor="text1"/>
          <w:sz w:val="24"/>
          <w:szCs w:val="24"/>
        </w:rPr>
        <w:t xml:space="preserve"> </w:t>
      </w:r>
    </w:p>
    <w:p w14:paraId="16184C77" w14:textId="77777777" w:rsidR="00F4410D" w:rsidRPr="00BE4AF3" w:rsidRDefault="00F4410D" w:rsidP="00F4410D">
      <w:pPr>
        <w:spacing w:after="0" w:line="240" w:lineRule="auto"/>
        <w:jc w:val="both"/>
        <w:rPr>
          <w:rFonts w:ascii="Times New Roman" w:hAnsi="Times New Roman" w:cs="Times New Roman"/>
          <w:sz w:val="24"/>
          <w:szCs w:val="24"/>
          <w:shd w:val="clear" w:color="auto" w:fill="FFFFFF"/>
        </w:rPr>
      </w:pPr>
      <w:r w:rsidRPr="00BE4AF3">
        <w:rPr>
          <w:rFonts w:ascii="Times New Roman" w:hAnsi="Times New Roman" w:cs="Times New Roman"/>
          <w:sz w:val="24"/>
          <w:szCs w:val="24"/>
          <w:shd w:val="clear" w:color="auto" w:fill="FFFFFF"/>
        </w:rPr>
        <w:t xml:space="preserve">United Nations. (2015). Transforming our World: The 2030 Agenda for Sustainable Development. </w:t>
      </w:r>
      <w:r w:rsidRPr="00BE4AF3">
        <w:rPr>
          <w:rFonts w:ascii="Times New Roman" w:hAnsi="Times New Roman" w:cs="Times New Roman"/>
          <w:sz w:val="24"/>
          <w:szCs w:val="24"/>
          <w:shd w:val="clear" w:color="auto" w:fill="FFFFFF"/>
        </w:rPr>
        <w:tab/>
        <w:t>A/RES/70/1.</w:t>
      </w:r>
    </w:p>
    <w:p w14:paraId="3D3A39B0" w14:textId="77777777" w:rsidR="00F4410D" w:rsidRPr="00BE4AF3" w:rsidRDefault="00F4410D" w:rsidP="00F4410D">
      <w:pPr>
        <w:spacing w:after="0" w:line="240" w:lineRule="auto"/>
        <w:ind w:left="720" w:hanging="720"/>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United Nations Department of Economic and Social Affairs (UN DESA). (2018). World urbanization prospects: The 2018 revision. </w:t>
      </w:r>
      <w:hyperlink r:id="rId87" w:history="1">
        <w:r w:rsidRPr="00BE4AF3">
          <w:rPr>
            <w:rStyle w:val="Hyperlink"/>
            <w:rFonts w:ascii="Times New Roman" w:hAnsi="Times New Roman" w:cs="Times New Roman"/>
            <w:color w:val="000000" w:themeColor="text1"/>
            <w:sz w:val="24"/>
            <w:szCs w:val="24"/>
          </w:rPr>
          <w:t>https://www.un.org/development/desa/pd/news/world-urbanization-prospects-2018</w:t>
        </w:r>
      </w:hyperlink>
      <w:r w:rsidRPr="00BE4AF3">
        <w:rPr>
          <w:rFonts w:ascii="Times New Roman" w:hAnsi="Times New Roman" w:cs="Times New Roman"/>
          <w:color w:val="000000" w:themeColor="text1"/>
          <w:sz w:val="24"/>
          <w:szCs w:val="24"/>
        </w:rPr>
        <w:t xml:space="preserve"> </w:t>
      </w:r>
    </w:p>
    <w:p w14:paraId="7DC3E136" w14:textId="77777777" w:rsidR="00F4410D" w:rsidRPr="00BE4AF3" w:rsidRDefault="00F4410D" w:rsidP="00F4410D">
      <w:pPr>
        <w:spacing w:after="0" w:line="240" w:lineRule="auto"/>
        <w:ind w:left="720" w:hanging="720"/>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United Nations Environment Programme (UNEP) &amp; International Resource Panel (IRP). (2024). Global resources outlook 2024: Bend the trend – pathways to a liveable planet as resource use spikes. </w:t>
      </w:r>
      <w:hyperlink r:id="rId88" w:history="1">
        <w:r w:rsidRPr="00BE4AF3">
          <w:rPr>
            <w:rStyle w:val="Hyperlink"/>
            <w:rFonts w:ascii="Times New Roman" w:hAnsi="Times New Roman" w:cs="Times New Roman"/>
            <w:color w:val="000000" w:themeColor="text1"/>
            <w:sz w:val="24"/>
            <w:szCs w:val="24"/>
          </w:rPr>
          <w:t>https://www.unep.org/resources/report/global-resources-outlook-2024</w:t>
        </w:r>
      </w:hyperlink>
      <w:r w:rsidRPr="00BE4AF3">
        <w:rPr>
          <w:rFonts w:ascii="Times New Roman" w:hAnsi="Times New Roman" w:cs="Times New Roman"/>
          <w:color w:val="000000" w:themeColor="text1"/>
          <w:sz w:val="24"/>
          <w:szCs w:val="24"/>
        </w:rPr>
        <w:t xml:space="preserve"> </w:t>
      </w:r>
    </w:p>
    <w:p w14:paraId="5EA3D15F" w14:textId="77777777" w:rsidR="00F4410D" w:rsidRPr="00BE4AF3" w:rsidRDefault="00F4410D" w:rsidP="00F4410D">
      <w:pPr>
        <w:spacing w:after="0" w:line="240" w:lineRule="auto"/>
        <w:ind w:left="720" w:hanging="720"/>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United Nations Environment Programme (UNEP). (2022). Global Status Report for Buildings and Construction 2022. </w:t>
      </w:r>
      <w:hyperlink r:id="rId89" w:history="1">
        <w:r w:rsidRPr="00BE4AF3">
          <w:rPr>
            <w:rStyle w:val="Hyperlink"/>
            <w:rFonts w:ascii="Times New Roman" w:hAnsi="Times New Roman" w:cs="Times New Roman"/>
            <w:color w:val="000000" w:themeColor="text1"/>
            <w:sz w:val="24"/>
            <w:szCs w:val="24"/>
          </w:rPr>
          <w:t>https://www.unep.org/resources/publication/2022-global-status-report-buildings-and-construction</w:t>
        </w:r>
      </w:hyperlink>
      <w:r w:rsidRPr="00BE4AF3">
        <w:rPr>
          <w:rFonts w:ascii="Times New Roman" w:hAnsi="Times New Roman" w:cs="Times New Roman"/>
          <w:color w:val="000000" w:themeColor="text1"/>
          <w:sz w:val="24"/>
          <w:szCs w:val="24"/>
        </w:rPr>
        <w:t xml:space="preserve"> </w:t>
      </w:r>
    </w:p>
    <w:p w14:paraId="4DA413FC" w14:textId="77777777" w:rsidR="00F4410D" w:rsidRPr="00BE4AF3" w:rsidRDefault="00F4410D" w:rsidP="00F4410D">
      <w:pPr>
        <w:spacing w:after="0" w:line="240" w:lineRule="auto"/>
        <w:ind w:left="720" w:hanging="720"/>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United Nations Framework Convention on Climate Change (UNFCCC). (2022). UN Climate Change annual report 2022. </w:t>
      </w:r>
      <w:hyperlink r:id="rId90" w:history="1">
        <w:r w:rsidRPr="00BE4AF3">
          <w:rPr>
            <w:rStyle w:val="Hyperlink"/>
            <w:rFonts w:ascii="Times New Roman" w:hAnsi="Times New Roman" w:cs="Times New Roman"/>
            <w:color w:val="000000" w:themeColor="text1"/>
            <w:sz w:val="24"/>
            <w:szCs w:val="24"/>
          </w:rPr>
          <w:t>https://unfccc.int/sites/default/files/resource/UNClimateChange_AnnualReport_2022.pdf</w:t>
        </w:r>
      </w:hyperlink>
      <w:r w:rsidRPr="00BE4AF3">
        <w:rPr>
          <w:rFonts w:ascii="Times New Roman" w:hAnsi="Times New Roman" w:cs="Times New Roman"/>
          <w:color w:val="000000" w:themeColor="text1"/>
          <w:sz w:val="24"/>
          <w:szCs w:val="24"/>
        </w:rPr>
        <w:t xml:space="preserve"> </w:t>
      </w:r>
    </w:p>
    <w:p w14:paraId="2A9F88A9" w14:textId="77777777" w:rsidR="00F4410D" w:rsidRPr="00BE4AF3" w:rsidRDefault="00F4410D" w:rsidP="00F4410D">
      <w:pPr>
        <w:spacing w:after="0" w:line="240" w:lineRule="auto"/>
        <w:ind w:left="720" w:hanging="720"/>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USGBC. (2023). LEED v4.1: Leadership in Energy and Environmental Design. U.S. Green Building Council. </w:t>
      </w:r>
      <w:hyperlink r:id="rId91" w:history="1">
        <w:r w:rsidRPr="00BE4AF3">
          <w:rPr>
            <w:rStyle w:val="Hyperlink"/>
            <w:rFonts w:ascii="Times New Roman" w:hAnsi="Times New Roman" w:cs="Times New Roman"/>
            <w:color w:val="000000" w:themeColor="text1"/>
            <w:sz w:val="24"/>
            <w:szCs w:val="24"/>
          </w:rPr>
          <w:t>https://www.usgbc.org</w:t>
        </w:r>
      </w:hyperlink>
      <w:r w:rsidRPr="00BE4AF3">
        <w:rPr>
          <w:rFonts w:ascii="Times New Roman" w:hAnsi="Times New Roman" w:cs="Times New Roman"/>
          <w:color w:val="000000" w:themeColor="text1"/>
          <w:sz w:val="24"/>
          <w:szCs w:val="24"/>
        </w:rPr>
        <w:t xml:space="preserve"> </w:t>
      </w:r>
    </w:p>
    <w:p w14:paraId="454A7444" w14:textId="77777777" w:rsidR="00F4410D" w:rsidRPr="00BE4AF3" w:rsidRDefault="00F4410D" w:rsidP="00F4410D">
      <w:pPr>
        <w:spacing w:after="0"/>
        <w:jc w:val="both"/>
        <w:rPr>
          <w:rFonts w:ascii="Times New Roman" w:hAnsi="Times New Roman" w:cs="Times New Roman"/>
          <w:sz w:val="24"/>
          <w:szCs w:val="24"/>
        </w:rPr>
      </w:pPr>
      <w:r w:rsidRPr="00BE4AF3">
        <w:rPr>
          <w:rFonts w:ascii="Times New Roman" w:hAnsi="Times New Roman" w:cs="Times New Roman"/>
          <w:sz w:val="24"/>
          <w:szCs w:val="24"/>
        </w:rPr>
        <w:t xml:space="preserve">Usha, I. (2024). SDG mapping. In book: Circular practices in building and construction to achieve the sustainable development goals. </w:t>
      </w:r>
      <w:r w:rsidRPr="00BE4AF3">
        <w:rPr>
          <w:rFonts w:ascii="Times New Roman" w:hAnsi="Times New Roman" w:cs="Times New Roman"/>
          <w:sz w:val="24"/>
          <w:szCs w:val="24"/>
          <w:shd w:val="clear" w:color="auto" w:fill="FFFFFF"/>
        </w:rPr>
        <w:t>chapter 5, pages 62-100, Edward Elgar Publishing.</w:t>
      </w:r>
    </w:p>
    <w:p w14:paraId="545B295F" w14:textId="77777777" w:rsidR="00F4410D" w:rsidRPr="00BE4AF3" w:rsidRDefault="00F4410D" w:rsidP="00F4410D">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 xml:space="preserve">World Bank. (2023). World Development Report 2023: Jobs and Economic Transformation. Washington, DC: World Bank </w:t>
      </w:r>
    </w:p>
    <w:p w14:paraId="484F0517" w14:textId="77777777" w:rsidR="00F4410D" w:rsidRPr="00BE4AF3" w:rsidRDefault="00F4410D" w:rsidP="00F4410D">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Yunus, R., Yang, J., 2011. ‘Sustainability Criteria for Industrialised Building Systems (IBS) in </w:t>
      </w:r>
      <w:r w:rsidRPr="00BE4AF3">
        <w:rPr>
          <w:rFonts w:ascii="Times New Roman" w:hAnsi="Times New Roman" w:cs="Times New Roman"/>
          <w:color w:val="000000" w:themeColor="text1"/>
          <w:sz w:val="24"/>
          <w:szCs w:val="24"/>
        </w:rPr>
        <w:tab/>
        <w:t>Malaysia’, Procedia Engineering. Elsevier B.V., 14, pp. 1590–1598.</w:t>
      </w:r>
      <w:r w:rsidRPr="00BE4AF3">
        <w:rPr>
          <w:rFonts w:ascii="Times New Roman" w:hAnsi="Times New Roman" w:cs="Times New Roman"/>
          <w:sz w:val="24"/>
          <w:szCs w:val="24"/>
        </w:rPr>
        <w:br/>
      </w:r>
    </w:p>
    <w:p w14:paraId="1A832C8F" w14:textId="77777777" w:rsidR="00A95426" w:rsidRPr="00BE4AF3" w:rsidRDefault="00A95426" w:rsidP="00E90BB6">
      <w:pPr>
        <w:spacing w:after="0" w:line="240" w:lineRule="auto"/>
        <w:rPr>
          <w:rFonts w:ascii="Times New Roman" w:eastAsia="Times New Roman" w:hAnsi="Times New Roman" w:cs="Times New Roman"/>
          <w:sz w:val="24"/>
          <w:szCs w:val="24"/>
        </w:rPr>
      </w:pPr>
    </w:p>
    <w:p w14:paraId="7BF15B15" w14:textId="77777777" w:rsidR="009506B8" w:rsidRDefault="009506B8" w:rsidP="00E90BB6">
      <w:pPr>
        <w:spacing w:after="0" w:line="240" w:lineRule="auto"/>
        <w:jc w:val="center"/>
        <w:rPr>
          <w:rFonts w:ascii="Times New Roman" w:eastAsia="Times New Roman" w:hAnsi="Times New Roman" w:cs="Times New Roman"/>
          <w:b/>
          <w:sz w:val="28"/>
          <w:szCs w:val="28"/>
        </w:rPr>
      </w:pPr>
    </w:p>
    <w:p w14:paraId="38D63C8B" w14:textId="77777777" w:rsidR="009506B8" w:rsidRDefault="009506B8" w:rsidP="00E90BB6">
      <w:pPr>
        <w:spacing w:after="0" w:line="240" w:lineRule="auto"/>
        <w:jc w:val="center"/>
        <w:rPr>
          <w:rFonts w:ascii="Times New Roman" w:eastAsia="Times New Roman" w:hAnsi="Times New Roman" w:cs="Times New Roman"/>
          <w:b/>
          <w:sz w:val="28"/>
          <w:szCs w:val="28"/>
        </w:rPr>
      </w:pPr>
    </w:p>
    <w:p w14:paraId="045A8A8A" w14:textId="77777777" w:rsidR="009506B8" w:rsidRDefault="009506B8" w:rsidP="00E90BB6">
      <w:pPr>
        <w:spacing w:after="0" w:line="240" w:lineRule="auto"/>
        <w:jc w:val="center"/>
        <w:rPr>
          <w:rFonts w:ascii="Times New Roman" w:eastAsia="Times New Roman" w:hAnsi="Times New Roman" w:cs="Times New Roman"/>
          <w:b/>
          <w:sz w:val="28"/>
          <w:szCs w:val="28"/>
        </w:rPr>
      </w:pPr>
    </w:p>
    <w:p w14:paraId="239D099B" w14:textId="77777777" w:rsidR="009506B8" w:rsidRDefault="009506B8" w:rsidP="00E90BB6">
      <w:pPr>
        <w:spacing w:after="0" w:line="240" w:lineRule="auto"/>
        <w:jc w:val="center"/>
        <w:rPr>
          <w:rFonts w:ascii="Times New Roman" w:eastAsia="Times New Roman" w:hAnsi="Times New Roman" w:cs="Times New Roman"/>
          <w:b/>
          <w:sz w:val="28"/>
          <w:szCs w:val="28"/>
        </w:rPr>
      </w:pPr>
    </w:p>
    <w:p w14:paraId="6A820D3D" w14:textId="77777777" w:rsidR="009506B8" w:rsidRDefault="009506B8" w:rsidP="00E90BB6">
      <w:pPr>
        <w:spacing w:after="0" w:line="240" w:lineRule="auto"/>
        <w:jc w:val="center"/>
        <w:rPr>
          <w:rFonts w:ascii="Times New Roman" w:eastAsia="Times New Roman" w:hAnsi="Times New Roman" w:cs="Times New Roman"/>
          <w:b/>
          <w:sz w:val="28"/>
          <w:szCs w:val="28"/>
        </w:rPr>
      </w:pPr>
    </w:p>
    <w:p w14:paraId="1124D69E" w14:textId="77777777" w:rsidR="009506B8" w:rsidRDefault="009506B8" w:rsidP="00E90BB6">
      <w:pPr>
        <w:spacing w:after="0" w:line="240" w:lineRule="auto"/>
        <w:jc w:val="center"/>
        <w:rPr>
          <w:rFonts w:ascii="Times New Roman" w:eastAsia="Times New Roman" w:hAnsi="Times New Roman" w:cs="Times New Roman"/>
          <w:b/>
          <w:sz w:val="28"/>
          <w:szCs w:val="28"/>
        </w:rPr>
      </w:pPr>
    </w:p>
    <w:p w14:paraId="300DC35C" w14:textId="77777777" w:rsidR="009506B8" w:rsidRDefault="009506B8" w:rsidP="00E90BB6">
      <w:pPr>
        <w:spacing w:after="0" w:line="240" w:lineRule="auto"/>
        <w:jc w:val="center"/>
        <w:rPr>
          <w:rFonts w:ascii="Times New Roman" w:eastAsia="Times New Roman" w:hAnsi="Times New Roman" w:cs="Times New Roman"/>
          <w:b/>
          <w:sz w:val="28"/>
          <w:szCs w:val="28"/>
        </w:rPr>
      </w:pPr>
    </w:p>
    <w:p w14:paraId="447C9EE6" w14:textId="77777777" w:rsidR="009506B8" w:rsidRDefault="009506B8" w:rsidP="00E90BB6">
      <w:pPr>
        <w:spacing w:after="0" w:line="240" w:lineRule="auto"/>
        <w:jc w:val="center"/>
        <w:rPr>
          <w:rFonts w:ascii="Times New Roman" w:eastAsia="Times New Roman" w:hAnsi="Times New Roman" w:cs="Times New Roman"/>
          <w:b/>
          <w:sz w:val="28"/>
          <w:szCs w:val="28"/>
        </w:rPr>
      </w:pPr>
    </w:p>
    <w:p w14:paraId="277A8A44" w14:textId="77777777" w:rsidR="009506B8" w:rsidRDefault="009506B8" w:rsidP="00E90BB6">
      <w:pPr>
        <w:spacing w:after="0" w:line="240" w:lineRule="auto"/>
        <w:jc w:val="center"/>
        <w:rPr>
          <w:rFonts w:ascii="Times New Roman" w:eastAsia="Times New Roman" w:hAnsi="Times New Roman" w:cs="Times New Roman"/>
          <w:b/>
          <w:sz w:val="28"/>
          <w:szCs w:val="28"/>
        </w:rPr>
      </w:pPr>
    </w:p>
    <w:p w14:paraId="47434E23" w14:textId="77777777" w:rsidR="009506B8" w:rsidRDefault="009506B8" w:rsidP="00E90BB6">
      <w:pPr>
        <w:spacing w:after="0" w:line="240" w:lineRule="auto"/>
        <w:jc w:val="center"/>
        <w:rPr>
          <w:rFonts w:ascii="Times New Roman" w:eastAsia="Times New Roman" w:hAnsi="Times New Roman" w:cs="Times New Roman"/>
          <w:b/>
          <w:sz w:val="28"/>
          <w:szCs w:val="28"/>
        </w:rPr>
      </w:pPr>
    </w:p>
    <w:p w14:paraId="35511E53" w14:textId="23171312" w:rsidR="00A95426" w:rsidRPr="009506B8" w:rsidRDefault="00A95426" w:rsidP="00E90BB6">
      <w:pPr>
        <w:spacing w:after="0" w:line="240" w:lineRule="auto"/>
        <w:jc w:val="center"/>
        <w:rPr>
          <w:rFonts w:ascii="Times New Roman" w:eastAsia="Times New Roman" w:hAnsi="Times New Roman" w:cs="Times New Roman"/>
          <w:b/>
          <w:sz w:val="28"/>
          <w:szCs w:val="28"/>
        </w:rPr>
      </w:pPr>
      <w:r w:rsidRPr="009506B8">
        <w:rPr>
          <w:rFonts w:ascii="Times New Roman" w:eastAsia="Times New Roman" w:hAnsi="Times New Roman" w:cs="Times New Roman"/>
          <w:b/>
          <w:sz w:val="28"/>
          <w:szCs w:val="28"/>
        </w:rPr>
        <w:lastRenderedPageBreak/>
        <w:t>Flood Vulnerability of Farmlands, Physical Planning Regulations and Structural Control Measures</w:t>
      </w:r>
    </w:p>
    <w:p w14:paraId="04052EB9" w14:textId="77777777" w:rsidR="00851684" w:rsidRPr="00BE4AF3" w:rsidRDefault="00851684" w:rsidP="00E90BB6">
      <w:pPr>
        <w:spacing w:after="0" w:line="240" w:lineRule="auto"/>
        <w:jc w:val="center"/>
        <w:rPr>
          <w:rFonts w:ascii="Times New Roman" w:eastAsia="Times New Roman" w:hAnsi="Times New Roman" w:cs="Times New Roman"/>
          <w:b/>
          <w:sz w:val="24"/>
          <w:szCs w:val="24"/>
        </w:rPr>
      </w:pPr>
    </w:p>
    <w:p w14:paraId="55DE1725" w14:textId="77777777" w:rsidR="00A95426" w:rsidRPr="00E67C2D" w:rsidRDefault="00A95426" w:rsidP="00E90BB6">
      <w:pPr>
        <w:spacing w:after="0" w:line="240" w:lineRule="auto"/>
        <w:jc w:val="center"/>
        <w:rPr>
          <w:rFonts w:ascii="Times New Roman" w:eastAsia="Times New Roman" w:hAnsi="Times New Roman" w:cs="Times New Roman"/>
          <w:sz w:val="20"/>
          <w:szCs w:val="20"/>
        </w:rPr>
      </w:pPr>
      <w:r w:rsidRPr="00E67C2D">
        <w:rPr>
          <w:rFonts w:ascii="Times New Roman" w:eastAsia="Times New Roman" w:hAnsi="Times New Roman" w:cs="Times New Roman"/>
          <w:sz w:val="20"/>
          <w:szCs w:val="20"/>
          <w:vertAlign w:val="superscript"/>
        </w:rPr>
        <w:t>1*</w:t>
      </w:r>
      <w:r w:rsidRPr="00E67C2D">
        <w:rPr>
          <w:rFonts w:ascii="Times New Roman" w:eastAsia="Times New Roman" w:hAnsi="Times New Roman" w:cs="Times New Roman"/>
          <w:sz w:val="20"/>
          <w:szCs w:val="20"/>
        </w:rPr>
        <w:t xml:space="preserve">Alao, T.O., </w:t>
      </w:r>
      <w:r w:rsidRPr="00E67C2D">
        <w:rPr>
          <w:rFonts w:ascii="Times New Roman" w:eastAsia="Times New Roman" w:hAnsi="Times New Roman" w:cs="Times New Roman"/>
          <w:sz w:val="20"/>
          <w:szCs w:val="20"/>
          <w:vertAlign w:val="superscript"/>
        </w:rPr>
        <w:t>2</w:t>
      </w:r>
      <w:r w:rsidRPr="00E67C2D">
        <w:rPr>
          <w:rFonts w:ascii="Times New Roman" w:eastAsia="Times New Roman" w:hAnsi="Times New Roman" w:cs="Times New Roman"/>
          <w:sz w:val="20"/>
          <w:szCs w:val="20"/>
        </w:rPr>
        <w:t xml:space="preserve">Onipe, M.O. and </w:t>
      </w:r>
      <w:r w:rsidRPr="00E67C2D">
        <w:rPr>
          <w:rFonts w:ascii="Times New Roman" w:eastAsia="Times New Roman" w:hAnsi="Times New Roman" w:cs="Times New Roman"/>
          <w:sz w:val="20"/>
          <w:szCs w:val="20"/>
          <w:vertAlign w:val="superscript"/>
        </w:rPr>
        <w:t>3</w:t>
      </w:r>
      <w:r w:rsidRPr="00E67C2D">
        <w:rPr>
          <w:rFonts w:ascii="Times New Roman" w:eastAsia="Times New Roman" w:hAnsi="Times New Roman" w:cs="Times New Roman"/>
          <w:sz w:val="20"/>
          <w:szCs w:val="20"/>
        </w:rPr>
        <w:t>Odigwe, M.</w:t>
      </w:r>
    </w:p>
    <w:p w14:paraId="442AB92A" w14:textId="77777777" w:rsidR="00851684" w:rsidRPr="00E67C2D" w:rsidRDefault="00851684" w:rsidP="00E90BB6">
      <w:pPr>
        <w:spacing w:after="0" w:line="240" w:lineRule="auto"/>
        <w:jc w:val="center"/>
        <w:rPr>
          <w:rFonts w:ascii="Times New Roman" w:eastAsia="Times New Roman" w:hAnsi="Times New Roman" w:cs="Times New Roman"/>
          <w:sz w:val="20"/>
          <w:szCs w:val="20"/>
        </w:rPr>
      </w:pPr>
    </w:p>
    <w:p w14:paraId="360E481D" w14:textId="77777777" w:rsidR="00A95426" w:rsidRPr="00E67C2D" w:rsidRDefault="00A95426" w:rsidP="00E90BB6">
      <w:pPr>
        <w:tabs>
          <w:tab w:val="left" w:pos="1725"/>
        </w:tabs>
        <w:spacing w:after="0" w:line="240" w:lineRule="auto"/>
        <w:jc w:val="center"/>
        <w:rPr>
          <w:rFonts w:ascii="Times New Roman" w:eastAsia="Times New Roman" w:hAnsi="Times New Roman" w:cs="Times New Roman"/>
          <w:sz w:val="20"/>
          <w:szCs w:val="20"/>
        </w:rPr>
      </w:pPr>
      <w:r w:rsidRPr="00E67C2D">
        <w:rPr>
          <w:rFonts w:ascii="Times New Roman" w:eastAsia="Times New Roman" w:hAnsi="Times New Roman" w:cs="Times New Roman"/>
          <w:sz w:val="20"/>
          <w:szCs w:val="20"/>
          <w:vertAlign w:val="superscript"/>
        </w:rPr>
        <w:t>1*,2</w:t>
      </w:r>
      <w:r w:rsidRPr="00E67C2D">
        <w:rPr>
          <w:rFonts w:ascii="Times New Roman" w:eastAsia="Times New Roman" w:hAnsi="Times New Roman" w:cs="Times New Roman"/>
          <w:sz w:val="20"/>
          <w:szCs w:val="20"/>
        </w:rPr>
        <w:t>Department of Building, Southern Delta University, Ozoro, Delta State, Nigeria.</w:t>
      </w:r>
    </w:p>
    <w:p w14:paraId="5CF161CA" w14:textId="77777777" w:rsidR="00A95426" w:rsidRPr="00E67C2D" w:rsidRDefault="00A95426" w:rsidP="00E90BB6">
      <w:pPr>
        <w:tabs>
          <w:tab w:val="left" w:pos="1725"/>
        </w:tabs>
        <w:spacing w:after="0" w:line="240" w:lineRule="auto"/>
        <w:jc w:val="center"/>
        <w:rPr>
          <w:rFonts w:ascii="Times New Roman" w:eastAsia="Times New Roman" w:hAnsi="Times New Roman" w:cs="Times New Roman"/>
          <w:sz w:val="20"/>
          <w:szCs w:val="20"/>
        </w:rPr>
      </w:pPr>
      <w:r w:rsidRPr="00E67C2D">
        <w:rPr>
          <w:rFonts w:ascii="Times New Roman" w:eastAsia="Times New Roman" w:hAnsi="Times New Roman" w:cs="Times New Roman"/>
          <w:sz w:val="20"/>
          <w:szCs w:val="20"/>
          <w:vertAlign w:val="superscript"/>
        </w:rPr>
        <w:t>3</w:t>
      </w:r>
      <w:r w:rsidRPr="00E67C2D">
        <w:rPr>
          <w:rFonts w:ascii="Times New Roman" w:eastAsia="Times New Roman" w:hAnsi="Times New Roman" w:cs="Times New Roman"/>
          <w:sz w:val="20"/>
          <w:szCs w:val="20"/>
        </w:rPr>
        <w:t>Department of Urban and Regional Planning, Southern Delta University, Ozoro, Nigeria</w:t>
      </w:r>
    </w:p>
    <w:p w14:paraId="334179BF" w14:textId="77777777" w:rsidR="00A95426" w:rsidRPr="00E67C2D" w:rsidRDefault="00A95426" w:rsidP="00E90BB6">
      <w:pPr>
        <w:tabs>
          <w:tab w:val="left" w:pos="1725"/>
        </w:tabs>
        <w:spacing w:after="0" w:line="240" w:lineRule="auto"/>
        <w:jc w:val="center"/>
        <w:rPr>
          <w:rFonts w:ascii="Times New Roman" w:eastAsia="Times New Roman" w:hAnsi="Times New Roman" w:cs="Times New Roman"/>
          <w:sz w:val="20"/>
          <w:szCs w:val="20"/>
        </w:rPr>
      </w:pPr>
    </w:p>
    <w:p w14:paraId="71E8556C" w14:textId="77777777" w:rsidR="00A95426" w:rsidRPr="00BE4AF3" w:rsidRDefault="00A95426" w:rsidP="00E90BB6">
      <w:pPr>
        <w:tabs>
          <w:tab w:val="left" w:pos="1725"/>
        </w:tabs>
        <w:spacing w:after="0" w:line="240" w:lineRule="auto"/>
        <w:jc w:val="center"/>
        <w:rPr>
          <w:rFonts w:ascii="Times New Roman" w:eastAsia="Times New Roman" w:hAnsi="Times New Roman" w:cs="Times New Roman"/>
          <w:sz w:val="24"/>
          <w:szCs w:val="24"/>
        </w:rPr>
      </w:pPr>
      <w:r w:rsidRPr="00E67C2D">
        <w:rPr>
          <w:rFonts w:ascii="Times New Roman" w:eastAsia="Times New Roman" w:hAnsi="Times New Roman" w:cs="Times New Roman"/>
          <w:sz w:val="20"/>
          <w:szCs w:val="20"/>
        </w:rPr>
        <w:t xml:space="preserve">Corresponding Author E-mail: </w:t>
      </w:r>
      <w:hyperlink r:id="rId92">
        <w:r w:rsidRPr="00E67C2D">
          <w:rPr>
            <w:rFonts w:ascii="Times New Roman" w:eastAsia="Times New Roman" w:hAnsi="Times New Roman" w:cs="Times New Roman"/>
            <w:sz w:val="20"/>
            <w:szCs w:val="20"/>
          </w:rPr>
          <w:t>alaoniyi@yahoo.com</w:t>
        </w:r>
      </w:hyperlink>
      <w:r w:rsidRPr="00E67C2D">
        <w:rPr>
          <w:rFonts w:ascii="Times New Roman" w:eastAsia="Times New Roman" w:hAnsi="Times New Roman" w:cs="Times New Roman"/>
          <w:sz w:val="20"/>
          <w:szCs w:val="20"/>
        </w:rPr>
        <w:t xml:space="preserve">; </w:t>
      </w:r>
      <w:hyperlink r:id="rId93">
        <w:r w:rsidRPr="00E67C2D">
          <w:rPr>
            <w:rFonts w:ascii="Times New Roman" w:eastAsia="Times New Roman" w:hAnsi="Times New Roman" w:cs="Times New Roman"/>
            <w:sz w:val="20"/>
            <w:szCs w:val="20"/>
          </w:rPr>
          <w:t>alaoto@dsust.edu.ng</w:t>
        </w:r>
      </w:hyperlink>
    </w:p>
    <w:p w14:paraId="7922038C" w14:textId="77777777" w:rsidR="00A95426" w:rsidRPr="00BE4AF3" w:rsidRDefault="00A95426" w:rsidP="00E90BB6">
      <w:pPr>
        <w:spacing w:after="0" w:line="240" w:lineRule="auto"/>
        <w:jc w:val="center"/>
        <w:rPr>
          <w:rFonts w:ascii="Times New Roman" w:eastAsia="Times New Roman" w:hAnsi="Times New Roman" w:cs="Times New Roman"/>
          <w:b/>
          <w:sz w:val="24"/>
          <w:szCs w:val="24"/>
        </w:rPr>
      </w:pPr>
    </w:p>
    <w:p w14:paraId="28EF00AE" w14:textId="77777777" w:rsidR="00A95426" w:rsidRPr="00BE4AF3" w:rsidRDefault="00A95426" w:rsidP="00E90BB6">
      <w:pPr>
        <w:spacing w:after="0" w:line="240" w:lineRule="auto"/>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LICFES 2025-023 – FP11</w:t>
      </w:r>
    </w:p>
    <w:p w14:paraId="73F9DF8F" w14:textId="77777777" w:rsidR="00A95426" w:rsidRPr="00BE4AF3" w:rsidRDefault="00A95426" w:rsidP="00E90BB6">
      <w:pPr>
        <w:spacing w:after="0" w:line="240" w:lineRule="auto"/>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Abstract</w:t>
      </w:r>
    </w:p>
    <w:p w14:paraId="540274AC" w14:textId="77777777" w:rsidR="00A95426" w:rsidRPr="00BE4AF3" w:rsidRDefault="00A95426" w:rsidP="00E90BB6">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This study reviewed literature on flood vulnerability of farmlands, physical planning regulations and structural control measures with the aim of unravelling best practices in combating flooding and its devastations across numerous agriculture-based communities and urban regions in all 36 states of the country. Lagos and Delta State/Niger Delta was however brought to fore. About twenty-nine percent (29%) of the total land area of Lagos State is at high risk of flooding and 12.54% for very high risk while very high and high risk totaled 52% for Asaba. To arrive at these numbers, flood conditioning factors were subjected to analytical hierarchy process (AHP) or frequency ratio model to produce a geographic information system (GIS)-based flood map. These factors include slope, curvature, drainage proximity, drainage density, soil type, average annual rainfall, topographic wetness index, land use and land cover, normalized difference vegetation index, elevation, flow accumulation/direction and population density. Also, flood vulnerability viz inadequacy of urban planning and/or lack of compliance with physical planning regulations isfounded in literature; as well as the unavailability of resources and neglect of many communities in physical planning i.e. unincorporated communities. To solve this, public private partnerships and flood risk finance have been mentioned. Thirdly, literature cited that land use master plans require a special force to be implemented. The reviewer however discovered that historical physical planning and land use decisions in most parts of the country may have been geared by short-term revenue gains without paying attention to the long-term cost of putting people, property and farmlands at risk in floodable areas. Still, land use implementation tools include Building Codes, and structural measures (such as setback levees, river dredging and maintenance of existing drainages) should be redesigned to encourage collaboration with legal and ecological experts of non-structural frameworks in an integrated water management approach.</w:t>
      </w:r>
    </w:p>
    <w:p w14:paraId="7D42D0E8" w14:textId="77777777" w:rsidR="00851684" w:rsidRPr="00BE4AF3" w:rsidRDefault="00851684" w:rsidP="00E90BB6">
      <w:pPr>
        <w:spacing w:after="0" w:line="240" w:lineRule="auto"/>
        <w:rPr>
          <w:rFonts w:ascii="Times New Roman" w:eastAsia="Times New Roman" w:hAnsi="Times New Roman" w:cs="Times New Roman"/>
          <w:b/>
          <w:sz w:val="24"/>
          <w:szCs w:val="24"/>
        </w:rPr>
      </w:pPr>
    </w:p>
    <w:p w14:paraId="0755601A" w14:textId="77777777" w:rsidR="00A95426" w:rsidRPr="00BE4AF3" w:rsidRDefault="00A95426" w:rsidP="00A4549A">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b/>
          <w:sz w:val="24"/>
          <w:szCs w:val="24"/>
        </w:rPr>
        <w:t xml:space="preserve">Keywords: </w:t>
      </w:r>
      <w:r w:rsidRPr="00BE4AF3">
        <w:rPr>
          <w:rFonts w:ascii="Times New Roman" w:eastAsia="Times New Roman" w:hAnsi="Times New Roman" w:cs="Times New Roman"/>
          <w:sz w:val="24"/>
          <w:szCs w:val="24"/>
        </w:rPr>
        <w:t>Flood Vulnerability, Farmlands, Physical Planning, Regulations, Structural Control.</w:t>
      </w:r>
    </w:p>
    <w:p w14:paraId="715476D2" w14:textId="77777777" w:rsidR="006C32B2" w:rsidRPr="00BE4AF3" w:rsidRDefault="006C32B2" w:rsidP="00E90BB6">
      <w:pPr>
        <w:spacing w:after="0" w:line="240" w:lineRule="auto"/>
        <w:rPr>
          <w:rFonts w:ascii="Times New Roman" w:eastAsia="Times New Roman" w:hAnsi="Times New Roman" w:cs="Times New Roman"/>
          <w:sz w:val="24"/>
          <w:szCs w:val="24"/>
        </w:rPr>
      </w:pPr>
    </w:p>
    <w:p w14:paraId="505F4B07" w14:textId="77777777" w:rsidR="004371E3" w:rsidRPr="00BE4AF3" w:rsidRDefault="004371E3" w:rsidP="00E67C2D">
      <w:pPr>
        <w:spacing w:after="0" w:line="240" w:lineRule="auto"/>
        <w:jc w:val="both"/>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Introduction</w:t>
      </w:r>
    </w:p>
    <w:p w14:paraId="72CE2561" w14:textId="77777777" w:rsidR="004371E3" w:rsidRPr="00BE4AF3" w:rsidRDefault="004371E3" w:rsidP="00E67C2D">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Flooding has become an annual event for Nigerian cities with its attending economic problems in the rainy season (Cirella and Iyalomhe, 2018). The ordeal has taken both natural and human-induced dimension, and caused in various parts of the country notable problems which included relocation of millions, destruction of businesses, water pollution and diseases (Joseph and Onosemuode, 2025). Flood events have caused unimaginable increase in food crops price, contributing to an estimated 33% inflation prevalent in the country (Onwuka, Ikekpeazu and Onuoha, 2015a; Onwuka, Ikekpeazu and Onuoha, 2015b). The full extent of flood events is undetermined owing to data gaps attributable to small floods (Financial Sector Deepening Africa, 2021) and vulnerability is exacerbated by high population density, absence of zoning regulation, </w:t>
      </w:r>
      <w:r w:rsidRPr="00BE4AF3">
        <w:rPr>
          <w:rFonts w:ascii="Times New Roman" w:eastAsia="Times New Roman" w:hAnsi="Times New Roman" w:cs="Times New Roman"/>
          <w:sz w:val="24"/>
          <w:szCs w:val="24"/>
        </w:rPr>
        <w:lastRenderedPageBreak/>
        <w:t xml:space="preserve">lack of flood control, high level of poverty, lack of technological know- how on emergency response and early warning system and signals. The perception of residents and flood managers on increasing heavy rainfall being the most predominant cause of flooding was debunked by daily rainfall data (1981-2015) which revealed that there was no significant relationship between annual and seasonal rainfall and flood events (Atufu, 2021). The risk function and causative factors is incomplete because risk management efforts to date have largely excluded the business and financial sectors (including risk finance) (Financial Sector Deepening Africa, 2021); and may remain incomplete if not conceptualized to accommodate changing climate within the socio-cultural environment and sometime a combination of both. Global warming and climate change are directly and/or indirectly increasing the amount of rain and ice melting and thereby increasing the magnitude of runoff and subsequent flooding (Landsberg, 1981). Also, urbanization changes the morphology of surfaces and alters water exchanges, airflow and energy to combine with direct anthropogenic emissions of heat, carbon dioxide and other pollutants. These processes result in distinct urban climates that influence flood risk (Landsberg, 1981). The volume of runoff during urban flood is governed primarily by infiltration characteristics and its direct relationship to the percentage area covered by roofs, streets and other impervious or built up concrete surfaces. Therefore, urbanization increases the volume and rate of surface runoff through alteration of natural drainage system and modification of runoff to streams. Thus, flood risk is linked to the exposure of social systems to flood hazards (i.e. flood water depth, extent or area of coverage, duration and velocity of flow, peak flow characteristics, total run off, quality of water and hydrological amenities) (Leopold, 1968); and their vulnerabilities i.e. the propensity to be adversely affected by flooding owing to a number of factors such as lack of coping capacity (Balbi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xml:space="preserve">., 2012), proximity to the hazard source, the perceived extent of damage (Gregg, Houghton, Johnston, Paton &amp; Swanson, 2004),  possibility (if any) of previous flooding  to be able to nudge and sensitize flood victims and citizens at large to preventive measures or flood preparedness (Alao, Ibimilua and Akpomrere, 2023; Bako and Ojolowo, 2021), and calculated likelihood of future disaster (Atufu, 2021). Generally, there’s a mutual misunderstanding between experts and the public which is a source of hazard communication breakdown between both parties (Knocke and Kolivras, 2007); experts underestimate the level of risk that the public perceives in disaster, while the public overestimates the level of risk experts perceive (Sola Farre, Martinez Arias and Prades Lopez, 2002).  Because many African cities dwellers reside in former swamp areas and on flood plains or tidewater areas, Sachs (2008) projected a ‘38-cm mean global sea-level rise in 2080’ with a potential impact of displacing one million in 1990 to 25 million by 2050 in Africa, when scientifically modelled. Nicholls et al. (1999) added a possible worst case scenario with a likely impact of 70 million in 2080. Hence, a gradual but steady systematic land use conversion to its natural state could sustainably decreases flood risk and flood frequency (Idris and Dharmasiri, 2015). To this end, the European Union (EU) flood directive outlays mapping the flood extent as well as assets and human at risk in flood prone areas and adequate measures to reduce the flood risk. Number 5 and 6, of the 8 practices described in the guidelines on sustainable flood prevention by the European Union (EU) and United Nations (UN) as discussed by Cirella and Iyalomhe (2018) comprise land use, zoning and risk assessment and impact of structural measures. However, Kundzewicz et al. (2018) reiterates a concern to explore both social and engineering factors across the globe, whereas De Wrachien, Mambretti and Sole (2008)’s harmonious coexistence with flood reviewed that the chances of flooding can never be eliminated entirely in practical terms; and only consequences can be mitigated by appropriate measures and actions. There’s an obvious inclination toward social, non-structural concept by the authors. Pursuant of this, Dani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xml:space="preserve">. (2024) </w:t>
      </w:r>
      <w:r w:rsidRPr="00BE4AF3">
        <w:rPr>
          <w:rFonts w:ascii="Times New Roman" w:eastAsia="Times New Roman" w:hAnsi="Times New Roman" w:cs="Times New Roman"/>
          <w:sz w:val="24"/>
          <w:szCs w:val="24"/>
        </w:rPr>
        <w:lastRenderedPageBreak/>
        <w:t>revealed costs versus benefits analysis (viz green infrastructure approach versus structural measures) as a notable challenge to spatial planning. The authors stated that concerned communities need to be educated to know the value of the required investment viz flood vulnerability indices.</w:t>
      </w:r>
    </w:p>
    <w:p w14:paraId="697CF245" w14:textId="77777777" w:rsidR="004371E3" w:rsidRPr="00BE4AF3" w:rsidRDefault="004371E3" w:rsidP="00E67C2D">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Vulnerability, according to De Wrachien, </w:t>
      </w:r>
      <w:r w:rsidRPr="00BE4AF3">
        <w:rPr>
          <w:rFonts w:ascii="Times New Roman" w:eastAsia="Times New Roman" w:hAnsi="Times New Roman" w:cs="Times New Roman"/>
          <w:i/>
          <w:sz w:val="24"/>
          <w:szCs w:val="24"/>
        </w:rPr>
        <w:t xml:space="preserve">et al. </w:t>
      </w:r>
      <w:r w:rsidRPr="00BE4AF3">
        <w:rPr>
          <w:rFonts w:ascii="Times New Roman" w:eastAsia="Times New Roman" w:hAnsi="Times New Roman" w:cs="Times New Roman"/>
          <w:sz w:val="24"/>
          <w:szCs w:val="24"/>
        </w:rPr>
        <w:t xml:space="preserve">(2008) was defined as the inverse of the resilience and represents the territorial system tendency to suffer damages during an extreme event, where resilience describes the capacity of ecosystems to react against the stress. According to the authors, tackling the uncertainty of occurrence of the nominated risks entails whether there is randomness or vagueness behind the logic of uncertainty, whether floods occur periodically and episodically and cannot be prevented - in which case, phrases such as ‘living with flood’ have emerged, and whether the risk analysis procedure is a simple determination of the probability of a system’s failure or the procedure combines both probability and magnitude of the consequences of a system’s failure. The aim of vulnerability and flood risk assessment of a location is to generate data on the nature of behavioral responses of the floodplain dwellers to the risk of flooding which will help policy planners in development of the flood plain and reducing the large scale damage and losses that may arise from flooding. Vulnerability studies could also be aimed at analyzing the nature of floods and their relationship with climatic conditions and changes (Ogah, Abiola, Magaji, Ijeogu and Opaluwa, 2013). Vis, Klijn, de Bruijn and van Buuren (2003) added that flood risk management is targeted at minimising adverse effects and at learning to live with floods through abatement, control and mitigation of flood. Flood abatement is to prevent peak flows by an improvement of the water retention capacities in the whole catchment; flood control relates to preventing inundation by means of structural measures such as embankments or detention areas; and flood mitigation is achieved through non-structural measures (Parker, 2000; de Bruijn, 2005). This risk management approach has to involve different stakeholders. As noted by Kryspin-Watson, Dharmavaram, Stanton-Geddes and Chia (2017) and Joseph and Onosemuode (2025) regards developing countries, implementation of land use plans and compliance is further confounded and remains elusive owing to surrounding informal settlement, unclear tenure and lack of capacity and resources. Hence, solutions are often contextualized, varying from location to location; depending on local land use challenges subsisting. In Makoko, Lagos State for a case study, Lawanson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xml:space="preserve"> (2022) found a positive and significant impact for house type, educational status and flood preparedness; and reported that an improvement in the three indicators will enhance community development. The authors included the economic impacts of flooding on agricultural land, fishing and livestock. These demographic and housing characteristics resonates the role that socioeconomic factors such as income play in determining vulnerability to flood, especially in Delta State and Niger-Delta region where crop/vegetable and fish farming is among the primary sources of income. Displacement Tracking Matrix (2024) recorded 64% of the locations in Delta State; while Okonta and Odior (2024) reported 34% of respondents in the sampled seventy-two communities in Niger-Delta region. Sampled dwellers (above 90%) earned N100,000 or below, 4% earned above N200,0000 (Okonta and Odior, 2024). Alao, Ibimilua and Akpomrere (2023) recorded monthly income of about N235,000 among professional builders registered with Delta State Chapter of the Nigeria Institute of Building. The Builders have experienced flood 1-5 times during an average of six (6) years of stay in present location (house). Thus flooding occurs almost annually with about a third of respondent professional builders prepared should another flood occur. Bako and Ojolowo (2021) reported 13.7% preparedness for residents of Victoria Island, Lagos, twenty-eight percent (28%) moved into residences of their family members on mainland while 58% were vulnerable. Similarly, Okonta and Odior (2024) </w:t>
      </w:r>
      <w:r w:rsidRPr="00BE4AF3">
        <w:rPr>
          <w:rFonts w:ascii="Times New Roman" w:eastAsia="Times New Roman" w:hAnsi="Times New Roman" w:cs="Times New Roman"/>
          <w:sz w:val="24"/>
          <w:szCs w:val="24"/>
        </w:rPr>
        <w:lastRenderedPageBreak/>
        <w:t xml:space="preserve">verified vulnerabilities with respect to the impact of flood and location (i.e. proximity) of farmlands to centre of flood; and impact and available resources/infrastructure. The authors found the two variables ‘not independent’. Proximity of houses (fifty-five percent) to the flood location is generally less than 1 kM radius and forty-five (45%) of respondent’s houses are more than 1 kM radius away (Alao,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2023; Bako and Ojolowo, 2021). Hence, the vulnerability of Delta State to flooding with about 87% of the land area described by Ejeta, Alalade and Momohjimoh (2023) as highly and very highly vulnerable; and a high population of poor residents (i.e. low income earners) living in vulnerable areas (Okonta and Odior, 2024).</w:t>
      </w:r>
    </w:p>
    <w:p w14:paraId="796740F7" w14:textId="77777777" w:rsidR="004371E3" w:rsidRPr="00BE4AF3" w:rsidRDefault="004371E3" w:rsidP="00E67C2D">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Flood vulnerability, inadequacy of urban planning and/or lack of compliance with physical planning regulations has been linked with flooding in various parts of the study area of Lagos State and Niger-Delta region of Nigeria; amid a country-wide impact of flood, its predominant causes and institutions to hold responsible (Nkwunonwo, 2016). Aderogba (2014) found cities like Lagos State, Warri, and Port-Harcourt to be below sea level with an average gradient of less than 1: 100,000, escalating volume of run-off but inadequate drainage channels due to blockages from debris and waste. Damages to farmlands resulted. Echendu (2021), with Port Harcourt in focus (yet with country-wide relevant findings) discussed urbanization, rise in informal housing sector and noncompliance to land use regulations; displacement of people and their farmlands and disruptions in services, utility and living; economic impacts such as damage to properties and destruction of farmlands and health effects viz longer-term mental-health issues. Ofido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xml:space="preserve"> (2024) however did not emphasize farmlands in categorizing light and thick forest in mapping flood risk zones in Asaba, Delta State. The authors highlighted about 43% area covered by light and thick forest representing very high and high risk zones and 14% light forest only using remote sensing and GIS technology. Likewise, the assertion that flooding can produce positive impacts for agricultural structures is unfounded in most farming-based regions in Nigeria; as these regions have reported damages disproportionate with such claim of positive impact (Atufu, 2021). Though, the Delta State Physical Planning and Urban Renewal Bill, DSPPURB (2024) mentioned three divisions of lands within the State: Urban Master Plans covered by Physical Planning and Urban Renewal Bill (2024), Master Plans relating to lands within Delta State Capital Territory Development and Master Plans covering Warri/Uvwie and Environs, referred to as “Special Areas” Development Agency (DSPPURB, 2024; Section 6e); there’s recourse to future physical planning efforts to initiate discussions and examine how historical flood management decisions may have contributed to inequities (i.e. hampered resilience to flood and unavailability of necessary resources to cope with and also recover from flood (California Water Plan Update 2023, 2024; DSPPURB, 2024). These concerns according to the report compasses communities that lack both the premise of governance and the governing structure of an incorporated community. Such future physical planning efforts aims at treating water supply (especially groundwater recharge), conservation of farmlands and environmental resources as one nexus, i.e. linking flood risk-reduction, water management and physical land use planning as an overall integral approach to flood management via legislation. The integrated water management approach necessitates agreement on terms of actions and responsibilities between various authorities. This emphasizes collaboration between multiple stakeholding sectors and organs of government and participation from the local community. Flood risk assessment and integration into land use plan cannot be done in isolation, it should inform and engage the local bigger community; with Public-Private collaborations with representatives from water management, spatial planning, emergency management, insurers and risk finance sector, fire brigades, scientists, Non-Governmental </w:t>
      </w:r>
      <w:r w:rsidRPr="00BE4AF3">
        <w:rPr>
          <w:rFonts w:ascii="Times New Roman" w:eastAsia="Times New Roman" w:hAnsi="Times New Roman" w:cs="Times New Roman"/>
          <w:sz w:val="24"/>
          <w:szCs w:val="24"/>
        </w:rPr>
        <w:lastRenderedPageBreak/>
        <w:t>Organisations (NGOs), companies and international communities (Weichselgartner &amp; Obersteiner, 2002; Pearce, 2003;  Financial Sector Deepening Africa, 2021).</w:t>
      </w:r>
    </w:p>
    <w:p w14:paraId="09344642" w14:textId="77777777" w:rsidR="004371E3" w:rsidRDefault="004371E3" w:rsidP="00E67C2D">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Land use implementation tools include regulatory, economic, financial and behavioural. Among the regulatory instruments are Building Codes specifying elevated structures and floor levels for houses and infrastructures within marked zones, setbacks, minimum material design standards, access points, building orientation and emergency exits in an elevated area such as the roof. Financial instruments include Public Private Partnerships (e.g. Lagos State Resilience Office (LASRO) and the Rockefeller Foundation), role of risk finance, among others (Kryspin-Watson et al., 2017; Financial Sector Deepening Africa, 2021). These implementation tools have witness increased adoption in recent times in Lagos State, Nigeria in the effort of the State to put an end to incessant building collapse, flooding; among other natural and man-made disasters. Physical planning and building control regulations covering the different construction activities and stages are contained in the Lagos State Building Control Agency Regulations, LABSCA (2019). Activities such as site preparation and protection of construction from moisture, ventilation, hygiene, water sanitation and safety, drainage and waste disposal, access to and use of Building, access to and use of public buildings by physically challenged people, method of construction; among others are covered. The Agency recognizes that alteration, amendment or addition to the existing building such as shops, gate-houses, shanties, containers or other structures not covered by the planning permit granted shall be deemed an illegal structure and treated as such (LABSCA, 2019; Section 26-3). Atufu (2021) noted that even Victoria Island, Lagos; though characterised by offices and high value residential properties, still have shops line many of the street and these shops are often responsible for some of the indiscriminate disposal of waste blocking drainages. Such illegal structures, their illegality and its consequences has been explored in literature as a major cause of flood in urban dwellings (Echendu, 2021; Lawanson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xml:space="preserve"> 2022; Atufu, 2021). In the same noteworthy effort, the provisions of the National Building Code are also referenced regards fire retardation and prevention in buildings (LABSCA, 2019; Section 14-6).</w:t>
      </w:r>
    </w:p>
    <w:p w14:paraId="5712BC8C" w14:textId="77777777" w:rsidR="00E67C2D" w:rsidRPr="00BE4AF3" w:rsidRDefault="00E67C2D" w:rsidP="00E67C2D">
      <w:pPr>
        <w:spacing w:after="0" w:line="240" w:lineRule="auto"/>
        <w:jc w:val="both"/>
        <w:rPr>
          <w:rFonts w:ascii="Times New Roman" w:eastAsia="Times New Roman" w:hAnsi="Times New Roman" w:cs="Times New Roman"/>
          <w:b/>
          <w:sz w:val="24"/>
          <w:szCs w:val="24"/>
        </w:rPr>
      </w:pPr>
    </w:p>
    <w:p w14:paraId="357815A3" w14:textId="77777777" w:rsidR="004371E3" w:rsidRPr="00BE4AF3" w:rsidRDefault="004371E3" w:rsidP="004371E3">
      <w:pPr>
        <w:spacing w:after="0" w:line="240" w:lineRule="auto"/>
        <w:jc w:val="both"/>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Materials and Method</w:t>
      </w:r>
    </w:p>
    <w:p w14:paraId="5AE2E8E0" w14:textId="77777777" w:rsidR="004371E3" w:rsidRPr="00BE4AF3" w:rsidRDefault="004371E3" w:rsidP="004371E3">
      <w:pPr>
        <w:spacing w:after="0" w:line="240" w:lineRule="auto"/>
        <w:jc w:val="both"/>
        <w:rPr>
          <w:rFonts w:ascii="Times New Roman" w:eastAsia="Times New Roman" w:hAnsi="Times New Roman" w:cs="Times New Roman"/>
          <w:b/>
          <w:sz w:val="24"/>
          <w:szCs w:val="24"/>
        </w:rPr>
      </w:pPr>
      <w:r w:rsidRPr="00BE4AF3">
        <w:rPr>
          <w:rFonts w:ascii="Times New Roman" w:eastAsia="Times New Roman" w:hAnsi="Times New Roman" w:cs="Times New Roman"/>
          <w:sz w:val="24"/>
          <w:szCs w:val="24"/>
        </w:rPr>
        <w:t>The study area is Lagos State and Niger Delta region, situated in the South-western and South - southern plus South - eastern parts of the country respectively. A literature review of flooding with these regions in focus was conducted. Published articles were sourced via general Google search and locally published journals (in print) and not referenced online. Common sources included Academia, Researchgate and ScienceDirect. A total of thirty (40) technical papers relevant to the study area and research discourse were found.</w:t>
      </w:r>
    </w:p>
    <w:p w14:paraId="4E0CD156" w14:textId="733FFB20" w:rsidR="004371E3" w:rsidRPr="00BE4AF3" w:rsidRDefault="004371E3" w:rsidP="004371E3">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In computing flood vulnerability indices, flood conditioning factors were subjected to Analytical Hierarchy Process (AHP) or Frequency Ratio Model to produce a Geographic Information System (GIS)-based flood map. Isiaka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xml:space="preserve"> (2023) listed ten (10) flood conditioning </w:t>
      </w:r>
      <w:r w:rsidR="00E67C2D" w:rsidRPr="00BE4AF3">
        <w:rPr>
          <w:rFonts w:ascii="Times New Roman" w:eastAsia="Times New Roman" w:hAnsi="Times New Roman" w:cs="Times New Roman"/>
          <w:sz w:val="24"/>
          <w:szCs w:val="24"/>
        </w:rPr>
        <w:t>factors in</w:t>
      </w:r>
      <w:r w:rsidRPr="00BE4AF3">
        <w:rPr>
          <w:rFonts w:ascii="Times New Roman" w:eastAsia="Times New Roman" w:hAnsi="Times New Roman" w:cs="Times New Roman"/>
          <w:sz w:val="24"/>
          <w:szCs w:val="24"/>
        </w:rPr>
        <w:t xml:space="preserve"> flood susceptibility assessment of Lagos using GIS-based Frequency Ratio Model. These factors are: slope, curvature, drainage proximity, drainage density, soil type, average annual rainfall, topographic wetness index, land use &amp; land cover, normalized difference vegetation index, and elevation. Eyeta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xml:space="preserve"> (2023) used six (6) key flooding condition factors of slope, drainage/river network density, elevation, flow accumulation/direction, soil and land use; while Ofido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xml:space="preserve"> (2024) used nine (9) flood risk criteria thus: topography, land use, soil type, rainfall intensity, proximity to rivers, population density, drainage density, slope, and elevation. Both Eyeta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xml:space="preserve"> (2023) and Ofido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xml:space="preserve"> (2024) computed a priority vector of eigenvalues representing each flood </w:t>
      </w:r>
      <w:r w:rsidRPr="00BE4AF3">
        <w:rPr>
          <w:rFonts w:ascii="Times New Roman" w:eastAsia="Times New Roman" w:hAnsi="Times New Roman" w:cs="Times New Roman"/>
          <w:sz w:val="24"/>
          <w:szCs w:val="24"/>
        </w:rPr>
        <w:lastRenderedPageBreak/>
        <w:t>condition factor to generate the flood vulnerability map in the GIS approach adopted ) for Delta State and Asaba city respectively.</w:t>
      </w:r>
    </w:p>
    <w:p w14:paraId="5CC7A2A9" w14:textId="77777777" w:rsidR="004371E3" w:rsidRDefault="004371E3" w:rsidP="004371E3">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Ologunorisa (2004) adopted six indices identified as being capable of truly measuring the level of flood risks in Niger Delta. These include depth of flooding, duration of flooding, perceived frequency of occurrence, extent of damage (in percentage), closeness to hazard source (in meters) and dominant land use or economic use. Other studies which conducted a</w:t>
      </w:r>
      <w:r w:rsidRPr="00BE4AF3">
        <w:rPr>
          <w:rFonts w:ascii="Times New Roman" w:eastAsia="Times New Roman" w:hAnsi="Times New Roman" w:cs="Times New Roman"/>
          <w:color w:val="000000"/>
          <w:sz w:val="24"/>
          <w:szCs w:val="24"/>
        </w:rPr>
        <w:t xml:space="preserve"> vulnerability analysis for flood-prone areas adopted three </w:t>
      </w:r>
      <w:r w:rsidRPr="00BE4AF3">
        <w:rPr>
          <w:rFonts w:ascii="Times New Roman" w:eastAsia="Times New Roman" w:hAnsi="Times New Roman" w:cs="Times New Roman"/>
          <w:sz w:val="24"/>
          <w:szCs w:val="24"/>
        </w:rPr>
        <w:t xml:space="preserve">key risk assessment criteria: local people’s perceptions of the causes of flooding, adaptation strategies, and the community’s social coping capacity (Action Aid, 2006); </w:t>
      </w:r>
      <w:r w:rsidRPr="00BE4AF3">
        <w:rPr>
          <w:rFonts w:ascii="Times New Roman" w:eastAsia="Times New Roman" w:hAnsi="Times New Roman" w:cs="Times New Roman"/>
          <w:color w:val="000000"/>
          <w:sz w:val="24"/>
          <w:szCs w:val="24"/>
        </w:rPr>
        <w:t xml:space="preserve">extent of exposure of infrastructure, quality and type of building, population by gender, population by age and the possibility of flood to cause collateral hazards; as explanatory variables (Lawanson </w:t>
      </w:r>
      <w:r w:rsidRPr="00BE4AF3">
        <w:rPr>
          <w:rFonts w:ascii="Times New Roman" w:eastAsia="Times New Roman" w:hAnsi="Times New Roman" w:cs="Times New Roman"/>
          <w:i/>
          <w:color w:val="000000"/>
          <w:sz w:val="24"/>
          <w:szCs w:val="24"/>
        </w:rPr>
        <w:t>et al.</w:t>
      </w:r>
      <w:r w:rsidRPr="00BE4AF3">
        <w:rPr>
          <w:rFonts w:ascii="Times New Roman" w:eastAsia="Times New Roman" w:hAnsi="Times New Roman" w:cs="Times New Roman"/>
          <w:color w:val="000000"/>
          <w:sz w:val="24"/>
          <w:szCs w:val="24"/>
        </w:rPr>
        <w:t>, 2022).</w:t>
      </w:r>
      <w:r w:rsidRPr="00BE4AF3">
        <w:rPr>
          <w:rFonts w:ascii="Times New Roman" w:eastAsia="Times New Roman" w:hAnsi="Times New Roman" w:cs="Times New Roman"/>
          <w:sz w:val="24"/>
          <w:szCs w:val="24"/>
        </w:rPr>
        <w:t xml:space="preserve"> </w:t>
      </w:r>
    </w:p>
    <w:p w14:paraId="1389E62E" w14:textId="77777777" w:rsidR="00E67C2D" w:rsidRPr="00BE4AF3" w:rsidRDefault="00E67C2D" w:rsidP="004371E3">
      <w:pPr>
        <w:spacing w:after="0" w:line="240" w:lineRule="auto"/>
        <w:jc w:val="both"/>
        <w:rPr>
          <w:rFonts w:ascii="Times New Roman" w:eastAsia="Times New Roman" w:hAnsi="Times New Roman" w:cs="Times New Roman"/>
          <w:b/>
          <w:sz w:val="24"/>
          <w:szCs w:val="24"/>
        </w:rPr>
      </w:pPr>
    </w:p>
    <w:p w14:paraId="71B8261A" w14:textId="77777777" w:rsidR="004371E3" w:rsidRDefault="004371E3" w:rsidP="004371E3">
      <w:pPr>
        <w:spacing w:after="0" w:line="240" w:lineRule="auto"/>
        <w:jc w:val="both"/>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Results and Discussion</w:t>
      </w:r>
    </w:p>
    <w:p w14:paraId="32B73CF9" w14:textId="77777777" w:rsidR="00E67C2D" w:rsidRPr="00BE4AF3" w:rsidRDefault="00E67C2D" w:rsidP="004371E3">
      <w:pPr>
        <w:spacing w:after="0" w:line="240" w:lineRule="auto"/>
        <w:jc w:val="both"/>
        <w:rPr>
          <w:rFonts w:ascii="Times New Roman" w:eastAsia="Times New Roman" w:hAnsi="Times New Roman" w:cs="Times New Roman"/>
          <w:b/>
          <w:sz w:val="24"/>
          <w:szCs w:val="24"/>
        </w:rPr>
      </w:pPr>
    </w:p>
    <w:p w14:paraId="409AA530" w14:textId="77777777" w:rsidR="004371E3" w:rsidRPr="00BE4AF3" w:rsidRDefault="004371E3" w:rsidP="004371E3">
      <w:pPr>
        <w:spacing w:after="0" w:line="240" w:lineRule="auto"/>
        <w:jc w:val="both"/>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Vulnerability indices</w:t>
      </w:r>
    </w:p>
    <w:p w14:paraId="07BFF217" w14:textId="77777777" w:rsidR="004371E3" w:rsidRDefault="004371E3" w:rsidP="004371E3">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About twenty-nine percent (29%) of the total land area of Lagos State is at high risk of flooding (Lagos State Emergency Management Agency, 2024), and 12.54% for very high risk (Isiaka </w:t>
      </w:r>
      <w:r w:rsidRPr="00BE4AF3">
        <w:rPr>
          <w:rFonts w:ascii="Times New Roman" w:eastAsia="Times New Roman" w:hAnsi="Times New Roman" w:cs="Times New Roman"/>
          <w:i/>
          <w:sz w:val="24"/>
          <w:szCs w:val="24"/>
        </w:rPr>
        <w:t xml:space="preserve">et al. </w:t>
      </w:r>
      <w:r w:rsidRPr="00BE4AF3">
        <w:rPr>
          <w:rFonts w:ascii="Times New Roman" w:eastAsia="Times New Roman" w:hAnsi="Times New Roman" w:cs="Times New Roman"/>
          <w:sz w:val="24"/>
          <w:szCs w:val="24"/>
        </w:rPr>
        <w:t xml:space="preserve">2023) while very high and high risk totaled fifty-two (52%) for Asaba (Ofido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xml:space="preserve">, 2024), and 87% for Delta State (i.e. very high and high risk combined) (Eyeta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xml:space="preserve">, 2023). Lagos State flood map was captured using an integrated approach of remotely sensed data and geographic information system (GIS). </w:t>
      </w:r>
    </w:p>
    <w:p w14:paraId="19F84F8F" w14:textId="77777777" w:rsidR="00E67C2D" w:rsidRPr="00BE4AF3" w:rsidRDefault="00E67C2D" w:rsidP="004371E3">
      <w:pPr>
        <w:spacing w:after="0" w:line="240" w:lineRule="auto"/>
        <w:jc w:val="both"/>
        <w:rPr>
          <w:rFonts w:ascii="Times New Roman" w:eastAsia="Times New Roman" w:hAnsi="Times New Roman" w:cs="Times New Roman"/>
          <w:sz w:val="24"/>
          <w:szCs w:val="24"/>
        </w:rPr>
      </w:pPr>
    </w:p>
    <w:p w14:paraId="69B7130D" w14:textId="77777777" w:rsidR="004371E3" w:rsidRPr="00BE4AF3" w:rsidRDefault="004371E3" w:rsidP="004371E3">
      <w:pPr>
        <w:spacing w:after="0" w:line="240" w:lineRule="auto"/>
        <w:jc w:val="both"/>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Physical Planning Regulations</w:t>
      </w:r>
    </w:p>
    <w:p w14:paraId="2F62CA7E" w14:textId="77777777" w:rsidR="004371E3" w:rsidRDefault="004371E3" w:rsidP="004371E3">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Land use planning is “the process undertaken by public authorities to identify, evaluate and decide on different options for the use of land, including consideration of long term economic, social and environmental objectives and the implications for different communities and interest groups, and the subsequent formulation and promulgation of plans that describe the permitted or acceptable uses” (UNISDR, 2009).</w:t>
      </w:r>
      <w:r w:rsidRPr="00BE4AF3">
        <w:rPr>
          <w:rFonts w:ascii="Times New Roman" w:eastAsia="Times New Roman" w:hAnsi="Times New Roman" w:cs="Times New Roman"/>
          <w:b/>
          <w:sz w:val="24"/>
          <w:szCs w:val="24"/>
        </w:rPr>
        <w:t xml:space="preserve"> </w:t>
      </w:r>
      <w:r w:rsidRPr="00BE4AF3">
        <w:rPr>
          <w:rFonts w:ascii="Times New Roman" w:eastAsia="Times New Roman" w:hAnsi="Times New Roman" w:cs="Times New Roman"/>
          <w:sz w:val="24"/>
          <w:szCs w:val="24"/>
        </w:rPr>
        <w:t xml:space="preserve">Although sufficient literature affirms that changes in land use - a term commonly known as urbanisation causes human-induced flood; and reported a link from the absence of appropriate legal framework for physical planning to vulnerability to flood (Olowu and Sako, 2002; Cirella and Iyalomhe, 2018); Echendu (2021) establishes that flooding persists not because of the absence of physical planning and requisite guidelines but because of implementation and compliance to planning and land use regulations.  In this sense, increased urbanisation means increased conversion of a growing portion of ground surfaces to concrete without inadequate drains for percolation of water and runoff, i.e. urban development outpaces infrastructure development and improvements, especially drainage (Kryspin-Watson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2017). The problem of implementation and enforcement may be because historical physical planning and land use decisions in most parts of the country may have been geared by short-term revenue gains without paying attention to the long-term cost of putting people, property and farmlands at risk in floodable areas.  Gaps in planning and zoning regulation as it constitutes barrier to flood risk management include regulations such as permitting requirements, overlapping jurisdictions, competing interests among land uses, natural resources (California Water Plan Update 2023, 2024).</w:t>
      </w:r>
    </w:p>
    <w:p w14:paraId="4905B252" w14:textId="77777777" w:rsidR="00E67C2D" w:rsidRDefault="00E67C2D" w:rsidP="004371E3">
      <w:pPr>
        <w:spacing w:after="0" w:line="240" w:lineRule="auto"/>
        <w:jc w:val="both"/>
        <w:rPr>
          <w:rFonts w:ascii="Times New Roman" w:eastAsia="Times New Roman" w:hAnsi="Times New Roman" w:cs="Times New Roman"/>
          <w:sz w:val="24"/>
          <w:szCs w:val="24"/>
        </w:rPr>
      </w:pPr>
    </w:p>
    <w:p w14:paraId="05083A6D" w14:textId="77777777" w:rsidR="00E67C2D" w:rsidRDefault="00E67C2D" w:rsidP="004371E3">
      <w:pPr>
        <w:spacing w:after="0" w:line="240" w:lineRule="auto"/>
        <w:jc w:val="both"/>
        <w:rPr>
          <w:rFonts w:ascii="Times New Roman" w:eastAsia="Times New Roman" w:hAnsi="Times New Roman" w:cs="Times New Roman"/>
          <w:sz w:val="24"/>
          <w:szCs w:val="24"/>
        </w:rPr>
      </w:pPr>
    </w:p>
    <w:p w14:paraId="0E4B0FD2" w14:textId="77777777" w:rsidR="00E67C2D" w:rsidRPr="00BE4AF3" w:rsidRDefault="00E67C2D" w:rsidP="004371E3">
      <w:pPr>
        <w:spacing w:after="0" w:line="240" w:lineRule="auto"/>
        <w:jc w:val="both"/>
        <w:rPr>
          <w:rFonts w:ascii="Times New Roman" w:eastAsia="Times New Roman" w:hAnsi="Times New Roman" w:cs="Times New Roman"/>
          <w:sz w:val="24"/>
          <w:szCs w:val="24"/>
        </w:rPr>
      </w:pPr>
    </w:p>
    <w:p w14:paraId="7BFF0568" w14:textId="77777777" w:rsidR="004371E3" w:rsidRPr="00BE4AF3" w:rsidRDefault="004371E3" w:rsidP="004371E3">
      <w:pPr>
        <w:spacing w:after="0" w:line="240" w:lineRule="auto"/>
        <w:jc w:val="both"/>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lastRenderedPageBreak/>
        <w:t>Structural Control Measures</w:t>
      </w:r>
    </w:p>
    <w:p w14:paraId="017F6B7C" w14:textId="77777777" w:rsidR="004371E3" w:rsidRPr="00BE4AF3" w:rsidRDefault="004371E3" w:rsidP="004371E3">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Structural control measures of flood are physical developments or application of engineering techniques to alter the physical characteristics of the floods and reduce its impact i.e. river basin management. It comprises storage in reservoirs, upstream catchment management, channel modifications, levees/embankments, drainage networks and dams (De Wrachien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xml:space="preserve">, 2008; Atufu, 2021). Non-structural measures (for a difference) alter the exposure of life and properties to flooding and comprise land use zoning, flood forecasting and early warning signals, discouraging occupation in floodable regions and subsequent evacuation, amongst many other actions. While the structural measures are risk-reduction oriented, non-structural measures enhance people’s coping capacity. Both are complements, not alternatives (De Wrachien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xml:space="preserve">, 2008). Dani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xml:space="preserve"> (2024) stressed the essentiality of structural development to reduce impact of flood disaster while also incorporating non-structural strategies that bear on and encourage community participation, because structural measures make community dwellers passive and over-rely on infrastructures with resultant residual risk that needs to be managed with non-structural measures (Kryspin-Watson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xml:space="preserve">, 2017). To buttress this concern, Kundzewicz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xml:space="preserve"> (2018) raised the need for institutions engaged in structural measures to adapt and reconfigure in order to encourage openness to collaboration with non-structural frameworks such as legal and ecological experts; especially with respect to sustainability.</w:t>
      </w:r>
    </w:p>
    <w:p w14:paraId="104B1B8A" w14:textId="77777777" w:rsidR="004371E3" w:rsidRPr="00BE4AF3" w:rsidRDefault="004371E3" w:rsidP="004371E3">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Structural measures comprise dike relocation, dike strengthening through the removal of obstacles with increased capacity to temporarily store water, lowering or eliminating ferry pier banks, widening bridge openings, and removing or lowering quays and flood-free areas (Kundzewicz et al., 2018). California Water Plan Update 2023 (2024) added levees, reservoirs and sea walls that channel water away from homes and other vulnerable resources. The report further noted regular maintenance of these infrastructures and their periodic improvements as central to ensuring continued operation. Structural measures also include levee setback from rivers; i.e. constructing setback levees to create space for rivers to meander, expanding bypasses and floodplains to add agricultural land and natural vegetation to the floodway and supports the restoration of floodplain ecosystems, recreational opportunities, river basin management of ground water and aquifer recharge on farmlands.</w:t>
      </w:r>
    </w:p>
    <w:p w14:paraId="2C6C260C" w14:textId="77777777" w:rsidR="004371E3" w:rsidRDefault="004371E3" w:rsidP="004371E3">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In Nigeria, the Lagos State Government constructed the Lagos Bar Beach Breakwater in 2006 in Victoria Island to combat incessant flooding of the area. Other projects for the same purpose has been documented between 2007 to 2011 and include dredging of 32 rivers which spanned over 50 km and the drainage of about 100,000 hectares of land, five channelization projects, maintenance of existing drainages and ongoing demolition of houses in selected flood-prone areas. All others, except the demolition exercise are completed projects (Adelekan, 2016). Still, Atufu (2021) noted that actions such as sand-filling of depressions and providing access to sandbags were not taken up by the government. Private individuals such as professional builders in Delta State, Nigeria did not adopt this measure either (Alao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2023). Registered Builders placed more emphasis on raising foundation of houses during construction as the preferred structural flood control measure. The high-ranking, most predominant flood control measure according to responding Builders were non-structural, role of disaster management organisations and institutions: zoning regulations; government-related: GIS-based topographic map with light detection and ranging; and role of international communities (e.g. World Bank) and private development partners e.g. Real Estate Developers such as Adron Homes and humanitarian/social development establishments such as Tony Elumelu Foundation.</w:t>
      </w:r>
    </w:p>
    <w:p w14:paraId="5F45B818" w14:textId="77777777" w:rsidR="00E67C2D" w:rsidRPr="00BE4AF3" w:rsidRDefault="00E67C2D" w:rsidP="004371E3">
      <w:pPr>
        <w:spacing w:after="0" w:line="240" w:lineRule="auto"/>
        <w:jc w:val="both"/>
        <w:rPr>
          <w:rFonts w:ascii="Times New Roman" w:eastAsia="Times New Roman" w:hAnsi="Times New Roman" w:cs="Times New Roman"/>
          <w:sz w:val="24"/>
          <w:szCs w:val="24"/>
        </w:rPr>
      </w:pPr>
    </w:p>
    <w:p w14:paraId="4BFC6014" w14:textId="77777777" w:rsidR="004371E3" w:rsidRPr="00BE4AF3" w:rsidRDefault="004371E3" w:rsidP="004371E3">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b/>
          <w:sz w:val="24"/>
          <w:szCs w:val="24"/>
        </w:rPr>
        <w:lastRenderedPageBreak/>
        <w:t>Conclusion</w:t>
      </w:r>
    </w:p>
    <w:p w14:paraId="2BFECCED" w14:textId="77777777" w:rsidR="004371E3" w:rsidRPr="00BE4AF3" w:rsidRDefault="004371E3" w:rsidP="004371E3">
      <w:pPr>
        <w:spacing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This study reviewed literature on flood vulnerability of farmlands, physical planning regulations and structural control measures with the aim of unravelling best practices in combating flooding and its devastations across numerous agriculture-based communities and urban regions in Nigeria, with focus on Lagos and Delta State/Niger Delta. The review revealed about twenty-nine percent (29%) of the total land area of Lagos State is at high risk of flooding and 12.54% for very high risk while very high and high risk totaled 52% for Asaba. To arrive at these numbers, reviewed authors subjected flood conditioning factors to analytical hierarchy process (AHP) or frequency ratio model to produce a geographic information system (GIS)-based flood map. These factors include slope, curvature, drainage proximity, drainage density, soil type, average annual rainfall, topographic wetness index, land use and land cover, normalized difference vegetation index, elevation, flow accumulation/direction and population density. Also, literature stressed the unavailability of resources and neglect of many communities in physical planning i.e. unincorporated communities. To solve this, public private partnerships and flood risk finance have been mentioned. The reviewers also discovered that historical physical planning and land use decisions in most parts of the country may have been geared by short-term revenue gains without paying attention to the long-term cost of putting people, property and farmlands at risk in floodable areas. The study concludes that land use implementation tools which include Building Codes, and structural measures (such as setback levees, river dredging and maintenance of existing drainages), among others should be redesigned to encourage collaboration with legal and ecological experts of non-structural frameworks in an integrated water management approach.</w:t>
      </w:r>
    </w:p>
    <w:p w14:paraId="6908603C" w14:textId="77777777" w:rsidR="004371E3" w:rsidRPr="00BE4AF3" w:rsidRDefault="004371E3" w:rsidP="00E67C2D">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b/>
          <w:sz w:val="24"/>
          <w:szCs w:val="24"/>
        </w:rPr>
        <w:t>References</w:t>
      </w:r>
    </w:p>
    <w:p w14:paraId="0160CA39" w14:textId="77777777" w:rsidR="004371E3" w:rsidRPr="00BE4AF3" w:rsidRDefault="004371E3" w:rsidP="00E67C2D">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Action Aid (2010). Climate Change, Urban Flooding and the Rights of the Urban Poor in Africa: Key Findings From Six African Cities, Action Aid International, London</w:t>
      </w:r>
    </w:p>
    <w:p w14:paraId="793A99D0" w14:textId="77777777" w:rsidR="004371E3" w:rsidRPr="00BE4AF3" w:rsidRDefault="004371E3" w:rsidP="004371E3">
      <w:pPr>
        <w:spacing w:after="0" w:line="240" w:lineRule="auto"/>
        <w:ind w:left="630" w:hanging="63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Adelekan, I.O. (2016) Flood risk management in the coastal city of Lagos, Nigeria, </w:t>
      </w:r>
      <w:r w:rsidRPr="00BE4AF3">
        <w:rPr>
          <w:rFonts w:ascii="Times New Roman" w:eastAsia="Times New Roman" w:hAnsi="Times New Roman" w:cs="Times New Roman"/>
          <w:i/>
          <w:sz w:val="24"/>
          <w:szCs w:val="24"/>
        </w:rPr>
        <w:t>Journal of Flood Risk Management</w:t>
      </w:r>
      <w:r w:rsidRPr="00BE4AF3">
        <w:rPr>
          <w:rFonts w:ascii="Times New Roman" w:eastAsia="Times New Roman" w:hAnsi="Times New Roman" w:cs="Times New Roman"/>
          <w:sz w:val="24"/>
          <w:szCs w:val="24"/>
        </w:rPr>
        <w:t xml:space="preserve">, 9 (3): 255-264, </w:t>
      </w:r>
      <w:hyperlink r:id="rId94">
        <w:r w:rsidRPr="00BE4AF3">
          <w:rPr>
            <w:rFonts w:ascii="Times New Roman" w:eastAsia="Times New Roman" w:hAnsi="Times New Roman" w:cs="Times New Roman"/>
            <w:color w:val="0000FF"/>
            <w:sz w:val="24"/>
            <w:szCs w:val="24"/>
            <w:u w:val="single"/>
          </w:rPr>
          <w:t>https://doi.org/10.1111/jfr3.12179</w:t>
        </w:r>
      </w:hyperlink>
    </w:p>
    <w:p w14:paraId="582BA7BD" w14:textId="77777777" w:rsidR="004371E3" w:rsidRPr="00BE4AF3" w:rsidRDefault="004371E3" w:rsidP="004371E3">
      <w:pPr>
        <w:spacing w:after="0" w:line="240" w:lineRule="auto"/>
        <w:ind w:left="630" w:hanging="63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Aderogba, K. A. (2014). A framework for potable water in the face of plenty for sustainability on Lekki peninsula of Lagos State, Nigeria. </w:t>
      </w:r>
      <w:r w:rsidRPr="00BE4AF3">
        <w:rPr>
          <w:rFonts w:ascii="Times New Roman" w:eastAsia="Times New Roman" w:hAnsi="Times New Roman" w:cs="Times New Roman"/>
          <w:i/>
          <w:sz w:val="24"/>
          <w:szCs w:val="24"/>
        </w:rPr>
        <w:t xml:space="preserve">Journal of Water Resource and Protection, </w:t>
      </w:r>
      <w:r w:rsidRPr="00BE4AF3">
        <w:rPr>
          <w:rFonts w:ascii="Times New Roman" w:eastAsia="Times New Roman" w:hAnsi="Times New Roman" w:cs="Times New Roman"/>
          <w:sz w:val="24"/>
          <w:szCs w:val="24"/>
        </w:rPr>
        <w:t xml:space="preserve">6 (3), </w:t>
      </w:r>
    </w:p>
    <w:p w14:paraId="1DCEE7B0" w14:textId="77777777" w:rsidR="004371E3" w:rsidRPr="00BE4AF3" w:rsidRDefault="004371E3" w:rsidP="004371E3">
      <w:pPr>
        <w:spacing w:after="0" w:line="240" w:lineRule="auto"/>
        <w:ind w:left="630" w:hanging="63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Alao, T.O., Ibimilua, A.F. and Akpomrere, R.O. (2023) Level of preparedness for flooding among professional builders in Delta State, Nigeria, Contemporary Journal of Environmental Science (CJES), Ozoro, 1 (1): 14-33</w:t>
      </w:r>
    </w:p>
    <w:p w14:paraId="259AFF3D" w14:textId="77777777" w:rsidR="004371E3" w:rsidRPr="00BE4AF3" w:rsidRDefault="004371E3" w:rsidP="004371E3">
      <w:pPr>
        <w:spacing w:after="0" w:line="240" w:lineRule="auto"/>
        <w:ind w:left="630" w:hanging="63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Atufu, C.E. (2021) Evaluating the impacts of flooding on the residents of Lagos, Nigeria, A Thesis Submitted for the Award of the Degree of Doctor of Philosophy, University of Northampton, United Kingdom</w:t>
      </w:r>
    </w:p>
    <w:p w14:paraId="463E98C2" w14:textId="77777777" w:rsidR="004371E3" w:rsidRPr="00BE4AF3" w:rsidRDefault="004371E3" w:rsidP="004371E3">
      <w:pPr>
        <w:spacing w:after="0" w:line="240" w:lineRule="auto"/>
        <w:ind w:left="630" w:hanging="63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Bako, A. and Ojolowo, S.K. (2021) Spatial knowledge and flood preparedness in Victoria Island, Lagos, Nigeria, </w:t>
      </w:r>
      <w:r w:rsidRPr="00BE4AF3">
        <w:rPr>
          <w:rFonts w:ascii="Times New Roman" w:eastAsia="Times New Roman" w:hAnsi="Times New Roman" w:cs="Times New Roman"/>
          <w:i/>
          <w:sz w:val="24"/>
          <w:szCs w:val="24"/>
        </w:rPr>
        <w:t>Journal of Disaster Risk Studies</w:t>
      </w:r>
      <w:r w:rsidRPr="00BE4AF3">
        <w:rPr>
          <w:rFonts w:ascii="Times New Roman" w:eastAsia="Times New Roman" w:hAnsi="Times New Roman" w:cs="Times New Roman"/>
          <w:sz w:val="24"/>
          <w:szCs w:val="24"/>
        </w:rPr>
        <w:t xml:space="preserve">, 13 (1): 1-11  </w:t>
      </w:r>
    </w:p>
    <w:p w14:paraId="6A771CE5"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Balbi, S., Giupponi, C., Gain, A., Mojtahed, V., Gallina, V., Torresan, S., &amp;Marcomini, A. (2012). A conceptual framework for Comprehensive Assessment of Risk Prevention Measures: The KULTU Risk Framework (KR-FWK). </w:t>
      </w:r>
      <w:r w:rsidRPr="00BE4AF3">
        <w:rPr>
          <w:rFonts w:ascii="Times New Roman" w:eastAsia="Times New Roman" w:hAnsi="Times New Roman" w:cs="Times New Roman"/>
          <w:i/>
          <w:sz w:val="24"/>
          <w:szCs w:val="24"/>
        </w:rPr>
        <w:t>Available at SSRN 2184193</w:t>
      </w:r>
    </w:p>
    <w:p w14:paraId="769C75E6"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California Water Plan Update 2023 (2024), California Department of Water Resources, </w:t>
      </w:r>
      <w:hyperlink r:id="rId95">
        <w:r w:rsidRPr="00BE4AF3">
          <w:rPr>
            <w:rFonts w:ascii="Times New Roman" w:eastAsia="Times New Roman" w:hAnsi="Times New Roman" w:cs="Times New Roman"/>
            <w:color w:val="0000FF"/>
            <w:sz w:val="24"/>
            <w:szCs w:val="24"/>
            <w:u w:val="single"/>
          </w:rPr>
          <w:t>https://water.ca.gov</w:t>
        </w:r>
      </w:hyperlink>
    </w:p>
    <w:p w14:paraId="6B63EA4B"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Cirella, G.T. and Iyalomhe, F.O. (2018) Flooding conceptual review: sustainability-focalized best practices in Nigeria, Journal of Applied Sciences, 8, Article 1558, </w:t>
      </w:r>
      <w:hyperlink r:id="rId96">
        <w:r w:rsidRPr="00BE4AF3">
          <w:rPr>
            <w:rFonts w:ascii="Times New Roman" w:eastAsia="Times New Roman" w:hAnsi="Times New Roman" w:cs="Times New Roman"/>
            <w:color w:val="0000FF"/>
            <w:sz w:val="24"/>
            <w:szCs w:val="24"/>
            <w:u w:val="single"/>
          </w:rPr>
          <w:t>https://doi.org/10.3390/app8091558</w:t>
        </w:r>
      </w:hyperlink>
    </w:p>
    <w:p w14:paraId="73203541"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lastRenderedPageBreak/>
        <w:t>Cirella, G.T., Iyalomhe, F.O. and Adekola, P.O. (2019) Determinants of flooding and strategies for mitigation: two year case study of Benin City, Journal of Geosciences, 9 (3): 136, doi:10.3390geosciences9030136</w:t>
      </w:r>
    </w:p>
    <w:p w14:paraId="35A8021D"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Dani, R., Sujianto, Nofrizal, Amin, B, (2024) Spatial planning strategies and community behavior towards flood control, Global Journal of Environmental Science and Management, 10 (1): 303-322, doi:10.22034/gjesm.2024:10.SI.19 </w:t>
      </w:r>
    </w:p>
    <w:p w14:paraId="0965E3FC"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De Bruijn, K.M. (2005) Resilience and flood risk management: A systems approach applied to lowland rivers. PhD Thesis, DUP Science, Delft, The Netherlands</w:t>
      </w:r>
    </w:p>
    <w:p w14:paraId="24E7FF09"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Delta State Urban Renewal and Regional Planning Bill, DSURRPB (2024)</w:t>
      </w:r>
    </w:p>
    <w:p w14:paraId="732FB07E"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DeWrachien, D., Mambretti, S. and Sole, A. (2008) Risk analysis and vulnerability assessment in flood protection and river basin management, WIT Transactions on Ecology and the Environment, 118 (1): 3-15, Doi:10.2495/FRIAR080011</w:t>
      </w:r>
    </w:p>
    <w:p w14:paraId="0792C2C5"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Echendu, A.J. (2021) The impact of flooding on NIgeria's sustainable devlopment goals (SDGs), </w:t>
      </w:r>
      <w:r w:rsidRPr="00BE4AF3">
        <w:rPr>
          <w:rFonts w:ascii="Times New Roman" w:eastAsia="Times New Roman" w:hAnsi="Times New Roman" w:cs="Times New Roman"/>
          <w:i/>
          <w:sz w:val="24"/>
          <w:szCs w:val="24"/>
        </w:rPr>
        <w:t>Journal of Ecosystem Health and Sustainability</w:t>
      </w:r>
      <w:r w:rsidRPr="00BE4AF3">
        <w:rPr>
          <w:rFonts w:ascii="Times New Roman" w:eastAsia="Times New Roman" w:hAnsi="Times New Roman" w:cs="Times New Roman"/>
          <w:sz w:val="24"/>
          <w:szCs w:val="24"/>
        </w:rPr>
        <w:t>, 6 (1): 1791735</w:t>
      </w:r>
    </w:p>
    <w:p w14:paraId="2446AFBF" w14:textId="77777777" w:rsidR="004371E3" w:rsidRPr="00BE4AF3" w:rsidRDefault="004371E3" w:rsidP="004371E3">
      <w:pPr>
        <w:spacing w:after="0" w:line="240" w:lineRule="auto"/>
        <w:ind w:left="540" w:hanging="540"/>
        <w:jc w:val="both"/>
        <w:rPr>
          <w:rFonts w:ascii="Times New Roman" w:eastAsia="Times New Roman" w:hAnsi="Times New Roman" w:cs="Times New Roman"/>
          <w:i/>
          <w:sz w:val="24"/>
          <w:szCs w:val="24"/>
        </w:rPr>
      </w:pPr>
      <w:r w:rsidRPr="00BE4AF3">
        <w:rPr>
          <w:rFonts w:ascii="Times New Roman" w:eastAsia="Times New Roman" w:hAnsi="Times New Roman" w:cs="Times New Roman"/>
          <w:sz w:val="24"/>
          <w:szCs w:val="24"/>
        </w:rPr>
        <w:t xml:space="preserve">Eyeta, O.K., Alalade, A.S. and Momohjimoh, B (2023) Flood vulnerability assessment of Delta State utilizing remote sensing and Geographic Information System (GIS), </w:t>
      </w:r>
      <w:r w:rsidRPr="00BE4AF3">
        <w:rPr>
          <w:rFonts w:ascii="Times New Roman" w:eastAsia="Times New Roman" w:hAnsi="Times New Roman" w:cs="Times New Roman"/>
          <w:i/>
          <w:sz w:val="24"/>
          <w:szCs w:val="24"/>
        </w:rPr>
        <w:t xml:space="preserve">Journal of Energy, Technology and Environment, 5 (4): </w:t>
      </w:r>
      <w:r w:rsidRPr="00BE4AF3">
        <w:rPr>
          <w:rFonts w:ascii="Times New Roman" w:eastAsia="Times New Roman" w:hAnsi="Times New Roman" w:cs="Times New Roman"/>
          <w:sz w:val="24"/>
          <w:szCs w:val="24"/>
        </w:rPr>
        <w:t xml:space="preserve">37-50, </w:t>
      </w:r>
      <w:hyperlink r:id="rId97">
        <w:r w:rsidRPr="00BE4AF3">
          <w:rPr>
            <w:rFonts w:ascii="Times New Roman" w:eastAsia="Times New Roman" w:hAnsi="Times New Roman" w:cs="Times New Roman"/>
            <w:color w:val="0000FF"/>
            <w:sz w:val="24"/>
            <w:szCs w:val="24"/>
            <w:u w:val="single"/>
          </w:rPr>
          <w:t>https://doi.org/10.5281/zenodo.10431948</w:t>
        </w:r>
      </w:hyperlink>
    </w:p>
    <w:p w14:paraId="46D1045C"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Financial Sector Deepening Africa (2021) Managing the water "megacity"- Floof risk and resilience in Lagos, FSDAfrica Briefing NOte, p.1-12</w:t>
      </w:r>
    </w:p>
    <w:p w14:paraId="5BA10C52"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Gregg, C.E., Houghton, B.F., Johnston, D.M., Paton, D. and Swanson, D.A. (2004) THe perception of volcanic risk in Kona communities from Mauna Loa and Hualali volcanoes, Hawaii, </w:t>
      </w:r>
      <w:r w:rsidRPr="00BE4AF3">
        <w:rPr>
          <w:rFonts w:ascii="Times New Roman" w:eastAsia="Times New Roman" w:hAnsi="Times New Roman" w:cs="Times New Roman"/>
          <w:i/>
          <w:sz w:val="24"/>
          <w:szCs w:val="24"/>
        </w:rPr>
        <w:t>Journal of Volcanology and Geothermal Research</w:t>
      </w:r>
      <w:r w:rsidRPr="00BE4AF3">
        <w:rPr>
          <w:rFonts w:ascii="Times New Roman" w:eastAsia="Times New Roman" w:hAnsi="Times New Roman" w:cs="Times New Roman"/>
          <w:sz w:val="24"/>
          <w:szCs w:val="24"/>
        </w:rPr>
        <w:t>, 130 (3-4): 179-196</w:t>
      </w:r>
    </w:p>
    <w:p w14:paraId="4C6289E5"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Houston, D., Werritty, A., Bassett, D., Geddeds, A., Hoolachan, A. and McMillan, M. (2011) </w:t>
      </w:r>
      <w:r w:rsidRPr="00BE4AF3">
        <w:rPr>
          <w:rFonts w:ascii="Times New Roman" w:eastAsia="Times New Roman" w:hAnsi="Times New Roman" w:cs="Times New Roman"/>
          <w:i/>
          <w:sz w:val="24"/>
          <w:szCs w:val="24"/>
        </w:rPr>
        <w:t>Pluvial (rain related) flooding in urban areas: the invincible hazard</w:t>
      </w:r>
      <w:r w:rsidRPr="00BE4AF3">
        <w:rPr>
          <w:rFonts w:ascii="Times New Roman" w:eastAsia="Times New Roman" w:hAnsi="Times New Roman" w:cs="Times New Roman"/>
          <w:sz w:val="24"/>
          <w:szCs w:val="24"/>
        </w:rPr>
        <w:t>, Joseph Rowntree Foundation, York, United Kingdom</w:t>
      </w:r>
    </w:p>
    <w:p w14:paraId="7B50E370"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Idris, S. and Dharmasiri, L.M. (2015) Flood risk inevitability and flood risk management in urban areas: a review, </w:t>
      </w:r>
      <w:r w:rsidRPr="00BE4AF3">
        <w:rPr>
          <w:rFonts w:ascii="Times New Roman" w:eastAsia="Times New Roman" w:hAnsi="Times New Roman" w:cs="Times New Roman"/>
          <w:i/>
          <w:sz w:val="24"/>
          <w:szCs w:val="24"/>
        </w:rPr>
        <w:t>Journal of Geography and Regional Planning</w:t>
      </w:r>
      <w:r w:rsidRPr="00BE4AF3">
        <w:rPr>
          <w:rFonts w:ascii="Times New Roman" w:eastAsia="Times New Roman" w:hAnsi="Times New Roman" w:cs="Times New Roman"/>
          <w:sz w:val="24"/>
          <w:szCs w:val="24"/>
        </w:rPr>
        <w:t>, 8 (8): 205-209</w:t>
      </w:r>
    </w:p>
    <w:p w14:paraId="69324A4D"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Isiaka, I.O., Gafar, S., Ajadi, S.A., Mukaila, I., Ndukwe, K.O. and Mustapha, S.O. (2023) Flood susceptibility assessment of Lagos State, Nigeria using Geographical Information System (GIS)-based frequency ratio model, </w:t>
      </w:r>
      <w:r w:rsidRPr="00BE4AF3">
        <w:rPr>
          <w:rFonts w:ascii="Times New Roman" w:eastAsia="Times New Roman" w:hAnsi="Times New Roman" w:cs="Times New Roman"/>
          <w:i/>
          <w:sz w:val="24"/>
          <w:szCs w:val="24"/>
        </w:rPr>
        <w:t>International Journal of Environment and Geoinformatics</w:t>
      </w:r>
      <w:r w:rsidRPr="00BE4AF3">
        <w:rPr>
          <w:rFonts w:ascii="Times New Roman" w:eastAsia="Times New Roman" w:hAnsi="Times New Roman" w:cs="Times New Roman"/>
          <w:sz w:val="24"/>
          <w:szCs w:val="24"/>
        </w:rPr>
        <w:t>, 10 (1): 76-89</w:t>
      </w:r>
    </w:p>
    <w:p w14:paraId="49596DAC"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Joseph, O.O. and Onosemuode, C. (2025) Impact assessment of the 2012 flood in Delta State, Nigeria, </w:t>
      </w:r>
      <w:r w:rsidRPr="00BE4AF3">
        <w:rPr>
          <w:rFonts w:ascii="Times New Roman" w:eastAsia="Times New Roman" w:hAnsi="Times New Roman" w:cs="Times New Roman"/>
          <w:i/>
          <w:sz w:val="24"/>
          <w:szCs w:val="24"/>
        </w:rPr>
        <w:t>Journal of Built Environment and Geological Research</w:t>
      </w:r>
      <w:r w:rsidRPr="00BE4AF3">
        <w:rPr>
          <w:rFonts w:ascii="Times New Roman" w:eastAsia="Times New Roman" w:hAnsi="Times New Roman" w:cs="Times New Roman"/>
          <w:sz w:val="24"/>
          <w:szCs w:val="24"/>
        </w:rPr>
        <w:t>, 8 (4): 101-116, doi:10.70382/ajbegr:v8i4.031</w:t>
      </w:r>
    </w:p>
    <w:p w14:paraId="06D14970"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Knocke, E. T. and Kolivras, K. N. (2007). Flash Flood Awareness in Southwest Virginia. </w:t>
      </w:r>
      <w:r w:rsidRPr="00BE4AF3">
        <w:rPr>
          <w:rFonts w:ascii="Times New Roman" w:eastAsia="Times New Roman" w:hAnsi="Times New Roman" w:cs="Times New Roman"/>
          <w:i/>
          <w:sz w:val="24"/>
          <w:szCs w:val="24"/>
        </w:rPr>
        <w:t xml:space="preserve">Journal of </w:t>
      </w:r>
      <w:hyperlink r:id="rId98">
        <w:r w:rsidRPr="00BE4AF3">
          <w:rPr>
            <w:rFonts w:ascii="Times New Roman" w:eastAsia="Times New Roman" w:hAnsi="Times New Roman" w:cs="Times New Roman"/>
            <w:i/>
            <w:color w:val="0000FF"/>
            <w:sz w:val="24"/>
            <w:szCs w:val="24"/>
            <w:u w:val="single"/>
          </w:rPr>
          <w:t>Risk Analysis</w:t>
        </w:r>
      </w:hyperlink>
      <w:r w:rsidRPr="00BE4AF3">
        <w:rPr>
          <w:rFonts w:ascii="Times New Roman" w:eastAsia="Times New Roman" w:hAnsi="Times New Roman" w:cs="Times New Roman"/>
          <w:i/>
          <w:sz w:val="24"/>
          <w:szCs w:val="24"/>
          <w:u w:val="single"/>
        </w:rPr>
        <w:t>.</w:t>
      </w:r>
      <w:r w:rsidRPr="00BE4AF3">
        <w:rPr>
          <w:rFonts w:ascii="Times New Roman" w:eastAsia="Times New Roman" w:hAnsi="Times New Roman" w:cs="Times New Roman"/>
          <w:sz w:val="24"/>
          <w:szCs w:val="24"/>
        </w:rPr>
        <w:t> 27 (1): 155-69.</w:t>
      </w:r>
    </w:p>
    <w:p w14:paraId="25FAFB05"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Kryspin-Watson, J., Dharmavaram, S., Stanton-Geddes, Z. and Chia, B. (2017), Urban Flood Community of Practice Working Paper</w:t>
      </w:r>
    </w:p>
    <w:p w14:paraId="287CC489"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Kundzewicz, Z.W.; Hegger, D.L.T., Matczak, P. and Driessen, P.P.J. (2018) Flood risk reduction: Structural measures and diverse strategies, 115 (49), </w:t>
      </w:r>
      <w:hyperlink r:id="rId99">
        <w:r w:rsidRPr="00BE4AF3">
          <w:rPr>
            <w:rFonts w:ascii="Times New Roman" w:eastAsia="Times New Roman" w:hAnsi="Times New Roman" w:cs="Times New Roman"/>
            <w:color w:val="0000FF"/>
            <w:sz w:val="24"/>
            <w:szCs w:val="24"/>
            <w:u w:val="single"/>
          </w:rPr>
          <w:t>www.pnas.org/cgi/doi/10.1073/pnas.1818227115</w:t>
        </w:r>
      </w:hyperlink>
    </w:p>
    <w:p w14:paraId="558C8DD1"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Leopold, L.B. (1968) </w:t>
      </w:r>
      <w:r w:rsidRPr="00BE4AF3">
        <w:rPr>
          <w:rFonts w:ascii="Times New Roman" w:eastAsia="Times New Roman" w:hAnsi="Times New Roman" w:cs="Times New Roman"/>
          <w:i/>
          <w:sz w:val="24"/>
          <w:szCs w:val="24"/>
        </w:rPr>
        <w:t>Hydrology for land planning: a guide book on hydrologic effect of urban land use geological survey circular 554</w:t>
      </w:r>
      <w:r w:rsidRPr="00BE4AF3">
        <w:rPr>
          <w:rFonts w:ascii="Times New Roman" w:eastAsia="Times New Roman" w:hAnsi="Times New Roman" w:cs="Times New Roman"/>
          <w:sz w:val="24"/>
          <w:szCs w:val="24"/>
        </w:rPr>
        <w:t>, US Geological Survey, Washington, US</w:t>
      </w:r>
      <w:r w:rsidRPr="00BE4AF3">
        <w:rPr>
          <w:rFonts w:ascii="Times New Roman" w:eastAsia="Times New Roman" w:hAnsi="Times New Roman" w:cs="Times New Roman"/>
          <w:sz w:val="24"/>
          <w:szCs w:val="24"/>
          <w:u w:val="single"/>
        </w:rPr>
        <w:t xml:space="preserve">, </w:t>
      </w:r>
      <w:hyperlink r:id="rId100">
        <w:r w:rsidRPr="00BE4AF3">
          <w:rPr>
            <w:rFonts w:ascii="Times New Roman" w:eastAsia="Times New Roman" w:hAnsi="Times New Roman" w:cs="Times New Roman"/>
            <w:color w:val="0000FF"/>
            <w:sz w:val="24"/>
            <w:szCs w:val="24"/>
            <w:u w:val="single"/>
          </w:rPr>
          <w:t>www.usgs.gov/circ/1968/0554/report.pdf</w:t>
        </w:r>
      </w:hyperlink>
    </w:p>
    <w:p w14:paraId="0C2960CC"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Lagos State Building Control Agency Regulations, LABSCA (2019)</w:t>
      </w:r>
    </w:p>
    <w:p w14:paraId="2A732BBB"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Lagos State Emergency Management Agency, LASEMA (2024)</w:t>
      </w:r>
    </w:p>
    <w:p w14:paraId="1F617290"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lastRenderedPageBreak/>
        <w:t xml:space="preserve">Landsberg, H.E. (1981) </w:t>
      </w:r>
      <w:r w:rsidRPr="00BE4AF3">
        <w:rPr>
          <w:rFonts w:ascii="Times New Roman" w:eastAsia="Times New Roman" w:hAnsi="Times New Roman" w:cs="Times New Roman"/>
          <w:i/>
          <w:sz w:val="24"/>
          <w:szCs w:val="24"/>
        </w:rPr>
        <w:t>The urban climate</w:t>
      </w:r>
      <w:r w:rsidRPr="00BE4AF3">
        <w:rPr>
          <w:rFonts w:ascii="Times New Roman" w:eastAsia="Times New Roman" w:hAnsi="Times New Roman" w:cs="Times New Roman"/>
          <w:sz w:val="24"/>
          <w:szCs w:val="24"/>
        </w:rPr>
        <w:t>. International Geophysics Series, 28, Academic Press, New York, 275P</w:t>
      </w:r>
    </w:p>
    <w:p w14:paraId="7874B8AE"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Lawanson, O.I., Proverbs, D. and Ibrahim, R.L. (2023) The impact of flooding on poor communities in Lagos State, Nigeria: the case of the Makoko urban settlement, </w:t>
      </w:r>
      <w:r w:rsidRPr="00BE4AF3">
        <w:rPr>
          <w:rFonts w:ascii="Times New Roman" w:eastAsia="Times New Roman" w:hAnsi="Times New Roman" w:cs="Times New Roman"/>
          <w:i/>
          <w:sz w:val="24"/>
          <w:szCs w:val="24"/>
        </w:rPr>
        <w:t>Journal of Flood Risk Management</w:t>
      </w:r>
      <w:r w:rsidRPr="00BE4AF3">
        <w:rPr>
          <w:rFonts w:ascii="Times New Roman" w:eastAsia="Times New Roman" w:hAnsi="Times New Roman" w:cs="Times New Roman"/>
          <w:sz w:val="24"/>
          <w:szCs w:val="24"/>
        </w:rPr>
        <w:t>, 16 (1): e12838</w:t>
      </w:r>
    </w:p>
    <w:p w14:paraId="30DDD828"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Nicholls, R.J., Hoozemanns, F.M. and Marchand, M. (1999) Increasing flood risk and wetland losses due to global sea-level rise: regional and global analyses, </w:t>
      </w:r>
      <w:r w:rsidRPr="00BE4AF3">
        <w:rPr>
          <w:rFonts w:ascii="Times New Roman" w:eastAsia="Times New Roman" w:hAnsi="Times New Roman" w:cs="Times New Roman"/>
          <w:i/>
          <w:sz w:val="24"/>
          <w:szCs w:val="24"/>
        </w:rPr>
        <w:t>Journal of Global Environment Change</w:t>
      </w:r>
      <w:r w:rsidRPr="00BE4AF3">
        <w:rPr>
          <w:rFonts w:ascii="Times New Roman" w:eastAsia="Times New Roman" w:hAnsi="Times New Roman" w:cs="Times New Roman"/>
          <w:sz w:val="24"/>
          <w:szCs w:val="24"/>
        </w:rPr>
        <w:t>, 9 (1): 69-87</w:t>
      </w:r>
    </w:p>
    <w:p w14:paraId="49BA5491"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Nkwunonwo, U. C. (2016). A Review of Flooding and Flood Risk Reduction in Nigeria. </w:t>
      </w:r>
      <w:r w:rsidRPr="00BE4AF3">
        <w:rPr>
          <w:rFonts w:ascii="Times New Roman" w:eastAsia="Times New Roman" w:hAnsi="Times New Roman" w:cs="Times New Roman"/>
          <w:i/>
          <w:sz w:val="24"/>
          <w:szCs w:val="24"/>
        </w:rPr>
        <w:t>Global Journal of Human-Social Science</w:t>
      </w:r>
      <w:r w:rsidRPr="00BE4AF3">
        <w:rPr>
          <w:rFonts w:ascii="Times New Roman" w:eastAsia="Times New Roman" w:hAnsi="Times New Roman" w:cs="Times New Roman"/>
          <w:sz w:val="24"/>
          <w:szCs w:val="24"/>
        </w:rPr>
        <w:t xml:space="preserve">: </w:t>
      </w:r>
      <w:r w:rsidRPr="00BE4AF3">
        <w:rPr>
          <w:rFonts w:ascii="Times New Roman" w:eastAsia="Times New Roman" w:hAnsi="Times New Roman" w:cs="Times New Roman"/>
          <w:i/>
          <w:sz w:val="24"/>
          <w:szCs w:val="24"/>
        </w:rPr>
        <w:t xml:space="preserve">B Geography, Geo-Sciences, Environmental Science &amp; Disaster Management. </w:t>
      </w:r>
      <w:r w:rsidRPr="00BE4AF3">
        <w:rPr>
          <w:rFonts w:ascii="Times New Roman" w:eastAsia="Times New Roman" w:hAnsi="Times New Roman" w:cs="Times New Roman"/>
          <w:sz w:val="24"/>
          <w:szCs w:val="24"/>
        </w:rPr>
        <w:t>16(2):22-42.</w:t>
      </w:r>
    </w:p>
    <w:p w14:paraId="0C4B16F2"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Nwaokoro, A.O. (2024) Social vulnerability and flood resilience in Lagos State, Nigeria, A Thesis Submitted to the School of Environment, Geography and Geosciences, Faculty of Science and Health, In Partial Fulfilment of the Requirements for the Award of the Degree of Doctor of Philosophy, University of Portsmouth, United Kingdom</w:t>
      </w:r>
    </w:p>
    <w:p w14:paraId="37BBF457"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Ofido, W.I., Ojiako, J.C. and Eze, C.G. (2024) Mapping flood risk zones in Asaba, Delta State, Nigeria using remote sensing and GIS approach, International Journal of Engineering Research and Development, 20(11):21-33</w:t>
      </w:r>
    </w:p>
    <w:p w14:paraId="409990D0"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Ogah, A.T., Abiola, K.A., Magaji, J.I., Ijeogu, E.O. and Opaluwa, O.D. (2013) Flood risk assessment of river Mada: a case study of Akwanga local government area of Nasarawa State, Nigeria,  </w:t>
      </w:r>
      <w:r w:rsidRPr="00BE4AF3">
        <w:rPr>
          <w:rFonts w:ascii="Times New Roman" w:eastAsia="Times New Roman" w:hAnsi="Times New Roman" w:cs="Times New Roman"/>
          <w:i/>
          <w:sz w:val="24"/>
          <w:szCs w:val="24"/>
        </w:rPr>
        <w:t>Journal of Advances in Applied Science Research</w:t>
      </w:r>
      <w:r w:rsidRPr="00BE4AF3">
        <w:rPr>
          <w:rFonts w:ascii="Times New Roman" w:eastAsia="Times New Roman" w:hAnsi="Times New Roman" w:cs="Times New Roman"/>
          <w:sz w:val="24"/>
          <w:szCs w:val="24"/>
        </w:rPr>
        <w:t xml:space="preserve">, 4 (1): 407-416 </w:t>
      </w:r>
    </w:p>
    <w:p w14:paraId="5E5541EB"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Okonta, S.D. and Odior, A.K. (2024) Statistical study on the impact of flood vulnerability in Niger Delta region, Proceedings </w:t>
      </w:r>
      <w:r w:rsidRPr="00BE4AF3">
        <w:rPr>
          <w:rFonts w:ascii="Times New Roman" w:eastAsia="Times New Roman" w:hAnsi="Times New Roman" w:cs="Times New Roman"/>
          <w:i/>
          <w:sz w:val="24"/>
          <w:szCs w:val="24"/>
        </w:rPr>
        <w:t>of the 14th Nigeria Association of Hydrological Sciences Conference</w:t>
      </w:r>
      <w:r w:rsidRPr="00BE4AF3">
        <w:rPr>
          <w:rFonts w:ascii="Times New Roman" w:eastAsia="Times New Roman" w:hAnsi="Times New Roman" w:cs="Times New Roman"/>
          <w:sz w:val="24"/>
          <w:szCs w:val="24"/>
        </w:rPr>
        <w:t>, 5-8 November, Olusegun Agagu University of Science and Technology, Okitipupa, Ondo State, Nigeria, p. 1-17</w:t>
      </w:r>
    </w:p>
    <w:p w14:paraId="07CEC3B8"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shd w:val="clear" w:color="auto" w:fill="FFFFFF"/>
        </w:rPr>
      </w:pPr>
      <w:r w:rsidRPr="00BE4AF3">
        <w:rPr>
          <w:rFonts w:ascii="Times New Roman" w:eastAsia="Times New Roman" w:hAnsi="Times New Roman" w:cs="Times New Roman"/>
          <w:sz w:val="24"/>
          <w:szCs w:val="24"/>
          <w:shd w:val="clear" w:color="auto" w:fill="FFFFFF"/>
        </w:rPr>
        <w:t xml:space="preserve">Ologunorisa, T. E. (2004). “An Assessment of Flood Vulnerability Zones in the Niger Delta, Nigeria”. </w:t>
      </w:r>
      <w:r w:rsidRPr="00BE4AF3">
        <w:rPr>
          <w:rFonts w:ascii="Times New Roman" w:eastAsia="Times New Roman" w:hAnsi="Times New Roman" w:cs="Times New Roman"/>
          <w:i/>
          <w:sz w:val="24"/>
          <w:szCs w:val="24"/>
          <w:shd w:val="clear" w:color="auto" w:fill="FFFFFF"/>
        </w:rPr>
        <w:t>International Journal of Environmental Studies</w:t>
      </w:r>
      <w:r w:rsidRPr="00BE4AF3">
        <w:rPr>
          <w:rFonts w:ascii="Times New Roman" w:eastAsia="Times New Roman" w:hAnsi="Times New Roman" w:cs="Times New Roman"/>
          <w:sz w:val="24"/>
          <w:szCs w:val="24"/>
          <w:shd w:val="clear" w:color="auto" w:fill="FFFFFF"/>
        </w:rPr>
        <w:t>, 6(1), 56-61.</w:t>
      </w:r>
    </w:p>
    <w:p w14:paraId="22371A2D"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shd w:val="clear" w:color="auto" w:fill="FFFFFF"/>
        </w:rPr>
      </w:pPr>
      <w:r w:rsidRPr="00BE4AF3">
        <w:rPr>
          <w:rFonts w:ascii="Times New Roman" w:eastAsia="Times New Roman" w:hAnsi="Times New Roman" w:cs="Times New Roman"/>
          <w:sz w:val="24"/>
          <w:szCs w:val="24"/>
          <w:shd w:val="clear" w:color="auto" w:fill="FFFFFF"/>
        </w:rPr>
        <w:t xml:space="preserve">Onwuka, S.U., Ikekpeazu, F.O. and Onuoha, D.C. (2015a) Assessment of the causes of 2012 floods in Aguleri and Umuleri, Ananbra East Local Government Areas of Anambra State, Nigeria, </w:t>
      </w:r>
      <w:r w:rsidRPr="00BE4AF3">
        <w:rPr>
          <w:rFonts w:ascii="Times New Roman" w:eastAsia="Times New Roman" w:hAnsi="Times New Roman" w:cs="Times New Roman"/>
          <w:i/>
          <w:sz w:val="24"/>
          <w:szCs w:val="24"/>
          <w:shd w:val="clear" w:color="auto" w:fill="FFFFFF"/>
        </w:rPr>
        <w:t>British Journal of Environmental Sciences</w:t>
      </w:r>
      <w:r w:rsidRPr="00BE4AF3">
        <w:rPr>
          <w:rFonts w:ascii="Times New Roman" w:eastAsia="Times New Roman" w:hAnsi="Times New Roman" w:cs="Times New Roman"/>
          <w:sz w:val="24"/>
          <w:szCs w:val="24"/>
          <w:shd w:val="clear" w:color="auto" w:fill="FFFFFF"/>
        </w:rPr>
        <w:t>, 3 (1): 43-57</w:t>
      </w:r>
    </w:p>
    <w:p w14:paraId="36F3E9E5"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shd w:val="clear" w:color="auto" w:fill="FFFFFF"/>
        </w:rPr>
      </w:pPr>
      <w:r w:rsidRPr="00BE4AF3">
        <w:rPr>
          <w:rFonts w:ascii="Times New Roman" w:eastAsia="Times New Roman" w:hAnsi="Times New Roman" w:cs="Times New Roman"/>
          <w:sz w:val="24"/>
          <w:szCs w:val="24"/>
          <w:shd w:val="clear" w:color="auto" w:fill="FFFFFF"/>
        </w:rPr>
        <w:t xml:space="preserve">Onwuka, S.U., Ikekpeazu, F.O. and Onuoha, D.C. (2015b) Assessment of the environmental effects of 2012 floods in Umuleri, Ananbra East Local Government Areas of Anambra State, Nigeria, </w:t>
      </w:r>
      <w:r w:rsidRPr="00BE4AF3">
        <w:rPr>
          <w:rFonts w:ascii="Times New Roman" w:eastAsia="Times New Roman" w:hAnsi="Times New Roman" w:cs="Times New Roman"/>
          <w:i/>
          <w:sz w:val="24"/>
          <w:szCs w:val="24"/>
          <w:shd w:val="clear" w:color="auto" w:fill="FFFFFF"/>
        </w:rPr>
        <w:t>International Research Journal of Natural Sciences</w:t>
      </w:r>
      <w:r w:rsidRPr="00BE4AF3">
        <w:rPr>
          <w:rFonts w:ascii="Times New Roman" w:eastAsia="Times New Roman" w:hAnsi="Times New Roman" w:cs="Times New Roman"/>
          <w:sz w:val="24"/>
          <w:szCs w:val="24"/>
          <w:shd w:val="clear" w:color="auto" w:fill="FFFFFF"/>
        </w:rPr>
        <w:t>, 3 (1): 1-15</w:t>
      </w:r>
    </w:p>
    <w:p w14:paraId="4660BCD9"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shd w:val="clear" w:color="auto" w:fill="FFFFFF"/>
        </w:rPr>
        <w:t xml:space="preserve">Pearce, L. (2003) Disaster management and community planning, and public participation: how to achieve sustainable hazard mitigation, </w:t>
      </w:r>
      <w:r w:rsidRPr="00BE4AF3">
        <w:rPr>
          <w:rFonts w:ascii="Times New Roman" w:eastAsia="Times New Roman" w:hAnsi="Times New Roman" w:cs="Times New Roman"/>
          <w:i/>
          <w:sz w:val="24"/>
          <w:szCs w:val="24"/>
          <w:shd w:val="clear" w:color="auto" w:fill="FFFFFF"/>
        </w:rPr>
        <w:t>Journal of Natural Hazards</w:t>
      </w:r>
      <w:r w:rsidRPr="00BE4AF3">
        <w:rPr>
          <w:rFonts w:ascii="Times New Roman" w:eastAsia="Times New Roman" w:hAnsi="Times New Roman" w:cs="Times New Roman"/>
          <w:sz w:val="24"/>
          <w:szCs w:val="24"/>
          <w:shd w:val="clear" w:color="auto" w:fill="FFFFFF"/>
        </w:rPr>
        <w:t>, 28 (1): 211-228</w:t>
      </w:r>
    </w:p>
    <w:p w14:paraId="0839B5B0" w14:textId="77777777" w:rsidR="004371E3" w:rsidRPr="00BE4AF3" w:rsidRDefault="004371E3" w:rsidP="004371E3">
      <w:pPr>
        <w:spacing w:after="0" w:line="240" w:lineRule="auto"/>
        <w:ind w:left="540" w:hanging="540"/>
        <w:jc w:val="both"/>
        <w:rPr>
          <w:rFonts w:ascii="Times New Roman" w:eastAsia="Times New Roman" w:hAnsi="Times New Roman" w:cs="Times New Roman"/>
          <w:spacing w:val="1"/>
          <w:sz w:val="24"/>
          <w:szCs w:val="24"/>
          <w:shd w:val="clear" w:color="auto" w:fill="FFFFFF"/>
        </w:rPr>
      </w:pPr>
      <w:r w:rsidRPr="00BE4AF3">
        <w:rPr>
          <w:rFonts w:ascii="Times New Roman" w:eastAsia="Times New Roman" w:hAnsi="Times New Roman" w:cs="Times New Roman"/>
          <w:sz w:val="24"/>
          <w:szCs w:val="24"/>
        </w:rPr>
        <w:t>Parker, D.J. (2000)</w:t>
      </w:r>
      <w:r w:rsidRPr="00BE4AF3">
        <w:rPr>
          <w:rFonts w:ascii="Times New Roman" w:eastAsia="Times New Roman" w:hAnsi="Times New Roman" w:cs="Times New Roman"/>
          <w:i/>
          <w:sz w:val="24"/>
          <w:szCs w:val="24"/>
        </w:rPr>
        <w:t xml:space="preserve"> Floods</w:t>
      </w:r>
      <w:r w:rsidRPr="00BE4AF3">
        <w:rPr>
          <w:rFonts w:ascii="Times New Roman" w:eastAsia="Times New Roman" w:hAnsi="Times New Roman" w:cs="Times New Roman"/>
          <w:sz w:val="24"/>
          <w:szCs w:val="24"/>
        </w:rPr>
        <w:t>, 1, Routledge, United Kingdom</w:t>
      </w:r>
    </w:p>
    <w:p w14:paraId="28FBE726"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Sachs, W. (2008) Climate change and human rights, </w:t>
      </w:r>
      <w:r w:rsidRPr="00BE4AF3">
        <w:rPr>
          <w:rFonts w:ascii="Times New Roman" w:eastAsia="Times New Roman" w:hAnsi="Times New Roman" w:cs="Times New Roman"/>
          <w:i/>
          <w:sz w:val="24"/>
          <w:szCs w:val="24"/>
        </w:rPr>
        <w:t>Jornal of Development</w:t>
      </w:r>
      <w:r w:rsidRPr="00BE4AF3">
        <w:rPr>
          <w:rFonts w:ascii="Times New Roman" w:eastAsia="Times New Roman" w:hAnsi="Times New Roman" w:cs="Times New Roman"/>
          <w:sz w:val="24"/>
          <w:szCs w:val="24"/>
        </w:rPr>
        <w:t>, 51 (3): 332-337</w:t>
      </w:r>
    </w:p>
    <w:p w14:paraId="62DF57D9"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Sola Farre, R., Martinez-Arias, R. and Prades Lopez, A. (2002) Public risk perception- a variable to be considered in the risk evaluation process, In: E.J. Bonano, A.L. Camp, M.J. Majors and R.A. Thompson (Eds), </w:t>
      </w:r>
      <w:r w:rsidRPr="00BE4AF3">
        <w:rPr>
          <w:rFonts w:ascii="Times New Roman" w:eastAsia="Times New Roman" w:hAnsi="Times New Roman" w:cs="Times New Roman"/>
          <w:i/>
          <w:sz w:val="24"/>
          <w:szCs w:val="24"/>
        </w:rPr>
        <w:t>Probabilistic Safety Assessment and Management Proceedings</w:t>
      </w:r>
      <w:r w:rsidRPr="00BE4AF3">
        <w:rPr>
          <w:rFonts w:ascii="Times New Roman" w:eastAsia="Times New Roman" w:hAnsi="Times New Roman" w:cs="Times New Roman"/>
          <w:sz w:val="24"/>
          <w:szCs w:val="24"/>
        </w:rPr>
        <w:t>, pp 133-138, Elsevier Science, Oxford</w:t>
      </w:r>
    </w:p>
    <w:p w14:paraId="2D39FEC5"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United Nations International Strategy for Disaster Reduction (UNISDR), (2009) Indigenous knowledge for disaster risk reduction: good practices abd lessons learned from experiences in the Asia-Pacific region, Bangkok, UNISDR Asia and Pacific</w:t>
      </w:r>
    </w:p>
    <w:p w14:paraId="24EF845D"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lastRenderedPageBreak/>
        <w:t xml:space="preserve">Vis, M., Klijn, F., de Bruijn, K.M. and van Buuren, M. (2003) Resilience strategies for flood risk management in thr Netherlands, </w:t>
      </w:r>
      <w:r w:rsidRPr="00BE4AF3">
        <w:rPr>
          <w:rFonts w:ascii="Times New Roman" w:eastAsia="Times New Roman" w:hAnsi="Times New Roman" w:cs="Times New Roman"/>
          <w:i/>
          <w:sz w:val="24"/>
          <w:szCs w:val="24"/>
        </w:rPr>
        <w:t>International Journal of River Basin Management</w:t>
      </w:r>
      <w:r w:rsidRPr="00BE4AF3">
        <w:rPr>
          <w:rFonts w:ascii="Times New Roman" w:eastAsia="Times New Roman" w:hAnsi="Times New Roman" w:cs="Times New Roman"/>
          <w:sz w:val="24"/>
          <w:szCs w:val="24"/>
        </w:rPr>
        <w:t>, 1 (1): 33-40</w:t>
      </w:r>
    </w:p>
    <w:p w14:paraId="13B5B17D" w14:textId="77777777" w:rsidR="004371E3" w:rsidRPr="00BE4AF3" w:rsidRDefault="004371E3" w:rsidP="004371E3">
      <w:pPr>
        <w:spacing w:after="0" w:line="240" w:lineRule="auto"/>
        <w:ind w:left="540" w:hanging="54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Weichselgartner, J. and Obersteiner, M. (2002) Knowing sufficient and applying more: challenges in hazard management, </w:t>
      </w:r>
      <w:r w:rsidRPr="00BE4AF3">
        <w:rPr>
          <w:rFonts w:ascii="Times New Roman" w:eastAsia="Times New Roman" w:hAnsi="Times New Roman" w:cs="Times New Roman"/>
          <w:i/>
          <w:sz w:val="24"/>
          <w:szCs w:val="24"/>
        </w:rPr>
        <w:t>Journal of Environmental Hazards</w:t>
      </w:r>
      <w:r w:rsidRPr="00BE4AF3">
        <w:rPr>
          <w:rFonts w:ascii="Times New Roman" w:eastAsia="Times New Roman" w:hAnsi="Times New Roman" w:cs="Times New Roman"/>
          <w:sz w:val="24"/>
          <w:szCs w:val="24"/>
        </w:rPr>
        <w:t>, 4 (1): 73-77</w:t>
      </w:r>
    </w:p>
    <w:p w14:paraId="3C66C9C0" w14:textId="77777777" w:rsidR="00851684" w:rsidRPr="00BE4AF3" w:rsidRDefault="00851684" w:rsidP="00E90BB6">
      <w:pPr>
        <w:spacing w:after="0" w:line="240" w:lineRule="auto"/>
        <w:rPr>
          <w:rFonts w:ascii="Times New Roman" w:eastAsia="Times New Roman" w:hAnsi="Times New Roman" w:cs="Times New Roman"/>
          <w:sz w:val="24"/>
          <w:szCs w:val="24"/>
        </w:rPr>
      </w:pPr>
    </w:p>
    <w:p w14:paraId="4E568D36" w14:textId="77777777" w:rsidR="004371E3" w:rsidRDefault="004371E3" w:rsidP="00E90BB6">
      <w:pPr>
        <w:spacing w:after="0" w:line="240" w:lineRule="auto"/>
        <w:rPr>
          <w:rFonts w:ascii="Times New Roman" w:eastAsia="Times New Roman" w:hAnsi="Times New Roman" w:cs="Times New Roman"/>
          <w:sz w:val="24"/>
          <w:szCs w:val="24"/>
        </w:rPr>
      </w:pPr>
    </w:p>
    <w:p w14:paraId="29CCDD39" w14:textId="77777777" w:rsidR="00E67C2D" w:rsidRDefault="00E67C2D" w:rsidP="00E90BB6">
      <w:pPr>
        <w:spacing w:after="0" w:line="240" w:lineRule="auto"/>
        <w:rPr>
          <w:rFonts w:ascii="Times New Roman" w:eastAsia="Times New Roman" w:hAnsi="Times New Roman" w:cs="Times New Roman"/>
          <w:sz w:val="24"/>
          <w:szCs w:val="24"/>
        </w:rPr>
      </w:pPr>
    </w:p>
    <w:p w14:paraId="0F634C55" w14:textId="77777777" w:rsidR="00E67C2D" w:rsidRDefault="00E67C2D" w:rsidP="00E90BB6">
      <w:pPr>
        <w:spacing w:after="0" w:line="240" w:lineRule="auto"/>
        <w:rPr>
          <w:rFonts w:ascii="Times New Roman" w:eastAsia="Times New Roman" w:hAnsi="Times New Roman" w:cs="Times New Roman"/>
          <w:sz w:val="24"/>
          <w:szCs w:val="24"/>
        </w:rPr>
      </w:pPr>
    </w:p>
    <w:p w14:paraId="53470281" w14:textId="77777777" w:rsidR="00E67C2D" w:rsidRDefault="00E67C2D" w:rsidP="00E90BB6">
      <w:pPr>
        <w:spacing w:after="0" w:line="240" w:lineRule="auto"/>
        <w:rPr>
          <w:rFonts w:ascii="Times New Roman" w:eastAsia="Times New Roman" w:hAnsi="Times New Roman" w:cs="Times New Roman"/>
          <w:sz w:val="24"/>
          <w:szCs w:val="24"/>
        </w:rPr>
      </w:pPr>
    </w:p>
    <w:p w14:paraId="0AE407AF" w14:textId="77777777" w:rsidR="00E67C2D" w:rsidRDefault="00E67C2D" w:rsidP="00E90BB6">
      <w:pPr>
        <w:spacing w:after="0" w:line="240" w:lineRule="auto"/>
        <w:rPr>
          <w:rFonts w:ascii="Times New Roman" w:eastAsia="Times New Roman" w:hAnsi="Times New Roman" w:cs="Times New Roman"/>
          <w:sz w:val="24"/>
          <w:szCs w:val="24"/>
        </w:rPr>
      </w:pPr>
    </w:p>
    <w:p w14:paraId="61A8F8F5" w14:textId="77777777" w:rsidR="00E67C2D" w:rsidRDefault="00E67C2D" w:rsidP="00E90BB6">
      <w:pPr>
        <w:spacing w:after="0" w:line="240" w:lineRule="auto"/>
        <w:rPr>
          <w:rFonts w:ascii="Times New Roman" w:eastAsia="Times New Roman" w:hAnsi="Times New Roman" w:cs="Times New Roman"/>
          <w:sz w:val="24"/>
          <w:szCs w:val="24"/>
        </w:rPr>
      </w:pPr>
    </w:p>
    <w:p w14:paraId="4F819369" w14:textId="77777777" w:rsidR="00E67C2D" w:rsidRDefault="00E67C2D" w:rsidP="00E90BB6">
      <w:pPr>
        <w:spacing w:after="0" w:line="240" w:lineRule="auto"/>
        <w:rPr>
          <w:rFonts w:ascii="Times New Roman" w:eastAsia="Times New Roman" w:hAnsi="Times New Roman" w:cs="Times New Roman"/>
          <w:sz w:val="24"/>
          <w:szCs w:val="24"/>
        </w:rPr>
      </w:pPr>
    </w:p>
    <w:p w14:paraId="78B94167" w14:textId="77777777" w:rsidR="00E67C2D" w:rsidRDefault="00E67C2D" w:rsidP="00E90BB6">
      <w:pPr>
        <w:spacing w:after="0" w:line="240" w:lineRule="auto"/>
        <w:rPr>
          <w:rFonts w:ascii="Times New Roman" w:eastAsia="Times New Roman" w:hAnsi="Times New Roman" w:cs="Times New Roman"/>
          <w:sz w:val="24"/>
          <w:szCs w:val="24"/>
        </w:rPr>
      </w:pPr>
    </w:p>
    <w:p w14:paraId="37E01E7A" w14:textId="77777777" w:rsidR="00E67C2D" w:rsidRDefault="00E67C2D" w:rsidP="00E90BB6">
      <w:pPr>
        <w:spacing w:after="0" w:line="240" w:lineRule="auto"/>
        <w:rPr>
          <w:rFonts w:ascii="Times New Roman" w:eastAsia="Times New Roman" w:hAnsi="Times New Roman" w:cs="Times New Roman"/>
          <w:sz w:val="24"/>
          <w:szCs w:val="24"/>
        </w:rPr>
      </w:pPr>
    </w:p>
    <w:p w14:paraId="4CE4CF0C" w14:textId="77777777" w:rsidR="00E67C2D" w:rsidRDefault="00E67C2D" w:rsidP="00E90BB6">
      <w:pPr>
        <w:spacing w:after="0" w:line="240" w:lineRule="auto"/>
        <w:rPr>
          <w:rFonts w:ascii="Times New Roman" w:eastAsia="Times New Roman" w:hAnsi="Times New Roman" w:cs="Times New Roman"/>
          <w:sz w:val="24"/>
          <w:szCs w:val="24"/>
        </w:rPr>
      </w:pPr>
    </w:p>
    <w:p w14:paraId="5A1404BB" w14:textId="77777777" w:rsidR="00E67C2D" w:rsidRDefault="00E67C2D" w:rsidP="00E90BB6">
      <w:pPr>
        <w:spacing w:after="0" w:line="240" w:lineRule="auto"/>
        <w:rPr>
          <w:rFonts w:ascii="Times New Roman" w:eastAsia="Times New Roman" w:hAnsi="Times New Roman" w:cs="Times New Roman"/>
          <w:sz w:val="24"/>
          <w:szCs w:val="24"/>
        </w:rPr>
      </w:pPr>
    </w:p>
    <w:p w14:paraId="0A550734" w14:textId="77777777" w:rsidR="00E67C2D" w:rsidRDefault="00E67C2D" w:rsidP="00E90BB6">
      <w:pPr>
        <w:spacing w:after="0" w:line="240" w:lineRule="auto"/>
        <w:rPr>
          <w:rFonts w:ascii="Times New Roman" w:eastAsia="Times New Roman" w:hAnsi="Times New Roman" w:cs="Times New Roman"/>
          <w:sz w:val="24"/>
          <w:szCs w:val="24"/>
        </w:rPr>
      </w:pPr>
    </w:p>
    <w:p w14:paraId="1739D7D1" w14:textId="77777777" w:rsidR="00E67C2D" w:rsidRDefault="00E67C2D" w:rsidP="00E90BB6">
      <w:pPr>
        <w:spacing w:after="0" w:line="240" w:lineRule="auto"/>
        <w:rPr>
          <w:rFonts w:ascii="Times New Roman" w:eastAsia="Times New Roman" w:hAnsi="Times New Roman" w:cs="Times New Roman"/>
          <w:sz w:val="24"/>
          <w:szCs w:val="24"/>
        </w:rPr>
      </w:pPr>
    </w:p>
    <w:p w14:paraId="5CAF1912" w14:textId="77777777" w:rsidR="00E67C2D" w:rsidRDefault="00E67C2D" w:rsidP="00E90BB6">
      <w:pPr>
        <w:spacing w:after="0" w:line="240" w:lineRule="auto"/>
        <w:rPr>
          <w:rFonts w:ascii="Times New Roman" w:eastAsia="Times New Roman" w:hAnsi="Times New Roman" w:cs="Times New Roman"/>
          <w:sz w:val="24"/>
          <w:szCs w:val="24"/>
        </w:rPr>
      </w:pPr>
    </w:p>
    <w:p w14:paraId="725BC22E" w14:textId="77777777" w:rsidR="00E67C2D" w:rsidRDefault="00E67C2D" w:rsidP="00E90BB6">
      <w:pPr>
        <w:spacing w:after="0" w:line="240" w:lineRule="auto"/>
        <w:rPr>
          <w:rFonts w:ascii="Times New Roman" w:eastAsia="Times New Roman" w:hAnsi="Times New Roman" w:cs="Times New Roman"/>
          <w:sz w:val="24"/>
          <w:szCs w:val="24"/>
        </w:rPr>
      </w:pPr>
    </w:p>
    <w:p w14:paraId="2B30CCA3" w14:textId="77777777" w:rsidR="00E67C2D" w:rsidRDefault="00E67C2D" w:rsidP="00E90BB6">
      <w:pPr>
        <w:spacing w:after="0" w:line="240" w:lineRule="auto"/>
        <w:rPr>
          <w:rFonts w:ascii="Times New Roman" w:eastAsia="Times New Roman" w:hAnsi="Times New Roman" w:cs="Times New Roman"/>
          <w:sz w:val="24"/>
          <w:szCs w:val="24"/>
        </w:rPr>
      </w:pPr>
    </w:p>
    <w:p w14:paraId="2091E9FB" w14:textId="77777777" w:rsidR="00E67C2D" w:rsidRDefault="00E67C2D" w:rsidP="00E90BB6">
      <w:pPr>
        <w:spacing w:after="0" w:line="240" w:lineRule="auto"/>
        <w:rPr>
          <w:rFonts w:ascii="Times New Roman" w:eastAsia="Times New Roman" w:hAnsi="Times New Roman" w:cs="Times New Roman"/>
          <w:sz w:val="24"/>
          <w:szCs w:val="24"/>
        </w:rPr>
      </w:pPr>
    </w:p>
    <w:p w14:paraId="1929ABD1" w14:textId="77777777" w:rsidR="00E67C2D" w:rsidRDefault="00E67C2D" w:rsidP="00E90BB6">
      <w:pPr>
        <w:spacing w:after="0" w:line="240" w:lineRule="auto"/>
        <w:rPr>
          <w:rFonts w:ascii="Times New Roman" w:eastAsia="Times New Roman" w:hAnsi="Times New Roman" w:cs="Times New Roman"/>
          <w:sz w:val="24"/>
          <w:szCs w:val="24"/>
        </w:rPr>
      </w:pPr>
    </w:p>
    <w:p w14:paraId="1DD9A911" w14:textId="77777777" w:rsidR="00E67C2D" w:rsidRDefault="00E67C2D" w:rsidP="00E90BB6">
      <w:pPr>
        <w:spacing w:after="0" w:line="240" w:lineRule="auto"/>
        <w:rPr>
          <w:rFonts w:ascii="Times New Roman" w:eastAsia="Times New Roman" w:hAnsi="Times New Roman" w:cs="Times New Roman"/>
          <w:sz w:val="24"/>
          <w:szCs w:val="24"/>
        </w:rPr>
      </w:pPr>
    </w:p>
    <w:p w14:paraId="6BB46C56" w14:textId="77777777" w:rsidR="00E67C2D" w:rsidRDefault="00E67C2D" w:rsidP="00E90BB6">
      <w:pPr>
        <w:spacing w:after="0" w:line="240" w:lineRule="auto"/>
        <w:rPr>
          <w:rFonts w:ascii="Times New Roman" w:eastAsia="Times New Roman" w:hAnsi="Times New Roman" w:cs="Times New Roman"/>
          <w:sz w:val="24"/>
          <w:szCs w:val="24"/>
        </w:rPr>
      </w:pPr>
    </w:p>
    <w:p w14:paraId="238AEAF0" w14:textId="77777777" w:rsidR="00E67C2D" w:rsidRDefault="00E67C2D" w:rsidP="00E90BB6">
      <w:pPr>
        <w:spacing w:after="0" w:line="240" w:lineRule="auto"/>
        <w:rPr>
          <w:rFonts w:ascii="Times New Roman" w:eastAsia="Times New Roman" w:hAnsi="Times New Roman" w:cs="Times New Roman"/>
          <w:sz w:val="24"/>
          <w:szCs w:val="24"/>
        </w:rPr>
      </w:pPr>
    </w:p>
    <w:p w14:paraId="46927180" w14:textId="77777777" w:rsidR="00E67C2D" w:rsidRDefault="00E67C2D" w:rsidP="00E90BB6">
      <w:pPr>
        <w:spacing w:after="0" w:line="240" w:lineRule="auto"/>
        <w:rPr>
          <w:rFonts w:ascii="Times New Roman" w:eastAsia="Times New Roman" w:hAnsi="Times New Roman" w:cs="Times New Roman"/>
          <w:sz w:val="24"/>
          <w:szCs w:val="24"/>
        </w:rPr>
      </w:pPr>
    </w:p>
    <w:p w14:paraId="0D710F7A" w14:textId="77777777" w:rsidR="00E67C2D" w:rsidRDefault="00E67C2D" w:rsidP="00E90BB6">
      <w:pPr>
        <w:spacing w:after="0" w:line="240" w:lineRule="auto"/>
        <w:rPr>
          <w:rFonts w:ascii="Times New Roman" w:eastAsia="Times New Roman" w:hAnsi="Times New Roman" w:cs="Times New Roman"/>
          <w:sz w:val="24"/>
          <w:szCs w:val="24"/>
        </w:rPr>
      </w:pPr>
    </w:p>
    <w:p w14:paraId="4791823E" w14:textId="77777777" w:rsidR="00E67C2D" w:rsidRDefault="00E67C2D" w:rsidP="00E90BB6">
      <w:pPr>
        <w:spacing w:after="0" w:line="240" w:lineRule="auto"/>
        <w:rPr>
          <w:rFonts w:ascii="Times New Roman" w:eastAsia="Times New Roman" w:hAnsi="Times New Roman" w:cs="Times New Roman"/>
          <w:sz w:val="24"/>
          <w:szCs w:val="24"/>
        </w:rPr>
      </w:pPr>
    </w:p>
    <w:p w14:paraId="5A3ACA7D" w14:textId="77777777" w:rsidR="00E67C2D" w:rsidRDefault="00E67C2D" w:rsidP="00E90BB6">
      <w:pPr>
        <w:spacing w:after="0" w:line="240" w:lineRule="auto"/>
        <w:rPr>
          <w:rFonts w:ascii="Times New Roman" w:eastAsia="Times New Roman" w:hAnsi="Times New Roman" w:cs="Times New Roman"/>
          <w:sz w:val="24"/>
          <w:szCs w:val="24"/>
        </w:rPr>
      </w:pPr>
    </w:p>
    <w:p w14:paraId="1A8AE8D7" w14:textId="77777777" w:rsidR="00E67C2D" w:rsidRDefault="00E67C2D" w:rsidP="00E90BB6">
      <w:pPr>
        <w:spacing w:after="0" w:line="240" w:lineRule="auto"/>
        <w:rPr>
          <w:rFonts w:ascii="Times New Roman" w:eastAsia="Times New Roman" w:hAnsi="Times New Roman" w:cs="Times New Roman"/>
          <w:sz w:val="24"/>
          <w:szCs w:val="24"/>
        </w:rPr>
      </w:pPr>
    </w:p>
    <w:p w14:paraId="22162826" w14:textId="77777777" w:rsidR="00E67C2D" w:rsidRDefault="00E67C2D" w:rsidP="00E90BB6">
      <w:pPr>
        <w:spacing w:after="0" w:line="240" w:lineRule="auto"/>
        <w:rPr>
          <w:rFonts w:ascii="Times New Roman" w:eastAsia="Times New Roman" w:hAnsi="Times New Roman" w:cs="Times New Roman"/>
          <w:sz w:val="24"/>
          <w:szCs w:val="24"/>
        </w:rPr>
      </w:pPr>
    </w:p>
    <w:p w14:paraId="2363ECD0" w14:textId="77777777" w:rsidR="00E67C2D" w:rsidRDefault="00E67C2D" w:rsidP="00E90BB6">
      <w:pPr>
        <w:spacing w:after="0" w:line="240" w:lineRule="auto"/>
        <w:rPr>
          <w:rFonts w:ascii="Times New Roman" w:eastAsia="Times New Roman" w:hAnsi="Times New Roman" w:cs="Times New Roman"/>
          <w:sz w:val="24"/>
          <w:szCs w:val="24"/>
        </w:rPr>
      </w:pPr>
    </w:p>
    <w:p w14:paraId="21AB8A95" w14:textId="77777777" w:rsidR="00E67C2D" w:rsidRDefault="00E67C2D" w:rsidP="00E90BB6">
      <w:pPr>
        <w:spacing w:after="0" w:line="240" w:lineRule="auto"/>
        <w:rPr>
          <w:rFonts w:ascii="Times New Roman" w:eastAsia="Times New Roman" w:hAnsi="Times New Roman" w:cs="Times New Roman"/>
          <w:sz w:val="24"/>
          <w:szCs w:val="24"/>
        </w:rPr>
      </w:pPr>
    </w:p>
    <w:p w14:paraId="3422B4DC" w14:textId="77777777" w:rsidR="00E67C2D" w:rsidRDefault="00E67C2D" w:rsidP="00E90BB6">
      <w:pPr>
        <w:spacing w:after="0" w:line="240" w:lineRule="auto"/>
        <w:rPr>
          <w:rFonts w:ascii="Times New Roman" w:eastAsia="Times New Roman" w:hAnsi="Times New Roman" w:cs="Times New Roman"/>
          <w:sz w:val="24"/>
          <w:szCs w:val="24"/>
        </w:rPr>
      </w:pPr>
    </w:p>
    <w:p w14:paraId="232EBD8C" w14:textId="77777777" w:rsidR="00E67C2D" w:rsidRDefault="00E67C2D" w:rsidP="00E90BB6">
      <w:pPr>
        <w:spacing w:after="0" w:line="240" w:lineRule="auto"/>
        <w:rPr>
          <w:rFonts w:ascii="Times New Roman" w:eastAsia="Times New Roman" w:hAnsi="Times New Roman" w:cs="Times New Roman"/>
          <w:sz w:val="24"/>
          <w:szCs w:val="24"/>
        </w:rPr>
      </w:pPr>
    </w:p>
    <w:p w14:paraId="1C9E764F" w14:textId="77777777" w:rsidR="00E67C2D" w:rsidRDefault="00E67C2D" w:rsidP="00E90BB6">
      <w:pPr>
        <w:spacing w:after="0" w:line="240" w:lineRule="auto"/>
        <w:rPr>
          <w:rFonts w:ascii="Times New Roman" w:eastAsia="Times New Roman" w:hAnsi="Times New Roman" w:cs="Times New Roman"/>
          <w:sz w:val="24"/>
          <w:szCs w:val="24"/>
        </w:rPr>
      </w:pPr>
    </w:p>
    <w:p w14:paraId="1B24286E" w14:textId="77777777" w:rsidR="00E67C2D" w:rsidRDefault="00E67C2D" w:rsidP="00E90BB6">
      <w:pPr>
        <w:spacing w:after="0" w:line="240" w:lineRule="auto"/>
        <w:rPr>
          <w:rFonts w:ascii="Times New Roman" w:eastAsia="Times New Roman" w:hAnsi="Times New Roman" w:cs="Times New Roman"/>
          <w:sz w:val="24"/>
          <w:szCs w:val="24"/>
        </w:rPr>
      </w:pPr>
    </w:p>
    <w:p w14:paraId="253DB719" w14:textId="77777777" w:rsidR="00E67C2D" w:rsidRDefault="00E67C2D" w:rsidP="00E90BB6">
      <w:pPr>
        <w:spacing w:after="0" w:line="240" w:lineRule="auto"/>
        <w:rPr>
          <w:rFonts w:ascii="Times New Roman" w:eastAsia="Times New Roman" w:hAnsi="Times New Roman" w:cs="Times New Roman"/>
          <w:sz w:val="24"/>
          <w:szCs w:val="24"/>
        </w:rPr>
      </w:pPr>
    </w:p>
    <w:p w14:paraId="3C7CA03C" w14:textId="77777777" w:rsidR="00E67C2D" w:rsidRDefault="00E67C2D" w:rsidP="00E90BB6">
      <w:pPr>
        <w:spacing w:after="0" w:line="240" w:lineRule="auto"/>
        <w:rPr>
          <w:rFonts w:ascii="Times New Roman" w:eastAsia="Times New Roman" w:hAnsi="Times New Roman" w:cs="Times New Roman"/>
          <w:sz w:val="24"/>
          <w:szCs w:val="24"/>
        </w:rPr>
      </w:pPr>
    </w:p>
    <w:p w14:paraId="10D82FCD" w14:textId="77777777" w:rsidR="00E67C2D" w:rsidRDefault="00E67C2D" w:rsidP="00E90BB6">
      <w:pPr>
        <w:spacing w:after="0" w:line="240" w:lineRule="auto"/>
        <w:rPr>
          <w:rFonts w:ascii="Times New Roman" w:eastAsia="Times New Roman" w:hAnsi="Times New Roman" w:cs="Times New Roman"/>
          <w:sz w:val="24"/>
          <w:szCs w:val="24"/>
        </w:rPr>
      </w:pPr>
    </w:p>
    <w:p w14:paraId="54C9D999" w14:textId="77777777" w:rsidR="00E67C2D" w:rsidRDefault="00E67C2D" w:rsidP="00E90BB6">
      <w:pPr>
        <w:spacing w:after="0" w:line="240" w:lineRule="auto"/>
        <w:rPr>
          <w:rFonts w:ascii="Times New Roman" w:eastAsia="Times New Roman" w:hAnsi="Times New Roman" w:cs="Times New Roman"/>
          <w:sz w:val="24"/>
          <w:szCs w:val="24"/>
        </w:rPr>
      </w:pPr>
    </w:p>
    <w:p w14:paraId="480E4D9C" w14:textId="77777777" w:rsidR="00E67C2D" w:rsidRDefault="00E67C2D" w:rsidP="00E90BB6">
      <w:pPr>
        <w:spacing w:after="0" w:line="240" w:lineRule="auto"/>
        <w:rPr>
          <w:rFonts w:ascii="Times New Roman" w:eastAsia="Times New Roman" w:hAnsi="Times New Roman" w:cs="Times New Roman"/>
          <w:sz w:val="24"/>
          <w:szCs w:val="24"/>
        </w:rPr>
      </w:pPr>
    </w:p>
    <w:p w14:paraId="6CED7AC7" w14:textId="77777777" w:rsidR="00E67C2D" w:rsidRDefault="00E67C2D" w:rsidP="00E90BB6">
      <w:pPr>
        <w:spacing w:after="0" w:line="240" w:lineRule="auto"/>
        <w:rPr>
          <w:rFonts w:ascii="Times New Roman" w:eastAsia="Times New Roman" w:hAnsi="Times New Roman" w:cs="Times New Roman"/>
          <w:sz w:val="24"/>
          <w:szCs w:val="24"/>
        </w:rPr>
      </w:pPr>
    </w:p>
    <w:p w14:paraId="3108546D" w14:textId="77777777" w:rsidR="00E67C2D" w:rsidRPr="00BE4AF3" w:rsidRDefault="00E67C2D" w:rsidP="00E90BB6">
      <w:pPr>
        <w:spacing w:after="0" w:line="240" w:lineRule="auto"/>
        <w:rPr>
          <w:rFonts w:ascii="Times New Roman" w:eastAsia="Times New Roman" w:hAnsi="Times New Roman" w:cs="Times New Roman"/>
          <w:sz w:val="24"/>
          <w:szCs w:val="24"/>
        </w:rPr>
      </w:pPr>
    </w:p>
    <w:p w14:paraId="69742EE0" w14:textId="77777777" w:rsidR="006C32B2" w:rsidRPr="00E67C2D" w:rsidRDefault="006C32B2" w:rsidP="00E90BB6">
      <w:pPr>
        <w:spacing w:after="0" w:line="240" w:lineRule="auto"/>
        <w:ind w:left="187"/>
        <w:jc w:val="center"/>
        <w:rPr>
          <w:rFonts w:ascii="Times New Roman" w:hAnsi="Times New Roman" w:cs="Times New Roman"/>
          <w:b/>
          <w:bCs/>
          <w:sz w:val="28"/>
          <w:szCs w:val="28"/>
          <w:shd w:val="clear" w:color="auto" w:fill="FFFFFF"/>
        </w:rPr>
      </w:pPr>
      <w:r w:rsidRPr="00E67C2D">
        <w:rPr>
          <w:rFonts w:ascii="Times New Roman" w:hAnsi="Times New Roman" w:cs="Times New Roman"/>
          <w:b/>
          <w:bCs/>
          <w:sz w:val="28"/>
          <w:szCs w:val="28"/>
          <w:shd w:val="clear" w:color="auto" w:fill="FFFFFF"/>
        </w:rPr>
        <w:lastRenderedPageBreak/>
        <w:t>A Review of UAV-based Informal Settlement Mapping using Deep Learning: Methods, Applications and Research Directions</w:t>
      </w:r>
    </w:p>
    <w:p w14:paraId="2937348C" w14:textId="77777777" w:rsidR="006C32B2" w:rsidRPr="00BE4AF3" w:rsidRDefault="006C32B2" w:rsidP="00E90BB6">
      <w:pPr>
        <w:spacing w:after="0" w:line="240" w:lineRule="auto"/>
        <w:ind w:left="187"/>
        <w:jc w:val="center"/>
        <w:rPr>
          <w:rFonts w:ascii="Times New Roman" w:eastAsia="Times New Roman" w:hAnsi="Times New Roman" w:cs="Times New Roman"/>
          <w:b/>
          <w:sz w:val="24"/>
          <w:szCs w:val="24"/>
        </w:rPr>
      </w:pPr>
    </w:p>
    <w:p w14:paraId="45E7AB49" w14:textId="77777777" w:rsidR="006C32B2" w:rsidRPr="00E67C2D" w:rsidRDefault="006C32B2" w:rsidP="00E90BB6">
      <w:pPr>
        <w:spacing w:after="0" w:line="240" w:lineRule="auto"/>
        <w:jc w:val="center"/>
        <w:rPr>
          <w:rFonts w:ascii="Times New Roman" w:eastAsia="Calibri" w:hAnsi="Times New Roman" w:cs="Times New Roman"/>
          <w:sz w:val="20"/>
          <w:szCs w:val="20"/>
        </w:rPr>
      </w:pPr>
      <w:r w:rsidRPr="00E67C2D">
        <w:rPr>
          <w:rFonts w:ascii="Times New Roman" w:eastAsia="Calibri" w:hAnsi="Times New Roman" w:cs="Times New Roman"/>
          <w:sz w:val="20"/>
          <w:szCs w:val="20"/>
          <w:vertAlign w:val="superscript"/>
        </w:rPr>
        <w:t>*</w:t>
      </w:r>
      <w:r w:rsidRPr="00E67C2D">
        <w:rPr>
          <w:rFonts w:ascii="Times New Roman" w:eastAsia="Calibri" w:hAnsi="Times New Roman" w:cs="Times New Roman"/>
          <w:sz w:val="20"/>
          <w:szCs w:val="20"/>
        </w:rPr>
        <w:t>Olawale, O. D.</w:t>
      </w:r>
      <w:r w:rsidRPr="00E67C2D">
        <w:rPr>
          <w:rFonts w:ascii="Times New Roman" w:eastAsia="Calibri" w:hAnsi="Times New Roman" w:cs="Times New Roman"/>
          <w:sz w:val="20"/>
          <w:szCs w:val="20"/>
          <w:vertAlign w:val="superscript"/>
        </w:rPr>
        <w:t>1</w:t>
      </w:r>
      <w:r w:rsidRPr="00E67C2D">
        <w:rPr>
          <w:rFonts w:ascii="Times New Roman" w:eastAsia="Calibri" w:hAnsi="Times New Roman" w:cs="Times New Roman"/>
          <w:sz w:val="20"/>
          <w:szCs w:val="20"/>
        </w:rPr>
        <w:t>, Onuigbo, I. C.</w:t>
      </w:r>
      <w:r w:rsidRPr="00E67C2D">
        <w:rPr>
          <w:rFonts w:ascii="Times New Roman" w:eastAsia="Calibri" w:hAnsi="Times New Roman" w:cs="Times New Roman"/>
          <w:sz w:val="20"/>
          <w:szCs w:val="20"/>
          <w:vertAlign w:val="superscript"/>
        </w:rPr>
        <w:t>1</w:t>
      </w:r>
      <w:r w:rsidRPr="00E67C2D">
        <w:rPr>
          <w:rFonts w:ascii="Times New Roman" w:eastAsia="Calibri" w:hAnsi="Times New Roman" w:cs="Times New Roman"/>
          <w:sz w:val="20"/>
          <w:szCs w:val="20"/>
        </w:rPr>
        <w:t>, Ajayi, O. G.</w:t>
      </w:r>
      <w:r w:rsidRPr="00E67C2D">
        <w:rPr>
          <w:rFonts w:ascii="Times New Roman" w:eastAsia="Calibri" w:hAnsi="Times New Roman" w:cs="Times New Roman"/>
          <w:sz w:val="20"/>
          <w:szCs w:val="20"/>
          <w:vertAlign w:val="superscript"/>
        </w:rPr>
        <w:t>1,2</w:t>
      </w:r>
      <w:r w:rsidRPr="00E67C2D">
        <w:rPr>
          <w:rFonts w:ascii="Times New Roman" w:eastAsia="Calibri" w:hAnsi="Times New Roman" w:cs="Times New Roman"/>
          <w:sz w:val="20"/>
          <w:szCs w:val="20"/>
        </w:rPr>
        <w:t>,</w:t>
      </w:r>
    </w:p>
    <w:p w14:paraId="63A2F3D9" w14:textId="77777777" w:rsidR="00851684" w:rsidRPr="00E67C2D" w:rsidRDefault="00851684" w:rsidP="00E90BB6">
      <w:pPr>
        <w:spacing w:after="0" w:line="240" w:lineRule="auto"/>
        <w:jc w:val="center"/>
        <w:rPr>
          <w:rFonts w:ascii="Times New Roman" w:eastAsia="Calibri" w:hAnsi="Times New Roman" w:cs="Times New Roman"/>
          <w:b/>
          <w:sz w:val="20"/>
          <w:szCs w:val="20"/>
          <w:vertAlign w:val="superscript"/>
        </w:rPr>
      </w:pPr>
    </w:p>
    <w:p w14:paraId="7D71ADFC" w14:textId="77777777" w:rsidR="006C32B2" w:rsidRPr="00E67C2D" w:rsidRDefault="006C32B2" w:rsidP="00E90BB6">
      <w:pPr>
        <w:spacing w:after="0" w:line="240" w:lineRule="auto"/>
        <w:jc w:val="center"/>
        <w:rPr>
          <w:rFonts w:ascii="Times New Roman" w:eastAsia="Calibri" w:hAnsi="Times New Roman" w:cs="Times New Roman"/>
          <w:sz w:val="20"/>
          <w:szCs w:val="20"/>
        </w:rPr>
      </w:pPr>
      <w:r w:rsidRPr="00E67C2D">
        <w:rPr>
          <w:rFonts w:ascii="Times New Roman" w:eastAsia="Calibri" w:hAnsi="Times New Roman" w:cs="Times New Roman"/>
          <w:sz w:val="20"/>
          <w:szCs w:val="20"/>
          <w:vertAlign w:val="superscript"/>
        </w:rPr>
        <w:t xml:space="preserve">1 </w:t>
      </w:r>
      <w:r w:rsidRPr="00E67C2D">
        <w:rPr>
          <w:rFonts w:ascii="Times New Roman" w:eastAsia="Calibri" w:hAnsi="Times New Roman" w:cs="Times New Roman"/>
          <w:sz w:val="20"/>
          <w:szCs w:val="20"/>
        </w:rPr>
        <w:t>Department of Surveying and Geoinformatics, Federal University of Technology Minna, Niger State, Nigeria</w:t>
      </w:r>
    </w:p>
    <w:p w14:paraId="0D2C9ACE" w14:textId="77777777" w:rsidR="006C32B2" w:rsidRPr="00E67C2D" w:rsidRDefault="006C32B2" w:rsidP="00E90BB6">
      <w:pPr>
        <w:spacing w:after="0" w:line="240" w:lineRule="auto"/>
        <w:jc w:val="center"/>
        <w:rPr>
          <w:rFonts w:ascii="Times New Roman" w:eastAsia="Calibri" w:hAnsi="Times New Roman" w:cs="Times New Roman"/>
          <w:bCs/>
          <w:sz w:val="20"/>
          <w:szCs w:val="20"/>
        </w:rPr>
      </w:pPr>
      <w:r w:rsidRPr="00E67C2D">
        <w:rPr>
          <w:rFonts w:ascii="Times New Roman" w:eastAsia="Calibri" w:hAnsi="Times New Roman" w:cs="Times New Roman"/>
          <w:sz w:val="20"/>
          <w:szCs w:val="20"/>
          <w:vertAlign w:val="superscript"/>
        </w:rPr>
        <w:t xml:space="preserve">2 </w:t>
      </w:r>
      <w:r w:rsidRPr="00E67C2D">
        <w:rPr>
          <w:rFonts w:ascii="Times New Roman" w:eastAsia="Calibri" w:hAnsi="Times New Roman" w:cs="Times New Roman"/>
          <w:sz w:val="20"/>
          <w:szCs w:val="20"/>
        </w:rPr>
        <w:t>Department of Land and Spatial Sciences, Namibia University of Science and Technology Windhoek</w:t>
      </w:r>
      <w:r w:rsidRPr="00E67C2D">
        <w:rPr>
          <w:rFonts w:ascii="Times New Roman" w:eastAsia="Calibri" w:hAnsi="Times New Roman" w:cs="Times New Roman"/>
          <w:bCs/>
          <w:sz w:val="20"/>
          <w:szCs w:val="20"/>
        </w:rPr>
        <w:t>, Namibia.</w:t>
      </w:r>
    </w:p>
    <w:p w14:paraId="033B86DD" w14:textId="77777777" w:rsidR="006C32B2" w:rsidRPr="00E67C2D" w:rsidRDefault="006C32B2" w:rsidP="00E90BB6">
      <w:pPr>
        <w:spacing w:after="0" w:line="240" w:lineRule="auto"/>
        <w:jc w:val="center"/>
        <w:rPr>
          <w:rFonts w:ascii="Times New Roman" w:eastAsia="Calibri" w:hAnsi="Times New Roman" w:cs="Times New Roman"/>
          <w:sz w:val="20"/>
          <w:szCs w:val="20"/>
          <w:vertAlign w:val="superscript"/>
        </w:rPr>
      </w:pPr>
    </w:p>
    <w:p w14:paraId="1DB17E57" w14:textId="77777777" w:rsidR="00851684" w:rsidRPr="00E67C2D" w:rsidRDefault="006C32B2" w:rsidP="00E90BB6">
      <w:pPr>
        <w:spacing w:after="0" w:line="240" w:lineRule="auto"/>
        <w:jc w:val="center"/>
        <w:rPr>
          <w:rFonts w:ascii="Times New Roman" w:eastAsia="Calibri" w:hAnsi="Times New Roman" w:cs="Times New Roman"/>
          <w:sz w:val="20"/>
          <w:szCs w:val="20"/>
        </w:rPr>
      </w:pPr>
      <w:r w:rsidRPr="00E67C2D">
        <w:rPr>
          <w:rFonts w:ascii="Times New Roman" w:eastAsia="Calibri" w:hAnsi="Times New Roman" w:cs="Times New Roman"/>
          <w:sz w:val="20"/>
          <w:szCs w:val="20"/>
        </w:rPr>
        <w:t xml:space="preserve">Corresponding Author: </w:t>
      </w:r>
      <w:r w:rsidRPr="00E67C2D">
        <w:rPr>
          <w:rFonts w:ascii="Times New Roman" w:eastAsia="Calibri" w:hAnsi="Times New Roman" w:cs="Times New Roman"/>
          <w:bCs/>
          <w:sz w:val="20"/>
          <w:szCs w:val="20"/>
        </w:rPr>
        <w:t>oluwatofunmi.od@gmail</w:t>
      </w:r>
      <w:r w:rsidRPr="00E67C2D">
        <w:rPr>
          <w:rFonts w:ascii="Times New Roman" w:eastAsia="Calibri" w:hAnsi="Times New Roman" w:cs="Times New Roman"/>
          <w:sz w:val="20"/>
          <w:szCs w:val="20"/>
        </w:rPr>
        <w:t xml:space="preserve">.com </w:t>
      </w:r>
    </w:p>
    <w:p w14:paraId="3D488FF9" w14:textId="77777777" w:rsidR="006C32B2" w:rsidRPr="00E67C2D" w:rsidRDefault="006C32B2" w:rsidP="00E90BB6">
      <w:pPr>
        <w:spacing w:after="0" w:line="240" w:lineRule="auto"/>
        <w:jc w:val="center"/>
        <w:rPr>
          <w:rFonts w:ascii="Times New Roman" w:eastAsia="MS Mincho" w:hAnsi="Times New Roman" w:cs="Times New Roman"/>
          <w:b/>
          <w:sz w:val="20"/>
          <w:szCs w:val="20"/>
        </w:rPr>
      </w:pPr>
      <w:r w:rsidRPr="00E67C2D">
        <w:rPr>
          <w:rFonts w:ascii="Times New Roman" w:eastAsia="Calibri" w:hAnsi="Times New Roman" w:cs="Times New Roman"/>
          <w:sz w:val="20"/>
          <w:szCs w:val="20"/>
        </w:rPr>
        <w:t>Phone Number: +2347069765107</w:t>
      </w:r>
    </w:p>
    <w:p w14:paraId="23C80F10" w14:textId="77777777" w:rsidR="00851684" w:rsidRPr="00BE4AF3" w:rsidRDefault="00851684" w:rsidP="00E90BB6">
      <w:pPr>
        <w:tabs>
          <w:tab w:val="left" w:pos="240"/>
        </w:tabs>
        <w:spacing w:after="0" w:line="240" w:lineRule="auto"/>
        <w:jc w:val="both"/>
        <w:rPr>
          <w:rFonts w:ascii="Times New Roman" w:eastAsia="MS Mincho" w:hAnsi="Times New Roman" w:cs="Times New Roman"/>
          <w:b/>
          <w:sz w:val="24"/>
          <w:szCs w:val="24"/>
        </w:rPr>
      </w:pPr>
    </w:p>
    <w:p w14:paraId="4CF696DA" w14:textId="77777777" w:rsidR="006C32B2" w:rsidRPr="00BE4AF3" w:rsidRDefault="006C32B2" w:rsidP="00E90BB6">
      <w:pPr>
        <w:tabs>
          <w:tab w:val="left" w:pos="240"/>
        </w:tabs>
        <w:spacing w:after="0" w:line="240" w:lineRule="auto"/>
        <w:jc w:val="both"/>
        <w:rPr>
          <w:rFonts w:ascii="Times New Roman" w:eastAsia="MS Mincho" w:hAnsi="Times New Roman" w:cs="Times New Roman"/>
          <w:b/>
          <w:sz w:val="24"/>
          <w:szCs w:val="24"/>
        </w:rPr>
      </w:pPr>
      <w:r w:rsidRPr="00BE4AF3">
        <w:rPr>
          <w:rFonts w:ascii="Times New Roman" w:eastAsia="MS Mincho" w:hAnsi="Times New Roman" w:cs="Times New Roman"/>
          <w:b/>
          <w:sz w:val="24"/>
          <w:szCs w:val="24"/>
        </w:rPr>
        <w:t>LICFES 2025-052 – FP12</w:t>
      </w:r>
    </w:p>
    <w:p w14:paraId="2B061252" w14:textId="77777777" w:rsidR="006C32B2" w:rsidRPr="00BE4AF3" w:rsidRDefault="006C32B2" w:rsidP="00E90BB6">
      <w:pPr>
        <w:tabs>
          <w:tab w:val="left" w:pos="240"/>
        </w:tabs>
        <w:spacing w:after="0" w:line="240" w:lineRule="auto"/>
        <w:jc w:val="both"/>
        <w:rPr>
          <w:rFonts w:ascii="Times New Roman" w:eastAsia="MS Mincho" w:hAnsi="Times New Roman" w:cs="Times New Roman"/>
          <w:sz w:val="24"/>
          <w:szCs w:val="24"/>
        </w:rPr>
      </w:pPr>
      <w:r w:rsidRPr="00BE4AF3">
        <w:rPr>
          <w:rFonts w:ascii="Times New Roman" w:eastAsia="MS Mincho" w:hAnsi="Times New Roman" w:cs="Times New Roman"/>
          <w:b/>
          <w:sz w:val="24"/>
          <w:szCs w:val="24"/>
        </w:rPr>
        <w:t>Abstract</w:t>
      </w:r>
      <w:r w:rsidRPr="00BE4AF3">
        <w:rPr>
          <w:rFonts w:ascii="Times New Roman" w:eastAsia="MS Mincho" w:hAnsi="Times New Roman" w:cs="Times New Roman"/>
          <w:sz w:val="24"/>
          <w:szCs w:val="24"/>
        </w:rPr>
        <w:t xml:space="preserve"> </w:t>
      </w:r>
    </w:p>
    <w:p w14:paraId="22F9A790" w14:textId="77777777" w:rsidR="006C32B2" w:rsidRPr="00BE4AF3" w:rsidRDefault="006C32B2" w:rsidP="00E90BB6">
      <w:pPr>
        <w:pStyle w:val="BodyText"/>
        <w:spacing w:after="0" w:line="240" w:lineRule="auto"/>
        <w:jc w:val="both"/>
        <w:rPr>
          <w:rFonts w:ascii="Times New Roman" w:hAnsi="Times New Roman"/>
          <w:sz w:val="24"/>
          <w:szCs w:val="24"/>
        </w:rPr>
      </w:pPr>
      <w:r w:rsidRPr="00BE4AF3">
        <w:rPr>
          <w:rFonts w:ascii="Times New Roman" w:hAnsi="Times New Roman"/>
          <w:sz w:val="24"/>
          <w:szCs w:val="24"/>
        </w:rPr>
        <w:t>Irregular housing patterns and lack of adequate facilities qualify informal settlements as one of the most urgent problems of urbanization in developing countries. Planning, disaster risk reduction, land tenure recognition and upgrading initiatives require reliable spatial information on these areas. Traditional mapping methods like ground surveys and manual digitization are however time-consuming and expensive, and freely available satellite imagery may simply not be spatially resolving enough to reveal fine-scale detail, which necessitates the need for alternative approaches.</w:t>
      </w:r>
      <w:r w:rsidR="00851684" w:rsidRPr="00BE4AF3">
        <w:rPr>
          <w:rFonts w:ascii="Times New Roman" w:hAnsi="Times New Roman"/>
          <w:sz w:val="24"/>
          <w:szCs w:val="24"/>
        </w:rPr>
        <w:t xml:space="preserve"> </w:t>
      </w:r>
      <w:r w:rsidRPr="00BE4AF3">
        <w:rPr>
          <w:rFonts w:ascii="Times New Roman" w:hAnsi="Times New Roman"/>
          <w:sz w:val="24"/>
          <w:szCs w:val="24"/>
        </w:rPr>
        <w:t>UAVs can provide centimeter-level images of dense and heterogeneous environments, and deep learning algorithms can extract buildings and roads out of that information automatically. This narrative review is a synthesis of existing studies on UAV-based mapping of informal settlements, its applications, methodological developments, and future challenges. The review revealed that convolutional neural network variants (e.g., U-Net, DeepLab, Mask R-CNN) are highly accurate in identifying building footprints, whereas road networks are more challenging to detect since they are narrow, lurking, and irregularly shaped. Comparative analyses also indicate the promise of newer transformer-based methods, but these are not tested in less formal settings.</w:t>
      </w:r>
      <w:r w:rsidR="00851684" w:rsidRPr="00BE4AF3">
        <w:rPr>
          <w:rFonts w:ascii="Times New Roman" w:hAnsi="Times New Roman"/>
          <w:sz w:val="24"/>
          <w:szCs w:val="24"/>
        </w:rPr>
        <w:t xml:space="preserve"> </w:t>
      </w:r>
      <w:r w:rsidRPr="00BE4AF3">
        <w:rPr>
          <w:rFonts w:ascii="Times New Roman" w:hAnsi="Times New Roman"/>
          <w:sz w:val="24"/>
          <w:szCs w:val="24"/>
        </w:rPr>
        <w:t xml:space="preserve">This review takes into consideration important uses such as infrastructure planning, disaster response, formalization of land tenure, and public health interventions. It also points out perennial issues, like limited annotated datasets, computational requirements, and ethical issues surrounding privacy and the involvement of the community. Future directions involve transfer learning, multimodal data integration and participatory mapping frameworks. </w:t>
      </w:r>
    </w:p>
    <w:p w14:paraId="5E9DF5A2" w14:textId="77777777" w:rsidR="00851684" w:rsidRPr="00BE4AF3" w:rsidRDefault="00851684" w:rsidP="00E90BB6">
      <w:pPr>
        <w:spacing w:after="0" w:line="240" w:lineRule="auto"/>
        <w:rPr>
          <w:rFonts w:ascii="Times New Roman" w:eastAsia="MS Mincho" w:hAnsi="Times New Roman" w:cs="Times New Roman"/>
          <w:b/>
          <w:iCs/>
          <w:sz w:val="24"/>
          <w:szCs w:val="24"/>
        </w:rPr>
      </w:pPr>
    </w:p>
    <w:p w14:paraId="6CE53C23" w14:textId="77777777" w:rsidR="006C32B2" w:rsidRPr="00BE4AF3" w:rsidRDefault="006C32B2" w:rsidP="00851684">
      <w:pPr>
        <w:spacing w:after="0" w:line="240" w:lineRule="auto"/>
        <w:jc w:val="both"/>
        <w:rPr>
          <w:rFonts w:ascii="Times New Roman" w:eastAsia="Times New Roman" w:hAnsi="Times New Roman" w:cs="Times New Roman"/>
          <w:sz w:val="24"/>
          <w:szCs w:val="24"/>
        </w:rPr>
      </w:pPr>
      <w:r w:rsidRPr="00BE4AF3">
        <w:rPr>
          <w:rFonts w:ascii="Times New Roman" w:eastAsia="MS Mincho" w:hAnsi="Times New Roman" w:cs="Times New Roman"/>
          <w:b/>
          <w:iCs/>
          <w:sz w:val="24"/>
          <w:szCs w:val="24"/>
        </w:rPr>
        <w:t xml:space="preserve">Keywords: </w:t>
      </w:r>
      <w:r w:rsidRPr="00BE4AF3">
        <w:rPr>
          <w:rFonts w:ascii="Times New Roman" w:hAnsi="Times New Roman" w:cs="Times New Roman"/>
          <w:sz w:val="24"/>
          <w:szCs w:val="24"/>
        </w:rPr>
        <w:t>Informal settlements; UAV-based mapping; Deep learning; Convolutional neural networks; Building footprint extraction; Road network detection; Urban planning.</w:t>
      </w:r>
    </w:p>
    <w:p w14:paraId="31410752" w14:textId="77777777" w:rsidR="00A95426" w:rsidRPr="00BE4AF3" w:rsidRDefault="00A95426" w:rsidP="00E90BB6">
      <w:pPr>
        <w:spacing w:after="0" w:line="240" w:lineRule="auto"/>
        <w:rPr>
          <w:rFonts w:ascii="Times New Roman" w:hAnsi="Times New Roman" w:cs="Times New Roman"/>
          <w:iCs/>
          <w:sz w:val="24"/>
          <w:szCs w:val="24"/>
        </w:rPr>
      </w:pPr>
    </w:p>
    <w:p w14:paraId="26C2B154" w14:textId="6F33AEB8" w:rsidR="004371E3" w:rsidRPr="00BE4AF3" w:rsidRDefault="004371E3" w:rsidP="004371E3">
      <w:pPr>
        <w:pStyle w:val="Heading3"/>
        <w:jc w:val="both"/>
        <w:rPr>
          <w:rFonts w:ascii="Times New Roman" w:hAnsi="Times New Roman" w:cs="Times New Roman"/>
          <w:color w:val="auto"/>
        </w:rPr>
      </w:pPr>
      <w:bookmarkStart w:id="39" w:name="introduction"/>
      <w:r w:rsidRPr="00BE4AF3">
        <w:rPr>
          <w:rFonts w:ascii="Times New Roman" w:hAnsi="Times New Roman" w:cs="Times New Roman"/>
          <w:b/>
          <w:bCs/>
          <w:color w:val="auto"/>
        </w:rPr>
        <w:t>Introduction</w:t>
      </w:r>
    </w:p>
    <w:p w14:paraId="1619A382" w14:textId="77777777" w:rsidR="004371E3" w:rsidRPr="00BE4AF3" w:rsidRDefault="004371E3" w:rsidP="00BB43B7">
      <w:pPr>
        <w:pStyle w:val="FirstParagraph"/>
        <w:spacing w:before="0" w:after="0"/>
        <w:jc w:val="both"/>
        <w:rPr>
          <w:rFonts w:ascii="Times New Roman" w:hAnsi="Times New Roman" w:cs="Times New Roman"/>
        </w:rPr>
      </w:pPr>
      <w:r w:rsidRPr="00BE4AF3">
        <w:rPr>
          <w:rFonts w:ascii="Times New Roman" w:hAnsi="Times New Roman" w:cs="Times New Roman"/>
        </w:rPr>
        <w:t xml:space="preserve">Informal settlements, sometimes referred to as slums or unplanned neighborhoods, are one of the defining challenges of urbanization in developing regions. They often emerge spontaneously without proper planning, leading to highly irregular housing layouts, inadequate road networks, and limited public services </w:t>
      </w:r>
      <w:r w:rsidRPr="00BE4AF3">
        <w:rPr>
          <w:rFonts w:ascii="Times New Roman" w:hAnsi="Times New Roman" w:cs="Times New Roman"/>
          <w:iCs/>
        </w:rPr>
        <w:t>(UN-Habitat, 2016; Kuffer et al 2016)</w:t>
      </w:r>
      <w:r w:rsidRPr="00BE4AF3">
        <w:rPr>
          <w:rFonts w:ascii="Times New Roman" w:hAnsi="Times New Roman" w:cs="Times New Roman"/>
        </w:rPr>
        <w:t xml:space="preserve">. Accurate spatial information about these areas is critical for effective planning, infrastructure provision, disaster preparedness, and sustainable development </w:t>
      </w:r>
      <w:r w:rsidRPr="00BE4AF3">
        <w:rPr>
          <w:rFonts w:ascii="Times New Roman" w:hAnsi="Times New Roman" w:cs="Times New Roman"/>
          <w:iCs/>
        </w:rPr>
        <w:t>(Mahabir et al., 2018; Sliuzas et al., 2017)</w:t>
      </w:r>
      <w:r w:rsidRPr="00BE4AF3">
        <w:rPr>
          <w:rFonts w:ascii="Times New Roman" w:hAnsi="Times New Roman" w:cs="Times New Roman"/>
        </w:rPr>
        <w:t xml:space="preserve">. However, traditional mapping methods such as ground surveys and manual digitization are both costly and time-consuming, while freely available satellite imagery is often too coarse to capture the fine spatial detail of these environments </w:t>
      </w:r>
      <w:r w:rsidRPr="00BE4AF3">
        <w:rPr>
          <w:rFonts w:ascii="Times New Roman" w:hAnsi="Times New Roman" w:cs="Times New Roman"/>
          <w:iCs/>
        </w:rPr>
        <w:t xml:space="preserve">(Kuffer et al., 2017; </w:t>
      </w:r>
      <w:r w:rsidRPr="00BE4AF3">
        <w:rPr>
          <w:rFonts w:ascii="Times New Roman" w:hAnsi="Times New Roman" w:cs="Times New Roman"/>
        </w:rPr>
        <w:t>Raj</w:t>
      </w:r>
      <w:r w:rsidRPr="00BE4AF3">
        <w:rPr>
          <w:rFonts w:ascii="Times New Roman" w:hAnsi="Times New Roman" w:cs="Times New Roman"/>
          <w:iCs/>
        </w:rPr>
        <w:t xml:space="preserve"> et al, 2024)</w:t>
      </w:r>
      <w:r w:rsidRPr="00BE4AF3">
        <w:rPr>
          <w:rFonts w:ascii="Times New Roman" w:hAnsi="Times New Roman" w:cs="Times New Roman"/>
        </w:rPr>
        <w:t>.</w:t>
      </w:r>
    </w:p>
    <w:p w14:paraId="70A26A58" w14:textId="77777777" w:rsidR="004371E3" w:rsidRPr="00BE4AF3" w:rsidRDefault="004371E3" w:rsidP="00BB43B7">
      <w:pPr>
        <w:pStyle w:val="BodyText"/>
        <w:spacing w:after="0" w:line="240" w:lineRule="auto"/>
        <w:jc w:val="both"/>
        <w:rPr>
          <w:rFonts w:ascii="Times New Roman" w:hAnsi="Times New Roman"/>
          <w:sz w:val="24"/>
          <w:szCs w:val="24"/>
        </w:rPr>
      </w:pPr>
      <w:r w:rsidRPr="00BE4AF3">
        <w:rPr>
          <w:rFonts w:ascii="Times New Roman" w:hAnsi="Times New Roman"/>
          <w:sz w:val="24"/>
          <w:szCs w:val="24"/>
        </w:rPr>
        <w:lastRenderedPageBreak/>
        <w:t xml:space="preserve">Recent advances in unmanned aerial vehicles (UAVs) have provided an attractive alternative for capturing very high-resolution imagery at low cost and on demand (Ajayi, 2023; Ajayi </w:t>
      </w:r>
      <w:r w:rsidRPr="00BE4AF3">
        <w:rPr>
          <w:rFonts w:ascii="Times New Roman" w:hAnsi="Times New Roman"/>
          <w:i/>
          <w:iCs/>
          <w:sz w:val="24"/>
          <w:szCs w:val="24"/>
        </w:rPr>
        <w:t>et al.,</w:t>
      </w:r>
      <w:r w:rsidRPr="00BE4AF3">
        <w:rPr>
          <w:rFonts w:ascii="Times New Roman" w:hAnsi="Times New Roman"/>
          <w:sz w:val="24"/>
          <w:szCs w:val="24"/>
        </w:rPr>
        <w:t xml:space="preserve"> 2024). UAVs can generate orthophotos and 3D models at centimeter-level resolution, which is particularly valuable in densely built environments like informal settlements where buildings are small, closely packed, and irregularly shaped (Ajayi and Oruma, 2022; Gevaert et al., 2020). When combined with deep learning algorithms, UAV imagery enables automated extraction of building and road footprints, reducing reliance on labor-intensive manual interpretation (Ajayi and Oruma, 2022).</w:t>
      </w:r>
    </w:p>
    <w:p w14:paraId="21D6B40C" w14:textId="77777777" w:rsidR="004371E3" w:rsidRDefault="004371E3" w:rsidP="00BB43B7">
      <w:pPr>
        <w:pStyle w:val="BodyText"/>
        <w:spacing w:after="0" w:line="240" w:lineRule="auto"/>
        <w:jc w:val="both"/>
        <w:rPr>
          <w:rFonts w:ascii="Times New Roman" w:hAnsi="Times New Roman"/>
          <w:sz w:val="24"/>
          <w:szCs w:val="24"/>
        </w:rPr>
      </w:pPr>
      <w:r w:rsidRPr="00BE4AF3">
        <w:rPr>
          <w:rFonts w:ascii="Times New Roman" w:hAnsi="Times New Roman"/>
          <w:sz w:val="24"/>
          <w:szCs w:val="24"/>
        </w:rPr>
        <w:t>This paper reviews the application of UAV imagery and deep learning algorithms for informal settlement mapping, with emphasis on key applications, methodological advances, challenges, and opportunities for future research.</w:t>
      </w:r>
    </w:p>
    <w:p w14:paraId="547304E5" w14:textId="77777777" w:rsidR="00BB43B7" w:rsidRPr="00BE4AF3" w:rsidRDefault="00BB43B7" w:rsidP="00BB43B7">
      <w:pPr>
        <w:pStyle w:val="BodyText"/>
        <w:spacing w:after="0" w:line="240" w:lineRule="auto"/>
        <w:jc w:val="both"/>
        <w:rPr>
          <w:rFonts w:ascii="Times New Roman" w:hAnsi="Times New Roman"/>
          <w:sz w:val="24"/>
          <w:szCs w:val="24"/>
        </w:rPr>
      </w:pPr>
    </w:p>
    <w:p w14:paraId="44C5F06C" w14:textId="5DF11EF1" w:rsidR="004371E3" w:rsidRPr="00BE4AF3" w:rsidRDefault="004371E3" w:rsidP="004371E3">
      <w:pPr>
        <w:pStyle w:val="Heading3"/>
        <w:jc w:val="both"/>
        <w:rPr>
          <w:rFonts w:ascii="Times New Roman" w:hAnsi="Times New Roman" w:cs="Times New Roman"/>
          <w:color w:val="auto"/>
        </w:rPr>
      </w:pPr>
      <w:bookmarkStart w:id="40" w:name="materials-and-methods"/>
      <w:bookmarkEnd w:id="39"/>
      <w:r w:rsidRPr="00BE4AF3">
        <w:rPr>
          <w:rFonts w:ascii="Times New Roman" w:hAnsi="Times New Roman" w:cs="Times New Roman"/>
          <w:b/>
          <w:bCs/>
          <w:color w:val="auto"/>
        </w:rPr>
        <w:t>Materials and Methods</w:t>
      </w:r>
    </w:p>
    <w:p w14:paraId="78A544AF" w14:textId="77777777" w:rsidR="004371E3" w:rsidRPr="00BE4AF3" w:rsidRDefault="004371E3" w:rsidP="00BB43B7">
      <w:pPr>
        <w:pStyle w:val="FirstParagraph"/>
        <w:spacing w:before="0" w:after="0"/>
        <w:jc w:val="both"/>
        <w:rPr>
          <w:rFonts w:ascii="Times New Roman" w:hAnsi="Times New Roman" w:cs="Times New Roman"/>
        </w:rPr>
      </w:pPr>
      <w:r w:rsidRPr="00BE4AF3">
        <w:rPr>
          <w:rFonts w:ascii="Times New Roman" w:hAnsi="Times New Roman" w:cs="Times New Roman"/>
        </w:rPr>
        <w:t xml:space="preserve">This paper adopts a </w:t>
      </w:r>
      <w:r w:rsidRPr="00BE4AF3">
        <w:rPr>
          <w:rFonts w:ascii="Times New Roman" w:hAnsi="Times New Roman" w:cs="Times New Roman"/>
          <w:bCs/>
        </w:rPr>
        <w:t>narrative literature review approach</w:t>
      </w:r>
      <w:r w:rsidRPr="00BE4AF3">
        <w:rPr>
          <w:rFonts w:ascii="Times New Roman" w:hAnsi="Times New Roman" w:cs="Times New Roman"/>
        </w:rPr>
        <w:t xml:space="preserve">. Relevant studies were identified through searches in databases including Scopus, Web of Science, IEEE Xplore, and Google Scholar. Keywords such as </w:t>
      </w:r>
      <w:r w:rsidRPr="00BE4AF3">
        <w:rPr>
          <w:rFonts w:ascii="Times New Roman" w:hAnsi="Times New Roman" w:cs="Times New Roman"/>
          <w:i/>
          <w:iCs/>
        </w:rPr>
        <w:t>“informal settlement mapping”</w:t>
      </w:r>
      <w:r w:rsidRPr="00BE4AF3">
        <w:rPr>
          <w:rFonts w:ascii="Times New Roman" w:hAnsi="Times New Roman" w:cs="Times New Roman"/>
        </w:rPr>
        <w:t xml:space="preserve">, </w:t>
      </w:r>
      <w:r w:rsidRPr="00BE4AF3">
        <w:rPr>
          <w:rFonts w:ascii="Times New Roman" w:hAnsi="Times New Roman" w:cs="Times New Roman"/>
          <w:i/>
          <w:iCs/>
        </w:rPr>
        <w:t>“UAV imagery”</w:t>
      </w:r>
      <w:r w:rsidRPr="00BE4AF3">
        <w:rPr>
          <w:rFonts w:ascii="Times New Roman" w:hAnsi="Times New Roman" w:cs="Times New Roman"/>
        </w:rPr>
        <w:t xml:space="preserve">, </w:t>
      </w:r>
      <w:r w:rsidRPr="00BE4AF3">
        <w:rPr>
          <w:rFonts w:ascii="Times New Roman" w:hAnsi="Times New Roman" w:cs="Times New Roman"/>
          <w:i/>
          <w:iCs/>
        </w:rPr>
        <w:t>“deep learning building extraction”</w:t>
      </w:r>
      <w:r w:rsidRPr="00BE4AF3">
        <w:rPr>
          <w:rFonts w:ascii="Times New Roman" w:hAnsi="Times New Roman" w:cs="Times New Roman"/>
        </w:rPr>
        <w:t xml:space="preserve">, and </w:t>
      </w:r>
      <w:r w:rsidRPr="00BE4AF3">
        <w:rPr>
          <w:rFonts w:ascii="Times New Roman" w:hAnsi="Times New Roman" w:cs="Times New Roman"/>
          <w:i/>
          <w:iCs/>
        </w:rPr>
        <w:t>“road segmentation”</w:t>
      </w:r>
      <w:r w:rsidRPr="00BE4AF3">
        <w:rPr>
          <w:rFonts w:ascii="Times New Roman" w:hAnsi="Times New Roman" w:cs="Times New Roman"/>
        </w:rPr>
        <w:t xml:space="preserve"> were used. The review focused on publications between </w:t>
      </w:r>
      <w:r w:rsidRPr="00BE4AF3">
        <w:rPr>
          <w:rFonts w:ascii="Times New Roman" w:hAnsi="Times New Roman" w:cs="Times New Roman"/>
          <w:bCs/>
        </w:rPr>
        <w:t>2016 and 2024</w:t>
      </w:r>
      <w:r w:rsidRPr="00BE4AF3">
        <w:rPr>
          <w:rFonts w:ascii="Times New Roman" w:hAnsi="Times New Roman" w:cs="Times New Roman"/>
        </w:rPr>
        <w:t>, with particular attention to works involving UAV imagery, deep learning algorithms, and applications in informal settlements or analogous environments such as refugee camps.</w:t>
      </w:r>
    </w:p>
    <w:p w14:paraId="7748EB87" w14:textId="77777777" w:rsidR="004371E3" w:rsidRPr="00BE4AF3" w:rsidRDefault="004371E3" w:rsidP="00BB43B7">
      <w:pPr>
        <w:pStyle w:val="BodyText"/>
        <w:spacing w:after="0" w:line="240" w:lineRule="auto"/>
        <w:jc w:val="both"/>
        <w:rPr>
          <w:rFonts w:ascii="Times New Roman" w:hAnsi="Times New Roman"/>
          <w:sz w:val="24"/>
          <w:szCs w:val="24"/>
        </w:rPr>
      </w:pPr>
      <w:r w:rsidRPr="00BE4AF3">
        <w:rPr>
          <w:rFonts w:ascii="Times New Roman" w:hAnsi="Times New Roman"/>
          <w:sz w:val="24"/>
          <w:szCs w:val="24"/>
        </w:rPr>
        <w:t>Studies were screened for relevance to the following themes:</w:t>
      </w:r>
    </w:p>
    <w:p w14:paraId="438080EB" w14:textId="77777777" w:rsidR="004371E3" w:rsidRPr="00BE4AF3" w:rsidRDefault="004371E3" w:rsidP="00BB43B7">
      <w:pPr>
        <w:pStyle w:val="Compact"/>
        <w:numPr>
          <w:ilvl w:val="0"/>
          <w:numId w:val="9"/>
        </w:numPr>
        <w:spacing w:before="0" w:after="0"/>
        <w:jc w:val="both"/>
        <w:rPr>
          <w:rFonts w:cs="Times New Roman"/>
        </w:rPr>
      </w:pPr>
      <w:r w:rsidRPr="00BE4AF3">
        <w:rPr>
          <w:rFonts w:cs="Times New Roman"/>
        </w:rPr>
        <w:t>UAV imagery for settlement mapping,</w:t>
      </w:r>
    </w:p>
    <w:p w14:paraId="33DEA059" w14:textId="77777777" w:rsidR="004371E3" w:rsidRPr="00BE4AF3" w:rsidRDefault="004371E3" w:rsidP="00BB43B7">
      <w:pPr>
        <w:pStyle w:val="Compact"/>
        <w:numPr>
          <w:ilvl w:val="0"/>
          <w:numId w:val="9"/>
        </w:numPr>
        <w:spacing w:before="0" w:after="0"/>
        <w:jc w:val="both"/>
        <w:rPr>
          <w:rFonts w:cs="Times New Roman"/>
        </w:rPr>
      </w:pPr>
      <w:r w:rsidRPr="00BE4AF3">
        <w:rPr>
          <w:rFonts w:cs="Times New Roman"/>
        </w:rPr>
        <w:t>Deep learning methods for feature extraction,</w:t>
      </w:r>
    </w:p>
    <w:p w14:paraId="7EBA3C29" w14:textId="77777777" w:rsidR="004371E3" w:rsidRPr="00BE4AF3" w:rsidRDefault="004371E3" w:rsidP="00BB43B7">
      <w:pPr>
        <w:pStyle w:val="Compact"/>
        <w:numPr>
          <w:ilvl w:val="0"/>
          <w:numId w:val="9"/>
        </w:numPr>
        <w:spacing w:before="0" w:after="0"/>
        <w:jc w:val="both"/>
        <w:rPr>
          <w:rFonts w:cs="Times New Roman"/>
        </w:rPr>
      </w:pPr>
      <w:r w:rsidRPr="00BE4AF3">
        <w:rPr>
          <w:rFonts w:cs="Times New Roman"/>
        </w:rPr>
        <w:t>Applications in urban planning, disaster management, tenure regularization, health, and upgrading programs.</w:t>
      </w:r>
    </w:p>
    <w:p w14:paraId="49A2FC30" w14:textId="77777777" w:rsidR="004371E3" w:rsidRDefault="004371E3" w:rsidP="00BB43B7">
      <w:pPr>
        <w:pStyle w:val="FirstParagraph"/>
        <w:spacing w:before="0" w:after="0"/>
        <w:jc w:val="both"/>
        <w:rPr>
          <w:rFonts w:ascii="Times New Roman" w:hAnsi="Times New Roman" w:cs="Times New Roman"/>
        </w:rPr>
      </w:pPr>
      <w:r w:rsidRPr="00BE4AF3">
        <w:rPr>
          <w:rFonts w:ascii="Times New Roman" w:hAnsi="Times New Roman" w:cs="Times New Roman"/>
        </w:rPr>
        <w:t>Selected studies were synthesized into two summary tables: one highlighting case studies and applications (Table 1), and the other comparing algorithms and their performance characteristics (Table 2).</w:t>
      </w:r>
    </w:p>
    <w:p w14:paraId="583F3CEA" w14:textId="77777777" w:rsidR="00BB43B7" w:rsidRPr="00BB43B7" w:rsidRDefault="00BB43B7" w:rsidP="00BB43B7">
      <w:pPr>
        <w:pStyle w:val="BodyText"/>
        <w:rPr>
          <w:lang w:val="en-US"/>
        </w:rPr>
      </w:pPr>
    </w:p>
    <w:p w14:paraId="0CB18AB1" w14:textId="0D10B0DB" w:rsidR="004371E3" w:rsidRPr="00BE4AF3" w:rsidRDefault="004371E3" w:rsidP="004371E3">
      <w:pPr>
        <w:pStyle w:val="Heading3"/>
        <w:jc w:val="both"/>
        <w:rPr>
          <w:rFonts w:ascii="Times New Roman" w:hAnsi="Times New Roman" w:cs="Times New Roman"/>
          <w:color w:val="auto"/>
        </w:rPr>
      </w:pPr>
      <w:bookmarkStart w:id="41" w:name="results-and-discussion"/>
      <w:bookmarkEnd w:id="40"/>
      <w:r w:rsidRPr="00BE4AF3">
        <w:rPr>
          <w:rFonts w:ascii="Times New Roman" w:hAnsi="Times New Roman" w:cs="Times New Roman"/>
          <w:b/>
          <w:bCs/>
          <w:color w:val="auto"/>
        </w:rPr>
        <w:t>Results and Discussion</w:t>
      </w:r>
    </w:p>
    <w:p w14:paraId="12226632" w14:textId="545D7ED9" w:rsidR="004371E3" w:rsidRPr="00BE4AF3" w:rsidRDefault="004371E3" w:rsidP="00BB43B7">
      <w:pPr>
        <w:pStyle w:val="Heading4"/>
        <w:spacing w:before="0" w:line="240" w:lineRule="auto"/>
        <w:jc w:val="both"/>
        <w:rPr>
          <w:rFonts w:ascii="Times New Roman" w:hAnsi="Times New Roman" w:cs="Times New Roman"/>
          <w:i w:val="0"/>
          <w:color w:val="auto"/>
          <w:sz w:val="24"/>
          <w:szCs w:val="24"/>
        </w:rPr>
      </w:pPr>
      <w:bookmarkStart w:id="42" w:name="X1dd54e0451f5be509754877f73a709f6ef6a0bc"/>
      <w:r w:rsidRPr="00BE4AF3">
        <w:rPr>
          <w:rFonts w:ascii="Times New Roman" w:hAnsi="Times New Roman" w:cs="Times New Roman"/>
          <w:b/>
          <w:bCs/>
          <w:i w:val="0"/>
          <w:color w:val="auto"/>
          <w:sz w:val="24"/>
          <w:szCs w:val="24"/>
        </w:rPr>
        <w:t>UAV Imagery for Informal Settlement Mapping</w:t>
      </w:r>
    </w:p>
    <w:p w14:paraId="4CB740FD" w14:textId="77777777" w:rsidR="004371E3" w:rsidRPr="00BE4AF3" w:rsidRDefault="004371E3" w:rsidP="00BB43B7">
      <w:pPr>
        <w:pStyle w:val="FirstParagraph"/>
        <w:spacing w:before="0" w:after="0"/>
        <w:jc w:val="both"/>
        <w:rPr>
          <w:rFonts w:ascii="Times New Roman" w:hAnsi="Times New Roman" w:cs="Times New Roman"/>
        </w:rPr>
      </w:pPr>
      <w:r w:rsidRPr="00BE4AF3">
        <w:rPr>
          <w:rFonts w:ascii="Times New Roman" w:hAnsi="Times New Roman" w:cs="Times New Roman"/>
        </w:rPr>
        <w:t>UAVs are uniquely suited for informal settlement mapping because they can be deployed quickly, collect data at very high resolution, and generate 3D surface models that complement traditional orthophotos (Ajayi et al., 2017). UAVs flying at altitudes between 50–150 meters typically produce imagery with ground sampling distances (GSD) of less than 10 cm, which is sufficient to distinguish individual rooftops, narrow alleys, and even small extensions such as sheds and latrines (Gevaert et al., 2016).</w:t>
      </w:r>
    </w:p>
    <w:p w14:paraId="2D4505EC" w14:textId="77777777" w:rsidR="004371E3" w:rsidRPr="00BE4AF3" w:rsidRDefault="004371E3" w:rsidP="00BB43B7">
      <w:pPr>
        <w:pStyle w:val="BodyText"/>
        <w:spacing w:after="0" w:line="240" w:lineRule="auto"/>
        <w:jc w:val="both"/>
        <w:rPr>
          <w:rFonts w:ascii="Times New Roman" w:hAnsi="Times New Roman"/>
          <w:sz w:val="24"/>
          <w:szCs w:val="24"/>
        </w:rPr>
      </w:pPr>
      <w:r w:rsidRPr="00BE4AF3">
        <w:rPr>
          <w:rFonts w:ascii="Times New Roman" w:hAnsi="Times New Roman"/>
          <w:sz w:val="24"/>
          <w:szCs w:val="24"/>
        </w:rPr>
        <w:t>Several case studies demonstrate UAV value in informal settlement contexts. For example, Gevaert et al. (2017) showed that combining UAV-derived point clouds with spectral imagery improved classification of informal dwellings in Tanzania. Similarly, participatory upgrading projects in Africa and Asia have integrated UAV mapping to provide baseline data for communities and urban planners (Gevaert et al., 2018). Despite these successes, UAV adoption is challenged by regulations, limited coverage per flight, and the need for skilled operators and robust processing pipelines.</w:t>
      </w:r>
    </w:p>
    <w:p w14:paraId="4C010AAC" w14:textId="3BFEF470" w:rsidR="004371E3" w:rsidRPr="00BE4AF3" w:rsidRDefault="004371E3" w:rsidP="00BB43B7">
      <w:pPr>
        <w:pStyle w:val="Heading4"/>
        <w:spacing w:before="0" w:line="240" w:lineRule="auto"/>
        <w:jc w:val="both"/>
        <w:rPr>
          <w:rFonts w:ascii="Times New Roman" w:hAnsi="Times New Roman" w:cs="Times New Roman"/>
          <w:i w:val="0"/>
          <w:color w:val="auto"/>
          <w:sz w:val="24"/>
          <w:szCs w:val="24"/>
        </w:rPr>
      </w:pPr>
      <w:bookmarkStart w:id="43" w:name="X58091aec228488043bef74cbe9ab952994ac6e1"/>
      <w:bookmarkEnd w:id="42"/>
      <w:r w:rsidRPr="00BE4AF3">
        <w:rPr>
          <w:rFonts w:ascii="Times New Roman" w:hAnsi="Times New Roman" w:cs="Times New Roman"/>
          <w:b/>
          <w:bCs/>
          <w:i w:val="0"/>
          <w:color w:val="auto"/>
          <w:sz w:val="24"/>
          <w:szCs w:val="24"/>
        </w:rPr>
        <w:lastRenderedPageBreak/>
        <w:t>Deep Learning for Automatic Extraction of Urban Features</w:t>
      </w:r>
    </w:p>
    <w:p w14:paraId="5F033D74" w14:textId="77777777" w:rsidR="004371E3" w:rsidRPr="00BE4AF3" w:rsidRDefault="004371E3" w:rsidP="00BB43B7">
      <w:pPr>
        <w:pStyle w:val="FirstParagraph"/>
        <w:spacing w:before="0" w:after="0"/>
        <w:jc w:val="both"/>
        <w:rPr>
          <w:rFonts w:ascii="Times New Roman" w:hAnsi="Times New Roman" w:cs="Times New Roman"/>
        </w:rPr>
      </w:pPr>
      <w:r w:rsidRPr="00BE4AF3">
        <w:rPr>
          <w:rFonts w:ascii="Times New Roman" w:hAnsi="Times New Roman" w:cs="Times New Roman"/>
        </w:rPr>
        <w:t>While UAVs provide high-quality imagery, deep learning models enable automated feature extraction. Traditional approaches such as thresholding, edge detection, or object-based image analysis (OBIA) have limited success in informal settlements due to irregular building shapes and environmental noise (Ajayi and Oruma, 2022). Deep learning, however, has shown superior performance by learning hierarchical features directly from imagery (Mudau &amp; Mhangara, 2023).</w:t>
      </w:r>
    </w:p>
    <w:p w14:paraId="1A59643C" w14:textId="77777777" w:rsidR="004371E3" w:rsidRDefault="004371E3" w:rsidP="00BB43B7">
      <w:pPr>
        <w:pStyle w:val="BodyText"/>
        <w:spacing w:after="0" w:line="240" w:lineRule="auto"/>
        <w:jc w:val="both"/>
        <w:rPr>
          <w:rFonts w:ascii="Times New Roman" w:hAnsi="Times New Roman"/>
          <w:sz w:val="24"/>
          <w:szCs w:val="24"/>
        </w:rPr>
      </w:pPr>
      <w:r w:rsidRPr="00BE4AF3">
        <w:rPr>
          <w:rFonts w:ascii="Times New Roman" w:hAnsi="Times New Roman"/>
          <w:sz w:val="24"/>
          <w:szCs w:val="24"/>
        </w:rPr>
        <w:t>CNN-based models dominate the field. U-Net and DeepLab architectures are widely used for semantic segmentation, while Mask R-CNN has been applied successfully to refugee settlements, enabling instance-level segmentation of individual dwellings (Gella et al., 2022). More recent works introduce uncertainty-aware models that improve interpretability (Fisher et al., 2022). For road networks, which are narrow and discontinuous in informal areas, Fabris-Rotelli et al. (2022) demonstrated how deep segmentation can capture paths invisible to traditional classifiers.</w:t>
      </w:r>
    </w:p>
    <w:p w14:paraId="075C6533" w14:textId="77777777" w:rsidR="00BB43B7" w:rsidRPr="00BE4AF3" w:rsidRDefault="00BB43B7" w:rsidP="00BB43B7">
      <w:pPr>
        <w:pStyle w:val="BodyText"/>
        <w:spacing w:after="0" w:line="240" w:lineRule="auto"/>
        <w:jc w:val="both"/>
        <w:rPr>
          <w:rFonts w:ascii="Times New Roman" w:hAnsi="Times New Roman"/>
          <w:sz w:val="24"/>
          <w:szCs w:val="24"/>
        </w:rPr>
      </w:pPr>
    </w:p>
    <w:p w14:paraId="72670425" w14:textId="66EE04DB" w:rsidR="004371E3" w:rsidRPr="00BE4AF3" w:rsidRDefault="004371E3" w:rsidP="00BB43B7">
      <w:pPr>
        <w:pStyle w:val="Heading4"/>
        <w:spacing w:before="0" w:line="240" w:lineRule="auto"/>
        <w:jc w:val="both"/>
        <w:rPr>
          <w:rFonts w:ascii="Times New Roman" w:hAnsi="Times New Roman" w:cs="Times New Roman"/>
          <w:b/>
          <w:bCs/>
          <w:i w:val="0"/>
          <w:color w:val="auto"/>
          <w:sz w:val="24"/>
          <w:szCs w:val="24"/>
        </w:rPr>
      </w:pPr>
      <w:bookmarkStart w:id="44" w:name="applications-in-informal-settlements"/>
      <w:bookmarkEnd w:id="43"/>
      <w:r w:rsidRPr="00BE4AF3">
        <w:rPr>
          <w:rFonts w:ascii="Times New Roman" w:hAnsi="Times New Roman" w:cs="Times New Roman"/>
          <w:b/>
          <w:bCs/>
          <w:i w:val="0"/>
          <w:color w:val="auto"/>
          <w:sz w:val="24"/>
          <w:szCs w:val="24"/>
        </w:rPr>
        <w:t>Applications in Informal Settlements</w:t>
      </w:r>
    </w:p>
    <w:p w14:paraId="7517020A" w14:textId="77777777" w:rsidR="004371E3" w:rsidRPr="00BE4AF3" w:rsidRDefault="004371E3" w:rsidP="00BB43B7">
      <w:pPr>
        <w:pStyle w:val="BodyText"/>
        <w:spacing w:after="0" w:line="240" w:lineRule="auto"/>
        <w:jc w:val="both"/>
        <w:rPr>
          <w:rFonts w:ascii="Times New Roman" w:hAnsi="Times New Roman"/>
          <w:sz w:val="24"/>
          <w:szCs w:val="24"/>
        </w:rPr>
      </w:pPr>
      <w:r w:rsidRPr="00BE4AF3">
        <w:rPr>
          <w:rFonts w:ascii="Times New Roman" w:hAnsi="Times New Roman"/>
          <w:iCs/>
          <w:sz w:val="24"/>
          <w:szCs w:val="24"/>
        </w:rPr>
        <w:t>The reviewed studies reveal that UAV imagery combined with deep learning has been applied in several domains that directly address the challenges of informal settlements. These applications can be grouped into five key areas, which are discussed below.</w:t>
      </w:r>
    </w:p>
    <w:p w14:paraId="71EEE2FE" w14:textId="77777777" w:rsidR="00BB43B7" w:rsidRDefault="00BB43B7" w:rsidP="00BB43B7">
      <w:pPr>
        <w:pStyle w:val="FirstParagraph"/>
        <w:spacing w:before="0" w:after="0"/>
        <w:jc w:val="both"/>
        <w:rPr>
          <w:rFonts w:ascii="Times New Roman" w:hAnsi="Times New Roman" w:cs="Times New Roman"/>
          <w:b/>
          <w:bCs/>
        </w:rPr>
      </w:pPr>
    </w:p>
    <w:p w14:paraId="0EB62A8E" w14:textId="31E67A4E" w:rsidR="004371E3" w:rsidRPr="00BE4AF3" w:rsidRDefault="004371E3" w:rsidP="00BB43B7">
      <w:pPr>
        <w:pStyle w:val="FirstParagraph"/>
        <w:spacing w:before="0" w:after="0"/>
        <w:jc w:val="both"/>
        <w:rPr>
          <w:rFonts w:ascii="Times New Roman" w:hAnsi="Times New Roman" w:cs="Times New Roman"/>
        </w:rPr>
      </w:pPr>
      <w:r w:rsidRPr="00BE4AF3">
        <w:rPr>
          <w:rFonts w:ascii="Times New Roman" w:hAnsi="Times New Roman" w:cs="Times New Roman"/>
          <w:b/>
          <w:bCs/>
        </w:rPr>
        <w:t>Urban Planning and Infrastructure Development:</w:t>
      </w:r>
      <w:r w:rsidRPr="00BE4AF3">
        <w:rPr>
          <w:rFonts w:ascii="Times New Roman" w:hAnsi="Times New Roman" w:cs="Times New Roman"/>
        </w:rPr>
        <w:t xml:space="preserve"> UAV-derived building and road footprints provide planners with critical baseline data for understanding settlement growth, estimating population density, and designing utility networks. UAV mapping has been used to monitor household upgrading projects, offering fine-grained insights into neighborhood evolution (Gevaert et al., 2020).</w:t>
      </w:r>
    </w:p>
    <w:p w14:paraId="6D1512E0" w14:textId="77777777" w:rsidR="00BB43B7" w:rsidRDefault="00BB43B7" w:rsidP="00BB43B7">
      <w:pPr>
        <w:pStyle w:val="BodyText"/>
        <w:spacing w:after="0" w:line="240" w:lineRule="auto"/>
        <w:jc w:val="both"/>
        <w:rPr>
          <w:rFonts w:ascii="Times New Roman" w:hAnsi="Times New Roman"/>
          <w:b/>
          <w:bCs/>
          <w:sz w:val="24"/>
          <w:szCs w:val="24"/>
        </w:rPr>
      </w:pPr>
    </w:p>
    <w:p w14:paraId="7D8B32DE" w14:textId="7C874954" w:rsidR="004371E3" w:rsidRPr="00BE4AF3" w:rsidRDefault="004371E3" w:rsidP="00BB43B7">
      <w:pPr>
        <w:pStyle w:val="BodyText"/>
        <w:spacing w:after="0" w:line="240" w:lineRule="auto"/>
        <w:jc w:val="both"/>
        <w:rPr>
          <w:rFonts w:ascii="Times New Roman" w:hAnsi="Times New Roman"/>
          <w:sz w:val="24"/>
          <w:szCs w:val="24"/>
        </w:rPr>
      </w:pPr>
      <w:r w:rsidRPr="00BE4AF3">
        <w:rPr>
          <w:rFonts w:ascii="Times New Roman" w:hAnsi="Times New Roman"/>
          <w:b/>
          <w:bCs/>
          <w:sz w:val="24"/>
          <w:szCs w:val="24"/>
        </w:rPr>
        <w:t>Disaster Risk Management:</w:t>
      </w:r>
      <w:r w:rsidRPr="00BE4AF3">
        <w:rPr>
          <w:rFonts w:ascii="Times New Roman" w:hAnsi="Times New Roman"/>
          <w:sz w:val="24"/>
          <w:szCs w:val="24"/>
        </w:rPr>
        <w:t xml:space="preserve"> Accurate building footprints support hazard exposure modeling and post-disaster assessments. For example, Quinn et al. (2018) showed how remote sensing and machine learning improved humanitarian response in refugee settlements, lessons transferable to informal urban areas.</w:t>
      </w:r>
    </w:p>
    <w:p w14:paraId="5702D807" w14:textId="77777777" w:rsidR="00BB43B7" w:rsidRDefault="00BB43B7" w:rsidP="00BB43B7">
      <w:pPr>
        <w:pStyle w:val="BodyText"/>
        <w:spacing w:after="0" w:line="240" w:lineRule="auto"/>
        <w:jc w:val="both"/>
        <w:rPr>
          <w:rFonts w:ascii="Times New Roman" w:hAnsi="Times New Roman"/>
          <w:b/>
          <w:bCs/>
          <w:sz w:val="24"/>
          <w:szCs w:val="24"/>
        </w:rPr>
      </w:pPr>
    </w:p>
    <w:p w14:paraId="602B7212" w14:textId="02B43932" w:rsidR="004371E3" w:rsidRPr="00BE4AF3" w:rsidRDefault="004371E3" w:rsidP="00BB43B7">
      <w:pPr>
        <w:pStyle w:val="BodyText"/>
        <w:spacing w:after="0" w:line="240" w:lineRule="auto"/>
        <w:jc w:val="both"/>
        <w:rPr>
          <w:rFonts w:ascii="Times New Roman" w:hAnsi="Times New Roman"/>
          <w:sz w:val="24"/>
          <w:szCs w:val="24"/>
        </w:rPr>
      </w:pPr>
      <w:r w:rsidRPr="00BE4AF3">
        <w:rPr>
          <w:rFonts w:ascii="Times New Roman" w:hAnsi="Times New Roman"/>
          <w:b/>
          <w:bCs/>
          <w:sz w:val="24"/>
          <w:szCs w:val="24"/>
        </w:rPr>
        <w:t>Land Tenure and Regularization:</w:t>
      </w:r>
      <w:r w:rsidRPr="00BE4AF3">
        <w:rPr>
          <w:rFonts w:ascii="Times New Roman" w:hAnsi="Times New Roman"/>
          <w:sz w:val="24"/>
          <w:szCs w:val="24"/>
        </w:rPr>
        <w:t xml:space="preserve"> UAV mapping can generate parcel-level data for cadastral purposes. Xia et al. (2019) demonstrated how deep learning can extract cadastral boundaries from UAV images, supporting tenure formalization programs.</w:t>
      </w:r>
    </w:p>
    <w:p w14:paraId="16E93D90" w14:textId="77777777" w:rsidR="00BB43B7" w:rsidRDefault="00BB43B7" w:rsidP="00BB43B7">
      <w:pPr>
        <w:pStyle w:val="BodyText"/>
        <w:spacing w:after="0" w:line="240" w:lineRule="auto"/>
        <w:jc w:val="both"/>
        <w:rPr>
          <w:rFonts w:ascii="Times New Roman" w:hAnsi="Times New Roman"/>
          <w:b/>
          <w:bCs/>
          <w:sz w:val="24"/>
          <w:szCs w:val="24"/>
        </w:rPr>
      </w:pPr>
    </w:p>
    <w:p w14:paraId="7DC40D74" w14:textId="141C25F7" w:rsidR="004371E3" w:rsidRPr="00BE4AF3" w:rsidRDefault="004371E3" w:rsidP="00BB43B7">
      <w:pPr>
        <w:pStyle w:val="BodyText"/>
        <w:spacing w:after="0" w:line="240" w:lineRule="auto"/>
        <w:jc w:val="both"/>
        <w:rPr>
          <w:rFonts w:ascii="Times New Roman" w:hAnsi="Times New Roman"/>
          <w:sz w:val="24"/>
          <w:szCs w:val="24"/>
        </w:rPr>
      </w:pPr>
      <w:r w:rsidRPr="00BE4AF3">
        <w:rPr>
          <w:rFonts w:ascii="Times New Roman" w:hAnsi="Times New Roman"/>
          <w:b/>
          <w:bCs/>
          <w:sz w:val="24"/>
          <w:szCs w:val="24"/>
        </w:rPr>
        <w:t>Public Health and Humanitarian Applications:</w:t>
      </w:r>
      <w:r w:rsidRPr="00BE4AF3">
        <w:rPr>
          <w:rFonts w:ascii="Times New Roman" w:hAnsi="Times New Roman"/>
          <w:sz w:val="24"/>
          <w:szCs w:val="24"/>
        </w:rPr>
        <w:t xml:space="preserve"> Maps of roads and dwellings support population estimation, emergency route planning, and health interventions. Ajayakumar et al. (2024) applied UAV-like imagery and deep learning in refugee settlements to assess vulnerabilities, illustrating applicability in informal urban contexts.</w:t>
      </w:r>
    </w:p>
    <w:p w14:paraId="3BC8B66D" w14:textId="77777777" w:rsidR="00BB43B7" w:rsidRDefault="00BB43B7" w:rsidP="00BB43B7">
      <w:pPr>
        <w:pStyle w:val="BodyText"/>
        <w:spacing w:after="0" w:line="240" w:lineRule="auto"/>
        <w:jc w:val="both"/>
        <w:rPr>
          <w:rFonts w:ascii="Times New Roman" w:hAnsi="Times New Roman"/>
          <w:b/>
          <w:bCs/>
          <w:sz w:val="24"/>
          <w:szCs w:val="24"/>
        </w:rPr>
      </w:pPr>
    </w:p>
    <w:p w14:paraId="65451113" w14:textId="42832254" w:rsidR="004371E3" w:rsidRPr="00BE4AF3" w:rsidRDefault="004371E3" w:rsidP="00BB43B7">
      <w:pPr>
        <w:pStyle w:val="BodyText"/>
        <w:spacing w:after="0" w:line="240" w:lineRule="auto"/>
        <w:jc w:val="both"/>
        <w:rPr>
          <w:rFonts w:ascii="Times New Roman" w:hAnsi="Times New Roman"/>
          <w:sz w:val="24"/>
          <w:szCs w:val="24"/>
        </w:rPr>
      </w:pPr>
      <w:r w:rsidRPr="00BE4AF3">
        <w:rPr>
          <w:rFonts w:ascii="Times New Roman" w:hAnsi="Times New Roman"/>
          <w:b/>
          <w:bCs/>
          <w:sz w:val="24"/>
          <w:szCs w:val="24"/>
        </w:rPr>
        <w:t>Upgrading and Redevelopment Programs:</w:t>
      </w:r>
      <w:r w:rsidRPr="00BE4AF3">
        <w:rPr>
          <w:rFonts w:ascii="Times New Roman" w:hAnsi="Times New Roman"/>
          <w:sz w:val="24"/>
          <w:szCs w:val="24"/>
        </w:rPr>
        <w:t xml:space="preserve"> UAV-based mapping has supported participatory upgrading initiatives. Leonita et al. (2018) demonstrated how UAV-enabled slum mapping in Bandung supported planning and monitoring of redevelopment efforts.</w:t>
      </w:r>
    </w:p>
    <w:p w14:paraId="7EE5F170" w14:textId="77777777" w:rsidR="00BB43B7" w:rsidRDefault="00BB43B7" w:rsidP="00BB43B7">
      <w:pPr>
        <w:pStyle w:val="Heading4"/>
        <w:spacing w:before="0" w:line="240" w:lineRule="auto"/>
        <w:jc w:val="both"/>
        <w:rPr>
          <w:rFonts w:ascii="Times New Roman" w:hAnsi="Times New Roman" w:cs="Times New Roman"/>
          <w:b/>
          <w:bCs/>
          <w:i w:val="0"/>
          <w:color w:val="auto"/>
          <w:sz w:val="24"/>
          <w:szCs w:val="24"/>
        </w:rPr>
      </w:pPr>
      <w:bookmarkStart w:id="45" w:name="comparative-insights-from-literature"/>
      <w:bookmarkEnd w:id="44"/>
    </w:p>
    <w:p w14:paraId="25AD0283" w14:textId="2F9B9668" w:rsidR="004371E3" w:rsidRPr="00BE4AF3" w:rsidRDefault="004371E3" w:rsidP="00BB43B7">
      <w:pPr>
        <w:pStyle w:val="Heading4"/>
        <w:spacing w:before="0" w:line="240" w:lineRule="auto"/>
        <w:jc w:val="both"/>
        <w:rPr>
          <w:rFonts w:ascii="Times New Roman" w:hAnsi="Times New Roman" w:cs="Times New Roman"/>
          <w:i w:val="0"/>
          <w:color w:val="auto"/>
          <w:sz w:val="24"/>
          <w:szCs w:val="24"/>
        </w:rPr>
      </w:pPr>
      <w:r w:rsidRPr="00BE4AF3">
        <w:rPr>
          <w:rFonts w:ascii="Times New Roman" w:hAnsi="Times New Roman" w:cs="Times New Roman"/>
          <w:b/>
          <w:bCs/>
          <w:i w:val="0"/>
          <w:color w:val="auto"/>
          <w:sz w:val="24"/>
          <w:szCs w:val="24"/>
        </w:rPr>
        <w:t>Comparative Insights from Literature</w:t>
      </w:r>
    </w:p>
    <w:p w14:paraId="794611AF" w14:textId="77777777" w:rsidR="004371E3" w:rsidRPr="00BE4AF3" w:rsidRDefault="004371E3" w:rsidP="00BB43B7">
      <w:pPr>
        <w:pStyle w:val="FirstParagraph"/>
        <w:spacing w:before="0" w:after="0"/>
        <w:jc w:val="both"/>
        <w:rPr>
          <w:rFonts w:ascii="Times New Roman" w:hAnsi="Times New Roman" w:cs="Times New Roman"/>
        </w:rPr>
      </w:pPr>
      <w:r w:rsidRPr="00BE4AF3">
        <w:rPr>
          <w:rFonts w:ascii="Times New Roman" w:hAnsi="Times New Roman" w:cs="Times New Roman"/>
        </w:rPr>
        <w:t>Table 1 summarizes selected studies that applied UAV and deep learning for building and road extraction in informal or complex settlements.</w:t>
      </w:r>
    </w:p>
    <w:p w14:paraId="10216C53" w14:textId="77777777" w:rsidR="004371E3" w:rsidRPr="00BE4AF3" w:rsidRDefault="004371E3" w:rsidP="0034248D">
      <w:pPr>
        <w:pStyle w:val="BodyText"/>
        <w:spacing w:after="0" w:line="240" w:lineRule="auto"/>
        <w:jc w:val="center"/>
        <w:rPr>
          <w:rFonts w:ascii="Times New Roman" w:hAnsi="Times New Roman"/>
          <w:sz w:val="24"/>
          <w:szCs w:val="24"/>
        </w:rPr>
      </w:pPr>
      <w:r w:rsidRPr="00BE4AF3">
        <w:rPr>
          <w:rFonts w:ascii="Times New Roman" w:hAnsi="Times New Roman"/>
          <w:b/>
          <w:bCs/>
          <w:sz w:val="24"/>
          <w:szCs w:val="24"/>
        </w:rPr>
        <w:lastRenderedPageBreak/>
        <w:t xml:space="preserve">Table 1: </w:t>
      </w:r>
      <w:r w:rsidRPr="00BB43B7">
        <w:rPr>
          <w:rFonts w:ascii="Times New Roman" w:hAnsi="Times New Roman"/>
          <w:sz w:val="24"/>
          <w:szCs w:val="24"/>
        </w:rPr>
        <w:t>Summary of studies applying UAV imagery and deep learning for building and road extraction in informal/complex settlements</w:t>
      </w:r>
    </w:p>
    <w:tbl>
      <w:tblPr>
        <w:tblStyle w:val="Table"/>
        <w:tblW w:w="0" w:type="auto"/>
        <w:jc w:val="center"/>
        <w:tblBorders>
          <w:left w:val="none" w:sz="0" w:space="0" w:color="auto"/>
          <w:right w:val="none" w:sz="0" w:space="0" w:color="auto"/>
          <w:insideH w:val="none" w:sz="0" w:space="0" w:color="auto"/>
          <w:insideV w:val="none" w:sz="0" w:space="0" w:color="auto"/>
        </w:tblBorders>
        <w:tblLook w:val="0020" w:firstRow="1" w:lastRow="0" w:firstColumn="0" w:lastColumn="0" w:noHBand="0" w:noVBand="0"/>
      </w:tblPr>
      <w:tblGrid>
        <w:gridCol w:w="1610"/>
        <w:gridCol w:w="1556"/>
        <w:gridCol w:w="2593"/>
        <w:gridCol w:w="3601"/>
      </w:tblGrid>
      <w:tr w:rsidR="00C12A84" w:rsidRPr="00BB43B7" w14:paraId="2A346DAF" w14:textId="77777777" w:rsidTr="00BB43B7">
        <w:trPr>
          <w:cnfStyle w:val="100000000000" w:firstRow="1" w:lastRow="0" w:firstColumn="0" w:lastColumn="0" w:oddVBand="0" w:evenVBand="0" w:oddHBand="0" w:evenHBand="0" w:firstRowFirstColumn="0" w:firstRowLastColumn="0" w:lastRowFirstColumn="0" w:lastRowLastColumn="0"/>
          <w:tblHeader/>
          <w:jc w:val="center"/>
        </w:trPr>
        <w:tc>
          <w:tcPr>
            <w:tcW w:w="0" w:type="auto"/>
            <w:tcBorders>
              <w:top w:val="single" w:sz="4" w:space="0" w:color="auto"/>
              <w:bottom w:val="single" w:sz="4" w:space="0" w:color="auto"/>
            </w:tcBorders>
            <w:hideMark/>
          </w:tcPr>
          <w:p w14:paraId="6D456878"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Author(s), Year</w:t>
            </w:r>
          </w:p>
        </w:tc>
        <w:tc>
          <w:tcPr>
            <w:tcW w:w="0" w:type="auto"/>
            <w:tcBorders>
              <w:top w:val="single" w:sz="4" w:space="0" w:color="auto"/>
              <w:bottom w:val="single" w:sz="4" w:space="0" w:color="auto"/>
            </w:tcBorders>
            <w:hideMark/>
          </w:tcPr>
          <w:p w14:paraId="1AC5A5E7"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Study Area</w:t>
            </w:r>
          </w:p>
        </w:tc>
        <w:tc>
          <w:tcPr>
            <w:tcW w:w="0" w:type="auto"/>
            <w:tcBorders>
              <w:top w:val="single" w:sz="4" w:space="0" w:color="auto"/>
              <w:bottom w:val="single" w:sz="4" w:space="0" w:color="auto"/>
            </w:tcBorders>
            <w:hideMark/>
          </w:tcPr>
          <w:p w14:paraId="2B7A4E62"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Deep Learning Model</w:t>
            </w:r>
          </w:p>
        </w:tc>
        <w:tc>
          <w:tcPr>
            <w:tcW w:w="0" w:type="auto"/>
            <w:tcBorders>
              <w:top w:val="single" w:sz="4" w:space="0" w:color="auto"/>
              <w:bottom w:val="single" w:sz="4" w:space="0" w:color="auto"/>
            </w:tcBorders>
            <w:hideMark/>
          </w:tcPr>
          <w:p w14:paraId="0E1DD9AD"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Key Findings</w:t>
            </w:r>
          </w:p>
        </w:tc>
      </w:tr>
      <w:tr w:rsidR="00C12A84" w:rsidRPr="00BB43B7" w14:paraId="6EC69E34" w14:textId="77777777" w:rsidTr="00BB43B7">
        <w:trPr>
          <w:jc w:val="center"/>
        </w:trPr>
        <w:tc>
          <w:tcPr>
            <w:tcW w:w="0" w:type="auto"/>
            <w:tcBorders>
              <w:top w:val="single" w:sz="4" w:space="0" w:color="auto"/>
            </w:tcBorders>
            <w:hideMark/>
          </w:tcPr>
          <w:p w14:paraId="38609004"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Xia et al., 2019</w:t>
            </w:r>
          </w:p>
        </w:tc>
        <w:tc>
          <w:tcPr>
            <w:tcW w:w="0" w:type="auto"/>
            <w:tcBorders>
              <w:top w:val="single" w:sz="4" w:space="0" w:color="auto"/>
            </w:tcBorders>
            <w:hideMark/>
          </w:tcPr>
          <w:p w14:paraId="6B81C131"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Cadastral Mapping</w:t>
            </w:r>
          </w:p>
        </w:tc>
        <w:tc>
          <w:tcPr>
            <w:tcW w:w="0" w:type="auto"/>
            <w:tcBorders>
              <w:top w:val="single" w:sz="4" w:space="0" w:color="auto"/>
            </w:tcBorders>
            <w:hideMark/>
          </w:tcPr>
          <w:p w14:paraId="6BDD6989"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Fully Convolutional Network (FCN) + UAV imagery</w:t>
            </w:r>
          </w:p>
        </w:tc>
        <w:tc>
          <w:tcPr>
            <w:tcW w:w="0" w:type="auto"/>
            <w:tcBorders>
              <w:top w:val="single" w:sz="4" w:space="0" w:color="auto"/>
            </w:tcBorders>
            <w:hideMark/>
          </w:tcPr>
          <w:p w14:paraId="2826ACF9"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UAV + DL effective for delineating cadastral boundaries, useful for tenure recognition</w:t>
            </w:r>
          </w:p>
        </w:tc>
      </w:tr>
      <w:tr w:rsidR="004371E3" w:rsidRPr="00BB43B7" w14:paraId="1C802B7E" w14:textId="77777777" w:rsidTr="00BB43B7">
        <w:trPr>
          <w:jc w:val="center"/>
        </w:trPr>
        <w:tc>
          <w:tcPr>
            <w:tcW w:w="0" w:type="auto"/>
            <w:hideMark/>
          </w:tcPr>
          <w:p w14:paraId="54B0113F"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Gella et al., 2022</w:t>
            </w:r>
          </w:p>
        </w:tc>
        <w:tc>
          <w:tcPr>
            <w:tcW w:w="0" w:type="auto"/>
            <w:hideMark/>
          </w:tcPr>
          <w:p w14:paraId="01928E82"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Refugee Settlements</w:t>
            </w:r>
          </w:p>
        </w:tc>
        <w:tc>
          <w:tcPr>
            <w:tcW w:w="0" w:type="auto"/>
            <w:hideMark/>
          </w:tcPr>
          <w:p w14:paraId="6E71C4ED"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Mask R-CNN + UAV imagery</w:t>
            </w:r>
          </w:p>
        </w:tc>
        <w:tc>
          <w:tcPr>
            <w:tcW w:w="0" w:type="auto"/>
            <w:hideMark/>
          </w:tcPr>
          <w:p w14:paraId="1D9C9EAE"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Automated dwelling extraction achieved accuracy comparable to manual digitization</w:t>
            </w:r>
          </w:p>
        </w:tc>
      </w:tr>
      <w:tr w:rsidR="004371E3" w:rsidRPr="00BB43B7" w14:paraId="5858CF54" w14:textId="77777777" w:rsidTr="00BB43B7">
        <w:trPr>
          <w:jc w:val="center"/>
        </w:trPr>
        <w:tc>
          <w:tcPr>
            <w:tcW w:w="0" w:type="auto"/>
            <w:hideMark/>
          </w:tcPr>
          <w:p w14:paraId="7C112FAD"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Fisher et al., 2022</w:t>
            </w:r>
          </w:p>
        </w:tc>
        <w:tc>
          <w:tcPr>
            <w:tcW w:w="0" w:type="auto"/>
            <w:hideMark/>
          </w:tcPr>
          <w:p w14:paraId="3A5EF4D0"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Informal Urban Areas</w:t>
            </w:r>
          </w:p>
        </w:tc>
        <w:tc>
          <w:tcPr>
            <w:tcW w:w="0" w:type="auto"/>
            <w:hideMark/>
          </w:tcPr>
          <w:p w14:paraId="67E297DE"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Bayesian U-Net (uncertainty-aware DL) + UAV data</w:t>
            </w:r>
          </w:p>
        </w:tc>
        <w:tc>
          <w:tcPr>
            <w:tcW w:w="0" w:type="auto"/>
            <w:hideMark/>
          </w:tcPr>
          <w:p w14:paraId="7AE90459"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Improved interpretability of building footprint mapping in sensitive contexts</w:t>
            </w:r>
          </w:p>
        </w:tc>
      </w:tr>
      <w:tr w:rsidR="004371E3" w:rsidRPr="00BB43B7" w14:paraId="6E9BA337" w14:textId="77777777" w:rsidTr="00BB43B7">
        <w:trPr>
          <w:jc w:val="center"/>
        </w:trPr>
        <w:tc>
          <w:tcPr>
            <w:tcW w:w="0" w:type="auto"/>
            <w:hideMark/>
          </w:tcPr>
          <w:p w14:paraId="6216B33D"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Fabris-Rotelli et al., 2022</w:t>
            </w:r>
          </w:p>
        </w:tc>
        <w:tc>
          <w:tcPr>
            <w:tcW w:w="0" w:type="auto"/>
            <w:hideMark/>
          </w:tcPr>
          <w:p w14:paraId="1BE71051"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Informal Road Networks</w:t>
            </w:r>
          </w:p>
        </w:tc>
        <w:tc>
          <w:tcPr>
            <w:tcW w:w="0" w:type="auto"/>
            <w:hideMark/>
          </w:tcPr>
          <w:p w14:paraId="0A69AF26"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U-Net variant (segmentation) + UAV imagery</w:t>
            </w:r>
          </w:p>
        </w:tc>
        <w:tc>
          <w:tcPr>
            <w:tcW w:w="0" w:type="auto"/>
            <w:hideMark/>
          </w:tcPr>
          <w:p w14:paraId="1370EF5E"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Effective in detecting narrow, unplanned roads</w:t>
            </w:r>
          </w:p>
        </w:tc>
      </w:tr>
      <w:tr w:rsidR="004371E3" w:rsidRPr="00BB43B7" w14:paraId="08F6D50C" w14:textId="77777777" w:rsidTr="00BB43B7">
        <w:trPr>
          <w:jc w:val="center"/>
        </w:trPr>
        <w:tc>
          <w:tcPr>
            <w:tcW w:w="0" w:type="auto"/>
            <w:hideMark/>
          </w:tcPr>
          <w:p w14:paraId="63D16C6A"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Ajayakumar et al., 2024</w:t>
            </w:r>
          </w:p>
        </w:tc>
        <w:tc>
          <w:tcPr>
            <w:tcW w:w="0" w:type="auto"/>
            <w:hideMark/>
          </w:tcPr>
          <w:p w14:paraId="74390D06"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Refugee Settlements</w:t>
            </w:r>
          </w:p>
        </w:tc>
        <w:tc>
          <w:tcPr>
            <w:tcW w:w="0" w:type="auto"/>
            <w:hideMark/>
          </w:tcPr>
          <w:p w14:paraId="4BB59C4F"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ResNet-based CNN + UAV-like imagery</w:t>
            </w:r>
          </w:p>
        </w:tc>
        <w:tc>
          <w:tcPr>
            <w:tcW w:w="0" w:type="auto"/>
            <w:hideMark/>
          </w:tcPr>
          <w:p w14:paraId="113A69BB"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Integrated UAV and spatial video to map vulnerable communities</w:t>
            </w:r>
          </w:p>
        </w:tc>
      </w:tr>
    </w:tbl>
    <w:p w14:paraId="0057E3FC" w14:textId="77777777" w:rsidR="004371E3" w:rsidRPr="00BE4AF3" w:rsidRDefault="004371E3" w:rsidP="004371E3">
      <w:pPr>
        <w:pStyle w:val="BodyText"/>
        <w:jc w:val="both"/>
        <w:rPr>
          <w:rFonts w:ascii="Times New Roman" w:hAnsi="Times New Roman"/>
          <w:sz w:val="24"/>
          <w:szCs w:val="24"/>
        </w:rPr>
      </w:pPr>
      <w:r w:rsidRPr="00BE4AF3">
        <w:rPr>
          <w:rFonts w:ascii="Times New Roman" w:hAnsi="Times New Roman"/>
          <w:sz w:val="24"/>
          <w:szCs w:val="24"/>
        </w:rPr>
        <w:t xml:space="preserve">Beyond summarizing applications, </w:t>
      </w:r>
      <w:r w:rsidRPr="00BE4AF3">
        <w:rPr>
          <w:rFonts w:ascii="Times New Roman" w:hAnsi="Times New Roman"/>
          <w:bCs/>
          <w:sz w:val="24"/>
          <w:szCs w:val="24"/>
        </w:rPr>
        <w:t>Table 2</w:t>
      </w:r>
      <w:r w:rsidRPr="00BE4AF3">
        <w:rPr>
          <w:rFonts w:ascii="Times New Roman" w:hAnsi="Times New Roman"/>
          <w:sz w:val="24"/>
          <w:szCs w:val="24"/>
        </w:rPr>
        <w:t xml:space="preserve"> compares models and their strengths/limitations.</w:t>
      </w:r>
    </w:p>
    <w:p w14:paraId="46D1FDFB" w14:textId="77777777" w:rsidR="004371E3" w:rsidRPr="00BB43B7" w:rsidRDefault="004371E3" w:rsidP="0034248D">
      <w:pPr>
        <w:pStyle w:val="BodyText"/>
        <w:spacing w:after="0" w:line="240" w:lineRule="auto"/>
        <w:jc w:val="center"/>
        <w:rPr>
          <w:rFonts w:ascii="Times New Roman" w:hAnsi="Times New Roman"/>
          <w:sz w:val="24"/>
          <w:szCs w:val="24"/>
        </w:rPr>
      </w:pPr>
      <w:r w:rsidRPr="00BE4AF3">
        <w:rPr>
          <w:rFonts w:ascii="Times New Roman" w:hAnsi="Times New Roman"/>
          <w:b/>
          <w:bCs/>
          <w:sz w:val="24"/>
          <w:szCs w:val="24"/>
        </w:rPr>
        <w:t xml:space="preserve">Table 2: </w:t>
      </w:r>
      <w:r w:rsidRPr="00BB43B7">
        <w:rPr>
          <w:rFonts w:ascii="Times New Roman" w:hAnsi="Times New Roman"/>
          <w:sz w:val="24"/>
          <w:szCs w:val="24"/>
        </w:rPr>
        <w:t>Comparison of deep learning models for UAV-based building and road extraction in informal settlements</w:t>
      </w:r>
    </w:p>
    <w:tbl>
      <w:tblPr>
        <w:tblStyle w:val="Table"/>
        <w:tblW w:w="0" w:type="auto"/>
        <w:jc w:val="center"/>
        <w:tblBorders>
          <w:left w:val="none" w:sz="0" w:space="0" w:color="auto"/>
          <w:right w:val="none" w:sz="0" w:space="0" w:color="auto"/>
          <w:insideH w:val="none" w:sz="0" w:space="0" w:color="auto"/>
          <w:insideV w:val="none" w:sz="0" w:space="0" w:color="auto"/>
        </w:tblBorders>
        <w:tblLook w:val="0020" w:firstRow="1" w:lastRow="0" w:firstColumn="0" w:lastColumn="0" w:noHBand="0" w:noVBand="0"/>
      </w:tblPr>
      <w:tblGrid>
        <w:gridCol w:w="1653"/>
        <w:gridCol w:w="4364"/>
        <w:gridCol w:w="1813"/>
        <w:gridCol w:w="1530"/>
      </w:tblGrid>
      <w:tr w:rsidR="00C12A84" w:rsidRPr="00BB43B7" w14:paraId="1E9F56DA" w14:textId="77777777" w:rsidTr="00535FED">
        <w:trPr>
          <w:cnfStyle w:val="100000000000" w:firstRow="1" w:lastRow="0" w:firstColumn="0" w:lastColumn="0" w:oddVBand="0" w:evenVBand="0" w:oddHBand="0" w:evenHBand="0" w:firstRowFirstColumn="0" w:firstRowLastColumn="0" w:lastRowFirstColumn="0" w:lastRowLastColumn="0"/>
          <w:tblHeader/>
          <w:jc w:val="center"/>
        </w:trPr>
        <w:tc>
          <w:tcPr>
            <w:tcW w:w="0" w:type="auto"/>
            <w:tcBorders>
              <w:bottom w:val="single" w:sz="4" w:space="0" w:color="auto"/>
            </w:tcBorders>
            <w:hideMark/>
          </w:tcPr>
          <w:p w14:paraId="01097250" w14:textId="77777777" w:rsidR="004371E3" w:rsidRPr="00BB43B7" w:rsidRDefault="004371E3" w:rsidP="00BB43B7">
            <w:pPr>
              <w:pStyle w:val="Compact"/>
              <w:spacing w:before="0" w:after="0"/>
              <w:rPr>
                <w:rFonts w:cs="Times New Roman"/>
                <w:sz w:val="20"/>
                <w:szCs w:val="20"/>
              </w:rPr>
            </w:pPr>
            <w:bookmarkStart w:id="46" w:name="challenges-and-gaps"/>
            <w:bookmarkEnd w:id="45"/>
            <w:r w:rsidRPr="00BB43B7">
              <w:rPr>
                <w:rFonts w:cs="Times New Roman"/>
                <w:sz w:val="20"/>
                <w:szCs w:val="20"/>
              </w:rPr>
              <w:t>Model</w:t>
            </w:r>
          </w:p>
        </w:tc>
        <w:tc>
          <w:tcPr>
            <w:tcW w:w="0" w:type="auto"/>
            <w:tcBorders>
              <w:bottom w:val="single" w:sz="4" w:space="0" w:color="auto"/>
            </w:tcBorders>
            <w:hideMark/>
          </w:tcPr>
          <w:p w14:paraId="627306AE"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Performance in Informal Settlements</w:t>
            </w:r>
          </w:p>
        </w:tc>
        <w:tc>
          <w:tcPr>
            <w:tcW w:w="0" w:type="auto"/>
            <w:tcBorders>
              <w:bottom w:val="single" w:sz="4" w:space="0" w:color="auto"/>
            </w:tcBorders>
            <w:hideMark/>
          </w:tcPr>
          <w:p w14:paraId="71D43413"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Data Requirement</w:t>
            </w:r>
          </w:p>
        </w:tc>
        <w:tc>
          <w:tcPr>
            <w:tcW w:w="0" w:type="auto"/>
            <w:tcBorders>
              <w:bottom w:val="single" w:sz="4" w:space="0" w:color="auto"/>
            </w:tcBorders>
            <w:hideMark/>
          </w:tcPr>
          <w:p w14:paraId="74DEB3A9"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Suitability for Features</w:t>
            </w:r>
          </w:p>
        </w:tc>
      </w:tr>
      <w:tr w:rsidR="00C12A84" w:rsidRPr="00BB43B7" w14:paraId="0D10F6B3" w14:textId="77777777" w:rsidTr="00535FED">
        <w:trPr>
          <w:jc w:val="center"/>
        </w:trPr>
        <w:tc>
          <w:tcPr>
            <w:tcW w:w="0" w:type="auto"/>
            <w:tcBorders>
              <w:top w:val="single" w:sz="4" w:space="0" w:color="auto"/>
              <w:bottom w:val="nil"/>
            </w:tcBorders>
            <w:hideMark/>
          </w:tcPr>
          <w:p w14:paraId="61D3B7CB"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U-Net</w:t>
            </w:r>
          </w:p>
        </w:tc>
        <w:tc>
          <w:tcPr>
            <w:tcW w:w="0" w:type="auto"/>
            <w:tcBorders>
              <w:top w:val="single" w:sz="4" w:space="0" w:color="auto"/>
              <w:bottom w:val="nil"/>
            </w:tcBorders>
            <w:hideMark/>
          </w:tcPr>
          <w:p w14:paraId="123ED558"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High accuracy for building footprints; moderate for roads (Mboga et al., 2017; Mudau &amp; Mhangara, 2023)</w:t>
            </w:r>
          </w:p>
        </w:tc>
        <w:tc>
          <w:tcPr>
            <w:tcW w:w="0" w:type="auto"/>
            <w:tcBorders>
              <w:top w:val="single" w:sz="4" w:space="0" w:color="auto"/>
              <w:bottom w:val="nil"/>
            </w:tcBorders>
            <w:hideMark/>
          </w:tcPr>
          <w:p w14:paraId="0F8B4858"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Moderate</w:t>
            </w:r>
          </w:p>
        </w:tc>
        <w:tc>
          <w:tcPr>
            <w:tcW w:w="0" w:type="auto"/>
            <w:tcBorders>
              <w:top w:val="single" w:sz="4" w:space="0" w:color="auto"/>
              <w:bottom w:val="nil"/>
            </w:tcBorders>
            <w:hideMark/>
          </w:tcPr>
          <w:p w14:paraId="6D63145C"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 xml:space="preserve">Buildings </w:t>
            </w:r>
            <w:r w:rsidRPr="00BB43B7">
              <w:rPr>
                <w:rFonts w:ascii="Segoe UI Symbol" w:eastAsia="MS Gothic" w:hAnsi="Segoe UI Symbol" w:cs="Segoe UI Symbol"/>
                <w:sz w:val="20"/>
                <w:szCs w:val="20"/>
              </w:rPr>
              <w:t>✔</w:t>
            </w:r>
            <w:r w:rsidRPr="00BB43B7">
              <w:rPr>
                <w:rFonts w:cs="Times New Roman"/>
                <w:sz w:val="20"/>
                <w:szCs w:val="20"/>
              </w:rPr>
              <w:t xml:space="preserve">; Roads </w:t>
            </w:r>
            <w:r w:rsidRPr="00BB43B7">
              <w:rPr>
                <w:rFonts w:ascii="Cambria Math" w:hAnsi="Cambria Math" w:cs="Cambria Math"/>
                <w:sz w:val="20"/>
                <w:szCs w:val="20"/>
              </w:rPr>
              <w:t>△</w:t>
            </w:r>
          </w:p>
        </w:tc>
      </w:tr>
      <w:tr w:rsidR="00C12A84" w:rsidRPr="00BB43B7" w14:paraId="5B4BF020" w14:textId="77777777" w:rsidTr="00535FED">
        <w:trPr>
          <w:jc w:val="center"/>
        </w:trPr>
        <w:tc>
          <w:tcPr>
            <w:tcW w:w="0" w:type="auto"/>
            <w:tcBorders>
              <w:top w:val="nil"/>
            </w:tcBorders>
            <w:hideMark/>
          </w:tcPr>
          <w:p w14:paraId="5ED4EC72"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DeepLab v3+</w:t>
            </w:r>
          </w:p>
        </w:tc>
        <w:tc>
          <w:tcPr>
            <w:tcW w:w="0" w:type="auto"/>
            <w:tcBorders>
              <w:top w:val="nil"/>
            </w:tcBorders>
            <w:hideMark/>
          </w:tcPr>
          <w:p w14:paraId="297FACD4"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Very strong for dense settlements; good at capturing context (Abascal et al., 2022; Mudau &amp; Mhangara, 2023)</w:t>
            </w:r>
          </w:p>
        </w:tc>
        <w:tc>
          <w:tcPr>
            <w:tcW w:w="0" w:type="auto"/>
            <w:tcBorders>
              <w:top w:val="nil"/>
            </w:tcBorders>
            <w:hideMark/>
          </w:tcPr>
          <w:p w14:paraId="22160B92"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High (large annotated datasets)</w:t>
            </w:r>
          </w:p>
        </w:tc>
        <w:tc>
          <w:tcPr>
            <w:tcW w:w="0" w:type="auto"/>
            <w:tcBorders>
              <w:top w:val="nil"/>
            </w:tcBorders>
            <w:hideMark/>
          </w:tcPr>
          <w:p w14:paraId="42C6AF9D"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 xml:space="preserve">Buildings </w:t>
            </w:r>
            <w:r w:rsidRPr="00BB43B7">
              <w:rPr>
                <w:rFonts w:ascii="Segoe UI Symbol" w:eastAsia="MS Gothic" w:hAnsi="Segoe UI Symbol" w:cs="Segoe UI Symbol"/>
                <w:sz w:val="20"/>
                <w:szCs w:val="20"/>
              </w:rPr>
              <w:t>✔✔</w:t>
            </w:r>
            <w:r w:rsidRPr="00BB43B7">
              <w:rPr>
                <w:rFonts w:cs="Times New Roman"/>
                <w:sz w:val="20"/>
                <w:szCs w:val="20"/>
              </w:rPr>
              <w:t xml:space="preserve">; Roads </w:t>
            </w:r>
            <w:r w:rsidRPr="00BB43B7">
              <w:rPr>
                <w:rFonts w:ascii="Segoe UI Symbol" w:eastAsia="MS Gothic" w:hAnsi="Segoe UI Symbol" w:cs="Segoe UI Symbol"/>
                <w:sz w:val="20"/>
                <w:szCs w:val="20"/>
              </w:rPr>
              <w:t>✔</w:t>
            </w:r>
          </w:p>
        </w:tc>
      </w:tr>
      <w:tr w:rsidR="00C12A84" w:rsidRPr="00BB43B7" w14:paraId="280C2A0F" w14:textId="77777777" w:rsidTr="00535FED">
        <w:trPr>
          <w:jc w:val="center"/>
        </w:trPr>
        <w:tc>
          <w:tcPr>
            <w:tcW w:w="0" w:type="auto"/>
            <w:hideMark/>
          </w:tcPr>
          <w:p w14:paraId="0B47F084"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Mask R-CNN</w:t>
            </w:r>
          </w:p>
        </w:tc>
        <w:tc>
          <w:tcPr>
            <w:tcW w:w="0" w:type="auto"/>
            <w:hideMark/>
          </w:tcPr>
          <w:p w14:paraId="61E2B937"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Best for separating overlapping dwellings (Gella et al., 2022)</w:t>
            </w:r>
          </w:p>
        </w:tc>
        <w:tc>
          <w:tcPr>
            <w:tcW w:w="0" w:type="auto"/>
            <w:hideMark/>
          </w:tcPr>
          <w:p w14:paraId="51E854D6"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High GPU demand</w:t>
            </w:r>
          </w:p>
        </w:tc>
        <w:tc>
          <w:tcPr>
            <w:tcW w:w="0" w:type="auto"/>
            <w:hideMark/>
          </w:tcPr>
          <w:p w14:paraId="590B781F"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 xml:space="preserve">Buildings </w:t>
            </w:r>
            <w:r w:rsidRPr="00BB43B7">
              <w:rPr>
                <w:rFonts w:ascii="Segoe UI Symbol" w:eastAsia="MS Gothic" w:hAnsi="Segoe UI Symbol" w:cs="Segoe UI Symbol"/>
                <w:sz w:val="20"/>
                <w:szCs w:val="20"/>
              </w:rPr>
              <w:t>✔✔</w:t>
            </w:r>
            <w:r w:rsidRPr="00BB43B7">
              <w:rPr>
                <w:rFonts w:cs="Times New Roman"/>
                <w:sz w:val="20"/>
                <w:szCs w:val="20"/>
              </w:rPr>
              <w:t xml:space="preserve">; Roads </w:t>
            </w:r>
            <w:r w:rsidRPr="00BB43B7">
              <w:rPr>
                <w:rFonts w:ascii="Segoe UI Symbol" w:eastAsia="MS Gothic" w:hAnsi="Segoe UI Symbol" w:cs="Segoe UI Symbol"/>
                <w:sz w:val="20"/>
                <w:szCs w:val="20"/>
              </w:rPr>
              <w:t>✖</w:t>
            </w:r>
          </w:p>
        </w:tc>
      </w:tr>
      <w:tr w:rsidR="00C12A84" w:rsidRPr="00BB43B7" w14:paraId="08D0430F" w14:textId="77777777" w:rsidTr="00535FED">
        <w:trPr>
          <w:jc w:val="center"/>
        </w:trPr>
        <w:tc>
          <w:tcPr>
            <w:tcW w:w="0" w:type="auto"/>
            <w:hideMark/>
          </w:tcPr>
          <w:p w14:paraId="75B65165"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FCN</w:t>
            </w:r>
          </w:p>
        </w:tc>
        <w:tc>
          <w:tcPr>
            <w:tcW w:w="0" w:type="auto"/>
            <w:hideMark/>
          </w:tcPr>
          <w:p w14:paraId="6E5D88A0"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Reliable for parcel/cadastral boundaries (Xia et al., 2019)</w:t>
            </w:r>
          </w:p>
        </w:tc>
        <w:tc>
          <w:tcPr>
            <w:tcW w:w="0" w:type="auto"/>
            <w:hideMark/>
          </w:tcPr>
          <w:p w14:paraId="154F4290"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Moderate</w:t>
            </w:r>
          </w:p>
        </w:tc>
        <w:tc>
          <w:tcPr>
            <w:tcW w:w="0" w:type="auto"/>
            <w:hideMark/>
          </w:tcPr>
          <w:p w14:paraId="1CB93919"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 xml:space="preserve">Boundaries </w:t>
            </w:r>
            <w:r w:rsidRPr="00BB43B7">
              <w:rPr>
                <w:rFonts w:ascii="Segoe UI Symbol" w:eastAsia="MS Gothic" w:hAnsi="Segoe UI Symbol" w:cs="Segoe UI Symbol"/>
                <w:sz w:val="20"/>
                <w:szCs w:val="20"/>
              </w:rPr>
              <w:t>✔</w:t>
            </w:r>
            <w:r w:rsidRPr="00BB43B7">
              <w:rPr>
                <w:rFonts w:cs="Times New Roman"/>
                <w:sz w:val="20"/>
                <w:szCs w:val="20"/>
              </w:rPr>
              <w:t xml:space="preserve">; Roads </w:t>
            </w:r>
            <w:r w:rsidRPr="00BB43B7">
              <w:rPr>
                <w:rFonts w:ascii="Cambria Math" w:hAnsi="Cambria Math" w:cs="Cambria Math"/>
                <w:sz w:val="20"/>
                <w:szCs w:val="20"/>
              </w:rPr>
              <w:t>△</w:t>
            </w:r>
          </w:p>
        </w:tc>
      </w:tr>
      <w:tr w:rsidR="00C12A84" w:rsidRPr="00BB43B7" w14:paraId="5FE9830E" w14:textId="77777777" w:rsidTr="00535FED">
        <w:trPr>
          <w:jc w:val="center"/>
        </w:trPr>
        <w:tc>
          <w:tcPr>
            <w:tcW w:w="0" w:type="auto"/>
            <w:hideMark/>
          </w:tcPr>
          <w:p w14:paraId="38A95B29"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Transformers (emerging)</w:t>
            </w:r>
          </w:p>
        </w:tc>
        <w:tc>
          <w:tcPr>
            <w:tcW w:w="0" w:type="auto"/>
            <w:hideMark/>
          </w:tcPr>
          <w:p w14:paraId="541AFD06"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Promising accuracy in dense, irregular layouts (Fisher et al., 2022; Raj</w:t>
            </w:r>
            <w:r w:rsidRPr="00BB43B7">
              <w:rPr>
                <w:rFonts w:cs="Times New Roman"/>
                <w:iCs/>
                <w:sz w:val="20"/>
                <w:szCs w:val="20"/>
              </w:rPr>
              <w:t xml:space="preserve"> et al, 2024</w:t>
            </w:r>
            <w:r w:rsidRPr="00BB43B7">
              <w:rPr>
                <w:rFonts w:cs="Times New Roman"/>
                <w:sz w:val="20"/>
                <w:szCs w:val="20"/>
              </w:rPr>
              <w:t>)</w:t>
            </w:r>
          </w:p>
        </w:tc>
        <w:tc>
          <w:tcPr>
            <w:tcW w:w="0" w:type="auto"/>
            <w:hideMark/>
          </w:tcPr>
          <w:p w14:paraId="2A69B3CF"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Still experimental</w:t>
            </w:r>
          </w:p>
        </w:tc>
        <w:tc>
          <w:tcPr>
            <w:tcW w:w="0" w:type="auto"/>
            <w:hideMark/>
          </w:tcPr>
          <w:p w14:paraId="3423E3DE" w14:textId="77777777" w:rsidR="004371E3" w:rsidRPr="00BB43B7" w:rsidRDefault="004371E3" w:rsidP="00BB43B7">
            <w:pPr>
              <w:pStyle w:val="Compact"/>
              <w:spacing w:before="0" w:after="0"/>
              <w:rPr>
                <w:rFonts w:cs="Times New Roman"/>
                <w:sz w:val="20"/>
                <w:szCs w:val="20"/>
              </w:rPr>
            </w:pPr>
            <w:r w:rsidRPr="00BB43B7">
              <w:rPr>
                <w:rFonts w:cs="Times New Roman"/>
                <w:sz w:val="20"/>
                <w:szCs w:val="20"/>
              </w:rPr>
              <w:t xml:space="preserve">Both </w:t>
            </w:r>
            <w:r w:rsidRPr="00BB43B7">
              <w:rPr>
                <w:rFonts w:ascii="Segoe UI Symbol" w:eastAsia="MS Gothic" w:hAnsi="Segoe UI Symbol" w:cs="Segoe UI Symbol"/>
                <w:sz w:val="20"/>
                <w:szCs w:val="20"/>
              </w:rPr>
              <w:t>✔</w:t>
            </w:r>
            <w:r w:rsidRPr="00BB43B7">
              <w:rPr>
                <w:rFonts w:cs="Times New Roman"/>
                <w:sz w:val="20"/>
                <w:szCs w:val="20"/>
              </w:rPr>
              <w:t xml:space="preserve"> (potential)</w:t>
            </w:r>
          </w:p>
        </w:tc>
      </w:tr>
    </w:tbl>
    <w:p w14:paraId="1C558DE6" w14:textId="77777777" w:rsidR="004371E3" w:rsidRPr="00BE4AF3" w:rsidRDefault="004371E3" w:rsidP="004371E3">
      <w:pPr>
        <w:pStyle w:val="Heading4"/>
        <w:jc w:val="both"/>
        <w:rPr>
          <w:rFonts w:ascii="Times New Roman" w:hAnsi="Times New Roman" w:cs="Times New Roman"/>
          <w:b/>
          <w:i w:val="0"/>
          <w:color w:val="auto"/>
          <w:sz w:val="24"/>
          <w:szCs w:val="24"/>
        </w:rPr>
      </w:pPr>
      <w:r w:rsidRPr="00BE4AF3">
        <w:rPr>
          <w:rStyle w:val="Strong"/>
          <w:rFonts w:ascii="Times New Roman" w:hAnsi="Times New Roman" w:cs="Times New Roman"/>
          <w:i w:val="0"/>
          <w:color w:val="auto"/>
          <w:sz w:val="24"/>
          <w:szCs w:val="24"/>
        </w:rPr>
        <w:t>Legend:</w:t>
      </w:r>
      <w:r w:rsidRPr="00BE4AF3">
        <w:rPr>
          <w:rFonts w:ascii="Times New Roman" w:hAnsi="Times New Roman" w:cs="Times New Roman"/>
          <w:b/>
          <w:i w:val="0"/>
          <w:color w:val="auto"/>
          <w:sz w:val="24"/>
          <w:szCs w:val="24"/>
        </w:rPr>
        <w:t xml:space="preserve"> </w:t>
      </w:r>
      <w:r w:rsidRPr="00BE4AF3">
        <w:rPr>
          <w:rFonts w:ascii="Segoe UI Symbol" w:eastAsia="MS Gothic" w:hAnsi="Segoe UI Symbol" w:cs="Segoe UI Symbol"/>
          <w:b/>
          <w:i w:val="0"/>
          <w:color w:val="auto"/>
          <w:sz w:val="24"/>
          <w:szCs w:val="24"/>
        </w:rPr>
        <w:t>✔✔</w:t>
      </w:r>
      <w:r w:rsidRPr="00BE4AF3">
        <w:rPr>
          <w:rFonts w:ascii="Times New Roman" w:hAnsi="Times New Roman" w:cs="Times New Roman"/>
          <w:b/>
          <w:i w:val="0"/>
          <w:color w:val="auto"/>
          <w:sz w:val="24"/>
          <w:szCs w:val="24"/>
        </w:rPr>
        <w:t xml:space="preserve"> = very suitable; </w:t>
      </w:r>
      <w:r w:rsidRPr="00BE4AF3">
        <w:rPr>
          <w:rFonts w:ascii="Segoe UI Symbol" w:eastAsia="MS Gothic" w:hAnsi="Segoe UI Symbol" w:cs="Segoe UI Symbol"/>
          <w:b/>
          <w:i w:val="0"/>
          <w:color w:val="auto"/>
          <w:sz w:val="24"/>
          <w:szCs w:val="24"/>
        </w:rPr>
        <w:t>✔</w:t>
      </w:r>
      <w:r w:rsidRPr="00BE4AF3">
        <w:rPr>
          <w:rFonts w:ascii="Times New Roman" w:hAnsi="Times New Roman" w:cs="Times New Roman"/>
          <w:b/>
          <w:i w:val="0"/>
          <w:color w:val="auto"/>
          <w:sz w:val="24"/>
          <w:szCs w:val="24"/>
        </w:rPr>
        <w:t xml:space="preserve"> = suitable; </w:t>
      </w:r>
      <w:r w:rsidRPr="00BE4AF3">
        <w:rPr>
          <w:rFonts w:ascii="Cambria Math" w:hAnsi="Cambria Math" w:cs="Cambria Math"/>
          <w:b/>
          <w:i w:val="0"/>
          <w:color w:val="auto"/>
          <w:sz w:val="24"/>
          <w:szCs w:val="24"/>
        </w:rPr>
        <w:t>△</w:t>
      </w:r>
      <w:r w:rsidRPr="00BE4AF3">
        <w:rPr>
          <w:rFonts w:ascii="Times New Roman" w:hAnsi="Times New Roman" w:cs="Times New Roman"/>
          <w:b/>
          <w:i w:val="0"/>
          <w:color w:val="auto"/>
          <w:sz w:val="24"/>
          <w:szCs w:val="24"/>
        </w:rPr>
        <w:t xml:space="preserve"> = moderately suitable; </w:t>
      </w:r>
      <w:r w:rsidRPr="00BE4AF3">
        <w:rPr>
          <w:rFonts w:ascii="Segoe UI Symbol" w:eastAsia="MS Gothic" w:hAnsi="Segoe UI Symbol" w:cs="Segoe UI Symbol"/>
          <w:b/>
          <w:i w:val="0"/>
          <w:color w:val="auto"/>
          <w:sz w:val="24"/>
          <w:szCs w:val="24"/>
        </w:rPr>
        <w:t>✖</w:t>
      </w:r>
      <w:r w:rsidRPr="00BE4AF3">
        <w:rPr>
          <w:rFonts w:ascii="Times New Roman" w:hAnsi="Times New Roman" w:cs="Times New Roman"/>
          <w:b/>
          <w:i w:val="0"/>
          <w:color w:val="auto"/>
          <w:sz w:val="24"/>
          <w:szCs w:val="24"/>
        </w:rPr>
        <w:t xml:space="preserve"> = not suitable</w:t>
      </w:r>
    </w:p>
    <w:p w14:paraId="193173EB" w14:textId="1B695B93" w:rsidR="004371E3" w:rsidRPr="00BE4AF3" w:rsidRDefault="004371E3" w:rsidP="004371E3">
      <w:pPr>
        <w:pStyle w:val="BodyText"/>
        <w:rPr>
          <w:rFonts w:ascii="Times New Roman" w:hAnsi="Times New Roman"/>
          <w:sz w:val="24"/>
          <w:szCs w:val="24"/>
        </w:rPr>
      </w:pPr>
    </w:p>
    <w:p w14:paraId="1938BD2A" w14:textId="555A4964" w:rsidR="004371E3" w:rsidRPr="00BE4AF3" w:rsidRDefault="004371E3" w:rsidP="00535FED">
      <w:pPr>
        <w:pStyle w:val="Heading4"/>
        <w:spacing w:before="0" w:line="240" w:lineRule="auto"/>
        <w:jc w:val="both"/>
        <w:rPr>
          <w:rFonts w:ascii="Times New Roman" w:hAnsi="Times New Roman" w:cs="Times New Roman"/>
          <w:b/>
          <w:bCs/>
          <w:i w:val="0"/>
          <w:color w:val="auto"/>
          <w:sz w:val="24"/>
          <w:szCs w:val="24"/>
        </w:rPr>
      </w:pPr>
      <w:r w:rsidRPr="00BE4AF3">
        <w:rPr>
          <w:rFonts w:ascii="Times New Roman" w:hAnsi="Times New Roman" w:cs="Times New Roman"/>
          <w:b/>
          <w:bCs/>
          <w:i w:val="0"/>
          <w:color w:val="auto"/>
          <w:sz w:val="24"/>
          <w:szCs w:val="24"/>
        </w:rPr>
        <w:lastRenderedPageBreak/>
        <w:t>Challenges and Gaps</w:t>
      </w:r>
      <w:bookmarkStart w:id="47" w:name="conclusion"/>
      <w:bookmarkEnd w:id="41"/>
      <w:bookmarkEnd w:id="46"/>
    </w:p>
    <w:p w14:paraId="69DA1857" w14:textId="6EE49FA3" w:rsidR="00615853" w:rsidRDefault="004371E3" w:rsidP="00615853">
      <w:pPr>
        <w:pStyle w:val="Heading4"/>
        <w:spacing w:before="0" w:line="240" w:lineRule="auto"/>
        <w:jc w:val="both"/>
        <w:rPr>
          <w:rFonts w:ascii="Times New Roman" w:eastAsia="Times New Roman" w:hAnsi="Times New Roman" w:cs="Times New Roman"/>
          <w:i w:val="0"/>
          <w:color w:val="auto"/>
          <w:sz w:val="24"/>
          <w:szCs w:val="24"/>
        </w:rPr>
      </w:pPr>
      <w:r w:rsidRPr="00BE4AF3">
        <w:rPr>
          <w:rFonts w:ascii="Times New Roman" w:eastAsia="Times New Roman" w:hAnsi="Times New Roman" w:cs="Times New Roman"/>
          <w:i w:val="0"/>
          <w:color w:val="auto"/>
          <w:sz w:val="24"/>
          <w:szCs w:val="24"/>
        </w:rPr>
        <w:t xml:space="preserve">Despite significant progress, several challenges remain. Primarily, there is a </w:t>
      </w:r>
      <w:r w:rsidRPr="00BE4AF3">
        <w:rPr>
          <w:rFonts w:ascii="Times New Roman" w:eastAsia="Times New Roman" w:hAnsi="Times New Roman" w:cs="Times New Roman"/>
          <w:bCs/>
          <w:i w:val="0"/>
          <w:color w:val="auto"/>
          <w:sz w:val="24"/>
          <w:szCs w:val="24"/>
        </w:rPr>
        <w:t>lack of annotated datasets specific to informal settlements</w:t>
      </w:r>
      <w:r w:rsidRPr="00BE4AF3">
        <w:rPr>
          <w:rFonts w:ascii="Times New Roman" w:eastAsia="Times New Roman" w:hAnsi="Times New Roman" w:cs="Times New Roman"/>
          <w:i w:val="0"/>
          <w:color w:val="auto"/>
          <w:sz w:val="24"/>
          <w:szCs w:val="24"/>
        </w:rPr>
        <w:t xml:space="preserve">, which limits the training and benchmarking of deep learning models (Mboga et al., 2017). Models trained on planned urban areas often fail to generalize to the irregular layouts of informal neighborhoods, highlighting the issue of </w:t>
      </w:r>
      <w:r w:rsidRPr="00BE4AF3">
        <w:rPr>
          <w:rFonts w:ascii="Times New Roman" w:eastAsia="Times New Roman" w:hAnsi="Times New Roman" w:cs="Times New Roman"/>
          <w:bCs/>
          <w:i w:val="0"/>
          <w:color w:val="auto"/>
          <w:sz w:val="24"/>
          <w:szCs w:val="24"/>
        </w:rPr>
        <w:t>model transferability across geographic and socio-cultural contexts</w:t>
      </w:r>
      <w:r w:rsidRPr="00BE4AF3">
        <w:rPr>
          <w:rFonts w:ascii="Times New Roman" w:eastAsia="Times New Roman" w:hAnsi="Times New Roman" w:cs="Times New Roman"/>
          <w:i w:val="0"/>
          <w:color w:val="auto"/>
          <w:sz w:val="24"/>
          <w:szCs w:val="24"/>
        </w:rPr>
        <w:t xml:space="preserve"> (Fisher et al., 2022). Also, </w:t>
      </w:r>
      <w:r w:rsidRPr="00BE4AF3">
        <w:rPr>
          <w:rFonts w:ascii="Times New Roman" w:eastAsia="Times New Roman" w:hAnsi="Times New Roman" w:cs="Times New Roman"/>
          <w:bCs/>
          <w:i w:val="0"/>
          <w:color w:val="auto"/>
          <w:sz w:val="24"/>
          <w:szCs w:val="24"/>
        </w:rPr>
        <w:t>road extraction continues to be problematic</w:t>
      </w:r>
      <w:r w:rsidRPr="00BE4AF3">
        <w:rPr>
          <w:rFonts w:ascii="Times New Roman" w:eastAsia="Times New Roman" w:hAnsi="Times New Roman" w:cs="Times New Roman"/>
          <w:i w:val="0"/>
          <w:color w:val="auto"/>
          <w:sz w:val="24"/>
          <w:szCs w:val="24"/>
        </w:rPr>
        <w:t xml:space="preserve"> due to the occlusion of narrow alleys by buildings, vegetation, or shadows, as well as the highly irregular geometry of paths in informal areas (Fabris-Rotelli et al., 2022). Similarly, </w:t>
      </w:r>
      <w:r w:rsidRPr="00BE4AF3">
        <w:rPr>
          <w:rFonts w:ascii="Times New Roman" w:eastAsia="Times New Roman" w:hAnsi="Times New Roman" w:cs="Times New Roman"/>
          <w:bCs/>
          <w:i w:val="0"/>
          <w:color w:val="auto"/>
          <w:sz w:val="24"/>
          <w:szCs w:val="24"/>
        </w:rPr>
        <w:t>building extraction is challenged by heterogeneous roof materials and frequent roof extensions</w:t>
      </w:r>
      <w:r w:rsidRPr="00BE4AF3">
        <w:rPr>
          <w:rFonts w:ascii="Times New Roman" w:eastAsia="Times New Roman" w:hAnsi="Times New Roman" w:cs="Times New Roman"/>
          <w:i w:val="0"/>
          <w:color w:val="auto"/>
          <w:sz w:val="24"/>
          <w:szCs w:val="24"/>
        </w:rPr>
        <w:t>, which confuse spectral and spatial signatures (Kuffer et al., 2016). Furthermore, e</w:t>
      </w:r>
      <w:r w:rsidRPr="00BE4AF3">
        <w:rPr>
          <w:rFonts w:ascii="Times New Roman" w:eastAsia="Times New Roman" w:hAnsi="Times New Roman" w:cs="Times New Roman"/>
          <w:bCs/>
          <w:i w:val="0"/>
          <w:color w:val="auto"/>
          <w:sz w:val="24"/>
          <w:szCs w:val="24"/>
        </w:rPr>
        <w:t>thical and governance concerns</w:t>
      </w:r>
      <w:r w:rsidRPr="00BE4AF3">
        <w:rPr>
          <w:rFonts w:ascii="Times New Roman" w:eastAsia="Times New Roman" w:hAnsi="Times New Roman" w:cs="Times New Roman"/>
          <w:i w:val="0"/>
          <w:color w:val="auto"/>
          <w:sz w:val="24"/>
          <w:szCs w:val="24"/>
        </w:rPr>
        <w:t xml:space="preserve"> are significant. UAV flights over informal settlements raise privacy issues, and without proper </w:t>
      </w:r>
      <w:r w:rsidRPr="00BE4AF3">
        <w:rPr>
          <w:rFonts w:ascii="Times New Roman" w:eastAsia="Times New Roman" w:hAnsi="Times New Roman" w:cs="Times New Roman"/>
          <w:bCs/>
          <w:i w:val="0"/>
          <w:color w:val="auto"/>
          <w:sz w:val="24"/>
          <w:szCs w:val="24"/>
        </w:rPr>
        <w:t>community consent and transparent data governance</w:t>
      </w:r>
      <w:r w:rsidRPr="00BE4AF3">
        <w:rPr>
          <w:rFonts w:ascii="Times New Roman" w:eastAsia="Times New Roman" w:hAnsi="Times New Roman" w:cs="Times New Roman"/>
          <w:i w:val="0"/>
          <w:color w:val="auto"/>
          <w:sz w:val="24"/>
          <w:szCs w:val="24"/>
        </w:rPr>
        <w:t xml:space="preserve">, mapping initiatives risk alienating or even harming vulnerable populations (Gevaert et al., 2018). Issues of </w:t>
      </w:r>
      <w:r w:rsidRPr="00BE4AF3">
        <w:rPr>
          <w:rFonts w:ascii="Times New Roman" w:eastAsia="Times New Roman" w:hAnsi="Times New Roman" w:cs="Times New Roman"/>
          <w:bCs/>
          <w:i w:val="0"/>
          <w:color w:val="auto"/>
          <w:sz w:val="24"/>
          <w:szCs w:val="24"/>
        </w:rPr>
        <w:t>data ownership</w:t>
      </w:r>
      <w:r w:rsidRPr="00BE4AF3">
        <w:rPr>
          <w:rFonts w:ascii="Times New Roman" w:eastAsia="Times New Roman" w:hAnsi="Times New Roman" w:cs="Times New Roman"/>
          <w:i w:val="0"/>
          <w:color w:val="auto"/>
          <w:sz w:val="24"/>
          <w:szCs w:val="24"/>
        </w:rPr>
        <w:t xml:space="preserve"> and equitable access to resulting maps also persist. Additionally, </w:t>
      </w:r>
      <w:r w:rsidRPr="00BE4AF3">
        <w:rPr>
          <w:rFonts w:ascii="Times New Roman" w:eastAsia="Times New Roman" w:hAnsi="Times New Roman" w:cs="Times New Roman"/>
          <w:bCs/>
          <w:i w:val="0"/>
          <w:color w:val="auto"/>
          <w:sz w:val="24"/>
          <w:szCs w:val="24"/>
        </w:rPr>
        <w:t>technical and operational barriers</w:t>
      </w:r>
      <w:r w:rsidRPr="00BE4AF3">
        <w:rPr>
          <w:rFonts w:ascii="Times New Roman" w:eastAsia="Times New Roman" w:hAnsi="Times New Roman" w:cs="Times New Roman"/>
          <w:i w:val="0"/>
          <w:color w:val="auto"/>
          <w:sz w:val="24"/>
          <w:szCs w:val="24"/>
        </w:rPr>
        <w:t xml:space="preserve"> remain. UAVs have limited flight endurance and coverage compared to satellites, and regulations often restrict low-altitude flights in urban areas. The </w:t>
      </w:r>
      <w:r w:rsidRPr="00BE4AF3">
        <w:rPr>
          <w:rFonts w:ascii="Times New Roman" w:eastAsia="Times New Roman" w:hAnsi="Times New Roman" w:cs="Times New Roman"/>
          <w:bCs/>
          <w:i w:val="0"/>
          <w:color w:val="auto"/>
          <w:sz w:val="24"/>
          <w:szCs w:val="24"/>
        </w:rPr>
        <w:t>computational demands of training deep learning models</w:t>
      </w:r>
      <w:r w:rsidRPr="00BE4AF3">
        <w:rPr>
          <w:rFonts w:ascii="Times New Roman" w:eastAsia="Times New Roman" w:hAnsi="Times New Roman" w:cs="Times New Roman"/>
          <w:i w:val="0"/>
          <w:color w:val="auto"/>
          <w:sz w:val="24"/>
          <w:szCs w:val="24"/>
        </w:rPr>
        <w:t xml:space="preserve"> can be prohibitive in low-resource settings, where access to GPUs and cloud services is limited. Finally, there are </w:t>
      </w:r>
      <w:r w:rsidRPr="00BE4AF3">
        <w:rPr>
          <w:rFonts w:ascii="Times New Roman" w:eastAsia="Times New Roman" w:hAnsi="Times New Roman" w:cs="Times New Roman"/>
          <w:bCs/>
          <w:i w:val="0"/>
          <w:color w:val="auto"/>
          <w:sz w:val="24"/>
          <w:szCs w:val="24"/>
        </w:rPr>
        <w:t>institutional and sustainability challenges</w:t>
      </w:r>
      <w:r w:rsidRPr="00BE4AF3">
        <w:rPr>
          <w:rFonts w:ascii="Times New Roman" w:eastAsia="Times New Roman" w:hAnsi="Times New Roman" w:cs="Times New Roman"/>
          <w:i w:val="0"/>
          <w:color w:val="auto"/>
          <w:sz w:val="24"/>
          <w:szCs w:val="24"/>
        </w:rPr>
        <w:t>. Many UAV–DL mapping projects are implemented as pilot studies, but sustaining them at scale requires long-term institutional support, integration into government workflows, and capacity building for local agencies (Mahabir et al., 2018). Without addressing these systemic issues, the impact of UAV-based mapping in informal settlements may remain fragmented.</w:t>
      </w:r>
    </w:p>
    <w:p w14:paraId="018AED6A" w14:textId="77777777" w:rsidR="00615853" w:rsidRPr="00615853" w:rsidRDefault="00615853" w:rsidP="00615853">
      <w:pPr>
        <w:spacing w:line="240" w:lineRule="auto"/>
      </w:pPr>
    </w:p>
    <w:p w14:paraId="7814DABD" w14:textId="03BE522E" w:rsidR="004371E3" w:rsidRPr="00BE4AF3" w:rsidRDefault="004371E3" w:rsidP="00615853">
      <w:pPr>
        <w:pStyle w:val="Heading3"/>
        <w:spacing w:before="0" w:line="240" w:lineRule="auto"/>
        <w:jc w:val="both"/>
        <w:rPr>
          <w:rFonts w:ascii="Times New Roman" w:hAnsi="Times New Roman" w:cs="Times New Roman"/>
          <w:color w:val="auto"/>
        </w:rPr>
      </w:pPr>
      <w:r w:rsidRPr="00BE4AF3">
        <w:rPr>
          <w:rFonts w:ascii="Times New Roman" w:hAnsi="Times New Roman" w:cs="Times New Roman"/>
          <w:b/>
          <w:bCs/>
          <w:color w:val="auto"/>
        </w:rPr>
        <w:t>Conclusion</w:t>
      </w:r>
    </w:p>
    <w:p w14:paraId="53188B75" w14:textId="77777777" w:rsidR="004371E3" w:rsidRPr="00BE4AF3" w:rsidRDefault="004371E3" w:rsidP="00535FED">
      <w:pPr>
        <w:pStyle w:val="Heading3"/>
        <w:spacing w:before="0" w:line="240" w:lineRule="auto"/>
        <w:jc w:val="both"/>
        <w:rPr>
          <w:rFonts w:ascii="Times New Roman" w:hAnsi="Times New Roman" w:cs="Times New Roman"/>
          <w:color w:val="auto"/>
        </w:rPr>
      </w:pPr>
      <w:bookmarkStart w:id="48" w:name="references"/>
      <w:bookmarkEnd w:id="47"/>
      <w:r w:rsidRPr="00BE4AF3">
        <w:rPr>
          <w:rFonts w:ascii="Times New Roman" w:hAnsi="Times New Roman" w:cs="Times New Roman"/>
          <w:color w:val="auto"/>
        </w:rPr>
        <w:t>This review shows that UAV imagery combined with deep learning has considerable potential for mapping informal settlements. Studies demonstrate that building extraction using CNN-based models such as U-Net, DeepLab, and Mask R-CNN is generally more reliable than road extraction, which remains challenging due to occlusions and narrow pathways. Applications of these methods extend to infrastructure planning, disaster management, land tenure, public health, and settlement upgrading. Despite progress, persistent challenges include limited annotated datasets, difficulties in transferring models across regions, computational demands, and ethical concerns regarding community privacy and consent. Future research should prioritize developing robust datasets, exploring transformer-based and self-supervised models, and integrating multimodal data to improve reliability. By addressing these gaps, UAV-based deep learning can provide more accurate, timely, and socially responsible mapping solutions for informal settlement contexts</w:t>
      </w:r>
    </w:p>
    <w:p w14:paraId="08464DA5" w14:textId="77777777" w:rsidR="004371E3" w:rsidRPr="00BE4AF3" w:rsidRDefault="004371E3" w:rsidP="00535FED">
      <w:pPr>
        <w:pStyle w:val="Heading3"/>
        <w:spacing w:before="0" w:line="240" w:lineRule="auto"/>
        <w:jc w:val="both"/>
        <w:rPr>
          <w:rFonts w:ascii="Times New Roman" w:hAnsi="Times New Roman" w:cs="Times New Roman"/>
          <w:b/>
          <w:bCs/>
          <w:color w:val="auto"/>
        </w:rPr>
      </w:pPr>
    </w:p>
    <w:p w14:paraId="0C1D77CE" w14:textId="376361D0" w:rsidR="004371E3" w:rsidRPr="00BE4AF3" w:rsidRDefault="004371E3" w:rsidP="00535FED">
      <w:pPr>
        <w:pStyle w:val="Heading3"/>
        <w:spacing w:before="0" w:line="240" w:lineRule="auto"/>
        <w:jc w:val="both"/>
        <w:rPr>
          <w:rFonts w:ascii="Times New Roman" w:hAnsi="Times New Roman" w:cs="Times New Roman"/>
          <w:color w:val="auto"/>
        </w:rPr>
      </w:pPr>
      <w:r w:rsidRPr="00BE4AF3">
        <w:rPr>
          <w:rFonts w:ascii="Times New Roman" w:hAnsi="Times New Roman" w:cs="Times New Roman"/>
          <w:b/>
          <w:bCs/>
          <w:color w:val="auto"/>
        </w:rPr>
        <w:t>References</w:t>
      </w:r>
    </w:p>
    <w:p w14:paraId="6189CA8A" w14:textId="77777777" w:rsidR="004371E3" w:rsidRPr="00BE4AF3" w:rsidRDefault="004371E3" w:rsidP="00535FED">
      <w:pPr>
        <w:spacing w:after="0" w:line="240" w:lineRule="auto"/>
        <w:jc w:val="both"/>
        <w:rPr>
          <w:rFonts w:ascii="Times New Roman" w:hAnsi="Times New Roman" w:cs="Times New Roman"/>
          <w:color w:val="222222"/>
          <w:sz w:val="24"/>
          <w:szCs w:val="24"/>
          <w:shd w:val="clear" w:color="auto" w:fill="FFFFFF"/>
        </w:rPr>
      </w:pPr>
      <w:bookmarkStart w:id="49" w:name="X6486c252198b564e02ec13c0ee8a1bb5581ed36"/>
      <w:r w:rsidRPr="00BE4AF3">
        <w:rPr>
          <w:rFonts w:ascii="Times New Roman" w:hAnsi="Times New Roman" w:cs="Times New Roman"/>
          <w:color w:val="222222"/>
          <w:sz w:val="24"/>
          <w:szCs w:val="24"/>
          <w:shd w:val="clear" w:color="auto" w:fill="FFFFFF"/>
        </w:rPr>
        <w:t>Ajayakumar, J., Curtis, A. J., Maisha, F. M., Bempah, S., Ali, A., Kannan, N., ... &amp; Morris Jr, J.</w:t>
      </w:r>
    </w:p>
    <w:p w14:paraId="761D82BB" w14:textId="619AAB6A" w:rsidR="004371E3" w:rsidRPr="00BE4AF3" w:rsidRDefault="004371E3" w:rsidP="00F80416">
      <w:pPr>
        <w:spacing w:after="0" w:line="240" w:lineRule="auto"/>
        <w:ind w:left="720"/>
        <w:jc w:val="both"/>
        <w:rPr>
          <w:rFonts w:ascii="Times New Roman" w:hAnsi="Times New Roman" w:cs="Times New Roman"/>
          <w:color w:val="222222"/>
          <w:sz w:val="24"/>
          <w:szCs w:val="24"/>
          <w:shd w:val="clear" w:color="auto" w:fill="FFFFFF"/>
        </w:rPr>
      </w:pPr>
      <w:r w:rsidRPr="00BE4AF3">
        <w:rPr>
          <w:rFonts w:ascii="Times New Roman" w:hAnsi="Times New Roman" w:cs="Times New Roman"/>
          <w:color w:val="222222"/>
          <w:sz w:val="24"/>
          <w:szCs w:val="24"/>
          <w:shd w:val="clear" w:color="auto" w:fill="FFFFFF"/>
        </w:rPr>
        <w:t>G. (2024). Using spatial video and deep learning for automated mapping of ground-level context in relief camps. </w:t>
      </w:r>
      <w:r w:rsidRPr="00BE4AF3">
        <w:rPr>
          <w:rFonts w:ascii="Times New Roman" w:hAnsi="Times New Roman" w:cs="Times New Roman"/>
          <w:i/>
          <w:iCs/>
          <w:color w:val="222222"/>
          <w:sz w:val="24"/>
          <w:szCs w:val="24"/>
          <w:shd w:val="clear" w:color="auto" w:fill="FFFFFF"/>
        </w:rPr>
        <w:t>International Journal of Health Geographics</w:t>
      </w:r>
      <w:r w:rsidRPr="00BE4AF3">
        <w:rPr>
          <w:rFonts w:ascii="Times New Roman" w:hAnsi="Times New Roman" w:cs="Times New Roman"/>
          <w:color w:val="222222"/>
          <w:sz w:val="24"/>
          <w:szCs w:val="24"/>
          <w:shd w:val="clear" w:color="auto" w:fill="FFFFFF"/>
        </w:rPr>
        <w:t>, </w:t>
      </w:r>
      <w:r w:rsidRPr="00BE4AF3">
        <w:rPr>
          <w:rFonts w:ascii="Times New Roman" w:hAnsi="Times New Roman" w:cs="Times New Roman"/>
          <w:i/>
          <w:iCs/>
          <w:color w:val="222222"/>
          <w:sz w:val="24"/>
          <w:szCs w:val="24"/>
          <w:shd w:val="clear" w:color="auto" w:fill="FFFFFF"/>
        </w:rPr>
        <w:t>23</w:t>
      </w:r>
      <w:r w:rsidRPr="00BE4AF3">
        <w:rPr>
          <w:rFonts w:ascii="Times New Roman" w:hAnsi="Times New Roman" w:cs="Times New Roman"/>
          <w:color w:val="222222"/>
          <w:sz w:val="24"/>
          <w:szCs w:val="24"/>
          <w:shd w:val="clear" w:color="auto" w:fill="FFFFFF"/>
        </w:rPr>
        <w:t>(1), 23.</w:t>
      </w:r>
    </w:p>
    <w:p w14:paraId="652D26A9" w14:textId="77777777" w:rsidR="004371E3" w:rsidRPr="00BE4AF3" w:rsidRDefault="004371E3" w:rsidP="00535FED">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Ajayi, O. G. (2023). Digital Elevation Models (DEMs). In A. J. Kent &amp; D. Specht (Eds.).</w:t>
      </w:r>
    </w:p>
    <w:p w14:paraId="4250FC66" w14:textId="05AEE2D8" w:rsidR="004371E3" w:rsidRPr="00BE4AF3" w:rsidRDefault="004371E3" w:rsidP="00F80416">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i/>
          <w:iCs/>
          <w:sz w:val="24"/>
          <w:szCs w:val="24"/>
        </w:rPr>
        <w:t xml:space="preserve">The Routledge Handbook of Geospatial Technologies and Society. </w:t>
      </w:r>
      <w:r w:rsidRPr="00BE4AF3">
        <w:rPr>
          <w:rFonts w:ascii="Times New Roman" w:hAnsi="Times New Roman" w:cs="Times New Roman"/>
          <w:sz w:val="24"/>
          <w:szCs w:val="24"/>
        </w:rPr>
        <w:t xml:space="preserve">Routledge Taylor and Francis Inc. Chapter 16, (pp. 226-235). </w:t>
      </w:r>
      <w:hyperlink r:id="rId101" w:history="1">
        <w:r w:rsidRPr="00BE4AF3">
          <w:rPr>
            <w:rStyle w:val="Hyperlink"/>
            <w:rFonts w:ascii="Times New Roman" w:hAnsi="Times New Roman" w:cs="Times New Roman"/>
            <w:sz w:val="24"/>
            <w:szCs w:val="24"/>
          </w:rPr>
          <w:t>https://doi.org/10.4324/9780367855765</w:t>
        </w:r>
      </w:hyperlink>
    </w:p>
    <w:p w14:paraId="37EFB93C" w14:textId="77777777" w:rsidR="004371E3" w:rsidRPr="00BE4AF3" w:rsidRDefault="004371E3" w:rsidP="00535FED">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Ajayi, O. G., and Oruma, E. (2022). On the applicability of integrated UAV photogrammetry and</w:t>
      </w:r>
    </w:p>
    <w:p w14:paraId="1CF40497" w14:textId="21412A13" w:rsidR="004371E3" w:rsidRPr="00BE4AF3" w:rsidRDefault="004371E3" w:rsidP="00F80416">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rPr>
        <w:lastRenderedPageBreak/>
        <w:t xml:space="preserve">automatic feature extraction for cadastral mapping. </w:t>
      </w:r>
      <w:r w:rsidRPr="00BE4AF3">
        <w:rPr>
          <w:rFonts w:ascii="Times New Roman" w:hAnsi="Times New Roman" w:cs="Times New Roman"/>
          <w:i/>
          <w:sz w:val="24"/>
          <w:szCs w:val="24"/>
        </w:rPr>
        <w:t xml:space="preserve">Advances in Geodesy and Geoinformation (formerly Geodesy and Cartography), </w:t>
      </w:r>
      <w:r w:rsidRPr="00BE4AF3">
        <w:rPr>
          <w:rFonts w:ascii="Times New Roman" w:hAnsi="Times New Roman" w:cs="Times New Roman"/>
          <w:sz w:val="24"/>
          <w:szCs w:val="24"/>
        </w:rPr>
        <w:t xml:space="preserve">71 (1). </w:t>
      </w:r>
      <w:hyperlink r:id="rId102" w:history="1">
        <w:r w:rsidRPr="00BE4AF3">
          <w:rPr>
            <w:rStyle w:val="Hyperlink"/>
            <w:rFonts w:ascii="Times New Roman" w:hAnsi="Times New Roman" w:cs="Times New Roman"/>
            <w:sz w:val="24"/>
            <w:szCs w:val="24"/>
          </w:rPr>
          <w:t>https://doi.org/10.24425/gac.2022.141172</w:t>
        </w:r>
      </w:hyperlink>
      <w:r w:rsidRPr="00BE4AF3">
        <w:rPr>
          <w:rFonts w:ascii="Times New Roman" w:hAnsi="Times New Roman" w:cs="Times New Roman"/>
          <w:sz w:val="24"/>
          <w:szCs w:val="24"/>
        </w:rPr>
        <w:t xml:space="preserve">  </w:t>
      </w:r>
    </w:p>
    <w:p w14:paraId="5860CA0E" w14:textId="77777777" w:rsidR="004371E3" w:rsidRPr="00BE4AF3" w:rsidRDefault="004371E3" w:rsidP="00535FED">
      <w:pPr>
        <w:spacing w:after="0" w:line="240" w:lineRule="auto"/>
        <w:jc w:val="both"/>
        <w:rPr>
          <w:rFonts w:ascii="Times New Roman" w:hAnsi="Times New Roman" w:cs="Times New Roman"/>
          <w:sz w:val="24"/>
          <w:szCs w:val="24"/>
        </w:rPr>
      </w:pPr>
      <w:bookmarkStart w:id="50" w:name="_Hlk46404230"/>
      <w:r w:rsidRPr="00BE4AF3">
        <w:rPr>
          <w:rFonts w:ascii="Times New Roman" w:hAnsi="Times New Roman" w:cs="Times New Roman"/>
          <w:sz w:val="24"/>
          <w:szCs w:val="24"/>
        </w:rPr>
        <w:t>Ajayi, O. G., Salubi, A. A., Angbas, A. F., and Odigure, M. G. (2017). Generation of accurate</w:t>
      </w:r>
    </w:p>
    <w:p w14:paraId="39E99465" w14:textId="5BF7D7D1" w:rsidR="004371E3" w:rsidRPr="00F80416" w:rsidRDefault="004371E3" w:rsidP="00F80416">
      <w:pPr>
        <w:spacing w:after="0" w:line="240" w:lineRule="auto"/>
        <w:ind w:left="720"/>
        <w:jc w:val="both"/>
        <w:rPr>
          <w:rFonts w:ascii="Times New Roman" w:hAnsi="Times New Roman" w:cs="Times New Roman"/>
          <w:color w:val="0563C1" w:themeColor="hyperlink"/>
          <w:sz w:val="24"/>
          <w:szCs w:val="24"/>
          <w:u w:val="single"/>
        </w:rPr>
      </w:pPr>
      <w:r w:rsidRPr="00BE4AF3">
        <w:rPr>
          <w:rFonts w:ascii="Times New Roman" w:hAnsi="Times New Roman" w:cs="Times New Roman"/>
          <w:sz w:val="24"/>
          <w:szCs w:val="24"/>
        </w:rPr>
        <w:t xml:space="preserve">digital elevation models from UAV acquired low percentage overlapping images. </w:t>
      </w:r>
      <w:r w:rsidRPr="00BE4AF3">
        <w:rPr>
          <w:rFonts w:ascii="Times New Roman" w:hAnsi="Times New Roman" w:cs="Times New Roman"/>
          <w:i/>
          <w:sz w:val="24"/>
          <w:szCs w:val="24"/>
        </w:rPr>
        <w:t xml:space="preserve">International Journal of Remote Sensing. </w:t>
      </w:r>
      <w:r w:rsidRPr="00BE4AF3">
        <w:rPr>
          <w:rFonts w:ascii="Times New Roman" w:hAnsi="Times New Roman" w:cs="Times New Roman"/>
          <w:sz w:val="24"/>
          <w:szCs w:val="24"/>
        </w:rPr>
        <w:t>8-10(38), 3113-3134</w:t>
      </w:r>
      <w:bookmarkEnd w:id="50"/>
      <w:r w:rsidRPr="00BE4AF3">
        <w:rPr>
          <w:rFonts w:ascii="Times New Roman" w:hAnsi="Times New Roman" w:cs="Times New Roman"/>
          <w:sz w:val="24"/>
          <w:szCs w:val="24"/>
        </w:rPr>
        <w:t xml:space="preserve">. </w:t>
      </w:r>
      <w:hyperlink r:id="rId103" w:history="1">
        <w:r w:rsidRPr="00BE4AF3">
          <w:rPr>
            <w:rStyle w:val="Hyperlink"/>
            <w:rFonts w:ascii="Times New Roman" w:hAnsi="Times New Roman" w:cs="Times New Roman"/>
            <w:sz w:val="24"/>
            <w:szCs w:val="24"/>
          </w:rPr>
          <w:t>https://doi.org/10.1080/01431161.2017.1285085</w:t>
        </w:r>
      </w:hyperlink>
    </w:p>
    <w:p w14:paraId="50EEBE5B" w14:textId="77777777" w:rsidR="004371E3" w:rsidRPr="00BE4AF3" w:rsidRDefault="004371E3" w:rsidP="00535FED">
      <w:pPr>
        <w:spacing w:after="0" w:line="240" w:lineRule="auto"/>
        <w:jc w:val="both"/>
        <w:rPr>
          <w:rFonts w:ascii="Times New Roman" w:hAnsi="Times New Roman" w:cs="Times New Roman"/>
          <w:sz w:val="24"/>
          <w:szCs w:val="24"/>
        </w:rPr>
      </w:pPr>
      <w:bookmarkStart w:id="51" w:name="_Hlk205272555"/>
      <w:r w:rsidRPr="00BE4AF3">
        <w:rPr>
          <w:rFonts w:ascii="Times New Roman" w:hAnsi="Times New Roman" w:cs="Times New Roman"/>
          <w:sz w:val="24"/>
          <w:szCs w:val="24"/>
          <w:lang w:val="pt-BR"/>
        </w:rPr>
        <w:t xml:space="preserve">Ajayi, O.G., Iwendi, E, Adetunji, O. O. (2024). </w:t>
      </w:r>
      <w:bookmarkStart w:id="52" w:name="_Hlk165279478"/>
      <w:r w:rsidRPr="00BE4AF3">
        <w:rPr>
          <w:rFonts w:ascii="Times New Roman" w:hAnsi="Times New Roman" w:cs="Times New Roman"/>
          <w:sz w:val="24"/>
          <w:szCs w:val="24"/>
        </w:rPr>
        <w:t>Optimizing Crop Classification in Precision</w:t>
      </w:r>
    </w:p>
    <w:p w14:paraId="74EC20D3" w14:textId="4E1F609D" w:rsidR="004371E3" w:rsidRPr="00F80416" w:rsidRDefault="004371E3" w:rsidP="00F80416">
      <w:pPr>
        <w:spacing w:after="0" w:line="240" w:lineRule="auto"/>
        <w:ind w:left="720"/>
        <w:jc w:val="both"/>
        <w:rPr>
          <w:rFonts w:ascii="Times New Roman" w:hAnsi="Times New Roman" w:cs="Times New Roman"/>
          <w:iCs/>
          <w:sz w:val="24"/>
          <w:szCs w:val="24"/>
          <w:u w:val="single"/>
        </w:rPr>
      </w:pPr>
      <w:r w:rsidRPr="00BE4AF3">
        <w:rPr>
          <w:rFonts w:ascii="Times New Roman" w:hAnsi="Times New Roman" w:cs="Times New Roman"/>
          <w:sz w:val="24"/>
          <w:szCs w:val="24"/>
        </w:rPr>
        <w:t xml:space="preserve">Agriculture using AlexNet and UAV Hyperspectral Imagery. </w:t>
      </w:r>
      <w:r w:rsidRPr="00BE4AF3">
        <w:rPr>
          <w:rFonts w:ascii="Times New Roman" w:hAnsi="Times New Roman" w:cs="Times New Roman"/>
          <w:i/>
          <w:sz w:val="24"/>
          <w:szCs w:val="24"/>
        </w:rPr>
        <w:t xml:space="preserve">Technology in Agronomy. </w:t>
      </w:r>
      <w:r w:rsidRPr="00BE4AF3">
        <w:rPr>
          <w:rFonts w:ascii="Times New Roman" w:hAnsi="Times New Roman" w:cs="Times New Roman"/>
          <w:sz w:val="24"/>
          <w:szCs w:val="24"/>
        </w:rPr>
        <w:t>4: e011. https://doi.org/</w:t>
      </w:r>
      <w:hyperlink r:id="rId104" w:tgtFrame="_blank" w:history="1">
        <w:r w:rsidRPr="00BE4AF3">
          <w:rPr>
            <w:rStyle w:val="Hyperlink"/>
            <w:rFonts w:ascii="Times New Roman" w:hAnsi="Times New Roman" w:cs="Times New Roman"/>
            <w:iCs/>
            <w:sz w:val="24"/>
            <w:szCs w:val="24"/>
          </w:rPr>
          <w:t>10.48130/tia-0024-0009</w:t>
        </w:r>
      </w:hyperlink>
      <w:bookmarkEnd w:id="52"/>
      <w:r w:rsidRPr="00BE4AF3">
        <w:rPr>
          <w:rFonts w:ascii="Times New Roman" w:hAnsi="Times New Roman" w:cs="Times New Roman"/>
          <w:iCs/>
          <w:sz w:val="24"/>
          <w:szCs w:val="24"/>
          <w:u w:val="single"/>
        </w:rPr>
        <w:t xml:space="preserve"> </w:t>
      </w:r>
    </w:p>
    <w:bookmarkEnd w:id="51"/>
    <w:p w14:paraId="21B42861" w14:textId="77777777" w:rsidR="004371E3" w:rsidRPr="00BE4AF3" w:rsidRDefault="004371E3" w:rsidP="00535FED">
      <w:pPr>
        <w:spacing w:after="0" w:line="240" w:lineRule="auto"/>
        <w:jc w:val="both"/>
        <w:rPr>
          <w:rFonts w:ascii="Times New Roman" w:hAnsi="Times New Roman" w:cs="Times New Roman"/>
          <w:sz w:val="24"/>
          <w:szCs w:val="24"/>
          <w:shd w:val="clear" w:color="auto" w:fill="FFFFFF"/>
        </w:rPr>
      </w:pPr>
      <w:r w:rsidRPr="00BE4AF3">
        <w:rPr>
          <w:rFonts w:ascii="Times New Roman" w:hAnsi="Times New Roman" w:cs="Times New Roman"/>
          <w:sz w:val="24"/>
          <w:szCs w:val="24"/>
          <w:shd w:val="clear" w:color="auto" w:fill="FFFFFF"/>
        </w:rPr>
        <w:t>Fabris-Rotelli, I., Wannenburg, A., Maribe, G., Thiede, R., Vogel, M., Coetzee, M., ... &amp;</w:t>
      </w:r>
    </w:p>
    <w:p w14:paraId="50A55E7E" w14:textId="06982F06" w:rsidR="004371E3" w:rsidRPr="00BE4AF3" w:rsidRDefault="004371E3" w:rsidP="00F80416">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shd w:val="clear" w:color="auto" w:fill="FFFFFF"/>
        </w:rPr>
        <w:t>Rautenbach, V. (2022). An informal road detection neural network for societal impact in developing countries. </w:t>
      </w:r>
      <w:r w:rsidRPr="00BE4AF3">
        <w:rPr>
          <w:rFonts w:ascii="Times New Roman" w:hAnsi="Times New Roman" w:cs="Times New Roman"/>
          <w:i/>
          <w:iCs/>
          <w:sz w:val="24"/>
          <w:szCs w:val="24"/>
          <w:shd w:val="clear" w:color="auto" w:fill="FFFFFF"/>
        </w:rPr>
        <w:t>ISPRS Annals of the Photogrammetry, Remote Sensing and Spatial Information Sciences</w:t>
      </w:r>
      <w:r w:rsidRPr="00BE4AF3">
        <w:rPr>
          <w:rFonts w:ascii="Times New Roman" w:hAnsi="Times New Roman" w:cs="Times New Roman"/>
          <w:sz w:val="24"/>
          <w:szCs w:val="24"/>
          <w:shd w:val="clear" w:color="auto" w:fill="FFFFFF"/>
        </w:rPr>
        <w:t>, </w:t>
      </w:r>
      <w:r w:rsidRPr="00BE4AF3">
        <w:rPr>
          <w:rFonts w:ascii="Times New Roman" w:hAnsi="Times New Roman" w:cs="Times New Roman"/>
          <w:i/>
          <w:iCs/>
          <w:sz w:val="24"/>
          <w:szCs w:val="24"/>
          <w:shd w:val="clear" w:color="auto" w:fill="FFFFFF"/>
        </w:rPr>
        <w:t>4</w:t>
      </w:r>
      <w:r w:rsidRPr="00BE4AF3">
        <w:rPr>
          <w:rFonts w:ascii="Times New Roman" w:hAnsi="Times New Roman" w:cs="Times New Roman"/>
          <w:sz w:val="24"/>
          <w:szCs w:val="24"/>
          <w:shd w:val="clear" w:color="auto" w:fill="FFFFFF"/>
        </w:rPr>
        <w:t>, 267-274.</w:t>
      </w:r>
      <w:r w:rsidRPr="00BE4AF3">
        <w:rPr>
          <w:rFonts w:ascii="Times New Roman" w:hAnsi="Times New Roman" w:cs="Times New Roman"/>
          <w:sz w:val="24"/>
          <w:szCs w:val="24"/>
        </w:rPr>
        <w:t xml:space="preserve"> </w:t>
      </w:r>
    </w:p>
    <w:p w14:paraId="7326FAEF" w14:textId="77777777" w:rsidR="004371E3" w:rsidRPr="00BE4AF3" w:rsidRDefault="004371E3" w:rsidP="00535FED">
      <w:pPr>
        <w:spacing w:after="0" w:line="240" w:lineRule="auto"/>
        <w:jc w:val="both"/>
        <w:rPr>
          <w:rFonts w:ascii="Times New Roman" w:hAnsi="Times New Roman" w:cs="Times New Roman"/>
          <w:sz w:val="24"/>
          <w:szCs w:val="24"/>
          <w:shd w:val="clear" w:color="auto" w:fill="FFFFFF"/>
        </w:rPr>
      </w:pPr>
      <w:r w:rsidRPr="00BE4AF3">
        <w:rPr>
          <w:rFonts w:ascii="Times New Roman" w:hAnsi="Times New Roman" w:cs="Times New Roman"/>
          <w:sz w:val="24"/>
          <w:szCs w:val="24"/>
          <w:shd w:val="clear" w:color="auto" w:fill="FFFFFF"/>
        </w:rPr>
        <w:t>Fisher, T., Gibson, H., Liu, Y., Abdar, M., Posa, M., Salimi-Khorshidi, G., ... &amp; Mamouei, M.</w:t>
      </w:r>
    </w:p>
    <w:p w14:paraId="7207692F" w14:textId="17509EA6" w:rsidR="004371E3" w:rsidRPr="00F80416" w:rsidRDefault="004371E3" w:rsidP="00F80416">
      <w:pPr>
        <w:spacing w:after="0" w:line="240" w:lineRule="auto"/>
        <w:ind w:left="720"/>
        <w:jc w:val="both"/>
        <w:rPr>
          <w:rFonts w:ascii="Times New Roman" w:hAnsi="Times New Roman" w:cs="Times New Roman"/>
          <w:sz w:val="24"/>
          <w:szCs w:val="24"/>
          <w:shd w:val="clear" w:color="auto" w:fill="FFFFFF"/>
        </w:rPr>
      </w:pPr>
      <w:r w:rsidRPr="00BE4AF3">
        <w:rPr>
          <w:rFonts w:ascii="Times New Roman" w:hAnsi="Times New Roman" w:cs="Times New Roman"/>
          <w:sz w:val="24"/>
          <w:szCs w:val="24"/>
          <w:shd w:val="clear" w:color="auto" w:fill="FFFFFF"/>
        </w:rPr>
        <w:t>(2022). Uncertainty-aware interpretable deep learning for slum mapping and monitoring. </w:t>
      </w:r>
      <w:r w:rsidRPr="00BE4AF3">
        <w:rPr>
          <w:rFonts w:ascii="Times New Roman" w:hAnsi="Times New Roman" w:cs="Times New Roman"/>
          <w:i/>
          <w:iCs/>
          <w:sz w:val="24"/>
          <w:szCs w:val="24"/>
          <w:shd w:val="clear" w:color="auto" w:fill="FFFFFF"/>
        </w:rPr>
        <w:t>Remote Sensing</w:t>
      </w:r>
      <w:r w:rsidRPr="00BE4AF3">
        <w:rPr>
          <w:rFonts w:ascii="Times New Roman" w:hAnsi="Times New Roman" w:cs="Times New Roman"/>
          <w:sz w:val="24"/>
          <w:szCs w:val="24"/>
          <w:shd w:val="clear" w:color="auto" w:fill="FFFFFF"/>
        </w:rPr>
        <w:t>, </w:t>
      </w:r>
      <w:r w:rsidRPr="00BE4AF3">
        <w:rPr>
          <w:rFonts w:ascii="Times New Roman" w:hAnsi="Times New Roman" w:cs="Times New Roman"/>
          <w:i/>
          <w:iCs/>
          <w:sz w:val="24"/>
          <w:szCs w:val="24"/>
          <w:shd w:val="clear" w:color="auto" w:fill="FFFFFF"/>
        </w:rPr>
        <w:t>14</w:t>
      </w:r>
      <w:r w:rsidRPr="00BE4AF3">
        <w:rPr>
          <w:rFonts w:ascii="Times New Roman" w:hAnsi="Times New Roman" w:cs="Times New Roman"/>
          <w:sz w:val="24"/>
          <w:szCs w:val="24"/>
          <w:shd w:val="clear" w:color="auto" w:fill="FFFFFF"/>
        </w:rPr>
        <w:t xml:space="preserve">(13), 3072. </w:t>
      </w:r>
    </w:p>
    <w:p w14:paraId="215B3034" w14:textId="77777777" w:rsidR="004371E3" w:rsidRPr="00BE4AF3" w:rsidRDefault="004371E3" w:rsidP="00535FED">
      <w:pPr>
        <w:spacing w:after="0" w:line="240" w:lineRule="auto"/>
        <w:jc w:val="both"/>
        <w:rPr>
          <w:rFonts w:ascii="Times New Roman" w:hAnsi="Times New Roman" w:cs="Times New Roman"/>
          <w:sz w:val="24"/>
          <w:szCs w:val="24"/>
          <w:shd w:val="clear" w:color="auto" w:fill="FFFFFF"/>
        </w:rPr>
      </w:pPr>
      <w:r w:rsidRPr="00BE4AF3">
        <w:rPr>
          <w:rFonts w:ascii="Times New Roman" w:hAnsi="Times New Roman" w:cs="Times New Roman"/>
          <w:sz w:val="24"/>
          <w:szCs w:val="24"/>
          <w:shd w:val="clear" w:color="auto" w:fill="FFFFFF"/>
        </w:rPr>
        <w:t>Gella, G. W., Wendt, L., Lang, S., Tiede, D., Hofer, B., Gao, Y., &amp; Braun, A. (2022). Mapping</w:t>
      </w:r>
    </w:p>
    <w:p w14:paraId="52CA3578" w14:textId="0AE2F2E4" w:rsidR="004371E3" w:rsidRPr="00F80416" w:rsidRDefault="004371E3" w:rsidP="00F80416">
      <w:pPr>
        <w:spacing w:after="0" w:line="240" w:lineRule="auto"/>
        <w:ind w:left="720"/>
        <w:jc w:val="both"/>
        <w:rPr>
          <w:rFonts w:ascii="Times New Roman" w:hAnsi="Times New Roman" w:cs="Times New Roman"/>
          <w:sz w:val="24"/>
          <w:szCs w:val="24"/>
          <w:shd w:val="clear" w:color="auto" w:fill="FFFFFF"/>
        </w:rPr>
      </w:pPr>
      <w:r w:rsidRPr="00BE4AF3">
        <w:rPr>
          <w:rFonts w:ascii="Times New Roman" w:hAnsi="Times New Roman" w:cs="Times New Roman"/>
          <w:sz w:val="24"/>
          <w:szCs w:val="24"/>
          <w:shd w:val="clear" w:color="auto" w:fill="FFFFFF"/>
        </w:rPr>
        <w:t>of dwellings in IDP/refugee settlements from very high-resolution satellite imagery using a mask region-based convolutional neural network. </w:t>
      </w:r>
      <w:r w:rsidRPr="00BE4AF3">
        <w:rPr>
          <w:rFonts w:ascii="Times New Roman" w:hAnsi="Times New Roman" w:cs="Times New Roman"/>
          <w:i/>
          <w:iCs/>
          <w:sz w:val="24"/>
          <w:szCs w:val="24"/>
          <w:shd w:val="clear" w:color="auto" w:fill="FFFFFF"/>
        </w:rPr>
        <w:t>Remote Sensing</w:t>
      </w:r>
      <w:r w:rsidRPr="00BE4AF3">
        <w:rPr>
          <w:rFonts w:ascii="Times New Roman" w:hAnsi="Times New Roman" w:cs="Times New Roman"/>
          <w:sz w:val="24"/>
          <w:szCs w:val="24"/>
          <w:shd w:val="clear" w:color="auto" w:fill="FFFFFF"/>
        </w:rPr>
        <w:t>, </w:t>
      </w:r>
      <w:r w:rsidRPr="00BE4AF3">
        <w:rPr>
          <w:rFonts w:ascii="Times New Roman" w:hAnsi="Times New Roman" w:cs="Times New Roman"/>
          <w:i/>
          <w:iCs/>
          <w:sz w:val="24"/>
          <w:szCs w:val="24"/>
          <w:shd w:val="clear" w:color="auto" w:fill="FFFFFF"/>
        </w:rPr>
        <w:t>14</w:t>
      </w:r>
      <w:r w:rsidRPr="00BE4AF3">
        <w:rPr>
          <w:rFonts w:ascii="Times New Roman" w:hAnsi="Times New Roman" w:cs="Times New Roman"/>
          <w:sz w:val="24"/>
          <w:szCs w:val="24"/>
          <w:shd w:val="clear" w:color="auto" w:fill="FFFFFF"/>
        </w:rPr>
        <w:t>(3), 689.</w:t>
      </w:r>
    </w:p>
    <w:p w14:paraId="32722891" w14:textId="77777777" w:rsidR="004371E3" w:rsidRPr="00BE4AF3" w:rsidRDefault="004371E3" w:rsidP="00535FED">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Gevaert, C. M., Persello, C., Sliuzas, R., &amp; Vosselman, G. (2016). Classification of informal</w:t>
      </w:r>
    </w:p>
    <w:p w14:paraId="52593691" w14:textId="3F8CCB3A" w:rsidR="004371E3" w:rsidRPr="00BE4AF3" w:rsidRDefault="004371E3" w:rsidP="00F80416">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rPr>
        <w:t xml:space="preserve">settlements through integration of 2D/3D features from UAV data. </w:t>
      </w:r>
      <w:r w:rsidRPr="00BE4AF3">
        <w:rPr>
          <w:rFonts w:ascii="Times New Roman" w:hAnsi="Times New Roman" w:cs="Times New Roman"/>
          <w:i/>
          <w:iCs/>
          <w:sz w:val="24"/>
          <w:szCs w:val="24"/>
        </w:rPr>
        <w:t>ISPRS Annals of Photogrammetry, Remote Sensing and Spatial Information Sciences, III-3</w:t>
      </w:r>
      <w:r w:rsidRPr="00BE4AF3">
        <w:rPr>
          <w:rFonts w:ascii="Times New Roman" w:hAnsi="Times New Roman" w:cs="Times New Roman"/>
          <w:sz w:val="24"/>
          <w:szCs w:val="24"/>
        </w:rPr>
        <w:t xml:space="preserve">, 317–324. </w:t>
      </w:r>
      <w:hyperlink r:id="rId105">
        <w:r w:rsidRPr="00BE4AF3">
          <w:rPr>
            <w:rStyle w:val="Hyperlink"/>
            <w:rFonts w:ascii="Times New Roman" w:hAnsi="Times New Roman" w:cs="Times New Roman"/>
            <w:sz w:val="24"/>
            <w:szCs w:val="24"/>
          </w:rPr>
          <w:t>https://doi.org/10.5194/isprs-annals-III-3-317-2016</w:t>
        </w:r>
      </w:hyperlink>
      <w:r w:rsidRPr="00BE4AF3">
        <w:rPr>
          <w:rFonts w:ascii="Times New Roman" w:hAnsi="Times New Roman" w:cs="Times New Roman"/>
          <w:sz w:val="24"/>
          <w:szCs w:val="24"/>
        </w:rPr>
        <w:t xml:space="preserve"> — Short, focused UAV paper; nice historical baseline for your narrative. (</w:t>
      </w:r>
      <w:hyperlink r:id="rId106">
        <w:r w:rsidRPr="00BE4AF3">
          <w:rPr>
            <w:rStyle w:val="Hyperlink"/>
            <w:rFonts w:ascii="Times New Roman" w:hAnsi="Times New Roman" w:cs="Times New Roman"/>
            <w:sz w:val="24"/>
            <w:szCs w:val="24"/>
          </w:rPr>
          <w:t>ISPRS Annals</w:t>
        </w:r>
      </w:hyperlink>
      <w:r w:rsidRPr="00BE4AF3">
        <w:rPr>
          <w:rFonts w:ascii="Times New Roman" w:hAnsi="Times New Roman" w:cs="Times New Roman"/>
          <w:sz w:val="24"/>
          <w:szCs w:val="24"/>
        </w:rPr>
        <w:t>)</w:t>
      </w:r>
    </w:p>
    <w:p w14:paraId="438F34D6" w14:textId="77777777" w:rsidR="004371E3" w:rsidRPr="00BE4AF3" w:rsidRDefault="004371E3" w:rsidP="00535FED">
      <w:pPr>
        <w:spacing w:after="0" w:line="240" w:lineRule="auto"/>
        <w:jc w:val="both"/>
        <w:rPr>
          <w:rFonts w:ascii="Times New Roman" w:hAnsi="Times New Roman" w:cs="Times New Roman"/>
          <w:sz w:val="24"/>
          <w:szCs w:val="24"/>
          <w:shd w:val="clear" w:color="auto" w:fill="FFFFFF"/>
        </w:rPr>
      </w:pPr>
      <w:r w:rsidRPr="00BE4AF3">
        <w:rPr>
          <w:rFonts w:ascii="Times New Roman" w:hAnsi="Times New Roman" w:cs="Times New Roman"/>
          <w:sz w:val="24"/>
          <w:szCs w:val="24"/>
          <w:shd w:val="clear" w:color="auto" w:fill="FFFFFF"/>
        </w:rPr>
        <w:t>Gevaert, C. M., Persello, C., Sliuzas, R., &amp; Vosselman, G. (2017). Informal settlement</w:t>
      </w:r>
    </w:p>
    <w:p w14:paraId="38917D20" w14:textId="175D44F8" w:rsidR="004371E3" w:rsidRPr="00F80416" w:rsidRDefault="004371E3" w:rsidP="00F80416">
      <w:pPr>
        <w:spacing w:after="0" w:line="240" w:lineRule="auto"/>
        <w:ind w:left="720"/>
        <w:jc w:val="both"/>
        <w:rPr>
          <w:rFonts w:ascii="Times New Roman" w:hAnsi="Times New Roman" w:cs="Times New Roman"/>
          <w:sz w:val="24"/>
          <w:szCs w:val="24"/>
          <w:shd w:val="clear" w:color="auto" w:fill="FFFFFF"/>
        </w:rPr>
      </w:pPr>
      <w:r w:rsidRPr="00BE4AF3">
        <w:rPr>
          <w:rFonts w:ascii="Times New Roman" w:hAnsi="Times New Roman" w:cs="Times New Roman"/>
          <w:sz w:val="24"/>
          <w:szCs w:val="24"/>
          <w:shd w:val="clear" w:color="auto" w:fill="FFFFFF"/>
        </w:rPr>
        <w:t>classification using point-cloud and image-based features from UAV data. </w:t>
      </w:r>
      <w:r w:rsidRPr="00BE4AF3">
        <w:rPr>
          <w:rFonts w:ascii="Times New Roman" w:hAnsi="Times New Roman" w:cs="Times New Roman"/>
          <w:i/>
          <w:iCs/>
          <w:sz w:val="24"/>
          <w:szCs w:val="24"/>
          <w:shd w:val="clear" w:color="auto" w:fill="FFFFFF"/>
        </w:rPr>
        <w:t>ISPRS journal of photogrammetry and remote sensing</w:t>
      </w:r>
      <w:r w:rsidRPr="00BE4AF3">
        <w:rPr>
          <w:rFonts w:ascii="Times New Roman" w:hAnsi="Times New Roman" w:cs="Times New Roman"/>
          <w:sz w:val="24"/>
          <w:szCs w:val="24"/>
          <w:shd w:val="clear" w:color="auto" w:fill="FFFFFF"/>
        </w:rPr>
        <w:t>, </w:t>
      </w:r>
      <w:r w:rsidRPr="00BE4AF3">
        <w:rPr>
          <w:rFonts w:ascii="Times New Roman" w:hAnsi="Times New Roman" w:cs="Times New Roman"/>
          <w:i/>
          <w:iCs/>
          <w:sz w:val="24"/>
          <w:szCs w:val="24"/>
          <w:shd w:val="clear" w:color="auto" w:fill="FFFFFF"/>
        </w:rPr>
        <w:t>125</w:t>
      </w:r>
      <w:r w:rsidRPr="00BE4AF3">
        <w:rPr>
          <w:rFonts w:ascii="Times New Roman" w:hAnsi="Times New Roman" w:cs="Times New Roman"/>
          <w:sz w:val="24"/>
          <w:szCs w:val="24"/>
          <w:shd w:val="clear" w:color="auto" w:fill="FFFFFF"/>
        </w:rPr>
        <w:t>, 225-236.</w:t>
      </w:r>
    </w:p>
    <w:p w14:paraId="407A0E77" w14:textId="77777777" w:rsidR="004371E3" w:rsidRPr="00BE4AF3" w:rsidRDefault="004371E3" w:rsidP="00535FED">
      <w:pPr>
        <w:spacing w:after="0" w:line="240" w:lineRule="auto"/>
        <w:jc w:val="both"/>
        <w:rPr>
          <w:rFonts w:ascii="Times New Roman" w:hAnsi="Times New Roman" w:cs="Times New Roman"/>
          <w:sz w:val="24"/>
          <w:szCs w:val="24"/>
          <w:shd w:val="clear" w:color="auto" w:fill="FFFFFF"/>
        </w:rPr>
      </w:pPr>
      <w:r w:rsidRPr="00BE4AF3">
        <w:rPr>
          <w:rFonts w:ascii="Times New Roman" w:hAnsi="Times New Roman" w:cs="Times New Roman"/>
          <w:sz w:val="24"/>
          <w:szCs w:val="24"/>
          <w:shd w:val="clear" w:color="auto" w:fill="FFFFFF"/>
        </w:rPr>
        <w:t>Gevaert, C. M., Sliuzas, R., Persello, C., &amp; Vosselman, G. (2018). Evaluating the societal impact</w:t>
      </w:r>
    </w:p>
    <w:p w14:paraId="3020C34F" w14:textId="702B89D9" w:rsidR="004371E3" w:rsidRPr="00BE4AF3" w:rsidRDefault="004371E3" w:rsidP="00F80416">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shd w:val="clear" w:color="auto" w:fill="FFFFFF"/>
        </w:rPr>
        <w:t>of using drones to support urban upgrading projects. </w:t>
      </w:r>
      <w:r w:rsidRPr="00BE4AF3">
        <w:rPr>
          <w:rFonts w:ascii="Times New Roman" w:hAnsi="Times New Roman" w:cs="Times New Roman"/>
          <w:i/>
          <w:iCs/>
          <w:sz w:val="24"/>
          <w:szCs w:val="24"/>
          <w:shd w:val="clear" w:color="auto" w:fill="FFFFFF"/>
        </w:rPr>
        <w:t>ISPRS international journal of geo-information</w:t>
      </w:r>
      <w:r w:rsidRPr="00BE4AF3">
        <w:rPr>
          <w:rFonts w:ascii="Times New Roman" w:hAnsi="Times New Roman" w:cs="Times New Roman"/>
          <w:sz w:val="24"/>
          <w:szCs w:val="24"/>
          <w:shd w:val="clear" w:color="auto" w:fill="FFFFFF"/>
        </w:rPr>
        <w:t>, </w:t>
      </w:r>
      <w:r w:rsidRPr="00BE4AF3">
        <w:rPr>
          <w:rFonts w:ascii="Times New Roman" w:hAnsi="Times New Roman" w:cs="Times New Roman"/>
          <w:i/>
          <w:iCs/>
          <w:sz w:val="24"/>
          <w:szCs w:val="24"/>
          <w:shd w:val="clear" w:color="auto" w:fill="FFFFFF"/>
        </w:rPr>
        <w:t>7</w:t>
      </w:r>
      <w:r w:rsidRPr="00BE4AF3">
        <w:rPr>
          <w:rFonts w:ascii="Times New Roman" w:hAnsi="Times New Roman" w:cs="Times New Roman"/>
          <w:sz w:val="24"/>
          <w:szCs w:val="24"/>
          <w:shd w:val="clear" w:color="auto" w:fill="FFFFFF"/>
        </w:rPr>
        <w:t>(3), 91.</w:t>
      </w:r>
      <w:r w:rsidRPr="00BE4AF3">
        <w:rPr>
          <w:rFonts w:ascii="Times New Roman" w:hAnsi="Times New Roman" w:cs="Times New Roman"/>
          <w:sz w:val="24"/>
          <w:szCs w:val="24"/>
        </w:rPr>
        <w:t xml:space="preserve"> </w:t>
      </w:r>
    </w:p>
    <w:p w14:paraId="73F17BEC" w14:textId="77777777" w:rsidR="004371E3" w:rsidRPr="00BE4AF3" w:rsidRDefault="004371E3" w:rsidP="00535FED">
      <w:pPr>
        <w:spacing w:after="0" w:line="240" w:lineRule="auto"/>
        <w:jc w:val="both"/>
        <w:rPr>
          <w:rFonts w:ascii="Times New Roman" w:hAnsi="Times New Roman" w:cs="Times New Roman"/>
          <w:sz w:val="24"/>
          <w:szCs w:val="24"/>
          <w:shd w:val="clear" w:color="auto" w:fill="FFFFFF"/>
        </w:rPr>
      </w:pPr>
      <w:r w:rsidRPr="00BE4AF3">
        <w:rPr>
          <w:rFonts w:ascii="Times New Roman" w:hAnsi="Times New Roman" w:cs="Times New Roman"/>
          <w:sz w:val="24"/>
          <w:szCs w:val="24"/>
          <w:shd w:val="clear" w:color="auto" w:fill="FFFFFF"/>
        </w:rPr>
        <w:t>Gevaert, C. M., Persello, C., Sliuzas, R., &amp; Vosselman, G. (2020). Monitoring household</w:t>
      </w:r>
    </w:p>
    <w:p w14:paraId="3CDCBD40" w14:textId="51544D08" w:rsidR="004371E3" w:rsidRPr="00BE4AF3" w:rsidRDefault="004371E3" w:rsidP="00F80416">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shd w:val="clear" w:color="auto" w:fill="FFFFFF"/>
        </w:rPr>
        <w:t>upgrading in unplanned settlements with unmanned aerial vehicles. </w:t>
      </w:r>
      <w:r w:rsidRPr="00BE4AF3">
        <w:rPr>
          <w:rFonts w:ascii="Times New Roman" w:hAnsi="Times New Roman" w:cs="Times New Roman"/>
          <w:i/>
          <w:iCs/>
          <w:sz w:val="24"/>
          <w:szCs w:val="24"/>
          <w:shd w:val="clear" w:color="auto" w:fill="FFFFFF"/>
        </w:rPr>
        <w:t>International Journal of Applied Earth Observation and Geoinformation</w:t>
      </w:r>
      <w:r w:rsidRPr="00BE4AF3">
        <w:rPr>
          <w:rFonts w:ascii="Times New Roman" w:hAnsi="Times New Roman" w:cs="Times New Roman"/>
          <w:sz w:val="24"/>
          <w:szCs w:val="24"/>
          <w:shd w:val="clear" w:color="auto" w:fill="FFFFFF"/>
        </w:rPr>
        <w:t>, </w:t>
      </w:r>
      <w:r w:rsidRPr="00BE4AF3">
        <w:rPr>
          <w:rFonts w:ascii="Times New Roman" w:hAnsi="Times New Roman" w:cs="Times New Roman"/>
          <w:i/>
          <w:iCs/>
          <w:sz w:val="24"/>
          <w:szCs w:val="24"/>
          <w:shd w:val="clear" w:color="auto" w:fill="FFFFFF"/>
        </w:rPr>
        <w:t>90</w:t>
      </w:r>
      <w:r w:rsidRPr="00BE4AF3">
        <w:rPr>
          <w:rFonts w:ascii="Times New Roman" w:hAnsi="Times New Roman" w:cs="Times New Roman"/>
          <w:sz w:val="24"/>
          <w:szCs w:val="24"/>
          <w:shd w:val="clear" w:color="auto" w:fill="FFFFFF"/>
        </w:rPr>
        <w:t>, 102117.</w:t>
      </w:r>
      <w:r w:rsidRPr="00BE4AF3">
        <w:rPr>
          <w:rFonts w:ascii="Times New Roman" w:hAnsi="Times New Roman" w:cs="Times New Roman"/>
          <w:sz w:val="24"/>
          <w:szCs w:val="24"/>
        </w:rPr>
        <w:t xml:space="preserve"> </w:t>
      </w:r>
    </w:p>
    <w:p w14:paraId="7B5501BC" w14:textId="77777777" w:rsidR="004371E3" w:rsidRPr="00BE4AF3" w:rsidRDefault="004371E3" w:rsidP="00535FED">
      <w:pPr>
        <w:spacing w:after="0" w:line="240" w:lineRule="auto"/>
        <w:jc w:val="both"/>
        <w:rPr>
          <w:rFonts w:ascii="Times New Roman" w:hAnsi="Times New Roman" w:cs="Times New Roman"/>
          <w:i/>
          <w:iCs/>
          <w:sz w:val="24"/>
          <w:szCs w:val="24"/>
        </w:rPr>
      </w:pPr>
      <w:r w:rsidRPr="00BE4AF3">
        <w:rPr>
          <w:rFonts w:ascii="Times New Roman" w:hAnsi="Times New Roman" w:cs="Times New Roman"/>
          <w:sz w:val="24"/>
          <w:szCs w:val="24"/>
        </w:rPr>
        <w:t xml:space="preserve">Kuffer, M., Pfeffer, K., &amp; Sliuzas, R. (2016). </w:t>
      </w:r>
      <w:r w:rsidRPr="00BE4AF3">
        <w:rPr>
          <w:rFonts w:ascii="Times New Roman" w:hAnsi="Times New Roman" w:cs="Times New Roman"/>
          <w:i/>
          <w:iCs/>
          <w:sz w:val="24"/>
          <w:szCs w:val="24"/>
        </w:rPr>
        <w:t>Slums from space — 15 years of slum mapping</w:t>
      </w:r>
    </w:p>
    <w:p w14:paraId="6AAD958A" w14:textId="2A1C07D8" w:rsidR="004371E3" w:rsidRPr="00BE4AF3" w:rsidRDefault="004371E3" w:rsidP="00F80416">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i/>
          <w:iCs/>
          <w:sz w:val="24"/>
          <w:szCs w:val="24"/>
        </w:rPr>
        <w:t>using remote sensing.</w:t>
      </w:r>
      <w:r w:rsidRPr="00BE4AF3">
        <w:rPr>
          <w:rFonts w:ascii="Times New Roman" w:hAnsi="Times New Roman" w:cs="Times New Roman"/>
          <w:sz w:val="24"/>
          <w:szCs w:val="24"/>
        </w:rPr>
        <w:t xml:space="preserve"> </w:t>
      </w:r>
      <w:r w:rsidRPr="00BE4AF3">
        <w:rPr>
          <w:rFonts w:ascii="Times New Roman" w:hAnsi="Times New Roman" w:cs="Times New Roman"/>
          <w:bCs/>
          <w:sz w:val="24"/>
          <w:szCs w:val="24"/>
        </w:rPr>
        <w:t>Remote Sensing, 8</w:t>
      </w:r>
      <w:r w:rsidRPr="00BE4AF3">
        <w:rPr>
          <w:rFonts w:ascii="Times New Roman" w:hAnsi="Times New Roman" w:cs="Times New Roman"/>
          <w:sz w:val="24"/>
          <w:szCs w:val="24"/>
        </w:rPr>
        <w:t xml:space="preserve">(6), 455. </w:t>
      </w:r>
      <w:hyperlink r:id="rId107" w:history="1">
        <w:r w:rsidRPr="00BE4AF3">
          <w:rPr>
            <w:rStyle w:val="Hyperlink"/>
            <w:rFonts w:ascii="Times New Roman" w:hAnsi="Times New Roman" w:cs="Times New Roman"/>
            <w:sz w:val="24"/>
            <w:szCs w:val="24"/>
          </w:rPr>
          <w:t>https://doi.org/10.3390/rs8060455</w:t>
        </w:r>
      </w:hyperlink>
      <w:r w:rsidRPr="00BE4AF3">
        <w:rPr>
          <w:rFonts w:ascii="Times New Roman" w:hAnsi="Times New Roman" w:cs="Times New Roman"/>
          <w:sz w:val="24"/>
          <w:szCs w:val="24"/>
        </w:rPr>
        <w:t>.</w:t>
      </w:r>
    </w:p>
    <w:p w14:paraId="204EC406" w14:textId="77777777" w:rsidR="004371E3" w:rsidRPr="00BE4AF3" w:rsidRDefault="004371E3" w:rsidP="00535FED">
      <w:pPr>
        <w:spacing w:after="0" w:line="240" w:lineRule="auto"/>
        <w:jc w:val="both"/>
        <w:rPr>
          <w:rFonts w:ascii="Times New Roman" w:hAnsi="Times New Roman" w:cs="Times New Roman"/>
          <w:i/>
          <w:iCs/>
          <w:sz w:val="24"/>
          <w:szCs w:val="24"/>
        </w:rPr>
      </w:pPr>
      <w:r w:rsidRPr="00BE4AF3">
        <w:rPr>
          <w:rFonts w:ascii="Times New Roman" w:hAnsi="Times New Roman" w:cs="Times New Roman"/>
          <w:sz w:val="24"/>
          <w:szCs w:val="24"/>
        </w:rPr>
        <w:t xml:space="preserve">Kuffer, M., Pfeffer, K., Sliuzas, R., Baud, I., &amp; van Maarseveen, M. (2017). </w:t>
      </w:r>
      <w:r w:rsidRPr="00BE4AF3">
        <w:rPr>
          <w:rFonts w:ascii="Times New Roman" w:hAnsi="Times New Roman" w:cs="Times New Roman"/>
          <w:i/>
          <w:iCs/>
          <w:sz w:val="24"/>
          <w:szCs w:val="24"/>
        </w:rPr>
        <w:t>Capturing the</w:t>
      </w:r>
    </w:p>
    <w:p w14:paraId="36695FE8" w14:textId="1065BE71" w:rsidR="004371E3" w:rsidRPr="00F80416" w:rsidRDefault="004371E3" w:rsidP="00F80416">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i/>
          <w:iCs/>
          <w:sz w:val="24"/>
          <w:szCs w:val="24"/>
        </w:rPr>
        <w:t>diversity of deprived areas with image-based features: The case of Mumbai.</w:t>
      </w:r>
      <w:r w:rsidRPr="00BE4AF3">
        <w:rPr>
          <w:rFonts w:ascii="Times New Roman" w:hAnsi="Times New Roman" w:cs="Times New Roman"/>
          <w:sz w:val="24"/>
          <w:szCs w:val="24"/>
        </w:rPr>
        <w:t xml:space="preserve"> </w:t>
      </w:r>
      <w:r w:rsidRPr="00BE4AF3">
        <w:rPr>
          <w:rFonts w:ascii="Times New Roman" w:hAnsi="Times New Roman" w:cs="Times New Roman"/>
          <w:bCs/>
          <w:sz w:val="24"/>
          <w:szCs w:val="24"/>
        </w:rPr>
        <w:t>Remote Sensing, 9</w:t>
      </w:r>
      <w:r w:rsidRPr="00BE4AF3">
        <w:rPr>
          <w:rFonts w:ascii="Times New Roman" w:hAnsi="Times New Roman" w:cs="Times New Roman"/>
          <w:sz w:val="24"/>
          <w:szCs w:val="24"/>
        </w:rPr>
        <w:t xml:space="preserve">(4), 384. </w:t>
      </w:r>
      <w:hyperlink r:id="rId108" w:history="1">
        <w:r w:rsidRPr="00BE4AF3">
          <w:rPr>
            <w:rStyle w:val="Hyperlink"/>
            <w:rFonts w:ascii="Times New Roman" w:hAnsi="Times New Roman" w:cs="Times New Roman"/>
            <w:sz w:val="24"/>
            <w:szCs w:val="24"/>
          </w:rPr>
          <w:t>https://doi.org/10.3390/rs9040384</w:t>
        </w:r>
      </w:hyperlink>
      <w:r w:rsidRPr="00BE4AF3">
        <w:rPr>
          <w:rFonts w:ascii="Times New Roman" w:hAnsi="Times New Roman" w:cs="Times New Roman"/>
          <w:sz w:val="24"/>
          <w:szCs w:val="24"/>
        </w:rPr>
        <w:t>.</w:t>
      </w:r>
    </w:p>
    <w:p w14:paraId="039129AB" w14:textId="77777777" w:rsidR="004371E3" w:rsidRPr="00BE4AF3" w:rsidRDefault="004371E3" w:rsidP="00535FED">
      <w:pPr>
        <w:spacing w:after="0" w:line="240" w:lineRule="auto"/>
        <w:jc w:val="both"/>
        <w:rPr>
          <w:rFonts w:ascii="Times New Roman" w:hAnsi="Times New Roman" w:cs="Times New Roman"/>
          <w:sz w:val="24"/>
          <w:szCs w:val="24"/>
          <w:shd w:val="clear" w:color="auto" w:fill="FFFFFF"/>
        </w:rPr>
      </w:pPr>
      <w:r w:rsidRPr="00BE4AF3">
        <w:rPr>
          <w:rFonts w:ascii="Times New Roman" w:hAnsi="Times New Roman" w:cs="Times New Roman"/>
          <w:sz w:val="24"/>
          <w:szCs w:val="24"/>
          <w:shd w:val="clear" w:color="auto" w:fill="FFFFFF"/>
        </w:rPr>
        <w:t>Leonita, G., Kuffer, M., Sliuzas, R., &amp; Persello, C. (2018). Machine learning-based slum</w:t>
      </w:r>
    </w:p>
    <w:p w14:paraId="34B798C0" w14:textId="2A47A7C7" w:rsidR="004371E3" w:rsidRPr="00BE4AF3" w:rsidRDefault="004371E3" w:rsidP="00F80416">
      <w:pPr>
        <w:spacing w:after="0" w:line="240" w:lineRule="auto"/>
        <w:ind w:left="720"/>
        <w:jc w:val="both"/>
        <w:rPr>
          <w:rFonts w:ascii="Times New Roman" w:hAnsi="Times New Roman" w:cs="Times New Roman"/>
          <w:sz w:val="24"/>
          <w:szCs w:val="24"/>
          <w:shd w:val="clear" w:color="auto" w:fill="FFFFFF"/>
        </w:rPr>
      </w:pPr>
      <w:r w:rsidRPr="00BE4AF3">
        <w:rPr>
          <w:rFonts w:ascii="Times New Roman" w:hAnsi="Times New Roman" w:cs="Times New Roman"/>
          <w:sz w:val="24"/>
          <w:szCs w:val="24"/>
          <w:shd w:val="clear" w:color="auto" w:fill="FFFFFF"/>
        </w:rPr>
        <w:t>mapping in support of slum upgrading programs: The case of Bandung City, Indonesia. </w:t>
      </w:r>
      <w:r w:rsidRPr="00BE4AF3">
        <w:rPr>
          <w:rFonts w:ascii="Times New Roman" w:hAnsi="Times New Roman" w:cs="Times New Roman"/>
          <w:i/>
          <w:iCs/>
          <w:sz w:val="24"/>
          <w:szCs w:val="24"/>
          <w:shd w:val="clear" w:color="auto" w:fill="FFFFFF"/>
        </w:rPr>
        <w:t>Remote sensing</w:t>
      </w:r>
      <w:r w:rsidRPr="00BE4AF3">
        <w:rPr>
          <w:rFonts w:ascii="Times New Roman" w:hAnsi="Times New Roman" w:cs="Times New Roman"/>
          <w:sz w:val="24"/>
          <w:szCs w:val="24"/>
          <w:shd w:val="clear" w:color="auto" w:fill="FFFFFF"/>
        </w:rPr>
        <w:t>, </w:t>
      </w:r>
      <w:r w:rsidRPr="00BE4AF3">
        <w:rPr>
          <w:rFonts w:ascii="Times New Roman" w:hAnsi="Times New Roman" w:cs="Times New Roman"/>
          <w:i/>
          <w:iCs/>
          <w:sz w:val="24"/>
          <w:szCs w:val="24"/>
          <w:shd w:val="clear" w:color="auto" w:fill="FFFFFF"/>
        </w:rPr>
        <w:t>10</w:t>
      </w:r>
      <w:r w:rsidRPr="00BE4AF3">
        <w:rPr>
          <w:rFonts w:ascii="Times New Roman" w:hAnsi="Times New Roman" w:cs="Times New Roman"/>
          <w:sz w:val="24"/>
          <w:szCs w:val="24"/>
          <w:shd w:val="clear" w:color="auto" w:fill="FFFFFF"/>
        </w:rPr>
        <w:t xml:space="preserve">(10), 1522. </w:t>
      </w:r>
    </w:p>
    <w:p w14:paraId="026BD066" w14:textId="77777777" w:rsidR="004371E3" w:rsidRPr="00BE4AF3" w:rsidRDefault="004371E3" w:rsidP="00535FED">
      <w:pPr>
        <w:spacing w:after="0" w:line="240" w:lineRule="auto"/>
        <w:jc w:val="both"/>
        <w:rPr>
          <w:rFonts w:ascii="Times New Roman" w:hAnsi="Times New Roman" w:cs="Times New Roman"/>
          <w:iCs/>
          <w:sz w:val="24"/>
          <w:szCs w:val="24"/>
        </w:rPr>
      </w:pPr>
      <w:r w:rsidRPr="00BE4AF3">
        <w:rPr>
          <w:rFonts w:ascii="Times New Roman" w:hAnsi="Times New Roman" w:cs="Times New Roman"/>
          <w:sz w:val="24"/>
          <w:szCs w:val="24"/>
        </w:rPr>
        <w:t xml:space="preserve">Mahabir, R., Croitoru, A., Crooks, A. T., Agouris, P., &amp; Stefanidis, A. (2018). </w:t>
      </w:r>
      <w:r w:rsidRPr="00BE4AF3">
        <w:rPr>
          <w:rFonts w:ascii="Times New Roman" w:hAnsi="Times New Roman" w:cs="Times New Roman"/>
          <w:iCs/>
          <w:sz w:val="24"/>
          <w:szCs w:val="24"/>
        </w:rPr>
        <w:t>A critical review</w:t>
      </w:r>
    </w:p>
    <w:p w14:paraId="7D2699F0" w14:textId="77777777" w:rsidR="004371E3" w:rsidRPr="00BE4AF3" w:rsidRDefault="004371E3" w:rsidP="00535FED">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iCs/>
          <w:sz w:val="24"/>
          <w:szCs w:val="24"/>
        </w:rPr>
        <w:t>of high and very high-resolution remote sensing approaches for detecting and mapping slums: Trends, challenges and emerging opportunities.</w:t>
      </w:r>
      <w:r w:rsidRPr="00BE4AF3">
        <w:rPr>
          <w:rFonts w:ascii="Times New Roman" w:hAnsi="Times New Roman" w:cs="Times New Roman"/>
          <w:sz w:val="24"/>
          <w:szCs w:val="24"/>
        </w:rPr>
        <w:t xml:space="preserve"> </w:t>
      </w:r>
      <w:hyperlink r:id="rId109" w:history="1">
        <w:r w:rsidRPr="00BE4AF3">
          <w:rPr>
            <w:rStyle w:val="Hyperlink"/>
            <w:rFonts w:ascii="Times New Roman" w:hAnsi="Times New Roman" w:cs="Times New Roman"/>
            <w:sz w:val="24"/>
            <w:szCs w:val="24"/>
          </w:rPr>
          <w:t>https://doi.org/10.3390/urbansci2010008</w:t>
        </w:r>
      </w:hyperlink>
      <w:r w:rsidRPr="00BE4AF3">
        <w:rPr>
          <w:rFonts w:ascii="Times New Roman" w:hAnsi="Times New Roman" w:cs="Times New Roman"/>
          <w:sz w:val="24"/>
          <w:szCs w:val="24"/>
        </w:rPr>
        <w:t>.</w:t>
      </w:r>
    </w:p>
    <w:p w14:paraId="4CEC97EE" w14:textId="77777777" w:rsidR="004371E3" w:rsidRPr="00BE4AF3" w:rsidRDefault="004371E3" w:rsidP="00535FED">
      <w:pPr>
        <w:spacing w:after="0" w:line="240" w:lineRule="auto"/>
        <w:ind w:left="720"/>
        <w:jc w:val="both"/>
        <w:rPr>
          <w:rFonts w:ascii="Times New Roman" w:hAnsi="Times New Roman" w:cs="Times New Roman"/>
          <w:sz w:val="24"/>
          <w:szCs w:val="24"/>
        </w:rPr>
      </w:pPr>
    </w:p>
    <w:p w14:paraId="2B8D6D17" w14:textId="77777777" w:rsidR="004371E3" w:rsidRPr="00BE4AF3" w:rsidRDefault="004371E3" w:rsidP="00535FED">
      <w:pPr>
        <w:spacing w:after="0" w:line="240" w:lineRule="auto"/>
        <w:jc w:val="both"/>
        <w:rPr>
          <w:rFonts w:ascii="Times New Roman" w:hAnsi="Times New Roman" w:cs="Times New Roman"/>
          <w:color w:val="222222"/>
          <w:sz w:val="24"/>
          <w:szCs w:val="24"/>
          <w:shd w:val="clear" w:color="auto" w:fill="FFFFFF"/>
        </w:rPr>
      </w:pPr>
      <w:r w:rsidRPr="00BE4AF3">
        <w:rPr>
          <w:rFonts w:ascii="Times New Roman" w:hAnsi="Times New Roman" w:cs="Times New Roman"/>
          <w:color w:val="222222"/>
          <w:sz w:val="24"/>
          <w:szCs w:val="24"/>
          <w:shd w:val="clear" w:color="auto" w:fill="FFFFFF"/>
        </w:rPr>
        <w:t>Mboga, N., Persello, C., Bergado, J. R., &amp; Stein, A. (2017). Detection of informal settlements</w:t>
      </w:r>
    </w:p>
    <w:p w14:paraId="453F5537" w14:textId="19FC5603" w:rsidR="004371E3" w:rsidRPr="00BE4AF3" w:rsidRDefault="004371E3" w:rsidP="00F80416">
      <w:pPr>
        <w:spacing w:after="0" w:line="240" w:lineRule="auto"/>
        <w:ind w:firstLine="720"/>
        <w:jc w:val="both"/>
        <w:rPr>
          <w:rFonts w:ascii="Times New Roman" w:hAnsi="Times New Roman" w:cs="Times New Roman"/>
          <w:color w:val="222222"/>
          <w:sz w:val="24"/>
          <w:szCs w:val="24"/>
          <w:shd w:val="clear" w:color="auto" w:fill="FFFFFF"/>
        </w:rPr>
      </w:pPr>
      <w:r w:rsidRPr="00BE4AF3">
        <w:rPr>
          <w:rFonts w:ascii="Times New Roman" w:hAnsi="Times New Roman" w:cs="Times New Roman"/>
          <w:color w:val="222222"/>
          <w:sz w:val="24"/>
          <w:szCs w:val="24"/>
          <w:shd w:val="clear" w:color="auto" w:fill="FFFFFF"/>
        </w:rPr>
        <w:t>from VHR images using convolutional neural networks. </w:t>
      </w:r>
      <w:r w:rsidRPr="00BE4AF3">
        <w:rPr>
          <w:rFonts w:ascii="Times New Roman" w:hAnsi="Times New Roman" w:cs="Times New Roman"/>
          <w:i/>
          <w:iCs/>
          <w:color w:val="222222"/>
          <w:sz w:val="24"/>
          <w:szCs w:val="24"/>
          <w:shd w:val="clear" w:color="auto" w:fill="FFFFFF"/>
        </w:rPr>
        <w:t>Remote sensing</w:t>
      </w:r>
      <w:r w:rsidRPr="00BE4AF3">
        <w:rPr>
          <w:rFonts w:ascii="Times New Roman" w:hAnsi="Times New Roman" w:cs="Times New Roman"/>
          <w:color w:val="222222"/>
          <w:sz w:val="24"/>
          <w:szCs w:val="24"/>
          <w:shd w:val="clear" w:color="auto" w:fill="FFFFFF"/>
        </w:rPr>
        <w:t>, </w:t>
      </w:r>
      <w:r w:rsidRPr="00BE4AF3">
        <w:rPr>
          <w:rFonts w:ascii="Times New Roman" w:hAnsi="Times New Roman" w:cs="Times New Roman"/>
          <w:i/>
          <w:iCs/>
          <w:color w:val="222222"/>
          <w:sz w:val="24"/>
          <w:szCs w:val="24"/>
          <w:shd w:val="clear" w:color="auto" w:fill="FFFFFF"/>
        </w:rPr>
        <w:t>9</w:t>
      </w:r>
      <w:r w:rsidRPr="00BE4AF3">
        <w:rPr>
          <w:rFonts w:ascii="Times New Roman" w:hAnsi="Times New Roman" w:cs="Times New Roman"/>
          <w:color w:val="222222"/>
          <w:sz w:val="24"/>
          <w:szCs w:val="24"/>
          <w:shd w:val="clear" w:color="auto" w:fill="FFFFFF"/>
        </w:rPr>
        <w:t>(11), 1106.</w:t>
      </w:r>
    </w:p>
    <w:p w14:paraId="29B4E57D" w14:textId="77777777" w:rsidR="004371E3" w:rsidRPr="00BE4AF3" w:rsidRDefault="004371E3" w:rsidP="00535FED">
      <w:pPr>
        <w:spacing w:after="0" w:line="240" w:lineRule="auto"/>
        <w:jc w:val="both"/>
        <w:rPr>
          <w:rFonts w:ascii="Times New Roman" w:hAnsi="Times New Roman" w:cs="Times New Roman"/>
          <w:sz w:val="24"/>
          <w:szCs w:val="24"/>
          <w:shd w:val="clear" w:color="auto" w:fill="FFFFFF"/>
        </w:rPr>
      </w:pPr>
      <w:r w:rsidRPr="00BE4AF3">
        <w:rPr>
          <w:rFonts w:ascii="Times New Roman" w:hAnsi="Times New Roman" w:cs="Times New Roman"/>
          <w:sz w:val="24"/>
          <w:szCs w:val="24"/>
          <w:shd w:val="clear" w:color="auto" w:fill="FFFFFF"/>
        </w:rPr>
        <w:t xml:space="preserve">Mudau, N., &amp; Mhangara, P. (2023). Mapping and assessment of housing informality using </w:t>
      </w:r>
    </w:p>
    <w:p w14:paraId="4C563BF7" w14:textId="3F86DC36" w:rsidR="004371E3" w:rsidRPr="00BE4AF3" w:rsidRDefault="004371E3" w:rsidP="00535FED">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shd w:val="clear" w:color="auto" w:fill="FFFFFF"/>
        </w:rPr>
        <w:tab/>
        <w:t>object-based image analysis: a review. </w:t>
      </w:r>
      <w:r w:rsidRPr="00BE4AF3">
        <w:rPr>
          <w:rFonts w:ascii="Times New Roman" w:hAnsi="Times New Roman" w:cs="Times New Roman"/>
          <w:i/>
          <w:iCs/>
          <w:sz w:val="24"/>
          <w:szCs w:val="24"/>
          <w:shd w:val="clear" w:color="auto" w:fill="FFFFFF"/>
        </w:rPr>
        <w:t>Urban Science</w:t>
      </w:r>
      <w:r w:rsidRPr="00BE4AF3">
        <w:rPr>
          <w:rFonts w:ascii="Times New Roman" w:hAnsi="Times New Roman" w:cs="Times New Roman"/>
          <w:sz w:val="24"/>
          <w:szCs w:val="24"/>
          <w:shd w:val="clear" w:color="auto" w:fill="FFFFFF"/>
        </w:rPr>
        <w:t>, </w:t>
      </w:r>
      <w:r w:rsidRPr="00BE4AF3">
        <w:rPr>
          <w:rFonts w:ascii="Times New Roman" w:hAnsi="Times New Roman" w:cs="Times New Roman"/>
          <w:i/>
          <w:iCs/>
          <w:sz w:val="24"/>
          <w:szCs w:val="24"/>
          <w:shd w:val="clear" w:color="auto" w:fill="FFFFFF"/>
        </w:rPr>
        <w:t>7</w:t>
      </w:r>
      <w:r w:rsidRPr="00BE4AF3">
        <w:rPr>
          <w:rFonts w:ascii="Times New Roman" w:hAnsi="Times New Roman" w:cs="Times New Roman"/>
          <w:sz w:val="24"/>
          <w:szCs w:val="24"/>
          <w:shd w:val="clear" w:color="auto" w:fill="FFFFFF"/>
        </w:rPr>
        <w:t>(3), 98.</w:t>
      </w:r>
    </w:p>
    <w:p w14:paraId="23475364" w14:textId="77777777" w:rsidR="004371E3" w:rsidRPr="00BE4AF3" w:rsidRDefault="004371E3" w:rsidP="00535FED">
      <w:pPr>
        <w:spacing w:after="0" w:line="240" w:lineRule="auto"/>
        <w:jc w:val="both"/>
        <w:rPr>
          <w:rStyle w:val="Emphasis"/>
          <w:rFonts w:ascii="Times New Roman" w:hAnsi="Times New Roman" w:cs="Times New Roman"/>
          <w:sz w:val="24"/>
          <w:szCs w:val="24"/>
        </w:rPr>
      </w:pPr>
      <w:r w:rsidRPr="00BE4AF3">
        <w:rPr>
          <w:rFonts w:ascii="Times New Roman" w:hAnsi="Times New Roman" w:cs="Times New Roman"/>
          <w:sz w:val="24"/>
          <w:szCs w:val="24"/>
        </w:rPr>
        <w:t xml:space="preserve">Raj, A., Mitra, A., &amp; Sinha, M. (2024). </w:t>
      </w:r>
      <w:r w:rsidRPr="00BE4AF3">
        <w:rPr>
          <w:rStyle w:val="Emphasis"/>
          <w:rFonts w:ascii="Times New Roman" w:hAnsi="Times New Roman" w:cs="Times New Roman"/>
          <w:sz w:val="24"/>
          <w:szCs w:val="24"/>
        </w:rPr>
        <w:t>Deep Learning for Slum Mapping in Remote Sensing</w:t>
      </w:r>
    </w:p>
    <w:p w14:paraId="5A4D198E" w14:textId="33BACC3A" w:rsidR="004371E3" w:rsidRPr="00F80416" w:rsidRDefault="004371E3" w:rsidP="00F80416">
      <w:pPr>
        <w:spacing w:after="0" w:line="240" w:lineRule="auto"/>
        <w:ind w:firstLine="720"/>
        <w:jc w:val="both"/>
        <w:rPr>
          <w:rFonts w:ascii="Times New Roman" w:hAnsi="Times New Roman" w:cs="Times New Roman"/>
          <w:i/>
          <w:iCs/>
          <w:sz w:val="24"/>
          <w:szCs w:val="24"/>
        </w:rPr>
      </w:pPr>
      <w:r w:rsidRPr="00BE4AF3">
        <w:rPr>
          <w:rStyle w:val="Emphasis"/>
          <w:rFonts w:ascii="Times New Roman" w:hAnsi="Times New Roman" w:cs="Times New Roman"/>
          <w:sz w:val="24"/>
          <w:szCs w:val="24"/>
        </w:rPr>
        <w:t xml:space="preserve"> Images: A Meta-analysis and Review.</w:t>
      </w:r>
    </w:p>
    <w:p w14:paraId="5ADA4CE8" w14:textId="77777777" w:rsidR="004371E3" w:rsidRPr="00BE4AF3" w:rsidRDefault="004371E3" w:rsidP="00535FED">
      <w:pPr>
        <w:spacing w:after="0" w:line="240" w:lineRule="auto"/>
        <w:jc w:val="both"/>
        <w:rPr>
          <w:rFonts w:ascii="Times New Roman" w:hAnsi="Times New Roman" w:cs="Times New Roman"/>
          <w:i/>
          <w:iCs/>
          <w:sz w:val="24"/>
          <w:szCs w:val="24"/>
        </w:rPr>
      </w:pPr>
      <w:r w:rsidRPr="00BE4AF3">
        <w:rPr>
          <w:rFonts w:ascii="Times New Roman" w:hAnsi="Times New Roman" w:cs="Times New Roman"/>
          <w:sz w:val="24"/>
          <w:szCs w:val="24"/>
        </w:rPr>
        <w:t xml:space="preserve">Sliuzas, R. V., Kuffer, M., Pfeffer, K., Gevaert, C. M., &amp; Persello, C. (2017). </w:t>
      </w:r>
      <w:r w:rsidRPr="00BE4AF3">
        <w:rPr>
          <w:rFonts w:ascii="Times New Roman" w:hAnsi="Times New Roman" w:cs="Times New Roman"/>
          <w:i/>
          <w:iCs/>
          <w:sz w:val="24"/>
          <w:szCs w:val="24"/>
        </w:rPr>
        <w:t>Slum mapping:</w:t>
      </w:r>
    </w:p>
    <w:p w14:paraId="3FA150F4" w14:textId="20398C63" w:rsidR="004371E3" w:rsidRPr="00F80416" w:rsidRDefault="004371E3" w:rsidP="00F80416">
      <w:pPr>
        <w:spacing w:after="0" w:line="240" w:lineRule="auto"/>
        <w:ind w:left="720"/>
        <w:jc w:val="both"/>
        <w:rPr>
          <w:rFonts w:ascii="Times New Roman" w:hAnsi="Times New Roman" w:cs="Times New Roman"/>
          <w:color w:val="0563C1" w:themeColor="hyperlink"/>
          <w:sz w:val="24"/>
          <w:szCs w:val="24"/>
          <w:u w:val="single"/>
        </w:rPr>
      </w:pPr>
      <w:r w:rsidRPr="00BE4AF3">
        <w:rPr>
          <w:rFonts w:ascii="Times New Roman" w:hAnsi="Times New Roman" w:cs="Times New Roman"/>
          <w:i/>
          <w:iCs/>
          <w:sz w:val="24"/>
          <w:szCs w:val="24"/>
        </w:rPr>
        <w:t>From space to unmanned aerial vehicle based approaches.</w:t>
      </w:r>
      <w:r w:rsidRPr="00BE4AF3">
        <w:rPr>
          <w:rFonts w:ascii="Times New Roman" w:hAnsi="Times New Roman" w:cs="Times New Roman"/>
          <w:sz w:val="24"/>
          <w:szCs w:val="24"/>
        </w:rPr>
        <w:t xml:space="preserve"> In </w:t>
      </w:r>
      <w:r w:rsidRPr="00BE4AF3">
        <w:rPr>
          <w:rFonts w:ascii="Times New Roman" w:hAnsi="Times New Roman" w:cs="Times New Roman"/>
          <w:i/>
          <w:iCs/>
          <w:sz w:val="24"/>
          <w:szCs w:val="24"/>
        </w:rPr>
        <w:t>Proceedings of the Joint Urban Remote Sensing Event (JURSE 2017)</w:t>
      </w:r>
      <w:r w:rsidRPr="00BE4AF3">
        <w:rPr>
          <w:rFonts w:ascii="Times New Roman" w:hAnsi="Times New Roman" w:cs="Times New Roman"/>
          <w:sz w:val="24"/>
          <w:szCs w:val="24"/>
        </w:rPr>
        <w:t xml:space="preserve"> (pp. 1–4). IEEE. </w:t>
      </w:r>
      <w:hyperlink r:id="rId110" w:history="1">
        <w:r w:rsidRPr="00BE4AF3">
          <w:rPr>
            <w:rStyle w:val="Hyperlink"/>
            <w:rFonts w:ascii="Times New Roman" w:hAnsi="Times New Roman" w:cs="Times New Roman"/>
            <w:sz w:val="24"/>
            <w:szCs w:val="24"/>
          </w:rPr>
          <w:t>https://doi.org/10.1109/JURSE.2017.7924589</w:t>
        </w:r>
      </w:hyperlink>
    </w:p>
    <w:bookmarkEnd w:id="49"/>
    <w:p w14:paraId="2AAB6CFF" w14:textId="77777777" w:rsidR="004371E3" w:rsidRPr="00BE4AF3" w:rsidRDefault="004371E3" w:rsidP="00535FED">
      <w:pPr>
        <w:spacing w:after="0" w:line="240" w:lineRule="auto"/>
        <w:jc w:val="both"/>
        <w:rPr>
          <w:rFonts w:ascii="Times New Roman" w:hAnsi="Times New Roman" w:cs="Times New Roman"/>
          <w:sz w:val="24"/>
          <w:szCs w:val="24"/>
          <w:shd w:val="clear" w:color="auto" w:fill="FFFFFF"/>
        </w:rPr>
      </w:pPr>
      <w:r w:rsidRPr="00BE4AF3">
        <w:rPr>
          <w:rFonts w:ascii="Times New Roman" w:hAnsi="Times New Roman" w:cs="Times New Roman"/>
          <w:sz w:val="24"/>
          <w:szCs w:val="24"/>
          <w:shd w:val="clear" w:color="auto" w:fill="FFFFFF"/>
        </w:rPr>
        <w:t xml:space="preserve">Xia, X., Persello, C., &amp; Koeva, M. (2019). Deep fully convolutional networks for cadastral </w:t>
      </w:r>
    </w:p>
    <w:p w14:paraId="0D8129A3" w14:textId="77777777" w:rsidR="004371E3" w:rsidRPr="00BE4AF3" w:rsidRDefault="004371E3" w:rsidP="00535FED">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shd w:val="clear" w:color="auto" w:fill="FFFFFF"/>
        </w:rPr>
        <w:tab/>
        <w:t>boundary detection from UAV images. </w:t>
      </w:r>
      <w:r w:rsidRPr="00BE4AF3">
        <w:rPr>
          <w:rFonts w:ascii="Times New Roman" w:hAnsi="Times New Roman" w:cs="Times New Roman"/>
          <w:i/>
          <w:iCs/>
          <w:sz w:val="24"/>
          <w:szCs w:val="24"/>
          <w:shd w:val="clear" w:color="auto" w:fill="FFFFFF"/>
        </w:rPr>
        <w:t>Remote sensing</w:t>
      </w:r>
      <w:r w:rsidRPr="00BE4AF3">
        <w:rPr>
          <w:rFonts w:ascii="Times New Roman" w:hAnsi="Times New Roman" w:cs="Times New Roman"/>
          <w:sz w:val="24"/>
          <w:szCs w:val="24"/>
          <w:shd w:val="clear" w:color="auto" w:fill="FFFFFF"/>
        </w:rPr>
        <w:t>, </w:t>
      </w:r>
      <w:r w:rsidRPr="00BE4AF3">
        <w:rPr>
          <w:rFonts w:ascii="Times New Roman" w:hAnsi="Times New Roman" w:cs="Times New Roman"/>
          <w:i/>
          <w:iCs/>
          <w:sz w:val="24"/>
          <w:szCs w:val="24"/>
          <w:shd w:val="clear" w:color="auto" w:fill="FFFFFF"/>
        </w:rPr>
        <w:t>11</w:t>
      </w:r>
      <w:r w:rsidRPr="00BE4AF3">
        <w:rPr>
          <w:rFonts w:ascii="Times New Roman" w:hAnsi="Times New Roman" w:cs="Times New Roman"/>
          <w:sz w:val="24"/>
          <w:szCs w:val="24"/>
          <w:shd w:val="clear" w:color="auto" w:fill="FFFFFF"/>
        </w:rPr>
        <w:t>(14), 1725.</w:t>
      </w:r>
      <w:r w:rsidRPr="00BE4AF3">
        <w:rPr>
          <w:rFonts w:ascii="Times New Roman" w:hAnsi="Times New Roman" w:cs="Times New Roman"/>
          <w:sz w:val="24"/>
          <w:szCs w:val="24"/>
        </w:rPr>
        <w:t xml:space="preserve"> </w:t>
      </w:r>
    </w:p>
    <w:bookmarkEnd w:id="48"/>
    <w:p w14:paraId="2F271221" w14:textId="77777777" w:rsidR="004371E3" w:rsidRDefault="004371E3" w:rsidP="004371E3">
      <w:pPr>
        <w:pStyle w:val="FirstParagraph"/>
        <w:jc w:val="both"/>
        <w:rPr>
          <w:rFonts w:ascii="Times New Roman" w:hAnsi="Times New Roman" w:cs="Times New Roman"/>
        </w:rPr>
      </w:pPr>
    </w:p>
    <w:p w14:paraId="074411E9" w14:textId="77777777" w:rsidR="00F80416" w:rsidRDefault="00F80416" w:rsidP="00F80416">
      <w:pPr>
        <w:pStyle w:val="BodyText"/>
        <w:rPr>
          <w:lang w:val="en-US"/>
        </w:rPr>
      </w:pPr>
    </w:p>
    <w:p w14:paraId="314610A2" w14:textId="77777777" w:rsidR="00F80416" w:rsidRDefault="00F80416" w:rsidP="00F80416">
      <w:pPr>
        <w:pStyle w:val="BodyText"/>
        <w:rPr>
          <w:lang w:val="en-US"/>
        </w:rPr>
      </w:pPr>
    </w:p>
    <w:p w14:paraId="51D24385" w14:textId="77777777" w:rsidR="00F80416" w:rsidRDefault="00F80416" w:rsidP="00F80416">
      <w:pPr>
        <w:pStyle w:val="BodyText"/>
        <w:rPr>
          <w:lang w:val="en-US"/>
        </w:rPr>
      </w:pPr>
    </w:p>
    <w:p w14:paraId="49787BDE" w14:textId="77777777" w:rsidR="00F80416" w:rsidRDefault="00F80416" w:rsidP="00F80416">
      <w:pPr>
        <w:pStyle w:val="BodyText"/>
        <w:rPr>
          <w:lang w:val="en-US"/>
        </w:rPr>
      </w:pPr>
    </w:p>
    <w:p w14:paraId="3BCD19CC" w14:textId="77777777" w:rsidR="00F80416" w:rsidRDefault="00F80416" w:rsidP="00F80416">
      <w:pPr>
        <w:pStyle w:val="BodyText"/>
        <w:rPr>
          <w:lang w:val="en-US"/>
        </w:rPr>
      </w:pPr>
    </w:p>
    <w:p w14:paraId="7117AA4D" w14:textId="77777777" w:rsidR="00F80416" w:rsidRDefault="00F80416" w:rsidP="00F80416">
      <w:pPr>
        <w:pStyle w:val="BodyText"/>
        <w:rPr>
          <w:lang w:val="en-US"/>
        </w:rPr>
      </w:pPr>
    </w:p>
    <w:p w14:paraId="310ED1FE" w14:textId="77777777" w:rsidR="00F80416" w:rsidRDefault="00F80416" w:rsidP="00F80416">
      <w:pPr>
        <w:pStyle w:val="BodyText"/>
        <w:rPr>
          <w:lang w:val="en-US"/>
        </w:rPr>
      </w:pPr>
    </w:p>
    <w:p w14:paraId="6A8C9B22" w14:textId="77777777" w:rsidR="00F80416" w:rsidRDefault="00F80416" w:rsidP="00F80416">
      <w:pPr>
        <w:pStyle w:val="BodyText"/>
        <w:rPr>
          <w:lang w:val="en-US"/>
        </w:rPr>
      </w:pPr>
    </w:p>
    <w:p w14:paraId="3ADA729D" w14:textId="77777777" w:rsidR="00F80416" w:rsidRDefault="00F80416" w:rsidP="00F80416">
      <w:pPr>
        <w:pStyle w:val="BodyText"/>
        <w:rPr>
          <w:lang w:val="en-US"/>
        </w:rPr>
      </w:pPr>
    </w:p>
    <w:p w14:paraId="66D16ADD" w14:textId="77777777" w:rsidR="00F80416" w:rsidRDefault="00F80416" w:rsidP="00F80416">
      <w:pPr>
        <w:pStyle w:val="BodyText"/>
        <w:rPr>
          <w:lang w:val="en-US"/>
        </w:rPr>
      </w:pPr>
    </w:p>
    <w:p w14:paraId="3DFD18DA" w14:textId="77777777" w:rsidR="00F80416" w:rsidRDefault="00F80416" w:rsidP="00F80416">
      <w:pPr>
        <w:pStyle w:val="BodyText"/>
        <w:rPr>
          <w:lang w:val="en-US"/>
        </w:rPr>
      </w:pPr>
    </w:p>
    <w:p w14:paraId="29698397" w14:textId="77777777" w:rsidR="00F80416" w:rsidRDefault="00F80416" w:rsidP="00F80416">
      <w:pPr>
        <w:pStyle w:val="BodyText"/>
        <w:rPr>
          <w:lang w:val="en-US"/>
        </w:rPr>
      </w:pPr>
    </w:p>
    <w:p w14:paraId="61A18C3D" w14:textId="77777777" w:rsidR="00F80416" w:rsidRDefault="00F80416" w:rsidP="00F80416">
      <w:pPr>
        <w:pStyle w:val="BodyText"/>
        <w:rPr>
          <w:lang w:val="en-US"/>
        </w:rPr>
      </w:pPr>
    </w:p>
    <w:p w14:paraId="1A3272A9" w14:textId="77777777" w:rsidR="00F80416" w:rsidRDefault="00F80416" w:rsidP="00F80416">
      <w:pPr>
        <w:pStyle w:val="BodyText"/>
        <w:rPr>
          <w:lang w:val="en-US"/>
        </w:rPr>
      </w:pPr>
    </w:p>
    <w:p w14:paraId="7C3D3A72" w14:textId="77777777" w:rsidR="00F80416" w:rsidRDefault="00F80416" w:rsidP="00F80416">
      <w:pPr>
        <w:pStyle w:val="BodyText"/>
        <w:rPr>
          <w:lang w:val="en-US"/>
        </w:rPr>
      </w:pPr>
    </w:p>
    <w:p w14:paraId="712BD4B1" w14:textId="77777777" w:rsidR="00F80416" w:rsidRDefault="00F80416" w:rsidP="00F80416">
      <w:pPr>
        <w:pStyle w:val="BodyText"/>
        <w:rPr>
          <w:lang w:val="en-US"/>
        </w:rPr>
      </w:pPr>
    </w:p>
    <w:p w14:paraId="399AE532" w14:textId="77777777" w:rsidR="00F80416" w:rsidRDefault="00F80416" w:rsidP="00F80416">
      <w:pPr>
        <w:pStyle w:val="BodyText"/>
        <w:rPr>
          <w:lang w:val="en-US"/>
        </w:rPr>
      </w:pPr>
    </w:p>
    <w:p w14:paraId="64080160" w14:textId="77777777" w:rsidR="00F80416" w:rsidRDefault="00F80416" w:rsidP="00F80416">
      <w:pPr>
        <w:pStyle w:val="BodyText"/>
        <w:rPr>
          <w:lang w:val="en-US"/>
        </w:rPr>
      </w:pPr>
    </w:p>
    <w:p w14:paraId="31FAA7A5" w14:textId="77777777" w:rsidR="00F80416" w:rsidRDefault="00F80416" w:rsidP="00F80416">
      <w:pPr>
        <w:pStyle w:val="BodyText"/>
        <w:rPr>
          <w:lang w:val="en-US"/>
        </w:rPr>
      </w:pPr>
    </w:p>
    <w:p w14:paraId="6C711638" w14:textId="77777777" w:rsidR="00F80416" w:rsidRDefault="00F80416" w:rsidP="00F80416">
      <w:pPr>
        <w:pStyle w:val="BodyText"/>
        <w:rPr>
          <w:lang w:val="en-US"/>
        </w:rPr>
      </w:pPr>
    </w:p>
    <w:p w14:paraId="27B3CA0B" w14:textId="77777777" w:rsidR="00F80416" w:rsidRDefault="00F80416" w:rsidP="00F80416">
      <w:pPr>
        <w:pStyle w:val="BodyText"/>
        <w:rPr>
          <w:lang w:val="en-US"/>
        </w:rPr>
      </w:pPr>
    </w:p>
    <w:p w14:paraId="324F1AAB" w14:textId="77777777" w:rsidR="00F80416" w:rsidRPr="00F80416" w:rsidRDefault="00F80416" w:rsidP="00F80416">
      <w:pPr>
        <w:pStyle w:val="BodyText"/>
        <w:rPr>
          <w:lang w:val="en-US"/>
        </w:rPr>
      </w:pPr>
    </w:p>
    <w:p w14:paraId="08EF5382" w14:textId="77777777" w:rsidR="00F53A50" w:rsidRPr="00F80416" w:rsidRDefault="00F53A50" w:rsidP="00E90BB6">
      <w:pPr>
        <w:spacing w:after="0" w:line="240" w:lineRule="auto"/>
        <w:jc w:val="center"/>
        <w:rPr>
          <w:rFonts w:ascii="Times New Roman" w:hAnsi="Times New Roman" w:cs="Times New Roman"/>
          <w:b/>
          <w:sz w:val="28"/>
          <w:szCs w:val="28"/>
        </w:rPr>
      </w:pPr>
      <w:r w:rsidRPr="00F80416">
        <w:rPr>
          <w:rFonts w:ascii="Times New Roman" w:hAnsi="Times New Roman" w:cs="Times New Roman"/>
          <w:b/>
          <w:sz w:val="28"/>
          <w:szCs w:val="28"/>
        </w:rPr>
        <w:lastRenderedPageBreak/>
        <w:t>C</w:t>
      </w:r>
      <w:r w:rsidRPr="00F80416">
        <w:rPr>
          <w:rFonts w:ascii="Times New Roman" w:eastAsiaTheme="majorEastAsia" w:hAnsi="Times New Roman" w:cs="Times New Roman"/>
          <w:b/>
          <w:bCs/>
          <w:sz w:val="28"/>
          <w:szCs w:val="28"/>
        </w:rPr>
        <w:t>rime in Public Transit: A study of Abuja Municipal Area Council (AMAC), Nigeria</w:t>
      </w:r>
    </w:p>
    <w:p w14:paraId="60635BB2" w14:textId="77777777" w:rsidR="00F53A50" w:rsidRPr="00BE4AF3" w:rsidRDefault="00F53A50" w:rsidP="00E90BB6">
      <w:pPr>
        <w:spacing w:after="0" w:line="240" w:lineRule="auto"/>
        <w:jc w:val="center"/>
        <w:rPr>
          <w:rFonts w:ascii="Times New Roman" w:hAnsi="Times New Roman" w:cs="Times New Roman"/>
          <w:b/>
          <w:sz w:val="24"/>
          <w:szCs w:val="24"/>
        </w:rPr>
      </w:pPr>
    </w:p>
    <w:p w14:paraId="5EC1A1B7" w14:textId="77777777" w:rsidR="00F53A50" w:rsidRPr="00BE4AF3" w:rsidRDefault="00F53A50" w:rsidP="00E90BB6">
      <w:pPr>
        <w:spacing w:after="0" w:line="240" w:lineRule="auto"/>
        <w:jc w:val="center"/>
        <w:rPr>
          <w:rFonts w:ascii="Times New Roman" w:hAnsi="Times New Roman" w:cs="Times New Roman"/>
          <w:sz w:val="24"/>
          <w:szCs w:val="24"/>
        </w:rPr>
      </w:pPr>
      <w:r w:rsidRPr="00BE4AF3">
        <w:rPr>
          <w:rFonts w:ascii="Times New Roman" w:hAnsi="Times New Roman" w:cs="Times New Roman"/>
          <w:sz w:val="24"/>
          <w:szCs w:val="24"/>
          <w:vertAlign w:val="superscript"/>
        </w:rPr>
        <w:t>1</w:t>
      </w:r>
      <w:r w:rsidRPr="00BE4AF3">
        <w:rPr>
          <w:rFonts w:ascii="Times New Roman" w:hAnsi="Times New Roman" w:cs="Times New Roman"/>
          <w:sz w:val="24"/>
          <w:szCs w:val="24"/>
          <w:vertAlign w:val="superscript"/>
          <w:lang w:val="en-US"/>
        </w:rPr>
        <w:t xml:space="preserve"> </w:t>
      </w:r>
      <w:r w:rsidRPr="00BE4AF3">
        <w:rPr>
          <w:rFonts w:ascii="Times New Roman" w:hAnsi="Times New Roman" w:cs="Times New Roman"/>
          <w:sz w:val="24"/>
          <w:szCs w:val="24"/>
        </w:rPr>
        <w:t xml:space="preserve">Afolabi, V. and </w:t>
      </w:r>
      <w:r w:rsidRPr="00BE4AF3">
        <w:rPr>
          <w:rFonts w:ascii="Times New Roman" w:hAnsi="Times New Roman" w:cs="Times New Roman"/>
          <w:sz w:val="24"/>
          <w:szCs w:val="24"/>
          <w:vertAlign w:val="superscript"/>
        </w:rPr>
        <w:t>1*</w:t>
      </w:r>
      <w:r w:rsidRPr="00BE4AF3">
        <w:rPr>
          <w:rFonts w:ascii="Times New Roman" w:hAnsi="Times New Roman" w:cs="Times New Roman"/>
          <w:sz w:val="24"/>
          <w:szCs w:val="24"/>
          <w:vertAlign w:val="superscript"/>
          <w:lang w:val="en-US"/>
        </w:rPr>
        <w:t xml:space="preserve"> </w:t>
      </w:r>
      <w:r w:rsidRPr="00BE4AF3">
        <w:rPr>
          <w:rFonts w:ascii="Times New Roman" w:hAnsi="Times New Roman" w:cs="Times New Roman"/>
          <w:sz w:val="24"/>
          <w:szCs w:val="24"/>
        </w:rPr>
        <w:t>Asiyanbola, R. A.</w:t>
      </w:r>
    </w:p>
    <w:p w14:paraId="4565D274" w14:textId="77777777" w:rsidR="00F53A50" w:rsidRPr="00BE4AF3" w:rsidRDefault="00F53A50" w:rsidP="00E90BB6">
      <w:pPr>
        <w:spacing w:after="0" w:line="240" w:lineRule="auto"/>
        <w:jc w:val="center"/>
        <w:rPr>
          <w:rFonts w:ascii="Times New Roman" w:hAnsi="Times New Roman" w:cs="Times New Roman"/>
          <w:sz w:val="24"/>
          <w:szCs w:val="24"/>
        </w:rPr>
      </w:pPr>
    </w:p>
    <w:p w14:paraId="6E479856" w14:textId="77777777" w:rsidR="00F53A50" w:rsidRPr="00F80416" w:rsidRDefault="00F53A50" w:rsidP="00E90BB6">
      <w:pPr>
        <w:pStyle w:val="BodyText"/>
        <w:spacing w:after="0" w:line="240" w:lineRule="auto"/>
        <w:jc w:val="center"/>
        <w:rPr>
          <w:rFonts w:ascii="Times New Roman" w:hAnsi="Times New Roman"/>
          <w:bCs/>
        </w:rPr>
      </w:pPr>
      <w:r w:rsidRPr="00F80416">
        <w:rPr>
          <w:rFonts w:ascii="Times New Roman" w:hAnsi="Times New Roman"/>
          <w:bCs/>
          <w:vertAlign w:val="superscript"/>
        </w:rPr>
        <w:t>1</w:t>
      </w:r>
      <w:r w:rsidRPr="00F80416">
        <w:rPr>
          <w:rFonts w:ascii="Times New Roman" w:hAnsi="Times New Roman"/>
          <w:bCs/>
          <w:vertAlign w:val="superscript"/>
          <w:lang w:val="en-US"/>
        </w:rPr>
        <w:t xml:space="preserve"> </w:t>
      </w:r>
      <w:r w:rsidRPr="00F80416">
        <w:rPr>
          <w:rFonts w:ascii="Times New Roman" w:hAnsi="Times New Roman"/>
          <w:bCs/>
        </w:rPr>
        <w:t>Department of Geography, Osun State University, Osogbo, Osun State, Nigeria.</w:t>
      </w:r>
    </w:p>
    <w:p w14:paraId="4BAC002C" w14:textId="77777777" w:rsidR="00F53A50" w:rsidRPr="00F80416" w:rsidRDefault="00F53A50" w:rsidP="00E90BB6">
      <w:pPr>
        <w:pStyle w:val="BodyText"/>
        <w:spacing w:after="0" w:line="240" w:lineRule="auto"/>
        <w:jc w:val="center"/>
        <w:rPr>
          <w:rFonts w:ascii="Times New Roman" w:hAnsi="Times New Roman"/>
          <w:bCs/>
          <w:lang w:val="en-US"/>
        </w:rPr>
      </w:pPr>
    </w:p>
    <w:p w14:paraId="208F653D" w14:textId="77777777" w:rsidR="00F53A50" w:rsidRPr="00F80416" w:rsidRDefault="00F53A50" w:rsidP="00E90BB6">
      <w:pPr>
        <w:pStyle w:val="BodyText"/>
        <w:spacing w:after="0" w:line="240" w:lineRule="auto"/>
        <w:ind w:firstLine="900"/>
        <w:jc w:val="center"/>
        <w:rPr>
          <w:rFonts w:ascii="Times New Roman" w:hAnsi="Times New Roman"/>
          <w:bCs/>
        </w:rPr>
      </w:pPr>
      <w:r w:rsidRPr="00F80416">
        <w:rPr>
          <w:rFonts w:ascii="Times New Roman" w:hAnsi="Times New Roman"/>
          <w:vertAlign w:val="superscript"/>
          <w:lang w:val="en-US"/>
        </w:rPr>
        <w:t xml:space="preserve">* </w:t>
      </w:r>
      <w:r w:rsidRPr="00F80416">
        <w:rPr>
          <w:rFonts w:ascii="Times New Roman" w:hAnsi="Times New Roman"/>
        </w:rPr>
        <w:t>Corresponding</w:t>
      </w:r>
      <w:r w:rsidRPr="00F80416">
        <w:rPr>
          <w:rFonts w:ascii="Times New Roman" w:hAnsi="Times New Roman"/>
          <w:vertAlign w:val="superscript"/>
        </w:rPr>
        <w:t xml:space="preserve"> </w:t>
      </w:r>
      <w:r w:rsidRPr="00F80416">
        <w:rPr>
          <w:rFonts w:ascii="Times New Roman" w:hAnsi="Times New Roman"/>
          <w:lang w:val="en-US"/>
        </w:rPr>
        <w:t xml:space="preserve">Author </w:t>
      </w:r>
      <w:r w:rsidRPr="00F80416">
        <w:rPr>
          <w:rFonts w:ascii="Times New Roman" w:hAnsi="Times New Roman"/>
          <w:bCs/>
        </w:rPr>
        <w:t xml:space="preserve">E-mail: </w:t>
      </w:r>
      <w:r w:rsidRPr="00F80416">
        <w:rPr>
          <w:rFonts w:ascii="Times New Roman" w:hAnsi="Times New Roman"/>
          <w:bCs/>
          <w:lang w:val="en-US"/>
        </w:rPr>
        <w:t xml:space="preserve">  rasiyanbola@gmail.com</w:t>
      </w:r>
    </w:p>
    <w:p w14:paraId="382B930D" w14:textId="77777777" w:rsidR="00851684" w:rsidRPr="00BE4AF3" w:rsidRDefault="00851684" w:rsidP="00E90BB6">
      <w:pPr>
        <w:spacing w:after="0" w:line="240" w:lineRule="auto"/>
        <w:rPr>
          <w:rFonts w:ascii="Times New Roman" w:hAnsi="Times New Roman" w:cs="Times New Roman"/>
          <w:b/>
          <w:sz w:val="24"/>
          <w:szCs w:val="24"/>
        </w:rPr>
      </w:pPr>
    </w:p>
    <w:p w14:paraId="7AB534E8" w14:textId="77777777" w:rsidR="00F53A50" w:rsidRPr="00BE4AF3" w:rsidRDefault="00F53A50" w:rsidP="00E90BB6">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LICFES 2025-037 – FP13</w:t>
      </w:r>
    </w:p>
    <w:p w14:paraId="14BBAAA9" w14:textId="77777777" w:rsidR="00F53A50" w:rsidRPr="00BE4AF3" w:rsidRDefault="00F53A50" w:rsidP="00E90BB6">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Abstract</w:t>
      </w:r>
    </w:p>
    <w:p w14:paraId="7E8ECAF7" w14:textId="77777777" w:rsidR="00F53A50" w:rsidRPr="00BE4AF3" w:rsidRDefault="00F53A50" w:rsidP="00E90BB6">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Observation from the literature revealed that socio-economic deprivations contribute to the criminal activities on public transport system in developing countries. Safety occupies a central theme in public transport. It affects consideration for the travel pattern and level of patronage in public transport. Globally, crime has become a social problem across towns and cities particularly along major bus-stops, transport routes, and other public places along public transit. This study examined crime in public transit in Abuja Municipal Area Council (AMAC) Nigeria. Both primary and secondary data sources were used. Four hundred questionnaires (that covers twelve wards of AMAC) were administered to collect information from passengers, drivers and other operators of the public transit. Descriptive statistical technique was used to analyse the data. The results show that crimes such as theft, assault and battery, armed robbery, kidnapping, and rape/assault exist in AMAC. Most crime hot spots are located at the peri-urban area, along transport corridor, on-transit, bus stops and road intersections. There is the need for the intensification of proactive policies and programmes which include public education and installation of CCTV for surveillance along some strategic flash points of criminal activities.</w:t>
      </w:r>
    </w:p>
    <w:p w14:paraId="470D6110" w14:textId="77777777" w:rsidR="00F53A50" w:rsidRPr="00BE4AF3" w:rsidRDefault="00F53A50" w:rsidP="00E90BB6">
      <w:pPr>
        <w:spacing w:after="0" w:line="240" w:lineRule="auto"/>
        <w:jc w:val="both"/>
        <w:rPr>
          <w:rFonts w:ascii="Times New Roman" w:hAnsi="Times New Roman" w:cs="Times New Roman"/>
          <w:sz w:val="24"/>
          <w:szCs w:val="24"/>
        </w:rPr>
      </w:pPr>
    </w:p>
    <w:p w14:paraId="67517C0D" w14:textId="77777777" w:rsidR="00A95426" w:rsidRPr="00BE4AF3" w:rsidRDefault="00F53A50" w:rsidP="00851684">
      <w:pPr>
        <w:spacing w:after="0" w:line="240" w:lineRule="auto"/>
        <w:jc w:val="both"/>
        <w:rPr>
          <w:rFonts w:ascii="Times New Roman" w:eastAsia="Times New Roman" w:hAnsi="Times New Roman" w:cs="Times New Roman"/>
          <w:sz w:val="24"/>
          <w:szCs w:val="24"/>
        </w:rPr>
      </w:pPr>
      <w:r w:rsidRPr="00BE4AF3">
        <w:rPr>
          <w:rFonts w:ascii="Times New Roman" w:hAnsi="Times New Roman" w:cs="Times New Roman"/>
          <w:b/>
          <w:sz w:val="24"/>
          <w:szCs w:val="24"/>
        </w:rPr>
        <w:t>Keywords:</w:t>
      </w:r>
      <w:r w:rsidRPr="00BE4AF3">
        <w:rPr>
          <w:rFonts w:ascii="Times New Roman" w:hAnsi="Times New Roman" w:cs="Times New Roman"/>
          <w:sz w:val="24"/>
          <w:szCs w:val="24"/>
        </w:rPr>
        <w:t xml:space="preserve"> </w:t>
      </w:r>
      <w:r w:rsidRPr="00BE4AF3">
        <w:rPr>
          <w:rFonts w:ascii="Times New Roman" w:hAnsi="Times New Roman" w:cs="Times New Roman"/>
          <w:bCs/>
          <w:sz w:val="24"/>
          <w:szCs w:val="24"/>
        </w:rPr>
        <w:t>Public transport, C</w:t>
      </w:r>
      <w:r w:rsidRPr="00BE4AF3">
        <w:rPr>
          <w:rFonts w:ascii="Times New Roman" w:hAnsi="Times New Roman" w:cs="Times New Roman"/>
          <w:sz w:val="24"/>
          <w:szCs w:val="24"/>
        </w:rPr>
        <w:t>rime, Public safety, Transport security and safety, Hot spot, Abuja, Nigeria.</w:t>
      </w:r>
    </w:p>
    <w:p w14:paraId="3C10E560" w14:textId="77777777" w:rsidR="00A95426" w:rsidRPr="00BE4AF3" w:rsidRDefault="00A95426" w:rsidP="00E90BB6">
      <w:pPr>
        <w:spacing w:after="0" w:line="240" w:lineRule="auto"/>
        <w:rPr>
          <w:rFonts w:ascii="Times New Roman" w:hAnsi="Times New Roman" w:cs="Times New Roman"/>
          <w:sz w:val="24"/>
          <w:szCs w:val="24"/>
        </w:rPr>
      </w:pPr>
    </w:p>
    <w:p w14:paraId="6F3C67DE" w14:textId="77777777" w:rsidR="004371E3" w:rsidRPr="00BE4AF3" w:rsidRDefault="004371E3" w:rsidP="004371E3">
      <w:pPr>
        <w:tabs>
          <w:tab w:val="left" w:pos="327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Introduction</w:t>
      </w:r>
    </w:p>
    <w:p w14:paraId="7B69A13D" w14:textId="77777777" w:rsidR="004371E3" w:rsidRPr="00BE4AF3" w:rsidRDefault="004371E3" w:rsidP="0061585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Transport security and safety has attracted global attention in recent times. Safety occupies a central theme and consideration for the travel pattern and level of patronage. In relation to road transport system, enhancing the safety of passengers and the right of citizens to life and health should be safeguarded (ECMT, 2003). Globally, crime has become a social problem across towns and cities along major bus-stops, transport routes, and other public places along public transit. There has been uncontrolled increase in incidence of crime in public transit in developing countries of Asia and Africa (World Bank, 2015). Studies have shown that uncontrolled increasing in frequency, dimension and advancement in crime in recent times is a global challenge across the world and Nigerian cities (Asiyanbola, 2003; Adebayo, 2013; Ewetan and Urhie, 2014; Asiyanbola, and Ayeolowo, 2019).  According to India Delhi Report (2012) attention has been focused in understanding the interplay of critical infrastructure such as transport systems and facilities on incidence of major events such as terrorism, abuse and public assaults. Currently, in India, 92 percent of working women feel insecure especially at night, in all the major economic centers across the country and 85 percent of women in Bangalore complained about feeling unsafe while travelling (India, 2012). Sarkar and Partheeban (2011) revealed that women have been sexually abused in public transit in India. </w:t>
      </w:r>
    </w:p>
    <w:p w14:paraId="1E5B8917" w14:textId="77777777" w:rsidR="004371E3" w:rsidRPr="00BE4AF3" w:rsidRDefault="004371E3" w:rsidP="0061585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lastRenderedPageBreak/>
        <w:t xml:space="preserve">As revealed by Gomez (2000) and World Bank (2002) South Africa has experienced personal violence in relation to sexual harassment in public transit. Past studies have shown that passenger fears, and concerns about safety influence their travel decisions. According to Sideris and Fink (2008), UK Department Survey for Transport showed an extra 10.5% of journeys would be generated if public felt more secure while travelling and waiting at the stations. In the same vein, (Sham et al., 2013) found out that security in bus stops along mass transit enhance the chance of higher patronage of mass transit, especially among women. </w:t>
      </w:r>
    </w:p>
    <w:p w14:paraId="38A6E86F" w14:textId="77777777" w:rsidR="004371E3" w:rsidRPr="00BE4AF3" w:rsidRDefault="004371E3" w:rsidP="00615853">
      <w:pPr>
        <w:pStyle w:val="Pa15"/>
        <w:spacing w:line="240" w:lineRule="auto"/>
        <w:jc w:val="both"/>
        <w:rPr>
          <w:rFonts w:ascii="Times New Roman" w:hAnsi="Times New Roman" w:cs="Times New Roman"/>
        </w:rPr>
      </w:pPr>
      <w:r w:rsidRPr="00BE4AF3">
        <w:rPr>
          <w:rFonts w:ascii="Times New Roman" w:hAnsi="Times New Roman" w:cs="Times New Roman"/>
        </w:rPr>
        <w:t xml:space="preserve">Safety is one of the significant factors in influencing the utilization and patronage of mass transit. The incidence of crime and fear pose significant threats in decreasing the utilization of mass transit and in the long run have ripple effects on sustainable transport and urban development (Iveson, 2018). As posited by Ceccato and Paz (2017) crime in relation to mass transit refers to the physical safety of passengers and staff, as well as financial losses, physical and emotional well-being of commuters especially those using mass transit. The study further argued that globally, women have higher chance to be sexually victimized in public transit than men (Ceccato and Paz, 2017). In addressing the gender-sensitivity in mass transit, (Gekoski </w:t>
      </w:r>
      <w:r w:rsidRPr="00BE4AF3">
        <w:rPr>
          <w:rFonts w:ascii="Times New Roman" w:hAnsi="Times New Roman" w:cs="Times New Roman"/>
          <w:i/>
        </w:rPr>
        <w:t>et al.</w:t>
      </w:r>
      <w:r w:rsidRPr="00BE4AF3">
        <w:rPr>
          <w:rFonts w:ascii="Times New Roman" w:hAnsi="Times New Roman" w:cs="Times New Roman"/>
        </w:rPr>
        <w:t>, (2015) posited that numerous developed countries such as the UK, Japan, and countries of the European Union have put in place robust public transport safety measures for providing security to their citizenry. In contrast, Nigeria has witnessed poor safety measures in mass transit and passengers; women adopted their own strategies, such as changing their dressing code and taking precautionary measures to avoid sexual crime vic</w:t>
      </w:r>
      <w:r w:rsidRPr="00BE4AF3">
        <w:rPr>
          <w:rFonts w:ascii="Times New Roman" w:hAnsi="Times New Roman" w:cs="Times New Roman"/>
        </w:rPr>
        <w:softHyphen/>
        <w:t xml:space="preserve">timization while using public transit. </w:t>
      </w:r>
    </w:p>
    <w:p w14:paraId="762FC330" w14:textId="77777777" w:rsidR="004371E3" w:rsidRPr="00BE4AF3" w:rsidRDefault="004371E3" w:rsidP="0061585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In Nigeria, public transport system has continuously become a major hotspot of numerous crimes. In recent times, passengers have persistently experienced unprecedented upsurge in incidence of harassments, kidnapping, murder, robbery, assaults, injuries, loss of life and property. Studies have revealed that the high incidence of crime along public transit, especially in developing countries was due to socio-economic deprivations (Burrell, 2007; Clifton, 2009; Odufuwa, 2011). The studies further associated high level of security to more spatial interaction and level of patronage. </w:t>
      </w:r>
    </w:p>
    <w:p w14:paraId="215FF29D" w14:textId="77777777" w:rsidR="004371E3" w:rsidRPr="00BE4AF3" w:rsidRDefault="004371E3" w:rsidP="00615853">
      <w:pPr>
        <w:pStyle w:val="Default"/>
        <w:jc w:val="both"/>
        <w:rPr>
          <w:color w:val="auto"/>
        </w:rPr>
      </w:pPr>
      <w:r w:rsidRPr="00BE4AF3">
        <w:rPr>
          <w:color w:val="auto"/>
        </w:rPr>
        <w:t xml:space="preserve">Ajayi and Ajayi (2014) found out that cities in Nigeria have been faced with the challenges of the risk of lives and properties due to incidence of crime along transport routes and bus-stops. The study further revealed that passengers are being mugged, assaulted, robbed, and raped in Nigeria at major bus stops/bus stations and other mass transit facilities in their course of journey to home and other socio-economic activities. </w:t>
      </w:r>
      <w:r w:rsidRPr="00BE4AF3">
        <w:rPr>
          <w:bCs/>
          <w:color w:val="auto"/>
        </w:rPr>
        <w:t xml:space="preserve">Olojede (2019) </w:t>
      </w:r>
      <w:r w:rsidRPr="00BE4AF3">
        <w:rPr>
          <w:color w:val="auto"/>
        </w:rPr>
        <w:t xml:space="preserve">in an attempt to understand nature of crime in mass transit, categorized crime in Nigerian transport environment to pick-pocketing, stealing, robbery, assaults, grievous bodily harm and wounding, breach of public peace, drug dealings and hooliganism. The study found out that passengers of mass transit have experienced criminal activities at different time of the day and week along bus stations, waiting at bus stations and travelling on bus. </w:t>
      </w:r>
    </w:p>
    <w:p w14:paraId="78EB3358" w14:textId="77777777" w:rsidR="004371E3" w:rsidRPr="00BE4AF3" w:rsidRDefault="004371E3" w:rsidP="00615853">
      <w:pPr>
        <w:pStyle w:val="Default"/>
        <w:jc w:val="both"/>
        <w:rPr>
          <w:color w:val="auto"/>
        </w:rPr>
      </w:pPr>
      <w:r w:rsidRPr="00BE4AF3">
        <w:rPr>
          <w:color w:val="auto"/>
        </w:rPr>
        <w:t>As revealed by Wojuade and Badiora (2017), crime in Nigeria has changed from normal crime along transport corridors and routes to the recent incidence of kidnapping and terrorism.  On the March 28th, 2022 terrorist attacked Abuja-Kaduna bound train killing at least 9 people, wounded several and with more than 65 people kidnapped. On April 4th, 2014, an early morning explosion that frayed through the Nyanya transit park in the outskirts of the Nigerian capital, Abuja, killed at least 71 people and injured 124 as hundreds of commuters travelled to work. The explosion destroyed 16 high-capacity buses and 24 minibuses, many of which were loaded with passengers. On August 22nd, 2015, a suicide bomber killed 5 and wounded 41 people in an attack at the crowded entrance to a bus station in Damaturu; capital city of Yobe State in Northeast Nigeria. On June 6th, 2017, 3 passengers were abducted from Lagos-Benin commercial bus at Benin City by-</w:t>
      </w:r>
      <w:r w:rsidRPr="00BE4AF3">
        <w:rPr>
          <w:color w:val="auto"/>
        </w:rPr>
        <w:lastRenderedPageBreak/>
        <w:t>pass near Oluku station in Benin City. Furthermore, on 7th of August 2017, gunmen abducted 15 passengers in Rivers State when they hijacked a Lagos-bound commercial bus. The incident occurred around Elibrada community bus terminal along the east-west road in Emohua Local Council Area. These and many more are cases of heinous crime that may affect the quality and perception of public transportation system in Nigeria (Wojuade and Badiora, 2017; Alemika and Chukwuma, 2005; Fadare and Oduwaye, 2009).</w:t>
      </w:r>
    </w:p>
    <w:p w14:paraId="721DADA7" w14:textId="77777777" w:rsidR="004371E3" w:rsidRPr="00BE4AF3" w:rsidRDefault="004371E3" w:rsidP="0061585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Numerous studies have been conducted to understand factors influencing the quality of public transport, travel pattern and safety in public transit. Dragu et al., (2013) argued that crime and fear of crime influence the quality of public transport. Delbosc and Currie (2011) and Crime Concern (2004) posited that the level of security in public transit influence the patronage levels when traveling and waiting at transits stop bus stations. Some other (Ekblom 2011; Weisburd et al., 2012; Armitage and Joyce 2017) argued that surveillance in relation to ability to observe what is happening through the use of Closed-Circuit Television (CCTV) and security guards influence crime and the perceptions of safety. Clifton (2009) and Odufuwa (2011) revealed that socio-economic deprivations contribute to the criminal activities on public transport system in developing countries. The studies further revealed that the more secure the public transport system, the more spatial interactions or patronage experienced.</w:t>
      </w:r>
    </w:p>
    <w:p w14:paraId="779BD514" w14:textId="77777777" w:rsidR="004371E3" w:rsidRPr="00BE4AF3" w:rsidRDefault="004371E3" w:rsidP="0061585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Cozens (2014) found out that there is an interplay of the prevailing land-use and its effects on crime in public transit. The study identified that there are some prevailing land-use that increase vulnerability to crime in mass transit in relation to hotels, retail shops, seedy inns, vacant lots/buildings, and cash converters/pawn shops. It has been observed that public routes in relation to footpaths, parking facilities, and unsupervised transit areas; recreational settings in relation to bars and parks; public transport such as bus-stops, transport corridors and other adjoining locations; retail stores, health care centres and clusters of industries among others are potential location of crime generators, crime attractors (Brantingham and Brantingham, 2008), crime detractors (Kinney </w:t>
      </w:r>
      <w:r w:rsidRPr="00BE4AF3">
        <w:rPr>
          <w:rFonts w:ascii="Times New Roman" w:hAnsi="Times New Roman" w:cs="Times New Roman"/>
          <w:i/>
          <w:sz w:val="24"/>
          <w:szCs w:val="24"/>
        </w:rPr>
        <w:t>et al.,</w:t>
      </w:r>
      <w:r w:rsidRPr="00BE4AF3">
        <w:rPr>
          <w:rFonts w:ascii="Times New Roman" w:hAnsi="Times New Roman" w:cs="Times New Roman"/>
          <w:sz w:val="24"/>
          <w:szCs w:val="24"/>
        </w:rPr>
        <w:t xml:space="preserve"> 2008), crime facilitators (Clarke and Eck, 2005), and crime precipitators (Wortley, 2008). According to Otu (2017), the uncontrolled activities of touts known as “Agberos” at the major bus-stops in Nigerian transport system has brought about physical assaults and harassment of customers in their bid to compete for passengers. Ceccato and Paz (2017) found out that the interplay of high densities of passengers in relation to overcrowding in public transit creates fertile ground for sexual harassment and other forms of abuse. </w:t>
      </w:r>
    </w:p>
    <w:p w14:paraId="304A5262" w14:textId="77777777" w:rsidR="004371E3" w:rsidRPr="00BE4AF3" w:rsidRDefault="004371E3" w:rsidP="00615853">
      <w:pPr>
        <w:tabs>
          <w:tab w:val="left" w:pos="327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It is against this backdrop that this study examine crime in public transit in Abuja Municipal Area Council (AMAC) in Nigeria. The specific objectives of the study include; to identify the category of crime in public transit in the study area; to identify the perceived hot spots of crime in public transit in the study area; and, to examine the temporal dimension of crime in public transit in the study area.</w:t>
      </w:r>
    </w:p>
    <w:p w14:paraId="2E4745A8" w14:textId="77777777" w:rsidR="004371E3" w:rsidRPr="00BE4AF3" w:rsidRDefault="004371E3" w:rsidP="00615853">
      <w:pPr>
        <w:tabs>
          <w:tab w:val="left" w:pos="3270"/>
        </w:tabs>
        <w:spacing w:after="0" w:line="240" w:lineRule="auto"/>
        <w:jc w:val="both"/>
        <w:rPr>
          <w:rFonts w:ascii="Times New Roman" w:hAnsi="Times New Roman" w:cs="Times New Roman"/>
          <w:b/>
          <w:sz w:val="24"/>
          <w:szCs w:val="24"/>
        </w:rPr>
      </w:pPr>
    </w:p>
    <w:p w14:paraId="7F47FF84" w14:textId="77777777" w:rsidR="004371E3" w:rsidRPr="00BE4AF3" w:rsidRDefault="004371E3" w:rsidP="00615853">
      <w:pPr>
        <w:tabs>
          <w:tab w:val="left" w:pos="327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Material</w:t>
      </w:r>
      <w:r w:rsidRPr="00BE4AF3">
        <w:rPr>
          <w:rFonts w:ascii="Times New Roman" w:hAnsi="Times New Roman" w:cs="Times New Roman"/>
          <w:b/>
          <w:sz w:val="24"/>
          <w:szCs w:val="24"/>
          <w:lang w:val="en-US"/>
        </w:rPr>
        <w:t>s</w:t>
      </w:r>
      <w:r w:rsidRPr="00BE4AF3">
        <w:rPr>
          <w:rFonts w:ascii="Times New Roman" w:hAnsi="Times New Roman" w:cs="Times New Roman"/>
          <w:b/>
          <w:sz w:val="24"/>
          <w:szCs w:val="24"/>
        </w:rPr>
        <w:t xml:space="preserve"> and Methods</w:t>
      </w:r>
    </w:p>
    <w:p w14:paraId="082261B8" w14:textId="77777777" w:rsidR="004371E3" w:rsidRPr="00BE4AF3" w:rsidRDefault="004371E3" w:rsidP="00615853">
      <w:pPr>
        <w:tabs>
          <w:tab w:val="left" w:pos="3270"/>
        </w:tabs>
        <w:spacing w:after="0" w:line="240" w:lineRule="auto"/>
        <w:jc w:val="both"/>
        <w:rPr>
          <w:rFonts w:ascii="Times New Roman" w:hAnsi="Times New Roman" w:cs="Times New Roman"/>
          <w:b/>
          <w:sz w:val="24"/>
          <w:szCs w:val="24"/>
        </w:rPr>
      </w:pPr>
      <w:r w:rsidRPr="00BE4AF3">
        <w:rPr>
          <w:rFonts w:ascii="Times New Roman" w:hAnsi="Times New Roman" w:cs="Times New Roman"/>
          <w:sz w:val="24"/>
          <w:szCs w:val="24"/>
        </w:rPr>
        <w:t>Both primary and secondary data sources were used. Four hundred questionnaires (that covers twelve wards of AMAC) were administered. Three hundred and eighty were returned. The target respondents were passengers, drivers and other operators of public transits in Garki, Gui, Gwagwa, Gwarinpa, Karu, Karshi, Kabusa, Nyanya, Orozo, Jiwa, Wuse and City centre wards. The number administered in each of the wards is proportional to the number of registered drivers and vehicles at the motor park in each ward. Purposive sampling technique was used to select key informants; drivers, operators, and passengers. Descriptive statistics was used to analyze the data.</w:t>
      </w:r>
    </w:p>
    <w:p w14:paraId="2A0B7F93" w14:textId="77777777" w:rsidR="004371E3" w:rsidRPr="00BE4AF3" w:rsidRDefault="004371E3" w:rsidP="00615853">
      <w:pPr>
        <w:tabs>
          <w:tab w:val="left" w:pos="3270"/>
        </w:tabs>
        <w:spacing w:after="0" w:line="240" w:lineRule="auto"/>
        <w:jc w:val="both"/>
        <w:rPr>
          <w:rFonts w:ascii="Times New Roman" w:hAnsi="Times New Roman" w:cs="Times New Roman"/>
          <w:b/>
          <w:sz w:val="24"/>
          <w:szCs w:val="24"/>
        </w:rPr>
      </w:pPr>
    </w:p>
    <w:p w14:paraId="1629F8EE" w14:textId="77777777" w:rsidR="004371E3" w:rsidRPr="00BE4AF3" w:rsidRDefault="004371E3" w:rsidP="004371E3">
      <w:pPr>
        <w:tabs>
          <w:tab w:val="left" w:pos="327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lastRenderedPageBreak/>
        <w:t>Results and Discussion</w:t>
      </w:r>
    </w:p>
    <w:p w14:paraId="633F83B9" w14:textId="16B1A126" w:rsidR="004371E3" w:rsidRPr="00BE4AF3" w:rsidRDefault="004371E3" w:rsidP="004371E3">
      <w:pPr>
        <w:autoSpaceDE w:val="0"/>
        <w:autoSpaceDN w:val="0"/>
        <w:adjustRightInd w:val="0"/>
        <w:spacing w:after="0" w:line="240" w:lineRule="auto"/>
        <w:jc w:val="both"/>
        <w:rPr>
          <w:rFonts w:ascii="Times New Roman" w:hAnsi="Times New Roman" w:cs="Times New Roman"/>
          <w:b/>
          <w:bCs/>
          <w:sz w:val="24"/>
          <w:szCs w:val="24"/>
          <w:lang w:val="en-US"/>
        </w:rPr>
      </w:pPr>
      <w:r w:rsidRPr="00BE4AF3">
        <w:rPr>
          <w:rFonts w:ascii="Times New Roman" w:hAnsi="Times New Roman" w:cs="Times New Roman"/>
          <w:b/>
          <w:bCs/>
          <w:sz w:val="24"/>
          <w:szCs w:val="24"/>
          <w:lang w:eastAsia="en-GB"/>
        </w:rPr>
        <w:t xml:space="preserve">Categories of crime experienced and perceived hot spots of crime in public transit by the respondents </w:t>
      </w:r>
    </w:p>
    <w:p w14:paraId="0D667232" w14:textId="377FE308" w:rsidR="004371E3" w:rsidRPr="00BE4AF3" w:rsidRDefault="004371E3" w:rsidP="00615853">
      <w:pPr>
        <w:spacing w:line="240" w:lineRule="auto"/>
        <w:rPr>
          <w:rFonts w:ascii="Times New Roman" w:hAnsi="Times New Roman" w:cs="Times New Roman"/>
          <w:sz w:val="24"/>
          <w:szCs w:val="24"/>
        </w:rPr>
      </w:pPr>
      <w:bookmarkStart w:id="53" w:name="_Hlk206070687"/>
      <w:r w:rsidRPr="00BE4AF3">
        <w:rPr>
          <w:rFonts w:ascii="Times New Roman" w:hAnsi="Times New Roman" w:cs="Times New Roman"/>
          <w:sz w:val="24"/>
          <w:szCs w:val="24"/>
        </w:rPr>
        <w:t xml:space="preserve">Respondents were asked various questions relating to their perceived safety at the garage/bus stop, fear of being victims of crime in public transit, category of crime experienced in public transit, report of crime in public transit, knowledge of police emergency number, and perceived hot spots of crime in public transit. Table 1 shows the response of the respondents. In response to perceived safety at garage/bus stop, 43% often felt safe at bus stop, while 25% sometimes felt safe at the bus stop. When asked about their fear of being victims of crime in public transit, most of the respondents sometimes have fear of being victims of crime in public transport. Results on category of crime experienced in public transit shows that theft is the most common crime experienced by the respondents in public transit, followed by assault and battery, armed robbery, kidnapping, and rape/assault. Only few (35%) respondents had reported crime in public transit. </w:t>
      </w:r>
      <w:r w:rsidRPr="00BE4AF3">
        <w:rPr>
          <w:rFonts w:ascii="Times New Roman" w:hAnsi="Times New Roman" w:cs="Times New Roman"/>
          <w:sz w:val="24"/>
          <w:szCs w:val="24"/>
          <w:lang w:eastAsia="en-GB"/>
        </w:rPr>
        <w:t xml:space="preserve">This indicates that majority of the respondents had not reported cases of criminal activities in public transit in the study area. </w:t>
      </w:r>
      <w:r w:rsidRPr="00BE4AF3">
        <w:rPr>
          <w:rFonts w:ascii="Times New Roman" w:hAnsi="Times New Roman" w:cs="Times New Roman"/>
          <w:sz w:val="24"/>
          <w:szCs w:val="24"/>
        </w:rPr>
        <w:t xml:space="preserve">Also, only few (25%) respondents knew the police emergency number. </w:t>
      </w:r>
      <w:r w:rsidRPr="00BE4AF3">
        <w:rPr>
          <w:rFonts w:ascii="Times New Roman" w:hAnsi="Times New Roman" w:cs="Times New Roman"/>
          <w:sz w:val="24"/>
          <w:szCs w:val="24"/>
          <w:lang w:eastAsia="en-GB"/>
        </w:rPr>
        <w:t xml:space="preserve">This indicates majority of the respondents were not aware of emergency number to call during incidence of criminal activities. Inability to know emergency number to call during incidences of crime may influence slow response to distress call by law enforcement agencies in the study area. This is in the long run may bring about inability to effectively control criminal activities in public transit. </w:t>
      </w:r>
      <w:r w:rsidRPr="00BE4AF3">
        <w:rPr>
          <w:rFonts w:ascii="Times New Roman" w:hAnsi="Times New Roman" w:cs="Times New Roman"/>
          <w:sz w:val="24"/>
          <w:szCs w:val="24"/>
        </w:rPr>
        <w:t>Most perceived crime hot spots are located at the peri-urban area, along transport corridor, on-transit, bus stops and road intersections.</w:t>
      </w:r>
      <w:bookmarkEnd w:id="53"/>
    </w:p>
    <w:p w14:paraId="2E37AE99" w14:textId="77777777" w:rsidR="004371E3" w:rsidRPr="00BE4AF3" w:rsidRDefault="004371E3" w:rsidP="00615853">
      <w:pPr>
        <w:spacing w:after="0" w:line="240" w:lineRule="auto"/>
        <w:jc w:val="center"/>
        <w:rPr>
          <w:rFonts w:ascii="Times New Roman" w:hAnsi="Times New Roman" w:cs="Times New Roman"/>
          <w:sz w:val="24"/>
          <w:szCs w:val="24"/>
        </w:rPr>
      </w:pPr>
      <w:r w:rsidRPr="00BE4AF3">
        <w:rPr>
          <w:rFonts w:ascii="Times New Roman" w:hAnsi="Times New Roman" w:cs="Times New Roman"/>
          <w:b/>
          <w:bCs/>
          <w:sz w:val="24"/>
          <w:szCs w:val="24"/>
        </w:rPr>
        <w:t>Table 1:</w:t>
      </w:r>
      <w:r w:rsidRPr="00BE4AF3">
        <w:rPr>
          <w:rFonts w:ascii="Times New Roman" w:hAnsi="Times New Roman" w:cs="Times New Roman"/>
          <w:sz w:val="24"/>
          <w:szCs w:val="24"/>
        </w:rPr>
        <w:t xml:space="preserve"> </w:t>
      </w:r>
      <w:r w:rsidRPr="00BE4AF3">
        <w:rPr>
          <w:rFonts w:ascii="Times New Roman" w:hAnsi="Times New Roman" w:cs="Times New Roman"/>
          <w:bCs/>
          <w:sz w:val="24"/>
          <w:szCs w:val="24"/>
          <w:lang w:eastAsia="en-GB"/>
        </w:rPr>
        <w:t>Categories and Perceived Hot Spots of Crime in Public Transit in AMAC</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
        <w:gridCol w:w="2070"/>
        <w:gridCol w:w="3510"/>
        <w:gridCol w:w="1620"/>
      </w:tblGrid>
      <w:tr w:rsidR="004371E3" w:rsidRPr="00615853" w14:paraId="6ECE3404" w14:textId="77777777" w:rsidTr="00615853">
        <w:trPr>
          <w:jc w:val="center"/>
        </w:trPr>
        <w:tc>
          <w:tcPr>
            <w:tcW w:w="715" w:type="dxa"/>
            <w:tcBorders>
              <w:top w:val="single" w:sz="4" w:space="0" w:color="auto"/>
              <w:bottom w:val="single" w:sz="4" w:space="0" w:color="auto"/>
            </w:tcBorders>
          </w:tcPr>
          <w:p w14:paraId="2931F388"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S/N</w:t>
            </w:r>
          </w:p>
        </w:tc>
        <w:tc>
          <w:tcPr>
            <w:tcW w:w="5580" w:type="dxa"/>
            <w:gridSpan w:val="2"/>
            <w:tcBorders>
              <w:top w:val="single" w:sz="4" w:space="0" w:color="auto"/>
              <w:bottom w:val="single" w:sz="4" w:space="0" w:color="auto"/>
            </w:tcBorders>
          </w:tcPr>
          <w:p w14:paraId="7C587AF9" w14:textId="77777777" w:rsidR="004371E3" w:rsidRPr="00615853" w:rsidRDefault="004371E3" w:rsidP="00615853">
            <w:pPr>
              <w:spacing w:after="0" w:line="240" w:lineRule="auto"/>
              <w:rPr>
                <w:rFonts w:ascii="Times New Roman" w:hAnsi="Times New Roman" w:cs="Times New Roman"/>
                <w:sz w:val="20"/>
                <w:szCs w:val="20"/>
              </w:rPr>
            </w:pPr>
            <w:r w:rsidRPr="00615853">
              <w:rPr>
                <w:rFonts w:ascii="Times New Roman" w:hAnsi="Times New Roman" w:cs="Times New Roman"/>
                <w:sz w:val="20"/>
                <w:szCs w:val="20"/>
              </w:rPr>
              <w:t>Variables</w:t>
            </w:r>
          </w:p>
        </w:tc>
        <w:tc>
          <w:tcPr>
            <w:tcW w:w="1620" w:type="dxa"/>
            <w:tcBorders>
              <w:top w:val="single" w:sz="4" w:space="0" w:color="auto"/>
              <w:bottom w:val="single" w:sz="4" w:space="0" w:color="auto"/>
            </w:tcBorders>
          </w:tcPr>
          <w:p w14:paraId="6972A91A"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Percentage (N = 380)</w:t>
            </w:r>
          </w:p>
        </w:tc>
      </w:tr>
      <w:tr w:rsidR="004371E3" w:rsidRPr="00615853" w14:paraId="59A354B3" w14:textId="77777777" w:rsidTr="00615853">
        <w:trPr>
          <w:jc w:val="center"/>
        </w:trPr>
        <w:tc>
          <w:tcPr>
            <w:tcW w:w="715" w:type="dxa"/>
            <w:vMerge w:val="restart"/>
            <w:tcBorders>
              <w:top w:val="single" w:sz="4" w:space="0" w:color="auto"/>
            </w:tcBorders>
          </w:tcPr>
          <w:p w14:paraId="77AE7B08"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1</w:t>
            </w:r>
          </w:p>
        </w:tc>
        <w:tc>
          <w:tcPr>
            <w:tcW w:w="2070" w:type="dxa"/>
            <w:vMerge w:val="restart"/>
            <w:tcBorders>
              <w:top w:val="single" w:sz="4" w:space="0" w:color="auto"/>
            </w:tcBorders>
          </w:tcPr>
          <w:p w14:paraId="7BB2CC3A" w14:textId="77777777" w:rsidR="004371E3" w:rsidRPr="00615853" w:rsidRDefault="004371E3" w:rsidP="00615853">
            <w:pPr>
              <w:spacing w:after="0" w:line="240" w:lineRule="auto"/>
              <w:rPr>
                <w:rFonts w:ascii="Times New Roman" w:hAnsi="Times New Roman" w:cs="Times New Roman"/>
                <w:sz w:val="20"/>
                <w:szCs w:val="20"/>
              </w:rPr>
            </w:pPr>
            <w:r w:rsidRPr="00615853">
              <w:rPr>
                <w:rFonts w:ascii="Times New Roman" w:hAnsi="Times New Roman" w:cs="Times New Roman"/>
                <w:sz w:val="20"/>
                <w:szCs w:val="20"/>
              </w:rPr>
              <w:t>Perceived safety at Garage/Bus Stop</w:t>
            </w:r>
          </w:p>
        </w:tc>
        <w:tc>
          <w:tcPr>
            <w:tcW w:w="3510" w:type="dxa"/>
            <w:tcBorders>
              <w:top w:val="single" w:sz="4" w:space="0" w:color="auto"/>
            </w:tcBorders>
          </w:tcPr>
          <w:p w14:paraId="1551C3AF" w14:textId="77777777" w:rsidR="004371E3" w:rsidRPr="00615853" w:rsidRDefault="004371E3" w:rsidP="00615853">
            <w:pPr>
              <w:spacing w:after="0" w:line="240" w:lineRule="auto"/>
              <w:rPr>
                <w:rFonts w:ascii="Times New Roman" w:hAnsi="Times New Roman" w:cs="Times New Roman"/>
                <w:sz w:val="20"/>
                <w:szCs w:val="20"/>
              </w:rPr>
            </w:pPr>
            <w:r w:rsidRPr="00615853">
              <w:rPr>
                <w:rFonts w:ascii="Times New Roman" w:hAnsi="Times New Roman" w:cs="Times New Roman"/>
                <w:sz w:val="20"/>
                <w:szCs w:val="20"/>
              </w:rPr>
              <w:t>Often felt safe at Bus Stop</w:t>
            </w:r>
          </w:p>
        </w:tc>
        <w:tc>
          <w:tcPr>
            <w:tcW w:w="1620" w:type="dxa"/>
            <w:tcBorders>
              <w:top w:val="single" w:sz="4" w:space="0" w:color="auto"/>
            </w:tcBorders>
          </w:tcPr>
          <w:p w14:paraId="7CCCD8BA"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43.0</w:t>
            </w:r>
          </w:p>
        </w:tc>
      </w:tr>
      <w:tr w:rsidR="004371E3" w:rsidRPr="00615853" w14:paraId="317EA545" w14:textId="77777777" w:rsidTr="00615853">
        <w:trPr>
          <w:jc w:val="center"/>
        </w:trPr>
        <w:tc>
          <w:tcPr>
            <w:tcW w:w="715" w:type="dxa"/>
            <w:vMerge/>
          </w:tcPr>
          <w:p w14:paraId="69F53E0D"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2070" w:type="dxa"/>
            <w:vMerge/>
          </w:tcPr>
          <w:p w14:paraId="005A6F90" w14:textId="77777777" w:rsidR="004371E3" w:rsidRPr="00615853" w:rsidRDefault="004371E3" w:rsidP="00615853">
            <w:pPr>
              <w:spacing w:after="0" w:line="240" w:lineRule="auto"/>
              <w:rPr>
                <w:rFonts w:ascii="Times New Roman" w:hAnsi="Times New Roman" w:cs="Times New Roman"/>
                <w:sz w:val="20"/>
                <w:szCs w:val="20"/>
              </w:rPr>
            </w:pPr>
          </w:p>
        </w:tc>
        <w:tc>
          <w:tcPr>
            <w:tcW w:w="3510" w:type="dxa"/>
          </w:tcPr>
          <w:p w14:paraId="28769DF0" w14:textId="77777777" w:rsidR="004371E3" w:rsidRPr="00615853" w:rsidRDefault="004371E3" w:rsidP="00615853">
            <w:pPr>
              <w:spacing w:after="0" w:line="240" w:lineRule="auto"/>
              <w:rPr>
                <w:rFonts w:ascii="Times New Roman" w:hAnsi="Times New Roman" w:cs="Times New Roman"/>
                <w:sz w:val="20"/>
                <w:szCs w:val="20"/>
              </w:rPr>
            </w:pPr>
            <w:r w:rsidRPr="00615853">
              <w:rPr>
                <w:rFonts w:ascii="Times New Roman" w:hAnsi="Times New Roman" w:cs="Times New Roman"/>
                <w:sz w:val="20"/>
                <w:szCs w:val="20"/>
              </w:rPr>
              <w:t>Sometimes felt safe at the Bus Stop</w:t>
            </w:r>
          </w:p>
        </w:tc>
        <w:tc>
          <w:tcPr>
            <w:tcW w:w="1620" w:type="dxa"/>
          </w:tcPr>
          <w:p w14:paraId="6995C39F"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25.0</w:t>
            </w:r>
          </w:p>
        </w:tc>
      </w:tr>
      <w:tr w:rsidR="004371E3" w:rsidRPr="00615853" w14:paraId="21B3C2C9" w14:textId="77777777" w:rsidTr="00615853">
        <w:trPr>
          <w:jc w:val="center"/>
        </w:trPr>
        <w:tc>
          <w:tcPr>
            <w:tcW w:w="715" w:type="dxa"/>
            <w:vMerge/>
          </w:tcPr>
          <w:p w14:paraId="6297213B"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2070" w:type="dxa"/>
            <w:vMerge/>
          </w:tcPr>
          <w:p w14:paraId="5AE2B41E" w14:textId="77777777" w:rsidR="004371E3" w:rsidRPr="00615853" w:rsidRDefault="004371E3" w:rsidP="00615853">
            <w:pPr>
              <w:spacing w:after="0" w:line="240" w:lineRule="auto"/>
              <w:rPr>
                <w:rFonts w:ascii="Times New Roman" w:hAnsi="Times New Roman" w:cs="Times New Roman"/>
                <w:sz w:val="20"/>
                <w:szCs w:val="20"/>
              </w:rPr>
            </w:pPr>
          </w:p>
        </w:tc>
        <w:tc>
          <w:tcPr>
            <w:tcW w:w="3510" w:type="dxa"/>
          </w:tcPr>
          <w:p w14:paraId="4624BB04" w14:textId="77777777" w:rsidR="004371E3" w:rsidRPr="00615853" w:rsidRDefault="004371E3" w:rsidP="00615853">
            <w:pPr>
              <w:spacing w:after="0" w:line="240" w:lineRule="auto"/>
              <w:rPr>
                <w:rFonts w:ascii="Times New Roman" w:hAnsi="Times New Roman" w:cs="Times New Roman"/>
                <w:sz w:val="20"/>
                <w:szCs w:val="20"/>
              </w:rPr>
            </w:pPr>
            <w:r w:rsidRPr="00615853">
              <w:rPr>
                <w:rFonts w:ascii="Times New Roman" w:hAnsi="Times New Roman" w:cs="Times New Roman"/>
                <w:sz w:val="20"/>
                <w:szCs w:val="20"/>
              </w:rPr>
              <w:t>Rarely felt safe at the Bus Stop</w:t>
            </w:r>
          </w:p>
        </w:tc>
        <w:tc>
          <w:tcPr>
            <w:tcW w:w="1620" w:type="dxa"/>
          </w:tcPr>
          <w:p w14:paraId="0A27534F"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11.0</w:t>
            </w:r>
          </w:p>
        </w:tc>
      </w:tr>
      <w:tr w:rsidR="004371E3" w:rsidRPr="00615853" w14:paraId="564972AD" w14:textId="77777777" w:rsidTr="00615853">
        <w:trPr>
          <w:jc w:val="center"/>
        </w:trPr>
        <w:tc>
          <w:tcPr>
            <w:tcW w:w="715" w:type="dxa"/>
            <w:vMerge/>
          </w:tcPr>
          <w:p w14:paraId="08445EA2"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2070" w:type="dxa"/>
            <w:vMerge/>
          </w:tcPr>
          <w:p w14:paraId="41EF1683" w14:textId="77777777" w:rsidR="004371E3" w:rsidRPr="00615853" w:rsidRDefault="004371E3" w:rsidP="00615853">
            <w:pPr>
              <w:spacing w:after="0" w:line="240" w:lineRule="auto"/>
              <w:rPr>
                <w:rFonts w:ascii="Times New Roman" w:hAnsi="Times New Roman" w:cs="Times New Roman"/>
                <w:sz w:val="20"/>
                <w:szCs w:val="20"/>
              </w:rPr>
            </w:pPr>
          </w:p>
        </w:tc>
        <w:tc>
          <w:tcPr>
            <w:tcW w:w="3510" w:type="dxa"/>
          </w:tcPr>
          <w:p w14:paraId="0C3F7922" w14:textId="77777777" w:rsidR="004371E3" w:rsidRPr="00615853" w:rsidRDefault="004371E3" w:rsidP="00615853">
            <w:pPr>
              <w:spacing w:after="0" w:line="240" w:lineRule="auto"/>
              <w:rPr>
                <w:rFonts w:ascii="Times New Roman" w:hAnsi="Times New Roman" w:cs="Times New Roman"/>
                <w:sz w:val="20"/>
                <w:szCs w:val="20"/>
              </w:rPr>
            </w:pPr>
            <w:r w:rsidRPr="00615853">
              <w:rPr>
                <w:rFonts w:ascii="Times New Roman" w:hAnsi="Times New Roman" w:cs="Times New Roman"/>
                <w:sz w:val="20"/>
                <w:szCs w:val="20"/>
              </w:rPr>
              <w:t>Never felt safe at the Bus Stop</w:t>
            </w:r>
          </w:p>
        </w:tc>
        <w:tc>
          <w:tcPr>
            <w:tcW w:w="1620" w:type="dxa"/>
          </w:tcPr>
          <w:p w14:paraId="7A16C326"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3.0</w:t>
            </w:r>
          </w:p>
        </w:tc>
      </w:tr>
      <w:tr w:rsidR="004371E3" w:rsidRPr="00615853" w14:paraId="2100391C" w14:textId="77777777" w:rsidTr="00615853">
        <w:trPr>
          <w:jc w:val="center"/>
        </w:trPr>
        <w:tc>
          <w:tcPr>
            <w:tcW w:w="715" w:type="dxa"/>
            <w:vMerge w:val="restart"/>
          </w:tcPr>
          <w:p w14:paraId="5AC14A03"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2</w:t>
            </w:r>
          </w:p>
        </w:tc>
        <w:tc>
          <w:tcPr>
            <w:tcW w:w="2070" w:type="dxa"/>
            <w:vMerge w:val="restart"/>
          </w:tcPr>
          <w:p w14:paraId="444135E6" w14:textId="77777777" w:rsidR="004371E3" w:rsidRPr="00615853" w:rsidRDefault="004371E3" w:rsidP="00615853">
            <w:pPr>
              <w:spacing w:after="0" w:line="240" w:lineRule="auto"/>
              <w:rPr>
                <w:rFonts w:ascii="Times New Roman" w:hAnsi="Times New Roman" w:cs="Times New Roman"/>
                <w:sz w:val="20"/>
                <w:szCs w:val="20"/>
              </w:rPr>
            </w:pPr>
            <w:r w:rsidRPr="00615853">
              <w:rPr>
                <w:rFonts w:ascii="Times New Roman" w:hAnsi="Times New Roman" w:cs="Times New Roman"/>
                <w:sz w:val="20"/>
                <w:szCs w:val="20"/>
              </w:rPr>
              <w:t>Fear of being victims of crime in public transit</w:t>
            </w:r>
          </w:p>
        </w:tc>
        <w:tc>
          <w:tcPr>
            <w:tcW w:w="3510" w:type="dxa"/>
          </w:tcPr>
          <w:p w14:paraId="14BD861C" w14:textId="77777777" w:rsidR="004371E3" w:rsidRPr="00615853" w:rsidRDefault="004371E3" w:rsidP="00615853">
            <w:pPr>
              <w:spacing w:after="0" w:line="240" w:lineRule="auto"/>
              <w:rPr>
                <w:rFonts w:ascii="Times New Roman" w:hAnsi="Times New Roman" w:cs="Times New Roman"/>
                <w:sz w:val="20"/>
                <w:szCs w:val="20"/>
              </w:rPr>
            </w:pPr>
            <w:r w:rsidRPr="00615853">
              <w:rPr>
                <w:rFonts w:ascii="Times New Roman" w:hAnsi="Times New Roman" w:cs="Times New Roman"/>
                <w:sz w:val="20"/>
                <w:szCs w:val="20"/>
                <w:lang w:eastAsia="en-GB"/>
              </w:rPr>
              <w:t>Always</w:t>
            </w:r>
          </w:p>
        </w:tc>
        <w:tc>
          <w:tcPr>
            <w:tcW w:w="1620" w:type="dxa"/>
            <w:vAlign w:val="center"/>
          </w:tcPr>
          <w:p w14:paraId="45CE9393"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18.0</w:t>
            </w:r>
          </w:p>
        </w:tc>
      </w:tr>
      <w:tr w:rsidR="004371E3" w:rsidRPr="00615853" w14:paraId="571F934D" w14:textId="77777777" w:rsidTr="00615853">
        <w:trPr>
          <w:jc w:val="center"/>
        </w:trPr>
        <w:tc>
          <w:tcPr>
            <w:tcW w:w="715" w:type="dxa"/>
            <w:vMerge/>
          </w:tcPr>
          <w:p w14:paraId="209B9E52"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2070" w:type="dxa"/>
            <w:vMerge/>
          </w:tcPr>
          <w:p w14:paraId="0D157DA5" w14:textId="77777777" w:rsidR="004371E3" w:rsidRPr="00615853" w:rsidRDefault="004371E3" w:rsidP="00615853">
            <w:pPr>
              <w:spacing w:after="0" w:line="240" w:lineRule="auto"/>
              <w:rPr>
                <w:rFonts w:ascii="Times New Roman" w:hAnsi="Times New Roman" w:cs="Times New Roman"/>
                <w:sz w:val="20"/>
                <w:szCs w:val="20"/>
              </w:rPr>
            </w:pPr>
          </w:p>
        </w:tc>
        <w:tc>
          <w:tcPr>
            <w:tcW w:w="3510" w:type="dxa"/>
          </w:tcPr>
          <w:p w14:paraId="0C81CBDB" w14:textId="77777777" w:rsidR="004371E3" w:rsidRPr="00615853" w:rsidRDefault="004371E3" w:rsidP="00615853">
            <w:pPr>
              <w:spacing w:after="0" w:line="240" w:lineRule="auto"/>
              <w:rPr>
                <w:rFonts w:ascii="Times New Roman" w:hAnsi="Times New Roman" w:cs="Times New Roman"/>
                <w:sz w:val="20"/>
                <w:szCs w:val="20"/>
              </w:rPr>
            </w:pPr>
            <w:r w:rsidRPr="00615853">
              <w:rPr>
                <w:rFonts w:ascii="Times New Roman" w:hAnsi="Times New Roman" w:cs="Times New Roman"/>
                <w:sz w:val="20"/>
                <w:szCs w:val="20"/>
                <w:lang w:eastAsia="en-GB"/>
              </w:rPr>
              <w:t>Often</w:t>
            </w:r>
          </w:p>
        </w:tc>
        <w:tc>
          <w:tcPr>
            <w:tcW w:w="1620" w:type="dxa"/>
            <w:vAlign w:val="center"/>
          </w:tcPr>
          <w:p w14:paraId="6A764AC7"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12.0</w:t>
            </w:r>
          </w:p>
        </w:tc>
      </w:tr>
      <w:tr w:rsidR="004371E3" w:rsidRPr="00615853" w14:paraId="4F2F3EAD" w14:textId="77777777" w:rsidTr="00615853">
        <w:trPr>
          <w:jc w:val="center"/>
        </w:trPr>
        <w:tc>
          <w:tcPr>
            <w:tcW w:w="715" w:type="dxa"/>
            <w:vMerge/>
          </w:tcPr>
          <w:p w14:paraId="7162D719"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2070" w:type="dxa"/>
            <w:vMerge/>
          </w:tcPr>
          <w:p w14:paraId="77E2CA06" w14:textId="77777777" w:rsidR="004371E3" w:rsidRPr="00615853" w:rsidRDefault="004371E3" w:rsidP="00615853">
            <w:pPr>
              <w:spacing w:after="0" w:line="240" w:lineRule="auto"/>
              <w:rPr>
                <w:rFonts w:ascii="Times New Roman" w:hAnsi="Times New Roman" w:cs="Times New Roman"/>
                <w:sz w:val="20"/>
                <w:szCs w:val="20"/>
              </w:rPr>
            </w:pPr>
          </w:p>
        </w:tc>
        <w:tc>
          <w:tcPr>
            <w:tcW w:w="3510" w:type="dxa"/>
          </w:tcPr>
          <w:p w14:paraId="526D3067" w14:textId="77777777" w:rsidR="004371E3" w:rsidRPr="00615853" w:rsidRDefault="004371E3" w:rsidP="00615853">
            <w:pPr>
              <w:spacing w:after="0" w:line="240" w:lineRule="auto"/>
              <w:rPr>
                <w:rFonts w:ascii="Times New Roman" w:hAnsi="Times New Roman" w:cs="Times New Roman"/>
                <w:sz w:val="20"/>
                <w:szCs w:val="20"/>
              </w:rPr>
            </w:pPr>
            <w:r w:rsidRPr="00615853">
              <w:rPr>
                <w:rFonts w:ascii="Times New Roman" w:hAnsi="Times New Roman" w:cs="Times New Roman"/>
                <w:sz w:val="20"/>
                <w:szCs w:val="20"/>
                <w:lang w:eastAsia="en-GB"/>
              </w:rPr>
              <w:t>Sometimes</w:t>
            </w:r>
          </w:p>
        </w:tc>
        <w:tc>
          <w:tcPr>
            <w:tcW w:w="1620" w:type="dxa"/>
            <w:vAlign w:val="center"/>
          </w:tcPr>
          <w:p w14:paraId="41E6D2BC"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42.0</w:t>
            </w:r>
          </w:p>
        </w:tc>
      </w:tr>
      <w:tr w:rsidR="004371E3" w:rsidRPr="00615853" w14:paraId="60B9F434" w14:textId="77777777" w:rsidTr="00615853">
        <w:trPr>
          <w:jc w:val="center"/>
        </w:trPr>
        <w:tc>
          <w:tcPr>
            <w:tcW w:w="715" w:type="dxa"/>
            <w:vMerge/>
          </w:tcPr>
          <w:p w14:paraId="62845E85"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2070" w:type="dxa"/>
            <w:vMerge/>
          </w:tcPr>
          <w:p w14:paraId="0B2AEED5" w14:textId="77777777" w:rsidR="004371E3" w:rsidRPr="00615853" w:rsidRDefault="004371E3" w:rsidP="00615853">
            <w:pPr>
              <w:spacing w:after="0" w:line="240" w:lineRule="auto"/>
              <w:rPr>
                <w:rFonts w:ascii="Times New Roman" w:hAnsi="Times New Roman" w:cs="Times New Roman"/>
                <w:sz w:val="20"/>
                <w:szCs w:val="20"/>
              </w:rPr>
            </w:pPr>
          </w:p>
        </w:tc>
        <w:tc>
          <w:tcPr>
            <w:tcW w:w="3510" w:type="dxa"/>
          </w:tcPr>
          <w:p w14:paraId="0919250B" w14:textId="77777777" w:rsidR="004371E3" w:rsidRPr="00615853" w:rsidRDefault="004371E3" w:rsidP="00615853">
            <w:pPr>
              <w:spacing w:after="0" w:line="240" w:lineRule="auto"/>
              <w:rPr>
                <w:rFonts w:ascii="Times New Roman" w:hAnsi="Times New Roman" w:cs="Times New Roman"/>
                <w:sz w:val="20"/>
                <w:szCs w:val="20"/>
              </w:rPr>
            </w:pPr>
            <w:r w:rsidRPr="00615853">
              <w:rPr>
                <w:rFonts w:ascii="Times New Roman" w:hAnsi="Times New Roman" w:cs="Times New Roman"/>
                <w:sz w:val="20"/>
                <w:szCs w:val="20"/>
                <w:lang w:eastAsia="en-GB"/>
              </w:rPr>
              <w:t>Rarely</w:t>
            </w:r>
          </w:p>
        </w:tc>
        <w:tc>
          <w:tcPr>
            <w:tcW w:w="1620" w:type="dxa"/>
            <w:vAlign w:val="center"/>
          </w:tcPr>
          <w:p w14:paraId="24AECB4C"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19.0</w:t>
            </w:r>
          </w:p>
        </w:tc>
      </w:tr>
      <w:tr w:rsidR="004371E3" w:rsidRPr="00615853" w14:paraId="2C285FC3" w14:textId="77777777" w:rsidTr="00615853">
        <w:trPr>
          <w:jc w:val="center"/>
        </w:trPr>
        <w:tc>
          <w:tcPr>
            <w:tcW w:w="715" w:type="dxa"/>
            <w:vMerge/>
          </w:tcPr>
          <w:p w14:paraId="58DA67AD"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2070" w:type="dxa"/>
            <w:vMerge/>
          </w:tcPr>
          <w:p w14:paraId="4DC82A31" w14:textId="77777777" w:rsidR="004371E3" w:rsidRPr="00615853" w:rsidRDefault="004371E3" w:rsidP="00615853">
            <w:pPr>
              <w:spacing w:after="0" w:line="240" w:lineRule="auto"/>
              <w:rPr>
                <w:rFonts w:ascii="Times New Roman" w:hAnsi="Times New Roman" w:cs="Times New Roman"/>
                <w:sz w:val="20"/>
                <w:szCs w:val="20"/>
              </w:rPr>
            </w:pPr>
          </w:p>
        </w:tc>
        <w:tc>
          <w:tcPr>
            <w:tcW w:w="3510" w:type="dxa"/>
          </w:tcPr>
          <w:p w14:paraId="13078B8C" w14:textId="77777777" w:rsidR="004371E3" w:rsidRPr="00615853" w:rsidRDefault="004371E3" w:rsidP="00615853">
            <w:pPr>
              <w:spacing w:after="0" w:line="240" w:lineRule="auto"/>
              <w:rPr>
                <w:rFonts w:ascii="Times New Roman" w:hAnsi="Times New Roman" w:cs="Times New Roman"/>
                <w:sz w:val="20"/>
                <w:szCs w:val="20"/>
              </w:rPr>
            </w:pPr>
            <w:r w:rsidRPr="00615853">
              <w:rPr>
                <w:rFonts w:ascii="Times New Roman" w:hAnsi="Times New Roman" w:cs="Times New Roman"/>
                <w:sz w:val="20"/>
                <w:szCs w:val="20"/>
                <w:lang w:eastAsia="en-GB"/>
              </w:rPr>
              <w:t>Never</w:t>
            </w:r>
          </w:p>
        </w:tc>
        <w:tc>
          <w:tcPr>
            <w:tcW w:w="1620" w:type="dxa"/>
            <w:vAlign w:val="center"/>
          </w:tcPr>
          <w:p w14:paraId="238122FF"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9.0</w:t>
            </w:r>
          </w:p>
        </w:tc>
      </w:tr>
      <w:tr w:rsidR="004371E3" w:rsidRPr="00615853" w14:paraId="54C4C054" w14:textId="77777777" w:rsidTr="00615853">
        <w:trPr>
          <w:jc w:val="center"/>
        </w:trPr>
        <w:tc>
          <w:tcPr>
            <w:tcW w:w="715" w:type="dxa"/>
            <w:vMerge w:val="restart"/>
          </w:tcPr>
          <w:p w14:paraId="23EE8E7D"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3</w:t>
            </w:r>
          </w:p>
        </w:tc>
        <w:tc>
          <w:tcPr>
            <w:tcW w:w="2070" w:type="dxa"/>
            <w:vMerge w:val="restart"/>
          </w:tcPr>
          <w:p w14:paraId="11DD124D" w14:textId="77777777" w:rsidR="004371E3" w:rsidRPr="00615853" w:rsidRDefault="004371E3" w:rsidP="00615853">
            <w:pPr>
              <w:spacing w:after="0" w:line="240" w:lineRule="auto"/>
              <w:rPr>
                <w:rFonts w:ascii="Times New Roman" w:hAnsi="Times New Roman" w:cs="Times New Roman"/>
                <w:sz w:val="20"/>
                <w:szCs w:val="20"/>
              </w:rPr>
            </w:pPr>
            <w:r w:rsidRPr="00615853">
              <w:rPr>
                <w:rFonts w:ascii="Times New Roman" w:hAnsi="Times New Roman" w:cs="Times New Roman"/>
                <w:sz w:val="20"/>
                <w:szCs w:val="20"/>
              </w:rPr>
              <w:t>Category of crime experienced in public transit</w:t>
            </w:r>
          </w:p>
        </w:tc>
        <w:tc>
          <w:tcPr>
            <w:tcW w:w="3510" w:type="dxa"/>
          </w:tcPr>
          <w:p w14:paraId="6913D2FC" w14:textId="77777777" w:rsidR="004371E3" w:rsidRPr="00615853" w:rsidRDefault="004371E3" w:rsidP="00615853">
            <w:pPr>
              <w:spacing w:after="0" w:line="240" w:lineRule="auto"/>
              <w:rPr>
                <w:rFonts w:ascii="Times New Roman" w:hAnsi="Times New Roman" w:cs="Times New Roman"/>
                <w:sz w:val="20"/>
                <w:szCs w:val="20"/>
                <w:lang w:eastAsia="en-GB"/>
              </w:rPr>
            </w:pPr>
            <w:r w:rsidRPr="00615853">
              <w:rPr>
                <w:rFonts w:ascii="Times New Roman" w:hAnsi="Times New Roman" w:cs="Times New Roman"/>
                <w:sz w:val="20"/>
                <w:szCs w:val="20"/>
                <w:lang w:eastAsia="en-GB"/>
              </w:rPr>
              <w:t>Theft</w:t>
            </w:r>
          </w:p>
        </w:tc>
        <w:tc>
          <w:tcPr>
            <w:tcW w:w="1620" w:type="dxa"/>
          </w:tcPr>
          <w:p w14:paraId="38920489"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lang w:eastAsia="en-GB"/>
              </w:rPr>
              <w:t>27.0</w:t>
            </w:r>
          </w:p>
        </w:tc>
      </w:tr>
      <w:tr w:rsidR="004371E3" w:rsidRPr="00615853" w14:paraId="5F0A0D12" w14:textId="77777777" w:rsidTr="00615853">
        <w:trPr>
          <w:jc w:val="center"/>
        </w:trPr>
        <w:tc>
          <w:tcPr>
            <w:tcW w:w="715" w:type="dxa"/>
            <w:vMerge/>
          </w:tcPr>
          <w:p w14:paraId="1B133813"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2070" w:type="dxa"/>
            <w:vMerge/>
          </w:tcPr>
          <w:p w14:paraId="4B5AF769" w14:textId="77777777" w:rsidR="004371E3" w:rsidRPr="00615853" w:rsidRDefault="004371E3" w:rsidP="00615853">
            <w:pPr>
              <w:spacing w:after="0" w:line="240" w:lineRule="auto"/>
              <w:rPr>
                <w:rFonts w:ascii="Times New Roman" w:hAnsi="Times New Roman" w:cs="Times New Roman"/>
                <w:sz w:val="20"/>
                <w:szCs w:val="20"/>
              </w:rPr>
            </w:pPr>
          </w:p>
        </w:tc>
        <w:tc>
          <w:tcPr>
            <w:tcW w:w="3510" w:type="dxa"/>
          </w:tcPr>
          <w:p w14:paraId="7BD24E0F" w14:textId="77777777" w:rsidR="004371E3" w:rsidRPr="00615853" w:rsidRDefault="004371E3" w:rsidP="00615853">
            <w:pPr>
              <w:spacing w:after="0" w:line="240" w:lineRule="auto"/>
              <w:rPr>
                <w:rFonts w:ascii="Times New Roman" w:hAnsi="Times New Roman" w:cs="Times New Roman"/>
                <w:sz w:val="20"/>
                <w:szCs w:val="20"/>
                <w:lang w:eastAsia="en-GB"/>
              </w:rPr>
            </w:pPr>
            <w:r w:rsidRPr="00615853">
              <w:rPr>
                <w:rFonts w:ascii="Times New Roman" w:hAnsi="Times New Roman" w:cs="Times New Roman"/>
                <w:sz w:val="20"/>
                <w:szCs w:val="20"/>
                <w:lang w:eastAsia="en-GB"/>
              </w:rPr>
              <w:t>Armed Robbery</w:t>
            </w:r>
          </w:p>
        </w:tc>
        <w:tc>
          <w:tcPr>
            <w:tcW w:w="1620" w:type="dxa"/>
          </w:tcPr>
          <w:p w14:paraId="4E098A43"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lang w:eastAsia="en-GB"/>
              </w:rPr>
              <w:t>19.0</w:t>
            </w:r>
          </w:p>
        </w:tc>
      </w:tr>
      <w:tr w:rsidR="004371E3" w:rsidRPr="00615853" w14:paraId="1C318110" w14:textId="77777777" w:rsidTr="00615853">
        <w:trPr>
          <w:jc w:val="center"/>
        </w:trPr>
        <w:tc>
          <w:tcPr>
            <w:tcW w:w="715" w:type="dxa"/>
            <w:vMerge/>
          </w:tcPr>
          <w:p w14:paraId="1FA4587D"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2070" w:type="dxa"/>
            <w:vMerge/>
          </w:tcPr>
          <w:p w14:paraId="7EE36AEE" w14:textId="77777777" w:rsidR="004371E3" w:rsidRPr="00615853" w:rsidRDefault="004371E3" w:rsidP="00615853">
            <w:pPr>
              <w:spacing w:after="0" w:line="240" w:lineRule="auto"/>
              <w:rPr>
                <w:rFonts w:ascii="Times New Roman" w:hAnsi="Times New Roman" w:cs="Times New Roman"/>
                <w:sz w:val="20"/>
                <w:szCs w:val="20"/>
              </w:rPr>
            </w:pPr>
          </w:p>
        </w:tc>
        <w:tc>
          <w:tcPr>
            <w:tcW w:w="3510" w:type="dxa"/>
          </w:tcPr>
          <w:p w14:paraId="758A1D26" w14:textId="77777777" w:rsidR="004371E3" w:rsidRPr="00615853" w:rsidRDefault="004371E3" w:rsidP="00615853">
            <w:pPr>
              <w:spacing w:after="0" w:line="240" w:lineRule="auto"/>
              <w:rPr>
                <w:rFonts w:ascii="Times New Roman" w:hAnsi="Times New Roman" w:cs="Times New Roman"/>
                <w:sz w:val="20"/>
                <w:szCs w:val="20"/>
                <w:lang w:eastAsia="en-GB"/>
              </w:rPr>
            </w:pPr>
            <w:r w:rsidRPr="00615853">
              <w:rPr>
                <w:rFonts w:ascii="Times New Roman" w:hAnsi="Times New Roman" w:cs="Times New Roman"/>
                <w:sz w:val="20"/>
                <w:szCs w:val="20"/>
                <w:lang w:eastAsia="en-GB"/>
              </w:rPr>
              <w:t>Assault and Battery</w:t>
            </w:r>
          </w:p>
        </w:tc>
        <w:tc>
          <w:tcPr>
            <w:tcW w:w="1620" w:type="dxa"/>
          </w:tcPr>
          <w:p w14:paraId="4E8D4233"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lang w:eastAsia="en-GB"/>
              </w:rPr>
              <w:t>22.0</w:t>
            </w:r>
          </w:p>
        </w:tc>
      </w:tr>
      <w:tr w:rsidR="004371E3" w:rsidRPr="00615853" w14:paraId="47C7BD2D" w14:textId="77777777" w:rsidTr="00615853">
        <w:trPr>
          <w:jc w:val="center"/>
        </w:trPr>
        <w:tc>
          <w:tcPr>
            <w:tcW w:w="715" w:type="dxa"/>
            <w:vMerge/>
          </w:tcPr>
          <w:p w14:paraId="3230F0D2"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2070" w:type="dxa"/>
            <w:vMerge/>
          </w:tcPr>
          <w:p w14:paraId="1A937000" w14:textId="77777777" w:rsidR="004371E3" w:rsidRPr="00615853" w:rsidRDefault="004371E3" w:rsidP="00615853">
            <w:pPr>
              <w:spacing w:after="0" w:line="240" w:lineRule="auto"/>
              <w:rPr>
                <w:rFonts w:ascii="Times New Roman" w:hAnsi="Times New Roman" w:cs="Times New Roman"/>
                <w:sz w:val="20"/>
                <w:szCs w:val="20"/>
              </w:rPr>
            </w:pPr>
          </w:p>
        </w:tc>
        <w:tc>
          <w:tcPr>
            <w:tcW w:w="3510" w:type="dxa"/>
          </w:tcPr>
          <w:p w14:paraId="253C5CF5" w14:textId="77777777" w:rsidR="004371E3" w:rsidRPr="00615853" w:rsidRDefault="004371E3" w:rsidP="00615853">
            <w:pPr>
              <w:spacing w:after="0" w:line="240" w:lineRule="auto"/>
              <w:rPr>
                <w:rFonts w:ascii="Times New Roman" w:hAnsi="Times New Roman" w:cs="Times New Roman"/>
                <w:sz w:val="20"/>
                <w:szCs w:val="20"/>
                <w:lang w:eastAsia="en-GB"/>
              </w:rPr>
            </w:pPr>
            <w:r w:rsidRPr="00615853">
              <w:rPr>
                <w:rFonts w:ascii="Times New Roman" w:hAnsi="Times New Roman" w:cs="Times New Roman"/>
                <w:sz w:val="20"/>
                <w:szCs w:val="20"/>
                <w:lang w:eastAsia="en-GB"/>
              </w:rPr>
              <w:t>Rape/Assault</w:t>
            </w:r>
          </w:p>
        </w:tc>
        <w:tc>
          <w:tcPr>
            <w:tcW w:w="1620" w:type="dxa"/>
          </w:tcPr>
          <w:p w14:paraId="17C6FC3F"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lang w:eastAsia="en-GB"/>
              </w:rPr>
              <w:t>15.0</w:t>
            </w:r>
          </w:p>
        </w:tc>
      </w:tr>
      <w:tr w:rsidR="004371E3" w:rsidRPr="00615853" w14:paraId="4F43381A" w14:textId="77777777" w:rsidTr="00615853">
        <w:trPr>
          <w:jc w:val="center"/>
        </w:trPr>
        <w:tc>
          <w:tcPr>
            <w:tcW w:w="715" w:type="dxa"/>
            <w:vMerge/>
          </w:tcPr>
          <w:p w14:paraId="54B13B57"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2070" w:type="dxa"/>
            <w:vMerge/>
          </w:tcPr>
          <w:p w14:paraId="2E3E6A33" w14:textId="77777777" w:rsidR="004371E3" w:rsidRPr="00615853" w:rsidRDefault="004371E3" w:rsidP="00615853">
            <w:pPr>
              <w:spacing w:after="0" w:line="240" w:lineRule="auto"/>
              <w:rPr>
                <w:rFonts w:ascii="Times New Roman" w:hAnsi="Times New Roman" w:cs="Times New Roman"/>
                <w:sz w:val="20"/>
                <w:szCs w:val="20"/>
              </w:rPr>
            </w:pPr>
          </w:p>
        </w:tc>
        <w:tc>
          <w:tcPr>
            <w:tcW w:w="3510" w:type="dxa"/>
          </w:tcPr>
          <w:p w14:paraId="2B7CE817" w14:textId="77777777" w:rsidR="004371E3" w:rsidRPr="00615853" w:rsidRDefault="004371E3" w:rsidP="00615853">
            <w:pPr>
              <w:spacing w:after="0" w:line="240" w:lineRule="auto"/>
              <w:rPr>
                <w:rFonts w:ascii="Times New Roman" w:hAnsi="Times New Roman" w:cs="Times New Roman"/>
                <w:sz w:val="20"/>
                <w:szCs w:val="20"/>
                <w:lang w:eastAsia="en-GB"/>
              </w:rPr>
            </w:pPr>
            <w:r w:rsidRPr="00615853">
              <w:rPr>
                <w:rFonts w:ascii="Times New Roman" w:hAnsi="Times New Roman" w:cs="Times New Roman"/>
                <w:sz w:val="20"/>
                <w:szCs w:val="20"/>
                <w:lang w:eastAsia="en-GB"/>
              </w:rPr>
              <w:t>Kidnapping</w:t>
            </w:r>
          </w:p>
        </w:tc>
        <w:tc>
          <w:tcPr>
            <w:tcW w:w="1620" w:type="dxa"/>
          </w:tcPr>
          <w:p w14:paraId="71E091B8"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lang w:eastAsia="en-GB"/>
              </w:rPr>
              <w:t>17.0</w:t>
            </w:r>
          </w:p>
        </w:tc>
      </w:tr>
      <w:tr w:rsidR="004371E3" w:rsidRPr="00615853" w14:paraId="42183367" w14:textId="77777777" w:rsidTr="00615853">
        <w:trPr>
          <w:jc w:val="center"/>
        </w:trPr>
        <w:tc>
          <w:tcPr>
            <w:tcW w:w="715" w:type="dxa"/>
          </w:tcPr>
          <w:p w14:paraId="60CC2BD0"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4</w:t>
            </w:r>
          </w:p>
        </w:tc>
        <w:tc>
          <w:tcPr>
            <w:tcW w:w="2070" w:type="dxa"/>
          </w:tcPr>
          <w:p w14:paraId="13B9B9C2" w14:textId="77777777" w:rsidR="004371E3" w:rsidRPr="00615853" w:rsidRDefault="004371E3" w:rsidP="00615853">
            <w:pPr>
              <w:spacing w:after="0" w:line="240" w:lineRule="auto"/>
              <w:rPr>
                <w:rFonts w:ascii="Times New Roman" w:hAnsi="Times New Roman" w:cs="Times New Roman"/>
                <w:sz w:val="20"/>
                <w:szCs w:val="20"/>
              </w:rPr>
            </w:pPr>
            <w:r w:rsidRPr="00615853">
              <w:rPr>
                <w:rFonts w:ascii="Times New Roman" w:hAnsi="Times New Roman" w:cs="Times New Roman"/>
                <w:sz w:val="20"/>
                <w:szCs w:val="20"/>
              </w:rPr>
              <w:t>Report of crime in public transit</w:t>
            </w:r>
          </w:p>
        </w:tc>
        <w:tc>
          <w:tcPr>
            <w:tcW w:w="3510" w:type="dxa"/>
          </w:tcPr>
          <w:p w14:paraId="5718103B" w14:textId="77777777" w:rsidR="004371E3" w:rsidRPr="00615853" w:rsidRDefault="004371E3" w:rsidP="00615853">
            <w:pPr>
              <w:spacing w:after="0" w:line="240" w:lineRule="auto"/>
              <w:rPr>
                <w:rFonts w:ascii="Times New Roman" w:hAnsi="Times New Roman" w:cs="Times New Roman"/>
                <w:sz w:val="20"/>
                <w:szCs w:val="20"/>
                <w:lang w:eastAsia="en-GB"/>
              </w:rPr>
            </w:pPr>
            <w:r w:rsidRPr="00615853">
              <w:rPr>
                <w:rFonts w:ascii="Times New Roman" w:hAnsi="Times New Roman" w:cs="Times New Roman"/>
                <w:bCs/>
                <w:sz w:val="20"/>
                <w:szCs w:val="20"/>
                <w:lang w:eastAsia="en-GB"/>
              </w:rPr>
              <w:t>Respondents’ who had reported Crime in Public Transit</w:t>
            </w:r>
          </w:p>
        </w:tc>
        <w:tc>
          <w:tcPr>
            <w:tcW w:w="1620" w:type="dxa"/>
          </w:tcPr>
          <w:p w14:paraId="51338F95" w14:textId="77777777" w:rsidR="004371E3" w:rsidRPr="00615853" w:rsidRDefault="004371E3" w:rsidP="00615853">
            <w:pPr>
              <w:spacing w:after="0" w:line="240" w:lineRule="auto"/>
              <w:jc w:val="center"/>
              <w:rPr>
                <w:rFonts w:ascii="Times New Roman" w:hAnsi="Times New Roman" w:cs="Times New Roman"/>
                <w:sz w:val="20"/>
                <w:szCs w:val="20"/>
                <w:lang w:eastAsia="en-GB"/>
              </w:rPr>
            </w:pPr>
            <w:r w:rsidRPr="00615853">
              <w:rPr>
                <w:rFonts w:ascii="Times New Roman" w:hAnsi="Times New Roman" w:cs="Times New Roman"/>
                <w:sz w:val="20"/>
                <w:szCs w:val="20"/>
                <w:lang w:eastAsia="en-GB"/>
              </w:rPr>
              <w:t>35.0</w:t>
            </w:r>
          </w:p>
        </w:tc>
      </w:tr>
      <w:tr w:rsidR="004371E3" w:rsidRPr="00615853" w14:paraId="38C2A566" w14:textId="77777777" w:rsidTr="00615853">
        <w:trPr>
          <w:jc w:val="center"/>
        </w:trPr>
        <w:tc>
          <w:tcPr>
            <w:tcW w:w="715" w:type="dxa"/>
          </w:tcPr>
          <w:p w14:paraId="3578BBF4"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5</w:t>
            </w:r>
          </w:p>
        </w:tc>
        <w:tc>
          <w:tcPr>
            <w:tcW w:w="2070" w:type="dxa"/>
          </w:tcPr>
          <w:p w14:paraId="73CF48B1" w14:textId="77777777" w:rsidR="004371E3" w:rsidRPr="00615853" w:rsidRDefault="004371E3" w:rsidP="00615853">
            <w:pPr>
              <w:spacing w:after="0" w:line="240" w:lineRule="auto"/>
              <w:rPr>
                <w:rFonts w:ascii="Times New Roman" w:hAnsi="Times New Roman" w:cs="Times New Roman"/>
                <w:sz w:val="20"/>
                <w:szCs w:val="20"/>
              </w:rPr>
            </w:pPr>
            <w:r w:rsidRPr="00615853">
              <w:rPr>
                <w:rFonts w:ascii="Times New Roman" w:hAnsi="Times New Roman" w:cs="Times New Roman"/>
                <w:sz w:val="20"/>
                <w:szCs w:val="20"/>
              </w:rPr>
              <w:t>Knowledge of police emergency number</w:t>
            </w:r>
          </w:p>
        </w:tc>
        <w:tc>
          <w:tcPr>
            <w:tcW w:w="3510" w:type="dxa"/>
          </w:tcPr>
          <w:p w14:paraId="7224B252" w14:textId="77777777" w:rsidR="004371E3" w:rsidRPr="00615853" w:rsidRDefault="004371E3" w:rsidP="00615853">
            <w:pPr>
              <w:spacing w:after="0" w:line="240" w:lineRule="auto"/>
              <w:rPr>
                <w:rFonts w:ascii="Times New Roman" w:hAnsi="Times New Roman" w:cs="Times New Roman"/>
                <w:bCs/>
                <w:sz w:val="20"/>
                <w:szCs w:val="20"/>
                <w:lang w:eastAsia="en-GB"/>
              </w:rPr>
            </w:pPr>
            <w:r w:rsidRPr="00615853">
              <w:rPr>
                <w:rFonts w:ascii="Times New Roman" w:hAnsi="Times New Roman" w:cs="Times New Roman"/>
                <w:bCs/>
                <w:sz w:val="20"/>
                <w:szCs w:val="20"/>
                <w:lang w:eastAsia="en-GB"/>
              </w:rPr>
              <w:t>Respondents’ who knew Police Emergency Number</w:t>
            </w:r>
          </w:p>
        </w:tc>
        <w:tc>
          <w:tcPr>
            <w:tcW w:w="1620" w:type="dxa"/>
          </w:tcPr>
          <w:p w14:paraId="04D9F618" w14:textId="77777777" w:rsidR="004371E3" w:rsidRPr="00615853" w:rsidRDefault="004371E3" w:rsidP="00615853">
            <w:pPr>
              <w:spacing w:after="0" w:line="240" w:lineRule="auto"/>
              <w:jc w:val="center"/>
              <w:rPr>
                <w:rFonts w:ascii="Times New Roman" w:hAnsi="Times New Roman" w:cs="Times New Roman"/>
                <w:sz w:val="20"/>
                <w:szCs w:val="20"/>
                <w:lang w:eastAsia="en-GB"/>
              </w:rPr>
            </w:pPr>
            <w:r w:rsidRPr="00615853">
              <w:rPr>
                <w:rFonts w:ascii="Times New Roman" w:hAnsi="Times New Roman" w:cs="Times New Roman"/>
                <w:sz w:val="20"/>
                <w:szCs w:val="20"/>
                <w:lang w:eastAsia="en-GB"/>
              </w:rPr>
              <w:t>25.0</w:t>
            </w:r>
          </w:p>
        </w:tc>
      </w:tr>
      <w:tr w:rsidR="004371E3" w:rsidRPr="00615853" w14:paraId="24FB9A49" w14:textId="77777777" w:rsidTr="00615853">
        <w:trPr>
          <w:jc w:val="center"/>
        </w:trPr>
        <w:tc>
          <w:tcPr>
            <w:tcW w:w="715" w:type="dxa"/>
            <w:vMerge w:val="restart"/>
          </w:tcPr>
          <w:p w14:paraId="1E501A1D"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6</w:t>
            </w:r>
          </w:p>
        </w:tc>
        <w:tc>
          <w:tcPr>
            <w:tcW w:w="2070" w:type="dxa"/>
            <w:vMerge w:val="restart"/>
          </w:tcPr>
          <w:p w14:paraId="02069F22" w14:textId="77777777" w:rsidR="004371E3" w:rsidRPr="00615853" w:rsidRDefault="004371E3" w:rsidP="00615853">
            <w:pPr>
              <w:spacing w:after="0" w:line="240" w:lineRule="auto"/>
              <w:rPr>
                <w:rFonts w:ascii="Times New Roman" w:hAnsi="Times New Roman" w:cs="Times New Roman"/>
                <w:sz w:val="20"/>
                <w:szCs w:val="20"/>
              </w:rPr>
            </w:pPr>
            <w:r w:rsidRPr="00615853">
              <w:rPr>
                <w:rFonts w:ascii="Times New Roman" w:hAnsi="Times New Roman" w:cs="Times New Roman"/>
                <w:sz w:val="20"/>
                <w:szCs w:val="20"/>
              </w:rPr>
              <w:t>Perceived hotspots of crime in public transit</w:t>
            </w:r>
          </w:p>
        </w:tc>
        <w:tc>
          <w:tcPr>
            <w:tcW w:w="3510" w:type="dxa"/>
          </w:tcPr>
          <w:p w14:paraId="53139199" w14:textId="77777777" w:rsidR="004371E3" w:rsidRPr="00615853" w:rsidRDefault="004371E3" w:rsidP="00615853">
            <w:pPr>
              <w:spacing w:after="0" w:line="240" w:lineRule="auto"/>
              <w:rPr>
                <w:rFonts w:ascii="Times New Roman" w:hAnsi="Times New Roman" w:cs="Times New Roman"/>
                <w:bCs/>
                <w:sz w:val="20"/>
                <w:szCs w:val="20"/>
                <w:lang w:eastAsia="en-GB"/>
              </w:rPr>
            </w:pPr>
            <w:r w:rsidRPr="00615853">
              <w:rPr>
                <w:rFonts w:ascii="Times New Roman" w:hAnsi="Times New Roman" w:cs="Times New Roman"/>
                <w:bCs/>
                <w:sz w:val="20"/>
                <w:szCs w:val="20"/>
                <w:lang w:eastAsia="en-GB"/>
              </w:rPr>
              <w:t>Peri-urban area</w:t>
            </w:r>
          </w:p>
        </w:tc>
        <w:tc>
          <w:tcPr>
            <w:tcW w:w="1620" w:type="dxa"/>
          </w:tcPr>
          <w:p w14:paraId="30C587E8" w14:textId="77777777" w:rsidR="004371E3" w:rsidRPr="00615853" w:rsidRDefault="004371E3" w:rsidP="00615853">
            <w:pPr>
              <w:spacing w:after="0" w:line="240" w:lineRule="auto"/>
              <w:jc w:val="center"/>
              <w:rPr>
                <w:rFonts w:ascii="Times New Roman" w:hAnsi="Times New Roman" w:cs="Times New Roman"/>
                <w:sz w:val="20"/>
                <w:szCs w:val="20"/>
                <w:lang w:eastAsia="en-GB"/>
              </w:rPr>
            </w:pPr>
            <w:r w:rsidRPr="00615853">
              <w:rPr>
                <w:rFonts w:ascii="Times New Roman" w:hAnsi="Times New Roman" w:cs="Times New Roman"/>
                <w:sz w:val="20"/>
                <w:szCs w:val="20"/>
                <w:lang w:eastAsia="en-GB"/>
              </w:rPr>
              <w:t>48.0</w:t>
            </w:r>
          </w:p>
        </w:tc>
      </w:tr>
      <w:tr w:rsidR="004371E3" w:rsidRPr="00615853" w14:paraId="3D848B4E" w14:textId="77777777" w:rsidTr="00615853">
        <w:trPr>
          <w:jc w:val="center"/>
        </w:trPr>
        <w:tc>
          <w:tcPr>
            <w:tcW w:w="715" w:type="dxa"/>
            <w:vMerge/>
          </w:tcPr>
          <w:p w14:paraId="635AB58A"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2070" w:type="dxa"/>
            <w:vMerge/>
          </w:tcPr>
          <w:p w14:paraId="29F352DD" w14:textId="77777777" w:rsidR="004371E3" w:rsidRPr="00615853" w:rsidRDefault="004371E3" w:rsidP="00615853">
            <w:pPr>
              <w:spacing w:after="0" w:line="240" w:lineRule="auto"/>
              <w:rPr>
                <w:rFonts w:ascii="Times New Roman" w:hAnsi="Times New Roman" w:cs="Times New Roman"/>
                <w:sz w:val="20"/>
                <w:szCs w:val="20"/>
              </w:rPr>
            </w:pPr>
          </w:p>
        </w:tc>
        <w:tc>
          <w:tcPr>
            <w:tcW w:w="3510" w:type="dxa"/>
          </w:tcPr>
          <w:p w14:paraId="76BEB90E" w14:textId="77777777" w:rsidR="004371E3" w:rsidRPr="00615853" w:rsidRDefault="004371E3" w:rsidP="00615853">
            <w:pPr>
              <w:spacing w:after="0" w:line="240" w:lineRule="auto"/>
              <w:rPr>
                <w:rFonts w:ascii="Times New Roman" w:hAnsi="Times New Roman" w:cs="Times New Roman"/>
                <w:bCs/>
                <w:sz w:val="20"/>
                <w:szCs w:val="20"/>
                <w:lang w:eastAsia="en-GB"/>
              </w:rPr>
            </w:pPr>
            <w:r w:rsidRPr="00615853">
              <w:rPr>
                <w:rFonts w:ascii="Times New Roman" w:hAnsi="Times New Roman" w:cs="Times New Roman"/>
                <w:bCs/>
                <w:sz w:val="20"/>
                <w:szCs w:val="20"/>
                <w:lang w:eastAsia="en-GB"/>
              </w:rPr>
              <w:t>On-transit</w:t>
            </w:r>
          </w:p>
        </w:tc>
        <w:tc>
          <w:tcPr>
            <w:tcW w:w="1620" w:type="dxa"/>
          </w:tcPr>
          <w:p w14:paraId="0DCE46F3" w14:textId="77777777" w:rsidR="004371E3" w:rsidRPr="00615853" w:rsidRDefault="004371E3" w:rsidP="00615853">
            <w:pPr>
              <w:spacing w:after="0" w:line="240" w:lineRule="auto"/>
              <w:jc w:val="center"/>
              <w:rPr>
                <w:rFonts w:ascii="Times New Roman" w:hAnsi="Times New Roman" w:cs="Times New Roman"/>
                <w:sz w:val="20"/>
                <w:szCs w:val="20"/>
                <w:lang w:eastAsia="en-GB"/>
              </w:rPr>
            </w:pPr>
            <w:r w:rsidRPr="00615853">
              <w:rPr>
                <w:rFonts w:ascii="Times New Roman" w:hAnsi="Times New Roman" w:cs="Times New Roman"/>
                <w:sz w:val="20"/>
                <w:szCs w:val="20"/>
                <w:lang w:eastAsia="en-GB"/>
              </w:rPr>
              <w:t>14.0</w:t>
            </w:r>
          </w:p>
        </w:tc>
      </w:tr>
      <w:tr w:rsidR="004371E3" w:rsidRPr="00615853" w14:paraId="738140FB" w14:textId="77777777" w:rsidTr="00615853">
        <w:trPr>
          <w:jc w:val="center"/>
        </w:trPr>
        <w:tc>
          <w:tcPr>
            <w:tcW w:w="715" w:type="dxa"/>
            <w:vMerge/>
          </w:tcPr>
          <w:p w14:paraId="20E0FD90"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2070" w:type="dxa"/>
            <w:vMerge/>
          </w:tcPr>
          <w:p w14:paraId="726C4910" w14:textId="77777777" w:rsidR="004371E3" w:rsidRPr="00615853" w:rsidRDefault="004371E3" w:rsidP="00615853">
            <w:pPr>
              <w:spacing w:after="0" w:line="240" w:lineRule="auto"/>
              <w:rPr>
                <w:rFonts w:ascii="Times New Roman" w:hAnsi="Times New Roman" w:cs="Times New Roman"/>
                <w:sz w:val="20"/>
                <w:szCs w:val="20"/>
              </w:rPr>
            </w:pPr>
          </w:p>
        </w:tc>
        <w:tc>
          <w:tcPr>
            <w:tcW w:w="3510" w:type="dxa"/>
          </w:tcPr>
          <w:p w14:paraId="3F3BDD27" w14:textId="77777777" w:rsidR="004371E3" w:rsidRPr="00615853" w:rsidRDefault="004371E3" w:rsidP="00615853">
            <w:pPr>
              <w:spacing w:after="0" w:line="240" w:lineRule="auto"/>
              <w:rPr>
                <w:rFonts w:ascii="Times New Roman" w:hAnsi="Times New Roman" w:cs="Times New Roman"/>
                <w:bCs/>
                <w:sz w:val="20"/>
                <w:szCs w:val="20"/>
                <w:lang w:eastAsia="en-GB"/>
              </w:rPr>
            </w:pPr>
            <w:r w:rsidRPr="00615853">
              <w:rPr>
                <w:rFonts w:ascii="Times New Roman" w:hAnsi="Times New Roman" w:cs="Times New Roman"/>
                <w:bCs/>
                <w:sz w:val="20"/>
                <w:szCs w:val="20"/>
                <w:lang w:eastAsia="en-GB"/>
              </w:rPr>
              <w:t>Along transport corridor</w:t>
            </w:r>
          </w:p>
        </w:tc>
        <w:tc>
          <w:tcPr>
            <w:tcW w:w="1620" w:type="dxa"/>
          </w:tcPr>
          <w:p w14:paraId="76A00232" w14:textId="77777777" w:rsidR="004371E3" w:rsidRPr="00615853" w:rsidRDefault="004371E3" w:rsidP="00615853">
            <w:pPr>
              <w:spacing w:after="0" w:line="240" w:lineRule="auto"/>
              <w:jc w:val="center"/>
              <w:rPr>
                <w:rFonts w:ascii="Times New Roman" w:hAnsi="Times New Roman" w:cs="Times New Roman"/>
                <w:sz w:val="20"/>
                <w:szCs w:val="20"/>
                <w:lang w:eastAsia="en-GB"/>
              </w:rPr>
            </w:pPr>
            <w:r w:rsidRPr="00615853">
              <w:rPr>
                <w:rFonts w:ascii="Times New Roman" w:hAnsi="Times New Roman" w:cs="Times New Roman"/>
                <w:sz w:val="20"/>
                <w:szCs w:val="20"/>
                <w:lang w:eastAsia="en-GB"/>
              </w:rPr>
              <w:t>22.0</w:t>
            </w:r>
          </w:p>
        </w:tc>
      </w:tr>
      <w:tr w:rsidR="004371E3" w:rsidRPr="00615853" w14:paraId="75C43935" w14:textId="77777777" w:rsidTr="00615853">
        <w:trPr>
          <w:jc w:val="center"/>
        </w:trPr>
        <w:tc>
          <w:tcPr>
            <w:tcW w:w="715" w:type="dxa"/>
            <w:vMerge/>
          </w:tcPr>
          <w:p w14:paraId="40A6D119"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2070" w:type="dxa"/>
            <w:vMerge/>
          </w:tcPr>
          <w:p w14:paraId="5AB085EB" w14:textId="77777777" w:rsidR="004371E3" w:rsidRPr="00615853" w:rsidRDefault="004371E3" w:rsidP="00615853">
            <w:pPr>
              <w:spacing w:after="0" w:line="240" w:lineRule="auto"/>
              <w:rPr>
                <w:rFonts w:ascii="Times New Roman" w:hAnsi="Times New Roman" w:cs="Times New Roman"/>
                <w:sz w:val="20"/>
                <w:szCs w:val="20"/>
              </w:rPr>
            </w:pPr>
          </w:p>
        </w:tc>
        <w:tc>
          <w:tcPr>
            <w:tcW w:w="3510" w:type="dxa"/>
          </w:tcPr>
          <w:p w14:paraId="410E8068" w14:textId="77777777" w:rsidR="004371E3" w:rsidRPr="00615853" w:rsidRDefault="004371E3" w:rsidP="00615853">
            <w:pPr>
              <w:spacing w:after="0" w:line="240" w:lineRule="auto"/>
              <w:rPr>
                <w:rFonts w:ascii="Times New Roman" w:hAnsi="Times New Roman" w:cs="Times New Roman"/>
                <w:bCs/>
                <w:sz w:val="20"/>
                <w:szCs w:val="20"/>
                <w:lang w:eastAsia="en-GB"/>
              </w:rPr>
            </w:pPr>
            <w:r w:rsidRPr="00615853">
              <w:rPr>
                <w:rFonts w:ascii="Times New Roman" w:hAnsi="Times New Roman" w:cs="Times New Roman"/>
                <w:bCs/>
                <w:sz w:val="20"/>
                <w:szCs w:val="20"/>
                <w:lang w:eastAsia="en-GB"/>
              </w:rPr>
              <w:t>Bus Stop</w:t>
            </w:r>
          </w:p>
        </w:tc>
        <w:tc>
          <w:tcPr>
            <w:tcW w:w="1620" w:type="dxa"/>
          </w:tcPr>
          <w:p w14:paraId="6460EF2B" w14:textId="77777777" w:rsidR="004371E3" w:rsidRPr="00615853" w:rsidRDefault="004371E3" w:rsidP="00615853">
            <w:pPr>
              <w:spacing w:after="0" w:line="240" w:lineRule="auto"/>
              <w:jc w:val="center"/>
              <w:rPr>
                <w:rFonts w:ascii="Times New Roman" w:hAnsi="Times New Roman" w:cs="Times New Roman"/>
                <w:sz w:val="20"/>
                <w:szCs w:val="20"/>
                <w:lang w:eastAsia="en-GB"/>
              </w:rPr>
            </w:pPr>
            <w:r w:rsidRPr="00615853">
              <w:rPr>
                <w:rFonts w:ascii="Times New Roman" w:hAnsi="Times New Roman" w:cs="Times New Roman"/>
                <w:sz w:val="20"/>
                <w:szCs w:val="20"/>
                <w:lang w:eastAsia="en-GB"/>
              </w:rPr>
              <w:t>10.0</w:t>
            </w:r>
          </w:p>
        </w:tc>
      </w:tr>
      <w:tr w:rsidR="004371E3" w:rsidRPr="00615853" w14:paraId="0E666E0D" w14:textId="77777777" w:rsidTr="00615853">
        <w:trPr>
          <w:jc w:val="center"/>
        </w:trPr>
        <w:tc>
          <w:tcPr>
            <w:tcW w:w="715" w:type="dxa"/>
            <w:vMerge/>
          </w:tcPr>
          <w:p w14:paraId="03D39860"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2070" w:type="dxa"/>
            <w:vMerge/>
          </w:tcPr>
          <w:p w14:paraId="67894090" w14:textId="77777777" w:rsidR="004371E3" w:rsidRPr="00615853" w:rsidRDefault="004371E3" w:rsidP="00615853">
            <w:pPr>
              <w:spacing w:after="0" w:line="240" w:lineRule="auto"/>
              <w:rPr>
                <w:rFonts w:ascii="Times New Roman" w:hAnsi="Times New Roman" w:cs="Times New Roman"/>
                <w:sz w:val="20"/>
                <w:szCs w:val="20"/>
              </w:rPr>
            </w:pPr>
          </w:p>
        </w:tc>
        <w:tc>
          <w:tcPr>
            <w:tcW w:w="3510" w:type="dxa"/>
          </w:tcPr>
          <w:p w14:paraId="177EBC2A" w14:textId="77777777" w:rsidR="004371E3" w:rsidRPr="00615853" w:rsidRDefault="004371E3" w:rsidP="00615853">
            <w:pPr>
              <w:spacing w:after="0" w:line="240" w:lineRule="auto"/>
              <w:rPr>
                <w:rFonts w:ascii="Times New Roman" w:hAnsi="Times New Roman" w:cs="Times New Roman"/>
                <w:bCs/>
                <w:sz w:val="20"/>
                <w:szCs w:val="20"/>
                <w:lang w:eastAsia="en-GB"/>
              </w:rPr>
            </w:pPr>
            <w:r w:rsidRPr="00615853">
              <w:rPr>
                <w:rFonts w:ascii="Times New Roman" w:hAnsi="Times New Roman" w:cs="Times New Roman"/>
                <w:bCs/>
                <w:sz w:val="20"/>
                <w:szCs w:val="20"/>
                <w:lang w:eastAsia="en-GB"/>
              </w:rPr>
              <w:t>Road intersection</w:t>
            </w:r>
          </w:p>
        </w:tc>
        <w:tc>
          <w:tcPr>
            <w:tcW w:w="1620" w:type="dxa"/>
          </w:tcPr>
          <w:p w14:paraId="740567A7" w14:textId="77777777" w:rsidR="004371E3" w:rsidRPr="00615853" w:rsidRDefault="004371E3" w:rsidP="00615853">
            <w:pPr>
              <w:spacing w:after="0" w:line="240" w:lineRule="auto"/>
              <w:jc w:val="center"/>
              <w:rPr>
                <w:rFonts w:ascii="Times New Roman" w:hAnsi="Times New Roman" w:cs="Times New Roman"/>
                <w:sz w:val="20"/>
                <w:szCs w:val="20"/>
                <w:lang w:eastAsia="en-GB"/>
              </w:rPr>
            </w:pPr>
            <w:r w:rsidRPr="00615853">
              <w:rPr>
                <w:rFonts w:ascii="Times New Roman" w:hAnsi="Times New Roman" w:cs="Times New Roman"/>
                <w:sz w:val="20"/>
                <w:szCs w:val="20"/>
                <w:lang w:eastAsia="en-GB"/>
              </w:rPr>
              <w:t>6.0</w:t>
            </w:r>
          </w:p>
        </w:tc>
      </w:tr>
    </w:tbl>
    <w:p w14:paraId="0A98B048" w14:textId="77777777" w:rsidR="004371E3" w:rsidRPr="00BE4AF3" w:rsidRDefault="004371E3" w:rsidP="004371E3">
      <w:pPr>
        <w:spacing w:line="480" w:lineRule="auto"/>
        <w:jc w:val="center"/>
        <w:rPr>
          <w:rFonts w:ascii="Times New Roman" w:hAnsi="Times New Roman" w:cs="Times New Roman"/>
          <w:sz w:val="24"/>
          <w:szCs w:val="24"/>
          <w:lang w:eastAsia="en-GB"/>
        </w:rPr>
      </w:pPr>
      <w:r w:rsidRPr="00BE4AF3">
        <w:rPr>
          <w:rFonts w:ascii="Times New Roman" w:hAnsi="Times New Roman" w:cs="Times New Roman"/>
          <w:sz w:val="24"/>
          <w:szCs w:val="24"/>
          <w:lang w:eastAsia="en-GB"/>
        </w:rPr>
        <w:t>Source: Field Survey, 2021</w:t>
      </w:r>
    </w:p>
    <w:p w14:paraId="1EAF7F8B" w14:textId="77777777" w:rsidR="004371E3" w:rsidRPr="00BE4AF3" w:rsidRDefault="004371E3" w:rsidP="004371E3">
      <w:pPr>
        <w:spacing w:line="480" w:lineRule="auto"/>
        <w:jc w:val="center"/>
        <w:rPr>
          <w:rFonts w:ascii="Times New Roman" w:hAnsi="Times New Roman" w:cs="Times New Roman"/>
          <w:sz w:val="24"/>
          <w:szCs w:val="24"/>
          <w:lang w:eastAsia="en-GB"/>
        </w:rPr>
      </w:pPr>
    </w:p>
    <w:p w14:paraId="4DBCB29D" w14:textId="77777777" w:rsidR="004371E3" w:rsidRPr="00BE4AF3" w:rsidRDefault="004371E3" w:rsidP="004371E3">
      <w:pPr>
        <w:spacing w:line="480" w:lineRule="auto"/>
        <w:jc w:val="center"/>
        <w:rPr>
          <w:rFonts w:ascii="Times New Roman" w:hAnsi="Times New Roman" w:cs="Times New Roman"/>
          <w:sz w:val="24"/>
          <w:szCs w:val="24"/>
        </w:rPr>
      </w:pPr>
    </w:p>
    <w:p w14:paraId="5B1D16F0" w14:textId="16588F10" w:rsidR="004371E3" w:rsidRPr="00BE4AF3" w:rsidRDefault="004371E3" w:rsidP="00615853">
      <w:pPr>
        <w:spacing w:after="0" w:line="240" w:lineRule="auto"/>
        <w:jc w:val="both"/>
        <w:rPr>
          <w:rFonts w:ascii="Times New Roman" w:hAnsi="Times New Roman" w:cs="Times New Roman"/>
          <w:b/>
          <w:bCs/>
          <w:sz w:val="24"/>
          <w:szCs w:val="24"/>
          <w:lang w:eastAsia="en-GB"/>
        </w:rPr>
      </w:pPr>
      <w:r w:rsidRPr="00BE4AF3">
        <w:rPr>
          <w:rFonts w:ascii="Times New Roman" w:hAnsi="Times New Roman" w:cs="Times New Roman"/>
          <w:b/>
          <w:bCs/>
          <w:sz w:val="24"/>
          <w:szCs w:val="24"/>
          <w:lang w:eastAsia="en-GB"/>
        </w:rPr>
        <w:t>Temporal Dimension of Crime in Public Transit</w:t>
      </w:r>
    </w:p>
    <w:p w14:paraId="0605D03B" w14:textId="77777777" w:rsidR="004371E3" w:rsidRPr="00BE4AF3" w:rsidRDefault="004371E3" w:rsidP="00615853">
      <w:pPr>
        <w:spacing w:after="0" w:line="240" w:lineRule="auto"/>
        <w:jc w:val="both"/>
        <w:rPr>
          <w:rFonts w:ascii="Times New Roman" w:hAnsi="Times New Roman" w:cs="Times New Roman"/>
          <w:bCs/>
          <w:sz w:val="24"/>
          <w:szCs w:val="24"/>
          <w:lang w:eastAsia="en-GB"/>
        </w:rPr>
      </w:pPr>
      <w:r w:rsidRPr="00BE4AF3">
        <w:rPr>
          <w:rFonts w:ascii="Times New Roman" w:hAnsi="Times New Roman" w:cs="Times New Roman"/>
          <w:bCs/>
          <w:sz w:val="24"/>
          <w:szCs w:val="24"/>
          <w:lang w:eastAsia="en-GB"/>
        </w:rPr>
        <w:t>Respondents were asked questions relating to the temporal dimension of crime in public transit at AMAC which include time of occurrence of crime in public transit, and period of the year of crime prevalence in public transit. Table 2 shows the response of the respondents. The result shows that most (56%) of the crime occurs between 7pm and 12am (mid-night), and most (56%) of the crime occurs during festive periods.</w:t>
      </w:r>
    </w:p>
    <w:p w14:paraId="28120F26" w14:textId="77777777" w:rsidR="004371E3" w:rsidRPr="00BE4AF3" w:rsidRDefault="004371E3" w:rsidP="004371E3">
      <w:pPr>
        <w:rPr>
          <w:rFonts w:ascii="Times New Roman" w:hAnsi="Times New Roman" w:cs="Times New Roman"/>
          <w:sz w:val="24"/>
          <w:szCs w:val="24"/>
        </w:rPr>
      </w:pPr>
    </w:p>
    <w:p w14:paraId="57DBE29F" w14:textId="77777777" w:rsidR="004371E3" w:rsidRPr="00BE4AF3" w:rsidRDefault="004371E3" w:rsidP="00615853">
      <w:pPr>
        <w:spacing w:after="0" w:line="240" w:lineRule="auto"/>
        <w:jc w:val="center"/>
        <w:rPr>
          <w:rFonts w:ascii="Times New Roman" w:hAnsi="Times New Roman" w:cs="Times New Roman"/>
          <w:bCs/>
          <w:sz w:val="24"/>
          <w:szCs w:val="24"/>
          <w:lang w:eastAsia="en-GB"/>
        </w:rPr>
      </w:pPr>
      <w:r w:rsidRPr="00BE4AF3">
        <w:rPr>
          <w:rFonts w:ascii="Times New Roman" w:hAnsi="Times New Roman" w:cs="Times New Roman"/>
          <w:b/>
          <w:bCs/>
          <w:sz w:val="24"/>
          <w:szCs w:val="24"/>
        </w:rPr>
        <w:t>Table 2:</w:t>
      </w:r>
      <w:r w:rsidRPr="00BE4AF3">
        <w:rPr>
          <w:rFonts w:ascii="Times New Roman" w:hAnsi="Times New Roman" w:cs="Times New Roman"/>
          <w:sz w:val="24"/>
          <w:szCs w:val="24"/>
        </w:rPr>
        <w:t xml:space="preserve"> </w:t>
      </w:r>
      <w:r w:rsidRPr="00BE4AF3">
        <w:rPr>
          <w:rFonts w:ascii="Times New Roman" w:hAnsi="Times New Roman" w:cs="Times New Roman"/>
          <w:bCs/>
          <w:sz w:val="24"/>
          <w:szCs w:val="24"/>
          <w:lang w:eastAsia="en-GB"/>
        </w:rPr>
        <w:t>Temporal Dimension of Crime in Public Transit</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
        <w:gridCol w:w="3780"/>
        <w:gridCol w:w="2250"/>
        <w:gridCol w:w="1269"/>
      </w:tblGrid>
      <w:tr w:rsidR="004371E3" w:rsidRPr="00615853" w14:paraId="4E88F266" w14:textId="77777777" w:rsidTr="00C316A1">
        <w:trPr>
          <w:jc w:val="center"/>
        </w:trPr>
        <w:tc>
          <w:tcPr>
            <w:tcW w:w="715" w:type="dxa"/>
            <w:tcBorders>
              <w:top w:val="single" w:sz="4" w:space="0" w:color="auto"/>
              <w:bottom w:val="single" w:sz="4" w:space="0" w:color="auto"/>
            </w:tcBorders>
          </w:tcPr>
          <w:p w14:paraId="2991C1FC"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S/N</w:t>
            </w:r>
          </w:p>
        </w:tc>
        <w:tc>
          <w:tcPr>
            <w:tcW w:w="6030" w:type="dxa"/>
            <w:gridSpan w:val="2"/>
            <w:tcBorders>
              <w:top w:val="single" w:sz="4" w:space="0" w:color="auto"/>
              <w:bottom w:val="single" w:sz="4" w:space="0" w:color="auto"/>
            </w:tcBorders>
          </w:tcPr>
          <w:p w14:paraId="57CB9A51"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Variables</w:t>
            </w:r>
          </w:p>
        </w:tc>
        <w:tc>
          <w:tcPr>
            <w:tcW w:w="1269" w:type="dxa"/>
            <w:tcBorders>
              <w:top w:val="single" w:sz="4" w:space="0" w:color="auto"/>
              <w:bottom w:val="single" w:sz="4" w:space="0" w:color="auto"/>
            </w:tcBorders>
          </w:tcPr>
          <w:p w14:paraId="38EBF0FD"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Percentage (N = 380)</w:t>
            </w:r>
          </w:p>
        </w:tc>
      </w:tr>
      <w:tr w:rsidR="004371E3" w:rsidRPr="00615853" w14:paraId="68BF3333" w14:textId="77777777" w:rsidTr="00C316A1">
        <w:trPr>
          <w:jc w:val="center"/>
        </w:trPr>
        <w:tc>
          <w:tcPr>
            <w:tcW w:w="715" w:type="dxa"/>
            <w:vMerge w:val="restart"/>
            <w:tcBorders>
              <w:top w:val="single" w:sz="4" w:space="0" w:color="auto"/>
            </w:tcBorders>
          </w:tcPr>
          <w:p w14:paraId="76C820BF"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1</w:t>
            </w:r>
          </w:p>
        </w:tc>
        <w:tc>
          <w:tcPr>
            <w:tcW w:w="3780" w:type="dxa"/>
            <w:vMerge w:val="restart"/>
            <w:tcBorders>
              <w:top w:val="single" w:sz="4" w:space="0" w:color="auto"/>
            </w:tcBorders>
          </w:tcPr>
          <w:p w14:paraId="769D3C97" w14:textId="77777777" w:rsidR="004371E3" w:rsidRPr="00615853" w:rsidRDefault="004371E3" w:rsidP="00C316A1">
            <w:pPr>
              <w:spacing w:after="0" w:line="240" w:lineRule="auto"/>
              <w:rPr>
                <w:rFonts w:ascii="Times New Roman" w:hAnsi="Times New Roman" w:cs="Times New Roman"/>
                <w:sz w:val="20"/>
                <w:szCs w:val="20"/>
              </w:rPr>
            </w:pPr>
            <w:r w:rsidRPr="00615853">
              <w:rPr>
                <w:rFonts w:ascii="Times New Roman" w:hAnsi="Times New Roman" w:cs="Times New Roman"/>
                <w:bCs/>
                <w:sz w:val="20"/>
                <w:szCs w:val="20"/>
                <w:lang w:eastAsia="en-GB"/>
              </w:rPr>
              <w:t>Time of occurrence of crime in public transit</w:t>
            </w:r>
          </w:p>
        </w:tc>
        <w:tc>
          <w:tcPr>
            <w:tcW w:w="2250" w:type="dxa"/>
            <w:tcBorders>
              <w:top w:val="single" w:sz="4" w:space="0" w:color="auto"/>
            </w:tcBorders>
          </w:tcPr>
          <w:p w14:paraId="092A5AC7" w14:textId="77777777" w:rsidR="004371E3" w:rsidRPr="00615853" w:rsidRDefault="004371E3" w:rsidP="00C316A1">
            <w:pPr>
              <w:spacing w:after="0" w:line="240" w:lineRule="auto"/>
              <w:rPr>
                <w:rFonts w:ascii="Times New Roman" w:hAnsi="Times New Roman" w:cs="Times New Roman"/>
                <w:sz w:val="20"/>
                <w:szCs w:val="20"/>
              </w:rPr>
            </w:pPr>
            <w:r w:rsidRPr="00615853">
              <w:rPr>
                <w:rFonts w:ascii="Times New Roman" w:hAnsi="Times New Roman" w:cs="Times New Roman"/>
                <w:sz w:val="20"/>
                <w:szCs w:val="20"/>
                <w:lang w:eastAsia="en-GB"/>
              </w:rPr>
              <w:t>5:00am-11:00am</w:t>
            </w:r>
          </w:p>
        </w:tc>
        <w:tc>
          <w:tcPr>
            <w:tcW w:w="1269" w:type="dxa"/>
            <w:tcBorders>
              <w:top w:val="single" w:sz="4" w:space="0" w:color="auto"/>
            </w:tcBorders>
          </w:tcPr>
          <w:p w14:paraId="38E949C1"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lang w:eastAsia="en-GB"/>
              </w:rPr>
              <w:t>6.0</w:t>
            </w:r>
          </w:p>
        </w:tc>
      </w:tr>
      <w:tr w:rsidR="004371E3" w:rsidRPr="00615853" w14:paraId="10B98F81" w14:textId="77777777" w:rsidTr="00C316A1">
        <w:trPr>
          <w:jc w:val="center"/>
        </w:trPr>
        <w:tc>
          <w:tcPr>
            <w:tcW w:w="715" w:type="dxa"/>
            <w:vMerge/>
          </w:tcPr>
          <w:p w14:paraId="0A1C0D50"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3780" w:type="dxa"/>
            <w:vMerge/>
          </w:tcPr>
          <w:p w14:paraId="71376B1C" w14:textId="77777777" w:rsidR="004371E3" w:rsidRPr="00615853" w:rsidRDefault="004371E3" w:rsidP="00C316A1">
            <w:pPr>
              <w:spacing w:after="0" w:line="240" w:lineRule="auto"/>
              <w:rPr>
                <w:rFonts w:ascii="Times New Roman" w:hAnsi="Times New Roman" w:cs="Times New Roman"/>
                <w:bCs/>
                <w:sz w:val="20"/>
                <w:szCs w:val="20"/>
                <w:lang w:eastAsia="en-GB"/>
              </w:rPr>
            </w:pPr>
          </w:p>
        </w:tc>
        <w:tc>
          <w:tcPr>
            <w:tcW w:w="2250" w:type="dxa"/>
          </w:tcPr>
          <w:p w14:paraId="76150216" w14:textId="77777777" w:rsidR="004371E3" w:rsidRPr="00615853" w:rsidRDefault="004371E3" w:rsidP="00C316A1">
            <w:pPr>
              <w:spacing w:after="0" w:line="240" w:lineRule="auto"/>
              <w:rPr>
                <w:rFonts w:ascii="Times New Roman" w:hAnsi="Times New Roman" w:cs="Times New Roman"/>
                <w:sz w:val="20"/>
                <w:szCs w:val="20"/>
              </w:rPr>
            </w:pPr>
            <w:r w:rsidRPr="00615853">
              <w:rPr>
                <w:rFonts w:ascii="Times New Roman" w:hAnsi="Times New Roman" w:cs="Times New Roman"/>
                <w:sz w:val="20"/>
                <w:szCs w:val="20"/>
                <w:lang w:eastAsia="en-GB"/>
              </w:rPr>
              <w:t>12:00noon-3:00pm</w:t>
            </w:r>
          </w:p>
        </w:tc>
        <w:tc>
          <w:tcPr>
            <w:tcW w:w="1269" w:type="dxa"/>
          </w:tcPr>
          <w:p w14:paraId="1EFDFC02"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3.0</w:t>
            </w:r>
          </w:p>
        </w:tc>
      </w:tr>
      <w:tr w:rsidR="004371E3" w:rsidRPr="00615853" w14:paraId="0D047108" w14:textId="77777777" w:rsidTr="00C316A1">
        <w:trPr>
          <w:jc w:val="center"/>
        </w:trPr>
        <w:tc>
          <w:tcPr>
            <w:tcW w:w="715" w:type="dxa"/>
            <w:vMerge/>
          </w:tcPr>
          <w:p w14:paraId="39C2F2DF"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3780" w:type="dxa"/>
            <w:vMerge/>
          </w:tcPr>
          <w:p w14:paraId="06EC38E5" w14:textId="77777777" w:rsidR="004371E3" w:rsidRPr="00615853" w:rsidRDefault="004371E3" w:rsidP="00C316A1">
            <w:pPr>
              <w:spacing w:after="0" w:line="240" w:lineRule="auto"/>
              <w:rPr>
                <w:rFonts w:ascii="Times New Roman" w:hAnsi="Times New Roman" w:cs="Times New Roman"/>
                <w:bCs/>
                <w:sz w:val="20"/>
                <w:szCs w:val="20"/>
                <w:lang w:eastAsia="en-GB"/>
              </w:rPr>
            </w:pPr>
          </w:p>
        </w:tc>
        <w:tc>
          <w:tcPr>
            <w:tcW w:w="2250" w:type="dxa"/>
          </w:tcPr>
          <w:p w14:paraId="2F4F618A" w14:textId="77777777" w:rsidR="004371E3" w:rsidRPr="00615853" w:rsidRDefault="004371E3" w:rsidP="00C316A1">
            <w:pPr>
              <w:spacing w:after="0" w:line="240" w:lineRule="auto"/>
              <w:rPr>
                <w:rFonts w:ascii="Times New Roman" w:hAnsi="Times New Roman" w:cs="Times New Roman"/>
                <w:sz w:val="20"/>
                <w:szCs w:val="20"/>
              </w:rPr>
            </w:pPr>
            <w:r w:rsidRPr="00615853">
              <w:rPr>
                <w:rFonts w:ascii="Times New Roman" w:hAnsi="Times New Roman" w:cs="Times New Roman"/>
                <w:sz w:val="20"/>
                <w:szCs w:val="20"/>
                <w:lang w:eastAsia="en-GB"/>
              </w:rPr>
              <w:t>4:00pm-6:00pm</w:t>
            </w:r>
          </w:p>
        </w:tc>
        <w:tc>
          <w:tcPr>
            <w:tcW w:w="1269" w:type="dxa"/>
          </w:tcPr>
          <w:p w14:paraId="135DB564"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lang w:eastAsia="en-GB"/>
              </w:rPr>
              <w:t>9.0</w:t>
            </w:r>
          </w:p>
        </w:tc>
      </w:tr>
      <w:tr w:rsidR="004371E3" w:rsidRPr="00615853" w14:paraId="00867470" w14:textId="77777777" w:rsidTr="00C316A1">
        <w:trPr>
          <w:jc w:val="center"/>
        </w:trPr>
        <w:tc>
          <w:tcPr>
            <w:tcW w:w="715" w:type="dxa"/>
            <w:vMerge/>
          </w:tcPr>
          <w:p w14:paraId="7E71001E"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3780" w:type="dxa"/>
            <w:vMerge/>
          </w:tcPr>
          <w:p w14:paraId="501E724A" w14:textId="77777777" w:rsidR="004371E3" w:rsidRPr="00615853" w:rsidRDefault="004371E3" w:rsidP="00C316A1">
            <w:pPr>
              <w:spacing w:after="0" w:line="240" w:lineRule="auto"/>
              <w:rPr>
                <w:rFonts w:ascii="Times New Roman" w:hAnsi="Times New Roman" w:cs="Times New Roman"/>
                <w:bCs/>
                <w:sz w:val="20"/>
                <w:szCs w:val="20"/>
                <w:lang w:eastAsia="en-GB"/>
              </w:rPr>
            </w:pPr>
          </w:p>
        </w:tc>
        <w:tc>
          <w:tcPr>
            <w:tcW w:w="2250" w:type="dxa"/>
          </w:tcPr>
          <w:p w14:paraId="3B13503C" w14:textId="77777777" w:rsidR="004371E3" w:rsidRPr="00615853" w:rsidRDefault="004371E3" w:rsidP="00C316A1">
            <w:pPr>
              <w:spacing w:after="0" w:line="240" w:lineRule="auto"/>
              <w:rPr>
                <w:rFonts w:ascii="Times New Roman" w:hAnsi="Times New Roman" w:cs="Times New Roman"/>
                <w:sz w:val="20"/>
                <w:szCs w:val="20"/>
              </w:rPr>
            </w:pPr>
            <w:r w:rsidRPr="00615853">
              <w:rPr>
                <w:rFonts w:ascii="Times New Roman" w:hAnsi="Times New Roman" w:cs="Times New Roman"/>
                <w:sz w:val="20"/>
                <w:szCs w:val="20"/>
                <w:lang w:eastAsia="en-GB"/>
              </w:rPr>
              <w:t>7:00pm-12:00am</w:t>
            </w:r>
          </w:p>
        </w:tc>
        <w:tc>
          <w:tcPr>
            <w:tcW w:w="1269" w:type="dxa"/>
          </w:tcPr>
          <w:p w14:paraId="6EF9CEFB"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lang w:eastAsia="en-GB"/>
              </w:rPr>
              <w:t>56.0</w:t>
            </w:r>
          </w:p>
        </w:tc>
      </w:tr>
      <w:tr w:rsidR="004371E3" w:rsidRPr="00615853" w14:paraId="0B2944FE" w14:textId="77777777" w:rsidTr="00C316A1">
        <w:trPr>
          <w:jc w:val="center"/>
        </w:trPr>
        <w:tc>
          <w:tcPr>
            <w:tcW w:w="715" w:type="dxa"/>
            <w:vMerge/>
          </w:tcPr>
          <w:p w14:paraId="412DACE7"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3780" w:type="dxa"/>
            <w:vMerge/>
          </w:tcPr>
          <w:p w14:paraId="104EE6F3" w14:textId="77777777" w:rsidR="004371E3" w:rsidRPr="00615853" w:rsidRDefault="004371E3" w:rsidP="00C316A1">
            <w:pPr>
              <w:spacing w:after="0" w:line="240" w:lineRule="auto"/>
              <w:rPr>
                <w:rFonts w:ascii="Times New Roman" w:hAnsi="Times New Roman" w:cs="Times New Roman"/>
                <w:bCs/>
                <w:sz w:val="20"/>
                <w:szCs w:val="20"/>
                <w:lang w:eastAsia="en-GB"/>
              </w:rPr>
            </w:pPr>
          </w:p>
        </w:tc>
        <w:tc>
          <w:tcPr>
            <w:tcW w:w="2250" w:type="dxa"/>
          </w:tcPr>
          <w:p w14:paraId="3DFEACBA" w14:textId="77777777" w:rsidR="004371E3" w:rsidRPr="00615853" w:rsidRDefault="004371E3" w:rsidP="00C316A1">
            <w:pPr>
              <w:spacing w:after="0" w:line="240" w:lineRule="auto"/>
              <w:rPr>
                <w:rFonts w:ascii="Times New Roman" w:hAnsi="Times New Roman" w:cs="Times New Roman"/>
                <w:sz w:val="20"/>
                <w:szCs w:val="20"/>
              </w:rPr>
            </w:pPr>
            <w:r w:rsidRPr="00615853">
              <w:rPr>
                <w:rFonts w:ascii="Times New Roman" w:hAnsi="Times New Roman" w:cs="Times New Roman"/>
                <w:sz w:val="20"/>
                <w:szCs w:val="20"/>
                <w:lang w:eastAsia="en-GB"/>
              </w:rPr>
              <w:t>1:00am-4:00am</w:t>
            </w:r>
          </w:p>
        </w:tc>
        <w:tc>
          <w:tcPr>
            <w:tcW w:w="1269" w:type="dxa"/>
          </w:tcPr>
          <w:p w14:paraId="6E353B1A"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lang w:eastAsia="en-GB"/>
              </w:rPr>
              <w:t>26.0</w:t>
            </w:r>
          </w:p>
        </w:tc>
      </w:tr>
      <w:tr w:rsidR="004371E3" w:rsidRPr="00615853" w14:paraId="2D6529D9" w14:textId="77777777" w:rsidTr="00C316A1">
        <w:trPr>
          <w:jc w:val="center"/>
        </w:trPr>
        <w:tc>
          <w:tcPr>
            <w:tcW w:w="715" w:type="dxa"/>
            <w:vMerge w:val="restart"/>
          </w:tcPr>
          <w:p w14:paraId="49487128" w14:textId="77777777" w:rsidR="004371E3" w:rsidRPr="00615853" w:rsidRDefault="004371E3" w:rsidP="00615853">
            <w:pPr>
              <w:spacing w:after="0" w:line="240" w:lineRule="auto"/>
              <w:jc w:val="center"/>
              <w:rPr>
                <w:rFonts w:ascii="Times New Roman" w:hAnsi="Times New Roman" w:cs="Times New Roman"/>
                <w:sz w:val="20"/>
                <w:szCs w:val="20"/>
              </w:rPr>
            </w:pPr>
            <w:r w:rsidRPr="00615853">
              <w:rPr>
                <w:rFonts w:ascii="Times New Roman" w:hAnsi="Times New Roman" w:cs="Times New Roman"/>
                <w:sz w:val="20"/>
                <w:szCs w:val="20"/>
              </w:rPr>
              <w:t>2</w:t>
            </w:r>
          </w:p>
        </w:tc>
        <w:tc>
          <w:tcPr>
            <w:tcW w:w="3780" w:type="dxa"/>
            <w:vMerge w:val="restart"/>
          </w:tcPr>
          <w:p w14:paraId="7B29DDCD" w14:textId="77777777" w:rsidR="004371E3" w:rsidRPr="00615853" w:rsidRDefault="004371E3" w:rsidP="00C316A1">
            <w:pPr>
              <w:spacing w:after="0" w:line="240" w:lineRule="auto"/>
              <w:rPr>
                <w:rFonts w:ascii="Times New Roman" w:hAnsi="Times New Roman" w:cs="Times New Roman"/>
                <w:bCs/>
                <w:sz w:val="20"/>
                <w:szCs w:val="20"/>
                <w:lang w:eastAsia="en-GB"/>
              </w:rPr>
            </w:pPr>
            <w:r w:rsidRPr="00615853">
              <w:rPr>
                <w:rFonts w:ascii="Times New Roman" w:hAnsi="Times New Roman" w:cs="Times New Roman"/>
                <w:bCs/>
                <w:sz w:val="20"/>
                <w:szCs w:val="20"/>
                <w:lang w:eastAsia="en-GB"/>
              </w:rPr>
              <w:t>Period of the year of crime prevalence in public transit</w:t>
            </w:r>
          </w:p>
        </w:tc>
        <w:tc>
          <w:tcPr>
            <w:tcW w:w="2250" w:type="dxa"/>
          </w:tcPr>
          <w:p w14:paraId="102EEC40" w14:textId="5CB17330" w:rsidR="004371E3" w:rsidRPr="00615853" w:rsidRDefault="00C316A1" w:rsidP="00C316A1">
            <w:pPr>
              <w:spacing w:after="0" w:line="240" w:lineRule="auto"/>
              <w:rPr>
                <w:rFonts w:ascii="Times New Roman" w:hAnsi="Times New Roman" w:cs="Times New Roman"/>
                <w:sz w:val="20"/>
                <w:szCs w:val="20"/>
                <w:lang w:eastAsia="en-GB"/>
              </w:rPr>
            </w:pPr>
            <w:r w:rsidRPr="00615853">
              <w:rPr>
                <w:rFonts w:ascii="Times New Roman" w:hAnsi="Times New Roman" w:cs="Times New Roman"/>
                <w:sz w:val="20"/>
                <w:szCs w:val="20"/>
                <w:lang w:eastAsia="en-GB"/>
              </w:rPr>
              <w:t>Weekdays</w:t>
            </w:r>
          </w:p>
        </w:tc>
        <w:tc>
          <w:tcPr>
            <w:tcW w:w="1269" w:type="dxa"/>
          </w:tcPr>
          <w:p w14:paraId="732A0094" w14:textId="77777777" w:rsidR="004371E3" w:rsidRPr="00615853" w:rsidRDefault="004371E3" w:rsidP="00615853">
            <w:pPr>
              <w:spacing w:after="0" w:line="240" w:lineRule="auto"/>
              <w:jc w:val="center"/>
              <w:rPr>
                <w:rFonts w:ascii="Times New Roman" w:hAnsi="Times New Roman" w:cs="Times New Roman"/>
                <w:sz w:val="20"/>
                <w:szCs w:val="20"/>
                <w:lang w:eastAsia="en-GB"/>
              </w:rPr>
            </w:pPr>
            <w:r w:rsidRPr="00615853">
              <w:rPr>
                <w:rFonts w:ascii="Times New Roman" w:hAnsi="Times New Roman" w:cs="Times New Roman"/>
                <w:sz w:val="20"/>
                <w:szCs w:val="20"/>
                <w:lang w:eastAsia="en-GB"/>
              </w:rPr>
              <w:t>12.0</w:t>
            </w:r>
          </w:p>
        </w:tc>
      </w:tr>
      <w:tr w:rsidR="004371E3" w:rsidRPr="00615853" w14:paraId="5A6143BE" w14:textId="77777777" w:rsidTr="00C316A1">
        <w:trPr>
          <w:jc w:val="center"/>
        </w:trPr>
        <w:tc>
          <w:tcPr>
            <w:tcW w:w="715" w:type="dxa"/>
            <w:vMerge/>
          </w:tcPr>
          <w:p w14:paraId="1D033BE2"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3780" w:type="dxa"/>
            <w:vMerge/>
          </w:tcPr>
          <w:p w14:paraId="201CFC9C" w14:textId="77777777" w:rsidR="004371E3" w:rsidRPr="00615853" w:rsidRDefault="004371E3" w:rsidP="00C316A1">
            <w:pPr>
              <w:spacing w:after="0" w:line="240" w:lineRule="auto"/>
              <w:rPr>
                <w:rFonts w:ascii="Times New Roman" w:hAnsi="Times New Roman" w:cs="Times New Roman"/>
                <w:bCs/>
                <w:sz w:val="20"/>
                <w:szCs w:val="20"/>
                <w:lang w:eastAsia="en-GB"/>
              </w:rPr>
            </w:pPr>
          </w:p>
        </w:tc>
        <w:tc>
          <w:tcPr>
            <w:tcW w:w="2250" w:type="dxa"/>
          </w:tcPr>
          <w:p w14:paraId="1313A64B" w14:textId="77777777" w:rsidR="004371E3" w:rsidRPr="00615853" w:rsidRDefault="004371E3" w:rsidP="00C316A1">
            <w:pPr>
              <w:spacing w:after="0" w:line="240" w:lineRule="auto"/>
              <w:rPr>
                <w:rFonts w:ascii="Times New Roman" w:hAnsi="Times New Roman" w:cs="Times New Roman"/>
                <w:sz w:val="20"/>
                <w:szCs w:val="20"/>
                <w:lang w:eastAsia="en-GB"/>
              </w:rPr>
            </w:pPr>
            <w:r w:rsidRPr="00615853">
              <w:rPr>
                <w:rFonts w:ascii="Times New Roman" w:hAnsi="Times New Roman" w:cs="Times New Roman"/>
                <w:sz w:val="20"/>
                <w:szCs w:val="20"/>
                <w:lang w:eastAsia="en-GB"/>
              </w:rPr>
              <w:t>Weekends</w:t>
            </w:r>
          </w:p>
        </w:tc>
        <w:tc>
          <w:tcPr>
            <w:tcW w:w="1269" w:type="dxa"/>
          </w:tcPr>
          <w:p w14:paraId="73DF58DE" w14:textId="77777777" w:rsidR="004371E3" w:rsidRPr="00615853" w:rsidRDefault="004371E3" w:rsidP="00615853">
            <w:pPr>
              <w:spacing w:after="0" w:line="240" w:lineRule="auto"/>
              <w:jc w:val="center"/>
              <w:rPr>
                <w:rFonts w:ascii="Times New Roman" w:hAnsi="Times New Roman" w:cs="Times New Roman"/>
                <w:sz w:val="20"/>
                <w:szCs w:val="20"/>
                <w:lang w:eastAsia="en-GB"/>
              </w:rPr>
            </w:pPr>
            <w:r w:rsidRPr="00615853">
              <w:rPr>
                <w:rFonts w:ascii="Times New Roman" w:hAnsi="Times New Roman" w:cs="Times New Roman"/>
                <w:sz w:val="20"/>
                <w:szCs w:val="20"/>
                <w:lang w:eastAsia="en-GB"/>
              </w:rPr>
              <w:t>11.0</w:t>
            </w:r>
          </w:p>
        </w:tc>
      </w:tr>
      <w:tr w:rsidR="004371E3" w:rsidRPr="00615853" w14:paraId="339E4596" w14:textId="77777777" w:rsidTr="00C316A1">
        <w:trPr>
          <w:jc w:val="center"/>
        </w:trPr>
        <w:tc>
          <w:tcPr>
            <w:tcW w:w="715" w:type="dxa"/>
            <w:vMerge/>
          </w:tcPr>
          <w:p w14:paraId="6070BD0B"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3780" w:type="dxa"/>
            <w:vMerge/>
          </w:tcPr>
          <w:p w14:paraId="601133D9" w14:textId="77777777" w:rsidR="004371E3" w:rsidRPr="00615853" w:rsidRDefault="004371E3" w:rsidP="00C316A1">
            <w:pPr>
              <w:spacing w:after="0" w:line="240" w:lineRule="auto"/>
              <w:rPr>
                <w:rFonts w:ascii="Times New Roman" w:hAnsi="Times New Roman" w:cs="Times New Roman"/>
                <w:bCs/>
                <w:sz w:val="20"/>
                <w:szCs w:val="20"/>
                <w:lang w:eastAsia="en-GB"/>
              </w:rPr>
            </w:pPr>
          </w:p>
        </w:tc>
        <w:tc>
          <w:tcPr>
            <w:tcW w:w="2250" w:type="dxa"/>
          </w:tcPr>
          <w:p w14:paraId="0EFEF868" w14:textId="77777777" w:rsidR="004371E3" w:rsidRPr="00615853" w:rsidRDefault="004371E3" w:rsidP="00C316A1">
            <w:pPr>
              <w:spacing w:after="0" w:line="240" w:lineRule="auto"/>
              <w:rPr>
                <w:rFonts w:ascii="Times New Roman" w:hAnsi="Times New Roman" w:cs="Times New Roman"/>
                <w:sz w:val="20"/>
                <w:szCs w:val="20"/>
                <w:lang w:eastAsia="en-GB"/>
              </w:rPr>
            </w:pPr>
            <w:r w:rsidRPr="00615853">
              <w:rPr>
                <w:rFonts w:ascii="Times New Roman" w:hAnsi="Times New Roman" w:cs="Times New Roman"/>
                <w:sz w:val="20"/>
                <w:szCs w:val="20"/>
                <w:lang w:eastAsia="en-GB"/>
              </w:rPr>
              <w:t>Festive period</w:t>
            </w:r>
          </w:p>
        </w:tc>
        <w:tc>
          <w:tcPr>
            <w:tcW w:w="1269" w:type="dxa"/>
          </w:tcPr>
          <w:p w14:paraId="668C68D3" w14:textId="77777777" w:rsidR="004371E3" w:rsidRPr="00615853" w:rsidRDefault="004371E3" w:rsidP="00615853">
            <w:pPr>
              <w:spacing w:after="0" w:line="240" w:lineRule="auto"/>
              <w:jc w:val="center"/>
              <w:rPr>
                <w:rFonts w:ascii="Times New Roman" w:hAnsi="Times New Roman" w:cs="Times New Roman"/>
                <w:sz w:val="20"/>
                <w:szCs w:val="20"/>
                <w:lang w:eastAsia="en-GB"/>
              </w:rPr>
            </w:pPr>
            <w:r w:rsidRPr="00615853">
              <w:rPr>
                <w:rFonts w:ascii="Times New Roman" w:hAnsi="Times New Roman" w:cs="Times New Roman"/>
                <w:sz w:val="20"/>
                <w:szCs w:val="20"/>
                <w:lang w:eastAsia="en-GB"/>
              </w:rPr>
              <w:t>56.0</w:t>
            </w:r>
          </w:p>
        </w:tc>
      </w:tr>
      <w:tr w:rsidR="004371E3" w:rsidRPr="00615853" w14:paraId="6D07F75D" w14:textId="77777777" w:rsidTr="00C316A1">
        <w:trPr>
          <w:jc w:val="center"/>
        </w:trPr>
        <w:tc>
          <w:tcPr>
            <w:tcW w:w="715" w:type="dxa"/>
            <w:vMerge/>
          </w:tcPr>
          <w:p w14:paraId="59E06AA6"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3780" w:type="dxa"/>
            <w:vMerge/>
          </w:tcPr>
          <w:p w14:paraId="1168565F" w14:textId="77777777" w:rsidR="004371E3" w:rsidRPr="00615853" w:rsidRDefault="004371E3" w:rsidP="00C316A1">
            <w:pPr>
              <w:spacing w:after="0" w:line="240" w:lineRule="auto"/>
              <w:rPr>
                <w:rFonts w:ascii="Times New Roman" w:hAnsi="Times New Roman" w:cs="Times New Roman"/>
                <w:bCs/>
                <w:sz w:val="20"/>
                <w:szCs w:val="20"/>
                <w:lang w:eastAsia="en-GB"/>
              </w:rPr>
            </w:pPr>
          </w:p>
        </w:tc>
        <w:tc>
          <w:tcPr>
            <w:tcW w:w="2250" w:type="dxa"/>
          </w:tcPr>
          <w:p w14:paraId="6AC63BD9" w14:textId="77777777" w:rsidR="004371E3" w:rsidRPr="00615853" w:rsidRDefault="004371E3" w:rsidP="00C316A1">
            <w:pPr>
              <w:spacing w:after="0" w:line="240" w:lineRule="auto"/>
              <w:rPr>
                <w:rFonts w:ascii="Times New Roman" w:hAnsi="Times New Roman" w:cs="Times New Roman"/>
                <w:sz w:val="20"/>
                <w:szCs w:val="20"/>
                <w:lang w:eastAsia="en-GB"/>
              </w:rPr>
            </w:pPr>
            <w:r w:rsidRPr="00615853">
              <w:rPr>
                <w:rFonts w:ascii="Times New Roman" w:hAnsi="Times New Roman" w:cs="Times New Roman"/>
                <w:sz w:val="20"/>
                <w:szCs w:val="20"/>
                <w:lang w:eastAsia="en-GB"/>
              </w:rPr>
              <w:t>Dry season</w:t>
            </w:r>
          </w:p>
        </w:tc>
        <w:tc>
          <w:tcPr>
            <w:tcW w:w="1269" w:type="dxa"/>
          </w:tcPr>
          <w:p w14:paraId="51F2DCA8" w14:textId="77777777" w:rsidR="004371E3" w:rsidRPr="00615853" w:rsidRDefault="004371E3" w:rsidP="00615853">
            <w:pPr>
              <w:spacing w:after="0" w:line="240" w:lineRule="auto"/>
              <w:jc w:val="center"/>
              <w:rPr>
                <w:rFonts w:ascii="Times New Roman" w:hAnsi="Times New Roman" w:cs="Times New Roman"/>
                <w:sz w:val="20"/>
                <w:szCs w:val="20"/>
                <w:lang w:eastAsia="en-GB"/>
              </w:rPr>
            </w:pPr>
            <w:r w:rsidRPr="00615853">
              <w:rPr>
                <w:rFonts w:ascii="Times New Roman" w:hAnsi="Times New Roman" w:cs="Times New Roman"/>
                <w:sz w:val="20"/>
                <w:szCs w:val="20"/>
                <w:lang w:eastAsia="en-GB"/>
              </w:rPr>
              <w:t>14.0</w:t>
            </w:r>
          </w:p>
        </w:tc>
      </w:tr>
      <w:tr w:rsidR="004371E3" w:rsidRPr="00615853" w14:paraId="5535E03F" w14:textId="77777777" w:rsidTr="00C316A1">
        <w:trPr>
          <w:jc w:val="center"/>
        </w:trPr>
        <w:tc>
          <w:tcPr>
            <w:tcW w:w="715" w:type="dxa"/>
            <w:vMerge/>
          </w:tcPr>
          <w:p w14:paraId="65A99EEC" w14:textId="77777777" w:rsidR="004371E3" w:rsidRPr="00615853" w:rsidRDefault="004371E3" w:rsidP="00615853">
            <w:pPr>
              <w:spacing w:after="0" w:line="240" w:lineRule="auto"/>
              <w:jc w:val="center"/>
              <w:rPr>
                <w:rFonts w:ascii="Times New Roman" w:hAnsi="Times New Roman" w:cs="Times New Roman"/>
                <w:sz w:val="20"/>
                <w:szCs w:val="20"/>
              </w:rPr>
            </w:pPr>
          </w:p>
        </w:tc>
        <w:tc>
          <w:tcPr>
            <w:tcW w:w="3780" w:type="dxa"/>
            <w:vMerge/>
          </w:tcPr>
          <w:p w14:paraId="3742B28E" w14:textId="77777777" w:rsidR="004371E3" w:rsidRPr="00615853" w:rsidRDefault="004371E3" w:rsidP="00C316A1">
            <w:pPr>
              <w:spacing w:after="0" w:line="240" w:lineRule="auto"/>
              <w:rPr>
                <w:rFonts w:ascii="Times New Roman" w:hAnsi="Times New Roman" w:cs="Times New Roman"/>
                <w:bCs/>
                <w:sz w:val="20"/>
                <w:szCs w:val="20"/>
                <w:lang w:eastAsia="en-GB"/>
              </w:rPr>
            </w:pPr>
          </w:p>
        </w:tc>
        <w:tc>
          <w:tcPr>
            <w:tcW w:w="2250" w:type="dxa"/>
          </w:tcPr>
          <w:p w14:paraId="14C8BDDE" w14:textId="77777777" w:rsidR="004371E3" w:rsidRPr="00615853" w:rsidRDefault="004371E3" w:rsidP="00C316A1">
            <w:pPr>
              <w:spacing w:after="0" w:line="240" w:lineRule="auto"/>
              <w:rPr>
                <w:rFonts w:ascii="Times New Roman" w:hAnsi="Times New Roman" w:cs="Times New Roman"/>
                <w:sz w:val="20"/>
                <w:szCs w:val="20"/>
                <w:lang w:eastAsia="en-GB"/>
              </w:rPr>
            </w:pPr>
            <w:r w:rsidRPr="00615853">
              <w:rPr>
                <w:rFonts w:ascii="Times New Roman" w:hAnsi="Times New Roman" w:cs="Times New Roman"/>
                <w:sz w:val="20"/>
                <w:szCs w:val="20"/>
                <w:lang w:eastAsia="en-GB"/>
              </w:rPr>
              <w:t>Rainy season</w:t>
            </w:r>
          </w:p>
        </w:tc>
        <w:tc>
          <w:tcPr>
            <w:tcW w:w="1269" w:type="dxa"/>
          </w:tcPr>
          <w:p w14:paraId="74289DAD" w14:textId="77777777" w:rsidR="004371E3" w:rsidRPr="00615853" w:rsidRDefault="004371E3" w:rsidP="00615853">
            <w:pPr>
              <w:spacing w:after="0" w:line="240" w:lineRule="auto"/>
              <w:jc w:val="center"/>
              <w:rPr>
                <w:rFonts w:ascii="Times New Roman" w:hAnsi="Times New Roman" w:cs="Times New Roman"/>
                <w:sz w:val="20"/>
                <w:szCs w:val="20"/>
                <w:lang w:eastAsia="en-GB"/>
              </w:rPr>
            </w:pPr>
            <w:r w:rsidRPr="00615853">
              <w:rPr>
                <w:rFonts w:ascii="Times New Roman" w:hAnsi="Times New Roman" w:cs="Times New Roman"/>
                <w:sz w:val="20"/>
                <w:szCs w:val="20"/>
                <w:lang w:eastAsia="en-GB"/>
              </w:rPr>
              <w:t>4.0</w:t>
            </w:r>
          </w:p>
        </w:tc>
      </w:tr>
    </w:tbl>
    <w:p w14:paraId="0EE8A808" w14:textId="77777777" w:rsidR="004371E3" w:rsidRPr="00BE4AF3" w:rsidRDefault="004371E3" w:rsidP="004371E3">
      <w:pPr>
        <w:pStyle w:val="NoSpacing"/>
        <w:jc w:val="center"/>
        <w:rPr>
          <w:rFonts w:ascii="Times New Roman" w:hAnsi="Times New Roman" w:cs="Times New Roman"/>
          <w:sz w:val="24"/>
        </w:rPr>
      </w:pPr>
      <w:r w:rsidRPr="00BE4AF3">
        <w:rPr>
          <w:rFonts w:ascii="Times New Roman" w:hAnsi="Times New Roman" w:cs="Times New Roman"/>
          <w:sz w:val="24"/>
          <w:lang w:eastAsia="en-GB"/>
        </w:rPr>
        <w:t>Source: Field Survey, 2021</w:t>
      </w:r>
    </w:p>
    <w:p w14:paraId="1E9A3D45" w14:textId="77777777" w:rsidR="004371E3" w:rsidRPr="00BE4AF3" w:rsidRDefault="004371E3" w:rsidP="004371E3">
      <w:pPr>
        <w:spacing w:after="0" w:line="240" w:lineRule="auto"/>
        <w:jc w:val="both"/>
        <w:rPr>
          <w:rFonts w:ascii="Times New Roman" w:hAnsi="Times New Roman" w:cs="Times New Roman"/>
          <w:b/>
          <w:sz w:val="24"/>
          <w:szCs w:val="24"/>
        </w:rPr>
      </w:pPr>
    </w:p>
    <w:p w14:paraId="1E2D3292" w14:textId="77777777" w:rsidR="004371E3" w:rsidRPr="00BE4AF3" w:rsidRDefault="004371E3" w:rsidP="004371E3">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Conclusions</w:t>
      </w:r>
    </w:p>
    <w:p w14:paraId="46F9CED9" w14:textId="77777777" w:rsidR="004371E3" w:rsidRPr="00BE4AF3" w:rsidRDefault="004371E3" w:rsidP="00C316A1">
      <w:pPr>
        <w:spacing w:after="0" w:line="240" w:lineRule="auto"/>
        <w:rPr>
          <w:rFonts w:ascii="Times New Roman" w:hAnsi="Times New Roman" w:cs="Times New Roman"/>
          <w:bCs/>
          <w:sz w:val="24"/>
          <w:szCs w:val="24"/>
          <w:lang w:eastAsia="en-GB"/>
        </w:rPr>
      </w:pPr>
      <w:r w:rsidRPr="00BE4AF3">
        <w:rPr>
          <w:rFonts w:ascii="Times New Roman" w:hAnsi="Times New Roman" w:cs="Times New Roman"/>
          <w:bCs/>
          <w:sz w:val="24"/>
          <w:szCs w:val="24"/>
        </w:rPr>
        <w:t xml:space="preserve">The paper examined crime in public transport in AMAC. Findings from the study reveals that </w:t>
      </w:r>
      <w:r w:rsidRPr="00BE4AF3">
        <w:rPr>
          <w:rFonts w:ascii="Times New Roman" w:hAnsi="Times New Roman" w:cs="Times New Roman"/>
          <w:sz w:val="24"/>
          <w:szCs w:val="24"/>
        </w:rPr>
        <w:t>most of the respondents sometimes have fear of being victims of crime in public transport. Theft is the most common crime experienced by the respondents in public transit, followed by assault and battery, armed robbery, kidnapping, and rape/assault. Only few respondents had reported crime in public transit and, only few respondents knew the police emergency number. Most perceived crime hot spots are located at the peri-urban area, along transport corridor, on-transit, bus stops and road intersections. M</w:t>
      </w:r>
      <w:r w:rsidRPr="00BE4AF3">
        <w:rPr>
          <w:rFonts w:ascii="Times New Roman" w:hAnsi="Times New Roman" w:cs="Times New Roman"/>
          <w:bCs/>
          <w:sz w:val="24"/>
          <w:szCs w:val="24"/>
          <w:lang w:eastAsia="en-GB"/>
        </w:rPr>
        <w:t>ost of the crime occurs between 7pm and 12am (mid-night), and most of the crime occurs during festive periods.</w:t>
      </w:r>
    </w:p>
    <w:p w14:paraId="7881436E" w14:textId="77777777" w:rsidR="004371E3" w:rsidRPr="00BE4AF3" w:rsidRDefault="004371E3" w:rsidP="00C316A1">
      <w:pPr>
        <w:tabs>
          <w:tab w:val="left" w:pos="90"/>
          <w:tab w:val="left" w:pos="27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These findings suggest different steps that transit operators, passengers, drivers, community planners, and other policymakers can take proactively to reduce the severity of the problem. These include education of the public about safety tips on crimes associated to transit and travel pattern. Transit operators, drivers, passengers, police, and other responsible public agencies can instigate widespread educational campaign about crime in public transit. Such campaign, through adverts and posters on transit vehicles and in transit settings, can raise awareness about the problem and encourage victims and bystanders to report crime incidents. Also, there should be prompt deployment of law enforcement agencies along peri-urban areas, public places, bus stops and other crime hotspots. This would reduce the incidence of crime in public transit.  This should be match with locations of security checkpoints in some strategic locations and operate every hour for effective crime prevention. Furthermore, there is need to reduce overcrowding, especially mass </w:t>
      </w:r>
      <w:r w:rsidRPr="00BE4AF3">
        <w:rPr>
          <w:rFonts w:ascii="Times New Roman" w:hAnsi="Times New Roman" w:cs="Times New Roman"/>
          <w:sz w:val="24"/>
          <w:szCs w:val="24"/>
        </w:rPr>
        <w:lastRenderedPageBreak/>
        <w:t>transit buses. This would reduce the vulnerabilities of commuters, passengers and drivers to criminal attacks. Also, there should be installation of CCTV for surveillance along some strategic flash points of criminal activities. This would enhance the need to have real-time information on incidences of crime and enhance prompt deployment of security agencies for effective crime prevention and management. There is also the need for massive awareness across bus stops, public transits, commercial centres, religious centres and other public places on the toll-free number to call in case of emergency. This would enhance prompt response and deployment of law enforcement agencies for crime prevention and management.</w:t>
      </w:r>
    </w:p>
    <w:p w14:paraId="1204C2AF" w14:textId="77777777" w:rsidR="004371E3" w:rsidRPr="00BE4AF3" w:rsidRDefault="004371E3" w:rsidP="00C316A1">
      <w:pPr>
        <w:tabs>
          <w:tab w:val="left" w:pos="90"/>
          <w:tab w:val="left" w:pos="270"/>
        </w:tabs>
        <w:spacing w:after="0" w:line="240" w:lineRule="auto"/>
        <w:jc w:val="both"/>
        <w:rPr>
          <w:rFonts w:ascii="Times New Roman" w:hAnsi="Times New Roman" w:cs="Times New Roman"/>
          <w:b/>
          <w:sz w:val="24"/>
          <w:szCs w:val="24"/>
        </w:rPr>
      </w:pPr>
    </w:p>
    <w:p w14:paraId="5BAD6074" w14:textId="77777777" w:rsidR="004371E3" w:rsidRPr="00BE4AF3" w:rsidRDefault="004371E3" w:rsidP="004371E3">
      <w:pPr>
        <w:tabs>
          <w:tab w:val="left" w:pos="90"/>
          <w:tab w:val="left" w:pos="27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References</w:t>
      </w:r>
    </w:p>
    <w:p w14:paraId="255A3AC7" w14:textId="77777777" w:rsidR="004371E3" w:rsidRPr="00BE4AF3" w:rsidRDefault="004371E3" w:rsidP="00C316A1">
      <w:pPr>
        <w:pStyle w:val="NoSpacing"/>
        <w:ind w:left="720" w:hanging="720"/>
        <w:rPr>
          <w:rFonts w:ascii="Times New Roman" w:hAnsi="Times New Roman" w:cs="Times New Roman"/>
          <w:sz w:val="24"/>
        </w:rPr>
      </w:pPr>
      <w:r w:rsidRPr="00BE4AF3">
        <w:rPr>
          <w:rFonts w:ascii="Times New Roman" w:hAnsi="Times New Roman" w:cs="Times New Roman"/>
          <w:sz w:val="24"/>
        </w:rPr>
        <w:t xml:space="preserve">Adebayo, A. A. (2013). Social factors affecting effective crime prevention and control in </w:t>
      </w:r>
    </w:p>
    <w:p w14:paraId="028DD504" w14:textId="45912F0A" w:rsidR="004371E3" w:rsidRPr="00BE4AF3" w:rsidRDefault="004371E3" w:rsidP="00C316A1">
      <w:pPr>
        <w:pStyle w:val="NoSpacing"/>
        <w:ind w:left="720"/>
        <w:rPr>
          <w:rFonts w:ascii="Times New Roman" w:hAnsi="Times New Roman" w:cs="Times New Roman"/>
          <w:sz w:val="24"/>
        </w:rPr>
      </w:pPr>
      <w:r w:rsidRPr="00BE4AF3">
        <w:rPr>
          <w:rFonts w:ascii="Times New Roman" w:hAnsi="Times New Roman" w:cs="Times New Roman"/>
          <w:sz w:val="24"/>
        </w:rPr>
        <w:t xml:space="preserve">Nigeria. </w:t>
      </w:r>
      <w:r w:rsidRPr="00BE4AF3">
        <w:rPr>
          <w:rFonts w:ascii="Times New Roman" w:hAnsi="Times New Roman" w:cs="Times New Roman"/>
          <w:i/>
          <w:sz w:val="24"/>
        </w:rPr>
        <w:t>International Journal of Applied Sociology,</w:t>
      </w:r>
      <w:r w:rsidRPr="00BE4AF3">
        <w:rPr>
          <w:rFonts w:ascii="Times New Roman" w:hAnsi="Times New Roman" w:cs="Times New Roman"/>
          <w:iCs/>
          <w:sz w:val="24"/>
        </w:rPr>
        <w:t xml:space="preserve"> </w:t>
      </w:r>
      <w:r w:rsidRPr="00BE4AF3">
        <w:rPr>
          <w:rFonts w:ascii="Times New Roman" w:hAnsi="Times New Roman" w:cs="Times New Roman"/>
          <w:sz w:val="24"/>
        </w:rPr>
        <w:t>3(4): 71-75.</w:t>
      </w:r>
    </w:p>
    <w:p w14:paraId="1631A2D8" w14:textId="77777777" w:rsidR="004371E3" w:rsidRPr="00BE4AF3" w:rsidRDefault="004371E3" w:rsidP="00C316A1">
      <w:pPr>
        <w:pStyle w:val="NoSpacing"/>
        <w:ind w:left="720" w:hanging="720"/>
        <w:rPr>
          <w:rFonts w:ascii="Times New Roman" w:hAnsi="Times New Roman" w:cs="Times New Roman"/>
          <w:sz w:val="24"/>
        </w:rPr>
      </w:pPr>
      <w:r w:rsidRPr="00BE4AF3">
        <w:rPr>
          <w:rFonts w:ascii="Times New Roman" w:hAnsi="Times New Roman" w:cs="Times New Roman"/>
          <w:sz w:val="24"/>
        </w:rPr>
        <w:t xml:space="preserve">Ajayi, D.D. &amp; Ajayi, A.P. (2014). Trend Analysis of Crime Incidences and Crime Vulnerability </w:t>
      </w:r>
    </w:p>
    <w:p w14:paraId="0940E847" w14:textId="77777777" w:rsidR="004371E3" w:rsidRPr="00BE4AF3" w:rsidRDefault="004371E3" w:rsidP="00C316A1">
      <w:pPr>
        <w:pStyle w:val="NoSpacing"/>
        <w:ind w:left="720"/>
        <w:rPr>
          <w:rFonts w:ascii="Times New Roman" w:hAnsi="Times New Roman" w:cs="Times New Roman"/>
          <w:i/>
          <w:sz w:val="24"/>
        </w:rPr>
      </w:pPr>
      <w:r w:rsidRPr="00BE4AF3">
        <w:rPr>
          <w:rFonts w:ascii="Times New Roman" w:hAnsi="Times New Roman" w:cs="Times New Roman"/>
          <w:sz w:val="24"/>
        </w:rPr>
        <w:t xml:space="preserve">Differentials on Urban Transport Facilities in Ibadan. </w:t>
      </w:r>
      <w:r w:rsidRPr="00BE4AF3">
        <w:rPr>
          <w:rFonts w:ascii="Times New Roman" w:hAnsi="Times New Roman" w:cs="Times New Roman"/>
          <w:i/>
          <w:sz w:val="24"/>
        </w:rPr>
        <w:t xml:space="preserve">Journal of Intelligent   Transportation </w:t>
      </w:r>
    </w:p>
    <w:p w14:paraId="3385AB8A" w14:textId="6DC668DF" w:rsidR="004371E3" w:rsidRPr="00BE4AF3" w:rsidRDefault="004371E3" w:rsidP="00C316A1">
      <w:pPr>
        <w:pStyle w:val="NoSpacing"/>
        <w:ind w:left="720"/>
        <w:rPr>
          <w:rFonts w:ascii="Times New Roman" w:hAnsi="Times New Roman" w:cs="Times New Roman"/>
          <w:sz w:val="24"/>
        </w:rPr>
      </w:pPr>
      <w:r w:rsidRPr="00BE4AF3">
        <w:rPr>
          <w:rFonts w:ascii="Times New Roman" w:hAnsi="Times New Roman" w:cs="Times New Roman"/>
          <w:i/>
          <w:sz w:val="24"/>
        </w:rPr>
        <w:t>and Urban Planning,</w:t>
      </w:r>
      <w:r w:rsidRPr="00BE4AF3">
        <w:rPr>
          <w:rFonts w:ascii="Times New Roman" w:hAnsi="Times New Roman" w:cs="Times New Roman"/>
          <w:sz w:val="24"/>
        </w:rPr>
        <w:t xml:space="preserve"> </w:t>
      </w:r>
      <w:r w:rsidRPr="00BE4AF3">
        <w:rPr>
          <w:rFonts w:ascii="Times New Roman" w:hAnsi="Times New Roman" w:cs="Times New Roman"/>
          <w:iCs/>
          <w:sz w:val="24"/>
        </w:rPr>
        <w:t>2</w:t>
      </w:r>
      <w:r w:rsidRPr="00BE4AF3">
        <w:rPr>
          <w:rFonts w:ascii="Times New Roman" w:hAnsi="Times New Roman" w:cs="Times New Roman"/>
          <w:sz w:val="24"/>
        </w:rPr>
        <w:t>(2), 85-97.</w:t>
      </w:r>
    </w:p>
    <w:p w14:paraId="2A1289D4" w14:textId="77777777" w:rsidR="004371E3" w:rsidRPr="00BE4AF3" w:rsidRDefault="004371E3" w:rsidP="00C316A1">
      <w:pPr>
        <w:pStyle w:val="NoSpacing"/>
        <w:ind w:left="720" w:hanging="720"/>
        <w:rPr>
          <w:rFonts w:ascii="Times New Roman" w:hAnsi="Times New Roman" w:cs="Times New Roman"/>
          <w:sz w:val="24"/>
        </w:rPr>
      </w:pPr>
      <w:r w:rsidRPr="00BE4AF3">
        <w:rPr>
          <w:rFonts w:ascii="Times New Roman" w:hAnsi="Times New Roman" w:cs="Times New Roman"/>
          <w:sz w:val="24"/>
        </w:rPr>
        <w:t xml:space="preserve">Alemika, E &amp; Chukwuma, I. (2005). Criminal victimization and fear of crime in Lagos </w:t>
      </w:r>
    </w:p>
    <w:p w14:paraId="038793EA" w14:textId="6FB235D5" w:rsidR="004371E3" w:rsidRPr="00BE4AF3" w:rsidRDefault="004371E3" w:rsidP="00C316A1">
      <w:pPr>
        <w:pStyle w:val="NoSpacing"/>
        <w:ind w:left="720"/>
        <w:rPr>
          <w:rFonts w:ascii="Times New Roman" w:hAnsi="Times New Roman" w:cs="Times New Roman"/>
          <w:sz w:val="24"/>
        </w:rPr>
      </w:pPr>
      <w:r w:rsidRPr="00BE4AF3">
        <w:rPr>
          <w:rFonts w:ascii="Times New Roman" w:hAnsi="Times New Roman" w:cs="Times New Roman"/>
          <w:sz w:val="24"/>
        </w:rPr>
        <w:t xml:space="preserve">Metropolis, Nigeria. </w:t>
      </w:r>
      <w:r w:rsidRPr="00BE4AF3">
        <w:rPr>
          <w:rFonts w:ascii="Times New Roman" w:hAnsi="Times New Roman" w:cs="Times New Roman"/>
          <w:iCs/>
          <w:sz w:val="24"/>
        </w:rPr>
        <w:t>Clean Foundation Monograph Series, No1.</w:t>
      </w:r>
    </w:p>
    <w:p w14:paraId="03422797" w14:textId="77777777" w:rsidR="004371E3" w:rsidRPr="00BE4AF3" w:rsidRDefault="004371E3" w:rsidP="00C316A1">
      <w:pPr>
        <w:pStyle w:val="NoSpacing"/>
        <w:ind w:left="720" w:hanging="720"/>
        <w:rPr>
          <w:rFonts w:ascii="Times New Roman" w:hAnsi="Times New Roman" w:cs="Times New Roman"/>
          <w:sz w:val="24"/>
        </w:rPr>
      </w:pPr>
      <w:r w:rsidRPr="00BE4AF3">
        <w:rPr>
          <w:rFonts w:ascii="Times New Roman" w:hAnsi="Times New Roman" w:cs="Times New Roman"/>
          <w:sz w:val="24"/>
        </w:rPr>
        <w:t xml:space="preserve">Armitage, R. &amp; Joyce, C. (2017). Re-building Crime Prevention through Environmental </w:t>
      </w:r>
    </w:p>
    <w:p w14:paraId="3619BAEC" w14:textId="22C83247" w:rsidR="004371E3" w:rsidRPr="00BE4AF3" w:rsidRDefault="004371E3" w:rsidP="00C316A1">
      <w:pPr>
        <w:pStyle w:val="NoSpacing"/>
        <w:ind w:left="720"/>
        <w:rPr>
          <w:rFonts w:ascii="Times New Roman" w:hAnsi="Times New Roman" w:cs="Times New Roman"/>
          <w:sz w:val="24"/>
        </w:rPr>
      </w:pPr>
      <w:r w:rsidRPr="00BE4AF3">
        <w:rPr>
          <w:rFonts w:ascii="Times New Roman" w:hAnsi="Times New Roman" w:cs="Times New Roman"/>
          <w:sz w:val="24"/>
        </w:rPr>
        <w:t xml:space="preserve">Design (CPTED). </w:t>
      </w:r>
      <w:hyperlink r:id="rId111" w:history="1">
        <w:r w:rsidRPr="00BE4AF3">
          <w:rPr>
            <w:rStyle w:val="Hyperlink"/>
            <w:rFonts w:ascii="Times New Roman" w:hAnsi="Times New Roman" w:cs="Times New Roman"/>
            <w:sz w:val="24"/>
          </w:rPr>
          <w:t>http://eprints.hud.ac.uk/id/eprints/30335/</w:t>
        </w:r>
      </w:hyperlink>
    </w:p>
    <w:p w14:paraId="1424C17C" w14:textId="77777777" w:rsidR="004371E3" w:rsidRPr="00BE4AF3" w:rsidRDefault="004371E3" w:rsidP="00C316A1">
      <w:pPr>
        <w:pStyle w:val="NoSpacing"/>
        <w:ind w:left="720" w:hanging="720"/>
        <w:rPr>
          <w:rFonts w:ascii="Times New Roman" w:hAnsi="Times New Roman" w:cs="Times New Roman"/>
          <w:sz w:val="24"/>
        </w:rPr>
      </w:pPr>
      <w:r w:rsidRPr="00BE4AF3">
        <w:rPr>
          <w:rFonts w:ascii="Times New Roman" w:hAnsi="Times New Roman" w:cs="Times New Roman"/>
          <w:sz w:val="24"/>
        </w:rPr>
        <w:t xml:space="preserve">Asiyanbola R.A. (2003). “Gender, residential segregation, psychological well-being and </w:t>
      </w:r>
    </w:p>
    <w:p w14:paraId="0D80AC1B" w14:textId="753D980B" w:rsidR="004371E3" w:rsidRPr="00BE4AF3" w:rsidRDefault="004371E3" w:rsidP="00C316A1">
      <w:pPr>
        <w:pStyle w:val="NoSpacing"/>
        <w:ind w:left="720"/>
        <w:rPr>
          <w:rFonts w:ascii="Times New Roman" w:hAnsi="Times New Roman" w:cs="Times New Roman"/>
          <w:sz w:val="24"/>
        </w:rPr>
      </w:pPr>
      <w:r w:rsidRPr="00BE4AF3">
        <w:rPr>
          <w:rFonts w:ascii="Times New Roman" w:hAnsi="Times New Roman" w:cs="Times New Roman"/>
          <w:sz w:val="24"/>
        </w:rPr>
        <w:t xml:space="preserve">involvement in sustainable urban safety and security management in Ibadan city, Nigeria: a preliminary survey,” in E. Beriatos, C.A. Brebbia, H. Coccossis and A. Kungolos (eds.) </w:t>
      </w:r>
    </w:p>
    <w:p w14:paraId="577C28DB" w14:textId="56FEDE6C" w:rsidR="004371E3" w:rsidRPr="00BE4AF3" w:rsidRDefault="004371E3" w:rsidP="00C316A1">
      <w:pPr>
        <w:pStyle w:val="NoSpacing"/>
        <w:ind w:left="720"/>
        <w:rPr>
          <w:rFonts w:ascii="Times New Roman" w:hAnsi="Times New Roman" w:cs="Times New Roman"/>
          <w:sz w:val="24"/>
        </w:rPr>
      </w:pPr>
      <w:r w:rsidRPr="00BE4AF3">
        <w:rPr>
          <w:rFonts w:ascii="Times New Roman" w:hAnsi="Times New Roman" w:cs="Times New Roman"/>
          <w:i/>
          <w:sz w:val="24"/>
        </w:rPr>
        <w:t>Sustainable Planning and Development,</w:t>
      </w:r>
      <w:r w:rsidRPr="00BE4AF3">
        <w:rPr>
          <w:rFonts w:ascii="Times New Roman" w:hAnsi="Times New Roman" w:cs="Times New Roman"/>
          <w:iCs/>
          <w:sz w:val="24"/>
        </w:rPr>
        <w:t xml:space="preserve"> </w:t>
      </w:r>
      <w:r w:rsidRPr="00BE4AF3">
        <w:rPr>
          <w:rFonts w:ascii="Times New Roman" w:hAnsi="Times New Roman" w:cs="Times New Roman"/>
          <w:sz w:val="24"/>
        </w:rPr>
        <w:t>WIT Press: Southampton, UK, pp. 403-413</w:t>
      </w:r>
    </w:p>
    <w:p w14:paraId="51384C33"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Asiyanbola A.R. &amp; Ayeolowo, S.D. (2019). Urban Crime and Insecurity: A study of Olodi </w:t>
      </w:r>
    </w:p>
    <w:p w14:paraId="050C1FC6" w14:textId="5FE2A754" w:rsidR="004371E3" w:rsidRPr="00BE4AF3" w:rsidRDefault="004371E3" w:rsidP="00C316A1">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rPr>
        <w:t>Apapa Local Government Area, Lagos, Nigeria. Osun State University Osogbo Book of Proceedings of the 1</w:t>
      </w:r>
      <w:r w:rsidRPr="00BE4AF3">
        <w:rPr>
          <w:rFonts w:ascii="Times New Roman" w:hAnsi="Times New Roman" w:cs="Times New Roman"/>
          <w:sz w:val="24"/>
          <w:szCs w:val="24"/>
          <w:vertAlign w:val="superscript"/>
        </w:rPr>
        <w:t>st</w:t>
      </w:r>
      <w:r w:rsidRPr="00BE4AF3">
        <w:rPr>
          <w:rFonts w:ascii="Times New Roman" w:hAnsi="Times New Roman" w:cs="Times New Roman"/>
          <w:sz w:val="24"/>
          <w:szCs w:val="24"/>
        </w:rPr>
        <w:t xml:space="preserve"> International Conference in Engineering and Environmental Sciences. pp.1006-101</w:t>
      </w:r>
    </w:p>
    <w:p w14:paraId="3D2B9FB5"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Brantingham, P. &amp; Brantingham, P. (2008). Crime Pattern Theory. In Wortley, R., and </w:t>
      </w:r>
    </w:p>
    <w:p w14:paraId="45AEF477" w14:textId="742961D8" w:rsidR="004371E3" w:rsidRPr="00BE4AF3" w:rsidRDefault="004371E3" w:rsidP="00C316A1">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rPr>
        <w:t xml:space="preserve">Mazzerole, L (eds). </w:t>
      </w:r>
      <w:r w:rsidRPr="00BE4AF3">
        <w:rPr>
          <w:rFonts w:ascii="Times New Roman" w:hAnsi="Times New Roman" w:cs="Times New Roman"/>
          <w:i/>
          <w:sz w:val="24"/>
          <w:szCs w:val="24"/>
        </w:rPr>
        <w:t>Environmental Criminology and Crime Analysis</w:t>
      </w:r>
      <w:r w:rsidRPr="00BE4AF3">
        <w:rPr>
          <w:rFonts w:ascii="Times New Roman" w:hAnsi="Times New Roman" w:cs="Times New Roman"/>
          <w:iCs/>
          <w:sz w:val="24"/>
          <w:szCs w:val="24"/>
        </w:rPr>
        <w:t xml:space="preserve">. </w:t>
      </w:r>
      <w:r w:rsidRPr="00BE4AF3">
        <w:rPr>
          <w:rFonts w:ascii="Times New Roman" w:hAnsi="Times New Roman" w:cs="Times New Roman"/>
          <w:sz w:val="24"/>
          <w:szCs w:val="24"/>
        </w:rPr>
        <w:t>Willan publishing, Cullompton</w:t>
      </w:r>
    </w:p>
    <w:p w14:paraId="63E56054"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Burrell, A. (2007). </w:t>
      </w:r>
      <w:r w:rsidRPr="00BE4AF3">
        <w:rPr>
          <w:rFonts w:ascii="Times New Roman" w:hAnsi="Times New Roman" w:cs="Times New Roman"/>
          <w:iCs/>
          <w:sz w:val="24"/>
          <w:szCs w:val="24"/>
        </w:rPr>
        <w:t>Violence on and around public transport</w:t>
      </w:r>
      <w:r w:rsidRPr="00BE4AF3">
        <w:rPr>
          <w:rFonts w:ascii="Times New Roman" w:hAnsi="Times New Roman" w:cs="Times New Roman"/>
          <w:sz w:val="24"/>
          <w:szCs w:val="24"/>
        </w:rPr>
        <w:t xml:space="preserve">. JDI Crime Science Laboratory,  </w:t>
      </w:r>
    </w:p>
    <w:p w14:paraId="265446A8" w14:textId="729B95AD" w:rsidR="004371E3" w:rsidRPr="00BE4AF3" w:rsidRDefault="004371E3" w:rsidP="00C316A1">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sz w:val="24"/>
          <w:szCs w:val="24"/>
        </w:rPr>
        <w:t>UCL Publication series.</w:t>
      </w:r>
    </w:p>
    <w:p w14:paraId="0A275EFF"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Ceccato, Vania, &amp; Y. Paz (2017). Crime in São Paulo’s Metro System: Sexual Crimes against </w:t>
      </w:r>
    </w:p>
    <w:p w14:paraId="35282AE4" w14:textId="55C9F194" w:rsidR="004371E3" w:rsidRPr="00BE4AF3" w:rsidRDefault="004371E3" w:rsidP="00C316A1">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sz w:val="24"/>
          <w:szCs w:val="24"/>
        </w:rPr>
        <w:t xml:space="preserve">Women. </w:t>
      </w:r>
      <w:r w:rsidRPr="00BE4AF3">
        <w:rPr>
          <w:rFonts w:ascii="Times New Roman" w:hAnsi="Times New Roman" w:cs="Times New Roman"/>
          <w:i/>
          <w:sz w:val="24"/>
          <w:szCs w:val="24"/>
        </w:rPr>
        <w:t>Crime Prevention and Community Safety</w:t>
      </w:r>
      <w:r w:rsidRPr="00BE4AF3">
        <w:rPr>
          <w:rFonts w:ascii="Times New Roman" w:hAnsi="Times New Roman" w:cs="Times New Roman"/>
          <w:iCs/>
          <w:sz w:val="24"/>
          <w:szCs w:val="24"/>
        </w:rPr>
        <w:t xml:space="preserve"> </w:t>
      </w:r>
      <w:r w:rsidRPr="00BE4AF3">
        <w:rPr>
          <w:rFonts w:ascii="Times New Roman" w:hAnsi="Times New Roman" w:cs="Times New Roman"/>
          <w:sz w:val="24"/>
          <w:szCs w:val="24"/>
        </w:rPr>
        <w:t>19(3), pp 211–226.</w:t>
      </w:r>
    </w:p>
    <w:p w14:paraId="610240BF"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Clarke, R.V. &amp; Eck, J. (2005). </w:t>
      </w:r>
      <w:r w:rsidRPr="00BE4AF3">
        <w:rPr>
          <w:rFonts w:ascii="Times New Roman" w:hAnsi="Times New Roman" w:cs="Times New Roman"/>
          <w:iCs/>
          <w:sz w:val="24"/>
          <w:szCs w:val="24"/>
        </w:rPr>
        <w:t>Become a Problem-solving Crime Analyst</w:t>
      </w:r>
      <w:r w:rsidRPr="00BE4AF3">
        <w:rPr>
          <w:rFonts w:ascii="Times New Roman" w:hAnsi="Times New Roman" w:cs="Times New Roman"/>
          <w:sz w:val="24"/>
          <w:szCs w:val="24"/>
        </w:rPr>
        <w:t xml:space="preserve">. London: Jill </w:t>
      </w:r>
    </w:p>
    <w:p w14:paraId="37A49AC6" w14:textId="0AE7C837" w:rsidR="004371E3" w:rsidRPr="00BE4AF3" w:rsidRDefault="004371E3" w:rsidP="00C316A1">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sz w:val="24"/>
          <w:szCs w:val="24"/>
        </w:rPr>
        <w:t>Dando Institute of Crime Science.</w:t>
      </w:r>
    </w:p>
    <w:p w14:paraId="40D274EC" w14:textId="77777777" w:rsidR="004371E3" w:rsidRPr="00BE4AF3" w:rsidRDefault="004371E3" w:rsidP="00C316A1">
      <w:pPr>
        <w:spacing w:after="0" w:line="240" w:lineRule="auto"/>
        <w:jc w:val="both"/>
        <w:rPr>
          <w:rFonts w:ascii="Times New Roman" w:hAnsi="Times New Roman" w:cs="Times New Roman"/>
          <w:iCs/>
          <w:sz w:val="24"/>
          <w:szCs w:val="24"/>
        </w:rPr>
      </w:pPr>
      <w:r w:rsidRPr="00BE4AF3">
        <w:rPr>
          <w:rFonts w:ascii="Times New Roman" w:hAnsi="Times New Roman" w:cs="Times New Roman"/>
          <w:sz w:val="24"/>
          <w:szCs w:val="24"/>
        </w:rPr>
        <w:t xml:space="preserve">Clifton, D. (2009). Security and a Sustainable World. </w:t>
      </w:r>
      <w:r w:rsidRPr="00BE4AF3">
        <w:rPr>
          <w:rFonts w:ascii="Times New Roman" w:hAnsi="Times New Roman" w:cs="Times New Roman"/>
          <w:i/>
          <w:sz w:val="24"/>
          <w:szCs w:val="24"/>
        </w:rPr>
        <w:t>Journal of Sustainable Development.</w:t>
      </w:r>
      <w:r w:rsidRPr="00BE4AF3">
        <w:rPr>
          <w:rFonts w:ascii="Times New Roman" w:hAnsi="Times New Roman" w:cs="Times New Roman"/>
          <w:iCs/>
          <w:sz w:val="24"/>
          <w:szCs w:val="24"/>
        </w:rPr>
        <w:t xml:space="preserve"> </w:t>
      </w:r>
    </w:p>
    <w:p w14:paraId="74084FB4" w14:textId="3F458B9D" w:rsidR="004371E3" w:rsidRPr="00BE4AF3" w:rsidRDefault="004371E3" w:rsidP="00C316A1">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iCs/>
          <w:sz w:val="24"/>
          <w:szCs w:val="24"/>
        </w:rPr>
        <w:t xml:space="preserve">Sage Publications. </w:t>
      </w:r>
      <w:r w:rsidRPr="00BE4AF3">
        <w:rPr>
          <w:rFonts w:ascii="Times New Roman" w:hAnsi="Times New Roman" w:cs="Times New Roman"/>
          <w:sz w:val="24"/>
          <w:szCs w:val="24"/>
        </w:rPr>
        <w:t xml:space="preserve"> Vol.2 No 3.</w:t>
      </w:r>
    </w:p>
    <w:p w14:paraId="7DE692BD"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Cozen, P. (2014). Think Crime! Using Evidence, Theory and Crime Prevention Through </w:t>
      </w:r>
    </w:p>
    <w:p w14:paraId="1DE753C2" w14:textId="6A09DF7F" w:rsidR="004371E3" w:rsidRPr="00BE4AF3" w:rsidRDefault="004371E3" w:rsidP="00C316A1">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sz w:val="24"/>
          <w:szCs w:val="24"/>
        </w:rPr>
        <w:t>Environmental Design For Planning Safer Cities. (CPTED). Curtis University</w:t>
      </w:r>
    </w:p>
    <w:p w14:paraId="4E84F844"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Crime Concern (2004). People’s Perceptions of Personal Security and Their Concerns about </w:t>
      </w:r>
    </w:p>
    <w:p w14:paraId="38B731F1" w14:textId="17D006B2" w:rsidR="004371E3" w:rsidRPr="00BE4AF3" w:rsidRDefault="004371E3" w:rsidP="00C316A1">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rPr>
        <w:t>Crime on Public Transport.” London: Department for Transport, Mineta Transportation Institute.</w:t>
      </w:r>
    </w:p>
    <w:p w14:paraId="6703CAFB"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Delbosc, Alexa, &amp; Graham Currie (2011). Modelling the causes and consequences of </w:t>
      </w:r>
    </w:p>
    <w:p w14:paraId="6297F9C4" w14:textId="229DA24C" w:rsidR="004371E3" w:rsidRPr="00BE4AF3" w:rsidRDefault="004371E3" w:rsidP="00C316A1">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rPr>
        <w:lastRenderedPageBreak/>
        <w:t xml:space="preserve">perceptions of personal safety on public transport ridership." Australian Transport Reasearch Forum. Adelaide, Australia: </w:t>
      </w:r>
      <w:hyperlink r:id="rId112" w:history="1">
        <w:r w:rsidRPr="00BE4AF3">
          <w:rPr>
            <w:rStyle w:val="Hyperlink"/>
            <w:rFonts w:ascii="Times New Roman" w:hAnsi="Times New Roman" w:cs="Times New Roman"/>
            <w:sz w:val="24"/>
            <w:szCs w:val="24"/>
          </w:rPr>
          <w:t>http://www.patrec.org/atrf.aspx</w:t>
        </w:r>
      </w:hyperlink>
      <w:r w:rsidRPr="00BE4AF3">
        <w:rPr>
          <w:rFonts w:ascii="Times New Roman" w:hAnsi="Times New Roman" w:cs="Times New Roman"/>
          <w:sz w:val="24"/>
          <w:szCs w:val="24"/>
        </w:rPr>
        <w:t>.</w:t>
      </w:r>
    </w:p>
    <w:p w14:paraId="7B55C365"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Dragu, V., Roman, E. &amp; Roman, V. (2013). Quality assessment in urban public transport. </w:t>
      </w:r>
    </w:p>
    <w:p w14:paraId="4331356D" w14:textId="146809F7" w:rsidR="004371E3" w:rsidRPr="00BE4AF3" w:rsidRDefault="004371E3" w:rsidP="00C316A1">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i/>
          <w:iCs/>
          <w:sz w:val="24"/>
          <w:szCs w:val="24"/>
        </w:rPr>
        <w:t>Theoretical and Empirical Research in Urban Management</w:t>
      </w:r>
      <w:r w:rsidRPr="00BE4AF3">
        <w:rPr>
          <w:rFonts w:ascii="Times New Roman" w:hAnsi="Times New Roman" w:cs="Times New Roman"/>
          <w:sz w:val="24"/>
          <w:szCs w:val="24"/>
        </w:rPr>
        <w:t>, 8(3), 32-43.</w:t>
      </w:r>
    </w:p>
    <w:p w14:paraId="51DB6379"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ECMT (2003). Safe and Sustainable Transport: A Matter of Quality Assurance. European </w:t>
      </w:r>
    </w:p>
    <w:p w14:paraId="2B1CF5BA" w14:textId="7652FFBA" w:rsidR="004371E3" w:rsidRPr="00BE4AF3" w:rsidRDefault="004371E3" w:rsidP="00C316A1">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sz w:val="24"/>
          <w:szCs w:val="24"/>
        </w:rPr>
        <w:t>Conference of Ministers of Transport (ECMT) 2002, OECD Publications France. P.5</w:t>
      </w:r>
    </w:p>
    <w:p w14:paraId="110BBAB6"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Ekblom, P. (2011). Deconstructing CPTE and reconstructing it for practice, knowledge </w:t>
      </w:r>
    </w:p>
    <w:p w14:paraId="3B1A15E1" w14:textId="692968D8" w:rsidR="004371E3" w:rsidRPr="00BE4AF3" w:rsidRDefault="004371E3" w:rsidP="00C316A1">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rPr>
        <w:t xml:space="preserve">management and research. </w:t>
      </w:r>
      <w:r w:rsidRPr="00BE4AF3">
        <w:rPr>
          <w:rFonts w:ascii="Times New Roman" w:hAnsi="Times New Roman" w:cs="Times New Roman"/>
          <w:i/>
          <w:iCs/>
          <w:sz w:val="24"/>
          <w:szCs w:val="24"/>
        </w:rPr>
        <w:t>European Journal on Criminal Policy and Research,</w:t>
      </w:r>
      <w:r w:rsidRPr="00BE4AF3">
        <w:rPr>
          <w:rFonts w:ascii="Times New Roman" w:hAnsi="Times New Roman" w:cs="Times New Roman"/>
          <w:sz w:val="24"/>
          <w:szCs w:val="24"/>
        </w:rPr>
        <w:t xml:space="preserve"> 17, 7-28.</w:t>
      </w:r>
    </w:p>
    <w:p w14:paraId="72C62876" w14:textId="77777777" w:rsidR="004371E3" w:rsidRPr="00BE4AF3" w:rsidRDefault="004371E3" w:rsidP="00C316A1">
      <w:pPr>
        <w:spacing w:after="0" w:line="240" w:lineRule="auto"/>
        <w:jc w:val="both"/>
        <w:rPr>
          <w:rFonts w:ascii="Times New Roman" w:hAnsi="Times New Roman" w:cs="Times New Roman"/>
          <w:iCs/>
          <w:sz w:val="24"/>
          <w:szCs w:val="24"/>
        </w:rPr>
      </w:pPr>
      <w:r w:rsidRPr="00BE4AF3">
        <w:rPr>
          <w:rFonts w:ascii="Times New Roman" w:hAnsi="Times New Roman" w:cs="Times New Roman"/>
          <w:sz w:val="24"/>
          <w:szCs w:val="24"/>
        </w:rPr>
        <w:t>Ewetan O.O. &amp; Urhie E. (2014), Insecurity and socio-economic development in Nigeria</w:t>
      </w:r>
      <w:r w:rsidRPr="00BE4AF3">
        <w:rPr>
          <w:rFonts w:ascii="Times New Roman" w:hAnsi="Times New Roman" w:cs="Times New Roman"/>
          <w:iCs/>
          <w:sz w:val="24"/>
          <w:szCs w:val="24"/>
        </w:rPr>
        <w:t xml:space="preserve">. </w:t>
      </w:r>
    </w:p>
    <w:p w14:paraId="4013AFEA" w14:textId="74A8246C" w:rsidR="004371E3" w:rsidRPr="00BE4AF3" w:rsidRDefault="004371E3" w:rsidP="00C316A1">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i/>
          <w:sz w:val="24"/>
          <w:szCs w:val="24"/>
        </w:rPr>
        <w:t>Journal of Sustainable Development Studies,</w:t>
      </w:r>
      <w:r w:rsidRPr="00BE4AF3">
        <w:rPr>
          <w:rFonts w:ascii="Times New Roman" w:hAnsi="Times New Roman" w:cs="Times New Roman"/>
          <w:iCs/>
          <w:sz w:val="24"/>
          <w:szCs w:val="24"/>
        </w:rPr>
        <w:t xml:space="preserve"> </w:t>
      </w:r>
      <w:r w:rsidRPr="00BE4AF3">
        <w:rPr>
          <w:rFonts w:ascii="Times New Roman" w:hAnsi="Times New Roman" w:cs="Times New Roman"/>
          <w:sz w:val="24"/>
          <w:szCs w:val="24"/>
        </w:rPr>
        <w:t>5(1): 40-63.</w:t>
      </w:r>
    </w:p>
    <w:p w14:paraId="4E506CFD" w14:textId="77777777" w:rsidR="004371E3" w:rsidRPr="00BE4AF3" w:rsidRDefault="004371E3" w:rsidP="00C316A1">
      <w:pPr>
        <w:spacing w:after="0" w:line="240" w:lineRule="auto"/>
        <w:jc w:val="both"/>
        <w:rPr>
          <w:rFonts w:ascii="Times New Roman" w:hAnsi="Times New Roman" w:cs="Times New Roman"/>
          <w:iCs/>
          <w:sz w:val="24"/>
          <w:szCs w:val="24"/>
        </w:rPr>
      </w:pPr>
      <w:r w:rsidRPr="00BE4AF3">
        <w:rPr>
          <w:rFonts w:ascii="Times New Roman" w:hAnsi="Times New Roman" w:cs="Times New Roman"/>
          <w:sz w:val="24"/>
          <w:szCs w:val="24"/>
        </w:rPr>
        <w:t xml:space="preserve">Fadare, S. &amp; Oduwaye, A. (2009). Rebranding Lagos through regeneration. </w:t>
      </w:r>
      <w:r w:rsidRPr="00BE4AF3">
        <w:rPr>
          <w:rFonts w:ascii="Times New Roman" w:hAnsi="Times New Roman" w:cs="Times New Roman"/>
          <w:iCs/>
          <w:sz w:val="24"/>
          <w:szCs w:val="24"/>
        </w:rPr>
        <w:t xml:space="preserve">Real Corp 2009 </w:t>
      </w:r>
    </w:p>
    <w:p w14:paraId="75F47FDA" w14:textId="718A2A09" w:rsidR="004371E3" w:rsidRPr="00BE4AF3" w:rsidRDefault="004371E3" w:rsidP="00C316A1">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iCs/>
          <w:sz w:val="24"/>
          <w:szCs w:val="24"/>
        </w:rPr>
        <w:t>Book of Proceedings</w:t>
      </w:r>
      <w:r w:rsidRPr="00BE4AF3">
        <w:rPr>
          <w:rFonts w:ascii="Times New Roman" w:hAnsi="Times New Roman" w:cs="Times New Roman"/>
          <w:sz w:val="24"/>
          <w:szCs w:val="24"/>
        </w:rPr>
        <w:t xml:space="preserve"> Tagungsband</w:t>
      </w:r>
    </w:p>
    <w:p w14:paraId="3FD9BB37"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Gekoski, A., Jacqueline, M. G., Joanna, R.A. and Miranda A.H.H. (2015). ‘What Works’ in </w:t>
      </w:r>
    </w:p>
    <w:p w14:paraId="7AEBE4D1" w14:textId="5C7B7D33" w:rsidR="004371E3" w:rsidRPr="00BE4AF3" w:rsidRDefault="004371E3" w:rsidP="00C316A1">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rPr>
        <w:t>Reducing Sexual Harassment and Sexual Offences on Public Transport Nationally and Internationally: A Rapid Evidence Assessment. London: Middlesex University London.</w:t>
      </w:r>
    </w:p>
    <w:p w14:paraId="46B62993"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Gomez, L. (2000). Gender Analysis of Two Components of the World Bank Transport </w:t>
      </w:r>
    </w:p>
    <w:p w14:paraId="3D47C0A0" w14:textId="087EF6F5" w:rsidR="004371E3" w:rsidRPr="00BE4AF3" w:rsidRDefault="004371E3" w:rsidP="00C316A1">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sz w:val="24"/>
          <w:szCs w:val="24"/>
        </w:rPr>
        <w:t>Projects in Lima, Peru: Bike paths and Bus ways. America, World Bank.</w:t>
      </w:r>
    </w:p>
    <w:p w14:paraId="4533B9D1" w14:textId="09D4B7ED"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India, Delhi Report (2012). Gang rape in a Delhi bus in 2012.</w:t>
      </w:r>
    </w:p>
    <w:p w14:paraId="6C6C5A9E"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Iveson, D. (2018). ‘Chart Our Destiny’ Opines in the city’s course. Edmonton Journal, 24, </w:t>
      </w:r>
    </w:p>
    <w:p w14:paraId="2E0B4FBB" w14:textId="40A0A4F0" w:rsidR="004371E3" w:rsidRPr="00BE4AF3" w:rsidRDefault="004371E3" w:rsidP="00C316A1">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sz w:val="24"/>
          <w:szCs w:val="24"/>
        </w:rPr>
        <w:t>2018.</w:t>
      </w:r>
    </w:p>
    <w:p w14:paraId="02FE8ECE"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Kinney, J. B., Brantingham, P. L., Wuschke, K., Kirk, M. G., &amp; Brantingham, P. J. (2008). </w:t>
      </w:r>
    </w:p>
    <w:p w14:paraId="2D380C22" w14:textId="6DE45A9C" w:rsidR="004371E3" w:rsidRPr="00BE4AF3" w:rsidRDefault="004371E3" w:rsidP="00C316A1">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rPr>
        <w:t xml:space="preserve">Crime attractors, generators and detractors: Land use and urban crime opportunities. </w:t>
      </w:r>
      <w:r w:rsidRPr="00BE4AF3">
        <w:rPr>
          <w:rFonts w:ascii="Times New Roman" w:hAnsi="Times New Roman" w:cs="Times New Roman"/>
          <w:i/>
          <w:iCs/>
          <w:sz w:val="24"/>
          <w:szCs w:val="24"/>
        </w:rPr>
        <w:t>Built Environment</w:t>
      </w:r>
      <w:r w:rsidRPr="00BE4AF3">
        <w:rPr>
          <w:rFonts w:ascii="Times New Roman" w:hAnsi="Times New Roman" w:cs="Times New Roman"/>
          <w:sz w:val="24"/>
          <w:szCs w:val="24"/>
        </w:rPr>
        <w:t>, 34(1), 62–74.</w:t>
      </w:r>
    </w:p>
    <w:p w14:paraId="5A3645CC"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Odufuwa, B. (2011). Gender perspectives of crimes in public transport in metropolitan Lagos, </w:t>
      </w:r>
    </w:p>
    <w:p w14:paraId="4EF2CA97" w14:textId="6C750130" w:rsidR="004371E3" w:rsidRPr="00BE4AF3" w:rsidRDefault="004371E3" w:rsidP="00C316A1">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rPr>
        <w:t xml:space="preserve">Nigeria. </w:t>
      </w:r>
      <w:r w:rsidRPr="00BE4AF3">
        <w:rPr>
          <w:rFonts w:ascii="Times New Roman" w:hAnsi="Times New Roman" w:cs="Times New Roman"/>
          <w:iCs/>
          <w:sz w:val="24"/>
          <w:szCs w:val="24"/>
        </w:rPr>
        <w:t xml:space="preserve">An Unpublished PhD Post Field Report </w:t>
      </w:r>
      <w:r w:rsidRPr="00BE4AF3">
        <w:rPr>
          <w:rFonts w:ascii="Times New Roman" w:hAnsi="Times New Roman" w:cs="Times New Roman"/>
          <w:sz w:val="24"/>
          <w:szCs w:val="24"/>
        </w:rPr>
        <w:t>of Department of Urban and Regional Planning, University of Ibadan, Nigeria.</w:t>
      </w:r>
    </w:p>
    <w:p w14:paraId="5352F3EC"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Olojede, O.A (2019).  The Hell-Bound Bandwagon: Train Rooftop Riding in Lagos </w:t>
      </w:r>
    </w:p>
    <w:p w14:paraId="1AE578BD" w14:textId="5FBB8BA4" w:rsidR="004371E3" w:rsidRPr="00BE4AF3" w:rsidRDefault="004371E3" w:rsidP="00C316A1">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sz w:val="24"/>
          <w:szCs w:val="24"/>
        </w:rPr>
        <w:t>Metropolis, Nigeria. ResearchGate</w:t>
      </w:r>
    </w:p>
    <w:p w14:paraId="7055B9EF"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Otu, D. (2017). Safety Challenges at the Motor Parks: a case of the Nigerian ‘Agberos’. </w:t>
      </w:r>
    </w:p>
    <w:p w14:paraId="39F602DE" w14:textId="38E90080" w:rsidR="004371E3" w:rsidRPr="00BE4AF3" w:rsidRDefault="004371E3" w:rsidP="00C316A1">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i/>
          <w:iCs/>
          <w:sz w:val="24"/>
          <w:szCs w:val="24"/>
        </w:rPr>
        <w:t>Asian Research Journal of Arts and Social Science</w:t>
      </w:r>
      <w:r w:rsidRPr="00BE4AF3">
        <w:rPr>
          <w:rFonts w:ascii="Times New Roman" w:hAnsi="Times New Roman" w:cs="Times New Roman"/>
          <w:sz w:val="24"/>
          <w:szCs w:val="24"/>
        </w:rPr>
        <w:t>. 4(2), 1-20, 2017.</w:t>
      </w:r>
    </w:p>
    <w:p w14:paraId="2DD8C562"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Sarkar, S. M., &amp; Partheeban, P. (2011). Abandon all Hope, Ye Who Enter Here: </w:t>
      </w:r>
    </w:p>
    <w:p w14:paraId="0B0A55E7" w14:textId="5DC4F3E2" w:rsidR="004371E3" w:rsidRPr="00BE4AF3" w:rsidRDefault="004371E3" w:rsidP="00C316A1">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rPr>
        <w:t>understanding the problems of “Eve teasing” in Chennai, India. Fear of victimization and Crime are important Concerns of Women in Cities around the World. Transportation research Board Conference proceeding 2(46), 19.</w:t>
      </w:r>
    </w:p>
    <w:p w14:paraId="268E3A7D"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Sham, R., Omar., N. &amp; Amat, D. W. (2013). Women and Crime in Central Business District. </w:t>
      </w:r>
    </w:p>
    <w:p w14:paraId="2EBE5B5E" w14:textId="67CD0695" w:rsidR="004371E3" w:rsidRPr="00BE4AF3" w:rsidRDefault="004371E3" w:rsidP="00C316A1">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i/>
          <w:iCs/>
          <w:sz w:val="24"/>
          <w:szCs w:val="24"/>
        </w:rPr>
        <w:t>Asia Behavioral Studies,</w:t>
      </w:r>
      <w:r w:rsidRPr="00BE4AF3">
        <w:rPr>
          <w:rFonts w:ascii="Times New Roman" w:hAnsi="Times New Roman" w:cs="Times New Roman"/>
          <w:sz w:val="24"/>
          <w:szCs w:val="24"/>
        </w:rPr>
        <w:t xml:space="preserve"> 3,1-12.</w:t>
      </w:r>
    </w:p>
    <w:p w14:paraId="57C3F578"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Weisburd, D., Groff, E. R., &amp; Yang, S.M. (2012). The criminology of Place: Street segments </w:t>
      </w:r>
    </w:p>
    <w:p w14:paraId="6CCD0267" w14:textId="3F826808" w:rsidR="004371E3" w:rsidRPr="00BE4AF3" w:rsidRDefault="004371E3" w:rsidP="00C316A1">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sz w:val="24"/>
          <w:szCs w:val="24"/>
        </w:rPr>
        <w:t>and our understanding of the crime problem. Oxford University Press.</w:t>
      </w:r>
    </w:p>
    <w:p w14:paraId="0FE214CB" w14:textId="77777777" w:rsidR="004371E3" w:rsidRPr="00BE4AF3" w:rsidRDefault="004371E3" w:rsidP="00C316A1">
      <w:pPr>
        <w:spacing w:after="0" w:line="240" w:lineRule="auto"/>
        <w:jc w:val="both"/>
        <w:rPr>
          <w:rFonts w:ascii="Times New Roman" w:hAnsi="Times New Roman" w:cs="Times New Roman"/>
          <w:bCs/>
          <w:sz w:val="24"/>
          <w:szCs w:val="24"/>
        </w:rPr>
      </w:pPr>
      <w:r w:rsidRPr="00BE4AF3">
        <w:rPr>
          <w:rFonts w:ascii="Times New Roman" w:hAnsi="Times New Roman" w:cs="Times New Roman"/>
          <w:sz w:val="24"/>
          <w:szCs w:val="24"/>
        </w:rPr>
        <w:t xml:space="preserve">Wojuade, C. A., &amp; Badiora. A.I. (2017). </w:t>
      </w:r>
      <w:r w:rsidRPr="00BE4AF3">
        <w:rPr>
          <w:rFonts w:ascii="Times New Roman" w:hAnsi="Times New Roman" w:cs="Times New Roman"/>
          <w:bCs/>
          <w:sz w:val="24"/>
          <w:szCs w:val="24"/>
        </w:rPr>
        <w:t xml:space="preserve">Designing out Crime at Bus Terminals in Nigeria: </w:t>
      </w:r>
    </w:p>
    <w:p w14:paraId="2F4E7FFB" w14:textId="08DDD5F3" w:rsidR="004371E3" w:rsidRPr="00BE4AF3" w:rsidRDefault="004371E3" w:rsidP="00C316A1">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bCs/>
          <w:sz w:val="24"/>
          <w:szCs w:val="24"/>
        </w:rPr>
        <w:t xml:space="preserve">An Exploratory Analysis. </w:t>
      </w:r>
      <w:r w:rsidRPr="00BE4AF3">
        <w:rPr>
          <w:rFonts w:ascii="Times New Roman" w:hAnsi="Times New Roman" w:cs="Times New Roman"/>
          <w:bCs/>
          <w:i/>
          <w:iCs/>
          <w:sz w:val="24"/>
          <w:szCs w:val="24"/>
        </w:rPr>
        <w:t xml:space="preserve">Journal </w:t>
      </w:r>
      <w:r w:rsidRPr="00BE4AF3">
        <w:rPr>
          <w:rFonts w:ascii="Times New Roman" w:hAnsi="Times New Roman" w:cs="Times New Roman"/>
          <w:i/>
          <w:iCs/>
          <w:sz w:val="24"/>
          <w:szCs w:val="24"/>
        </w:rPr>
        <w:t>of Social Research.</w:t>
      </w:r>
      <w:r w:rsidRPr="00BE4AF3">
        <w:rPr>
          <w:rFonts w:ascii="Times New Roman" w:hAnsi="Times New Roman" w:cs="Times New Roman"/>
          <w:sz w:val="24"/>
          <w:szCs w:val="24"/>
        </w:rPr>
        <w:t xml:space="preserve"> 1(2), 2017</w:t>
      </w:r>
    </w:p>
    <w:p w14:paraId="52B9B221" w14:textId="416572FD"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World Bank (2015). World Report Human Right Watch.</w:t>
      </w:r>
    </w:p>
    <w:p w14:paraId="38F370BC"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World Bank (2002). Urban Transport Safety and Security, Cities on the Move: A World Bank </w:t>
      </w:r>
    </w:p>
    <w:p w14:paraId="0D7173C4" w14:textId="6BF93816" w:rsidR="004371E3" w:rsidRPr="00BE4AF3" w:rsidRDefault="004371E3" w:rsidP="00C316A1">
      <w:pPr>
        <w:spacing w:after="0" w:line="240" w:lineRule="auto"/>
        <w:ind w:left="567"/>
        <w:jc w:val="both"/>
        <w:rPr>
          <w:rFonts w:ascii="Times New Roman" w:hAnsi="Times New Roman" w:cs="Times New Roman"/>
          <w:sz w:val="24"/>
          <w:szCs w:val="24"/>
        </w:rPr>
      </w:pPr>
      <w:r w:rsidRPr="00BE4AF3">
        <w:rPr>
          <w:rFonts w:ascii="Times New Roman" w:hAnsi="Times New Roman" w:cs="Times New Roman"/>
          <w:sz w:val="24"/>
          <w:szCs w:val="24"/>
        </w:rPr>
        <w:t>Urban Transport Strategy Review. http://siteresources.worldbank.org /INTURBAN TRANSPORT/Resources/cities_on_the_move. pdf.Accessed online May 20th 2012.</w:t>
      </w:r>
    </w:p>
    <w:p w14:paraId="5549778E" w14:textId="78F894CF" w:rsidR="004371E3" w:rsidRPr="00C316A1" w:rsidRDefault="004371E3" w:rsidP="00C316A1">
      <w:pPr>
        <w:pStyle w:val="ListParagraph"/>
        <w:spacing w:after="0" w:line="240" w:lineRule="auto"/>
        <w:ind w:left="567" w:hanging="567"/>
        <w:jc w:val="both"/>
        <w:rPr>
          <w:rFonts w:ascii="Times New Roman" w:hAnsi="Times New Roman"/>
          <w:sz w:val="24"/>
          <w:szCs w:val="24"/>
          <w:lang w:val="en-US"/>
        </w:rPr>
      </w:pPr>
      <w:r w:rsidRPr="00BE4AF3">
        <w:rPr>
          <w:rFonts w:ascii="Times New Roman" w:hAnsi="Times New Roman"/>
          <w:sz w:val="24"/>
          <w:szCs w:val="24"/>
        </w:rPr>
        <w:t>Wortley, R. (2008).</w:t>
      </w:r>
      <w:r w:rsidRPr="00BE4AF3">
        <w:rPr>
          <w:rFonts w:ascii="Times New Roman" w:eastAsia="Times New Roman" w:hAnsi="Times New Roman"/>
          <w:sz w:val="24"/>
          <w:szCs w:val="24"/>
        </w:rPr>
        <w:t xml:space="preserve"> ‘Situational crime prevention’, in R. Wortley &amp; L. Mazerolle (eds)   </w:t>
      </w:r>
      <w:r w:rsidRPr="00BE4AF3">
        <w:rPr>
          <w:rFonts w:ascii="Times New Roman" w:eastAsia="Times New Roman" w:hAnsi="Times New Roman"/>
          <w:i/>
          <w:iCs/>
          <w:sz w:val="24"/>
          <w:szCs w:val="24"/>
        </w:rPr>
        <w:t>Environmental Criminology and Crime Analysis</w:t>
      </w:r>
      <w:r w:rsidRPr="00BE4AF3">
        <w:rPr>
          <w:rFonts w:ascii="Times New Roman" w:eastAsia="Times New Roman" w:hAnsi="Times New Roman"/>
          <w:sz w:val="24"/>
          <w:szCs w:val="24"/>
        </w:rPr>
        <w:t>. Cullompton, UK: Willan Publishing</w:t>
      </w:r>
    </w:p>
    <w:p w14:paraId="7E7C5E85" w14:textId="77777777" w:rsidR="00F53A50" w:rsidRPr="00C316A1" w:rsidRDefault="00F53A50" w:rsidP="00E90BB6">
      <w:pPr>
        <w:spacing w:after="0" w:line="240" w:lineRule="auto"/>
        <w:jc w:val="center"/>
        <w:rPr>
          <w:rFonts w:ascii="Times New Roman" w:eastAsia="SimSun" w:hAnsi="Times New Roman" w:cs="Times New Roman"/>
          <w:b/>
          <w:bCs/>
          <w:sz w:val="28"/>
          <w:szCs w:val="28"/>
          <w:lang w:eastAsia="zh-CN"/>
        </w:rPr>
      </w:pPr>
      <w:r w:rsidRPr="00C316A1">
        <w:rPr>
          <w:rFonts w:ascii="Times New Roman" w:eastAsia="SimSun" w:hAnsi="Times New Roman" w:cs="Times New Roman"/>
          <w:b/>
          <w:bCs/>
          <w:sz w:val="28"/>
          <w:szCs w:val="28"/>
          <w:lang w:eastAsia="zh-CN"/>
        </w:rPr>
        <w:lastRenderedPageBreak/>
        <w:t xml:space="preserve">Climatic Change, </w:t>
      </w:r>
      <w:r w:rsidR="00A4549A" w:rsidRPr="00C316A1">
        <w:rPr>
          <w:rFonts w:ascii="Times New Roman" w:eastAsia="SimSun" w:hAnsi="Times New Roman" w:cs="Times New Roman"/>
          <w:b/>
          <w:bCs/>
          <w:sz w:val="28"/>
          <w:szCs w:val="28"/>
          <w:lang w:eastAsia="zh-CN"/>
        </w:rPr>
        <w:t>t</w:t>
      </w:r>
      <w:r w:rsidRPr="00C316A1">
        <w:rPr>
          <w:rFonts w:ascii="Times New Roman" w:eastAsia="SimSun" w:hAnsi="Times New Roman" w:cs="Times New Roman"/>
          <w:b/>
          <w:bCs/>
          <w:sz w:val="28"/>
          <w:szCs w:val="28"/>
          <w:lang w:eastAsia="zh-CN"/>
        </w:rPr>
        <w:t>he Built Environment, and Urban Resilence: Global Insights and Nigerian Perspectives</w:t>
      </w:r>
    </w:p>
    <w:p w14:paraId="04430FA7" w14:textId="77777777" w:rsidR="00851684" w:rsidRPr="00C316A1" w:rsidRDefault="00851684" w:rsidP="00E90BB6">
      <w:pPr>
        <w:spacing w:after="0" w:line="240" w:lineRule="auto"/>
        <w:jc w:val="center"/>
        <w:rPr>
          <w:rFonts w:ascii="Times New Roman" w:hAnsi="Times New Roman" w:cs="Times New Roman"/>
          <w:sz w:val="28"/>
          <w:szCs w:val="28"/>
        </w:rPr>
      </w:pPr>
    </w:p>
    <w:p w14:paraId="1BBC2C8C" w14:textId="77777777" w:rsidR="00F53A50" w:rsidRPr="001E3408" w:rsidRDefault="00F53A50" w:rsidP="00E90BB6">
      <w:pPr>
        <w:spacing w:after="0" w:line="240" w:lineRule="auto"/>
        <w:jc w:val="center"/>
        <w:rPr>
          <w:rFonts w:ascii="Times New Roman" w:hAnsi="Times New Roman" w:cs="Times New Roman"/>
          <w:sz w:val="24"/>
          <w:szCs w:val="24"/>
        </w:rPr>
      </w:pPr>
      <w:r w:rsidRPr="001E3408">
        <w:rPr>
          <w:rFonts w:ascii="Times New Roman" w:hAnsi="Times New Roman" w:cs="Times New Roman"/>
          <w:sz w:val="24"/>
          <w:szCs w:val="24"/>
          <w:vertAlign w:val="superscript"/>
        </w:rPr>
        <w:t>1</w:t>
      </w:r>
      <w:r w:rsidRPr="001E3408">
        <w:rPr>
          <w:rFonts w:ascii="Times New Roman" w:hAnsi="Times New Roman" w:cs="Times New Roman"/>
          <w:sz w:val="24"/>
          <w:szCs w:val="24"/>
          <w:vertAlign w:val="superscript"/>
          <w:lang w:val="en-US"/>
        </w:rPr>
        <w:t xml:space="preserve">* </w:t>
      </w:r>
      <w:r w:rsidRPr="001E3408">
        <w:rPr>
          <w:rFonts w:ascii="Times New Roman" w:hAnsi="Times New Roman" w:cs="Times New Roman"/>
          <w:sz w:val="24"/>
          <w:szCs w:val="24"/>
        </w:rPr>
        <w:t xml:space="preserve">Ayejuyo O. O. and </w:t>
      </w:r>
      <w:r w:rsidRPr="001E3408">
        <w:rPr>
          <w:rFonts w:ascii="Times New Roman" w:hAnsi="Times New Roman" w:cs="Times New Roman"/>
          <w:sz w:val="24"/>
          <w:szCs w:val="24"/>
          <w:vertAlign w:val="superscript"/>
        </w:rPr>
        <w:t>1</w:t>
      </w:r>
      <w:r w:rsidRPr="001E3408">
        <w:rPr>
          <w:rFonts w:ascii="Times New Roman" w:hAnsi="Times New Roman" w:cs="Times New Roman"/>
          <w:sz w:val="24"/>
          <w:szCs w:val="24"/>
          <w:vertAlign w:val="superscript"/>
          <w:lang w:val="en-US"/>
        </w:rPr>
        <w:t xml:space="preserve"> </w:t>
      </w:r>
      <w:r w:rsidRPr="001E3408">
        <w:rPr>
          <w:rFonts w:ascii="Times New Roman" w:hAnsi="Times New Roman" w:cs="Times New Roman"/>
          <w:sz w:val="24"/>
          <w:szCs w:val="24"/>
        </w:rPr>
        <w:t>Raufu, K. A.</w:t>
      </w:r>
    </w:p>
    <w:p w14:paraId="1D05B726" w14:textId="77777777" w:rsidR="00F53A50" w:rsidRPr="00C316A1" w:rsidRDefault="00F53A50" w:rsidP="00E90BB6">
      <w:pPr>
        <w:spacing w:after="0" w:line="240" w:lineRule="auto"/>
        <w:jc w:val="center"/>
        <w:rPr>
          <w:rFonts w:ascii="Times New Roman" w:hAnsi="Times New Roman" w:cs="Times New Roman"/>
          <w:sz w:val="20"/>
          <w:szCs w:val="20"/>
        </w:rPr>
      </w:pPr>
    </w:p>
    <w:p w14:paraId="7F5000CC" w14:textId="77777777" w:rsidR="00F53A50" w:rsidRPr="00C316A1" w:rsidRDefault="00F53A50" w:rsidP="00E90BB6">
      <w:pPr>
        <w:pStyle w:val="BodyText"/>
        <w:spacing w:after="0" w:line="240" w:lineRule="auto"/>
        <w:jc w:val="center"/>
        <w:rPr>
          <w:rFonts w:ascii="Times New Roman" w:hAnsi="Times New Roman"/>
        </w:rPr>
      </w:pPr>
      <w:r w:rsidRPr="00C316A1">
        <w:rPr>
          <w:rFonts w:ascii="Times New Roman" w:hAnsi="Times New Roman"/>
          <w:bCs/>
          <w:vertAlign w:val="superscript"/>
        </w:rPr>
        <w:t>1</w:t>
      </w:r>
      <w:r w:rsidRPr="00C316A1">
        <w:rPr>
          <w:rFonts w:ascii="Times New Roman" w:hAnsi="Times New Roman"/>
          <w:bCs/>
          <w:vertAlign w:val="superscript"/>
          <w:lang w:val="en-US"/>
        </w:rPr>
        <w:t xml:space="preserve"> </w:t>
      </w:r>
      <w:r w:rsidRPr="00C316A1">
        <w:rPr>
          <w:rFonts w:ascii="Times New Roman" w:hAnsi="Times New Roman"/>
          <w:bCs/>
        </w:rPr>
        <w:t xml:space="preserve">Department of Architetcure, </w:t>
      </w:r>
      <w:r w:rsidRPr="00C316A1">
        <w:rPr>
          <w:rFonts w:ascii="Times New Roman" w:hAnsi="Times New Roman"/>
          <w:bCs/>
          <w:lang w:val="en-US"/>
        </w:rPr>
        <w:t>Ladoke Akintola University of Technology</w:t>
      </w:r>
      <w:r w:rsidRPr="00C316A1">
        <w:rPr>
          <w:rFonts w:ascii="Times New Roman" w:hAnsi="Times New Roman"/>
          <w:bCs/>
        </w:rPr>
        <w:t xml:space="preserve">, </w:t>
      </w:r>
      <w:r w:rsidRPr="00C316A1">
        <w:rPr>
          <w:rFonts w:ascii="Times New Roman" w:hAnsi="Times New Roman"/>
          <w:bCs/>
          <w:lang w:val="en-US"/>
        </w:rPr>
        <w:t>Ogbomoso</w:t>
      </w:r>
      <w:r w:rsidRPr="00C316A1">
        <w:rPr>
          <w:rFonts w:ascii="Times New Roman" w:hAnsi="Times New Roman"/>
          <w:bCs/>
        </w:rPr>
        <w:t>, Oyo State, Nigeria.</w:t>
      </w:r>
    </w:p>
    <w:p w14:paraId="3B3B83B4" w14:textId="77777777" w:rsidR="00F53A50" w:rsidRPr="00C316A1" w:rsidRDefault="00F53A50" w:rsidP="00E90BB6">
      <w:pPr>
        <w:pStyle w:val="BodyText"/>
        <w:spacing w:after="0" w:line="240" w:lineRule="auto"/>
        <w:jc w:val="center"/>
        <w:rPr>
          <w:rFonts w:ascii="Times New Roman" w:hAnsi="Times New Roman"/>
          <w:bCs/>
          <w:lang w:val="en-US"/>
        </w:rPr>
      </w:pPr>
    </w:p>
    <w:p w14:paraId="753851F3" w14:textId="77777777" w:rsidR="00F53A50" w:rsidRPr="00C316A1" w:rsidRDefault="00F53A50" w:rsidP="00E90BB6">
      <w:pPr>
        <w:pStyle w:val="BodyText"/>
        <w:spacing w:after="0" w:line="240" w:lineRule="auto"/>
        <w:ind w:firstLine="900"/>
        <w:jc w:val="center"/>
        <w:rPr>
          <w:rFonts w:ascii="Times New Roman" w:hAnsi="Times New Roman"/>
        </w:rPr>
      </w:pPr>
      <w:r w:rsidRPr="00C316A1">
        <w:rPr>
          <w:rFonts w:ascii="Times New Roman" w:hAnsi="Times New Roman"/>
          <w:vertAlign w:val="superscript"/>
          <w:lang w:val="en-US"/>
        </w:rPr>
        <w:t xml:space="preserve">* </w:t>
      </w:r>
      <w:r w:rsidRPr="00C316A1">
        <w:rPr>
          <w:rFonts w:ascii="Times New Roman" w:hAnsi="Times New Roman"/>
        </w:rPr>
        <w:t>Corresponding</w:t>
      </w:r>
      <w:r w:rsidRPr="00C316A1">
        <w:rPr>
          <w:rFonts w:ascii="Times New Roman" w:hAnsi="Times New Roman"/>
          <w:vertAlign w:val="superscript"/>
        </w:rPr>
        <w:t xml:space="preserve"> </w:t>
      </w:r>
      <w:r w:rsidRPr="00C316A1">
        <w:rPr>
          <w:rFonts w:ascii="Times New Roman" w:hAnsi="Times New Roman"/>
          <w:lang w:val="en-US"/>
        </w:rPr>
        <w:t xml:space="preserve">Author </w:t>
      </w:r>
      <w:r w:rsidRPr="00C316A1">
        <w:rPr>
          <w:rFonts w:ascii="Times New Roman" w:hAnsi="Times New Roman"/>
          <w:bCs/>
        </w:rPr>
        <w:t>E-mail:</w:t>
      </w:r>
      <w:r w:rsidR="00851684" w:rsidRPr="00C316A1">
        <w:rPr>
          <w:rFonts w:ascii="Times New Roman" w:hAnsi="Times New Roman"/>
          <w:bCs/>
        </w:rPr>
        <w:t xml:space="preserve"> </w:t>
      </w:r>
      <w:hyperlink r:id="rId113">
        <w:r w:rsidRPr="00C316A1">
          <w:rPr>
            <w:rStyle w:val="Hyperlink"/>
            <w:rFonts w:ascii="Times New Roman" w:hAnsi="Times New Roman"/>
            <w:bCs/>
            <w:color w:val="auto"/>
            <w:u w:val="none"/>
          </w:rPr>
          <w:t>oreofeolaotan@gmail.com.edu.ng</w:t>
        </w:r>
      </w:hyperlink>
      <w:r w:rsidRPr="00C316A1">
        <w:rPr>
          <w:rStyle w:val="Hyperlink"/>
          <w:rFonts w:ascii="Times New Roman" w:hAnsi="Times New Roman"/>
          <w:bCs/>
          <w:color w:val="auto"/>
          <w:u w:val="none"/>
        </w:rPr>
        <w:t>, karaufu@lautech.edu.ng</w:t>
      </w:r>
    </w:p>
    <w:p w14:paraId="0CACD503" w14:textId="77777777" w:rsidR="00851684" w:rsidRPr="00BE4AF3" w:rsidRDefault="00851684" w:rsidP="00E90BB6">
      <w:pPr>
        <w:spacing w:after="0" w:line="240" w:lineRule="auto"/>
        <w:jc w:val="both"/>
        <w:rPr>
          <w:rFonts w:ascii="Times New Roman" w:hAnsi="Times New Roman" w:cs="Times New Roman"/>
          <w:b/>
          <w:sz w:val="24"/>
          <w:szCs w:val="24"/>
        </w:rPr>
      </w:pPr>
    </w:p>
    <w:p w14:paraId="5D747FC6" w14:textId="77777777" w:rsidR="00F53A50" w:rsidRPr="00BE4AF3" w:rsidRDefault="00F53A50" w:rsidP="00E90BB6">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LICFES 2025-051 – FP14</w:t>
      </w:r>
    </w:p>
    <w:p w14:paraId="5956A4CC" w14:textId="77777777" w:rsidR="00F53A50" w:rsidRPr="00BE4AF3" w:rsidRDefault="00F53A50" w:rsidP="00E90BB6">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Abstract</w:t>
      </w:r>
    </w:p>
    <w:p w14:paraId="6BFD0617" w14:textId="77777777" w:rsidR="00F53A50" w:rsidRPr="00BE4AF3" w:rsidRDefault="00F53A50" w:rsidP="00E90BB6">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Climate change is a pressing global challenge that threatens ecosystems, economies, and human settlements. The built environment comprising buildings, neighborhoods, and infrastructure is both a major contributor to greenhouse gas emissions and one of the sectors most vulnerable to climate impacts. Rising temperatures, extreme weather, sea-level rise, and water scarcity increasingly expose urban areas, particularly in developing regions such as Nigeria, to severe risks. This study adopts a literature-based analytical approach, drawing on international reports, peer-reviewed research, and comparative examples to examine the relationship between climate change and the built environment. Global cases, such as Rotterdam’s floating architecture in the Netherlands, demonstrate advanced adaptive strategies for deltaic cities, while local examples, including flood-resilient housing and the Makoko Floating School in Lagos, highlight community-driven responses in informal settlements.</w:t>
      </w:r>
      <w:r w:rsidR="00851684" w:rsidRPr="00BE4AF3">
        <w:rPr>
          <w:rFonts w:ascii="Times New Roman" w:hAnsi="Times New Roman" w:cs="Times New Roman"/>
          <w:sz w:val="24"/>
          <w:szCs w:val="24"/>
        </w:rPr>
        <w:t xml:space="preserve"> </w:t>
      </w:r>
      <w:r w:rsidRPr="00BE4AF3">
        <w:rPr>
          <w:rFonts w:ascii="Times New Roman" w:hAnsi="Times New Roman" w:cs="Times New Roman"/>
          <w:sz w:val="24"/>
          <w:szCs w:val="24"/>
        </w:rPr>
        <w:t>Findings reveal that climate change disrupts the built environment through intensified heatwaves, flooding, and structural degradation, while rapid and unregulated urbanization heightens exposure. Adaptation strategies such as resilient design, green infrastructure, modular construction, and water-sensitive planning are critical for safeguarding cities, while mitigation strategies including low-carbon materials, passive design, and urban vegetation help reduce emissions. Both high-tech approaches in developed contexts and low-cost innovations in vulnerable regions provide replicable pathways for resilience. The study concludes that climate-responsive planning and architecture are essential to reducing risks and advancing sustainable urban development. However, barriers such as high costs, weak regulatory frameworks, and limited institutional capacity hinder implementation. It recommends strengthening building codes, investing in resilient infrastructure, promoting sustainable materials, improving climate data, and enhancing institutional and community capacity to adapt.</w:t>
      </w:r>
    </w:p>
    <w:p w14:paraId="64DF9458" w14:textId="77777777" w:rsidR="00F53A50" w:rsidRPr="00BE4AF3" w:rsidRDefault="00F53A50" w:rsidP="00E90BB6">
      <w:pPr>
        <w:spacing w:after="0" w:line="240" w:lineRule="auto"/>
        <w:jc w:val="both"/>
        <w:rPr>
          <w:rFonts w:ascii="Times New Roman" w:hAnsi="Times New Roman" w:cs="Times New Roman"/>
          <w:sz w:val="24"/>
          <w:szCs w:val="24"/>
        </w:rPr>
      </w:pPr>
    </w:p>
    <w:p w14:paraId="704AD4B3" w14:textId="77777777" w:rsidR="00F53A50" w:rsidRPr="00BE4AF3" w:rsidRDefault="00F53A50" w:rsidP="00851684">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Keywords:</w:t>
      </w:r>
      <w:r w:rsidRPr="00BE4AF3">
        <w:rPr>
          <w:rFonts w:ascii="Times New Roman" w:hAnsi="Times New Roman" w:cs="Times New Roman"/>
          <w:sz w:val="24"/>
          <w:szCs w:val="24"/>
        </w:rPr>
        <w:t xml:space="preserve"> Climate Change. Built Environment, Urban resilience, Sustainable Architecture, Climate Adaptation.</w:t>
      </w:r>
    </w:p>
    <w:p w14:paraId="01CEC3FA" w14:textId="77777777" w:rsidR="00F53A50" w:rsidRPr="00BE4AF3" w:rsidRDefault="00F53A50" w:rsidP="00E90BB6">
      <w:pPr>
        <w:spacing w:after="0" w:line="240" w:lineRule="auto"/>
        <w:rPr>
          <w:rFonts w:ascii="Times New Roman" w:hAnsi="Times New Roman" w:cs="Times New Roman"/>
          <w:sz w:val="24"/>
          <w:szCs w:val="24"/>
        </w:rPr>
      </w:pPr>
    </w:p>
    <w:p w14:paraId="7441057D" w14:textId="2F9A3C91" w:rsidR="004371E3" w:rsidRPr="00BE4AF3" w:rsidRDefault="004371E3" w:rsidP="004371E3">
      <w:pPr>
        <w:tabs>
          <w:tab w:val="left" w:pos="3270"/>
        </w:tabs>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Introduction</w:t>
      </w:r>
    </w:p>
    <w:p w14:paraId="7D7C8B0A"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Climate change is a critical global challenge with profound environmental, social, and economic consequences (Obada, 2014). Unlike natural climatic variations, contemporary climate change is largely anthropogenic, driven by rising concentrations of greenhouse gases (GHGs) such as carbon dioxide, methane, and nitrous oxide from fossil fuel use, industrial processes, agriculture, and deforestation (IPCC, 2021; Abbass, 2022). These emissions trap heat in the atmosphere, resulting in global warming and wide-ranging disruptions to ecological and human systems. Since the industrial era, global surface temperatures have increased by about 1.1°C above pre-industrial levels, with projections suggesting a rise beyond 1.5°C by mid-century if urgent mitigation is not achieved (IPCC, 2021).</w:t>
      </w:r>
    </w:p>
    <w:p w14:paraId="2DEEEE81"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lastRenderedPageBreak/>
        <w:t>The effects of climate change are not uniformly distributed, disproportionately impacting vulnerable regions such as Sub-Saharan Africa, small island nations, and coastal cities (Change, 2007). Physical manifestations include more frequent heatwaves, floods, droughts, and hurricanes, as well as sea-level rise, biodiversity loss, and ecosystem degradation (UNEP, 2022; Jha &amp; Dev, 2024). These hazards compromise food and water security, public health, infrastructure, and broader socio-economic stability. Developing nations are particularly at risk because rapid population growth, weak institutions, and limited adaptive capacity hinder their ability to cope with climate extremes.</w:t>
      </w:r>
    </w:p>
    <w:p w14:paraId="424085AF"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Within this context, the built environment encompassing buildings, infrastructure, and urban systems emerges as both a major source of emissions and one of the sectors most exposed to climate risks. It contributes substantially to global GHG emissions through energy-intensive construction practices, reliance on non-renewable materials, and operational energy demand, while simultaneously facing risks such as flooding, structural degradation, and overheating. In rapidly urbanizing regions like Nigeria, unregulated growth and inadequate infrastructure further heighten vulnerability, making climate adaptation in the built environment an urgent priority.</w:t>
      </w:r>
    </w:p>
    <w:p w14:paraId="4055549B"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This dual role makes the built environment central to both the causes of and responses to climate change. Adaptation measures such as resilient building design, green infrastructure, modular construction, and water-sensitive urban planning are vital for protecting communities, while mitigation strategies including low-carbon construction materials, passive design, and urban vegetation help reduce emissions. Drawing lessons from advanced technological approaches in developed nations and low-cost, community-driven initiatives in developing contexts provides valuable pathways for resilience. In light of these challenges, this study examines the impacts of climate change on the built environment and identifies adaptation and mitigation strategies to strengthen urban resilience, with emphasis on global insights and Nigerian perspectives. It analyzes climate risks at multiple scales, evaluates strategies that reduce vulnerability and emissions, and assesses barriers to effective adaptation, with the ultimate goal of proposing measures that support climate-responsive, sustainable urban development.</w:t>
      </w:r>
    </w:p>
    <w:p w14:paraId="249B8378" w14:textId="77777777" w:rsidR="004371E3" w:rsidRPr="00BE4AF3" w:rsidRDefault="004371E3" w:rsidP="00C316A1">
      <w:pPr>
        <w:tabs>
          <w:tab w:val="left" w:pos="3270"/>
        </w:tabs>
        <w:spacing w:after="0" w:line="240" w:lineRule="auto"/>
        <w:jc w:val="both"/>
        <w:rPr>
          <w:rFonts w:ascii="Times New Roman" w:hAnsi="Times New Roman" w:cs="Times New Roman"/>
          <w:b/>
          <w:sz w:val="24"/>
          <w:szCs w:val="24"/>
        </w:rPr>
      </w:pPr>
    </w:p>
    <w:p w14:paraId="7D0F5F2B" w14:textId="7D10DD70" w:rsidR="004371E3" w:rsidRPr="00BE4AF3" w:rsidRDefault="0034248D" w:rsidP="00C316A1">
      <w:pPr>
        <w:tabs>
          <w:tab w:val="left" w:pos="3270"/>
        </w:tabs>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Material and </w:t>
      </w:r>
      <w:r w:rsidR="004371E3" w:rsidRPr="00BE4AF3">
        <w:rPr>
          <w:rFonts w:ascii="Times New Roman" w:hAnsi="Times New Roman" w:cs="Times New Roman"/>
          <w:b/>
          <w:sz w:val="24"/>
          <w:szCs w:val="24"/>
        </w:rPr>
        <w:t>Method</w:t>
      </w:r>
    </w:p>
    <w:p w14:paraId="51C2E6E3"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This study adopts a literature-based analytical approach, relying on secondary data to examine the impacts of climate change on the built environment and to identify adaptation and mitigation strategies that enhance urban resilience. Sources include international reports such as those of the Intergovernmental Panel on Climate Change (IPCC), the United Nations Environment Programme (UNEP), and the World Bank, as well as peer-reviewed articles, books, and scholarly publications that provide theoretical perspectives, empirical findings, and policy insights. To illustrate adaptive responses across contrasting contexts, comparative case studies were reviewed, with Rotterdam in the Netherlands representing a developed city with advanced institutional and technological capacity, and Makoko in Lagos, Nigeria, representing an informal settlement in a developing context where adaptation is largely community-driven and resource-constrained. These cases were chosen to capture the diversity of climate adaptation strategies, ranging from high-tech innovations to low-cost grassroots solutions, and to extract transferable lessons relevant to both global discourse and Nigerian realities. A thematic synthesis guided the analysis, focusing on four core areas: climate impacts on the built environment, adaptation strategies, mitigation strategies, and barriers to implementation. The choice of this method is justified because it enables the integration of insights across multiple geographies and disciplines, while the comparative lens strengthens the </w:t>
      </w:r>
      <w:r w:rsidRPr="00BE4AF3">
        <w:rPr>
          <w:rFonts w:ascii="Times New Roman" w:hAnsi="Times New Roman" w:cs="Times New Roman"/>
          <w:sz w:val="24"/>
          <w:szCs w:val="24"/>
        </w:rPr>
        <w:lastRenderedPageBreak/>
        <w:t>applicability of findings to regions such as Nigeria, where rapid urbanization and limited adaptive capacity heighten vulnerability.</w:t>
      </w:r>
    </w:p>
    <w:p w14:paraId="3D206C74" w14:textId="77777777" w:rsidR="004371E3" w:rsidRPr="00BE4AF3" w:rsidRDefault="004371E3" w:rsidP="00C316A1">
      <w:pPr>
        <w:tabs>
          <w:tab w:val="left" w:pos="3270"/>
        </w:tabs>
        <w:spacing w:after="0" w:line="240" w:lineRule="auto"/>
        <w:jc w:val="both"/>
        <w:rPr>
          <w:rFonts w:ascii="Times New Roman" w:hAnsi="Times New Roman" w:cs="Times New Roman"/>
          <w:b/>
          <w:sz w:val="24"/>
          <w:szCs w:val="24"/>
        </w:rPr>
      </w:pPr>
    </w:p>
    <w:p w14:paraId="1FED7DC0" w14:textId="18391A38" w:rsidR="004371E3" w:rsidRPr="00BE4AF3" w:rsidRDefault="004371E3" w:rsidP="00C316A1">
      <w:pPr>
        <w:tabs>
          <w:tab w:val="left" w:pos="3270"/>
        </w:tabs>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Findings</w:t>
      </w:r>
      <w:r w:rsidRPr="00BE4AF3">
        <w:rPr>
          <w:rFonts w:ascii="Times New Roman" w:hAnsi="Times New Roman" w:cs="Times New Roman"/>
          <w:b/>
          <w:sz w:val="24"/>
          <w:szCs w:val="24"/>
          <w:lang w:val="en-US"/>
        </w:rPr>
        <w:t xml:space="preserve"> </w:t>
      </w:r>
    </w:p>
    <w:p w14:paraId="74FDFFE5" w14:textId="61AF8C11"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Impacts of Climate Change on the Built Environment</w:t>
      </w:r>
    </w:p>
    <w:p w14:paraId="4F4EE987"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built environment, which includes buildings, infrastructure, and urban systems, plays a central role in supporting human activity and sustaining urban resilience. However, it is increasingly threatened by the multifaceted impacts of climate change. Rising temperatures, shifting rainfall patterns, sea-level rise, and more frequent extreme weather events compromise the safety, durability, and livability of cities (UN-Habitat, 2020; IPCC, 2021). These risks are particularly acute in rapidly urbanizing regions such as Nigeria, where unregulated expansion, inadequate infrastructure, and limited adaptive capacity amplify vulnerability.</w:t>
      </w:r>
    </w:p>
    <w:p w14:paraId="2161CB44"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effects of climate change manifest in multiple ways. Urban heat, intensified by the Urban Heat Island effect, raises indoor temperatures, increases cooling energy demand, and heightens risks of heat stress (Demisse et al., 2024). Flooding and coastal inundation from intense rainfall and sea-level rise cause property damage, population displacement, erosion, and saltwater intrusion (Wang et al., 2025; IPCC, 2021). Tropical storms and cyclones disrupt power and transport networks while damaging structures. Rising temperatures also drive higher energy consumption, placing additional stress on already strained electricity systems (IEA, 2022). Furthermore, climate stressors such as heat, humidity, and salinity degrade building materials, while poor ventilation and moisture accumulation reduce indoor environmental quality, exposing occupants to health risks. Informal settlements, common in many developing cities, face the greatest threats because of their location in hazard-prone areas, inadequate services, and weak resilience mechanisms.</w:t>
      </w:r>
    </w:p>
    <w:p w14:paraId="3FBFC6C5" w14:textId="77777777" w:rsidR="004371E3" w:rsidRPr="00BE4AF3" w:rsidRDefault="004371E3" w:rsidP="00C316A1">
      <w:pPr>
        <w:spacing w:after="0" w:line="240" w:lineRule="auto"/>
        <w:jc w:val="center"/>
        <w:rPr>
          <w:rFonts w:ascii="Times New Roman" w:hAnsi="Times New Roman" w:cs="Times New Roman"/>
          <w:b/>
          <w:sz w:val="24"/>
          <w:szCs w:val="24"/>
        </w:rPr>
      </w:pPr>
    </w:p>
    <w:p w14:paraId="3B394FF4" w14:textId="77777777" w:rsidR="004371E3" w:rsidRPr="00BE4AF3" w:rsidRDefault="004371E3" w:rsidP="00C316A1">
      <w:pPr>
        <w:spacing w:after="0" w:line="240" w:lineRule="auto"/>
        <w:jc w:val="center"/>
        <w:rPr>
          <w:rFonts w:ascii="Times New Roman" w:hAnsi="Times New Roman" w:cs="Times New Roman"/>
          <w:sz w:val="24"/>
          <w:szCs w:val="24"/>
        </w:rPr>
      </w:pPr>
      <w:r w:rsidRPr="00BE4AF3">
        <w:rPr>
          <w:rFonts w:ascii="Times New Roman" w:hAnsi="Times New Roman" w:cs="Times New Roman"/>
          <w:b/>
          <w:sz w:val="24"/>
          <w:szCs w:val="24"/>
        </w:rPr>
        <w:t>Table 1:</w:t>
      </w:r>
      <w:r w:rsidRPr="00BE4AF3">
        <w:rPr>
          <w:rFonts w:ascii="Times New Roman" w:hAnsi="Times New Roman" w:cs="Times New Roman"/>
          <w:sz w:val="24"/>
          <w:szCs w:val="24"/>
        </w:rPr>
        <w:t xml:space="preserve"> Climate Hazards and Their Impacts on the Built Environment</w:t>
      </w:r>
    </w:p>
    <w:tbl>
      <w:tblPr>
        <w:tblW w:w="7382" w:type="dxa"/>
        <w:jc w:val="center"/>
        <w:tblBorders>
          <w:top w:val="single" w:sz="4" w:space="0" w:color="auto"/>
          <w:bottom w:val="single" w:sz="4" w:space="0" w:color="auto"/>
        </w:tblBorders>
        <w:tblLayout w:type="fixed"/>
        <w:tblCellMar>
          <w:left w:w="0" w:type="dxa"/>
          <w:right w:w="0" w:type="dxa"/>
        </w:tblCellMar>
        <w:tblLook w:val="04A0" w:firstRow="1" w:lastRow="0" w:firstColumn="1" w:lastColumn="0" w:noHBand="0" w:noVBand="1"/>
      </w:tblPr>
      <w:tblGrid>
        <w:gridCol w:w="540"/>
        <w:gridCol w:w="1892"/>
        <w:gridCol w:w="2250"/>
        <w:gridCol w:w="2700"/>
      </w:tblGrid>
      <w:tr w:rsidR="004371E3" w:rsidRPr="00C316A1" w14:paraId="6885E11A" w14:textId="77777777" w:rsidTr="00C316A1">
        <w:trPr>
          <w:cantSplit/>
          <w:trHeight w:val="313"/>
          <w:jc w:val="center"/>
        </w:trPr>
        <w:tc>
          <w:tcPr>
            <w:tcW w:w="540" w:type="dxa"/>
            <w:tcBorders>
              <w:top w:val="single" w:sz="4" w:space="0" w:color="auto"/>
              <w:bottom w:val="single" w:sz="4" w:space="0" w:color="auto"/>
            </w:tcBorders>
            <w:shd w:val="clear" w:color="auto" w:fill="FFFFFF"/>
            <w:vAlign w:val="center"/>
          </w:tcPr>
          <w:p w14:paraId="20BD1C0F" w14:textId="77777777" w:rsidR="004371E3" w:rsidRPr="00C316A1" w:rsidRDefault="004371E3" w:rsidP="00C316A1">
            <w:pPr>
              <w:spacing w:after="0" w:line="240" w:lineRule="auto"/>
              <w:ind w:left="60" w:right="60"/>
              <w:jc w:val="center"/>
              <w:rPr>
                <w:rFonts w:ascii="Times New Roman" w:hAnsi="Times New Roman" w:cs="Times New Roman"/>
                <w:sz w:val="20"/>
                <w:szCs w:val="20"/>
              </w:rPr>
            </w:pPr>
            <w:r w:rsidRPr="00C316A1">
              <w:rPr>
                <w:rFonts w:ascii="Times New Roman" w:hAnsi="Times New Roman" w:cs="Times New Roman"/>
                <w:color w:val="000000"/>
                <w:sz w:val="20"/>
                <w:szCs w:val="20"/>
                <w:lang w:val="en-US"/>
              </w:rPr>
              <w:t>S/N</w:t>
            </w:r>
          </w:p>
        </w:tc>
        <w:tc>
          <w:tcPr>
            <w:tcW w:w="1892" w:type="dxa"/>
            <w:tcBorders>
              <w:top w:val="single" w:sz="4" w:space="0" w:color="auto"/>
              <w:bottom w:val="single" w:sz="4" w:space="0" w:color="auto"/>
            </w:tcBorders>
            <w:shd w:val="clear" w:color="auto" w:fill="FFFFFF"/>
            <w:vAlign w:val="center"/>
          </w:tcPr>
          <w:p w14:paraId="11EA2BD1"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color w:val="000000"/>
                <w:sz w:val="20"/>
                <w:szCs w:val="20"/>
                <w:lang w:val="en-GB" w:eastAsia="en-GB"/>
              </w:rPr>
              <w:t>Impact Area</w:t>
            </w:r>
          </w:p>
        </w:tc>
        <w:tc>
          <w:tcPr>
            <w:tcW w:w="2250" w:type="dxa"/>
            <w:tcBorders>
              <w:top w:val="single" w:sz="4" w:space="0" w:color="auto"/>
              <w:bottom w:val="single" w:sz="4" w:space="0" w:color="auto"/>
            </w:tcBorders>
            <w:shd w:val="clear" w:color="auto" w:fill="FFFFFF"/>
            <w:vAlign w:val="center"/>
          </w:tcPr>
          <w:p w14:paraId="5F9FA586" w14:textId="77777777" w:rsidR="004371E3" w:rsidRPr="00C316A1" w:rsidRDefault="004371E3" w:rsidP="00C316A1">
            <w:pPr>
              <w:spacing w:after="0" w:line="240" w:lineRule="auto"/>
              <w:ind w:right="60"/>
              <w:jc w:val="center"/>
              <w:rPr>
                <w:rFonts w:ascii="Times New Roman" w:hAnsi="Times New Roman" w:cs="Times New Roman"/>
                <w:sz w:val="20"/>
                <w:szCs w:val="20"/>
              </w:rPr>
            </w:pPr>
            <w:r w:rsidRPr="00C316A1">
              <w:rPr>
                <w:rFonts w:ascii="Times New Roman" w:hAnsi="Times New Roman" w:cs="Times New Roman"/>
                <w:color w:val="000000"/>
                <w:sz w:val="20"/>
                <w:szCs w:val="20"/>
                <w:lang w:val="en-US"/>
              </w:rPr>
              <w:t>Climate Harzard</w:t>
            </w:r>
          </w:p>
        </w:tc>
        <w:tc>
          <w:tcPr>
            <w:tcW w:w="2700" w:type="dxa"/>
            <w:tcBorders>
              <w:top w:val="single" w:sz="4" w:space="0" w:color="auto"/>
              <w:bottom w:val="single" w:sz="4" w:space="0" w:color="auto"/>
            </w:tcBorders>
            <w:shd w:val="clear" w:color="auto" w:fill="FFFFFF"/>
            <w:vAlign w:val="center"/>
          </w:tcPr>
          <w:p w14:paraId="0A9DF327" w14:textId="77777777" w:rsidR="004371E3" w:rsidRPr="00C316A1" w:rsidRDefault="004371E3" w:rsidP="00C316A1">
            <w:pPr>
              <w:spacing w:after="0" w:line="240" w:lineRule="auto"/>
              <w:ind w:left="60" w:right="60"/>
              <w:jc w:val="center"/>
              <w:rPr>
                <w:rFonts w:ascii="Times New Roman" w:hAnsi="Times New Roman" w:cs="Times New Roman"/>
                <w:sz w:val="20"/>
                <w:szCs w:val="20"/>
              </w:rPr>
            </w:pPr>
            <w:r w:rsidRPr="00C316A1">
              <w:rPr>
                <w:rFonts w:ascii="Times New Roman" w:hAnsi="Times New Roman" w:cs="Times New Roman"/>
                <w:color w:val="000000"/>
                <w:sz w:val="20"/>
                <w:szCs w:val="20"/>
                <w:lang w:val="en-US"/>
              </w:rPr>
              <w:t>Built Environment Effect</w:t>
            </w:r>
          </w:p>
        </w:tc>
      </w:tr>
      <w:tr w:rsidR="004371E3" w:rsidRPr="00C316A1" w14:paraId="6ABC687B" w14:textId="77777777" w:rsidTr="00C316A1">
        <w:trPr>
          <w:cantSplit/>
          <w:trHeight w:val="313"/>
          <w:jc w:val="center"/>
        </w:trPr>
        <w:tc>
          <w:tcPr>
            <w:tcW w:w="540" w:type="dxa"/>
            <w:tcBorders>
              <w:top w:val="single" w:sz="4" w:space="0" w:color="auto"/>
            </w:tcBorders>
            <w:shd w:val="clear" w:color="auto" w:fill="FFFFFF"/>
            <w:vAlign w:val="center"/>
          </w:tcPr>
          <w:p w14:paraId="73199CA7"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1</w:t>
            </w:r>
          </w:p>
        </w:tc>
        <w:tc>
          <w:tcPr>
            <w:tcW w:w="1892" w:type="dxa"/>
            <w:tcBorders>
              <w:top w:val="single" w:sz="4" w:space="0" w:color="auto"/>
            </w:tcBorders>
            <w:shd w:val="clear" w:color="auto" w:fill="FFFFFF"/>
            <w:vAlign w:val="center"/>
          </w:tcPr>
          <w:p w14:paraId="389B9653"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Urban Heat</w:t>
            </w:r>
          </w:p>
        </w:tc>
        <w:tc>
          <w:tcPr>
            <w:tcW w:w="2250" w:type="dxa"/>
            <w:tcBorders>
              <w:top w:val="single" w:sz="4" w:space="0" w:color="auto"/>
            </w:tcBorders>
            <w:shd w:val="clear" w:color="auto" w:fill="FFFFFF"/>
            <w:vAlign w:val="center"/>
          </w:tcPr>
          <w:p w14:paraId="43E2B81B"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Heatwaves, Urban heat Island</w:t>
            </w:r>
          </w:p>
        </w:tc>
        <w:tc>
          <w:tcPr>
            <w:tcW w:w="2700" w:type="dxa"/>
            <w:tcBorders>
              <w:top w:val="single" w:sz="4" w:space="0" w:color="auto"/>
            </w:tcBorders>
            <w:shd w:val="clear" w:color="auto" w:fill="FFFFFF"/>
            <w:vAlign w:val="center"/>
          </w:tcPr>
          <w:p w14:paraId="6BBDC85C"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 xml:space="preserve">Higher indoor temps, energy use, heat stress </w:t>
            </w:r>
            <w:r w:rsidRPr="00C316A1">
              <w:rPr>
                <w:rFonts w:ascii="Times New Roman" w:hAnsi="Times New Roman" w:cs="Times New Roman"/>
                <w:sz w:val="20"/>
                <w:szCs w:val="20"/>
                <w:lang w:val="en-GB"/>
              </w:rPr>
              <w:t>(</w:t>
            </w:r>
            <w:r w:rsidRPr="00C316A1">
              <w:rPr>
                <w:rFonts w:ascii="Times New Roman" w:hAnsi="Times New Roman" w:cs="Times New Roman"/>
                <w:sz w:val="20"/>
                <w:szCs w:val="20"/>
                <w:shd w:val="clear" w:color="auto" w:fill="FFFFFF"/>
                <w:lang w:val="en-GB"/>
              </w:rPr>
              <w:t>Demisse et. al., 2024)</w:t>
            </w:r>
          </w:p>
        </w:tc>
      </w:tr>
      <w:tr w:rsidR="004371E3" w:rsidRPr="00C316A1" w14:paraId="71E79AE9" w14:textId="77777777" w:rsidTr="00C316A1">
        <w:trPr>
          <w:cantSplit/>
          <w:trHeight w:val="358"/>
          <w:jc w:val="center"/>
        </w:trPr>
        <w:tc>
          <w:tcPr>
            <w:tcW w:w="540" w:type="dxa"/>
            <w:shd w:val="clear" w:color="auto" w:fill="FFFFFF"/>
            <w:vAlign w:val="center"/>
          </w:tcPr>
          <w:p w14:paraId="590128A6"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2</w:t>
            </w:r>
          </w:p>
        </w:tc>
        <w:tc>
          <w:tcPr>
            <w:tcW w:w="1892" w:type="dxa"/>
            <w:shd w:val="clear" w:color="auto" w:fill="FFFFFF"/>
            <w:vAlign w:val="center"/>
          </w:tcPr>
          <w:p w14:paraId="1C814CB6"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Flooding</w:t>
            </w:r>
          </w:p>
        </w:tc>
        <w:tc>
          <w:tcPr>
            <w:tcW w:w="2250" w:type="dxa"/>
            <w:shd w:val="clear" w:color="auto" w:fill="FFFFFF"/>
            <w:vAlign w:val="center"/>
          </w:tcPr>
          <w:p w14:paraId="2768A4E1"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Intense rainfall</w:t>
            </w:r>
          </w:p>
        </w:tc>
        <w:tc>
          <w:tcPr>
            <w:tcW w:w="2700" w:type="dxa"/>
            <w:shd w:val="clear" w:color="auto" w:fill="FFFFFF"/>
            <w:vAlign w:val="center"/>
          </w:tcPr>
          <w:p w14:paraId="748A1F81"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 xml:space="preserve">Water damage, displacement, infrastructure overload </w:t>
            </w:r>
            <w:r w:rsidRPr="00C316A1">
              <w:rPr>
                <w:rFonts w:ascii="Times New Roman" w:hAnsi="Times New Roman" w:cs="Times New Roman"/>
                <w:sz w:val="20"/>
                <w:szCs w:val="20"/>
                <w:lang w:val="en-GB"/>
              </w:rPr>
              <w:t>IPCC (2021),</w:t>
            </w:r>
          </w:p>
        </w:tc>
      </w:tr>
      <w:tr w:rsidR="004371E3" w:rsidRPr="00C316A1" w14:paraId="5A194EC2" w14:textId="77777777" w:rsidTr="00C316A1">
        <w:trPr>
          <w:cantSplit/>
          <w:trHeight w:val="252"/>
          <w:jc w:val="center"/>
        </w:trPr>
        <w:tc>
          <w:tcPr>
            <w:tcW w:w="540" w:type="dxa"/>
            <w:shd w:val="clear" w:color="auto" w:fill="FFFFFF"/>
            <w:vAlign w:val="center"/>
          </w:tcPr>
          <w:p w14:paraId="5D2ED102"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3</w:t>
            </w:r>
          </w:p>
        </w:tc>
        <w:tc>
          <w:tcPr>
            <w:tcW w:w="1892" w:type="dxa"/>
            <w:shd w:val="clear" w:color="auto" w:fill="FFFFFF"/>
            <w:vAlign w:val="center"/>
          </w:tcPr>
          <w:p w14:paraId="68151703"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Sea-Level Rise</w:t>
            </w:r>
          </w:p>
        </w:tc>
        <w:tc>
          <w:tcPr>
            <w:tcW w:w="2250" w:type="dxa"/>
            <w:shd w:val="clear" w:color="auto" w:fill="FFFFFF"/>
            <w:vAlign w:val="center"/>
          </w:tcPr>
          <w:p w14:paraId="0C20AD67"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Coastal inundation</w:t>
            </w:r>
          </w:p>
        </w:tc>
        <w:tc>
          <w:tcPr>
            <w:tcW w:w="2700" w:type="dxa"/>
            <w:shd w:val="clear" w:color="auto" w:fill="FFFFFF"/>
            <w:vAlign w:val="center"/>
          </w:tcPr>
          <w:p w14:paraId="5CA8FDB1"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 xml:space="preserve">Erosion, saltwater intrusion, housing loss </w:t>
            </w:r>
            <w:r w:rsidRPr="00C316A1">
              <w:rPr>
                <w:rFonts w:ascii="Times New Roman" w:hAnsi="Times New Roman" w:cs="Times New Roman"/>
                <w:sz w:val="20"/>
                <w:szCs w:val="20"/>
                <w:lang w:val="en-GB"/>
              </w:rPr>
              <w:t>(</w:t>
            </w:r>
            <w:r w:rsidRPr="00C316A1">
              <w:rPr>
                <w:rFonts w:ascii="Times New Roman" w:hAnsi="Times New Roman" w:cs="Times New Roman"/>
                <w:sz w:val="20"/>
                <w:szCs w:val="20"/>
                <w:shd w:val="clear" w:color="auto" w:fill="FFFFFF"/>
                <w:lang w:val="en-GB"/>
              </w:rPr>
              <w:t>Wang, et. al., 2025).</w:t>
            </w:r>
          </w:p>
        </w:tc>
      </w:tr>
      <w:tr w:rsidR="004371E3" w:rsidRPr="00C316A1" w14:paraId="68E8B550" w14:textId="77777777" w:rsidTr="00C316A1">
        <w:trPr>
          <w:cantSplit/>
          <w:trHeight w:val="252"/>
          <w:jc w:val="center"/>
        </w:trPr>
        <w:tc>
          <w:tcPr>
            <w:tcW w:w="540" w:type="dxa"/>
            <w:shd w:val="clear" w:color="auto" w:fill="FFFFFF"/>
            <w:vAlign w:val="center"/>
          </w:tcPr>
          <w:p w14:paraId="17EF520E"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4</w:t>
            </w:r>
          </w:p>
        </w:tc>
        <w:tc>
          <w:tcPr>
            <w:tcW w:w="1892" w:type="dxa"/>
            <w:shd w:val="clear" w:color="auto" w:fill="FFFFFF"/>
            <w:vAlign w:val="center"/>
          </w:tcPr>
          <w:p w14:paraId="532B93F0"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Storms/Wind</w:t>
            </w:r>
          </w:p>
        </w:tc>
        <w:tc>
          <w:tcPr>
            <w:tcW w:w="2250" w:type="dxa"/>
            <w:shd w:val="clear" w:color="auto" w:fill="FFFFFF"/>
            <w:vAlign w:val="center"/>
          </w:tcPr>
          <w:p w14:paraId="49D74883"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Tropical cyclones, tornadoes</w:t>
            </w:r>
          </w:p>
        </w:tc>
        <w:tc>
          <w:tcPr>
            <w:tcW w:w="2700" w:type="dxa"/>
            <w:shd w:val="clear" w:color="auto" w:fill="FFFFFF"/>
            <w:vAlign w:val="center"/>
          </w:tcPr>
          <w:p w14:paraId="630599C3"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Structural damage, power loss, transport disruption</w:t>
            </w:r>
          </w:p>
        </w:tc>
      </w:tr>
      <w:tr w:rsidR="004371E3" w:rsidRPr="00C316A1" w14:paraId="76DA8A0F" w14:textId="77777777" w:rsidTr="00C316A1">
        <w:trPr>
          <w:cantSplit/>
          <w:trHeight w:val="252"/>
          <w:jc w:val="center"/>
        </w:trPr>
        <w:tc>
          <w:tcPr>
            <w:tcW w:w="540" w:type="dxa"/>
            <w:shd w:val="clear" w:color="auto" w:fill="FFFFFF"/>
            <w:vAlign w:val="center"/>
          </w:tcPr>
          <w:p w14:paraId="4280B858"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5</w:t>
            </w:r>
          </w:p>
        </w:tc>
        <w:tc>
          <w:tcPr>
            <w:tcW w:w="1892" w:type="dxa"/>
            <w:shd w:val="clear" w:color="auto" w:fill="FFFFFF"/>
            <w:vAlign w:val="center"/>
          </w:tcPr>
          <w:p w14:paraId="5F2CF297"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Energy Demand</w:t>
            </w:r>
          </w:p>
        </w:tc>
        <w:tc>
          <w:tcPr>
            <w:tcW w:w="2250" w:type="dxa"/>
            <w:shd w:val="clear" w:color="auto" w:fill="FFFFFF"/>
            <w:vAlign w:val="center"/>
          </w:tcPr>
          <w:p w14:paraId="5A6376E7"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Temperature rise</w:t>
            </w:r>
          </w:p>
        </w:tc>
        <w:tc>
          <w:tcPr>
            <w:tcW w:w="2700" w:type="dxa"/>
            <w:shd w:val="clear" w:color="auto" w:fill="FFFFFF"/>
            <w:vAlign w:val="center"/>
          </w:tcPr>
          <w:p w14:paraId="34D552E9"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 xml:space="preserve">Increased cooling loads and emissions </w:t>
            </w:r>
            <w:r w:rsidRPr="00C316A1">
              <w:rPr>
                <w:rFonts w:ascii="Times New Roman" w:hAnsi="Times New Roman" w:cs="Times New Roman"/>
                <w:sz w:val="20"/>
                <w:szCs w:val="20"/>
                <w:lang w:val="en-GB"/>
              </w:rPr>
              <w:t>(IEA, 2022).</w:t>
            </w:r>
          </w:p>
        </w:tc>
      </w:tr>
      <w:tr w:rsidR="004371E3" w:rsidRPr="00C316A1" w14:paraId="0E57D287" w14:textId="77777777" w:rsidTr="00C316A1">
        <w:trPr>
          <w:cantSplit/>
          <w:trHeight w:val="252"/>
          <w:jc w:val="center"/>
        </w:trPr>
        <w:tc>
          <w:tcPr>
            <w:tcW w:w="540" w:type="dxa"/>
            <w:shd w:val="clear" w:color="auto" w:fill="FFFFFF"/>
            <w:vAlign w:val="center"/>
          </w:tcPr>
          <w:p w14:paraId="38EF645A"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6</w:t>
            </w:r>
          </w:p>
        </w:tc>
        <w:tc>
          <w:tcPr>
            <w:tcW w:w="1892" w:type="dxa"/>
            <w:shd w:val="clear" w:color="auto" w:fill="FFFFFF"/>
            <w:vAlign w:val="center"/>
          </w:tcPr>
          <w:p w14:paraId="52E990C2"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Material Durability</w:t>
            </w:r>
          </w:p>
        </w:tc>
        <w:tc>
          <w:tcPr>
            <w:tcW w:w="2250" w:type="dxa"/>
            <w:shd w:val="clear" w:color="auto" w:fill="FFFFFF"/>
            <w:vAlign w:val="center"/>
          </w:tcPr>
          <w:p w14:paraId="656347ED"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Heat, humidity, salinity</w:t>
            </w:r>
          </w:p>
        </w:tc>
        <w:tc>
          <w:tcPr>
            <w:tcW w:w="2700" w:type="dxa"/>
            <w:shd w:val="clear" w:color="auto" w:fill="FFFFFF"/>
            <w:vAlign w:val="center"/>
          </w:tcPr>
          <w:p w14:paraId="2CCB4D0E"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Degradation of construction materials</w:t>
            </w:r>
          </w:p>
        </w:tc>
      </w:tr>
      <w:tr w:rsidR="004371E3" w:rsidRPr="00C316A1" w14:paraId="5EAED222" w14:textId="77777777" w:rsidTr="00C316A1">
        <w:trPr>
          <w:cantSplit/>
          <w:trHeight w:val="252"/>
          <w:jc w:val="center"/>
        </w:trPr>
        <w:tc>
          <w:tcPr>
            <w:tcW w:w="540" w:type="dxa"/>
            <w:shd w:val="clear" w:color="auto" w:fill="FFFFFF"/>
            <w:vAlign w:val="center"/>
          </w:tcPr>
          <w:p w14:paraId="5A34409C"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7</w:t>
            </w:r>
          </w:p>
        </w:tc>
        <w:tc>
          <w:tcPr>
            <w:tcW w:w="1892" w:type="dxa"/>
            <w:shd w:val="clear" w:color="auto" w:fill="FFFFFF"/>
            <w:vAlign w:val="center"/>
          </w:tcPr>
          <w:p w14:paraId="219F8A06"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Indoor Environmental Quality</w:t>
            </w:r>
          </w:p>
        </w:tc>
        <w:tc>
          <w:tcPr>
            <w:tcW w:w="2250" w:type="dxa"/>
            <w:shd w:val="clear" w:color="auto" w:fill="FFFFFF"/>
            <w:vAlign w:val="center"/>
          </w:tcPr>
          <w:p w14:paraId="007ECA7F"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Heat, mold, poor ventilation</w:t>
            </w:r>
          </w:p>
        </w:tc>
        <w:tc>
          <w:tcPr>
            <w:tcW w:w="2700" w:type="dxa"/>
            <w:shd w:val="clear" w:color="auto" w:fill="FFFFFF"/>
            <w:vAlign w:val="center"/>
          </w:tcPr>
          <w:p w14:paraId="1B2B1419"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Health impacts, poor air quality</w:t>
            </w:r>
          </w:p>
        </w:tc>
      </w:tr>
      <w:tr w:rsidR="004371E3" w:rsidRPr="00C316A1" w14:paraId="02292401" w14:textId="77777777" w:rsidTr="00C316A1">
        <w:trPr>
          <w:cantSplit/>
          <w:trHeight w:val="252"/>
          <w:jc w:val="center"/>
        </w:trPr>
        <w:tc>
          <w:tcPr>
            <w:tcW w:w="540" w:type="dxa"/>
            <w:shd w:val="clear" w:color="auto" w:fill="FFFFFF"/>
            <w:vAlign w:val="center"/>
          </w:tcPr>
          <w:p w14:paraId="73C03987"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8</w:t>
            </w:r>
          </w:p>
        </w:tc>
        <w:tc>
          <w:tcPr>
            <w:tcW w:w="1892" w:type="dxa"/>
            <w:shd w:val="clear" w:color="auto" w:fill="FFFFFF"/>
            <w:vAlign w:val="center"/>
          </w:tcPr>
          <w:p w14:paraId="306BEA07"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Informal Settlements</w:t>
            </w:r>
          </w:p>
        </w:tc>
        <w:tc>
          <w:tcPr>
            <w:tcW w:w="2250" w:type="dxa"/>
            <w:shd w:val="clear" w:color="auto" w:fill="FFFFFF"/>
            <w:vAlign w:val="center"/>
          </w:tcPr>
          <w:p w14:paraId="36FDDD4B"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All climate hazards</w:t>
            </w:r>
          </w:p>
        </w:tc>
        <w:tc>
          <w:tcPr>
            <w:tcW w:w="2700" w:type="dxa"/>
            <w:shd w:val="clear" w:color="auto" w:fill="FFFFFF"/>
            <w:vAlign w:val="center"/>
          </w:tcPr>
          <w:p w14:paraId="441F5C6A" w14:textId="77777777" w:rsidR="004371E3" w:rsidRPr="00C316A1" w:rsidRDefault="004371E3" w:rsidP="00C316A1">
            <w:pPr>
              <w:pStyle w:val="NoSpacing"/>
              <w:jc w:val="center"/>
              <w:rPr>
                <w:rFonts w:ascii="Times New Roman" w:hAnsi="Times New Roman" w:cs="Times New Roman"/>
                <w:sz w:val="20"/>
                <w:szCs w:val="20"/>
              </w:rPr>
            </w:pPr>
            <w:r w:rsidRPr="00C316A1">
              <w:rPr>
                <w:rFonts w:ascii="Times New Roman" w:eastAsia="Times New Roman" w:hAnsi="Times New Roman" w:cs="Times New Roman"/>
                <w:sz w:val="20"/>
                <w:szCs w:val="20"/>
                <w:lang w:val="en-GB" w:eastAsia="en-GB"/>
              </w:rPr>
              <w:t>High exposure, low resilience, housing insecurity</w:t>
            </w:r>
          </w:p>
        </w:tc>
      </w:tr>
    </w:tbl>
    <w:p w14:paraId="7F56F780" w14:textId="77777777" w:rsidR="004371E3" w:rsidRPr="00BE4AF3" w:rsidRDefault="004371E3" w:rsidP="00C316A1">
      <w:pPr>
        <w:spacing w:after="0" w:line="240" w:lineRule="auto"/>
        <w:jc w:val="center"/>
        <w:rPr>
          <w:rFonts w:ascii="Times New Roman" w:hAnsi="Times New Roman" w:cs="Times New Roman"/>
          <w:b/>
          <w:sz w:val="24"/>
          <w:szCs w:val="24"/>
        </w:rPr>
      </w:pPr>
      <w:r w:rsidRPr="00BE4AF3">
        <w:rPr>
          <w:rFonts w:ascii="Times New Roman" w:hAnsi="Times New Roman" w:cs="Times New Roman"/>
          <w:b/>
          <w:sz w:val="24"/>
          <w:szCs w:val="24"/>
        </w:rPr>
        <w:t xml:space="preserve">Source: </w:t>
      </w:r>
      <w:r w:rsidRPr="00BE4AF3">
        <w:rPr>
          <w:rFonts w:ascii="Times New Roman" w:hAnsi="Times New Roman" w:cs="Times New Roman"/>
          <w:sz w:val="24"/>
          <w:szCs w:val="24"/>
        </w:rPr>
        <w:t>Authors’ compilation, 2025</w:t>
      </w:r>
      <w:bookmarkStart w:id="54" w:name="_GoBack_Copy_1"/>
      <w:bookmarkEnd w:id="54"/>
    </w:p>
    <w:p w14:paraId="4661F219" w14:textId="77777777" w:rsidR="004371E3" w:rsidRPr="00BE4AF3" w:rsidRDefault="004371E3" w:rsidP="00C316A1">
      <w:pPr>
        <w:spacing w:after="0" w:line="240" w:lineRule="auto"/>
        <w:jc w:val="both"/>
        <w:rPr>
          <w:rFonts w:ascii="Times New Roman" w:hAnsi="Times New Roman" w:cs="Times New Roman"/>
          <w:b/>
          <w:sz w:val="24"/>
          <w:szCs w:val="24"/>
        </w:rPr>
      </w:pPr>
    </w:p>
    <w:p w14:paraId="36917895" w14:textId="22DBE465" w:rsidR="004371E3" w:rsidRPr="00BE4AF3" w:rsidRDefault="004371E3" w:rsidP="00C316A1">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Adaptation Strategies in the Built Environment</w:t>
      </w:r>
    </w:p>
    <w:p w14:paraId="05CBBB42"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Adaptation strategies are essential to reduce vulnerability and strengthen resilience within the built environment. Climate-responsive architecture, especially through passive design, aligns buildings </w:t>
      </w:r>
      <w:r w:rsidRPr="00BE4AF3">
        <w:rPr>
          <w:rFonts w:ascii="Times New Roman" w:hAnsi="Times New Roman" w:cs="Times New Roman"/>
          <w:sz w:val="24"/>
          <w:szCs w:val="24"/>
        </w:rPr>
        <w:lastRenderedPageBreak/>
        <w:t>with local environmental conditions to enhance indoor comfort while lowering dependence on mechanical cooling and heating. Techniques such as strategic orientation, shading devices, natural ventilation, and use of thermal mass reduce energy demand and extend building lifespan. Similarly, adaptable and modular designs provide flexibility for future climate adjustments, including retrofits for solar panels or green infrastructure.</w:t>
      </w:r>
    </w:p>
    <w:p w14:paraId="73DB7F42" w14:textId="77777777" w:rsidR="004371E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Urban infrastructure also requires re-engineering to withstand climate stresses. Flood-control measures and water-sensitive urban design approaches, such as improved drainage systems, rain gardens, and permeable pavements, reduce exposure to flooding while delivering co-benefits like groundwater recharge and greener urban spaces. Retrofitting existing infrastructure and designing new systems with resilience in mind ensure cities remain functional during and after climatic disruptions.</w:t>
      </w:r>
    </w:p>
    <w:p w14:paraId="68893E4F" w14:textId="77777777" w:rsidR="00C316A1" w:rsidRPr="00BE4AF3" w:rsidRDefault="00C316A1" w:rsidP="00C316A1">
      <w:pPr>
        <w:spacing w:after="0" w:line="240" w:lineRule="auto"/>
        <w:jc w:val="both"/>
        <w:rPr>
          <w:rFonts w:ascii="Times New Roman" w:hAnsi="Times New Roman" w:cs="Times New Roman"/>
          <w:sz w:val="24"/>
          <w:szCs w:val="24"/>
        </w:rPr>
      </w:pPr>
    </w:p>
    <w:p w14:paraId="46ADEE3A" w14:textId="74283DBA"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Mitigation Strategies in the Built Environment</w:t>
      </w:r>
    </w:p>
    <w:p w14:paraId="19990C9A" w14:textId="77777777" w:rsidR="004371E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While adaptation enhances resilience, mitigation addresses the built environment’s role in driving emissions. The construction sector is highly carbon-intensive, but sustainable materials such as recycled steel, reclaimed bricks, bamboo, and sustainably sourced timber can lower embodied carbon. Innovations in cement and concrete, particularly the use of clinker substitutes like fly ash and slag, reduce the sector’s carbon footprint (Petrova, 2024). Urban vegetation, including trees, green roofs, and walls, not only cools urban microclimates but also sequesters carbon. Water-sensitive urban design further integrates ecological systems into cities, improving resilience while contributing to emission reductions. Finally, modular and prefabricated construction reduces waste, lowers material use, and enables efficient scaling of sustainable practices.</w:t>
      </w:r>
    </w:p>
    <w:p w14:paraId="2DF3EF81" w14:textId="77777777" w:rsidR="00C316A1" w:rsidRPr="00BE4AF3" w:rsidRDefault="00C316A1" w:rsidP="00C316A1">
      <w:pPr>
        <w:spacing w:after="0" w:line="240" w:lineRule="auto"/>
        <w:jc w:val="both"/>
        <w:rPr>
          <w:rFonts w:ascii="Times New Roman" w:hAnsi="Times New Roman" w:cs="Times New Roman"/>
          <w:sz w:val="24"/>
          <w:szCs w:val="24"/>
        </w:rPr>
      </w:pPr>
    </w:p>
    <w:p w14:paraId="1F852825" w14:textId="46D51164"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Case Studies of Adaptation Strategies in the Built Environment</w:t>
      </w:r>
    </w:p>
    <w:p w14:paraId="5261CFC2" w14:textId="77777777" w:rsidR="004371E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Case studies provide valuable insights into how societies have historically confronted the risks of climate change through the built environment. By situating examples within their historical and social contexts, they reveal not only technical solutions but also broader narratives of resilience and adaptation. Two contrasting cases Rotterdam in the Netherlands and Makoko in Lagos, Nigeria—illustrate how developed and developing regions address climate risks differently, shaped by history, governance, and available resources.</w:t>
      </w:r>
    </w:p>
    <w:p w14:paraId="0F590D13" w14:textId="77777777" w:rsidR="00C316A1" w:rsidRPr="00BE4AF3" w:rsidRDefault="00C316A1" w:rsidP="00C316A1">
      <w:pPr>
        <w:spacing w:after="0" w:line="240" w:lineRule="auto"/>
        <w:jc w:val="both"/>
        <w:rPr>
          <w:rFonts w:ascii="Times New Roman" w:hAnsi="Times New Roman" w:cs="Times New Roman"/>
          <w:sz w:val="24"/>
          <w:szCs w:val="24"/>
        </w:rPr>
      </w:pPr>
    </w:p>
    <w:p w14:paraId="0D6C27C9" w14:textId="0237F2B9"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Rotterdam’s Floating Architecture (Netherlands)</w:t>
      </w:r>
    </w:p>
    <w:p w14:paraId="093F097D"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Netherlands has a centuries-long history of managing water, with approximately one-third of its land below sea level. For generations, the Dutch relied on dikes, canals, and polders to reclaim land and protect against floods (van Koningsveld et al., 2008). Rotterdam, one of the country’s most important port cities, has always been at the frontline of this struggle. The catastrophic North Sea Flood of 1953, which killed more than 1,800 people, marked a turning point, prompting the Delta Works, a vast engineering system of dams and storm surge barriers considered one of the world’s largest infrastructural defenses (Gerritsen, 2005).</w:t>
      </w:r>
    </w:p>
    <w:p w14:paraId="525BAE1E" w14:textId="77777777" w:rsidR="004371E3" w:rsidRPr="00BE4AF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However, as climate change and sea-level rise threatened to outpace static defenses, Rotterdam adopted a paradigm shift from “fighting water” to “living with water” (Bos &amp; Zwaneveld, 2017). Floating architecture emerged as part of this transition. The Floating Pavilion in Rijnhaven, completed in 2010, exemplifies adaptive design: buoyant foundations, lightweight ETFE envelopes, and integrated solar and water systems make it resilient and sustainable (Neumann, 2011). Similarly, the Waterwoningen (Water Dwellings) in IJburg demonstrate how entire </w:t>
      </w:r>
      <w:r w:rsidRPr="00BE4AF3">
        <w:rPr>
          <w:rFonts w:ascii="Times New Roman" w:hAnsi="Times New Roman" w:cs="Times New Roman"/>
          <w:sz w:val="24"/>
          <w:szCs w:val="24"/>
        </w:rPr>
        <w:lastRenderedPageBreak/>
        <w:t>neighborhoods can adapt to fluctuating water levels while remaining connected to urban grids (Koen Olthuis &amp; Keuning, 2010).</w:t>
      </w:r>
    </w:p>
    <w:p w14:paraId="22338719" w14:textId="77777777" w:rsidR="004371E3" w:rsidRDefault="004371E3" w:rsidP="00C316A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Rotterdam’s historical experience created an institutional culture of resilience, supported by strong governance, financial resources, and a willingness to innovate (OECD, 2014). Its floating architecture is now a global model for deltaic and coastal cities, combining adaptation with urban reinvention.</w:t>
      </w:r>
    </w:p>
    <w:p w14:paraId="3F075526" w14:textId="77777777" w:rsidR="00C316A1" w:rsidRPr="00BE4AF3" w:rsidRDefault="00C316A1" w:rsidP="00C316A1">
      <w:pPr>
        <w:spacing w:after="0" w:line="240" w:lineRule="auto"/>
        <w:jc w:val="both"/>
        <w:rPr>
          <w:rFonts w:ascii="Times New Roman" w:hAnsi="Times New Roman" w:cs="Times New Roman"/>
          <w:sz w:val="24"/>
          <w:szCs w:val="24"/>
        </w:rPr>
      </w:pPr>
    </w:p>
    <w:p w14:paraId="2DD28786" w14:textId="77777777" w:rsidR="004371E3" w:rsidRPr="00BE4AF3" w:rsidRDefault="004371E3" w:rsidP="004371E3">
      <w:pPr>
        <w:tabs>
          <w:tab w:val="left" w:pos="3270"/>
        </w:tabs>
        <w:spacing w:after="0" w:line="240" w:lineRule="auto"/>
        <w:jc w:val="both"/>
        <w:rPr>
          <w:rFonts w:ascii="Times New Roman" w:hAnsi="Times New Roman" w:cs="Times New Roman"/>
          <w:sz w:val="24"/>
          <w:szCs w:val="24"/>
          <w:lang w:val="en-MY"/>
        </w:rPr>
      </w:pPr>
      <w:r w:rsidRPr="00BE4AF3">
        <w:rPr>
          <w:rFonts w:ascii="Times New Roman" w:hAnsi="Times New Roman" w:cs="Times New Roman"/>
          <w:noProof/>
          <w:sz w:val="24"/>
          <w:szCs w:val="24"/>
          <w:lang w:eastAsia="en-GB"/>
        </w:rPr>
        <w:drawing>
          <wp:anchor distT="0" distB="0" distL="0" distR="0" simplePos="0" relativeHeight="251673600" behindDoc="0" locked="0" layoutInCell="1" allowOverlap="1" wp14:anchorId="170AF061" wp14:editId="4A6AD2D7">
            <wp:simplePos x="0" y="0"/>
            <wp:positionH relativeFrom="column">
              <wp:posOffset>409575</wp:posOffset>
            </wp:positionH>
            <wp:positionV relativeFrom="paragraph">
              <wp:posOffset>11430</wp:posOffset>
            </wp:positionV>
            <wp:extent cx="4914265" cy="2800350"/>
            <wp:effectExtent l="0" t="0" r="635" b="0"/>
            <wp:wrapNone/>
            <wp:docPr id="8"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114"/>
                    <a:stretch>
                      <a:fillRect/>
                    </a:stretch>
                  </pic:blipFill>
                  <pic:spPr bwMode="auto">
                    <a:xfrm>
                      <a:off x="0" y="0"/>
                      <a:ext cx="4914265" cy="2800350"/>
                    </a:xfrm>
                    <a:prstGeom prst="rect">
                      <a:avLst/>
                    </a:prstGeom>
                    <a:noFill/>
                  </pic:spPr>
                </pic:pic>
              </a:graphicData>
            </a:graphic>
            <wp14:sizeRelV relativeFrom="margin">
              <wp14:pctHeight>0</wp14:pctHeight>
            </wp14:sizeRelV>
          </wp:anchor>
        </w:drawing>
      </w:r>
    </w:p>
    <w:p w14:paraId="00A5F76D" w14:textId="77777777" w:rsidR="004371E3" w:rsidRPr="00BE4AF3" w:rsidRDefault="004371E3" w:rsidP="004371E3">
      <w:pPr>
        <w:tabs>
          <w:tab w:val="left" w:pos="3270"/>
        </w:tabs>
        <w:spacing w:after="0" w:line="240" w:lineRule="auto"/>
        <w:jc w:val="both"/>
        <w:rPr>
          <w:rFonts w:ascii="Times New Roman" w:hAnsi="Times New Roman" w:cs="Times New Roman"/>
          <w:sz w:val="24"/>
          <w:szCs w:val="24"/>
          <w:lang w:val="en-MY"/>
        </w:rPr>
      </w:pPr>
    </w:p>
    <w:p w14:paraId="7A11B89B" w14:textId="77777777" w:rsidR="004371E3" w:rsidRPr="00BE4AF3" w:rsidRDefault="004371E3" w:rsidP="004371E3">
      <w:pPr>
        <w:tabs>
          <w:tab w:val="left" w:pos="3270"/>
        </w:tabs>
        <w:spacing w:after="0" w:line="240" w:lineRule="auto"/>
        <w:jc w:val="both"/>
        <w:rPr>
          <w:rFonts w:ascii="Times New Roman" w:hAnsi="Times New Roman" w:cs="Times New Roman"/>
          <w:sz w:val="24"/>
          <w:szCs w:val="24"/>
          <w:lang w:val="en-MY"/>
        </w:rPr>
      </w:pPr>
    </w:p>
    <w:p w14:paraId="14E4125D" w14:textId="77777777" w:rsidR="004371E3" w:rsidRPr="00BE4AF3" w:rsidRDefault="004371E3" w:rsidP="004371E3">
      <w:pPr>
        <w:tabs>
          <w:tab w:val="left" w:pos="3270"/>
        </w:tabs>
        <w:spacing w:after="0" w:line="240" w:lineRule="auto"/>
        <w:jc w:val="both"/>
        <w:rPr>
          <w:rFonts w:ascii="Times New Roman" w:hAnsi="Times New Roman" w:cs="Times New Roman"/>
          <w:sz w:val="24"/>
          <w:szCs w:val="24"/>
          <w:lang w:val="en-MY"/>
        </w:rPr>
      </w:pPr>
    </w:p>
    <w:p w14:paraId="0CA14923" w14:textId="77777777" w:rsidR="004371E3" w:rsidRPr="00BE4AF3" w:rsidRDefault="004371E3" w:rsidP="004371E3">
      <w:pPr>
        <w:tabs>
          <w:tab w:val="left" w:pos="3270"/>
        </w:tabs>
        <w:spacing w:after="0" w:line="240" w:lineRule="auto"/>
        <w:jc w:val="both"/>
        <w:rPr>
          <w:rFonts w:ascii="Times New Roman" w:hAnsi="Times New Roman" w:cs="Times New Roman"/>
          <w:sz w:val="24"/>
          <w:szCs w:val="24"/>
          <w:lang w:val="en-MY"/>
        </w:rPr>
      </w:pPr>
    </w:p>
    <w:p w14:paraId="227F84E8" w14:textId="77777777" w:rsidR="004371E3" w:rsidRPr="00BE4AF3" w:rsidRDefault="004371E3" w:rsidP="004371E3">
      <w:pPr>
        <w:tabs>
          <w:tab w:val="left" w:pos="3270"/>
        </w:tabs>
        <w:spacing w:after="0" w:line="240" w:lineRule="auto"/>
        <w:jc w:val="both"/>
        <w:rPr>
          <w:rFonts w:ascii="Times New Roman" w:hAnsi="Times New Roman" w:cs="Times New Roman"/>
          <w:sz w:val="24"/>
          <w:szCs w:val="24"/>
          <w:lang w:val="en-MY"/>
        </w:rPr>
      </w:pPr>
    </w:p>
    <w:p w14:paraId="111A6CCF" w14:textId="77777777" w:rsidR="004371E3" w:rsidRPr="00BE4AF3" w:rsidRDefault="004371E3" w:rsidP="004371E3">
      <w:pPr>
        <w:tabs>
          <w:tab w:val="left" w:pos="3270"/>
        </w:tabs>
        <w:spacing w:after="0" w:line="240" w:lineRule="auto"/>
        <w:jc w:val="both"/>
        <w:rPr>
          <w:rFonts w:ascii="Times New Roman" w:hAnsi="Times New Roman" w:cs="Times New Roman"/>
          <w:sz w:val="24"/>
          <w:szCs w:val="24"/>
          <w:lang w:val="en-MY"/>
        </w:rPr>
      </w:pPr>
    </w:p>
    <w:p w14:paraId="3DCD0157" w14:textId="77777777" w:rsidR="004371E3" w:rsidRPr="00BE4AF3" w:rsidRDefault="004371E3" w:rsidP="004371E3">
      <w:pPr>
        <w:tabs>
          <w:tab w:val="left" w:pos="3270"/>
        </w:tabs>
        <w:spacing w:after="0" w:line="240" w:lineRule="auto"/>
        <w:jc w:val="both"/>
        <w:rPr>
          <w:rFonts w:ascii="Times New Roman" w:hAnsi="Times New Roman" w:cs="Times New Roman"/>
          <w:sz w:val="24"/>
          <w:szCs w:val="24"/>
          <w:lang w:val="en-MY"/>
        </w:rPr>
      </w:pPr>
    </w:p>
    <w:p w14:paraId="7CB92CA9" w14:textId="77777777" w:rsidR="004371E3" w:rsidRPr="00BE4AF3" w:rsidRDefault="004371E3" w:rsidP="004371E3">
      <w:pPr>
        <w:tabs>
          <w:tab w:val="left" w:pos="3270"/>
        </w:tabs>
        <w:spacing w:after="0" w:line="240" w:lineRule="auto"/>
        <w:jc w:val="both"/>
        <w:rPr>
          <w:rFonts w:ascii="Times New Roman" w:hAnsi="Times New Roman" w:cs="Times New Roman"/>
          <w:sz w:val="24"/>
          <w:szCs w:val="24"/>
          <w:lang w:val="en-MY"/>
        </w:rPr>
      </w:pPr>
    </w:p>
    <w:p w14:paraId="66F3493A" w14:textId="77777777" w:rsidR="004371E3" w:rsidRPr="00BE4AF3" w:rsidRDefault="004371E3" w:rsidP="004371E3">
      <w:pPr>
        <w:tabs>
          <w:tab w:val="left" w:pos="3270"/>
        </w:tabs>
        <w:spacing w:after="0" w:line="240" w:lineRule="auto"/>
        <w:jc w:val="both"/>
        <w:rPr>
          <w:rFonts w:ascii="Times New Roman" w:hAnsi="Times New Roman" w:cs="Times New Roman"/>
          <w:sz w:val="24"/>
          <w:szCs w:val="24"/>
          <w:lang w:val="en-MY"/>
        </w:rPr>
      </w:pPr>
    </w:p>
    <w:p w14:paraId="1E4D1D66" w14:textId="77777777" w:rsidR="004371E3" w:rsidRPr="00BE4AF3" w:rsidRDefault="004371E3" w:rsidP="004371E3">
      <w:pPr>
        <w:tabs>
          <w:tab w:val="left" w:pos="3270"/>
        </w:tabs>
        <w:spacing w:after="0" w:line="240" w:lineRule="auto"/>
        <w:jc w:val="both"/>
        <w:rPr>
          <w:rFonts w:ascii="Times New Roman" w:hAnsi="Times New Roman" w:cs="Times New Roman"/>
          <w:sz w:val="24"/>
          <w:szCs w:val="24"/>
          <w:lang w:val="en-MY"/>
        </w:rPr>
      </w:pPr>
    </w:p>
    <w:p w14:paraId="0F6D980A" w14:textId="77777777" w:rsidR="004371E3" w:rsidRPr="00BE4AF3" w:rsidRDefault="004371E3" w:rsidP="004371E3">
      <w:pPr>
        <w:tabs>
          <w:tab w:val="left" w:pos="3270"/>
        </w:tabs>
        <w:spacing w:after="0" w:line="240" w:lineRule="auto"/>
        <w:jc w:val="both"/>
        <w:rPr>
          <w:rFonts w:ascii="Times New Roman" w:hAnsi="Times New Roman" w:cs="Times New Roman"/>
          <w:sz w:val="24"/>
          <w:szCs w:val="24"/>
          <w:lang w:val="en-MY"/>
        </w:rPr>
      </w:pPr>
    </w:p>
    <w:p w14:paraId="7A6E8422" w14:textId="77777777" w:rsidR="004371E3" w:rsidRPr="00BE4AF3" w:rsidRDefault="004371E3" w:rsidP="004371E3">
      <w:pPr>
        <w:tabs>
          <w:tab w:val="left" w:pos="3270"/>
        </w:tabs>
        <w:spacing w:after="0" w:line="240" w:lineRule="auto"/>
        <w:jc w:val="both"/>
        <w:rPr>
          <w:rFonts w:ascii="Times New Roman" w:hAnsi="Times New Roman" w:cs="Times New Roman"/>
          <w:sz w:val="24"/>
          <w:szCs w:val="24"/>
          <w:lang w:val="en-MY"/>
        </w:rPr>
      </w:pPr>
    </w:p>
    <w:p w14:paraId="7CCFF7A5" w14:textId="77777777" w:rsidR="004371E3" w:rsidRPr="00BE4AF3" w:rsidRDefault="004371E3" w:rsidP="004371E3">
      <w:pPr>
        <w:tabs>
          <w:tab w:val="left" w:pos="3270"/>
        </w:tabs>
        <w:spacing w:after="0" w:line="240" w:lineRule="auto"/>
        <w:jc w:val="both"/>
        <w:rPr>
          <w:rFonts w:ascii="Times New Roman" w:hAnsi="Times New Roman" w:cs="Times New Roman"/>
          <w:sz w:val="24"/>
          <w:szCs w:val="24"/>
          <w:lang w:val="en-MY"/>
        </w:rPr>
      </w:pPr>
    </w:p>
    <w:p w14:paraId="515C7957" w14:textId="77777777" w:rsidR="004371E3" w:rsidRPr="00BE4AF3" w:rsidRDefault="004371E3" w:rsidP="004371E3">
      <w:pPr>
        <w:tabs>
          <w:tab w:val="left" w:pos="3270"/>
        </w:tabs>
        <w:spacing w:after="0" w:line="240" w:lineRule="auto"/>
        <w:jc w:val="both"/>
        <w:rPr>
          <w:rFonts w:ascii="Times New Roman" w:hAnsi="Times New Roman" w:cs="Times New Roman"/>
          <w:sz w:val="24"/>
          <w:szCs w:val="24"/>
          <w:lang w:val="en-MY"/>
        </w:rPr>
      </w:pPr>
    </w:p>
    <w:p w14:paraId="38EDE1AC" w14:textId="77777777" w:rsidR="004371E3" w:rsidRPr="00BE4AF3" w:rsidRDefault="004371E3" w:rsidP="004371E3">
      <w:pPr>
        <w:tabs>
          <w:tab w:val="left" w:pos="3270"/>
        </w:tabs>
        <w:spacing w:after="0" w:line="240" w:lineRule="auto"/>
        <w:jc w:val="both"/>
        <w:rPr>
          <w:rFonts w:ascii="Times New Roman" w:hAnsi="Times New Roman" w:cs="Times New Roman"/>
          <w:sz w:val="24"/>
          <w:szCs w:val="24"/>
          <w:lang w:val="en-MY"/>
        </w:rPr>
      </w:pPr>
    </w:p>
    <w:p w14:paraId="77210E63" w14:textId="77777777" w:rsidR="004371E3" w:rsidRPr="00BE4AF3" w:rsidRDefault="004371E3" w:rsidP="004371E3">
      <w:pPr>
        <w:pStyle w:val="NoSpacing"/>
        <w:jc w:val="center"/>
        <w:rPr>
          <w:rFonts w:ascii="Times New Roman" w:hAnsi="Times New Roman" w:cs="Times New Roman"/>
          <w:sz w:val="24"/>
        </w:rPr>
      </w:pPr>
      <w:r w:rsidRPr="00BE4AF3">
        <w:rPr>
          <w:rFonts w:ascii="Times New Roman" w:hAnsi="Times New Roman" w:cs="Times New Roman"/>
          <w:b/>
          <w:bCs/>
          <w:sz w:val="24"/>
        </w:rPr>
        <w:t xml:space="preserve">Figure 1: </w:t>
      </w:r>
      <w:r w:rsidRPr="00BE4AF3">
        <w:rPr>
          <w:rFonts w:ascii="Times New Roman" w:hAnsi="Times New Roman" w:cs="Times New Roman"/>
          <w:sz w:val="24"/>
        </w:rPr>
        <w:t>Floating Pavilion in Rijnhaven</w:t>
      </w:r>
    </w:p>
    <w:p w14:paraId="4A31D46A" w14:textId="77777777" w:rsidR="004371E3" w:rsidRPr="00BE4AF3" w:rsidRDefault="004371E3" w:rsidP="004371E3">
      <w:pPr>
        <w:tabs>
          <w:tab w:val="left" w:pos="3270"/>
        </w:tabs>
        <w:spacing w:after="0" w:line="240" w:lineRule="auto"/>
        <w:jc w:val="center"/>
        <w:rPr>
          <w:rFonts w:ascii="Times New Roman" w:hAnsi="Times New Roman" w:cs="Times New Roman"/>
          <w:sz w:val="24"/>
          <w:szCs w:val="24"/>
        </w:rPr>
      </w:pPr>
      <w:r w:rsidRPr="00BE4AF3">
        <w:rPr>
          <w:rFonts w:ascii="Times New Roman" w:hAnsi="Times New Roman" w:cs="Times New Roman"/>
          <w:b/>
          <w:bCs/>
          <w:sz w:val="24"/>
          <w:szCs w:val="24"/>
        </w:rPr>
        <w:t xml:space="preserve">Source: </w:t>
      </w:r>
      <w:r w:rsidRPr="00BE4AF3">
        <w:rPr>
          <w:rFonts w:ascii="Times New Roman" w:hAnsi="Times New Roman" w:cs="Times New Roman"/>
          <w:sz w:val="24"/>
          <w:szCs w:val="24"/>
        </w:rPr>
        <w:t>Google Search</w:t>
      </w:r>
    </w:p>
    <w:p w14:paraId="6DEE89C6" w14:textId="77777777" w:rsidR="004371E3" w:rsidRPr="00BE4AF3" w:rsidRDefault="004371E3" w:rsidP="004371E3">
      <w:pPr>
        <w:tabs>
          <w:tab w:val="left" w:pos="3270"/>
        </w:tabs>
        <w:spacing w:after="0" w:line="240" w:lineRule="auto"/>
        <w:jc w:val="both"/>
        <w:rPr>
          <w:rFonts w:ascii="Times New Roman" w:hAnsi="Times New Roman" w:cs="Times New Roman"/>
          <w:sz w:val="24"/>
          <w:szCs w:val="24"/>
        </w:rPr>
      </w:pPr>
    </w:p>
    <w:p w14:paraId="7328757A" w14:textId="53A39EE9" w:rsidR="004371E3" w:rsidRPr="00BE4AF3" w:rsidRDefault="00C316A1" w:rsidP="004371E3">
      <w:pPr>
        <w:tabs>
          <w:tab w:val="left" w:pos="3270"/>
        </w:tabs>
        <w:spacing w:after="0" w:line="240" w:lineRule="auto"/>
        <w:jc w:val="both"/>
        <w:rPr>
          <w:rFonts w:ascii="Times New Roman" w:hAnsi="Times New Roman" w:cs="Times New Roman"/>
          <w:sz w:val="24"/>
          <w:szCs w:val="24"/>
        </w:rPr>
      </w:pPr>
      <w:r w:rsidRPr="00BE4AF3">
        <w:rPr>
          <w:rFonts w:ascii="Times New Roman" w:hAnsi="Times New Roman" w:cs="Times New Roman"/>
          <w:noProof/>
          <w:sz w:val="24"/>
          <w:szCs w:val="24"/>
          <w:lang w:eastAsia="en-GB"/>
        </w:rPr>
        <w:drawing>
          <wp:anchor distT="0" distB="0" distL="0" distR="0" simplePos="0" relativeHeight="251674624" behindDoc="0" locked="0" layoutInCell="1" allowOverlap="1" wp14:anchorId="39487F53" wp14:editId="04A3788D">
            <wp:simplePos x="0" y="0"/>
            <wp:positionH relativeFrom="column">
              <wp:posOffset>409575</wp:posOffset>
            </wp:positionH>
            <wp:positionV relativeFrom="paragraph">
              <wp:posOffset>177800</wp:posOffset>
            </wp:positionV>
            <wp:extent cx="4895215" cy="2581275"/>
            <wp:effectExtent l="0" t="0" r="635" b="9525"/>
            <wp:wrapNone/>
            <wp:docPr id="12"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115"/>
                    <a:stretch>
                      <a:fillRect/>
                    </a:stretch>
                  </pic:blipFill>
                  <pic:spPr bwMode="auto">
                    <a:xfrm>
                      <a:off x="0" y="0"/>
                      <a:ext cx="4895215" cy="2581275"/>
                    </a:xfrm>
                    <a:prstGeom prst="rect">
                      <a:avLst/>
                    </a:prstGeom>
                    <a:noFill/>
                  </pic:spPr>
                </pic:pic>
              </a:graphicData>
            </a:graphic>
            <wp14:sizeRelH relativeFrom="margin">
              <wp14:pctWidth>0</wp14:pctWidth>
            </wp14:sizeRelH>
            <wp14:sizeRelV relativeFrom="margin">
              <wp14:pctHeight>0</wp14:pctHeight>
            </wp14:sizeRelV>
          </wp:anchor>
        </w:drawing>
      </w:r>
    </w:p>
    <w:p w14:paraId="722FAF98" w14:textId="37E47D31" w:rsidR="004371E3" w:rsidRPr="00BE4AF3" w:rsidRDefault="004371E3" w:rsidP="004371E3">
      <w:pPr>
        <w:tabs>
          <w:tab w:val="left" w:pos="3270"/>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b/>
      </w:r>
      <w:r w:rsidRPr="00BE4AF3">
        <w:rPr>
          <w:rFonts w:ascii="Times New Roman" w:hAnsi="Times New Roman" w:cs="Times New Roman"/>
          <w:sz w:val="24"/>
          <w:szCs w:val="24"/>
        </w:rPr>
        <w:tab/>
      </w:r>
      <w:r w:rsidRPr="00BE4AF3">
        <w:rPr>
          <w:rFonts w:ascii="Times New Roman" w:hAnsi="Times New Roman" w:cs="Times New Roman"/>
          <w:sz w:val="24"/>
          <w:szCs w:val="24"/>
        </w:rPr>
        <w:tab/>
      </w:r>
      <w:r w:rsidRPr="00BE4AF3">
        <w:rPr>
          <w:rFonts w:ascii="Times New Roman" w:hAnsi="Times New Roman" w:cs="Times New Roman"/>
          <w:sz w:val="24"/>
          <w:szCs w:val="24"/>
        </w:rPr>
        <w:tab/>
      </w:r>
      <w:r w:rsidRPr="00BE4AF3">
        <w:rPr>
          <w:rFonts w:ascii="Times New Roman" w:hAnsi="Times New Roman" w:cs="Times New Roman"/>
          <w:sz w:val="24"/>
          <w:szCs w:val="24"/>
        </w:rPr>
        <w:tab/>
      </w:r>
      <w:r w:rsidRPr="00BE4AF3">
        <w:rPr>
          <w:rFonts w:ascii="Times New Roman" w:hAnsi="Times New Roman" w:cs="Times New Roman"/>
          <w:sz w:val="24"/>
          <w:szCs w:val="24"/>
        </w:rPr>
        <w:tab/>
      </w:r>
    </w:p>
    <w:p w14:paraId="2A70582D" w14:textId="77777777" w:rsidR="004371E3" w:rsidRPr="00BE4AF3" w:rsidRDefault="004371E3" w:rsidP="004371E3">
      <w:pPr>
        <w:spacing w:after="0" w:line="240" w:lineRule="auto"/>
        <w:jc w:val="both"/>
        <w:rPr>
          <w:rFonts w:ascii="Times New Roman" w:hAnsi="Times New Roman" w:cs="Times New Roman"/>
          <w:b/>
          <w:sz w:val="24"/>
          <w:szCs w:val="24"/>
        </w:rPr>
      </w:pPr>
    </w:p>
    <w:p w14:paraId="32F376DD" w14:textId="77777777" w:rsidR="004371E3" w:rsidRPr="00BE4AF3" w:rsidRDefault="004371E3" w:rsidP="004371E3">
      <w:pPr>
        <w:spacing w:after="0" w:line="240" w:lineRule="auto"/>
        <w:jc w:val="both"/>
        <w:rPr>
          <w:rFonts w:ascii="Times New Roman" w:hAnsi="Times New Roman" w:cs="Times New Roman"/>
          <w:b/>
          <w:sz w:val="24"/>
          <w:szCs w:val="24"/>
        </w:rPr>
      </w:pPr>
    </w:p>
    <w:p w14:paraId="4123BED2" w14:textId="77777777" w:rsidR="004371E3" w:rsidRPr="00BE4AF3" w:rsidRDefault="004371E3" w:rsidP="004371E3">
      <w:pPr>
        <w:spacing w:after="0" w:line="240" w:lineRule="auto"/>
        <w:jc w:val="both"/>
        <w:rPr>
          <w:rFonts w:ascii="Times New Roman" w:hAnsi="Times New Roman" w:cs="Times New Roman"/>
          <w:b/>
          <w:sz w:val="24"/>
          <w:szCs w:val="24"/>
        </w:rPr>
      </w:pPr>
    </w:p>
    <w:p w14:paraId="135C6385" w14:textId="77777777" w:rsidR="004371E3" w:rsidRPr="00BE4AF3" w:rsidRDefault="004371E3" w:rsidP="004371E3">
      <w:pPr>
        <w:spacing w:after="0" w:line="240" w:lineRule="auto"/>
        <w:jc w:val="both"/>
        <w:rPr>
          <w:rFonts w:ascii="Times New Roman" w:hAnsi="Times New Roman" w:cs="Times New Roman"/>
          <w:b/>
          <w:sz w:val="24"/>
          <w:szCs w:val="24"/>
        </w:rPr>
      </w:pPr>
    </w:p>
    <w:p w14:paraId="5A62A800" w14:textId="77777777" w:rsidR="004371E3" w:rsidRPr="00BE4AF3" w:rsidRDefault="004371E3" w:rsidP="004371E3">
      <w:pPr>
        <w:spacing w:after="0" w:line="240" w:lineRule="auto"/>
        <w:jc w:val="both"/>
        <w:rPr>
          <w:rFonts w:ascii="Times New Roman" w:hAnsi="Times New Roman" w:cs="Times New Roman"/>
          <w:b/>
          <w:sz w:val="24"/>
          <w:szCs w:val="24"/>
        </w:rPr>
      </w:pPr>
    </w:p>
    <w:p w14:paraId="15D3FB2B" w14:textId="77777777" w:rsidR="004371E3" w:rsidRPr="00BE4AF3" w:rsidRDefault="004371E3" w:rsidP="004371E3">
      <w:pPr>
        <w:spacing w:after="0" w:line="240" w:lineRule="auto"/>
        <w:jc w:val="both"/>
        <w:rPr>
          <w:rFonts w:ascii="Times New Roman" w:hAnsi="Times New Roman" w:cs="Times New Roman"/>
          <w:b/>
          <w:sz w:val="24"/>
          <w:szCs w:val="24"/>
        </w:rPr>
      </w:pPr>
    </w:p>
    <w:p w14:paraId="00575B12" w14:textId="77777777" w:rsidR="004371E3" w:rsidRPr="00BE4AF3" w:rsidRDefault="004371E3" w:rsidP="004371E3">
      <w:pPr>
        <w:spacing w:after="0" w:line="240" w:lineRule="auto"/>
        <w:jc w:val="both"/>
        <w:rPr>
          <w:rFonts w:ascii="Times New Roman" w:hAnsi="Times New Roman" w:cs="Times New Roman"/>
          <w:b/>
          <w:sz w:val="24"/>
          <w:szCs w:val="24"/>
        </w:rPr>
      </w:pPr>
    </w:p>
    <w:p w14:paraId="324D68BA" w14:textId="77777777" w:rsidR="004371E3" w:rsidRPr="00BE4AF3" w:rsidRDefault="004371E3" w:rsidP="004371E3">
      <w:pPr>
        <w:spacing w:after="0" w:line="240" w:lineRule="auto"/>
        <w:jc w:val="both"/>
        <w:rPr>
          <w:rFonts w:ascii="Times New Roman" w:hAnsi="Times New Roman" w:cs="Times New Roman"/>
          <w:b/>
          <w:sz w:val="24"/>
          <w:szCs w:val="24"/>
        </w:rPr>
      </w:pPr>
    </w:p>
    <w:p w14:paraId="5EB78156" w14:textId="77777777" w:rsidR="004371E3" w:rsidRPr="00BE4AF3" w:rsidRDefault="004371E3" w:rsidP="004371E3">
      <w:pPr>
        <w:spacing w:after="0" w:line="240" w:lineRule="auto"/>
        <w:jc w:val="both"/>
        <w:rPr>
          <w:rFonts w:ascii="Times New Roman" w:hAnsi="Times New Roman" w:cs="Times New Roman"/>
          <w:b/>
          <w:sz w:val="24"/>
          <w:szCs w:val="24"/>
        </w:rPr>
      </w:pPr>
    </w:p>
    <w:p w14:paraId="40E99955" w14:textId="77777777" w:rsidR="004371E3" w:rsidRPr="00BE4AF3" w:rsidRDefault="004371E3" w:rsidP="004371E3">
      <w:pPr>
        <w:spacing w:after="0" w:line="240" w:lineRule="auto"/>
        <w:jc w:val="both"/>
        <w:rPr>
          <w:rFonts w:ascii="Times New Roman" w:hAnsi="Times New Roman" w:cs="Times New Roman"/>
          <w:b/>
          <w:sz w:val="24"/>
          <w:szCs w:val="24"/>
        </w:rPr>
      </w:pPr>
    </w:p>
    <w:p w14:paraId="5CAC2A98" w14:textId="77777777" w:rsidR="004371E3" w:rsidRPr="00BE4AF3" w:rsidRDefault="004371E3" w:rsidP="004371E3">
      <w:pPr>
        <w:spacing w:after="0" w:line="240" w:lineRule="auto"/>
        <w:jc w:val="both"/>
        <w:rPr>
          <w:rFonts w:ascii="Times New Roman" w:hAnsi="Times New Roman" w:cs="Times New Roman"/>
          <w:b/>
          <w:sz w:val="24"/>
          <w:szCs w:val="24"/>
        </w:rPr>
      </w:pPr>
    </w:p>
    <w:p w14:paraId="53EAE574" w14:textId="77777777" w:rsidR="004371E3" w:rsidRPr="00BE4AF3" w:rsidRDefault="004371E3" w:rsidP="004371E3">
      <w:pPr>
        <w:spacing w:after="0" w:line="240" w:lineRule="auto"/>
        <w:jc w:val="both"/>
        <w:rPr>
          <w:rFonts w:ascii="Times New Roman" w:hAnsi="Times New Roman" w:cs="Times New Roman"/>
          <w:b/>
          <w:sz w:val="24"/>
          <w:szCs w:val="24"/>
        </w:rPr>
      </w:pPr>
    </w:p>
    <w:p w14:paraId="757183FB" w14:textId="77777777" w:rsidR="004371E3" w:rsidRPr="00BE4AF3" w:rsidRDefault="004371E3" w:rsidP="004371E3">
      <w:pPr>
        <w:spacing w:after="0" w:line="240" w:lineRule="auto"/>
        <w:jc w:val="both"/>
        <w:rPr>
          <w:rFonts w:ascii="Times New Roman" w:hAnsi="Times New Roman" w:cs="Times New Roman"/>
          <w:b/>
          <w:sz w:val="24"/>
          <w:szCs w:val="24"/>
        </w:rPr>
      </w:pPr>
    </w:p>
    <w:p w14:paraId="1EE12328" w14:textId="77777777" w:rsidR="004371E3" w:rsidRPr="00BE4AF3" w:rsidRDefault="004371E3" w:rsidP="004371E3">
      <w:pPr>
        <w:spacing w:after="0" w:line="240" w:lineRule="auto"/>
        <w:jc w:val="both"/>
        <w:rPr>
          <w:rFonts w:ascii="Times New Roman" w:hAnsi="Times New Roman" w:cs="Times New Roman"/>
          <w:b/>
          <w:sz w:val="24"/>
          <w:szCs w:val="24"/>
        </w:rPr>
      </w:pPr>
    </w:p>
    <w:p w14:paraId="06EEB9DC" w14:textId="77777777" w:rsidR="004371E3" w:rsidRPr="00BE4AF3" w:rsidRDefault="004371E3" w:rsidP="00C316A1">
      <w:pPr>
        <w:pStyle w:val="NoSpacing"/>
        <w:jc w:val="center"/>
        <w:rPr>
          <w:rFonts w:ascii="Times New Roman" w:hAnsi="Times New Roman" w:cs="Times New Roman"/>
          <w:sz w:val="24"/>
        </w:rPr>
      </w:pPr>
      <w:r w:rsidRPr="00BE4AF3">
        <w:rPr>
          <w:rFonts w:ascii="Times New Roman" w:hAnsi="Times New Roman" w:cs="Times New Roman"/>
          <w:b/>
          <w:bCs/>
          <w:sz w:val="24"/>
        </w:rPr>
        <w:t xml:space="preserve">Figure 2: </w:t>
      </w:r>
      <w:r w:rsidRPr="00BE4AF3">
        <w:rPr>
          <w:rFonts w:ascii="Times New Roman" w:hAnsi="Times New Roman" w:cs="Times New Roman"/>
          <w:sz w:val="24"/>
        </w:rPr>
        <w:t xml:space="preserve"> Waterwoningen (Water Dwellings) in IJburg</w:t>
      </w:r>
    </w:p>
    <w:p w14:paraId="0F5CE38C" w14:textId="77777777" w:rsidR="004371E3" w:rsidRPr="00BE4AF3" w:rsidRDefault="004371E3" w:rsidP="004371E3">
      <w:pPr>
        <w:pStyle w:val="NoSpacing"/>
        <w:jc w:val="center"/>
        <w:rPr>
          <w:rFonts w:ascii="Times New Roman" w:hAnsi="Times New Roman" w:cs="Times New Roman"/>
          <w:sz w:val="24"/>
        </w:rPr>
      </w:pPr>
      <w:r w:rsidRPr="00BE4AF3">
        <w:rPr>
          <w:rFonts w:ascii="Times New Roman" w:hAnsi="Times New Roman" w:cs="Times New Roman"/>
          <w:b/>
          <w:bCs/>
          <w:sz w:val="24"/>
        </w:rPr>
        <w:t>Source:</w:t>
      </w:r>
      <w:r w:rsidRPr="00BE4AF3">
        <w:rPr>
          <w:rFonts w:ascii="Times New Roman" w:hAnsi="Times New Roman" w:cs="Times New Roman"/>
          <w:bCs/>
          <w:sz w:val="24"/>
        </w:rPr>
        <w:t xml:space="preserve"> </w:t>
      </w:r>
      <w:r w:rsidRPr="00BE4AF3">
        <w:rPr>
          <w:rFonts w:ascii="Times New Roman" w:hAnsi="Times New Roman" w:cs="Times New Roman"/>
          <w:sz w:val="24"/>
        </w:rPr>
        <w:t>Google Search</w:t>
      </w:r>
    </w:p>
    <w:p w14:paraId="7992354B" w14:textId="77777777" w:rsidR="004371E3" w:rsidRPr="00BE4AF3" w:rsidRDefault="004371E3" w:rsidP="004371E3">
      <w:pPr>
        <w:pStyle w:val="NoSpacing"/>
        <w:rPr>
          <w:rFonts w:ascii="Times New Roman" w:hAnsi="Times New Roman" w:cs="Times New Roman"/>
          <w:sz w:val="24"/>
        </w:rPr>
      </w:pPr>
    </w:p>
    <w:p w14:paraId="01CEB7C1" w14:textId="77777777" w:rsidR="00656A14" w:rsidRDefault="00656A14" w:rsidP="004371E3">
      <w:pPr>
        <w:jc w:val="both"/>
        <w:rPr>
          <w:rFonts w:ascii="Times New Roman" w:hAnsi="Times New Roman" w:cs="Times New Roman"/>
          <w:b/>
          <w:sz w:val="24"/>
          <w:szCs w:val="24"/>
        </w:rPr>
      </w:pPr>
    </w:p>
    <w:p w14:paraId="79136A5D" w14:textId="33D4B273" w:rsidR="004371E3" w:rsidRPr="00BE4AF3" w:rsidRDefault="004371E3" w:rsidP="00656A14">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lastRenderedPageBreak/>
        <w:t>Makoko’s Flood-Resistant Housing (Nigeria)</w:t>
      </w:r>
    </w:p>
    <w:p w14:paraId="78E4762E" w14:textId="77777777" w:rsidR="004371E3" w:rsidRPr="00BE4AF3" w:rsidRDefault="004371E3" w:rsidP="00656A14">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Lagos, Nigeria’s largest city, has experienced rapid urban growth, with its population expanding from 5 million in 1991 to over 20 million today (World Bank, 2020). Situated along the Atlantic coast, the city faces chronic flooding due to tidal surges, heavy rainfall, and inadequate drainage infrastructure (Adelekan, 2010). Within Lagos, Makoko an informal settlement founded in the 19th century as a fishing community epitomizes vulnerability. Over 100,000 residents live in houses built on stilts above the Lagos Lagoon, lacking basic sanitation, drainage, and state recognition (Agboola et al., 2023).</w:t>
      </w:r>
    </w:p>
    <w:p w14:paraId="6F96C169" w14:textId="77777777" w:rsidR="004371E3" w:rsidRPr="00BE4AF3" w:rsidRDefault="004371E3" w:rsidP="00656A14">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Despite marginalization, Makoko demonstrates indigenous adaptation strategies. Timber stilt houses, lightweight locally sourced materials, and canoe-based transport reflect long-standing practices of coping with water environments (Ajibade, 2017). In 2013, the Makoko Floating School, designed by architect Kunlé Adeyemi, brought international attention to community-led adaptation. Constructed with timber, plastic barrels, and an A-frame system, the modular building adjusted to fluctuating water levels and incorporated solar panels (Adeyemi, 2013). Though it collapsed in 2016, the project catalyzed global dialogue on low-cost, resilient architecture in informal settlements (Boano &amp; Hunter, 2012; Adegun, 2017). Its successor, MFS II, improved on structural stability and has been replicated in other parts of Africa and Southeast Asia (Adeyemi, 2017).</w:t>
      </w:r>
    </w:p>
    <w:p w14:paraId="7CE44848" w14:textId="3BACF4B5" w:rsidR="004371E3" w:rsidRPr="00BE4AF3" w:rsidRDefault="004371E3" w:rsidP="00656A14">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Makoko’s story underscores the tension between state neglect and community resilience. Unlike Rotterdam’s high-tech, government-supported models, Makoko represents bottom-up innovation rooted in necessity and climate justice, highlighting the role of vulnerable communities in global adaptation discourses (Satterthwaite et al., 2020).</w:t>
      </w:r>
    </w:p>
    <w:p w14:paraId="5CB5E133" w14:textId="714FAC20" w:rsidR="004371E3" w:rsidRPr="00BE4AF3" w:rsidRDefault="00656A14" w:rsidP="004371E3">
      <w:pPr>
        <w:jc w:val="both"/>
        <w:rPr>
          <w:rFonts w:ascii="Times New Roman" w:hAnsi="Times New Roman" w:cs="Times New Roman"/>
          <w:sz w:val="24"/>
          <w:szCs w:val="24"/>
        </w:rPr>
      </w:pPr>
      <w:r w:rsidRPr="00BE4AF3">
        <w:rPr>
          <w:rFonts w:ascii="Times New Roman" w:hAnsi="Times New Roman" w:cs="Times New Roman"/>
          <w:noProof/>
          <w:sz w:val="24"/>
          <w:szCs w:val="24"/>
          <w:lang w:eastAsia="en-GB"/>
        </w:rPr>
        <w:drawing>
          <wp:anchor distT="0" distB="0" distL="0" distR="0" simplePos="0" relativeHeight="251672576" behindDoc="1" locked="0" layoutInCell="1" allowOverlap="1" wp14:anchorId="768ACB10" wp14:editId="54B06013">
            <wp:simplePos x="0" y="0"/>
            <wp:positionH relativeFrom="column">
              <wp:posOffset>571500</wp:posOffset>
            </wp:positionH>
            <wp:positionV relativeFrom="paragraph">
              <wp:posOffset>326390</wp:posOffset>
            </wp:positionV>
            <wp:extent cx="4792345" cy="3362325"/>
            <wp:effectExtent l="0" t="0" r="8255" b="9525"/>
            <wp:wrapNone/>
            <wp:docPr id="14"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
                    <pic:cNvPicPr>
                      <a:picLocks noChangeAspect="1" noChangeArrowheads="1"/>
                    </pic:cNvPicPr>
                  </pic:nvPicPr>
                  <pic:blipFill>
                    <a:blip r:embed="rId116"/>
                    <a:stretch>
                      <a:fillRect/>
                    </a:stretch>
                  </pic:blipFill>
                  <pic:spPr bwMode="auto">
                    <a:xfrm>
                      <a:off x="0" y="0"/>
                      <a:ext cx="4792345" cy="3362325"/>
                    </a:xfrm>
                    <a:prstGeom prst="rect">
                      <a:avLst/>
                    </a:prstGeom>
                    <a:noFill/>
                  </pic:spPr>
                </pic:pic>
              </a:graphicData>
            </a:graphic>
            <wp14:sizeRelV relativeFrom="margin">
              <wp14:pctHeight>0</wp14:pctHeight>
            </wp14:sizeRelV>
          </wp:anchor>
        </w:drawing>
      </w:r>
    </w:p>
    <w:p w14:paraId="488D42DC" w14:textId="57BFBA01" w:rsidR="004371E3" w:rsidRPr="00BE4AF3" w:rsidRDefault="004371E3" w:rsidP="004371E3">
      <w:pPr>
        <w:jc w:val="both"/>
        <w:rPr>
          <w:rFonts w:ascii="Times New Roman" w:hAnsi="Times New Roman" w:cs="Times New Roman"/>
          <w:sz w:val="24"/>
          <w:szCs w:val="24"/>
        </w:rPr>
      </w:pPr>
    </w:p>
    <w:p w14:paraId="6E4AC9E3" w14:textId="77777777" w:rsidR="004371E3" w:rsidRPr="00BE4AF3" w:rsidRDefault="004371E3" w:rsidP="004371E3">
      <w:pPr>
        <w:spacing w:after="0" w:line="240" w:lineRule="auto"/>
        <w:jc w:val="both"/>
        <w:rPr>
          <w:rFonts w:ascii="Times New Roman" w:hAnsi="Times New Roman" w:cs="Times New Roman"/>
          <w:b/>
          <w:sz w:val="24"/>
          <w:szCs w:val="24"/>
        </w:rPr>
      </w:pPr>
    </w:p>
    <w:p w14:paraId="462FECBF" w14:textId="77777777" w:rsidR="004371E3" w:rsidRPr="00BE4AF3" w:rsidRDefault="004371E3" w:rsidP="004371E3">
      <w:pPr>
        <w:spacing w:after="0" w:line="240" w:lineRule="auto"/>
        <w:jc w:val="both"/>
        <w:rPr>
          <w:rFonts w:ascii="Times New Roman" w:hAnsi="Times New Roman" w:cs="Times New Roman"/>
          <w:b/>
          <w:sz w:val="24"/>
          <w:szCs w:val="24"/>
        </w:rPr>
      </w:pPr>
    </w:p>
    <w:p w14:paraId="379A28CA" w14:textId="77777777" w:rsidR="004371E3" w:rsidRPr="00BE4AF3" w:rsidRDefault="004371E3" w:rsidP="004371E3">
      <w:pPr>
        <w:spacing w:after="0" w:line="240" w:lineRule="auto"/>
        <w:jc w:val="both"/>
        <w:rPr>
          <w:rFonts w:ascii="Times New Roman" w:hAnsi="Times New Roman" w:cs="Times New Roman"/>
          <w:b/>
          <w:sz w:val="24"/>
          <w:szCs w:val="24"/>
        </w:rPr>
      </w:pPr>
    </w:p>
    <w:p w14:paraId="301B9936" w14:textId="77777777" w:rsidR="004371E3" w:rsidRPr="00BE4AF3" w:rsidRDefault="004371E3" w:rsidP="004371E3">
      <w:pPr>
        <w:spacing w:after="0" w:line="240" w:lineRule="auto"/>
        <w:jc w:val="both"/>
        <w:rPr>
          <w:rFonts w:ascii="Times New Roman" w:hAnsi="Times New Roman" w:cs="Times New Roman"/>
          <w:b/>
          <w:sz w:val="24"/>
          <w:szCs w:val="24"/>
        </w:rPr>
      </w:pPr>
    </w:p>
    <w:p w14:paraId="2DD17F90" w14:textId="77777777" w:rsidR="004371E3" w:rsidRPr="00BE4AF3" w:rsidRDefault="004371E3" w:rsidP="004371E3">
      <w:pPr>
        <w:spacing w:after="0" w:line="240" w:lineRule="auto"/>
        <w:jc w:val="both"/>
        <w:rPr>
          <w:rFonts w:ascii="Times New Roman" w:hAnsi="Times New Roman" w:cs="Times New Roman"/>
          <w:b/>
          <w:sz w:val="24"/>
          <w:szCs w:val="24"/>
        </w:rPr>
      </w:pPr>
    </w:p>
    <w:p w14:paraId="59179413" w14:textId="77777777" w:rsidR="004371E3" w:rsidRPr="00BE4AF3" w:rsidRDefault="004371E3" w:rsidP="004371E3">
      <w:pPr>
        <w:spacing w:after="0" w:line="240" w:lineRule="auto"/>
        <w:jc w:val="both"/>
        <w:rPr>
          <w:rFonts w:ascii="Times New Roman" w:hAnsi="Times New Roman" w:cs="Times New Roman"/>
          <w:b/>
          <w:sz w:val="24"/>
          <w:szCs w:val="24"/>
        </w:rPr>
      </w:pPr>
    </w:p>
    <w:p w14:paraId="789871CB" w14:textId="77777777" w:rsidR="004371E3" w:rsidRPr="00BE4AF3" w:rsidRDefault="004371E3" w:rsidP="004371E3">
      <w:pPr>
        <w:spacing w:after="0" w:line="240" w:lineRule="auto"/>
        <w:jc w:val="both"/>
        <w:rPr>
          <w:rFonts w:ascii="Times New Roman" w:hAnsi="Times New Roman" w:cs="Times New Roman"/>
          <w:b/>
          <w:sz w:val="24"/>
          <w:szCs w:val="24"/>
        </w:rPr>
      </w:pPr>
    </w:p>
    <w:p w14:paraId="0B52713C" w14:textId="77777777" w:rsidR="004371E3" w:rsidRPr="00BE4AF3" w:rsidRDefault="004371E3" w:rsidP="004371E3">
      <w:pPr>
        <w:spacing w:after="0" w:line="240" w:lineRule="auto"/>
        <w:jc w:val="both"/>
        <w:rPr>
          <w:rFonts w:ascii="Times New Roman" w:hAnsi="Times New Roman" w:cs="Times New Roman"/>
          <w:b/>
          <w:sz w:val="24"/>
          <w:szCs w:val="24"/>
        </w:rPr>
      </w:pPr>
    </w:p>
    <w:p w14:paraId="74CEC144" w14:textId="77777777" w:rsidR="004371E3" w:rsidRPr="00BE4AF3" w:rsidRDefault="004371E3" w:rsidP="004371E3">
      <w:pPr>
        <w:spacing w:after="0" w:line="240" w:lineRule="auto"/>
        <w:jc w:val="both"/>
        <w:rPr>
          <w:rFonts w:ascii="Times New Roman" w:hAnsi="Times New Roman" w:cs="Times New Roman"/>
          <w:b/>
          <w:sz w:val="24"/>
          <w:szCs w:val="24"/>
        </w:rPr>
      </w:pPr>
    </w:p>
    <w:p w14:paraId="3AD94FEE" w14:textId="77777777" w:rsidR="004371E3" w:rsidRPr="00BE4AF3" w:rsidRDefault="004371E3" w:rsidP="004371E3">
      <w:pPr>
        <w:spacing w:after="0" w:line="240" w:lineRule="auto"/>
        <w:jc w:val="both"/>
        <w:rPr>
          <w:rFonts w:ascii="Times New Roman" w:hAnsi="Times New Roman" w:cs="Times New Roman"/>
          <w:b/>
          <w:sz w:val="24"/>
          <w:szCs w:val="24"/>
        </w:rPr>
      </w:pPr>
    </w:p>
    <w:p w14:paraId="3DDC2B9D" w14:textId="77777777" w:rsidR="004371E3" w:rsidRPr="00BE4AF3" w:rsidRDefault="004371E3" w:rsidP="004371E3">
      <w:pPr>
        <w:spacing w:after="0" w:line="240" w:lineRule="auto"/>
        <w:jc w:val="both"/>
        <w:rPr>
          <w:rFonts w:ascii="Times New Roman" w:hAnsi="Times New Roman" w:cs="Times New Roman"/>
          <w:b/>
          <w:sz w:val="24"/>
          <w:szCs w:val="24"/>
        </w:rPr>
      </w:pPr>
    </w:p>
    <w:p w14:paraId="4281EAD2" w14:textId="77777777" w:rsidR="004371E3" w:rsidRPr="00BE4AF3" w:rsidRDefault="004371E3" w:rsidP="004371E3">
      <w:pPr>
        <w:spacing w:after="0" w:line="240" w:lineRule="auto"/>
        <w:jc w:val="both"/>
        <w:rPr>
          <w:rFonts w:ascii="Times New Roman" w:hAnsi="Times New Roman" w:cs="Times New Roman"/>
          <w:b/>
          <w:sz w:val="24"/>
          <w:szCs w:val="24"/>
        </w:rPr>
      </w:pPr>
    </w:p>
    <w:p w14:paraId="0D1A4A64" w14:textId="77777777" w:rsidR="004371E3" w:rsidRPr="00BE4AF3" w:rsidRDefault="004371E3" w:rsidP="004371E3">
      <w:pPr>
        <w:spacing w:after="0" w:line="240" w:lineRule="auto"/>
        <w:jc w:val="both"/>
        <w:rPr>
          <w:rFonts w:ascii="Times New Roman" w:hAnsi="Times New Roman" w:cs="Times New Roman"/>
          <w:b/>
          <w:sz w:val="24"/>
          <w:szCs w:val="24"/>
        </w:rPr>
      </w:pPr>
    </w:p>
    <w:p w14:paraId="44A49879" w14:textId="77777777" w:rsidR="004371E3" w:rsidRPr="00BE4AF3" w:rsidRDefault="004371E3" w:rsidP="004371E3">
      <w:pPr>
        <w:spacing w:after="0" w:line="240" w:lineRule="auto"/>
        <w:jc w:val="both"/>
        <w:rPr>
          <w:rFonts w:ascii="Times New Roman" w:hAnsi="Times New Roman" w:cs="Times New Roman"/>
          <w:b/>
          <w:sz w:val="24"/>
          <w:szCs w:val="24"/>
        </w:rPr>
      </w:pPr>
    </w:p>
    <w:p w14:paraId="797A31FF" w14:textId="77777777" w:rsidR="004371E3" w:rsidRPr="00BE4AF3" w:rsidRDefault="004371E3" w:rsidP="004371E3">
      <w:pPr>
        <w:spacing w:after="0" w:line="240" w:lineRule="auto"/>
        <w:jc w:val="both"/>
        <w:rPr>
          <w:rFonts w:ascii="Times New Roman" w:hAnsi="Times New Roman" w:cs="Times New Roman"/>
          <w:b/>
          <w:sz w:val="24"/>
          <w:szCs w:val="24"/>
        </w:rPr>
      </w:pPr>
    </w:p>
    <w:p w14:paraId="5FDCEDE2" w14:textId="77777777" w:rsidR="004371E3" w:rsidRPr="00BE4AF3" w:rsidRDefault="004371E3" w:rsidP="004371E3">
      <w:pPr>
        <w:spacing w:after="0" w:line="240" w:lineRule="auto"/>
        <w:jc w:val="both"/>
        <w:rPr>
          <w:rFonts w:ascii="Times New Roman" w:hAnsi="Times New Roman" w:cs="Times New Roman"/>
          <w:b/>
          <w:sz w:val="24"/>
          <w:szCs w:val="24"/>
        </w:rPr>
      </w:pPr>
    </w:p>
    <w:p w14:paraId="399EE6D2" w14:textId="77777777" w:rsidR="004371E3" w:rsidRPr="00BE4AF3" w:rsidRDefault="004371E3" w:rsidP="004371E3">
      <w:pPr>
        <w:spacing w:after="0" w:line="240" w:lineRule="auto"/>
        <w:jc w:val="both"/>
        <w:rPr>
          <w:rFonts w:ascii="Times New Roman" w:hAnsi="Times New Roman" w:cs="Times New Roman"/>
          <w:b/>
          <w:sz w:val="24"/>
          <w:szCs w:val="24"/>
        </w:rPr>
      </w:pPr>
    </w:p>
    <w:p w14:paraId="34E84F2C" w14:textId="77777777" w:rsidR="004371E3" w:rsidRPr="00BE4AF3" w:rsidRDefault="004371E3" w:rsidP="004371E3">
      <w:pPr>
        <w:spacing w:after="0" w:line="240" w:lineRule="auto"/>
        <w:jc w:val="both"/>
        <w:rPr>
          <w:rFonts w:ascii="Times New Roman" w:hAnsi="Times New Roman" w:cs="Times New Roman"/>
          <w:b/>
          <w:sz w:val="24"/>
          <w:szCs w:val="24"/>
        </w:rPr>
      </w:pPr>
    </w:p>
    <w:p w14:paraId="4F321384" w14:textId="77777777" w:rsidR="004371E3" w:rsidRPr="00BE4AF3" w:rsidRDefault="004371E3" w:rsidP="004371E3">
      <w:pPr>
        <w:pStyle w:val="NoSpacing"/>
        <w:jc w:val="center"/>
        <w:rPr>
          <w:rFonts w:ascii="Times New Roman" w:hAnsi="Times New Roman" w:cs="Times New Roman"/>
          <w:sz w:val="24"/>
        </w:rPr>
      </w:pPr>
      <w:r w:rsidRPr="00BE4AF3">
        <w:rPr>
          <w:rFonts w:ascii="Times New Roman" w:hAnsi="Times New Roman" w:cs="Times New Roman"/>
          <w:b/>
          <w:bCs/>
          <w:sz w:val="24"/>
        </w:rPr>
        <w:t xml:space="preserve">Figure 3: </w:t>
      </w:r>
      <w:r w:rsidRPr="00BE4AF3">
        <w:rPr>
          <w:rFonts w:ascii="Times New Roman" w:hAnsi="Times New Roman" w:cs="Times New Roman"/>
          <w:sz w:val="24"/>
        </w:rPr>
        <w:t xml:space="preserve"> Makoko Floating School, Lagos Nigeria</w:t>
      </w:r>
    </w:p>
    <w:p w14:paraId="4F238233" w14:textId="77777777" w:rsidR="004371E3" w:rsidRPr="00BE4AF3" w:rsidRDefault="004371E3" w:rsidP="004371E3">
      <w:pPr>
        <w:tabs>
          <w:tab w:val="left" w:pos="3270"/>
        </w:tabs>
        <w:spacing w:after="0" w:line="240" w:lineRule="auto"/>
        <w:jc w:val="center"/>
        <w:rPr>
          <w:rFonts w:ascii="Times New Roman" w:hAnsi="Times New Roman" w:cs="Times New Roman"/>
          <w:sz w:val="24"/>
          <w:szCs w:val="24"/>
        </w:rPr>
      </w:pPr>
      <w:r w:rsidRPr="00BE4AF3">
        <w:rPr>
          <w:rFonts w:ascii="Times New Roman" w:hAnsi="Times New Roman" w:cs="Times New Roman"/>
          <w:b/>
          <w:bCs/>
          <w:sz w:val="24"/>
          <w:szCs w:val="24"/>
        </w:rPr>
        <w:t xml:space="preserve">Source: </w:t>
      </w:r>
      <w:r w:rsidRPr="00BE4AF3">
        <w:rPr>
          <w:rFonts w:ascii="Times New Roman" w:hAnsi="Times New Roman" w:cs="Times New Roman"/>
          <w:sz w:val="24"/>
          <w:szCs w:val="24"/>
        </w:rPr>
        <w:t>Google Search</w:t>
      </w:r>
    </w:p>
    <w:p w14:paraId="2046B0CD" w14:textId="77777777" w:rsidR="004371E3" w:rsidRPr="00BE4AF3" w:rsidRDefault="004371E3" w:rsidP="004371E3">
      <w:pPr>
        <w:tabs>
          <w:tab w:val="left" w:pos="3270"/>
        </w:tabs>
        <w:spacing w:after="0" w:line="240" w:lineRule="auto"/>
        <w:jc w:val="both"/>
        <w:rPr>
          <w:rFonts w:ascii="Times New Roman" w:hAnsi="Times New Roman" w:cs="Times New Roman"/>
          <w:sz w:val="24"/>
          <w:szCs w:val="24"/>
        </w:rPr>
      </w:pPr>
    </w:p>
    <w:p w14:paraId="52F96CE2" w14:textId="1E8E9B7B" w:rsidR="004371E3" w:rsidRPr="00BE4AF3" w:rsidRDefault="004371E3" w:rsidP="00656A14">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lastRenderedPageBreak/>
        <w:t>Challenges and Barriers to Climate Adaptation in the Built Environment</w:t>
      </w:r>
    </w:p>
    <w:p w14:paraId="45D2EDB9" w14:textId="77777777" w:rsidR="004371E3" w:rsidRPr="00BE4AF3" w:rsidRDefault="004371E3" w:rsidP="00656A14">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Despite the growing recognition of the urgency to develop climate-resilient built environments, the implementation of effective adaptation strategies remains constrained by several interrelated barriers. These challenges are not only technical but also economic, institutional, and informational in nature, and they collectively slow down the transition toward sustainable and resilient urban systems (Slovic et al., 2024). The most critical obstacles include cost and technology gaps, weak policy enforcement, lack of localized climate data, and systemic institutional limitations.</w:t>
      </w:r>
    </w:p>
    <w:p w14:paraId="47F6A0F5" w14:textId="77777777" w:rsidR="004371E3" w:rsidRPr="00BE4AF3" w:rsidRDefault="004371E3" w:rsidP="00656A14">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 foremost barrier is the high cost and uneven accessibility of sustainable technologies. While energy-efficient buildings, green infrastructure, and renewable energy systems promise long-term benefits, their steep upfront costs often deter adoption, particularly in low- and middle-income countries (Shah et al., 2024). Solutions such as solar panels, greywater recycling, and passive cooling systems typically demand greater initial investment than conventional construction, while advanced options like green roofs or permeable pavements require specialized expertise and maintenance. Moreover, a technological divide persists between the Global North and South, where innovations are often difficult to transfer due to climatic differences, import costs, and limited local manufacturing. Without adequate subsidies or incentives, these technologies remain largely inaccessible to vulnerable regions most in need of adaptation.</w:t>
      </w:r>
    </w:p>
    <w:p w14:paraId="5B89AD2C" w14:textId="77777777" w:rsidR="004371E3" w:rsidRPr="00BE4AF3" w:rsidRDefault="004371E3" w:rsidP="00656A14">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Another critical obstacle is the lack of localized climate data for design and planning. Most available climate information is produced at national or global scales, which often masks the microclimatic variations within cities that shape heat, flood, and storm vulnerabilities (Eisenack et al., 2014). This gap is particularly acute in rapidly growing urban centres where localized phenomena such as the Urban Heat Island (UHI) effect can exacerbate heat risks, yet remain underreported due to the absence of fine-grained monitoring systems (Iping et al., 2019). Moreover, the absence of downscaled climate projections forecasts that provide neighborhood-level insights into future rainfall, temperature, or sea-level trends limits the ability of architects and planners to design infrastructure capable of withstanding future climate conditions.</w:t>
      </w:r>
    </w:p>
    <w:p w14:paraId="4BC5467A" w14:textId="77777777" w:rsidR="004371E3" w:rsidRPr="00BE4AF3" w:rsidRDefault="004371E3" w:rsidP="00656A14">
      <w:pPr>
        <w:tabs>
          <w:tab w:val="left" w:pos="3270"/>
        </w:tabs>
        <w:spacing w:after="0" w:line="240" w:lineRule="auto"/>
        <w:jc w:val="both"/>
        <w:rPr>
          <w:rFonts w:ascii="Times New Roman" w:hAnsi="Times New Roman" w:cs="Times New Roman"/>
          <w:sz w:val="24"/>
          <w:szCs w:val="24"/>
        </w:rPr>
      </w:pPr>
    </w:p>
    <w:p w14:paraId="6A2D99D3" w14:textId="5FEF8CF5" w:rsidR="004371E3" w:rsidRPr="00BE4AF3" w:rsidRDefault="004371E3" w:rsidP="00656A14">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Conclusions</w:t>
      </w:r>
    </w:p>
    <w:p w14:paraId="727315E1" w14:textId="77777777" w:rsidR="004371E3" w:rsidRPr="00BE4AF3" w:rsidRDefault="004371E3" w:rsidP="00656A14">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Climate change has become one of the defining challenges of the 21st century, exerting unprecedented pressure on the built environment. Cities face rising temperatures, flooding, and infrastructure degradation, while also being significant contributors to greenhouse gas emissions. The analysis in this study highlights that adaptation and mitigation strategies are not optional but essential, with global and Nigerian examples demonstrating that both high-tech innovations and community-driven solutions can foster resilience. However, persistent barriers including high costs, weak governance, limited data, and institutional gaps continue to hinder progress, particularly in developing regions.</w:t>
      </w:r>
    </w:p>
    <w:p w14:paraId="441B5DF6" w14:textId="77777777" w:rsidR="004371E3" w:rsidRPr="00BE4AF3" w:rsidRDefault="004371E3" w:rsidP="00656A14">
      <w:pPr>
        <w:numPr>
          <w:ilvl w:val="0"/>
          <w:numId w:val="10"/>
        </w:numPr>
        <w:suppressAutoHyphen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Climate change severely threatens the built environment, straining infrastructure and urban systems.</w:t>
      </w:r>
    </w:p>
    <w:p w14:paraId="68F07EB5" w14:textId="77777777" w:rsidR="004371E3" w:rsidRPr="00BE4AF3" w:rsidRDefault="004371E3" w:rsidP="00656A14">
      <w:pPr>
        <w:numPr>
          <w:ilvl w:val="0"/>
          <w:numId w:val="10"/>
        </w:numPr>
        <w:suppressAutoHyphen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built environment is both a driver of emissions and a key pathway for resilience.</w:t>
      </w:r>
    </w:p>
    <w:p w14:paraId="6D39C583" w14:textId="77777777" w:rsidR="004371E3" w:rsidRPr="00BE4AF3" w:rsidRDefault="004371E3" w:rsidP="00656A14">
      <w:pPr>
        <w:numPr>
          <w:ilvl w:val="0"/>
          <w:numId w:val="10"/>
        </w:numPr>
        <w:suppressAutoHyphen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Adaptation and mitigation strategies are complementary and necessary for safeguarding cities.</w:t>
      </w:r>
    </w:p>
    <w:p w14:paraId="5C5B11AC" w14:textId="77777777" w:rsidR="004371E3" w:rsidRPr="00BE4AF3" w:rsidRDefault="004371E3" w:rsidP="00656A14">
      <w:pPr>
        <w:numPr>
          <w:ilvl w:val="0"/>
          <w:numId w:val="10"/>
        </w:numPr>
        <w:suppressAutoHyphen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Case studies show that solutions must combine advanced technologies with local, community-based approaches.</w:t>
      </w:r>
    </w:p>
    <w:p w14:paraId="2CC1E0A8" w14:textId="77777777" w:rsidR="004371E3" w:rsidRPr="00BE4AF3" w:rsidRDefault="004371E3" w:rsidP="00656A14">
      <w:pPr>
        <w:numPr>
          <w:ilvl w:val="0"/>
          <w:numId w:val="10"/>
        </w:numPr>
        <w:suppressAutoHyphen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Barriers such as cost, policy weaknesses, and lack of data remain critical obstacles to implementation.</w:t>
      </w:r>
    </w:p>
    <w:p w14:paraId="3EA5B4A1" w14:textId="77777777" w:rsidR="00656A14" w:rsidRDefault="00656A14" w:rsidP="00656A14">
      <w:pPr>
        <w:spacing w:after="0" w:line="240" w:lineRule="auto"/>
        <w:jc w:val="both"/>
        <w:rPr>
          <w:rFonts w:ascii="Times New Roman" w:hAnsi="Times New Roman" w:cs="Times New Roman"/>
          <w:b/>
          <w:sz w:val="24"/>
          <w:szCs w:val="24"/>
        </w:rPr>
      </w:pPr>
    </w:p>
    <w:p w14:paraId="24D45976" w14:textId="7A02207F" w:rsidR="004371E3" w:rsidRPr="00BE4AF3" w:rsidRDefault="004371E3" w:rsidP="00656A14">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lastRenderedPageBreak/>
        <w:t>Recommendations</w:t>
      </w:r>
    </w:p>
    <w:p w14:paraId="0178C1D6" w14:textId="77777777" w:rsidR="004371E3" w:rsidRPr="00BE4AF3" w:rsidRDefault="004371E3" w:rsidP="00656A14">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Building a climate-resilient built environment requires coordinated action across governance, design, and community levels. Policies and investments must be locally relevant while aligned with global sustainability goals. Priority should be given to making resilience affordable, inclusive, and technologically adaptable.</w:t>
      </w:r>
    </w:p>
    <w:p w14:paraId="10B0EA8A" w14:textId="77777777" w:rsidR="004371E3" w:rsidRPr="00BE4AF3" w:rsidRDefault="004371E3" w:rsidP="00656A14">
      <w:pPr>
        <w:numPr>
          <w:ilvl w:val="0"/>
          <w:numId w:val="11"/>
        </w:numPr>
        <w:suppressAutoHyphen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Strengthen and enforce climate-responsive building codes, policies, and urban planning frameworks.</w:t>
      </w:r>
    </w:p>
    <w:p w14:paraId="6E2261A9" w14:textId="77777777" w:rsidR="004371E3" w:rsidRPr="00BE4AF3" w:rsidRDefault="004371E3" w:rsidP="00656A14">
      <w:pPr>
        <w:numPr>
          <w:ilvl w:val="0"/>
          <w:numId w:val="11"/>
        </w:numPr>
        <w:suppressAutoHyphen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Invest in resilient and green infrastructure, integrating nature-based solutions such as wetlands, permeable pavements, and urban forests.</w:t>
      </w:r>
    </w:p>
    <w:p w14:paraId="38097835" w14:textId="77777777" w:rsidR="004371E3" w:rsidRPr="00BE4AF3" w:rsidRDefault="004371E3" w:rsidP="00656A14">
      <w:pPr>
        <w:numPr>
          <w:ilvl w:val="0"/>
          <w:numId w:val="11"/>
        </w:numPr>
        <w:suppressAutoHyphen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Promote climate-responsive and passive design principles in both new construction and retrofitting of existing buildings.</w:t>
      </w:r>
    </w:p>
    <w:p w14:paraId="5E556963" w14:textId="77777777" w:rsidR="004371E3" w:rsidRPr="00BE4AF3" w:rsidRDefault="004371E3" w:rsidP="00656A14">
      <w:pPr>
        <w:numPr>
          <w:ilvl w:val="0"/>
          <w:numId w:val="11"/>
        </w:numPr>
        <w:suppressAutoHyphen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Enhance localized climate data collection and dissemination to guide planning and architectural decisions.</w:t>
      </w:r>
    </w:p>
    <w:p w14:paraId="0DB8D688" w14:textId="77777777" w:rsidR="004371E3" w:rsidRPr="00BE4AF3" w:rsidRDefault="004371E3" w:rsidP="00656A14">
      <w:pPr>
        <w:numPr>
          <w:ilvl w:val="0"/>
          <w:numId w:val="11"/>
        </w:numPr>
        <w:suppressAutoHyphen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Build institutional and community capacity through training, knowledge-sharing, and inclusive participation.</w:t>
      </w:r>
    </w:p>
    <w:p w14:paraId="4435AA1F" w14:textId="77777777" w:rsidR="00656A14" w:rsidRDefault="00656A14" w:rsidP="00656A14">
      <w:pPr>
        <w:tabs>
          <w:tab w:val="left" w:pos="90"/>
          <w:tab w:val="left" w:pos="270"/>
        </w:tabs>
        <w:spacing w:after="0" w:line="240" w:lineRule="auto"/>
        <w:jc w:val="both"/>
        <w:rPr>
          <w:rFonts w:ascii="Times New Roman" w:hAnsi="Times New Roman" w:cs="Times New Roman"/>
          <w:b/>
          <w:sz w:val="24"/>
          <w:szCs w:val="24"/>
        </w:rPr>
      </w:pPr>
    </w:p>
    <w:p w14:paraId="070AD189" w14:textId="760F4E24" w:rsidR="004371E3" w:rsidRPr="00BE4AF3" w:rsidRDefault="004371E3" w:rsidP="00656A14">
      <w:pPr>
        <w:tabs>
          <w:tab w:val="left" w:pos="90"/>
          <w:tab w:val="left" w:pos="27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References</w:t>
      </w:r>
    </w:p>
    <w:p w14:paraId="45153C1A" w14:textId="77777777" w:rsidR="004371E3" w:rsidRPr="00BE4AF3" w:rsidRDefault="004371E3" w:rsidP="00656A14">
      <w:pPr>
        <w:spacing w:after="0" w:line="240" w:lineRule="auto"/>
        <w:ind w:left="709" w:hanging="709"/>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Abbass, K., Qasim, M. Z., Song, H., Murshed, M., Mahmood, H., &amp; Younis, I. (2022). A </w:t>
      </w:r>
      <w:r w:rsidRPr="00BE4AF3">
        <w:rPr>
          <w:rFonts w:ascii="Times New Roman" w:hAnsi="Times New Roman" w:cs="Times New Roman"/>
          <w:color w:val="000000"/>
          <w:sz w:val="24"/>
          <w:szCs w:val="24"/>
        </w:rPr>
        <w:tab/>
        <w:t xml:space="preserve">review of the global climate change impacts, adaptation, and sustainable mitigation </w:t>
      </w:r>
      <w:r w:rsidRPr="00BE4AF3">
        <w:rPr>
          <w:rFonts w:ascii="Times New Roman" w:hAnsi="Times New Roman" w:cs="Times New Roman"/>
          <w:color w:val="000000"/>
          <w:sz w:val="24"/>
          <w:szCs w:val="24"/>
        </w:rPr>
        <w:tab/>
        <w:t>measures. </w:t>
      </w:r>
      <w:r w:rsidRPr="00BE4AF3">
        <w:rPr>
          <w:rFonts w:ascii="Times New Roman" w:hAnsi="Times New Roman" w:cs="Times New Roman"/>
          <w:i/>
          <w:iCs/>
          <w:color w:val="000000"/>
          <w:sz w:val="24"/>
          <w:szCs w:val="24"/>
        </w:rPr>
        <w:t>Environmental science and pollution research</w:t>
      </w:r>
      <w:r w:rsidRPr="00BE4AF3">
        <w:rPr>
          <w:rFonts w:ascii="Times New Roman" w:hAnsi="Times New Roman" w:cs="Times New Roman"/>
          <w:color w:val="000000"/>
          <w:sz w:val="24"/>
          <w:szCs w:val="24"/>
        </w:rPr>
        <w:t>, </w:t>
      </w:r>
      <w:r w:rsidRPr="00BE4AF3">
        <w:rPr>
          <w:rFonts w:ascii="Times New Roman" w:hAnsi="Times New Roman" w:cs="Times New Roman"/>
          <w:i/>
          <w:iCs/>
          <w:color w:val="000000"/>
          <w:sz w:val="24"/>
          <w:szCs w:val="24"/>
        </w:rPr>
        <w:t>29</w:t>
      </w:r>
      <w:r w:rsidRPr="00BE4AF3">
        <w:rPr>
          <w:rFonts w:ascii="Times New Roman" w:hAnsi="Times New Roman" w:cs="Times New Roman"/>
          <w:color w:val="000000"/>
          <w:sz w:val="24"/>
          <w:szCs w:val="24"/>
        </w:rPr>
        <w:t>(28), 42539-42559.</w:t>
      </w:r>
    </w:p>
    <w:p w14:paraId="5AAF8849" w14:textId="77777777" w:rsidR="004371E3" w:rsidRPr="00BE4AF3" w:rsidRDefault="004371E3" w:rsidP="00656A14">
      <w:pPr>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 xml:space="preserve">Adegun, O. B. (2017). Informal settlements and urban resilience: The case of Makoko, </w:t>
      </w:r>
      <w:r w:rsidRPr="00BE4AF3">
        <w:rPr>
          <w:rFonts w:ascii="Times New Roman" w:hAnsi="Times New Roman" w:cs="Times New Roman"/>
          <w:sz w:val="24"/>
          <w:szCs w:val="24"/>
        </w:rPr>
        <w:tab/>
        <w:t xml:space="preserve">Lagos. </w:t>
      </w:r>
      <w:r w:rsidRPr="00BE4AF3">
        <w:rPr>
          <w:rFonts w:ascii="Times New Roman" w:hAnsi="Times New Roman" w:cs="Times New Roman"/>
          <w:i/>
          <w:sz w:val="24"/>
          <w:szCs w:val="24"/>
        </w:rPr>
        <w:t>Journal of Urbanism</w:t>
      </w:r>
      <w:r w:rsidRPr="00BE4AF3">
        <w:rPr>
          <w:rFonts w:ascii="Times New Roman" w:hAnsi="Times New Roman" w:cs="Times New Roman"/>
          <w:sz w:val="24"/>
          <w:szCs w:val="24"/>
        </w:rPr>
        <w:t>, 10(2), 188–209.</w:t>
      </w:r>
    </w:p>
    <w:p w14:paraId="1B0C465E" w14:textId="77777777" w:rsidR="004371E3" w:rsidRPr="00BE4AF3" w:rsidRDefault="004371E3" w:rsidP="00656A14">
      <w:pPr>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 xml:space="preserve">Adelekan, I. O. (2010). Vulnerability of poor urban coastal communities to climate change in </w:t>
      </w:r>
      <w:r w:rsidRPr="00BE4AF3">
        <w:rPr>
          <w:rFonts w:ascii="Times New Roman" w:hAnsi="Times New Roman" w:cs="Times New Roman"/>
          <w:sz w:val="24"/>
          <w:szCs w:val="24"/>
        </w:rPr>
        <w:tab/>
        <w:t xml:space="preserve">Lagos, Nigeria. </w:t>
      </w:r>
      <w:r w:rsidRPr="00BE4AF3">
        <w:rPr>
          <w:rFonts w:ascii="Times New Roman" w:hAnsi="Times New Roman" w:cs="Times New Roman"/>
          <w:i/>
          <w:sz w:val="24"/>
          <w:szCs w:val="24"/>
        </w:rPr>
        <w:t>Environment and Urbanization, 22(2), 433–450.</w:t>
      </w:r>
      <w:r w:rsidRPr="00BE4AF3">
        <w:rPr>
          <w:rFonts w:ascii="Times New Roman" w:hAnsi="Times New Roman" w:cs="Times New Roman"/>
          <w:sz w:val="24"/>
          <w:szCs w:val="24"/>
        </w:rPr>
        <w:t xml:space="preserve"> </w:t>
      </w:r>
      <w:r w:rsidRPr="00BE4AF3">
        <w:rPr>
          <w:rFonts w:ascii="Times New Roman" w:hAnsi="Times New Roman" w:cs="Times New Roman"/>
          <w:sz w:val="24"/>
          <w:szCs w:val="24"/>
        </w:rPr>
        <w:tab/>
        <w:t>https://doi.org/10.1177/0956247810380141</w:t>
      </w:r>
    </w:p>
    <w:p w14:paraId="40F44290" w14:textId="77777777" w:rsidR="004371E3" w:rsidRPr="00BE4AF3" w:rsidRDefault="004371E3" w:rsidP="00656A14">
      <w:pPr>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Adeyemi, K. (2017). MFS II: A new prototype for floating communities. NLÉ Architects.</w:t>
      </w:r>
    </w:p>
    <w:p w14:paraId="75AA73EA" w14:textId="77777777" w:rsidR="004371E3" w:rsidRPr="00BE4AF3" w:rsidRDefault="004371E3" w:rsidP="00656A14">
      <w:pPr>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 xml:space="preserve">Agboola, O. P., Ajibade, I., &amp; Adebayo, A. A. (2023). Climate risks and adaptation in Lagos’ </w:t>
      </w:r>
      <w:r w:rsidRPr="00BE4AF3">
        <w:rPr>
          <w:rFonts w:ascii="Times New Roman" w:hAnsi="Times New Roman" w:cs="Times New Roman"/>
          <w:sz w:val="24"/>
          <w:szCs w:val="24"/>
        </w:rPr>
        <w:tab/>
      </w:r>
      <w:r w:rsidRPr="00BE4AF3">
        <w:rPr>
          <w:rFonts w:ascii="Times New Roman" w:hAnsi="Times New Roman" w:cs="Times New Roman"/>
          <w:i/>
          <w:sz w:val="24"/>
          <w:szCs w:val="24"/>
        </w:rPr>
        <w:t>informal settlements. Cities</w:t>
      </w:r>
      <w:r w:rsidRPr="00BE4AF3">
        <w:rPr>
          <w:rFonts w:ascii="Times New Roman" w:hAnsi="Times New Roman" w:cs="Times New Roman"/>
          <w:sz w:val="24"/>
          <w:szCs w:val="24"/>
        </w:rPr>
        <w:t>, 139, 104324.</w:t>
      </w:r>
    </w:p>
    <w:p w14:paraId="272DBD8A" w14:textId="77777777" w:rsidR="004371E3" w:rsidRPr="00BE4AF3" w:rsidRDefault="004371E3" w:rsidP="00656A14">
      <w:pPr>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 xml:space="preserve">Ajibade, I. (2017). Can a future city enhance urban resilience and sustainability? A political </w:t>
      </w:r>
      <w:r w:rsidRPr="00BE4AF3">
        <w:rPr>
          <w:rFonts w:ascii="Times New Roman" w:hAnsi="Times New Roman" w:cs="Times New Roman"/>
          <w:sz w:val="24"/>
          <w:szCs w:val="24"/>
        </w:rPr>
        <w:tab/>
        <w:t xml:space="preserve">ecology analysis of Eko Atlantic City, Nigeria. </w:t>
      </w:r>
      <w:r w:rsidRPr="00BE4AF3">
        <w:rPr>
          <w:rFonts w:ascii="Times New Roman" w:hAnsi="Times New Roman" w:cs="Times New Roman"/>
          <w:i/>
          <w:sz w:val="24"/>
          <w:szCs w:val="24"/>
        </w:rPr>
        <w:t xml:space="preserve">International Journal of Urban and </w:t>
      </w:r>
      <w:r w:rsidRPr="00BE4AF3">
        <w:rPr>
          <w:rFonts w:ascii="Times New Roman" w:hAnsi="Times New Roman" w:cs="Times New Roman"/>
          <w:i/>
          <w:sz w:val="24"/>
          <w:szCs w:val="24"/>
        </w:rPr>
        <w:tab/>
        <w:t>Regional Research</w:t>
      </w:r>
      <w:r w:rsidRPr="00BE4AF3">
        <w:rPr>
          <w:rFonts w:ascii="Times New Roman" w:hAnsi="Times New Roman" w:cs="Times New Roman"/>
          <w:sz w:val="24"/>
          <w:szCs w:val="24"/>
        </w:rPr>
        <w:t>, 41(6), 845–861.</w:t>
      </w:r>
    </w:p>
    <w:p w14:paraId="20CD0F68" w14:textId="77777777" w:rsidR="004371E3" w:rsidRPr="00BE4AF3" w:rsidRDefault="004371E3" w:rsidP="00656A14">
      <w:pPr>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 xml:space="preserve">Boano, C., &amp; Hunter, W. (2012). Architecture at risk: The case of Makoko floating school. </w:t>
      </w:r>
      <w:r w:rsidRPr="00BE4AF3">
        <w:rPr>
          <w:rFonts w:ascii="Times New Roman" w:hAnsi="Times New Roman" w:cs="Times New Roman"/>
          <w:sz w:val="24"/>
          <w:szCs w:val="24"/>
        </w:rPr>
        <w:tab/>
      </w:r>
      <w:r w:rsidRPr="00BE4AF3">
        <w:rPr>
          <w:rFonts w:ascii="Times New Roman" w:hAnsi="Times New Roman" w:cs="Times New Roman"/>
          <w:i/>
          <w:sz w:val="24"/>
          <w:szCs w:val="24"/>
        </w:rPr>
        <w:t>Open House International,</w:t>
      </w:r>
      <w:r w:rsidRPr="00BE4AF3">
        <w:rPr>
          <w:rFonts w:ascii="Times New Roman" w:hAnsi="Times New Roman" w:cs="Times New Roman"/>
          <w:sz w:val="24"/>
          <w:szCs w:val="24"/>
        </w:rPr>
        <w:t xml:space="preserve"> 37(4), 22–31.</w:t>
      </w:r>
    </w:p>
    <w:p w14:paraId="75D4CC10" w14:textId="77777777" w:rsidR="004371E3" w:rsidRPr="00BE4AF3" w:rsidRDefault="004371E3" w:rsidP="00656A14">
      <w:pPr>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 xml:space="preserve">Bos, M., &amp; Zwaneveld, P. (2017). Adaptive water management in the Netherlands. Journal of </w:t>
      </w:r>
      <w:r w:rsidRPr="00BE4AF3">
        <w:rPr>
          <w:rFonts w:ascii="Times New Roman" w:hAnsi="Times New Roman" w:cs="Times New Roman"/>
          <w:sz w:val="24"/>
          <w:szCs w:val="24"/>
        </w:rPr>
        <w:tab/>
        <w:t>Flood Risk Management, 10(2), 154–162.</w:t>
      </w:r>
    </w:p>
    <w:p w14:paraId="7FA5865B" w14:textId="77777777" w:rsidR="004371E3" w:rsidRPr="00BE4AF3" w:rsidRDefault="004371E3" w:rsidP="00656A14">
      <w:pPr>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 xml:space="preserve">Briera, P., &amp; Lefèvre, J. (2024). Policy implementation gaps in climate governance: </w:t>
      </w:r>
      <w:r w:rsidRPr="00BE4AF3">
        <w:rPr>
          <w:rFonts w:ascii="Times New Roman" w:hAnsi="Times New Roman" w:cs="Times New Roman"/>
          <w:sz w:val="24"/>
          <w:szCs w:val="24"/>
        </w:rPr>
        <w:tab/>
        <w:t xml:space="preserve">Challenges for sustainable urban transitions. </w:t>
      </w:r>
      <w:r w:rsidRPr="00BE4AF3">
        <w:rPr>
          <w:rFonts w:ascii="Times New Roman" w:hAnsi="Times New Roman" w:cs="Times New Roman"/>
          <w:i/>
          <w:sz w:val="24"/>
          <w:szCs w:val="24"/>
        </w:rPr>
        <w:t>Journal of Environmental Policy,</w:t>
      </w:r>
      <w:r w:rsidRPr="00BE4AF3">
        <w:rPr>
          <w:rFonts w:ascii="Times New Roman" w:hAnsi="Times New Roman" w:cs="Times New Roman"/>
          <w:sz w:val="24"/>
          <w:szCs w:val="24"/>
        </w:rPr>
        <w:t xml:space="preserve"> 36(2), </w:t>
      </w:r>
      <w:r w:rsidRPr="00BE4AF3">
        <w:rPr>
          <w:rFonts w:ascii="Times New Roman" w:hAnsi="Times New Roman" w:cs="Times New Roman"/>
          <w:sz w:val="24"/>
          <w:szCs w:val="24"/>
        </w:rPr>
        <w:tab/>
        <w:t>112–128.</w:t>
      </w:r>
    </w:p>
    <w:p w14:paraId="0C205DB4" w14:textId="77777777" w:rsidR="004371E3" w:rsidRPr="00BE4AF3" w:rsidRDefault="004371E3" w:rsidP="00656A14">
      <w:pPr>
        <w:spacing w:after="0" w:line="240" w:lineRule="auto"/>
        <w:ind w:left="709" w:hanging="709"/>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Change, O. C. (2007). Intergovernmental panel on climate change. </w:t>
      </w:r>
      <w:r w:rsidRPr="00BE4AF3">
        <w:rPr>
          <w:rFonts w:ascii="Times New Roman" w:hAnsi="Times New Roman" w:cs="Times New Roman"/>
          <w:i/>
          <w:iCs/>
          <w:color w:val="000000"/>
          <w:sz w:val="24"/>
          <w:szCs w:val="24"/>
        </w:rPr>
        <w:t xml:space="preserve">World Meteorological </w:t>
      </w:r>
      <w:r w:rsidRPr="00BE4AF3">
        <w:rPr>
          <w:rFonts w:ascii="Times New Roman" w:hAnsi="Times New Roman" w:cs="Times New Roman"/>
          <w:i/>
          <w:iCs/>
          <w:color w:val="000000"/>
          <w:sz w:val="24"/>
          <w:szCs w:val="24"/>
        </w:rPr>
        <w:tab/>
        <w:t>Organization</w:t>
      </w:r>
      <w:r w:rsidRPr="00BE4AF3">
        <w:rPr>
          <w:rFonts w:ascii="Times New Roman" w:hAnsi="Times New Roman" w:cs="Times New Roman"/>
          <w:color w:val="000000"/>
          <w:sz w:val="24"/>
          <w:szCs w:val="24"/>
        </w:rPr>
        <w:t>, </w:t>
      </w:r>
      <w:r w:rsidRPr="00BE4AF3">
        <w:rPr>
          <w:rFonts w:ascii="Times New Roman" w:hAnsi="Times New Roman" w:cs="Times New Roman"/>
          <w:i/>
          <w:iCs/>
          <w:color w:val="000000"/>
          <w:sz w:val="24"/>
          <w:szCs w:val="24"/>
        </w:rPr>
        <w:t>52</w:t>
      </w:r>
      <w:r w:rsidRPr="00BE4AF3">
        <w:rPr>
          <w:rFonts w:ascii="Times New Roman" w:hAnsi="Times New Roman" w:cs="Times New Roman"/>
          <w:color w:val="000000"/>
          <w:sz w:val="24"/>
          <w:szCs w:val="24"/>
        </w:rPr>
        <w:t>(1-43), 1.</w:t>
      </w:r>
    </w:p>
    <w:p w14:paraId="50B7739E" w14:textId="77777777" w:rsidR="004371E3" w:rsidRPr="00BE4AF3" w:rsidRDefault="004371E3" w:rsidP="00656A14">
      <w:pPr>
        <w:spacing w:after="0" w:line="240" w:lineRule="auto"/>
        <w:ind w:left="709" w:hanging="709"/>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Demisse Negesse, M., Hishe, S., &amp; Getahun, K. (2024). LULC dynamics and the effects of </w:t>
      </w:r>
      <w:r w:rsidRPr="00BE4AF3">
        <w:rPr>
          <w:rFonts w:ascii="Times New Roman" w:hAnsi="Times New Roman" w:cs="Times New Roman"/>
          <w:color w:val="000000"/>
          <w:sz w:val="24"/>
          <w:szCs w:val="24"/>
        </w:rPr>
        <w:tab/>
        <w:t xml:space="preserve">urban green spaces in cooling and mitigating micro-climate change and urban heat </w:t>
      </w:r>
      <w:r w:rsidRPr="00BE4AF3">
        <w:rPr>
          <w:rFonts w:ascii="Times New Roman" w:hAnsi="Times New Roman" w:cs="Times New Roman"/>
          <w:color w:val="000000"/>
          <w:sz w:val="24"/>
          <w:szCs w:val="24"/>
        </w:rPr>
        <w:tab/>
        <w:t>island effects: a case study in Addis Ababa City, Ethiopia. </w:t>
      </w:r>
      <w:r w:rsidRPr="00BE4AF3">
        <w:rPr>
          <w:rFonts w:ascii="Times New Roman" w:hAnsi="Times New Roman" w:cs="Times New Roman"/>
          <w:i/>
          <w:iCs/>
          <w:color w:val="000000"/>
          <w:sz w:val="24"/>
          <w:szCs w:val="24"/>
        </w:rPr>
        <w:t xml:space="preserve">Journal of Water and </w:t>
      </w:r>
      <w:r w:rsidRPr="00BE4AF3">
        <w:rPr>
          <w:rFonts w:ascii="Times New Roman" w:hAnsi="Times New Roman" w:cs="Times New Roman"/>
          <w:i/>
          <w:iCs/>
          <w:color w:val="000000"/>
          <w:sz w:val="24"/>
          <w:szCs w:val="24"/>
        </w:rPr>
        <w:tab/>
        <w:t>Climate Change</w:t>
      </w:r>
      <w:r w:rsidRPr="00BE4AF3">
        <w:rPr>
          <w:rFonts w:ascii="Times New Roman" w:hAnsi="Times New Roman" w:cs="Times New Roman"/>
          <w:color w:val="000000"/>
          <w:sz w:val="24"/>
          <w:szCs w:val="24"/>
        </w:rPr>
        <w:t>, </w:t>
      </w:r>
      <w:r w:rsidRPr="00BE4AF3">
        <w:rPr>
          <w:rFonts w:ascii="Times New Roman" w:hAnsi="Times New Roman" w:cs="Times New Roman"/>
          <w:i/>
          <w:iCs/>
          <w:color w:val="000000"/>
          <w:sz w:val="24"/>
          <w:szCs w:val="24"/>
        </w:rPr>
        <w:t>15</w:t>
      </w:r>
      <w:r w:rsidRPr="00BE4AF3">
        <w:rPr>
          <w:rFonts w:ascii="Times New Roman" w:hAnsi="Times New Roman" w:cs="Times New Roman"/>
          <w:color w:val="000000"/>
          <w:sz w:val="24"/>
          <w:szCs w:val="24"/>
        </w:rPr>
        <w:t>(7), 3033-3055.</w:t>
      </w:r>
    </w:p>
    <w:p w14:paraId="28DB5B34" w14:textId="77777777" w:rsidR="004371E3" w:rsidRPr="00BE4AF3" w:rsidRDefault="004371E3" w:rsidP="00656A14">
      <w:pPr>
        <w:spacing w:after="0" w:line="240" w:lineRule="auto"/>
        <w:ind w:left="709" w:hanging="709"/>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lastRenderedPageBreak/>
        <w:t xml:space="preserve">Eisenack, K., Moser, S. C., Hoffmann, E., Klein, R. J. T., Oberlack, C., Pechan, A., Rotter, M., &amp; Termeer, C. J. A. M. (2014). Explaining and overcoming barriers to climate change </w:t>
      </w:r>
      <w:r w:rsidRPr="00BE4AF3">
        <w:rPr>
          <w:rFonts w:ascii="Times New Roman" w:hAnsi="Times New Roman" w:cs="Times New Roman"/>
          <w:color w:val="000000"/>
          <w:sz w:val="24"/>
          <w:szCs w:val="24"/>
        </w:rPr>
        <w:tab/>
        <w:t>adaptation. Nature Climate Change, 4(10), 867–872.</w:t>
      </w:r>
    </w:p>
    <w:p w14:paraId="02469576" w14:textId="77777777" w:rsidR="004371E3" w:rsidRPr="00BE4AF3" w:rsidRDefault="004371E3" w:rsidP="00656A14">
      <w:pPr>
        <w:spacing w:after="0" w:line="240" w:lineRule="auto"/>
        <w:ind w:left="709" w:hanging="709"/>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Gerritsen, H. (2005). What happened in 1953? The Big Flood in the Netherlands in </w:t>
      </w:r>
      <w:r w:rsidRPr="00BE4AF3">
        <w:rPr>
          <w:rFonts w:ascii="Times New Roman" w:hAnsi="Times New Roman" w:cs="Times New Roman"/>
          <w:color w:val="000000"/>
          <w:sz w:val="24"/>
          <w:szCs w:val="24"/>
        </w:rPr>
        <w:tab/>
        <w:t>retrospect. Philosophical Transactions of the Royal Society A:</w:t>
      </w:r>
      <w:r w:rsidRPr="00BE4AF3">
        <w:rPr>
          <w:rFonts w:ascii="Times New Roman" w:hAnsi="Times New Roman" w:cs="Times New Roman"/>
          <w:i/>
          <w:color w:val="000000"/>
          <w:sz w:val="24"/>
          <w:szCs w:val="24"/>
        </w:rPr>
        <w:t xml:space="preserve"> Mathematical, </w:t>
      </w:r>
      <w:r w:rsidRPr="00BE4AF3">
        <w:rPr>
          <w:rFonts w:ascii="Times New Roman" w:hAnsi="Times New Roman" w:cs="Times New Roman"/>
          <w:i/>
          <w:color w:val="000000"/>
          <w:sz w:val="24"/>
          <w:szCs w:val="24"/>
        </w:rPr>
        <w:tab/>
        <w:t xml:space="preserve">Physical and Engineering Sciences, </w:t>
      </w:r>
      <w:r w:rsidRPr="00BE4AF3">
        <w:rPr>
          <w:rFonts w:ascii="Times New Roman" w:hAnsi="Times New Roman" w:cs="Times New Roman"/>
          <w:color w:val="000000"/>
          <w:sz w:val="24"/>
          <w:szCs w:val="24"/>
        </w:rPr>
        <w:t>363(1831), 1271–1291.</w:t>
      </w:r>
    </w:p>
    <w:p w14:paraId="68E092DA" w14:textId="77777777" w:rsidR="004371E3" w:rsidRPr="00BE4AF3" w:rsidRDefault="004371E3" w:rsidP="00656A14">
      <w:pPr>
        <w:spacing w:after="0" w:line="240" w:lineRule="auto"/>
        <w:ind w:left="709" w:hanging="709"/>
        <w:jc w:val="both"/>
        <w:rPr>
          <w:rFonts w:ascii="Times New Roman" w:hAnsi="Times New Roman" w:cs="Times New Roman"/>
          <w:color w:val="000000"/>
          <w:sz w:val="24"/>
          <w:szCs w:val="24"/>
        </w:rPr>
      </w:pPr>
      <w:r w:rsidRPr="00BE4AF3">
        <w:rPr>
          <w:rFonts w:ascii="Times New Roman" w:eastAsia="Times New Roman" w:hAnsi="Times New Roman" w:cs="Times New Roman"/>
          <w:color w:val="000000"/>
          <w:sz w:val="24"/>
          <w:szCs w:val="24"/>
          <w:lang w:eastAsia="en-GB"/>
        </w:rPr>
        <w:t xml:space="preserve">IPCC. (2021). </w:t>
      </w:r>
      <w:r w:rsidRPr="00BE4AF3">
        <w:rPr>
          <w:rFonts w:ascii="Times New Roman" w:eastAsia="Times New Roman" w:hAnsi="Times New Roman" w:cs="Times New Roman"/>
          <w:i/>
          <w:iCs/>
          <w:color w:val="000000"/>
          <w:sz w:val="24"/>
          <w:szCs w:val="24"/>
          <w:lang w:eastAsia="en-GB"/>
        </w:rPr>
        <w:t>Climate Change 2021: The Physical Science Basis</w:t>
      </w:r>
      <w:r w:rsidRPr="00BE4AF3">
        <w:rPr>
          <w:rFonts w:ascii="Times New Roman" w:eastAsia="Times New Roman" w:hAnsi="Times New Roman" w:cs="Times New Roman"/>
          <w:color w:val="000000"/>
          <w:sz w:val="24"/>
          <w:szCs w:val="24"/>
          <w:lang w:eastAsia="en-GB"/>
        </w:rPr>
        <w:t xml:space="preserve">. Contribution of Working </w:t>
      </w:r>
      <w:r w:rsidRPr="00BE4AF3">
        <w:rPr>
          <w:rFonts w:ascii="Times New Roman" w:eastAsia="Times New Roman" w:hAnsi="Times New Roman" w:cs="Times New Roman"/>
          <w:color w:val="000000"/>
          <w:sz w:val="24"/>
          <w:szCs w:val="24"/>
          <w:lang w:eastAsia="en-GB"/>
        </w:rPr>
        <w:tab/>
        <w:t xml:space="preserve">Group I to the Sixth Assessment Report of the Intergovernmental Panel on Climate </w:t>
      </w:r>
      <w:r w:rsidRPr="00BE4AF3">
        <w:rPr>
          <w:rFonts w:ascii="Times New Roman" w:eastAsia="Times New Roman" w:hAnsi="Times New Roman" w:cs="Times New Roman"/>
          <w:color w:val="000000"/>
          <w:sz w:val="24"/>
          <w:szCs w:val="24"/>
          <w:lang w:eastAsia="en-GB"/>
        </w:rPr>
        <w:tab/>
        <w:t>Change. Cambridge University Press. https://www.ipcc.ch/report/ar6/wg1/</w:t>
      </w:r>
    </w:p>
    <w:p w14:paraId="0A6E9DE0" w14:textId="77777777" w:rsidR="004371E3" w:rsidRPr="00BE4AF3" w:rsidRDefault="004371E3" w:rsidP="00656A14">
      <w:pPr>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 xml:space="preserve">Iping, A., Gebreselassie, Y., &amp; van der Hoeven, F. (2019). The urban heat island effect and </w:t>
      </w:r>
      <w:r w:rsidRPr="00BE4AF3">
        <w:rPr>
          <w:rFonts w:ascii="Times New Roman" w:hAnsi="Times New Roman" w:cs="Times New Roman"/>
          <w:sz w:val="24"/>
          <w:szCs w:val="24"/>
        </w:rPr>
        <w:tab/>
        <w:t>climate adaptation in African cities. Urban Climate, 29, 100490.</w:t>
      </w:r>
    </w:p>
    <w:p w14:paraId="50AB5B56" w14:textId="77777777" w:rsidR="004371E3" w:rsidRPr="00BE4AF3" w:rsidRDefault="004371E3" w:rsidP="00656A14">
      <w:pPr>
        <w:spacing w:after="0" w:line="240" w:lineRule="auto"/>
        <w:ind w:left="709" w:hanging="709"/>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Jha, M. K., &amp; Dev, M. (2024). Impacts of climate change. In </w:t>
      </w:r>
      <w:r w:rsidRPr="00BE4AF3">
        <w:rPr>
          <w:rFonts w:ascii="Times New Roman" w:hAnsi="Times New Roman" w:cs="Times New Roman"/>
          <w:i/>
          <w:iCs/>
          <w:color w:val="000000"/>
          <w:sz w:val="24"/>
          <w:szCs w:val="24"/>
        </w:rPr>
        <w:t xml:space="preserve">Smart internet of things for </w:t>
      </w:r>
      <w:r w:rsidRPr="00BE4AF3">
        <w:rPr>
          <w:rFonts w:ascii="Times New Roman" w:hAnsi="Times New Roman" w:cs="Times New Roman"/>
          <w:i/>
          <w:iCs/>
          <w:color w:val="000000"/>
          <w:sz w:val="24"/>
          <w:szCs w:val="24"/>
        </w:rPr>
        <w:tab/>
        <w:t>environment and healthcare</w:t>
      </w:r>
      <w:r w:rsidRPr="00BE4AF3">
        <w:rPr>
          <w:rFonts w:ascii="Times New Roman" w:hAnsi="Times New Roman" w:cs="Times New Roman"/>
          <w:color w:val="000000"/>
          <w:sz w:val="24"/>
          <w:szCs w:val="24"/>
        </w:rPr>
        <w:t> (pp. 139-159). Cham: Springer Nature Switzerland.</w:t>
      </w:r>
    </w:p>
    <w:p w14:paraId="58DBDE96" w14:textId="77777777" w:rsidR="004371E3" w:rsidRPr="00BE4AF3" w:rsidRDefault="004371E3" w:rsidP="00656A14">
      <w:pPr>
        <w:spacing w:after="0" w:line="240" w:lineRule="auto"/>
        <w:ind w:left="709" w:hanging="709"/>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ab/>
        <w:t xml:space="preserve">Koen Olthuis, &amp; Keuning, D. (2010). Float!: Building on water to combat urban </w:t>
      </w:r>
      <w:r w:rsidRPr="00BE4AF3">
        <w:rPr>
          <w:rFonts w:ascii="Times New Roman" w:hAnsi="Times New Roman" w:cs="Times New Roman"/>
          <w:color w:val="000000"/>
          <w:sz w:val="24"/>
          <w:szCs w:val="24"/>
        </w:rPr>
        <w:tab/>
        <w:t>congestion and climate change. Frame Publishers.</w:t>
      </w:r>
    </w:p>
    <w:p w14:paraId="05F7135C" w14:textId="77777777" w:rsidR="004371E3" w:rsidRPr="00BE4AF3" w:rsidRDefault="004371E3" w:rsidP="00656A14">
      <w:pPr>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 xml:space="preserve">Lobo, M., Chen, Y., &amp; Mensah, K. (2023). Institutional fragmentation and the limits of </w:t>
      </w:r>
      <w:r w:rsidRPr="00BE4AF3">
        <w:rPr>
          <w:rFonts w:ascii="Times New Roman" w:hAnsi="Times New Roman" w:cs="Times New Roman"/>
          <w:sz w:val="24"/>
          <w:szCs w:val="24"/>
        </w:rPr>
        <w:tab/>
        <w:t>climate adaptation in urban governance. Cities, 140, 103452.</w:t>
      </w:r>
    </w:p>
    <w:p w14:paraId="72AE755A" w14:textId="77777777" w:rsidR="004371E3" w:rsidRPr="00BE4AF3" w:rsidRDefault="004371E3" w:rsidP="00656A14">
      <w:pPr>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 xml:space="preserve">Neumann, B. (2011). Floating architecture as an adaptation strategy to sea-level rise: The </w:t>
      </w:r>
      <w:r w:rsidRPr="00BE4AF3">
        <w:rPr>
          <w:rFonts w:ascii="Times New Roman" w:hAnsi="Times New Roman" w:cs="Times New Roman"/>
          <w:sz w:val="24"/>
          <w:szCs w:val="24"/>
        </w:rPr>
        <w:tab/>
        <w:t>case of the Netherlands. Climate Policy, 11(5), 1–14.</w:t>
      </w:r>
    </w:p>
    <w:p w14:paraId="29D90218" w14:textId="77777777" w:rsidR="004371E3" w:rsidRPr="00BE4AF3" w:rsidRDefault="004371E3" w:rsidP="00656A14">
      <w:pPr>
        <w:spacing w:after="0" w:line="240" w:lineRule="auto"/>
        <w:ind w:left="709" w:hanging="709"/>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Obada, D. O., Muhammad, M., Tajiri, S. B., Kekung, M. O., Abolade, S. A., Akinpelu, S. B.,</w:t>
      </w:r>
      <w:r w:rsidRPr="00BE4AF3">
        <w:rPr>
          <w:rFonts w:ascii="Times New Roman" w:hAnsi="Times New Roman" w:cs="Times New Roman"/>
          <w:color w:val="000000"/>
          <w:sz w:val="24"/>
          <w:szCs w:val="24"/>
        </w:rPr>
        <w:tab/>
        <w:t xml:space="preserve"> &amp; Akande, A. (2024). A review of renewable energy resources in Nigeria for climate </w:t>
      </w:r>
      <w:r w:rsidRPr="00BE4AF3">
        <w:rPr>
          <w:rFonts w:ascii="Times New Roman" w:hAnsi="Times New Roman" w:cs="Times New Roman"/>
          <w:color w:val="000000"/>
          <w:sz w:val="24"/>
          <w:szCs w:val="24"/>
        </w:rPr>
        <w:tab/>
        <w:t>change mitigation. </w:t>
      </w:r>
      <w:r w:rsidRPr="00BE4AF3">
        <w:rPr>
          <w:rFonts w:ascii="Times New Roman" w:hAnsi="Times New Roman" w:cs="Times New Roman"/>
          <w:i/>
          <w:iCs/>
          <w:color w:val="000000"/>
          <w:sz w:val="24"/>
          <w:szCs w:val="24"/>
        </w:rPr>
        <w:t>Case Studies in Chemical and Environmental Engineering</w:t>
      </w:r>
      <w:r w:rsidRPr="00BE4AF3">
        <w:rPr>
          <w:rFonts w:ascii="Times New Roman" w:hAnsi="Times New Roman" w:cs="Times New Roman"/>
          <w:color w:val="000000"/>
          <w:sz w:val="24"/>
          <w:szCs w:val="24"/>
        </w:rPr>
        <w:t>, </w:t>
      </w:r>
      <w:r w:rsidRPr="00BE4AF3">
        <w:rPr>
          <w:rFonts w:ascii="Times New Roman" w:hAnsi="Times New Roman" w:cs="Times New Roman"/>
          <w:i/>
          <w:iCs/>
          <w:color w:val="000000"/>
          <w:sz w:val="24"/>
          <w:szCs w:val="24"/>
        </w:rPr>
        <w:t>9</w:t>
      </w:r>
      <w:r w:rsidRPr="00BE4AF3">
        <w:rPr>
          <w:rFonts w:ascii="Times New Roman" w:hAnsi="Times New Roman" w:cs="Times New Roman"/>
          <w:color w:val="000000"/>
          <w:sz w:val="24"/>
          <w:szCs w:val="24"/>
        </w:rPr>
        <w:t xml:space="preserve">, </w:t>
      </w:r>
      <w:r w:rsidRPr="00BE4AF3">
        <w:rPr>
          <w:rFonts w:ascii="Times New Roman" w:hAnsi="Times New Roman" w:cs="Times New Roman"/>
          <w:color w:val="000000"/>
          <w:sz w:val="24"/>
          <w:szCs w:val="24"/>
        </w:rPr>
        <w:tab/>
        <w:t>100669.</w:t>
      </w:r>
    </w:p>
    <w:p w14:paraId="05322B10" w14:textId="77777777" w:rsidR="004371E3" w:rsidRPr="00BE4AF3" w:rsidRDefault="004371E3" w:rsidP="00656A14">
      <w:pPr>
        <w:spacing w:after="0" w:line="240" w:lineRule="auto"/>
        <w:ind w:left="709" w:hanging="709"/>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OECD. (2014). Water governance in the Netherlands: Fit for the future? OECD Publishing.</w:t>
      </w:r>
    </w:p>
    <w:p w14:paraId="70AABE34" w14:textId="77777777" w:rsidR="004371E3" w:rsidRPr="00BE4AF3" w:rsidRDefault="004371E3" w:rsidP="00656A14">
      <w:pPr>
        <w:spacing w:after="0" w:line="240" w:lineRule="auto"/>
        <w:ind w:left="709" w:hanging="709"/>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Satterthwaite, D., Archer, D., Colenbrander, S., Dodman, D., Hardoy, J., &amp; Patel, S. (2020). </w:t>
      </w:r>
      <w:r w:rsidRPr="00BE4AF3">
        <w:rPr>
          <w:rFonts w:ascii="Times New Roman" w:hAnsi="Times New Roman" w:cs="Times New Roman"/>
          <w:color w:val="000000"/>
          <w:sz w:val="24"/>
          <w:szCs w:val="24"/>
        </w:rPr>
        <w:tab/>
        <w:t>Building resilience to climate change in informal settlements. One Earth, 2(2), 143–</w:t>
      </w:r>
      <w:r w:rsidRPr="00BE4AF3">
        <w:rPr>
          <w:rFonts w:ascii="Times New Roman" w:hAnsi="Times New Roman" w:cs="Times New Roman"/>
          <w:color w:val="000000"/>
          <w:sz w:val="24"/>
          <w:szCs w:val="24"/>
        </w:rPr>
        <w:tab/>
        <w:t>156.</w:t>
      </w:r>
    </w:p>
    <w:p w14:paraId="614FD656" w14:textId="77777777" w:rsidR="004371E3" w:rsidRPr="00BE4AF3" w:rsidRDefault="004371E3" w:rsidP="00656A14">
      <w:pPr>
        <w:spacing w:after="0" w:line="240" w:lineRule="auto"/>
        <w:ind w:left="709" w:hanging="709"/>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Shah, R., Patel, D., &amp; Kim, S. (2024). Technology gaps in sustainable construction: Barriers </w:t>
      </w:r>
      <w:r w:rsidRPr="00BE4AF3">
        <w:rPr>
          <w:rFonts w:ascii="Times New Roman" w:hAnsi="Times New Roman" w:cs="Times New Roman"/>
          <w:color w:val="000000"/>
          <w:sz w:val="24"/>
          <w:szCs w:val="24"/>
        </w:rPr>
        <w:tab/>
        <w:t>to global diffusion. Sustainable Built Environment Review, 12(1), 45–63.</w:t>
      </w:r>
    </w:p>
    <w:p w14:paraId="4EDE8E6A" w14:textId="77777777" w:rsidR="004371E3" w:rsidRPr="00BE4AF3" w:rsidRDefault="004371E3" w:rsidP="00656A14">
      <w:pPr>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color w:val="000000"/>
          <w:sz w:val="24"/>
          <w:szCs w:val="24"/>
        </w:rPr>
        <w:t xml:space="preserve">Slovic, A., Rodrigues, C., &amp; Silva, R. (2024). Barriers to climate adaptation in the built </w:t>
      </w:r>
      <w:r w:rsidRPr="00BE4AF3">
        <w:rPr>
          <w:rFonts w:ascii="Times New Roman" w:hAnsi="Times New Roman" w:cs="Times New Roman"/>
          <w:color w:val="000000"/>
          <w:sz w:val="24"/>
          <w:szCs w:val="24"/>
        </w:rPr>
        <w:tab/>
        <w:t>environment: Lessons from global south cities. Environmental Sustain</w:t>
      </w:r>
      <w:r w:rsidRPr="00BE4AF3">
        <w:rPr>
          <w:rFonts w:ascii="Times New Roman" w:hAnsi="Times New Roman" w:cs="Times New Roman"/>
          <w:sz w:val="24"/>
          <w:szCs w:val="24"/>
        </w:rPr>
        <w:t xml:space="preserve">ability Journal, </w:t>
      </w:r>
      <w:r w:rsidRPr="00BE4AF3">
        <w:rPr>
          <w:rFonts w:ascii="Times New Roman" w:hAnsi="Times New Roman" w:cs="Times New Roman"/>
          <w:sz w:val="24"/>
          <w:szCs w:val="24"/>
        </w:rPr>
        <w:tab/>
        <w:t>15(3), 201–219.</w:t>
      </w:r>
      <w:r w:rsidRPr="00BE4AF3">
        <w:rPr>
          <w:rFonts w:ascii="Times New Roman" w:hAnsi="Times New Roman" w:cs="Times New Roman"/>
          <w:sz w:val="24"/>
          <w:szCs w:val="24"/>
        </w:rPr>
        <w:tab/>
      </w:r>
    </w:p>
    <w:p w14:paraId="4B0A44EF" w14:textId="77777777" w:rsidR="004371E3" w:rsidRPr="00BE4AF3" w:rsidRDefault="004371E3" w:rsidP="00656A14">
      <w:pPr>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color w:val="000000"/>
          <w:sz w:val="24"/>
          <w:szCs w:val="24"/>
        </w:rPr>
        <w:t xml:space="preserve">UN-Habitat. (2020). </w:t>
      </w:r>
      <w:r w:rsidRPr="00BE4AF3">
        <w:rPr>
          <w:rStyle w:val="Emphasis"/>
          <w:rFonts w:ascii="Times New Roman" w:hAnsi="Times New Roman" w:cs="Times New Roman"/>
          <w:color w:val="000000"/>
          <w:sz w:val="24"/>
          <w:szCs w:val="24"/>
        </w:rPr>
        <w:t>World Cities Report 2020: The Value of Sustainable Urbanization</w:t>
      </w:r>
      <w:r w:rsidRPr="00BE4AF3">
        <w:rPr>
          <w:rFonts w:ascii="Times New Roman" w:hAnsi="Times New Roman" w:cs="Times New Roman"/>
          <w:color w:val="000000"/>
          <w:sz w:val="24"/>
          <w:szCs w:val="24"/>
        </w:rPr>
        <w:t xml:space="preserve">. </w:t>
      </w:r>
      <w:r w:rsidRPr="00BE4AF3">
        <w:rPr>
          <w:rFonts w:ascii="Times New Roman" w:hAnsi="Times New Roman" w:cs="Times New Roman"/>
          <w:color w:val="000000"/>
          <w:sz w:val="24"/>
          <w:szCs w:val="24"/>
        </w:rPr>
        <w:tab/>
        <w:t xml:space="preserve">Nairobi: UN-Habitat. </w:t>
      </w:r>
      <w:hyperlink r:id="rId117">
        <w:r w:rsidRPr="00BE4AF3">
          <w:rPr>
            <w:rStyle w:val="Hyperlink"/>
            <w:rFonts w:ascii="Times New Roman" w:hAnsi="Times New Roman" w:cs="Times New Roman"/>
            <w:color w:val="000000"/>
            <w:sz w:val="24"/>
            <w:szCs w:val="24"/>
          </w:rPr>
          <w:t>https://unhabitat.org/wcr/</w:t>
        </w:r>
      </w:hyperlink>
    </w:p>
    <w:p w14:paraId="64036927" w14:textId="77777777" w:rsidR="004371E3" w:rsidRPr="00BE4AF3" w:rsidRDefault="004371E3" w:rsidP="00656A14">
      <w:pPr>
        <w:spacing w:after="0" w:line="240" w:lineRule="auto"/>
        <w:ind w:left="709" w:hanging="709"/>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Van Koningsveld, M., Mulder, J. P. M., Stive, M. J. F., van der Valk, L., &amp; van der Weck, A. </w:t>
      </w:r>
      <w:r w:rsidRPr="00BE4AF3">
        <w:rPr>
          <w:rFonts w:ascii="Times New Roman" w:hAnsi="Times New Roman" w:cs="Times New Roman"/>
          <w:color w:val="000000"/>
          <w:sz w:val="24"/>
          <w:szCs w:val="24"/>
        </w:rPr>
        <w:tab/>
        <w:t xml:space="preserve">W. (2008). Living with sea-level rise and climate change: A case study of the </w:t>
      </w:r>
      <w:r w:rsidRPr="00BE4AF3">
        <w:rPr>
          <w:rFonts w:ascii="Times New Roman" w:hAnsi="Times New Roman" w:cs="Times New Roman"/>
          <w:color w:val="000000"/>
          <w:sz w:val="24"/>
          <w:szCs w:val="24"/>
        </w:rPr>
        <w:tab/>
        <w:t>Netherlands. Journal of Coastal Research, 24(2), 367–379.</w:t>
      </w:r>
    </w:p>
    <w:p w14:paraId="71E5DF52" w14:textId="77777777" w:rsidR="004371E3" w:rsidRPr="00BE4AF3" w:rsidRDefault="004371E3" w:rsidP="00656A14">
      <w:pPr>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color w:val="000000"/>
          <w:sz w:val="24"/>
          <w:szCs w:val="24"/>
        </w:rPr>
        <w:t xml:space="preserve">Wang, J., Chen, X., &amp; Li, H. (2025). Coastal cities and sea-level rise: Global lessons for </w:t>
      </w:r>
      <w:r w:rsidRPr="00BE4AF3">
        <w:rPr>
          <w:rFonts w:ascii="Times New Roman" w:hAnsi="Times New Roman" w:cs="Times New Roman"/>
          <w:color w:val="000000"/>
          <w:sz w:val="24"/>
          <w:szCs w:val="24"/>
        </w:rPr>
        <w:tab/>
        <w:t>resilience. Ocean and Coastal Management, 240, 106594.</w:t>
      </w:r>
    </w:p>
    <w:p w14:paraId="1AB54B0C" w14:textId="77777777" w:rsidR="00A4549A" w:rsidRPr="00BE4AF3" w:rsidRDefault="00A4549A" w:rsidP="00E90BB6">
      <w:pPr>
        <w:spacing w:after="0" w:line="240" w:lineRule="auto"/>
        <w:rPr>
          <w:rFonts w:ascii="Times New Roman" w:hAnsi="Times New Roman" w:cs="Times New Roman"/>
          <w:sz w:val="24"/>
          <w:szCs w:val="24"/>
        </w:rPr>
      </w:pPr>
    </w:p>
    <w:p w14:paraId="7060C967" w14:textId="77777777" w:rsidR="00656A14" w:rsidRDefault="00656A14" w:rsidP="00E90BB6">
      <w:pPr>
        <w:spacing w:after="0" w:line="240" w:lineRule="auto"/>
        <w:ind w:firstLine="720"/>
        <w:jc w:val="center"/>
        <w:rPr>
          <w:rFonts w:ascii="Times New Roman" w:hAnsi="Times New Roman" w:cs="Times New Roman"/>
          <w:b/>
          <w:sz w:val="24"/>
          <w:szCs w:val="24"/>
        </w:rPr>
      </w:pPr>
    </w:p>
    <w:p w14:paraId="4F986412" w14:textId="77777777" w:rsidR="00656A14" w:rsidRDefault="00656A14" w:rsidP="00E90BB6">
      <w:pPr>
        <w:spacing w:after="0" w:line="240" w:lineRule="auto"/>
        <w:ind w:firstLine="720"/>
        <w:jc w:val="center"/>
        <w:rPr>
          <w:rFonts w:ascii="Times New Roman" w:hAnsi="Times New Roman" w:cs="Times New Roman"/>
          <w:b/>
          <w:sz w:val="24"/>
          <w:szCs w:val="24"/>
        </w:rPr>
      </w:pPr>
    </w:p>
    <w:p w14:paraId="5D95FD4B" w14:textId="77777777" w:rsidR="00656A14" w:rsidRDefault="00656A14" w:rsidP="00E90BB6">
      <w:pPr>
        <w:spacing w:after="0" w:line="240" w:lineRule="auto"/>
        <w:ind w:firstLine="720"/>
        <w:jc w:val="center"/>
        <w:rPr>
          <w:rFonts w:ascii="Times New Roman" w:hAnsi="Times New Roman" w:cs="Times New Roman"/>
          <w:b/>
          <w:sz w:val="24"/>
          <w:szCs w:val="24"/>
        </w:rPr>
      </w:pPr>
    </w:p>
    <w:p w14:paraId="020323EF" w14:textId="77777777" w:rsidR="00656A14" w:rsidRDefault="00656A14" w:rsidP="00E90BB6">
      <w:pPr>
        <w:spacing w:after="0" w:line="240" w:lineRule="auto"/>
        <w:ind w:firstLine="720"/>
        <w:jc w:val="center"/>
        <w:rPr>
          <w:rFonts w:ascii="Times New Roman" w:hAnsi="Times New Roman" w:cs="Times New Roman"/>
          <w:b/>
          <w:sz w:val="24"/>
          <w:szCs w:val="24"/>
        </w:rPr>
      </w:pPr>
    </w:p>
    <w:p w14:paraId="2F61C462" w14:textId="77777777" w:rsidR="00656A14" w:rsidRDefault="00656A14" w:rsidP="00E90BB6">
      <w:pPr>
        <w:spacing w:after="0" w:line="240" w:lineRule="auto"/>
        <w:ind w:firstLine="720"/>
        <w:jc w:val="center"/>
        <w:rPr>
          <w:rFonts w:ascii="Times New Roman" w:hAnsi="Times New Roman" w:cs="Times New Roman"/>
          <w:b/>
          <w:sz w:val="24"/>
          <w:szCs w:val="24"/>
        </w:rPr>
      </w:pPr>
    </w:p>
    <w:p w14:paraId="27B7AC0D" w14:textId="77777777" w:rsidR="00656A14" w:rsidRDefault="00656A14" w:rsidP="00E90BB6">
      <w:pPr>
        <w:spacing w:after="0" w:line="240" w:lineRule="auto"/>
        <w:ind w:firstLine="720"/>
        <w:jc w:val="center"/>
        <w:rPr>
          <w:rFonts w:ascii="Times New Roman" w:hAnsi="Times New Roman" w:cs="Times New Roman"/>
          <w:b/>
          <w:sz w:val="24"/>
          <w:szCs w:val="24"/>
        </w:rPr>
      </w:pPr>
    </w:p>
    <w:p w14:paraId="380CC162" w14:textId="54B7BC17" w:rsidR="00F53A50" w:rsidRPr="00821843" w:rsidRDefault="00A4549A" w:rsidP="00E90BB6">
      <w:pPr>
        <w:spacing w:after="0" w:line="240" w:lineRule="auto"/>
        <w:ind w:firstLine="720"/>
        <w:jc w:val="center"/>
        <w:rPr>
          <w:rFonts w:ascii="Times New Roman" w:hAnsi="Times New Roman" w:cs="Times New Roman"/>
          <w:b/>
          <w:sz w:val="28"/>
          <w:szCs w:val="28"/>
        </w:rPr>
      </w:pPr>
      <w:r w:rsidRPr="00821843">
        <w:rPr>
          <w:rFonts w:ascii="Times New Roman" w:hAnsi="Times New Roman" w:cs="Times New Roman"/>
          <w:b/>
          <w:sz w:val="28"/>
          <w:szCs w:val="28"/>
        </w:rPr>
        <w:lastRenderedPageBreak/>
        <w:t>Evaluation of Competencies of Supply Chain Managers in Construction Industries in Abuja, Nigeria</w:t>
      </w:r>
    </w:p>
    <w:p w14:paraId="5C63A504" w14:textId="77777777" w:rsidR="00851684" w:rsidRPr="00BE4AF3" w:rsidRDefault="00851684" w:rsidP="00851684">
      <w:pPr>
        <w:pBdr>
          <w:top w:val="nil"/>
          <w:left w:val="nil"/>
          <w:bottom w:val="nil"/>
          <w:right w:val="nil"/>
          <w:between w:val="nil"/>
        </w:pBdr>
        <w:spacing w:after="0" w:line="240" w:lineRule="auto"/>
        <w:jc w:val="center"/>
        <w:rPr>
          <w:rFonts w:ascii="Times New Roman" w:hAnsi="Times New Roman" w:cs="Times New Roman"/>
          <w:sz w:val="24"/>
          <w:szCs w:val="24"/>
        </w:rPr>
      </w:pPr>
    </w:p>
    <w:p w14:paraId="75BE712D" w14:textId="77777777" w:rsidR="00F53A50" w:rsidRPr="001E3408" w:rsidRDefault="00A4549A" w:rsidP="00851684">
      <w:pPr>
        <w:pBdr>
          <w:top w:val="nil"/>
          <w:left w:val="nil"/>
          <w:bottom w:val="nil"/>
          <w:right w:val="nil"/>
          <w:between w:val="nil"/>
        </w:pBdr>
        <w:spacing w:after="0" w:line="240" w:lineRule="auto"/>
        <w:jc w:val="center"/>
        <w:rPr>
          <w:rFonts w:ascii="Times New Roman" w:hAnsi="Times New Roman" w:cs="Times New Roman"/>
          <w:sz w:val="24"/>
          <w:szCs w:val="24"/>
        </w:rPr>
      </w:pPr>
      <w:r w:rsidRPr="001E3408">
        <w:rPr>
          <w:rFonts w:ascii="Times New Roman" w:hAnsi="Times New Roman" w:cs="Times New Roman"/>
          <w:sz w:val="24"/>
          <w:szCs w:val="24"/>
        </w:rPr>
        <w:t>Abah</w:t>
      </w:r>
      <w:r w:rsidR="00F53A50" w:rsidRPr="001E3408">
        <w:rPr>
          <w:rFonts w:ascii="Times New Roman" w:hAnsi="Times New Roman" w:cs="Times New Roman"/>
          <w:sz w:val="24"/>
          <w:szCs w:val="24"/>
        </w:rPr>
        <w:t xml:space="preserve">, E., </w:t>
      </w:r>
      <w:r w:rsidRPr="001E3408">
        <w:rPr>
          <w:rFonts w:ascii="Times New Roman" w:hAnsi="Times New Roman" w:cs="Times New Roman"/>
          <w:sz w:val="24"/>
          <w:szCs w:val="24"/>
        </w:rPr>
        <w:t>Oni</w:t>
      </w:r>
      <w:r w:rsidR="00F53A50" w:rsidRPr="001E3408">
        <w:rPr>
          <w:rFonts w:ascii="Times New Roman" w:hAnsi="Times New Roman" w:cs="Times New Roman"/>
          <w:sz w:val="24"/>
          <w:szCs w:val="24"/>
        </w:rPr>
        <w:t>, O.S</w:t>
      </w:r>
    </w:p>
    <w:p w14:paraId="2608CCAD" w14:textId="77777777" w:rsidR="00851684" w:rsidRPr="00821843" w:rsidRDefault="00851684" w:rsidP="00851684">
      <w:pPr>
        <w:pBdr>
          <w:top w:val="nil"/>
          <w:left w:val="nil"/>
          <w:bottom w:val="nil"/>
          <w:right w:val="nil"/>
          <w:between w:val="nil"/>
        </w:pBdr>
        <w:spacing w:after="0" w:line="240" w:lineRule="auto"/>
        <w:jc w:val="center"/>
        <w:rPr>
          <w:rFonts w:ascii="Times New Roman" w:hAnsi="Times New Roman" w:cs="Times New Roman"/>
          <w:sz w:val="20"/>
          <w:szCs w:val="20"/>
        </w:rPr>
      </w:pPr>
    </w:p>
    <w:p w14:paraId="3AA0D01B" w14:textId="77777777" w:rsidR="00F53A50" w:rsidRPr="00821843" w:rsidRDefault="00F53A50" w:rsidP="00851684">
      <w:pPr>
        <w:pBdr>
          <w:top w:val="nil"/>
          <w:left w:val="nil"/>
          <w:bottom w:val="nil"/>
          <w:right w:val="nil"/>
          <w:between w:val="nil"/>
        </w:pBdr>
        <w:spacing w:after="0" w:line="240" w:lineRule="auto"/>
        <w:jc w:val="center"/>
        <w:rPr>
          <w:rFonts w:ascii="Times New Roman" w:hAnsi="Times New Roman" w:cs="Times New Roman"/>
          <w:sz w:val="20"/>
          <w:szCs w:val="20"/>
        </w:rPr>
      </w:pPr>
      <w:r w:rsidRPr="00821843">
        <w:rPr>
          <w:rFonts w:ascii="Times New Roman" w:hAnsi="Times New Roman" w:cs="Times New Roman"/>
          <w:sz w:val="20"/>
          <w:szCs w:val="20"/>
        </w:rPr>
        <w:t>Department of Quantity Surveying, Bingham University, Karu, Nassarawa State.</w:t>
      </w:r>
    </w:p>
    <w:p w14:paraId="465C6BAF" w14:textId="77777777" w:rsidR="00851684" w:rsidRPr="00821843" w:rsidRDefault="00851684" w:rsidP="00851684">
      <w:pPr>
        <w:pBdr>
          <w:top w:val="nil"/>
          <w:left w:val="nil"/>
          <w:bottom w:val="nil"/>
          <w:right w:val="nil"/>
          <w:between w:val="nil"/>
        </w:pBdr>
        <w:spacing w:after="0" w:line="240" w:lineRule="auto"/>
        <w:jc w:val="center"/>
        <w:rPr>
          <w:rFonts w:ascii="Times New Roman" w:hAnsi="Times New Roman" w:cs="Times New Roman"/>
          <w:sz w:val="20"/>
          <w:szCs w:val="20"/>
        </w:rPr>
      </w:pPr>
    </w:p>
    <w:p w14:paraId="629BE42D" w14:textId="77777777" w:rsidR="00F53A50" w:rsidRPr="00821843" w:rsidRDefault="00F53A50" w:rsidP="00851684">
      <w:pPr>
        <w:pBdr>
          <w:top w:val="nil"/>
          <w:left w:val="nil"/>
          <w:bottom w:val="nil"/>
          <w:right w:val="nil"/>
          <w:between w:val="nil"/>
        </w:pBdr>
        <w:spacing w:after="0" w:line="240" w:lineRule="auto"/>
        <w:jc w:val="center"/>
        <w:rPr>
          <w:rFonts w:ascii="Times New Roman" w:hAnsi="Times New Roman" w:cs="Times New Roman"/>
          <w:sz w:val="20"/>
          <w:szCs w:val="20"/>
        </w:rPr>
      </w:pPr>
      <w:r w:rsidRPr="00821843">
        <w:rPr>
          <w:rFonts w:ascii="Times New Roman" w:hAnsi="Times New Roman" w:cs="Times New Roman"/>
          <w:sz w:val="20"/>
          <w:szCs w:val="20"/>
        </w:rPr>
        <w:t>Corresponding email: abah.emmanuel@binghamuni.edu.ng</w:t>
      </w:r>
    </w:p>
    <w:p w14:paraId="118D76C1" w14:textId="77777777" w:rsidR="00F53A50" w:rsidRPr="00BE4AF3" w:rsidRDefault="00F53A50" w:rsidP="00E90BB6">
      <w:pPr>
        <w:pBdr>
          <w:top w:val="nil"/>
          <w:left w:val="nil"/>
          <w:bottom w:val="nil"/>
          <w:right w:val="nil"/>
          <w:between w:val="nil"/>
        </w:pBdr>
        <w:spacing w:after="0" w:line="240" w:lineRule="auto"/>
        <w:jc w:val="both"/>
        <w:rPr>
          <w:rFonts w:ascii="Times New Roman" w:hAnsi="Times New Roman" w:cs="Times New Roman"/>
          <w:sz w:val="24"/>
          <w:szCs w:val="24"/>
        </w:rPr>
      </w:pPr>
    </w:p>
    <w:p w14:paraId="7B118CDF" w14:textId="77777777" w:rsidR="00F53A50" w:rsidRPr="00BE4AF3" w:rsidRDefault="00F53A50" w:rsidP="00E90BB6">
      <w:pPr>
        <w:pBdr>
          <w:top w:val="nil"/>
          <w:left w:val="nil"/>
          <w:bottom w:val="nil"/>
          <w:right w:val="nil"/>
          <w:between w:val="nil"/>
        </w:pBd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LICFES 2025-031 – FP15</w:t>
      </w:r>
    </w:p>
    <w:p w14:paraId="6B564124" w14:textId="77777777" w:rsidR="00F53A50" w:rsidRPr="00BE4AF3" w:rsidRDefault="00F53A50" w:rsidP="00E90BB6">
      <w:pPr>
        <w:pBdr>
          <w:top w:val="nil"/>
          <w:left w:val="nil"/>
          <w:bottom w:val="nil"/>
          <w:right w:val="nil"/>
          <w:between w:val="nil"/>
        </w:pBd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Abstract</w:t>
      </w:r>
    </w:p>
    <w:tbl>
      <w:tblPr>
        <w:tblW w:w="9558" w:type="dxa"/>
        <w:tblInd w:w="-15" w:type="dxa"/>
        <w:tblLayout w:type="fixed"/>
        <w:tblLook w:val="0400" w:firstRow="0" w:lastRow="0" w:firstColumn="0" w:lastColumn="0" w:noHBand="0" w:noVBand="1"/>
      </w:tblPr>
      <w:tblGrid>
        <w:gridCol w:w="9558"/>
      </w:tblGrid>
      <w:tr w:rsidR="0092276B" w:rsidRPr="00BE4AF3" w14:paraId="6E3EEAE6" w14:textId="77777777" w:rsidTr="00ED4768">
        <w:tc>
          <w:tcPr>
            <w:tcW w:w="9558" w:type="dxa"/>
            <w:tcMar>
              <w:top w:w="0" w:type="dxa"/>
              <w:left w:w="108" w:type="dxa"/>
              <w:bottom w:w="0" w:type="dxa"/>
              <w:right w:w="108" w:type="dxa"/>
            </w:tcMar>
          </w:tcPr>
          <w:p w14:paraId="670E0547" w14:textId="77777777" w:rsidR="00F53A50" w:rsidRPr="00BE4AF3" w:rsidRDefault="00F53A50" w:rsidP="00821843">
            <w:pPr>
              <w:spacing w:after="0" w:line="240" w:lineRule="auto"/>
              <w:ind w:left="-93" w:right="-63"/>
              <w:jc w:val="both"/>
              <w:rPr>
                <w:rFonts w:ascii="Times New Roman" w:hAnsi="Times New Roman" w:cs="Times New Roman"/>
                <w:sz w:val="24"/>
                <w:szCs w:val="24"/>
              </w:rPr>
            </w:pPr>
            <w:r w:rsidRPr="00BE4AF3">
              <w:rPr>
                <w:rFonts w:ascii="Times New Roman" w:hAnsi="Times New Roman" w:cs="Times New Roman"/>
                <w:sz w:val="24"/>
                <w:szCs w:val="24"/>
              </w:rPr>
              <w:t>This study was carried out on evaluation of competencies of supply chain managers in construction industries in Abuja, Nigeria. Four research questions guided the study and two hypotheses guided the study. Descriptive research design was used, the population of the study consisted of construction industry in Abuja which was randomly sampled. The instrument used for data collection was a researcher designed questionnaire. Data generated was analyzed using percentage as well as descriptive statistics of mean and standard deviation while the hypothesis was tested using spearman rank order correlation coefficient with the aid of SPSS. The results of the study established that there is a high level of awareness of supply chain by supply chain managers in construction industry in Abuja, Nigeria; decision making, relationship management, communication, problem solving and project management are the competencies required by supply chain managers to perform their jobs effectively in construction industry in Abuja; undertaking digital transformation, developing adequate knowledge, experience and change management, external support as well as top management support are the factors influencing competencies of supply chain managers in construction industry in Abuja, Nigeria; certification and professional development, training and development programs, technology adoption, mentorship and coaching, as well as collaboration and knowledge are possible ways construction industries can influence competencies of supply chain managers in construction industry. It was recommended that more awareness on supply chain should be carried out in construction industry in Nigeria construction companies should conduct regular evaluations to identify areas for improvement and provide feedback to supply chain managers amongst others.</w:t>
            </w:r>
          </w:p>
          <w:p w14:paraId="1FED50BB" w14:textId="77777777" w:rsidR="00F53A50" w:rsidRPr="00BE4AF3" w:rsidRDefault="00F53A50" w:rsidP="00851684">
            <w:pPr>
              <w:spacing w:after="0" w:line="240" w:lineRule="auto"/>
              <w:ind w:left="-93"/>
              <w:jc w:val="both"/>
              <w:rPr>
                <w:rFonts w:ascii="Times New Roman" w:hAnsi="Times New Roman" w:cs="Times New Roman"/>
                <w:sz w:val="24"/>
                <w:szCs w:val="24"/>
              </w:rPr>
            </w:pPr>
            <w:r w:rsidRPr="00BE4AF3">
              <w:rPr>
                <w:rFonts w:ascii="Times New Roman" w:hAnsi="Times New Roman" w:cs="Times New Roman"/>
                <w:sz w:val="24"/>
                <w:szCs w:val="24"/>
              </w:rPr>
              <w:t xml:space="preserve"> </w:t>
            </w:r>
          </w:p>
        </w:tc>
      </w:tr>
    </w:tbl>
    <w:p w14:paraId="7EC67901" w14:textId="77777777" w:rsidR="00F53A50" w:rsidRPr="00BE4AF3" w:rsidRDefault="00F53A50" w:rsidP="00A4549A">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Keywords</w:t>
      </w:r>
      <w:r w:rsidRPr="00BE4AF3">
        <w:rPr>
          <w:rFonts w:ascii="Times New Roman" w:hAnsi="Times New Roman" w:cs="Times New Roman"/>
          <w:sz w:val="24"/>
          <w:szCs w:val="24"/>
        </w:rPr>
        <w:t>: Evaluation, Competencies, Supply chain, and Supply chain managers</w:t>
      </w:r>
    </w:p>
    <w:p w14:paraId="1F1D1A85" w14:textId="77777777" w:rsidR="00F53A50" w:rsidRPr="00BE4AF3" w:rsidRDefault="00F53A50" w:rsidP="00E90BB6">
      <w:pPr>
        <w:spacing w:after="0" w:line="240" w:lineRule="auto"/>
        <w:rPr>
          <w:rFonts w:ascii="Times New Roman" w:hAnsi="Times New Roman" w:cs="Times New Roman"/>
          <w:sz w:val="24"/>
          <w:szCs w:val="24"/>
        </w:rPr>
      </w:pPr>
    </w:p>
    <w:p w14:paraId="3A8F1D3C" w14:textId="77777777" w:rsidR="004371E3" w:rsidRPr="00BE4AF3" w:rsidRDefault="004371E3" w:rsidP="004371E3">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Introduction</w:t>
      </w:r>
    </w:p>
    <w:p w14:paraId="1F615420" w14:textId="77777777" w:rsidR="004371E3" w:rsidRPr="00BE4AF3" w:rsidRDefault="004371E3" w:rsidP="0082184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Evaluating the competencies of supply chain managers is crucial for ensuring effective supply chain management (SCM) in today's complex business environment. Supply chain managers play a vital role in overseeing the flow of goods, services, and information from raw materials to end customers. To perform their jobs effectively, they require a unique set of competencies that enable them to manage complex supply chains, lead teams, and make informed decisions (Mageto &amp; Luke, 2020).</w:t>
      </w:r>
    </w:p>
    <w:p w14:paraId="73E5147B" w14:textId="77777777" w:rsidR="004371E3" w:rsidRPr="00BE4AF3" w:rsidRDefault="004371E3" w:rsidP="0082184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term supply chain has been viewed from several perspectives. The Council of Supply Chain Management Professionals (2020) view supply chain as a network of organizations, people and activities involved in the production and delivery of a product or service. It includes the flow of goods, services, and information from raw materials to end customers. Chopra and Meindi (2019) define supply chain as a complex network of organizations, people and technologies that work together to design, produce and deliver products or services to customers. For effective design, </w:t>
      </w:r>
      <w:r w:rsidRPr="00BE4AF3">
        <w:rPr>
          <w:rFonts w:ascii="Times New Roman" w:hAnsi="Times New Roman" w:cs="Times New Roman"/>
          <w:sz w:val="24"/>
          <w:szCs w:val="24"/>
        </w:rPr>
        <w:lastRenderedPageBreak/>
        <w:t>production as well as delivery of services to client, there must be an effective supply chain manager.</w:t>
      </w:r>
    </w:p>
    <w:p w14:paraId="364FB01D" w14:textId="77777777" w:rsidR="004371E3" w:rsidRPr="00BE4AF3" w:rsidRDefault="004371E3" w:rsidP="0082184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Supply chain manager can be defined in several ways. Nwakaji (2024) view supply chain manager as a strategic leader who develops plans to optimize logistics processes, enhances operational efficiency, and ensures organizational goals are aligned across departments. They foster collaboration, manage supplier relationships, and mitigate risks. Chopra </w:t>
      </w:r>
      <w:r w:rsidRPr="00BE4AF3">
        <w:rPr>
          <w:rFonts w:ascii="Times New Roman" w:hAnsi="Times New Roman" w:cs="Times New Roman"/>
          <w:i/>
          <w:sz w:val="24"/>
          <w:szCs w:val="24"/>
        </w:rPr>
        <w:t>et al</w:t>
      </w:r>
      <w:r w:rsidRPr="00BE4AF3">
        <w:rPr>
          <w:rFonts w:ascii="Times New Roman" w:hAnsi="Times New Roman" w:cs="Times New Roman"/>
          <w:sz w:val="24"/>
          <w:szCs w:val="24"/>
        </w:rPr>
        <w:t xml:space="preserve">., (2019) view supply chain managers as a professional with expertise in managing the flow of goods, data, and finances related to a product or service, from procurement of raw materials to delivery of the product at its final destination. </w:t>
      </w:r>
    </w:p>
    <w:p w14:paraId="2A242513" w14:textId="77777777" w:rsidR="004371E3" w:rsidRPr="00BE4AF3" w:rsidRDefault="004371E3" w:rsidP="0082184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Supply chain management (SCM) is a critical aspect of modern business, and supply chain managers play a vital role in ensuring the smooth operation of supply chains in the construction industries. The competencies of these managers are essential for navigating the complexities of modern supply chains (Nwakaji, 2024). Supply chain managers play a critical role in ensuring the smooth operation of supply chains. They are responsible for managing the flow of goods, services, and information from raw materials to end customers (Mageto and Luke, 2020).</w:t>
      </w:r>
    </w:p>
    <w:p w14:paraId="47AF09E4" w14:textId="77777777" w:rsidR="004371E3" w:rsidRPr="00BE4AF3" w:rsidRDefault="004371E3" w:rsidP="00821843">
      <w:pPr>
        <w:spacing w:after="0" w:line="240" w:lineRule="auto"/>
        <w:jc w:val="both"/>
        <w:rPr>
          <w:rFonts w:ascii="Times New Roman" w:hAnsi="Times New Roman" w:cs="Times New Roman"/>
          <w:color w:val="000000"/>
          <w:sz w:val="24"/>
          <w:szCs w:val="24"/>
        </w:rPr>
      </w:pPr>
      <w:r w:rsidRPr="00BE4AF3">
        <w:rPr>
          <w:rFonts w:ascii="Times New Roman" w:hAnsi="Times New Roman" w:cs="Times New Roman"/>
          <w:sz w:val="24"/>
          <w:szCs w:val="24"/>
        </w:rPr>
        <w:t xml:space="preserve">The construction industry is a complex and dynamic sector that relies heavily on effective supply chain management (SCM) to deliver projects on time, within budget, and to the required quality standards. Despite its importance, research suggests that supply chain managers in the construction industry may not have a sufficient level of awareness of SCM principles, practices, and technologies (Papadopoulos et al., 2016). The problem is that many supply chain managers in the construction industry may not have a comprehensive understanding of supply chain which can make the supply chain managers not to be aware of the latest trends, technologies, and best practices to adapt to change and remain competitive (Christopher, 2016). It is on this premise that this study is carried out to </w:t>
      </w:r>
      <w:r w:rsidRPr="00BE4AF3">
        <w:rPr>
          <w:rFonts w:ascii="Times New Roman" w:hAnsi="Times New Roman" w:cs="Times New Roman"/>
          <w:color w:val="000000"/>
          <w:sz w:val="24"/>
          <w:szCs w:val="24"/>
        </w:rPr>
        <w:t>ascertain the level of awareness of supply chain by supply chain managers in construction industry in Abuja, Nigeria.</w:t>
      </w:r>
    </w:p>
    <w:p w14:paraId="211B4E51" w14:textId="77777777" w:rsidR="004371E3" w:rsidRPr="00BE4AF3" w:rsidRDefault="004371E3" w:rsidP="00821843">
      <w:pPr>
        <w:spacing w:after="0" w:line="240" w:lineRule="auto"/>
        <w:jc w:val="both"/>
        <w:rPr>
          <w:rFonts w:ascii="Times New Roman" w:hAnsi="Times New Roman" w:cs="Times New Roman"/>
          <w:color w:val="000000"/>
          <w:sz w:val="24"/>
          <w:szCs w:val="24"/>
        </w:rPr>
      </w:pPr>
      <w:r w:rsidRPr="00BE4AF3">
        <w:rPr>
          <w:rFonts w:ascii="Times New Roman" w:hAnsi="Times New Roman" w:cs="Times New Roman"/>
          <w:sz w:val="24"/>
          <w:szCs w:val="24"/>
        </w:rPr>
        <w:t xml:space="preserve">In addition, the construction industry in Lagos State, Nigeria, faces significant challenges due to inadequate supply chain management competencies among supply chain managers. The problem is that many supply chain managers in the construction industry lack the necessary skills and knowledge to perform their jobs effectively, leading to poor supply chain management practices resulting in delays, cost overruns, and quality issues, ultimately affecting project outcomes and customer satisfaction (Oladapo, 2016). It is on this premise that the study intends to </w:t>
      </w:r>
      <w:r w:rsidRPr="00BE4AF3">
        <w:rPr>
          <w:rFonts w:ascii="Times New Roman" w:hAnsi="Times New Roman" w:cs="Times New Roman"/>
          <w:color w:val="000000"/>
          <w:sz w:val="24"/>
          <w:szCs w:val="24"/>
        </w:rPr>
        <w:t>identify the competencies required by supply chain managers to perform their jobs effectively in construction industry in Abuja, Nigeria.</w:t>
      </w:r>
    </w:p>
    <w:p w14:paraId="2F982EC7" w14:textId="77777777" w:rsidR="004371E3" w:rsidRPr="00BE4AF3" w:rsidRDefault="004371E3" w:rsidP="0082184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Also, the construction industry in Lagos State faces numerous challenges due to inadequate supply chain competencies among supply chain managers. Some of the key factors influencing supply chain management competencies which include shortage of skilled professionals with expertise in supply chain, leading to poor project delivery and outcomes (Oloke and Olayinka, 2023). It is on this premise this study tends to </w:t>
      </w:r>
      <w:r w:rsidRPr="00BE4AF3">
        <w:rPr>
          <w:rFonts w:ascii="Times New Roman" w:hAnsi="Times New Roman" w:cs="Times New Roman"/>
          <w:color w:val="000000"/>
          <w:sz w:val="24"/>
          <w:szCs w:val="24"/>
        </w:rPr>
        <w:t>find out factors influencing competencies of supply chain managers in construction industry in Abuja, Nigeria.</w:t>
      </w:r>
    </w:p>
    <w:p w14:paraId="7C47485A" w14:textId="77777777" w:rsidR="004371E3" w:rsidRPr="00BE4AF3" w:rsidRDefault="004371E3" w:rsidP="00821843">
      <w:pPr>
        <w:spacing w:after="0" w:line="240" w:lineRule="auto"/>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The aim of this study is on the evaluation of competencies of supply chain managers. In order to achieve the aim, the following objectives will be drawn up:</w:t>
      </w:r>
    </w:p>
    <w:p w14:paraId="55AFB083" w14:textId="77777777" w:rsidR="004371E3" w:rsidRPr="00BE4AF3" w:rsidRDefault="004371E3" w:rsidP="004371E3">
      <w:pPr>
        <w:spacing w:after="0" w:line="240" w:lineRule="auto"/>
        <w:ind w:left="720" w:hanging="720"/>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1.</w:t>
      </w:r>
      <w:r w:rsidRPr="00BE4AF3">
        <w:rPr>
          <w:rFonts w:ascii="Times New Roman" w:hAnsi="Times New Roman" w:cs="Times New Roman"/>
          <w:color w:val="000000"/>
          <w:sz w:val="24"/>
          <w:szCs w:val="24"/>
        </w:rPr>
        <w:tab/>
        <w:t>ascertain the level of awareness of supply chain by supply chain managers in construction industry in Abuja, Nigeria;</w:t>
      </w:r>
    </w:p>
    <w:p w14:paraId="50136955" w14:textId="77777777" w:rsidR="004371E3" w:rsidRPr="00BE4AF3" w:rsidRDefault="004371E3" w:rsidP="004371E3">
      <w:pPr>
        <w:spacing w:after="0" w:line="240" w:lineRule="auto"/>
        <w:ind w:left="720" w:hanging="720"/>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2.</w:t>
      </w:r>
      <w:r w:rsidRPr="00BE4AF3">
        <w:rPr>
          <w:rFonts w:ascii="Times New Roman" w:hAnsi="Times New Roman" w:cs="Times New Roman"/>
          <w:color w:val="000000"/>
          <w:sz w:val="24"/>
          <w:szCs w:val="24"/>
        </w:rPr>
        <w:tab/>
        <w:t>identify the competencies required by supply chain managers to perform their jobs effectively in construction industry in Abuja, Nigeria;</w:t>
      </w:r>
    </w:p>
    <w:p w14:paraId="13BCB042" w14:textId="77777777" w:rsidR="004371E3" w:rsidRPr="00BE4AF3" w:rsidRDefault="004371E3" w:rsidP="004371E3">
      <w:pPr>
        <w:spacing w:after="0" w:line="240" w:lineRule="auto"/>
        <w:ind w:left="720" w:hanging="720"/>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lastRenderedPageBreak/>
        <w:t xml:space="preserve">3. </w:t>
      </w:r>
      <w:r w:rsidRPr="00BE4AF3">
        <w:rPr>
          <w:rFonts w:ascii="Times New Roman" w:hAnsi="Times New Roman" w:cs="Times New Roman"/>
          <w:color w:val="000000"/>
          <w:sz w:val="24"/>
          <w:szCs w:val="24"/>
        </w:rPr>
        <w:tab/>
        <w:t>find out factors influencing competencies of supply chain managers in construction industry in Abuja, Nigeria;</w:t>
      </w:r>
    </w:p>
    <w:p w14:paraId="48C2874D" w14:textId="77777777" w:rsidR="004371E3" w:rsidRPr="00BE4AF3" w:rsidRDefault="004371E3" w:rsidP="004371E3">
      <w:pPr>
        <w:spacing w:after="0" w:line="240" w:lineRule="auto"/>
        <w:ind w:left="720" w:hanging="720"/>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4.</w:t>
      </w:r>
      <w:r w:rsidRPr="00BE4AF3">
        <w:rPr>
          <w:rFonts w:ascii="Times New Roman" w:hAnsi="Times New Roman" w:cs="Times New Roman"/>
          <w:color w:val="000000"/>
          <w:sz w:val="24"/>
          <w:szCs w:val="24"/>
        </w:rPr>
        <w:tab/>
        <w:t>suggest possible ways construction industries can influence competencies of supply chain managers in construction industry in Abuja, Nigeria.</w:t>
      </w:r>
    </w:p>
    <w:p w14:paraId="69CD7F12" w14:textId="77777777" w:rsidR="004371E3" w:rsidRPr="00BE4AF3" w:rsidRDefault="004371E3" w:rsidP="004371E3">
      <w:pPr>
        <w:spacing w:after="0" w:line="240" w:lineRule="auto"/>
        <w:ind w:left="720" w:hanging="720"/>
        <w:jc w:val="both"/>
        <w:rPr>
          <w:rFonts w:ascii="Times New Roman" w:hAnsi="Times New Roman" w:cs="Times New Roman"/>
          <w:b/>
          <w:color w:val="000000"/>
          <w:sz w:val="24"/>
          <w:szCs w:val="24"/>
        </w:rPr>
      </w:pPr>
    </w:p>
    <w:p w14:paraId="0B90B72D" w14:textId="77777777" w:rsidR="004371E3" w:rsidRPr="00BE4AF3" w:rsidRDefault="004371E3" w:rsidP="004371E3">
      <w:pPr>
        <w:spacing w:after="0" w:line="240" w:lineRule="auto"/>
        <w:jc w:val="both"/>
        <w:rPr>
          <w:rFonts w:ascii="Times New Roman" w:hAnsi="Times New Roman" w:cs="Times New Roman"/>
          <w:sz w:val="24"/>
          <w:szCs w:val="24"/>
        </w:rPr>
      </w:pPr>
      <w:r w:rsidRPr="00BE4AF3">
        <w:rPr>
          <w:rFonts w:ascii="Times New Roman" w:hAnsi="Times New Roman" w:cs="Times New Roman"/>
          <w:color w:val="000000"/>
          <w:sz w:val="24"/>
          <w:szCs w:val="24"/>
        </w:rPr>
        <w:tab/>
        <w:t>The following research questions were drawn up from the statement of research problem.</w:t>
      </w:r>
    </w:p>
    <w:p w14:paraId="49CFE076" w14:textId="77777777" w:rsidR="004371E3" w:rsidRPr="00BE4AF3" w:rsidRDefault="004371E3" w:rsidP="004371E3">
      <w:pPr>
        <w:spacing w:after="0" w:line="240" w:lineRule="auto"/>
        <w:ind w:left="720" w:hanging="720"/>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1.</w:t>
      </w:r>
      <w:r w:rsidRPr="00BE4AF3">
        <w:rPr>
          <w:rFonts w:ascii="Times New Roman" w:hAnsi="Times New Roman" w:cs="Times New Roman"/>
          <w:color w:val="000000"/>
          <w:sz w:val="24"/>
          <w:szCs w:val="24"/>
        </w:rPr>
        <w:tab/>
        <w:t>What is the level of awareness of supply chain by supply chain managers in construction industry in Abuja, Nigeria?</w:t>
      </w:r>
    </w:p>
    <w:p w14:paraId="46E2E1AA" w14:textId="77777777" w:rsidR="004371E3" w:rsidRPr="00BE4AF3" w:rsidRDefault="004371E3" w:rsidP="004371E3">
      <w:pPr>
        <w:spacing w:after="0" w:line="240" w:lineRule="auto"/>
        <w:ind w:left="720" w:hanging="720"/>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2.</w:t>
      </w:r>
      <w:r w:rsidRPr="00BE4AF3">
        <w:rPr>
          <w:rFonts w:ascii="Times New Roman" w:hAnsi="Times New Roman" w:cs="Times New Roman"/>
          <w:color w:val="000000"/>
          <w:sz w:val="24"/>
          <w:szCs w:val="24"/>
        </w:rPr>
        <w:tab/>
        <w:t>What are the competencies required by supply chain managers to perform their jobs effectively in construction industry in Abuja, Nigeria?</w:t>
      </w:r>
    </w:p>
    <w:p w14:paraId="08F80596" w14:textId="77777777" w:rsidR="004371E3" w:rsidRPr="00BE4AF3" w:rsidRDefault="004371E3" w:rsidP="004371E3">
      <w:pPr>
        <w:spacing w:after="0" w:line="240" w:lineRule="auto"/>
        <w:ind w:left="720" w:hanging="720"/>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3. </w:t>
      </w:r>
      <w:r w:rsidRPr="00BE4AF3">
        <w:rPr>
          <w:rFonts w:ascii="Times New Roman" w:hAnsi="Times New Roman" w:cs="Times New Roman"/>
          <w:color w:val="000000"/>
          <w:sz w:val="24"/>
          <w:szCs w:val="24"/>
        </w:rPr>
        <w:tab/>
        <w:t>What are the factors influencing competencies of supply chain managers in construction industry in Abuja, Nigeria?</w:t>
      </w:r>
    </w:p>
    <w:p w14:paraId="2DFB0244" w14:textId="77777777" w:rsidR="004371E3" w:rsidRPr="00BE4AF3" w:rsidRDefault="004371E3" w:rsidP="004371E3">
      <w:pPr>
        <w:spacing w:after="0" w:line="240" w:lineRule="auto"/>
        <w:ind w:left="720" w:hanging="720"/>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4.</w:t>
      </w:r>
      <w:r w:rsidRPr="00BE4AF3">
        <w:rPr>
          <w:rFonts w:ascii="Times New Roman" w:hAnsi="Times New Roman" w:cs="Times New Roman"/>
          <w:color w:val="000000"/>
          <w:sz w:val="24"/>
          <w:szCs w:val="24"/>
        </w:rPr>
        <w:tab/>
        <w:t>What are the possible ways construction industries can influence competencies of supply chain managers in construction industry in Abuja, Nigeria?</w:t>
      </w:r>
    </w:p>
    <w:p w14:paraId="1192BC14" w14:textId="77777777" w:rsidR="004371E3" w:rsidRPr="00BE4AF3" w:rsidRDefault="004371E3" w:rsidP="004371E3">
      <w:pPr>
        <w:spacing w:after="0" w:line="240" w:lineRule="auto"/>
        <w:jc w:val="both"/>
        <w:rPr>
          <w:rFonts w:ascii="Times New Roman" w:hAnsi="Times New Roman" w:cs="Times New Roman"/>
          <w:sz w:val="24"/>
          <w:szCs w:val="24"/>
        </w:rPr>
      </w:pPr>
      <w:r w:rsidRPr="00BE4AF3">
        <w:rPr>
          <w:rFonts w:ascii="Times New Roman" w:hAnsi="Times New Roman" w:cs="Times New Roman"/>
          <w:b/>
          <w:color w:val="000000"/>
          <w:sz w:val="24"/>
          <w:szCs w:val="24"/>
        </w:rPr>
        <w:t>Hypotheses</w:t>
      </w:r>
    </w:p>
    <w:p w14:paraId="454608C8" w14:textId="77777777" w:rsidR="004371E3" w:rsidRPr="00BE4AF3" w:rsidRDefault="004371E3" w:rsidP="004371E3">
      <w:pPr>
        <w:spacing w:after="0" w:line="240" w:lineRule="auto"/>
        <w:ind w:left="360"/>
        <w:jc w:val="both"/>
        <w:rPr>
          <w:rFonts w:ascii="Times New Roman" w:hAnsi="Times New Roman" w:cs="Times New Roman"/>
          <w:sz w:val="24"/>
          <w:szCs w:val="24"/>
        </w:rPr>
      </w:pPr>
      <w:r w:rsidRPr="00BE4AF3">
        <w:rPr>
          <w:rFonts w:ascii="Times New Roman" w:hAnsi="Times New Roman" w:cs="Times New Roman"/>
          <w:color w:val="000000"/>
          <w:sz w:val="24"/>
          <w:szCs w:val="24"/>
        </w:rPr>
        <w:t>The following null hypothesis were formulated and tested at 0.05 level of significance</w:t>
      </w:r>
    </w:p>
    <w:p w14:paraId="2ACBBF5E" w14:textId="77777777" w:rsidR="004371E3" w:rsidRPr="00BE4AF3" w:rsidRDefault="004371E3" w:rsidP="004371E3">
      <w:pPr>
        <w:spacing w:after="0" w:line="240" w:lineRule="auto"/>
        <w:ind w:left="720" w:hanging="720"/>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1.</w:t>
      </w:r>
      <w:r w:rsidRPr="00BE4AF3">
        <w:rPr>
          <w:rFonts w:ascii="Times New Roman" w:hAnsi="Times New Roman" w:cs="Times New Roman"/>
          <w:color w:val="000000"/>
          <w:sz w:val="24"/>
          <w:szCs w:val="24"/>
        </w:rPr>
        <w:tab/>
        <w:t>There is no significant impact of awareness of supply chain on supply chain managers in construction industry in Abuja, Nigeria.</w:t>
      </w:r>
    </w:p>
    <w:p w14:paraId="65794367" w14:textId="77777777" w:rsidR="004371E3" w:rsidRPr="00BE4AF3" w:rsidRDefault="004371E3" w:rsidP="004371E3">
      <w:pPr>
        <w:spacing w:after="0" w:line="240" w:lineRule="auto"/>
        <w:ind w:left="720" w:hanging="720"/>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2.</w:t>
      </w:r>
      <w:r w:rsidRPr="00BE4AF3">
        <w:rPr>
          <w:rFonts w:ascii="Times New Roman" w:hAnsi="Times New Roman" w:cs="Times New Roman"/>
          <w:color w:val="000000"/>
          <w:sz w:val="24"/>
          <w:szCs w:val="24"/>
        </w:rPr>
        <w:tab/>
        <w:t>There is no significant impact of competencies of supply chain on supply chain managers in construction industry in Abuja, Nigeria.</w:t>
      </w:r>
    </w:p>
    <w:p w14:paraId="43F5F512" w14:textId="77777777" w:rsidR="00821843" w:rsidRDefault="00821843" w:rsidP="004371E3">
      <w:pPr>
        <w:spacing w:after="0" w:line="240" w:lineRule="auto"/>
        <w:ind w:left="720" w:hanging="720"/>
        <w:jc w:val="both"/>
        <w:rPr>
          <w:rFonts w:ascii="Times New Roman" w:hAnsi="Times New Roman" w:cs="Times New Roman"/>
          <w:b/>
          <w:color w:val="000000"/>
          <w:sz w:val="24"/>
          <w:szCs w:val="24"/>
        </w:rPr>
      </w:pPr>
    </w:p>
    <w:p w14:paraId="781BA07B" w14:textId="7658B3C8" w:rsidR="004371E3" w:rsidRPr="00BE4AF3" w:rsidRDefault="004371E3" w:rsidP="004371E3">
      <w:pPr>
        <w:spacing w:after="0" w:line="240" w:lineRule="auto"/>
        <w:ind w:left="720" w:hanging="720"/>
        <w:jc w:val="both"/>
        <w:rPr>
          <w:rFonts w:ascii="Times New Roman" w:hAnsi="Times New Roman" w:cs="Times New Roman"/>
          <w:b/>
          <w:color w:val="000000"/>
          <w:sz w:val="24"/>
          <w:szCs w:val="24"/>
        </w:rPr>
      </w:pPr>
      <w:r w:rsidRPr="00BE4AF3">
        <w:rPr>
          <w:rFonts w:ascii="Times New Roman" w:hAnsi="Times New Roman" w:cs="Times New Roman"/>
          <w:b/>
          <w:color w:val="000000"/>
          <w:sz w:val="24"/>
          <w:szCs w:val="24"/>
        </w:rPr>
        <w:t>Literature Review</w:t>
      </w:r>
    </w:p>
    <w:p w14:paraId="56E87542" w14:textId="77777777" w:rsidR="004371E3" w:rsidRPr="00BE4AF3" w:rsidRDefault="004371E3" w:rsidP="00821843">
      <w:pPr>
        <w:spacing w:after="0" w:line="240" w:lineRule="auto"/>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It is pertinent to note that this study hinges on agency theory.</w:t>
      </w:r>
      <w:r w:rsidRPr="00BE4AF3">
        <w:rPr>
          <w:rFonts w:ascii="Times New Roman" w:hAnsi="Times New Roman" w:cs="Times New Roman"/>
          <w:sz w:val="24"/>
          <w:szCs w:val="24"/>
        </w:rPr>
        <w:t xml:space="preserve"> </w:t>
      </w:r>
      <w:r w:rsidRPr="00BE4AF3">
        <w:rPr>
          <w:rFonts w:ascii="Times New Roman" w:hAnsi="Times New Roman" w:cs="Times New Roman"/>
          <w:color w:val="000000"/>
          <w:sz w:val="24"/>
          <w:szCs w:val="24"/>
        </w:rPr>
        <w:t>Agency theory was propounded by Michael Jensen and William Meckling in 1976. Agency theory examines the relationships between principals (shareholders or owners) and agents (managers or employees) in an organization. It posits that: Principals delegate decision-making authority to agents, who may have different interests and risk preferences; Agents may prioritize their own interests over those of the principals, leading to agency costs; Principals need to design contracts and monitoring mechanisms to align the interests of agents with their own. This theory is relevant to the present study because supply chain managers, as agents, may prioritize their own interests or those of their functional area over the overall goals of the organization. Agency theory highlights the need to design incentives and performance metrics that align the interests of supply chain managers with those of the organization.</w:t>
      </w:r>
    </w:p>
    <w:p w14:paraId="2EE75871" w14:textId="77777777" w:rsidR="004371E3" w:rsidRPr="00BE4AF3" w:rsidRDefault="004371E3" w:rsidP="00821843">
      <w:pPr>
        <w:spacing w:after="0" w:line="240" w:lineRule="auto"/>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In a study carried out on level of awareness of supply chain by supply chain managers in construction industry. In a study carried out by Ogundipe </w:t>
      </w:r>
      <w:r w:rsidRPr="00BE4AF3">
        <w:rPr>
          <w:rFonts w:ascii="Times New Roman" w:hAnsi="Times New Roman" w:cs="Times New Roman"/>
          <w:i/>
          <w:color w:val="000000"/>
          <w:sz w:val="24"/>
          <w:szCs w:val="24"/>
        </w:rPr>
        <w:t>et al</w:t>
      </w:r>
      <w:r w:rsidRPr="00BE4AF3">
        <w:rPr>
          <w:rFonts w:ascii="Times New Roman" w:hAnsi="Times New Roman" w:cs="Times New Roman"/>
          <w:color w:val="000000"/>
          <w:sz w:val="24"/>
          <w:szCs w:val="24"/>
        </w:rPr>
        <w:t xml:space="preserve">., (2024) on issues and challenges affecting supply chain in project delivery. The objective of the study is to assess the challenges of supply chain management in construction project delivery from the perspective of construction professionals in South Africa. The study revealed high level of awareness of supply chain, the study also identified weak procurement strategies, unclear project specifications, difficulties with scheduling flexibility, poor construction design, and delays in material delivery as key challenges affecting SCM in project delivery. In another study carried out by Harouache </w:t>
      </w:r>
      <w:r w:rsidRPr="00BE4AF3">
        <w:rPr>
          <w:rFonts w:ascii="Times New Roman" w:hAnsi="Times New Roman" w:cs="Times New Roman"/>
          <w:i/>
          <w:color w:val="000000"/>
          <w:sz w:val="24"/>
          <w:szCs w:val="24"/>
        </w:rPr>
        <w:t>et al</w:t>
      </w:r>
      <w:r w:rsidRPr="00BE4AF3">
        <w:rPr>
          <w:rFonts w:ascii="Times New Roman" w:hAnsi="Times New Roman" w:cs="Times New Roman"/>
          <w:color w:val="000000"/>
          <w:sz w:val="24"/>
          <w:szCs w:val="24"/>
        </w:rPr>
        <w:t>., (2024) on the influence of supply chain management on sustainable construction industry. The objective of the study is to investigate the relationship between traditional supply chain management (TSCM) and sustainable construction (SC) in the Algerian construction industry. The study found a positive relationship between TSCM and SC, with TSCM dimensions (design, manufacturing, distribution, and purchasing) explaining 95% of sustainable construction.</w:t>
      </w:r>
    </w:p>
    <w:p w14:paraId="7C38BD5D" w14:textId="77777777" w:rsidR="004371E3" w:rsidRPr="00BE4AF3" w:rsidRDefault="004371E3" w:rsidP="00821843">
      <w:pPr>
        <w:spacing w:after="0" w:line="240" w:lineRule="auto"/>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lastRenderedPageBreak/>
        <w:t xml:space="preserve">Similar study has been carried out to investigate the competencies required by supply chain managers to perform their jobs effectively in construction industry. Studer </w:t>
      </w:r>
      <w:r w:rsidRPr="00BE4AF3">
        <w:rPr>
          <w:rFonts w:ascii="Times New Roman" w:hAnsi="Times New Roman" w:cs="Times New Roman"/>
          <w:i/>
          <w:color w:val="000000"/>
          <w:sz w:val="24"/>
          <w:szCs w:val="24"/>
        </w:rPr>
        <w:t xml:space="preserve">et al., </w:t>
      </w:r>
      <w:r w:rsidRPr="00BE4AF3">
        <w:rPr>
          <w:rFonts w:ascii="Times New Roman" w:hAnsi="Times New Roman" w:cs="Times New Roman"/>
          <w:color w:val="000000"/>
          <w:sz w:val="24"/>
          <w:szCs w:val="24"/>
        </w:rPr>
        <w:t>(2021) carried out a study on core elements underlying supply chain management in construction. The objective of the study is to identify core elements underlying supply chain management (SCM) in the construction industry through a systematic literature review. The study revealed 19 core elements clustered in five subject areas (strategic management, logistics, relationships, best practices, and organizational behavior) that play a prominent role in construction supply chain management. Schabasser (2021) carried out a study on supply chain manager skills. The objective of the study is to determine the most important skills for supply chain managers. The study identified communication, problem-solving, project management, decision-making, and relationship management as top skills for supply chain managers.</w:t>
      </w:r>
    </w:p>
    <w:p w14:paraId="27C5A295" w14:textId="00A57865" w:rsidR="004371E3" w:rsidRPr="00BE4AF3" w:rsidRDefault="004371E3" w:rsidP="004371E3">
      <w:pPr>
        <w:spacing w:after="0" w:line="240" w:lineRule="auto"/>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 In </w:t>
      </w:r>
      <w:r w:rsidR="00821843" w:rsidRPr="00BE4AF3">
        <w:rPr>
          <w:rFonts w:ascii="Times New Roman" w:hAnsi="Times New Roman" w:cs="Times New Roman"/>
          <w:color w:val="000000"/>
          <w:sz w:val="24"/>
          <w:szCs w:val="24"/>
        </w:rPr>
        <w:t>addition,</w:t>
      </w:r>
      <w:r w:rsidRPr="00BE4AF3">
        <w:rPr>
          <w:rFonts w:ascii="Times New Roman" w:hAnsi="Times New Roman" w:cs="Times New Roman"/>
          <w:color w:val="000000"/>
          <w:sz w:val="24"/>
          <w:szCs w:val="24"/>
        </w:rPr>
        <w:t xml:space="preserve"> studies have been carried out on the factors enhancing the implementation of supply chain management practices. In a study carried out by Tunji-Olayeni </w:t>
      </w:r>
      <w:r w:rsidRPr="00BE4AF3">
        <w:rPr>
          <w:rFonts w:ascii="Times New Roman" w:hAnsi="Times New Roman" w:cs="Times New Roman"/>
          <w:i/>
          <w:color w:val="000000"/>
          <w:sz w:val="24"/>
          <w:szCs w:val="24"/>
        </w:rPr>
        <w:t>et al</w:t>
      </w:r>
      <w:r w:rsidRPr="00BE4AF3">
        <w:rPr>
          <w:rFonts w:ascii="Times New Roman" w:hAnsi="Times New Roman" w:cs="Times New Roman"/>
          <w:color w:val="000000"/>
          <w:sz w:val="24"/>
          <w:szCs w:val="24"/>
        </w:rPr>
        <w:t xml:space="preserve">., (2016) on factors enhancing the implementation of supply chain management practices. The objective of the study is to identify factors enhancing the implementation of supply chain management practices in Nigeria. The study found out that undertaking digital transformation, top management support, external support, developing adequate knowledge and experience, and change management are essential factors. </w:t>
      </w:r>
    </w:p>
    <w:p w14:paraId="63FAE31A" w14:textId="796B2C38" w:rsidR="004371E3" w:rsidRPr="00BE4AF3" w:rsidRDefault="004371E3" w:rsidP="004371E3">
      <w:pPr>
        <w:spacing w:after="0" w:line="240" w:lineRule="auto"/>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Several ways construction industries can influence competencies of supply chain managers has been identified. Harouache </w:t>
      </w:r>
      <w:r w:rsidRPr="00BE4AF3">
        <w:rPr>
          <w:rFonts w:ascii="Times New Roman" w:hAnsi="Times New Roman" w:cs="Times New Roman"/>
          <w:i/>
          <w:color w:val="000000"/>
          <w:sz w:val="24"/>
          <w:szCs w:val="24"/>
        </w:rPr>
        <w:t>et al</w:t>
      </w:r>
      <w:r w:rsidRPr="00BE4AF3">
        <w:rPr>
          <w:rFonts w:ascii="Times New Roman" w:hAnsi="Times New Roman" w:cs="Times New Roman"/>
          <w:color w:val="000000"/>
          <w:sz w:val="24"/>
          <w:szCs w:val="24"/>
        </w:rPr>
        <w:t xml:space="preserve">., (2024) stated that construction industries can provide training programs that focus on supply chain management best practices, sustainable sourcing, and resilient supply chains. Studer </w:t>
      </w:r>
      <w:r w:rsidRPr="00BE4AF3">
        <w:rPr>
          <w:rFonts w:ascii="Times New Roman" w:hAnsi="Times New Roman" w:cs="Times New Roman"/>
          <w:i/>
          <w:color w:val="000000"/>
          <w:sz w:val="24"/>
          <w:szCs w:val="24"/>
        </w:rPr>
        <w:t xml:space="preserve">et al., </w:t>
      </w:r>
      <w:r w:rsidRPr="00BE4AF3">
        <w:rPr>
          <w:rFonts w:ascii="Times New Roman" w:hAnsi="Times New Roman" w:cs="Times New Roman"/>
          <w:color w:val="000000"/>
          <w:sz w:val="24"/>
          <w:szCs w:val="24"/>
        </w:rPr>
        <w:t xml:space="preserve">(2021) stated that experienced supply chain managers can mentor and coach junior professionals, sharing their knowledge and expertise. Erasmus </w:t>
      </w:r>
      <w:r w:rsidRPr="00BE4AF3">
        <w:rPr>
          <w:rFonts w:ascii="Times New Roman" w:hAnsi="Times New Roman" w:cs="Times New Roman"/>
          <w:i/>
          <w:color w:val="000000"/>
          <w:sz w:val="24"/>
          <w:szCs w:val="24"/>
        </w:rPr>
        <w:t xml:space="preserve">et al., </w:t>
      </w:r>
      <w:r w:rsidRPr="00BE4AF3">
        <w:rPr>
          <w:rFonts w:ascii="Times New Roman" w:hAnsi="Times New Roman" w:cs="Times New Roman"/>
          <w:color w:val="000000"/>
          <w:sz w:val="24"/>
          <w:szCs w:val="24"/>
        </w:rPr>
        <w:t>(2021) was of the opinion that construction industries can facilitate collaboration and knowledge sharing among supply chain managers, allowing them to learn from each other's experiences.</w:t>
      </w:r>
    </w:p>
    <w:p w14:paraId="2AE74665" w14:textId="77777777" w:rsidR="004371E3" w:rsidRPr="00BE4AF3" w:rsidRDefault="004371E3" w:rsidP="004371E3">
      <w:pPr>
        <w:spacing w:after="0" w:line="240" w:lineRule="auto"/>
        <w:ind w:left="720" w:hanging="720"/>
        <w:jc w:val="both"/>
        <w:rPr>
          <w:rFonts w:ascii="Times New Roman" w:hAnsi="Times New Roman" w:cs="Times New Roman"/>
          <w:color w:val="000000"/>
          <w:sz w:val="24"/>
          <w:szCs w:val="24"/>
        </w:rPr>
      </w:pPr>
    </w:p>
    <w:p w14:paraId="05846464" w14:textId="77777777" w:rsidR="004371E3" w:rsidRPr="00BE4AF3" w:rsidRDefault="004371E3" w:rsidP="004371E3">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Methodology</w:t>
      </w:r>
    </w:p>
    <w:p w14:paraId="430BFFAF" w14:textId="77777777" w:rsidR="004371E3" w:rsidRPr="00BE4AF3" w:rsidRDefault="004371E3" w:rsidP="004371E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study was conducted using survey design method. According to Emaikwu (2015) a survey research is a type of research design that gathers data from a large number of subjects. Five (5) top construction companies in Abuja (includes AG Vision Construction Nig Ltd, Dantata &amp; Sawoe Construction Company Nigeria Limited, Dumez Nigeria, Setraco Nigeria Limited, and Rotex Construction Company Limited)  constitutes the research environment of the study. The entire population of study is made up of fifty (50) respondents randomly sampled. </w:t>
      </w:r>
    </w:p>
    <w:p w14:paraId="3E5CAE9F" w14:textId="77777777" w:rsidR="004371E3" w:rsidRDefault="004371E3" w:rsidP="004371E3">
      <w:pPr>
        <w:spacing w:after="0" w:line="240" w:lineRule="auto"/>
        <w:jc w:val="both"/>
        <w:rPr>
          <w:rFonts w:ascii="Times New Roman" w:hAnsi="Times New Roman" w:cs="Times New Roman"/>
          <w:color w:val="000000"/>
          <w:sz w:val="24"/>
          <w:szCs w:val="24"/>
        </w:rPr>
      </w:pPr>
      <w:r w:rsidRPr="00BE4AF3">
        <w:rPr>
          <w:rFonts w:ascii="Times New Roman" w:hAnsi="Times New Roman" w:cs="Times New Roman"/>
          <w:sz w:val="24"/>
          <w:szCs w:val="24"/>
        </w:rPr>
        <w:t xml:space="preserve">The instrument for data collection is a self-structured questionnaire. The instrument is titled; Competency of Supply Chain Managers Questionnaire (COSCMQ).  It comprises of a 25 – item questionnaire divided into four clusters and each cluster contains relevant question items that addressed each of the four research questions. The instrument was validated through expert opinion and the completed copies questionnaires were analyzed for reliability using Cronbach Alpha coefficient. Eventually, the reliability statistic of 0.86 was established for the whole set of scores. Demographic information was analysed using percentage, research questions were answered using mean and standard deviation while </w:t>
      </w:r>
      <w:r w:rsidRPr="00BE4AF3">
        <w:rPr>
          <w:rFonts w:ascii="Times New Roman" w:hAnsi="Times New Roman" w:cs="Times New Roman"/>
          <w:color w:val="000000"/>
          <w:sz w:val="24"/>
          <w:szCs w:val="24"/>
        </w:rPr>
        <w:t>inferential statistics of spearman ranking order correlation coefficient was used to test the formulated hypotheses. Analysis was carried out using SPSS.</w:t>
      </w:r>
    </w:p>
    <w:p w14:paraId="46A2D9E2" w14:textId="77777777" w:rsidR="00821843" w:rsidRDefault="00821843" w:rsidP="004371E3">
      <w:pPr>
        <w:spacing w:after="0" w:line="240" w:lineRule="auto"/>
        <w:jc w:val="both"/>
        <w:rPr>
          <w:rFonts w:ascii="Times New Roman" w:hAnsi="Times New Roman" w:cs="Times New Roman"/>
          <w:color w:val="000000"/>
          <w:sz w:val="24"/>
          <w:szCs w:val="24"/>
        </w:rPr>
      </w:pPr>
    </w:p>
    <w:p w14:paraId="0372D38F" w14:textId="77777777" w:rsidR="00821843" w:rsidRDefault="00821843" w:rsidP="004371E3">
      <w:pPr>
        <w:spacing w:after="0" w:line="240" w:lineRule="auto"/>
        <w:jc w:val="both"/>
        <w:rPr>
          <w:rFonts w:ascii="Times New Roman" w:hAnsi="Times New Roman" w:cs="Times New Roman"/>
          <w:color w:val="000000"/>
          <w:sz w:val="24"/>
          <w:szCs w:val="24"/>
        </w:rPr>
      </w:pPr>
    </w:p>
    <w:p w14:paraId="451C9046" w14:textId="77777777" w:rsidR="00821843" w:rsidRPr="00BE4AF3" w:rsidRDefault="00821843" w:rsidP="004371E3">
      <w:pPr>
        <w:spacing w:after="0" w:line="240" w:lineRule="auto"/>
        <w:jc w:val="both"/>
        <w:rPr>
          <w:rFonts w:ascii="Times New Roman" w:hAnsi="Times New Roman" w:cs="Times New Roman"/>
          <w:color w:val="000000"/>
          <w:sz w:val="24"/>
          <w:szCs w:val="24"/>
        </w:rPr>
      </w:pPr>
    </w:p>
    <w:p w14:paraId="04A3DFA2" w14:textId="77777777" w:rsidR="004371E3" w:rsidRPr="00BE4AF3" w:rsidRDefault="004371E3" w:rsidP="004371E3">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lastRenderedPageBreak/>
        <w:t>PRESENTATION OF PERSONAL DATA OF THE RESPONDENTS</w:t>
      </w:r>
    </w:p>
    <w:p w14:paraId="1DC70379" w14:textId="77777777" w:rsidR="004371E3" w:rsidRPr="00BE4AF3" w:rsidRDefault="004371E3" w:rsidP="0082184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In this section of the study, the personal data of the respondents used for the research was collated and the result is presented in the frequency tables below. </w:t>
      </w:r>
    </w:p>
    <w:p w14:paraId="76DD0694" w14:textId="77777777" w:rsidR="004371E3" w:rsidRPr="00BE4AF3" w:rsidRDefault="004371E3" w:rsidP="004371E3">
      <w:pPr>
        <w:spacing w:after="0" w:line="240" w:lineRule="auto"/>
        <w:ind w:firstLine="720"/>
        <w:jc w:val="both"/>
        <w:rPr>
          <w:rFonts w:ascii="Times New Roman" w:hAnsi="Times New Roman" w:cs="Times New Roman"/>
          <w:sz w:val="24"/>
          <w:szCs w:val="24"/>
        </w:rPr>
      </w:pPr>
    </w:p>
    <w:p w14:paraId="185262DD" w14:textId="77777777" w:rsidR="004371E3" w:rsidRPr="00821843" w:rsidRDefault="004371E3" w:rsidP="00821843">
      <w:pPr>
        <w:spacing w:after="0" w:line="240" w:lineRule="auto"/>
        <w:jc w:val="center"/>
        <w:rPr>
          <w:rFonts w:ascii="Times New Roman" w:hAnsi="Times New Roman" w:cs="Times New Roman"/>
          <w:bCs/>
          <w:sz w:val="24"/>
          <w:szCs w:val="24"/>
        </w:rPr>
      </w:pPr>
      <w:r w:rsidRPr="00BE4AF3">
        <w:rPr>
          <w:rFonts w:ascii="Times New Roman" w:hAnsi="Times New Roman" w:cs="Times New Roman"/>
          <w:b/>
          <w:sz w:val="24"/>
          <w:szCs w:val="24"/>
        </w:rPr>
        <w:t xml:space="preserve">Table 1: </w:t>
      </w:r>
      <w:r w:rsidRPr="00821843">
        <w:rPr>
          <w:rFonts w:ascii="Times New Roman" w:hAnsi="Times New Roman" w:cs="Times New Roman"/>
          <w:bCs/>
          <w:sz w:val="24"/>
          <w:szCs w:val="24"/>
        </w:rPr>
        <w:t>Discipline of Respondent</w:t>
      </w:r>
    </w:p>
    <w:tbl>
      <w:tblPr>
        <w:tblW w:w="7938" w:type="dxa"/>
        <w:jc w:val="center"/>
        <w:tblBorders>
          <w:top w:val="single" w:sz="4" w:space="0" w:color="000000"/>
          <w:bottom w:val="single" w:sz="4" w:space="0" w:color="000000"/>
        </w:tblBorders>
        <w:tblLayout w:type="fixed"/>
        <w:tblLook w:val="0000" w:firstRow="0" w:lastRow="0" w:firstColumn="0" w:lastColumn="0" w:noHBand="0" w:noVBand="0"/>
      </w:tblPr>
      <w:tblGrid>
        <w:gridCol w:w="3088"/>
        <w:gridCol w:w="3086"/>
        <w:gridCol w:w="1764"/>
      </w:tblGrid>
      <w:tr w:rsidR="004371E3" w:rsidRPr="00821843" w14:paraId="3EABE251" w14:textId="77777777" w:rsidTr="00821843">
        <w:trPr>
          <w:trHeight w:val="1"/>
          <w:jc w:val="center"/>
        </w:trPr>
        <w:tc>
          <w:tcPr>
            <w:tcW w:w="3088" w:type="dxa"/>
            <w:tcBorders>
              <w:top w:val="single" w:sz="4" w:space="0" w:color="000000"/>
              <w:bottom w:val="single" w:sz="4" w:space="0" w:color="000000"/>
            </w:tcBorders>
            <w:shd w:val="clear" w:color="auto" w:fill="FFFFFF"/>
            <w:tcMar>
              <w:left w:w="108" w:type="dxa"/>
              <w:right w:w="108" w:type="dxa"/>
            </w:tcMar>
          </w:tcPr>
          <w:p w14:paraId="2BA77EF2" w14:textId="77777777" w:rsidR="004371E3" w:rsidRPr="00821843" w:rsidRDefault="004371E3" w:rsidP="004371E3">
            <w:pPr>
              <w:spacing w:after="0" w:line="240" w:lineRule="auto"/>
              <w:rPr>
                <w:rFonts w:ascii="Times New Roman" w:hAnsi="Times New Roman" w:cs="Times New Roman"/>
                <w:bCs/>
                <w:sz w:val="20"/>
                <w:szCs w:val="20"/>
              </w:rPr>
            </w:pPr>
            <w:r w:rsidRPr="00821843">
              <w:rPr>
                <w:rFonts w:ascii="Times New Roman" w:hAnsi="Times New Roman" w:cs="Times New Roman"/>
                <w:bCs/>
                <w:color w:val="000000"/>
                <w:sz w:val="20"/>
                <w:szCs w:val="20"/>
              </w:rPr>
              <w:t>Discipline of Respondent</w:t>
            </w:r>
          </w:p>
        </w:tc>
        <w:tc>
          <w:tcPr>
            <w:tcW w:w="3086" w:type="dxa"/>
            <w:tcBorders>
              <w:top w:val="single" w:sz="4" w:space="0" w:color="000000"/>
              <w:bottom w:val="single" w:sz="4" w:space="0" w:color="000000"/>
            </w:tcBorders>
            <w:shd w:val="clear" w:color="auto" w:fill="FFFFFF"/>
            <w:tcMar>
              <w:left w:w="108" w:type="dxa"/>
              <w:right w:w="108" w:type="dxa"/>
            </w:tcMar>
          </w:tcPr>
          <w:p w14:paraId="53BDC867" w14:textId="77777777" w:rsidR="004371E3" w:rsidRPr="00821843" w:rsidRDefault="004371E3" w:rsidP="004371E3">
            <w:pPr>
              <w:spacing w:after="0" w:line="240" w:lineRule="auto"/>
              <w:rPr>
                <w:rFonts w:ascii="Times New Roman" w:hAnsi="Times New Roman" w:cs="Times New Roman"/>
                <w:bCs/>
                <w:sz w:val="20"/>
                <w:szCs w:val="20"/>
              </w:rPr>
            </w:pPr>
            <w:r w:rsidRPr="00821843">
              <w:rPr>
                <w:rFonts w:ascii="Times New Roman" w:hAnsi="Times New Roman" w:cs="Times New Roman"/>
                <w:bCs/>
                <w:sz w:val="20"/>
                <w:szCs w:val="20"/>
              </w:rPr>
              <w:t>Frequency</w:t>
            </w:r>
          </w:p>
        </w:tc>
        <w:tc>
          <w:tcPr>
            <w:tcW w:w="1764" w:type="dxa"/>
            <w:tcBorders>
              <w:top w:val="single" w:sz="4" w:space="0" w:color="000000"/>
              <w:bottom w:val="single" w:sz="4" w:space="0" w:color="000000"/>
            </w:tcBorders>
            <w:shd w:val="clear" w:color="auto" w:fill="FFFFFF"/>
            <w:tcMar>
              <w:left w:w="108" w:type="dxa"/>
              <w:right w:w="108" w:type="dxa"/>
            </w:tcMar>
          </w:tcPr>
          <w:p w14:paraId="32BE03FD" w14:textId="77777777" w:rsidR="004371E3" w:rsidRPr="00821843" w:rsidRDefault="004371E3" w:rsidP="004371E3">
            <w:pPr>
              <w:spacing w:after="0" w:line="240" w:lineRule="auto"/>
              <w:rPr>
                <w:rFonts w:ascii="Times New Roman" w:hAnsi="Times New Roman" w:cs="Times New Roman"/>
                <w:bCs/>
                <w:sz w:val="20"/>
                <w:szCs w:val="20"/>
              </w:rPr>
            </w:pPr>
            <w:r w:rsidRPr="00821843">
              <w:rPr>
                <w:rFonts w:ascii="Times New Roman" w:hAnsi="Times New Roman" w:cs="Times New Roman"/>
                <w:bCs/>
                <w:sz w:val="20"/>
                <w:szCs w:val="20"/>
              </w:rPr>
              <w:t>Percentage</w:t>
            </w:r>
          </w:p>
        </w:tc>
      </w:tr>
      <w:tr w:rsidR="004371E3" w:rsidRPr="00821843" w14:paraId="451A1DB7" w14:textId="77777777" w:rsidTr="00821843">
        <w:trPr>
          <w:trHeight w:val="1"/>
          <w:jc w:val="center"/>
        </w:trPr>
        <w:tc>
          <w:tcPr>
            <w:tcW w:w="3088" w:type="dxa"/>
            <w:tcBorders>
              <w:top w:val="single" w:sz="4" w:space="0" w:color="000000"/>
            </w:tcBorders>
            <w:shd w:val="clear" w:color="auto" w:fill="FFFFFF"/>
            <w:tcMar>
              <w:left w:w="108" w:type="dxa"/>
              <w:right w:w="108" w:type="dxa"/>
            </w:tcMar>
            <w:vAlign w:val="center"/>
          </w:tcPr>
          <w:p w14:paraId="63161C5C"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Architects</w:t>
            </w:r>
          </w:p>
        </w:tc>
        <w:tc>
          <w:tcPr>
            <w:tcW w:w="3086" w:type="dxa"/>
            <w:tcBorders>
              <w:top w:val="single" w:sz="4" w:space="0" w:color="000000"/>
            </w:tcBorders>
            <w:shd w:val="clear" w:color="auto" w:fill="FFFFFF"/>
            <w:tcMar>
              <w:left w:w="108" w:type="dxa"/>
              <w:right w:w="108" w:type="dxa"/>
            </w:tcMar>
          </w:tcPr>
          <w:p w14:paraId="624AD494"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6</w:t>
            </w:r>
          </w:p>
        </w:tc>
        <w:tc>
          <w:tcPr>
            <w:tcW w:w="1764" w:type="dxa"/>
            <w:tcBorders>
              <w:top w:val="single" w:sz="4" w:space="0" w:color="000000"/>
            </w:tcBorders>
            <w:shd w:val="clear" w:color="auto" w:fill="FFFFFF"/>
            <w:tcMar>
              <w:left w:w="108" w:type="dxa"/>
              <w:right w:w="108" w:type="dxa"/>
            </w:tcMar>
          </w:tcPr>
          <w:p w14:paraId="6BCA25D4"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12</w:t>
            </w:r>
          </w:p>
        </w:tc>
      </w:tr>
      <w:tr w:rsidR="004371E3" w:rsidRPr="00821843" w14:paraId="421800C1" w14:textId="77777777" w:rsidTr="00821843">
        <w:trPr>
          <w:trHeight w:val="1"/>
          <w:jc w:val="center"/>
        </w:trPr>
        <w:tc>
          <w:tcPr>
            <w:tcW w:w="3088" w:type="dxa"/>
            <w:shd w:val="clear" w:color="auto" w:fill="FFFFFF"/>
            <w:tcMar>
              <w:left w:w="108" w:type="dxa"/>
              <w:right w:w="108" w:type="dxa"/>
            </w:tcMar>
            <w:vAlign w:val="center"/>
          </w:tcPr>
          <w:p w14:paraId="15F2DE4F"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Builders</w:t>
            </w:r>
          </w:p>
        </w:tc>
        <w:tc>
          <w:tcPr>
            <w:tcW w:w="3086" w:type="dxa"/>
            <w:shd w:val="clear" w:color="auto" w:fill="FFFFFF"/>
            <w:tcMar>
              <w:left w:w="108" w:type="dxa"/>
              <w:right w:w="108" w:type="dxa"/>
            </w:tcMar>
          </w:tcPr>
          <w:p w14:paraId="21473499"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8</w:t>
            </w:r>
          </w:p>
        </w:tc>
        <w:tc>
          <w:tcPr>
            <w:tcW w:w="1764" w:type="dxa"/>
            <w:shd w:val="clear" w:color="auto" w:fill="FFFFFF"/>
            <w:tcMar>
              <w:left w:w="108" w:type="dxa"/>
              <w:right w:w="108" w:type="dxa"/>
            </w:tcMar>
          </w:tcPr>
          <w:p w14:paraId="43B99864"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16</w:t>
            </w:r>
          </w:p>
        </w:tc>
      </w:tr>
      <w:tr w:rsidR="004371E3" w:rsidRPr="00821843" w14:paraId="041495C2" w14:textId="77777777" w:rsidTr="00821843">
        <w:trPr>
          <w:trHeight w:val="1"/>
          <w:jc w:val="center"/>
        </w:trPr>
        <w:tc>
          <w:tcPr>
            <w:tcW w:w="3088" w:type="dxa"/>
            <w:shd w:val="clear" w:color="auto" w:fill="FFFFFF"/>
            <w:tcMar>
              <w:left w:w="108" w:type="dxa"/>
              <w:right w:w="108" w:type="dxa"/>
            </w:tcMar>
            <w:vAlign w:val="center"/>
          </w:tcPr>
          <w:p w14:paraId="2DE1D072"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Engineers</w:t>
            </w:r>
          </w:p>
        </w:tc>
        <w:tc>
          <w:tcPr>
            <w:tcW w:w="3086" w:type="dxa"/>
            <w:shd w:val="clear" w:color="auto" w:fill="FFFFFF"/>
            <w:tcMar>
              <w:left w:w="108" w:type="dxa"/>
              <w:right w:w="108" w:type="dxa"/>
            </w:tcMar>
          </w:tcPr>
          <w:p w14:paraId="4B066135"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sz w:val="20"/>
                <w:szCs w:val="20"/>
              </w:rPr>
              <w:t>12</w:t>
            </w:r>
          </w:p>
        </w:tc>
        <w:tc>
          <w:tcPr>
            <w:tcW w:w="1764" w:type="dxa"/>
            <w:shd w:val="clear" w:color="auto" w:fill="FFFFFF"/>
            <w:tcMar>
              <w:left w:w="108" w:type="dxa"/>
              <w:right w:w="108" w:type="dxa"/>
            </w:tcMar>
          </w:tcPr>
          <w:p w14:paraId="4ECC0625"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sz w:val="20"/>
                <w:szCs w:val="20"/>
              </w:rPr>
              <w:t>24</w:t>
            </w:r>
          </w:p>
        </w:tc>
      </w:tr>
      <w:tr w:rsidR="004371E3" w:rsidRPr="00821843" w14:paraId="641E47A7" w14:textId="77777777" w:rsidTr="00821843">
        <w:trPr>
          <w:trHeight w:val="1"/>
          <w:jc w:val="center"/>
        </w:trPr>
        <w:tc>
          <w:tcPr>
            <w:tcW w:w="3088" w:type="dxa"/>
            <w:tcBorders>
              <w:bottom w:val="nil"/>
            </w:tcBorders>
            <w:shd w:val="clear" w:color="auto" w:fill="FFFFFF"/>
            <w:tcMar>
              <w:left w:w="108" w:type="dxa"/>
              <w:right w:w="108" w:type="dxa"/>
            </w:tcMar>
            <w:vAlign w:val="center"/>
          </w:tcPr>
          <w:p w14:paraId="24C1DE90" w14:textId="77777777" w:rsidR="004371E3" w:rsidRPr="00821843" w:rsidRDefault="004371E3" w:rsidP="004371E3">
            <w:pPr>
              <w:spacing w:after="0" w:line="240" w:lineRule="auto"/>
              <w:ind w:right="60"/>
              <w:rPr>
                <w:rFonts w:ascii="Times New Roman" w:hAnsi="Times New Roman" w:cs="Times New Roman"/>
                <w:sz w:val="20"/>
                <w:szCs w:val="20"/>
              </w:rPr>
            </w:pPr>
            <w:r w:rsidRPr="00821843">
              <w:rPr>
                <w:rFonts w:ascii="Times New Roman" w:hAnsi="Times New Roman" w:cs="Times New Roman"/>
                <w:color w:val="000000"/>
                <w:sz w:val="20"/>
                <w:szCs w:val="20"/>
              </w:rPr>
              <w:t>Quantity Surveyors</w:t>
            </w:r>
          </w:p>
        </w:tc>
        <w:tc>
          <w:tcPr>
            <w:tcW w:w="3086" w:type="dxa"/>
            <w:tcBorders>
              <w:bottom w:val="nil"/>
            </w:tcBorders>
            <w:shd w:val="clear" w:color="auto" w:fill="FFFFFF"/>
            <w:tcMar>
              <w:left w:w="108" w:type="dxa"/>
              <w:right w:w="108" w:type="dxa"/>
            </w:tcMar>
          </w:tcPr>
          <w:p w14:paraId="3C83FECC"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24</w:t>
            </w:r>
          </w:p>
        </w:tc>
        <w:tc>
          <w:tcPr>
            <w:tcW w:w="1764" w:type="dxa"/>
            <w:tcBorders>
              <w:bottom w:val="nil"/>
            </w:tcBorders>
            <w:shd w:val="clear" w:color="auto" w:fill="FFFFFF"/>
            <w:tcMar>
              <w:left w:w="108" w:type="dxa"/>
              <w:right w:w="108" w:type="dxa"/>
            </w:tcMar>
          </w:tcPr>
          <w:p w14:paraId="2ED2B2B3"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48</w:t>
            </w:r>
          </w:p>
        </w:tc>
      </w:tr>
      <w:tr w:rsidR="004371E3" w:rsidRPr="00821843" w14:paraId="6B4783C6" w14:textId="77777777" w:rsidTr="00821843">
        <w:trPr>
          <w:trHeight w:val="1"/>
          <w:jc w:val="center"/>
        </w:trPr>
        <w:tc>
          <w:tcPr>
            <w:tcW w:w="3088" w:type="dxa"/>
            <w:tcBorders>
              <w:top w:val="nil"/>
              <w:bottom w:val="nil"/>
            </w:tcBorders>
            <w:shd w:val="clear" w:color="auto" w:fill="FFFFFF"/>
            <w:tcMar>
              <w:left w:w="108" w:type="dxa"/>
              <w:right w:w="108" w:type="dxa"/>
            </w:tcMar>
            <w:vAlign w:val="center"/>
          </w:tcPr>
          <w:p w14:paraId="78AFCE92" w14:textId="77777777" w:rsidR="004371E3" w:rsidRPr="00821843" w:rsidRDefault="004371E3" w:rsidP="004371E3">
            <w:pPr>
              <w:spacing w:after="0" w:line="240" w:lineRule="auto"/>
              <w:ind w:left="60" w:right="60"/>
              <w:rPr>
                <w:rFonts w:ascii="Times New Roman" w:hAnsi="Times New Roman" w:cs="Times New Roman"/>
                <w:color w:val="000000"/>
                <w:sz w:val="20"/>
                <w:szCs w:val="20"/>
              </w:rPr>
            </w:pPr>
            <w:r w:rsidRPr="00821843">
              <w:rPr>
                <w:rFonts w:ascii="Times New Roman" w:hAnsi="Times New Roman" w:cs="Times New Roman"/>
                <w:color w:val="000000"/>
                <w:sz w:val="20"/>
                <w:szCs w:val="20"/>
              </w:rPr>
              <w:t>Others Specify</w:t>
            </w:r>
          </w:p>
        </w:tc>
        <w:tc>
          <w:tcPr>
            <w:tcW w:w="3086" w:type="dxa"/>
            <w:tcBorders>
              <w:top w:val="nil"/>
              <w:bottom w:val="nil"/>
            </w:tcBorders>
            <w:shd w:val="clear" w:color="auto" w:fill="FFFFFF"/>
            <w:tcMar>
              <w:left w:w="108" w:type="dxa"/>
              <w:right w:w="108" w:type="dxa"/>
            </w:tcMar>
          </w:tcPr>
          <w:p w14:paraId="0B94AF61" w14:textId="77777777" w:rsidR="004371E3" w:rsidRPr="00821843" w:rsidRDefault="004371E3" w:rsidP="004371E3">
            <w:pPr>
              <w:spacing w:after="0" w:line="240" w:lineRule="auto"/>
              <w:ind w:left="60" w:right="60"/>
              <w:rPr>
                <w:rFonts w:ascii="Times New Roman" w:hAnsi="Times New Roman" w:cs="Times New Roman"/>
                <w:color w:val="000000"/>
                <w:sz w:val="20"/>
                <w:szCs w:val="20"/>
              </w:rPr>
            </w:pPr>
            <w:r w:rsidRPr="00821843">
              <w:rPr>
                <w:rFonts w:ascii="Times New Roman" w:hAnsi="Times New Roman" w:cs="Times New Roman"/>
                <w:color w:val="000000"/>
                <w:sz w:val="20"/>
                <w:szCs w:val="20"/>
              </w:rPr>
              <w:t>0</w:t>
            </w:r>
          </w:p>
        </w:tc>
        <w:tc>
          <w:tcPr>
            <w:tcW w:w="1764" w:type="dxa"/>
            <w:tcBorders>
              <w:top w:val="nil"/>
              <w:bottom w:val="nil"/>
            </w:tcBorders>
            <w:shd w:val="clear" w:color="auto" w:fill="FFFFFF"/>
            <w:tcMar>
              <w:left w:w="108" w:type="dxa"/>
              <w:right w:w="108" w:type="dxa"/>
            </w:tcMar>
          </w:tcPr>
          <w:p w14:paraId="6218C4EC" w14:textId="77777777" w:rsidR="004371E3" w:rsidRPr="00821843" w:rsidRDefault="004371E3" w:rsidP="004371E3">
            <w:pPr>
              <w:spacing w:after="0" w:line="240" w:lineRule="auto"/>
              <w:ind w:left="60" w:right="60"/>
              <w:rPr>
                <w:rFonts w:ascii="Times New Roman" w:hAnsi="Times New Roman" w:cs="Times New Roman"/>
                <w:color w:val="000000"/>
                <w:sz w:val="20"/>
                <w:szCs w:val="20"/>
              </w:rPr>
            </w:pPr>
            <w:r w:rsidRPr="00821843">
              <w:rPr>
                <w:rFonts w:ascii="Times New Roman" w:hAnsi="Times New Roman" w:cs="Times New Roman"/>
                <w:color w:val="000000"/>
                <w:sz w:val="20"/>
                <w:szCs w:val="20"/>
              </w:rPr>
              <w:t>0</w:t>
            </w:r>
          </w:p>
        </w:tc>
      </w:tr>
      <w:tr w:rsidR="004371E3" w:rsidRPr="00821843" w14:paraId="41016CC9" w14:textId="77777777" w:rsidTr="00821843">
        <w:trPr>
          <w:trHeight w:val="1"/>
          <w:jc w:val="center"/>
        </w:trPr>
        <w:tc>
          <w:tcPr>
            <w:tcW w:w="3088" w:type="dxa"/>
            <w:tcBorders>
              <w:top w:val="nil"/>
              <w:bottom w:val="single" w:sz="4" w:space="0" w:color="000000"/>
            </w:tcBorders>
            <w:shd w:val="clear" w:color="auto" w:fill="FFFFFF"/>
            <w:tcMar>
              <w:left w:w="108" w:type="dxa"/>
              <w:right w:w="108" w:type="dxa"/>
            </w:tcMar>
            <w:vAlign w:val="center"/>
          </w:tcPr>
          <w:p w14:paraId="31972E4E" w14:textId="77777777" w:rsidR="004371E3" w:rsidRPr="00821843" w:rsidRDefault="004371E3" w:rsidP="004371E3">
            <w:pPr>
              <w:spacing w:after="0" w:line="240" w:lineRule="auto"/>
              <w:ind w:left="60" w:right="60"/>
              <w:rPr>
                <w:rFonts w:ascii="Times New Roman" w:hAnsi="Times New Roman" w:cs="Times New Roman"/>
                <w:b/>
                <w:sz w:val="20"/>
                <w:szCs w:val="20"/>
              </w:rPr>
            </w:pPr>
            <w:r w:rsidRPr="00821843">
              <w:rPr>
                <w:rFonts w:ascii="Times New Roman" w:hAnsi="Times New Roman" w:cs="Times New Roman"/>
                <w:b/>
                <w:color w:val="000000"/>
                <w:sz w:val="20"/>
                <w:szCs w:val="20"/>
              </w:rPr>
              <w:t>Total</w:t>
            </w:r>
          </w:p>
        </w:tc>
        <w:tc>
          <w:tcPr>
            <w:tcW w:w="3086" w:type="dxa"/>
            <w:tcBorders>
              <w:top w:val="nil"/>
              <w:bottom w:val="single" w:sz="4" w:space="0" w:color="000000"/>
            </w:tcBorders>
            <w:shd w:val="clear" w:color="auto" w:fill="FFFFFF"/>
            <w:tcMar>
              <w:left w:w="108" w:type="dxa"/>
              <w:right w:w="108" w:type="dxa"/>
            </w:tcMar>
          </w:tcPr>
          <w:p w14:paraId="0FD8250E" w14:textId="77777777" w:rsidR="004371E3" w:rsidRPr="00821843" w:rsidRDefault="004371E3" w:rsidP="004371E3">
            <w:pPr>
              <w:spacing w:after="0" w:line="240" w:lineRule="auto"/>
              <w:ind w:left="60" w:right="60"/>
              <w:rPr>
                <w:rFonts w:ascii="Times New Roman" w:hAnsi="Times New Roman" w:cs="Times New Roman"/>
                <w:b/>
                <w:sz w:val="20"/>
                <w:szCs w:val="20"/>
              </w:rPr>
            </w:pPr>
            <w:r w:rsidRPr="00821843">
              <w:rPr>
                <w:rFonts w:ascii="Times New Roman" w:hAnsi="Times New Roman" w:cs="Times New Roman"/>
                <w:b/>
                <w:color w:val="000000"/>
                <w:sz w:val="20"/>
                <w:szCs w:val="20"/>
              </w:rPr>
              <w:t>50</w:t>
            </w:r>
          </w:p>
        </w:tc>
        <w:tc>
          <w:tcPr>
            <w:tcW w:w="1764" w:type="dxa"/>
            <w:tcBorders>
              <w:top w:val="nil"/>
              <w:bottom w:val="single" w:sz="4" w:space="0" w:color="000000"/>
            </w:tcBorders>
            <w:shd w:val="clear" w:color="auto" w:fill="FFFFFF"/>
            <w:tcMar>
              <w:left w:w="108" w:type="dxa"/>
              <w:right w:w="108" w:type="dxa"/>
            </w:tcMar>
          </w:tcPr>
          <w:p w14:paraId="72123ED5" w14:textId="77777777" w:rsidR="004371E3" w:rsidRPr="00821843" w:rsidRDefault="004371E3" w:rsidP="004371E3">
            <w:pPr>
              <w:spacing w:after="0" w:line="240" w:lineRule="auto"/>
              <w:ind w:left="60" w:right="60"/>
              <w:rPr>
                <w:rFonts w:ascii="Times New Roman" w:hAnsi="Times New Roman" w:cs="Times New Roman"/>
                <w:b/>
                <w:sz w:val="20"/>
                <w:szCs w:val="20"/>
              </w:rPr>
            </w:pPr>
            <w:r w:rsidRPr="00821843">
              <w:rPr>
                <w:rFonts w:ascii="Times New Roman" w:hAnsi="Times New Roman" w:cs="Times New Roman"/>
                <w:b/>
                <w:color w:val="000000"/>
                <w:sz w:val="20"/>
                <w:szCs w:val="20"/>
              </w:rPr>
              <w:t>100.0</w:t>
            </w:r>
          </w:p>
        </w:tc>
      </w:tr>
    </w:tbl>
    <w:p w14:paraId="3CAE7E8D" w14:textId="77777777" w:rsidR="00821843" w:rsidRDefault="00821843" w:rsidP="004371E3">
      <w:pPr>
        <w:spacing w:after="0" w:line="240" w:lineRule="auto"/>
        <w:jc w:val="both"/>
        <w:rPr>
          <w:rFonts w:ascii="Times New Roman" w:hAnsi="Times New Roman" w:cs="Times New Roman"/>
          <w:sz w:val="24"/>
          <w:szCs w:val="24"/>
        </w:rPr>
      </w:pPr>
    </w:p>
    <w:p w14:paraId="6EB73B26" w14:textId="13339381" w:rsidR="004371E3" w:rsidRDefault="004371E3" w:rsidP="004371E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From the above table it is observed that out of 100% respondents that were used for this study, 12% were architecture while 16%, 48%, 8% and 16% is from building, engineering, quantity surveyors and contracting respectively. Hence majority of the respondents were from Quantity Surveyors.</w:t>
      </w:r>
    </w:p>
    <w:p w14:paraId="79BC2AFC" w14:textId="77777777" w:rsidR="00821843" w:rsidRPr="00BE4AF3" w:rsidRDefault="00821843" w:rsidP="004371E3">
      <w:pPr>
        <w:spacing w:after="0" w:line="240" w:lineRule="auto"/>
        <w:jc w:val="both"/>
        <w:rPr>
          <w:rFonts w:ascii="Times New Roman" w:hAnsi="Times New Roman" w:cs="Times New Roman"/>
          <w:sz w:val="24"/>
          <w:szCs w:val="24"/>
        </w:rPr>
      </w:pPr>
    </w:p>
    <w:p w14:paraId="066522BC" w14:textId="77777777" w:rsidR="004371E3" w:rsidRPr="00BE4AF3" w:rsidRDefault="004371E3" w:rsidP="00821843">
      <w:pPr>
        <w:spacing w:after="0" w:line="240" w:lineRule="auto"/>
        <w:jc w:val="center"/>
        <w:rPr>
          <w:rFonts w:ascii="Times New Roman" w:hAnsi="Times New Roman" w:cs="Times New Roman"/>
          <w:b/>
          <w:sz w:val="24"/>
          <w:szCs w:val="24"/>
        </w:rPr>
      </w:pPr>
      <w:r w:rsidRPr="00BE4AF3">
        <w:rPr>
          <w:rFonts w:ascii="Times New Roman" w:hAnsi="Times New Roman" w:cs="Times New Roman"/>
          <w:b/>
          <w:sz w:val="24"/>
          <w:szCs w:val="24"/>
        </w:rPr>
        <w:t xml:space="preserve">Table 2: </w:t>
      </w:r>
      <w:r w:rsidRPr="00821843">
        <w:rPr>
          <w:rFonts w:ascii="Times New Roman" w:hAnsi="Times New Roman" w:cs="Times New Roman"/>
          <w:bCs/>
          <w:sz w:val="24"/>
          <w:szCs w:val="24"/>
        </w:rPr>
        <w:t>Gender of the Respondents</w:t>
      </w:r>
    </w:p>
    <w:tbl>
      <w:tblPr>
        <w:tblW w:w="8364" w:type="dxa"/>
        <w:jc w:val="center"/>
        <w:tblBorders>
          <w:top w:val="single" w:sz="4" w:space="0" w:color="000000"/>
          <w:bottom w:val="single" w:sz="4" w:space="0" w:color="000000"/>
        </w:tblBorders>
        <w:tblLayout w:type="fixed"/>
        <w:tblLook w:val="0000" w:firstRow="0" w:lastRow="0" w:firstColumn="0" w:lastColumn="0" w:noHBand="0" w:noVBand="0"/>
      </w:tblPr>
      <w:tblGrid>
        <w:gridCol w:w="3085"/>
        <w:gridCol w:w="3088"/>
        <w:gridCol w:w="2191"/>
      </w:tblGrid>
      <w:tr w:rsidR="004371E3" w:rsidRPr="00821843" w14:paraId="797DC8F6" w14:textId="77777777" w:rsidTr="00821843">
        <w:trPr>
          <w:trHeight w:val="1"/>
          <w:jc w:val="center"/>
        </w:trPr>
        <w:tc>
          <w:tcPr>
            <w:tcW w:w="3085" w:type="dxa"/>
            <w:tcBorders>
              <w:top w:val="single" w:sz="4" w:space="0" w:color="000000"/>
              <w:bottom w:val="single" w:sz="4" w:space="0" w:color="000000"/>
            </w:tcBorders>
            <w:shd w:val="clear" w:color="auto" w:fill="FFFFFF"/>
            <w:tcMar>
              <w:left w:w="108" w:type="dxa"/>
              <w:right w:w="108" w:type="dxa"/>
            </w:tcMar>
          </w:tcPr>
          <w:p w14:paraId="70F23892" w14:textId="77777777" w:rsidR="004371E3" w:rsidRPr="00821843" w:rsidRDefault="004371E3" w:rsidP="004371E3">
            <w:pPr>
              <w:spacing w:after="0" w:line="240" w:lineRule="auto"/>
              <w:rPr>
                <w:rFonts w:ascii="Times New Roman" w:hAnsi="Times New Roman" w:cs="Times New Roman"/>
                <w:sz w:val="20"/>
                <w:szCs w:val="20"/>
              </w:rPr>
            </w:pPr>
            <w:r w:rsidRPr="00821843">
              <w:rPr>
                <w:rFonts w:ascii="Times New Roman" w:hAnsi="Times New Roman" w:cs="Times New Roman"/>
                <w:sz w:val="20"/>
                <w:szCs w:val="20"/>
              </w:rPr>
              <w:t>Gender</w:t>
            </w:r>
          </w:p>
        </w:tc>
        <w:tc>
          <w:tcPr>
            <w:tcW w:w="3088" w:type="dxa"/>
            <w:tcBorders>
              <w:top w:val="single" w:sz="4" w:space="0" w:color="000000"/>
              <w:bottom w:val="single" w:sz="4" w:space="0" w:color="000000"/>
            </w:tcBorders>
            <w:shd w:val="clear" w:color="auto" w:fill="FFFFFF"/>
            <w:tcMar>
              <w:left w:w="108" w:type="dxa"/>
              <w:right w:w="108" w:type="dxa"/>
            </w:tcMar>
          </w:tcPr>
          <w:p w14:paraId="177134AC" w14:textId="77777777" w:rsidR="004371E3" w:rsidRPr="00821843" w:rsidRDefault="004371E3" w:rsidP="004371E3">
            <w:pPr>
              <w:spacing w:after="0" w:line="240" w:lineRule="auto"/>
              <w:rPr>
                <w:rFonts w:ascii="Times New Roman" w:hAnsi="Times New Roman" w:cs="Times New Roman"/>
                <w:sz w:val="20"/>
                <w:szCs w:val="20"/>
              </w:rPr>
            </w:pPr>
            <w:r w:rsidRPr="00821843">
              <w:rPr>
                <w:rFonts w:ascii="Times New Roman" w:hAnsi="Times New Roman" w:cs="Times New Roman"/>
                <w:sz w:val="20"/>
                <w:szCs w:val="20"/>
              </w:rPr>
              <w:t>Frequency</w:t>
            </w:r>
          </w:p>
        </w:tc>
        <w:tc>
          <w:tcPr>
            <w:tcW w:w="2191" w:type="dxa"/>
            <w:tcBorders>
              <w:top w:val="single" w:sz="4" w:space="0" w:color="000000"/>
              <w:bottom w:val="single" w:sz="4" w:space="0" w:color="000000"/>
            </w:tcBorders>
            <w:shd w:val="clear" w:color="auto" w:fill="FFFFFF"/>
            <w:tcMar>
              <w:left w:w="108" w:type="dxa"/>
              <w:right w:w="108" w:type="dxa"/>
            </w:tcMar>
          </w:tcPr>
          <w:p w14:paraId="6CFE793B" w14:textId="77777777" w:rsidR="004371E3" w:rsidRPr="00821843" w:rsidRDefault="004371E3" w:rsidP="004371E3">
            <w:pPr>
              <w:spacing w:after="0" w:line="240" w:lineRule="auto"/>
              <w:rPr>
                <w:rFonts w:ascii="Times New Roman" w:hAnsi="Times New Roman" w:cs="Times New Roman"/>
                <w:sz w:val="20"/>
                <w:szCs w:val="20"/>
              </w:rPr>
            </w:pPr>
            <w:r w:rsidRPr="00821843">
              <w:rPr>
                <w:rFonts w:ascii="Times New Roman" w:hAnsi="Times New Roman" w:cs="Times New Roman"/>
                <w:sz w:val="20"/>
                <w:szCs w:val="20"/>
              </w:rPr>
              <w:t>Percentage</w:t>
            </w:r>
          </w:p>
        </w:tc>
      </w:tr>
      <w:tr w:rsidR="004371E3" w:rsidRPr="00821843" w14:paraId="4B53C5FD" w14:textId="77777777" w:rsidTr="00821843">
        <w:trPr>
          <w:trHeight w:val="1"/>
          <w:jc w:val="center"/>
        </w:trPr>
        <w:tc>
          <w:tcPr>
            <w:tcW w:w="3085" w:type="dxa"/>
            <w:tcBorders>
              <w:top w:val="single" w:sz="4" w:space="0" w:color="000000"/>
              <w:bottom w:val="nil"/>
            </w:tcBorders>
            <w:shd w:val="clear" w:color="auto" w:fill="FFFFFF"/>
            <w:tcMar>
              <w:left w:w="108" w:type="dxa"/>
              <w:right w:w="108" w:type="dxa"/>
            </w:tcMar>
          </w:tcPr>
          <w:p w14:paraId="6993815F"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Male</w:t>
            </w:r>
          </w:p>
        </w:tc>
        <w:tc>
          <w:tcPr>
            <w:tcW w:w="3088" w:type="dxa"/>
            <w:tcBorders>
              <w:top w:val="single" w:sz="4" w:space="0" w:color="000000"/>
              <w:bottom w:val="nil"/>
            </w:tcBorders>
            <w:shd w:val="clear" w:color="auto" w:fill="FFFFFF"/>
            <w:tcMar>
              <w:left w:w="108" w:type="dxa"/>
              <w:right w:w="108" w:type="dxa"/>
            </w:tcMar>
          </w:tcPr>
          <w:p w14:paraId="5AD70B07"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37</w:t>
            </w:r>
          </w:p>
        </w:tc>
        <w:tc>
          <w:tcPr>
            <w:tcW w:w="2191" w:type="dxa"/>
            <w:tcBorders>
              <w:top w:val="single" w:sz="4" w:space="0" w:color="000000"/>
              <w:bottom w:val="nil"/>
            </w:tcBorders>
            <w:shd w:val="clear" w:color="auto" w:fill="FFFFFF"/>
            <w:tcMar>
              <w:left w:w="108" w:type="dxa"/>
              <w:right w:w="108" w:type="dxa"/>
            </w:tcMar>
          </w:tcPr>
          <w:p w14:paraId="06CEEC81"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74</w:t>
            </w:r>
          </w:p>
        </w:tc>
      </w:tr>
      <w:tr w:rsidR="004371E3" w:rsidRPr="00821843" w14:paraId="43E91CFE" w14:textId="77777777" w:rsidTr="00821843">
        <w:trPr>
          <w:trHeight w:val="1"/>
          <w:jc w:val="center"/>
        </w:trPr>
        <w:tc>
          <w:tcPr>
            <w:tcW w:w="3085" w:type="dxa"/>
            <w:tcBorders>
              <w:top w:val="nil"/>
              <w:bottom w:val="nil"/>
            </w:tcBorders>
            <w:shd w:val="clear" w:color="auto" w:fill="FFFFFF"/>
            <w:tcMar>
              <w:left w:w="108" w:type="dxa"/>
              <w:right w:w="108" w:type="dxa"/>
            </w:tcMar>
          </w:tcPr>
          <w:p w14:paraId="67DF4C6E"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Female</w:t>
            </w:r>
          </w:p>
        </w:tc>
        <w:tc>
          <w:tcPr>
            <w:tcW w:w="3088" w:type="dxa"/>
            <w:tcBorders>
              <w:top w:val="nil"/>
              <w:bottom w:val="nil"/>
            </w:tcBorders>
            <w:shd w:val="clear" w:color="auto" w:fill="FFFFFF"/>
            <w:tcMar>
              <w:left w:w="108" w:type="dxa"/>
              <w:right w:w="108" w:type="dxa"/>
            </w:tcMar>
          </w:tcPr>
          <w:p w14:paraId="7C8409C6"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13</w:t>
            </w:r>
          </w:p>
        </w:tc>
        <w:tc>
          <w:tcPr>
            <w:tcW w:w="2191" w:type="dxa"/>
            <w:tcBorders>
              <w:top w:val="nil"/>
              <w:bottom w:val="nil"/>
            </w:tcBorders>
            <w:shd w:val="clear" w:color="auto" w:fill="FFFFFF"/>
            <w:tcMar>
              <w:left w:w="108" w:type="dxa"/>
              <w:right w:w="108" w:type="dxa"/>
            </w:tcMar>
          </w:tcPr>
          <w:p w14:paraId="7077EDC2"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26</w:t>
            </w:r>
          </w:p>
        </w:tc>
      </w:tr>
      <w:tr w:rsidR="004371E3" w:rsidRPr="00821843" w14:paraId="6F2B65A1" w14:textId="77777777" w:rsidTr="00821843">
        <w:trPr>
          <w:trHeight w:val="270"/>
          <w:jc w:val="center"/>
        </w:trPr>
        <w:tc>
          <w:tcPr>
            <w:tcW w:w="3085" w:type="dxa"/>
            <w:tcBorders>
              <w:top w:val="nil"/>
              <w:bottom w:val="single" w:sz="4" w:space="0" w:color="000000"/>
            </w:tcBorders>
            <w:shd w:val="clear" w:color="auto" w:fill="FFFFFF"/>
            <w:tcMar>
              <w:left w:w="108" w:type="dxa"/>
              <w:right w:w="108" w:type="dxa"/>
            </w:tcMar>
          </w:tcPr>
          <w:p w14:paraId="610A1D4E" w14:textId="77777777" w:rsidR="004371E3" w:rsidRPr="00821843" w:rsidRDefault="004371E3" w:rsidP="004371E3">
            <w:pPr>
              <w:spacing w:after="0" w:line="240" w:lineRule="auto"/>
              <w:rPr>
                <w:rFonts w:ascii="Times New Roman" w:hAnsi="Times New Roman" w:cs="Times New Roman"/>
                <w:b/>
                <w:sz w:val="20"/>
                <w:szCs w:val="20"/>
              </w:rPr>
            </w:pPr>
            <w:r w:rsidRPr="00821843">
              <w:rPr>
                <w:rFonts w:ascii="Times New Roman" w:hAnsi="Times New Roman" w:cs="Times New Roman"/>
                <w:b/>
                <w:sz w:val="20"/>
                <w:szCs w:val="20"/>
              </w:rPr>
              <w:t>Total</w:t>
            </w:r>
          </w:p>
        </w:tc>
        <w:tc>
          <w:tcPr>
            <w:tcW w:w="3088" w:type="dxa"/>
            <w:tcBorders>
              <w:top w:val="nil"/>
              <w:bottom w:val="single" w:sz="4" w:space="0" w:color="000000"/>
            </w:tcBorders>
            <w:shd w:val="clear" w:color="auto" w:fill="FFFFFF"/>
            <w:tcMar>
              <w:left w:w="108" w:type="dxa"/>
              <w:right w:w="108" w:type="dxa"/>
            </w:tcMar>
          </w:tcPr>
          <w:p w14:paraId="5C131BCA" w14:textId="77777777" w:rsidR="004371E3" w:rsidRPr="00821843" w:rsidRDefault="004371E3" w:rsidP="004371E3">
            <w:pPr>
              <w:spacing w:after="0" w:line="240" w:lineRule="auto"/>
              <w:rPr>
                <w:rFonts w:ascii="Times New Roman" w:hAnsi="Times New Roman" w:cs="Times New Roman"/>
                <w:b/>
                <w:sz w:val="20"/>
                <w:szCs w:val="20"/>
              </w:rPr>
            </w:pPr>
            <w:r w:rsidRPr="00821843">
              <w:rPr>
                <w:rFonts w:ascii="Times New Roman" w:hAnsi="Times New Roman" w:cs="Times New Roman"/>
                <w:b/>
                <w:sz w:val="20"/>
                <w:szCs w:val="20"/>
              </w:rPr>
              <w:t xml:space="preserve"> 50</w:t>
            </w:r>
          </w:p>
        </w:tc>
        <w:tc>
          <w:tcPr>
            <w:tcW w:w="2191" w:type="dxa"/>
            <w:tcBorders>
              <w:top w:val="nil"/>
              <w:bottom w:val="single" w:sz="4" w:space="0" w:color="000000"/>
            </w:tcBorders>
            <w:shd w:val="clear" w:color="auto" w:fill="FFFFFF"/>
            <w:tcMar>
              <w:left w:w="108" w:type="dxa"/>
              <w:right w:w="108" w:type="dxa"/>
            </w:tcMar>
          </w:tcPr>
          <w:p w14:paraId="641E0825" w14:textId="77777777" w:rsidR="004371E3" w:rsidRPr="00821843" w:rsidRDefault="004371E3" w:rsidP="004371E3">
            <w:pPr>
              <w:spacing w:after="0" w:line="240" w:lineRule="auto"/>
              <w:rPr>
                <w:rFonts w:ascii="Times New Roman" w:hAnsi="Times New Roman" w:cs="Times New Roman"/>
                <w:b/>
                <w:sz w:val="20"/>
                <w:szCs w:val="20"/>
              </w:rPr>
            </w:pPr>
            <w:r w:rsidRPr="00821843">
              <w:rPr>
                <w:rFonts w:ascii="Times New Roman" w:hAnsi="Times New Roman" w:cs="Times New Roman"/>
                <w:b/>
                <w:sz w:val="20"/>
                <w:szCs w:val="20"/>
              </w:rPr>
              <w:t>100.0</w:t>
            </w:r>
          </w:p>
        </w:tc>
      </w:tr>
    </w:tbl>
    <w:p w14:paraId="6EE6CACB" w14:textId="77777777" w:rsidR="004371E3" w:rsidRPr="00BE4AF3" w:rsidRDefault="004371E3" w:rsidP="004371E3">
      <w:pPr>
        <w:spacing w:after="0" w:line="240" w:lineRule="auto"/>
        <w:jc w:val="both"/>
        <w:rPr>
          <w:rFonts w:ascii="Times New Roman" w:hAnsi="Times New Roman" w:cs="Times New Roman"/>
          <w:b/>
          <w:sz w:val="24"/>
          <w:szCs w:val="24"/>
        </w:rPr>
      </w:pPr>
      <w:r w:rsidRPr="00BE4AF3">
        <w:rPr>
          <w:rFonts w:ascii="Times New Roman" w:hAnsi="Times New Roman" w:cs="Times New Roman"/>
          <w:sz w:val="24"/>
          <w:szCs w:val="24"/>
        </w:rPr>
        <w:t>From the above table it is observed that out of 100% respondents that were used for this study 74% were male and 26% were female. Hence majority of the respondents are male.</w:t>
      </w:r>
    </w:p>
    <w:p w14:paraId="18A2AFDB" w14:textId="77777777" w:rsidR="004371E3" w:rsidRPr="00BE4AF3" w:rsidRDefault="004371E3" w:rsidP="004371E3">
      <w:pPr>
        <w:spacing w:after="0" w:line="240" w:lineRule="auto"/>
        <w:jc w:val="both"/>
        <w:rPr>
          <w:rFonts w:ascii="Times New Roman" w:hAnsi="Times New Roman" w:cs="Times New Roman"/>
          <w:b/>
          <w:sz w:val="24"/>
          <w:szCs w:val="24"/>
        </w:rPr>
      </w:pPr>
    </w:p>
    <w:p w14:paraId="3441132A" w14:textId="77777777" w:rsidR="004371E3" w:rsidRPr="00821843" w:rsidRDefault="004371E3" w:rsidP="00821843">
      <w:pPr>
        <w:spacing w:after="0" w:line="240" w:lineRule="auto"/>
        <w:jc w:val="center"/>
        <w:rPr>
          <w:rFonts w:ascii="Times New Roman" w:hAnsi="Times New Roman" w:cs="Times New Roman"/>
          <w:bCs/>
          <w:sz w:val="24"/>
          <w:szCs w:val="24"/>
        </w:rPr>
      </w:pPr>
      <w:r w:rsidRPr="00BE4AF3">
        <w:rPr>
          <w:rFonts w:ascii="Times New Roman" w:hAnsi="Times New Roman" w:cs="Times New Roman"/>
          <w:b/>
          <w:sz w:val="24"/>
          <w:szCs w:val="24"/>
        </w:rPr>
        <w:t xml:space="preserve">Table 3: </w:t>
      </w:r>
      <w:r w:rsidRPr="00821843">
        <w:rPr>
          <w:rFonts w:ascii="Times New Roman" w:hAnsi="Times New Roman" w:cs="Times New Roman"/>
          <w:bCs/>
          <w:sz w:val="24"/>
          <w:szCs w:val="24"/>
        </w:rPr>
        <w:t>Type of Construction Undertaken by the Organization</w:t>
      </w:r>
    </w:p>
    <w:tbl>
      <w:tblPr>
        <w:tblW w:w="8364" w:type="dxa"/>
        <w:jc w:val="center"/>
        <w:tblBorders>
          <w:top w:val="single" w:sz="4" w:space="0" w:color="000000"/>
          <w:bottom w:val="single" w:sz="4" w:space="0" w:color="000000"/>
        </w:tblBorders>
        <w:tblLayout w:type="fixed"/>
        <w:tblLook w:val="0000" w:firstRow="0" w:lastRow="0" w:firstColumn="0" w:lastColumn="0" w:noHBand="0" w:noVBand="0"/>
      </w:tblPr>
      <w:tblGrid>
        <w:gridCol w:w="3092"/>
        <w:gridCol w:w="3084"/>
        <w:gridCol w:w="2188"/>
      </w:tblGrid>
      <w:tr w:rsidR="004371E3" w:rsidRPr="00821843" w14:paraId="28EDDE10" w14:textId="77777777" w:rsidTr="00821843">
        <w:trPr>
          <w:trHeight w:val="1"/>
          <w:jc w:val="center"/>
        </w:trPr>
        <w:tc>
          <w:tcPr>
            <w:tcW w:w="3092" w:type="dxa"/>
            <w:tcBorders>
              <w:top w:val="single" w:sz="4" w:space="0" w:color="000000"/>
              <w:bottom w:val="single" w:sz="4" w:space="0" w:color="000000"/>
            </w:tcBorders>
            <w:shd w:val="clear" w:color="auto" w:fill="FFFFFF"/>
            <w:tcMar>
              <w:left w:w="108" w:type="dxa"/>
              <w:right w:w="108" w:type="dxa"/>
            </w:tcMar>
          </w:tcPr>
          <w:p w14:paraId="3F890B59" w14:textId="77777777" w:rsidR="004371E3" w:rsidRPr="00821843" w:rsidRDefault="004371E3" w:rsidP="004371E3">
            <w:pPr>
              <w:spacing w:after="0" w:line="240" w:lineRule="auto"/>
              <w:rPr>
                <w:rFonts w:ascii="Times New Roman" w:hAnsi="Times New Roman" w:cs="Times New Roman"/>
                <w:bCs/>
                <w:sz w:val="20"/>
                <w:szCs w:val="20"/>
              </w:rPr>
            </w:pPr>
            <w:r w:rsidRPr="00821843">
              <w:rPr>
                <w:rFonts w:ascii="Times New Roman" w:hAnsi="Times New Roman" w:cs="Times New Roman"/>
                <w:bCs/>
                <w:color w:val="000000"/>
                <w:sz w:val="20"/>
                <w:szCs w:val="20"/>
              </w:rPr>
              <w:t>What Type of Construction has been Undertaken by your Organization?</w:t>
            </w:r>
          </w:p>
        </w:tc>
        <w:tc>
          <w:tcPr>
            <w:tcW w:w="3084" w:type="dxa"/>
            <w:tcBorders>
              <w:top w:val="single" w:sz="4" w:space="0" w:color="000000"/>
              <w:bottom w:val="single" w:sz="4" w:space="0" w:color="000000"/>
            </w:tcBorders>
            <w:shd w:val="clear" w:color="auto" w:fill="FFFFFF"/>
            <w:tcMar>
              <w:left w:w="108" w:type="dxa"/>
              <w:right w:w="108" w:type="dxa"/>
            </w:tcMar>
          </w:tcPr>
          <w:p w14:paraId="07852E0D" w14:textId="77777777" w:rsidR="004371E3" w:rsidRPr="00821843" w:rsidRDefault="004371E3" w:rsidP="004371E3">
            <w:pPr>
              <w:spacing w:after="0" w:line="240" w:lineRule="auto"/>
              <w:rPr>
                <w:rFonts w:ascii="Times New Roman" w:hAnsi="Times New Roman" w:cs="Times New Roman"/>
                <w:bCs/>
                <w:sz w:val="20"/>
                <w:szCs w:val="20"/>
              </w:rPr>
            </w:pPr>
            <w:r w:rsidRPr="00821843">
              <w:rPr>
                <w:rFonts w:ascii="Times New Roman" w:hAnsi="Times New Roman" w:cs="Times New Roman"/>
                <w:bCs/>
                <w:sz w:val="20"/>
                <w:szCs w:val="20"/>
              </w:rPr>
              <w:t>Frequency</w:t>
            </w:r>
          </w:p>
        </w:tc>
        <w:tc>
          <w:tcPr>
            <w:tcW w:w="2188" w:type="dxa"/>
            <w:tcBorders>
              <w:top w:val="single" w:sz="4" w:space="0" w:color="000000"/>
              <w:bottom w:val="single" w:sz="4" w:space="0" w:color="000000"/>
            </w:tcBorders>
            <w:shd w:val="clear" w:color="auto" w:fill="FFFFFF"/>
            <w:tcMar>
              <w:left w:w="108" w:type="dxa"/>
              <w:right w:w="108" w:type="dxa"/>
            </w:tcMar>
          </w:tcPr>
          <w:p w14:paraId="1B445E99" w14:textId="77777777" w:rsidR="004371E3" w:rsidRPr="00821843" w:rsidRDefault="004371E3" w:rsidP="004371E3">
            <w:pPr>
              <w:spacing w:after="0" w:line="240" w:lineRule="auto"/>
              <w:rPr>
                <w:rFonts w:ascii="Times New Roman" w:hAnsi="Times New Roman" w:cs="Times New Roman"/>
                <w:bCs/>
                <w:sz w:val="20"/>
                <w:szCs w:val="20"/>
              </w:rPr>
            </w:pPr>
            <w:r w:rsidRPr="00821843">
              <w:rPr>
                <w:rFonts w:ascii="Times New Roman" w:hAnsi="Times New Roman" w:cs="Times New Roman"/>
                <w:bCs/>
                <w:sz w:val="20"/>
                <w:szCs w:val="20"/>
              </w:rPr>
              <w:t>Percentage</w:t>
            </w:r>
          </w:p>
        </w:tc>
      </w:tr>
      <w:tr w:rsidR="004371E3" w:rsidRPr="00821843" w14:paraId="79CD2139" w14:textId="77777777" w:rsidTr="00821843">
        <w:trPr>
          <w:trHeight w:val="1"/>
          <w:jc w:val="center"/>
        </w:trPr>
        <w:tc>
          <w:tcPr>
            <w:tcW w:w="3092" w:type="dxa"/>
            <w:tcBorders>
              <w:top w:val="single" w:sz="4" w:space="0" w:color="000000"/>
            </w:tcBorders>
            <w:shd w:val="clear" w:color="auto" w:fill="FFFFFF"/>
            <w:tcMar>
              <w:left w:w="108" w:type="dxa"/>
              <w:right w:w="108" w:type="dxa"/>
            </w:tcMar>
            <w:vAlign w:val="center"/>
          </w:tcPr>
          <w:p w14:paraId="486CD46B"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Building Works</w:t>
            </w:r>
          </w:p>
        </w:tc>
        <w:tc>
          <w:tcPr>
            <w:tcW w:w="3084" w:type="dxa"/>
            <w:tcBorders>
              <w:top w:val="single" w:sz="4" w:space="0" w:color="000000"/>
            </w:tcBorders>
            <w:shd w:val="clear" w:color="auto" w:fill="FFFFFF"/>
            <w:tcMar>
              <w:left w:w="108" w:type="dxa"/>
              <w:right w:w="108" w:type="dxa"/>
            </w:tcMar>
          </w:tcPr>
          <w:p w14:paraId="121DE716"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6</w:t>
            </w:r>
          </w:p>
        </w:tc>
        <w:tc>
          <w:tcPr>
            <w:tcW w:w="2188" w:type="dxa"/>
            <w:tcBorders>
              <w:top w:val="single" w:sz="4" w:space="0" w:color="000000"/>
            </w:tcBorders>
            <w:shd w:val="clear" w:color="auto" w:fill="FFFFFF"/>
            <w:tcMar>
              <w:left w:w="108" w:type="dxa"/>
              <w:right w:w="108" w:type="dxa"/>
            </w:tcMar>
          </w:tcPr>
          <w:p w14:paraId="20370525"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12</w:t>
            </w:r>
          </w:p>
        </w:tc>
      </w:tr>
      <w:tr w:rsidR="004371E3" w:rsidRPr="00821843" w14:paraId="766E9AAE" w14:textId="77777777" w:rsidTr="00821843">
        <w:trPr>
          <w:trHeight w:val="1"/>
          <w:jc w:val="center"/>
        </w:trPr>
        <w:tc>
          <w:tcPr>
            <w:tcW w:w="3092" w:type="dxa"/>
            <w:shd w:val="clear" w:color="auto" w:fill="FFFFFF"/>
            <w:tcMar>
              <w:left w:w="108" w:type="dxa"/>
              <w:right w:w="108" w:type="dxa"/>
            </w:tcMar>
            <w:vAlign w:val="center"/>
          </w:tcPr>
          <w:p w14:paraId="4D807E2B"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Civil Engineering Works</w:t>
            </w:r>
          </w:p>
        </w:tc>
        <w:tc>
          <w:tcPr>
            <w:tcW w:w="3084" w:type="dxa"/>
            <w:shd w:val="clear" w:color="auto" w:fill="FFFFFF"/>
            <w:tcMar>
              <w:left w:w="108" w:type="dxa"/>
              <w:right w:w="108" w:type="dxa"/>
            </w:tcMar>
          </w:tcPr>
          <w:p w14:paraId="55751834"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16</w:t>
            </w:r>
          </w:p>
        </w:tc>
        <w:tc>
          <w:tcPr>
            <w:tcW w:w="2188" w:type="dxa"/>
            <w:shd w:val="clear" w:color="auto" w:fill="FFFFFF"/>
            <w:tcMar>
              <w:left w:w="108" w:type="dxa"/>
              <w:right w:w="108" w:type="dxa"/>
            </w:tcMar>
          </w:tcPr>
          <w:p w14:paraId="082E61E7"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32</w:t>
            </w:r>
          </w:p>
        </w:tc>
      </w:tr>
      <w:tr w:rsidR="004371E3" w:rsidRPr="00821843" w14:paraId="5E97FE73" w14:textId="77777777" w:rsidTr="00821843">
        <w:trPr>
          <w:trHeight w:val="1"/>
          <w:jc w:val="center"/>
        </w:trPr>
        <w:tc>
          <w:tcPr>
            <w:tcW w:w="3092" w:type="dxa"/>
            <w:shd w:val="clear" w:color="auto" w:fill="FFFFFF"/>
            <w:tcMar>
              <w:left w:w="108" w:type="dxa"/>
              <w:right w:w="108" w:type="dxa"/>
            </w:tcMar>
            <w:vAlign w:val="center"/>
          </w:tcPr>
          <w:p w14:paraId="0C30F528"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Heavy Engineering Works</w:t>
            </w:r>
          </w:p>
        </w:tc>
        <w:tc>
          <w:tcPr>
            <w:tcW w:w="3084" w:type="dxa"/>
            <w:shd w:val="clear" w:color="auto" w:fill="FFFFFF"/>
            <w:tcMar>
              <w:left w:w="108" w:type="dxa"/>
              <w:right w:w="108" w:type="dxa"/>
            </w:tcMar>
          </w:tcPr>
          <w:p w14:paraId="4D39C165"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24</w:t>
            </w:r>
          </w:p>
        </w:tc>
        <w:tc>
          <w:tcPr>
            <w:tcW w:w="2188" w:type="dxa"/>
            <w:shd w:val="clear" w:color="auto" w:fill="FFFFFF"/>
            <w:tcMar>
              <w:left w:w="108" w:type="dxa"/>
              <w:right w:w="108" w:type="dxa"/>
            </w:tcMar>
          </w:tcPr>
          <w:p w14:paraId="3BBD0C92"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48</w:t>
            </w:r>
          </w:p>
        </w:tc>
      </w:tr>
      <w:tr w:rsidR="004371E3" w:rsidRPr="00821843" w14:paraId="7F81413E" w14:textId="77777777" w:rsidTr="00821843">
        <w:trPr>
          <w:trHeight w:val="1"/>
          <w:jc w:val="center"/>
        </w:trPr>
        <w:tc>
          <w:tcPr>
            <w:tcW w:w="3092" w:type="dxa"/>
            <w:tcBorders>
              <w:bottom w:val="nil"/>
            </w:tcBorders>
            <w:shd w:val="clear" w:color="auto" w:fill="FFFFFF"/>
            <w:tcMar>
              <w:left w:w="108" w:type="dxa"/>
              <w:right w:w="108" w:type="dxa"/>
            </w:tcMar>
            <w:vAlign w:val="center"/>
          </w:tcPr>
          <w:p w14:paraId="08097193"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sz w:val="20"/>
                <w:szCs w:val="20"/>
              </w:rPr>
              <w:t>Consultancy Services</w:t>
            </w:r>
          </w:p>
        </w:tc>
        <w:tc>
          <w:tcPr>
            <w:tcW w:w="3084" w:type="dxa"/>
            <w:tcBorders>
              <w:bottom w:val="nil"/>
            </w:tcBorders>
            <w:shd w:val="clear" w:color="auto" w:fill="FFFFFF"/>
            <w:tcMar>
              <w:left w:w="108" w:type="dxa"/>
              <w:right w:w="108" w:type="dxa"/>
            </w:tcMar>
          </w:tcPr>
          <w:p w14:paraId="6D56C82D"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4</w:t>
            </w:r>
          </w:p>
        </w:tc>
        <w:tc>
          <w:tcPr>
            <w:tcW w:w="2188" w:type="dxa"/>
            <w:tcBorders>
              <w:bottom w:val="nil"/>
            </w:tcBorders>
            <w:shd w:val="clear" w:color="auto" w:fill="FFFFFF"/>
            <w:tcMar>
              <w:left w:w="108" w:type="dxa"/>
              <w:right w:w="108" w:type="dxa"/>
            </w:tcMar>
          </w:tcPr>
          <w:p w14:paraId="354A53E5"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8</w:t>
            </w:r>
          </w:p>
        </w:tc>
      </w:tr>
      <w:tr w:rsidR="004371E3" w:rsidRPr="00821843" w14:paraId="55B9E05B" w14:textId="77777777" w:rsidTr="00821843">
        <w:trPr>
          <w:trHeight w:val="1"/>
          <w:jc w:val="center"/>
        </w:trPr>
        <w:tc>
          <w:tcPr>
            <w:tcW w:w="3092" w:type="dxa"/>
            <w:tcBorders>
              <w:top w:val="nil"/>
              <w:bottom w:val="nil"/>
            </w:tcBorders>
            <w:shd w:val="clear" w:color="auto" w:fill="FFFFFF"/>
            <w:tcMar>
              <w:left w:w="108" w:type="dxa"/>
              <w:right w:w="108" w:type="dxa"/>
            </w:tcMar>
            <w:vAlign w:val="center"/>
          </w:tcPr>
          <w:p w14:paraId="1CB0EB8D" w14:textId="77777777" w:rsidR="004371E3" w:rsidRPr="00821843" w:rsidRDefault="004371E3" w:rsidP="004371E3">
            <w:pPr>
              <w:spacing w:after="0" w:line="240" w:lineRule="auto"/>
              <w:ind w:left="60" w:right="60"/>
              <w:rPr>
                <w:rFonts w:ascii="Times New Roman" w:hAnsi="Times New Roman" w:cs="Times New Roman"/>
                <w:color w:val="000000"/>
                <w:sz w:val="20"/>
                <w:szCs w:val="20"/>
              </w:rPr>
            </w:pPr>
            <w:r w:rsidRPr="00821843">
              <w:rPr>
                <w:rFonts w:ascii="Times New Roman" w:hAnsi="Times New Roman" w:cs="Times New Roman"/>
                <w:color w:val="000000"/>
                <w:sz w:val="20"/>
                <w:szCs w:val="20"/>
              </w:rPr>
              <w:t>Others Specify</w:t>
            </w:r>
          </w:p>
        </w:tc>
        <w:tc>
          <w:tcPr>
            <w:tcW w:w="3084" w:type="dxa"/>
            <w:tcBorders>
              <w:top w:val="nil"/>
              <w:bottom w:val="nil"/>
            </w:tcBorders>
            <w:shd w:val="clear" w:color="auto" w:fill="FFFFFF"/>
            <w:tcMar>
              <w:left w:w="108" w:type="dxa"/>
              <w:right w:w="108" w:type="dxa"/>
            </w:tcMar>
          </w:tcPr>
          <w:p w14:paraId="4A4935CC" w14:textId="77777777" w:rsidR="004371E3" w:rsidRPr="00821843" w:rsidRDefault="004371E3" w:rsidP="004371E3">
            <w:pPr>
              <w:spacing w:after="0" w:line="240" w:lineRule="auto"/>
              <w:ind w:left="60" w:right="60"/>
              <w:rPr>
                <w:rFonts w:ascii="Times New Roman" w:hAnsi="Times New Roman" w:cs="Times New Roman"/>
                <w:color w:val="000000"/>
                <w:sz w:val="20"/>
                <w:szCs w:val="20"/>
              </w:rPr>
            </w:pPr>
            <w:r w:rsidRPr="00821843">
              <w:rPr>
                <w:rFonts w:ascii="Times New Roman" w:hAnsi="Times New Roman" w:cs="Times New Roman"/>
                <w:color w:val="000000"/>
                <w:sz w:val="20"/>
                <w:szCs w:val="20"/>
              </w:rPr>
              <w:t>0</w:t>
            </w:r>
          </w:p>
        </w:tc>
        <w:tc>
          <w:tcPr>
            <w:tcW w:w="2188" w:type="dxa"/>
            <w:tcBorders>
              <w:top w:val="nil"/>
              <w:bottom w:val="nil"/>
            </w:tcBorders>
            <w:shd w:val="clear" w:color="auto" w:fill="FFFFFF"/>
            <w:tcMar>
              <w:left w:w="108" w:type="dxa"/>
              <w:right w:w="108" w:type="dxa"/>
            </w:tcMar>
          </w:tcPr>
          <w:p w14:paraId="75A1A813" w14:textId="77777777" w:rsidR="004371E3" w:rsidRPr="00821843" w:rsidRDefault="004371E3" w:rsidP="004371E3">
            <w:pPr>
              <w:spacing w:after="0" w:line="240" w:lineRule="auto"/>
              <w:ind w:left="60" w:right="60"/>
              <w:rPr>
                <w:rFonts w:ascii="Times New Roman" w:hAnsi="Times New Roman" w:cs="Times New Roman"/>
                <w:color w:val="000000"/>
                <w:sz w:val="20"/>
                <w:szCs w:val="20"/>
              </w:rPr>
            </w:pPr>
            <w:r w:rsidRPr="00821843">
              <w:rPr>
                <w:rFonts w:ascii="Times New Roman" w:hAnsi="Times New Roman" w:cs="Times New Roman"/>
                <w:color w:val="000000"/>
                <w:sz w:val="20"/>
                <w:szCs w:val="20"/>
              </w:rPr>
              <w:t>0</w:t>
            </w:r>
          </w:p>
        </w:tc>
      </w:tr>
      <w:tr w:rsidR="004371E3" w:rsidRPr="00821843" w14:paraId="608AD940" w14:textId="77777777" w:rsidTr="00821843">
        <w:trPr>
          <w:trHeight w:val="1"/>
          <w:jc w:val="center"/>
        </w:trPr>
        <w:tc>
          <w:tcPr>
            <w:tcW w:w="3092" w:type="dxa"/>
            <w:tcBorders>
              <w:top w:val="nil"/>
              <w:bottom w:val="single" w:sz="4" w:space="0" w:color="000000"/>
            </w:tcBorders>
            <w:shd w:val="clear" w:color="auto" w:fill="FFFFFF"/>
            <w:tcMar>
              <w:left w:w="108" w:type="dxa"/>
              <w:right w:w="108" w:type="dxa"/>
            </w:tcMar>
          </w:tcPr>
          <w:p w14:paraId="56E0DBD9" w14:textId="77777777" w:rsidR="004371E3" w:rsidRPr="00821843" w:rsidRDefault="004371E3" w:rsidP="004371E3">
            <w:pPr>
              <w:spacing w:after="0" w:line="240" w:lineRule="auto"/>
              <w:rPr>
                <w:rFonts w:ascii="Times New Roman" w:hAnsi="Times New Roman" w:cs="Times New Roman"/>
                <w:b/>
                <w:sz w:val="20"/>
                <w:szCs w:val="20"/>
              </w:rPr>
            </w:pPr>
            <w:r w:rsidRPr="00821843">
              <w:rPr>
                <w:rFonts w:ascii="Times New Roman" w:hAnsi="Times New Roman" w:cs="Times New Roman"/>
                <w:b/>
                <w:sz w:val="20"/>
                <w:szCs w:val="20"/>
              </w:rPr>
              <w:t>Total</w:t>
            </w:r>
          </w:p>
        </w:tc>
        <w:tc>
          <w:tcPr>
            <w:tcW w:w="3084" w:type="dxa"/>
            <w:tcBorders>
              <w:top w:val="nil"/>
              <w:bottom w:val="single" w:sz="4" w:space="0" w:color="000000"/>
            </w:tcBorders>
            <w:shd w:val="clear" w:color="auto" w:fill="FFFFFF"/>
            <w:tcMar>
              <w:left w:w="108" w:type="dxa"/>
              <w:right w:w="108" w:type="dxa"/>
            </w:tcMar>
          </w:tcPr>
          <w:p w14:paraId="0B5EF70A" w14:textId="77777777" w:rsidR="004371E3" w:rsidRPr="00821843" w:rsidRDefault="004371E3" w:rsidP="004371E3">
            <w:pPr>
              <w:spacing w:after="0" w:line="240" w:lineRule="auto"/>
              <w:rPr>
                <w:rFonts w:ascii="Times New Roman" w:hAnsi="Times New Roman" w:cs="Times New Roman"/>
                <w:b/>
                <w:sz w:val="20"/>
                <w:szCs w:val="20"/>
              </w:rPr>
            </w:pPr>
            <w:r w:rsidRPr="00821843">
              <w:rPr>
                <w:rFonts w:ascii="Times New Roman" w:hAnsi="Times New Roman" w:cs="Times New Roman"/>
                <w:b/>
                <w:sz w:val="20"/>
                <w:szCs w:val="20"/>
              </w:rPr>
              <w:t xml:space="preserve"> 50</w:t>
            </w:r>
          </w:p>
        </w:tc>
        <w:tc>
          <w:tcPr>
            <w:tcW w:w="2188" w:type="dxa"/>
            <w:tcBorders>
              <w:top w:val="nil"/>
              <w:bottom w:val="single" w:sz="4" w:space="0" w:color="000000"/>
            </w:tcBorders>
            <w:shd w:val="clear" w:color="auto" w:fill="FFFFFF"/>
            <w:tcMar>
              <w:left w:w="108" w:type="dxa"/>
              <w:right w:w="108" w:type="dxa"/>
            </w:tcMar>
          </w:tcPr>
          <w:p w14:paraId="553800FD" w14:textId="77777777" w:rsidR="004371E3" w:rsidRPr="00821843" w:rsidRDefault="004371E3" w:rsidP="004371E3">
            <w:pPr>
              <w:spacing w:after="0" w:line="240" w:lineRule="auto"/>
              <w:rPr>
                <w:rFonts w:ascii="Times New Roman" w:hAnsi="Times New Roman" w:cs="Times New Roman"/>
                <w:b/>
                <w:sz w:val="20"/>
                <w:szCs w:val="20"/>
              </w:rPr>
            </w:pPr>
            <w:r w:rsidRPr="00821843">
              <w:rPr>
                <w:rFonts w:ascii="Times New Roman" w:hAnsi="Times New Roman" w:cs="Times New Roman"/>
                <w:b/>
                <w:sz w:val="20"/>
                <w:szCs w:val="20"/>
              </w:rPr>
              <w:t>100.0</w:t>
            </w:r>
          </w:p>
        </w:tc>
      </w:tr>
    </w:tbl>
    <w:p w14:paraId="49BD694E" w14:textId="77777777" w:rsidR="004371E3" w:rsidRPr="00BE4AF3" w:rsidRDefault="004371E3" w:rsidP="004371E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From the above table it is observed that out of 100% respondents that were used for this study, 12% were from building works, 32%, 48% and 8% respectively are from civil engineering works, heavy engineering works and consultancy services. Hence majority of the respondents were from heavy engineering works.</w:t>
      </w:r>
    </w:p>
    <w:p w14:paraId="027DB540" w14:textId="77777777" w:rsidR="004371E3" w:rsidRPr="00821843" w:rsidRDefault="004371E3" w:rsidP="00B65669">
      <w:pPr>
        <w:spacing w:before="240" w:after="0" w:line="240" w:lineRule="auto"/>
        <w:jc w:val="center"/>
        <w:rPr>
          <w:rFonts w:ascii="Times New Roman" w:hAnsi="Times New Roman" w:cs="Times New Roman"/>
          <w:bCs/>
          <w:sz w:val="24"/>
          <w:szCs w:val="24"/>
        </w:rPr>
      </w:pPr>
      <w:r w:rsidRPr="00BE4AF3">
        <w:rPr>
          <w:rFonts w:ascii="Times New Roman" w:hAnsi="Times New Roman" w:cs="Times New Roman"/>
          <w:b/>
          <w:sz w:val="24"/>
          <w:szCs w:val="24"/>
        </w:rPr>
        <w:t xml:space="preserve">Table 4: </w:t>
      </w:r>
      <w:r w:rsidRPr="00821843">
        <w:rPr>
          <w:rFonts w:ascii="Times New Roman" w:hAnsi="Times New Roman" w:cs="Times New Roman"/>
          <w:bCs/>
          <w:sz w:val="24"/>
          <w:szCs w:val="24"/>
        </w:rPr>
        <w:t>Qualification of the Respondent</w:t>
      </w:r>
    </w:p>
    <w:tbl>
      <w:tblPr>
        <w:tblW w:w="7982" w:type="dxa"/>
        <w:jc w:val="center"/>
        <w:tblBorders>
          <w:top w:val="single" w:sz="4" w:space="0" w:color="000000"/>
          <w:bottom w:val="single" w:sz="4" w:space="0" w:color="000000"/>
        </w:tblBorders>
        <w:tblLayout w:type="fixed"/>
        <w:tblLook w:val="0000" w:firstRow="0" w:lastRow="0" w:firstColumn="0" w:lastColumn="0" w:noHBand="0" w:noVBand="0"/>
      </w:tblPr>
      <w:tblGrid>
        <w:gridCol w:w="3091"/>
        <w:gridCol w:w="3085"/>
        <w:gridCol w:w="1806"/>
      </w:tblGrid>
      <w:tr w:rsidR="004371E3" w:rsidRPr="00821843" w14:paraId="0AE20AA0" w14:textId="77777777" w:rsidTr="00B65669">
        <w:trPr>
          <w:trHeight w:val="1"/>
          <w:jc w:val="center"/>
        </w:trPr>
        <w:tc>
          <w:tcPr>
            <w:tcW w:w="3091" w:type="dxa"/>
            <w:tcBorders>
              <w:top w:val="single" w:sz="4" w:space="0" w:color="000000"/>
              <w:bottom w:val="single" w:sz="4" w:space="0" w:color="000000"/>
            </w:tcBorders>
            <w:shd w:val="clear" w:color="auto" w:fill="FFFFFF"/>
            <w:tcMar>
              <w:left w:w="108" w:type="dxa"/>
              <w:right w:w="108" w:type="dxa"/>
            </w:tcMar>
          </w:tcPr>
          <w:p w14:paraId="2B9EF88C" w14:textId="77777777" w:rsidR="004371E3" w:rsidRPr="00821843" w:rsidRDefault="004371E3" w:rsidP="004371E3">
            <w:pPr>
              <w:spacing w:after="0" w:line="240" w:lineRule="auto"/>
              <w:rPr>
                <w:rFonts w:ascii="Times New Roman" w:hAnsi="Times New Roman" w:cs="Times New Roman"/>
                <w:bCs/>
                <w:sz w:val="20"/>
                <w:szCs w:val="20"/>
              </w:rPr>
            </w:pPr>
            <w:r w:rsidRPr="00821843">
              <w:rPr>
                <w:rFonts w:ascii="Times New Roman" w:hAnsi="Times New Roman" w:cs="Times New Roman"/>
                <w:bCs/>
                <w:sz w:val="20"/>
                <w:szCs w:val="20"/>
              </w:rPr>
              <w:t>Qualification of the Respondent</w:t>
            </w:r>
          </w:p>
        </w:tc>
        <w:tc>
          <w:tcPr>
            <w:tcW w:w="3085" w:type="dxa"/>
            <w:tcBorders>
              <w:top w:val="single" w:sz="4" w:space="0" w:color="000000"/>
              <w:bottom w:val="single" w:sz="4" w:space="0" w:color="000000"/>
            </w:tcBorders>
            <w:shd w:val="clear" w:color="auto" w:fill="FFFFFF"/>
            <w:tcMar>
              <w:left w:w="108" w:type="dxa"/>
              <w:right w:w="108" w:type="dxa"/>
            </w:tcMar>
          </w:tcPr>
          <w:p w14:paraId="0CB1D15B" w14:textId="77777777" w:rsidR="004371E3" w:rsidRPr="00821843" w:rsidRDefault="004371E3" w:rsidP="004371E3">
            <w:pPr>
              <w:spacing w:after="0" w:line="240" w:lineRule="auto"/>
              <w:rPr>
                <w:rFonts w:ascii="Times New Roman" w:hAnsi="Times New Roman" w:cs="Times New Roman"/>
                <w:bCs/>
                <w:sz w:val="20"/>
                <w:szCs w:val="20"/>
              </w:rPr>
            </w:pPr>
            <w:r w:rsidRPr="00821843">
              <w:rPr>
                <w:rFonts w:ascii="Times New Roman" w:hAnsi="Times New Roman" w:cs="Times New Roman"/>
                <w:bCs/>
                <w:sz w:val="20"/>
                <w:szCs w:val="20"/>
              </w:rPr>
              <w:t>Frequency</w:t>
            </w:r>
          </w:p>
        </w:tc>
        <w:tc>
          <w:tcPr>
            <w:tcW w:w="1806" w:type="dxa"/>
            <w:tcBorders>
              <w:top w:val="single" w:sz="4" w:space="0" w:color="000000"/>
              <w:bottom w:val="single" w:sz="4" w:space="0" w:color="000000"/>
            </w:tcBorders>
            <w:shd w:val="clear" w:color="auto" w:fill="FFFFFF"/>
            <w:tcMar>
              <w:left w:w="108" w:type="dxa"/>
              <w:right w:w="108" w:type="dxa"/>
            </w:tcMar>
          </w:tcPr>
          <w:p w14:paraId="1CB946E9" w14:textId="77777777" w:rsidR="004371E3" w:rsidRPr="00821843" w:rsidRDefault="004371E3" w:rsidP="004371E3">
            <w:pPr>
              <w:spacing w:after="0" w:line="240" w:lineRule="auto"/>
              <w:rPr>
                <w:rFonts w:ascii="Times New Roman" w:hAnsi="Times New Roman" w:cs="Times New Roman"/>
                <w:bCs/>
                <w:sz w:val="20"/>
                <w:szCs w:val="20"/>
              </w:rPr>
            </w:pPr>
            <w:r w:rsidRPr="00821843">
              <w:rPr>
                <w:rFonts w:ascii="Times New Roman" w:hAnsi="Times New Roman" w:cs="Times New Roman"/>
                <w:bCs/>
                <w:sz w:val="20"/>
                <w:szCs w:val="20"/>
              </w:rPr>
              <w:t>Percentage</w:t>
            </w:r>
          </w:p>
        </w:tc>
      </w:tr>
      <w:tr w:rsidR="004371E3" w:rsidRPr="00821843" w14:paraId="6C8FD9A0" w14:textId="77777777" w:rsidTr="00B65669">
        <w:trPr>
          <w:trHeight w:val="1"/>
          <w:jc w:val="center"/>
        </w:trPr>
        <w:tc>
          <w:tcPr>
            <w:tcW w:w="3091" w:type="dxa"/>
            <w:tcBorders>
              <w:top w:val="single" w:sz="4" w:space="0" w:color="000000"/>
            </w:tcBorders>
            <w:shd w:val="clear" w:color="auto" w:fill="FFFFFF"/>
            <w:tcMar>
              <w:left w:w="108" w:type="dxa"/>
              <w:right w:w="108" w:type="dxa"/>
            </w:tcMar>
          </w:tcPr>
          <w:p w14:paraId="1CBE5586"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HND</w:t>
            </w:r>
          </w:p>
        </w:tc>
        <w:tc>
          <w:tcPr>
            <w:tcW w:w="3085" w:type="dxa"/>
            <w:tcBorders>
              <w:top w:val="single" w:sz="4" w:space="0" w:color="000000"/>
            </w:tcBorders>
            <w:shd w:val="clear" w:color="auto" w:fill="FFFFFF"/>
            <w:tcMar>
              <w:left w:w="108" w:type="dxa"/>
              <w:right w:w="108" w:type="dxa"/>
            </w:tcMar>
          </w:tcPr>
          <w:p w14:paraId="4CE3AE66"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7</w:t>
            </w:r>
          </w:p>
        </w:tc>
        <w:tc>
          <w:tcPr>
            <w:tcW w:w="1806" w:type="dxa"/>
            <w:tcBorders>
              <w:top w:val="single" w:sz="4" w:space="0" w:color="000000"/>
            </w:tcBorders>
            <w:shd w:val="clear" w:color="auto" w:fill="FFFFFF"/>
            <w:tcMar>
              <w:left w:w="108" w:type="dxa"/>
              <w:right w:w="108" w:type="dxa"/>
            </w:tcMar>
          </w:tcPr>
          <w:p w14:paraId="55A66C26"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14</w:t>
            </w:r>
          </w:p>
        </w:tc>
      </w:tr>
      <w:tr w:rsidR="004371E3" w:rsidRPr="00821843" w14:paraId="6D806BBE" w14:textId="77777777" w:rsidTr="00B65669">
        <w:trPr>
          <w:trHeight w:val="1"/>
          <w:jc w:val="center"/>
        </w:trPr>
        <w:tc>
          <w:tcPr>
            <w:tcW w:w="3091" w:type="dxa"/>
            <w:shd w:val="clear" w:color="auto" w:fill="FFFFFF"/>
            <w:tcMar>
              <w:left w:w="108" w:type="dxa"/>
              <w:right w:w="108" w:type="dxa"/>
            </w:tcMar>
            <w:vAlign w:val="center"/>
          </w:tcPr>
          <w:p w14:paraId="659CB793"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B.Sc/B.Tech.</w:t>
            </w:r>
          </w:p>
        </w:tc>
        <w:tc>
          <w:tcPr>
            <w:tcW w:w="3085" w:type="dxa"/>
            <w:shd w:val="clear" w:color="auto" w:fill="FFFFFF"/>
            <w:tcMar>
              <w:left w:w="108" w:type="dxa"/>
              <w:right w:w="108" w:type="dxa"/>
            </w:tcMar>
          </w:tcPr>
          <w:p w14:paraId="483B6455"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35</w:t>
            </w:r>
          </w:p>
        </w:tc>
        <w:tc>
          <w:tcPr>
            <w:tcW w:w="1806" w:type="dxa"/>
            <w:shd w:val="clear" w:color="auto" w:fill="FFFFFF"/>
            <w:tcMar>
              <w:left w:w="108" w:type="dxa"/>
              <w:right w:w="108" w:type="dxa"/>
            </w:tcMar>
          </w:tcPr>
          <w:p w14:paraId="2984FA3B"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70</w:t>
            </w:r>
          </w:p>
        </w:tc>
      </w:tr>
      <w:tr w:rsidR="004371E3" w:rsidRPr="00821843" w14:paraId="358B5ADA" w14:textId="77777777" w:rsidTr="00B65669">
        <w:trPr>
          <w:trHeight w:val="1"/>
          <w:jc w:val="center"/>
        </w:trPr>
        <w:tc>
          <w:tcPr>
            <w:tcW w:w="3091" w:type="dxa"/>
            <w:tcBorders>
              <w:bottom w:val="nil"/>
            </w:tcBorders>
            <w:shd w:val="clear" w:color="auto" w:fill="FFFFFF"/>
            <w:tcMar>
              <w:left w:w="108" w:type="dxa"/>
              <w:right w:w="108" w:type="dxa"/>
            </w:tcMar>
            <w:vAlign w:val="center"/>
          </w:tcPr>
          <w:p w14:paraId="72B24EB5"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PGD</w:t>
            </w:r>
          </w:p>
        </w:tc>
        <w:tc>
          <w:tcPr>
            <w:tcW w:w="3085" w:type="dxa"/>
            <w:tcBorders>
              <w:bottom w:val="nil"/>
            </w:tcBorders>
            <w:shd w:val="clear" w:color="auto" w:fill="FFFFFF"/>
            <w:tcMar>
              <w:left w:w="108" w:type="dxa"/>
              <w:right w:w="108" w:type="dxa"/>
            </w:tcMar>
          </w:tcPr>
          <w:p w14:paraId="3D826B2B"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4</w:t>
            </w:r>
          </w:p>
        </w:tc>
        <w:tc>
          <w:tcPr>
            <w:tcW w:w="1806" w:type="dxa"/>
            <w:tcBorders>
              <w:bottom w:val="nil"/>
            </w:tcBorders>
            <w:shd w:val="clear" w:color="auto" w:fill="FFFFFF"/>
            <w:tcMar>
              <w:left w:w="108" w:type="dxa"/>
              <w:right w:w="108" w:type="dxa"/>
            </w:tcMar>
          </w:tcPr>
          <w:p w14:paraId="4F561C5F" w14:textId="77777777" w:rsidR="004371E3" w:rsidRPr="00821843" w:rsidRDefault="004371E3" w:rsidP="004371E3">
            <w:pPr>
              <w:spacing w:after="0" w:line="240" w:lineRule="auto"/>
              <w:ind w:left="60" w:right="60"/>
              <w:rPr>
                <w:rFonts w:ascii="Times New Roman" w:hAnsi="Times New Roman" w:cs="Times New Roman"/>
                <w:sz w:val="20"/>
                <w:szCs w:val="20"/>
              </w:rPr>
            </w:pPr>
            <w:r w:rsidRPr="00821843">
              <w:rPr>
                <w:rFonts w:ascii="Times New Roman" w:hAnsi="Times New Roman" w:cs="Times New Roman"/>
                <w:color w:val="000000"/>
                <w:sz w:val="20"/>
                <w:szCs w:val="20"/>
              </w:rPr>
              <w:t>8</w:t>
            </w:r>
          </w:p>
        </w:tc>
      </w:tr>
      <w:tr w:rsidR="004371E3" w:rsidRPr="00821843" w14:paraId="3E6AC9D6" w14:textId="77777777" w:rsidTr="00B65669">
        <w:trPr>
          <w:trHeight w:val="1"/>
          <w:jc w:val="center"/>
        </w:trPr>
        <w:tc>
          <w:tcPr>
            <w:tcW w:w="3091" w:type="dxa"/>
            <w:tcBorders>
              <w:top w:val="nil"/>
              <w:bottom w:val="nil"/>
            </w:tcBorders>
            <w:shd w:val="clear" w:color="auto" w:fill="FFFFFF"/>
            <w:tcMar>
              <w:left w:w="108" w:type="dxa"/>
              <w:right w:w="108" w:type="dxa"/>
            </w:tcMar>
            <w:vAlign w:val="center"/>
          </w:tcPr>
          <w:p w14:paraId="3E293E14" w14:textId="77777777" w:rsidR="004371E3" w:rsidRPr="00821843" w:rsidRDefault="004371E3" w:rsidP="004371E3">
            <w:pPr>
              <w:spacing w:after="0" w:line="240" w:lineRule="auto"/>
              <w:ind w:left="60" w:right="60"/>
              <w:rPr>
                <w:rFonts w:ascii="Times New Roman" w:hAnsi="Times New Roman" w:cs="Times New Roman"/>
                <w:color w:val="000000"/>
                <w:sz w:val="20"/>
                <w:szCs w:val="20"/>
              </w:rPr>
            </w:pPr>
            <w:r w:rsidRPr="00821843">
              <w:rPr>
                <w:rFonts w:ascii="Times New Roman" w:hAnsi="Times New Roman" w:cs="Times New Roman"/>
                <w:color w:val="000000"/>
                <w:sz w:val="20"/>
                <w:szCs w:val="20"/>
              </w:rPr>
              <w:t>M.Sc/M.Tech</w:t>
            </w:r>
          </w:p>
        </w:tc>
        <w:tc>
          <w:tcPr>
            <w:tcW w:w="3085" w:type="dxa"/>
            <w:tcBorders>
              <w:top w:val="nil"/>
              <w:bottom w:val="nil"/>
            </w:tcBorders>
            <w:shd w:val="clear" w:color="auto" w:fill="FFFFFF"/>
            <w:tcMar>
              <w:left w:w="108" w:type="dxa"/>
              <w:right w:w="108" w:type="dxa"/>
            </w:tcMar>
          </w:tcPr>
          <w:p w14:paraId="4F3F59C9" w14:textId="77777777" w:rsidR="004371E3" w:rsidRPr="00821843" w:rsidRDefault="004371E3" w:rsidP="004371E3">
            <w:pPr>
              <w:spacing w:after="0" w:line="240" w:lineRule="auto"/>
              <w:ind w:left="60" w:right="60"/>
              <w:rPr>
                <w:rFonts w:ascii="Times New Roman" w:hAnsi="Times New Roman" w:cs="Times New Roman"/>
                <w:color w:val="000000"/>
                <w:sz w:val="20"/>
                <w:szCs w:val="20"/>
              </w:rPr>
            </w:pPr>
            <w:r w:rsidRPr="00821843">
              <w:rPr>
                <w:rFonts w:ascii="Times New Roman" w:hAnsi="Times New Roman" w:cs="Times New Roman"/>
                <w:color w:val="000000"/>
                <w:sz w:val="20"/>
                <w:szCs w:val="20"/>
              </w:rPr>
              <w:t>4</w:t>
            </w:r>
          </w:p>
        </w:tc>
        <w:tc>
          <w:tcPr>
            <w:tcW w:w="1806" w:type="dxa"/>
            <w:tcBorders>
              <w:top w:val="nil"/>
              <w:bottom w:val="nil"/>
            </w:tcBorders>
            <w:shd w:val="clear" w:color="auto" w:fill="FFFFFF"/>
            <w:tcMar>
              <w:left w:w="108" w:type="dxa"/>
              <w:right w:w="108" w:type="dxa"/>
            </w:tcMar>
          </w:tcPr>
          <w:p w14:paraId="4C6449AA" w14:textId="77777777" w:rsidR="004371E3" w:rsidRPr="00821843" w:rsidRDefault="004371E3" w:rsidP="004371E3">
            <w:pPr>
              <w:spacing w:after="0" w:line="240" w:lineRule="auto"/>
              <w:ind w:left="60" w:right="60"/>
              <w:rPr>
                <w:rFonts w:ascii="Times New Roman" w:hAnsi="Times New Roman" w:cs="Times New Roman"/>
                <w:color w:val="000000"/>
                <w:sz w:val="20"/>
                <w:szCs w:val="20"/>
              </w:rPr>
            </w:pPr>
            <w:r w:rsidRPr="00821843">
              <w:rPr>
                <w:rFonts w:ascii="Times New Roman" w:hAnsi="Times New Roman" w:cs="Times New Roman"/>
                <w:color w:val="000000"/>
                <w:sz w:val="20"/>
                <w:szCs w:val="20"/>
              </w:rPr>
              <w:t>8</w:t>
            </w:r>
          </w:p>
        </w:tc>
      </w:tr>
      <w:tr w:rsidR="004371E3" w:rsidRPr="00821843" w14:paraId="308EF6FE" w14:textId="77777777" w:rsidTr="00B65669">
        <w:trPr>
          <w:trHeight w:val="1"/>
          <w:jc w:val="center"/>
        </w:trPr>
        <w:tc>
          <w:tcPr>
            <w:tcW w:w="3091" w:type="dxa"/>
            <w:tcBorders>
              <w:top w:val="nil"/>
              <w:bottom w:val="single" w:sz="4" w:space="0" w:color="000000"/>
            </w:tcBorders>
            <w:shd w:val="clear" w:color="auto" w:fill="FFFFFF"/>
            <w:tcMar>
              <w:left w:w="108" w:type="dxa"/>
              <w:right w:w="108" w:type="dxa"/>
            </w:tcMar>
          </w:tcPr>
          <w:p w14:paraId="21CDF0BC" w14:textId="77777777" w:rsidR="004371E3" w:rsidRPr="00821843" w:rsidRDefault="004371E3" w:rsidP="004371E3">
            <w:pPr>
              <w:spacing w:after="0" w:line="240" w:lineRule="auto"/>
              <w:ind w:left="60" w:right="60"/>
              <w:rPr>
                <w:rFonts w:ascii="Times New Roman" w:hAnsi="Times New Roman" w:cs="Times New Roman"/>
                <w:b/>
                <w:sz w:val="20"/>
                <w:szCs w:val="20"/>
              </w:rPr>
            </w:pPr>
            <w:r w:rsidRPr="00821843">
              <w:rPr>
                <w:rFonts w:ascii="Times New Roman" w:hAnsi="Times New Roman" w:cs="Times New Roman"/>
                <w:b/>
                <w:color w:val="000000"/>
                <w:sz w:val="20"/>
                <w:szCs w:val="20"/>
              </w:rPr>
              <w:t>Total</w:t>
            </w:r>
          </w:p>
        </w:tc>
        <w:tc>
          <w:tcPr>
            <w:tcW w:w="3085" w:type="dxa"/>
            <w:tcBorders>
              <w:top w:val="nil"/>
              <w:bottom w:val="single" w:sz="4" w:space="0" w:color="000000"/>
            </w:tcBorders>
            <w:shd w:val="clear" w:color="auto" w:fill="FFFFFF"/>
            <w:tcMar>
              <w:left w:w="108" w:type="dxa"/>
              <w:right w:w="108" w:type="dxa"/>
            </w:tcMar>
          </w:tcPr>
          <w:p w14:paraId="7499158A" w14:textId="77777777" w:rsidR="004371E3" w:rsidRPr="00821843" w:rsidRDefault="004371E3" w:rsidP="004371E3">
            <w:pPr>
              <w:spacing w:after="0" w:line="240" w:lineRule="auto"/>
              <w:ind w:left="60" w:right="60"/>
              <w:rPr>
                <w:rFonts w:ascii="Times New Roman" w:hAnsi="Times New Roman" w:cs="Times New Roman"/>
                <w:b/>
                <w:sz w:val="20"/>
                <w:szCs w:val="20"/>
              </w:rPr>
            </w:pPr>
            <w:r w:rsidRPr="00821843">
              <w:rPr>
                <w:rFonts w:ascii="Times New Roman" w:hAnsi="Times New Roman" w:cs="Times New Roman"/>
                <w:b/>
                <w:color w:val="000000"/>
                <w:sz w:val="20"/>
                <w:szCs w:val="20"/>
              </w:rPr>
              <w:t>50</w:t>
            </w:r>
          </w:p>
        </w:tc>
        <w:tc>
          <w:tcPr>
            <w:tcW w:w="1806" w:type="dxa"/>
            <w:tcBorders>
              <w:top w:val="nil"/>
              <w:bottom w:val="single" w:sz="4" w:space="0" w:color="000000"/>
            </w:tcBorders>
            <w:shd w:val="clear" w:color="auto" w:fill="FFFFFF"/>
            <w:tcMar>
              <w:left w:w="108" w:type="dxa"/>
              <w:right w:w="108" w:type="dxa"/>
            </w:tcMar>
          </w:tcPr>
          <w:p w14:paraId="2FDC46A5" w14:textId="77777777" w:rsidR="004371E3" w:rsidRPr="00821843" w:rsidRDefault="004371E3" w:rsidP="004371E3">
            <w:pPr>
              <w:spacing w:after="0" w:line="240" w:lineRule="auto"/>
              <w:ind w:left="60" w:right="60"/>
              <w:rPr>
                <w:rFonts w:ascii="Times New Roman" w:hAnsi="Times New Roman" w:cs="Times New Roman"/>
                <w:b/>
                <w:sz w:val="20"/>
                <w:szCs w:val="20"/>
              </w:rPr>
            </w:pPr>
            <w:r w:rsidRPr="00821843">
              <w:rPr>
                <w:rFonts w:ascii="Times New Roman" w:hAnsi="Times New Roman" w:cs="Times New Roman"/>
                <w:b/>
                <w:color w:val="000000"/>
                <w:sz w:val="20"/>
                <w:szCs w:val="20"/>
              </w:rPr>
              <w:t>100.0</w:t>
            </w:r>
          </w:p>
        </w:tc>
      </w:tr>
    </w:tbl>
    <w:p w14:paraId="77A639F3" w14:textId="77777777" w:rsidR="004371E3" w:rsidRDefault="004371E3" w:rsidP="004371E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lastRenderedPageBreak/>
        <w:t xml:space="preserve">From the above table it is observed that out of the 100% respondents that were used for this study, 14% of them are HND holders, 70% of them are B.sc/B.tech holders, and 8% of them are PGD and </w:t>
      </w:r>
      <w:r w:rsidRPr="00BE4AF3">
        <w:rPr>
          <w:rFonts w:ascii="Times New Roman" w:hAnsi="Times New Roman" w:cs="Times New Roman"/>
          <w:color w:val="000000"/>
          <w:sz w:val="24"/>
          <w:szCs w:val="24"/>
        </w:rPr>
        <w:t>M.Sc/M.Tech</w:t>
      </w:r>
      <w:r w:rsidRPr="00BE4AF3">
        <w:rPr>
          <w:rFonts w:ascii="Times New Roman" w:hAnsi="Times New Roman" w:cs="Times New Roman"/>
          <w:sz w:val="24"/>
          <w:szCs w:val="24"/>
        </w:rPr>
        <w:t xml:space="preserve">. Hence majority of the respondents are B.sc/B.tech holders. </w:t>
      </w:r>
    </w:p>
    <w:p w14:paraId="440ED690" w14:textId="77777777" w:rsidR="00B3575A" w:rsidRPr="00BE4AF3" w:rsidRDefault="00B3575A" w:rsidP="004371E3">
      <w:pPr>
        <w:spacing w:after="0" w:line="240" w:lineRule="auto"/>
        <w:jc w:val="both"/>
        <w:rPr>
          <w:rFonts w:ascii="Times New Roman" w:hAnsi="Times New Roman" w:cs="Times New Roman"/>
          <w:sz w:val="24"/>
          <w:szCs w:val="24"/>
        </w:rPr>
      </w:pPr>
    </w:p>
    <w:p w14:paraId="3F0A0AA6" w14:textId="77777777" w:rsidR="004371E3" w:rsidRPr="00B3575A" w:rsidRDefault="004371E3" w:rsidP="00B3575A">
      <w:pPr>
        <w:spacing w:after="0" w:line="240" w:lineRule="auto"/>
        <w:jc w:val="center"/>
        <w:rPr>
          <w:rFonts w:ascii="Times New Roman" w:hAnsi="Times New Roman" w:cs="Times New Roman"/>
          <w:bCs/>
          <w:sz w:val="24"/>
          <w:szCs w:val="24"/>
        </w:rPr>
      </w:pPr>
      <w:r w:rsidRPr="00BE4AF3">
        <w:rPr>
          <w:rFonts w:ascii="Times New Roman" w:hAnsi="Times New Roman" w:cs="Times New Roman"/>
          <w:b/>
          <w:sz w:val="24"/>
          <w:szCs w:val="24"/>
        </w:rPr>
        <w:t xml:space="preserve">Table 5: </w:t>
      </w:r>
      <w:r w:rsidRPr="00B3575A">
        <w:rPr>
          <w:rFonts w:ascii="Times New Roman" w:hAnsi="Times New Roman" w:cs="Times New Roman"/>
          <w:bCs/>
          <w:sz w:val="24"/>
          <w:szCs w:val="24"/>
        </w:rPr>
        <w:t>Respondent Years of Experience in the Construction Industry</w:t>
      </w:r>
    </w:p>
    <w:tbl>
      <w:tblPr>
        <w:tblW w:w="7840" w:type="dxa"/>
        <w:jc w:val="center"/>
        <w:tblBorders>
          <w:top w:val="single" w:sz="4" w:space="0" w:color="000000"/>
          <w:bottom w:val="single" w:sz="4" w:space="0" w:color="000000"/>
        </w:tblBorders>
        <w:tblLayout w:type="fixed"/>
        <w:tblLook w:val="0000" w:firstRow="0" w:lastRow="0" w:firstColumn="0" w:lastColumn="0" w:noHBand="0" w:noVBand="0"/>
      </w:tblPr>
      <w:tblGrid>
        <w:gridCol w:w="3090"/>
        <w:gridCol w:w="3085"/>
        <w:gridCol w:w="1665"/>
      </w:tblGrid>
      <w:tr w:rsidR="004371E3" w:rsidRPr="00B3575A" w14:paraId="2FC4EED0" w14:textId="77777777" w:rsidTr="00B3575A">
        <w:trPr>
          <w:trHeight w:val="1"/>
          <w:jc w:val="center"/>
        </w:trPr>
        <w:tc>
          <w:tcPr>
            <w:tcW w:w="3090" w:type="dxa"/>
            <w:tcBorders>
              <w:top w:val="single" w:sz="4" w:space="0" w:color="000000"/>
              <w:bottom w:val="single" w:sz="4" w:space="0" w:color="000000"/>
            </w:tcBorders>
            <w:shd w:val="clear" w:color="auto" w:fill="FFFFFF"/>
            <w:tcMar>
              <w:left w:w="108" w:type="dxa"/>
              <w:right w:w="108" w:type="dxa"/>
            </w:tcMar>
          </w:tcPr>
          <w:p w14:paraId="7F476761" w14:textId="77777777" w:rsidR="004371E3" w:rsidRPr="00B3575A" w:rsidRDefault="004371E3" w:rsidP="004371E3">
            <w:pPr>
              <w:spacing w:after="0" w:line="240" w:lineRule="auto"/>
              <w:rPr>
                <w:rFonts w:ascii="Times New Roman" w:hAnsi="Times New Roman" w:cs="Times New Roman"/>
                <w:bCs/>
                <w:sz w:val="20"/>
                <w:szCs w:val="20"/>
              </w:rPr>
            </w:pPr>
            <w:r w:rsidRPr="00B3575A">
              <w:rPr>
                <w:rFonts w:ascii="Times New Roman" w:hAnsi="Times New Roman" w:cs="Times New Roman"/>
                <w:bCs/>
                <w:color w:val="000000"/>
                <w:sz w:val="20"/>
                <w:szCs w:val="20"/>
              </w:rPr>
              <w:t>Respondent years of Experience in the Construction Industry</w:t>
            </w:r>
          </w:p>
        </w:tc>
        <w:tc>
          <w:tcPr>
            <w:tcW w:w="3085" w:type="dxa"/>
            <w:tcBorders>
              <w:top w:val="single" w:sz="4" w:space="0" w:color="000000"/>
              <w:bottom w:val="single" w:sz="4" w:space="0" w:color="000000"/>
            </w:tcBorders>
            <w:shd w:val="clear" w:color="auto" w:fill="FFFFFF"/>
            <w:tcMar>
              <w:left w:w="108" w:type="dxa"/>
              <w:right w:w="108" w:type="dxa"/>
            </w:tcMar>
          </w:tcPr>
          <w:p w14:paraId="7155F5B6" w14:textId="77777777" w:rsidR="004371E3" w:rsidRPr="00B3575A" w:rsidRDefault="004371E3" w:rsidP="004371E3">
            <w:pPr>
              <w:spacing w:after="0" w:line="240" w:lineRule="auto"/>
              <w:rPr>
                <w:rFonts w:ascii="Times New Roman" w:hAnsi="Times New Roman" w:cs="Times New Roman"/>
                <w:bCs/>
                <w:sz w:val="20"/>
                <w:szCs w:val="20"/>
              </w:rPr>
            </w:pPr>
            <w:r w:rsidRPr="00B3575A">
              <w:rPr>
                <w:rFonts w:ascii="Times New Roman" w:hAnsi="Times New Roman" w:cs="Times New Roman"/>
                <w:bCs/>
                <w:sz w:val="20"/>
                <w:szCs w:val="20"/>
              </w:rPr>
              <w:t>Frequency</w:t>
            </w:r>
          </w:p>
        </w:tc>
        <w:tc>
          <w:tcPr>
            <w:tcW w:w="1665" w:type="dxa"/>
            <w:tcBorders>
              <w:top w:val="single" w:sz="4" w:space="0" w:color="000000"/>
              <w:bottom w:val="single" w:sz="4" w:space="0" w:color="000000"/>
            </w:tcBorders>
            <w:shd w:val="clear" w:color="auto" w:fill="FFFFFF"/>
            <w:tcMar>
              <w:left w:w="108" w:type="dxa"/>
              <w:right w:w="108" w:type="dxa"/>
            </w:tcMar>
          </w:tcPr>
          <w:p w14:paraId="09C04287" w14:textId="77777777" w:rsidR="004371E3" w:rsidRPr="00B3575A" w:rsidRDefault="004371E3" w:rsidP="004371E3">
            <w:pPr>
              <w:spacing w:after="0" w:line="240" w:lineRule="auto"/>
              <w:rPr>
                <w:rFonts w:ascii="Times New Roman" w:hAnsi="Times New Roman" w:cs="Times New Roman"/>
                <w:bCs/>
                <w:sz w:val="20"/>
                <w:szCs w:val="20"/>
              </w:rPr>
            </w:pPr>
            <w:r w:rsidRPr="00B3575A">
              <w:rPr>
                <w:rFonts w:ascii="Times New Roman" w:hAnsi="Times New Roman" w:cs="Times New Roman"/>
                <w:bCs/>
                <w:sz w:val="20"/>
                <w:szCs w:val="20"/>
              </w:rPr>
              <w:t>Percentage</w:t>
            </w:r>
          </w:p>
        </w:tc>
      </w:tr>
      <w:tr w:rsidR="004371E3" w:rsidRPr="00B3575A" w14:paraId="518A5146" w14:textId="77777777" w:rsidTr="00B3575A">
        <w:trPr>
          <w:trHeight w:val="1"/>
          <w:jc w:val="center"/>
        </w:trPr>
        <w:tc>
          <w:tcPr>
            <w:tcW w:w="3090" w:type="dxa"/>
            <w:tcBorders>
              <w:top w:val="single" w:sz="4" w:space="0" w:color="000000"/>
            </w:tcBorders>
            <w:shd w:val="clear" w:color="auto" w:fill="FFFFFF"/>
            <w:tcMar>
              <w:left w:w="108" w:type="dxa"/>
              <w:right w:w="108" w:type="dxa"/>
            </w:tcMar>
            <w:vAlign w:val="center"/>
          </w:tcPr>
          <w:p w14:paraId="310A7D20" w14:textId="77777777" w:rsidR="004371E3" w:rsidRPr="00B3575A" w:rsidRDefault="004371E3" w:rsidP="004371E3">
            <w:pPr>
              <w:spacing w:after="0" w:line="240" w:lineRule="auto"/>
              <w:ind w:left="60" w:right="60"/>
              <w:rPr>
                <w:rFonts w:ascii="Times New Roman" w:hAnsi="Times New Roman" w:cs="Times New Roman"/>
                <w:sz w:val="20"/>
                <w:szCs w:val="20"/>
              </w:rPr>
            </w:pPr>
            <w:r w:rsidRPr="00B3575A">
              <w:rPr>
                <w:rFonts w:ascii="Times New Roman" w:hAnsi="Times New Roman" w:cs="Times New Roman"/>
                <w:color w:val="000000"/>
                <w:sz w:val="20"/>
                <w:szCs w:val="20"/>
              </w:rPr>
              <w:t>0-5years</w:t>
            </w:r>
          </w:p>
        </w:tc>
        <w:tc>
          <w:tcPr>
            <w:tcW w:w="3085" w:type="dxa"/>
            <w:tcBorders>
              <w:top w:val="single" w:sz="4" w:space="0" w:color="000000"/>
            </w:tcBorders>
            <w:shd w:val="clear" w:color="auto" w:fill="FFFFFF"/>
            <w:tcMar>
              <w:left w:w="108" w:type="dxa"/>
              <w:right w:w="108" w:type="dxa"/>
            </w:tcMar>
          </w:tcPr>
          <w:p w14:paraId="7A6F0D1D" w14:textId="77777777" w:rsidR="004371E3" w:rsidRPr="00B3575A" w:rsidRDefault="004371E3" w:rsidP="004371E3">
            <w:pPr>
              <w:spacing w:after="0" w:line="240" w:lineRule="auto"/>
              <w:ind w:left="60" w:right="60"/>
              <w:rPr>
                <w:rFonts w:ascii="Times New Roman" w:hAnsi="Times New Roman" w:cs="Times New Roman"/>
                <w:sz w:val="20"/>
                <w:szCs w:val="20"/>
              </w:rPr>
            </w:pPr>
            <w:r w:rsidRPr="00B3575A">
              <w:rPr>
                <w:rFonts w:ascii="Times New Roman" w:hAnsi="Times New Roman" w:cs="Times New Roman"/>
                <w:color w:val="000000"/>
                <w:sz w:val="20"/>
                <w:szCs w:val="20"/>
              </w:rPr>
              <w:t>13</w:t>
            </w:r>
          </w:p>
        </w:tc>
        <w:tc>
          <w:tcPr>
            <w:tcW w:w="1665" w:type="dxa"/>
            <w:tcBorders>
              <w:top w:val="single" w:sz="4" w:space="0" w:color="000000"/>
            </w:tcBorders>
            <w:shd w:val="clear" w:color="auto" w:fill="FFFFFF"/>
            <w:tcMar>
              <w:left w:w="108" w:type="dxa"/>
              <w:right w:w="108" w:type="dxa"/>
            </w:tcMar>
          </w:tcPr>
          <w:p w14:paraId="1156FF3C" w14:textId="77777777" w:rsidR="004371E3" w:rsidRPr="00B3575A" w:rsidRDefault="004371E3" w:rsidP="004371E3">
            <w:pPr>
              <w:spacing w:after="0" w:line="240" w:lineRule="auto"/>
              <w:ind w:left="60" w:right="60"/>
              <w:rPr>
                <w:rFonts w:ascii="Times New Roman" w:hAnsi="Times New Roman" w:cs="Times New Roman"/>
                <w:sz w:val="20"/>
                <w:szCs w:val="20"/>
              </w:rPr>
            </w:pPr>
            <w:r w:rsidRPr="00B3575A">
              <w:rPr>
                <w:rFonts w:ascii="Times New Roman" w:hAnsi="Times New Roman" w:cs="Times New Roman"/>
                <w:color w:val="000000"/>
                <w:sz w:val="20"/>
                <w:szCs w:val="20"/>
              </w:rPr>
              <w:t>26</w:t>
            </w:r>
          </w:p>
        </w:tc>
      </w:tr>
      <w:tr w:rsidR="004371E3" w:rsidRPr="00B3575A" w14:paraId="0CC99F17" w14:textId="77777777" w:rsidTr="00B3575A">
        <w:trPr>
          <w:trHeight w:val="1"/>
          <w:jc w:val="center"/>
        </w:trPr>
        <w:tc>
          <w:tcPr>
            <w:tcW w:w="3090" w:type="dxa"/>
            <w:shd w:val="clear" w:color="auto" w:fill="FFFFFF"/>
            <w:tcMar>
              <w:left w:w="108" w:type="dxa"/>
              <w:right w:w="108" w:type="dxa"/>
            </w:tcMar>
            <w:vAlign w:val="center"/>
          </w:tcPr>
          <w:p w14:paraId="425CD846" w14:textId="77777777" w:rsidR="004371E3" w:rsidRPr="00B3575A" w:rsidRDefault="004371E3" w:rsidP="004371E3">
            <w:pPr>
              <w:spacing w:after="0" w:line="240" w:lineRule="auto"/>
              <w:ind w:left="60" w:right="60"/>
              <w:rPr>
                <w:rFonts w:ascii="Times New Roman" w:hAnsi="Times New Roman" w:cs="Times New Roman"/>
                <w:sz w:val="20"/>
                <w:szCs w:val="20"/>
              </w:rPr>
            </w:pPr>
            <w:r w:rsidRPr="00B3575A">
              <w:rPr>
                <w:rFonts w:ascii="Times New Roman" w:hAnsi="Times New Roman" w:cs="Times New Roman"/>
                <w:color w:val="000000"/>
                <w:sz w:val="20"/>
                <w:szCs w:val="20"/>
              </w:rPr>
              <w:t>6-10years</w:t>
            </w:r>
          </w:p>
        </w:tc>
        <w:tc>
          <w:tcPr>
            <w:tcW w:w="3085" w:type="dxa"/>
            <w:shd w:val="clear" w:color="auto" w:fill="FFFFFF"/>
            <w:tcMar>
              <w:left w:w="108" w:type="dxa"/>
              <w:right w:w="108" w:type="dxa"/>
            </w:tcMar>
          </w:tcPr>
          <w:p w14:paraId="7EE1DA34" w14:textId="77777777" w:rsidR="004371E3" w:rsidRPr="00B3575A" w:rsidRDefault="004371E3" w:rsidP="004371E3">
            <w:pPr>
              <w:spacing w:after="0" w:line="240" w:lineRule="auto"/>
              <w:ind w:left="60" w:right="60"/>
              <w:rPr>
                <w:rFonts w:ascii="Times New Roman" w:hAnsi="Times New Roman" w:cs="Times New Roman"/>
                <w:sz w:val="20"/>
                <w:szCs w:val="20"/>
              </w:rPr>
            </w:pPr>
            <w:r w:rsidRPr="00B3575A">
              <w:rPr>
                <w:rFonts w:ascii="Times New Roman" w:hAnsi="Times New Roman" w:cs="Times New Roman"/>
                <w:color w:val="000000"/>
                <w:sz w:val="20"/>
                <w:szCs w:val="20"/>
              </w:rPr>
              <w:t>19</w:t>
            </w:r>
          </w:p>
        </w:tc>
        <w:tc>
          <w:tcPr>
            <w:tcW w:w="1665" w:type="dxa"/>
            <w:shd w:val="clear" w:color="auto" w:fill="FFFFFF"/>
            <w:tcMar>
              <w:left w:w="108" w:type="dxa"/>
              <w:right w:w="108" w:type="dxa"/>
            </w:tcMar>
          </w:tcPr>
          <w:p w14:paraId="397D08DB" w14:textId="77777777" w:rsidR="004371E3" w:rsidRPr="00B3575A" w:rsidRDefault="004371E3" w:rsidP="004371E3">
            <w:pPr>
              <w:spacing w:after="0" w:line="240" w:lineRule="auto"/>
              <w:ind w:left="60" w:right="60"/>
              <w:rPr>
                <w:rFonts w:ascii="Times New Roman" w:hAnsi="Times New Roman" w:cs="Times New Roman"/>
                <w:sz w:val="20"/>
                <w:szCs w:val="20"/>
              </w:rPr>
            </w:pPr>
            <w:r w:rsidRPr="00B3575A">
              <w:rPr>
                <w:rFonts w:ascii="Times New Roman" w:hAnsi="Times New Roman" w:cs="Times New Roman"/>
                <w:color w:val="000000"/>
                <w:sz w:val="20"/>
                <w:szCs w:val="20"/>
              </w:rPr>
              <w:t>38</w:t>
            </w:r>
          </w:p>
        </w:tc>
      </w:tr>
      <w:tr w:rsidR="004371E3" w:rsidRPr="00B3575A" w14:paraId="64F6EC88" w14:textId="77777777" w:rsidTr="00B3575A">
        <w:trPr>
          <w:trHeight w:val="1"/>
          <w:jc w:val="center"/>
        </w:trPr>
        <w:tc>
          <w:tcPr>
            <w:tcW w:w="3090" w:type="dxa"/>
            <w:shd w:val="clear" w:color="auto" w:fill="FFFFFF"/>
            <w:tcMar>
              <w:left w:w="108" w:type="dxa"/>
              <w:right w:w="108" w:type="dxa"/>
            </w:tcMar>
            <w:vAlign w:val="center"/>
          </w:tcPr>
          <w:p w14:paraId="2DE8ED8E" w14:textId="77777777" w:rsidR="004371E3" w:rsidRPr="00B3575A" w:rsidRDefault="004371E3" w:rsidP="004371E3">
            <w:pPr>
              <w:spacing w:after="0" w:line="240" w:lineRule="auto"/>
              <w:ind w:left="60" w:right="60"/>
              <w:rPr>
                <w:rFonts w:ascii="Times New Roman" w:hAnsi="Times New Roman" w:cs="Times New Roman"/>
                <w:sz w:val="20"/>
                <w:szCs w:val="20"/>
              </w:rPr>
            </w:pPr>
            <w:r w:rsidRPr="00B3575A">
              <w:rPr>
                <w:rFonts w:ascii="Times New Roman" w:hAnsi="Times New Roman" w:cs="Times New Roman"/>
                <w:color w:val="000000"/>
                <w:sz w:val="20"/>
                <w:szCs w:val="20"/>
              </w:rPr>
              <w:t>11-15years</w:t>
            </w:r>
          </w:p>
        </w:tc>
        <w:tc>
          <w:tcPr>
            <w:tcW w:w="3085" w:type="dxa"/>
            <w:shd w:val="clear" w:color="auto" w:fill="FFFFFF"/>
            <w:tcMar>
              <w:left w:w="108" w:type="dxa"/>
              <w:right w:w="108" w:type="dxa"/>
            </w:tcMar>
          </w:tcPr>
          <w:p w14:paraId="5BEE1CE7" w14:textId="77777777" w:rsidR="004371E3" w:rsidRPr="00B3575A" w:rsidRDefault="004371E3" w:rsidP="004371E3">
            <w:pPr>
              <w:spacing w:after="0" w:line="240" w:lineRule="auto"/>
              <w:ind w:left="60" w:right="60"/>
              <w:rPr>
                <w:rFonts w:ascii="Times New Roman" w:hAnsi="Times New Roman" w:cs="Times New Roman"/>
                <w:sz w:val="20"/>
                <w:szCs w:val="20"/>
              </w:rPr>
            </w:pPr>
            <w:r w:rsidRPr="00B3575A">
              <w:rPr>
                <w:rFonts w:ascii="Times New Roman" w:hAnsi="Times New Roman" w:cs="Times New Roman"/>
                <w:color w:val="000000"/>
                <w:sz w:val="20"/>
                <w:szCs w:val="20"/>
              </w:rPr>
              <w:t>7</w:t>
            </w:r>
          </w:p>
        </w:tc>
        <w:tc>
          <w:tcPr>
            <w:tcW w:w="1665" w:type="dxa"/>
            <w:shd w:val="clear" w:color="auto" w:fill="FFFFFF"/>
            <w:tcMar>
              <w:left w:w="108" w:type="dxa"/>
              <w:right w:w="108" w:type="dxa"/>
            </w:tcMar>
          </w:tcPr>
          <w:p w14:paraId="58D7AC39" w14:textId="77777777" w:rsidR="004371E3" w:rsidRPr="00B3575A" w:rsidRDefault="004371E3" w:rsidP="004371E3">
            <w:pPr>
              <w:spacing w:after="0" w:line="240" w:lineRule="auto"/>
              <w:ind w:left="60" w:right="60"/>
              <w:rPr>
                <w:rFonts w:ascii="Times New Roman" w:hAnsi="Times New Roman" w:cs="Times New Roman"/>
                <w:sz w:val="20"/>
                <w:szCs w:val="20"/>
              </w:rPr>
            </w:pPr>
            <w:r w:rsidRPr="00B3575A">
              <w:rPr>
                <w:rFonts w:ascii="Times New Roman" w:hAnsi="Times New Roman" w:cs="Times New Roman"/>
                <w:color w:val="000000"/>
                <w:sz w:val="20"/>
                <w:szCs w:val="20"/>
              </w:rPr>
              <w:t>14</w:t>
            </w:r>
          </w:p>
        </w:tc>
      </w:tr>
      <w:tr w:rsidR="004371E3" w:rsidRPr="00B3575A" w14:paraId="7E436FE7" w14:textId="77777777" w:rsidTr="00B3575A">
        <w:trPr>
          <w:trHeight w:val="1"/>
          <w:jc w:val="center"/>
        </w:trPr>
        <w:tc>
          <w:tcPr>
            <w:tcW w:w="3090" w:type="dxa"/>
            <w:tcBorders>
              <w:bottom w:val="nil"/>
            </w:tcBorders>
            <w:shd w:val="clear" w:color="auto" w:fill="FFFFFF"/>
            <w:tcMar>
              <w:left w:w="108" w:type="dxa"/>
              <w:right w:w="108" w:type="dxa"/>
            </w:tcMar>
            <w:vAlign w:val="center"/>
          </w:tcPr>
          <w:p w14:paraId="6FDD17D6" w14:textId="77777777" w:rsidR="004371E3" w:rsidRPr="00B3575A" w:rsidRDefault="004371E3" w:rsidP="004371E3">
            <w:pPr>
              <w:spacing w:after="0" w:line="240" w:lineRule="auto"/>
              <w:ind w:left="60" w:right="60"/>
              <w:rPr>
                <w:rFonts w:ascii="Times New Roman" w:hAnsi="Times New Roman" w:cs="Times New Roman"/>
                <w:sz w:val="20"/>
                <w:szCs w:val="20"/>
              </w:rPr>
            </w:pPr>
            <w:r w:rsidRPr="00B3575A">
              <w:rPr>
                <w:rFonts w:ascii="Times New Roman" w:hAnsi="Times New Roman" w:cs="Times New Roman"/>
                <w:color w:val="000000"/>
                <w:sz w:val="20"/>
                <w:szCs w:val="20"/>
              </w:rPr>
              <w:t>16-20years</w:t>
            </w:r>
          </w:p>
        </w:tc>
        <w:tc>
          <w:tcPr>
            <w:tcW w:w="3085" w:type="dxa"/>
            <w:tcBorders>
              <w:bottom w:val="nil"/>
            </w:tcBorders>
            <w:shd w:val="clear" w:color="auto" w:fill="FFFFFF"/>
            <w:tcMar>
              <w:left w:w="108" w:type="dxa"/>
              <w:right w:w="108" w:type="dxa"/>
            </w:tcMar>
          </w:tcPr>
          <w:p w14:paraId="0FE8654E" w14:textId="77777777" w:rsidR="004371E3" w:rsidRPr="00B3575A" w:rsidRDefault="004371E3" w:rsidP="004371E3">
            <w:pPr>
              <w:spacing w:after="0" w:line="240" w:lineRule="auto"/>
              <w:ind w:left="60" w:right="60"/>
              <w:rPr>
                <w:rFonts w:ascii="Times New Roman" w:hAnsi="Times New Roman" w:cs="Times New Roman"/>
                <w:sz w:val="20"/>
                <w:szCs w:val="20"/>
              </w:rPr>
            </w:pPr>
            <w:r w:rsidRPr="00B3575A">
              <w:rPr>
                <w:rFonts w:ascii="Times New Roman" w:hAnsi="Times New Roman" w:cs="Times New Roman"/>
                <w:color w:val="000000"/>
                <w:sz w:val="20"/>
                <w:szCs w:val="20"/>
              </w:rPr>
              <w:t>4</w:t>
            </w:r>
          </w:p>
        </w:tc>
        <w:tc>
          <w:tcPr>
            <w:tcW w:w="1665" w:type="dxa"/>
            <w:tcBorders>
              <w:bottom w:val="nil"/>
            </w:tcBorders>
            <w:shd w:val="clear" w:color="auto" w:fill="FFFFFF"/>
            <w:tcMar>
              <w:left w:w="108" w:type="dxa"/>
              <w:right w:w="108" w:type="dxa"/>
            </w:tcMar>
          </w:tcPr>
          <w:p w14:paraId="61831EDA" w14:textId="77777777" w:rsidR="004371E3" w:rsidRPr="00B3575A" w:rsidRDefault="004371E3" w:rsidP="004371E3">
            <w:pPr>
              <w:spacing w:after="0" w:line="240" w:lineRule="auto"/>
              <w:ind w:left="60" w:right="60"/>
              <w:rPr>
                <w:rFonts w:ascii="Times New Roman" w:hAnsi="Times New Roman" w:cs="Times New Roman"/>
                <w:sz w:val="20"/>
                <w:szCs w:val="20"/>
              </w:rPr>
            </w:pPr>
            <w:r w:rsidRPr="00B3575A">
              <w:rPr>
                <w:rFonts w:ascii="Times New Roman" w:hAnsi="Times New Roman" w:cs="Times New Roman"/>
                <w:color w:val="000000"/>
                <w:sz w:val="20"/>
                <w:szCs w:val="20"/>
              </w:rPr>
              <w:t>8</w:t>
            </w:r>
          </w:p>
        </w:tc>
      </w:tr>
      <w:tr w:rsidR="004371E3" w:rsidRPr="00B3575A" w14:paraId="302F48CB" w14:textId="77777777" w:rsidTr="00B3575A">
        <w:trPr>
          <w:trHeight w:val="1"/>
          <w:jc w:val="center"/>
        </w:trPr>
        <w:tc>
          <w:tcPr>
            <w:tcW w:w="3090" w:type="dxa"/>
            <w:tcBorders>
              <w:top w:val="nil"/>
              <w:bottom w:val="nil"/>
            </w:tcBorders>
            <w:shd w:val="clear" w:color="auto" w:fill="FFFFFF"/>
            <w:tcMar>
              <w:left w:w="108" w:type="dxa"/>
              <w:right w:w="108" w:type="dxa"/>
            </w:tcMar>
            <w:vAlign w:val="center"/>
          </w:tcPr>
          <w:p w14:paraId="7C28E188" w14:textId="77777777" w:rsidR="004371E3" w:rsidRPr="00B3575A" w:rsidRDefault="004371E3" w:rsidP="004371E3">
            <w:pPr>
              <w:spacing w:after="0" w:line="240" w:lineRule="auto"/>
              <w:ind w:left="60" w:right="60"/>
              <w:rPr>
                <w:rFonts w:ascii="Times New Roman" w:hAnsi="Times New Roman" w:cs="Times New Roman"/>
                <w:color w:val="000000"/>
                <w:sz w:val="20"/>
                <w:szCs w:val="20"/>
              </w:rPr>
            </w:pPr>
            <w:r w:rsidRPr="00B3575A">
              <w:rPr>
                <w:rFonts w:ascii="Times New Roman" w:hAnsi="Times New Roman" w:cs="Times New Roman"/>
                <w:color w:val="000000"/>
                <w:sz w:val="20"/>
                <w:szCs w:val="20"/>
              </w:rPr>
              <w:t>Above 20 Years</w:t>
            </w:r>
          </w:p>
        </w:tc>
        <w:tc>
          <w:tcPr>
            <w:tcW w:w="3085" w:type="dxa"/>
            <w:tcBorders>
              <w:top w:val="nil"/>
              <w:bottom w:val="nil"/>
            </w:tcBorders>
            <w:shd w:val="clear" w:color="auto" w:fill="FFFFFF"/>
            <w:tcMar>
              <w:left w:w="108" w:type="dxa"/>
              <w:right w:w="108" w:type="dxa"/>
            </w:tcMar>
          </w:tcPr>
          <w:p w14:paraId="47611EE8" w14:textId="77777777" w:rsidR="004371E3" w:rsidRPr="00B3575A" w:rsidRDefault="004371E3" w:rsidP="004371E3">
            <w:pPr>
              <w:spacing w:after="0" w:line="240" w:lineRule="auto"/>
              <w:ind w:left="60" w:right="60"/>
              <w:rPr>
                <w:rFonts w:ascii="Times New Roman" w:hAnsi="Times New Roman" w:cs="Times New Roman"/>
                <w:color w:val="000000"/>
                <w:sz w:val="20"/>
                <w:szCs w:val="20"/>
              </w:rPr>
            </w:pPr>
            <w:r w:rsidRPr="00B3575A">
              <w:rPr>
                <w:rFonts w:ascii="Times New Roman" w:hAnsi="Times New Roman" w:cs="Times New Roman"/>
                <w:color w:val="000000"/>
                <w:sz w:val="20"/>
                <w:szCs w:val="20"/>
              </w:rPr>
              <w:t>7</w:t>
            </w:r>
          </w:p>
        </w:tc>
        <w:tc>
          <w:tcPr>
            <w:tcW w:w="1665" w:type="dxa"/>
            <w:tcBorders>
              <w:top w:val="nil"/>
              <w:bottom w:val="nil"/>
            </w:tcBorders>
            <w:shd w:val="clear" w:color="auto" w:fill="FFFFFF"/>
            <w:tcMar>
              <w:left w:w="108" w:type="dxa"/>
              <w:right w:w="108" w:type="dxa"/>
            </w:tcMar>
          </w:tcPr>
          <w:p w14:paraId="73EB97E6" w14:textId="77777777" w:rsidR="004371E3" w:rsidRPr="00B3575A" w:rsidRDefault="004371E3" w:rsidP="004371E3">
            <w:pPr>
              <w:spacing w:after="0" w:line="240" w:lineRule="auto"/>
              <w:ind w:left="60" w:right="60"/>
              <w:rPr>
                <w:rFonts w:ascii="Times New Roman" w:hAnsi="Times New Roman" w:cs="Times New Roman"/>
                <w:color w:val="000000"/>
                <w:sz w:val="20"/>
                <w:szCs w:val="20"/>
              </w:rPr>
            </w:pPr>
            <w:r w:rsidRPr="00B3575A">
              <w:rPr>
                <w:rFonts w:ascii="Times New Roman" w:hAnsi="Times New Roman" w:cs="Times New Roman"/>
                <w:color w:val="000000"/>
                <w:sz w:val="20"/>
                <w:szCs w:val="20"/>
              </w:rPr>
              <w:t>14</w:t>
            </w:r>
          </w:p>
        </w:tc>
      </w:tr>
      <w:tr w:rsidR="004371E3" w:rsidRPr="00B3575A" w14:paraId="7F8BA968" w14:textId="77777777" w:rsidTr="00B3575A">
        <w:trPr>
          <w:trHeight w:val="1"/>
          <w:jc w:val="center"/>
        </w:trPr>
        <w:tc>
          <w:tcPr>
            <w:tcW w:w="3090" w:type="dxa"/>
            <w:tcBorders>
              <w:top w:val="nil"/>
              <w:bottom w:val="single" w:sz="4" w:space="0" w:color="000000"/>
            </w:tcBorders>
            <w:shd w:val="clear" w:color="auto" w:fill="FFFFFF"/>
            <w:tcMar>
              <w:left w:w="108" w:type="dxa"/>
              <w:right w:w="108" w:type="dxa"/>
            </w:tcMar>
            <w:vAlign w:val="center"/>
          </w:tcPr>
          <w:p w14:paraId="21085F80" w14:textId="77777777" w:rsidR="004371E3" w:rsidRPr="00B3575A" w:rsidRDefault="004371E3" w:rsidP="004371E3">
            <w:pPr>
              <w:spacing w:after="0" w:line="240" w:lineRule="auto"/>
              <w:ind w:left="60" w:right="60"/>
              <w:rPr>
                <w:rFonts w:ascii="Times New Roman" w:hAnsi="Times New Roman" w:cs="Times New Roman"/>
                <w:b/>
                <w:bCs/>
                <w:sz w:val="20"/>
                <w:szCs w:val="20"/>
              </w:rPr>
            </w:pPr>
            <w:r w:rsidRPr="00B3575A">
              <w:rPr>
                <w:rFonts w:ascii="Times New Roman" w:hAnsi="Times New Roman" w:cs="Times New Roman"/>
                <w:b/>
                <w:bCs/>
                <w:color w:val="000000"/>
                <w:sz w:val="20"/>
                <w:szCs w:val="20"/>
              </w:rPr>
              <w:t>Total</w:t>
            </w:r>
          </w:p>
        </w:tc>
        <w:tc>
          <w:tcPr>
            <w:tcW w:w="3085" w:type="dxa"/>
            <w:tcBorders>
              <w:top w:val="nil"/>
              <w:bottom w:val="single" w:sz="4" w:space="0" w:color="000000"/>
            </w:tcBorders>
            <w:shd w:val="clear" w:color="auto" w:fill="FFFFFF"/>
            <w:tcMar>
              <w:left w:w="108" w:type="dxa"/>
              <w:right w:w="108" w:type="dxa"/>
            </w:tcMar>
          </w:tcPr>
          <w:p w14:paraId="59447D7A" w14:textId="77777777" w:rsidR="004371E3" w:rsidRPr="00B3575A" w:rsidRDefault="004371E3" w:rsidP="004371E3">
            <w:pPr>
              <w:spacing w:after="0" w:line="240" w:lineRule="auto"/>
              <w:ind w:left="60" w:right="60"/>
              <w:rPr>
                <w:rFonts w:ascii="Times New Roman" w:hAnsi="Times New Roman" w:cs="Times New Roman"/>
                <w:b/>
                <w:bCs/>
                <w:sz w:val="20"/>
                <w:szCs w:val="20"/>
              </w:rPr>
            </w:pPr>
            <w:r w:rsidRPr="00B3575A">
              <w:rPr>
                <w:rFonts w:ascii="Times New Roman" w:hAnsi="Times New Roman" w:cs="Times New Roman"/>
                <w:b/>
                <w:bCs/>
                <w:color w:val="000000"/>
                <w:sz w:val="20"/>
                <w:szCs w:val="20"/>
              </w:rPr>
              <w:t>50</w:t>
            </w:r>
          </w:p>
        </w:tc>
        <w:tc>
          <w:tcPr>
            <w:tcW w:w="1665" w:type="dxa"/>
            <w:tcBorders>
              <w:top w:val="nil"/>
              <w:bottom w:val="single" w:sz="4" w:space="0" w:color="000000"/>
            </w:tcBorders>
            <w:shd w:val="clear" w:color="auto" w:fill="FFFFFF"/>
            <w:tcMar>
              <w:left w:w="108" w:type="dxa"/>
              <w:right w:w="108" w:type="dxa"/>
            </w:tcMar>
          </w:tcPr>
          <w:p w14:paraId="338E9234" w14:textId="77777777" w:rsidR="004371E3" w:rsidRPr="00B3575A" w:rsidRDefault="004371E3" w:rsidP="004371E3">
            <w:pPr>
              <w:spacing w:after="0" w:line="240" w:lineRule="auto"/>
              <w:ind w:left="60" w:right="60"/>
              <w:rPr>
                <w:rFonts w:ascii="Times New Roman" w:hAnsi="Times New Roman" w:cs="Times New Roman"/>
                <w:b/>
                <w:bCs/>
                <w:sz w:val="20"/>
                <w:szCs w:val="20"/>
              </w:rPr>
            </w:pPr>
            <w:r w:rsidRPr="00B3575A">
              <w:rPr>
                <w:rFonts w:ascii="Times New Roman" w:hAnsi="Times New Roman" w:cs="Times New Roman"/>
                <w:b/>
                <w:bCs/>
                <w:color w:val="000000"/>
                <w:sz w:val="20"/>
                <w:szCs w:val="20"/>
              </w:rPr>
              <w:t>100.0</w:t>
            </w:r>
          </w:p>
        </w:tc>
      </w:tr>
    </w:tbl>
    <w:p w14:paraId="2BEEF6CA" w14:textId="77777777" w:rsidR="004371E3" w:rsidRDefault="004371E3" w:rsidP="004371E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From the above table, it is observed that out of 100% respondents that were used for this study, 26% choose less than 5 years, 38% also choose 6-10yrs, 28% choose 11-15yrs, 8% and 14% respectively choose 16-20yrs and above 20 years respectively. Hence majority of the respondents choose between 6-10years of experience.</w:t>
      </w:r>
    </w:p>
    <w:p w14:paraId="0E564DC7" w14:textId="77777777" w:rsidR="00B3575A" w:rsidRPr="00BE4AF3" w:rsidRDefault="00B3575A" w:rsidP="004371E3">
      <w:pPr>
        <w:spacing w:after="0" w:line="240" w:lineRule="auto"/>
        <w:jc w:val="both"/>
        <w:rPr>
          <w:rFonts w:ascii="Times New Roman" w:hAnsi="Times New Roman" w:cs="Times New Roman"/>
          <w:sz w:val="24"/>
          <w:szCs w:val="24"/>
        </w:rPr>
      </w:pPr>
    </w:p>
    <w:p w14:paraId="097E6E8A" w14:textId="77777777" w:rsidR="004371E3" w:rsidRPr="00B3575A" w:rsidRDefault="004371E3" w:rsidP="00B3575A">
      <w:pPr>
        <w:spacing w:after="0" w:line="240" w:lineRule="auto"/>
        <w:jc w:val="center"/>
        <w:rPr>
          <w:rFonts w:ascii="Times New Roman" w:hAnsi="Times New Roman" w:cs="Times New Roman"/>
          <w:bCs/>
          <w:sz w:val="24"/>
          <w:szCs w:val="24"/>
        </w:rPr>
      </w:pPr>
      <w:r w:rsidRPr="00BE4AF3">
        <w:rPr>
          <w:rFonts w:ascii="Times New Roman" w:hAnsi="Times New Roman" w:cs="Times New Roman"/>
          <w:b/>
          <w:sz w:val="24"/>
          <w:szCs w:val="24"/>
        </w:rPr>
        <w:t xml:space="preserve">Table 6: </w:t>
      </w:r>
      <w:r w:rsidRPr="00B3575A">
        <w:rPr>
          <w:rFonts w:ascii="Times New Roman" w:hAnsi="Times New Roman" w:cs="Times New Roman"/>
          <w:bCs/>
          <w:sz w:val="24"/>
          <w:szCs w:val="24"/>
        </w:rPr>
        <w:t>Professional Membership of Respondent</w:t>
      </w:r>
    </w:p>
    <w:tbl>
      <w:tblPr>
        <w:tblW w:w="8505" w:type="dxa"/>
        <w:jc w:val="center"/>
        <w:tblBorders>
          <w:top w:val="single" w:sz="4" w:space="0" w:color="000000"/>
          <w:bottom w:val="single" w:sz="4" w:space="0" w:color="000000"/>
        </w:tblBorders>
        <w:tblLayout w:type="fixed"/>
        <w:tblLook w:val="0000" w:firstRow="0" w:lastRow="0" w:firstColumn="0" w:lastColumn="0" w:noHBand="0" w:noVBand="0"/>
      </w:tblPr>
      <w:tblGrid>
        <w:gridCol w:w="3089"/>
        <w:gridCol w:w="3086"/>
        <w:gridCol w:w="2330"/>
      </w:tblGrid>
      <w:tr w:rsidR="004371E3" w:rsidRPr="00B473AC" w14:paraId="4D7594E9" w14:textId="77777777" w:rsidTr="00B3575A">
        <w:trPr>
          <w:trHeight w:val="1"/>
          <w:jc w:val="center"/>
        </w:trPr>
        <w:tc>
          <w:tcPr>
            <w:tcW w:w="3089" w:type="dxa"/>
            <w:tcBorders>
              <w:top w:val="single" w:sz="4" w:space="0" w:color="000000"/>
              <w:bottom w:val="single" w:sz="4" w:space="0" w:color="000000"/>
            </w:tcBorders>
            <w:shd w:val="clear" w:color="auto" w:fill="FFFFFF"/>
            <w:tcMar>
              <w:left w:w="108" w:type="dxa"/>
              <w:right w:w="108" w:type="dxa"/>
            </w:tcMar>
          </w:tcPr>
          <w:p w14:paraId="52635EBA" w14:textId="77777777" w:rsidR="004371E3" w:rsidRPr="00B473AC" w:rsidRDefault="004371E3" w:rsidP="004371E3">
            <w:pPr>
              <w:spacing w:after="0" w:line="240" w:lineRule="auto"/>
              <w:rPr>
                <w:rFonts w:ascii="Times New Roman" w:hAnsi="Times New Roman" w:cs="Times New Roman"/>
                <w:bCs/>
                <w:sz w:val="20"/>
                <w:szCs w:val="20"/>
              </w:rPr>
            </w:pPr>
            <w:r w:rsidRPr="00B473AC">
              <w:rPr>
                <w:rFonts w:ascii="Times New Roman" w:hAnsi="Times New Roman" w:cs="Times New Roman"/>
                <w:bCs/>
                <w:sz w:val="20"/>
                <w:szCs w:val="20"/>
              </w:rPr>
              <w:t>Professional membership of Respondent</w:t>
            </w:r>
          </w:p>
        </w:tc>
        <w:tc>
          <w:tcPr>
            <w:tcW w:w="3086" w:type="dxa"/>
            <w:tcBorders>
              <w:top w:val="single" w:sz="4" w:space="0" w:color="000000"/>
              <w:bottom w:val="single" w:sz="4" w:space="0" w:color="000000"/>
            </w:tcBorders>
            <w:shd w:val="clear" w:color="auto" w:fill="FFFFFF"/>
            <w:tcMar>
              <w:left w:w="108" w:type="dxa"/>
              <w:right w:w="108" w:type="dxa"/>
            </w:tcMar>
          </w:tcPr>
          <w:p w14:paraId="4935E10F" w14:textId="77777777" w:rsidR="004371E3" w:rsidRPr="00B473AC" w:rsidRDefault="004371E3" w:rsidP="004371E3">
            <w:pPr>
              <w:spacing w:after="0" w:line="240" w:lineRule="auto"/>
              <w:rPr>
                <w:rFonts w:ascii="Times New Roman" w:hAnsi="Times New Roman" w:cs="Times New Roman"/>
                <w:bCs/>
                <w:sz w:val="20"/>
                <w:szCs w:val="20"/>
              </w:rPr>
            </w:pPr>
            <w:r w:rsidRPr="00B473AC">
              <w:rPr>
                <w:rFonts w:ascii="Times New Roman" w:hAnsi="Times New Roman" w:cs="Times New Roman"/>
                <w:bCs/>
                <w:sz w:val="20"/>
                <w:szCs w:val="20"/>
              </w:rPr>
              <w:t>Frequency</w:t>
            </w:r>
          </w:p>
        </w:tc>
        <w:tc>
          <w:tcPr>
            <w:tcW w:w="2330" w:type="dxa"/>
            <w:tcBorders>
              <w:top w:val="single" w:sz="4" w:space="0" w:color="000000"/>
              <w:bottom w:val="single" w:sz="4" w:space="0" w:color="000000"/>
            </w:tcBorders>
            <w:shd w:val="clear" w:color="auto" w:fill="FFFFFF"/>
            <w:tcMar>
              <w:left w:w="108" w:type="dxa"/>
              <w:right w:w="108" w:type="dxa"/>
            </w:tcMar>
          </w:tcPr>
          <w:p w14:paraId="3307CDF9" w14:textId="77777777" w:rsidR="004371E3" w:rsidRPr="00B473AC" w:rsidRDefault="004371E3" w:rsidP="004371E3">
            <w:pPr>
              <w:spacing w:after="0" w:line="240" w:lineRule="auto"/>
              <w:rPr>
                <w:rFonts w:ascii="Times New Roman" w:hAnsi="Times New Roman" w:cs="Times New Roman"/>
                <w:bCs/>
                <w:sz w:val="20"/>
                <w:szCs w:val="20"/>
              </w:rPr>
            </w:pPr>
            <w:r w:rsidRPr="00B473AC">
              <w:rPr>
                <w:rFonts w:ascii="Times New Roman" w:hAnsi="Times New Roman" w:cs="Times New Roman"/>
                <w:bCs/>
                <w:sz w:val="20"/>
                <w:szCs w:val="20"/>
              </w:rPr>
              <w:t>Percentage</w:t>
            </w:r>
          </w:p>
        </w:tc>
      </w:tr>
      <w:tr w:rsidR="004371E3" w:rsidRPr="00B473AC" w14:paraId="68F0ACE5" w14:textId="77777777" w:rsidTr="00B3575A">
        <w:trPr>
          <w:trHeight w:val="1"/>
          <w:jc w:val="center"/>
        </w:trPr>
        <w:tc>
          <w:tcPr>
            <w:tcW w:w="3089" w:type="dxa"/>
            <w:tcBorders>
              <w:top w:val="single" w:sz="4" w:space="0" w:color="000000"/>
            </w:tcBorders>
            <w:shd w:val="clear" w:color="auto" w:fill="FFFFFF"/>
            <w:tcMar>
              <w:left w:w="108" w:type="dxa"/>
              <w:right w:w="108" w:type="dxa"/>
            </w:tcMar>
            <w:vAlign w:val="center"/>
          </w:tcPr>
          <w:p w14:paraId="32DE851D" w14:textId="77777777" w:rsidR="004371E3" w:rsidRPr="00B473AC" w:rsidRDefault="004371E3" w:rsidP="004371E3">
            <w:pPr>
              <w:spacing w:after="0" w:line="240" w:lineRule="auto"/>
              <w:ind w:left="60" w:right="60"/>
              <w:rPr>
                <w:rFonts w:ascii="Times New Roman" w:hAnsi="Times New Roman" w:cs="Times New Roman"/>
                <w:sz w:val="20"/>
                <w:szCs w:val="20"/>
              </w:rPr>
            </w:pPr>
            <w:r w:rsidRPr="00B473AC">
              <w:rPr>
                <w:rFonts w:ascii="Times New Roman" w:hAnsi="Times New Roman" w:cs="Times New Roman"/>
                <w:color w:val="000000"/>
                <w:sz w:val="20"/>
                <w:szCs w:val="20"/>
              </w:rPr>
              <w:t>NIA</w:t>
            </w:r>
          </w:p>
        </w:tc>
        <w:tc>
          <w:tcPr>
            <w:tcW w:w="3086" w:type="dxa"/>
            <w:tcBorders>
              <w:top w:val="single" w:sz="4" w:space="0" w:color="000000"/>
            </w:tcBorders>
            <w:shd w:val="clear" w:color="auto" w:fill="FFFFFF"/>
            <w:tcMar>
              <w:left w:w="108" w:type="dxa"/>
              <w:right w:w="108" w:type="dxa"/>
            </w:tcMar>
          </w:tcPr>
          <w:p w14:paraId="1DA5748A" w14:textId="77777777" w:rsidR="004371E3" w:rsidRPr="00B473AC" w:rsidRDefault="004371E3" w:rsidP="004371E3">
            <w:pPr>
              <w:spacing w:after="0" w:line="240" w:lineRule="auto"/>
              <w:ind w:left="60" w:right="60"/>
              <w:rPr>
                <w:rFonts w:ascii="Times New Roman" w:hAnsi="Times New Roman" w:cs="Times New Roman"/>
                <w:sz w:val="20"/>
                <w:szCs w:val="20"/>
              </w:rPr>
            </w:pPr>
            <w:r w:rsidRPr="00B473AC">
              <w:rPr>
                <w:rFonts w:ascii="Times New Roman" w:hAnsi="Times New Roman" w:cs="Times New Roman"/>
                <w:color w:val="000000"/>
                <w:sz w:val="20"/>
                <w:szCs w:val="20"/>
              </w:rPr>
              <w:t>6</w:t>
            </w:r>
          </w:p>
        </w:tc>
        <w:tc>
          <w:tcPr>
            <w:tcW w:w="2330" w:type="dxa"/>
            <w:tcBorders>
              <w:top w:val="single" w:sz="4" w:space="0" w:color="000000"/>
            </w:tcBorders>
            <w:shd w:val="clear" w:color="auto" w:fill="FFFFFF"/>
            <w:tcMar>
              <w:left w:w="108" w:type="dxa"/>
              <w:right w:w="108" w:type="dxa"/>
            </w:tcMar>
          </w:tcPr>
          <w:p w14:paraId="6F74A527" w14:textId="77777777" w:rsidR="004371E3" w:rsidRPr="00B473AC" w:rsidRDefault="004371E3" w:rsidP="004371E3">
            <w:pPr>
              <w:spacing w:after="0" w:line="240" w:lineRule="auto"/>
              <w:ind w:left="60" w:right="60"/>
              <w:rPr>
                <w:rFonts w:ascii="Times New Roman" w:hAnsi="Times New Roman" w:cs="Times New Roman"/>
                <w:sz w:val="20"/>
                <w:szCs w:val="20"/>
              </w:rPr>
            </w:pPr>
            <w:r w:rsidRPr="00B473AC">
              <w:rPr>
                <w:rFonts w:ascii="Times New Roman" w:hAnsi="Times New Roman" w:cs="Times New Roman"/>
                <w:color w:val="000000"/>
                <w:sz w:val="20"/>
                <w:szCs w:val="20"/>
              </w:rPr>
              <w:t>12</w:t>
            </w:r>
          </w:p>
        </w:tc>
      </w:tr>
      <w:tr w:rsidR="004371E3" w:rsidRPr="00B473AC" w14:paraId="1DE04DFC" w14:textId="77777777" w:rsidTr="00B3575A">
        <w:trPr>
          <w:trHeight w:val="1"/>
          <w:jc w:val="center"/>
        </w:trPr>
        <w:tc>
          <w:tcPr>
            <w:tcW w:w="3089" w:type="dxa"/>
            <w:shd w:val="clear" w:color="auto" w:fill="FFFFFF"/>
            <w:tcMar>
              <w:left w:w="108" w:type="dxa"/>
              <w:right w:w="108" w:type="dxa"/>
            </w:tcMar>
            <w:vAlign w:val="center"/>
          </w:tcPr>
          <w:p w14:paraId="7425C466" w14:textId="77777777" w:rsidR="004371E3" w:rsidRPr="00B473AC" w:rsidRDefault="004371E3" w:rsidP="004371E3">
            <w:pPr>
              <w:spacing w:after="0" w:line="240" w:lineRule="auto"/>
              <w:ind w:left="60" w:right="60"/>
              <w:rPr>
                <w:rFonts w:ascii="Times New Roman" w:hAnsi="Times New Roman" w:cs="Times New Roman"/>
                <w:sz w:val="20"/>
                <w:szCs w:val="20"/>
              </w:rPr>
            </w:pPr>
            <w:r w:rsidRPr="00B473AC">
              <w:rPr>
                <w:rFonts w:ascii="Times New Roman" w:hAnsi="Times New Roman" w:cs="Times New Roman"/>
                <w:color w:val="000000"/>
                <w:sz w:val="20"/>
                <w:szCs w:val="20"/>
              </w:rPr>
              <w:t>NIOB</w:t>
            </w:r>
          </w:p>
        </w:tc>
        <w:tc>
          <w:tcPr>
            <w:tcW w:w="3086" w:type="dxa"/>
            <w:shd w:val="clear" w:color="auto" w:fill="FFFFFF"/>
            <w:tcMar>
              <w:left w:w="108" w:type="dxa"/>
              <w:right w:w="108" w:type="dxa"/>
            </w:tcMar>
          </w:tcPr>
          <w:p w14:paraId="67EC7CE1" w14:textId="77777777" w:rsidR="004371E3" w:rsidRPr="00B473AC" w:rsidRDefault="004371E3" w:rsidP="004371E3">
            <w:pPr>
              <w:spacing w:after="0" w:line="240" w:lineRule="auto"/>
              <w:ind w:left="60" w:right="60"/>
              <w:rPr>
                <w:rFonts w:ascii="Times New Roman" w:hAnsi="Times New Roman" w:cs="Times New Roman"/>
                <w:sz w:val="20"/>
                <w:szCs w:val="20"/>
              </w:rPr>
            </w:pPr>
            <w:r w:rsidRPr="00B473AC">
              <w:rPr>
                <w:rFonts w:ascii="Times New Roman" w:hAnsi="Times New Roman" w:cs="Times New Roman"/>
                <w:color w:val="000000"/>
                <w:sz w:val="20"/>
                <w:szCs w:val="20"/>
              </w:rPr>
              <w:t>8</w:t>
            </w:r>
          </w:p>
        </w:tc>
        <w:tc>
          <w:tcPr>
            <w:tcW w:w="2330" w:type="dxa"/>
            <w:shd w:val="clear" w:color="auto" w:fill="FFFFFF"/>
            <w:tcMar>
              <w:left w:w="108" w:type="dxa"/>
              <w:right w:w="108" w:type="dxa"/>
            </w:tcMar>
          </w:tcPr>
          <w:p w14:paraId="767FBF71" w14:textId="77777777" w:rsidR="004371E3" w:rsidRPr="00B473AC" w:rsidRDefault="004371E3" w:rsidP="004371E3">
            <w:pPr>
              <w:spacing w:after="0" w:line="240" w:lineRule="auto"/>
              <w:ind w:left="60" w:right="60"/>
              <w:rPr>
                <w:rFonts w:ascii="Times New Roman" w:hAnsi="Times New Roman" w:cs="Times New Roman"/>
                <w:sz w:val="20"/>
                <w:szCs w:val="20"/>
              </w:rPr>
            </w:pPr>
            <w:r w:rsidRPr="00B473AC">
              <w:rPr>
                <w:rFonts w:ascii="Times New Roman" w:hAnsi="Times New Roman" w:cs="Times New Roman"/>
                <w:color w:val="000000"/>
                <w:sz w:val="20"/>
                <w:szCs w:val="20"/>
              </w:rPr>
              <w:t>16</w:t>
            </w:r>
          </w:p>
        </w:tc>
      </w:tr>
      <w:tr w:rsidR="004371E3" w:rsidRPr="00B473AC" w14:paraId="52F84936" w14:textId="77777777" w:rsidTr="00B3575A">
        <w:trPr>
          <w:trHeight w:val="1"/>
          <w:jc w:val="center"/>
        </w:trPr>
        <w:tc>
          <w:tcPr>
            <w:tcW w:w="3089" w:type="dxa"/>
            <w:tcBorders>
              <w:bottom w:val="nil"/>
            </w:tcBorders>
            <w:shd w:val="clear" w:color="auto" w:fill="FFFFFF"/>
            <w:tcMar>
              <w:left w:w="108" w:type="dxa"/>
              <w:right w:w="108" w:type="dxa"/>
            </w:tcMar>
            <w:vAlign w:val="center"/>
          </w:tcPr>
          <w:p w14:paraId="411C80CF" w14:textId="77777777" w:rsidR="004371E3" w:rsidRPr="00B473AC" w:rsidRDefault="004371E3" w:rsidP="004371E3">
            <w:pPr>
              <w:spacing w:after="0" w:line="240" w:lineRule="auto"/>
              <w:ind w:left="60" w:right="60"/>
              <w:rPr>
                <w:rFonts w:ascii="Times New Roman" w:hAnsi="Times New Roman" w:cs="Times New Roman"/>
                <w:sz w:val="20"/>
                <w:szCs w:val="20"/>
              </w:rPr>
            </w:pPr>
            <w:r w:rsidRPr="00B473AC">
              <w:rPr>
                <w:rFonts w:ascii="Times New Roman" w:hAnsi="Times New Roman" w:cs="Times New Roman"/>
                <w:color w:val="000000"/>
                <w:sz w:val="20"/>
                <w:szCs w:val="20"/>
              </w:rPr>
              <w:t>NSE</w:t>
            </w:r>
          </w:p>
        </w:tc>
        <w:tc>
          <w:tcPr>
            <w:tcW w:w="3086" w:type="dxa"/>
            <w:tcBorders>
              <w:bottom w:val="nil"/>
            </w:tcBorders>
            <w:shd w:val="clear" w:color="auto" w:fill="FFFFFF"/>
            <w:tcMar>
              <w:left w:w="108" w:type="dxa"/>
              <w:right w:w="108" w:type="dxa"/>
            </w:tcMar>
          </w:tcPr>
          <w:p w14:paraId="7D864AE1" w14:textId="77777777" w:rsidR="004371E3" w:rsidRPr="00B473AC" w:rsidRDefault="004371E3" w:rsidP="004371E3">
            <w:pPr>
              <w:spacing w:after="0" w:line="240" w:lineRule="auto"/>
              <w:ind w:left="60" w:right="60"/>
              <w:rPr>
                <w:rFonts w:ascii="Times New Roman" w:hAnsi="Times New Roman" w:cs="Times New Roman"/>
                <w:sz w:val="20"/>
                <w:szCs w:val="20"/>
              </w:rPr>
            </w:pPr>
            <w:r w:rsidRPr="00B473AC">
              <w:rPr>
                <w:rFonts w:ascii="Times New Roman" w:hAnsi="Times New Roman" w:cs="Times New Roman"/>
                <w:sz w:val="20"/>
                <w:szCs w:val="20"/>
              </w:rPr>
              <w:t>12</w:t>
            </w:r>
          </w:p>
        </w:tc>
        <w:tc>
          <w:tcPr>
            <w:tcW w:w="2330" w:type="dxa"/>
            <w:tcBorders>
              <w:bottom w:val="nil"/>
            </w:tcBorders>
            <w:shd w:val="clear" w:color="auto" w:fill="FFFFFF"/>
            <w:tcMar>
              <w:left w:w="108" w:type="dxa"/>
              <w:right w:w="108" w:type="dxa"/>
            </w:tcMar>
          </w:tcPr>
          <w:p w14:paraId="23F39718" w14:textId="77777777" w:rsidR="004371E3" w:rsidRPr="00B473AC" w:rsidRDefault="004371E3" w:rsidP="004371E3">
            <w:pPr>
              <w:spacing w:after="0" w:line="240" w:lineRule="auto"/>
              <w:ind w:left="60" w:right="60"/>
              <w:rPr>
                <w:rFonts w:ascii="Times New Roman" w:hAnsi="Times New Roman" w:cs="Times New Roman"/>
                <w:sz w:val="20"/>
                <w:szCs w:val="20"/>
              </w:rPr>
            </w:pPr>
            <w:r w:rsidRPr="00B473AC">
              <w:rPr>
                <w:rFonts w:ascii="Times New Roman" w:hAnsi="Times New Roman" w:cs="Times New Roman"/>
                <w:sz w:val="20"/>
                <w:szCs w:val="20"/>
              </w:rPr>
              <w:t>24</w:t>
            </w:r>
          </w:p>
        </w:tc>
      </w:tr>
      <w:tr w:rsidR="004371E3" w:rsidRPr="00B473AC" w14:paraId="252F5E32" w14:textId="77777777" w:rsidTr="00B3575A">
        <w:trPr>
          <w:trHeight w:val="1"/>
          <w:jc w:val="center"/>
        </w:trPr>
        <w:tc>
          <w:tcPr>
            <w:tcW w:w="3089" w:type="dxa"/>
            <w:tcBorders>
              <w:top w:val="nil"/>
              <w:bottom w:val="nil"/>
            </w:tcBorders>
            <w:shd w:val="clear" w:color="auto" w:fill="FFFFFF"/>
            <w:tcMar>
              <w:left w:w="108" w:type="dxa"/>
              <w:right w:w="108" w:type="dxa"/>
            </w:tcMar>
            <w:vAlign w:val="center"/>
          </w:tcPr>
          <w:p w14:paraId="1A1D8020" w14:textId="77777777" w:rsidR="004371E3" w:rsidRPr="00B473AC" w:rsidRDefault="004371E3" w:rsidP="004371E3">
            <w:pPr>
              <w:spacing w:after="0" w:line="240" w:lineRule="auto"/>
              <w:ind w:right="60"/>
              <w:rPr>
                <w:rFonts w:ascii="Times New Roman" w:hAnsi="Times New Roman" w:cs="Times New Roman"/>
                <w:sz w:val="20"/>
                <w:szCs w:val="20"/>
              </w:rPr>
            </w:pPr>
            <w:r w:rsidRPr="00B473AC">
              <w:rPr>
                <w:rFonts w:ascii="Times New Roman" w:hAnsi="Times New Roman" w:cs="Times New Roman"/>
                <w:sz w:val="20"/>
                <w:szCs w:val="20"/>
              </w:rPr>
              <w:t>NIQS</w:t>
            </w:r>
          </w:p>
        </w:tc>
        <w:tc>
          <w:tcPr>
            <w:tcW w:w="3086" w:type="dxa"/>
            <w:tcBorders>
              <w:top w:val="nil"/>
              <w:bottom w:val="nil"/>
            </w:tcBorders>
            <w:shd w:val="clear" w:color="auto" w:fill="FFFFFF"/>
            <w:tcMar>
              <w:left w:w="108" w:type="dxa"/>
              <w:right w:w="108" w:type="dxa"/>
            </w:tcMar>
          </w:tcPr>
          <w:p w14:paraId="78C9077D" w14:textId="77777777" w:rsidR="004371E3" w:rsidRPr="00B473AC" w:rsidRDefault="004371E3" w:rsidP="004371E3">
            <w:pPr>
              <w:spacing w:after="0" w:line="240" w:lineRule="auto"/>
              <w:ind w:left="60" w:right="60"/>
              <w:rPr>
                <w:rFonts w:ascii="Times New Roman" w:hAnsi="Times New Roman" w:cs="Times New Roman"/>
                <w:sz w:val="20"/>
                <w:szCs w:val="20"/>
              </w:rPr>
            </w:pPr>
            <w:r w:rsidRPr="00B473AC">
              <w:rPr>
                <w:rFonts w:ascii="Times New Roman" w:hAnsi="Times New Roman" w:cs="Times New Roman"/>
                <w:color w:val="000000"/>
                <w:sz w:val="20"/>
                <w:szCs w:val="20"/>
              </w:rPr>
              <w:t>24</w:t>
            </w:r>
          </w:p>
        </w:tc>
        <w:tc>
          <w:tcPr>
            <w:tcW w:w="2330" w:type="dxa"/>
            <w:tcBorders>
              <w:top w:val="nil"/>
              <w:bottom w:val="nil"/>
            </w:tcBorders>
            <w:shd w:val="clear" w:color="auto" w:fill="FFFFFF"/>
            <w:tcMar>
              <w:left w:w="108" w:type="dxa"/>
              <w:right w:w="108" w:type="dxa"/>
            </w:tcMar>
          </w:tcPr>
          <w:p w14:paraId="53314BA2" w14:textId="77777777" w:rsidR="004371E3" w:rsidRPr="00B473AC" w:rsidRDefault="004371E3" w:rsidP="004371E3">
            <w:pPr>
              <w:spacing w:after="0" w:line="240" w:lineRule="auto"/>
              <w:ind w:left="60" w:right="60"/>
              <w:rPr>
                <w:rFonts w:ascii="Times New Roman" w:hAnsi="Times New Roman" w:cs="Times New Roman"/>
                <w:sz w:val="20"/>
                <w:szCs w:val="20"/>
              </w:rPr>
            </w:pPr>
            <w:r w:rsidRPr="00B473AC">
              <w:rPr>
                <w:rFonts w:ascii="Times New Roman" w:hAnsi="Times New Roman" w:cs="Times New Roman"/>
                <w:color w:val="000000"/>
                <w:sz w:val="20"/>
                <w:szCs w:val="20"/>
              </w:rPr>
              <w:t>48</w:t>
            </w:r>
          </w:p>
        </w:tc>
      </w:tr>
      <w:tr w:rsidR="004371E3" w:rsidRPr="00B473AC" w14:paraId="6D90D1D2" w14:textId="77777777" w:rsidTr="00B3575A">
        <w:trPr>
          <w:trHeight w:val="1"/>
          <w:jc w:val="center"/>
        </w:trPr>
        <w:tc>
          <w:tcPr>
            <w:tcW w:w="3089" w:type="dxa"/>
            <w:tcBorders>
              <w:top w:val="nil"/>
              <w:bottom w:val="single" w:sz="4" w:space="0" w:color="000000"/>
            </w:tcBorders>
            <w:shd w:val="clear" w:color="auto" w:fill="FFFFFF"/>
            <w:tcMar>
              <w:left w:w="108" w:type="dxa"/>
              <w:right w:w="108" w:type="dxa"/>
            </w:tcMar>
            <w:vAlign w:val="center"/>
          </w:tcPr>
          <w:p w14:paraId="253D5D90" w14:textId="77777777" w:rsidR="004371E3" w:rsidRPr="00B473AC" w:rsidRDefault="004371E3" w:rsidP="004371E3">
            <w:pPr>
              <w:spacing w:after="0" w:line="240" w:lineRule="auto"/>
              <w:ind w:right="60"/>
              <w:rPr>
                <w:rFonts w:ascii="Times New Roman" w:hAnsi="Times New Roman" w:cs="Times New Roman"/>
                <w:b/>
                <w:sz w:val="20"/>
                <w:szCs w:val="20"/>
              </w:rPr>
            </w:pPr>
            <w:r w:rsidRPr="00B473AC">
              <w:rPr>
                <w:rFonts w:ascii="Times New Roman" w:hAnsi="Times New Roman" w:cs="Times New Roman"/>
                <w:b/>
                <w:color w:val="000000"/>
                <w:sz w:val="20"/>
                <w:szCs w:val="20"/>
              </w:rPr>
              <w:t>Total</w:t>
            </w:r>
          </w:p>
        </w:tc>
        <w:tc>
          <w:tcPr>
            <w:tcW w:w="3086" w:type="dxa"/>
            <w:tcBorders>
              <w:top w:val="nil"/>
              <w:bottom w:val="single" w:sz="4" w:space="0" w:color="000000"/>
            </w:tcBorders>
            <w:shd w:val="clear" w:color="auto" w:fill="FFFFFF"/>
            <w:tcMar>
              <w:left w:w="108" w:type="dxa"/>
              <w:right w:w="108" w:type="dxa"/>
            </w:tcMar>
          </w:tcPr>
          <w:p w14:paraId="3E3B1609" w14:textId="77777777" w:rsidR="004371E3" w:rsidRPr="00B473AC" w:rsidRDefault="004371E3" w:rsidP="004371E3">
            <w:pPr>
              <w:spacing w:after="0" w:line="240" w:lineRule="auto"/>
              <w:ind w:left="60" w:right="60"/>
              <w:rPr>
                <w:rFonts w:ascii="Times New Roman" w:hAnsi="Times New Roman" w:cs="Times New Roman"/>
                <w:b/>
                <w:sz w:val="20"/>
                <w:szCs w:val="20"/>
              </w:rPr>
            </w:pPr>
            <w:r w:rsidRPr="00B473AC">
              <w:rPr>
                <w:rFonts w:ascii="Times New Roman" w:hAnsi="Times New Roman" w:cs="Times New Roman"/>
                <w:b/>
                <w:color w:val="000000"/>
                <w:sz w:val="20"/>
                <w:szCs w:val="20"/>
              </w:rPr>
              <w:t>50</w:t>
            </w:r>
          </w:p>
        </w:tc>
        <w:tc>
          <w:tcPr>
            <w:tcW w:w="2330" w:type="dxa"/>
            <w:tcBorders>
              <w:top w:val="nil"/>
              <w:bottom w:val="single" w:sz="4" w:space="0" w:color="000000"/>
            </w:tcBorders>
            <w:shd w:val="clear" w:color="auto" w:fill="FFFFFF"/>
            <w:tcMar>
              <w:left w:w="108" w:type="dxa"/>
              <w:right w:w="108" w:type="dxa"/>
            </w:tcMar>
          </w:tcPr>
          <w:p w14:paraId="7BC91E00" w14:textId="77777777" w:rsidR="004371E3" w:rsidRPr="00B473AC" w:rsidRDefault="004371E3" w:rsidP="004371E3">
            <w:pPr>
              <w:spacing w:after="0" w:line="240" w:lineRule="auto"/>
              <w:ind w:left="60" w:right="60"/>
              <w:rPr>
                <w:rFonts w:ascii="Times New Roman" w:hAnsi="Times New Roman" w:cs="Times New Roman"/>
                <w:b/>
                <w:sz w:val="20"/>
                <w:szCs w:val="20"/>
              </w:rPr>
            </w:pPr>
            <w:r w:rsidRPr="00B473AC">
              <w:rPr>
                <w:rFonts w:ascii="Times New Roman" w:hAnsi="Times New Roman" w:cs="Times New Roman"/>
                <w:b/>
                <w:color w:val="000000"/>
                <w:sz w:val="20"/>
                <w:szCs w:val="20"/>
              </w:rPr>
              <w:t>100.0</w:t>
            </w:r>
          </w:p>
        </w:tc>
      </w:tr>
    </w:tbl>
    <w:p w14:paraId="67CE4DD0" w14:textId="77777777" w:rsidR="004371E3" w:rsidRPr="00BE4AF3" w:rsidRDefault="004371E3" w:rsidP="004371E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From the above table, it is observed that out of 100% respondents that were used for this study 36% were from NIA, 22% were from NIOS, while 8% and 34% were from NSE and NIQS. Hence majority of the respondents were from NIA. </w:t>
      </w:r>
    </w:p>
    <w:p w14:paraId="73B4871F" w14:textId="77777777" w:rsidR="00B3575A" w:rsidRDefault="00B3575A" w:rsidP="004371E3">
      <w:pPr>
        <w:spacing w:after="0" w:line="240" w:lineRule="auto"/>
        <w:jc w:val="both"/>
        <w:rPr>
          <w:rFonts w:ascii="Times New Roman" w:hAnsi="Times New Roman" w:cs="Times New Roman"/>
          <w:b/>
          <w:sz w:val="24"/>
          <w:szCs w:val="24"/>
        </w:rPr>
      </w:pPr>
    </w:p>
    <w:p w14:paraId="708C0D62" w14:textId="3FDF4706" w:rsidR="004371E3" w:rsidRPr="00BE4AF3" w:rsidRDefault="004371E3" w:rsidP="004371E3">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Research Question 1</w:t>
      </w:r>
    </w:p>
    <w:p w14:paraId="47EA6D39" w14:textId="77777777" w:rsidR="004371E3" w:rsidRDefault="004371E3" w:rsidP="004371E3">
      <w:pPr>
        <w:spacing w:after="0" w:line="240" w:lineRule="auto"/>
        <w:ind w:firstLine="720"/>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What is the level of awareness of supply chain by supply chain managers in construction industry in Abuja, Nigeria?</w:t>
      </w:r>
    </w:p>
    <w:p w14:paraId="64A5E2A2" w14:textId="77777777" w:rsidR="00B3575A" w:rsidRPr="00BE4AF3" w:rsidRDefault="00B3575A" w:rsidP="004371E3">
      <w:pPr>
        <w:spacing w:after="0" w:line="240" w:lineRule="auto"/>
        <w:ind w:firstLine="720"/>
        <w:jc w:val="both"/>
        <w:rPr>
          <w:rFonts w:ascii="Times New Roman" w:hAnsi="Times New Roman" w:cs="Times New Roman"/>
          <w:color w:val="000000"/>
          <w:sz w:val="24"/>
          <w:szCs w:val="24"/>
        </w:rPr>
      </w:pPr>
    </w:p>
    <w:p w14:paraId="076D1108" w14:textId="77777777" w:rsidR="004371E3" w:rsidRPr="00B3575A" w:rsidRDefault="004371E3" w:rsidP="004371E3">
      <w:pPr>
        <w:pBdr>
          <w:top w:val="nil"/>
          <w:left w:val="nil"/>
          <w:bottom w:val="nil"/>
          <w:right w:val="nil"/>
          <w:between w:val="nil"/>
        </w:pBdr>
        <w:spacing w:after="0" w:line="240" w:lineRule="auto"/>
        <w:jc w:val="both"/>
        <w:rPr>
          <w:rFonts w:ascii="Times New Roman" w:hAnsi="Times New Roman" w:cs="Times New Roman"/>
          <w:bCs/>
          <w:color w:val="000000"/>
          <w:sz w:val="24"/>
          <w:szCs w:val="24"/>
        </w:rPr>
      </w:pPr>
      <w:r w:rsidRPr="00BE4AF3">
        <w:rPr>
          <w:rFonts w:ascii="Times New Roman" w:hAnsi="Times New Roman" w:cs="Times New Roman"/>
          <w:b/>
          <w:color w:val="000000"/>
          <w:sz w:val="24"/>
          <w:szCs w:val="24"/>
        </w:rPr>
        <w:t xml:space="preserve">Table 7: </w:t>
      </w:r>
      <w:r w:rsidRPr="00B3575A">
        <w:rPr>
          <w:rFonts w:ascii="Times New Roman" w:hAnsi="Times New Roman" w:cs="Times New Roman"/>
          <w:bCs/>
          <w:color w:val="0E101A"/>
          <w:sz w:val="24"/>
          <w:szCs w:val="24"/>
        </w:rPr>
        <w:t xml:space="preserve">Level of Awareness of Supply Chain by Supply Chain Managers in Construction Industry </w:t>
      </w:r>
    </w:p>
    <w:tbl>
      <w:tblPr>
        <w:tblW w:w="9066" w:type="dxa"/>
        <w:jc w:val="center"/>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723"/>
        <w:gridCol w:w="3672"/>
        <w:gridCol w:w="617"/>
        <w:gridCol w:w="589"/>
        <w:gridCol w:w="619"/>
        <w:gridCol w:w="556"/>
        <w:gridCol w:w="803"/>
        <w:gridCol w:w="710"/>
        <w:gridCol w:w="777"/>
      </w:tblGrid>
      <w:tr w:rsidR="004371E3" w:rsidRPr="00B3575A" w14:paraId="17593FC8" w14:textId="77777777" w:rsidTr="00B3575A">
        <w:trPr>
          <w:jc w:val="center"/>
        </w:trPr>
        <w:tc>
          <w:tcPr>
            <w:tcW w:w="723" w:type="dxa"/>
            <w:tcBorders>
              <w:top w:val="single" w:sz="4" w:space="0" w:color="000000"/>
              <w:left w:val="nil"/>
              <w:bottom w:val="single" w:sz="4" w:space="0" w:color="000000"/>
              <w:right w:val="nil"/>
            </w:tcBorders>
          </w:tcPr>
          <w:p w14:paraId="7E3313E7" w14:textId="77777777" w:rsidR="004371E3" w:rsidRPr="00B3575A" w:rsidRDefault="004371E3" w:rsidP="00B3575A">
            <w:pPr>
              <w:spacing w:after="0" w:line="240" w:lineRule="auto"/>
              <w:jc w:val="both"/>
              <w:rPr>
                <w:rFonts w:ascii="Times New Roman" w:hAnsi="Times New Roman" w:cs="Times New Roman"/>
                <w:bCs/>
                <w:sz w:val="20"/>
                <w:szCs w:val="20"/>
              </w:rPr>
            </w:pPr>
            <w:bookmarkStart w:id="55" w:name="_e503afpipoc" w:colFirst="0" w:colLast="0"/>
            <w:bookmarkEnd w:id="55"/>
            <w:r w:rsidRPr="00B3575A">
              <w:rPr>
                <w:rFonts w:ascii="Times New Roman" w:hAnsi="Times New Roman" w:cs="Times New Roman"/>
                <w:bCs/>
                <w:sz w:val="20"/>
                <w:szCs w:val="20"/>
              </w:rPr>
              <w:t>S/No</w:t>
            </w:r>
          </w:p>
        </w:tc>
        <w:tc>
          <w:tcPr>
            <w:tcW w:w="3672" w:type="dxa"/>
            <w:tcBorders>
              <w:top w:val="single" w:sz="4" w:space="0" w:color="000000"/>
              <w:left w:val="nil"/>
              <w:bottom w:val="single" w:sz="4" w:space="0" w:color="000000"/>
              <w:right w:val="nil"/>
            </w:tcBorders>
          </w:tcPr>
          <w:p w14:paraId="088F875F" w14:textId="77777777" w:rsidR="004371E3" w:rsidRPr="00B3575A" w:rsidRDefault="004371E3" w:rsidP="00B3575A">
            <w:pPr>
              <w:pBdr>
                <w:top w:val="nil"/>
                <w:left w:val="nil"/>
                <w:bottom w:val="nil"/>
                <w:right w:val="nil"/>
                <w:between w:val="nil"/>
              </w:pBdr>
              <w:spacing w:after="0" w:line="240" w:lineRule="auto"/>
              <w:jc w:val="both"/>
              <w:rPr>
                <w:rFonts w:ascii="Times New Roman" w:hAnsi="Times New Roman" w:cs="Times New Roman"/>
                <w:bCs/>
                <w:color w:val="0E101A"/>
                <w:sz w:val="20"/>
                <w:szCs w:val="20"/>
              </w:rPr>
            </w:pPr>
            <w:r w:rsidRPr="00B3575A">
              <w:rPr>
                <w:rFonts w:ascii="Times New Roman" w:hAnsi="Times New Roman" w:cs="Times New Roman"/>
                <w:bCs/>
                <w:color w:val="0E101A"/>
                <w:sz w:val="20"/>
                <w:szCs w:val="20"/>
              </w:rPr>
              <w:t>Level of Awareness of Supply Chain by Supply Chain Managers in Construction Industry</w:t>
            </w:r>
          </w:p>
        </w:tc>
        <w:tc>
          <w:tcPr>
            <w:tcW w:w="617" w:type="dxa"/>
            <w:tcBorders>
              <w:top w:val="single" w:sz="4" w:space="0" w:color="000000"/>
              <w:left w:val="nil"/>
              <w:bottom w:val="single" w:sz="4" w:space="0" w:color="000000"/>
              <w:right w:val="nil"/>
            </w:tcBorders>
          </w:tcPr>
          <w:p w14:paraId="05490422" w14:textId="77777777" w:rsidR="004371E3" w:rsidRPr="00B3575A" w:rsidRDefault="004371E3" w:rsidP="00B3575A">
            <w:pPr>
              <w:spacing w:after="0" w:line="240" w:lineRule="auto"/>
              <w:jc w:val="both"/>
              <w:rPr>
                <w:rFonts w:ascii="Times New Roman" w:hAnsi="Times New Roman" w:cs="Times New Roman"/>
                <w:bCs/>
                <w:sz w:val="20"/>
                <w:szCs w:val="20"/>
              </w:rPr>
            </w:pPr>
            <w:r w:rsidRPr="00B3575A">
              <w:rPr>
                <w:rFonts w:ascii="Times New Roman" w:hAnsi="Times New Roman" w:cs="Times New Roman"/>
                <w:bCs/>
                <w:sz w:val="20"/>
                <w:szCs w:val="20"/>
              </w:rPr>
              <w:t>SA</w:t>
            </w:r>
          </w:p>
        </w:tc>
        <w:tc>
          <w:tcPr>
            <w:tcW w:w="589" w:type="dxa"/>
            <w:tcBorders>
              <w:top w:val="single" w:sz="4" w:space="0" w:color="000000"/>
              <w:left w:val="nil"/>
              <w:bottom w:val="single" w:sz="4" w:space="0" w:color="000000"/>
              <w:right w:val="nil"/>
            </w:tcBorders>
          </w:tcPr>
          <w:p w14:paraId="5D303DCE" w14:textId="77777777" w:rsidR="004371E3" w:rsidRPr="00B3575A" w:rsidRDefault="004371E3" w:rsidP="00B3575A">
            <w:pPr>
              <w:spacing w:after="0" w:line="240" w:lineRule="auto"/>
              <w:jc w:val="both"/>
              <w:rPr>
                <w:rFonts w:ascii="Times New Roman" w:hAnsi="Times New Roman" w:cs="Times New Roman"/>
                <w:bCs/>
                <w:sz w:val="20"/>
                <w:szCs w:val="20"/>
              </w:rPr>
            </w:pPr>
            <w:r w:rsidRPr="00B3575A">
              <w:rPr>
                <w:rFonts w:ascii="Times New Roman" w:hAnsi="Times New Roman" w:cs="Times New Roman"/>
                <w:bCs/>
                <w:sz w:val="20"/>
                <w:szCs w:val="20"/>
              </w:rPr>
              <w:t>A</w:t>
            </w:r>
          </w:p>
        </w:tc>
        <w:tc>
          <w:tcPr>
            <w:tcW w:w="619" w:type="dxa"/>
            <w:tcBorders>
              <w:top w:val="single" w:sz="4" w:space="0" w:color="000000"/>
              <w:left w:val="nil"/>
              <w:bottom w:val="single" w:sz="4" w:space="0" w:color="000000"/>
              <w:right w:val="nil"/>
            </w:tcBorders>
          </w:tcPr>
          <w:p w14:paraId="1EBFDD2E" w14:textId="77777777" w:rsidR="004371E3" w:rsidRPr="00B3575A" w:rsidRDefault="004371E3" w:rsidP="00B3575A">
            <w:pPr>
              <w:spacing w:after="0" w:line="240" w:lineRule="auto"/>
              <w:jc w:val="both"/>
              <w:rPr>
                <w:rFonts w:ascii="Times New Roman" w:hAnsi="Times New Roman" w:cs="Times New Roman"/>
                <w:bCs/>
                <w:sz w:val="20"/>
                <w:szCs w:val="20"/>
              </w:rPr>
            </w:pPr>
            <w:r w:rsidRPr="00B3575A">
              <w:rPr>
                <w:rFonts w:ascii="Times New Roman" w:hAnsi="Times New Roman" w:cs="Times New Roman"/>
                <w:bCs/>
                <w:sz w:val="20"/>
                <w:szCs w:val="20"/>
              </w:rPr>
              <w:t>D</w:t>
            </w:r>
          </w:p>
        </w:tc>
        <w:tc>
          <w:tcPr>
            <w:tcW w:w="556" w:type="dxa"/>
            <w:tcBorders>
              <w:top w:val="single" w:sz="4" w:space="0" w:color="000000"/>
              <w:left w:val="nil"/>
              <w:bottom w:val="single" w:sz="4" w:space="0" w:color="000000"/>
              <w:right w:val="nil"/>
            </w:tcBorders>
          </w:tcPr>
          <w:p w14:paraId="41950347" w14:textId="77777777" w:rsidR="004371E3" w:rsidRPr="00B3575A" w:rsidRDefault="004371E3" w:rsidP="00B3575A">
            <w:pPr>
              <w:spacing w:after="0" w:line="240" w:lineRule="auto"/>
              <w:jc w:val="both"/>
              <w:rPr>
                <w:rFonts w:ascii="Times New Roman" w:hAnsi="Times New Roman" w:cs="Times New Roman"/>
                <w:bCs/>
                <w:sz w:val="20"/>
                <w:szCs w:val="20"/>
              </w:rPr>
            </w:pPr>
            <w:r w:rsidRPr="00B3575A">
              <w:rPr>
                <w:rFonts w:ascii="Times New Roman" w:hAnsi="Times New Roman" w:cs="Times New Roman"/>
                <w:bCs/>
                <w:sz w:val="20"/>
                <w:szCs w:val="20"/>
              </w:rPr>
              <w:t>SD</w:t>
            </w:r>
          </w:p>
        </w:tc>
        <w:tc>
          <w:tcPr>
            <w:tcW w:w="803" w:type="dxa"/>
            <w:tcBorders>
              <w:top w:val="single" w:sz="4" w:space="0" w:color="000000"/>
              <w:left w:val="nil"/>
              <w:bottom w:val="single" w:sz="4" w:space="0" w:color="000000"/>
              <w:right w:val="nil"/>
            </w:tcBorders>
          </w:tcPr>
          <w:p w14:paraId="0CABA545" w14:textId="77777777" w:rsidR="004371E3" w:rsidRPr="00B3575A" w:rsidRDefault="004371E3" w:rsidP="00B3575A">
            <w:pPr>
              <w:spacing w:after="0" w:line="240" w:lineRule="auto"/>
              <w:jc w:val="both"/>
              <w:rPr>
                <w:rFonts w:ascii="Times New Roman" w:hAnsi="Times New Roman" w:cs="Times New Roman"/>
                <w:bCs/>
                <w:sz w:val="20"/>
                <w:szCs w:val="20"/>
              </w:rPr>
            </w:pPr>
            <w:r w:rsidRPr="00B3575A">
              <w:rPr>
                <w:rFonts w:ascii="Times New Roman" w:hAnsi="Times New Roman" w:cs="Times New Roman"/>
                <w:bCs/>
                <w:sz w:val="20"/>
                <w:szCs w:val="20"/>
              </w:rPr>
              <w:t>Mean</w:t>
            </w:r>
          </w:p>
        </w:tc>
        <w:tc>
          <w:tcPr>
            <w:tcW w:w="710" w:type="dxa"/>
            <w:tcBorders>
              <w:top w:val="single" w:sz="4" w:space="0" w:color="000000"/>
              <w:left w:val="nil"/>
              <w:bottom w:val="single" w:sz="4" w:space="0" w:color="000000"/>
              <w:right w:val="nil"/>
            </w:tcBorders>
          </w:tcPr>
          <w:p w14:paraId="2FEFFFD0" w14:textId="77777777" w:rsidR="004371E3" w:rsidRPr="00B3575A" w:rsidRDefault="004371E3" w:rsidP="00B3575A">
            <w:pPr>
              <w:spacing w:after="0" w:line="240" w:lineRule="auto"/>
              <w:jc w:val="both"/>
              <w:rPr>
                <w:rFonts w:ascii="Times New Roman" w:hAnsi="Times New Roman" w:cs="Times New Roman"/>
                <w:bCs/>
                <w:sz w:val="20"/>
                <w:szCs w:val="20"/>
              </w:rPr>
            </w:pPr>
            <w:r w:rsidRPr="00B3575A">
              <w:rPr>
                <w:rFonts w:ascii="Times New Roman" w:hAnsi="Times New Roman" w:cs="Times New Roman"/>
                <w:bCs/>
                <w:sz w:val="20"/>
                <w:szCs w:val="20"/>
              </w:rPr>
              <w:t>STD</w:t>
            </w:r>
          </w:p>
        </w:tc>
        <w:tc>
          <w:tcPr>
            <w:tcW w:w="777" w:type="dxa"/>
            <w:tcBorders>
              <w:top w:val="single" w:sz="4" w:space="0" w:color="000000"/>
              <w:left w:val="nil"/>
              <w:bottom w:val="single" w:sz="4" w:space="0" w:color="000000"/>
              <w:right w:val="nil"/>
            </w:tcBorders>
          </w:tcPr>
          <w:p w14:paraId="2535ADCC" w14:textId="77777777" w:rsidR="004371E3" w:rsidRPr="00B3575A" w:rsidRDefault="004371E3" w:rsidP="00B3575A">
            <w:pPr>
              <w:spacing w:after="0" w:line="240" w:lineRule="auto"/>
              <w:jc w:val="both"/>
              <w:rPr>
                <w:rFonts w:ascii="Times New Roman" w:hAnsi="Times New Roman" w:cs="Times New Roman"/>
                <w:bCs/>
                <w:sz w:val="20"/>
                <w:szCs w:val="20"/>
              </w:rPr>
            </w:pPr>
            <w:r w:rsidRPr="00B3575A">
              <w:rPr>
                <w:rFonts w:ascii="Times New Roman" w:hAnsi="Times New Roman" w:cs="Times New Roman"/>
                <w:bCs/>
                <w:sz w:val="20"/>
                <w:szCs w:val="20"/>
              </w:rPr>
              <w:t>Rank</w:t>
            </w:r>
          </w:p>
        </w:tc>
      </w:tr>
      <w:tr w:rsidR="004371E3" w:rsidRPr="00B3575A" w14:paraId="4129FDD3" w14:textId="77777777" w:rsidTr="00B3575A">
        <w:trPr>
          <w:jc w:val="center"/>
        </w:trPr>
        <w:tc>
          <w:tcPr>
            <w:tcW w:w="723" w:type="dxa"/>
            <w:tcBorders>
              <w:top w:val="single" w:sz="4" w:space="0" w:color="000000"/>
              <w:left w:val="nil"/>
              <w:bottom w:val="nil"/>
              <w:right w:val="nil"/>
            </w:tcBorders>
          </w:tcPr>
          <w:p w14:paraId="55F098DF" w14:textId="77777777" w:rsidR="004371E3" w:rsidRPr="00B3575A" w:rsidRDefault="004371E3" w:rsidP="00B3575A">
            <w:pPr>
              <w:spacing w:after="0" w:line="240" w:lineRule="auto"/>
              <w:jc w:val="both"/>
              <w:rPr>
                <w:rFonts w:ascii="Times New Roman" w:hAnsi="Times New Roman" w:cs="Times New Roman"/>
                <w:sz w:val="20"/>
                <w:szCs w:val="20"/>
              </w:rPr>
            </w:pPr>
            <w:r w:rsidRPr="00B3575A">
              <w:rPr>
                <w:rFonts w:ascii="Times New Roman" w:hAnsi="Times New Roman" w:cs="Times New Roman"/>
                <w:sz w:val="20"/>
                <w:szCs w:val="20"/>
              </w:rPr>
              <w:t>1</w:t>
            </w:r>
          </w:p>
        </w:tc>
        <w:tc>
          <w:tcPr>
            <w:tcW w:w="3672" w:type="dxa"/>
            <w:tcBorders>
              <w:top w:val="single" w:sz="4" w:space="0" w:color="000000"/>
              <w:left w:val="nil"/>
              <w:bottom w:val="nil"/>
              <w:right w:val="nil"/>
            </w:tcBorders>
          </w:tcPr>
          <w:p w14:paraId="0A258C37" w14:textId="77777777" w:rsidR="004371E3" w:rsidRPr="00B3575A" w:rsidRDefault="004371E3" w:rsidP="00B3575A">
            <w:pPr>
              <w:spacing w:after="0" w:line="240" w:lineRule="auto"/>
              <w:rPr>
                <w:rFonts w:ascii="Times New Roman" w:hAnsi="Times New Roman" w:cs="Times New Roman"/>
                <w:sz w:val="20"/>
                <w:szCs w:val="20"/>
              </w:rPr>
            </w:pPr>
            <w:r w:rsidRPr="00B3575A">
              <w:rPr>
                <w:rFonts w:ascii="Times New Roman" w:hAnsi="Times New Roman" w:cs="Times New Roman"/>
                <w:sz w:val="20"/>
                <w:szCs w:val="20"/>
              </w:rPr>
              <w:t>Information Dissemination</w:t>
            </w:r>
          </w:p>
        </w:tc>
        <w:tc>
          <w:tcPr>
            <w:tcW w:w="617" w:type="dxa"/>
            <w:tcBorders>
              <w:top w:val="single" w:sz="4" w:space="0" w:color="000000"/>
              <w:left w:val="nil"/>
              <w:bottom w:val="nil"/>
              <w:right w:val="nil"/>
            </w:tcBorders>
          </w:tcPr>
          <w:p w14:paraId="5D80CE5B"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48</w:t>
            </w:r>
          </w:p>
        </w:tc>
        <w:tc>
          <w:tcPr>
            <w:tcW w:w="589" w:type="dxa"/>
            <w:tcBorders>
              <w:top w:val="single" w:sz="4" w:space="0" w:color="000000"/>
              <w:left w:val="nil"/>
              <w:bottom w:val="nil"/>
              <w:right w:val="nil"/>
            </w:tcBorders>
          </w:tcPr>
          <w:p w14:paraId="317951A0"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2</w:t>
            </w:r>
          </w:p>
        </w:tc>
        <w:tc>
          <w:tcPr>
            <w:tcW w:w="619" w:type="dxa"/>
            <w:tcBorders>
              <w:top w:val="single" w:sz="4" w:space="0" w:color="000000"/>
              <w:left w:val="nil"/>
              <w:bottom w:val="nil"/>
              <w:right w:val="nil"/>
            </w:tcBorders>
          </w:tcPr>
          <w:p w14:paraId="163D356E"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0</w:t>
            </w:r>
          </w:p>
        </w:tc>
        <w:tc>
          <w:tcPr>
            <w:tcW w:w="556" w:type="dxa"/>
            <w:tcBorders>
              <w:top w:val="single" w:sz="4" w:space="0" w:color="000000"/>
              <w:left w:val="nil"/>
              <w:bottom w:val="nil"/>
              <w:right w:val="nil"/>
            </w:tcBorders>
          </w:tcPr>
          <w:p w14:paraId="45376952"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0</w:t>
            </w:r>
          </w:p>
        </w:tc>
        <w:tc>
          <w:tcPr>
            <w:tcW w:w="803" w:type="dxa"/>
            <w:tcBorders>
              <w:top w:val="single" w:sz="4" w:space="0" w:color="000000"/>
              <w:left w:val="nil"/>
              <w:bottom w:val="nil"/>
              <w:right w:val="nil"/>
            </w:tcBorders>
          </w:tcPr>
          <w:p w14:paraId="79D036A4"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3.96</w:t>
            </w:r>
          </w:p>
        </w:tc>
        <w:tc>
          <w:tcPr>
            <w:tcW w:w="710" w:type="dxa"/>
            <w:tcBorders>
              <w:top w:val="single" w:sz="4" w:space="0" w:color="000000"/>
              <w:left w:val="nil"/>
              <w:bottom w:val="nil"/>
              <w:right w:val="nil"/>
            </w:tcBorders>
          </w:tcPr>
          <w:p w14:paraId="43CD3933"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0.20</w:t>
            </w:r>
          </w:p>
        </w:tc>
        <w:tc>
          <w:tcPr>
            <w:tcW w:w="777" w:type="dxa"/>
            <w:tcBorders>
              <w:top w:val="single" w:sz="4" w:space="0" w:color="000000"/>
              <w:left w:val="nil"/>
              <w:bottom w:val="nil"/>
              <w:right w:val="nil"/>
            </w:tcBorders>
          </w:tcPr>
          <w:p w14:paraId="33182AAD" w14:textId="77777777" w:rsidR="004371E3" w:rsidRPr="00B3575A" w:rsidRDefault="004371E3" w:rsidP="00B3575A">
            <w:pPr>
              <w:spacing w:after="0" w:line="240" w:lineRule="auto"/>
              <w:jc w:val="center"/>
              <w:rPr>
                <w:rFonts w:ascii="Times New Roman" w:hAnsi="Times New Roman" w:cs="Times New Roman"/>
                <w:color w:val="000000"/>
                <w:sz w:val="20"/>
                <w:szCs w:val="20"/>
              </w:rPr>
            </w:pPr>
            <w:r w:rsidRPr="00B3575A">
              <w:rPr>
                <w:rFonts w:ascii="Times New Roman" w:hAnsi="Times New Roman" w:cs="Times New Roman"/>
                <w:color w:val="000000"/>
                <w:sz w:val="20"/>
                <w:szCs w:val="20"/>
              </w:rPr>
              <w:t>1</w:t>
            </w:r>
            <w:r w:rsidRPr="00B3575A">
              <w:rPr>
                <w:rFonts w:ascii="Times New Roman" w:hAnsi="Times New Roman" w:cs="Times New Roman"/>
                <w:color w:val="000000"/>
                <w:sz w:val="20"/>
                <w:szCs w:val="20"/>
                <w:vertAlign w:val="superscript"/>
              </w:rPr>
              <w:t>st</w:t>
            </w:r>
          </w:p>
        </w:tc>
      </w:tr>
      <w:tr w:rsidR="004371E3" w:rsidRPr="00B3575A" w14:paraId="12199D5A" w14:textId="77777777" w:rsidTr="00B3575A">
        <w:trPr>
          <w:jc w:val="center"/>
        </w:trPr>
        <w:tc>
          <w:tcPr>
            <w:tcW w:w="723" w:type="dxa"/>
            <w:tcBorders>
              <w:top w:val="nil"/>
              <w:left w:val="nil"/>
              <w:bottom w:val="nil"/>
              <w:right w:val="nil"/>
            </w:tcBorders>
          </w:tcPr>
          <w:p w14:paraId="02FB4C5E" w14:textId="77777777" w:rsidR="004371E3" w:rsidRPr="00B3575A" w:rsidRDefault="004371E3" w:rsidP="00B3575A">
            <w:pPr>
              <w:spacing w:after="0" w:line="240" w:lineRule="auto"/>
              <w:jc w:val="both"/>
              <w:rPr>
                <w:rFonts w:ascii="Times New Roman" w:hAnsi="Times New Roman" w:cs="Times New Roman"/>
                <w:sz w:val="20"/>
                <w:szCs w:val="20"/>
              </w:rPr>
            </w:pPr>
            <w:r w:rsidRPr="00B3575A">
              <w:rPr>
                <w:rFonts w:ascii="Times New Roman" w:hAnsi="Times New Roman" w:cs="Times New Roman"/>
                <w:sz w:val="20"/>
                <w:szCs w:val="20"/>
              </w:rPr>
              <w:t>2</w:t>
            </w:r>
          </w:p>
        </w:tc>
        <w:tc>
          <w:tcPr>
            <w:tcW w:w="3672" w:type="dxa"/>
            <w:tcBorders>
              <w:top w:val="nil"/>
              <w:left w:val="nil"/>
              <w:bottom w:val="nil"/>
              <w:right w:val="nil"/>
            </w:tcBorders>
          </w:tcPr>
          <w:p w14:paraId="7DAD54E9" w14:textId="77777777" w:rsidR="004371E3" w:rsidRPr="00B3575A" w:rsidRDefault="004371E3" w:rsidP="00B3575A">
            <w:pPr>
              <w:spacing w:after="0" w:line="240" w:lineRule="auto"/>
              <w:rPr>
                <w:rFonts w:ascii="Times New Roman" w:hAnsi="Times New Roman" w:cs="Times New Roman"/>
                <w:sz w:val="20"/>
                <w:szCs w:val="20"/>
              </w:rPr>
            </w:pPr>
            <w:r w:rsidRPr="00B3575A">
              <w:rPr>
                <w:rFonts w:ascii="Times New Roman" w:hAnsi="Times New Roman" w:cs="Times New Roman"/>
                <w:sz w:val="20"/>
                <w:szCs w:val="20"/>
              </w:rPr>
              <w:t>Management Leadership</w:t>
            </w:r>
          </w:p>
        </w:tc>
        <w:tc>
          <w:tcPr>
            <w:tcW w:w="617" w:type="dxa"/>
            <w:tcBorders>
              <w:top w:val="nil"/>
              <w:left w:val="nil"/>
              <w:bottom w:val="nil"/>
              <w:right w:val="nil"/>
            </w:tcBorders>
          </w:tcPr>
          <w:p w14:paraId="7D9F79A3"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47</w:t>
            </w:r>
          </w:p>
        </w:tc>
        <w:tc>
          <w:tcPr>
            <w:tcW w:w="589" w:type="dxa"/>
            <w:tcBorders>
              <w:top w:val="nil"/>
              <w:left w:val="nil"/>
              <w:bottom w:val="nil"/>
              <w:right w:val="nil"/>
            </w:tcBorders>
          </w:tcPr>
          <w:p w14:paraId="6A0A50E2"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2</w:t>
            </w:r>
          </w:p>
        </w:tc>
        <w:tc>
          <w:tcPr>
            <w:tcW w:w="619" w:type="dxa"/>
            <w:tcBorders>
              <w:top w:val="nil"/>
              <w:left w:val="nil"/>
              <w:bottom w:val="nil"/>
              <w:right w:val="nil"/>
            </w:tcBorders>
          </w:tcPr>
          <w:p w14:paraId="28CDD2E2"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0</w:t>
            </w:r>
          </w:p>
        </w:tc>
        <w:tc>
          <w:tcPr>
            <w:tcW w:w="556" w:type="dxa"/>
            <w:tcBorders>
              <w:top w:val="nil"/>
              <w:left w:val="nil"/>
              <w:bottom w:val="nil"/>
              <w:right w:val="nil"/>
            </w:tcBorders>
          </w:tcPr>
          <w:p w14:paraId="7B1FE756"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1</w:t>
            </w:r>
          </w:p>
        </w:tc>
        <w:tc>
          <w:tcPr>
            <w:tcW w:w="803" w:type="dxa"/>
            <w:tcBorders>
              <w:top w:val="nil"/>
              <w:left w:val="nil"/>
              <w:bottom w:val="nil"/>
              <w:right w:val="nil"/>
            </w:tcBorders>
          </w:tcPr>
          <w:p w14:paraId="11FADA23"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3.90</w:t>
            </w:r>
          </w:p>
        </w:tc>
        <w:tc>
          <w:tcPr>
            <w:tcW w:w="710" w:type="dxa"/>
            <w:tcBorders>
              <w:top w:val="nil"/>
              <w:left w:val="nil"/>
              <w:bottom w:val="nil"/>
              <w:right w:val="nil"/>
            </w:tcBorders>
          </w:tcPr>
          <w:p w14:paraId="5F8F28FC"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0.46</w:t>
            </w:r>
          </w:p>
        </w:tc>
        <w:tc>
          <w:tcPr>
            <w:tcW w:w="777" w:type="dxa"/>
            <w:tcBorders>
              <w:top w:val="nil"/>
              <w:left w:val="nil"/>
              <w:bottom w:val="nil"/>
              <w:right w:val="nil"/>
            </w:tcBorders>
          </w:tcPr>
          <w:p w14:paraId="12243533" w14:textId="77777777" w:rsidR="004371E3" w:rsidRPr="00B3575A" w:rsidRDefault="004371E3" w:rsidP="00B3575A">
            <w:pPr>
              <w:spacing w:after="0" w:line="240" w:lineRule="auto"/>
              <w:jc w:val="center"/>
              <w:rPr>
                <w:rFonts w:ascii="Times New Roman" w:hAnsi="Times New Roman" w:cs="Times New Roman"/>
                <w:color w:val="000000"/>
                <w:sz w:val="20"/>
                <w:szCs w:val="20"/>
              </w:rPr>
            </w:pPr>
            <w:r w:rsidRPr="00B3575A">
              <w:rPr>
                <w:rFonts w:ascii="Times New Roman" w:hAnsi="Times New Roman" w:cs="Times New Roman"/>
                <w:color w:val="000000"/>
                <w:sz w:val="20"/>
                <w:szCs w:val="20"/>
              </w:rPr>
              <w:t>2</w:t>
            </w:r>
            <w:r w:rsidRPr="00B3575A">
              <w:rPr>
                <w:rFonts w:ascii="Times New Roman" w:hAnsi="Times New Roman" w:cs="Times New Roman"/>
                <w:color w:val="000000"/>
                <w:sz w:val="20"/>
                <w:szCs w:val="20"/>
                <w:vertAlign w:val="superscript"/>
              </w:rPr>
              <w:t>nd</w:t>
            </w:r>
          </w:p>
        </w:tc>
      </w:tr>
      <w:tr w:rsidR="004371E3" w:rsidRPr="00B3575A" w14:paraId="2EA84101" w14:textId="77777777" w:rsidTr="00B3575A">
        <w:trPr>
          <w:jc w:val="center"/>
        </w:trPr>
        <w:tc>
          <w:tcPr>
            <w:tcW w:w="723" w:type="dxa"/>
            <w:tcBorders>
              <w:top w:val="nil"/>
              <w:left w:val="nil"/>
              <w:bottom w:val="nil"/>
              <w:right w:val="nil"/>
            </w:tcBorders>
          </w:tcPr>
          <w:p w14:paraId="7BB64588" w14:textId="77777777" w:rsidR="004371E3" w:rsidRPr="00B3575A" w:rsidRDefault="004371E3" w:rsidP="00B3575A">
            <w:pPr>
              <w:spacing w:after="0" w:line="240" w:lineRule="auto"/>
              <w:jc w:val="both"/>
              <w:rPr>
                <w:rFonts w:ascii="Times New Roman" w:hAnsi="Times New Roman" w:cs="Times New Roman"/>
                <w:sz w:val="20"/>
                <w:szCs w:val="20"/>
              </w:rPr>
            </w:pPr>
            <w:r w:rsidRPr="00B3575A">
              <w:rPr>
                <w:rFonts w:ascii="Times New Roman" w:hAnsi="Times New Roman" w:cs="Times New Roman"/>
                <w:sz w:val="20"/>
                <w:szCs w:val="20"/>
              </w:rPr>
              <w:t>3</w:t>
            </w:r>
          </w:p>
        </w:tc>
        <w:tc>
          <w:tcPr>
            <w:tcW w:w="3672" w:type="dxa"/>
            <w:tcBorders>
              <w:top w:val="nil"/>
              <w:left w:val="nil"/>
              <w:bottom w:val="nil"/>
              <w:right w:val="nil"/>
            </w:tcBorders>
          </w:tcPr>
          <w:p w14:paraId="1A966952" w14:textId="77777777" w:rsidR="004371E3" w:rsidRPr="00B3575A" w:rsidRDefault="004371E3" w:rsidP="00B3575A">
            <w:pPr>
              <w:spacing w:after="0" w:line="240" w:lineRule="auto"/>
              <w:rPr>
                <w:rFonts w:ascii="Times New Roman" w:hAnsi="Times New Roman" w:cs="Times New Roman"/>
                <w:sz w:val="20"/>
                <w:szCs w:val="20"/>
              </w:rPr>
            </w:pPr>
            <w:r w:rsidRPr="00B3575A">
              <w:rPr>
                <w:rFonts w:ascii="Times New Roman" w:hAnsi="Times New Roman" w:cs="Times New Roman"/>
                <w:sz w:val="20"/>
                <w:szCs w:val="20"/>
              </w:rPr>
              <w:t>Early Appointment of Partners</w:t>
            </w:r>
          </w:p>
        </w:tc>
        <w:tc>
          <w:tcPr>
            <w:tcW w:w="617" w:type="dxa"/>
            <w:tcBorders>
              <w:top w:val="nil"/>
              <w:left w:val="nil"/>
              <w:bottom w:val="nil"/>
              <w:right w:val="nil"/>
            </w:tcBorders>
          </w:tcPr>
          <w:p w14:paraId="17532C75"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45</w:t>
            </w:r>
          </w:p>
        </w:tc>
        <w:tc>
          <w:tcPr>
            <w:tcW w:w="589" w:type="dxa"/>
            <w:tcBorders>
              <w:top w:val="nil"/>
              <w:left w:val="nil"/>
              <w:bottom w:val="nil"/>
              <w:right w:val="nil"/>
            </w:tcBorders>
          </w:tcPr>
          <w:p w14:paraId="6CDD4AC9"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2</w:t>
            </w:r>
          </w:p>
        </w:tc>
        <w:tc>
          <w:tcPr>
            <w:tcW w:w="619" w:type="dxa"/>
            <w:tcBorders>
              <w:top w:val="nil"/>
              <w:left w:val="nil"/>
              <w:bottom w:val="nil"/>
              <w:right w:val="nil"/>
            </w:tcBorders>
          </w:tcPr>
          <w:p w14:paraId="008AE966"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3</w:t>
            </w:r>
          </w:p>
        </w:tc>
        <w:tc>
          <w:tcPr>
            <w:tcW w:w="556" w:type="dxa"/>
            <w:tcBorders>
              <w:top w:val="nil"/>
              <w:left w:val="nil"/>
              <w:bottom w:val="nil"/>
              <w:right w:val="nil"/>
            </w:tcBorders>
          </w:tcPr>
          <w:p w14:paraId="6C28A294"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0</w:t>
            </w:r>
          </w:p>
        </w:tc>
        <w:tc>
          <w:tcPr>
            <w:tcW w:w="803" w:type="dxa"/>
            <w:tcBorders>
              <w:top w:val="nil"/>
              <w:left w:val="nil"/>
              <w:bottom w:val="nil"/>
              <w:right w:val="nil"/>
            </w:tcBorders>
          </w:tcPr>
          <w:p w14:paraId="6DF1EE44"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3.84</w:t>
            </w:r>
          </w:p>
        </w:tc>
        <w:tc>
          <w:tcPr>
            <w:tcW w:w="710" w:type="dxa"/>
            <w:tcBorders>
              <w:top w:val="nil"/>
              <w:left w:val="nil"/>
              <w:bottom w:val="nil"/>
              <w:right w:val="nil"/>
            </w:tcBorders>
          </w:tcPr>
          <w:p w14:paraId="754E9EA9"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0.50</w:t>
            </w:r>
          </w:p>
        </w:tc>
        <w:tc>
          <w:tcPr>
            <w:tcW w:w="777" w:type="dxa"/>
            <w:tcBorders>
              <w:top w:val="nil"/>
              <w:left w:val="nil"/>
              <w:bottom w:val="nil"/>
              <w:right w:val="nil"/>
            </w:tcBorders>
          </w:tcPr>
          <w:p w14:paraId="6429B241" w14:textId="77777777" w:rsidR="004371E3" w:rsidRPr="00B3575A" w:rsidRDefault="004371E3" w:rsidP="00B3575A">
            <w:pPr>
              <w:spacing w:after="0" w:line="240" w:lineRule="auto"/>
              <w:jc w:val="center"/>
              <w:rPr>
                <w:rFonts w:ascii="Times New Roman" w:hAnsi="Times New Roman" w:cs="Times New Roman"/>
                <w:color w:val="000000"/>
                <w:sz w:val="20"/>
                <w:szCs w:val="20"/>
              </w:rPr>
            </w:pPr>
            <w:r w:rsidRPr="00B3575A">
              <w:rPr>
                <w:rFonts w:ascii="Times New Roman" w:hAnsi="Times New Roman" w:cs="Times New Roman"/>
                <w:color w:val="000000"/>
                <w:sz w:val="20"/>
                <w:szCs w:val="20"/>
              </w:rPr>
              <w:t>3</w:t>
            </w:r>
            <w:r w:rsidRPr="00B3575A">
              <w:rPr>
                <w:rFonts w:ascii="Times New Roman" w:hAnsi="Times New Roman" w:cs="Times New Roman"/>
                <w:color w:val="000000"/>
                <w:sz w:val="20"/>
                <w:szCs w:val="20"/>
                <w:vertAlign w:val="superscript"/>
              </w:rPr>
              <w:t>rd</w:t>
            </w:r>
          </w:p>
        </w:tc>
      </w:tr>
      <w:tr w:rsidR="004371E3" w:rsidRPr="00B3575A" w14:paraId="2B174867" w14:textId="77777777" w:rsidTr="00B3575A">
        <w:trPr>
          <w:jc w:val="center"/>
        </w:trPr>
        <w:tc>
          <w:tcPr>
            <w:tcW w:w="723" w:type="dxa"/>
            <w:tcBorders>
              <w:top w:val="nil"/>
              <w:left w:val="nil"/>
              <w:bottom w:val="nil"/>
              <w:right w:val="nil"/>
            </w:tcBorders>
          </w:tcPr>
          <w:p w14:paraId="07D29198" w14:textId="77777777" w:rsidR="004371E3" w:rsidRPr="00B3575A" w:rsidRDefault="004371E3" w:rsidP="00B3575A">
            <w:pPr>
              <w:spacing w:after="0" w:line="240" w:lineRule="auto"/>
              <w:jc w:val="both"/>
              <w:rPr>
                <w:rFonts w:ascii="Times New Roman" w:hAnsi="Times New Roman" w:cs="Times New Roman"/>
                <w:sz w:val="20"/>
                <w:szCs w:val="20"/>
              </w:rPr>
            </w:pPr>
            <w:r w:rsidRPr="00B3575A">
              <w:rPr>
                <w:rFonts w:ascii="Times New Roman" w:hAnsi="Times New Roman" w:cs="Times New Roman"/>
                <w:sz w:val="20"/>
                <w:szCs w:val="20"/>
              </w:rPr>
              <w:t>4</w:t>
            </w:r>
          </w:p>
        </w:tc>
        <w:tc>
          <w:tcPr>
            <w:tcW w:w="3672" w:type="dxa"/>
            <w:tcBorders>
              <w:top w:val="nil"/>
              <w:left w:val="nil"/>
              <w:bottom w:val="nil"/>
              <w:right w:val="nil"/>
            </w:tcBorders>
          </w:tcPr>
          <w:p w14:paraId="3428199C" w14:textId="77777777" w:rsidR="004371E3" w:rsidRPr="00B3575A" w:rsidRDefault="004371E3" w:rsidP="00B3575A">
            <w:pPr>
              <w:spacing w:after="0" w:line="240" w:lineRule="auto"/>
              <w:rPr>
                <w:rFonts w:ascii="Times New Roman" w:hAnsi="Times New Roman" w:cs="Times New Roman"/>
                <w:sz w:val="20"/>
                <w:szCs w:val="20"/>
              </w:rPr>
            </w:pPr>
            <w:r w:rsidRPr="00B3575A">
              <w:rPr>
                <w:rFonts w:ascii="Times New Roman" w:hAnsi="Times New Roman" w:cs="Times New Roman"/>
                <w:sz w:val="20"/>
                <w:szCs w:val="20"/>
              </w:rPr>
              <w:t>Increased use of collaborative procurement options</w:t>
            </w:r>
          </w:p>
        </w:tc>
        <w:tc>
          <w:tcPr>
            <w:tcW w:w="617" w:type="dxa"/>
            <w:tcBorders>
              <w:top w:val="nil"/>
              <w:left w:val="nil"/>
              <w:bottom w:val="nil"/>
              <w:right w:val="nil"/>
            </w:tcBorders>
          </w:tcPr>
          <w:p w14:paraId="016B41A7"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44</w:t>
            </w:r>
          </w:p>
        </w:tc>
        <w:tc>
          <w:tcPr>
            <w:tcW w:w="589" w:type="dxa"/>
            <w:tcBorders>
              <w:top w:val="nil"/>
              <w:left w:val="nil"/>
              <w:bottom w:val="nil"/>
              <w:right w:val="nil"/>
            </w:tcBorders>
          </w:tcPr>
          <w:p w14:paraId="0AC25E31"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2</w:t>
            </w:r>
          </w:p>
        </w:tc>
        <w:tc>
          <w:tcPr>
            <w:tcW w:w="619" w:type="dxa"/>
            <w:tcBorders>
              <w:top w:val="nil"/>
              <w:left w:val="nil"/>
              <w:bottom w:val="nil"/>
              <w:right w:val="nil"/>
            </w:tcBorders>
          </w:tcPr>
          <w:p w14:paraId="5DA42BF5"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4</w:t>
            </w:r>
          </w:p>
        </w:tc>
        <w:tc>
          <w:tcPr>
            <w:tcW w:w="556" w:type="dxa"/>
            <w:tcBorders>
              <w:top w:val="nil"/>
              <w:left w:val="nil"/>
              <w:bottom w:val="nil"/>
              <w:right w:val="nil"/>
            </w:tcBorders>
          </w:tcPr>
          <w:p w14:paraId="7E373725"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0</w:t>
            </w:r>
          </w:p>
        </w:tc>
        <w:tc>
          <w:tcPr>
            <w:tcW w:w="803" w:type="dxa"/>
            <w:tcBorders>
              <w:top w:val="nil"/>
              <w:left w:val="nil"/>
              <w:bottom w:val="nil"/>
              <w:right w:val="nil"/>
            </w:tcBorders>
          </w:tcPr>
          <w:p w14:paraId="274B8692"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3.80</w:t>
            </w:r>
          </w:p>
        </w:tc>
        <w:tc>
          <w:tcPr>
            <w:tcW w:w="710" w:type="dxa"/>
            <w:tcBorders>
              <w:top w:val="nil"/>
              <w:left w:val="nil"/>
              <w:bottom w:val="nil"/>
              <w:right w:val="nil"/>
            </w:tcBorders>
          </w:tcPr>
          <w:p w14:paraId="177659E5"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0.57</w:t>
            </w:r>
          </w:p>
        </w:tc>
        <w:tc>
          <w:tcPr>
            <w:tcW w:w="777" w:type="dxa"/>
            <w:tcBorders>
              <w:top w:val="nil"/>
              <w:left w:val="nil"/>
              <w:bottom w:val="nil"/>
              <w:right w:val="nil"/>
            </w:tcBorders>
          </w:tcPr>
          <w:p w14:paraId="32636B47" w14:textId="77777777" w:rsidR="004371E3" w:rsidRPr="00B3575A" w:rsidRDefault="004371E3" w:rsidP="00B3575A">
            <w:pPr>
              <w:spacing w:after="0" w:line="240" w:lineRule="auto"/>
              <w:jc w:val="center"/>
              <w:rPr>
                <w:rFonts w:ascii="Times New Roman" w:hAnsi="Times New Roman" w:cs="Times New Roman"/>
                <w:color w:val="000000"/>
                <w:sz w:val="20"/>
                <w:szCs w:val="20"/>
              </w:rPr>
            </w:pPr>
            <w:r w:rsidRPr="00B3575A">
              <w:rPr>
                <w:rFonts w:ascii="Times New Roman" w:hAnsi="Times New Roman" w:cs="Times New Roman"/>
                <w:color w:val="000000"/>
                <w:sz w:val="20"/>
                <w:szCs w:val="20"/>
              </w:rPr>
              <w:t>4</w:t>
            </w:r>
            <w:r w:rsidRPr="00B3575A">
              <w:rPr>
                <w:rFonts w:ascii="Times New Roman" w:hAnsi="Times New Roman" w:cs="Times New Roman"/>
                <w:color w:val="000000"/>
                <w:sz w:val="20"/>
                <w:szCs w:val="20"/>
                <w:vertAlign w:val="superscript"/>
              </w:rPr>
              <w:t>th</w:t>
            </w:r>
          </w:p>
        </w:tc>
      </w:tr>
      <w:tr w:rsidR="004371E3" w:rsidRPr="00B3575A" w14:paraId="2C2E2FA0" w14:textId="77777777" w:rsidTr="00B3575A">
        <w:trPr>
          <w:jc w:val="center"/>
        </w:trPr>
        <w:tc>
          <w:tcPr>
            <w:tcW w:w="723" w:type="dxa"/>
            <w:tcBorders>
              <w:top w:val="nil"/>
              <w:left w:val="nil"/>
              <w:bottom w:val="nil"/>
              <w:right w:val="nil"/>
            </w:tcBorders>
          </w:tcPr>
          <w:p w14:paraId="37416771" w14:textId="77777777" w:rsidR="004371E3" w:rsidRPr="00B3575A" w:rsidRDefault="004371E3" w:rsidP="00B3575A">
            <w:pPr>
              <w:spacing w:after="0" w:line="240" w:lineRule="auto"/>
              <w:jc w:val="both"/>
              <w:rPr>
                <w:rFonts w:ascii="Times New Roman" w:hAnsi="Times New Roman" w:cs="Times New Roman"/>
                <w:sz w:val="20"/>
                <w:szCs w:val="20"/>
              </w:rPr>
            </w:pPr>
            <w:r w:rsidRPr="00B3575A">
              <w:rPr>
                <w:rFonts w:ascii="Times New Roman" w:hAnsi="Times New Roman" w:cs="Times New Roman"/>
                <w:sz w:val="20"/>
                <w:szCs w:val="20"/>
              </w:rPr>
              <w:t>5</w:t>
            </w:r>
          </w:p>
        </w:tc>
        <w:tc>
          <w:tcPr>
            <w:tcW w:w="3672" w:type="dxa"/>
            <w:tcBorders>
              <w:top w:val="nil"/>
              <w:left w:val="nil"/>
              <w:bottom w:val="nil"/>
              <w:right w:val="nil"/>
            </w:tcBorders>
          </w:tcPr>
          <w:p w14:paraId="632A3397" w14:textId="77777777" w:rsidR="004371E3" w:rsidRPr="00B3575A" w:rsidRDefault="004371E3" w:rsidP="00B3575A">
            <w:pPr>
              <w:spacing w:after="0" w:line="240" w:lineRule="auto"/>
              <w:rPr>
                <w:rFonts w:ascii="Times New Roman" w:hAnsi="Times New Roman" w:cs="Times New Roman"/>
                <w:sz w:val="20"/>
                <w:szCs w:val="20"/>
              </w:rPr>
            </w:pPr>
            <w:r w:rsidRPr="00B3575A">
              <w:rPr>
                <w:rFonts w:ascii="Times New Roman" w:hAnsi="Times New Roman" w:cs="Times New Roman"/>
                <w:sz w:val="20"/>
                <w:szCs w:val="20"/>
              </w:rPr>
              <w:t>Transparency in financial matters</w:t>
            </w:r>
          </w:p>
        </w:tc>
        <w:tc>
          <w:tcPr>
            <w:tcW w:w="617" w:type="dxa"/>
            <w:tcBorders>
              <w:top w:val="nil"/>
              <w:left w:val="nil"/>
              <w:bottom w:val="nil"/>
              <w:right w:val="nil"/>
            </w:tcBorders>
          </w:tcPr>
          <w:p w14:paraId="650A0404"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40</w:t>
            </w:r>
          </w:p>
        </w:tc>
        <w:tc>
          <w:tcPr>
            <w:tcW w:w="589" w:type="dxa"/>
            <w:tcBorders>
              <w:top w:val="nil"/>
              <w:left w:val="nil"/>
              <w:bottom w:val="nil"/>
              <w:right w:val="nil"/>
            </w:tcBorders>
          </w:tcPr>
          <w:p w14:paraId="4C48F754"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2</w:t>
            </w:r>
          </w:p>
        </w:tc>
        <w:tc>
          <w:tcPr>
            <w:tcW w:w="619" w:type="dxa"/>
            <w:tcBorders>
              <w:top w:val="nil"/>
              <w:left w:val="nil"/>
              <w:bottom w:val="nil"/>
              <w:right w:val="nil"/>
            </w:tcBorders>
          </w:tcPr>
          <w:p w14:paraId="26451E3E"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1</w:t>
            </w:r>
          </w:p>
        </w:tc>
        <w:tc>
          <w:tcPr>
            <w:tcW w:w="556" w:type="dxa"/>
            <w:tcBorders>
              <w:top w:val="nil"/>
              <w:left w:val="nil"/>
              <w:bottom w:val="nil"/>
              <w:right w:val="nil"/>
            </w:tcBorders>
          </w:tcPr>
          <w:p w14:paraId="44A60A5D"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7</w:t>
            </w:r>
          </w:p>
        </w:tc>
        <w:tc>
          <w:tcPr>
            <w:tcW w:w="803" w:type="dxa"/>
            <w:tcBorders>
              <w:top w:val="nil"/>
              <w:left w:val="nil"/>
              <w:bottom w:val="nil"/>
              <w:right w:val="nil"/>
            </w:tcBorders>
          </w:tcPr>
          <w:p w14:paraId="30E86375"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3.50</w:t>
            </w:r>
          </w:p>
        </w:tc>
        <w:tc>
          <w:tcPr>
            <w:tcW w:w="710" w:type="dxa"/>
            <w:tcBorders>
              <w:top w:val="nil"/>
              <w:left w:val="nil"/>
              <w:bottom w:val="nil"/>
              <w:right w:val="nil"/>
            </w:tcBorders>
          </w:tcPr>
          <w:p w14:paraId="5E3C58E4" w14:textId="77777777" w:rsidR="004371E3" w:rsidRPr="00B3575A" w:rsidRDefault="004371E3" w:rsidP="00B3575A">
            <w:pPr>
              <w:spacing w:after="0" w:line="240" w:lineRule="auto"/>
              <w:jc w:val="center"/>
              <w:rPr>
                <w:rFonts w:ascii="Times New Roman" w:hAnsi="Times New Roman" w:cs="Times New Roman"/>
                <w:sz w:val="20"/>
                <w:szCs w:val="20"/>
              </w:rPr>
            </w:pPr>
            <w:r w:rsidRPr="00B3575A">
              <w:rPr>
                <w:rFonts w:ascii="Times New Roman" w:hAnsi="Times New Roman" w:cs="Times New Roman"/>
                <w:color w:val="000000"/>
                <w:sz w:val="20"/>
                <w:szCs w:val="20"/>
              </w:rPr>
              <w:t>1.06</w:t>
            </w:r>
          </w:p>
        </w:tc>
        <w:tc>
          <w:tcPr>
            <w:tcW w:w="777" w:type="dxa"/>
            <w:tcBorders>
              <w:top w:val="nil"/>
              <w:left w:val="nil"/>
              <w:bottom w:val="nil"/>
              <w:right w:val="nil"/>
            </w:tcBorders>
          </w:tcPr>
          <w:p w14:paraId="4C2B176B" w14:textId="77777777" w:rsidR="004371E3" w:rsidRPr="00B3575A" w:rsidRDefault="004371E3" w:rsidP="00B3575A">
            <w:pPr>
              <w:spacing w:after="0" w:line="240" w:lineRule="auto"/>
              <w:jc w:val="center"/>
              <w:rPr>
                <w:rFonts w:ascii="Times New Roman" w:hAnsi="Times New Roman" w:cs="Times New Roman"/>
                <w:color w:val="000000"/>
                <w:sz w:val="20"/>
                <w:szCs w:val="20"/>
              </w:rPr>
            </w:pPr>
            <w:r w:rsidRPr="00B3575A">
              <w:rPr>
                <w:rFonts w:ascii="Times New Roman" w:hAnsi="Times New Roman" w:cs="Times New Roman"/>
                <w:color w:val="000000"/>
                <w:sz w:val="20"/>
                <w:szCs w:val="20"/>
              </w:rPr>
              <w:t>5</w:t>
            </w:r>
            <w:r w:rsidRPr="00B3575A">
              <w:rPr>
                <w:rFonts w:ascii="Times New Roman" w:hAnsi="Times New Roman" w:cs="Times New Roman"/>
                <w:color w:val="000000"/>
                <w:sz w:val="20"/>
                <w:szCs w:val="20"/>
                <w:vertAlign w:val="superscript"/>
              </w:rPr>
              <w:t>th</w:t>
            </w:r>
          </w:p>
        </w:tc>
      </w:tr>
      <w:tr w:rsidR="004371E3" w:rsidRPr="00B3575A" w14:paraId="7024AAEF" w14:textId="77777777" w:rsidTr="00B3575A">
        <w:trPr>
          <w:jc w:val="center"/>
        </w:trPr>
        <w:tc>
          <w:tcPr>
            <w:tcW w:w="723" w:type="dxa"/>
            <w:tcBorders>
              <w:top w:val="nil"/>
              <w:left w:val="nil"/>
              <w:bottom w:val="single" w:sz="4" w:space="0" w:color="000000"/>
              <w:right w:val="nil"/>
            </w:tcBorders>
          </w:tcPr>
          <w:p w14:paraId="02E5D91B" w14:textId="77777777" w:rsidR="004371E3" w:rsidRPr="00B3575A" w:rsidRDefault="004371E3" w:rsidP="00B3575A">
            <w:pPr>
              <w:spacing w:after="0" w:line="240" w:lineRule="auto"/>
              <w:jc w:val="both"/>
              <w:rPr>
                <w:rFonts w:ascii="Times New Roman" w:hAnsi="Times New Roman" w:cs="Times New Roman"/>
                <w:b/>
                <w:sz w:val="20"/>
                <w:szCs w:val="20"/>
              </w:rPr>
            </w:pPr>
          </w:p>
        </w:tc>
        <w:tc>
          <w:tcPr>
            <w:tcW w:w="3672" w:type="dxa"/>
            <w:tcBorders>
              <w:top w:val="nil"/>
              <w:left w:val="nil"/>
              <w:bottom w:val="single" w:sz="4" w:space="0" w:color="000000"/>
              <w:right w:val="nil"/>
            </w:tcBorders>
          </w:tcPr>
          <w:p w14:paraId="46C69B54" w14:textId="77777777" w:rsidR="004371E3" w:rsidRPr="00B3575A" w:rsidRDefault="004371E3" w:rsidP="00B3575A">
            <w:pPr>
              <w:spacing w:after="0" w:line="240" w:lineRule="auto"/>
              <w:rPr>
                <w:rFonts w:ascii="Times New Roman" w:hAnsi="Times New Roman" w:cs="Times New Roman"/>
                <w:b/>
                <w:sz w:val="20"/>
                <w:szCs w:val="20"/>
              </w:rPr>
            </w:pPr>
            <w:r w:rsidRPr="00B3575A">
              <w:rPr>
                <w:rFonts w:ascii="Times New Roman" w:hAnsi="Times New Roman" w:cs="Times New Roman"/>
                <w:b/>
                <w:color w:val="000000"/>
                <w:sz w:val="20"/>
                <w:szCs w:val="20"/>
              </w:rPr>
              <w:t>Cluster Mean</w:t>
            </w:r>
          </w:p>
        </w:tc>
        <w:tc>
          <w:tcPr>
            <w:tcW w:w="617" w:type="dxa"/>
            <w:tcBorders>
              <w:top w:val="nil"/>
              <w:left w:val="nil"/>
              <w:bottom w:val="single" w:sz="4" w:space="0" w:color="000000"/>
              <w:right w:val="nil"/>
            </w:tcBorders>
          </w:tcPr>
          <w:p w14:paraId="4C41BA09" w14:textId="77777777" w:rsidR="004371E3" w:rsidRPr="00B3575A" w:rsidRDefault="004371E3" w:rsidP="00B3575A">
            <w:pPr>
              <w:spacing w:after="0" w:line="240" w:lineRule="auto"/>
              <w:jc w:val="center"/>
              <w:rPr>
                <w:rFonts w:ascii="Times New Roman" w:hAnsi="Times New Roman" w:cs="Times New Roman"/>
                <w:sz w:val="20"/>
                <w:szCs w:val="20"/>
              </w:rPr>
            </w:pPr>
          </w:p>
        </w:tc>
        <w:tc>
          <w:tcPr>
            <w:tcW w:w="589" w:type="dxa"/>
            <w:tcBorders>
              <w:top w:val="nil"/>
              <w:left w:val="nil"/>
              <w:bottom w:val="single" w:sz="4" w:space="0" w:color="000000"/>
              <w:right w:val="nil"/>
            </w:tcBorders>
          </w:tcPr>
          <w:p w14:paraId="108AD7EB" w14:textId="77777777" w:rsidR="004371E3" w:rsidRPr="00B3575A" w:rsidRDefault="004371E3" w:rsidP="00B3575A">
            <w:pPr>
              <w:spacing w:after="0" w:line="240" w:lineRule="auto"/>
              <w:jc w:val="center"/>
              <w:rPr>
                <w:rFonts w:ascii="Times New Roman" w:hAnsi="Times New Roman" w:cs="Times New Roman"/>
                <w:sz w:val="20"/>
                <w:szCs w:val="20"/>
              </w:rPr>
            </w:pPr>
          </w:p>
        </w:tc>
        <w:tc>
          <w:tcPr>
            <w:tcW w:w="619" w:type="dxa"/>
            <w:tcBorders>
              <w:top w:val="nil"/>
              <w:left w:val="nil"/>
              <w:bottom w:val="single" w:sz="4" w:space="0" w:color="000000"/>
              <w:right w:val="nil"/>
            </w:tcBorders>
          </w:tcPr>
          <w:p w14:paraId="398A1462" w14:textId="77777777" w:rsidR="004371E3" w:rsidRPr="00B3575A" w:rsidRDefault="004371E3" w:rsidP="00B3575A">
            <w:pPr>
              <w:spacing w:after="0" w:line="240" w:lineRule="auto"/>
              <w:jc w:val="center"/>
              <w:rPr>
                <w:rFonts w:ascii="Times New Roman" w:hAnsi="Times New Roman" w:cs="Times New Roman"/>
                <w:sz w:val="20"/>
                <w:szCs w:val="20"/>
              </w:rPr>
            </w:pPr>
          </w:p>
        </w:tc>
        <w:tc>
          <w:tcPr>
            <w:tcW w:w="556" w:type="dxa"/>
            <w:tcBorders>
              <w:top w:val="nil"/>
              <w:left w:val="nil"/>
              <w:bottom w:val="single" w:sz="4" w:space="0" w:color="000000"/>
              <w:right w:val="nil"/>
            </w:tcBorders>
          </w:tcPr>
          <w:p w14:paraId="013CCE6B" w14:textId="77777777" w:rsidR="004371E3" w:rsidRPr="00B3575A" w:rsidRDefault="004371E3" w:rsidP="00B3575A">
            <w:pPr>
              <w:spacing w:after="0" w:line="240" w:lineRule="auto"/>
              <w:jc w:val="center"/>
              <w:rPr>
                <w:rFonts w:ascii="Times New Roman" w:hAnsi="Times New Roman" w:cs="Times New Roman"/>
                <w:sz w:val="20"/>
                <w:szCs w:val="20"/>
              </w:rPr>
            </w:pPr>
          </w:p>
        </w:tc>
        <w:tc>
          <w:tcPr>
            <w:tcW w:w="803" w:type="dxa"/>
            <w:tcBorders>
              <w:top w:val="nil"/>
              <w:left w:val="nil"/>
              <w:bottom w:val="single" w:sz="4" w:space="0" w:color="000000"/>
              <w:right w:val="nil"/>
            </w:tcBorders>
          </w:tcPr>
          <w:p w14:paraId="14C7980B" w14:textId="77777777" w:rsidR="004371E3" w:rsidRPr="00B3575A" w:rsidRDefault="004371E3" w:rsidP="00B3575A">
            <w:pPr>
              <w:spacing w:after="0" w:line="240" w:lineRule="auto"/>
              <w:jc w:val="center"/>
              <w:rPr>
                <w:rFonts w:ascii="Times New Roman" w:hAnsi="Times New Roman" w:cs="Times New Roman"/>
                <w:b/>
                <w:sz w:val="20"/>
                <w:szCs w:val="20"/>
              </w:rPr>
            </w:pPr>
            <w:r w:rsidRPr="00B3575A">
              <w:rPr>
                <w:rFonts w:ascii="Times New Roman" w:hAnsi="Times New Roman" w:cs="Times New Roman"/>
                <w:b/>
                <w:color w:val="000000"/>
                <w:sz w:val="20"/>
                <w:szCs w:val="20"/>
              </w:rPr>
              <w:t>3.80</w:t>
            </w:r>
          </w:p>
        </w:tc>
        <w:tc>
          <w:tcPr>
            <w:tcW w:w="710" w:type="dxa"/>
            <w:tcBorders>
              <w:top w:val="nil"/>
              <w:left w:val="nil"/>
              <w:bottom w:val="single" w:sz="4" w:space="0" w:color="000000"/>
              <w:right w:val="nil"/>
            </w:tcBorders>
          </w:tcPr>
          <w:p w14:paraId="4820A82D" w14:textId="77777777" w:rsidR="004371E3" w:rsidRPr="00B3575A" w:rsidRDefault="004371E3" w:rsidP="00B3575A">
            <w:pPr>
              <w:spacing w:after="0" w:line="240" w:lineRule="auto"/>
              <w:jc w:val="center"/>
              <w:rPr>
                <w:rFonts w:ascii="Times New Roman" w:hAnsi="Times New Roman" w:cs="Times New Roman"/>
                <w:b/>
                <w:sz w:val="20"/>
                <w:szCs w:val="20"/>
              </w:rPr>
            </w:pPr>
            <w:r w:rsidRPr="00B3575A">
              <w:rPr>
                <w:rFonts w:ascii="Times New Roman" w:hAnsi="Times New Roman" w:cs="Times New Roman"/>
                <w:b/>
                <w:color w:val="000000"/>
                <w:sz w:val="20"/>
                <w:szCs w:val="20"/>
              </w:rPr>
              <w:t>0.56</w:t>
            </w:r>
          </w:p>
        </w:tc>
        <w:tc>
          <w:tcPr>
            <w:tcW w:w="777" w:type="dxa"/>
            <w:tcBorders>
              <w:top w:val="nil"/>
              <w:left w:val="nil"/>
              <w:bottom w:val="single" w:sz="4" w:space="0" w:color="000000"/>
              <w:right w:val="nil"/>
            </w:tcBorders>
          </w:tcPr>
          <w:p w14:paraId="27E0A4F2" w14:textId="77777777" w:rsidR="004371E3" w:rsidRPr="00B3575A" w:rsidRDefault="004371E3" w:rsidP="00B3575A">
            <w:pPr>
              <w:spacing w:after="0" w:line="240" w:lineRule="auto"/>
              <w:jc w:val="center"/>
              <w:rPr>
                <w:rFonts w:ascii="Times New Roman" w:hAnsi="Times New Roman" w:cs="Times New Roman"/>
                <w:b/>
                <w:color w:val="000000"/>
                <w:sz w:val="20"/>
                <w:szCs w:val="20"/>
              </w:rPr>
            </w:pPr>
          </w:p>
        </w:tc>
      </w:tr>
    </w:tbl>
    <w:p w14:paraId="49BE768E" w14:textId="77777777" w:rsidR="004371E3" w:rsidRPr="00BE4AF3" w:rsidRDefault="004371E3" w:rsidP="004371E3">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Keys:</w:t>
      </w:r>
      <w:r w:rsidRPr="00BE4AF3">
        <w:rPr>
          <w:rFonts w:ascii="Times New Roman" w:hAnsi="Times New Roman" w:cs="Times New Roman"/>
          <w:sz w:val="24"/>
          <w:szCs w:val="24"/>
        </w:rPr>
        <w:t xml:space="preserve"> SA- Strongly Agree, A – Agree, D – Disagree, SD – Strongly Disagree</w:t>
      </w:r>
    </w:p>
    <w:p w14:paraId="09CA46AF" w14:textId="77777777" w:rsidR="00B3575A" w:rsidRDefault="00B3575A" w:rsidP="00B3575A">
      <w:pPr>
        <w:spacing w:after="0" w:line="240" w:lineRule="auto"/>
        <w:jc w:val="both"/>
        <w:rPr>
          <w:rFonts w:ascii="Times New Roman" w:hAnsi="Times New Roman" w:cs="Times New Roman"/>
          <w:sz w:val="24"/>
          <w:szCs w:val="24"/>
        </w:rPr>
      </w:pPr>
      <w:bookmarkStart w:id="56" w:name="_u8cgc56l52dy" w:colFirst="0" w:colLast="0"/>
      <w:bookmarkEnd w:id="56"/>
    </w:p>
    <w:p w14:paraId="2AD6F66F" w14:textId="65D0794C" w:rsidR="004371E3" w:rsidRPr="00BE4AF3" w:rsidRDefault="004371E3" w:rsidP="00B3575A">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Table 7 shows </w:t>
      </w:r>
      <w:r w:rsidRPr="00BE4AF3">
        <w:rPr>
          <w:rFonts w:ascii="Times New Roman" w:hAnsi="Times New Roman" w:cs="Times New Roman"/>
          <w:color w:val="000000"/>
          <w:sz w:val="24"/>
          <w:szCs w:val="24"/>
        </w:rPr>
        <w:t>level of awareness of supply chain by supply chain managers in construction industry in Abuja, Nigeria</w:t>
      </w:r>
      <w:r w:rsidRPr="00BE4AF3">
        <w:rPr>
          <w:rFonts w:ascii="Times New Roman" w:hAnsi="Times New Roman" w:cs="Times New Roman"/>
          <w:sz w:val="24"/>
          <w:szCs w:val="24"/>
        </w:rPr>
        <w:t xml:space="preserve">. Respondents rated information dissemination as the top most. Based on the cutoff point mark of 2.50, respondents also accepted management leadership, early </w:t>
      </w:r>
      <w:r w:rsidRPr="00BE4AF3">
        <w:rPr>
          <w:rFonts w:ascii="Times New Roman" w:hAnsi="Times New Roman" w:cs="Times New Roman"/>
          <w:sz w:val="24"/>
          <w:szCs w:val="24"/>
        </w:rPr>
        <w:lastRenderedPageBreak/>
        <w:t>appointment of partners, increased use of collaborative procurement options as well as transparency in financial matters.  The clustered mean and standard deviation are 3.80 and 0.56.</w:t>
      </w:r>
    </w:p>
    <w:p w14:paraId="13B8D9CB" w14:textId="77777777" w:rsidR="004371E3" w:rsidRPr="00BE4AF3" w:rsidRDefault="004371E3" w:rsidP="004371E3">
      <w:pPr>
        <w:spacing w:after="0" w:line="240" w:lineRule="auto"/>
        <w:jc w:val="both"/>
        <w:rPr>
          <w:rFonts w:ascii="Times New Roman" w:hAnsi="Times New Roman" w:cs="Times New Roman"/>
          <w:b/>
          <w:color w:val="000000"/>
          <w:sz w:val="24"/>
          <w:szCs w:val="24"/>
        </w:rPr>
      </w:pPr>
    </w:p>
    <w:p w14:paraId="3587EF94" w14:textId="77777777" w:rsidR="004371E3" w:rsidRPr="00BE4AF3" w:rsidRDefault="004371E3" w:rsidP="004371E3">
      <w:pPr>
        <w:spacing w:after="0" w:line="240" w:lineRule="auto"/>
        <w:jc w:val="both"/>
        <w:rPr>
          <w:rFonts w:ascii="Times New Roman" w:hAnsi="Times New Roman" w:cs="Times New Roman"/>
          <w:b/>
          <w:color w:val="000000"/>
          <w:sz w:val="24"/>
          <w:szCs w:val="24"/>
        </w:rPr>
      </w:pPr>
      <w:r w:rsidRPr="00BE4AF3">
        <w:rPr>
          <w:rFonts w:ascii="Times New Roman" w:hAnsi="Times New Roman" w:cs="Times New Roman"/>
          <w:b/>
          <w:color w:val="000000"/>
          <w:sz w:val="24"/>
          <w:szCs w:val="24"/>
        </w:rPr>
        <w:t>Research Question 2</w:t>
      </w:r>
    </w:p>
    <w:p w14:paraId="3AFEC866" w14:textId="77777777" w:rsidR="004371E3" w:rsidRDefault="004371E3" w:rsidP="004371E3">
      <w:pPr>
        <w:spacing w:after="0" w:line="240" w:lineRule="auto"/>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What are the competencies required by supply chain managers to perform their jobs effectively in construction industry in Abuja, Nigeria?</w:t>
      </w:r>
    </w:p>
    <w:p w14:paraId="317B5E30" w14:textId="77777777" w:rsidR="00B473AC" w:rsidRPr="00BE4AF3" w:rsidRDefault="00B473AC" w:rsidP="004371E3">
      <w:pPr>
        <w:spacing w:after="0" w:line="240" w:lineRule="auto"/>
        <w:jc w:val="both"/>
        <w:rPr>
          <w:rFonts w:ascii="Times New Roman" w:hAnsi="Times New Roman" w:cs="Times New Roman"/>
          <w:color w:val="000000"/>
          <w:sz w:val="24"/>
          <w:szCs w:val="24"/>
        </w:rPr>
      </w:pPr>
    </w:p>
    <w:p w14:paraId="5B5ABD68" w14:textId="77777777" w:rsidR="004371E3" w:rsidRPr="00B473AC" w:rsidRDefault="004371E3" w:rsidP="004371E3">
      <w:pPr>
        <w:pBdr>
          <w:top w:val="nil"/>
          <w:left w:val="nil"/>
          <w:bottom w:val="nil"/>
          <w:right w:val="nil"/>
          <w:between w:val="nil"/>
        </w:pBdr>
        <w:spacing w:after="0" w:line="240" w:lineRule="auto"/>
        <w:jc w:val="both"/>
        <w:rPr>
          <w:rFonts w:ascii="Times New Roman" w:hAnsi="Times New Roman" w:cs="Times New Roman"/>
          <w:bCs/>
          <w:color w:val="000000"/>
          <w:sz w:val="24"/>
          <w:szCs w:val="24"/>
        </w:rPr>
      </w:pPr>
      <w:r w:rsidRPr="00BE4AF3">
        <w:rPr>
          <w:rFonts w:ascii="Times New Roman" w:hAnsi="Times New Roman" w:cs="Times New Roman"/>
          <w:b/>
          <w:color w:val="000000"/>
          <w:sz w:val="24"/>
          <w:szCs w:val="24"/>
        </w:rPr>
        <w:t xml:space="preserve">Table 8: </w:t>
      </w:r>
      <w:r w:rsidRPr="00B473AC">
        <w:rPr>
          <w:rFonts w:ascii="Times New Roman" w:hAnsi="Times New Roman" w:cs="Times New Roman"/>
          <w:bCs/>
          <w:color w:val="000000"/>
          <w:sz w:val="24"/>
          <w:szCs w:val="24"/>
        </w:rPr>
        <w:t>Competencies required by supply chain managers to perform their jobs effectively in construction industry</w:t>
      </w:r>
      <w:r w:rsidRPr="00B473AC">
        <w:rPr>
          <w:rFonts w:ascii="Times New Roman" w:hAnsi="Times New Roman" w:cs="Times New Roman"/>
          <w:bCs/>
          <w:color w:val="0E101A"/>
          <w:sz w:val="24"/>
          <w:szCs w:val="24"/>
        </w:rPr>
        <w:t xml:space="preserve"> </w:t>
      </w:r>
    </w:p>
    <w:tbl>
      <w:tblPr>
        <w:tblW w:w="8780" w:type="dxa"/>
        <w:jc w:val="center"/>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720"/>
        <w:gridCol w:w="3391"/>
        <w:gridCol w:w="617"/>
        <w:gridCol w:w="589"/>
        <w:gridCol w:w="617"/>
        <w:gridCol w:w="556"/>
        <w:gridCol w:w="803"/>
        <w:gridCol w:w="710"/>
        <w:gridCol w:w="777"/>
      </w:tblGrid>
      <w:tr w:rsidR="004371E3" w:rsidRPr="00B473AC" w14:paraId="1E554CA9" w14:textId="77777777" w:rsidTr="00B473AC">
        <w:trPr>
          <w:jc w:val="center"/>
        </w:trPr>
        <w:tc>
          <w:tcPr>
            <w:tcW w:w="720" w:type="dxa"/>
            <w:tcBorders>
              <w:top w:val="single" w:sz="4" w:space="0" w:color="000000"/>
              <w:left w:val="nil"/>
              <w:bottom w:val="single" w:sz="4" w:space="0" w:color="000000"/>
              <w:right w:val="nil"/>
            </w:tcBorders>
          </w:tcPr>
          <w:p w14:paraId="43211C24"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S/No</w:t>
            </w:r>
          </w:p>
        </w:tc>
        <w:tc>
          <w:tcPr>
            <w:tcW w:w="3391" w:type="dxa"/>
            <w:tcBorders>
              <w:top w:val="single" w:sz="4" w:space="0" w:color="000000"/>
              <w:left w:val="nil"/>
              <w:bottom w:val="single" w:sz="4" w:space="0" w:color="000000"/>
              <w:right w:val="nil"/>
            </w:tcBorders>
          </w:tcPr>
          <w:p w14:paraId="6841775A" w14:textId="77777777" w:rsidR="004371E3" w:rsidRPr="00B473AC" w:rsidRDefault="004371E3" w:rsidP="00B473AC">
            <w:pPr>
              <w:pBdr>
                <w:top w:val="nil"/>
                <w:left w:val="nil"/>
                <w:bottom w:val="nil"/>
                <w:right w:val="nil"/>
                <w:between w:val="nil"/>
              </w:pBdr>
              <w:spacing w:after="0" w:line="240" w:lineRule="auto"/>
              <w:rPr>
                <w:rFonts w:ascii="Times New Roman" w:hAnsi="Times New Roman" w:cs="Times New Roman"/>
                <w:bCs/>
                <w:color w:val="0E101A"/>
                <w:sz w:val="20"/>
                <w:szCs w:val="20"/>
              </w:rPr>
            </w:pPr>
            <w:r w:rsidRPr="00B473AC">
              <w:rPr>
                <w:rFonts w:ascii="Times New Roman" w:hAnsi="Times New Roman" w:cs="Times New Roman"/>
                <w:bCs/>
                <w:color w:val="000000"/>
                <w:sz w:val="20"/>
                <w:szCs w:val="20"/>
              </w:rPr>
              <w:t>Competencies required by supply chain managers to perform their jobs effectively in construction industry</w:t>
            </w:r>
          </w:p>
        </w:tc>
        <w:tc>
          <w:tcPr>
            <w:tcW w:w="617" w:type="dxa"/>
            <w:tcBorders>
              <w:top w:val="single" w:sz="4" w:space="0" w:color="000000"/>
              <w:left w:val="nil"/>
              <w:bottom w:val="single" w:sz="4" w:space="0" w:color="000000"/>
              <w:right w:val="nil"/>
            </w:tcBorders>
          </w:tcPr>
          <w:p w14:paraId="328CB593"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SA</w:t>
            </w:r>
          </w:p>
        </w:tc>
        <w:tc>
          <w:tcPr>
            <w:tcW w:w="589" w:type="dxa"/>
            <w:tcBorders>
              <w:top w:val="single" w:sz="4" w:space="0" w:color="000000"/>
              <w:left w:val="nil"/>
              <w:bottom w:val="single" w:sz="4" w:space="0" w:color="000000"/>
              <w:right w:val="nil"/>
            </w:tcBorders>
          </w:tcPr>
          <w:p w14:paraId="5B1EA83C"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A</w:t>
            </w:r>
          </w:p>
        </w:tc>
        <w:tc>
          <w:tcPr>
            <w:tcW w:w="617" w:type="dxa"/>
            <w:tcBorders>
              <w:top w:val="single" w:sz="4" w:space="0" w:color="000000"/>
              <w:left w:val="nil"/>
              <w:bottom w:val="single" w:sz="4" w:space="0" w:color="000000"/>
              <w:right w:val="nil"/>
            </w:tcBorders>
          </w:tcPr>
          <w:p w14:paraId="4228EBD9"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D</w:t>
            </w:r>
          </w:p>
        </w:tc>
        <w:tc>
          <w:tcPr>
            <w:tcW w:w="556" w:type="dxa"/>
            <w:tcBorders>
              <w:top w:val="single" w:sz="4" w:space="0" w:color="000000"/>
              <w:left w:val="nil"/>
              <w:bottom w:val="single" w:sz="4" w:space="0" w:color="000000"/>
              <w:right w:val="nil"/>
            </w:tcBorders>
          </w:tcPr>
          <w:p w14:paraId="36ECCCCF"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SD</w:t>
            </w:r>
          </w:p>
        </w:tc>
        <w:tc>
          <w:tcPr>
            <w:tcW w:w="803" w:type="dxa"/>
            <w:tcBorders>
              <w:top w:val="single" w:sz="4" w:space="0" w:color="000000"/>
              <w:left w:val="nil"/>
              <w:bottom w:val="single" w:sz="4" w:space="0" w:color="000000"/>
              <w:right w:val="nil"/>
            </w:tcBorders>
          </w:tcPr>
          <w:p w14:paraId="3579E709"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Mean</w:t>
            </w:r>
          </w:p>
        </w:tc>
        <w:tc>
          <w:tcPr>
            <w:tcW w:w="710" w:type="dxa"/>
            <w:tcBorders>
              <w:top w:val="single" w:sz="4" w:space="0" w:color="000000"/>
              <w:left w:val="nil"/>
              <w:bottom w:val="single" w:sz="4" w:space="0" w:color="000000"/>
              <w:right w:val="nil"/>
            </w:tcBorders>
          </w:tcPr>
          <w:p w14:paraId="20A102D6"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STD</w:t>
            </w:r>
          </w:p>
        </w:tc>
        <w:tc>
          <w:tcPr>
            <w:tcW w:w="777" w:type="dxa"/>
            <w:tcBorders>
              <w:top w:val="single" w:sz="4" w:space="0" w:color="000000"/>
              <w:left w:val="nil"/>
              <w:bottom w:val="single" w:sz="4" w:space="0" w:color="000000"/>
              <w:right w:val="nil"/>
            </w:tcBorders>
          </w:tcPr>
          <w:p w14:paraId="5BF698EB"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Rank</w:t>
            </w:r>
          </w:p>
        </w:tc>
      </w:tr>
      <w:tr w:rsidR="004371E3" w:rsidRPr="00B473AC" w14:paraId="5F669244" w14:textId="77777777" w:rsidTr="00B473AC">
        <w:trPr>
          <w:jc w:val="center"/>
        </w:trPr>
        <w:tc>
          <w:tcPr>
            <w:tcW w:w="720" w:type="dxa"/>
            <w:tcBorders>
              <w:top w:val="single" w:sz="4" w:space="0" w:color="000000"/>
              <w:left w:val="nil"/>
              <w:bottom w:val="nil"/>
              <w:right w:val="nil"/>
            </w:tcBorders>
          </w:tcPr>
          <w:p w14:paraId="496AA857" w14:textId="77777777" w:rsidR="004371E3" w:rsidRPr="00B473AC" w:rsidRDefault="004371E3" w:rsidP="00B473AC">
            <w:pPr>
              <w:spacing w:after="0" w:line="240" w:lineRule="auto"/>
              <w:jc w:val="both"/>
              <w:rPr>
                <w:rFonts w:ascii="Times New Roman" w:hAnsi="Times New Roman" w:cs="Times New Roman"/>
                <w:sz w:val="20"/>
                <w:szCs w:val="20"/>
              </w:rPr>
            </w:pPr>
            <w:r w:rsidRPr="00B473AC">
              <w:rPr>
                <w:rFonts w:ascii="Times New Roman" w:hAnsi="Times New Roman" w:cs="Times New Roman"/>
                <w:sz w:val="20"/>
                <w:szCs w:val="20"/>
              </w:rPr>
              <w:t>1</w:t>
            </w:r>
          </w:p>
        </w:tc>
        <w:tc>
          <w:tcPr>
            <w:tcW w:w="3391" w:type="dxa"/>
            <w:tcBorders>
              <w:top w:val="single" w:sz="4" w:space="0" w:color="000000"/>
              <w:left w:val="nil"/>
              <w:bottom w:val="nil"/>
              <w:right w:val="nil"/>
            </w:tcBorders>
          </w:tcPr>
          <w:p w14:paraId="1BC8ED3F"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Decision making</w:t>
            </w:r>
          </w:p>
        </w:tc>
        <w:tc>
          <w:tcPr>
            <w:tcW w:w="617" w:type="dxa"/>
            <w:tcBorders>
              <w:top w:val="single" w:sz="4" w:space="0" w:color="000000"/>
              <w:left w:val="nil"/>
              <w:bottom w:val="nil"/>
              <w:right w:val="nil"/>
            </w:tcBorders>
          </w:tcPr>
          <w:p w14:paraId="064242FC"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38</w:t>
            </w:r>
          </w:p>
        </w:tc>
        <w:tc>
          <w:tcPr>
            <w:tcW w:w="589" w:type="dxa"/>
            <w:tcBorders>
              <w:top w:val="single" w:sz="4" w:space="0" w:color="000000"/>
              <w:left w:val="nil"/>
              <w:bottom w:val="nil"/>
              <w:right w:val="nil"/>
            </w:tcBorders>
          </w:tcPr>
          <w:p w14:paraId="371080C2"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2</w:t>
            </w:r>
          </w:p>
        </w:tc>
        <w:tc>
          <w:tcPr>
            <w:tcW w:w="617" w:type="dxa"/>
            <w:tcBorders>
              <w:top w:val="single" w:sz="4" w:space="0" w:color="000000"/>
              <w:left w:val="nil"/>
              <w:bottom w:val="nil"/>
              <w:right w:val="nil"/>
            </w:tcBorders>
          </w:tcPr>
          <w:p w14:paraId="0F2869B2"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0</w:t>
            </w:r>
          </w:p>
        </w:tc>
        <w:tc>
          <w:tcPr>
            <w:tcW w:w="556" w:type="dxa"/>
            <w:tcBorders>
              <w:top w:val="single" w:sz="4" w:space="0" w:color="000000"/>
              <w:left w:val="nil"/>
              <w:bottom w:val="nil"/>
              <w:right w:val="nil"/>
            </w:tcBorders>
          </w:tcPr>
          <w:p w14:paraId="1C6B95A0"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0</w:t>
            </w:r>
          </w:p>
        </w:tc>
        <w:tc>
          <w:tcPr>
            <w:tcW w:w="803" w:type="dxa"/>
            <w:tcBorders>
              <w:top w:val="single" w:sz="4" w:space="0" w:color="000000"/>
              <w:left w:val="nil"/>
              <w:bottom w:val="nil"/>
              <w:right w:val="nil"/>
            </w:tcBorders>
          </w:tcPr>
          <w:p w14:paraId="6657EB4C"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3.95</w:t>
            </w:r>
          </w:p>
        </w:tc>
        <w:tc>
          <w:tcPr>
            <w:tcW w:w="710" w:type="dxa"/>
            <w:tcBorders>
              <w:top w:val="single" w:sz="4" w:space="0" w:color="000000"/>
              <w:left w:val="nil"/>
              <w:bottom w:val="nil"/>
              <w:right w:val="nil"/>
            </w:tcBorders>
          </w:tcPr>
          <w:p w14:paraId="55EAAA16"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0.22</w:t>
            </w:r>
          </w:p>
        </w:tc>
        <w:tc>
          <w:tcPr>
            <w:tcW w:w="777" w:type="dxa"/>
            <w:tcBorders>
              <w:top w:val="single" w:sz="4" w:space="0" w:color="000000"/>
              <w:left w:val="nil"/>
              <w:bottom w:val="nil"/>
              <w:right w:val="nil"/>
            </w:tcBorders>
          </w:tcPr>
          <w:p w14:paraId="268BE1EA" w14:textId="77777777" w:rsidR="004371E3" w:rsidRPr="00B473AC" w:rsidRDefault="004371E3" w:rsidP="00B473AC">
            <w:pPr>
              <w:spacing w:after="0" w:line="240" w:lineRule="auto"/>
              <w:jc w:val="center"/>
              <w:rPr>
                <w:rFonts w:ascii="Times New Roman" w:hAnsi="Times New Roman" w:cs="Times New Roman"/>
                <w:color w:val="000000"/>
                <w:sz w:val="20"/>
                <w:szCs w:val="20"/>
              </w:rPr>
            </w:pPr>
            <w:r w:rsidRPr="00B473AC">
              <w:rPr>
                <w:rFonts w:ascii="Times New Roman" w:hAnsi="Times New Roman" w:cs="Times New Roman"/>
                <w:color w:val="000000"/>
                <w:sz w:val="20"/>
                <w:szCs w:val="20"/>
              </w:rPr>
              <w:t>1</w:t>
            </w:r>
            <w:r w:rsidRPr="00B473AC">
              <w:rPr>
                <w:rFonts w:ascii="Times New Roman" w:hAnsi="Times New Roman" w:cs="Times New Roman"/>
                <w:color w:val="000000"/>
                <w:sz w:val="20"/>
                <w:szCs w:val="20"/>
                <w:vertAlign w:val="superscript"/>
              </w:rPr>
              <w:t>st</w:t>
            </w:r>
          </w:p>
        </w:tc>
      </w:tr>
      <w:tr w:rsidR="004371E3" w:rsidRPr="00B473AC" w14:paraId="3FD63CEE" w14:textId="77777777" w:rsidTr="00B473AC">
        <w:trPr>
          <w:jc w:val="center"/>
        </w:trPr>
        <w:tc>
          <w:tcPr>
            <w:tcW w:w="720" w:type="dxa"/>
            <w:tcBorders>
              <w:top w:val="nil"/>
              <w:left w:val="nil"/>
              <w:bottom w:val="nil"/>
              <w:right w:val="nil"/>
            </w:tcBorders>
          </w:tcPr>
          <w:p w14:paraId="7D0626BF" w14:textId="77777777" w:rsidR="004371E3" w:rsidRPr="00B473AC" w:rsidRDefault="004371E3" w:rsidP="00B473AC">
            <w:pPr>
              <w:spacing w:after="0" w:line="240" w:lineRule="auto"/>
              <w:jc w:val="both"/>
              <w:rPr>
                <w:rFonts w:ascii="Times New Roman" w:hAnsi="Times New Roman" w:cs="Times New Roman"/>
                <w:sz w:val="20"/>
                <w:szCs w:val="20"/>
              </w:rPr>
            </w:pPr>
            <w:r w:rsidRPr="00B473AC">
              <w:rPr>
                <w:rFonts w:ascii="Times New Roman" w:hAnsi="Times New Roman" w:cs="Times New Roman"/>
                <w:sz w:val="20"/>
                <w:szCs w:val="20"/>
              </w:rPr>
              <w:t>2</w:t>
            </w:r>
          </w:p>
        </w:tc>
        <w:tc>
          <w:tcPr>
            <w:tcW w:w="3391" w:type="dxa"/>
            <w:tcBorders>
              <w:top w:val="nil"/>
              <w:left w:val="nil"/>
              <w:bottom w:val="nil"/>
              <w:right w:val="nil"/>
            </w:tcBorders>
          </w:tcPr>
          <w:p w14:paraId="70096ABD"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Relationship management</w:t>
            </w:r>
          </w:p>
        </w:tc>
        <w:tc>
          <w:tcPr>
            <w:tcW w:w="617" w:type="dxa"/>
            <w:tcBorders>
              <w:top w:val="nil"/>
              <w:left w:val="nil"/>
              <w:bottom w:val="nil"/>
              <w:right w:val="nil"/>
            </w:tcBorders>
          </w:tcPr>
          <w:p w14:paraId="3450D085"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37</w:t>
            </w:r>
          </w:p>
        </w:tc>
        <w:tc>
          <w:tcPr>
            <w:tcW w:w="589" w:type="dxa"/>
            <w:tcBorders>
              <w:top w:val="nil"/>
              <w:left w:val="nil"/>
              <w:bottom w:val="nil"/>
              <w:right w:val="nil"/>
            </w:tcBorders>
          </w:tcPr>
          <w:p w14:paraId="1B5C3B89"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2</w:t>
            </w:r>
          </w:p>
        </w:tc>
        <w:tc>
          <w:tcPr>
            <w:tcW w:w="617" w:type="dxa"/>
            <w:tcBorders>
              <w:top w:val="nil"/>
              <w:left w:val="nil"/>
              <w:bottom w:val="nil"/>
              <w:right w:val="nil"/>
            </w:tcBorders>
          </w:tcPr>
          <w:p w14:paraId="3C64B99B"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0</w:t>
            </w:r>
          </w:p>
        </w:tc>
        <w:tc>
          <w:tcPr>
            <w:tcW w:w="556" w:type="dxa"/>
            <w:tcBorders>
              <w:top w:val="nil"/>
              <w:left w:val="nil"/>
              <w:bottom w:val="nil"/>
              <w:right w:val="nil"/>
            </w:tcBorders>
          </w:tcPr>
          <w:p w14:paraId="7F314A0B"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1</w:t>
            </w:r>
          </w:p>
        </w:tc>
        <w:tc>
          <w:tcPr>
            <w:tcW w:w="803" w:type="dxa"/>
            <w:tcBorders>
              <w:top w:val="nil"/>
              <w:left w:val="nil"/>
              <w:bottom w:val="nil"/>
              <w:right w:val="nil"/>
            </w:tcBorders>
          </w:tcPr>
          <w:p w14:paraId="20F286ED"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3.88</w:t>
            </w:r>
          </w:p>
        </w:tc>
        <w:tc>
          <w:tcPr>
            <w:tcW w:w="710" w:type="dxa"/>
            <w:tcBorders>
              <w:top w:val="nil"/>
              <w:left w:val="nil"/>
              <w:bottom w:val="nil"/>
              <w:right w:val="nil"/>
            </w:tcBorders>
          </w:tcPr>
          <w:p w14:paraId="132F008D"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0.51</w:t>
            </w:r>
          </w:p>
        </w:tc>
        <w:tc>
          <w:tcPr>
            <w:tcW w:w="777" w:type="dxa"/>
            <w:tcBorders>
              <w:top w:val="nil"/>
              <w:left w:val="nil"/>
              <w:bottom w:val="nil"/>
              <w:right w:val="nil"/>
            </w:tcBorders>
          </w:tcPr>
          <w:p w14:paraId="0D34DB85" w14:textId="77777777" w:rsidR="004371E3" w:rsidRPr="00B473AC" w:rsidRDefault="004371E3" w:rsidP="00B473AC">
            <w:pPr>
              <w:spacing w:after="0" w:line="240" w:lineRule="auto"/>
              <w:jc w:val="center"/>
              <w:rPr>
                <w:rFonts w:ascii="Times New Roman" w:hAnsi="Times New Roman" w:cs="Times New Roman"/>
                <w:color w:val="000000"/>
                <w:sz w:val="20"/>
                <w:szCs w:val="20"/>
              </w:rPr>
            </w:pPr>
            <w:r w:rsidRPr="00B473AC">
              <w:rPr>
                <w:rFonts w:ascii="Times New Roman" w:hAnsi="Times New Roman" w:cs="Times New Roman"/>
                <w:color w:val="000000"/>
                <w:sz w:val="20"/>
                <w:szCs w:val="20"/>
              </w:rPr>
              <w:t>2</w:t>
            </w:r>
            <w:r w:rsidRPr="00B473AC">
              <w:rPr>
                <w:rFonts w:ascii="Times New Roman" w:hAnsi="Times New Roman" w:cs="Times New Roman"/>
                <w:color w:val="000000"/>
                <w:sz w:val="20"/>
                <w:szCs w:val="20"/>
                <w:vertAlign w:val="superscript"/>
              </w:rPr>
              <w:t>nd</w:t>
            </w:r>
          </w:p>
        </w:tc>
      </w:tr>
      <w:tr w:rsidR="004371E3" w:rsidRPr="00B473AC" w14:paraId="1C6125E1" w14:textId="77777777" w:rsidTr="00B473AC">
        <w:trPr>
          <w:jc w:val="center"/>
        </w:trPr>
        <w:tc>
          <w:tcPr>
            <w:tcW w:w="720" w:type="dxa"/>
            <w:tcBorders>
              <w:top w:val="nil"/>
              <w:left w:val="nil"/>
              <w:bottom w:val="nil"/>
              <w:right w:val="nil"/>
            </w:tcBorders>
          </w:tcPr>
          <w:p w14:paraId="18EC5878" w14:textId="77777777" w:rsidR="004371E3" w:rsidRPr="00B473AC" w:rsidRDefault="004371E3" w:rsidP="00B473AC">
            <w:pPr>
              <w:spacing w:after="0" w:line="240" w:lineRule="auto"/>
              <w:jc w:val="both"/>
              <w:rPr>
                <w:rFonts w:ascii="Times New Roman" w:hAnsi="Times New Roman" w:cs="Times New Roman"/>
                <w:sz w:val="20"/>
                <w:szCs w:val="20"/>
              </w:rPr>
            </w:pPr>
            <w:r w:rsidRPr="00B473AC">
              <w:rPr>
                <w:rFonts w:ascii="Times New Roman" w:hAnsi="Times New Roman" w:cs="Times New Roman"/>
                <w:sz w:val="20"/>
                <w:szCs w:val="20"/>
              </w:rPr>
              <w:t>3</w:t>
            </w:r>
          </w:p>
        </w:tc>
        <w:tc>
          <w:tcPr>
            <w:tcW w:w="3391" w:type="dxa"/>
            <w:tcBorders>
              <w:top w:val="nil"/>
              <w:left w:val="nil"/>
              <w:bottom w:val="nil"/>
              <w:right w:val="nil"/>
            </w:tcBorders>
          </w:tcPr>
          <w:p w14:paraId="3E0ABD8C"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Communication</w:t>
            </w:r>
          </w:p>
        </w:tc>
        <w:tc>
          <w:tcPr>
            <w:tcW w:w="617" w:type="dxa"/>
            <w:tcBorders>
              <w:top w:val="nil"/>
              <w:left w:val="nil"/>
              <w:bottom w:val="nil"/>
              <w:right w:val="nil"/>
            </w:tcBorders>
          </w:tcPr>
          <w:p w14:paraId="3D16886A"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32</w:t>
            </w:r>
          </w:p>
        </w:tc>
        <w:tc>
          <w:tcPr>
            <w:tcW w:w="589" w:type="dxa"/>
            <w:tcBorders>
              <w:top w:val="nil"/>
              <w:left w:val="nil"/>
              <w:bottom w:val="nil"/>
              <w:right w:val="nil"/>
            </w:tcBorders>
          </w:tcPr>
          <w:p w14:paraId="247C1B35"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1</w:t>
            </w:r>
          </w:p>
        </w:tc>
        <w:tc>
          <w:tcPr>
            <w:tcW w:w="617" w:type="dxa"/>
            <w:tcBorders>
              <w:top w:val="nil"/>
              <w:left w:val="nil"/>
              <w:bottom w:val="nil"/>
              <w:right w:val="nil"/>
            </w:tcBorders>
          </w:tcPr>
          <w:p w14:paraId="482C8BC8"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5</w:t>
            </w:r>
          </w:p>
        </w:tc>
        <w:tc>
          <w:tcPr>
            <w:tcW w:w="556" w:type="dxa"/>
            <w:tcBorders>
              <w:top w:val="nil"/>
              <w:left w:val="nil"/>
              <w:bottom w:val="nil"/>
              <w:right w:val="nil"/>
            </w:tcBorders>
          </w:tcPr>
          <w:p w14:paraId="6FFB5517"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2</w:t>
            </w:r>
          </w:p>
        </w:tc>
        <w:tc>
          <w:tcPr>
            <w:tcW w:w="803" w:type="dxa"/>
            <w:tcBorders>
              <w:top w:val="nil"/>
              <w:left w:val="nil"/>
              <w:bottom w:val="nil"/>
              <w:right w:val="nil"/>
            </w:tcBorders>
          </w:tcPr>
          <w:p w14:paraId="17FC409B"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3.58</w:t>
            </w:r>
          </w:p>
        </w:tc>
        <w:tc>
          <w:tcPr>
            <w:tcW w:w="710" w:type="dxa"/>
            <w:tcBorders>
              <w:top w:val="nil"/>
              <w:left w:val="nil"/>
              <w:bottom w:val="nil"/>
              <w:right w:val="nil"/>
            </w:tcBorders>
          </w:tcPr>
          <w:p w14:paraId="4347277E"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0.89</w:t>
            </w:r>
          </w:p>
        </w:tc>
        <w:tc>
          <w:tcPr>
            <w:tcW w:w="777" w:type="dxa"/>
            <w:tcBorders>
              <w:top w:val="nil"/>
              <w:left w:val="nil"/>
              <w:bottom w:val="nil"/>
              <w:right w:val="nil"/>
            </w:tcBorders>
          </w:tcPr>
          <w:p w14:paraId="1BC2D48F" w14:textId="77777777" w:rsidR="004371E3" w:rsidRPr="00B473AC" w:rsidRDefault="004371E3" w:rsidP="00B473AC">
            <w:pPr>
              <w:spacing w:after="0" w:line="240" w:lineRule="auto"/>
              <w:jc w:val="center"/>
              <w:rPr>
                <w:rFonts w:ascii="Times New Roman" w:hAnsi="Times New Roman" w:cs="Times New Roman"/>
                <w:color w:val="000000"/>
                <w:sz w:val="20"/>
                <w:szCs w:val="20"/>
              </w:rPr>
            </w:pPr>
            <w:r w:rsidRPr="00B473AC">
              <w:rPr>
                <w:rFonts w:ascii="Times New Roman" w:hAnsi="Times New Roman" w:cs="Times New Roman"/>
                <w:color w:val="000000"/>
                <w:sz w:val="20"/>
                <w:szCs w:val="20"/>
              </w:rPr>
              <w:t>3</w:t>
            </w:r>
            <w:r w:rsidRPr="00B473AC">
              <w:rPr>
                <w:rFonts w:ascii="Times New Roman" w:hAnsi="Times New Roman" w:cs="Times New Roman"/>
                <w:color w:val="000000"/>
                <w:sz w:val="20"/>
                <w:szCs w:val="20"/>
                <w:vertAlign w:val="superscript"/>
              </w:rPr>
              <w:t>rd</w:t>
            </w:r>
          </w:p>
        </w:tc>
      </w:tr>
      <w:tr w:rsidR="004371E3" w:rsidRPr="00B473AC" w14:paraId="3C17B1E4" w14:textId="77777777" w:rsidTr="00B473AC">
        <w:trPr>
          <w:jc w:val="center"/>
        </w:trPr>
        <w:tc>
          <w:tcPr>
            <w:tcW w:w="720" w:type="dxa"/>
            <w:tcBorders>
              <w:top w:val="nil"/>
              <w:left w:val="nil"/>
              <w:bottom w:val="nil"/>
              <w:right w:val="nil"/>
            </w:tcBorders>
          </w:tcPr>
          <w:p w14:paraId="55F6D77E" w14:textId="77777777" w:rsidR="004371E3" w:rsidRPr="00B473AC" w:rsidRDefault="004371E3" w:rsidP="00B473AC">
            <w:pPr>
              <w:spacing w:after="0" w:line="240" w:lineRule="auto"/>
              <w:jc w:val="both"/>
              <w:rPr>
                <w:rFonts w:ascii="Times New Roman" w:hAnsi="Times New Roman" w:cs="Times New Roman"/>
                <w:sz w:val="20"/>
                <w:szCs w:val="20"/>
              </w:rPr>
            </w:pPr>
            <w:r w:rsidRPr="00B473AC">
              <w:rPr>
                <w:rFonts w:ascii="Times New Roman" w:hAnsi="Times New Roman" w:cs="Times New Roman"/>
                <w:sz w:val="20"/>
                <w:szCs w:val="20"/>
              </w:rPr>
              <w:t>4</w:t>
            </w:r>
          </w:p>
        </w:tc>
        <w:tc>
          <w:tcPr>
            <w:tcW w:w="3391" w:type="dxa"/>
            <w:tcBorders>
              <w:top w:val="nil"/>
              <w:left w:val="nil"/>
              <w:bottom w:val="nil"/>
              <w:right w:val="nil"/>
            </w:tcBorders>
          </w:tcPr>
          <w:p w14:paraId="79B5E3CC"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Problem solving</w:t>
            </w:r>
          </w:p>
        </w:tc>
        <w:tc>
          <w:tcPr>
            <w:tcW w:w="617" w:type="dxa"/>
            <w:tcBorders>
              <w:top w:val="nil"/>
              <w:left w:val="nil"/>
              <w:bottom w:val="nil"/>
              <w:right w:val="nil"/>
            </w:tcBorders>
          </w:tcPr>
          <w:p w14:paraId="51F0FFF2"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29</w:t>
            </w:r>
          </w:p>
        </w:tc>
        <w:tc>
          <w:tcPr>
            <w:tcW w:w="589" w:type="dxa"/>
            <w:tcBorders>
              <w:top w:val="nil"/>
              <w:left w:val="nil"/>
              <w:bottom w:val="nil"/>
              <w:right w:val="nil"/>
            </w:tcBorders>
          </w:tcPr>
          <w:p w14:paraId="2597C40D"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5</w:t>
            </w:r>
          </w:p>
        </w:tc>
        <w:tc>
          <w:tcPr>
            <w:tcW w:w="617" w:type="dxa"/>
            <w:tcBorders>
              <w:top w:val="nil"/>
              <w:left w:val="nil"/>
              <w:bottom w:val="nil"/>
              <w:right w:val="nil"/>
            </w:tcBorders>
          </w:tcPr>
          <w:p w14:paraId="4A48F818"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2</w:t>
            </w:r>
          </w:p>
        </w:tc>
        <w:tc>
          <w:tcPr>
            <w:tcW w:w="556" w:type="dxa"/>
            <w:tcBorders>
              <w:top w:val="nil"/>
              <w:left w:val="nil"/>
              <w:bottom w:val="nil"/>
              <w:right w:val="nil"/>
            </w:tcBorders>
          </w:tcPr>
          <w:p w14:paraId="6C629499"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4</w:t>
            </w:r>
          </w:p>
        </w:tc>
        <w:tc>
          <w:tcPr>
            <w:tcW w:w="803" w:type="dxa"/>
            <w:tcBorders>
              <w:top w:val="nil"/>
              <w:left w:val="nil"/>
              <w:bottom w:val="nil"/>
              <w:right w:val="nil"/>
            </w:tcBorders>
          </w:tcPr>
          <w:p w14:paraId="1CEB904B"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3.48</w:t>
            </w:r>
          </w:p>
        </w:tc>
        <w:tc>
          <w:tcPr>
            <w:tcW w:w="710" w:type="dxa"/>
            <w:tcBorders>
              <w:top w:val="nil"/>
              <w:left w:val="nil"/>
              <w:bottom w:val="nil"/>
              <w:right w:val="nil"/>
            </w:tcBorders>
          </w:tcPr>
          <w:p w14:paraId="140B5781"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0.97</w:t>
            </w:r>
          </w:p>
        </w:tc>
        <w:tc>
          <w:tcPr>
            <w:tcW w:w="777" w:type="dxa"/>
            <w:tcBorders>
              <w:top w:val="nil"/>
              <w:left w:val="nil"/>
              <w:bottom w:val="nil"/>
              <w:right w:val="nil"/>
            </w:tcBorders>
          </w:tcPr>
          <w:p w14:paraId="1228A391" w14:textId="77777777" w:rsidR="004371E3" w:rsidRPr="00B473AC" w:rsidRDefault="004371E3" w:rsidP="00B473AC">
            <w:pPr>
              <w:spacing w:after="0" w:line="240" w:lineRule="auto"/>
              <w:jc w:val="center"/>
              <w:rPr>
                <w:rFonts w:ascii="Times New Roman" w:hAnsi="Times New Roman" w:cs="Times New Roman"/>
                <w:color w:val="000000"/>
                <w:sz w:val="20"/>
                <w:szCs w:val="20"/>
              </w:rPr>
            </w:pPr>
            <w:r w:rsidRPr="00B473AC">
              <w:rPr>
                <w:rFonts w:ascii="Times New Roman" w:hAnsi="Times New Roman" w:cs="Times New Roman"/>
                <w:color w:val="000000"/>
                <w:sz w:val="20"/>
                <w:szCs w:val="20"/>
              </w:rPr>
              <w:t>4</w:t>
            </w:r>
            <w:r w:rsidRPr="00B473AC">
              <w:rPr>
                <w:rFonts w:ascii="Times New Roman" w:hAnsi="Times New Roman" w:cs="Times New Roman"/>
                <w:color w:val="000000"/>
                <w:sz w:val="20"/>
                <w:szCs w:val="20"/>
                <w:vertAlign w:val="superscript"/>
              </w:rPr>
              <w:t>th</w:t>
            </w:r>
          </w:p>
        </w:tc>
      </w:tr>
      <w:tr w:rsidR="004371E3" w:rsidRPr="00B473AC" w14:paraId="3E0BAC2B" w14:textId="77777777" w:rsidTr="00B473AC">
        <w:trPr>
          <w:jc w:val="center"/>
        </w:trPr>
        <w:tc>
          <w:tcPr>
            <w:tcW w:w="720" w:type="dxa"/>
            <w:tcBorders>
              <w:top w:val="nil"/>
              <w:left w:val="nil"/>
              <w:bottom w:val="nil"/>
              <w:right w:val="nil"/>
            </w:tcBorders>
          </w:tcPr>
          <w:p w14:paraId="741044DA" w14:textId="77777777" w:rsidR="004371E3" w:rsidRPr="00B473AC" w:rsidRDefault="004371E3" w:rsidP="00B473AC">
            <w:pPr>
              <w:spacing w:after="0" w:line="240" w:lineRule="auto"/>
              <w:jc w:val="both"/>
              <w:rPr>
                <w:rFonts w:ascii="Times New Roman" w:hAnsi="Times New Roman" w:cs="Times New Roman"/>
                <w:sz w:val="20"/>
                <w:szCs w:val="20"/>
              </w:rPr>
            </w:pPr>
            <w:r w:rsidRPr="00B473AC">
              <w:rPr>
                <w:rFonts w:ascii="Times New Roman" w:hAnsi="Times New Roman" w:cs="Times New Roman"/>
                <w:sz w:val="20"/>
                <w:szCs w:val="20"/>
              </w:rPr>
              <w:t>5</w:t>
            </w:r>
          </w:p>
        </w:tc>
        <w:tc>
          <w:tcPr>
            <w:tcW w:w="3391" w:type="dxa"/>
            <w:tcBorders>
              <w:top w:val="nil"/>
              <w:left w:val="nil"/>
              <w:bottom w:val="nil"/>
              <w:right w:val="nil"/>
            </w:tcBorders>
          </w:tcPr>
          <w:p w14:paraId="2F2E54E9"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Project management</w:t>
            </w:r>
          </w:p>
        </w:tc>
        <w:tc>
          <w:tcPr>
            <w:tcW w:w="617" w:type="dxa"/>
            <w:tcBorders>
              <w:top w:val="nil"/>
              <w:left w:val="nil"/>
              <w:bottom w:val="nil"/>
              <w:right w:val="nil"/>
            </w:tcBorders>
          </w:tcPr>
          <w:p w14:paraId="1F7C2FE9"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26</w:t>
            </w:r>
          </w:p>
        </w:tc>
        <w:tc>
          <w:tcPr>
            <w:tcW w:w="589" w:type="dxa"/>
            <w:tcBorders>
              <w:top w:val="nil"/>
              <w:left w:val="nil"/>
              <w:bottom w:val="nil"/>
              <w:right w:val="nil"/>
            </w:tcBorders>
          </w:tcPr>
          <w:p w14:paraId="7A46B922"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5</w:t>
            </w:r>
          </w:p>
        </w:tc>
        <w:tc>
          <w:tcPr>
            <w:tcW w:w="617" w:type="dxa"/>
            <w:tcBorders>
              <w:top w:val="nil"/>
              <w:left w:val="nil"/>
              <w:bottom w:val="nil"/>
              <w:right w:val="nil"/>
            </w:tcBorders>
          </w:tcPr>
          <w:p w14:paraId="06395619"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4</w:t>
            </w:r>
          </w:p>
        </w:tc>
        <w:tc>
          <w:tcPr>
            <w:tcW w:w="556" w:type="dxa"/>
            <w:tcBorders>
              <w:top w:val="nil"/>
              <w:left w:val="nil"/>
              <w:bottom w:val="nil"/>
              <w:right w:val="nil"/>
            </w:tcBorders>
          </w:tcPr>
          <w:p w14:paraId="60A8C396"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5</w:t>
            </w:r>
          </w:p>
        </w:tc>
        <w:tc>
          <w:tcPr>
            <w:tcW w:w="803" w:type="dxa"/>
            <w:tcBorders>
              <w:top w:val="nil"/>
              <w:left w:val="nil"/>
              <w:bottom w:val="nil"/>
              <w:right w:val="nil"/>
            </w:tcBorders>
          </w:tcPr>
          <w:p w14:paraId="45644EC6"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3.30</w:t>
            </w:r>
          </w:p>
        </w:tc>
        <w:tc>
          <w:tcPr>
            <w:tcW w:w="710" w:type="dxa"/>
            <w:tcBorders>
              <w:top w:val="nil"/>
              <w:left w:val="nil"/>
              <w:bottom w:val="nil"/>
              <w:right w:val="nil"/>
            </w:tcBorders>
          </w:tcPr>
          <w:p w14:paraId="342ED061"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1.08</w:t>
            </w:r>
          </w:p>
        </w:tc>
        <w:tc>
          <w:tcPr>
            <w:tcW w:w="777" w:type="dxa"/>
            <w:tcBorders>
              <w:top w:val="nil"/>
              <w:left w:val="nil"/>
              <w:bottom w:val="nil"/>
              <w:right w:val="nil"/>
            </w:tcBorders>
          </w:tcPr>
          <w:p w14:paraId="02FCF9E6" w14:textId="77777777" w:rsidR="004371E3" w:rsidRPr="00B473AC" w:rsidRDefault="004371E3" w:rsidP="00B473AC">
            <w:pPr>
              <w:spacing w:after="0" w:line="240" w:lineRule="auto"/>
              <w:jc w:val="center"/>
              <w:rPr>
                <w:rFonts w:ascii="Times New Roman" w:hAnsi="Times New Roman" w:cs="Times New Roman"/>
                <w:color w:val="000000"/>
                <w:sz w:val="20"/>
                <w:szCs w:val="20"/>
              </w:rPr>
            </w:pPr>
            <w:r w:rsidRPr="00B473AC">
              <w:rPr>
                <w:rFonts w:ascii="Times New Roman" w:hAnsi="Times New Roman" w:cs="Times New Roman"/>
                <w:color w:val="000000"/>
                <w:sz w:val="20"/>
                <w:szCs w:val="20"/>
              </w:rPr>
              <w:t>5</w:t>
            </w:r>
            <w:r w:rsidRPr="00B473AC">
              <w:rPr>
                <w:rFonts w:ascii="Times New Roman" w:hAnsi="Times New Roman" w:cs="Times New Roman"/>
                <w:color w:val="000000"/>
                <w:sz w:val="20"/>
                <w:szCs w:val="20"/>
                <w:vertAlign w:val="superscript"/>
              </w:rPr>
              <w:t>th</w:t>
            </w:r>
          </w:p>
        </w:tc>
      </w:tr>
      <w:tr w:rsidR="004371E3" w:rsidRPr="00B473AC" w14:paraId="7732DD5F" w14:textId="77777777" w:rsidTr="00B473AC">
        <w:trPr>
          <w:jc w:val="center"/>
        </w:trPr>
        <w:tc>
          <w:tcPr>
            <w:tcW w:w="720" w:type="dxa"/>
            <w:tcBorders>
              <w:top w:val="nil"/>
              <w:left w:val="nil"/>
              <w:bottom w:val="single" w:sz="4" w:space="0" w:color="000000"/>
              <w:right w:val="nil"/>
            </w:tcBorders>
          </w:tcPr>
          <w:p w14:paraId="60D8CFA1" w14:textId="77777777" w:rsidR="004371E3" w:rsidRPr="00B473AC" w:rsidRDefault="004371E3" w:rsidP="00B473AC">
            <w:pPr>
              <w:spacing w:after="0" w:line="240" w:lineRule="auto"/>
              <w:jc w:val="both"/>
              <w:rPr>
                <w:rFonts w:ascii="Times New Roman" w:hAnsi="Times New Roman" w:cs="Times New Roman"/>
                <w:b/>
                <w:sz w:val="20"/>
                <w:szCs w:val="20"/>
              </w:rPr>
            </w:pPr>
          </w:p>
        </w:tc>
        <w:tc>
          <w:tcPr>
            <w:tcW w:w="3391" w:type="dxa"/>
            <w:tcBorders>
              <w:top w:val="nil"/>
              <w:left w:val="nil"/>
              <w:bottom w:val="single" w:sz="4" w:space="0" w:color="000000"/>
              <w:right w:val="nil"/>
            </w:tcBorders>
          </w:tcPr>
          <w:p w14:paraId="78A23471" w14:textId="77777777" w:rsidR="004371E3" w:rsidRPr="00B473AC" w:rsidRDefault="004371E3" w:rsidP="00B473AC">
            <w:pPr>
              <w:spacing w:after="0" w:line="240" w:lineRule="auto"/>
              <w:rPr>
                <w:rFonts w:ascii="Times New Roman" w:hAnsi="Times New Roman" w:cs="Times New Roman"/>
                <w:b/>
                <w:sz w:val="20"/>
                <w:szCs w:val="20"/>
              </w:rPr>
            </w:pPr>
            <w:r w:rsidRPr="00B473AC">
              <w:rPr>
                <w:rFonts w:ascii="Times New Roman" w:hAnsi="Times New Roman" w:cs="Times New Roman"/>
                <w:b/>
                <w:color w:val="000000"/>
                <w:sz w:val="20"/>
                <w:szCs w:val="20"/>
              </w:rPr>
              <w:t>Cluster Mean</w:t>
            </w:r>
          </w:p>
        </w:tc>
        <w:tc>
          <w:tcPr>
            <w:tcW w:w="617" w:type="dxa"/>
            <w:tcBorders>
              <w:top w:val="nil"/>
              <w:left w:val="nil"/>
              <w:bottom w:val="single" w:sz="4" w:space="0" w:color="000000"/>
              <w:right w:val="nil"/>
            </w:tcBorders>
          </w:tcPr>
          <w:p w14:paraId="01C2D4E8" w14:textId="77777777" w:rsidR="004371E3" w:rsidRPr="00B473AC" w:rsidRDefault="004371E3" w:rsidP="00B473AC">
            <w:pPr>
              <w:spacing w:after="0" w:line="240" w:lineRule="auto"/>
              <w:jc w:val="center"/>
              <w:rPr>
                <w:rFonts w:ascii="Times New Roman" w:hAnsi="Times New Roman" w:cs="Times New Roman"/>
                <w:sz w:val="20"/>
                <w:szCs w:val="20"/>
              </w:rPr>
            </w:pPr>
          </w:p>
        </w:tc>
        <w:tc>
          <w:tcPr>
            <w:tcW w:w="589" w:type="dxa"/>
            <w:tcBorders>
              <w:top w:val="nil"/>
              <w:left w:val="nil"/>
              <w:bottom w:val="single" w:sz="4" w:space="0" w:color="000000"/>
              <w:right w:val="nil"/>
            </w:tcBorders>
          </w:tcPr>
          <w:p w14:paraId="2A6E7384" w14:textId="77777777" w:rsidR="004371E3" w:rsidRPr="00B473AC" w:rsidRDefault="004371E3" w:rsidP="00B473AC">
            <w:pPr>
              <w:spacing w:after="0" w:line="240" w:lineRule="auto"/>
              <w:jc w:val="center"/>
              <w:rPr>
                <w:rFonts w:ascii="Times New Roman" w:hAnsi="Times New Roman" w:cs="Times New Roman"/>
                <w:sz w:val="20"/>
                <w:szCs w:val="20"/>
              </w:rPr>
            </w:pPr>
          </w:p>
        </w:tc>
        <w:tc>
          <w:tcPr>
            <w:tcW w:w="617" w:type="dxa"/>
            <w:tcBorders>
              <w:top w:val="nil"/>
              <w:left w:val="nil"/>
              <w:bottom w:val="single" w:sz="4" w:space="0" w:color="000000"/>
              <w:right w:val="nil"/>
            </w:tcBorders>
          </w:tcPr>
          <w:p w14:paraId="6A526160" w14:textId="77777777" w:rsidR="004371E3" w:rsidRPr="00B473AC" w:rsidRDefault="004371E3" w:rsidP="00B473AC">
            <w:pPr>
              <w:spacing w:after="0" w:line="240" w:lineRule="auto"/>
              <w:jc w:val="center"/>
              <w:rPr>
                <w:rFonts w:ascii="Times New Roman" w:hAnsi="Times New Roman" w:cs="Times New Roman"/>
                <w:sz w:val="20"/>
                <w:szCs w:val="20"/>
              </w:rPr>
            </w:pPr>
          </w:p>
        </w:tc>
        <w:tc>
          <w:tcPr>
            <w:tcW w:w="556" w:type="dxa"/>
            <w:tcBorders>
              <w:top w:val="nil"/>
              <w:left w:val="nil"/>
              <w:bottom w:val="single" w:sz="4" w:space="0" w:color="000000"/>
              <w:right w:val="nil"/>
            </w:tcBorders>
          </w:tcPr>
          <w:p w14:paraId="756E8939" w14:textId="77777777" w:rsidR="004371E3" w:rsidRPr="00B473AC" w:rsidRDefault="004371E3" w:rsidP="00B473AC">
            <w:pPr>
              <w:spacing w:after="0" w:line="240" w:lineRule="auto"/>
              <w:jc w:val="center"/>
              <w:rPr>
                <w:rFonts w:ascii="Times New Roman" w:hAnsi="Times New Roman" w:cs="Times New Roman"/>
                <w:sz w:val="20"/>
                <w:szCs w:val="20"/>
              </w:rPr>
            </w:pPr>
          </w:p>
        </w:tc>
        <w:tc>
          <w:tcPr>
            <w:tcW w:w="803" w:type="dxa"/>
            <w:tcBorders>
              <w:top w:val="nil"/>
              <w:left w:val="nil"/>
              <w:bottom w:val="single" w:sz="4" w:space="0" w:color="000000"/>
              <w:right w:val="nil"/>
            </w:tcBorders>
          </w:tcPr>
          <w:p w14:paraId="2C933862" w14:textId="77777777" w:rsidR="004371E3" w:rsidRPr="00B473AC" w:rsidRDefault="004371E3" w:rsidP="00B473AC">
            <w:pPr>
              <w:spacing w:after="0" w:line="240" w:lineRule="auto"/>
              <w:jc w:val="center"/>
              <w:rPr>
                <w:rFonts w:ascii="Times New Roman" w:hAnsi="Times New Roman" w:cs="Times New Roman"/>
                <w:b/>
                <w:sz w:val="20"/>
                <w:szCs w:val="20"/>
              </w:rPr>
            </w:pPr>
            <w:r w:rsidRPr="00B473AC">
              <w:rPr>
                <w:rFonts w:ascii="Times New Roman" w:hAnsi="Times New Roman" w:cs="Times New Roman"/>
                <w:b/>
                <w:color w:val="000000"/>
                <w:sz w:val="20"/>
                <w:szCs w:val="20"/>
              </w:rPr>
              <w:t>3.71</w:t>
            </w:r>
          </w:p>
        </w:tc>
        <w:tc>
          <w:tcPr>
            <w:tcW w:w="710" w:type="dxa"/>
            <w:tcBorders>
              <w:top w:val="nil"/>
              <w:left w:val="nil"/>
              <w:bottom w:val="single" w:sz="4" w:space="0" w:color="000000"/>
              <w:right w:val="nil"/>
            </w:tcBorders>
          </w:tcPr>
          <w:p w14:paraId="26E6D800" w14:textId="77777777" w:rsidR="004371E3" w:rsidRPr="00B473AC" w:rsidRDefault="004371E3" w:rsidP="00B473AC">
            <w:pPr>
              <w:spacing w:after="0" w:line="240" w:lineRule="auto"/>
              <w:jc w:val="center"/>
              <w:rPr>
                <w:rFonts w:ascii="Times New Roman" w:hAnsi="Times New Roman" w:cs="Times New Roman"/>
                <w:b/>
                <w:sz w:val="20"/>
                <w:szCs w:val="20"/>
              </w:rPr>
            </w:pPr>
            <w:r w:rsidRPr="00B473AC">
              <w:rPr>
                <w:rFonts w:ascii="Times New Roman" w:hAnsi="Times New Roman" w:cs="Times New Roman"/>
                <w:b/>
                <w:color w:val="000000"/>
                <w:sz w:val="20"/>
                <w:szCs w:val="20"/>
              </w:rPr>
              <w:t>0.67</w:t>
            </w:r>
          </w:p>
        </w:tc>
        <w:tc>
          <w:tcPr>
            <w:tcW w:w="777" w:type="dxa"/>
            <w:tcBorders>
              <w:top w:val="nil"/>
              <w:left w:val="nil"/>
              <w:bottom w:val="single" w:sz="4" w:space="0" w:color="000000"/>
              <w:right w:val="nil"/>
            </w:tcBorders>
          </w:tcPr>
          <w:p w14:paraId="00F94E06" w14:textId="77777777" w:rsidR="004371E3" w:rsidRPr="00B473AC" w:rsidRDefault="004371E3" w:rsidP="00B473AC">
            <w:pPr>
              <w:spacing w:after="0" w:line="240" w:lineRule="auto"/>
              <w:jc w:val="center"/>
              <w:rPr>
                <w:rFonts w:ascii="Times New Roman" w:hAnsi="Times New Roman" w:cs="Times New Roman"/>
                <w:b/>
                <w:color w:val="000000"/>
                <w:sz w:val="20"/>
                <w:szCs w:val="20"/>
              </w:rPr>
            </w:pPr>
          </w:p>
        </w:tc>
      </w:tr>
    </w:tbl>
    <w:p w14:paraId="75637142" w14:textId="77777777" w:rsidR="004371E3" w:rsidRPr="00BE4AF3" w:rsidRDefault="004371E3" w:rsidP="004371E3">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Keys:</w:t>
      </w:r>
      <w:r w:rsidRPr="00BE4AF3">
        <w:rPr>
          <w:rFonts w:ascii="Times New Roman" w:hAnsi="Times New Roman" w:cs="Times New Roman"/>
          <w:sz w:val="24"/>
          <w:szCs w:val="24"/>
        </w:rPr>
        <w:t xml:space="preserve"> SA- Strongly Agree, A – Agree, D – Disagree, SD – Strongly Disagree</w:t>
      </w:r>
    </w:p>
    <w:p w14:paraId="3831F9BA" w14:textId="77777777" w:rsidR="00B473AC" w:rsidRDefault="00B473AC" w:rsidP="00B473AC">
      <w:pPr>
        <w:spacing w:after="0" w:line="240" w:lineRule="auto"/>
        <w:jc w:val="both"/>
        <w:rPr>
          <w:rFonts w:ascii="Times New Roman" w:hAnsi="Times New Roman" w:cs="Times New Roman"/>
          <w:sz w:val="24"/>
          <w:szCs w:val="24"/>
        </w:rPr>
      </w:pPr>
    </w:p>
    <w:p w14:paraId="02FCDE00" w14:textId="07FAB658" w:rsidR="004371E3" w:rsidRPr="00BE4AF3" w:rsidRDefault="004371E3" w:rsidP="00B473A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Table 8 reveals </w:t>
      </w:r>
      <w:r w:rsidRPr="00BE4AF3">
        <w:rPr>
          <w:rFonts w:ascii="Times New Roman" w:hAnsi="Times New Roman" w:cs="Times New Roman"/>
          <w:color w:val="000000"/>
          <w:sz w:val="24"/>
          <w:szCs w:val="24"/>
        </w:rPr>
        <w:t>the competencies required by supply chain managers to perform their jobs effectively in construction industry in Abuja, Nigeria</w:t>
      </w:r>
      <w:r w:rsidRPr="00BE4AF3">
        <w:rPr>
          <w:rFonts w:ascii="Times New Roman" w:hAnsi="Times New Roman" w:cs="Times New Roman"/>
          <w:sz w:val="24"/>
          <w:szCs w:val="24"/>
        </w:rPr>
        <w:t xml:space="preserve">. Respondents rated agreed to all the items. Based on the cutoff point mark of 2.50, respondents accepted decision making, relationship management, communication, problem solving and project management as </w:t>
      </w:r>
      <w:r w:rsidR="00B473AC" w:rsidRPr="00BE4AF3">
        <w:rPr>
          <w:rFonts w:ascii="Times New Roman" w:hAnsi="Times New Roman" w:cs="Times New Roman"/>
          <w:sz w:val="24"/>
          <w:szCs w:val="24"/>
        </w:rPr>
        <w:t xml:space="preserve">the </w:t>
      </w:r>
      <w:r w:rsidR="00B473AC" w:rsidRPr="00BE4AF3">
        <w:rPr>
          <w:rFonts w:ascii="Times New Roman" w:hAnsi="Times New Roman" w:cs="Times New Roman"/>
          <w:color w:val="000000"/>
          <w:sz w:val="24"/>
          <w:szCs w:val="24"/>
        </w:rPr>
        <w:t>competencies</w:t>
      </w:r>
      <w:r w:rsidRPr="00BE4AF3">
        <w:rPr>
          <w:rFonts w:ascii="Times New Roman" w:hAnsi="Times New Roman" w:cs="Times New Roman"/>
          <w:color w:val="000000"/>
          <w:sz w:val="24"/>
          <w:szCs w:val="24"/>
        </w:rPr>
        <w:t xml:space="preserve"> required by supply chain managers to perform their jobs effectively in construction industry in Abuja, Nigeria</w:t>
      </w:r>
      <w:r w:rsidRPr="00BE4AF3">
        <w:rPr>
          <w:rFonts w:ascii="Times New Roman" w:hAnsi="Times New Roman" w:cs="Times New Roman"/>
          <w:sz w:val="24"/>
          <w:szCs w:val="24"/>
        </w:rPr>
        <w:t>.  The clustered mean and standard deviation are 3.71 and 0.67.</w:t>
      </w:r>
    </w:p>
    <w:p w14:paraId="39DD6491" w14:textId="77777777" w:rsidR="004371E3" w:rsidRPr="00BE4AF3" w:rsidRDefault="004371E3" w:rsidP="004371E3">
      <w:pPr>
        <w:spacing w:after="0" w:line="240" w:lineRule="auto"/>
        <w:jc w:val="both"/>
        <w:rPr>
          <w:rFonts w:ascii="Times New Roman" w:hAnsi="Times New Roman" w:cs="Times New Roman"/>
          <w:b/>
          <w:color w:val="000000"/>
          <w:sz w:val="24"/>
          <w:szCs w:val="24"/>
        </w:rPr>
      </w:pPr>
    </w:p>
    <w:p w14:paraId="7D67DBDA" w14:textId="77777777" w:rsidR="004371E3" w:rsidRPr="00BE4AF3" w:rsidRDefault="004371E3" w:rsidP="004371E3">
      <w:pPr>
        <w:spacing w:after="0" w:line="240" w:lineRule="auto"/>
        <w:jc w:val="both"/>
        <w:rPr>
          <w:rFonts w:ascii="Times New Roman" w:hAnsi="Times New Roman" w:cs="Times New Roman"/>
          <w:b/>
          <w:color w:val="000000"/>
          <w:sz w:val="24"/>
          <w:szCs w:val="24"/>
        </w:rPr>
      </w:pPr>
      <w:r w:rsidRPr="00BE4AF3">
        <w:rPr>
          <w:rFonts w:ascii="Times New Roman" w:hAnsi="Times New Roman" w:cs="Times New Roman"/>
          <w:b/>
          <w:color w:val="000000"/>
          <w:sz w:val="24"/>
          <w:szCs w:val="24"/>
        </w:rPr>
        <w:t>Research Question 3</w:t>
      </w:r>
    </w:p>
    <w:p w14:paraId="146A2E7D" w14:textId="77777777" w:rsidR="004371E3" w:rsidRPr="00BE4AF3" w:rsidRDefault="004371E3" w:rsidP="004371E3">
      <w:pPr>
        <w:spacing w:after="0" w:line="240" w:lineRule="auto"/>
        <w:ind w:left="720" w:hanging="720"/>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What are the factors influencing competencies of supply chain managers in construction industry </w:t>
      </w:r>
    </w:p>
    <w:p w14:paraId="4886214A" w14:textId="77777777" w:rsidR="004371E3" w:rsidRDefault="004371E3" w:rsidP="004371E3">
      <w:pPr>
        <w:spacing w:after="0" w:line="240" w:lineRule="auto"/>
        <w:ind w:left="720" w:hanging="720"/>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in Abuja, Nigeria?</w:t>
      </w:r>
    </w:p>
    <w:p w14:paraId="4FE23EA5" w14:textId="77777777" w:rsidR="00B473AC" w:rsidRPr="00BE4AF3" w:rsidRDefault="00B473AC" w:rsidP="004371E3">
      <w:pPr>
        <w:spacing w:after="0" w:line="240" w:lineRule="auto"/>
        <w:ind w:left="720" w:hanging="720"/>
        <w:jc w:val="both"/>
        <w:rPr>
          <w:rFonts w:ascii="Times New Roman" w:hAnsi="Times New Roman" w:cs="Times New Roman"/>
          <w:color w:val="000000"/>
          <w:sz w:val="24"/>
          <w:szCs w:val="24"/>
        </w:rPr>
      </w:pPr>
    </w:p>
    <w:p w14:paraId="5CB7F058" w14:textId="77777777" w:rsidR="004371E3" w:rsidRPr="00B473AC" w:rsidRDefault="004371E3" w:rsidP="004371E3">
      <w:pPr>
        <w:pBdr>
          <w:top w:val="nil"/>
          <w:left w:val="nil"/>
          <w:bottom w:val="nil"/>
          <w:right w:val="nil"/>
          <w:between w:val="nil"/>
        </w:pBdr>
        <w:spacing w:after="0" w:line="240" w:lineRule="auto"/>
        <w:jc w:val="both"/>
        <w:rPr>
          <w:rFonts w:ascii="Times New Roman" w:hAnsi="Times New Roman" w:cs="Times New Roman"/>
          <w:bCs/>
          <w:color w:val="000000"/>
          <w:sz w:val="24"/>
          <w:szCs w:val="24"/>
        </w:rPr>
      </w:pPr>
      <w:r w:rsidRPr="00BE4AF3">
        <w:rPr>
          <w:rFonts w:ascii="Times New Roman" w:hAnsi="Times New Roman" w:cs="Times New Roman"/>
          <w:b/>
          <w:color w:val="000000"/>
          <w:sz w:val="24"/>
          <w:szCs w:val="24"/>
        </w:rPr>
        <w:t xml:space="preserve">Table 9: </w:t>
      </w:r>
      <w:r w:rsidRPr="00B473AC">
        <w:rPr>
          <w:rFonts w:ascii="Times New Roman" w:hAnsi="Times New Roman" w:cs="Times New Roman"/>
          <w:bCs/>
          <w:color w:val="000000"/>
          <w:sz w:val="24"/>
          <w:szCs w:val="24"/>
        </w:rPr>
        <w:t>Factors influencing competencies of supply chain managers in construction industry</w:t>
      </w:r>
      <w:r w:rsidRPr="00B473AC">
        <w:rPr>
          <w:rFonts w:ascii="Times New Roman" w:hAnsi="Times New Roman" w:cs="Times New Roman"/>
          <w:bCs/>
          <w:color w:val="0E101A"/>
          <w:sz w:val="24"/>
          <w:szCs w:val="24"/>
        </w:rPr>
        <w:t xml:space="preserve"> </w:t>
      </w:r>
    </w:p>
    <w:tbl>
      <w:tblPr>
        <w:tblW w:w="8924" w:type="dxa"/>
        <w:jc w:val="center"/>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721"/>
        <w:gridCol w:w="3532"/>
        <w:gridCol w:w="617"/>
        <w:gridCol w:w="589"/>
        <w:gridCol w:w="619"/>
        <w:gridCol w:w="556"/>
        <w:gridCol w:w="803"/>
        <w:gridCol w:w="710"/>
        <w:gridCol w:w="777"/>
      </w:tblGrid>
      <w:tr w:rsidR="004371E3" w:rsidRPr="00B473AC" w14:paraId="36AF31F5" w14:textId="77777777" w:rsidTr="00B473AC">
        <w:trPr>
          <w:jc w:val="center"/>
        </w:trPr>
        <w:tc>
          <w:tcPr>
            <w:tcW w:w="721" w:type="dxa"/>
            <w:tcBorders>
              <w:top w:val="single" w:sz="4" w:space="0" w:color="000000"/>
              <w:left w:val="nil"/>
              <w:bottom w:val="single" w:sz="4" w:space="0" w:color="000000"/>
              <w:right w:val="nil"/>
            </w:tcBorders>
          </w:tcPr>
          <w:p w14:paraId="178C3F5B"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S/No</w:t>
            </w:r>
          </w:p>
        </w:tc>
        <w:tc>
          <w:tcPr>
            <w:tcW w:w="3532" w:type="dxa"/>
            <w:tcBorders>
              <w:top w:val="single" w:sz="4" w:space="0" w:color="000000"/>
              <w:left w:val="nil"/>
              <w:bottom w:val="single" w:sz="4" w:space="0" w:color="000000"/>
              <w:right w:val="nil"/>
            </w:tcBorders>
          </w:tcPr>
          <w:p w14:paraId="7A67424C" w14:textId="77777777" w:rsidR="004371E3" w:rsidRPr="00B473AC" w:rsidRDefault="004371E3" w:rsidP="00B473AC">
            <w:pPr>
              <w:pBdr>
                <w:top w:val="nil"/>
                <w:left w:val="nil"/>
                <w:bottom w:val="nil"/>
                <w:right w:val="nil"/>
                <w:between w:val="nil"/>
              </w:pBdr>
              <w:spacing w:after="0" w:line="240" w:lineRule="auto"/>
              <w:jc w:val="both"/>
              <w:rPr>
                <w:rFonts w:ascii="Times New Roman" w:hAnsi="Times New Roman" w:cs="Times New Roman"/>
                <w:bCs/>
                <w:color w:val="000000"/>
                <w:sz w:val="20"/>
                <w:szCs w:val="20"/>
              </w:rPr>
            </w:pPr>
            <w:r w:rsidRPr="00B473AC">
              <w:rPr>
                <w:rFonts w:ascii="Times New Roman" w:hAnsi="Times New Roman" w:cs="Times New Roman"/>
                <w:bCs/>
                <w:color w:val="000000"/>
                <w:sz w:val="20"/>
                <w:szCs w:val="20"/>
              </w:rPr>
              <w:t>Factors influencing competencies of supply chain managers in construction industry</w:t>
            </w:r>
            <w:r w:rsidRPr="00B473AC">
              <w:rPr>
                <w:rFonts w:ascii="Times New Roman" w:hAnsi="Times New Roman" w:cs="Times New Roman"/>
                <w:bCs/>
                <w:color w:val="0E101A"/>
                <w:sz w:val="20"/>
                <w:szCs w:val="20"/>
              </w:rPr>
              <w:t xml:space="preserve"> </w:t>
            </w:r>
          </w:p>
        </w:tc>
        <w:tc>
          <w:tcPr>
            <w:tcW w:w="617" w:type="dxa"/>
            <w:tcBorders>
              <w:top w:val="single" w:sz="4" w:space="0" w:color="000000"/>
              <w:left w:val="nil"/>
              <w:bottom w:val="single" w:sz="4" w:space="0" w:color="000000"/>
              <w:right w:val="nil"/>
            </w:tcBorders>
          </w:tcPr>
          <w:p w14:paraId="66675F4F"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SA</w:t>
            </w:r>
          </w:p>
        </w:tc>
        <w:tc>
          <w:tcPr>
            <w:tcW w:w="589" w:type="dxa"/>
            <w:tcBorders>
              <w:top w:val="single" w:sz="4" w:space="0" w:color="000000"/>
              <w:left w:val="nil"/>
              <w:bottom w:val="single" w:sz="4" w:space="0" w:color="000000"/>
              <w:right w:val="nil"/>
            </w:tcBorders>
          </w:tcPr>
          <w:p w14:paraId="26C043BA"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A</w:t>
            </w:r>
          </w:p>
        </w:tc>
        <w:tc>
          <w:tcPr>
            <w:tcW w:w="619" w:type="dxa"/>
            <w:tcBorders>
              <w:top w:val="single" w:sz="4" w:space="0" w:color="000000"/>
              <w:left w:val="nil"/>
              <w:bottom w:val="single" w:sz="4" w:space="0" w:color="000000"/>
              <w:right w:val="nil"/>
            </w:tcBorders>
          </w:tcPr>
          <w:p w14:paraId="38F2EADF"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D</w:t>
            </w:r>
          </w:p>
        </w:tc>
        <w:tc>
          <w:tcPr>
            <w:tcW w:w="556" w:type="dxa"/>
            <w:tcBorders>
              <w:top w:val="single" w:sz="4" w:space="0" w:color="000000"/>
              <w:left w:val="nil"/>
              <w:bottom w:val="single" w:sz="4" w:space="0" w:color="000000"/>
              <w:right w:val="nil"/>
            </w:tcBorders>
          </w:tcPr>
          <w:p w14:paraId="5A293E9B"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SD</w:t>
            </w:r>
          </w:p>
        </w:tc>
        <w:tc>
          <w:tcPr>
            <w:tcW w:w="803" w:type="dxa"/>
            <w:tcBorders>
              <w:top w:val="single" w:sz="4" w:space="0" w:color="000000"/>
              <w:left w:val="nil"/>
              <w:bottom w:val="single" w:sz="4" w:space="0" w:color="000000"/>
              <w:right w:val="nil"/>
            </w:tcBorders>
          </w:tcPr>
          <w:p w14:paraId="7B53B917"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Mean</w:t>
            </w:r>
          </w:p>
        </w:tc>
        <w:tc>
          <w:tcPr>
            <w:tcW w:w="710" w:type="dxa"/>
            <w:tcBorders>
              <w:top w:val="single" w:sz="4" w:space="0" w:color="000000"/>
              <w:left w:val="nil"/>
              <w:bottom w:val="single" w:sz="4" w:space="0" w:color="000000"/>
              <w:right w:val="nil"/>
            </w:tcBorders>
          </w:tcPr>
          <w:p w14:paraId="55F0A010"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STD</w:t>
            </w:r>
          </w:p>
        </w:tc>
        <w:tc>
          <w:tcPr>
            <w:tcW w:w="777" w:type="dxa"/>
            <w:tcBorders>
              <w:top w:val="single" w:sz="4" w:space="0" w:color="000000"/>
              <w:left w:val="nil"/>
              <w:bottom w:val="single" w:sz="4" w:space="0" w:color="000000"/>
              <w:right w:val="nil"/>
            </w:tcBorders>
          </w:tcPr>
          <w:p w14:paraId="0B3977A2"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Rank</w:t>
            </w:r>
          </w:p>
        </w:tc>
      </w:tr>
      <w:tr w:rsidR="004371E3" w:rsidRPr="00B473AC" w14:paraId="2A693D73" w14:textId="77777777" w:rsidTr="00B473AC">
        <w:trPr>
          <w:jc w:val="center"/>
        </w:trPr>
        <w:tc>
          <w:tcPr>
            <w:tcW w:w="721" w:type="dxa"/>
            <w:tcBorders>
              <w:top w:val="single" w:sz="4" w:space="0" w:color="000000"/>
              <w:left w:val="nil"/>
              <w:bottom w:val="nil"/>
              <w:right w:val="nil"/>
            </w:tcBorders>
          </w:tcPr>
          <w:p w14:paraId="7A1C4F01" w14:textId="77777777" w:rsidR="004371E3" w:rsidRPr="00B473AC" w:rsidRDefault="004371E3" w:rsidP="00B473AC">
            <w:pPr>
              <w:spacing w:after="0" w:line="240" w:lineRule="auto"/>
              <w:jc w:val="both"/>
              <w:rPr>
                <w:rFonts w:ascii="Times New Roman" w:hAnsi="Times New Roman" w:cs="Times New Roman"/>
                <w:sz w:val="20"/>
                <w:szCs w:val="20"/>
              </w:rPr>
            </w:pPr>
            <w:r w:rsidRPr="00B473AC">
              <w:rPr>
                <w:rFonts w:ascii="Times New Roman" w:hAnsi="Times New Roman" w:cs="Times New Roman"/>
                <w:sz w:val="20"/>
                <w:szCs w:val="20"/>
              </w:rPr>
              <w:t>1</w:t>
            </w:r>
          </w:p>
        </w:tc>
        <w:tc>
          <w:tcPr>
            <w:tcW w:w="3532" w:type="dxa"/>
            <w:tcBorders>
              <w:top w:val="single" w:sz="4" w:space="0" w:color="000000"/>
              <w:left w:val="nil"/>
              <w:bottom w:val="nil"/>
              <w:right w:val="nil"/>
            </w:tcBorders>
          </w:tcPr>
          <w:p w14:paraId="2B0FD2C0"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Undertaking digital transformation</w:t>
            </w:r>
          </w:p>
        </w:tc>
        <w:tc>
          <w:tcPr>
            <w:tcW w:w="617" w:type="dxa"/>
            <w:tcBorders>
              <w:top w:val="single" w:sz="4" w:space="0" w:color="000000"/>
              <w:left w:val="nil"/>
              <w:bottom w:val="nil"/>
              <w:right w:val="nil"/>
            </w:tcBorders>
          </w:tcPr>
          <w:p w14:paraId="1914CD1E"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49</w:t>
            </w:r>
          </w:p>
        </w:tc>
        <w:tc>
          <w:tcPr>
            <w:tcW w:w="589" w:type="dxa"/>
            <w:tcBorders>
              <w:top w:val="single" w:sz="4" w:space="0" w:color="000000"/>
              <w:left w:val="nil"/>
              <w:bottom w:val="nil"/>
              <w:right w:val="nil"/>
            </w:tcBorders>
          </w:tcPr>
          <w:p w14:paraId="4E0DC8AC"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0</w:t>
            </w:r>
          </w:p>
        </w:tc>
        <w:tc>
          <w:tcPr>
            <w:tcW w:w="619" w:type="dxa"/>
            <w:tcBorders>
              <w:top w:val="single" w:sz="4" w:space="0" w:color="000000"/>
              <w:left w:val="nil"/>
              <w:bottom w:val="nil"/>
              <w:right w:val="nil"/>
            </w:tcBorders>
          </w:tcPr>
          <w:p w14:paraId="01D840FC"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1</w:t>
            </w:r>
          </w:p>
        </w:tc>
        <w:tc>
          <w:tcPr>
            <w:tcW w:w="556" w:type="dxa"/>
            <w:tcBorders>
              <w:top w:val="single" w:sz="4" w:space="0" w:color="000000"/>
              <w:left w:val="nil"/>
              <w:bottom w:val="nil"/>
              <w:right w:val="nil"/>
            </w:tcBorders>
          </w:tcPr>
          <w:p w14:paraId="6041B67F"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0</w:t>
            </w:r>
          </w:p>
        </w:tc>
        <w:tc>
          <w:tcPr>
            <w:tcW w:w="803" w:type="dxa"/>
            <w:tcBorders>
              <w:top w:val="single" w:sz="4" w:space="0" w:color="000000"/>
              <w:left w:val="nil"/>
              <w:bottom w:val="nil"/>
              <w:right w:val="nil"/>
            </w:tcBorders>
          </w:tcPr>
          <w:p w14:paraId="540313C2"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3.96</w:t>
            </w:r>
          </w:p>
        </w:tc>
        <w:tc>
          <w:tcPr>
            <w:tcW w:w="710" w:type="dxa"/>
            <w:tcBorders>
              <w:top w:val="single" w:sz="4" w:space="0" w:color="000000"/>
              <w:left w:val="nil"/>
              <w:bottom w:val="nil"/>
              <w:right w:val="nil"/>
            </w:tcBorders>
          </w:tcPr>
          <w:p w14:paraId="1519E05B"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0.20</w:t>
            </w:r>
          </w:p>
        </w:tc>
        <w:tc>
          <w:tcPr>
            <w:tcW w:w="777" w:type="dxa"/>
            <w:tcBorders>
              <w:top w:val="single" w:sz="4" w:space="0" w:color="000000"/>
              <w:left w:val="nil"/>
              <w:bottom w:val="nil"/>
              <w:right w:val="nil"/>
            </w:tcBorders>
          </w:tcPr>
          <w:p w14:paraId="1CC0C599" w14:textId="77777777" w:rsidR="004371E3" w:rsidRPr="00B473AC" w:rsidRDefault="004371E3" w:rsidP="00B473AC">
            <w:pPr>
              <w:spacing w:after="0" w:line="240" w:lineRule="auto"/>
              <w:jc w:val="center"/>
              <w:rPr>
                <w:rFonts w:ascii="Times New Roman" w:hAnsi="Times New Roman" w:cs="Times New Roman"/>
                <w:color w:val="000000"/>
                <w:sz w:val="20"/>
                <w:szCs w:val="20"/>
              </w:rPr>
            </w:pPr>
            <w:r w:rsidRPr="00B473AC">
              <w:rPr>
                <w:rFonts w:ascii="Times New Roman" w:hAnsi="Times New Roman" w:cs="Times New Roman"/>
                <w:color w:val="000000"/>
                <w:sz w:val="20"/>
                <w:szCs w:val="20"/>
              </w:rPr>
              <w:t>1</w:t>
            </w:r>
            <w:r w:rsidRPr="00B473AC">
              <w:rPr>
                <w:rFonts w:ascii="Times New Roman" w:hAnsi="Times New Roman" w:cs="Times New Roman"/>
                <w:color w:val="000000"/>
                <w:sz w:val="20"/>
                <w:szCs w:val="20"/>
                <w:vertAlign w:val="superscript"/>
              </w:rPr>
              <w:t>st</w:t>
            </w:r>
          </w:p>
        </w:tc>
      </w:tr>
      <w:tr w:rsidR="004371E3" w:rsidRPr="00B473AC" w14:paraId="54B1E8EC" w14:textId="77777777" w:rsidTr="00B473AC">
        <w:trPr>
          <w:jc w:val="center"/>
        </w:trPr>
        <w:tc>
          <w:tcPr>
            <w:tcW w:w="721" w:type="dxa"/>
            <w:tcBorders>
              <w:top w:val="nil"/>
              <w:left w:val="nil"/>
              <w:bottom w:val="nil"/>
              <w:right w:val="nil"/>
            </w:tcBorders>
          </w:tcPr>
          <w:p w14:paraId="22672777" w14:textId="77777777" w:rsidR="004371E3" w:rsidRPr="00B473AC" w:rsidRDefault="004371E3" w:rsidP="00B473AC">
            <w:pPr>
              <w:spacing w:after="0" w:line="240" w:lineRule="auto"/>
              <w:jc w:val="both"/>
              <w:rPr>
                <w:rFonts w:ascii="Times New Roman" w:hAnsi="Times New Roman" w:cs="Times New Roman"/>
                <w:sz w:val="20"/>
                <w:szCs w:val="20"/>
              </w:rPr>
            </w:pPr>
            <w:r w:rsidRPr="00B473AC">
              <w:rPr>
                <w:rFonts w:ascii="Times New Roman" w:hAnsi="Times New Roman" w:cs="Times New Roman"/>
                <w:sz w:val="20"/>
                <w:szCs w:val="20"/>
              </w:rPr>
              <w:t>2</w:t>
            </w:r>
          </w:p>
        </w:tc>
        <w:tc>
          <w:tcPr>
            <w:tcW w:w="3532" w:type="dxa"/>
            <w:tcBorders>
              <w:top w:val="nil"/>
              <w:left w:val="nil"/>
              <w:bottom w:val="nil"/>
              <w:right w:val="nil"/>
            </w:tcBorders>
          </w:tcPr>
          <w:p w14:paraId="6A61CD08"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Developing adequate knowledge</w:t>
            </w:r>
          </w:p>
        </w:tc>
        <w:tc>
          <w:tcPr>
            <w:tcW w:w="617" w:type="dxa"/>
            <w:tcBorders>
              <w:top w:val="nil"/>
              <w:left w:val="nil"/>
              <w:bottom w:val="nil"/>
              <w:right w:val="nil"/>
            </w:tcBorders>
          </w:tcPr>
          <w:p w14:paraId="45038CB7"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48</w:t>
            </w:r>
          </w:p>
        </w:tc>
        <w:tc>
          <w:tcPr>
            <w:tcW w:w="589" w:type="dxa"/>
            <w:tcBorders>
              <w:top w:val="nil"/>
              <w:left w:val="nil"/>
              <w:bottom w:val="nil"/>
              <w:right w:val="nil"/>
            </w:tcBorders>
          </w:tcPr>
          <w:p w14:paraId="343A1608"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0</w:t>
            </w:r>
          </w:p>
        </w:tc>
        <w:tc>
          <w:tcPr>
            <w:tcW w:w="619" w:type="dxa"/>
            <w:tcBorders>
              <w:top w:val="nil"/>
              <w:left w:val="nil"/>
              <w:bottom w:val="nil"/>
              <w:right w:val="nil"/>
            </w:tcBorders>
          </w:tcPr>
          <w:p w14:paraId="336C0AAC"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2</w:t>
            </w:r>
          </w:p>
        </w:tc>
        <w:tc>
          <w:tcPr>
            <w:tcW w:w="556" w:type="dxa"/>
            <w:tcBorders>
              <w:top w:val="nil"/>
              <w:left w:val="nil"/>
              <w:bottom w:val="nil"/>
              <w:right w:val="nil"/>
            </w:tcBorders>
          </w:tcPr>
          <w:p w14:paraId="52E23330"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0</w:t>
            </w:r>
          </w:p>
        </w:tc>
        <w:tc>
          <w:tcPr>
            <w:tcW w:w="803" w:type="dxa"/>
            <w:tcBorders>
              <w:top w:val="nil"/>
              <w:left w:val="nil"/>
              <w:bottom w:val="nil"/>
              <w:right w:val="nil"/>
            </w:tcBorders>
          </w:tcPr>
          <w:p w14:paraId="4AD295F3"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3.90</w:t>
            </w:r>
          </w:p>
        </w:tc>
        <w:tc>
          <w:tcPr>
            <w:tcW w:w="710" w:type="dxa"/>
            <w:tcBorders>
              <w:top w:val="nil"/>
              <w:left w:val="nil"/>
              <w:bottom w:val="nil"/>
              <w:right w:val="nil"/>
            </w:tcBorders>
          </w:tcPr>
          <w:p w14:paraId="0BCF5922"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0.46</w:t>
            </w:r>
          </w:p>
        </w:tc>
        <w:tc>
          <w:tcPr>
            <w:tcW w:w="777" w:type="dxa"/>
            <w:tcBorders>
              <w:top w:val="nil"/>
              <w:left w:val="nil"/>
              <w:bottom w:val="nil"/>
              <w:right w:val="nil"/>
            </w:tcBorders>
          </w:tcPr>
          <w:p w14:paraId="2C9B1644" w14:textId="77777777" w:rsidR="004371E3" w:rsidRPr="00B473AC" w:rsidRDefault="004371E3" w:rsidP="00B473AC">
            <w:pPr>
              <w:spacing w:after="0" w:line="240" w:lineRule="auto"/>
              <w:jc w:val="center"/>
              <w:rPr>
                <w:rFonts w:ascii="Times New Roman" w:hAnsi="Times New Roman" w:cs="Times New Roman"/>
                <w:color w:val="000000"/>
                <w:sz w:val="20"/>
                <w:szCs w:val="20"/>
              </w:rPr>
            </w:pPr>
            <w:r w:rsidRPr="00B473AC">
              <w:rPr>
                <w:rFonts w:ascii="Times New Roman" w:hAnsi="Times New Roman" w:cs="Times New Roman"/>
                <w:color w:val="000000"/>
                <w:sz w:val="20"/>
                <w:szCs w:val="20"/>
              </w:rPr>
              <w:t>2</w:t>
            </w:r>
            <w:r w:rsidRPr="00B473AC">
              <w:rPr>
                <w:rFonts w:ascii="Times New Roman" w:hAnsi="Times New Roman" w:cs="Times New Roman"/>
                <w:color w:val="000000"/>
                <w:sz w:val="20"/>
                <w:szCs w:val="20"/>
                <w:vertAlign w:val="superscript"/>
              </w:rPr>
              <w:t>nd</w:t>
            </w:r>
          </w:p>
        </w:tc>
      </w:tr>
      <w:tr w:rsidR="004371E3" w:rsidRPr="00B473AC" w14:paraId="68A80441" w14:textId="77777777" w:rsidTr="00B473AC">
        <w:trPr>
          <w:jc w:val="center"/>
        </w:trPr>
        <w:tc>
          <w:tcPr>
            <w:tcW w:w="721" w:type="dxa"/>
            <w:tcBorders>
              <w:top w:val="nil"/>
              <w:left w:val="nil"/>
              <w:bottom w:val="nil"/>
              <w:right w:val="nil"/>
            </w:tcBorders>
          </w:tcPr>
          <w:p w14:paraId="484184BE" w14:textId="77777777" w:rsidR="004371E3" w:rsidRPr="00B473AC" w:rsidRDefault="004371E3" w:rsidP="00B473AC">
            <w:pPr>
              <w:spacing w:after="0" w:line="240" w:lineRule="auto"/>
              <w:jc w:val="both"/>
              <w:rPr>
                <w:rFonts w:ascii="Times New Roman" w:hAnsi="Times New Roman" w:cs="Times New Roman"/>
                <w:sz w:val="20"/>
                <w:szCs w:val="20"/>
              </w:rPr>
            </w:pPr>
            <w:r w:rsidRPr="00B473AC">
              <w:rPr>
                <w:rFonts w:ascii="Times New Roman" w:hAnsi="Times New Roman" w:cs="Times New Roman"/>
                <w:sz w:val="20"/>
                <w:szCs w:val="20"/>
              </w:rPr>
              <w:t>3</w:t>
            </w:r>
          </w:p>
        </w:tc>
        <w:tc>
          <w:tcPr>
            <w:tcW w:w="3532" w:type="dxa"/>
            <w:tcBorders>
              <w:top w:val="nil"/>
              <w:left w:val="nil"/>
              <w:bottom w:val="nil"/>
              <w:right w:val="nil"/>
            </w:tcBorders>
          </w:tcPr>
          <w:p w14:paraId="148E5327"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Experience and change management</w:t>
            </w:r>
          </w:p>
        </w:tc>
        <w:tc>
          <w:tcPr>
            <w:tcW w:w="617" w:type="dxa"/>
            <w:tcBorders>
              <w:top w:val="nil"/>
              <w:left w:val="nil"/>
              <w:bottom w:val="nil"/>
              <w:right w:val="nil"/>
            </w:tcBorders>
          </w:tcPr>
          <w:p w14:paraId="3318C8C0"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46</w:t>
            </w:r>
          </w:p>
        </w:tc>
        <w:tc>
          <w:tcPr>
            <w:tcW w:w="589" w:type="dxa"/>
            <w:tcBorders>
              <w:top w:val="nil"/>
              <w:left w:val="nil"/>
              <w:bottom w:val="nil"/>
              <w:right w:val="nil"/>
            </w:tcBorders>
          </w:tcPr>
          <w:p w14:paraId="58DA2F76"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2</w:t>
            </w:r>
          </w:p>
        </w:tc>
        <w:tc>
          <w:tcPr>
            <w:tcW w:w="619" w:type="dxa"/>
            <w:tcBorders>
              <w:top w:val="nil"/>
              <w:left w:val="nil"/>
              <w:bottom w:val="nil"/>
              <w:right w:val="nil"/>
            </w:tcBorders>
          </w:tcPr>
          <w:p w14:paraId="455BA72C"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2</w:t>
            </w:r>
          </w:p>
        </w:tc>
        <w:tc>
          <w:tcPr>
            <w:tcW w:w="556" w:type="dxa"/>
            <w:tcBorders>
              <w:top w:val="nil"/>
              <w:left w:val="nil"/>
              <w:bottom w:val="nil"/>
              <w:right w:val="nil"/>
            </w:tcBorders>
          </w:tcPr>
          <w:p w14:paraId="68290CA3"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0</w:t>
            </w:r>
          </w:p>
        </w:tc>
        <w:tc>
          <w:tcPr>
            <w:tcW w:w="803" w:type="dxa"/>
            <w:tcBorders>
              <w:top w:val="nil"/>
              <w:left w:val="nil"/>
              <w:bottom w:val="nil"/>
              <w:right w:val="nil"/>
            </w:tcBorders>
          </w:tcPr>
          <w:p w14:paraId="09D6B843"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3.84</w:t>
            </w:r>
          </w:p>
        </w:tc>
        <w:tc>
          <w:tcPr>
            <w:tcW w:w="710" w:type="dxa"/>
            <w:tcBorders>
              <w:top w:val="nil"/>
              <w:left w:val="nil"/>
              <w:bottom w:val="nil"/>
              <w:right w:val="nil"/>
            </w:tcBorders>
          </w:tcPr>
          <w:p w14:paraId="0D679D29"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0.50</w:t>
            </w:r>
          </w:p>
        </w:tc>
        <w:tc>
          <w:tcPr>
            <w:tcW w:w="777" w:type="dxa"/>
            <w:tcBorders>
              <w:top w:val="nil"/>
              <w:left w:val="nil"/>
              <w:bottom w:val="nil"/>
              <w:right w:val="nil"/>
            </w:tcBorders>
          </w:tcPr>
          <w:p w14:paraId="5B04F7EC" w14:textId="77777777" w:rsidR="004371E3" w:rsidRPr="00B473AC" w:rsidRDefault="004371E3" w:rsidP="00B473AC">
            <w:pPr>
              <w:spacing w:after="0" w:line="240" w:lineRule="auto"/>
              <w:jc w:val="center"/>
              <w:rPr>
                <w:rFonts w:ascii="Times New Roman" w:hAnsi="Times New Roman" w:cs="Times New Roman"/>
                <w:color w:val="000000"/>
                <w:sz w:val="20"/>
                <w:szCs w:val="20"/>
              </w:rPr>
            </w:pPr>
            <w:r w:rsidRPr="00B473AC">
              <w:rPr>
                <w:rFonts w:ascii="Times New Roman" w:hAnsi="Times New Roman" w:cs="Times New Roman"/>
                <w:color w:val="000000"/>
                <w:sz w:val="20"/>
                <w:szCs w:val="20"/>
              </w:rPr>
              <w:t>3</w:t>
            </w:r>
            <w:r w:rsidRPr="00B473AC">
              <w:rPr>
                <w:rFonts w:ascii="Times New Roman" w:hAnsi="Times New Roman" w:cs="Times New Roman"/>
                <w:color w:val="000000"/>
                <w:sz w:val="20"/>
                <w:szCs w:val="20"/>
                <w:vertAlign w:val="superscript"/>
              </w:rPr>
              <w:t>rd</w:t>
            </w:r>
          </w:p>
        </w:tc>
      </w:tr>
      <w:tr w:rsidR="004371E3" w:rsidRPr="00B473AC" w14:paraId="2B120C61" w14:textId="77777777" w:rsidTr="00B473AC">
        <w:trPr>
          <w:jc w:val="center"/>
        </w:trPr>
        <w:tc>
          <w:tcPr>
            <w:tcW w:w="721" w:type="dxa"/>
            <w:tcBorders>
              <w:top w:val="nil"/>
              <w:left w:val="nil"/>
              <w:bottom w:val="nil"/>
              <w:right w:val="nil"/>
            </w:tcBorders>
          </w:tcPr>
          <w:p w14:paraId="10B8248E" w14:textId="77777777" w:rsidR="004371E3" w:rsidRPr="00B473AC" w:rsidRDefault="004371E3" w:rsidP="00B473AC">
            <w:pPr>
              <w:spacing w:after="0" w:line="240" w:lineRule="auto"/>
              <w:jc w:val="both"/>
              <w:rPr>
                <w:rFonts w:ascii="Times New Roman" w:hAnsi="Times New Roman" w:cs="Times New Roman"/>
                <w:sz w:val="20"/>
                <w:szCs w:val="20"/>
              </w:rPr>
            </w:pPr>
            <w:r w:rsidRPr="00B473AC">
              <w:rPr>
                <w:rFonts w:ascii="Times New Roman" w:hAnsi="Times New Roman" w:cs="Times New Roman"/>
                <w:sz w:val="20"/>
                <w:szCs w:val="20"/>
              </w:rPr>
              <w:t>4</w:t>
            </w:r>
          </w:p>
        </w:tc>
        <w:tc>
          <w:tcPr>
            <w:tcW w:w="3532" w:type="dxa"/>
            <w:tcBorders>
              <w:top w:val="nil"/>
              <w:left w:val="nil"/>
              <w:bottom w:val="nil"/>
              <w:right w:val="nil"/>
            </w:tcBorders>
          </w:tcPr>
          <w:p w14:paraId="035F277E"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External support</w:t>
            </w:r>
          </w:p>
        </w:tc>
        <w:tc>
          <w:tcPr>
            <w:tcW w:w="617" w:type="dxa"/>
            <w:tcBorders>
              <w:top w:val="nil"/>
              <w:left w:val="nil"/>
              <w:bottom w:val="nil"/>
              <w:right w:val="nil"/>
            </w:tcBorders>
          </w:tcPr>
          <w:p w14:paraId="747AC052"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45</w:t>
            </w:r>
          </w:p>
        </w:tc>
        <w:tc>
          <w:tcPr>
            <w:tcW w:w="589" w:type="dxa"/>
            <w:tcBorders>
              <w:top w:val="nil"/>
              <w:left w:val="nil"/>
              <w:bottom w:val="nil"/>
              <w:right w:val="nil"/>
            </w:tcBorders>
          </w:tcPr>
          <w:p w14:paraId="243108CB"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1</w:t>
            </w:r>
          </w:p>
        </w:tc>
        <w:tc>
          <w:tcPr>
            <w:tcW w:w="619" w:type="dxa"/>
            <w:tcBorders>
              <w:top w:val="nil"/>
              <w:left w:val="nil"/>
              <w:bottom w:val="nil"/>
              <w:right w:val="nil"/>
            </w:tcBorders>
          </w:tcPr>
          <w:p w14:paraId="082B2918"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2</w:t>
            </w:r>
          </w:p>
        </w:tc>
        <w:tc>
          <w:tcPr>
            <w:tcW w:w="556" w:type="dxa"/>
            <w:tcBorders>
              <w:top w:val="nil"/>
              <w:left w:val="nil"/>
              <w:bottom w:val="nil"/>
              <w:right w:val="nil"/>
            </w:tcBorders>
          </w:tcPr>
          <w:p w14:paraId="7AD42CEC"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2</w:t>
            </w:r>
          </w:p>
        </w:tc>
        <w:tc>
          <w:tcPr>
            <w:tcW w:w="803" w:type="dxa"/>
            <w:tcBorders>
              <w:top w:val="nil"/>
              <w:left w:val="nil"/>
              <w:bottom w:val="nil"/>
              <w:right w:val="nil"/>
            </w:tcBorders>
          </w:tcPr>
          <w:p w14:paraId="38CC4435"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3.80</w:t>
            </w:r>
          </w:p>
        </w:tc>
        <w:tc>
          <w:tcPr>
            <w:tcW w:w="710" w:type="dxa"/>
            <w:tcBorders>
              <w:top w:val="nil"/>
              <w:left w:val="nil"/>
              <w:bottom w:val="nil"/>
              <w:right w:val="nil"/>
            </w:tcBorders>
          </w:tcPr>
          <w:p w14:paraId="0F618371"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0.57</w:t>
            </w:r>
          </w:p>
        </w:tc>
        <w:tc>
          <w:tcPr>
            <w:tcW w:w="777" w:type="dxa"/>
            <w:tcBorders>
              <w:top w:val="nil"/>
              <w:left w:val="nil"/>
              <w:bottom w:val="nil"/>
              <w:right w:val="nil"/>
            </w:tcBorders>
          </w:tcPr>
          <w:p w14:paraId="2AFC45E4" w14:textId="77777777" w:rsidR="004371E3" w:rsidRPr="00B473AC" w:rsidRDefault="004371E3" w:rsidP="00B473AC">
            <w:pPr>
              <w:spacing w:after="0" w:line="240" w:lineRule="auto"/>
              <w:jc w:val="center"/>
              <w:rPr>
                <w:rFonts w:ascii="Times New Roman" w:hAnsi="Times New Roman" w:cs="Times New Roman"/>
                <w:color w:val="000000"/>
                <w:sz w:val="20"/>
                <w:szCs w:val="20"/>
              </w:rPr>
            </w:pPr>
            <w:r w:rsidRPr="00B473AC">
              <w:rPr>
                <w:rFonts w:ascii="Times New Roman" w:hAnsi="Times New Roman" w:cs="Times New Roman"/>
                <w:color w:val="000000"/>
                <w:sz w:val="20"/>
                <w:szCs w:val="20"/>
              </w:rPr>
              <w:t>4</w:t>
            </w:r>
            <w:r w:rsidRPr="00B473AC">
              <w:rPr>
                <w:rFonts w:ascii="Times New Roman" w:hAnsi="Times New Roman" w:cs="Times New Roman"/>
                <w:color w:val="000000"/>
                <w:sz w:val="20"/>
                <w:szCs w:val="20"/>
                <w:vertAlign w:val="superscript"/>
              </w:rPr>
              <w:t>th</w:t>
            </w:r>
          </w:p>
        </w:tc>
      </w:tr>
      <w:tr w:rsidR="004371E3" w:rsidRPr="00B473AC" w14:paraId="7D85BA6E" w14:textId="77777777" w:rsidTr="00B473AC">
        <w:trPr>
          <w:jc w:val="center"/>
        </w:trPr>
        <w:tc>
          <w:tcPr>
            <w:tcW w:w="721" w:type="dxa"/>
            <w:tcBorders>
              <w:top w:val="nil"/>
              <w:left w:val="nil"/>
              <w:bottom w:val="nil"/>
              <w:right w:val="nil"/>
            </w:tcBorders>
          </w:tcPr>
          <w:p w14:paraId="6E71A2D4" w14:textId="77777777" w:rsidR="004371E3" w:rsidRPr="00B473AC" w:rsidRDefault="004371E3" w:rsidP="00B473AC">
            <w:pPr>
              <w:spacing w:after="0" w:line="240" w:lineRule="auto"/>
              <w:jc w:val="both"/>
              <w:rPr>
                <w:rFonts w:ascii="Times New Roman" w:hAnsi="Times New Roman" w:cs="Times New Roman"/>
                <w:sz w:val="20"/>
                <w:szCs w:val="20"/>
              </w:rPr>
            </w:pPr>
            <w:r w:rsidRPr="00B473AC">
              <w:rPr>
                <w:rFonts w:ascii="Times New Roman" w:hAnsi="Times New Roman" w:cs="Times New Roman"/>
                <w:sz w:val="20"/>
                <w:szCs w:val="20"/>
              </w:rPr>
              <w:t>5</w:t>
            </w:r>
          </w:p>
        </w:tc>
        <w:tc>
          <w:tcPr>
            <w:tcW w:w="3532" w:type="dxa"/>
            <w:tcBorders>
              <w:top w:val="nil"/>
              <w:left w:val="nil"/>
              <w:bottom w:val="nil"/>
              <w:right w:val="nil"/>
            </w:tcBorders>
          </w:tcPr>
          <w:p w14:paraId="188084B2"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Top management support</w:t>
            </w:r>
          </w:p>
        </w:tc>
        <w:tc>
          <w:tcPr>
            <w:tcW w:w="617" w:type="dxa"/>
            <w:tcBorders>
              <w:top w:val="nil"/>
              <w:left w:val="nil"/>
              <w:bottom w:val="nil"/>
              <w:right w:val="nil"/>
            </w:tcBorders>
          </w:tcPr>
          <w:p w14:paraId="156F66E0"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44</w:t>
            </w:r>
          </w:p>
        </w:tc>
        <w:tc>
          <w:tcPr>
            <w:tcW w:w="589" w:type="dxa"/>
            <w:tcBorders>
              <w:top w:val="nil"/>
              <w:left w:val="nil"/>
              <w:bottom w:val="nil"/>
              <w:right w:val="nil"/>
            </w:tcBorders>
          </w:tcPr>
          <w:p w14:paraId="6DCA5A6B"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2</w:t>
            </w:r>
          </w:p>
        </w:tc>
        <w:tc>
          <w:tcPr>
            <w:tcW w:w="619" w:type="dxa"/>
            <w:tcBorders>
              <w:top w:val="nil"/>
              <w:left w:val="nil"/>
              <w:bottom w:val="nil"/>
              <w:right w:val="nil"/>
            </w:tcBorders>
          </w:tcPr>
          <w:p w14:paraId="06FB99CF"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2</w:t>
            </w:r>
          </w:p>
        </w:tc>
        <w:tc>
          <w:tcPr>
            <w:tcW w:w="556" w:type="dxa"/>
            <w:tcBorders>
              <w:top w:val="nil"/>
              <w:left w:val="nil"/>
              <w:bottom w:val="nil"/>
              <w:right w:val="nil"/>
            </w:tcBorders>
          </w:tcPr>
          <w:p w14:paraId="7D485311"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2</w:t>
            </w:r>
          </w:p>
        </w:tc>
        <w:tc>
          <w:tcPr>
            <w:tcW w:w="803" w:type="dxa"/>
            <w:tcBorders>
              <w:top w:val="nil"/>
              <w:left w:val="nil"/>
              <w:bottom w:val="nil"/>
              <w:right w:val="nil"/>
            </w:tcBorders>
          </w:tcPr>
          <w:p w14:paraId="5AA7AE35"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3.50</w:t>
            </w:r>
          </w:p>
        </w:tc>
        <w:tc>
          <w:tcPr>
            <w:tcW w:w="710" w:type="dxa"/>
            <w:tcBorders>
              <w:top w:val="nil"/>
              <w:left w:val="nil"/>
              <w:bottom w:val="nil"/>
              <w:right w:val="nil"/>
            </w:tcBorders>
          </w:tcPr>
          <w:p w14:paraId="6DD30AFB" w14:textId="77777777" w:rsidR="004371E3" w:rsidRPr="00B473AC" w:rsidRDefault="004371E3" w:rsidP="00B473AC">
            <w:pPr>
              <w:spacing w:after="0" w:line="240" w:lineRule="auto"/>
              <w:jc w:val="center"/>
              <w:rPr>
                <w:rFonts w:ascii="Times New Roman" w:hAnsi="Times New Roman" w:cs="Times New Roman"/>
                <w:sz w:val="20"/>
                <w:szCs w:val="20"/>
              </w:rPr>
            </w:pPr>
            <w:r w:rsidRPr="00B473AC">
              <w:rPr>
                <w:rFonts w:ascii="Times New Roman" w:hAnsi="Times New Roman" w:cs="Times New Roman"/>
                <w:color w:val="000000"/>
                <w:sz w:val="20"/>
                <w:szCs w:val="20"/>
              </w:rPr>
              <w:t>1.06</w:t>
            </w:r>
          </w:p>
        </w:tc>
        <w:tc>
          <w:tcPr>
            <w:tcW w:w="777" w:type="dxa"/>
            <w:tcBorders>
              <w:top w:val="nil"/>
              <w:left w:val="nil"/>
              <w:bottom w:val="nil"/>
              <w:right w:val="nil"/>
            </w:tcBorders>
          </w:tcPr>
          <w:p w14:paraId="54593652" w14:textId="77777777" w:rsidR="004371E3" w:rsidRPr="00B473AC" w:rsidRDefault="004371E3" w:rsidP="00B473AC">
            <w:pPr>
              <w:spacing w:after="0" w:line="240" w:lineRule="auto"/>
              <w:jc w:val="center"/>
              <w:rPr>
                <w:rFonts w:ascii="Times New Roman" w:hAnsi="Times New Roman" w:cs="Times New Roman"/>
                <w:color w:val="000000"/>
                <w:sz w:val="20"/>
                <w:szCs w:val="20"/>
              </w:rPr>
            </w:pPr>
            <w:r w:rsidRPr="00B473AC">
              <w:rPr>
                <w:rFonts w:ascii="Times New Roman" w:hAnsi="Times New Roman" w:cs="Times New Roman"/>
                <w:color w:val="000000"/>
                <w:sz w:val="20"/>
                <w:szCs w:val="20"/>
              </w:rPr>
              <w:t>5</w:t>
            </w:r>
            <w:r w:rsidRPr="00B473AC">
              <w:rPr>
                <w:rFonts w:ascii="Times New Roman" w:hAnsi="Times New Roman" w:cs="Times New Roman"/>
                <w:color w:val="000000"/>
                <w:sz w:val="20"/>
                <w:szCs w:val="20"/>
                <w:vertAlign w:val="superscript"/>
              </w:rPr>
              <w:t>th</w:t>
            </w:r>
          </w:p>
        </w:tc>
      </w:tr>
      <w:tr w:rsidR="004371E3" w:rsidRPr="00B473AC" w14:paraId="5B5ED3BF" w14:textId="77777777" w:rsidTr="00B473AC">
        <w:trPr>
          <w:jc w:val="center"/>
        </w:trPr>
        <w:tc>
          <w:tcPr>
            <w:tcW w:w="721" w:type="dxa"/>
            <w:tcBorders>
              <w:top w:val="nil"/>
              <w:left w:val="nil"/>
              <w:bottom w:val="single" w:sz="4" w:space="0" w:color="000000"/>
              <w:right w:val="nil"/>
            </w:tcBorders>
          </w:tcPr>
          <w:p w14:paraId="0E4E1B94" w14:textId="77777777" w:rsidR="004371E3" w:rsidRPr="00B473AC" w:rsidRDefault="004371E3" w:rsidP="00B473AC">
            <w:pPr>
              <w:spacing w:after="0" w:line="240" w:lineRule="auto"/>
              <w:jc w:val="both"/>
              <w:rPr>
                <w:rFonts w:ascii="Times New Roman" w:hAnsi="Times New Roman" w:cs="Times New Roman"/>
                <w:b/>
                <w:sz w:val="20"/>
                <w:szCs w:val="20"/>
              </w:rPr>
            </w:pPr>
          </w:p>
        </w:tc>
        <w:tc>
          <w:tcPr>
            <w:tcW w:w="3532" w:type="dxa"/>
            <w:tcBorders>
              <w:top w:val="nil"/>
              <w:left w:val="nil"/>
              <w:bottom w:val="single" w:sz="4" w:space="0" w:color="000000"/>
              <w:right w:val="nil"/>
            </w:tcBorders>
          </w:tcPr>
          <w:p w14:paraId="6584BBEE" w14:textId="77777777" w:rsidR="004371E3" w:rsidRPr="00B473AC" w:rsidRDefault="004371E3" w:rsidP="00B473AC">
            <w:pPr>
              <w:spacing w:after="0" w:line="240" w:lineRule="auto"/>
              <w:rPr>
                <w:rFonts w:ascii="Times New Roman" w:hAnsi="Times New Roman" w:cs="Times New Roman"/>
                <w:b/>
                <w:sz w:val="20"/>
                <w:szCs w:val="20"/>
              </w:rPr>
            </w:pPr>
            <w:r w:rsidRPr="00B473AC">
              <w:rPr>
                <w:rFonts w:ascii="Times New Roman" w:hAnsi="Times New Roman" w:cs="Times New Roman"/>
                <w:b/>
                <w:color w:val="000000"/>
                <w:sz w:val="20"/>
                <w:szCs w:val="20"/>
              </w:rPr>
              <w:t>Cluster Mean</w:t>
            </w:r>
          </w:p>
        </w:tc>
        <w:tc>
          <w:tcPr>
            <w:tcW w:w="617" w:type="dxa"/>
            <w:tcBorders>
              <w:top w:val="nil"/>
              <w:left w:val="nil"/>
              <w:bottom w:val="single" w:sz="4" w:space="0" w:color="000000"/>
              <w:right w:val="nil"/>
            </w:tcBorders>
          </w:tcPr>
          <w:p w14:paraId="302A7806" w14:textId="77777777" w:rsidR="004371E3" w:rsidRPr="00B473AC" w:rsidRDefault="004371E3" w:rsidP="00B473AC">
            <w:pPr>
              <w:spacing w:after="0" w:line="240" w:lineRule="auto"/>
              <w:jc w:val="center"/>
              <w:rPr>
                <w:rFonts w:ascii="Times New Roman" w:hAnsi="Times New Roman" w:cs="Times New Roman"/>
                <w:sz w:val="20"/>
                <w:szCs w:val="20"/>
              </w:rPr>
            </w:pPr>
          </w:p>
        </w:tc>
        <w:tc>
          <w:tcPr>
            <w:tcW w:w="589" w:type="dxa"/>
            <w:tcBorders>
              <w:top w:val="nil"/>
              <w:left w:val="nil"/>
              <w:bottom w:val="single" w:sz="4" w:space="0" w:color="000000"/>
              <w:right w:val="nil"/>
            </w:tcBorders>
          </w:tcPr>
          <w:p w14:paraId="684B3A7F" w14:textId="77777777" w:rsidR="004371E3" w:rsidRPr="00B473AC" w:rsidRDefault="004371E3" w:rsidP="00B473AC">
            <w:pPr>
              <w:spacing w:after="0" w:line="240" w:lineRule="auto"/>
              <w:jc w:val="center"/>
              <w:rPr>
                <w:rFonts w:ascii="Times New Roman" w:hAnsi="Times New Roman" w:cs="Times New Roman"/>
                <w:sz w:val="20"/>
                <w:szCs w:val="20"/>
              </w:rPr>
            </w:pPr>
          </w:p>
        </w:tc>
        <w:tc>
          <w:tcPr>
            <w:tcW w:w="619" w:type="dxa"/>
            <w:tcBorders>
              <w:top w:val="nil"/>
              <w:left w:val="nil"/>
              <w:bottom w:val="single" w:sz="4" w:space="0" w:color="000000"/>
              <w:right w:val="nil"/>
            </w:tcBorders>
          </w:tcPr>
          <w:p w14:paraId="290FFC72" w14:textId="77777777" w:rsidR="004371E3" w:rsidRPr="00B473AC" w:rsidRDefault="004371E3" w:rsidP="00B473AC">
            <w:pPr>
              <w:spacing w:after="0" w:line="240" w:lineRule="auto"/>
              <w:jc w:val="center"/>
              <w:rPr>
                <w:rFonts w:ascii="Times New Roman" w:hAnsi="Times New Roman" w:cs="Times New Roman"/>
                <w:sz w:val="20"/>
                <w:szCs w:val="20"/>
              </w:rPr>
            </w:pPr>
          </w:p>
        </w:tc>
        <w:tc>
          <w:tcPr>
            <w:tcW w:w="556" w:type="dxa"/>
            <w:tcBorders>
              <w:top w:val="nil"/>
              <w:left w:val="nil"/>
              <w:bottom w:val="single" w:sz="4" w:space="0" w:color="000000"/>
              <w:right w:val="nil"/>
            </w:tcBorders>
          </w:tcPr>
          <w:p w14:paraId="655460E0" w14:textId="77777777" w:rsidR="004371E3" w:rsidRPr="00B473AC" w:rsidRDefault="004371E3" w:rsidP="00B473AC">
            <w:pPr>
              <w:spacing w:after="0" w:line="240" w:lineRule="auto"/>
              <w:jc w:val="center"/>
              <w:rPr>
                <w:rFonts w:ascii="Times New Roman" w:hAnsi="Times New Roman" w:cs="Times New Roman"/>
                <w:sz w:val="20"/>
                <w:szCs w:val="20"/>
              </w:rPr>
            </w:pPr>
          </w:p>
        </w:tc>
        <w:tc>
          <w:tcPr>
            <w:tcW w:w="803" w:type="dxa"/>
            <w:tcBorders>
              <w:top w:val="nil"/>
              <w:left w:val="nil"/>
              <w:bottom w:val="single" w:sz="4" w:space="0" w:color="000000"/>
              <w:right w:val="nil"/>
            </w:tcBorders>
          </w:tcPr>
          <w:p w14:paraId="71156BCE" w14:textId="77777777" w:rsidR="004371E3" w:rsidRPr="00B473AC" w:rsidRDefault="004371E3" w:rsidP="00B473AC">
            <w:pPr>
              <w:spacing w:after="0" w:line="240" w:lineRule="auto"/>
              <w:jc w:val="center"/>
              <w:rPr>
                <w:rFonts w:ascii="Times New Roman" w:hAnsi="Times New Roman" w:cs="Times New Roman"/>
                <w:b/>
                <w:sz w:val="20"/>
                <w:szCs w:val="20"/>
              </w:rPr>
            </w:pPr>
            <w:r w:rsidRPr="00B473AC">
              <w:rPr>
                <w:rFonts w:ascii="Times New Roman" w:hAnsi="Times New Roman" w:cs="Times New Roman"/>
                <w:b/>
                <w:color w:val="000000"/>
                <w:sz w:val="20"/>
                <w:szCs w:val="20"/>
              </w:rPr>
              <w:t>3.80</w:t>
            </w:r>
          </w:p>
        </w:tc>
        <w:tc>
          <w:tcPr>
            <w:tcW w:w="710" w:type="dxa"/>
            <w:tcBorders>
              <w:top w:val="nil"/>
              <w:left w:val="nil"/>
              <w:bottom w:val="single" w:sz="4" w:space="0" w:color="000000"/>
              <w:right w:val="nil"/>
            </w:tcBorders>
          </w:tcPr>
          <w:p w14:paraId="5DD5B665" w14:textId="77777777" w:rsidR="004371E3" w:rsidRPr="00B473AC" w:rsidRDefault="004371E3" w:rsidP="00B473AC">
            <w:pPr>
              <w:spacing w:after="0" w:line="240" w:lineRule="auto"/>
              <w:jc w:val="center"/>
              <w:rPr>
                <w:rFonts w:ascii="Times New Roman" w:hAnsi="Times New Roman" w:cs="Times New Roman"/>
                <w:b/>
                <w:sz w:val="20"/>
                <w:szCs w:val="20"/>
              </w:rPr>
            </w:pPr>
            <w:r w:rsidRPr="00B473AC">
              <w:rPr>
                <w:rFonts w:ascii="Times New Roman" w:hAnsi="Times New Roman" w:cs="Times New Roman"/>
                <w:b/>
                <w:color w:val="000000"/>
                <w:sz w:val="20"/>
                <w:szCs w:val="20"/>
              </w:rPr>
              <w:t>0.56</w:t>
            </w:r>
          </w:p>
        </w:tc>
        <w:tc>
          <w:tcPr>
            <w:tcW w:w="777" w:type="dxa"/>
            <w:tcBorders>
              <w:top w:val="nil"/>
              <w:left w:val="nil"/>
              <w:bottom w:val="single" w:sz="4" w:space="0" w:color="000000"/>
              <w:right w:val="nil"/>
            </w:tcBorders>
          </w:tcPr>
          <w:p w14:paraId="6AC32492" w14:textId="77777777" w:rsidR="004371E3" w:rsidRPr="00B473AC" w:rsidRDefault="004371E3" w:rsidP="00B473AC">
            <w:pPr>
              <w:spacing w:after="0" w:line="240" w:lineRule="auto"/>
              <w:jc w:val="both"/>
              <w:rPr>
                <w:rFonts w:ascii="Times New Roman" w:hAnsi="Times New Roman" w:cs="Times New Roman"/>
                <w:b/>
                <w:sz w:val="20"/>
                <w:szCs w:val="20"/>
              </w:rPr>
            </w:pPr>
          </w:p>
        </w:tc>
      </w:tr>
    </w:tbl>
    <w:p w14:paraId="5FEE3701" w14:textId="77777777" w:rsidR="004371E3" w:rsidRPr="00BE4AF3" w:rsidRDefault="004371E3" w:rsidP="004371E3">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Keys:</w:t>
      </w:r>
      <w:r w:rsidRPr="00BE4AF3">
        <w:rPr>
          <w:rFonts w:ascii="Times New Roman" w:hAnsi="Times New Roman" w:cs="Times New Roman"/>
          <w:sz w:val="24"/>
          <w:szCs w:val="24"/>
        </w:rPr>
        <w:t xml:space="preserve"> SA- Strongly Agree, A – Agree, D – Disagree, SD – Strongly Disagree</w:t>
      </w:r>
    </w:p>
    <w:p w14:paraId="0E89FCE6" w14:textId="77777777" w:rsidR="00B473AC" w:rsidRDefault="00B473AC" w:rsidP="00B473AC">
      <w:pPr>
        <w:spacing w:after="0" w:line="240" w:lineRule="auto"/>
        <w:jc w:val="both"/>
        <w:rPr>
          <w:rFonts w:ascii="Times New Roman" w:hAnsi="Times New Roman" w:cs="Times New Roman"/>
          <w:sz w:val="24"/>
          <w:szCs w:val="24"/>
        </w:rPr>
      </w:pPr>
    </w:p>
    <w:p w14:paraId="50C0FB6D" w14:textId="01E6CE6E" w:rsidR="004371E3" w:rsidRPr="00BE4AF3" w:rsidRDefault="004371E3" w:rsidP="00B473A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Table 3 shows </w:t>
      </w:r>
      <w:r w:rsidRPr="00BE4AF3">
        <w:rPr>
          <w:rFonts w:ascii="Times New Roman" w:hAnsi="Times New Roman" w:cs="Times New Roman"/>
          <w:color w:val="000000"/>
          <w:sz w:val="24"/>
          <w:szCs w:val="24"/>
        </w:rPr>
        <w:t>factors influencing competencies of supply chain managers in construction industry in Abuja, Nigeria</w:t>
      </w:r>
      <w:r w:rsidRPr="00BE4AF3">
        <w:rPr>
          <w:rFonts w:ascii="Times New Roman" w:hAnsi="Times New Roman" w:cs="Times New Roman"/>
          <w:sz w:val="24"/>
          <w:szCs w:val="24"/>
        </w:rPr>
        <w:t>. Undertaking digital transformation was ranked the top most factor influencing competencies of supply chain managers in construction industry. Based on the cutoff point mark of 2.50, Respondents agreed to all the items</w:t>
      </w:r>
    </w:p>
    <w:p w14:paraId="167A6B2D" w14:textId="77777777" w:rsidR="004371E3" w:rsidRPr="00BE4AF3" w:rsidRDefault="004371E3" w:rsidP="004371E3">
      <w:pPr>
        <w:spacing w:after="0" w:line="240" w:lineRule="auto"/>
        <w:jc w:val="both"/>
        <w:rPr>
          <w:rFonts w:ascii="Times New Roman" w:hAnsi="Times New Roman" w:cs="Times New Roman"/>
          <w:sz w:val="24"/>
          <w:szCs w:val="24"/>
        </w:rPr>
      </w:pPr>
    </w:p>
    <w:p w14:paraId="4B247F6C" w14:textId="77777777" w:rsidR="00B473AC" w:rsidRDefault="00B473AC" w:rsidP="004371E3">
      <w:pPr>
        <w:spacing w:after="0" w:line="240" w:lineRule="auto"/>
        <w:jc w:val="both"/>
        <w:rPr>
          <w:rFonts w:ascii="Times New Roman" w:hAnsi="Times New Roman" w:cs="Times New Roman"/>
          <w:b/>
          <w:color w:val="000000"/>
          <w:sz w:val="24"/>
          <w:szCs w:val="24"/>
        </w:rPr>
      </w:pPr>
    </w:p>
    <w:p w14:paraId="716E6A5F" w14:textId="5EB7C59A" w:rsidR="004371E3" w:rsidRPr="00BE4AF3" w:rsidRDefault="004371E3" w:rsidP="004371E3">
      <w:pPr>
        <w:spacing w:after="0" w:line="240" w:lineRule="auto"/>
        <w:jc w:val="both"/>
        <w:rPr>
          <w:rFonts w:ascii="Times New Roman" w:hAnsi="Times New Roman" w:cs="Times New Roman"/>
          <w:b/>
          <w:color w:val="000000"/>
          <w:sz w:val="24"/>
          <w:szCs w:val="24"/>
        </w:rPr>
      </w:pPr>
      <w:r w:rsidRPr="00BE4AF3">
        <w:rPr>
          <w:rFonts w:ascii="Times New Roman" w:hAnsi="Times New Roman" w:cs="Times New Roman"/>
          <w:b/>
          <w:color w:val="000000"/>
          <w:sz w:val="24"/>
          <w:szCs w:val="24"/>
        </w:rPr>
        <w:lastRenderedPageBreak/>
        <w:t>Research Question 4</w:t>
      </w:r>
    </w:p>
    <w:p w14:paraId="33F3B43A" w14:textId="77777777" w:rsidR="004371E3" w:rsidRDefault="004371E3" w:rsidP="004371E3">
      <w:pPr>
        <w:spacing w:after="0" w:line="240" w:lineRule="auto"/>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What are the possible ways construction industries can influence competencies of supply chain managers in construction industry in Abuja, Nigeria?</w:t>
      </w:r>
    </w:p>
    <w:p w14:paraId="756291D3" w14:textId="77777777" w:rsidR="00B473AC" w:rsidRPr="00BE4AF3" w:rsidRDefault="00B473AC" w:rsidP="004371E3">
      <w:pPr>
        <w:spacing w:after="0" w:line="240" w:lineRule="auto"/>
        <w:jc w:val="both"/>
        <w:rPr>
          <w:rFonts w:ascii="Times New Roman" w:hAnsi="Times New Roman" w:cs="Times New Roman"/>
          <w:color w:val="000000"/>
          <w:sz w:val="24"/>
          <w:szCs w:val="24"/>
        </w:rPr>
      </w:pPr>
    </w:p>
    <w:p w14:paraId="2755D656" w14:textId="77777777" w:rsidR="004371E3" w:rsidRPr="00B473AC" w:rsidRDefault="004371E3" w:rsidP="004371E3">
      <w:pPr>
        <w:pBdr>
          <w:top w:val="nil"/>
          <w:left w:val="nil"/>
          <w:bottom w:val="nil"/>
          <w:right w:val="nil"/>
          <w:between w:val="nil"/>
        </w:pBdr>
        <w:spacing w:after="0" w:line="240" w:lineRule="auto"/>
        <w:jc w:val="both"/>
        <w:rPr>
          <w:rFonts w:ascii="Times New Roman" w:hAnsi="Times New Roman" w:cs="Times New Roman"/>
          <w:bCs/>
          <w:color w:val="000000"/>
          <w:sz w:val="24"/>
          <w:szCs w:val="24"/>
        </w:rPr>
      </w:pPr>
      <w:r w:rsidRPr="00BE4AF3">
        <w:rPr>
          <w:rFonts w:ascii="Times New Roman" w:hAnsi="Times New Roman" w:cs="Times New Roman"/>
          <w:b/>
          <w:color w:val="000000"/>
          <w:sz w:val="24"/>
          <w:szCs w:val="24"/>
        </w:rPr>
        <w:t xml:space="preserve">Table 10: </w:t>
      </w:r>
      <w:r w:rsidRPr="00B473AC">
        <w:rPr>
          <w:rFonts w:ascii="Times New Roman" w:hAnsi="Times New Roman" w:cs="Times New Roman"/>
          <w:bCs/>
          <w:color w:val="000000"/>
          <w:sz w:val="24"/>
          <w:szCs w:val="24"/>
        </w:rPr>
        <w:t>Possible ways construction industries can influence competencies of supply chain managers in construction industry</w:t>
      </w:r>
    </w:p>
    <w:tbl>
      <w:tblPr>
        <w:tblW w:w="8926" w:type="dxa"/>
        <w:jc w:val="center"/>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720"/>
        <w:gridCol w:w="3533"/>
        <w:gridCol w:w="617"/>
        <w:gridCol w:w="590"/>
        <w:gridCol w:w="619"/>
        <w:gridCol w:w="557"/>
        <w:gridCol w:w="803"/>
        <w:gridCol w:w="710"/>
        <w:gridCol w:w="777"/>
      </w:tblGrid>
      <w:tr w:rsidR="004371E3" w:rsidRPr="00B473AC" w14:paraId="2A05EBE9" w14:textId="77777777" w:rsidTr="00B473AC">
        <w:trPr>
          <w:jc w:val="center"/>
        </w:trPr>
        <w:tc>
          <w:tcPr>
            <w:tcW w:w="720" w:type="dxa"/>
            <w:tcBorders>
              <w:top w:val="single" w:sz="4" w:space="0" w:color="000000"/>
              <w:left w:val="nil"/>
              <w:bottom w:val="single" w:sz="4" w:space="0" w:color="000000"/>
              <w:right w:val="nil"/>
            </w:tcBorders>
          </w:tcPr>
          <w:p w14:paraId="230C5CBD"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S/No</w:t>
            </w:r>
          </w:p>
        </w:tc>
        <w:tc>
          <w:tcPr>
            <w:tcW w:w="3533" w:type="dxa"/>
            <w:tcBorders>
              <w:top w:val="single" w:sz="4" w:space="0" w:color="000000"/>
              <w:left w:val="nil"/>
              <w:bottom w:val="single" w:sz="4" w:space="0" w:color="000000"/>
              <w:right w:val="nil"/>
            </w:tcBorders>
          </w:tcPr>
          <w:p w14:paraId="2C4E7AAE" w14:textId="77777777" w:rsidR="004371E3" w:rsidRPr="00B473AC" w:rsidRDefault="004371E3" w:rsidP="00B473AC">
            <w:pPr>
              <w:pBdr>
                <w:top w:val="nil"/>
                <w:left w:val="nil"/>
                <w:bottom w:val="nil"/>
                <w:right w:val="nil"/>
                <w:between w:val="nil"/>
              </w:pBdr>
              <w:spacing w:after="0" w:line="240" w:lineRule="auto"/>
              <w:jc w:val="both"/>
              <w:rPr>
                <w:rFonts w:ascii="Times New Roman" w:hAnsi="Times New Roman" w:cs="Times New Roman"/>
                <w:bCs/>
                <w:color w:val="000000"/>
                <w:sz w:val="20"/>
                <w:szCs w:val="20"/>
              </w:rPr>
            </w:pPr>
            <w:r w:rsidRPr="00B473AC">
              <w:rPr>
                <w:rFonts w:ascii="Times New Roman" w:hAnsi="Times New Roman" w:cs="Times New Roman"/>
                <w:bCs/>
                <w:color w:val="000000"/>
                <w:sz w:val="20"/>
                <w:szCs w:val="20"/>
              </w:rPr>
              <w:t>Possible ways construction industries can influence competencies of supply chain managers in construction industry.</w:t>
            </w:r>
            <w:r w:rsidRPr="00B473AC">
              <w:rPr>
                <w:rFonts w:ascii="Times New Roman" w:hAnsi="Times New Roman" w:cs="Times New Roman"/>
                <w:bCs/>
                <w:color w:val="0E101A"/>
                <w:sz w:val="20"/>
                <w:szCs w:val="20"/>
              </w:rPr>
              <w:t xml:space="preserve"> </w:t>
            </w:r>
          </w:p>
        </w:tc>
        <w:tc>
          <w:tcPr>
            <w:tcW w:w="617" w:type="dxa"/>
            <w:tcBorders>
              <w:top w:val="single" w:sz="4" w:space="0" w:color="000000"/>
              <w:left w:val="nil"/>
              <w:bottom w:val="single" w:sz="4" w:space="0" w:color="000000"/>
              <w:right w:val="nil"/>
            </w:tcBorders>
          </w:tcPr>
          <w:p w14:paraId="59C52BA4"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SA</w:t>
            </w:r>
          </w:p>
        </w:tc>
        <w:tc>
          <w:tcPr>
            <w:tcW w:w="590" w:type="dxa"/>
            <w:tcBorders>
              <w:top w:val="single" w:sz="4" w:space="0" w:color="000000"/>
              <w:left w:val="nil"/>
              <w:bottom w:val="single" w:sz="4" w:space="0" w:color="000000"/>
              <w:right w:val="nil"/>
            </w:tcBorders>
          </w:tcPr>
          <w:p w14:paraId="7C2828E3"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A</w:t>
            </w:r>
          </w:p>
        </w:tc>
        <w:tc>
          <w:tcPr>
            <w:tcW w:w="619" w:type="dxa"/>
            <w:tcBorders>
              <w:top w:val="single" w:sz="4" w:space="0" w:color="000000"/>
              <w:left w:val="nil"/>
              <w:bottom w:val="single" w:sz="4" w:space="0" w:color="000000"/>
              <w:right w:val="nil"/>
            </w:tcBorders>
          </w:tcPr>
          <w:p w14:paraId="2BB58567"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D</w:t>
            </w:r>
          </w:p>
        </w:tc>
        <w:tc>
          <w:tcPr>
            <w:tcW w:w="557" w:type="dxa"/>
            <w:tcBorders>
              <w:top w:val="single" w:sz="4" w:space="0" w:color="000000"/>
              <w:left w:val="nil"/>
              <w:bottom w:val="single" w:sz="4" w:space="0" w:color="000000"/>
              <w:right w:val="nil"/>
            </w:tcBorders>
          </w:tcPr>
          <w:p w14:paraId="6DCB7A7C"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SD</w:t>
            </w:r>
          </w:p>
        </w:tc>
        <w:tc>
          <w:tcPr>
            <w:tcW w:w="803" w:type="dxa"/>
            <w:tcBorders>
              <w:top w:val="single" w:sz="4" w:space="0" w:color="000000"/>
              <w:left w:val="nil"/>
              <w:bottom w:val="single" w:sz="4" w:space="0" w:color="000000"/>
              <w:right w:val="nil"/>
            </w:tcBorders>
          </w:tcPr>
          <w:p w14:paraId="3226DE7C"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Mean</w:t>
            </w:r>
          </w:p>
        </w:tc>
        <w:tc>
          <w:tcPr>
            <w:tcW w:w="710" w:type="dxa"/>
            <w:tcBorders>
              <w:top w:val="single" w:sz="4" w:space="0" w:color="000000"/>
              <w:left w:val="nil"/>
              <w:bottom w:val="single" w:sz="4" w:space="0" w:color="000000"/>
              <w:right w:val="nil"/>
            </w:tcBorders>
          </w:tcPr>
          <w:p w14:paraId="18320335"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STD</w:t>
            </w:r>
          </w:p>
        </w:tc>
        <w:tc>
          <w:tcPr>
            <w:tcW w:w="777" w:type="dxa"/>
            <w:tcBorders>
              <w:top w:val="single" w:sz="4" w:space="0" w:color="000000"/>
              <w:left w:val="nil"/>
              <w:bottom w:val="single" w:sz="4" w:space="0" w:color="000000"/>
              <w:right w:val="nil"/>
            </w:tcBorders>
          </w:tcPr>
          <w:p w14:paraId="51B1B8A8" w14:textId="77777777" w:rsidR="004371E3" w:rsidRPr="00B473AC" w:rsidRDefault="004371E3" w:rsidP="00B473AC">
            <w:pPr>
              <w:spacing w:after="0" w:line="240" w:lineRule="auto"/>
              <w:jc w:val="both"/>
              <w:rPr>
                <w:rFonts w:ascii="Times New Roman" w:hAnsi="Times New Roman" w:cs="Times New Roman"/>
                <w:bCs/>
                <w:sz w:val="20"/>
                <w:szCs w:val="20"/>
              </w:rPr>
            </w:pPr>
            <w:r w:rsidRPr="00B473AC">
              <w:rPr>
                <w:rFonts w:ascii="Times New Roman" w:hAnsi="Times New Roman" w:cs="Times New Roman"/>
                <w:bCs/>
                <w:sz w:val="20"/>
                <w:szCs w:val="20"/>
              </w:rPr>
              <w:t>Rank</w:t>
            </w:r>
          </w:p>
        </w:tc>
      </w:tr>
      <w:tr w:rsidR="004371E3" w:rsidRPr="00B473AC" w14:paraId="0683CF66" w14:textId="77777777" w:rsidTr="00B473AC">
        <w:trPr>
          <w:jc w:val="center"/>
        </w:trPr>
        <w:tc>
          <w:tcPr>
            <w:tcW w:w="720" w:type="dxa"/>
            <w:tcBorders>
              <w:top w:val="single" w:sz="4" w:space="0" w:color="000000"/>
              <w:left w:val="nil"/>
              <w:bottom w:val="nil"/>
              <w:right w:val="nil"/>
            </w:tcBorders>
          </w:tcPr>
          <w:p w14:paraId="40380C2E" w14:textId="77777777" w:rsidR="004371E3" w:rsidRPr="00B473AC" w:rsidRDefault="004371E3" w:rsidP="00B473AC">
            <w:pPr>
              <w:spacing w:after="0" w:line="240" w:lineRule="auto"/>
              <w:jc w:val="both"/>
              <w:rPr>
                <w:rFonts w:ascii="Times New Roman" w:hAnsi="Times New Roman" w:cs="Times New Roman"/>
                <w:sz w:val="20"/>
                <w:szCs w:val="20"/>
              </w:rPr>
            </w:pPr>
            <w:r w:rsidRPr="00B473AC">
              <w:rPr>
                <w:rFonts w:ascii="Times New Roman" w:hAnsi="Times New Roman" w:cs="Times New Roman"/>
                <w:sz w:val="20"/>
                <w:szCs w:val="20"/>
              </w:rPr>
              <w:t>1</w:t>
            </w:r>
          </w:p>
        </w:tc>
        <w:tc>
          <w:tcPr>
            <w:tcW w:w="3533" w:type="dxa"/>
            <w:tcBorders>
              <w:top w:val="single" w:sz="4" w:space="0" w:color="000000"/>
              <w:left w:val="nil"/>
              <w:bottom w:val="nil"/>
              <w:right w:val="nil"/>
            </w:tcBorders>
          </w:tcPr>
          <w:p w14:paraId="413825F0"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Certification and professional development.</w:t>
            </w:r>
          </w:p>
        </w:tc>
        <w:tc>
          <w:tcPr>
            <w:tcW w:w="617" w:type="dxa"/>
            <w:tcBorders>
              <w:top w:val="single" w:sz="4" w:space="0" w:color="000000"/>
              <w:left w:val="nil"/>
              <w:bottom w:val="nil"/>
              <w:right w:val="nil"/>
            </w:tcBorders>
          </w:tcPr>
          <w:p w14:paraId="2214513D"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50</w:t>
            </w:r>
          </w:p>
        </w:tc>
        <w:tc>
          <w:tcPr>
            <w:tcW w:w="590" w:type="dxa"/>
            <w:tcBorders>
              <w:top w:val="single" w:sz="4" w:space="0" w:color="000000"/>
              <w:left w:val="nil"/>
              <w:bottom w:val="nil"/>
              <w:right w:val="nil"/>
            </w:tcBorders>
          </w:tcPr>
          <w:p w14:paraId="007D5DF7"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0</w:t>
            </w:r>
          </w:p>
        </w:tc>
        <w:tc>
          <w:tcPr>
            <w:tcW w:w="619" w:type="dxa"/>
            <w:tcBorders>
              <w:top w:val="single" w:sz="4" w:space="0" w:color="000000"/>
              <w:left w:val="nil"/>
              <w:bottom w:val="nil"/>
              <w:right w:val="nil"/>
            </w:tcBorders>
          </w:tcPr>
          <w:p w14:paraId="648A872C"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0</w:t>
            </w:r>
          </w:p>
        </w:tc>
        <w:tc>
          <w:tcPr>
            <w:tcW w:w="557" w:type="dxa"/>
            <w:tcBorders>
              <w:top w:val="single" w:sz="4" w:space="0" w:color="000000"/>
              <w:left w:val="nil"/>
              <w:bottom w:val="nil"/>
              <w:right w:val="nil"/>
            </w:tcBorders>
          </w:tcPr>
          <w:p w14:paraId="317096E7"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0</w:t>
            </w:r>
          </w:p>
        </w:tc>
        <w:tc>
          <w:tcPr>
            <w:tcW w:w="803" w:type="dxa"/>
            <w:tcBorders>
              <w:top w:val="single" w:sz="4" w:space="0" w:color="000000"/>
              <w:left w:val="nil"/>
              <w:bottom w:val="nil"/>
              <w:right w:val="nil"/>
            </w:tcBorders>
          </w:tcPr>
          <w:p w14:paraId="4759DAC8"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4.00</w:t>
            </w:r>
          </w:p>
        </w:tc>
        <w:tc>
          <w:tcPr>
            <w:tcW w:w="710" w:type="dxa"/>
            <w:tcBorders>
              <w:top w:val="single" w:sz="4" w:space="0" w:color="000000"/>
              <w:left w:val="nil"/>
              <w:bottom w:val="nil"/>
              <w:right w:val="nil"/>
            </w:tcBorders>
          </w:tcPr>
          <w:p w14:paraId="5D2B13B4"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0.00</w:t>
            </w:r>
          </w:p>
        </w:tc>
        <w:tc>
          <w:tcPr>
            <w:tcW w:w="777" w:type="dxa"/>
            <w:tcBorders>
              <w:top w:val="single" w:sz="4" w:space="0" w:color="000000"/>
              <w:left w:val="nil"/>
              <w:bottom w:val="nil"/>
              <w:right w:val="nil"/>
            </w:tcBorders>
          </w:tcPr>
          <w:p w14:paraId="589FD38E" w14:textId="77777777" w:rsidR="004371E3" w:rsidRPr="00B473AC" w:rsidRDefault="004371E3" w:rsidP="00B473AC">
            <w:pPr>
              <w:spacing w:after="0" w:line="240" w:lineRule="auto"/>
              <w:jc w:val="center"/>
              <w:rPr>
                <w:rFonts w:ascii="Times New Roman" w:hAnsi="Times New Roman" w:cs="Times New Roman"/>
                <w:color w:val="000000"/>
                <w:sz w:val="20"/>
                <w:szCs w:val="20"/>
              </w:rPr>
            </w:pPr>
            <w:r w:rsidRPr="00B473AC">
              <w:rPr>
                <w:rFonts w:ascii="Times New Roman" w:hAnsi="Times New Roman" w:cs="Times New Roman"/>
                <w:color w:val="000000"/>
                <w:sz w:val="20"/>
                <w:szCs w:val="20"/>
              </w:rPr>
              <w:t>1</w:t>
            </w:r>
            <w:r w:rsidRPr="00B473AC">
              <w:rPr>
                <w:rFonts w:ascii="Times New Roman" w:hAnsi="Times New Roman" w:cs="Times New Roman"/>
                <w:color w:val="000000"/>
                <w:sz w:val="20"/>
                <w:szCs w:val="20"/>
                <w:vertAlign w:val="superscript"/>
              </w:rPr>
              <w:t>st</w:t>
            </w:r>
          </w:p>
        </w:tc>
      </w:tr>
      <w:tr w:rsidR="004371E3" w:rsidRPr="00B473AC" w14:paraId="103FA76C" w14:textId="77777777" w:rsidTr="00B473AC">
        <w:trPr>
          <w:jc w:val="center"/>
        </w:trPr>
        <w:tc>
          <w:tcPr>
            <w:tcW w:w="720" w:type="dxa"/>
            <w:tcBorders>
              <w:top w:val="nil"/>
              <w:left w:val="nil"/>
              <w:bottom w:val="nil"/>
              <w:right w:val="nil"/>
            </w:tcBorders>
          </w:tcPr>
          <w:p w14:paraId="09B8233F" w14:textId="77777777" w:rsidR="004371E3" w:rsidRPr="00B473AC" w:rsidRDefault="004371E3" w:rsidP="00B473AC">
            <w:pPr>
              <w:spacing w:after="0" w:line="240" w:lineRule="auto"/>
              <w:jc w:val="both"/>
              <w:rPr>
                <w:rFonts w:ascii="Times New Roman" w:hAnsi="Times New Roman" w:cs="Times New Roman"/>
                <w:sz w:val="20"/>
                <w:szCs w:val="20"/>
              </w:rPr>
            </w:pPr>
            <w:r w:rsidRPr="00B473AC">
              <w:rPr>
                <w:rFonts w:ascii="Times New Roman" w:hAnsi="Times New Roman" w:cs="Times New Roman"/>
                <w:sz w:val="20"/>
                <w:szCs w:val="20"/>
              </w:rPr>
              <w:t>2</w:t>
            </w:r>
          </w:p>
        </w:tc>
        <w:tc>
          <w:tcPr>
            <w:tcW w:w="3533" w:type="dxa"/>
            <w:tcBorders>
              <w:top w:val="nil"/>
              <w:left w:val="nil"/>
              <w:bottom w:val="nil"/>
              <w:right w:val="nil"/>
            </w:tcBorders>
          </w:tcPr>
          <w:p w14:paraId="782CDB49"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Training and development programs</w:t>
            </w:r>
          </w:p>
        </w:tc>
        <w:tc>
          <w:tcPr>
            <w:tcW w:w="617" w:type="dxa"/>
            <w:tcBorders>
              <w:top w:val="nil"/>
              <w:left w:val="nil"/>
              <w:bottom w:val="nil"/>
              <w:right w:val="nil"/>
            </w:tcBorders>
          </w:tcPr>
          <w:p w14:paraId="6BE57095"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49</w:t>
            </w:r>
          </w:p>
        </w:tc>
        <w:tc>
          <w:tcPr>
            <w:tcW w:w="590" w:type="dxa"/>
            <w:tcBorders>
              <w:top w:val="nil"/>
              <w:left w:val="nil"/>
              <w:bottom w:val="nil"/>
              <w:right w:val="nil"/>
            </w:tcBorders>
          </w:tcPr>
          <w:p w14:paraId="5C1D0814"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1</w:t>
            </w:r>
          </w:p>
        </w:tc>
        <w:tc>
          <w:tcPr>
            <w:tcW w:w="619" w:type="dxa"/>
            <w:tcBorders>
              <w:top w:val="nil"/>
              <w:left w:val="nil"/>
              <w:bottom w:val="nil"/>
              <w:right w:val="nil"/>
            </w:tcBorders>
          </w:tcPr>
          <w:p w14:paraId="60CBBC28"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0</w:t>
            </w:r>
          </w:p>
        </w:tc>
        <w:tc>
          <w:tcPr>
            <w:tcW w:w="557" w:type="dxa"/>
            <w:tcBorders>
              <w:top w:val="nil"/>
              <w:left w:val="nil"/>
              <w:bottom w:val="nil"/>
              <w:right w:val="nil"/>
            </w:tcBorders>
          </w:tcPr>
          <w:p w14:paraId="02FE4305"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0</w:t>
            </w:r>
          </w:p>
        </w:tc>
        <w:tc>
          <w:tcPr>
            <w:tcW w:w="803" w:type="dxa"/>
            <w:tcBorders>
              <w:top w:val="nil"/>
              <w:left w:val="nil"/>
              <w:bottom w:val="nil"/>
              <w:right w:val="nil"/>
            </w:tcBorders>
          </w:tcPr>
          <w:p w14:paraId="6F5DCD49"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3.98</w:t>
            </w:r>
          </w:p>
        </w:tc>
        <w:tc>
          <w:tcPr>
            <w:tcW w:w="710" w:type="dxa"/>
            <w:tcBorders>
              <w:top w:val="nil"/>
              <w:left w:val="nil"/>
              <w:bottom w:val="nil"/>
              <w:right w:val="nil"/>
            </w:tcBorders>
          </w:tcPr>
          <w:p w14:paraId="7C996BBE"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0.14</w:t>
            </w:r>
          </w:p>
        </w:tc>
        <w:tc>
          <w:tcPr>
            <w:tcW w:w="777" w:type="dxa"/>
            <w:tcBorders>
              <w:top w:val="nil"/>
              <w:left w:val="nil"/>
              <w:bottom w:val="nil"/>
              <w:right w:val="nil"/>
            </w:tcBorders>
          </w:tcPr>
          <w:p w14:paraId="24C76378" w14:textId="77777777" w:rsidR="004371E3" w:rsidRPr="00B473AC" w:rsidRDefault="004371E3" w:rsidP="00B473AC">
            <w:pPr>
              <w:spacing w:after="0" w:line="240" w:lineRule="auto"/>
              <w:jc w:val="center"/>
              <w:rPr>
                <w:rFonts w:ascii="Times New Roman" w:hAnsi="Times New Roman" w:cs="Times New Roman"/>
                <w:color w:val="000000"/>
                <w:sz w:val="20"/>
                <w:szCs w:val="20"/>
              </w:rPr>
            </w:pPr>
            <w:r w:rsidRPr="00B473AC">
              <w:rPr>
                <w:rFonts w:ascii="Times New Roman" w:hAnsi="Times New Roman" w:cs="Times New Roman"/>
                <w:color w:val="000000"/>
                <w:sz w:val="20"/>
                <w:szCs w:val="20"/>
              </w:rPr>
              <w:t>2</w:t>
            </w:r>
            <w:r w:rsidRPr="00B473AC">
              <w:rPr>
                <w:rFonts w:ascii="Times New Roman" w:hAnsi="Times New Roman" w:cs="Times New Roman"/>
                <w:color w:val="000000"/>
                <w:sz w:val="20"/>
                <w:szCs w:val="20"/>
                <w:vertAlign w:val="superscript"/>
              </w:rPr>
              <w:t>nd</w:t>
            </w:r>
          </w:p>
        </w:tc>
      </w:tr>
      <w:tr w:rsidR="004371E3" w:rsidRPr="00B473AC" w14:paraId="7D5E449E" w14:textId="77777777" w:rsidTr="00B473AC">
        <w:trPr>
          <w:jc w:val="center"/>
        </w:trPr>
        <w:tc>
          <w:tcPr>
            <w:tcW w:w="720" w:type="dxa"/>
            <w:tcBorders>
              <w:top w:val="nil"/>
              <w:left w:val="nil"/>
              <w:bottom w:val="nil"/>
              <w:right w:val="nil"/>
            </w:tcBorders>
          </w:tcPr>
          <w:p w14:paraId="75068FE1" w14:textId="77777777" w:rsidR="004371E3" w:rsidRPr="00B473AC" w:rsidRDefault="004371E3" w:rsidP="00B473AC">
            <w:pPr>
              <w:spacing w:after="0" w:line="240" w:lineRule="auto"/>
              <w:jc w:val="both"/>
              <w:rPr>
                <w:rFonts w:ascii="Times New Roman" w:hAnsi="Times New Roman" w:cs="Times New Roman"/>
                <w:sz w:val="20"/>
                <w:szCs w:val="20"/>
              </w:rPr>
            </w:pPr>
            <w:r w:rsidRPr="00B473AC">
              <w:rPr>
                <w:rFonts w:ascii="Times New Roman" w:hAnsi="Times New Roman" w:cs="Times New Roman"/>
                <w:sz w:val="20"/>
                <w:szCs w:val="20"/>
              </w:rPr>
              <w:t>3</w:t>
            </w:r>
          </w:p>
        </w:tc>
        <w:tc>
          <w:tcPr>
            <w:tcW w:w="3533" w:type="dxa"/>
            <w:tcBorders>
              <w:top w:val="nil"/>
              <w:left w:val="nil"/>
              <w:bottom w:val="nil"/>
              <w:right w:val="nil"/>
            </w:tcBorders>
          </w:tcPr>
          <w:p w14:paraId="17CAAD0B"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Technology adoption</w:t>
            </w:r>
          </w:p>
        </w:tc>
        <w:tc>
          <w:tcPr>
            <w:tcW w:w="617" w:type="dxa"/>
            <w:tcBorders>
              <w:top w:val="nil"/>
              <w:left w:val="nil"/>
              <w:bottom w:val="nil"/>
              <w:right w:val="nil"/>
            </w:tcBorders>
          </w:tcPr>
          <w:p w14:paraId="555D2DAD"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45</w:t>
            </w:r>
          </w:p>
        </w:tc>
        <w:tc>
          <w:tcPr>
            <w:tcW w:w="590" w:type="dxa"/>
            <w:tcBorders>
              <w:top w:val="nil"/>
              <w:left w:val="nil"/>
              <w:bottom w:val="nil"/>
              <w:right w:val="nil"/>
            </w:tcBorders>
          </w:tcPr>
          <w:p w14:paraId="72AE25E7"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4</w:t>
            </w:r>
          </w:p>
        </w:tc>
        <w:tc>
          <w:tcPr>
            <w:tcW w:w="619" w:type="dxa"/>
            <w:tcBorders>
              <w:top w:val="nil"/>
              <w:left w:val="nil"/>
              <w:bottom w:val="nil"/>
              <w:right w:val="nil"/>
            </w:tcBorders>
          </w:tcPr>
          <w:p w14:paraId="1DF109E1"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1</w:t>
            </w:r>
          </w:p>
        </w:tc>
        <w:tc>
          <w:tcPr>
            <w:tcW w:w="557" w:type="dxa"/>
            <w:tcBorders>
              <w:top w:val="nil"/>
              <w:left w:val="nil"/>
              <w:bottom w:val="nil"/>
              <w:right w:val="nil"/>
            </w:tcBorders>
          </w:tcPr>
          <w:p w14:paraId="4314B310"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0</w:t>
            </w:r>
          </w:p>
        </w:tc>
        <w:tc>
          <w:tcPr>
            <w:tcW w:w="803" w:type="dxa"/>
            <w:tcBorders>
              <w:top w:val="nil"/>
              <w:left w:val="nil"/>
              <w:bottom w:val="nil"/>
              <w:right w:val="nil"/>
            </w:tcBorders>
          </w:tcPr>
          <w:p w14:paraId="0C263ABE"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3.88</w:t>
            </w:r>
          </w:p>
        </w:tc>
        <w:tc>
          <w:tcPr>
            <w:tcW w:w="710" w:type="dxa"/>
            <w:tcBorders>
              <w:top w:val="nil"/>
              <w:left w:val="nil"/>
              <w:bottom w:val="nil"/>
              <w:right w:val="nil"/>
            </w:tcBorders>
          </w:tcPr>
          <w:p w14:paraId="31A83AE7"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0.38</w:t>
            </w:r>
          </w:p>
        </w:tc>
        <w:tc>
          <w:tcPr>
            <w:tcW w:w="777" w:type="dxa"/>
            <w:tcBorders>
              <w:top w:val="nil"/>
              <w:left w:val="nil"/>
              <w:bottom w:val="nil"/>
              <w:right w:val="nil"/>
            </w:tcBorders>
          </w:tcPr>
          <w:p w14:paraId="1DE88C62" w14:textId="77777777" w:rsidR="004371E3" w:rsidRPr="00B473AC" w:rsidRDefault="004371E3" w:rsidP="00B473AC">
            <w:pPr>
              <w:spacing w:after="0" w:line="240" w:lineRule="auto"/>
              <w:jc w:val="center"/>
              <w:rPr>
                <w:rFonts w:ascii="Times New Roman" w:hAnsi="Times New Roman" w:cs="Times New Roman"/>
                <w:color w:val="000000"/>
                <w:sz w:val="20"/>
                <w:szCs w:val="20"/>
              </w:rPr>
            </w:pPr>
            <w:r w:rsidRPr="00B473AC">
              <w:rPr>
                <w:rFonts w:ascii="Times New Roman" w:hAnsi="Times New Roman" w:cs="Times New Roman"/>
                <w:color w:val="000000"/>
                <w:sz w:val="20"/>
                <w:szCs w:val="20"/>
              </w:rPr>
              <w:t>3</w:t>
            </w:r>
            <w:r w:rsidRPr="00B473AC">
              <w:rPr>
                <w:rFonts w:ascii="Times New Roman" w:hAnsi="Times New Roman" w:cs="Times New Roman"/>
                <w:color w:val="000000"/>
                <w:sz w:val="20"/>
                <w:szCs w:val="20"/>
                <w:vertAlign w:val="superscript"/>
              </w:rPr>
              <w:t>rd</w:t>
            </w:r>
          </w:p>
        </w:tc>
      </w:tr>
      <w:tr w:rsidR="004371E3" w:rsidRPr="00B473AC" w14:paraId="52E2E07E" w14:textId="77777777" w:rsidTr="00B473AC">
        <w:trPr>
          <w:jc w:val="center"/>
        </w:trPr>
        <w:tc>
          <w:tcPr>
            <w:tcW w:w="720" w:type="dxa"/>
            <w:tcBorders>
              <w:top w:val="nil"/>
              <w:left w:val="nil"/>
              <w:bottom w:val="nil"/>
              <w:right w:val="nil"/>
            </w:tcBorders>
          </w:tcPr>
          <w:p w14:paraId="247B6A5F" w14:textId="77777777" w:rsidR="004371E3" w:rsidRPr="00B473AC" w:rsidRDefault="004371E3" w:rsidP="00B473AC">
            <w:pPr>
              <w:spacing w:after="0" w:line="240" w:lineRule="auto"/>
              <w:jc w:val="both"/>
              <w:rPr>
                <w:rFonts w:ascii="Times New Roman" w:hAnsi="Times New Roman" w:cs="Times New Roman"/>
                <w:sz w:val="20"/>
                <w:szCs w:val="20"/>
              </w:rPr>
            </w:pPr>
            <w:r w:rsidRPr="00B473AC">
              <w:rPr>
                <w:rFonts w:ascii="Times New Roman" w:hAnsi="Times New Roman" w:cs="Times New Roman"/>
                <w:sz w:val="20"/>
                <w:szCs w:val="20"/>
              </w:rPr>
              <w:t>4</w:t>
            </w:r>
          </w:p>
        </w:tc>
        <w:tc>
          <w:tcPr>
            <w:tcW w:w="3533" w:type="dxa"/>
            <w:tcBorders>
              <w:top w:val="nil"/>
              <w:left w:val="nil"/>
              <w:bottom w:val="nil"/>
              <w:right w:val="nil"/>
            </w:tcBorders>
          </w:tcPr>
          <w:p w14:paraId="2DAC737D"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Mentorship and coaching</w:t>
            </w:r>
          </w:p>
        </w:tc>
        <w:tc>
          <w:tcPr>
            <w:tcW w:w="617" w:type="dxa"/>
            <w:tcBorders>
              <w:top w:val="nil"/>
              <w:left w:val="nil"/>
              <w:bottom w:val="nil"/>
              <w:right w:val="nil"/>
            </w:tcBorders>
          </w:tcPr>
          <w:p w14:paraId="4BD745FF"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43</w:t>
            </w:r>
          </w:p>
        </w:tc>
        <w:tc>
          <w:tcPr>
            <w:tcW w:w="590" w:type="dxa"/>
            <w:tcBorders>
              <w:top w:val="nil"/>
              <w:left w:val="nil"/>
              <w:bottom w:val="nil"/>
              <w:right w:val="nil"/>
            </w:tcBorders>
          </w:tcPr>
          <w:p w14:paraId="1CA51B56"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4</w:t>
            </w:r>
          </w:p>
        </w:tc>
        <w:tc>
          <w:tcPr>
            <w:tcW w:w="619" w:type="dxa"/>
            <w:tcBorders>
              <w:top w:val="nil"/>
              <w:left w:val="nil"/>
              <w:bottom w:val="nil"/>
              <w:right w:val="nil"/>
            </w:tcBorders>
          </w:tcPr>
          <w:p w14:paraId="0516619A"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1</w:t>
            </w:r>
          </w:p>
        </w:tc>
        <w:tc>
          <w:tcPr>
            <w:tcW w:w="557" w:type="dxa"/>
            <w:tcBorders>
              <w:top w:val="nil"/>
              <w:left w:val="nil"/>
              <w:bottom w:val="nil"/>
              <w:right w:val="nil"/>
            </w:tcBorders>
          </w:tcPr>
          <w:p w14:paraId="46AAFCA1"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2</w:t>
            </w:r>
          </w:p>
        </w:tc>
        <w:tc>
          <w:tcPr>
            <w:tcW w:w="803" w:type="dxa"/>
            <w:tcBorders>
              <w:top w:val="nil"/>
              <w:left w:val="nil"/>
              <w:bottom w:val="nil"/>
              <w:right w:val="nil"/>
            </w:tcBorders>
          </w:tcPr>
          <w:p w14:paraId="28AA825C"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3.76</w:t>
            </w:r>
          </w:p>
        </w:tc>
        <w:tc>
          <w:tcPr>
            <w:tcW w:w="710" w:type="dxa"/>
            <w:tcBorders>
              <w:top w:val="nil"/>
              <w:left w:val="nil"/>
              <w:bottom w:val="nil"/>
              <w:right w:val="nil"/>
            </w:tcBorders>
          </w:tcPr>
          <w:p w14:paraId="3057BD0B"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0.68</w:t>
            </w:r>
          </w:p>
        </w:tc>
        <w:tc>
          <w:tcPr>
            <w:tcW w:w="777" w:type="dxa"/>
            <w:tcBorders>
              <w:top w:val="nil"/>
              <w:left w:val="nil"/>
              <w:bottom w:val="nil"/>
              <w:right w:val="nil"/>
            </w:tcBorders>
          </w:tcPr>
          <w:p w14:paraId="30FC1CA0" w14:textId="77777777" w:rsidR="004371E3" w:rsidRPr="00B473AC" w:rsidRDefault="004371E3" w:rsidP="00B473AC">
            <w:pPr>
              <w:spacing w:after="0" w:line="240" w:lineRule="auto"/>
              <w:jc w:val="center"/>
              <w:rPr>
                <w:rFonts w:ascii="Times New Roman" w:hAnsi="Times New Roman" w:cs="Times New Roman"/>
                <w:color w:val="000000"/>
                <w:sz w:val="20"/>
                <w:szCs w:val="20"/>
              </w:rPr>
            </w:pPr>
            <w:r w:rsidRPr="00B473AC">
              <w:rPr>
                <w:rFonts w:ascii="Times New Roman" w:hAnsi="Times New Roman" w:cs="Times New Roman"/>
                <w:color w:val="000000"/>
                <w:sz w:val="20"/>
                <w:szCs w:val="20"/>
              </w:rPr>
              <w:t>4</w:t>
            </w:r>
            <w:r w:rsidRPr="00B473AC">
              <w:rPr>
                <w:rFonts w:ascii="Times New Roman" w:hAnsi="Times New Roman" w:cs="Times New Roman"/>
                <w:color w:val="000000"/>
                <w:sz w:val="20"/>
                <w:szCs w:val="20"/>
                <w:vertAlign w:val="superscript"/>
              </w:rPr>
              <w:t>th</w:t>
            </w:r>
          </w:p>
        </w:tc>
      </w:tr>
      <w:tr w:rsidR="004371E3" w:rsidRPr="00B473AC" w14:paraId="5885F879" w14:textId="77777777" w:rsidTr="00B473AC">
        <w:trPr>
          <w:jc w:val="center"/>
        </w:trPr>
        <w:tc>
          <w:tcPr>
            <w:tcW w:w="720" w:type="dxa"/>
            <w:tcBorders>
              <w:top w:val="nil"/>
              <w:left w:val="nil"/>
              <w:bottom w:val="nil"/>
              <w:right w:val="nil"/>
            </w:tcBorders>
          </w:tcPr>
          <w:p w14:paraId="64CB2EB8" w14:textId="77777777" w:rsidR="004371E3" w:rsidRPr="00B473AC" w:rsidRDefault="004371E3" w:rsidP="00B473AC">
            <w:pPr>
              <w:spacing w:after="0" w:line="240" w:lineRule="auto"/>
              <w:jc w:val="both"/>
              <w:rPr>
                <w:rFonts w:ascii="Times New Roman" w:hAnsi="Times New Roman" w:cs="Times New Roman"/>
                <w:sz w:val="20"/>
                <w:szCs w:val="20"/>
              </w:rPr>
            </w:pPr>
            <w:r w:rsidRPr="00B473AC">
              <w:rPr>
                <w:rFonts w:ascii="Times New Roman" w:hAnsi="Times New Roman" w:cs="Times New Roman"/>
                <w:sz w:val="20"/>
                <w:szCs w:val="20"/>
              </w:rPr>
              <w:t>5</w:t>
            </w:r>
          </w:p>
        </w:tc>
        <w:tc>
          <w:tcPr>
            <w:tcW w:w="3533" w:type="dxa"/>
            <w:tcBorders>
              <w:top w:val="nil"/>
              <w:left w:val="nil"/>
              <w:bottom w:val="nil"/>
              <w:right w:val="nil"/>
            </w:tcBorders>
          </w:tcPr>
          <w:p w14:paraId="61CC26BA"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Collaboration and knowledge</w:t>
            </w:r>
          </w:p>
        </w:tc>
        <w:tc>
          <w:tcPr>
            <w:tcW w:w="617" w:type="dxa"/>
            <w:tcBorders>
              <w:top w:val="nil"/>
              <w:left w:val="nil"/>
              <w:bottom w:val="nil"/>
              <w:right w:val="nil"/>
            </w:tcBorders>
          </w:tcPr>
          <w:p w14:paraId="6FF69E43"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40</w:t>
            </w:r>
          </w:p>
        </w:tc>
        <w:tc>
          <w:tcPr>
            <w:tcW w:w="590" w:type="dxa"/>
            <w:tcBorders>
              <w:top w:val="nil"/>
              <w:left w:val="nil"/>
              <w:bottom w:val="nil"/>
              <w:right w:val="nil"/>
            </w:tcBorders>
          </w:tcPr>
          <w:p w14:paraId="6322515F"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4</w:t>
            </w:r>
          </w:p>
        </w:tc>
        <w:tc>
          <w:tcPr>
            <w:tcW w:w="619" w:type="dxa"/>
            <w:tcBorders>
              <w:top w:val="nil"/>
              <w:left w:val="nil"/>
              <w:bottom w:val="nil"/>
              <w:right w:val="nil"/>
            </w:tcBorders>
          </w:tcPr>
          <w:p w14:paraId="36988C0B"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2</w:t>
            </w:r>
          </w:p>
        </w:tc>
        <w:tc>
          <w:tcPr>
            <w:tcW w:w="557" w:type="dxa"/>
            <w:tcBorders>
              <w:top w:val="nil"/>
              <w:left w:val="nil"/>
              <w:bottom w:val="nil"/>
              <w:right w:val="nil"/>
            </w:tcBorders>
          </w:tcPr>
          <w:p w14:paraId="1541565E"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4</w:t>
            </w:r>
          </w:p>
        </w:tc>
        <w:tc>
          <w:tcPr>
            <w:tcW w:w="803" w:type="dxa"/>
            <w:tcBorders>
              <w:top w:val="nil"/>
              <w:left w:val="nil"/>
              <w:bottom w:val="nil"/>
              <w:right w:val="nil"/>
            </w:tcBorders>
          </w:tcPr>
          <w:p w14:paraId="069B1BDC"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3.60</w:t>
            </w:r>
          </w:p>
        </w:tc>
        <w:tc>
          <w:tcPr>
            <w:tcW w:w="710" w:type="dxa"/>
            <w:tcBorders>
              <w:top w:val="nil"/>
              <w:left w:val="nil"/>
              <w:bottom w:val="nil"/>
              <w:right w:val="nil"/>
            </w:tcBorders>
          </w:tcPr>
          <w:p w14:paraId="078873E2"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color w:val="000000"/>
                <w:sz w:val="20"/>
                <w:szCs w:val="20"/>
              </w:rPr>
              <w:t>0.89</w:t>
            </w:r>
          </w:p>
        </w:tc>
        <w:tc>
          <w:tcPr>
            <w:tcW w:w="777" w:type="dxa"/>
            <w:tcBorders>
              <w:top w:val="nil"/>
              <w:left w:val="nil"/>
              <w:bottom w:val="nil"/>
              <w:right w:val="nil"/>
            </w:tcBorders>
          </w:tcPr>
          <w:p w14:paraId="18D257FB" w14:textId="77777777" w:rsidR="004371E3" w:rsidRPr="00B473AC" w:rsidRDefault="004371E3" w:rsidP="00B473AC">
            <w:pPr>
              <w:spacing w:after="0" w:line="240" w:lineRule="auto"/>
              <w:jc w:val="center"/>
              <w:rPr>
                <w:rFonts w:ascii="Times New Roman" w:hAnsi="Times New Roman" w:cs="Times New Roman"/>
                <w:color w:val="000000"/>
                <w:sz w:val="20"/>
                <w:szCs w:val="20"/>
              </w:rPr>
            </w:pPr>
            <w:r w:rsidRPr="00B473AC">
              <w:rPr>
                <w:rFonts w:ascii="Times New Roman" w:hAnsi="Times New Roman" w:cs="Times New Roman"/>
                <w:color w:val="000000"/>
                <w:sz w:val="20"/>
                <w:szCs w:val="20"/>
              </w:rPr>
              <w:t>5</w:t>
            </w:r>
            <w:r w:rsidRPr="00B473AC">
              <w:rPr>
                <w:rFonts w:ascii="Times New Roman" w:hAnsi="Times New Roman" w:cs="Times New Roman"/>
                <w:color w:val="000000"/>
                <w:sz w:val="20"/>
                <w:szCs w:val="20"/>
                <w:vertAlign w:val="superscript"/>
              </w:rPr>
              <w:t>th</w:t>
            </w:r>
          </w:p>
        </w:tc>
      </w:tr>
      <w:tr w:rsidR="004371E3" w:rsidRPr="00B473AC" w14:paraId="2FFE723B" w14:textId="77777777" w:rsidTr="00B473AC">
        <w:trPr>
          <w:jc w:val="center"/>
        </w:trPr>
        <w:tc>
          <w:tcPr>
            <w:tcW w:w="720" w:type="dxa"/>
            <w:tcBorders>
              <w:top w:val="nil"/>
              <w:left w:val="nil"/>
              <w:bottom w:val="single" w:sz="4" w:space="0" w:color="000000"/>
              <w:right w:val="nil"/>
            </w:tcBorders>
          </w:tcPr>
          <w:p w14:paraId="269A0DF4" w14:textId="77777777" w:rsidR="004371E3" w:rsidRPr="00B473AC" w:rsidRDefault="004371E3" w:rsidP="00B473AC">
            <w:pPr>
              <w:spacing w:after="0" w:line="240" w:lineRule="auto"/>
              <w:jc w:val="both"/>
              <w:rPr>
                <w:rFonts w:ascii="Times New Roman" w:hAnsi="Times New Roman" w:cs="Times New Roman"/>
                <w:b/>
                <w:sz w:val="20"/>
                <w:szCs w:val="20"/>
              </w:rPr>
            </w:pPr>
          </w:p>
        </w:tc>
        <w:tc>
          <w:tcPr>
            <w:tcW w:w="3533" w:type="dxa"/>
            <w:tcBorders>
              <w:top w:val="nil"/>
              <w:left w:val="nil"/>
              <w:bottom w:val="single" w:sz="4" w:space="0" w:color="000000"/>
              <w:right w:val="nil"/>
            </w:tcBorders>
          </w:tcPr>
          <w:p w14:paraId="7F1614DD" w14:textId="77777777" w:rsidR="004371E3" w:rsidRPr="00B473AC" w:rsidRDefault="004371E3" w:rsidP="00B473AC">
            <w:pPr>
              <w:spacing w:after="0" w:line="240" w:lineRule="auto"/>
              <w:rPr>
                <w:rFonts w:ascii="Times New Roman" w:hAnsi="Times New Roman" w:cs="Times New Roman"/>
                <w:b/>
                <w:sz w:val="20"/>
                <w:szCs w:val="20"/>
              </w:rPr>
            </w:pPr>
            <w:r w:rsidRPr="00B473AC">
              <w:rPr>
                <w:rFonts w:ascii="Times New Roman" w:hAnsi="Times New Roman" w:cs="Times New Roman"/>
                <w:b/>
                <w:color w:val="000000"/>
                <w:sz w:val="20"/>
                <w:szCs w:val="20"/>
              </w:rPr>
              <w:t>Cluster Mean</w:t>
            </w:r>
          </w:p>
        </w:tc>
        <w:tc>
          <w:tcPr>
            <w:tcW w:w="617" w:type="dxa"/>
            <w:tcBorders>
              <w:top w:val="nil"/>
              <w:left w:val="nil"/>
              <w:bottom w:val="single" w:sz="4" w:space="0" w:color="000000"/>
              <w:right w:val="nil"/>
            </w:tcBorders>
          </w:tcPr>
          <w:p w14:paraId="0D2B7094" w14:textId="77777777" w:rsidR="004371E3" w:rsidRPr="00B473AC" w:rsidRDefault="004371E3" w:rsidP="00B473AC">
            <w:pPr>
              <w:spacing w:after="0" w:line="240" w:lineRule="auto"/>
              <w:rPr>
                <w:rFonts w:ascii="Times New Roman" w:hAnsi="Times New Roman" w:cs="Times New Roman"/>
                <w:sz w:val="20"/>
                <w:szCs w:val="20"/>
              </w:rPr>
            </w:pPr>
          </w:p>
        </w:tc>
        <w:tc>
          <w:tcPr>
            <w:tcW w:w="590" w:type="dxa"/>
            <w:tcBorders>
              <w:top w:val="nil"/>
              <w:left w:val="nil"/>
              <w:bottom w:val="single" w:sz="4" w:space="0" w:color="000000"/>
              <w:right w:val="nil"/>
            </w:tcBorders>
          </w:tcPr>
          <w:p w14:paraId="568A8ED8" w14:textId="77777777" w:rsidR="004371E3" w:rsidRPr="00B473AC" w:rsidRDefault="004371E3" w:rsidP="00B473AC">
            <w:pPr>
              <w:spacing w:after="0" w:line="240" w:lineRule="auto"/>
              <w:rPr>
                <w:rFonts w:ascii="Times New Roman" w:hAnsi="Times New Roman" w:cs="Times New Roman"/>
                <w:sz w:val="20"/>
                <w:szCs w:val="20"/>
              </w:rPr>
            </w:pPr>
          </w:p>
        </w:tc>
        <w:tc>
          <w:tcPr>
            <w:tcW w:w="619" w:type="dxa"/>
            <w:tcBorders>
              <w:top w:val="nil"/>
              <w:left w:val="nil"/>
              <w:bottom w:val="single" w:sz="4" w:space="0" w:color="000000"/>
              <w:right w:val="nil"/>
            </w:tcBorders>
          </w:tcPr>
          <w:p w14:paraId="1C96CD56" w14:textId="77777777" w:rsidR="004371E3" w:rsidRPr="00B473AC" w:rsidRDefault="004371E3" w:rsidP="00B473AC">
            <w:pPr>
              <w:spacing w:after="0" w:line="240" w:lineRule="auto"/>
              <w:rPr>
                <w:rFonts w:ascii="Times New Roman" w:hAnsi="Times New Roman" w:cs="Times New Roman"/>
                <w:sz w:val="20"/>
                <w:szCs w:val="20"/>
              </w:rPr>
            </w:pPr>
          </w:p>
        </w:tc>
        <w:tc>
          <w:tcPr>
            <w:tcW w:w="557" w:type="dxa"/>
            <w:tcBorders>
              <w:top w:val="nil"/>
              <w:left w:val="nil"/>
              <w:bottom w:val="single" w:sz="4" w:space="0" w:color="000000"/>
              <w:right w:val="nil"/>
            </w:tcBorders>
          </w:tcPr>
          <w:p w14:paraId="6050200D" w14:textId="77777777" w:rsidR="004371E3" w:rsidRPr="00B473AC" w:rsidRDefault="004371E3" w:rsidP="00B473AC">
            <w:pPr>
              <w:spacing w:after="0" w:line="240" w:lineRule="auto"/>
              <w:rPr>
                <w:rFonts w:ascii="Times New Roman" w:hAnsi="Times New Roman" w:cs="Times New Roman"/>
                <w:sz w:val="20"/>
                <w:szCs w:val="20"/>
              </w:rPr>
            </w:pPr>
          </w:p>
        </w:tc>
        <w:tc>
          <w:tcPr>
            <w:tcW w:w="803" w:type="dxa"/>
            <w:tcBorders>
              <w:top w:val="nil"/>
              <w:left w:val="nil"/>
              <w:bottom w:val="single" w:sz="4" w:space="0" w:color="000000"/>
              <w:right w:val="nil"/>
            </w:tcBorders>
          </w:tcPr>
          <w:p w14:paraId="7CEA7B52" w14:textId="77777777" w:rsidR="004371E3" w:rsidRPr="00B473AC" w:rsidRDefault="004371E3" w:rsidP="00B473AC">
            <w:pPr>
              <w:spacing w:after="0" w:line="240" w:lineRule="auto"/>
              <w:rPr>
                <w:rFonts w:ascii="Times New Roman" w:hAnsi="Times New Roman" w:cs="Times New Roman"/>
                <w:b/>
                <w:sz w:val="20"/>
                <w:szCs w:val="20"/>
              </w:rPr>
            </w:pPr>
            <w:r w:rsidRPr="00B473AC">
              <w:rPr>
                <w:rFonts w:ascii="Times New Roman" w:hAnsi="Times New Roman" w:cs="Times New Roman"/>
                <w:b/>
                <w:color w:val="000000"/>
                <w:sz w:val="20"/>
                <w:szCs w:val="20"/>
              </w:rPr>
              <w:t>3.84</w:t>
            </w:r>
          </w:p>
        </w:tc>
        <w:tc>
          <w:tcPr>
            <w:tcW w:w="710" w:type="dxa"/>
            <w:tcBorders>
              <w:top w:val="nil"/>
              <w:left w:val="nil"/>
              <w:bottom w:val="single" w:sz="4" w:space="0" w:color="000000"/>
              <w:right w:val="nil"/>
            </w:tcBorders>
          </w:tcPr>
          <w:p w14:paraId="4A89E882" w14:textId="77777777" w:rsidR="004371E3" w:rsidRPr="00B473AC" w:rsidRDefault="004371E3" w:rsidP="00B473AC">
            <w:pPr>
              <w:spacing w:after="0" w:line="240" w:lineRule="auto"/>
              <w:rPr>
                <w:rFonts w:ascii="Times New Roman" w:hAnsi="Times New Roman" w:cs="Times New Roman"/>
                <w:b/>
                <w:sz w:val="20"/>
                <w:szCs w:val="20"/>
              </w:rPr>
            </w:pPr>
            <w:r w:rsidRPr="00B473AC">
              <w:rPr>
                <w:rFonts w:ascii="Times New Roman" w:hAnsi="Times New Roman" w:cs="Times New Roman"/>
                <w:b/>
                <w:color w:val="000000"/>
                <w:sz w:val="20"/>
                <w:szCs w:val="20"/>
              </w:rPr>
              <w:t>0.42</w:t>
            </w:r>
          </w:p>
        </w:tc>
        <w:tc>
          <w:tcPr>
            <w:tcW w:w="777" w:type="dxa"/>
            <w:tcBorders>
              <w:top w:val="nil"/>
              <w:left w:val="nil"/>
              <w:bottom w:val="single" w:sz="4" w:space="0" w:color="000000"/>
              <w:right w:val="nil"/>
            </w:tcBorders>
          </w:tcPr>
          <w:p w14:paraId="27A99679" w14:textId="77777777" w:rsidR="004371E3" w:rsidRPr="00B473AC" w:rsidRDefault="004371E3" w:rsidP="00B473AC">
            <w:pPr>
              <w:spacing w:after="0" w:line="240" w:lineRule="auto"/>
              <w:jc w:val="both"/>
              <w:rPr>
                <w:rFonts w:ascii="Times New Roman" w:hAnsi="Times New Roman" w:cs="Times New Roman"/>
                <w:b/>
                <w:sz w:val="20"/>
                <w:szCs w:val="20"/>
              </w:rPr>
            </w:pPr>
          </w:p>
        </w:tc>
      </w:tr>
    </w:tbl>
    <w:p w14:paraId="4F7105D8" w14:textId="77777777" w:rsidR="004371E3" w:rsidRPr="00BE4AF3" w:rsidRDefault="004371E3" w:rsidP="004371E3">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Keys:</w:t>
      </w:r>
      <w:r w:rsidRPr="00BE4AF3">
        <w:rPr>
          <w:rFonts w:ascii="Times New Roman" w:hAnsi="Times New Roman" w:cs="Times New Roman"/>
          <w:sz w:val="24"/>
          <w:szCs w:val="24"/>
        </w:rPr>
        <w:t xml:space="preserve"> SA- Strongly Agree, A – Agree, D – Disagree, SD – Strongly Disagree</w:t>
      </w:r>
    </w:p>
    <w:p w14:paraId="4EECB423" w14:textId="77777777" w:rsidR="00B473AC" w:rsidRDefault="00B473AC" w:rsidP="00B473AC">
      <w:pPr>
        <w:spacing w:after="0" w:line="240" w:lineRule="auto"/>
        <w:jc w:val="both"/>
        <w:rPr>
          <w:rFonts w:ascii="Times New Roman" w:hAnsi="Times New Roman" w:cs="Times New Roman"/>
          <w:sz w:val="24"/>
          <w:szCs w:val="24"/>
        </w:rPr>
      </w:pPr>
    </w:p>
    <w:p w14:paraId="3DFA0317" w14:textId="7918FE9D" w:rsidR="004371E3" w:rsidRPr="00BE4AF3" w:rsidRDefault="004371E3" w:rsidP="00B473AC">
      <w:pPr>
        <w:spacing w:after="0" w:line="240" w:lineRule="auto"/>
        <w:jc w:val="both"/>
        <w:rPr>
          <w:rFonts w:ascii="Times New Roman" w:hAnsi="Times New Roman" w:cs="Times New Roman"/>
          <w:b/>
          <w:color w:val="000000"/>
          <w:sz w:val="24"/>
          <w:szCs w:val="24"/>
        </w:rPr>
      </w:pPr>
      <w:r w:rsidRPr="00BE4AF3">
        <w:rPr>
          <w:rFonts w:ascii="Times New Roman" w:hAnsi="Times New Roman" w:cs="Times New Roman"/>
          <w:sz w:val="24"/>
          <w:szCs w:val="24"/>
        </w:rPr>
        <w:t>Table 4 shows p</w:t>
      </w:r>
      <w:r w:rsidRPr="00BE4AF3">
        <w:rPr>
          <w:rFonts w:ascii="Times New Roman" w:hAnsi="Times New Roman" w:cs="Times New Roman"/>
          <w:color w:val="000000"/>
          <w:sz w:val="24"/>
          <w:szCs w:val="24"/>
        </w:rPr>
        <w:t>ossible ways construction industries can influence competencies of supply chain managers in construction industry</w:t>
      </w:r>
      <w:r w:rsidRPr="00BE4AF3">
        <w:rPr>
          <w:rFonts w:ascii="Times New Roman" w:hAnsi="Times New Roman" w:cs="Times New Roman"/>
          <w:sz w:val="24"/>
          <w:szCs w:val="24"/>
        </w:rPr>
        <w:t>. Certification and professional development was ranked the top most p</w:t>
      </w:r>
      <w:r w:rsidRPr="00BE4AF3">
        <w:rPr>
          <w:rFonts w:ascii="Times New Roman" w:hAnsi="Times New Roman" w:cs="Times New Roman"/>
          <w:color w:val="000000"/>
          <w:sz w:val="24"/>
          <w:szCs w:val="24"/>
        </w:rPr>
        <w:t>ossible ways construction industries can influence competencies of supply chain managers in construction industry</w:t>
      </w:r>
      <w:r w:rsidRPr="00BE4AF3">
        <w:rPr>
          <w:rFonts w:ascii="Times New Roman" w:hAnsi="Times New Roman" w:cs="Times New Roman"/>
          <w:sz w:val="24"/>
          <w:szCs w:val="24"/>
        </w:rPr>
        <w:t>. Based on the cutoff point mark of 2.50, Respondents agreed to all the items.</w:t>
      </w:r>
      <w:r w:rsidRPr="00BE4AF3">
        <w:rPr>
          <w:rFonts w:ascii="Times New Roman" w:hAnsi="Times New Roman" w:cs="Times New Roman"/>
          <w:b/>
          <w:color w:val="000000"/>
          <w:sz w:val="24"/>
          <w:szCs w:val="24"/>
        </w:rPr>
        <w:t xml:space="preserve"> </w:t>
      </w:r>
    </w:p>
    <w:p w14:paraId="31B42151" w14:textId="77777777" w:rsidR="004371E3" w:rsidRPr="00BE4AF3" w:rsidRDefault="004371E3" w:rsidP="004371E3">
      <w:pPr>
        <w:spacing w:after="0" w:line="240" w:lineRule="auto"/>
        <w:jc w:val="both"/>
        <w:rPr>
          <w:rFonts w:ascii="Times New Roman" w:hAnsi="Times New Roman" w:cs="Times New Roman"/>
          <w:sz w:val="24"/>
          <w:szCs w:val="24"/>
        </w:rPr>
      </w:pPr>
    </w:p>
    <w:p w14:paraId="666EDD91" w14:textId="77777777" w:rsidR="004371E3" w:rsidRPr="00BE4AF3" w:rsidRDefault="004371E3" w:rsidP="004371E3">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 xml:space="preserve">TEST OF HYPOTHESES </w:t>
      </w:r>
    </w:p>
    <w:p w14:paraId="4636E5E8" w14:textId="77777777" w:rsidR="004371E3" w:rsidRPr="00BE4AF3" w:rsidRDefault="004371E3" w:rsidP="004371E3">
      <w:pPr>
        <w:spacing w:after="0" w:line="240" w:lineRule="auto"/>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There is no significant impact of awareness of supply chain on supply chain managers in construction industry in Abuja, Nigeria.</w:t>
      </w:r>
    </w:p>
    <w:p w14:paraId="431ED424" w14:textId="77777777" w:rsidR="004371E3" w:rsidRPr="00BE4AF3" w:rsidRDefault="004371E3" w:rsidP="004371E3">
      <w:pPr>
        <w:spacing w:after="0" w:line="240" w:lineRule="auto"/>
        <w:jc w:val="both"/>
        <w:rPr>
          <w:rFonts w:ascii="Times New Roman" w:hAnsi="Times New Roman" w:cs="Times New Roman"/>
          <w:sz w:val="24"/>
          <w:szCs w:val="24"/>
        </w:rPr>
      </w:pPr>
      <w:r w:rsidRPr="00BE4AF3">
        <w:rPr>
          <w:rFonts w:ascii="Times New Roman" w:hAnsi="Times New Roman" w:cs="Times New Roman"/>
          <w:b/>
          <w:color w:val="000000"/>
          <w:sz w:val="24"/>
          <w:szCs w:val="24"/>
        </w:rPr>
        <w:t>Test of Hypothesis</w:t>
      </w:r>
    </w:p>
    <w:p w14:paraId="10BD4146" w14:textId="77777777" w:rsidR="004371E3" w:rsidRPr="00BE4AF3" w:rsidRDefault="004371E3" w:rsidP="004371E3">
      <w:pPr>
        <w:spacing w:after="0" w:line="240" w:lineRule="auto"/>
        <w:jc w:val="both"/>
        <w:rPr>
          <w:rFonts w:ascii="Times New Roman" w:hAnsi="Times New Roman" w:cs="Times New Roman"/>
          <w:sz w:val="24"/>
          <w:szCs w:val="24"/>
        </w:rPr>
      </w:pPr>
      <w:r w:rsidRPr="00BE4AF3">
        <w:rPr>
          <w:rFonts w:ascii="Times New Roman" w:hAnsi="Times New Roman" w:cs="Times New Roman"/>
          <w:b/>
          <w:color w:val="000000"/>
          <w:sz w:val="24"/>
          <w:szCs w:val="24"/>
        </w:rPr>
        <w:t xml:space="preserve">Research Hypothesis 1: </w:t>
      </w:r>
      <w:r w:rsidRPr="00BE4AF3">
        <w:rPr>
          <w:rFonts w:ascii="Times New Roman" w:hAnsi="Times New Roman" w:cs="Times New Roman"/>
          <w:color w:val="000000"/>
          <w:sz w:val="24"/>
          <w:szCs w:val="24"/>
        </w:rPr>
        <w:t>There is no significant impact of awareness of supply chain on supply chain managers in construction industry in Abuja, Nigeria.</w:t>
      </w:r>
    </w:p>
    <w:tbl>
      <w:tblPr>
        <w:tblW w:w="92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15"/>
        <w:gridCol w:w="1915"/>
        <w:gridCol w:w="2578"/>
        <w:gridCol w:w="1440"/>
        <w:gridCol w:w="1366"/>
      </w:tblGrid>
      <w:tr w:rsidR="004371E3" w:rsidRPr="00B473AC" w14:paraId="46445360" w14:textId="77777777" w:rsidTr="00B473AC">
        <w:trPr>
          <w:jc w:val="center"/>
        </w:trPr>
        <w:tc>
          <w:tcPr>
            <w:tcW w:w="1915" w:type="dxa"/>
            <w:tcBorders>
              <w:top w:val="single" w:sz="4" w:space="0" w:color="000000"/>
              <w:left w:val="nil"/>
              <w:bottom w:val="single" w:sz="4" w:space="0" w:color="000000"/>
              <w:right w:val="nil"/>
            </w:tcBorders>
          </w:tcPr>
          <w:p w14:paraId="477DC5E3" w14:textId="77777777" w:rsidR="004371E3" w:rsidRPr="00B473AC" w:rsidRDefault="004371E3" w:rsidP="00B473AC">
            <w:pPr>
              <w:spacing w:after="0" w:line="240" w:lineRule="auto"/>
              <w:rPr>
                <w:rFonts w:ascii="Times New Roman" w:hAnsi="Times New Roman" w:cs="Times New Roman"/>
                <w:sz w:val="20"/>
                <w:szCs w:val="20"/>
              </w:rPr>
            </w:pPr>
          </w:p>
          <w:p w14:paraId="3F1D7CCB" w14:textId="77777777" w:rsidR="004371E3" w:rsidRPr="00B473AC" w:rsidRDefault="004371E3" w:rsidP="00B473AC">
            <w:pPr>
              <w:spacing w:after="0" w:line="240" w:lineRule="auto"/>
              <w:rPr>
                <w:rFonts w:ascii="Times New Roman" w:hAnsi="Times New Roman" w:cs="Times New Roman"/>
                <w:sz w:val="20"/>
                <w:szCs w:val="20"/>
              </w:rPr>
            </w:pPr>
          </w:p>
        </w:tc>
        <w:tc>
          <w:tcPr>
            <w:tcW w:w="1915" w:type="dxa"/>
            <w:tcBorders>
              <w:top w:val="single" w:sz="4" w:space="0" w:color="000000"/>
              <w:left w:val="nil"/>
              <w:bottom w:val="single" w:sz="4" w:space="0" w:color="000000"/>
              <w:right w:val="nil"/>
            </w:tcBorders>
          </w:tcPr>
          <w:p w14:paraId="69493DBA" w14:textId="77777777" w:rsidR="004371E3" w:rsidRPr="00B473AC" w:rsidRDefault="004371E3" w:rsidP="00B473AC">
            <w:pPr>
              <w:spacing w:after="0" w:line="240" w:lineRule="auto"/>
              <w:rPr>
                <w:rFonts w:ascii="Times New Roman" w:hAnsi="Times New Roman" w:cs="Times New Roman"/>
                <w:sz w:val="20"/>
                <w:szCs w:val="20"/>
              </w:rPr>
            </w:pPr>
          </w:p>
        </w:tc>
        <w:tc>
          <w:tcPr>
            <w:tcW w:w="2578" w:type="dxa"/>
            <w:tcBorders>
              <w:top w:val="single" w:sz="4" w:space="0" w:color="000000"/>
              <w:left w:val="nil"/>
              <w:bottom w:val="single" w:sz="4" w:space="0" w:color="000000"/>
              <w:right w:val="nil"/>
            </w:tcBorders>
          </w:tcPr>
          <w:p w14:paraId="39D1FB70" w14:textId="77777777" w:rsidR="004371E3" w:rsidRPr="00B473AC" w:rsidRDefault="004371E3" w:rsidP="00B473AC">
            <w:pPr>
              <w:spacing w:after="0" w:line="240" w:lineRule="auto"/>
              <w:rPr>
                <w:rFonts w:ascii="Times New Roman" w:hAnsi="Times New Roman" w:cs="Times New Roman"/>
                <w:sz w:val="20"/>
                <w:szCs w:val="20"/>
              </w:rPr>
            </w:pPr>
          </w:p>
        </w:tc>
        <w:tc>
          <w:tcPr>
            <w:tcW w:w="1440" w:type="dxa"/>
            <w:tcBorders>
              <w:top w:val="single" w:sz="4" w:space="0" w:color="000000"/>
              <w:left w:val="nil"/>
              <w:bottom w:val="single" w:sz="4" w:space="0" w:color="000000"/>
              <w:right w:val="nil"/>
            </w:tcBorders>
          </w:tcPr>
          <w:p w14:paraId="47A7BC9F"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Awareness</w:t>
            </w:r>
          </w:p>
        </w:tc>
        <w:tc>
          <w:tcPr>
            <w:tcW w:w="1366" w:type="dxa"/>
            <w:tcBorders>
              <w:top w:val="single" w:sz="4" w:space="0" w:color="000000"/>
              <w:left w:val="nil"/>
              <w:bottom w:val="single" w:sz="4" w:space="0" w:color="000000"/>
              <w:right w:val="nil"/>
            </w:tcBorders>
          </w:tcPr>
          <w:p w14:paraId="08FBFDCD"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Supply chain managers</w:t>
            </w:r>
          </w:p>
        </w:tc>
      </w:tr>
      <w:tr w:rsidR="004371E3" w:rsidRPr="00B473AC" w14:paraId="6FF8F2F4" w14:textId="77777777" w:rsidTr="00B473AC">
        <w:trPr>
          <w:jc w:val="center"/>
        </w:trPr>
        <w:tc>
          <w:tcPr>
            <w:tcW w:w="1915" w:type="dxa"/>
            <w:tcBorders>
              <w:top w:val="single" w:sz="4" w:space="0" w:color="000000"/>
              <w:left w:val="nil"/>
              <w:bottom w:val="nil"/>
              <w:right w:val="nil"/>
            </w:tcBorders>
          </w:tcPr>
          <w:p w14:paraId="463F62AA"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Spearman’s rho</w:t>
            </w:r>
          </w:p>
        </w:tc>
        <w:tc>
          <w:tcPr>
            <w:tcW w:w="1915" w:type="dxa"/>
            <w:tcBorders>
              <w:top w:val="single" w:sz="4" w:space="0" w:color="000000"/>
              <w:left w:val="nil"/>
              <w:bottom w:val="nil"/>
              <w:right w:val="nil"/>
            </w:tcBorders>
          </w:tcPr>
          <w:p w14:paraId="08B8F6F7"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Awareness of supply chain</w:t>
            </w:r>
          </w:p>
        </w:tc>
        <w:tc>
          <w:tcPr>
            <w:tcW w:w="2578" w:type="dxa"/>
            <w:tcBorders>
              <w:top w:val="single" w:sz="4" w:space="0" w:color="000000"/>
              <w:left w:val="nil"/>
              <w:bottom w:val="nil"/>
              <w:right w:val="nil"/>
            </w:tcBorders>
          </w:tcPr>
          <w:p w14:paraId="3AE72817"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Correlation Coefficient</w:t>
            </w:r>
          </w:p>
          <w:p w14:paraId="50F9C356" w14:textId="77777777" w:rsidR="004371E3" w:rsidRPr="00B473AC" w:rsidRDefault="004371E3" w:rsidP="00B473AC">
            <w:pPr>
              <w:spacing w:after="0" w:line="240" w:lineRule="auto"/>
              <w:rPr>
                <w:rFonts w:ascii="Times New Roman" w:hAnsi="Times New Roman" w:cs="Times New Roman"/>
                <w:sz w:val="20"/>
                <w:szCs w:val="20"/>
              </w:rPr>
            </w:pPr>
          </w:p>
        </w:tc>
        <w:tc>
          <w:tcPr>
            <w:tcW w:w="1440" w:type="dxa"/>
            <w:tcBorders>
              <w:top w:val="single" w:sz="4" w:space="0" w:color="000000"/>
              <w:left w:val="nil"/>
              <w:bottom w:val="nil"/>
              <w:right w:val="nil"/>
            </w:tcBorders>
          </w:tcPr>
          <w:p w14:paraId="18C790F0"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1</w:t>
            </w:r>
          </w:p>
        </w:tc>
        <w:tc>
          <w:tcPr>
            <w:tcW w:w="1366" w:type="dxa"/>
            <w:tcBorders>
              <w:top w:val="single" w:sz="4" w:space="0" w:color="000000"/>
              <w:left w:val="nil"/>
              <w:bottom w:val="nil"/>
              <w:right w:val="nil"/>
            </w:tcBorders>
          </w:tcPr>
          <w:p w14:paraId="3B1000BC" w14:textId="77777777" w:rsidR="004371E3" w:rsidRPr="00B473AC" w:rsidRDefault="004371E3" w:rsidP="00B473AC">
            <w:pPr>
              <w:spacing w:after="0" w:line="240" w:lineRule="auto"/>
              <w:rPr>
                <w:rFonts w:ascii="Times New Roman" w:hAnsi="Times New Roman" w:cs="Times New Roman"/>
                <w:sz w:val="20"/>
                <w:szCs w:val="20"/>
              </w:rPr>
            </w:pPr>
          </w:p>
        </w:tc>
      </w:tr>
      <w:tr w:rsidR="004371E3" w:rsidRPr="00B473AC" w14:paraId="7CD478BA" w14:textId="77777777" w:rsidTr="00B473AC">
        <w:trPr>
          <w:jc w:val="center"/>
        </w:trPr>
        <w:tc>
          <w:tcPr>
            <w:tcW w:w="1915" w:type="dxa"/>
            <w:tcBorders>
              <w:top w:val="nil"/>
              <w:left w:val="nil"/>
              <w:bottom w:val="nil"/>
              <w:right w:val="nil"/>
            </w:tcBorders>
          </w:tcPr>
          <w:p w14:paraId="3C8D5F7F" w14:textId="77777777" w:rsidR="004371E3" w:rsidRPr="00B473AC" w:rsidRDefault="004371E3" w:rsidP="00B473AC">
            <w:pPr>
              <w:spacing w:after="0" w:line="240" w:lineRule="auto"/>
              <w:rPr>
                <w:rFonts w:ascii="Times New Roman" w:hAnsi="Times New Roman" w:cs="Times New Roman"/>
                <w:sz w:val="20"/>
                <w:szCs w:val="20"/>
              </w:rPr>
            </w:pPr>
          </w:p>
        </w:tc>
        <w:tc>
          <w:tcPr>
            <w:tcW w:w="1915" w:type="dxa"/>
            <w:tcBorders>
              <w:top w:val="nil"/>
              <w:left w:val="nil"/>
              <w:bottom w:val="nil"/>
              <w:right w:val="nil"/>
            </w:tcBorders>
          </w:tcPr>
          <w:p w14:paraId="1695517F" w14:textId="77777777" w:rsidR="004371E3" w:rsidRPr="00B473AC" w:rsidRDefault="004371E3" w:rsidP="00B473AC">
            <w:pPr>
              <w:spacing w:after="0" w:line="240" w:lineRule="auto"/>
              <w:rPr>
                <w:rFonts w:ascii="Times New Roman" w:hAnsi="Times New Roman" w:cs="Times New Roman"/>
                <w:sz w:val="20"/>
                <w:szCs w:val="20"/>
              </w:rPr>
            </w:pPr>
          </w:p>
        </w:tc>
        <w:tc>
          <w:tcPr>
            <w:tcW w:w="2578" w:type="dxa"/>
            <w:tcBorders>
              <w:top w:val="nil"/>
              <w:left w:val="nil"/>
              <w:bottom w:val="nil"/>
              <w:right w:val="nil"/>
            </w:tcBorders>
          </w:tcPr>
          <w:p w14:paraId="79643E1D"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Sig. (2 tailed)</w:t>
            </w:r>
          </w:p>
        </w:tc>
        <w:tc>
          <w:tcPr>
            <w:tcW w:w="1440" w:type="dxa"/>
            <w:tcBorders>
              <w:top w:val="nil"/>
              <w:left w:val="nil"/>
              <w:bottom w:val="nil"/>
              <w:right w:val="nil"/>
            </w:tcBorders>
          </w:tcPr>
          <w:p w14:paraId="15AFDB98" w14:textId="77777777" w:rsidR="004371E3" w:rsidRPr="00B473AC" w:rsidRDefault="004371E3" w:rsidP="00B473AC">
            <w:pPr>
              <w:spacing w:after="0" w:line="240" w:lineRule="auto"/>
              <w:rPr>
                <w:rFonts w:ascii="Times New Roman" w:hAnsi="Times New Roman" w:cs="Times New Roman"/>
                <w:sz w:val="20"/>
                <w:szCs w:val="20"/>
              </w:rPr>
            </w:pPr>
          </w:p>
        </w:tc>
        <w:tc>
          <w:tcPr>
            <w:tcW w:w="1366" w:type="dxa"/>
            <w:tcBorders>
              <w:top w:val="nil"/>
              <w:left w:val="nil"/>
              <w:bottom w:val="nil"/>
              <w:right w:val="nil"/>
            </w:tcBorders>
          </w:tcPr>
          <w:p w14:paraId="16880FD7" w14:textId="77777777" w:rsidR="004371E3" w:rsidRPr="00B473AC" w:rsidRDefault="004371E3" w:rsidP="00B473AC">
            <w:pPr>
              <w:spacing w:after="0" w:line="240" w:lineRule="auto"/>
              <w:rPr>
                <w:rFonts w:ascii="Times New Roman" w:hAnsi="Times New Roman" w:cs="Times New Roman"/>
                <w:sz w:val="20"/>
                <w:szCs w:val="20"/>
              </w:rPr>
            </w:pPr>
          </w:p>
        </w:tc>
      </w:tr>
      <w:tr w:rsidR="004371E3" w:rsidRPr="00B473AC" w14:paraId="0C4FDC2B" w14:textId="77777777" w:rsidTr="00B473AC">
        <w:trPr>
          <w:jc w:val="center"/>
        </w:trPr>
        <w:tc>
          <w:tcPr>
            <w:tcW w:w="1915" w:type="dxa"/>
            <w:tcBorders>
              <w:top w:val="nil"/>
              <w:left w:val="nil"/>
              <w:bottom w:val="nil"/>
              <w:right w:val="nil"/>
            </w:tcBorders>
          </w:tcPr>
          <w:p w14:paraId="7E287EAA" w14:textId="77777777" w:rsidR="004371E3" w:rsidRPr="00B473AC" w:rsidRDefault="004371E3" w:rsidP="00B473AC">
            <w:pPr>
              <w:spacing w:after="0" w:line="240" w:lineRule="auto"/>
              <w:rPr>
                <w:rFonts w:ascii="Times New Roman" w:hAnsi="Times New Roman" w:cs="Times New Roman"/>
                <w:sz w:val="20"/>
                <w:szCs w:val="20"/>
              </w:rPr>
            </w:pPr>
          </w:p>
        </w:tc>
        <w:tc>
          <w:tcPr>
            <w:tcW w:w="1915" w:type="dxa"/>
            <w:tcBorders>
              <w:top w:val="nil"/>
              <w:left w:val="nil"/>
              <w:bottom w:val="nil"/>
              <w:right w:val="nil"/>
            </w:tcBorders>
          </w:tcPr>
          <w:p w14:paraId="72902CC7" w14:textId="77777777" w:rsidR="004371E3" w:rsidRPr="00B473AC" w:rsidRDefault="004371E3" w:rsidP="00B473AC">
            <w:pPr>
              <w:spacing w:after="0" w:line="240" w:lineRule="auto"/>
              <w:rPr>
                <w:rFonts w:ascii="Times New Roman" w:hAnsi="Times New Roman" w:cs="Times New Roman"/>
                <w:sz w:val="20"/>
                <w:szCs w:val="20"/>
              </w:rPr>
            </w:pPr>
          </w:p>
        </w:tc>
        <w:tc>
          <w:tcPr>
            <w:tcW w:w="2578" w:type="dxa"/>
            <w:tcBorders>
              <w:top w:val="nil"/>
              <w:left w:val="nil"/>
              <w:bottom w:val="nil"/>
              <w:right w:val="nil"/>
            </w:tcBorders>
          </w:tcPr>
          <w:p w14:paraId="2012B339"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N</w:t>
            </w:r>
          </w:p>
        </w:tc>
        <w:tc>
          <w:tcPr>
            <w:tcW w:w="1440" w:type="dxa"/>
            <w:tcBorders>
              <w:top w:val="nil"/>
              <w:left w:val="nil"/>
              <w:bottom w:val="nil"/>
              <w:right w:val="nil"/>
            </w:tcBorders>
          </w:tcPr>
          <w:p w14:paraId="08725EF6"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50</w:t>
            </w:r>
          </w:p>
        </w:tc>
        <w:tc>
          <w:tcPr>
            <w:tcW w:w="1366" w:type="dxa"/>
            <w:tcBorders>
              <w:top w:val="nil"/>
              <w:left w:val="nil"/>
              <w:bottom w:val="nil"/>
              <w:right w:val="nil"/>
            </w:tcBorders>
          </w:tcPr>
          <w:p w14:paraId="26B1C143" w14:textId="77777777" w:rsidR="004371E3" w:rsidRPr="00B473AC" w:rsidRDefault="004371E3" w:rsidP="00B473AC">
            <w:pPr>
              <w:spacing w:after="0" w:line="240" w:lineRule="auto"/>
              <w:rPr>
                <w:rFonts w:ascii="Times New Roman" w:hAnsi="Times New Roman" w:cs="Times New Roman"/>
                <w:sz w:val="20"/>
                <w:szCs w:val="20"/>
              </w:rPr>
            </w:pPr>
          </w:p>
        </w:tc>
      </w:tr>
      <w:tr w:rsidR="004371E3" w:rsidRPr="00B473AC" w14:paraId="15DC5CAC" w14:textId="77777777" w:rsidTr="00B473AC">
        <w:trPr>
          <w:jc w:val="center"/>
        </w:trPr>
        <w:tc>
          <w:tcPr>
            <w:tcW w:w="1915" w:type="dxa"/>
            <w:tcBorders>
              <w:top w:val="nil"/>
              <w:left w:val="nil"/>
              <w:bottom w:val="nil"/>
              <w:right w:val="nil"/>
            </w:tcBorders>
          </w:tcPr>
          <w:p w14:paraId="6EBE1344" w14:textId="77777777" w:rsidR="004371E3" w:rsidRPr="00B473AC" w:rsidRDefault="004371E3" w:rsidP="00B473AC">
            <w:pPr>
              <w:spacing w:after="0" w:line="240" w:lineRule="auto"/>
              <w:rPr>
                <w:rFonts w:ascii="Times New Roman" w:hAnsi="Times New Roman" w:cs="Times New Roman"/>
                <w:sz w:val="20"/>
                <w:szCs w:val="20"/>
              </w:rPr>
            </w:pPr>
          </w:p>
        </w:tc>
        <w:tc>
          <w:tcPr>
            <w:tcW w:w="1915" w:type="dxa"/>
            <w:tcBorders>
              <w:top w:val="nil"/>
              <w:left w:val="nil"/>
              <w:bottom w:val="nil"/>
              <w:right w:val="nil"/>
            </w:tcBorders>
          </w:tcPr>
          <w:p w14:paraId="0CF61A02"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Supply chain managers</w:t>
            </w:r>
          </w:p>
        </w:tc>
        <w:tc>
          <w:tcPr>
            <w:tcW w:w="2578" w:type="dxa"/>
            <w:tcBorders>
              <w:top w:val="nil"/>
              <w:left w:val="nil"/>
              <w:bottom w:val="nil"/>
              <w:right w:val="nil"/>
            </w:tcBorders>
          </w:tcPr>
          <w:p w14:paraId="58506D68"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Correlation Coefficient</w:t>
            </w:r>
          </w:p>
          <w:p w14:paraId="20820ED7" w14:textId="77777777" w:rsidR="004371E3" w:rsidRPr="00B473AC" w:rsidRDefault="004371E3" w:rsidP="00B473AC">
            <w:pPr>
              <w:spacing w:after="0" w:line="240" w:lineRule="auto"/>
              <w:rPr>
                <w:rFonts w:ascii="Times New Roman" w:hAnsi="Times New Roman" w:cs="Times New Roman"/>
                <w:sz w:val="20"/>
                <w:szCs w:val="20"/>
              </w:rPr>
            </w:pPr>
          </w:p>
          <w:p w14:paraId="388022B3"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Sig (2 – tailed)</w:t>
            </w:r>
          </w:p>
        </w:tc>
        <w:tc>
          <w:tcPr>
            <w:tcW w:w="1440" w:type="dxa"/>
            <w:tcBorders>
              <w:top w:val="nil"/>
              <w:left w:val="nil"/>
              <w:bottom w:val="nil"/>
              <w:right w:val="nil"/>
            </w:tcBorders>
          </w:tcPr>
          <w:p w14:paraId="26C009A4"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.999***</w:t>
            </w:r>
          </w:p>
          <w:p w14:paraId="303E9F89" w14:textId="77777777" w:rsidR="004371E3" w:rsidRPr="00B473AC" w:rsidRDefault="004371E3" w:rsidP="00B473AC">
            <w:pPr>
              <w:spacing w:after="0" w:line="240" w:lineRule="auto"/>
              <w:rPr>
                <w:rFonts w:ascii="Times New Roman" w:hAnsi="Times New Roman" w:cs="Times New Roman"/>
                <w:sz w:val="20"/>
                <w:szCs w:val="20"/>
              </w:rPr>
            </w:pPr>
          </w:p>
          <w:p w14:paraId="6D7B2521"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.000</w:t>
            </w:r>
          </w:p>
        </w:tc>
        <w:tc>
          <w:tcPr>
            <w:tcW w:w="1366" w:type="dxa"/>
            <w:tcBorders>
              <w:top w:val="nil"/>
              <w:left w:val="nil"/>
              <w:bottom w:val="nil"/>
              <w:right w:val="nil"/>
            </w:tcBorders>
          </w:tcPr>
          <w:p w14:paraId="284C6571"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1</w:t>
            </w:r>
          </w:p>
        </w:tc>
      </w:tr>
      <w:tr w:rsidR="004371E3" w:rsidRPr="00B473AC" w14:paraId="733B7345" w14:textId="77777777" w:rsidTr="00B473AC">
        <w:trPr>
          <w:jc w:val="center"/>
        </w:trPr>
        <w:tc>
          <w:tcPr>
            <w:tcW w:w="1915" w:type="dxa"/>
            <w:tcBorders>
              <w:top w:val="nil"/>
              <w:left w:val="nil"/>
              <w:bottom w:val="nil"/>
              <w:right w:val="nil"/>
            </w:tcBorders>
          </w:tcPr>
          <w:p w14:paraId="41DBE3F0" w14:textId="77777777" w:rsidR="004371E3" w:rsidRPr="00B473AC" w:rsidRDefault="004371E3" w:rsidP="00B473AC">
            <w:pPr>
              <w:spacing w:after="0" w:line="240" w:lineRule="auto"/>
              <w:rPr>
                <w:rFonts w:ascii="Times New Roman" w:hAnsi="Times New Roman" w:cs="Times New Roman"/>
                <w:sz w:val="20"/>
                <w:szCs w:val="20"/>
              </w:rPr>
            </w:pPr>
          </w:p>
        </w:tc>
        <w:tc>
          <w:tcPr>
            <w:tcW w:w="1915" w:type="dxa"/>
            <w:tcBorders>
              <w:top w:val="nil"/>
              <w:left w:val="nil"/>
              <w:bottom w:val="nil"/>
              <w:right w:val="nil"/>
            </w:tcBorders>
          </w:tcPr>
          <w:p w14:paraId="2BC44388" w14:textId="77777777" w:rsidR="004371E3" w:rsidRPr="00B473AC" w:rsidRDefault="004371E3" w:rsidP="00B473AC">
            <w:pPr>
              <w:spacing w:after="0" w:line="240" w:lineRule="auto"/>
              <w:rPr>
                <w:rFonts w:ascii="Times New Roman" w:hAnsi="Times New Roman" w:cs="Times New Roman"/>
                <w:sz w:val="20"/>
                <w:szCs w:val="20"/>
              </w:rPr>
            </w:pPr>
          </w:p>
        </w:tc>
        <w:tc>
          <w:tcPr>
            <w:tcW w:w="2578" w:type="dxa"/>
            <w:tcBorders>
              <w:top w:val="nil"/>
              <w:left w:val="nil"/>
              <w:bottom w:val="nil"/>
              <w:right w:val="nil"/>
            </w:tcBorders>
          </w:tcPr>
          <w:p w14:paraId="235F8DFA" w14:textId="77777777" w:rsidR="004371E3" w:rsidRPr="00B473AC" w:rsidRDefault="004371E3" w:rsidP="00B473AC">
            <w:pPr>
              <w:spacing w:after="0" w:line="240" w:lineRule="auto"/>
              <w:rPr>
                <w:rFonts w:ascii="Times New Roman" w:hAnsi="Times New Roman" w:cs="Times New Roman"/>
                <w:sz w:val="20"/>
                <w:szCs w:val="20"/>
              </w:rPr>
            </w:pPr>
          </w:p>
        </w:tc>
        <w:tc>
          <w:tcPr>
            <w:tcW w:w="1440" w:type="dxa"/>
            <w:tcBorders>
              <w:top w:val="nil"/>
              <w:left w:val="nil"/>
              <w:bottom w:val="nil"/>
              <w:right w:val="nil"/>
            </w:tcBorders>
          </w:tcPr>
          <w:p w14:paraId="23D673EF" w14:textId="77777777" w:rsidR="004371E3" w:rsidRPr="00B473AC" w:rsidRDefault="004371E3" w:rsidP="00B473AC">
            <w:pPr>
              <w:spacing w:after="0" w:line="240" w:lineRule="auto"/>
              <w:rPr>
                <w:rFonts w:ascii="Times New Roman" w:hAnsi="Times New Roman" w:cs="Times New Roman"/>
                <w:sz w:val="20"/>
                <w:szCs w:val="20"/>
              </w:rPr>
            </w:pPr>
          </w:p>
        </w:tc>
        <w:tc>
          <w:tcPr>
            <w:tcW w:w="1366" w:type="dxa"/>
            <w:tcBorders>
              <w:top w:val="nil"/>
              <w:left w:val="nil"/>
              <w:bottom w:val="nil"/>
              <w:right w:val="nil"/>
            </w:tcBorders>
          </w:tcPr>
          <w:p w14:paraId="752A4F91" w14:textId="77777777" w:rsidR="004371E3" w:rsidRPr="00B473AC" w:rsidRDefault="004371E3" w:rsidP="00B473AC">
            <w:pPr>
              <w:spacing w:after="0" w:line="240" w:lineRule="auto"/>
              <w:rPr>
                <w:rFonts w:ascii="Times New Roman" w:hAnsi="Times New Roman" w:cs="Times New Roman"/>
                <w:sz w:val="20"/>
                <w:szCs w:val="20"/>
              </w:rPr>
            </w:pPr>
          </w:p>
        </w:tc>
      </w:tr>
      <w:tr w:rsidR="004371E3" w:rsidRPr="00B473AC" w14:paraId="04AC987D" w14:textId="77777777" w:rsidTr="00B473AC">
        <w:trPr>
          <w:jc w:val="center"/>
        </w:trPr>
        <w:tc>
          <w:tcPr>
            <w:tcW w:w="1915" w:type="dxa"/>
            <w:tcBorders>
              <w:top w:val="nil"/>
              <w:left w:val="nil"/>
              <w:bottom w:val="single" w:sz="4" w:space="0" w:color="000000"/>
              <w:right w:val="nil"/>
            </w:tcBorders>
          </w:tcPr>
          <w:p w14:paraId="4AC2192C" w14:textId="77777777" w:rsidR="004371E3" w:rsidRPr="00B473AC" w:rsidRDefault="004371E3" w:rsidP="00B473AC">
            <w:pPr>
              <w:spacing w:after="0" w:line="240" w:lineRule="auto"/>
              <w:rPr>
                <w:rFonts w:ascii="Times New Roman" w:hAnsi="Times New Roman" w:cs="Times New Roman"/>
                <w:sz w:val="20"/>
                <w:szCs w:val="20"/>
              </w:rPr>
            </w:pPr>
          </w:p>
        </w:tc>
        <w:tc>
          <w:tcPr>
            <w:tcW w:w="1915" w:type="dxa"/>
            <w:tcBorders>
              <w:top w:val="nil"/>
              <w:left w:val="nil"/>
              <w:bottom w:val="single" w:sz="4" w:space="0" w:color="000000"/>
              <w:right w:val="nil"/>
            </w:tcBorders>
          </w:tcPr>
          <w:p w14:paraId="134C979C" w14:textId="77777777" w:rsidR="004371E3" w:rsidRPr="00B473AC" w:rsidRDefault="004371E3" w:rsidP="00B473AC">
            <w:pPr>
              <w:spacing w:after="0" w:line="240" w:lineRule="auto"/>
              <w:rPr>
                <w:rFonts w:ascii="Times New Roman" w:hAnsi="Times New Roman" w:cs="Times New Roman"/>
                <w:sz w:val="20"/>
                <w:szCs w:val="20"/>
              </w:rPr>
            </w:pPr>
          </w:p>
        </w:tc>
        <w:tc>
          <w:tcPr>
            <w:tcW w:w="2578" w:type="dxa"/>
            <w:tcBorders>
              <w:top w:val="nil"/>
              <w:left w:val="nil"/>
              <w:bottom w:val="single" w:sz="4" w:space="0" w:color="000000"/>
              <w:right w:val="nil"/>
            </w:tcBorders>
          </w:tcPr>
          <w:p w14:paraId="7C61015A"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N</w:t>
            </w:r>
          </w:p>
        </w:tc>
        <w:tc>
          <w:tcPr>
            <w:tcW w:w="1440" w:type="dxa"/>
            <w:tcBorders>
              <w:top w:val="nil"/>
              <w:left w:val="nil"/>
              <w:bottom w:val="single" w:sz="4" w:space="0" w:color="000000"/>
              <w:right w:val="nil"/>
            </w:tcBorders>
          </w:tcPr>
          <w:p w14:paraId="307DD70D"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50</w:t>
            </w:r>
          </w:p>
        </w:tc>
        <w:tc>
          <w:tcPr>
            <w:tcW w:w="1366" w:type="dxa"/>
            <w:tcBorders>
              <w:top w:val="nil"/>
              <w:left w:val="nil"/>
              <w:bottom w:val="single" w:sz="4" w:space="0" w:color="000000"/>
              <w:right w:val="nil"/>
            </w:tcBorders>
          </w:tcPr>
          <w:p w14:paraId="66AFE337" w14:textId="77777777" w:rsidR="004371E3" w:rsidRPr="00B473AC" w:rsidRDefault="004371E3" w:rsidP="00B473AC">
            <w:pPr>
              <w:spacing w:after="0" w:line="240" w:lineRule="auto"/>
              <w:rPr>
                <w:rFonts w:ascii="Times New Roman" w:hAnsi="Times New Roman" w:cs="Times New Roman"/>
                <w:sz w:val="20"/>
                <w:szCs w:val="20"/>
              </w:rPr>
            </w:pPr>
            <w:r w:rsidRPr="00B473AC">
              <w:rPr>
                <w:rFonts w:ascii="Times New Roman" w:hAnsi="Times New Roman" w:cs="Times New Roman"/>
                <w:sz w:val="20"/>
                <w:szCs w:val="20"/>
              </w:rPr>
              <w:t>50</w:t>
            </w:r>
          </w:p>
        </w:tc>
      </w:tr>
    </w:tbl>
    <w:p w14:paraId="57A4CEFE" w14:textId="77777777" w:rsidR="00B473AC" w:rsidRDefault="00B473AC" w:rsidP="00B473AC">
      <w:pPr>
        <w:spacing w:after="0" w:line="240" w:lineRule="auto"/>
        <w:jc w:val="both"/>
        <w:rPr>
          <w:rFonts w:ascii="Times New Roman" w:hAnsi="Times New Roman" w:cs="Times New Roman"/>
          <w:sz w:val="24"/>
          <w:szCs w:val="24"/>
        </w:rPr>
      </w:pPr>
    </w:p>
    <w:p w14:paraId="6C62AF47" w14:textId="1F7B48CE" w:rsidR="004371E3" w:rsidRPr="00BE4AF3" w:rsidRDefault="004371E3" w:rsidP="00B473A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result reveals that, there is a strong positive relationship between awareness of supply chain and supply chain managers in respect to construction industry in Abuja, Nigeria; hence, spearman’s correlation coefficient (rho) = 0.999. This is an indication that increase in awareness of supply chains will lead to an increase on performance of supply chain managers in construction industry. </w:t>
      </w:r>
    </w:p>
    <w:p w14:paraId="28FDAC7D" w14:textId="68A5BD0A" w:rsidR="004371E3" w:rsidRDefault="004371E3" w:rsidP="00B473AC">
      <w:pPr>
        <w:spacing w:after="0" w:line="240" w:lineRule="auto"/>
        <w:jc w:val="both"/>
        <w:rPr>
          <w:rFonts w:ascii="Times New Roman" w:hAnsi="Times New Roman" w:cs="Times New Roman"/>
          <w:sz w:val="24"/>
          <w:szCs w:val="24"/>
        </w:rPr>
      </w:pPr>
      <w:bookmarkStart w:id="57" w:name="_ys9w1bjlufrf" w:colFirst="0" w:colLast="0"/>
      <w:bookmarkEnd w:id="57"/>
      <w:r w:rsidRPr="00BE4AF3">
        <w:rPr>
          <w:rFonts w:ascii="Times New Roman" w:hAnsi="Times New Roman" w:cs="Times New Roman"/>
          <w:sz w:val="24"/>
          <w:szCs w:val="24"/>
        </w:rPr>
        <w:t>The test also reveals that, the relationship is highly significant with the p&lt;0.001.It can be concluded that, there is relationship between awareness and performance of supply chain managers in construction industry. Therefore, the hypothesis which states that, there is no</w:t>
      </w:r>
      <w:r w:rsidRPr="00BE4AF3">
        <w:rPr>
          <w:rFonts w:ascii="Times New Roman" w:hAnsi="Times New Roman" w:cs="Times New Roman"/>
          <w:color w:val="000000"/>
          <w:sz w:val="24"/>
          <w:szCs w:val="24"/>
        </w:rPr>
        <w:t xml:space="preserve"> significant impact of </w:t>
      </w:r>
      <w:r w:rsidRPr="00BE4AF3">
        <w:rPr>
          <w:rFonts w:ascii="Times New Roman" w:hAnsi="Times New Roman" w:cs="Times New Roman"/>
          <w:color w:val="000000"/>
          <w:sz w:val="24"/>
          <w:szCs w:val="24"/>
        </w:rPr>
        <w:lastRenderedPageBreak/>
        <w:t>awareness of supply chain on supply chain managers in construction industry in Abuja, Nigeria</w:t>
      </w:r>
      <w:r w:rsidRPr="00BE4AF3">
        <w:rPr>
          <w:rFonts w:ascii="Times New Roman" w:hAnsi="Times New Roman" w:cs="Times New Roman"/>
          <w:sz w:val="24"/>
          <w:szCs w:val="24"/>
        </w:rPr>
        <w:t xml:space="preserve"> is rejected.</w:t>
      </w:r>
    </w:p>
    <w:p w14:paraId="1C29D721" w14:textId="77777777" w:rsidR="00B473AC" w:rsidRPr="00B473AC" w:rsidRDefault="00B473AC" w:rsidP="00B473AC">
      <w:pPr>
        <w:spacing w:after="0" w:line="240" w:lineRule="auto"/>
        <w:jc w:val="both"/>
        <w:rPr>
          <w:rFonts w:ascii="Times New Roman" w:hAnsi="Times New Roman" w:cs="Times New Roman"/>
          <w:sz w:val="24"/>
          <w:szCs w:val="24"/>
        </w:rPr>
      </w:pPr>
    </w:p>
    <w:p w14:paraId="26CEF048" w14:textId="77777777" w:rsidR="004371E3" w:rsidRPr="00BE4AF3" w:rsidRDefault="004371E3" w:rsidP="004371E3">
      <w:pPr>
        <w:spacing w:after="0" w:line="240" w:lineRule="auto"/>
        <w:jc w:val="both"/>
        <w:rPr>
          <w:rFonts w:ascii="Times New Roman" w:hAnsi="Times New Roman" w:cs="Times New Roman"/>
          <w:color w:val="000000"/>
          <w:sz w:val="24"/>
          <w:szCs w:val="24"/>
        </w:rPr>
      </w:pPr>
      <w:r w:rsidRPr="00BE4AF3">
        <w:rPr>
          <w:rFonts w:ascii="Times New Roman" w:hAnsi="Times New Roman" w:cs="Times New Roman"/>
          <w:b/>
          <w:color w:val="000000"/>
          <w:sz w:val="24"/>
          <w:szCs w:val="24"/>
        </w:rPr>
        <w:t xml:space="preserve">Research Hypothesis 2: </w:t>
      </w:r>
      <w:r w:rsidRPr="00BE4AF3">
        <w:rPr>
          <w:rFonts w:ascii="Times New Roman" w:hAnsi="Times New Roman" w:cs="Times New Roman"/>
          <w:color w:val="000000"/>
          <w:sz w:val="24"/>
          <w:szCs w:val="24"/>
        </w:rPr>
        <w:t>There is no significant impact of competencies of supply chain on supply chain managers in construction industry in Abuja, Nigeria.</w:t>
      </w:r>
    </w:p>
    <w:tbl>
      <w:tblPr>
        <w:tblW w:w="91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0"/>
        <w:gridCol w:w="1890"/>
        <w:gridCol w:w="2486"/>
        <w:gridCol w:w="1643"/>
        <w:gridCol w:w="1281"/>
      </w:tblGrid>
      <w:tr w:rsidR="004371E3" w:rsidRPr="005463FE" w14:paraId="52EF0FDD" w14:textId="77777777" w:rsidTr="005463FE">
        <w:trPr>
          <w:jc w:val="center"/>
        </w:trPr>
        <w:tc>
          <w:tcPr>
            <w:tcW w:w="1880" w:type="dxa"/>
            <w:tcBorders>
              <w:top w:val="single" w:sz="4" w:space="0" w:color="000000"/>
              <w:left w:val="nil"/>
              <w:bottom w:val="single" w:sz="4" w:space="0" w:color="000000"/>
              <w:right w:val="nil"/>
            </w:tcBorders>
          </w:tcPr>
          <w:p w14:paraId="6BE4CED3" w14:textId="77777777" w:rsidR="004371E3" w:rsidRPr="005463FE" w:rsidRDefault="004371E3" w:rsidP="00B473AC">
            <w:pPr>
              <w:spacing w:after="0" w:line="240" w:lineRule="auto"/>
              <w:rPr>
                <w:rFonts w:ascii="Times New Roman" w:hAnsi="Times New Roman" w:cs="Times New Roman"/>
                <w:sz w:val="20"/>
                <w:szCs w:val="20"/>
              </w:rPr>
            </w:pPr>
          </w:p>
          <w:p w14:paraId="43DF583B" w14:textId="77777777" w:rsidR="004371E3" w:rsidRPr="005463FE" w:rsidRDefault="004371E3" w:rsidP="00B473AC">
            <w:pPr>
              <w:spacing w:after="0" w:line="240" w:lineRule="auto"/>
              <w:rPr>
                <w:rFonts w:ascii="Times New Roman" w:hAnsi="Times New Roman" w:cs="Times New Roman"/>
                <w:sz w:val="20"/>
                <w:szCs w:val="20"/>
              </w:rPr>
            </w:pPr>
          </w:p>
        </w:tc>
        <w:tc>
          <w:tcPr>
            <w:tcW w:w="1890" w:type="dxa"/>
            <w:tcBorders>
              <w:top w:val="single" w:sz="4" w:space="0" w:color="000000"/>
              <w:left w:val="nil"/>
              <w:bottom w:val="single" w:sz="4" w:space="0" w:color="000000"/>
              <w:right w:val="nil"/>
            </w:tcBorders>
          </w:tcPr>
          <w:p w14:paraId="6A48B8B5" w14:textId="77777777" w:rsidR="004371E3" w:rsidRPr="005463FE" w:rsidRDefault="004371E3" w:rsidP="00B473AC">
            <w:pPr>
              <w:spacing w:after="0" w:line="240" w:lineRule="auto"/>
              <w:rPr>
                <w:rFonts w:ascii="Times New Roman" w:hAnsi="Times New Roman" w:cs="Times New Roman"/>
                <w:sz w:val="20"/>
                <w:szCs w:val="20"/>
              </w:rPr>
            </w:pPr>
          </w:p>
        </w:tc>
        <w:tc>
          <w:tcPr>
            <w:tcW w:w="2486" w:type="dxa"/>
            <w:tcBorders>
              <w:top w:val="single" w:sz="4" w:space="0" w:color="000000"/>
              <w:left w:val="nil"/>
              <w:bottom w:val="single" w:sz="4" w:space="0" w:color="000000"/>
              <w:right w:val="nil"/>
            </w:tcBorders>
          </w:tcPr>
          <w:p w14:paraId="02E2D977" w14:textId="77777777" w:rsidR="004371E3" w:rsidRPr="005463FE" w:rsidRDefault="004371E3" w:rsidP="00B473AC">
            <w:pPr>
              <w:spacing w:after="0" w:line="240" w:lineRule="auto"/>
              <w:rPr>
                <w:rFonts w:ascii="Times New Roman" w:hAnsi="Times New Roman" w:cs="Times New Roman"/>
                <w:sz w:val="20"/>
                <w:szCs w:val="20"/>
              </w:rPr>
            </w:pPr>
          </w:p>
        </w:tc>
        <w:tc>
          <w:tcPr>
            <w:tcW w:w="1643" w:type="dxa"/>
            <w:tcBorders>
              <w:top w:val="single" w:sz="4" w:space="0" w:color="000000"/>
              <w:left w:val="nil"/>
              <w:bottom w:val="single" w:sz="4" w:space="0" w:color="000000"/>
              <w:right w:val="nil"/>
            </w:tcBorders>
          </w:tcPr>
          <w:p w14:paraId="53BD584F" w14:textId="77777777" w:rsidR="004371E3" w:rsidRPr="005463FE" w:rsidRDefault="004371E3" w:rsidP="00B473AC">
            <w:pPr>
              <w:spacing w:after="0" w:line="240" w:lineRule="auto"/>
              <w:rPr>
                <w:rFonts w:ascii="Times New Roman" w:hAnsi="Times New Roman" w:cs="Times New Roman"/>
                <w:sz w:val="20"/>
                <w:szCs w:val="20"/>
              </w:rPr>
            </w:pPr>
            <w:r w:rsidRPr="005463FE">
              <w:rPr>
                <w:rFonts w:ascii="Times New Roman" w:hAnsi="Times New Roman" w:cs="Times New Roman"/>
                <w:sz w:val="20"/>
                <w:szCs w:val="20"/>
              </w:rPr>
              <w:t>Competencies</w:t>
            </w:r>
          </w:p>
        </w:tc>
        <w:tc>
          <w:tcPr>
            <w:tcW w:w="1281" w:type="dxa"/>
            <w:tcBorders>
              <w:top w:val="single" w:sz="4" w:space="0" w:color="000000"/>
              <w:left w:val="nil"/>
              <w:bottom w:val="single" w:sz="4" w:space="0" w:color="000000"/>
              <w:right w:val="nil"/>
            </w:tcBorders>
          </w:tcPr>
          <w:p w14:paraId="21F1C3BE" w14:textId="77777777" w:rsidR="004371E3" w:rsidRPr="005463FE" w:rsidRDefault="004371E3" w:rsidP="00B473AC">
            <w:pPr>
              <w:spacing w:after="0" w:line="240" w:lineRule="auto"/>
              <w:rPr>
                <w:rFonts w:ascii="Times New Roman" w:hAnsi="Times New Roman" w:cs="Times New Roman"/>
                <w:sz w:val="20"/>
                <w:szCs w:val="20"/>
              </w:rPr>
            </w:pPr>
            <w:r w:rsidRPr="005463FE">
              <w:rPr>
                <w:rFonts w:ascii="Times New Roman" w:hAnsi="Times New Roman" w:cs="Times New Roman"/>
                <w:sz w:val="20"/>
                <w:szCs w:val="20"/>
              </w:rPr>
              <w:t>Supply chain managers</w:t>
            </w:r>
          </w:p>
        </w:tc>
      </w:tr>
      <w:tr w:rsidR="004371E3" w:rsidRPr="005463FE" w14:paraId="0ABD4B18" w14:textId="77777777" w:rsidTr="005463FE">
        <w:trPr>
          <w:jc w:val="center"/>
        </w:trPr>
        <w:tc>
          <w:tcPr>
            <w:tcW w:w="1880" w:type="dxa"/>
            <w:tcBorders>
              <w:top w:val="single" w:sz="4" w:space="0" w:color="000000"/>
              <w:left w:val="nil"/>
              <w:bottom w:val="nil"/>
              <w:right w:val="nil"/>
            </w:tcBorders>
          </w:tcPr>
          <w:p w14:paraId="384061D5" w14:textId="77777777" w:rsidR="004371E3" w:rsidRPr="005463FE" w:rsidRDefault="004371E3" w:rsidP="00B473AC">
            <w:pPr>
              <w:spacing w:after="0" w:line="240" w:lineRule="auto"/>
              <w:rPr>
                <w:rFonts w:ascii="Times New Roman" w:hAnsi="Times New Roman" w:cs="Times New Roman"/>
                <w:sz w:val="20"/>
                <w:szCs w:val="20"/>
              </w:rPr>
            </w:pPr>
            <w:r w:rsidRPr="005463FE">
              <w:rPr>
                <w:rFonts w:ascii="Times New Roman" w:hAnsi="Times New Roman" w:cs="Times New Roman"/>
                <w:sz w:val="20"/>
                <w:szCs w:val="20"/>
              </w:rPr>
              <w:t>Spearman’s rho</w:t>
            </w:r>
          </w:p>
        </w:tc>
        <w:tc>
          <w:tcPr>
            <w:tcW w:w="1890" w:type="dxa"/>
            <w:tcBorders>
              <w:top w:val="single" w:sz="4" w:space="0" w:color="000000"/>
              <w:left w:val="nil"/>
              <w:bottom w:val="nil"/>
              <w:right w:val="nil"/>
            </w:tcBorders>
          </w:tcPr>
          <w:p w14:paraId="18F60C56" w14:textId="77777777" w:rsidR="004371E3" w:rsidRPr="005463FE" w:rsidRDefault="004371E3" w:rsidP="00B473AC">
            <w:pPr>
              <w:spacing w:after="0" w:line="240" w:lineRule="auto"/>
              <w:rPr>
                <w:rFonts w:ascii="Times New Roman" w:hAnsi="Times New Roman" w:cs="Times New Roman"/>
                <w:sz w:val="20"/>
                <w:szCs w:val="20"/>
              </w:rPr>
            </w:pPr>
            <w:r w:rsidRPr="005463FE">
              <w:rPr>
                <w:rFonts w:ascii="Times New Roman" w:hAnsi="Times New Roman" w:cs="Times New Roman"/>
                <w:sz w:val="20"/>
                <w:szCs w:val="20"/>
              </w:rPr>
              <w:t>Competencies</w:t>
            </w:r>
          </w:p>
        </w:tc>
        <w:tc>
          <w:tcPr>
            <w:tcW w:w="2486" w:type="dxa"/>
            <w:tcBorders>
              <w:top w:val="single" w:sz="4" w:space="0" w:color="000000"/>
              <w:left w:val="nil"/>
              <w:bottom w:val="nil"/>
              <w:right w:val="nil"/>
            </w:tcBorders>
          </w:tcPr>
          <w:p w14:paraId="3243FE8F" w14:textId="77777777" w:rsidR="004371E3" w:rsidRPr="005463FE" w:rsidRDefault="004371E3" w:rsidP="00B473AC">
            <w:pPr>
              <w:spacing w:after="0" w:line="240" w:lineRule="auto"/>
              <w:rPr>
                <w:rFonts w:ascii="Times New Roman" w:hAnsi="Times New Roman" w:cs="Times New Roman"/>
                <w:sz w:val="20"/>
                <w:szCs w:val="20"/>
              </w:rPr>
            </w:pPr>
            <w:r w:rsidRPr="005463FE">
              <w:rPr>
                <w:rFonts w:ascii="Times New Roman" w:hAnsi="Times New Roman" w:cs="Times New Roman"/>
                <w:sz w:val="20"/>
                <w:szCs w:val="20"/>
              </w:rPr>
              <w:t>Correlation Coefficient</w:t>
            </w:r>
          </w:p>
          <w:p w14:paraId="75897A14" w14:textId="77777777" w:rsidR="004371E3" w:rsidRPr="005463FE" w:rsidRDefault="004371E3" w:rsidP="00B473AC">
            <w:pPr>
              <w:spacing w:after="0" w:line="240" w:lineRule="auto"/>
              <w:rPr>
                <w:rFonts w:ascii="Times New Roman" w:hAnsi="Times New Roman" w:cs="Times New Roman"/>
                <w:sz w:val="20"/>
                <w:szCs w:val="20"/>
              </w:rPr>
            </w:pPr>
          </w:p>
        </w:tc>
        <w:tc>
          <w:tcPr>
            <w:tcW w:w="1643" w:type="dxa"/>
            <w:tcBorders>
              <w:top w:val="single" w:sz="4" w:space="0" w:color="000000"/>
              <w:left w:val="nil"/>
              <w:bottom w:val="nil"/>
              <w:right w:val="nil"/>
            </w:tcBorders>
          </w:tcPr>
          <w:p w14:paraId="361D5211" w14:textId="77777777" w:rsidR="004371E3" w:rsidRPr="005463FE" w:rsidRDefault="004371E3" w:rsidP="00B473AC">
            <w:pPr>
              <w:spacing w:after="0" w:line="240" w:lineRule="auto"/>
              <w:rPr>
                <w:rFonts w:ascii="Times New Roman" w:hAnsi="Times New Roman" w:cs="Times New Roman"/>
                <w:sz w:val="20"/>
                <w:szCs w:val="20"/>
              </w:rPr>
            </w:pPr>
            <w:r w:rsidRPr="005463FE">
              <w:rPr>
                <w:rFonts w:ascii="Times New Roman" w:hAnsi="Times New Roman" w:cs="Times New Roman"/>
                <w:sz w:val="20"/>
                <w:szCs w:val="20"/>
              </w:rPr>
              <w:t>1</w:t>
            </w:r>
          </w:p>
        </w:tc>
        <w:tc>
          <w:tcPr>
            <w:tcW w:w="1281" w:type="dxa"/>
            <w:tcBorders>
              <w:top w:val="single" w:sz="4" w:space="0" w:color="000000"/>
              <w:left w:val="nil"/>
              <w:bottom w:val="nil"/>
              <w:right w:val="nil"/>
            </w:tcBorders>
          </w:tcPr>
          <w:p w14:paraId="1DE2394F" w14:textId="77777777" w:rsidR="004371E3" w:rsidRPr="005463FE" w:rsidRDefault="004371E3" w:rsidP="00B473AC">
            <w:pPr>
              <w:spacing w:after="0" w:line="240" w:lineRule="auto"/>
              <w:rPr>
                <w:rFonts w:ascii="Times New Roman" w:hAnsi="Times New Roman" w:cs="Times New Roman"/>
                <w:sz w:val="20"/>
                <w:szCs w:val="20"/>
              </w:rPr>
            </w:pPr>
          </w:p>
        </w:tc>
      </w:tr>
      <w:tr w:rsidR="004371E3" w:rsidRPr="005463FE" w14:paraId="0A2D8618" w14:textId="77777777" w:rsidTr="005463FE">
        <w:trPr>
          <w:jc w:val="center"/>
        </w:trPr>
        <w:tc>
          <w:tcPr>
            <w:tcW w:w="1880" w:type="dxa"/>
            <w:tcBorders>
              <w:top w:val="nil"/>
              <w:left w:val="nil"/>
              <w:bottom w:val="nil"/>
              <w:right w:val="nil"/>
            </w:tcBorders>
          </w:tcPr>
          <w:p w14:paraId="1AF67E76" w14:textId="77777777" w:rsidR="004371E3" w:rsidRPr="005463FE" w:rsidRDefault="004371E3" w:rsidP="00B473AC">
            <w:pPr>
              <w:spacing w:after="0" w:line="240" w:lineRule="auto"/>
              <w:rPr>
                <w:rFonts w:ascii="Times New Roman" w:hAnsi="Times New Roman" w:cs="Times New Roman"/>
                <w:sz w:val="20"/>
                <w:szCs w:val="20"/>
              </w:rPr>
            </w:pPr>
          </w:p>
        </w:tc>
        <w:tc>
          <w:tcPr>
            <w:tcW w:w="1890" w:type="dxa"/>
            <w:tcBorders>
              <w:top w:val="nil"/>
              <w:left w:val="nil"/>
              <w:bottom w:val="nil"/>
              <w:right w:val="nil"/>
            </w:tcBorders>
          </w:tcPr>
          <w:p w14:paraId="7D5E24D1" w14:textId="77777777" w:rsidR="004371E3" w:rsidRPr="005463FE" w:rsidRDefault="004371E3" w:rsidP="00B473AC">
            <w:pPr>
              <w:spacing w:after="0" w:line="240" w:lineRule="auto"/>
              <w:rPr>
                <w:rFonts w:ascii="Times New Roman" w:hAnsi="Times New Roman" w:cs="Times New Roman"/>
                <w:sz w:val="20"/>
                <w:szCs w:val="20"/>
              </w:rPr>
            </w:pPr>
          </w:p>
        </w:tc>
        <w:tc>
          <w:tcPr>
            <w:tcW w:w="2486" w:type="dxa"/>
            <w:tcBorders>
              <w:top w:val="nil"/>
              <w:left w:val="nil"/>
              <w:bottom w:val="nil"/>
              <w:right w:val="nil"/>
            </w:tcBorders>
          </w:tcPr>
          <w:p w14:paraId="1FB76FB9" w14:textId="77777777" w:rsidR="004371E3" w:rsidRPr="005463FE" w:rsidRDefault="004371E3" w:rsidP="00B473AC">
            <w:pPr>
              <w:spacing w:after="0" w:line="240" w:lineRule="auto"/>
              <w:rPr>
                <w:rFonts w:ascii="Times New Roman" w:hAnsi="Times New Roman" w:cs="Times New Roman"/>
                <w:sz w:val="20"/>
                <w:szCs w:val="20"/>
              </w:rPr>
            </w:pPr>
            <w:r w:rsidRPr="005463FE">
              <w:rPr>
                <w:rFonts w:ascii="Times New Roman" w:hAnsi="Times New Roman" w:cs="Times New Roman"/>
                <w:sz w:val="20"/>
                <w:szCs w:val="20"/>
              </w:rPr>
              <w:t>Sig. (2 tailed)</w:t>
            </w:r>
          </w:p>
        </w:tc>
        <w:tc>
          <w:tcPr>
            <w:tcW w:w="1643" w:type="dxa"/>
            <w:tcBorders>
              <w:top w:val="nil"/>
              <w:left w:val="nil"/>
              <w:bottom w:val="nil"/>
              <w:right w:val="nil"/>
            </w:tcBorders>
          </w:tcPr>
          <w:p w14:paraId="5B45C12E" w14:textId="77777777" w:rsidR="004371E3" w:rsidRPr="005463FE" w:rsidRDefault="004371E3" w:rsidP="00B473AC">
            <w:pPr>
              <w:spacing w:after="0" w:line="240" w:lineRule="auto"/>
              <w:rPr>
                <w:rFonts w:ascii="Times New Roman" w:hAnsi="Times New Roman" w:cs="Times New Roman"/>
                <w:sz w:val="20"/>
                <w:szCs w:val="20"/>
              </w:rPr>
            </w:pPr>
          </w:p>
        </w:tc>
        <w:tc>
          <w:tcPr>
            <w:tcW w:w="1281" w:type="dxa"/>
            <w:tcBorders>
              <w:top w:val="nil"/>
              <w:left w:val="nil"/>
              <w:bottom w:val="nil"/>
              <w:right w:val="nil"/>
            </w:tcBorders>
          </w:tcPr>
          <w:p w14:paraId="1E10EBA9" w14:textId="77777777" w:rsidR="004371E3" w:rsidRPr="005463FE" w:rsidRDefault="004371E3" w:rsidP="00B473AC">
            <w:pPr>
              <w:spacing w:after="0" w:line="240" w:lineRule="auto"/>
              <w:rPr>
                <w:rFonts w:ascii="Times New Roman" w:hAnsi="Times New Roman" w:cs="Times New Roman"/>
                <w:sz w:val="20"/>
                <w:szCs w:val="20"/>
              </w:rPr>
            </w:pPr>
          </w:p>
        </w:tc>
      </w:tr>
      <w:tr w:rsidR="004371E3" w:rsidRPr="005463FE" w14:paraId="474CA117" w14:textId="77777777" w:rsidTr="005463FE">
        <w:trPr>
          <w:jc w:val="center"/>
        </w:trPr>
        <w:tc>
          <w:tcPr>
            <w:tcW w:w="1880" w:type="dxa"/>
            <w:tcBorders>
              <w:top w:val="nil"/>
              <w:left w:val="nil"/>
              <w:bottom w:val="nil"/>
              <w:right w:val="nil"/>
            </w:tcBorders>
          </w:tcPr>
          <w:p w14:paraId="0F7DF614" w14:textId="77777777" w:rsidR="004371E3" w:rsidRPr="005463FE" w:rsidRDefault="004371E3" w:rsidP="00B473AC">
            <w:pPr>
              <w:spacing w:after="0" w:line="240" w:lineRule="auto"/>
              <w:rPr>
                <w:rFonts w:ascii="Times New Roman" w:hAnsi="Times New Roman" w:cs="Times New Roman"/>
                <w:sz w:val="20"/>
                <w:szCs w:val="20"/>
              </w:rPr>
            </w:pPr>
          </w:p>
        </w:tc>
        <w:tc>
          <w:tcPr>
            <w:tcW w:w="1890" w:type="dxa"/>
            <w:tcBorders>
              <w:top w:val="nil"/>
              <w:left w:val="nil"/>
              <w:bottom w:val="nil"/>
              <w:right w:val="nil"/>
            </w:tcBorders>
          </w:tcPr>
          <w:p w14:paraId="6E5608F2" w14:textId="77777777" w:rsidR="004371E3" w:rsidRPr="005463FE" w:rsidRDefault="004371E3" w:rsidP="00B473AC">
            <w:pPr>
              <w:spacing w:after="0" w:line="240" w:lineRule="auto"/>
              <w:rPr>
                <w:rFonts w:ascii="Times New Roman" w:hAnsi="Times New Roman" w:cs="Times New Roman"/>
                <w:sz w:val="20"/>
                <w:szCs w:val="20"/>
              </w:rPr>
            </w:pPr>
          </w:p>
        </w:tc>
        <w:tc>
          <w:tcPr>
            <w:tcW w:w="2486" w:type="dxa"/>
            <w:tcBorders>
              <w:top w:val="nil"/>
              <w:left w:val="nil"/>
              <w:bottom w:val="nil"/>
              <w:right w:val="nil"/>
            </w:tcBorders>
          </w:tcPr>
          <w:p w14:paraId="75A22824" w14:textId="77777777" w:rsidR="004371E3" w:rsidRPr="005463FE" w:rsidRDefault="004371E3" w:rsidP="00B473AC">
            <w:pPr>
              <w:spacing w:after="0" w:line="240" w:lineRule="auto"/>
              <w:rPr>
                <w:rFonts w:ascii="Times New Roman" w:hAnsi="Times New Roman" w:cs="Times New Roman"/>
                <w:sz w:val="20"/>
                <w:szCs w:val="20"/>
              </w:rPr>
            </w:pPr>
            <w:r w:rsidRPr="005463FE">
              <w:rPr>
                <w:rFonts w:ascii="Times New Roman" w:hAnsi="Times New Roman" w:cs="Times New Roman"/>
                <w:sz w:val="20"/>
                <w:szCs w:val="20"/>
              </w:rPr>
              <w:t>N</w:t>
            </w:r>
          </w:p>
        </w:tc>
        <w:tc>
          <w:tcPr>
            <w:tcW w:w="1643" w:type="dxa"/>
            <w:tcBorders>
              <w:top w:val="nil"/>
              <w:left w:val="nil"/>
              <w:bottom w:val="nil"/>
              <w:right w:val="nil"/>
            </w:tcBorders>
          </w:tcPr>
          <w:p w14:paraId="68EAF392" w14:textId="77777777" w:rsidR="004371E3" w:rsidRPr="005463FE" w:rsidRDefault="004371E3" w:rsidP="00B473AC">
            <w:pPr>
              <w:spacing w:after="0" w:line="240" w:lineRule="auto"/>
              <w:rPr>
                <w:rFonts w:ascii="Times New Roman" w:hAnsi="Times New Roman" w:cs="Times New Roman"/>
                <w:sz w:val="20"/>
                <w:szCs w:val="20"/>
              </w:rPr>
            </w:pPr>
            <w:r w:rsidRPr="005463FE">
              <w:rPr>
                <w:rFonts w:ascii="Times New Roman" w:hAnsi="Times New Roman" w:cs="Times New Roman"/>
                <w:sz w:val="20"/>
                <w:szCs w:val="20"/>
              </w:rPr>
              <w:t>50</w:t>
            </w:r>
          </w:p>
        </w:tc>
        <w:tc>
          <w:tcPr>
            <w:tcW w:w="1281" w:type="dxa"/>
            <w:tcBorders>
              <w:top w:val="nil"/>
              <w:left w:val="nil"/>
              <w:bottom w:val="nil"/>
              <w:right w:val="nil"/>
            </w:tcBorders>
          </w:tcPr>
          <w:p w14:paraId="188F2A0B" w14:textId="77777777" w:rsidR="004371E3" w:rsidRPr="005463FE" w:rsidRDefault="004371E3" w:rsidP="00B473AC">
            <w:pPr>
              <w:spacing w:after="0" w:line="240" w:lineRule="auto"/>
              <w:rPr>
                <w:rFonts w:ascii="Times New Roman" w:hAnsi="Times New Roman" w:cs="Times New Roman"/>
                <w:sz w:val="20"/>
                <w:szCs w:val="20"/>
              </w:rPr>
            </w:pPr>
          </w:p>
        </w:tc>
      </w:tr>
      <w:tr w:rsidR="004371E3" w:rsidRPr="005463FE" w14:paraId="1D8BBDAB" w14:textId="77777777" w:rsidTr="005463FE">
        <w:trPr>
          <w:jc w:val="center"/>
        </w:trPr>
        <w:tc>
          <w:tcPr>
            <w:tcW w:w="1880" w:type="dxa"/>
            <w:tcBorders>
              <w:top w:val="nil"/>
              <w:left w:val="nil"/>
              <w:bottom w:val="nil"/>
              <w:right w:val="nil"/>
            </w:tcBorders>
          </w:tcPr>
          <w:p w14:paraId="61CCD8ED" w14:textId="77777777" w:rsidR="004371E3" w:rsidRPr="005463FE" w:rsidRDefault="004371E3" w:rsidP="00B473AC">
            <w:pPr>
              <w:spacing w:after="0" w:line="240" w:lineRule="auto"/>
              <w:rPr>
                <w:rFonts w:ascii="Times New Roman" w:hAnsi="Times New Roman" w:cs="Times New Roman"/>
                <w:sz w:val="20"/>
                <w:szCs w:val="20"/>
              </w:rPr>
            </w:pPr>
          </w:p>
        </w:tc>
        <w:tc>
          <w:tcPr>
            <w:tcW w:w="1890" w:type="dxa"/>
            <w:tcBorders>
              <w:top w:val="nil"/>
              <w:left w:val="nil"/>
              <w:bottom w:val="nil"/>
              <w:right w:val="nil"/>
            </w:tcBorders>
          </w:tcPr>
          <w:p w14:paraId="0AAAF9AE" w14:textId="77777777" w:rsidR="004371E3" w:rsidRPr="005463FE" w:rsidRDefault="004371E3" w:rsidP="00B473AC">
            <w:pPr>
              <w:spacing w:after="0" w:line="240" w:lineRule="auto"/>
              <w:rPr>
                <w:rFonts w:ascii="Times New Roman" w:hAnsi="Times New Roman" w:cs="Times New Roman"/>
                <w:sz w:val="20"/>
                <w:szCs w:val="20"/>
              </w:rPr>
            </w:pPr>
            <w:r w:rsidRPr="005463FE">
              <w:rPr>
                <w:rFonts w:ascii="Times New Roman" w:hAnsi="Times New Roman" w:cs="Times New Roman"/>
                <w:sz w:val="20"/>
                <w:szCs w:val="20"/>
              </w:rPr>
              <w:t>Supply chain managers</w:t>
            </w:r>
          </w:p>
        </w:tc>
        <w:tc>
          <w:tcPr>
            <w:tcW w:w="2486" w:type="dxa"/>
            <w:tcBorders>
              <w:top w:val="nil"/>
              <w:left w:val="nil"/>
              <w:bottom w:val="nil"/>
              <w:right w:val="nil"/>
            </w:tcBorders>
          </w:tcPr>
          <w:p w14:paraId="5C394C2B" w14:textId="77777777" w:rsidR="004371E3" w:rsidRPr="005463FE" w:rsidRDefault="004371E3" w:rsidP="00B473AC">
            <w:pPr>
              <w:spacing w:after="0" w:line="240" w:lineRule="auto"/>
              <w:rPr>
                <w:rFonts w:ascii="Times New Roman" w:hAnsi="Times New Roman" w:cs="Times New Roman"/>
                <w:sz w:val="20"/>
                <w:szCs w:val="20"/>
              </w:rPr>
            </w:pPr>
            <w:r w:rsidRPr="005463FE">
              <w:rPr>
                <w:rFonts w:ascii="Times New Roman" w:hAnsi="Times New Roman" w:cs="Times New Roman"/>
                <w:sz w:val="20"/>
                <w:szCs w:val="20"/>
              </w:rPr>
              <w:t>Correlation Coefficient</w:t>
            </w:r>
          </w:p>
          <w:p w14:paraId="1D2C0429" w14:textId="77777777" w:rsidR="004371E3" w:rsidRPr="005463FE" w:rsidRDefault="004371E3" w:rsidP="00B473AC">
            <w:pPr>
              <w:spacing w:after="0" w:line="240" w:lineRule="auto"/>
              <w:rPr>
                <w:rFonts w:ascii="Times New Roman" w:hAnsi="Times New Roman" w:cs="Times New Roman"/>
                <w:sz w:val="20"/>
                <w:szCs w:val="20"/>
              </w:rPr>
            </w:pPr>
          </w:p>
          <w:p w14:paraId="3CA85A02" w14:textId="77777777" w:rsidR="004371E3" w:rsidRPr="005463FE" w:rsidRDefault="004371E3" w:rsidP="00B473AC">
            <w:pPr>
              <w:spacing w:after="0" w:line="240" w:lineRule="auto"/>
              <w:rPr>
                <w:rFonts w:ascii="Times New Roman" w:hAnsi="Times New Roman" w:cs="Times New Roman"/>
                <w:sz w:val="20"/>
                <w:szCs w:val="20"/>
              </w:rPr>
            </w:pPr>
            <w:r w:rsidRPr="005463FE">
              <w:rPr>
                <w:rFonts w:ascii="Times New Roman" w:hAnsi="Times New Roman" w:cs="Times New Roman"/>
                <w:sz w:val="20"/>
                <w:szCs w:val="20"/>
              </w:rPr>
              <w:t>Sig (2 – tailed)</w:t>
            </w:r>
          </w:p>
        </w:tc>
        <w:tc>
          <w:tcPr>
            <w:tcW w:w="1643" w:type="dxa"/>
            <w:tcBorders>
              <w:top w:val="nil"/>
              <w:left w:val="nil"/>
              <w:bottom w:val="nil"/>
              <w:right w:val="nil"/>
            </w:tcBorders>
          </w:tcPr>
          <w:p w14:paraId="2191D2A6" w14:textId="77777777" w:rsidR="004371E3" w:rsidRPr="005463FE" w:rsidRDefault="004371E3" w:rsidP="00B473AC">
            <w:pPr>
              <w:spacing w:after="0" w:line="240" w:lineRule="auto"/>
              <w:rPr>
                <w:rFonts w:ascii="Times New Roman" w:hAnsi="Times New Roman" w:cs="Times New Roman"/>
                <w:sz w:val="20"/>
                <w:szCs w:val="20"/>
              </w:rPr>
            </w:pPr>
            <w:r w:rsidRPr="005463FE">
              <w:rPr>
                <w:rFonts w:ascii="Times New Roman" w:hAnsi="Times New Roman" w:cs="Times New Roman"/>
                <w:sz w:val="20"/>
                <w:szCs w:val="20"/>
              </w:rPr>
              <w:t>.989***</w:t>
            </w:r>
          </w:p>
          <w:p w14:paraId="724AEE90" w14:textId="77777777" w:rsidR="004371E3" w:rsidRPr="005463FE" w:rsidRDefault="004371E3" w:rsidP="00B473AC">
            <w:pPr>
              <w:spacing w:after="0" w:line="240" w:lineRule="auto"/>
              <w:rPr>
                <w:rFonts w:ascii="Times New Roman" w:hAnsi="Times New Roman" w:cs="Times New Roman"/>
                <w:sz w:val="20"/>
                <w:szCs w:val="20"/>
              </w:rPr>
            </w:pPr>
          </w:p>
          <w:p w14:paraId="3FAEF65C" w14:textId="77777777" w:rsidR="004371E3" w:rsidRPr="005463FE" w:rsidRDefault="004371E3" w:rsidP="00B473AC">
            <w:pPr>
              <w:spacing w:after="0" w:line="240" w:lineRule="auto"/>
              <w:rPr>
                <w:rFonts w:ascii="Times New Roman" w:hAnsi="Times New Roman" w:cs="Times New Roman"/>
                <w:sz w:val="20"/>
                <w:szCs w:val="20"/>
              </w:rPr>
            </w:pPr>
            <w:r w:rsidRPr="005463FE">
              <w:rPr>
                <w:rFonts w:ascii="Times New Roman" w:hAnsi="Times New Roman" w:cs="Times New Roman"/>
                <w:sz w:val="20"/>
                <w:szCs w:val="20"/>
              </w:rPr>
              <w:t>.000</w:t>
            </w:r>
          </w:p>
        </w:tc>
        <w:tc>
          <w:tcPr>
            <w:tcW w:w="1281" w:type="dxa"/>
            <w:tcBorders>
              <w:top w:val="nil"/>
              <w:left w:val="nil"/>
              <w:bottom w:val="nil"/>
              <w:right w:val="nil"/>
            </w:tcBorders>
          </w:tcPr>
          <w:p w14:paraId="362DFE90" w14:textId="77777777" w:rsidR="004371E3" w:rsidRPr="005463FE" w:rsidRDefault="004371E3" w:rsidP="00B473AC">
            <w:pPr>
              <w:spacing w:after="0" w:line="240" w:lineRule="auto"/>
              <w:rPr>
                <w:rFonts w:ascii="Times New Roman" w:hAnsi="Times New Roman" w:cs="Times New Roman"/>
                <w:sz w:val="20"/>
                <w:szCs w:val="20"/>
              </w:rPr>
            </w:pPr>
            <w:r w:rsidRPr="005463FE">
              <w:rPr>
                <w:rFonts w:ascii="Times New Roman" w:hAnsi="Times New Roman" w:cs="Times New Roman"/>
                <w:sz w:val="20"/>
                <w:szCs w:val="20"/>
              </w:rPr>
              <w:t>1</w:t>
            </w:r>
          </w:p>
        </w:tc>
      </w:tr>
      <w:tr w:rsidR="004371E3" w:rsidRPr="005463FE" w14:paraId="4C65AF49" w14:textId="77777777" w:rsidTr="005463FE">
        <w:trPr>
          <w:jc w:val="center"/>
        </w:trPr>
        <w:tc>
          <w:tcPr>
            <w:tcW w:w="1880" w:type="dxa"/>
            <w:tcBorders>
              <w:top w:val="nil"/>
              <w:left w:val="nil"/>
              <w:bottom w:val="nil"/>
              <w:right w:val="nil"/>
            </w:tcBorders>
          </w:tcPr>
          <w:p w14:paraId="14F81D6B" w14:textId="77777777" w:rsidR="004371E3" w:rsidRPr="005463FE" w:rsidRDefault="004371E3" w:rsidP="00B473AC">
            <w:pPr>
              <w:spacing w:after="0" w:line="240" w:lineRule="auto"/>
              <w:rPr>
                <w:rFonts w:ascii="Times New Roman" w:hAnsi="Times New Roman" w:cs="Times New Roman"/>
                <w:sz w:val="20"/>
                <w:szCs w:val="20"/>
              </w:rPr>
            </w:pPr>
          </w:p>
        </w:tc>
        <w:tc>
          <w:tcPr>
            <w:tcW w:w="1890" w:type="dxa"/>
            <w:tcBorders>
              <w:top w:val="nil"/>
              <w:left w:val="nil"/>
              <w:bottom w:val="nil"/>
              <w:right w:val="nil"/>
            </w:tcBorders>
          </w:tcPr>
          <w:p w14:paraId="0D8D529D" w14:textId="77777777" w:rsidR="004371E3" w:rsidRPr="005463FE" w:rsidRDefault="004371E3" w:rsidP="00B473AC">
            <w:pPr>
              <w:spacing w:after="0" w:line="240" w:lineRule="auto"/>
              <w:rPr>
                <w:rFonts w:ascii="Times New Roman" w:hAnsi="Times New Roman" w:cs="Times New Roman"/>
                <w:sz w:val="20"/>
                <w:szCs w:val="20"/>
              </w:rPr>
            </w:pPr>
          </w:p>
        </w:tc>
        <w:tc>
          <w:tcPr>
            <w:tcW w:w="2486" w:type="dxa"/>
            <w:tcBorders>
              <w:top w:val="nil"/>
              <w:left w:val="nil"/>
              <w:bottom w:val="nil"/>
              <w:right w:val="nil"/>
            </w:tcBorders>
          </w:tcPr>
          <w:p w14:paraId="01A7021E" w14:textId="77777777" w:rsidR="004371E3" w:rsidRPr="005463FE" w:rsidRDefault="004371E3" w:rsidP="00B473AC">
            <w:pPr>
              <w:spacing w:after="0" w:line="240" w:lineRule="auto"/>
              <w:rPr>
                <w:rFonts w:ascii="Times New Roman" w:hAnsi="Times New Roman" w:cs="Times New Roman"/>
                <w:sz w:val="20"/>
                <w:szCs w:val="20"/>
              </w:rPr>
            </w:pPr>
          </w:p>
        </w:tc>
        <w:tc>
          <w:tcPr>
            <w:tcW w:w="1643" w:type="dxa"/>
            <w:tcBorders>
              <w:top w:val="nil"/>
              <w:left w:val="nil"/>
              <w:bottom w:val="nil"/>
              <w:right w:val="nil"/>
            </w:tcBorders>
          </w:tcPr>
          <w:p w14:paraId="7F08EB66" w14:textId="77777777" w:rsidR="004371E3" w:rsidRPr="005463FE" w:rsidRDefault="004371E3" w:rsidP="00B473AC">
            <w:pPr>
              <w:spacing w:after="0" w:line="240" w:lineRule="auto"/>
              <w:rPr>
                <w:rFonts w:ascii="Times New Roman" w:hAnsi="Times New Roman" w:cs="Times New Roman"/>
                <w:sz w:val="20"/>
                <w:szCs w:val="20"/>
              </w:rPr>
            </w:pPr>
          </w:p>
        </w:tc>
        <w:tc>
          <w:tcPr>
            <w:tcW w:w="1281" w:type="dxa"/>
            <w:tcBorders>
              <w:top w:val="nil"/>
              <w:left w:val="nil"/>
              <w:bottom w:val="nil"/>
              <w:right w:val="nil"/>
            </w:tcBorders>
          </w:tcPr>
          <w:p w14:paraId="143B923B" w14:textId="77777777" w:rsidR="004371E3" w:rsidRPr="005463FE" w:rsidRDefault="004371E3" w:rsidP="00B473AC">
            <w:pPr>
              <w:spacing w:after="0" w:line="240" w:lineRule="auto"/>
              <w:rPr>
                <w:rFonts w:ascii="Times New Roman" w:hAnsi="Times New Roman" w:cs="Times New Roman"/>
                <w:sz w:val="20"/>
                <w:szCs w:val="20"/>
              </w:rPr>
            </w:pPr>
          </w:p>
        </w:tc>
      </w:tr>
      <w:tr w:rsidR="004371E3" w:rsidRPr="005463FE" w14:paraId="739D6991" w14:textId="77777777" w:rsidTr="005463FE">
        <w:trPr>
          <w:jc w:val="center"/>
        </w:trPr>
        <w:tc>
          <w:tcPr>
            <w:tcW w:w="1880" w:type="dxa"/>
            <w:tcBorders>
              <w:top w:val="nil"/>
              <w:left w:val="nil"/>
              <w:bottom w:val="single" w:sz="4" w:space="0" w:color="000000"/>
              <w:right w:val="nil"/>
            </w:tcBorders>
          </w:tcPr>
          <w:p w14:paraId="740252CA" w14:textId="77777777" w:rsidR="004371E3" w:rsidRPr="005463FE" w:rsidRDefault="004371E3" w:rsidP="00B473AC">
            <w:pPr>
              <w:spacing w:after="0" w:line="240" w:lineRule="auto"/>
              <w:rPr>
                <w:rFonts w:ascii="Times New Roman" w:hAnsi="Times New Roman" w:cs="Times New Roman"/>
                <w:sz w:val="20"/>
                <w:szCs w:val="20"/>
              </w:rPr>
            </w:pPr>
          </w:p>
        </w:tc>
        <w:tc>
          <w:tcPr>
            <w:tcW w:w="1890" w:type="dxa"/>
            <w:tcBorders>
              <w:top w:val="nil"/>
              <w:left w:val="nil"/>
              <w:bottom w:val="single" w:sz="4" w:space="0" w:color="000000"/>
              <w:right w:val="nil"/>
            </w:tcBorders>
          </w:tcPr>
          <w:p w14:paraId="182F1655" w14:textId="77777777" w:rsidR="004371E3" w:rsidRPr="005463FE" w:rsidRDefault="004371E3" w:rsidP="00B473AC">
            <w:pPr>
              <w:spacing w:after="0" w:line="240" w:lineRule="auto"/>
              <w:rPr>
                <w:rFonts w:ascii="Times New Roman" w:hAnsi="Times New Roman" w:cs="Times New Roman"/>
                <w:sz w:val="20"/>
                <w:szCs w:val="20"/>
              </w:rPr>
            </w:pPr>
          </w:p>
        </w:tc>
        <w:tc>
          <w:tcPr>
            <w:tcW w:w="2486" w:type="dxa"/>
            <w:tcBorders>
              <w:top w:val="nil"/>
              <w:left w:val="nil"/>
              <w:bottom w:val="single" w:sz="4" w:space="0" w:color="000000"/>
              <w:right w:val="nil"/>
            </w:tcBorders>
          </w:tcPr>
          <w:p w14:paraId="61787399" w14:textId="77777777" w:rsidR="004371E3" w:rsidRPr="005463FE" w:rsidRDefault="004371E3" w:rsidP="00B473AC">
            <w:pPr>
              <w:spacing w:after="0" w:line="240" w:lineRule="auto"/>
              <w:rPr>
                <w:rFonts w:ascii="Times New Roman" w:hAnsi="Times New Roman" w:cs="Times New Roman"/>
                <w:sz w:val="20"/>
                <w:szCs w:val="20"/>
              </w:rPr>
            </w:pPr>
            <w:r w:rsidRPr="005463FE">
              <w:rPr>
                <w:rFonts w:ascii="Times New Roman" w:hAnsi="Times New Roman" w:cs="Times New Roman"/>
                <w:sz w:val="20"/>
                <w:szCs w:val="20"/>
              </w:rPr>
              <w:t>N</w:t>
            </w:r>
          </w:p>
        </w:tc>
        <w:tc>
          <w:tcPr>
            <w:tcW w:w="1643" w:type="dxa"/>
            <w:tcBorders>
              <w:top w:val="nil"/>
              <w:left w:val="nil"/>
              <w:bottom w:val="single" w:sz="4" w:space="0" w:color="000000"/>
              <w:right w:val="nil"/>
            </w:tcBorders>
          </w:tcPr>
          <w:p w14:paraId="64F7A1AD" w14:textId="77777777" w:rsidR="004371E3" w:rsidRPr="005463FE" w:rsidRDefault="004371E3" w:rsidP="00B473AC">
            <w:pPr>
              <w:spacing w:after="0" w:line="240" w:lineRule="auto"/>
              <w:rPr>
                <w:rFonts w:ascii="Times New Roman" w:hAnsi="Times New Roman" w:cs="Times New Roman"/>
                <w:sz w:val="20"/>
                <w:szCs w:val="20"/>
              </w:rPr>
            </w:pPr>
            <w:r w:rsidRPr="005463FE">
              <w:rPr>
                <w:rFonts w:ascii="Times New Roman" w:hAnsi="Times New Roman" w:cs="Times New Roman"/>
                <w:sz w:val="20"/>
                <w:szCs w:val="20"/>
              </w:rPr>
              <w:t>50</w:t>
            </w:r>
          </w:p>
        </w:tc>
        <w:tc>
          <w:tcPr>
            <w:tcW w:w="1281" w:type="dxa"/>
            <w:tcBorders>
              <w:top w:val="nil"/>
              <w:left w:val="nil"/>
              <w:bottom w:val="single" w:sz="4" w:space="0" w:color="000000"/>
              <w:right w:val="nil"/>
            </w:tcBorders>
          </w:tcPr>
          <w:p w14:paraId="0B0255AC" w14:textId="77777777" w:rsidR="004371E3" w:rsidRPr="005463FE" w:rsidRDefault="004371E3" w:rsidP="00B473AC">
            <w:pPr>
              <w:spacing w:after="0" w:line="240" w:lineRule="auto"/>
              <w:rPr>
                <w:rFonts w:ascii="Times New Roman" w:hAnsi="Times New Roman" w:cs="Times New Roman"/>
                <w:sz w:val="20"/>
                <w:szCs w:val="20"/>
              </w:rPr>
            </w:pPr>
            <w:r w:rsidRPr="005463FE">
              <w:rPr>
                <w:rFonts w:ascii="Times New Roman" w:hAnsi="Times New Roman" w:cs="Times New Roman"/>
                <w:sz w:val="20"/>
                <w:szCs w:val="20"/>
              </w:rPr>
              <w:t>50</w:t>
            </w:r>
          </w:p>
        </w:tc>
      </w:tr>
    </w:tbl>
    <w:p w14:paraId="78E7E7D1" w14:textId="77777777" w:rsidR="004371E3" w:rsidRPr="00BE4AF3" w:rsidRDefault="004371E3" w:rsidP="004371E3">
      <w:pPr>
        <w:spacing w:after="0" w:line="240" w:lineRule="auto"/>
        <w:rPr>
          <w:rFonts w:ascii="Times New Roman" w:hAnsi="Times New Roman" w:cs="Times New Roman"/>
          <w:sz w:val="24"/>
          <w:szCs w:val="24"/>
        </w:rPr>
      </w:pPr>
    </w:p>
    <w:p w14:paraId="73B53EC6" w14:textId="77777777" w:rsidR="004371E3" w:rsidRPr="00BE4AF3" w:rsidRDefault="004371E3" w:rsidP="005463F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result reveals that, there is a strong positive relationship between competencies of supply chain and supply chain managers in construction industry; hence, spearman’s correlation coefficient (rho) = 0.989. This is an indication that increase in competencies of supply chain will lead to an increase on supply chain managers performance. </w:t>
      </w:r>
    </w:p>
    <w:p w14:paraId="0B3629E5" w14:textId="77777777" w:rsidR="004371E3" w:rsidRDefault="004371E3" w:rsidP="005463FE">
      <w:pPr>
        <w:spacing w:after="0" w:line="240" w:lineRule="auto"/>
        <w:jc w:val="both"/>
        <w:rPr>
          <w:rFonts w:ascii="Times New Roman" w:hAnsi="Times New Roman" w:cs="Times New Roman"/>
          <w:sz w:val="24"/>
          <w:szCs w:val="24"/>
        </w:rPr>
      </w:pPr>
      <w:bookmarkStart w:id="58" w:name="_6fhwnt46taqh" w:colFirst="0" w:colLast="0"/>
      <w:bookmarkEnd w:id="58"/>
      <w:r w:rsidRPr="00BE4AF3">
        <w:rPr>
          <w:rFonts w:ascii="Times New Roman" w:hAnsi="Times New Roman" w:cs="Times New Roman"/>
          <w:sz w:val="24"/>
          <w:szCs w:val="24"/>
        </w:rPr>
        <w:t xml:space="preserve">The test also reveals that, the relationship is highly significant with the p&lt;0.001.It can be concluded that, there is relationship between competencies of supply chain and supply chain managers performance in construction industry. Therefore, the hypothesis which states that, there is no significant </w:t>
      </w:r>
      <w:r w:rsidRPr="00BE4AF3">
        <w:rPr>
          <w:rFonts w:ascii="Times New Roman" w:hAnsi="Times New Roman" w:cs="Times New Roman"/>
          <w:color w:val="000000"/>
          <w:sz w:val="24"/>
          <w:szCs w:val="24"/>
        </w:rPr>
        <w:t>impact of competencies of supply chain on supply chain managers in construction industry in Abuja, Nigeria</w:t>
      </w:r>
      <w:r w:rsidRPr="00BE4AF3">
        <w:rPr>
          <w:rFonts w:ascii="Times New Roman" w:hAnsi="Times New Roman" w:cs="Times New Roman"/>
          <w:sz w:val="24"/>
          <w:szCs w:val="24"/>
        </w:rPr>
        <w:t xml:space="preserve"> is rejected.</w:t>
      </w:r>
    </w:p>
    <w:p w14:paraId="18865342" w14:textId="77777777" w:rsidR="005463FE" w:rsidRPr="00BE4AF3" w:rsidRDefault="005463FE" w:rsidP="005463FE">
      <w:pPr>
        <w:spacing w:after="0" w:line="240" w:lineRule="auto"/>
        <w:jc w:val="both"/>
        <w:rPr>
          <w:rFonts w:ascii="Times New Roman" w:hAnsi="Times New Roman" w:cs="Times New Roman"/>
          <w:sz w:val="24"/>
          <w:szCs w:val="24"/>
        </w:rPr>
      </w:pPr>
    </w:p>
    <w:p w14:paraId="37F1E253" w14:textId="77777777" w:rsidR="004371E3" w:rsidRPr="00BE4AF3" w:rsidRDefault="004371E3" w:rsidP="004371E3">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 xml:space="preserve">DISCUSSION </w:t>
      </w:r>
    </w:p>
    <w:p w14:paraId="55846377" w14:textId="77777777" w:rsidR="004371E3" w:rsidRPr="00BE4AF3" w:rsidRDefault="004371E3" w:rsidP="005463F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first findings revealed </w:t>
      </w:r>
      <w:r w:rsidRPr="00BE4AF3">
        <w:rPr>
          <w:rFonts w:ascii="Times New Roman" w:hAnsi="Times New Roman" w:cs="Times New Roman"/>
          <w:color w:val="000000"/>
          <w:sz w:val="24"/>
          <w:szCs w:val="24"/>
        </w:rPr>
        <w:t>level of awareness of supply chain by supply chain managers in construction industry in Abuja, Nigeria</w:t>
      </w:r>
      <w:r w:rsidRPr="00BE4AF3">
        <w:rPr>
          <w:rFonts w:ascii="Times New Roman" w:hAnsi="Times New Roman" w:cs="Times New Roman"/>
          <w:sz w:val="24"/>
          <w:szCs w:val="24"/>
        </w:rPr>
        <w:t xml:space="preserve">. It was revealed that there is a high level of </w:t>
      </w:r>
      <w:r w:rsidRPr="00BE4AF3">
        <w:rPr>
          <w:rFonts w:ascii="Times New Roman" w:hAnsi="Times New Roman" w:cs="Times New Roman"/>
          <w:color w:val="000000"/>
          <w:sz w:val="24"/>
          <w:szCs w:val="24"/>
        </w:rPr>
        <w:t>awareness of supply chain by supply chain managers in construction industry in Abuja, Nigeria.</w:t>
      </w:r>
      <w:r w:rsidRPr="00BE4AF3">
        <w:rPr>
          <w:rFonts w:ascii="Times New Roman" w:hAnsi="Times New Roman" w:cs="Times New Roman"/>
          <w:sz w:val="24"/>
          <w:szCs w:val="24"/>
        </w:rPr>
        <w:t xml:space="preserve"> This finding is in agreement with that of </w:t>
      </w:r>
      <w:r w:rsidRPr="00BE4AF3">
        <w:rPr>
          <w:rFonts w:ascii="Times New Roman" w:hAnsi="Times New Roman" w:cs="Times New Roman"/>
          <w:color w:val="000000"/>
          <w:sz w:val="24"/>
          <w:szCs w:val="24"/>
        </w:rPr>
        <w:t xml:space="preserve">Ogundipe </w:t>
      </w:r>
      <w:r w:rsidRPr="00BE4AF3">
        <w:rPr>
          <w:rFonts w:ascii="Times New Roman" w:hAnsi="Times New Roman" w:cs="Times New Roman"/>
          <w:i/>
          <w:color w:val="000000"/>
          <w:sz w:val="24"/>
          <w:szCs w:val="24"/>
        </w:rPr>
        <w:t>et al</w:t>
      </w:r>
      <w:r w:rsidRPr="00BE4AF3">
        <w:rPr>
          <w:rFonts w:ascii="Times New Roman" w:hAnsi="Times New Roman" w:cs="Times New Roman"/>
          <w:color w:val="000000"/>
          <w:sz w:val="24"/>
          <w:szCs w:val="24"/>
        </w:rPr>
        <w:t>., (2024)</w:t>
      </w:r>
      <w:r w:rsidRPr="00BE4AF3">
        <w:rPr>
          <w:rFonts w:ascii="Times New Roman" w:hAnsi="Times New Roman" w:cs="Times New Roman"/>
          <w:sz w:val="24"/>
          <w:szCs w:val="24"/>
        </w:rPr>
        <w:t xml:space="preserve">  who identified a high level of awareness of supply chain by supply chain managers in construction industry in Abuja .</w:t>
      </w:r>
    </w:p>
    <w:p w14:paraId="52E8B9DA" w14:textId="7434D155" w:rsidR="004371E3" w:rsidRPr="00BE4AF3" w:rsidRDefault="004371E3" w:rsidP="004371E3">
      <w:pPr>
        <w:spacing w:after="0" w:line="240" w:lineRule="auto"/>
        <w:jc w:val="both"/>
        <w:rPr>
          <w:rFonts w:ascii="Times New Roman" w:hAnsi="Times New Roman" w:cs="Times New Roman"/>
          <w:color w:val="000000"/>
          <w:sz w:val="24"/>
          <w:szCs w:val="24"/>
        </w:rPr>
      </w:pPr>
      <w:r w:rsidRPr="00BE4AF3">
        <w:rPr>
          <w:rFonts w:ascii="Times New Roman" w:hAnsi="Times New Roman" w:cs="Times New Roman"/>
          <w:sz w:val="24"/>
          <w:szCs w:val="24"/>
        </w:rPr>
        <w:t xml:space="preserve">The second finding of this study revealed </w:t>
      </w:r>
      <w:r w:rsidRPr="00BE4AF3">
        <w:rPr>
          <w:rFonts w:ascii="Times New Roman" w:hAnsi="Times New Roman" w:cs="Times New Roman"/>
          <w:color w:val="000000"/>
          <w:sz w:val="24"/>
          <w:szCs w:val="24"/>
        </w:rPr>
        <w:t>competencies required by supply chain managers to perform their jobs effectively in construction industry in Abuja, Nigeria</w:t>
      </w:r>
      <w:r w:rsidRPr="00BE4AF3">
        <w:rPr>
          <w:rFonts w:ascii="Times New Roman" w:hAnsi="Times New Roman" w:cs="Times New Roman"/>
          <w:sz w:val="24"/>
          <w:szCs w:val="24"/>
        </w:rPr>
        <w:t xml:space="preserve">. These include decision making, relationship management, communication, problem solving and project management as the </w:t>
      </w:r>
      <w:r w:rsidRPr="00BE4AF3">
        <w:rPr>
          <w:rFonts w:ascii="Times New Roman" w:hAnsi="Times New Roman" w:cs="Times New Roman"/>
          <w:color w:val="000000"/>
          <w:sz w:val="24"/>
          <w:szCs w:val="24"/>
        </w:rPr>
        <w:t>competencies required by supply chain managers to perform their jobs effectively in construction industry in Abuja, Nigeria</w:t>
      </w:r>
      <w:r w:rsidRPr="00BE4AF3">
        <w:rPr>
          <w:rFonts w:ascii="Times New Roman" w:hAnsi="Times New Roman" w:cs="Times New Roman"/>
          <w:sz w:val="24"/>
          <w:szCs w:val="24"/>
        </w:rPr>
        <w:t xml:space="preserve">. This finding agrees with that of </w:t>
      </w:r>
      <w:r w:rsidRPr="00BE4AF3">
        <w:rPr>
          <w:rFonts w:ascii="Times New Roman" w:hAnsi="Times New Roman" w:cs="Times New Roman"/>
          <w:color w:val="000000"/>
          <w:sz w:val="24"/>
          <w:szCs w:val="24"/>
        </w:rPr>
        <w:t>Schabasser (2021) who identified communication, problem-solving, project management, decision-making, and relationship management as top skills for supply chain managers.</w:t>
      </w:r>
    </w:p>
    <w:p w14:paraId="452EB012" w14:textId="77777777" w:rsidR="004371E3" w:rsidRPr="00BE4AF3" w:rsidRDefault="004371E3" w:rsidP="005463F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third finding of this study revealed </w:t>
      </w:r>
      <w:r w:rsidRPr="00BE4AF3">
        <w:rPr>
          <w:rFonts w:ascii="Times New Roman" w:hAnsi="Times New Roman" w:cs="Times New Roman"/>
          <w:color w:val="000000"/>
          <w:sz w:val="24"/>
          <w:szCs w:val="24"/>
        </w:rPr>
        <w:t>factors influencing competencies of supply chain managers in construction industry in Abuja, Nigeria</w:t>
      </w:r>
      <w:r w:rsidRPr="00BE4AF3">
        <w:rPr>
          <w:rFonts w:ascii="Times New Roman" w:hAnsi="Times New Roman" w:cs="Times New Roman"/>
          <w:sz w:val="24"/>
          <w:szCs w:val="24"/>
        </w:rPr>
        <w:t xml:space="preserve">.  Among these factors are undertaking digital transformation, developing adequate knowledge, experience and change management, external support as well as top management support . This finding agrees with that of </w:t>
      </w:r>
      <w:r w:rsidRPr="00BE4AF3">
        <w:rPr>
          <w:rFonts w:ascii="Times New Roman" w:hAnsi="Times New Roman" w:cs="Times New Roman"/>
          <w:color w:val="000000"/>
          <w:sz w:val="24"/>
          <w:szCs w:val="24"/>
        </w:rPr>
        <w:t xml:space="preserve">Tunji-Olayeni </w:t>
      </w:r>
      <w:r w:rsidRPr="00BE4AF3">
        <w:rPr>
          <w:rFonts w:ascii="Times New Roman" w:hAnsi="Times New Roman" w:cs="Times New Roman"/>
          <w:i/>
          <w:color w:val="000000"/>
          <w:sz w:val="24"/>
          <w:szCs w:val="24"/>
        </w:rPr>
        <w:t>et al</w:t>
      </w:r>
      <w:r w:rsidRPr="00BE4AF3">
        <w:rPr>
          <w:rFonts w:ascii="Times New Roman" w:hAnsi="Times New Roman" w:cs="Times New Roman"/>
          <w:color w:val="000000"/>
          <w:sz w:val="24"/>
          <w:szCs w:val="24"/>
        </w:rPr>
        <w:t>., (2016) whose study identified undertaking digital transformation, top management support, external support, developing adequate knowledge and experience, and change management</w:t>
      </w:r>
      <w:r w:rsidRPr="00BE4AF3">
        <w:rPr>
          <w:rFonts w:ascii="Times New Roman" w:hAnsi="Times New Roman" w:cs="Times New Roman"/>
          <w:sz w:val="24"/>
          <w:szCs w:val="24"/>
        </w:rPr>
        <w:t>.</w:t>
      </w:r>
    </w:p>
    <w:p w14:paraId="55FF3F7B" w14:textId="6DB5F68C" w:rsidR="004371E3" w:rsidRPr="005463FE" w:rsidRDefault="004371E3" w:rsidP="005463FE">
      <w:pPr>
        <w:spacing w:after="0" w:line="240" w:lineRule="auto"/>
        <w:jc w:val="both"/>
        <w:rPr>
          <w:rFonts w:ascii="Times New Roman" w:hAnsi="Times New Roman" w:cs="Times New Roman"/>
          <w:color w:val="000000"/>
          <w:sz w:val="24"/>
          <w:szCs w:val="24"/>
        </w:rPr>
      </w:pPr>
      <w:r w:rsidRPr="00BE4AF3">
        <w:rPr>
          <w:rFonts w:ascii="Times New Roman" w:hAnsi="Times New Roman" w:cs="Times New Roman"/>
          <w:sz w:val="24"/>
          <w:szCs w:val="24"/>
        </w:rPr>
        <w:t xml:space="preserve">The fourth finding of this study revealed certification and professional development, training and development programs, technology adoption, mentorship and coaching, as well as collaboration </w:t>
      </w:r>
      <w:r w:rsidRPr="00BE4AF3">
        <w:rPr>
          <w:rFonts w:ascii="Times New Roman" w:hAnsi="Times New Roman" w:cs="Times New Roman"/>
          <w:sz w:val="24"/>
          <w:szCs w:val="24"/>
        </w:rPr>
        <w:lastRenderedPageBreak/>
        <w:t>and knowledge as p</w:t>
      </w:r>
      <w:r w:rsidRPr="00BE4AF3">
        <w:rPr>
          <w:rFonts w:ascii="Times New Roman" w:hAnsi="Times New Roman" w:cs="Times New Roman"/>
          <w:color w:val="000000"/>
          <w:sz w:val="24"/>
          <w:szCs w:val="24"/>
        </w:rPr>
        <w:t>ossible ways construction industries can influence competencies of supply chain managers in construction industry</w:t>
      </w:r>
      <w:r w:rsidRPr="00BE4AF3">
        <w:rPr>
          <w:rFonts w:ascii="Times New Roman" w:hAnsi="Times New Roman" w:cs="Times New Roman"/>
          <w:sz w:val="24"/>
          <w:szCs w:val="24"/>
        </w:rPr>
        <w:t xml:space="preserve">. This finding agrees with that of </w:t>
      </w:r>
      <w:r w:rsidRPr="00BE4AF3">
        <w:rPr>
          <w:rFonts w:ascii="Times New Roman" w:hAnsi="Times New Roman" w:cs="Times New Roman"/>
          <w:color w:val="000000"/>
          <w:sz w:val="24"/>
          <w:szCs w:val="24"/>
        </w:rPr>
        <w:t xml:space="preserve">Studer </w:t>
      </w:r>
      <w:r w:rsidRPr="00BE4AF3">
        <w:rPr>
          <w:rFonts w:ascii="Times New Roman" w:hAnsi="Times New Roman" w:cs="Times New Roman"/>
          <w:i/>
          <w:color w:val="000000"/>
          <w:sz w:val="24"/>
          <w:szCs w:val="24"/>
        </w:rPr>
        <w:t xml:space="preserve">et al., </w:t>
      </w:r>
      <w:r w:rsidRPr="00BE4AF3">
        <w:rPr>
          <w:rFonts w:ascii="Times New Roman" w:hAnsi="Times New Roman" w:cs="Times New Roman"/>
          <w:color w:val="000000"/>
          <w:sz w:val="24"/>
          <w:szCs w:val="24"/>
        </w:rPr>
        <w:t>(2021) stated that experienced supply chain managers can mentor and coach junior professionals, sharing their knowledge and expertise.</w:t>
      </w:r>
    </w:p>
    <w:p w14:paraId="3C333ACF" w14:textId="77777777" w:rsidR="004371E3" w:rsidRPr="00BE4AF3" w:rsidRDefault="004371E3" w:rsidP="004371E3">
      <w:pPr>
        <w:spacing w:after="0" w:line="240" w:lineRule="auto"/>
        <w:ind w:left="720" w:hanging="720"/>
        <w:jc w:val="both"/>
        <w:rPr>
          <w:rFonts w:ascii="Times New Roman" w:hAnsi="Times New Roman" w:cs="Times New Roman"/>
          <w:b/>
          <w:color w:val="000000"/>
          <w:sz w:val="24"/>
          <w:szCs w:val="24"/>
        </w:rPr>
      </w:pPr>
    </w:p>
    <w:p w14:paraId="1463EAF9" w14:textId="6C8B38D2" w:rsidR="004371E3" w:rsidRPr="00BE4AF3" w:rsidRDefault="0034248D" w:rsidP="004371E3">
      <w:pPr>
        <w:spacing w:after="0" w:line="240" w:lineRule="auto"/>
        <w:ind w:left="720" w:hanging="720"/>
        <w:jc w:val="both"/>
        <w:rPr>
          <w:rFonts w:ascii="Times New Roman" w:hAnsi="Times New Roman" w:cs="Times New Roman"/>
          <w:b/>
          <w:color w:val="000000"/>
          <w:sz w:val="24"/>
          <w:szCs w:val="24"/>
        </w:rPr>
      </w:pPr>
      <w:r w:rsidRPr="00BE4AF3">
        <w:rPr>
          <w:rFonts w:ascii="Times New Roman" w:hAnsi="Times New Roman" w:cs="Times New Roman"/>
          <w:b/>
          <w:color w:val="000000"/>
          <w:sz w:val="24"/>
          <w:szCs w:val="24"/>
        </w:rPr>
        <w:t>Conclusion</w:t>
      </w:r>
    </w:p>
    <w:p w14:paraId="583A08C7" w14:textId="77777777" w:rsidR="004371E3" w:rsidRDefault="004371E3" w:rsidP="004371E3">
      <w:pPr>
        <w:spacing w:after="0" w:line="240" w:lineRule="auto"/>
        <w:jc w:val="both"/>
        <w:rPr>
          <w:rFonts w:ascii="Times New Roman" w:hAnsi="Times New Roman" w:cs="Times New Roman"/>
          <w:sz w:val="24"/>
          <w:szCs w:val="24"/>
        </w:rPr>
      </w:pPr>
      <w:r w:rsidRPr="00BE4AF3">
        <w:rPr>
          <w:rFonts w:ascii="Times New Roman" w:hAnsi="Times New Roman" w:cs="Times New Roman"/>
          <w:color w:val="000000"/>
          <w:sz w:val="24"/>
          <w:szCs w:val="24"/>
        </w:rPr>
        <w:t xml:space="preserve">Based on the results of this study, it has been established that </w:t>
      </w:r>
      <w:r w:rsidRPr="00BE4AF3">
        <w:rPr>
          <w:rFonts w:ascii="Times New Roman" w:hAnsi="Times New Roman" w:cs="Times New Roman"/>
          <w:sz w:val="24"/>
          <w:szCs w:val="24"/>
        </w:rPr>
        <w:t xml:space="preserve">there is a high level of </w:t>
      </w:r>
      <w:r w:rsidRPr="00BE4AF3">
        <w:rPr>
          <w:rFonts w:ascii="Times New Roman" w:hAnsi="Times New Roman" w:cs="Times New Roman"/>
          <w:color w:val="000000"/>
          <w:sz w:val="24"/>
          <w:szCs w:val="24"/>
        </w:rPr>
        <w:t xml:space="preserve">awareness of supply chain by supply chain managers in construction industry in Abuja, Nigeria; </w:t>
      </w:r>
      <w:r w:rsidRPr="00BE4AF3">
        <w:rPr>
          <w:rFonts w:ascii="Times New Roman" w:hAnsi="Times New Roman" w:cs="Times New Roman"/>
          <w:sz w:val="24"/>
          <w:szCs w:val="24"/>
        </w:rPr>
        <w:t xml:space="preserve">decision making, relationship management, communication, problem solving and project management are the </w:t>
      </w:r>
      <w:r w:rsidRPr="00BE4AF3">
        <w:rPr>
          <w:rFonts w:ascii="Times New Roman" w:hAnsi="Times New Roman" w:cs="Times New Roman"/>
          <w:color w:val="000000"/>
          <w:sz w:val="24"/>
          <w:szCs w:val="24"/>
        </w:rPr>
        <w:t xml:space="preserve">competencies required by supply chain managers to perform their jobs effectively in construction industry in Abuja; </w:t>
      </w:r>
      <w:r w:rsidRPr="00BE4AF3">
        <w:rPr>
          <w:rFonts w:ascii="Times New Roman" w:hAnsi="Times New Roman" w:cs="Times New Roman"/>
          <w:sz w:val="24"/>
          <w:szCs w:val="24"/>
        </w:rPr>
        <w:t xml:space="preserve">undertaking digital transformation, developing adequate knowledge, experience and change management, external support as well as top management support are the </w:t>
      </w:r>
      <w:r w:rsidRPr="00BE4AF3">
        <w:rPr>
          <w:rFonts w:ascii="Times New Roman" w:hAnsi="Times New Roman" w:cs="Times New Roman"/>
          <w:color w:val="000000"/>
          <w:sz w:val="24"/>
          <w:szCs w:val="24"/>
        </w:rPr>
        <w:t>factors influencing competencies of supply chain managers in construction industry in Abuja, Nigeria</w:t>
      </w:r>
      <w:r w:rsidRPr="00BE4AF3">
        <w:rPr>
          <w:rFonts w:ascii="Times New Roman" w:hAnsi="Times New Roman" w:cs="Times New Roman"/>
          <w:sz w:val="24"/>
          <w:szCs w:val="24"/>
        </w:rPr>
        <w:t>; certification and professional development, training and development programs, technology adoption, mentorship and coaching, as well as collaboration and knowledge are p</w:t>
      </w:r>
      <w:r w:rsidRPr="00BE4AF3">
        <w:rPr>
          <w:rFonts w:ascii="Times New Roman" w:hAnsi="Times New Roman" w:cs="Times New Roman"/>
          <w:color w:val="000000"/>
          <w:sz w:val="24"/>
          <w:szCs w:val="24"/>
        </w:rPr>
        <w:t>ossible ways construction industries can influence competencies of supply chain managers in construction industry</w:t>
      </w:r>
      <w:r w:rsidRPr="00BE4AF3">
        <w:rPr>
          <w:rFonts w:ascii="Times New Roman" w:hAnsi="Times New Roman" w:cs="Times New Roman"/>
          <w:sz w:val="24"/>
          <w:szCs w:val="24"/>
        </w:rPr>
        <w:t>.</w:t>
      </w:r>
    </w:p>
    <w:p w14:paraId="03654C53" w14:textId="77777777" w:rsidR="005463FE" w:rsidRPr="00BE4AF3" w:rsidRDefault="005463FE" w:rsidP="004371E3">
      <w:pPr>
        <w:spacing w:after="0" w:line="240" w:lineRule="auto"/>
        <w:jc w:val="both"/>
        <w:rPr>
          <w:rFonts w:ascii="Times New Roman" w:hAnsi="Times New Roman" w:cs="Times New Roman"/>
          <w:color w:val="000000"/>
          <w:sz w:val="24"/>
          <w:szCs w:val="24"/>
        </w:rPr>
      </w:pPr>
    </w:p>
    <w:p w14:paraId="456FAE95" w14:textId="4D04C3B8" w:rsidR="004371E3" w:rsidRPr="00BE4AF3" w:rsidRDefault="0034248D" w:rsidP="004371E3">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Recommendation</w:t>
      </w:r>
    </w:p>
    <w:p w14:paraId="6889605F" w14:textId="77777777" w:rsidR="004371E3" w:rsidRPr="00BE4AF3" w:rsidRDefault="004371E3" w:rsidP="004371E3">
      <w:pPr>
        <w:spacing w:after="0" w:line="240" w:lineRule="auto"/>
        <w:ind w:firstLine="720"/>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Based on the findings of the study, the following recommendations are made; </w:t>
      </w:r>
    </w:p>
    <w:p w14:paraId="7942F8F8" w14:textId="77777777" w:rsidR="004371E3" w:rsidRPr="00BE4AF3" w:rsidRDefault="004371E3" w:rsidP="004371E3">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1.</w:t>
      </w:r>
      <w:r w:rsidRPr="00BE4AF3">
        <w:rPr>
          <w:rFonts w:ascii="Times New Roman" w:hAnsi="Times New Roman" w:cs="Times New Roman"/>
          <w:sz w:val="24"/>
          <w:szCs w:val="24"/>
        </w:rPr>
        <w:tab/>
        <w:t>Construction companies should conduct regular evaluations to identify areas for improvement and provide feedback to supply chain managers.</w:t>
      </w:r>
    </w:p>
    <w:p w14:paraId="195647D8" w14:textId="77777777" w:rsidR="004371E3" w:rsidRPr="00BE4AF3" w:rsidRDefault="004371E3" w:rsidP="004371E3">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2.</w:t>
      </w:r>
      <w:r w:rsidRPr="00BE4AF3">
        <w:rPr>
          <w:rFonts w:ascii="Times New Roman" w:hAnsi="Times New Roman" w:cs="Times New Roman"/>
          <w:sz w:val="24"/>
          <w:szCs w:val="24"/>
        </w:rPr>
        <w:tab/>
        <w:t>Supply chain managers should consider certifications like CSCP, CPIM, or SCOR-P to demonstrate expertise and commitment to supply chain management best practices.</w:t>
      </w:r>
    </w:p>
    <w:p w14:paraId="1E0EE5CA" w14:textId="77777777" w:rsidR="004371E3" w:rsidRPr="00BE4AF3" w:rsidRDefault="004371E3" w:rsidP="004371E3">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3.</w:t>
      </w:r>
      <w:r w:rsidRPr="00BE4AF3">
        <w:rPr>
          <w:rFonts w:ascii="Times New Roman" w:hAnsi="Times New Roman" w:cs="Times New Roman"/>
          <w:sz w:val="24"/>
          <w:szCs w:val="24"/>
        </w:rPr>
        <w:tab/>
        <w:t>Supply chain managers should lead cross-functional teams, motivate team members, and drive continuous improvement.</w:t>
      </w:r>
    </w:p>
    <w:p w14:paraId="3C923253" w14:textId="77777777" w:rsidR="004371E3" w:rsidRPr="00BE4AF3" w:rsidRDefault="004371E3" w:rsidP="004371E3">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4.</w:t>
      </w:r>
      <w:r w:rsidRPr="00BE4AF3">
        <w:rPr>
          <w:rFonts w:ascii="Times New Roman" w:hAnsi="Times New Roman" w:cs="Times New Roman"/>
          <w:sz w:val="24"/>
          <w:szCs w:val="24"/>
        </w:rPr>
        <w:tab/>
        <w:t>Construction companies should conduct regular skills assessments to identify areas for improvement and provide targeted training and development programs.</w:t>
      </w:r>
    </w:p>
    <w:p w14:paraId="4FA17FFB" w14:textId="77777777" w:rsidR="004371E3" w:rsidRPr="00BE4AF3" w:rsidRDefault="004371E3" w:rsidP="004371E3">
      <w:pPr>
        <w:spacing w:after="0" w:line="240" w:lineRule="auto"/>
        <w:jc w:val="both"/>
        <w:rPr>
          <w:rFonts w:ascii="Times New Roman" w:hAnsi="Times New Roman" w:cs="Times New Roman"/>
          <w:sz w:val="24"/>
          <w:szCs w:val="24"/>
        </w:rPr>
      </w:pPr>
    </w:p>
    <w:p w14:paraId="01B79442" w14:textId="77777777" w:rsidR="004371E3" w:rsidRPr="00BE4AF3" w:rsidRDefault="004371E3" w:rsidP="004371E3">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References</w:t>
      </w:r>
    </w:p>
    <w:p w14:paraId="7ABF53CE" w14:textId="3D5EE690" w:rsidR="004371E3" w:rsidRPr="00BE4AF3" w:rsidRDefault="004371E3" w:rsidP="005463FE">
      <w:pPr>
        <w:spacing w:after="0" w:line="240" w:lineRule="auto"/>
        <w:jc w:val="both"/>
        <w:rPr>
          <w:rFonts w:ascii="Times New Roman" w:hAnsi="Times New Roman" w:cs="Times New Roman"/>
          <w:i/>
          <w:sz w:val="24"/>
          <w:szCs w:val="24"/>
        </w:rPr>
      </w:pPr>
      <w:r w:rsidRPr="00BE4AF3">
        <w:rPr>
          <w:rFonts w:ascii="Times New Roman" w:hAnsi="Times New Roman" w:cs="Times New Roman"/>
          <w:sz w:val="24"/>
          <w:szCs w:val="24"/>
        </w:rPr>
        <w:t xml:space="preserve">Chopra, S and Meindi, </w:t>
      </w:r>
      <w:r w:rsidR="0034248D" w:rsidRPr="00BE4AF3">
        <w:rPr>
          <w:rFonts w:ascii="Times New Roman" w:hAnsi="Times New Roman" w:cs="Times New Roman"/>
          <w:sz w:val="24"/>
          <w:szCs w:val="24"/>
        </w:rPr>
        <w:t>P (</w:t>
      </w:r>
      <w:r w:rsidRPr="00BE4AF3">
        <w:rPr>
          <w:rFonts w:ascii="Times New Roman" w:hAnsi="Times New Roman" w:cs="Times New Roman"/>
          <w:sz w:val="24"/>
          <w:szCs w:val="24"/>
        </w:rPr>
        <w:t xml:space="preserve">2019). </w:t>
      </w:r>
      <w:r w:rsidRPr="00BE4AF3">
        <w:rPr>
          <w:rFonts w:ascii="Times New Roman" w:hAnsi="Times New Roman" w:cs="Times New Roman"/>
          <w:i/>
          <w:sz w:val="24"/>
          <w:szCs w:val="24"/>
        </w:rPr>
        <w:t>Supply Chain Management: Strategy. Planning and Operation.</w:t>
      </w:r>
    </w:p>
    <w:p w14:paraId="18FF1002" w14:textId="77777777" w:rsidR="004371E3" w:rsidRPr="00BE4AF3" w:rsidRDefault="004371E3" w:rsidP="005463FE">
      <w:pPr>
        <w:spacing w:after="0" w:line="240" w:lineRule="auto"/>
        <w:jc w:val="both"/>
        <w:rPr>
          <w:rFonts w:ascii="Times New Roman" w:hAnsi="Times New Roman" w:cs="Times New Roman"/>
          <w:sz w:val="24"/>
          <w:szCs w:val="24"/>
        </w:rPr>
      </w:pPr>
      <w:r w:rsidRPr="00BE4AF3">
        <w:rPr>
          <w:rFonts w:ascii="Times New Roman" w:hAnsi="Times New Roman" w:cs="Times New Roman"/>
          <w:i/>
          <w:sz w:val="24"/>
          <w:szCs w:val="24"/>
        </w:rPr>
        <w:tab/>
      </w:r>
      <w:r w:rsidRPr="00BE4AF3">
        <w:rPr>
          <w:rFonts w:ascii="Times New Roman" w:hAnsi="Times New Roman" w:cs="Times New Roman"/>
          <w:sz w:val="24"/>
          <w:szCs w:val="24"/>
        </w:rPr>
        <w:t>Pearson Education.</w:t>
      </w:r>
    </w:p>
    <w:p w14:paraId="3F06085A" w14:textId="7F7FD7DF" w:rsidR="004371E3" w:rsidRPr="00BE4AF3" w:rsidRDefault="004371E3" w:rsidP="005463F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Christopher, M. (2016). Logistics and supply chain management. Pearson Education.</w:t>
      </w:r>
    </w:p>
    <w:p w14:paraId="657B3B16" w14:textId="77777777" w:rsidR="004371E3" w:rsidRPr="00BE4AF3" w:rsidRDefault="004371E3" w:rsidP="005463F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Council of Supply Chain Management Professionals (2020). Supply Chain Management </w:t>
      </w:r>
    </w:p>
    <w:p w14:paraId="0553C479" w14:textId="455F9910" w:rsidR="004371E3" w:rsidRPr="005463FE" w:rsidRDefault="004371E3" w:rsidP="005463FE">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sz w:val="24"/>
          <w:szCs w:val="24"/>
        </w:rPr>
        <w:t>Definitions.</w:t>
      </w:r>
    </w:p>
    <w:p w14:paraId="79A512F2" w14:textId="77777777" w:rsidR="004371E3" w:rsidRPr="00BE4AF3" w:rsidRDefault="004371E3" w:rsidP="005463FE">
      <w:pPr>
        <w:spacing w:after="0" w:line="240" w:lineRule="auto"/>
        <w:jc w:val="both"/>
        <w:rPr>
          <w:rFonts w:ascii="Times New Roman" w:hAnsi="Times New Roman" w:cs="Times New Roman"/>
          <w:i/>
          <w:color w:val="000000"/>
          <w:sz w:val="24"/>
          <w:szCs w:val="24"/>
        </w:rPr>
      </w:pPr>
      <w:r w:rsidRPr="00BE4AF3">
        <w:rPr>
          <w:rFonts w:ascii="Times New Roman" w:hAnsi="Times New Roman" w:cs="Times New Roman"/>
          <w:color w:val="000000"/>
          <w:sz w:val="24"/>
          <w:szCs w:val="24"/>
        </w:rPr>
        <w:t xml:space="preserve">Erasmus, P., &amp; Iyer-Raniga, U. (2021). </w:t>
      </w:r>
      <w:r w:rsidRPr="00BE4AF3">
        <w:rPr>
          <w:rFonts w:ascii="Times New Roman" w:hAnsi="Times New Roman" w:cs="Times New Roman"/>
          <w:i/>
          <w:color w:val="000000"/>
          <w:sz w:val="24"/>
          <w:szCs w:val="24"/>
        </w:rPr>
        <w:t xml:space="preserve">Construction Supply Chains and Their Role in </w:t>
      </w:r>
    </w:p>
    <w:p w14:paraId="1A1F7038" w14:textId="5D454471" w:rsidR="004371E3" w:rsidRPr="00BE4AF3" w:rsidRDefault="004371E3" w:rsidP="005463FE">
      <w:pPr>
        <w:spacing w:after="0" w:line="240" w:lineRule="auto"/>
        <w:ind w:firstLine="720"/>
        <w:jc w:val="both"/>
        <w:rPr>
          <w:rFonts w:ascii="Times New Roman" w:hAnsi="Times New Roman" w:cs="Times New Roman"/>
          <w:color w:val="000000"/>
          <w:sz w:val="24"/>
          <w:szCs w:val="24"/>
        </w:rPr>
      </w:pPr>
      <w:r w:rsidRPr="00BE4AF3">
        <w:rPr>
          <w:rFonts w:ascii="Times New Roman" w:hAnsi="Times New Roman" w:cs="Times New Roman"/>
          <w:i/>
          <w:color w:val="000000"/>
          <w:sz w:val="24"/>
          <w:szCs w:val="24"/>
        </w:rPr>
        <w:t>Sustainability.</w:t>
      </w:r>
      <w:r w:rsidRPr="00BE4AF3">
        <w:rPr>
          <w:rFonts w:ascii="Times New Roman" w:hAnsi="Times New Roman" w:cs="Times New Roman"/>
          <w:color w:val="000000"/>
          <w:sz w:val="24"/>
          <w:szCs w:val="24"/>
        </w:rPr>
        <w:t xml:space="preserve"> Springer International Publishing</w:t>
      </w:r>
    </w:p>
    <w:p w14:paraId="4320CC64" w14:textId="77777777" w:rsidR="004371E3" w:rsidRPr="00BE4AF3" w:rsidRDefault="004371E3" w:rsidP="005463FE">
      <w:pPr>
        <w:spacing w:after="0" w:line="240" w:lineRule="auto"/>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Harouache, A., Abkar, M. M. A., Gamil, Y., &amp; Al-Shameri, A. S. A. (2024). Influence of supply </w:t>
      </w:r>
    </w:p>
    <w:p w14:paraId="15324F13" w14:textId="51D46C22" w:rsidR="004371E3" w:rsidRPr="005463FE" w:rsidRDefault="004371E3" w:rsidP="005463FE">
      <w:pPr>
        <w:spacing w:after="0" w:line="240" w:lineRule="auto"/>
        <w:ind w:left="720"/>
        <w:jc w:val="both"/>
        <w:rPr>
          <w:rFonts w:ascii="Times New Roman" w:hAnsi="Times New Roman" w:cs="Times New Roman"/>
          <w:i/>
          <w:color w:val="000000"/>
          <w:sz w:val="24"/>
          <w:szCs w:val="24"/>
        </w:rPr>
      </w:pPr>
      <w:r w:rsidRPr="00BE4AF3">
        <w:rPr>
          <w:rFonts w:ascii="Times New Roman" w:hAnsi="Times New Roman" w:cs="Times New Roman"/>
          <w:color w:val="000000"/>
          <w:sz w:val="24"/>
          <w:szCs w:val="24"/>
        </w:rPr>
        <w:t xml:space="preserve">chain management on the sustainable construction industry in Algeria. </w:t>
      </w:r>
      <w:r w:rsidRPr="00BE4AF3">
        <w:rPr>
          <w:rFonts w:ascii="Times New Roman" w:hAnsi="Times New Roman" w:cs="Times New Roman"/>
          <w:i/>
          <w:color w:val="000000"/>
          <w:sz w:val="24"/>
          <w:szCs w:val="24"/>
        </w:rPr>
        <w:t>Frontiers in Built Environment, 10. https://doi.org/10.3389/fbuil.2024.1233266</w:t>
      </w:r>
    </w:p>
    <w:p w14:paraId="461040A7" w14:textId="77777777" w:rsidR="004371E3" w:rsidRPr="00BE4AF3" w:rsidRDefault="004371E3" w:rsidP="005463F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Jensen, M. C., &amp; Meckling, W. H. (1976). Theory of the firm: Managerial behavior, agency </w:t>
      </w:r>
    </w:p>
    <w:p w14:paraId="586CF52D" w14:textId="5FB8DBC8" w:rsidR="004371E3" w:rsidRPr="00BE4AF3" w:rsidRDefault="004371E3" w:rsidP="005463FE">
      <w:pPr>
        <w:spacing w:after="0" w:line="240" w:lineRule="auto"/>
        <w:ind w:firstLine="720"/>
        <w:jc w:val="both"/>
        <w:rPr>
          <w:rFonts w:ascii="Times New Roman" w:hAnsi="Times New Roman" w:cs="Times New Roman"/>
          <w:i/>
          <w:sz w:val="24"/>
          <w:szCs w:val="24"/>
        </w:rPr>
      </w:pPr>
      <w:r w:rsidRPr="00BE4AF3">
        <w:rPr>
          <w:rFonts w:ascii="Times New Roman" w:hAnsi="Times New Roman" w:cs="Times New Roman"/>
          <w:sz w:val="24"/>
          <w:szCs w:val="24"/>
        </w:rPr>
        <w:t xml:space="preserve">costs, and ownership structure. </w:t>
      </w:r>
      <w:r w:rsidRPr="00BE4AF3">
        <w:rPr>
          <w:rFonts w:ascii="Times New Roman" w:hAnsi="Times New Roman" w:cs="Times New Roman"/>
          <w:i/>
          <w:sz w:val="24"/>
          <w:szCs w:val="24"/>
        </w:rPr>
        <w:t>Journal of Financial Economics, 3(4), 305-360.</w:t>
      </w:r>
    </w:p>
    <w:p w14:paraId="67069417" w14:textId="77777777" w:rsidR="004371E3" w:rsidRPr="00BE4AF3" w:rsidRDefault="004371E3" w:rsidP="005463F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Mageto, J., &amp; Luke, R. (2020). Supply Chain Managers: Professional Profile and the Role in the </w:t>
      </w:r>
    </w:p>
    <w:p w14:paraId="09372300" w14:textId="083B22F6" w:rsidR="004371E3" w:rsidRPr="00BE4AF3" w:rsidRDefault="004371E3" w:rsidP="005463FE">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sz w:val="24"/>
          <w:szCs w:val="24"/>
        </w:rPr>
        <w:t>Cross-Functional Integration of Supply Chain Management.</w:t>
      </w:r>
    </w:p>
    <w:p w14:paraId="23466BC1" w14:textId="77777777" w:rsidR="004371E3" w:rsidRPr="00BE4AF3" w:rsidRDefault="004371E3" w:rsidP="005463FE">
      <w:pPr>
        <w:spacing w:after="0" w:line="240" w:lineRule="auto"/>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Ogundipe, K. E., Ogunbayo, B. F., &amp; Aigbavboa, C. O. (2024). Issues and Challenges Affecting </w:t>
      </w:r>
    </w:p>
    <w:p w14:paraId="2DDF5D21" w14:textId="48A54B00" w:rsidR="004371E3" w:rsidRPr="005463FE" w:rsidRDefault="004371E3" w:rsidP="005463FE">
      <w:pPr>
        <w:spacing w:after="0" w:line="240" w:lineRule="auto"/>
        <w:ind w:left="720"/>
        <w:jc w:val="both"/>
        <w:rPr>
          <w:rFonts w:ascii="Times New Roman" w:hAnsi="Times New Roman" w:cs="Times New Roman"/>
          <w:i/>
          <w:color w:val="000000"/>
          <w:sz w:val="24"/>
          <w:szCs w:val="24"/>
        </w:rPr>
      </w:pPr>
      <w:r w:rsidRPr="00BE4AF3">
        <w:rPr>
          <w:rFonts w:ascii="Times New Roman" w:hAnsi="Times New Roman" w:cs="Times New Roman"/>
          <w:color w:val="000000"/>
          <w:sz w:val="24"/>
          <w:szCs w:val="24"/>
        </w:rPr>
        <w:lastRenderedPageBreak/>
        <w:t xml:space="preserve">Supply Chain in Project Delivery: Construction Professional Perspectives. </w:t>
      </w:r>
      <w:r w:rsidRPr="00BE4AF3">
        <w:rPr>
          <w:rFonts w:ascii="Times New Roman" w:hAnsi="Times New Roman" w:cs="Times New Roman"/>
          <w:i/>
          <w:color w:val="000000"/>
          <w:sz w:val="24"/>
          <w:szCs w:val="24"/>
        </w:rPr>
        <w:t>Engineering Proceedings, 76(1), 64. https://doi.org/10.3390/engproc202407</w:t>
      </w:r>
    </w:p>
    <w:p w14:paraId="6D047E92" w14:textId="77777777" w:rsidR="004371E3" w:rsidRPr="00BE4AF3" w:rsidRDefault="004371E3" w:rsidP="005463F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Oladapo, A. A. (2016). Construction project management in Nigeria: Challenges and way </w:t>
      </w:r>
    </w:p>
    <w:p w14:paraId="0EC911E1" w14:textId="00975505" w:rsidR="004371E3" w:rsidRPr="005463FE" w:rsidRDefault="004371E3" w:rsidP="005463FE">
      <w:pPr>
        <w:spacing w:after="0" w:line="240" w:lineRule="auto"/>
        <w:ind w:firstLine="720"/>
        <w:jc w:val="both"/>
        <w:rPr>
          <w:rFonts w:ascii="Times New Roman" w:hAnsi="Times New Roman" w:cs="Times New Roman"/>
          <w:i/>
          <w:sz w:val="24"/>
          <w:szCs w:val="24"/>
        </w:rPr>
      </w:pPr>
      <w:r w:rsidRPr="00BE4AF3">
        <w:rPr>
          <w:rFonts w:ascii="Times New Roman" w:hAnsi="Times New Roman" w:cs="Times New Roman"/>
          <w:sz w:val="24"/>
          <w:szCs w:val="24"/>
        </w:rPr>
        <w:t xml:space="preserve">forward. </w:t>
      </w:r>
      <w:r w:rsidRPr="00BE4AF3">
        <w:rPr>
          <w:rFonts w:ascii="Times New Roman" w:hAnsi="Times New Roman" w:cs="Times New Roman"/>
          <w:i/>
          <w:sz w:val="24"/>
          <w:szCs w:val="24"/>
        </w:rPr>
        <w:t>Journal of Construction Engineering and Management, 142(10), 05016014.</w:t>
      </w:r>
    </w:p>
    <w:p w14:paraId="1B1FA914" w14:textId="03F59D11" w:rsidR="004371E3" w:rsidRPr="00BE4AF3" w:rsidRDefault="004371E3" w:rsidP="005463F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Oloke, C. Olayinka (2023). Influence of supply chain management practices on building construction projects in Lagos State.</w:t>
      </w:r>
    </w:p>
    <w:p w14:paraId="28A61E43" w14:textId="77777777" w:rsidR="004371E3" w:rsidRPr="00BE4AF3" w:rsidRDefault="004371E3" w:rsidP="005463F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Papadopoulos, T., Gunasekaran, A., Dubey, R., &amp; Fosso Wamba, S. (2016). Supply chain and </w:t>
      </w:r>
    </w:p>
    <w:p w14:paraId="4674738B" w14:textId="0A47EA56" w:rsidR="004371E3" w:rsidRPr="00BE4AF3" w:rsidRDefault="004371E3" w:rsidP="005463FE">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sz w:val="24"/>
          <w:szCs w:val="24"/>
        </w:rPr>
        <w:t>logistics for the present and future. Production Planning &amp; Control, 27(4), 255-258</w:t>
      </w:r>
    </w:p>
    <w:p w14:paraId="7C8163F3" w14:textId="77777777" w:rsidR="004371E3" w:rsidRPr="00BE4AF3" w:rsidRDefault="004371E3" w:rsidP="005463FE">
      <w:pPr>
        <w:spacing w:after="0" w:line="240" w:lineRule="auto"/>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Schabasser, C. (2021). Supply Chain Manager Skills - The Five Most Important and Why. </w:t>
      </w:r>
    </w:p>
    <w:p w14:paraId="747434E9" w14:textId="39DDBA7C" w:rsidR="004371E3" w:rsidRPr="005463FE" w:rsidRDefault="004371E3" w:rsidP="005463FE">
      <w:pPr>
        <w:spacing w:after="0" w:line="240" w:lineRule="auto"/>
        <w:ind w:firstLine="720"/>
        <w:jc w:val="both"/>
        <w:rPr>
          <w:rFonts w:ascii="Times New Roman" w:hAnsi="Times New Roman" w:cs="Times New Roman"/>
          <w:i/>
          <w:color w:val="000000"/>
          <w:sz w:val="24"/>
          <w:szCs w:val="24"/>
        </w:rPr>
      </w:pPr>
      <w:r w:rsidRPr="00BE4AF3">
        <w:rPr>
          <w:rFonts w:ascii="Times New Roman" w:hAnsi="Times New Roman" w:cs="Times New Roman"/>
          <w:i/>
          <w:color w:val="000000"/>
          <w:sz w:val="24"/>
          <w:szCs w:val="24"/>
        </w:rPr>
        <w:t xml:space="preserve">Eurasian Journal of Higher Education, 2(5) </w:t>
      </w:r>
    </w:p>
    <w:p w14:paraId="291EC6FB" w14:textId="77777777" w:rsidR="004371E3" w:rsidRPr="00BE4AF3" w:rsidRDefault="004371E3" w:rsidP="005463FE">
      <w:pPr>
        <w:spacing w:after="0" w:line="240" w:lineRule="auto"/>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Studer, W. P., &amp; De Brito Mello, L. C. B. (2021). Core Elements Underlying Supply Chain </w:t>
      </w:r>
    </w:p>
    <w:p w14:paraId="33C67B7A" w14:textId="6065BBAD" w:rsidR="004371E3" w:rsidRPr="005463FE" w:rsidRDefault="004371E3" w:rsidP="005463FE">
      <w:pPr>
        <w:spacing w:after="0" w:line="240" w:lineRule="auto"/>
        <w:ind w:left="720"/>
        <w:jc w:val="both"/>
        <w:rPr>
          <w:rFonts w:ascii="Times New Roman" w:hAnsi="Times New Roman" w:cs="Times New Roman"/>
          <w:i/>
          <w:color w:val="000000"/>
          <w:sz w:val="24"/>
          <w:szCs w:val="24"/>
        </w:rPr>
      </w:pPr>
      <w:r w:rsidRPr="00BE4AF3">
        <w:rPr>
          <w:rFonts w:ascii="Times New Roman" w:hAnsi="Times New Roman" w:cs="Times New Roman"/>
          <w:color w:val="000000"/>
          <w:sz w:val="24"/>
          <w:szCs w:val="24"/>
        </w:rPr>
        <w:t xml:space="preserve">Management in the Construction Industry: A Systematic Literature Review. </w:t>
      </w:r>
      <w:r w:rsidRPr="00BE4AF3">
        <w:rPr>
          <w:rFonts w:ascii="Times New Roman" w:hAnsi="Times New Roman" w:cs="Times New Roman"/>
          <w:i/>
          <w:color w:val="000000"/>
          <w:sz w:val="24"/>
          <w:szCs w:val="24"/>
        </w:rPr>
        <w:t xml:space="preserve">Buildings, 11(12), 569. https://doi.org/10.3390/buildings11120569 </w:t>
      </w:r>
    </w:p>
    <w:p w14:paraId="607BBC54" w14:textId="77777777" w:rsidR="004371E3" w:rsidRPr="00BE4AF3" w:rsidRDefault="004371E3" w:rsidP="005463FE">
      <w:pPr>
        <w:spacing w:after="0" w:line="240" w:lineRule="auto"/>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Tunji-Olayeni, P., Mosaku, T. O., Fagbenle, O. I., Omuh, I. O., &amp; Joshua, O. (2016). Factors </w:t>
      </w:r>
    </w:p>
    <w:p w14:paraId="05F4C786" w14:textId="77777777" w:rsidR="004371E3" w:rsidRPr="00BE4AF3" w:rsidRDefault="004371E3" w:rsidP="005463FE">
      <w:pPr>
        <w:spacing w:after="0" w:line="240" w:lineRule="auto"/>
        <w:ind w:left="720"/>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Enhancing the Implementation of Supply Chain Management Practices. </w:t>
      </w:r>
      <w:r w:rsidRPr="00BE4AF3">
        <w:rPr>
          <w:rFonts w:ascii="Times New Roman" w:hAnsi="Times New Roman" w:cs="Times New Roman"/>
          <w:i/>
          <w:sz w:val="24"/>
          <w:szCs w:val="24"/>
        </w:rPr>
        <w:t>Journal of Construction Engineering and Management, 142(10)</w:t>
      </w:r>
    </w:p>
    <w:p w14:paraId="1A970D77" w14:textId="77777777" w:rsidR="004371E3" w:rsidRPr="00BE4AF3" w:rsidRDefault="004371E3" w:rsidP="004371E3">
      <w:pPr>
        <w:spacing w:after="0" w:line="240" w:lineRule="auto"/>
        <w:jc w:val="both"/>
        <w:rPr>
          <w:rFonts w:ascii="Times New Roman" w:hAnsi="Times New Roman" w:cs="Times New Roman"/>
          <w:color w:val="000000"/>
          <w:sz w:val="24"/>
          <w:szCs w:val="24"/>
        </w:rPr>
      </w:pPr>
    </w:p>
    <w:p w14:paraId="2FEC4108" w14:textId="77777777" w:rsidR="004371E3" w:rsidRDefault="004371E3" w:rsidP="00E90BB6">
      <w:pPr>
        <w:spacing w:after="0" w:line="240" w:lineRule="auto"/>
        <w:jc w:val="center"/>
        <w:rPr>
          <w:rFonts w:ascii="Times New Roman" w:hAnsi="Times New Roman" w:cs="Times New Roman"/>
          <w:b/>
          <w:sz w:val="24"/>
          <w:szCs w:val="24"/>
        </w:rPr>
      </w:pPr>
    </w:p>
    <w:p w14:paraId="36ACB694" w14:textId="77777777" w:rsidR="0066719E" w:rsidRDefault="0066719E" w:rsidP="00E90BB6">
      <w:pPr>
        <w:spacing w:after="0" w:line="240" w:lineRule="auto"/>
        <w:jc w:val="center"/>
        <w:rPr>
          <w:rFonts w:ascii="Times New Roman" w:hAnsi="Times New Roman" w:cs="Times New Roman"/>
          <w:b/>
          <w:sz w:val="24"/>
          <w:szCs w:val="24"/>
        </w:rPr>
      </w:pPr>
    </w:p>
    <w:p w14:paraId="5FD2CBAA" w14:textId="77777777" w:rsidR="0066719E" w:rsidRDefault="0066719E" w:rsidP="00E90BB6">
      <w:pPr>
        <w:spacing w:after="0" w:line="240" w:lineRule="auto"/>
        <w:jc w:val="center"/>
        <w:rPr>
          <w:rFonts w:ascii="Times New Roman" w:hAnsi="Times New Roman" w:cs="Times New Roman"/>
          <w:b/>
          <w:sz w:val="24"/>
          <w:szCs w:val="24"/>
        </w:rPr>
      </w:pPr>
    </w:p>
    <w:p w14:paraId="7E2BF66D" w14:textId="77777777" w:rsidR="0066719E" w:rsidRDefault="0066719E" w:rsidP="00E90BB6">
      <w:pPr>
        <w:spacing w:after="0" w:line="240" w:lineRule="auto"/>
        <w:jc w:val="center"/>
        <w:rPr>
          <w:rFonts w:ascii="Times New Roman" w:hAnsi="Times New Roman" w:cs="Times New Roman"/>
          <w:b/>
          <w:sz w:val="24"/>
          <w:szCs w:val="24"/>
        </w:rPr>
      </w:pPr>
    </w:p>
    <w:p w14:paraId="5D43406D" w14:textId="77777777" w:rsidR="0066719E" w:rsidRDefault="0066719E" w:rsidP="00E90BB6">
      <w:pPr>
        <w:spacing w:after="0" w:line="240" w:lineRule="auto"/>
        <w:jc w:val="center"/>
        <w:rPr>
          <w:rFonts w:ascii="Times New Roman" w:hAnsi="Times New Roman" w:cs="Times New Roman"/>
          <w:b/>
          <w:sz w:val="24"/>
          <w:szCs w:val="24"/>
        </w:rPr>
      </w:pPr>
    </w:p>
    <w:p w14:paraId="694BF288" w14:textId="77777777" w:rsidR="0066719E" w:rsidRDefault="0066719E" w:rsidP="00E90BB6">
      <w:pPr>
        <w:spacing w:after="0" w:line="240" w:lineRule="auto"/>
        <w:jc w:val="center"/>
        <w:rPr>
          <w:rFonts w:ascii="Times New Roman" w:hAnsi="Times New Roman" w:cs="Times New Roman"/>
          <w:b/>
          <w:sz w:val="24"/>
          <w:szCs w:val="24"/>
        </w:rPr>
      </w:pPr>
    </w:p>
    <w:p w14:paraId="32DF206B" w14:textId="77777777" w:rsidR="0066719E" w:rsidRDefault="0066719E" w:rsidP="00E90BB6">
      <w:pPr>
        <w:spacing w:after="0" w:line="240" w:lineRule="auto"/>
        <w:jc w:val="center"/>
        <w:rPr>
          <w:rFonts w:ascii="Times New Roman" w:hAnsi="Times New Roman" w:cs="Times New Roman"/>
          <w:b/>
          <w:sz w:val="24"/>
          <w:szCs w:val="24"/>
        </w:rPr>
      </w:pPr>
    </w:p>
    <w:p w14:paraId="4A868BD7" w14:textId="77777777" w:rsidR="0066719E" w:rsidRDefault="0066719E" w:rsidP="00E90BB6">
      <w:pPr>
        <w:spacing w:after="0" w:line="240" w:lineRule="auto"/>
        <w:jc w:val="center"/>
        <w:rPr>
          <w:rFonts w:ascii="Times New Roman" w:hAnsi="Times New Roman" w:cs="Times New Roman"/>
          <w:b/>
          <w:sz w:val="24"/>
          <w:szCs w:val="24"/>
        </w:rPr>
      </w:pPr>
    </w:p>
    <w:p w14:paraId="389D627C" w14:textId="77777777" w:rsidR="0066719E" w:rsidRDefault="0066719E" w:rsidP="00E90BB6">
      <w:pPr>
        <w:spacing w:after="0" w:line="240" w:lineRule="auto"/>
        <w:jc w:val="center"/>
        <w:rPr>
          <w:rFonts w:ascii="Times New Roman" w:hAnsi="Times New Roman" w:cs="Times New Roman"/>
          <w:b/>
          <w:sz w:val="24"/>
          <w:szCs w:val="24"/>
        </w:rPr>
      </w:pPr>
    </w:p>
    <w:p w14:paraId="5F75A531" w14:textId="77777777" w:rsidR="0066719E" w:rsidRDefault="0066719E" w:rsidP="00E90BB6">
      <w:pPr>
        <w:spacing w:after="0" w:line="240" w:lineRule="auto"/>
        <w:jc w:val="center"/>
        <w:rPr>
          <w:rFonts w:ascii="Times New Roman" w:hAnsi="Times New Roman" w:cs="Times New Roman"/>
          <w:b/>
          <w:sz w:val="24"/>
          <w:szCs w:val="24"/>
        </w:rPr>
      </w:pPr>
    </w:p>
    <w:p w14:paraId="5C6922CC" w14:textId="77777777" w:rsidR="0066719E" w:rsidRDefault="0066719E" w:rsidP="00E90BB6">
      <w:pPr>
        <w:spacing w:after="0" w:line="240" w:lineRule="auto"/>
        <w:jc w:val="center"/>
        <w:rPr>
          <w:rFonts w:ascii="Times New Roman" w:hAnsi="Times New Roman" w:cs="Times New Roman"/>
          <w:b/>
          <w:sz w:val="24"/>
          <w:szCs w:val="24"/>
        </w:rPr>
      </w:pPr>
    </w:p>
    <w:p w14:paraId="7889F569" w14:textId="77777777" w:rsidR="0066719E" w:rsidRDefault="0066719E" w:rsidP="00E90BB6">
      <w:pPr>
        <w:spacing w:after="0" w:line="240" w:lineRule="auto"/>
        <w:jc w:val="center"/>
        <w:rPr>
          <w:rFonts w:ascii="Times New Roman" w:hAnsi="Times New Roman" w:cs="Times New Roman"/>
          <w:b/>
          <w:sz w:val="24"/>
          <w:szCs w:val="24"/>
        </w:rPr>
      </w:pPr>
    </w:p>
    <w:p w14:paraId="7E68F652" w14:textId="77777777" w:rsidR="0066719E" w:rsidRDefault="0066719E" w:rsidP="00E90BB6">
      <w:pPr>
        <w:spacing w:after="0" w:line="240" w:lineRule="auto"/>
        <w:jc w:val="center"/>
        <w:rPr>
          <w:rFonts w:ascii="Times New Roman" w:hAnsi="Times New Roman" w:cs="Times New Roman"/>
          <w:b/>
          <w:sz w:val="24"/>
          <w:szCs w:val="24"/>
        </w:rPr>
      </w:pPr>
    </w:p>
    <w:p w14:paraId="7CDDA5FB" w14:textId="77777777" w:rsidR="0066719E" w:rsidRDefault="0066719E" w:rsidP="00E90BB6">
      <w:pPr>
        <w:spacing w:after="0" w:line="240" w:lineRule="auto"/>
        <w:jc w:val="center"/>
        <w:rPr>
          <w:rFonts w:ascii="Times New Roman" w:hAnsi="Times New Roman" w:cs="Times New Roman"/>
          <w:b/>
          <w:sz w:val="24"/>
          <w:szCs w:val="24"/>
        </w:rPr>
      </w:pPr>
    </w:p>
    <w:p w14:paraId="447102A5" w14:textId="77777777" w:rsidR="0066719E" w:rsidRDefault="0066719E" w:rsidP="00E90BB6">
      <w:pPr>
        <w:spacing w:after="0" w:line="240" w:lineRule="auto"/>
        <w:jc w:val="center"/>
        <w:rPr>
          <w:rFonts w:ascii="Times New Roman" w:hAnsi="Times New Roman" w:cs="Times New Roman"/>
          <w:b/>
          <w:sz w:val="24"/>
          <w:szCs w:val="24"/>
        </w:rPr>
      </w:pPr>
    </w:p>
    <w:p w14:paraId="34A6E587" w14:textId="77777777" w:rsidR="0066719E" w:rsidRDefault="0066719E" w:rsidP="00E90BB6">
      <w:pPr>
        <w:spacing w:after="0" w:line="240" w:lineRule="auto"/>
        <w:jc w:val="center"/>
        <w:rPr>
          <w:rFonts w:ascii="Times New Roman" w:hAnsi="Times New Roman" w:cs="Times New Roman"/>
          <w:b/>
          <w:sz w:val="24"/>
          <w:szCs w:val="24"/>
        </w:rPr>
      </w:pPr>
    </w:p>
    <w:p w14:paraId="4734AD0F" w14:textId="77777777" w:rsidR="0066719E" w:rsidRDefault="0066719E" w:rsidP="00E90BB6">
      <w:pPr>
        <w:spacing w:after="0" w:line="240" w:lineRule="auto"/>
        <w:jc w:val="center"/>
        <w:rPr>
          <w:rFonts w:ascii="Times New Roman" w:hAnsi="Times New Roman" w:cs="Times New Roman"/>
          <w:b/>
          <w:sz w:val="24"/>
          <w:szCs w:val="24"/>
        </w:rPr>
      </w:pPr>
    </w:p>
    <w:p w14:paraId="0D7B7CC2" w14:textId="77777777" w:rsidR="0066719E" w:rsidRDefault="0066719E" w:rsidP="00E90BB6">
      <w:pPr>
        <w:spacing w:after="0" w:line="240" w:lineRule="auto"/>
        <w:jc w:val="center"/>
        <w:rPr>
          <w:rFonts w:ascii="Times New Roman" w:hAnsi="Times New Roman" w:cs="Times New Roman"/>
          <w:b/>
          <w:sz w:val="24"/>
          <w:szCs w:val="24"/>
        </w:rPr>
      </w:pPr>
    </w:p>
    <w:p w14:paraId="71C8C78D" w14:textId="77777777" w:rsidR="0066719E" w:rsidRDefault="0066719E" w:rsidP="00E90BB6">
      <w:pPr>
        <w:spacing w:after="0" w:line="240" w:lineRule="auto"/>
        <w:jc w:val="center"/>
        <w:rPr>
          <w:rFonts w:ascii="Times New Roman" w:hAnsi="Times New Roman" w:cs="Times New Roman"/>
          <w:b/>
          <w:sz w:val="24"/>
          <w:szCs w:val="24"/>
        </w:rPr>
      </w:pPr>
    </w:p>
    <w:p w14:paraId="0F57C19C" w14:textId="77777777" w:rsidR="0066719E" w:rsidRDefault="0066719E" w:rsidP="00E90BB6">
      <w:pPr>
        <w:spacing w:after="0" w:line="240" w:lineRule="auto"/>
        <w:jc w:val="center"/>
        <w:rPr>
          <w:rFonts w:ascii="Times New Roman" w:hAnsi="Times New Roman" w:cs="Times New Roman"/>
          <w:b/>
          <w:sz w:val="24"/>
          <w:szCs w:val="24"/>
        </w:rPr>
      </w:pPr>
    </w:p>
    <w:p w14:paraId="284C9C2D" w14:textId="77777777" w:rsidR="0066719E" w:rsidRDefault="0066719E" w:rsidP="00E90BB6">
      <w:pPr>
        <w:spacing w:after="0" w:line="240" w:lineRule="auto"/>
        <w:jc w:val="center"/>
        <w:rPr>
          <w:rFonts w:ascii="Times New Roman" w:hAnsi="Times New Roman" w:cs="Times New Roman"/>
          <w:b/>
          <w:sz w:val="24"/>
          <w:szCs w:val="24"/>
        </w:rPr>
      </w:pPr>
    </w:p>
    <w:p w14:paraId="6C0A112D" w14:textId="77777777" w:rsidR="0066719E" w:rsidRDefault="0066719E" w:rsidP="00E90BB6">
      <w:pPr>
        <w:spacing w:after="0" w:line="240" w:lineRule="auto"/>
        <w:jc w:val="center"/>
        <w:rPr>
          <w:rFonts w:ascii="Times New Roman" w:hAnsi="Times New Roman" w:cs="Times New Roman"/>
          <w:b/>
          <w:sz w:val="24"/>
          <w:szCs w:val="24"/>
        </w:rPr>
      </w:pPr>
    </w:p>
    <w:p w14:paraId="4C7B657F" w14:textId="77777777" w:rsidR="0066719E" w:rsidRDefault="0066719E" w:rsidP="00E90BB6">
      <w:pPr>
        <w:spacing w:after="0" w:line="240" w:lineRule="auto"/>
        <w:jc w:val="center"/>
        <w:rPr>
          <w:rFonts w:ascii="Times New Roman" w:hAnsi="Times New Roman" w:cs="Times New Roman"/>
          <w:b/>
          <w:sz w:val="24"/>
          <w:szCs w:val="24"/>
        </w:rPr>
      </w:pPr>
    </w:p>
    <w:p w14:paraId="31C2FC74" w14:textId="77777777" w:rsidR="0066719E" w:rsidRDefault="0066719E" w:rsidP="00E90BB6">
      <w:pPr>
        <w:spacing w:after="0" w:line="240" w:lineRule="auto"/>
        <w:jc w:val="center"/>
        <w:rPr>
          <w:rFonts w:ascii="Times New Roman" w:hAnsi="Times New Roman" w:cs="Times New Roman"/>
          <w:b/>
          <w:sz w:val="24"/>
          <w:szCs w:val="24"/>
        </w:rPr>
      </w:pPr>
    </w:p>
    <w:p w14:paraId="77D24ADE" w14:textId="77777777" w:rsidR="0066719E" w:rsidRDefault="0066719E" w:rsidP="00E90BB6">
      <w:pPr>
        <w:spacing w:after="0" w:line="240" w:lineRule="auto"/>
        <w:jc w:val="center"/>
        <w:rPr>
          <w:rFonts w:ascii="Times New Roman" w:hAnsi="Times New Roman" w:cs="Times New Roman"/>
          <w:b/>
          <w:sz w:val="24"/>
          <w:szCs w:val="24"/>
        </w:rPr>
      </w:pPr>
    </w:p>
    <w:p w14:paraId="621A7ECD" w14:textId="77777777" w:rsidR="0066719E" w:rsidRDefault="0066719E" w:rsidP="00E90BB6">
      <w:pPr>
        <w:spacing w:after="0" w:line="240" w:lineRule="auto"/>
        <w:jc w:val="center"/>
        <w:rPr>
          <w:rFonts w:ascii="Times New Roman" w:hAnsi="Times New Roman" w:cs="Times New Roman"/>
          <w:b/>
          <w:sz w:val="24"/>
          <w:szCs w:val="24"/>
        </w:rPr>
      </w:pPr>
    </w:p>
    <w:p w14:paraId="0DF2329F" w14:textId="77777777" w:rsidR="0066719E" w:rsidRDefault="0066719E" w:rsidP="00E90BB6">
      <w:pPr>
        <w:spacing w:after="0" w:line="240" w:lineRule="auto"/>
        <w:jc w:val="center"/>
        <w:rPr>
          <w:rFonts w:ascii="Times New Roman" w:hAnsi="Times New Roman" w:cs="Times New Roman"/>
          <w:b/>
          <w:sz w:val="24"/>
          <w:szCs w:val="24"/>
        </w:rPr>
      </w:pPr>
    </w:p>
    <w:p w14:paraId="71BAB6E0" w14:textId="77777777" w:rsidR="0066719E" w:rsidRPr="00BE4AF3" w:rsidRDefault="0066719E" w:rsidP="00E90BB6">
      <w:pPr>
        <w:spacing w:after="0" w:line="240" w:lineRule="auto"/>
        <w:jc w:val="center"/>
        <w:rPr>
          <w:rFonts w:ascii="Times New Roman" w:hAnsi="Times New Roman" w:cs="Times New Roman"/>
          <w:b/>
          <w:sz w:val="24"/>
          <w:szCs w:val="24"/>
        </w:rPr>
      </w:pPr>
    </w:p>
    <w:p w14:paraId="1587AF98" w14:textId="77777777" w:rsidR="00F53A50" w:rsidRPr="0066719E" w:rsidRDefault="00A4549A" w:rsidP="00E90BB6">
      <w:pPr>
        <w:spacing w:after="0" w:line="240" w:lineRule="auto"/>
        <w:jc w:val="center"/>
        <w:rPr>
          <w:rFonts w:ascii="Times New Roman" w:hAnsi="Times New Roman" w:cs="Times New Roman"/>
          <w:b/>
          <w:sz w:val="28"/>
          <w:szCs w:val="28"/>
        </w:rPr>
      </w:pPr>
      <w:r w:rsidRPr="0066719E">
        <w:rPr>
          <w:rFonts w:ascii="Times New Roman" w:hAnsi="Times New Roman" w:cs="Times New Roman"/>
          <w:b/>
          <w:sz w:val="28"/>
          <w:szCs w:val="28"/>
        </w:rPr>
        <w:lastRenderedPageBreak/>
        <w:t>Application of Remote Sensing Data and Hydrological Models to Assess Flood Dynamics under Land Use Change in Tagwai Catchment Area, Minna, Nigeria</w:t>
      </w:r>
    </w:p>
    <w:p w14:paraId="11680BF9" w14:textId="77777777" w:rsidR="00F53A50" w:rsidRPr="00BE4AF3" w:rsidRDefault="00F53A50" w:rsidP="00E90BB6">
      <w:pPr>
        <w:spacing w:after="0" w:line="240" w:lineRule="auto"/>
        <w:jc w:val="both"/>
        <w:rPr>
          <w:rFonts w:ascii="Times New Roman" w:hAnsi="Times New Roman" w:cs="Times New Roman"/>
          <w:sz w:val="24"/>
          <w:szCs w:val="24"/>
        </w:rPr>
      </w:pPr>
    </w:p>
    <w:p w14:paraId="5FA01A4F" w14:textId="77777777" w:rsidR="00F53A50" w:rsidRPr="0066719E" w:rsidRDefault="00F53A50" w:rsidP="00E90BB6">
      <w:pPr>
        <w:spacing w:after="0" w:line="240" w:lineRule="auto"/>
        <w:jc w:val="center"/>
        <w:rPr>
          <w:rFonts w:ascii="Times New Roman" w:hAnsi="Times New Roman" w:cs="Times New Roman"/>
          <w:sz w:val="24"/>
          <w:szCs w:val="24"/>
        </w:rPr>
      </w:pPr>
      <w:r w:rsidRPr="0066719E">
        <w:rPr>
          <w:rFonts w:ascii="Times New Roman" w:hAnsi="Times New Roman" w:cs="Times New Roman"/>
          <w:sz w:val="24"/>
          <w:szCs w:val="24"/>
        </w:rPr>
        <w:t xml:space="preserve">* Musa, E. P. </w:t>
      </w:r>
      <w:r w:rsidRPr="0066719E">
        <w:rPr>
          <w:rFonts w:ascii="Times New Roman" w:hAnsi="Times New Roman" w:cs="Times New Roman"/>
          <w:sz w:val="24"/>
          <w:szCs w:val="24"/>
          <w:vertAlign w:val="superscript"/>
        </w:rPr>
        <w:t>1</w:t>
      </w:r>
      <w:r w:rsidRPr="0066719E">
        <w:rPr>
          <w:rFonts w:ascii="Times New Roman" w:hAnsi="Times New Roman" w:cs="Times New Roman"/>
          <w:sz w:val="24"/>
          <w:szCs w:val="24"/>
        </w:rPr>
        <w:t xml:space="preserve">, Adesina E. A </w:t>
      </w:r>
      <w:r w:rsidRPr="0066719E">
        <w:rPr>
          <w:rFonts w:ascii="Times New Roman" w:hAnsi="Times New Roman" w:cs="Times New Roman"/>
          <w:sz w:val="24"/>
          <w:szCs w:val="24"/>
          <w:vertAlign w:val="superscript"/>
        </w:rPr>
        <w:t>2</w:t>
      </w:r>
      <w:r w:rsidRPr="0066719E">
        <w:rPr>
          <w:rFonts w:ascii="Times New Roman" w:hAnsi="Times New Roman" w:cs="Times New Roman"/>
          <w:sz w:val="24"/>
          <w:szCs w:val="24"/>
        </w:rPr>
        <w:t>,</w:t>
      </w:r>
    </w:p>
    <w:p w14:paraId="1C1E3426" w14:textId="77777777" w:rsidR="00F53A50" w:rsidRPr="0066719E" w:rsidRDefault="00F53A50" w:rsidP="00E90BB6">
      <w:pPr>
        <w:spacing w:after="0" w:line="240" w:lineRule="auto"/>
        <w:jc w:val="both"/>
        <w:rPr>
          <w:rFonts w:ascii="Times New Roman" w:hAnsi="Times New Roman" w:cs="Times New Roman"/>
          <w:sz w:val="20"/>
          <w:szCs w:val="20"/>
        </w:rPr>
      </w:pPr>
    </w:p>
    <w:p w14:paraId="4DC35B6A" w14:textId="77777777" w:rsidR="00F53A50" w:rsidRPr="0066719E" w:rsidRDefault="00F53A50" w:rsidP="00851684">
      <w:pPr>
        <w:spacing w:after="0" w:line="240" w:lineRule="auto"/>
        <w:jc w:val="center"/>
        <w:rPr>
          <w:rFonts w:ascii="Times New Roman" w:hAnsi="Times New Roman" w:cs="Times New Roman"/>
          <w:sz w:val="20"/>
          <w:szCs w:val="20"/>
        </w:rPr>
      </w:pPr>
      <w:r w:rsidRPr="0066719E">
        <w:rPr>
          <w:rFonts w:ascii="Times New Roman" w:hAnsi="Times New Roman" w:cs="Times New Roman"/>
          <w:sz w:val="20"/>
          <w:szCs w:val="20"/>
          <w:vertAlign w:val="superscript"/>
        </w:rPr>
        <w:t>1,2</w:t>
      </w:r>
      <w:r w:rsidRPr="0066719E">
        <w:rPr>
          <w:rFonts w:ascii="Times New Roman" w:hAnsi="Times New Roman" w:cs="Times New Roman"/>
          <w:sz w:val="20"/>
          <w:szCs w:val="20"/>
        </w:rPr>
        <w:t xml:space="preserve"> Department of Surveying and Geoinformatics School of Environmental Technology Federal University of Technology Minna, Nigeria.</w:t>
      </w:r>
    </w:p>
    <w:p w14:paraId="5A96C188" w14:textId="77777777" w:rsidR="00F53A50" w:rsidRPr="0066719E" w:rsidRDefault="00F53A50" w:rsidP="00E90BB6">
      <w:pPr>
        <w:spacing w:after="0" w:line="240" w:lineRule="auto"/>
        <w:jc w:val="both"/>
        <w:rPr>
          <w:rFonts w:ascii="Times New Roman" w:hAnsi="Times New Roman" w:cs="Times New Roman"/>
          <w:sz w:val="20"/>
          <w:szCs w:val="20"/>
        </w:rPr>
      </w:pPr>
    </w:p>
    <w:p w14:paraId="648B57F2" w14:textId="77777777" w:rsidR="00F53A50" w:rsidRPr="0066719E" w:rsidRDefault="00F53A50" w:rsidP="00E90BB6">
      <w:pPr>
        <w:spacing w:after="0" w:line="240" w:lineRule="auto"/>
        <w:jc w:val="center"/>
        <w:rPr>
          <w:rFonts w:ascii="Times New Roman" w:hAnsi="Times New Roman" w:cs="Times New Roman"/>
          <w:sz w:val="20"/>
          <w:szCs w:val="20"/>
        </w:rPr>
      </w:pPr>
      <w:r w:rsidRPr="0066719E">
        <w:rPr>
          <w:rFonts w:ascii="Times New Roman" w:hAnsi="Times New Roman" w:cs="Times New Roman"/>
          <w:sz w:val="20"/>
          <w:szCs w:val="20"/>
        </w:rPr>
        <w:t>Corresponding Author: contactpacesetter@gmail.com Phone Number: +2348164679409</w:t>
      </w:r>
    </w:p>
    <w:p w14:paraId="50B9BB13" w14:textId="77777777" w:rsidR="00A4549A" w:rsidRPr="00BE4AF3" w:rsidRDefault="00A4549A" w:rsidP="00E90BB6">
      <w:pPr>
        <w:spacing w:after="0" w:line="240" w:lineRule="auto"/>
        <w:jc w:val="both"/>
        <w:rPr>
          <w:rFonts w:ascii="Times New Roman" w:hAnsi="Times New Roman" w:cs="Times New Roman"/>
          <w:sz w:val="24"/>
          <w:szCs w:val="24"/>
        </w:rPr>
      </w:pPr>
    </w:p>
    <w:p w14:paraId="004AB1C8" w14:textId="77777777" w:rsidR="00F53A50" w:rsidRPr="00BE4AF3" w:rsidRDefault="00F53A50" w:rsidP="00E90BB6">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LICFES 2025-055 – FP16</w:t>
      </w:r>
    </w:p>
    <w:p w14:paraId="4C92EC05" w14:textId="77777777" w:rsidR="00F53A50" w:rsidRPr="00BE4AF3" w:rsidRDefault="00F53A50" w:rsidP="00E90BB6">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Abstract</w:t>
      </w:r>
    </w:p>
    <w:p w14:paraId="3B7555A8" w14:textId="77777777" w:rsidR="00F53A50" w:rsidRPr="00BE4AF3" w:rsidRDefault="00F53A50" w:rsidP="00E90BB6">
      <w:pPr>
        <w:spacing w:after="0" w:line="240" w:lineRule="auto"/>
        <w:jc w:val="both"/>
        <w:rPr>
          <w:rFonts w:ascii="Times New Roman" w:hAnsi="Times New Roman" w:cs="Times New Roman"/>
          <w:iCs/>
          <w:sz w:val="24"/>
          <w:szCs w:val="24"/>
        </w:rPr>
      </w:pPr>
      <w:r w:rsidRPr="00BE4AF3">
        <w:rPr>
          <w:rFonts w:ascii="Times New Roman" w:hAnsi="Times New Roman" w:cs="Times New Roman"/>
          <w:iCs/>
          <w:sz w:val="24"/>
          <w:szCs w:val="24"/>
        </w:rPr>
        <w:t>Flooding is regarded as one of the most damaging natural hazards in communities today, and its impacts are becoming more severe as land use and land cover (LULC) patterns change. In many expanding communities, urban expansion, deforestation, and agricultural conversion are reshaping how landscapes respond to rainfall, often increasing flood risk. This study assessed the impacts of land use/land cover (LULC) change on flood dynamics in the Tagwai Catchment, Minna, Nigeria, between 2003 and 2023. Multi-temporal Landsat and Sentinel-2 imagery were classified with overall accuracies above 86%, revealing drastic forest loss (12.12 km² to 0.09 km²), cropland expansion (39.47 km² to 67.88 km²), and rapid urban growth (0.03 km² to 3.81 km²). These transitions were integrated into HEC-HMS, calibrated with NSE = 0.78 and R² = 0.82, revealed rising peak discharges: SB1 (62.3–68.7 CFS), SB2 (34.2–38.5 CFS), and SB3 (182.8–198.9 CFS, and HEC-RAS models to simulate rainfall–runoff and floodplain responses under a 10-year return period storm. Results showed rising sub-basin peak discharges (up to 8.8% increase in SB3), higher flood velocities (to 19.5 m/s in 2023), elevated water surface levels (+10 m), and inundation expansion by 25% (≈7.6 km²). Overlay analysis confirmed increasing flood exposure of built-up areas (from 8.2% to 22.9%). Findings highlight that urbanization and deforestation are amplifying flood hazards, underscoring the need for zoning enforcement, green buffers, and retention basins to enhance resilience.</w:t>
      </w:r>
    </w:p>
    <w:p w14:paraId="1F63EE17" w14:textId="77777777" w:rsidR="00F53A50" w:rsidRPr="00BE4AF3" w:rsidRDefault="00F53A50" w:rsidP="00E90BB6">
      <w:pPr>
        <w:spacing w:after="0" w:line="240" w:lineRule="auto"/>
        <w:jc w:val="both"/>
        <w:rPr>
          <w:rFonts w:ascii="Times New Roman" w:hAnsi="Times New Roman" w:cs="Times New Roman"/>
          <w:sz w:val="24"/>
          <w:szCs w:val="24"/>
        </w:rPr>
      </w:pPr>
    </w:p>
    <w:p w14:paraId="57B1BCF3" w14:textId="77777777" w:rsidR="00F53A50" w:rsidRPr="00BE4AF3" w:rsidRDefault="00F53A50" w:rsidP="00851684">
      <w:pPr>
        <w:spacing w:after="0" w:line="240" w:lineRule="auto"/>
        <w:jc w:val="both"/>
        <w:rPr>
          <w:rFonts w:ascii="Times New Roman" w:hAnsi="Times New Roman" w:cs="Times New Roman"/>
          <w:sz w:val="24"/>
          <w:szCs w:val="24"/>
        </w:rPr>
      </w:pPr>
      <w:r w:rsidRPr="00BE4AF3">
        <w:rPr>
          <w:rFonts w:ascii="Times New Roman" w:hAnsi="Times New Roman" w:cs="Times New Roman"/>
          <w:b/>
          <w:bCs/>
          <w:sz w:val="24"/>
          <w:szCs w:val="24"/>
        </w:rPr>
        <w:t>Keywords:</w:t>
      </w:r>
      <w:r w:rsidRPr="00BE4AF3">
        <w:rPr>
          <w:rFonts w:ascii="Times New Roman" w:hAnsi="Times New Roman" w:cs="Times New Roman"/>
          <w:sz w:val="24"/>
          <w:szCs w:val="24"/>
        </w:rPr>
        <w:t xml:space="preserve"> Flood Risk Assessment; Remote Sensing; Hydrological Modeling; Land Use Change; Inundation Dynamics; Tagwai Catchment;</w:t>
      </w:r>
    </w:p>
    <w:p w14:paraId="58AA92E3" w14:textId="77777777" w:rsidR="00F53A50" w:rsidRPr="00BE4AF3" w:rsidRDefault="00F53A50" w:rsidP="00E90BB6">
      <w:pPr>
        <w:spacing w:after="0" w:line="240" w:lineRule="auto"/>
        <w:rPr>
          <w:rFonts w:ascii="Times New Roman" w:hAnsi="Times New Roman" w:cs="Times New Roman"/>
          <w:sz w:val="24"/>
          <w:szCs w:val="24"/>
        </w:rPr>
      </w:pPr>
    </w:p>
    <w:p w14:paraId="6CB52861" w14:textId="2F5859CC" w:rsidR="004371E3" w:rsidRPr="001E3408" w:rsidRDefault="001E3408" w:rsidP="001E3408">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Introduction</w:t>
      </w:r>
    </w:p>
    <w:p w14:paraId="7B8F29EA" w14:textId="360C02CD" w:rsidR="004371E3" w:rsidRPr="00BE4AF3" w:rsidRDefault="004371E3" w:rsidP="001E3408">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Flooding is becoming more common around the world, particularly in Sub-Saharan Africa, as land use patterns shift. Nigeria's Tagwai Catchment exhibits this, with LULC changes from 2003 to 2023 aggravating floods by increasing runoff</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{"citationItems":[{"id":"ITEM-1","itemData":{"DOI":"10.4314/swj.v19i4.16","ISSN":"2756-391X","abstract":"This study examines land use and land cover (LULC) changes and their impacts on flood susceptibility in the Karadua River Basin, Katsina State, Nigeria, between 2017 and 2023. Supervised classification of Landsat imagery was conducted, with spatial integration and extraction by polygon. Weighted and decomposition analyses were applied to deduce the influence of LULC on flood susceptibility in the study area. The results revealed that the classified LULC achieved high classification accuracy (overall accuracy &gt; 84%, Kappa coefficient &gt; 0.81). Additionally, agricultural land was identified as the dominant LULC type, covering over 98% of the area, though it declined slightly (-0.20%). Built-up areas increased significantly (118.06%), indicating rapid growth, while vegetation and water bodies declined by 50.40% and 26.47%, respectively. The decomposed weighted analysis of the Soil Conservation Service Curve Number (SCS-CN) method and LULC highlighted changes in infiltration and runoff across different LULC classes and soil types, with the growth of built-up areas and vegetation loss contributing to increased flood susceptibility. These trends underscore the need for sustainable land-use practices to mitigate environmental degradation and reduce flood risks in the basin.","author":[{"dropping-particle":"","family":"Samaila","given":"Ibrahim","non-dropping-particle":"","parse-names":false,"suffix":""},{"dropping-particle":"","family":"Abubakar","given":"Kabir","non-dropping-particle":"","parse-names":false,"suffix":""},{"dropping-particle":"","family":"Abdulkadir","given":"Umar","non-dropping-particle":"","parse-names":false,"suffix":""},{"dropping-particle":"","family":"Isa","given":"Zaharaddeen","non-dropping-particle":"","parse-names":false,"suffix":""},{"dropping-particle":"","family":"Tadama","given":"Mu’azu Haliru","non-dropping-particle":"","parse-names":false,"suffix":""}],"container-title":"Science World Journal","id":"ITEM-1","issue":"4","issued":{"date-parts":[["2025"]]},"page":"1023-1029","title":"Influence of land use and land cover changes on flood susceptibility in Karadua River Basin, Katsina State, Nigeria","type":"article-journal","volume":"19"},"uris":["http://www.mendeley.com/documents/?uuid=87224278-6e25-4436-a27c-381e9e73d8dd"]}],"mendeley":{"formattedCitation":"(Samaila et al., 2025)","plainTextFormattedCitation":"(Samaila et al., 2025)","previouslyFormattedCitation":"(Samaila et al., 2025)"},"properties":{"noteIndex":0},"schema":"https://github.com/citation-style-language/schema/raw/master/csl-citation.json"}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(Samaila et al., 2025)</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 Despite several LULC research in Niger State, few quantify hydrological impacts through integrated modeling, creating a gap in understanding how two decades of LULC transformation have altered flood dynamics, particularly in light of recent severe floods</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author":[{"dropping-particle":"","family":"Dorcas","given":"Idowu","non-dropping-particle":"","parse-names":false,"suffix":""},{"dropping-particle":"","family":"Wendy","given":"Zhou","non-dropping-particle":"","parse-names":false,"suffix":""}],"container-title":"Water","id":"ITEM-1","issue":"1105","issued":{"date-parts":[["2021"]]},"page":"1-17","title":"Land Use and Land Cover Change Assessment in the Context of","type":"article-journal","volume":"13"},"uris":["http://www.mendeley.com/documents/?uuid=7db4a086-b2b8-431f-b946-3ad556725aab"]}],"mendeley":{"formattedCitation":"(Dorcas &amp; Wendy, 2021)","plainTextFormattedCitation":"(Dorcas &amp; Wendy, 2021)","previouslyFormattedCitation":"(Dorcas &amp; Wendy, 2021)"},"properties":{"noteIndex":0},"schema":"https://github.com/citation-style-language/schema/raw/master/csl-citation.json"}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(Dorcas &amp; Wendy, 2021)</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w:t>
      </w:r>
    </w:p>
    <w:p w14:paraId="3E47F443" w14:textId="77777777" w:rsidR="004371E3" w:rsidRPr="00BE4AF3" w:rsidRDefault="004371E3" w:rsidP="001E3408">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This study employs an integrated remote sensing-hydrological modeling framework (satellite data, HEC-HMS, HEC-RAS, GIS) to analyze land use change impacts on flood dynamics in the Tagwai Catchment (2003-2023). It will analyze LULC changes, simulate hydrological responses, compare flood characteristics, develop hazard maps, and propose mitigation strategies.</w:t>
      </w:r>
    </w:p>
    <w:p w14:paraId="69728AB9" w14:textId="77777777" w:rsidR="004371E3" w:rsidRPr="00BE4AF3" w:rsidRDefault="004371E3" w:rsidP="001E3408">
      <w:pPr>
        <w:spacing w:after="0" w:line="240" w:lineRule="auto"/>
        <w:jc w:val="both"/>
        <w:rPr>
          <w:rFonts w:ascii="Times New Roman" w:hAnsi="Times New Roman" w:cs="Times New Roman"/>
          <w:sz w:val="24"/>
          <w:szCs w:val="24"/>
        </w:rPr>
      </w:pPr>
    </w:p>
    <w:p w14:paraId="54F77F46" w14:textId="05D443B3" w:rsidR="004371E3" w:rsidRPr="00BE4AF3" w:rsidRDefault="004371E3" w:rsidP="001E3408">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lastRenderedPageBreak/>
        <w:t xml:space="preserve">This pioneering multi-temporal assessment fills an urgent local need by addressing flood risks exacerbated by urbanization and deforestation. Methodologically, it advances RS-GIS-hydrological approaches in data-scarce regions, offering a replicable template for flood risk assessment across Nigeria and Sub-Saharan Africa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{"citationItems":[{"id":"ITEM-1","itemData":{"DOI":"10.18535/ijecs/v13i03.4798","abstract":"Climate change exacerbates extreme events like floods, droughts, heatwaves, cyclones, hurricanes, tornadoes, and wildfires, affecting human populations and environments worldwide. Despite varying impacts across regions, no area is immune to climate change consequences. To mitigate these effects, this study employs Geographic Information System (GIS), Remote Sensing, and Fuzzy Logic System to map flood vulnerability zones in Suleja Local Government, Niger State, North Central Nigeria. The research integrates satellite and GIS datasets to prepare Suleja's Flood Zonation Mapping. Rainfall data from Nigeria Meteorological Agency (NiMET), Climate Hazards Group InfraRed Precipitation with Station Data (CHRPS), Global Satellite Mapping of Precipitation (GSMaP), and parameters like Slope, Elevation, Nearness to Water Bodies, Land Use Land Cover, and Drainage Density are utilized to identify flood vulnerability. The flood vulnerability map categorizes the area into five zones: Very Low Risk (40.9%), Low Risk (18.9%), Medium Risk (27.6%), High Risk (7.1%), and Very High Risk (5.5%). Considering the stochastic nature of flood characteristics, this study emphasizes the importance of integrating hydro-climatic and physical catchment parameters, leveraging bias-adjusted satellite data to minimize uncertainty. Effective flood management requires quantifying risk, susceptibility, and hazard components to establish a robust control framework. This research contributes to the development of data-driven flood mitigation strategies in vulnerable regions like Suleja. By harnessing GIS, Remote Sensing, and Fuzzy Logic System, policymakers and stakeholders can make informed decisions to protect communities and infrastructure from flood risks.","author":[{"dropping-particle":"","family":"Atemoagbo","given":"Oyarekhua Precious","non-dropping-particle":"","parse-names":false,"suffix":""},{"dropping-particle":"","family":"Martins","given":"Yusuf Otache","non-dropping-particle":"","parse-names":false,"suffix":""},{"dropping-particle":"","family":"Animashaun","given":"Iyanda Murtala","non-dropping-particle":"","parse-names":false,"suffix":""},{"dropping-particle":"","family":"Chukwu","given":"Samuel Emeke","non-dropping-particle":"","parse-names":false,"suffix":""}],"container-title":"International Journal of Engineering and Computer Science","id":"ITEM-1","issue":"03","issued":{"date-parts":[["2024"]]},"page":"26101-26112","title":"Metropolitan Flood Risk Characterization Using Remote Sensing, GIS, and Fuzzy Logic (RS-GIS-Fl) Approach: Suleja, Nigeria","type":"article-journal","volume":"13"},"uris":["http://www.mendeley.com/documents/?uuid=d8741e31-0855-48a0-b460-41b6d9874c3a"]}],"mendeley":{"formattedCitation":"(Atemoagbo et al., 2024)","plainTextFormattedCitation":"(Atemoagbo et al., 2024)","previouslyFormattedCitation":"(Atemoagbo et al., 2024)"},"properties":{"noteIndex":0},"schema":"https://github.com/citation-style-language/schema/raw/master/csl-citation.json"}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(Atemoagbo et al., 2024)</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w:t>
      </w:r>
    </w:p>
    <w:p w14:paraId="35DA7B65" w14:textId="77777777" w:rsidR="004371E3" w:rsidRPr="00BE4AF3" w:rsidRDefault="004371E3" w:rsidP="001E3408">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Focusing on surface water hydrology and floodplain inundation, the study uses Landsat imagery for LULC classification, DEMs for terrain analysis, and NiMet rainfall data for HEC-HMS simulations. HEC-RAS 2D and GIS will be used for inundation and hazard mapping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{"citationItems":[{"id":"ITEM-1","itemData":{"DOI":"10.3390/quat2030027","ISSN":"2571550X","abstract":"This study focused on the analysis of land-use/land-cover changes and their impact on flood runoff, flood hazards and inundation, focusing in the Pampanga River basin of the Philippines. The land-cover maps for the years 1996 and 2016 were generated using Landsat images, and the land cover changes were analyzed using TerrSet Geospatial Monitoring and Modeling System (TGMMS). Based on an empirical approach and considering variable factors, the land-cover maps for the future were predicted using Land Change Modeler (LCM). After preparation of land-cover maps for past and future years, flood characteristics were analyzed using a distributed hydrological model named the rainfall runoff inundation (RRI) model with a land-cover map for different years. The impacts of land cover changes on flood runoff, flood volume and flood inundation were analyzed for 50-and 100-year floods. The results show that flood runoff, flood inundation volume and flood extent areas may increase in the future due to land-cover change in the basin.","author":[{"dropping-particle":"","family":"Shrestha","given":"Badri Bhakta","non-dropping-particle":"","parse-names":false,"suffix":""}],"container-title":"Quaternary","id":"ITEM-1","issue":"3","issued":{"date-parts":[["2019"]]},"title":"Approach for analysis of land-cover changes and their impact on flooding regime","type":"article-journal","volume":"2"},"uris":["http://www.mendeley.com/documents/?uuid=bc11d816-52d9-4136-9d55-4e81ea777568"]}],"mendeley":{"formattedCitation":"(Shrestha, 2019)","plainTextFormattedCitation":"(Shrestha, 2019)","previouslyFormattedCitation":"(Shrestha, 2019)"},"properties":{"noteIndex":0},"schema":"https://github.com/citation-style-language/schema/raw/master/csl-citation.json"}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(Shrestha, 2019)</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 xml:space="preserve">. To maintain focus, it excludes climate change impacts, socio-economic vulnerability, economic damage, and groundwater-surface water interactions. This delimited scope ensures clear, practical insights into how land use change affects flood risk, providing quantitative flood simulations, hazard maps, and evidence-based strategies for land use planning and flood risk management in the region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{"citationItems":[{"id":"ITEM-1","itemData":{"DOI":"10.1061/9780784480625.022","ISBN":"9780784480625","abstract":"The climate change and land use change have raised the challenges associated with increased runoff and flood management. The risks associated with flooding have been increasing with development in flood plain and changing climate resulting in increase in inundation of flood plain. The current study will help to evaluate the extent of flood plain in the study area-copper slough watershed (CSW) in Champaign, Illinois; utilizing the known precipitation and land use. The study of CSW is taken into account, as this is the largest watershed of Champaign City and had undergone major land use change increasing the flooding issues in the region. The conducted research utilizes the hydrologic engineering center-hydrologic modelling system (HEC-HMS) and Hydrologic Engineering Center-River Analysis System (HEC-RAS) as the modelling tool to develop runoff and floodplain inundation evaluation model for known precipitation. The model also incorporates aeronautical reconnaissance coverage geographic information system (ARCGIS) extensions-HEC-GeoRAS and HEC-GeoHMS for the spatial analysis of the watershed. The hydrologic analysis is performed using HEC-HMS while the hydraulic modeling is done using HEC-RAS. Forcing the model with forecasted precipitation can also help with flood warning system by generating pre-flood inundation maps.","author":[{"dropping-particle":"","family":"Thakur","given":"Balbhadra","non-dropping-particle":"","parse-names":false,"suffix":""},{"dropping-particle":"","family":"Parajuli","given":"Ranjan","non-dropping-particle":"","parse-names":false,"suffix":""},{"dropping-particle":"","family":"Kalra","given":"Ajay","non-dropping-particle":"","parse-names":false,"suffix":""},{"dropping-particle":"","family":"Ahmad","given":"Sajjad","non-dropping-particle":"","parse-names":false,"suffix":""},{"dropping-particle":"","family":"Gupta","given":"Ritu","non-dropping-particle":"","parse-names":false,"suffix":""}],"container-title":"World Environmental and Water Resources Congress 2017: Hydraulics and Waterways and Water Distribution Systems Analysis - Selected Papers from the World Environmental and Water Resources Congress 2017","id":"ITEM-1","issued":{"date-parts":[["2017"]]},"page":"240-251","title":"Coupling HEC-RAS and HEC-HMS in Precipitation Runoff Modelling and Evaluating Flood Plain Inundation Map","type":"article-journal"},"uris":["http://www.mendeley.com/documents/?uuid=854abe86-1632-4992-a10a-bdade2eecee3"]}],"mendeley":{"formattedCitation":"(Thakur et al., 2017)","plainTextFormattedCitation":"(Thakur et al., 2017)","previouslyFormattedCitation":"(Thakur et al., 2017)"},"properties":{"noteIndex":0},"schema":"https://github.com/citation-style-language/schema/raw/master/csl-citation.json"}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(Thakur et al., 2017)</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w:t>
      </w:r>
    </w:p>
    <w:p w14:paraId="19BC98CD" w14:textId="77777777" w:rsidR="004371E3" w:rsidRPr="00BE4AF3" w:rsidRDefault="004371E3" w:rsidP="001E3408">
      <w:pPr>
        <w:spacing w:after="0" w:line="240" w:lineRule="auto"/>
        <w:jc w:val="both"/>
        <w:rPr>
          <w:rFonts w:ascii="Times New Roman" w:hAnsi="Times New Roman" w:cs="Times New Roman"/>
          <w:sz w:val="24"/>
          <w:szCs w:val="24"/>
        </w:rPr>
      </w:pPr>
    </w:p>
    <w:p w14:paraId="474F39FD" w14:textId="56CD2A4B" w:rsidR="004371E3" w:rsidRPr="001E3408" w:rsidRDefault="001E3408" w:rsidP="001E3408">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Methodology</w:t>
      </w:r>
    </w:p>
    <w:p w14:paraId="457082A4" w14:textId="77777777" w:rsidR="004371E3" w:rsidRPr="00BE4AF3" w:rsidRDefault="004371E3" w:rsidP="001E3408">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Tagwai Catchment, spanning 180 km² in Minna, Niger State, North-Central Nigeria (9°36′N to 10°02′N and 6°23′E to 6°45′E), is the primary watershed for the Tagwai Dam, a critical water source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{"citationItems":[{"id":"ITEM-1","itemData":{"author":[{"dropping-particle":"","family":"Abdurrahman","given":"Abdurrahman","non-dropping-particle":"","parse-names":false,"suffix":""}],"id":"ITEM-1","issued":{"date-parts":[["2012"]]},"title":"Geological Investigation of Tagwai Dams using Remote Sensing Technique, Minna Niger State, Nigeria","type":"paper-conference"},"uris":["http://www.mendeley.com/documents/?uuid=39addc89-51a4-43e9-a925-0359e42ef074"]}],"mendeley":{"formattedCitation":"(Abdurrahman, 2012)","plainTextFormattedCitation":"(Abdurrahman, 2012)","previouslyFormattedCitation":"(Abdurrahman, 2012)"},"properties":{"noteIndex":0},"schema":"https://github.com/citation-style-language/schema/raw/master/csl-citation.json"}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(Abdurrahman, 2012)</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w:t>
      </w:r>
    </w:p>
    <w:p w14:paraId="08509E5B" w14:textId="77777777" w:rsidR="004371E3" w:rsidRPr="00BE4AF3" w:rsidRDefault="004371E3" w:rsidP="001E3408">
      <w:pPr>
        <w:spacing w:after="0" w:line="240" w:lineRule="auto"/>
        <w:jc w:val="both"/>
        <w:rPr>
          <w:rFonts w:ascii="Times New Roman" w:hAnsi="Times New Roman" w:cs="Times New Roman"/>
          <w:sz w:val="24"/>
          <w:szCs w:val="24"/>
        </w:rPr>
      </w:pPr>
    </w:p>
    <w:p w14:paraId="17D7B532" w14:textId="17DC71D0" w:rsidR="004371E3" w:rsidRPr="00BE4AF3" w:rsidRDefault="004371E3" w:rsidP="001E3408">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Land Use and Land Cover (LULC)</w:t>
      </w:r>
    </w:p>
    <w:p w14:paraId="494EF21D" w14:textId="77777777" w:rsidR="004371E3" w:rsidRPr="00BE4AF3" w:rsidRDefault="004371E3" w:rsidP="001E3408">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Over the last two decades, the Tagwai Catchment has experienced significant land use and land cover changes due to rapid urban expansion, agricultural intensification, and deforestation. These transformations have reduced natural vegetation, increased impervious surfaces, decreased infiltration, amplified surface runoff, and ultimately exacerbated flood risks.</w:t>
      </w:r>
    </w:p>
    <w:p w14:paraId="74AB3027" w14:textId="77777777" w:rsidR="004371E3" w:rsidRPr="00BE4AF3" w:rsidRDefault="004371E3" w:rsidP="001E3408">
      <w:pPr>
        <w:spacing w:after="0" w:line="240" w:lineRule="auto"/>
        <w:jc w:val="both"/>
        <w:rPr>
          <w:rFonts w:ascii="Times New Roman" w:hAnsi="Times New Roman" w:cs="Times New Roman"/>
          <w:b/>
          <w:bCs/>
          <w:sz w:val="24"/>
          <w:szCs w:val="24"/>
        </w:rPr>
      </w:pPr>
    </w:p>
    <w:p w14:paraId="085DE78A" w14:textId="4BCA3D11" w:rsidR="004371E3" w:rsidRPr="001E3408" w:rsidRDefault="004371E3" w:rsidP="001E3408">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Remote Sensing Data and Preprocessing</w:t>
      </w:r>
    </w:p>
    <w:p w14:paraId="15883EC0" w14:textId="77777777" w:rsidR="004371E3" w:rsidRPr="00BE4AF3" w:rsidRDefault="004371E3" w:rsidP="001E3408">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This study analyzed Tagwai Catchment's LULC dynamics for 2003, 2013, and 2023 using multi-temporal satellite imagery. Landsat 7 (2003) and Landsat 8 (2013) at 30m resolution from USGS, and Sentinel-2A (2023) at 10m from Copernicus, were acquired during the dry season for stable LULC mapping relevant to flood modeling. Preprocessing involved radiometric and geometric corrections, FLAASH atmospheric correction for accurate surface reflectance, and cloud/shadow masking via QA bands. Imagery was then subset and mosaicked to the catchment boundary for consistency.</w:t>
      </w:r>
    </w:p>
    <w:p w14:paraId="26DC0645" w14:textId="77777777" w:rsidR="004371E3" w:rsidRPr="00BE4AF3" w:rsidRDefault="004371E3" w:rsidP="001E3408">
      <w:pPr>
        <w:spacing w:after="0" w:line="240" w:lineRule="auto"/>
        <w:jc w:val="both"/>
        <w:rPr>
          <w:rFonts w:ascii="Times New Roman" w:hAnsi="Times New Roman" w:cs="Times New Roman"/>
          <w:sz w:val="24"/>
          <w:szCs w:val="24"/>
        </w:rPr>
      </w:pPr>
    </w:p>
    <w:p w14:paraId="61E95995" w14:textId="0AA52E08" w:rsidR="004371E3" w:rsidRPr="00BE4AF3" w:rsidRDefault="004371E3" w:rsidP="00154C77">
      <w:pPr>
        <w:spacing w:after="0" w:line="240" w:lineRule="auto"/>
        <w:jc w:val="center"/>
        <w:rPr>
          <w:rFonts w:ascii="Times New Roman" w:hAnsi="Times New Roman" w:cs="Times New Roman"/>
          <w:sz w:val="24"/>
          <w:szCs w:val="24"/>
        </w:rPr>
      </w:pPr>
      <w:r w:rsidRPr="001E3408">
        <w:rPr>
          <w:rFonts w:ascii="Times New Roman" w:hAnsi="Times New Roman" w:cs="Times New Roman"/>
          <w:b/>
          <w:bCs/>
          <w:sz w:val="24"/>
          <w:szCs w:val="24"/>
        </w:rPr>
        <w:t>Table 1</w:t>
      </w:r>
      <w:r w:rsidR="001E3408">
        <w:rPr>
          <w:rFonts w:ascii="Times New Roman" w:hAnsi="Times New Roman" w:cs="Times New Roman"/>
          <w:b/>
          <w:bCs/>
          <w:sz w:val="24"/>
          <w:szCs w:val="24"/>
        </w:rPr>
        <w:t>:</w:t>
      </w:r>
      <w:r w:rsidRPr="00BE4AF3">
        <w:rPr>
          <w:rFonts w:ascii="Times New Roman" w:hAnsi="Times New Roman" w:cs="Times New Roman"/>
          <w:sz w:val="24"/>
          <w:szCs w:val="24"/>
        </w:rPr>
        <w:t xml:space="preserve"> Hydrological and Meteorological Data</w:t>
      </w:r>
    </w:p>
    <w:tbl>
      <w:tblPr>
        <w:tblStyle w:val="TableGrid"/>
        <w:tblW w:w="4724"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1960"/>
        <w:gridCol w:w="1443"/>
        <w:gridCol w:w="1960"/>
        <w:gridCol w:w="1779"/>
      </w:tblGrid>
      <w:tr w:rsidR="00C12A84" w:rsidRPr="001E3408" w14:paraId="648081EF" w14:textId="77777777" w:rsidTr="00154C77">
        <w:trPr>
          <w:trHeight w:val="359"/>
          <w:jc w:val="center"/>
        </w:trPr>
        <w:tc>
          <w:tcPr>
            <w:tcW w:w="961" w:type="pct"/>
            <w:tcBorders>
              <w:top w:val="single" w:sz="4" w:space="0" w:color="auto"/>
              <w:bottom w:val="single" w:sz="4" w:space="0" w:color="auto"/>
            </w:tcBorders>
            <w:vAlign w:val="center"/>
          </w:tcPr>
          <w:p w14:paraId="501EA522"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Sensor Type</w:t>
            </w:r>
          </w:p>
        </w:tc>
        <w:tc>
          <w:tcPr>
            <w:tcW w:w="1108" w:type="pct"/>
            <w:tcBorders>
              <w:top w:val="single" w:sz="4" w:space="0" w:color="auto"/>
              <w:bottom w:val="single" w:sz="4" w:space="0" w:color="auto"/>
            </w:tcBorders>
            <w:vAlign w:val="center"/>
          </w:tcPr>
          <w:p w14:paraId="42B1FACB"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Platform</w:t>
            </w:r>
          </w:p>
        </w:tc>
        <w:tc>
          <w:tcPr>
            <w:tcW w:w="816" w:type="pct"/>
            <w:tcBorders>
              <w:top w:val="single" w:sz="4" w:space="0" w:color="auto"/>
              <w:bottom w:val="single" w:sz="4" w:space="0" w:color="auto"/>
            </w:tcBorders>
            <w:vAlign w:val="center"/>
          </w:tcPr>
          <w:p w14:paraId="40EF17BC"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Acquisition Year</w:t>
            </w:r>
          </w:p>
        </w:tc>
        <w:tc>
          <w:tcPr>
            <w:tcW w:w="1108" w:type="pct"/>
            <w:tcBorders>
              <w:top w:val="single" w:sz="4" w:space="0" w:color="auto"/>
              <w:bottom w:val="single" w:sz="4" w:space="0" w:color="auto"/>
            </w:tcBorders>
            <w:vAlign w:val="center"/>
          </w:tcPr>
          <w:p w14:paraId="2F6E66E8"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Spatial Resolution</w:t>
            </w:r>
          </w:p>
        </w:tc>
        <w:tc>
          <w:tcPr>
            <w:tcW w:w="1006" w:type="pct"/>
            <w:tcBorders>
              <w:top w:val="single" w:sz="4" w:space="0" w:color="auto"/>
              <w:bottom w:val="single" w:sz="4" w:space="0" w:color="auto"/>
            </w:tcBorders>
            <w:vAlign w:val="center"/>
          </w:tcPr>
          <w:p w14:paraId="396EA36E"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Source</w:t>
            </w:r>
          </w:p>
        </w:tc>
      </w:tr>
      <w:tr w:rsidR="00C12A84" w:rsidRPr="001E3408" w14:paraId="3A8781DF" w14:textId="77777777" w:rsidTr="00154C77">
        <w:trPr>
          <w:trHeight w:val="440"/>
          <w:jc w:val="center"/>
        </w:trPr>
        <w:tc>
          <w:tcPr>
            <w:tcW w:w="961" w:type="pct"/>
            <w:tcBorders>
              <w:top w:val="single" w:sz="4" w:space="0" w:color="auto"/>
            </w:tcBorders>
            <w:vAlign w:val="center"/>
          </w:tcPr>
          <w:p w14:paraId="310598E6"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Landsat 7 ETM+</w:t>
            </w:r>
          </w:p>
        </w:tc>
        <w:tc>
          <w:tcPr>
            <w:tcW w:w="1108" w:type="pct"/>
            <w:tcBorders>
              <w:top w:val="single" w:sz="4" w:space="0" w:color="auto"/>
            </w:tcBorders>
            <w:vAlign w:val="center"/>
          </w:tcPr>
          <w:p w14:paraId="3EC778AF"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NASA/USGS</w:t>
            </w:r>
          </w:p>
        </w:tc>
        <w:tc>
          <w:tcPr>
            <w:tcW w:w="816" w:type="pct"/>
            <w:tcBorders>
              <w:top w:val="single" w:sz="4" w:space="0" w:color="auto"/>
            </w:tcBorders>
            <w:vAlign w:val="center"/>
          </w:tcPr>
          <w:p w14:paraId="056DB635"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2003</w:t>
            </w:r>
          </w:p>
        </w:tc>
        <w:tc>
          <w:tcPr>
            <w:tcW w:w="1108" w:type="pct"/>
            <w:tcBorders>
              <w:top w:val="single" w:sz="4" w:space="0" w:color="auto"/>
            </w:tcBorders>
            <w:vAlign w:val="center"/>
          </w:tcPr>
          <w:p w14:paraId="5CF3C08E"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30 m (MS), 15 m (PAN)</w:t>
            </w:r>
          </w:p>
        </w:tc>
        <w:tc>
          <w:tcPr>
            <w:tcW w:w="1006" w:type="pct"/>
            <w:tcBorders>
              <w:top w:val="single" w:sz="4" w:space="0" w:color="auto"/>
            </w:tcBorders>
            <w:vAlign w:val="center"/>
          </w:tcPr>
          <w:p w14:paraId="0E2EF55C"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USGS EarthExplorer</w:t>
            </w:r>
          </w:p>
        </w:tc>
      </w:tr>
      <w:tr w:rsidR="00C12A84" w:rsidRPr="001E3408" w14:paraId="2BBB9C4D" w14:textId="77777777" w:rsidTr="00154C77">
        <w:trPr>
          <w:trHeight w:val="422"/>
          <w:jc w:val="center"/>
        </w:trPr>
        <w:tc>
          <w:tcPr>
            <w:tcW w:w="961" w:type="pct"/>
            <w:vAlign w:val="center"/>
          </w:tcPr>
          <w:p w14:paraId="7B8E0B5E"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Landsat 8 OLI/TIRS</w:t>
            </w:r>
          </w:p>
        </w:tc>
        <w:tc>
          <w:tcPr>
            <w:tcW w:w="1108" w:type="pct"/>
            <w:vAlign w:val="center"/>
          </w:tcPr>
          <w:p w14:paraId="135720AB"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NASA/USGS</w:t>
            </w:r>
          </w:p>
        </w:tc>
        <w:tc>
          <w:tcPr>
            <w:tcW w:w="816" w:type="pct"/>
            <w:vAlign w:val="center"/>
          </w:tcPr>
          <w:p w14:paraId="108CFBFE"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2013</w:t>
            </w:r>
          </w:p>
        </w:tc>
        <w:tc>
          <w:tcPr>
            <w:tcW w:w="1108" w:type="pct"/>
            <w:vAlign w:val="center"/>
          </w:tcPr>
          <w:p w14:paraId="0BABF7C6"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30 m (MS), 15 m (PAN)</w:t>
            </w:r>
          </w:p>
        </w:tc>
        <w:tc>
          <w:tcPr>
            <w:tcW w:w="1006" w:type="pct"/>
            <w:vAlign w:val="center"/>
          </w:tcPr>
          <w:p w14:paraId="5F4D18C1"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USGS EarthExplorer</w:t>
            </w:r>
          </w:p>
        </w:tc>
      </w:tr>
      <w:tr w:rsidR="00C12A84" w:rsidRPr="001E3408" w14:paraId="5F1093A1" w14:textId="77777777" w:rsidTr="00154C77">
        <w:trPr>
          <w:trHeight w:val="332"/>
          <w:jc w:val="center"/>
        </w:trPr>
        <w:tc>
          <w:tcPr>
            <w:tcW w:w="961" w:type="pct"/>
            <w:vAlign w:val="center"/>
          </w:tcPr>
          <w:p w14:paraId="5767F6EF"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Sentinel-2 MSI</w:t>
            </w:r>
          </w:p>
        </w:tc>
        <w:tc>
          <w:tcPr>
            <w:tcW w:w="1108" w:type="pct"/>
            <w:vAlign w:val="center"/>
          </w:tcPr>
          <w:p w14:paraId="4A791B2C"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ESA Copernicus</w:t>
            </w:r>
          </w:p>
        </w:tc>
        <w:tc>
          <w:tcPr>
            <w:tcW w:w="816" w:type="pct"/>
            <w:vAlign w:val="center"/>
          </w:tcPr>
          <w:p w14:paraId="2314337D"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2023</w:t>
            </w:r>
          </w:p>
        </w:tc>
        <w:tc>
          <w:tcPr>
            <w:tcW w:w="1108" w:type="pct"/>
            <w:vAlign w:val="center"/>
          </w:tcPr>
          <w:p w14:paraId="59080758"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10 m (VIS/NIR), 20 m (RE/SWIR)</w:t>
            </w:r>
          </w:p>
        </w:tc>
        <w:tc>
          <w:tcPr>
            <w:tcW w:w="1006" w:type="pct"/>
            <w:vAlign w:val="center"/>
          </w:tcPr>
          <w:p w14:paraId="240E9901"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Copernicus Open Access Hub</w:t>
            </w:r>
          </w:p>
        </w:tc>
      </w:tr>
    </w:tbl>
    <w:p w14:paraId="19FC6048" w14:textId="77777777" w:rsidR="004371E3" w:rsidRPr="00BE4AF3" w:rsidRDefault="004371E3" w:rsidP="004371E3">
      <w:pPr>
        <w:jc w:val="both"/>
        <w:rPr>
          <w:rFonts w:ascii="Times New Roman" w:hAnsi="Times New Roman" w:cs="Times New Roman"/>
          <w:sz w:val="24"/>
          <w:szCs w:val="24"/>
        </w:rPr>
      </w:pPr>
    </w:p>
    <w:p w14:paraId="02066701" w14:textId="77777777" w:rsidR="004371E3" w:rsidRPr="00BE4AF3" w:rsidRDefault="004371E3" w:rsidP="004371E3">
      <w:pPr>
        <w:jc w:val="both"/>
        <w:rPr>
          <w:rFonts w:ascii="Times New Roman" w:hAnsi="Times New Roman" w:cs="Times New Roman"/>
          <w:sz w:val="24"/>
          <w:szCs w:val="24"/>
        </w:rPr>
      </w:pPr>
      <w:r w:rsidRPr="00BE4AF3">
        <w:rPr>
          <w:rFonts w:ascii="Times New Roman" w:hAnsi="Times New Roman" w:cs="Times New Roman"/>
          <w:sz w:val="24"/>
          <w:szCs w:val="24"/>
        </w:rPr>
        <w:t>This workflow for LULC map generation involves defining classification methodology, image preprocessing, and collecting training data. Supervised classification with Maximum Likelihood Classification (MLC) is then used, followed by post-classification refinement for accuracy.</w:t>
      </w:r>
    </w:p>
    <w:p w14:paraId="4AAA315B" w14:textId="71CBB148" w:rsidR="004371E3" w:rsidRPr="00BE4AF3" w:rsidRDefault="00154C77" w:rsidP="00154C77">
      <w:pPr>
        <w:spacing w:line="240" w:lineRule="auto"/>
        <w:jc w:val="center"/>
        <w:rPr>
          <w:rFonts w:ascii="Times New Roman" w:hAnsi="Times New Roman" w:cs="Times New Roman"/>
          <w:sz w:val="24"/>
          <w:szCs w:val="24"/>
        </w:rPr>
      </w:pPr>
      <w:r w:rsidRPr="00154C77">
        <w:rPr>
          <w:rFonts w:ascii="Times New Roman" w:hAnsi="Times New Roman" w:cs="Times New Roman"/>
          <w:b/>
          <w:bCs/>
          <w:sz w:val="24"/>
          <w:szCs w:val="24"/>
        </w:rPr>
        <w:lastRenderedPageBreak/>
        <w:t>Table 2</w:t>
      </w:r>
      <w:r w:rsidRPr="00154C77">
        <w:rPr>
          <w:rFonts w:ascii="Times New Roman" w:hAnsi="Times New Roman" w:cs="Times New Roman"/>
          <w:b/>
          <w:bCs/>
          <w:sz w:val="24"/>
          <w:szCs w:val="24"/>
        </w:rPr>
        <w:t>:</w:t>
      </w:r>
      <w:r w:rsidRPr="00BE4AF3">
        <w:rPr>
          <w:rFonts w:ascii="Times New Roman" w:hAnsi="Times New Roman" w:cs="Times New Roman"/>
          <w:sz w:val="24"/>
          <w:szCs w:val="24"/>
        </w:rPr>
        <w:t xml:space="preserve"> Classified LULC and their Description</w:t>
      </w:r>
    </w:p>
    <w:tbl>
      <w:tblPr>
        <w:tblStyle w:val="TableGrid"/>
        <w:tblpPr w:leftFromText="180" w:rightFromText="180" w:vertAnchor="text" w:horzAnchor="margin" w:tblpXSpec="center" w:tblpY="-85"/>
        <w:tblOverlap w:val="never"/>
        <w:tblW w:w="3702"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4237"/>
      </w:tblGrid>
      <w:tr w:rsidR="004371E3" w:rsidRPr="001E3408" w14:paraId="4C6E8F60" w14:textId="77777777" w:rsidTr="00154C77">
        <w:tc>
          <w:tcPr>
            <w:tcW w:w="1943" w:type="pct"/>
            <w:tcBorders>
              <w:top w:val="single" w:sz="4" w:space="0" w:color="auto"/>
              <w:bottom w:val="single" w:sz="4" w:space="0" w:color="auto"/>
            </w:tcBorders>
            <w:vAlign w:val="center"/>
          </w:tcPr>
          <w:p w14:paraId="7E345F67" w14:textId="77777777" w:rsidR="004371E3" w:rsidRPr="001E3408" w:rsidRDefault="004371E3" w:rsidP="001E3408">
            <w:pPr>
              <w:spacing w:after="0" w:line="240" w:lineRule="auto"/>
              <w:rPr>
                <w:rFonts w:ascii="Times New Roman" w:hAnsi="Times New Roman" w:cs="Times New Roman"/>
                <w:sz w:val="20"/>
                <w:szCs w:val="20"/>
              </w:rPr>
            </w:pPr>
            <w:r w:rsidRPr="001E3408">
              <w:rPr>
                <w:rStyle w:val="Strong"/>
                <w:rFonts w:ascii="Times New Roman" w:eastAsia="SimSun" w:hAnsi="Times New Roman" w:cs="Times New Roman"/>
                <w:b w:val="0"/>
                <w:bCs w:val="0"/>
                <w:sz w:val="20"/>
                <w:szCs w:val="20"/>
                <w:lang w:bidi="ar"/>
              </w:rPr>
              <w:t>Class</w:t>
            </w:r>
          </w:p>
        </w:tc>
        <w:tc>
          <w:tcPr>
            <w:tcW w:w="3057" w:type="pct"/>
            <w:tcBorders>
              <w:top w:val="single" w:sz="4" w:space="0" w:color="auto"/>
              <w:bottom w:val="single" w:sz="4" w:space="0" w:color="auto"/>
            </w:tcBorders>
            <w:vAlign w:val="center"/>
          </w:tcPr>
          <w:p w14:paraId="3A3CE01D" w14:textId="77777777" w:rsidR="004371E3" w:rsidRPr="001E3408" w:rsidRDefault="004371E3" w:rsidP="001E3408">
            <w:pPr>
              <w:spacing w:after="0" w:line="240" w:lineRule="auto"/>
              <w:rPr>
                <w:rFonts w:ascii="Times New Roman" w:hAnsi="Times New Roman" w:cs="Times New Roman"/>
                <w:sz w:val="20"/>
                <w:szCs w:val="20"/>
              </w:rPr>
            </w:pPr>
            <w:r w:rsidRPr="001E3408">
              <w:rPr>
                <w:rStyle w:val="Strong"/>
                <w:rFonts w:ascii="Times New Roman" w:eastAsia="SimSun" w:hAnsi="Times New Roman" w:cs="Times New Roman"/>
                <w:b w:val="0"/>
                <w:bCs w:val="0"/>
                <w:sz w:val="20"/>
                <w:szCs w:val="20"/>
                <w:lang w:bidi="ar"/>
              </w:rPr>
              <w:t>Description</w:t>
            </w:r>
          </w:p>
        </w:tc>
      </w:tr>
      <w:tr w:rsidR="004371E3" w:rsidRPr="001E3408" w14:paraId="57E48F5D" w14:textId="77777777" w:rsidTr="00154C77">
        <w:tc>
          <w:tcPr>
            <w:tcW w:w="1943" w:type="pct"/>
            <w:tcBorders>
              <w:top w:val="single" w:sz="4" w:space="0" w:color="auto"/>
            </w:tcBorders>
            <w:vAlign w:val="center"/>
          </w:tcPr>
          <w:p w14:paraId="487F43B8" w14:textId="77777777" w:rsidR="004371E3" w:rsidRPr="001E3408" w:rsidRDefault="004371E3" w:rsidP="001E3408">
            <w:pPr>
              <w:spacing w:after="0" w:line="240" w:lineRule="auto"/>
              <w:rPr>
                <w:rFonts w:ascii="Times New Roman" w:hAnsi="Times New Roman" w:cs="Times New Roman"/>
                <w:sz w:val="20"/>
                <w:szCs w:val="20"/>
              </w:rPr>
            </w:pPr>
            <w:r w:rsidRPr="001E3408">
              <w:rPr>
                <w:rStyle w:val="Strong"/>
                <w:rFonts w:ascii="Times New Roman" w:eastAsia="SimSun" w:hAnsi="Times New Roman" w:cs="Times New Roman"/>
                <w:b w:val="0"/>
                <w:bCs w:val="0"/>
                <w:sz w:val="20"/>
                <w:szCs w:val="20"/>
                <w:lang w:bidi="ar"/>
              </w:rPr>
              <w:t>Trees</w:t>
            </w:r>
          </w:p>
        </w:tc>
        <w:tc>
          <w:tcPr>
            <w:tcW w:w="3057" w:type="pct"/>
            <w:tcBorders>
              <w:top w:val="single" w:sz="4" w:space="0" w:color="auto"/>
            </w:tcBorders>
            <w:vAlign w:val="center"/>
          </w:tcPr>
          <w:p w14:paraId="5555CE9F"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Natural forests, dense vegetation, and tree-covered areas</w:t>
            </w:r>
          </w:p>
        </w:tc>
      </w:tr>
      <w:tr w:rsidR="004371E3" w:rsidRPr="001E3408" w14:paraId="4A2F4D98" w14:textId="77777777" w:rsidTr="00154C77">
        <w:tc>
          <w:tcPr>
            <w:tcW w:w="1943" w:type="pct"/>
            <w:vAlign w:val="center"/>
          </w:tcPr>
          <w:p w14:paraId="765CC84F" w14:textId="77777777" w:rsidR="004371E3" w:rsidRPr="001E3408" w:rsidRDefault="004371E3" w:rsidP="001E3408">
            <w:pPr>
              <w:spacing w:after="0" w:line="240" w:lineRule="auto"/>
              <w:rPr>
                <w:rFonts w:ascii="Times New Roman" w:hAnsi="Times New Roman" w:cs="Times New Roman"/>
                <w:sz w:val="20"/>
                <w:szCs w:val="20"/>
              </w:rPr>
            </w:pPr>
            <w:r w:rsidRPr="001E3408">
              <w:rPr>
                <w:rStyle w:val="Strong"/>
                <w:rFonts w:ascii="Times New Roman" w:eastAsia="SimSun" w:hAnsi="Times New Roman" w:cs="Times New Roman"/>
                <w:b w:val="0"/>
                <w:bCs w:val="0"/>
                <w:sz w:val="20"/>
                <w:szCs w:val="20"/>
                <w:lang w:bidi="ar"/>
              </w:rPr>
              <w:t>Built-Up Areas</w:t>
            </w:r>
          </w:p>
        </w:tc>
        <w:tc>
          <w:tcPr>
            <w:tcW w:w="3057" w:type="pct"/>
            <w:vAlign w:val="center"/>
          </w:tcPr>
          <w:p w14:paraId="607D839F"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Residential settlements, roads, industrial zones, and commercial infrastructure</w:t>
            </w:r>
          </w:p>
        </w:tc>
      </w:tr>
      <w:tr w:rsidR="004371E3" w:rsidRPr="001E3408" w14:paraId="05657AF2" w14:textId="77777777" w:rsidTr="00154C77">
        <w:tc>
          <w:tcPr>
            <w:tcW w:w="1943" w:type="pct"/>
            <w:vAlign w:val="center"/>
          </w:tcPr>
          <w:p w14:paraId="13C08A1A" w14:textId="77777777" w:rsidR="004371E3" w:rsidRPr="001E3408" w:rsidRDefault="004371E3" w:rsidP="001E3408">
            <w:pPr>
              <w:spacing w:after="0" w:line="240" w:lineRule="auto"/>
              <w:rPr>
                <w:rFonts w:ascii="Times New Roman" w:hAnsi="Times New Roman" w:cs="Times New Roman"/>
                <w:sz w:val="20"/>
                <w:szCs w:val="20"/>
              </w:rPr>
            </w:pPr>
            <w:r w:rsidRPr="001E3408">
              <w:rPr>
                <w:rStyle w:val="Strong"/>
                <w:rFonts w:ascii="Times New Roman" w:eastAsia="SimSun" w:hAnsi="Times New Roman" w:cs="Times New Roman"/>
                <w:b w:val="0"/>
                <w:bCs w:val="0"/>
                <w:sz w:val="20"/>
                <w:szCs w:val="20"/>
                <w:lang w:bidi="ar"/>
              </w:rPr>
              <w:t>Water Bodies</w:t>
            </w:r>
          </w:p>
        </w:tc>
        <w:tc>
          <w:tcPr>
            <w:tcW w:w="3057" w:type="pct"/>
            <w:vAlign w:val="center"/>
          </w:tcPr>
          <w:p w14:paraId="5C7EBEAB"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Rivers, lakes, ponds, and reservoirs, including the Tagwai Dam</w:t>
            </w:r>
          </w:p>
        </w:tc>
      </w:tr>
      <w:tr w:rsidR="004371E3" w:rsidRPr="001E3408" w14:paraId="5FE9EDD1" w14:textId="77777777" w:rsidTr="00154C77">
        <w:tc>
          <w:tcPr>
            <w:tcW w:w="1943" w:type="pct"/>
            <w:vAlign w:val="center"/>
          </w:tcPr>
          <w:p w14:paraId="212A3AB5" w14:textId="77777777" w:rsidR="004371E3" w:rsidRPr="001E3408" w:rsidRDefault="004371E3" w:rsidP="001E3408">
            <w:pPr>
              <w:spacing w:after="0" w:line="240" w:lineRule="auto"/>
              <w:rPr>
                <w:rFonts w:ascii="Times New Roman" w:hAnsi="Times New Roman" w:cs="Times New Roman"/>
                <w:sz w:val="20"/>
                <w:szCs w:val="20"/>
              </w:rPr>
            </w:pPr>
            <w:r w:rsidRPr="001E3408">
              <w:rPr>
                <w:rStyle w:val="Strong"/>
                <w:rFonts w:ascii="Times New Roman" w:eastAsia="SimSun" w:hAnsi="Times New Roman" w:cs="Times New Roman"/>
                <w:b w:val="0"/>
                <w:bCs w:val="0"/>
                <w:sz w:val="20"/>
                <w:szCs w:val="20"/>
                <w:lang w:bidi="ar"/>
              </w:rPr>
              <w:t>Crops</w:t>
            </w:r>
          </w:p>
        </w:tc>
        <w:tc>
          <w:tcPr>
            <w:tcW w:w="3057" w:type="pct"/>
            <w:vAlign w:val="center"/>
          </w:tcPr>
          <w:p w14:paraId="6C1AEC58"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Farmlands, plantations, and cultivated plots (both irrigated and rain-fed)</w:t>
            </w:r>
          </w:p>
        </w:tc>
      </w:tr>
      <w:tr w:rsidR="004371E3" w:rsidRPr="001E3408" w14:paraId="655A86CF" w14:textId="77777777" w:rsidTr="00154C77">
        <w:tc>
          <w:tcPr>
            <w:tcW w:w="1943" w:type="pct"/>
            <w:vAlign w:val="center"/>
          </w:tcPr>
          <w:p w14:paraId="2C5562E3" w14:textId="77777777" w:rsidR="004371E3" w:rsidRPr="001E3408" w:rsidRDefault="004371E3" w:rsidP="001E3408">
            <w:pPr>
              <w:spacing w:after="0" w:line="240" w:lineRule="auto"/>
              <w:rPr>
                <w:rFonts w:ascii="Times New Roman" w:hAnsi="Times New Roman" w:cs="Times New Roman"/>
                <w:sz w:val="20"/>
                <w:szCs w:val="20"/>
              </w:rPr>
            </w:pPr>
            <w:r w:rsidRPr="001E3408">
              <w:rPr>
                <w:rStyle w:val="Strong"/>
                <w:rFonts w:ascii="Times New Roman" w:eastAsia="SimSun" w:hAnsi="Times New Roman" w:cs="Times New Roman"/>
                <w:b w:val="0"/>
                <w:bCs w:val="0"/>
                <w:sz w:val="20"/>
                <w:szCs w:val="20"/>
                <w:lang w:bidi="ar"/>
              </w:rPr>
              <w:t>Bare Surfaces</w:t>
            </w:r>
          </w:p>
        </w:tc>
        <w:tc>
          <w:tcPr>
            <w:tcW w:w="3057" w:type="pct"/>
            <w:vAlign w:val="center"/>
          </w:tcPr>
          <w:p w14:paraId="62BF70E2"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Rock outcrops, exposed soils, dry sands, and unpaved open grounds</w:t>
            </w:r>
          </w:p>
        </w:tc>
      </w:tr>
      <w:tr w:rsidR="004371E3" w:rsidRPr="001E3408" w14:paraId="38999ED9" w14:textId="77777777" w:rsidTr="00154C77">
        <w:tc>
          <w:tcPr>
            <w:tcW w:w="1943" w:type="pct"/>
            <w:vAlign w:val="center"/>
          </w:tcPr>
          <w:p w14:paraId="5CF2A4F0" w14:textId="77777777" w:rsidR="004371E3" w:rsidRPr="001E3408" w:rsidRDefault="004371E3" w:rsidP="001E3408">
            <w:pPr>
              <w:spacing w:after="0" w:line="240" w:lineRule="auto"/>
              <w:rPr>
                <w:rFonts w:ascii="Times New Roman" w:hAnsi="Times New Roman" w:cs="Times New Roman"/>
                <w:sz w:val="20"/>
                <w:szCs w:val="20"/>
              </w:rPr>
            </w:pPr>
            <w:r w:rsidRPr="001E3408">
              <w:rPr>
                <w:rStyle w:val="Strong"/>
                <w:rFonts w:ascii="Times New Roman" w:eastAsia="SimSun" w:hAnsi="Times New Roman" w:cs="Times New Roman"/>
                <w:b w:val="0"/>
                <w:bCs w:val="0"/>
                <w:sz w:val="20"/>
                <w:szCs w:val="20"/>
                <w:lang w:bidi="ar"/>
              </w:rPr>
              <w:t>Flooded Vegetation</w:t>
            </w:r>
          </w:p>
        </w:tc>
        <w:tc>
          <w:tcPr>
            <w:tcW w:w="3057" w:type="pct"/>
            <w:vAlign w:val="center"/>
          </w:tcPr>
          <w:p w14:paraId="63AE810C" w14:textId="77777777" w:rsidR="004371E3" w:rsidRPr="001E3408" w:rsidRDefault="004371E3" w:rsidP="001E3408">
            <w:pPr>
              <w:spacing w:after="0" w:line="240" w:lineRule="auto"/>
              <w:rPr>
                <w:rFonts w:ascii="Times New Roman" w:hAnsi="Times New Roman" w:cs="Times New Roman"/>
                <w:sz w:val="20"/>
                <w:szCs w:val="20"/>
              </w:rPr>
            </w:pPr>
            <w:r w:rsidRPr="001E3408">
              <w:rPr>
                <w:rFonts w:ascii="Times New Roman" w:eastAsia="SimSun" w:hAnsi="Times New Roman" w:cs="Times New Roman"/>
                <w:sz w:val="20"/>
                <w:szCs w:val="20"/>
                <w:lang w:bidi="ar"/>
              </w:rPr>
              <w:t>Seasonally or permanently inundated vegetated zones, often along riverbanks</w:t>
            </w:r>
          </w:p>
        </w:tc>
      </w:tr>
    </w:tbl>
    <w:p w14:paraId="71C4D892" w14:textId="77777777" w:rsidR="004371E3" w:rsidRPr="00BE4AF3" w:rsidRDefault="004371E3" w:rsidP="004371E3">
      <w:pPr>
        <w:jc w:val="both"/>
        <w:rPr>
          <w:rFonts w:ascii="Times New Roman" w:hAnsi="Times New Roman" w:cs="Times New Roman"/>
          <w:sz w:val="24"/>
          <w:szCs w:val="24"/>
        </w:rPr>
      </w:pPr>
    </w:p>
    <w:p w14:paraId="586E79A7" w14:textId="77777777" w:rsidR="00154C77" w:rsidRDefault="00154C77" w:rsidP="004371E3">
      <w:pPr>
        <w:jc w:val="both"/>
        <w:rPr>
          <w:rFonts w:ascii="Times New Roman" w:hAnsi="Times New Roman" w:cs="Times New Roman"/>
          <w:b/>
          <w:bCs/>
          <w:sz w:val="24"/>
          <w:szCs w:val="24"/>
        </w:rPr>
      </w:pPr>
    </w:p>
    <w:p w14:paraId="5DB01CD3" w14:textId="77777777" w:rsidR="00154C77" w:rsidRDefault="00154C77" w:rsidP="004371E3">
      <w:pPr>
        <w:jc w:val="both"/>
        <w:rPr>
          <w:rFonts w:ascii="Times New Roman" w:hAnsi="Times New Roman" w:cs="Times New Roman"/>
          <w:b/>
          <w:bCs/>
          <w:sz w:val="24"/>
          <w:szCs w:val="24"/>
        </w:rPr>
      </w:pPr>
    </w:p>
    <w:p w14:paraId="10AF51E8" w14:textId="77777777" w:rsidR="00154C77" w:rsidRDefault="00154C77" w:rsidP="004371E3">
      <w:pPr>
        <w:jc w:val="both"/>
        <w:rPr>
          <w:rFonts w:ascii="Times New Roman" w:hAnsi="Times New Roman" w:cs="Times New Roman"/>
          <w:b/>
          <w:bCs/>
          <w:sz w:val="24"/>
          <w:szCs w:val="24"/>
        </w:rPr>
      </w:pPr>
    </w:p>
    <w:p w14:paraId="017C9603" w14:textId="77777777" w:rsidR="00154C77" w:rsidRDefault="00154C77" w:rsidP="004371E3">
      <w:pPr>
        <w:jc w:val="both"/>
        <w:rPr>
          <w:rFonts w:ascii="Times New Roman" w:hAnsi="Times New Roman" w:cs="Times New Roman"/>
          <w:b/>
          <w:bCs/>
          <w:sz w:val="24"/>
          <w:szCs w:val="24"/>
        </w:rPr>
      </w:pPr>
    </w:p>
    <w:p w14:paraId="6FFAF8EB" w14:textId="77777777" w:rsidR="00154C77" w:rsidRDefault="00154C77" w:rsidP="004371E3">
      <w:pPr>
        <w:jc w:val="both"/>
        <w:rPr>
          <w:rFonts w:ascii="Times New Roman" w:hAnsi="Times New Roman" w:cs="Times New Roman"/>
          <w:b/>
          <w:bCs/>
          <w:sz w:val="24"/>
          <w:szCs w:val="24"/>
        </w:rPr>
      </w:pPr>
    </w:p>
    <w:p w14:paraId="6F2E1F4F" w14:textId="5E7CB2F7" w:rsidR="004371E3" w:rsidRPr="00154C77" w:rsidRDefault="004371E3" w:rsidP="00154C77">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Accuracy Assessment, Model Calibration, and Scenario-Based Simulation</w:t>
      </w:r>
    </w:p>
    <w:p w14:paraId="57740359" w14:textId="77777777" w:rsidR="004371E3" w:rsidRPr="00BE4AF3" w:rsidRDefault="004371E3" w:rsidP="00154C77">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LULC classification reliability was assessed using accuracy assessments with ground-truth data (2023 field survey) and Google Earth imagery (2003, 2013). Confusion matrices showed overall accuracies of 86.2% (2003), 87.6% (2013), and 88.3% (2023), with substantial kappa agreement. These validated maps were integrated into the HEC-HMS hydrological model.</w:t>
      </w:r>
    </w:p>
    <w:p w14:paraId="18B14BAB" w14:textId="77777777" w:rsidR="004371E3" w:rsidRPr="00BE4AF3" w:rsidRDefault="004371E3" w:rsidP="00154C77">
      <w:pPr>
        <w:spacing w:after="0" w:line="240" w:lineRule="auto"/>
        <w:jc w:val="both"/>
        <w:rPr>
          <w:rFonts w:ascii="Times New Roman" w:hAnsi="Times New Roman" w:cs="Times New Roman"/>
          <w:sz w:val="24"/>
          <w:szCs w:val="24"/>
        </w:rPr>
      </w:pPr>
    </w:p>
    <w:p w14:paraId="64B0ACE5" w14:textId="70EAA876" w:rsidR="004371E3" w:rsidRPr="00BE4AF3" w:rsidRDefault="004371E3" w:rsidP="00154C77">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Model Calibration and Validation</w:t>
      </w:r>
    </w:p>
    <w:p w14:paraId="68E5BBDC" w14:textId="77777777" w:rsidR="004371E3" w:rsidRPr="00BE4AF3" w:rsidRDefault="004371E3" w:rsidP="00154C77">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Model calibration, involving iterative adjustment of Curve Numbers (CN), initial abstraction, lag time, and baseflow guided by sensitivity analysis, ensured convergence between simulated and observed hydrographs. Validation, conducted with independent datasets, confirmed model robustness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{"citationItems":[{"id":"ITEM-1","itemData":{"author":[{"dropping-particle":"","family":"White","given":"Kati L","non-dropping-particle":"","parse-names":false,"suffix":""},{"dropping-particle":"","family":"Chaubey","given":"Indrajeet","non-dropping-particle":"","parse-names":false,"suffix":""}],"id":"ITEM-1","issued":{"date-parts":[["2006"]]},"page":"1077-1089","title":"White, 2005 - Sensitivity analysis, calibration, and validations a multisite and mutivariable SWAT model","type":"article-journal","volume":"72701"},"uris":["http://www.mendeley.com/documents/?uuid=1888bdc5-9a04-4ca4-bd86-5ac1e8d14dc9"]}],"mendeley":{"formattedCitation":"(White &amp; Chaubey, 2006)","plainTextFormattedCitation":"(White &amp; Chaubey, 2006)","previouslyFormattedCitation":"(White &amp; Chaubey, 2006)"},"properties":{"noteIndex":0},"schema":"https://github.com/citation-style-language/schema/raw/master/csl-citation.json"}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(White &amp; Chaubey, 2006)</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 Performance was evaluated using Nash–Sutcliffe Efficiency (NSE), R², and RMSE.</w:t>
      </w:r>
    </w:p>
    <w:p w14:paraId="5064CBA0" w14:textId="77777777" w:rsidR="004371E3" w:rsidRPr="00BE4AF3" w:rsidRDefault="004371E3" w:rsidP="00154C77">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Calibration results were strong (NSE = 0.78, R² = 0.82, RMSE = 3.47 m³/s), and validation results were also good (NSE = 0.75, R² = 0.80, RMSE = 3.92 m³/s), meeting recommended thresholds for reliable hydrological modeling.</w:t>
      </w:r>
    </w:p>
    <w:p w14:paraId="45E497C2" w14:textId="77777777" w:rsidR="004371E3" w:rsidRPr="00BE4AF3" w:rsidRDefault="004371E3" w:rsidP="00154C77">
      <w:pPr>
        <w:spacing w:after="0" w:line="240" w:lineRule="auto"/>
        <w:jc w:val="both"/>
        <w:rPr>
          <w:rFonts w:ascii="Times New Roman" w:hAnsi="Times New Roman" w:cs="Times New Roman"/>
          <w:sz w:val="24"/>
          <w:szCs w:val="24"/>
        </w:rPr>
      </w:pPr>
    </w:p>
    <w:p w14:paraId="6D9ED71F" w14:textId="754DA4EF" w:rsidR="004371E3" w:rsidRPr="00BE4AF3" w:rsidRDefault="004371E3" w:rsidP="00154C77">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Scenario-Based Simulation</w:t>
      </w:r>
    </w:p>
    <w:p w14:paraId="01AFC4D0" w14:textId="77777777" w:rsidR="004371E3" w:rsidRPr="00BE4AF3" w:rsidRDefault="004371E3" w:rsidP="00154C77">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To assess LULC change on flood dynamics, hydrological simulations were conducted for 2003, 2013, and 2023, incorporating land use-specific parameters. A uniform 150 mm/24 hr rainfall event (August 2021 Minna flood, 10-year return period) was selected for comparability. Simulations showed increased peak discharges, runoff volumes, and flood severity in 2013 and 2023 due to urban expansion and vegetation loss. The consistency of simulated hydrographs with observed flood records supports the integrated RS–GIS–HEC-HMS framework's reliability for flood modeling in the Tagwai Catchment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{"citationItems":[{"id":"ITEM-1","itemData":{"DOI":"10.2166/nh.2016.133","ISSN":"22247955","abstract":"This study uses an integrated approach, bringing together geographic information system (GIS), remote sensing, and rainfall-runoff modeling, to assess the urbanization impact on flash floods in arid areas. Runoff modeling was carried out as a function of the catchment characteristics and the maximum daily rainfall parameters. Land-use types were extracted from the supervised classification of SPOT-5 (2010) and Landsat-8 (2015) satellite images and were validated during field checks. Catchment morphometric characteristics were carried out using the correlated Topaz and Arc-Hydro tools. Maximum floods of the catchment were evaluated by coupling GIS and remote sensing with Hydrologic Engineering Center-Hydrologic Modeling System (HEC-HMS) hydrologic modeling. Peak discharges were estimated, and the abstraction losses were computed for different return periods. The model results were calibrated according to actual runoff event. The research shows that rapid urbanization adversely affects hydrological processes, since the sprawl on the alluvial channels is significant. This reduces infiltration into the underlying alluvium and increases runoff, leading to higher flood peaks and volumes even for short duration low intensity rainfall. To retain a considerable amount of water and sediments in these arid areas, construction of small dams at the fingertip channels at the outlet of the lower order sub-basins is recommended.","author":[{"dropping-particle":"","family":"Alfy","given":"Mohamed","non-dropping-particle":"El","parse-names":false,"suffix":""}],"container-title":"Hydrology Research","id":"ITEM-1","issue":"6","issued":{"date-parts":[["2016"]]},"page":"1142-1160","title":"Assessing the impact of arid area urbanization on flash floods using GIS, remote sensing, and HEC-HMS rainfall-runoff modeling","type":"article-journal","volume":"47"},"uris":["http://www.mendeley.com/documents/?uuid=17e2add6-f029-4740-ba0f-c0b0e9c6cec1"]}],"mendeley":{"formattedCitation":"(El Alfy, 2016)","plainTextFormattedCitation":"(El Alfy, 2016)","previouslyFormattedCitation":"(El Alfy, 2016)"},"properties":{"noteIndex":0},"schema":"https://github.com/citation-style-language/schema/raw/master/csl-citation.json"}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(El Alfy, 2016)</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w:t>
      </w:r>
    </w:p>
    <w:p w14:paraId="4F1E1F7A" w14:textId="77777777" w:rsidR="004371E3" w:rsidRPr="00BE4AF3" w:rsidRDefault="004371E3" w:rsidP="00154C77">
      <w:pPr>
        <w:spacing w:after="0" w:line="240" w:lineRule="auto"/>
        <w:jc w:val="both"/>
        <w:rPr>
          <w:rFonts w:ascii="Times New Roman" w:hAnsi="Times New Roman" w:cs="Times New Roman"/>
          <w:b/>
          <w:bCs/>
          <w:sz w:val="24"/>
          <w:szCs w:val="24"/>
        </w:rPr>
      </w:pPr>
    </w:p>
    <w:p w14:paraId="51AA62D7" w14:textId="3EBD5E95" w:rsidR="004371E3" w:rsidRPr="00BE4AF3" w:rsidRDefault="004371E3" w:rsidP="00154C77">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Hydrological Modeling Approach</w:t>
      </w:r>
    </w:p>
    <w:p w14:paraId="30CFE4C1" w14:textId="01E25A6A" w:rsidR="004371E3" w:rsidRPr="00BE4AF3" w:rsidRDefault="004371E3" w:rsidP="00154C77">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This study used HEC-HMS and HEC-RAS 2D to evaluate Tagwai Catchment's hydrologic responses to LULC changes in 2003, 2013, and 2023. The catchment was delineated into three sub-basins (SB1, SB2, SB3) using 30m SRTM DEM, and physical parameters were extracted. Runoff losses were estimated using the SCS-CN method, deriving Curve Numbers from LULC maps and hydrologic soil groups for each epoch, despite assumptions of uniform rainfall and abstraction. Excess precipitation was transformed into direct runoff hydrographs using the SCS </w:t>
      </w:r>
      <w:r w:rsidRPr="00BE4AF3">
        <w:rPr>
          <w:rFonts w:ascii="Times New Roman" w:hAnsi="Times New Roman" w:cs="Times New Roman"/>
          <w:sz w:val="24"/>
          <w:szCs w:val="24"/>
        </w:rPr>
        <w:lastRenderedPageBreak/>
        <w:t>Unit Hydrograph method. Channel routing in the main reach (R1) was modeled using the Lag method due to limited data, acknowledging potential impacts on flood wave propagation accuracy.</w:t>
      </w:r>
    </w:p>
    <w:p w14:paraId="3287838D" w14:textId="77777777" w:rsidR="004371E3" w:rsidRPr="00BE4AF3" w:rsidRDefault="004371E3" w:rsidP="00154C77">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To focus on surface runoff, baseflow was excluded from simulations, simplifying the framework but limiting total runoff and long-term flood representation. NiMet provided meteorological inputs, and uniform control specifications ensured comparability across epochs. Results showed consistent Curve Number increases (2003-2023) across sub-basins, reflecting reduced infiltration and increased runoff due to LULC changes like urban expansion and vegetation loss. The hydrological modeling framework, integrated with HEC-RAS 2D, robustly quantified land cover change impacts on runoff and peak discharges, and assessed floodplain dynamics and spatial flood risk in the watershed </w:t>
      </w:r>
      <w:r w:rsidRPr="00BE4AF3">
        <w:rPr>
          <w:rFonts w:ascii="Times New Roman" w:hAnsi="Times New Roman" w:cs="Times New Roman"/>
          <w:sz w:val="24"/>
          <w:szCs w:val="24"/>
        </w:rPr>
        <w:fldChar w:fldCharType="begin" w:fldLock="1"/>
      </w:r>
      <w:r w:rsidRPr="00BE4AF3">
        <w:rPr>
          <w:rFonts w:ascii="Times New Roman" w:hAnsi="Times New Roman" w:cs="Times New Roman"/>
          <w:sz w:val="24"/>
          <w:szCs w:val="24"/>
        </w:rPr>
        <w:instrText>ADDIN CSL_CITATION {"citationItems":[{"id":"ITEM-1","itemData":{"DOI":"10.12911/22998993/167789","ISSN":"22998993","abstract":"This study aimed to develop a hydrologic model for the central region (central catchments) located between Dokan and Al-Dibis dams in the Lesser Zab River (LZR) watershed, in Iraq. The hydrologic structure of the study area was prepared based on the DEM layer with 12.5 m spatial resolution by using the GIS environment, and then the HEC-HMS software was used for simulating the main hydrological processes like the infiltration losses, transformation, channel routing, and the baseflow contribution by using the SCS-CN, SCS-UH, Muskingum, and the Recession methods respectively. The corrections of the CN parameter due to the effects of the slope and initial abstraction were used and the resulting CN values for the entire LZR watershed were ranging from 56 to 100. This study concluded the effectivity of using the GIS environment and HEC-HMS software in the continuous rainfall-runoff modelling and achieved very good performance with R2 and NSE criteria of 0.9115 and 0.9 under the calibration phase, while 0.925 and 0.91 values were achieved for the same criteria under the validation phase respectively, also the CN was the most sensitive parameter in the proposed hydrologic model.","author":[{"dropping-particle":"","family":"Salman","given":"Qasim Mohammed Khudair","non-dropping-particle":"","parse-names":false,"suffix":""},{"dropping-particle":"","family":"Hamdan","given":"Ahmed Naseh Ahmed","non-dropping-particle":"","parse-names":false,"suffix":""}],"container-title":"Journal of Ecological Engineering","id":"ITEM-1","issue":"9","issued":{"date-parts":[["2023"]]},"page":"232-245","title":"Runoff Estimation for the Central Region of the Lesser Zab River Watershed Using the SCS-Curve Number Method and GIS","type":"article-journal","volume":"24"},"uris":["http://www.mendeley.com/documents/?uuid=de9cbbac-23a6-4012-8cef-f14bce1323c2"]}],"mendeley":{"formattedCitation":"(Salman &amp; Hamdan, 2023)","plainTextFormattedCitation":"(Salman &amp; Hamdan, 2023)","previouslyFormattedCitation":"(Salman &amp; Hamdan, 2023)"},"properties":{"noteIndex":0},"schema":"https://github.com/citation-style-language/schema/raw/master/csl-citation.json"}</w:instrText>
      </w:r>
      <w:r w:rsidRPr="00BE4AF3">
        <w:rPr>
          <w:rFonts w:ascii="Times New Roman" w:hAnsi="Times New Roman" w:cs="Times New Roman"/>
          <w:sz w:val="24"/>
          <w:szCs w:val="24"/>
        </w:rPr>
        <w:fldChar w:fldCharType="separate"/>
      </w:r>
      <w:r w:rsidRPr="00BE4AF3">
        <w:rPr>
          <w:rFonts w:ascii="Times New Roman" w:hAnsi="Times New Roman" w:cs="Times New Roman"/>
          <w:noProof/>
          <w:sz w:val="24"/>
          <w:szCs w:val="24"/>
        </w:rPr>
        <w:t>(Salman &amp; Hamdan, 2023)</w:t>
      </w:r>
      <w:r w:rsidRPr="00BE4AF3">
        <w:rPr>
          <w:rFonts w:ascii="Times New Roman" w:hAnsi="Times New Roman" w:cs="Times New Roman"/>
          <w:sz w:val="24"/>
          <w:szCs w:val="24"/>
        </w:rPr>
        <w:fldChar w:fldCharType="end"/>
      </w:r>
      <w:r w:rsidRPr="00BE4AF3">
        <w:rPr>
          <w:rFonts w:ascii="Times New Roman" w:hAnsi="Times New Roman" w:cs="Times New Roman"/>
          <w:sz w:val="24"/>
          <w:szCs w:val="24"/>
        </w:rPr>
        <w:t>.</w:t>
      </w:r>
    </w:p>
    <w:p w14:paraId="13CE7DFC" w14:textId="77777777" w:rsidR="004371E3" w:rsidRPr="00BE4AF3" w:rsidRDefault="004371E3" w:rsidP="00154C77">
      <w:pPr>
        <w:spacing w:after="0" w:line="240" w:lineRule="auto"/>
        <w:jc w:val="both"/>
        <w:rPr>
          <w:rFonts w:ascii="Times New Roman" w:hAnsi="Times New Roman" w:cs="Times New Roman"/>
          <w:b/>
          <w:bCs/>
          <w:sz w:val="24"/>
          <w:szCs w:val="24"/>
        </w:rPr>
      </w:pPr>
    </w:p>
    <w:p w14:paraId="73C3E424" w14:textId="63B357A4" w:rsidR="004371E3" w:rsidRPr="00BE4AF3" w:rsidRDefault="004371E3" w:rsidP="00154C77">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HEC-RAS 2D Flooding Modeling</w:t>
      </w:r>
    </w:p>
    <w:p w14:paraId="4A9E9FA5" w14:textId="223DA7E3" w:rsidR="004371E3" w:rsidRPr="00154C77" w:rsidRDefault="004371E3" w:rsidP="00154C77">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General HEC-RAS 2D Setup</w:t>
      </w:r>
    </w:p>
    <w:p w14:paraId="425F66BE" w14:textId="77777777" w:rsidR="004371E3" w:rsidRPr="00BE4AF3" w:rsidRDefault="004371E3" w:rsidP="00154C77">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Flood simulations for 2003, 2013, and 2023 were conducted using HEC-RAS 2D with a standardized workflow. Dataset preparation involved a high-resolution DEM, classified LULC maps, and HEC-HMS inflow hydrographs. Manning's roughness coefficients were assigned based on LULC. The computational domain was a 2D Flow Area, discretized into finite-volume meshes, with unsteady flow simulations executed at short time steps. Downstream boundaries were set to normal depth. Mesh resolution varied, with 2003 using a coarser grid (~200m spacing) and 2013/2023 using finer resolutions (~70m spacing), which may influence spatial detail and hydraulic accuracy. Harmonized resolutions or sensitivity testing are recommended to mitigate potential bias in comparative findings.  </w:t>
      </w:r>
    </w:p>
    <w:p w14:paraId="3D8F729E" w14:textId="77777777" w:rsidR="004371E3" w:rsidRPr="00BE4AF3" w:rsidRDefault="004371E3" w:rsidP="00154C77">
      <w:pPr>
        <w:spacing w:after="0" w:line="240" w:lineRule="auto"/>
        <w:jc w:val="both"/>
        <w:rPr>
          <w:rFonts w:ascii="Times New Roman" w:hAnsi="Times New Roman" w:cs="Times New Roman"/>
          <w:sz w:val="24"/>
          <w:szCs w:val="24"/>
        </w:rPr>
      </w:pPr>
    </w:p>
    <w:p w14:paraId="432CE8B2" w14:textId="48D979D5" w:rsidR="004371E3" w:rsidRPr="00BE4AF3" w:rsidRDefault="00154C77" w:rsidP="00154C77">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Result Analysis and Discussion</w:t>
      </w:r>
    </w:p>
    <w:p w14:paraId="2CE7D194" w14:textId="77777777" w:rsidR="004371E3" w:rsidRPr="00BE4AF3" w:rsidRDefault="004371E3" w:rsidP="00154C77">
      <w:pPr>
        <w:spacing w:after="0" w:line="240" w:lineRule="auto"/>
        <w:jc w:val="both"/>
        <w:rPr>
          <w:rFonts w:ascii="Times New Roman" w:hAnsi="Times New Roman" w:cs="Times New Roman"/>
          <w:sz w:val="24"/>
          <w:szCs w:val="24"/>
        </w:rPr>
      </w:pPr>
    </w:p>
    <w:p w14:paraId="7BD0E2AC" w14:textId="29B130BD" w:rsidR="004371E3" w:rsidRPr="00154C77" w:rsidRDefault="004371E3" w:rsidP="00154C77">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Land Use/Land Cover (LULC) Classification and Change Analysis</w:t>
      </w:r>
    </w:p>
    <w:p w14:paraId="1794E470" w14:textId="77777777" w:rsidR="004371E3" w:rsidRPr="00BE4AF3" w:rsidRDefault="004371E3" w:rsidP="00154C77">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LULC classification (2003, 2013, 2023) in Tagwai Catchment showed significant hydrological implications. Tree cover drastically declined (12.12 km² to 0.09 km²), while built-up areas rapidly expanded (0.03 km² to 3.81 km²), concentrated near Tagwai Dam's flood-prone downstream zones. Cropland increased significantly (39.47 km² to 67.88 km²), replacing forest and bare surfaces. Bare surfaces slightly reduced, and flooded vegetation nearly disappeared (2.39 km² to 0.0004 km²). The transition matrix highlighted tree cover conversion into croplands (22.50 km²) and built-up areas (14.58 km²).</w:t>
      </w:r>
    </w:p>
    <w:p w14:paraId="460C4B38" w14:textId="77777777" w:rsidR="004371E3" w:rsidRPr="00BE4AF3" w:rsidRDefault="004371E3" w:rsidP="00154C77">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These transitions replaced permeable, flood-buffering surfaces with impervious or cultivated land, reducing infiltration, increasing runoff, and diminishing flood attenuation. Integrated HEC-HMS and HEC-RAS simulations linked these LULC dynamics to observed shifts in flood peak magnitudes and inundation extents. Findings emphasize that urbanization, deforestation, and agricultural intensification exacerbated flood risks, providing critical evidence for flood mitigation, sustainable land-use planning, and watershed management in the Tagwai Catchment.</w:t>
      </w:r>
    </w:p>
    <w:p w14:paraId="60AE7577" w14:textId="77777777" w:rsidR="004371E3" w:rsidRPr="00BE4AF3" w:rsidRDefault="004371E3" w:rsidP="004371E3">
      <w:pPr>
        <w:jc w:val="both"/>
        <w:rPr>
          <w:rFonts w:ascii="Times New Roman" w:hAnsi="Times New Roman" w:cs="Times New Roman"/>
          <w:sz w:val="24"/>
          <w:szCs w:val="24"/>
        </w:rPr>
      </w:pPr>
    </w:p>
    <w:p w14:paraId="1FDD3312" w14:textId="77777777" w:rsidR="004371E3" w:rsidRPr="00BE4AF3" w:rsidRDefault="004371E3" w:rsidP="004371E3">
      <w:pPr>
        <w:jc w:val="both"/>
        <w:rPr>
          <w:rFonts w:ascii="Times New Roman" w:hAnsi="Times New Roman" w:cs="Times New Roman"/>
          <w:sz w:val="24"/>
          <w:szCs w:val="24"/>
        </w:rPr>
      </w:pPr>
    </w:p>
    <w:p w14:paraId="03FCEF0B" w14:textId="77777777" w:rsidR="004371E3" w:rsidRDefault="004371E3" w:rsidP="00154C77">
      <w:pPr>
        <w:jc w:val="center"/>
        <w:rPr>
          <w:rFonts w:ascii="Times New Roman" w:hAnsi="Times New Roman" w:cs="Times New Roman"/>
          <w:sz w:val="24"/>
          <w:szCs w:val="24"/>
        </w:rPr>
      </w:pPr>
      <w:r w:rsidRPr="00BE4AF3">
        <w:rPr>
          <w:rFonts w:ascii="Times New Roman" w:hAnsi="Times New Roman" w:cs="Times New Roman"/>
          <w:noProof/>
          <w:sz w:val="24"/>
          <w:szCs w:val="24"/>
          <w:lang w:eastAsia="en-GB"/>
        </w:rPr>
        <w:lastRenderedPageBreak/>
        <w:drawing>
          <wp:inline distT="0" distB="0" distL="114300" distR="114300" wp14:anchorId="34A28A3E" wp14:editId="7D0A17E1">
            <wp:extent cx="4910448" cy="2895600"/>
            <wp:effectExtent l="0" t="0" r="5080" b="0"/>
            <wp:docPr id="66029829" name="Picture 66029829" descr="final_LULC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nal_LULC2003"/>
                    <pic:cNvPicPr>
                      <a:picLocks noChangeAspect="1"/>
                    </pic:cNvPicPr>
                  </pic:nvPicPr>
                  <pic:blipFill>
                    <a:blip r:embed="rId118"/>
                    <a:stretch>
                      <a:fillRect/>
                    </a:stretch>
                  </pic:blipFill>
                  <pic:spPr>
                    <a:xfrm>
                      <a:off x="0" y="0"/>
                      <a:ext cx="4933845" cy="2909397"/>
                    </a:xfrm>
                    <a:prstGeom prst="rect">
                      <a:avLst/>
                    </a:prstGeom>
                  </pic:spPr>
                </pic:pic>
              </a:graphicData>
            </a:graphic>
          </wp:inline>
        </w:drawing>
      </w:r>
    </w:p>
    <w:p w14:paraId="3534628A" w14:textId="51727A82" w:rsidR="00154C77" w:rsidRPr="00154C77" w:rsidRDefault="00154C77" w:rsidP="00154C77">
      <w:pPr>
        <w:jc w:val="center"/>
        <w:rPr>
          <w:rFonts w:ascii="Times New Roman" w:hAnsi="Times New Roman" w:cs="Times New Roman"/>
          <w:b/>
          <w:bCs/>
          <w:sz w:val="24"/>
          <w:szCs w:val="24"/>
        </w:rPr>
      </w:pPr>
      <w:r w:rsidRPr="00154C77">
        <w:rPr>
          <w:rFonts w:ascii="Times New Roman" w:hAnsi="Times New Roman" w:cs="Times New Roman"/>
          <w:b/>
          <w:bCs/>
          <w:sz w:val="24"/>
          <w:szCs w:val="24"/>
        </w:rPr>
        <w:t>Figure 1</w:t>
      </w:r>
      <w:r>
        <w:rPr>
          <w:rFonts w:ascii="Times New Roman" w:hAnsi="Times New Roman" w:cs="Times New Roman"/>
          <w:b/>
          <w:bCs/>
          <w:sz w:val="24"/>
          <w:szCs w:val="24"/>
        </w:rPr>
        <w:t xml:space="preserve">: </w:t>
      </w:r>
      <w:r w:rsidRPr="00BE4AF3">
        <w:rPr>
          <w:rFonts w:ascii="Times New Roman" w:hAnsi="Times New Roman" w:cs="Times New Roman"/>
          <w:sz w:val="24"/>
          <w:szCs w:val="24"/>
        </w:rPr>
        <w:t>LULCC Maps for 2003</w:t>
      </w:r>
    </w:p>
    <w:p w14:paraId="702C0330" w14:textId="77777777" w:rsidR="00154C77" w:rsidRDefault="004371E3" w:rsidP="00154C77">
      <w:pPr>
        <w:jc w:val="center"/>
        <w:rPr>
          <w:rFonts w:ascii="Times New Roman" w:hAnsi="Times New Roman" w:cs="Times New Roman"/>
          <w:sz w:val="24"/>
          <w:szCs w:val="24"/>
        </w:rPr>
      </w:pPr>
      <w:r w:rsidRPr="00BE4AF3">
        <w:rPr>
          <w:rFonts w:ascii="Times New Roman" w:hAnsi="Times New Roman" w:cs="Times New Roman"/>
          <w:noProof/>
          <w:sz w:val="24"/>
          <w:szCs w:val="24"/>
          <w:lang w:eastAsia="en-GB"/>
        </w:rPr>
        <w:drawing>
          <wp:inline distT="0" distB="0" distL="114300" distR="114300" wp14:anchorId="019CF663" wp14:editId="7DA4F3CD">
            <wp:extent cx="5092995" cy="3232150"/>
            <wp:effectExtent l="0" t="0" r="0" b="6350"/>
            <wp:docPr id="21" name="Picture 21" descr="final LULC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nal LULC 2013"/>
                    <pic:cNvPicPr>
                      <a:picLocks noChangeAspect="1"/>
                    </pic:cNvPicPr>
                  </pic:nvPicPr>
                  <pic:blipFill>
                    <a:blip r:embed="rId119"/>
                    <a:stretch>
                      <a:fillRect/>
                    </a:stretch>
                  </pic:blipFill>
                  <pic:spPr>
                    <a:xfrm>
                      <a:off x="0" y="0"/>
                      <a:ext cx="5114475" cy="3245782"/>
                    </a:xfrm>
                    <a:prstGeom prst="rect">
                      <a:avLst/>
                    </a:prstGeom>
                  </pic:spPr>
                </pic:pic>
              </a:graphicData>
            </a:graphic>
          </wp:inline>
        </w:drawing>
      </w:r>
    </w:p>
    <w:p w14:paraId="7D0D8462" w14:textId="2D93348C" w:rsidR="00154C77" w:rsidRPr="00154C77" w:rsidRDefault="00154C77" w:rsidP="00154C77">
      <w:pPr>
        <w:jc w:val="center"/>
        <w:rPr>
          <w:rFonts w:ascii="Times New Roman" w:hAnsi="Times New Roman" w:cs="Times New Roman"/>
          <w:b/>
          <w:bCs/>
          <w:sz w:val="24"/>
          <w:szCs w:val="24"/>
        </w:rPr>
      </w:pPr>
      <w:r w:rsidRPr="00154C77">
        <w:rPr>
          <w:rFonts w:ascii="Times New Roman" w:hAnsi="Times New Roman" w:cs="Times New Roman"/>
          <w:b/>
          <w:bCs/>
          <w:sz w:val="24"/>
          <w:szCs w:val="24"/>
        </w:rPr>
        <w:t>Figure 1</w:t>
      </w:r>
      <w:r>
        <w:rPr>
          <w:rFonts w:ascii="Times New Roman" w:hAnsi="Times New Roman" w:cs="Times New Roman"/>
          <w:b/>
          <w:bCs/>
          <w:sz w:val="24"/>
          <w:szCs w:val="24"/>
        </w:rPr>
        <w:t xml:space="preserve">: </w:t>
      </w:r>
      <w:r w:rsidRPr="00BE4AF3">
        <w:rPr>
          <w:rFonts w:ascii="Times New Roman" w:hAnsi="Times New Roman" w:cs="Times New Roman"/>
          <w:sz w:val="24"/>
          <w:szCs w:val="24"/>
        </w:rPr>
        <w:t>LULCC Maps for 20</w:t>
      </w:r>
      <w:r>
        <w:rPr>
          <w:rFonts w:ascii="Times New Roman" w:hAnsi="Times New Roman" w:cs="Times New Roman"/>
          <w:sz w:val="24"/>
          <w:szCs w:val="24"/>
        </w:rPr>
        <w:t>1</w:t>
      </w:r>
      <w:r w:rsidRPr="00BE4AF3">
        <w:rPr>
          <w:rFonts w:ascii="Times New Roman" w:hAnsi="Times New Roman" w:cs="Times New Roman"/>
          <w:sz w:val="24"/>
          <w:szCs w:val="24"/>
        </w:rPr>
        <w:t>3</w:t>
      </w:r>
    </w:p>
    <w:p w14:paraId="27016F09" w14:textId="77777777" w:rsidR="00154C77" w:rsidRDefault="00154C77" w:rsidP="00154C77">
      <w:pPr>
        <w:jc w:val="center"/>
        <w:rPr>
          <w:rFonts w:ascii="Times New Roman" w:hAnsi="Times New Roman" w:cs="Times New Roman"/>
          <w:sz w:val="24"/>
          <w:szCs w:val="24"/>
        </w:rPr>
      </w:pPr>
    </w:p>
    <w:p w14:paraId="196B20A3" w14:textId="0DA78F2A" w:rsidR="004371E3" w:rsidRPr="00BE4AF3" w:rsidRDefault="004371E3" w:rsidP="00154C77">
      <w:pPr>
        <w:jc w:val="center"/>
        <w:rPr>
          <w:rFonts w:ascii="Times New Roman" w:hAnsi="Times New Roman" w:cs="Times New Roman"/>
          <w:sz w:val="24"/>
          <w:szCs w:val="24"/>
        </w:rPr>
      </w:pPr>
      <w:r w:rsidRPr="00BE4AF3">
        <w:rPr>
          <w:rFonts w:ascii="Times New Roman" w:hAnsi="Times New Roman" w:cs="Times New Roman"/>
          <w:noProof/>
          <w:sz w:val="24"/>
          <w:szCs w:val="24"/>
          <w:lang w:eastAsia="en-GB"/>
        </w:rPr>
        <w:lastRenderedPageBreak/>
        <w:drawing>
          <wp:inline distT="0" distB="0" distL="114300" distR="114300" wp14:anchorId="3C29F663" wp14:editId="30DDFD2C">
            <wp:extent cx="5091593" cy="3009014"/>
            <wp:effectExtent l="0" t="0" r="0" b="1270"/>
            <wp:docPr id="22" name="Picture 22" descr="final LULC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nal LULC 2023"/>
                    <pic:cNvPicPr>
                      <a:picLocks noChangeAspect="1"/>
                    </pic:cNvPicPr>
                  </pic:nvPicPr>
                  <pic:blipFill>
                    <a:blip r:embed="rId120"/>
                    <a:stretch>
                      <a:fillRect/>
                    </a:stretch>
                  </pic:blipFill>
                  <pic:spPr>
                    <a:xfrm>
                      <a:off x="0" y="0"/>
                      <a:ext cx="5107507" cy="3018419"/>
                    </a:xfrm>
                    <a:prstGeom prst="rect">
                      <a:avLst/>
                    </a:prstGeom>
                  </pic:spPr>
                </pic:pic>
              </a:graphicData>
            </a:graphic>
          </wp:inline>
        </w:drawing>
      </w:r>
    </w:p>
    <w:p w14:paraId="66A17227" w14:textId="48318023" w:rsidR="004371E3" w:rsidRPr="00154C77" w:rsidRDefault="00154C77" w:rsidP="00154C77">
      <w:pPr>
        <w:jc w:val="center"/>
        <w:rPr>
          <w:rFonts w:ascii="Times New Roman" w:hAnsi="Times New Roman" w:cs="Times New Roman"/>
          <w:b/>
          <w:bCs/>
          <w:sz w:val="24"/>
          <w:szCs w:val="24"/>
        </w:rPr>
      </w:pPr>
      <w:r w:rsidRPr="00154C77">
        <w:rPr>
          <w:rFonts w:ascii="Times New Roman" w:hAnsi="Times New Roman" w:cs="Times New Roman"/>
          <w:b/>
          <w:bCs/>
          <w:sz w:val="24"/>
          <w:szCs w:val="24"/>
        </w:rPr>
        <w:t xml:space="preserve">Figure </w:t>
      </w:r>
      <w:r w:rsidR="00A457E1">
        <w:rPr>
          <w:rFonts w:ascii="Times New Roman" w:hAnsi="Times New Roman" w:cs="Times New Roman"/>
          <w:b/>
          <w:bCs/>
          <w:sz w:val="24"/>
          <w:szCs w:val="24"/>
        </w:rPr>
        <w:t>2</w:t>
      </w:r>
      <w:r>
        <w:rPr>
          <w:rFonts w:ascii="Times New Roman" w:hAnsi="Times New Roman" w:cs="Times New Roman"/>
          <w:b/>
          <w:bCs/>
          <w:sz w:val="24"/>
          <w:szCs w:val="24"/>
        </w:rPr>
        <w:t xml:space="preserve">: </w:t>
      </w:r>
      <w:r w:rsidRPr="00BE4AF3">
        <w:rPr>
          <w:rFonts w:ascii="Times New Roman" w:hAnsi="Times New Roman" w:cs="Times New Roman"/>
          <w:sz w:val="24"/>
          <w:szCs w:val="24"/>
        </w:rPr>
        <w:t>LULCC Maps for 20</w:t>
      </w:r>
      <w:r>
        <w:rPr>
          <w:rFonts w:ascii="Times New Roman" w:hAnsi="Times New Roman" w:cs="Times New Roman"/>
          <w:sz w:val="24"/>
          <w:szCs w:val="24"/>
        </w:rPr>
        <w:t>2</w:t>
      </w:r>
      <w:r w:rsidRPr="00BE4AF3">
        <w:rPr>
          <w:rFonts w:ascii="Times New Roman" w:hAnsi="Times New Roman" w:cs="Times New Roman"/>
          <w:sz w:val="24"/>
          <w:szCs w:val="24"/>
        </w:rPr>
        <w:t>3</w:t>
      </w:r>
    </w:p>
    <w:p w14:paraId="0C13602F" w14:textId="14E3E75B" w:rsidR="004371E3" w:rsidRPr="00154C77" w:rsidRDefault="004371E3" w:rsidP="00154C77">
      <w:pPr>
        <w:spacing w:after="0" w:line="240" w:lineRule="auto"/>
        <w:jc w:val="both"/>
        <w:rPr>
          <w:rFonts w:ascii="Times New Roman" w:eastAsia="Cambria" w:hAnsi="Times New Roman" w:cs="Times New Roman"/>
          <w:b/>
          <w:bCs/>
          <w:sz w:val="24"/>
          <w:szCs w:val="24"/>
        </w:rPr>
      </w:pPr>
      <w:r w:rsidRPr="00BE4AF3">
        <w:rPr>
          <w:rFonts w:ascii="Times New Roman" w:eastAsia="Cambria" w:hAnsi="Times New Roman" w:cs="Times New Roman"/>
          <w:b/>
          <w:bCs/>
          <w:sz w:val="24"/>
          <w:szCs w:val="24"/>
        </w:rPr>
        <w:t>HEC-HMS Hydrological Modeling Results</w:t>
      </w:r>
    </w:p>
    <w:p w14:paraId="5E5DB1CE" w14:textId="77777777" w:rsidR="004371E3" w:rsidRPr="00BE4AF3" w:rsidRDefault="004371E3" w:rsidP="00154C77">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HEC-HMS simulations for Tagwai watershed (2003, 2013, 2023 LULC) show a progressive shift: increased peak discharges, declining infiltration, and rising excess rainfall/runoff across all sub-basins. This is directly linked to increased Curve Numbers (CN) due to urbanization and vegetation loss. Sub-basin analysis shows SB1 and SB2 with 10.3% and 12.6% peak discharge rises, respectively. SB3 consistently had the highest flows (8.8% increase) and fastest, highest discharge response due to high CN values, highlighting its sensitivity to urbanization. Reach R1 simulations, however, showed attenuated flow (peak discharge decreasing from 107.2 CFS in 2003 to 100.1 CFS in 2023), attributed to channel modifications, in-stream retention, and potential Tagwai Dam regulation. This underscores the role of hydraulic controls in moderating downstream flows. SB1 hydrographs showed temporary runoff reduction in 2013 (vegetation recovery) followed by higher peaks in 2023 (intensified urbanization).</w:t>
      </w:r>
    </w:p>
    <w:p w14:paraId="4C47707B" w14:textId="77777777" w:rsidR="004371E3" w:rsidRPr="00BE4AF3" w:rsidRDefault="004371E3" w:rsidP="00154C77">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Overall, the analysis confirms the watershed's high sensitivity to LULC transitions, with increasing runoff and peak flows heightening flood risk. Effective management requires continuous land use monitoring, urban growth regulation, and soil/vegetation conservation. Table 3.1 visualize these sub-basin and reach-level dynamics.</w:t>
      </w:r>
    </w:p>
    <w:p w14:paraId="6BB30076" w14:textId="77777777" w:rsidR="004371E3" w:rsidRDefault="004371E3" w:rsidP="00154C77">
      <w:pPr>
        <w:spacing w:after="0" w:line="240" w:lineRule="auto"/>
        <w:jc w:val="both"/>
        <w:rPr>
          <w:rFonts w:ascii="Times New Roman" w:hAnsi="Times New Roman" w:cs="Times New Roman"/>
          <w:sz w:val="24"/>
          <w:szCs w:val="24"/>
        </w:rPr>
      </w:pPr>
    </w:p>
    <w:p w14:paraId="4BE7357B" w14:textId="77777777" w:rsidR="00154C77" w:rsidRDefault="00154C77" w:rsidP="00154C77">
      <w:pPr>
        <w:spacing w:after="0" w:line="240" w:lineRule="auto"/>
        <w:jc w:val="both"/>
        <w:rPr>
          <w:rFonts w:ascii="Times New Roman" w:hAnsi="Times New Roman" w:cs="Times New Roman"/>
          <w:sz w:val="24"/>
          <w:szCs w:val="24"/>
        </w:rPr>
      </w:pPr>
    </w:p>
    <w:p w14:paraId="6E39BDF9" w14:textId="77777777" w:rsidR="00154C77" w:rsidRDefault="00154C77" w:rsidP="00154C77">
      <w:pPr>
        <w:spacing w:after="0" w:line="240" w:lineRule="auto"/>
        <w:jc w:val="both"/>
        <w:rPr>
          <w:rFonts w:ascii="Times New Roman" w:hAnsi="Times New Roman" w:cs="Times New Roman"/>
          <w:sz w:val="24"/>
          <w:szCs w:val="24"/>
        </w:rPr>
      </w:pPr>
    </w:p>
    <w:p w14:paraId="20123DD6" w14:textId="77777777" w:rsidR="00154C77" w:rsidRDefault="00154C77" w:rsidP="00154C77">
      <w:pPr>
        <w:spacing w:after="0" w:line="240" w:lineRule="auto"/>
        <w:jc w:val="both"/>
        <w:rPr>
          <w:rFonts w:ascii="Times New Roman" w:hAnsi="Times New Roman" w:cs="Times New Roman"/>
          <w:sz w:val="24"/>
          <w:szCs w:val="24"/>
        </w:rPr>
      </w:pPr>
    </w:p>
    <w:p w14:paraId="4CA615D4" w14:textId="77777777" w:rsidR="00154C77" w:rsidRDefault="00154C77" w:rsidP="00154C77">
      <w:pPr>
        <w:spacing w:after="0" w:line="240" w:lineRule="auto"/>
        <w:jc w:val="both"/>
        <w:rPr>
          <w:rFonts w:ascii="Times New Roman" w:hAnsi="Times New Roman" w:cs="Times New Roman"/>
          <w:sz w:val="24"/>
          <w:szCs w:val="24"/>
        </w:rPr>
      </w:pPr>
    </w:p>
    <w:p w14:paraId="10A1C787" w14:textId="77777777" w:rsidR="00154C77" w:rsidRDefault="00154C77" w:rsidP="00154C77">
      <w:pPr>
        <w:spacing w:after="0" w:line="240" w:lineRule="auto"/>
        <w:jc w:val="both"/>
        <w:rPr>
          <w:rFonts w:ascii="Times New Roman" w:hAnsi="Times New Roman" w:cs="Times New Roman"/>
          <w:sz w:val="24"/>
          <w:szCs w:val="24"/>
        </w:rPr>
      </w:pPr>
    </w:p>
    <w:p w14:paraId="51B770D9" w14:textId="77777777" w:rsidR="00154C77" w:rsidRDefault="00154C77" w:rsidP="00154C77">
      <w:pPr>
        <w:spacing w:after="0" w:line="240" w:lineRule="auto"/>
        <w:jc w:val="both"/>
        <w:rPr>
          <w:rFonts w:ascii="Times New Roman" w:hAnsi="Times New Roman" w:cs="Times New Roman"/>
          <w:sz w:val="24"/>
          <w:szCs w:val="24"/>
        </w:rPr>
      </w:pPr>
    </w:p>
    <w:p w14:paraId="607749AF" w14:textId="77777777" w:rsidR="00154C77" w:rsidRDefault="00154C77" w:rsidP="00154C77">
      <w:pPr>
        <w:spacing w:after="0" w:line="240" w:lineRule="auto"/>
        <w:jc w:val="both"/>
        <w:rPr>
          <w:rFonts w:ascii="Times New Roman" w:hAnsi="Times New Roman" w:cs="Times New Roman"/>
          <w:sz w:val="24"/>
          <w:szCs w:val="24"/>
        </w:rPr>
      </w:pPr>
    </w:p>
    <w:p w14:paraId="0EAD3E25" w14:textId="77777777" w:rsidR="00154C77" w:rsidRDefault="00154C77" w:rsidP="00154C77">
      <w:pPr>
        <w:spacing w:after="0" w:line="240" w:lineRule="auto"/>
        <w:jc w:val="both"/>
        <w:rPr>
          <w:rFonts w:ascii="Times New Roman" w:hAnsi="Times New Roman" w:cs="Times New Roman"/>
          <w:sz w:val="24"/>
          <w:szCs w:val="24"/>
        </w:rPr>
      </w:pPr>
    </w:p>
    <w:p w14:paraId="535A8DDB" w14:textId="77777777" w:rsidR="00154C77" w:rsidRPr="00BE4AF3" w:rsidRDefault="00154C77" w:rsidP="00154C77">
      <w:pPr>
        <w:spacing w:after="0" w:line="240" w:lineRule="auto"/>
        <w:jc w:val="both"/>
        <w:rPr>
          <w:rFonts w:ascii="Times New Roman" w:hAnsi="Times New Roman" w:cs="Times New Roman"/>
          <w:sz w:val="24"/>
          <w:szCs w:val="24"/>
        </w:rPr>
      </w:pPr>
    </w:p>
    <w:p w14:paraId="4D25B0A4" w14:textId="31E36560" w:rsidR="004371E3" w:rsidRPr="00BE4AF3" w:rsidRDefault="004371E3" w:rsidP="00154C77">
      <w:pPr>
        <w:spacing w:after="0" w:line="240" w:lineRule="auto"/>
        <w:jc w:val="both"/>
        <w:rPr>
          <w:rFonts w:ascii="Times New Roman" w:hAnsi="Times New Roman" w:cs="Times New Roman"/>
          <w:sz w:val="24"/>
          <w:szCs w:val="24"/>
        </w:rPr>
      </w:pPr>
      <w:r w:rsidRPr="00154C77">
        <w:rPr>
          <w:rFonts w:ascii="Times New Roman" w:hAnsi="Times New Roman" w:cs="Times New Roman"/>
          <w:b/>
          <w:bCs/>
          <w:sz w:val="24"/>
          <w:szCs w:val="24"/>
        </w:rPr>
        <w:lastRenderedPageBreak/>
        <w:t>Table 3</w:t>
      </w:r>
      <w:r w:rsidR="00154C77" w:rsidRPr="00154C77">
        <w:rPr>
          <w:rFonts w:ascii="Times New Roman" w:hAnsi="Times New Roman" w:cs="Times New Roman"/>
          <w:b/>
          <w:bCs/>
          <w:sz w:val="24"/>
          <w:szCs w:val="24"/>
        </w:rPr>
        <w:t>:</w:t>
      </w:r>
      <w:r w:rsidRPr="00BE4AF3">
        <w:rPr>
          <w:rFonts w:ascii="Times New Roman" w:hAnsi="Times New Roman" w:cs="Times New Roman"/>
          <w:sz w:val="24"/>
          <w:szCs w:val="24"/>
        </w:rPr>
        <w:t xml:space="preserve"> Summary of HEC-HMS Hydrologic Simulation Outputs for 2003, 2013, and 2023 under Modeled Land Use and Hydrological Conditions</w:t>
      </w:r>
    </w:p>
    <w:tbl>
      <w:tblPr>
        <w:tblStyle w:val="TableGrid"/>
        <w:tblW w:w="500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
        <w:gridCol w:w="782"/>
        <w:gridCol w:w="1307"/>
        <w:gridCol w:w="1084"/>
        <w:gridCol w:w="1084"/>
        <w:gridCol w:w="1084"/>
        <w:gridCol w:w="972"/>
        <w:gridCol w:w="1228"/>
        <w:gridCol w:w="1114"/>
      </w:tblGrid>
      <w:tr w:rsidR="005D7C53" w:rsidRPr="00154C77" w14:paraId="5819A3EB" w14:textId="77777777" w:rsidTr="00154C77">
        <w:trPr>
          <w:trHeight w:val="1628"/>
          <w:jc w:val="center"/>
        </w:trPr>
        <w:tc>
          <w:tcPr>
            <w:tcW w:w="377" w:type="pct"/>
            <w:tcBorders>
              <w:top w:val="single" w:sz="4" w:space="0" w:color="auto"/>
              <w:bottom w:val="single" w:sz="4" w:space="0" w:color="auto"/>
            </w:tcBorders>
            <w:vAlign w:val="center"/>
          </w:tcPr>
          <w:p w14:paraId="39F6747F" w14:textId="77777777" w:rsidR="004371E3" w:rsidRPr="00154C77" w:rsidRDefault="004371E3" w:rsidP="00154C77">
            <w:pPr>
              <w:spacing w:after="0" w:line="240" w:lineRule="auto"/>
              <w:jc w:val="center"/>
              <w:rPr>
                <w:rFonts w:ascii="Times New Roman" w:hAnsi="Times New Roman" w:cs="Times New Roman"/>
                <w:sz w:val="20"/>
                <w:szCs w:val="20"/>
              </w:rPr>
            </w:pPr>
            <w:r w:rsidRPr="00154C77">
              <w:rPr>
                <w:rFonts w:ascii="Times New Roman" w:eastAsia="SimSun" w:hAnsi="Times New Roman" w:cs="Times New Roman"/>
                <w:sz w:val="20"/>
                <w:szCs w:val="20"/>
                <w:lang w:bidi="ar"/>
              </w:rPr>
              <w:t>Sub-Basin</w:t>
            </w:r>
          </w:p>
        </w:tc>
        <w:tc>
          <w:tcPr>
            <w:tcW w:w="418" w:type="pct"/>
            <w:tcBorders>
              <w:top w:val="single" w:sz="4" w:space="0" w:color="auto"/>
              <w:bottom w:val="single" w:sz="4" w:space="0" w:color="auto"/>
            </w:tcBorders>
            <w:vAlign w:val="center"/>
          </w:tcPr>
          <w:p w14:paraId="3EDFFBB6" w14:textId="77777777" w:rsidR="004371E3" w:rsidRPr="00154C77" w:rsidRDefault="004371E3" w:rsidP="00154C77">
            <w:pPr>
              <w:spacing w:after="0" w:line="240" w:lineRule="auto"/>
              <w:jc w:val="center"/>
              <w:rPr>
                <w:rFonts w:ascii="Times New Roman" w:hAnsi="Times New Roman" w:cs="Times New Roman"/>
                <w:sz w:val="20"/>
                <w:szCs w:val="20"/>
              </w:rPr>
            </w:pPr>
            <w:r w:rsidRPr="00154C77">
              <w:rPr>
                <w:rFonts w:ascii="Times New Roman" w:eastAsia="SimSun" w:hAnsi="Times New Roman" w:cs="Times New Roman"/>
                <w:sz w:val="20"/>
                <w:szCs w:val="20"/>
                <w:lang w:bidi="ar"/>
              </w:rPr>
              <w:t>Year</w:t>
            </w:r>
          </w:p>
        </w:tc>
        <w:tc>
          <w:tcPr>
            <w:tcW w:w="698" w:type="pct"/>
            <w:tcBorders>
              <w:top w:val="single" w:sz="4" w:space="0" w:color="auto"/>
              <w:bottom w:val="single" w:sz="4" w:space="0" w:color="auto"/>
            </w:tcBorders>
            <w:vAlign w:val="center"/>
          </w:tcPr>
          <w:p w14:paraId="31C84B36" w14:textId="77777777" w:rsidR="004371E3" w:rsidRPr="00154C77" w:rsidRDefault="004371E3" w:rsidP="00154C77">
            <w:pPr>
              <w:spacing w:after="0" w:line="240" w:lineRule="auto"/>
              <w:jc w:val="center"/>
              <w:rPr>
                <w:rFonts w:ascii="Times New Roman" w:hAnsi="Times New Roman" w:cs="Times New Roman"/>
                <w:sz w:val="20"/>
                <w:szCs w:val="20"/>
              </w:rPr>
            </w:pPr>
            <w:r w:rsidRPr="00154C77">
              <w:rPr>
                <w:rFonts w:ascii="Times New Roman" w:eastAsia="SimSun" w:hAnsi="Times New Roman" w:cs="Times New Roman"/>
                <w:sz w:val="20"/>
                <w:szCs w:val="20"/>
                <w:lang w:bidi="ar"/>
              </w:rPr>
              <w:t>Peak Discharge (CFS)</w:t>
            </w:r>
          </w:p>
        </w:tc>
        <w:tc>
          <w:tcPr>
            <w:tcW w:w="579" w:type="pct"/>
            <w:tcBorders>
              <w:top w:val="single" w:sz="4" w:space="0" w:color="auto"/>
              <w:bottom w:val="single" w:sz="4" w:space="0" w:color="auto"/>
            </w:tcBorders>
            <w:vAlign w:val="center"/>
          </w:tcPr>
          <w:p w14:paraId="6BFA2524" w14:textId="77777777" w:rsidR="004371E3" w:rsidRPr="00154C77" w:rsidRDefault="004371E3" w:rsidP="00154C77">
            <w:pPr>
              <w:spacing w:after="0" w:line="240" w:lineRule="auto"/>
              <w:jc w:val="center"/>
              <w:rPr>
                <w:rFonts w:ascii="Times New Roman" w:hAnsi="Times New Roman" w:cs="Times New Roman"/>
                <w:sz w:val="20"/>
                <w:szCs w:val="20"/>
              </w:rPr>
            </w:pPr>
            <w:r w:rsidRPr="00154C77">
              <w:rPr>
                <w:rFonts w:ascii="Times New Roman" w:eastAsia="SimSun" w:hAnsi="Times New Roman" w:cs="Times New Roman"/>
                <w:sz w:val="20"/>
                <w:szCs w:val="20"/>
                <w:lang w:bidi="ar"/>
              </w:rPr>
              <w:t>Precip. Volume (IN)</w:t>
            </w:r>
          </w:p>
        </w:tc>
        <w:tc>
          <w:tcPr>
            <w:tcW w:w="579" w:type="pct"/>
            <w:tcBorders>
              <w:top w:val="single" w:sz="4" w:space="0" w:color="auto"/>
              <w:bottom w:val="single" w:sz="4" w:space="0" w:color="auto"/>
            </w:tcBorders>
            <w:vAlign w:val="center"/>
          </w:tcPr>
          <w:p w14:paraId="766FBDB3" w14:textId="77777777" w:rsidR="004371E3" w:rsidRPr="00154C77" w:rsidRDefault="004371E3" w:rsidP="00154C77">
            <w:pPr>
              <w:spacing w:after="0" w:line="240" w:lineRule="auto"/>
              <w:jc w:val="center"/>
              <w:rPr>
                <w:rFonts w:ascii="Times New Roman" w:hAnsi="Times New Roman" w:cs="Times New Roman"/>
                <w:sz w:val="20"/>
                <w:szCs w:val="20"/>
              </w:rPr>
            </w:pPr>
            <w:r w:rsidRPr="00154C77">
              <w:rPr>
                <w:rFonts w:ascii="Times New Roman" w:eastAsia="SimSun" w:hAnsi="Times New Roman" w:cs="Times New Roman"/>
                <w:sz w:val="20"/>
                <w:szCs w:val="20"/>
                <w:lang w:bidi="ar"/>
              </w:rPr>
              <w:t>Loss Volume (IN)</w:t>
            </w:r>
          </w:p>
        </w:tc>
        <w:tc>
          <w:tcPr>
            <w:tcW w:w="579" w:type="pct"/>
            <w:tcBorders>
              <w:top w:val="single" w:sz="4" w:space="0" w:color="auto"/>
              <w:bottom w:val="single" w:sz="4" w:space="0" w:color="auto"/>
            </w:tcBorders>
            <w:vAlign w:val="center"/>
          </w:tcPr>
          <w:p w14:paraId="37CD8453" w14:textId="77777777" w:rsidR="004371E3" w:rsidRPr="00154C77" w:rsidRDefault="004371E3" w:rsidP="00154C77">
            <w:pPr>
              <w:spacing w:after="0" w:line="240" w:lineRule="auto"/>
              <w:jc w:val="center"/>
              <w:rPr>
                <w:rFonts w:ascii="Times New Roman" w:hAnsi="Times New Roman" w:cs="Times New Roman"/>
                <w:sz w:val="20"/>
                <w:szCs w:val="20"/>
              </w:rPr>
            </w:pPr>
            <w:r w:rsidRPr="00154C77">
              <w:rPr>
                <w:rFonts w:ascii="Times New Roman" w:eastAsia="SimSun" w:hAnsi="Times New Roman" w:cs="Times New Roman"/>
                <w:sz w:val="20"/>
                <w:szCs w:val="20"/>
                <w:lang w:bidi="ar"/>
              </w:rPr>
              <w:t>Excess Volume (IN)</w:t>
            </w:r>
          </w:p>
        </w:tc>
        <w:tc>
          <w:tcPr>
            <w:tcW w:w="519" w:type="pct"/>
            <w:tcBorders>
              <w:top w:val="single" w:sz="4" w:space="0" w:color="auto"/>
              <w:bottom w:val="single" w:sz="4" w:space="0" w:color="auto"/>
            </w:tcBorders>
            <w:vAlign w:val="center"/>
          </w:tcPr>
          <w:p w14:paraId="625A2736" w14:textId="77777777" w:rsidR="004371E3" w:rsidRPr="00154C77" w:rsidRDefault="004371E3" w:rsidP="00154C77">
            <w:pPr>
              <w:spacing w:after="0" w:line="240" w:lineRule="auto"/>
              <w:jc w:val="center"/>
              <w:rPr>
                <w:rFonts w:ascii="Times New Roman" w:hAnsi="Times New Roman" w:cs="Times New Roman"/>
                <w:sz w:val="20"/>
                <w:szCs w:val="20"/>
              </w:rPr>
            </w:pPr>
            <w:r w:rsidRPr="00154C77">
              <w:rPr>
                <w:rFonts w:ascii="Times New Roman" w:eastAsia="SimSun" w:hAnsi="Times New Roman" w:cs="Times New Roman"/>
                <w:sz w:val="20"/>
                <w:szCs w:val="20"/>
                <w:lang w:bidi="ar"/>
              </w:rPr>
              <w:t>Direct Runoff (IN)</w:t>
            </w:r>
          </w:p>
        </w:tc>
        <w:tc>
          <w:tcPr>
            <w:tcW w:w="656" w:type="pct"/>
            <w:tcBorders>
              <w:top w:val="single" w:sz="4" w:space="0" w:color="auto"/>
              <w:bottom w:val="single" w:sz="4" w:space="0" w:color="auto"/>
            </w:tcBorders>
            <w:vAlign w:val="center"/>
          </w:tcPr>
          <w:p w14:paraId="379F3243" w14:textId="77777777" w:rsidR="004371E3" w:rsidRPr="00154C77" w:rsidRDefault="004371E3" w:rsidP="00154C77">
            <w:pPr>
              <w:spacing w:after="0" w:line="240" w:lineRule="auto"/>
              <w:jc w:val="center"/>
              <w:rPr>
                <w:rFonts w:ascii="Times New Roman" w:hAnsi="Times New Roman" w:cs="Times New Roman"/>
                <w:sz w:val="20"/>
                <w:szCs w:val="20"/>
              </w:rPr>
            </w:pPr>
            <w:r w:rsidRPr="00154C77">
              <w:rPr>
                <w:rFonts w:ascii="Times New Roman" w:eastAsia="SimSun" w:hAnsi="Times New Roman" w:cs="Times New Roman"/>
                <w:sz w:val="20"/>
                <w:szCs w:val="20"/>
                <w:lang w:bidi="ar"/>
              </w:rPr>
              <w:t>Baseflow (IN)</w:t>
            </w:r>
          </w:p>
        </w:tc>
        <w:tc>
          <w:tcPr>
            <w:tcW w:w="596" w:type="pct"/>
            <w:tcBorders>
              <w:top w:val="single" w:sz="4" w:space="0" w:color="auto"/>
              <w:bottom w:val="single" w:sz="4" w:space="0" w:color="auto"/>
            </w:tcBorders>
            <w:vAlign w:val="center"/>
          </w:tcPr>
          <w:p w14:paraId="7158008A" w14:textId="77777777" w:rsidR="004371E3" w:rsidRPr="00154C77" w:rsidRDefault="004371E3" w:rsidP="00154C77">
            <w:pPr>
              <w:spacing w:after="0" w:line="240" w:lineRule="auto"/>
              <w:jc w:val="center"/>
              <w:rPr>
                <w:rFonts w:ascii="Times New Roman" w:hAnsi="Times New Roman" w:cs="Times New Roman"/>
                <w:sz w:val="20"/>
                <w:szCs w:val="20"/>
              </w:rPr>
            </w:pPr>
            <w:r w:rsidRPr="00154C77">
              <w:rPr>
                <w:rFonts w:ascii="Times New Roman" w:eastAsia="SimSun" w:hAnsi="Times New Roman" w:cs="Times New Roman"/>
                <w:sz w:val="20"/>
                <w:szCs w:val="20"/>
                <w:lang w:bidi="ar"/>
              </w:rPr>
              <w:t>Total Discharge Volume (IN)</w:t>
            </w:r>
          </w:p>
        </w:tc>
      </w:tr>
      <w:tr w:rsidR="005D7C53" w:rsidRPr="00154C77" w14:paraId="13D61A42" w14:textId="77777777" w:rsidTr="00154C77">
        <w:trPr>
          <w:trHeight w:val="316"/>
          <w:jc w:val="center"/>
        </w:trPr>
        <w:tc>
          <w:tcPr>
            <w:tcW w:w="377" w:type="pct"/>
            <w:tcBorders>
              <w:top w:val="single" w:sz="4" w:space="0" w:color="auto"/>
            </w:tcBorders>
            <w:vAlign w:val="center"/>
          </w:tcPr>
          <w:p w14:paraId="6AB25CE3"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SB1</w:t>
            </w:r>
          </w:p>
        </w:tc>
        <w:tc>
          <w:tcPr>
            <w:tcW w:w="418" w:type="pct"/>
            <w:tcBorders>
              <w:top w:val="single" w:sz="4" w:space="0" w:color="auto"/>
            </w:tcBorders>
            <w:vAlign w:val="center"/>
          </w:tcPr>
          <w:p w14:paraId="57A26D98"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2003</w:t>
            </w:r>
          </w:p>
        </w:tc>
        <w:tc>
          <w:tcPr>
            <w:tcW w:w="698" w:type="pct"/>
            <w:tcBorders>
              <w:top w:val="single" w:sz="4" w:space="0" w:color="auto"/>
            </w:tcBorders>
            <w:vAlign w:val="center"/>
          </w:tcPr>
          <w:p w14:paraId="0D534719"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62.3</w:t>
            </w:r>
          </w:p>
        </w:tc>
        <w:tc>
          <w:tcPr>
            <w:tcW w:w="579" w:type="pct"/>
            <w:tcBorders>
              <w:top w:val="single" w:sz="4" w:space="0" w:color="auto"/>
            </w:tcBorders>
            <w:vAlign w:val="center"/>
          </w:tcPr>
          <w:p w14:paraId="4EDB4C9E"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3.00</w:t>
            </w:r>
          </w:p>
        </w:tc>
        <w:tc>
          <w:tcPr>
            <w:tcW w:w="579" w:type="pct"/>
            <w:tcBorders>
              <w:top w:val="single" w:sz="4" w:space="0" w:color="auto"/>
            </w:tcBorders>
            <w:vAlign w:val="center"/>
          </w:tcPr>
          <w:p w14:paraId="4E172EA0"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1.66</w:t>
            </w:r>
          </w:p>
        </w:tc>
        <w:tc>
          <w:tcPr>
            <w:tcW w:w="579" w:type="pct"/>
            <w:tcBorders>
              <w:top w:val="single" w:sz="4" w:space="0" w:color="auto"/>
            </w:tcBorders>
            <w:vAlign w:val="center"/>
          </w:tcPr>
          <w:p w14:paraId="6A64992C"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1.34</w:t>
            </w:r>
          </w:p>
        </w:tc>
        <w:tc>
          <w:tcPr>
            <w:tcW w:w="519" w:type="pct"/>
            <w:tcBorders>
              <w:top w:val="single" w:sz="4" w:space="0" w:color="auto"/>
            </w:tcBorders>
            <w:vAlign w:val="center"/>
          </w:tcPr>
          <w:p w14:paraId="30552027"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1.34</w:t>
            </w:r>
          </w:p>
        </w:tc>
        <w:tc>
          <w:tcPr>
            <w:tcW w:w="656" w:type="pct"/>
            <w:tcBorders>
              <w:top w:val="single" w:sz="4" w:space="0" w:color="auto"/>
            </w:tcBorders>
            <w:vAlign w:val="center"/>
          </w:tcPr>
          <w:p w14:paraId="4CBF329D"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0.00</w:t>
            </w:r>
          </w:p>
        </w:tc>
        <w:tc>
          <w:tcPr>
            <w:tcW w:w="596" w:type="pct"/>
            <w:tcBorders>
              <w:top w:val="single" w:sz="4" w:space="0" w:color="auto"/>
            </w:tcBorders>
            <w:vAlign w:val="center"/>
          </w:tcPr>
          <w:p w14:paraId="5E057E96"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1.34</w:t>
            </w:r>
          </w:p>
        </w:tc>
      </w:tr>
      <w:tr w:rsidR="008848D7" w:rsidRPr="00154C77" w14:paraId="7ADEF8D9" w14:textId="77777777" w:rsidTr="00154C77">
        <w:trPr>
          <w:trHeight w:val="386"/>
          <w:jc w:val="center"/>
        </w:trPr>
        <w:tc>
          <w:tcPr>
            <w:tcW w:w="377" w:type="pct"/>
            <w:vAlign w:val="center"/>
          </w:tcPr>
          <w:p w14:paraId="17BA20AF" w14:textId="77777777" w:rsidR="004371E3" w:rsidRPr="00154C77" w:rsidRDefault="004371E3" w:rsidP="00154C77">
            <w:pPr>
              <w:spacing w:after="0" w:line="240" w:lineRule="auto"/>
              <w:rPr>
                <w:rFonts w:ascii="Times New Roman" w:hAnsi="Times New Roman" w:cs="Times New Roman"/>
                <w:sz w:val="20"/>
                <w:szCs w:val="20"/>
              </w:rPr>
            </w:pPr>
          </w:p>
        </w:tc>
        <w:tc>
          <w:tcPr>
            <w:tcW w:w="418" w:type="pct"/>
            <w:vAlign w:val="center"/>
          </w:tcPr>
          <w:p w14:paraId="5A8490B8"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2013</w:t>
            </w:r>
          </w:p>
        </w:tc>
        <w:tc>
          <w:tcPr>
            <w:tcW w:w="698" w:type="pct"/>
            <w:vAlign w:val="center"/>
          </w:tcPr>
          <w:p w14:paraId="2AB0D70F"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66.1</w:t>
            </w:r>
          </w:p>
        </w:tc>
        <w:tc>
          <w:tcPr>
            <w:tcW w:w="579" w:type="pct"/>
            <w:vAlign w:val="center"/>
          </w:tcPr>
          <w:p w14:paraId="5D3729B9"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3.00</w:t>
            </w:r>
          </w:p>
        </w:tc>
        <w:tc>
          <w:tcPr>
            <w:tcW w:w="579" w:type="pct"/>
            <w:vAlign w:val="center"/>
          </w:tcPr>
          <w:p w14:paraId="28487ECB"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1.60</w:t>
            </w:r>
          </w:p>
        </w:tc>
        <w:tc>
          <w:tcPr>
            <w:tcW w:w="579" w:type="pct"/>
            <w:vAlign w:val="center"/>
          </w:tcPr>
          <w:p w14:paraId="0034EA65"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1.40</w:t>
            </w:r>
          </w:p>
        </w:tc>
        <w:tc>
          <w:tcPr>
            <w:tcW w:w="519" w:type="pct"/>
            <w:vAlign w:val="center"/>
          </w:tcPr>
          <w:p w14:paraId="0910E476"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1.40</w:t>
            </w:r>
          </w:p>
        </w:tc>
        <w:tc>
          <w:tcPr>
            <w:tcW w:w="656" w:type="pct"/>
            <w:vAlign w:val="center"/>
          </w:tcPr>
          <w:p w14:paraId="68192615"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0.00</w:t>
            </w:r>
          </w:p>
        </w:tc>
        <w:tc>
          <w:tcPr>
            <w:tcW w:w="596" w:type="pct"/>
            <w:vAlign w:val="center"/>
          </w:tcPr>
          <w:p w14:paraId="27D6EA15"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1.40</w:t>
            </w:r>
          </w:p>
        </w:tc>
      </w:tr>
      <w:tr w:rsidR="008848D7" w:rsidRPr="00154C77" w14:paraId="70988B13" w14:textId="77777777" w:rsidTr="00154C77">
        <w:trPr>
          <w:trHeight w:val="370"/>
          <w:jc w:val="center"/>
        </w:trPr>
        <w:tc>
          <w:tcPr>
            <w:tcW w:w="377" w:type="pct"/>
            <w:vAlign w:val="center"/>
          </w:tcPr>
          <w:p w14:paraId="56FD9923" w14:textId="77777777" w:rsidR="004371E3" w:rsidRPr="00154C77" w:rsidRDefault="004371E3" w:rsidP="00154C77">
            <w:pPr>
              <w:spacing w:after="0" w:line="240" w:lineRule="auto"/>
              <w:rPr>
                <w:rFonts w:ascii="Times New Roman" w:hAnsi="Times New Roman" w:cs="Times New Roman"/>
                <w:sz w:val="20"/>
                <w:szCs w:val="20"/>
              </w:rPr>
            </w:pPr>
          </w:p>
        </w:tc>
        <w:tc>
          <w:tcPr>
            <w:tcW w:w="418" w:type="pct"/>
            <w:vAlign w:val="center"/>
          </w:tcPr>
          <w:p w14:paraId="59E8BABD"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2023</w:t>
            </w:r>
          </w:p>
        </w:tc>
        <w:tc>
          <w:tcPr>
            <w:tcW w:w="698" w:type="pct"/>
            <w:vAlign w:val="center"/>
          </w:tcPr>
          <w:p w14:paraId="5050DB7F"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68.7</w:t>
            </w:r>
          </w:p>
        </w:tc>
        <w:tc>
          <w:tcPr>
            <w:tcW w:w="579" w:type="pct"/>
            <w:vAlign w:val="center"/>
          </w:tcPr>
          <w:p w14:paraId="4901741F"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3.00</w:t>
            </w:r>
          </w:p>
        </w:tc>
        <w:tc>
          <w:tcPr>
            <w:tcW w:w="579" w:type="pct"/>
            <w:vAlign w:val="center"/>
          </w:tcPr>
          <w:p w14:paraId="57D0B30F"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1.53</w:t>
            </w:r>
          </w:p>
        </w:tc>
        <w:tc>
          <w:tcPr>
            <w:tcW w:w="579" w:type="pct"/>
            <w:vAlign w:val="center"/>
          </w:tcPr>
          <w:p w14:paraId="7C723291"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1.47</w:t>
            </w:r>
          </w:p>
        </w:tc>
        <w:tc>
          <w:tcPr>
            <w:tcW w:w="519" w:type="pct"/>
            <w:vAlign w:val="center"/>
          </w:tcPr>
          <w:p w14:paraId="440AE900"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1.47</w:t>
            </w:r>
          </w:p>
        </w:tc>
        <w:tc>
          <w:tcPr>
            <w:tcW w:w="656" w:type="pct"/>
            <w:vAlign w:val="center"/>
          </w:tcPr>
          <w:p w14:paraId="71997672"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0.00</w:t>
            </w:r>
          </w:p>
        </w:tc>
        <w:tc>
          <w:tcPr>
            <w:tcW w:w="596" w:type="pct"/>
            <w:vAlign w:val="center"/>
          </w:tcPr>
          <w:p w14:paraId="2761DE43"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1.47</w:t>
            </w:r>
          </w:p>
        </w:tc>
      </w:tr>
      <w:tr w:rsidR="008848D7" w:rsidRPr="00154C77" w14:paraId="4ACF995F" w14:textId="77777777" w:rsidTr="00154C77">
        <w:trPr>
          <w:trHeight w:val="397"/>
          <w:jc w:val="center"/>
        </w:trPr>
        <w:tc>
          <w:tcPr>
            <w:tcW w:w="377" w:type="pct"/>
            <w:vAlign w:val="center"/>
          </w:tcPr>
          <w:p w14:paraId="271C56D5"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SB2</w:t>
            </w:r>
          </w:p>
        </w:tc>
        <w:tc>
          <w:tcPr>
            <w:tcW w:w="418" w:type="pct"/>
            <w:vAlign w:val="center"/>
          </w:tcPr>
          <w:p w14:paraId="053BF7D5"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2003</w:t>
            </w:r>
          </w:p>
        </w:tc>
        <w:tc>
          <w:tcPr>
            <w:tcW w:w="698" w:type="pct"/>
            <w:vAlign w:val="center"/>
          </w:tcPr>
          <w:p w14:paraId="689F60AC"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34.2</w:t>
            </w:r>
          </w:p>
        </w:tc>
        <w:tc>
          <w:tcPr>
            <w:tcW w:w="579" w:type="pct"/>
            <w:vAlign w:val="center"/>
          </w:tcPr>
          <w:p w14:paraId="454C8C76"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3.00</w:t>
            </w:r>
          </w:p>
        </w:tc>
        <w:tc>
          <w:tcPr>
            <w:tcW w:w="579" w:type="pct"/>
            <w:vAlign w:val="center"/>
          </w:tcPr>
          <w:p w14:paraId="24B56CE0"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1.68</w:t>
            </w:r>
          </w:p>
        </w:tc>
        <w:tc>
          <w:tcPr>
            <w:tcW w:w="579" w:type="pct"/>
            <w:vAlign w:val="center"/>
          </w:tcPr>
          <w:p w14:paraId="5F1E9754"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1.32</w:t>
            </w:r>
          </w:p>
        </w:tc>
        <w:tc>
          <w:tcPr>
            <w:tcW w:w="519" w:type="pct"/>
            <w:vAlign w:val="center"/>
          </w:tcPr>
          <w:p w14:paraId="33A05612"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1.32</w:t>
            </w:r>
          </w:p>
        </w:tc>
        <w:tc>
          <w:tcPr>
            <w:tcW w:w="656" w:type="pct"/>
            <w:vAlign w:val="center"/>
          </w:tcPr>
          <w:p w14:paraId="2912C13D"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0.00</w:t>
            </w:r>
          </w:p>
        </w:tc>
        <w:tc>
          <w:tcPr>
            <w:tcW w:w="596" w:type="pct"/>
            <w:vAlign w:val="center"/>
          </w:tcPr>
          <w:p w14:paraId="4F8C0CB0"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1.32</w:t>
            </w:r>
          </w:p>
        </w:tc>
      </w:tr>
      <w:tr w:rsidR="008848D7" w:rsidRPr="00154C77" w14:paraId="23089EF5" w14:textId="77777777" w:rsidTr="00154C77">
        <w:trPr>
          <w:trHeight w:val="288"/>
          <w:jc w:val="center"/>
        </w:trPr>
        <w:tc>
          <w:tcPr>
            <w:tcW w:w="377" w:type="pct"/>
            <w:vAlign w:val="center"/>
          </w:tcPr>
          <w:p w14:paraId="193BBEC3" w14:textId="77777777" w:rsidR="004371E3" w:rsidRPr="00154C77" w:rsidRDefault="004371E3" w:rsidP="00154C77">
            <w:pPr>
              <w:spacing w:after="0" w:line="240" w:lineRule="auto"/>
              <w:rPr>
                <w:rFonts w:ascii="Times New Roman" w:hAnsi="Times New Roman" w:cs="Times New Roman"/>
                <w:sz w:val="20"/>
                <w:szCs w:val="20"/>
              </w:rPr>
            </w:pPr>
          </w:p>
        </w:tc>
        <w:tc>
          <w:tcPr>
            <w:tcW w:w="418" w:type="pct"/>
            <w:vAlign w:val="center"/>
          </w:tcPr>
          <w:p w14:paraId="2411EBE0"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2013</w:t>
            </w:r>
          </w:p>
        </w:tc>
        <w:tc>
          <w:tcPr>
            <w:tcW w:w="698" w:type="pct"/>
            <w:vAlign w:val="center"/>
          </w:tcPr>
          <w:p w14:paraId="5E92AA38"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36.7</w:t>
            </w:r>
          </w:p>
        </w:tc>
        <w:tc>
          <w:tcPr>
            <w:tcW w:w="579" w:type="pct"/>
            <w:vAlign w:val="center"/>
          </w:tcPr>
          <w:p w14:paraId="3B9908E0"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3.00</w:t>
            </w:r>
          </w:p>
        </w:tc>
        <w:tc>
          <w:tcPr>
            <w:tcW w:w="579" w:type="pct"/>
            <w:vAlign w:val="center"/>
          </w:tcPr>
          <w:p w14:paraId="78F64DBE"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1.62</w:t>
            </w:r>
          </w:p>
        </w:tc>
        <w:tc>
          <w:tcPr>
            <w:tcW w:w="579" w:type="pct"/>
            <w:vAlign w:val="center"/>
          </w:tcPr>
          <w:p w14:paraId="1C116018"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1.38</w:t>
            </w:r>
          </w:p>
        </w:tc>
        <w:tc>
          <w:tcPr>
            <w:tcW w:w="519" w:type="pct"/>
            <w:vAlign w:val="center"/>
          </w:tcPr>
          <w:p w14:paraId="61A04C1D"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1.38</w:t>
            </w:r>
          </w:p>
        </w:tc>
        <w:tc>
          <w:tcPr>
            <w:tcW w:w="656" w:type="pct"/>
            <w:vAlign w:val="center"/>
          </w:tcPr>
          <w:p w14:paraId="5D94D4BE"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0.00</w:t>
            </w:r>
          </w:p>
        </w:tc>
        <w:tc>
          <w:tcPr>
            <w:tcW w:w="596" w:type="pct"/>
            <w:vAlign w:val="center"/>
          </w:tcPr>
          <w:p w14:paraId="31B25F8E"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1.38</w:t>
            </w:r>
          </w:p>
        </w:tc>
      </w:tr>
      <w:tr w:rsidR="008848D7" w:rsidRPr="00154C77" w14:paraId="64BAF750" w14:textId="77777777" w:rsidTr="00154C77">
        <w:trPr>
          <w:trHeight w:val="342"/>
          <w:jc w:val="center"/>
        </w:trPr>
        <w:tc>
          <w:tcPr>
            <w:tcW w:w="377" w:type="pct"/>
            <w:vAlign w:val="center"/>
          </w:tcPr>
          <w:p w14:paraId="1CC6E4B6" w14:textId="77777777" w:rsidR="004371E3" w:rsidRPr="00154C77" w:rsidRDefault="004371E3" w:rsidP="00154C77">
            <w:pPr>
              <w:spacing w:after="0" w:line="240" w:lineRule="auto"/>
              <w:rPr>
                <w:rFonts w:ascii="Times New Roman" w:hAnsi="Times New Roman" w:cs="Times New Roman"/>
                <w:sz w:val="20"/>
                <w:szCs w:val="20"/>
              </w:rPr>
            </w:pPr>
          </w:p>
        </w:tc>
        <w:tc>
          <w:tcPr>
            <w:tcW w:w="418" w:type="pct"/>
            <w:vAlign w:val="center"/>
          </w:tcPr>
          <w:p w14:paraId="1540ED71"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2023</w:t>
            </w:r>
          </w:p>
        </w:tc>
        <w:tc>
          <w:tcPr>
            <w:tcW w:w="698" w:type="pct"/>
            <w:vAlign w:val="center"/>
          </w:tcPr>
          <w:p w14:paraId="76E1BAED"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38.5</w:t>
            </w:r>
          </w:p>
        </w:tc>
        <w:tc>
          <w:tcPr>
            <w:tcW w:w="579" w:type="pct"/>
            <w:vAlign w:val="center"/>
          </w:tcPr>
          <w:p w14:paraId="4CCCFCC0"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3.00</w:t>
            </w:r>
          </w:p>
        </w:tc>
        <w:tc>
          <w:tcPr>
            <w:tcW w:w="579" w:type="pct"/>
            <w:vAlign w:val="center"/>
          </w:tcPr>
          <w:p w14:paraId="6F0925E4"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1.53</w:t>
            </w:r>
          </w:p>
        </w:tc>
        <w:tc>
          <w:tcPr>
            <w:tcW w:w="579" w:type="pct"/>
            <w:vAlign w:val="center"/>
          </w:tcPr>
          <w:p w14:paraId="4CFF9B5B"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1.47</w:t>
            </w:r>
          </w:p>
        </w:tc>
        <w:tc>
          <w:tcPr>
            <w:tcW w:w="519" w:type="pct"/>
            <w:vAlign w:val="center"/>
          </w:tcPr>
          <w:p w14:paraId="04F7D1E5"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1.47</w:t>
            </w:r>
          </w:p>
        </w:tc>
        <w:tc>
          <w:tcPr>
            <w:tcW w:w="656" w:type="pct"/>
            <w:vAlign w:val="center"/>
          </w:tcPr>
          <w:p w14:paraId="323BFDE2"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0.00</w:t>
            </w:r>
          </w:p>
        </w:tc>
        <w:tc>
          <w:tcPr>
            <w:tcW w:w="596" w:type="pct"/>
            <w:vAlign w:val="center"/>
          </w:tcPr>
          <w:p w14:paraId="428789B7"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1.47</w:t>
            </w:r>
          </w:p>
        </w:tc>
      </w:tr>
      <w:tr w:rsidR="008848D7" w:rsidRPr="00154C77" w14:paraId="49FC220B" w14:textId="77777777" w:rsidTr="00154C77">
        <w:trPr>
          <w:trHeight w:val="356"/>
          <w:jc w:val="center"/>
        </w:trPr>
        <w:tc>
          <w:tcPr>
            <w:tcW w:w="377" w:type="pct"/>
            <w:vAlign w:val="center"/>
          </w:tcPr>
          <w:p w14:paraId="73AE9CFD"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SB3</w:t>
            </w:r>
          </w:p>
        </w:tc>
        <w:tc>
          <w:tcPr>
            <w:tcW w:w="418" w:type="pct"/>
            <w:vAlign w:val="center"/>
          </w:tcPr>
          <w:p w14:paraId="0CC98974"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2003</w:t>
            </w:r>
          </w:p>
        </w:tc>
        <w:tc>
          <w:tcPr>
            <w:tcW w:w="698" w:type="pct"/>
            <w:vAlign w:val="center"/>
          </w:tcPr>
          <w:p w14:paraId="2AAADE37"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182.8</w:t>
            </w:r>
          </w:p>
        </w:tc>
        <w:tc>
          <w:tcPr>
            <w:tcW w:w="579" w:type="pct"/>
            <w:vAlign w:val="center"/>
          </w:tcPr>
          <w:p w14:paraId="781BAADC"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3.00</w:t>
            </w:r>
          </w:p>
        </w:tc>
        <w:tc>
          <w:tcPr>
            <w:tcW w:w="579" w:type="pct"/>
            <w:vAlign w:val="center"/>
          </w:tcPr>
          <w:p w14:paraId="5876B3AE"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1.16</w:t>
            </w:r>
          </w:p>
        </w:tc>
        <w:tc>
          <w:tcPr>
            <w:tcW w:w="579" w:type="pct"/>
            <w:vAlign w:val="center"/>
          </w:tcPr>
          <w:p w14:paraId="5CD7FA7E"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1.84</w:t>
            </w:r>
          </w:p>
        </w:tc>
        <w:tc>
          <w:tcPr>
            <w:tcW w:w="519" w:type="pct"/>
            <w:vAlign w:val="center"/>
          </w:tcPr>
          <w:p w14:paraId="64B19D45"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1.84</w:t>
            </w:r>
          </w:p>
        </w:tc>
        <w:tc>
          <w:tcPr>
            <w:tcW w:w="656" w:type="pct"/>
            <w:vAlign w:val="center"/>
          </w:tcPr>
          <w:p w14:paraId="0CEB56AE"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0.00</w:t>
            </w:r>
          </w:p>
        </w:tc>
        <w:tc>
          <w:tcPr>
            <w:tcW w:w="596" w:type="pct"/>
            <w:vAlign w:val="center"/>
          </w:tcPr>
          <w:p w14:paraId="3B69194B"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1.84</w:t>
            </w:r>
          </w:p>
        </w:tc>
      </w:tr>
      <w:tr w:rsidR="008848D7" w:rsidRPr="00154C77" w14:paraId="3D85ADC3" w14:textId="77777777" w:rsidTr="00154C77">
        <w:trPr>
          <w:trHeight w:val="328"/>
          <w:jc w:val="center"/>
        </w:trPr>
        <w:tc>
          <w:tcPr>
            <w:tcW w:w="377" w:type="pct"/>
            <w:vAlign w:val="center"/>
          </w:tcPr>
          <w:p w14:paraId="68B2EAFE" w14:textId="77777777" w:rsidR="004371E3" w:rsidRPr="00154C77" w:rsidRDefault="004371E3" w:rsidP="00154C77">
            <w:pPr>
              <w:spacing w:after="0" w:line="240" w:lineRule="auto"/>
              <w:rPr>
                <w:rFonts w:ascii="Times New Roman" w:hAnsi="Times New Roman" w:cs="Times New Roman"/>
                <w:sz w:val="20"/>
                <w:szCs w:val="20"/>
              </w:rPr>
            </w:pPr>
          </w:p>
        </w:tc>
        <w:tc>
          <w:tcPr>
            <w:tcW w:w="418" w:type="pct"/>
            <w:vAlign w:val="center"/>
          </w:tcPr>
          <w:p w14:paraId="32EDFACD"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2013</w:t>
            </w:r>
          </w:p>
        </w:tc>
        <w:tc>
          <w:tcPr>
            <w:tcW w:w="698" w:type="pct"/>
            <w:vAlign w:val="center"/>
          </w:tcPr>
          <w:p w14:paraId="6EBB4CDB"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190.4</w:t>
            </w:r>
          </w:p>
        </w:tc>
        <w:tc>
          <w:tcPr>
            <w:tcW w:w="579" w:type="pct"/>
            <w:vAlign w:val="center"/>
          </w:tcPr>
          <w:p w14:paraId="22806B37"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3.00</w:t>
            </w:r>
          </w:p>
        </w:tc>
        <w:tc>
          <w:tcPr>
            <w:tcW w:w="579" w:type="pct"/>
            <w:vAlign w:val="center"/>
          </w:tcPr>
          <w:p w14:paraId="339DE7FC"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1.12</w:t>
            </w:r>
          </w:p>
        </w:tc>
        <w:tc>
          <w:tcPr>
            <w:tcW w:w="579" w:type="pct"/>
            <w:vAlign w:val="center"/>
          </w:tcPr>
          <w:p w14:paraId="4BD98191"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1.88</w:t>
            </w:r>
          </w:p>
        </w:tc>
        <w:tc>
          <w:tcPr>
            <w:tcW w:w="519" w:type="pct"/>
            <w:vAlign w:val="center"/>
          </w:tcPr>
          <w:p w14:paraId="724C7B67"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1.88</w:t>
            </w:r>
          </w:p>
        </w:tc>
        <w:tc>
          <w:tcPr>
            <w:tcW w:w="656" w:type="pct"/>
            <w:vAlign w:val="center"/>
          </w:tcPr>
          <w:p w14:paraId="7B27158D"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0.00</w:t>
            </w:r>
          </w:p>
        </w:tc>
        <w:tc>
          <w:tcPr>
            <w:tcW w:w="596" w:type="pct"/>
            <w:vAlign w:val="center"/>
          </w:tcPr>
          <w:p w14:paraId="2572BB3C"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1.88</w:t>
            </w:r>
          </w:p>
        </w:tc>
      </w:tr>
      <w:tr w:rsidR="008848D7" w:rsidRPr="00154C77" w14:paraId="27C33CE7" w14:textId="77777777" w:rsidTr="00154C77">
        <w:trPr>
          <w:trHeight w:val="404"/>
          <w:jc w:val="center"/>
        </w:trPr>
        <w:tc>
          <w:tcPr>
            <w:tcW w:w="377" w:type="pct"/>
            <w:vAlign w:val="center"/>
          </w:tcPr>
          <w:p w14:paraId="4C67D7D3" w14:textId="77777777" w:rsidR="004371E3" w:rsidRPr="00154C77" w:rsidRDefault="004371E3" w:rsidP="00154C77">
            <w:pPr>
              <w:spacing w:after="0" w:line="240" w:lineRule="auto"/>
              <w:rPr>
                <w:rFonts w:ascii="Times New Roman" w:hAnsi="Times New Roman" w:cs="Times New Roman"/>
                <w:sz w:val="20"/>
                <w:szCs w:val="20"/>
              </w:rPr>
            </w:pPr>
          </w:p>
        </w:tc>
        <w:tc>
          <w:tcPr>
            <w:tcW w:w="418" w:type="pct"/>
            <w:vAlign w:val="center"/>
          </w:tcPr>
          <w:p w14:paraId="46CF8627"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2023</w:t>
            </w:r>
          </w:p>
        </w:tc>
        <w:tc>
          <w:tcPr>
            <w:tcW w:w="698" w:type="pct"/>
            <w:vAlign w:val="center"/>
          </w:tcPr>
          <w:p w14:paraId="225A7178"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198.9</w:t>
            </w:r>
          </w:p>
        </w:tc>
        <w:tc>
          <w:tcPr>
            <w:tcW w:w="579" w:type="pct"/>
            <w:vAlign w:val="center"/>
          </w:tcPr>
          <w:p w14:paraId="02BFC045"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3.00</w:t>
            </w:r>
          </w:p>
        </w:tc>
        <w:tc>
          <w:tcPr>
            <w:tcW w:w="579" w:type="pct"/>
            <w:vAlign w:val="center"/>
          </w:tcPr>
          <w:p w14:paraId="113FC8F9"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1.07</w:t>
            </w:r>
          </w:p>
        </w:tc>
        <w:tc>
          <w:tcPr>
            <w:tcW w:w="579" w:type="pct"/>
            <w:vAlign w:val="center"/>
          </w:tcPr>
          <w:p w14:paraId="570DAAE3"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1.93</w:t>
            </w:r>
          </w:p>
        </w:tc>
        <w:tc>
          <w:tcPr>
            <w:tcW w:w="519" w:type="pct"/>
            <w:vAlign w:val="center"/>
          </w:tcPr>
          <w:p w14:paraId="42619A4F"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1.93</w:t>
            </w:r>
          </w:p>
        </w:tc>
        <w:tc>
          <w:tcPr>
            <w:tcW w:w="656" w:type="pct"/>
            <w:vAlign w:val="center"/>
          </w:tcPr>
          <w:p w14:paraId="3569AC5B"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0.00</w:t>
            </w:r>
          </w:p>
        </w:tc>
        <w:tc>
          <w:tcPr>
            <w:tcW w:w="596" w:type="pct"/>
            <w:vAlign w:val="center"/>
          </w:tcPr>
          <w:p w14:paraId="3205E8DD" w14:textId="77777777" w:rsidR="004371E3" w:rsidRPr="00154C77" w:rsidRDefault="004371E3" w:rsidP="00154C77">
            <w:pPr>
              <w:spacing w:after="0" w:line="240" w:lineRule="auto"/>
              <w:rPr>
                <w:rFonts w:ascii="Times New Roman" w:hAnsi="Times New Roman" w:cs="Times New Roman"/>
                <w:sz w:val="20"/>
                <w:szCs w:val="20"/>
              </w:rPr>
            </w:pPr>
            <w:r w:rsidRPr="00154C77">
              <w:rPr>
                <w:rFonts w:ascii="Times New Roman" w:eastAsia="SimSun" w:hAnsi="Times New Roman" w:cs="Times New Roman"/>
                <w:sz w:val="20"/>
                <w:szCs w:val="20"/>
                <w:lang w:bidi="ar"/>
              </w:rPr>
              <w:t>1.93</w:t>
            </w:r>
          </w:p>
        </w:tc>
      </w:tr>
    </w:tbl>
    <w:p w14:paraId="080442DD" w14:textId="77777777" w:rsidR="004371E3" w:rsidRPr="00BE4AF3" w:rsidRDefault="004371E3" w:rsidP="00154C77">
      <w:pPr>
        <w:spacing w:after="0" w:line="240" w:lineRule="auto"/>
        <w:jc w:val="both"/>
        <w:rPr>
          <w:rFonts w:ascii="Times New Roman" w:hAnsi="Times New Roman" w:cs="Times New Roman"/>
          <w:sz w:val="24"/>
          <w:szCs w:val="24"/>
        </w:rPr>
      </w:pPr>
    </w:p>
    <w:p w14:paraId="73A50381" w14:textId="05251B69" w:rsidR="004371E3" w:rsidRPr="00BE4AF3" w:rsidRDefault="004371E3" w:rsidP="009E559E">
      <w:pPr>
        <w:spacing w:after="0" w:line="240" w:lineRule="auto"/>
        <w:rPr>
          <w:rFonts w:ascii="Times New Roman" w:hAnsi="Times New Roman" w:cs="Times New Roman"/>
          <w:sz w:val="24"/>
          <w:szCs w:val="24"/>
        </w:rPr>
      </w:pPr>
      <w:r w:rsidRPr="009E559E">
        <w:rPr>
          <w:rFonts w:ascii="Times New Roman" w:hAnsi="Times New Roman" w:cs="Times New Roman"/>
          <w:b/>
          <w:bCs/>
          <w:sz w:val="24"/>
          <w:szCs w:val="24"/>
        </w:rPr>
        <w:t xml:space="preserve">Table </w:t>
      </w:r>
      <w:r w:rsidR="009E559E">
        <w:rPr>
          <w:rFonts w:ascii="Times New Roman" w:hAnsi="Times New Roman" w:cs="Times New Roman"/>
          <w:b/>
          <w:bCs/>
          <w:sz w:val="24"/>
          <w:szCs w:val="24"/>
        </w:rPr>
        <w:t>4</w:t>
      </w:r>
      <w:r w:rsidR="009E559E">
        <w:rPr>
          <w:rFonts w:ascii="Times New Roman" w:hAnsi="Times New Roman" w:cs="Times New Roman"/>
          <w:sz w:val="24"/>
          <w:szCs w:val="24"/>
        </w:rPr>
        <w:t>:</w:t>
      </w:r>
      <w:r w:rsidRPr="009E559E">
        <w:rPr>
          <w:rFonts w:ascii="Times New Roman" w:hAnsi="Times New Roman" w:cs="Times New Roman"/>
          <w:sz w:val="24"/>
          <w:szCs w:val="24"/>
        </w:rPr>
        <w:t xml:space="preserve"> </w:t>
      </w:r>
      <w:r w:rsidRPr="00BE4AF3">
        <w:rPr>
          <w:rFonts w:ascii="Times New Roman" w:hAnsi="Times New Roman" w:cs="Times New Roman"/>
          <w:sz w:val="24"/>
          <w:szCs w:val="24"/>
        </w:rPr>
        <w:t>HEC-HMS Simulated Hydraulic Parameters at Reach R1 for 2003, 2013, and 2023</w:t>
      </w:r>
    </w:p>
    <w:tbl>
      <w:tblPr>
        <w:tblStyle w:val="TableGrid"/>
        <w:tblW w:w="500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2"/>
        <w:gridCol w:w="1872"/>
        <w:gridCol w:w="1872"/>
        <w:gridCol w:w="1872"/>
        <w:gridCol w:w="1872"/>
      </w:tblGrid>
      <w:tr w:rsidR="004371E3" w:rsidRPr="009E559E" w14:paraId="79FC4BDB" w14:textId="77777777" w:rsidTr="009E559E">
        <w:trPr>
          <w:trHeight w:val="674"/>
          <w:jc w:val="center"/>
        </w:trPr>
        <w:tc>
          <w:tcPr>
            <w:tcW w:w="1000" w:type="pct"/>
            <w:tcBorders>
              <w:top w:val="single" w:sz="4" w:space="0" w:color="auto"/>
              <w:bottom w:val="single" w:sz="4" w:space="0" w:color="auto"/>
            </w:tcBorders>
            <w:vAlign w:val="center"/>
          </w:tcPr>
          <w:p w14:paraId="1C845BF5" w14:textId="77777777" w:rsidR="004371E3" w:rsidRPr="009E559E" w:rsidRDefault="004371E3" w:rsidP="00154C77">
            <w:pPr>
              <w:spacing w:after="0" w:line="240" w:lineRule="auto"/>
              <w:jc w:val="center"/>
              <w:rPr>
                <w:rFonts w:ascii="Times New Roman" w:hAnsi="Times New Roman" w:cs="Times New Roman"/>
                <w:sz w:val="20"/>
                <w:szCs w:val="20"/>
              </w:rPr>
            </w:pPr>
            <w:r w:rsidRPr="009E559E">
              <w:rPr>
                <w:rFonts w:ascii="Times New Roman" w:eastAsia="SimSun" w:hAnsi="Times New Roman" w:cs="Times New Roman"/>
                <w:sz w:val="20"/>
                <w:szCs w:val="20"/>
                <w:lang w:bidi="ar"/>
              </w:rPr>
              <w:t>Year</w:t>
            </w:r>
          </w:p>
        </w:tc>
        <w:tc>
          <w:tcPr>
            <w:tcW w:w="1000" w:type="pct"/>
            <w:tcBorders>
              <w:top w:val="single" w:sz="4" w:space="0" w:color="auto"/>
              <w:bottom w:val="single" w:sz="4" w:space="0" w:color="auto"/>
            </w:tcBorders>
            <w:vAlign w:val="center"/>
          </w:tcPr>
          <w:p w14:paraId="1CC895A8" w14:textId="77777777" w:rsidR="004371E3" w:rsidRPr="009E559E" w:rsidRDefault="004371E3" w:rsidP="00154C77">
            <w:pPr>
              <w:spacing w:after="0" w:line="240" w:lineRule="auto"/>
              <w:jc w:val="center"/>
              <w:rPr>
                <w:rFonts w:ascii="Times New Roman" w:hAnsi="Times New Roman" w:cs="Times New Roman"/>
                <w:sz w:val="20"/>
                <w:szCs w:val="20"/>
              </w:rPr>
            </w:pPr>
            <w:r w:rsidRPr="009E559E">
              <w:rPr>
                <w:rFonts w:ascii="Times New Roman" w:eastAsia="SimSun" w:hAnsi="Times New Roman" w:cs="Times New Roman"/>
                <w:sz w:val="20"/>
                <w:szCs w:val="20"/>
                <w:lang w:bidi="ar"/>
              </w:rPr>
              <w:t>R1 Peak Inflow (CFS)</w:t>
            </w:r>
          </w:p>
        </w:tc>
        <w:tc>
          <w:tcPr>
            <w:tcW w:w="1000" w:type="pct"/>
            <w:tcBorders>
              <w:top w:val="single" w:sz="4" w:space="0" w:color="auto"/>
              <w:bottom w:val="single" w:sz="4" w:space="0" w:color="auto"/>
            </w:tcBorders>
            <w:vAlign w:val="center"/>
          </w:tcPr>
          <w:p w14:paraId="562204BA" w14:textId="77777777" w:rsidR="004371E3" w:rsidRPr="009E559E" w:rsidRDefault="004371E3" w:rsidP="00154C77">
            <w:pPr>
              <w:spacing w:after="0" w:line="240" w:lineRule="auto"/>
              <w:jc w:val="center"/>
              <w:rPr>
                <w:rFonts w:ascii="Times New Roman" w:hAnsi="Times New Roman" w:cs="Times New Roman"/>
                <w:sz w:val="20"/>
                <w:szCs w:val="20"/>
              </w:rPr>
            </w:pPr>
            <w:r w:rsidRPr="009E559E">
              <w:rPr>
                <w:rFonts w:ascii="Times New Roman" w:eastAsia="SimSun" w:hAnsi="Times New Roman" w:cs="Times New Roman"/>
                <w:sz w:val="20"/>
                <w:szCs w:val="20"/>
                <w:lang w:bidi="ar"/>
              </w:rPr>
              <w:t>R1 Peak Discharge (CFS)</w:t>
            </w:r>
          </w:p>
        </w:tc>
        <w:tc>
          <w:tcPr>
            <w:tcW w:w="1000" w:type="pct"/>
            <w:tcBorders>
              <w:top w:val="single" w:sz="4" w:space="0" w:color="auto"/>
              <w:bottom w:val="single" w:sz="4" w:space="0" w:color="auto"/>
            </w:tcBorders>
            <w:vAlign w:val="center"/>
          </w:tcPr>
          <w:p w14:paraId="721C4456" w14:textId="77777777" w:rsidR="004371E3" w:rsidRPr="009E559E" w:rsidRDefault="004371E3" w:rsidP="00154C77">
            <w:pPr>
              <w:spacing w:after="0" w:line="240" w:lineRule="auto"/>
              <w:jc w:val="center"/>
              <w:rPr>
                <w:rFonts w:ascii="Times New Roman" w:hAnsi="Times New Roman" w:cs="Times New Roman"/>
                <w:sz w:val="20"/>
                <w:szCs w:val="20"/>
              </w:rPr>
            </w:pPr>
            <w:r w:rsidRPr="009E559E">
              <w:rPr>
                <w:rFonts w:ascii="Times New Roman" w:eastAsia="SimSun" w:hAnsi="Times New Roman" w:cs="Times New Roman"/>
                <w:sz w:val="20"/>
                <w:szCs w:val="20"/>
                <w:lang w:bidi="ar"/>
              </w:rPr>
              <w:t>R1 Discharge Volume (IN)</w:t>
            </w:r>
          </w:p>
        </w:tc>
        <w:tc>
          <w:tcPr>
            <w:tcW w:w="1000" w:type="pct"/>
            <w:tcBorders>
              <w:top w:val="single" w:sz="4" w:space="0" w:color="auto"/>
              <w:bottom w:val="single" w:sz="4" w:space="0" w:color="auto"/>
            </w:tcBorders>
            <w:vAlign w:val="center"/>
          </w:tcPr>
          <w:p w14:paraId="41767F3E" w14:textId="77777777" w:rsidR="004371E3" w:rsidRPr="009E559E" w:rsidRDefault="004371E3" w:rsidP="00154C77">
            <w:pPr>
              <w:spacing w:after="0" w:line="240" w:lineRule="auto"/>
              <w:jc w:val="center"/>
              <w:rPr>
                <w:rFonts w:ascii="Times New Roman" w:hAnsi="Times New Roman" w:cs="Times New Roman"/>
                <w:sz w:val="20"/>
                <w:szCs w:val="20"/>
              </w:rPr>
            </w:pPr>
            <w:r w:rsidRPr="009E559E">
              <w:rPr>
                <w:rFonts w:ascii="Times New Roman" w:eastAsia="SimSun" w:hAnsi="Times New Roman" w:cs="Times New Roman"/>
                <w:sz w:val="20"/>
                <w:szCs w:val="20"/>
                <w:lang w:bidi="ar"/>
              </w:rPr>
              <w:t>Time to Peak</w:t>
            </w:r>
          </w:p>
        </w:tc>
      </w:tr>
      <w:tr w:rsidR="004371E3" w:rsidRPr="009E559E" w14:paraId="24E14856" w14:textId="77777777" w:rsidTr="009E559E">
        <w:trPr>
          <w:jc w:val="center"/>
        </w:trPr>
        <w:tc>
          <w:tcPr>
            <w:tcW w:w="1000" w:type="pct"/>
            <w:tcBorders>
              <w:top w:val="single" w:sz="4" w:space="0" w:color="auto"/>
            </w:tcBorders>
            <w:vAlign w:val="center"/>
          </w:tcPr>
          <w:p w14:paraId="5EF704B2"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2003</w:t>
            </w:r>
          </w:p>
        </w:tc>
        <w:tc>
          <w:tcPr>
            <w:tcW w:w="1000" w:type="pct"/>
            <w:tcBorders>
              <w:top w:val="single" w:sz="4" w:space="0" w:color="auto"/>
            </w:tcBorders>
            <w:vAlign w:val="center"/>
          </w:tcPr>
          <w:p w14:paraId="457C0F7C"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107.2</w:t>
            </w:r>
          </w:p>
        </w:tc>
        <w:tc>
          <w:tcPr>
            <w:tcW w:w="1000" w:type="pct"/>
            <w:tcBorders>
              <w:top w:val="single" w:sz="4" w:space="0" w:color="auto"/>
            </w:tcBorders>
            <w:vAlign w:val="center"/>
          </w:tcPr>
          <w:p w14:paraId="436AD453"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107.2</w:t>
            </w:r>
          </w:p>
        </w:tc>
        <w:tc>
          <w:tcPr>
            <w:tcW w:w="1000" w:type="pct"/>
            <w:tcBorders>
              <w:top w:val="single" w:sz="4" w:space="0" w:color="auto"/>
            </w:tcBorders>
            <w:vAlign w:val="center"/>
          </w:tcPr>
          <w:p w14:paraId="74604A8B"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1.47</w:t>
            </w:r>
          </w:p>
        </w:tc>
        <w:tc>
          <w:tcPr>
            <w:tcW w:w="1000" w:type="pct"/>
            <w:tcBorders>
              <w:top w:val="single" w:sz="4" w:space="0" w:color="auto"/>
            </w:tcBorders>
            <w:vAlign w:val="center"/>
          </w:tcPr>
          <w:p w14:paraId="2D18A0E5"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02-Dec 00:00</w:t>
            </w:r>
          </w:p>
        </w:tc>
      </w:tr>
      <w:tr w:rsidR="004371E3" w:rsidRPr="009E559E" w14:paraId="625326AB" w14:textId="77777777" w:rsidTr="009E559E">
        <w:trPr>
          <w:jc w:val="center"/>
        </w:trPr>
        <w:tc>
          <w:tcPr>
            <w:tcW w:w="1000" w:type="pct"/>
            <w:vAlign w:val="center"/>
          </w:tcPr>
          <w:p w14:paraId="71A0C83B"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2013</w:t>
            </w:r>
          </w:p>
        </w:tc>
        <w:tc>
          <w:tcPr>
            <w:tcW w:w="1000" w:type="pct"/>
            <w:vAlign w:val="center"/>
          </w:tcPr>
          <w:p w14:paraId="402E7A17"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103.7</w:t>
            </w:r>
          </w:p>
        </w:tc>
        <w:tc>
          <w:tcPr>
            <w:tcW w:w="1000" w:type="pct"/>
            <w:vAlign w:val="center"/>
          </w:tcPr>
          <w:p w14:paraId="520EAB88"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103.7</w:t>
            </w:r>
          </w:p>
        </w:tc>
        <w:tc>
          <w:tcPr>
            <w:tcW w:w="1000" w:type="pct"/>
            <w:vAlign w:val="center"/>
          </w:tcPr>
          <w:p w14:paraId="17D75ED2"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1.38</w:t>
            </w:r>
          </w:p>
        </w:tc>
        <w:tc>
          <w:tcPr>
            <w:tcW w:w="1000" w:type="pct"/>
            <w:vAlign w:val="center"/>
          </w:tcPr>
          <w:p w14:paraId="3C5D4CAC"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02-Dec 00:00</w:t>
            </w:r>
          </w:p>
        </w:tc>
      </w:tr>
      <w:tr w:rsidR="004371E3" w:rsidRPr="009E559E" w14:paraId="6FA96FB6" w14:textId="77777777" w:rsidTr="009E559E">
        <w:trPr>
          <w:trHeight w:val="413"/>
          <w:jc w:val="center"/>
        </w:trPr>
        <w:tc>
          <w:tcPr>
            <w:tcW w:w="1000" w:type="pct"/>
            <w:vAlign w:val="center"/>
          </w:tcPr>
          <w:p w14:paraId="2AFF5333"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2023</w:t>
            </w:r>
          </w:p>
        </w:tc>
        <w:tc>
          <w:tcPr>
            <w:tcW w:w="1000" w:type="pct"/>
            <w:vAlign w:val="center"/>
          </w:tcPr>
          <w:p w14:paraId="2027A6A4"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100.1</w:t>
            </w:r>
          </w:p>
        </w:tc>
        <w:tc>
          <w:tcPr>
            <w:tcW w:w="1000" w:type="pct"/>
            <w:vAlign w:val="center"/>
          </w:tcPr>
          <w:p w14:paraId="2C30B6A0"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100.1</w:t>
            </w:r>
          </w:p>
        </w:tc>
        <w:tc>
          <w:tcPr>
            <w:tcW w:w="1000" w:type="pct"/>
            <w:vAlign w:val="center"/>
          </w:tcPr>
          <w:p w14:paraId="63DAD1D1"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1.34</w:t>
            </w:r>
          </w:p>
        </w:tc>
        <w:tc>
          <w:tcPr>
            <w:tcW w:w="1000" w:type="pct"/>
            <w:vAlign w:val="center"/>
          </w:tcPr>
          <w:p w14:paraId="5CB039E2"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02-Dec 00:00</w:t>
            </w:r>
          </w:p>
        </w:tc>
      </w:tr>
    </w:tbl>
    <w:p w14:paraId="522F8670" w14:textId="77777777" w:rsidR="004371E3" w:rsidRPr="00BE4AF3" w:rsidRDefault="004371E3" w:rsidP="00154C77">
      <w:pPr>
        <w:spacing w:after="0" w:line="240" w:lineRule="auto"/>
        <w:jc w:val="both"/>
        <w:rPr>
          <w:rFonts w:ascii="Times New Roman" w:hAnsi="Times New Roman" w:cs="Times New Roman"/>
          <w:sz w:val="24"/>
          <w:szCs w:val="24"/>
        </w:rPr>
      </w:pPr>
    </w:p>
    <w:p w14:paraId="72461BAD" w14:textId="5A6D07FB" w:rsidR="004371E3" w:rsidRPr="00BE4AF3" w:rsidRDefault="004371E3" w:rsidP="00154C77">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Result of Overlay Analysis of LULC within Flood Inundation Extent for 2003, 2013, and 2023</w:t>
      </w:r>
    </w:p>
    <w:p w14:paraId="6018C7EF" w14:textId="23D810B6" w:rsidR="004371E3" w:rsidRPr="00BE4AF3" w:rsidRDefault="004371E3" w:rsidP="00154C77">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Overlay analysis of flood inundation and LULC (2003, 2013, 2023) in Tagwai Catchment reveals landscape transformation has intensified flood risk. Progressive urbanization, deforestation, and natural landscape conversion shifted flooding's spatial footprint and severity. In 2003, floods mainly impacted natural floodplains with buffering capacity. By 2013, vegetation clearance and urban expansion increased flood exposure in semi-urban areas, indicating a shift to anthropogenic vulnerability. By 2023, built-up and bare surfaces dominated inundated areas, threatening urban settlements and infrastructure directly.</w:t>
      </w:r>
    </w:p>
    <w:p w14:paraId="31BAF8BD" w14:textId="77777777" w:rsidR="004371E3" w:rsidRPr="00BE4AF3" w:rsidRDefault="004371E3" w:rsidP="00154C77">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Tagwai Catchment is witnessing a critical shift: flood risk is migrating from ecological systems with some absorption capacity to socio-economic systems, amplifying vulnerabilities. Unlike past decades where floods mainly impacted vegetation and farmland, recent urbanization has embedded flood hazards within densely populated areas, increasing social and economic consequences. Similar to other rapidly urbanizing tropical catchments, Tagwai's unmanaged land conversion accelerates runoff and intensifies flood hazards. However, Tagwai's unique vulnerability stems from the rapid pace of land cover transformation combined with inadequate mitigation measures (e.g., stormwater infrastructure, vegetative buffers, zoning), exacerbating exposure.</w:t>
      </w:r>
    </w:p>
    <w:p w14:paraId="6CE52720" w14:textId="77777777" w:rsidR="004371E3" w:rsidRPr="00BE4AF3" w:rsidRDefault="004371E3" w:rsidP="00154C77">
      <w:pPr>
        <w:spacing w:after="0" w:line="240" w:lineRule="auto"/>
        <w:jc w:val="both"/>
        <w:rPr>
          <w:rFonts w:ascii="Times New Roman" w:hAnsi="Times New Roman" w:cs="Times New Roman"/>
          <w:sz w:val="24"/>
          <w:szCs w:val="24"/>
        </w:rPr>
      </w:pPr>
    </w:p>
    <w:p w14:paraId="2E1AE6DE" w14:textId="77777777" w:rsidR="004371E3" w:rsidRPr="00BE4AF3" w:rsidRDefault="004371E3" w:rsidP="00154C77">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overlay analysis reveals a progressive reconfiguration of the risk landscape from natural to human-dominated systems, underscoring the urgent need for integrated flood management, balancing development with ecological preservation. Sustainable land use planning, reforestation, and development control enforcement in flood-prone areas are crucial to mitigate worsening risks from urban growth and climate change.</w:t>
      </w:r>
    </w:p>
    <w:p w14:paraId="5917B062" w14:textId="77777777" w:rsidR="004371E3" w:rsidRPr="00BE4AF3" w:rsidRDefault="004371E3" w:rsidP="00154C77">
      <w:pPr>
        <w:spacing w:after="0" w:line="240" w:lineRule="auto"/>
        <w:jc w:val="both"/>
        <w:rPr>
          <w:rFonts w:ascii="Times New Roman" w:hAnsi="Times New Roman" w:cs="Times New Roman"/>
          <w:sz w:val="24"/>
          <w:szCs w:val="24"/>
        </w:rPr>
      </w:pPr>
    </w:p>
    <w:p w14:paraId="7CD6825B" w14:textId="22B99344" w:rsidR="004371E3" w:rsidRPr="00BE4AF3" w:rsidRDefault="004371E3" w:rsidP="00154C77">
      <w:pPr>
        <w:spacing w:after="0" w:line="240" w:lineRule="auto"/>
        <w:jc w:val="both"/>
        <w:rPr>
          <w:rFonts w:ascii="Times New Roman" w:hAnsi="Times New Roman" w:cs="Times New Roman"/>
          <w:sz w:val="24"/>
          <w:szCs w:val="24"/>
        </w:rPr>
      </w:pPr>
      <w:r w:rsidRPr="009E559E">
        <w:rPr>
          <w:rFonts w:ascii="Times New Roman" w:hAnsi="Times New Roman" w:cs="Times New Roman"/>
          <w:b/>
          <w:bCs/>
          <w:sz w:val="24"/>
          <w:szCs w:val="24"/>
        </w:rPr>
        <w:t xml:space="preserve">Table </w:t>
      </w:r>
      <w:r w:rsidR="009E559E">
        <w:rPr>
          <w:rFonts w:ascii="Times New Roman" w:hAnsi="Times New Roman" w:cs="Times New Roman"/>
          <w:b/>
          <w:bCs/>
          <w:sz w:val="24"/>
          <w:szCs w:val="24"/>
        </w:rPr>
        <w:t>5:</w:t>
      </w:r>
      <w:r w:rsidRPr="00BE4AF3">
        <w:rPr>
          <w:rFonts w:ascii="Times New Roman" w:hAnsi="Times New Roman" w:cs="Times New Roman"/>
          <w:sz w:val="24"/>
          <w:szCs w:val="24"/>
        </w:rPr>
        <w:t xml:space="preserve"> Overlay Analysis of LULC within Flood Inundation Extent (2003,2013, and 2023)</w:t>
      </w: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6"/>
        <w:gridCol w:w="1337"/>
        <w:gridCol w:w="1337"/>
        <w:gridCol w:w="1337"/>
        <w:gridCol w:w="1338"/>
        <w:gridCol w:w="1338"/>
        <w:gridCol w:w="1337"/>
      </w:tblGrid>
      <w:tr w:rsidR="004371E3" w:rsidRPr="009E559E" w14:paraId="1CF10E97" w14:textId="77777777" w:rsidTr="009E559E">
        <w:tc>
          <w:tcPr>
            <w:tcW w:w="714" w:type="pct"/>
            <w:tcBorders>
              <w:top w:val="single" w:sz="4" w:space="0" w:color="auto"/>
              <w:bottom w:val="single" w:sz="4" w:space="0" w:color="auto"/>
            </w:tcBorders>
            <w:vAlign w:val="center"/>
          </w:tcPr>
          <w:p w14:paraId="4C53C655" w14:textId="77777777" w:rsidR="004371E3" w:rsidRPr="009E559E" w:rsidRDefault="004371E3" w:rsidP="00154C77">
            <w:pPr>
              <w:spacing w:after="0" w:line="240" w:lineRule="auto"/>
              <w:jc w:val="center"/>
              <w:rPr>
                <w:rFonts w:ascii="Times New Roman" w:hAnsi="Times New Roman" w:cs="Times New Roman"/>
                <w:sz w:val="20"/>
                <w:szCs w:val="20"/>
              </w:rPr>
            </w:pPr>
            <w:r w:rsidRPr="009E559E">
              <w:rPr>
                <w:rStyle w:val="Strong"/>
                <w:rFonts w:ascii="Times New Roman" w:eastAsia="SimSun" w:hAnsi="Times New Roman" w:cs="Times New Roman"/>
                <w:b w:val="0"/>
                <w:bCs w:val="0"/>
                <w:sz w:val="20"/>
                <w:szCs w:val="20"/>
                <w:lang w:bidi="ar"/>
              </w:rPr>
              <w:t>LULC Class</w:t>
            </w:r>
          </w:p>
        </w:tc>
        <w:tc>
          <w:tcPr>
            <w:tcW w:w="714" w:type="pct"/>
            <w:tcBorders>
              <w:top w:val="single" w:sz="4" w:space="0" w:color="auto"/>
              <w:bottom w:val="single" w:sz="4" w:space="0" w:color="auto"/>
            </w:tcBorders>
            <w:vAlign w:val="center"/>
          </w:tcPr>
          <w:p w14:paraId="44EC8CA9" w14:textId="77777777" w:rsidR="004371E3" w:rsidRPr="009E559E" w:rsidRDefault="004371E3" w:rsidP="00154C77">
            <w:pPr>
              <w:spacing w:after="0" w:line="240" w:lineRule="auto"/>
              <w:jc w:val="center"/>
              <w:rPr>
                <w:rFonts w:ascii="Times New Roman" w:hAnsi="Times New Roman" w:cs="Times New Roman"/>
                <w:sz w:val="20"/>
                <w:szCs w:val="20"/>
              </w:rPr>
            </w:pPr>
            <w:r w:rsidRPr="009E559E">
              <w:rPr>
                <w:rStyle w:val="Strong"/>
                <w:rFonts w:ascii="Times New Roman" w:eastAsia="SimSun" w:hAnsi="Times New Roman" w:cs="Times New Roman"/>
                <w:b w:val="0"/>
                <w:bCs w:val="0"/>
                <w:sz w:val="20"/>
                <w:szCs w:val="20"/>
                <w:lang w:bidi="ar"/>
              </w:rPr>
              <w:t>2003 Flooded Area (ha)</w:t>
            </w:r>
          </w:p>
        </w:tc>
        <w:tc>
          <w:tcPr>
            <w:tcW w:w="714" w:type="pct"/>
            <w:tcBorders>
              <w:top w:val="single" w:sz="4" w:space="0" w:color="auto"/>
              <w:bottom w:val="single" w:sz="4" w:space="0" w:color="auto"/>
            </w:tcBorders>
            <w:vAlign w:val="center"/>
          </w:tcPr>
          <w:p w14:paraId="41DD0ACF" w14:textId="77777777" w:rsidR="004371E3" w:rsidRPr="009E559E" w:rsidRDefault="004371E3" w:rsidP="00154C77">
            <w:pPr>
              <w:spacing w:after="0" w:line="240" w:lineRule="auto"/>
              <w:jc w:val="center"/>
              <w:rPr>
                <w:rFonts w:ascii="Times New Roman" w:hAnsi="Times New Roman" w:cs="Times New Roman"/>
                <w:sz w:val="20"/>
                <w:szCs w:val="20"/>
              </w:rPr>
            </w:pPr>
            <w:r w:rsidRPr="009E559E">
              <w:rPr>
                <w:rStyle w:val="Strong"/>
                <w:rFonts w:ascii="Times New Roman" w:eastAsia="SimSun" w:hAnsi="Times New Roman" w:cs="Times New Roman"/>
                <w:b w:val="0"/>
                <w:bCs w:val="0"/>
                <w:sz w:val="20"/>
                <w:szCs w:val="20"/>
                <w:lang w:bidi="ar"/>
              </w:rPr>
              <w:t>2003 %</w:t>
            </w:r>
          </w:p>
        </w:tc>
        <w:tc>
          <w:tcPr>
            <w:tcW w:w="714" w:type="pct"/>
            <w:tcBorders>
              <w:top w:val="single" w:sz="4" w:space="0" w:color="auto"/>
              <w:bottom w:val="single" w:sz="4" w:space="0" w:color="auto"/>
            </w:tcBorders>
            <w:vAlign w:val="center"/>
          </w:tcPr>
          <w:p w14:paraId="57F471C0" w14:textId="77777777" w:rsidR="004371E3" w:rsidRPr="009E559E" w:rsidRDefault="004371E3" w:rsidP="00154C77">
            <w:pPr>
              <w:spacing w:after="0" w:line="240" w:lineRule="auto"/>
              <w:jc w:val="center"/>
              <w:rPr>
                <w:rFonts w:ascii="Times New Roman" w:hAnsi="Times New Roman" w:cs="Times New Roman"/>
                <w:sz w:val="20"/>
                <w:szCs w:val="20"/>
              </w:rPr>
            </w:pPr>
            <w:r w:rsidRPr="009E559E">
              <w:rPr>
                <w:rStyle w:val="Strong"/>
                <w:rFonts w:ascii="Times New Roman" w:eastAsia="SimSun" w:hAnsi="Times New Roman" w:cs="Times New Roman"/>
                <w:b w:val="0"/>
                <w:bCs w:val="0"/>
                <w:sz w:val="20"/>
                <w:szCs w:val="20"/>
                <w:lang w:bidi="ar"/>
              </w:rPr>
              <w:t>2013 Flooded Area (ha)</w:t>
            </w:r>
          </w:p>
        </w:tc>
        <w:tc>
          <w:tcPr>
            <w:tcW w:w="715" w:type="pct"/>
            <w:tcBorders>
              <w:top w:val="single" w:sz="4" w:space="0" w:color="auto"/>
              <w:bottom w:val="single" w:sz="4" w:space="0" w:color="auto"/>
            </w:tcBorders>
            <w:vAlign w:val="center"/>
          </w:tcPr>
          <w:p w14:paraId="57BCC8B0" w14:textId="77777777" w:rsidR="004371E3" w:rsidRPr="009E559E" w:rsidRDefault="004371E3" w:rsidP="00154C77">
            <w:pPr>
              <w:spacing w:after="0" w:line="240" w:lineRule="auto"/>
              <w:jc w:val="center"/>
              <w:rPr>
                <w:rFonts w:ascii="Times New Roman" w:hAnsi="Times New Roman" w:cs="Times New Roman"/>
                <w:sz w:val="20"/>
                <w:szCs w:val="20"/>
              </w:rPr>
            </w:pPr>
            <w:r w:rsidRPr="009E559E">
              <w:rPr>
                <w:rStyle w:val="Strong"/>
                <w:rFonts w:ascii="Times New Roman" w:eastAsia="SimSun" w:hAnsi="Times New Roman" w:cs="Times New Roman"/>
                <w:b w:val="0"/>
                <w:bCs w:val="0"/>
                <w:sz w:val="20"/>
                <w:szCs w:val="20"/>
                <w:lang w:bidi="ar"/>
              </w:rPr>
              <w:t>2013 %</w:t>
            </w:r>
          </w:p>
        </w:tc>
        <w:tc>
          <w:tcPr>
            <w:tcW w:w="715" w:type="pct"/>
            <w:tcBorders>
              <w:top w:val="single" w:sz="4" w:space="0" w:color="auto"/>
              <w:bottom w:val="single" w:sz="4" w:space="0" w:color="auto"/>
            </w:tcBorders>
            <w:vAlign w:val="center"/>
          </w:tcPr>
          <w:p w14:paraId="006BDE09" w14:textId="77777777" w:rsidR="004371E3" w:rsidRPr="009E559E" w:rsidRDefault="004371E3" w:rsidP="00154C77">
            <w:pPr>
              <w:spacing w:after="0" w:line="240" w:lineRule="auto"/>
              <w:jc w:val="center"/>
              <w:rPr>
                <w:rFonts w:ascii="Times New Roman" w:hAnsi="Times New Roman" w:cs="Times New Roman"/>
                <w:sz w:val="20"/>
                <w:szCs w:val="20"/>
              </w:rPr>
            </w:pPr>
            <w:r w:rsidRPr="009E559E">
              <w:rPr>
                <w:rStyle w:val="Strong"/>
                <w:rFonts w:ascii="Times New Roman" w:eastAsia="SimSun" w:hAnsi="Times New Roman" w:cs="Times New Roman"/>
                <w:b w:val="0"/>
                <w:bCs w:val="0"/>
                <w:sz w:val="20"/>
                <w:szCs w:val="20"/>
                <w:lang w:bidi="ar"/>
              </w:rPr>
              <w:t>2023 Flooded Area (ha)</w:t>
            </w:r>
          </w:p>
        </w:tc>
        <w:tc>
          <w:tcPr>
            <w:tcW w:w="714" w:type="pct"/>
            <w:tcBorders>
              <w:top w:val="single" w:sz="4" w:space="0" w:color="auto"/>
              <w:bottom w:val="single" w:sz="4" w:space="0" w:color="auto"/>
            </w:tcBorders>
            <w:vAlign w:val="center"/>
          </w:tcPr>
          <w:p w14:paraId="4531A76E" w14:textId="77777777" w:rsidR="004371E3" w:rsidRPr="009E559E" w:rsidRDefault="004371E3" w:rsidP="00154C77">
            <w:pPr>
              <w:spacing w:after="0" w:line="240" w:lineRule="auto"/>
              <w:jc w:val="center"/>
              <w:rPr>
                <w:rFonts w:ascii="Times New Roman" w:hAnsi="Times New Roman" w:cs="Times New Roman"/>
                <w:sz w:val="20"/>
                <w:szCs w:val="20"/>
              </w:rPr>
            </w:pPr>
            <w:r w:rsidRPr="009E559E">
              <w:rPr>
                <w:rStyle w:val="Strong"/>
                <w:rFonts w:ascii="Times New Roman" w:eastAsia="SimSun" w:hAnsi="Times New Roman" w:cs="Times New Roman"/>
                <w:b w:val="0"/>
                <w:bCs w:val="0"/>
                <w:sz w:val="20"/>
                <w:szCs w:val="20"/>
                <w:lang w:bidi="ar"/>
              </w:rPr>
              <w:t>2023 %</w:t>
            </w:r>
          </w:p>
        </w:tc>
      </w:tr>
      <w:tr w:rsidR="004371E3" w:rsidRPr="009E559E" w14:paraId="73B1C162" w14:textId="77777777" w:rsidTr="009E559E">
        <w:tc>
          <w:tcPr>
            <w:tcW w:w="714" w:type="pct"/>
            <w:tcBorders>
              <w:top w:val="single" w:sz="4" w:space="0" w:color="auto"/>
            </w:tcBorders>
            <w:vAlign w:val="center"/>
          </w:tcPr>
          <w:p w14:paraId="66C97DCF"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Built-up</w:t>
            </w:r>
          </w:p>
        </w:tc>
        <w:tc>
          <w:tcPr>
            <w:tcW w:w="714" w:type="pct"/>
            <w:tcBorders>
              <w:top w:val="single" w:sz="4" w:space="0" w:color="auto"/>
            </w:tcBorders>
            <w:vAlign w:val="center"/>
          </w:tcPr>
          <w:p w14:paraId="5AEC6EED"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47.21</w:t>
            </w:r>
          </w:p>
        </w:tc>
        <w:tc>
          <w:tcPr>
            <w:tcW w:w="714" w:type="pct"/>
            <w:tcBorders>
              <w:top w:val="single" w:sz="4" w:space="0" w:color="auto"/>
            </w:tcBorders>
            <w:vAlign w:val="center"/>
          </w:tcPr>
          <w:p w14:paraId="3B68562F"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8.2</w:t>
            </w:r>
          </w:p>
        </w:tc>
        <w:tc>
          <w:tcPr>
            <w:tcW w:w="714" w:type="pct"/>
            <w:tcBorders>
              <w:top w:val="single" w:sz="4" w:space="0" w:color="auto"/>
            </w:tcBorders>
            <w:vAlign w:val="center"/>
          </w:tcPr>
          <w:p w14:paraId="2CBF2BFB"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87.47</w:t>
            </w:r>
          </w:p>
        </w:tc>
        <w:tc>
          <w:tcPr>
            <w:tcW w:w="715" w:type="pct"/>
            <w:tcBorders>
              <w:top w:val="single" w:sz="4" w:space="0" w:color="auto"/>
            </w:tcBorders>
            <w:vAlign w:val="center"/>
          </w:tcPr>
          <w:p w14:paraId="3D070D08"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15.4</w:t>
            </w:r>
          </w:p>
        </w:tc>
        <w:tc>
          <w:tcPr>
            <w:tcW w:w="715" w:type="pct"/>
            <w:tcBorders>
              <w:top w:val="single" w:sz="4" w:space="0" w:color="auto"/>
            </w:tcBorders>
            <w:vAlign w:val="center"/>
          </w:tcPr>
          <w:p w14:paraId="528BC55F"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131.61</w:t>
            </w:r>
          </w:p>
        </w:tc>
        <w:tc>
          <w:tcPr>
            <w:tcW w:w="714" w:type="pct"/>
            <w:tcBorders>
              <w:top w:val="single" w:sz="4" w:space="0" w:color="auto"/>
            </w:tcBorders>
            <w:vAlign w:val="center"/>
          </w:tcPr>
          <w:p w14:paraId="571FA2B4"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22.9</w:t>
            </w:r>
          </w:p>
        </w:tc>
      </w:tr>
      <w:tr w:rsidR="004371E3" w:rsidRPr="009E559E" w14:paraId="11740682" w14:textId="77777777" w:rsidTr="009E559E">
        <w:tc>
          <w:tcPr>
            <w:tcW w:w="714" w:type="pct"/>
            <w:vAlign w:val="center"/>
          </w:tcPr>
          <w:p w14:paraId="0554BF52"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Vegetation</w:t>
            </w:r>
          </w:p>
        </w:tc>
        <w:tc>
          <w:tcPr>
            <w:tcW w:w="714" w:type="pct"/>
            <w:vAlign w:val="center"/>
          </w:tcPr>
          <w:p w14:paraId="1F3C63DD"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245.33</w:t>
            </w:r>
          </w:p>
        </w:tc>
        <w:tc>
          <w:tcPr>
            <w:tcW w:w="714" w:type="pct"/>
            <w:vAlign w:val="center"/>
          </w:tcPr>
          <w:p w14:paraId="6ACFDC2A"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42.7</w:t>
            </w:r>
          </w:p>
        </w:tc>
        <w:tc>
          <w:tcPr>
            <w:tcW w:w="714" w:type="pct"/>
            <w:vAlign w:val="center"/>
          </w:tcPr>
          <w:p w14:paraId="433E3104"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205.36</w:t>
            </w:r>
          </w:p>
        </w:tc>
        <w:tc>
          <w:tcPr>
            <w:tcW w:w="715" w:type="pct"/>
            <w:vAlign w:val="center"/>
          </w:tcPr>
          <w:p w14:paraId="43EB46BC"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36.2</w:t>
            </w:r>
          </w:p>
        </w:tc>
        <w:tc>
          <w:tcPr>
            <w:tcW w:w="715" w:type="pct"/>
            <w:vAlign w:val="center"/>
          </w:tcPr>
          <w:p w14:paraId="340583CC"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169.49</w:t>
            </w:r>
          </w:p>
        </w:tc>
        <w:tc>
          <w:tcPr>
            <w:tcW w:w="714" w:type="pct"/>
            <w:vAlign w:val="center"/>
          </w:tcPr>
          <w:p w14:paraId="529DF95B"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29.5</w:t>
            </w:r>
          </w:p>
        </w:tc>
      </w:tr>
      <w:tr w:rsidR="004371E3" w:rsidRPr="009E559E" w14:paraId="616970E1" w14:textId="77777777" w:rsidTr="009E559E">
        <w:tc>
          <w:tcPr>
            <w:tcW w:w="714" w:type="pct"/>
            <w:vAlign w:val="center"/>
          </w:tcPr>
          <w:p w14:paraId="2B2A52AA"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Agricultural Land</w:t>
            </w:r>
          </w:p>
        </w:tc>
        <w:tc>
          <w:tcPr>
            <w:tcW w:w="714" w:type="pct"/>
            <w:vAlign w:val="center"/>
          </w:tcPr>
          <w:p w14:paraId="11B20865"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175.04</w:t>
            </w:r>
          </w:p>
        </w:tc>
        <w:tc>
          <w:tcPr>
            <w:tcW w:w="714" w:type="pct"/>
            <w:vAlign w:val="center"/>
          </w:tcPr>
          <w:p w14:paraId="75F8CCDA"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30.5</w:t>
            </w:r>
          </w:p>
        </w:tc>
        <w:tc>
          <w:tcPr>
            <w:tcW w:w="714" w:type="pct"/>
            <w:vAlign w:val="center"/>
          </w:tcPr>
          <w:p w14:paraId="64D7AFF1"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163.91</w:t>
            </w:r>
          </w:p>
        </w:tc>
        <w:tc>
          <w:tcPr>
            <w:tcW w:w="715" w:type="pct"/>
            <w:vAlign w:val="center"/>
          </w:tcPr>
          <w:p w14:paraId="4185AE5B"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28.5</w:t>
            </w:r>
          </w:p>
        </w:tc>
        <w:tc>
          <w:tcPr>
            <w:tcW w:w="715" w:type="pct"/>
            <w:vAlign w:val="center"/>
          </w:tcPr>
          <w:p w14:paraId="407EB1ED"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161.72</w:t>
            </w:r>
          </w:p>
        </w:tc>
        <w:tc>
          <w:tcPr>
            <w:tcW w:w="714" w:type="pct"/>
            <w:vAlign w:val="center"/>
          </w:tcPr>
          <w:p w14:paraId="577C94E8"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28.1</w:t>
            </w:r>
          </w:p>
        </w:tc>
      </w:tr>
      <w:tr w:rsidR="004371E3" w:rsidRPr="009E559E" w14:paraId="395F7818" w14:textId="77777777" w:rsidTr="009E559E">
        <w:tc>
          <w:tcPr>
            <w:tcW w:w="714" w:type="pct"/>
            <w:vAlign w:val="center"/>
          </w:tcPr>
          <w:p w14:paraId="251C5775"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Bare Surface</w:t>
            </w:r>
          </w:p>
        </w:tc>
        <w:tc>
          <w:tcPr>
            <w:tcW w:w="714" w:type="pct"/>
            <w:vAlign w:val="center"/>
          </w:tcPr>
          <w:p w14:paraId="4B53F6AD"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107.02</w:t>
            </w:r>
          </w:p>
        </w:tc>
        <w:tc>
          <w:tcPr>
            <w:tcW w:w="714" w:type="pct"/>
            <w:vAlign w:val="center"/>
          </w:tcPr>
          <w:p w14:paraId="6F2B1626"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18.6</w:t>
            </w:r>
          </w:p>
        </w:tc>
        <w:tc>
          <w:tcPr>
            <w:tcW w:w="714" w:type="pct"/>
            <w:vAlign w:val="center"/>
          </w:tcPr>
          <w:p w14:paraId="62FD9EB2"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111.16</w:t>
            </w:r>
          </w:p>
        </w:tc>
        <w:tc>
          <w:tcPr>
            <w:tcW w:w="715" w:type="pct"/>
            <w:vAlign w:val="center"/>
          </w:tcPr>
          <w:p w14:paraId="36BE0C46"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19.9</w:t>
            </w:r>
          </w:p>
        </w:tc>
        <w:tc>
          <w:tcPr>
            <w:tcW w:w="715" w:type="pct"/>
            <w:vAlign w:val="center"/>
          </w:tcPr>
          <w:p w14:paraId="33E9ABB4"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131.18</w:t>
            </w:r>
          </w:p>
        </w:tc>
        <w:tc>
          <w:tcPr>
            <w:tcW w:w="714" w:type="pct"/>
            <w:vAlign w:val="center"/>
          </w:tcPr>
          <w:p w14:paraId="266CDCCD" w14:textId="77777777" w:rsidR="004371E3" w:rsidRPr="009E559E" w:rsidRDefault="004371E3" w:rsidP="00154C77">
            <w:pPr>
              <w:spacing w:after="0" w:line="240" w:lineRule="auto"/>
              <w:rPr>
                <w:rFonts w:ascii="Times New Roman" w:hAnsi="Times New Roman" w:cs="Times New Roman"/>
                <w:sz w:val="20"/>
                <w:szCs w:val="20"/>
              </w:rPr>
            </w:pPr>
            <w:r w:rsidRPr="009E559E">
              <w:rPr>
                <w:rFonts w:ascii="Times New Roman" w:eastAsia="SimSun" w:hAnsi="Times New Roman" w:cs="Times New Roman"/>
                <w:sz w:val="20"/>
                <w:szCs w:val="20"/>
                <w:lang w:bidi="ar"/>
              </w:rPr>
              <w:t>23.0</w:t>
            </w:r>
          </w:p>
        </w:tc>
      </w:tr>
      <w:tr w:rsidR="004371E3" w:rsidRPr="009E559E" w14:paraId="4FFF0AE3" w14:textId="77777777" w:rsidTr="009E559E">
        <w:tc>
          <w:tcPr>
            <w:tcW w:w="714" w:type="pct"/>
            <w:vAlign w:val="center"/>
          </w:tcPr>
          <w:p w14:paraId="1E8EFF79" w14:textId="77777777" w:rsidR="004371E3" w:rsidRPr="009E559E" w:rsidRDefault="004371E3" w:rsidP="00154C77">
            <w:pPr>
              <w:spacing w:after="0" w:line="240" w:lineRule="auto"/>
              <w:rPr>
                <w:rFonts w:ascii="Times New Roman" w:hAnsi="Times New Roman" w:cs="Times New Roman"/>
                <w:sz w:val="20"/>
                <w:szCs w:val="20"/>
              </w:rPr>
            </w:pPr>
            <w:r w:rsidRPr="009E559E">
              <w:rPr>
                <w:rStyle w:val="Strong"/>
                <w:rFonts w:ascii="Times New Roman" w:eastAsia="SimSun" w:hAnsi="Times New Roman" w:cs="Times New Roman"/>
                <w:b w:val="0"/>
                <w:bCs w:val="0"/>
                <w:sz w:val="20"/>
                <w:szCs w:val="20"/>
                <w:lang w:bidi="ar"/>
              </w:rPr>
              <w:t>Total</w:t>
            </w:r>
          </w:p>
        </w:tc>
        <w:tc>
          <w:tcPr>
            <w:tcW w:w="714" w:type="pct"/>
            <w:vAlign w:val="center"/>
          </w:tcPr>
          <w:p w14:paraId="6EEB74C2" w14:textId="77777777" w:rsidR="004371E3" w:rsidRPr="009E559E" w:rsidRDefault="004371E3" w:rsidP="00154C77">
            <w:pPr>
              <w:spacing w:after="0" w:line="240" w:lineRule="auto"/>
              <w:rPr>
                <w:rFonts w:ascii="Times New Roman" w:hAnsi="Times New Roman" w:cs="Times New Roman"/>
                <w:sz w:val="20"/>
                <w:szCs w:val="20"/>
              </w:rPr>
            </w:pPr>
            <w:r w:rsidRPr="009E559E">
              <w:rPr>
                <w:rStyle w:val="Strong"/>
                <w:rFonts w:ascii="Times New Roman" w:eastAsia="SimSun" w:hAnsi="Times New Roman" w:cs="Times New Roman"/>
                <w:b w:val="0"/>
                <w:bCs w:val="0"/>
                <w:sz w:val="20"/>
                <w:szCs w:val="20"/>
                <w:lang w:bidi="ar"/>
              </w:rPr>
              <w:t>574.60</w:t>
            </w:r>
          </w:p>
        </w:tc>
        <w:tc>
          <w:tcPr>
            <w:tcW w:w="714" w:type="pct"/>
            <w:vAlign w:val="center"/>
          </w:tcPr>
          <w:p w14:paraId="59EB3255" w14:textId="77777777" w:rsidR="004371E3" w:rsidRPr="009E559E" w:rsidRDefault="004371E3" w:rsidP="00154C77">
            <w:pPr>
              <w:spacing w:after="0" w:line="240" w:lineRule="auto"/>
              <w:rPr>
                <w:rFonts w:ascii="Times New Roman" w:hAnsi="Times New Roman" w:cs="Times New Roman"/>
                <w:sz w:val="20"/>
                <w:szCs w:val="20"/>
              </w:rPr>
            </w:pPr>
            <w:r w:rsidRPr="009E559E">
              <w:rPr>
                <w:rStyle w:val="Strong"/>
                <w:rFonts w:ascii="Times New Roman" w:eastAsia="SimSun" w:hAnsi="Times New Roman" w:cs="Times New Roman"/>
                <w:b w:val="0"/>
                <w:bCs w:val="0"/>
                <w:sz w:val="20"/>
                <w:szCs w:val="20"/>
                <w:lang w:bidi="ar"/>
              </w:rPr>
              <w:t>100</w:t>
            </w:r>
          </w:p>
        </w:tc>
        <w:tc>
          <w:tcPr>
            <w:tcW w:w="714" w:type="pct"/>
            <w:vAlign w:val="center"/>
          </w:tcPr>
          <w:p w14:paraId="2EF6CA76" w14:textId="77777777" w:rsidR="004371E3" w:rsidRPr="009E559E" w:rsidRDefault="004371E3" w:rsidP="00154C77">
            <w:pPr>
              <w:spacing w:after="0" w:line="240" w:lineRule="auto"/>
              <w:rPr>
                <w:rFonts w:ascii="Times New Roman" w:hAnsi="Times New Roman" w:cs="Times New Roman"/>
                <w:sz w:val="20"/>
                <w:szCs w:val="20"/>
              </w:rPr>
            </w:pPr>
            <w:r w:rsidRPr="009E559E">
              <w:rPr>
                <w:rStyle w:val="Strong"/>
                <w:rFonts w:ascii="Times New Roman" w:eastAsia="SimSun" w:hAnsi="Times New Roman" w:cs="Times New Roman"/>
                <w:b w:val="0"/>
                <w:bCs w:val="0"/>
                <w:sz w:val="20"/>
                <w:szCs w:val="20"/>
                <w:lang w:bidi="ar"/>
              </w:rPr>
              <w:t>568.00</w:t>
            </w:r>
          </w:p>
        </w:tc>
        <w:tc>
          <w:tcPr>
            <w:tcW w:w="715" w:type="pct"/>
            <w:vAlign w:val="center"/>
          </w:tcPr>
          <w:p w14:paraId="4CC1D3B4" w14:textId="77777777" w:rsidR="004371E3" w:rsidRPr="009E559E" w:rsidRDefault="004371E3" w:rsidP="00154C77">
            <w:pPr>
              <w:spacing w:after="0" w:line="240" w:lineRule="auto"/>
              <w:rPr>
                <w:rFonts w:ascii="Times New Roman" w:hAnsi="Times New Roman" w:cs="Times New Roman"/>
                <w:sz w:val="20"/>
                <w:szCs w:val="20"/>
              </w:rPr>
            </w:pPr>
            <w:r w:rsidRPr="009E559E">
              <w:rPr>
                <w:rStyle w:val="Strong"/>
                <w:rFonts w:ascii="Times New Roman" w:eastAsia="SimSun" w:hAnsi="Times New Roman" w:cs="Times New Roman"/>
                <w:b w:val="0"/>
                <w:bCs w:val="0"/>
                <w:sz w:val="20"/>
                <w:szCs w:val="20"/>
                <w:lang w:bidi="ar"/>
              </w:rPr>
              <w:t>100</w:t>
            </w:r>
          </w:p>
        </w:tc>
        <w:tc>
          <w:tcPr>
            <w:tcW w:w="715" w:type="pct"/>
            <w:vAlign w:val="center"/>
          </w:tcPr>
          <w:p w14:paraId="42E37B21" w14:textId="77777777" w:rsidR="004371E3" w:rsidRPr="009E559E" w:rsidRDefault="004371E3" w:rsidP="00154C77">
            <w:pPr>
              <w:spacing w:after="0" w:line="240" w:lineRule="auto"/>
              <w:rPr>
                <w:rFonts w:ascii="Times New Roman" w:hAnsi="Times New Roman" w:cs="Times New Roman"/>
                <w:sz w:val="20"/>
                <w:szCs w:val="20"/>
              </w:rPr>
            </w:pPr>
            <w:r w:rsidRPr="009E559E">
              <w:rPr>
                <w:rStyle w:val="Strong"/>
                <w:rFonts w:ascii="Times New Roman" w:eastAsia="SimSun" w:hAnsi="Times New Roman" w:cs="Times New Roman"/>
                <w:b w:val="0"/>
                <w:bCs w:val="0"/>
                <w:sz w:val="20"/>
                <w:szCs w:val="20"/>
                <w:lang w:bidi="ar"/>
              </w:rPr>
              <w:t>594.00</w:t>
            </w:r>
          </w:p>
        </w:tc>
        <w:tc>
          <w:tcPr>
            <w:tcW w:w="714" w:type="pct"/>
            <w:vAlign w:val="center"/>
          </w:tcPr>
          <w:p w14:paraId="2BF7798E" w14:textId="77777777" w:rsidR="004371E3" w:rsidRPr="009E559E" w:rsidRDefault="004371E3" w:rsidP="00154C77">
            <w:pPr>
              <w:spacing w:after="0" w:line="240" w:lineRule="auto"/>
              <w:rPr>
                <w:rFonts w:ascii="Times New Roman" w:hAnsi="Times New Roman" w:cs="Times New Roman"/>
                <w:sz w:val="20"/>
                <w:szCs w:val="20"/>
              </w:rPr>
            </w:pPr>
            <w:r w:rsidRPr="009E559E">
              <w:rPr>
                <w:rStyle w:val="Strong"/>
                <w:rFonts w:ascii="Times New Roman" w:eastAsia="SimSun" w:hAnsi="Times New Roman" w:cs="Times New Roman"/>
                <w:b w:val="0"/>
                <w:bCs w:val="0"/>
                <w:sz w:val="20"/>
                <w:szCs w:val="20"/>
                <w:lang w:bidi="ar"/>
              </w:rPr>
              <w:t>100</w:t>
            </w:r>
          </w:p>
        </w:tc>
      </w:tr>
      <w:tr w:rsidR="009E559E" w:rsidRPr="009E559E" w14:paraId="761AACC6" w14:textId="77777777" w:rsidTr="009E559E">
        <w:tc>
          <w:tcPr>
            <w:tcW w:w="714" w:type="pct"/>
            <w:vAlign w:val="center"/>
          </w:tcPr>
          <w:p w14:paraId="727B503B" w14:textId="77777777" w:rsidR="009E559E" w:rsidRPr="009E559E" w:rsidRDefault="009E559E" w:rsidP="00154C77">
            <w:pPr>
              <w:spacing w:after="0" w:line="240" w:lineRule="auto"/>
              <w:rPr>
                <w:rStyle w:val="Strong"/>
                <w:rFonts w:ascii="Times New Roman" w:eastAsia="SimSun" w:hAnsi="Times New Roman" w:cs="Times New Roman"/>
                <w:b w:val="0"/>
                <w:bCs w:val="0"/>
                <w:sz w:val="20"/>
                <w:szCs w:val="20"/>
                <w:lang w:bidi="ar"/>
              </w:rPr>
            </w:pPr>
          </w:p>
        </w:tc>
        <w:tc>
          <w:tcPr>
            <w:tcW w:w="714" w:type="pct"/>
            <w:vAlign w:val="center"/>
          </w:tcPr>
          <w:p w14:paraId="7FC1E3F6" w14:textId="77777777" w:rsidR="009E559E" w:rsidRPr="009E559E" w:rsidRDefault="009E559E" w:rsidP="00154C77">
            <w:pPr>
              <w:spacing w:after="0" w:line="240" w:lineRule="auto"/>
              <w:rPr>
                <w:rStyle w:val="Strong"/>
                <w:rFonts w:ascii="Times New Roman" w:eastAsia="SimSun" w:hAnsi="Times New Roman" w:cs="Times New Roman"/>
                <w:b w:val="0"/>
                <w:bCs w:val="0"/>
                <w:sz w:val="20"/>
                <w:szCs w:val="20"/>
                <w:lang w:bidi="ar"/>
              </w:rPr>
            </w:pPr>
          </w:p>
        </w:tc>
        <w:tc>
          <w:tcPr>
            <w:tcW w:w="714" w:type="pct"/>
            <w:vAlign w:val="center"/>
          </w:tcPr>
          <w:p w14:paraId="4C535060" w14:textId="77777777" w:rsidR="009E559E" w:rsidRPr="009E559E" w:rsidRDefault="009E559E" w:rsidP="00154C77">
            <w:pPr>
              <w:spacing w:after="0" w:line="240" w:lineRule="auto"/>
              <w:rPr>
                <w:rStyle w:val="Strong"/>
                <w:rFonts w:ascii="Times New Roman" w:eastAsia="SimSun" w:hAnsi="Times New Roman" w:cs="Times New Roman"/>
                <w:b w:val="0"/>
                <w:bCs w:val="0"/>
                <w:sz w:val="20"/>
                <w:szCs w:val="20"/>
                <w:lang w:bidi="ar"/>
              </w:rPr>
            </w:pPr>
          </w:p>
        </w:tc>
        <w:tc>
          <w:tcPr>
            <w:tcW w:w="714" w:type="pct"/>
            <w:vAlign w:val="center"/>
          </w:tcPr>
          <w:p w14:paraId="333F3E07" w14:textId="77777777" w:rsidR="009E559E" w:rsidRPr="009E559E" w:rsidRDefault="009E559E" w:rsidP="00154C77">
            <w:pPr>
              <w:spacing w:after="0" w:line="240" w:lineRule="auto"/>
              <w:rPr>
                <w:rStyle w:val="Strong"/>
                <w:rFonts w:ascii="Times New Roman" w:eastAsia="SimSun" w:hAnsi="Times New Roman" w:cs="Times New Roman"/>
                <w:b w:val="0"/>
                <w:bCs w:val="0"/>
                <w:sz w:val="20"/>
                <w:szCs w:val="20"/>
                <w:lang w:bidi="ar"/>
              </w:rPr>
            </w:pPr>
          </w:p>
        </w:tc>
        <w:tc>
          <w:tcPr>
            <w:tcW w:w="715" w:type="pct"/>
            <w:vAlign w:val="center"/>
          </w:tcPr>
          <w:p w14:paraId="1C3B7381" w14:textId="77777777" w:rsidR="009E559E" w:rsidRPr="009E559E" w:rsidRDefault="009E559E" w:rsidP="00154C77">
            <w:pPr>
              <w:spacing w:after="0" w:line="240" w:lineRule="auto"/>
              <w:rPr>
                <w:rStyle w:val="Strong"/>
                <w:rFonts w:ascii="Times New Roman" w:eastAsia="SimSun" w:hAnsi="Times New Roman" w:cs="Times New Roman"/>
                <w:b w:val="0"/>
                <w:bCs w:val="0"/>
                <w:sz w:val="20"/>
                <w:szCs w:val="20"/>
                <w:lang w:bidi="ar"/>
              </w:rPr>
            </w:pPr>
          </w:p>
        </w:tc>
        <w:tc>
          <w:tcPr>
            <w:tcW w:w="715" w:type="pct"/>
            <w:vAlign w:val="center"/>
          </w:tcPr>
          <w:p w14:paraId="2FCAD0FD" w14:textId="77777777" w:rsidR="009E559E" w:rsidRPr="009E559E" w:rsidRDefault="009E559E" w:rsidP="00154C77">
            <w:pPr>
              <w:spacing w:after="0" w:line="240" w:lineRule="auto"/>
              <w:rPr>
                <w:rStyle w:val="Strong"/>
                <w:rFonts w:ascii="Times New Roman" w:eastAsia="SimSun" w:hAnsi="Times New Roman" w:cs="Times New Roman"/>
                <w:b w:val="0"/>
                <w:bCs w:val="0"/>
                <w:sz w:val="20"/>
                <w:szCs w:val="20"/>
                <w:lang w:bidi="ar"/>
              </w:rPr>
            </w:pPr>
          </w:p>
        </w:tc>
        <w:tc>
          <w:tcPr>
            <w:tcW w:w="714" w:type="pct"/>
            <w:vAlign w:val="center"/>
          </w:tcPr>
          <w:p w14:paraId="12C04B6F" w14:textId="77777777" w:rsidR="009E559E" w:rsidRPr="009E559E" w:rsidRDefault="009E559E" w:rsidP="00154C77">
            <w:pPr>
              <w:spacing w:after="0" w:line="240" w:lineRule="auto"/>
              <w:rPr>
                <w:rStyle w:val="Strong"/>
                <w:rFonts w:ascii="Times New Roman" w:eastAsia="SimSun" w:hAnsi="Times New Roman" w:cs="Times New Roman"/>
                <w:b w:val="0"/>
                <w:bCs w:val="0"/>
                <w:sz w:val="20"/>
                <w:szCs w:val="20"/>
                <w:lang w:bidi="ar"/>
              </w:rPr>
            </w:pPr>
          </w:p>
        </w:tc>
      </w:tr>
    </w:tbl>
    <w:p w14:paraId="06517931" w14:textId="6A2E6F9B" w:rsidR="004371E3" w:rsidRDefault="004371E3" w:rsidP="009E559E">
      <w:pPr>
        <w:spacing w:after="0" w:line="240" w:lineRule="auto"/>
        <w:jc w:val="center"/>
        <w:rPr>
          <w:rFonts w:ascii="Times New Roman" w:hAnsi="Times New Roman" w:cs="Times New Roman"/>
          <w:sz w:val="24"/>
          <w:szCs w:val="24"/>
        </w:rPr>
      </w:pPr>
    </w:p>
    <w:p w14:paraId="17331AAA" w14:textId="77777777" w:rsidR="009E559E" w:rsidRDefault="009E559E" w:rsidP="009E559E">
      <w:pPr>
        <w:spacing w:after="0" w:line="240" w:lineRule="auto"/>
        <w:jc w:val="center"/>
        <w:rPr>
          <w:rFonts w:ascii="Times New Roman" w:hAnsi="Times New Roman" w:cs="Times New Roman"/>
          <w:sz w:val="24"/>
          <w:szCs w:val="24"/>
        </w:rPr>
      </w:pPr>
    </w:p>
    <w:p w14:paraId="79191C4B" w14:textId="77777777" w:rsidR="009E559E" w:rsidRDefault="009E559E" w:rsidP="009E559E">
      <w:pPr>
        <w:spacing w:after="0" w:line="240" w:lineRule="auto"/>
        <w:jc w:val="center"/>
        <w:rPr>
          <w:rFonts w:ascii="Times New Roman" w:hAnsi="Times New Roman" w:cs="Times New Roman"/>
          <w:sz w:val="24"/>
          <w:szCs w:val="24"/>
        </w:rPr>
      </w:pPr>
    </w:p>
    <w:p w14:paraId="0F3D6871" w14:textId="70A67969" w:rsidR="009E559E" w:rsidRDefault="009E559E" w:rsidP="009E559E">
      <w:pPr>
        <w:spacing w:after="0" w:line="240" w:lineRule="auto"/>
        <w:jc w:val="center"/>
        <w:rPr>
          <w:rFonts w:ascii="Times New Roman" w:hAnsi="Times New Roman" w:cs="Times New Roman"/>
          <w:sz w:val="24"/>
          <w:szCs w:val="24"/>
        </w:rPr>
      </w:pPr>
      <w:r w:rsidRPr="00BE4AF3">
        <w:rPr>
          <w:rFonts w:ascii="Times New Roman" w:hAnsi="Times New Roman" w:cs="Times New Roman"/>
          <w:noProof/>
          <w:sz w:val="24"/>
          <w:szCs w:val="24"/>
          <w:lang w:eastAsia="en-GB"/>
        </w:rPr>
        <w:drawing>
          <wp:inline distT="0" distB="0" distL="114300" distR="114300" wp14:anchorId="3D8C95EC" wp14:editId="55606469">
            <wp:extent cx="4181124" cy="2981886"/>
            <wp:effectExtent l="0" t="0" r="0" b="9525"/>
            <wp:docPr id="807822867" name="Picture 807822867" descr="INNUDATION ON LULC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INNUDATION ON LULC2003"/>
                    <pic:cNvPicPr>
                      <a:picLocks noChangeAspect="1"/>
                    </pic:cNvPicPr>
                  </pic:nvPicPr>
                  <pic:blipFill>
                    <a:blip r:embed="rId121"/>
                    <a:stretch>
                      <a:fillRect/>
                    </a:stretch>
                  </pic:blipFill>
                  <pic:spPr>
                    <a:xfrm>
                      <a:off x="0" y="0"/>
                      <a:ext cx="4246802" cy="3028726"/>
                    </a:xfrm>
                    <a:prstGeom prst="rect">
                      <a:avLst/>
                    </a:prstGeom>
                  </pic:spPr>
                </pic:pic>
              </a:graphicData>
            </a:graphic>
          </wp:inline>
        </w:drawing>
      </w:r>
    </w:p>
    <w:p w14:paraId="3EBBFC8E" w14:textId="77777777" w:rsidR="009E559E" w:rsidRDefault="009E559E" w:rsidP="009E559E">
      <w:pPr>
        <w:spacing w:after="0" w:line="240" w:lineRule="auto"/>
        <w:jc w:val="center"/>
        <w:rPr>
          <w:rFonts w:ascii="Times New Roman" w:hAnsi="Times New Roman" w:cs="Times New Roman"/>
          <w:sz w:val="24"/>
          <w:szCs w:val="24"/>
        </w:rPr>
      </w:pPr>
    </w:p>
    <w:p w14:paraId="1314428B" w14:textId="77777777" w:rsidR="009E559E" w:rsidRDefault="009E559E" w:rsidP="009E559E">
      <w:pPr>
        <w:spacing w:after="0" w:line="240" w:lineRule="auto"/>
        <w:jc w:val="center"/>
        <w:rPr>
          <w:rFonts w:ascii="Times New Roman" w:hAnsi="Times New Roman" w:cs="Times New Roman"/>
          <w:sz w:val="24"/>
          <w:szCs w:val="24"/>
        </w:rPr>
      </w:pPr>
    </w:p>
    <w:p w14:paraId="20A9C100" w14:textId="77777777" w:rsidR="009E559E" w:rsidRDefault="009E559E" w:rsidP="009E559E">
      <w:pPr>
        <w:spacing w:after="0" w:line="240" w:lineRule="auto"/>
        <w:jc w:val="center"/>
        <w:rPr>
          <w:rFonts w:ascii="Times New Roman" w:hAnsi="Times New Roman" w:cs="Times New Roman"/>
          <w:sz w:val="24"/>
          <w:szCs w:val="24"/>
        </w:rPr>
      </w:pPr>
    </w:p>
    <w:p w14:paraId="48D74CB5" w14:textId="77777777" w:rsidR="009E559E" w:rsidRDefault="009E559E" w:rsidP="009E559E">
      <w:pPr>
        <w:spacing w:after="0" w:line="240" w:lineRule="auto"/>
        <w:jc w:val="center"/>
        <w:rPr>
          <w:rFonts w:ascii="Times New Roman" w:hAnsi="Times New Roman" w:cs="Times New Roman"/>
          <w:sz w:val="24"/>
          <w:szCs w:val="24"/>
        </w:rPr>
      </w:pPr>
    </w:p>
    <w:p w14:paraId="412D09BA" w14:textId="77777777" w:rsidR="009E559E" w:rsidRDefault="009E559E" w:rsidP="009E559E">
      <w:pPr>
        <w:spacing w:after="0" w:line="240" w:lineRule="auto"/>
        <w:jc w:val="center"/>
        <w:rPr>
          <w:rFonts w:ascii="Times New Roman" w:hAnsi="Times New Roman" w:cs="Times New Roman"/>
          <w:sz w:val="24"/>
          <w:szCs w:val="24"/>
        </w:rPr>
      </w:pPr>
    </w:p>
    <w:p w14:paraId="24D810EB" w14:textId="77777777" w:rsidR="009E559E" w:rsidRDefault="009E559E" w:rsidP="009E559E">
      <w:pPr>
        <w:spacing w:after="0" w:line="240" w:lineRule="auto"/>
        <w:jc w:val="center"/>
        <w:rPr>
          <w:rFonts w:ascii="Times New Roman" w:hAnsi="Times New Roman" w:cs="Times New Roman"/>
          <w:sz w:val="24"/>
          <w:szCs w:val="24"/>
        </w:rPr>
      </w:pPr>
    </w:p>
    <w:p w14:paraId="7AB19DE5" w14:textId="77777777" w:rsidR="009E559E" w:rsidRDefault="009E559E" w:rsidP="009E559E">
      <w:pPr>
        <w:spacing w:after="0" w:line="240" w:lineRule="auto"/>
        <w:jc w:val="center"/>
        <w:rPr>
          <w:rFonts w:ascii="Times New Roman" w:hAnsi="Times New Roman" w:cs="Times New Roman"/>
          <w:sz w:val="24"/>
          <w:szCs w:val="24"/>
        </w:rPr>
      </w:pPr>
    </w:p>
    <w:p w14:paraId="1BB81A8B" w14:textId="77777777" w:rsidR="009E559E" w:rsidRDefault="009E559E" w:rsidP="009E559E">
      <w:pPr>
        <w:spacing w:after="0" w:line="240" w:lineRule="auto"/>
        <w:jc w:val="center"/>
        <w:rPr>
          <w:rFonts w:ascii="Times New Roman" w:hAnsi="Times New Roman" w:cs="Times New Roman"/>
          <w:sz w:val="24"/>
          <w:szCs w:val="24"/>
        </w:rPr>
      </w:pPr>
    </w:p>
    <w:p w14:paraId="06CF241F" w14:textId="77777777" w:rsidR="009E559E" w:rsidRDefault="009E559E" w:rsidP="009E559E">
      <w:pPr>
        <w:spacing w:after="0" w:line="240" w:lineRule="auto"/>
        <w:jc w:val="center"/>
        <w:rPr>
          <w:rFonts w:ascii="Times New Roman" w:hAnsi="Times New Roman" w:cs="Times New Roman"/>
          <w:sz w:val="24"/>
          <w:szCs w:val="24"/>
        </w:rPr>
      </w:pPr>
    </w:p>
    <w:p w14:paraId="26DFBEC6" w14:textId="77777777" w:rsidR="009E559E" w:rsidRPr="00BE4AF3" w:rsidRDefault="009E559E" w:rsidP="009E559E">
      <w:pPr>
        <w:spacing w:after="0" w:line="240" w:lineRule="auto"/>
        <w:jc w:val="center"/>
        <w:rPr>
          <w:rFonts w:ascii="Times New Roman" w:hAnsi="Times New Roman" w:cs="Times New Roman"/>
          <w:sz w:val="24"/>
          <w:szCs w:val="24"/>
        </w:rPr>
      </w:pPr>
    </w:p>
    <w:p w14:paraId="4BC714DF" w14:textId="77777777" w:rsidR="009E559E" w:rsidRDefault="004371E3" w:rsidP="009E559E">
      <w:pPr>
        <w:spacing w:after="0" w:line="240" w:lineRule="auto"/>
        <w:jc w:val="center"/>
        <w:rPr>
          <w:rFonts w:ascii="Times New Roman" w:hAnsi="Times New Roman" w:cs="Times New Roman"/>
          <w:sz w:val="24"/>
          <w:szCs w:val="24"/>
        </w:rPr>
      </w:pPr>
      <w:r w:rsidRPr="00BE4AF3">
        <w:rPr>
          <w:rFonts w:ascii="Times New Roman" w:hAnsi="Times New Roman" w:cs="Times New Roman"/>
          <w:noProof/>
          <w:sz w:val="24"/>
          <w:szCs w:val="24"/>
          <w:lang w:eastAsia="en-GB"/>
        </w:rPr>
        <w:lastRenderedPageBreak/>
        <w:drawing>
          <wp:inline distT="0" distB="0" distL="114300" distR="114300" wp14:anchorId="71E8E39B" wp14:editId="0E70B1F7">
            <wp:extent cx="3391786" cy="2381250"/>
            <wp:effectExtent l="0" t="0" r="0" b="0"/>
            <wp:docPr id="23" name="Picture 23" descr="INNUDATION ON LULC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NNUDATION ON LULC2013"/>
                    <pic:cNvPicPr>
                      <a:picLocks noChangeAspect="1"/>
                    </pic:cNvPicPr>
                  </pic:nvPicPr>
                  <pic:blipFill>
                    <a:blip r:embed="rId122"/>
                    <a:stretch>
                      <a:fillRect/>
                    </a:stretch>
                  </pic:blipFill>
                  <pic:spPr>
                    <a:xfrm>
                      <a:off x="0" y="0"/>
                      <a:ext cx="3419548" cy="2400741"/>
                    </a:xfrm>
                    <a:prstGeom prst="rect">
                      <a:avLst/>
                    </a:prstGeom>
                  </pic:spPr>
                </pic:pic>
              </a:graphicData>
            </a:graphic>
          </wp:inline>
        </w:drawing>
      </w:r>
    </w:p>
    <w:p w14:paraId="3C88F77E" w14:textId="77777777" w:rsidR="009E559E" w:rsidRDefault="009E559E" w:rsidP="00154C77">
      <w:pPr>
        <w:spacing w:after="0" w:line="240" w:lineRule="auto"/>
        <w:rPr>
          <w:rFonts w:ascii="Times New Roman" w:hAnsi="Times New Roman" w:cs="Times New Roman"/>
          <w:sz w:val="24"/>
          <w:szCs w:val="24"/>
        </w:rPr>
      </w:pPr>
    </w:p>
    <w:p w14:paraId="7EA2EE4A" w14:textId="2F787E10" w:rsidR="004371E3" w:rsidRPr="00BE4AF3" w:rsidRDefault="004371E3" w:rsidP="009E559E">
      <w:pPr>
        <w:spacing w:after="0" w:line="240" w:lineRule="auto"/>
        <w:jc w:val="center"/>
        <w:rPr>
          <w:rFonts w:ascii="Times New Roman" w:hAnsi="Times New Roman" w:cs="Times New Roman"/>
          <w:sz w:val="24"/>
          <w:szCs w:val="24"/>
        </w:rPr>
      </w:pPr>
      <w:r w:rsidRPr="00BE4AF3">
        <w:rPr>
          <w:rFonts w:ascii="Times New Roman" w:hAnsi="Times New Roman" w:cs="Times New Roman"/>
          <w:noProof/>
          <w:sz w:val="24"/>
          <w:szCs w:val="24"/>
          <w:lang w:eastAsia="en-GB"/>
        </w:rPr>
        <w:drawing>
          <wp:inline distT="0" distB="0" distL="114300" distR="114300" wp14:anchorId="1467FF90" wp14:editId="74C3FEF1">
            <wp:extent cx="3689350" cy="2498651"/>
            <wp:effectExtent l="0" t="0" r="6350" b="0"/>
            <wp:docPr id="1549130754" name="Picture 1549130754" descr="INNUDATION ON LULC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NNUDATION ON LULC2023"/>
                    <pic:cNvPicPr>
                      <a:picLocks noChangeAspect="1"/>
                    </pic:cNvPicPr>
                  </pic:nvPicPr>
                  <pic:blipFill>
                    <a:blip r:embed="rId123"/>
                    <a:stretch>
                      <a:fillRect/>
                    </a:stretch>
                  </pic:blipFill>
                  <pic:spPr>
                    <a:xfrm>
                      <a:off x="0" y="0"/>
                      <a:ext cx="3699796" cy="2505725"/>
                    </a:xfrm>
                    <a:prstGeom prst="rect">
                      <a:avLst/>
                    </a:prstGeom>
                  </pic:spPr>
                </pic:pic>
              </a:graphicData>
            </a:graphic>
          </wp:inline>
        </w:drawing>
      </w:r>
    </w:p>
    <w:p w14:paraId="4B9C9481" w14:textId="04C0E3F1" w:rsidR="004371E3" w:rsidRPr="00BE4AF3" w:rsidRDefault="004371E3" w:rsidP="009E559E">
      <w:pPr>
        <w:spacing w:after="0" w:line="240" w:lineRule="auto"/>
        <w:jc w:val="center"/>
        <w:rPr>
          <w:rFonts w:ascii="Times New Roman" w:hAnsi="Times New Roman" w:cs="Times New Roman"/>
          <w:sz w:val="24"/>
          <w:szCs w:val="24"/>
        </w:rPr>
      </w:pPr>
      <w:r w:rsidRPr="009E559E">
        <w:rPr>
          <w:rFonts w:ascii="Times New Roman" w:hAnsi="Times New Roman" w:cs="Times New Roman"/>
          <w:b/>
          <w:bCs/>
          <w:sz w:val="24"/>
          <w:szCs w:val="24"/>
        </w:rPr>
        <w:t xml:space="preserve">Figure </w:t>
      </w:r>
      <w:r w:rsidR="0002104B">
        <w:rPr>
          <w:rFonts w:ascii="Times New Roman" w:hAnsi="Times New Roman" w:cs="Times New Roman"/>
          <w:b/>
          <w:bCs/>
          <w:sz w:val="24"/>
          <w:szCs w:val="24"/>
        </w:rPr>
        <w:t>3:</w:t>
      </w:r>
      <w:r w:rsidRPr="00BE4AF3">
        <w:rPr>
          <w:rFonts w:ascii="Times New Roman" w:hAnsi="Times New Roman" w:cs="Times New Roman"/>
          <w:sz w:val="24"/>
          <w:szCs w:val="24"/>
        </w:rPr>
        <w:t xml:space="preserve"> flood inundation extent on the 2013,2003, and 2023 LULC map</w:t>
      </w:r>
    </w:p>
    <w:p w14:paraId="237516F1" w14:textId="77777777" w:rsidR="009E559E" w:rsidRDefault="009E559E" w:rsidP="00154C77">
      <w:pPr>
        <w:spacing w:after="0" w:line="240" w:lineRule="auto"/>
        <w:jc w:val="both"/>
        <w:rPr>
          <w:rFonts w:ascii="Times New Roman" w:hAnsi="Times New Roman" w:cs="Times New Roman"/>
          <w:b/>
          <w:bCs/>
          <w:sz w:val="24"/>
          <w:szCs w:val="24"/>
        </w:rPr>
      </w:pPr>
    </w:p>
    <w:p w14:paraId="1E934411" w14:textId="76F555F6" w:rsidR="004371E3" w:rsidRPr="009E559E" w:rsidRDefault="004371E3" w:rsidP="00154C77">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Conclusion</w:t>
      </w:r>
    </w:p>
    <w:p w14:paraId="2C734199" w14:textId="6FB0D20B" w:rsidR="004371E3" w:rsidRPr="00BE4AF3" w:rsidRDefault="004371E3" w:rsidP="00154C77">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This study successfully evaluated Tagwai Catchment flood dynamics (2003, 2013, 2023), proving rapid LULC change is the dominant driver of escalating flood hazards. Hydrological and hydraulic simulations showed urban expansion and vegetation loss (especially in SB3 and downstream floodplains) amplified runoff, increased flow velocities (up to 19.5 m/s in 2023), and expanded inundation into built-up areas. The Tagwai Catchment transitioned from an eco-buffered system in 2003 to a highly urbanized, high-risk floodplain by 2023.</w:t>
      </w:r>
    </w:p>
    <w:p w14:paraId="5CA848D9" w14:textId="77777777" w:rsidR="004371E3" w:rsidRPr="00BE4AF3" w:rsidRDefault="004371E3" w:rsidP="00154C77">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To mitigate escalating flood risks in the Tagwai Catchment, location-specific interventions are recommended: prioritizing retention basins downstream of SB3 due to highest peak discharges and tripled built-up flood exposure; urgently establishing green buffer zones along western floodplains where vegetation significantly declined within inundated areas; enforcing stricter land use in the rapidly urbanizing southeastern corridor, which saw built-up flood exposure increase from 8.2% to 22.9%; integrating new 2023 flood extent boundaries into floodplain zoning and infrastructure planning to protect critical facilities; and institutionalizing continuous LULC monitoring with Sentinel imagery and UAV surveys to track encroachment and assess mitigation effectiveness.</w:t>
      </w:r>
    </w:p>
    <w:p w14:paraId="3EFF8480" w14:textId="77777777" w:rsidR="004371E3" w:rsidRPr="00BE4AF3" w:rsidRDefault="004371E3" w:rsidP="00154C77">
      <w:pPr>
        <w:spacing w:after="0" w:line="240" w:lineRule="auto"/>
        <w:jc w:val="both"/>
        <w:rPr>
          <w:rFonts w:ascii="Times New Roman" w:hAnsi="Times New Roman" w:cs="Times New Roman"/>
          <w:sz w:val="24"/>
          <w:szCs w:val="24"/>
        </w:rPr>
      </w:pPr>
    </w:p>
    <w:p w14:paraId="4B3C4717" w14:textId="6D76F404" w:rsidR="004371E3" w:rsidRPr="00BE4AF3" w:rsidRDefault="004371E3" w:rsidP="00154C77">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Beyond structural and regulatory measures, institutional strengthening through stakeholder training, community-based early warning systems, and participatory governance is vital for building adaptive capacity. Coupling hydrological models with socio-economic vulnerability assessments will ensure interventions address both environmental and human dimensions of flood risk.</w:t>
      </w:r>
    </w:p>
    <w:p w14:paraId="62802714" w14:textId="77777777" w:rsidR="004371E3" w:rsidRPr="00BE4AF3" w:rsidRDefault="004371E3" w:rsidP="00154C77">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Future research should integrate climate change, AI for flood forecasting, and high-resolution datasets for precision. Pilot retention basins and green buffer zones in SB3 are immediate, testable recommendations. In conclusion, this research offers a scientific basis for understanding LULC-flood dynamics in Tagwai Catchment, providing actionable, spatially targeted resilience strategies. Adopting these recommendations enables robust, adaptive flood management, safeguarding communities and ecosystems against urbanization and climate pressures.</w:t>
      </w:r>
    </w:p>
    <w:p w14:paraId="69680F6B" w14:textId="77777777" w:rsidR="004371E3" w:rsidRPr="00BE4AF3" w:rsidRDefault="004371E3" w:rsidP="00154C77">
      <w:pPr>
        <w:spacing w:after="0" w:line="240" w:lineRule="auto"/>
        <w:jc w:val="both"/>
        <w:rPr>
          <w:rFonts w:ascii="Times New Roman" w:hAnsi="Times New Roman" w:cs="Times New Roman"/>
          <w:sz w:val="24"/>
          <w:szCs w:val="24"/>
        </w:rPr>
      </w:pPr>
    </w:p>
    <w:p w14:paraId="06352A91" w14:textId="077C3FC2" w:rsidR="004371E3" w:rsidRPr="00BE4AF3" w:rsidRDefault="004371E3" w:rsidP="00154C77">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References</w:t>
      </w:r>
    </w:p>
    <w:p w14:paraId="40AEB6BF" w14:textId="77777777" w:rsidR="004371E3" w:rsidRPr="00BE4AF3" w:rsidRDefault="004371E3" w:rsidP="009E559E">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BE4AF3">
        <w:rPr>
          <w:rFonts w:ascii="Times New Roman" w:hAnsi="Times New Roman" w:cs="Times New Roman"/>
          <w:b/>
          <w:bCs/>
          <w:sz w:val="24"/>
          <w:szCs w:val="24"/>
        </w:rPr>
        <w:fldChar w:fldCharType="begin" w:fldLock="1"/>
      </w:r>
      <w:r w:rsidRPr="00BE4AF3">
        <w:rPr>
          <w:rFonts w:ascii="Times New Roman" w:hAnsi="Times New Roman" w:cs="Times New Roman"/>
          <w:b/>
          <w:bCs/>
          <w:sz w:val="24"/>
          <w:szCs w:val="24"/>
        </w:rPr>
        <w:instrText xml:space="preserve">ADDIN Mendeley Bibliography CSL_BIBLIOGRAPHY </w:instrText>
      </w:r>
      <w:r w:rsidRPr="00BE4AF3">
        <w:rPr>
          <w:rFonts w:ascii="Times New Roman" w:hAnsi="Times New Roman" w:cs="Times New Roman"/>
          <w:b/>
          <w:bCs/>
          <w:sz w:val="24"/>
          <w:szCs w:val="24"/>
        </w:rPr>
        <w:fldChar w:fldCharType="separate"/>
      </w:r>
      <w:r w:rsidRPr="00BE4AF3">
        <w:rPr>
          <w:rFonts w:ascii="Times New Roman" w:hAnsi="Times New Roman" w:cs="Times New Roman"/>
          <w:noProof/>
          <w:sz w:val="24"/>
          <w:szCs w:val="24"/>
        </w:rPr>
        <w:t xml:space="preserve">Abdurrahman, A. (2012). </w:t>
      </w:r>
      <w:r w:rsidRPr="00BE4AF3">
        <w:rPr>
          <w:rFonts w:ascii="Times New Roman" w:hAnsi="Times New Roman" w:cs="Times New Roman"/>
          <w:i/>
          <w:iCs/>
          <w:noProof/>
          <w:sz w:val="24"/>
          <w:szCs w:val="24"/>
        </w:rPr>
        <w:t>Geological Investigation of Tagwai Dams using Remote Sensing Technique, Minna Niger State, Nigeria</w:t>
      </w:r>
      <w:r w:rsidRPr="00BE4AF3">
        <w:rPr>
          <w:rFonts w:ascii="Times New Roman" w:hAnsi="Times New Roman" w:cs="Times New Roman"/>
          <w:noProof/>
          <w:sz w:val="24"/>
          <w:szCs w:val="24"/>
        </w:rPr>
        <w:t>. https://api.semanticscholar.org/CorpusID:130869754</w:t>
      </w:r>
    </w:p>
    <w:p w14:paraId="09A58E76" w14:textId="77777777" w:rsidR="004371E3" w:rsidRPr="00BE4AF3" w:rsidRDefault="004371E3" w:rsidP="009E559E">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Atemoagbo, O. P., Martins, Y. O., Animashaun, I. M., &amp; Chukwu, S. E. (2024). Metropolitan Flood Risk Characterization Using Remote Sensing, GIS, and Fuzzy Logic (RS-GIS-Fl) Approach: Suleja, Nigeria. </w:t>
      </w:r>
      <w:r w:rsidRPr="00BE4AF3">
        <w:rPr>
          <w:rFonts w:ascii="Times New Roman" w:hAnsi="Times New Roman" w:cs="Times New Roman"/>
          <w:i/>
          <w:iCs/>
          <w:noProof/>
          <w:sz w:val="24"/>
          <w:szCs w:val="24"/>
        </w:rPr>
        <w:t>International Journal of Engineering and Computer Science</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13</w:t>
      </w:r>
      <w:r w:rsidRPr="00BE4AF3">
        <w:rPr>
          <w:rFonts w:ascii="Times New Roman" w:hAnsi="Times New Roman" w:cs="Times New Roman"/>
          <w:noProof/>
          <w:sz w:val="24"/>
          <w:szCs w:val="24"/>
        </w:rPr>
        <w:t>(03), 26101–26112. https://doi.org/10.18535/ijecs/v13i03.4798</w:t>
      </w:r>
    </w:p>
    <w:p w14:paraId="2F570CE0" w14:textId="77777777" w:rsidR="004371E3" w:rsidRPr="00BE4AF3" w:rsidRDefault="004371E3" w:rsidP="009E559E">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Dorcas, I., &amp; Wendy, Z. (2021). Land Use and Land Cover Change Assessment in the Context of. </w:t>
      </w:r>
      <w:r w:rsidRPr="00BE4AF3">
        <w:rPr>
          <w:rFonts w:ascii="Times New Roman" w:hAnsi="Times New Roman" w:cs="Times New Roman"/>
          <w:i/>
          <w:iCs/>
          <w:noProof/>
          <w:sz w:val="24"/>
          <w:szCs w:val="24"/>
        </w:rPr>
        <w:t>Water</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13</w:t>
      </w:r>
      <w:r w:rsidRPr="00BE4AF3">
        <w:rPr>
          <w:rFonts w:ascii="Times New Roman" w:hAnsi="Times New Roman" w:cs="Times New Roman"/>
          <w:noProof/>
          <w:sz w:val="24"/>
          <w:szCs w:val="24"/>
        </w:rPr>
        <w:t>(1105), 1–17.</w:t>
      </w:r>
    </w:p>
    <w:p w14:paraId="3995B635" w14:textId="77777777" w:rsidR="004371E3" w:rsidRPr="00BE4AF3" w:rsidRDefault="004371E3" w:rsidP="009E559E">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El Alfy, M. (2016). Assessing the impact of arid area urbanization on flash floods using GIS, remote sensing, and HEC-HMS rainfall-runoff modeling. </w:t>
      </w:r>
      <w:r w:rsidRPr="00BE4AF3">
        <w:rPr>
          <w:rFonts w:ascii="Times New Roman" w:hAnsi="Times New Roman" w:cs="Times New Roman"/>
          <w:i/>
          <w:iCs/>
          <w:noProof/>
          <w:sz w:val="24"/>
          <w:szCs w:val="24"/>
        </w:rPr>
        <w:t>Hydrology Research</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47</w:t>
      </w:r>
      <w:r w:rsidRPr="00BE4AF3">
        <w:rPr>
          <w:rFonts w:ascii="Times New Roman" w:hAnsi="Times New Roman" w:cs="Times New Roman"/>
          <w:noProof/>
          <w:sz w:val="24"/>
          <w:szCs w:val="24"/>
        </w:rPr>
        <w:t>(6), 1142–1160. https://doi.org/10.2166/nh.2016.133</w:t>
      </w:r>
    </w:p>
    <w:p w14:paraId="3F7BD802" w14:textId="77777777" w:rsidR="004371E3" w:rsidRPr="00BE4AF3" w:rsidRDefault="004371E3" w:rsidP="009E559E">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Salman, Q. M. K., &amp; Hamdan, A. N. A. (2023). Runoff Estimation for the Central Region of the Lesser Zab River Watershed Using the SCS-Curve Number Method and GIS. </w:t>
      </w:r>
      <w:r w:rsidRPr="00BE4AF3">
        <w:rPr>
          <w:rFonts w:ascii="Times New Roman" w:hAnsi="Times New Roman" w:cs="Times New Roman"/>
          <w:i/>
          <w:iCs/>
          <w:noProof/>
          <w:sz w:val="24"/>
          <w:szCs w:val="24"/>
        </w:rPr>
        <w:t>Journal of Ecological Engineering</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24</w:t>
      </w:r>
      <w:r w:rsidRPr="00BE4AF3">
        <w:rPr>
          <w:rFonts w:ascii="Times New Roman" w:hAnsi="Times New Roman" w:cs="Times New Roman"/>
          <w:noProof/>
          <w:sz w:val="24"/>
          <w:szCs w:val="24"/>
        </w:rPr>
        <w:t>(9), 232–245. https://doi.org/10.12911/22998993/167789</w:t>
      </w:r>
    </w:p>
    <w:p w14:paraId="0D1AACE1" w14:textId="77777777" w:rsidR="004371E3" w:rsidRPr="00BE4AF3" w:rsidRDefault="004371E3" w:rsidP="009E559E">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Samaila, I., Abubakar, K., Abdulkadir, U., Isa, Z., &amp; Tadama, M. H. (2025). Influence of land use and land cover changes on flood susceptibility in Karadua River Basin, Katsina State, Nigeria. </w:t>
      </w:r>
      <w:r w:rsidRPr="00BE4AF3">
        <w:rPr>
          <w:rFonts w:ascii="Times New Roman" w:hAnsi="Times New Roman" w:cs="Times New Roman"/>
          <w:i/>
          <w:iCs/>
          <w:noProof/>
          <w:sz w:val="24"/>
          <w:szCs w:val="24"/>
        </w:rPr>
        <w:t>Science World Journal</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19</w:t>
      </w:r>
      <w:r w:rsidRPr="00BE4AF3">
        <w:rPr>
          <w:rFonts w:ascii="Times New Roman" w:hAnsi="Times New Roman" w:cs="Times New Roman"/>
          <w:noProof/>
          <w:sz w:val="24"/>
          <w:szCs w:val="24"/>
        </w:rPr>
        <w:t>(4), 1023–1029. https://doi.org/10.4314/swj.v19i4.16</w:t>
      </w:r>
    </w:p>
    <w:p w14:paraId="5366F9A5" w14:textId="77777777" w:rsidR="004371E3" w:rsidRPr="00BE4AF3" w:rsidRDefault="004371E3" w:rsidP="009E559E">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Shrestha, B. B. (2019). Approach for analysis of land-cover changes and their impact on flooding regime. </w:t>
      </w:r>
      <w:r w:rsidRPr="00BE4AF3">
        <w:rPr>
          <w:rFonts w:ascii="Times New Roman" w:hAnsi="Times New Roman" w:cs="Times New Roman"/>
          <w:i/>
          <w:iCs/>
          <w:noProof/>
          <w:sz w:val="24"/>
          <w:szCs w:val="24"/>
        </w:rPr>
        <w:t>Quaternary</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2</w:t>
      </w:r>
      <w:r w:rsidRPr="00BE4AF3">
        <w:rPr>
          <w:rFonts w:ascii="Times New Roman" w:hAnsi="Times New Roman" w:cs="Times New Roman"/>
          <w:noProof/>
          <w:sz w:val="24"/>
          <w:szCs w:val="24"/>
        </w:rPr>
        <w:t>(3). https://doi.org/10.3390/quat2030027</w:t>
      </w:r>
    </w:p>
    <w:p w14:paraId="30841AD7" w14:textId="77777777" w:rsidR="004371E3" w:rsidRPr="00BE4AF3" w:rsidRDefault="004371E3" w:rsidP="009E559E">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Thakur, B., Parajuli, R., Kalra, A., Ahmad, S., &amp; Gupta, R. (2017). Coupling HEC-RAS and HEC-HMS in Precipitation Runoff Modelling and Evaluating Flood Plain Inundation Map. </w:t>
      </w:r>
      <w:r w:rsidRPr="00BE4AF3">
        <w:rPr>
          <w:rFonts w:ascii="Times New Roman" w:hAnsi="Times New Roman" w:cs="Times New Roman"/>
          <w:i/>
          <w:iCs/>
          <w:noProof/>
          <w:sz w:val="24"/>
          <w:szCs w:val="24"/>
        </w:rPr>
        <w:t>World Environmental and Water Resources Congress 2017: Hydraulics and Waterways and Water Distribution Systems Analysis - Selected Papers from the World Environmental and Water Resources Congress 2017</w:t>
      </w:r>
      <w:r w:rsidRPr="00BE4AF3">
        <w:rPr>
          <w:rFonts w:ascii="Times New Roman" w:hAnsi="Times New Roman" w:cs="Times New Roman"/>
          <w:noProof/>
          <w:sz w:val="24"/>
          <w:szCs w:val="24"/>
        </w:rPr>
        <w:t>, 240–251. https://doi.org/10.1061/9780784480625.022</w:t>
      </w:r>
    </w:p>
    <w:p w14:paraId="57067329" w14:textId="77777777" w:rsidR="004371E3" w:rsidRPr="00BE4AF3" w:rsidRDefault="004371E3" w:rsidP="009E559E">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BE4AF3">
        <w:rPr>
          <w:rFonts w:ascii="Times New Roman" w:hAnsi="Times New Roman" w:cs="Times New Roman"/>
          <w:noProof/>
          <w:sz w:val="24"/>
          <w:szCs w:val="24"/>
        </w:rPr>
        <w:t xml:space="preserve">White, K. L., &amp; Chaubey, I. (2006). </w:t>
      </w:r>
      <w:r w:rsidRPr="00BE4AF3">
        <w:rPr>
          <w:rFonts w:ascii="Times New Roman" w:hAnsi="Times New Roman" w:cs="Times New Roman"/>
          <w:i/>
          <w:iCs/>
          <w:noProof/>
          <w:sz w:val="24"/>
          <w:szCs w:val="24"/>
        </w:rPr>
        <w:t>White, 2005 - Sensitivity analysis, calibration, and validations a multisite and mutivariable SWAT model</w:t>
      </w:r>
      <w:r w:rsidRPr="00BE4AF3">
        <w:rPr>
          <w:rFonts w:ascii="Times New Roman" w:hAnsi="Times New Roman" w:cs="Times New Roman"/>
          <w:noProof/>
          <w:sz w:val="24"/>
          <w:szCs w:val="24"/>
        </w:rPr>
        <w:t xml:space="preserve">. </w:t>
      </w:r>
      <w:r w:rsidRPr="00BE4AF3">
        <w:rPr>
          <w:rFonts w:ascii="Times New Roman" w:hAnsi="Times New Roman" w:cs="Times New Roman"/>
          <w:i/>
          <w:iCs/>
          <w:noProof/>
          <w:sz w:val="24"/>
          <w:szCs w:val="24"/>
        </w:rPr>
        <w:t>72701</w:t>
      </w:r>
      <w:r w:rsidRPr="00BE4AF3">
        <w:rPr>
          <w:rFonts w:ascii="Times New Roman" w:hAnsi="Times New Roman" w:cs="Times New Roman"/>
          <w:noProof/>
          <w:sz w:val="24"/>
          <w:szCs w:val="24"/>
        </w:rPr>
        <w:t>, 1077–1089.</w:t>
      </w:r>
    </w:p>
    <w:p w14:paraId="2D7CC98E" w14:textId="77777777" w:rsidR="004371E3" w:rsidRDefault="004371E3" w:rsidP="009E559E">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fldChar w:fldCharType="end"/>
      </w:r>
    </w:p>
    <w:p w14:paraId="47F47297" w14:textId="77777777" w:rsidR="009E559E" w:rsidRDefault="009E559E" w:rsidP="009E559E">
      <w:pPr>
        <w:spacing w:after="0" w:line="240" w:lineRule="auto"/>
        <w:jc w:val="both"/>
        <w:rPr>
          <w:rFonts w:ascii="Times New Roman" w:hAnsi="Times New Roman" w:cs="Times New Roman"/>
          <w:b/>
          <w:bCs/>
          <w:sz w:val="24"/>
          <w:szCs w:val="24"/>
        </w:rPr>
      </w:pPr>
    </w:p>
    <w:p w14:paraId="3F751B64" w14:textId="77777777" w:rsidR="009E559E" w:rsidRDefault="009E559E" w:rsidP="009E559E">
      <w:pPr>
        <w:spacing w:after="0" w:line="240" w:lineRule="auto"/>
        <w:jc w:val="both"/>
        <w:rPr>
          <w:rFonts w:ascii="Times New Roman" w:hAnsi="Times New Roman" w:cs="Times New Roman"/>
          <w:b/>
          <w:bCs/>
          <w:sz w:val="24"/>
          <w:szCs w:val="24"/>
        </w:rPr>
      </w:pPr>
    </w:p>
    <w:p w14:paraId="38AF2B5D" w14:textId="77777777" w:rsidR="009E559E" w:rsidRDefault="009E559E" w:rsidP="009E559E">
      <w:pPr>
        <w:spacing w:after="0" w:line="240" w:lineRule="auto"/>
        <w:jc w:val="both"/>
        <w:rPr>
          <w:rFonts w:ascii="Times New Roman" w:hAnsi="Times New Roman" w:cs="Times New Roman"/>
          <w:b/>
          <w:bCs/>
          <w:sz w:val="24"/>
          <w:szCs w:val="24"/>
        </w:rPr>
      </w:pPr>
    </w:p>
    <w:p w14:paraId="66AA14ED" w14:textId="77777777" w:rsidR="00E77DDF" w:rsidRDefault="00E77DDF" w:rsidP="00E77DDF">
      <w:pPr>
        <w:autoSpaceDE w:val="0"/>
        <w:autoSpaceDN w:val="0"/>
        <w:adjustRightInd w:val="0"/>
        <w:spacing w:after="0" w:line="240" w:lineRule="auto"/>
        <w:rPr>
          <w:rFonts w:ascii="Times New Roman" w:hAnsi="Times New Roman" w:cs="Times New Roman"/>
          <w:b/>
          <w:sz w:val="28"/>
          <w:szCs w:val="28"/>
        </w:rPr>
      </w:pPr>
    </w:p>
    <w:p w14:paraId="274D2860" w14:textId="1B2B495C" w:rsidR="00F53A50" w:rsidRPr="00B63807" w:rsidRDefault="00F53A50" w:rsidP="00851684">
      <w:pPr>
        <w:autoSpaceDE w:val="0"/>
        <w:autoSpaceDN w:val="0"/>
        <w:adjustRightInd w:val="0"/>
        <w:spacing w:after="0" w:line="240" w:lineRule="auto"/>
        <w:jc w:val="center"/>
        <w:rPr>
          <w:rFonts w:ascii="Times New Roman" w:hAnsi="Times New Roman" w:cs="Times New Roman"/>
          <w:b/>
          <w:sz w:val="28"/>
          <w:szCs w:val="28"/>
        </w:rPr>
      </w:pPr>
      <w:r w:rsidRPr="00B63807">
        <w:rPr>
          <w:rFonts w:ascii="Times New Roman" w:hAnsi="Times New Roman" w:cs="Times New Roman"/>
          <w:b/>
          <w:sz w:val="28"/>
          <w:szCs w:val="28"/>
        </w:rPr>
        <w:lastRenderedPageBreak/>
        <w:t>Towards a Healthy Housing Sector in Nigeria: A Critical Review of</w:t>
      </w:r>
    </w:p>
    <w:p w14:paraId="5612B1E8" w14:textId="77777777" w:rsidR="00F53A50" w:rsidRPr="00B63807" w:rsidRDefault="00F53A50" w:rsidP="00851684">
      <w:pPr>
        <w:autoSpaceDE w:val="0"/>
        <w:autoSpaceDN w:val="0"/>
        <w:adjustRightInd w:val="0"/>
        <w:spacing w:after="0" w:line="240" w:lineRule="auto"/>
        <w:jc w:val="center"/>
        <w:rPr>
          <w:rFonts w:ascii="Times New Roman" w:hAnsi="Times New Roman" w:cs="Times New Roman"/>
          <w:b/>
          <w:sz w:val="28"/>
          <w:szCs w:val="28"/>
        </w:rPr>
      </w:pPr>
      <w:r w:rsidRPr="00B63807">
        <w:rPr>
          <w:rFonts w:ascii="Times New Roman" w:hAnsi="Times New Roman" w:cs="Times New Roman"/>
          <w:b/>
          <w:sz w:val="28"/>
          <w:szCs w:val="28"/>
        </w:rPr>
        <w:t>Green Building Materials</w:t>
      </w:r>
    </w:p>
    <w:p w14:paraId="263FF29D" w14:textId="77777777" w:rsidR="00851684" w:rsidRPr="00BE4AF3" w:rsidRDefault="00851684" w:rsidP="00851684">
      <w:pPr>
        <w:autoSpaceDE w:val="0"/>
        <w:autoSpaceDN w:val="0"/>
        <w:adjustRightInd w:val="0"/>
        <w:spacing w:after="0" w:line="240" w:lineRule="auto"/>
        <w:jc w:val="center"/>
        <w:rPr>
          <w:rFonts w:ascii="Times New Roman" w:hAnsi="Times New Roman" w:cs="Times New Roman"/>
          <w:sz w:val="24"/>
          <w:szCs w:val="24"/>
        </w:rPr>
      </w:pPr>
    </w:p>
    <w:p w14:paraId="7E4B48FF" w14:textId="77777777" w:rsidR="00F53A50" w:rsidRPr="00BE4AF3" w:rsidRDefault="00F53A50" w:rsidP="00851684">
      <w:pPr>
        <w:autoSpaceDE w:val="0"/>
        <w:autoSpaceDN w:val="0"/>
        <w:adjustRightInd w:val="0"/>
        <w:spacing w:after="0" w:line="240" w:lineRule="auto"/>
        <w:jc w:val="center"/>
        <w:rPr>
          <w:rFonts w:ascii="Times New Roman" w:hAnsi="Times New Roman" w:cs="Times New Roman"/>
          <w:sz w:val="24"/>
          <w:szCs w:val="24"/>
        </w:rPr>
      </w:pPr>
      <w:r w:rsidRPr="00BE4AF3">
        <w:rPr>
          <w:rFonts w:ascii="Times New Roman" w:hAnsi="Times New Roman" w:cs="Times New Roman"/>
          <w:sz w:val="24"/>
          <w:szCs w:val="24"/>
        </w:rPr>
        <w:t>Yusuf, A.</w:t>
      </w:r>
    </w:p>
    <w:p w14:paraId="293C6848" w14:textId="77777777" w:rsidR="00851684" w:rsidRPr="00BE4AF3" w:rsidRDefault="00851684" w:rsidP="00851684">
      <w:pPr>
        <w:autoSpaceDE w:val="0"/>
        <w:autoSpaceDN w:val="0"/>
        <w:adjustRightInd w:val="0"/>
        <w:spacing w:after="0" w:line="240" w:lineRule="auto"/>
        <w:jc w:val="center"/>
        <w:rPr>
          <w:rFonts w:ascii="Times New Roman" w:hAnsi="Times New Roman" w:cs="Times New Roman"/>
          <w:sz w:val="24"/>
          <w:szCs w:val="24"/>
        </w:rPr>
      </w:pPr>
    </w:p>
    <w:p w14:paraId="0D795F90" w14:textId="77777777" w:rsidR="00F53A50" w:rsidRPr="00B63807" w:rsidRDefault="00F53A50" w:rsidP="00851684">
      <w:pPr>
        <w:autoSpaceDE w:val="0"/>
        <w:autoSpaceDN w:val="0"/>
        <w:adjustRightInd w:val="0"/>
        <w:spacing w:after="0" w:line="240" w:lineRule="auto"/>
        <w:jc w:val="center"/>
        <w:rPr>
          <w:rFonts w:ascii="Times New Roman" w:hAnsi="Times New Roman" w:cs="Times New Roman"/>
          <w:sz w:val="20"/>
          <w:szCs w:val="20"/>
        </w:rPr>
      </w:pPr>
      <w:r w:rsidRPr="00B63807">
        <w:rPr>
          <w:rFonts w:ascii="Times New Roman" w:hAnsi="Times New Roman" w:cs="Times New Roman"/>
          <w:sz w:val="20"/>
          <w:szCs w:val="20"/>
        </w:rPr>
        <w:t>Department of Architectural Technology, Hassan Usman Katsina Polytechnic, Katsina State,</w:t>
      </w:r>
      <w:r w:rsidR="00851684" w:rsidRPr="00B63807">
        <w:rPr>
          <w:rFonts w:ascii="Times New Roman" w:hAnsi="Times New Roman" w:cs="Times New Roman"/>
          <w:sz w:val="20"/>
          <w:szCs w:val="20"/>
        </w:rPr>
        <w:t xml:space="preserve"> </w:t>
      </w:r>
      <w:r w:rsidRPr="00B63807">
        <w:rPr>
          <w:rFonts w:ascii="Times New Roman" w:hAnsi="Times New Roman" w:cs="Times New Roman"/>
          <w:sz w:val="20"/>
          <w:szCs w:val="20"/>
        </w:rPr>
        <w:t>Nigeria</w:t>
      </w:r>
    </w:p>
    <w:p w14:paraId="0453BCC8" w14:textId="77777777" w:rsidR="00851684" w:rsidRPr="00B63807" w:rsidRDefault="00851684" w:rsidP="00851684">
      <w:pPr>
        <w:autoSpaceDE w:val="0"/>
        <w:autoSpaceDN w:val="0"/>
        <w:adjustRightInd w:val="0"/>
        <w:spacing w:after="0" w:line="240" w:lineRule="auto"/>
        <w:jc w:val="center"/>
        <w:rPr>
          <w:rFonts w:ascii="Times New Roman" w:hAnsi="Times New Roman" w:cs="Times New Roman"/>
          <w:sz w:val="20"/>
          <w:szCs w:val="20"/>
        </w:rPr>
      </w:pPr>
    </w:p>
    <w:p w14:paraId="1B7DF13E" w14:textId="77777777" w:rsidR="00F53A50" w:rsidRPr="00B63807" w:rsidRDefault="00F53A50" w:rsidP="00851684">
      <w:pPr>
        <w:autoSpaceDE w:val="0"/>
        <w:autoSpaceDN w:val="0"/>
        <w:adjustRightInd w:val="0"/>
        <w:spacing w:after="0" w:line="240" w:lineRule="auto"/>
        <w:jc w:val="center"/>
        <w:rPr>
          <w:rFonts w:ascii="Times New Roman" w:hAnsi="Times New Roman" w:cs="Times New Roman"/>
          <w:sz w:val="20"/>
          <w:szCs w:val="20"/>
        </w:rPr>
      </w:pPr>
      <w:r w:rsidRPr="00B63807">
        <w:rPr>
          <w:rFonts w:ascii="Times New Roman" w:hAnsi="Times New Roman" w:cs="Times New Roman"/>
          <w:sz w:val="20"/>
          <w:szCs w:val="20"/>
        </w:rPr>
        <w:t>abdoollaa@outlook.com</w:t>
      </w:r>
    </w:p>
    <w:p w14:paraId="499C8DEC" w14:textId="77777777" w:rsidR="00851684" w:rsidRPr="00BE4AF3" w:rsidRDefault="00851684" w:rsidP="00E90BB6">
      <w:pPr>
        <w:autoSpaceDE w:val="0"/>
        <w:autoSpaceDN w:val="0"/>
        <w:adjustRightInd w:val="0"/>
        <w:spacing w:after="0" w:line="240" w:lineRule="auto"/>
        <w:rPr>
          <w:rFonts w:ascii="Times New Roman" w:hAnsi="Times New Roman" w:cs="Times New Roman"/>
          <w:sz w:val="24"/>
          <w:szCs w:val="24"/>
        </w:rPr>
      </w:pPr>
    </w:p>
    <w:p w14:paraId="15FD6BA2" w14:textId="77777777" w:rsidR="00F53A50" w:rsidRPr="00BE4AF3" w:rsidRDefault="00F53A50" w:rsidP="00E90BB6">
      <w:pPr>
        <w:autoSpaceDE w:val="0"/>
        <w:autoSpaceDN w:val="0"/>
        <w:adjustRightInd w:val="0"/>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LICFES 2025-016 – FP17</w:t>
      </w:r>
    </w:p>
    <w:p w14:paraId="3616D19C" w14:textId="77777777" w:rsidR="00F53A50" w:rsidRPr="00BE4AF3" w:rsidRDefault="00F53A50" w:rsidP="00E90BB6">
      <w:pPr>
        <w:autoSpaceDE w:val="0"/>
        <w:autoSpaceDN w:val="0"/>
        <w:adjustRightInd w:val="0"/>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Abstract</w:t>
      </w:r>
    </w:p>
    <w:p w14:paraId="24742A83" w14:textId="77777777" w:rsidR="00F53A50" w:rsidRPr="00BE4AF3" w:rsidRDefault="00F53A50" w:rsidP="000C7355">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Green building materials are now a global trend in building construction due to their environmental</w:t>
      </w:r>
      <w:r w:rsidR="000C7355" w:rsidRPr="00BE4AF3">
        <w:rPr>
          <w:rFonts w:ascii="Times New Roman" w:hAnsi="Times New Roman" w:cs="Times New Roman"/>
          <w:sz w:val="24"/>
          <w:szCs w:val="24"/>
        </w:rPr>
        <w:t xml:space="preserve"> </w:t>
      </w:r>
      <w:r w:rsidRPr="00BE4AF3">
        <w:rPr>
          <w:rFonts w:ascii="Times New Roman" w:hAnsi="Times New Roman" w:cs="Times New Roman"/>
          <w:sz w:val="24"/>
          <w:szCs w:val="24"/>
        </w:rPr>
        <w:t>and health benefits for both the environment and human beings. The global purposeful use of these</w:t>
      </w:r>
      <w:r w:rsidR="000C7355" w:rsidRPr="00BE4AF3">
        <w:rPr>
          <w:rFonts w:ascii="Times New Roman" w:hAnsi="Times New Roman" w:cs="Times New Roman"/>
          <w:sz w:val="24"/>
          <w:szCs w:val="24"/>
        </w:rPr>
        <w:t xml:space="preserve"> </w:t>
      </w:r>
      <w:r w:rsidRPr="00BE4AF3">
        <w:rPr>
          <w:rFonts w:ascii="Times New Roman" w:hAnsi="Times New Roman" w:cs="Times New Roman"/>
          <w:sz w:val="24"/>
          <w:szCs w:val="24"/>
        </w:rPr>
        <w:t>green building materials has been tested to have a positive impact on reducing CO2 emissions</w:t>
      </w:r>
      <w:r w:rsidR="000C7355" w:rsidRPr="00BE4AF3">
        <w:rPr>
          <w:rFonts w:ascii="Times New Roman" w:hAnsi="Times New Roman" w:cs="Times New Roman"/>
          <w:sz w:val="24"/>
          <w:szCs w:val="24"/>
        </w:rPr>
        <w:t xml:space="preserve"> </w:t>
      </w:r>
      <w:r w:rsidRPr="00BE4AF3">
        <w:rPr>
          <w:rFonts w:ascii="Times New Roman" w:hAnsi="Times New Roman" w:cs="Times New Roman"/>
          <w:sz w:val="24"/>
          <w:szCs w:val="24"/>
        </w:rPr>
        <w:t>from housing settlements and the broader environment. Still, the Nigerian space is lacking greatly</w:t>
      </w:r>
      <w:r w:rsidR="000C7355" w:rsidRPr="00BE4AF3">
        <w:rPr>
          <w:rFonts w:ascii="Times New Roman" w:hAnsi="Times New Roman" w:cs="Times New Roman"/>
          <w:sz w:val="24"/>
          <w:szCs w:val="24"/>
        </w:rPr>
        <w:t xml:space="preserve"> </w:t>
      </w:r>
      <w:r w:rsidRPr="00BE4AF3">
        <w:rPr>
          <w:rFonts w:ascii="Times New Roman" w:hAnsi="Times New Roman" w:cs="Times New Roman"/>
          <w:sz w:val="24"/>
          <w:szCs w:val="24"/>
        </w:rPr>
        <w:t>in mitigating the menace. The study aims to close the gap in the Nigerian space by exploring the</w:t>
      </w:r>
      <w:r w:rsidR="000C7355" w:rsidRPr="00BE4AF3">
        <w:rPr>
          <w:rFonts w:ascii="Times New Roman" w:hAnsi="Times New Roman" w:cs="Times New Roman"/>
          <w:sz w:val="24"/>
          <w:szCs w:val="24"/>
        </w:rPr>
        <w:t xml:space="preserve"> </w:t>
      </w:r>
      <w:r w:rsidRPr="00BE4AF3">
        <w:rPr>
          <w:rFonts w:ascii="Times New Roman" w:hAnsi="Times New Roman" w:cs="Times New Roman"/>
          <w:sz w:val="24"/>
          <w:szCs w:val="24"/>
        </w:rPr>
        <w:t>various climatic conditions of the six geopolitical zones and utilising a relatively green building</w:t>
      </w:r>
      <w:r w:rsidR="000C7355" w:rsidRPr="00BE4AF3">
        <w:rPr>
          <w:rFonts w:ascii="Times New Roman" w:hAnsi="Times New Roman" w:cs="Times New Roman"/>
          <w:sz w:val="24"/>
          <w:szCs w:val="24"/>
        </w:rPr>
        <w:t xml:space="preserve"> </w:t>
      </w:r>
      <w:r w:rsidRPr="00BE4AF3">
        <w:rPr>
          <w:rFonts w:ascii="Times New Roman" w:hAnsi="Times New Roman" w:cs="Times New Roman"/>
          <w:sz w:val="24"/>
          <w:szCs w:val="24"/>
        </w:rPr>
        <w:t>material that will reflect each geopolitical zone's housing adaptation to become eco-friendly.</w:t>
      </w:r>
      <w:r w:rsidR="000C7355" w:rsidRPr="00BE4AF3">
        <w:rPr>
          <w:rFonts w:ascii="Times New Roman" w:hAnsi="Times New Roman" w:cs="Times New Roman"/>
          <w:sz w:val="24"/>
          <w:szCs w:val="24"/>
        </w:rPr>
        <w:t xml:space="preserve"> </w:t>
      </w:r>
      <w:r w:rsidRPr="00BE4AF3">
        <w:rPr>
          <w:rFonts w:ascii="Times New Roman" w:hAnsi="Times New Roman" w:cs="Times New Roman"/>
          <w:sz w:val="24"/>
          <w:szCs w:val="24"/>
        </w:rPr>
        <w:t>Through the critical review of the literature, green building materials were identified to be more</w:t>
      </w:r>
      <w:r w:rsidR="000C7355" w:rsidRPr="00BE4AF3">
        <w:rPr>
          <w:rFonts w:ascii="Times New Roman" w:hAnsi="Times New Roman" w:cs="Times New Roman"/>
          <w:sz w:val="24"/>
          <w:szCs w:val="24"/>
        </w:rPr>
        <w:t xml:space="preserve"> </w:t>
      </w:r>
      <w:r w:rsidRPr="00BE4AF3">
        <w:rPr>
          <w:rFonts w:ascii="Times New Roman" w:hAnsi="Times New Roman" w:cs="Times New Roman"/>
          <w:sz w:val="24"/>
          <w:szCs w:val="24"/>
        </w:rPr>
        <w:t>sustainable than others, as they reflect the weather and climate of the various regions of the</w:t>
      </w:r>
      <w:r w:rsidR="000C7355" w:rsidRPr="00BE4AF3">
        <w:rPr>
          <w:rFonts w:ascii="Times New Roman" w:hAnsi="Times New Roman" w:cs="Times New Roman"/>
          <w:sz w:val="24"/>
          <w:szCs w:val="24"/>
        </w:rPr>
        <w:t xml:space="preserve"> </w:t>
      </w:r>
      <w:r w:rsidRPr="00BE4AF3">
        <w:rPr>
          <w:rFonts w:ascii="Times New Roman" w:hAnsi="Times New Roman" w:cs="Times New Roman"/>
          <w:sz w:val="24"/>
          <w:szCs w:val="24"/>
        </w:rPr>
        <w:t>country. Green building materials have become a key factor in driving sustainable housing growth</w:t>
      </w:r>
      <w:r w:rsidR="000C7355" w:rsidRPr="00BE4AF3">
        <w:rPr>
          <w:rFonts w:ascii="Times New Roman" w:hAnsi="Times New Roman" w:cs="Times New Roman"/>
          <w:sz w:val="24"/>
          <w:szCs w:val="24"/>
        </w:rPr>
        <w:t xml:space="preserve"> </w:t>
      </w:r>
      <w:r w:rsidRPr="00BE4AF3">
        <w:rPr>
          <w:rFonts w:ascii="Times New Roman" w:hAnsi="Times New Roman" w:cs="Times New Roman"/>
          <w:sz w:val="24"/>
          <w:szCs w:val="24"/>
        </w:rPr>
        <w:t>in the Nigerian housing sector, to reduce carbon footprints, lower construction costs, and improve</w:t>
      </w:r>
      <w:r w:rsidR="000C7355" w:rsidRPr="00BE4AF3">
        <w:rPr>
          <w:rFonts w:ascii="Times New Roman" w:hAnsi="Times New Roman" w:cs="Times New Roman"/>
          <w:sz w:val="24"/>
          <w:szCs w:val="24"/>
        </w:rPr>
        <w:t xml:space="preserve"> </w:t>
      </w:r>
      <w:r w:rsidRPr="00BE4AF3">
        <w:rPr>
          <w:rFonts w:ascii="Times New Roman" w:hAnsi="Times New Roman" w:cs="Times New Roman"/>
          <w:sz w:val="24"/>
          <w:szCs w:val="24"/>
        </w:rPr>
        <w:t>material performance towards a greener future. Among the factored variables featured to relate</w:t>
      </w:r>
      <w:r w:rsidR="000C7355" w:rsidRPr="00BE4AF3">
        <w:rPr>
          <w:rFonts w:ascii="Times New Roman" w:hAnsi="Times New Roman" w:cs="Times New Roman"/>
          <w:sz w:val="24"/>
          <w:szCs w:val="24"/>
        </w:rPr>
        <w:t xml:space="preserve"> </w:t>
      </w:r>
      <w:r w:rsidRPr="00BE4AF3">
        <w:rPr>
          <w:rFonts w:ascii="Times New Roman" w:hAnsi="Times New Roman" w:cs="Times New Roman"/>
          <w:sz w:val="24"/>
          <w:szCs w:val="24"/>
        </w:rPr>
        <w:t>with the various climatic conditions in the six geo-political zones, applicable to various green</w:t>
      </w:r>
      <w:r w:rsidR="000C7355" w:rsidRPr="00BE4AF3">
        <w:rPr>
          <w:rFonts w:ascii="Times New Roman" w:hAnsi="Times New Roman" w:cs="Times New Roman"/>
          <w:sz w:val="24"/>
          <w:szCs w:val="24"/>
        </w:rPr>
        <w:t xml:space="preserve"> </w:t>
      </w:r>
      <w:r w:rsidRPr="00BE4AF3">
        <w:rPr>
          <w:rFonts w:ascii="Times New Roman" w:hAnsi="Times New Roman" w:cs="Times New Roman"/>
          <w:sz w:val="24"/>
          <w:szCs w:val="24"/>
        </w:rPr>
        <w:t>building materials are rainfall, temperature and the level of their CO2 emissions. Green building</w:t>
      </w:r>
      <w:r w:rsidR="000C7355" w:rsidRPr="00BE4AF3">
        <w:rPr>
          <w:rFonts w:ascii="Times New Roman" w:hAnsi="Times New Roman" w:cs="Times New Roman"/>
          <w:sz w:val="24"/>
          <w:szCs w:val="24"/>
        </w:rPr>
        <w:t xml:space="preserve"> </w:t>
      </w:r>
      <w:r w:rsidRPr="00BE4AF3">
        <w:rPr>
          <w:rFonts w:ascii="Times New Roman" w:hAnsi="Times New Roman" w:cs="Times New Roman"/>
          <w:sz w:val="24"/>
          <w:szCs w:val="24"/>
        </w:rPr>
        <w:t>materials are identified as eco-friendly and are to be adopted in various zones in Nigeria.</w:t>
      </w:r>
      <w:r w:rsidR="000C7355" w:rsidRPr="00BE4AF3">
        <w:rPr>
          <w:rFonts w:ascii="Times New Roman" w:hAnsi="Times New Roman" w:cs="Times New Roman"/>
          <w:sz w:val="24"/>
          <w:szCs w:val="24"/>
        </w:rPr>
        <w:t xml:space="preserve"> </w:t>
      </w:r>
      <w:r w:rsidRPr="00BE4AF3">
        <w:rPr>
          <w:rFonts w:ascii="Times New Roman" w:hAnsi="Times New Roman" w:cs="Times New Roman"/>
          <w:sz w:val="24"/>
          <w:szCs w:val="24"/>
        </w:rPr>
        <w:t>Keywords: CO2 Emissions, Eco-friendly, Green Building Materials, Nigerian Housing Sector</w:t>
      </w:r>
      <w:r w:rsidR="000C7355" w:rsidRPr="00BE4AF3">
        <w:rPr>
          <w:rFonts w:ascii="Times New Roman" w:hAnsi="Times New Roman" w:cs="Times New Roman"/>
          <w:sz w:val="24"/>
          <w:szCs w:val="24"/>
        </w:rPr>
        <w:t xml:space="preserve"> </w:t>
      </w:r>
    </w:p>
    <w:p w14:paraId="178F9917" w14:textId="77777777" w:rsidR="000C7355" w:rsidRPr="00BE4AF3" w:rsidRDefault="000C7355" w:rsidP="000C7355">
      <w:pPr>
        <w:autoSpaceDE w:val="0"/>
        <w:autoSpaceDN w:val="0"/>
        <w:adjustRightInd w:val="0"/>
        <w:spacing w:after="0" w:line="240" w:lineRule="auto"/>
        <w:rPr>
          <w:rFonts w:ascii="Times New Roman" w:hAnsi="Times New Roman" w:cs="Times New Roman"/>
          <w:sz w:val="24"/>
          <w:szCs w:val="24"/>
        </w:rPr>
      </w:pPr>
    </w:p>
    <w:p w14:paraId="7AF0D55A" w14:textId="5E1221E7" w:rsidR="00A226D9" w:rsidRPr="00B63807" w:rsidRDefault="00B63807" w:rsidP="00A226D9">
      <w:pPr>
        <w:autoSpaceDE w:val="0"/>
        <w:autoSpaceDN w:val="0"/>
        <w:adjustRightInd w:val="0"/>
        <w:spacing w:after="0" w:line="240" w:lineRule="auto"/>
        <w:rPr>
          <w:rFonts w:ascii="Times New Roman" w:hAnsi="Times New Roman" w:cs="Times New Roman"/>
          <w:b/>
          <w:bCs/>
          <w:sz w:val="24"/>
          <w:szCs w:val="24"/>
        </w:rPr>
      </w:pPr>
      <w:r w:rsidRPr="00B63807">
        <w:rPr>
          <w:rFonts w:ascii="Times New Roman" w:hAnsi="Times New Roman" w:cs="Times New Roman"/>
          <w:b/>
          <w:bCs/>
          <w:sz w:val="24"/>
          <w:szCs w:val="24"/>
        </w:rPr>
        <w:t>Introduction</w:t>
      </w:r>
    </w:p>
    <w:p w14:paraId="5DA9DE4D" w14:textId="77777777" w:rsidR="00E77DDF" w:rsidRPr="00E77DDF" w:rsidRDefault="00E77DDF" w:rsidP="00E77DDF">
      <w:pPr>
        <w:autoSpaceDE w:val="0"/>
        <w:autoSpaceDN w:val="0"/>
        <w:adjustRightInd w:val="0"/>
        <w:spacing w:after="0" w:line="240" w:lineRule="auto"/>
        <w:jc w:val="both"/>
        <w:rPr>
          <w:rFonts w:ascii="Times New Roman" w:hAnsi="Times New Roman" w:cs="Times New Roman"/>
          <w:sz w:val="24"/>
          <w:szCs w:val="24"/>
        </w:rPr>
      </w:pPr>
      <w:r w:rsidRPr="00E77DDF">
        <w:rPr>
          <w:rFonts w:ascii="Times New Roman" w:hAnsi="Times New Roman" w:cs="Times New Roman"/>
          <w:sz w:val="24"/>
          <w:szCs w:val="24"/>
        </w:rPr>
        <w:t>Attaining a healthy housing sector in Nigeria requires the characteristics of a clean environment and houses built with green materials. Though human activities contribute to making the environment toxic, and building construction is an underlying factor towards the emission of CO2 gases through the use of materials that are not green and eco-friendly. Mitigating these factors remains paramount (Jonam et al., 2021).</w:t>
      </w:r>
    </w:p>
    <w:p w14:paraId="546D5372" w14:textId="13295A51" w:rsidR="00E77DDF" w:rsidRPr="00E77DDF" w:rsidRDefault="00E77DDF" w:rsidP="00E77DDF">
      <w:pPr>
        <w:autoSpaceDE w:val="0"/>
        <w:autoSpaceDN w:val="0"/>
        <w:adjustRightInd w:val="0"/>
        <w:spacing w:after="0" w:line="240" w:lineRule="auto"/>
        <w:jc w:val="both"/>
        <w:rPr>
          <w:rFonts w:ascii="Times New Roman" w:hAnsi="Times New Roman" w:cs="Times New Roman"/>
          <w:sz w:val="24"/>
          <w:szCs w:val="24"/>
        </w:rPr>
      </w:pPr>
      <w:r w:rsidRPr="00E77DDF">
        <w:rPr>
          <w:rFonts w:ascii="Times New Roman" w:hAnsi="Times New Roman" w:cs="Times New Roman"/>
          <w:sz w:val="24"/>
          <w:szCs w:val="24"/>
        </w:rPr>
        <w:t>The global attention has been driven towards climate change and maintaining a healthy environment, with the housing sector considered to be the primary area of concern. The building materials used in construction can contribute to global warming through the greenhouse gases they emit into the environment. The selection of the materials and how their usage is conducted in</w:t>
      </w:r>
      <w:r>
        <w:rPr>
          <w:rFonts w:ascii="Times New Roman" w:hAnsi="Times New Roman" w:cs="Times New Roman"/>
          <w:sz w:val="24"/>
          <w:szCs w:val="24"/>
        </w:rPr>
        <w:t xml:space="preserve"> </w:t>
      </w:r>
      <w:r w:rsidRPr="00E77DDF">
        <w:rPr>
          <w:rFonts w:ascii="Times New Roman" w:hAnsi="Times New Roman" w:cs="Times New Roman"/>
          <w:sz w:val="24"/>
          <w:szCs w:val="24"/>
        </w:rPr>
        <w:t>relation to the construction process has a significant impact on the acquired building energy performance (Agencia Internacional de Energia, 2018). When the building materials are not carefully selected, emissions from the industry will inevitably be carbon-intensive materials of steel and concrete (Batayneh et al., 2007).</w:t>
      </w:r>
    </w:p>
    <w:p w14:paraId="012723D2" w14:textId="77777777" w:rsidR="00E77DDF" w:rsidRPr="00E77DDF" w:rsidRDefault="00E77DDF" w:rsidP="00E77DDF">
      <w:pPr>
        <w:autoSpaceDE w:val="0"/>
        <w:autoSpaceDN w:val="0"/>
        <w:adjustRightInd w:val="0"/>
        <w:spacing w:after="0" w:line="240" w:lineRule="auto"/>
        <w:jc w:val="both"/>
        <w:rPr>
          <w:rFonts w:ascii="Times New Roman" w:hAnsi="Times New Roman" w:cs="Times New Roman"/>
          <w:sz w:val="24"/>
          <w:szCs w:val="24"/>
        </w:rPr>
      </w:pPr>
      <w:r w:rsidRPr="00E77DDF">
        <w:rPr>
          <w:rFonts w:ascii="Times New Roman" w:hAnsi="Times New Roman" w:cs="Times New Roman"/>
          <w:sz w:val="24"/>
          <w:szCs w:val="24"/>
        </w:rPr>
        <w:t xml:space="preserve">The use of conventional building materials in attaining housing sectors constitutes a harmful consequence in the environment (Mavi et al., 2021). This negative impact is more felt in the less developed nations. In countries like Malaysia, the construction industry accounts for 24% CO2 emissions (Klufallah et al., 2016). In Nigeria, notable emissions from the construction and manufacturing industries increased from 2,557 to 23,714 Gg of CO2 emissions, which has a </w:t>
      </w:r>
      <w:r w:rsidRPr="00E77DDF">
        <w:rPr>
          <w:rFonts w:ascii="Times New Roman" w:hAnsi="Times New Roman" w:cs="Times New Roman"/>
          <w:sz w:val="24"/>
          <w:szCs w:val="24"/>
        </w:rPr>
        <w:lastRenderedPageBreak/>
        <w:t>converted equivalent for the years 2000 and 2015, resulting in an approximate 87% increase (FRN, 2018). Conventional materials, such as cement, steel, concrete, and bricks, collectively account for approximately 66% of the emissions associated with their production, while other sources related to construction account for 74% of all emissions (Tirth et al., 2019). The reverse is the case for locally acquired materials like hempcrete, bamboo, sheep’s wool, straw and clay. They are eco- friendly with almost zero carbon emissions and require less energy for production (Lembí et al., 2021).</w:t>
      </w:r>
    </w:p>
    <w:p w14:paraId="1DDB3309" w14:textId="77777777" w:rsidR="00E77DDF" w:rsidRDefault="00E77DDF" w:rsidP="00E77DDF">
      <w:pPr>
        <w:autoSpaceDE w:val="0"/>
        <w:autoSpaceDN w:val="0"/>
        <w:adjustRightInd w:val="0"/>
        <w:spacing w:after="0" w:line="240" w:lineRule="auto"/>
        <w:jc w:val="both"/>
        <w:rPr>
          <w:rFonts w:ascii="Times New Roman" w:hAnsi="Times New Roman" w:cs="Times New Roman"/>
          <w:sz w:val="24"/>
          <w:szCs w:val="24"/>
        </w:rPr>
      </w:pPr>
      <w:r w:rsidRPr="00E77DDF">
        <w:rPr>
          <w:rFonts w:ascii="Times New Roman" w:hAnsi="Times New Roman" w:cs="Times New Roman"/>
          <w:sz w:val="24"/>
          <w:szCs w:val="24"/>
        </w:rPr>
        <w:t>Particular sections of buildings permit more emissions than others. For instance, materials used for external walls, suspended floors, and ceilings have been found to have more intense emissions, accounting for 84.2% of the total emissions from a building (Tazmeen et al., 2024). The emissions come from the conventional materials of steel and cement. The amount of energy required to produce steel is 32 MJ per kilogram, and cement is 7.8 MJ per kilogram. This implies a risk of increased emissions in the housing sector. Therefore, the need for Nigeria’s housing sector to explore the use of recyclable, reusable and biodegradable materials becomes paramount (Lembi et al., 2021).</w:t>
      </w:r>
    </w:p>
    <w:p w14:paraId="5C79A242" w14:textId="77777777" w:rsidR="00E77DDF" w:rsidRDefault="00E77DDF" w:rsidP="00E77DDF">
      <w:pPr>
        <w:autoSpaceDE w:val="0"/>
        <w:autoSpaceDN w:val="0"/>
        <w:adjustRightInd w:val="0"/>
        <w:spacing w:after="0" w:line="240" w:lineRule="auto"/>
        <w:rPr>
          <w:rFonts w:ascii="Times New Roman" w:hAnsi="Times New Roman" w:cs="Times New Roman"/>
          <w:sz w:val="24"/>
          <w:szCs w:val="24"/>
        </w:rPr>
      </w:pPr>
    </w:p>
    <w:p w14:paraId="11198F90" w14:textId="5CFEDC10" w:rsidR="00B978AC" w:rsidRPr="00B978AC" w:rsidRDefault="00B978AC" w:rsidP="00B978AC">
      <w:pPr>
        <w:autoSpaceDE w:val="0"/>
        <w:autoSpaceDN w:val="0"/>
        <w:adjustRightInd w:val="0"/>
        <w:spacing w:after="0" w:line="240" w:lineRule="auto"/>
        <w:jc w:val="both"/>
        <w:rPr>
          <w:rFonts w:ascii="Times New Roman" w:hAnsi="Times New Roman" w:cs="Times New Roman"/>
          <w:b/>
          <w:bCs/>
          <w:sz w:val="24"/>
          <w:szCs w:val="24"/>
        </w:rPr>
      </w:pPr>
      <w:r w:rsidRPr="00B978AC">
        <w:rPr>
          <w:rFonts w:ascii="Times New Roman" w:hAnsi="Times New Roman" w:cs="Times New Roman"/>
          <w:b/>
          <w:bCs/>
          <w:sz w:val="24"/>
          <w:szCs w:val="24"/>
        </w:rPr>
        <w:t>Literature Review</w:t>
      </w:r>
    </w:p>
    <w:p w14:paraId="21FBC65A" w14:textId="664A0B6E" w:rsidR="00A226D9" w:rsidRPr="00B978AC" w:rsidRDefault="00A226D9" w:rsidP="00B978AC">
      <w:pPr>
        <w:autoSpaceDE w:val="0"/>
        <w:autoSpaceDN w:val="0"/>
        <w:adjustRightInd w:val="0"/>
        <w:spacing w:after="0" w:line="240" w:lineRule="auto"/>
        <w:jc w:val="both"/>
        <w:rPr>
          <w:rFonts w:ascii="Times New Roman" w:hAnsi="Times New Roman" w:cs="Times New Roman"/>
          <w:b/>
          <w:bCs/>
          <w:sz w:val="24"/>
          <w:szCs w:val="24"/>
        </w:rPr>
      </w:pPr>
      <w:r w:rsidRPr="00B978AC">
        <w:rPr>
          <w:rFonts w:ascii="Times New Roman" w:hAnsi="Times New Roman" w:cs="Times New Roman"/>
          <w:b/>
          <w:bCs/>
          <w:sz w:val="24"/>
          <w:szCs w:val="24"/>
        </w:rPr>
        <w:t>Green Building Materials (GBMs)</w:t>
      </w:r>
    </w:p>
    <w:p w14:paraId="7B23F11F" w14:textId="3D91013F" w:rsidR="00B978AC" w:rsidRPr="00B978AC" w:rsidRDefault="00B978AC" w:rsidP="00B978AC">
      <w:pPr>
        <w:autoSpaceDE w:val="0"/>
        <w:autoSpaceDN w:val="0"/>
        <w:adjustRightInd w:val="0"/>
        <w:spacing w:after="0" w:line="240" w:lineRule="auto"/>
        <w:jc w:val="both"/>
        <w:rPr>
          <w:rFonts w:ascii="Times New Roman" w:hAnsi="Times New Roman" w:cs="Times New Roman"/>
          <w:sz w:val="24"/>
          <w:szCs w:val="24"/>
        </w:rPr>
      </w:pPr>
      <w:r w:rsidRPr="00B978AC">
        <w:rPr>
          <w:rFonts w:ascii="Times New Roman" w:hAnsi="Times New Roman" w:cs="Times New Roman"/>
          <w:sz w:val="24"/>
          <w:szCs w:val="24"/>
        </w:rPr>
        <w:t>Achieving sustainability in building construction requires the optimal use of green materials. A building is said to be sustainable when it has the properties of green materials. Such materials promote eco-friendly living within the indoor and outdoor environment (Neyestani, 2017).  A</w:t>
      </w:r>
    </w:p>
    <w:p w14:paraId="2CE62E92" w14:textId="77777777" w:rsidR="00B978AC" w:rsidRDefault="00B978AC" w:rsidP="00B978AC">
      <w:pPr>
        <w:autoSpaceDE w:val="0"/>
        <w:autoSpaceDN w:val="0"/>
        <w:adjustRightInd w:val="0"/>
        <w:spacing w:after="0" w:line="240" w:lineRule="auto"/>
        <w:jc w:val="both"/>
        <w:rPr>
          <w:rFonts w:ascii="Times New Roman" w:hAnsi="Times New Roman" w:cs="Times New Roman"/>
          <w:sz w:val="24"/>
          <w:szCs w:val="24"/>
        </w:rPr>
      </w:pPr>
      <w:r w:rsidRPr="00B978AC">
        <w:rPr>
          <w:rFonts w:ascii="Times New Roman" w:hAnsi="Times New Roman" w:cs="Times New Roman"/>
          <w:sz w:val="24"/>
          <w:szCs w:val="24"/>
        </w:rPr>
        <w:t>significant number of materials used in building construction are referred to as green materials due to the characteristics they exhibit. They can be recycled, reused and save much energy in the housing sector (Will, 2009). The use of green materials in building construction has reduced the economic and environmental impact of various waste dumping (Torgal &amp; Jalali, 2011). The green materials generally fit into the ecosystem by substituting other conventional building materials and energy, while attaining the economic concept of a service-based budget (Milani, 2001). Commonly used materials in the construction industry are not green, but for materials to be considered green, they must attain resource efficiency, indoor air quality, energy efficiency, and water conservation (Torgal &amp; Jalali, 2011).</w:t>
      </w:r>
    </w:p>
    <w:p w14:paraId="0D875368" w14:textId="77777777" w:rsidR="009365E8" w:rsidRPr="00B978AC" w:rsidRDefault="009365E8" w:rsidP="00B978AC">
      <w:pPr>
        <w:autoSpaceDE w:val="0"/>
        <w:autoSpaceDN w:val="0"/>
        <w:adjustRightInd w:val="0"/>
        <w:spacing w:after="0" w:line="240" w:lineRule="auto"/>
        <w:jc w:val="both"/>
        <w:rPr>
          <w:rFonts w:ascii="Times New Roman" w:hAnsi="Times New Roman" w:cs="Times New Roman"/>
          <w:sz w:val="24"/>
          <w:szCs w:val="24"/>
        </w:rPr>
      </w:pPr>
    </w:p>
    <w:p w14:paraId="1D5264DE" w14:textId="43488680" w:rsidR="00B978AC" w:rsidRPr="009365E8" w:rsidRDefault="00B978AC" w:rsidP="00B978AC">
      <w:pPr>
        <w:autoSpaceDE w:val="0"/>
        <w:autoSpaceDN w:val="0"/>
        <w:adjustRightInd w:val="0"/>
        <w:spacing w:after="0" w:line="240" w:lineRule="auto"/>
        <w:jc w:val="both"/>
        <w:rPr>
          <w:rFonts w:ascii="Times New Roman" w:hAnsi="Times New Roman" w:cs="Times New Roman"/>
          <w:b/>
          <w:bCs/>
          <w:sz w:val="24"/>
          <w:szCs w:val="24"/>
        </w:rPr>
      </w:pPr>
      <w:r w:rsidRPr="009365E8">
        <w:rPr>
          <w:rFonts w:ascii="Times New Roman" w:hAnsi="Times New Roman" w:cs="Times New Roman"/>
          <w:b/>
          <w:bCs/>
          <w:sz w:val="24"/>
          <w:szCs w:val="24"/>
        </w:rPr>
        <w:t>Green Building Standards (GBSs)</w:t>
      </w:r>
    </w:p>
    <w:p w14:paraId="7CF44F45" w14:textId="77777777" w:rsidR="00B978AC" w:rsidRPr="00B978AC" w:rsidRDefault="00B978AC" w:rsidP="00B978AC">
      <w:pPr>
        <w:autoSpaceDE w:val="0"/>
        <w:autoSpaceDN w:val="0"/>
        <w:adjustRightInd w:val="0"/>
        <w:spacing w:after="0" w:line="240" w:lineRule="auto"/>
        <w:jc w:val="both"/>
        <w:rPr>
          <w:rFonts w:ascii="Times New Roman" w:hAnsi="Times New Roman" w:cs="Times New Roman"/>
          <w:sz w:val="24"/>
          <w:szCs w:val="24"/>
        </w:rPr>
      </w:pPr>
      <w:r w:rsidRPr="00B978AC">
        <w:rPr>
          <w:rFonts w:ascii="Times New Roman" w:hAnsi="Times New Roman" w:cs="Times New Roman"/>
          <w:sz w:val="24"/>
          <w:szCs w:val="24"/>
        </w:rPr>
        <w:t>There are various standards to be considered when constructing a building to meet the GBSs. Some of the reasonable standards involve the American Leadership in Energy and Environmental Design (LEED), the U.K. Building Research Establishment Environmental Assessment Method (BREEAM), and the Green Building Council of Australia (GBCA). Other assistance has been acknowledged from the Green Star System in promoting the implementation of green buildings in the construction industry (Xia et al., 2013). When ranking is considered, the best among them is the LEED. It has the best green building standard for promoting green building projects (Neyestani, 2017). The LEED promotes a healthy, durable, affordable, and environmentally sound practice through the following principles: sustainable sites, water efficiency, energy and atmosphere, materials and resources, indoor environmental quality, innovation in design and regional priority (USGB, 2016). The LEED offers certificates to green building projects based on the following scales: LEED Certified (40-49 points), LEED Silver (50-59 points), LEED Gold (60-79 points) and LEED Platinum (80 points and above) (ITU, 2012).</w:t>
      </w:r>
    </w:p>
    <w:p w14:paraId="04BB69E5" w14:textId="77777777" w:rsidR="00847331" w:rsidRDefault="00847331" w:rsidP="00B978AC">
      <w:pPr>
        <w:autoSpaceDE w:val="0"/>
        <w:autoSpaceDN w:val="0"/>
        <w:adjustRightInd w:val="0"/>
        <w:spacing w:after="0" w:line="240" w:lineRule="auto"/>
        <w:jc w:val="both"/>
        <w:rPr>
          <w:rFonts w:ascii="Times New Roman" w:hAnsi="Times New Roman" w:cs="Times New Roman"/>
          <w:b/>
          <w:bCs/>
          <w:sz w:val="24"/>
          <w:szCs w:val="24"/>
        </w:rPr>
      </w:pPr>
    </w:p>
    <w:p w14:paraId="4391F3DE" w14:textId="384D3372" w:rsidR="00B978AC" w:rsidRPr="00B978AC" w:rsidRDefault="00B978AC" w:rsidP="00B978AC">
      <w:pPr>
        <w:autoSpaceDE w:val="0"/>
        <w:autoSpaceDN w:val="0"/>
        <w:adjustRightInd w:val="0"/>
        <w:spacing w:after="0" w:line="240" w:lineRule="auto"/>
        <w:jc w:val="both"/>
        <w:rPr>
          <w:rFonts w:ascii="Times New Roman" w:hAnsi="Times New Roman" w:cs="Times New Roman"/>
          <w:sz w:val="24"/>
          <w:szCs w:val="24"/>
        </w:rPr>
      </w:pPr>
      <w:r w:rsidRPr="009365E8">
        <w:rPr>
          <w:rFonts w:ascii="Times New Roman" w:hAnsi="Times New Roman" w:cs="Times New Roman"/>
          <w:b/>
          <w:bCs/>
          <w:sz w:val="24"/>
          <w:szCs w:val="24"/>
        </w:rPr>
        <w:lastRenderedPageBreak/>
        <w:t>Health Benefits of GBMs</w:t>
      </w:r>
    </w:p>
    <w:p w14:paraId="18CAAA53" w14:textId="19EE7A58" w:rsidR="00B978AC" w:rsidRPr="00B978AC" w:rsidRDefault="00B978AC" w:rsidP="00B978AC">
      <w:pPr>
        <w:autoSpaceDE w:val="0"/>
        <w:autoSpaceDN w:val="0"/>
        <w:adjustRightInd w:val="0"/>
        <w:spacing w:after="0" w:line="240" w:lineRule="auto"/>
        <w:jc w:val="both"/>
        <w:rPr>
          <w:rFonts w:ascii="Times New Roman" w:hAnsi="Times New Roman" w:cs="Times New Roman"/>
          <w:sz w:val="24"/>
          <w:szCs w:val="24"/>
        </w:rPr>
      </w:pPr>
      <w:r w:rsidRPr="00B978AC">
        <w:rPr>
          <w:rFonts w:ascii="Times New Roman" w:hAnsi="Times New Roman" w:cs="Times New Roman"/>
          <w:sz w:val="24"/>
          <w:szCs w:val="24"/>
        </w:rPr>
        <w:t xml:space="preserve">When the buildings become green through the actions of Green Building Standards (GBSs), many benefits come along which improve our quality of life, healthy living and our daily safety (Neyestani, 2017). The resultant effects are acknowledged in our various housing sectors through the quality of indoor air, comfortable living, healthy lifestyle and the economy in general. The social perspective of human satisfaction that comes along with happiness and joy to the occupants of green buildings is generally accepted in both developed and developing nations (Milani, 2001). </w:t>
      </w:r>
    </w:p>
    <w:p w14:paraId="31F4E8C7" w14:textId="77777777" w:rsidR="00B978AC" w:rsidRPr="00B978AC" w:rsidRDefault="00B978AC" w:rsidP="00B978AC">
      <w:pPr>
        <w:autoSpaceDE w:val="0"/>
        <w:autoSpaceDN w:val="0"/>
        <w:adjustRightInd w:val="0"/>
        <w:spacing w:after="0" w:line="240" w:lineRule="auto"/>
        <w:jc w:val="both"/>
        <w:rPr>
          <w:rFonts w:ascii="Times New Roman" w:hAnsi="Times New Roman" w:cs="Times New Roman"/>
          <w:sz w:val="24"/>
          <w:szCs w:val="24"/>
        </w:rPr>
      </w:pPr>
      <w:r w:rsidRPr="00B978AC">
        <w:rPr>
          <w:rFonts w:ascii="Times New Roman" w:hAnsi="Times New Roman" w:cs="Times New Roman"/>
          <w:sz w:val="24"/>
          <w:szCs w:val="24"/>
        </w:rPr>
        <w:t>The non-green building materials, when used in building construction, constitute toxic substances that negatively affect our health as humans. The actions of such toxic substances have been observed to be active in asthma in little children, respiratory problems in adults and headache (Will, 2009). The actions of these toxic substances are often called ‘’the sick building syndrome’’ simply because it has more direct effects on the health of the occupants in large cities. The adverse health effects of non-green building materials can be corrected by using GBMs (Xia et al., 2013).</w:t>
      </w:r>
    </w:p>
    <w:p w14:paraId="4CF3F2BA" w14:textId="77777777" w:rsidR="009365E8" w:rsidRDefault="009365E8" w:rsidP="00B978AC">
      <w:pPr>
        <w:autoSpaceDE w:val="0"/>
        <w:autoSpaceDN w:val="0"/>
        <w:adjustRightInd w:val="0"/>
        <w:spacing w:after="0" w:line="240" w:lineRule="auto"/>
        <w:jc w:val="both"/>
        <w:rPr>
          <w:rFonts w:ascii="Times New Roman" w:hAnsi="Times New Roman" w:cs="Times New Roman"/>
          <w:b/>
          <w:bCs/>
          <w:sz w:val="24"/>
          <w:szCs w:val="24"/>
        </w:rPr>
      </w:pPr>
    </w:p>
    <w:p w14:paraId="6C5114B1" w14:textId="45B3AB20" w:rsidR="00B978AC" w:rsidRPr="009365E8" w:rsidRDefault="00B978AC" w:rsidP="00B978AC">
      <w:pPr>
        <w:autoSpaceDE w:val="0"/>
        <w:autoSpaceDN w:val="0"/>
        <w:adjustRightInd w:val="0"/>
        <w:spacing w:after="0" w:line="240" w:lineRule="auto"/>
        <w:jc w:val="both"/>
        <w:rPr>
          <w:rFonts w:ascii="Times New Roman" w:hAnsi="Times New Roman" w:cs="Times New Roman"/>
          <w:b/>
          <w:bCs/>
          <w:sz w:val="24"/>
          <w:szCs w:val="24"/>
        </w:rPr>
      </w:pPr>
      <w:r w:rsidRPr="009365E8">
        <w:rPr>
          <w:rFonts w:ascii="Times New Roman" w:hAnsi="Times New Roman" w:cs="Times New Roman"/>
          <w:b/>
          <w:bCs/>
          <w:sz w:val="24"/>
          <w:szCs w:val="24"/>
        </w:rPr>
        <w:t>Economic Benefits of GBMs</w:t>
      </w:r>
    </w:p>
    <w:p w14:paraId="7D93A842" w14:textId="77777777" w:rsidR="00B978AC" w:rsidRPr="00B978AC" w:rsidRDefault="00B978AC" w:rsidP="00B978AC">
      <w:pPr>
        <w:autoSpaceDE w:val="0"/>
        <w:autoSpaceDN w:val="0"/>
        <w:adjustRightInd w:val="0"/>
        <w:spacing w:after="0" w:line="240" w:lineRule="auto"/>
        <w:jc w:val="both"/>
        <w:rPr>
          <w:rFonts w:ascii="Times New Roman" w:hAnsi="Times New Roman" w:cs="Times New Roman"/>
          <w:sz w:val="24"/>
          <w:szCs w:val="24"/>
        </w:rPr>
      </w:pPr>
      <w:r w:rsidRPr="00B978AC">
        <w:rPr>
          <w:rFonts w:ascii="Times New Roman" w:hAnsi="Times New Roman" w:cs="Times New Roman"/>
          <w:sz w:val="24"/>
          <w:szCs w:val="24"/>
        </w:rPr>
        <w:t>A building constructed with green materials constitutes a financial gain of 10% when compared to conventional materials used for the purpose, as it helps the building last longer. The life cycle of green buildings offers benefits in terms of utility and maintenance costs, as it significantly reduces the financial cost of energy production associated with materials, particularly with the implementation of engineering zoning policies (Yun, 2014). Fossil fuels and sewage should be avoided in the technique implementation of materials to be used in constructing and renovating our homes, thereby cutting down on water bills (Nalewaik, 2008). A study conducted in the United States of America (USA) on 99 green buildings showed that an average of 30% less energy consumption was observed with green buildings when compared to non-green buildings (Yun, 2014). Furthermore, findings from numerous studies revealed that GBMs can save up to 30% of greenhouse gas emissions, 30% of raw materials used, 30% of waste output, 12% of potable water consumption, 36% of total energy used and 65% of electricity consumption (USGBC, 2016). Therefore, the economic benefits of green building materials are not far from a reduction in operational cost, improving occupant productivity and optimising life-cycle economic performance (Neyestani, 2017).</w:t>
      </w:r>
    </w:p>
    <w:p w14:paraId="7998B988" w14:textId="77777777" w:rsidR="009365E8" w:rsidRDefault="009365E8" w:rsidP="00B978AC">
      <w:pPr>
        <w:autoSpaceDE w:val="0"/>
        <w:autoSpaceDN w:val="0"/>
        <w:adjustRightInd w:val="0"/>
        <w:spacing w:after="0" w:line="240" w:lineRule="auto"/>
        <w:jc w:val="both"/>
        <w:rPr>
          <w:rFonts w:ascii="Times New Roman" w:hAnsi="Times New Roman" w:cs="Times New Roman"/>
          <w:sz w:val="24"/>
          <w:szCs w:val="24"/>
        </w:rPr>
      </w:pPr>
    </w:p>
    <w:p w14:paraId="4AF180F1" w14:textId="73129D6D" w:rsidR="00B978AC" w:rsidRPr="009365E8" w:rsidRDefault="00B978AC" w:rsidP="00B978AC">
      <w:pPr>
        <w:autoSpaceDE w:val="0"/>
        <w:autoSpaceDN w:val="0"/>
        <w:adjustRightInd w:val="0"/>
        <w:spacing w:after="0" w:line="240" w:lineRule="auto"/>
        <w:jc w:val="both"/>
        <w:rPr>
          <w:rFonts w:ascii="Times New Roman" w:hAnsi="Times New Roman" w:cs="Times New Roman"/>
          <w:b/>
          <w:bCs/>
          <w:sz w:val="24"/>
          <w:szCs w:val="24"/>
        </w:rPr>
      </w:pPr>
      <w:r w:rsidRPr="009365E8">
        <w:rPr>
          <w:rFonts w:ascii="Times New Roman" w:hAnsi="Times New Roman" w:cs="Times New Roman"/>
          <w:b/>
          <w:bCs/>
          <w:sz w:val="24"/>
          <w:szCs w:val="24"/>
        </w:rPr>
        <w:t>Environmental Benefits of GBMs</w:t>
      </w:r>
    </w:p>
    <w:p w14:paraId="64D51BAD" w14:textId="060F5D3B" w:rsidR="00B978AC" w:rsidRPr="00B978AC" w:rsidRDefault="00B978AC" w:rsidP="00B978AC">
      <w:pPr>
        <w:autoSpaceDE w:val="0"/>
        <w:autoSpaceDN w:val="0"/>
        <w:adjustRightInd w:val="0"/>
        <w:spacing w:after="0" w:line="240" w:lineRule="auto"/>
        <w:jc w:val="both"/>
        <w:rPr>
          <w:rFonts w:ascii="Times New Roman" w:hAnsi="Times New Roman" w:cs="Times New Roman"/>
          <w:sz w:val="24"/>
          <w:szCs w:val="24"/>
        </w:rPr>
      </w:pPr>
      <w:r w:rsidRPr="00B978AC">
        <w:rPr>
          <w:rFonts w:ascii="Times New Roman" w:hAnsi="Times New Roman" w:cs="Times New Roman"/>
          <w:sz w:val="24"/>
          <w:szCs w:val="24"/>
        </w:rPr>
        <w:t>Using green materials to achieve green buildings has a positive impact on the environment. Those positive impacts are felt mainly on the occupant’s health and business space. The positive impact revolves around the green building because the building is an integral part of the built environment, which makes up the natural environment (Korkmaz et al., 2009). Green buildings use land, water and energy more efficiently than conventional buildings. This action leads to reduced pollution and waste in the environment. Less pollution is obtainable from green materials because they are recyclable and contain non-toxic elements (Togal &amp; Jalali, 2011). That is to say, the environmental</w:t>
      </w:r>
    </w:p>
    <w:p w14:paraId="6BA1AA58" w14:textId="77777777" w:rsidR="00B978AC" w:rsidRDefault="00B978AC" w:rsidP="00B978AC">
      <w:pPr>
        <w:autoSpaceDE w:val="0"/>
        <w:autoSpaceDN w:val="0"/>
        <w:adjustRightInd w:val="0"/>
        <w:spacing w:after="0" w:line="240" w:lineRule="auto"/>
        <w:jc w:val="both"/>
        <w:rPr>
          <w:rFonts w:ascii="Times New Roman" w:hAnsi="Times New Roman" w:cs="Times New Roman"/>
          <w:sz w:val="24"/>
          <w:szCs w:val="24"/>
        </w:rPr>
      </w:pPr>
      <w:r w:rsidRPr="00B978AC">
        <w:rPr>
          <w:rFonts w:ascii="Times New Roman" w:hAnsi="Times New Roman" w:cs="Times New Roman"/>
          <w:sz w:val="24"/>
          <w:szCs w:val="24"/>
        </w:rPr>
        <w:t>benefits of green buildings are not limited to improving air and water quality, reducing waste streams, conserving and restoring natural resources, enhancing and protecting biodiversity and ecosystems (Neyestani, 2017).</w:t>
      </w:r>
    </w:p>
    <w:p w14:paraId="05394100" w14:textId="77777777" w:rsidR="00B978AC" w:rsidRDefault="00B978AC" w:rsidP="00B978AC">
      <w:pPr>
        <w:autoSpaceDE w:val="0"/>
        <w:autoSpaceDN w:val="0"/>
        <w:adjustRightInd w:val="0"/>
        <w:spacing w:after="0" w:line="240" w:lineRule="auto"/>
        <w:rPr>
          <w:rFonts w:ascii="Times New Roman" w:hAnsi="Times New Roman" w:cs="Times New Roman"/>
          <w:sz w:val="24"/>
          <w:szCs w:val="24"/>
        </w:rPr>
      </w:pPr>
    </w:p>
    <w:p w14:paraId="06784FE8" w14:textId="09F93B0C" w:rsidR="00A226D9" w:rsidRPr="00FE10BE" w:rsidRDefault="00847331" w:rsidP="00B978AC">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Materials and </w:t>
      </w:r>
      <w:r w:rsidR="00FE10BE" w:rsidRPr="00FE10BE">
        <w:rPr>
          <w:rFonts w:ascii="Times New Roman" w:hAnsi="Times New Roman" w:cs="Times New Roman"/>
          <w:b/>
          <w:bCs/>
          <w:sz w:val="24"/>
          <w:szCs w:val="24"/>
        </w:rPr>
        <w:t>Method</w:t>
      </w:r>
      <w:r>
        <w:rPr>
          <w:rFonts w:ascii="Times New Roman" w:hAnsi="Times New Roman" w:cs="Times New Roman"/>
          <w:b/>
          <w:bCs/>
          <w:sz w:val="24"/>
          <w:szCs w:val="24"/>
        </w:rPr>
        <w:t>s</w:t>
      </w:r>
    </w:p>
    <w:p w14:paraId="0E69BAC6" w14:textId="77777777" w:rsidR="00FE10BE" w:rsidRDefault="00FE10BE" w:rsidP="00FE10BE">
      <w:pPr>
        <w:autoSpaceDE w:val="0"/>
        <w:autoSpaceDN w:val="0"/>
        <w:adjustRightInd w:val="0"/>
        <w:spacing w:after="0" w:line="240" w:lineRule="auto"/>
        <w:jc w:val="both"/>
        <w:rPr>
          <w:rFonts w:ascii="Times New Roman" w:hAnsi="Times New Roman" w:cs="Times New Roman"/>
          <w:sz w:val="24"/>
          <w:szCs w:val="24"/>
        </w:rPr>
      </w:pPr>
      <w:r w:rsidRPr="00FE10BE">
        <w:rPr>
          <w:rFonts w:ascii="Times New Roman" w:hAnsi="Times New Roman" w:cs="Times New Roman"/>
          <w:sz w:val="24"/>
          <w:szCs w:val="24"/>
        </w:rPr>
        <w:t xml:space="preserve">The study approaches a systematic literature review on GBMs that are globally in use and practically applicable to the peculiarity of the housing sectors in the six geopolitical regions of </w:t>
      </w:r>
      <w:r w:rsidRPr="00FE10BE">
        <w:rPr>
          <w:rFonts w:ascii="Times New Roman" w:hAnsi="Times New Roman" w:cs="Times New Roman"/>
          <w:sz w:val="24"/>
          <w:szCs w:val="24"/>
        </w:rPr>
        <w:lastRenderedPageBreak/>
        <w:t>Nigeria. Following the Preferred Reporting Items for Systematic Reviews and Meta-Analysis (PRISMA) guidelines, the content data on the peculiarity of materials in climatic conditions from each geopolitical zone of Nigeria is studied in relation to the green materials that can be accessed to fit into the various characteristics.</w:t>
      </w:r>
    </w:p>
    <w:p w14:paraId="3EE9C7B2" w14:textId="77777777" w:rsidR="00FE10BE" w:rsidRPr="00FE10BE" w:rsidRDefault="00FE10BE" w:rsidP="00FE10BE">
      <w:pPr>
        <w:autoSpaceDE w:val="0"/>
        <w:autoSpaceDN w:val="0"/>
        <w:adjustRightInd w:val="0"/>
        <w:spacing w:after="0" w:line="240" w:lineRule="auto"/>
        <w:jc w:val="both"/>
        <w:rPr>
          <w:rFonts w:ascii="Times New Roman" w:hAnsi="Times New Roman" w:cs="Times New Roman"/>
          <w:sz w:val="24"/>
          <w:szCs w:val="24"/>
        </w:rPr>
      </w:pPr>
    </w:p>
    <w:p w14:paraId="6A9C412E" w14:textId="3A0746BD" w:rsidR="00FE10BE" w:rsidRPr="00FE10BE" w:rsidRDefault="00FE10BE" w:rsidP="00FE10BE">
      <w:pPr>
        <w:autoSpaceDE w:val="0"/>
        <w:autoSpaceDN w:val="0"/>
        <w:adjustRightInd w:val="0"/>
        <w:spacing w:after="0" w:line="240" w:lineRule="auto"/>
        <w:jc w:val="both"/>
        <w:rPr>
          <w:rFonts w:ascii="Times New Roman" w:hAnsi="Times New Roman" w:cs="Times New Roman"/>
          <w:b/>
          <w:bCs/>
          <w:sz w:val="24"/>
          <w:szCs w:val="24"/>
        </w:rPr>
      </w:pPr>
      <w:r w:rsidRPr="00FE10BE">
        <w:rPr>
          <w:rFonts w:ascii="Times New Roman" w:hAnsi="Times New Roman" w:cs="Times New Roman"/>
          <w:b/>
          <w:bCs/>
          <w:sz w:val="24"/>
          <w:szCs w:val="24"/>
        </w:rPr>
        <w:t>Data Collection</w:t>
      </w:r>
    </w:p>
    <w:p w14:paraId="077D813E" w14:textId="77777777" w:rsidR="00FE10BE" w:rsidRDefault="00FE10BE" w:rsidP="00FE10BE">
      <w:pPr>
        <w:autoSpaceDE w:val="0"/>
        <w:autoSpaceDN w:val="0"/>
        <w:adjustRightInd w:val="0"/>
        <w:spacing w:after="0" w:line="240" w:lineRule="auto"/>
        <w:jc w:val="both"/>
        <w:rPr>
          <w:rFonts w:ascii="Times New Roman" w:hAnsi="Times New Roman" w:cs="Times New Roman"/>
          <w:sz w:val="24"/>
          <w:szCs w:val="24"/>
        </w:rPr>
      </w:pPr>
      <w:r w:rsidRPr="00FE10BE">
        <w:rPr>
          <w:rFonts w:ascii="Times New Roman" w:hAnsi="Times New Roman" w:cs="Times New Roman"/>
          <w:sz w:val="24"/>
          <w:szCs w:val="24"/>
        </w:rPr>
        <w:t>Having identified the PRIMA guidelines, the data used for this analysis were collected from a secondary source, a qualitative source of data to give a broader horizon on the subject. Firstly, data were collected about the six geopolitical zones' climatic conditions in Nigeria and the various annual CO2 emissions. Secondly, data were collected from various green materials and their corresponding features in relation to housing and climatic conditions of the six geopolitical zones in Nigeria.</w:t>
      </w:r>
    </w:p>
    <w:p w14:paraId="4689FE75" w14:textId="77777777" w:rsidR="00FE10BE" w:rsidRPr="00FE10BE" w:rsidRDefault="00FE10BE" w:rsidP="00FE10BE">
      <w:pPr>
        <w:autoSpaceDE w:val="0"/>
        <w:autoSpaceDN w:val="0"/>
        <w:adjustRightInd w:val="0"/>
        <w:spacing w:after="0" w:line="240" w:lineRule="auto"/>
        <w:jc w:val="both"/>
        <w:rPr>
          <w:rFonts w:ascii="Times New Roman" w:hAnsi="Times New Roman" w:cs="Times New Roman"/>
          <w:sz w:val="24"/>
          <w:szCs w:val="24"/>
        </w:rPr>
      </w:pPr>
    </w:p>
    <w:p w14:paraId="7F659695" w14:textId="750D7B3A" w:rsidR="00FE10BE" w:rsidRPr="00FE10BE" w:rsidRDefault="00FE10BE" w:rsidP="00FE10BE">
      <w:pPr>
        <w:autoSpaceDE w:val="0"/>
        <w:autoSpaceDN w:val="0"/>
        <w:adjustRightInd w:val="0"/>
        <w:spacing w:after="0" w:line="240" w:lineRule="auto"/>
        <w:jc w:val="both"/>
        <w:rPr>
          <w:rFonts w:ascii="Times New Roman" w:hAnsi="Times New Roman" w:cs="Times New Roman"/>
          <w:b/>
          <w:bCs/>
          <w:sz w:val="24"/>
          <w:szCs w:val="24"/>
        </w:rPr>
      </w:pPr>
      <w:r w:rsidRPr="00FE10BE">
        <w:rPr>
          <w:rFonts w:ascii="Times New Roman" w:hAnsi="Times New Roman" w:cs="Times New Roman"/>
          <w:b/>
          <w:bCs/>
          <w:sz w:val="24"/>
          <w:szCs w:val="24"/>
        </w:rPr>
        <w:t>Method of Assessment</w:t>
      </w:r>
    </w:p>
    <w:p w14:paraId="11C5637D" w14:textId="77777777" w:rsidR="00FE10BE" w:rsidRDefault="00FE10BE" w:rsidP="00FE10BE">
      <w:pPr>
        <w:autoSpaceDE w:val="0"/>
        <w:autoSpaceDN w:val="0"/>
        <w:adjustRightInd w:val="0"/>
        <w:spacing w:after="0" w:line="240" w:lineRule="auto"/>
        <w:jc w:val="both"/>
        <w:rPr>
          <w:rFonts w:ascii="Times New Roman" w:hAnsi="Times New Roman" w:cs="Times New Roman"/>
          <w:sz w:val="24"/>
          <w:szCs w:val="24"/>
        </w:rPr>
      </w:pPr>
      <w:r w:rsidRPr="00FE10BE">
        <w:rPr>
          <w:rFonts w:ascii="Times New Roman" w:hAnsi="Times New Roman" w:cs="Times New Roman"/>
          <w:sz w:val="24"/>
          <w:szCs w:val="24"/>
        </w:rPr>
        <w:t>A green building study relationship of the temperature, rainfall, humidity and occupant health and wellbeing. A factor analysis was also carried out from the GBMs standards of resource efficiency, energy efficiency and water conservation. A relative assessment between green building and conventional factors of hot and dry weather, rainy environment, erosion-prone environment, scarce and dense green vegetation, seasonal temperatures, high intensity from sun radiation, vector-borne diseases, sea waves, storm and high temperatures in the six zones with respect to dry and rainy seasons’ actions on temperature and humidity was carried out.</w:t>
      </w:r>
    </w:p>
    <w:p w14:paraId="2E388206" w14:textId="77777777" w:rsidR="00FE10BE" w:rsidRDefault="00FE10BE" w:rsidP="00FE10BE">
      <w:pPr>
        <w:autoSpaceDE w:val="0"/>
        <w:autoSpaceDN w:val="0"/>
        <w:adjustRightInd w:val="0"/>
        <w:spacing w:after="0" w:line="240" w:lineRule="auto"/>
        <w:rPr>
          <w:rFonts w:ascii="Times New Roman" w:hAnsi="Times New Roman" w:cs="Times New Roman"/>
          <w:sz w:val="24"/>
          <w:szCs w:val="24"/>
        </w:rPr>
      </w:pPr>
    </w:p>
    <w:p w14:paraId="1AD0E73A" w14:textId="395AE53F" w:rsidR="005D7C53" w:rsidRDefault="005D7C53" w:rsidP="005D7C53">
      <w:pPr>
        <w:autoSpaceDE w:val="0"/>
        <w:autoSpaceDN w:val="0"/>
        <w:adjustRightInd w:val="0"/>
        <w:spacing w:after="0" w:line="240" w:lineRule="auto"/>
        <w:rPr>
          <w:rFonts w:ascii="Times New Roman" w:hAnsi="Times New Roman" w:cs="Times New Roman"/>
          <w:b/>
          <w:bCs/>
          <w:sz w:val="24"/>
          <w:szCs w:val="24"/>
        </w:rPr>
      </w:pPr>
      <w:r w:rsidRPr="005D7C53">
        <w:rPr>
          <w:rFonts w:ascii="Times New Roman" w:hAnsi="Times New Roman" w:cs="Times New Roman"/>
          <w:b/>
          <w:bCs/>
          <w:sz w:val="24"/>
          <w:szCs w:val="24"/>
        </w:rPr>
        <w:t xml:space="preserve">Results </w:t>
      </w:r>
      <w:r>
        <w:rPr>
          <w:rFonts w:ascii="Times New Roman" w:hAnsi="Times New Roman" w:cs="Times New Roman"/>
          <w:b/>
          <w:bCs/>
          <w:sz w:val="24"/>
          <w:szCs w:val="24"/>
        </w:rPr>
        <w:t>a</w:t>
      </w:r>
      <w:r w:rsidRPr="005D7C53">
        <w:rPr>
          <w:rFonts w:ascii="Times New Roman" w:hAnsi="Times New Roman" w:cs="Times New Roman"/>
          <w:b/>
          <w:bCs/>
          <w:sz w:val="24"/>
          <w:szCs w:val="24"/>
        </w:rPr>
        <w:t>nd Discussions</w:t>
      </w:r>
    </w:p>
    <w:p w14:paraId="131E2A46" w14:textId="1E96D0B1" w:rsidR="005D7C53" w:rsidRPr="005D7C53" w:rsidRDefault="005D7C53" w:rsidP="005D7C53">
      <w:pPr>
        <w:autoSpaceDE w:val="0"/>
        <w:autoSpaceDN w:val="0"/>
        <w:adjustRightInd w:val="0"/>
        <w:spacing w:after="0" w:line="240" w:lineRule="auto"/>
        <w:jc w:val="both"/>
        <w:rPr>
          <w:rFonts w:ascii="Times New Roman" w:hAnsi="Times New Roman" w:cs="Times New Roman"/>
          <w:b/>
          <w:bCs/>
          <w:sz w:val="24"/>
          <w:szCs w:val="24"/>
        </w:rPr>
      </w:pPr>
      <w:r w:rsidRPr="005D7C53">
        <w:rPr>
          <w:rFonts w:ascii="Times New Roman" w:hAnsi="Times New Roman" w:cs="Times New Roman"/>
          <w:b/>
          <w:bCs/>
          <w:sz w:val="24"/>
          <w:szCs w:val="24"/>
        </w:rPr>
        <w:t>I</w:t>
      </w:r>
      <w:r w:rsidRPr="005D7C53">
        <w:rPr>
          <w:rFonts w:ascii="Times New Roman" w:hAnsi="Times New Roman" w:cs="Times New Roman"/>
          <w:b/>
          <w:bCs/>
          <w:sz w:val="24"/>
          <w:szCs w:val="24"/>
        </w:rPr>
        <w:t>dentification of GBMs</w:t>
      </w:r>
    </w:p>
    <w:p w14:paraId="16714989" w14:textId="77777777" w:rsidR="005D7C53" w:rsidRDefault="005D7C53" w:rsidP="005D7C53">
      <w:pPr>
        <w:autoSpaceDE w:val="0"/>
        <w:autoSpaceDN w:val="0"/>
        <w:adjustRightInd w:val="0"/>
        <w:spacing w:after="0" w:line="240" w:lineRule="auto"/>
        <w:jc w:val="both"/>
        <w:rPr>
          <w:rFonts w:ascii="Times New Roman" w:hAnsi="Times New Roman" w:cs="Times New Roman"/>
          <w:sz w:val="24"/>
          <w:szCs w:val="24"/>
        </w:rPr>
      </w:pPr>
      <w:r w:rsidRPr="005D7C53">
        <w:rPr>
          <w:rFonts w:ascii="Times New Roman" w:hAnsi="Times New Roman" w:cs="Times New Roman"/>
          <w:sz w:val="24"/>
          <w:szCs w:val="24"/>
        </w:rPr>
        <w:t>GBMs are more sustainable as a material to be used in our housing construction. In addition to being sustainable for housing delivery in Nigeria, its function in reducing CO2 emissions in the housing sector has become established, as new eco-friendly construction materials (Kongela, 2023) have emerged. Notably among the GBMs are recycled glass, plastic, steel, wood, bamboo, hempcrete, cork, mycelium, rammed earth, straw, sheep’s wool, timbercrete, thermal blocks, ferrock, fly-ash bricks, ashcrete, green tiles and roof, cob, and terrazzo (Oluwunmi &amp; Umezurike, 2023). There are strong reasons for selecting substitutes to non-green building materials, a primary reason is to reduce carbon footprint and lower construction costs. Popular cement substitutes are not limited to fly-ash, ground granulated blast-furnace slag (GGBS), silica fume, rice husk ash, and limestone calcined clay cement (LC3) (Alphin, 2022). There are other innovative concrete alternatives: geopolymer concrete, hempcrete, recycled aggregate concrete, magnesium-based cement and bacterial concrete (self–healing concrete). (Cemex Ventures, 2025). The advantages of using these green substitutes include lowering carbon emissions, reducing resource extraction, and lessening waste. They are durable and cost-effective (Lembi et al., 2021). Other notable GBMs are structural insulated panels (SIPs), cross-laminated timber (CLT), high-performance windows and glazing, and photovoltaic (PV) solar panels (Alphin, 2022).</w:t>
      </w:r>
    </w:p>
    <w:p w14:paraId="1DD078EB" w14:textId="77777777" w:rsidR="005D7C53" w:rsidRDefault="005D7C53" w:rsidP="005D7C53">
      <w:pPr>
        <w:autoSpaceDE w:val="0"/>
        <w:autoSpaceDN w:val="0"/>
        <w:adjustRightInd w:val="0"/>
        <w:spacing w:after="0" w:line="240" w:lineRule="auto"/>
        <w:rPr>
          <w:rFonts w:ascii="Times New Roman" w:hAnsi="Times New Roman" w:cs="Times New Roman"/>
          <w:sz w:val="24"/>
          <w:szCs w:val="24"/>
        </w:rPr>
      </w:pPr>
    </w:p>
    <w:p w14:paraId="4ED0BE28" w14:textId="77777777" w:rsidR="00B12329" w:rsidRDefault="00B12329" w:rsidP="005D7C53">
      <w:pPr>
        <w:autoSpaceDE w:val="0"/>
        <w:autoSpaceDN w:val="0"/>
        <w:adjustRightInd w:val="0"/>
        <w:spacing w:after="0" w:line="240" w:lineRule="auto"/>
        <w:rPr>
          <w:rFonts w:ascii="Times New Roman" w:hAnsi="Times New Roman" w:cs="Times New Roman"/>
          <w:sz w:val="24"/>
          <w:szCs w:val="24"/>
        </w:rPr>
      </w:pPr>
    </w:p>
    <w:p w14:paraId="7E28D465" w14:textId="77777777" w:rsidR="00B12329" w:rsidRDefault="00B12329" w:rsidP="005D7C53">
      <w:pPr>
        <w:autoSpaceDE w:val="0"/>
        <w:autoSpaceDN w:val="0"/>
        <w:adjustRightInd w:val="0"/>
        <w:spacing w:after="0" w:line="240" w:lineRule="auto"/>
        <w:rPr>
          <w:rFonts w:ascii="Times New Roman" w:hAnsi="Times New Roman" w:cs="Times New Roman"/>
          <w:sz w:val="24"/>
          <w:szCs w:val="24"/>
        </w:rPr>
      </w:pPr>
    </w:p>
    <w:p w14:paraId="7CC45670" w14:textId="77777777" w:rsidR="00B12329" w:rsidRDefault="00B12329" w:rsidP="005D7C53">
      <w:pPr>
        <w:autoSpaceDE w:val="0"/>
        <w:autoSpaceDN w:val="0"/>
        <w:adjustRightInd w:val="0"/>
        <w:spacing w:after="0" w:line="240" w:lineRule="auto"/>
        <w:rPr>
          <w:rFonts w:ascii="Times New Roman" w:hAnsi="Times New Roman" w:cs="Times New Roman"/>
          <w:sz w:val="24"/>
          <w:szCs w:val="24"/>
        </w:rPr>
      </w:pPr>
    </w:p>
    <w:p w14:paraId="7633551B" w14:textId="77777777" w:rsidR="00B12329" w:rsidRDefault="00B12329" w:rsidP="005D7C53">
      <w:pPr>
        <w:autoSpaceDE w:val="0"/>
        <w:autoSpaceDN w:val="0"/>
        <w:adjustRightInd w:val="0"/>
        <w:spacing w:after="0" w:line="240" w:lineRule="auto"/>
        <w:rPr>
          <w:rFonts w:ascii="Times New Roman" w:hAnsi="Times New Roman" w:cs="Times New Roman"/>
          <w:sz w:val="24"/>
          <w:szCs w:val="24"/>
        </w:rPr>
      </w:pPr>
    </w:p>
    <w:p w14:paraId="1346E99B" w14:textId="77777777" w:rsidR="00B12329" w:rsidRDefault="00B12329" w:rsidP="005D7C53">
      <w:pPr>
        <w:autoSpaceDE w:val="0"/>
        <w:autoSpaceDN w:val="0"/>
        <w:adjustRightInd w:val="0"/>
        <w:spacing w:after="0" w:line="240" w:lineRule="auto"/>
        <w:rPr>
          <w:rFonts w:ascii="Times New Roman" w:hAnsi="Times New Roman" w:cs="Times New Roman"/>
          <w:sz w:val="24"/>
          <w:szCs w:val="24"/>
        </w:rPr>
      </w:pPr>
    </w:p>
    <w:p w14:paraId="70DBAF45" w14:textId="1ECC6E98" w:rsidR="00F03AC5" w:rsidRPr="00F03AC5" w:rsidRDefault="00F03AC5" w:rsidP="00B12329">
      <w:pPr>
        <w:autoSpaceDE w:val="0"/>
        <w:autoSpaceDN w:val="0"/>
        <w:adjustRightInd w:val="0"/>
        <w:spacing w:after="0" w:line="240" w:lineRule="auto"/>
        <w:jc w:val="center"/>
        <w:rPr>
          <w:rFonts w:ascii="Times New Roman" w:hAnsi="Times New Roman" w:cs="Times New Roman"/>
          <w:sz w:val="24"/>
          <w:szCs w:val="24"/>
        </w:rPr>
      </w:pPr>
      <w:r w:rsidRPr="00B12329">
        <w:rPr>
          <w:rFonts w:ascii="Times New Roman" w:hAnsi="Times New Roman" w:cs="Times New Roman"/>
          <w:b/>
          <w:bCs/>
          <w:sz w:val="24"/>
          <w:szCs w:val="24"/>
        </w:rPr>
        <w:lastRenderedPageBreak/>
        <w:t>Table 1</w:t>
      </w:r>
      <w:r w:rsidR="00B12329" w:rsidRPr="00B12329">
        <w:rPr>
          <w:rFonts w:ascii="Times New Roman" w:hAnsi="Times New Roman" w:cs="Times New Roman"/>
          <w:b/>
          <w:bCs/>
          <w:sz w:val="24"/>
          <w:szCs w:val="24"/>
        </w:rPr>
        <w:t>:</w:t>
      </w:r>
      <w:r w:rsidR="00B12329">
        <w:rPr>
          <w:rFonts w:ascii="Times New Roman" w:hAnsi="Times New Roman" w:cs="Times New Roman"/>
          <w:sz w:val="24"/>
          <w:szCs w:val="24"/>
        </w:rPr>
        <w:t xml:space="preserve"> </w:t>
      </w:r>
      <w:r w:rsidRPr="00F03AC5">
        <w:rPr>
          <w:rFonts w:ascii="Times New Roman" w:hAnsi="Times New Roman" w:cs="Times New Roman"/>
          <w:sz w:val="24"/>
          <w:szCs w:val="24"/>
        </w:rPr>
        <w:t>Six Geo-Political Zones in Nigeria and their Annual CO2 Emissions</w:t>
      </w:r>
    </w:p>
    <w:tbl>
      <w:tblPr>
        <w:tblW w:w="0" w:type="auto"/>
        <w:jc w:val="center"/>
        <w:tblLayout w:type="fixed"/>
        <w:tblCellMar>
          <w:left w:w="0" w:type="dxa"/>
          <w:right w:w="0" w:type="dxa"/>
        </w:tblCellMar>
        <w:tblLook w:val="01E0" w:firstRow="1" w:lastRow="1" w:firstColumn="1" w:lastColumn="1" w:noHBand="0" w:noVBand="0"/>
      </w:tblPr>
      <w:tblGrid>
        <w:gridCol w:w="567"/>
        <w:gridCol w:w="1806"/>
        <w:gridCol w:w="3096"/>
        <w:gridCol w:w="1545"/>
        <w:gridCol w:w="1566"/>
      </w:tblGrid>
      <w:tr w:rsidR="00B12329" w:rsidRPr="00B12329" w14:paraId="7EB20350" w14:textId="77777777" w:rsidTr="00B12329">
        <w:trPr>
          <w:trHeight w:val="827"/>
          <w:jc w:val="center"/>
        </w:trPr>
        <w:tc>
          <w:tcPr>
            <w:tcW w:w="567" w:type="dxa"/>
            <w:tcBorders>
              <w:top w:val="single" w:sz="4" w:space="0" w:color="000000"/>
              <w:bottom w:val="single" w:sz="4" w:space="0" w:color="000000"/>
            </w:tcBorders>
          </w:tcPr>
          <w:p w14:paraId="7C00C2FE"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Rank</w:t>
            </w:r>
          </w:p>
        </w:tc>
        <w:tc>
          <w:tcPr>
            <w:tcW w:w="1806" w:type="dxa"/>
            <w:tcBorders>
              <w:top w:val="single" w:sz="4" w:space="0" w:color="000000"/>
              <w:bottom w:val="single" w:sz="4" w:space="0" w:color="000000"/>
            </w:tcBorders>
          </w:tcPr>
          <w:p w14:paraId="44458694"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Geo-Political Zone</w:t>
            </w:r>
          </w:p>
        </w:tc>
        <w:tc>
          <w:tcPr>
            <w:tcW w:w="3096" w:type="dxa"/>
            <w:tcBorders>
              <w:top w:val="single" w:sz="4" w:space="0" w:color="000000"/>
              <w:bottom w:val="single" w:sz="4" w:space="0" w:color="000000"/>
            </w:tcBorders>
          </w:tcPr>
          <w:p w14:paraId="3A48C2CB"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States</w:t>
            </w:r>
          </w:p>
        </w:tc>
        <w:tc>
          <w:tcPr>
            <w:tcW w:w="1545" w:type="dxa"/>
            <w:tcBorders>
              <w:top w:val="single" w:sz="4" w:space="0" w:color="000000"/>
              <w:bottom w:val="single" w:sz="4" w:space="0" w:color="000000"/>
            </w:tcBorders>
          </w:tcPr>
          <w:p w14:paraId="1465B639"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Annual Emissions (Tonnes)</w:t>
            </w:r>
          </w:p>
        </w:tc>
        <w:tc>
          <w:tcPr>
            <w:tcW w:w="1566" w:type="dxa"/>
            <w:tcBorders>
              <w:top w:val="single" w:sz="4" w:space="0" w:color="000000"/>
              <w:bottom w:val="single" w:sz="4" w:space="0" w:color="000000"/>
            </w:tcBorders>
          </w:tcPr>
          <w:p w14:paraId="1D0C5F55" w14:textId="1B36A44E"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Share</w:t>
            </w:r>
            <w:r>
              <w:rPr>
                <w:rFonts w:ascii="Times New Roman" w:hAnsi="Times New Roman" w:cs="Times New Roman"/>
                <w:bCs/>
                <w:sz w:val="20"/>
                <w:szCs w:val="20"/>
                <w:lang w:val="en-US"/>
              </w:rPr>
              <w:t xml:space="preserve"> </w:t>
            </w:r>
            <w:r w:rsidRPr="00B12329">
              <w:rPr>
                <w:rFonts w:ascii="Times New Roman" w:hAnsi="Times New Roman" w:cs="Times New Roman"/>
                <w:bCs/>
                <w:sz w:val="20"/>
                <w:szCs w:val="20"/>
                <w:lang w:val="en-US"/>
              </w:rPr>
              <w:t>of</w:t>
            </w:r>
            <w:r w:rsidRPr="00B12329">
              <w:rPr>
                <w:rFonts w:ascii="Times New Roman" w:hAnsi="Times New Roman" w:cs="Times New Roman"/>
                <w:bCs/>
                <w:sz w:val="20"/>
                <w:szCs w:val="20"/>
                <w:lang w:val="en-US"/>
              </w:rPr>
              <w:tab/>
              <w:t>the Country</w:t>
            </w:r>
          </w:p>
        </w:tc>
      </w:tr>
      <w:tr w:rsidR="00B12329" w:rsidRPr="00B12329" w14:paraId="021C5447" w14:textId="77777777" w:rsidTr="00B12329">
        <w:trPr>
          <w:trHeight w:val="550"/>
          <w:jc w:val="center"/>
        </w:trPr>
        <w:tc>
          <w:tcPr>
            <w:tcW w:w="567" w:type="dxa"/>
            <w:tcBorders>
              <w:top w:val="single" w:sz="4" w:space="0" w:color="000000"/>
            </w:tcBorders>
          </w:tcPr>
          <w:p w14:paraId="0E360030"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1</w:t>
            </w:r>
          </w:p>
        </w:tc>
        <w:tc>
          <w:tcPr>
            <w:tcW w:w="1806" w:type="dxa"/>
            <w:tcBorders>
              <w:top w:val="single" w:sz="4" w:space="0" w:color="000000"/>
            </w:tcBorders>
          </w:tcPr>
          <w:p w14:paraId="48B1E91C"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South-West</w:t>
            </w:r>
          </w:p>
        </w:tc>
        <w:tc>
          <w:tcPr>
            <w:tcW w:w="3096" w:type="dxa"/>
            <w:tcBorders>
              <w:top w:val="single" w:sz="4" w:space="0" w:color="000000"/>
            </w:tcBorders>
          </w:tcPr>
          <w:p w14:paraId="6C48AF6F"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Ekiti, Lagos, Ogun, Osun, Ondo and Oyo.</w:t>
            </w:r>
          </w:p>
        </w:tc>
        <w:tc>
          <w:tcPr>
            <w:tcW w:w="1545" w:type="dxa"/>
            <w:tcBorders>
              <w:top w:val="single" w:sz="4" w:space="0" w:color="000000"/>
            </w:tcBorders>
          </w:tcPr>
          <w:p w14:paraId="3B7F347A"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43,703</w:t>
            </w:r>
          </w:p>
        </w:tc>
        <w:tc>
          <w:tcPr>
            <w:tcW w:w="1566" w:type="dxa"/>
            <w:tcBorders>
              <w:top w:val="single" w:sz="4" w:space="0" w:color="000000"/>
            </w:tcBorders>
          </w:tcPr>
          <w:p w14:paraId="1A0D0F9A" w14:textId="77777777" w:rsidR="00B12329" w:rsidRPr="00B12329" w:rsidRDefault="00B12329" w:rsidP="00B12329">
            <w:pPr>
              <w:autoSpaceDE w:val="0"/>
              <w:autoSpaceDN w:val="0"/>
              <w:adjustRightInd w:val="0"/>
              <w:spacing w:after="0" w:line="240" w:lineRule="auto"/>
              <w:jc w:val="both"/>
              <w:rPr>
                <w:rFonts w:ascii="Times New Roman" w:hAnsi="Times New Roman" w:cs="Times New Roman"/>
                <w:bCs/>
                <w:sz w:val="20"/>
                <w:szCs w:val="20"/>
                <w:lang w:val="en-US"/>
              </w:rPr>
            </w:pPr>
            <w:r w:rsidRPr="00B12329">
              <w:rPr>
                <w:rFonts w:ascii="Times New Roman" w:hAnsi="Times New Roman" w:cs="Times New Roman"/>
                <w:bCs/>
                <w:sz w:val="20"/>
                <w:szCs w:val="20"/>
                <w:lang w:val="en-US"/>
              </w:rPr>
              <w:t>46.19%</w:t>
            </w:r>
          </w:p>
        </w:tc>
      </w:tr>
      <w:tr w:rsidR="00B12329" w:rsidRPr="00B12329" w14:paraId="2EEA4AC4" w14:textId="77777777" w:rsidTr="00B12329">
        <w:trPr>
          <w:trHeight w:val="1107"/>
          <w:jc w:val="center"/>
        </w:trPr>
        <w:tc>
          <w:tcPr>
            <w:tcW w:w="567" w:type="dxa"/>
          </w:tcPr>
          <w:p w14:paraId="13D9C64B"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2</w:t>
            </w:r>
          </w:p>
          <w:p w14:paraId="2498DBF4"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p>
          <w:p w14:paraId="173AECAB"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p>
          <w:p w14:paraId="4A962B78"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3</w:t>
            </w:r>
          </w:p>
        </w:tc>
        <w:tc>
          <w:tcPr>
            <w:tcW w:w="1806" w:type="dxa"/>
          </w:tcPr>
          <w:p w14:paraId="7E0E8224"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North-West</w:t>
            </w:r>
          </w:p>
          <w:p w14:paraId="0DA3A055"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p>
          <w:p w14:paraId="594A9D17"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p>
          <w:p w14:paraId="1E796EBF"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South-East</w:t>
            </w:r>
          </w:p>
        </w:tc>
        <w:tc>
          <w:tcPr>
            <w:tcW w:w="3096" w:type="dxa"/>
          </w:tcPr>
          <w:p w14:paraId="339A64BD"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Jigawa, Kaduna, Katsina, Kano, Kebbi, Sokoto and Zamfara.</w:t>
            </w:r>
          </w:p>
          <w:p w14:paraId="451767D9" w14:textId="6BCB680B" w:rsidR="00B12329" w:rsidRPr="00B12329" w:rsidRDefault="0002104B"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Abia, Anambra</w:t>
            </w:r>
            <w:r w:rsidR="00B12329" w:rsidRPr="00B12329">
              <w:rPr>
                <w:rFonts w:ascii="Times New Roman" w:hAnsi="Times New Roman" w:cs="Times New Roman"/>
                <w:bCs/>
                <w:sz w:val="20"/>
                <w:szCs w:val="20"/>
                <w:lang w:val="en-US"/>
              </w:rPr>
              <w:t>,  Ebonyi,</w:t>
            </w:r>
          </w:p>
        </w:tc>
        <w:tc>
          <w:tcPr>
            <w:tcW w:w="1545" w:type="dxa"/>
          </w:tcPr>
          <w:p w14:paraId="2DF7CAB9"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34,603</w:t>
            </w:r>
          </w:p>
          <w:p w14:paraId="1628DB59"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p>
          <w:p w14:paraId="3873AB64"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p>
          <w:p w14:paraId="4882EECC"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23,698</w:t>
            </w:r>
          </w:p>
        </w:tc>
        <w:tc>
          <w:tcPr>
            <w:tcW w:w="1566" w:type="dxa"/>
          </w:tcPr>
          <w:p w14:paraId="620FEF49" w14:textId="77777777" w:rsidR="00B12329" w:rsidRPr="00B12329" w:rsidRDefault="00B12329" w:rsidP="00B12329">
            <w:pPr>
              <w:autoSpaceDE w:val="0"/>
              <w:autoSpaceDN w:val="0"/>
              <w:adjustRightInd w:val="0"/>
              <w:spacing w:after="0" w:line="240" w:lineRule="auto"/>
              <w:jc w:val="both"/>
              <w:rPr>
                <w:rFonts w:ascii="Times New Roman" w:hAnsi="Times New Roman" w:cs="Times New Roman"/>
                <w:bCs/>
                <w:sz w:val="20"/>
                <w:szCs w:val="20"/>
                <w:lang w:val="en-US"/>
              </w:rPr>
            </w:pPr>
            <w:r w:rsidRPr="00B12329">
              <w:rPr>
                <w:rFonts w:ascii="Times New Roman" w:hAnsi="Times New Roman" w:cs="Times New Roman"/>
                <w:bCs/>
                <w:sz w:val="20"/>
                <w:szCs w:val="20"/>
                <w:lang w:val="en-US"/>
              </w:rPr>
              <w:t>34.09%</w:t>
            </w:r>
          </w:p>
          <w:p w14:paraId="185BA1EF" w14:textId="77777777" w:rsidR="00B12329" w:rsidRPr="00B12329" w:rsidRDefault="00B12329" w:rsidP="00B12329">
            <w:pPr>
              <w:autoSpaceDE w:val="0"/>
              <w:autoSpaceDN w:val="0"/>
              <w:adjustRightInd w:val="0"/>
              <w:spacing w:after="0" w:line="240" w:lineRule="auto"/>
              <w:jc w:val="both"/>
              <w:rPr>
                <w:rFonts w:ascii="Times New Roman" w:hAnsi="Times New Roman" w:cs="Times New Roman"/>
                <w:bCs/>
                <w:sz w:val="20"/>
                <w:szCs w:val="20"/>
                <w:lang w:val="en-US"/>
              </w:rPr>
            </w:pPr>
          </w:p>
          <w:p w14:paraId="0E5FFC35" w14:textId="77777777" w:rsidR="00B12329" w:rsidRPr="00B12329" w:rsidRDefault="00B12329" w:rsidP="00B12329">
            <w:pPr>
              <w:autoSpaceDE w:val="0"/>
              <w:autoSpaceDN w:val="0"/>
              <w:adjustRightInd w:val="0"/>
              <w:spacing w:after="0" w:line="240" w:lineRule="auto"/>
              <w:jc w:val="both"/>
              <w:rPr>
                <w:rFonts w:ascii="Times New Roman" w:hAnsi="Times New Roman" w:cs="Times New Roman"/>
                <w:bCs/>
                <w:sz w:val="20"/>
                <w:szCs w:val="20"/>
                <w:lang w:val="en-US"/>
              </w:rPr>
            </w:pPr>
          </w:p>
          <w:p w14:paraId="135B4171" w14:textId="77777777" w:rsidR="00B12329" w:rsidRPr="00B12329" w:rsidRDefault="00B12329" w:rsidP="00B12329">
            <w:pPr>
              <w:autoSpaceDE w:val="0"/>
              <w:autoSpaceDN w:val="0"/>
              <w:adjustRightInd w:val="0"/>
              <w:spacing w:after="0" w:line="240" w:lineRule="auto"/>
              <w:jc w:val="both"/>
              <w:rPr>
                <w:rFonts w:ascii="Times New Roman" w:hAnsi="Times New Roman" w:cs="Times New Roman"/>
                <w:bCs/>
                <w:sz w:val="20"/>
                <w:szCs w:val="20"/>
                <w:lang w:val="en-US"/>
              </w:rPr>
            </w:pPr>
            <w:r w:rsidRPr="00B12329">
              <w:rPr>
                <w:rFonts w:ascii="Times New Roman" w:hAnsi="Times New Roman" w:cs="Times New Roman"/>
                <w:bCs/>
                <w:sz w:val="20"/>
                <w:szCs w:val="20"/>
                <w:lang w:val="en-US"/>
              </w:rPr>
              <w:t>2.25%</w:t>
            </w:r>
          </w:p>
        </w:tc>
      </w:tr>
      <w:tr w:rsidR="00B12329" w:rsidRPr="00B12329" w14:paraId="6115162F" w14:textId="77777777" w:rsidTr="00B12329">
        <w:trPr>
          <w:trHeight w:val="552"/>
          <w:jc w:val="center"/>
        </w:trPr>
        <w:tc>
          <w:tcPr>
            <w:tcW w:w="567" w:type="dxa"/>
          </w:tcPr>
          <w:p w14:paraId="6D431C50"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4</w:t>
            </w:r>
          </w:p>
        </w:tc>
        <w:tc>
          <w:tcPr>
            <w:tcW w:w="1806" w:type="dxa"/>
          </w:tcPr>
          <w:p w14:paraId="42A22478"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South-South</w:t>
            </w:r>
          </w:p>
        </w:tc>
        <w:tc>
          <w:tcPr>
            <w:tcW w:w="3096" w:type="dxa"/>
          </w:tcPr>
          <w:p w14:paraId="615DEFBA"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Enugu and Imo.</w:t>
            </w:r>
          </w:p>
          <w:p w14:paraId="6BC28E21"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Akwa-Ibom, Bayelsa, Edo,</w:t>
            </w:r>
          </w:p>
        </w:tc>
        <w:tc>
          <w:tcPr>
            <w:tcW w:w="1545" w:type="dxa"/>
          </w:tcPr>
          <w:p w14:paraId="21D386D8"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09,807</w:t>
            </w:r>
          </w:p>
        </w:tc>
        <w:tc>
          <w:tcPr>
            <w:tcW w:w="1566" w:type="dxa"/>
          </w:tcPr>
          <w:p w14:paraId="4AE8D3E0" w14:textId="77777777" w:rsidR="00B12329" w:rsidRPr="00B12329" w:rsidRDefault="00B12329" w:rsidP="00B12329">
            <w:pPr>
              <w:autoSpaceDE w:val="0"/>
              <w:autoSpaceDN w:val="0"/>
              <w:adjustRightInd w:val="0"/>
              <w:spacing w:after="0" w:line="240" w:lineRule="auto"/>
              <w:jc w:val="both"/>
              <w:rPr>
                <w:rFonts w:ascii="Times New Roman" w:hAnsi="Times New Roman" w:cs="Times New Roman"/>
                <w:bCs/>
                <w:sz w:val="20"/>
                <w:szCs w:val="20"/>
                <w:lang w:val="en-US"/>
              </w:rPr>
            </w:pPr>
            <w:r w:rsidRPr="00B12329">
              <w:rPr>
                <w:rFonts w:ascii="Times New Roman" w:hAnsi="Times New Roman" w:cs="Times New Roman"/>
                <w:bCs/>
                <w:sz w:val="20"/>
                <w:szCs w:val="20"/>
                <w:lang w:val="en-US"/>
              </w:rPr>
              <w:t>8.38%</w:t>
            </w:r>
          </w:p>
        </w:tc>
      </w:tr>
      <w:tr w:rsidR="00B12329" w:rsidRPr="00B12329" w14:paraId="376DBDEA" w14:textId="77777777" w:rsidTr="00B12329">
        <w:trPr>
          <w:trHeight w:val="551"/>
          <w:jc w:val="center"/>
        </w:trPr>
        <w:tc>
          <w:tcPr>
            <w:tcW w:w="567" w:type="dxa"/>
          </w:tcPr>
          <w:p w14:paraId="0100F2CD"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5</w:t>
            </w:r>
          </w:p>
        </w:tc>
        <w:tc>
          <w:tcPr>
            <w:tcW w:w="1806" w:type="dxa"/>
          </w:tcPr>
          <w:p w14:paraId="1C6F6144"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North-Central</w:t>
            </w:r>
          </w:p>
        </w:tc>
        <w:tc>
          <w:tcPr>
            <w:tcW w:w="3096" w:type="dxa"/>
          </w:tcPr>
          <w:p w14:paraId="77F3296B"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Cross-River, Delta, Rivers.</w:t>
            </w:r>
          </w:p>
          <w:p w14:paraId="4688F0A9"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Benue,</w:t>
            </w:r>
            <w:r w:rsidRPr="00B12329">
              <w:rPr>
                <w:rFonts w:ascii="Times New Roman" w:hAnsi="Times New Roman" w:cs="Times New Roman"/>
                <w:bCs/>
                <w:sz w:val="20"/>
                <w:szCs w:val="20"/>
                <w:lang w:val="en-US"/>
              </w:rPr>
              <w:tab/>
              <w:t>Kogi,</w:t>
            </w:r>
            <w:r w:rsidRPr="00B12329">
              <w:rPr>
                <w:rFonts w:ascii="Times New Roman" w:hAnsi="Times New Roman" w:cs="Times New Roman"/>
                <w:bCs/>
                <w:sz w:val="20"/>
                <w:szCs w:val="20"/>
                <w:lang w:val="en-US"/>
              </w:rPr>
              <w:tab/>
              <w:t>Kwara,</w:t>
            </w:r>
          </w:p>
        </w:tc>
        <w:tc>
          <w:tcPr>
            <w:tcW w:w="1545" w:type="dxa"/>
          </w:tcPr>
          <w:p w14:paraId="0E854C27"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07, 109</w:t>
            </w:r>
          </w:p>
        </w:tc>
        <w:tc>
          <w:tcPr>
            <w:tcW w:w="1566" w:type="dxa"/>
          </w:tcPr>
          <w:p w14:paraId="2AC735F5" w14:textId="77777777" w:rsidR="00B12329" w:rsidRPr="00B12329" w:rsidRDefault="00B12329" w:rsidP="00B12329">
            <w:pPr>
              <w:autoSpaceDE w:val="0"/>
              <w:autoSpaceDN w:val="0"/>
              <w:adjustRightInd w:val="0"/>
              <w:spacing w:after="0" w:line="240" w:lineRule="auto"/>
              <w:jc w:val="both"/>
              <w:rPr>
                <w:rFonts w:ascii="Times New Roman" w:hAnsi="Times New Roman" w:cs="Times New Roman"/>
                <w:bCs/>
                <w:sz w:val="20"/>
                <w:szCs w:val="20"/>
                <w:lang w:val="en-US"/>
              </w:rPr>
            </w:pPr>
            <w:r w:rsidRPr="00B12329">
              <w:rPr>
                <w:rFonts w:ascii="Times New Roman" w:hAnsi="Times New Roman" w:cs="Times New Roman"/>
                <w:bCs/>
                <w:sz w:val="20"/>
                <w:szCs w:val="20"/>
                <w:lang w:val="en-US"/>
              </w:rPr>
              <w:t>4.89%</w:t>
            </w:r>
          </w:p>
        </w:tc>
      </w:tr>
      <w:tr w:rsidR="00B12329" w:rsidRPr="00B12329" w14:paraId="4F6A5E94" w14:textId="77777777" w:rsidTr="00B12329">
        <w:trPr>
          <w:trHeight w:val="551"/>
          <w:jc w:val="center"/>
        </w:trPr>
        <w:tc>
          <w:tcPr>
            <w:tcW w:w="567" w:type="dxa"/>
          </w:tcPr>
          <w:p w14:paraId="081B7F8C"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6</w:t>
            </w:r>
          </w:p>
        </w:tc>
        <w:tc>
          <w:tcPr>
            <w:tcW w:w="1806" w:type="dxa"/>
          </w:tcPr>
          <w:p w14:paraId="21F8C08E"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North-East</w:t>
            </w:r>
          </w:p>
        </w:tc>
        <w:tc>
          <w:tcPr>
            <w:tcW w:w="3096" w:type="dxa"/>
          </w:tcPr>
          <w:p w14:paraId="5EFFBEE2"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Nasarawa, Niger, Plateau.</w:t>
            </w:r>
          </w:p>
          <w:p w14:paraId="144ABFE4"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Adamawa, Bauchi, Borno,</w:t>
            </w:r>
          </w:p>
        </w:tc>
        <w:tc>
          <w:tcPr>
            <w:tcW w:w="1545" w:type="dxa"/>
          </w:tcPr>
          <w:p w14:paraId="12B054DD"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06,704</w:t>
            </w:r>
          </w:p>
        </w:tc>
        <w:tc>
          <w:tcPr>
            <w:tcW w:w="1566" w:type="dxa"/>
          </w:tcPr>
          <w:p w14:paraId="11B45D42" w14:textId="77777777" w:rsidR="00B12329" w:rsidRPr="00B12329" w:rsidRDefault="00B12329" w:rsidP="00B12329">
            <w:pPr>
              <w:autoSpaceDE w:val="0"/>
              <w:autoSpaceDN w:val="0"/>
              <w:adjustRightInd w:val="0"/>
              <w:spacing w:after="0" w:line="240" w:lineRule="auto"/>
              <w:jc w:val="both"/>
              <w:rPr>
                <w:rFonts w:ascii="Times New Roman" w:hAnsi="Times New Roman" w:cs="Times New Roman"/>
                <w:bCs/>
                <w:sz w:val="20"/>
                <w:szCs w:val="20"/>
                <w:lang w:val="en-US"/>
              </w:rPr>
            </w:pPr>
            <w:r w:rsidRPr="00B12329">
              <w:rPr>
                <w:rFonts w:ascii="Times New Roman" w:hAnsi="Times New Roman" w:cs="Times New Roman"/>
                <w:bCs/>
                <w:sz w:val="20"/>
                <w:szCs w:val="20"/>
                <w:lang w:val="en-US"/>
              </w:rPr>
              <w:t>4.20%</w:t>
            </w:r>
          </w:p>
        </w:tc>
      </w:tr>
      <w:tr w:rsidR="00B12329" w:rsidRPr="00B12329" w14:paraId="62D1EFB6" w14:textId="77777777" w:rsidTr="00B12329">
        <w:trPr>
          <w:trHeight w:val="270"/>
          <w:jc w:val="center"/>
        </w:trPr>
        <w:tc>
          <w:tcPr>
            <w:tcW w:w="567" w:type="dxa"/>
            <w:tcBorders>
              <w:bottom w:val="single" w:sz="4" w:space="0" w:color="auto"/>
            </w:tcBorders>
          </w:tcPr>
          <w:p w14:paraId="3EBB370C"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p>
        </w:tc>
        <w:tc>
          <w:tcPr>
            <w:tcW w:w="1806" w:type="dxa"/>
            <w:tcBorders>
              <w:bottom w:val="single" w:sz="4" w:space="0" w:color="auto"/>
            </w:tcBorders>
          </w:tcPr>
          <w:p w14:paraId="2F3B94B0"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p>
        </w:tc>
        <w:tc>
          <w:tcPr>
            <w:tcW w:w="3096" w:type="dxa"/>
            <w:tcBorders>
              <w:bottom w:val="single" w:sz="4" w:space="0" w:color="auto"/>
            </w:tcBorders>
          </w:tcPr>
          <w:p w14:paraId="1BC3E8CD"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r w:rsidRPr="00B12329">
              <w:rPr>
                <w:rFonts w:ascii="Times New Roman" w:hAnsi="Times New Roman" w:cs="Times New Roman"/>
                <w:bCs/>
                <w:sz w:val="20"/>
                <w:szCs w:val="20"/>
                <w:lang w:val="en-US"/>
              </w:rPr>
              <w:t>Gombe, Taraba and Yobe.</w:t>
            </w:r>
          </w:p>
        </w:tc>
        <w:tc>
          <w:tcPr>
            <w:tcW w:w="1545" w:type="dxa"/>
            <w:tcBorders>
              <w:bottom w:val="single" w:sz="4" w:space="0" w:color="auto"/>
            </w:tcBorders>
          </w:tcPr>
          <w:p w14:paraId="45C6B12D" w14:textId="77777777" w:rsidR="00B12329" w:rsidRPr="00B12329" w:rsidRDefault="00B12329" w:rsidP="00B12329">
            <w:pPr>
              <w:autoSpaceDE w:val="0"/>
              <w:autoSpaceDN w:val="0"/>
              <w:adjustRightInd w:val="0"/>
              <w:spacing w:after="0" w:line="240" w:lineRule="auto"/>
              <w:rPr>
                <w:rFonts w:ascii="Times New Roman" w:hAnsi="Times New Roman" w:cs="Times New Roman"/>
                <w:bCs/>
                <w:sz w:val="20"/>
                <w:szCs w:val="20"/>
                <w:lang w:val="en-US"/>
              </w:rPr>
            </w:pPr>
          </w:p>
        </w:tc>
        <w:tc>
          <w:tcPr>
            <w:tcW w:w="1566" w:type="dxa"/>
            <w:tcBorders>
              <w:bottom w:val="single" w:sz="4" w:space="0" w:color="auto"/>
            </w:tcBorders>
          </w:tcPr>
          <w:p w14:paraId="7287E7BB" w14:textId="77777777" w:rsidR="00B12329" w:rsidRPr="00B12329" w:rsidRDefault="00B12329" w:rsidP="00B12329">
            <w:pPr>
              <w:autoSpaceDE w:val="0"/>
              <w:autoSpaceDN w:val="0"/>
              <w:adjustRightInd w:val="0"/>
              <w:spacing w:after="0" w:line="240" w:lineRule="auto"/>
              <w:jc w:val="both"/>
              <w:rPr>
                <w:rFonts w:ascii="Times New Roman" w:hAnsi="Times New Roman" w:cs="Times New Roman"/>
                <w:bCs/>
                <w:sz w:val="20"/>
                <w:szCs w:val="20"/>
                <w:lang w:val="en-US"/>
              </w:rPr>
            </w:pPr>
          </w:p>
        </w:tc>
      </w:tr>
    </w:tbl>
    <w:p w14:paraId="435CB694" w14:textId="77777777" w:rsidR="00F03AC5" w:rsidRPr="00F03AC5" w:rsidRDefault="00F03AC5" w:rsidP="00B12329">
      <w:pPr>
        <w:autoSpaceDE w:val="0"/>
        <w:autoSpaceDN w:val="0"/>
        <w:adjustRightInd w:val="0"/>
        <w:spacing w:after="0" w:line="240" w:lineRule="auto"/>
        <w:jc w:val="center"/>
        <w:rPr>
          <w:rFonts w:ascii="Times New Roman" w:hAnsi="Times New Roman" w:cs="Times New Roman"/>
          <w:sz w:val="24"/>
          <w:szCs w:val="24"/>
        </w:rPr>
      </w:pPr>
      <w:r w:rsidRPr="00F03AC5">
        <w:rPr>
          <w:rFonts w:ascii="Times New Roman" w:hAnsi="Times New Roman" w:cs="Times New Roman"/>
          <w:sz w:val="24"/>
          <w:szCs w:val="24"/>
        </w:rPr>
        <w:t>(Worldometer, 2024)</w:t>
      </w:r>
    </w:p>
    <w:p w14:paraId="56D5351D" w14:textId="77777777" w:rsidR="00F03AC5" w:rsidRPr="00F03AC5" w:rsidRDefault="00F03AC5" w:rsidP="00F03AC5">
      <w:pPr>
        <w:autoSpaceDE w:val="0"/>
        <w:autoSpaceDN w:val="0"/>
        <w:adjustRightInd w:val="0"/>
        <w:spacing w:after="0" w:line="240" w:lineRule="auto"/>
        <w:rPr>
          <w:rFonts w:ascii="Times New Roman" w:hAnsi="Times New Roman" w:cs="Times New Roman"/>
          <w:sz w:val="24"/>
          <w:szCs w:val="24"/>
        </w:rPr>
      </w:pPr>
      <w:r w:rsidRPr="00F03AC5">
        <w:rPr>
          <w:rFonts w:ascii="Times New Roman" w:hAnsi="Times New Roman" w:cs="Times New Roman"/>
          <w:sz w:val="24"/>
          <w:szCs w:val="24"/>
        </w:rPr>
        <w:t xml:space="preserve"> </w:t>
      </w:r>
    </w:p>
    <w:p w14:paraId="4C638236" w14:textId="77777777" w:rsidR="00F03AC5" w:rsidRPr="00F03AC5" w:rsidRDefault="00F03AC5" w:rsidP="00C80680">
      <w:pPr>
        <w:autoSpaceDE w:val="0"/>
        <w:autoSpaceDN w:val="0"/>
        <w:adjustRightInd w:val="0"/>
        <w:spacing w:after="0" w:line="240" w:lineRule="auto"/>
        <w:jc w:val="both"/>
        <w:rPr>
          <w:rFonts w:ascii="Times New Roman" w:hAnsi="Times New Roman" w:cs="Times New Roman"/>
          <w:sz w:val="24"/>
          <w:szCs w:val="24"/>
        </w:rPr>
      </w:pPr>
      <w:r w:rsidRPr="00F03AC5">
        <w:rPr>
          <w:rFonts w:ascii="Times New Roman" w:hAnsi="Times New Roman" w:cs="Times New Roman"/>
          <w:sz w:val="24"/>
          <w:szCs w:val="24"/>
        </w:rPr>
        <w:t>Table 2 identifies the various emissions levels of the various geopolitical zones in Nigeria. South- West has the highest emission level, while the North-East has the lowest CO2 emissions. It is observed that the country's share does not match its annual emissions. The South-East has the lowest share of 2.25% share because it adopts green technology towards managing emissions, while the South-West has the highest share of 46.19% share with low adoption of green technology. The implications portray a different amount of environmental Pollution because other regions are more involved in quantum energy socio-economic activities. The emissions are also attributed to the level of industrial (conventional building materials production) and their various locations, as it connects to their socio-economic activities.</w:t>
      </w:r>
    </w:p>
    <w:p w14:paraId="6FF01740" w14:textId="77777777" w:rsidR="00C80680" w:rsidRDefault="00C80680" w:rsidP="00C80680">
      <w:pPr>
        <w:autoSpaceDE w:val="0"/>
        <w:autoSpaceDN w:val="0"/>
        <w:adjustRightInd w:val="0"/>
        <w:spacing w:after="0" w:line="240" w:lineRule="auto"/>
        <w:jc w:val="both"/>
        <w:rPr>
          <w:rFonts w:ascii="Times New Roman" w:hAnsi="Times New Roman" w:cs="Times New Roman"/>
          <w:sz w:val="24"/>
          <w:szCs w:val="24"/>
        </w:rPr>
      </w:pPr>
    </w:p>
    <w:p w14:paraId="7B2DE999" w14:textId="4FC266D7" w:rsidR="00F03AC5" w:rsidRPr="00C80680" w:rsidRDefault="00F03AC5" w:rsidP="00C80680">
      <w:pPr>
        <w:autoSpaceDE w:val="0"/>
        <w:autoSpaceDN w:val="0"/>
        <w:adjustRightInd w:val="0"/>
        <w:spacing w:after="0" w:line="240" w:lineRule="auto"/>
        <w:jc w:val="both"/>
        <w:rPr>
          <w:rFonts w:ascii="Times New Roman" w:hAnsi="Times New Roman" w:cs="Times New Roman"/>
          <w:b/>
          <w:bCs/>
          <w:sz w:val="24"/>
          <w:szCs w:val="24"/>
        </w:rPr>
      </w:pPr>
      <w:r w:rsidRPr="00C80680">
        <w:rPr>
          <w:rFonts w:ascii="Times New Roman" w:hAnsi="Times New Roman" w:cs="Times New Roman"/>
          <w:b/>
          <w:bCs/>
          <w:sz w:val="24"/>
          <w:szCs w:val="24"/>
        </w:rPr>
        <w:t>Climatic Conditions in Nigeria’s Six Geo-Political Zones</w:t>
      </w:r>
    </w:p>
    <w:p w14:paraId="2B6784A0" w14:textId="77777777" w:rsidR="00F03AC5" w:rsidRPr="00F03AC5" w:rsidRDefault="00F03AC5" w:rsidP="00C80680">
      <w:pPr>
        <w:autoSpaceDE w:val="0"/>
        <w:autoSpaceDN w:val="0"/>
        <w:adjustRightInd w:val="0"/>
        <w:spacing w:after="0" w:line="240" w:lineRule="auto"/>
        <w:jc w:val="both"/>
        <w:rPr>
          <w:rFonts w:ascii="Times New Roman" w:hAnsi="Times New Roman" w:cs="Times New Roman"/>
          <w:sz w:val="24"/>
          <w:szCs w:val="24"/>
        </w:rPr>
      </w:pPr>
      <w:r w:rsidRPr="00F03AC5">
        <w:rPr>
          <w:rFonts w:ascii="Times New Roman" w:hAnsi="Times New Roman" w:cs="Times New Roman"/>
          <w:sz w:val="24"/>
          <w:szCs w:val="24"/>
        </w:rPr>
        <w:t>Nigeria is located above the equator, with a latitude of 50N to 140N and a Longitude of 30E to 150E. The three Northern zones (North-East/West/Central) are located within the Latitude 100 to 140N, and the Southern zones are located within 50 to 100N. The various climatic conditions, including temperature, rainfall, wind, and humidity, are dependent on their locations on the Earth's surface (Agbebaku, 2015).</w:t>
      </w:r>
    </w:p>
    <w:p w14:paraId="3D57B349" w14:textId="77777777" w:rsidR="00F03AC5" w:rsidRPr="00F03AC5" w:rsidRDefault="00F03AC5" w:rsidP="00C80680">
      <w:pPr>
        <w:autoSpaceDE w:val="0"/>
        <w:autoSpaceDN w:val="0"/>
        <w:adjustRightInd w:val="0"/>
        <w:spacing w:after="0" w:line="240" w:lineRule="auto"/>
        <w:jc w:val="both"/>
        <w:rPr>
          <w:rFonts w:ascii="Times New Roman" w:hAnsi="Times New Roman" w:cs="Times New Roman"/>
          <w:sz w:val="24"/>
          <w:szCs w:val="24"/>
        </w:rPr>
      </w:pPr>
      <w:r w:rsidRPr="00F03AC5">
        <w:rPr>
          <w:rFonts w:ascii="Times New Roman" w:hAnsi="Times New Roman" w:cs="Times New Roman"/>
          <w:sz w:val="24"/>
          <w:szCs w:val="24"/>
        </w:rPr>
        <w:t>The North-East zone is characterised by the Sahel Savannah, with physical features of a desert. Dryness and heat are experienced in this zone due to its distance from the sea. It also constitutes seasonal temperatures with scarce green vegetation (Agbebaku, 2015).</w:t>
      </w:r>
    </w:p>
    <w:p w14:paraId="6885C418" w14:textId="77777777" w:rsidR="00F03AC5" w:rsidRPr="00F03AC5" w:rsidRDefault="00F03AC5" w:rsidP="00C80680">
      <w:pPr>
        <w:autoSpaceDE w:val="0"/>
        <w:autoSpaceDN w:val="0"/>
        <w:adjustRightInd w:val="0"/>
        <w:spacing w:after="0" w:line="240" w:lineRule="auto"/>
        <w:jc w:val="both"/>
        <w:rPr>
          <w:rFonts w:ascii="Times New Roman" w:hAnsi="Times New Roman" w:cs="Times New Roman"/>
          <w:sz w:val="24"/>
          <w:szCs w:val="24"/>
        </w:rPr>
      </w:pPr>
      <w:r w:rsidRPr="00F03AC5">
        <w:rPr>
          <w:rFonts w:ascii="Times New Roman" w:hAnsi="Times New Roman" w:cs="Times New Roman"/>
          <w:sz w:val="24"/>
          <w:szCs w:val="24"/>
        </w:rPr>
        <w:t>A hot semi-arid climate characterises the North-West zone. It experiences a spatial rainy season from May to September, with a long-lasting dry season that spans from October to April. Temperatures are always on the high side throughout the year. During the hottest months of March to May, temperatures can reach up to 470C. The region’s vegetation is savannah, characterised by spaced trees and short grasses. It is prone to extreme weather; heat waves, drought and flood (Agbebaku, 2015).</w:t>
      </w:r>
    </w:p>
    <w:p w14:paraId="036ABE83" w14:textId="63049385" w:rsidR="00F03AC5" w:rsidRPr="00F03AC5" w:rsidRDefault="00F03AC5" w:rsidP="00C80680">
      <w:pPr>
        <w:autoSpaceDE w:val="0"/>
        <w:autoSpaceDN w:val="0"/>
        <w:adjustRightInd w:val="0"/>
        <w:spacing w:after="0" w:line="240" w:lineRule="auto"/>
        <w:jc w:val="both"/>
        <w:rPr>
          <w:rFonts w:ascii="Times New Roman" w:hAnsi="Times New Roman" w:cs="Times New Roman"/>
          <w:sz w:val="24"/>
          <w:szCs w:val="24"/>
        </w:rPr>
      </w:pPr>
      <w:r w:rsidRPr="00F03AC5">
        <w:rPr>
          <w:rFonts w:ascii="Times New Roman" w:hAnsi="Times New Roman" w:cs="Times New Roman"/>
          <w:sz w:val="24"/>
          <w:szCs w:val="24"/>
        </w:rPr>
        <w:t xml:space="preserve">The North-Central zone is considered a tropical continental climate because of its distinct dry and wet seasons. Its mean annual temperatures range from 22.50 °C to 33.50 °C. The mean rainfall </w:t>
      </w:r>
      <w:r w:rsidRPr="00F03AC5">
        <w:rPr>
          <w:rFonts w:ascii="Times New Roman" w:hAnsi="Times New Roman" w:cs="Times New Roman"/>
          <w:sz w:val="24"/>
          <w:szCs w:val="24"/>
        </w:rPr>
        <w:lastRenderedPageBreak/>
        <w:t>usually stipulates 1247.52mm, with its peak in August. The wet season is from May to October, and the dry season is from November to April. Humidity is generally low, with the dry season measuring little above 50%. The dry season is primarily characterised by lower temperatures,</w:t>
      </w:r>
      <w:r w:rsidR="00C80680">
        <w:rPr>
          <w:rFonts w:ascii="Times New Roman" w:hAnsi="Times New Roman" w:cs="Times New Roman"/>
          <w:sz w:val="24"/>
          <w:szCs w:val="24"/>
        </w:rPr>
        <w:t xml:space="preserve"> </w:t>
      </w:r>
      <w:r w:rsidRPr="00F03AC5">
        <w:rPr>
          <w:rFonts w:ascii="Times New Roman" w:hAnsi="Times New Roman" w:cs="Times New Roman"/>
          <w:sz w:val="24"/>
          <w:szCs w:val="24"/>
        </w:rPr>
        <w:t>usually accompanied by a dusty, cold, and dry wind from the Sahara Desert. The natural vegetation is well-adapted to the Guinea, Sudan, and Sahel Savannah regions (Agbebaku, 2015).</w:t>
      </w:r>
    </w:p>
    <w:p w14:paraId="311B5692" w14:textId="77777777" w:rsidR="00F03AC5" w:rsidRPr="00F03AC5" w:rsidRDefault="00F03AC5" w:rsidP="00C80680">
      <w:pPr>
        <w:autoSpaceDE w:val="0"/>
        <w:autoSpaceDN w:val="0"/>
        <w:adjustRightInd w:val="0"/>
        <w:spacing w:after="0" w:line="240" w:lineRule="auto"/>
        <w:jc w:val="both"/>
        <w:rPr>
          <w:rFonts w:ascii="Times New Roman" w:hAnsi="Times New Roman" w:cs="Times New Roman"/>
          <w:sz w:val="24"/>
          <w:szCs w:val="24"/>
        </w:rPr>
      </w:pPr>
      <w:r w:rsidRPr="00F03AC5">
        <w:rPr>
          <w:rFonts w:ascii="Times New Roman" w:hAnsi="Times New Roman" w:cs="Times New Roman"/>
          <w:sz w:val="24"/>
          <w:szCs w:val="24"/>
        </w:rPr>
        <w:t>The South East region of Nigeria constitutes a tropical climate with distinct wet and dry seasons. The region lies within the rainforest belt and is characterised by high temperature and humidity with a large amount of rainfall lasting from April to October. The dry season lasts from November to March. Experiences heavy rainfall with annual averages of 330mm within the south-eastern coast. The zone is frequently affected by climate change, such as erosion, rising temperatures, flooding and droughts (Agbebaku, 2015).</w:t>
      </w:r>
    </w:p>
    <w:p w14:paraId="00D4F49D" w14:textId="77777777" w:rsidR="00F03AC5" w:rsidRPr="00F03AC5" w:rsidRDefault="00F03AC5" w:rsidP="00C80680">
      <w:pPr>
        <w:autoSpaceDE w:val="0"/>
        <w:autoSpaceDN w:val="0"/>
        <w:adjustRightInd w:val="0"/>
        <w:spacing w:after="0" w:line="240" w:lineRule="auto"/>
        <w:jc w:val="both"/>
        <w:rPr>
          <w:rFonts w:ascii="Times New Roman" w:hAnsi="Times New Roman" w:cs="Times New Roman"/>
          <w:sz w:val="24"/>
          <w:szCs w:val="24"/>
        </w:rPr>
      </w:pPr>
      <w:r w:rsidRPr="00F03AC5">
        <w:rPr>
          <w:rFonts w:ascii="Times New Roman" w:hAnsi="Times New Roman" w:cs="Times New Roman"/>
          <w:sz w:val="24"/>
          <w:szCs w:val="24"/>
        </w:rPr>
        <w:t>The South-South zone is characterised by a tropical monsoon climate, with clear features of consistent temperatures, high humidity, and wet and dry seasons. There are two distinctive variations within the region: coastal and inland. The coastal region receives more rainfall than the inland region. Coastal areas that are close to Bonny Island and east of Calabar usually receive over 4,000mm of rainfall annually (Agbebaku, 2015).</w:t>
      </w:r>
    </w:p>
    <w:p w14:paraId="04B8C8C9" w14:textId="77777777" w:rsidR="00F03AC5" w:rsidRPr="00F03AC5" w:rsidRDefault="00F03AC5" w:rsidP="00C80680">
      <w:pPr>
        <w:autoSpaceDE w:val="0"/>
        <w:autoSpaceDN w:val="0"/>
        <w:adjustRightInd w:val="0"/>
        <w:spacing w:after="0" w:line="240" w:lineRule="auto"/>
        <w:jc w:val="both"/>
        <w:rPr>
          <w:rFonts w:ascii="Times New Roman" w:hAnsi="Times New Roman" w:cs="Times New Roman"/>
          <w:sz w:val="24"/>
          <w:szCs w:val="24"/>
        </w:rPr>
      </w:pPr>
      <w:r w:rsidRPr="00F03AC5">
        <w:rPr>
          <w:rFonts w:ascii="Times New Roman" w:hAnsi="Times New Roman" w:cs="Times New Roman"/>
          <w:sz w:val="24"/>
          <w:szCs w:val="24"/>
        </w:rPr>
        <w:t>The South-West zone of Nigeria is not far from being a tropical climate, characterised by wet and dry seasons. The wet season in the south west runs through the period April to October, and the peak of the rainfall comes around June and July, while the dry period runs through November to March with less rainfall. A slight dry season is noticed because of the minimal rainfall within the period of November to March. Warm to hot temperatures are experienced throughout the year with an average daily temperature of 320C. Despite the constant rainfall, temperature variations are noticed within coastal and inland regions. High humidity is constant, mostly noticed in the inland regions (Agbebaku, 2015).</w:t>
      </w:r>
    </w:p>
    <w:p w14:paraId="1FB76216" w14:textId="77777777" w:rsidR="00C80680" w:rsidRDefault="00C80680" w:rsidP="00C80680">
      <w:pPr>
        <w:autoSpaceDE w:val="0"/>
        <w:autoSpaceDN w:val="0"/>
        <w:adjustRightInd w:val="0"/>
        <w:spacing w:after="0" w:line="240" w:lineRule="auto"/>
        <w:jc w:val="both"/>
        <w:rPr>
          <w:rFonts w:ascii="Times New Roman" w:hAnsi="Times New Roman" w:cs="Times New Roman"/>
          <w:sz w:val="24"/>
          <w:szCs w:val="24"/>
        </w:rPr>
      </w:pPr>
    </w:p>
    <w:p w14:paraId="2E3B0FEF" w14:textId="29EDB7F8" w:rsidR="00F03AC5" w:rsidRPr="00C80680" w:rsidRDefault="00F03AC5" w:rsidP="00C80680">
      <w:pPr>
        <w:autoSpaceDE w:val="0"/>
        <w:autoSpaceDN w:val="0"/>
        <w:adjustRightInd w:val="0"/>
        <w:spacing w:after="0" w:line="240" w:lineRule="auto"/>
        <w:jc w:val="both"/>
        <w:rPr>
          <w:rFonts w:ascii="Times New Roman" w:hAnsi="Times New Roman" w:cs="Times New Roman"/>
          <w:b/>
          <w:bCs/>
          <w:sz w:val="24"/>
          <w:szCs w:val="24"/>
        </w:rPr>
      </w:pPr>
      <w:r w:rsidRPr="00C80680">
        <w:rPr>
          <w:rFonts w:ascii="Times New Roman" w:hAnsi="Times New Roman" w:cs="Times New Roman"/>
          <w:b/>
          <w:bCs/>
          <w:sz w:val="24"/>
          <w:szCs w:val="24"/>
        </w:rPr>
        <w:t>Green Building Materials and Properties</w:t>
      </w:r>
    </w:p>
    <w:p w14:paraId="2ADF1F8A" w14:textId="77777777" w:rsidR="00F03AC5" w:rsidRPr="00F03AC5" w:rsidRDefault="00F03AC5" w:rsidP="00C80680">
      <w:pPr>
        <w:autoSpaceDE w:val="0"/>
        <w:autoSpaceDN w:val="0"/>
        <w:adjustRightInd w:val="0"/>
        <w:spacing w:after="0" w:line="240" w:lineRule="auto"/>
        <w:jc w:val="both"/>
        <w:rPr>
          <w:rFonts w:ascii="Times New Roman" w:hAnsi="Times New Roman" w:cs="Times New Roman"/>
          <w:sz w:val="24"/>
          <w:szCs w:val="24"/>
        </w:rPr>
      </w:pPr>
      <w:r w:rsidRPr="00F03AC5">
        <w:rPr>
          <w:rFonts w:ascii="Times New Roman" w:hAnsi="Times New Roman" w:cs="Times New Roman"/>
          <w:sz w:val="24"/>
          <w:szCs w:val="24"/>
        </w:rPr>
        <w:t>Various GBMs have been identified in different research across the globe. Its identification was in line with the world’s response towards reducing greenhouse gas emissions. The properties incorporated into these materials must limit CO2 emissions in the environment to ensure quality indoor and outdoor air. The GBM's affordability and quality content are critical parameters to be considered when adopting it for our building construction. The quality of a healthy housing sector is dependent on the level at which green materials are adopted for its construction.</w:t>
      </w:r>
    </w:p>
    <w:p w14:paraId="4CC9B132" w14:textId="77777777" w:rsidR="00F03AC5" w:rsidRPr="00F03AC5" w:rsidRDefault="00F03AC5" w:rsidP="00F03AC5">
      <w:pPr>
        <w:autoSpaceDE w:val="0"/>
        <w:autoSpaceDN w:val="0"/>
        <w:adjustRightInd w:val="0"/>
        <w:spacing w:after="0" w:line="240" w:lineRule="auto"/>
        <w:rPr>
          <w:rFonts w:ascii="Times New Roman" w:hAnsi="Times New Roman" w:cs="Times New Roman"/>
          <w:sz w:val="24"/>
          <w:szCs w:val="24"/>
        </w:rPr>
      </w:pPr>
      <w:r w:rsidRPr="00F03AC5">
        <w:rPr>
          <w:rFonts w:ascii="Times New Roman" w:hAnsi="Times New Roman" w:cs="Times New Roman"/>
          <w:sz w:val="24"/>
          <w:szCs w:val="24"/>
        </w:rPr>
        <w:t xml:space="preserve"> </w:t>
      </w:r>
    </w:p>
    <w:p w14:paraId="709FB09D" w14:textId="792F84BC" w:rsidR="00F03AC5" w:rsidRPr="00F03AC5" w:rsidRDefault="00F03AC5" w:rsidP="009905AA">
      <w:pPr>
        <w:autoSpaceDE w:val="0"/>
        <w:autoSpaceDN w:val="0"/>
        <w:adjustRightInd w:val="0"/>
        <w:spacing w:after="0" w:line="240" w:lineRule="auto"/>
        <w:jc w:val="center"/>
        <w:rPr>
          <w:rFonts w:ascii="Times New Roman" w:hAnsi="Times New Roman" w:cs="Times New Roman"/>
          <w:sz w:val="24"/>
          <w:szCs w:val="24"/>
        </w:rPr>
      </w:pPr>
      <w:r w:rsidRPr="009905AA">
        <w:rPr>
          <w:rFonts w:ascii="Times New Roman" w:hAnsi="Times New Roman" w:cs="Times New Roman"/>
          <w:b/>
          <w:bCs/>
          <w:sz w:val="24"/>
          <w:szCs w:val="24"/>
        </w:rPr>
        <w:t>Table 2</w:t>
      </w:r>
      <w:r w:rsidR="009905AA">
        <w:rPr>
          <w:rFonts w:ascii="Times New Roman" w:hAnsi="Times New Roman" w:cs="Times New Roman"/>
          <w:b/>
          <w:bCs/>
          <w:sz w:val="24"/>
          <w:szCs w:val="24"/>
        </w:rPr>
        <w:t>:</w:t>
      </w:r>
      <w:r w:rsidRPr="00F03AC5">
        <w:rPr>
          <w:rFonts w:ascii="Times New Roman" w:hAnsi="Times New Roman" w:cs="Times New Roman"/>
          <w:sz w:val="24"/>
          <w:szCs w:val="24"/>
        </w:rPr>
        <w:t xml:space="preserve"> GBMs Identifications</w:t>
      </w:r>
    </w:p>
    <w:tbl>
      <w:tblPr>
        <w:tblStyle w:val="TableGrid"/>
        <w:tblW w:w="9351"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4"/>
        <w:gridCol w:w="1558"/>
        <w:gridCol w:w="1558"/>
        <w:gridCol w:w="2320"/>
        <w:gridCol w:w="1701"/>
        <w:gridCol w:w="1510"/>
      </w:tblGrid>
      <w:tr w:rsidR="009905AA" w:rsidRPr="007A7D48" w14:paraId="2A3FB47A" w14:textId="77777777" w:rsidTr="0002104B">
        <w:trPr>
          <w:jc w:val="center"/>
        </w:trPr>
        <w:tc>
          <w:tcPr>
            <w:tcW w:w="704" w:type="dxa"/>
            <w:tcBorders>
              <w:top w:val="single" w:sz="4" w:space="0" w:color="auto"/>
              <w:bottom w:val="single" w:sz="4" w:space="0" w:color="auto"/>
            </w:tcBorders>
          </w:tcPr>
          <w:p w14:paraId="60291308" w14:textId="61E347CD"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b/>
                <w:spacing w:val="-5"/>
                <w:sz w:val="20"/>
                <w:szCs w:val="20"/>
              </w:rPr>
              <w:t>S/N</w:t>
            </w:r>
          </w:p>
        </w:tc>
        <w:tc>
          <w:tcPr>
            <w:tcW w:w="1558" w:type="dxa"/>
            <w:tcBorders>
              <w:top w:val="single" w:sz="4" w:space="0" w:color="auto"/>
              <w:bottom w:val="single" w:sz="4" w:space="0" w:color="auto"/>
            </w:tcBorders>
          </w:tcPr>
          <w:p w14:paraId="22CC080E" w14:textId="674678BC"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b/>
                <w:spacing w:val="-4"/>
                <w:sz w:val="20"/>
                <w:szCs w:val="20"/>
              </w:rPr>
              <w:t>GBMs</w:t>
            </w:r>
          </w:p>
        </w:tc>
        <w:tc>
          <w:tcPr>
            <w:tcW w:w="1558" w:type="dxa"/>
            <w:tcBorders>
              <w:top w:val="single" w:sz="4" w:space="0" w:color="auto"/>
              <w:bottom w:val="single" w:sz="4" w:space="0" w:color="auto"/>
            </w:tcBorders>
          </w:tcPr>
          <w:p w14:paraId="085DB504" w14:textId="1592A867"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b/>
                <w:spacing w:val="-2"/>
                <w:sz w:val="20"/>
                <w:szCs w:val="20"/>
              </w:rPr>
              <w:t>Source</w:t>
            </w:r>
          </w:p>
        </w:tc>
        <w:tc>
          <w:tcPr>
            <w:tcW w:w="2320" w:type="dxa"/>
            <w:tcBorders>
              <w:top w:val="single" w:sz="4" w:space="0" w:color="auto"/>
              <w:bottom w:val="single" w:sz="4" w:space="0" w:color="auto"/>
            </w:tcBorders>
          </w:tcPr>
          <w:p w14:paraId="0DF60936" w14:textId="365344AC"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b/>
                <w:sz w:val="20"/>
                <w:szCs w:val="20"/>
              </w:rPr>
              <w:t>Green</w:t>
            </w:r>
            <w:r w:rsidRPr="007A7D48">
              <w:rPr>
                <w:rFonts w:ascii="Times New Roman" w:hAnsi="Times New Roman" w:cs="Times New Roman"/>
                <w:b/>
                <w:spacing w:val="-4"/>
                <w:sz w:val="20"/>
                <w:szCs w:val="20"/>
              </w:rPr>
              <w:t xml:space="preserve"> </w:t>
            </w:r>
            <w:r w:rsidRPr="007A7D48">
              <w:rPr>
                <w:rFonts w:ascii="Times New Roman" w:hAnsi="Times New Roman" w:cs="Times New Roman"/>
                <w:b/>
                <w:spacing w:val="-2"/>
                <w:sz w:val="20"/>
                <w:szCs w:val="20"/>
              </w:rPr>
              <w:t>Property</w:t>
            </w:r>
          </w:p>
        </w:tc>
        <w:tc>
          <w:tcPr>
            <w:tcW w:w="1701" w:type="dxa"/>
            <w:tcBorders>
              <w:top w:val="single" w:sz="4" w:space="0" w:color="auto"/>
              <w:bottom w:val="single" w:sz="4" w:space="0" w:color="auto"/>
            </w:tcBorders>
          </w:tcPr>
          <w:p w14:paraId="32CC1D48" w14:textId="337E3860"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b/>
                <w:spacing w:val="-2"/>
                <w:sz w:val="20"/>
                <w:szCs w:val="20"/>
              </w:rPr>
              <w:t>Applications</w:t>
            </w:r>
          </w:p>
        </w:tc>
        <w:tc>
          <w:tcPr>
            <w:tcW w:w="1510" w:type="dxa"/>
            <w:tcBorders>
              <w:top w:val="single" w:sz="4" w:space="0" w:color="auto"/>
              <w:bottom w:val="single" w:sz="4" w:space="0" w:color="auto"/>
            </w:tcBorders>
          </w:tcPr>
          <w:p w14:paraId="5B8C23A1" w14:textId="0C459611"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b/>
                <w:spacing w:val="-2"/>
                <w:sz w:val="20"/>
                <w:szCs w:val="20"/>
              </w:rPr>
              <w:t>Reference</w:t>
            </w:r>
          </w:p>
        </w:tc>
      </w:tr>
      <w:tr w:rsidR="009905AA" w:rsidRPr="007A7D48" w14:paraId="67750424" w14:textId="77777777" w:rsidTr="0002104B">
        <w:trPr>
          <w:jc w:val="center"/>
        </w:trPr>
        <w:tc>
          <w:tcPr>
            <w:tcW w:w="704" w:type="dxa"/>
            <w:tcBorders>
              <w:top w:val="single" w:sz="4" w:space="0" w:color="auto"/>
            </w:tcBorders>
          </w:tcPr>
          <w:p w14:paraId="68FB6FC1" w14:textId="7B1C6572" w:rsidR="000F1BBB" w:rsidRPr="009905AA" w:rsidRDefault="000F1BBB" w:rsidP="009905AA">
            <w:pPr>
              <w:pStyle w:val="ListParagraph"/>
              <w:numPr>
                <w:ilvl w:val="0"/>
                <w:numId w:val="34"/>
              </w:numPr>
              <w:autoSpaceDE w:val="0"/>
              <w:autoSpaceDN w:val="0"/>
              <w:adjustRightInd w:val="0"/>
              <w:spacing w:after="0" w:line="240" w:lineRule="auto"/>
              <w:rPr>
                <w:rFonts w:ascii="Times New Roman" w:hAnsi="Times New Roman"/>
                <w:sz w:val="20"/>
                <w:szCs w:val="20"/>
              </w:rPr>
            </w:pPr>
          </w:p>
        </w:tc>
        <w:tc>
          <w:tcPr>
            <w:tcW w:w="1558" w:type="dxa"/>
            <w:tcBorders>
              <w:top w:val="single" w:sz="4" w:space="0" w:color="auto"/>
            </w:tcBorders>
          </w:tcPr>
          <w:p w14:paraId="10FB2B3D" w14:textId="1FBDDD97"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Green</w:t>
            </w:r>
            <w:r w:rsidRPr="007A7D48">
              <w:rPr>
                <w:rFonts w:ascii="Times New Roman" w:hAnsi="Times New Roman" w:cs="Times New Roman"/>
                <w:spacing w:val="-3"/>
                <w:sz w:val="20"/>
                <w:szCs w:val="20"/>
              </w:rPr>
              <w:t xml:space="preserve"> </w:t>
            </w:r>
            <w:r w:rsidRPr="007A7D48">
              <w:rPr>
                <w:rFonts w:ascii="Times New Roman" w:hAnsi="Times New Roman" w:cs="Times New Roman"/>
                <w:spacing w:val="-4"/>
                <w:sz w:val="20"/>
                <w:szCs w:val="20"/>
              </w:rPr>
              <w:t>Roof</w:t>
            </w:r>
          </w:p>
        </w:tc>
        <w:tc>
          <w:tcPr>
            <w:tcW w:w="1558" w:type="dxa"/>
            <w:tcBorders>
              <w:top w:val="single" w:sz="4" w:space="0" w:color="auto"/>
            </w:tcBorders>
          </w:tcPr>
          <w:p w14:paraId="0EB67AC3" w14:textId="51EABED3"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pacing w:val="-2"/>
                <w:sz w:val="20"/>
                <w:szCs w:val="20"/>
              </w:rPr>
              <w:t>Surfaced</w:t>
            </w:r>
          </w:p>
        </w:tc>
        <w:tc>
          <w:tcPr>
            <w:tcW w:w="2320" w:type="dxa"/>
            <w:tcBorders>
              <w:top w:val="single" w:sz="4" w:space="0" w:color="auto"/>
            </w:tcBorders>
          </w:tcPr>
          <w:p w14:paraId="099035C7" w14:textId="35A77DBE"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position w:val="2"/>
                <w:sz w:val="20"/>
                <w:szCs w:val="20"/>
              </w:rPr>
              <w:t>Reduces</w:t>
            </w:r>
            <w:r w:rsidRPr="007A7D48">
              <w:rPr>
                <w:rFonts w:ascii="Times New Roman" w:hAnsi="Times New Roman" w:cs="Times New Roman"/>
                <w:spacing w:val="-11"/>
                <w:position w:val="2"/>
                <w:sz w:val="20"/>
                <w:szCs w:val="20"/>
              </w:rPr>
              <w:t xml:space="preserve"> </w:t>
            </w:r>
            <w:r w:rsidRPr="007A7D48">
              <w:rPr>
                <w:rFonts w:ascii="Times New Roman" w:hAnsi="Times New Roman" w:cs="Times New Roman"/>
                <w:position w:val="2"/>
                <w:sz w:val="20"/>
                <w:szCs w:val="20"/>
              </w:rPr>
              <w:t>the</w:t>
            </w:r>
            <w:r w:rsidRPr="007A7D48">
              <w:rPr>
                <w:rFonts w:ascii="Times New Roman" w:hAnsi="Times New Roman" w:cs="Times New Roman"/>
                <w:spacing w:val="-9"/>
                <w:position w:val="2"/>
                <w:sz w:val="20"/>
                <w:szCs w:val="20"/>
              </w:rPr>
              <w:t xml:space="preserve"> </w:t>
            </w:r>
            <w:r w:rsidRPr="007A7D48">
              <w:rPr>
                <w:rFonts w:ascii="Times New Roman" w:hAnsi="Times New Roman" w:cs="Times New Roman"/>
                <w:position w:val="2"/>
                <w:sz w:val="20"/>
                <w:szCs w:val="20"/>
              </w:rPr>
              <w:t>CO</w:t>
            </w:r>
            <w:r w:rsidRPr="007A7D48">
              <w:rPr>
                <w:rFonts w:ascii="Times New Roman" w:hAnsi="Times New Roman" w:cs="Times New Roman"/>
                <w:sz w:val="20"/>
                <w:szCs w:val="20"/>
              </w:rPr>
              <w:t>2</w:t>
            </w:r>
            <w:r w:rsidRPr="007A7D48">
              <w:rPr>
                <w:rFonts w:ascii="Times New Roman" w:hAnsi="Times New Roman" w:cs="Times New Roman"/>
                <w:spacing w:val="9"/>
                <w:sz w:val="20"/>
                <w:szCs w:val="20"/>
              </w:rPr>
              <w:t xml:space="preserve"> </w:t>
            </w:r>
            <w:r w:rsidRPr="007A7D48">
              <w:rPr>
                <w:rFonts w:ascii="Times New Roman" w:hAnsi="Times New Roman" w:cs="Times New Roman"/>
                <w:position w:val="2"/>
                <w:sz w:val="20"/>
                <w:szCs w:val="20"/>
              </w:rPr>
              <w:t>emissions</w:t>
            </w:r>
            <w:r w:rsidRPr="007A7D48">
              <w:rPr>
                <w:rFonts w:ascii="Times New Roman" w:hAnsi="Times New Roman" w:cs="Times New Roman"/>
                <w:spacing w:val="-10"/>
                <w:position w:val="2"/>
                <w:sz w:val="20"/>
                <w:szCs w:val="20"/>
              </w:rPr>
              <w:t xml:space="preserve"> </w:t>
            </w:r>
            <w:r w:rsidRPr="007A7D48">
              <w:rPr>
                <w:rFonts w:ascii="Times New Roman" w:hAnsi="Times New Roman" w:cs="Times New Roman"/>
                <w:spacing w:val="-4"/>
                <w:position w:val="2"/>
                <w:sz w:val="20"/>
                <w:szCs w:val="20"/>
              </w:rPr>
              <w:t>from</w:t>
            </w:r>
          </w:p>
        </w:tc>
        <w:tc>
          <w:tcPr>
            <w:tcW w:w="1701" w:type="dxa"/>
            <w:tcBorders>
              <w:top w:val="single" w:sz="4" w:space="0" w:color="auto"/>
            </w:tcBorders>
          </w:tcPr>
          <w:p w14:paraId="7C6BC9D6" w14:textId="6E041B04"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pacing w:val="-2"/>
                <w:sz w:val="20"/>
                <w:szCs w:val="20"/>
              </w:rPr>
              <w:t>Green</w:t>
            </w:r>
            <w:r w:rsidRPr="007A7D48">
              <w:rPr>
                <w:rFonts w:ascii="Times New Roman" w:hAnsi="Times New Roman" w:cs="Times New Roman"/>
                <w:spacing w:val="-2"/>
                <w:sz w:val="20"/>
                <w:szCs w:val="20"/>
              </w:rPr>
              <w:t xml:space="preserve"> </w:t>
            </w:r>
            <w:r w:rsidRPr="007A7D48">
              <w:rPr>
                <w:rFonts w:ascii="Times New Roman" w:hAnsi="Times New Roman" w:cs="Times New Roman"/>
                <w:spacing w:val="-2"/>
                <w:sz w:val="20"/>
                <w:szCs w:val="20"/>
              </w:rPr>
              <w:t>roofing</w:t>
            </w:r>
          </w:p>
        </w:tc>
        <w:tc>
          <w:tcPr>
            <w:tcW w:w="1510" w:type="dxa"/>
            <w:tcBorders>
              <w:top w:val="single" w:sz="4" w:space="0" w:color="auto"/>
            </w:tcBorders>
          </w:tcPr>
          <w:p w14:paraId="4E2B1FEF" w14:textId="25FBC0E6"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Hamid</w:t>
            </w:r>
            <w:r w:rsidRPr="007A7D48">
              <w:rPr>
                <w:rFonts w:ascii="Times New Roman" w:hAnsi="Times New Roman" w:cs="Times New Roman"/>
                <w:spacing w:val="-1"/>
                <w:sz w:val="20"/>
                <w:szCs w:val="20"/>
              </w:rPr>
              <w:t xml:space="preserve"> </w:t>
            </w:r>
            <w:r w:rsidRPr="007A7D48">
              <w:rPr>
                <w:rFonts w:ascii="Times New Roman" w:hAnsi="Times New Roman" w:cs="Times New Roman"/>
                <w:sz w:val="20"/>
                <w:szCs w:val="20"/>
              </w:rPr>
              <w:t>et</w:t>
            </w:r>
            <w:r w:rsidRPr="007A7D48">
              <w:rPr>
                <w:rFonts w:ascii="Times New Roman" w:hAnsi="Times New Roman" w:cs="Times New Roman"/>
                <w:spacing w:val="-3"/>
                <w:sz w:val="20"/>
                <w:szCs w:val="20"/>
              </w:rPr>
              <w:t xml:space="preserve"> </w:t>
            </w:r>
            <w:r w:rsidRPr="007A7D48">
              <w:rPr>
                <w:rFonts w:ascii="Times New Roman" w:hAnsi="Times New Roman" w:cs="Times New Roman"/>
                <w:sz w:val="20"/>
                <w:szCs w:val="20"/>
              </w:rPr>
              <w:t>al.</w:t>
            </w:r>
            <w:r w:rsidRPr="007A7D48">
              <w:rPr>
                <w:rFonts w:ascii="Times New Roman" w:hAnsi="Times New Roman" w:cs="Times New Roman"/>
                <w:spacing w:val="-3"/>
                <w:sz w:val="20"/>
                <w:szCs w:val="20"/>
              </w:rPr>
              <w:t xml:space="preserve"> </w:t>
            </w:r>
            <w:r w:rsidRPr="007A7D48">
              <w:rPr>
                <w:rFonts w:ascii="Times New Roman" w:hAnsi="Times New Roman" w:cs="Times New Roman"/>
                <w:spacing w:val="-2"/>
                <w:sz w:val="20"/>
                <w:szCs w:val="20"/>
              </w:rPr>
              <w:t>(2023)</w:t>
            </w:r>
          </w:p>
        </w:tc>
      </w:tr>
      <w:tr w:rsidR="009905AA" w:rsidRPr="007A7D48" w14:paraId="5F84312C" w14:textId="77777777" w:rsidTr="0002104B">
        <w:trPr>
          <w:jc w:val="center"/>
        </w:trPr>
        <w:tc>
          <w:tcPr>
            <w:tcW w:w="704" w:type="dxa"/>
            <w:tcBorders>
              <w:bottom w:val="nil"/>
            </w:tcBorders>
          </w:tcPr>
          <w:p w14:paraId="0F2CBDA3" w14:textId="77777777" w:rsidR="000F1BBB" w:rsidRPr="009905AA" w:rsidRDefault="000F1BBB" w:rsidP="009905AA">
            <w:pPr>
              <w:pStyle w:val="ListParagraph"/>
              <w:numPr>
                <w:ilvl w:val="0"/>
                <w:numId w:val="34"/>
              </w:numPr>
              <w:autoSpaceDE w:val="0"/>
              <w:autoSpaceDN w:val="0"/>
              <w:adjustRightInd w:val="0"/>
              <w:spacing w:after="0" w:line="240" w:lineRule="auto"/>
              <w:rPr>
                <w:rFonts w:ascii="Times New Roman" w:hAnsi="Times New Roman"/>
                <w:sz w:val="20"/>
                <w:szCs w:val="20"/>
              </w:rPr>
            </w:pPr>
          </w:p>
        </w:tc>
        <w:tc>
          <w:tcPr>
            <w:tcW w:w="1558" w:type="dxa"/>
            <w:tcBorders>
              <w:bottom w:val="nil"/>
            </w:tcBorders>
          </w:tcPr>
          <w:p w14:paraId="5360BF0E" w14:textId="77777777" w:rsidR="000F1BBB" w:rsidRPr="007A7D48" w:rsidRDefault="000F1BBB" w:rsidP="007A7D48">
            <w:pPr>
              <w:widowControl w:val="0"/>
              <w:tabs>
                <w:tab w:val="left" w:pos="1055"/>
              </w:tabs>
              <w:autoSpaceDE w:val="0"/>
              <w:autoSpaceDN w:val="0"/>
              <w:spacing w:after="0" w:line="240" w:lineRule="auto"/>
              <w:jc w:val="both"/>
              <w:rPr>
                <w:rFonts w:ascii="Times New Roman" w:hAnsi="Times New Roman" w:cs="Times New Roman"/>
                <w:spacing w:val="-2"/>
                <w:sz w:val="20"/>
                <w:szCs w:val="20"/>
              </w:rPr>
            </w:pPr>
            <w:r w:rsidRPr="007A7D48">
              <w:rPr>
                <w:rFonts w:ascii="Times New Roman" w:hAnsi="Times New Roman" w:cs="Times New Roman"/>
                <w:spacing w:val="-2"/>
                <w:sz w:val="20"/>
                <w:szCs w:val="20"/>
              </w:rPr>
              <w:t>Autoclaved Aerated Concrete (AAC)</w:t>
            </w:r>
          </w:p>
          <w:p w14:paraId="4273C08D" w14:textId="0222DFC4" w:rsidR="000F1BBB" w:rsidRPr="007A7D48" w:rsidRDefault="000F1BBB" w:rsidP="007A7D48">
            <w:pPr>
              <w:widowControl w:val="0"/>
              <w:tabs>
                <w:tab w:val="left" w:pos="1055"/>
              </w:tabs>
              <w:autoSpaceDE w:val="0"/>
              <w:autoSpaceDN w:val="0"/>
              <w:spacing w:after="0" w:line="240" w:lineRule="auto"/>
              <w:jc w:val="both"/>
              <w:rPr>
                <w:rFonts w:ascii="Times New Roman" w:hAnsi="Times New Roman" w:cs="Times New Roman"/>
                <w:sz w:val="20"/>
                <w:szCs w:val="20"/>
              </w:rPr>
            </w:pPr>
            <w:r w:rsidRPr="007A7D48">
              <w:rPr>
                <w:rFonts w:ascii="Times New Roman" w:hAnsi="Times New Roman" w:cs="Times New Roman"/>
                <w:spacing w:val="-2"/>
                <w:sz w:val="20"/>
                <w:szCs w:val="20"/>
              </w:rPr>
              <w:t>Block</w:t>
            </w:r>
          </w:p>
        </w:tc>
        <w:tc>
          <w:tcPr>
            <w:tcW w:w="1558" w:type="dxa"/>
            <w:tcBorders>
              <w:bottom w:val="nil"/>
            </w:tcBorders>
          </w:tcPr>
          <w:p w14:paraId="6DAEACBF" w14:textId="63FD91B4"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Industrial waste (Fly ash, rice husk)</w:t>
            </w:r>
          </w:p>
        </w:tc>
        <w:tc>
          <w:tcPr>
            <w:tcW w:w="2320" w:type="dxa"/>
            <w:tcBorders>
              <w:bottom w:val="nil"/>
            </w:tcBorders>
          </w:tcPr>
          <w:p w14:paraId="61261F2F" w14:textId="4C194E85"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Lightweight,</w:t>
            </w:r>
            <w:r w:rsidRPr="007A7D48">
              <w:rPr>
                <w:rFonts w:ascii="Times New Roman" w:hAnsi="Times New Roman" w:cs="Times New Roman"/>
                <w:spacing w:val="-12"/>
                <w:sz w:val="20"/>
                <w:szCs w:val="20"/>
              </w:rPr>
              <w:t xml:space="preserve"> </w:t>
            </w:r>
            <w:r w:rsidRPr="007A7D48">
              <w:rPr>
                <w:rFonts w:ascii="Times New Roman" w:hAnsi="Times New Roman" w:cs="Times New Roman"/>
                <w:sz w:val="20"/>
                <w:szCs w:val="20"/>
              </w:rPr>
              <w:t>reducing</w:t>
            </w:r>
            <w:r w:rsidRPr="007A7D48">
              <w:rPr>
                <w:rFonts w:ascii="Times New Roman" w:hAnsi="Times New Roman" w:cs="Times New Roman"/>
                <w:spacing w:val="-12"/>
                <w:sz w:val="20"/>
                <w:szCs w:val="20"/>
              </w:rPr>
              <w:t xml:space="preserve"> </w:t>
            </w:r>
            <w:r w:rsidRPr="007A7D48">
              <w:rPr>
                <w:rFonts w:ascii="Times New Roman" w:hAnsi="Times New Roman" w:cs="Times New Roman"/>
                <w:sz w:val="20"/>
                <w:szCs w:val="20"/>
              </w:rPr>
              <w:t>buildings' dead load, saves production energy, durable and fire resistant,</w:t>
            </w:r>
            <w:r w:rsidRPr="007A7D48">
              <w:rPr>
                <w:rFonts w:ascii="Times New Roman" w:hAnsi="Times New Roman" w:cs="Times New Roman"/>
                <w:spacing w:val="-3"/>
                <w:sz w:val="20"/>
                <w:szCs w:val="20"/>
              </w:rPr>
              <w:t xml:space="preserve"> </w:t>
            </w:r>
            <w:r w:rsidRPr="007A7D48">
              <w:rPr>
                <w:rFonts w:ascii="Times New Roman" w:hAnsi="Times New Roman" w:cs="Times New Roman"/>
                <w:sz w:val="20"/>
                <w:szCs w:val="20"/>
              </w:rPr>
              <w:t>and</w:t>
            </w:r>
            <w:r w:rsidRPr="007A7D48">
              <w:rPr>
                <w:rFonts w:ascii="Times New Roman" w:hAnsi="Times New Roman" w:cs="Times New Roman"/>
                <w:spacing w:val="-3"/>
                <w:sz w:val="20"/>
                <w:szCs w:val="20"/>
              </w:rPr>
              <w:t xml:space="preserve"> </w:t>
            </w:r>
            <w:r w:rsidRPr="007A7D48">
              <w:rPr>
                <w:rFonts w:ascii="Times New Roman" w:hAnsi="Times New Roman" w:cs="Times New Roman"/>
                <w:sz w:val="20"/>
                <w:szCs w:val="20"/>
              </w:rPr>
              <w:t>is</w:t>
            </w:r>
            <w:r w:rsidRPr="007A7D48">
              <w:rPr>
                <w:rFonts w:ascii="Times New Roman" w:hAnsi="Times New Roman" w:cs="Times New Roman"/>
                <w:spacing w:val="-4"/>
                <w:sz w:val="20"/>
                <w:szCs w:val="20"/>
              </w:rPr>
              <w:t xml:space="preserve"> </w:t>
            </w:r>
            <w:r w:rsidRPr="007A7D48">
              <w:rPr>
                <w:rFonts w:ascii="Times New Roman" w:hAnsi="Times New Roman" w:cs="Times New Roman"/>
                <w:sz w:val="20"/>
                <w:szCs w:val="20"/>
              </w:rPr>
              <w:t>a</w:t>
            </w:r>
            <w:r w:rsidRPr="007A7D48">
              <w:rPr>
                <w:rFonts w:ascii="Times New Roman" w:hAnsi="Times New Roman" w:cs="Times New Roman"/>
                <w:spacing w:val="-5"/>
                <w:sz w:val="20"/>
                <w:szCs w:val="20"/>
              </w:rPr>
              <w:t xml:space="preserve"> </w:t>
            </w:r>
            <w:r w:rsidRPr="007A7D48">
              <w:rPr>
                <w:rFonts w:ascii="Times New Roman" w:hAnsi="Times New Roman" w:cs="Times New Roman"/>
                <w:sz w:val="20"/>
                <w:szCs w:val="20"/>
              </w:rPr>
              <w:t>good</w:t>
            </w:r>
            <w:r w:rsidRPr="007A7D48">
              <w:rPr>
                <w:rFonts w:ascii="Times New Roman" w:hAnsi="Times New Roman" w:cs="Times New Roman"/>
                <w:spacing w:val="-3"/>
                <w:sz w:val="20"/>
                <w:szCs w:val="20"/>
              </w:rPr>
              <w:t xml:space="preserve"> </w:t>
            </w:r>
            <w:r w:rsidRPr="007A7D48">
              <w:rPr>
                <w:rFonts w:ascii="Times New Roman" w:hAnsi="Times New Roman" w:cs="Times New Roman"/>
                <w:spacing w:val="-2"/>
                <w:sz w:val="20"/>
                <w:szCs w:val="20"/>
              </w:rPr>
              <w:t>insulator</w:t>
            </w:r>
          </w:p>
        </w:tc>
        <w:tc>
          <w:tcPr>
            <w:tcW w:w="1701" w:type="dxa"/>
            <w:tcBorders>
              <w:bottom w:val="nil"/>
            </w:tcBorders>
          </w:tcPr>
          <w:p w14:paraId="0E873B66" w14:textId="38C278B3"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pacing w:val="-2"/>
                <w:sz w:val="20"/>
                <w:szCs w:val="20"/>
              </w:rPr>
              <w:t>Walling</w:t>
            </w:r>
          </w:p>
        </w:tc>
        <w:tc>
          <w:tcPr>
            <w:tcW w:w="1510" w:type="dxa"/>
            <w:tcBorders>
              <w:bottom w:val="nil"/>
            </w:tcBorders>
          </w:tcPr>
          <w:p w14:paraId="74FE6C0D" w14:textId="30816BE9"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Brendan</w:t>
            </w:r>
            <w:r w:rsidRPr="007A7D48">
              <w:rPr>
                <w:rFonts w:ascii="Times New Roman" w:hAnsi="Times New Roman" w:cs="Times New Roman"/>
                <w:spacing w:val="-2"/>
                <w:sz w:val="20"/>
                <w:szCs w:val="20"/>
              </w:rPr>
              <w:t xml:space="preserve"> </w:t>
            </w:r>
            <w:r w:rsidRPr="007A7D48">
              <w:rPr>
                <w:rFonts w:ascii="Times New Roman" w:hAnsi="Times New Roman" w:cs="Times New Roman"/>
                <w:sz w:val="20"/>
                <w:szCs w:val="20"/>
              </w:rPr>
              <w:t>et</w:t>
            </w:r>
            <w:r w:rsidRPr="007A7D48">
              <w:rPr>
                <w:rFonts w:ascii="Times New Roman" w:hAnsi="Times New Roman" w:cs="Times New Roman"/>
                <w:spacing w:val="-3"/>
                <w:sz w:val="20"/>
                <w:szCs w:val="20"/>
              </w:rPr>
              <w:t xml:space="preserve"> </w:t>
            </w:r>
            <w:r w:rsidRPr="007A7D48">
              <w:rPr>
                <w:rFonts w:ascii="Times New Roman" w:hAnsi="Times New Roman" w:cs="Times New Roman"/>
                <w:sz w:val="20"/>
                <w:szCs w:val="20"/>
              </w:rPr>
              <w:t>al.</w:t>
            </w:r>
            <w:r w:rsidRPr="007A7D48">
              <w:rPr>
                <w:rFonts w:ascii="Times New Roman" w:hAnsi="Times New Roman" w:cs="Times New Roman"/>
                <w:spacing w:val="-3"/>
                <w:sz w:val="20"/>
                <w:szCs w:val="20"/>
              </w:rPr>
              <w:t xml:space="preserve"> </w:t>
            </w:r>
            <w:r w:rsidRPr="007A7D48">
              <w:rPr>
                <w:rFonts w:ascii="Times New Roman" w:hAnsi="Times New Roman" w:cs="Times New Roman"/>
                <w:spacing w:val="-2"/>
                <w:sz w:val="20"/>
                <w:szCs w:val="20"/>
              </w:rPr>
              <w:t>(2024)</w:t>
            </w:r>
          </w:p>
        </w:tc>
      </w:tr>
      <w:tr w:rsidR="009905AA" w:rsidRPr="007A7D48" w14:paraId="4CD4E71D" w14:textId="77777777" w:rsidTr="0002104B">
        <w:trPr>
          <w:jc w:val="center"/>
        </w:trPr>
        <w:tc>
          <w:tcPr>
            <w:tcW w:w="704" w:type="dxa"/>
            <w:tcBorders>
              <w:top w:val="nil"/>
              <w:bottom w:val="nil"/>
            </w:tcBorders>
          </w:tcPr>
          <w:p w14:paraId="37BF9193" w14:textId="77777777" w:rsidR="000F1BBB" w:rsidRPr="009905AA" w:rsidRDefault="000F1BBB" w:rsidP="009905AA">
            <w:pPr>
              <w:pStyle w:val="ListParagraph"/>
              <w:numPr>
                <w:ilvl w:val="0"/>
                <w:numId w:val="34"/>
              </w:numPr>
              <w:autoSpaceDE w:val="0"/>
              <w:autoSpaceDN w:val="0"/>
              <w:adjustRightInd w:val="0"/>
              <w:spacing w:after="0" w:line="240" w:lineRule="auto"/>
              <w:rPr>
                <w:rFonts w:ascii="Times New Roman" w:hAnsi="Times New Roman"/>
                <w:sz w:val="20"/>
                <w:szCs w:val="20"/>
              </w:rPr>
            </w:pPr>
          </w:p>
        </w:tc>
        <w:tc>
          <w:tcPr>
            <w:tcW w:w="1558" w:type="dxa"/>
            <w:tcBorders>
              <w:top w:val="nil"/>
              <w:bottom w:val="nil"/>
            </w:tcBorders>
          </w:tcPr>
          <w:p w14:paraId="4B407F41" w14:textId="15B6CAB6"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pacing w:val="-2"/>
                <w:sz w:val="20"/>
                <w:szCs w:val="20"/>
              </w:rPr>
              <w:t>Bamboo</w:t>
            </w:r>
          </w:p>
        </w:tc>
        <w:tc>
          <w:tcPr>
            <w:tcW w:w="1558" w:type="dxa"/>
            <w:tcBorders>
              <w:top w:val="nil"/>
              <w:bottom w:val="nil"/>
            </w:tcBorders>
          </w:tcPr>
          <w:p w14:paraId="045ECC10" w14:textId="208B602A"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pacing w:val="-2"/>
                <w:sz w:val="20"/>
                <w:szCs w:val="20"/>
              </w:rPr>
              <w:t>Green vegetation</w:t>
            </w:r>
          </w:p>
        </w:tc>
        <w:tc>
          <w:tcPr>
            <w:tcW w:w="2320" w:type="dxa"/>
            <w:tcBorders>
              <w:top w:val="nil"/>
              <w:bottom w:val="nil"/>
            </w:tcBorders>
          </w:tcPr>
          <w:p w14:paraId="43C7476C" w14:textId="3200DAAD"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High strength to weight ratio, compressive strength of 45.6MPa, tensile strength 48.6MPa, and cost-effective</w:t>
            </w:r>
          </w:p>
        </w:tc>
        <w:tc>
          <w:tcPr>
            <w:tcW w:w="1701" w:type="dxa"/>
            <w:tcBorders>
              <w:top w:val="nil"/>
              <w:bottom w:val="nil"/>
            </w:tcBorders>
          </w:tcPr>
          <w:p w14:paraId="4F0BCA42" w14:textId="5B125797"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 xml:space="preserve">Walling, ceiling, </w:t>
            </w:r>
            <w:r w:rsidRPr="007A7D48">
              <w:rPr>
                <w:rFonts w:ascii="Times New Roman" w:hAnsi="Times New Roman" w:cs="Times New Roman"/>
                <w:spacing w:val="-2"/>
                <w:sz w:val="20"/>
                <w:szCs w:val="20"/>
              </w:rPr>
              <w:t>flooring</w:t>
            </w:r>
            <w:r w:rsidRPr="007A7D48">
              <w:rPr>
                <w:rFonts w:ascii="Times New Roman" w:hAnsi="Times New Roman" w:cs="Times New Roman"/>
                <w:sz w:val="20"/>
                <w:szCs w:val="20"/>
              </w:rPr>
              <w:tab/>
            </w:r>
            <w:r w:rsidRPr="007A7D48">
              <w:rPr>
                <w:rFonts w:ascii="Times New Roman" w:hAnsi="Times New Roman" w:cs="Times New Roman"/>
                <w:spacing w:val="-4"/>
                <w:sz w:val="20"/>
                <w:szCs w:val="20"/>
              </w:rPr>
              <w:t xml:space="preserve">and </w:t>
            </w:r>
            <w:r w:rsidRPr="007A7D48">
              <w:rPr>
                <w:rFonts w:ascii="Times New Roman" w:hAnsi="Times New Roman" w:cs="Times New Roman"/>
                <w:sz w:val="20"/>
                <w:szCs w:val="20"/>
              </w:rPr>
              <w:t>structural</w:t>
            </w:r>
            <w:r w:rsidRPr="007A7D48">
              <w:rPr>
                <w:rFonts w:ascii="Times New Roman" w:hAnsi="Times New Roman" w:cs="Times New Roman"/>
                <w:spacing w:val="-1"/>
                <w:sz w:val="20"/>
                <w:szCs w:val="20"/>
              </w:rPr>
              <w:t xml:space="preserve"> </w:t>
            </w:r>
            <w:r w:rsidRPr="007A7D48">
              <w:rPr>
                <w:rFonts w:ascii="Times New Roman" w:hAnsi="Times New Roman" w:cs="Times New Roman"/>
                <w:sz w:val="20"/>
                <w:szCs w:val="20"/>
              </w:rPr>
              <w:t>framing</w:t>
            </w:r>
          </w:p>
        </w:tc>
        <w:tc>
          <w:tcPr>
            <w:tcW w:w="1510" w:type="dxa"/>
            <w:tcBorders>
              <w:top w:val="nil"/>
              <w:bottom w:val="nil"/>
            </w:tcBorders>
          </w:tcPr>
          <w:p w14:paraId="2CBCE4C8" w14:textId="77777777" w:rsidR="000F1BBB" w:rsidRPr="007A7D48" w:rsidRDefault="000F1BBB" w:rsidP="007A7D48">
            <w:pPr>
              <w:spacing w:after="0" w:line="240" w:lineRule="auto"/>
              <w:rPr>
                <w:rFonts w:ascii="Times New Roman" w:hAnsi="Times New Roman" w:cs="Times New Roman"/>
                <w:sz w:val="20"/>
                <w:szCs w:val="20"/>
              </w:rPr>
            </w:pPr>
            <w:r w:rsidRPr="007A7D48">
              <w:rPr>
                <w:rFonts w:ascii="Times New Roman" w:hAnsi="Times New Roman" w:cs="Times New Roman"/>
                <w:sz w:val="20"/>
                <w:szCs w:val="20"/>
              </w:rPr>
              <w:t>Abera</w:t>
            </w:r>
            <w:r w:rsidRPr="007A7D48">
              <w:rPr>
                <w:rFonts w:ascii="Times New Roman" w:hAnsi="Times New Roman" w:cs="Times New Roman"/>
                <w:spacing w:val="-4"/>
                <w:sz w:val="20"/>
                <w:szCs w:val="20"/>
              </w:rPr>
              <w:t xml:space="preserve"> </w:t>
            </w:r>
            <w:r w:rsidRPr="007A7D48">
              <w:rPr>
                <w:rFonts w:ascii="Times New Roman" w:hAnsi="Times New Roman" w:cs="Times New Roman"/>
                <w:spacing w:val="-2"/>
                <w:sz w:val="20"/>
                <w:szCs w:val="20"/>
              </w:rPr>
              <w:t>(2024)</w:t>
            </w:r>
          </w:p>
          <w:p w14:paraId="65A189DF" w14:textId="77777777" w:rsidR="000F1BBB" w:rsidRPr="007A7D48" w:rsidRDefault="000F1BBB" w:rsidP="007A7D48">
            <w:pPr>
              <w:spacing w:after="0" w:line="240" w:lineRule="auto"/>
              <w:rPr>
                <w:rFonts w:ascii="Times New Roman" w:hAnsi="Times New Roman" w:cs="Times New Roman"/>
                <w:sz w:val="20"/>
                <w:szCs w:val="20"/>
              </w:rPr>
            </w:pPr>
            <w:r w:rsidRPr="007A7D48">
              <w:rPr>
                <w:rFonts w:ascii="Times New Roman" w:hAnsi="Times New Roman" w:cs="Times New Roman"/>
                <w:sz w:val="20"/>
                <w:szCs w:val="20"/>
              </w:rPr>
              <w:t>Samson</w:t>
            </w:r>
            <w:r w:rsidRPr="007A7D48">
              <w:rPr>
                <w:rFonts w:ascii="Times New Roman" w:hAnsi="Times New Roman" w:cs="Times New Roman"/>
                <w:spacing w:val="-5"/>
                <w:sz w:val="20"/>
                <w:szCs w:val="20"/>
              </w:rPr>
              <w:t xml:space="preserve"> </w:t>
            </w:r>
            <w:r w:rsidRPr="007A7D48">
              <w:rPr>
                <w:rFonts w:ascii="Times New Roman" w:hAnsi="Times New Roman" w:cs="Times New Roman"/>
                <w:spacing w:val="-2"/>
                <w:sz w:val="20"/>
                <w:szCs w:val="20"/>
              </w:rPr>
              <w:t>(2021)</w:t>
            </w:r>
          </w:p>
          <w:p w14:paraId="01331937" w14:textId="77777777" w:rsidR="000F1BBB" w:rsidRPr="007A7D48" w:rsidRDefault="000F1BBB" w:rsidP="007A7D48">
            <w:pPr>
              <w:spacing w:after="0" w:line="240" w:lineRule="auto"/>
              <w:rPr>
                <w:rFonts w:ascii="Times New Roman" w:hAnsi="Times New Roman" w:cs="Times New Roman"/>
                <w:sz w:val="20"/>
                <w:szCs w:val="20"/>
              </w:rPr>
            </w:pPr>
            <w:r w:rsidRPr="007A7D48">
              <w:rPr>
                <w:rFonts w:ascii="Times New Roman" w:hAnsi="Times New Roman" w:cs="Times New Roman"/>
                <w:sz w:val="20"/>
                <w:szCs w:val="20"/>
              </w:rPr>
              <w:t>Dordick</w:t>
            </w:r>
            <w:r w:rsidRPr="007A7D48">
              <w:rPr>
                <w:rFonts w:ascii="Times New Roman" w:hAnsi="Times New Roman" w:cs="Times New Roman"/>
                <w:spacing w:val="-3"/>
                <w:sz w:val="20"/>
                <w:szCs w:val="20"/>
              </w:rPr>
              <w:t xml:space="preserve"> </w:t>
            </w:r>
            <w:r w:rsidRPr="007A7D48">
              <w:rPr>
                <w:rFonts w:ascii="Times New Roman" w:hAnsi="Times New Roman" w:cs="Times New Roman"/>
                <w:spacing w:val="-2"/>
                <w:sz w:val="20"/>
                <w:szCs w:val="20"/>
              </w:rPr>
              <w:t>(2022)</w:t>
            </w:r>
          </w:p>
          <w:p w14:paraId="125B1F85" w14:textId="0D5ECD56"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p>
        </w:tc>
      </w:tr>
      <w:tr w:rsidR="009905AA" w:rsidRPr="007A7D48" w14:paraId="596787AC" w14:textId="77777777" w:rsidTr="0002104B">
        <w:trPr>
          <w:jc w:val="center"/>
        </w:trPr>
        <w:tc>
          <w:tcPr>
            <w:tcW w:w="704" w:type="dxa"/>
            <w:tcBorders>
              <w:top w:val="nil"/>
              <w:bottom w:val="nil"/>
            </w:tcBorders>
          </w:tcPr>
          <w:p w14:paraId="1EB32D69" w14:textId="77777777" w:rsidR="000F1BBB" w:rsidRPr="009905AA" w:rsidRDefault="000F1BBB" w:rsidP="009905AA">
            <w:pPr>
              <w:pStyle w:val="ListParagraph"/>
              <w:numPr>
                <w:ilvl w:val="0"/>
                <w:numId w:val="34"/>
              </w:numPr>
              <w:autoSpaceDE w:val="0"/>
              <w:autoSpaceDN w:val="0"/>
              <w:adjustRightInd w:val="0"/>
              <w:spacing w:after="0" w:line="240" w:lineRule="auto"/>
              <w:rPr>
                <w:rFonts w:ascii="Times New Roman" w:hAnsi="Times New Roman"/>
                <w:sz w:val="20"/>
                <w:szCs w:val="20"/>
              </w:rPr>
            </w:pPr>
          </w:p>
        </w:tc>
        <w:tc>
          <w:tcPr>
            <w:tcW w:w="1558" w:type="dxa"/>
            <w:tcBorders>
              <w:top w:val="nil"/>
              <w:bottom w:val="nil"/>
            </w:tcBorders>
          </w:tcPr>
          <w:p w14:paraId="5AE1E1DF" w14:textId="4383BAC2"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pacing w:val="-2"/>
                <w:sz w:val="20"/>
                <w:szCs w:val="20"/>
              </w:rPr>
              <w:t>Recycled Concrete</w:t>
            </w:r>
          </w:p>
        </w:tc>
        <w:tc>
          <w:tcPr>
            <w:tcW w:w="1558" w:type="dxa"/>
            <w:tcBorders>
              <w:top w:val="nil"/>
              <w:bottom w:val="nil"/>
            </w:tcBorders>
          </w:tcPr>
          <w:p w14:paraId="26A301DA" w14:textId="7630C9A8" w:rsidR="000F1BBB" w:rsidRPr="007A7D48" w:rsidRDefault="000F1BBB" w:rsidP="007A7D48">
            <w:pPr>
              <w:spacing w:after="0" w:line="240" w:lineRule="auto"/>
              <w:rPr>
                <w:rFonts w:ascii="Times New Roman" w:hAnsi="Times New Roman" w:cs="Times New Roman"/>
                <w:sz w:val="20"/>
                <w:szCs w:val="20"/>
              </w:rPr>
            </w:pPr>
            <w:r w:rsidRPr="007A7D48">
              <w:rPr>
                <w:rFonts w:ascii="Times New Roman" w:hAnsi="Times New Roman" w:cs="Times New Roman"/>
                <w:spacing w:val="-2"/>
                <w:sz w:val="20"/>
                <w:szCs w:val="20"/>
              </w:rPr>
              <w:t>Industrial concrete</w:t>
            </w:r>
          </w:p>
        </w:tc>
        <w:tc>
          <w:tcPr>
            <w:tcW w:w="2320" w:type="dxa"/>
            <w:tcBorders>
              <w:top w:val="nil"/>
              <w:bottom w:val="nil"/>
            </w:tcBorders>
          </w:tcPr>
          <w:p w14:paraId="568AD9DE" w14:textId="1A8F00BF" w:rsidR="000F1BBB" w:rsidRPr="007A7D48" w:rsidRDefault="000F1BBB" w:rsidP="007A7D48">
            <w:pPr>
              <w:spacing w:after="0" w:line="240" w:lineRule="auto"/>
              <w:rPr>
                <w:rFonts w:ascii="Times New Roman" w:hAnsi="Times New Roman" w:cs="Times New Roman"/>
                <w:sz w:val="20"/>
                <w:szCs w:val="20"/>
              </w:rPr>
            </w:pPr>
            <w:r w:rsidRPr="007A7D48">
              <w:rPr>
                <w:rFonts w:ascii="Times New Roman" w:hAnsi="Times New Roman" w:cs="Times New Roman"/>
                <w:position w:val="2"/>
                <w:sz w:val="20"/>
                <w:szCs w:val="20"/>
              </w:rPr>
              <w:t>Reduces</w:t>
            </w:r>
            <w:r w:rsidRPr="007A7D48">
              <w:rPr>
                <w:rFonts w:ascii="Times New Roman" w:hAnsi="Times New Roman" w:cs="Times New Roman"/>
                <w:spacing w:val="-13"/>
                <w:position w:val="2"/>
                <w:sz w:val="20"/>
                <w:szCs w:val="20"/>
              </w:rPr>
              <w:t xml:space="preserve"> </w:t>
            </w:r>
            <w:r w:rsidRPr="007A7D48">
              <w:rPr>
                <w:rFonts w:ascii="Times New Roman" w:hAnsi="Times New Roman" w:cs="Times New Roman"/>
                <w:position w:val="2"/>
                <w:sz w:val="20"/>
                <w:szCs w:val="20"/>
              </w:rPr>
              <w:t>CO</w:t>
            </w:r>
            <w:r w:rsidRPr="007A7D48">
              <w:rPr>
                <w:rFonts w:ascii="Times New Roman" w:hAnsi="Times New Roman" w:cs="Times New Roman"/>
                <w:sz w:val="20"/>
                <w:szCs w:val="20"/>
              </w:rPr>
              <w:t>2</w:t>
            </w:r>
            <w:r w:rsidRPr="007A7D48">
              <w:rPr>
                <w:rFonts w:ascii="Times New Roman" w:hAnsi="Times New Roman" w:cs="Times New Roman"/>
                <w:spacing w:val="6"/>
                <w:sz w:val="20"/>
                <w:szCs w:val="20"/>
              </w:rPr>
              <w:t xml:space="preserve"> </w:t>
            </w:r>
            <w:r w:rsidRPr="007A7D48">
              <w:rPr>
                <w:rFonts w:ascii="Times New Roman" w:hAnsi="Times New Roman" w:cs="Times New Roman"/>
                <w:position w:val="2"/>
                <w:sz w:val="20"/>
                <w:szCs w:val="20"/>
              </w:rPr>
              <w:t>emissions,</w:t>
            </w:r>
            <w:r w:rsidRPr="007A7D48">
              <w:rPr>
                <w:rFonts w:ascii="Times New Roman" w:hAnsi="Times New Roman" w:cs="Times New Roman"/>
                <w:spacing w:val="-11"/>
                <w:position w:val="2"/>
                <w:sz w:val="20"/>
                <w:szCs w:val="20"/>
              </w:rPr>
              <w:t xml:space="preserve"> </w:t>
            </w:r>
            <w:r w:rsidRPr="007A7D48">
              <w:rPr>
                <w:rFonts w:ascii="Times New Roman" w:hAnsi="Times New Roman" w:cs="Times New Roman"/>
                <w:position w:val="2"/>
                <w:sz w:val="20"/>
                <w:szCs w:val="20"/>
              </w:rPr>
              <w:t xml:space="preserve">reduces </w:t>
            </w:r>
            <w:r w:rsidRPr="007A7D48">
              <w:rPr>
                <w:rFonts w:ascii="Times New Roman" w:hAnsi="Times New Roman" w:cs="Times New Roman"/>
                <w:sz w:val="20"/>
                <w:szCs w:val="20"/>
              </w:rPr>
              <w:t>resource</w:t>
            </w:r>
            <w:r w:rsidRPr="007A7D48">
              <w:rPr>
                <w:rFonts w:ascii="Times New Roman" w:hAnsi="Times New Roman" w:cs="Times New Roman"/>
                <w:spacing w:val="-11"/>
                <w:sz w:val="20"/>
                <w:szCs w:val="20"/>
              </w:rPr>
              <w:t xml:space="preserve"> </w:t>
            </w:r>
            <w:r w:rsidRPr="007A7D48">
              <w:rPr>
                <w:rFonts w:ascii="Times New Roman" w:hAnsi="Times New Roman" w:cs="Times New Roman"/>
                <w:sz w:val="20"/>
                <w:szCs w:val="20"/>
              </w:rPr>
              <w:t>extraction,</w:t>
            </w:r>
            <w:r w:rsidRPr="007A7D48">
              <w:rPr>
                <w:rFonts w:ascii="Times New Roman" w:hAnsi="Times New Roman" w:cs="Times New Roman"/>
                <w:spacing w:val="-12"/>
                <w:sz w:val="20"/>
                <w:szCs w:val="20"/>
              </w:rPr>
              <w:t xml:space="preserve"> </w:t>
            </w:r>
            <w:r w:rsidRPr="007A7D48">
              <w:rPr>
                <w:rFonts w:ascii="Times New Roman" w:hAnsi="Times New Roman" w:cs="Times New Roman"/>
                <w:sz w:val="20"/>
                <w:szCs w:val="20"/>
              </w:rPr>
              <w:t>resistance</w:t>
            </w:r>
            <w:r w:rsidRPr="007A7D48">
              <w:rPr>
                <w:rFonts w:ascii="Times New Roman" w:hAnsi="Times New Roman" w:cs="Times New Roman"/>
                <w:spacing w:val="-13"/>
                <w:sz w:val="20"/>
                <w:szCs w:val="20"/>
              </w:rPr>
              <w:t xml:space="preserve"> </w:t>
            </w:r>
            <w:r w:rsidRPr="007A7D48">
              <w:rPr>
                <w:rFonts w:ascii="Times New Roman" w:hAnsi="Times New Roman" w:cs="Times New Roman"/>
                <w:sz w:val="20"/>
                <w:szCs w:val="20"/>
              </w:rPr>
              <w:t>to fire, chemicals and extreme temperatures, costs less and offers good green incentives, compressive</w:t>
            </w:r>
            <w:r w:rsidR="009905AA">
              <w:rPr>
                <w:rFonts w:ascii="Times New Roman" w:hAnsi="Times New Roman" w:cs="Times New Roman"/>
                <w:sz w:val="20"/>
                <w:szCs w:val="20"/>
              </w:rPr>
              <w:t xml:space="preserve"> </w:t>
            </w:r>
            <w:r w:rsidRPr="007A7D48">
              <w:rPr>
                <w:rFonts w:ascii="Times New Roman" w:hAnsi="Times New Roman" w:cs="Times New Roman"/>
                <w:sz w:val="20"/>
                <w:szCs w:val="20"/>
              </w:rPr>
              <w:t>strength</w:t>
            </w:r>
            <w:r w:rsidRPr="007A7D48">
              <w:rPr>
                <w:rFonts w:ascii="Times New Roman" w:hAnsi="Times New Roman" w:cs="Times New Roman"/>
                <w:spacing w:val="59"/>
                <w:w w:val="150"/>
                <w:sz w:val="20"/>
                <w:szCs w:val="20"/>
              </w:rPr>
              <w:t xml:space="preserve">   </w:t>
            </w:r>
            <w:r w:rsidRPr="007A7D48">
              <w:rPr>
                <w:rFonts w:ascii="Times New Roman" w:hAnsi="Times New Roman" w:cs="Times New Roman"/>
                <w:spacing w:val="-5"/>
                <w:sz w:val="20"/>
                <w:szCs w:val="20"/>
              </w:rPr>
              <w:t>of</w:t>
            </w:r>
            <w:r w:rsidRPr="007A7D48">
              <w:rPr>
                <w:rFonts w:ascii="Times New Roman" w:hAnsi="Times New Roman" w:cs="Times New Roman"/>
                <w:spacing w:val="-5"/>
                <w:sz w:val="20"/>
                <w:szCs w:val="20"/>
              </w:rPr>
              <w:t xml:space="preserve"> </w:t>
            </w:r>
            <w:r w:rsidRPr="007A7D48">
              <w:rPr>
                <w:rFonts w:ascii="Times New Roman" w:hAnsi="Times New Roman" w:cs="Times New Roman"/>
                <w:sz w:val="20"/>
                <w:szCs w:val="20"/>
              </w:rPr>
              <w:t xml:space="preserve">35.2MPa and tensile strength of </w:t>
            </w:r>
            <w:r w:rsidRPr="007A7D48">
              <w:rPr>
                <w:rFonts w:ascii="Times New Roman" w:hAnsi="Times New Roman" w:cs="Times New Roman"/>
                <w:spacing w:val="-2"/>
                <w:sz w:val="20"/>
                <w:szCs w:val="20"/>
              </w:rPr>
              <w:t>15.2MPa</w:t>
            </w:r>
          </w:p>
        </w:tc>
        <w:tc>
          <w:tcPr>
            <w:tcW w:w="1701" w:type="dxa"/>
            <w:tcBorders>
              <w:top w:val="nil"/>
              <w:bottom w:val="nil"/>
            </w:tcBorders>
          </w:tcPr>
          <w:p w14:paraId="62617C5A" w14:textId="42C974FB" w:rsidR="000F1BBB" w:rsidRPr="007A7D48" w:rsidRDefault="000F1BBB" w:rsidP="007A7D48">
            <w:pPr>
              <w:tabs>
                <w:tab w:val="left" w:pos="1361"/>
              </w:tabs>
              <w:spacing w:after="0" w:line="240" w:lineRule="auto"/>
              <w:rPr>
                <w:rFonts w:ascii="Times New Roman" w:hAnsi="Times New Roman" w:cs="Times New Roman"/>
                <w:sz w:val="20"/>
                <w:szCs w:val="20"/>
              </w:rPr>
            </w:pPr>
            <w:r w:rsidRPr="007A7D48">
              <w:rPr>
                <w:rFonts w:ascii="Times New Roman" w:hAnsi="Times New Roman" w:cs="Times New Roman"/>
                <w:sz w:val="20"/>
                <w:szCs w:val="20"/>
              </w:rPr>
              <w:t>Flooring,</w:t>
            </w:r>
            <w:r w:rsidRPr="007A7D48">
              <w:rPr>
                <w:rFonts w:ascii="Times New Roman" w:hAnsi="Times New Roman" w:cs="Times New Roman"/>
                <w:spacing w:val="-1"/>
                <w:sz w:val="20"/>
                <w:szCs w:val="20"/>
              </w:rPr>
              <w:t xml:space="preserve"> </w:t>
            </w:r>
            <w:r w:rsidRPr="007A7D48">
              <w:rPr>
                <w:rFonts w:ascii="Times New Roman" w:hAnsi="Times New Roman" w:cs="Times New Roman"/>
                <w:sz w:val="20"/>
                <w:szCs w:val="20"/>
              </w:rPr>
              <w:t xml:space="preserve">walling, </w:t>
            </w:r>
            <w:r w:rsidRPr="007A7D48">
              <w:rPr>
                <w:rFonts w:ascii="Times New Roman" w:hAnsi="Times New Roman" w:cs="Times New Roman"/>
                <w:spacing w:val="-2"/>
                <w:sz w:val="20"/>
                <w:szCs w:val="20"/>
              </w:rPr>
              <w:t>beams</w:t>
            </w:r>
            <w:r w:rsidRPr="007A7D48">
              <w:rPr>
                <w:rFonts w:ascii="Times New Roman" w:hAnsi="Times New Roman" w:cs="Times New Roman"/>
                <w:spacing w:val="-2"/>
                <w:sz w:val="20"/>
                <w:szCs w:val="20"/>
              </w:rPr>
              <w:t xml:space="preserve"> </w:t>
            </w:r>
            <w:r w:rsidRPr="007A7D48">
              <w:rPr>
                <w:rFonts w:ascii="Times New Roman" w:hAnsi="Times New Roman" w:cs="Times New Roman"/>
                <w:spacing w:val="-4"/>
                <w:sz w:val="20"/>
                <w:szCs w:val="20"/>
              </w:rPr>
              <w:t xml:space="preserve">and </w:t>
            </w:r>
            <w:r w:rsidRPr="007A7D48">
              <w:rPr>
                <w:rFonts w:ascii="Times New Roman" w:hAnsi="Times New Roman" w:cs="Times New Roman"/>
                <w:spacing w:val="-2"/>
                <w:sz w:val="20"/>
                <w:szCs w:val="20"/>
              </w:rPr>
              <w:t>columns</w:t>
            </w:r>
          </w:p>
          <w:p w14:paraId="27D4F30A" w14:textId="77777777"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p>
        </w:tc>
        <w:tc>
          <w:tcPr>
            <w:tcW w:w="1510" w:type="dxa"/>
            <w:tcBorders>
              <w:top w:val="nil"/>
              <w:bottom w:val="nil"/>
            </w:tcBorders>
          </w:tcPr>
          <w:p w14:paraId="0359F875" w14:textId="77777777" w:rsidR="000F1BBB" w:rsidRPr="007A7D48" w:rsidRDefault="000F1BBB" w:rsidP="007A7D48">
            <w:pPr>
              <w:spacing w:after="0" w:line="240" w:lineRule="auto"/>
              <w:rPr>
                <w:rFonts w:ascii="Times New Roman" w:hAnsi="Times New Roman" w:cs="Times New Roman"/>
                <w:sz w:val="20"/>
                <w:szCs w:val="20"/>
              </w:rPr>
            </w:pPr>
            <w:r w:rsidRPr="007A7D48">
              <w:rPr>
                <w:rFonts w:ascii="Times New Roman" w:hAnsi="Times New Roman" w:cs="Times New Roman"/>
                <w:sz w:val="20"/>
                <w:szCs w:val="20"/>
              </w:rPr>
              <w:t>Abera,</w:t>
            </w:r>
            <w:r w:rsidRPr="007A7D48">
              <w:rPr>
                <w:rFonts w:ascii="Times New Roman" w:hAnsi="Times New Roman" w:cs="Times New Roman"/>
                <w:spacing w:val="-3"/>
                <w:sz w:val="20"/>
                <w:szCs w:val="20"/>
              </w:rPr>
              <w:t xml:space="preserve"> </w:t>
            </w:r>
            <w:r w:rsidRPr="007A7D48">
              <w:rPr>
                <w:rFonts w:ascii="Times New Roman" w:hAnsi="Times New Roman" w:cs="Times New Roman"/>
                <w:spacing w:val="-4"/>
                <w:sz w:val="20"/>
                <w:szCs w:val="20"/>
              </w:rPr>
              <w:t>2024</w:t>
            </w:r>
          </w:p>
          <w:p w14:paraId="2D9D4A2A" w14:textId="77777777" w:rsidR="000F1BBB" w:rsidRPr="007A7D48" w:rsidRDefault="000F1BBB" w:rsidP="007A7D48">
            <w:pPr>
              <w:spacing w:after="0" w:line="240" w:lineRule="auto"/>
              <w:rPr>
                <w:rFonts w:ascii="Times New Roman" w:hAnsi="Times New Roman" w:cs="Times New Roman"/>
                <w:sz w:val="20"/>
                <w:szCs w:val="20"/>
              </w:rPr>
            </w:pPr>
            <w:r w:rsidRPr="007A7D48">
              <w:rPr>
                <w:rFonts w:ascii="Times New Roman" w:hAnsi="Times New Roman" w:cs="Times New Roman"/>
                <w:sz w:val="20"/>
                <w:szCs w:val="20"/>
              </w:rPr>
              <w:t>Cemex,</w:t>
            </w:r>
            <w:r w:rsidRPr="007A7D48">
              <w:rPr>
                <w:rFonts w:ascii="Times New Roman" w:hAnsi="Times New Roman" w:cs="Times New Roman"/>
                <w:spacing w:val="-5"/>
                <w:sz w:val="20"/>
                <w:szCs w:val="20"/>
              </w:rPr>
              <w:t xml:space="preserve"> </w:t>
            </w:r>
            <w:r w:rsidRPr="007A7D48">
              <w:rPr>
                <w:rFonts w:ascii="Times New Roman" w:hAnsi="Times New Roman" w:cs="Times New Roman"/>
                <w:spacing w:val="-4"/>
                <w:sz w:val="20"/>
                <w:szCs w:val="20"/>
              </w:rPr>
              <w:t>2025</w:t>
            </w:r>
          </w:p>
          <w:p w14:paraId="2F7C94DC" w14:textId="77777777"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p>
        </w:tc>
      </w:tr>
      <w:tr w:rsidR="009905AA" w:rsidRPr="007A7D48" w14:paraId="2A447D3B" w14:textId="77777777" w:rsidTr="0002104B">
        <w:trPr>
          <w:jc w:val="center"/>
        </w:trPr>
        <w:tc>
          <w:tcPr>
            <w:tcW w:w="704" w:type="dxa"/>
            <w:tcBorders>
              <w:top w:val="nil"/>
            </w:tcBorders>
          </w:tcPr>
          <w:p w14:paraId="73CCC3D2" w14:textId="77777777" w:rsidR="000F1BBB" w:rsidRPr="009905AA" w:rsidRDefault="000F1BBB" w:rsidP="009905AA">
            <w:pPr>
              <w:pStyle w:val="ListParagraph"/>
              <w:numPr>
                <w:ilvl w:val="0"/>
                <w:numId w:val="34"/>
              </w:numPr>
              <w:autoSpaceDE w:val="0"/>
              <w:autoSpaceDN w:val="0"/>
              <w:adjustRightInd w:val="0"/>
              <w:spacing w:after="0" w:line="240" w:lineRule="auto"/>
              <w:rPr>
                <w:rFonts w:ascii="Times New Roman" w:hAnsi="Times New Roman"/>
                <w:sz w:val="20"/>
                <w:szCs w:val="20"/>
              </w:rPr>
            </w:pPr>
          </w:p>
        </w:tc>
        <w:tc>
          <w:tcPr>
            <w:tcW w:w="1558" w:type="dxa"/>
            <w:tcBorders>
              <w:top w:val="nil"/>
            </w:tcBorders>
          </w:tcPr>
          <w:p w14:paraId="1181568A" w14:textId="75D02FAC"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pacing w:val="-2"/>
                <w:sz w:val="20"/>
                <w:szCs w:val="20"/>
              </w:rPr>
              <w:t>Recycled Plastic</w:t>
            </w:r>
          </w:p>
        </w:tc>
        <w:tc>
          <w:tcPr>
            <w:tcW w:w="1558" w:type="dxa"/>
            <w:tcBorders>
              <w:top w:val="nil"/>
            </w:tcBorders>
          </w:tcPr>
          <w:p w14:paraId="29E19A5E" w14:textId="06DBDFC7" w:rsidR="000F1BBB" w:rsidRPr="007A7D48" w:rsidRDefault="000F1BBB" w:rsidP="007A7D48">
            <w:pPr>
              <w:spacing w:after="0" w:line="240" w:lineRule="auto"/>
              <w:rPr>
                <w:rFonts w:ascii="Times New Roman" w:hAnsi="Times New Roman" w:cs="Times New Roman"/>
                <w:sz w:val="20"/>
                <w:szCs w:val="20"/>
              </w:rPr>
            </w:pPr>
            <w:r w:rsidRPr="007A7D48">
              <w:rPr>
                <w:rFonts w:ascii="Times New Roman" w:hAnsi="Times New Roman" w:cs="Times New Roman"/>
                <w:spacing w:val="-2"/>
                <w:sz w:val="20"/>
                <w:szCs w:val="20"/>
              </w:rPr>
              <w:t>Industrial plastic</w:t>
            </w:r>
          </w:p>
        </w:tc>
        <w:tc>
          <w:tcPr>
            <w:tcW w:w="2320" w:type="dxa"/>
            <w:tcBorders>
              <w:top w:val="nil"/>
            </w:tcBorders>
          </w:tcPr>
          <w:p w14:paraId="4EEBBE65" w14:textId="06376282" w:rsidR="000F1BBB" w:rsidRPr="007A7D48" w:rsidRDefault="000F1BBB" w:rsidP="007A7D48">
            <w:pPr>
              <w:spacing w:after="0" w:line="240" w:lineRule="auto"/>
              <w:rPr>
                <w:rFonts w:ascii="Times New Roman" w:hAnsi="Times New Roman" w:cs="Times New Roman"/>
                <w:sz w:val="20"/>
                <w:szCs w:val="20"/>
              </w:rPr>
            </w:pPr>
            <w:r w:rsidRPr="007A7D48">
              <w:rPr>
                <w:rFonts w:ascii="Times New Roman" w:hAnsi="Times New Roman" w:cs="Times New Roman"/>
                <w:sz w:val="20"/>
                <w:szCs w:val="20"/>
              </w:rPr>
              <w:t>Waste reduction, durability, soundproofing, and eco- friendliness</w:t>
            </w:r>
            <w:r w:rsidRPr="007A7D48">
              <w:rPr>
                <w:rFonts w:ascii="Times New Roman" w:hAnsi="Times New Roman" w:cs="Times New Roman"/>
                <w:spacing w:val="-7"/>
                <w:sz w:val="20"/>
                <w:szCs w:val="20"/>
              </w:rPr>
              <w:t xml:space="preserve"> </w:t>
            </w:r>
            <w:r w:rsidRPr="007A7D48">
              <w:rPr>
                <w:rFonts w:ascii="Times New Roman" w:hAnsi="Times New Roman" w:cs="Times New Roman"/>
                <w:sz w:val="20"/>
                <w:szCs w:val="20"/>
              </w:rPr>
              <w:t>promote</w:t>
            </w:r>
            <w:r w:rsidRPr="007A7D48">
              <w:rPr>
                <w:rFonts w:ascii="Times New Roman" w:hAnsi="Times New Roman" w:cs="Times New Roman"/>
                <w:spacing w:val="-7"/>
                <w:sz w:val="20"/>
                <w:szCs w:val="20"/>
              </w:rPr>
              <w:t xml:space="preserve"> </w:t>
            </w:r>
            <w:r w:rsidRPr="007A7D48">
              <w:rPr>
                <w:rFonts w:ascii="Times New Roman" w:hAnsi="Times New Roman" w:cs="Times New Roman"/>
                <w:sz w:val="20"/>
                <w:szCs w:val="20"/>
              </w:rPr>
              <w:t>the</w:t>
            </w:r>
            <w:r w:rsidRPr="007A7D48">
              <w:rPr>
                <w:rFonts w:ascii="Times New Roman" w:hAnsi="Times New Roman" w:cs="Times New Roman"/>
                <w:spacing w:val="-7"/>
                <w:sz w:val="20"/>
                <w:szCs w:val="20"/>
              </w:rPr>
              <w:t xml:space="preserve"> </w:t>
            </w:r>
            <w:r w:rsidRPr="007A7D48">
              <w:rPr>
                <w:rFonts w:ascii="Times New Roman" w:hAnsi="Times New Roman" w:cs="Times New Roman"/>
                <w:sz w:val="20"/>
                <w:szCs w:val="20"/>
              </w:rPr>
              <w:t xml:space="preserve">circular </w:t>
            </w:r>
            <w:r w:rsidRPr="007A7D48">
              <w:rPr>
                <w:rFonts w:ascii="Times New Roman" w:hAnsi="Times New Roman" w:cs="Times New Roman"/>
                <w:spacing w:val="-2"/>
                <w:sz w:val="20"/>
                <w:szCs w:val="20"/>
              </w:rPr>
              <w:t>economy.</w:t>
            </w:r>
          </w:p>
        </w:tc>
        <w:tc>
          <w:tcPr>
            <w:tcW w:w="1701" w:type="dxa"/>
            <w:tcBorders>
              <w:top w:val="nil"/>
            </w:tcBorders>
          </w:tcPr>
          <w:p w14:paraId="359BF7BC" w14:textId="77777777" w:rsidR="000F1BBB" w:rsidRPr="000F1BBB" w:rsidRDefault="000F1BBB" w:rsidP="007A7D48">
            <w:pPr>
              <w:autoSpaceDE w:val="0"/>
              <w:autoSpaceDN w:val="0"/>
              <w:adjustRightInd w:val="0"/>
              <w:spacing w:after="0" w:line="240" w:lineRule="auto"/>
              <w:rPr>
                <w:rFonts w:ascii="Times New Roman" w:hAnsi="Times New Roman" w:cs="Times New Roman"/>
                <w:sz w:val="20"/>
                <w:szCs w:val="20"/>
              </w:rPr>
            </w:pPr>
            <w:r w:rsidRPr="000F1BBB">
              <w:rPr>
                <w:rFonts w:ascii="Times New Roman" w:hAnsi="Times New Roman" w:cs="Times New Roman"/>
                <w:sz w:val="20"/>
                <w:szCs w:val="20"/>
              </w:rPr>
              <w:t>Walling, ceiling, tiling, floors, pipes, roofs and PVC</w:t>
            </w:r>
          </w:p>
          <w:p w14:paraId="44F41603" w14:textId="77777777"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p>
        </w:tc>
        <w:tc>
          <w:tcPr>
            <w:tcW w:w="1510" w:type="dxa"/>
            <w:tcBorders>
              <w:top w:val="nil"/>
            </w:tcBorders>
          </w:tcPr>
          <w:p w14:paraId="55319B7F" w14:textId="1B085AB6" w:rsidR="000F1BBB" w:rsidRPr="000F1BBB" w:rsidRDefault="000F1BBB" w:rsidP="007A7D48">
            <w:pPr>
              <w:autoSpaceDE w:val="0"/>
              <w:autoSpaceDN w:val="0"/>
              <w:adjustRightInd w:val="0"/>
              <w:spacing w:after="0" w:line="240" w:lineRule="auto"/>
              <w:rPr>
                <w:rFonts w:ascii="Times New Roman" w:hAnsi="Times New Roman" w:cs="Times New Roman"/>
                <w:sz w:val="20"/>
                <w:szCs w:val="20"/>
              </w:rPr>
            </w:pPr>
            <w:r w:rsidRPr="000F1BBB">
              <w:rPr>
                <w:rFonts w:ascii="Times New Roman" w:hAnsi="Times New Roman" w:cs="Times New Roman"/>
                <w:sz w:val="20"/>
                <w:szCs w:val="20"/>
              </w:rPr>
              <w:t>Peckenham</w:t>
            </w:r>
            <w:r w:rsidRPr="007A7D48">
              <w:rPr>
                <w:rFonts w:ascii="Times New Roman" w:hAnsi="Times New Roman" w:cs="Times New Roman"/>
                <w:sz w:val="20"/>
                <w:szCs w:val="20"/>
              </w:rPr>
              <w:t xml:space="preserve"> </w:t>
            </w:r>
            <w:r w:rsidRPr="000F1BBB">
              <w:rPr>
                <w:rFonts w:ascii="Times New Roman" w:hAnsi="Times New Roman" w:cs="Times New Roman"/>
                <w:sz w:val="20"/>
                <w:szCs w:val="20"/>
              </w:rPr>
              <w:t>(2016),</w:t>
            </w:r>
          </w:p>
          <w:p w14:paraId="6B27322C" w14:textId="77777777" w:rsidR="000F1BBB" w:rsidRPr="000F1BBB" w:rsidRDefault="000F1BBB" w:rsidP="007A7D48">
            <w:pPr>
              <w:autoSpaceDE w:val="0"/>
              <w:autoSpaceDN w:val="0"/>
              <w:adjustRightInd w:val="0"/>
              <w:spacing w:after="0" w:line="240" w:lineRule="auto"/>
              <w:rPr>
                <w:rFonts w:ascii="Times New Roman" w:hAnsi="Times New Roman" w:cs="Times New Roman"/>
                <w:sz w:val="20"/>
                <w:szCs w:val="20"/>
              </w:rPr>
            </w:pPr>
            <w:r w:rsidRPr="000F1BBB">
              <w:rPr>
                <w:rFonts w:ascii="Times New Roman" w:hAnsi="Times New Roman" w:cs="Times New Roman"/>
                <w:sz w:val="20"/>
                <w:szCs w:val="20"/>
              </w:rPr>
              <w:t>Thorsby (2019)</w:t>
            </w:r>
          </w:p>
          <w:p w14:paraId="59BCB66C" w14:textId="71383C8B" w:rsidR="000F1BBB" w:rsidRPr="000F1BBB" w:rsidRDefault="000F1BBB" w:rsidP="007A7D48">
            <w:pPr>
              <w:autoSpaceDE w:val="0"/>
              <w:autoSpaceDN w:val="0"/>
              <w:adjustRightInd w:val="0"/>
              <w:spacing w:after="0" w:line="240" w:lineRule="auto"/>
              <w:rPr>
                <w:rFonts w:ascii="Times New Roman" w:hAnsi="Times New Roman" w:cs="Times New Roman"/>
                <w:sz w:val="20"/>
                <w:szCs w:val="20"/>
              </w:rPr>
            </w:pPr>
            <w:r w:rsidRPr="000F1BBB">
              <w:rPr>
                <w:rFonts w:ascii="Times New Roman" w:hAnsi="Times New Roman" w:cs="Times New Roman"/>
                <w:sz w:val="20"/>
                <w:szCs w:val="20"/>
              </w:rPr>
              <w:t>Barbulianno</w:t>
            </w:r>
            <w:r w:rsidRPr="007A7D48">
              <w:rPr>
                <w:rFonts w:ascii="Times New Roman" w:hAnsi="Times New Roman" w:cs="Times New Roman"/>
                <w:sz w:val="20"/>
                <w:szCs w:val="20"/>
              </w:rPr>
              <w:t xml:space="preserve"> </w:t>
            </w:r>
            <w:r w:rsidRPr="000F1BBB">
              <w:rPr>
                <w:rFonts w:ascii="Times New Roman" w:hAnsi="Times New Roman" w:cs="Times New Roman"/>
                <w:sz w:val="20"/>
                <w:szCs w:val="20"/>
              </w:rPr>
              <w:t>(2020),</w:t>
            </w:r>
          </w:p>
          <w:p w14:paraId="37AF3190" w14:textId="77777777" w:rsidR="000F1BBB" w:rsidRPr="000F1BBB" w:rsidRDefault="000F1BBB" w:rsidP="007A7D48">
            <w:pPr>
              <w:autoSpaceDE w:val="0"/>
              <w:autoSpaceDN w:val="0"/>
              <w:adjustRightInd w:val="0"/>
              <w:spacing w:after="0" w:line="240" w:lineRule="auto"/>
              <w:rPr>
                <w:rFonts w:ascii="Times New Roman" w:hAnsi="Times New Roman" w:cs="Times New Roman"/>
                <w:sz w:val="20"/>
                <w:szCs w:val="20"/>
              </w:rPr>
            </w:pPr>
            <w:r w:rsidRPr="000F1BBB">
              <w:rPr>
                <w:rFonts w:ascii="Times New Roman" w:hAnsi="Times New Roman" w:cs="Times New Roman"/>
                <w:sz w:val="20"/>
                <w:szCs w:val="20"/>
              </w:rPr>
              <w:t>Cemex (2025)</w:t>
            </w:r>
          </w:p>
          <w:p w14:paraId="62FD4B74" w14:textId="77777777"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p>
        </w:tc>
      </w:tr>
      <w:tr w:rsidR="009905AA" w:rsidRPr="007A7D48" w14:paraId="6FD7FCB0" w14:textId="77777777" w:rsidTr="0002104B">
        <w:trPr>
          <w:jc w:val="center"/>
        </w:trPr>
        <w:tc>
          <w:tcPr>
            <w:tcW w:w="704" w:type="dxa"/>
          </w:tcPr>
          <w:p w14:paraId="2084FCFA" w14:textId="77777777" w:rsidR="000F1BBB" w:rsidRPr="009905AA" w:rsidRDefault="000F1BBB" w:rsidP="009905AA">
            <w:pPr>
              <w:pStyle w:val="ListParagraph"/>
              <w:numPr>
                <w:ilvl w:val="0"/>
                <w:numId w:val="34"/>
              </w:numPr>
              <w:autoSpaceDE w:val="0"/>
              <w:autoSpaceDN w:val="0"/>
              <w:adjustRightInd w:val="0"/>
              <w:spacing w:after="0" w:line="240" w:lineRule="auto"/>
              <w:rPr>
                <w:rFonts w:ascii="Times New Roman" w:hAnsi="Times New Roman"/>
                <w:sz w:val="20"/>
                <w:szCs w:val="20"/>
              </w:rPr>
            </w:pPr>
          </w:p>
        </w:tc>
        <w:tc>
          <w:tcPr>
            <w:tcW w:w="1558" w:type="dxa"/>
          </w:tcPr>
          <w:p w14:paraId="28E9D3AB" w14:textId="245C66E2" w:rsidR="000F1BBB" w:rsidRPr="007A7D48" w:rsidRDefault="003A666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 xml:space="preserve">Recycled steel </w:t>
            </w:r>
          </w:p>
        </w:tc>
        <w:tc>
          <w:tcPr>
            <w:tcW w:w="1558" w:type="dxa"/>
          </w:tcPr>
          <w:p w14:paraId="2D6A2096" w14:textId="66B661AE" w:rsidR="000F1BBB" w:rsidRPr="007A7D48" w:rsidRDefault="003A666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 xml:space="preserve">Industrial steel </w:t>
            </w:r>
          </w:p>
        </w:tc>
        <w:tc>
          <w:tcPr>
            <w:tcW w:w="2320" w:type="dxa"/>
          </w:tcPr>
          <w:p w14:paraId="34DA1798" w14:textId="7FD94BE5" w:rsidR="003A666E" w:rsidRPr="003A666E" w:rsidRDefault="003A666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Reducing operational CO</w:t>
            </w:r>
            <w:r w:rsidRPr="007A7D48">
              <w:rPr>
                <w:rFonts w:ascii="Times New Roman" w:hAnsi="Times New Roman" w:cs="Times New Roman"/>
                <w:sz w:val="20"/>
                <w:szCs w:val="20"/>
                <w:vertAlign w:val="subscript"/>
              </w:rPr>
              <w:t>2</w:t>
            </w:r>
            <w:r w:rsidRPr="007A7D48">
              <w:rPr>
                <w:rFonts w:ascii="Times New Roman" w:hAnsi="Times New Roman" w:cs="Times New Roman"/>
                <w:sz w:val="20"/>
                <w:szCs w:val="20"/>
              </w:rPr>
              <w:t xml:space="preserve"> </w:t>
            </w:r>
            <w:r w:rsidRPr="003A666E">
              <w:rPr>
                <w:rFonts w:ascii="Times New Roman" w:hAnsi="Times New Roman" w:cs="Times New Roman"/>
                <w:sz w:val="20"/>
                <w:szCs w:val="20"/>
              </w:rPr>
              <w:t>emissions, durable and saves the cost of maintenance, water and</w:t>
            </w:r>
          </w:p>
          <w:p w14:paraId="5B70EFAF" w14:textId="2DC7FAA3" w:rsidR="000F1BBB" w:rsidRPr="007A7D48" w:rsidRDefault="003A666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lang w:val="en-GB"/>
              </w:rPr>
              <w:t>Pest resistant</w:t>
            </w:r>
          </w:p>
        </w:tc>
        <w:tc>
          <w:tcPr>
            <w:tcW w:w="1701" w:type="dxa"/>
          </w:tcPr>
          <w:p w14:paraId="16A7FA92" w14:textId="08673760" w:rsidR="000F1BBB" w:rsidRPr="007A7D48" w:rsidRDefault="003A666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 xml:space="preserve">Roofing, walling and ceiling </w:t>
            </w:r>
          </w:p>
        </w:tc>
        <w:tc>
          <w:tcPr>
            <w:tcW w:w="1510" w:type="dxa"/>
          </w:tcPr>
          <w:p w14:paraId="45447F64" w14:textId="3A062C38" w:rsidR="000F1BBB" w:rsidRPr="007A7D48" w:rsidRDefault="003A666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lang w:val="en-GB"/>
              </w:rPr>
              <w:t>Abera (2024)</w:t>
            </w:r>
            <w:r w:rsidRPr="007A7D48">
              <w:rPr>
                <w:rFonts w:ascii="Times New Roman" w:hAnsi="Times New Roman" w:cs="Times New Roman"/>
                <w:sz w:val="20"/>
                <w:szCs w:val="20"/>
                <w:lang w:val="en-GB"/>
              </w:rPr>
              <w:t xml:space="preserve"> </w:t>
            </w:r>
            <w:r w:rsidRPr="007A7D48">
              <w:rPr>
                <w:rFonts w:ascii="Times New Roman" w:hAnsi="Times New Roman" w:cs="Times New Roman"/>
                <w:sz w:val="20"/>
                <w:szCs w:val="20"/>
                <w:lang w:val="en-GB"/>
              </w:rPr>
              <w:t>Cemex (2025)</w:t>
            </w:r>
          </w:p>
        </w:tc>
      </w:tr>
      <w:tr w:rsidR="009905AA" w:rsidRPr="007A7D48" w14:paraId="3552E53A" w14:textId="77777777" w:rsidTr="0002104B">
        <w:trPr>
          <w:jc w:val="center"/>
        </w:trPr>
        <w:tc>
          <w:tcPr>
            <w:tcW w:w="704" w:type="dxa"/>
          </w:tcPr>
          <w:p w14:paraId="4C05D237" w14:textId="77777777" w:rsidR="000F1BBB" w:rsidRPr="009905AA" w:rsidRDefault="000F1BBB" w:rsidP="009905AA">
            <w:pPr>
              <w:pStyle w:val="ListParagraph"/>
              <w:numPr>
                <w:ilvl w:val="0"/>
                <w:numId w:val="34"/>
              </w:numPr>
              <w:autoSpaceDE w:val="0"/>
              <w:autoSpaceDN w:val="0"/>
              <w:adjustRightInd w:val="0"/>
              <w:spacing w:after="0" w:line="240" w:lineRule="auto"/>
              <w:rPr>
                <w:rFonts w:ascii="Times New Roman" w:hAnsi="Times New Roman"/>
                <w:sz w:val="20"/>
                <w:szCs w:val="20"/>
              </w:rPr>
            </w:pPr>
          </w:p>
        </w:tc>
        <w:tc>
          <w:tcPr>
            <w:tcW w:w="1558" w:type="dxa"/>
          </w:tcPr>
          <w:p w14:paraId="165E5F93" w14:textId="38DFBD91" w:rsidR="000F1BBB" w:rsidRPr="007A7D48" w:rsidRDefault="003A666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Recycled wood</w:t>
            </w:r>
          </w:p>
        </w:tc>
        <w:tc>
          <w:tcPr>
            <w:tcW w:w="1558" w:type="dxa"/>
          </w:tcPr>
          <w:p w14:paraId="3D854AD7" w14:textId="73A5FC1C" w:rsidR="000F1BBB" w:rsidRPr="007A7D48" w:rsidRDefault="003A666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 xml:space="preserve">Manufactured wood </w:t>
            </w:r>
          </w:p>
        </w:tc>
        <w:tc>
          <w:tcPr>
            <w:tcW w:w="2320" w:type="dxa"/>
          </w:tcPr>
          <w:p w14:paraId="3D94FC0A" w14:textId="41906245" w:rsidR="000F1BBB" w:rsidRPr="007A7D48" w:rsidRDefault="003A666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lang w:val="en-GB"/>
              </w:rPr>
              <w:t>Eco-friendly, lightweight, and</w:t>
            </w:r>
            <w:r w:rsidR="005158DE" w:rsidRPr="007A7D48">
              <w:rPr>
                <w:rFonts w:ascii="Times New Roman" w:hAnsi="Times New Roman" w:cs="Times New Roman"/>
                <w:sz w:val="20"/>
                <w:szCs w:val="20"/>
                <w:lang w:val="en-GB"/>
              </w:rPr>
              <w:t xml:space="preserve"> </w:t>
            </w:r>
            <w:r w:rsidR="005158DE" w:rsidRPr="007A7D48">
              <w:rPr>
                <w:rFonts w:ascii="Times New Roman" w:hAnsi="Times New Roman" w:cs="Times New Roman"/>
                <w:sz w:val="20"/>
                <w:szCs w:val="20"/>
                <w:lang w:val="en-GB"/>
              </w:rPr>
              <w:t>sustainable,</w:t>
            </w:r>
            <w:r w:rsidR="005158DE" w:rsidRPr="007A7D48">
              <w:rPr>
                <w:rFonts w:ascii="Times New Roman" w:hAnsi="Times New Roman" w:cs="Times New Roman"/>
                <w:sz w:val="20"/>
                <w:szCs w:val="20"/>
                <w:lang w:val="en-GB"/>
              </w:rPr>
              <w:t xml:space="preserve"> </w:t>
            </w:r>
            <w:r w:rsidR="005158DE" w:rsidRPr="007A7D48">
              <w:rPr>
                <w:rFonts w:ascii="Times New Roman" w:hAnsi="Times New Roman" w:cs="Times New Roman"/>
                <w:sz w:val="20"/>
                <w:szCs w:val="20"/>
                <w:lang w:val="en-GB"/>
              </w:rPr>
              <w:t>promotes</w:t>
            </w:r>
            <w:r w:rsidR="005158DE" w:rsidRPr="007A7D48">
              <w:rPr>
                <w:rFonts w:ascii="Times New Roman" w:hAnsi="Times New Roman" w:cs="Times New Roman"/>
                <w:sz w:val="20"/>
                <w:szCs w:val="20"/>
                <w:lang w:val="en-GB"/>
              </w:rPr>
              <w:t xml:space="preserve"> </w:t>
            </w:r>
            <w:r w:rsidR="005158DE" w:rsidRPr="007A7D48">
              <w:rPr>
                <w:rFonts w:ascii="Times New Roman" w:hAnsi="Times New Roman" w:cs="Times New Roman"/>
                <w:sz w:val="20"/>
                <w:szCs w:val="20"/>
                <w:lang w:val="en-GB"/>
              </w:rPr>
              <w:t>biodiversity,</w:t>
            </w:r>
            <w:r w:rsidR="005158DE" w:rsidRPr="007A7D48">
              <w:rPr>
                <w:rFonts w:ascii="Times New Roman" w:hAnsi="Times New Roman" w:cs="Times New Roman"/>
                <w:sz w:val="20"/>
                <w:szCs w:val="20"/>
                <w:lang w:val="en-GB"/>
              </w:rPr>
              <w:t xml:space="preserve"> </w:t>
            </w:r>
            <w:r w:rsidR="005158DE" w:rsidRPr="007A7D48">
              <w:rPr>
                <w:rFonts w:ascii="Times New Roman" w:hAnsi="Times New Roman" w:cs="Times New Roman"/>
                <w:sz w:val="20"/>
                <w:szCs w:val="20"/>
                <w:lang w:val="en-GB"/>
              </w:rPr>
              <w:t>limits</w:t>
            </w:r>
            <w:r w:rsidR="005158DE" w:rsidRPr="007A7D48">
              <w:rPr>
                <w:rFonts w:ascii="Times New Roman" w:hAnsi="Times New Roman" w:cs="Times New Roman"/>
                <w:sz w:val="20"/>
                <w:szCs w:val="20"/>
                <w:lang w:val="en-GB"/>
              </w:rPr>
              <w:t xml:space="preserve"> </w:t>
            </w:r>
            <w:r w:rsidR="005158DE" w:rsidRPr="007A7D48">
              <w:rPr>
                <w:rFonts w:ascii="Times New Roman" w:hAnsi="Times New Roman" w:cs="Times New Roman"/>
                <w:sz w:val="20"/>
                <w:szCs w:val="20"/>
                <w:lang w:val="en-GB"/>
              </w:rPr>
              <w:t>CO2</w:t>
            </w:r>
            <w:r w:rsidR="005158DE" w:rsidRPr="007A7D48">
              <w:rPr>
                <w:rFonts w:ascii="Times New Roman" w:hAnsi="Times New Roman" w:cs="Times New Roman"/>
                <w:sz w:val="20"/>
                <w:szCs w:val="20"/>
                <w:lang w:val="en-GB"/>
              </w:rPr>
              <w:t xml:space="preserve"> </w:t>
            </w:r>
            <w:r w:rsidR="005158DE" w:rsidRPr="007A7D48">
              <w:rPr>
                <w:rFonts w:ascii="Times New Roman" w:hAnsi="Times New Roman" w:cs="Times New Roman"/>
                <w:sz w:val="20"/>
                <w:szCs w:val="20"/>
                <w:lang w:val="en-GB"/>
              </w:rPr>
              <w:t>emission from production and</w:t>
            </w:r>
            <w:r w:rsidR="005158DE" w:rsidRPr="007A7D48">
              <w:rPr>
                <w:rFonts w:ascii="Times New Roman" w:hAnsi="Times New Roman" w:cs="Times New Roman"/>
                <w:sz w:val="20"/>
                <w:szCs w:val="20"/>
                <w:lang w:val="en-GB"/>
              </w:rPr>
              <w:t xml:space="preserve"> </w:t>
            </w:r>
            <w:r w:rsidR="005158DE" w:rsidRPr="007A7D48">
              <w:rPr>
                <w:rFonts w:ascii="Times New Roman" w:hAnsi="Times New Roman" w:cs="Times New Roman"/>
                <w:sz w:val="20"/>
                <w:szCs w:val="20"/>
                <w:lang w:val="en-GB"/>
              </w:rPr>
              <w:t>saves purchase cost</w:t>
            </w:r>
          </w:p>
        </w:tc>
        <w:tc>
          <w:tcPr>
            <w:tcW w:w="1701" w:type="dxa"/>
          </w:tcPr>
          <w:p w14:paraId="1795CE9F" w14:textId="2375A367" w:rsidR="000F1BBB"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 xml:space="preserve">Flooring, </w:t>
            </w:r>
            <w:r w:rsidRPr="007A7D48">
              <w:rPr>
                <w:rFonts w:ascii="Times New Roman" w:hAnsi="Times New Roman" w:cs="Times New Roman"/>
                <w:sz w:val="20"/>
                <w:szCs w:val="20"/>
              </w:rPr>
              <w:t>Roofing, walling and ceiling</w:t>
            </w:r>
          </w:p>
        </w:tc>
        <w:tc>
          <w:tcPr>
            <w:tcW w:w="1510" w:type="dxa"/>
          </w:tcPr>
          <w:p w14:paraId="010D2C85" w14:textId="71719745" w:rsidR="000F1BBB" w:rsidRPr="007A7D48" w:rsidRDefault="005158DE" w:rsidP="007A7D48">
            <w:pPr>
              <w:autoSpaceDE w:val="0"/>
              <w:autoSpaceDN w:val="0"/>
              <w:adjustRightInd w:val="0"/>
              <w:spacing w:after="0" w:line="240" w:lineRule="auto"/>
              <w:rPr>
                <w:rFonts w:ascii="Times New Roman" w:hAnsi="Times New Roman" w:cs="Times New Roman"/>
                <w:sz w:val="20"/>
                <w:szCs w:val="20"/>
                <w:lang w:val="en-GB"/>
              </w:rPr>
            </w:pPr>
            <w:r w:rsidRPr="007A7D48">
              <w:rPr>
                <w:rFonts w:ascii="Times New Roman" w:hAnsi="Times New Roman" w:cs="Times New Roman"/>
                <w:sz w:val="20"/>
                <w:szCs w:val="20"/>
                <w:lang w:val="en-GB"/>
              </w:rPr>
              <w:t>Alphin (2022)</w:t>
            </w:r>
            <w:r w:rsidRPr="007A7D48">
              <w:rPr>
                <w:rFonts w:ascii="Times New Roman" w:hAnsi="Times New Roman" w:cs="Times New Roman"/>
                <w:sz w:val="20"/>
                <w:szCs w:val="20"/>
                <w:lang w:val="en-GB"/>
              </w:rPr>
              <w:t xml:space="preserve"> </w:t>
            </w:r>
          </w:p>
          <w:p w14:paraId="69246C12" w14:textId="1841BD4D" w:rsidR="005158DE"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lang w:val="en-GB"/>
              </w:rPr>
              <w:t>Cemex (2025)</w:t>
            </w:r>
            <w:r w:rsidRPr="007A7D48">
              <w:rPr>
                <w:rFonts w:ascii="Times New Roman" w:hAnsi="Times New Roman" w:cs="Times New Roman"/>
                <w:sz w:val="20"/>
                <w:szCs w:val="20"/>
                <w:lang w:val="en-GB"/>
              </w:rPr>
              <w:t xml:space="preserve"> </w:t>
            </w:r>
            <w:r w:rsidRPr="007A7D48">
              <w:rPr>
                <w:rFonts w:ascii="Times New Roman" w:hAnsi="Times New Roman" w:cs="Times New Roman"/>
                <w:sz w:val="20"/>
                <w:szCs w:val="20"/>
                <w:lang w:val="en-GB"/>
              </w:rPr>
              <w:t>ArchDaily (2018)</w:t>
            </w:r>
          </w:p>
        </w:tc>
      </w:tr>
      <w:tr w:rsidR="009905AA" w:rsidRPr="007A7D48" w14:paraId="61A39BC2" w14:textId="77777777" w:rsidTr="0002104B">
        <w:trPr>
          <w:jc w:val="center"/>
        </w:trPr>
        <w:tc>
          <w:tcPr>
            <w:tcW w:w="704" w:type="dxa"/>
          </w:tcPr>
          <w:p w14:paraId="4830B11F" w14:textId="77777777" w:rsidR="000F1BBB" w:rsidRPr="009905AA" w:rsidRDefault="000F1BBB" w:rsidP="009905AA">
            <w:pPr>
              <w:pStyle w:val="ListParagraph"/>
              <w:numPr>
                <w:ilvl w:val="0"/>
                <w:numId w:val="34"/>
              </w:numPr>
              <w:autoSpaceDE w:val="0"/>
              <w:autoSpaceDN w:val="0"/>
              <w:adjustRightInd w:val="0"/>
              <w:spacing w:after="0" w:line="240" w:lineRule="auto"/>
              <w:rPr>
                <w:rFonts w:ascii="Times New Roman" w:hAnsi="Times New Roman"/>
                <w:sz w:val="20"/>
                <w:szCs w:val="20"/>
              </w:rPr>
            </w:pPr>
          </w:p>
        </w:tc>
        <w:tc>
          <w:tcPr>
            <w:tcW w:w="1558" w:type="dxa"/>
          </w:tcPr>
          <w:p w14:paraId="0F07BDF1" w14:textId="3479E471" w:rsidR="000F1BBB"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lang w:val="en-GB"/>
              </w:rPr>
              <w:t>Terrazzo</w:t>
            </w:r>
          </w:p>
        </w:tc>
        <w:tc>
          <w:tcPr>
            <w:tcW w:w="1558" w:type="dxa"/>
          </w:tcPr>
          <w:p w14:paraId="370E8B90" w14:textId="306BEA06" w:rsidR="000F1BBB"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 xml:space="preserve">Composite materials </w:t>
            </w:r>
          </w:p>
        </w:tc>
        <w:tc>
          <w:tcPr>
            <w:tcW w:w="2320" w:type="dxa"/>
          </w:tcPr>
          <w:p w14:paraId="583724F9" w14:textId="77777777" w:rsidR="005158DE"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Eco-friendly due to re-purposed</w:t>
            </w:r>
          </w:p>
          <w:p w14:paraId="569238FA" w14:textId="77777777" w:rsidR="005158DE"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raw materials, durable, saving</w:t>
            </w:r>
          </w:p>
          <w:p w14:paraId="42A0A477" w14:textId="77777777" w:rsidR="005158DE"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cost in replacement of tiles and</w:t>
            </w:r>
          </w:p>
          <w:p w14:paraId="440CD1F4" w14:textId="27D2344F" w:rsidR="000F1BBB"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carpets</w:t>
            </w:r>
          </w:p>
        </w:tc>
        <w:tc>
          <w:tcPr>
            <w:tcW w:w="1701" w:type="dxa"/>
          </w:tcPr>
          <w:p w14:paraId="2190590E" w14:textId="77777777" w:rsidR="005158DE"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Flooring,</w:t>
            </w:r>
          </w:p>
          <w:p w14:paraId="39B53EEF" w14:textId="6F7A32F8" w:rsidR="005158DE"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countertops,</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and</w:t>
            </w:r>
          </w:p>
          <w:p w14:paraId="3ADF51C9" w14:textId="793C3049" w:rsidR="000F1BBB"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stairways</w:t>
            </w:r>
          </w:p>
        </w:tc>
        <w:tc>
          <w:tcPr>
            <w:tcW w:w="1510" w:type="dxa"/>
          </w:tcPr>
          <w:p w14:paraId="54F06F5B" w14:textId="77777777" w:rsidR="005158DE"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Abera (2024)</w:t>
            </w:r>
          </w:p>
          <w:p w14:paraId="24516530" w14:textId="26ECDEBC" w:rsidR="000F1BBB"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Cemex (2025)</w:t>
            </w:r>
          </w:p>
        </w:tc>
      </w:tr>
      <w:tr w:rsidR="009905AA" w:rsidRPr="007A7D48" w14:paraId="25655F9B" w14:textId="77777777" w:rsidTr="0002104B">
        <w:trPr>
          <w:jc w:val="center"/>
        </w:trPr>
        <w:tc>
          <w:tcPr>
            <w:tcW w:w="704" w:type="dxa"/>
          </w:tcPr>
          <w:p w14:paraId="5C9B3997" w14:textId="77777777" w:rsidR="000F1BBB" w:rsidRPr="009905AA" w:rsidRDefault="000F1BBB" w:rsidP="009905AA">
            <w:pPr>
              <w:pStyle w:val="ListParagraph"/>
              <w:numPr>
                <w:ilvl w:val="0"/>
                <w:numId w:val="34"/>
              </w:numPr>
              <w:autoSpaceDE w:val="0"/>
              <w:autoSpaceDN w:val="0"/>
              <w:adjustRightInd w:val="0"/>
              <w:spacing w:after="0" w:line="240" w:lineRule="auto"/>
              <w:rPr>
                <w:rFonts w:ascii="Times New Roman" w:hAnsi="Times New Roman"/>
                <w:sz w:val="20"/>
                <w:szCs w:val="20"/>
              </w:rPr>
            </w:pPr>
          </w:p>
        </w:tc>
        <w:tc>
          <w:tcPr>
            <w:tcW w:w="1558" w:type="dxa"/>
          </w:tcPr>
          <w:p w14:paraId="608D5366" w14:textId="77777777" w:rsidR="005158DE"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Precast</w:t>
            </w:r>
          </w:p>
          <w:p w14:paraId="49FD4712" w14:textId="28C56133" w:rsidR="000F1BBB"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Concrete</w:t>
            </w:r>
          </w:p>
        </w:tc>
        <w:tc>
          <w:tcPr>
            <w:tcW w:w="1558" w:type="dxa"/>
          </w:tcPr>
          <w:p w14:paraId="7856292B" w14:textId="77777777" w:rsidR="005158DE"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Off-site in a</w:t>
            </w:r>
          </w:p>
          <w:p w14:paraId="149C68FD" w14:textId="1C7647C4" w:rsidR="000F1BBB"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factory</w:t>
            </w:r>
          </w:p>
        </w:tc>
        <w:tc>
          <w:tcPr>
            <w:tcW w:w="2320" w:type="dxa"/>
          </w:tcPr>
          <w:p w14:paraId="4F747785" w14:textId="166FA3AF" w:rsidR="000F1BBB"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Reduces</w:t>
            </w:r>
            <w:r w:rsidRPr="007A7D48">
              <w:rPr>
                <w:rFonts w:ascii="Times New Roman" w:hAnsi="Times New Roman" w:cs="Times New Roman"/>
                <w:sz w:val="20"/>
                <w:szCs w:val="20"/>
              </w:rPr>
              <w:tab/>
              <w:t>CO2</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emissions</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in</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ready-mix concrete</w:t>
            </w:r>
          </w:p>
        </w:tc>
        <w:tc>
          <w:tcPr>
            <w:tcW w:w="1701" w:type="dxa"/>
          </w:tcPr>
          <w:p w14:paraId="4219F957" w14:textId="6BF1E622" w:rsidR="000F1BBB"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Flooring, walling</w:t>
            </w:r>
          </w:p>
        </w:tc>
        <w:tc>
          <w:tcPr>
            <w:tcW w:w="1510" w:type="dxa"/>
          </w:tcPr>
          <w:p w14:paraId="26D0F991" w14:textId="77777777" w:rsidR="005158DE"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Abera (2024)</w:t>
            </w:r>
          </w:p>
          <w:p w14:paraId="797F5824" w14:textId="3A02F0A4" w:rsidR="000F1BBB"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Cemex (2025)</w:t>
            </w:r>
          </w:p>
        </w:tc>
      </w:tr>
      <w:tr w:rsidR="009905AA" w:rsidRPr="007A7D48" w14:paraId="6C197D62" w14:textId="77777777" w:rsidTr="0002104B">
        <w:trPr>
          <w:jc w:val="center"/>
        </w:trPr>
        <w:tc>
          <w:tcPr>
            <w:tcW w:w="704" w:type="dxa"/>
          </w:tcPr>
          <w:p w14:paraId="3D1180F8" w14:textId="77777777" w:rsidR="000F1BBB" w:rsidRPr="009905AA" w:rsidRDefault="000F1BBB" w:rsidP="009905AA">
            <w:pPr>
              <w:pStyle w:val="ListParagraph"/>
              <w:numPr>
                <w:ilvl w:val="0"/>
                <w:numId w:val="34"/>
              </w:numPr>
              <w:autoSpaceDE w:val="0"/>
              <w:autoSpaceDN w:val="0"/>
              <w:adjustRightInd w:val="0"/>
              <w:spacing w:after="0" w:line="240" w:lineRule="auto"/>
              <w:rPr>
                <w:rFonts w:ascii="Times New Roman" w:hAnsi="Times New Roman"/>
                <w:sz w:val="20"/>
                <w:szCs w:val="20"/>
              </w:rPr>
            </w:pPr>
          </w:p>
        </w:tc>
        <w:tc>
          <w:tcPr>
            <w:tcW w:w="1558" w:type="dxa"/>
          </w:tcPr>
          <w:p w14:paraId="06CC1445" w14:textId="77777777" w:rsidR="005158DE"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Thermal</w:t>
            </w:r>
          </w:p>
          <w:p w14:paraId="638D84C1" w14:textId="5E3254FC" w:rsidR="000F1BBB"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Blocks</w:t>
            </w:r>
          </w:p>
        </w:tc>
        <w:tc>
          <w:tcPr>
            <w:tcW w:w="1558" w:type="dxa"/>
          </w:tcPr>
          <w:p w14:paraId="1150EE18" w14:textId="77777777" w:rsidR="005158DE"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Industrial</w:t>
            </w:r>
          </w:p>
          <w:p w14:paraId="472AD813" w14:textId="68CAC63D" w:rsidR="000F1BBB"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wastes</w:t>
            </w:r>
          </w:p>
        </w:tc>
        <w:tc>
          <w:tcPr>
            <w:tcW w:w="2320" w:type="dxa"/>
          </w:tcPr>
          <w:p w14:paraId="51B02353" w14:textId="18093F17" w:rsidR="000F1BBB"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Thermal and sound insulation</w:t>
            </w:r>
          </w:p>
        </w:tc>
        <w:tc>
          <w:tcPr>
            <w:tcW w:w="1701" w:type="dxa"/>
          </w:tcPr>
          <w:p w14:paraId="6D47F97F" w14:textId="703F912B" w:rsidR="000F1BBB"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Walling</w:t>
            </w:r>
          </w:p>
        </w:tc>
        <w:tc>
          <w:tcPr>
            <w:tcW w:w="1510" w:type="dxa"/>
          </w:tcPr>
          <w:p w14:paraId="26CE4382" w14:textId="2324F741" w:rsidR="005158DE"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Sarker and Mahmud</w:t>
            </w:r>
            <w:r w:rsidR="005240D1" w:rsidRPr="007A7D48">
              <w:rPr>
                <w:rFonts w:ascii="Times New Roman" w:hAnsi="Times New Roman" w:cs="Times New Roman"/>
                <w:sz w:val="20"/>
                <w:szCs w:val="20"/>
              </w:rPr>
              <w:t xml:space="preserve"> </w:t>
            </w:r>
            <w:r w:rsidRPr="007A7D48">
              <w:rPr>
                <w:rFonts w:ascii="Times New Roman" w:hAnsi="Times New Roman" w:cs="Times New Roman"/>
                <w:sz w:val="20"/>
                <w:szCs w:val="20"/>
              </w:rPr>
              <w:t>(2018)</w:t>
            </w:r>
          </w:p>
          <w:p w14:paraId="7D3B6EE0" w14:textId="5F84BC8F" w:rsidR="000F1BBB" w:rsidRPr="007A7D48" w:rsidRDefault="005158DE"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Oluwunmi</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and Umezurike (2023)</w:t>
            </w:r>
          </w:p>
        </w:tc>
      </w:tr>
      <w:tr w:rsidR="009905AA" w:rsidRPr="007A7D48" w14:paraId="7A061E23" w14:textId="77777777" w:rsidTr="0002104B">
        <w:trPr>
          <w:jc w:val="center"/>
        </w:trPr>
        <w:tc>
          <w:tcPr>
            <w:tcW w:w="704" w:type="dxa"/>
            <w:tcBorders>
              <w:bottom w:val="nil"/>
            </w:tcBorders>
          </w:tcPr>
          <w:p w14:paraId="28EC1C1A" w14:textId="77777777" w:rsidR="000F1BBB" w:rsidRPr="009905AA" w:rsidRDefault="000F1BBB" w:rsidP="009905AA">
            <w:pPr>
              <w:pStyle w:val="ListParagraph"/>
              <w:numPr>
                <w:ilvl w:val="0"/>
                <w:numId w:val="34"/>
              </w:numPr>
              <w:autoSpaceDE w:val="0"/>
              <w:autoSpaceDN w:val="0"/>
              <w:adjustRightInd w:val="0"/>
              <w:spacing w:after="0" w:line="240" w:lineRule="auto"/>
              <w:rPr>
                <w:rFonts w:ascii="Times New Roman" w:hAnsi="Times New Roman"/>
                <w:sz w:val="20"/>
                <w:szCs w:val="20"/>
              </w:rPr>
            </w:pPr>
          </w:p>
        </w:tc>
        <w:tc>
          <w:tcPr>
            <w:tcW w:w="1558" w:type="dxa"/>
            <w:tcBorders>
              <w:bottom w:val="nil"/>
            </w:tcBorders>
          </w:tcPr>
          <w:p w14:paraId="1C8EC8D1" w14:textId="77777777" w:rsidR="00441FBB" w:rsidRPr="007A7D48" w:rsidRDefault="00441F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Glass Fibre-</w:t>
            </w:r>
          </w:p>
          <w:p w14:paraId="2CBABDF6" w14:textId="77777777" w:rsidR="00441FBB" w:rsidRPr="007A7D48" w:rsidRDefault="00441F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reinforced</w:t>
            </w:r>
          </w:p>
          <w:p w14:paraId="04FEE2E5" w14:textId="13165D83" w:rsidR="000F1BBB" w:rsidRPr="007A7D48" w:rsidRDefault="00441F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Plastics</w:t>
            </w:r>
          </w:p>
        </w:tc>
        <w:tc>
          <w:tcPr>
            <w:tcW w:w="1558" w:type="dxa"/>
            <w:tcBorders>
              <w:bottom w:val="nil"/>
            </w:tcBorders>
          </w:tcPr>
          <w:p w14:paraId="0C0BB23E" w14:textId="77777777" w:rsidR="00441FBB" w:rsidRPr="007A7D48" w:rsidRDefault="00441F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Natural</w:t>
            </w:r>
          </w:p>
          <w:p w14:paraId="37C1B81C" w14:textId="77777777" w:rsidR="00441FBB" w:rsidRPr="007A7D48" w:rsidRDefault="00441F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aggregates of</w:t>
            </w:r>
          </w:p>
          <w:p w14:paraId="41532FAD" w14:textId="1CAF9133" w:rsidR="000F1BBB" w:rsidRPr="007A7D48" w:rsidRDefault="00441F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glass</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and</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plastics</w:t>
            </w:r>
          </w:p>
        </w:tc>
        <w:tc>
          <w:tcPr>
            <w:tcW w:w="2320" w:type="dxa"/>
            <w:tcBorders>
              <w:bottom w:val="nil"/>
            </w:tcBorders>
          </w:tcPr>
          <w:p w14:paraId="68BE674D" w14:textId="0523077B" w:rsidR="00441FBB" w:rsidRPr="007A7D48" w:rsidRDefault="00441F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Corrosion resistant</w:t>
            </w:r>
            <w:r w:rsidRPr="007A7D48">
              <w:rPr>
                <w:rFonts w:ascii="Times New Roman" w:hAnsi="Times New Roman" w:cs="Times New Roman"/>
                <w:sz w:val="20"/>
                <w:szCs w:val="20"/>
              </w:rPr>
              <w:t>,</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easy to</w:t>
            </w:r>
          </w:p>
          <w:p w14:paraId="6B8DF420" w14:textId="33C05C8E" w:rsidR="00441FBB" w:rsidRPr="007A7D48" w:rsidRDefault="00441F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handle,</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lightweight, with high</w:t>
            </w:r>
          </w:p>
          <w:p w14:paraId="2F58DA70" w14:textId="3FDB52D5" w:rsidR="000F1BBB" w:rsidRPr="007A7D48" w:rsidRDefault="00441FBB"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tensile strength</w:t>
            </w:r>
          </w:p>
        </w:tc>
        <w:tc>
          <w:tcPr>
            <w:tcW w:w="1701" w:type="dxa"/>
            <w:tcBorders>
              <w:bottom w:val="nil"/>
            </w:tcBorders>
          </w:tcPr>
          <w:p w14:paraId="66771F77" w14:textId="1B0D56B4" w:rsidR="000B0F14" w:rsidRPr="007A7D48" w:rsidRDefault="000B0F14"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Doors</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and</w:t>
            </w:r>
          </w:p>
          <w:p w14:paraId="7EC0C550" w14:textId="02FEF7C5" w:rsidR="000F1BBB" w:rsidRPr="007A7D48" w:rsidRDefault="000B0F14"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windows</w:t>
            </w:r>
            <w:r w:rsidRPr="007A7D48">
              <w:rPr>
                <w:rFonts w:ascii="Times New Roman" w:hAnsi="Times New Roman" w:cs="Times New Roman"/>
                <w:sz w:val="20"/>
                <w:szCs w:val="20"/>
              </w:rPr>
              <w:tab/>
            </w:r>
          </w:p>
        </w:tc>
        <w:tc>
          <w:tcPr>
            <w:tcW w:w="1510" w:type="dxa"/>
            <w:tcBorders>
              <w:bottom w:val="nil"/>
            </w:tcBorders>
          </w:tcPr>
          <w:p w14:paraId="445E8AF8" w14:textId="24E447E7" w:rsidR="000F1BBB" w:rsidRPr="007A7D48" w:rsidRDefault="000B0F14"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Hull and Clyne (1996)</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Hussain et al., (2011)</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Clyne</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and</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Hull</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(2019)</w:t>
            </w:r>
            <w:r w:rsidR="000500C1" w:rsidRPr="007A7D48">
              <w:rPr>
                <w:rFonts w:ascii="Times New Roman" w:hAnsi="Times New Roman" w:cs="Times New Roman"/>
                <w:sz w:val="20"/>
                <w:szCs w:val="20"/>
              </w:rPr>
              <w:t xml:space="preserve"> </w:t>
            </w:r>
            <w:r w:rsidR="000500C1" w:rsidRPr="007A7D48">
              <w:rPr>
                <w:rFonts w:ascii="Times New Roman" w:hAnsi="Times New Roman" w:cs="Times New Roman"/>
                <w:sz w:val="20"/>
                <w:szCs w:val="20"/>
              </w:rPr>
              <w:t>Oluwunmi</w:t>
            </w:r>
            <w:r w:rsidR="000500C1" w:rsidRPr="007A7D48">
              <w:rPr>
                <w:rFonts w:ascii="Times New Roman" w:hAnsi="Times New Roman" w:cs="Times New Roman"/>
                <w:sz w:val="20"/>
                <w:szCs w:val="20"/>
              </w:rPr>
              <w:t xml:space="preserve"> </w:t>
            </w:r>
            <w:r w:rsidR="000500C1" w:rsidRPr="007A7D48">
              <w:rPr>
                <w:rFonts w:ascii="Times New Roman" w:hAnsi="Times New Roman" w:cs="Times New Roman"/>
                <w:sz w:val="20"/>
                <w:szCs w:val="20"/>
              </w:rPr>
              <w:t>and Umezurike (2023)</w:t>
            </w:r>
          </w:p>
        </w:tc>
      </w:tr>
      <w:tr w:rsidR="009905AA" w:rsidRPr="007A7D48" w14:paraId="13145C70" w14:textId="77777777" w:rsidTr="0002104B">
        <w:trPr>
          <w:jc w:val="center"/>
        </w:trPr>
        <w:tc>
          <w:tcPr>
            <w:tcW w:w="704" w:type="dxa"/>
            <w:tcBorders>
              <w:top w:val="nil"/>
              <w:bottom w:val="nil"/>
            </w:tcBorders>
          </w:tcPr>
          <w:p w14:paraId="57BF20F2" w14:textId="77777777" w:rsidR="000F1BBB" w:rsidRPr="009905AA" w:rsidRDefault="000F1BBB" w:rsidP="009905AA">
            <w:pPr>
              <w:pStyle w:val="ListParagraph"/>
              <w:numPr>
                <w:ilvl w:val="0"/>
                <w:numId w:val="34"/>
              </w:numPr>
              <w:autoSpaceDE w:val="0"/>
              <w:autoSpaceDN w:val="0"/>
              <w:adjustRightInd w:val="0"/>
              <w:spacing w:after="0" w:line="240" w:lineRule="auto"/>
              <w:rPr>
                <w:rFonts w:ascii="Times New Roman" w:hAnsi="Times New Roman"/>
                <w:sz w:val="20"/>
                <w:szCs w:val="20"/>
              </w:rPr>
            </w:pPr>
          </w:p>
        </w:tc>
        <w:tc>
          <w:tcPr>
            <w:tcW w:w="1558" w:type="dxa"/>
            <w:tcBorders>
              <w:top w:val="nil"/>
              <w:bottom w:val="nil"/>
            </w:tcBorders>
          </w:tcPr>
          <w:p w14:paraId="5A5FC40C" w14:textId="75BE86FA" w:rsidR="000F1BBB" w:rsidRPr="007A7D48" w:rsidRDefault="000500C1"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lang w:val="en-GB"/>
              </w:rPr>
              <w:t>Fly-Ash Bricks</w:t>
            </w:r>
          </w:p>
        </w:tc>
        <w:tc>
          <w:tcPr>
            <w:tcW w:w="1558" w:type="dxa"/>
            <w:tcBorders>
              <w:top w:val="nil"/>
              <w:bottom w:val="nil"/>
            </w:tcBorders>
          </w:tcPr>
          <w:p w14:paraId="26F0DBEC" w14:textId="542473EA" w:rsidR="000F1BBB" w:rsidRPr="007A7D48" w:rsidRDefault="000500C1"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lang w:val="en-GB"/>
              </w:rPr>
              <w:t>Coal-fired</w:t>
            </w:r>
            <w:r w:rsidRPr="007A7D48">
              <w:rPr>
                <w:rFonts w:ascii="Times New Roman" w:hAnsi="Times New Roman" w:cs="Times New Roman"/>
                <w:sz w:val="20"/>
                <w:szCs w:val="20"/>
                <w:lang w:val="en-GB"/>
              </w:rPr>
              <w:t xml:space="preserve"> </w:t>
            </w:r>
            <w:r w:rsidRPr="007A7D48">
              <w:rPr>
                <w:rFonts w:ascii="Times New Roman" w:hAnsi="Times New Roman" w:cs="Times New Roman"/>
                <w:sz w:val="20"/>
                <w:szCs w:val="20"/>
                <w:lang w:val="en-GB"/>
              </w:rPr>
              <w:t>power plants are</w:t>
            </w:r>
            <w:r w:rsidRPr="007A7D48">
              <w:rPr>
                <w:rFonts w:ascii="Times New Roman" w:hAnsi="Times New Roman" w:cs="Times New Roman"/>
                <w:sz w:val="20"/>
                <w:szCs w:val="20"/>
                <w:lang w:val="en-GB"/>
              </w:rPr>
              <w:t xml:space="preserve"> </w:t>
            </w:r>
            <w:r w:rsidRPr="007A7D48">
              <w:rPr>
                <w:rFonts w:ascii="Times New Roman" w:hAnsi="Times New Roman" w:cs="Times New Roman"/>
                <w:sz w:val="20"/>
                <w:szCs w:val="20"/>
                <w:lang w:val="en-GB"/>
              </w:rPr>
              <w:t>rich</w:t>
            </w:r>
            <w:r w:rsidRPr="007A7D48">
              <w:rPr>
                <w:rFonts w:ascii="Times New Roman" w:hAnsi="Times New Roman" w:cs="Times New Roman"/>
                <w:sz w:val="20"/>
                <w:szCs w:val="20"/>
                <w:lang w:val="en-GB"/>
              </w:rPr>
              <w:t xml:space="preserve"> </w:t>
            </w:r>
            <w:r w:rsidRPr="007A7D48">
              <w:rPr>
                <w:rFonts w:ascii="Times New Roman" w:hAnsi="Times New Roman" w:cs="Times New Roman"/>
                <w:sz w:val="20"/>
                <w:szCs w:val="20"/>
                <w:lang w:val="en-GB"/>
              </w:rPr>
              <w:t>in silicon dioxide</w:t>
            </w:r>
            <w:r w:rsidRPr="007A7D48">
              <w:rPr>
                <w:rFonts w:ascii="Times New Roman" w:hAnsi="Times New Roman" w:cs="Times New Roman"/>
                <w:sz w:val="20"/>
                <w:szCs w:val="20"/>
                <w:lang w:val="en-GB"/>
              </w:rPr>
              <w:tab/>
              <w:t>and calcium oxide</w:t>
            </w:r>
          </w:p>
        </w:tc>
        <w:tc>
          <w:tcPr>
            <w:tcW w:w="2320" w:type="dxa"/>
            <w:tcBorders>
              <w:top w:val="nil"/>
              <w:bottom w:val="nil"/>
            </w:tcBorders>
          </w:tcPr>
          <w:p w14:paraId="0131C53B" w14:textId="52868ADC" w:rsidR="000F1BBB" w:rsidRPr="007A7D48" w:rsidRDefault="000500C1" w:rsidP="007A7D48">
            <w:pPr>
              <w:autoSpaceDE w:val="0"/>
              <w:autoSpaceDN w:val="0"/>
              <w:adjustRightInd w:val="0"/>
              <w:spacing w:after="0" w:line="240" w:lineRule="auto"/>
              <w:rPr>
                <w:rFonts w:ascii="Times New Roman" w:hAnsi="Times New Roman" w:cs="Times New Roman"/>
                <w:sz w:val="20"/>
                <w:szCs w:val="20"/>
              </w:rPr>
            </w:pPr>
            <w:r w:rsidRPr="000500C1">
              <w:rPr>
                <w:rFonts w:ascii="Times New Roman" w:hAnsi="Times New Roman" w:cs="Times New Roman"/>
                <w:sz w:val="20"/>
                <w:szCs w:val="20"/>
              </w:rPr>
              <w:t>Lightweight, absorbs less water than clay bricks, cost-effective, compressive strength is high, thermal insulation</w:t>
            </w:r>
          </w:p>
        </w:tc>
        <w:tc>
          <w:tcPr>
            <w:tcW w:w="1701" w:type="dxa"/>
            <w:tcBorders>
              <w:top w:val="nil"/>
              <w:bottom w:val="nil"/>
            </w:tcBorders>
          </w:tcPr>
          <w:p w14:paraId="6D680966" w14:textId="1E382AFE" w:rsidR="000F1BBB" w:rsidRPr="007A7D48" w:rsidRDefault="000500C1"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 xml:space="preserve">Walling </w:t>
            </w:r>
          </w:p>
        </w:tc>
        <w:tc>
          <w:tcPr>
            <w:tcW w:w="1510" w:type="dxa"/>
            <w:tcBorders>
              <w:top w:val="nil"/>
              <w:bottom w:val="nil"/>
            </w:tcBorders>
          </w:tcPr>
          <w:p w14:paraId="62510DE2" w14:textId="77777777" w:rsidR="000500C1" w:rsidRPr="000500C1" w:rsidRDefault="000500C1" w:rsidP="007A7D48">
            <w:pPr>
              <w:autoSpaceDE w:val="0"/>
              <w:autoSpaceDN w:val="0"/>
              <w:adjustRightInd w:val="0"/>
              <w:spacing w:after="0" w:line="240" w:lineRule="auto"/>
              <w:rPr>
                <w:rFonts w:ascii="Times New Roman" w:hAnsi="Times New Roman" w:cs="Times New Roman"/>
                <w:sz w:val="20"/>
                <w:szCs w:val="20"/>
              </w:rPr>
            </w:pPr>
            <w:r w:rsidRPr="000500C1">
              <w:rPr>
                <w:rFonts w:ascii="Times New Roman" w:hAnsi="Times New Roman" w:cs="Times New Roman"/>
                <w:sz w:val="20"/>
                <w:szCs w:val="20"/>
              </w:rPr>
              <w:t>Mahajan</w:t>
            </w:r>
            <w:r w:rsidRPr="000500C1">
              <w:rPr>
                <w:rFonts w:ascii="Times New Roman" w:hAnsi="Times New Roman" w:cs="Times New Roman"/>
                <w:sz w:val="20"/>
                <w:szCs w:val="20"/>
              </w:rPr>
              <w:tab/>
              <w:t>(2019);</w:t>
            </w:r>
          </w:p>
          <w:p w14:paraId="2949F44A" w14:textId="5A21B590" w:rsidR="000500C1" w:rsidRPr="000500C1" w:rsidRDefault="000500C1" w:rsidP="007A7D48">
            <w:pPr>
              <w:autoSpaceDE w:val="0"/>
              <w:autoSpaceDN w:val="0"/>
              <w:adjustRightInd w:val="0"/>
              <w:spacing w:after="0" w:line="240" w:lineRule="auto"/>
              <w:rPr>
                <w:rFonts w:ascii="Times New Roman" w:hAnsi="Times New Roman" w:cs="Times New Roman"/>
                <w:sz w:val="20"/>
                <w:szCs w:val="20"/>
              </w:rPr>
            </w:pPr>
            <w:r w:rsidRPr="000500C1">
              <w:rPr>
                <w:rFonts w:ascii="Times New Roman" w:hAnsi="Times New Roman" w:cs="Times New Roman"/>
                <w:sz w:val="20"/>
                <w:szCs w:val="20"/>
              </w:rPr>
              <w:t>Ghosh (2020); Team</w:t>
            </w:r>
            <w:r w:rsidRPr="007A7D48">
              <w:rPr>
                <w:rFonts w:ascii="Times New Roman" w:hAnsi="Times New Roman" w:cs="Times New Roman"/>
                <w:sz w:val="20"/>
                <w:szCs w:val="20"/>
              </w:rPr>
              <w:t xml:space="preserve"> </w:t>
            </w:r>
            <w:r w:rsidRPr="000500C1">
              <w:rPr>
                <w:rFonts w:ascii="Times New Roman" w:hAnsi="Times New Roman" w:cs="Times New Roman"/>
                <w:sz w:val="20"/>
                <w:szCs w:val="20"/>
              </w:rPr>
              <w:t>McCoy Mart (2021)</w:t>
            </w:r>
            <w:r w:rsidRPr="007A7D48">
              <w:rPr>
                <w:rFonts w:ascii="Times New Roman" w:hAnsi="Times New Roman" w:cs="Times New Roman"/>
                <w:sz w:val="20"/>
                <w:szCs w:val="20"/>
              </w:rPr>
              <w:t xml:space="preserve">, </w:t>
            </w:r>
            <w:r w:rsidRPr="000500C1">
              <w:rPr>
                <w:rFonts w:ascii="Times New Roman" w:hAnsi="Times New Roman" w:cs="Times New Roman"/>
                <w:sz w:val="20"/>
                <w:szCs w:val="20"/>
              </w:rPr>
              <w:lastRenderedPageBreak/>
              <w:t>Oluwunmi</w:t>
            </w:r>
            <w:r w:rsidRPr="007A7D48">
              <w:rPr>
                <w:rFonts w:ascii="Times New Roman" w:hAnsi="Times New Roman" w:cs="Times New Roman"/>
                <w:sz w:val="20"/>
                <w:szCs w:val="20"/>
              </w:rPr>
              <w:t xml:space="preserve"> </w:t>
            </w:r>
            <w:r w:rsidRPr="000500C1">
              <w:rPr>
                <w:rFonts w:ascii="Times New Roman" w:hAnsi="Times New Roman" w:cs="Times New Roman"/>
                <w:sz w:val="20"/>
                <w:szCs w:val="20"/>
              </w:rPr>
              <w:t>and Umezurike (2023)</w:t>
            </w:r>
          </w:p>
          <w:p w14:paraId="4B3D8B43" w14:textId="77777777"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p>
        </w:tc>
      </w:tr>
      <w:tr w:rsidR="009905AA" w:rsidRPr="007A7D48" w14:paraId="4D4D5781" w14:textId="77777777" w:rsidTr="0002104B">
        <w:trPr>
          <w:jc w:val="center"/>
        </w:trPr>
        <w:tc>
          <w:tcPr>
            <w:tcW w:w="704" w:type="dxa"/>
            <w:tcBorders>
              <w:top w:val="nil"/>
              <w:bottom w:val="nil"/>
            </w:tcBorders>
          </w:tcPr>
          <w:p w14:paraId="0F2AF907" w14:textId="77777777" w:rsidR="000F1BBB" w:rsidRPr="009905AA" w:rsidRDefault="000F1BBB" w:rsidP="009905AA">
            <w:pPr>
              <w:pStyle w:val="ListParagraph"/>
              <w:numPr>
                <w:ilvl w:val="0"/>
                <w:numId w:val="34"/>
              </w:numPr>
              <w:autoSpaceDE w:val="0"/>
              <w:autoSpaceDN w:val="0"/>
              <w:adjustRightInd w:val="0"/>
              <w:spacing w:after="0" w:line="240" w:lineRule="auto"/>
              <w:rPr>
                <w:rFonts w:ascii="Times New Roman" w:hAnsi="Times New Roman"/>
                <w:sz w:val="20"/>
                <w:szCs w:val="20"/>
              </w:rPr>
            </w:pPr>
          </w:p>
        </w:tc>
        <w:tc>
          <w:tcPr>
            <w:tcW w:w="1558" w:type="dxa"/>
            <w:tcBorders>
              <w:top w:val="nil"/>
              <w:bottom w:val="nil"/>
            </w:tcBorders>
          </w:tcPr>
          <w:p w14:paraId="7EA027D4" w14:textId="474562B7" w:rsidR="000F1BBB" w:rsidRPr="007A7D48" w:rsidRDefault="000500C1"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pacing w:val="-2"/>
                <w:sz w:val="20"/>
                <w:szCs w:val="20"/>
              </w:rPr>
              <w:t>Ashcrete</w:t>
            </w:r>
          </w:p>
        </w:tc>
        <w:tc>
          <w:tcPr>
            <w:tcW w:w="1558" w:type="dxa"/>
            <w:tcBorders>
              <w:top w:val="nil"/>
              <w:bottom w:val="nil"/>
            </w:tcBorders>
          </w:tcPr>
          <w:p w14:paraId="6124E93F" w14:textId="7FD3AA76" w:rsidR="000F1BBB" w:rsidRPr="007A7D48" w:rsidRDefault="000500C1"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lang w:val="en-GB"/>
              </w:rPr>
              <w:t>Recycled flyash,a</w:t>
            </w:r>
            <w:r w:rsidR="009905AA">
              <w:rPr>
                <w:rFonts w:ascii="Times New Roman" w:hAnsi="Times New Roman" w:cs="Times New Roman"/>
                <w:sz w:val="20"/>
                <w:szCs w:val="20"/>
                <w:lang w:val="en-GB"/>
              </w:rPr>
              <w:t xml:space="preserve"> </w:t>
            </w:r>
            <w:r w:rsidRPr="007A7D48">
              <w:rPr>
                <w:rFonts w:ascii="Times New Roman" w:hAnsi="Times New Roman" w:cs="Times New Roman"/>
                <w:sz w:val="20"/>
                <w:szCs w:val="20"/>
                <w:lang w:val="en-GB"/>
              </w:rPr>
              <w:t>naturally occurring mineral</w:t>
            </w:r>
          </w:p>
        </w:tc>
        <w:tc>
          <w:tcPr>
            <w:tcW w:w="2320" w:type="dxa"/>
            <w:tcBorders>
              <w:top w:val="nil"/>
              <w:bottom w:val="nil"/>
            </w:tcBorders>
          </w:tcPr>
          <w:p w14:paraId="580C43D9" w14:textId="77777777" w:rsidR="000500C1" w:rsidRPr="000500C1" w:rsidRDefault="000500C1" w:rsidP="007A7D48">
            <w:pPr>
              <w:autoSpaceDE w:val="0"/>
              <w:autoSpaceDN w:val="0"/>
              <w:adjustRightInd w:val="0"/>
              <w:spacing w:after="0" w:line="240" w:lineRule="auto"/>
              <w:rPr>
                <w:rFonts w:ascii="Times New Roman" w:hAnsi="Times New Roman" w:cs="Times New Roman"/>
                <w:sz w:val="20"/>
                <w:szCs w:val="20"/>
              </w:rPr>
            </w:pPr>
            <w:r w:rsidRPr="000500C1">
              <w:rPr>
                <w:rFonts w:ascii="Times New Roman" w:hAnsi="Times New Roman" w:cs="Times New Roman"/>
                <w:sz w:val="20"/>
                <w:szCs w:val="20"/>
              </w:rPr>
              <w:t>Eco-friendly, more suitable for use with Portland cement</w:t>
            </w:r>
          </w:p>
          <w:p w14:paraId="60151231" w14:textId="20CE2AF5"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p>
        </w:tc>
        <w:tc>
          <w:tcPr>
            <w:tcW w:w="1701" w:type="dxa"/>
            <w:tcBorders>
              <w:top w:val="nil"/>
              <w:bottom w:val="nil"/>
            </w:tcBorders>
          </w:tcPr>
          <w:p w14:paraId="2367C8C1" w14:textId="01804391" w:rsidR="000F1BBB" w:rsidRPr="007A7D48" w:rsidRDefault="000500C1"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 xml:space="preserve">Walling </w:t>
            </w:r>
          </w:p>
        </w:tc>
        <w:tc>
          <w:tcPr>
            <w:tcW w:w="1510" w:type="dxa"/>
            <w:tcBorders>
              <w:top w:val="nil"/>
              <w:bottom w:val="nil"/>
            </w:tcBorders>
          </w:tcPr>
          <w:p w14:paraId="145E59C4" w14:textId="1600E747" w:rsidR="000500C1" w:rsidRPr="000500C1" w:rsidRDefault="000500C1" w:rsidP="007A7D48">
            <w:pPr>
              <w:autoSpaceDE w:val="0"/>
              <w:autoSpaceDN w:val="0"/>
              <w:adjustRightInd w:val="0"/>
              <w:spacing w:after="0" w:line="240" w:lineRule="auto"/>
              <w:rPr>
                <w:rFonts w:ascii="Times New Roman" w:hAnsi="Times New Roman" w:cs="Times New Roman"/>
                <w:sz w:val="20"/>
                <w:szCs w:val="20"/>
              </w:rPr>
            </w:pPr>
            <w:r w:rsidRPr="000500C1">
              <w:rPr>
                <w:rFonts w:ascii="Times New Roman" w:hAnsi="Times New Roman" w:cs="Times New Roman"/>
                <w:sz w:val="20"/>
                <w:szCs w:val="20"/>
              </w:rPr>
              <w:t>Peckenham</w:t>
            </w:r>
            <w:r w:rsidRPr="007A7D48">
              <w:rPr>
                <w:rFonts w:ascii="Times New Roman" w:hAnsi="Times New Roman" w:cs="Times New Roman"/>
                <w:sz w:val="20"/>
                <w:szCs w:val="20"/>
              </w:rPr>
              <w:t xml:space="preserve"> </w:t>
            </w:r>
            <w:r w:rsidRPr="000500C1">
              <w:rPr>
                <w:rFonts w:ascii="Times New Roman" w:hAnsi="Times New Roman" w:cs="Times New Roman"/>
                <w:sz w:val="20"/>
                <w:szCs w:val="20"/>
              </w:rPr>
              <w:t>(2016);</w:t>
            </w:r>
          </w:p>
          <w:p w14:paraId="02A674DF" w14:textId="365144FF" w:rsidR="000500C1" w:rsidRPr="000500C1" w:rsidRDefault="000500C1" w:rsidP="007A7D48">
            <w:pPr>
              <w:autoSpaceDE w:val="0"/>
              <w:autoSpaceDN w:val="0"/>
              <w:adjustRightInd w:val="0"/>
              <w:spacing w:after="0" w:line="240" w:lineRule="auto"/>
              <w:rPr>
                <w:rFonts w:ascii="Times New Roman" w:hAnsi="Times New Roman" w:cs="Times New Roman"/>
                <w:sz w:val="20"/>
                <w:szCs w:val="20"/>
              </w:rPr>
            </w:pPr>
            <w:r w:rsidRPr="000500C1">
              <w:rPr>
                <w:rFonts w:ascii="Times New Roman" w:hAnsi="Times New Roman" w:cs="Times New Roman"/>
                <w:sz w:val="20"/>
                <w:szCs w:val="20"/>
              </w:rPr>
              <w:t>Brown</w:t>
            </w:r>
            <w:r w:rsidRPr="007A7D48">
              <w:rPr>
                <w:rFonts w:ascii="Times New Roman" w:hAnsi="Times New Roman" w:cs="Times New Roman"/>
                <w:sz w:val="20"/>
                <w:szCs w:val="20"/>
              </w:rPr>
              <w:t xml:space="preserve"> </w:t>
            </w:r>
            <w:r w:rsidRPr="000500C1">
              <w:rPr>
                <w:rFonts w:ascii="Times New Roman" w:hAnsi="Times New Roman" w:cs="Times New Roman"/>
                <w:sz w:val="20"/>
                <w:szCs w:val="20"/>
              </w:rPr>
              <w:t>(2018);</w:t>
            </w:r>
          </w:p>
          <w:p w14:paraId="5F8D5D9E" w14:textId="637E4F99" w:rsidR="000F1BBB" w:rsidRPr="007A7D48" w:rsidRDefault="000500C1" w:rsidP="007A7D48">
            <w:pPr>
              <w:autoSpaceDE w:val="0"/>
              <w:autoSpaceDN w:val="0"/>
              <w:adjustRightInd w:val="0"/>
              <w:spacing w:after="0" w:line="240" w:lineRule="auto"/>
              <w:rPr>
                <w:rFonts w:ascii="Times New Roman" w:hAnsi="Times New Roman" w:cs="Times New Roman"/>
                <w:sz w:val="20"/>
                <w:szCs w:val="20"/>
              </w:rPr>
            </w:pPr>
            <w:r w:rsidRPr="000500C1">
              <w:rPr>
                <w:rFonts w:ascii="Times New Roman" w:hAnsi="Times New Roman" w:cs="Times New Roman"/>
                <w:sz w:val="20"/>
                <w:szCs w:val="20"/>
              </w:rPr>
              <w:t>Barbulianno</w:t>
            </w:r>
            <w:r w:rsidR="00806A12" w:rsidRPr="007A7D48">
              <w:rPr>
                <w:rFonts w:ascii="Times New Roman" w:hAnsi="Times New Roman" w:cs="Times New Roman"/>
                <w:sz w:val="20"/>
                <w:szCs w:val="20"/>
              </w:rPr>
              <w:t xml:space="preserve"> </w:t>
            </w:r>
            <w:r w:rsidRPr="000500C1">
              <w:rPr>
                <w:rFonts w:ascii="Times New Roman" w:hAnsi="Times New Roman" w:cs="Times New Roman"/>
                <w:sz w:val="20"/>
                <w:szCs w:val="20"/>
              </w:rPr>
              <w:t>(2020)</w:t>
            </w:r>
          </w:p>
        </w:tc>
      </w:tr>
      <w:tr w:rsidR="009905AA" w:rsidRPr="007A7D48" w14:paraId="530DD50B" w14:textId="77777777" w:rsidTr="0002104B">
        <w:trPr>
          <w:jc w:val="center"/>
        </w:trPr>
        <w:tc>
          <w:tcPr>
            <w:tcW w:w="704" w:type="dxa"/>
            <w:tcBorders>
              <w:top w:val="nil"/>
            </w:tcBorders>
          </w:tcPr>
          <w:p w14:paraId="2B22D94A" w14:textId="77777777" w:rsidR="000F1BBB" w:rsidRPr="009905AA" w:rsidRDefault="000F1BBB" w:rsidP="009905AA">
            <w:pPr>
              <w:pStyle w:val="ListParagraph"/>
              <w:numPr>
                <w:ilvl w:val="0"/>
                <w:numId w:val="34"/>
              </w:numPr>
              <w:autoSpaceDE w:val="0"/>
              <w:autoSpaceDN w:val="0"/>
              <w:adjustRightInd w:val="0"/>
              <w:spacing w:after="0" w:line="240" w:lineRule="auto"/>
              <w:rPr>
                <w:rFonts w:ascii="Times New Roman" w:hAnsi="Times New Roman"/>
                <w:sz w:val="20"/>
                <w:szCs w:val="20"/>
              </w:rPr>
            </w:pPr>
          </w:p>
        </w:tc>
        <w:tc>
          <w:tcPr>
            <w:tcW w:w="1558" w:type="dxa"/>
            <w:tcBorders>
              <w:top w:val="nil"/>
            </w:tcBorders>
          </w:tcPr>
          <w:p w14:paraId="72F6B529" w14:textId="3E1CBFD1" w:rsidR="000F1BBB" w:rsidRPr="007A7D48" w:rsidRDefault="006A4C84"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lang w:val="en-GB"/>
              </w:rPr>
              <w:t>Cork</w:t>
            </w:r>
          </w:p>
        </w:tc>
        <w:tc>
          <w:tcPr>
            <w:tcW w:w="1558" w:type="dxa"/>
            <w:tcBorders>
              <w:top w:val="nil"/>
            </w:tcBorders>
          </w:tcPr>
          <w:p w14:paraId="7D90D875" w14:textId="2DC32A04" w:rsidR="000F1BBB" w:rsidRPr="007A7D48" w:rsidRDefault="006A4C84"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lang w:val="en-GB"/>
              </w:rPr>
              <w:t>Cork oak tree</w:t>
            </w:r>
          </w:p>
        </w:tc>
        <w:tc>
          <w:tcPr>
            <w:tcW w:w="2320" w:type="dxa"/>
            <w:tcBorders>
              <w:top w:val="nil"/>
            </w:tcBorders>
          </w:tcPr>
          <w:p w14:paraId="098689BB" w14:textId="1282917B" w:rsidR="006A4C84" w:rsidRPr="006A4C84" w:rsidRDefault="006A4C84" w:rsidP="007A7D48">
            <w:pPr>
              <w:autoSpaceDE w:val="0"/>
              <w:autoSpaceDN w:val="0"/>
              <w:adjustRightInd w:val="0"/>
              <w:spacing w:after="0" w:line="240" w:lineRule="auto"/>
              <w:rPr>
                <w:rFonts w:ascii="Times New Roman" w:hAnsi="Times New Roman" w:cs="Times New Roman"/>
                <w:sz w:val="20"/>
                <w:szCs w:val="20"/>
              </w:rPr>
            </w:pPr>
            <w:r w:rsidRPr="006A4C84">
              <w:rPr>
                <w:rFonts w:ascii="Times New Roman" w:hAnsi="Times New Roman" w:cs="Times New Roman"/>
                <w:sz w:val="20"/>
                <w:szCs w:val="20"/>
              </w:rPr>
              <w:t>Insulation</w:t>
            </w:r>
            <w:r w:rsidRPr="007A7D48">
              <w:rPr>
                <w:rFonts w:ascii="Times New Roman" w:hAnsi="Times New Roman" w:cs="Times New Roman"/>
                <w:sz w:val="20"/>
                <w:szCs w:val="20"/>
              </w:rPr>
              <w:t xml:space="preserve"> </w:t>
            </w:r>
            <w:r w:rsidRPr="006A4C84">
              <w:rPr>
                <w:rFonts w:ascii="Times New Roman" w:hAnsi="Times New Roman" w:cs="Times New Roman"/>
                <w:sz w:val="20"/>
                <w:szCs w:val="20"/>
              </w:rPr>
              <w:t>capacities,</w:t>
            </w:r>
          </w:p>
          <w:p w14:paraId="38CCF65E" w14:textId="1FEED614" w:rsidR="000F1BBB" w:rsidRPr="007A7D48" w:rsidRDefault="006A4C84" w:rsidP="007A7D48">
            <w:pPr>
              <w:autoSpaceDE w:val="0"/>
              <w:autoSpaceDN w:val="0"/>
              <w:adjustRightInd w:val="0"/>
              <w:spacing w:after="0" w:line="240" w:lineRule="auto"/>
              <w:rPr>
                <w:rFonts w:ascii="Times New Roman" w:hAnsi="Times New Roman" w:cs="Times New Roman"/>
                <w:sz w:val="20"/>
                <w:szCs w:val="20"/>
              </w:rPr>
            </w:pPr>
            <w:r w:rsidRPr="006A4C84">
              <w:rPr>
                <w:rFonts w:ascii="Times New Roman" w:hAnsi="Times New Roman" w:cs="Times New Roman"/>
                <w:sz w:val="20"/>
                <w:szCs w:val="20"/>
              </w:rPr>
              <w:t>lightweight,</w:t>
            </w:r>
            <w:r w:rsidRPr="007A7D48">
              <w:rPr>
                <w:rFonts w:ascii="Times New Roman" w:hAnsi="Times New Roman" w:cs="Times New Roman"/>
                <w:sz w:val="20"/>
                <w:szCs w:val="20"/>
              </w:rPr>
              <w:t xml:space="preserve"> </w:t>
            </w:r>
            <w:r w:rsidRPr="006A4C84">
              <w:rPr>
                <w:rFonts w:ascii="Times New Roman" w:hAnsi="Times New Roman" w:cs="Times New Roman"/>
                <w:sz w:val="20"/>
                <w:szCs w:val="20"/>
              </w:rPr>
              <w:t>waterproof, resistant to abrasion, and fire- retardant. Hedge against global warming</w:t>
            </w:r>
          </w:p>
        </w:tc>
        <w:tc>
          <w:tcPr>
            <w:tcW w:w="1701" w:type="dxa"/>
            <w:tcBorders>
              <w:top w:val="nil"/>
            </w:tcBorders>
          </w:tcPr>
          <w:p w14:paraId="2A144359" w14:textId="2252C73F" w:rsidR="000F1BBB" w:rsidRPr="007A7D48" w:rsidRDefault="006A4C84"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lang w:val="en-GB"/>
              </w:rPr>
              <w:t>Internal</w:t>
            </w:r>
            <w:r w:rsidRPr="007A7D48">
              <w:rPr>
                <w:rFonts w:ascii="Times New Roman" w:hAnsi="Times New Roman" w:cs="Times New Roman"/>
                <w:sz w:val="20"/>
                <w:szCs w:val="20"/>
                <w:lang w:val="en-GB"/>
              </w:rPr>
              <w:tab/>
              <w:t>and external cladding, walling, ceiling and flooring</w:t>
            </w:r>
          </w:p>
        </w:tc>
        <w:tc>
          <w:tcPr>
            <w:tcW w:w="1510" w:type="dxa"/>
            <w:tcBorders>
              <w:top w:val="nil"/>
            </w:tcBorders>
          </w:tcPr>
          <w:p w14:paraId="40825E74" w14:textId="25250E1D" w:rsidR="006A4C84" w:rsidRPr="006A4C84" w:rsidRDefault="006A4C84" w:rsidP="007A7D48">
            <w:pPr>
              <w:autoSpaceDE w:val="0"/>
              <w:autoSpaceDN w:val="0"/>
              <w:adjustRightInd w:val="0"/>
              <w:spacing w:after="0" w:line="240" w:lineRule="auto"/>
              <w:rPr>
                <w:rFonts w:ascii="Times New Roman" w:hAnsi="Times New Roman" w:cs="Times New Roman"/>
                <w:sz w:val="20"/>
                <w:szCs w:val="20"/>
              </w:rPr>
            </w:pPr>
            <w:r w:rsidRPr="006A4C84">
              <w:rPr>
                <w:rFonts w:ascii="Times New Roman" w:hAnsi="Times New Roman" w:cs="Times New Roman"/>
                <w:sz w:val="20"/>
                <w:szCs w:val="20"/>
              </w:rPr>
              <w:t>Thorsby (2019); Barbulianno</w:t>
            </w:r>
            <w:r w:rsidRPr="007A7D48">
              <w:rPr>
                <w:rFonts w:ascii="Times New Roman" w:hAnsi="Times New Roman" w:cs="Times New Roman"/>
                <w:sz w:val="20"/>
                <w:szCs w:val="20"/>
              </w:rPr>
              <w:t xml:space="preserve"> </w:t>
            </w:r>
            <w:r w:rsidRPr="006A4C84">
              <w:rPr>
                <w:rFonts w:ascii="Times New Roman" w:hAnsi="Times New Roman" w:cs="Times New Roman"/>
                <w:sz w:val="20"/>
                <w:szCs w:val="20"/>
              </w:rPr>
              <w:t>(2020)</w:t>
            </w:r>
            <w:r w:rsidRPr="007A7D48">
              <w:rPr>
                <w:rFonts w:ascii="Times New Roman" w:hAnsi="Times New Roman" w:cs="Times New Roman"/>
                <w:sz w:val="20"/>
                <w:szCs w:val="20"/>
              </w:rPr>
              <w:t xml:space="preserve"> </w:t>
            </w:r>
            <w:r w:rsidRPr="006A4C84">
              <w:rPr>
                <w:rFonts w:ascii="Times New Roman" w:hAnsi="Times New Roman" w:cs="Times New Roman"/>
                <w:sz w:val="20"/>
                <w:szCs w:val="20"/>
              </w:rPr>
              <w:t>Oluwunmi</w:t>
            </w:r>
            <w:r w:rsidRPr="007A7D48">
              <w:rPr>
                <w:rFonts w:ascii="Times New Roman" w:hAnsi="Times New Roman" w:cs="Times New Roman"/>
                <w:sz w:val="20"/>
                <w:szCs w:val="20"/>
              </w:rPr>
              <w:t xml:space="preserve"> </w:t>
            </w:r>
            <w:r w:rsidRPr="006A4C84">
              <w:rPr>
                <w:rFonts w:ascii="Times New Roman" w:hAnsi="Times New Roman" w:cs="Times New Roman"/>
                <w:sz w:val="20"/>
                <w:szCs w:val="20"/>
              </w:rPr>
              <w:t>and Umezurike (2023)</w:t>
            </w:r>
          </w:p>
          <w:p w14:paraId="666886F2" w14:textId="77777777"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p>
        </w:tc>
      </w:tr>
      <w:tr w:rsidR="009905AA" w:rsidRPr="007A7D48" w14:paraId="110A35C8" w14:textId="77777777" w:rsidTr="0002104B">
        <w:trPr>
          <w:jc w:val="center"/>
        </w:trPr>
        <w:tc>
          <w:tcPr>
            <w:tcW w:w="704" w:type="dxa"/>
          </w:tcPr>
          <w:p w14:paraId="54B2ECBF" w14:textId="77777777" w:rsidR="000F1BBB" w:rsidRPr="009905AA" w:rsidRDefault="000F1BBB" w:rsidP="009905AA">
            <w:pPr>
              <w:pStyle w:val="ListParagraph"/>
              <w:numPr>
                <w:ilvl w:val="0"/>
                <w:numId w:val="34"/>
              </w:numPr>
              <w:autoSpaceDE w:val="0"/>
              <w:autoSpaceDN w:val="0"/>
              <w:adjustRightInd w:val="0"/>
              <w:spacing w:after="0" w:line="240" w:lineRule="auto"/>
              <w:rPr>
                <w:rFonts w:ascii="Times New Roman" w:hAnsi="Times New Roman"/>
                <w:sz w:val="20"/>
                <w:szCs w:val="20"/>
              </w:rPr>
            </w:pPr>
          </w:p>
        </w:tc>
        <w:tc>
          <w:tcPr>
            <w:tcW w:w="1558" w:type="dxa"/>
          </w:tcPr>
          <w:p w14:paraId="6F314ED9" w14:textId="18998F10" w:rsidR="000F1BBB" w:rsidRPr="007A7D48" w:rsidRDefault="00A020B0"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lang w:val="en-GB"/>
              </w:rPr>
              <w:t>Sheep’s wool</w:t>
            </w:r>
          </w:p>
        </w:tc>
        <w:tc>
          <w:tcPr>
            <w:tcW w:w="1558" w:type="dxa"/>
          </w:tcPr>
          <w:p w14:paraId="52A978F6" w14:textId="7AE0FB64" w:rsidR="00A020B0" w:rsidRPr="00A020B0" w:rsidRDefault="00A020B0" w:rsidP="007A7D48">
            <w:pPr>
              <w:autoSpaceDE w:val="0"/>
              <w:autoSpaceDN w:val="0"/>
              <w:adjustRightInd w:val="0"/>
              <w:spacing w:after="0" w:line="240" w:lineRule="auto"/>
              <w:rPr>
                <w:rFonts w:ascii="Times New Roman" w:hAnsi="Times New Roman" w:cs="Times New Roman"/>
                <w:sz w:val="20"/>
                <w:szCs w:val="20"/>
              </w:rPr>
            </w:pPr>
            <w:r w:rsidRPr="00A020B0">
              <w:rPr>
                <w:rFonts w:ascii="Times New Roman" w:hAnsi="Times New Roman" w:cs="Times New Roman"/>
                <w:sz w:val="20"/>
                <w:szCs w:val="20"/>
              </w:rPr>
              <w:t>Fleece</w:t>
            </w:r>
            <w:r w:rsidRPr="007A7D48">
              <w:rPr>
                <w:rFonts w:ascii="Times New Roman" w:hAnsi="Times New Roman" w:cs="Times New Roman"/>
                <w:sz w:val="20"/>
                <w:szCs w:val="20"/>
              </w:rPr>
              <w:t xml:space="preserve"> </w:t>
            </w:r>
            <w:r w:rsidRPr="00A020B0">
              <w:rPr>
                <w:rFonts w:ascii="Times New Roman" w:hAnsi="Times New Roman" w:cs="Times New Roman"/>
                <w:sz w:val="20"/>
                <w:szCs w:val="20"/>
              </w:rPr>
              <w:t>of</w:t>
            </w:r>
          </w:p>
          <w:p w14:paraId="51AAD783" w14:textId="4D19D0AC" w:rsidR="000F1BBB" w:rsidRPr="007A7D48" w:rsidRDefault="00A020B0" w:rsidP="007A7D48">
            <w:pPr>
              <w:autoSpaceDE w:val="0"/>
              <w:autoSpaceDN w:val="0"/>
              <w:adjustRightInd w:val="0"/>
              <w:spacing w:after="0" w:line="240" w:lineRule="auto"/>
              <w:rPr>
                <w:rFonts w:ascii="Times New Roman" w:hAnsi="Times New Roman" w:cs="Times New Roman"/>
                <w:sz w:val="20"/>
                <w:szCs w:val="20"/>
              </w:rPr>
            </w:pPr>
            <w:r w:rsidRPr="00A020B0">
              <w:rPr>
                <w:rFonts w:ascii="Times New Roman" w:hAnsi="Times New Roman" w:cs="Times New Roman"/>
                <w:sz w:val="20"/>
                <w:szCs w:val="20"/>
              </w:rPr>
              <w:t>sheep</w:t>
            </w:r>
          </w:p>
        </w:tc>
        <w:tc>
          <w:tcPr>
            <w:tcW w:w="2320" w:type="dxa"/>
          </w:tcPr>
          <w:p w14:paraId="221AA006" w14:textId="1C61625C" w:rsidR="000F1BBB" w:rsidRPr="007A7D48" w:rsidRDefault="00A020B0"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lang w:val="en-GB"/>
              </w:rPr>
              <w:t>Insulation</w:t>
            </w:r>
            <w:r w:rsidRPr="007A7D48">
              <w:rPr>
                <w:rFonts w:ascii="Times New Roman" w:hAnsi="Times New Roman" w:cs="Times New Roman"/>
                <w:sz w:val="20"/>
                <w:szCs w:val="20"/>
                <w:lang w:val="en-GB"/>
              </w:rPr>
              <w:t xml:space="preserve"> </w:t>
            </w:r>
            <w:r w:rsidRPr="007A7D48">
              <w:rPr>
                <w:rFonts w:ascii="Times New Roman" w:hAnsi="Times New Roman" w:cs="Times New Roman"/>
                <w:sz w:val="20"/>
                <w:szCs w:val="20"/>
                <w:lang w:val="en-GB"/>
              </w:rPr>
              <w:t>capacities</w:t>
            </w:r>
            <w:r w:rsidRPr="007A7D48">
              <w:rPr>
                <w:rFonts w:ascii="Times New Roman" w:hAnsi="Times New Roman" w:cs="Times New Roman"/>
                <w:sz w:val="20"/>
                <w:szCs w:val="20"/>
                <w:lang w:val="en-GB"/>
              </w:rPr>
              <w:t xml:space="preserve"> </w:t>
            </w:r>
            <w:r w:rsidRPr="007A7D48">
              <w:rPr>
                <w:rFonts w:ascii="Times New Roman" w:hAnsi="Times New Roman" w:cs="Times New Roman"/>
                <w:sz w:val="20"/>
                <w:szCs w:val="20"/>
                <w:lang w:val="en-GB"/>
              </w:rPr>
              <w:t>and excellent energy saver</w:t>
            </w:r>
          </w:p>
        </w:tc>
        <w:tc>
          <w:tcPr>
            <w:tcW w:w="1701" w:type="dxa"/>
          </w:tcPr>
          <w:p w14:paraId="7279BB14" w14:textId="459D28AB" w:rsidR="000F1BBB" w:rsidRPr="007A7D48" w:rsidRDefault="00A020B0" w:rsidP="007A7D48">
            <w:pPr>
              <w:autoSpaceDE w:val="0"/>
              <w:autoSpaceDN w:val="0"/>
              <w:adjustRightInd w:val="0"/>
              <w:spacing w:after="0" w:line="240" w:lineRule="auto"/>
              <w:rPr>
                <w:rFonts w:ascii="Times New Roman" w:hAnsi="Times New Roman" w:cs="Times New Roman"/>
                <w:sz w:val="20"/>
                <w:szCs w:val="20"/>
              </w:rPr>
            </w:pPr>
            <w:r w:rsidRPr="00A020B0">
              <w:rPr>
                <w:rFonts w:ascii="Times New Roman" w:hAnsi="Times New Roman" w:cs="Times New Roman"/>
                <w:sz w:val="20"/>
                <w:szCs w:val="20"/>
              </w:rPr>
              <w:t>Walling</w:t>
            </w:r>
            <w:r w:rsidRPr="00A020B0">
              <w:rPr>
                <w:rFonts w:ascii="Times New Roman" w:hAnsi="Times New Roman" w:cs="Times New Roman"/>
                <w:sz w:val="20"/>
                <w:szCs w:val="20"/>
              </w:rPr>
              <w:tab/>
              <w:t>and ceiling</w:t>
            </w:r>
          </w:p>
        </w:tc>
        <w:tc>
          <w:tcPr>
            <w:tcW w:w="1510" w:type="dxa"/>
          </w:tcPr>
          <w:p w14:paraId="608E0D8B" w14:textId="77777777" w:rsidR="00A020B0" w:rsidRPr="00A020B0" w:rsidRDefault="00A020B0" w:rsidP="007A7D48">
            <w:pPr>
              <w:autoSpaceDE w:val="0"/>
              <w:autoSpaceDN w:val="0"/>
              <w:adjustRightInd w:val="0"/>
              <w:spacing w:after="0" w:line="240" w:lineRule="auto"/>
              <w:rPr>
                <w:rFonts w:ascii="Times New Roman" w:hAnsi="Times New Roman" w:cs="Times New Roman"/>
                <w:sz w:val="20"/>
                <w:szCs w:val="20"/>
              </w:rPr>
            </w:pPr>
            <w:r w:rsidRPr="00A020B0">
              <w:rPr>
                <w:rFonts w:ascii="Times New Roman" w:hAnsi="Times New Roman" w:cs="Times New Roman"/>
                <w:sz w:val="20"/>
                <w:szCs w:val="20"/>
              </w:rPr>
              <w:t>Thorsby</w:t>
            </w:r>
            <w:r w:rsidRPr="00A020B0">
              <w:rPr>
                <w:rFonts w:ascii="Times New Roman" w:hAnsi="Times New Roman" w:cs="Times New Roman"/>
                <w:sz w:val="20"/>
                <w:szCs w:val="20"/>
              </w:rPr>
              <w:tab/>
              <w:t>(2019);</w:t>
            </w:r>
          </w:p>
          <w:p w14:paraId="44AA769F" w14:textId="5CF10A6D" w:rsidR="00A020B0" w:rsidRPr="00A020B0" w:rsidRDefault="00A020B0" w:rsidP="007A7D48">
            <w:pPr>
              <w:autoSpaceDE w:val="0"/>
              <w:autoSpaceDN w:val="0"/>
              <w:adjustRightInd w:val="0"/>
              <w:spacing w:after="0" w:line="240" w:lineRule="auto"/>
              <w:rPr>
                <w:rFonts w:ascii="Times New Roman" w:hAnsi="Times New Roman" w:cs="Times New Roman"/>
                <w:sz w:val="20"/>
                <w:szCs w:val="20"/>
              </w:rPr>
            </w:pPr>
            <w:r w:rsidRPr="00A020B0">
              <w:rPr>
                <w:rFonts w:ascii="Times New Roman" w:hAnsi="Times New Roman" w:cs="Times New Roman"/>
                <w:sz w:val="20"/>
                <w:szCs w:val="20"/>
              </w:rPr>
              <w:t>Barbulianno</w:t>
            </w:r>
            <w:r w:rsidRPr="007A7D48">
              <w:rPr>
                <w:rFonts w:ascii="Times New Roman" w:hAnsi="Times New Roman" w:cs="Times New Roman"/>
                <w:sz w:val="20"/>
                <w:szCs w:val="20"/>
              </w:rPr>
              <w:t xml:space="preserve"> </w:t>
            </w:r>
            <w:r w:rsidRPr="00A020B0">
              <w:rPr>
                <w:rFonts w:ascii="Times New Roman" w:hAnsi="Times New Roman" w:cs="Times New Roman"/>
                <w:sz w:val="20"/>
                <w:szCs w:val="20"/>
              </w:rPr>
              <w:t>(2020)</w:t>
            </w:r>
          </w:p>
          <w:p w14:paraId="430AD13F" w14:textId="77777777"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p>
        </w:tc>
      </w:tr>
      <w:tr w:rsidR="009905AA" w:rsidRPr="007A7D48" w14:paraId="5CA7FF8D" w14:textId="77777777" w:rsidTr="0002104B">
        <w:trPr>
          <w:jc w:val="center"/>
        </w:trPr>
        <w:tc>
          <w:tcPr>
            <w:tcW w:w="704" w:type="dxa"/>
          </w:tcPr>
          <w:p w14:paraId="4FBDEF9B" w14:textId="77777777" w:rsidR="000F1BBB" w:rsidRPr="009905AA" w:rsidRDefault="000F1BBB" w:rsidP="009905AA">
            <w:pPr>
              <w:pStyle w:val="ListParagraph"/>
              <w:numPr>
                <w:ilvl w:val="0"/>
                <w:numId w:val="34"/>
              </w:numPr>
              <w:autoSpaceDE w:val="0"/>
              <w:autoSpaceDN w:val="0"/>
              <w:adjustRightInd w:val="0"/>
              <w:spacing w:after="0" w:line="240" w:lineRule="auto"/>
              <w:rPr>
                <w:rFonts w:ascii="Times New Roman" w:hAnsi="Times New Roman"/>
                <w:sz w:val="20"/>
                <w:szCs w:val="20"/>
              </w:rPr>
            </w:pPr>
          </w:p>
        </w:tc>
        <w:tc>
          <w:tcPr>
            <w:tcW w:w="1558" w:type="dxa"/>
          </w:tcPr>
          <w:p w14:paraId="18FFD3E0" w14:textId="77777777" w:rsidR="007C330F" w:rsidRPr="007A7D48" w:rsidRDefault="007C330F"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Rammed</w:t>
            </w:r>
          </w:p>
          <w:p w14:paraId="449DDEC1" w14:textId="2970016F" w:rsidR="000F1BBB" w:rsidRPr="007A7D48" w:rsidRDefault="007C330F"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earth</w:t>
            </w:r>
          </w:p>
        </w:tc>
        <w:tc>
          <w:tcPr>
            <w:tcW w:w="1558" w:type="dxa"/>
          </w:tcPr>
          <w:p w14:paraId="7983B0BD" w14:textId="77777777" w:rsidR="007C330F" w:rsidRPr="007A7D48" w:rsidRDefault="007C330F"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Earthen</w:t>
            </w:r>
          </w:p>
          <w:p w14:paraId="77777CF5" w14:textId="4C204077" w:rsidR="000F1BBB" w:rsidRPr="007A7D48" w:rsidRDefault="007C330F"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constituents</w:t>
            </w:r>
          </w:p>
        </w:tc>
        <w:tc>
          <w:tcPr>
            <w:tcW w:w="2320" w:type="dxa"/>
          </w:tcPr>
          <w:p w14:paraId="3BEEDF41" w14:textId="1116DFD9" w:rsidR="007C330F" w:rsidRPr="007A7D48" w:rsidRDefault="007C330F"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Energy saving, non-toxic,</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fire-</w:t>
            </w:r>
          </w:p>
          <w:p w14:paraId="3E01C3F5" w14:textId="55F79A87" w:rsidR="000F1BBB" w:rsidRPr="007A7D48" w:rsidRDefault="007C330F"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resistant and durable</w:t>
            </w:r>
            <w:r w:rsidRPr="007A7D48">
              <w:rPr>
                <w:rFonts w:ascii="Times New Roman" w:hAnsi="Times New Roman" w:cs="Times New Roman"/>
                <w:sz w:val="20"/>
                <w:szCs w:val="20"/>
              </w:rPr>
              <w:tab/>
            </w:r>
          </w:p>
        </w:tc>
        <w:tc>
          <w:tcPr>
            <w:tcW w:w="1701" w:type="dxa"/>
          </w:tcPr>
          <w:p w14:paraId="64C758B5" w14:textId="15BE11C3" w:rsidR="000F1BBB" w:rsidRPr="007A7D48" w:rsidRDefault="007C330F"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Walling and tiling</w:t>
            </w:r>
          </w:p>
        </w:tc>
        <w:tc>
          <w:tcPr>
            <w:tcW w:w="1510" w:type="dxa"/>
          </w:tcPr>
          <w:p w14:paraId="4EA2F544" w14:textId="6D448EE6" w:rsidR="000F1BBB" w:rsidRPr="007A7D48" w:rsidRDefault="007C330F"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Peckenham</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(2016);</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Brown</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(2018);</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Thorsby (2019)</w:t>
            </w:r>
          </w:p>
        </w:tc>
      </w:tr>
      <w:tr w:rsidR="009905AA" w:rsidRPr="007A7D48" w14:paraId="6E02B0ED" w14:textId="77777777" w:rsidTr="0002104B">
        <w:trPr>
          <w:jc w:val="center"/>
        </w:trPr>
        <w:tc>
          <w:tcPr>
            <w:tcW w:w="704" w:type="dxa"/>
          </w:tcPr>
          <w:p w14:paraId="3403B9DC" w14:textId="77777777" w:rsidR="000F1BBB" w:rsidRPr="009905AA" w:rsidRDefault="000F1BBB" w:rsidP="009905AA">
            <w:pPr>
              <w:pStyle w:val="ListParagraph"/>
              <w:numPr>
                <w:ilvl w:val="0"/>
                <w:numId w:val="34"/>
              </w:numPr>
              <w:autoSpaceDE w:val="0"/>
              <w:autoSpaceDN w:val="0"/>
              <w:adjustRightInd w:val="0"/>
              <w:spacing w:after="0" w:line="240" w:lineRule="auto"/>
              <w:rPr>
                <w:rFonts w:ascii="Times New Roman" w:hAnsi="Times New Roman"/>
                <w:sz w:val="20"/>
                <w:szCs w:val="20"/>
              </w:rPr>
            </w:pPr>
          </w:p>
        </w:tc>
        <w:tc>
          <w:tcPr>
            <w:tcW w:w="1558" w:type="dxa"/>
          </w:tcPr>
          <w:p w14:paraId="0DFE0D82" w14:textId="11FA1C4B" w:rsidR="000F1BBB" w:rsidRPr="007A7D48" w:rsidRDefault="00F92397"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lang w:val="en-GB"/>
              </w:rPr>
              <w:t>Hempcrete</w:t>
            </w:r>
          </w:p>
        </w:tc>
        <w:tc>
          <w:tcPr>
            <w:tcW w:w="1558" w:type="dxa"/>
          </w:tcPr>
          <w:p w14:paraId="271BC81F" w14:textId="10DCBCF1" w:rsidR="00F92397" w:rsidRPr="00F92397" w:rsidRDefault="00F92397" w:rsidP="007A7D48">
            <w:pPr>
              <w:autoSpaceDE w:val="0"/>
              <w:autoSpaceDN w:val="0"/>
              <w:adjustRightInd w:val="0"/>
              <w:spacing w:after="0" w:line="240" w:lineRule="auto"/>
              <w:rPr>
                <w:rFonts w:ascii="Times New Roman" w:hAnsi="Times New Roman" w:cs="Times New Roman"/>
                <w:sz w:val="20"/>
                <w:szCs w:val="20"/>
              </w:rPr>
            </w:pPr>
            <w:r w:rsidRPr="00F92397">
              <w:rPr>
                <w:rFonts w:ascii="Times New Roman" w:hAnsi="Times New Roman" w:cs="Times New Roman"/>
                <w:sz w:val="20"/>
                <w:szCs w:val="20"/>
              </w:rPr>
              <w:t>The</w:t>
            </w:r>
            <w:r w:rsidRPr="007A7D48">
              <w:rPr>
                <w:rFonts w:ascii="Times New Roman" w:hAnsi="Times New Roman" w:cs="Times New Roman"/>
                <w:sz w:val="20"/>
                <w:szCs w:val="20"/>
              </w:rPr>
              <w:t xml:space="preserve"> </w:t>
            </w:r>
            <w:r w:rsidRPr="00F92397">
              <w:rPr>
                <w:rFonts w:ascii="Times New Roman" w:hAnsi="Times New Roman" w:cs="Times New Roman"/>
                <w:sz w:val="20"/>
                <w:szCs w:val="20"/>
              </w:rPr>
              <w:t>woody</w:t>
            </w:r>
          </w:p>
          <w:p w14:paraId="6FD90B86" w14:textId="316D186B" w:rsidR="00F92397" w:rsidRPr="00F92397" w:rsidRDefault="00F92397" w:rsidP="007A7D48">
            <w:pPr>
              <w:autoSpaceDE w:val="0"/>
              <w:autoSpaceDN w:val="0"/>
              <w:adjustRightInd w:val="0"/>
              <w:spacing w:after="0" w:line="240" w:lineRule="auto"/>
              <w:rPr>
                <w:rFonts w:ascii="Times New Roman" w:hAnsi="Times New Roman" w:cs="Times New Roman"/>
                <w:sz w:val="20"/>
                <w:szCs w:val="20"/>
              </w:rPr>
            </w:pPr>
            <w:r w:rsidRPr="00F92397">
              <w:rPr>
                <w:rFonts w:ascii="Times New Roman" w:hAnsi="Times New Roman" w:cs="Times New Roman"/>
                <w:sz w:val="20"/>
                <w:szCs w:val="20"/>
              </w:rPr>
              <w:t>core of the</w:t>
            </w:r>
            <w:r w:rsidRPr="007A7D48">
              <w:rPr>
                <w:rFonts w:ascii="Times New Roman" w:hAnsi="Times New Roman" w:cs="Times New Roman"/>
                <w:sz w:val="20"/>
                <w:szCs w:val="20"/>
              </w:rPr>
              <w:t xml:space="preserve"> </w:t>
            </w:r>
            <w:r w:rsidRPr="00F92397">
              <w:rPr>
                <w:rFonts w:ascii="Times New Roman" w:hAnsi="Times New Roman" w:cs="Times New Roman"/>
                <w:sz w:val="20"/>
                <w:szCs w:val="20"/>
              </w:rPr>
              <w:t>industrial hemp plant</w:t>
            </w:r>
          </w:p>
          <w:p w14:paraId="6658ECDF" w14:textId="77777777" w:rsidR="000F1BBB" w:rsidRPr="007A7D48" w:rsidRDefault="000F1BBB" w:rsidP="007A7D48">
            <w:pPr>
              <w:autoSpaceDE w:val="0"/>
              <w:autoSpaceDN w:val="0"/>
              <w:adjustRightInd w:val="0"/>
              <w:spacing w:after="0" w:line="240" w:lineRule="auto"/>
              <w:rPr>
                <w:rFonts w:ascii="Times New Roman" w:hAnsi="Times New Roman" w:cs="Times New Roman"/>
                <w:sz w:val="20"/>
                <w:szCs w:val="20"/>
              </w:rPr>
            </w:pPr>
          </w:p>
        </w:tc>
        <w:tc>
          <w:tcPr>
            <w:tcW w:w="2320" w:type="dxa"/>
          </w:tcPr>
          <w:p w14:paraId="7C840D23" w14:textId="4F4E7144" w:rsidR="000F1BBB" w:rsidRPr="007A7D48" w:rsidRDefault="00F92397"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Thermal, acoustic, and fire resistant, compressive strength of 22.8MPa and tensile strength of 8.9MPa. CO2 negative</w:t>
            </w:r>
          </w:p>
        </w:tc>
        <w:tc>
          <w:tcPr>
            <w:tcW w:w="1701" w:type="dxa"/>
          </w:tcPr>
          <w:p w14:paraId="70F8E7A8" w14:textId="758BDF04" w:rsidR="000F1BBB" w:rsidRPr="007A7D48" w:rsidRDefault="00F92397"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Walling</w:t>
            </w:r>
          </w:p>
        </w:tc>
        <w:tc>
          <w:tcPr>
            <w:tcW w:w="1510" w:type="dxa"/>
          </w:tcPr>
          <w:p w14:paraId="17DC0042" w14:textId="3964A8A4" w:rsidR="000F1BBB" w:rsidRPr="007A7D48" w:rsidRDefault="00F92397"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Peckenham</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(2016)</w:t>
            </w:r>
            <w:r w:rsidR="002C342A" w:rsidRPr="007A7D48">
              <w:rPr>
                <w:rFonts w:ascii="Times New Roman" w:hAnsi="Times New Roman" w:cs="Times New Roman"/>
                <w:sz w:val="20"/>
                <w:szCs w:val="20"/>
              </w:rPr>
              <w:t xml:space="preserve">, </w:t>
            </w:r>
            <w:r w:rsidRPr="007A7D48">
              <w:rPr>
                <w:rFonts w:ascii="Times New Roman" w:hAnsi="Times New Roman" w:cs="Times New Roman"/>
                <w:sz w:val="20"/>
                <w:szCs w:val="20"/>
              </w:rPr>
              <w:t>Thorsby</w:t>
            </w:r>
            <w:r w:rsidR="002C342A" w:rsidRPr="007A7D48">
              <w:rPr>
                <w:rFonts w:ascii="Times New Roman" w:hAnsi="Times New Roman" w:cs="Times New Roman"/>
                <w:sz w:val="20"/>
                <w:szCs w:val="20"/>
              </w:rPr>
              <w:t xml:space="preserve"> </w:t>
            </w:r>
            <w:r w:rsidRPr="007A7D48">
              <w:rPr>
                <w:rFonts w:ascii="Times New Roman" w:hAnsi="Times New Roman" w:cs="Times New Roman"/>
                <w:sz w:val="20"/>
                <w:szCs w:val="20"/>
              </w:rPr>
              <w:t>(2019);</w:t>
            </w:r>
            <w:r w:rsidR="002C342A" w:rsidRPr="007A7D48">
              <w:rPr>
                <w:rFonts w:ascii="Times New Roman" w:hAnsi="Times New Roman" w:cs="Times New Roman"/>
                <w:sz w:val="20"/>
                <w:szCs w:val="20"/>
              </w:rPr>
              <w:t xml:space="preserve"> </w:t>
            </w:r>
            <w:r w:rsidRPr="007A7D48">
              <w:rPr>
                <w:rFonts w:ascii="Times New Roman" w:hAnsi="Times New Roman" w:cs="Times New Roman"/>
                <w:sz w:val="20"/>
                <w:szCs w:val="20"/>
              </w:rPr>
              <w:t>Barbulianno (2020)</w:t>
            </w:r>
            <w:r w:rsidR="002C342A" w:rsidRPr="007A7D48">
              <w:rPr>
                <w:rFonts w:ascii="Times New Roman" w:hAnsi="Times New Roman" w:cs="Times New Roman"/>
                <w:sz w:val="20"/>
                <w:szCs w:val="20"/>
              </w:rPr>
              <w:t xml:space="preserve"> </w:t>
            </w:r>
            <w:r w:rsidRPr="007A7D48">
              <w:rPr>
                <w:rFonts w:ascii="Times New Roman" w:hAnsi="Times New Roman" w:cs="Times New Roman"/>
                <w:sz w:val="20"/>
                <w:szCs w:val="20"/>
              </w:rPr>
              <w:t>Abera (2024)</w:t>
            </w:r>
          </w:p>
        </w:tc>
      </w:tr>
      <w:tr w:rsidR="009905AA" w:rsidRPr="007A7D48" w14:paraId="43226CF5" w14:textId="77777777" w:rsidTr="0002104B">
        <w:trPr>
          <w:jc w:val="center"/>
        </w:trPr>
        <w:tc>
          <w:tcPr>
            <w:tcW w:w="704" w:type="dxa"/>
          </w:tcPr>
          <w:p w14:paraId="784A62D7" w14:textId="77777777" w:rsidR="000F1BBB" w:rsidRPr="009905AA" w:rsidRDefault="000F1BBB" w:rsidP="009905AA">
            <w:pPr>
              <w:pStyle w:val="ListParagraph"/>
              <w:numPr>
                <w:ilvl w:val="0"/>
                <w:numId w:val="34"/>
              </w:numPr>
              <w:autoSpaceDE w:val="0"/>
              <w:autoSpaceDN w:val="0"/>
              <w:adjustRightInd w:val="0"/>
              <w:spacing w:after="0" w:line="240" w:lineRule="auto"/>
              <w:rPr>
                <w:rFonts w:ascii="Times New Roman" w:hAnsi="Times New Roman"/>
                <w:sz w:val="20"/>
                <w:szCs w:val="20"/>
              </w:rPr>
            </w:pPr>
          </w:p>
        </w:tc>
        <w:tc>
          <w:tcPr>
            <w:tcW w:w="1558" w:type="dxa"/>
          </w:tcPr>
          <w:p w14:paraId="58BEBDED" w14:textId="58D998DA" w:rsidR="000F1BBB" w:rsidRPr="007A7D48" w:rsidRDefault="0093036C"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Mycelium</w:t>
            </w:r>
          </w:p>
        </w:tc>
        <w:tc>
          <w:tcPr>
            <w:tcW w:w="1558" w:type="dxa"/>
          </w:tcPr>
          <w:p w14:paraId="4DFA8B7F" w14:textId="77777777" w:rsidR="0093036C" w:rsidRPr="007A7D48" w:rsidRDefault="0093036C"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Soil,</w:t>
            </w:r>
          </w:p>
          <w:p w14:paraId="1FC66CD1" w14:textId="77777777" w:rsidR="0093036C" w:rsidRPr="007A7D48" w:rsidRDefault="0093036C"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decaying matter, living</w:t>
            </w:r>
          </w:p>
          <w:p w14:paraId="288915A0" w14:textId="1A495410" w:rsidR="000F1BBB" w:rsidRPr="007A7D48" w:rsidRDefault="0093036C"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organisms</w:t>
            </w:r>
          </w:p>
        </w:tc>
        <w:tc>
          <w:tcPr>
            <w:tcW w:w="2320" w:type="dxa"/>
          </w:tcPr>
          <w:p w14:paraId="2E0F5D83" w14:textId="75CCB420" w:rsidR="000F1BBB" w:rsidRPr="007A7D48" w:rsidRDefault="0093036C"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Water, mould and fire resistant</w:t>
            </w:r>
          </w:p>
        </w:tc>
        <w:tc>
          <w:tcPr>
            <w:tcW w:w="1701" w:type="dxa"/>
          </w:tcPr>
          <w:p w14:paraId="1E8341E2" w14:textId="525DAE21" w:rsidR="000F1BBB" w:rsidRPr="007A7D48" w:rsidRDefault="0093036C"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Door cores flooring</w:t>
            </w:r>
            <w:r w:rsidRPr="007A7D48">
              <w:rPr>
                <w:rFonts w:ascii="Times New Roman" w:hAnsi="Times New Roman" w:cs="Times New Roman"/>
                <w:sz w:val="20"/>
                <w:szCs w:val="20"/>
              </w:rPr>
              <w:tab/>
              <w:t>and</w:t>
            </w:r>
          </w:p>
        </w:tc>
        <w:tc>
          <w:tcPr>
            <w:tcW w:w="1510" w:type="dxa"/>
          </w:tcPr>
          <w:p w14:paraId="78568A1C" w14:textId="77777777" w:rsidR="0093036C" w:rsidRPr="007A7D48" w:rsidRDefault="0093036C"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Peckenham</w:t>
            </w:r>
          </w:p>
          <w:p w14:paraId="5321FE0D" w14:textId="1456E162" w:rsidR="0093036C" w:rsidRPr="007A7D48" w:rsidRDefault="0093036C"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Brown Thorsby</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(2016);</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(2018);</w:t>
            </w:r>
          </w:p>
          <w:p w14:paraId="2C834608" w14:textId="32601C8E" w:rsidR="000F1BBB" w:rsidRPr="007A7D48" w:rsidRDefault="0093036C"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(2019);Barbulianno (2020)</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Oluwunmi (2023)</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Umrzeruke (2023)</w:t>
            </w:r>
          </w:p>
        </w:tc>
      </w:tr>
      <w:tr w:rsidR="009905AA" w:rsidRPr="007A7D48" w14:paraId="02E0E63A" w14:textId="77777777" w:rsidTr="0002104B">
        <w:trPr>
          <w:jc w:val="center"/>
        </w:trPr>
        <w:tc>
          <w:tcPr>
            <w:tcW w:w="704" w:type="dxa"/>
            <w:tcBorders>
              <w:bottom w:val="nil"/>
            </w:tcBorders>
          </w:tcPr>
          <w:p w14:paraId="1ABADADB" w14:textId="77777777" w:rsidR="000F1BBB" w:rsidRPr="009905AA" w:rsidRDefault="000F1BBB" w:rsidP="009905AA">
            <w:pPr>
              <w:pStyle w:val="ListParagraph"/>
              <w:numPr>
                <w:ilvl w:val="0"/>
                <w:numId w:val="34"/>
              </w:numPr>
              <w:autoSpaceDE w:val="0"/>
              <w:autoSpaceDN w:val="0"/>
              <w:adjustRightInd w:val="0"/>
              <w:spacing w:after="0" w:line="240" w:lineRule="auto"/>
              <w:rPr>
                <w:rFonts w:ascii="Times New Roman" w:hAnsi="Times New Roman"/>
                <w:sz w:val="20"/>
                <w:szCs w:val="20"/>
              </w:rPr>
            </w:pPr>
          </w:p>
        </w:tc>
        <w:tc>
          <w:tcPr>
            <w:tcW w:w="1558" w:type="dxa"/>
            <w:tcBorders>
              <w:bottom w:val="nil"/>
            </w:tcBorders>
          </w:tcPr>
          <w:p w14:paraId="0D6AD3F6" w14:textId="12BDCBD3" w:rsidR="000F1BBB" w:rsidRPr="007A7D48" w:rsidRDefault="00045FC7"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lang w:val="en-GB"/>
              </w:rPr>
              <w:t>Timbercrete</w:t>
            </w:r>
          </w:p>
        </w:tc>
        <w:tc>
          <w:tcPr>
            <w:tcW w:w="1558" w:type="dxa"/>
            <w:tcBorders>
              <w:bottom w:val="nil"/>
            </w:tcBorders>
          </w:tcPr>
          <w:p w14:paraId="51403EAA" w14:textId="77777777" w:rsidR="00045FC7" w:rsidRPr="007A7D48" w:rsidRDefault="00045FC7"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Sawdust, cement, sand</w:t>
            </w:r>
          </w:p>
          <w:p w14:paraId="56523405" w14:textId="28B0EA4F" w:rsidR="000F1BBB" w:rsidRPr="007A7D48" w:rsidRDefault="00045FC7"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and water</w:t>
            </w:r>
          </w:p>
        </w:tc>
        <w:tc>
          <w:tcPr>
            <w:tcW w:w="2320" w:type="dxa"/>
            <w:tcBorders>
              <w:bottom w:val="nil"/>
            </w:tcBorders>
          </w:tcPr>
          <w:p w14:paraId="4790C584" w14:textId="3A811399" w:rsidR="00045FC7" w:rsidRPr="007A7D48" w:rsidRDefault="00045FC7"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Eco-friendly,</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alternative conventional</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concrete,</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to fire-</w:t>
            </w:r>
          </w:p>
          <w:p w14:paraId="2AA291BD" w14:textId="17F63C63" w:rsidR="000F1BBB" w:rsidRPr="007A7D48" w:rsidRDefault="00045FC7"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resistant and durable</w:t>
            </w:r>
          </w:p>
        </w:tc>
        <w:tc>
          <w:tcPr>
            <w:tcW w:w="1701" w:type="dxa"/>
            <w:tcBorders>
              <w:bottom w:val="nil"/>
            </w:tcBorders>
          </w:tcPr>
          <w:p w14:paraId="39BDC50B" w14:textId="420951E2" w:rsidR="000F1BBB" w:rsidRPr="007A7D48" w:rsidRDefault="00045FC7"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 xml:space="preserve">Walling </w:t>
            </w:r>
          </w:p>
        </w:tc>
        <w:tc>
          <w:tcPr>
            <w:tcW w:w="1510" w:type="dxa"/>
            <w:tcBorders>
              <w:bottom w:val="nil"/>
            </w:tcBorders>
          </w:tcPr>
          <w:p w14:paraId="6DF332C0" w14:textId="77777777" w:rsidR="00045FC7" w:rsidRPr="007A7D48" w:rsidRDefault="00045FC7"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Peckenham (2016).</w:t>
            </w:r>
          </w:p>
          <w:p w14:paraId="25EED67B" w14:textId="59CFD403" w:rsidR="00045FC7" w:rsidRPr="007A7D48" w:rsidRDefault="00045FC7"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Thorsby</w:t>
            </w:r>
            <w:r w:rsidR="009905AA">
              <w:rPr>
                <w:rFonts w:ascii="Times New Roman" w:hAnsi="Times New Roman" w:cs="Times New Roman"/>
                <w:sz w:val="20"/>
                <w:szCs w:val="20"/>
              </w:rPr>
              <w:t xml:space="preserve"> </w:t>
            </w:r>
            <w:r w:rsidRPr="007A7D48">
              <w:rPr>
                <w:rFonts w:ascii="Times New Roman" w:hAnsi="Times New Roman" w:cs="Times New Roman"/>
                <w:sz w:val="20"/>
                <w:szCs w:val="20"/>
              </w:rPr>
              <w:t>(2019)</w:t>
            </w:r>
          </w:p>
          <w:p w14:paraId="56A6E15B" w14:textId="77777777" w:rsidR="00045FC7" w:rsidRPr="007A7D48" w:rsidRDefault="00045FC7"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Barbulianno (2020)</w:t>
            </w:r>
          </w:p>
          <w:p w14:paraId="403D187A" w14:textId="5B20547F" w:rsidR="000F1BBB" w:rsidRPr="007A7D48" w:rsidRDefault="00045FC7"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Cemex, 2025</w:t>
            </w:r>
          </w:p>
        </w:tc>
      </w:tr>
      <w:tr w:rsidR="009905AA" w:rsidRPr="007A7D48" w14:paraId="73E772FC" w14:textId="77777777" w:rsidTr="0002104B">
        <w:trPr>
          <w:jc w:val="center"/>
        </w:trPr>
        <w:tc>
          <w:tcPr>
            <w:tcW w:w="704" w:type="dxa"/>
            <w:tcBorders>
              <w:top w:val="nil"/>
              <w:bottom w:val="nil"/>
            </w:tcBorders>
          </w:tcPr>
          <w:p w14:paraId="08ECF3C0" w14:textId="77777777" w:rsidR="000F1BBB" w:rsidRPr="009905AA" w:rsidRDefault="000F1BBB" w:rsidP="009905AA">
            <w:pPr>
              <w:pStyle w:val="ListParagraph"/>
              <w:numPr>
                <w:ilvl w:val="0"/>
                <w:numId w:val="34"/>
              </w:numPr>
              <w:autoSpaceDE w:val="0"/>
              <w:autoSpaceDN w:val="0"/>
              <w:adjustRightInd w:val="0"/>
              <w:spacing w:after="0" w:line="240" w:lineRule="auto"/>
              <w:rPr>
                <w:rFonts w:ascii="Times New Roman" w:hAnsi="Times New Roman"/>
                <w:sz w:val="20"/>
                <w:szCs w:val="20"/>
              </w:rPr>
            </w:pPr>
          </w:p>
        </w:tc>
        <w:tc>
          <w:tcPr>
            <w:tcW w:w="1558" w:type="dxa"/>
            <w:tcBorders>
              <w:top w:val="nil"/>
              <w:bottom w:val="nil"/>
            </w:tcBorders>
          </w:tcPr>
          <w:p w14:paraId="054FB478" w14:textId="06F262AF" w:rsidR="000F1BBB" w:rsidRPr="007A7D48" w:rsidRDefault="00742E86"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lang w:val="en-GB"/>
              </w:rPr>
              <w:t>Straw bales</w:t>
            </w:r>
          </w:p>
        </w:tc>
        <w:tc>
          <w:tcPr>
            <w:tcW w:w="1558" w:type="dxa"/>
            <w:tcBorders>
              <w:top w:val="nil"/>
              <w:bottom w:val="nil"/>
            </w:tcBorders>
          </w:tcPr>
          <w:p w14:paraId="5DCB0E0A" w14:textId="2AA40A75" w:rsidR="000F1BBB" w:rsidRPr="007A7D48" w:rsidRDefault="00742E86" w:rsidP="007A7D48">
            <w:pPr>
              <w:autoSpaceDE w:val="0"/>
              <w:autoSpaceDN w:val="0"/>
              <w:adjustRightInd w:val="0"/>
              <w:spacing w:after="0" w:line="240" w:lineRule="auto"/>
              <w:rPr>
                <w:rFonts w:ascii="Times New Roman" w:hAnsi="Times New Roman" w:cs="Times New Roman"/>
                <w:sz w:val="20"/>
                <w:szCs w:val="20"/>
              </w:rPr>
            </w:pPr>
            <w:r w:rsidRPr="00742E86">
              <w:rPr>
                <w:rFonts w:ascii="Times New Roman" w:hAnsi="Times New Roman" w:cs="Times New Roman"/>
                <w:sz w:val="20"/>
                <w:szCs w:val="20"/>
              </w:rPr>
              <w:t>Dry stalks of cereal crops of   wheat,</w:t>
            </w:r>
            <w:r w:rsidRPr="007A7D48">
              <w:rPr>
                <w:rFonts w:ascii="Times New Roman" w:hAnsi="Times New Roman" w:cs="Times New Roman"/>
                <w:sz w:val="20"/>
                <w:szCs w:val="20"/>
              </w:rPr>
              <w:t xml:space="preserve"> </w:t>
            </w:r>
            <w:r w:rsidRPr="007A7D48">
              <w:rPr>
                <w:rFonts w:ascii="Times New Roman" w:hAnsi="Times New Roman" w:cs="Times New Roman"/>
                <w:sz w:val="20"/>
                <w:szCs w:val="20"/>
                <w:lang w:val="en-GB"/>
              </w:rPr>
              <w:t>barley, oats, rice and</w:t>
            </w:r>
            <w:r w:rsidRPr="007A7D48">
              <w:rPr>
                <w:rFonts w:ascii="Times New Roman" w:hAnsi="Times New Roman" w:cs="Times New Roman"/>
                <w:sz w:val="20"/>
                <w:szCs w:val="20"/>
                <w:lang w:val="en-GB"/>
              </w:rPr>
              <w:t xml:space="preserve"> </w:t>
            </w:r>
            <w:r w:rsidRPr="007A7D48">
              <w:rPr>
                <w:rFonts w:ascii="Times New Roman" w:hAnsi="Times New Roman" w:cs="Times New Roman"/>
                <w:sz w:val="20"/>
                <w:szCs w:val="20"/>
                <w:lang w:val="en-GB"/>
              </w:rPr>
              <w:t>rye</w:t>
            </w:r>
          </w:p>
        </w:tc>
        <w:tc>
          <w:tcPr>
            <w:tcW w:w="2320" w:type="dxa"/>
            <w:tcBorders>
              <w:top w:val="nil"/>
              <w:bottom w:val="nil"/>
            </w:tcBorders>
          </w:tcPr>
          <w:p w14:paraId="51E677E4" w14:textId="3253ADF5" w:rsidR="000F1BBB" w:rsidRPr="007A7D48" w:rsidRDefault="00742E86"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Sustainable and cost-effective, reduces waste, natural insulation and energy saving</w:t>
            </w:r>
          </w:p>
        </w:tc>
        <w:tc>
          <w:tcPr>
            <w:tcW w:w="1701" w:type="dxa"/>
            <w:tcBorders>
              <w:top w:val="nil"/>
              <w:bottom w:val="nil"/>
            </w:tcBorders>
          </w:tcPr>
          <w:p w14:paraId="11924C1C" w14:textId="6B29D022" w:rsidR="000F1BBB" w:rsidRPr="007A7D48" w:rsidRDefault="00742E86"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 xml:space="preserve">Walling </w:t>
            </w:r>
            <w:r w:rsidRPr="007A7D48">
              <w:rPr>
                <w:rFonts w:ascii="Times New Roman" w:hAnsi="Times New Roman" w:cs="Times New Roman"/>
                <w:sz w:val="20"/>
                <w:szCs w:val="20"/>
              </w:rPr>
              <w:t xml:space="preserve">and </w:t>
            </w:r>
            <w:r w:rsidRPr="007A7D48">
              <w:rPr>
                <w:rFonts w:ascii="Times New Roman" w:hAnsi="Times New Roman" w:cs="Times New Roman"/>
                <w:sz w:val="20"/>
                <w:szCs w:val="20"/>
              </w:rPr>
              <w:t>ceiling</w:t>
            </w:r>
          </w:p>
        </w:tc>
        <w:tc>
          <w:tcPr>
            <w:tcW w:w="1510" w:type="dxa"/>
            <w:tcBorders>
              <w:top w:val="nil"/>
              <w:bottom w:val="nil"/>
            </w:tcBorders>
          </w:tcPr>
          <w:p w14:paraId="574A4FEC" w14:textId="6C24C9DB" w:rsidR="00742E86" w:rsidRPr="007A7D48" w:rsidRDefault="00742E86"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Peckenham (2016); Onyegiri</w:t>
            </w:r>
            <w:r w:rsidRPr="007A7D48">
              <w:rPr>
                <w:rFonts w:ascii="Times New Roman" w:hAnsi="Times New Roman" w:cs="Times New Roman"/>
                <w:sz w:val="20"/>
                <w:szCs w:val="20"/>
              </w:rPr>
              <w:tab/>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and</w:t>
            </w:r>
          </w:p>
          <w:p w14:paraId="58E8F390" w14:textId="50EB40E1" w:rsidR="00742E86" w:rsidRPr="007A7D48" w:rsidRDefault="00742E86"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Iwuagwu</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(2016).</w:t>
            </w:r>
          </w:p>
          <w:p w14:paraId="347E7F53" w14:textId="0FA07BDB" w:rsidR="000F1BBB" w:rsidRPr="007A7D48" w:rsidRDefault="00742E86"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Brown</w:t>
            </w:r>
            <w:r w:rsidRPr="007A7D48">
              <w:rPr>
                <w:rFonts w:ascii="Times New Roman" w:hAnsi="Times New Roman" w:cs="Times New Roman"/>
                <w:sz w:val="20"/>
                <w:szCs w:val="20"/>
              </w:rPr>
              <w:tab/>
              <w:t>(2018)</w:t>
            </w:r>
            <w:r w:rsidRPr="007A7D48">
              <w:rPr>
                <w:rFonts w:ascii="Times New Roman" w:hAnsi="Times New Roman" w:cs="Times New Roman"/>
                <w:sz w:val="20"/>
                <w:szCs w:val="20"/>
              </w:rPr>
              <w:lastRenderedPageBreak/>
              <w:t>;</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Thorsby</w:t>
            </w:r>
            <w:r w:rsidRPr="007A7D48">
              <w:rPr>
                <w:rFonts w:ascii="Times New Roman" w:hAnsi="Times New Roman" w:cs="Times New Roman"/>
                <w:sz w:val="20"/>
                <w:szCs w:val="20"/>
              </w:rPr>
              <w:tab/>
              <w:t>(2019);</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Barbulianno (2020) Ali</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et</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al.</w:t>
            </w:r>
            <w:r w:rsidRPr="007A7D48">
              <w:rPr>
                <w:rFonts w:ascii="Times New Roman" w:hAnsi="Times New Roman" w:cs="Times New Roman"/>
                <w:sz w:val="20"/>
                <w:szCs w:val="20"/>
              </w:rPr>
              <w:tab/>
              <w:t>(2020); Dordick (2022)</w:t>
            </w:r>
          </w:p>
        </w:tc>
      </w:tr>
      <w:tr w:rsidR="00742E86" w:rsidRPr="007A7D48" w14:paraId="1A654543" w14:textId="77777777" w:rsidTr="0002104B">
        <w:trPr>
          <w:jc w:val="center"/>
        </w:trPr>
        <w:tc>
          <w:tcPr>
            <w:tcW w:w="704" w:type="dxa"/>
            <w:tcBorders>
              <w:top w:val="nil"/>
            </w:tcBorders>
          </w:tcPr>
          <w:p w14:paraId="4A9C9232" w14:textId="77777777" w:rsidR="00742E86" w:rsidRPr="009905AA" w:rsidRDefault="00742E86" w:rsidP="009905AA">
            <w:pPr>
              <w:pStyle w:val="ListParagraph"/>
              <w:numPr>
                <w:ilvl w:val="0"/>
                <w:numId w:val="34"/>
              </w:numPr>
              <w:autoSpaceDE w:val="0"/>
              <w:autoSpaceDN w:val="0"/>
              <w:adjustRightInd w:val="0"/>
              <w:spacing w:after="0" w:line="240" w:lineRule="auto"/>
              <w:rPr>
                <w:rFonts w:ascii="Times New Roman" w:hAnsi="Times New Roman"/>
                <w:sz w:val="20"/>
                <w:szCs w:val="20"/>
              </w:rPr>
            </w:pPr>
          </w:p>
        </w:tc>
        <w:tc>
          <w:tcPr>
            <w:tcW w:w="1558" w:type="dxa"/>
            <w:tcBorders>
              <w:top w:val="nil"/>
            </w:tcBorders>
          </w:tcPr>
          <w:p w14:paraId="73A156B0" w14:textId="23ED6CFF" w:rsidR="00742E86" w:rsidRPr="007A7D48" w:rsidRDefault="00742E86"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Ferrock</w:t>
            </w:r>
          </w:p>
        </w:tc>
        <w:tc>
          <w:tcPr>
            <w:tcW w:w="1558" w:type="dxa"/>
            <w:tcBorders>
              <w:top w:val="nil"/>
            </w:tcBorders>
          </w:tcPr>
          <w:p w14:paraId="0F878591" w14:textId="7938C5CD" w:rsidR="00742E86" w:rsidRPr="007A7D48" w:rsidRDefault="00742E86"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Waste steel dust and silica from ground- up glass</w:t>
            </w:r>
          </w:p>
        </w:tc>
        <w:tc>
          <w:tcPr>
            <w:tcW w:w="2320" w:type="dxa"/>
            <w:tcBorders>
              <w:top w:val="nil"/>
            </w:tcBorders>
          </w:tcPr>
          <w:p w14:paraId="5D1BC73E" w14:textId="23C37908" w:rsidR="00742E86" w:rsidRPr="007A7D48" w:rsidRDefault="00742E86"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Well carbonated with low environmental impact, absorbs CO2 from the environment, and is eco-friendly.</w:t>
            </w:r>
          </w:p>
        </w:tc>
        <w:tc>
          <w:tcPr>
            <w:tcW w:w="1701" w:type="dxa"/>
            <w:tcBorders>
              <w:top w:val="nil"/>
            </w:tcBorders>
          </w:tcPr>
          <w:p w14:paraId="0DB77EE0" w14:textId="485DB93B" w:rsidR="00742E86" w:rsidRPr="007A7D48" w:rsidRDefault="00742E86"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Walling</w:t>
            </w:r>
            <w:r w:rsidRPr="007A7D48">
              <w:rPr>
                <w:rFonts w:ascii="Times New Roman" w:hAnsi="Times New Roman" w:cs="Times New Roman"/>
                <w:sz w:val="20"/>
                <w:szCs w:val="20"/>
              </w:rPr>
              <w:tab/>
              <w:t>and flooring</w:t>
            </w:r>
          </w:p>
        </w:tc>
        <w:tc>
          <w:tcPr>
            <w:tcW w:w="1510" w:type="dxa"/>
            <w:tcBorders>
              <w:top w:val="nil"/>
            </w:tcBorders>
          </w:tcPr>
          <w:p w14:paraId="4B648D22" w14:textId="34ED1901" w:rsidR="00742E86" w:rsidRPr="007A7D48" w:rsidRDefault="00742E86"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Peckenham</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(2016</w:t>
            </w:r>
            <w:r w:rsidRPr="007A7D48">
              <w:rPr>
                <w:rFonts w:ascii="Times New Roman" w:hAnsi="Times New Roman" w:cs="Times New Roman"/>
                <w:sz w:val="20"/>
                <w:szCs w:val="20"/>
              </w:rPr>
              <w:t xml:space="preserve">) </w:t>
            </w:r>
            <w:r w:rsidRPr="007A7D48">
              <w:rPr>
                <w:rFonts w:ascii="Times New Roman" w:hAnsi="Times New Roman" w:cs="Times New Roman"/>
                <w:sz w:val="20"/>
                <w:szCs w:val="20"/>
              </w:rPr>
              <w:t>Brown</w:t>
            </w:r>
            <w:r w:rsidR="009905AA">
              <w:rPr>
                <w:rFonts w:ascii="Times New Roman" w:hAnsi="Times New Roman" w:cs="Times New Roman"/>
                <w:sz w:val="20"/>
                <w:szCs w:val="20"/>
              </w:rPr>
              <w:t xml:space="preserve"> </w:t>
            </w:r>
            <w:r w:rsidRPr="007A7D48">
              <w:rPr>
                <w:rFonts w:ascii="Times New Roman" w:hAnsi="Times New Roman" w:cs="Times New Roman"/>
                <w:sz w:val="20"/>
                <w:szCs w:val="20"/>
              </w:rPr>
              <w:t>(2018)</w:t>
            </w:r>
          </w:p>
          <w:p w14:paraId="6B872FFC" w14:textId="16CF9753" w:rsidR="00742E86" w:rsidRPr="007A7D48" w:rsidRDefault="00742E86"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Thorsby</w:t>
            </w:r>
            <w:r w:rsidR="009905AA">
              <w:rPr>
                <w:rFonts w:ascii="Times New Roman" w:hAnsi="Times New Roman" w:cs="Times New Roman"/>
                <w:sz w:val="20"/>
                <w:szCs w:val="20"/>
              </w:rPr>
              <w:t xml:space="preserve"> </w:t>
            </w:r>
            <w:r w:rsidRPr="007A7D48">
              <w:rPr>
                <w:rFonts w:ascii="Times New Roman" w:hAnsi="Times New Roman" w:cs="Times New Roman"/>
                <w:sz w:val="20"/>
                <w:szCs w:val="20"/>
              </w:rPr>
              <w:t>(2019);</w:t>
            </w:r>
          </w:p>
          <w:p w14:paraId="3C48C032" w14:textId="77777777" w:rsidR="00742E86" w:rsidRPr="007A7D48" w:rsidRDefault="00742E86"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Barbulianno (2020)</w:t>
            </w:r>
          </w:p>
          <w:p w14:paraId="4E021C80" w14:textId="77777777" w:rsidR="00742E86" w:rsidRPr="007A7D48" w:rsidRDefault="00742E86"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Oluwunmi (2023)</w:t>
            </w:r>
          </w:p>
          <w:p w14:paraId="538B19B0" w14:textId="420C2847" w:rsidR="00742E86" w:rsidRPr="007A7D48" w:rsidRDefault="00742E86" w:rsidP="007A7D48">
            <w:pPr>
              <w:autoSpaceDE w:val="0"/>
              <w:autoSpaceDN w:val="0"/>
              <w:adjustRightInd w:val="0"/>
              <w:spacing w:after="0" w:line="240" w:lineRule="auto"/>
              <w:rPr>
                <w:rFonts w:ascii="Times New Roman" w:hAnsi="Times New Roman" w:cs="Times New Roman"/>
                <w:sz w:val="20"/>
                <w:szCs w:val="20"/>
              </w:rPr>
            </w:pPr>
            <w:r w:rsidRPr="007A7D48">
              <w:rPr>
                <w:rFonts w:ascii="Times New Roman" w:hAnsi="Times New Roman" w:cs="Times New Roman"/>
                <w:sz w:val="20"/>
                <w:szCs w:val="20"/>
              </w:rPr>
              <w:t>Umrzeruke (2023)</w:t>
            </w:r>
            <w:r w:rsidRPr="007A7D48">
              <w:rPr>
                <w:rFonts w:ascii="Times New Roman" w:hAnsi="Times New Roman" w:cs="Times New Roman"/>
                <w:sz w:val="20"/>
                <w:szCs w:val="20"/>
              </w:rPr>
              <w:t xml:space="preserve">  </w:t>
            </w:r>
          </w:p>
        </w:tc>
      </w:tr>
    </w:tbl>
    <w:p w14:paraId="40FA4B68" w14:textId="77777777" w:rsidR="00F03AC5" w:rsidRPr="00F03AC5" w:rsidRDefault="00F03AC5" w:rsidP="00F03AC5">
      <w:pPr>
        <w:autoSpaceDE w:val="0"/>
        <w:autoSpaceDN w:val="0"/>
        <w:adjustRightInd w:val="0"/>
        <w:spacing w:after="0" w:line="240" w:lineRule="auto"/>
        <w:rPr>
          <w:rFonts w:ascii="Times New Roman" w:hAnsi="Times New Roman" w:cs="Times New Roman"/>
          <w:sz w:val="24"/>
          <w:szCs w:val="24"/>
        </w:rPr>
      </w:pPr>
    </w:p>
    <w:p w14:paraId="5D2BB01E" w14:textId="77777777" w:rsidR="00F03AC5" w:rsidRPr="00F03AC5" w:rsidRDefault="00F03AC5" w:rsidP="009905AA">
      <w:pPr>
        <w:autoSpaceDE w:val="0"/>
        <w:autoSpaceDN w:val="0"/>
        <w:adjustRightInd w:val="0"/>
        <w:spacing w:after="0" w:line="240" w:lineRule="auto"/>
        <w:jc w:val="both"/>
        <w:rPr>
          <w:rFonts w:ascii="Times New Roman" w:hAnsi="Times New Roman" w:cs="Times New Roman"/>
          <w:sz w:val="24"/>
          <w:szCs w:val="24"/>
        </w:rPr>
      </w:pPr>
      <w:r w:rsidRPr="00F03AC5">
        <w:rPr>
          <w:rFonts w:ascii="Times New Roman" w:hAnsi="Times New Roman" w:cs="Times New Roman"/>
          <w:sz w:val="24"/>
          <w:szCs w:val="24"/>
        </w:rPr>
        <w:t>Table 2 identifies the various GBMs, their primary source, green properties and their various application to building construction. The green properties have been illustrated to define their various responsive characteristics towards reducing CO2 emissions in our environment, their compressive and tensile strengths in mitigating erosion and dead load in our buildings, their thermal insulation property in handling hot and dry zones of Nigeria and a healthy housing sector. Their applications have been identified to fit in the various building elements in walls, floors, ceilings, roofs and various furniture within the housing interior. Their green properties would be related to the various climatic conditions of the six geopolitical zones in Nigeria.</w:t>
      </w:r>
    </w:p>
    <w:p w14:paraId="09B3787B" w14:textId="77777777" w:rsidR="009905AA" w:rsidRDefault="009905AA" w:rsidP="00F03AC5">
      <w:pPr>
        <w:autoSpaceDE w:val="0"/>
        <w:autoSpaceDN w:val="0"/>
        <w:adjustRightInd w:val="0"/>
        <w:spacing w:after="0" w:line="240" w:lineRule="auto"/>
        <w:rPr>
          <w:rFonts w:ascii="Times New Roman" w:hAnsi="Times New Roman" w:cs="Times New Roman"/>
          <w:sz w:val="24"/>
          <w:szCs w:val="24"/>
        </w:rPr>
      </w:pPr>
    </w:p>
    <w:p w14:paraId="29EB9841" w14:textId="4F1E29D3" w:rsidR="00F03AC5" w:rsidRDefault="00F03AC5" w:rsidP="00C12A84">
      <w:pPr>
        <w:autoSpaceDE w:val="0"/>
        <w:autoSpaceDN w:val="0"/>
        <w:adjustRightInd w:val="0"/>
        <w:spacing w:after="0" w:line="240" w:lineRule="auto"/>
        <w:jc w:val="center"/>
        <w:rPr>
          <w:rFonts w:ascii="Times New Roman" w:hAnsi="Times New Roman" w:cs="Times New Roman"/>
          <w:sz w:val="24"/>
          <w:szCs w:val="24"/>
        </w:rPr>
      </w:pPr>
      <w:r w:rsidRPr="00C12A84">
        <w:rPr>
          <w:rFonts w:ascii="Times New Roman" w:hAnsi="Times New Roman" w:cs="Times New Roman"/>
          <w:b/>
          <w:bCs/>
          <w:sz w:val="24"/>
          <w:szCs w:val="24"/>
        </w:rPr>
        <w:t>Table 3</w:t>
      </w:r>
      <w:r w:rsidR="00C12A84">
        <w:rPr>
          <w:rFonts w:ascii="Times New Roman" w:hAnsi="Times New Roman" w:cs="Times New Roman"/>
          <w:b/>
          <w:bCs/>
          <w:sz w:val="24"/>
          <w:szCs w:val="24"/>
        </w:rPr>
        <w:t>:</w:t>
      </w:r>
      <w:r w:rsidRPr="00F03AC5">
        <w:rPr>
          <w:rFonts w:ascii="Times New Roman" w:hAnsi="Times New Roman" w:cs="Times New Roman"/>
          <w:sz w:val="24"/>
          <w:szCs w:val="24"/>
        </w:rPr>
        <w:t xml:space="preserve"> Adoptable GBMs in Six Geo-Political Zones in Nigeria</w:t>
      </w:r>
    </w:p>
    <w:tbl>
      <w:tblPr>
        <w:tblW w:w="9381" w:type="dxa"/>
        <w:jc w:val="center"/>
        <w:tblLayout w:type="fixed"/>
        <w:tblCellMar>
          <w:left w:w="0" w:type="dxa"/>
          <w:right w:w="0" w:type="dxa"/>
        </w:tblCellMar>
        <w:tblLook w:val="01E0" w:firstRow="1" w:lastRow="1" w:firstColumn="1" w:lastColumn="1" w:noHBand="0" w:noVBand="0"/>
      </w:tblPr>
      <w:tblGrid>
        <w:gridCol w:w="572"/>
        <w:gridCol w:w="1271"/>
        <w:gridCol w:w="3142"/>
        <w:gridCol w:w="4396"/>
      </w:tblGrid>
      <w:tr w:rsidR="00C12A84" w:rsidRPr="00C12A84" w14:paraId="5B0B401E" w14:textId="77777777" w:rsidTr="00C12A84">
        <w:trPr>
          <w:trHeight w:val="230"/>
          <w:jc w:val="center"/>
        </w:trPr>
        <w:tc>
          <w:tcPr>
            <w:tcW w:w="572" w:type="dxa"/>
            <w:tcBorders>
              <w:top w:val="single" w:sz="4" w:space="0" w:color="000000"/>
              <w:bottom w:val="single" w:sz="4" w:space="0" w:color="000000"/>
            </w:tcBorders>
          </w:tcPr>
          <w:p w14:paraId="01368464" w14:textId="77777777" w:rsidR="00C12A84" w:rsidRPr="00C12A84" w:rsidRDefault="00C12A84" w:rsidP="00C12A84">
            <w:pPr>
              <w:autoSpaceDE w:val="0"/>
              <w:autoSpaceDN w:val="0"/>
              <w:adjustRightInd w:val="0"/>
              <w:spacing w:after="0" w:line="240" w:lineRule="auto"/>
              <w:rPr>
                <w:rFonts w:ascii="Times New Roman" w:hAnsi="Times New Roman" w:cs="Times New Roman"/>
                <w:b/>
                <w:sz w:val="20"/>
                <w:szCs w:val="20"/>
                <w:lang w:val="en-US"/>
              </w:rPr>
            </w:pPr>
            <w:r w:rsidRPr="00C12A84">
              <w:rPr>
                <w:rFonts w:ascii="Times New Roman" w:hAnsi="Times New Roman" w:cs="Times New Roman"/>
                <w:b/>
                <w:sz w:val="20"/>
                <w:szCs w:val="20"/>
                <w:lang w:val="en-US"/>
              </w:rPr>
              <w:t>S/N</w:t>
            </w:r>
          </w:p>
        </w:tc>
        <w:tc>
          <w:tcPr>
            <w:tcW w:w="1271" w:type="dxa"/>
            <w:tcBorders>
              <w:top w:val="single" w:sz="4" w:space="0" w:color="000000"/>
              <w:bottom w:val="single" w:sz="4" w:space="0" w:color="000000"/>
            </w:tcBorders>
          </w:tcPr>
          <w:p w14:paraId="2381B198" w14:textId="77777777" w:rsidR="00C12A84" w:rsidRPr="00C12A84" w:rsidRDefault="00C12A84" w:rsidP="00C12A84">
            <w:pPr>
              <w:autoSpaceDE w:val="0"/>
              <w:autoSpaceDN w:val="0"/>
              <w:adjustRightInd w:val="0"/>
              <w:spacing w:after="0" w:line="240" w:lineRule="auto"/>
              <w:rPr>
                <w:rFonts w:ascii="Times New Roman" w:hAnsi="Times New Roman" w:cs="Times New Roman"/>
                <w:b/>
                <w:sz w:val="20"/>
                <w:szCs w:val="20"/>
                <w:lang w:val="en-US"/>
              </w:rPr>
            </w:pPr>
            <w:r w:rsidRPr="00C12A84">
              <w:rPr>
                <w:rFonts w:ascii="Times New Roman" w:hAnsi="Times New Roman" w:cs="Times New Roman"/>
                <w:b/>
                <w:sz w:val="20"/>
                <w:szCs w:val="20"/>
                <w:lang w:val="en-US"/>
              </w:rPr>
              <w:t>Region/Zone</w:t>
            </w:r>
          </w:p>
        </w:tc>
        <w:tc>
          <w:tcPr>
            <w:tcW w:w="3142" w:type="dxa"/>
            <w:tcBorders>
              <w:top w:val="single" w:sz="4" w:space="0" w:color="000000"/>
              <w:bottom w:val="single" w:sz="4" w:space="0" w:color="000000"/>
            </w:tcBorders>
          </w:tcPr>
          <w:p w14:paraId="4186CFB7" w14:textId="77777777" w:rsidR="00C12A84" w:rsidRPr="00C12A84" w:rsidRDefault="00C12A84" w:rsidP="00C12A84">
            <w:pPr>
              <w:autoSpaceDE w:val="0"/>
              <w:autoSpaceDN w:val="0"/>
              <w:adjustRightInd w:val="0"/>
              <w:spacing w:after="0" w:line="240" w:lineRule="auto"/>
              <w:jc w:val="both"/>
              <w:rPr>
                <w:rFonts w:ascii="Times New Roman" w:hAnsi="Times New Roman" w:cs="Times New Roman"/>
                <w:b/>
                <w:sz w:val="20"/>
                <w:szCs w:val="20"/>
                <w:lang w:val="en-US"/>
              </w:rPr>
            </w:pPr>
            <w:r w:rsidRPr="00C12A84">
              <w:rPr>
                <w:rFonts w:ascii="Times New Roman" w:hAnsi="Times New Roman" w:cs="Times New Roman"/>
                <w:b/>
                <w:sz w:val="20"/>
                <w:szCs w:val="20"/>
                <w:lang w:val="en-US"/>
              </w:rPr>
              <w:t>Climatic Features</w:t>
            </w:r>
          </w:p>
        </w:tc>
        <w:tc>
          <w:tcPr>
            <w:tcW w:w="4396" w:type="dxa"/>
            <w:tcBorders>
              <w:top w:val="single" w:sz="4" w:space="0" w:color="000000"/>
              <w:bottom w:val="single" w:sz="4" w:space="0" w:color="000000"/>
            </w:tcBorders>
          </w:tcPr>
          <w:p w14:paraId="6BDB66FF" w14:textId="77777777" w:rsidR="00C12A84" w:rsidRPr="00C12A84" w:rsidRDefault="00C12A84" w:rsidP="00C12A84">
            <w:pPr>
              <w:autoSpaceDE w:val="0"/>
              <w:autoSpaceDN w:val="0"/>
              <w:adjustRightInd w:val="0"/>
              <w:spacing w:after="0" w:line="240" w:lineRule="auto"/>
              <w:rPr>
                <w:rFonts w:ascii="Times New Roman" w:hAnsi="Times New Roman" w:cs="Times New Roman"/>
                <w:b/>
                <w:sz w:val="20"/>
                <w:szCs w:val="20"/>
                <w:lang w:val="en-US"/>
              </w:rPr>
            </w:pPr>
            <w:r w:rsidRPr="00C12A84">
              <w:rPr>
                <w:rFonts w:ascii="Times New Roman" w:hAnsi="Times New Roman" w:cs="Times New Roman"/>
                <w:b/>
                <w:sz w:val="20"/>
                <w:szCs w:val="20"/>
                <w:lang w:val="en-US"/>
              </w:rPr>
              <w:t>Recommended/Adoptable GBMs</w:t>
            </w:r>
          </w:p>
        </w:tc>
      </w:tr>
      <w:tr w:rsidR="00C12A84" w:rsidRPr="00C12A84" w14:paraId="7D501CF0" w14:textId="77777777" w:rsidTr="0002104B">
        <w:trPr>
          <w:trHeight w:val="292"/>
          <w:jc w:val="center"/>
        </w:trPr>
        <w:tc>
          <w:tcPr>
            <w:tcW w:w="572" w:type="dxa"/>
            <w:tcBorders>
              <w:top w:val="single" w:sz="4" w:space="0" w:color="000000"/>
            </w:tcBorders>
          </w:tcPr>
          <w:p w14:paraId="59A7A5EC"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1</w:t>
            </w:r>
          </w:p>
        </w:tc>
        <w:tc>
          <w:tcPr>
            <w:tcW w:w="1271" w:type="dxa"/>
            <w:tcBorders>
              <w:top w:val="single" w:sz="4" w:space="0" w:color="000000"/>
            </w:tcBorders>
          </w:tcPr>
          <w:p w14:paraId="0F954593"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North-East</w:t>
            </w:r>
          </w:p>
        </w:tc>
        <w:tc>
          <w:tcPr>
            <w:tcW w:w="3142" w:type="dxa"/>
            <w:tcBorders>
              <w:top w:val="single" w:sz="4" w:space="0" w:color="000000"/>
            </w:tcBorders>
          </w:tcPr>
          <w:p w14:paraId="6C9ACF06" w14:textId="77777777" w:rsidR="00C12A84" w:rsidRPr="00C12A84" w:rsidRDefault="00C12A84" w:rsidP="00C12A84">
            <w:pPr>
              <w:autoSpaceDE w:val="0"/>
              <w:autoSpaceDN w:val="0"/>
              <w:adjustRightInd w:val="0"/>
              <w:spacing w:after="0" w:line="240" w:lineRule="auto"/>
              <w:jc w:val="both"/>
              <w:rPr>
                <w:rFonts w:ascii="Times New Roman" w:hAnsi="Times New Roman" w:cs="Times New Roman"/>
                <w:sz w:val="20"/>
                <w:szCs w:val="20"/>
                <w:lang w:val="en-US"/>
              </w:rPr>
            </w:pPr>
            <w:r w:rsidRPr="00C12A84">
              <w:rPr>
                <w:rFonts w:ascii="Times New Roman" w:hAnsi="Times New Roman" w:cs="Times New Roman"/>
                <w:sz w:val="20"/>
                <w:szCs w:val="20"/>
                <w:lang w:val="en-US"/>
              </w:rPr>
              <w:t>-Hotness and dryness</w:t>
            </w:r>
          </w:p>
        </w:tc>
        <w:tc>
          <w:tcPr>
            <w:tcW w:w="4396" w:type="dxa"/>
            <w:tcBorders>
              <w:top w:val="single" w:sz="4" w:space="0" w:color="000000"/>
            </w:tcBorders>
          </w:tcPr>
          <w:p w14:paraId="0A0502FB"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Green roof, AAC blocks, thermal blocks, recycled</w:t>
            </w:r>
          </w:p>
        </w:tc>
      </w:tr>
      <w:tr w:rsidR="00C12A84" w:rsidRPr="00C12A84" w14:paraId="56088B51" w14:textId="77777777" w:rsidTr="0002104B">
        <w:trPr>
          <w:trHeight w:val="741"/>
          <w:jc w:val="center"/>
        </w:trPr>
        <w:tc>
          <w:tcPr>
            <w:tcW w:w="572" w:type="dxa"/>
          </w:tcPr>
          <w:p w14:paraId="05732784"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1271" w:type="dxa"/>
          </w:tcPr>
          <w:p w14:paraId="2DBF9E0A"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3142" w:type="dxa"/>
          </w:tcPr>
          <w:p w14:paraId="2B1EAA1E" w14:textId="77777777" w:rsidR="00C12A84" w:rsidRPr="00C12A84" w:rsidRDefault="00C12A84" w:rsidP="00C12A84">
            <w:pPr>
              <w:autoSpaceDE w:val="0"/>
              <w:autoSpaceDN w:val="0"/>
              <w:adjustRightInd w:val="0"/>
              <w:spacing w:after="0" w:line="240" w:lineRule="auto"/>
              <w:jc w:val="both"/>
              <w:rPr>
                <w:rFonts w:ascii="Times New Roman" w:hAnsi="Times New Roman" w:cs="Times New Roman"/>
                <w:sz w:val="20"/>
                <w:szCs w:val="20"/>
                <w:lang w:val="en-US"/>
              </w:rPr>
            </w:pPr>
            <w:r w:rsidRPr="00C12A84">
              <w:rPr>
                <w:rFonts w:ascii="Times New Roman" w:hAnsi="Times New Roman" w:cs="Times New Roman"/>
                <w:sz w:val="20"/>
                <w:szCs w:val="20"/>
                <w:lang w:val="en-US"/>
              </w:rPr>
              <w:t>-Seasoned temperatures</w:t>
            </w:r>
          </w:p>
          <w:p w14:paraId="52711B7C" w14:textId="77777777" w:rsidR="00C12A84" w:rsidRPr="00C12A84" w:rsidRDefault="00C12A84" w:rsidP="00C12A84">
            <w:pPr>
              <w:autoSpaceDE w:val="0"/>
              <w:autoSpaceDN w:val="0"/>
              <w:adjustRightInd w:val="0"/>
              <w:spacing w:after="0" w:line="240" w:lineRule="auto"/>
              <w:jc w:val="both"/>
              <w:rPr>
                <w:rFonts w:ascii="Times New Roman" w:hAnsi="Times New Roman" w:cs="Times New Roman"/>
                <w:sz w:val="20"/>
                <w:szCs w:val="20"/>
                <w:lang w:val="en-US"/>
              </w:rPr>
            </w:pPr>
            <w:r w:rsidRPr="00C12A84">
              <w:rPr>
                <w:rFonts w:ascii="Times New Roman" w:hAnsi="Times New Roman" w:cs="Times New Roman"/>
                <w:sz w:val="20"/>
                <w:szCs w:val="20"/>
                <w:lang w:val="en-US"/>
              </w:rPr>
              <w:t>-Scarce green vegetation</w:t>
            </w:r>
          </w:p>
        </w:tc>
        <w:tc>
          <w:tcPr>
            <w:tcW w:w="4396" w:type="dxa"/>
          </w:tcPr>
          <w:p w14:paraId="5838550A"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concrete, plastics, steel and wood, terrazzo, cork,</w:t>
            </w:r>
          </w:p>
          <w:p w14:paraId="0423372E"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sheep’s wool, rammed earth and straw bales.</w:t>
            </w:r>
          </w:p>
        </w:tc>
      </w:tr>
      <w:tr w:rsidR="00C12A84" w:rsidRPr="00C12A84" w14:paraId="5812076A" w14:textId="77777777" w:rsidTr="0002104B">
        <w:trPr>
          <w:trHeight w:val="292"/>
          <w:jc w:val="center"/>
        </w:trPr>
        <w:tc>
          <w:tcPr>
            <w:tcW w:w="572" w:type="dxa"/>
          </w:tcPr>
          <w:p w14:paraId="20D597B1"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2</w:t>
            </w:r>
          </w:p>
        </w:tc>
        <w:tc>
          <w:tcPr>
            <w:tcW w:w="1271" w:type="dxa"/>
          </w:tcPr>
          <w:p w14:paraId="3D291F0B"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North-West</w:t>
            </w:r>
          </w:p>
        </w:tc>
        <w:tc>
          <w:tcPr>
            <w:tcW w:w="3142" w:type="dxa"/>
          </w:tcPr>
          <w:p w14:paraId="6D98B63F" w14:textId="77777777" w:rsidR="00C12A84" w:rsidRPr="00C12A84" w:rsidRDefault="00C12A84" w:rsidP="00C12A84">
            <w:pPr>
              <w:autoSpaceDE w:val="0"/>
              <w:autoSpaceDN w:val="0"/>
              <w:adjustRightInd w:val="0"/>
              <w:spacing w:after="0" w:line="240" w:lineRule="auto"/>
              <w:jc w:val="both"/>
              <w:rPr>
                <w:rFonts w:ascii="Times New Roman" w:hAnsi="Times New Roman" w:cs="Times New Roman"/>
                <w:sz w:val="20"/>
                <w:szCs w:val="20"/>
                <w:lang w:val="en-US"/>
              </w:rPr>
            </w:pPr>
            <w:r w:rsidRPr="00C12A84">
              <w:rPr>
                <w:rFonts w:ascii="Times New Roman" w:hAnsi="Times New Roman" w:cs="Times New Roman"/>
                <w:b/>
                <w:sz w:val="20"/>
                <w:szCs w:val="20"/>
                <w:lang w:val="en-US"/>
              </w:rPr>
              <w:t>-</w:t>
            </w:r>
            <w:r w:rsidRPr="00C12A84">
              <w:rPr>
                <w:rFonts w:ascii="Times New Roman" w:hAnsi="Times New Roman" w:cs="Times New Roman"/>
                <w:sz w:val="20"/>
                <w:szCs w:val="20"/>
                <w:lang w:val="en-US"/>
              </w:rPr>
              <w:t>Dry and hot seasonal variation</w:t>
            </w:r>
          </w:p>
        </w:tc>
        <w:tc>
          <w:tcPr>
            <w:tcW w:w="4396" w:type="dxa"/>
          </w:tcPr>
          <w:p w14:paraId="16947325"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Recycled concrete, plastic, steel, and wood, as well</w:t>
            </w:r>
          </w:p>
        </w:tc>
      </w:tr>
      <w:tr w:rsidR="00C12A84" w:rsidRPr="00C12A84" w14:paraId="7B1B3DB0" w14:textId="77777777" w:rsidTr="00C12A84">
        <w:trPr>
          <w:trHeight w:val="345"/>
          <w:jc w:val="center"/>
        </w:trPr>
        <w:tc>
          <w:tcPr>
            <w:tcW w:w="572" w:type="dxa"/>
          </w:tcPr>
          <w:p w14:paraId="46B35775"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1271" w:type="dxa"/>
          </w:tcPr>
          <w:p w14:paraId="692EF732"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3142" w:type="dxa"/>
          </w:tcPr>
          <w:p w14:paraId="49CE353F" w14:textId="77777777" w:rsidR="00C12A84" w:rsidRPr="00C12A84" w:rsidRDefault="00C12A84" w:rsidP="00C12A84">
            <w:pPr>
              <w:autoSpaceDE w:val="0"/>
              <w:autoSpaceDN w:val="0"/>
              <w:adjustRightInd w:val="0"/>
              <w:spacing w:after="0" w:line="240" w:lineRule="auto"/>
              <w:jc w:val="both"/>
              <w:rPr>
                <w:rFonts w:ascii="Times New Roman" w:hAnsi="Times New Roman" w:cs="Times New Roman"/>
                <w:sz w:val="20"/>
                <w:szCs w:val="20"/>
                <w:lang w:val="en-US"/>
              </w:rPr>
            </w:pPr>
            <w:r w:rsidRPr="00C12A84">
              <w:rPr>
                <w:rFonts w:ascii="Times New Roman" w:hAnsi="Times New Roman" w:cs="Times New Roman"/>
                <w:sz w:val="20"/>
                <w:szCs w:val="20"/>
                <w:lang w:val="en-US"/>
              </w:rPr>
              <w:t>-High intensity from sun radiation</w:t>
            </w:r>
          </w:p>
        </w:tc>
        <w:tc>
          <w:tcPr>
            <w:tcW w:w="4396" w:type="dxa"/>
          </w:tcPr>
          <w:p w14:paraId="06DD83F0"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as AAC blocks, thermal blocks, green roofs,</w:t>
            </w:r>
          </w:p>
        </w:tc>
      </w:tr>
      <w:tr w:rsidR="00C12A84" w:rsidRPr="00C12A84" w14:paraId="2B7D0DA0" w14:textId="77777777" w:rsidTr="00C12A84">
        <w:trPr>
          <w:trHeight w:val="345"/>
          <w:jc w:val="center"/>
        </w:trPr>
        <w:tc>
          <w:tcPr>
            <w:tcW w:w="572" w:type="dxa"/>
          </w:tcPr>
          <w:p w14:paraId="5F1A8F48"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1271" w:type="dxa"/>
          </w:tcPr>
          <w:p w14:paraId="18F7B139"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3142" w:type="dxa"/>
          </w:tcPr>
          <w:p w14:paraId="7156990B" w14:textId="77777777" w:rsidR="00C12A84" w:rsidRPr="00C12A84" w:rsidRDefault="00C12A84" w:rsidP="00C12A84">
            <w:pPr>
              <w:autoSpaceDE w:val="0"/>
              <w:autoSpaceDN w:val="0"/>
              <w:adjustRightInd w:val="0"/>
              <w:spacing w:after="0" w:line="240" w:lineRule="auto"/>
              <w:jc w:val="both"/>
              <w:rPr>
                <w:rFonts w:ascii="Times New Roman" w:hAnsi="Times New Roman" w:cs="Times New Roman"/>
                <w:sz w:val="20"/>
                <w:szCs w:val="20"/>
                <w:lang w:val="en-US"/>
              </w:rPr>
            </w:pPr>
            <w:r w:rsidRPr="00C12A84">
              <w:rPr>
                <w:rFonts w:ascii="Times New Roman" w:hAnsi="Times New Roman" w:cs="Times New Roman"/>
                <w:sz w:val="20"/>
                <w:szCs w:val="20"/>
                <w:lang w:val="en-US"/>
              </w:rPr>
              <w:t>-Vector-borne disease</w:t>
            </w:r>
          </w:p>
        </w:tc>
        <w:tc>
          <w:tcPr>
            <w:tcW w:w="4396" w:type="dxa"/>
          </w:tcPr>
          <w:p w14:paraId="223A23D3"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terrazzo, cork, sheep’s wool, rammed earth, and</w:t>
            </w:r>
          </w:p>
        </w:tc>
      </w:tr>
      <w:tr w:rsidR="00C12A84" w:rsidRPr="00C12A84" w14:paraId="6E7DBCD4" w14:textId="77777777" w:rsidTr="0002104B">
        <w:trPr>
          <w:trHeight w:val="395"/>
          <w:jc w:val="center"/>
        </w:trPr>
        <w:tc>
          <w:tcPr>
            <w:tcW w:w="572" w:type="dxa"/>
          </w:tcPr>
          <w:p w14:paraId="778080E6"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1271" w:type="dxa"/>
          </w:tcPr>
          <w:p w14:paraId="17DDE63A"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3142" w:type="dxa"/>
          </w:tcPr>
          <w:p w14:paraId="36D5FD7D" w14:textId="77777777" w:rsidR="00C12A84" w:rsidRPr="00C12A84" w:rsidRDefault="00C12A84" w:rsidP="00C12A84">
            <w:pPr>
              <w:autoSpaceDE w:val="0"/>
              <w:autoSpaceDN w:val="0"/>
              <w:adjustRightInd w:val="0"/>
              <w:spacing w:after="0" w:line="240" w:lineRule="auto"/>
              <w:jc w:val="both"/>
              <w:rPr>
                <w:rFonts w:ascii="Times New Roman" w:hAnsi="Times New Roman" w:cs="Times New Roman"/>
                <w:sz w:val="20"/>
                <w:szCs w:val="20"/>
                <w:lang w:val="en-US"/>
              </w:rPr>
            </w:pPr>
          </w:p>
        </w:tc>
        <w:tc>
          <w:tcPr>
            <w:tcW w:w="4396" w:type="dxa"/>
          </w:tcPr>
          <w:p w14:paraId="4A6A63A6"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straw bales.</w:t>
            </w:r>
          </w:p>
        </w:tc>
      </w:tr>
      <w:tr w:rsidR="00C12A84" w:rsidRPr="00C12A84" w14:paraId="76A5F06C" w14:textId="77777777" w:rsidTr="0002104B">
        <w:trPr>
          <w:trHeight w:val="638"/>
          <w:jc w:val="center"/>
        </w:trPr>
        <w:tc>
          <w:tcPr>
            <w:tcW w:w="572" w:type="dxa"/>
          </w:tcPr>
          <w:p w14:paraId="68C215F0"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3</w:t>
            </w:r>
          </w:p>
        </w:tc>
        <w:tc>
          <w:tcPr>
            <w:tcW w:w="1271" w:type="dxa"/>
          </w:tcPr>
          <w:p w14:paraId="78D07B04"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North-Central</w:t>
            </w:r>
          </w:p>
        </w:tc>
        <w:tc>
          <w:tcPr>
            <w:tcW w:w="3142" w:type="dxa"/>
          </w:tcPr>
          <w:p w14:paraId="710C38B1" w14:textId="77777777" w:rsidR="00C12A84" w:rsidRPr="00C12A84" w:rsidRDefault="00C12A84" w:rsidP="00C12A84">
            <w:pPr>
              <w:autoSpaceDE w:val="0"/>
              <w:autoSpaceDN w:val="0"/>
              <w:adjustRightInd w:val="0"/>
              <w:spacing w:after="0" w:line="240" w:lineRule="auto"/>
              <w:jc w:val="both"/>
              <w:rPr>
                <w:rFonts w:ascii="Times New Roman" w:hAnsi="Times New Roman" w:cs="Times New Roman"/>
                <w:sz w:val="20"/>
                <w:szCs w:val="20"/>
                <w:lang w:val="en-US"/>
              </w:rPr>
            </w:pPr>
            <w:r w:rsidRPr="00C12A84">
              <w:rPr>
                <w:rFonts w:ascii="Times New Roman" w:hAnsi="Times New Roman" w:cs="Times New Roman"/>
                <w:sz w:val="20"/>
                <w:szCs w:val="20"/>
                <w:lang w:val="en-US"/>
              </w:rPr>
              <w:t>-Dry and wet seasons</w:t>
            </w:r>
          </w:p>
          <w:p w14:paraId="7CE7E265" w14:textId="77777777" w:rsidR="00C12A84" w:rsidRPr="00C12A84" w:rsidRDefault="00C12A84" w:rsidP="00C12A84">
            <w:pPr>
              <w:autoSpaceDE w:val="0"/>
              <w:autoSpaceDN w:val="0"/>
              <w:adjustRightInd w:val="0"/>
              <w:spacing w:after="0" w:line="240" w:lineRule="auto"/>
              <w:jc w:val="both"/>
              <w:rPr>
                <w:rFonts w:ascii="Times New Roman" w:hAnsi="Times New Roman" w:cs="Times New Roman"/>
                <w:sz w:val="20"/>
                <w:szCs w:val="20"/>
                <w:lang w:val="en-US"/>
              </w:rPr>
            </w:pPr>
            <w:r w:rsidRPr="00C12A84">
              <w:rPr>
                <w:rFonts w:ascii="Times New Roman" w:hAnsi="Times New Roman" w:cs="Times New Roman"/>
                <w:sz w:val="20"/>
                <w:szCs w:val="20"/>
                <w:lang w:val="en-US"/>
              </w:rPr>
              <w:t>-lower temperatures and dusty</w:t>
            </w:r>
          </w:p>
        </w:tc>
        <w:tc>
          <w:tcPr>
            <w:tcW w:w="4396" w:type="dxa"/>
          </w:tcPr>
          <w:p w14:paraId="66E545E2"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Bamboo, green roof, recycled concrete, plastic, steel</w:t>
            </w:r>
          </w:p>
          <w:p w14:paraId="04B6DF6C"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and wood, terrazzo, thermal blocks, fly-ash bricks,</w:t>
            </w:r>
          </w:p>
        </w:tc>
      </w:tr>
      <w:tr w:rsidR="00C12A84" w:rsidRPr="00C12A84" w14:paraId="55C30D53" w14:textId="77777777" w:rsidTr="0002104B">
        <w:trPr>
          <w:trHeight w:val="398"/>
          <w:jc w:val="center"/>
        </w:trPr>
        <w:tc>
          <w:tcPr>
            <w:tcW w:w="572" w:type="dxa"/>
          </w:tcPr>
          <w:p w14:paraId="5705564B"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1271" w:type="dxa"/>
          </w:tcPr>
          <w:p w14:paraId="02CC6D37"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3142" w:type="dxa"/>
          </w:tcPr>
          <w:p w14:paraId="77869505" w14:textId="77777777" w:rsidR="00C12A84" w:rsidRPr="00C12A84" w:rsidRDefault="00C12A84" w:rsidP="00C12A84">
            <w:pPr>
              <w:autoSpaceDE w:val="0"/>
              <w:autoSpaceDN w:val="0"/>
              <w:adjustRightInd w:val="0"/>
              <w:spacing w:after="0" w:line="240" w:lineRule="auto"/>
              <w:jc w:val="both"/>
              <w:rPr>
                <w:rFonts w:ascii="Times New Roman" w:hAnsi="Times New Roman" w:cs="Times New Roman"/>
                <w:sz w:val="20"/>
                <w:szCs w:val="20"/>
                <w:lang w:val="en-US"/>
              </w:rPr>
            </w:pPr>
            <w:r w:rsidRPr="00C12A84">
              <w:rPr>
                <w:rFonts w:ascii="Times New Roman" w:hAnsi="Times New Roman" w:cs="Times New Roman"/>
                <w:sz w:val="20"/>
                <w:szCs w:val="20"/>
                <w:lang w:val="en-US"/>
              </w:rPr>
              <w:t>-mixed vegetation</w:t>
            </w:r>
          </w:p>
        </w:tc>
        <w:tc>
          <w:tcPr>
            <w:tcW w:w="4396" w:type="dxa"/>
          </w:tcPr>
          <w:p w14:paraId="010FC9F3"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ashcrete and hempcrete</w:t>
            </w:r>
          </w:p>
        </w:tc>
      </w:tr>
      <w:tr w:rsidR="00C12A84" w:rsidRPr="00C12A84" w14:paraId="47140D9D" w14:textId="77777777" w:rsidTr="0002104B">
        <w:trPr>
          <w:trHeight w:val="292"/>
          <w:jc w:val="center"/>
        </w:trPr>
        <w:tc>
          <w:tcPr>
            <w:tcW w:w="572" w:type="dxa"/>
          </w:tcPr>
          <w:p w14:paraId="36E2FCC6"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4</w:t>
            </w:r>
          </w:p>
        </w:tc>
        <w:tc>
          <w:tcPr>
            <w:tcW w:w="1271" w:type="dxa"/>
          </w:tcPr>
          <w:p w14:paraId="3D081225"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South-East</w:t>
            </w:r>
          </w:p>
        </w:tc>
        <w:tc>
          <w:tcPr>
            <w:tcW w:w="3142" w:type="dxa"/>
          </w:tcPr>
          <w:p w14:paraId="79ACE397" w14:textId="77777777" w:rsidR="00C12A84" w:rsidRPr="00C12A84" w:rsidRDefault="00C12A84" w:rsidP="00C12A84">
            <w:pPr>
              <w:autoSpaceDE w:val="0"/>
              <w:autoSpaceDN w:val="0"/>
              <w:adjustRightInd w:val="0"/>
              <w:spacing w:after="0" w:line="240" w:lineRule="auto"/>
              <w:jc w:val="both"/>
              <w:rPr>
                <w:rFonts w:ascii="Times New Roman" w:hAnsi="Times New Roman" w:cs="Times New Roman"/>
                <w:sz w:val="20"/>
                <w:szCs w:val="20"/>
                <w:lang w:val="en-US"/>
              </w:rPr>
            </w:pPr>
            <w:r w:rsidRPr="00C12A84">
              <w:rPr>
                <w:rFonts w:ascii="Times New Roman" w:hAnsi="Times New Roman" w:cs="Times New Roman"/>
                <w:b/>
                <w:sz w:val="20"/>
                <w:szCs w:val="20"/>
                <w:lang w:val="en-US"/>
              </w:rPr>
              <w:t>-</w:t>
            </w:r>
            <w:r w:rsidRPr="00C12A84">
              <w:rPr>
                <w:rFonts w:ascii="Times New Roman" w:hAnsi="Times New Roman" w:cs="Times New Roman"/>
                <w:sz w:val="20"/>
                <w:szCs w:val="20"/>
                <w:lang w:val="en-US"/>
              </w:rPr>
              <w:t>Coastal and gully erosion</w:t>
            </w:r>
          </w:p>
        </w:tc>
        <w:tc>
          <w:tcPr>
            <w:tcW w:w="4396" w:type="dxa"/>
          </w:tcPr>
          <w:p w14:paraId="78A40300"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Glass fibre-reinforced plastics, fly-ash bricks, cork,</w:t>
            </w:r>
          </w:p>
        </w:tc>
      </w:tr>
      <w:tr w:rsidR="00C12A84" w:rsidRPr="00C12A84" w14:paraId="42FD6AAB" w14:textId="77777777" w:rsidTr="00C12A84">
        <w:trPr>
          <w:trHeight w:val="688"/>
          <w:jc w:val="center"/>
        </w:trPr>
        <w:tc>
          <w:tcPr>
            <w:tcW w:w="572" w:type="dxa"/>
          </w:tcPr>
          <w:p w14:paraId="675B0830"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1271" w:type="dxa"/>
          </w:tcPr>
          <w:p w14:paraId="2A561692"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3142" w:type="dxa"/>
          </w:tcPr>
          <w:p w14:paraId="43AC9F8D" w14:textId="77777777" w:rsidR="00C12A84" w:rsidRPr="00C12A84" w:rsidRDefault="00C12A84" w:rsidP="00C12A84">
            <w:pPr>
              <w:autoSpaceDE w:val="0"/>
              <w:autoSpaceDN w:val="0"/>
              <w:adjustRightInd w:val="0"/>
              <w:spacing w:after="0" w:line="240" w:lineRule="auto"/>
              <w:jc w:val="both"/>
              <w:rPr>
                <w:rFonts w:ascii="Times New Roman" w:hAnsi="Times New Roman" w:cs="Times New Roman"/>
                <w:sz w:val="20"/>
                <w:szCs w:val="20"/>
                <w:lang w:val="en-US"/>
              </w:rPr>
            </w:pPr>
            <w:r w:rsidRPr="00C12A84">
              <w:rPr>
                <w:rFonts w:ascii="Times New Roman" w:hAnsi="Times New Roman" w:cs="Times New Roman"/>
                <w:sz w:val="20"/>
                <w:szCs w:val="20"/>
                <w:lang w:val="en-US"/>
              </w:rPr>
              <w:t>-Incessant wind and rainfall</w:t>
            </w:r>
          </w:p>
          <w:p w14:paraId="5071CD1F" w14:textId="77777777" w:rsidR="00C12A84" w:rsidRPr="00C12A84" w:rsidRDefault="00C12A84" w:rsidP="00C12A84">
            <w:pPr>
              <w:autoSpaceDE w:val="0"/>
              <w:autoSpaceDN w:val="0"/>
              <w:adjustRightInd w:val="0"/>
              <w:spacing w:after="0" w:line="240" w:lineRule="auto"/>
              <w:jc w:val="both"/>
              <w:rPr>
                <w:rFonts w:ascii="Times New Roman" w:hAnsi="Times New Roman" w:cs="Times New Roman"/>
                <w:sz w:val="20"/>
                <w:szCs w:val="20"/>
                <w:lang w:val="en-US"/>
              </w:rPr>
            </w:pPr>
            <w:r w:rsidRPr="00C12A84">
              <w:rPr>
                <w:rFonts w:ascii="Times New Roman" w:hAnsi="Times New Roman" w:cs="Times New Roman"/>
                <w:sz w:val="20"/>
                <w:szCs w:val="20"/>
                <w:lang w:val="en-US"/>
              </w:rPr>
              <w:t>-Quite green vegetation</w:t>
            </w:r>
          </w:p>
        </w:tc>
        <w:tc>
          <w:tcPr>
            <w:tcW w:w="4396" w:type="dxa"/>
          </w:tcPr>
          <w:p w14:paraId="38D7037E"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hempcrete, timbercrete, ferrock, pre-cast concrete,</w:t>
            </w:r>
          </w:p>
          <w:p w14:paraId="2BADBB76"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green roof, bamboo, AAC blocks and recycled</w:t>
            </w:r>
          </w:p>
        </w:tc>
      </w:tr>
      <w:tr w:rsidR="00C12A84" w:rsidRPr="00C12A84" w14:paraId="2276F998" w14:textId="77777777" w:rsidTr="0002104B">
        <w:trPr>
          <w:trHeight w:val="398"/>
          <w:jc w:val="center"/>
        </w:trPr>
        <w:tc>
          <w:tcPr>
            <w:tcW w:w="572" w:type="dxa"/>
          </w:tcPr>
          <w:p w14:paraId="0EF202EF"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1271" w:type="dxa"/>
          </w:tcPr>
          <w:p w14:paraId="75673202"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3142" w:type="dxa"/>
          </w:tcPr>
          <w:p w14:paraId="12F676DB" w14:textId="77777777" w:rsidR="00C12A84" w:rsidRPr="00C12A84" w:rsidRDefault="00C12A84" w:rsidP="00C12A84">
            <w:pPr>
              <w:autoSpaceDE w:val="0"/>
              <w:autoSpaceDN w:val="0"/>
              <w:adjustRightInd w:val="0"/>
              <w:spacing w:after="0" w:line="240" w:lineRule="auto"/>
              <w:jc w:val="both"/>
              <w:rPr>
                <w:rFonts w:ascii="Times New Roman" w:hAnsi="Times New Roman" w:cs="Times New Roman"/>
                <w:sz w:val="20"/>
                <w:szCs w:val="20"/>
                <w:lang w:val="en-US"/>
              </w:rPr>
            </w:pPr>
          </w:p>
        </w:tc>
        <w:tc>
          <w:tcPr>
            <w:tcW w:w="4396" w:type="dxa"/>
          </w:tcPr>
          <w:p w14:paraId="61006EBA" w14:textId="77777777" w:rsid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p w14:paraId="143A7A6A" w14:textId="147B8094"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materials</w:t>
            </w:r>
          </w:p>
        </w:tc>
      </w:tr>
      <w:tr w:rsidR="00C12A84" w:rsidRPr="00C12A84" w14:paraId="36F53477" w14:textId="77777777" w:rsidTr="0002104B">
        <w:trPr>
          <w:trHeight w:val="292"/>
          <w:jc w:val="center"/>
        </w:trPr>
        <w:tc>
          <w:tcPr>
            <w:tcW w:w="572" w:type="dxa"/>
          </w:tcPr>
          <w:p w14:paraId="495201D4"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5</w:t>
            </w:r>
          </w:p>
        </w:tc>
        <w:tc>
          <w:tcPr>
            <w:tcW w:w="1271" w:type="dxa"/>
          </w:tcPr>
          <w:p w14:paraId="6A1CF209"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South-South</w:t>
            </w:r>
          </w:p>
        </w:tc>
        <w:tc>
          <w:tcPr>
            <w:tcW w:w="3142" w:type="dxa"/>
          </w:tcPr>
          <w:p w14:paraId="737E432B" w14:textId="77777777" w:rsidR="00C12A84" w:rsidRPr="00C12A84" w:rsidRDefault="00C12A84" w:rsidP="00C12A84">
            <w:pPr>
              <w:autoSpaceDE w:val="0"/>
              <w:autoSpaceDN w:val="0"/>
              <w:adjustRightInd w:val="0"/>
              <w:spacing w:after="0" w:line="240" w:lineRule="auto"/>
              <w:jc w:val="both"/>
              <w:rPr>
                <w:rFonts w:ascii="Times New Roman" w:hAnsi="Times New Roman" w:cs="Times New Roman"/>
                <w:sz w:val="20"/>
                <w:szCs w:val="20"/>
                <w:lang w:val="en-US"/>
              </w:rPr>
            </w:pPr>
            <w:r w:rsidRPr="00C12A84">
              <w:rPr>
                <w:rFonts w:ascii="Times New Roman" w:hAnsi="Times New Roman" w:cs="Times New Roman"/>
                <w:sz w:val="20"/>
                <w:szCs w:val="20"/>
                <w:lang w:val="en-US"/>
              </w:rPr>
              <w:t>-Dense evergreen</w:t>
            </w:r>
          </w:p>
        </w:tc>
        <w:tc>
          <w:tcPr>
            <w:tcW w:w="4396" w:type="dxa"/>
          </w:tcPr>
          <w:p w14:paraId="4DE3CB25"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Green roof, AAC block, bamboo, recycled concrete,</w:t>
            </w:r>
          </w:p>
        </w:tc>
      </w:tr>
      <w:tr w:rsidR="00C12A84" w:rsidRPr="00C12A84" w14:paraId="7BABD829" w14:textId="77777777" w:rsidTr="00C12A84">
        <w:trPr>
          <w:trHeight w:val="688"/>
          <w:jc w:val="center"/>
        </w:trPr>
        <w:tc>
          <w:tcPr>
            <w:tcW w:w="572" w:type="dxa"/>
          </w:tcPr>
          <w:p w14:paraId="77EA93E4"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1271" w:type="dxa"/>
          </w:tcPr>
          <w:p w14:paraId="7D3889C9"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3142" w:type="dxa"/>
          </w:tcPr>
          <w:p w14:paraId="7D0ADCE0" w14:textId="00D716AA" w:rsidR="00C12A84" w:rsidRPr="00C12A84" w:rsidRDefault="00C12A84" w:rsidP="00C12A84">
            <w:pPr>
              <w:autoSpaceDE w:val="0"/>
              <w:autoSpaceDN w:val="0"/>
              <w:adjustRightInd w:val="0"/>
              <w:spacing w:after="0" w:line="240" w:lineRule="auto"/>
              <w:jc w:val="both"/>
              <w:rPr>
                <w:rFonts w:ascii="Times New Roman" w:hAnsi="Times New Roman" w:cs="Times New Roman"/>
                <w:sz w:val="20"/>
                <w:szCs w:val="20"/>
                <w:lang w:val="en-US"/>
              </w:rPr>
            </w:pPr>
            <w:r w:rsidRPr="00C12A84">
              <w:rPr>
                <w:rFonts w:ascii="Times New Roman" w:hAnsi="Times New Roman" w:cs="Times New Roman"/>
                <w:sz w:val="20"/>
                <w:szCs w:val="20"/>
                <w:lang w:val="en-US"/>
              </w:rPr>
              <w:t>-Epiphytes</w:t>
            </w:r>
            <w:r>
              <w:rPr>
                <w:rFonts w:ascii="Times New Roman" w:hAnsi="Times New Roman" w:cs="Times New Roman"/>
                <w:sz w:val="20"/>
                <w:szCs w:val="20"/>
                <w:lang w:val="en-US"/>
              </w:rPr>
              <w:t xml:space="preserve"> </w:t>
            </w:r>
            <w:r w:rsidRPr="00C12A84">
              <w:rPr>
                <w:rFonts w:ascii="Times New Roman" w:hAnsi="Times New Roman" w:cs="Times New Roman"/>
                <w:sz w:val="20"/>
                <w:szCs w:val="20"/>
                <w:lang w:val="en-US"/>
              </w:rPr>
              <w:t>and</w:t>
            </w:r>
            <w:r>
              <w:rPr>
                <w:rFonts w:ascii="Times New Roman" w:hAnsi="Times New Roman" w:cs="Times New Roman"/>
                <w:sz w:val="20"/>
                <w:szCs w:val="20"/>
                <w:lang w:val="en-US"/>
              </w:rPr>
              <w:t xml:space="preserve"> </w:t>
            </w:r>
            <w:r w:rsidRPr="00C12A84">
              <w:rPr>
                <w:rFonts w:ascii="Times New Roman" w:hAnsi="Times New Roman" w:cs="Times New Roman"/>
                <w:sz w:val="20"/>
                <w:szCs w:val="20"/>
                <w:lang w:val="en-US"/>
              </w:rPr>
              <w:t>atmospheric</w:t>
            </w:r>
          </w:p>
          <w:p w14:paraId="24C87D21" w14:textId="77777777" w:rsidR="00C12A84" w:rsidRPr="00C12A84" w:rsidRDefault="00C12A84" w:rsidP="00C12A84">
            <w:pPr>
              <w:autoSpaceDE w:val="0"/>
              <w:autoSpaceDN w:val="0"/>
              <w:adjustRightInd w:val="0"/>
              <w:spacing w:after="0" w:line="240" w:lineRule="auto"/>
              <w:jc w:val="both"/>
              <w:rPr>
                <w:rFonts w:ascii="Times New Roman" w:hAnsi="Times New Roman" w:cs="Times New Roman"/>
                <w:sz w:val="20"/>
                <w:szCs w:val="20"/>
                <w:lang w:val="en-US"/>
              </w:rPr>
            </w:pPr>
            <w:r w:rsidRPr="00C12A84">
              <w:rPr>
                <w:rFonts w:ascii="Times New Roman" w:hAnsi="Times New Roman" w:cs="Times New Roman"/>
                <w:sz w:val="20"/>
                <w:szCs w:val="20"/>
                <w:lang w:val="en-US"/>
              </w:rPr>
              <w:t>temperature</w:t>
            </w:r>
          </w:p>
        </w:tc>
        <w:tc>
          <w:tcPr>
            <w:tcW w:w="4396" w:type="dxa"/>
          </w:tcPr>
          <w:p w14:paraId="3A75294A"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plastic and steel, pre-cast concrete, glass fibre-</w:t>
            </w:r>
          </w:p>
          <w:p w14:paraId="3BBDCE9B"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reinforced plastic, fly-ash bricks, cork, hempcrete,</w:t>
            </w:r>
          </w:p>
        </w:tc>
      </w:tr>
      <w:tr w:rsidR="00C12A84" w:rsidRPr="00C12A84" w14:paraId="0E05890C" w14:textId="77777777" w:rsidTr="0002104B">
        <w:trPr>
          <w:trHeight w:val="398"/>
          <w:jc w:val="center"/>
        </w:trPr>
        <w:tc>
          <w:tcPr>
            <w:tcW w:w="572" w:type="dxa"/>
          </w:tcPr>
          <w:p w14:paraId="0A90A485"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1271" w:type="dxa"/>
          </w:tcPr>
          <w:p w14:paraId="6A042D19"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3142" w:type="dxa"/>
          </w:tcPr>
          <w:p w14:paraId="3D430D6C" w14:textId="77777777" w:rsidR="00C12A84" w:rsidRPr="00C12A84" w:rsidRDefault="00C12A84" w:rsidP="00C12A84">
            <w:pPr>
              <w:autoSpaceDE w:val="0"/>
              <w:autoSpaceDN w:val="0"/>
              <w:adjustRightInd w:val="0"/>
              <w:spacing w:after="0" w:line="240" w:lineRule="auto"/>
              <w:jc w:val="both"/>
              <w:rPr>
                <w:rFonts w:ascii="Times New Roman" w:hAnsi="Times New Roman" w:cs="Times New Roman"/>
                <w:sz w:val="20"/>
                <w:szCs w:val="20"/>
                <w:lang w:val="en-US"/>
              </w:rPr>
            </w:pPr>
            <w:r w:rsidRPr="00C12A84">
              <w:rPr>
                <w:rFonts w:ascii="Times New Roman" w:hAnsi="Times New Roman" w:cs="Times New Roman"/>
                <w:sz w:val="20"/>
                <w:szCs w:val="20"/>
                <w:lang w:val="en-US"/>
              </w:rPr>
              <w:t>-Erosion</w:t>
            </w:r>
          </w:p>
        </w:tc>
        <w:tc>
          <w:tcPr>
            <w:tcW w:w="4396" w:type="dxa"/>
          </w:tcPr>
          <w:p w14:paraId="5066ACF1"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mycelium and ferrock</w:t>
            </w:r>
          </w:p>
        </w:tc>
      </w:tr>
      <w:tr w:rsidR="00C12A84" w:rsidRPr="00C12A84" w14:paraId="668EC08B" w14:textId="77777777" w:rsidTr="0002104B">
        <w:trPr>
          <w:trHeight w:val="292"/>
          <w:jc w:val="center"/>
        </w:trPr>
        <w:tc>
          <w:tcPr>
            <w:tcW w:w="572" w:type="dxa"/>
          </w:tcPr>
          <w:p w14:paraId="05674FA1"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6</w:t>
            </w:r>
          </w:p>
        </w:tc>
        <w:tc>
          <w:tcPr>
            <w:tcW w:w="1271" w:type="dxa"/>
          </w:tcPr>
          <w:p w14:paraId="676684CA"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South-West</w:t>
            </w:r>
          </w:p>
        </w:tc>
        <w:tc>
          <w:tcPr>
            <w:tcW w:w="3142" w:type="dxa"/>
          </w:tcPr>
          <w:p w14:paraId="63012727" w14:textId="77777777" w:rsidR="00C12A84" w:rsidRPr="00C12A84" w:rsidRDefault="00C12A84" w:rsidP="00C12A84">
            <w:pPr>
              <w:autoSpaceDE w:val="0"/>
              <w:autoSpaceDN w:val="0"/>
              <w:adjustRightInd w:val="0"/>
              <w:spacing w:after="0" w:line="240" w:lineRule="auto"/>
              <w:jc w:val="both"/>
              <w:rPr>
                <w:rFonts w:ascii="Times New Roman" w:hAnsi="Times New Roman" w:cs="Times New Roman"/>
                <w:sz w:val="20"/>
                <w:szCs w:val="20"/>
                <w:lang w:val="en-US"/>
              </w:rPr>
            </w:pPr>
            <w:r w:rsidRPr="00C12A84">
              <w:rPr>
                <w:rFonts w:ascii="Times New Roman" w:hAnsi="Times New Roman" w:cs="Times New Roman"/>
                <w:sz w:val="20"/>
                <w:szCs w:val="20"/>
                <w:lang w:val="en-US"/>
              </w:rPr>
              <w:t>-Splash floods and erosion</w:t>
            </w:r>
          </w:p>
        </w:tc>
        <w:tc>
          <w:tcPr>
            <w:tcW w:w="4396" w:type="dxa"/>
          </w:tcPr>
          <w:p w14:paraId="3E47E0FB"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Fly-ash bricks, bamboo, green roof, glass fibre-</w:t>
            </w:r>
          </w:p>
        </w:tc>
      </w:tr>
      <w:tr w:rsidR="00C12A84" w:rsidRPr="00C12A84" w14:paraId="09BF05A1" w14:textId="77777777" w:rsidTr="00C12A84">
        <w:trPr>
          <w:trHeight w:val="345"/>
          <w:jc w:val="center"/>
        </w:trPr>
        <w:tc>
          <w:tcPr>
            <w:tcW w:w="572" w:type="dxa"/>
          </w:tcPr>
          <w:p w14:paraId="0D7D79A7"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1271" w:type="dxa"/>
          </w:tcPr>
          <w:p w14:paraId="21B0B763"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3142" w:type="dxa"/>
          </w:tcPr>
          <w:p w14:paraId="137821E4" w14:textId="77777777" w:rsidR="00C12A84" w:rsidRPr="00C12A84" w:rsidRDefault="00C12A84" w:rsidP="00C12A84">
            <w:pPr>
              <w:autoSpaceDE w:val="0"/>
              <w:autoSpaceDN w:val="0"/>
              <w:adjustRightInd w:val="0"/>
              <w:spacing w:after="0" w:line="240" w:lineRule="auto"/>
              <w:jc w:val="both"/>
              <w:rPr>
                <w:rFonts w:ascii="Times New Roman" w:hAnsi="Times New Roman" w:cs="Times New Roman"/>
                <w:sz w:val="20"/>
                <w:szCs w:val="20"/>
                <w:lang w:val="en-US"/>
              </w:rPr>
            </w:pPr>
            <w:r w:rsidRPr="00C12A84">
              <w:rPr>
                <w:rFonts w:ascii="Times New Roman" w:hAnsi="Times New Roman" w:cs="Times New Roman"/>
                <w:sz w:val="20"/>
                <w:szCs w:val="20"/>
                <w:lang w:val="en-US"/>
              </w:rPr>
              <w:t>-Sea waves and high temperature</w:t>
            </w:r>
          </w:p>
        </w:tc>
        <w:tc>
          <w:tcPr>
            <w:tcW w:w="4396" w:type="dxa"/>
          </w:tcPr>
          <w:p w14:paraId="02B8E1E7"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reinforced plastics, hempcrete, mycelium, ferrock,</w:t>
            </w:r>
          </w:p>
        </w:tc>
      </w:tr>
      <w:tr w:rsidR="00C12A84" w:rsidRPr="00C12A84" w14:paraId="2EFAC7D5" w14:textId="77777777" w:rsidTr="0002104B">
        <w:trPr>
          <w:trHeight w:val="282"/>
          <w:jc w:val="center"/>
        </w:trPr>
        <w:tc>
          <w:tcPr>
            <w:tcW w:w="572" w:type="dxa"/>
            <w:tcBorders>
              <w:bottom w:val="single" w:sz="4" w:space="0" w:color="auto"/>
            </w:tcBorders>
          </w:tcPr>
          <w:p w14:paraId="0047B980"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1271" w:type="dxa"/>
            <w:tcBorders>
              <w:bottom w:val="single" w:sz="4" w:space="0" w:color="auto"/>
            </w:tcBorders>
          </w:tcPr>
          <w:p w14:paraId="5AA41CF6"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p>
        </w:tc>
        <w:tc>
          <w:tcPr>
            <w:tcW w:w="3142" w:type="dxa"/>
            <w:tcBorders>
              <w:bottom w:val="single" w:sz="4" w:space="0" w:color="auto"/>
            </w:tcBorders>
          </w:tcPr>
          <w:p w14:paraId="64F7E029" w14:textId="6C26B6D1" w:rsidR="00C12A84" w:rsidRPr="00C12A84" w:rsidRDefault="00C12A84" w:rsidP="00C12A84">
            <w:pPr>
              <w:autoSpaceDE w:val="0"/>
              <w:autoSpaceDN w:val="0"/>
              <w:adjustRightInd w:val="0"/>
              <w:spacing w:after="0" w:line="240" w:lineRule="auto"/>
              <w:jc w:val="both"/>
              <w:rPr>
                <w:rFonts w:ascii="Times New Roman" w:hAnsi="Times New Roman" w:cs="Times New Roman"/>
                <w:sz w:val="20"/>
                <w:szCs w:val="20"/>
                <w:lang w:val="en-US"/>
              </w:rPr>
            </w:pPr>
            <w:r w:rsidRPr="00C12A84">
              <w:rPr>
                <w:rFonts w:ascii="Times New Roman" w:hAnsi="Times New Roman" w:cs="Times New Roman"/>
                <w:sz w:val="20"/>
                <w:szCs w:val="20"/>
                <w:lang w:val="en-US"/>
              </w:rPr>
              <w:t>-Windstorm and high</w:t>
            </w:r>
            <w:r w:rsidRPr="00C12A84">
              <w:rPr>
                <w:rFonts w:ascii="Times New Roman" w:hAnsi="Times New Roman" w:cs="Times New Roman"/>
                <w:sz w:val="20"/>
                <w:szCs w:val="20"/>
                <w:lang w:val="en-US"/>
              </w:rPr>
              <w:t xml:space="preserve"> rain fall</w:t>
            </w:r>
          </w:p>
        </w:tc>
        <w:tc>
          <w:tcPr>
            <w:tcW w:w="4396" w:type="dxa"/>
            <w:tcBorders>
              <w:bottom w:val="single" w:sz="4" w:space="0" w:color="auto"/>
            </w:tcBorders>
          </w:tcPr>
          <w:p w14:paraId="145F8194" w14:textId="77777777" w:rsidR="00C12A84" w:rsidRPr="00C12A84" w:rsidRDefault="00C12A84" w:rsidP="00C12A84">
            <w:pPr>
              <w:autoSpaceDE w:val="0"/>
              <w:autoSpaceDN w:val="0"/>
              <w:adjustRightInd w:val="0"/>
              <w:spacing w:after="0" w:line="240" w:lineRule="auto"/>
              <w:rPr>
                <w:rFonts w:ascii="Times New Roman" w:hAnsi="Times New Roman" w:cs="Times New Roman"/>
                <w:sz w:val="20"/>
                <w:szCs w:val="20"/>
                <w:lang w:val="en-US"/>
              </w:rPr>
            </w:pPr>
            <w:r w:rsidRPr="00C12A84">
              <w:rPr>
                <w:rFonts w:ascii="Times New Roman" w:hAnsi="Times New Roman" w:cs="Times New Roman"/>
                <w:sz w:val="20"/>
                <w:szCs w:val="20"/>
                <w:lang w:val="en-US"/>
              </w:rPr>
              <w:t>recycled concrete, plastic, steel and wood</w:t>
            </w:r>
          </w:p>
        </w:tc>
      </w:tr>
    </w:tbl>
    <w:p w14:paraId="0513E58D" w14:textId="77777777" w:rsidR="00F03AC5" w:rsidRDefault="00F03AC5" w:rsidP="00A226D9">
      <w:pPr>
        <w:autoSpaceDE w:val="0"/>
        <w:autoSpaceDN w:val="0"/>
        <w:adjustRightInd w:val="0"/>
        <w:spacing w:after="0" w:line="240" w:lineRule="auto"/>
        <w:rPr>
          <w:rFonts w:ascii="Times New Roman" w:hAnsi="Times New Roman" w:cs="Times New Roman"/>
          <w:sz w:val="24"/>
          <w:szCs w:val="24"/>
        </w:rPr>
      </w:pPr>
    </w:p>
    <w:p w14:paraId="7E9DBB73" w14:textId="77777777" w:rsidR="00F03AC5" w:rsidRDefault="00F03AC5" w:rsidP="00A226D9">
      <w:pPr>
        <w:autoSpaceDE w:val="0"/>
        <w:autoSpaceDN w:val="0"/>
        <w:adjustRightInd w:val="0"/>
        <w:spacing w:after="0" w:line="240" w:lineRule="auto"/>
        <w:rPr>
          <w:rFonts w:ascii="Times New Roman" w:hAnsi="Times New Roman" w:cs="Times New Roman"/>
          <w:sz w:val="24"/>
          <w:szCs w:val="24"/>
        </w:rPr>
      </w:pPr>
    </w:p>
    <w:p w14:paraId="0560677D" w14:textId="6A11B934" w:rsidR="00A226D9" w:rsidRPr="001623CF" w:rsidRDefault="0002104B" w:rsidP="00A226D9">
      <w:pPr>
        <w:autoSpaceDE w:val="0"/>
        <w:autoSpaceDN w:val="0"/>
        <w:adjustRightInd w:val="0"/>
        <w:spacing w:after="0" w:line="240" w:lineRule="auto"/>
        <w:rPr>
          <w:rFonts w:ascii="Times New Roman" w:hAnsi="Times New Roman" w:cs="Times New Roman"/>
          <w:b/>
          <w:bCs/>
          <w:sz w:val="24"/>
          <w:szCs w:val="24"/>
        </w:rPr>
      </w:pPr>
      <w:r w:rsidRPr="001623CF">
        <w:rPr>
          <w:rFonts w:ascii="Times New Roman" w:hAnsi="Times New Roman" w:cs="Times New Roman"/>
          <w:b/>
          <w:bCs/>
          <w:sz w:val="24"/>
          <w:szCs w:val="24"/>
        </w:rPr>
        <w:t>Conclusion</w:t>
      </w:r>
    </w:p>
    <w:p w14:paraId="33DC3A2A" w14:textId="59478D27" w:rsidR="00A226D9" w:rsidRPr="00BE4AF3" w:rsidRDefault="00A226D9" w:rsidP="001623CF">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According to the recommendations in Table 3, adopting green building materials is crucial for</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reducing CO2 emissions in the Nigerian housing sector and being responsive to the various</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climatic features of the country's six geo-political zones. Beyond the identification of the various</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green building materials, their source and green property were highlighted to reflect on the various</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applications in the housing sector through the building elements of walling, flooring, roofing,</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ceiling, internal and external cladding, interior furnishing, doors, windows and other structural</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elements.</w:t>
      </w:r>
    </w:p>
    <w:p w14:paraId="152E0174" w14:textId="69408D86" w:rsidR="00A226D9" w:rsidRPr="00BE4AF3" w:rsidRDefault="00A226D9" w:rsidP="001623CF">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study exposed the global implications of using non-green building materials and the global</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emission level of CO2 associated with non-compliance with green building standards. The green</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building standard, when adopted, shall focus on the various benefits of green building materials,</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encompassing health, economic, and environmental benefits. The six regions in Nigeria were</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identified with their various annual CO2 emissions to reflect their level of global warming and</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climate change. Their levels of annual carbon emission point out the necessity of lowering</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emissions through adopting various green building materials in the construction of Nigeria’s</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housing sector.</w:t>
      </w:r>
    </w:p>
    <w:p w14:paraId="3588051E" w14:textId="765160F2" w:rsidR="00A226D9" w:rsidRPr="00BE4AF3" w:rsidRDefault="00A226D9" w:rsidP="001623CF">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Government policies and legislation should be formulated vigorously to regulate energy and</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environmental designs within the building industry. An example to follow suit is the Green</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Building Council of America, which took the responsibility of Leadership in Energy and</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Environmental Design (LEED). A scale to regulate carbon emissions in buildings was stipulated</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for the lowest to be LEED Certified with 40-49 points, and LEED Platinum to be 80 points and</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above. The Nigerian government can positively contribute to its housing sector by adopting the</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Green Building Council's LEED standards or by formulating its own green building standards</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based on these guidelines. Such regulatory bodies, when legislated in Nigeria, shall provide the</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six geo-political zones with sustainable construction technologies, lower carbon emissions, driven</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 xml:space="preserve">by recycled industrial waste and agricultural waste, and a reduction in global warming, along </w:t>
      </w:r>
      <w:r w:rsidR="001623CF" w:rsidRPr="00BE4AF3">
        <w:rPr>
          <w:rFonts w:ascii="Times New Roman" w:hAnsi="Times New Roman" w:cs="Times New Roman"/>
          <w:sz w:val="24"/>
          <w:szCs w:val="24"/>
        </w:rPr>
        <w:t>with</w:t>
      </w:r>
      <w:r w:rsidR="001623CF">
        <w:rPr>
          <w:rFonts w:ascii="Times New Roman" w:hAnsi="Times New Roman" w:cs="Times New Roman"/>
          <w:sz w:val="24"/>
          <w:szCs w:val="24"/>
        </w:rPr>
        <w:t xml:space="preserve"> a</w:t>
      </w:r>
      <w:r w:rsidRPr="00BE4AF3">
        <w:rPr>
          <w:rFonts w:ascii="Times New Roman" w:hAnsi="Times New Roman" w:cs="Times New Roman"/>
          <w:sz w:val="24"/>
          <w:szCs w:val="24"/>
        </w:rPr>
        <w:t xml:space="preserve"> longer service life for its citizens as occupants of the housing sector and partners in the built</w:t>
      </w:r>
      <w:r w:rsidR="001623CF">
        <w:rPr>
          <w:rFonts w:ascii="Times New Roman" w:hAnsi="Times New Roman" w:cs="Times New Roman"/>
          <w:sz w:val="24"/>
          <w:szCs w:val="24"/>
        </w:rPr>
        <w:t xml:space="preserve"> </w:t>
      </w:r>
      <w:r w:rsidRPr="00BE4AF3">
        <w:rPr>
          <w:rFonts w:ascii="Times New Roman" w:hAnsi="Times New Roman" w:cs="Times New Roman"/>
          <w:sz w:val="24"/>
          <w:szCs w:val="24"/>
        </w:rPr>
        <w:t>environment.</w:t>
      </w:r>
    </w:p>
    <w:p w14:paraId="43ED4C97" w14:textId="77777777" w:rsidR="001623CF" w:rsidRDefault="001623CF" w:rsidP="001623CF">
      <w:pPr>
        <w:autoSpaceDE w:val="0"/>
        <w:autoSpaceDN w:val="0"/>
        <w:adjustRightInd w:val="0"/>
        <w:spacing w:after="0" w:line="240" w:lineRule="auto"/>
        <w:jc w:val="both"/>
        <w:rPr>
          <w:rFonts w:ascii="Times New Roman" w:hAnsi="Times New Roman" w:cs="Times New Roman"/>
          <w:sz w:val="24"/>
          <w:szCs w:val="24"/>
        </w:rPr>
      </w:pPr>
    </w:p>
    <w:p w14:paraId="3E392218" w14:textId="585AFBC8" w:rsidR="00A226D9" w:rsidRPr="00C2089D" w:rsidRDefault="00C2089D" w:rsidP="001623CF">
      <w:pPr>
        <w:autoSpaceDE w:val="0"/>
        <w:autoSpaceDN w:val="0"/>
        <w:adjustRightInd w:val="0"/>
        <w:spacing w:after="0" w:line="240" w:lineRule="auto"/>
        <w:jc w:val="both"/>
        <w:rPr>
          <w:rFonts w:ascii="Times New Roman" w:hAnsi="Times New Roman" w:cs="Times New Roman"/>
          <w:b/>
          <w:bCs/>
          <w:sz w:val="24"/>
          <w:szCs w:val="24"/>
        </w:rPr>
      </w:pPr>
      <w:r w:rsidRPr="00C2089D">
        <w:rPr>
          <w:rFonts w:ascii="Times New Roman" w:hAnsi="Times New Roman" w:cs="Times New Roman"/>
          <w:b/>
          <w:bCs/>
          <w:sz w:val="24"/>
          <w:szCs w:val="24"/>
        </w:rPr>
        <w:t>References</w:t>
      </w:r>
    </w:p>
    <w:p w14:paraId="497BAA6C" w14:textId="59C9FED7" w:rsidR="00A226D9" w:rsidRPr="00BE4AF3" w:rsidRDefault="00A226D9" w:rsidP="00E308A0">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Abera, Y.A. (2024). Sustainable Building Materials: A Comprehensive Study on Eco-friendly</w:t>
      </w:r>
      <w:r w:rsidR="00E308A0">
        <w:rPr>
          <w:rFonts w:ascii="Times New Roman" w:hAnsi="Times New Roman" w:cs="Times New Roman"/>
          <w:sz w:val="24"/>
          <w:szCs w:val="24"/>
        </w:rPr>
        <w:t xml:space="preserve"> </w:t>
      </w:r>
      <w:r w:rsidRPr="00BE4AF3">
        <w:rPr>
          <w:rFonts w:ascii="Times New Roman" w:hAnsi="Times New Roman" w:cs="Times New Roman"/>
          <w:sz w:val="24"/>
          <w:szCs w:val="24"/>
        </w:rPr>
        <w:t>Alternatives for Construction. Composite and Advanced Materials 33:1-17.</w:t>
      </w:r>
    </w:p>
    <w:p w14:paraId="75A5BC84" w14:textId="2A730620" w:rsidR="00A226D9" w:rsidRPr="00BE4AF3" w:rsidRDefault="00A226D9" w:rsidP="00E308A0">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Agencia Internacional de Energía (2018). Global Status Report 2018: towards a zero-</w:t>
      </w:r>
      <w:r w:rsidR="00E308A0" w:rsidRPr="00BE4AF3">
        <w:rPr>
          <w:rFonts w:ascii="Times New Roman" w:hAnsi="Times New Roman" w:cs="Times New Roman"/>
          <w:sz w:val="24"/>
          <w:szCs w:val="24"/>
        </w:rPr>
        <w:t>emission, efficient</w:t>
      </w:r>
      <w:r w:rsidRPr="00BE4AF3">
        <w:rPr>
          <w:rFonts w:ascii="Times New Roman" w:hAnsi="Times New Roman" w:cs="Times New Roman"/>
          <w:sz w:val="24"/>
          <w:szCs w:val="24"/>
        </w:rPr>
        <w:t xml:space="preserve"> and resilient buildings and construction sector. Glob status rep. 325 [Online]</w:t>
      </w:r>
      <w:r w:rsidR="00E308A0">
        <w:rPr>
          <w:rFonts w:ascii="Times New Roman" w:hAnsi="Times New Roman" w:cs="Times New Roman"/>
          <w:sz w:val="24"/>
          <w:szCs w:val="24"/>
        </w:rPr>
        <w:t xml:space="preserve"> </w:t>
      </w:r>
      <w:r w:rsidRPr="00BE4AF3">
        <w:rPr>
          <w:rFonts w:ascii="Times New Roman" w:hAnsi="Times New Roman" w:cs="Times New Roman"/>
          <w:sz w:val="24"/>
          <w:szCs w:val="24"/>
        </w:rPr>
        <w:t>Available: https://www.ren21.net/status-of-renewables/global-status-report/.</w:t>
      </w:r>
    </w:p>
    <w:p w14:paraId="7BE9CCDA" w14:textId="62366006" w:rsidR="00A226D9" w:rsidRPr="00BE4AF3" w:rsidRDefault="00A226D9" w:rsidP="00E308A0">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lastRenderedPageBreak/>
        <w:t>Agbebaku, H. (2015). Content Analysis of Climatic Variables, Environmental ChallengesAnd Climate Change: A Study of the Six Geo-Political Zones in Nigeria. Quest</w:t>
      </w:r>
      <w:r w:rsidR="00E308A0">
        <w:rPr>
          <w:rFonts w:ascii="Times New Roman" w:hAnsi="Times New Roman" w:cs="Times New Roman"/>
          <w:sz w:val="24"/>
          <w:szCs w:val="24"/>
        </w:rPr>
        <w:t xml:space="preserve"> </w:t>
      </w:r>
      <w:r w:rsidRPr="00BE4AF3">
        <w:rPr>
          <w:rFonts w:ascii="Times New Roman" w:hAnsi="Times New Roman" w:cs="Times New Roman"/>
          <w:sz w:val="24"/>
          <w:szCs w:val="24"/>
        </w:rPr>
        <w:t>Journal of Research in Environmental and Earth Sciences. 2(4):1-12.</w:t>
      </w:r>
    </w:p>
    <w:p w14:paraId="0650139F" w14:textId="1357D99E" w:rsidR="00A226D9" w:rsidRPr="00BE4AF3" w:rsidRDefault="00A226D9" w:rsidP="00E308A0">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Ali, M.S., Shukri, S., Patel, M. &amp; Ahad, A. (2020). Alternative Building Materials for</w:t>
      </w:r>
      <w:r w:rsidR="00E308A0">
        <w:rPr>
          <w:rFonts w:ascii="Times New Roman" w:hAnsi="Times New Roman" w:cs="Times New Roman"/>
          <w:sz w:val="24"/>
          <w:szCs w:val="24"/>
        </w:rPr>
        <w:t xml:space="preserve"> </w:t>
      </w:r>
      <w:r w:rsidRPr="00BE4AF3">
        <w:rPr>
          <w:rFonts w:ascii="Times New Roman" w:hAnsi="Times New Roman" w:cs="Times New Roman"/>
          <w:sz w:val="24"/>
          <w:szCs w:val="24"/>
        </w:rPr>
        <w:t>Sustainable Development in Ethiopian Construction. International Research</w:t>
      </w:r>
      <w:r w:rsidR="00E308A0">
        <w:rPr>
          <w:rFonts w:ascii="Times New Roman" w:hAnsi="Times New Roman" w:cs="Times New Roman"/>
          <w:sz w:val="24"/>
          <w:szCs w:val="24"/>
        </w:rPr>
        <w:t xml:space="preserve"> </w:t>
      </w:r>
      <w:r w:rsidRPr="00BE4AF3">
        <w:rPr>
          <w:rFonts w:ascii="Times New Roman" w:hAnsi="Times New Roman" w:cs="Times New Roman"/>
          <w:sz w:val="24"/>
          <w:szCs w:val="24"/>
        </w:rPr>
        <w:t>Journal of Engineering and Technology (IRJET), 7(6): 2899-2903.</w:t>
      </w:r>
    </w:p>
    <w:p w14:paraId="25B21028" w14:textId="5282A523" w:rsidR="00A226D9" w:rsidRPr="00BE4AF3" w:rsidRDefault="00A226D9" w:rsidP="00E308A0">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Alphin (2022). What are Sustainable Building Materials? Characteristics and Benefits.</w:t>
      </w:r>
      <w:r w:rsidR="00E308A0">
        <w:rPr>
          <w:rFonts w:ascii="Times New Roman" w:hAnsi="Times New Roman" w:cs="Times New Roman"/>
          <w:sz w:val="24"/>
          <w:szCs w:val="24"/>
        </w:rPr>
        <w:t xml:space="preserve"> </w:t>
      </w:r>
      <w:r w:rsidRPr="00BE4AF3">
        <w:rPr>
          <w:rFonts w:ascii="Times New Roman" w:hAnsi="Times New Roman" w:cs="Times New Roman"/>
          <w:sz w:val="24"/>
          <w:szCs w:val="24"/>
        </w:rPr>
        <w:t>Retrieved from https://www.alphinme.com/sustainable-building-materials June 2025.</w:t>
      </w:r>
    </w:p>
    <w:p w14:paraId="5439E276" w14:textId="11DA7BD7" w:rsidR="00A226D9" w:rsidRPr="00BE4AF3" w:rsidRDefault="00A226D9" w:rsidP="00E308A0">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ArchDaily. (2018). Cross Laminated Timber (CLT): What it is and how to use it. Retrieved from</w:t>
      </w:r>
      <w:r w:rsidR="00E308A0">
        <w:rPr>
          <w:rFonts w:ascii="Times New Roman" w:hAnsi="Times New Roman" w:cs="Times New Roman"/>
          <w:sz w:val="24"/>
          <w:szCs w:val="24"/>
        </w:rPr>
        <w:t xml:space="preserve"> </w:t>
      </w:r>
      <w:r w:rsidRPr="00BE4AF3">
        <w:rPr>
          <w:rFonts w:ascii="Times New Roman" w:hAnsi="Times New Roman" w:cs="Times New Roman"/>
          <w:sz w:val="24"/>
          <w:szCs w:val="24"/>
        </w:rPr>
        <w:t>https://www.archdaily.com/893442/cross-laminated-timber-clt-what-it-is-and-how-touse-it. July 2025.</w:t>
      </w:r>
    </w:p>
    <w:p w14:paraId="1FA998F5" w14:textId="75ED578D" w:rsidR="00A226D9" w:rsidRPr="00BE4AF3" w:rsidRDefault="00A226D9" w:rsidP="00E308A0">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Azkorra-Larrinaga, Z.; Romero-Antón, N.; Martin-Escudero, K.; Lopez-Ruiz, G. (2023).</w:t>
      </w:r>
      <w:r w:rsidR="00E308A0">
        <w:rPr>
          <w:rFonts w:ascii="Times New Roman" w:hAnsi="Times New Roman" w:cs="Times New Roman"/>
          <w:sz w:val="24"/>
          <w:szCs w:val="24"/>
        </w:rPr>
        <w:t xml:space="preserve"> </w:t>
      </w:r>
      <w:r w:rsidRPr="00BE4AF3">
        <w:rPr>
          <w:rFonts w:ascii="Times New Roman" w:hAnsi="Times New Roman" w:cs="Times New Roman"/>
          <w:sz w:val="24"/>
          <w:szCs w:val="24"/>
        </w:rPr>
        <w:t>Environmentally sustainable green roof design for energy demand reduction. Buildings,</w:t>
      </w:r>
      <w:r w:rsidR="00E308A0">
        <w:rPr>
          <w:rFonts w:ascii="Times New Roman" w:hAnsi="Times New Roman" w:cs="Times New Roman"/>
          <w:sz w:val="24"/>
          <w:szCs w:val="24"/>
        </w:rPr>
        <w:t xml:space="preserve"> </w:t>
      </w:r>
      <w:r w:rsidRPr="00BE4AF3">
        <w:rPr>
          <w:rFonts w:ascii="Times New Roman" w:hAnsi="Times New Roman" w:cs="Times New Roman"/>
          <w:sz w:val="24"/>
          <w:szCs w:val="24"/>
        </w:rPr>
        <w:t>13, 1846. https://doi.org/10.3390/buildings13071846.</w:t>
      </w:r>
    </w:p>
    <w:p w14:paraId="4C430DF1" w14:textId="10E4EB9F" w:rsidR="00A226D9" w:rsidRPr="00BE4AF3" w:rsidRDefault="00A226D9" w:rsidP="00664C94">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Batayneh, M.K., Marie, I., Asi, I. (2007). Use of selected waste materials in concrete mixes. Waste</w:t>
      </w:r>
      <w:r w:rsidR="00664C94">
        <w:rPr>
          <w:rFonts w:ascii="Times New Roman" w:hAnsi="Times New Roman" w:cs="Times New Roman"/>
          <w:sz w:val="24"/>
          <w:szCs w:val="24"/>
        </w:rPr>
        <w:t xml:space="preserve"> </w:t>
      </w:r>
      <w:r w:rsidRPr="00BE4AF3">
        <w:rPr>
          <w:rFonts w:ascii="Times New Roman" w:hAnsi="Times New Roman" w:cs="Times New Roman"/>
          <w:sz w:val="24"/>
          <w:szCs w:val="24"/>
        </w:rPr>
        <w:t>Management. 27, 1870–1876. https://doi.org/10.1016/j.wasman.2006.07.026.</w:t>
      </w:r>
    </w:p>
    <w:p w14:paraId="72563589" w14:textId="63A4828B" w:rsidR="00A226D9" w:rsidRPr="00BE4AF3" w:rsidRDefault="00A226D9" w:rsidP="00664C94">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Barbulianno (2020). 18 Eco-Friendly Building Materials that Help you Save Energy and the</w:t>
      </w:r>
      <w:r w:rsidR="00664C94">
        <w:rPr>
          <w:rFonts w:ascii="Times New Roman" w:hAnsi="Times New Roman" w:cs="Times New Roman"/>
          <w:sz w:val="24"/>
          <w:szCs w:val="24"/>
        </w:rPr>
        <w:t xml:space="preserve"> </w:t>
      </w:r>
      <w:r w:rsidRPr="00BE4AF3">
        <w:rPr>
          <w:rFonts w:ascii="Times New Roman" w:hAnsi="Times New Roman" w:cs="Times New Roman"/>
          <w:sz w:val="24"/>
          <w:szCs w:val="24"/>
        </w:rPr>
        <w:t>Earth. Available at: https://www.barbuliannodesign.com/post/eco-friendly-buildingmaterials-list [Accessed May 2025].</w:t>
      </w:r>
    </w:p>
    <w:p w14:paraId="3E246AAC" w14:textId="698A7D33" w:rsidR="00A226D9" w:rsidRPr="00BE4AF3" w:rsidRDefault="00A226D9" w:rsidP="00664C94">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Brendan, S., Nicholas, T., Rabin, M., Amit, K.M., Guarav, T. (2024). The Shift Towards Green</w:t>
      </w:r>
      <w:r w:rsidR="00664C94">
        <w:rPr>
          <w:rFonts w:ascii="Times New Roman" w:hAnsi="Times New Roman" w:cs="Times New Roman"/>
          <w:sz w:val="24"/>
          <w:szCs w:val="24"/>
        </w:rPr>
        <w:t xml:space="preserve"> </w:t>
      </w:r>
      <w:r w:rsidRPr="00BE4AF3">
        <w:rPr>
          <w:rFonts w:ascii="Times New Roman" w:hAnsi="Times New Roman" w:cs="Times New Roman"/>
          <w:sz w:val="24"/>
          <w:szCs w:val="24"/>
        </w:rPr>
        <w:t>Construction: A Review of Environmental Management Strategies and Sustainable</w:t>
      </w:r>
      <w:r w:rsidR="00664C94">
        <w:rPr>
          <w:rFonts w:ascii="Times New Roman" w:hAnsi="Times New Roman" w:cs="Times New Roman"/>
          <w:sz w:val="24"/>
          <w:szCs w:val="24"/>
        </w:rPr>
        <w:t xml:space="preserve"> </w:t>
      </w:r>
      <w:r w:rsidRPr="00BE4AF3">
        <w:rPr>
          <w:rFonts w:ascii="Times New Roman" w:hAnsi="Times New Roman" w:cs="Times New Roman"/>
          <w:sz w:val="24"/>
          <w:szCs w:val="24"/>
        </w:rPr>
        <w:t>Materials in Developed Countries. Tropical Environment, Biology, and Technology</w:t>
      </w:r>
      <w:r w:rsidR="00664C94">
        <w:rPr>
          <w:rFonts w:ascii="Times New Roman" w:hAnsi="Times New Roman" w:cs="Times New Roman"/>
          <w:sz w:val="24"/>
          <w:szCs w:val="24"/>
        </w:rPr>
        <w:t xml:space="preserve"> </w:t>
      </w:r>
      <w:r w:rsidRPr="00BE4AF3">
        <w:rPr>
          <w:rFonts w:ascii="Times New Roman" w:hAnsi="Times New Roman" w:cs="Times New Roman"/>
          <w:sz w:val="24"/>
          <w:szCs w:val="24"/>
        </w:rPr>
        <w:t>2(2): 80-92.</w:t>
      </w:r>
    </w:p>
    <w:p w14:paraId="0A089C0D" w14:textId="7D04353E" w:rsidR="00A226D9" w:rsidRPr="00BE4AF3" w:rsidRDefault="00A226D9" w:rsidP="00664C94">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Brown, D. (2018). 20 Alternative Construction Materials, Techniques and Technologies.</w:t>
      </w:r>
      <w:r w:rsidR="00664C94">
        <w:rPr>
          <w:rFonts w:ascii="Times New Roman" w:hAnsi="Times New Roman" w:cs="Times New Roman"/>
          <w:sz w:val="24"/>
          <w:szCs w:val="24"/>
        </w:rPr>
        <w:t xml:space="preserve"> </w:t>
      </w:r>
      <w:r w:rsidRPr="00BE4AF3">
        <w:rPr>
          <w:rFonts w:ascii="Times New Roman" w:hAnsi="Times New Roman" w:cs="Times New Roman"/>
          <w:sz w:val="24"/>
          <w:szCs w:val="24"/>
        </w:rPr>
        <w:t>Available at: https://www.davis-brown.co.uk/news/20-alternative-constructionmaterials-techniques-and-technologies/ [Accessed May 2025].</w:t>
      </w:r>
    </w:p>
    <w:p w14:paraId="3DA2AD0F" w14:textId="114FDD70" w:rsidR="00A226D9" w:rsidRPr="00BE4AF3" w:rsidRDefault="00A226D9" w:rsidP="00664C94">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Cemex Venture. (2025). Construction Industry Flagship: Open Innovation and Venture Capital</w:t>
      </w:r>
      <w:r w:rsidR="00664C94">
        <w:rPr>
          <w:rFonts w:ascii="Times New Roman" w:hAnsi="Times New Roman" w:cs="Times New Roman"/>
          <w:sz w:val="24"/>
          <w:szCs w:val="24"/>
        </w:rPr>
        <w:t xml:space="preserve"> </w:t>
      </w:r>
      <w:r w:rsidRPr="00BE4AF3">
        <w:rPr>
          <w:rFonts w:ascii="Times New Roman" w:hAnsi="Times New Roman" w:cs="Times New Roman"/>
          <w:sz w:val="24"/>
          <w:szCs w:val="24"/>
        </w:rPr>
        <w:t>Unit. Accessed at https://www.cemexventures.com July 2025.</w:t>
      </w:r>
    </w:p>
    <w:p w14:paraId="3F410C9B" w14:textId="7EB05B9F" w:rsidR="00A226D9" w:rsidRPr="00BE4AF3" w:rsidRDefault="00A226D9" w:rsidP="00664C94">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Clyne, T. W. &amp; Hull, D. (2019). An Introduction to Composite Materials, Third Edition</w:t>
      </w:r>
      <w:r w:rsidR="00664C94">
        <w:rPr>
          <w:rFonts w:ascii="Times New Roman" w:hAnsi="Times New Roman" w:cs="Times New Roman"/>
          <w:sz w:val="24"/>
          <w:szCs w:val="24"/>
        </w:rPr>
        <w:t xml:space="preserve"> </w:t>
      </w:r>
      <w:r w:rsidRPr="00BE4AF3">
        <w:rPr>
          <w:rFonts w:ascii="Times New Roman" w:hAnsi="Times New Roman" w:cs="Times New Roman"/>
          <w:sz w:val="24"/>
          <w:szCs w:val="24"/>
        </w:rPr>
        <w:t>Cambridge University Press.</w:t>
      </w:r>
    </w:p>
    <w:p w14:paraId="56A19616" w14:textId="7B1E2AF2" w:rsidR="00A226D9" w:rsidRPr="00BE4AF3" w:rsidRDefault="00A226D9" w:rsidP="00664C94">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Dordick, V. (2022). 15 Cheap Building Materials for a New Home on A Budget. Available at:</w:t>
      </w:r>
      <w:r w:rsidR="00664C94">
        <w:rPr>
          <w:rFonts w:ascii="Times New Roman" w:hAnsi="Times New Roman" w:cs="Times New Roman"/>
          <w:sz w:val="24"/>
          <w:szCs w:val="24"/>
        </w:rPr>
        <w:t xml:space="preserve"> </w:t>
      </w:r>
      <w:hyperlink r:id="rId124" w:history="1">
        <w:r w:rsidR="00664C94" w:rsidRPr="00373AB2">
          <w:rPr>
            <w:rStyle w:val="Hyperlink"/>
            <w:rFonts w:ascii="Times New Roman" w:hAnsi="Times New Roman" w:cs="Times New Roman"/>
            <w:sz w:val="24"/>
            <w:szCs w:val="24"/>
          </w:rPr>
          <w:t>https://www.homedit.com/construction-budget-with-these-cheap-buildingmaterials/</w:t>
        </w:r>
      </w:hyperlink>
      <w:r w:rsidR="00664C94">
        <w:rPr>
          <w:rFonts w:ascii="Times New Roman" w:hAnsi="Times New Roman" w:cs="Times New Roman"/>
          <w:sz w:val="24"/>
          <w:szCs w:val="24"/>
        </w:rPr>
        <w:t xml:space="preserve"> </w:t>
      </w:r>
      <w:r w:rsidRPr="00BE4AF3">
        <w:rPr>
          <w:rFonts w:ascii="Times New Roman" w:hAnsi="Times New Roman" w:cs="Times New Roman"/>
          <w:sz w:val="24"/>
          <w:szCs w:val="24"/>
        </w:rPr>
        <w:t>[Accessed June 2025].</w:t>
      </w:r>
    </w:p>
    <w:p w14:paraId="32BE2FDE" w14:textId="22D26F45" w:rsidR="00A226D9" w:rsidRPr="00BE4AF3" w:rsidRDefault="00A226D9" w:rsidP="00664C94">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Ezema, I.C., Opoko, A.P., Oluwatayo, A.A. (2016). De-carbonising the Nigerian housing sector:</w:t>
      </w:r>
      <w:r w:rsidR="00664C94">
        <w:rPr>
          <w:rFonts w:ascii="Times New Roman" w:hAnsi="Times New Roman" w:cs="Times New Roman"/>
          <w:sz w:val="24"/>
          <w:szCs w:val="24"/>
        </w:rPr>
        <w:t xml:space="preserve"> </w:t>
      </w:r>
      <w:r w:rsidRPr="00BE4AF3">
        <w:rPr>
          <w:rFonts w:ascii="Times New Roman" w:hAnsi="Times New Roman" w:cs="Times New Roman"/>
          <w:sz w:val="24"/>
          <w:szCs w:val="24"/>
        </w:rPr>
        <w:t>The Role of Life Cycle CO2 Assessment. Int. J. Appl. Environ. Sci. 11 (1), 325–349</w:t>
      </w:r>
      <w:r w:rsidR="00664C94">
        <w:rPr>
          <w:rFonts w:ascii="Times New Roman" w:hAnsi="Times New Roman" w:cs="Times New Roman"/>
          <w:sz w:val="24"/>
          <w:szCs w:val="24"/>
        </w:rPr>
        <w:t xml:space="preserve"> </w:t>
      </w:r>
      <w:r w:rsidRPr="00BE4AF3">
        <w:rPr>
          <w:rFonts w:ascii="Times New Roman" w:hAnsi="Times New Roman" w:cs="Times New Roman"/>
          <w:sz w:val="24"/>
          <w:szCs w:val="24"/>
        </w:rPr>
        <w:t>[Online].</w:t>
      </w:r>
      <w:r w:rsidR="00664C94">
        <w:rPr>
          <w:rFonts w:ascii="Times New Roman" w:hAnsi="Times New Roman" w:cs="Times New Roman"/>
          <w:sz w:val="24"/>
          <w:szCs w:val="24"/>
        </w:rPr>
        <w:t xml:space="preserve"> </w:t>
      </w:r>
      <w:r w:rsidRPr="00BE4AF3">
        <w:rPr>
          <w:rFonts w:ascii="Times New Roman" w:hAnsi="Times New Roman" w:cs="Times New Roman"/>
          <w:sz w:val="24"/>
          <w:szCs w:val="24"/>
        </w:rPr>
        <w:t>Available: http://www.ripublication.com.</w:t>
      </w:r>
    </w:p>
    <w:p w14:paraId="158A617F" w14:textId="55E8C143" w:rsidR="00A226D9" w:rsidRPr="00BE4AF3" w:rsidRDefault="00A226D9" w:rsidP="00664C94">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FRN (2018). Federal Republic of Nigeria First Biennial Update Report (BUR1) of the Federal</w:t>
      </w:r>
      <w:r w:rsidR="00664C94">
        <w:rPr>
          <w:rFonts w:ascii="Times New Roman" w:hAnsi="Times New Roman" w:cs="Times New Roman"/>
          <w:sz w:val="24"/>
          <w:szCs w:val="24"/>
        </w:rPr>
        <w:t xml:space="preserve"> </w:t>
      </w:r>
      <w:r w:rsidRPr="00BE4AF3">
        <w:rPr>
          <w:rFonts w:ascii="Times New Roman" w:hAnsi="Times New Roman" w:cs="Times New Roman"/>
          <w:sz w:val="24"/>
          <w:szCs w:val="24"/>
        </w:rPr>
        <w:t>Republic of Nigeria under the United Nations Framework Convention on Climate Change</w:t>
      </w:r>
      <w:r w:rsidR="00664C94">
        <w:rPr>
          <w:rFonts w:ascii="Times New Roman" w:hAnsi="Times New Roman" w:cs="Times New Roman"/>
          <w:sz w:val="24"/>
          <w:szCs w:val="24"/>
        </w:rPr>
        <w:t xml:space="preserve"> </w:t>
      </w:r>
      <w:r w:rsidRPr="00BE4AF3">
        <w:rPr>
          <w:rFonts w:ascii="Times New Roman" w:hAnsi="Times New Roman" w:cs="Times New Roman"/>
          <w:sz w:val="24"/>
          <w:szCs w:val="24"/>
        </w:rPr>
        <w:t xml:space="preserve">(UNFCCC), pp. 1–161 [Online]. Available: </w:t>
      </w:r>
      <w:hyperlink r:id="rId125" w:history="1">
        <w:r w:rsidR="00664C94" w:rsidRPr="00373AB2">
          <w:rPr>
            <w:rStyle w:val="Hyperlink"/>
            <w:rFonts w:ascii="Times New Roman" w:hAnsi="Times New Roman" w:cs="Times New Roman"/>
            <w:sz w:val="24"/>
            <w:szCs w:val="24"/>
          </w:rPr>
          <w:t>https://www4.unfccc.int/sites/submissions</w:t>
        </w:r>
      </w:hyperlink>
      <w:r w:rsidR="00664C94">
        <w:rPr>
          <w:rFonts w:ascii="Times New Roman" w:hAnsi="Times New Roman" w:cs="Times New Roman"/>
          <w:sz w:val="24"/>
          <w:szCs w:val="24"/>
        </w:rPr>
        <w:t xml:space="preserve"> </w:t>
      </w:r>
      <w:r w:rsidRPr="00BE4AF3">
        <w:rPr>
          <w:rFonts w:ascii="Times New Roman" w:hAnsi="Times New Roman" w:cs="Times New Roman"/>
          <w:sz w:val="24"/>
          <w:szCs w:val="24"/>
        </w:rPr>
        <w:t>Staging/NationalReports/Documents/218354_Nigeria-BUR1-1-Nigeria-BUR1_Final (2)</w:t>
      </w:r>
    </w:p>
    <w:p w14:paraId="617BADEC" w14:textId="579E97A8" w:rsidR="00A226D9" w:rsidRPr="00BE4AF3" w:rsidRDefault="00A226D9" w:rsidP="00664C94">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Ghosh, J. (2020). Is Fly Ash Brick a Suitable Alternative to Burnt Clay Brick for a Brick Wall?</w:t>
      </w:r>
      <w:r w:rsidR="00664C94">
        <w:rPr>
          <w:rFonts w:ascii="Times New Roman" w:hAnsi="Times New Roman" w:cs="Times New Roman"/>
          <w:sz w:val="24"/>
          <w:szCs w:val="24"/>
        </w:rPr>
        <w:t xml:space="preserve"> </w:t>
      </w:r>
      <w:r w:rsidRPr="00BE4AF3">
        <w:rPr>
          <w:rFonts w:ascii="Times New Roman" w:hAnsi="Times New Roman" w:cs="Times New Roman"/>
          <w:sz w:val="24"/>
          <w:szCs w:val="24"/>
        </w:rPr>
        <w:t>Available at:https://www.quora.com/is-fly-ash-brick-a-good-option-for-a-wall-instead</w:t>
      </w:r>
      <w:r w:rsidR="00664C94">
        <w:rPr>
          <w:rFonts w:ascii="Times New Roman" w:hAnsi="Times New Roman" w:cs="Times New Roman"/>
          <w:sz w:val="24"/>
          <w:szCs w:val="24"/>
        </w:rPr>
        <w:t xml:space="preserve"> </w:t>
      </w:r>
      <w:r w:rsidRPr="00BE4AF3">
        <w:rPr>
          <w:rFonts w:ascii="Times New Roman" w:hAnsi="Times New Roman" w:cs="Times New Roman"/>
          <w:sz w:val="24"/>
          <w:szCs w:val="24"/>
        </w:rPr>
        <w:t>-of-burnt-clay-brick [Accessed May 2025].</w:t>
      </w:r>
    </w:p>
    <w:p w14:paraId="07B13908" w14:textId="0EA42F94" w:rsidR="00A226D9" w:rsidRPr="00BE4AF3" w:rsidRDefault="00A226D9" w:rsidP="00664C94">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Hamid, H.N.A.; Romali, N.S.; Rahman, R.A. (2023). Key barriers and feasibility of</w:t>
      </w:r>
      <w:r w:rsidR="00664C94">
        <w:rPr>
          <w:rFonts w:ascii="Times New Roman" w:hAnsi="Times New Roman" w:cs="Times New Roman"/>
          <w:sz w:val="24"/>
          <w:szCs w:val="24"/>
        </w:rPr>
        <w:t xml:space="preserve"> </w:t>
      </w:r>
      <w:r w:rsidRPr="00BE4AF3">
        <w:rPr>
          <w:rFonts w:ascii="Times New Roman" w:hAnsi="Times New Roman" w:cs="Times New Roman"/>
          <w:sz w:val="24"/>
          <w:szCs w:val="24"/>
        </w:rPr>
        <w:t>implementing green roofs on buildings in Malaysia. Buildings, 13, 2233.</w:t>
      </w:r>
      <w:r w:rsidR="00664C94">
        <w:rPr>
          <w:rFonts w:ascii="Times New Roman" w:hAnsi="Times New Roman" w:cs="Times New Roman"/>
          <w:sz w:val="24"/>
          <w:szCs w:val="24"/>
        </w:rPr>
        <w:t xml:space="preserve"> </w:t>
      </w:r>
      <w:r w:rsidRPr="00BE4AF3">
        <w:rPr>
          <w:rFonts w:ascii="Times New Roman" w:hAnsi="Times New Roman" w:cs="Times New Roman"/>
          <w:sz w:val="24"/>
          <w:szCs w:val="24"/>
        </w:rPr>
        <w:t>https://doi.org/10.3390/buildings13092233.</w:t>
      </w:r>
    </w:p>
    <w:p w14:paraId="67F9CB19" w14:textId="68FD94A0" w:rsidR="00A226D9" w:rsidRPr="00BE4AF3" w:rsidRDefault="00A226D9" w:rsidP="00664C94">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lastRenderedPageBreak/>
        <w:t>Hull, D. &amp; Clyne, T. W. (1996). An Introduction to Composite Materials, Second Edition,</w:t>
      </w:r>
      <w:r w:rsidR="00664C94">
        <w:rPr>
          <w:rFonts w:ascii="Times New Roman" w:hAnsi="Times New Roman" w:cs="Times New Roman"/>
          <w:sz w:val="24"/>
          <w:szCs w:val="24"/>
        </w:rPr>
        <w:t xml:space="preserve"> </w:t>
      </w:r>
      <w:r w:rsidRPr="00BE4AF3">
        <w:rPr>
          <w:rFonts w:ascii="Times New Roman" w:hAnsi="Times New Roman" w:cs="Times New Roman"/>
          <w:sz w:val="24"/>
          <w:szCs w:val="24"/>
        </w:rPr>
        <w:t>Cambridge University Press.</w:t>
      </w:r>
    </w:p>
    <w:p w14:paraId="07AE3E78" w14:textId="004F4F31" w:rsidR="00A226D9" w:rsidRPr="00BE4AF3" w:rsidRDefault="00A226D9" w:rsidP="00664C94">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Hussain, S. A., Pandurangadu, V. &amp; Kumar, K. P. (2011). Machinability of glass fibre reinforced</w:t>
      </w:r>
      <w:r w:rsidR="00664C94">
        <w:rPr>
          <w:rFonts w:ascii="Times New Roman" w:hAnsi="Times New Roman" w:cs="Times New Roman"/>
          <w:sz w:val="24"/>
          <w:szCs w:val="24"/>
        </w:rPr>
        <w:t xml:space="preserve"> </w:t>
      </w:r>
      <w:r w:rsidRPr="00BE4AF3">
        <w:rPr>
          <w:rFonts w:ascii="Times New Roman" w:hAnsi="Times New Roman" w:cs="Times New Roman"/>
          <w:sz w:val="24"/>
          <w:szCs w:val="24"/>
        </w:rPr>
        <w:t>Plastic (GFRP) composite materials. International Journal of Engineering, Science and</w:t>
      </w:r>
      <w:r w:rsidR="00664C94">
        <w:rPr>
          <w:rFonts w:ascii="Times New Roman" w:hAnsi="Times New Roman" w:cs="Times New Roman"/>
          <w:sz w:val="24"/>
          <w:szCs w:val="24"/>
        </w:rPr>
        <w:t xml:space="preserve"> </w:t>
      </w:r>
      <w:r w:rsidRPr="00BE4AF3">
        <w:rPr>
          <w:rFonts w:ascii="Times New Roman" w:hAnsi="Times New Roman" w:cs="Times New Roman"/>
          <w:sz w:val="24"/>
          <w:szCs w:val="24"/>
        </w:rPr>
        <w:t>Technology, 3(4):103-118.</w:t>
      </w:r>
    </w:p>
    <w:p w14:paraId="17729943" w14:textId="7744FBC7" w:rsidR="00A226D9" w:rsidRPr="00BE4AF3" w:rsidRDefault="00A226D9" w:rsidP="00685BCD">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Kiani Mavi, R., Gengatharen, D., Kiani Mavi, N., Hughes, R., Campbell, A., Yates, R. (2021).</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Sustainability in construction projects: a systematic literature review. Sustainability 13 (4).</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https://doi.org/10.3390/su13041932</w:t>
      </w:r>
    </w:p>
    <w:p w14:paraId="2830A114" w14:textId="3E6CB0DF" w:rsidR="00A226D9" w:rsidRPr="00BE4AF3" w:rsidRDefault="00A226D9" w:rsidP="00685BCD">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Klufallah, M., Nuruddin, M., Othman, I., Khamidi, D.M.F. (2016). The Development of Embodied</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Carbon Emission Benchmark Model for Purpose Built Offices in Malaysia. Retrieved at:</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https://doi.org/10.9774/gleaf.9781315375052 37 199-204.</w:t>
      </w:r>
    </w:p>
    <w:p w14:paraId="393ADF88" w14:textId="16054250" w:rsidR="00A226D9" w:rsidRPr="00BE4AF3" w:rsidRDefault="00A226D9" w:rsidP="00685BCD">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Kongela, S. M. (2023). Sustainability potential awareness among built environment stakeholders:</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Experience from Tanzania. International Journal of Building Pathology and Adaptation,</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41(2), 301-319. https://doi.org/10.1108/ijbpa-09-2020-0082.</w:t>
      </w:r>
    </w:p>
    <w:p w14:paraId="33DE36CD" w14:textId="0B113AF3" w:rsidR="00A226D9" w:rsidRPr="00BE4AF3" w:rsidRDefault="00A226D9" w:rsidP="00685BCD">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Korkmaz, K., Erten, D., Syal, M., &amp; Potbhare, V. (2009). “A Review of Green Building</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Movement Time Lines in Developed and Developing Countries to Build an International</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Adoption Framework,” Proceedings of Fifth International Conference on Construction</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in the 21st Century “Collaboration and Integration in Engineering, Management and</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Technology” May 20-22, 2009, Istanbul, Turkey. Retrieved [Online] Available</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from: https://www.researchgate.net/profile/duygu_erten/publication</w:t>
      </w:r>
    </w:p>
    <w:p w14:paraId="48BACF28" w14:textId="1C857B50" w:rsidR="00A226D9" w:rsidRPr="00BE4AF3" w:rsidRDefault="00A226D9" w:rsidP="00685BCD">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Lembi, J.J., Umar, I.A., Kobiba, H.A., Tarni, A.M. (2021). Green Architecture Review and the</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Responsive Building Materials towards a Sustainable Built Environment in Nigeria.</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International Journal of Architecture, Arts and Applications. 7(3): 71-76.</w:t>
      </w:r>
    </w:p>
    <w:p w14:paraId="0040D1C6" w14:textId="52641B9F" w:rsidR="00A226D9" w:rsidRPr="00BE4AF3" w:rsidRDefault="00A226D9" w:rsidP="00685BCD">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Lembi, J.J., Akande, O.K., Ahmed, S., Emechebe, L.C. (2021). The Drivers for Low Energy</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Materials Applications for Sustainable Housing Delivery in Nigeria. In the Journal of</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Landscape Architecture and Regional Planning. 6(2):19–24.</w:t>
      </w:r>
    </w:p>
    <w:p w14:paraId="3FC083F9" w14:textId="27B84597" w:rsidR="00A226D9" w:rsidRPr="00BE4AF3" w:rsidRDefault="00A226D9" w:rsidP="00685BCD">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Mahajan, B. (2019). Fly Ash Bricks vs Red Bricks: Which is Better? Available at:</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https://civiconcepts.com/blog/fly-ash-bricks-vs-red-bricks [Accessed May 2025].</w:t>
      </w:r>
    </w:p>
    <w:p w14:paraId="43A184A2" w14:textId="74A86E1D" w:rsidR="00A226D9" w:rsidRPr="00BE4AF3" w:rsidRDefault="00A226D9" w:rsidP="00685BCD">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Milani, B. (2001). “Review of Building Materials in a Green Economy,” Proceedings of the</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Biennial</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Conference of the Canadian Society for Ecological Economics (CANSEE), McGill</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University, Montreal, August 25, 2001. Retrieved [Online] Available from:</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http://www.greeneconomics.net/BuildMatEssay.htm (Accessed June 16, 2025).</w:t>
      </w:r>
    </w:p>
    <w:p w14:paraId="4C35F82A" w14:textId="02F288C4" w:rsidR="00A226D9" w:rsidRPr="00BE4AF3" w:rsidRDefault="00A226D9" w:rsidP="00685BCD">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Nalewaik, A. &amp; Venters, V. (2008). “Costs and Benefits of Building Green,” AACE</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International Transactions 15(2): 1–9.</w:t>
      </w:r>
    </w:p>
    <w:p w14:paraId="01509EDC" w14:textId="0C60D460" w:rsidR="00A226D9" w:rsidRPr="00BE4AF3" w:rsidRDefault="00A226D9" w:rsidP="00685BCD">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Neyestani, B. (2017). A Review on Sustainable Building (Green Building). Accessed online</w:t>
      </w:r>
      <w:r w:rsidR="00685BCD">
        <w:rPr>
          <w:rFonts w:ascii="Times New Roman" w:hAnsi="Times New Roman" w:cs="Times New Roman"/>
          <w:sz w:val="24"/>
          <w:szCs w:val="24"/>
        </w:rPr>
        <w:t xml:space="preserve"> </w:t>
      </w:r>
      <w:r w:rsidRPr="00BE4AF3">
        <w:rPr>
          <w:rFonts w:ascii="Times New Roman" w:hAnsi="Times New Roman" w:cs="Times New Roman"/>
          <w:sz w:val="24"/>
          <w:szCs w:val="24"/>
        </w:rPr>
        <w:t>At https://mpra.ub.uni-muenchen.de/76588/ June 2025.</w:t>
      </w:r>
    </w:p>
    <w:p w14:paraId="1948475D" w14:textId="5C1DDF7B" w:rsidR="00A226D9" w:rsidRPr="00BE4AF3" w:rsidRDefault="00A226D9" w:rsidP="003D68D9">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 xml:space="preserve">Okpara, J.O. (2011). Factors constraining the growth and survival of SMEs in </w:t>
      </w:r>
      <w:r w:rsidR="003D68D9" w:rsidRPr="00BE4AF3">
        <w:rPr>
          <w:rFonts w:ascii="Times New Roman" w:hAnsi="Times New Roman" w:cs="Times New Roman"/>
          <w:sz w:val="24"/>
          <w:szCs w:val="24"/>
        </w:rPr>
        <w:t>Nigeria: Implications</w:t>
      </w:r>
      <w:r w:rsidRPr="00BE4AF3">
        <w:rPr>
          <w:rFonts w:ascii="Times New Roman" w:hAnsi="Times New Roman" w:cs="Times New Roman"/>
          <w:sz w:val="24"/>
          <w:szCs w:val="24"/>
        </w:rPr>
        <w:t xml:space="preserve"> for poverty alleviation. Management Service Review-Bingley: Emerald</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34(2): 156-171.</w:t>
      </w:r>
    </w:p>
    <w:p w14:paraId="6EA47E96" w14:textId="43E785BB" w:rsidR="00A226D9" w:rsidRPr="00BE4AF3" w:rsidRDefault="00A226D9" w:rsidP="003D68D9">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Oluwunmi, A.O. &amp; Umezurike, C.S. (2023). Adoptive of Alternative Construction Materials:</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Estate Surveyors and Valuers’ Views. Nigerian Journal of Environmental Sciences and</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Technology (NIJEST) 7(2):176-190.</w:t>
      </w:r>
    </w:p>
    <w:p w14:paraId="7A28D37C" w14:textId="44685DB8" w:rsidR="00A226D9" w:rsidRPr="00BE4AF3" w:rsidRDefault="00A226D9" w:rsidP="003D68D9">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Onyegiri, I. and Iwuagwu, B. U. (2016). Traditional Building Materials as a Sustainable Resource</w:t>
      </w:r>
      <w:r w:rsidR="003D68D9">
        <w:rPr>
          <w:rFonts w:ascii="Times New Roman" w:hAnsi="Times New Roman" w:cs="Times New Roman"/>
          <w:sz w:val="24"/>
          <w:szCs w:val="24"/>
        </w:rPr>
        <w:t xml:space="preserve"> a</w:t>
      </w:r>
      <w:r w:rsidRPr="00BE4AF3">
        <w:rPr>
          <w:rFonts w:ascii="Times New Roman" w:hAnsi="Times New Roman" w:cs="Times New Roman"/>
          <w:sz w:val="24"/>
          <w:szCs w:val="24"/>
        </w:rPr>
        <w:t>nd Material for Low Cost Housing in Nigeria: Advantages, Challenges and the way</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Forward. International Journal of Research in Chemical, Metallurgical and Civil</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Engineering (IJRCMCE), 3(2): 247-252.</w:t>
      </w:r>
    </w:p>
    <w:p w14:paraId="40F942F0" w14:textId="70B32DAA" w:rsidR="00A226D9" w:rsidRPr="00BE4AF3" w:rsidRDefault="00A226D9" w:rsidP="003D68D9">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lastRenderedPageBreak/>
        <w:t>Peckenham, E. (2016). 11 Green Building Materials That Are Way Better Than Concrete.</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Available</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 xml:space="preserve">at: </w:t>
      </w:r>
      <w:hyperlink r:id="rId126" w:history="1">
        <w:r w:rsidR="003D68D9" w:rsidRPr="00373AB2">
          <w:rPr>
            <w:rStyle w:val="Hyperlink"/>
            <w:rFonts w:ascii="Times New Roman" w:hAnsi="Times New Roman" w:cs="Times New Roman"/>
            <w:sz w:val="24"/>
            <w:szCs w:val="24"/>
          </w:rPr>
          <w:t>https://inhabitat.com/11-green-building-materials-that-are-way-better-than-concrete</w:t>
        </w:r>
      </w:hyperlink>
      <w:r w:rsidR="003D68D9">
        <w:rPr>
          <w:rFonts w:ascii="Times New Roman" w:hAnsi="Times New Roman" w:cs="Times New Roman"/>
          <w:sz w:val="24"/>
          <w:szCs w:val="24"/>
        </w:rPr>
        <w:t xml:space="preserve"> </w:t>
      </w:r>
      <w:r w:rsidRPr="00BE4AF3">
        <w:rPr>
          <w:rFonts w:ascii="Times New Roman" w:hAnsi="Times New Roman" w:cs="Times New Roman"/>
          <w:sz w:val="24"/>
          <w:szCs w:val="24"/>
        </w:rPr>
        <w:t>[Accessed May 2025].</w:t>
      </w:r>
    </w:p>
    <w:p w14:paraId="4121091E" w14:textId="540EB09E" w:rsidR="00A226D9" w:rsidRPr="00BE4AF3" w:rsidRDefault="00A226D9" w:rsidP="003D68D9">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Samson, G. (2021). Exploring Alternative Building Methods and Practices in Nigeria. Retrieved</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 xml:space="preserve">From </w:t>
      </w:r>
      <w:hyperlink r:id="rId127" w:history="1">
        <w:r w:rsidR="003D68D9" w:rsidRPr="00373AB2">
          <w:rPr>
            <w:rStyle w:val="Hyperlink"/>
            <w:rFonts w:ascii="Times New Roman" w:hAnsi="Times New Roman" w:cs="Times New Roman"/>
            <w:sz w:val="24"/>
            <w:szCs w:val="24"/>
          </w:rPr>
          <w:t>https://lagospost.ng/exploring-alternative-building-methods-and-practices-in-nig</w:t>
        </w:r>
      </w:hyperlink>
      <w:r w:rsidRPr="00BE4AF3">
        <w:rPr>
          <w:rFonts w:ascii="Times New Roman" w:hAnsi="Times New Roman" w:cs="Times New Roman"/>
          <w:sz w:val="24"/>
          <w:szCs w:val="24"/>
        </w:rPr>
        <w:t>.</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[Accessed May 2025].</w:t>
      </w:r>
    </w:p>
    <w:p w14:paraId="468AF22F" w14:textId="19F602AA" w:rsidR="00A226D9" w:rsidRPr="00BE4AF3" w:rsidRDefault="00A226D9" w:rsidP="003D68D9">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Sarker, A. H. &amp; Mahmud, I. (2018). Alternative Building Material in Bangladesh: A Way</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Towards Sustainability. International Journal of Research Studies in Science, Engineering</w:t>
      </w:r>
      <w:r w:rsidR="003D68D9">
        <w:rPr>
          <w:rFonts w:ascii="Times New Roman" w:hAnsi="Times New Roman" w:cs="Times New Roman"/>
          <w:sz w:val="24"/>
          <w:szCs w:val="24"/>
        </w:rPr>
        <w:t xml:space="preserve"> </w:t>
      </w:r>
      <w:r w:rsidR="0090056C" w:rsidRPr="00BE4AF3">
        <w:rPr>
          <w:rFonts w:ascii="Times New Roman" w:hAnsi="Times New Roman" w:cs="Times New Roman"/>
          <w:sz w:val="24"/>
          <w:szCs w:val="24"/>
        </w:rPr>
        <w:t>and</w:t>
      </w:r>
      <w:r w:rsidRPr="00BE4AF3">
        <w:rPr>
          <w:rFonts w:ascii="Times New Roman" w:hAnsi="Times New Roman" w:cs="Times New Roman"/>
          <w:sz w:val="24"/>
          <w:szCs w:val="24"/>
        </w:rPr>
        <w:t xml:space="preserve"> Technology, 5(8): 41-45.</w:t>
      </w:r>
    </w:p>
    <w:p w14:paraId="40EDB5BF" w14:textId="68ECA362" w:rsidR="00A226D9" w:rsidRPr="00BE4AF3" w:rsidRDefault="00A226D9" w:rsidP="003D68D9">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Tazmeen, T. &amp; Mir, F.Q. (2024). Sustainable Building Materials: A Comprehensive Study on</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Eco-friendly Alternatives for Construction</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Team McCoy Mart (2021). Clay Bricks vs. Fly Ash Bricks. Retrieved from</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https://mccoymart.com/post/clay-bricks-vs-fly-ash-bricks/ [Accessed May 2025].</w:t>
      </w:r>
    </w:p>
    <w:p w14:paraId="18D790AA" w14:textId="1CCB53E7" w:rsidR="00A226D9" w:rsidRPr="00BE4AF3" w:rsidRDefault="00A226D9" w:rsidP="003D68D9">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Thorsby, D. (2019). 22 Sustainable Building Materials to Consider for Your Home. Retrieved from</w:t>
      </w:r>
      <w:r w:rsidR="003D68D9">
        <w:rPr>
          <w:rFonts w:ascii="Times New Roman" w:hAnsi="Times New Roman" w:cs="Times New Roman"/>
          <w:sz w:val="24"/>
          <w:szCs w:val="24"/>
        </w:rPr>
        <w:t xml:space="preserve"> </w:t>
      </w:r>
      <w:hyperlink r:id="rId128" w:history="1">
        <w:r w:rsidR="003D68D9" w:rsidRPr="00373AB2">
          <w:rPr>
            <w:rStyle w:val="Hyperlink"/>
            <w:rFonts w:ascii="Times New Roman" w:hAnsi="Times New Roman" w:cs="Times New Roman"/>
            <w:sz w:val="24"/>
            <w:szCs w:val="24"/>
          </w:rPr>
          <w:t>https://realestate.usnews.com/real-estate/articles/sustainable-building-materials-toconsider-</w:t>
        </w:r>
      </w:hyperlink>
      <w:r w:rsidR="003D68D9">
        <w:rPr>
          <w:rFonts w:ascii="Times New Roman" w:hAnsi="Times New Roman" w:cs="Times New Roman"/>
          <w:sz w:val="24"/>
          <w:szCs w:val="24"/>
        </w:rPr>
        <w:t xml:space="preserve"> </w:t>
      </w:r>
      <w:r w:rsidRPr="00BE4AF3">
        <w:rPr>
          <w:rFonts w:ascii="Times New Roman" w:hAnsi="Times New Roman" w:cs="Times New Roman"/>
          <w:sz w:val="24"/>
          <w:szCs w:val="24"/>
        </w:rPr>
        <w:t>for-your-home [Accessed May 2025].</w:t>
      </w:r>
    </w:p>
    <w:p w14:paraId="03C1EAA2" w14:textId="28BB7242" w:rsidR="00A226D9" w:rsidRPr="00BE4AF3" w:rsidRDefault="00A226D9" w:rsidP="003D68D9">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Tirth, V., Algarni, S., Agarwal, N., Saxena, A. (2019). Greenhouse gas emissions due to the</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Construction of residential buildings in Moradabad, India. Appl. Ecol. Environ. Res.</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17(5), 12111–12126. https://doi.org/10.15666/aeer/1705_1211112126</w:t>
      </w:r>
    </w:p>
    <w:p w14:paraId="5AE47DFA" w14:textId="7B961ED8" w:rsidR="00A226D9" w:rsidRPr="00BE4AF3" w:rsidRDefault="00A226D9" w:rsidP="003D68D9">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Torgal, F. &amp; Jalali, S. (2011). “Eco-efficient Construction and Building Materials,”</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Verlag, London: Springer Limited.</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USGBC (2016). “LEED 2009 for New Construction and Major Renovations Rating System.”</w:t>
      </w:r>
    </w:p>
    <w:p w14:paraId="49044BA3" w14:textId="75658E8E" w:rsidR="00A226D9" w:rsidRPr="00BE4AF3" w:rsidRDefault="00A226D9" w:rsidP="003D68D9">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(2016 Revision) Washington, DC: US Green Building Council Publications. Retrieved</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[Online] Available from: http://doi.org/10.5281/zenodo.267525 Accessed June 2025</w:t>
      </w:r>
    </w:p>
    <w:p w14:paraId="075DE625" w14:textId="6C43FB4A" w:rsidR="00A226D9" w:rsidRPr="00BE4AF3" w:rsidRDefault="00A226D9" w:rsidP="003D68D9">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Wills, S. (2009). “Green Building Guide Design Techniques, Construction Practices &amp;</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Materials for Affordable Housing. West Sacramento, California: Rural</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Community Assistance Corp.</w:t>
      </w:r>
    </w:p>
    <w:p w14:paraId="5A83B0F1" w14:textId="7B965AFF" w:rsidR="00A226D9" w:rsidRPr="00BE4AF3" w:rsidRDefault="00A226D9" w:rsidP="003D68D9">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Worldometer (2025). CO2 Emissions-Global Energy Review 2025-Analysi. Accessed at</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https://www.worldometers.infor June 2025.</w:t>
      </w:r>
    </w:p>
    <w:p w14:paraId="5A270189" w14:textId="45673BFE" w:rsidR="00A226D9" w:rsidRPr="00BE4AF3" w:rsidRDefault="00A226D9" w:rsidP="003D68D9">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Worldometer (2024). Nigeria CO2 Emissions, Historical Chart and Data. Accessed via the address</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https://www.worldometers.infor June, 2025.</w:t>
      </w:r>
    </w:p>
    <w:p w14:paraId="24D55CC2" w14:textId="2A6DC271" w:rsidR="00A226D9" w:rsidRPr="00BE4AF3" w:rsidRDefault="00A226D9" w:rsidP="003D68D9">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Xia, B., Zuo, Z., Skitmore, M., Pullen, S., &amp; Chen, Q. (2013). “Green Star Points</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Obtained by Australian Building Projects.’’ Journal of Architectural Engineering:</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19(4):302-308.</w:t>
      </w:r>
    </w:p>
    <w:p w14:paraId="21306BA9" w14:textId="0171941A" w:rsidR="007F7159" w:rsidRPr="00BE4AF3" w:rsidRDefault="00A226D9" w:rsidP="003D68D9">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Yun, W. (2014). “Modular construction and evaluation of green building technology system</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Based on LEED,’’ Journal of Chemical and Pharmaceutical Research;</w:t>
      </w:r>
      <w:r w:rsidR="003D68D9">
        <w:rPr>
          <w:rFonts w:ascii="Times New Roman" w:hAnsi="Times New Roman" w:cs="Times New Roman"/>
          <w:sz w:val="24"/>
          <w:szCs w:val="24"/>
        </w:rPr>
        <w:t xml:space="preserve"> </w:t>
      </w:r>
      <w:r w:rsidRPr="00BE4AF3">
        <w:rPr>
          <w:rFonts w:ascii="Times New Roman" w:hAnsi="Times New Roman" w:cs="Times New Roman"/>
          <w:sz w:val="24"/>
          <w:szCs w:val="24"/>
        </w:rPr>
        <w:t>6(6): 2904-2913.</w:t>
      </w:r>
    </w:p>
    <w:p w14:paraId="599EF920" w14:textId="77777777" w:rsidR="00A226D9" w:rsidRPr="00BE4AF3" w:rsidRDefault="00A226D9" w:rsidP="001623CF">
      <w:pPr>
        <w:autoSpaceDE w:val="0"/>
        <w:autoSpaceDN w:val="0"/>
        <w:adjustRightInd w:val="0"/>
        <w:spacing w:after="0" w:line="240" w:lineRule="auto"/>
        <w:jc w:val="both"/>
        <w:rPr>
          <w:rFonts w:ascii="Times New Roman" w:hAnsi="Times New Roman" w:cs="Times New Roman"/>
          <w:sz w:val="24"/>
          <w:szCs w:val="24"/>
        </w:rPr>
      </w:pPr>
    </w:p>
    <w:p w14:paraId="42C82C72" w14:textId="77777777" w:rsidR="00A226D9" w:rsidRDefault="00A226D9" w:rsidP="00A226D9">
      <w:pPr>
        <w:autoSpaceDE w:val="0"/>
        <w:autoSpaceDN w:val="0"/>
        <w:adjustRightInd w:val="0"/>
        <w:spacing w:after="0" w:line="240" w:lineRule="auto"/>
        <w:rPr>
          <w:rFonts w:ascii="Times New Roman" w:hAnsi="Times New Roman" w:cs="Times New Roman"/>
          <w:sz w:val="24"/>
          <w:szCs w:val="24"/>
        </w:rPr>
      </w:pPr>
    </w:p>
    <w:p w14:paraId="7B3C7EC1" w14:textId="77777777" w:rsidR="00B070B8" w:rsidRDefault="00B070B8" w:rsidP="00A226D9">
      <w:pPr>
        <w:autoSpaceDE w:val="0"/>
        <w:autoSpaceDN w:val="0"/>
        <w:adjustRightInd w:val="0"/>
        <w:spacing w:after="0" w:line="240" w:lineRule="auto"/>
        <w:rPr>
          <w:rFonts w:ascii="Times New Roman" w:hAnsi="Times New Roman" w:cs="Times New Roman"/>
          <w:sz w:val="24"/>
          <w:szCs w:val="24"/>
        </w:rPr>
      </w:pPr>
    </w:p>
    <w:p w14:paraId="1DB5D836" w14:textId="77777777" w:rsidR="00B070B8" w:rsidRDefault="00B070B8" w:rsidP="00A226D9">
      <w:pPr>
        <w:autoSpaceDE w:val="0"/>
        <w:autoSpaceDN w:val="0"/>
        <w:adjustRightInd w:val="0"/>
        <w:spacing w:after="0" w:line="240" w:lineRule="auto"/>
        <w:rPr>
          <w:rFonts w:ascii="Times New Roman" w:hAnsi="Times New Roman" w:cs="Times New Roman"/>
          <w:sz w:val="24"/>
          <w:szCs w:val="24"/>
        </w:rPr>
      </w:pPr>
    </w:p>
    <w:p w14:paraId="447A5BD4" w14:textId="77777777" w:rsidR="00B070B8" w:rsidRDefault="00B070B8" w:rsidP="00A226D9">
      <w:pPr>
        <w:autoSpaceDE w:val="0"/>
        <w:autoSpaceDN w:val="0"/>
        <w:adjustRightInd w:val="0"/>
        <w:spacing w:after="0" w:line="240" w:lineRule="auto"/>
        <w:rPr>
          <w:rFonts w:ascii="Times New Roman" w:hAnsi="Times New Roman" w:cs="Times New Roman"/>
          <w:sz w:val="24"/>
          <w:szCs w:val="24"/>
        </w:rPr>
      </w:pPr>
    </w:p>
    <w:p w14:paraId="1A36C3CA" w14:textId="77777777" w:rsidR="00B070B8" w:rsidRDefault="00B070B8" w:rsidP="00A226D9">
      <w:pPr>
        <w:autoSpaceDE w:val="0"/>
        <w:autoSpaceDN w:val="0"/>
        <w:adjustRightInd w:val="0"/>
        <w:spacing w:after="0" w:line="240" w:lineRule="auto"/>
        <w:rPr>
          <w:rFonts w:ascii="Times New Roman" w:hAnsi="Times New Roman" w:cs="Times New Roman"/>
          <w:sz w:val="24"/>
          <w:szCs w:val="24"/>
        </w:rPr>
      </w:pPr>
    </w:p>
    <w:p w14:paraId="5E80EF33" w14:textId="77777777" w:rsidR="00B070B8" w:rsidRDefault="00B070B8" w:rsidP="00A226D9">
      <w:pPr>
        <w:autoSpaceDE w:val="0"/>
        <w:autoSpaceDN w:val="0"/>
        <w:adjustRightInd w:val="0"/>
        <w:spacing w:after="0" w:line="240" w:lineRule="auto"/>
        <w:rPr>
          <w:rFonts w:ascii="Times New Roman" w:hAnsi="Times New Roman" w:cs="Times New Roman"/>
          <w:sz w:val="24"/>
          <w:szCs w:val="24"/>
        </w:rPr>
      </w:pPr>
    </w:p>
    <w:p w14:paraId="32902212" w14:textId="77777777" w:rsidR="00B070B8" w:rsidRPr="00BE4AF3" w:rsidRDefault="00B070B8" w:rsidP="00A226D9">
      <w:pPr>
        <w:autoSpaceDE w:val="0"/>
        <w:autoSpaceDN w:val="0"/>
        <w:adjustRightInd w:val="0"/>
        <w:spacing w:after="0" w:line="240" w:lineRule="auto"/>
        <w:rPr>
          <w:rFonts w:ascii="Times New Roman" w:hAnsi="Times New Roman" w:cs="Times New Roman"/>
          <w:sz w:val="24"/>
          <w:szCs w:val="24"/>
        </w:rPr>
      </w:pPr>
    </w:p>
    <w:p w14:paraId="0F284BA6" w14:textId="77777777" w:rsidR="008848D7" w:rsidRDefault="008848D7" w:rsidP="007F7159">
      <w:pPr>
        <w:spacing w:after="0" w:line="240" w:lineRule="auto"/>
        <w:ind w:left="187"/>
        <w:jc w:val="center"/>
        <w:rPr>
          <w:rFonts w:ascii="Times New Roman" w:hAnsi="Times New Roman" w:cs="Times New Roman"/>
          <w:b/>
          <w:sz w:val="24"/>
          <w:szCs w:val="24"/>
        </w:rPr>
      </w:pPr>
    </w:p>
    <w:p w14:paraId="3173A83D" w14:textId="77777777" w:rsidR="00C2089D" w:rsidRDefault="00C2089D" w:rsidP="007F7159">
      <w:pPr>
        <w:spacing w:after="0" w:line="240" w:lineRule="auto"/>
        <w:ind w:left="187"/>
        <w:jc w:val="center"/>
        <w:rPr>
          <w:rFonts w:ascii="Times New Roman" w:hAnsi="Times New Roman" w:cs="Times New Roman"/>
          <w:b/>
          <w:sz w:val="24"/>
          <w:szCs w:val="24"/>
        </w:rPr>
      </w:pPr>
    </w:p>
    <w:p w14:paraId="24D92906" w14:textId="77777777" w:rsidR="008848D7" w:rsidRDefault="008848D7" w:rsidP="007F7159">
      <w:pPr>
        <w:spacing w:after="0" w:line="240" w:lineRule="auto"/>
        <w:ind w:left="187"/>
        <w:jc w:val="center"/>
        <w:rPr>
          <w:rFonts w:ascii="Times New Roman" w:hAnsi="Times New Roman" w:cs="Times New Roman"/>
          <w:b/>
          <w:sz w:val="24"/>
          <w:szCs w:val="24"/>
        </w:rPr>
      </w:pPr>
    </w:p>
    <w:p w14:paraId="145DF9DE" w14:textId="17EAC6CB" w:rsidR="007F7159" w:rsidRPr="008848D7" w:rsidRDefault="007F7159" w:rsidP="007F7159">
      <w:pPr>
        <w:spacing w:after="0" w:line="240" w:lineRule="auto"/>
        <w:ind w:left="187"/>
        <w:jc w:val="center"/>
        <w:rPr>
          <w:rFonts w:ascii="Times New Roman" w:hAnsi="Times New Roman" w:cs="Times New Roman"/>
          <w:b/>
          <w:sz w:val="28"/>
          <w:szCs w:val="28"/>
        </w:rPr>
      </w:pPr>
      <w:r w:rsidRPr="008848D7">
        <w:rPr>
          <w:rFonts w:ascii="Times New Roman" w:hAnsi="Times New Roman" w:cs="Times New Roman"/>
          <w:b/>
          <w:sz w:val="28"/>
          <w:szCs w:val="28"/>
        </w:rPr>
        <w:lastRenderedPageBreak/>
        <w:t>A Review of Global Navigation Satellite System Network Adjustment and Comparison of Numerical Methods for Solving Large Systems of Equations</w:t>
      </w:r>
    </w:p>
    <w:p w14:paraId="74477510" w14:textId="77777777" w:rsidR="007F7159" w:rsidRPr="00BE4AF3" w:rsidRDefault="007F7159" w:rsidP="007F7159">
      <w:pPr>
        <w:spacing w:after="0" w:line="240" w:lineRule="auto"/>
        <w:ind w:left="187"/>
        <w:jc w:val="center"/>
        <w:rPr>
          <w:rFonts w:ascii="Times New Roman" w:hAnsi="Times New Roman" w:cs="Times New Roman"/>
          <w:b/>
          <w:sz w:val="24"/>
          <w:szCs w:val="24"/>
        </w:rPr>
      </w:pPr>
    </w:p>
    <w:p w14:paraId="7462E896" w14:textId="77777777" w:rsidR="007F7159" w:rsidRPr="00BE4AF3" w:rsidRDefault="007F7159" w:rsidP="007F7159">
      <w:pPr>
        <w:pStyle w:val="FirstParagraph"/>
        <w:spacing w:before="0" w:after="0"/>
        <w:jc w:val="center"/>
        <w:rPr>
          <w:rFonts w:ascii="Times New Roman" w:hAnsi="Times New Roman" w:cs="Times New Roman"/>
          <w:bCs/>
        </w:rPr>
      </w:pPr>
      <w:r w:rsidRPr="00BE4AF3">
        <w:rPr>
          <w:rFonts w:ascii="Times New Roman" w:hAnsi="Times New Roman" w:cs="Times New Roman"/>
          <w:bCs/>
          <w:vertAlign w:val="superscript"/>
        </w:rPr>
        <w:t>1</w:t>
      </w:r>
      <w:r w:rsidRPr="00BE4AF3">
        <w:rPr>
          <w:rFonts w:ascii="Times New Roman" w:hAnsi="Times New Roman" w:cs="Times New Roman"/>
          <w:bCs/>
        </w:rPr>
        <w:t xml:space="preserve">Labija, O. O., </w:t>
      </w:r>
      <w:r w:rsidRPr="00BE4AF3">
        <w:rPr>
          <w:rFonts w:ascii="Times New Roman" w:hAnsi="Times New Roman" w:cs="Times New Roman"/>
          <w:bCs/>
          <w:vertAlign w:val="superscript"/>
        </w:rPr>
        <w:t>1</w:t>
      </w:r>
      <w:r w:rsidRPr="00BE4AF3">
        <w:rPr>
          <w:rFonts w:ascii="Times New Roman" w:hAnsi="Times New Roman" w:cs="Times New Roman"/>
          <w:bCs/>
        </w:rPr>
        <w:t xml:space="preserve">Musa, A., </w:t>
      </w:r>
      <w:r w:rsidRPr="00BE4AF3">
        <w:rPr>
          <w:rFonts w:ascii="Times New Roman" w:hAnsi="Times New Roman" w:cs="Times New Roman"/>
          <w:bCs/>
          <w:vertAlign w:val="superscript"/>
        </w:rPr>
        <w:t>1</w:t>
      </w:r>
      <w:r w:rsidRPr="00BE4AF3">
        <w:rPr>
          <w:rFonts w:ascii="Times New Roman" w:hAnsi="Times New Roman" w:cs="Times New Roman"/>
          <w:bCs/>
        </w:rPr>
        <w:t>Faruna, O. S.</w:t>
      </w:r>
    </w:p>
    <w:p w14:paraId="1181B36A" w14:textId="77777777" w:rsidR="007F7159" w:rsidRPr="00BE4AF3" w:rsidRDefault="007F7159" w:rsidP="007F7159">
      <w:pPr>
        <w:pStyle w:val="BodyText"/>
        <w:spacing w:after="0" w:line="240" w:lineRule="auto"/>
        <w:rPr>
          <w:rFonts w:ascii="Times New Roman" w:hAnsi="Times New Roman"/>
          <w:sz w:val="24"/>
          <w:szCs w:val="24"/>
          <w:lang w:val="en-US"/>
        </w:rPr>
      </w:pPr>
    </w:p>
    <w:p w14:paraId="37CC92CB" w14:textId="77777777" w:rsidR="007F7159" w:rsidRPr="008848D7" w:rsidRDefault="007F7159" w:rsidP="007F7159">
      <w:pPr>
        <w:pStyle w:val="FirstParagraph"/>
        <w:spacing w:before="0" w:after="0"/>
        <w:jc w:val="center"/>
        <w:rPr>
          <w:rFonts w:ascii="Times New Roman" w:hAnsi="Times New Roman" w:cs="Times New Roman"/>
          <w:sz w:val="20"/>
          <w:szCs w:val="20"/>
        </w:rPr>
      </w:pPr>
      <w:r w:rsidRPr="008848D7">
        <w:rPr>
          <w:rFonts w:ascii="Times New Roman" w:hAnsi="Times New Roman" w:cs="Times New Roman"/>
          <w:sz w:val="20"/>
          <w:szCs w:val="20"/>
        </w:rPr>
        <w:t>¹ Department of Surveying and Geoinformatics, Federal University of Technology Minna, Niger State, Nigeria</w:t>
      </w:r>
    </w:p>
    <w:p w14:paraId="3E2852CF" w14:textId="77777777" w:rsidR="007F7159" w:rsidRPr="008848D7" w:rsidRDefault="007F7159" w:rsidP="007F7159">
      <w:pPr>
        <w:pStyle w:val="FirstParagraph"/>
        <w:spacing w:before="0" w:after="0"/>
        <w:jc w:val="center"/>
        <w:rPr>
          <w:rFonts w:ascii="Times New Roman" w:hAnsi="Times New Roman" w:cs="Times New Roman"/>
          <w:sz w:val="20"/>
          <w:szCs w:val="20"/>
        </w:rPr>
      </w:pPr>
      <w:r w:rsidRPr="008848D7">
        <w:rPr>
          <w:rFonts w:ascii="Times New Roman" w:hAnsi="Times New Roman" w:cs="Times New Roman"/>
          <w:sz w:val="20"/>
          <w:szCs w:val="20"/>
        </w:rPr>
        <w:br/>
        <w:t xml:space="preserve">Corresponding Author: </w:t>
      </w:r>
      <w:hyperlink r:id="rId129" w:history="1">
        <w:r w:rsidRPr="008848D7">
          <w:rPr>
            <w:rStyle w:val="Hyperlink"/>
            <w:rFonts w:ascii="Times New Roman" w:hAnsi="Times New Roman" w:cs="Times New Roman"/>
            <w:color w:val="auto"/>
            <w:sz w:val="20"/>
            <w:szCs w:val="20"/>
            <w:u w:val="none"/>
          </w:rPr>
          <w:t>obedlabija22@gmail.com</w:t>
        </w:r>
      </w:hyperlink>
      <w:r w:rsidRPr="008848D7">
        <w:rPr>
          <w:rFonts w:ascii="Times New Roman" w:hAnsi="Times New Roman" w:cs="Times New Roman"/>
          <w:sz w:val="20"/>
          <w:szCs w:val="20"/>
        </w:rPr>
        <w:t xml:space="preserve"> </w:t>
      </w:r>
      <w:r w:rsidRPr="008848D7">
        <w:rPr>
          <w:rFonts w:ascii="Times New Roman" w:hAnsi="Times New Roman" w:cs="Times New Roman"/>
          <w:sz w:val="20"/>
          <w:szCs w:val="20"/>
        </w:rPr>
        <w:tab/>
      </w:r>
    </w:p>
    <w:p w14:paraId="2BFD999B" w14:textId="77777777" w:rsidR="007F7159" w:rsidRPr="008848D7" w:rsidRDefault="007F7159" w:rsidP="007F7159">
      <w:pPr>
        <w:pStyle w:val="FirstParagraph"/>
        <w:spacing w:before="0" w:after="0"/>
        <w:jc w:val="center"/>
        <w:rPr>
          <w:rFonts w:ascii="Times New Roman" w:hAnsi="Times New Roman" w:cs="Times New Roman"/>
          <w:b/>
          <w:bCs/>
          <w:sz w:val="20"/>
          <w:szCs w:val="20"/>
        </w:rPr>
      </w:pPr>
      <w:r w:rsidRPr="008848D7">
        <w:rPr>
          <w:rFonts w:ascii="Times New Roman" w:hAnsi="Times New Roman" w:cs="Times New Roman"/>
          <w:sz w:val="20"/>
          <w:szCs w:val="20"/>
        </w:rPr>
        <w:t>Phone Number: +2348106464613</w:t>
      </w:r>
    </w:p>
    <w:p w14:paraId="3AFA90F2" w14:textId="77777777" w:rsidR="007F7159" w:rsidRPr="00BE4AF3" w:rsidRDefault="007F7159" w:rsidP="007F7159">
      <w:pPr>
        <w:spacing w:after="0" w:line="240" w:lineRule="auto"/>
        <w:rPr>
          <w:rFonts w:ascii="Times New Roman" w:hAnsi="Times New Roman" w:cs="Times New Roman"/>
          <w:sz w:val="24"/>
          <w:szCs w:val="24"/>
        </w:rPr>
      </w:pPr>
    </w:p>
    <w:p w14:paraId="39977240" w14:textId="77777777" w:rsidR="007F7159" w:rsidRPr="00BE4AF3" w:rsidRDefault="007F7159" w:rsidP="007F7159">
      <w:pPr>
        <w:pStyle w:val="Heading2"/>
        <w:spacing w:before="0" w:line="240" w:lineRule="auto"/>
        <w:rPr>
          <w:rFonts w:ascii="Times New Roman" w:hAnsi="Times New Roman" w:cs="Times New Roman"/>
          <w:color w:val="auto"/>
          <w:sz w:val="24"/>
          <w:szCs w:val="24"/>
        </w:rPr>
      </w:pPr>
      <w:r w:rsidRPr="00BE4AF3">
        <w:rPr>
          <w:rFonts w:ascii="Times New Roman" w:hAnsi="Times New Roman" w:cs="Times New Roman"/>
          <w:color w:val="auto"/>
          <w:sz w:val="24"/>
          <w:szCs w:val="24"/>
        </w:rPr>
        <w:t>LICFES 2025-053 – FP18</w:t>
      </w:r>
    </w:p>
    <w:p w14:paraId="0206CF08" w14:textId="77777777" w:rsidR="007F7159" w:rsidRPr="00BE4AF3" w:rsidRDefault="007F7159" w:rsidP="007F7159">
      <w:pPr>
        <w:pStyle w:val="Heading2"/>
        <w:spacing w:before="0" w:line="240" w:lineRule="auto"/>
        <w:rPr>
          <w:rFonts w:ascii="Times New Roman" w:hAnsi="Times New Roman" w:cs="Times New Roman"/>
          <w:b w:val="0"/>
          <w:color w:val="auto"/>
          <w:sz w:val="24"/>
          <w:szCs w:val="24"/>
        </w:rPr>
      </w:pPr>
      <w:r w:rsidRPr="00BE4AF3">
        <w:rPr>
          <w:rFonts w:ascii="Times New Roman" w:hAnsi="Times New Roman" w:cs="Times New Roman"/>
          <w:color w:val="auto"/>
          <w:sz w:val="24"/>
          <w:szCs w:val="24"/>
        </w:rPr>
        <w:t>Abstract</w:t>
      </w:r>
    </w:p>
    <w:p w14:paraId="5A4107D9" w14:textId="77777777" w:rsidR="007F7159" w:rsidRPr="00BE4AF3" w:rsidRDefault="007F7159" w:rsidP="007F7159">
      <w:pPr>
        <w:pStyle w:val="FirstParagraph"/>
        <w:spacing w:before="0" w:after="0"/>
        <w:jc w:val="both"/>
        <w:rPr>
          <w:rFonts w:ascii="Times New Roman" w:hAnsi="Times New Roman" w:cs="Times New Roman"/>
        </w:rPr>
      </w:pPr>
      <w:r w:rsidRPr="00BE4AF3">
        <w:rPr>
          <w:rFonts w:ascii="Times New Roman" w:hAnsi="Times New Roman" w:cs="Times New Roman"/>
        </w:rPr>
        <w:t>Accurate Global Navigation Satellite System (GNSS) positioning depends on robust network adjustment strategies capable of handling large, sparse, and often ill-conditioned systems of equations. Traditional least squares adjustment, while fundamental, is limited by rank deficiencies, multipath effects, and poor satellite geometry. This review synthesizes existing literature on numerical methods for GNSS adjustment, focusing on direct approaches (Normal Equations, Cholesky, QR decomposition), iterative solvers (Jacobi, Gauss-Seidel, Preconditioned Conjugate Gradient), and stabilization techniques (Singular Value Decomposition, Tikhonov Regularization). Findings reveal that while direct methods remain computationally efficient for small networks, they fail under adverse conditions. Iterative solvers provide scalability, especially PCG with preconditioning, though their performance depends heavily on network structure. Stabilization methods like SVD and Tikhonov Regularization address ill-posed systems but are computationally demanding. This narrative review highlights methodological trade-offs, identifies emerging approaches such as Factor Graph Optimization, and outlines directions for future research, emphasizing convergence behavior, computational efficiency, and practical reliability in real-world GNSS applications.</w:t>
      </w:r>
    </w:p>
    <w:p w14:paraId="0BD6F48B" w14:textId="77777777" w:rsidR="007F7159" w:rsidRPr="00BE4AF3" w:rsidRDefault="007F7159" w:rsidP="007F7159">
      <w:pPr>
        <w:spacing w:after="0" w:line="240" w:lineRule="auto"/>
        <w:jc w:val="both"/>
        <w:rPr>
          <w:rFonts w:ascii="Times New Roman" w:hAnsi="Times New Roman" w:cs="Times New Roman"/>
          <w:b/>
          <w:bCs/>
          <w:sz w:val="24"/>
          <w:szCs w:val="24"/>
        </w:rPr>
      </w:pPr>
    </w:p>
    <w:p w14:paraId="50702168" w14:textId="77777777" w:rsidR="007F7159" w:rsidRPr="00BE4AF3" w:rsidRDefault="007F7159" w:rsidP="007F7159">
      <w:pPr>
        <w:spacing w:after="0" w:line="240" w:lineRule="auto"/>
        <w:jc w:val="both"/>
        <w:rPr>
          <w:rFonts w:ascii="Times New Roman" w:hAnsi="Times New Roman" w:cs="Times New Roman"/>
          <w:sz w:val="24"/>
          <w:szCs w:val="24"/>
        </w:rPr>
      </w:pPr>
      <w:r w:rsidRPr="00BE4AF3">
        <w:rPr>
          <w:rFonts w:ascii="Times New Roman" w:hAnsi="Times New Roman" w:cs="Times New Roman"/>
          <w:b/>
          <w:bCs/>
          <w:sz w:val="24"/>
          <w:szCs w:val="24"/>
        </w:rPr>
        <w:t>Keywords:</w:t>
      </w:r>
      <w:r w:rsidRPr="00BE4AF3">
        <w:rPr>
          <w:rFonts w:ascii="Times New Roman" w:hAnsi="Times New Roman" w:cs="Times New Roman"/>
          <w:sz w:val="24"/>
          <w:szCs w:val="24"/>
        </w:rPr>
        <w:t xml:space="preserve"> GNSS adjustment, numerical methods, iterative solvers, SVD, Tikhonov regularization, geodesy.</w:t>
      </w:r>
    </w:p>
    <w:p w14:paraId="78BE735C" w14:textId="77777777" w:rsidR="000C7355" w:rsidRPr="00BE4AF3" w:rsidRDefault="000C7355" w:rsidP="000C7355">
      <w:pPr>
        <w:autoSpaceDE w:val="0"/>
        <w:autoSpaceDN w:val="0"/>
        <w:adjustRightInd w:val="0"/>
        <w:spacing w:after="0" w:line="240" w:lineRule="auto"/>
        <w:rPr>
          <w:rFonts w:ascii="Times New Roman" w:hAnsi="Times New Roman" w:cs="Times New Roman"/>
          <w:sz w:val="24"/>
          <w:szCs w:val="24"/>
        </w:rPr>
      </w:pPr>
    </w:p>
    <w:p w14:paraId="3D5C95CB" w14:textId="77777777" w:rsidR="00A226D9" w:rsidRPr="00BE4AF3" w:rsidRDefault="00A226D9" w:rsidP="008848D7">
      <w:pPr>
        <w:pStyle w:val="Heading2"/>
        <w:spacing w:before="0" w:line="240" w:lineRule="auto"/>
        <w:rPr>
          <w:rFonts w:ascii="Times New Roman" w:hAnsi="Times New Roman" w:cs="Times New Roman"/>
          <w:b w:val="0"/>
          <w:color w:val="auto"/>
          <w:sz w:val="24"/>
          <w:szCs w:val="24"/>
        </w:rPr>
      </w:pPr>
      <w:r w:rsidRPr="00BE4AF3">
        <w:rPr>
          <w:rFonts w:ascii="Times New Roman" w:hAnsi="Times New Roman" w:cs="Times New Roman"/>
          <w:color w:val="auto"/>
          <w:sz w:val="24"/>
          <w:szCs w:val="24"/>
        </w:rPr>
        <w:t>Introduction</w:t>
      </w:r>
    </w:p>
    <w:p w14:paraId="23EB72E0" w14:textId="77777777" w:rsidR="00A226D9" w:rsidRPr="00BE4AF3" w:rsidRDefault="00A226D9" w:rsidP="008848D7">
      <w:pPr>
        <w:pStyle w:val="FirstParagraph"/>
        <w:spacing w:before="0" w:after="0"/>
        <w:jc w:val="both"/>
        <w:rPr>
          <w:rFonts w:ascii="Times New Roman" w:hAnsi="Times New Roman" w:cs="Times New Roman"/>
        </w:rPr>
      </w:pPr>
      <w:r w:rsidRPr="00BE4AF3">
        <w:rPr>
          <w:rFonts w:ascii="Times New Roman" w:hAnsi="Times New Roman" w:cs="Times New Roman"/>
        </w:rPr>
        <w:t>Global Navigation Satellite Systems (GNSS), encompassing GPS, GLONASS, Galileo, and BeiDou, underpin modern positioning and navigation (Blewitt, 2022; Hofmann-Wellenhof et al., 2023). Accurate GNSS positioning relies on adjustment models that estimate receiver positions from pseudorange and carrier-phase observations. The conventional least squares (LS) approach forms the basis of most network adjustments (Ghilani, 2020), but practical implementation is challenged by ill-conditioning, rank deficiencies, and high parameter correlations (Kashani &amp; Soal, 2023; Gao et al., 2022).</w:t>
      </w:r>
    </w:p>
    <w:p w14:paraId="1AA2C4F5" w14:textId="77777777" w:rsidR="00A226D9" w:rsidRPr="00BE4AF3" w:rsidRDefault="00A226D9" w:rsidP="008848D7">
      <w:pPr>
        <w:pStyle w:val="BodyText"/>
        <w:spacing w:after="0" w:line="240" w:lineRule="auto"/>
        <w:jc w:val="both"/>
        <w:rPr>
          <w:rFonts w:ascii="Times New Roman" w:hAnsi="Times New Roman"/>
          <w:sz w:val="24"/>
          <w:szCs w:val="24"/>
        </w:rPr>
      </w:pPr>
      <w:r w:rsidRPr="00BE4AF3">
        <w:rPr>
          <w:rFonts w:ascii="Times New Roman" w:hAnsi="Times New Roman"/>
          <w:sz w:val="24"/>
          <w:szCs w:val="24"/>
        </w:rPr>
        <w:t>Large-scale GNSS networks, such as those of the International GNSS Service (IGS), present systems with thousands of observations and unknowns, demanding advanced numerical methods for stability and efficiency (Dach et al., 2021). This review provides a synthesis of numerical strategies in GNSS adjustment, drawing comparisons across direct, iterative, and stabilization methods, and situates these within real-world applications ranging from geodesy to disaster management and autonomous navigation.</w:t>
      </w:r>
    </w:p>
    <w:p w14:paraId="2470CDC9" w14:textId="77777777" w:rsidR="00A226D9" w:rsidRPr="00BE4AF3" w:rsidRDefault="00A226D9" w:rsidP="008848D7">
      <w:pPr>
        <w:pStyle w:val="Heading2"/>
        <w:spacing w:before="0" w:line="240" w:lineRule="auto"/>
        <w:rPr>
          <w:rFonts w:ascii="Times New Roman" w:hAnsi="Times New Roman" w:cs="Times New Roman"/>
          <w:b w:val="0"/>
          <w:color w:val="auto"/>
          <w:sz w:val="24"/>
          <w:szCs w:val="24"/>
        </w:rPr>
      </w:pPr>
      <w:r w:rsidRPr="00BE4AF3">
        <w:rPr>
          <w:rFonts w:ascii="Times New Roman" w:hAnsi="Times New Roman" w:cs="Times New Roman"/>
          <w:color w:val="auto"/>
          <w:sz w:val="24"/>
          <w:szCs w:val="24"/>
        </w:rPr>
        <w:lastRenderedPageBreak/>
        <w:t>Materials and Methods</w:t>
      </w:r>
    </w:p>
    <w:p w14:paraId="169361AD" w14:textId="77777777" w:rsidR="00A226D9" w:rsidRPr="00BE4AF3" w:rsidRDefault="00A226D9" w:rsidP="008848D7">
      <w:pPr>
        <w:pStyle w:val="FirstParagraph"/>
        <w:spacing w:before="0" w:after="0"/>
        <w:jc w:val="both"/>
        <w:rPr>
          <w:rFonts w:ascii="Times New Roman" w:hAnsi="Times New Roman" w:cs="Times New Roman"/>
        </w:rPr>
      </w:pPr>
      <w:r w:rsidRPr="00BE4AF3">
        <w:rPr>
          <w:rFonts w:ascii="Times New Roman" w:hAnsi="Times New Roman" w:cs="Times New Roman"/>
        </w:rPr>
        <w:t xml:space="preserve">This review adopts a </w:t>
      </w:r>
      <w:r w:rsidRPr="00BE4AF3">
        <w:rPr>
          <w:rFonts w:ascii="Times New Roman" w:hAnsi="Times New Roman" w:cs="Times New Roman"/>
          <w:b/>
          <w:bCs/>
        </w:rPr>
        <w:t>narrative review approach</w:t>
      </w:r>
      <w:r w:rsidRPr="00BE4AF3">
        <w:rPr>
          <w:rFonts w:ascii="Times New Roman" w:hAnsi="Times New Roman" w:cs="Times New Roman"/>
        </w:rPr>
        <w:t>, which is more flexible than systematic reviews. Unlike systematic reviews that follow rigid inclusion and exclusion criteria, a narrative review allows for broader thematic synthesis and integration of diverse perspectives (Baumeister &amp; Leary, 1997).</w:t>
      </w:r>
    </w:p>
    <w:p w14:paraId="2F16F288" w14:textId="77777777" w:rsidR="00A226D9" w:rsidRPr="00BE4AF3" w:rsidRDefault="00A226D9" w:rsidP="008848D7">
      <w:pPr>
        <w:pStyle w:val="BodyText"/>
        <w:spacing w:after="0" w:line="240" w:lineRule="auto"/>
        <w:jc w:val="both"/>
        <w:rPr>
          <w:rFonts w:ascii="Times New Roman" w:hAnsi="Times New Roman"/>
          <w:sz w:val="24"/>
          <w:szCs w:val="24"/>
        </w:rPr>
      </w:pPr>
      <w:r w:rsidRPr="00BE4AF3">
        <w:rPr>
          <w:rFonts w:ascii="Times New Roman" w:hAnsi="Times New Roman"/>
          <w:sz w:val="24"/>
          <w:szCs w:val="24"/>
        </w:rPr>
        <w:t xml:space="preserve">Relevant literature was sourced from academic databases such as Scopus, Web of Science, IEEE Xplore, and Google Scholar. Search terms included: </w:t>
      </w:r>
      <w:r w:rsidRPr="00BE4AF3">
        <w:rPr>
          <w:rFonts w:ascii="Times New Roman" w:hAnsi="Times New Roman"/>
          <w:i/>
          <w:iCs/>
          <w:sz w:val="24"/>
          <w:szCs w:val="24"/>
        </w:rPr>
        <w:t>GNSS adjustment, numerical stability, Jacobi method, Preconditioned Conjugate Gradient, Singular Value Decomposition, Tikhonov Regularization, Factor Graph Optimization</w:t>
      </w:r>
      <w:r w:rsidRPr="00BE4AF3">
        <w:rPr>
          <w:rFonts w:ascii="Times New Roman" w:hAnsi="Times New Roman"/>
          <w:sz w:val="24"/>
          <w:szCs w:val="24"/>
        </w:rPr>
        <w:t>.</w:t>
      </w:r>
    </w:p>
    <w:p w14:paraId="1E63063A" w14:textId="77777777" w:rsidR="00A226D9" w:rsidRPr="00BE4AF3" w:rsidRDefault="00A226D9" w:rsidP="008848D7">
      <w:pPr>
        <w:pStyle w:val="BodyText"/>
        <w:spacing w:after="0" w:line="240" w:lineRule="auto"/>
        <w:jc w:val="both"/>
        <w:rPr>
          <w:rFonts w:ascii="Times New Roman" w:hAnsi="Times New Roman"/>
          <w:sz w:val="24"/>
          <w:szCs w:val="24"/>
        </w:rPr>
      </w:pPr>
      <w:r w:rsidRPr="00BE4AF3">
        <w:rPr>
          <w:rFonts w:ascii="Times New Roman" w:hAnsi="Times New Roman"/>
          <w:sz w:val="24"/>
          <w:szCs w:val="24"/>
        </w:rPr>
        <w:t>The timeline of sources spans from classical works in numerical linear algebra (1990s) to the most recent contributions (2024), ensuring both theoretical foundations and contemporary advances are represented. Priority was given to GNSS-specific studies, though general numerical analysis literature was also integrated to provide broader mathematical context.</w:t>
      </w:r>
    </w:p>
    <w:p w14:paraId="57F2A919" w14:textId="77777777" w:rsidR="00A226D9" w:rsidRPr="00BE4AF3" w:rsidRDefault="00A226D9" w:rsidP="008848D7">
      <w:pPr>
        <w:spacing w:after="0" w:line="240" w:lineRule="auto"/>
        <w:rPr>
          <w:rFonts w:ascii="Times New Roman" w:hAnsi="Times New Roman" w:cs="Times New Roman"/>
          <w:sz w:val="24"/>
          <w:szCs w:val="24"/>
        </w:rPr>
      </w:pPr>
    </w:p>
    <w:p w14:paraId="134E0F9B" w14:textId="77777777" w:rsidR="00A226D9" w:rsidRPr="00BE4AF3" w:rsidRDefault="00A226D9" w:rsidP="008848D7">
      <w:pPr>
        <w:pStyle w:val="Heading2"/>
        <w:spacing w:before="0" w:line="240" w:lineRule="auto"/>
        <w:rPr>
          <w:rFonts w:ascii="Times New Roman" w:hAnsi="Times New Roman" w:cs="Times New Roman"/>
          <w:b w:val="0"/>
          <w:color w:val="auto"/>
          <w:sz w:val="24"/>
          <w:szCs w:val="24"/>
        </w:rPr>
      </w:pPr>
      <w:r w:rsidRPr="00BE4AF3">
        <w:rPr>
          <w:rFonts w:ascii="Times New Roman" w:hAnsi="Times New Roman" w:cs="Times New Roman"/>
          <w:color w:val="auto"/>
          <w:sz w:val="24"/>
          <w:szCs w:val="24"/>
        </w:rPr>
        <w:t>Results and Discussion</w:t>
      </w:r>
    </w:p>
    <w:p w14:paraId="7E47B5FC" w14:textId="77777777" w:rsidR="000F499B" w:rsidRDefault="000F499B" w:rsidP="008848D7">
      <w:pPr>
        <w:pStyle w:val="Heading3"/>
        <w:spacing w:before="0" w:line="240" w:lineRule="auto"/>
        <w:rPr>
          <w:rFonts w:ascii="Times New Roman" w:hAnsi="Times New Roman" w:cs="Times New Roman"/>
          <w:b/>
          <w:color w:val="auto"/>
        </w:rPr>
      </w:pPr>
      <w:bookmarkStart w:id="59" w:name="direct-methods"/>
    </w:p>
    <w:p w14:paraId="34B979E3" w14:textId="112CC9D5" w:rsidR="00A226D9" w:rsidRPr="00BE4AF3" w:rsidRDefault="00A226D9" w:rsidP="008848D7">
      <w:pPr>
        <w:pStyle w:val="Heading3"/>
        <w:spacing w:before="0" w:line="240" w:lineRule="auto"/>
        <w:rPr>
          <w:rFonts w:ascii="Times New Roman" w:hAnsi="Times New Roman" w:cs="Times New Roman"/>
          <w:b/>
          <w:color w:val="auto"/>
        </w:rPr>
      </w:pPr>
      <w:r w:rsidRPr="00BE4AF3">
        <w:rPr>
          <w:rFonts w:ascii="Times New Roman" w:hAnsi="Times New Roman" w:cs="Times New Roman"/>
          <w:b/>
          <w:color w:val="auto"/>
        </w:rPr>
        <w:t>Direct Methods</w:t>
      </w:r>
    </w:p>
    <w:p w14:paraId="4A85C55E" w14:textId="77777777" w:rsidR="00A226D9" w:rsidRPr="00BE4AF3" w:rsidRDefault="00A226D9" w:rsidP="008848D7">
      <w:pPr>
        <w:pStyle w:val="FirstParagraph"/>
        <w:spacing w:before="0" w:after="0"/>
        <w:jc w:val="both"/>
        <w:rPr>
          <w:rFonts w:ascii="Times New Roman" w:hAnsi="Times New Roman" w:cs="Times New Roman"/>
        </w:rPr>
      </w:pPr>
      <w:r w:rsidRPr="00BE4AF3">
        <w:rPr>
          <w:rFonts w:ascii="Times New Roman" w:hAnsi="Times New Roman" w:cs="Times New Roman"/>
        </w:rPr>
        <w:t xml:space="preserve">Direct approaches form the backbone of GNSS adjustment. The </w:t>
      </w:r>
      <w:r w:rsidRPr="000F499B">
        <w:rPr>
          <w:rFonts w:ascii="Times New Roman" w:hAnsi="Times New Roman" w:cs="Times New Roman"/>
        </w:rPr>
        <w:t>normal equation method</w:t>
      </w:r>
      <w:r w:rsidRPr="00BE4AF3">
        <w:rPr>
          <w:rFonts w:ascii="Times New Roman" w:hAnsi="Times New Roman" w:cs="Times New Roman"/>
        </w:rPr>
        <w:t xml:space="preserve"> remains the most widely implemented due to its simplicity and efficiency for small to medium networks (Ghilani, 2020). </w:t>
      </w:r>
      <w:r w:rsidRPr="000F499B">
        <w:rPr>
          <w:rFonts w:ascii="Times New Roman" w:hAnsi="Times New Roman" w:cs="Times New Roman"/>
        </w:rPr>
        <w:t>Cholesky decomposition</w:t>
      </w:r>
      <w:r w:rsidRPr="00BE4AF3">
        <w:rPr>
          <w:rFonts w:ascii="Times New Roman" w:hAnsi="Times New Roman" w:cs="Times New Roman"/>
        </w:rPr>
        <w:t xml:space="preserve"> is preferred for positive-definite systems, offering computational efficiency but failing under ill-conditioned or rank-deficient networks (Golub &amp; Van Loan, 2013; Olivares et al., 2022). </w:t>
      </w:r>
      <w:r w:rsidRPr="000F499B">
        <w:rPr>
          <w:rFonts w:ascii="Times New Roman" w:hAnsi="Times New Roman" w:cs="Times New Roman"/>
        </w:rPr>
        <w:t>LU decomposition</w:t>
      </w:r>
      <w:r w:rsidRPr="00BE4AF3">
        <w:rPr>
          <w:rFonts w:ascii="Times New Roman" w:hAnsi="Times New Roman" w:cs="Times New Roman"/>
        </w:rPr>
        <w:t xml:space="preserve"> provides generality but suffers from rounding errors, </w:t>
      </w:r>
      <w:r w:rsidRPr="000F499B">
        <w:rPr>
          <w:rFonts w:ascii="Times New Roman" w:hAnsi="Times New Roman" w:cs="Times New Roman"/>
        </w:rPr>
        <w:t>while QR decomposition</w:t>
      </w:r>
      <w:r w:rsidRPr="00BE4AF3">
        <w:rPr>
          <w:rFonts w:ascii="Times New Roman" w:hAnsi="Times New Roman" w:cs="Times New Roman"/>
        </w:rPr>
        <w:t xml:space="preserve"> offers stability by avoiding the squaring of condition numbers, making it advantageous under weak satellite geometry (Zhao et al., 2020).</w:t>
      </w:r>
    </w:p>
    <w:p w14:paraId="08F18111" w14:textId="77777777" w:rsidR="00A226D9" w:rsidRPr="00BE4AF3" w:rsidRDefault="00A226D9" w:rsidP="008848D7">
      <w:pPr>
        <w:pStyle w:val="BodyText"/>
        <w:spacing w:after="0" w:line="240" w:lineRule="auto"/>
        <w:jc w:val="both"/>
        <w:rPr>
          <w:rFonts w:ascii="Times New Roman" w:hAnsi="Times New Roman"/>
          <w:sz w:val="24"/>
          <w:szCs w:val="24"/>
        </w:rPr>
      </w:pPr>
      <w:r w:rsidRPr="00BE4AF3">
        <w:rPr>
          <w:rFonts w:ascii="Times New Roman" w:hAnsi="Times New Roman"/>
          <w:sz w:val="24"/>
          <w:szCs w:val="24"/>
        </w:rPr>
        <w:t>Despite their robustness under ideal conditions, direct methods face scalability issues. Computational cost grows quadratically or cubically with system size, making them impractical for real-time adjustment of global networks. Thus, they are often supplemented with constraints or used in hybrid schemes.</w:t>
      </w:r>
    </w:p>
    <w:p w14:paraId="2601FC5E" w14:textId="77777777" w:rsidR="000F499B" w:rsidRDefault="000F499B" w:rsidP="008848D7">
      <w:pPr>
        <w:pStyle w:val="Heading3"/>
        <w:spacing w:before="0" w:line="240" w:lineRule="auto"/>
        <w:rPr>
          <w:rFonts w:ascii="Times New Roman" w:hAnsi="Times New Roman" w:cs="Times New Roman"/>
          <w:b/>
          <w:color w:val="auto"/>
        </w:rPr>
      </w:pPr>
      <w:bookmarkStart w:id="60" w:name="iterative-methods"/>
      <w:bookmarkEnd w:id="59"/>
    </w:p>
    <w:p w14:paraId="33F11B74" w14:textId="201D7AF0" w:rsidR="00A226D9" w:rsidRPr="00BE4AF3" w:rsidRDefault="00A226D9" w:rsidP="008848D7">
      <w:pPr>
        <w:pStyle w:val="Heading3"/>
        <w:spacing w:before="0" w:line="240" w:lineRule="auto"/>
        <w:rPr>
          <w:rFonts w:ascii="Times New Roman" w:hAnsi="Times New Roman" w:cs="Times New Roman"/>
          <w:b/>
          <w:color w:val="auto"/>
        </w:rPr>
      </w:pPr>
      <w:r w:rsidRPr="00BE4AF3">
        <w:rPr>
          <w:rFonts w:ascii="Times New Roman" w:hAnsi="Times New Roman" w:cs="Times New Roman"/>
          <w:b/>
          <w:color w:val="auto"/>
        </w:rPr>
        <w:t>Iterative Methods</w:t>
      </w:r>
    </w:p>
    <w:p w14:paraId="43B70669" w14:textId="40A9C8CA" w:rsidR="00A226D9" w:rsidRPr="000F499B" w:rsidRDefault="00A226D9" w:rsidP="008848D7">
      <w:pPr>
        <w:pStyle w:val="FirstParagraph"/>
        <w:spacing w:before="0" w:after="0"/>
        <w:jc w:val="both"/>
        <w:rPr>
          <w:rFonts w:ascii="Times New Roman" w:hAnsi="Times New Roman" w:cs="Times New Roman"/>
        </w:rPr>
      </w:pPr>
      <w:r w:rsidRPr="00BE4AF3">
        <w:rPr>
          <w:rFonts w:ascii="Times New Roman" w:hAnsi="Times New Roman" w:cs="Times New Roman"/>
        </w:rPr>
        <w:t xml:space="preserve">Iterative solvers, by generating successive approximations, are particularly suited for large and sparse GNSS adjustment matrices. </w:t>
      </w:r>
      <w:r w:rsidRPr="000F499B">
        <w:rPr>
          <w:rFonts w:ascii="Times New Roman" w:hAnsi="Times New Roman" w:cs="Times New Roman"/>
        </w:rPr>
        <w:t xml:space="preserve">The Jacobi method is conceptually simple and parallelizable but converges slowly unless the matrix is diagonally dominant (Saad, 2003). The Gauss-Seidel method improves convergence by incorporating immediate </w:t>
      </w:r>
      <w:r w:rsidR="000F499B" w:rsidRPr="000F499B">
        <w:rPr>
          <w:rFonts w:ascii="Times New Roman" w:hAnsi="Times New Roman" w:cs="Times New Roman"/>
        </w:rPr>
        <w:t>updates but</w:t>
      </w:r>
      <w:r w:rsidRPr="000F499B">
        <w:rPr>
          <w:rFonts w:ascii="Times New Roman" w:hAnsi="Times New Roman" w:cs="Times New Roman"/>
        </w:rPr>
        <w:t xml:space="preserve"> remains sequential and unsuitable for parallelization.</w:t>
      </w:r>
    </w:p>
    <w:p w14:paraId="5F7DB8BE" w14:textId="77777777" w:rsidR="00A226D9" w:rsidRPr="000F499B" w:rsidRDefault="00A226D9" w:rsidP="008848D7">
      <w:pPr>
        <w:pStyle w:val="BodyText"/>
        <w:spacing w:after="0" w:line="240" w:lineRule="auto"/>
        <w:jc w:val="both"/>
        <w:rPr>
          <w:rFonts w:ascii="Times New Roman" w:hAnsi="Times New Roman"/>
          <w:sz w:val="24"/>
          <w:szCs w:val="24"/>
        </w:rPr>
      </w:pPr>
      <w:r w:rsidRPr="000F499B">
        <w:rPr>
          <w:rFonts w:ascii="Times New Roman" w:hAnsi="Times New Roman"/>
          <w:sz w:val="24"/>
          <w:szCs w:val="24"/>
        </w:rPr>
        <w:t>The Preconditioned Conjugate Gradient (PCG) method has emerged as the most effective iterative solver for GNSS adjustment. PCG avoids explicit inversion, exploits sparsity, and scales well for real-time applications (Barrett et al., 1994). However, performance depends heavily on the choice of preconditioner, with Incomplete Cholesky and diagonal scaling being common choices (Saad &amp; van der Vorst, 2021). Recent studies confirm PCG’s superiority in adjusting IGS-scale networks, balancing speed and accuracy (Liu &amp; Chen, 2022).</w:t>
      </w:r>
    </w:p>
    <w:p w14:paraId="75253F9D" w14:textId="77777777" w:rsidR="00A226D9" w:rsidRPr="000F499B" w:rsidRDefault="00A226D9" w:rsidP="008848D7">
      <w:pPr>
        <w:pStyle w:val="Heading3"/>
        <w:spacing w:before="0" w:line="240" w:lineRule="auto"/>
        <w:rPr>
          <w:rFonts w:ascii="Times New Roman" w:hAnsi="Times New Roman" w:cs="Times New Roman"/>
          <w:color w:val="auto"/>
        </w:rPr>
      </w:pPr>
      <w:bookmarkStart w:id="61" w:name="stabilization-techniques"/>
      <w:bookmarkEnd w:id="60"/>
      <w:r w:rsidRPr="000F499B">
        <w:rPr>
          <w:rFonts w:ascii="Times New Roman" w:hAnsi="Times New Roman" w:cs="Times New Roman"/>
          <w:color w:val="auto"/>
        </w:rPr>
        <w:t>Stabilization Techniques</w:t>
      </w:r>
    </w:p>
    <w:p w14:paraId="31066E23" w14:textId="77777777" w:rsidR="00A226D9" w:rsidRPr="00BE4AF3" w:rsidRDefault="00A226D9" w:rsidP="008848D7">
      <w:pPr>
        <w:pStyle w:val="FirstParagraph"/>
        <w:spacing w:before="0" w:after="0"/>
        <w:jc w:val="both"/>
        <w:rPr>
          <w:rFonts w:ascii="Times New Roman" w:hAnsi="Times New Roman" w:cs="Times New Roman"/>
        </w:rPr>
      </w:pPr>
      <w:r w:rsidRPr="000F499B">
        <w:rPr>
          <w:rFonts w:ascii="Times New Roman" w:hAnsi="Times New Roman" w:cs="Times New Roman"/>
        </w:rPr>
        <w:t>Stabilization techniques are crucial for ill-posed or rank-deficient systems. Singular Value Decomposition (SVD) decomposes matrices into orthogonal components, allowing identification of weakly determined directions. Truncated SVD stabilizes solutions but at high computational cost (Golub &amp; Van Loan, 2013). Tikhonov Regularization introduces a penalty term</w:t>
      </w:r>
      <w:r w:rsidRPr="00BE4AF3">
        <w:rPr>
          <w:rFonts w:ascii="Times New Roman" w:hAnsi="Times New Roman" w:cs="Times New Roman"/>
        </w:rPr>
        <w:t xml:space="preserve"> to damp </w:t>
      </w:r>
      <w:r w:rsidRPr="00BE4AF3">
        <w:rPr>
          <w:rFonts w:ascii="Times New Roman" w:hAnsi="Times New Roman" w:cs="Times New Roman"/>
        </w:rPr>
        <w:lastRenderedPageBreak/>
        <w:t>unstable components, ensuring robustness under sparse or noisy observations (Hansen, 2018). Its performance, however, hinges on selecting the appropriate regularization parameter (Kashani &amp; Soal, 2023).</w:t>
      </w:r>
    </w:p>
    <w:p w14:paraId="5EBBF12E" w14:textId="77777777" w:rsidR="00A226D9" w:rsidRPr="00BE4AF3" w:rsidRDefault="00A226D9" w:rsidP="008848D7">
      <w:pPr>
        <w:pStyle w:val="BodyText"/>
        <w:spacing w:after="0" w:line="240" w:lineRule="auto"/>
        <w:jc w:val="both"/>
        <w:rPr>
          <w:rFonts w:ascii="Times New Roman" w:hAnsi="Times New Roman"/>
          <w:sz w:val="24"/>
          <w:szCs w:val="24"/>
        </w:rPr>
      </w:pPr>
      <w:r w:rsidRPr="00BE4AF3">
        <w:rPr>
          <w:rFonts w:ascii="Times New Roman" w:hAnsi="Times New Roman"/>
          <w:sz w:val="24"/>
          <w:szCs w:val="24"/>
        </w:rPr>
        <w:t>In practice, stabilization techniques are often reserved for post-processing or critical geodetic networks, where reliability outweighs computational burden.</w:t>
      </w:r>
    </w:p>
    <w:p w14:paraId="34589E03" w14:textId="77777777" w:rsidR="000F499B" w:rsidRDefault="000F499B" w:rsidP="008848D7">
      <w:pPr>
        <w:pStyle w:val="Heading3"/>
        <w:spacing w:before="0" w:line="240" w:lineRule="auto"/>
        <w:rPr>
          <w:rFonts w:ascii="Times New Roman" w:hAnsi="Times New Roman" w:cs="Times New Roman"/>
          <w:b/>
          <w:color w:val="auto"/>
        </w:rPr>
      </w:pPr>
      <w:bookmarkStart w:id="62" w:name="applications-of-gnss-adjustment"/>
      <w:bookmarkEnd w:id="61"/>
    </w:p>
    <w:p w14:paraId="6B2061F4" w14:textId="4C88BA1C" w:rsidR="00A226D9" w:rsidRPr="00BE4AF3" w:rsidRDefault="00A226D9" w:rsidP="008848D7">
      <w:pPr>
        <w:pStyle w:val="Heading3"/>
        <w:spacing w:before="0" w:line="240" w:lineRule="auto"/>
        <w:rPr>
          <w:rFonts w:ascii="Times New Roman" w:hAnsi="Times New Roman" w:cs="Times New Roman"/>
          <w:b/>
          <w:color w:val="auto"/>
        </w:rPr>
      </w:pPr>
      <w:r w:rsidRPr="00BE4AF3">
        <w:rPr>
          <w:rFonts w:ascii="Times New Roman" w:hAnsi="Times New Roman" w:cs="Times New Roman"/>
          <w:b/>
          <w:color w:val="auto"/>
        </w:rPr>
        <w:t>Applications of GNSS Adjustment</w:t>
      </w:r>
    </w:p>
    <w:p w14:paraId="545AAB3A" w14:textId="77777777" w:rsidR="00A226D9" w:rsidRPr="00BE4AF3" w:rsidRDefault="00A226D9" w:rsidP="008848D7">
      <w:pPr>
        <w:pStyle w:val="FirstParagraph"/>
        <w:spacing w:before="0" w:after="0"/>
        <w:jc w:val="both"/>
        <w:rPr>
          <w:rFonts w:ascii="Times New Roman" w:hAnsi="Times New Roman" w:cs="Times New Roman"/>
        </w:rPr>
      </w:pPr>
      <w:r w:rsidRPr="00BE4AF3">
        <w:rPr>
          <w:rFonts w:ascii="Times New Roman" w:hAnsi="Times New Roman" w:cs="Times New Roman"/>
        </w:rPr>
        <w:t>GNSS adjustment methods are indispensable across diverse sectors:</w:t>
      </w:r>
    </w:p>
    <w:p w14:paraId="3567A4F7" w14:textId="77777777" w:rsidR="00A226D9" w:rsidRPr="00BE4AF3" w:rsidRDefault="00A226D9" w:rsidP="008848D7">
      <w:pPr>
        <w:pStyle w:val="FirstParagraph"/>
        <w:numPr>
          <w:ilvl w:val="0"/>
          <w:numId w:val="12"/>
        </w:numPr>
        <w:spacing w:before="0" w:after="0"/>
        <w:jc w:val="both"/>
        <w:rPr>
          <w:rFonts w:ascii="Times New Roman" w:hAnsi="Times New Roman" w:cs="Times New Roman"/>
        </w:rPr>
      </w:pPr>
      <w:r w:rsidRPr="00BE4AF3">
        <w:rPr>
          <w:rFonts w:ascii="Times New Roman" w:hAnsi="Times New Roman" w:cs="Times New Roman"/>
          <w:b/>
          <w:bCs/>
        </w:rPr>
        <w:t>Geodesy and Surveying</w:t>
      </w:r>
      <w:r w:rsidRPr="00BE4AF3">
        <w:rPr>
          <w:rFonts w:ascii="Times New Roman" w:hAnsi="Times New Roman" w:cs="Times New Roman"/>
        </w:rPr>
        <w:t>: Network densification, control establishment, and crustal deformation studies rely on precise adjustments (Teunissen &amp; Montenbruck, 2017).</w:t>
      </w:r>
    </w:p>
    <w:p w14:paraId="643069DA" w14:textId="77777777" w:rsidR="00A226D9" w:rsidRPr="00BE4AF3" w:rsidRDefault="00A226D9" w:rsidP="008848D7">
      <w:pPr>
        <w:pStyle w:val="FirstParagraph"/>
        <w:numPr>
          <w:ilvl w:val="0"/>
          <w:numId w:val="12"/>
        </w:numPr>
        <w:spacing w:before="0" w:after="0"/>
        <w:jc w:val="both"/>
        <w:rPr>
          <w:rFonts w:ascii="Times New Roman" w:hAnsi="Times New Roman" w:cs="Times New Roman"/>
        </w:rPr>
      </w:pPr>
      <w:r w:rsidRPr="00BE4AF3">
        <w:rPr>
          <w:rFonts w:ascii="Times New Roman" w:hAnsi="Times New Roman" w:cs="Times New Roman"/>
          <w:b/>
          <w:bCs/>
        </w:rPr>
        <w:t>Autonomous Navigation</w:t>
      </w:r>
      <w:r w:rsidRPr="00BE4AF3">
        <w:rPr>
          <w:rFonts w:ascii="Times New Roman" w:hAnsi="Times New Roman" w:cs="Times New Roman"/>
        </w:rPr>
        <w:t xml:space="preserve">: Ill-conditioned adjustments can cause unsafe maneuvers in self-driving vehicles and drones. Scalable solvers like PCG are essential for real-time navigation (Wen et al., 2020). </w:t>
      </w:r>
    </w:p>
    <w:p w14:paraId="3059AD08" w14:textId="77777777" w:rsidR="00A226D9" w:rsidRPr="00BE4AF3" w:rsidRDefault="00A226D9" w:rsidP="008848D7">
      <w:pPr>
        <w:pStyle w:val="FirstParagraph"/>
        <w:numPr>
          <w:ilvl w:val="0"/>
          <w:numId w:val="12"/>
        </w:numPr>
        <w:spacing w:before="0" w:after="0"/>
        <w:jc w:val="both"/>
        <w:rPr>
          <w:rFonts w:ascii="Times New Roman" w:hAnsi="Times New Roman" w:cs="Times New Roman"/>
        </w:rPr>
      </w:pPr>
      <w:r w:rsidRPr="00BE4AF3">
        <w:rPr>
          <w:rFonts w:ascii="Times New Roman" w:hAnsi="Times New Roman" w:cs="Times New Roman"/>
          <w:b/>
          <w:bCs/>
        </w:rPr>
        <w:t>Disaster Management</w:t>
      </w:r>
      <w:r w:rsidRPr="00BE4AF3">
        <w:rPr>
          <w:rFonts w:ascii="Times New Roman" w:hAnsi="Times New Roman" w:cs="Times New Roman"/>
        </w:rPr>
        <w:t xml:space="preserve">: GNSS adjustments underpin geohazard monitoring and early warning systems. Robust solutions prevent delays in alerts for earthquakes and landslides (Gao et al., 2022). </w:t>
      </w:r>
    </w:p>
    <w:p w14:paraId="7B4FE7C4" w14:textId="77777777" w:rsidR="00A226D9" w:rsidRPr="00BE4AF3" w:rsidRDefault="00A226D9" w:rsidP="008848D7">
      <w:pPr>
        <w:pStyle w:val="FirstParagraph"/>
        <w:numPr>
          <w:ilvl w:val="0"/>
          <w:numId w:val="12"/>
        </w:numPr>
        <w:spacing w:before="0" w:after="0"/>
        <w:jc w:val="both"/>
        <w:rPr>
          <w:rFonts w:ascii="Times New Roman" w:hAnsi="Times New Roman" w:cs="Times New Roman"/>
        </w:rPr>
      </w:pPr>
      <w:r w:rsidRPr="00BE4AF3">
        <w:rPr>
          <w:rFonts w:ascii="Times New Roman" w:hAnsi="Times New Roman" w:cs="Times New Roman"/>
          <w:b/>
          <w:bCs/>
        </w:rPr>
        <w:t>Precision Agriculture and Smart Cities</w:t>
      </w:r>
      <w:r w:rsidRPr="00BE4AF3">
        <w:rPr>
          <w:rFonts w:ascii="Times New Roman" w:hAnsi="Times New Roman" w:cs="Times New Roman"/>
        </w:rPr>
        <w:t>: GNSS-based positioning optimizes farming operations, traffic synchronization, and infrastructure monitoring. Regularization methods ensure stability in environments with multipath interference (Kashani &amp; Soal, 2023).</w:t>
      </w:r>
    </w:p>
    <w:bookmarkEnd w:id="62"/>
    <w:p w14:paraId="4F4DD43B" w14:textId="77777777" w:rsidR="000F499B" w:rsidRDefault="000F499B" w:rsidP="008848D7">
      <w:pPr>
        <w:pStyle w:val="Heading3"/>
        <w:spacing w:before="0" w:line="240" w:lineRule="auto"/>
        <w:rPr>
          <w:rFonts w:ascii="Times New Roman" w:hAnsi="Times New Roman" w:cs="Times New Roman"/>
          <w:b/>
          <w:color w:val="auto"/>
        </w:rPr>
      </w:pPr>
    </w:p>
    <w:p w14:paraId="437B3E91" w14:textId="46B2AAC3" w:rsidR="00A226D9" w:rsidRDefault="00A226D9" w:rsidP="008848D7">
      <w:pPr>
        <w:pStyle w:val="Heading3"/>
        <w:spacing w:before="0" w:line="240" w:lineRule="auto"/>
        <w:rPr>
          <w:rFonts w:ascii="Times New Roman" w:hAnsi="Times New Roman" w:cs="Times New Roman"/>
          <w:b/>
          <w:color w:val="auto"/>
        </w:rPr>
      </w:pPr>
      <w:r w:rsidRPr="00BE4AF3">
        <w:rPr>
          <w:rFonts w:ascii="Times New Roman" w:hAnsi="Times New Roman" w:cs="Times New Roman"/>
          <w:b/>
          <w:color w:val="auto"/>
        </w:rPr>
        <w:t>Comparative Insights from Literature</w:t>
      </w:r>
    </w:p>
    <w:p w14:paraId="48D68C75" w14:textId="77777777" w:rsidR="000F499B" w:rsidRPr="000F499B" w:rsidRDefault="000F499B" w:rsidP="000F499B"/>
    <w:p w14:paraId="6A1C1DF6" w14:textId="77777777" w:rsidR="00A226D9" w:rsidRPr="00BE4AF3" w:rsidRDefault="00A226D9" w:rsidP="000F499B">
      <w:pPr>
        <w:pStyle w:val="FirstParagraph"/>
        <w:spacing w:before="0" w:after="0"/>
        <w:jc w:val="center"/>
        <w:rPr>
          <w:rFonts w:ascii="Times New Roman" w:hAnsi="Times New Roman" w:cs="Times New Roman"/>
        </w:rPr>
      </w:pPr>
      <w:r w:rsidRPr="00BE4AF3">
        <w:rPr>
          <w:rFonts w:ascii="Times New Roman" w:hAnsi="Times New Roman" w:cs="Times New Roman"/>
          <w:b/>
          <w:bCs/>
        </w:rPr>
        <w:t xml:space="preserve">Table 1: </w:t>
      </w:r>
      <w:r w:rsidRPr="000F499B">
        <w:rPr>
          <w:rFonts w:ascii="Times New Roman" w:hAnsi="Times New Roman" w:cs="Times New Roman"/>
        </w:rPr>
        <w:t>Summary of Numerical Methods for GNSS Adjustment</w:t>
      </w:r>
    </w:p>
    <w:tbl>
      <w:tblPr>
        <w:tblStyle w:val="PlainTable2"/>
        <w:tblW w:w="4622" w:type="pct"/>
        <w:jc w:val="center"/>
        <w:tblBorders>
          <w:top w:val="single" w:sz="4" w:space="0" w:color="auto"/>
          <w:bottom w:val="single" w:sz="4" w:space="0" w:color="auto"/>
        </w:tblBorders>
        <w:tblLayout w:type="fixed"/>
        <w:tblLook w:val="0020" w:firstRow="1" w:lastRow="0" w:firstColumn="0" w:lastColumn="0" w:noHBand="0" w:noVBand="0"/>
      </w:tblPr>
      <w:tblGrid>
        <w:gridCol w:w="1559"/>
        <w:gridCol w:w="1942"/>
        <w:gridCol w:w="2120"/>
        <w:gridCol w:w="3031"/>
      </w:tblGrid>
      <w:tr w:rsidR="00A226D9" w:rsidRPr="000F499B" w14:paraId="48F176FB" w14:textId="77777777" w:rsidTr="0090056C">
        <w:trPr>
          <w:cnfStyle w:val="100000000000" w:firstRow="1" w:lastRow="0" w:firstColumn="0" w:lastColumn="0" w:oddVBand="0" w:evenVBand="0" w:oddHBand="0"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560" w:type="dxa"/>
            <w:tcBorders>
              <w:top w:val="single" w:sz="4" w:space="0" w:color="auto"/>
              <w:left w:val="none" w:sz="0" w:space="0" w:color="auto"/>
              <w:bottom w:val="single" w:sz="4" w:space="0" w:color="auto"/>
              <w:right w:val="none" w:sz="0" w:space="0" w:color="auto"/>
            </w:tcBorders>
          </w:tcPr>
          <w:p w14:paraId="53B645AD" w14:textId="77777777" w:rsidR="00A226D9" w:rsidRPr="000F499B" w:rsidRDefault="00A226D9" w:rsidP="000F499B">
            <w:pPr>
              <w:pStyle w:val="Compact"/>
              <w:spacing w:before="0" w:after="0"/>
              <w:rPr>
                <w:rFonts w:cs="Times New Roman"/>
                <w:b w:val="0"/>
                <w:bCs w:val="0"/>
                <w:sz w:val="20"/>
                <w:szCs w:val="20"/>
              </w:rPr>
            </w:pPr>
            <w:r w:rsidRPr="000F499B">
              <w:rPr>
                <w:rFonts w:cs="Times New Roman"/>
                <w:b w:val="0"/>
                <w:bCs w:val="0"/>
                <w:sz w:val="20"/>
                <w:szCs w:val="20"/>
              </w:rPr>
              <w:t>Method</w:t>
            </w:r>
          </w:p>
        </w:tc>
        <w:tc>
          <w:tcPr>
            <w:cnfStyle w:val="000001000000" w:firstRow="0" w:lastRow="0" w:firstColumn="0" w:lastColumn="0" w:oddVBand="0" w:evenVBand="1" w:oddHBand="0" w:evenHBand="0" w:firstRowFirstColumn="0" w:firstRowLastColumn="0" w:lastRowFirstColumn="0" w:lastRowLastColumn="0"/>
            <w:tcW w:w="1942" w:type="dxa"/>
            <w:tcBorders>
              <w:top w:val="single" w:sz="4" w:space="0" w:color="auto"/>
              <w:left w:val="none" w:sz="0" w:space="0" w:color="auto"/>
              <w:bottom w:val="single" w:sz="4" w:space="0" w:color="auto"/>
              <w:right w:val="none" w:sz="0" w:space="0" w:color="auto"/>
            </w:tcBorders>
          </w:tcPr>
          <w:p w14:paraId="129BD97D" w14:textId="77777777" w:rsidR="00A226D9" w:rsidRPr="000F499B" w:rsidRDefault="00A226D9" w:rsidP="000F499B">
            <w:pPr>
              <w:pStyle w:val="Compact"/>
              <w:spacing w:before="0" w:after="0"/>
              <w:rPr>
                <w:rFonts w:cs="Times New Roman"/>
                <w:b w:val="0"/>
                <w:bCs w:val="0"/>
                <w:sz w:val="20"/>
                <w:szCs w:val="20"/>
              </w:rPr>
            </w:pPr>
            <w:r w:rsidRPr="000F499B">
              <w:rPr>
                <w:rFonts w:cs="Times New Roman"/>
                <w:b w:val="0"/>
                <w:bCs w:val="0"/>
                <w:sz w:val="20"/>
                <w:szCs w:val="20"/>
              </w:rPr>
              <w:t>Strengths</w:t>
            </w:r>
          </w:p>
        </w:tc>
        <w:tc>
          <w:tcPr>
            <w:cnfStyle w:val="000010000000" w:firstRow="0" w:lastRow="0" w:firstColumn="0" w:lastColumn="0" w:oddVBand="1" w:evenVBand="0" w:oddHBand="0" w:evenHBand="0" w:firstRowFirstColumn="0" w:firstRowLastColumn="0" w:lastRowFirstColumn="0" w:lastRowLastColumn="0"/>
            <w:tcW w:w="2120" w:type="dxa"/>
            <w:tcBorders>
              <w:top w:val="single" w:sz="4" w:space="0" w:color="auto"/>
              <w:left w:val="none" w:sz="0" w:space="0" w:color="auto"/>
              <w:bottom w:val="single" w:sz="4" w:space="0" w:color="auto"/>
              <w:right w:val="none" w:sz="0" w:space="0" w:color="auto"/>
            </w:tcBorders>
          </w:tcPr>
          <w:p w14:paraId="7FF34980" w14:textId="77777777" w:rsidR="00A226D9" w:rsidRPr="000F499B" w:rsidRDefault="00A226D9" w:rsidP="000F499B">
            <w:pPr>
              <w:pStyle w:val="Compact"/>
              <w:spacing w:before="0" w:after="0"/>
              <w:rPr>
                <w:rFonts w:cs="Times New Roman"/>
                <w:b w:val="0"/>
                <w:bCs w:val="0"/>
                <w:sz w:val="20"/>
                <w:szCs w:val="20"/>
              </w:rPr>
            </w:pPr>
            <w:r w:rsidRPr="000F499B">
              <w:rPr>
                <w:rFonts w:cs="Times New Roman"/>
                <w:b w:val="0"/>
                <w:bCs w:val="0"/>
                <w:sz w:val="20"/>
                <w:szCs w:val="20"/>
              </w:rPr>
              <w:t>Weaknesses</w:t>
            </w:r>
          </w:p>
        </w:tc>
        <w:tc>
          <w:tcPr>
            <w:cnfStyle w:val="000001000000" w:firstRow="0" w:lastRow="0" w:firstColumn="0" w:lastColumn="0" w:oddVBand="0" w:evenVBand="1" w:oddHBand="0" w:evenHBand="0" w:firstRowFirstColumn="0" w:firstRowLastColumn="0" w:lastRowFirstColumn="0" w:lastRowLastColumn="0"/>
            <w:tcW w:w="3031" w:type="dxa"/>
            <w:tcBorders>
              <w:top w:val="single" w:sz="4" w:space="0" w:color="auto"/>
              <w:left w:val="none" w:sz="0" w:space="0" w:color="auto"/>
              <w:bottom w:val="single" w:sz="4" w:space="0" w:color="auto"/>
              <w:right w:val="none" w:sz="0" w:space="0" w:color="auto"/>
            </w:tcBorders>
          </w:tcPr>
          <w:p w14:paraId="3357C370" w14:textId="77777777" w:rsidR="00A226D9" w:rsidRPr="000F499B" w:rsidRDefault="00A226D9" w:rsidP="000F499B">
            <w:pPr>
              <w:pStyle w:val="Compact"/>
              <w:spacing w:before="0" w:after="0"/>
              <w:rPr>
                <w:rFonts w:cs="Times New Roman"/>
                <w:b w:val="0"/>
                <w:bCs w:val="0"/>
                <w:sz w:val="20"/>
                <w:szCs w:val="20"/>
              </w:rPr>
            </w:pPr>
            <w:r w:rsidRPr="000F499B">
              <w:rPr>
                <w:rFonts w:cs="Times New Roman"/>
                <w:b w:val="0"/>
                <w:bCs w:val="0"/>
                <w:sz w:val="20"/>
                <w:szCs w:val="20"/>
              </w:rPr>
              <w:t>Application Example</w:t>
            </w:r>
          </w:p>
        </w:tc>
      </w:tr>
      <w:tr w:rsidR="00A226D9" w:rsidRPr="000F499B" w14:paraId="6B9C2234" w14:textId="77777777" w:rsidTr="0090056C">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560" w:type="dxa"/>
            <w:tcBorders>
              <w:top w:val="single" w:sz="4" w:space="0" w:color="auto"/>
              <w:left w:val="none" w:sz="0" w:space="0" w:color="auto"/>
              <w:bottom w:val="none" w:sz="0" w:space="0" w:color="auto"/>
              <w:right w:val="none" w:sz="0" w:space="0" w:color="auto"/>
            </w:tcBorders>
          </w:tcPr>
          <w:p w14:paraId="726E461C"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Normal Equations</w:t>
            </w:r>
          </w:p>
        </w:tc>
        <w:tc>
          <w:tcPr>
            <w:cnfStyle w:val="000001000000" w:firstRow="0" w:lastRow="0" w:firstColumn="0" w:lastColumn="0" w:oddVBand="0" w:evenVBand="1" w:oddHBand="0" w:evenHBand="0" w:firstRowFirstColumn="0" w:firstRowLastColumn="0" w:lastRowFirstColumn="0" w:lastRowLastColumn="0"/>
            <w:tcW w:w="1942" w:type="dxa"/>
            <w:tcBorders>
              <w:top w:val="single" w:sz="4" w:space="0" w:color="auto"/>
              <w:left w:val="none" w:sz="0" w:space="0" w:color="auto"/>
              <w:bottom w:val="none" w:sz="0" w:space="0" w:color="auto"/>
              <w:right w:val="none" w:sz="0" w:space="0" w:color="auto"/>
            </w:tcBorders>
          </w:tcPr>
          <w:p w14:paraId="0B849297"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Simple, efficient</w:t>
            </w:r>
          </w:p>
        </w:tc>
        <w:tc>
          <w:tcPr>
            <w:cnfStyle w:val="000010000000" w:firstRow="0" w:lastRow="0" w:firstColumn="0" w:lastColumn="0" w:oddVBand="1" w:evenVBand="0" w:oddHBand="0" w:evenHBand="0" w:firstRowFirstColumn="0" w:firstRowLastColumn="0" w:lastRowFirstColumn="0" w:lastRowLastColumn="0"/>
            <w:tcW w:w="2120" w:type="dxa"/>
            <w:tcBorders>
              <w:top w:val="single" w:sz="4" w:space="0" w:color="auto"/>
              <w:left w:val="none" w:sz="0" w:space="0" w:color="auto"/>
              <w:bottom w:val="none" w:sz="0" w:space="0" w:color="auto"/>
              <w:right w:val="none" w:sz="0" w:space="0" w:color="auto"/>
            </w:tcBorders>
          </w:tcPr>
          <w:p w14:paraId="77F86C6A"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Unstable for ill-conditioned matrices</w:t>
            </w:r>
          </w:p>
        </w:tc>
        <w:tc>
          <w:tcPr>
            <w:cnfStyle w:val="000001000000" w:firstRow="0" w:lastRow="0" w:firstColumn="0" w:lastColumn="0" w:oddVBand="0" w:evenVBand="1" w:oddHBand="0" w:evenHBand="0" w:firstRowFirstColumn="0" w:firstRowLastColumn="0" w:lastRowFirstColumn="0" w:lastRowLastColumn="0"/>
            <w:tcW w:w="3031" w:type="dxa"/>
            <w:tcBorders>
              <w:top w:val="single" w:sz="4" w:space="0" w:color="auto"/>
              <w:left w:val="none" w:sz="0" w:space="0" w:color="auto"/>
              <w:bottom w:val="none" w:sz="0" w:space="0" w:color="auto"/>
              <w:right w:val="none" w:sz="0" w:space="0" w:color="auto"/>
            </w:tcBorders>
          </w:tcPr>
          <w:p w14:paraId="10641C3E"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Small survey networks</w:t>
            </w:r>
          </w:p>
        </w:tc>
      </w:tr>
      <w:tr w:rsidR="00A226D9" w:rsidRPr="000F499B" w14:paraId="54D44924" w14:textId="77777777" w:rsidTr="0090056C">
        <w:trPr>
          <w:jc w:val="center"/>
        </w:trPr>
        <w:tc>
          <w:tcPr>
            <w:cnfStyle w:val="000010000000" w:firstRow="0" w:lastRow="0" w:firstColumn="0" w:lastColumn="0" w:oddVBand="1" w:evenVBand="0" w:oddHBand="0" w:evenHBand="0" w:firstRowFirstColumn="0" w:firstRowLastColumn="0" w:lastRowFirstColumn="0" w:lastRowLastColumn="0"/>
            <w:tcW w:w="1560" w:type="dxa"/>
            <w:tcBorders>
              <w:left w:val="none" w:sz="0" w:space="0" w:color="auto"/>
              <w:right w:val="none" w:sz="0" w:space="0" w:color="auto"/>
            </w:tcBorders>
          </w:tcPr>
          <w:p w14:paraId="5FD9211F"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Cholesky Decomposition</w:t>
            </w:r>
          </w:p>
        </w:tc>
        <w:tc>
          <w:tcPr>
            <w:cnfStyle w:val="000001000000" w:firstRow="0" w:lastRow="0" w:firstColumn="0" w:lastColumn="0" w:oddVBand="0" w:evenVBand="1" w:oddHBand="0" w:evenHBand="0" w:firstRowFirstColumn="0" w:firstRowLastColumn="0" w:lastRowFirstColumn="0" w:lastRowLastColumn="0"/>
            <w:tcW w:w="1942" w:type="dxa"/>
            <w:tcBorders>
              <w:left w:val="none" w:sz="0" w:space="0" w:color="auto"/>
              <w:right w:val="none" w:sz="0" w:space="0" w:color="auto"/>
            </w:tcBorders>
          </w:tcPr>
          <w:p w14:paraId="27D88266"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Fast for positive-definite systems</w:t>
            </w:r>
          </w:p>
        </w:tc>
        <w:tc>
          <w:tcPr>
            <w:cnfStyle w:val="000010000000" w:firstRow="0" w:lastRow="0" w:firstColumn="0" w:lastColumn="0" w:oddVBand="1" w:evenVBand="0" w:oddHBand="0" w:evenHBand="0" w:firstRowFirstColumn="0" w:firstRowLastColumn="0" w:lastRowFirstColumn="0" w:lastRowLastColumn="0"/>
            <w:tcW w:w="2120" w:type="dxa"/>
            <w:tcBorders>
              <w:left w:val="none" w:sz="0" w:space="0" w:color="auto"/>
              <w:right w:val="none" w:sz="0" w:space="0" w:color="auto"/>
            </w:tcBorders>
          </w:tcPr>
          <w:p w14:paraId="380F3841"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Fails under rank deficiency</w:t>
            </w:r>
          </w:p>
        </w:tc>
        <w:tc>
          <w:tcPr>
            <w:cnfStyle w:val="000001000000" w:firstRow="0" w:lastRow="0" w:firstColumn="0" w:lastColumn="0" w:oddVBand="0" w:evenVBand="1" w:oddHBand="0" w:evenHBand="0" w:firstRowFirstColumn="0" w:firstRowLastColumn="0" w:lastRowFirstColumn="0" w:lastRowLastColumn="0"/>
            <w:tcW w:w="3031" w:type="dxa"/>
            <w:tcBorders>
              <w:left w:val="none" w:sz="0" w:space="0" w:color="auto"/>
              <w:right w:val="none" w:sz="0" w:space="0" w:color="auto"/>
            </w:tcBorders>
          </w:tcPr>
          <w:p w14:paraId="3AEDEE1B"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Batch GNSS adjustments</w:t>
            </w:r>
          </w:p>
        </w:tc>
      </w:tr>
      <w:tr w:rsidR="00A226D9" w:rsidRPr="000F499B" w14:paraId="4BFBDB72" w14:textId="77777777" w:rsidTr="0090056C">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tcPr>
          <w:p w14:paraId="6F06C0EB"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QR Decomposition</w:t>
            </w:r>
          </w:p>
        </w:tc>
        <w:tc>
          <w:tcPr>
            <w:cnfStyle w:val="000001000000" w:firstRow="0" w:lastRow="0" w:firstColumn="0" w:lastColumn="0" w:oddVBand="0" w:evenVBand="1" w:oddHBand="0" w:evenHBand="0" w:firstRowFirstColumn="0" w:firstRowLastColumn="0" w:lastRowFirstColumn="0" w:lastRowLastColumn="0"/>
            <w:tcW w:w="1942" w:type="dxa"/>
            <w:tcBorders>
              <w:top w:val="none" w:sz="0" w:space="0" w:color="auto"/>
              <w:left w:val="none" w:sz="0" w:space="0" w:color="auto"/>
              <w:bottom w:val="none" w:sz="0" w:space="0" w:color="auto"/>
              <w:right w:val="none" w:sz="0" w:space="0" w:color="auto"/>
            </w:tcBorders>
          </w:tcPr>
          <w:p w14:paraId="7123E537"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Stable under weak geometry</w:t>
            </w:r>
          </w:p>
        </w:tc>
        <w:tc>
          <w:tcPr>
            <w:cnfStyle w:val="000010000000" w:firstRow="0" w:lastRow="0" w:firstColumn="0" w:lastColumn="0" w:oddVBand="1" w:evenVBand="0" w:oddHBand="0" w:evenHBand="0" w:firstRowFirstColumn="0" w:firstRowLastColumn="0" w:lastRowFirstColumn="0" w:lastRowLastColumn="0"/>
            <w:tcW w:w="2120" w:type="dxa"/>
            <w:tcBorders>
              <w:top w:val="none" w:sz="0" w:space="0" w:color="auto"/>
              <w:left w:val="none" w:sz="0" w:space="0" w:color="auto"/>
              <w:bottom w:val="none" w:sz="0" w:space="0" w:color="auto"/>
              <w:right w:val="none" w:sz="0" w:space="0" w:color="auto"/>
            </w:tcBorders>
          </w:tcPr>
          <w:p w14:paraId="091D53EA"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Computationally expensive</w:t>
            </w:r>
          </w:p>
        </w:tc>
        <w:tc>
          <w:tcPr>
            <w:cnfStyle w:val="000001000000" w:firstRow="0" w:lastRow="0" w:firstColumn="0" w:lastColumn="0" w:oddVBand="0" w:evenVBand="1" w:oddHBand="0" w:evenHBand="0" w:firstRowFirstColumn="0" w:firstRowLastColumn="0" w:lastRowFirstColumn="0" w:lastRowLastColumn="0"/>
            <w:tcW w:w="3031" w:type="dxa"/>
            <w:tcBorders>
              <w:top w:val="none" w:sz="0" w:space="0" w:color="auto"/>
              <w:left w:val="none" w:sz="0" w:space="0" w:color="auto"/>
              <w:bottom w:val="none" w:sz="0" w:space="0" w:color="auto"/>
              <w:right w:val="none" w:sz="0" w:space="0" w:color="auto"/>
            </w:tcBorders>
          </w:tcPr>
          <w:p w14:paraId="4528DEE5"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GNSS in urban canyons</w:t>
            </w:r>
          </w:p>
        </w:tc>
      </w:tr>
      <w:tr w:rsidR="00A226D9" w:rsidRPr="000F499B" w14:paraId="0DF4AD69" w14:textId="77777777" w:rsidTr="0090056C">
        <w:trPr>
          <w:jc w:val="center"/>
        </w:trPr>
        <w:tc>
          <w:tcPr>
            <w:cnfStyle w:val="000010000000" w:firstRow="0" w:lastRow="0" w:firstColumn="0" w:lastColumn="0" w:oddVBand="1" w:evenVBand="0" w:oddHBand="0" w:evenHBand="0" w:firstRowFirstColumn="0" w:firstRowLastColumn="0" w:lastRowFirstColumn="0" w:lastRowLastColumn="0"/>
            <w:tcW w:w="1560" w:type="dxa"/>
            <w:tcBorders>
              <w:left w:val="none" w:sz="0" w:space="0" w:color="auto"/>
              <w:right w:val="none" w:sz="0" w:space="0" w:color="auto"/>
            </w:tcBorders>
          </w:tcPr>
          <w:p w14:paraId="181E7F9B"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Jacobi Method</w:t>
            </w:r>
          </w:p>
        </w:tc>
        <w:tc>
          <w:tcPr>
            <w:cnfStyle w:val="000001000000" w:firstRow="0" w:lastRow="0" w:firstColumn="0" w:lastColumn="0" w:oddVBand="0" w:evenVBand="1" w:oddHBand="0" w:evenHBand="0" w:firstRowFirstColumn="0" w:firstRowLastColumn="0" w:lastRowFirstColumn="0" w:lastRowLastColumn="0"/>
            <w:tcW w:w="1942" w:type="dxa"/>
            <w:tcBorders>
              <w:left w:val="none" w:sz="0" w:space="0" w:color="auto"/>
              <w:right w:val="none" w:sz="0" w:space="0" w:color="auto"/>
            </w:tcBorders>
          </w:tcPr>
          <w:p w14:paraId="651212F5"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Simple, parallelizable</w:t>
            </w:r>
          </w:p>
        </w:tc>
        <w:tc>
          <w:tcPr>
            <w:cnfStyle w:val="000010000000" w:firstRow="0" w:lastRow="0" w:firstColumn="0" w:lastColumn="0" w:oddVBand="1" w:evenVBand="0" w:oddHBand="0" w:evenHBand="0" w:firstRowFirstColumn="0" w:firstRowLastColumn="0" w:lastRowFirstColumn="0" w:lastRowLastColumn="0"/>
            <w:tcW w:w="2120" w:type="dxa"/>
            <w:tcBorders>
              <w:left w:val="none" w:sz="0" w:space="0" w:color="auto"/>
              <w:right w:val="none" w:sz="0" w:space="0" w:color="auto"/>
            </w:tcBorders>
          </w:tcPr>
          <w:p w14:paraId="016E1CF2"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Very slow convergence</w:t>
            </w:r>
          </w:p>
        </w:tc>
        <w:tc>
          <w:tcPr>
            <w:cnfStyle w:val="000001000000" w:firstRow="0" w:lastRow="0" w:firstColumn="0" w:lastColumn="0" w:oddVBand="0" w:evenVBand="1" w:oddHBand="0" w:evenHBand="0" w:firstRowFirstColumn="0" w:firstRowLastColumn="0" w:lastRowFirstColumn="0" w:lastRowLastColumn="0"/>
            <w:tcW w:w="3031" w:type="dxa"/>
            <w:tcBorders>
              <w:left w:val="none" w:sz="0" w:space="0" w:color="auto"/>
              <w:right w:val="none" w:sz="0" w:space="0" w:color="auto"/>
            </w:tcBorders>
          </w:tcPr>
          <w:p w14:paraId="78591E84"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Educational use</w:t>
            </w:r>
          </w:p>
        </w:tc>
      </w:tr>
      <w:tr w:rsidR="00A226D9" w:rsidRPr="000F499B" w14:paraId="0BE72CF3" w14:textId="77777777" w:rsidTr="0090056C">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tcPr>
          <w:p w14:paraId="7EAD531B"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Gauss-Seidel</w:t>
            </w:r>
          </w:p>
        </w:tc>
        <w:tc>
          <w:tcPr>
            <w:cnfStyle w:val="000001000000" w:firstRow="0" w:lastRow="0" w:firstColumn="0" w:lastColumn="0" w:oddVBand="0" w:evenVBand="1" w:oddHBand="0" w:evenHBand="0" w:firstRowFirstColumn="0" w:firstRowLastColumn="0" w:lastRowFirstColumn="0" w:lastRowLastColumn="0"/>
            <w:tcW w:w="1942" w:type="dxa"/>
            <w:tcBorders>
              <w:top w:val="none" w:sz="0" w:space="0" w:color="auto"/>
              <w:left w:val="none" w:sz="0" w:space="0" w:color="auto"/>
              <w:bottom w:val="none" w:sz="0" w:space="0" w:color="auto"/>
              <w:right w:val="none" w:sz="0" w:space="0" w:color="auto"/>
            </w:tcBorders>
          </w:tcPr>
          <w:p w14:paraId="5A5A3B54"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Faster than Jacobi</w:t>
            </w:r>
          </w:p>
        </w:tc>
        <w:tc>
          <w:tcPr>
            <w:cnfStyle w:val="000010000000" w:firstRow="0" w:lastRow="0" w:firstColumn="0" w:lastColumn="0" w:oddVBand="1" w:evenVBand="0" w:oddHBand="0" w:evenHBand="0" w:firstRowFirstColumn="0" w:firstRowLastColumn="0" w:lastRowFirstColumn="0" w:lastRowLastColumn="0"/>
            <w:tcW w:w="2120" w:type="dxa"/>
            <w:tcBorders>
              <w:top w:val="none" w:sz="0" w:space="0" w:color="auto"/>
              <w:left w:val="none" w:sz="0" w:space="0" w:color="auto"/>
              <w:bottom w:val="none" w:sz="0" w:space="0" w:color="auto"/>
              <w:right w:val="none" w:sz="0" w:space="0" w:color="auto"/>
            </w:tcBorders>
          </w:tcPr>
          <w:p w14:paraId="52A2DD8E"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Sequential, slow on ill-conditioned systems</w:t>
            </w:r>
          </w:p>
        </w:tc>
        <w:tc>
          <w:tcPr>
            <w:cnfStyle w:val="000001000000" w:firstRow="0" w:lastRow="0" w:firstColumn="0" w:lastColumn="0" w:oddVBand="0" w:evenVBand="1" w:oddHBand="0" w:evenHBand="0" w:firstRowFirstColumn="0" w:firstRowLastColumn="0" w:lastRowFirstColumn="0" w:lastRowLastColumn="0"/>
            <w:tcW w:w="3031" w:type="dxa"/>
            <w:tcBorders>
              <w:top w:val="none" w:sz="0" w:space="0" w:color="auto"/>
              <w:left w:val="none" w:sz="0" w:space="0" w:color="auto"/>
              <w:bottom w:val="none" w:sz="0" w:space="0" w:color="auto"/>
              <w:right w:val="none" w:sz="0" w:space="0" w:color="auto"/>
            </w:tcBorders>
          </w:tcPr>
          <w:p w14:paraId="4D1A7AD5"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Medium-sized networks</w:t>
            </w:r>
          </w:p>
        </w:tc>
      </w:tr>
      <w:tr w:rsidR="00A226D9" w:rsidRPr="000F499B" w14:paraId="1B415EB8" w14:textId="77777777" w:rsidTr="0090056C">
        <w:trPr>
          <w:jc w:val="center"/>
        </w:trPr>
        <w:tc>
          <w:tcPr>
            <w:cnfStyle w:val="000010000000" w:firstRow="0" w:lastRow="0" w:firstColumn="0" w:lastColumn="0" w:oddVBand="1" w:evenVBand="0" w:oddHBand="0" w:evenHBand="0" w:firstRowFirstColumn="0" w:firstRowLastColumn="0" w:lastRowFirstColumn="0" w:lastRowLastColumn="0"/>
            <w:tcW w:w="1560" w:type="dxa"/>
            <w:tcBorders>
              <w:left w:val="none" w:sz="0" w:space="0" w:color="auto"/>
              <w:right w:val="none" w:sz="0" w:space="0" w:color="auto"/>
            </w:tcBorders>
          </w:tcPr>
          <w:p w14:paraId="3EB42B83"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PCG</w:t>
            </w:r>
          </w:p>
        </w:tc>
        <w:tc>
          <w:tcPr>
            <w:cnfStyle w:val="000001000000" w:firstRow="0" w:lastRow="0" w:firstColumn="0" w:lastColumn="0" w:oddVBand="0" w:evenVBand="1" w:oddHBand="0" w:evenHBand="0" w:firstRowFirstColumn="0" w:firstRowLastColumn="0" w:lastRowFirstColumn="0" w:lastRowLastColumn="0"/>
            <w:tcW w:w="1942" w:type="dxa"/>
            <w:tcBorders>
              <w:left w:val="none" w:sz="0" w:space="0" w:color="auto"/>
              <w:right w:val="none" w:sz="0" w:space="0" w:color="auto"/>
            </w:tcBorders>
          </w:tcPr>
          <w:p w14:paraId="20F61423"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Scalable, efficient with preconditioning</w:t>
            </w:r>
          </w:p>
        </w:tc>
        <w:tc>
          <w:tcPr>
            <w:cnfStyle w:val="000010000000" w:firstRow="0" w:lastRow="0" w:firstColumn="0" w:lastColumn="0" w:oddVBand="1" w:evenVBand="0" w:oddHBand="0" w:evenHBand="0" w:firstRowFirstColumn="0" w:firstRowLastColumn="0" w:lastRowFirstColumn="0" w:lastRowLastColumn="0"/>
            <w:tcW w:w="2120" w:type="dxa"/>
            <w:tcBorders>
              <w:left w:val="none" w:sz="0" w:space="0" w:color="auto"/>
              <w:right w:val="none" w:sz="0" w:space="0" w:color="auto"/>
            </w:tcBorders>
          </w:tcPr>
          <w:p w14:paraId="1B6F4A80"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Sensitive to preconditioner</w:t>
            </w:r>
          </w:p>
        </w:tc>
        <w:tc>
          <w:tcPr>
            <w:cnfStyle w:val="000001000000" w:firstRow="0" w:lastRow="0" w:firstColumn="0" w:lastColumn="0" w:oddVBand="0" w:evenVBand="1" w:oddHBand="0" w:evenHBand="0" w:firstRowFirstColumn="0" w:firstRowLastColumn="0" w:lastRowFirstColumn="0" w:lastRowLastColumn="0"/>
            <w:tcW w:w="3031" w:type="dxa"/>
            <w:tcBorders>
              <w:left w:val="none" w:sz="0" w:space="0" w:color="auto"/>
              <w:right w:val="none" w:sz="0" w:space="0" w:color="auto"/>
            </w:tcBorders>
          </w:tcPr>
          <w:p w14:paraId="1789C46E"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IGS-scale networks</w:t>
            </w:r>
          </w:p>
        </w:tc>
      </w:tr>
      <w:tr w:rsidR="00A226D9" w:rsidRPr="000F499B" w14:paraId="52E0CC96" w14:textId="77777777" w:rsidTr="0090056C">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tcPr>
          <w:p w14:paraId="35DB7982"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SVD</w:t>
            </w:r>
          </w:p>
        </w:tc>
        <w:tc>
          <w:tcPr>
            <w:cnfStyle w:val="000001000000" w:firstRow="0" w:lastRow="0" w:firstColumn="0" w:lastColumn="0" w:oddVBand="0" w:evenVBand="1" w:oddHBand="0" w:evenHBand="0" w:firstRowFirstColumn="0" w:firstRowLastColumn="0" w:lastRowFirstColumn="0" w:lastRowLastColumn="0"/>
            <w:tcW w:w="1942" w:type="dxa"/>
            <w:tcBorders>
              <w:top w:val="none" w:sz="0" w:space="0" w:color="auto"/>
              <w:left w:val="none" w:sz="0" w:space="0" w:color="auto"/>
              <w:bottom w:val="none" w:sz="0" w:space="0" w:color="auto"/>
              <w:right w:val="none" w:sz="0" w:space="0" w:color="auto"/>
            </w:tcBorders>
          </w:tcPr>
          <w:p w14:paraId="3FD140B3"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Robust under rank deficiency</w:t>
            </w:r>
          </w:p>
        </w:tc>
        <w:tc>
          <w:tcPr>
            <w:cnfStyle w:val="000010000000" w:firstRow="0" w:lastRow="0" w:firstColumn="0" w:lastColumn="0" w:oddVBand="1" w:evenVBand="0" w:oddHBand="0" w:evenHBand="0" w:firstRowFirstColumn="0" w:firstRowLastColumn="0" w:lastRowFirstColumn="0" w:lastRowLastColumn="0"/>
            <w:tcW w:w="2120" w:type="dxa"/>
            <w:tcBorders>
              <w:top w:val="none" w:sz="0" w:space="0" w:color="auto"/>
              <w:left w:val="none" w:sz="0" w:space="0" w:color="auto"/>
              <w:bottom w:val="none" w:sz="0" w:space="0" w:color="auto"/>
              <w:right w:val="none" w:sz="0" w:space="0" w:color="auto"/>
            </w:tcBorders>
          </w:tcPr>
          <w:p w14:paraId="59ABF003"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Very expensive computationally</w:t>
            </w:r>
          </w:p>
        </w:tc>
        <w:tc>
          <w:tcPr>
            <w:cnfStyle w:val="000001000000" w:firstRow="0" w:lastRow="0" w:firstColumn="0" w:lastColumn="0" w:oddVBand="0" w:evenVBand="1" w:oddHBand="0" w:evenHBand="0" w:firstRowFirstColumn="0" w:firstRowLastColumn="0" w:lastRowFirstColumn="0" w:lastRowLastColumn="0"/>
            <w:tcW w:w="3031" w:type="dxa"/>
            <w:tcBorders>
              <w:top w:val="none" w:sz="0" w:space="0" w:color="auto"/>
              <w:left w:val="none" w:sz="0" w:space="0" w:color="auto"/>
              <w:bottom w:val="none" w:sz="0" w:space="0" w:color="auto"/>
              <w:right w:val="none" w:sz="0" w:space="0" w:color="auto"/>
            </w:tcBorders>
          </w:tcPr>
          <w:p w14:paraId="34238CE4"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Free networks</w:t>
            </w:r>
          </w:p>
        </w:tc>
      </w:tr>
      <w:tr w:rsidR="00A226D9" w:rsidRPr="000F499B" w14:paraId="10B57C64" w14:textId="77777777" w:rsidTr="0090056C">
        <w:trPr>
          <w:jc w:val="center"/>
        </w:trPr>
        <w:tc>
          <w:tcPr>
            <w:cnfStyle w:val="000010000000" w:firstRow="0" w:lastRow="0" w:firstColumn="0" w:lastColumn="0" w:oddVBand="1" w:evenVBand="0" w:oddHBand="0" w:evenHBand="0" w:firstRowFirstColumn="0" w:firstRowLastColumn="0" w:lastRowFirstColumn="0" w:lastRowLastColumn="0"/>
            <w:tcW w:w="1560" w:type="dxa"/>
            <w:tcBorders>
              <w:left w:val="none" w:sz="0" w:space="0" w:color="auto"/>
              <w:right w:val="none" w:sz="0" w:space="0" w:color="auto"/>
            </w:tcBorders>
          </w:tcPr>
          <w:p w14:paraId="15157475"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Tikhonov Regularization</w:t>
            </w:r>
          </w:p>
        </w:tc>
        <w:tc>
          <w:tcPr>
            <w:cnfStyle w:val="000001000000" w:firstRow="0" w:lastRow="0" w:firstColumn="0" w:lastColumn="0" w:oddVBand="0" w:evenVBand="1" w:oddHBand="0" w:evenHBand="0" w:firstRowFirstColumn="0" w:firstRowLastColumn="0" w:lastRowFirstColumn="0" w:lastRowLastColumn="0"/>
            <w:tcW w:w="1942" w:type="dxa"/>
            <w:tcBorders>
              <w:left w:val="none" w:sz="0" w:space="0" w:color="auto"/>
              <w:right w:val="none" w:sz="0" w:space="0" w:color="auto"/>
            </w:tcBorders>
          </w:tcPr>
          <w:p w14:paraId="7321576F"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Stabilizes ill-posed systems</w:t>
            </w:r>
          </w:p>
        </w:tc>
        <w:tc>
          <w:tcPr>
            <w:cnfStyle w:val="000010000000" w:firstRow="0" w:lastRow="0" w:firstColumn="0" w:lastColumn="0" w:oddVBand="1" w:evenVBand="0" w:oddHBand="0" w:evenHBand="0" w:firstRowFirstColumn="0" w:firstRowLastColumn="0" w:lastRowFirstColumn="0" w:lastRowLastColumn="0"/>
            <w:tcW w:w="2120" w:type="dxa"/>
            <w:tcBorders>
              <w:left w:val="none" w:sz="0" w:space="0" w:color="auto"/>
              <w:right w:val="none" w:sz="0" w:space="0" w:color="auto"/>
            </w:tcBorders>
          </w:tcPr>
          <w:p w14:paraId="61244099"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Requires careful tuning</w:t>
            </w:r>
          </w:p>
        </w:tc>
        <w:tc>
          <w:tcPr>
            <w:cnfStyle w:val="000001000000" w:firstRow="0" w:lastRow="0" w:firstColumn="0" w:lastColumn="0" w:oddVBand="0" w:evenVBand="1" w:oddHBand="0" w:evenHBand="0" w:firstRowFirstColumn="0" w:firstRowLastColumn="0" w:lastRowFirstColumn="0" w:lastRowLastColumn="0"/>
            <w:tcW w:w="3031" w:type="dxa"/>
            <w:tcBorders>
              <w:left w:val="none" w:sz="0" w:space="0" w:color="auto"/>
              <w:right w:val="none" w:sz="0" w:space="0" w:color="auto"/>
            </w:tcBorders>
          </w:tcPr>
          <w:p w14:paraId="46CF106A" w14:textId="77777777" w:rsidR="00A226D9" w:rsidRPr="000F499B" w:rsidRDefault="00A226D9" w:rsidP="000F499B">
            <w:pPr>
              <w:pStyle w:val="Compact"/>
              <w:spacing w:before="0" w:after="0"/>
              <w:rPr>
                <w:rFonts w:cs="Times New Roman"/>
                <w:sz w:val="20"/>
                <w:szCs w:val="20"/>
              </w:rPr>
            </w:pPr>
            <w:r w:rsidRPr="000F499B">
              <w:rPr>
                <w:rFonts w:cs="Times New Roman"/>
                <w:sz w:val="20"/>
                <w:szCs w:val="20"/>
              </w:rPr>
              <w:t>Sparse GNSS networks</w:t>
            </w:r>
          </w:p>
        </w:tc>
      </w:tr>
    </w:tbl>
    <w:p w14:paraId="1E26607E" w14:textId="77777777" w:rsidR="000F499B" w:rsidRDefault="000F499B" w:rsidP="00A226D9">
      <w:pPr>
        <w:pStyle w:val="Heading3"/>
        <w:rPr>
          <w:rFonts w:ascii="Times New Roman" w:hAnsi="Times New Roman" w:cs="Times New Roman"/>
          <w:b/>
          <w:color w:val="auto"/>
        </w:rPr>
      </w:pPr>
    </w:p>
    <w:p w14:paraId="39AAD5C5" w14:textId="4E23F12F" w:rsidR="000F499B" w:rsidRPr="000F499B" w:rsidRDefault="00A226D9" w:rsidP="000F499B">
      <w:pPr>
        <w:pStyle w:val="Heading3"/>
        <w:spacing w:before="0" w:line="240" w:lineRule="auto"/>
        <w:rPr>
          <w:rFonts w:ascii="Times New Roman" w:hAnsi="Times New Roman" w:cs="Times New Roman"/>
          <w:b/>
          <w:color w:val="auto"/>
        </w:rPr>
      </w:pPr>
      <w:r w:rsidRPr="00BE4AF3">
        <w:rPr>
          <w:rFonts w:ascii="Times New Roman" w:hAnsi="Times New Roman" w:cs="Times New Roman"/>
          <w:b/>
          <w:color w:val="auto"/>
        </w:rPr>
        <w:t>Challenges and Gaps</w:t>
      </w:r>
    </w:p>
    <w:p w14:paraId="1A3AC627" w14:textId="53E881DF" w:rsidR="00A226D9" w:rsidRPr="00BE4AF3" w:rsidRDefault="00A226D9" w:rsidP="000F499B">
      <w:pPr>
        <w:pStyle w:val="FirstParagraph"/>
        <w:spacing w:before="0" w:after="0"/>
        <w:rPr>
          <w:rFonts w:ascii="Times New Roman" w:hAnsi="Times New Roman" w:cs="Times New Roman"/>
        </w:rPr>
      </w:pPr>
      <w:r w:rsidRPr="00BE4AF3">
        <w:rPr>
          <w:rFonts w:ascii="Times New Roman" w:hAnsi="Times New Roman" w:cs="Times New Roman"/>
        </w:rPr>
        <w:t>Despite progress, several challenges remain:</w:t>
      </w:r>
    </w:p>
    <w:p w14:paraId="5BD080C3" w14:textId="77777777" w:rsidR="00A226D9" w:rsidRPr="00BE4AF3" w:rsidRDefault="00A226D9" w:rsidP="000F499B">
      <w:pPr>
        <w:pStyle w:val="FirstParagraph"/>
        <w:spacing w:before="0" w:after="0"/>
        <w:jc w:val="both"/>
        <w:rPr>
          <w:rFonts w:ascii="Times New Roman" w:hAnsi="Times New Roman" w:cs="Times New Roman"/>
        </w:rPr>
      </w:pPr>
      <w:r w:rsidRPr="00BE4AF3">
        <w:rPr>
          <w:rFonts w:ascii="Times New Roman" w:hAnsi="Times New Roman" w:cs="Times New Roman"/>
        </w:rPr>
        <w:t xml:space="preserve">1. </w:t>
      </w:r>
      <w:r w:rsidRPr="00BE4AF3">
        <w:rPr>
          <w:rFonts w:ascii="Times New Roman" w:hAnsi="Times New Roman" w:cs="Times New Roman"/>
          <w:b/>
          <w:bCs/>
        </w:rPr>
        <w:t>Ill-conditioning</w:t>
      </w:r>
      <w:r w:rsidRPr="00BE4AF3">
        <w:rPr>
          <w:rFonts w:ascii="Times New Roman" w:hAnsi="Times New Roman" w:cs="Times New Roman"/>
        </w:rPr>
        <w:t>: Poor satellite geometry and multipath effects lead to unstable solutions (Zhao et al., 2020).</w:t>
      </w:r>
    </w:p>
    <w:p w14:paraId="68E89453" w14:textId="77777777" w:rsidR="00A226D9" w:rsidRPr="00BE4AF3" w:rsidRDefault="00A226D9" w:rsidP="000F499B">
      <w:pPr>
        <w:pStyle w:val="FirstParagraph"/>
        <w:spacing w:before="0" w:after="0"/>
        <w:jc w:val="both"/>
        <w:rPr>
          <w:rFonts w:ascii="Times New Roman" w:hAnsi="Times New Roman" w:cs="Times New Roman"/>
        </w:rPr>
      </w:pPr>
      <w:r w:rsidRPr="00BE4AF3">
        <w:rPr>
          <w:rFonts w:ascii="Times New Roman" w:hAnsi="Times New Roman" w:cs="Times New Roman"/>
        </w:rPr>
        <w:t xml:space="preserve">2. </w:t>
      </w:r>
      <w:r w:rsidRPr="00BE4AF3">
        <w:rPr>
          <w:rFonts w:ascii="Times New Roman" w:hAnsi="Times New Roman" w:cs="Times New Roman"/>
          <w:b/>
          <w:bCs/>
        </w:rPr>
        <w:t>Computational Cost</w:t>
      </w:r>
      <w:r w:rsidRPr="00BE4AF3">
        <w:rPr>
          <w:rFonts w:ascii="Times New Roman" w:hAnsi="Times New Roman" w:cs="Times New Roman"/>
        </w:rPr>
        <w:t>: SVD and regularization methods remain impractical for real-time applications (Hansen, 2018).</w:t>
      </w:r>
    </w:p>
    <w:p w14:paraId="3D8F2C0A" w14:textId="77777777" w:rsidR="00A226D9" w:rsidRPr="00BE4AF3" w:rsidRDefault="00A226D9" w:rsidP="000F499B">
      <w:pPr>
        <w:pStyle w:val="FirstParagraph"/>
        <w:spacing w:before="0" w:after="0"/>
        <w:jc w:val="both"/>
        <w:rPr>
          <w:rFonts w:ascii="Times New Roman" w:hAnsi="Times New Roman" w:cs="Times New Roman"/>
        </w:rPr>
      </w:pPr>
      <w:r w:rsidRPr="00BE4AF3">
        <w:rPr>
          <w:rFonts w:ascii="Times New Roman" w:hAnsi="Times New Roman" w:cs="Times New Roman"/>
        </w:rPr>
        <w:lastRenderedPageBreak/>
        <w:t xml:space="preserve">3. </w:t>
      </w:r>
      <w:r w:rsidRPr="00BE4AF3">
        <w:rPr>
          <w:rFonts w:ascii="Times New Roman" w:hAnsi="Times New Roman" w:cs="Times New Roman"/>
          <w:b/>
          <w:bCs/>
        </w:rPr>
        <w:t>Preconditioner Design</w:t>
      </w:r>
      <w:r w:rsidRPr="00BE4AF3">
        <w:rPr>
          <w:rFonts w:ascii="Times New Roman" w:hAnsi="Times New Roman" w:cs="Times New Roman"/>
        </w:rPr>
        <w:t>: PCG performance depends heavily on preconditioning, yet optimal strategies remain under-researched (Saad &amp; van der Vorst, 2021).</w:t>
      </w:r>
    </w:p>
    <w:p w14:paraId="38994716" w14:textId="77777777" w:rsidR="00A226D9" w:rsidRPr="00BE4AF3" w:rsidRDefault="00A226D9" w:rsidP="000F499B">
      <w:pPr>
        <w:pStyle w:val="FirstParagraph"/>
        <w:spacing w:before="0" w:after="0"/>
        <w:jc w:val="both"/>
        <w:rPr>
          <w:rFonts w:ascii="Times New Roman" w:hAnsi="Times New Roman" w:cs="Times New Roman"/>
        </w:rPr>
      </w:pPr>
      <w:r w:rsidRPr="00BE4AF3">
        <w:rPr>
          <w:rFonts w:ascii="Times New Roman" w:hAnsi="Times New Roman" w:cs="Times New Roman"/>
        </w:rPr>
        <w:t xml:space="preserve">4. </w:t>
      </w:r>
      <w:r w:rsidRPr="00BE4AF3">
        <w:rPr>
          <w:rFonts w:ascii="Times New Roman" w:hAnsi="Times New Roman" w:cs="Times New Roman"/>
          <w:b/>
          <w:bCs/>
        </w:rPr>
        <w:t>Integration with Hybrid Sensors</w:t>
      </w:r>
      <w:r w:rsidRPr="00BE4AF3">
        <w:rPr>
          <w:rFonts w:ascii="Times New Roman" w:hAnsi="Times New Roman" w:cs="Times New Roman"/>
        </w:rPr>
        <w:t>: GNSS adjustments increasingly incorporate LiDAR and INS, requiring flexible solvers (Ogrizovic et al., 2021).</w:t>
      </w:r>
    </w:p>
    <w:p w14:paraId="6B48ED75" w14:textId="77777777" w:rsidR="00A226D9" w:rsidRPr="00BE4AF3" w:rsidRDefault="00A226D9" w:rsidP="000F499B">
      <w:pPr>
        <w:pStyle w:val="FirstParagraph"/>
        <w:spacing w:before="0" w:after="0"/>
        <w:jc w:val="both"/>
        <w:rPr>
          <w:rFonts w:ascii="Times New Roman" w:hAnsi="Times New Roman" w:cs="Times New Roman"/>
        </w:rPr>
      </w:pPr>
      <w:r w:rsidRPr="00BE4AF3">
        <w:rPr>
          <w:rFonts w:ascii="Times New Roman" w:hAnsi="Times New Roman" w:cs="Times New Roman"/>
        </w:rPr>
        <w:t xml:space="preserve">5. </w:t>
      </w:r>
      <w:r w:rsidRPr="00BE4AF3">
        <w:rPr>
          <w:rFonts w:ascii="Times New Roman" w:hAnsi="Times New Roman" w:cs="Times New Roman"/>
          <w:b/>
          <w:bCs/>
        </w:rPr>
        <w:t>Lack of Comparative Studies</w:t>
      </w:r>
      <w:r w:rsidRPr="00BE4AF3">
        <w:rPr>
          <w:rFonts w:ascii="Times New Roman" w:hAnsi="Times New Roman" w:cs="Times New Roman"/>
        </w:rPr>
        <w:t>: Existing research often treats methods in isolation, neglecting systematic trade-off analysis (Olivares et al., 2022).</w:t>
      </w:r>
    </w:p>
    <w:p w14:paraId="67CA92DE" w14:textId="77777777" w:rsidR="00A226D9" w:rsidRPr="00BE4AF3" w:rsidRDefault="00A226D9" w:rsidP="000F499B">
      <w:pPr>
        <w:pStyle w:val="Heading3"/>
        <w:spacing w:before="0" w:line="240" w:lineRule="auto"/>
        <w:rPr>
          <w:rFonts w:ascii="Times New Roman" w:hAnsi="Times New Roman" w:cs="Times New Roman"/>
          <w:b/>
          <w:color w:val="auto"/>
        </w:rPr>
      </w:pPr>
      <w:bookmarkStart w:id="63" w:name="future-research-directions"/>
      <w:r w:rsidRPr="00BE4AF3">
        <w:rPr>
          <w:rFonts w:ascii="Times New Roman" w:hAnsi="Times New Roman" w:cs="Times New Roman"/>
          <w:b/>
          <w:color w:val="auto"/>
        </w:rPr>
        <w:t>3.7 Future Research Directions</w:t>
      </w:r>
    </w:p>
    <w:p w14:paraId="6171481B" w14:textId="77777777" w:rsidR="00A226D9" w:rsidRPr="00BE4AF3" w:rsidRDefault="00A226D9" w:rsidP="000F499B">
      <w:pPr>
        <w:pStyle w:val="FirstParagraph"/>
        <w:spacing w:before="0" w:after="0"/>
        <w:rPr>
          <w:rFonts w:ascii="Times New Roman" w:hAnsi="Times New Roman" w:cs="Times New Roman"/>
        </w:rPr>
      </w:pPr>
      <w:r w:rsidRPr="00BE4AF3">
        <w:rPr>
          <w:rFonts w:ascii="Times New Roman" w:hAnsi="Times New Roman" w:cs="Times New Roman"/>
        </w:rPr>
        <w:t>Emerging opportunities include:</w:t>
      </w:r>
    </w:p>
    <w:p w14:paraId="51E81E81" w14:textId="77777777" w:rsidR="00A226D9" w:rsidRPr="00BE4AF3" w:rsidRDefault="00A226D9" w:rsidP="000F499B">
      <w:pPr>
        <w:pStyle w:val="FirstParagraph"/>
        <w:numPr>
          <w:ilvl w:val="0"/>
          <w:numId w:val="13"/>
        </w:numPr>
        <w:spacing w:before="0" w:after="0"/>
        <w:jc w:val="both"/>
        <w:rPr>
          <w:rFonts w:ascii="Times New Roman" w:hAnsi="Times New Roman" w:cs="Times New Roman"/>
        </w:rPr>
      </w:pPr>
      <w:r w:rsidRPr="00BE4AF3">
        <w:rPr>
          <w:rFonts w:ascii="Times New Roman" w:hAnsi="Times New Roman" w:cs="Times New Roman"/>
          <w:b/>
          <w:bCs/>
        </w:rPr>
        <w:t>Machine Learning Integration</w:t>
      </w:r>
      <w:r w:rsidRPr="00BE4AF3">
        <w:rPr>
          <w:rFonts w:ascii="Times New Roman" w:hAnsi="Times New Roman" w:cs="Times New Roman"/>
        </w:rPr>
        <w:t>: Adaptive preconditioning using deep learning.</w:t>
      </w:r>
    </w:p>
    <w:p w14:paraId="50E72DE1" w14:textId="77777777" w:rsidR="00A226D9" w:rsidRPr="00BE4AF3" w:rsidRDefault="00A226D9" w:rsidP="000F499B">
      <w:pPr>
        <w:pStyle w:val="FirstParagraph"/>
        <w:numPr>
          <w:ilvl w:val="0"/>
          <w:numId w:val="13"/>
        </w:numPr>
        <w:spacing w:before="0" w:after="0"/>
        <w:jc w:val="both"/>
        <w:rPr>
          <w:rFonts w:ascii="Times New Roman" w:hAnsi="Times New Roman" w:cs="Times New Roman"/>
        </w:rPr>
      </w:pPr>
      <w:r w:rsidRPr="00BE4AF3">
        <w:rPr>
          <w:rFonts w:ascii="Times New Roman" w:hAnsi="Times New Roman" w:cs="Times New Roman"/>
          <w:b/>
          <w:bCs/>
        </w:rPr>
        <w:t>Factor Graph Optimization</w:t>
      </w:r>
      <w:r w:rsidRPr="00BE4AF3">
        <w:rPr>
          <w:rFonts w:ascii="Times New Roman" w:hAnsi="Times New Roman" w:cs="Times New Roman"/>
        </w:rPr>
        <w:t>: Superior performance in GNSS-denied environments (Wen et al., 2020).</w:t>
      </w:r>
    </w:p>
    <w:p w14:paraId="4FD7E39C" w14:textId="77777777" w:rsidR="00A226D9" w:rsidRPr="00BE4AF3" w:rsidRDefault="00A226D9" w:rsidP="000F499B">
      <w:pPr>
        <w:pStyle w:val="FirstParagraph"/>
        <w:numPr>
          <w:ilvl w:val="0"/>
          <w:numId w:val="13"/>
        </w:numPr>
        <w:spacing w:before="0" w:after="0"/>
        <w:jc w:val="both"/>
        <w:rPr>
          <w:rFonts w:ascii="Times New Roman" w:hAnsi="Times New Roman" w:cs="Times New Roman"/>
        </w:rPr>
      </w:pPr>
      <w:r w:rsidRPr="00BE4AF3">
        <w:rPr>
          <w:rFonts w:ascii="Times New Roman" w:hAnsi="Times New Roman" w:cs="Times New Roman"/>
          <w:b/>
          <w:bCs/>
        </w:rPr>
        <w:t>Cloud-Based GNSS Services</w:t>
      </w:r>
      <w:r w:rsidRPr="00BE4AF3">
        <w:rPr>
          <w:rFonts w:ascii="Times New Roman" w:hAnsi="Times New Roman" w:cs="Times New Roman"/>
        </w:rPr>
        <w:t>: Scalable, distributed solutions for global adjustment.</w:t>
      </w:r>
    </w:p>
    <w:p w14:paraId="2843AD77" w14:textId="77777777" w:rsidR="00A226D9" w:rsidRPr="00BE4AF3" w:rsidRDefault="00A226D9" w:rsidP="000F499B">
      <w:pPr>
        <w:pStyle w:val="FirstParagraph"/>
        <w:numPr>
          <w:ilvl w:val="0"/>
          <w:numId w:val="13"/>
        </w:numPr>
        <w:spacing w:before="0" w:after="0"/>
        <w:jc w:val="both"/>
        <w:rPr>
          <w:rFonts w:ascii="Times New Roman" w:hAnsi="Times New Roman" w:cs="Times New Roman"/>
        </w:rPr>
      </w:pPr>
      <w:r w:rsidRPr="00BE4AF3">
        <w:rPr>
          <w:rFonts w:ascii="Times New Roman" w:hAnsi="Times New Roman" w:cs="Times New Roman"/>
          <w:b/>
          <w:bCs/>
        </w:rPr>
        <w:t>Quantum Algorithms</w:t>
      </w:r>
      <w:r w:rsidRPr="00BE4AF3">
        <w:rPr>
          <w:rFonts w:ascii="Times New Roman" w:hAnsi="Times New Roman" w:cs="Times New Roman"/>
        </w:rPr>
        <w:t>: Long-term potential for solving large linear systems with exponential speedup.</w:t>
      </w:r>
    </w:p>
    <w:p w14:paraId="4762873F" w14:textId="77777777" w:rsidR="00A226D9" w:rsidRPr="00BE4AF3" w:rsidRDefault="00A226D9" w:rsidP="000F499B">
      <w:pPr>
        <w:pStyle w:val="FirstParagraph"/>
        <w:numPr>
          <w:ilvl w:val="0"/>
          <w:numId w:val="13"/>
        </w:numPr>
        <w:spacing w:before="0" w:after="0"/>
        <w:jc w:val="both"/>
        <w:rPr>
          <w:rFonts w:ascii="Times New Roman" w:hAnsi="Times New Roman" w:cs="Times New Roman"/>
        </w:rPr>
      </w:pPr>
      <w:r w:rsidRPr="00BE4AF3">
        <w:rPr>
          <w:rFonts w:ascii="Times New Roman" w:hAnsi="Times New Roman" w:cs="Times New Roman"/>
          <w:b/>
          <w:bCs/>
        </w:rPr>
        <w:t>Open-Source Tools</w:t>
      </w:r>
      <w:r w:rsidRPr="00BE4AF3">
        <w:rPr>
          <w:rFonts w:ascii="Times New Roman" w:hAnsi="Times New Roman" w:cs="Times New Roman"/>
        </w:rPr>
        <w:t>: Development of accessible GNSS solver libraries for global adoption.</w:t>
      </w:r>
    </w:p>
    <w:p w14:paraId="29EB4DA3" w14:textId="77777777" w:rsidR="00A226D9" w:rsidRPr="00BE4AF3" w:rsidRDefault="00A226D9" w:rsidP="000F499B">
      <w:pPr>
        <w:pStyle w:val="BodyText"/>
        <w:spacing w:after="0" w:line="240" w:lineRule="auto"/>
        <w:rPr>
          <w:rFonts w:ascii="Times New Roman" w:hAnsi="Times New Roman"/>
          <w:sz w:val="24"/>
          <w:szCs w:val="24"/>
        </w:rPr>
      </w:pPr>
    </w:p>
    <w:bookmarkEnd w:id="63"/>
    <w:p w14:paraId="430E2036" w14:textId="77777777" w:rsidR="00A226D9" w:rsidRPr="00BE4AF3" w:rsidRDefault="00A226D9" w:rsidP="000F499B">
      <w:pPr>
        <w:pStyle w:val="Heading2"/>
        <w:spacing w:before="0" w:line="240" w:lineRule="auto"/>
        <w:rPr>
          <w:rFonts w:ascii="Times New Roman" w:hAnsi="Times New Roman" w:cs="Times New Roman"/>
          <w:b w:val="0"/>
          <w:color w:val="auto"/>
          <w:sz w:val="24"/>
          <w:szCs w:val="24"/>
        </w:rPr>
      </w:pPr>
      <w:r w:rsidRPr="00BE4AF3">
        <w:rPr>
          <w:rFonts w:ascii="Times New Roman" w:hAnsi="Times New Roman" w:cs="Times New Roman"/>
          <w:color w:val="auto"/>
          <w:sz w:val="24"/>
          <w:szCs w:val="24"/>
        </w:rPr>
        <w:t>Conclusion</w:t>
      </w:r>
    </w:p>
    <w:p w14:paraId="7EDB6255" w14:textId="19CB3423" w:rsidR="00A226D9" w:rsidRPr="000F499B" w:rsidRDefault="00A226D9" w:rsidP="000F499B">
      <w:pPr>
        <w:pStyle w:val="FirstParagraph"/>
        <w:spacing w:before="0" w:after="0"/>
        <w:jc w:val="both"/>
        <w:rPr>
          <w:rFonts w:ascii="Times New Roman" w:hAnsi="Times New Roman" w:cs="Times New Roman"/>
        </w:rPr>
      </w:pPr>
      <w:r w:rsidRPr="00BE4AF3">
        <w:rPr>
          <w:rFonts w:ascii="Times New Roman" w:hAnsi="Times New Roman" w:cs="Times New Roman"/>
        </w:rPr>
        <w:t>GNSS network adjustment requires balancing accuracy, numerical stability, and computational efficiency. Direct methods remain viable for small, well-conditioned systems. Iterative solvers, especially PCG, are best suited for large networks, while stabilization techniques provide robustness in adverse conditions. Future research should focus on hybrid solvers, optimized preconditioning, and real-time cloud implementations, ensuring GNSS continues to provide reliable solutions for geodesy, navigation, and disaster resilience.</w:t>
      </w:r>
    </w:p>
    <w:p w14:paraId="415845B3" w14:textId="77777777" w:rsidR="00A226D9" w:rsidRPr="00BE4AF3" w:rsidRDefault="00A226D9" w:rsidP="00A226D9">
      <w:pPr>
        <w:pStyle w:val="Heading2"/>
        <w:spacing w:line="276" w:lineRule="auto"/>
        <w:rPr>
          <w:rFonts w:ascii="Times New Roman" w:hAnsi="Times New Roman" w:cs="Times New Roman"/>
          <w:b w:val="0"/>
          <w:color w:val="auto"/>
          <w:sz w:val="24"/>
          <w:szCs w:val="24"/>
        </w:rPr>
      </w:pPr>
      <w:r w:rsidRPr="00BE4AF3">
        <w:rPr>
          <w:rFonts w:ascii="Times New Roman" w:hAnsi="Times New Roman" w:cs="Times New Roman"/>
          <w:color w:val="auto"/>
          <w:sz w:val="24"/>
          <w:szCs w:val="24"/>
        </w:rPr>
        <w:t>References</w:t>
      </w:r>
    </w:p>
    <w:p w14:paraId="7276B060" w14:textId="77777777" w:rsidR="00A226D9" w:rsidRPr="00BE4AF3" w:rsidRDefault="00A226D9" w:rsidP="000F499B">
      <w:pPr>
        <w:pStyle w:val="FirstParagraph"/>
        <w:spacing w:before="0" w:after="0"/>
        <w:ind w:left="720" w:hanging="720"/>
        <w:jc w:val="both"/>
        <w:rPr>
          <w:rFonts w:ascii="Times New Roman" w:hAnsi="Times New Roman" w:cs="Times New Roman"/>
        </w:rPr>
      </w:pPr>
      <w:r w:rsidRPr="00BE4AF3">
        <w:rPr>
          <w:rFonts w:ascii="Times New Roman" w:hAnsi="Times New Roman" w:cs="Times New Roman"/>
        </w:rPr>
        <w:t xml:space="preserve">Barrett, R., Berry, M., Chan, T. F., Demmel, J., Donato, J., Dongarra, J., … &amp; Van der Vorst, H. (1994). </w:t>
      </w:r>
      <w:r w:rsidRPr="00BE4AF3">
        <w:rPr>
          <w:rFonts w:ascii="Times New Roman" w:hAnsi="Times New Roman" w:cs="Times New Roman"/>
          <w:i/>
          <w:iCs/>
        </w:rPr>
        <w:t>Templates for the solution of linear systems: Building blocks for iterative methods</w:t>
      </w:r>
      <w:r w:rsidRPr="00BE4AF3">
        <w:rPr>
          <w:rFonts w:ascii="Times New Roman" w:hAnsi="Times New Roman" w:cs="Times New Roman"/>
        </w:rPr>
        <w:t>. SIAM.</w:t>
      </w:r>
    </w:p>
    <w:p w14:paraId="4E595699" w14:textId="77777777" w:rsidR="00A226D9" w:rsidRPr="00BE4AF3" w:rsidRDefault="00A226D9" w:rsidP="000F499B">
      <w:pPr>
        <w:pStyle w:val="BodyText"/>
        <w:spacing w:after="0" w:line="240" w:lineRule="auto"/>
        <w:jc w:val="both"/>
        <w:rPr>
          <w:rFonts w:ascii="Times New Roman" w:hAnsi="Times New Roman"/>
          <w:sz w:val="24"/>
          <w:szCs w:val="24"/>
        </w:rPr>
      </w:pPr>
      <w:r w:rsidRPr="00BE4AF3">
        <w:rPr>
          <w:rFonts w:ascii="Times New Roman" w:hAnsi="Times New Roman"/>
          <w:sz w:val="24"/>
          <w:szCs w:val="24"/>
        </w:rPr>
        <w:t xml:space="preserve">Blewitt, G. (2022). </w:t>
      </w:r>
      <w:r w:rsidRPr="00BE4AF3">
        <w:rPr>
          <w:rFonts w:ascii="Times New Roman" w:hAnsi="Times New Roman"/>
          <w:i/>
          <w:iCs/>
          <w:sz w:val="24"/>
          <w:szCs w:val="24"/>
        </w:rPr>
        <w:t>GNSS and GPS for geosciences</w:t>
      </w:r>
      <w:r w:rsidRPr="00BE4AF3">
        <w:rPr>
          <w:rFonts w:ascii="Times New Roman" w:hAnsi="Times New Roman"/>
          <w:sz w:val="24"/>
          <w:szCs w:val="24"/>
        </w:rPr>
        <w:t>. Cambridge University Press.</w:t>
      </w:r>
    </w:p>
    <w:p w14:paraId="545C1202" w14:textId="77777777" w:rsidR="00A226D9" w:rsidRPr="00BE4AF3" w:rsidRDefault="00A226D9" w:rsidP="000F499B">
      <w:pPr>
        <w:pStyle w:val="BodyText"/>
        <w:spacing w:after="0" w:line="240" w:lineRule="auto"/>
        <w:jc w:val="both"/>
        <w:rPr>
          <w:rFonts w:ascii="Times New Roman" w:hAnsi="Times New Roman"/>
          <w:sz w:val="24"/>
          <w:szCs w:val="24"/>
        </w:rPr>
      </w:pPr>
      <w:r w:rsidRPr="00BE4AF3">
        <w:rPr>
          <w:rFonts w:ascii="Times New Roman" w:hAnsi="Times New Roman"/>
          <w:sz w:val="24"/>
          <w:szCs w:val="24"/>
        </w:rPr>
        <w:t xml:space="preserve">Björck, Å. (1996). </w:t>
      </w:r>
      <w:r w:rsidRPr="00BE4AF3">
        <w:rPr>
          <w:rFonts w:ascii="Times New Roman" w:hAnsi="Times New Roman"/>
          <w:i/>
          <w:iCs/>
          <w:sz w:val="24"/>
          <w:szCs w:val="24"/>
        </w:rPr>
        <w:t>Numerical methods for least squares problems</w:t>
      </w:r>
      <w:r w:rsidRPr="00BE4AF3">
        <w:rPr>
          <w:rFonts w:ascii="Times New Roman" w:hAnsi="Times New Roman"/>
          <w:sz w:val="24"/>
          <w:szCs w:val="24"/>
        </w:rPr>
        <w:t>. SIAM.</w:t>
      </w:r>
    </w:p>
    <w:p w14:paraId="6B2BBC2D" w14:textId="77777777" w:rsidR="00A226D9" w:rsidRPr="00BE4AF3" w:rsidRDefault="00A226D9" w:rsidP="000F499B">
      <w:pPr>
        <w:pStyle w:val="BodyText"/>
        <w:spacing w:after="0" w:line="240" w:lineRule="auto"/>
        <w:ind w:left="720" w:hanging="720"/>
        <w:jc w:val="both"/>
        <w:rPr>
          <w:rFonts w:ascii="Times New Roman" w:hAnsi="Times New Roman"/>
          <w:sz w:val="24"/>
          <w:szCs w:val="24"/>
        </w:rPr>
      </w:pPr>
      <w:r w:rsidRPr="00BE4AF3">
        <w:rPr>
          <w:rFonts w:ascii="Times New Roman" w:hAnsi="Times New Roman"/>
          <w:sz w:val="24"/>
          <w:szCs w:val="24"/>
        </w:rPr>
        <w:t xml:space="preserve">Dach, R., Schaer, S., Arnold, D., &amp; Orliac, E. (2021). International GNSS Service: Current status and future perspectives. </w:t>
      </w:r>
      <w:r w:rsidRPr="00BE4AF3">
        <w:rPr>
          <w:rFonts w:ascii="Times New Roman" w:hAnsi="Times New Roman"/>
          <w:i/>
          <w:iCs/>
          <w:sz w:val="24"/>
          <w:szCs w:val="24"/>
        </w:rPr>
        <w:t>Journal of Geodesy, 95</w:t>
      </w:r>
      <w:r w:rsidRPr="00BE4AF3">
        <w:rPr>
          <w:rFonts w:ascii="Times New Roman" w:hAnsi="Times New Roman"/>
          <w:sz w:val="24"/>
          <w:szCs w:val="24"/>
        </w:rPr>
        <w:t>(3), 1–15.</w:t>
      </w:r>
    </w:p>
    <w:p w14:paraId="07DF084E" w14:textId="77777777" w:rsidR="00A226D9" w:rsidRPr="00BE4AF3" w:rsidRDefault="00A226D9" w:rsidP="000F499B">
      <w:pPr>
        <w:pStyle w:val="BodyText"/>
        <w:spacing w:after="0" w:line="240" w:lineRule="auto"/>
        <w:ind w:left="720" w:hanging="720"/>
        <w:jc w:val="both"/>
        <w:rPr>
          <w:rFonts w:ascii="Times New Roman" w:hAnsi="Times New Roman"/>
          <w:sz w:val="24"/>
          <w:szCs w:val="24"/>
        </w:rPr>
      </w:pPr>
      <w:r w:rsidRPr="00BE4AF3">
        <w:rPr>
          <w:rFonts w:ascii="Times New Roman" w:hAnsi="Times New Roman"/>
          <w:sz w:val="24"/>
          <w:szCs w:val="24"/>
        </w:rPr>
        <w:t xml:space="preserve">Gao, Y., Liu, J., &amp; Liu, X. (2022). Robust estimation in GNSS adjustment under multipath effects. </w:t>
      </w:r>
      <w:r w:rsidRPr="00BE4AF3">
        <w:rPr>
          <w:rFonts w:ascii="Times New Roman" w:hAnsi="Times New Roman"/>
          <w:i/>
          <w:iCs/>
          <w:sz w:val="24"/>
          <w:szCs w:val="24"/>
        </w:rPr>
        <w:t>GPS Solutions, 26</w:t>
      </w:r>
      <w:r w:rsidRPr="00BE4AF3">
        <w:rPr>
          <w:rFonts w:ascii="Times New Roman" w:hAnsi="Times New Roman"/>
          <w:sz w:val="24"/>
          <w:szCs w:val="24"/>
        </w:rPr>
        <w:t>(1), 1–12.</w:t>
      </w:r>
    </w:p>
    <w:p w14:paraId="124E58DA" w14:textId="77777777" w:rsidR="00A226D9" w:rsidRPr="00BE4AF3" w:rsidRDefault="00A226D9" w:rsidP="000F499B">
      <w:pPr>
        <w:pStyle w:val="BodyText"/>
        <w:spacing w:after="0" w:line="240" w:lineRule="auto"/>
        <w:jc w:val="both"/>
        <w:rPr>
          <w:rFonts w:ascii="Times New Roman" w:hAnsi="Times New Roman"/>
          <w:sz w:val="24"/>
          <w:szCs w:val="24"/>
        </w:rPr>
      </w:pPr>
      <w:r w:rsidRPr="00BE4AF3">
        <w:rPr>
          <w:rFonts w:ascii="Times New Roman" w:hAnsi="Times New Roman"/>
          <w:sz w:val="24"/>
          <w:szCs w:val="24"/>
        </w:rPr>
        <w:t xml:space="preserve">Ghilani, C. D. (2020). </w:t>
      </w:r>
      <w:r w:rsidRPr="00BE4AF3">
        <w:rPr>
          <w:rFonts w:ascii="Times New Roman" w:hAnsi="Times New Roman"/>
          <w:i/>
          <w:iCs/>
          <w:sz w:val="24"/>
          <w:szCs w:val="24"/>
        </w:rPr>
        <w:t>Adjustment computations: Spatial data analysis</w:t>
      </w:r>
      <w:r w:rsidRPr="00BE4AF3">
        <w:rPr>
          <w:rFonts w:ascii="Times New Roman" w:hAnsi="Times New Roman"/>
          <w:sz w:val="24"/>
          <w:szCs w:val="24"/>
        </w:rPr>
        <w:t xml:space="preserve"> (6th ed.). Wiley.</w:t>
      </w:r>
    </w:p>
    <w:p w14:paraId="62B365BB" w14:textId="77777777" w:rsidR="00A226D9" w:rsidRPr="00BE4AF3" w:rsidRDefault="00A226D9" w:rsidP="000F499B">
      <w:pPr>
        <w:pStyle w:val="BodyText"/>
        <w:spacing w:after="0" w:line="240" w:lineRule="auto"/>
        <w:ind w:left="720" w:hanging="720"/>
        <w:jc w:val="both"/>
        <w:rPr>
          <w:rFonts w:ascii="Times New Roman" w:hAnsi="Times New Roman"/>
          <w:sz w:val="24"/>
          <w:szCs w:val="24"/>
        </w:rPr>
      </w:pPr>
      <w:r w:rsidRPr="00BE4AF3">
        <w:rPr>
          <w:rFonts w:ascii="Times New Roman" w:hAnsi="Times New Roman"/>
          <w:sz w:val="24"/>
          <w:szCs w:val="24"/>
        </w:rPr>
        <w:t xml:space="preserve">Golub, G. H., &amp; Van Loan, C. F. (2013). </w:t>
      </w:r>
      <w:r w:rsidRPr="00BE4AF3">
        <w:rPr>
          <w:rFonts w:ascii="Times New Roman" w:hAnsi="Times New Roman"/>
          <w:i/>
          <w:iCs/>
          <w:sz w:val="24"/>
          <w:szCs w:val="24"/>
        </w:rPr>
        <w:t>Matrix computations</w:t>
      </w:r>
      <w:r w:rsidRPr="00BE4AF3">
        <w:rPr>
          <w:rFonts w:ascii="Times New Roman" w:hAnsi="Times New Roman"/>
          <w:sz w:val="24"/>
          <w:szCs w:val="24"/>
        </w:rPr>
        <w:t xml:space="preserve"> (4th ed.). Johns Hopkins University Press.</w:t>
      </w:r>
    </w:p>
    <w:p w14:paraId="17529C2A" w14:textId="77777777" w:rsidR="00A226D9" w:rsidRPr="00BE4AF3" w:rsidRDefault="00A226D9" w:rsidP="000F499B">
      <w:pPr>
        <w:pStyle w:val="BodyText"/>
        <w:spacing w:after="0" w:line="240" w:lineRule="auto"/>
        <w:jc w:val="both"/>
        <w:rPr>
          <w:rFonts w:ascii="Times New Roman" w:hAnsi="Times New Roman"/>
          <w:sz w:val="24"/>
          <w:szCs w:val="24"/>
        </w:rPr>
      </w:pPr>
      <w:r w:rsidRPr="00BE4AF3">
        <w:rPr>
          <w:rFonts w:ascii="Times New Roman" w:hAnsi="Times New Roman"/>
          <w:sz w:val="24"/>
          <w:szCs w:val="24"/>
        </w:rPr>
        <w:t xml:space="preserve">Hackbusch, W. (2016). </w:t>
      </w:r>
      <w:r w:rsidRPr="00BE4AF3">
        <w:rPr>
          <w:rFonts w:ascii="Times New Roman" w:hAnsi="Times New Roman"/>
          <w:i/>
          <w:iCs/>
          <w:sz w:val="24"/>
          <w:szCs w:val="24"/>
        </w:rPr>
        <w:t>Iterative methods for sparse linear systems</w:t>
      </w:r>
      <w:r w:rsidRPr="00BE4AF3">
        <w:rPr>
          <w:rFonts w:ascii="Times New Roman" w:hAnsi="Times New Roman"/>
          <w:sz w:val="24"/>
          <w:szCs w:val="24"/>
        </w:rPr>
        <w:t>. Springer.</w:t>
      </w:r>
    </w:p>
    <w:p w14:paraId="573DB9F1" w14:textId="77777777" w:rsidR="00A226D9" w:rsidRPr="00BE4AF3" w:rsidRDefault="00A226D9" w:rsidP="000F499B">
      <w:pPr>
        <w:pStyle w:val="BodyText"/>
        <w:spacing w:after="0" w:line="240" w:lineRule="auto"/>
        <w:jc w:val="both"/>
        <w:rPr>
          <w:rFonts w:ascii="Times New Roman" w:hAnsi="Times New Roman"/>
          <w:sz w:val="24"/>
          <w:szCs w:val="24"/>
        </w:rPr>
      </w:pPr>
      <w:r w:rsidRPr="00BE4AF3">
        <w:rPr>
          <w:rFonts w:ascii="Times New Roman" w:hAnsi="Times New Roman"/>
          <w:sz w:val="24"/>
          <w:szCs w:val="24"/>
        </w:rPr>
        <w:t xml:space="preserve">Hansen, P. C. (2018). </w:t>
      </w:r>
      <w:r w:rsidRPr="00BE4AF3">
        <w:rPr>
          <w:rFonts w:ascii="Times New Roman" w:hAnsi="Times New Roman"/>
          <w:i/>
          <w:iCs/>
          <w:sz w:val="24"/>
          <w:szCs w:val="24"/>
        </w:rPr>
        <w:t>An introduction to Tikhonov regularization</w:t>
      </w:r>
      <w:r w:rsidRPr="00BE4AF3">
        <w:rPr>
          <w:rFonts w:ascii="Times New Roman" w:hAnsi="Times New Roman"/>
          <w:sz w:val="24"/>
          <w:szCs w:val="24"/>
        </w:rPr>
        <w:t>. SIAM.</w:t>
      </w:r>
    </w:p>
    <w:p w14:paraId="761345B6" w14:textId="77777777" w:rsidR="00A226D9" w:rsidRPr="00BE4AF3" w:rsidRDefault="00A226D9" w:rsidP="000F499B">
      <w:pPr>
        <w:pStyle w:val="BodyText"/>
        <w:spacing w:after="0" w:line="240" w:lineRule="auto"/>
        <w:ind w:left="720" w:hanging="720"/>
        <w:jc w:val="both"/>
        <w:rPr>
          <w:rFonts w:ascii="Times New Roman" w:hAnsi="Times New Roman"/>
          <w:sz w:val="24"/>
          <w:szCs w:val="24"/>
        </w:rPr>
      </w:pPr>
      <w:r w:rsidRPr="00BE4AF3">
        <w:rPr>
          <w:rFonts w:ascii="Times New Roman" w:hAnsi="Times New Roman"/>
          <w:sz w:val="24"/>
          <w:szCs w:val="24"/>
        </w:rPr>
        <w:t xml:space="preserve">Hofmann-Wellenhof, B., Lichtenegger, H., &amp; Wasle, E. (2023). </w:t>
      </w:r>
      <w:r w:rsidRPr="00BE4AF3">
        <w:rPr>
          <w:rFonts w:ascii="Times New Roman" w:hAnsi="Times New Roman"/>
          <w:i/>
          <w:iCs/>
          <w:sz w:val="24"/>
          <w:szCs w:val="24"/>
        </w:rPr>
        <w:t>GNSS: Global Navigation Satellite Systems</w:t>
      </w:r>
      <w:r w:rsidRPr="00BE4AF3">
        <w:rPr>
          <w:rFonts w:ascii="Times New Roman" w:hAnsi="Times New Roman"/>
          <w:sz w:val="24"/>
          <w:szCs w:val="24"/>
        </w:rPr>
        <w:t>. Springer.</w:t>
      </w:r>
    </w:p>
    <w:p w14:paraId="5C665E49" w14:textId="77777777" w:rsidR="00A226D9" w:rsidRPr="00BE4AF3" w:rsidRDefault="00A226D9" w:rsidP="000F499B">
      <w:pPr>
        <w:pStyle w:val="BodyText"/>
        <w:spacing w:after="0" w:line="240" w:lineRule="auto"/>
        <w:ind w:left="720" w:hanging="720"/>
        <w:jc w:val="both"/>
        <w:rPr>
          <w:rFonts w:ascii="Times New Roman" w:hAnsi="Times New Roman"/>
          <w:sz w:val="24"/>
          <w:szCs w:val="24"/>
        </w:rPr>
      </w:pPr>
      <w:r w:rsidRPr="00BE4AF3">
        <w:rPr>
          <w:rFonts w:ascii="Times New Roman" w:hAnsi="Times New Roman"/>
          <w:sz w:val="24"/>
          <w:szCs w:val="24"/>
        </w:rPr>
        <w:t xml:space="preserve">Kashani, H., &amp; Soal, N. (2023). Regularization in GNSS networks with poor satellite geometry. </w:t>
      </w:r>
      <w:r w:rsidRPr="00BE4AF3">
        <w:rPr>
          <w:rFonts w:ascii="Times New Roman" w:hAnsi="Times New Roman"/>
          <w:i/>
          <w:iCs/>
          <w:sz w:val="24"/>
          <w:szCs w:val="24"/>
        </w:rPr>
        <w:t>Journal of Applied Geodesy, 17</w:t>
      </w:r>
      <w:r w:rsidRPr="00BE4AF3">
        <w:rPr>
          <w:rFonts w:ascii="Times New Roman" w:hAnsi="Times New Roman"/>
          <w:sz w:val="24"/>
          <w:szCs w:val="24"/>
        </w:rPr>
        <w:t>(1), 23–35.</w:t>
      </w:r>
    </w:p>
    <w:p w14:paraId="5E3C0A6F" w14:textId="77777777" w:rsidR="00A226D9" w:rsidRPr="00BE4AF3" w:rsidRDefault="00A226D9" w:rsidP="000F499B">
      <w:pPr>
        <w:pStyle w:val="BodyText"/>
        <w:spacing w:after="0" w:line="240" w:lineRule="auto"/>
        <w:ind w:left="720" w:hanging="720"/>
        <w:jc w:val="both"/>
        <w:rPr>
          <w:rFonts w:ascii="Times New Roman" w:hAnsi="Times New Roman"/>
          <w:sz w:val="24"/>
          <w:szCs w:val="24"/>
        </w:rPr>
      </w:pPr>
      <w:r w:rsidRPr="00BE4AF3">
        <w:rPr>
          <w:rFonts w:ascii="Times New Roman" w:hAnsi="Times New Roman"/>
          <w:sz w:val="24"/>
          <w:szCs w:val="24"/>
        </w:rPr>
        <w:t xml:space="preserve">Liu, S., &amp; Chen, X. (2022). Convergence analysis of preconditioned iterative solvers in GNSS network adjustment. </w:t>
      </w:r>
      <w:r w:rsidRPr="00BE4AF3">
        <w:rPr>
          <w:rFonts w:ascii="Times New Roman" w:hAnsi="Times New Roman"/>
          <w:i/>
          <w:iCs/>
          <w:sz w:val="24"/>
          <w:szCs w:val="24"/>
        </w:rPr>
        <w:t>Computational Geosciences, 26</w:t>
      </w:r>
      <w:r w:rsidRPr="00BE4AF3">
        <w:rPr>
          <w:rFonts w:ascii="Times New Roman" w:hAnsi="Times New Roman"/>
          <w:sz w:val="24"/>
          <w:szCs w:val="24"/>
        </w:rPr>
        <w:t>(4), 891–905.</w:t>
      </w:r>
    </w:p>
    <w:p w14:paraId="40691E17" w14:textId="77777777" w:rsidR="00A226D9" w:rsidRPr="00BE4AF3" w:rsidRDefault="00A226D9" w:rsidP="000F499B">
      <w:pPr>
        <w:pStyle w:val="BodyText"/>
        <w:spacing w:after="0" w:line="240" w:lineRule="auto"/>
        <w:ind w:left="720" w:hanging="720"/>
        <w:jc w:val="both"/>
        <w:rPr>
          <w:rFonts w:ascii="Times New Roman" w:hAnsi="Times New Roman"/>
          <w:sz w:val="24"/>
          <w:szCs w:val="24"/>
        </w:rPr>
      </w:pPr>
      <w:r w:rsidRPr="00BE4AF3">
        <w:rPr>
          <w:rFonts w:ascii="Times New Roman" w:hAnsi="Times New Roman"/>
          <w:sz w:val="24"/>
          <w:szCs w:val="24"/>
        </w:rPr>
        <w:lastRenderedPageBreak/>
        <w:t xml:space="preserve">Olivares, M., Delgado, J., &amp; Torres, R. (2022). Numerical stability in geodetic adjustments: A comparative study of direct and iterative methods. </w:t>
      </w:r>
      <w:r w:rsidRPr="00BE4AF3">
        <w:rPr>
          <w:rFonts w:ascii="Times New Roman" w:hAnsi="Times New Roman"/>
          <w:i/>
          <w:iCs/>
          <w:sz w:val="24"/>
          <w:szCs w:val="24"/>
        </w:rPr>
        <w:t>Survey Review, 54</w:t>
      </w:r>
      <w:r w:rsidRPr="00BE4AF3">
        <w:rPr>
          <w:rFonts w:ascii="Times New Roman" w:hAnsi="Times New Roman"/>
          <w:sz w:val="24"/>
          <w:szCs w:val="24"/>
        </w:rPr>
        <w:t>(389), 89–104.</w:t>
      </w:r>
    </w:p>
    <w:p w14:paraId="1BB42310" w14:textId="77777777" w:rsidR="00A226D9" w:rsidRPr="00BE4AF3" w:rsidRDefault="00A226D9" w:rsidP="000F499B">
      <w:pPr>
        <w:pStyle w:val="BodyText"/>
        <w:spacing w:after="0" w:line="240" w:lineRule="auto"/>
        <w:ind w:left="720" w:hanging="720"/>
        <w:jc w:val="both"/>
        <w:rPr>
          <w:rFonts w:ascii="Times New Roman" w:hAnsi="Times New Roman"/>
          <w:sz w:val="24"/>
          <w:szCs w:val="24"/>
        </w:rPr>
      </w:pPr>
      <w:r w:rsidRPr="00BE4AF3">
        <w:rPr>
          <w:rFonts w:ascii="Times New Roman" w:hAnsi="Times New Roman"/>
          <w:sz w:val="24"/>
          <w:szCs w:val="24"/>
        </w:rPr>
        <w:t xml:space="preserve">Ogrizovic, V., Milutinovic, D., &amp; Bajat, B. (2021). Integrated GNSS and terrestrial network adjustment. </w:t>
      </w:r>
      <w:r w:rsidRPr="00BE4AF3">
        <w:rPr>
          <w:rFonts w:ascii="Times New Roman" w:hAnsi="Times New Roman"/>
          <w:i/>
          <w:iCs/>
          <w:sz w:val="24"/>
          <w:szCs w:val="24"/>
        </w:rPr>
        <w:t>Journal of Geodesy, 95</w:t>
      </w:r>
      <w:r w:rsidRPr="00BE4AF3">
        <w:rPr>
          <w:rFonts w:ascii="Times New Roman" w:hAnsi="Times New Roman"/>
          <w:sz w:val="24"/>
          <w:szCs w:val="24"/>
        </w:rPr>
        <w:t>(5), 1–14.</w:t>
      </w:r>
    </w:p>
    <w:p w14:paraId="68B1D3F5" w14:textId="77777777" w:rsidR="00A226D9" w:rsidRPr="00BE4AF3" w:rsidRDefault="00A226D9" w:rsidP="000F499B">
      <w:pPr>
        <w:pStyle w:val="BodyText"/>
        <w:spacing w:after="0" w:line="240" w:lineRule="auto"/>
        <w:jc w:val="both"/>
        <w:rPr>
          <w:rFonts w:ascii="Times New Roman" w:hAnsi="Times New Roman"/>
          <w:sz w:val="24"/>
          <w:szCs w:val="24"/>
        </w:rPr>
      </w:pPr>
      <w:r w:rsidRPr="00BE4AF3">
        <w:rPr>
          <w:rFonts w:ascii="Times New Roman" w:hAnsi="Times New Roman"/>
          <w:sz w:val="24"/>
          <w:szCs w:val="24"/>
        </w:rPr>
        <w:t xml:space="preserve">Saad, Y. (2003). </w:t>
      </w:r>
      <w:r w:rsidRPr="00BE4AF3">
        <w:rPr>
          <w:rFonts w:ascii="Times New Roman" w:hAnsi="Times New Roman"/>
          <w:i/>
          <w:iCs/>
          <w:sz w:val="24"/>
          <w:szCs w:val="24"/>
        </w:rPr>
        <w:t>Iterative methods for sparse linear systems</w:t>
      </w:r>
      <w:r w:rsidRPr="00BE4AF3">
        <w:rPr>
          <w:rFonts w:ascii="Times New Roman" w:hAnsi="Times New Roman"/>
          <w:sz w:val="24"/>
          <w:szCs w:val="24"/>
        </w:rPr>
        <w:t>. SIAM.</w:t>
      </w:r>
    </w:p>
    <w:p w14:paraId="091D5239" w14:textId="77777777" w:rsidR="00A226D9" w:rsidRPr="00BE4AF3" w:rsidRDefault="00A226D9" w:rsidP="000F499B">
      <w:pPr>
        <w:pStyle w:val="BodyText"/>
        <w:spacing w:after="0" w:line="240" w:lineRule="auto"/>
        <w:ind w:left="720" w:hanging="720"/>
        <w:jc w:val="both"/>
        <w:rPr>
          <w:rFonts w:ascii="Times New Roman" w:hAnsi="Times New Roman"/>
          <w:sz w:val="24"/>
          <w:szCs w:val="24"/>
        </w:rPr>
      </w:pPr>
      <w:r w:rsidRPr="00BE4AF3">
        <w:rPr>
          <w:rFonts w:ascii="Times New Roman" w:hAnsi="Times New Roman"/>
          <w:sz w:val="24"/>
          <w:szCs w:val="24"/>
        </w:rPr>
        <w:t xml:space="preserve">Saad, Y., &amp; van der Vorst, H. A. (2021). Preconditioning techniques for large sparse systems in GNSS adjustment. </w:t>
      </w:r>
      <w:r w:rsidRPr="00BE4AF3">
        <w:rPr>
          <w:rFonts w:ascii="Times New Roman" w:hAnsi="Times New Roman"/>
          <w:i/>
          <w:iCs/>
          <w:sz w:val="24"/>
          <w:szCs w:val="24"/>
        </w:rPr>
        <w:t>Numerical Linear Algebra with Applications, 28</w:t>
      </w:r>
      <w:r w:rsidRPr="00BE4AF3">
        <w:rPr>
          <w:rFonts w:ascii="Times New Roman" w:hAnsi="Times New Roman"/>
          <w:sz w:val="24"/>
          <w:szCs w:val="24"/>
        </w:rPr>
        <w:t>(2), e2341.</w:t>
      </w:r>
    </w:p>
    <w:p w14:paraId="44E7FD9E" w14:textId="77777777" w:rsidR="00A226D9" w:rsidRPr="00BE4AF3" w:rsidRDefault="00A226D9" w:rsidP="000F499B">
      <w:pPr>
        <w:pStyle w:val="BodyText"/>
        <w:spacing w:after="0" w:line="240" w:lineRule="auto"/>
        <w:ind w:left="720" w:hanging="720"/>
        <w:jc w:val="both"/>
        <w:rPr>
          <w:rFonts w:ascii="Times New Roman" w:hAnsi="Times New Roman"/>
          <w:sz w:val="24"/>
          <w:szCs w:val="24"/>
        </w:rPr>
      </w:pPr>
      <w:r w:rsidRPr="00BE4AF3">
        <w:rPr>
          <w:rFonts w:ascii="Times New Roman" w:hAnsi="Times New Roman"/>
          <w:sz w:val="24"/>
          <w:szCs w:val="24"/>
        </w:rPr>
        <w:t xml:space="preserve">Teunissen, P. J. G., &amp; Montenbruck, O. (2017). </w:t>
      </w:r>
      <w:r w:rsidRPr="00BE4AF3">
        <w:rPr>
          <w:rFonts w:ascii="Times New Roman" w:hAnsi="Times New Roman"/>
          <w:i/>
          <w:iCs/>
          <w:sz w:val="24"/>
          <w:szCs w:val="24"/>
        </w:rPr>
        <w:t>Springer handbook of global navigation satellite systems</w:t>
      </w:r>
      <w:r w:rsidRPr="00BE4AF3">
        <w:rPr>
          <w:rFonts w:ascii="Times New Roman" w:hAnsi="Times New Roman"/>
          <w:sz w:val="24"/>
          <w:szCs w:val="24"/>
        </w:rPr>
        <w:t>. Springer.</w:t>
      </w:r>
    </w:p>
    <w:p w14:paraId="12F976FC" w14:textId="77777777" w:rsidR="00A226D9" w:rsidRPr="00BE4AF3" w:rsidRDefault="00A226D9" w:rsidP="000F499B">
      <w:pPr>
        <w:pStyle w:val="BodyText"/>
        <w:spacing w:after="0" w:line="240" w:lineRule="auto"/>
        <w:ind w:left="720" w:hanging="720"/>
        <w:jc w:val="both"/>
        <w:rPr>
          <w:rFonts w:ascii="Times New Roman" w:hAnsi="Times New Roman"/>
          <w:sz w:val="24"/>
          <w:szCs w:val="24"/>
        </w:rPr>
      </w:pPr>
      <w:r w:rsidRPr="00BE4AF3">
        <w:rPr>
          <w:rFonts w:ascii="Times New Roman" w:hAnsi="Times New Roman"/>
          <w:sz w:val="24"/>
          <w:szCs w:val="24"/>
        </w:rPr>
        <w:t xml:space="preserve">Wen, Y., Zhang, Q., &amp; Chen, X. (2020). Factor graph optimization for GNSS positioning in urban environments. </w:t>
      </w:r>
      <w:r w:rsidRPr="00BE4AF3">
        <w:rPr>
          <w:rFonts w:ascii="Times New Roman" w:hAnsi="Times New Roman"/>
          <w:i/>
          <w:iCs/>
          <w:sz w:val="24"/>
          <w:szCs w:val="24"/>
        </w:rPr>
        <w:t>Navigation, 67</w:t>
      </w:r>
      <w:r w:rsidRPr="00BE4AF3">
        <w:rPr>
          <w:rFonts w:ascii="Times New Roman" w:hAnsi="Times New Roman"/>
          <w:sz w:val="24"/>
          <w:szCs w:val="24"/>
        </w:rPr>
        <w:t>(4), 689–705.</w:t>
      </w:r>
    </w:p>
    <w:p w14:paraId="07565A32" w14:textId="77777777" w:rsidR="00A226D9" w:rsidRPr="00BE4AF3" w:rsidRDefault="00A226D9" w:rsidP="000F499B">
      <w:pPr>
        <w:pStyle w:val="BodyText"/>
        <w:spacing w:after="0" w:line="240" w:lineRule="auto"/>
        <w:ind w:left="720" w:hanging="720"/>
        <w:jc w:val="both"/>
        <w:rPr>
          <w:rFonts w:ascii="Times New Roman" w:hAnsi="Times New Roman"/>
          <w:sz w:val="24"/>
          <w:szCs w:val="24"/>
        </w:rPr>
      </w:pPr>
      <w:r w:rsidRPr="00BE4AF3">
        <w:rPr>
          <w:rFonts w:ascii="Times New Roman" w:hAnsi="Times New Roman"/>
          <w:sz w:val="24"/>
          <w:szCs w:val="24"/>
        </w:rPr>
        <w:t xml:space="preserve">Zhang, Y., &amp; Zhang, H. (2020). GNSS adjustment models: A comprehensive review. </w:t>
      </w:r>
      <w:r w:rsidRPr="00BE4AF3">
        <w:rPr>
          <w:rFonts w:ascii="Times New Roman" w:hAnsi="Times New Roman"/>
          <w:i/>
          <w:iCs/>
          <w:sz w:val="24"/>
          <w:szCs w:val="24"/>
        </w:rPr>
        <w:t>GPS Solutions, 24</w:t>
      </w:r>
      <w:r w:rsidRPr="00BE4AF3">
        <w:rPr>
          <w:rFonts w:ascii="Times New Roman" w:hAnsi="Times New Roman"/>
          <w:sz w:val="24"/>
          <w:szCs w:val="24"/>
        </w:rPr>
        <w:t>(3), 1–14.</w:t>
      </w:r>
    </w:p>
    <w:p w14:paraId="16CEEFEE" w14:textId="77777777" w:rsidR="00A226D9" w:rsidRPr="00BE4AF3" w:rsidRDefault="00A226D9" w:rsidP="000F499B">
      <w:pPr>
        <w:pStyle w:val="BodyText"/>
        <w:spacing w:after="0" w:line="240" w:lineRule="auto"/>
        <w:ind w:left="720" w:hanging="720"/>
        <w:jc w:val="both"/>
        <w:rPr>
          <w:rFonts w:ascii="Times New Roman" w:hAnsi="Times New Roman"/>
          <w:sz w:val="24"/>
          <w:szCs w:val="24"/>
        </w:rPr>
      </w:pPr>
      <w:r w:rsidRPr="00BE4AF3">
        <w:rPr>
          <w:rFonts w:ascii="Times New Roman" w:hAnsi="Times New Roman"/>
          <w:sz w:val="24"/>
          <w:szCs w:val="24"/>
        </w:rPr>
        <w:t xml:space="preserve">Zhao, Q., Li, Z., &amp; Shen, Y. (2020). GNSS positioning in adverse environments using QR decomposition. </w:t>
      </w:r>
      <w:r w:rsidRPr="00BE4AF3">
        <w:rPr>
          <w:rFonts w:ascii="Times New Roman" w:hAnsi="Times New Roman"/>
          <w:i/>
          <w:iCs/>
          <w:sz w:val="24"/>
          <w:szCs w:val="24"/>
        </w:rPr>
        <w:t>Journal of Navigation, 73</w:t>
      </w:r>
      <w:r w:rsidRPr="00BE4AF3">
        <w:rPr>
          <w:rFonts w:ascii="Times New Roman" w:hAnsi="Times New Roman"/>
          <w:sz w:val="24"/>
          <w:szCs w:val="24"/>
        </w:rPr>
        <w:t>(1), 112–126.</w:t>
      </w:r>
    </w:p>
    <w:p w14:paraId="1BD7470B" w14:textId="77777777" w:rsidR="00BB2D51" w:rsidRPr="00BE4AF3" w:rsidRDefault="00BB2D51" w:rsidP="000C7355">
      <w:pPr>
        <w:autoSpaceDE w:val="0"/>
        <w:autoSpaceDN w:val="0"/>
        <w:adjustRightInd w:val="0"/>
        <w:spacing w:after="0" w:line="240" w:lineRule="auto"/>
        <w:rPr>
          <w:rFonts w:ascii="Times New Roman" w:hAnsi="Times New Roman" w:cs="Times New Roman"/>
          <w:sz w:val="24"/>
          <w:szCs w:val="24"/>
        </w:rPr>
      </w:pPr>
    </w:p>
    <w:p w14:paraId="3E5287DD" w14:textId="77777777" w:rsidR="00245B2C" w:rsidRDefault="00245B2C" w:rsidP="007F7159">
      <w:pPr>
        <w:spacing w:after="0" w:line="240" w:lineRule="auto"/>
        <w:jc w:val="center"/>
        <w:rPr>
          <w:rFonts w:ascii="Times New Roman" w:hAnsi="Times New Roman" w:cs="Times New Roman"/>
          <w:b/>
          <w:sz w:val="24"/>
          <w:szCs w:val="24"/>
        </w:rPr>
      </w:pPr>
    </w:p>
    <w:p w14:paraId="629019DB" w14:textId="77777777" w:rsidR="00245B2C" w:rsidRDefault="00245B2C" w:rsidP="007F7159">
      <w:pPr>
        <w:spacing w:after="0" w:line="240" w:lineRule="auto"/>
        <w:jc w:val="center"/>
        <w:rPr>
          <w:rFonts w:ascii="Times New Roman" w:hAnsi="Times New Roman" w:cs="Times New Roman"/>
          <w:b/>
          <w:sz w:val="24"/>
          <w:szCs w:val="24"/>
        </w:rPr>
      </w:pPr>
    </w:p>
    <w:p w14:paraId="322EB261" w14:textId="77777777" w:rsidR="00245B2C" w:rsidRDefault="00245B2C" w:rsidP="007F7159">
      <w:pPr>
        <w:spacing w:after="0" w:line="240" w:lineRule="auto"/>
        <w:jc w:val="center"/>
        <w:rPr>
          <w:rFonts w:ascii="Times New Roman" w:hAnsi="Times New Roman" w:cs="Times New Roman"/>
          <w:b/>
          <w:sz w:val="24"/>
          <w:szCs w:val="24"/>
        </w:rPr>
      </w:pPr>
    </w:p>
    <w:p w14:paraId="2FC06CDB" w14:textId="77777777" w:rsidR="00245B2C" w:rsidRDefault="00245B2C" w:rsidP="007F7159">
      <w:pPr>
        <w:spacing w:after="0" w:line="240" w:lineRule="auto"/>
        <w:jc w:val="center"/>
        <w:rPr>
          <w:rFonts w:ascii="Times New Roman" w:hAnsi="Times New Roman" w:cs="Times New Roman"/>
          <w:b/>
          <w:sz w:val="24"/>
          <w:szCs w:val="24"/>
        </w:rPr>
      </w:pPr>
    </w:p>
    <w:p w14:paraId="63DA863E" w14:textId="77777777" w:rsidR="00245B2C" w:rsidRDefault="00245B2C" w:rsidP="007F7159">
      <w:pPr>
        <w:spacing w:after="0" w:line="240" w:lineRule="auto"/>
        <w:jc w:val="center"/>
        <w:rPr>
          <w:rFonts w:ascii="Times New Roman" w:hAnsi="Times New Roman" w:cs="Times New Roman"/>
          <w:b/>
          <w:sz w:val="24"/>
          <w:szCs w:val="24"/>
        </w:rPr>
      </w:pPr>
    </w:p>
    <w:p w14:paraId="73662FC7" w14:textId="77777777" w:rsidR="00245B2C" w:rsidRDefault="00245B2C" w:rsidP="007F7159">
      <w:pPr>
        <w:spacing w:after="0" w:line="240" w:lineRule="auto"/>
        <w:jc w:val="center"/>
        <w:rPr>
          <w:rFonts w:ascii="Times New Roman" w:hAnsi="Times New Roman" w:cs="Times New Roman"/>
          <w:b/>
          <w:sz w:val="24"/>
          <w:szCs w:val="24"/>
        </w:rPr>
      </w:pPr>
    </w:p>
    <w:p w14:paraId="71C80AE1" w14:textId="77777777" w:rsidR="00245B2C" w:rsidRDefault="00245B2C" w:rsidP="007F7159">
      <w:pPr>
        <w:spacing w:after="0" w:line="240" w:lineRule="auto"/>
        <w:jc w:val="center"/>
        <w:rPr>
          <w:rFonts w:ascii="Times New Roman" w:hAnsi="Times New Roman" w:cs="Times New Roman"/>
          <w:b/>
          <w:sz w:val="24"/>
          <w:szCs w:val="24"/>
        </w:rPr>
      </w:pPr>
    </w:p>
    <w:p w14:paraId="66BF591E" w14:textId="77777777" w:rsidR="00245B2C" w:rsidRDefault="00245B2C" w:rsidP="007F7159">
      <w:pPr>
        <w:spacing w:after="0" w:line="240" w:lineRule="auto"/>
        <w:jc w:val="center"/>
        <w:rPr>
          <w:rFonts w:ascii="Times New Roman" w:hAnsi="Times New Roman" w:cs="Times New Roman"/>
          <w:b/>
          <w:sz w:val="24"/>
          <w:szCs w:val="24"/>
        </w:rPr>
      </w:pPr>
    </w:p>
    <w:p w14:paraId="61405ABA" w14:textId="77777777" w:rsidR="00245B2C" w:rsidRDefault="00245B2C" w:rsidP="007F7159">
      <w:pPr>
        <w:spacing w:after="0" w:line="240" w:lineRule="auto"/>
        <w:jc w:val="center"/>
        <w:rPr>
          <w:rFonts w:ascii="Times New Roman" w:hAnsi="Times New Roman" w:cs="Times New Roman"/>
          <w:b/>
          <w:sz w:val="24"/>
          <w:szCs w:val="24"/>
        </w:rPr>
      </w:pPr>
    </w:p>
    <w:p w14:paraId="0C2AA0B8" w14:textId="77777777" w:rsidR="00245B2C" w:rsidRDefault="00245B2C" w:rsidP="007F7159">
      <w:pPr>
        <w:spacing w:after="0" w:line="240" w:lineRule="auto"/>
        <w:jc w:val="center"/>
        <w:rPr>
          <w:rFonts w:ascii="Times New Roman" w:hAnsi="Times New Roman" w:cs="Times New Roman"/>
          <w:b/>
          <w:sz w:val="24"/>
          <w:szCs w:val="24"/>
        </w:rPr>
      </w:pPr>
    </w:p>
    <w:p w14:paraId="5AC711AA" w14:textId="77777777" w:rsidR="00245B2C" w:rsidRDefault="00245B2C" w:rsidP="007F7159">
      <w:pPr>
        <w:spacing w:after="0" w:line="240" w:lineRule="auto"/>
        <w:jc w:val="center"/>
        <w:rPr>
          <w:rFonts w:ascii="Times New Roman" w:hAnsi="Times New Roman" w:cs="Times New Roman"/>
          <w:b/>
          <w:sz w:val="24"/>
          <w:szCs w:val="24"/>
        </w:rPr>
      </w:pPr>
    </w:p>
    <w:p w14:paraId="1682F083" w14:textId="77777777" w:rsidR="00245B2C" w:rsidRDefault="00245B2C" w:rsidP="007F7159">
      <w:pPr>
        <w:spacing w:after="0" w:line="240" w:lineRule="auto"/>
        <w:jc w:val="center"/>
        <w:rPr>
          <w:rFonts w:ascii="Times New Roman" w:hAnsi="Times New Roman" w:cs="Times New Roman"/>
          <w:b/>
          <w:sz w:val="24"/>
          <w:szCs w:val="24"/>
        </w:rPr>
      </w:pPr>
    </w:p>
    <w:p w14:paraId="2EAEFDB5" w14:textId="77777777" w:rsidR="00245B2C" w:rsidRDefault="00245B2C" w:rsidP="007F7159">
      <w:pPr>
        <w:spacing w:after="0" w:line="240" w:lineRule="auto"/>
        <w:jc w:val="center"/>
        <w:rPr>
          <w:rFonts w:ascii="Times New Roman" w:hAnsi="Times New Roman" w:cs="Times New Roman"/>
          <w:b/>
          <w:sz w:val="24"/>
          <w:szCs w:val="24"/>
        </w:rPr>
      </w:pPr>
    </w:p>
    <w:p w14:paraId="7E0429FB" w14:textId="77777777" w:rsidR="00245B2C" w:rsidRDefault="00245B2C" w:rsidP="007F7159">
      <w:pPr>
        <w:spacing w:after="0" w:line="240" w:lineRule="auto"/>
        <w:jc w:val="center"/>
        <w:rPr>
          <w:rFonts w:ascii="Times New Roman" w:hAnsi="Times New Roman" w:cs="Times New Roman"/>
          <w:b/>
          <w:sz w:val="24"/>
          <w:szCs w:val="24"/>
        </w:rPr>
      </w:pPr>
    </w:p>
    <w:p w14:paraId="18E5F245" w14:textId="77777777" w:rsidR="00245B2C" w:rsidRDefault="00245B2C" w:rsidP="007F7159">
      <w:pPr>
        <w:spacing w:after="0" w:line="240" w:lineRule="auto"/>
        <w:jc w:val="center"/>
        <w:rPr>
          <w:rFonts w:ascii="Times New Roman" w:hAnsi="Times New Roman" w:cs="Times New Roman"/>
          <w:b/>
          <w:sz w:val="24"/>
          <w:szCs w:val="24"/>
        </w:rPr>
      </w:pPr>
    </w:p>
    <w:p w14:paraId="3BBB7AF9" w14:textId="77777777" w:rsidR="00245B2C" w:rsidRDefault="00245B2C" w:rsidP="007F7159">
      <w:pPr>
        <w:spacing w:after="0" w:line="240" w:lineRule="auto"/>
        <w:jc w:val="center"/>
        <w:rPr>
          <w:rFonts w:ascii="Times New Roman" w:hAnsi="Times New Roman" w:cs="Times New Roman"/>
          <w:b/>
          <w:sz w:val="24"/>
          <w:szCs w:val="24"/>
        </w:rPr>
      </w:pPr>
    </w:p>
    <w:p w14:paraId="4287B027" w14:textId="77777777" w:rsidR="00245B2C" w:rsidRDefault="00245B2C" w:rsidP="007F7159">
      <w:pPr>
        <w:spacing w:after="0" w:line="240" w:lineRule="auto"/>
        <w:jc w:val="center"/>
        <w:rPr>
          <w:rFonts w:ascii="Times New Roman" w:hAnsi="Times New Roman" w:cs="Times New Roman"/>
          <w:b/>
          <w:sz w:val="24"/>
          <w:szCs w:val="24"/>
        </w:rPr>
      </w:pPr>
    </w:p>
    <w:p w14:paraId="72B401C3" w14:textId="77777777" w:rsidR="00245B2C" w:rsidRDefault="00245B2C" w:rsidP="007F7159">
      <w:pPr>
        <w:spacing w:after="0" w:line="240" w:lineRule="auto"/>
        <w:jc w:val="center"/>
        <w:rPr>
          <w:rFonts w:ascii="Times New Roman" w:hAnsi="Times New Roman" w:cs="Times New Roman"/>
          <w:b/>
          <w:sz w:val="24"/>
          <w:szCs w:val="24"/>
        </w:rPr>
      </w:pPr>
    </w:p>
    <w:p w14:paraId="7203C91F" w14:textId="77777777" w:rsidR="00245B2C" w:rsidRDefault="00245B2C" w:rsidP="007F7159">
      <w:pPr>
        <w:spacing w:after="0" w:line="240" w:lineRule="auto"/>
        <w:jc w:val="center"/>
        <w:rPr>
          <w:rFonts w:ascii="Times New Roman" w:hAnsi="Times New Roman" w:cs="Times New Roman"/>
          <w:b/>
          <w:sz w:val="24"/>
          <w:szCs w:val="24"/>
        </w:rPr>
      </w:pPr>
    </w:p>
    <w:p w14:paraId="53EB056E" w14:textId="77777777" w:rsidR="00245B2C" w:rsidRDefault="00245B2C" w:rsidP="007F7159">
      <w:pPr>
        <w:spacing w:after="0" w:line="240" w:lineRule="auto"/>
        <w:jc w:val="center"/>
        <w:rPr>
          <w:rFonts w:ascii="Times New Roman" w:hAnsi="Times New Roman" w:cs="Times New Roman"/>
          <w:b/>
          <w:sz w:val="24"/>
          <w:szCs w:val="24"/>
        </w:rPr>
      </w:pPr>
    </w:p>
    <w:p w14:paraId="6F870534" w14:textId="77777777" w:rsidR="00245B2C" w:rsidRDefault="00245B2C" w:rsidP="007F7159">
      <w:pPr>
        <w:spacing w:after="0" w:line="240" w:lineRule="auto"/>
        <w:jc w:val="center"/>
        <w:rPr>
          <w:rFonts w:ascii="Times New Roman" w:hAnsi="Times New Roman" w:cs="Times New Roman"/>
          <w:b/>
          <w:sz w:val="24"/>
          <w:szCs w:val="24"/>
        </w:rPr>
      </w:pPr>
    </w:p>
    <w:p w14:paraId="01886113" w14:textId="77777777" w:rsidR="00245B2C" w:rsidRDefault="00245B2C" w:rsidP="007F7159">
      <w:pPr>
        <w:spacing w:after="0" w:line="240" w:lineRule="auto"/>
        <w:jc w:val="center"/>
        <w:rPr>
          <w:rFonts w:ascii="Times New Roman" w:hAnsi="Times New Roman" w:cs="Times New Roman"/>
          <w:b/>
          <w:sz w:val="24"/>
          <w:szCs w:val="24"/>
        </w:rPr>
      </w:pPr>
    </w:p>
    <w:p w14:paraId="011AC157" w14:textId="77777777" w:rsidR="00245B2C" w:rsidRDefault="00245B2C" w:rsidP="007F7159">
      <w:pPr>
        <w:spacing w:after="0" w:line="240" w:lineRule="auto"/>
        <w:jc w:val="center"/>
        <w:rPr>
          <w:rFonts w:ascii="Times New Roman" w:hAnsi="Times New Roman" w:cs="Times New Roman"/>
          <w:b/>
          <w:sz w:val="24"/>
          <w:szCs w:val="24"/>
        </w:rPr>
      </w:pPr>
    </w:p>
    <w:p w14:paraId="5FE84C7A" w14:textId="77777777" w:rsidR="00245B2C" w:rsidRDefault="00245B2C" w:rsidP="007F7159">
      <w:pPr>
        <w:spacing w:after="0" w:line="240" w:lineRule="auto"/>
        <w:jc w:val="center"/>
        <w:rPr>
          <w:rFonts w:ascii="Times New Roman" w:hAnsi="Times New Roman" w:cs="Times New Roman"/>
          <w:b/>
          <w:sz w:val="24"/>
          <w:szCs w:val="24"/>
        </w:rPr>
      </w:pPr>
    </w:p>
    <w:p w14:paraId="18D95AF2" w14:textId="77777777" w:rsidR="00245B2C" w:rsidRDefault="00245B2C" w:rsidP="007F7159">
      <w:pPr>
        <w:spacing w:after="0" w:line="240" w:lineRule="auto"/>
        <w:jc w:val="center"/>
        <w:rPr>
          <w:rFonts w:ascii="Times New Roman" w:hAnsi="Times New Roman" w:cs="Times New Roman"/>
          <w:b/>
          <w:sz w:val="24"/>
          <w:szCs w:val="24"/>
        </w:rPr>
      </w:pPr>
    </w:p>
    <w:p w14:paraId="61052EDC" w14:textId="77777777" w:rsidR="00245B2C" w:rsidRDefault="00245B2C" w:rsidP="007F7159">
      <w:pPr>
        <w:spacing w:after="0" w:line="240" w:lineRule="auto"/>
        <w:jc w:val="center"/>
        <w:rPr>
          <w:rFonts w:ascii="Times New Roman" w:hAnsi="Times New Roman" w:cs="Times New Roman"/>
          <w:b/>
          <w:sz w:val="24"/>
          <w:szCs w:val="24"/>
        </w:rPr>
      </w:pPr>
    </w:p>
    <w:p w14:paraId="0585A850" w14:textId="77777777" w:rsidR="002327E1" w:rsidRDefault="002327E1" w:rsidP="007F7159">
      <w:pPr>
        <w:spacing w:after="0" w:line="240" w:lineRule="auto"/>
        <w:jc w:val="center"/>
        <w:rPr>
          <w:rFonts w:ascii="Times New Roman" w:hAnsi="Times New Roman" w:cs="Times New Roman"/>
          <w:b/>
          <w:sz w:val="24"/>
          <w:szCs w:val="24"/>
        </w:rPr>
      </w:pPr>
    </w:p>
    <w:p w14:paraId="7A154213" w14:textId="77777777" w:rsidR="002327E1" w:rsidRDefault="002327E1" w:rsidP="007F7159">
      <w:pPr>
        <w:spacing w:after="0" w:line="240" w:lineRule="auto"/>
        <w:jc w:val="center"/>
        <w:rPr>
          <w:rFonts w:ascii="Times New Roman" w:hAnsi="Times New Roman" w:cs="Times New Roman"/>
          <w:b/>
          <w:sz w:val="24"/>
          <w:szCs w:val="24"/>
        </w:rPr>
      </w:pPr>
    </w:p>
    <w:p w14:paraId="1D06B10B" w14:textId="77777777" w:rsidR="00245B2C" w:rsidRDefault="00245B2C" w:rsidP="007F7159">
      <w:pPr>
        <w:spacing w:after="0" w:line="240" w:lineRule="auto"/>
        <w:jc w:val="center"/>
        <w:rPr>
          <w:rFonts w:ascii="Times New Roman" w:hAnsi="Times New Roman" w:cs="Times New Roman"/>
          <w:b/>
          <w:sz w:val="24"/>
          <w:szCs w:val="24"/>
        </w:rPr>
      </w:pPr>
    </w:p>
    <w:p w14:paraId="5E789396" w14:textId="77777777" w:rsidR="00245B2C" w:rsidRDefault="00245B2C" w:rsidP="007F7159">
      <w:pPr>
        <w:spacing w:after="0" w:line="240" w:lineRule="auto"/>
        <w:jc w:val="center"/>
        <w:rPr>
          <w:rFonts w:ascii="Times New Roman" w:hAnsi="Times New Roman" w:cs="Times New Roman"/>
          <w:b/>
          <w:sz w:val="24"/>
          <w:szCs w:val="24"/>
        </w:rPr>
      </w:pPr>
    </w:p>
    <w:p w14:paraId="2CCD32B6" w14:textId="24C2C126" w:rsidR="007F7159" w:rsidRPr="00BE4AF3" w:rsidRDefault="007F7159" w:rsidP="007F7159">
      <w:pPr>
        <w:spacing w:after="0" w:line="240" w:lineRule="auto"/>
        <w:jc w:val="center"/>
        <w:rPr>
          <w:rFonts w:ascii="Times New Roman" w:hAnsi="Times New Roman" w:cs="Times New Roman"/>
          <w:b/>
          <w:sz w:val="24"/>
          <w:szCs w:val="24"/>
        </w:rPr>
      </w:pPr>
      <w:r w:rsidRPr="00245B2C">
        <w:rPr>
          <w:rFonts w:ascii="Times New Roman" w:hAnsi="Times New Roman" w:cs="Times New Roman"/>
          <w:b/>
          <w:sz w:val="28"/>
          <w:szCs w:val="28"/>
        </w:rPr>
        <w:lastRenderedPageBreak/>
        <w:t>Construction Innovation and Sustainability: A Pathway to a Greener Future</w:t>
      </w:r>
    </w:p>
    <w:p w14:paraId="571F2F0E" w14:textId="77777777" w:rsidR="007F7159" w:rsidRPr="00BE4AF3" w:rsidRDefault="007F7159" w:rsidP="007F7159">
      <w:pPr>
        <w:spacing w:after="0" w:line="240" w:lineRule="auto"/>
        <w:jc w:val="center"/>
        <w:rPr>
          <w:rFonts w:ascii="Times New Roman" w:hAnsi="Times New Roman" w:cs="Times New Roman"/>
          <w:bCs/>
          <w:sz w:val="24"/>
          <w:szCs w:val="24"/>
        </w:rPr>
      </w:pPr>
    </w:p>
    <w:p w14:paraId="625D1C1A" w14:textId="77777777" w:rsidR="007F7159" w:rsidRPr="00BE4AF3" w:rsidRDefault="007F7159" w:rsidP="007F7159">
      <w:pPr>
        <w:spacing w:after="0" w:line="240" w:lineRule="auto"/>
        <w:jc w:val="center"/>
        <w:rPr>
          <w:rFonts w:ascii="Times New Roman" w:hAnsi="Times New Roman" w:cs="Times New Roman"/>
          <w:bCs/>
          <w:sz w:val="24"/>
          <w:szCs w:val="24"/>
          <w:vertAlign w:val="superscript"/>
        </w:rPr>
      </w:pPr>
      <w:r w:rsidRPr="00BE4AF3">
        <w:rPr>
          <w:rFonts w:ascii="Times New Roman" w:hAnsi="Times New Roman" w:cs="Times New Roman"/>
          <w:bCs/>
          <w:sz w:val="24"/>
          <w:szCs w:val="24"/>
        </w:rPr>
        <w:t>Olanrewaju Sharafadeen Babatunde Owolabi</w:t>
      </w:r>
      <w:r w:rsidRPr="00BE4AF3">
        <w:rPr>
          <w:rFonts w:ascii="Times New Roman" w:hAnsi="Times New Roman" w:cs="Times New Roman"/>
          <w:bCs/>
          <w:sz w:val="24"/>
          <w:szCs w:val="24"/>
          <w:vertAlign w:val="superscript"/>
        </w:rPr>
        <w:t>1,3</w:t>
      </w:r>
      <w:r w:rsidRPr="00BE4AF3">
        <w:rPr>
          <w:rFonts w:ascii="Times New Roman" w:hAnsi="Times New Roman" w:cs="Times New Roman"/>
          <w:bCs/>
          <w:sz w:val="24"/>
          <w:szCs w:val="24"/>
        </w:rPr>
        <w:t>; Awe Foluso</w:t>
      </w:r>
      <w:r w:rsidRPr="00BE4AF3">
        <w:rPr>
          <w:rFonts w:ascii="Times New Roman" w:hAnsi="Times New Roman" w:cs="Times New Roman"/>
          <w:bCs/>
          <w:sz w:val="24"/>
          <w:szCs w:val="24"/>
          <w:vertAlign w:val="superscript"/>
        </w:rPr>
        <w:t>2</w:t>
      </w:r>
      <w:r w:rsidRPr="00BE4AF3">
        <w:rPr>
          <w:rFonts w:ascii="Times New Roman" w:hAnsi="Times New Roman" w:cs="Times New Roman"/>
          <w:bCs/>
          <w:sz w:val="24"/>
          <w:szCs w:val="24"/>
        </w:rPr>
        <w:t xml:space="preserve"> and Mohammed Tanko Abdullahi</w:t>
      </w:r>
      <w:r w:rsidRPr="00BE4AF3">
        <w:rPr>
          <w:rFonts w:ascii="Times New Roman" w:hAnsi="Times New Roman" w:cs="Times New Roman"/>
          <w:bCs/>
          <w:sz w:val="24"/>
          <w:szCs w:val="24"/>
          <w:vertAlign w:val="superscript"/>
        </w:rPr>
        <w:t>3</w:t>
      </w:r>
    </w:p>
    <w:p w14:paraId="290C007E" w14:textId="77777777" w:rsidR="007F7159" w:rsidRPr="00BE4AF3" w:rsidRDefault="007F7159" w:rsidP="007F7159">
      <w:pPr>
        <w:spacing w:after="0" w:line="240" w:lineRule="auto"/>
        <w:jc w:val="center"/>
        <w:rPr>
          <w:rFonts w:ascii="Times New Roman" w:hAnsi="Times New Roman" w:cs="Times New Roman"/>
          <w:bCs/>
          <w:sz w:val="24"/>
          <w:szCs w:val="24"/>
          <w:vertAlign w:val="superscript"/>
        </w:rPr>
      </w:pPr>
    </w:p>
    <w:p w14:paraId="4C7B9C97" w14:textId="77777777" w:rsidR="007F7159" w:rsidRPr="00245B2C" w:rsidRDefault="007F7159" w:rsidP="007F7159">
      <w:pPr>
        <w:spacing w:after="0" w:line="240" w:lineRule="auto"/>
        <w:jc w:val="center"/>
        <w:rPr>
          <w:rFonts w:ascii="Times New Roman" w:hAnsi="Times New Roman" w:cs="Times New Roman"/>
          <w:bCs/>
          <w:sz w:val="20"/>
          <w:szCs w:val="20"/>
        </w:rPr>
      </w:pPr>
      <w:r w:rsidRPr="00245B2C">
        <w:rPr>
          <w:rFonts w:ascii="Times New Roman" w:hAnsi="Times New Roman" w:cs="Times New Roman"/>
          <w:bCs/>
          <w:sz w:val="20"/>
          <w:szCs w:val="20"/>
          <w:vertAlign w:val="superscript"/>
        </w:rPr>
        <w:t>1</w:t>
      </w:r>
      <w:r w:rsidRPr="00245B2C">
        <w:rPr>
          <w:rFonts w:ascii="Times New Roman" w:hAnsi="Times New Roman" w:cs="Times New Roman"/>
          <w:bCs/>
          <w:sz w:val="20"/>
          <w:szCs w:val="20"/>
        </w:rPr>
        <w:t xml:space="preserve">Department of Building Technology, Federal University of Technology and Environmental Sciences </w:t>
      </w:r>
      <w:r w:rsidRPr="00245B2C">
        <w:rPr>
          <w:rFonts w:ascii="Times New Roman" w:eastAsia="Times New Roman" w:hAnsi="Times New Roman" w:cs="Times New Roman"/>
          <w:sz w:val="20"/>
          <w:szCs w:val="20"/>
        </w:rPr>
        <w:t>(FUTES)</w:t>
      </w:r>
      <w:r w:rsidRPr="00245B2C">
        <w:rPr>
          <w:rFonts w:ascii="Times New Roman" w:hAnsi="Times New Roman" w:cs="Times New Roman"/>
          <w:bCs/>
          <w:sz w:val="20"/>
          <w:szCs w:val="20"/>
        </w:rPr>
        <w:t>, Iyin Ekiti, Nigeria</w:t>
      </w:r>
    </w:p>
    <w:p w14:paraId="3D333D40" w14:textId="77777777" w:rsidR="007F7159" w:rsidRPr="00245B2C" w:rsidRDefault="007F7159" w:rsidP="007F7159">
      <w:pPr>
        <w:spacing w:after="0" w:line="240" w:lineRule="auto"/>
        <w:jc w:val="center"/>
        <w:rPr>
          <w:rFonts w:ascii="Times New Roman" w:hAnsi="Times New Roman" w:cs="Times New Roman"/>
          <w:bCs/>
          <w:sz w:val="20"/>
          <w:szCs w:val="20"/>
        </w:rPr>
      </w:pPr>
      <w:r w:rsidRPr="00245B2C">
        <w:rPr>
          <w:rFonts w:ascii="Times New Roman" w:hAnsi="Times New Roman" w:cs="Times New Roman"/>
          <w:bCs/>
          <w:sz w:val="20"/>
          <w:szCs w:val="20"/>
          <w:vertAlign w:val="superscript"/>
        </w:rPr>
        <w:t>2</w:t>
      </w:r>
      <w:r w:rsidRPr="00245B2C">
        <w:rPr>
          <w:rFonts w:ascii="Times New Roman" w:hAnsi="Times New Roman" w:cs="Times New Roman"/>
          <w:bCs/>
          <w:sz w:val="20"/>
          <w:szCs w:val="20"/>
        </w:rPr>
        <w:t xml:space="preserve">Department of Architecture, Federal University of Technology and Environmental Sciences </w:t>
      </w:r>
      <w:r w:rsidRPr="00245B2C">
        <w:rPr>
          <w:rFonts w:ascii="Times New Roman" w:eastAsia="Times New Roman" w:hAnsi="Times New Roman" w:cs="Times New Roman"/>
          <w:sz w:val="20"/>
          <w:szCs w:val="20"/>
        </w:rPr>
        <w:t>(FUTES)</w:t>
      </w:r>
      <w:r w:rsidRPr="00245B2C">
        <w:rPr>
          <w:rFonts w:ascii="Times New Roman" w:hAnsi="Times New Roman" w:cs="Times New Roman"/>
          <w:bCs/>
          <w:sz w:val="20"/>
          <w:szCs w:val="20"/>
        </w:rPr>
        <w:t>, Iyin Ekiti, Nigeria.</w:t>
      </w:r>
    </w:p>
    <w:p w14:paraId="71C18568" w14:textId="77777777" w:rsidR="007F7159" w:rsidRPr="00245B2C" w:rsidRDefault="007F7159" w:rsidP="007F7159">
      <w:pPr>
        <w:spacing w:after="0" w:line="240" w:lineRule="auto"/>
        <w:jc w:val="center"/>
        <w:rPr>
          <w:rFonts w:ascii="Times New Roman" w:hAnsi="Times New Roman" w:cs="Times New Roman"/>
          <w:bCs/>
          <w:sz w:val="20"/>
          <w:szCs w:val="20"/>
        </w:rPr>
      </w:pPr>
      <w:r w:rsidRPr="00245B2C">
        <w:rPr>
          <w:rFonts w:ascii="Times New Roman" w:hAnsi="Times New Roman" w:cs="Times New Roman"/>
          <w:bCs/>
          <w:sz w:val="20"/>
          <w:szCs w:val="20"/>
          <w:vertAlign w:val="superscript"/>
        </w:rPr>
        <w:t>3</w:t>
      </w:r>
      <w:r w:rsidRPr="00245B2C">
        <w:rPr>
          <w:rFonts w:ascii="Times New Roman" w:hAnsi="Times New Roman" w:cs="Times New Roman"/>
          <w:bCs/>
          <w:sz w:val="20"/>
          <w:szCs w:val="20"/>
        </w:rPr>
        <w:t>Department of Building Technology, Federal Polytechnic, Ado Ekiti, Ekiti State, Nigeria</w:t>
      </w:r>
    </w:p>
    <w:p w14:paraId="2827D9B9" w14:textId="77777777" w:rsidR="007F7159" w:rsidRPr="00245B2C" w:rsidRDefault="007F7159" w:rsidP="007F7159">
      <w:pPr>
        <w:spacing w:after="0" w:line="240" w:lineRule="auto"/>
        <w:jc w:val="center"/>
        <w:rPr>
          <w:rFonts w:ascii="Times New Roman" w:hAnsi="Times New Roman" w:cs="Times New Roman"/>
          <w:bCs/>
          <w:sz w:val="20"/>
          <w:szCs w:val="20"/>
        </w:rPr>
      </w:pPr>
    </w:p>
    <w:p w14:paraId="1BD85A43" w14:textId="77777777" w:rsidR="007F7159" w:rsidRPr="00245B2C" w:rsidRDefault="007F7159" w:rsidP="007F7159">
      <w:pPr>
        <w:spacing w:after="0" w:line="240" w:lineRule="auto"/>
        <w:jc w:val="center"/>
        <w:rPr>
          <w:rStyle w:val="Hyperlink"/>
          <w:rFonts w:ascii="Times New Roman" w:hAnsi="Times New Roman" w:cs="Times New Roman"/>
          <w:bCs/>
          <w:color w:val="auto"/>
          <w:sz w:val="20"/>
          <w:szCs w:val="20"/>
          <w:u w:val="none"/>
        </w:rPr>
      </w:pPr>
      <w:r w:rsidRPr="00245B2C">
        <w:rPr>
          <w:rFonts w:ascii="Times New Roman" w:hAnsi="Times New Roman" w:cs="Times New Roman"/>
          <w:bCs/>
          <w:sz w:val="20"/>
          <w:szCs w:val="20"/>
        </w:rPr>
        <w:t xml:space="preserve">Corresponding Email: </w:t>
      </w:r>
      <w:hyperlink r:id="rId130" w:history="1">
        <w:r w:rsidRPr="00245B2C">
          <w:rPr>
            <w:rStyle w:val="Hyperlink"/>
            <w:rFonts w:ascii="Times New Roman" w:hAnsi="Times New Roman" w:cs="Times New Roman"/>
            <w:bCs/>
            <w:color w:val="auto"/>
            <w:sz w:val="20"/>
            <w:szCs w:val="20"/>
            <w:u w:val="none"/>
          </w:rPr>
          <w:t>sharafadeen2014@gmail.com</w:t>
        </w:r>
      </w:hyperlink>
      <w:r w:rsidRPr="00245B2C">
        <w:rPr>
          <w:rStyle w:val="Hyperlink"/>
          <w:rFonts w:ascii="Times New Roman" w:hAnsi="Times New Roman" w:cs="Times New Roman"/>
          <w:bCs/>
          <w:color w:val="auto"/>
          <w:sz w:val="20"/>
          <w:szCs w:val="20"/>
          <w:u w:val="none"/>
        </w:rPr>
        <w:t xml:space="preserve"> </w:t>
      </w:r>
    </w:p>
    <w:p w14:paraId="560B7DD3" w14:textId="77777777" w:rsidR="007F7159" w:rsidRPr="00245B2C" w:rsidRDefault="007F7159" w:rsidP="007F7159">
      <w:pPr>
        <w:spacing w:after="0" w:line="240" w:lineRule="auto"/>
        <w:jc w:val="center"/>
        <w:rPr>
          <w:rFonts w:ascii="Times New Roman" w:hAnsi="Times New Roman" w:cs="Times New Roman"/>
          <w:sz w:val="20"/>
          <w:szCs w:val="20"/>
        </w:rPr>
      </w:pPr>
      <w:r w:rsidRPr="00245B2C">
        <w:rPr>
          <w:rStyle w:val="Hyperlink"/>
          <w:rFonts w:ascii="Times New Roman" w:eastAsia="Times New Roman" w:hAnsi="Times New Roman" w:cs="Times New Roman"/>
          <w:color w:val="auto"/>
          <w:sz w:val="20"/>
          <w:szCs w:val="20"/>
          <w:u w:val="none"/>
          <w:lang w:eastAsia="en-MY"/>
        </w:rPr>
        <w:t>ORCID ID</w:t>
      </w:r>
      <w:r w:rsidRPr="00245B2C">
        <w:rPr>
          <w:rFonts w:ascii="Times New Roman" w:eastAsia="Times New Roman" w:hAnsi="Times New Roman" w:cs="Times New Roman"/>
          <w:sz w:val="20"/>
          <w:szCs w:val="20"/>
          <w:lang w:eastAsia="en-MY"/>
        </w:rPr>
        <w:t>: 0000-0002-1</w:t>
      </w:r>
      <w:r w:rsidRPr="00245B2C">
        <w:rPr>
          <w:rFonts w:ascii="Times New Roman" w:hAnsi="Times New Roman" w:cs="Times New Roman"/>
          <w:sz w:val="20"/>
          <w:szCs w:val="20"/>
        </w:rPr>
        <w:t>520-7042</w:t>
      </w:r>
    </w:p>
    <w:p w14:paraId="11E6FE6B" w14:textId="77777777" w:rsidR="007F7159" w:rsidRPr="00BE4AF3" w:rsidRDefault="007F7159" w:rsidP="007F7159">
      <w:pPr>
        <w:spacing w:after="0" w:line="240" w:lineRule="auto"/>
        <w:jc w:val="center"/>
        <w:rPr>
          <w:rFonts w:ascii="Times New Roman" w:hAnsi="Times New Roman" w:cs="Times New Roman"/>
          <w:bCs/>
          <w:sz w:val="24"/>
          <w:szCs w:val="24"/>
        </w:rPr>
      </w:pPr>
    </w:p>
    <w:p w14:paraId="65BAFE86" w14:textId="77777777" w:rsidR="007F7159" w:rsidRPr="00BE4AF3" w:rsidRDefault="007F7159" w:rsidP="007F7159">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LICFES 2025-046 – FP19</w:t>
      </w:r>
    </w:p>
    <w:p w14:paraId="51C34899" w14:textId="77777777" w:rsidR="007F7159" w:rsidRPr="00BE4AF3" w:rsidRDefault="007F7159" w:rsidP="007F7159">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Abstract</w:t>
      </w:r>
    </w:p>
    <w:p w14:paraId="4BC50154" w14:textId="77777777" w:rsidR="007F7159" w:rsidRPr="00BE4AF3" w:rsidRDefault="007F7159" w:rsidP="007F7159">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The built environment is essential to sustainability, urban resilience, and economic growth. This paper examines how innovation and sustainability are crucially intertwined in the construction industry. In light of global issues including resource depletion, climate change, and urbanization, the industry is facing mounting pressure to implement more socially and environmentally responsible practices. Innovation, which includes developments in digital technologies (e.g/ BIM, and AI), materials, construction techniques (like prefabrication and modular construction), and business models (like circular economy principles), is portrayed as the main force behind accomplishing these sustainability objectives. </w:t>
      </w:r>
      <w:r w:rsidRPr="00BE4AF3">
        <w:rPr>
          <w:rFonts w:ascii="Times New Roman" w:hAnsi="Times New Roman" w:cs="Times New Roman"/>
          <w:sz w:val="24"/>
          <w:szCs w:val="24"/>
        </w:rPr>
        <w:t xml:space="preserve">It highlights the benefits of integrating sustainability into construction practices, such as reduced environmental impact, improved occupant health, and increased economic efficiency. </w:t>
      </w:r>
      <w:r w:rsidRPr="00BE4AF3">
        <w:rPr>
          <w:rFonts w:ascii="Times New Roman" w:eastAsia="Times New Roman" w:hAnsi="Times New Roman" w:cs="Times New Roman"/>
          <w:sz w:val="24"/>
          <w:szCs w:val="24"/>
        </w:rPr>
        <w:t xml:space="preserve">Innovating solutions can result in less waste, less energy, less carbon footprints, more resource efficiency, and better building performance over the course of a building's existence, according to the abstract. It also covers the function of industrial </w:t>
      </w:r>
      <w:r w:rsidRPr="00BE4AF3">
        <w:rPr>
          <w:rFonts w:ascii="Times New Roman" w:hAnsi="Times New Roman" w:cs="Times New Roman"/>
          <w:sz w:val="24"/>
          <w:szCs w:val="24"/>
        </w:rPr>
        <w:t>collaboration</w:t>
      </w:r>
      <w:r w:rsidRPr="00BE4AF3">
        <w:rPr>
          <w:rFonts w:ascii="Times New Roman" w:eastAsia="Times New Roman" w:hAnsi="Times New Roman" w:cs="Times New Roman"/>
          <w:sz w:val="24"/>
          <w:szCs w:val="24"/>
        </w:rPr>
        <w:t xml:space="preserve">, stakeholder involvement, and policy frameworks in creating an atmosphere that supports the broad adoption of sustainable innovations. The ultimate goal is to show that the construction industry can become a more resilient, effective, and </w:t>
      </w:r>
      <w:r w:rsidRPr="00BE4AF3">
        <w:rPr>
          <w:rFonts w:ascii="Times New Roman" w:hAnsi="Times New Roman" w:cs="Times New Roman"/>
          <w:sz w:val="24"/>
          <w:szCs w:val="24"/>
        </w:rPr>
        <w:t>environmentally</w:t>
      </w:r>
      <w:r w:rsidRPr="00BE4AF3">
        <w:rPr>
          <w:rFonts w:ascii="Times New Roman" w:eastAsia="Times New Roman" w:hAnsi="Times New Roman" w:cs="Times New Roman"/>
          <w:sz w:val="24"/>
          <w:szCs w:val="24"/>
        </w:rPr>
        <w:t xml:space="preserve"> conscious sector by embracing and investing in innovation, thereby making a substantial contribution to a sustainable built environment for the future generations.</w:t>
      </w:r>
    </w:p>
    <w:p w14:paraId="5FD0D4FF" w14:textId="77777777" w:rsidR="007F7159" w:rsidRPr="00BE4AF3" w:rsidRDefault="007F7159" w:rsidP="007F7159">
      <w:pPr>
        <w:spacing w:after="0" w:line="240" w:lineRule="auto"/>
        <w:jc w:val="both"/>
        <w:rPr>
          <w:rFonts w:ascii="Times New Roman" w:eastAsia="Times New Roman" w:hAnsi="Times New Roman" w:cs="Times New Roman"/>
          <w:b/>
          <w:sz w:val="24"/>
          <w:szCs w:val="24"/>
        </w:rPr>
      </w:pPr>
    </w:p>
    <w:p w14:paraId="69882089" w14:textId="77777777" w:rsidR="007F7159" w:rsidRPr="00BE4AF3" w:rsidRDefault="007F7159" w:rsidP="007F7159">
      <w:pPr>
        <w:spacing w:after="0" w:line="240" w:lineRule="auto"/>
        <w:jc w:val="both"/>
        <w:rPr>
          <w:rFonts w:ascii="Times New Roman" w:hAnsi="Times New Roman" w:cs="Times New Roman"/>
          <w:sz w:val="24"/>
          <w:szCs w:val="24"/>
        </w:rPr>
      </w:pPr>
      <w:r w:rsidRPr="00BE4AF3">
        <w:rPr>
          <w:rFonts w:ascii="Times New Roman" w:eastAsia="Times New Roman" w:hAnsi="Times New Roman" w:cs="Times New Roman"/>
          <w:b/>
          <w:sz w:val="24"/>
          <w:szCs w:val="24"/>
        </w:rPr>
        <w:t>Keywords</w:t>
      </w:r>
      <w:r w:rsidRPr="00BE4AF3">
        <w:rPr>
          <w:rFonts w:ascii="Times New Roman" w:hAnsi="Times New Roman" w:cs="Times New Roman"/>
          <w:b/>
          <w:sz w:val="24"/>
          <w:szCs w:val="24"/>
        </w:rPr>
        <w:t xml:space="preserve">: </w:t>
      </w:r>
      <w:r w:rsidRPr="00BE4AF3">
        <w:rPr>
          <w:rFonts w:ascii="Times New Roman" w:eastAsia="Times New Roman" w:hAnsi="Times New Roman" w:cs="Times New Roman"/>
          <w:sz w:val="24"/>
          <w:szCs w:val="24"/>
        </w:rPr>
        <w:t xml:space="preserve">Innovation and sustainability, Resource depletion, Climate change, </w:t>
      </w:r>
      <w:r w:rsidRPr="00BE4AF3">
        <w:rPr>
          <w:rFonts w:ascii="Times New Roman" w:hAnsi="Times New Roman" w:cs="Times New Roman"/>
          <w:sz w:val="24"/>
          <w:szCs w:val="24"/>
        </w:rPr>
        <w:t>Occupant health</w:t>
      </w:r>
    </w:p>
    <w:p w14:paraId="2655292C" w14:textId="77777777" w:rsidR="007F7159" w:rsidRPr="00BE4AF3" w:rsidRDefault="007F7159" w:rsidP="000C7355">
      <w:pPr>
        <w:autoSpaceDE w:val="0"/>
        <w:autoSpaceDN w:val="0"/>
        <w:adjustRightInd w:val="0"/>
        <w:spacing w:after="0" w:line="240" w:lineRule="auto"/>
        <w:rPr>
          <w:rFonts w:ascii="Times New Roman" w:hAnsi="Times New Roman" w:cs="Times New Roman"/>
          <w:sz w:val="24"/>
          <w:szCs w:val="24"/>
        </w:rPr>
      </w:pPr>
    </w:p>
    <w:p w14:paraId="2C194B10" w14:textId="28F18A24" w:rsidR="00A226D9" w:rsidRPr="00BE4AF3" w:rsidRDefault="00A226D9" w:rsidP="00F80687">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Introduction</w:t>
      </w:r>
    </w:p>
    <w:p w14:paraId="616162A0" w14:textId="77777777" w:rsidR="00A226D9" w:rsidRPr="00BE4AF3" w:rsidRDefault="00A226D9" w:rsidP="00F80687">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In order to achieve sustainability, the construction industry must innovate by creating new, environmentally friendly materials, energy-efficient designs, and digital procedures like BIM and IoT that improve resource management, cut down on waste, and lessen their influence on the environment. Through creative solutions, this partnership enables the industry to address its significant carbon footprint and support global sustainable development goals by promoting social well-being, economic performance, and environmental protection. Green building is the process of creating environmentally friendly building materials that help reduce greenhouse gas emissions, water surplus, and energy use. It also involves reusing and recycling materials to create homes that are safe, clean, comfortable, and productive.</w:t>
      </w:r>
    </w:p>
    <w:p w14:paraId="70118EB4" w14:textId="77777777" w:rsidR="00A226D9" w:rsidRPr="00BE4AF3" w:rsidRDefault="00A226D9" w:rsidP="00245B2C">
      <w:pPr>
        <w:spacing w:after="0" w:line="240" w:lineRule="auto"/>
        <w:jc w:val="both"/>
        <w:rPr>
          <w:rFonts w:ascii="Times New Roman" w:eastAsia="Times New Roman" w:hAnsi="Times New Roman" w:cs="Times New Roman"/>
          <w:sz w:val="24"/>
          <w:szCs w:val="24"/>
        </w:rPr>
      </w:pPr>
      <w:r w:rsidRPr="00BE4AF3">
        <w:rPr>
          <w:rFonts w:ascii="Times New Roman" w:hAnsi="Times New Roman" w:cs="Times New Roman"/>
          <w:sz w:val="24"/>
          <w:szCs w:val="24"/>
        </w:rPr>
        <w:t xml:space="preserve">The Nigerian construction industry is one of the most vital contributors to the nation’s economic growth. </w:t>
      </w:r>
      <w:r w:rsidRPr="00BE4AF3">
        <w:rPr>
          <w:rFonts w:ascii="Times New Roman" w:eastAsia="Times New Roman" w:hAnsi="Times New Roman" w:cs="Times New Roman"/>
          <w:sz w:val="24"/>
          <w:szCs w:val="24"/>
        </w:rPr>
        <w:t xml:space="preserve">According to Ofori (2001), the construction industry uses a comprehensive system of linkages to promote the growth of other industries. Like in most developing nations, Nigeria's </w:t>
      </w:r>
      <w:r w:rsidRPr="00BE4AF3">
        <w:rPr>
          <w:rFonts w:ascii="Times New Roman" w:eastAsia="Times New Roman" w:hAnsi="Times New Roman" w:cs="Times New Roman"/>
          <w:sz w:val="24"/>
          <w:szCs w:val="24"/>
        </w:rPr>
        <w:lastRenderedPageBreak/>
        <w:t>construction sector plays a significant role in the nation's economic activity. About 60% of the country's capital investment and 30% of its GDP come from the construction sector, which also employs the second-highest number of workers in the country after the government, according to Saka (2022). In the Nigerian economy, the construction sector provided half of the total stock of fixed capital investment (Oladunrin et al., 2012).</w:t>
      </w:r>
    </w:p>
    <w:p w14:paraId="6C9C95E2" w14:textId="77777777" w:rsidR="00A226D9" w:rsidRPr="00BE4AF3" w:rsidRDefault="00A226D9" w:rsidP="00245B2C">
      <w:pPr>
        <w:spacing w:after="0" w:line="240" w:lineRule="auto"/>
        <w:jc w:val="both"/>
        <w:rPr>
          <w:rFonts w:ascii="Times New Roman" w:hAnsi="Times New Roman" w:cs="Times New Roman"/>
          <w:sz w:val="24"/>
          <w:szCs w:val="24"/>
        </w:rPr>
      </w:pPr>
      <w:r w:rsidRPr="00BE4AF3">
        <w:rPr>
          <w:rFonts w:ascii="Times New Roman" w:eastAsia="Times New Roman" w:hAnsi="Times New Roman" w:cs="Times New Roman"/>
          <w:sz w:val="24"/>
          <w:szCs w:val="24"/>
        </w:rPr>
        <w:t xml:space="preserve">According to Ifeyinwa Ijeoma Obianyo, et al. </w:t>
      </w:r>
      <w:r w:rsidRPr="00BE4AF3">
        <w:rPr>
          <w:rFonts w:ascii="Times New Roman" w:hAnsi="Times New Roman" w:cs="Times New Roman"/>
          <w:bCs/>
          <w:sz w:val="24"/>
          <w:szCs w:val="24"/>
        </w:rPr>
        <w:t xml:space="preserve">(2021), </w:t>
      </w:r>
      <w:r w:rsidRPr="00BE4AF3">
        <w:rPr>
          <w:rFonts w:ascii="Times New Roman" w:eastAsia="Times New Roman" w:hAnsi="Times New Roman" w:cs="Times New Roman"/>
          <w:sz w:val="24"/>
          <w:szCs w:val="24"/>
        </w:rPr>
        <w:t>the construction sector is a significant part of the Nigerian economy and is frequently seen as the engine of economic expansion; it generates around 4.0% of the country's GDP and employs around 25% of its labour force in Nigeria.</w:t>
      </w:r>
    </w:p>
    <w:p w14:paraId="4E2F011A" w14:textId="77777777" w:rsidR="00A226D9" w:rsidRPr="00BE4AF3" w:rsidRDefault="00A226D9" w:rsidP="00245B2C">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There is a significant multiplier impact of the building industry in both developed and emerging economies. According to </w:t>
      </w:r>
      <w:r w:rsidRPr="00BE4AF3">
        <w:rPr>
          <w:rFonts w:ascii="Times New Roman" w:hAnsi="Times New Roman" w:cs="Times New Roman"/>
          <w:sz w:val="24"/>
          <w:szCs w:val="24"/>
        </w:rPr>
        <w:t>Alaloul, et al.</w:t>
      </w:r>
      <w:r w:rsidRPr="00BE4AF3">
        <w:rPr>
          <w:rFonts w:ascii="Times New Roman" w:eastAsia="Times New Roman" w:hAnsi="Times New Roman" w:cs="Times New Roman"/>
          <w:sz w:val="24"/>
          <w:szCs w:val="24"/>
        </w:rPr>
        <w:t xml:space="preserve"> (2022), the construction industry's operations are critical to the socioeconomic development of any country because of its capacity to create jobs, foster strong sectoral ties, and support and advance economic growth, </w:t>
      </w:r>
      <w:r w:rsidRPr="00BE4AF3">
        <w:rPr>
          <w:rFonts w:ascii="Times New Roman" w:hAnsi="Times New Roman" w:cs="Times New Roman"/>
          <w:sz w:val="24"/>
          <w:szCs w:val="24"/>
        </w:rPr>
        <w:t xml:space="preserve">they argue, is a critical problem to the economic health of the nation </w:t>
      </w:r>
      <w:r w:rsidRPr="00BE4AF3">
        <w:rPr>
          <w:rFonts w:ascii="Times New Roman" w:hAnsi="Times New Roman" w:cs="Times New Roman"/>
          <w:bCs/>
          <w:sz w:val="24"/>
          <w:szCs w:val="24"/>
        </w:rPr>
        <w:t>(</w:t>
      </w:r>
      <w:r w:rsidRPr="00BE4AF3">
        <w:rPr>
          <w:rFonts w:ascii="Times New Roman" w:hAnsi="Times New Roman" w:cs="Times New Roman"/>
          <w:sz w:val="24"/>
          <w:szCs w:val="24"/>
        </w:rPr>
        <w:t>Ayeniyo and Oluwale, 2025</w:t>
      </w:r>
      <w:r w:rsidRPr="00BE4AF3">
        <w:rPr>
          <w:rFonts w:ascii="Times New Roman" w:hAnsi="Times New Roman" w:cs="Times New Roman"/>
          <w:bCs/>
          <w:sz w:val="24"/>
          <w:szCs w:val="24"/>
        </w:rPr>
        <w:t>).</w:t>
      </w:r>
      <w:r w:rsidRPr="00BE4AF3">
        <w:rPr>
          <w:rFonts w:ascii="Times New Roman" w:eastAsia="Times New Roman" w:hAnsi="Times New Roman" w:cs="Times New Roman"/>
          <w:sz w:val="24"/>
          <w:szCs w:val="24"/>
        </w:rPr>
        <w:t>.</w:t>
      </w:r>
    </w:p>
    <w:p w14:paraId="7C4A21FA" w14:textId="77777777" w:rsidR="00A226D9" w:rsidRPr="00BE4AF3" w:rsidRDefault="00A226D9" w:rsidP="00245B2C">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The construction industry is a major contributor to economic growth and development worldwide and serves as a litmus test for the health of any given country's economy. Any increase in construction inevitably results in an economic boom, and the opposite is true when construction activity is declining. According to Isa et al. (2013), the government may control the economy and raise a nation's GDP through construction projects. It confirms that 2% to 6% of the nation's employment needs are met by construction operations, with subsidiary activities contributing an additional 2% to 4% in developing nations. In developed nations, the percentage increases to 6% to 10% and 4% to 6%. According to </w:t>
      </w:r>
      <w:r w:rsidRPr="00BE4AF3">
        <w:rPr>
          <w:rFonts w:ascii="Times New Roman" w:hAnsi="Times New Roman" w:cs="Times New Roman"/>
          <w:sz w:val="24"/>
          <w:szCs w:val="24"/>
        </w:rPr>
        <w:t xml:space="preserve">Ezeokoli et al. </w:t>
      </w:r>
      <w:r w:rsidRPr="00BE4AF3">
        <w:rPr>
          <w:rFonts w:ascii="Times New Roman" w:eastAsia="Times New Roman" w:hAnsi="Times New Roman" w:cs="Times New Roman"/>
          <w:sz w:val="24"/>
          <w:szCs w:val="24"/>
        </w:rPr>
        <w:t xml:space="preserve"> (2021); </w:t>
      </w:r>
      <w:r w:rsidRPr="00BE4AF3">
        <w:rPr>
          <w:rFonts w:ascii="Times New Roman" w:hAnsi="Times New Roman" w:cs="Times New Roman"/>
          <w:sz w:val="24"/>
          <w:szCs w:val="24"/>
        </w:rPr>
        <w:t xml:space="preserve">Gerth, et al. (2025); Maarten De Groote and Marianne Lefever </w:t>
      </w:r>
      <w:r w:rsidRPr="00BE4AF3">
        <w:rPr>
          <w:rFonts w:ascii="Times New Roman" w:eastAsia="Times New Roman" w:hAnsi="Times New Roman" w:cs="Times New Roman"/>
          <w:sz w:val="24"/>
          <w:szCs w:val="24"/>
        </w:rPr>
        <w:t>(201</w:t>
      </w:r>
      <w:r w:rsidRPr="00BE4AF3">
        <w:rPr>
          <w:rFonts w:ascii="Times New Roman" w:hAnsi="Times New Roman" w:cs="Times New Roman"/>
          <w:sz w:val="24"/>
          <w:szCs w:val="24"/>
        </w:rPr>
        <w:t>6</w:t>
      </w:r>
      <w:r w:rsidRPr="00BE4AF3">
        <w:rPr>
          <w:rFonts w:ascii="Times New Roman" w:eastAsia="Times New Roman" w:hAnsi="Times New Roman" w:cs="Times New Roman"/>
          <w:sz w:val="24"/>
          <w:szCs w:val="24"/>
        </w:rPr>
        <w:t>), the building industry in Europe directly employed over 11 million people in 2011, making it the single largest contributor to employment in the EU during that year.</w:t>
      </w:r>
    </w:p>
    <w:p w14:paraId="4306645D" w14:textId="77777777" w:rsidR="00A226D9" w:rsidRPr="00BE4AF3" w:rsidRDefault="00A226D9" w:rsidP="00245B2C">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In addition to providing labour and GDP, Nigeria's construction industry also affects the knock-on effects that arise from establishing a construction site in a specific area. These effects may include selling building and construction materials to vendors, hiring both skilled and unskilled labourers, and selling food to local vendors. New developments in the design and construction of buildings and other civil works have been brought about by technological improvements. ICT highlights the industry's advancements, making them more apparent. Isa et al. (2013) noted that Nigeria's building and construction industry grew by 11.97% in 2009 and 12.09% in 2010, and that activities related to construction increased by 12.24% in 2010 compared to 11.97% in 2009</w:t>
      </w:r>
      <w:r w:rsidRPr="00BE4AF3">
        <w:rPr>
          <w:rFonts w:ascii="Times New Roman" w:hAnsi="Times New Roman" w:cs="Times New Roman"/>
          <w:sz w:val="24"/>
          <w:szCs w:val="24"/>
        </w:rPr>
        <w:t>. Construction contribution to the GDP ranges between 3% and 6% from independence to the 80’s before crumbling to about 1% over the last decades.</w:t>
      </w:r>
    </w:p>
    <w:p w14:paraId="67451707" w14:textId="77777777" w:rsidR="00A226D9" w:rsidRPr="00BE4AF3" w:rsidRDefault="00A226D9" w:rsidP="00245B2C">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Additionally, since Nigeria acquired independence until the 1980s, the construction sector's contribution to the GDP has varied between 3% and 6%, before falling to roughly 1% after that, according to Isa et al. (2013). However, Okoye et al. (2018) noted that the construction sector's GDP contribution increased from roughly 3% in 2012 to 3% in 2012 as a result of better budgeting execution and private sector involvement. NBS (2019) reports that the sector contributed 3.44% of real GDP in the fourth quarter of 2019, which was less than its 3.48% contribution in the same quarter the year before but more than the 3.01% contribution in the previous quarter. In 2019, 3.72% of real GDP came from the construction industry. In Q4 2019, the construction industry rose by 1.31%, up from 2.37% in Q3 and 2.05% in Q4 2018. The construction industry expanded by 1.81% in 2019 compared to 2.33% in 2018 and 1% in 2017 (NBS, 2019).</w:t>
      </w:r>
    </w:p>
    <w:p w14:paraId="60651496" w14:textId="77777777" w:rsidR="00FB0908" w:rsidRDefault="00FB0908" w:rsidP="00245B2C">
      <w:pPr>
        <w:spacing w:after="0" w:line="240" w:lineRule="auto"/>
        <w:rPr>
          <w:rFonts w:ascii="Times New Roman" w:hAnsi="Times New Roman" w:cs="Times New Roman"/>
          <w:b/>
          <w:sz w:val="24"/>
          <w:szCs w:val="24"/>
        </w:rPr>
      </w:pPr>
    </w:p>
    <w:p w14:paraId="71485DE2" w14:textId="77777777" w:rsidR="00FB0908" w:rsidRDefault="00FB0908" w:rsidP="00245B2C">
      <w:pPr>
        <w:spacing w:after="0" w:line="240" w:lineRule="auto"/>
        <w:rPr>
          <w:rFonts w:ascii="Times New Roman" w:hAnsi="Times New Roman" w:cs="Times New Roman"/>
          <w:b/>
          <w:sz w:val="24"/>
          <w:szCs w:val="24"/>
        </w:rPr>
      </w:pPr>
    </w:p>
    <w:p w14:paraId="6091602D" w14:textId="20D39D5B" w:rsidR="00A226D9" w:rsidRPr="00BE4AF3" w:rsidRDefault="00A226D9" w:rsidP="00245B2C">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lastRenderedPageBreak/>
        <w:t>Literature review</w:t>
      </w:r>
    </w:p>
    <w:p w14:paraId="4423891F" w14:textId="00469F4A" w:rsidR="00A226D9" w:rsidRPr="00BE4AF3" w:rsidRDefault="00A226D9" w:rsidP="00245B2C">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Awareness of Construction Innovation and Sustainability in Construction Industry</w:t>
      </w:r>
    </w:p>
    <w:p w14:paraId="22503DE2" w14:textId="77777777" w:rsidR="00A226D9" w:rsidRPr="00BE4AF3" w:rsidRDefault="00A226D9" w:rsidP="00245B2C">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Numerous studies on the awareness and implementation of green buildings have been carried out in various nations worldwide. Zhang, Haonan, Hewage, Kasun, Karunathilake, Hirushie, Feng, Haibo, and Sadiq, Rehan (2021) pointed out that the USA, Canada, Germany, and France in particular have high levels of awareness and adoption of the technology, while Darko et al. (2017) noted that many developed countries, particularly in Europe and North America, reported high levels of awareness and adoption.</w:t>
      </w:r>
    </w:p>
    <w:p w14:paraId="7B62D5D9" w14:textId="77777777" w:rsidR="00A226D9" w:rsidRPr="00BE4AF3" w:rsidRDefault="00A226D9" w:rsidP="00245B2C">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The awareness levels of various nations were emphasized by Madushika et al. (2023); the study also emphasized the energy-saving potential of applying energy-consumption technologies in Canada, such as lighting load reduction, heat recovery, daylighting, boiler efficiency economisers, and preheat upgrades, and claimed that the implementation of the aforementioned technologies saved 20% of energy consumption</w:t>
      </w:r>
      <w:r w:rsidRPr="00BE4AF3">
        <w:rPr>
          <w:rFonts w:ascii="Times New Roman" w:hAnsi="Times New Roman" w:cs="Times New Roman"/>
          <w:sz w:val="24"/>
          <w:szCs w:val="24"/>
        </w:rPr>
        <w:t xml:space="preserve">. </w:t>
      </w:r>
      <w:r w:rsidRPr="00BE4AF3">
        <w:rPr>
          <w:rFonts w:ascii="Times New Roman" w:eastAsia="Times New Roman" w:hAnsi="Times New Roman" w:cs="Times New Roman"/>
          <w:sz w:val="24"/>
          <w:szCs w:val="24"/>
        </w:rPr>
        <w:t>Furthermore, the study assessed the cost and energy-saving potential of applying various energy retrofitting technologies in Canada (e.g., changing the indoor temperature set point, decreasing infiltration, improving vertical wall thermal insulation, and replacing outdated boilers with condensation gas heaters). It came to the conclusion that the use of energy retrofitting technologies has a positive effect (i.e., 22% energy savings and an 11-year payback period).</w:t>
      </w:r>
    </w:p>
    <w:p w14:paraId="19B2E25E" w14:textId="77777777" w:rsidR="00A226D9" w:rsidRPr="00BE4AF3" w:rsidRDefault="00A226D9" w:rsidP="00245B2C">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Similar to this, the study evaluated the costs and benefits of some of the most widely used energy-green building technologies in the United States and demonstrated that the technologies (improved windows, insulating reflecting barriers, daylighting, lighting, and plugs for tenants, retrofitting of chiller plants, demand-controlled ventilation, and balanced direct digital controls) would save 38% of energy, or USD 22 million.</w:t>
      </w:r>
    </w:p>
    <w:p w14:paraId="7EA2DF6D" w14:textId="77777777" w:rsidR="00A226D9" w:rsidRPr="00BE4AF3" w:rsidRDefault="00A226D9" w:rsidP="00245B2C">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According to Madushika et al. (2023), green building measures account for 48–56% of energy savings in Greece. In Kuwait, insulating the wall and roof area, upgrading the glazing system, and reducing the area of windows contributes to a 24–47% reduction in energy consumption. Also, improvements to the building envelope, the use of passive systems and techniques, improvements to heating, cooling, and ventilation systems, and modifications to the lighting and utilization of daylight are some of the</w:t>
      </w:r>
    </w:p>
    <w:p w14:paraId="49624A0A" w14:textId="77777777" w:rsidR="00A226D9" w:rsidRPr="00BE4AF3" w:rsidRDefault="00A226D9" w:rsidP="00245B2C">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There is still a lack of knowledge and acceptance of green building technologies, according to research conducted in Africa, Asia, and other continents. According to Sundus, Saipol, and Ali (2021), the poor use of technology in Iraq was caused by building owners' and investors' ignorance of the advantages of green building. Che Husin, Mohd Zaki, and Abu Husain (2019) pointed out that although green building of existing buildings has been done in many developing Asia-Pacific countries, including China, Singapore, Australia, Japan, Korea, and New Zealand, the practices and implementation of green building measures are not widely used in Nigeria. According to Ejidike and Mewomo's (2022) review, green building acceptance, practices, and awareness are still low in developing countries. The main factors contributing to this development are a lack of technical expertise, a lack of capital investment, a lack of awareness, a lack of operation and maintenance support, limited financial support such as subsidies, low interest rates and tax reductions, and a long payback period.</w:t>
      </w:r>
    </w:p>
    <w:p w14:paraId="5ABF3BC5" w14:textId="77777777" w:rsidR="00A226D9" w:rsidRPr="00BE4AF3" w:rsidRDefault="00A226D9" w:rsidP="00245B2C">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Simpeh and Smallwood (2015) noted that, similar to Nigeria, the South African construction industry has seen a modest increase in the use of green building techniques. Constraints like conflicting building codes, industry professionals' sluggishness to change and risk aversion, fear of liability and lawsuits over the performance of new products and systems, a lack of experience, knowledge, and comprehension of how to apply ecology to construction design, and the lack of </w:t>
      </w:r>
      <w:r w:rsidRPr="00BE4AF3">
        <w:rPr>
          <w:rFonts w:ascii="Times New Roman" w:eastAsia="Times New Roman" w:hAnsi="Times New Roman" w:cs="Times New Roman"/>
          <w:sz w:val="24"/>
          <w:szCs w:val="24"/>
        </w:rPr>
        <w:lastRenderedPageBreak/>
        <w:t>environmental or financial benefits of certain green building approaches were all noted in the research. Inadequate cost data for green buildings, a lack of incentives to promote green building, societal and cultural resistance, and a restricted selection of green products and materials are further barriers</w:t>
      </w:r>
      <w:r w:rsidRPr="00BE4AF3">
        <w:rPr>
          <w:rFonts w:ascii="Times New Roman" w:hAnsi="Times New Roman" w:cs="Times New Roman"/>
          <w:sz w:val="24"/>
          <w:szCs w:val="24"/>
        </w:rPr>
        <w:t>, and delays in obtaining certification and permits for green buildings</w:t>
      </w:r>
      <w:r w:rsidRPr="00BE4AF3">
        <w:rPr>
          <w:rFonts w:ascii="Times New Roman" w:eastAsia="Times New Roman" w:hAnsi="Times New Roman" w:cs="Times New Roman"/>
          <w:sz w:val="24"/>
          <w:szCs w:val="24"/>
        </w:rPr>
        <w:t xml:space="preserve"> that have been identified.</w:t>
      </w:r>
      <w:r w:rsidRPr="00BE4AF3">
        <w:rPr>
          <w:rFonts w:ascii="Times New Roman" w:hAnsi="Times New Roman" w:cs="Times New Roman"/>
          <w:sz w:val="24"/>
          <w:szCs w:val="24"/>
        </w:rPr>
        <w:t xml:space="preserve"> </w:t>
      </w:r>
    </w:p>
    <w:p w14:paraId="7564E21C" w14:textId="77777777" w:rsidR="00A226D9" w:rsidRPr="00BE4AF3" w:rsidRDefault="00A226D9" w:rsidP="00245B2C">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According to Amoah and Smith (2022), South Africa and Nigeria have too few current residential buildings that use energy-efficient systems. According to the survey, this is due to a number of factors, including perceived excessive expense, ignorance, a lack of emphasis on green building, and a fear of how well their current structures will adapt to green building principles.</w:t>
      </w:r>
    </w:p>
    <w:p w14:paraId="3A433B71" w14:textId="77777777" w:rsidR="00A226D9" w:rsidRPr="00BE4AF3" w:rsidRDefault="00A226D9" w:rsidP="00245B2C">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According to Amuda-Yusuf et al. (2020), Nigeria has had a low level of knowledge and application of green building technology. Olaniyi (2017) demonstrated how green building technology was unintentionally incorporated into building construction in the past. The use of sustainable construction materials like earth, lumber, straw and stone to create straightforward, livable and reasonably priced homes at the time demonstrated that buildings could meet thermal comfort, greenery, beauty, environmental friendliness and economic worth.</w:t>
      </w:r>
      <w:r w:rsidRPr="00BE4AF3">
        <w:rPr>
          <w:rFonts w:ascii="Times New Roman" w:hAnsi="Times New Roman" w:cs="Times New Roman"/>
          <w:sz w:val="24"/>
          <w:szCs w:val="24"/>
        </w:rPr>
        <w:t xml:space="preserve"> The study noted that these materials were generally locally found, affordable, and environmentally friendly.</w:t>
      </w:r>
    </w:p>
    <w:p w14:paraId="404C2DDA" w14:textId="77777777" w:rsidR="00A226D9" w:rsidRPr="00BE4AF3" w:rsidRDefault="00A226D9" w:rsidP="00245B2C">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However, contemporary and stylish materials that exclusively reflect status and beauty have influenced building creation in society today. However, it noted that, like the rest of the globe, the building industry has started to return to sustainable building techniques. Nigeria is still in the awareness stage of green building, according to Omuh et al. (2018) and Amuda-Yusuf (2020), and the lack of awareness is one of the biggest obstacles to the adoption of green building by the Nigerian construction sector.</w:t>
      </w:r>
    </w:p>
    <w:p w14:paraId="36A7F8D1" w14:textId="77777777" w:rsidR="00FB0908" w:rsidRDefault="00FB0908" w:rsidP="00245B2C">
      <w:pPr>
        <w:spacing w:after="0" w:line="240" w:lineRule="auto"/>
        <w:rPr>
          <w:rFonts w:ascii="Times New Roman" w:hAnsi="Times New Roman" w:cs="Times New Roman"/>
          <w:b/>
          <w:sz w:val="24"/>
          <w:szCs w:val="24"/>
        </w:rPr>
      </w:pPr>
    </w:p>
    <w:p w14:paraId="4587C8D4" w14:textId="78963CD0" w:rsidR="00A226D9" w:rsidRPr="00BE4AF3" w:rsidRDefault="00A226D9" w:rsidP="00245B2C">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Methodology</w:t>
      </w:r>
    </w:p>
    <w:p w14:paraId="0530558B" w14:textId="77777777" w:rsidR="00A226D9" w:rsidRPr="00BE4AF3" w:rsidRDefault="00A226D9" w:rsidP="00245B2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One hundred (100) structured questionnaires were distributed to the target areas, for this study and the retrieve questionnaire was used for data analysis. The data collected from questionnaire survey and interviews was subjected to qualitative and quantitative. Data were obtained from both the primary and secondary sources which include interview, questionnaire, textbooks journal publications and internet facilities. Descriptive survey analysis, frequency table and percentages was used. The statistical tools used for this study include percentage, and mean to evaluate the construction innovation and sustainability in Nigeria. Relative Significance Index (RSI) were used to analyze the significant importance of the variables considered on a five (5) point Likert scale of 1 to 5. </w:t>
      </w:r>
    </w:p>
    <w:p w14:paraId="2A4E77E2" w14:textId="77777777" w:rsidR="00A226D9" w:rsidRPr="00BE4AF3" w:rsidRDefault="00A226D9" w:rsidP="00245B2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responses of the items on the questionnaire were obtained on a 5-point scale ranging from 1 to 5. ‘’Very High” were scored 5, ‘’High’’ were scored 4, </w:t>
      </w:r>
      <w:r w:rsidRPr="00BE4AF3">
        <w:rPr>
          <w:rFonts w:ascii="Times New Roman" w:hAnsi="Times New Roman" w:cs="Times New Roman"/>
          <w:sz w:val="24"/>
          <w:szCs w:val="24"/>
          <w:vertAlign w:val="superscript"/>
        </w:rPr>
        <w:t>‘’</w:t>
      </w:r>
      <w:r w:rsidRPr="00BE4AF3">
        <w:rPr>
          <w:rFonts w:ascii="Times New Roman" w:hAnsi="Times New Roman" w:cs="Times New Roman"/>
          <w:sz w:val="24"/>
          <w:szCs w:val="24"/>
        </w:rPr>
        <w:t xml:space="preserve">Average’’ were scored 3, ‘’Low’’ were scored 2 and ‘’Very Low’’ were scored 1. </w:t>
      </w:r>
    </w:p>
    <w:p w14:paraId="1F59F065" w14:textId="77777777" w:rsidR="00A226D9" w:rsidRPr="00BE4AF3" w:rsidRDefault="00A226D9" w:rsidP="00245B2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relative significance index ranking (RSI) was used for ranking of the factors studied. [22], Bakhray (2008) gave an equation that could be useful for determining Relative Significance Index (RSI) in prevalence data as This can be calculated using RSI formular:</w:t>
      </w:r>
    </w:p>
    <w:p w14:paraId="58681D9E" w14:textId="77777777" w:rsidR="00A226D9" w:rsidRPr="00BE4AF3" w:rsidRDefault="00A226D9" w:rsidP="00245B2C">
      <w:pPr>
        <w:spacing w:after="0" w:line="240" w:lineRule="auto"/>
        <w:jc w:val="center"/>
        <w:rPr>
          <w:rFonts w:ascii="Times New Roman" w:hAnsi="Times New Roman" w:cs="Times New Roman"/>
          <w:sz w:val="24"/>
          <w:szCs w:val="24"/>
        </w:rPr>
      </w:pPr>
      <m:oMathPara>
        <m:oMath>
          <m:r>
            <w:rPr>
              <w:rFonts w:ascii="Cambria Math" w:hAnsi="Cambria Math" w:cs="Times New Roman"/>
              <w:sz w:val="24"/>
              <w:szCs w:val="24"/>
            </w:rPr>
            <m:t>RSI</m:t>
          </m:r>
          <m:r>
            <m:rPr>
              <m:sty m:val="p"/>
            </m:rPr>
            <w:rPr>
              <w:rFonts w:ascii="Cambria Math" w:hAnsi="Cambria Math" w:cs="Times New Roman"/>
              <w:sz w:val="24"/>
              <w:szCs w:val="24"/>
              <w:vertAlign w:val="subscript"/>
            </w:rPr>
            <m:t>=</m:t>
          </m:r>
          <m:f>
            <m:fPr>
              <m:ctrlPr>
                <w:rPr>
                  <w:rFonts w:ascii="Cambria Math" w:hAnsi="Cambria Math" w:cs="Times New Roman"/>
                  <w:sz w:val="24"/>
                  <w:szCs w:val="24"/>
                  <w:vertAlign w:val="subscript"/>
                </w:rPr>
              </m:ctrlPr>
            </m:fPr>
            <m:num>
              <m:sSub>
                <m:sSubPr>
                  <m:ctrlPr>
                    <w:rPr>
                      <w:rFonts w:ascii="Cambria Math" w:hAnsi="Cambria Math" w:cs="Times New Roman"/>
                      <w:i/>
                      <w:sz w:val="24"/>
                      <w:szCs w:val="24"/>
                      <w:vertAlign w:val="subscript"/>
                    </w:rPr>
                  </m:ctrlPr>
                </m:sSubPr>
                <m:e>
                  <m:r>
                    <m:rPr>
                      <m:sty m:val="p"/>
                    </m:rPr>
                    <w:rPr>
                      <w:rFonts w:ascii="Cambria Math" w:eastAsia="Times New Roman" w:hAnsi="Cambria Math" w:cs="Times New Roman"/>
                      <w:sz w:val="24"/>
                      <w:szCs w:val="24"/>
                    </w:rPr>
                    <m:t>∑</m:t>
                  </m:r>
                </m:e>
                <m:sub>
                  <m:r>
                    <w:rPr>
                      <w:rFonts w:ascii="Cambria Math" w:hAnsi="Cambria Math" w:cs="Times New Roman"/>
                      <w:sz w:val="24"/>
                      <w:szCs w:val="24"/>
                      <w:vertAlign w:val="subscript"/>
                    </w:rPr>
                    <m:t>w</m:t>
                  </m:r>
                </m:sub>
              </m:sSub>
            </m:num>
            <m:den>
              <m:r>
                <w:rPr>
                  <w:rFonts w:ascii="Cambria Math" w:hAnsi="Cambria Math" w:cs="Times New Roman"/>
                  <w:sz w:val="24"/>
                  <w:szCs w:val="24"/>
                  <w:vertAlign w:val="subscript"/>
                </w:rPr>
                <m:t>AN</m:t>
              </m:r>
            </m:den>
          </m:f>
          <m:r>
            <m:rPr>
              <m:sty m:val="p"/>
            </m:rPr>
            <w:rPr>
              <w:rFonts w:ascii="Cambria Math" w:hAnsi="Cambria Math" w:cs="Times New Roman"/>
              <w:sz w:val="24"/>
              <w:szCs w:val="24"/>
              <w:vertAlign w:val="subscript"/>
            </w:rPr>
            <m:t>=</m:t>
          </m:r>
          <m:f>
            <m:fPr>
              <m:ctrlPr>
                <w:rPr>
                  <w:rFonts w:ascii="Cambria Math" w:hAnsi="Cambria Math" w:cs="Times New Roman"/>
                  <w:sz w:val="24"/>
                  <w:szCs w:val="24"/>
                  <w:vertAlign w:val="subscript"/>
                </w:rPr>
              </m:ctrlPr>
            </m:fPr>
            <m:num>
              <m:sSub>
                <m:sSubPr>
                  <m:ctrlPr>
                    <w:rPr>
                      <w:rFonts w:ascii="Cambria Math" w:hAnsi="Cambria Math" w:cs="Times New Roman"/>
                      <w:i/>
                      <w:sz w:val="24"/>
                      <w:szCs w:val="24"/>
                      <w:vertAlign w:val="subscript"/>
                    </w:rPr>
                  </m:ctrlPr>
                </m:sSubPr>
                <m:e>
                  <m:r>
                    <m:rPr>
                      <m:sty m:val="p"/>
                    </m:rPr>
                    <w:rPr>
                      <w:rFonts w:ascii="Cambria Math" w:hAnsi="Cambria Math" w:cs="Times New Roman"/>
                      <w:sz w:val="24"/>
                      <w:szCs w:val="24"/>
                      <w:vertAlign w:val="subscript"/>
                    </w:rPr>
                    <m:t>5</m:t>
                  </m:r>
                </m:e>
                <m:sub>
                  <m:r>
                    <w:rPr>
                      <w:rFonts w:ascii="Cambria Math" w:hAnsi="Cambria Math" w:cs="Times New Roman"/>
                      <w:sz w:val="24"/>
                      <w:szCs w:val="24"/>
                      <w:vertAlign w:val="subscript"/>
                    </w:rPr>
                    <m:t>n</m:t>
                  </m:r>
                  <m:r>
                    <m:rPr>
                      <m:sty m:val="p"/>
                    </m:rPr>
                    <w:rPr>
                      <w:rFonts w:ascii="Cambria Math" w:hAnsi="Cambria Math" w:cs="Times New Roman"/>
                      <w:sz w:val="24"/>
                      <w:szCs w:val="24"/>
                      <w:vertAlign w:val="subscript"/>
                    </w:rPr>
                    <m:t>5</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4</m:t>
                  </m:r>
                </m:e>
                <m:sub>
                  <m:r>
                    <w:rPr>
                      <w:rFonts w:ascii="Cambria Math" w:hAnsi="Cambria Math" w:cs="Times New Roman"/>
                      <w:sz w:val="24"/>
                      <w:szCs w:val="24"/>
                    </w:rPr>
                    <m:t>n4</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3</m:t>
                  </m:r>
                </m:e>
                <m:sub>
                  <m:r>
                    <w:rPr>
                      <w:rFonts w:ascii="Cambria Math" w:hAnsi="Cambria Math" w:cs="Times New Roman"/>
                      <w:sz w:val="24"/>
                      <w:szCs w:val="24"/>
                    </w:rPr>
                    <m:t>n3</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2</m:t>
                  </m:r>
                </m:e>
                <m:sub>
                  <m:r>
                    <w:rPr>
                      <w:rFonts w:ascii="Cambria Math" w:hAnsi="Cambria Math" w:cs="Times New Roman"/>
                      <w:sz w:val="24"/>
                      <w:szCs w:val="24"/>
                    </w:rPr>
                    <m:t>n2</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1</m:t>
                  </m:r>
                </m:e>
                <m:sub>
                  <m:r>
                    <w:rPr>
                      <w:rFonts w:ascii="Cambria Math" w:hAnsi="Cambria Math" w:cs="Times New Roman"/>
                      <w:sz w:val="24"/>
                      <w:szCs w:val="24"/>
                    </w:rPr>
                    <m:t>n1</m:t>
                  </m:r>
                </m:sub>
              </m:sSub>
            </m:num>
            <m:den>
              <m:r>
                <m:rPr>
                  <m:sty m:val="p"/>
                </m:rPr>
                <w:rPr>
                  <w:rFonts w:ascii="Cambria Math" w:eastAsia="Times New Roman" w:hAnsi="Cambria Math" w:cs="Times New Roman"/>
                  <w:sz w:val="24"/>
                  <w:szCs w:val="24"/>
                </w:rPr>
                <m:t>5N</m:t>
              </m:r>
            </m:den>
          </m:f>
        </m:oMath>
      </m:oMathPara>
    </w:p>
    <w:p w14:paraId="2D4528D1" w14:textId="212906A5" w:rsidR="00A226D9" w:rsidRPr="00BE4AF3" w:rsidRDefault="00A226D9" w:rsidP="00245B2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Where </w:t>
      </w:r>
      <m:oMath>
        <m:sSub>
          <m:sSubPr>
            <m:ctrlPr>
              <w:rPr>
                <w:rFonts w:ascii="Cambria Math" w:hAnsi="Cambria Math" w:cs="Times New Roman"/>
                <w:i/>
                <w:sz w:val="24"/>
                <w:szCs w:val="24"/>
                <w:vertAlign w:val="subscript"/>
              </w:rPr>
            </m:ctrlPr>
          </m:sSubPr>
          <m:e>
            <m:r>
              <m:rPr>
                <m:sty m:val="p"/>
              </m:rPr>
              <w:rPr>
                <w:rFonts w:ascii="Cambria Math" w:eastAsia="Times New Roman" w:hAnsi="Cambria Math" w:cs="Times New Roman"/>
                <w:sz w:val="24"/>
                <w:szCs w:val="24"/>
              </w:rPr>
              <m:t>∑</m:t>
            </m:r>
          </m:e>
          <m:sub>
            <m:r>
              <w:rPr>
                <w:rFonts w:ascii="Cambria Math" w:hAnsi="Cambria Math" w:cs="Times New Roman"/>
                <w:sz w:val="24"/>
                <w:szCs w:val="24"/>
                <w:vertAlign w:val="subscript"/>
              </w:rPr>
              <m:t>w</m:t>
            </m:r>
          </m:sub>
        </m:sSub>
      </m:oMath>
      <w:r w:rsidRPr="00BE4AF3">
        <w:rPr>
          <w:rFonts w:ascii="Times New Roman" w:hAnsi="Times New Roman" w:cs="Times New Roman"/>
          <w:sz w:val="24"/>
          <w:szCs w:val="24"/>
        </w:rPr>
        <w:t xml:space="preserve"> is the weighting </w:t>
      </w:r>
      <w:r w:rsidRPr="00BE4AF3">
        <w:rPr>
          <w:rFonts w:ascii="Times New Roman" w:eastAsia="Times New Roman" w:hAnsi="Times New Roman" w:cs="Times New Roman"/>
          <w:sz w:val="24"/>
          <w:szCs w:val="24"/>
        </w:rPr>
        <w:t xml:space="preserve">as assigned on Likert’s scale by each </w:t>
      </w:r>
      <w:r w:rsidR="00FB0908" w:rsidRPr="00BE4AF3">
        <w:rPr>
          <w:rFonts w:ascii="Times New Roman" w:eastAsia="Times New Roman" w:hAnsi="Times New Roman" w:cs="Times New Roman"/>
          <w:sz w:val="24"/>
          <w:szCs w:val="24"/>
        </w:rPr>
        <w:t>respondent</w:t>
      </w:r>
      <w:r w:rsidR="00FB0908" w:rsidRPr="00BE4AF3">
        <w:rPr>
          <w:rFonts w:ascii="Times New Roman" w:hAnsi="Times New Roman" w:cs="Times New Roman"/>
          <w:sz w:val="24"/>
          <w:szCs w:val="24"/>
        </w:rPr>
        <w:t>.</w:t>
      </w:r>
    </w:p>
    <w:p w14:paraId="513B9B6A" w14:textId="77777777" w:rsidR="00A226D9" w:rsidRPr="00BE4AF3" w:rsidRDefault="00A226D9" w:rsidP="00245B2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b/>
      </w:r>
      <w:r w:rsidRPr="00BE4AF3">
        <w:rPr>
          <w:rFonts w:ascii="Times New Roman" w:hAnsi="Times New Roman" w:cs="Times New Roman"/>
          <w:sz w:val="24"/>
          <w:szCs w:val="24"/>
        </w:rPr>
        <w:tab/>
        <w:t xml:space="preserve">A is the highest weight (i.e. 5 in this case); </w:t>
      </w:r>
    </w:p>
    <w:p w14:paraId="76C601E7" w14:textId="77777777" w:rsidR="00A226D9" w:rsidRPr="00BE4AF3" w:rsidRDefault="00A226D9" w:rsidP="00245B2C">
      <w:pPr>
        <w:spacing w:after="0" w:line="240" w:lineRule="auto"/>
        <w:ind w:left="720" w:firstLine="720"/>
        <w:jc w:val="both"/>
        <w:rPr>
          <w:rFonts w:ascii="Times New Roman" w:hAnsi="Times New Roman" w:cs="Times New Roman"/>
          <w:sz w:val="24"/>
          <w:szCs w:val="24"/>
        </w:rPr>
      </w:pPr>
      <w:r w:rsidRPr="00BE4AF3">
        <w:rPr>
          <w:rFonts w:ascii="Times New Roman" w:hAnsi="Times New Roman" w:cs="Times New Roman"/>
          <w:sz w:val="24"/>
          <w:szCs w:val="24"/>
        </w:rPr>
        <w:t>N is the total number of respondents</w:t>
      </w:r>
    </w:p>
    <w:p w14:paraId="2404FF29" w14:textId="77777777" w:rsidR="00FB0908" w:rsidRDefault="00FB0908" w:rsidP="00245B2C">
      <w:pPr>
        <w:spacing w:after="0" w:line="240" w:lineRule="auto"/>
        <w:jc w:val="both"/>
        <w:rPr>
          <w:rFonts w:ascii="Times New Roman" w:hAnsi="Times New Roman" w:cs="Times New Roman"/>
          <w:b/>
          <w:sz w:val="24"/>
          <w:szCs w:val="24"/>
        </w:rPr>
      </w:pPr>
    </w:p>
    <w:p w14:paraId="7843A562" w14:textId="77777777" w:rsidR="00FB0908" w:rsidRDefault="00FB0908" w:rsidP="00245B2C">
      <w:pPr>
        <w:spacing w:after="0" w:line="240" w:lineRule="auto"/>
        <w:jc w:val="both"/>
        <w:rPr>
          <w:rFonts w:ascii="Times New Roman" w:hAnsi="Times New Roman" w:cs="Times New Roman"/>
          <w:b/>
          <w:sz w:val="24"/>
          <w:szCs w:val="24"/>
        </w:rPr>
      </w:pPr>
    </w:p>
    <w:p w14:paraId="2543F74D" w14:textId="6EBD8928" w:rsidR="00A226D9" w:rsidRPr="00BE4AF3" w:rsidRDefault="00A226D9" w:rsidP="00245B2C">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lastRenderedPageBreak/>
        <w:t xml:space="preserve">Data analysis and results </w:t>
      </w:r>
    </w:p>
    <w:p w14:paraId="3B730C88" w14:textId="77777777" w:rsidR="00A226D9" w:rsidRPr="00BE4AF3" w:rsidRDefault="00A226D9" w:rsidP="00245B2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data were presented using tables for clarification and better interpretation. The analysis tools included both descriptive and inferential statistics.</w:t>
      </w:r>
    </w:p>
    <w:p w14:paraId="6933BFCD" w14:textId="77777777" w:rsidR="00FB0908" w:rsidRDefault="00FB0908" w:rsidP="00245B2C">
      <w:pPr>
        <w:spacing w:after="0" w:line="240" w:lineRule="auto"/>
        <w:jc w:val="both"/>
        <w:rPr>
          <w:rFonts w:ascii="Times New Roman" w:hAnsi="Times New Roman" w:cs="Times New Roman"/>
          <w:b/>
          <w:sz w:val="24"/>
          <w:szCs w:val="24"/>
        </w:rPr>
      </w:pPr>
    </w:p>
    <w:p w14:paraId="47B482CA" w14:textId="19A97CA7" w:rsidR="00A226D9" w:rsidRPr="00BE4AF3" w:rsidRDefault="00FB0908" w:rsidP="00245B2C">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Respondents’ Profile</w:t>
      </w:r>
    </w:p>
    <w:p w14:paraId="730A60DD" w14:textId="77777777" w:rsidR="00A226D9" w:rsidRPr="00FB0908" w:rsidRDefault="00A226D9" w:rsidP="00245B2C">
      <w:pPr>
        <w:spacing w:after="0" w:line="240" w:lineRule="auto"/>
        <w:ind w:left="2160" w:firstLine="720"/>
        <w:jc w:val="both"/>
        <w:rPr>
          <w:rFonts w:ascii="Times New Roman" w:hAnsi="Times New Roman" w:cs="Times New Roman"/>
          <w:sz w:val="24"/>
          <w:szCs w:val="24"/>
        </w:rPr>
      </w:pPr>
      <w:r w:rsidRPr="00BE4AF3">
        <w:rPr>
          <w:rFonts w:ascii="Times New Roman" w:hAnsi="Times New Roman" w:cs="Times New Roman"/>
          <w:b/>
          <w:sz w:val="24"/>
          <w:szCs w:val="24"/>
        </w:rPr>
        <w:t xml:space="preserve">Table 1: </w:t>
      </w:r>
      <w:r w:rsidRPr="00FB0908">
        <w:rPr>
          <w:rFonts w:ascii="Times New Roman" w:hAnsi="Times New Roman" w:cs="Times New Roman"/>
          <w:sz w:val="24"/>
          <w:szCs w:val="24"/>
        </w:rPr>
        <w:t>Sex</w:t>
      </w:r>
    </w:p>
    <w:tbl>
      <w:tblPr>
        <w:tblStyle w:val="ListTable6Colorful"/>
        <w:tblW w:w="0" w:type="auto"/>
        <w:jc w:val="center"/>
        <w:tblLook w:val="04A0" w:firstRow="1" w:lastRow="0" w:firstColumn="1" w:lastColumn="0" w:noHBand="0" w:noVBand="1"/>
      </w:tblPr>
      <w:tblGrid>
        <w:gridCol w:w="3108"/>
        <w:gridCol w:w="2279"/>
        <w:gridCol w:w="2264"/>
      </w:tblGrid>
      <w:tr w:rsidR="00A226D9" w:rsidRPr="00FB0908" w14:paraId="7565C4D0" w14:textId="77777777" w:rsidTr="00FB090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08" w:type="dxa"/>
          </w:tcPr>
          <w:p w14:paraId="7032E42F" w14:textId="77777777" w:rsidR="00A226D9" w:rsidRPr="00FB0908" w:rsidRDefault="00A226D9" w:rsidP="00245B2C">
            <w:pPr>
              <w:spacing w:after="0" w:line="240" w:lineRule="auto"/>
              <w:jc w:val="both"/>
              <w:rPr>
                <w:rFonts w:ascii="Times New Roman" w:hAnsi="Times New Roman" w:cs="Times New Roman"/>
                <w:b w:val="0"/>
                <w:sz w:val="20"/>
                <w:szCs w:val="20"/>
              </w:rPr>
            </w:pPr>
            <w:r w:rsidRPr="00FB0908">
              <w:rPr>
                <w:rFonts w:ascii="Times New Roman" w:hAnsi="Times New Roman" w:cs="Times New Roman"/>
                <w:sz w:val="20"/>
                <w:szCs w:val="20"/>
              </w:rPr>
              <w:t>Sex</w:t>
            </w:r>
          </w:p>
        </w:tc>
        <w:tc>
          <w:tcPr>
            <w:tcW w:w="2279" w:type="dxa"/>
          </w:tcPr>
          <w:p w14:paraId="6B68E079" w14:textId="77777777" w:rsidR="00A226D9" w:rsidRPr="00FB0908" w:rsidRDefault="00A226D9" w:rsidP="00245B2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FB0908">
              <w:rPr>
                <w:rFonts w:ascii="Times New Roman" w:hAnsi="Times New Roman" w:cs="Times New Roman"/>
                <w:b w:val="0"/>
                <w:bCs w:val="0"/>
                <w:sz w:val="20"/>
                <w:szCs w:val="20"/>
              </w:rPr>
              <w:t>Frequency</w:t>
            </w:r>
          </w:p>
        </w:tc>
        <w:tc>
          <w:tcPr>
            <w:tcW w:w="2264" w:type="dxa"/>
          </w:tcPr>
          <w:p w14:paraId="31787679" w14:textId="77777777" w:rsidR="00A226D9" w:rsidRPr="00FB0908" w:rsidRDefault="00A226D9" w:rsidP="00245B2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FB0908">
              <w:rPr>
                <w:rFonts w:ascii="Times New Roman" w:hAnsi="Times New Roman" w:cs="Times New Roman"/>
                <w:b w:val="0"/>
                <w:bCs w:val="0"/>
                <w:sz w:val="20"/>
                <w:szCs w:val="20"/>
              </w:rPr>
              <w:t>Percentage (%)</w:t>
            </w:r>
          </w:p>
        </w:tc>
      </w:tr>
      <w:tr w:rsidR="00A226D9" w:rsidRPr="00FB0908" w14:paraId="4F3D76B5" w14:textId="77777777" w:rsidTr="00FB09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08" w:type="dxa"/>
          </w:tcPr>
          <w:p w14:paraId="5C3C5CFE" w14:textId="77777777" w:rsidR="00A226D9" w:rsidRPr="00FB0908" w:rsidRDefault="00A226D9" w:rsidP="00245B2C">
            <w:pPr>
              <w:spacing w:after="0" w:line="240" w:lineRule="auto"/>
              <w:jc w:val="both"/>
              <w:rPr>
                <w:rFonts w:ascii="Times New Roman" w:hAnsi="Times New Roman" w:cs="Times New Roman"/>
                <w:b w:val="0"/>
                <w:bCs w:val="0"/>
                <w:sz w:val="20"/>
                <w:szCs w:val="20"/>
              </w:rPr>
            </w:pPr>
            <w:r w:rsidRPr="00FB0908">
              <w:rPr>
                <w:rFonts w:ascii="Times New Roman" w:hAnsi="Times New Roman" w:cs="Times New Roman"/>
                <w:b w:val="0"/>
                <w:bCs w:val="0"/>
                <w:sz w:val="20"/>
                <w:szCs w:val="20"/>
              </w:rPr>
              <w:t>Male</w:t>
            </w:r>
          </w:p>
        </w:tc>
        <w:tc>
          <w:tcPr>
            <w:tcW w:w="2279" w:type="dxa"/>
          </w:tcPr>
          <w:p w14:paraId="12C858D0" w14:textId="77777777" w:rsidR="00A226D9" w:rsidRPr="00FB0908" w:rsidRDefault="00A226D9" w:rsidP="00245B2C">
            <w:pPr>
              <w:tabs>
                <w:tab w:val="center" w:pos="1454"/>
              </w:tabs>
              <w:spacing w:after="0" w:line="240" w:lineRule="auto"/>
              <w:ind w:left="60" w:right="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70</w:t>
            </w:r>
            <w:r w:rsidRPr="00FB0908">
              <w:rPr>
                <w:rFonts w:ascii="Times New Roman" w:hAnsi="Times New Roman" w:cs="Times New Roman"/>
                <w:sz w:val="20"/>
                <w:szCs w:val="20"/>
              </w:rPr>
              <w:tab/>
            </w:r>
          </w:p>
        </w:tc>
        <w:tc>
          <w:tcPr>
            <w:tcW w:w="2264" w:type="dxa"/>
          </w:tcPr>
          <w:p w14:paraId="2B03E38E" w14:textId="77777777" w:rsidR="00A226D9" w:rsidRPr="00FB0908" w:rsidRDefault="00A226D9" w:rsidP="00245B2C">
            <w:pPr>
              <w:spacing w:after="0" w:line="240" w:lineRule="auto"/>
              <w:ind w:left="60" w:right="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70</w:t>
            </w:r>
          </w:p>
        </w:tc>
      </w:tr>
      <w:tr w:rsidR="00A226D9" w:rsidRPr="00FB0908" w14:paraId="6F5706A3" w14:textId="77777777" w:rsidTr="00FB0908">
        <w:trPr>
          <w:jc w:val="center"/>
        </w:trPr>
        <w:tc>
          <w:tcPr>
            <w:cnfStyle w:val="001000000000" w:firstRow="0" w:lastRow="0" w:firstColumn="1" w:lastColumn="0" w:oddVBand="0" w:evenVBand="0" w:oddHBand="0" w:evenHBand="0" w:firstRowFirstColumn="0" w:firstRowLastColumn="0" w:lastRowFirstColumn="0" w:lastRowLastColumn="0"/>
            <w:tcW w:w="3108" w:type="dxa"/>
          </w:tcPr>
          <w:p w14:paraId="03FFD978" w14:textId="77777777" w:rsidR="00A226D9" w:rsidRPr="00FB0908" w:rsidRDefault="00A226D9" w:rsidP="00245B2C">
            <w:pPr>
              <w:spacing w:after="0" w:line="240" w:lineRule="auto"/>
              <w:jc w:val="both"/>
              <w:rPr>
                <w:rFonts w:ascii="Times New Roman" w:hAnsi="Times New Roman" w:cs="Times New Roman"/>
                <w:b w:val="0"/>
                <w:bCs w:val="0"/>
                <w:sz w:val="20"/>
                <w:szCs w:val="20"/>
              </w:rPr>
            </w:pPr>
            <w:r w:rsidRPr="00FB0908">
              <w:rPr>
                <w:rFonts w:ascii="Times New Roman" w:hAnsi="Times New Roman" w:cs="Times New Roman"/>
                <w:b w:val="0"/>
                <w:bCs w:val="0"/>
                <w:sz w:val="20"/>
                <w:szCs w:val="20"/>
              </w:rPr>
              <w:t>Female</w:t>
            </w:r>
          </w:p>
        </w:tc>
        <w:tc>
          <w:tcPr>
            <w:tcW w:w="2279" w:type="dxa"/>
          </w:tcPr>
          <w:p w14:paraId="094690A9" w14:textId="77777777" w:rsidR="00A226D9" w:rsidRPr="00FB0908" w:rsidRDefault="00A226D9" w:rsidP="00245B2C">
            <w:pPr>
              <w:spacing w:after="0" w:line="240" w:lineRule="auto"/>
              <w:ind w:left="60" w:right="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30</w:t>
            </w:r>
          </w:p>
        </w:tc>
        <w:tc>
          <w:tcPr>
            <w:tcW w:w="2264" w:type="dxa"/>
          </w:tcPr>
          <w:p w14:paraId="7328627B" w14:textId="77777777" w:rsidR="00A226D9" w:rsidRPr="00FB0908" w:rsidRDefault="00A226D9" w:rsidP="00245B2C">
            <w:pPr>
              <w:spacing w:after="0" w:line="240" w:lineRule="auto"/>
              <w:ind w:left="60" w:right="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30</w:t>
            </w:r>
          </w:p>
        </w:tc>
      </w:tr>
      <w:tr w:rsidR="00A226D9" w:rsidRPr="00FB0908" w14:paraId="0B9241EB" w14:textId="77777777" w:rsidTr="00FB09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08" w:type="dxa"/>
          </w:tcPr>
          <w:p w14:paraId="78A68217" w14:textId="77777777" w:rsidR="00A226D9" w:rsidRPr="00FB0908" w:rsidRDefault="00A226D9" w:rsidP="00245B2C">
            <w:pPr>
              <w:spacing w:after="0" w:line="240" w:lineRule="auto"/>
              <w:jc w:val="both"/>
              <w:rPr>
                <w:rFonts w:ascii="Times New Roman" w:hAnsi="Times New Roman" w:cs="Times New Roman"/>
                <w:sz w:val="20"/>
                <w:szCs w:val="20"/>
              </w:rPr>
            </w:pPr>
            <w:r w:rsidRPr="00FB0908">
              <w:rPr>
                <w:rFonts w:ascii="Times New Roman" w:hAnsi="Times New Roman" w:cs="Times New Roman"/>
                <w:sz w:val="20"/>
                <w:szCs w:val="20"/>
              </w:rPr>
              <w:t>Total</w:t>
            </w:r>
          </w:p>
        </w:tc>
        <w:tc>
          <w:tcPr>
            <w:tcW w:w="2279" w:type="dxa"/>
          </w:tcPr>
          <w:p w14:paraId="26D99555"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FB0908">
              <w:rPr>
                <w:rFonts w:ascii="Times New Roman" w:hAnsi="Times New Roman" w:cs="Times New Roman"/>
                <w:b/>
                <w:bCs/>
                <w:sz w:val="20"/>
                <w:szCs w:val="20"/>
              </w:rPr>
              <w:t>100</w:t>
            </w:r>
          </w:p>
        </w:tc>
        <w:tc>
          <w:tcPr>
            <w:tcW w:w="2264" w:type="dxa"/>
          </w:tcPr>
          <w:p w14:paraId="0442A3CA"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FB0908">
              <w:rPr>
                <w:rFonts w:ascii="Times New Roman" w:hAnsi="Times New Roman" w:cs="Times New Roman"/>
                <w:b/>
                <w:bCs/>
                <w:sz w:val="20"/>
                <w:szCs w:val="20"/>
              </w:rPr>
              <w:t>100.00</w:t>
            </w:r>
          </w:p>
        </w:tc>
      </w:tr>
    </w:tbl>
    <w:p w14:paraId="2AD9A53D" w14:textId="3DF0B0EC" w:rsidR="00A226D9" w:rsidRPr="00BE4AF3" w:rsidRDefault="00A226D9" w:rsidP="00245B2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Table 1 showed the gender of the respondents. It showed that seventy percent (70%) are male, and thirty percent (30%) are female. The result shows the representation of genders in the construction industry in the study area.</w:t>
      </w:r>
    </w:p>
    <w:p w14:paraId="7AA4D020" w14:textId="77777777" w:rsidR="00A226D9" w:rsidRPr="00BE4AF3" w:rsidRDefault="00A226D9" w:rsidP="00245B2C">
      <w:pPr>
        <w:spacing w:after="0" w:line="240" w:lineRule="auto"/>
        <w:ind w:left="2160" w:firstLine="720"/>
        <w:jc w:val="both"/>
        <w:rPr>
          <w:rFonts w:ascii="Times New Roman" w:hAnsi="Times New Roman" w:cs="Times New Roman"/>
          <w:b/>
          <w:sz w:val="24"/>
          <w:szCs w:val="24"/>
        </w:rPr>
      </w:pPr>
      <w:r w:rsidRPr="00BE4AF3">
        <w:rPr>
          <w:rFonts w:ascii="Times New Roman" w:hAnsi="Times New Roman" w:cs="Times New Roman"/>
          <w:b/>
          <w:sz w:val="24"/>
          <w:szCs w:val="24"/>
        </w:rPr>
        <w:t xml:space="preserve">Table 2: </w:t>
      </w:r>
      <w:r w:rsidRPr="00FB0908">
        <w:rPr>
          <w:rFonts w:ascii="Times New Roman" w:hAnsi="Times New Roman" w:cs="Times New Roman"/>
          <w:sz w:val="24"/>
          <w:szCs w:val="24"/>
        </w:rPr>
        <w:t>Questionnaire distribution</w:t>
      </w:r>
    </w:p>
    <w:tbl>
      <w:tblPr>
        <w:tblStyle w:val="ListTable6Colorful"/>
        <w:tblW w:w="0" w:type="auto"/>
        <w:jc w:val="center"/>
        <w:tblLook w:val="04A0" w:firstRow="1" w:lastRow="0" w:firstColumn="1" w:lastColumn="0" w:noHBand="0" w:noVBand="1"/>
      </w:tblPr>
      <w:tblGrid>
        <w:gridCol w:w="2410"/>
        <w:gridCol w:w="1985"/>
        <w:gridCol w:w="3117"/>
      </w:tblGrid>
      <w:tr w:rsidR="00A226D9" w:rsidRPr="00FB0908" w14:paraId="2ED6A574" w14:textId="77777777" w:rsidTr="00FB090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Pr>
          <w:p w14:paraId="1FD159F5" w14:textId="77777777" w:rsidR="00A226D9" w:rsidRPr="00FB0908" w:rsidRDefault="00A226D9" w:rsidP="00245B2C">
            <w:pPr>
              <w:spacing w:after="0" w:line="240" w:lineRule="auto"/>
              <w:jc w:val="both"/>
              <w:rPr>
                <w:rFonts w:ascii="Times New Roman" w:hAnsi="Times New Roman" w:cs="Times New Roman"/>
                <w:b w:val="0"/>
                <w:bCs w:val="0"/>
                <w:sz w:val="20"/>
                <w:szCs w:val="20"/>
              </w:rPr>
            </w:pPr>
            <w:r w:rsidRPr="00FB0908">
              <w:rPr>
                <w:rFonts w:ascii="Times New Roman" w:hAnsi="Times New Roman" w:cs="Times New Roman"/>
                <w:b w:val="0"/>
                <w:bCs w:val="0"/>
                <w:sz w:val="20"/>
                <w:szCs w:val="20"/>
              </w:rPr>
              <w:t>Questionnaires</w:t>
            </w:r>
          </w:p>
        </w:tc>
        <w:tc>
          <w:tcPr>
            <w:tcW w:w="1985" w:type="dxa"/>
          </w:tcPr>
          <w:p w14:paraId="3D74C912" w14:textId="77777777" w:rsidR="00A226D9" w:rsidRPr="00FB0908" w:rsidRDefault="00A226D9" w:rsidP="00245B2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FB0908">
              <w:rPr>
                <w:rFonts w:ascii="Times New Roman" w:hAnsi="Times New Roman" w:cs="Times New Roman"/>
                <w:b w:val="0"/>
                <w:bCs w:val="0"/>
                <w:sz w:val="20"/>
                <w:szCs w:val="20"/>
              </w:rPr>
              <w:t>Frequency</w:t>
            </w:r>
          </w:p>
        </w:tc>
        <w:tc>
          <w:tcPr>
            <w:tcW w:w="3117" w:type="dxa"/>
          </w:tcPr>
          <w:p w14:paraId="445292CD" w14:textId="77777777" w:rsidR="00A226D9" w:rsidRPr="00FB0908" w:rsidRDefault="00A226D9" w:rsidP="00245B2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FB0908">
              <w:rPr>
                <w:rFonts w:ascii="Times New Roman" w:hAnsi="Times New Roman" w:cs="Times New Roman"/>
                <w:b w:val="0"/>
                <w:bCs w:val="0"/>
                <w:sz w:val="20"/>
                <w:szCs w:val="20"/>
              </w:rPr>
              <w:t>Percentage (%)</w:t>
            </w:r>
          </w:p>
        </w:tc>
      </w:tr>
      <w:tr w:rsidR="00A226D9" w:rsidRPr="00FB0908" w14:paraId="11179EE7" w14:textId="77777777" w:rsidTr="00FB09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Pr>
          <w:p w14:paraId="7B962AF4" w14:textId="77777777" w:rsidR="00A226D9" w:rsidRPr="00FB0908" w:rsidRDefault="00A226D9" w:rsidP="00245B2C">
            <w:pPr>
              <w:spacing w:after="0" w:line="240" w:lineRule="auto"/>
              <w:jc w:val="both"/>
              <w:rPr>
                <w:rFonts w:ascii="Times New Roman" w:hAnsi="Times New Roman" w:cs="Times New Roman"/>
                <w:b w:val="0"/>
                <w:bCs w:val="0"/>
                <w:sz w:val="20"/>
                <w:szCs w:val="20"/>
              </w:rPr>
            </w:pPr>
            <w:r w:rsidRPr="00FB0908">
              <w:rPr>
                <w:rFonts w:ascii="Times New Roman" w:hAnsi="Times New Roman" w:cs="Times New Roman"/>
                <w:b w:val="0"/>
                <w:bCs w:val="0"/>
                <w:sz w:val="20"/>
                <w:szCs w:val="20"/>
              </w:rPr>
              <w:t>Returned</w:t>
            </w:r>
          </w:p>
        </w:tc>
        <w:tc>
          <w:tcPr>
            <w:tcW w:w="1985" w:type="dxa"/>
          </w:tcPr>
          <w:p w14:paraId="4AFACE59"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90</w:t>
            </w:r>
          </w:p>
        </w:tc>
        <w:tc>
          <w:tcPr>
            <w:tcW w:w="3117" w:type="dxa"/>
          </w:tcPr>
          <w:p w14:paraId="12CB01FA"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90</w:t>
            </w:r>
          </w:p>
        </w:tc>
      </w:tr>
      <w:tr w:rsidR="00A226D9" w:rsidRPr="00FB0908" w14:paraId="636258FA" w14:textId="77777777" w:rsidTr="00FB0908">
        <w:trPr>
          <w:jc w:val="center"/>
        </w:trPr>
        <w:tc>
          <w:tcPr>
            <w:cnfStyle w:val="001000000000" w:firstRow="0" w:lastRow="0" w:firstColumn="1" w:lastColumn="0" w:oddVBand="0" w:evenVBand="0" w:oddHBand="0" w:evenHBand="0" w:firstRowFirstColumn="0" w:firstRowLastColumn="0" w:lastRowFirstColumn="0" w:lastRowLastColumn="0"/>
            <w:tcW w:w="2410" w:type="dxa"/>
          </w:tcPr>
          <w:p w14:paraId="5237B78B" w14:textId="77777777" w:rsidR="00A226D9" w:rsidRPr="00FB0908" w:rsidRDefault="00A226D9" w:rsidP="00245B2C">
            <w:pPr>
              <w:spacing w:after="0" w:line="240" w:lineRule="auto"/>
              <w:jc w:val="both"/>
              <w:rPr>
                <w:rFonts w:ascii="Times New Roman" w:hAnsi="Times New Roman" w:cs="Times New Roman"/>
                <w:b w:val="0"/>
                <w:bCs w:val="0"/>
                <w:sz w:val="20"/>
                <w:szCs w:val="20"/>
              </w:rPr>
            </w:pPr>
            <w:r w:rsidRPr="00FB0908">
              <w:rPr>
                <w:rFonts w:ascii="Times New Roman" w:hAnsi="Times New Roman" w:cs="Times New Roman"/>
                <w:b w:val="0"/>
                <w:bCs w:val="0"/>
                <w:sz w:val="20"/>
                <w:szCs w:val="20"/>
              </w:rPr>
              <w:t>Not Returned</w:t>
            </w:r>
          </w:p>
        </w:tc>
        <w:tc>
          <w:tcPr>
            <w:tcW w:w="1985" w:type="dxa"/>
          </w:tcPr>
          <w:p w14:paraId="3E892F1B" w14:textId="77777777" w:rsidR="00A226D9" w:rsidRPr="00FB0908" w:rsidRDefault="00A226D9" w:rsidP="00245B2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 xml:space="preserve"> 10</w:t>
            </w:r>
          </w:p>
        </w:tc>
        <w:tc>
          <w:tcPr>
            <w:tcW w:w="3117" w:type="dxa"/>
          </w:tcPr>
          <w:p w14:paraId="2FE0EFF5" w14:textId="77777777" w:rsidR="00A226D9" w:rsidRPr="00FB0908" w:rsidRDefault="00A226D9" w:rsidP="00245B2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10</w:t>
            </w:r>
          </w:p>
        </w:tc>
      </w:tr>
      <w:tr w:rsidR="00A226D9" w:rsidRPr="00FB0908" w14:paraId="3FB9BD8A" w14:textId="77777777" w:rsidTr="00FB09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Pr>
          <w:p w14:paraId="4EFC59E4" w14:textId="77777777" w:rsidR="00A226D9" w:rsidRPr="00FB0908" w:rsidRDefault="00A226D9" w:rsidP="00245B2C">
            <w:pPr>
              <w:spacing w:after="0" w:line="240" w:lineRule="auto"/>
              <w:jc w:val="both"/>
              <w:rPr>
                <w:rFonts w:ascii="Times New Roman" w:hAnsi="Times New Roman" w:cs="Times New Roman"/>
                <w:sz w:val="20"/>
                <w:szCs w:val="20"/>
              </w:rPr>
            </w:pPr>
            <w:r w:rsidRPr="00FB0908">
              <w:rPr>
                <w:rFonts w:ascii="Times New Roman" w:hAnsi="Times New Roman" w:cs="Times New Roman"/>
                <w:sz w:val="20"/>
                <w:szCs w:val="20"/>
              </w:rPr>
              <w:t>Total</w:t>
            </w:r>
          </w:p>
        </w:tc>
        <w:tc>
          <w:tcPr>
            <w:tcW w:w="1985" w:type="dxa"/>
          </w:tcPr>
          <w:p w14:paraId="42116F52"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FB0908">
              <w:rPr>
                <w:rFonts w:ascii="Times New Roman" w:hAnsi="Times New Roman" w:cs="Times New Roman"/>
                <w:b/>
                <w:bCs/>
                <w:sz w:val="20"/>
                <w:szCs w:val="20"/>
              </w:rPr>
              <w:t>1</w:t>
            </w:r>
            <w:r w:rsidRPr="00FB0908">
              <w:rPr>
                <w:rFonts w:ascii="Times New Roman" w:hAnsi="Times New Roman" w:cs="Times New Roman"/>
                <w:b/>
                <w:bCs/>
                <w:color w:val="000000"/>
                <w:sz w:val="20"/>
                <w:szCs w:val="20"/>
              </w:rPr>
              <w:t>00</w:t>
            </w:r>
          </w:p>
        </w:tc>
        <w:tc>
          <w:tcPr>
            <w:tcW w:w="3117" w:type="dxa"/>
          </w:tcPr>
          <w:p w14:paraId="31E8816B"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FB0908">
              <w:rPr>
                <w:rFonts w:ascii="Times New Roman" w:hAnsi="Times New Roman" w:cs="Times New Roman"/>
                <w:b/>
                <w:bCs/>
                <w:sz w:val="20"/>
                <w:szCs w:val="20"/>
              </w:rPr>
              <w:t>100</w:t>
            </w:r>
          </w:p>
        </w:tc>
      </w:tr>
    </w:tbl>
    <w:p w14:paraId="53A91E8A" w14:textId="77777777" w:rsidR="00A226D9" w:rsidRPr="00BE4AF3" w:rsidRDefault="00A226D9" w:rsidP="00245B2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Table 2 showed the questionnaires distribution from the respondents. It showed that ninety questionnaires were returned (90%), and twenty (10%) were not returned. The result shows the representation of genders in the construction industry in the study area.</w:t>
      </w:r>
    </w:p>
    <w:p w14:paraId="657A3A49" w14:textId="77777777" w:rsidR="00FB0908" w:rsidRDefault="00FB0908" w:rsidP="00245B2C">
      <w:pPr>
        <w:spacing w:after="0" w:line="240" w:lineRule="auto"/>
        <w:jc w:val="both"/>
        <w:rPr>
          <w:rFonts w:ascii="Times New Roman" w:hAnsi="Times New Roman" w:cs="Times New Roman"/>
          <w:b/>
          <w:sz w:val="24"/>
          <w:szCs w:val="24"/>
        </w:rPr>
      </w:pPr>
    </w:p>
    <w:p w14:paraId="1A0571F2" w14:textId="6914FEA7" w:rsidR="00A226D9" w:rsidRPr="00BE4AF3" w:rsidRDefault="00A226D9" w:rsidP="00245B2C">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Factors Affecting Construction Innovation and Sustainability in Nigeria.</w:t>
      </w:r>
    </w:p>
    <w:p w14:paraId="5DF11446" w14:textId="77777777" w:rsidR="00A226D9" w:rsidRPr="00BE4AF3" w:rsidRDefault="00A226D9" w:rsidP="00245B2C">
      <w:pPr>
        <w:spacing w:after="0" w:line="240" w:lineRule="auto"/>
        <w:jc w:val="both"/>
        <w:rPr>
          <w:rFonts w:ascii="Times New Roman" w:hAnsi="Times New Roman" w:cs="Times New Roman"/>
          <w:b/>
          <w:sz w:val="24"/>
          <w:szCs w:val="24"/>
        </w:rPr>
      </w:pPr>
      <w:r w:rsidRPr="00BE4AF3">
        <w:rPr>
          <w:rFonts w:ascii="Times New Roman" w:hAnsi="Times New Roman" w:cs="Times New Roman"/>
          <w:sz w:val="24"/>
          <w:szCs w:val="24"/>
        </w:rPr>
        <w:t>Table 2 identified the factors affecting construction innovation and sustainability in Nigeria</w:t>
      </w:r>
    </w:p>
    <w:p w14:paraId="04A3A696" w14:textId="77777777" w:rsidR="00A226D9" w:rsidRPr="00BE4AF3" w:rsidRDefault="00A226D9" w:rsidP="00245B2C">
      <w:pPr>
        <w:spacing w:after="0" w:line="240" w:lineRule="auto"/>
        <w:jc w:val="both"/>
        <w:rPr>
          <w:rFonts w:ascii="Times New Roman" w:hAnsi="Times New Roman" w:cs="Times New Roman"/>
          <w:bCs/>
          <w:sz w:val="24"/>
          <w:szCs w:val="24"/>
        </w:rPr>
      </w:pPr>
      <w:r w:rsidRPr="00BE4AF3">
        <w:rPr>
          <w:rFonts w:ascii="Times New Roman" w:hAnsi="Times New Roman" w:cs="Times New Roman"/>
          <w:sz w:val="24"/>
          <w:szCs w:val="24"/>
        </w:rPr>
        <w:t xml:space="preserve">and the ranking of the factors through the use </w:t>
      </w:r>
      <w:r w:rsidRPr="00BE4AF3">
        <w:rPr>
          <w:rFonts w:ascii="Times New Roman" w:hAnsi="Times New Roman" w:cs="Times New Roman"/>
          <w:bCs/>
          <w:sz w:val="24"/>
          <w:szCs w:val="24"/>
        </w:rPr>
        <w:t>Relative Significance Index (RSI).</w:t>
      </w:r>
    </w:p>
    <w:p w14:paraId="153A8437" w14:textId="61851092" w:rsidR="00A226D9" w:rsidRPr="00FB0908" w:rsidRDefault="00FB0908" w:rsidP="00245B2C">
      <w:pPr>
        <w:spacing w:after="0" w:line="240" w:lineRule="auto"/>
        <w:jc w:val="both"/>
        <w:rPr>
          <w:rFonts w:ascii="Times New Roman" w:hAnsi="Times New Roman" w:cs="Times New Roman"/>
          <w:bCs/>
          <w:sz w:val="24"/>
          <w:szCs w:val="24"/>
        </w:rPr>
      </w:pPr>
      <w:r w:rsidRPr="00FB0908">
        <w:rPr>
          <w:rFonts w:ascii="Times New Roman" w:hAnsi="Times New Roman" w:cs="Times New Roman"/>
          <w:b/>
          <w:sz w:val="24"/>
          <w:szCs w:val="24"/>
        </w:rPr>
        <w:t>Table 3:</w:t>
      </w:r>
      <w:r>
        <w:rPr>
          <w:rFonts w:ascii="Times New Roman" w:hAnsi="Times New Roman" w:cs="Times New Roman"/>
          <w:bCs/>
          <w:sz w:val="24"/>
          <w:szCs w:val="24"/>
        </w:rPr>
        <w:t xml:space="preserve"> </w:t>
      </w:r>
      <w:r w:rsidR="00A226D9" w:rsidRPr="00FB0908">
        <w:rPr>
          <w:rFonts w:ascii="Times New Roman" w:hAnsi="Times New Roman" w:cs="Times New Roman"/>
          <w:bCs/>
          <w:sz w:val="24"/>
          <w:szCs w:val="24"/>
        </w:rPr>
        <w:t>Factors affecting construction innovation and sustainability in Nigeria</w:t>
      </w:r>
    </w:p>
    <w:tbl>
      <w:tblPr>
        <w:tblStyle w:val="ListTable6Colorful"/>
        <w:tblW w:w="0" w:type="auto"/>
        <w:jc w:val="center"/>
        <w:tblLook w:val="04A0" w:firstRow="1" w:lastRow="0" w:firstColumn="1" w:lastColumn="0" w:noHBand="0" w:noVBand="1"/>
      </w:tblPr>
      <w:tblGrid>
        <w:gridCol w:w="561"/>
        <w:gridCol w:w="3434"/>
        <w:gridCol w:w="561"/>
        <w:gridCol w:w="456"/>
        <w:gridCol w:w="456"/>
        <w:gridCol w:w="561"/>
        <w:gridCol w:w="456"/>
        <w:gridCol w:w="698"/>
        <w:gridCol w:w="717"/>
        <w:gridCol w:w="666"/>
        <w:gridCol w:w="794"/>
      </w:tblGrid>
      <w:tr w:rsidR="00A226D9" w:rsidRPr="00FB0908" w14:paraId="7C932692" w14:textId="77777777" w:rsidTr="00FB090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00EEDC8B" w14:textId="77777777" w:rsidR="00A226D9" w:rsidRPr="00FB0908" w:rsidRDefault="00A226D9" w:rsidP="00245B2C">
            <w:pPr>
              <w:spacing w:after="0" w:line="240" w:lineRule="auto"/>
              <w:jc w:val="both"/>
              <w:rPr>
                <w:rFonts w:ascii="Times New Roman" w:hAnsi="Times New Roman" w:cs="Times New Roman"/>
                <w:b w:val="0"/>
                <w:bCs w:val="0"/>
                <w:color w:val="000000"/>
                <w:sz w:val="20"/>
                <w:szCs w:val="20"/>
              </w:rPr>
            </w:pPr>
            <w:r w:rsidRPr="00FB0908">
              <w:rPr>
                <w:rFonts w:ascii="Times New Roman" w:hAnsi="Times New Roman" w:cs="Times New Roman"/>
                <w:b w:val="0"/>
                <w:bCs w:val="0"/>
                <w:color w:val="000000"/>
                <w:sz w:val="20"/>
                <w:szCs w:val="20"/>
              </w:rPr>
              <w:t>S/N</w:t>
            </w:r>
          </w:p>
        </w:tc>
        <w:tc>
          <w:tcPr>
            <w:tcW w:w="3449" w:type="dxa"/>
          </w:tcPr>
          <w:p w14:paraId="668F7A90" w14:textId="77777777" w:rsidR="00A226D9" w:rsidRPr="00FB0908" w:rsidRDefault="00A226D9" w:rsidP="00245B2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sz w:val="20"/>
                <w:szCs w:val="20"/>
              </w:rPr>
            </w:pPr>
            <w:r w:rsidRPr="00FB0908">
              <w:rPr>
                <w:rFonts w:ascii="Times New Roman" w:hAnsi="Times New Roman" w:cs="Times New Roman"/>
                <w:b w:val="0"/>
                <w:bCs w:val="0"/>
                <w:color w:val="000000"/>
                <w:sz w:val="20"/>
                <w:szCs w:val="20"/>
              </w:rPr>
              <w:t>Factors</w:t>
            </w:r>
          </w:p>
        </w:tc>
        <w:tc>
          <w:tcPr>
            <w:tcW w:w="562" w:type="dxa"/>
          </w:tcPr>
          <w:p w14:paraId="295DDDC0" w14:textId="77777777" w:rsidR="00A226D9" w:rsidRPr="00FB0908" w:rsidRDefault="00A226D9" w:rsidP="00245B2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FB0908">
              <w:rPr>
                <w:rFonts w:ascii="Times New Roman" w:hAnsi="Times New Roman" w:cs="Times New Roman"/>
                <w:b w:val="0"/>
                <w:bCs w:val="0"/>
                <w:sz w:val="20"/>
                <w:szCs w:val="20"/>
              </w:rPr>
              <w:t>1</w:t>
            </w:r>
          </w:p>
        </w:tc>
        <w:tc>
          <w:tcPr>
            <w:tcW w:w="456" w:type="dxa"/>
          </w:tcPr>
          <w:p w14:paraId="1110E239" w14:textId="77777777" w:rsidR="00A226D9" w:rsidRPr="00FB0908" w:rsidRDefault="00A226D9" w:rsidP="00245B2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FB0908">
              <w:rPr>
                <w:rFonts w:ascii="Times New Roman" w:hAnsi="Times New Roman" w:cs="Times New Roman"/>
                <w:b w:val="0"/>
                <w:bCs w:val="0"/>
                <w:sz w:val="20"/>
                <w:szCs w:val="20"/>
              </w:rPr>
              <w:t>2</w:t>
            </w:r>
          </w:p>
        </w:tc>
        <w:tc>
          <w:tcPr>
            <w:tcW w:w="456" w:type="dxa"/>
          </w:tcPr>
          <w:p w14:paraId="4FC36585" w14:textId="77777777" w:rsidR="00A226D9" w:rsidRPr="00FB0908" w:rsidRDefault="00A226D9" w:rsidP="00245B2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FB0908">
              <w:rPr>
                <w:rFonts w:ascii="Times New Roman" w:hAnsi="Times New Roman" w:cs="Times New Roman"/>
                <w:b w:val="0"/>
                <w:bCs w:val="0"/>
                <w:sz w:val="20"/>
                <w:szCs w:val="20"/>
              </w:rPr>
              <w:t>3</w:t>
            </w:r>
          </w:p>
        </w:tc>
        <w:tc>
          <w:tcPr>
            <w:tcW w:w="562" w:type="dxa"/>
          </w:tcPr>
          <w:p w14:paraId="161A7DBB" w14:textId="77777777" w:rsidR="00A226D9" w:rsidRPr="00FB0908" w:rsidRDefault="00A226D9" w:rsidP="00245B2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FB0908">
              <w:rPr>
                <w:rFonts w:ascii="Times New Roman" w:hAnsi="Times New Roman" w:cs="Times New Roman"/>
                <w:b w:val="0"/>
                <w:bCs w:val="0"/>
                <w:sz w:val="20"/>
                <w:szCs w:val="20"/>
              </w:rPr>
              <w:t>4</w:t>
            </w:r>
          </w:p>
        </w:tc>
        <w:tc>
          <w:tcPr>
            <w:tcW w:w="456" w:type="dxa"/>
          </w:tcPr>
          <w:p w14:paraId="11561D51" w14:textId="77777777" w:rsidR="00A226D9" w:rsidRPr="00FB0908" w:rsidRDefault="00A226D9" w:rsidP="00245B2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FB0908">
              <w:rPr>
                <w:rFonts w:ascii="Times New Roman" w:hAnsi="Times New Roman" w:cs="Times New Roman"/>
                <w:b w:val="0"/>
                <w:bCs w:val="0"/>
                <w:sz w:val="20"/>
                <w:szCs w:val="20"/>
              </w:rPr>
              <w:t>5</w:t>
            </w:r>
          </w:p>
        </w:tc>
        <w:tc>
          <w:tcPr>
            <w:tcW w:w="699" w:type="dxa"/>
          </w:tcPr>
          <w:p w14:paraId="2FAF709D" w14:textId="77777777" w:rsidR="00A226D9" w:rsidRPr="00FB0908" w:rsidRDefault="00A226D9" w:rsidP="00245B2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sz w:val="20"/>
                <w:szCs w:val="20"/>
              </w:rPr>
            </w:pPr>
            <w:r w:rsidRPr="00FB0908">
              <w:rPr>
                <w:rFonts w:ascii="Times New Roman" w:hAnsi="Times New Roman" w:cs="Times New Roman"/>
                <w:b w:val="0"/>
                <w:bCs w:val="0"/>
                <w:color w:val="000000"/>
                <w:sz w:val="20"/>
                <w:szCs w:val="20"/>
              </w:rPr>
              <w:t>Total</w:t>
            </w:r>
          </w:p>
        </w:tc>
        <w:tc>
          <w:tcPr>
            <w:tcW w:w="717" w:type="dxa"/>
          </w:tcPr>
          <w:p w14:paraId="787FF5BF" w14:textId="77777777" w:rsidR="00A226D9" w:rsidRPr="00FB0908" w:rsidRDefault="00A226D9" w:rsidP="00245B2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sz w:val="20"/>
                <w:szCs w:val="20"/>
              </w:rPr>
            </w:pPr>
            <w:r w:rsidRPr="00FB0908">
              <w:rPr>
                <w:rFonts w:ascii="Times New Roman" w:hAnsi="Times New Roman" w:cs="Times New Roman"/>
                <w:b w:val="0"/>
                <w:bCs w:val="0"/>
                <w:color w:val="000000"/>
                <w:sz w:val="20"/>
                <w:szCs w:val="20"/>
              </w:rPr>
              <w:t>TWV</w:t>
            </w:r>
          </w:p>
        </w:tc>
        <w:tc>
          <w:tcPr>
            <w:tcW w:w="636" w:type="dxa"/>
          </w:tcPr>
          <w:p w14:paraId="6003A1DC" w14:textId="77777777" w:rsidR="00A226D9" w:rsidRPr="00FB0908" w:rsidRDefault="00A226D9" w:rsidP="00245B2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sz w:val="20"/>
                <w:szCs w:val="20"/>
              </w:rPr>
            </w:pPr>
            <w:r w:rsidRPr="00FB0908">
              <w:rPr>
                <w:rFonts w:ascii="Times New Roman" w:hAnsi="Times New Roman" w:cs="Times New Roman"/>
                <w:b w:val="0"/>
                <w:bCs w:val="0"/>
                <w:color w:val="000000"/>
                <w:sz w:val="20"/>
                <w:szCs w:val="20"/>
              </w:rPr>
              <w:t>RSI</w:t>
            </w:r>
          </w:p>
        </w:tc>
        <w:tc>
          <w:tcPr>
            <w:tcW w:w="795" w:type="dxa"/>
          </w:tcPr>
          <w:p w14:paraId="06657055" w14:textId="77777777" w:rsidR="00A226D9" w:rsidRPr="00FB0908" w:rsidRDefault="00A226D9" w:rsidP="00245B2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sz w:val="20"/>
                <w:szCs w:val="20"/>
              </w:rPr>
            </w:pPr>
            <w:r w:rsidRPr="00FB0908">
              <w:rPr>
                <w:rFonts w:ascii="Times New Roman" w:hAnsi="Times New Roman" w:cs="Times New Roman"/>
                <w:b w:val="0"/>
                <w:bCs w:val="0"/>
                <w:color w:val="000000"/>
                <w:sz w:val="20"/>
                <w:szCs w:val="20"/>
              </w:rPr>
              <w:t>Rank</w:t>
            </w:r>
          </w:p>
        </w:tc>
      </w:tr>
      <w:tr w:rsidR="00A226D9" w:rsidRPr="00FB0908" w14:paraId="0EE27E1D" w14:textId="77777777" w:rsidTr="00FB09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343BA9FF" w14:textId="77777777" w:rsidR="00A226D9" w:rsidRPr="00FB0908" w:rsidRDefault="00A226D9" w:rsidP="00245B2C">
            <w:pPr>
              <w:spacing w:after="0" w:line="240" w:lineRule="auto"/>
              <w:jc w:val="both"/>
              <w:rPr>
                <w:rFonts w:ascii="Times New Roman" w:hAnsi="Times New Roman" w:cs="Times New Roman"/>
                <w:b w:val="0"/>
                <w:bCs w:val="0"/>
                <w:color w:val="000000"/>
                <w:sz w:val="20"/>
                <w:szCs w:val="20"/>
              </w:rPr>
            </w:pPr>
            <w:r w:rsidRPr="00FB0908">
              <w:rPr>
                <w:rFonts w:ascii="Times New Roman" w:hAnsi="Times New Roman" w:cs="Times New Roman"/>
                <w:b w:val="0"/>
                <w:bCs w:val="0"/>
                <w:color w:val="000000"/>
                <w:sz w:val="20"/>
                <w:szCs w:val="20"/>
              </w:rPr>
              <w:t>1.</w:t>
            </w:r>
          </w:p>
        </w:tc>
        <w:tc>
          <w:tcPr>
            <w:tcW w:w="3449" w:type="dxa"/>
          </w:tcPr>
          <w:p w14:paraId="6FF57852"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Lack of technical expertise</w:t>
            </w:r>
          </w:p>
        </w:tc>
        <w:tc>
          <w:tcPr>
            <w:tcW w:w="562" w:type="dxa"/>
          </w:tcPr>
          <w:p w14:paraId="3715D614"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16</w:t>
            </w:r>
          </w:p>
        </w:tc>
        <w:tc>
          <w:tcPr>
            <w:tcW w:w="456" w:type="dxa"/>
          </w:tcPr>
          <w:p w14:paraId="5BC29382"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14</w:t>
            </w:r>
          </w:p>
        </w:tc>
        <w:tc>
          <w:tcPr>
            <w:tcW w:w="456" w:type="dxa"/>
          </w:tcPr>
          <w:p w14:paraId="52A1BEB0"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14</w:t>
            </w:r>
          </w:p>
        </w:tc>
        <w:tc>
          <w:tcPr>
            <w:tcW w:w="562" w:type="dxa"/>
          </w:tcPr>
          <w:p w14:paraId="221D4553"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32</w:t>
            </w:r>
          </w:p>
        </w:tc>
        <w:tc>
          <w:tcPr>
            <w:tcW w:w="456" w:type="dxa"/>
          </w:tcPr>
          <w:p w14:paraId="57F93D65"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14</w:t>
            </w:r>
          </w:p>
        </w:tc>
        <w:tc>
          <w:tcPr>
            <w:tcW w:w="699" w:type="dxa"/>
          </w:tcPr>
          <w:p w14:paraId="0FB52708"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90</w:t>
            </w:r>
          </w:p>
        </w:tc>
        <w:tc>
          <w:tcPr>
            <w:tcW w:w="717" w:type="dxa"/>
          </w:tcPr>
          <w:p w14:paraId="33A7217E"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284</w:t>
            </w:r>
          </w:p>
        </w:tc>
        <w:tc>
          <w:tcPr>
            <w:tcW w:w="636" w:type="dxa"/>
          </w:tcPr>
          <w:p w14:paraId="2DBCB278"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0.631</w:t>
            </w:r>
          </w:p>
        </w:tc>
        <w:tc>
          <w:tcPr>
            <w:tcW w:w="795" w:type="dxa"/>
          </w:tcPr>
          <w:p w14:paraId="3B177B50"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w:t>
            </w:r>
          </w:p>
        </w:tc>
      </w:tr>
      <w:tr w:rsidR="00A226D9" w:rsidRPr="00FB0908" w14:paraId="5B11CDF7" w14:textId="77777777" w:rsidTr="00FB0908">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220CCE0B" w14:textId="77777777" w:rsidR="00A226D9" w:rsidRPr="00FB0908" w:rsidRDefault="00A226D9" w:rsidP="00245B2C">
            <w:pPr>
              <w:spacing w:after="0" w:line="240" w:lineRule="auto"/>
              <w:jc w:val="both"/>
              <w:rPr>
                <w:rFonts w:ascii="Times New Roman" w:hAnsi="Times New Roman" w:cs="Times New Roman"/>
                <w:b w:val="0"/>
                <w:bCs w:val="0"/>
                <w:color w:val="000000"/>
                <w:sz w:val="20"/>
                <w:szCs w:val="20"/>
              </w:rPr>
            </w:pPr>
            <w:r w:rsidRPr="00FB0908">
              <w:rPr>
                <w:rFonts w:ascii="Times New Roman" w:hAnsi="Times New Roman" w:cs="Times New Roman"/>
                <w:b w:val="0"/>
                <w:bCs w:val="0"/>
                <w:color w:val="000000"/>
                <w:sz w:val="20"/>
                <w:szCs w:val="20"/>
              </w:rPr>
              <w:t>2.</w:t>
            </w:r>
          </w:p>
        </w:tc>
        <w:tc>
          <w:tcPr>
            <w:tcW w:w="3449" w:type="dxa"/>
          </w:tcPr>
          <w:p w14:paraId="6049359D" w14:textId="77777777" w:rsidR="00A226D9" w:rsidRPr="00FB0908" w:rsidRDefault="00A226D9" w:rsidP="00245B2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Lack of capital investment</w:t>
            </w:r>
          </w:p>
        </w:tc>
        <w:tc>
          <w:tcPr>
            <w:tcW w:w="562" w:type="dxa"/>
          </w:tcPr>
          <w:p w14:paraId="739ABC05"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23</w:t>
            </w:r>
          </w:p>
        </w:tc>
        <w:tc>
          <w:tcPr>
            <w:tcW w:w="456" w:type="dxa"/>
          </w:tcPr>
          <w:p w14:paraId="122C12EA"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24</w:t>
            </w:r>
          </w:p>
        </w:tc>
        <w:tc>
          <w:tcPr>
            <w:tcW w:w="456" w:type="dxa"/>
          </w:tcPr>
          <w:p w14:paraId="3FDE61AA"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27</w:t>
            </w:r>
          </w:p>
        </w:tc>
        <w:tc>
          <w:tcPr>
            <w:tcW w:w="562" w:type="dxa"/>
          </w:tcPr>
          <w:p w14:paraId="51559B9C"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20</w:t>
            </w:r>
          </w:p>
        </w:tc>
        <w:tc>
          <w:tcPr>
            <w:tcW w:w="456" w:type="dxa"/>
          </w:tcPr>
          <w:p w14:paraId="5C3F9C3E"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16</w:t>
            </w:r>
          </w:p>
        </w:tc>
        <w:tc>
          <w:tcPr>
            <w:tcW w:w="699" w:type="dxa"/>
          </w:tcPr>
          <w:p w14:paraId="0F59D7EF"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90</w:t>
            </w:r>
          </w:p>
        </w:tc>
        <w:tc>
          <w:tcPr>
            <w:tcW w:w="717" w:type="dxa"/>
          </w:tcPr>
          <w:p w14:paraId="04BDA466" w14:textId="77777777" w:rsidR="00A226D9" w:rsidRPr="00FB0908" w:rsidRDefault="00A226D9" w:rsidP="00245B2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312</w:t>
            </w:r>
          </w:p>
        </w:tc>
        <w:tc>
          <w:tcPr>
            <w:tcW w:w="636" w:type="dxa"/>
          </w:tcPr>
          <w:p w14:paraId="7A5895D9"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0.693</w:t>
            </w:r>
          </w:p>
        </w:tc>
        <w:tc>
          <w:tcPr>
            <w:tcW w:w="795" w:type="dxa"/>
          </w:tcPr>
          <w:p w14:paraId="337999E6"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w:t>
            </w:r>
          </w:p>
        </w:tc>
      </w:tr>
      <w:tr w:rsidR="00A226D9" w:rsidRPr="00FB0908" w14:paraId="69B32A01" w14:textId="77777777" w:rsidTr="00FB09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55176C86" w14:textId="77777777" w:rsidR="00A226D9" w:rsidRPr="00FB0908" w:rsidRDefault="00A226D9" w:rsidP="00245B2C">
            <w:pPr>
              <w:spacing w:after="0" w:line="240" w:lineRule="auto"/>
              <w:jc w:val="both"/>
              <w:rPr>
                <w:rFonts w:ascii="Times New Roman" w:hAnsi="Times New Roman" w:cs="Times New Roman"/>
                <w:b w:val="0"/>
                <w:bCs w:val="0"/>
                <w:color w:val="000000"/>
                <w:sz w:val="20"/>
                <w:szCs w:val="20"/>
              </w:rPr>
            </w:pPr>
            <w:r w:rsidRPr="00FB0908">
              <w:rPr>
                <w:rFonts w:ascii="Times New Roman" w:hAnsi="Times New Roman" w:cs="Times New Roman"/>
                <w:b w:val="0"/>
                <w:bCs w:val="0"/>
                <w:color w:val="000000"/>
                <w:sz w:val="20"/>
                <w:szCs w:val="20"/>
              </w:rPr>
              <w:t>3.</w:t>
            </w:r>
          </w:p>
        </w:tc>
        <w:tc>
          <w:tcPr>
            <w:tcW w:w="3449" w:type="dxa"/>
          </w:tcPr>
          <w:p w14:paraId="7EAB2AD1"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Lack of awareness</w:t>
            </w:r>
          </w:p>
        </w:tc>
        <w:tc>
          <w:tcPr>
            <w:tcW w:w="562" w:type="dxa"/>
          </w:tcPr>
          <w:p w14:paraId="0796817A"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18</w:t>
            </w:r>
          </w:p>
        </w:tc>
        <w:tc>
          <w:tcPr>
            <w:tcW w:w="456" w:type="dxa"/>
          </w:tcPr>
          <w:p w14:paraId="33F1C803"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12</w:t>
            </w:r>
          </w:p>
        </w:tc>
        <w:tc>
          <w:tcPr>
            <w:tcW w:w="456" w:type="dxa"/>
          </w:tcPr>
          <w:p w14:paraId="5D92F8C0"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24</w:t>
            </w:r>
          </w:p>
        </w:tc>
        <w:tc>
          <w:tcPr>
            <w:tcW w:w="562" w:type="dxa"/>
          </w:tcPr>
          <w:p w14:paraId="6A5DB989"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23</w:t>
            </w:r>
          </w:p>
        </w:tc>
        <w:tc>
          <w:tcPr>
            <w:tcW w:w="456" w:type="dxa"/>
          </w:tcPr>
          <w:p w14:paraId="28A3AA2B"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13</w:t>
            </w:r>
          </w:p>
        </w:tc>
        <w:tc>
          <w:tcPr>
            <w:tcW w:w="699" w:type="dxa"/>
          </w:tcPr>
          <w:p w14:paraId="29C3EE97"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90</w:t>
            </w:r>
          </w:p>
        </w:tc>
        <w:tc>
          <w:tcPr>
            <w:tcW w:w="717" w:type="dxa"/>
          </w:tcPr>
          <w:p w14:paraId="5CA4EED2"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271</w:t>
            </w:r>
          </w:p>
        </w:tc>
        <w:tc>
          <w:tcPr>
            <w:tcW w:w="636" w:type="dxa"/>
          </w:tcPr>
          <w:p w14:paraId="3E6AD192"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0.602</w:t>
            </w:r>
          </w:p>
        </w:tc>
        <w:tc>
          <w:tcPr>
            <w:tcW w:w="795" w:type="dxa"/>
          </w:tcPr>
          <w:p w14:paraId="22F69B5E"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5</w:t>
            </w:r>
          </w:p>
        </w:tc>
      </w:tr>
      <w:tr w:rsidR="00A226D9" w:rsidRPr="00FB0908" w14:paraId="574AA291" w14:textId="77777777" w:rsidTr="00FB0908">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195F65CC" w14:textId="77777777" w:rsidR="00A226D9" w:rsidRPr="00FB0908" w:rsidRDefault="00A226D9" w:rsidP="00245B2C">
            <w:pPr>
              <w:spacing w:after="0" w:line="240" w:lineRule="auto"/>
              <w:jc w:val="both"/>
              <w:rPr>
                <w:rFonts w:ascii="Times New Roman" w:hAnsi="Times New Roman" w:cs="Times New Roman"/>
                <w:b w:val="0"/>
                <w:bCs w:val="0"/>
                <w:color w:val="000000"/>
                <w:sz w:val="20"/>
                <w:szCs w:val="20"/>
              </w:rPr>
            </w:pPr>
            <w:r w:rsidRPr="00FB0908">
              <w:rPr>
                <w:rFonts w:ascii="Times New Roman" w:hAnsi="Times New Roman" w:cs="Times New Roman"/>
                <w:b w:val="0"/>
                <w:bCs w:val="0"/>
                <w:color w:val="000000"/>
                <w:sz w:val="20"/>
                <w:szCs w:val="20"/>
              </w:rPr>
              <w:t>4.</w:t>
            </w:r>
          </w:p>
        </w:tc>
        <w:tc>
          <w:tcPr>
            <w:tcW w:w="3449" w:type="dxa"/>
          </w:tcPr>
          <w:p w14:paraId="7BD0F921" w14:textId="77777777" w:rsidR="00A226D9" w:rsidRPr="00FB0908" w:rsidRDefault="00A226D9" w:rsidP="00245B2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Lack of operation and maintenance support</w:t>
            </w:r>
          </w:p>
        </w:tc>
        <w:tc>
          <w:tcPr>
            <w:tcW w:w="562" w:type="dxa"/>
          </w:tcPr>
          <w:p w14:paraId="1AF265C5"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20</w:t>
            </w:r>
          </w:p>
        </w:tc>
        <w:tc>
          <w:tcPr>
            <w:tcW w:w="456" w:type="dxa"/>
          </w:tcPr>
          <w:p w14:paraId="6036F6EE"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22</w:t>
            </w:r>
          </w:p>
        </w:tc>
        <w:tc>
          <w:tcPr>
            <w:tcW w:w="456" w:type="dxa"/>
          </w:tcPr>
          <w:p w14:paraId="37ABE36D"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18</w:t>
            </w:r>
          </w:p>
        </w:tc>
        <w:tc>
          <w:tcPr>
            <w:tcW w:w="562" w:type="dxa"/>
          </w:tcPr>
          <w:p w14:paraId="584093B4"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20</w:t>
            </w:r>
          </w:p>
        </w:tc>
        <w:tc>
          <w:tcPr>
            <w:tcW w:w="456" w:type="dxa"/>
          </w:tcPr>
          <w:p w14:paraId="406F48B1"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10</w:t>
            </w:r>
          </w:p>
        </w:tc>
        <w:tc>
          <w:tcPr>
            <w:tcW w:w="699" w:type="dxa"/>
          </w:tcPr>
          <w:p w14:paraId="08448226"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90</w:t>
            </w:r>
          </w:p>
        </w:tc>
        <w:tc>
          <w:tcPr>
            <w:tcW w:w="717" w:type="dxa"/>
          </w:tcPr>
          <w:p w14:paraId="4741A919" w14:textId="77777777" w:rsidR="00A226D9" w:rsidRPr="00FB0908" w:rsidRDefault="00A226D9" w:rsidP="00245B2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248</w:t>
            </w:r>
          </w:p>
        </w:tc>
        <w:tc>
          <w:tcPr>
            <w:tcW w:w="636" w:type="dxa"/>
          </w:tcPr>
          <w:p w14:paraId="3D00EDE3"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0.551</w:t>
            </w:r>
          </w:p>
        </w:tc>
        <w:tc>
          <w:tcPr>
            <w:tcW w:w="795" w:type="dxa"/>
          </w:tcPr>
          <w:p w14:paraId="67B2F414"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11</w:t>
            </w:r>
          </w:p>
        </w:tc>
      </w:tr>
      <w:tr w:rsidR="00A226D9" w:rsidRPr="00FB0908" w14:paraId="49ED324D" w14:textId="77777777" w:rsidTr="00FB09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654B85D1" w14:textId="77777777" w:rsidR="00A226D9" w:rsidRPr="00FB0908" w:rsidRDefault="00A226D9" w:rsidP="00245B2C">
            <w:pPr>
              <w:spacing w:after="0" w:line="240" w:lineRule="auto"/>
              <w:jc w:val="both"/>
              <w:rPr>
                <w:rFonts w:ascii="Times New Roman" w:hAnsi="Times New Roman" w:cs="Times New Roman"/>
                <w:b w:val="0"/>
                <w:bCs w:val="0"/>
                <w:color w:val="000000"/>
                <w:sz w:val="20"/>
                <w:szCs w:val="20"/>
              </w:rPr>
            </w:pPr>
            <w:r w:rsidRPr="00FB0908">
              <w:rPr>
                <w:rFonts w:ascii="Times New Roman" w:hAnsi="Times New Roman" w:cs="Times New Roman"/>
                <w:b w:val="0"/>
                <w:bCs w:val="0"/>
                <w:color w:val="000000"/>
                <w:sz w:val="20"/>
                <w:szCs w:val="20"/>
              </w:rPr>
              <w:t>5.</w:t>
            </w:r>
          </w:p>
        </w:tc>
        <w:tc>
          <w:tcPr>
            <w:tcW w:w="3449" w:type="dxa"/>
          </w:tcPr>
          <w:p w14:paraId="1D598768"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 xml:space="preserve">Limited financial support </w:t>
            </w:r>
          </w:p>
        </w:tc>
        <w:tc>
          <w:tcPr>
            <w:tcW w:w="562" w:type="dxa"/>
          </w:tcPr>
          <w:p w14:paraId="0EAC6A84"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18</w:t>
            </w:r>
          </w:p>
        </w:tc>
        <w:tc>
          <w:tcPr>
            <w:tcW w:w="456" w:type="dxa"/>
          </w:tcPr>
          <w:p w14:paraId="077EF33E"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22</w:t>
            </w:r>
          </w:p>
        </w:tc>
        <w:tc>
          <w:tcPr>
            <w:tcW w:w="456" w:type="dxa"/>
          </w:tcPr>
          <w:p w14:paraId="2C464839"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24</w:t>
            </w:r>
          </w:p>
        </w:tc>
        <w:tc>
          <w:tcPr>
            <w:tcW w:w="562" w:type="dxa"/>
          </w:tcPr>
          <w:p w14:paraId="1F4D7D1D"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11</w:t>
            </w:r>
          </w:p>
        </w:tc>
        <w:tc>
          <w:tcPr>
            <w:tcW w:w="456" w:type="dxa"/>
          </w:tcPr>
          <w:p w14:paraId="7AC5832B"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15</w:t>
            </w:r>
          </w:p>
        </w:tc>
        <w:tc>
          <w:tcPr>
            <w:tcW w:w="699" w:type="dxa"/>
          </w:tcPr>
          <w:p w14:paraId="06460D53"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90</w:t>
            </w:r>
          </w:p>
        </w:tc>
        <w:tc>
          <w:tcPr>
            <w:tcW w:w="717" w:type="dxa"/>
          </w:tcPr>
          <w:p w14:paraId="4879D0A4"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253</w:t>
            </w:r>
          </w:p>
        </w:tc>
        <w:tc>
          <w:tcPr>
            <w:tcW w:w="636" w:type="dxa"/>
          </w:tcPr>
          <w:p w14:paraId="0445F2DB"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0.562</w:t>
            </w:r>
          </w:p>
        </w:tc>
        <w:tc>
          <w:tcPr>
            <w:tcW w:w="795" w:type="dxa"/>
          </w:tcPr>
          <w:p w14:paraId="0A8275C8"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8</w:t>
            </w:r>
          </w:p>
        </w:tc>
      </w:tr>
      <w:tr w:rsidR="00A226D9" w:rsidRPr="00FB0908" w14:paraId="5714DA85" w14:textId="77777777" w:rsidTr="00FB0908">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2BAF9A1A" w14:textId="77777777" w:rsidR="00A226D9" w:rsidRPr="00FB0908" w:rsidRDefault="00A226D9" w:rsidP="00245B2C">
            <w:pPr>
              <w:spacing w:after="0" w:line="240" w:lineRule="auto"/>
              <w:jc w:val="both"/>
              <w:rPr>
                <w:rFonts w:ascii="Times New Roman" w:hAnsi="Times New Roman" w:cs="Times New Roman"/>
                <w:b w:val="0"/>
                <w:bCs w:val="0"/>
                <w:color w:val="000000"/>
                <w:sz w:val="20"/>
                <w:szCs w:val="20"/>
              </w:rPr>
            </w:pPr>
            <w:r w:rsidRPr="00FB0908">
              <w:rPr>
                <w:rFonts w:ascii="Times New Roman" w:hAnsi="Times New Roman" w:cs="Times New Roman"/>
                <w:b w:val="0"/>
                <w:bCs w:val="0"/>
                <w:color w:val="000000"/>
                <w:sz w:val="20"/>
                <w:szCs w:val="20"/>
              </w:rPr>
              <w:t>6.</w:t>
            </w:r>
          </w:p>
        </w:tc>
        <w:tc>
          <w:tcPr>
            <w:tcW w:w="3449" w:type="dxa"/>
          </w:tcPr>
          <w:p w14:paraId="0AB7A107" w14:textId="77777777" w:rsidR="00A226D9" w:rsidRPr="00FB0908" w:rsidRDefault="00A226D9" w:rsidP="00245B2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Conflicting building codes</w:t>
            </w:r>
          </w:p>
        </w:tc>
        <w:tc>
          <w:tcPr>
            <w:tcW w:w="562" w:type="dxa"/>
          </w:tcPr>
          <w:p w14:paraId="41A94B41"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19</w:t>
            </w:r>
          </w:p>
        </w:tc>
        <w:tc>
          <w:tcPr>
            <w:tcW w:w="456" w:type="dxa"/>
          </w:tcPr>
          <w:p w14:paraId="16B8E1EB"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24</w:t>
            </w:r>
          </w:p>
        </w:tc>
        <w:tc>
          <w:tcPr>
            <w:tcW w:w="456" w:type="dxa"/>
          </w:tcPr>
          <w:p w14:paraId="4DBFBE06"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14</w:t>
            </w:r>
          </w:p>
        </w:tc>
        <w:tc>
          <w:tcPr>
            <w:tcW w:w="562" w:type="dxa"/>
          </w:tcPr>
          <w:p w14:paraId="4FE9DB39"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10</w:t>
            </w:r>
          </w:p>
        </w:tc>
        <w:tc>
          <w:tcPr>
            <w:tcW w:w="456" w:type="dxa"/>
          </w:tcPr>
          <w:p w14:paraId="598BFAE3"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23</w:t>
            </w:r>
          </w:p>
        </w:tc>
        <w:tc>
          <w:tcPr>
            <w:tcW w:w="699" w:type="dxa"/>
          </w:tcPr>
          <w:p w14:paraId="6A24C6DB"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90</w:t>
            </w:r>
          </w:p>
        </w:tc>
        <w:tc>
          <w:tcPr>
            <w:tcW w:w="717" w:type="dxa"/>
          </w:tcPr>
          <w:p w14:paraId="1FEDAB15" w14:textId="77777777" w:rsidR="00A226D9" w:rsidRPr="00FB0908" w:rsidRDefault="00A226D9" w:rsidP="00245B2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264</w:t>
            </w:r>
          </w:p>
        </w:tc>
        <w:tc>
          <w:tcPr>
            <w:tcW w:w="636" w:type="dxa"/>
          </w:tcPr>
          <w:p w14:paraId="7BC91134"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0.587</w:t>
            </w:r>
          </w:p>
        </w:tc>
        <w:tc>
          <w:tcPr>
            <w:tcW w:w="795" w:type="dxa"/>
          </w:tcPr>
          <w:p w14:paraId="6BA5EA27"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7</w:t>
            </w:r>
          </w:p>
        </w:tc>
      </w:tr>
      <w:tr w:rsidR="00A226D9" w:rsidRPr="00FB0908" w14:paraId="4B0AB9E1" w14:textId="77777777" w:rsidTr="00FB09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56100000" w14:textId="77777777" w:rsidR="00A226D9" w:rsidRPr="00FB0908" w:rsidRDefault="00A226D9" w:rsidP="00245B2C">
            <w:pPr>
              <w:spacing w:after="0" w:line="240" w:lineRule="auto"/>
              <w:jc w:val="both"/>
              <w:rPr>
                <w:rFonts w:ascii="Times New Roman" w:hAnsi="Times New Roman" w:cs="Times New Roman"/>
                <w:b w:val="0"/>
                <w:bCs w:val="0"/>
                <w:color w:val="000000"/>
                <w:sz w:val="20"/>
                <w:szCs w:val="20"/>
              </w:rPr>
            </w:pPr>
            <w:r w:rsidRPr="00FB0908">
              <w:rPr>
                <w:rFonts w:ascii="Times New Roman" w:hAnsi="Times New Roman" w:cs="Times New Roman"/>
                <w:b w:val="0"/>
                <w:bCs w:val="0"/>
                <w:color w:val="000000"/>
                <w:sz w:val="20"/>
                <w:szCs w:val="20"/>
              </w:rPr>
              <w:t>7.</w:t>
            </w:r>
          </w:p>
        </w:tc>
        <w:tc>
          <w:tcPr>
            <w:tcW w:w="3449" w:type="dxa"/>
          </w:tcPr>
          <w:p w14:paraId="3EDCD81E"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Fear of liability and litigation</w:t>
            </w:r>
          </w:p>
        </w:tc>
        <w:tc>
          <w:tcPr>
            <w:tcW w:w="562" w:type="dxa"/>
          </w:tcPr>
          <w:p w14:paraId="395BC1C1"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16</w:t>
            </w:r>
          </w:p>
        </w:tc>
        <w:tc>
          <w:tcPr>
            <w:tcW w:w="456" w:type="dxa"/>
          </w:tcPr>
          <w:p w14:paraId="1024CE33"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14</w:t>
            </w:r>
          </w:p>
        </w:tc>
        <w:tc>
          <w:tcPr>
            <w:tcW w:w="456" w:type="dxa"/>
          </w:tcPr>
          <w:p w14:paraId="6F074022"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14</w:t>
            </w:r>
          </w:p>
        </w:tc>
        <w:tc>
          <w:tcPr>
            <w:tcW w:w="562" w:type="dxa"/>
          </w:tcPr>
          <w:p w14:paraId="04344EBE"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32</w:t>
            </w:r>
          </w:p>
        </w:tc>
        <w:tc>
          <w:tcPr>
            <w:tcW w:w="456" w:type="dxa"/>
          </w:tcPr>
          <w:p w14:paraId="65BD8233"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14</w:t>
            </w:r>
          </w:p>
        </w:tc>
        <w:tc>
          <w:tcPr>
            <w:tcW w:w="699" w:type="dxa"/>
          </w:tcPr>
          <w:p w14:paraId="3238BAB1"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90</w:t>
            </w:r>
          </w:p>
        </w:tc>
        <w:tc>
          <w:tcPr>
            <w:tcW w:w="717" w:type="dxa"/>
          </w:tcPr>
          <w:p w14:paraId="455EDBD0"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284</w:t>
            </w:r>
          </w:p>
        </w:tc>
        <w:tc>
          <w:tcPr>
            <w:tcW w:w="636" w:type="dxa"/>
          </w:tcPr>
          <w:p w14:paraId="6323874A"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0.631</w:t>
            </w:r>
          </w:p>
        </w:tc>
        <w:tc>
          <w:tcPr>
            <w:tcW w:w="795" w:type="dxa"/>
          </w:tcPr>
          <w:p w14:paraId="6509FBB8"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w:t>
            </w:r>
          </w:p>
        </w:tc>
      </w:tr>
      <w:tr w:rsidR="00A226D9" w:rsidRPr="00FB0908" w14:paraId="776EDAE9" w14:textId="77777777" w:rsidTr="00FB0908">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7589C620" w14:textId="77777777" w:rsidR="00A226D9" w:rsidRPr="00FB0908" w:rsidRDefault="00A226D9" w:rsidP="00245B2C">
            <w:pPr>
              <w:spacing w:after="0" w:line="240" w:lineRule="auto"/>
              <w:jc w:val="both"/>
              <w:rPr>
                <w:rFonts w:ascii="Times New Roman" w:hAnsi="Times New Roman" w:cs="Times New Roman"/>
                <w:b w:val="0"/>
                <w:bCs w:val="0"/>
                <w:color w:val="000000"/>
                <w:sz w:val="20"/>
                <w:szCs w:val="20"/>
              </w:rPr>
            </w:pPr>
            <w:r w:rsidRPr="00FB0908">
              <w:rPr>
                <w:rFonts w:ascii="Times New Roman" w:hAnsi="Times New Roman" w:cs="Times New Roman"/>
                <w:b w:val="0"/>
                <w:bCs w:val="0"/>
                <w:color w:val="000000"/>
                <w:sz w:val="20"/>
                <w:szCs w:val="20"/>
              </w:rPr>
              <w:t>8.</w:t>
            </w:r>
          </w:p>
        </w:tc>
        <w:tc>
          <w:tcPr>
            <w:tcW w:w="3449" w:type="dxa"/>
          </w:tcPr>
          <w:p w14:paraId="4182AE37" w14:textId="77777777" w:rsidR="00A226D9" w:rsidRPr="00FB0908" w:rsidRDefault="00A226D9" w:rsidP="00245B2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Slow attitude of industry professionals to change</w:t>
            </w:r>
          </w:p>
        </w:tc>
        <w:tc>
          <w:tcPr>
            <w:tcW w:w="562" w:type="dxa"/>
          </w:tcPr>
          <w:p w14:paraId="4D623FBC"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18</w:t>
            </w:r>
          </w:p>
        </w:tc>
        <w:tc>
          <w:tcPr>
            <w:tcW w:w="456" w:type="dxa"/>
          </w:tcPr>
          <w:p w14:paraId="4D33DB46"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17</w:t>
            </w:r>
          </w:p>
        </w:tc>
        <w:tc>
          <w:tcPr>
            <w:tcW w:w="456" w:type="dxa"/>
          </w:tcPr>
          <w:p w14:paraId="596FED50"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19</w:t>
            </w:r>
          </w:p>
        </w:tc>
        <w:tc>
          <w:tcPr>
            <w:tcW w:w="562" w:type="dxa"/>
          </w:tcPr>
          <w:p w14:paraId="35EFEA95"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23</w:t>
            </w:r>
          </w:p>
        </w:tc>
        <w:tc>
          <w:tcPr>
            <w:tcW w:w="456" w:type="dxa"/>
          </w:tcPr>
          <w:p w14:paraId="50072BC5"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13</w:t>
            </w:r>
          </w:p>
        </w:tc>
        <w:tc>
          <w:tcPr>
            <w:tcW w:w="699" w:type="dxa"/>
          </w:tcPr>
          <w:p w14:paraId="3E271602"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90</w:t>
            </w:r>
          </w:p>
        </w:tc>
        <w:tc>
          <w:tcPr>
            <w:tcW w:w="717" w:type="dxa"/>
          </w:tcPr>
          <w:p w14:paraId="7C8424B6" w14:textId="77777777" w:rsidR="00A226D9" w:rsidRPr="00FB0908" w:rsidRDefault="00A226D9" w:rsidP="00245B2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266</w:t>
            </w:r>
          </w:p>
        </w:tc>
        <w:tc>
          <w:tcPr>
            <w:tcW w:w="636" w:type="dxa"/>
          </w:tcPr>
          <w:p w14:paraId="74816016"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0.591</w:t>
            </w:r>
          </w:p>
        </w:tc>
        <w:tc>
          <w:tcPr>
            <w:tcW w:w="795" w:type="dxa"/>
          </w:tcPr>
          <w:p w14:paraId="22502381"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6</w:t>
            </w:r>
          </w:p>
        </w:tc>
      </w:tr>
      <w:tr w:rsidR="00A226D9" w:rsidRPr="00FB0908" w14:paraId="79391F62" w14:textId="77777777" w:rsidTr="00FB09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72D10EAF" w14:textId="77777777" w:rsidR="00A226D9" w:rsidRPr="00FB0908" w:rsidRDefault="00A226D9" w:rsidP="00245B2C">
            <w:pPr>
              <w:spacing w:after="0" w:line="240" w:lineRule="auto"/>
              <w:jc w:val="both"/>
              <w:rPr>
                <w:rFonts w:ascii="Times New Roman" w:hAnsi="Times New Roman" w:cs="Times New Roman"/>
                <w:b w:val="0"/>
                <w:bCs w:val="0"/>
                <w:color w:val="000000"/>
                <w:sz w:val="20"/>
                <w:szCs w:val="20"/>
              </w:rPr>
            </w:pPr>
            <w:r w:rsidRPr="00FB0908">
              <w:rPr>
                <w:rFonts w:ascii="Times New Roman" w:hAnsi="Times New Roman" w:cs="Times New Roman"/>
                <w:b w:val="0"/>
                <w:bCs w:val="0"/>
                <w:color w:val="000000"/>
                <w:sz w:val="20"/>
                <w:szCs w:val="20"/>
              </w:rPr>
              <w:t>9.</w:t>
            </w:r>
          </w:p>
        </w:tc>
        <w:tc>
          <w:tcPr>
            <w:tcW w:w="3449" w:type="dxa"/>
          </w:tcPr>
          <w:p w14:paraId="592D3B18"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 xml:space="preserve">Lack of knowledge </w:t>
            </w:r>
          </w:p>
        </w:tc>
        <w:tc>
          <w:tcPr>
            <w:tcW w:w="562" w:type="dxa"/>
          </w:tcPr>
          <w:p w14:paraId="3740FABC"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18</w:t>
            </w:r>
          </w:p>
        </w:tc>
        <w:tc>
          <w:tcPr>
            <w:tcW w:w="456" w:type="dxa"/>
          </w:tcPr>
          <w:p w14:paraId="52DFD12B"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22</w:t>
            </w:r>
          </w:p>
        </w:tc>
        <w:tc>
          <w:tcPr>
            <w:tcW w:w="456" w:type="dxa"/>
          </w:tcPr>
          <w:p w14:paraId="6F683469"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24</w:t>
            </w:r>
          </w:p>
        </w:tc>
        <w:tc>
          <w:tcPr>
            <w:tcW w:w="562" w:type="dxa"/>
          </w:tcPr>
          <w:p w14:paraId="0BAF9F87"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11</w:t>
            </w:r>
          </w:p>
        </w:tc>
        <w:tc>
          <w:tcPr>
            <w:tcW w:w="456" w:type="dxa"/>
          </w:tcPr>
          <w:p w14:paraId="6B87A96D"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15</w:t>
            </w:r>
          </w:p>
        </w:tc>
        <w:tc>
          <w:tcPr>
            <w:tcW w:w="699" w:type="dxa"/>
          </w:tcPr>
          <w:p w14:paraId="4E7B9AF4"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90</w:t>
            </w:r>
          </w:p>
        </w:tc>
        <w:tc>
          <w:tcPr>
            <w:tcW w:w="717" w:type="dxa"/>
          </w:tcPr>
          <w:p w14:paraId="76F47341"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253</w:t>
            </w:r>
          </w:p>
        </w:tc>
        <w:tc>
          <w:tcPr>
            <w:tcW w:w="636" w:type="dxa"/>
          </w:tcPr>
          <w:p w14:paraId="1AF6850B"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0.562</w:t>
            </w:r>
          </w:p>
        </w:tc>
        <w:tc>
          <w:tcPr>
            <w:tcW w:w="795" w:type="dxa"/>
          </w:tcPr>
          <w:p w14:paraId="7E5AB75B"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8</w:t>
            </w:r>
          </w:p>
        </w:tc>
      </w:tr>
      <w:tr w:rsidR="00A226D9" w:rsidRPr="00FB0908" w14:paraId="51F16095" w14:textId="77777777" w:rsidTr="00FB0908">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1F75E039" w14:textId="77777777" w:rsidR="00A226D9" w:rsidRPr="00FB0908" w:rsidRDefault="00A226D9" w:rsidP="00245B2C">
            <w:pPr>
              <w:spacing w:after="0" w:line="240" w:lineRule="auto"/>
              <w:jc w:val="both"/>
              <w:rPr>
                <w:rFonts w:ascii="Times New Roman" w:hAnsi="Times New Roman" w:cs="Times New Roman"/>
                <w:b w:val="0"/>
                <w:bCs w:val="0"/>
                <w:color w:val="000000"/>
                <w:sz w:val="20"/>
                <w:szCs w:val="20"/>
              </w:rPr>
            </w:pPr>
            <w:r w:rsidRPr="00FB0908">
              <w:rPr>
                <w:rFonts w:ascii="Times New Roman" w:hAnsi="Times New Roman" w:cs="Times New Roman"/>
                <w:b w:val="0"/>
                <w:bCs w:val="0"/>
                <w:color w:val="000000"/>
                <w:sz w:val="20"/>
                <w:szCs w:val="20"/>
              </w:rPr>
              <w:t>10.</w:t>
            </w:r>
          </w:p>
        </w:tc>
        <w:tc>
          <w:tcPr>
            <w:tcW w:w="3449" w:type="dxa"/>
          </w:tcPr>
          <w:p w14:paraId="0827BAA9" w14:textId="77777777" w:rsidR="00A226D9" w:rsidRPr="00FB0908" w:rsidRDefault="00A226D9" w:rsidP="00245B2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 xml:space="preserve">Lack of experience, and understanding </w:t>
            </w:r>
          </w:p>
        </w:tc>
        <w:tc>
          <w:tcPr>
            <w:tcW w:w="562" w:type="dxa"/>
          </w:tcPr>
          <w:p w14:paraId="77309199"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20</w:t>
            </w:r>
          </w:p>
        </w:tc>
        <w:tc>
          <w:tcPr>
            <w:tcW w:w="456" w:type="dxa"/>
          </w:tcPr>
          <w:p w14:paraId="1D4EA13B"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22</w:t>
            </w:r>
          </w:p>
        </w:tc>
        <w:tc>
          <w:tcPr>
            <w:tcW w:w="456" w:type="dxa"/>
          </w:tcPr>
          <w:p w14:paraId="6C8C17A4"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18</w:t>
            </w:r>
          </w:p>
        </w:tc>
        <w:tc>
          <w:tcPr>
            <w:tcW w:w="562" w:type="dxa"/>
          </w:tcPr>
          <w:p w14:paraId="5573EC28"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20</w:t>
            </w:r>
          </w:p>
        </w:tc>
        <w:tc>
          <w:tcPr>
            <w:tcW w:w="456" w:type="dxa"/>
          </w:tcPr>
          <w:p w14:paraId="5B37A4DA"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10</w:t>
            </w:r>
          </w:p>
        </w:tc>
        <w:tc>
          <w:tcPr>
            <w:tcW w:w="699" w:type="dxa"/>
          </w:tcPr>
          <w:p w14:paraId="00BC35BC"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90</w:t>
            </w:r>
          </w:p>
        </w:tc>
        <w:tc>
          <w:tcPr>
            <w:tcW w:w="717" w:type="dxa"/>
          </w:tcPr>
          <w:p w14:paraId="4F662E69" w14:textId="77777777" w:rsidR="00A226D9" w:rsidRPr="00FB0908" w:rsidRDefault="00A226D9" w:rsidP="00245B2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248</w:t>
            </w:r>
          </w:p>
        </w:tc>
        <w:tc>
          <w:tcPr>
            <w:tcW w:w="636" w:type="dxa"/>
          </w:tcPr>
          <w:p w14:paraId="1E0F4611"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0.551</w:t>
            </w:r>
          </w:p>
        </w:tc>
        <w:tc>
          <w:tcPr>
            <w:tcW w:w="795" w:type="dxa"/>
          </w:tcPr>
          <w:p w14:paraId="4AFFC9E6"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11</w:t>
            </w:r>
          </w:p>
        </w:tc>
      </w:tr>
      <w:tr w:rsidR="00A226D9" w:rsidRPr="00FB0908" w14:paraId="53133AD4" w14:textId="77777777" w:rsidTr="00FB09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341320C7" w14:textId="77777777" w:rsidR="00A226D9" w:rsidRPr="00FB0908" w:rsidRDefault="00A226D9" w:rsidP="00245B2C">
            <w:pPr>
              <w:spacing w:after="0" w:line="240" w:lineRule="auto"/>
              <w:jc w:val="both"/>
              <w:rPr>
                <w:rFonts w:ascii="Times New Roman" w:hAnsi="Times New Roman" w:cs="Times New Roman"/>
                <w:b w:val="0"/>
                <w:bCs w:val="0"/>
                <w:color w:val="000000"/>
                <w:sz w:val="20"/>
                <w:szCs w:val="20"/>
              </w:rPr>
            </w:pPr>
            <w:r w:rsidRPr="00FB0908">
              <w:rPr>
                <w:rFonts w:ascii="Times New Roman" w:hAnsi="Times New Roman" w:cs="Times New Roman"/>
                <w:b w:val="0"/>
                <w:bCs w:val="0"/>
                <w:color w:val="000000"/>
                <w:sz w:val="20"/>
                <w:szCs w:val="20"/>
              </w:rPr>
              <w:t>11.</w:t>
            </w:r>
          </w:p>
        </w:tc>
        <w:tc>
          <w:tcPr>
            <w:tcW w:w="3449" w:type="dxa"/>
          </w:tcPr>
          <w:p w14:paraId="5CDD344E"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Cultural and social resistance</w:t>
            </w:r>
          </w:p>
        </w:tc>
        <w:tc>
          <w:tcPr>
            <w:tcW w:w="562" w:type="dxa"/>
          </w:tcPr>
          <w:p w14:paraId="2D2C6F27"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13</w:t>
            </w:r>
          </w:p>
        </w:tc>
        <w:tc>
          <w:tcPr>
            <w:tcW w:w="456" w:type="dxa"/>
          </w:tcPr>
          <w:p w14:paraId="1CB0E457"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24</w:t>
            </w:r>
          </w:p>
        </w:tc>
        <w:tc>
          <w:tcPr>
            <w:tcW w:w="456" w:type="dxa"/>
          </w:tcPr>
          <w:p w14:paraId="4934A7C9"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17</w:t>
            </w:r>
          </w:p>
        </w:tc>
        <w:tc>
          <w:tcPr>
            <w:tcW w:w="562" w:type="dxa"/>
          </w:tcPr>
          <w:p w14:paraId="04159D1E"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10</w:t>
            </w:r>
          </w:p>
        </w:tc>
        <w:tc>
          <w:tcPr>
            <w:tcW w:w="456" w:type="dxa"/>
          </w:tcPr>
          <w:p w14:paraId="4C394C3C"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26</w:t>
            </w:r>
          </w:p>
        </w:tc>
        <w:tc>
          <w:tcPr>
            <w:tcW w:w="699" w:type="dxa"/>
          </w:tcPr>
          <w:p w14:paraId="4D2E6673"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90</w:t>
            </w:r>
          </w:p>
        </w:tc>
        <w:tc>
          <w:tcPr>
            <w:tcW w:w="717" w:type="dxa"/>
          </w:tcPr>
          <w:p w14:paraId="081D1CA7"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282</w:t>
            </w:r>
          </w:p>
        </w:tc>
        <w:tc>
          <w:tcPr>
            <w:tcW w:w="636" w:type="dxa"/>
          </w:tcPr>
          <w:p w14:paraId="5FE0E219"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0.627</w:t>
            </w:r>
          </w:p>
        </w:tc>
        <w:tc>
          <w:tcPr>
            <w:tcW w:w="795" w:type="dxa"/>
          </w:tcPr>
          <w:p w14:paraId="514EB219"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4</w:t>
            </w:r>
          </w:p>
        </w:tc>
      </w:tr>
      <w:tr w:rsidR="00A226D9" w:rsidRPr="00FB0908" w14:paraId="1F1A2A64" w14:textId="77777777" w:rsidTr="00FB0908">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23C4B760" w14:textId="77777777" w:rsidR="00A226D9" w:rsidRPr="00FB0908" w:rsidRDefault="00A226D9" w:rsidP="00245B2C">
            <w:pPr>
              <w:spacing w:after="0" w:line="240" w:lineRule="auto"/>
              <w:jc w:val="both"/>
              <w:rPr>
                <w:rFonts w:ascii="Times New Roman" w:hAnsi="Times New Roman" w:cs="Times New Roman"/>
                <w:b w:val="0"/>
                <w:bCs w:val="0"/>
                <w:color w:val="000000"/>
                <w:sz w:val="20"/>
                <w:szCs w:val="20"/>
              </w:rPr>
            </w:pPr>
            <w:r w:rsidRPr="00FB0908">
              <w:rPr>
                <w:rFonts w:ascii="Times New Roman" w:hAnsi="Times New Roman" w:cs="Times New Roman"/>
                <w:b w:val="0"/>
                <w:bCs w:val="0"/>
                <w:color w:val="000000"/>
                <w:sz w:val="20"/>
                <w:szCs w:val="20"/>
              </w:rPr>
              <w:t>12.</w:t>
            </w:r>
          </w:p>
        </w:tc>
        <w:tc>
          <w:tcPr>
            <w:tcW w:w="3449" w:type="dxa"/>
          </w:tcPr>
          <w:p w14:paraId="4CBBA7FB" w14:textId="77777777" w:rsidR="00A226D9" w:rsidRPr="00FB0908" w:rsidRDefault="00A226D9" w:rsidP="00245B2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Lack of incentives for promoting green building</w:t>
            </w:r>
          </w:p>
        </w:tc>
        <w:tc>
          <w:tcPr>
            <w:tcW w:w="562" w:type="dxa"/>
          </w:tcPr>
          <w:p w14:paraId="5628144F"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15</w:t>
            </w:r>
          </w:p>
        </w:tc>
        <w:tc>
          <w:tcPr>
            <w:tcW w:w="456" w:type="dxa"/>
          </w:tcPr>
          <w:p w14:paraId="5AA00984"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34</w:t>
            </w:r>
          </w:p>
        </w:tc>
        <w:tc>
          <w:tcPr>
            <w:tcW w:w="456" w:type="dxa"/>
          </w:tcPr>
          <w:p w14:paraId="4899FF98"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14</w:t>
            </w:r>
          </w:p>
        </w:tc>
        <w:tc>
          <w:tcPr>
            <w:tcW w:w="562" w:type="dxa"/>
          </w:tcPr>
          <w:p w14:paraId="56EF409C"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14</w:t>
            </w:r>
          </w:p>
        </w:tc>
        <w:tc>
          <w:tcPr>
            <w:tcW w:w="456" w:type="dxa"/>
          </w:tcPr>
          <w:p w14:paraId="338E8B12"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13</w:t>
            </w:r>
          </w:p>
        </w:tc>
        <w:tc>
          <w:tcPr>
            <w:tcW w:w="699" w:type="dxa"/>
          </w:tcPr>
          <w:p w14:paraId="7E7A08AD"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90</w:t>
            </w:r>
          </w:p>
        </w:tc>
        <w:tc>
          <w:tcPr>
            <w:tcW w:w="717" w:type="dxa"/>
          </w:tcPr>
          <w:p w14:paraId="2AABDE91" w14:textId="77777777" w:rsidR="00A226D9" w:rsidRPr="00FB0908" w:rsidRDefault="00A226D9" w:rsidP="00245B2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246</w:t>
            </w:r>
          </w:p>
        </w:tc>
        <w:tc>
          <w:tcPr>
            <w:tcW w:w="636" w:type="dxa"/>
          </w:tcPr>
          <w:p w14:paraId="1E86351F"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0.547</w:t>
            </w:r>
          </w:p>
        </w:tc>
        <w:tc>
          <w:tcPr>
            <w:tcW w:w="795" w:type="dxa"/>
          </w:tcPr>
          <w:p w14:paraId="1DB0B4F0"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13</w:t>
            </w:r>
          </w:p>
        </w:tc>
      </w:tr>
      <w:tr w:rsidR="00A226D9" w:rsidRPr="00FB0908" w14:paraId="589ACC60" w14:textId="77777777" w:rsidTr="00FB09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49D8F194" w14:textId="77777777" w:rsidR="00A226D9" w:rsidRPr="00FB0908" w:rsidRDefault="00A226D9" w:rsidP="00245B2C">
            <w:pPr>
              <w:spacing w:after="0" w:line="240" w:lineRule="auto"/>
              <w:jc w:val="both"/>
              <w:rPr>
                <w:rFonts w:ascii="Times New Roman" w:hAnsi="Times New Roman" w:cs="Times New Roman"/>
                <w:b w:val="0"/>
                <w:bCs w:val="0"/>
                <w:color w:val="000000"/>
                <w:sz w:val="20"/>
                <w:szCs w:val="20"/>
              </w:rPr>
            </w:pPr>
            <w:r w:rsidRPr="00FB0908">
              <w:rPr>
                <w:rFonts w:ascii="Times New Roman" w:hAnsi="Times New Roman" w:cs="Times New Roman"/>
                <w:b w:val="0"/>
                <w:bCs w:val="0"/>
                <w:color w:val="000000"/>
                <w:sz w:val="20"/>
                <w:szCs w:val="20"/>
              </w:rPr>
              <w:t>13.</w:t>
            </w:r>
          </w:p>
        </w:tc>
        <w:tc>
          <w:tcPr>
            <w:tcW w:w="3449" w:type="dxa"/>
          </w:tcPr>
          <w:p w14:paraId="22B89DE6"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Inadequate cost data for green buildings</w:t>
            </w:r>
          </w:p>
        </w:tc>
        <w:tc>
          <w:tcPr>
            <w:tcW w:w="562" w:type="dxa"/>
          </w:tcPr>
          <w:p w14:paraId="1F8E3FF2"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12</w:t>
            </w:r>
          </w:p>
        </w:tc>
        <w:tc>
          <w:tcPr>
            <w:tcW w:w="456" w:type="dxa"/>
          </w:tcPr>
          <w:p w14:paraId="2F37F404"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19</w:t>
            </w:r>
          </w:p>
        </w:tc>
        <w:tc>
          <w:tcPr>
            <w:tcW w:w="456" w:type="dxa"/>
          </w:tcPr>
          <w:p w14:paraId="109913C6"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17</w:t>
            </w:r>
          </w:p>
        </w:tc>
        <w:tc>
          <w:tcPr>
            <w:tcW w:w="562" w:type="dxa"/>
          </w:tcPr>
          <w:p w14:paraId="5B984FFF"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11</w:t>
            </w:r>
          </w:p>
        </w:tc>
        <w:tc>
          <w:tcPr>
            <w:tcW w:w="456" w:type="dxa"/>
          </w:tcPr>
          <w:p w14:paraId="7D41C4E5"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21</w:t>
            </w:r>
          </w:p>
        </w:tc>
        <w:tc>
          <w:tcPr>
            <w:tcW w:w="699" w:type="dxa"/>
          </w:tcPr>
          <w:p w14:paraId="5F2B8E89"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90</w:t>
            </w:r>
          </w:p>
        </w:tc>
        <w:tc>
          <w:tcPr>
            <w:tcW w:w="717" w:type="dxa"/>
          </w:tcPr>
          <w:p w14:paraId="2507F5AA"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250</w:t>
            </w:r>
          </w:p>
        </w:tc>
        <w:tc>
          <w:tcPr>
            <w:tcW w:w="636" w:type="dxa"/>
          </w:tcPr>
          <w:p w14:paraId="3D6830B5"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0.556</w:t>
            </w:r>
          </w:p>
        </w:tc>
        <w:tc>
          <w:tcPr>
            <w:tcW w:w="795" w:type="dxa"/>
          </w:tcPr>
          <w:p w14:paraId="61216133"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10</w:t>
            </w:r>
          </w:p>
        </w:tc>
      </w:tr>
      <w:tr w:rsidR="00A226D9" w:rsidRPr="00FB0908" w14:paraId="2E134F58" w14:textId="77777777" w:rsidTr="00FB0908">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459F5977" w14:textId="77777777" w:rsidR="00A226D9" w:rsidRPr="00FB0908" w:rsidRDefault="00A226D9" w:rsidP="00245B2C">
            <w:pPr>
              <w:spacing w:after="0" w:line="240" w:lineRule="auto"/>
              <w:jc w:val="both"/>
              <w:rPr>
                <w:rFonts w:ascii="Times New Roman" w:hAnsi="Times New Roman" w:cs="Times New Roman"/>
                <w:b w:val="0"/>
                <w:bCs w:val="0"/>
                <w:color w:val="000000"/>
                <w:sz w:val="20"/>
                <w:szCs w:val="20"/>
              </w:rPr>
            </w:pPr>
            <w:r w:rsidRPr="00FB0908">
              <w:rPr>
                <w:rFonts w:ascii="Times New Roman" w:hAnsi="Times New Roman" w:cs="Times New Roman"/>
                <w:b w:val="0"/>
                <w:bCs w:val="0"/>
                <w:color w:val="000000"/>
                <w:sz w:val="20"/>
                <w:szCs w:val="20"/>
              </w:rPr>
              <w:t>14.</w:t>
            </w:r>
          </w:p>
        </w:tc>
        <w:tc>
          <w:tcPr>
            <w:tcW w:w="3449" w:type="dxa"/>
          </w:tcPr>
          <w:p w14:paraId="0D37F4DD" w14:textId="77777777" w:rsidR="00A226D9" w:rsidRPr="00FB0908" w:rsidRDefault="00A226D9" w:rsidP="00245B2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Limited range of green products and materials</w:t>
            </w:r>
          </w:p>
        </w:tc>
        <w:tc>
          <w:tcPr>
            <w:tcW w:w="562" w:type="dxa"/>
          </w:tcPr>
          <w:p w14:paraId="36B97277"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28</w:t>
            </w:r>
          </w:p>
        </w:tc>
        <w:tc>
          <w:tcPr>
            <w:tcW w:w="456" w:type="dxa"/>
          </w:tcPr>
          <w:p w14:paraId="03691135"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22</w:t>
            </w:r>
          </w:p>
        </w:tc>
        <w:tc>
          <w:tcPr>
            <w:tcW w:w="456" w:type="dxa"/>
          </w:tcPr>
          <w:p w14:paraId="70C5C6CA"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14</w:t>
            </w:r>
          </w:p>
        </w:tc>
        <w:tc>
          <w:tcPr>
            <w:tcW w:w="562" w:type="dxa"/>
          </w:tcPr>
          <w:p w14:paraId="6E68177C"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11</w:t>
            </w:r>
          </w:p>
        </w:tc>
        <w:tc>
          <w:tcPr>
            <w:tcW w:w="456" w:type="dxa"/>
          </w:tcPr>
          <w:p w14:paraId="2A59E3AA"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15</w:t>
            </w:r>
          </w:p>
        </w:tc>
        <w:tc>
          <w:tcPr>
            <w:tcW w:w="699" w:type="dxa"/>
          </w:tcPr>
          <w:p w14:paraId="557FAEB9"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90</w:t>
            </w:r>
          </w:p>
        </w:tc>
        <w:tc>
          <w:tcPr>
            <w:tcW w:w="717" w:type="dxa"/>
          </w:tcPr>
          <w:p w14:paraId="1E5ED15E" w14:textId="77777777" w:rsidR="00A226D9" w:rsidRPr="00FB0908" w:rsidRDefault="00A226D9" w:rsidP="00245B2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233</w:t>
            </w:r>
          </w:p>
        </w:tc>
        <w:tc>
          <w:tcPr>
            <w:tcW w:w="636" w:type="dxa"/>
          </w:tcPr>
          <w:p w14:paraId="3692B4AD"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0.518</w:t>
            </w:r>
          </w:p>
        </w:tc>
        <w:tc>
          <w:tcPr>
            <w:tcW w:w="795" w:type="dxa"/>
          </w:tcPr>
          <w:p w14:paraId="352A2D29" w14:textId="77777777" w:rsidR="00A226D9" w:rsidRPr="00FB0908" w:rsidRDefault="00A226D9" w:rsidP="00245B2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15</w:t>
            </w:r>
          </w:p>
        </w:tc>
      </w:tr>
      <w:tr w:rsidR="00A226D9" w:rsidRPr="00FB0908" w14:paraId="2E22C2D9" w14:textId="77777777" w:rsidTr="00FB09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35D7A774" w14:textId="77777777" w:rsidR="00A226D9" w:rsidRPr="00FB0908" w:rsidRDefault="00A226D9" w:rsidP="00245B2C">
            <w:pPr>
              <w:spacing w:after="0" w:line="240" w:lineRule="auto"/>
              <w:jc w:val="both"/>
              <w:rPr>
                <w:rFonts w:ascii="Times New Roman" w:hAnsi="Times New Roman" w:cs="Times New Roman"/>
                <w:b w:val="0"/>
                <w:bCs w:val="0"/>
                <w:color w:val="000000"/>
                <w:sz w:val="20"/>
                <w:szCs w:val="20"/>
              </w:rPr>
            </w:pPr>
            <w:r w:rsidRPr="00FB0908">
              <w:rPr>
                <w:rFonts w:ascii="Times New Roman" w:hAnsi="Times New Roman" w:cs="Times New Roman"/>
                <w:b w:val="0"/>
                <w:bCs w:val="0"/>
                <w:color w:val="000000"/>
                <w:sz w:val="20"/>
                <w:szCs w:val="20"/>
              </w:rPr>
              <w:t>15.</w:t>
            </w:r>
          </w:p>
        </w:tc>
        <w:tc>
          <w:tcPr>
            <w:tcW w:w="3449" w:type="dxa"/>
          </w:tcPr>
          <w:p w14:paraId="2D3FE7BB"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Delays in obtaining certification and permits for green buildings</w:t>
            </w:r>
          </w:p>
        </w:tc>
        <w:tc>
          <w:tcPr>
            <w:tcW w:w="562" w:type="dxa"/>
          </w:tcPr>
          <w:p w14:paraId="07A9BB91"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28</w:t>
            </w:r>
          </w:p>
        </w:tc>
        <w:tc>
          <w:tcPr>
            <w:tcW w:w="456" w:type="dxa"/>
          </w:tcPr>
          <w:p w14:paraId="158D59DC"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18</w:t>
            </w:r>
          </w:p>
        </w:tc>
        <w:tc>
          <w:tcPr>
            <w:tcW w:w="456" w:type="dxa"/>
          </w:tcPr>
          <w:p w14:paraId="6ABCF887"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18</w:t>
            </w:r>
          </w:p>
        </w:tc>
        <w:tc>
          <w:tcPr>
            <w:tcW w:w="562" w:type="dxa"/>
          </w:tcPr>
          <w:p w14:paraId="6E97484E"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11</w:t>
            </w:r>
          </w:p>
        </w:tc>
        <w:tc>
          <w:tcPr>
            <w:tcW w:w="456" w:type="dxa"/>
          </w:tcPr>
          <w:p w14:paraId="3CBDBC71"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15</w:t>
            </w:r>
          </w:p>
        </w:tc>
        <w:tc>
          <w:tcPr>
            <w:tcW w:w="699" w:type="dxa"/>
          </w:tcPr>
          <w:p w14:paraId="55F3084D"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90</w:t>
            </w:r>
          </w:p>
        </w:tc>
        <w:tc>
          <w:tcPr>
            <w:tcW w:w="717" w:type="dxa"/>
          </w:tcPr>
          <w:p w14:paraId="6792563A" w14:textId="77777777" w:rsidR="00A226D9" w:rsidRPr="00FB0908" w:rsidRDefault="00A226D9" w:rsidP="00245B2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237</w:t>
            </w:r>
          </w:p>
        </w:tc>
        <w:tc>
          <w:tcPr>
            <w:tcW w:w="636" w:type="dxa"/>
          </w:tcPr>
          <w:p w14:paraId="7402CA41"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0.527</w:t>
            </w:r>
          </w:p>
        </w:tc>
        <w:tc>
          <w:tcPr>
            <w:tcW w:w="795" w:type="dxa"/>
          </w:tcPr>
          <w:p w14:paraId="2A1621FD" w14:textId="77777777" w:rsidR="00A226D9" w:rsidRPr="00FB0908" w:rsidRDefault="00A226D9" w:rsidP="00245B2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B0908">
              <w:rPr>
                <w:rFonts w:ascii="Times New Roman" w:hAnsi="Times New Roman" w:cs="Times New Roman"/>
                <w:sz w:val="20"/>
                <w:szCs w:val="20"/>
              </w:rPr>
              <w:t>14</w:t>
            </w:r>
          </w:p>
        </w:tc>
      </w:tr>
    </w:tbl>
    <w:p w14:paraId="1E09C508" w14:textId="48D997D7" w:rsidR="00A226D9" w:rsidRDefault="00A226D9" w:rsidP="00245B2C">
      <w:pPr>
        <w:spacing w:after="0" w:line="240" w:lineRule="auto"/>
        <w:jc w:val="both"/>
        <w:rPr>
          <w:rFonts w:ascii="Times New Roman" w:hAnsi="Times New Roman" w:cs="Times New Roman"/>
          <w:bCs/>
          <w:sz w:val="24"/>
          <w:szCs w:val="24"/>
        </w:rPr>
      </w:pPr>
      <w:r w:rsidRPr="00BE4AF3">
        <w:rPr>
          <w:rFonts w:ascii="Times New Roman" w:hAnsi="Times New Roman" w:cs="Times New Roman"/>
          <w:sz w:val="24"/>
          <w:szCs w:val="24"/>
        </w:rPr>
        <w:t xml:space="preserve">Table 2 shows the relative significant index </w:t>
      </w:r>
      <w:r w:rsidRPr="00BE4AF3">
        <w:rPr>
          <w:rFonts w:ascii="Times New Roman" w:hAnsi="Times New Roman" w:cs="Times New Roman"/>
          <w:bCs/>
          <w:sz w:val="24"/>
          <w:szCs w:val="24"/>
        </w:rPr>
        <w:t xml:space="preserve">(RSI) </w:t>
      </w:r>
      <w:r w:rsidRPr="00BE4AF3">
        <w:rPr>
          <w:rFonts w:ascii="Times New Roman" w:hAnsi="Times New Roman" w:cs="Times New Roman"/>
          <w:sz w:val="24"/>
          <w:szCs w:val="24"/>
        </w:rPr>
        <w:t xml:space="preserve">of selected factors that is affecting construction innovation and sustainability in Nigeria. Lack of capital investment ranked first with RSI value of </w:t>
      </w:r>
      <w:r w:rsidRPr="00BE4AF3">
        <w:rPr>
          <w:rFonts w:ascii="Times New Roman" w:hAnsi="Times New Roman" w:cs="Times New Roman"/>
          <w:bCs/>
          <w:sz w:val="24"/>
          <w:szCs w:val="24"/>
        </w:rPr>
        <w:t xml:space="preserve">0.693 (69.30%), </w:t>
      </w:r>
      <w:r w:rsidRPr="00BE4AF3">
        <w:rPr>
          <w:rFonts w:ascii="Times New Roman" w:hAnsi="Times New Roman" w:cs="Times New Roman"/>
          <w:sz w:val="24"/>
          <w:szCs w:val="24"/>
        </w:rPr>
        <w:t>lack of technical expertise</w:t>
      </w:r>
      <w:r w:rsidRPr="00BE4AF3">
        <w:rPr>
          <w:rFonts w:ascii="Times New Roman" w:hAnsi="Times New Roman" w:cs="Times New Roman"/>
          <w:bCs/>
          <w:sz w:val="24"/>
          <w:szCs w:val="24"/>
        </w:rPr>
        <w:t xml:space="preserve"> and </w:t>
      </w:r>
      <w:r w:rsidRPr="00BE4AF3">
        <w:rPr>
          <w:rFonts w:ascii="Times New Roman" w:hAnsi="Times New Roman" w:cs="Times New Roman"/>
          <w:sz w:val="24"/>
          <w:szCs w:val="24"/>
        </w:rPr>
        <w:t>fear of liability and litigation</w:t>
      </w:r>
      <w:r w:rsidRPr="00BE4AF3">
        <w:rPr>
          <w:rFonts w:ascii="Times New Roman" w:hAnsi="Times New Roman" w:cs="Times New Roman"/>
          <w:bCs/>
          <w:sz w:val="24"/>
          <w:szCs w:val="24"/>
        </w:rPr>
        <w:t xml:space="preserve"> ranked second with RSI value of 0.631 (63.10%) followed by </w:t>
      </w:r>
      <w:r w:rsidRPr="00BE4AF3">
        <w:rPr>
          <w:rFonts w:ascii="Times New Roman" w:hAnsi="Times New Roman" w:cs="Times New Roman"/>
          <w:sz w:val="24"/>
          <w:szCs w:val="24"/>
        </w:rPr>
        <w:t xml:space="preserve">cultural and social resistance </w:t>
      </w:r>
      <w:r w:rsidRPr="00BE4AF3">
        <w:rPr>
          <w:rFonts w:ascii="Times New Roman" w:hAnsi="Times New Roman" w:cs="Times New Roman"/>
          <w:bCs/>
          <w:sz w:val="24"/>
          <w:szCs w:val="24"/>
        </w:rPr>
        <w:t xml:space="preserve">with RSI value of 0.627 </w:t>
      </w:r>
      <w:r w:rsidRPr="00BE4AF3">
        <w:rPr>
          <w:rFonts w:ascii="Times New Roman" w:hAnsi="Times New Roman" w:cs="Times New Roman"/>
          <w:bCs/>
          <w:sz w:val="24"/>
          <w:szCs w:val="24"/>
        </w:rPr>
        <w:lastRenderedPageBreak/>
        <w:t xml:space="preserve">(62.70%), </w:t>
      </w:r>
      <w:r w:rsidRPr="00BE4AF3">
        <w:rPr>
          <w:rFonts w:ascii="Times New Roman" w:hAnsi="Times New Roman" w:cs="Times New Roman"/>
          <w:sz w:val="24"/>
          <w:szCs w:val="24"/>
        </w:rPr>
        <w:t xml:space="preserve">lack of operation and maintenance support, slow attitude of industry professionals to change while limited range of green products and materials ranked least with RSI value of </w:t>
      </w:r>
      <w:r w:rsidRPr="00BE4AF3">
        <w:rPr>
          <w:rFonts w:ascii="Times New Roman" w:hAnsi="Times New Roman" w:cs="Times New Roman"/>
          <w:bCs/>
          <w:sz w:val="24"/>
          <w:szCs w:val="24"/>
        </w:rPr>
        <w:t>0.518 (51.80%) as a factor affecting the construction innovation and materials sustainability.</w:t>
      </w:r>
    </w:p>
    <w:p w14:paraId="2C9F439F" w14:textId="77777777" w:rsidR="00FB0908" w:rsidRPr="00FB0908" w:rsidRDefault="00FB0908" w:rsidP="00245B2C">
      <w:pPr>
        <w:spacing w:after="0" w:line="240" w:lineRule="auto"/>
        <w:jc w:val="both"/>
        <w:rPr>
          <w:rFonts w:ascii="Times New Roman" w:hAnsi="Times New Roman" w:cs="Times New Roman"/>
          <w:bCs/>
          <w:sz w:val="24"/>
          <w:szCs w:val="24"/>
        </w:rPr>
      </w:pPr>
    </w:p>
    <w:p w14:paraId="77D879C7" w14:textId="74F1ED12" w:rsidR="00A226D9" w:rsidRPr="00BE4AF3" w:rsidRDefault="00A226D9" w:rsidP="00245B2C">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 xml:space="preserve">Conclusion and recommendations </w:t>
      </w:r>
    </w:p>
    <w:p w14:paraId="29D342F1" w14:textId="77777777" w:rsidR="00FB0908" w:rsidRDefault="00FB0908" w:rsidP="00245B2C">
      <w:pPr>
        <w:spacing w:after="0" w:line="240" w:lineRule="auto"/>
        <w:jc w:val="both"/>
        <w:rPr>
          <w:rFonts w:ascii="Times New Roman" w:hAnsi="Times New Roman" w:cs="Times New Roman"/>
          <w:b/>
          <w:color w:val="000000"/>
          <w:sz w:val="24"/>
          <w:szCs w:val="24"/>
        </w:rPr>
      </w:pPr>
    </w:p>
    <w:p w14:paraId="46C4B823" w14:textId="03C7FA20" w:rsidR="00A226D9" w:rsidRPr="00BE4AF3" w:rsidRDefault="00A226D9" w:rsidP="00245B2C">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Conclusion</w:t>
      </w:r>
    </w:p>
    <w:p w14:paraId="03D8DF79" w14:textId="77777777" w:rsidR="00A226D9" w:rsidRPr="00BE4AF3" w:rsidRDefault="00A226D9" w:rsidP="00245B2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It was revealed the factors that is affecting construction innovation and materials sustainability in Nigeria were examined as follows among others. Based on the findings of this conference, the following conclusions were arrived at factors affecting construction innovation and sustainability in Nigeria. </w:t>
      </w:r>
    </w:p>
    <w:p w14:paraId="7FE2F3F1" w14:textId="77777777" w:rsidR="00FB0908" w:rsidRDefault="00FB0908" w:rsidP="00245B2C">
      <w:pPr>
        <w:spacing w:after="0" w:line="240" w:lineRule="auto"/>
        <w:jc w:val="both"/>
        <w:rPr>
          <w:rFonts w:ascii="Times New Roman" w:hAnsi="Times New Roman" w:cs="Times New Roman"/>
          <w:b/>
          <w:color w:val="000000"/>
          <w:sz w:val="24"/>
          <w:szCs w:val="24"/>
        </w:rPr>
      </w:pPr>
    </w:p>
    <w:p w14:paraId="3201E6BF" w14:textId="4C309C24" w:rsidR="00A226D9" w:rsidRPr="00BE4AF3" w:rsidRDefault="00A226D9" w:rsidP="00245B2C">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Recommendations</w:t>
      </w:r>
      <w:r w:rsidRPr="00BE4AF3">
        <w:rPr>
          <w:rFonts w:ascii="Times New Roman" w:hAnsi="Times New Roman" w:cs="Times New Roman"/>
          <w:sz w:val="24"/>
          <w:szCs w:val="24"/>
        </w:rPr>
        <w:t xml:space="preserve"> </w:t>
      </w:r>
    </w:p>
    <w:p w14:paraId="0DFDF34C" w14:textId="77777777" w:rsidR="00A226D9" w:rsidRPr="00BE4AF3" w:rsidRDefault="00A226D9" w:rsidP="00245B2C">
      <w:pPr>
        <w:spacing w:after="0" w:line="240" w:lineRule="auto"/>
        <w:jc w:val="both"/>
        <w:rPr>
          <w:rFonts w:ascii="Times New Roman" w:hAnsi="Times New Roman" w:cs="Times New Roman"/>
          <w:sz w:val="24"/>
          <w:szCs w:val="24"/>
        </w:rPr>
      </w:pPr>
      <w:r w:rsidRPr="00BE4AF3">
        <w:rPr>
          <w:rFonts w:ascii="Times New Roman" w:eastAsia="Times New Roman" w:hAnsi="Times New Roman" w:cs="Times New Roman"/>
          <w:sz w:val="24"/>
          <w:szCs w:val="24"/>
        </w:rPr>
        <w:t xml:space="preserve">The ultimate goal is to show that the construction industry can become a more resilient, effective, and </w:t>
      </w:r>
      <w:r w:rsidRPr="00BE4AF3">
        <w:rPr>
          <w:rFonts w:ascii="Times New Roman" w:hAnsi="Times New Roman" w:cs="Times New Roman"/>
          <w:sz w:val="24"/>
          <w:szCs w:val="24"/>
        </w:rPr>
        <w:t>environmentally</w:t>
      </w:r>
      <w:r w:rsidRPr="00BE4AF3">
        <w:rPr>
          <w:rFonts w:ascii="Times New Roman" w:eastAsia="Times New Roman" w:hAnsi="Times New Roman" w:cs="Times New Roman"/>
          <w:sz w:val="24"/>
          <w:szCs w:val="24"/>
        </w:rPr>
        <w:t xml:space="preserve"> conscious sector by embracing and investing in innovation, thereby making a substantial contribution to a sustainable built environment for the future generations. </w:t>
      </w:r>
      <w:r w:rsidRPr="00BE4AF3">
        <w:rPr>
          <w:rFonts w:ascii="Times New Roman" w:hAnsi="Times New Roman" w:cs="Times New Roman"/>
          <w:sz w:val="24"/>
          <w:szCs w:val="24"/>
        </w:rPr>
        <w:t>In view of the conclusions derived from this conference, the following recommendations were made:</w:t>
      </w:r>
    </w:p>
    <w:p w14:paraId="626B7024" w14:textId="77777777" w:rsidR="00A226D9" w:rsidRPr="00BE4AF3" w:rsidRDefault="00A226D9" w:rsidP="00245B2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i.</w:t>
      </w:r>
      <w:r w:rsidRPr="00BE4AF3">
        <w:rPr>
          <w:rFonts w:ascii="Times New Roman" w:hAnsi="Times New Roman" w:cs="Times New Roman"/>
          <w:sz w:val="24"/>
          <w:szCs w:val="24"/>
        </w:rPr>
        <w:tab/>
        <w:t xml:space="preserve">Government should promulgate a law to remove bureaucratic bottleneck that used to delays </w:t>
      </w:r>
      <w:r w:rsidRPr="00BE4AF3">
        <w:rPr>
          <w:rFonts w:ascii="Times New Roman" w:hAnsi="Times New Roman" w:cs="Times New Roman"/>
          <w:sz w:val="24"/>
          <w:szCs w:val="24"/>
        </w:rPr>
        <w:tab/>
        <w:t>in obtaining certification and permits for green buildings</w:t>
      </w:r>
    </w:p>
    <w:p w14:paraId="4EBA047F" w14:textId="77777777" w:rsidR="00A226D9" w:rsidRPr="00BE4AF3" w:rsidRDefault="00A226D9" w:rsidP="00245B2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ii.</w:t>
      </w:r>
      <w:r w:rsidRPr="00BE4AF3">
        <w:rPr>
          <w:rFonts w:ascii="Times New Roman" w:hAnsi="Times New Roman" w:cs="Times New Roman"/>
          <w:sz w:val="24"/>
          <w:szCs w:val="24"/>
        </w:rPr>
        <w:tab/>
        <w:t xml:space="preserve">It is important to provide adequate exposure and training for the construction industry </w:t>
      </w:r>
      <w:r w:rsidRPr="00BE4AF3">
        <w:rPr>
          <w:rFonts w:ascii="Times New Roman" w:hAnsi="Times New Roman" w:cs="Times New Roman"/>
          <w:sz w:val="24"/>
          <w:szCs w:val="24"/>
        </w:rPr>
        <w:tab/>
        <w:t xml:space="preserve">operatives through cross-fertilization of </w:t>
      </w:r>
      <w:r w:rsidRPr="00BE4AF3">
        <w:rPr>
          <w:rFonts w:ascii="Times New Roman" w:hAnsi="Times New Roman" w:cs="Times New Roman"/>
          <w:sz w:val="24"/>
          <w:szCs w:val="24"/>
        </w:rPr>
        <w:tab/>
        <w:t xml:space="preserve">knowledge and expertise with industry </w:t>
      </w:r>
      <w:r w:rsidRPr="00BE4AF3">
        <w:rPr>
          <w:rFonts w:ascii="Times New Roman" w:hAnsi="Times New Roman" w:cs="Times New Roman"/>
          <w:sz w:val="24"/>
          <w:szCs w:val="24"/>
        </w:rPr>
        <w:tab/>
        <w:t xml:space="preserve">professionals in </w:t>
      </w:r>
      <w:r w:rsidRPr="00BE4AF3">
        <w:rPr>
          <w:rFonts w:ascii="Times New Roman" w:hAnsi="Times New Roman" w:cs="Times New Roman"/>
          <w:sz w:val="24"/>
          <w:szCs w:val="24"/>
        </w:rPr>
        <w:tab/>
        <w:t>developed countries.</w:t>
      </w:r>
    </w:p>
    <w:p w14:paraId="514B59CC" w14:textId="77777777" w:rsidR="00A226D9" w:rsidRPr="00BE4AF3" w:rsidRDefault="00A226D9" w:rsidP="00245B2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iii.</w:t>
      </w:r>
      <w:r w:rsidRPr="00BE4AF3">
        <w:rPr>
          <w:rFonts w:ascii="Times New Roman" w:hAnsi="Times New Roman" w:cs="Times New Roman"/>
          <w:sz w:val="24"/>
          <w:szCs w:val="24"/>
        </w:rPr>
        <w:tab/>
        <w:t xml:space="preserve">Professionals are advised to encourage their prospective clients on the use of green building </w:t>
      </w:r>
      <w:r w:rsidRPr="00BE4AF3">
        <w:rPr>
          <w:rFonts w:ascii="Times New Roman" w:hAnsi="Times New Roman" w:cs="Times New Roman"/>
          <w:sz w:val="24"/>
          <w:szCs w:val="24"/>
        </w:rPr>
        <w:tab/>
        <w:t>technologies in their development projects.</w:t>
      </w:r>
    </w:p>
    <w:p w14:paraId="52C0C2E5" w14:textId="77777777" w:rsidR="00A226D9" w:rsidRPr="00BE4AF3" w:rsidRDefault="00A226D9" w:rsidP="00245B2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iv.</w:t>
      </w:r>
      <w:r w:rsidRPr="00BE4AF3">
        <w:rPr>
          <w:rFonts w:ascii="Times New Roman" w:hAnsi="Times New Roman" w:cs="Times New Roman"/>
          <w:sz w:val="24"/>
          <w:szCs w:val="24"/>
        </w:rPr>
        <w:tab/>
        <w:t xml:space="preserve">The government should provide legislation to mandate building owners to maintain their </w:t>
      </w:r>
      <w:r w:rsidRPr="00BE4AF3">
        <w:rPr>
          <w:rFonts w:ascii="Times New Roman" w:hAnsi="Times New Roman" w:cs="Times New Roman"/>
          <w:sz w:val="24"/>
          <w:szCs w:val="24"/>
        </w:rPr>
        <w:tab/>
        <w:t xml:space="preserve">existing </w:t>
      </w:r>
      <w:r w:rsidRPr="00BE4AF3">
        <w:rPr>
          <w:rFonts w:ascii="Times New Roman" w:hAnsi="Times New Roman" w:cs="Times New Roman"/>
          <w:sz w:val="24"/>
          <w:szCs w:val="24"/>
        </w:rPr>
        <w:tab/>
        <w:t>buildings to conform to certain set standards.</w:t>
      </w:r>
    </w:p>
    <w:p w14:paraId="4801B896" w14:textId="77777777" w:rsidR="00A226D9" w:rsidRPr="00BE4AF3" w:rsidRDefault="00A226D9" w:rsidP="00245B2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v.</w:t>
      </w:r>
      <w:r w:rsidRPr="00BE4AF3">
        <w:rPr>
          <w:rFonts w:ascii="Times New Roman" w:hAnsi="Times New Roman" w:cs="Times New Roman"/>
          <w:sz w:val="24"/>
          <w:szCs w:val="24"/>
        </w:rPr>
        <w:tab/>
        <w:t xml:space="preserve">It is also recommended that federal government should promote incentives for promoting </w:t>
      </w:r>
      <w:r w:rsidRPr="00BE4AF3">
        <w:rPr>
          <w:rFonts w:ascii="Times New Roman" w:hAnsi="Times New Roman" w:cs="Times New Roman"/>
          <w:sz w:val="24"/>
          <w:szCs w:val="24"/>
        </w:rPr>
        <w:tab/>
        <w:t xml:space="preserve">green </w:t>
      </w:r>
      <w:r w:rsidRPr="00BE4AF3">
        <w:rPr>
          <w:rFonts w:ascii="Times New Roman" w:hAnsi="Times New Roman" w:cs="Times New Roman"/>
          <w:sz w:val="24"/>
          <w:szCs w:val="24"/>
        </w:rPr>
        <w:tab/>
        <w:t xml:space="preserve">building by the government to enable middle income and low-income earners to be able to </w:t>
      </w:r>
      <w:r w:rsidRPr="00BE4AF3">
        <w:rPr>
          <w:rFonts w:ascii="Times New Roman" w:hAnsi="Times New Roman" w:cs="Times New Roman"/>
          <w:sz w:val="24"/>
          <w:szCs w:val="24"/>
        </w:rPr>
        <w:tab/>
        <w:t>cope with the financial requirements of the exercise.</w:t>
      </w:r>
    </w:p>
    <w:p w14:paraId="0AE6E647" w14:textId="77777777" w:rsidR="00FB0908" w:rsidRDefault="00FB0908" w:rsidP="00245B2C">
      <w:pPr>
        <w:spacing w:after="0" w:line="240" w:lineRule="auto"/>
        <w:jc w:val="both"/>
        <w:rPr>
          <w:rFonts w:ascii="Times New Roman" w:hAnsi="Times New Roman" w:cs="Times New Roman"/>
          <w:b/>
          <w:sz w:val="24"/>
          <w:szCs w:val="24"/>
        </w:rPr>
      </w:pPr>
    </w:p>
    <w:p w14:paraId="051333D4" w14:textId="40B56B6C" w:rsidR="00A226D9" w:rsidRPr="00BE4AF3" w:rsidRDefault="00A226D9" w:rsidP="00245B2C">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Reference</w:t>
      </w:r>
    </w:p>
    <w:p w14:paraId="4CB7FD9E" w14:textId="77777777" w:rsidR="00A226D9" w:rsidRPr="00FB0908" w:rsidRDefault="00A226D9" w:rsidP="00FB0908">
      <w:pPr>
        <w:spacing w:after="0" w:line="240" w:lineRule="auto"/>
        <w:ind w:left="851" w:hanging="851"/>
        <w:jc w:val="both"/>
        <w:rPr>
          <w:rFonts w:ascii="Times New Roman" w:hAnsi="Times New Roman" w:cs="Times New Roman"/>
          <w:sz w:val="24"/>
          <w:szCs w:val="24"/>
        </w:rPr>
      </w:pPr>
      <w:r w:rsidRPr="00FB0908">
        <w:rPr>
          <w:rFonts w:ascii="Times New Roman" w:hAnsi="Times New Roman" w:cs="Times New Roman"/>
          <w:sz w:val="24"/>
          <w:szCs w:val="24"/>
        </w:rPr>
        <w:t>Alaloul, W.S.; Musarat, M.A.; Rabbani, M.B.A.; Altaf, M.; Alzubi, K.M.; Al Salaheen, M. Assessment of Economic Sustainability in the Construction Sector: Evidence from Three Developed Countries (the USA, China, and the UK). Sustainability 2022, 14, 6326. https://doi.org/ 10.3390/su14106326</w:t>
      </w:r>
    </w:p>
    <w:p w14:paraId="498979AE" w14:textId="77777777" w:rsidR="00A226D9" w:rsidRPr="00FB0908" w:rsidRDefault="00A226D9" w:rsidP="00FB0908">
      <w:pPr>
        <w:spacing w:after="0" w:line="240" w:lineRule="auto"/>
        <w:ind w:left="851" w:hanging="851"/>
        <w:jc w:val="both"/>
        <w:rPr>
          <w:rFonts w:ascii="Times New Roman" w:hAnsi="Times New Roman" w:cs="Times New Roman"/>
          <w:sz w:val="24"/>
          <w:szCs w:val="24"/>
        </w:rPr>
      </w:pPr>
      <w:r w:rsidRPr="00FB0908">
        <w:rPr>
          <w:rFonts w:ascii="Times New Roman" w:hAnsi="Times New Roman" w:cs="Times New Roman"/>
          <w:sz w:val="24"/>
          <w:szCs w:val="24"/>
        </w:rPr>
        <w:t xml:space="preserve">Amoah, C. and Smith, J. (2022): Barriers to the green retrofitting of existing residential buildings. Journal of Facilities Management </w:t>
      </w:r>
    </w:p>
    <w:p w14:paraId="3A0DD58A" w14:textId="77777777" w:rsidR="00A226D9" w:rsidRPr="00FB0908" w:rsidRDefault="00A226D9" w:rsidP="00FB0908">
      <w:pPr>
        <w:spacing w:after="0" w:line="240" w:lineRule="auto"/>
        <w:ind w:left="851" w:hanging="851"/>
        <w:jc w:val="both"/>
        <w:rPr>
          <w:rFonts w:ascii="Times New Roman" w:hAnsi="Times New Roman" w:cs="Times New Roman"/>
          <w:sz w:val="24"/>
          <w:szCs w:val="24"/>
        </w:rPr>
      </w:pPr>
      <w:r w:rsidRPr="00FB0908">
        <w:rPr>
          <w:rFonts w:ascii="Times New Roman" w:hAnsi="Times New Roman" w:cs="Times New Roman"/>
          <w:sz w:val="24"/>
          <w:szCs w:val="24"/>
        </w:rPr>
        <w:t>Amuda-Yusuf, G.; Raheem, W. M.; Adebiyi, R. T. Abdulraheem, M. O.; Idris, S. and Eluwa, S. E. (2020): Barrier Factors Affecting Adoption of Green Building Technologies in Nigeria. Built Environment Journal. 17(2). Pp. 37 – 48</w:t>
      </w:r>
    </w:p>
    <w:p w14:paraId="3FC5D3FE" w14:textId="77777777" w:rsidR="00A226D9" w:rsidRPr="00FB0908" w:rsidRDefault="00A226D9" w:rsidP="00FB0908">
      <w:pPr>
        <w:spacing w:after="0" w:line="240" w:lineRule="auto"/>
        <w:ind w:left="851" w:hanging="851"/>
        <w:jc w:val="both"/>
        <w:rPr>
          <w:rFonts w:ascii="Times New Roman" w:hAnsi="Times New Roman" w:cs="Times New Roman"/>
          <w:sz w:val="24"/>
          <w:szCs w:val="24"/>
        </w:rPr>
      </w:pPr>
      <w:r w:rsidRPr="00FB0908">
        <w:rPr>
          <w:rFonts w:ascii="Times New Roman" w:hAnsi="Times New Roman" w:cs="Times New Roman"/>
          <w:sz w:val="24"/>
          <w:szCs w:val="24"/>
        </w:rPr>
        <w:t>Ayeniyo O. and Oluwale B. (2025). Analysis of Professionals’ Competence in the Building Construction Sector in Nigeria: Implications for Sustainable Construction Industry. Journal of African Innovation &amp; Advanced Studies (JAIAS). VOL. 09 NO. 2, AUGUST, 2025 E-ISSN 3027-1533 P-ISSN 3026-8648. DOI: https://doi.org/10.70382/ajaias.v9i2.037</w:t>
      </w:r>
    </w:p>
    <w:p w14:paraId="23628E58" w14:textId="77777777" w:rsidR="00A226D9" w:rsidRPr="00FB0908" w:rsidRDefault="00A226D9" w:rsidP="00FB0908">
      <w:pPr>
        <w:spacing w:after="0" w:line="240" w:lineRule="auto"/>
        <w:ind w:left="851" w:hanging="851"/>
        <w:jc w:val="both"/>
        <w:rPr>
          <w:rFonts w:ascii="Times New Roman" w:hAnsi="Times New Roman" w:cs="Times New Roman"/>
          <w:sz w:val="24"/>
          <w:szCs w:val="24"/>
        </w:rPr>
      </w:pPr>
      <w:r w:rsidRPr="00FB0908">
        <w:rPr>
          <w:rFonts w:ascii="Times New Roman" w:hAnsi="Times New Roman" w:cs="Times New Roman"/>
          <w:sz w:val="24"/>
          <w:szCs w:val="24"/>
        </w:rPr>
        <w:lastRenderedPageBreak/>
        <w:t xml:space="preserve">Che Husin, S. M.; Mohd Zaki, N. I. and Abu Husain, M. K. (2019): Implementing Sustainability in Existing Building Through Retrofitting Measures. International Journal of Civil Engineering and Technology. 10(1). Pp. 1450 – 1471 </w:t>
      </w:r>
    </w:p>
    <w:p w14:paraId="16FB7BFF" w14:textId="77777777" w:rsidR="00A226D9" w:rsidRPr="00FB0908" w:rsidRDefault="00A226D9" w:rsidP="00FB0908">
      <w:pPr>
        <w:spacing w:after="0" w:line="240" w:lineRule="auto"/>
        <w:ind w:left="851" w:hanging="851"/>
        <w:jc w:val="both"/>
        <w:rPr>
          <w:rFonts w:ascii="Times New Roman" w:hAnsi="Times New Roman" w:cs="Times New Roman"/>
          <w:sz w:val="24"/>
          <w:szCs w:val="24"/>
        </w:rPr>
      </w:pPr>
      <w:r w:rsidRPr="00FB0908">
        <w:rPr>
          <w:rFonts w:ascii="Times New Roman" w:hAnsi="Times New Roman" w:cs="Times New Roman"/>
          <w:sz w:val="24"/>
          <w:szCs w:val="24"/>
        </w:rPr>
        <w:t xml:space="preserve">Darko, A. (2019): Adoption of Green Building Technologies in Ghana: Development of a Model of Green Building Technologies and Issues Influencing Their Adoption. A PhD thesis of the Department of Building and Real Estate, The Hong Kong Polytechnic University </w:t>
      </w:r>
    </w:p>
    <w:p w14:paraId="48D097B0" w14:textId="77777777" w:rsidR="00A226D9" w:rsidRPr="00FB0908" w:rsidRDefault="00A226D9" w:rsidP="00FB0908">
      <w:pPr>
        <w:spacing w:after="0" w:line="240" w:lineRule="auto"/>
        <w:ind w:left="851" w:hanging="851"/>
        <w:jc w:val="both"/>
        <w:rPr>
          <w:rFonts w:ascii="Times New Roman" w:hAnsi="Times New Roman" w:cs="Times New Roman"/>
          <w:sz w:val="24"/>
          <w:szCs w:val="24"/>
        </w:rPr>
      </w:pPr>
      <w:r w:rsidRPr="00FB0908">
        <w:rPr>
          <w:rFonts w:ascii="Times New Roman" w:hAnsi="Times New Roman" w:cs="Times New Roman"/>
          <w:sz w:val="24"/>
          <w:szCs w:val="24"/>
        </w:rPr>
        <w:t xml:space="preserve">Darko, A.; Chan, A. P. C.; Ameyaw, E. E.; He, B.-J. and Olanipekun, A. O. (2017): Examining issues influencing green building technologies adoption: The United States green building experts’ perspectives. Energy and Buildings. Vol. 144. Pp. 320 – 332 </w:t>
      </w:r>
    </w:p>
    <w:p w14:paraId="055821AB" w14:textId="77777777" w:rsidR="00A226D9" w:rsidRPr="00FB0908" w:rsidRDefault="00A226D9" w:rsidP="00FB0908">
      <w:pPr>
        <w:spacing w:after="0" w:line="240" w:lineRule="auto"/>
        <w:ind w:left="851" w:hanging="851"/>
        <w:jc w:val="both"/>
        <w:rPr>
          <w:rFonts w:ascii="Times New Roman" w:hAnsi="Times New Roman" w:cs="Times New Roman"/>
          <w:sz w:val="24"/>
          <w:szCs w:val="24"/>
        </w:rPr>
      </w:pPr>
      <w:r w:rsidRPr="00FB0908">
        <w:rPr>
          <w:rFonts w:ascii="Times New Roman" w:hAnsi="Times New Roman" w:cs="Times New Roman"/>
          <w:sz w:val="24"/>
          <w:szCs w:val="24"/>
        </w:rPr>
        <w:t xml:space="preserve">Ejidike, C. C. and Mewomo, M. C. (2022): Barriers Facing Retrofitting of Existing Building in Developing Countries: A Review of Literature. A Paper presented at the 16th Built Environment Conference – Construction in 5D: Deconstruction, Digitalization, Disruption, Disaster &amp; Development: A Second Look on 26 – 27 September 2022, Lanseria, South Africa </w:t>
      </w:r>
    </w:p>
    <w:p w14:paraId="211051B9" w14:textId="77777777" w:rsidR="00A226D9" w:rsidRPr="00FB0908" w:rsidRDefault="00A226D9" w:rsidP="00FB0908">
      <w:pPr>
        <w:spacing w:after="0" w:line="240" w:lineRule="auto"/>
        <w:ind w:left="851" w:hanging="851"/>
        <w:jc w:val="both"/>
        <w:rPr>
          <w:rFonts w:ascii="Times New Roman" w:hAnsi="Times New Roman" w:cs="Times New Roman"/>
          <w:sz w:val="24"/>
          <w:szCs w:val="24"/>
        </w:rPr>
      </w:pPr>
      <w:r w:rsidRPr="00FB0908">
        <w:rPr>
          <w:rFonts w:ascii="Times New Roman" w:hAnsi="Times New Roman" w:cs="Times New Roman"/>
          <w:sz w:val="24"/>
          <w:szCs w:val="24"/>
        </w:rPr>
        <w:t>multi-story buildings in Hong Kong. Renewable and Sustainable Energy Reviews, 73, Pp. 393-407</w:t>
      </w:r>
    </w:p>
    <w:p w14:paraId="0A1BED51" w14:textId="77777777" w:rsidR="00A226D9" w:rsidRPr="00FB0908" w:rsidRDefault="00A226D9" w:rsidP="00FB0908">
      <w:pPr>
        <w:spacing w:after="0" w:line="240" w:lineRule="auto"/>
        <w:ind w:left="851" w:hanging="851"/>
        <w:jc w:val="both"/>
        <w:rPr>
          <w:rFonts w:ascii="Times New Roman" w:hAnsi="Times New Roman" w:cs="Times New Roman"/>
          <w:sz w:val="24"/>
          <w:szCs w:val="24"/>
        </w:rPr>
      </w:pPr>
      <w:r w:rsidRPr="00FB0908">
        <w:rPr>
          <w:rFonts w:ascii="Times New Roman" w:hAnsi="Times New Roman" w:cs="Times New Roman"/>
          <w:sz w:val="24"/>
          <w:szCs w:val="24"/>
        </w:rPr>
        <w:t xml:space="preserve">Ezeokoli, F.O., Bert-Okonkwor, C.B.N., Okongwu, M.I., Fadumo, D.O., Ohaedeghasi, C.I. and Okoye, N.M. (2021) Factors Confronting the Present-Day Construction Practices in South-East, Nigeria: The Professionals’ View. Journal of Building Construction and Planning Research, 9, 160-169. </w:t>
      </w:r>
      <w:hyperlink r:id="rId131" w:history="1">
        <w:r w:rsidRPr="00FB0908">
          <w:rPr>
            <w:rStyle w:val="Hyperlink"/>
            <w:rFonts w:ascii="Times New Roman" w:hAnsi="Times New Roman" w:cs="Times New Roman"/>
            <w:sz w:val="24"/>
            <w:szCs w:val="24"/>
          </w:rPr>
          <w:t>https://doi.org/10.4236/jbcpr.2021.92011</w:t>
        </w:r>
      </w:hyperlink>
    </w:p>
    <w:p w14:paraId="6C6BFE5C" w14:textId="77777777" w:rsidR="00A226D9" w:rsidRPr="00FB0908" w:rsidRDefault="00A226D9" w:rsidP="00FB0908">
      <w:pPr>
        <w:spacing w:after="0" w:line="240" w:lineRule="auto"/>
        <w:ind w:left="851" w:hanging="851"/>
        <w:jc w:val="both"/>
        <w:rPr>
          <w:rFonts w:ascii="Times New Roman" w:hAnsi="Times New Roman" w:cs="Times New Roman"/>
          <w:sz w:val="24"/>
          <w:szCs w:val="24"/>
        </w:rPr>
      </w:pPr>
      <w:r w:rsidRPr="00FB0908">
        <w:rPr>
          <w:rFonts w:ascii="Times New Roman" w:hAnsi="Times New Roman" w:cs="Times New Roman"/>
          <w:sz w:val="24"/>
          <w:szCs w:val="24"/>
        </w:rPr>
        <w:t>Gerth, F., O’Brien, M., &amp; Sikora, K. S. (2025). Socio</w:t>
      </w:r>
      <w:r w:rsidRPr="00FB0908">
        <w:rPr>
          <w:rFonts w:ascii="Times New Roman" w:hAnsi="Times New Roman" w:cs="Times New Roman"/>
          <w:sz w:val="24"/>
          <w:szCs w:val="24"/>
        </w:rPr>
        <w:noBreakHyphen/>
        <w:t>Economic Determinants of Construction Sector Development. SocioEconomic Challenges, 9(2), 78-91. https://doi.org/10.61093/sec.9(2).78-91.2025</w:t>
      </w:r>
    </w:p>
    <w:p w14:paraId="060A09A2" w14:textId="77777777" w:rsidR="00A226D9" w:rsidRPr="00FB0908" w:rsidRDefault="00A226D9" w:rsidP="00FB0908">
      <w:pPr>
        <w:pStyle w:val="Heading2"/>
        <w:spacing w:before="0" w:line="240" w:lineRule="auto"/>
        <w:ind w:left="851" w:hanging="851"/>
        <w:jc w:val="both"/>
        <w:rPr>
          <w:rFonts w:ascii="Times New Roman" w:hAnsi="Times New Roman" w:cs="Times New Roman"/>
          <w:b w:val="0"/>
          <w:bCs w:val="0"/>
          <w:color w:val="auto"/>
          <w:sz w:val="24"/>
          <w:szCs w:val="24"/>
        </w:rPr>
      </w:pPr>
      <w:r w:rsidRPr="00FB0908">
        <w:rPr>
          <w:rFonts w:ascii="Times New Roman" w:eastAsia="Times New Roman" w:hAnsi="Times New Roman" w:cs="Times New Roman"/>
          <w:b w:val="0"/>
          <w:bCs w:val="0"/>
          <w:color w:val="auto"/>
          <w:sz w:val="24"/>
          <w:szCs w:val="24"/>
        </w:rPr>
        <w:t>Ifeyinwa Ijeoma Obianyo, Gina Odochi Ihekweme, Assia Aboubakar Mahamat, </w:t>
      </w:r>
      <w:bookmarkStart w:id="64" w:name="bau4-profile"/>
      <w:r w:rsidRPr="00FB0908">
        <w:rPr>
          <w:rFonts w:ascii="Times New Roman" w:eastAsia="Times New Roman" w:hAnsi="Times New Roman" w:cs="Times New Roman"/>
          <w:b w:val="0"/>
          <w:bCs w:val="0"/>
          <w:color w:val="auto"/>
          <w:sz w:val="24"/>
          <w:szCs w:val="24"/>
        </w:rPr>
        <w:fldChar w:fldCharType="begin"/>
      </w:r>
      <w:r w:rsidRPr="00FB0908">
        <w:rPr>
          <w:rFonts w:ascii="Times New Roman" w:eastAsia="Times New Roman" w:hAnsi="Times New Roman" w:cs="Times New Roman"/>
          <w:b w:val="0"/>
          <w:bCs w:val="0"/>
          <w:color w:val="auto"/>
          <w:sz w:val="24"/>
          <w:szCs w:val="24"/>
        </w:rPr>
        <w:instrText xml:space="preserve"> HYPERLINK "https://www.sciencedirect.com/author/54405665300/kennedy-chibuzor-onyelowe" </w:instrText>
      </w:r>
      <w:r w:rsidRPr="00FB0908">
        <w:rPr>
          <w:rFonts w:ascii="Times New Roman" w:eastAsia="Times New Roman" w:hAnsi="Times New Roman" w:cs="Times New Roman"/>
          <w:b w:val="0"/>
          <w:bCs w:val="0"/>
          <w:color w:val="auto"/>
          <w:sz w:val="24"/>
          <w:szCs w:val="24"/>
        </w:rPr>
      </w:r>
      <w:r w:rsidRPr="00FB0908">
        <w:rPr>
          <w:rFonts w:ascii="Times New Roman" w:eastAsia="Times New Roman" w:hAnsi="Times New Roman" w:cs="Times New Roman"/>
          <w:b w:val="0"/>
          <w:bCs w:val="0"/>
          <w:color w:val="auto"/>
          <w:sz w:val="24"/>
          <w:szCs w:val="24"/>
        </w:rPr>
        <w:fldChar w:fldCharType="separate"/>
      </w:r>
      <w:r w:rsidRPr="00FB0908">
        <w:rPr>
          <w:rFonts w:ascii="Times New Roman" w:eastAsia="Times New Roman" w:hAnsi="Times New Roman" w:cs="Times New Roman"/>
          <w:b w:val="0"/>
          <w:bCs w:val="0"/>
          <w:color w:val="auto"/>
          <w:sz w:val="24"/>
          <w:szCs w:val="24"/>
        </w:rPr>
        <w:t>Kennedy Chibuzor Onyelowe, </w:t>
      </w:r>
      <w:r w:rsidRPr="00FB0908">
        <w:rPr>
          <w:rFonts w:ascii="Times New Roman" w:eastAsia="Times New Roman" w:hAnsi="Times New Roman" w:cs="Times New Roman"/>
          <w:b w:val="0"/>
          <w:bCs w:val="0"/>
          <w:color w:val="auto"/>
          <w:sz w:val="24"/>
          <w:szCs w:val="24"/>
        </w:rPr>
        <w:fldChar w:fldCharType="end"/>
      </w:r>
      <w:bookmarkStart w:id="65" w:name="bau5-profile"/>
      <w:bookmarkEnd w:id="64"/>
      <w:r w:rsidRPr="00FB0908">
        <w:rPr>
          <w:rFonts w:ascii="Times New Roman" w:eastAsia="Times New Roman" w:hAnsi="Times New Roman" w:cs="Times New Roman"/>
          <w:b w:val="0"/>
          <w:bCs w:val="0"/>
          <w:color w:val="auto"/>
          <w:sz w:val="24"/>
          <w:szCs w:val="24"/>
        </w:rPr>
        <w:fldChar w:fldCharType="begin"/>
      </w:r>
      <w:r w:rsidRPr="00FB0908">
        <w:rPr>
          <w:rFonts w:ascii="Times New Roman" w:eastAsia="Times New Roman" w:hAnsi="Times New Roman" w:cs="Times New Roman"/>
          <w:b w:val="0"/>
          <w:bCs w:val="0"/>
          <w:color w:val="auto"/>
          <w:sz w:val="24"/>
          <w:szCs w:val="24"/>
        </w:rPr>
        <w:instrText xml:space="preserve"> HYPERLINK "https://www.sciencedirect.com/author/6507558967/azikiwe-peter-onwualu" </w:instrText>
      </w:r>
      <w:r w:rsidRPr="00FB0908">
        <w:rPr>
          <w:rFonts w:ascii="Times New Roman" w:eastAsia="Times New Roman" w:hAnsi="Times New Roman" w:cs="Times New Roman"/>
          <w:b w:val="0"/>
          <w:bCs w:val="0"/>
          <w:color w:val="auto"/>
          <w:sz w:val="24"/>
          <w:szCs w:val="24"/>
        </w:rPr>
      </w:r>
      <w:r w:rsidRPr="00FB0908">
        <w:rPr>
          <w:rFonts w:ascii="Times New Roman" w:eastAsia="Times New Roman" w:hAnsi="Times New Roman" w:cs="Times New Roman"/>
          <w:b w:val="0"/>
          <w:bCs w:val="0"/>
          <w:color w:val="auto"/>
          <w:sz w:val="24"/>
          <w:szCs w:val="24"/>
        </w:rPr>
        <w:fldChar w:fldCharType="separate"/>
      </w:r>
      <w:r w:rsidRPr="00FB0908">
        <w:rPr>
          <w:rFonts w:ascii="Times New Roman" w:eastAsia="Times New Roman" w:hAnsi="Times New Roman" w:cs="Times New Roman"/>
          <w:b w:val="0"/>
          <w:bCs w:val="0"/>
          <w:color w:val="auto"/>
          <w:sz w:val="24"/>
          <w:szCs w:val="24"/>
        </w:rPr>
        <w:t>Azikiwe Peter Onwualu</w:t>
      </w:r>
      <w:r w:rsidRPr="00FB0908">
        <w:rPr>
          <w:rFonts w:ascii="Times New Roman" w:eastAsia="Times New Roman" w:hAnsi="Times New Roman" w:cs="Times New Roman"/>
          <w:b w:val="0"/>
          <w:bCs w:val="0"/>
          <w:color w:val="auto"/>
          <w:sz w:val="24"/>
          <w:szCs w:val="24"/>
        </w:rPr>
        <w:fldChar w:fldCharType="end"/>
      </w:r>
      <w:bookmarkEnd w:id="65"/>
      <w:r w:rsidRPr="00FB0908">
        <w:rPr>
          <w:rFonts w:ascii="Times New Roman" w:eastAsia="Times New Roman" w:hAnsi="Times New Roman" w:cs="Times New Roman"/>
          <w:b w:val="0"/>
          <w:bCs w:val="0"/>
          <w:color w:val="auto"/>
          <w:sz w:val="24"/>
          <w:szCs w:val="24"/>
        </w:rPr>
        <w:t xml:space="preserve">, Alfred B.O. Soboyejo </w:t>
      </w:r>
      <w:r w:rsidRPr="00FB0908">
        <w:rPr>
          <w:rFonts w:ascii="Times New Roman" w:hAnsi="Times New Roman" w:cs="Times New Roman"/>
          <w:b w:val="0"/>
          <w:bCs w:val="0"/>
          <w:color w:val="auto"/>
          <w:sz w:val="24"/>
          <w:szCs w:val="24"/>
        </w:rPr>
        <w:t>(2021).</w:t>
      </w:r>
      <w:r w:rsidRPr="00FB0908">
        <w:rPr>
          <w:rFonts w:ascii="Times New Roman" w:hAnsi="Times New Roman" w:cs="Times New Roman"/>
          <w:b w:val="0"/>
          <w:bCs w:val="0"/>
          <w:i/>
          <w:color w:val="auto"/>
          <w:sz w:val="24"/>
          <w:szCs w:val="24"/>
        </w:rPr>
        <w:t xml:space="preserve"> </w:t>
      </w:r>
      <w:r w:rsidRPr="00FB0908">
        <w:rPr>
          <w:rFonts w:ascii="Times New Roman" w:eastAsia="Times New Roman" w:hAnsi="Times New Roman" w:cs="Times New Roman"/>
          <w:b w:val="0"/>
          <w:bCs w:val="0"/>
          <w:color w:val="auto"/>
          <w:kern w:val="36"/>
          <w:sz w:val="24"/>
          <w:szCs w:val="24"/>
        </w:rPr>
        <w:t xml:space="preserve">Overcoming the obstacles to sustainable housing and urban development in Nigeria: The role of research and innovation. </w:t>
      </w:r>
      <w:hyperlink r:id="rId132" w:tooltip="Go to Cleaner Engineering and Technology on ScienceDirect" w:history="1">
        <w:r w:rsidRPr="00FB0908">
          <w:rPr>
            <w:rStyle w:val="anchor-text"/>
            <w:rFonts w:ascii="Times New Roman" w:hAnsi="Times New Roman" w:cs="Times New Roman"/>
            <w:b w:val="0"/>
            <w:bCs w:val="0"/>
            <w:color w:val="auto"/>
            <w:sz w:val="24"/>
            <w:szCs w:val="24"/>
          </w:rPr>
          <w:t>Cleaner Engineering and Technology</w:t>
        </w:r>
      </w:hyperlink>
      <w:r w:rsidRPr="00FB0908">
        <w:rPr>
          <w:rFonts w:ascii="Times New Roman" w:hAnsi="Times New Roman" w:cs="Times New Roman"/>
          <w:b w:val="0"/>
          <w:bCs w:val="0"/>
          <w:color w:val="auto"/>
          <w:sz w:val="24"/>
          <w:szCs w:val="24"/>
        </w:rPr>
        <w:t xml:space="preserve">. </w:t>
      </w:r>
      <w:hyperlink r:id="rId133" w:tooltip="Go to table of contents for this volume/issue" w:history="1">
        <w:r w:rsidRPr="00FB0908">
          <w:rPr>
            <w:rStyle w:val="anchor-text"/>
            <w:rFonts w:ascii="Times New Roman" w:hAnsi="Times New Roman" w:cs="Times New Roman"/>
            <w:b w:val="0"/>
            <w:bCs w:val="0"/>
            <w:color w:val="auto"/>
            <w:sz w:val="24"/>
            <w:szCs w:val="24"/>
          </w:rPr>
          <w:t>Volume 4</w:t>
        </w:r>
      </w:hyperlink>
      <w:r w:rsidRPr="00FB0908">
        <w:rPr>
          <w:rFonts w:ascii="Times New Roman" w:hAnsi="Times New Roman" w:cs="Times New Roman"/>
          <w:b w:val="0"/>
          <w:bCs w:val="0"/>
          <w:color w:val="auto"/>
          <w:sz w:val="24"/>
          <w:szCs w:val="24"/>
        </w:rPr>
        <w:t>, October 2021, 100226. https://doi.org/10.1016/j.clet.2021.100226</w:t>
      </w:r>
    </w:p>
    <w:p w14:paraId="4A204938" w14:textId="77777777" w:rsidR="00A226D9" w:rsidRPr="00FB0908" w:rsidRDefault="00A226D9" w:rsidP="00FB0908">
      <w:pPr>
        <w:spacing w:after="0" w:line="240" w:lineRule="auto"/>
        <w:ind w:left="851" w:hanging="851"/>
        <w:jc w:val="both"/>
        <w:rPr>
          <w:rFonts w:ascii="Times New Roman" w:eastAsia="Times New Roman" w:hAnsi="Times New Roman" w:cs="Times New Roman"/>
          <w:sz w:val="24"/>
          <w:szCs w:val="24"/>
        </w:rPr>
      </w:pPr>
      <w:r w:rsidRPr="00FB0908">
        <w:rPr>
          <w:rFonts w:ascii="Times New Roman" w:hAnsi="Times New Roman" w:cs="Times New Roman"/>
          <w:sz w:val="24"/>
          <w:szCs w:val="24"/>
        </w:rPr>
        <w:t xml:space="preserve">Isa R. B., Jimoh R. A., and E. Achuenu E. </w:t>
      </w:r>
      <w:r w:rsidRPr="00FB0908">
        <w:rPr>
          <w:rFonts w:ascii="Times New Roman" w:eastAsia="Times New Roman" w:hAnsi="Times New Roman" w:cs="Times New Roman"/>
          <w:sz w:val="24"/>
          <w:szCs w:val="24"/>
        </w:rPr>
        <w:t xml:space="preserve">(2013). </w:t>
      </w:r>
      <w:r w:rsidRPr="00FB0908">
        <w:rPr>
          <w:rFonts w:ascii="Times New Roman" w:hAnsi="Times New Roman" w:cs="Times New Roman"/>
          <w:sz w:val="24"/>
          <w:szCs w:val="24"/>
        </w:rPr>
        <w:t>An overview of the contribution of construction sector to sustainable development in Nigeria. Net Journal of Business Management Vol. 1(1), pp. 1-6, November 2013 Review.</w:t>
      </w:r>
    </w:p>
    <w:p w14:paraId="53A5BA1E" w14:textId="77777777" w:rsidR="00A226D9" w:rsidRPr="00FB0908" w:rsidRDefault="00A226D9" w:rsidP="00FB0908">
      <w:pPr>
        <w:spacing w:after="0" w:line="240" w:lineRule="auto"/>
        <w:ind w:left="851" w:hanging="851"/>
        <w:jc w:val="both"/>
        <w:rPr>
          <w:rFonts w:ascii="Times New Roman" w:hAnsi="Times New Roman" w:cs="Times New Roman"/>
          <w:sz w:val="24"/>
          <w:szCs w:val="24"/>
        </w:rPr>
      </w:pPr>
      <w:r w:rsidRPr="00FB0908">
        <w:rPr>
          <w:rFonts w:ascii="Times New Roman" w:hAnsi="Times New Roman" w:cs="Times New Roman"/>
          <w:sz w:val="24"/>
          <w:szCs w:val="24"/>
        </w:rPr>
        <w:t xml:space="preserve">Maarten De Groote and Marianne Lefever </w:t>
      </w:r>
      <w:r w:rsidRPr="00FB0908">
        <w:rPr>
          <w:rFonts w:ascii="Times New Roman" w:eastAsia="Times New Roman" w:hAnsi="Times New Roman" w:cs="Times New Roman"/>
          <w:sz w:val="24"/>
          <w:szCs w:val="24"/>
        </w:rPr>
        <w:t>(201</w:t>
      </w:r>
      <w:r w:rsidRPr="00FB0908">
        <w:rPr>
          <w:rFonts w:ascii="Times New Roman" w:hAnsi="Times New Roman" w:cs="Times New Roman"/>
          <w:sz w:val="24"/>
          <w:szCs w:val="24"/>
        </w:rPr>
        <w:t>6</w:t>
      </w:r>
      <w:r w:rsidRPr="00FB0908">
        <w:rPr>
          <w:rFonts w:ascii="Times New Roman" w:eastAsia="Times New Roman" w:hAnsi="Times New Roman" w:cs="Times New Roman"/>
          <w:sz w:val="24"/>
          <w:szCs w:val="24"/>
        </w:rPr>
        <w:t>)</w:t>
      </w:r>
      <w:r w:rsidRPr="00FB0908">
        <w:rPr>
          <w:rFonts w:ascii="Times New Roman" w:hAnsi="Times New Roman" w:cs="Times New Roman"/>
          <w:sz w:val="24"/>
          <w:szCs w:val="24"/>
        </w:rPr>
        <w:t>. Driving Transformational Change In The Construction Value Chain. Published in January 2016 by the Buildings Performance Institute Europe (BPIE). Pp. 1 - 60</w:t>
      </w:r>
    </w:p>
    <w:p w14:paraId="17E1E366" w14:textId="77777777" w:rsidR="00A226D9" w:rsidRPr="00FB0908" w:rsidRDefault="00A226D9" w:rsidP="00FB0908">
      <w:pPr>
        <w:spacing w:after="0" w:line="240" w:lineRule="auto"/>
        <w:ind w:left="851" w:hanging="851"/>
        <w:jc w:val="both"/>
        <w:rPr>
          <w:rFonts w:ascii="Times New Roman" w:hAnsi="Times New Roman" w:cs="Times New Roman"/>
          <w:sz w:val="24"/>
          <w:szCs w:val="24"/>
        </w:rPr>
      </w:pPr>
      <w:r w:rsidRPr="00FB0908">
        <w:rPr>
          <w:rFonts w:ascii="Times New Roman" w:hAnsi="Times New Roman" w:cs="Times New Roman"/>
          <w:sz w:val="24"/>
          <w:szCs w:val="24"/>
        </w:rPr>
        <w:t xml:space="preserve">Madushika, U. G. D.; Ramachandra, T.; Karunasena, G. and Udakara, P. A. D. S. (2023): Energy Retrofitting Technologies of Buildings: A Review-Based Assessment. Energies. 16(4924). Pp. 1 – 16.  </w:t>
      </w:r>
    </w:p>
    <w:p w14:paraId="4FDD7301" w14:textId="77777777" w:rsidR="00A226D9" w:rsidRPr="00FB0908" w:rsidRDefault="00A226D9" w:rsidP="00FB0908">
      <w:pPr>
        <w:spacing w:after="0" w:line="240" w:lineRule="auto"/>
        <w:ind w:left="851" w:hanging="851"/>
        <w:jc w:val="both"/>
        <w:rPr>
          <w:rFonts w:ascii="Times New Roman" w:eastAsia="Times New Roman" w:hAnsi="Times New Roman" w:cs="Times New Roman"/>
          <w:sz w:val="24"/>
          <w:szCs w:val="24"/>
        </w:rPr>
      </w:pPr>
      <w:r w:rsidRPr="00FB0908">
        <w:rPr>
          <w:rFonts w:ascii="Times New Roman" w:hAnsi="Times New Roman" w:cs="Times New Roman"/>
          <w:sz w:val="24"/>
          <w:szCs w:val="24"/>
        </w:rPr>
        <w:t xml:space="preserve">National Bureau of Statistics, </w:t>
      </w:r>
      <w:r w:rsidRPr="00FB0908">
        <w:rPr>
          <w:rFonts w:ascii="Times New Roman" w:eastAsia="Times New Roman" w:hAnsi="Times New Roman" w:cs="Times New Roman"/>
          <w:sz w:val="24"/>
          <w:szCs w:val="24"/>
        </w:rPr>
        <w:t>NBS (</w:t>
      </w:r>
      <w:r w:rsidRPr="00FB0908">
        <w:rPr>
          <w:rFonts w:ascii="Times New Roman" w:hAnsi="Times New Roman" w:cs="Times New Roman"/>
          <w:sz w:val="24"/>
          <w:szCs w:val="24"/>
        </w:rPr>
        <w:t>2015</w:t>
      </w:r>
      <w:r w:rsidRPr="00FB0908">
        <w:rPr>
          <w:rFonts w:ascii="Times New Roman" w:eastAsia="Times New Roman" w:hAnsi="Times New Roman" w:cs="Times New Roman"/>
          <w:sz w:val="24"/>
          <w:szCs w:val="24"/>
        </w:rPr>
        <w:t xml:space="preserve">). </w:t>
      </w:r>
      <w:r w:rsidRPr="00FB0908">
        <w:rPr>
          <w:rFonts w:ascii="Times New Roman" w:hAnsi="Times New Roman" w:cs="Times New Roman"/>
          <w:sz w:val="24"/>
          <w:szCs w:val="24"/>
        </w:rPr>
        <w:t xml:space="preserve">Nigerian Construction Sector. Summary Report: 2010-2012, pp. 1-15. </w:t>
      </w:r>
      <w:hyperlink r:id="rId134" w:history="1">
        <w:r w:rsidRPr="00FB0908">
          <w:rPr>
            <w:rStyle w:val="Hyperlink"/>
            <w:rFonts w:ascii="Times New Roman" w:hAnsi="Times New Roman" w:cs="Times New Roman"/>
            <w:sz w:val="24"/>
            <w:szCs w:val="24"/>
          </w:rPr>
          <w:t>nbs Nigerian Construction report 2010_2012.pdf</w:t>
        </w:r>
      </w:hyperlink>
    </w:p>
    <w:p w14:paraId="7D91DAFB" w14:textId="77777777" w:rsidR="00A226D9" w:rsidRPr="00FB0908" w:rsidRDefault="00A226D9" w:rsidP="00FB0908">
      <w:pPr>
        <w:spacing w:after="0" w:line="240" w:lineRule="auto"/>
        <w:ind w:left="851" w:hanging="851"/>
        <w:jc w:val="both"/>
        <w:rPr>
          <w:rFonts w:ascii="Times New Roman" w:hAnsi="Times New Roman" w:cs="Times New Roman"/>
          <w:color w:val="232323"/>
          <w:sz w:val="24"/>
          <w:szCs w:val="24"/>
          <w:shd w:val="clear" w:color="auto" w:fill="FFFFFF"/>
        </w:rPr>
      </w:pPr>
      <w:r w:rsidRPr="00FB0908">
        <w:rPr>
          <w:rFonts w:ascii="Times New Roman" w:hAnsi="Times New Roman" w:cs="Times New Roman"/>
          <w:color w:val="232323"/>
          <w:sz w:val="24"/>
          <w:szCs w:val="24"/>
          <w:shd w:val="clear" w:color="auto" w:fill="FFFFFF"/>
        </w:rPr>
        <w:t>Ofori, G. (2001) Challenges of Construction Industries in Developing Countries: Lessons from Various Countries. Proceedings of the 2nd International Conference of the UB TG29 on Construction in Developing Countries: Challenges Facing the Construction Industry in Developing Countries, Gabarone, 15-17 November 2000, 1-13.</w:t>
      </w:r>
    </w:p>
    <w:p w14:paraId="5F8AC56B" w14:textId="77777777" w:rsidR="00A226D9" w:rsidRPr="00FB0908" w:rsidRDefault="00A226D9" w:rsidP="00FB0908">
      <w:pPr>
        <w:spacing w:after="0" w:line="240" w:lineRule="auto"/>
        <w:ind w:left="851" w:hanging="851"/>
        <w:jc w:val="both"/>
        <w:rPr>
          <w:rFonts w:ascii="Times New Roman" w:hAnsi="Times New Roman" w:cs="Times New Roman"/>
          <w:sz w:val="24"/>
          <w:szCs w:val="24"/>
        </w:rPr>
      </w:pPr>
      <w:r w:rsidRPr="00FB0908">
        <w:rPr>
          <w:rFonts w:ascii="Times New Roman" w:hAnsi="Times New Roman" w:cs="Times New Roman"/>
          <w:sz w:val="24"/>
          <w:szCs w:val="24"/>
        </w:rPr>
        <w:t xml:space="preserve">Okoye P.U., Mbakwe C.C. and Igbo E.N. . Modeling the Construction Sector and Oil Prices toward the Growth of the Nigerian Economy: An Econometric Approach. </w:t>
      </w:r>
      <w:r w:rsidRPr="00FB0908">
        <w:rPr>
          <w:rStyle w:val="Emphasis"/>
          <w:rFonts w:ascii="Times New Roman" w:hAnsi="Times New Roman" w:cs="Times New Roman"/>
          <w:color w:val="222222"/>
          <w:sz w:val="24"/>
          <w:szCs w:val="24"/>
          <w:shd w:val="clear" w:color="auto" w:fill="FFFFFF"/>
        </w:rPr>
        <w:t>Economies</w:t>
      </w:r>
      <w:r w:rsidRPr="00FB0908">
        <w:rPr>
          <w:rFonts w:ascii="Times New Roman" w:hAnsi="Times New Roman" w:cs="Times New Roman"/>
          <w:color w:val="222222"/>
          <w:sz w:val="24"/>
          <w:szCs w:val="24"/>
          <w:shd w:val="clear" w:color="auto" w:fill="FFFFFF"/>
        </w:rPr>
        <w:t> is an international, </w:t>
      </w:r>
      <w:hyperlink r:id="rId135" w:history="1">
        <w:r w:rsidRPr="00FB0908">
          <w:rPr>
            <w:rStyle w:val="Hyperlink"/>
            <w:rFonts w:ascii="Times New Roman" w:hAnsi="Times New Roman" w:cs="Times New Roman"/>
            <w:color w:val="4F5671"/>
            <w:sz w:val="24"/>
            <w:szCs w:val="24"/>
            <w:shd w:val="clear" w:color="auto" w:fill="FFFFFF"/>
          </w:rPr>
          <w:t>peer-reviewed</w:t>
        </w:r>
      </w:hyperlink>
      <w:r w:rsidRPr="00FB0908">
        <w:rPr>
          <w:rFonts w:ascii="Times New Roman" w:hAnsi="Times New Roman" w:cs="Times New Roman"/>
          <w:color w:val="222222"/>
          <w:sz w:val="24"/>
          <w:szCs w:val="24"/>
          <w:shd w:val="clear" w:color="auto" w:fill="FFFFFF"/>
        </w:rPr>
        <w:t xml:space="preserve">, open access journal on development economics and </w:t>
      </w:r>
      <w:r w:rsidRPr="00FB0908">
        <w:rPr>
          <w:rFonts w:ascii="Times New Roman" w:hAnsi="Times New Roman" w:cs="Times New Roman"/>
          <w:color w:val="222222"/>
          <w:sz w:val="24"/>
          <w:szCs w:val="24"/>
          <w:shd w:val="clear" w:color="auto" w:fill="FFFFFF"/>
        </w:rPr>
        <w:lastRenderedPageBreak/>
        <w:t>macroeconomics, published monthly online by MDPI.</w:t>
      </w:r>
      <w:r w:rsidRPr="00FB0908">
        <w:rPr>
          <w:rFonts w:ascii="Times New Roman" w:hAnsi="Times New Roman" w:cs="Times New Roman"/>
          <w:sz w:val="24"/>
          <w:szCs w:val="24"/>
        </w:rPr>
        <w:t>JEL Classification: L74; O11; O41; O47. file:///C:/Users/PC/Downloads/economies-06-00016%20(1).pdf</w:t>
      </w:r>
    </w:p>
    <w:p w14:paraId="69C48BFC" w14:textId="77777777" w:rsidR="00A226D9" w:rsidRPr="00FB0908" w:rsidRDefault="00A226D9" w:rsidP="00FB0908">
      <w:pPr>
        <w:spacing w:after="0" w:line="240" w:lineRule="auto"/>
        <w:ind w:left="851" w:hanging="851"/>
        <w:jc w:val="both"/>
        <w:rPr>
          <w:rFonts w:ascii="Times New Roman" w:hAnsi="Times New Roman" w:cs="Times New Roman"/>
          <w:sz w:val="24"/>
          <w:szCs w:val="24"/>
        </w:rPr>
      </w:pPr>
      <w:r w:rsidRPr="00FB0908">
        <w:rPr>
          <w:rFonts w:ascii="Times New Roman" w:hAnsi="Times New Roman" w:cs="Times New Roman"/>
          <w:sz w:val="24"/>
          <w:szCs w:val="24"/>
        </w:rPr>
        <w:t>Oladinrin O., Ogunsemi, D.F. and Aje I.O.</w:t>
      </w:r>
      <w:r w:rsidRPr="00FB0908">
        <w:rPr>
          <w:rFonts w:ascii="Times New Roman" w:eastAsia="Times New Roman" w:hAnsi="Times New Roman" w:cs="Times New Roman"/>
          <w:sz w:val="24"/>
          <w:szCs w:val="24"/>
        </w:rPr>
        <w:t xml:space="preserve"> (2012). Role of construction sector in economic growth</w:t>
      </w:r>
      <w:r w:rsidRPr="00FB0908">
        <w:rPr>
          <w:rFonts w:ascii="Times New Roman" w:hAnsi="Times New Roman" w:cs="Times New Roman"/>
          <w:sz w:val="24"/>
          <w:szCs w:val="24"/>
        </w:rPr>
        <w:t>: Empirical evidence from Nigeria. FUTY Journal of the Environment. 7</w:t>
      </w:r>
      <w:r w:rsidRPr="00FB0908">
        <w:rPr>
          <w:rFonts w:ascii="Times New Roman" w:eastAsia="Times New Roman" w:hAnsi="Times New Roman" w:cs="Times New Roman"/>
          <w:sz w:val="24"/>
          <w:szCs w:val="24"/>
        </w:rPr>
        <w:t>(1), pp.</w:t>
      </w:r>
      <w:r w:rsidRPr="00FB0908">
        <w:rPr>
          <w:rFonts w:ascii="Times New Roman" w:hAnsi="Times New Roman" w:cs="Times New Roman"/>
          <w:sz w:val="24"/>
          <w:szCs w:val="24"/>
        </w:rPr>
        <w:t xml:space="preserve"> 50-60</w:t>
      </w:r>
      <w:r w:rsidRPr="00FB0908">
        <w:rPr>
          <w:rFonts w:ascii="Times New Roman" w:eastAsia="Times New Roman" w:hAnsi="Times New Roman" w:cs="Times New Roman"/>
          <w:sz w:val="24"/>
          <w:szCs w:val="24"/>
        </w:rPr>
        <w:t>. DOI</w:t>
      </w:r>
      <w:r w:rsidRPr="00FB0908">
        <w:rPr>
          <w:rFonts w:ascii="Times New Roman" w:hAnsi="Times New Roman" w:cs="Times New Roman"/>
          <w:sz w:val="24"/>
          <w:szCs w:val="24"/>
        </w:rPr>
        <w:t>:10.4314/fje.v7il.4</w:t>
      </w:r>
    </w:p>
    <w:p w14:paraId="343B34E3" w14:textId="77777777" w:rsidR="00A226D9" w:rsidRPr="00FB0908" w:rsidRDefault="00A226D9" w:rsidP="00FB0908">
      <w:pPr>
        <w:spacing w:after="0" w:line="240" w:lineRule="auto"/>
        <w:ind w:left="851" w:hanging="851"/>
        <w:jc w:val="both"/>
        <w:rPr>
          <w:rFonts w:ascii="Times New Roman" w:hAnsi="Times New Roman" w:cs="Times New Roman"/>
          <w:sz w:val="24"/>
          <w:szCs w:val="24"/>
        </w:rPr>
      </w:pPr>
      <w:r w:rsidRPr="00FB0908">
        <w:rPr>
          <w:rFonts w:ascii="Times New Roman" w:hAnsi="Times New Roman" w:cs="Times New Roman"/>
          <w:sz w:val="24"/>
          <w:szCs w:val="24"/>
        </w:rPr>
        <w:t xml:space="preserve">Olaniyi, O. O. (2017): Development of a Facilities Management Framework for Sustainable Building Practice in Nigeria. A PhD thesis of the University of Central Lancashire </w:t>
      </w:r>
    </w:p>
    <w:p w14:paraId="5E68C958" w14:textId="77777777" w:rsidR="00A226D9" w:rsidRPr="00FB0908" w:rsidRDefault="00A226D9" w:rsidP="00FB0908">
      <w:pPr>
        <w:spacing w:after="0" w:line="240" w:lineRule="auto"/>
        <w:ind w:left="851" w:hanging="851"/>
        <w:jc w:val="both"/>
        <w:rPr>
          <w:rFonts w:ascii="Times New Roman" w:hAnsi="Times New Roman" w:cs="Times New Roman"/>
          <w:sz w:val="24"/>
          <w:szCs w:val="24"/>
        </w:rPr>
      </w:pPr>
      <w:r w:rsidRPr="00FB0908">
        <w:rPr>
          <w:rFonts w:ascii="Times New Roman" w:hAnsi="Times New Roman" w:cs="Times New Roman"/>
          <w:sz w:val="24"/>
          <w:szCs w:val="24"/>
        </w:rPr>
        <w:t>Omuh, I.; Mosaku, T.; Tunji-Olayeni, P.; Ojelabi, R.; Afolabi A. and Joshua, O. (2018): Appraisal of Retrofitting Existing Structures to Provide Access to Clean and Sustainable Energy. International Journal of Civil Engineering and Technology. 9(7). Pp. 550 – 557</w:t>
      </w:r>
    </w:p>
    <w:p w14:paraId="75012FD9" w14:textId="77777777" w:rsidR="00A226D9" w:rsidRPr="00FB0908" w:rsidRDefault="00A226D9" w:rsidP="00FB0908">
      <w:pPr>
        <w:spacing w:after="0" w:line="240" w:lineRule="auto"/>
        <w:ind w:left="851" w:hanging="851"/>
        <w:jc w:val="both"/>
        <w:rPr>
          <w:rFonts w:ascii="Times New Roman" w:hAnsi="Times New Roman" w:cs="Times New Roman"/>
          <w:sz w:val="24"/>
          <w:szCs w:val="24"/>
        </w:rPr>
      </w:pPr>
      <w:r w:rsidRPr="00FB0908">
        <w:rPr>
          <w:rFonts w:ascii="Times New Roman" w:hAnsi="Times New Roman" w:cs="Times New Roman"/>
          <w:sz w:val="24"/>
          <w:szCs w:val="24"/>
        </w:rPr>
        <w:t xml:space="preserve">Saka, N. and Taiwo Adegbembo </w:t>
      </w:r>
      <w:r w:rsidRPr="00FB0908">
        <w:rPr>
          <w:rFonts w:ascii="Times New Roman" w:eastAsia="Times New Roman" w:hAnsi="Times New Roman" w:cs="Times New Roman"/>
          <w:sz w:val="24"/>
          <w:szCs w:val="24"/>
        </w:rPr>
        <w:t xml:space="preserve">(2022). An assessment of the impact of the construction sector on the gross domestic product (GDP) of Nigeria. </w:t>
      </w:r>
      <w:r w:rsidRPr="00FB0908">
        <w:rPr>
          <w:rFonts w:ascii="Times New Roman" w:hAnsi="Times New Roman" w:cs="Times New Roman"/>
          <w:sz w:val="24"/>
          <w:szCs w:val="24"/>
        </w:rPr>
        <w:t>Journal of surveying construction and property. 13</w:t>
      </w:r>
      <w:r w:rsidRPr="00FB0908">
        <w:rPr>
          <w:rFonts w:ascii="Times New Roman" w:eastAsia="Times New Roman" w:hAnsi="Times New Roman" w:cs="Times New Roman"/>
          <w:sz w:val="24"/>
          <w:szCs w:val="24"/>
        </w:rPr>
        <w:t>(1), pp.</w:t>
      </w:r>
      <w:r w:rsidRPr="00FB0908">
        <w:rPr>
          <w:rFonts w:ascii="Times New Roman" w:hAnsi="Times New Roman" w:cs="Times New Roman"/>
          <w:sz w:val="24"/>
          <w:szCs w:val="24"/>
        </w:rPr>
        <w:t xml:space="preserve"> 42-65</w:t>
      </w:r>
      <w:r w:rsidRPr="00FB0908">
        <w:rPr>
          <w:rFonts w:ascii="Times New Roman" w:eastAsia="Times New Roman" w:hAnsi="Times New Roman" w:cs="Times New Roman"/>
          <w:sz w:val="24"/>
          <w:szCs w:val="24"/>
        </w:rPr>
        <w:t>. DOI</w:t>
      </w:r>
      <w:r w:rsidRPr="00FB0908">
        <w:rPr>
          <w:rFonts w:ascii="Times New Roman" w:hAnsi="Times New Roman" w:cs="Times New Roman"/>
          <w:sz w:val="24"/>
          <w:szCs w:val="24"/>
        </w:rPr>
        <w:t xml:space="preserve">:10.22452/jscp.vol13no1.4 </w:t>
      </w:r>
    </w:p>
    <w:p w14:paraId="499593D7" w14:textId="77777777" w:rsidR="00A226D9" w:rsidRPr="00FB0908" w:rsidRDefault="00A226D9" w:rsidP="00FB0908">
      <w:pPr>
        <w:spacing w:after="0" w:line="240" w:lineRule="auto"/>
        <w:ind w:left="851" w:hanging="851"/>
        <w:jc w:val="both"/>
        <w:rPr>
          <w:rFonts w:ascii="Times New Roman" w:hAnsi="Times New Roman" w:cs="Times New Roman"/>
          <w:sz w:val="24"/>
          <w:szCs w:val="24"/>
        </w:rPr>
      </w:pPr>
      <w:r w:rsidRPr="00FB0908">
        <w:rPr>
          <w:rFonts w:ascii="Times New Roman" w:hAnsi="Times New Roman" w:cs="Times New Roman"/>
          <w:sz w:val="24"/>
          <w:szCs w:val="24"/>
        </w:rPr>
        <w:t xml:space="preserve">Simpeh, E. K. and Smallwood, J. J. (2015): Factors Influencing the Growth of Green Building in the South African Construction Industry. Proceedings of the Smart and Sustainable Built Environment Conference, 2015. University of Pretoria, Pretoria, South Africa </w:t>
      </w:r>
    </w:p>
    <w:p w14:paraId="0A556A43" w14:textId="77777777" w:rsidR="00A226D9" w:rsidRPr="00BE4AF3" w:rsidRDefault="00A226D9" w:rsidP="00FB0908">
      <w:pPr>
        <w:spacing w:after="0" w:line="240" w:lineRule="auto"/>
        <w:ind w:left="851" w:hanging="851"/>
        <w:jc w:val="both"/>
        <w:rPr>
          <w:rFonts w:ascii="Times New Roman" w:hAnsi="Times New Roman" w:cs="Times New Roman"/>
          <w:sz w:val="24"/>
          <w:szCs w:val="24"/>
        </w:rPr>
      </w:pPr>
      <w:r w:rsidRPr="00FB0908">
        <w:rPr>
          <w:rFonts w:ascii="Times New Roman" w:hAnsi="Times New Roman" w:cs="Times New Roman"/>
          <w:sz w:val="24"/>
          <w:szCs w:val="24"/>
        </w:rPr>
        <w:t>Sundus, K. A.; Saipol, B. A. K. and Ali, M. A. (2020): Critical Success Factors of Green Building Retrofitting Ventures in Iraq. International Journal of Sustainable Construction Engineering and Technology. 12(1). Pp. 12 – 17</w:t>
      </w:r>
      <w:r w:rsidRPr="00BE4AF3">
        <w:rPr>
          <w:rFonts w:ascii="Times New Roman" w:hAnsi="Times New Roman" w:cs="Times New Roman"/>
          <w:sz w:val="24"/>
          <w:szCs w:val="24"/>
        </w:rPr>
        <w:t xml:space="preserve"> </w:t>
      </w:r>
    </w:p>
    <w:p w14:paraId="09DA46F0" w14:textId="77777777" w:rsidR="00A226D9" w:rsidRDefault="00A226D9" w:rsidP="00A226D9">
      <w:pPr>
        <w:spacing w:after="0" w:line="360" w:lineRule="auto"/>
        <w:jc w:val="both"/>
        <w:rPr>
          <w:rFonts w:ascii="Times New Roman" w:hAnsi="Times New Roman" w:cs="Times New Roman"/>
          <w:b/>
          <w:sz w:val="24"/>
          <w:szCs w:val="24"/>
        </w:rPr>
      </w:pPr>
    </w:p>
    <w:p w14:paraId="51BEC9F8" w14:textId="77777777" w:rsidR="00FB0908" w:rsidRDefault="00FB0908" w:rsidP="00A226D9">
      <w:pPr>
        <w:spacing w:after="0" w:line="360" w:lineRule="auto"/>
        <w:jc w:val="both"/>
        <w:rPr>
          <w:rFonts w:ascii="Times New Roman" w:hAnsi="Times New Roman" w:cs="Times New Roman"/>
          <w:b/>
          <w:sz w:val="24"/>
          <w:szCs w:val="24"/>
        </w:rPr>
      </w:pPr>
    </w:p>
    <w:p w14:paraId="68F30B03" w14:textId="77777777" w:rsidR="00FB0908" w:rsidRDefault="00FB0908" w:rsidP="00A226D9">
      <w:pPr>
        <w:spacing w:after="0" w:line="360" w:lineRule="auto"/>
        <w:jc w:val="both"/>
        <w:rPr>
          <w:rFonts w:ascii="Times New Roman" w:hAnsi="Times New Roman" w:cs="Times New Roman"/>
          <w:b/>
          <w:sz w:val="24"/>
          <w:szCs w:val="24"/>
        </w:rPr>
      </w:pPr>
    </w:p>
    <w:p w14:paraId="1E6FF6D7" w14:textId="77777777" w:rsidR="00FB0908" w:rsidRDefault="00FB0908" w:rsidP="00A226D9">
      <w:pPr>
        <w:spacing w:after="0" w:line="360" w:lineRule="auto"/>
        <w:jc w:val="both"/>
        <w:rPr>
          <w:rFonts w:ascii="Times New Roman" w:hAnsi="Times New Roman" w:cs="Times New Roman"/>
          <w:b/>
          <w:sz w:val="24"/>
          <w:szCs w:val="24"/>
        </w:rPr>
      </w:pPr>
    </w:p>
    <w:p w14:paraId="11381485" w14:textId="77777777" w:rsidR="00FB0908" w:rsidRDefault="00FB0908" w:rsidP="00A226D9">
      <w:pPr>
        <w:spacing w:after="0" w:line="360" w:lineRule="auto"/>
        <w:jc w:val="both"/>
        <w:rPr>
          <w:rFonts w:ascii="Times New Roman" w:hAnsi="Times New Roman" w:cs="Times New Roman"/>
          <w:b/>
          <w:sz w:val="24"/>
          <w:szCs w:val="24"/>
        </w:rPr>
      </w:pPr>
    </w:p>
    <w:p w14:paraId="02858AF5" w14:textId="77777777" w:rsidR="00FB0908" w:rsidRDefault="00FB0908" w:rsidP="00A226D9">
      <w:pPr>
        <w:spacing w:after="0" w:line="360" w:lineRule="auto"/>
        <w:jc w:val="both"/>
        <w:rPr>
          <w:rFonts w:ascii="Times New Roman" w:hAnsi="Times New Roman" w:cs="Times New Roman"/>
          <w:b/>
          <w:sz w:val="24"/>
          <w:szCs w:val="24"/>
        </w:rPr>
      </w:pPr>
    </w:p>
    <w:p w14:paraId="57A3383B" w14:textId="77777777" w:rsidR="00FB0908" w:rsidRDefault="00FB0908" w:rsidP="00A226D9">
      <w:pPr>
        <w:spacing w:after="0" w:line="360" w:lineRule="auto"/>
        <w:jc w:val="both"/>
        <w:rPr>
          <w:rFonts w:ascii="Times New Roman" w:hAnsi="Times New Roman" w:cs="Times New Roman"/>
          <w:b/>
          <w:sz w:val="24"/>
          <w:szCs w:val="24"/>
        </w:rPr>
      </w:pPr>
    </w:p>
    <w:p w14:paraId="4C6580C0" w14:textId="77777777" w:rsidR="00FB0908" w:rsidRDefault="00FB0908" w:rsidP="00A226D9">
      <w:pPr>
        <w:spacing w:after="0" w:line="360" w:lineRule="auto"/>
        <w:jc w:val="both"/>
        <w:rPr>
          <w:rFonts w:ascii="Times New Roman" w:hAnsi="Times New Roman" w:cs="Times New Roman"/>
          <w:b/>
          <w:sz w:val="24"/>
          <w:szCs w:val="24"/>
        </w:rPr>
      </w:pPr>
    </w:p>
    <w:p w14:paraId="3D969D5A" w14:textId="77777777" w:rsidR="00FB0908" w:rsidRDefault="00FB0908" w:rsidP="00A226D9">
      <w:pPr>
        <w:spacing w:after="0" w:line="360" w:lineRule="auto"/>
        <w:jc w:val="both"/>
        <w:rPr>
          <w:rFonts w:ascii="Times New Roman" w:hAnsi="Times New Roman" w:cs="Times New Roman"/>
          <w:b/>
          <w:sz w:val="24"/>
          <w:szCs w:val="24"/>
        </w:rPr>
      </w:pPr>
    </w:p>
    <w:p w14:paraId="7E7C6449" w14:textId="77777777" w:rsidR="00FB0908" w:rsidRDefault="00FB0908" w:rsidP="00A226D9">
      <w:pPr>
        <w:spacing w:after="0" w:line="360" w:lineRule="auto"/>
        <w:jc w:val="both"/>
        <w:rPr>
          <w:rFonts w:ascii="Times New Roman" w:hAnsi="Times New Roman" w:cs="Times New Roman"/>
          <w:b/>
          <w:sz w:val="24"/>
          <w:szCs w:val="24"/>
        </w:rPr>
      </w:pPr>
    </w:p>
    <w:p w14:paraId="5B8FE5D4" w14:textId="77777777" w:rsidR="00FB0908" w:rsidRDefault="00FB0908" w:rsidP="00A226D9">
      <w:pPr>
        <w:spacing w:after="0" w:line="360" w:lineRule="auto"/>
        <w:jc w:val="both"/>
        <w:rPr>
          <w:rFonts w:ascii="Times New Roman" w:hAnsi="Times New Roman" w:cs="Times New Roman"/>
          <w:b/>
          <w:sz w:val="24"/>
          <w:szCs w:val="24"/>
        </w:rPr>
      </w:pPr>
    </w:p>
    <w:p w14:paraId="29030E86" w14:textId="77777777" w:rsidR="00FB0908" w:rsidRDefault="00FB0908" w:rsidP="00A226D9">
      <w:pPr>
        <w:spacing w:after="0" w:line="360" w:lineRule="auto"/>
        <w:jc w:val="both"/>
        <w:rPr>
          <w:rFonts w:ascii="Times New Roman" w:hAnsi="Times New Roman" w:cs="Times New Roman"/>
          <w:b/>
          <w:sz w:val="24"/>
          <w:szCs w:val="24"/>
        </w:rPr>
      </w:pPr>
    </w:p>
    <w:p w14:paraId="1D1281B2" w14:textId="77777777" w:rsidR="00FB0908" w:rsidRDefault="00FB0908" w:rsidP="00A226D9">
      <w:pPr>
        <w:spacing w:after="0" w:line="360" w:lineRule="auto"/>
        <w:jc w:val="both"/>
        <w:rPr>
          <w:rFonts w:ascii="Times New Roman" w:hAnsi="Times New Roman" w:cs="Times New Roman"/>
          <w:b/>
          <w:sz w:val="24"/>
          <w:szCs w:val="24"/>
        </w:rPr>
      </w:pPr>
    </w:p>
    <w:p w14:paraId="40699A27" w14:textId="77777777" w:rsidR="00FB0908" w:rsidRDefault="00FB0908" w:rsidP="00A226D9">
      <w:pPr>
        <w:spacing w:after="0" w:line="360" w:lineRule="auto"/>
        <w:jc w:val="both"/>
        <w:rPr>
          <w:rFonts w:ascii="Times New Roman" w:hAnsi="Times New Roman" w:cs="Times New Roman"/>
          <w:b/>
          <w:sz w:val="24"/>
          <w:szCs w:val="24"/>
        </w:rPr>
      </w:pPr>
    </w:p>
    <w:p w14:paraId="1492124A" w14:textId="77777777" w:rsidR="00FB0908" w:rsidRDefault="00FB0908" w:rsidP="00A226D9">
      <w:pPr>
        <w:spacing w:after="0" w:line="360" w:lineRule="auto"/>
        <w:jc w:val="both"/>
        <w:rPr>
          <w:rFonts w:ascii="Times New Roman" w:hAnsi="Times New Roman" w:cs="Times New Roman"/>
          <w:b/>
          <w:sz w:val="24"/>
          <w:szCs w:val="24"/>
        </w:rPr>
      </w:pPr>
    </w:p>
    <w:p w14:paraId="0CC3E586" w14:textId="77777777" w:rsidR="00FB0908" w:rsidRDefault="00FB0908" w:rsidP="00A226D9">
      <w:pPr>
        <w:spacing w:after="0" w:line="360" w:lineRule="auto"/>
        <w:jc w:val="both"/>
        <w:rPr>
          <w:rFonts w:ascii="Times New Roman" w:hAnsi="Times New Roman" w:cs="Times New Roman"/>
          <w:b/>
          <w:sz w:val="24"/>
          <w:szCs w:val="24"/>
        </w:rPr>
      </w:pPr>
    </w:p>
    <w:p w14:paraId="2D9AD952" w14:textId="77777777" w:rsidR="00FB0908" w:rsidRDefault="00FB0908" w:rsidP="00A226D9">
      <w:pPr>
        <w:spacing w:after="0" w:line="360" w:lineRule="auto"/>
        <w:jc w:val="both"/>
        <w:rPr>
          <w:rFonts w:ascii="Times New Roman" w:hAnsi="Times New Roman" w:cs="Times New Roman"/>
          <w:b/>
          <w:sz w:val="24"/>
          <w:szCs w:val="24"/>
        </w:rPr>
      </w:pPr>
    </w:p>
    <w:p w14:paraId="2AC58251" w14:textId="77777777" w:rsidR="00FB0908" w:rsidRPr="00BE4AF3" w:rsidRDefault="00FB0908" w:rsidP="00A226D9">
      <w:pPr>
        <w:spacing w:after="0" w:line="360" w:lineRule="auto"/>
        <w:jc w:val="both"/>
        <w:rPr>
          <w:rFonts w:ascii="Times New Roman" w:hAnsi="Times New Roman" w:cs="Times New Roman"/>
          <w:b/>
          <w:sz w:val="24"/>
          <w:szCs w:val="24"/>
        </w:rPr>
      </w:pPr>
    </w:p>
    <w:p w14:paraId="15E01A51" w14:textId="77777777" w:rsidR="000C7355" w:rsidRPr="00FB0908" w:rsidRDefault="00F53A50" w:rsidP="00E90BB6">
      <w:pPr>
        <w:spacing w:after="0" w:line="240" w:lineRule="auto"/>
        <w:jc w:val="center"/>
        <w:rPr>
          <w:rFonts w:ascii="Times New Roman" w:hAnsi="Times New Roman" w:cs="Times New Roman"/>
          <w:b/>
          <w:bCs/>
          <w:sz w:val="28"/>
          <w:szCs w:val="28"/>
        </w:rPr>
      </w:pPr>
      <w:bookmarkStart w:id="66" w:name="_Toc146787881"/>
      <w:r w:rsidRPr="00FB0908">
        <w:rPr>
          <w:rFonts w:ascii="Times New Roman" w:hAnsi="Times New Roman" w:cs="Times New Roman"/>
          <w:b/>
          <w:bCs/>
          <w:sz w:val="28"/>
          <w:szCs w:val="28"/>
        </w:rPr>
        <w:lastRenderedPageBreak/>
        <w:t>Assessment of Residents’ Awareness of Urban Health Hazards in Informal Settlements of Federal Capital Territory, Nigeria</w:t>
      </w:r>
    </w:p>
    <w:p w14:paraId="515E4095" w14:textId="77777777" w:rsidR="00F53A50" w:rsidRPr="00BE4AF3" w:rsidRDefault="00F53A50" w:rsidP="00E90BB6">
      <w:pPr>
        <w:spacing w:after="0" w:line="240" w:lineRule="auto"/>
        <w:jc w:val="center"/>
        <w:rPr>
          <w:rFonts w:ascii="Times New Roman" w:hAnsi="Times New Roman" w:cs="Times New Roman"/>
          <w:b/>
          <w:bCs/>
          <w:sz w:val="24"/>
          <w:szCs w:val="24"/>
        </w:rPr>
      </w:pPr>
      <w:r w:rsidRPr="00BE4AF3">
        <w:rPr>
          <w:rFonts w:ascii="Times New Roman" w:hAnsi="Times New Roman" w:cs="Times New Roman"/>
          <w:b/>
          <w:bCs/>
          <w:sz w:val="24"/>
          <w:szCs w:val="24"/>
        </w:rPr>
        <w:t xml:space="preserve"> </w:t>
      </w:r>
    </w:p>
    <w:p w14:paraId="27E085F2" w14:textId="77777777" w:rsidR="00F53A50" w:rsidRPr="00BE4AF3" w:rsidRDefault="00F53A50" w:rsidP="00E90BB6">
      <w:pPr>
        <w:spacing w:after="0" w:line="240" w:lineRule="auto"/>
        <w:jc w:val="center"/>
        <w:rPr>
          <w:rFonts w:ascii="Times New Roman" w:hAnsi="Times New Roman" w:cs="Times New Roman"/>
          <w:sz w:val="24"/>
          <w:szCs w:val="24"/>
          <w:vertAlign w:val="superscript"/>
        </w:rPr>
      </w:pPr>
      <w:r w:rsidRPr="00BE4AF3">
        <w:rPr>
          <w:rFonts w:ascii="Times New Roman" w:hAnsi="Times New Roman" w:cs="Times New Roman"/>
          <w:sz w:val="24"/>
          <w:szCs w:val="24"/>
        </w:rPr>
        <w:t>Suleiman, A.R.</w:t>
      </w:r>
      <w:r w:rsidRPr="00BE4AF3">
        <w:rPr>
          <w:rFonts w:ascii="Times New Roman" w:hAnsi="Times New Roman" w:cs="Times New Roman"/>
          <w:sz w:val="24"/>
          <w:szCs w:val="24"/>
          <w:vertAlign w:val="superscript"/>
        </w:rPr>
        <w:t>1</w:t>
      </w:r>
      <w:r w:rsidRPr="00BE4AF3">
        <w:rPr>
          <w:rFonts w:ascii="Times New Roman" w:hAnsi="Times New Roman" w:cs="Times New Roman"/>
          <w:sz w:val="24"/>
          <w:szCs w:val="24"/>
        </w:rPr>
        <w:t>, Junaid, A.M.</w:t>
      </w:r>
      <w:r w:rsidRPr="00BE4AF3">
        <w:rPr>
          <w:rFonts w:ascii="Times New Roman" w:hAnsi="Times New Roman" w:cs="Times New Roman"/>
          <w:sz w:val="24"/>
          <w:szCs w:val="24"/>
          <w:vertAlign w:val="superscript"/>
        </w:rPr>
        <w:t>2</w:t>
      </w:r>
      <w:r w:rsidRPr="00BE4AF3">
        <w:rPr>
          <w:rFonts w:ascii="Times New Roman" w:hAnsi="Times New Roman" w:cs="Times New Roman"/>
          <w:sz w:val="24"/>
          <w:szCs w:val="24"/>
        </w:rPr>
        <w:t>, Sanni, L.M.</w:t>
      </w:r>
      <w:r w:rsidRPr="00BE4AF3">
        <w:rPr>
          <w:rFonts w:ascii="Times New Roman" w:hAnsi="Times New Roman" w:cs="Times New Roman"/>
          <w:sz w:val="24"/>
          <w:szCs w:val="24"/>
          <w:vertAlign w:val="superscript"/>
        </w:rPr>
        <w:t>2</w:t>
      </w:r>
      <w:r w:rsidRPr="00BE4AF3">
        <w:rPr>
          <w:rFonts w:ascii="Times New Roman" w:hAnsi="Times New Roman" w:cs="Times New Roman"/>
          <w:sz w:val="24"/>
          <w:szCs w:val="24"/>
        </w:rPr>
        <w:t>, Ohadugha, C.B.</w:t>
      </w:r>
      <w:r w:rsidRPr="00BE4AF3">
        <w:rPr>
          <w:rFonts w:ascii="Times New Roman" w:hAnsi="Times New Roman" w:cs="Times New Roman"/>
          <w:sz w:val="24"/>
          <w:szCs w:val="24"/>
          <w:vertAlign w:val="superscript"/>
        </w:rPr>
        <w:t>2</w:t>
      </w:r>
    </w:p>
    <w:p w14:paraId="6B7F6B61" w14:textId="77777777" w:rsidR="000C7355" w:rsidRPr="00BE4AF3" w:rsidRDefault="000C7355" w:rsidP="00E90BB6">
      <w:pPr>
        <w:spacing w:after="0" w:line="240" w:lineRule="auto"/>
        <w:jc w:val="center"/>
        <w:rPr>
          <w:rFonts w:ascii="Times New Roman" w:hAnsi="Times New Roman" w:cs="Times New Roman"/>
          <w:sz w:val="24"/>
          <w:szCs w:val="24"/>
        </w:rPr>
      </w:pPr>
    </w:p>
    <w:p w14:paraId="1247599C" w14:textId="77777777" w:rsidR="00F53A50" w:rsidRPr="00FB0908" w:rsidRDefault="00F53A50" w:rsidP="00E90BB6">
      <w:pPr>
        <w:spacing w:after="0" w:line="240" w:lineRule="auto"/>
        <w:jc w:val="center"/>
        <w:rPr>
          <w:rFonts w:ascii="Times New Roman" w:hAnsi="Times New Roman" w:cs="Times New Roman"/>
          <w:bCs/>
          <w:sz w:val="20"/>
          <w:szCs w:val="20"/>
        </w:rPr>
      </w:pPr>
      <w:r w:rsidRPr="00FB0908">
        <w:rPr>
          <w:rFonts w:ascii="Times New Roman" w:hAnsi="Times New Roman" w:cs="Times New Roman"/>
          <w:b/>
          <w:bCs/>
          <w:sz w:val="20"/>
          <w:szCs w:val="20"/>
          <w:vertAlign w:val="superscript"/>
        </w:rPr>
        <w:t>1</w:t>
      </w:r>
      <w:r w:rsidRPr="00FB0908">
        <w:rPr>
          <w:rFonts w:ascii="Times New Roman" w:hAnsi="Times New Roman" w:cs="Times New Roman"/>
          <w:sz w:val="20"/>
          <w:szCs w:val="20"/>
        </w:rPr>
        <w:t>Department of Urban and Regional Planning, University of Ilorin, Ilorin, Nigeria.</w:t>
      </w:r>
    </w:p>
    <w:p w14:paraId="56456267" w14:textId="77777777" w:rsidR="00F53A50" w:rsidRPr="00FB0908" w:rsidRDefault="00F53A50" w:rsidP="00E90BB6">
      <w:pPr>
        <w:spacing w:after="0" w:line="240" w:lineRule="auto"/>
        <w:jc w:val="center"/>
        <w:rPr>
          <w:rFonts w:ascii="Times New Roman" w:hAnsi="Times New Roman" w:cs="Times New Roman"/>
          <w:sz w:val="20"/>
          <w:szCs w:val="20"/>
        </w:rPr>
      </w:pPr>
      <w:r w:rsidRPr="00FB0908">
        <w:rPr>
          <w:rFonts w:ascii="Times New Roman" w:hAnsi="Times New Roman" w:cs="Times New Roman"/>
          <w:b/>
          <w:bCs/>
          <w:sz w:val="20"/>
          <w:szCs w:val="20"/>
          <w:vertAlign w:val="superscript"/>
        </w:rPr>
        <w:t>2</w:t>
      </w:r>
      <w:r w:rsidRPr="00FB0908">
        <w:rPr>
          <w:rFonts w:ascii="Times New Roman" w:hAnsi="Times New Roman" w:cs="Times New Roman"/>
          <w:sz w:val="20"/>
          <w:szCs w:val="20"/>
        </w:rPr>
        <w:t>Department of Urban and Regional Planning, Federal University of Technology, Minna, Nigeria</w:t>
      </w:r>
    </w:p>
    <w:p w14:paraId="3EDCF41E" w14:textId="77777777" w:rsidR="000C7355" w:rsidRPr="00FB0908" w:rsidRDefault="000C7355" w:rsidP="00E90BB6">
      <w:pPr>
        <w:spacing w:after="0" w:line="240" w:lineRule="auto"/>
        <w:jc w:val="center"/>
        <w:rPr>
          <w:rFonts w:ascii="Times New Roman" w:hAnsi="Times New Roman" w:cs="Times New Roman"/>
          <w:sz w:val="20"/>
          <w:szCs w:val="20"/>
        </w:rPr>
      </w:pPr>
    </w:p>
    <w:p w14:paraId="3D8DEF8D" w14:textId="77777777" w:rsidR="00F53A50" w:rsidRPr="00FB0908" w:rsidRDefault="00F53A50" w:rsidP="00E90BB6">
      <w:pPr>
        <w:pStyle w:val="Footer"/>
        <w:jc w:val="center"/>
        <w:rPr>
          <w:rFonts w:ascii="Times New Roman" w:hAnsi="Times New Roman"/>
          <w:sz w:val="20"/>
          <w:szCs w:val="20"/>
        </w:rPr>
      </w:pPr>
      <w:r w:rsidRPr="00FB0908">
        <w:rPr>
          <w:rFonts w:ascii="Times New Roman" w:hAnsi="Times New Roman"/>
          <w:sz w:val="20"/>
          <w:szCs w:val="20"/>
        </w:rPr>
        <w:t xml:space="preserve">*Corresponding Author: </w:t>
      </w:r>
      <w:hyperlink r:id="rId136" w:history="1">
        <w:r w:rsidRPr="00FB0908">
          <w:rPr>
            <w:rStyle w:val="Hyperlink"/>
            <w:rFonts w:ascii="Times New Roman" w:hAnsi="Times New Roman"/>
            <w:bCs/>
            <w:color w:val="auto"/>
            <w:sz w:val="20"/>
            <w:szCs w:val="20"/>
            <w:u w:val="none"/>
          </w:rPr>
          <w:t>suleiman.ar@unilorin.edu.ng</w:t>
        </w:r>
      </w:hyperlink>
    </w:p>
    <w:p w14:paraId="092BC719" w14:textId="77777777" w:rsidR="00F53A50" w:rsidRPr="00BE4AF3" w:rsidRDefault="00F53A50" w:rsidP="00E90BB6">
      <w:pPr>
        <w:autoSpaceDE w:val="0"/>
        <w:autoSpaceDN w:val="0"/>
        <w:adjustRightInd w:val="0"/>
        <w:spacing w:after="0" w:line="240" w:lineRule="auto"/>
        <w:rPr>
          <w:rFonts w:ascii="Times New Roman" w:hAnsi="Times New Roman" w:cs="Times New Roman"/>
          <w:b/>
          <w:bCs/>
          <w:sz w:val="24"/>
          <w:szCs w:val="24"/>
        </w:rPr>
      </w:pPr>
    </w:p>
    <w:bookmarkEnd w:id="66"/>
    <w:p w14:paraId="6F81B982" w14:textId="77777777" w:rsidR="00F53A50" w:rsidRPr="00BE4AF3" w:rsidRDefault="00F53A50" w:rsidP="00E90BB6">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 xml:space="preserve">LICFES 2025-057 </w:t>
      </w:r>
      <w:r w:rsidR="00AD00E5" w:rsidRPr="00BE4AF3">
        <w:rPr>
          <w:rFonts w:ascii="Times New Roman" w:hAnsi="Times New Roman" w:cs="Times New Roman"/>
          <w:b/>
          <w:bCs/>
          <w:sz w:val="24"/>
          <w:szCs w:val="24"/>
        </w:rPr>
        <w:t>–</w:t>
      </w:r>
      <w:r w:rsidRPr="00BE4AF3">
        <w:rPr>
          <w:rFonts w:ascii="Times New Roman" w:hAnsi="Times New Roman" w:cs="Times New Roman"/>
          <w:b/>
          <w:bCs/>
          <w:sz w:val="24"/>
          <w:szCs w:val="24"/>
        </w:rPr>
        <w:t xml:space="preserve"> </w:t>
      </w:r>
      <w:r w:rsidR="00AD00E5" w:rsidRPr="00BE4AF3">
        <w:rPr>
          <w:rFonts w:ascii="Times New Roman" w:hAnsi="Times New Roman" w:cs="Times New Roman"/>
          <w:b/>
          <w:bCs/>
          <w:sz w:val="24"/>
          <w:szCs w:val="24"/>
        </w:rPr>
        <w:t>FP20</w:t>
      </w:r>
    </w:p>
    <w:p w14:paraId="5EB6AF9A" w14:textId="77777777" w:rsidR="00F53A50" w:rsidRPr="00BE4AF3" w:rsidRDefault="00F53A50" w:rsidP="00E90BB6">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Abstract</w:t>
      </w:r>
    </w:p>
    <w:p w14:paraId="217B9F0F" w14:textId="77777777" w:rsidR="00F53A50" w:rsidRPr="00BE4AF3" w:rsidRDefault="00F53A50" w:rsidP="00E90BB6">
      <w:pPr>
        <w:spacing w:after="0" w:line="240" w:lineRule="auto"/>
        <w:jc w:val="both"/>
        <w:rPr>
          <w:rFonts w:ascii="Times New Roman" w:eastAsia="Times New Roman" w:hAnsi="Times New Roman" w:cs="Times New Roman"/>
          <w:iCs/>
          <w:sz w:val="24"/>
          <w:szCs w:val="24"/>
          <w:lang w:eastAsia="en-GB"/>
        </w:rPr>
      </w:pPr>
      <w:r w:rsidRPr="00BE4AF3">
        <w:rPr>
          <w:rFonts w:ascii="Times New Roman" w:hAnsi="Times New Roman" w:cs="Times New Roman"/>
          <w:iCs/>
          <w:sz w:val="24"/>
          <w:szCs w:val="24"/>
        </w:rPr>
        <w:t xml:space="preserve">The rapid and often unregulated urban expansion in Nigeria has strained municipal systems, leading to widespread health hazards such as poor sanitation, polluted water, and exposure to hazardous materials particularly in informal settlements. Public awareness of these hazards is crucial, as it shapes health behaviours, community responses, and the effectiveness of environmental health policies and interventions. This study investigates residents’ awareness level of </w:t>
      </w:r>
      <w:r w:rsidRPr="00BE4AF3">
        <w:rPr>
          <w:rFonts w:ascii="Times New Roman" w:eastAsia="Times New Roman" w:hAnsi="Times New Roman" w:cs="Times New Roman"/>
          <w:iCs/>
          <w:sz w:val="24"/>
          <w:szCs w:val="24"/>
          <w:lang w:eastAsia="en-GB"/>
        </w:rPr>
        <w:t>urban</w:t>
      </w:r>
      <w:r w:rsidRPr="00BE4AF3">
        <w:rPr>
          <w:rFonts w:ascii="Times New Roman" w:hAnsi="Times New Roman" w:cs="Times New Roman"/>
          <w:iCs/>
          <w:sz w:val="24"/>
          <w:szCs w:val="24"/>
        </w:rPr>
        <w:t xml:space="preserve"> environmental health hazards across three Area Councils of Abuja Municipal, Bwari, and Gwagwalada in FCT, Nigeria. </w:t>
      </w:r>
      <w:r w:rsidRPr="00BE4AF3">
        <w:rPr>
          <w:rFonts w:ascii="Times New Roman" w:eastAsia="Times New Roman" w:hAnsi="Times New Roman" w:cs="Times New Roman"/>
          <w:iCs/>
          <w:sz w:val="24"/>
          <w:szCs w:val="24"/>
          <w:lang w:eastAsia="en-GB"/>
        </w:rPr>
        <w:t>Using a cross-sectional survey design, primary data were collected from 1,137 respondents through structured questionnaires and field observations. Residents’ Awareness was measured on a 4-point Likert scale and analysed using descriptive statistics and the Kruskal-Wallis H test to evaluate spatial differences</w:t>
      </w:r>
      <w:r w:rsidRPr="00BE4AF3">
        <w:rPr>
          <w:rFonts w:ascii="Times New Roman" w:hAnsi="Times New Roman" w:cs="Times New Roman"/>
          <w:iCs/>
          <w:sz w:val="24"/>
          <w:szCs w:val="24"/>
        </w:rPr>
        <w:t xml:space="preserve">. The results revealed that across the Area Councils, most respondents (56.0%) have tertiary education, reflecting a relatively educated population. </w:t>
      </w:r>
      <w:r w:rsidRPr="00BE4AF3">
        <w:rPr>
          <w:rFonts w:ascii="Times New Roman" w:eastAsia="Times New Roman" w:hAnsi="Times New Roman" w:cs="Times New Roman"/>
          <w:iCs/>
          <w:sz w:val="24"/>
          <w:szCs w:val="24"/>
          <w:lang w:eastAsia="en-GB"/>
        </w:rPr>
        <w:t xml:space="preserve">Results also show a high awareness of visible, day-to-day hazards (clogged drains, noise, waste), while awareness of less visible but harmful risks (asbestos and mould) remains low. </w:t>
      </w:r>
      <w:r w:rsidRPr="00BE4AF3">
        <w:rPr>
          <w:rFonts w:ascii="Times New Roman" w:hAnsi="Times New Roman" w:cs="Times New Roman"/>
          <w:iCs/>
          <w:sz w:val="24"/>
          <w:szCs w:val="24"/>
        </w:rPr>
        <w:t>The Kruskal-Wallis H test revealed no statistically significant differences in awareness levels across Councils (p &gt; 0.05). Post-hoc pairwise comparisons using Mann-Whitney U tests confirmed this uniformity</w:t>
      </w:r>
      <w:r w:rsidRPr="00BE4AF3">
        <w:rPr>
          <w:rFonts w:ascii="Times New Roman" w:eastAsia="Times New Roman" w:hAnsi="Times New Roman" w:cs="Times New Roman"/>
          <w:iCs/>
          <w:sz w:val="24"/>
          <w:szCs w:val="24"/>
          <w:lang w:eastAsia="en-GB"/>
        </w:rPr>
        <w:t xml:space="preserve">. These findings indicate the need for targeted education strategies to raise awareness about chronic and less perceptible health hazards, while supporting region-wide public health interventions that leverage the high educational attainment of the population. This study aligned with the SDG goal 11 which advocates for inclusive, safe, resilience and liveable cities especially in the developing countries. </w:t>
      </w:r>
    </w:p>
    <w:p w14:paraId="1E91BC72" w14:textId="77777777" w:rsidR="000C7355" w:rsidRPr="00BE4AF3" w:rsidRDefault="000C7355" w:rsidP="00E90BB6">
      <w:pPr>
        <w:pStyle w:val="NormalWeb"/>
        <w:spacing w:before="0" w:beforeAutospacing="0" w:after="0" w:afterAutospacing="0"/>
        <w:rPr>
          <w:rStyle w:val="Strong"/>
          <w:rFonts w:eastAsiaTheme="majorEastAsia"/>
        </w:rPr>
      </w:pPr>
    </w:p>
    <w:p w14:paraId="404D5972" w14:textId="5D6714C9" w:rsidR="00A4549A" w:rsidRDefault="00F53A50" w:rsidP="00FB0908">
      <w:pPr>
        <w:pStyle w:val="NormalWeb"/>
        <w:spacing w:before="0" w:beforeAutospacing="0" w:after="0" w:afterAutospacing="0"/>
      </w:pPr>
      <w:r w:rsidRPr="00BE4AF3">
        <w:rPr>
          <w:rStyle w:val="Strong"/>
          <w:rFonts w:eastAsiaTheme="majorEastAsia"/>
        </w:rPr>
        <w:t>Keywords:</w:t>
      </w:r>
      <w:r w:rsidRPr="00BE4AF3">
        <w:t xml:space="preserve"> Environment, Urban health, Awareness, Urban vulnerability, Hazard, Informal Settlement</w:t>
      </w:r>
      <w:r w:rsidR="00AD00E5" w:rsidRPr="00BE4AF3">
        <w:t xml:space="preserve">  </w:t>
      </w:r>
    </w:p>
    <w:p w14:paraId="1A0F6473" w14:textId="77777777" w:rsidR="00FB0908" w:rsidRPr="00FB0908" w:rsidRDefault="00FB0908" w:rsidP="00FB0908">
      <w:pPr>
        <w:pStyle w:val="NormalWeb"/>
        <w:spacing w:before="0" w:beforeAutospacing="0" w:after="0" w:afterAutospacing="0"/>
      </w:pPr>
    </w:p>
    <w:p w14:paraId="726D32DE" w14:textId="56954181" w:rsidR="00A226D9" w:rsidRPr="00BE4AF3" w:rsidRDefault="00A226D9" w:rsidP="00FB0908">
      <w:pPr>
        <w:pStyle w:val="NormalWeb"/>
        <w:spacing w:before="0" w:beforeAutospacing="0" w:after="0" w:afterAutospacing="0"/>
        <w:jc w:val="both"/>
        <w:rPr>
          <w:b/>
          <w:bCs/>
        </w:rPr>
      </w:pPr>
      <w:r w:rsidRPr="00BE4AF3">
        <w:rPr>
          <w:b/>
          <w:bCs/>
        </w:rPr>
        <w:t xml:space="preserve">Introduction </w:t>
      </w:r>
    </w:p>
    <w:p w14:paraId="62456149" w14:textId="77777777" w:rsidR="00A226D9" w:rsidRPr="00BE4AF3" w:rsidRDefault="00A226D9" w:rsidP="00FB0908">
      <w:pPr>
        <w:pStyle w:val="NormalWeb"/>
        <w:spacing w:before="0" w:beforeAutospacing="0" w:after="0" w:afterAutospacing="0"/>
        <w:jc w:val="both"/>
      </w:pPr>
      <w:r w:rsidRPr="00BE4AF3">
        <w:t xml:space="preserve">Urbanisation is one of the most transformative processes shaping the spatial, environmental, and socio-economic landscapes of Nigeria (UN-Habitat, 2020; National Bureau of Statistics, 2021). As cities expand to accommodate growing populations and economic activities, the burden on existing infrastructure and services continues to intensify. This phenomenon is particularly pronounced within the Federal Capital Territory (FCT) Abuja, which has witnessed rapid urban growth over the past two decades (Ajayi and Olanrewaju, 2020). The resulting urban sprawl often characterised by informal settlements, overcrowded housing, and inadequate municipal services has led to a heightened exposure to a range of housing and environmental hazards. These include, but are not limited to inadequate sanitation, polluted water sources, improper solid waste </w:t>
      </w:r>
      <w:r w:rsidRPr="00BE4AF3">
        <w:lastRenderedPageBreak/>
        <w:t>management, overcrowding, poor ventilation, and exposure to hazardous materials such as asbestos and mould (Amegah and Jaakkola, 2016; Ezeh et al., 2017).</w:t>
      </w:r>
    </w:p>
    <w:p w14:paraId="1AB22A6D" w14:textId="77777777" w:rsidR="00A226D9" w:rsidRPr="00BE4AF3" w:rsidRDefault="00A226D9" w:rsidP="00FB0908">
      <w:pPr>
        <w:pStyle w:val="NormalWeb"/>
        <w:spacing w:before="0" w:beforeAutospacing="0" w:after="0" w:afterAutospacing="0"/>
        <w:jc w:val="both"/>
      </w:pPr>
      <w:r w:rsidRPr="00BE4AF3">
        <w:t>The health implications of these urban health hazards are well documented, ranging from communicable diseases such as cholera and typhoid to chronic respiratory illness and increased vulnerability to physical injuries (WHO, 2021). However, the effectiveness of any public health or environmental intervention hinges not only on physical infrastructure but also on the level of residents’ awareness and understanding within the affected communities (</w:t>
      </w:r>
      <w:r w:rsidRPr="00BE4AF3">
        <w:rPr>
          <w:shd w:val="clear" w:color="auto" w:fill="FFFFFF"/>
        </w:rPr>
        <w:t>Wilkinson, et al., 2020</w:t>
      </w:r>
      <w:r w:rsidRPr="00BE4AF3">
        <w:t xml:space="preserve">; </w:t>
      </w:r>
      <w:r w:rsidRPr="00BE4AF3">
        <w:rPr>
          <w:shd w:val="clear" w:color="auto" w:fill="FFFFFF"/>
        </w:rPr>
        <w:t>Olorunsogo, et al., 2024</w:t>
      </w:r>
      <w:r w:rsidRPr="00BE4AF3">
        <w:t>). Public awareness influences individual behaviours, community mobilisation, and overall receptiveness to policy and programme interventions. Therefore, assessing how well populations perceive and understand these environmental health threats is a critical precursor to the design and implementation of effective, inclusive, and equitable urban health strategies (MacCarthy et al</w:t>
      </w:r>
      <w:r w:rsidRPr="00BE4AF3">
        <w:rPr>
          <w:i/>
          <w:iCs/>
        </w:rPr>
        <w:t>.</w:t>
      </w:r>
      <w:r w:rsidRPr="00BE4AF3">
        <w:t xml:space="preserve">, 2018). </w:t>
      </w:r>
    </w:p>
    <w:p w14:paraId="40126992" w14:textId="77777777" w:rsidR="00A226D9" w:rsidRDefault="00A226D9" w:rsidP="00FB0908">
      <w:pPr>
        <w:pStyle w:val="NormalWeb"/>
        <w:spacing w:before="0" w:beforeAutospacing="0" w:after="0" w:afterAutospacing="0"/>
        <w:jc w:val="both"/>
      </w:pPr>
      <w:r w:rsidRPr="00BE4AF3">
        <w:t>Therefore, this study assesses the residents’ awareness level of urban health hazards in the informal settlements of Abuja Municipal, Bwari, and Gwagwalada Area Councils of FCT. These Area councils represent varying degrees of urbanisation and socio-economic diversity, offering an opportunity to explore the interplay between spatial context and urban health hazards awareness. The central objective of the study is to determine whether significant differences exist in the perceived awareness of urban health hazards across these councils.</w:t>
      </w:r>
    </w:p>
    <w:p w14:paraId="1704743B" w14:textId="77777777" w:rsidR="00FB0908" w:rsidRPr="00BE4AF3" w:rsidRDefault="00FB0908" w:rsidP="00FB0908">
      <w:pPr>
        <w:pStyle w:val="NormalWeb"/>
        <w:spacing w:before="0" w:beforeAutospacing="0" w:after="0" w:afterAutospacing="0"/>
        <w:jc w:val="both"/>
      </w:pPr>
    </w:p>
    <w:p w14:paraId="1D68D4F1" w14:textId="20EBBB80" w:rsidR="00A226D9" w:rsidRPr="00BE4AF3" w:rsidRDefault="00A226D9" w:rsidP="00A226D9">
      <w:pPr>
        <w:spacing w:after="0" w:line="240" w:lineRule="auto"/>
        <w:rPr>
          <w:rFonts w:ascii="Times New Roman" w:hAnsi="Times New Roman" w:cs="Times New Roman"/>
          <w:b/>
          <w:bCs/>
          <w:sz w:val="24"/>
          <w:szCs w:val="24"/>
        </w:rPr>
      </w:pPr>
      <w:r w:rsidRPr="00BE4AF3">
        <w:rPr>
          <w:rFonts w:ascii="Times New Roman" w:hAnsi="Times New Roman" w:cs="Times New Roman"/>
          <w:b/>
          <w:bCs/>
          <w:sz w:val="24"/>
          <w:szCs w:val="24"/>
        </w:rPr>
        <w:t>The study Area</w:t>
      </w:r>
    </w:p>
    <w:p w14:paraId="642C0D7F" w14:textId="5B8D5037" w:rsidR="00A226D9" w:rsidRPr="00FB0908" w:rsidRDefault="00A226D9" w:rsidP="00FB0908">
      <w:pPr>
        <w:pStyle w:val="NormalWeb"/>
        <w:spacing w:before="0" w:beforeAutospacing="0"/>
        <w:jc w:val="both"/>
      </w:pPr>
      <w:r w:rsidRPr="00BE4AF3">
        <w:t>This study was conducted within three Area Councils of the Federal Capital Territory (FCT), Nigeria (Abuja Municipal, Bwari and Gwagwalada). These Area Councils were selected to represent varying degrees of urban development, socio-economic diversity, and infrastructural capacity. The FCT is a region of intense urban growth, making it a suitable context for assessing public awareness of environmental health risks amid rapid spatial change.</w:t>
      </w:r>
    </w:p>
    <w:p w14:paraId="090EA565" w14:textId="574B2FE9" w:rsidR="00A226D9" w:rsidRPr="00BE4AF3" w:rsidRDefault="00A226D9" w:rsidP="00A226D9">
      <w:pPr>
        <w:spacing w:after="0" w:line="240" w:lineRule="auto"/>
        <w:rPr>
          <w:rFonts w:ascii="Times New Roman" w:hAnsi="Times New Roman" w:cs="Times New Roman"/>
          <w:b/>
          <w:bCs/>
          <w:sz w:val="24"/>
          <w:szCs w:val="24"/>
        </w:rPr>
      </w:pPr>
      <w:r w:rsidRPr="00BE4AF3">
        <w:rPr>
          <w:rFonts w:ascii="Times New Roman" w:hAnsi="Times New Roman" w:cs="Times New Roman"/>
          <w:b/>
          <w:bCs/>
          <w:sz w:val="24"/>
          <w:szCs w:val="24"/>
        </w:rPr>
        <w:t>Literature Review</w:t>
      </w:r>
    </w:p>
    <w:p w14:paraId="5008E8AD" w14:textId="77777777" w:rsidR="00FB0908" w:rsidRDefault="00FB0908" w:rsidP="00A226D9">
      <w:pPr>
        <w:spacing w:after="0" w:line="240" w:lineRule="auto"/>
        <w:rPr>
          <w:rFonts w:ascii="Times New Roman" w:hAnsi="Times New Roman" w:cs="Times New Roman"/>
          <w:b/>
          <w:bCs/>
          <w:sz w:val="24"/>
          <w:szCs w:val="24"/>
        </w:rPr>
      </w:pPr>
    </w:p>
    <w:p w14:paraId="11EBC885" w14:textId="319F86F3" w:rsidR="00A226D9" w:rsidRPr="00BE4AF3" w:rsidRDefault="00A226D9" w:rsidP="00A226D9">
      <w:pPr>
        <w:spacing w:after="0" w:line="240" w:lineRule="auto"/>
        <w:rPr>
          <w:rFonts w:ascii="Times New Roman" w:hAnsi="Times New Roman" w:cs="Times New Roman"/>
          <w:b/>
          <w:bCs/>
          <w:sz w:val="24"/>
          <w:szCs w:val="24"/>
        </w:rPr>
      </w:pPr>
      <w:r w:rsidRPr="00BE4AF3">
        <w:rPr>
          <w:rFonts w:ascii="Times New Roman" w:hAnsi="Times New Roman" w:cs="Times New Roman"/>
          <w:b/>
          <w:bCs/>
          <w:sz w:val="24"/>
          <w:szCs w:val="24"/>
        </w:rPr>
        <w:t>Urban and Environmental Health in Urbanising Contexts</w:t>
      </w:r>
    </w:p>
    <w:p w14:paraId="1D784BF8" w14:textId="77777777" w:rsidR="00A226D9" w:rsidRPr="00BE4AF3" w:rsidRDefault="00A226D9" w:rsidP="00FB0908">
      <w:pPr>
        <w:pStyle w:val="NormalWeb"/>
        <w:spacing w:before="0" w:beforeAutospacing="0" w:after="0" w:afterAutospacing="0"/>
        <w:jc w:val="both"/>
      </w:pPr>
      <w:r w:rsidRPr="00BE4AF3">
        <w:t xml:space="preserve">Urbanisation in the developing countries, particularly in sub-Saharan Africa, has been characterised by rapid, uncoordinated growth that often outpaces the development of infrastructure and social services (UN-Habitat, 2022). In Nigeria, urban areas have grown exponentially, with cities such as Abuja experiencing some of the fastest rates of expansion in Africa (National Bureau of Statistics, 2021). While urbanisation offers economic and social opportunities, it also exacerbates environmental health risks, especially in informal and peri-urban settlements where basic amenities such as clean water, adequate sanitation, and waste disposal services are limited (Mohammed et al., 2019; </w:t>
      </w:r>
      <w:r w:rsidRPr="00BE4AF3">
        <w:rPr>
          <w:shd w:val="clear" w:color="auto" w:fill="FFFFFF"/>
        </w:rPr>
        <w:t>Carrilho and Trindade, 2022</w:t>
      </w:r>
      <w:r w:rsidRPr="00BE4AF3">
        <w:t>).</w:t>
      </w:r>
    </w:p>
    <w:p w14:paraId="2B071EAB" w14:textId="77777777" w:rsidR="00A226D9" w:rsidRPr="00BE4AF3" w:rsidRDefault="00A226D9" w:rsidP="00FB0908">
      <w:pPr>
        <w:pStyle w:val="NormalWeb"/>
        <w:spacing w:before="0" w:beforeAutospacing="0" w:after="0" w:afterAutospacing="0"/>
        <w:jc w:val="both"/>
      </w:pPr>
      <w:r w:rsidRPr="00BE4AF3">
        <w:t>The environmental determinants of health in urban settings are multifaceted and interconnected. Poor sanitation systems contribute to the spread of waterborne diseases; overcrowded housing exacerbates respiratory infections; and exposure to pollutants, including noise, solid waste, asbestos, and chemical toxins, has been linked to both acute and chronic health conditions (Ezeh et al., 2017; WHO, 2021). These challenges are particularly acute in developing countries, where weak institutional frameworks and inadequate funding hinder the implementation of comprehensive environmental health programs.</w:t>
      </w:r>
    </w:p>
    <w:p w14:paraId="7CA925BA" w14:textId="77777777" w:rsidR="00FB0908" w:rsidRDefault="00FB0908" w:rsidP="00A226D9">
      <w:pPr>
        <w:pStyle w:val="NormalWeb"/>
        <w:spacing w:before="0" w:beforeAutospacing="0" w:after="0" w:afterAutospacing="0"/>
        <w:jc w:val="both"/>
        <w:rPr>
          <w:b/>
          <w:bCs/>
        </w:rPr>
      </w:pPr>
    </w:p>
    <w:p w14:paraId="6778BF73" w14:textId="77777777" w:rsidR="00FB0908" w:rsidRDefault="00FB0908" w:rsidP="00A226D9">
      <w:pPr>
        <w:pStyle w:val="NormalWeb"/>
        <w:spacing w:before="0" w:beforeAutospacing="0" w:after="0" w:afterAutospacing="0"/>
        <w:jc w:val="both"/>
        <w:rPr>
          <w:b/>
          <w:bCs/>
        </w:rPr>
      </w:pPr>
    </w:p>
    <w:p w14:paraId="4B305B17" w14:textId="00195905" w:rsidR="00A226D9" w:rsidRPr="00BE4AF3" w:rsidRDefault="00A226D9" w:rsidP="00A226D9">
      <w:pPr>
        <w:pStyle w:val="NormalWeb"/>
        <w:spacing w:before="0" w:beforeAutospacing="0" w:after="0" w:afterAutospacing="0"/>
        <w:jc w:val="both"/>
        <w:rPr>
          <w:b/>
          <w:bCs/>
        </w:rPr>
      </w:pPr>
      <w:r w:rsidRPr="00BE4AF3">
        <w:rPr>
          <w:b/>
          <w:bCs/>
        </w:rPr>
        <w:lastRenderedPageBreak/>
        <w:t xml:space="preserve">Public Awareness and Urban Health Hazards Perception </w:t>
      </w:r>
    </w:p>
    <w:p w14:paraId="19235A73" w14:textId="77777777" w:rsidR="00A226D9" w:rsidRPr="00BE4AF3" w:rsidRDefault="00A226D9" w:rsidP="00FB0908">
      <w:pPr>
        <w:pStyle w:val="NormalWeb"/>
        <w:spacing w:before="0" w:beforeAutospacing="0" w:after="0" w:afterAutospacing="0"/>
        <w:jc w:val="both"/>
      </w:pPr>
      <w:r w:rsidRPr="00BE4AF3">
        <w:t>Public awareness of urban and environmental health hazards plays a vital role in health behaviour change and the success of urban health interventions (</w:t>
      </w:r>
      <w:r w:rsidRPr="00BE4AF3">
        <w:rPr>
          <w:shd w:val="clear" w:color="auto" w:fill="FFFFFF"/>
        </w:rPr>
        <w:t>Laddu</w:t>
      </w:r>
      <w:r w:rsidRPr="00BE4AF3">
        <w:t xml:space="preserve">, et al., 2021; </w:t>
      </w:r>
      <w:r w:rsidRPr="00BE4AF3">
        <w:rPr>
          <w:shd w:val="clear" w:color="auto" w:fill="FFFFFF"/>
        </w:rPr>
        <w:t>Rahaman</w:t>
      </w:r>
      <w:r w:rsidRPr="00BE4AF3">
        <w:t xml:space="preserve">, et al., 2023). Awareness facilitates informed decision-making, enables early detection and prevention of illness, and encourages public support for environmental regulations. Studies have shown that where awareness is low, communities are less likely to participate in sanitation programmes, use protective equipment, or demand improved services (MacCarthy et al., 2018; </w:t>
      </w:r>
      <w:r w:rsidRPr="00BE4AF3">
        <w:rPr>
          <w:shd w:val="clear" w:color="auto" w:fill="FFFFFF"/>
        </w:rPr>
        <w:t>Simiyu</w:t>
      </w:r>
      <w:r w:rsidRPr="00BE4AF3">
        <w:t>, et al., 2020).</w:t>
      </w:r>
    </w:p>
    <w:p w14:paraId="7C51A020" w14:textId="77777777" w:rsidR="00A226D9" w:rsidRPr="00BE4AF3" w:rsidRDefault="00A226D9" w:rsidP="00FB0908">
      <w:pPr>
        <w:pStyle w:val="NormalWeb"/>
        <w:spacing w:before="0" w:beforeAutospacing="0" w:after="0" w:afterAutospacing="0"/>
        <w:jc w:val="both"/>
      </w:pPr>
      <w:r w:rsidRPr="00BE4AF3">
        <w:t>Risk perception is not only influenced by the objective severity of urban environmental hazards but also by subjective factors such as education, income, media exposure, and cultural beliefs (</w:t>
      </w:r>
      <w:r w:rsidRPr="00BE4AF3">
        <w:rPr>
          <w:shd w:val="clear" w:color="auto" w:fill="FFFFFF"/>
        </w:rPr>
        <w:t>Wilkinson, et al., 2020</w:t>
      </w:r>
      <w:r w:rsidRPr="00BE4AF3">
        <w:t>). For instance, residents may underestimate the dangers of asbestos exposure or mould infestation due to their invisible or delayed effects, while giving greater attention to more visible issues such as flooding or solid waste accumulation (Ajayi, et al</w:t>
      </w:r>
      <w:r w:rsidRPr="00BE4AF3">
        <w:rPr>
          <w:i/>
          <w:iCs/>
        </w:rPr>
        <w:t>.,</w:t>
      </w:r>
      <w:r w:rsidRPr="00BE4AF3">
        <w:t xml:space="preserve"> 2025). This highlights the importance of understanding the social and cognitive dimensions of environmental health awareness in urban settings.</w:t>
      </w:r>
    </w:p>
    <w:p w14:paraId="6278EE39" w14:textId="60A0D92F" w:rsidR="00A226D9" w:rsidRPr="00BE4AF3" w:rsidRDefault="00A226D9" w:rsidP="00A226D9">
      <w:pPr>
        <w:pStyle w:val="NormalWeb"/>
        <w:spacing w:after="0" w:afterAutospacing="0"/>
        <w:jc w:val="both"/>
        <w:rPr>
          <w:b/>
          <w:bCs/>
        </w:rPr>
      </w:pPr>
      <w:r w:rsidRPr="00BE4AF3">
        <w:rPr>
          <w:b/>
          <w:bCs/>
        </w:rPr>
        <w:t>Spatial Disparities in Awareness</w:t>
      </w:r>
    </w:p>
    <w:p w14:paraId="4CDD56B3" w14:textId="0FFF78E6" w:rsidR="00A226D9" w:rsidRPr="0042118D" w:rsidRDefault="00A226D9" w:rsidP="0042118D">
      <w:pPr>
        <w:pStyle w:val="NormalWeb"/>
        <w:spacing w:before="0" w:beforeAutospacing="0"/>
        <w:jc w:val="both"/>
      </w:pPr>
      <w:r w:rsidRPr="00BE4AF3">
        <w:t xml:space="preserve">Evidence suggests that awareness levels often vary across geographical areas, shaped by socio-economic status, urban infrastructure, access to information, and local governance (Amy and Tolu, 2019; </w:t>
      </w:r>
      <w:r w:rsidRPr="00BE4AF3">
        <w:rPr>
          <w:shd w:val="clear" w:color="auto" w:fill="FFFFFF"/>
        </w:rPr>
        <w:t>Butt</w:t>
      </w:r>
      <w:r w:rsidRPr="00BE4AF3">
        <w:t xml:space="preserve">, et al., 2021). </w:t>
      </w:r>
      <w:bookmarkStart w:id="67" w:name="_Hlk204484938"/>
      <w:r w:rsidRPr="00BE4AF3">
        <w:t xml:space="preserve">In Nigeria, studies have identified disparities in environmental awareness between urban cores and peripheral settlements, with urban residents typically having better access to information and public services </w:t>
      </w:r>
      <w:bookmarkEnd w:id="67"/>
      <w:r w:rsidRPr="00BE4AF3">
        <w:t>(</w:t>
      </w:r>
      <w:r w:rsidRPr="00BE4AF3">
        <w:rPr>
          <w:shd w:val="clear" w:color="auto" w:fill="FFFFFF"/>
        </w:rPr>
        <w:t>Adewoyin, et al., 2024</w:t>
      </w:r>
      <w:r w:rsidRPr="00BE4AF3">
        <w:t xml:space="preserve">). However, no studies have systematically assessed whether such disparities exist within in the informal settlements of FCT. This gap is critical, as most existing research either generalises findings at the city or national level or focuses on infrastructure and health outcomes without assessing the public’s perceptual and cognitive dimensions. </w:t>
      </w:r>
    </w:p>
    <w:p w14:paraId="6253E71E" w14:textId="2E893E09" w:rsidR="00A226D9" w:rsidRPr="00BE4AF3" w:rsidRDefault="00A226D9" w:rsidP="00A226D9">
      <w:pPr>
        <w:spacing w:after="120" w:line="240" w:lineRule="auto"/>
        <w:rPr>
          <w:rFonts w:ascii="Times New Roman" w:hAnsi="Times New Roman" w:cs="Times New Roman"/>
          <w:b/>
          <w:bCs/>
          <w:sz w:val="24"/>
          <w:szCs w:val="24"/>
        </w:rPr>
      </w:pPr>
      <w:r w:rsidRPr="00BE4AF3">
        <w:rPr>
          <w:rFonts w:ascii="Times New Roman" w:hAnsi="Times New Roman" w:cs="Times New Roman"/>
          <w:b/>
          <w:bCs/>
          <w:sz w:val="24"/>
          <w:szCs w:val="24"/>
        </w:rPr>
        <w:t>Research Methodology</w:t>
      </w:r>
    </w:p>
    <w:p w14:paraId="47D65EC9" w14:textId="621DBA3B" w:rsidR="00A226D9" w:rsidRPr="00BE4AF3" w:rsidRDefault="00A226D9" w:rsidP="0042118D">
      <w:pPr>
        <w:spacing w:after="0" w:line="240" w:lineRule="auto"/>
        <w:rPr>
          <w:rFonts w:ascii="Times New Roman" w:hAnsi="Times New Roman" w:cs="Times New Roman"/>
          <w:sz w:val="24"/>
          <w:szCs w:val="24"/>
        </w:rPr>
      </w:pPr>
      <w:r w:rsidRPr="00BE4AF3">
        <w:rPr>
          <w:rFonts w:ascii="Times New Roman" w:hAnsi="Times New Roman" w:cs="Times New Roman"/>
          <w:b/>
          <w:bCs/>
          <w:sz w:val="24"/>
          <w:szCs w:val="24"/>
        </w:rPr>
        <w:t xml:space="preserve">Research Design </w:t>
      </w:r>
    </w:p>
    <w:p w14:paraId="05FF2CA6" w14:textId="77777777" w:rsidR="00A226D9" w:rsidRPr="00BE4AF3" w:rsidRDefault="00A226D9" w:rsidP="0042118D">
      <w:pPr>
        <w:pStyle w:val="NormalWeb"/>
        <w:spacing w:before="0" w:beforeAutospacing="0" w:after="0" w:afterAutospacing="0"/>
        <w:jc w:val="both"/>
      </w:pPr>
      <w:r w:rsidRPr="00BE4AF3">
        <w:t>The study adopted a quantitative cross-sectional survey design, which allowed for the collection and analysis of standardised data across a diverse population at a single point in time. This approach enabled the comparison of awareness levels between the three Area Councils and the identification of spatial trends or disparities.</w:t>
      </w:r>
    </w:p>
    <w:p w14:paraId="211804BA" w14:textId="77777777" w:rsidR="0042118D" w:rsidRDefault="0042118D" w:rsidP="0042118D">
      <w:pPr>
        <w:pStyle w:val="NormalWeb"/>
        <w:spacing w:before="0" w:beforeAutospacing="0" w:after="0" w:afterAutospacing="0"/>
        <w:jc w:val="both"/>
        <w:rPr>
          <w:b/>
          <w:bCs/>
        </w:rPr>
      </w:pPr>
    </w:p>
    <w:p w14:paraId="296097CD" w14:textId="0A4C02E7" w:rsidR="00A226D9" w:rsidRPr="00BE4AF3" w:rsidRDefault="00A226D9" w:rsidP="0042118D">
      <w:pPr>
        <w:pStyle w:val="NormalWeb"/>
        <w:spacing w:before="0" w:beforeAutospacing="0" w:after="0" w:afterAutospacing="0"/>
        <w:jc w:val="both"/>
        <w:rPr>
          <w:b/>
          <w:bCs/>
        </w:rPr>
      </w:pPr>
      <w:r w:rsidRPr="00BE4AF3">
        <w:rPr>
          <w:b/>
          <w:bCs/>
        </w:rPr>
        <w:t>Sample Size and Sampling Technique</w:t>
      </w:r>
    </w:p>
    <w:p w14:paraId="79AC4F7D" w14:textId="77777777" w:rsidR="00A226D9" w:rsidRPr="00BE4AF3" w:rsidRDefault="00A226D9" w:rsidP="0042118D">
      <w:pPr>
        <w:pStyle w:val="NormalWeb"/>
        <w:spacing w:before="0" w:beforeAutospacing="0" w:after="0" w:afterAutospacing="0"/>
        <w:jc w:val="both"/>
      </w:pPr>
      <w:r w:rsidRPr="00BE4AF3">
        <w:t>A total of 1,137 respondents participated in the study, with proportional representation of informal settlements from each Area Council distributed as follows: Abuja Municipal (383) respondent, Bwari (378) respondents, and Gwagwalada (376) respondents. The sample size was determined based on Cochran’s formula for finite populations, adjusted to ensure adequate statistical power for non-parametric analysis. A stratified random sampling approach was used to ensure fair representation of respondents across wards within each Area Council.</w:t>
      </w:r>
    </w:p>
    <w:p w14:paraId="5D8AC951" w14:textId="77777777" w:rsidR="0042118D" w:rsidRDefault="0042118D" w:rsidP="0042118D">
      <w:pPr>
        <w:pStyle w:val="NormalWeb"/>
        <w:spacing w:before="0" w:beforeAutospacing="0" w:after="0" w:afterAutospacing="0"/>
        <w:jc w:val="both"/>
        <w:rPr>
          <w:b/>
          <w:bCs/>
        </w:rPr>
      </w:pPr>
    </w:p>
    <w:p w14:paraId="62725B34" w14:textId="6A9E7F69" w:rsidR="00A226D9" w:rsidRPr="00BE4AF3" w:rsidRDefault="00A226D9" w:rsidP="0042118D">
      <w:pPr>
        <w:pStyle w:val="NormalWeb"/>
        <w:spacing w:before="0" w:beforeAutospacing="0" w:after="0" w:afterAutospacing="0"/>
        <w:jc w:val="both"/>
        <w:rPr>
          <w:b/>
          <w:bCs/>
        </w:rPr>
      </w:pPr>
      <w:r w:rsidRPr="00BE4AF3">
        <w:rPr>
          <w:b/>
          <w:bCs/>
        </w:rPr>
        <w:t>Instrument for Data Collection</w:t>
      </w:r>
    </w:p>
    <w:p w14:paraId="5821D034" w14:textId="77777777" w:rsidR="00A226D9" w:rsidRPr="00BE4AF3" w:rsidRDefault="00A226D9" w:rsidP="0042118D">
      <w:pPr>
        <w:pStyle w:val="NormalWeb"/>
        <w:spacing w:before="0" w:beforeAutospacing="0" w:after="0" w:afterAutospacing="0"/>
        <w:jc w:val="both"/>
      </w:pPr>
      <w:r w:rsidRPr="00BE4AF3">
        <w:t xml:space="preserve">Primary data were collected using a structured questionnaire designed to assess respondents’ awareness of common urban environmental health hazards. The indictors included a list of eleven urban health hazards such as contaminated water, inadequate sanitation, chemical pollutants, excessive noise, mould, asbestos, poor ventilation, and overcrowding. Respondents were asked to </w:t>
      </w:r>
      <w:r w:rsidRPr="00BE4AF3">
        <w:lastRenderedPageBreak/>
        <w:t xml:space="preserve">rate their level of awareness for each item using a 4-point Likert scale, 1 = Fully Unaware, 2 = Unaware, 3 = Aware, and 4 = Fully Aware. The questionnaire was administered through a face-to-face survey, ensuring inclusiveness of both literate and semi-literate participants. </w:t>
      </w:r>
    </w:p>
    <w:p w14:paraId="29010C07" w14:textId="77777777" w:rsidR="0042118D" w:rsidRDefault="0042118D" w:rsidP="0042118D">
      <w:pPr>
        <w:pStyle w:val="NormalWeb"/>
        <w:spacing w:before="0" w:beforeAutospacing="0" w:after="0" w:afterAutospacing="0"/>
        <w:jc w:val="both"/>
        <w:rPr>
          <w:b/>
          <w:bCs/>
        </w:rPr>
      </w:pPr>
    </w:p>
    <w:p w14:paraId="243D2D77" w14:textId="69D4EFD1" w:rsidR="00A226D9" w:rsidRPr="00BE4AF3" w:rsidRDefault="00A226D9" w:rsidP="0042118D">
      <w:pPr>
        <w:pStyle w:val="NormalWeb"/>
        <w:spacing w:before="0" w:beforeAutospacing="0" w:after="0" w:afterAutospacing="0"/>
        <w:jc w:val="both"/>
      </w:pPr>
      <w:r w:rsidRPr="00BE4AF3">
        <w:rPr>
          <w:b/>
          <w:bCs/>
        </w:rPr>
        <w:t>Method of Data Analysis</w:t>
      </w:r>
    </w:p>
    <w:p w14:paraId="2FA7E34E" w14:textId="671EDE3B" w:rsidR="00A226D9" w:rsidRDefault="00A226D9" w:rsidP="00042A7F">
      <w:pPr>
        <w:pStyle w:val="NormalWeb"/>
        <w:spacing w:before="0" w:beforeAutospacing="0" w:after="0" w:afterAutospacing="0"/>
        <w:jc w:val="both"/>
      </w:pPr>
      <w:r w:rsidRPr="00BE4AF3">
        <w:t xml:space="preserve">Data were analysed using SPSS and the analysis was conducted in three stages: starting with mean awareness scores computed for each hazard across the three Area Councils. A weighted average score was also calculated to reflect overall awareness levels. To determine whether awareness levels differed significantly among the three councils, the Kruskal-Wallis H-test, a non-parametric was applied. This test is appropriate for comparing ordinal data across more than two independent groups without assuming normality. Post-hoc analysis was also conducted test where the Kruskal-Walli’s test showed potential group differences at 95% confidence level (p &lt; 0.05), Mann-Whitney U test was conducted for pairwise comparisons between Area Councils to isolate specific group differences. </w:t>
      </w:r>
    </w:p>
    <w:p w14:paraId="0F831188" w14:textId="77777777" w:rsidR="00042A7F" w:rsidRPr="00BE4AF3" w:rsidRDefault="00042A7F" w:rsidP="00042A7F">
      <w:pPr>
        <w:pStyle w:val="NormalWeb"/>
        <w:spacing w:before="0" w:beforeAutospacing="0" w:after="0" w:afterAutospacing="0"/>
        <w:jc w:val="both"/>
        <w:rPr>
          <w:b/>
          <w:bCs/>
        </w:rPr>
      </w:pPr>
    </w:p>
    <w:p w14:paraId="56C7F795" w14:textId="0D87FC5B" w:rsidR="00A226D9" w:rsidRPr="00BE4AF3" w:rsidRDefault="00A226D9" w:rsidP="00A226D9">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Results and Discussion</w:t>
      </w:r>
    </w:p>
    <w:p w14:paraId="5071FD93" w14:textId="34E8EED3" w:rsidR="00A226D9" w:rsidRPr="00BE4AF3" w:rsidRDefault="00A226D9" w:rsidP="00042A7F">
      <w:pPr>
        <w:spacing w:after="0" w:line="240" w:lineRule="auto"/>
        <w:rPr>
          <w:rFonts w:ascii="Times New Roman" w:hAnsi="Times New Roman" w:cs="Times New Roman"/>
          <w:b/>
          <w:bCs/>
          <w:sz w:val="24"/>
          <w:szCs w:val="24"/>
        </w:rPr>
      </w:pPr>
      <w:bookmarkStart w:id="68" w:name="_Toc197596697"/>
      <w:r w:rsidRPr="00BE4AF3">
        <w:rPr>
          <w:rFonts w:ascii="Times New Roman" w:hAnsi="Times New Roman" w:cs="Times New Roman"/>
          <w:b/>
          <w:bCs/>
          <w:sz w:val="24"/>
          <w:szCs w:val="24"/>
        </w:rPr>
        <w:t>Respondents Education Qualification</w:t>
      </w:r>
    </w:p>
    <w:p w14:paraId="4019C034" w14:textId="77777777" w:rsidR="00A226D9" w:rsidRPr="00BE4AF3" w:rsidRDefault="00A226D9" w:rsidP="00042A7F">
      <w:pPr>
        <w:pStyle w:val="NormalWeb"/>
        <w:spacing w:before="0" w:beforeAutospacing="0" w:after="0" w:afterAutospacing="0"/>
        <w:jc w:val="both"/>
      </w:pPr>
      <w:r w:rsidRPr="00BE4AF3">
        <w:t xml:space="preserve">The analysis of educational attainment across Abuja Municipal, Bwari, and Gwagwalada Area Councils reveals that a majority of respondents (56%) possess tertiary education, while 31.4% have completed secondary education. As indicated in Table 1, this high level of formal education suggests a population with strong potential for understanding and engaging with environmental health information. Notably, Gwagwalada often perceived as more peri-urban has the highest share of tertiary-educated individuals (60.3%), which may explain the generally high levels of awareness observed across all Area Councils. </w:t>
      </w:r>
    </w:p>
    <w:p w14:paraId="36EF4F87" w14:textId="77777777" w:rsidR="00A226D9" w:rsidRDefault="00A226D9" w:rsidP="00042A7F">
      <w:pPr>
        <w:pStyle w:val="NormalWeb"/>
        <w:spacing w:before="0" w:beforeAutospacing="0" w:after="0" w:afterAutospacing="0"/>
        <w:jc w:val="both"/>
      </w:pPr>
      <w:r w:rsidRPr="00BE4AF3">
        <w:t xml:space="preserve">However, a small but important portion of respondents (12.5%) reported having only primary or no formal education, which may limit their access to and understanding of complex or less visible environmental hazards such as asbestos exposure or mould. These individuals are potentially more vulnerable due to their limited ability to interpret health warnings or participate fully in awareness campaigns. </w:t>
      </w:r>
    </w:p>
    <w:p w14:paraId="4168E14F" w14:textId="77777777" w:rsidR="00042A7F" w:rsidRPr="00BE4AF3" w:rsidRDefault="00042A7F" w:rsidP="00042A7F">
      <w:pPr>
        <w:pStyle w:val="NormalWeb"/>
        <w:spacing w:before="0" w:beforeAutospacing="0" w:after="0" w:afterAutospacing="0"/>
        <w:jc w:val="both"/>
      </w:pPr>
    </w:p>
    <w:p w14:paraId="15CAB035" w14:textId="7DA403F1" w:rsidR="00A226D9" w:rsidRPr="00042A7F" w:rsidRDefault="00A226D9" w:rsidP="00042A7F">
      <w:pPr>
        <w:pStyle w:val="Caption"/>
        <w:keepNext/>
        <w:spacing w:after="0"/>
        <w:jc w:val="center"/>
        <w:rPr>
          <w:rFonts w:ascii="Times New Roman" w:hAnsi="Times New Roman" w:cs="Times New Roman"/>
          <w:i w:val="0"/>
          <w:iCs w:val="0"/>
          <w:color w:val="auto"/>
          <w:sz w:val="24"/>
          <w:szCs w:val="24"/>
        </w:rPr>
      </w:pPr>
      <w:r w:rsidRPr="00BE4AF3">
        <w:rPr>
          <w:rFonts w:ascii="Times New Roman" w:hAnsi="Times New Roman" w:cs="Times New Roman"/>
          <w:b/>
          <w:bCs/>
          <w:i w:val="0"/>
          <w:iCs w:val="0"/>
          <w:color w:val="auto"/>
          <w:sz w:val="24"/>
          <w:szCs w:val="24"/>
        </w:rPr>
        <w:t>Table 1:</w:t>
      </w:r>
      <w:r w:rsidR="00042A7F">
        <w:rPr>
          <w:rFonts w:ascii="Times New Roman" w:hAnsi="Times New Roman" w:cs="Times New Roman"/>
          <w:b/>
          <w:bCs/>
          <w:i w:val="0"/>
          <w:iCs w:val="0"/>
          <w:color w:val="auto"/>
          <w:sz w:val="24"/>
          <w:szCs w:val="24"/>
        </w:rPr>
        <w:t xml:space="preserve"> </w:t>
      </w:r>
      <w:r w:rsidRPr="00042A7F">
        <w:rPr>
          <w:rFonts w:ascii="Times New Roman" w:hAnsi="Times New Roman" w:cs="Times New Roman"/>
          <w:i w:val="0"/>
          <w:iCs w:val="0"/>
          <w:color w:val="auto"/>
          <w:sz w:val="24"/>
          <w:szCs w:val="24"/>
        </w:rPr>
        <w:t>Education Attainment of Respondents</w:t>
      </w:r>
      <w:bookmarkEnd w:id="68"/>
    </w:p>
    <w:tbl>
      <w:tblPr>
        <w:tblStyle w:val="PlainTable2"/>
        <w:tblW w:w="0" w:type="auto"/>
        <w:jc w:val="center"/>
        <w:tblLook w:val="0660" w:firstRow="1" w:lastRow="1" w:firstColumn="0" w:lastColumn="0" w:noHBand="1" w:noVBand="1"/>
      </w:tblPr>
      <w:tblGrid>
        <w:gridCol w:w="1727"/>
        <w:gridCol w:w="1387"/>
        <w:gridCol w:w="1417"/>
        <w:gridCol w:w="1281"/>
        <w:gridCol w:w="1567"/>
        <w:gridCol w:w="1551"/>
      </w:tblGrid>
      <w:tr w:rsidR="00A226D9" w:rsidRPr="00042A7F" w14:paraId="21312702" w14:textId="77777777" w:rsidTr="00042A7F">
        <w:trPr>
          <w:cnfStyle w:val="100000000000" w:firstRow="1" w:lastRow="0" w:firstColumn="0" w:lastColumn="0" w:oddVBand="0" w:evenVBand="0" w:oddHBand="0" w:evenHBand="0" w:firstRowFirstColumn="0" w:firstRowLastColumn="0" w:lastRowFirstColumn="0" w:lastRowLastColumn="0"/>
          <w:jc w:val="center"/>
        </w:trPr>
        <w:tc>
          <w:tcPr>
            <w:tcW w:w="1727" w:type="dxa"/>
          </w:tcPr>
          <w:p w14:paraId="1BD6A3A5" w14:textId="77777777" w:rsidR="00A226D9" w:rsidRPr="00042A7F" w:rsidRDefault="00A226D9" w:rsidP="00042A7F">
            <w:pPr>
              <w:spacing w:after="0" w:line="240" w:lineRule="auto"/>
              <w:jc w:val="center"/>
              <w:rPr>
                <w:rFonts w:ascii="Times New Roman" w:hAnsi="Times New Roman" w:cs="Times New Roman"/>
                <w:b w:val="0"/>
                <w:bCs w:val="0"/>
                <w:sz w:val="20"/>
                <w:szCs w:val="20"/>
              </w:rPr>
            </w:pPr>
            <w:r w:rsidRPr="00042A7F">
              <w:rPr>
                <w:rFonts w:ascii="Times New Roman" w:hAnsi="Times New Roman" w:cs="Times New Roman"/>
                <w:b w:val="0"/>
                <w:bCs w:val="0"/>
                <w:sz w:val="20"/>
                <w:szCs w:val="20"/>
              </w:rPr>
              <w:t>Area Council</w:t>
            </w:r>
          </w:p>
        </w:tc>
        <w:tc>
          <w:tcPr>
            <w:tcW w:w="1387" w:type="dxa"/>
          </w:tcPr>
          <w:p w14:paraId="1450A1DF" w14:textId="77777777" w:rsidR="00A226D9" w:rsidRPr="00042A7F" w:rsidRDefault="00A226D9" w:rsidP="00042A7F">
            <w:pPr>
              <w:spacing w:after="0" w:line="240" w:lineRule="auto"/>
              <w:jc w:val="center"/>
              <w:rPr>
                <w:rFonts w:ascii="Times New Roman" w:hAnsi="Times New Roman" w:cs="Times New Roman"/>
                <w:b w:val="0"/>
                <w:bCs w:val="0"/>
                <w:sz w:val="20"/>
                <w:szCs w:val="20"/>
              </w:rPr>
            </w:pPr>
            <w:r w:rsidRPr="00042A7F">
              <w:rPr>
                <w:rFonts w:ascii="Times New Roman" w:eastAsia="Times New Roman" w:hAnsi="Times New Roman" w:cs="Times New Roman"/>
                <w:b w:val="0"/>
                <w:bCs w:val="0"/>
                <w:sz w:val="20"/>
                <w:szCs w:val="20"/>
                <w:lang w:eastAsia="en-GB"/>
              </w:rPr>
              <w:t>Primary level</w:t>
            </w:r>
          </w:p>
        </w:tc>
        <w:tc>
          <w:tcPr>
            <w:tcW w:w="1417" w:type="dxa"/>
          </w:tcPr>
          <w:p w14:paraId="745EB2F0" w14:textId="77777777" w:rsidR="00A226D9" w:rsidRPr="00042A7F" w:rsidRDefault="00A226D9" w:rsidP="00042A7F">
            <w:pPr>
              <w:spacing w:after="0" w:line="240" w:lineRule="auto"/>
              <w:jc w:val="center"/>
              <w:rPr>
                <w:rFonts w:ascii="Times New Roman" w:hAnsi="Times New Roman" w:cs="Times New Roman"/>
                <w:b w:val="0"/>
                <w:bCs w:val="0"/>
                <w:sz w:val="20"/>
                <w:szCs w:val="20"/>
              </w:rPr>
            </w:pPr>
            <w:r w:rsidRPr="00042A7F">
              <w:rPr>
                <w:rFonts w:ascii="Times New Roman" w:eastAsia="Times New Roman" w:hAnsi="Times New Roman" w:cs="Times New Roman"/>
                <w:b w:val="0"/>
                <w:bCs w:val="0"/>
                <w:sz w:val="20"/>
                <w:szCs w:val="20"/>
                <w:lang w:eastAsia="en-GB"/>
              </w:rPr>
              <w:t>Secondary level</w:t>
            </w:r>
          </w:p>
        </w:tc>
        <w:tc>
          <w:tcPr>
            <w:tcW w:w="1281" w:type="dxa"/>
          </w:tcPr>
          <w:p w14:paraId="7003939A" w14:textId="77777777" w:rsidR="00A226D9" w:rsidRPr="00042A7F" w:rsidRDefault="00A226D9" w:rsidP="00042A7F">
            <w:pPr>
              <w:spacing w:after="0" w:line="240" w:lineRule="auto"/>
              <w:jc w:val="center"/>
              <w:rPr>
                <w:rFonts w:ascii="Times New Roman" w:hAnsi="Times New Roman" w:cs="Times New Roman"/>
                <w:b w:val="0"/>
                <w:bCs w:val="0"/>
                <w:sz w:val="20"/>
                <w:szCs w:val="20"/>
              </w:rPr>
            </w:pPr>
            <w:r w:rsidRPr="00042A7F">
              <w:rPr>
                <w:rFonts w:ascii="Times New Roman" w:eastAsia="Times New Roman" w:hAnsi="Times New Roman" w:cs="Times New Roman"/>
                <w:b w:val="0"/>
                <w:bCs w:val="0"/>
                <w:sz w:val="20"/>
                <w:szCs w:val="20"/>
                <w:lang w:eastAsia="en-GB"/>
              </w:rPr>
              <w:t>Tertiary level</w:t>
            </w:r>
          </w:p>
        </w:tc>
        <w:tc>
          <w:tcPr>
            <w:tcW w:w="1567" w:type="dxa"/>
          </w:tcPr>
          <w:p w14:paraId="544262DF" w14:textId="77777777" w:rsidR="00A226D9" w:rsidRPr="00042A7F" w:rsidRDefault="00A226D9" w:rsidP="00042A7F">
            <w:pPr>
              <w:spacing w:after="0" w:line="240" w:lineRule="auto"/>
              <w:jc w:val="center"/>
              <w:rPr>
                <w:rFonts w:ascii="Times New Roman" w:hAnsi="Times New Roman" w:cs="Times New Roman"/>
                <w:b w:val="0"/>
                <w:bCs w:val="0"/>
                <w:sz w:val="20"/>
                <w:szCs w:val="20"/>
              </w:rPr>
            </w:pPr>
            <w:r w:rsidRPr="00042A7F">
              <w:rPr>
                <w:rFonts w:ascii="Times New Roman" w:eastAsia="Times New Roman" w:hAnsi="Times New Roman" w:cs="Times New Roman"/>
                <w:b w:val="0"/>
                <w:bCs w:val="0"/>
                <w:sz w:val="20"/>
                <w:szCs w:val="20"/>
                <w:lang w:eastAsia="en-GB"/>
              </w:rPr>
              <w:t>No formal education</w:t>
            </w:r>
          </w:p>
        </w:tc>
        <w:tc>
          <w:tcPr>
            <w:tcW w:w="1551" w:type="dxa"/>
          </w:tcPr>
          <w:p w14:paraId="11D7DC75" w14:textId="77777777" w:rsidR="00A226D9" w:rsidRPr="00042A7F" w:rsidRDefault="00A226D9" w:rsidP="00042A7F">
            <w:pPr>
              <w:spacing w:after="0" w:line="240" w:lineRule="auto"/>
              <w:jc w:val="center"/>
              <w:rPr>
                <w:rFonts w:ascii="Times New Roman" w:eastAsia="Times New Roman" w:hAnsi="Times New Roman" w:cs="Times New Roman"/>
                <w:b w:val="0"/>
                <w:bCs w:val="0"/>
                <w:sz w:val="20"/>
                <w:szCs w:val="20"/>
                <w:lang w:eastAsia="en-GB"/>
              </w:rPr>
            </w:pPr>
            <w:r w:rsidRPr="00042A7F">
              <w:rPr>
                <w:rFonts w:ascii="Times New Roman" w:eastAsia="Times New Roman" w:hAnsi="Times New Roman" w:cs="Times New Roman"/>
                <w:b w:val="0"/>
                <w:bCs w:val="0"/>
                <w:sz w:val="20"/>
                <w:szCs w:val="20"/>
                <w:lang w:eastAsia="en-GB"/>
              </w:rPr>
              <w:t>Total</w:t>
            </w:r>
          </w:p>
        </w:tc>
      </w:tr>
      <w:tr w:rsidR="00A226D9" w:rsidRPr="00042A7F" w14:paraId="7B8FF5EC" w14:textId="77777777" w:rsidTr="00042A7F">
        <w:trPr>
          <w:jc w:val="center"/>
        </w:trPr>
        <w:tc>
          <w:tcPr>
            <w:tcW w:w="1727" w:type="dxa"/>
          </w:tcPr>
          <w:p w14:paraId="75B23B89" w14:textId="77777777" w:rsidR="00A226D9" w:rsidRPr="00042A7F" w:rsidRDefault="00A226D9" w:rsidP="00042A7F">
            <w:pPr>
              <w:spacing w:after="0" w:line="240" w:lineRule="auto"/>
              <w:rPr>
                <w:rFonts w:ascii="Times New Roman" w:hAnsi="Times New Roman" w:cs="Times New Roman"/>
                <w:sz w:val="20"/>
                <w:szCs w:val="20"/>
              </w:rPr>
            </w:pPr>
            <w:r w:rsidRPr="00042A7F">
              <w:rPr>
                <w:rFonts w:ascii="Times New Roman" w:hAnsi="Times New Roman" w:cs="Times New Roman"/>
                <w:sz w:val="20"/>
                <w:szCs w:val="20"/>
              </w:rPr>
              <w:t>Abuja Municipal</w:t>
            </w:r>
          </w:p>
        </w:tc>
        <w:tc>
          <w:tcPr>
            <w:tcW w:w="1387" w:type="dxa"/>
          </w:tcPr>
          <w:p w14:paraId="51A2DF5E" w14:textId="77777777" w:rsidR="00A226D9" w:rsidRPr="00042A7F" w:rsidRDefault="00A226D9" w:rsidP="00042A7F">
            <w:pPr>
              <w:spacing w:after="0" w:line="240" w:lineRule="auto"/>
              <w:jc w:val="center"/>
              <w:rPr>
                <w:rFonts w:ascii="Times New Roman" w:eastAsiaTheme="minorEastAsia" w:hAnsi="Times New Roman" w:cs="Times New Roman"/>
                <w:sz w:val="20"/>
                <w:szCs w:val="20"/>
                <w:lang w:val="en-US"/>
              </w:rPr>
            </w:pPr>
            <w:r w:rsidRPr="00042A7F">
              <w:rPr>
                <w:rFonts w:ascii="Times New Roman" w:hAnsi="Times New Roman" w:cs="Times New Roman"/>
                <w:sz w:val="20"/>
                <w:szCs w:val="20"/>
              </w:rPr>
              <w:t>41 (10.7%)</w:t>
            </w:r>
          </w:p>
        </w:tc>
        <w:tc>
          <w:tcPr>
            <w:tcW w:w="1417" w:type="dxa"/>
          </w:tcPr>
          <w:p w14:paraId="706008DD" w14:textId="77777777" w:rsidR="00A226D9" w:rsidRPr="00042A7F" w:rsidRDefault="00A226D9" w:rsidP="00042A7F">
            <w:pPr>
              <w:spacing w:after="0" w:line="240" w:lineRule="auto"/>
              <w:jc w:val="center"/>
              <w:rPr>
                <w:rFonts w:ascii="Times New Roman" w:eastAsia="Times New Roman" w:hAnsi="Times New Roman" w:cs="Times New Roman"/>
                <w:sz w:val="20"/>
                <w:szCs w:val="20"/>
              </w:rPr>
            </w:pPr>
            <w:r w:rsidRPr="00042A7F">
              <w:rPr>
                <w:rFonts w:ascii="Times New Roman" w:hAnsi="Times New Roman" w:cs="Times New Roman"/>
                <w:sz w:val="20"/>
                <w:szCs w:val="20"/>
              </w:rPr>
              <w:t>129 (33.7%)</w:t>
            </w:r>
          </w:p>
        </w:tc>
        <w:tc>
          <w:tcPr>
            <w:tcW w:w="1281" w:type="dxa"/>
          </w:tcPr>
          <w:p w14:paraId="2F40FFD2" w14:textId="77777777" w:rsidR="00A226D9" w:rsidRPr="00042A7F" w:rsidRDefault="00A226D9" w:rsidP="00042A7F">
            <w:pPr>
              <w:spacing w:after="0" w:line="240" w:lineRule="auto"/>
              <w:jc w:val="center"/>
              <w:rPr>
                <w:rFonts w:ascii="Times New Roman" w:eastAsia="Times New Roman" w:hAnsi="Times New Roman" w:cs="Times New Roman"/>
                <w:sz w:val="20"/>
                <w:szCs w:val="20"/>
              </w:rPr>
            </w:pPr>
            <w:r w:rsidRPr="00042A7F">
              <w:rPr>
                <w:rFonts w:ascii="Times New Roman" w:hAnsi="Times New Roman" w:cs="Times New Roman"/>
                <w:sz w:val="20"/>
                <w:szCs w:val="20"/>
              </w:rPr>
              <w:t>198 (51.7)</w:t>
            </w:r>
          </w:p>
        </w:tc>
        <w:tc>
          <w:tcPr>
            <w:tcW w:w="1567" w:type="dxa"/>
          </w:tcPr>
          <w:p w14:paraId="6BA2E6BD" w14:textId="77777777" w:rsidR="00A226D9" w:rsidRPr="00042A7F" w:rsidRDefault="00A226D9" w:rsidP="00042A7F">
            <w:pPr>
              <w:spacing w:after="0" w:line="240" w:lineRule="auto"/>
              <w:jc w:val="center"/>
              <w:rPr>
                <w:rFonts w:ascii="Times New Roman" w:eastAsia="Times New Roman" w:hAnsi="Times New Roman" w:cs="Times New Roman"/>
                <w:sz w:val="20"/>
                <w:szCs w:val="20"/>
              </w:rPr>
            </w:pPr>
            <w:r w:rsidRPr="00042A7F">
              <w:rPr>
                <w:rFonts w:ascii="Times New Roman" w:hAnsi="Times New Roman" w:cs="Times New Roman"/>
                <w:sz w:val="20"/>
                <w:szCs w:val="20"/>
              </w:rPr>
              <w:t>15 (3.9)</w:t>
            </w:r>
          </w:p>
        </w:tc>
        <w:tc>
          <w:tcPr>
            <w:tcW w:w="1551" w:type="dxa"/>
          </w:tcPr>
          <w:p w14:paraId="637ADD7D" w14:textId="77777777" w:rsidR="00A226D9" w:rsidRPr="00042A7F" w:rsidRDefault="00A226D9" w:rsidP="00042A7F">
            <w:pPr>
              <w:spacing w:after="0" w:line="240" w:lineRule="auto"/>
              <w:jc w:val="center"/>
              <w:rPr>
                <w:rFonts w:ascii="Times New Roman" w:hAnsi="Times New Roman" w:cs="Times New Roman"/>
                <w:sz w:val="20"/>
                <w:szCs w:val="20"/>
              </w:rPr>
            </w:pPr>
            <w:r w:rsidRPr="00042A7F">
              <w:rPr>
                <w:rFonts w:ascii="Times New Roman" w:hAnsi="Times New Roman" w:cs="Times New Roman"/>
                <w:sz w:val="20"/>
                <w:szCs w:val="20"/>
              </w:rPr>
              <w:t>383 (100%)</w:t>
            </w:r>
          </w:p>
        </w:tc>
      </w:tr>
      <w:tr w:rsidR="00A226D9" w:rsidRPr="00042A7F" w14:paraId="7A79222B" w14:textId="77777777" w:rsidTr="00042A7F">
        <w:trPr>
          <w:jc w:val="center"/>
        </w:trPr>
        <w:tc>
          <w:tcPr>
            <w:tcW w:w="1727" w:type="dxa"/>
            <w:tcBorders>
              <w:bottom w:val="nil"/>
            </w:tcBorders>
          </w:tcPr>
          <w:p w14:paraId="5CDA660E" w14:textId="77777777" w:rsidR="00A226D9" w:rsidRPr="00042A7F" w:rsidRDefault="00A226D9" w:rsidP="00042A7F">
            <w:pPr>
              <w:spacing w:after="0" w:line="240" w:lineRule="auto"/>
              <w:rPr>
                <w:rFonts w:ascii="Times New Roman" w:hAnsi="Times New Roman" w:cs="Times New Roman"/>
                <w:sz w:val="20"/>
                <w:szCs w:val="20"/>
              </w:rPr>
            </w:pPr>
            <w:r w:rsidRPr="00042A7F">
              <w:rPr>
                <w:rFonts w:ascii="Times New Roman" w:hAnsi="Times New Roman" w:cs="Times New Roman"/>
                <w:sz w:val="20"/>
                <w:szCs w:val="20"/>
              </w:rPr>
              <w:t>Bwari</w:t>
            </w:r>
          </w:p>
        </w:tc>
        <w:tc>
          <w:tcPr>
            <w:tcW w:w="1387" w:type="dxa"/>
            <w:tcBorders>
              <w:bottom w:val="nil"/>
            </w:tcBorders>
          </w:tcPr>
          <w:p w14:paraId="418A02B9" w14:textId="77777777" w:rsidR="00A226D9" w:rsidRPr="00042A7F" w:rsidRDefault="00A226D9" w:rsidP="00042A7F">
            <w:pPr>
              <w:spacing w:after="0" w:line="240" w:lineRule="auto"/>
              <w:jc w:val="center"/>
              <w:rPr>
                <w:rFonts w:ascii="Times New Roman" w:hAnsi="Times New Roman" w:cs="Times New Roman"/>
                <w:sz w:val="20"/>
                <w:szCs w:val="20"/>
              </w:rPr>
            </w:pPr>
            <w:r w:rsidRPr="00042A7F">
              <w:rPr>
                <w:rFonts w:ascii="Times New Roman" w:hAnsi="Times New Roman" w:cs="Times New Roman"/>
                <w:sz w:val="20"/>
                <w:szCs w:val="20"/>
              </w:rPr>
              <w:t>28 (7.4%)</w:t>
            </w:r>
          </w:p>
        </w:tc>
        <w:tc>
          <w:tcPr>
            <w:tcW w:w="1417" w:type="dxa"/>
            <w:tcBorders>
              <w:bottom w:val="nil"/>
            </w:tcBorders>
          </w:tcPr>
          <w:p w14:paraId="669752AA" w14:textId="77777777" w:rsidR="00A226D9" w:rsidRPr="00042A7F" w:rsidRDefault="00A226D9" w:rsidP="00042A7F">
            <w:pPr>
              <w:spacing w:after="0" w:line="240" w:lineRule="auto"/>
              <w:jc w:val="center"/>
              <w:rPr>
                <w:rFonts w:ascii="Times New Roman" w:hAnsi="Times New Roman" w:cs="Times New Roman"/>
                <w:sz w:val="20"/>
                <w:szCs w:val="20"/>
              </w:rPr>
            </w:pPr>
            <w:r w:rsidRPr="00042A7F">
              <w:rPr>
                <w:rFonts w:ascii="Times New Roman" w:hAnsi="Times New Roman" w:cs="Times New Roman"/>
                <w:sz w:val="20"/>
                <w:szCs w:val="20"/>
              </w:rPr>
              <w:t>121 (32.0%)</w:t>
            </w:r>
          </w:p>
        </w:tc>
        <w:tc>
          <w:tcPr>
            <w:tcW w:w="1281" w:type="dxa"/>
            <w:tcBorders>
              <w:bottom w:val="nil"/>
            </w:tcBorders>
          </w:tcPr>
          <w:p w14:paraId="564B2D55" w14:textId="77777777" w:rsidR="00A226D9" w:rsidRPr="00042A7F" w:rsidRDefault="00A226D9" w:rsidP="00042A7F">
            <w:pPr>
              <w:spacing w:after="0" w:line="240" w:lineRule="auto"/>
              <w:jc w:val="center"/>
              <w:rPr>
                <w:rFonts w:ascii="Times New Roman" w:hAnsi="Times New Roman" w:cs="Times New Roman"/>
                <w:sz w:val="20"/>
                <w:szCs w:val="20"/>
              </w:rPr>
            </w:pPr>
            <w:r w:rsidRPr="00042A7F">
              <w:rPr>
                <w:rFonts w:ascii="Times New Roman" w:hAnsi="Times New Roman" w:cs="Times New Roman"/>
                <w:sz w:val="20"/>
                <w:szCs w:val="20"/>
              </w:rPr>
              <w:t>212 (56.1%)</w:t>
            </w:r>
          </w:p>
        </w:tc>
        <w:tc>
          <w:tcPr>
            <w:tcW w:w="1567" w:type="dxa"/>
            <w:tcBorders>
              <w:bottom w:val="nil"/>
            </w:tcBorders>
          </w:tcPr>
          <w:p w14:paraId="1D16ED19" w14:textId="77777777" w:rsidR="00A226D9" w:rsidRPr="00042A7F" w:rsidRDefault="00A226D9" w:rsidP="00042A7F">
            <w:pPr>
              <w:spacing w:after="0" w:line="240" w:lineRule="auto"/>
              <w:jc w:val="center"/>
              <w:rPr>
                <w:rFonts w:ascii="Times New Roman" w:hAnsi="Times New Roman" w:cs="Times New Roman"/>
                <w:sz w:val="20"/>
                <w:szCs w:val="20"/>
              </w:rPr>
            </w:pPr>
            <w:r w:rsidRPr="00042A7F">
              <w:rPr>
                <w:rFonts w:ascii="Times New Roman" w:hAnsi="Times New Roman" w:cs="Times New Roman"/>
                <w:sz w:val="20"/>
                <w:szCs w:val="20"/>
              </w:rPr>
              <w:t>17 (4.5%)</w:t>
            </w:r>
          </w:p>
        </w:tc>
        <w:tc>
          <w:tcPr>
            <w:tcW w:w="1551" w:type="dxa"/>
            <w:tcBorders>
              <w:bottom w:val="nil"/>
            </w:tcBorders>
          </w:tcPr>
          <w:p w14:paraId="13929C0C" w14:textId="77777777" w:rsidR="00A226D9" w:rsidRPr="00042A7F" w:rsidRDefault="00A226D9" w:rsidP="00042A7F">
            <w:pPr>
              <w:spacing w:after="0" w:line="240" w:lineRule="auto"/>
              <w:jc w:val="center"/>
              <w:rPr>
                <w:rFonts w:ascii="Times New Roman" w:hAnsi="Times New Roman" w:cs="Times New Roman"/>
                <w:sz w:val="20"/>
                <w:szCs w:val="20"/>
              </w:rPr>
            </w:pPr>
            <w:r w:rsidRPr="00042A7F">
              <w:rPr>
                <w:rFonts w:ascii="Times New Roman" w:hAnsi="Times New Roman" w:cs="Times New Roman"/>
                <w:sz w:val="20"/>
                <w:szCs w:val="20"/>
              </w:rPr>
              <w:t>378 (100%)</w:t>
            </w:r>
          </w:p>
        </w:tc>
      </w:tr>
      <w:tr w:rsidR="00A226D9" w:rsidRPr="00042A7F" w14:paraId="70EDAF86" w14:textId="77777777" w:rsidTr="00042A7F">
        <w:trPr>
          <w:jc w:val="center"/>
        </w:trPr>
        <w:tc>
          <w:tcPr>
            <w:tcW w:w="1727" w:type="dxa"/>
            <w:tcBorders>
              <w:top w:val="nil"/>
              <w:bottom w:val="nil"/>
            </w:tcBorders>
          </w:tcPr>
          <w:p w14:paraId="1420B31A" w14:textId="77777777" w:rsidR="00A226D9" w:rsidRPr="00042A7F" w:rsidRDefault="00A226D9" w:rsidP="00042A7F">
            <w:pPr>
              <w:spacing w:after="0" w:line="240" w:lineRule="auto"/>
              <w:rPr>
                <w:rFonts w:ascii="Times New Roman" w:hAnsi="Times New Roman" w:cs="Times New Roman"/>
                <w:sz w:val="20"/>
                <w:szCs w:val="20"/>
              </w:rPr>
            </w:pPr>
            <w:r w:rsidRPr="00042A7F">
              <w:rPr>
                <w:rFonts w:ascii="Times New Roman" w:hAnsi="Times New Roman" w:cs="Times New Roman"/>
                <w:sz w:val="20"/>
                <w:szCs w:val="20"/>
              </w:rPr>
              <w:t>Gwagwalada</w:t>
            </w:r>
          </w:p>
        </w:tc>
        <w:tc>
          <w:tcPr>
            <w:tcW w:w="1387" w:type="dxa"/>
            <w:tcBorders>
              <w:top w:val="nil"/>
              <w:bottom w:val="nil"/>
            </w:tcBorders>
          </w:tcPr>
          <w:p w14:paraId="45839A14" w14:textId="77777777" w:rsidR="00A226D9" w:rsidRPr="00042A7F" w:rsidRDefault="00A226D9" w:rsidP="00042A7F">
            <w:pPr>
              <w:spacing w:after="0" w:line="240" w:lineRule="auto"/>
              <w:jc w:val="center"/>
              <w:rPr>
                <w:rFonts w:ascii="Times New Roman" w:hAnsi="Times New Roman" w:cs="Times New Roman"/>
                <w:sz w:val="20"/>
                <w:szCs w:val="20"/>
              </w:rPr>
            </w:pPr>
            <w:r w:rsidRPr="00042A7F">
              <w:rPr>
                <w:rFonts w:ascii="Times New Roman" w:hAnsi="Times New Roman" w:cs="Times New Roman"/>
                <w:sz w:val="20"/>
                <w:szCs w:val="20"/>
              </w:rPr>
              <w:t>19 (5.1%)</w:t>
            </w:r>
          </w:p>
        </w:tc>
        <w:tc>
          <w:tcPr>
            <w:tcW w:w="1417" w:type="dxa"/>
            <w:tcBorders>
              <w:top w:val="nil"/>
              <w:bottom w:val="nil"/>
            </w:tcBorders>
          </w:tcPr>
          <w:p w14:paraId="64BABC7E" w14:textId="77777777" w:rsidR="00A226D9" w:rsidRPr="00042A7F" w:rsidRDefault="00A226D9" w:rsidP="00042A7F">
            <w:pPr>
              <w:spacing w:after="0" w:line="240" w:lineRule="auto"/>
              <w:jc w:val="center"/>
              <w:rPr>
                <w:rFonts w:ascii="Times New Roman" w:hAnsi="Times New Roman" w:cs="Times New Roman"/>
                <w:sz w:val="20"/>
                <w:szCs w:val="20"/>
              </w:rPr>
            </w:pPr>
            <w:r w:rsidRPr="00042A7F">
              <w:rPr>
                <w:rFonts w:ascii="Times New Roman" w:hAnsi="Times New Roman" w:cs="Times New Roman"/>
                <w:sz w:val="20"/>
                <w:szCs w:val="20"/>
              </w:rPr>
              <w:t>107 (28.5%)</w:t>
            </w:r>
          </w:p>
        </w:tc>
        <w:tc>
          <w:tcPr>
            <w:tcW w:w="1281" w:type="dxa"/>
            <w:tcBorders>
              <w:top w:val="nil"/>
              <w:bottom w:val="nil"/>
            </w:tcBorders>
          </w:tcPr>
          <w:p w14:paraId="6ADE15B2" w14:textId="77777777" w:rsidR="00A226D9" w:rsidRPr="00042A7F" w:rsidRDefault="00A226D9" w:rsidP="00042A7F">
            <w:pPr>
              <w:spacing w:after="0" w:line="240" w:lineRule="auto"/>
              <w:jc w:val="center"/>
              <w:rPr>
                <w:rFonts w:ascii="Times New Roman" w:hAnsi="Times New Roman" w:cs="Times New Roman"/>
                <w:sz w:val="20"/>
                <w:szCs w:val="20"/>
              </w:rPr>
            </w:pPr>
            <w:r w:rsidRPr="00042A7F">
              <w:rPr>
                <w:rFonts w:ascii="Times New Roman" w:hAnsi="Times New Roman" w:cs="Times New Roman"/>
                <w:sz w:val="20"/>
                <w:szCs w:val="20"/>
              </w:rPr>
              <w:t>227 (60.3)</w:t>
            </w:r>
          </w:p>
        </w:tc>
        <w:tc>
          <w:tcPr>
            <w:tcW w:w="1567" w:type="dxa"/>
            <w:tcBorders>
              <w:top w:val="nil"/>
              <w:bottom w:val="nil"/>
            </w:tcBorders>
          </w:tcPr>
          <w:p w14:paraId="64F34B64" w14:textId="77777777" w:rsidR="00A226D9" w:rsidRPr="00042A7F" w:rsidRDefault="00A226D9" w:rsidP="00042A7F">
            <w:pPr>
              <w:spacing w:after="0" w:line="240" w:lineRule="auto"/>
              <w:jc w:val="center"/>
              <w:rPr>
                <w:rFonts w:ascii="Times New Roman" w:hAnsi="Times New Roman" w:cs="Times New Roman"/>
                <w:sz w:val="20"/>
                <w:szCs w:val="20"/>
              </w:rPr>
            </w:pPr>
            <w:r w:rsidRPr="00042A7F">
              <w:rPr>
                <w:rFonts w:ascii="Times New Roman" w:hAnsi="Times New Roman" w:cs="Times New Roman"/>
                <w:sz w:val="20"/>
                <w:szCs w:val="20"/>
              </w:rPr>
              <w:t>23 (6.1%)</w:t>
            </w:r>
          </w:p>
        </w:tc>
        <w:tc>
          <w:tcPr>
            <w:tcW w:w="1551" w:type="dxa"/>
            <w:tcBorders>
              <w:top w:val="nil"/>
              <w:bottom w:val="nil"/>
            </w:tcBorders>
          </w:tcPr>
          <w:p w14:paraId="64A033BC" w14:textId="77777777" w:rsidR="00A226D9" w:rsidRPr="00042A7F" w:rsidRDefault="00A226D9" w:rsidP="00042A7F">
            <w:pPr>
              <w:spacing w:after="0" w:line="240" w:lineRule="auto"/>
              <w:jc w:val="center"/>
              <w:rPr>
                <w:rFonts w:ascii="Times New Roman" w:hAnsi="Times New Roman" w:cs="Times New Roman"/>
                <w:sz w:val="20"/>
                <w:szCs w:val="20"/>
              </w:rPr>
            </w:pPr>
            <w:r w:rsidRPr="00042A7F">
              <w:rPr>
                <w:rFonts w:ascii="Times New Roman" w:hAnsi="Times New Roman" w:cs="Times New Roman"/>
                <w:sz w:val="20"/>
                <w:szCs w:val="20"/>
              </w:rPr>
              <w:t>376 (100%)</w:t>
            </w:r>
          </w:p>
        </w:tc>
      </w:tr>
      <w:tr w:rsidR="00A226D9" w:rsidRPr="00042A7F" w14:paraId="796E552F" w14:textId="77777777" w:rsidTr="00042A7F">
        <w:trPr>
          <w:cnfStyle w:val="010000000000" w:firstRow="0" w:lastRow="1" w:firstColumn="0" w:lastColumn="0" w:oddVBand="0" w:evenVBand="0" w:oddHBand="0" w:evenHBand="0" w:firstRowFirstColumn="0" w:firstRowLastColumn="0" w:lastRowFirstColumn="0" w:lastRowLastColumn="0"/>
          <w:jc w:val="center"/>
        </w:trPr>
        <w:tc>
          <w:tcPr>
            <w:tcW w:w="1727" w:type="dxa"/>
            <w:tcBorders>
              <w:top w:val="nil"/>
            </w:tcBorders>
          </w:tcPr>
          <w:p w14:paraId="6973AE06" w14:textId="77777777" w:rsidR="00A226D9" w:rsidRPr="00042A7F" w:rsidRDefault="00A226D9" w:rsidP="00042A7F">
            <w:pPr>
              <w:spacing w:after="0" w:line="240" w:lineRule="auto"/>
              <w:rPr>
                <w:rFonts w:ascii="Times New Roman" w:hAnsi="Times New Roman" w:cs="Times New Roman"/>
                <w:sz w:val="20"/>
                <w:szCs w:val="20"/>
              </w:rPr>
            </w:pPr>
            <w:r w:rsidRPr="00042A7F">
              <w:rPr>
                <w:rFonts w:ascii="Times New Roman" w:hAnsi="Times New Roman" w:cs="Times New Roman"/>
                <w:sz w:val="20"/>
                <w:szCs w:val="20"/>
              </w:rPr>
              <w:t xml:space="preserve">Total </w:t>
            </w:r>
          </w:p>
        </w:tc>
        <w:tc>
          <w:tcPr>
            <w:tcW w:w="1387" w:type="dxa"/>
            <w:tcBorders>
              <w:top w:val="nil"/>
            </w:tcBorders>
          </w:tcPr>
          <w:p w14:paraId="15E8103F" w14:textId="77777777" w:rsidR="00A226D9" w:rsidRPr="00042A7F" w:rsidRDefault="00A226D9" w:rsidP="00042A7F">
            <w:pPr>
              <w:spacing w:after="0" w:line="240" w:lineRule="auto"/>
              <w:jc w:val="center"/>
              <w:rPr>
                <w:rFonts w:ascii="Times New Roman" w:hAnsi="Times New Roman" w:cs="Times New Roman"/>
                <w:sz w:val="20"/>
                <w:szCs w:val="20"/>
              </w:rPr>
            </w:pPr>
            <w:r w:rsidRPr="00042A7F">
              <w:rPr>
                <w:rFonts w:ascii="Times New Roman" w:eastAsia="Times New Roman" w:hAnsi="Times New Roman" w:cs="Times New Roman"/>
                <w:sz w:val="20"/>
                <w:szCs w:val="20"/>
                <w:lang w:eastAsia="en-GB"/>
              </w:rPr>
              <w:t>88 (7.7%)</w:t>
            </w:r>
          </w:p>
        </w:tc>
        <w:tc>
          <w:tcPr>
            <w:tcW w:w="1417" w:type="dxa"/>
            <w:tcBorders>
              <w:top w:val="nil"/>
            </w:tcBorders>
          </w:tcPr>
          <w:p w14:paraId="02C4023A" w14:textId="77777777" w:rsidR="00A226D9" w:rsidRPr="00042A7F" w:rsidRDefault="00A226D9" w:rsidP="00042A7F">
            <w:pPr>
              <w:spacing w:after="0" w:line="240" w:lineRule="auto"/>
              <w:jc w:val="center"/>
              <w:rPr>
                <w:rFonts w:ascii="Times New Roman" w:hAnsi="Times New Roman" w:cs="Times New Roman"/>
                <w:sz w:val="20"/>
                <w:szCs w:val="20"/>
              </w:rPr>
            </w:pPr>
            <w:r w:rsidRPr="00042A7F">
              <w:rPr>
                <w:rFonts w:ascii="Times New Roman" w:eastAsia="Times New Roman" w:hAnsi="Times New Roman" w:cs="Times New Roman"/>
                <w:sz w:val="20"/>
                <w:szCs w:val="20"/>
                <w:lang w:eastAsia="en-GB"/>
              </w:rPr>
              <w:t>357 (31.4%)</w:t>
            </w:r>
          </w:p>
        </w:tc>
        <w:tc>
          <w:tcPr>
            <w:tcW w:w="1281" w:type="dxa"/>
            <w:tcBorders>
              <w:top w:val="nil"/>
            </w:tcBorders>
          </w:tcPr>
          <w:p w14:paraId="34962D88" w14:textId="77777777" w:rsidR="00A226D9" w:rsidRPr="00042A7F" w:rsidRDefault="00A226D9" w:rsidP="00042A7F">
            <w:pPr>
              <w:spacing w:after="0" w:line="240" w:lineRule="auto"/>
              <w:jc w:val="center"/>
              <w:rPr>
                <w:rFonts w:ascii="Times New Roman" w:hAnsi="Times New Roman" w:cs="Times New Roman"/>
                <w:sz w:val="20"/>
                <w:szCs w:val="20"/>
              </w:rPr>
            </w:pPr>
            <w:r w:rsidRPr="00042A7F">
              <w:rPr>
                <w:rFonts w:ascii="Times New Roman" w:eastAsia="Times New Roman" w:hAnsi="Times New Roman" w:cs="Times New Roman"/>
                <w:sz w:val="20"/>
                <w:szCs w:val="20"/>
                <w:lang w:eastAsia="en-GB"/>
              </w:rPr>
              <w:t>637 (56.0%)</w:t>
            </w:r>
          </w:p>
        </w:tc>
        <w:tc>
          <w:tcPr>
            <w:tcW w:w="1567" w:type="dxa"/>
            <w:tcBorders>
              <w:top w:val="nil"/>
            </w:tcBorders>
          </w:tcPr>
          <w:p w14:paraId="005D98AC" w14:textId="77777777" w:rsidR="00A226D9" w:rsidRPr="00042A7F" w:rsidRDefault="00A226D9" w:rsidP="00042A7F">
            <w:pPr>
              <w:spacing w:after="0" w:line="240" w:lineRule="auto"/>
              <w:jc w:val="center"/>
              <w:rPr>
                <w:rFonts w:ascii="Times New Roman" w:hAnsi="Times New Roman" w:cs="Times New Roman"/>
                <w:sz w:val="20"/>
                <w:szCs w:val="20"/>
              </w:rPr>
            </w:pPr>
            <w:r w:rsidRPr="00042A7F">
              <w:rPr>
                <w:rFonts w:ascii="Times New Roman" w:eastAsia="Times New Roman" w:hAnsi="Times New Roman" w:cs="Times New Roman"/>
                <w:sz w:val="20"/>
                <w:szCs w:val="20"/>
                <w:lang w:eastAsia="en-GB"/>
              </w:rPr>
              <w:t>55 (4.8%)</w:t>
            </w:r>
          </w:p>
        </w:tc>
        <w:tc>
          <w:tcPr>
            <w:tcW w:w="1551" w:type="dxa"/>
            <w:tcBorders>
              <w:top w:val="nil"/>
            </w:tcBorders>
          </w:tcPr>
          <w:p w14:paraId="21B6B5EF" w14:textId="77777777" w:rsidR="00A226D9" w:rsidRPr="00042A7F" w:rsidRDefault="00A226D9" w:rsidP="00042A7F">
            <w:pPr>
              <w:spacing w:after="0" w:line="240" w:lineRule="auto"/>
              <w:jc w:val="center"/>
              <w:rPr>
                <w:rFonts w:ascii="Times New Roman" w:hAnsi="Times New Roman" w:cs="Times New Roman"/>
                <w:sz w:val="20"/>
                <w:szCs w:val="20"/>
              </w:rPr>
            </w:pPr>
            <w:r w:rsidRPr="00042A7F">
              <w:rPr>
                <w:rFonts w:ascii="Times New Roman" w:eastAsia="Times New Roman" w:hAnsi="Times New Roman" w:cs="Times New Roman"/>
                <w:sz w:val="20"/>
                <w:szCs w:val="20"/>
                <w:lang w:eastAsia="en-GB"/>
              </w:rPr>
              <w:t>1137 (100%)</w:t>
            </w:r>
          </w:p>
        </w:tc>
      </w:tr>
    </w:tbl>
    <w:p w14:paraId="18C6DF9E" w14:textId="77777777" w:rsidR="00A226D9" w:rsidRPr="00BE4AF3" w:rsidRDefault="00A226D9" w:rsidP="00042A7F">
      <w:pPr>
        <w:spacing w:after="0" w:line="240" w:lineRule="auto"/>
        <w:jc w:val="center"/>
        <w:rPr>
          <w:rFonts w:ascii="Times New Roman" w:hAnsi="Times New Roman" w:cs="Times New Roman"/>
          <w:sz w:val="24"/>
          <w:szCs w:val="24"/>
        </w:rPr>
      </w:pPr>
      <w:r w:rsidRPr="00BE4AF3">
        <w:rPr>
          <w:rFonts w:ascii="Times New Roman" w:hAnsi="Times New Roman" w:cs="Times New Roman"/>
          <w:sz w:val="24"/>
          <w:szCs w:val="24"/>
        </w:rPr>
        <w:t>Source: Author’s Computation, 2025</w:t>
      </w:r>
    </w:p>
    <w:p w14:paraId="05F753D8" w14:textId="77777777" w:rsidR="00A226D9" w:rsidRPr="00BE4AF3" w:rsidRDefault="00A226D9" w:rsidP="00A226D9">
      <w:pPr>
        <w:spacing w:after="0" w:line="22" w:lineRule="atLeast"/>
        <w:jc w:val="both"/>
        <w:rPr>
          <w:rFonts w:ascii="Times New Roman" w:hAnsi="Times New Roman" w:cs="Times New Roman"/>
          <w:b/>
          <w:bCs/>
          <w:sz w:val="24"/>
          <w:szCs w:val="24"/>
        </w:rPr>
      </w:pPr>
    </w:p>
    <w:p w14:paraId="7C58327F" w14:textId="3DE50EF6" w:rsidR="00A226D9" w:rsidRPr="00BE4AF3" w:rsidRDefault="00A226D9" w:rsidP="00042A7F">
      <w:pPr>
        <w:spacing w:after="0" w:line="240" w:lineRule="auto"/>
        <w:rPr>
          <w:rFonts w:ascii="Times New Roman" w:hAnsi="Times New Roman" w:cs="Times New Roman"/>
          <w:b/>
          <w:bCs/>
          <w:sz w:val="24"/>
          <w:szCs w:val="24"/>
        </w:rPr>
      </w:pPr>
      <w:bookmarkStart w:id="69" w:name="_Toc146787957"/>
      <w:r w:rsidRPr="00BE4AF3">
        <w:rPr>
          <w:rFonts w:ascii="Times New Roman" w:hAnsi="Times New Roman" w:cs="Times New Roman"/>
          <w:b/>
          <w:bCs/>
          <w:sz w:val="24"/>
          <w:szCs w:val="24"/>
        </w:rPr>
        <w:t>Residents’ Awareness level of Urban Environmental Hazards in the Study Area</w:t>
      </w:r>
    </w:p>
    <w:p w14:paraId="5E9638B5" w14:textId="77777777" w:rsidR="00A226D9" w:rsidRPr="00BE4AF3" w:rsidRDefault="00A226D9" w:rsidP="00042A7F">
      <w:pPr>
        <w:pStyle w:val="NormalWeb"/>
        <w:spacing w:before="0" w:beforeAutospacing="0" w:after="0" w:afterAutospacing="0"/>
        <w:jc w:val="both"/>
      </w:pPr>
      <w:r w:rsidRPr="00BE4AF3">
        <w:t xml:space="preserve">The results of urban environmental health hazard of respondents’ level of awareness across the three Area Councils (Abuja Municipal, Bwari, and Gwagwalada) shows a generally high level of public awareness for most observable and day-to-day health hazards. Hazards such as clogged or absent of drainage (3.26), excessive noise (3.23), improper solid waste disposal (2.72), and poor sanitation (2.69) have high weighted scores, indicating that residents are well aware of these issues (Table 2). These hazards are visible, disruptive, and frequently encountered in the informal settlements, which likely contributes to their salience in public perception. This trend is consistent </w:t>
      </w:r>
      <w:r w:rsidRPr="00BE4AF3">
        <w:lastRenderedPageBreak/>
        <w:t>across the Area Councils, reflecting a shared experiential understanding of the most immediate environmental challenges affecting daily life.</w:t>
      </w:r>
    </w:p>
    <w:p w14:paraId="440A5A49" w14:textId="77777777" w:rsidR="00A226D9" w:rsidRDefault="00A226D9" w:rsidP="00042A7F">
      <w:pPr>
        <w:pStyle w:val="NormalWeb"/>
        <w:spacing w:before="0" w:beforeAutospacing="0" w:after="0" w:afterAutospacing="0"/>
        <w:jc w:val="both"/>
      </w:pPr>
      <w:r w:rsidRPr="00BE4AF3">
        <w:t>In contrast, awareness is significantly lower for less visible or chronic risks such as asbestos material used for ceiling (1.72), threat of mould in walls (2.18), and susceptibility to physical injury from unsafe structures environments (1.87). These health hazards may not present immediate or obvious symptoms and are often underestimated by the general public, despite posing serious long-term health threats</w:t>
      </w:r>
    </w:p>
    <w:p w14:paraId="7C169929" w14:textId="77777777" w:rsidR="00042A7F" w:rsidRPr="00BE4AF3" w:rsidRDefault="00042A7F" w:rsidP="00042A7F">
      <w:pPr>
        <w:pStyle w:val="NormalWeb"/>
        <w:spacing w:before="0" w:beforeAutospacing="0" w:after="0" w:afterAutospacing="0"/>
        <w:jc w:val="both"/>
      </w:pPr>
    </w:p>
    <w:bookmarkEnd w:id="69"/>
    <w:p w14:paraId="5C3676E3" w14:textId="61A912A4" w:rsidR="00A226D9" w:rsidRPr="00042A7F" w:rsidRDefault="00A226D9" w:rsidP="00042A7F">
      <w:pPr>
        <w:spacing w:after="0" w:line="264" w:lineRule="auto"/>
        <w:jc w:val="center"/>
        <w:rPr>
          <w:rFonts w:ascii="Times New Roman" w:hAnsi="Times New Roman" w:cs="Times New Roman"/>
          <w:sz w:val="24"/>
          <w:szCs w:val="24"/>
        </w:rPr>
      </w:pPr>
      <w:r w:rsidRPr="00BE4AF3">
        <w:rPr>
          <w:rFonts w:ascii="Times New Roman" w:hAnsi="Times New Roman" w:cs="Times New Roman"/>
          <w:b/>
          <w:bCs/>
          <w:sz w:val="24"/>
          <w:szCs w:val="24"/>
        </w:rPr>
        <w:t xml:space="preserve">Table 2: </w:t>
      </w:r>
      <w:r w:rsidRPr="00042A7F">
        <w:rPr>
          <w:rFonts w:ascii="Times New Roman" w:hAnsi="Times New Roman" w:cs="Times New Roman"/>
          <w:sz w:val="24"/>
          <w:szCs w:val="24"/>
        </w:rPr>
        <w:t>Residents’ Awareness level of Urban Environmental Hazards</w:t>
      </w:r>
    </w:p>
    <w:tbl>
      <w:tblPr>
        <w:tblStyle w:val="PlainTable2"/>
        <w:tblW w:w="8920" w:type="dxa"/>
        <w:jc w:val="center"/>
        <w:tblLook w:val="06A0" w:firstRow="1" w:lastRow="0" w:firstColumn="1" w:lastColumn="0" w:noHBand="1" w:noVBand="1"/>
      </w:tblPr>
      <w:tblGrid>
        <w:gridCol w:w="2977"/>
        <w:gridCol w:w="1182"/>
        <w:gridCol w:w="791"/>
        <w:gridCol w:w="1287"/>
        <w:gridCol w:w="1121"/>
        <w:gridCol w:w="1562"/>
      </w:tblGrid>
      <w:tr w:rsidR="00A226D9" w:rsidRPr="00042A7F" w14:paraId="3D507591" w14:textId="77777777" w:rsidTr="00042A7F">
        <w:trPr>
          <w:cnfStyle w:val="100000000000" w:firstRow="1" w:lastRow="0" w:firstColumn="0" w:lastColumn="0" w:oddVBand="0" w:evenVBand="0" w:oddHBand="0" w:evenHBand="0" w:firstRowFirstColumn="0" w:firstRowLastColumn="0" w:lastRowFirstColumn="0" w:lastRowLastColumn="0"/>
          <w:trHeight w:val="706"/>
          <w:jc w:val="center"/>
        </w:trPr>
        <w:tc>
          <w:tcPr>
            <w:cnfStyle w:val="001000000000" w:firstRow="0" w:lastRow="0" w:firstColumn="1" w:lastColumn="0" w:oddVBand="0" w:evenVBand="0" w:oddHBand="0" w:evenHBand="0" w:firstRowFirstColumn="0" w:firstRowLastColumn="0" w:lastRowFirstColumn="0" w:lastRowLastColumn="0"/>
            <w:tcW w:w="2977" w:type="dxa"/>
            <w:hideMark/>
          </w:tcPr>
          <w:p w14:paraId="307BD089" w14:textId="77777777" w:rsidR="00A226D9" w:rsidRPr="00042A7F" w:rsidRDefault="00A226D9" w:rsidP="00042A7F">
            <w:pPr>
              <w:spacing w:after="0" w:line="240" w:lineRule="auto"/>
              <w:rPr>
                <w:rFonts w:ascii="Times New Roman" w:hAnsi="Times New Roman" w:cs="Times New Roman"/>
                <w:b w:val="0"/>
                <w:bCs w:val="0"/>
                <w:sz w:val="20"/>
                <w:szCs w:val="20"/>
              </w:rPr>
            </w:pPr>
            <w:r w:rsidRPr="00042A7F">
              <w:rPr>
                <w:rFonts w:ascii="Times New Roman" w:hAnsi="Times New Roman" w:cs="Times New Roman"/>
                <w:b w:val="0"/>
                <w:bCs w:val="0"/>
                <w:sz w:val="20"/>
                <w:szCs w:val="20"/>
              </w:rPr>
              <w:t>Hazards</w:t>
            </w:r>
          </w:p>
        </w:tc>
        <w:tc>
          <w:tcPr>
            <w:tcW w:w="1182" w:type="dxa"/>
            <w:hideMark/>
          </w:tcPr>
          <w:p w14:paraId="18FBEB18" w14:textId="77777777" w:rsidR="00A226D9" w:rsidRPr="00042A7F" w:rsidRDefault="00A226D9" w:rsidP="00042A7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042A7F">
              <w:rPr>
                <w:rFonts w:ascii="Times New Roman" w:hAnsi="Times New Roman" w:cs="Times New Roman"/>
                <w:b w:val="0"/>
                <w:bCs w:val="0"/>
                <w:sz w:val="20"/>
                <w:szCs w:val="20"/>
              </w:rPr>
              <w:t>Abuja Municipal</w:t>
            </w:r>
          </w:p>
        </w:tc>
        <w:tc>
          <w:tcPr>
            <w:tcW w:w="791" w:type="dxa"/>
            <w:hideMark/>
          </w:tcPr>
          <w:p w14:paraId="1376AA99" w14:textId="77777777" w:rsidR="00A226D9" w:rsidRPr="00042A7F" w:rsidRDefault="00A226D9" w:rsidP="00042A7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042A7F">
              <w:rPr>
                <w:rFonts w:ascii="Times New Roman" w:hAnsi="Times New Roman" w:cs="Times New Roman"/>
                <w:b w:val="0"/>
                <w:bCs w:val="0"/>
                <w:sz w:val="20"/>
                <w:szCs w:val="20"/>
              </w:rPr>
              <w:t>Bwari</w:t>
            </w:r>
          </w:p>
        </w:tc>
        <w:tc>
          <w:tcPr>
            <w:tcW w:w="1287" w:type="dxa"/>
            <w:hideMark/>
          </w:tcPr>
          <w:p w14:paraId="4A7B6FDF" w14:textId="77777777" w:rsidR="00A226D9" w:rsidRPr="00042A7F" w:rsidRDefault="00A226D9" w:rsidP="00042A7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042A7F">
              <w:rPr>
                <w:rFonts w:ascii="Times New Roman" w:hAnsi="Times New Roman" w:cs="Times New Roman"/>
                <w:b w:val="0"/>
                <w:bCs w:val="0"/>
                <w:sz w:val="20"/>
                <w:szCs w:val="20"/>
              </w:rPr>
              <w:t>Gwagwalada</w:t>
            </w:r>
          </w:p>
        </w:tc>
        <w:tc>
          <w:tcPr>
            <w:tcW w:w="1121" w:type="dxa"/>
            <w:hideMark/>
          </w:tcPr>
          <w:p w14:paraId="7C7F9201" w14:textId="77777777" w:rsidR="00A226D9" w:rsidRPr="00042A7F" w:rsidRDefault="00A226D9" w:rsidP="00042A7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042A7F">
              <w:rPr>
                <w:rFonts w:ascii="Times New Roman" w:hAnsi="Times New Roman" w:cs="Times New Roman"/>
                <w:b w:val="0"/>
                <w:bCs w:val="0"/>
                <w:sz w:val="20"/>
                <w:szCs w:val="20"/>
              </w:rPr>
              <w:t>Weighted Score</w:t>
            </w:r>
          </w:p>
        </w:tc>
        <w:tc>
          <w:tcPr>
            <w:tcW w:w="1562" w:type="dxa"/>
            <w:hideMark/>
          </w:tcPr>
          <w:p w14:paraId="451121F4" w14:textId="77777777" w:rsidR="00A226D9" w:rsidRPr="00042A7F" w:rsidRDefault="00A226D9" w:rsidP="00042A7F">
            <w:pPr>
              <w:spacing w:after="0"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042A7F">
              <w:rPr>
                <w:rFonts w:ascii="Times New Roman" w:hAnsi="Times New Roman" w:cs="Times New Roman"/>
                <w:b w:val="0"/>
                <w:bCs w:val="0"/>
                <w:sz w:val="20"/>
                <w:szCs w:val="20"/>
              </w:rPr>
              <w:t>Awareness level</w:t>
            </w:r>
          </w:p>
        </w:tc>
      </w:tr>
      <w:tr w:rsidR="00A226D9" w:rsidRPr="00042A7F" w14:paraId="417A9D0A" w14:textId="77777777" w:rsidTr="00042A7F">
        <w:trPr>
          <w:trHeight w:val="390"/>
          <w:jc w:val="center"/>
        </w:trPr>
        <w:tc>
          <w:tcPr>
            <w:cnfStyle w:val="001000000000" w:firstRow="0" w:lastRow="0" w:firstColumn="1" w:lastColumn="0" w:oddVBand="0" w:evenVBand="0" w:oddHBand="0" w:evenHBand="0" w:firstRowFirstColumn="0" w:firstRowLastColumn="0" w:lastRowFirstColumn="0" w:lastRowLastColumn="0"/>
            <w:tcW w:w="2977" w:type="dxa"/>
            <w:hideMark/>
          </w:tcPr>
          <w:p w14:paraId="52BB130B" w14:textId="77777777" w:rsidR="00A226D9" w:rsidRPr="00042A7F" w:rsidRDefault="00A226D9" w:rsidP="00042A7F">
            <w:pPr>
              <w:spacing w:after="0" w:line="240" w:lineRule="auto"/>
              <w:rPr>
                <w:rFonts w:ascii="Times New Roman" w:hAnsi="Times New Roman" w:cs="Times New Roman"/>
                <w:b w:val="0"/>
                <w:bCs w:val="0"/>
                <w:sz w:val="20"/>
                <w:szCs w:val="20"/>
              </w:rPr>
            </w:pPr>
            <w:r w:rsidRPr="00042A7F">
              <w:rPr>
                <w:rFonts w:ascii="Times New Roman" w:hAnsi="Times New Roman" w:cs="Times New Roman"/>
                <w:b w:val="0"/>
                <w:bCs w:val="0"/>
                <w:sz w:val="20"/>
                <w:szCs w:val="20"/>
              </w:rPr>
              <w:t>Contaminated and untreated water</w:t>
            </w:r>
          </w:p>
        </w:tc>
        <w:tc>
          <w:tcPr>
            <w:tcW w:w="1182" w:type="dxa"/>
            <w:hideMark/>
          </w:tcPr>
          <w:p w14:paraId="6DD65EE4"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2.69</w:t>
            </w:r>
          </w:p>
        </w:tc>
        <w:tc>
          <w:tcPr>
            <w:tcW w:w="791" w:type="dxa"/>
            <w:hideMark/>
          </w:tcPr>
          <w:p w14:paraId="54033F1F"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2.70</w:t>
            </w:r>
          </w:p>
        </w:tc>
        <w:tc>
          <w:tcPr>
            <w:tcW w:w="1287" w:type="dxa"/>
            <w:hideMark/>
          </w:tcPr>
          <w:p w14:paraId="1B99707D"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2.67</w:t>
            </w:r>
          </w:p>
        </w:tc>
        <w:tc>
          <w:tcPr>
            <w:tcW w:w="1121" w:type="dxa"/>
            <w:hideMark/>
          </w:tcPr>
          <w:p w14:paraId="687D3849"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2.69</w:t>
            </w:r>
          </w:p>
        </w:tc>
        <w:tc>
          <w:tcPr>
            <w:tcW w:w="1562" w:type="dxa"/>
            <w:hideMark/>
          </w:tcPr>
          <w:p w14:paraId="26E5304C" w14:textId="77777777" w:rsidR="00A226D9" w:rsidRPr="00042A7F" w:rsidRDefault="00A226D9" w:rsidP="00042A7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Aware</w:t>
            </w:r>
          </w:p>
        </w:tc>
      </w:tr>
      <w:tr w:rsidR="00A226D9" w:rsidRPr="00042A7F" w14:paraId="02A0D68E" w14:textId="77777777" w:rsidTr="00042A7F">
        <w:trPr>
          <w:trHeight w:val="482"/>
          <w:jc w:val="center"/>
        </w:trPr>
        <w:tc>
          <w:tcPr>
            <w:cnfStyle w:val="001000000000" w:firstRow="0" w:lastRow="0" w:firstColumn="1" w:lastColumn="0" w:oddVBand="0" w:evenVBand="0" w:oddHBand="0" w:evenHBand="0" w:firstRowFirstColumn="0" w:firstRowLastColumn="0" w:lastRowFirstColumn="0" w:lastRowLastColumn="0"/>
            <w:tcW w:w="2977" w:type="dxa"/>
            <w:hideMark/>
          </w:tcPr>
          <w:p w14:paraId="17E762C6" w14:textId="77777777" w:rsidR="00A226D9" w:rsidRPr="00042A7F" w:rsidRDefault="00A226D9" w:rsidP="00042A7F">
            <w:pPr>
              <w:spacing w:after="0" w:line="240" w:lineRule="auto"/>
              <w:rPr>
                <w:rFonts w:ascii="Times New Roman" w:hAnsi="Times New Roman" w:cs="Times New Roman"/>
                <w:b w:val="0"/>
                <w:bCs w:val="0"/>
                <w:sz w:val="20"/>
                <w:szCs w:val="20"/>
              </w:rPr>
            </w:pPr>
            <w:r w:rsidRPr="00042A7F">
              <w:rPr>
                <w:rFonts w:ascii="Times New Roman" w:hAnsi="Times New Roman" w:cs="Times New Roman"/>
                <w:b w:val="0"/>
                <w:bCs w:val="0"/>
                <w:sz w:val="20"/>
                <w:szCs w:val="20"/>
              </w:rPr>
              <w:t>Superstability to physical injury</w:t>
            </w:r>
          </w:p>
        </w:tc>
        <w:tc>
          <w:tcPr>
            <w:tcW w:w="1182" w:type="dxa"/>
            <w:hideMark/>
          </w:tcPr>
          <w:p w14:paraId="22C50D1D"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1.90</w:t>
            </w:r>
          </w:p>
        </w:tc>
        <w:tc>
          <w:tcPr>
            <w:tcW w:w="791" w:type="dxa"/>
            <w:hideMark/>
          </w:tcPr>
          <w:p w14:paraId="7C94DA70"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1.73</w:t>
            </w:r>
          </w:p>
        </w:tc>
        <w:tc>
          <w:tcPr>
            <w:tcW w:w="1287" w:type="dxa"/>
            <w:hideMark/>
          </w:tcPr>
          <w:p w14:paraId="758CF0C6"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1.97</w:t>
            </w:r>
          </w:p>
        </w:tc>
        <w:tc>
          <w:tcPr>
            <w:tcW w:w="1121" w:type="dxa"/>
            <w:hideMark/>
          </w:tcPr>
          <w:p w14:paraId="3AFDBFF6"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1.87</w:t>
            </w:r>
          </w:p>
        </w:tc>
        <w:tc>
          <w:tcPr>
            <w:tcW w:w="1562" w:type="dxa"/>
            <w:hideMark/>
          </w:tcPr>
          <w:p w14:paraId="33BA06BA" w14:textId="77777777" w:rsidR="00A226D9" w:rsidRPr="00042A7F" w:rsidRDefault="00A226D9" w:rsidP="00042A7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Unaware</w:t>
            </w:r>
          </w:p>
        </w:tc>
      </w:tr>
      <w:tr w:rsidR="00A226D9" w:rsidRPr="00042A7F" w14:paraId="42150240" w14:textId="77777777" w:rsidTr="00042A7F">
        <w:trPr>
          <w:trHeight w:val="430"/>
          <w:jc w:val="center"/>
        </w:trPr>
        <w:tc>
          <w:tcPr>
            <w:cnfStyle w:val="001000000000" w:firstRow="0" w:lastRow="0" w:firstColumn="1" w:lastColumn="0" w:oddVBand="0" w:evenVBand="0" w:oddHBand="0" w:evenHBand="0" w:firstRowFirstColumn="0" w:firstRowLastColumn="0" w:lastRowFirstColumn="0" w:lastRowLastColumn="0"/>
            <w:tcW w:w="2977" w:type="dxa"/>
            <w:hideMark/>
          </w:tcPr>
          <w:p w14:paraId="6F53B5EA" w14:textId="77777777" w:rsidR="00A226D9" w:rsidRPr="00042A7F" w:rsidRDefault="00A226D9" w:rsidP="00042A7F">
            <w:pPr>
              <w:spacing w:after="0" w:line="240" w:lineRule="auto"/>
              <w:rPr>
                <w:rFonts w:ascii="Times New Roman" w:hAnsi="Times New Roman" w:cs="Times New Roman"/>
                <w:b w:val="0"/>
                <w:bCs w:val="0"/>
                <w:sz w:val="20"/>
                <w:szCs w:val="20"/>
              </w:rPr>
            </w:pPr>
            <w:r w:rsidRPr="00042A7F">
              <w:rPr>
                <w:rFonts w:ascii="Times New Roman" w:hAnsi="Times New Roman" w:cs="Times New Roman"/>
                <w:b w:val="0"/>
                <w:bCs w:val="0"/>
                <w:sz w:val="20"/>
                <w:szCs w:val="20"/>
              </w:rPr>
              <w:t>Chemical pollutants</w:t>
            </w:r>
          </w:p>
        </w:tc>
        <w:tc>
          <w:tcPr>
            <w:tcW w:w="1182" w:type="dxa"/>
            <w:hideMark/>
          </w:tcPr>
          <w:p w14:paraId="7976B1EA"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2.52</w:t>
            </w:r>
          </w:p>
        </w:tc>
        <w:tc>
          <w:tcPr>
            <w:tcW w:w="791" w:type="dxa"/>
            <w:hideMark/>
          </w:tcPr>
          <w:p w14:paraId="5994621B"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2.65</w:t>
            </w:r>
          </w:p>
        </w:tc>
        <w:tc>
          <w:tcPr>
            <w:tcW w:w="1287" w:type="dxa"/>
            <w:hideMark/>
          </w:tcPr>
          <w:p w14:paraId="2C8488A4"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2.63</w:t>
            </w:r>
          </w:p>
        </w:tc>
        <w:tc>
          <w:tcPr>
            <w:tcW w:w="1121" w:type="dxa"/>
            <w:hideMark/>
          </w:tcPr>
          <w:p w14:paraId="737AC574"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2.60</w:t>
            </w:r>
          </w:p>
        </w:tc>
        <w:tc>
          <w:tcPr>
            <w:tcW w:w="1562" w:type="dxa"/>
            <w:hideMark/>
          </w:tcPr>
          <w:p w14:paraId="47F5F717" w14:textId="77777777" w:rsidR="00A226D9" w:rsidRPr="00042A7F" w:rsidRDefault="00A226D9" w:rsidP="00042A7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Aware</w:t>
            </w:r>
          </w:p>
        </w:tc>
      </w:tr>
      <w:tr w:rsidR="00A226D9" w:rsidRPr="00042A7F" w14:paraId="721E1E79" w14:textId="77777777" w:rsidTr="00042A7F">
        <w:trPr>
          <w:trHeight w:val="430"/>
          <w:jc w:val="center"/>
        </w:trPr>
        <w:tc>
          <w:tcPr>
            <w:cnfStyle w:val="001000000000" w:firstRow="0" w:lastRow="0" w:firstColumn="1" w:lastColumn="0" w:oddVBand="0" w:evenVBand="0" w:oddHBand="0" w:evenHBand="0" w:firstRowFirstColumn="0" w:firstRowLastColumn="0" w:lastRowFirstColumn="0" w:lastRowLastColumn="0"/>
            <w:tcW w:w="2977" w:type="dxa"/>
            <w:hideMark/>
          </w:tcPr>
          <w:p w14:paraId="3B04235F" w14:textId="77777777" w:rsidR="00A226D9" w:rsidRPr="00042A7F" w:rsidRDefault="00A226D9" w:rsidP="00042A7F">
            <w:pPr>
              <w:spacing w:after="0" w:line="240" w:lineRule="auto"/>
              <w:rPr>
                <w:rFonts w:ascii="Times New Roman" w:hAnsi="Times New Roman" w:cs="Times New Roman"/>
                <w:b w:val="0"/>
                <w:bCs w:val="0"/>
                <w:sz w:val="20"/>
                <w:szCs w:val="20"/>
              </w:rPr>
            </w:pPr>
            <w:r w:rsidRPr="00042A7F">
              <w:rPr>
                <w:rFonts w:ascii="Times New Roman" w:hAnsi="Times New Roman" w:cs="Times New Roman"/>
                <w:b w:val="0"/>
                <w:bCs w:val="0"/>
                <w:sz w:val="20"/>
                <w:szCs w:val="20"/>
              </w:rPr>
              <w:t>Excessive noise</w:t>
            </w:r>
          </w:p>
        </w:tc>
        <w:tc>
          <w:tcPr>
            <w:tcW w:w="1182" w:type="dxa"/>
            <w:hideMark/>
          </w:tcPr>
          <w:p w14:paraId="28CDD05A"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2.91</w:t>
            </w:r>
          </w:p>
        </w:tc>
        <w:tc>
          <w:tcPr>
            <w:tcW w:w="791" w:type="dxa"/>
            <w:hideMark/>
          </w:tcPr>
          <w:p w14:paraId="7ABEC231"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3.41</w:t>
            </w:r>
          </w:p>
        </w:tc>
        <w:tc>
          <w:tcPr>
            <w:tcW w:w="1287" w:type="dxa"/>
            <w:hideMark/>
          </w:tcPr>
          <w:p w14:paraId="032CC62B"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3.38</w:t>
            </w:r>
          </w:p>
        </w:tc>
        <w:tc>
          <w:tcPr>
            <w:tcW w:w="1121" w:type="dxa"/>
            <w:hideMark/>
          </w:tcPr>
          <w:p w14:paraId="67BB168B"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3.23</w:t>
            </w:r>
          </w:p>
        </w:tc>
        <w:tc>
          <w:tcPr>
            <w:tcW w:w="1562" w:type="dxa"/>
            <w:hideMark/>
          </w:tcPr>
          <w:p w14:paraId="0F5CB1CF" w14:textId="77777777" w:rsidR="00A226D9" w:rsidRPr="00042A7F" w:rsidRDefault="00A226D9" w:rsidP="00042A7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Aware</w:t>
            </w:r>
          </w:p>
        </w:tc>
      </w:tr>
      <w:tr w:rsidR="00A226D9" w:rsidRPr="00042A7F" w14:paraId="5B51E020" w14:textId="77777777" w:rsidTr="00042A7F">
        <w:trPr>
          <w:trHeight w:val="430"/>
          <w:jc w:val="center"/>
        </w:trPr>
        <w:tc>
          <w:tcPr>
            <w:cnfStyle w:val="001000000000" w:firstRow="0" w:lastRow="0" w:firstColumn="1" w:lastColumn="0" w:oddVBand="0" w:evenVBand="0" w:oddHBand="0" w:evenHBand="0" w:firstRowFirstColumn="0" w:firstRowLastColumn="0" w:lastRowFirstColumn="0" w:lastRowLastColumn="0"/>
            <w:tcW w:w="2977" w:type="dxa"/>
            <w:hideMark/>
          </w:tcPr>
          <w:p w14:paraId="088404B7" w14:textId="77777777" w:rsidR="00A226D9" w:rsidRPr="00042A7F" w:rsidRDefault="00A226D9" w:rsidP="00042A7F">
            <w:pPr>
              <w:spacing w:after="0" w:line="240" w:lineRule="auto"/>
              <w:rPr>
                <w:rFonts w:ascii="Times New Roman" w:hAnsi="Times New Roman" w:cs="Times New Roman"/>
                <w:b w:val="0"/>
                <w:bCs w:val="0"/>
                <w:sz w:val="20"/>
                <w:szCs w:val="20"/>
              </w:rPr>
            </w:pPr>
            <w:r w:rsidRPr="00042A7F">
              <w:rPr>
                <w:rFonts w:ascii="Times New Roman" w:hAnsi="Times New Roman" w:cs="Times New Roman"/>
                <w:b w:val="0"/>
                <w:bCs w:val="0"/>
                <w:sz w:val="20"/>
                <w:szCs w:val="20"/>
              </w:rPr>
              <w:t>Threat of mould in wall</w:t>
            </w:r>
          </w:p>
        </w:tc>
        <w:tc>
          <w:tcPr>
            <w:tcW w:w="1182" w:type="dxa"/>
            <w:hideMark/>
          </w:tcPr>
          <w:p w14:paraId="4BB5A497"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2.28</w:t>
            </w:r>
          </w:p>
        </w:tc>
        <w:tc>
          <w:tcPr>
            <w:tcW w:w="791" w:type="dxa"/>
            <w:hideMark/>
          </w:tcPr>
          <w:p w14:paraId="127812F8"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2.15</w:t>
            </w:r>
          </w:p>
        </w:tc>
        <w:tc>
          <w:tcPr>
            <w:tcW w:w="1287" w:type="dxa"/>
            <w:hideMark/>
          </w:tcPr>
          <w:p w14:paraId="237C6CF7"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2.20</w:t>
            </w:r>
          </w:p>
        </w:tc>
        <w:tc>
          <w:tcPr>
            <w:tcW w:w="1121" w:type="dxa"/>
            <w:hideMark/>
          </w:tcPr>
          <w:p w14:paraId="776D1465"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2.18</w:t>
            </w:r>
          </w:p>
        </w:tc>
        <w:tc>
          <w:tcPr>
            <w:tcW w:w="1562" w:type="dxa"/>
            <w:hideMark/>
          </w:tcPr>
          <w:p w14:paraId="2EB470A3" w14:textId="77777777" w:rsidR="00A226D9" w:rsidRPr="00042A7F" w:rsidRDefault="00A226D9" w:rsidP="00042A7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Unaware</w:t>
            </w:r>
          </w:p>
        </w:tc>
      </w:tr>
      <w:tr w:rsidR="00A226D9" w:rsidRPr="00042A7F" w14:paraId="125A9C2F" w14:textId="77777777" w:rsidTr="00042A7F">
        <w:trPr>
          <w:trHeight w:val="423"/>
          <w:jc w:val="center"/>
        </w:trPr>
        <w:tc>
          <w:tcPr>
            <w:cnfStyle w:val="001000000000" w:firstRow="0" w:lastRow="0" w:firstColumn="1" w:lastColumn="0" w:oddVBand="0" w:evenVBand="0" w:oddHBand="0" w:evenHBand="0" w:firstRowFirstColumn="0" w:firstRowLastColumn="0" w:lastRowFirstColumn="0" w:lastRowLastColumn="0"/>
            <w:tcW w:w="2977" w:type="dxa"/>
            <w:hideMark/>
          </w:tcPr>
          <w:p w14:paraId="6F100D54" w14:textId="77777777" w:rsidR="00A226D9" w:rsidRPr="00042A7F" w:rsidRDefault="00A226D9" w:rsidP="00042A7F">
            <w:pPr>
              <w:spacing w:after="0" w:line="240" w:lineRule="auto"/>
              <w:rPr>
                <w:rFonts w:ascii="Times New Roman" w:hAnsi="Times New Roman" w:cs="Times New Roman"/>
                <w:b w:val="0"/>
                <w:bCs w:val="0"/>
                <w:sz w:val="20"/>
                <w:szCs w:val="20"/>
              </w:rPr>
            </w:pPr>
            <w:r w:rsidRPr="00042A7F">
              <w:rPr>
                <w:rFonts w:ascii="Times New Roman" w:hAnsi="Times New Roman" w:cs="Times New Roman"/>
                <w:b w:val="0"/>
                <w:bCs w:val="0"/>
                <w:sz w:val="20"/>
                <w:szCs w:val="20"/>
              </w:rPr>
              <w:t>Asbestos ceiling</w:t>
            </w:r>
          </w:p>
        </w:tc>
        <w:tc>
          <w:tcPr>
            <w:tcW w:w="1182" w:type="dxa"/>
            <w:hideMark/>
          </w:tcPr>
          <w:p w14:paraId="55DC4A52"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1.80</w:t>
            </w:r>
          </w:p>
        </w:tc>
        <w:tc>
          <w:tcPr>
            <w:tcW w:w="791" w:type="dxa"/>
            <w:hideMark/>
          </w:tcPr>
          <w:p w14:paraId="7F1C20E6"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1.71</w:t>
            </w:r>
          </w:p>
        </w:tc>
        <w:tc>
          <w:tcPr>
            <w:tcW w:w="1287" w:type="dxa"/>
            <w:hideMark/>
          </w:tcPr>
          <w:p w14:paraId="75271415"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1.64</w:t>
            </w:r>
          </w:p>
        </w:tc>
        <w:tc>
          <w:tcPr>
            <w:tcW w:w="1121" w:type="dxa"/>
            <w:hideMark/>
          </w:tcPr>
          <w:p w14:paraId="773A65A2"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1.72</w:t>
            </w:r>
          </w:p>
        </w:tc>
        <w:tc>
          <w:tcPr>
            <w:tcW w:w="1562" w:type="dxa"/>
            <w:hideMark/>
          </w:tcPr>
          <w:p w14:paraId="1659E95F" w14:textId="77777777" w:rsidR="00A226D9" w:rsidRPr="00042A7F" w:rsidRDefault="00A226D9" w:rsidP="00042A7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Fully Unaware</w:t>
            </w:r>
          </w:p>
        </w:tc>
      </w:tr>
      <w:tr w:rsidR="00A226D9" w:rsidRPr="00042A7F" w14:paraId="78B951C6" w14:textId="77777777" w:rsidTr="00042A7F">
        <w:trPr>
          <w:trHeight w:val="390"/>
          <w:jc w:val="center"/>
        </w:trPr>
        <w:tc>
          <w:tcPr>
            <w:cnfStyle w:val="001000000000" w:firstRow="0" w:lastRow="0" w:firstColumn="1" w:lastColumn="0" w:oddVBand="0" w:evenVBand="0" w:oddHBand="0" w:evenHBand="0" w:firstRowFirstColumn="0" w:firstRowLastColumn="0" w:lastRowFirstColumn="0" w:lastRowLastColumn="0"/>
            <w:tcW w:w="2977" w:type="dxa"/>
            <w:hideMark/>
          </w:tcPr>
          <w:p w14:paraId="3926732B" w14:textId="77777777" w:rsidR="00A226D9" w:rsidRPr="00042A7F" w:rsidRDefault="00A226D9" w:rsidP="00042A7F">
            <w:pPr>
              <w:spacing w:after="0" w:line="240" w:lineRule="auto"/>
              <w:rPr>
                <w:rFonts w:ascii="Times New Roman" w:hAnsi="Times New Roman" w:cs="Times New Roman"/>
                <w:b w:val="0"/>
                <w:bCs w:val="0"/>
                <w:sz w:val="20"/>
                <w:szCs w:val="20"/>
              </w:rPr>
            </w:pPr>
            <w:r w:rsidRPr="00042A7F">
              <w:rPr>
                <w:rFonts w:ascii="Times New Roman" w:hAnsi="Times New Roman" w:cs="Times New Roman"/>
                <w:b w:val="0"/>
                <w:bCs w:val="0"/>
                <w:sz w:val="20"/>
                <w:szCs w:val="20"/>
              </w:rPr>
              <w:t>Inadequate space and ventilation</w:t>
            </w:r>
          </w:p>
        </w:tc>
        <w:tc>
          <w:tcPr>
            <w:tcW w:w="1182" w:type="dxa"/>
            <w:hideMark/>
          </w:tcPr>
          <w:p w14:paraId="131D0606"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2.46</w:t>
            </w:r>
          </w:p>
        </w:tc>
        <w:tc>
          <w:tcPr>
            <w:tcW w:w="791" w:type="dxa"/>
            <w:hideMark/>
          </w:tcPr>
          <w:p w14:paraId="5B7CE001"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2.70</w:t>
            </w:r>
          </w:p>
        </w:tc>
        <w:tc>
          <w:tcPr>
            <w:tcW w:w="1287" w:type="dxa"/>
            <w:hideMark/>
          </w:tcPr>
          <w:p w14:paraId="60AA7FAC"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2.55</w:t>
            </w:r>
          </w:p>
        </w:tc>
        <w:tc>
          <w:tcPr>
            <w:tcW w:w="1121" w:type="dxa"/>
            <w:hideMark/>
          </w:tcPr>
          <w:p w14:paraId="07F0C640"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2.57</w:t>
            </w:r>
          </w:p>
        </w:tc>
        <w:tc>
          <w:tcPr>
            <w:tcW w:w="1562" w:type="dxa"/>
            <w:hideMark/>
          </w:tcPr>
          <w:p w14:paraId="3AF233C8" w14:textId="77777777" w:rsidR="00A226D9" w:rsidRPr="00042A7F" w:rsidRDefault="00A226D9" w:rsidP="00042A7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Aware</w:t>
            </w:r>
          </w:p>
        </w:tc>
      </w:tr>
      <w:tr w:rsidR="00A226D9" w:rsidRPr="00042A7F" w14:paraId="25FB3D06" w14:textId="77777777" w:rsidTr="00042A7F">
        <w:trPr>
          <w:trHeight w:val="482"/>
          <w:jc w:val="center"/>
        </w:trPr>
        <w:tc>
          <w:tcPr>
            <w:cnfStyle w:val="001000000000" w:firstRow="0" w:lastRow="0" w:firstColumn="1" w:lastColumn="0" w:oddVBand="0" w:evenVBand="0" w:oddHBand="0" w:evenHBand="0" w:firstRowFirstColumn="0" w:firstRowLastColumn="0" w:lastRowFirstColumn="0" w:lastRowLastColumn="0"/>
            <w:tcW w:w="2977" w:type="dxa"/>
            <w:hideMark/>
          </w:tcPr>
          <w:p w14:paraId="78831C20" w14:textId="77777777" w:rsidR="00A226D9" w:rsidRPr="00042A7F" w:rsidRDefault="00A226D9" w:rsidP="00042A7F">
            <w:pPr>
              <w:spacing w:after="0" w:line="240" w:lineRule="auto"/>
              <w:rPr>
                <w:rFonts w:ascii="Times New Roman" w:hAnsi="Times New Roman" w:cs="Times New Roman"/>
                <w:b w:val="0"/>
                <w:bCs w:val="0"/>
                <w:sz w:val="20"/>
                <w:szCs w:val="20"/>
              </w:rPr>
            </w:pPr>
            <w:r w:rsidRPr="00042A7F">
              <w:rPr>
                <w:rFonts w:ascii="Times New Roman" w:hAnsi="Times New Roman" w:cs="Times New Roman"/>
                <w:b w:val="0"/>
                <w:bCs w:val="0"/>
                <w:sz w:val="20"/>
                <w:szCs w:val="20"/>
              </w:rPr>
              <w:t>Clogged/absence of drainage</w:t>
            </w:r>
          </w:p>
        </w:tc>
        <w:tc>
          <w:tcPr>
            <w:tcW w:w="1182" w:type="dxa"/>
            <w:hideMark/>
          </w:tcPr>
          <w:p w14:paraId="58DAF9ED"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3.45</w:t>
            </w:r>
          </w:p>
        </w:tc>
        <w:tc>
          <w:tcPr>
            <w:tcW w:w="791" w:type="dxa"/>
            <w:hideMark/>
          </w:tcPr>
          <w:p w14:paraId="63B2CE24"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3.18</w:t>
            </w:r>
          </w:p>
        </w:tc>
        <w:tc>
          <w:tcPr>
            <w:tcW w:w="1287" w:type="dxa"/>
            <w:hideMark/>
          </w:tcPr>
          <w:p w14:paraId="5D9B1B22"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3.14</w:t>
            </w:r>
          </w:p>
        </w:tc>
        <w:tc>
          <w:tcPr>
            <w:tcW w:w="1121" w:type="dxa"/>
            <w:hideMark/>
          </w:tcPr>
          <w:p w14:paraId="226CE250"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3.26</w:t>
            </w:r>
          </w:p>
        </w:tc>
        <w:tc>
          <w:tcPr>
            <w:tcW w:w="1562" w:type="dxa"/>
            <w:hideMark/>
          </w:tcPr>
          <w:p w14:paraId="4632CD4F" w14:textId="77777777" w:rsidR="00A226D9" w:rsidRPr="00042A7F" w:rsidRDefault="00A226D9" w:rsidP="00042A7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Fully aware</w:t>
            </w:r>
          </w:p>
        </w:tc>
      </w:tr>
      <w:tr w:rsidR="00A226D9" w:rsidRPr="00042A7F" w14:paraId="1447CBBC" w14:textId="77777777" w:rsidTr="00042A7F">
        <w:trPr>
          <w:trHeight w:val="430"/>
          <w:jc w:val="center"/>
        </w:trPr>
        <w:tc>
          <w:tcPr>
            <w:cnfStyle w:val="001000000000" w:firstRow="0" w:lastRow="0" w:firstColumn="1" w:lastColumn="0" w:oddVBand="0" w:evenVBand="0" w:oddHBand="0" w:evenHBand="0" w:firstRowFirstColumn="0" w:firstRowLastColumn="0" w:lastRowFirstColumn="0" w:lastRowLastColumn="0"/>
            <w:tcW w:w="2977" w:type="dxa"/>
            <w:hideMark/>
          </w:tcPr>
          <w:p w14:paraId="3260C32E" w14:textId="77777777" w:rsidR="00A226D9" w:rsidRPr="00042A7F" w:rsidRDefault="00A226D9" w:rsidP="00042A7F">
            <w:pPr>
              <w:spacing w:after="0" w:line="240" w:lineRule="auto"/>
              <w:rPr>
                <w:rFonts w:ascii="Times New Roman" w:hAnsi="Times New Roman" w:cs="Times New Roman"/>
                <w:b w:val="0"/>
                <w:bCs w:val="0"/>
                <w:sz w:val="20"/>
                <w:szCs w:val="20"/>
              </w:rPr>
            </w:pPr>
            <w:r w:rsidRPr="00042A7F">
              <w:rPr>
                <w:rFonts w:ascii="Times New Roman" w:hAnsi="Times New Roman" w:cs="Times New Roman"/>
                <w:b w:val="0"/>
                <w:bCs w:val="0"/>
                <w:sz w:val="20"/>
                <w:szCs w:val="20"/>
              </w:rPr>
              <w:t>Overcrowding in building</w:t>
            </w:r>
          </w:p>
        </w:tc>
        <w:tc>
          <w:tcPr>
            <w:tcW w:w="1182" w:type="dxa"/>
            <w:hideMark/>
          </w:tcPr>
          <w:p w14:paraId="452C97CC"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2.41</w:t>
            </w:r>
          </w:p>
        </w:tc>
        <w:tc>
          <w:tcPr>
            <w:tcW w:w="791" w:type="dxa"/>
            <w:hideMark/>
          </w:tcPr>
          <w:p w14:paraId="5AC85003"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2.62</w:t>
            </w:r>
          </w:p>
        </w:tc>
        <w:tc>
          <w:tcPr>
            <w:tcW w:w="1287" w:type="dxa"/>
            <w:hideMark/>
          </w:tcPr>
          <w:p w14:paraId="51B27A4D"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2.47</w:t>
            </w:r>
          </w:p>
        </w:tc>
        <w:tc>
          <w:tcPr>
            <w:tcW w:w="1121" w:type="dxa"/>
            <w:hideMark/>
          </w:tcPr>
          <w:p w14:paraId="470AB570"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2.50</w:t>
            </w:r>
          </w:p>
        </w:tc>
        <w:tc>
          <w:tcPr>
            <w:tcW w:w="1562" w:type="dxa"/>
            <w:hideMark/>
          </w:tcPr>
          <w:p w14:paraId="00DF5EE3" w14:textId="77777777" w:rsidR="00A226D9" w:rsidRPr="00042A7F" w:rsidRDefault="00A226D9" w:rsidP="00042A7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Aware</w:t>
            </w:r>
          </w:p>
        </w:tc>
      </w:tr>
      <w:tr w:rsidR="00A226D9" w:rsidRPr="00042A7F" w14:paraId="1F7B9D59" w14:textId="77777777" w:rsidTr="00042A7F">
        <w:trPr>
          <w:trHeight w:val="368"/>
          <w:jc w:val="center"/>
        </w:trPr>
        <w:tc>
          <w:tcPr>
            <w:cnfStyle w:val="001000000000" w:firstRow="0" w:lastRow="0" w:firstColumn="1" w:lastColumn="0" w:oddVBand="0" w:evenVBand="0" w:oddHBand="0" w:evenHBand="0" w:firstRowFirstColumn="0" w:firstRowLastColumn="0" w:lastRowFirstColumn="0" w:lastRowLastColumn="0"/>
            <w:tcW w:w="2977" w:type="dxa"/>
            <w:hideMark/>
          </w:tcPr>
          <w:p w14:paraId="215FB7A7" w14:textId="77777777" w:rsidR="00A226D9" w:rsidRPr="00042A7F" w:rsidRDefault="00A226D9" w:rsidP="00042A7F">
            <w:pPr>
              <w:spacing w:after="0" w:line="240" w:lineRule="auto"/>
              <w:rPr>
                <w:rFonts w:ascii="Times New Roman" w:hAnsi="Times New Roman" w:cs="Times New Roman"/>
                <w:b w:val="0"/>
                <w:bCs w:val="0"/>
                <w:sz w:val="20"/>
                <w:szCs w:val="20"/>
              </w:rPr>
            </w:pPr>
            <w:r w:rsidRPr="00042A7F">
              <w:rPr>
                <w:rFonts w:ascii="Times New Roman" w:hAnsi="Times New Roman" w:cs="Times New Roman"/>
                <w:b w:val="0"/>
                <w:bCs w:val="0"/>
                <w:sz w:val="20"/>
                <w:szCs w:val="20"/>
              </w:rPr>
              <w:t>Poor sanitation</w:t>
            </w:r>
          </w:p>
        </w:tc>
        <w:tc>
          <w:tcPr>
            <w:tcW w:w="1182" w:type="dxa"/>
            <w:hideMark/>
          </w:tcPr>
          <w:p w14:paraId="7015442A"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2.64</w:t>
            </w:r>
          </w:p>
        </w:tc>
        <w:tc>
          <w:tcPr>
            <w:tcW w:w="791" w:type="dxa"/>
            <w:hideMark/>
          </w:tcPr>
          <w:p w14:paraId="7AE4F42E"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2.81</w:t>
            </w:r>
          </w:p>
        </w:tc>
        <w:tc>
          <w:tcPr>
            <w:tcW w:w="1287" w:type="dxa"/>
            <w:hideMark/>
          </w:tcPr>
          <w:p w14:paraId="3C78871E"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2.61</w:t>
            </w:r>
          </w:p>
        </w:tc>
        <w:tc>
          <w:tcPr>
            <w:tcW w:w="1121" w:type="dxa"/>
            <w:hideMark/>
          </w:tcPr>
          <w:p w14:paraId="76E44DDB"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2.69</w:t>
            </w:r>
          </w:p>
        </w:tc>
        <w:tc>
          <w:tcPr>
            <w:tcW w:w="1562" w:type="dxa"/>
            <w:hideMark/>
          </w:tcPr>
          <w:p w14:paraId="2F8BC119" w14:textId="77777777" w:rsidR="00A226D9" w:rsidRPr="00042A7F" w:rsidRDefault="00A226D9" w:rsidP="00042A7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Aware</w:t>
            </w:r>
          </w:p>
        </w:tc>
      </w:tr>
      <w:tr w:rsidR="00A226D9" w:rsidRPr="00042A7F" w14:paraId="322A1EBB" w14:textId="77777777" w:rsidTr="00042A7F">
        <w:trPr>
          <w:trHeight w:val="318"/>
          <w:jc w:val="center"/>
        </w:trPr>
        <w:tc>
          <w:tcPr>
            <w:cnfStyle w:val="001000000000" w:firstRow="0" w:lastRow="0" w:firstColumn="1" w:lastColumn="0" w:oddVBand="0" w:evenVBand="0" w:oddHBand="0" w:evenHBand="0" w:firstRowFirstColumn="0" w:firstRowLastColumn="0" w:lastRowFirstColumn="0" w:lastRowLastColumn="0"/>
            <w:tcW w:w="2977" w:type="dxa"/>
            <w:hideMark/>
          </w:tcPr>
          <w:p w14:paraId="64501AD3" w14:textId="77777777" w:rsidR="00A226D9" w:rsidRPr="00042A7F" w:rsidRDefault="00A226D9" w:rsidP="00042A7F">
            <w:pPr>
              <w:spacing w:after="0" w:line="240" w:lineRule="auto"/>
              <w:rPr>
                <w:rFonts w:ascii="Times New Roman" w:hAnsi="Times New Roman" w:cs="Times New Roman"/>
                <w:b w:val="0"/>
                <w:bCs w:val="0"/>
                <w:sz w:val="20"/>
                <w:szCs w:val="20"/>
              </w:rPr>
            </w:pPr>
            <w:r w:rsidRPr="00042A7F">
              <w:rPr>
                <w:rFonts w:ascii="Times New Roman" w:hAnsi="Times New Roman" w:cs="Times New Roman"/>
                <w:b w:val="0"/>
                <w:bCs w:val="0"/>
                <w:sz w:val="20"/>
                <w:szCs w:val="20"/>
              </w:rPr>
              <w:t>Improper Solid Waste &amp; Disposal</w:t>
            </w:r>
          </w:p>
        </w:tc>
        <w:tc>
          <w:tcPr>
            <w:tcW w:w="1182" w:type="dxa"/>
            <w:hideMark/>
          </w:tcPr>
          <w:p w14:paraId="7021F308"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2.79</w:t>
            </w:r>
          </w:p>
        </w:tc>
        <w:tc>
          <w:tcPr>
            <w:tcW w:w="791" w:type="dxa"/>
            <w:hideMark/>
          </w:tcPr>
          <w:p w14:paraId="617566B3"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2.76</w:t>
            </w:r>
          </w:p>
        </w:tc>
        <w:tc>
          <w:tcPr>
            <w:tcW w:w="1287" w:type="dxa"/>
            <w:hideMark/>
          </w:tcPr>
          <w:p w14:paraId="6FF1D756"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2.63</w:t>
            </w:r>
          </w:p>
        </w:tc>
        <w:tc>
          <w:tcPr>
            <w:tcW w:w="1121" w:type="dxa"/>
            <w:hideMark/>
          </w:tcPr>
          <w:p w14:paraId="2BDEF72E" w14:textId="77777777" w:rsidR="00A226D9" w:rsidRPr="00042A7F" w:rsidRDefault="00A226D9" w:rsidP="00042A7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2.72</w:t>
            </w:r>
          </w:p>
        </w:tc>
        <w:tc>
          <w:tcPr>
            <w:tcW w:w="1562" w:type="dxa"/>
            <w:hideMark/>
          </w:tcPr>
          <w:p w14:paraId="23BD59C8" w14:textId="77777777" w:rsidR="00A226D9" w:rsidRPr="00042A7F" w:rsidRDefault="00A226D9" w:rsidP="00042A7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42A7F">
              <w:rPr>
                <w:rFonts w:ascii="Times New Roman" w:hAnsi="Times New Roman" w:cs="Times New Roman"/>
                <w:sz w:val="20"/>
                <w:szCs w:val="20"/>
              </w:rPr>
              <w:t>Aware</w:t>
            </w:r>
          </w:p>
        </w:tc>
      </w:tr>
    </w:tbl>
    <w:p w14:paraId="64A8ED61" w14:textId="7892AA5E" w:rsidR="00A226D9" w:rsidRPr="00BE4AF3" w:rsidRDefault="00A226D9" w:rsidP="00042A7F">
      <w:pPr>
        <w:jc w:val="center"/>
        <w:rPr>
          <w:rFonts w:ascii="Times New Roman" w:hAnsi="Times New Roman" w:cs="Times New Roman"/>
          <w:sz w:val="24"/>
          <w:szCs w:val="24"/>
        </w:rPr>
      </w:pPr>
      <w:r w:rsidRPr="00BE4AF3">
        <w:rPr>
          <w:rFonts w:ascii="Times New Roman" w:hAnsi="Times New Roman" w:cs="Times New Roman"/>
          <w:sz w:val="24"/>
          <w:szCs w:val="24"/>
        </w:rPr>
        <w:t>Source: Author’s Computation, 2025</w:t>
      </w:r>
    </w:p>
    <w:p w14:paraId="1A803836" w14:textId="2D9ECD43" w:rsidR="00A226D9" w:rsidRPr="00042A7F" w:rsidRDefault="00A226D9" w:rsidP="00042A7F">
      <w:pPr>
        <w:spacing w:line="240" w:lineRule="auto"/>
        <w:jc w:val="both"/>
        <w:rPr>
          <w:rFonts w:ascii="Times New Roman" w:hAnsi="Times New Roman" w:cs="Times New Roman"/>
          <w:sz w:val="24"/>
          <w:szCs w:val="24"/>
        </w:rPr>
      </w:pPr>
      <w:r w:rsidRPr="00BE4AF3">
        <w:rPr>
          <w:rFonts w:ascii="Times New Roman" w:hAnsi="Times New Roman" w:cs="Times New Roman"/>
          <w:sz w:val="24"/>
          <w:szCs w:val="24"/>
        </w:rPr>
        <w:t>The Kruskal-Wallis H test was applied to compare awareness levels of environmental and health effects across the three Area Councils (Abuja Municipal, Bwari, and Gwagwalada) yielded a H-statistic of 2.0 and a p-value of 0.368 for all items. This suggests that the differences in awareness levels among the councils are not statistically significant. The threshold for significance is typically 0.05. Since all p-values are greater than 0.05, therefore, the null hypothesis is accepted. Furthermore, the post-hoc test compares awareness levels between each pair of Area Councils for each environmental hazard. All p-values are 1.0, indicating no statistically significant difference</w:t>
      </w:r>
      <w:r w:rsidRPr="00BE4AF3">
        <w:rPr>
          <w:rStyle w:val="Strong"/>
          <w:rFonts w:ascii="Times New Roman" w:hAnsi="Times New Roman" w:cs="Times New Roman"/>
          <w:sz w:val="24"/>
          <w:szCs w:val="24"/>
        </w:rPr>
        <w:t>s</w:t>
      </w:r>
      <w:r w:rsidRPr="00BE4AF3">
        <w:rPr>
          <w:rFonts w:ascii="Times New Roman" w:hAnsi="Times New Roman" w:cs="Times New Roman"/>
          <w:sz w:val="24"/>
          <w:szCs w:val="24"/>
        </w:rPr>
        <w:t xml:space="preserve"> in any pairwise comparison between Abuja Municipal and Bwari, Abuja Municipal and Gwagwalada, Bwari and Gwagwalada. This confirms the Kruskal-Wallis result that awareness levels are consistent across Area Councils for all housing and environmental effects evaluated. </w:t>
      </w:r>
    </w:p>
    <w:p w14:paraId="43F93586" w14:textId="40355995" w:rsidR="00A226D9" w:rsidRPr="00BE4AF3" w:rsidRDefault="00A226D9" w:rsidP="00042A7F">
      <w:pPr>
        <w:spacing w:after="0" w:line="240" w:lineRule="auto"/>
        <w:rPr>
          <w:rFonts w:ascii="Times New Roman" w:hAnsi="Times New Roman" w:cs="Times New Roman"/>
          <w:b/>
          <w:bCs/>
          <w:sz w:val="24"/>
          <w:szCs w:val="24"/>
        </w:rPr>
      </w:pPr>
      <w:r w:rsidRPr="00BE4AF3">
        <w:rPr>
          <w:rFonts w:ascii="Times New Roman" w:hAnsi="Times New Roman" w:cs="Times New Roman"/>
          <w:b/>
          <w:bCs/>
          <w:sz w:val="24"/>
          <w:szCs w:val="24"/>
        </w:rPr>
        <w:t xml:space="preserve">Discussion </w:t>
      </w:r>
    </w:p>
    <w:p w14:paraId="4A874193" w14:textId="77777777" w:rsidR="00A226D9" w:rsidRPr="00BE4AF3" w:rsidRDefault="00A226D9" w:rsidP="00042A7F">
      <w:pPr>
        <w:pStyle w:val="NormalWeb"/>
        <w:spacing w:before="0" w:beforeAutospacing="0" w:after="0" w:afterAutospacing="0"/>
        <w:jc w:val="both"/>
      </w:pPr>
      <w:r w:rsidRPr="00BE4AF3">
        <w:t xml:space="preserve">The findings of this study reveal a uniform distribution of urban environmental health awareness across the three Area Councils despite their socio-spatial differences. This consistency suggests that residents across these councils are exposed to similar to housing and environmental conditions. This pattern aligns with prior research indicating that in contexts where environmental </w:t>
      </w:r>
      <w:r w:rsidRPr="00BE4AF3">
        <w:lastRenderedPageBreak/>
        <w:t>degradation is visible and persistent, awareness levels tend to rise uniformly across spatial units, even in the absence of targeted interventions (</w:t>
      </w:r>
      <w:r w:rsidRPr="00BE4AF3">
        <w:rPr>
          <w:shd w:val="clear" w:color="auto" w:fill="FFFFFF"/>
        </w:rPr>
        <w:t>Olorunsogo, et al., 2024</w:t>
      </w:r>
      <w:r w:rsidRPr="00BE4AF3">
        <w:t>).</w:t>
      </w:r>
    </w:p>
    <w:p w14:paraId="41EB93D2" w14:textId="77777777" w:rsidR="00A226D9" w:rsidRPr="00BE4AF3" w:rsidRDefault="00A226D9" w:rsidP="00042A7F">
      <w:pPr>
        <w:pStyle w:val="NormalWeb"/>
        <w:spacing w:before="0" w:beforeAutospacing="0" w:after="0" w:afterAutospacing="0"/>
        <w:jc w:val="both"/>
      </w:pPr>
      <w:r w:rsidRPr="00BE4AF3">
        <w:t>The analysis further indicates that public awareness is relatively high for overt and easily observable hazards, such as clogged drains, excessive noise, and improper solid waste disposal. These are issues with immediate, visible impacts that are frequently encountered in the daily lives of residents, often prompting discomfort, inconvenience, or community-level complaints. As noted by MacCarthy et al. (2018), such tangible risks tend to generate higher awareness because they directly affect quality of life and are more likely to be discussed in local discourse or highlighted in public media.</w:t>
      </w:r>
    </w:p>
    <w:p w14:paraId="0592BCF4" w14:textId="77777777" w:rsidR="00A226D9" w:rsidRPr="00BE4AF3" w:rsidRDefault="00A226D9" w:rsidP="00042A7F">
      <w:pPr>
        <w:pStyle w:val="NormalWeb"/>
        <w:spacing w:before="0" w:beforeAutospacing="0" w:after="0" w:afterAutospacing="0"/>
        <w:jc w:val="both"/>
      </w:pPr>
      <w:r w:rsidRPr="00BE4AF3">
        <w:t>In contrast, awareness was found to be significantly lower for more insidious or less visible hazards including exposure to asbestos materials and physical injuries resulting from unstable building structures. These findings are consistent with existing literature suggesting that invisible or chronic risks often receive less public attention, especially in low-income settings where immediate survival needs overshadow long-term health considerations (</w:t>
      </w:r>
      <w:r w:rsidRPr="00BE4AF3">
        <w:rPr>
          <w:shd w:val="clear" w:color="auto" w:fill="FFFFFF"/>
        </w:rPr>
        <w:t>Wilkinson, et al., 2020</w:t>
      </w:r>
      <w:r w:rsidRPr="00BE4AF3">
        <w:t>; WHO, 2021). For example, exposure to asbestos although scientifically linked to serious illnesses such as mesothelioma and lung cancer remains poorly understood among the general public in many developing countries, including Nigeria (Ajayi, et al</w:t>
      </w:r>
      <w:r w:rsidRPr="00BE4AF3">
        <w:rPr>
          <w:i/>
          <w:iCs/>
        </w:rPr>
        <w:t>.,</w:t>
      </w:r>
      <w:r w:rsidRPr="00BE4AF3">
        <w:t xml:space="preserve"> 2025). Similarly, structural hazards may be normalized in informal settlements due to prolonged housing deficits and a lack of regulatory enforcement. </w:t>
      </w:r>
    </w:p>
    <w:p w14:paraId="69679210" w14:textId="77777777" w:rsidR="00A226D9" w:rsidRPr="00BE4AF3" w:rsidRDefault="00A226D9" w:rsidP="00042A7F">
      <w:pPr>
        <w:spacing w:after="0" w:line="240" w:lineRule="auto"/>
        <w:rPr>
          <w:rFonts w:ascii="Times New Roman" w:hAnsi="Times New Roman" w:cs="Times New Roman"/>
          <w:b/>
          <w:bCs/>
          <w:sz w:val="24"/>
          <w:szCs w:val="24"/>
        </w:rPr>
      </w:pPr>
    </w:p>
    <w:p w14:paraId="455B5D35" w14:textId="22A70B45" w:rsidR="00A226D9" w:rsidRPr="00BE4AF3" w:rsidRDefault="00A226D9" w:rsidP="00042A7F">
      <w:pPr>
        <w:spacing w:after="0" w:line="240" w:lineRule="auto"/>
        <w:rPr>
          <w:rFonts w:ascii="Times New Roman" w:hAnsi="Times New Roman" w:cs="Times New Roman"/>
          <w:b/>
          <w:bCs/>
          <w:sz w:val="24"/>
          <w:szCs w:val="24"/>
        </w:rPr>
      </w:pPr>
      <w:r w:rsidRPr="00BE4AF3">
        <w:rPr>
          <w:rFonts w:ascii="Times New Roman" w:hAnsi="Times New Roman" w:cs="Times New Roman"/>
          <w:b/>
          <w:bCs/>
          <w:sz w:val="24"/>
          <w:szCs w:val="24"/>
        </w:rPr>
        <w:t>Conclusion</w:t>
      </w:r>
    </w:p>
    <w:p w14:paraId="5D139B96" w14:textId="77777777" w:rsidR="00A226D9" w:rsidRPr="00BE4AF3" w:rsidRDefault="00A226D9" w:rsidP="00042A7F">
      <w:pPr>
        <w:pStyle w:val="NormalWeb"/>
        <w:spacing w:before="0" w:beforeAutospacing="0" w:after="0" w:afterAutospacing="0"/>
        <w:jc w:val="both"/>
      </w:pPr>
      <w:r w:rsidRPr="00BE4AF3">
        <w:t>This study assessed residents’ awareness of urban environmental health hazards in informal settlements across Abuja Municipal, Bwari, and Gwagwalada within Nigeria’s Federal Capital Territory (FCT). The findings revealed that awareness levels are generally high for immediate and visible environmental hazards such as clogged drainage, poor sanitation, and excessive noise. These hazards tend to disrupt daily living conditions and are more likely to be recognised and discussed by the public. In contrast, awareness is notably lower for less visible, chronic, or long-term risks such as exposure to asbestos, mould growth, and structural instability. Despite the socio-economic and infrastructural variation across councils, statistical tests revealed no significant differences in awareness levels among the three Area Councils, indicating a relatively homogenous pattern of environmental health perception.</w:t>
      </w:r>
    </w:p>
    <w:p w14:paraId="5444A175" w14:textId="77777777" w:rsidR="00A226D9" w:rsidRPr="00BE4AF3" w:rsidRDefault="00A226D9" w:rsidP="00042A7F">
      <w:pPr>
        <w:pStyle w:val="NormalWeb"/>
        <w:spacing w:before="0" w:beforeAutospacing="0" w:after="0" w:afterAutospacing="0"/>
        <w:jc w:val="both"/>
      </w:pPr>
      <w:r w:rsidRPr="00BE4AF3">
        <w:t xml:space="preserve">The uniformly high education level particularly the prevalence of tertiary education among respondents likely contributes to the consistency in awareness across councils. However, the lower awareness of less tangible health risks raises concerns about information accessibility, health literacy gaps, and potential underestimation of long-term environmental hazards in informal settlements. This underscores the need for targeted, context-sensitive awareness strategies that go beyond generic public health issues and solutions. </w:t>
      </w:r>
    </w:p>
    <w:p w14:paraId="1EA9E3FC" w14:textId="77777777" w:rsidR="00042A7F" w:rsidRDefault="00042A7F" w:rsidP="00042A7F">
      <w:pPr>
        <w:spacing w:after="0" w:line="240" w:lineRule="auto"/>
        <w:rPr>
          <w:rFonts w:ascii="Times New Roman" w:hAnsi="Times New Roman" w:cs="Times New Roman"/>
          <w:b/>
          <w:bCs/>
          <w:i/>
          <w:iCs/>
          <w:sz w:val="24"/>
          <w:szCs w:val="24"/>
        </w:rPr>
      </w:pPr>
    </w:p>
    <w:p w14:paraId="67F2E8C8" w14:textId="7D68203E" w:rsidR="00A226D9" w:rsidRPr="00042A7F" w:rsidRDefault="00A226D9" w:rsidP="00042A7F">
      <w:pPr>
        <w:spacing w:after="0" w:line="240" w:lineRule="auto"/>
        <w:rPr>
          <w:rFonts w:ascii="Times New Roman" w:hAnsi="Times New Roman" w:cs="Times New Roman"/>
          <w:b/>
          <w:bCs/>
          <w:sz w:val="24"/>
          <w:szCs w:val="24"/>
        </w:rPr>
      </w:pPr>
      <w:r w:rsidRPr="00042A7F">
        <w:rPr>
          <w:rFonts w:ascii="Times New Roman" w:hAnsi="Times New Roman" w:cs="Times New Roman"/>
          <w:b/>
          <w:bCs/>
          <w:sz w:val="24"/>
          <w:szCs w:val="24"/>
        </w:rPr>
        <w:t xml:space="preserve">Recommendations </w:t>
      </w:r>
    </w:p>
    <w:p w14:paraId="6CD93458" w14:textId="77777777" w:rsidR="00A226D9" w:rsidRPr="00BE4AF3" w:rsidRDefault="00A226D9" w:rsidP="00042A7F">
      <w:pPr>
        <w:numPr>
          <w:ilvl w:val="0"/>
          <w:numId w:val="14"/>
        </w:num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Target Under-Recognised Hazards in Awareness Campaigns</w:t>
      </w:r>
    </w:p>
    <w:p w14:paraId="63B9FF30" w14:textId="77777777" w:rsidR="00A226D9" w:rsidRPr="00BE4AF3" w:rsidRDefault="00A226D9" w:rsidP="00042A7F">
      <w:pPr>
        <w:spacing w:after="0" w:line="240" w:lineRule="auto"/>
        <w:ind w:left="720"/>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Public health authorities such as FCT Health and Human Services and Abuja Environmental Protection Board (AEPB) should develop communication strategies specifically addressing low-awareness hazards such as asbestos exposure, mould infestation, and physical injury risks from unstable structures. These campaigns should simplify technical information and use culturally relevant language and visuals.</w:t>
      </w:r>
    </w:p>
    <w:p w14:paraId="717FD1F1" w14:textId="77777777" w:rsidR="00A226D9" w:rsidRPr="00BE4AF3" w:rsidRDefault="00A226D9" w:rsidP="00042A7F">
      <w:pPr>
        <w:numPr>
          <w:ilvl w:val="0"/>
          <w:numId w:val="14"/>
        </w:num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Leverage High Education Levels for Peer-Based Education</w:t>
      </w:r>
    </w:p>
    <w:p w14:paraId="4FA5EDE8" w14:textId="77777777" w:rsidR="00A226D9" w:rsidRPr="00BE4AF3" w:rsidRDefault="00A226D9" w:rsidP="00042A7F">
      <w:pPr>
        <w:spacing w:after="0" w:line="240" w:lineRule="auto"/>
        <w:ind w:left="720"/>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lastRenderedPageBreak/>
        <w:t>The high prevalence of tertiary-educated residents provides an opportunity to train local health champions or community educators to disseminate accurate environmental health information, especially in informal settlements and this is to be done by the FCT Area Councils Health Department.</w:t>
      </w:r>
    </w:p>
    <w:p w14:paraId="2BA4B1BA" w14:textId="77777777" w:rsidR="00A226D9" w:rsidRPr="00BE4AF3" w:rsidRDefault="00A226D9" w:rsidP="00042A7F">
      <w:pPr>
        <w:numPr>
          <w:ilvl w:val="0"/>
          <w:numId w:val="14"/>
        </w:num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Utilize Multiple Communication Channels</w:t>
      </w:r>
    </w:p>
    <w:p w14:paraId="6842FB3E" w14:textId="77777777" w:rsidR="00A226D9" w:rsidRPr="00BE4AF3" w:rsidRDefault="00A226D9" w:rsidP="00042A7F">
      <w:pPr>
        <w:spacing w:after="0" w:line="240" w:lineRule="auto"/>
        <w:ind w:left="720"/>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FCT Broadcasting Department to lunch awareness campaigns by employing a mix of mass media (radio, television), community outreach (town hall meetings, market sensitisations), and mobile platforms (SMS, WhatsApp) to reach both literate and semi-literate populations effectively.</w:t>
      </w:r>
    </w:p>
    <w:p w14:paraId="6CAD6F15" w14:textId="77777777" w:rsidR="00A226D9" w:rsidRPr="00BE4AF3" w:rsidRDefault="00A226D9" w:rsidP="00042A7F">
      <w:pPr>
        <w:numPr>
          <w:ilvl w:val="0"/>
          <w:numId w:val="14"/>
        </w:num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Integrate Awareness Programs with Urban Upgrading and Health Services</w:t>
      </w:r>
    </w:p>
    <w:p w14:paraId="548B789B" w14:textId="77777777" w:rsidR="00A226D9" w:rsidRPr="00BE4AF3" w:rsidRDefault="00A226D9" w:rsidP="00042A7F">
      <w:pPr>
        <w:spacing w:after="0" w:line="240" w:lineRule="auto"/>
        <w:ind w:left="720"/>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Urban development and upgrading projects should incorporate components on environmental health risk awareness by the FCT Satellite Development Department in conjunction with Area Councils Planning Units. These can be embedded within primary healthcare delivery, water and sanitation programmes, and housing schemes.</w:t>
      </w:r>
    </w:p>
    <w:p w14:paraId="059EB571" w14:textId="77777777" w:rsidR="00A226D9" w:rsidRPr="00BE4AF3" w:rsidRDefault="00A226D9" w:rsidP="00042A7F">
      <w:pPr>
        <w:numPr>
          <w:ilvl w:val="0"/>
          <w:numId w:val="14"/>
        </w:numPr>
        <w:spacing w:after="0" w:line="240" w:lineRule="auto"/>
        <w:jc w:val="both"/>
        <w:rPr>
          <w:rFonts w:ascii="Times New Roman" w:hAnsi="Times New Roman" w:cs="Times New Roman"/>
          <w:kern w:val="2"/>
          <w:sz w:val="24"/>
          <w:szCs w:val="24"/>
          <w14:ligatures w14:val="standardContextual"/>
        </w:rPr>
      </w:pPr>
      <w:r w:rsidRPr="00BE4AF3">
        <w:rPr>
          <w:rFonts w:ascii="Times New Roman" w:eastAsia="Times New Roman" w:hAnsi="Times New Roman" w:cs="Times New Roman"/>
          <w:sz w:val="24"/>
          <w:szCs w:val="24"/>
          <w:lang w:eastAsia="en-GB"/>
        </w:rPr>
        <w:t>Implement Continuous Monitoring and Feedback Mechanisms</w:t>
      </w:r>
    </w:p>
    <w:p w14:paraId="34A36F71" w14:textId="77777777" w:rsidR="00A226D9" w:rsidRPr="00BE4AF3" w:rsidRDefault="00A226D9" w:rsidP="00042A7F">
      <w:pPr>
        <w:spacing w:after="0" w:line="240" w:lineRule="auto"/>
        <w:ind w:left="720"/>
        <w:jc w:val="both"/>
        <w:rPr>
          <w:rFonts w:ascii="Times New Roman" w:hAnsi="Times New Roman" w:cs="Times New Roman"/>
          <w:sz w:val="24"/>
          <w:szCs w:val="24"/>
        </w:rPr>
      </w:pPr>
      <w:r w:rsidRPr="00BE4AF3">
        <w:rPr>
          <w:rFonts w:ascii="Times New Roman" w:eastAsia="Times New Roman" w:hAnsi="Times New Roman" w:cs="Times New Roman"/>
          <w:sz w:val="24"/>
          <w:szCs w:val="24"/>
          <w:lang w:eastAsia="en-GB"/>
        </w:rPr>
        <w:t>All relevant agencies of government are to ensure regular assessments of public awareness and this should be institutionalised to evaluate the effectiveness of environmental health campaigns. Feedback mechanisms such as community reporting platforms or participatory mapping can help identify emerging risks.</w:t>
      </w:r>
    </w:p>
    <w:p w14:paraId="7CF70F26" w14:textId="77777777" w:rsidR="00A226D9" w:rsidRPr="00BE4AF3" w:rsidRDefault="00A226D9" w:rsidP="00A226D9">
      <w:pPr>
        <w:spacing w:after="0"/>
        <w:rPr>
          <w:rFonts w:ascii="Times New Roman" w:hAnsi="Times New Roman" w:cs="Times New Roman"/>
          <w:b/>
          <w:bCs/>
          <w:sz w:val="24"/>
          <w:szCs w:val="24"/>
        </w:rPr>
      </w:pPr>
    </w:p>
    <w:p w14:paraId="6BCA7579" w14:textId="5990D09F" w:rsidR="00A226D9" w:rsidRPr="00042A7F" w:rsidRDefault="00A226D9" w:rsidP="00042A7F">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References</w:t>
      </w:r>
    </w:p>
    <w:p w14:paraId="5109A495" w14:textId="77777777" w:rsidR="00A226D9" w:rsidRPr="00BE4AF3" w:rsidRDefault="00A226D9" w:rsidP="00042A7F">
      <w:pPr>
        <w:pStyle w:val="NoSpacing"/>
        <w:ind w:left="709" w:hanging="709"/>
        <w:rPr>
          <w:rFonts w:ascii="Times New Roman" w:hAnsi="Times New Roman" w:cs="Times New Roman"/>
          <w:i/>
          <w:iCs/>
          <w:sz w:val="24"/>
          <w:shd w:val="clear" w:color="auto" w:fill="FFFFFF"/>
        </w:rPr>
      </w:pPr>
      <w:r w:rsidRPr="00BE4AF3">
        <w:rPr>
          <w:rFonts w:ascii="Times New Roman" w:hAnsi="Times New Roman" w:cs="Times New Roman"/>
          <w:sz w:val="24"/>
          <w:shd w:val="clear" w:color="auto" w:fill="FFFFFF"/>
        </w:rPr>
        <w:t>Adewoyin, I. B., Falegan, A. V., &amp; Yusuff, B. S. (2024). Beyond the inner city: understanding the preference for peri-urban areas in Ibadan, Nigeria. </w:t>
      </w:r>
      <w:r w:rsidRPr="00BE4AF3">
        <w:rPr>
          <w:rFonts w:ascii="Times New Roman" w:hAnsi="Times New Roman" w:cs="Times New Roman"/>
          <w:i/>
          <w:iCs/>
          <w:sz w:val="24"/>
          <w:shd w:val="clear" w:color="auto" w:fill="FFFFFF"/>
        </w:rPr>
        <w:t>International Journal of Environmental Research and Earth Science</w:t>
      </w:r>
      <w:r w:rsidRPr="00BE4AF3">
        <w:rPr>
          <w:rFonts w:ascii="Times New Roman" w:hAnsi="Times New Roman" w:cs="Times New Roman"/>
          <w:sz w:val="24"/>
          <w:shd w:val="clear" w:color="auto" w:fill="FFFFFF"/>
        </w:rPr>
        <w:t>.</w:t>
      </w:r>
    </w:p>
    <w:p w14:paraId="79FBCB41" w14:textId="77777777" w:rsidR="00A226D9" w:rsidRPr="00BE4AF3" w:rsidRDefault="00A226D9" w:rsidP="00A226D9">
      <w:pPr>
        <w:pStyle w:val="NormalWeb"/>
        <w:spacing w:before="0" w:beforeAutospacing="0" w:after="0" w:afterAutospacing="0"/>
        <w:ind w:left="709" w:hanging="709"/>
        <w:jc w:val="both"/>
      </w:pPr>
      <w:r w:rsidRPr="00BE4AF3">
        <w:t xml:space="preserve">Amegah, A. K., &amp; Jaakkola, J. J. (2016). </w:t>
      </w:r>
      <w:r w:rsidRPr="00BE4AF3">
        <w:rPr>
          <w:rStyle w:val="Emphasis"/>
          <w:rFonts w:eastAsiaTheme="majorEastAsia"/>
        </w:rPr>
        <w:t>Household air pollution and the sustainable development goals</w:t>
      </w:r>
      <w:r w:rsidRPr="00BE4AF3">
        <w:t>. Bulletin of the World Health Organization, 94(3), 215–221.</w:t>
      </w:r>
    </w:p>
    <w:p w14:paraId="4BB188BB" w14:textId="77777777" w:rsidR="00A226D9" w:rsidRPr="00BE4AF3" w:rsidRDefault="00A226D9" w:rsidP="00A226D9">
      <w:pPr>
        <w:pStyle w:val="NormalWeb"/>
        <w:spacing w:before="0" w:beforeAutospacing="0" w:after="0" w:afterAutospacing="0"/>
        <w:ind w:left="709" w:hanging="709"/>
        <w:jc w:val="both"/>
      </w:pPr>
      <w:r w:rsidRPr="00BE4AF3">
        <w:t xml:space="preserve">Amy, M., &amp; Tolu, F. (2019). </w:t>
      </w:r>
      <w:r w:rsidRPr="00BE4AF3">
        <w:rPr>
          <w:rStyle w:val="Emphasis"/>
          <w:rFonts w:eastAsiaTheme="majorEastAsia"/>
        </w:rPr>
        <w:t xml:space="preserve">Bridging the knowledge gap in urban environmental risk perception </w:t>
      </w:r>
    </w:p>
    <w:p w14:paraId="74D73B2F" w14:textId="77777777" w:rsidR="00A226D9" w:rsidRPr="00BE4AF3" w:rsidRDefault="00A226D9" w:rsidP="00A226D9">
      <w:pPr>
        <w:pStyle w:val="NormalWeb"/>
        <w:spacing w:before="0" w:beforeAutospacing="0" w:after="0" w:afterAutospacing="0"/>
        <w:ind w:left="709" w:hanging="709"/>
        <w:jc w:val="both"/>
      </w:pPr>
      <w:r w:rsidRPr="00BE4AF3">
        <w:t xml:space="preserve">Ajayi, O., &amp; Olanrewaju, O. (2020). </w:t>
      </w:r>
      <w:r w:rsidRPr="00BE4AF3">
        <w:rPr>
          <w:rStyle w:val="Emphasis"/>
          <w:rFonts w:eastAsiaTheme="majorEastAsia"/>
        </w:rPr>
        <w:t>Urbanization and infrastructure challenges in Nigeria: A review of Abuja's development trajectory</w:t>
      </w:r>
      <w:r w:rsidRPr="00BE4AF3">
        <w:t>. Journal of Urban Research, 15(2), 44–59.</w:t>
      </w:r>
    </w:p>
    <w:p w14:paraId="00065E55" w14:textId="77777777" w:rsidR="00A226D9" w:rsidRPr="00BE4AF3" w:rsidRDefault="00A226D9" w:rsidP="00A226D9">
      <w:pPr>
        <w:pStyle w:val="NoSpacing"/>
        <w:ind w:left="709" w:hanging="709"/>
        <w:rPr>
          <w:rFonts w:ascii="Times New Roman" w:eastAsia="Times New Roman" w:hAnsi="Times New Roman" w:cs="Times New Roman"/>
          <w:kern w:val="0"/>
          <w:sz w:val="24"/>
          <w:lang w:eastAsia="en-GB"/>
        </w:rPr>
      </w:pPr>
      <w:r w:rsidRPr="00BE4AF3">
        <w:rPr>
          <w:rFonts w:ascii="Times New Roman" w:hAnsi="Times New Roman" w:cs="Times New Roman"/>
          <w:sz w:val="24"/>
          <w:shd w:val="clear" w:color="auto" w:fill="FFFFFF"/>
        </w:rPr>
        <w:t>Ajayi, R. O., &amp; Ogunjobi, T. T. (2025). Environmental exposures and cancer risk: a comprehensive review. </w:t>
      </w:r>
      <w:r w:rsidRPr="00BE4AF3">
        <w:rPr>
          <w:rFonts w:ascii="Times New Roman" w:hAnsi="Times New Roman" w:cs="Times New Roman"/>
          <w:i/>
          <w:iCs/>
          <w:sz w:val="24"/>
          <w:shd w:val="clear" w:color="auto" w:fill="FFFFFF"/>
        </w:rPr>
        <w:t>Medinformatics</w:t>
      </w:r>
      <w:r w:rsidRPr="00BE4AF3">
        <w:rPr>
          <w:rFonts w:ascii="Times New Roman" w:hAnsi="Times New Roman" w:cs="Times New Roman"/>
          <w:sz w:val="24"/>
          <w:shd w:val="clear" w:color="auto" w:fill="FFFFFF"/>
        </w:rPr>
        <w:t>, </w:t>
      </w:r>
      <w:r w:rsidRPr="00BE4AF3">
        <w:rPr>
          <w:rFonts w:ascii="Times New Roman" w:hAnsi="Times New Roman" w:cs="Times New Roman"/>
          <w:i/>
          <w:iCs/>
          <w:sz w:val="24"/>
          <w:shd w:val="clear" w:color="auto" w:fill="FFFFFF"/>
        </w:rPr>
        <w:t>2</w:t>
      </w:r>
      <w:r w:rsidRPr="00BE4AF3">
        <w:rPr>
          <w:rFonts w:ascii="Times New Roman" w:hAnsi="Times New Roman" w:cs="Times New Roman"/>
          <w:sz w:val="24"/>
          <w:shd w:val="clear" w:color="auto" w:fill="FFFFFF"/>
        </w:rPr>
        <w:t>(2), 80-92.</w:t>
      </w:r>
    </w:p>
    <w:p w14:paraId="0F5D97DB" w14:textId="77777777" w:rsidR="00A226D9" w:rsidRPr="00BE4AF3" w:rsidRDefault="00A226D9" w:rsidP="00A226D9">
      <w:pPr>
        <w:pStyle w:val="NoSpacing"/>
        <w:ind w:left="709" w:hanging="709"/>
        <w:rPr>
          <w:rFonts w:ascii="Times New Roman" w:hAnsi="Times New Roman" w:cs="Times New Roman"/>
          <w:sz w:val="24"/>
          <w:shd w:val="clear" w:color="auto" w:fill="FFFFFF"/>
        </w:rPr>
      </w:pPr>
      <w:r w:rsidRPr="00BE4AF3">
        <w:rPr>
          <w:rFonts w:ascii="Times New Roman" w:hAnsi="Times New Roman" w:cs="Times New Roman"/>
          <w:sz w:val="24"/>
          <w:shd w:val="clear" w:color="auto" w:fill="FFFFFF"/>
        </w:rPr>
        <w:t>Butt, S., Smith, S. M., Moola, F., &amp; Conway, T. M. (2021). The relationship between knowledge and community engagement in local urban forest governance: A case study examining the role of resident association members in Mississauga, Canada. </w:t>
      </w:r>
      <w:r w:rsidRPr="00BE4AF3">
        <w:rPr>
          <w:rFonts w:ascii="Times New Roman" w:hAnsi="Times New Roman" w:cs="Times New Roman"/>
          <w:i/>
          <w:iCs/>
          <w:sz w:val="24"/>
          <w:shd w:val="clear" w:color="auto" w:fill="FFFFFF"/>
        </w:rPr>
        <w:t>Urban forestry &amp; urban greening</w:t>
      </w:r>
      <w:r w:rsidRPr="00BE4AF3">
        <w:rPr>
          <w:rFonts w:ascii="Times New Roman" w:hAnsi="Times New Roman" w:cs="Times New Roman"/>
          <w:sz w:val="24"/>
          <w:shd w:val="clear" w:color="auto" w:fill="FFFFFF"/>
        </w:rPr>
        <w:t>, </w:t>
      </w:r>
      <w:r w:rsidRPr="00BE4AF3">
        <w:rPr>
          <w:rFonts w:ascii="Times New Roman" w:hAnsi="Times New Roman" w:cs="Times New Roman"/>
          <w:i/>
          <w:iCs/>
          <w:sz w:val="24"/>
          <w:shd w:val="clear" w:color="auto" w:fill="FFFFFF"/>
        </w:rPr>
        <w:t>60</w:t>
      </w:r>
      <w:r w:rsidRPr="00BE4AF3">
        <w:rPr>
          <w:rFonts w:ascii="Times New Roman" w:hAnsi="Times New Roman" w:cs="Times New Roman"/>
          <w:sz w:val="24"/>
          <w:shd w:val="clear" w:color="auto" w:fill="FFFFFF"/>
        </w:rPr>
        <w:t>, 127054.</w:t>
      </w:r>
    </w:p>
    <w:p w14:paraId="14977026" w14:textId="77777777" w:rsidR="00A226D9" w:rsidRPr="00BE4AF3" w:rsidRDefault="00A226D9" w:rsidP="00A226D9">
      <w:pPr>
        <w:pStyle w:val="NoSpacing"/>
        <w:ind w:left="709" w:hanging="709"/>
        <w:rPr>
          <w:rFonts w:ascii="Times New Roman" w:hAnsi="Times New Roman" w:cs="Times New Roman"/>
          <w:sz w:val="24"/>
          <w:shd w:val="clear" w:color="auto" w:fill="FFFFFF"/>
        </w:rPr>
      </w:pPr>
      <w:r w:rsidRPr="00BE4AF3">
        <w:rPr>
          <w:rFonts w:ascii="Times New Roman" w:hAnsi="Times New Roman" w:cs="Times New Roman"/>
          <w:sz w:val="24"/>
          <w:shd w:val="clear" w:color="auto" w:fill="FFFFFF"/>
        </w:rPr>
        <w:t>Carrilho, J., &amp; Trindade, J. (2022). Sustainability in peri-urban informal settlements: a review. </w:t>
      </w:r>
      <w:r w:rsidRPr="00BE4AF3">
        <w:rPr>
          <w:rFonts w:ascii="Times New Roman" w:hAnsi="Times New Roman" w:cs="Times New Roman"/>
          <w:i/>
          <w:iCs/>
          <w:sz w:val="24"/>
          <w:shd w:val="clear" w:color="auto" w:fill="FFFFFF"/>
        </w:rPr>
        <w:t>Sustainability</w:t>
      </w:r>
      <w:r w:rsidRPr="00BE4AF3">
        <w:rPr>
          <w:rFonts w:ascii="Times New Roman" w:hAnsi="Times New Roman" w:cs="Times New Roman"/>
          <w:sz w:val="24"/>
          <w:shd w:val="clear" w:color="auto" w:fill="FFFFFF"/>
        </w:rPr>
        <w:t>, </w:t>
      </w:r>
      <w:r w:rsidRPr="00BE4AF3">
        <w:rPr>
          <w:rFonts w:ascii="Times New Roman" w:hAnsi="Times New Roman" w:cs="Times New Roman"/>
          <w:i/>
          <w:iCs/>
          <w:sz w:val="24"/>
          <w:shd w:val="clear" w:color="auto" w:fill="FFFFFF"/>
        </w:rPr>
        <w:t>14</w:t>
      </w:r>
      <w:r w:rsidRPr="00BE4AF3">
        <w:rPr>
          <w:rFonts w:ascii="Times New Roman" w:hAnsi="Times New Roman" w:cs="Times New Roman"/>
          <w:sz w:val="24"/>
          <w:shd w:val="clear" w:color="auto" w:fill="FFFFFF"/>
        </w:rPr>
        <w:t>(13), 7591.</w:t>
      </w:r>
    </w:p>
    <w:p w14:paraId="10B61CCC" w14:textId="77777777" w:rsidR="00A226D9" w:rsidRPr="00BE4AF3" w:rsidRDefault="00A226D9" w:rsidP="00A226D9">
      <w:pPr>
        <w:pStyle w:val="NormalWeb"/>
        <w:spacing w:before="0" w:beforeAutospacing="0" w:after="0" w:afterAutospacing="0"/>
        <w:ind w:left="709" w:hanging="709"/>
        <w:jc w:val="both"/>
      </w:pPr>
      <w:r w:rsidRPr="00BE4AF3">
        <w:t xml:space="preserve">Ezeh, A., Oyebode, O., Satterthwaite, D. (2017). </w:t>
      </w:r>
      <w:r w:rsidRPr="00BE4AF3">
        <w:rPr>
          <w:rStyle w:val="Emphasis"/>
          <w:rFonts w:eastAsiaTheme="majorEastAsia"/>
        </w:rPr>
        <w:t>The health of people who live in slums 1: The history, geography, and sociology of slums and the health problems of people who live in slums</w:t>
      </w:r>
      <w:r w:rsidRPr="00BE4AF3">
        <w:t>. The Lancet, 389(10068), 547–558.</w:t>
      </w:r>
    </w:p>
    <w:p w14:paraId="357B67DD" w14:textId="77777777" w:rsidR="00A226D9" w:rsidRPr="00BE4AF3" w:rsidRDefault="00A226D9" w:rsidP="00A226D9">
      <w:pPr>
        <w:pStyle w:val="NoSpacing"/>
        <w:ind w:left="709" w:hanging="709"/>
        <w:rPr>
          <w:rFonts w:ascii="Times New Roman" w:hAnsi="Times New Roman" w:cs="Times New Roman"/>
          <w:sz w:val="24"/>
          <w:shd w:val="clear" w:color="auto" w:fill="FFFFFF"/>
        </w:rPr>
      </w:pPr>
      <w:r w:rsidRPr="00BE4AF3">
        <w:rPr>
          <w:rFonts w:ascii="Times New Roman" w:hAnsi="Times New Roman" w:cs="Times New Roman"/>
          <w:sz w:val="24"/>
          <w:shd w:val="clear" w:color="auto" w:fill="FFFFFF"/>
        </w:rPr>
        <w:t>Laddu, D., Paluch, A. E., &amp; LaMonte, M. J. (2021). The role of the built environment in promoting movement and physical activity across the lifespan: Implications for public health. </w:t>
      </w:r>
      <w:r w:rsidRPr="00BE4AF3">
        <w:rPr>
          <w:rFonts w:ascii="Times New Roman" w:hAnsi="Times New Roman" w:cs="Times New Roman"/>
          <w:i/>
          <w:iCs/>
          <w:sz w:val="24"/>
          <w:shd w:val="clear" w:color="auto" w:fill="FFFFFF"/>
        </w:rPr>
        <w:t>Progress in cardiovascular diseases</w:t>
      </w:r>
      <w:r w:rsidRPr="00BE4AF3">
        <w:rPr>
          <w:rFonts w:ascii="Times New Roman" w:hAnsi="Times New Roman" w:cs="Times New Roman"/>
          <w:sz w:val="24"/>
          <w:shd w:val="clear" w:color="auto" w:fill="FFFFFF"/>
        </w:rPr>
        <w:t>, </w:t>
      </w:r>
      <w:r w:rsidRPr="00BE4AF3">
        <w:rPr>
          <w:rFonts w:ascii="Times New Roman" w:hAnsi="Times New Roman" w:cs="Times New Roman"/>
          <w:i/>
          <w:iCs/>
          <w:sz w:val="24"/>
          <w:shd w:val="clear" w:color="auto" w:fill="FFFFFF"/>
        </w:rPr>
        <w:t>64</w:t>
      </w:r>
      <w:r w:rsidRPr="00BE4AF3">
        <w:rPr>
          <w:rFonts w:ascii="Times New Roman" w:hAnsi="Times New Roman" w:cs="Times New Roman"/>
          <w:sz w:val="24"/>
          <w:shd w:val="clear" w:color="auto" w:fill="FFFFFF"/>
        </w:rPr>
        <w:t>, 33-40.</w:t>
      </w:r>
    </w:p>
    <w:p w14:paraId="5A4C61F1" w14:textId="77777777" w:rsidR="00A226D9" w:rsidRPr="00BE4AF3" w:rsidRDefault="00A226D9" w:rsidP="00A226D9">
      <w:pPr>
        <w:pStyle w:val="NormalWeb"/>
        <w:spacing w:before="0" w:beforeAutospacing="0" w:after="0" w:afterAutospacing="0"/>
        <w:ind w:left="709" w:hanging="709"/>
        <w:jc w:val="both"/>
      </w:pPr>
      <w:r w:rsidRPr="00BE4AF3">
        <w:t xml:space="preserve">MacCarthy, J., Osei, G., &amp; Asiedu, K. (2018). </w:t>
      </w:r>
      <w:r w:rsidRPr="00BE4AF3">
        <w:rPr>
          <w:rStyle w:val="Emphasis"/>
          <w:rFonts w:eastAsiaTheme="majorEastAsia"/>
        </w:rPr>
        <w:t>Environmental risk perception and adaptation in urban slums: A study from Ghana</w:t>
      </w:r>
      <w:r w:rsidRPr="00BE4AF3">
        <w:t>. Cities, 72, 15–23.</w:t>
      </w:r>
    </w:p>
    <w:p w14:paraId="3F564E51" w14:textId="77777777" w:rsidR="00A226D9" w:rsidRPr="00BE4AF3" w:rsidRDefault="00A226D9" w:rsidP="00A226D9">
      <w:pPr>
        <w:pStyle w:val="NoSpacing"/>
        <w:ind w:left="709" w:hanging="709"/>
        <w:rPr>
          <w:rFonts w:ascii="Times New Roman" w:hAnsi="Times New Roman" w:cs="Times New Roman"/>
          <w:sz w:val="24"/>
        </w:rPr>
      </w:pPr>
      <w:r w:rsidRPr="00BE4AF3">
        <w:rPr>
          <w:rFonts w:ascii="Times New Roman" w:hAnsi="Times New Roman" w:cs="Times New Roman"/>
          <w:sz w:val="24"/>
        </w:rPr>
        <w:t xml:space="preserve">Mohammed, A., Mwacharo, J., &amp; Rikko, L. (2019). Urban Health Challenges in Sub-Saharan </w:t>
      </w:r>
      <w:r w:rsidRPr="00BE4AF3">
        <w:rPr>
          <w:rFonts w:ascii="Times New Roman" w:hAnsi="Times New Roman" w:cs="Times New Roman"/>
          <w:sz w:val="24"/>
        </w:rPr>
        <w:lastRenderedPageBreak/>
        <w:t>Africa.</w:t>
      </w:r>
    </w:p>
    <w:p w14:paraId="6D074540" w14:textId="77777777" w:rsidR="00A226D9" w:rsidRPr="00BE4AF3" w:rsidRDefault="00A226D9" w:rsidP="00A226D9">
      <w:pPr>
        <w:pStyle w:val="NormalWeb"/>
        <w:spacing w:before="0" w:beforeAutospacing="0" w:after="0" w:afterAutospacing="0"/>
        <w:ind w:left="709" w:hanging="709"/>
        <w:jc w:val="both"/>
      </w:pPr>
      <w:r w:rsidRPr="00BE4AF3">
        <w:t xml:space="preserve">National Bureau of Statistics (NBS). (2021). </w:t>
      </w:r>
      <w:r w:rsidRPr="00BE4AF3">
        <w:rPr>
          <w:rStyle w:val="Emphasis"/>
          <w:rFonts w:eastAsiaTheme="majorEastAsia"/>
        </w:rPr>
        <w:t>Demographic and Health Survey 2020</w:t>
      </w:r>
      <w:r w:rsidRPr="00BE4AF3">
        <w:t>. Abuja: NBS.</w:t>
      </w:r>
    </w:p>
    <w:p w14:paraId="4AF8A18F" w14:textId="77777777" w:rsidR="00A226D9" w:rsidRPr="00BE4AF3" w:rsidRDefault="00A226D9" w:rsidP="00A226D9">
      <w:pPr>
        <w:pStyle w:val="NoSpacing"/>
        <w:ind w:left="709" w:hanging="709"/>
        <w:rPr>
          <w:rFonts w:ascii="Times New Roman" w:hAnsi="Times New Roman" w:cs="Times New Roman"/>
          <w:sz w:val="24"/>
          <w:shd w:val="clear" w:color="auto" w:fill="FFFFFF"/>
        </w:rPr>
      </w:pPr>
      <w:r w:rsidRPr="00BE4AF3">
        <w:rPr>
          <w:rFonts w:ascii="Times New Roman" w:hAnsi="Times New Roman" w:cs="Times New Roman"/>
          <w:sz w:val="24"/>
          <w:shd w:val="clear" w:color="auto" w:fill="FFFFFF"/>
        </w:rPr>
        <w:t>Olorunsogo, T. O., Ogugua, J. O., Muonde, M., Maduka, C. P., &amp; Omotayo, O. (2024). Environmental factors in public health: A review of global challenges and solutions. </w:t>
      </w:r>
      <w:r w:rsidRPr="00BE4AF3">
        <w:rPr>
          <w:rFonts w:ascii="Times New Roman" w:hAnsi="Times New Roman" w:cs="Times New Roman"/>
          <w:i/>
          <w:iCs/>
          <w:sz w:val="24"/>
          <w:shd w:val="clear" w:color="auto" w:fill="FFFFFF"/>
        </w:rPr>
        <w:t>World Journal of Advanced Research and Reviews</w:t>
      </w:r>
      <w:r w:rsidRPr="00BE4AF3">
        <w:rPr>
          <w:rFonts w:ascii="Times New Roman" w:hAnsi="Times New Roman" w:cs="Times New Roman"/>
          <w:sz w:val="24"/>
          <w:shd w:val="clear" w:color="auto" w:fill="FFFFFF"/>
        </w:rPr>
        <w:t>, </w:t>
      </w:r>
      <w:r w:rsidRPr="00BE4AF3">
        <w:rPr>
          <w:rFonts w:ascii="Times New Roman" w:hAnsi="Times New Roman" w:cs="Times New Roman"/>
          <w:i/>
          <w:iCs/>
          <w:sz w:val="24"/>
          <w:shd w:val="clear" w:color="auto" w:fill="FFFFFF"/>
        </w:rPr>
        <w:t>21</w:t>
      </w:r>
      <w:r w:rsidRPr="00BE4AF3">
        <w:rPr>
          <w:rFonts w:ascii="Times New Roman" w:hAnsi="Times New Roman" w:cs="Times New Roman"/>
          <w:sz w:val="24"/>
          <w:shd w:val="clear" w:color="auto" w:fill="FFFFFF"/>
        </w:rPr>
        <w:t>(1), 1453-1466.</w:t>
      </w:r>
    </w:p>
    <w:p w14:paraId="3F5AC7C9" w14:textId="77777777" w:rsidR="00A226D9" w:rsidRPr="00BE4AF3" w:rsidRDefault="00A226D9" w:rsidP="00A226D9">
      <w:pPr>
        <w:pStyle w:val="NoSpacing"/>
        <w:ind w:left="709" w:hanging="709"/>
        <w:rPr>
          <w:rFonts w:ascii="Times New Roman" w:hAnsi="Times New Roman" w:cs="Times New Roman"/>
          <w:sz w:val="24"/>
          <w:shd w:val="clear" w:color="auto" w:fill="FFFFFF"/>
        </w:rPr>
      </w:pPr>
      <w:r w:rsidRPr="00BE4AF3">
        <w:rPr>
          <w:rFonts w:ascii="Times New Roman" w:hAnsi="Times New Roman" w:cs="Times New Roman"/>
          <w:sz w:val="24"/>
          <w:shd w:val="clear" w:color="auto" w:fill="FFFFFF"/>
        </w:rPr>
        <w:t>Rahaman, M. A., Kalam, A., &amp; Al-Mamun, M. (2023). Unplanned urbanization and health risks of Dhaka City in Bangladesh: uncovering the associations between urban environment and public health. </w:t>
      </w:r>
      <w:r w:rsidRPr="00BE4AF3">
        <w:rPr>
          <w:rFonts w:ascii="Times New Roman" w:hAnsi="Times New Roman" w:cs="Times New Roman"/>
          <w:i/>
          <w:iCs/>
          <w:sz w:val="24"/>
          <w:shd w:val="clear" w:color="auto" w:fill="FFFFFF"/>
        </w:rPr>
        <w:t>Frontiers in public health</w:t>
      </w:r>
      <w:r w:rsidRPr="00BE4AF3">
        <w:rPr>
          <w:rFonts w:ascii="Times New Roman" w:hAnsi="Times New Roman" w:cs="Times New Roman"/>
          <w:sz w:val="24"/>
          <w:shd w:val="clear" w:color="auto" w:fill="FFFFFF"/>
        </w:rPr>
        <w:t>, </w:t>
      </w:r>
      <w:r w:rsidRPr="00BE4AF3">
        <w:rPr>
          <w:rFonts w:ascii="Times New Roman" w:hAnsi="Times New Roman" w:cs="Times New Roman"/>
          <w:i/>
          <w:iCs/>
          <w:sz w:val="24"/>
          <w:shd w:val="clear" w:color="auto" w:fill="FFFFFF"/>
        </w:rPr>
        <w:t>11</w:t>
      </w:r>
      <w:r w:rsidRPr="00BE4AF3">
        <w:rPr>
          <w:rFonts w:ascii="Times New Roman" w:hAnsi="Times New Roman" w:cs="Times New Roman"/>
          <w:sz w:val="24"/>
          <w:shd w:val="clear" w:color="auto" w:fill="FFFFFF"/>
        </w:rPr>
        <w:t>, 1269362.</w:t>
      </w:r>
    </w:p>
    <w:p w14:paraId="18AF45E2" w14:textId="77777777" w:rsidR="00A226D9" w:rsidRPr="00BE4AF3" w:rsidRDefault="00A226D9" w:rsidP="00A226D9">
      <w:pPr>
        <w:pStyle w:val="NoSpacing"/>
        <w:ind w:left="709" w:hanging="709"/>
        <w:rPr>
          <w:rFonts w:ascii="Times New Roman" w:hAnsi="Times New Roman" w:cs="Times New Roman"/>
          <w:sz w:val="24"/>
          <w:shd w:val="clear" w:color="auto" w:fill="FFFFFF"/>
        </w:rPr>
      </w:pPr>
      <w:r w:rsidRPr="00BE4AF3">
        <w:rPr>
          <w:rFonts w:ascii="Times New Roman" w:hAnsi="Times New Roman" w:cs="Times New Roman"/>
          <w:sz w:val="24"/>
          <w:shd w:val="clear" w:color="auto" w:fill="FFFFFF"/>
        </w:rPr>
        <w:t>Simiyu, S. N., Kweyu, R. M., Antwi-Agyei, P., &amp; Adjei, K. A. (2020). Barriers and opportunities for cleanliness of shared sanitation facilities in low-income settlements in Kenya. </w:t>
      </w:r>
      <w:r w:rsidRPr="00BE4AF3">
        <w:rPr>
          <w:rFonts w:ascii="Times New Roman" w:hAnsi="Times New Roman" w:cs="Times New Roman"/>
          <w:i/>
          <w:iCs/>
          <w:sz w:val="24"/>
          <w:shd w:val="clear" w:color="auto" w:fill="FFFFFF"/>
        </w:rPr>
        <w:t>BMC Public Health</w:t>
      </w:r>
      <w:r w:rsidRPr="00BE4AF3">
        <w:rPr>
          <w:rFonts w:ascii="Times New Roman" w:hAnsi="Times New Roman" w:cs="Times New Roman"/>
          <w:sz w:val="24"/>
          <w:shd w:val="clear" w:color="auto" w:fill="FFFFFF"/>
        </w:rPr>
        <w:t>, </w:t>
      </w:r>
      <w:r w:rsidRPr="00BE4AF3">
        <w:rPr>
          <w:rFonts w:ascii="Times New Roman" w:hAnsi="Times New Roman" w:cs="Times New Roman"/>
          <w:i/>
          <w:iCs/>
          <w:sz w:val="24"/>
          <w:shd w:val="clear" w:color="auto" w:fill="FFFFFF"/>
        </w:rPr>
        <w:t>20</w:t>
      </w:r>
      <w:r w:rsidRPr="00BE4AF3">
        <w:rPr>
          <w:rFonts w:ascii="Times New Roman" w:hAnsi="Times New Roman" w:cs="Times New Roman"/>
          <w:sz w:val="24"/>
          <w:shd w:val="clear" w:color="auto" w:fill="FFFFFF"/>
        </w:rPr>
        <w:t>(1), 1632.</w:t>
      </w:r>
    </w:p>
    <w:p w14:paraId="1718BD1B" w14:textId="77777777" w:rsidR="00A226D9" w:rsidRPr="00BE4AF3" w:rsidRDefault="00A226D9" w:rsidP="00A226D9">
      <w:pPr>
        <w:pStyle w:val="NormalWeb"/>
        <w:spacing w:before="0" w:beforeAutospacing="0" w:after="0" w:afterAutospacing="0"/>
        <w:ind w:left="709" w:hanging="709"/>
        <w:jc w:val="both"/>
      </w:pPr>
      <w:r w:rsidRPr="00BE4AF3">
        <w:t xml:space="preserve">WHO (2021). </w:t>
      </w:r>
      <w:r w:rsidRPr="00BE4AF3">
        <w:rPr>
          <w:rStyle w:val="Emphasis"/>
          <w:rFonts w:eastAsiaTheme="majorEastAsia"/>
        </w:rPr>
        <w:t>Ambient and household air pollution and health</w:t>
      </w:r>
      <w:r w:rsidRPr="00BE4AF3">
        <w:t>. World Health Organization.</w:t>
      </w:r>
    </w:p>
    <w:p w14:paraId="2B1B6BA8" w14:textId="77777777" w:rsidR="00A226D9" w:rsidRPr="00BE4AF3" w:rsidRDefault="00A226D9" w:rsidP="00A226D9">
      <w:pPr>
        <w:pStyle w:val="NormalWeb"/>
        <w:spacing w:before="0" w:beforeAutospacing="0" w:after="0" w:afterAutospacing="0"/>
        <w:ind w:left="709" w:hanging="709"/>
        <w:jc w:val="both"/>
      </w:pPr>
      <w:r w:rsidRPr="00BE4AF3">
        <w:t xml:space="preserve">UN-Habitat. (2020). </w:t>
      </w:r>
      <w:r w:rsidRPr="00BE4AF3">
        <w:rPr>
          <w:rStyle w:val="Emphasis"/>
          <w:rFonts w:eastAsiaTheme="majorEastAsia"/>
        </w:rPr>
        <w:t>World Cities Report 2020: The Value of Sustainable Urbanization</w:t>
      </w:r>
      <w:r w:rsidRPr="00BE4AF3">
        <w:t>. Nairobi: United Nations Human Settlements Programme.</w:t>
      </w:r>
    </w:p>
    <w:p w14:paraId="55FDE45F" w14:textId="77777777" w:rsidR="00A226D9" w:rsidRPr="00BE4AF3" w:rsidRDefault="00A226D9" w:rsidP="00A226D9">
      <w:pPr>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 xml:space="preserve">UN-Habitat (2022). World Cities Report 2022: Envisaging the future of cities. Nairobi, Kenya: UN-Habitat. </w:t>
      </w:r>
      <w:hyperlink r:id="rId137" w:history="1">
        <w:r w:rsidRPr="00BE4AF3">
          <w:rPr>
            <w:rStyle w:val="Hyperlink"/>
            <w:rFonts w:ascii="Times New Roman" w:hAnsi="Times New Roman" w:cs="Times New Roman"/>
            <w:sz w:val="24"/>
            <w:szCs w:val="24"/>
          </w:rPr>
          <w:t>http://wcr.unhabitat.org</w:t>
        </w:r>
      </w:hyperlink>
      <w:r w:rsidRPr="00BE4AF3">
        <w:rPr>
          <w:rFonts w:ascii="Times New Roman" w:hAnsi="Times New Roman" w:cs="Times New Roman"/>
          <w:sz w:val="24"/>
          <w:szCs w:val="24"/>
        </w:rPr>
        <w:t>.</w:t>
      </w:r>
    </w:p>
    <w:p w14:paraId="082EF046" w14:textId="77777777" w:rsidR="00A226D9" w:rsidRPr="00BE4AF3" w:rsidRDefault="00A226D9" w:rsidP="00A226D9">
      <w:pPr>
        <w:pStyle w:val="NoSpacing"/>
        <w:ind w:left="709" w:hanging="709"/>
        <w:rPr>
          <w:rFonts w:ascii="Times New Roman" w:hAnsi="Times New Roman" w:cs="Times New Roman"/>
          <w:sz w:val="24"/>
          <w:shd w:val="clear" w:color="auto" w:fill="FFFFFF"/>
        </w:rPr>
      </w:pPr>
      <w:r w:rsidRPr="00BE4AF3">
        <w:rPr>
          <w:rFonts w:ascii="Times New Roman" w:hAnsi="Times New Roman" w:cs="Times New Roman"/>
          <w:sz w:val="24"/>
          <w:shd w:val="clear" w:color="auto" w:fill="FFFFFF"/>
        </w:rPr>
        <w:t>Wilkinson, A., Ali, H., Bedford, J., Boonyabancha, S., Connolly, C., Conteh, A. &amp; Whittaker, L. (2020). Local response in health emergencies: key considerations for addressing the COVID-19 pandemic in informal urban settlements. </w:t>
      </w:r>
      <w:r w:rsidRPr="00BE4AF3">
        <w:rPr>
          <w:rFonts w:ascii="Times New Roman" w:hAnsi="Times New Roman" w:cs="Times New Roman"/>
          <w:i/>
          <w:iCs/>
          <w:sz w:val="24"/>
          <w:shd w:val="clear" w:color="auto" w:fill="FFFFFF"/>
        </w:rPr>
        <w:t>Environment and urbanization</w:t>
      </w:r>
      <w:r w:rsidRPr="00BE4AF3">
        <w:rPr>
          <w:rFonts w:ascii="Times New Roman" w:hAnsi="Times New Roman" w:cs="Times New Roman"/>
          <w:sz w:val="24"/>
          <w:shd w:val="clear" w:color="auto" w:fill="FFFFFF"/>
        </w:rPr>
        <w:t>, 095624782092284.</w:t>
      </w:r>
    </w:p>
    <w:p w14:paraId="0BC46627" w14:textId="77777777" w:rsidR="00A226D9" w:rsidRPr="00BE4AF3" w:rsidRDefault="00A226D9" w:rsidP="00A226D9">
      <w:pPr>
        <w:pStyle w:val="NormalWeb"/>
        <w:spacing w:before="0" w:beforeAutospacing="0" w:after="0" w:afterAutospacing="0"/>
        <w:ind w:left="709" w:hanging="709"/>
        <w:jc w:val="both"/>
      </w:pPr>
      <w:r w:rsidRPr="00BE4AF3">
        <w:t xml:space="preserve">World Health Organization (WHO). (2021). </w:t>
      </w:r>
      <w:r w:rsidRPr="00BE4AF3">
        <w:rPr>
          <w:rStyle w:val="Emphasis"/>
          <w:rFonts w:eastAsiaTheme="majorEastAsia"/>
        </w:rPr>
        <w:t>Ambient and household air pollution and health</w:t>
      </w:r>
      <w:r w:rsidRPr="00BE4AF3">
        <w:t>. Geneva: WHO.</w:t>
      </w:r>
    </w:p>
    <w:p w14:paraId="088FACE7" w14:textId="77777777" w:rsidR="00A226D9" w:rsidRPr="00BE4AF3" w:rsidRDefault="00A226D9" w:rsidP="00A226D9">
      <w:pPr>
        <w:pStyle w:val="NoSpacing"/>
        <w:ind w:left="709" w:hanging="709"/>
        <w:rPr>
          <w:rFonts w:ascii="Times New Roman" w:hAnsi="Times New Roman" w:cs="Times New Roman"/>
          <w:sz w:val="24"/>
          <w:shd w:val="clear" w:color="auto" w:fill="FFFFFF"/>
        </w:rPr>
      </w:pPr>
    </w:p>
    <w:p w14:paraId="0AE8DF61" w14:textId="77777777" w:rsidR="00A226D9" w:rsidRDefault="00A226D9" w:rsidP="00A226D9">
      <w:pPr>
        <w:pStyle w:val="NoSpacing"/>
        <w:ind w:left="709" w:hanging="709"/>
        <w:rPr>
          <w:rFonts w:ascii="Times New Roman" w:hAnsi="Times New Roman" w:cs="Times New Roman"/>
          <w:sz w:val="24"/>
          <w:shd w:val="clear" w:color="auto" w:fill="FFFFFF"/>
        </w:rPr>
      </w:pPr>
    </w:p>
    <w:p w14:paraId="23402A25" w14:textId="77777777" w:rsidR="00042A7F" w:rsidRDefault="00042A7F" w:rsidP="00A226D9">
      <w:pPr>
        <w:pStyle w:val="NoSpacing"/>
        <w:ind w:left="709" w:hanging="709"/>
        <w:rPr>
          <w:rFonts w:ascii="Times New Roman" w:hAnsi="Times New Roman" w:cs="Times New Roman"/>
          <w:sz w:val="24"/>
          <w:shd w:val="clear" w:color="auto" w:fill="FFFFFF"/>
        </w:rPr>
      </w:pPr>
    </w:p>
    <w:p w14:paraId="0C80B9D8" w14:textId="77777777" w:rsidR="00042A7F" w:rsidRDefault="00042A7F" w:rsidP="00A226D9">
      <w:pPr>
        <w:pStyle w:val="NoSpacing"/>
        <w:ind w:left="709" w:hanging="709"/>
        <w:rPr>
          <w:rFonts w:ascii="Times New Roman" w:hAnsi="Times New Roman" w:cs="Times New Roman"/>
          <w:sz w:val="24"/>
          <w:shd w:val="clear" w:color="auto" w:fill="FFFFFF"/>
        </w:rPr>
      </w:pPr>
    </w:p>
    <w:p w14:paraId="0A7A9213" w14:textId="77777777" w:rsidR="00042A7F" w:rsidRDefault="00042A7F" w:rsidP="00A226D9">
      <w:pPr>
        <w:pStyle w:val="NoSpacing"/>
        <w:ind w:left="709" w:hanging="709"/>
        <w:rPr>
          <w:rFonts w:ascii="Times New Roman" w:hAnsi="Times New Roman" w:cs="Times New Roman"/>
          <w:sz w:val="24"/>
          <w:shd w:val="clear" w:color="auto" w:fill="FFFFFF"/>
        </w:rPr>
      </w:pPr>
    </w:p>
    <w:p w14:paraId="64AC979D" w14:textId="77777777" w:rsidR="00042A7F" w:rsidRDefault="00042A7F" w:rsidP="00A226D9">
      <w:pPr>
        <w:pStyle w:val="NoSpacing"/>
        <w:ind w:left="709" w:hanging="709"/>
        <w:rPr>
          <w:rFonts w:ascii="Times New Roman" w:hAnsi="Times New Roman" w:cs="Times New Roman"/>
          <w:sz w:val="24"/>
          <w:shd w:val="clear" w:color="auto" w:fill="FFFFFF"/>
        </w:rPr>
      </w:pPr>
    </w:p>
    <w:p w14:paraId="02E41587" w14:textId="77777777" w:rsidR="00042A7F" w:rsidRDefault="00042A7F" w:rsidP="00A226D9">
      <w:pPr>
        <w:pStyle w:val="NoSpacing"/>
        <w:ind w:left="709" w:hanging="709"/>
        <w:rPr>
          <w:rFonts w:ascii="Times New Roman" w:hAnsi="Times New Roman" w:cs="Times New Roman"/>
          <w:sz w:val="24"/>
          <w:shd w:val="clear" w:color="auto" w:fill="FFFFFF"/>
        </w:rPr>
      </w:pPr>
    </w:p>
    <w:p w14:paraId="2B5D05E0" w14:textId="77777777" w:rsidR="00042A7F" w:rsidRDefault="00042A7F" w:rsidP="00A226D9">
      <w:pPr>
        <w:pStyle w:val="NoSpacing"/>
        <w:ind w:left="709" w:hanging="709"/>
        <w:rPr>
          <w:rFonts w:ascii="Times New Roman" w:hAnsi="Times New Roman" w:cs="Times New Roman"/>
          <w:sz w:val="24"/>
          <w:shd w:val="clear" w:color="auto" w:fill="FFFFFF"/>
        </w:rPr>
      </w:pPr>
    </w:p>
    <w:p w14:paraId="4E5D7DE2" w14:textId="77777777" w:rsidR="00042A7F" w:rsidRDefault="00042A7F" w:rsidP="00A226D9">
      <w:pPr>
        <w:pStyle w:val="NoSpacing"/>
        <w:ind w:left="709" w:hanging="709"/>
        <w:rPr>
          <w:rFonts w:ascii="Times New Roman" w:hAnsi="Times New Roman" w:cs="Times New Roman"/>
          <w:sz w:val="24"/>
          <w:shd w:val="clear" w:color="auto" w:fill="FFFFFF"/>
        </w:rPr>
      </w:pPr>
    </w:p>
    <w:p w14:paraId="3D0E8C2D" w14:textId="77777777" w:rsidR="00042A7F" w:rsidRDefault="00042A7F" w:rsidP="00A226D9">
      <w:pPr>
        <w:pStyle w:val="NoSpacing"/>
        <w:ind w:left="709" w:hanging="709"/>
        <w:rPr>
          <w:rFonts w:ascii="Times New Roman" w:hAnsi="Times New Roman" w:cs="Times New Roman"/>
          <w:sz w:val="24"/>
          <w:shd w:val="clear" w:color="auto" w:fill="FFFFFF"/>
        </w:rPr>
      </w:pPr>
    </w:p>
    <w:p w14:paraId="7AD7EF20" w14:textId="77777777" w:rsidR="00042A7F" w:rsidRDefault="00042A7F" w:rsidP="00A226D9">
      <w:pPr>
        <w:pStyle w:val="NoSpacing"/>
        <w:ind w:left="709" w:hanging="709"/>
        <w:rPr>
          <w:rFonts w:ascii="Times New Roman" w:hAnsi="Times New Roman" w:cs="Times New Roman"/>
          <w:sz w:val="24"/>
          <w:shd w:val="clear" w:color="auto" w:fill="FFFFFF"/>
        </w:rPr>
      </w:pPr>
    </w:p>
    <w:p w14:paraId="42BD940B" w14:textId="77777777" w:rsidR="00042A7F" w:rsidRDefault="00042A7F" w:rsidP="00A226D9">
      <w:pPr>
        <w:pStyle w:val="NoSpacing"/>
        <w:ind w:left="709" w:hanging="709"/>
        <w:rPr>
          <w:rFonts w:ascii="Times New Roman" w:hAnsi="Times New Roman" w:cs="Times New Roman"/>
          <w:sz w:val="24"/>
          <w:shd w:val="clear" w:color="auto" w:fill="FFFFFF"/>
        </w:rPr>
      </w:pPr>
    </w:p>
    <w:p w14:paraId="5C90FB22" w14:textId="77777777" w:rsidR="00042A7F" w:rsidRDefault="00042A7F" w:rsidP="00A226D9">
      <w:pPr>
        <w:pStyle w:val="NoSpacing"/>
        <w:ind w:left="709" w:hanging="709"/>
        <w:rPr>
          <w:rFonts w:ascii="Times New Roman" w:hAnsi="Times New Roman" w:cs="Times New Roman"/>
          <w:sz w:val="24"/>
          <w:shd w:val="clear" w:color="auto" w:fill="FFFFFF"/>
        </w:rPr>
      </w:pPr>
    </w:p>
    <w:p w14:paraId="17A05B5A" w14:textId="77777777" w:rsidR="00042A7F" w:rsidRDefault="00042A7F" w:rsidP="00A226D9">
      <w:pPr>
        <w:pStyle w:val="NoSpacing"/>
        <w:ind w:left="709" w:hanging="709"/>
        <w:rPr>
          <w:rFonts w:ascii="Times New Roman" w:hAnsi="Times New Roman" w:cs="Times New Roman"/>
          <w:sz w:val="24"/>
          <w:shd w:val="clear" w:color="auto" w:fill="FFFFFF"/>
        </w:rPr>
      </w:pPr>
    </w:p>
    <w:p w14:paraId="301D1AFF" w14:textId="77777777" w:rsidR="00042A7F" w:rsidRDefault="00042A7F" w:rsidP="00A226D9">
      <w:pPr>
        <w:pStyle w:val="NoSpacing"/>
        <w:ind w:left="709" w:hanging="709"/>
        <w:rPr>
          <w:rFonts w:ascii="Times New Roman" w:hAnsi="Times New Roman" w:cs="Times New Roman"/>
          <w:sz w:val="24"/>
          <w:shd w:val="clear" w:color="auto" w:fill="FFFFFF"/>
        </w:rPr>
      </w:pPr>
    </w:p>
    <w:p w14:paraId="389BE510" w14:textId="77777777" w:rsidR="00042A7F" w:rsidRDefault="00042A7F" w:rsidP="00A226D9">
      <w:pPr>
        <w:pStyle w:val="NoSpacing"/>
        <w:ind w:left="709" w:hanging="709"/>
        <w:rPr>
          <w:rFonts w:ascii="Times New Roman" w:hAnsi="Times New Roman" w:cs="Times New Roman"/>
          <w:sz w:val="24"/>
          <w:shd w:val="clear" w:color="auto" w:fill="FFFFFF"/>
        </w:rPr>
      </w:pPr>
    </w:p>
    <w:p w14:paraId="1978BD38" w14:textId="77777777" w:rsidR="00042A7F" w:rsidRDefault="00042A7F" w:rsidP="00A226D9">
      <w:pPr>
        <w:pStyle w:val="NoSpacing"/>
        <w:ind w:left="709" w:hanging="709"/>
        <w:rPr>
          <w:rFonts w:ascii="Times New Roman" w:hAnsi="Times New Roman" w:cs="Times New Roman"/>
          <w:sz w:val="24"/>
          <w:shd w:val="clear" w:color="auto" w:fill="FFFFFF"/>
        </w:rPr>
      </w:pPr>
    </w:p>
    <w:p w14:paraId="3DE4D84D" w14:textId="77777777" w:rsidR="00042A7F" w:rsidRDefault="00042A7F" w:rsidP="00A226D9">
      <w:pPr>
        <w:pStyle w:val="NoSpacing"/>
        <w:ind w:left="709" w:hanging="709"/>
        <w:rPr>
          <w:rFonts w:ascii="Times New Roman" w:hAnsi="Times New Roman" w:cs="Times New Roman"/>
          <w:sz w:val="24"/>
          <w:shd w:val="clear" w:color="auto" w:fill="FFFFFF"/>
        </w:rPr>
      </w:pPr>
    </w:p>
    <w:p w14:paraId="445E5D90" w14:textId="77777777" w:rsidR="00042A7F" w:rsidRDefault="00042A7F" w:rsidP="00A226D9">
      <w:pPr>
        <w:pStyle w:val="NoSpacing"/>
        <w:ind w:left="709" w:hanging="709"/>
        <w:rPr>
          <w:rFonts w:ascii="Times New Roman" w:hAnsi="Times New Roman" w:cs="Times New Roman"/>
          <w:sz w:val="24"/>
          <w:shd w:val="clear" w:color="auto" w:fill="FFFFFF"/>
        </w:rPr>
      </w:pPr>
    </w:p>
    <w:p w14:paraId="50DC0B7E" w14:textId="77777777" w:rsidR="00042A7F" w:rsidRDefault="00042A7F" w:rsidP="00A226D9">
      <w:pPr>
        <w:pStyle w:val="NoSpacing"/>
        <w:ind w:left="709" w:hanging="709"/>
        <w:rPr>
          <w:rFonts w:ascii="Times New Roman" w:hAnsi="Times New Roman" w:cs="Times New Roman"/>
          <w:sz w:val="24"/>
          <w:shd w:val="clear" w:color="auto" w:fill="FFFFFF"/>
        </w:rPr>
      </w:pPr>
    </w:p>
    <w:p w14:paraId="50F4EED8" w14:textId="77777777" w:rsidR="00042A7F" w:rsidRDefault="00042A7F" w:rsidP="00A226D9">
      <w:pPr>
        <w:pStyle w:val="NoSpacing"/>
        <w:ind w:left="709" w:hanging="709"/>
        <w:rPr>
          <w:rFonts w:ascii="Times New Roman" w:hAnsi="Times New Roman" w:cs="Times New Roman"/>
          <w:sz w:val="24"/>
          <w:shd w:val="clear" w:color="auto" w:fill="FFFFFF"/>
        </w:rPr>
      </w:pPr>
    </w:p>
    <w:p w14:paraId="294D822E" w14:textId="77777777" w:rsidR="00042A7F" w:rsidRDefault="00042A7F" w:rsidP="00A226D9">
      <w:pPr>
        <w:pStyle w:val="NoSpacing"/>
        <w:ind w:left="709" w:hanging="709"/>
        <w:rPr>
          <w:rFonts w:ascii="Times New Roman" w:hAnsi="Times New Roman" w:cs="Times New Roman"/>
          <w:sz w:val="24"/>
          <w:shd w:val="clear" w:color="auto" w:fill="FFFFFF"/>
        </w:rPr>
      </w:pPr>
    </w:p>
    <w:p w14:paraId="172B946C" w14:textId="77777777" w:rsidR="00042A7F" w:rsidRDefault="00042A7F" w:rsidP="00A226D9">
      <w:pPr>
        <w:pStyle w:val="NoSpacing"/>
        <w:ind w:left="709" w:hanging="709"/>
        <w:rPr>
          <w:rFonts w:ascii="Times New Roman" w:hAnsi="Times New Roman" w:cs="Times New Roman"/>
          <w:sz w:val="24"/>
          <w:shd w:val="clear" w:color="auto" w:fill="FFFFFF"/>
        </w:rPr>
      </w:pPr>
    </w:p>
    <w:p w14:paraId="0A56A724" w14:textId="77777777" w:rsidR="00042A7F" w:rsidRPr="00BE4AF3" w:rsidRDefault="00042A7F" w:rsidP="00A226D9">
      <w:pPr>
        <w:pStyle w:val="NoSpacing"/>
        <w:ind w:left="709" w:hanging="709"/>
        <w:rPr>
          <w:rFonts w:ascii="Times New Roman" w:hAnsi="Times New Roman" w:cs="Times New Roman"/>
          <w:sz w:val="24"/>
          <w:shd w:val="clear" w:color="auto" w:fill="FFFFFF"/>
        </w:rPr>
      </w:pPr>
    </w:p>
    <w:p w14:paraId="22CE4E54" w14:textId="77777777" w:rsidR="00BB2D51" w:rsidRPr="00042A7F" w:rsidRDefault="00BB2D51" w:rsidP="00BB2D51">
      <w:pPr>
        <w:pStyle w:val="CommentText"/>
        <w:spacing w:after="0"/>
        <w:jc w:val="center"/>
        <w:rPr>
          <w:rFonts w:ascii="Times New Roman" w:hAnsi="Times New Roman"/>
          <w:b/>
          <w:sz w:val="28"/>
          <w:szCs w:val="28"/>
        </w:rPr>
      </w:pPr>
      <w:r w:rsidRPr="00042A7F">
        <w:rPr>
          <w:rFonts w:ascii="Times New Roman" w:hAnsi="Times New Roman"/>
          <w:b/>
          <w:sz w:val="28"/>
          <w:szCs w:val="28"/>
        </w:rPr>
        <w:lastRenderedPageBreak/>
        <w:t>Determination of Rental Value of Shopping Mall Property in Lagos Metropolis, Nigeria</w:t>
      </w:r>
    </w:p>
    <w:p w14:paraId="5F9FA7EF" w14:textId="77777777" w:rsidR="00BB2D51" w:rsidRPr="00BE4AF3" w:rsidRDefault="00BB2D51" w:rsidP="00BB2D51">
      <w:pPr>
        <w:pStyle w:val="CommentText"/>
        <w:spacing w:after="0"/>
        <w:jc w:val="center"/>
        <w:rPr>
          <w:rFonts w:ascii="Times New Roman" w:hAnsi="Times New Roman"/>
          <w:b/>
          <w:sz w:val="24"/>
          <w:szCs w:val="24"/>
        </w:rPr>
      </w:pPr>
    </w:p>
    <w:p w14:paraId="0AFA573E" w14:textId="77777777" w:rsidR="00BB2D51" w:rsidRPr="00BE4AF3" w:rsidRDefault="00BB2D51" w:rsidP="00BB2D51">
      <w:pPr>
        <w:pStyle w:val="CommentText"/>
        <w:spacing w:after="0"/>
        <w:jc w:val="center"/>
        <w:rPr>
          <w:rFonts w:ascii="Times New Roman" w:hAnsi="Times New Roman"/>
          <w:sz w:val="24"/>
          <w:szCs w:val="24"/>
        </w:rPr>
      </w:pPr>
      <w:r w:rsidRPr="00BE4AF3">
        <w:rPr>
          <w:rFonts w:ascii="Times New Roman" w:hAnsi="Times New Roman"/>
          <w:sz w:val="24"/>
          <w:szCs w:val="24"/>
          <w:vertAlign w:val="superscript"/>
        </w:rPr>
        <w:t>1*</w:t>
      </w:r>
      <w:r w:rsidRPr="00BE4AF3">
        <w:rPr>
          <w:rFonts w:ascii="Times New Roman" w:hAnsi="Times New Roman"/>
          <w:sz w:val="24"/>
          <w:szCs w:val="24"/>
        </w:rPr>
        <w:t xml:space="preserve">Ayodele Awoyera, </w:t>
      </w:r>
      <w:r w:rsidRPr="00BE4AF3">
        <w:rPr>
          <w:rFonts w:ascii="Times New Roman" w:hAnsi="Times New Roman"/>
          <w:sz w:val="24"/>
          <w:szCs w:val="24"/>
          <w:vertAlign w:val="superscript"/>
        </w:rPr>
        <w:t>2</w:t>
      </w:r>
      <w:r w:rsidRPr="00BE4AF3">
        <w:rPr>
          <w:rFonts w:ascii="Times New Roman" w:hAnsi="Times New Roman"/>
          <w:sz w:val="24"/>
          <w:szCs w:val="24"/>
        </w:rPr>
        <w:t xml:space="preserve">Oluseyi Adegoke, </w:t>
      </w:r>
      <w:r w:rsidRPr="00BE4AF3">
        <w:rPr>
          <w:rFonts w:ascii="Times New Roman" w:hAnsi="Times New Roman"/>
          <w:sz w:val="24"/>
          <w:szCs w:val="24"/>
          <w:vertAlign w:val="superscript"/>
        </w:rPr>
        <w:t>2</w:t>
      </w:r>
      <w:r w:rsidRPr="00BE4AF3">
        <w:rPr>
          <w:rFonts w:ascii="Times New Roman" w:hAnsi="Times New Roman"/>
          <w:sz w:val="24"/>
          <w:szCs w:val="24"/>
        </w:rPr>
        <w:t xml:space="preserve">Benjamin Ekemode, </w:t>
      </w:r>
      <w:r w:rsidRPr="00BE4AF3">
        <w:rPr>
          <w:rFonts w:ascii="Times New Roman" w:hAnsi="Times New Roman"/>
          <w:sz w:val="24"/>
          <w:szCs w:val="24"/>
          <w:vertAlign w:val="superscript"/>
        </w:rPr>
        <w:t xml:space="preserve">2 </w:t>
      </w:r>
      <w:r w:rsidRPr="00BE4AF3">
        <w:rPr>
          <w:rFonts w:ascii="Times New Roman" w:hAnsi="Times New Roman"/>
          <w:sz w:val="24"/>
          <w:szCs w:val="24"/>
        </w:rPr>
        <w:t>Bioye Aluko,</w:t>
      </w:r>
    </w:p>
    <w:p w14:paraId="40F189B7" w14:textId="77777777" w:rsidR="00BB2D51" w:rsidRPr="00BE4AF3" w:rsidRDefault="00BB2D51" w:rsidP="00BB2D51">
      <w:pPr>
        <w:pStyle w:val="CommentText"/>
        <w:spacing w:after="0"/>
        <w:jc w:val="center"/>
        <w:rPr>
          <w:rFonts w:ascii="Times New Roman" w:hAnsi="Times New Roman"/>
          <w:sz w:val="24"/>
          <w:szCs w:val="24"/>
        </w:rPr>
      </w:pPr>
      <w:r w:rsidRPr="00BE4AF3">
        <w:rPr>
          <w:rFonts w:ascii="Times New Roman" w:hAnsi="Times New Roman"/>
          <w:sz w:val="24"/>
          <w:szCs w:val="24"/>
        </w:rPr>
        <w:t xml:space="preserve"> </w:t>
      </w:r>
      <w:r w:rsidRPr="00BE4AF3">
        <w:rPr>
          <w:rFonts w:ascii="Times New Roman" w:hAnsi="Times New Roman"/>
          <w:sz w:val="24"/>
          <w:szCs w:val="24"/>
          <w:vertAlign w:val="superscript"/>
        </w:rPr>
        <w:t>5</w:t>
      </w:r>
      <w:r w:rsidRPr="00BE4AF3">
        <w:rPr>
          <w:rFonts w:ascii="Times New Roman" w:hAnsi="Times New Roman"/>
          <w:sz w:val="24"/>
          <w:szCs w:val="24"/>
        </w:rPr>
        <w:t>Joshua Adeboye</w:t>
      </w:r>
    </w:p>
    <w:p w14:paraId="0D3D010F" w14:textId="77777777" w:rsidR="00BB2D51" w:rsidRPr="00BE4AF3" w:rsidRDefault="00BB2D51" w:rsidP="00BB2D51">
      <w:pPr>
        <w:pStyle w:val="CommentText"/>
        <w:spacing w:after="0"/>
        <w:jc w:val="center"/>
        <w:rPr>
          <w:rFonts w:ascii="Times New Roman" w:hAnsi="Times New Roman"/>
          <w:b/>
          <w:sz w:val="24"/>
          <w:szCs w:val="24"/>
        </w:rPr>
      </w:pPr>
    </w:p>
    <w:p w14:paraId="785E4C2D" w14:textId="77777777" w:rsidR="00BB2D51" w:rsidRPr="00042A7F" w:rsidRDefault="00BB2D51" w:rsidP="00BB2D51">
      <w:pPr>
        <w:pStyle w:val="CommentText"/>
        <w:spacing w:after="0"/>
        <w:jc w:val="center"/>
        <w:rPr>
          <w:rFonts w:ascii="Times New Roman" w:hAnsi="Times New Roman"/>
          <w:bCs/>
        </w:rPr>
      </w:pPr>
      <w:r w:rsidRPr="00042A7F">
        <w:rPr>
          <w:rFonts w:ascii="Times New Roman" w:hAnsi="Times New Roman"/>
          <w:bCs/>
          <w:vertAlign w:val="superscript"/>
        </w:rPr>
        <w:t>1</w:t>
      </w:r>
      <w:r w:rsidRPr="00042A7F">
        <w:rPr>
          <w:rFonts w:ascii="Times New Roman" w:hAnsi="Times New Roman"/>
          <w:bCs/>
        </w:rPr>
        <w:t>Department of Estate Management, Osun State University, Osogbo, Osun State, Nigeria</w:t>
      </w:r>
    </w:p>
    <w:p w14:paraId="549D4F3C" w14:textId="77777777" w:rsidR="00BB2D51" w:rsidRPr="00042A7F" w:rsidRDefault="00BB2D51" w:rsidP="00BB2D51">
      <w:pPr>
        <w:pStyle w:val="CommentText"/>
        <w:spacing w:after="0"/>
        <w:jc w:val="center"/>
        <w:rPr>
          <w:rFonts w:ascii="Times New Roman" w:hAnsi="Times New Roman"/>
          <w:bCs/>
        </w:rPr>
      </w:pPr>
      <w:r w:rsidRPr="00042A7F">
        <w:rPr>
          <w:rFonts w:ascii="Times New Roman" w:hAnsi="Times New Roman"/>
          <w:bCs/>
          <w:vertAlign w:val="superscript"/>
        </w:rPr>
        <w:t>2</w:t>
      </w:r>
      <w:r w:rsidRPr="00042A7F">
        <w:rPr>
          <w:rFonts w:ascii="Times New Roman" w:hAnsi="Times New Roman"/>
          <w:bCs/>
        </w:rPr>
        <w:t>Department of Estate Management, Obafemi Awolowo University, Ile-Ife, Osun State, Nigeria</w:t>
      </w:r>
    </w:p>
    <w:p w14:paraId="31F5986D" w14:textId="77777777" w:rsidR="00BB2D51" w:rsidRPr="00042A7F" w:rsidRDefault="00BB2D51" w:rsidP="00BB2D51">
      <w:pPr>
        <w:pStyle w:val="CommentText"/>
        <w:spacing w:after="0"/>
        <w:jc w:val="center"/>
        <w:rPr>
          <w:rFonts w:ascii="Times New Roman" w:hAnsi="Times New Roman"/>
          <w:bCs/>
        </w:rPr>
      </w:pPr>
    </w:p>
    <w:p w14:paraId="35E54917" w14:textId="77777777" w:rsidR="00BB2D51" w:rsidRPr="00042A7F" w:rsidRDefault="00BB2D51" w:rsidP="00BB2D51">
      <w:pPr>
        <w:autoSpaceDE w:val="0"/>
        <w:autoSpaceDN w:val="0"/>
        <w:adjustRightInd w:val="0"/>
        <w:spacing w:after="0" w:line="240" w:lineRule="auto"/>
        <w:jc w:val="center"/>
        <w:rPr>
          <w:rStyle w:val="Hyperlink"/>
          <w:rFonts w:ascii="Times New Roman" w:hAnsi="Times New Roman" w:cs="Times New Roman"/>
          <w:bCs/>
          <w:color w:val="auto"/>
          <w:sz w:val="20"/>
          <w:szCs w:val="20"/>
          <w:u w:val="none"/>
        </w:rPr>
      </w:pPr>
      <w:r w:rsidRPr="00042A7F">
        <w:rPr>
          <w:rFonts w:ascii="Times New Roman" w:hAnsi="Times New Roman" w:cs="Times New Roman"/>
          <w:bCs/>
          <w:sz w:val="20"/>
          <w:szCs w:val="20"/>
        </w:rPr>
        <w:t xml:space="preserve">*Corresponding author: </w:t>
      </w:r>
      <w:hyperlink r:id="rId138" w:history="1">
        <w:r w:rsidRPr="00042A7F">
          <w:rPr>
            <w:rStyle w:val="Hyperlink"/>
            <w:rFonts w:ascii="Times New Roman" w:hAnsi="Times New Roman" w:cs="Times New Roman"/>
            <w:bCs/>
            <w:color w:val="auto"/>
            <w:sz w:val="20"/>
            <w:szCs w:val="20"/>
            <w:u w:val="none"/>
          </w:rPr>
          <w:t>ayodele.awoyera@uniosun.edu.ng</w:t>
        </w:r>
      </w:hyperlink>
      <w:r w:rsidRPr="00042A7F">
        <w:rPr>
          <w:rStyle w:val="Hyperlink"/>
          <w:rFonts w:ascii="Times New Roman" w:hAnsi="Times New Roman" w:cs="Times New Roman"/>
          <w:bCs/>
          <w:color w:val="auto"/>
          <w:sz w:val="20"/>
          <w:szCs w:val="20"/>
          <w:u w:val="none"/>
        </w:rPr>
        <w:t xml:space="preserve"> </w:t>
      </w:r>
    </w:p>
    <w:p w14:paraId="3831D9BD" w14:textId="77777777" w:rsidR="00BB2D51" w:rsidRPr="00042A7F" w:rsidRDefault="00BB2D51" w:rsidP="00BB2D51">
      <w:pPr>
        <w:autoSpaceDE w:val="0"/>
        <w:autoSpaceDN w:val="0"/>
        <w:adjustRightInd w:val="0"/>
        <w:spacing w:after="0" w:line="240" w:lineRule="auto"/>
        <w:jc w:val="center"/>
        <w:rPr>
          <w:rFonts w:ascii="Times New Roman" w:hAnsi="Times New Roman" w:cs="Times New Roman"/>
          <w:bCs/>
          <w:sz w:val="20"/>
          <w:szCs w:val="20"/>
        </w:rPr>
      </w:pPr>
      <w:r w:rsidRPr="00042A7F">
        <w:rPr>
          <w:rFonts w:ascii="Times New Roman" w:hAnsi="Times New Roman" w:cs="Times New Roman"/>
          <w:bCs/>
          <w:sz w:val="20"/>
          <w:szCs w:val="20"/>
        </w:rPr>
        <w:t>Phone number: 08060020362</w:t>
      </w:r>
    </w:p>
    <w:p w14:paraId="6B7AEE17" w14:textId="77777777" w:rsidR="00BB2D51" w:rsidRPr="00BE4AF3" w:rsidRDefault="00BB2D51" w:rsidP="00BB2D51">
      <w:pPr>
        <w:pStyle w:val="CommentText"/>
        <w:spacing w:after="0"/>
        <w:jc w:val="center"/>
        <w:rPr>
          <w:rFonts w:ascii="Times New Roman" w:hAnsi="Times New Roman"/>
          <w:bCs/>
          <w:sz w:val="24"/>
          <w:szCs w:val="24"/>
        </w:rPr>
      </w:pPr>
    </w:p>
    <w:p w14:paraId="660CDEAA" w14:textId="77777777" w:rsidR="00BB2D51" w:rsidRPr="00BE4AF3" w:rsidRDefault="00BB2D51" w:rsidP="00BB2D51">
      <w:pPr>
        <w:spacing w:after="0" w:line="240" w:lineRule="auto"/>
        <w:contextualSpacing/>
        <w:jc w:val="both"/>
        <w:rPr>
          <w:rFonts w:ascii="Times New Roman" w:hAnsi="Times New Roman" w:cs="Times New Roman"/>
          <w:b/>
          <w:bCs/>
          <w:sz w:val="24"/>
          <w:szCs w:val="24"/>
        </w:rPr>
      </w:pPr>
      <w:r w:rsidRPr="00BE4AF3">
        <w:rPr>
          <w:rFonts w:ascii="Times New Roman" w:hAnsi="Times New Roman" w:cs="Times New Roman"/>
          <w:b/>
          <w:bCs/>
          <w:sz w:val="24"/>
          <w:szCs w:val="24"/>
        </w:rPr>
        <w:t>LICFES 2025-041 – FP21</w:t>
      </w:r>
    </w:p>
    <w:p w14:paraId="16C718C5" w14:textId="77777777" w:rsidR="00BB2D51" w:rsidRPr="00BE4AF3" w:rsidRDefault="00BB2D51" w:rsidP="00BB2D51">
      <w:pPr>
        <w:spacing w:after="0" w:line="240" w:lineRule="auto"/>
        <w:contextualSpacing/>
        <w:jc w:val="both"/>
        <w:rPr>
          <w:rFonts w:ascii="Times New Roman" w:hAnsi="Times New Roman" w:cs="Times New Roman"/>
          <w:bCs/>
          <w:sz w:val="24"/>
          <w:szCs w:val="24"/>
        </w:rPr>
      </w:pPr>
      <w:r w:rsidRPr="00BE4AF3">
        <w:rPr>
          <w:rFonts w:ascii="Times New Roman" w:hAnsi="Times New Roman" w:cs="Times New Roman"/>
          <w:b/>
          <w:bCs/>
          <w:sz w:val="24"/>
          <w:szCs w:val="24"/>
        </w:rPr>
        <w:t>Abstract</w:t>
      </w:r>
      <w:r w:rsidRPr="00BE4AF3">
        <w:rPr>
          <w:rFonts w:ascii="Times New Roman" w:hAnsi="Times New Roman" w:cs="Times New Roman"/>
          <w:bCs/>
          <w:sz w:val="24"/>
          <w:szCs w:val="24"/>
        </w:rPr>
        <w:t xml:space="preserve"> </w:t>
      </w:r>
    </w:p>
    <w:p w14:paraId="6F0DFE74" w14:textId="77777777" w:rsidR="00BB2D51" w:rsidRPr="00BE4AF3" w:rsidRDefault="00BB2D51" w:rsidP="00BB2D51">
      <w:pPr>
        <w:spacing w:after="0" w:line="240" w:lineRule="auto"/>
        <w:contextualSpacing/>
        <w:jc w:val="both"/>
        <w:rPr>
          <w:rFonts w:ascii="Times New Roman" w:hAnsi="Times New Roman" w:cs="Times New Roman"/>
          <w:bCs/>
          <w:iCs/>
          <w:sz w:val="24"/>
          <w:szCs w:val="24"/>
        </w:rPr>
      </w:pPr>
      <w:r w:rsidRPr="00BE4AF3">
        <w:rPr>
          <w:rFonts w:ascii="Times New Roman" w:hAnsi="Times New Roman" w:cs="Times New Roman"/>
          <w:bCs/>
          <w:iCs/>
          <w:sz w:val="24"/>
          <w:szCs w:val="24"/>
        </w:rPr>
        <w:t xml:space="preserve">The aim of the study is to examine the rental value of shopping malls property in Lagos Metropolis, with a view to providing information that could guide investors and improve commercial property investment decision making in the study area. The specific objectives are to examine the types of shopping malls in the study area; and to determine the rental value of shopping malls in the study area from 2012 to 2023. The research design of this study will be quantitative research approach. It is believed that this approach will provide adequate information about the study. For data collection, structured questionnaires were administered to Estate Surveyors and Valuers in Lagos. A total of 208 ESVs was selected. Data was analysed using descriptive and inferential statistics. In summary, the result of the analysis further revealed that in Lagos property market, neighborhood malls (4.93) and outlet malls (4.800 are investment in a very high quantity. However, respondents were neutral about the extent of investment in strip malls (3.41) and regional malls (2.57). The result further established that super-regional malls (2.21) were invested in low quantity in the study area. The result further shows that strip shopping mall has average rental values per square meters was N20,395 for Lagos property market and neighborhood shopping mall, the average rental value per square meters for Lagos property market was N13,280. The result of the analysis revealed that in Lagos property market, the respondents opined that the feasibility of the market (4.98), potential of location (4.68) were agreed by respondents to have influence on the rental value of shopping mall investment. The study concludes that in Lagos property market, an investor looking into shopping malls investment, could consider investing in strip and neighborhood shopping malls above other types considering the movement in the rental values of these types of shopping malls from 2012 to 2023. </w:t>
      </w:r>
    </w:p>
    <w:p w14:paraId="06E78D86" w14:textId="77777777" w:rsidR="00BB2D51" w:rsidRPr="00BE4AF3" w:rsidRDefault="00BB2D51" w:rsidP="00BB2D51">
      <w:pPr>
        <w:spacing w:after="0" w:line="240" w:lineRule="auto"/>
        <w:contextualSpacing/>
        <w:jc w:val="both"/>
        <w:rPr>
          <w:rFonts w:ascii="Times New Roman" w:hAnsi="Times New Roman" w:cs="Times New Roman"/>
          <w:bCs/>
          <w:iCs/>
          <w:sz w:val="24"/>
          <w:szCs w:val="24"/>
        </w:rPr>
      </w:pPr>
    </w:p>
    <w:p w14:paraId="7C2CF803" w14:textId="77777777" w:rsidR="00BB2D51" w:rsidRPr="00BE4AF3" w:rsidRDefault="00BB2D51" w:rsidP="00BB2D51">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 xml:space="preserve">Keywords: </w:t>
      </w:r>
      <w:r w:rsidRPr="00BE4AF3">
        <w:rPr>
          <w:rFonts w:ascii="Times New Roman" w:hAnsi="Times New Roman" w:cs="Times New Roman"/>
          <w:sz w:val="24"/>
          <w:szCs w:val="24"/>
        </w:rPr>
        <w:t>Shopping mall property, Commercial property, Rental value, Determination, Investments.</w:t>
      </w:r>
    </w:p>
    <w:p w14:paraId="64337CFB" w14:textId="77777777" w:rsidR="00BB2D51" w:rsidRPr="00BE4AF3" w:rsidRDefault="00BB2D51" w:rsidP="00BB2D51">
      <w:pPr>
        <w:spacing w:after="0" w:line="240" w:lineRule="auto"/>
        <w:rPr>
          <w:rFonts w:ascii="Times New Roman" w:hAnsi="Times New Roman" w:cs="Times New Roman"/>
          <w:b/>
          <w:bCs/>
          <w:sz w:val="24"/>
          <w:szCs w:val="24"/>
        </w:rPr>
      </w:pPr>
    </w:p>
    <w:p w14:paraId="264E869F" w14:textId="64743D38" w:rsidR="00A63CD3" w:rsidRPr="00042A7F" w:rsidRDefault="00A63CD3" w:rsidP="00042A7F">
      <w:pPr>
        <w:spacing w:after="0" w:line="240" w:lineRule="auto"/>
        <w:rPr>
          <w:rFonts w:ascii="Times New Roman" w:hAnsi="Times New Roman" w:cs="Times New Roman"/>
          <w:b/>
          <w:bCs/>
          <w:sz w:val="24"/>
          <w:szCs w:val="24"/>
        </w:rPr>
      </w:pPr>
      <w:r w:rsidRPr="00042A7F">
        <w:rPr>
          <w:rFonts w:ascii="Times New Roman" w:hAnsi="Times New Roman" w:cs="Times New Roman"/>
          <w:b/>
          <w:bCs/>
          <w:sz w:val="24"/>
          <w:szCs w:val="24"/>
        </w:rPr>
        <w:t>Introduction</w:t>
      </w:r>
    </w:p>
    <w:p w14:paraId="2D8F48A5" w14:textId="77777777" w:rsidR="00A63CD3" w:rsidRPr="00BE4AF3" w:rsidRDefault="00A63CD3" w:rsidP="00042A7F">
      <w:pPr>
        <w:spacing w:after="0"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 xml:space="preserve">Real estate is a unique investment asset class due to its long-term investment horizon, high entry barriers, and large capital outlays. These features make real estate a highly illiquid asset that requires a long-term investment horizon and sufficient capital. However, with the advent of urbanization, industrialization, and, population growth, real estate to most people means more than something you live in, play on, go to work in or from, and pullfood out of. Hence, it is considered an investable asset and has attracted mass investors to buy commercial properties for investment purposes. According to Mughees (2010) and Harry 2012 opined that commercial real estate or </w:t>
      </w:r>
      <w:r w:rsidRPr="00BE4AF3">
        <w:rPr>
          <w:rFonts w:ascii="Times New Roman" w:hAnsi="Times New Roman" w:cs="Times New Roman"/>
          <w:sz w:val="24"/>
          <w:szCs w:val="24"/>
        </w:rPr>
        <w:lastRenderedPageBreak/>
        <w:t xml:space="preserve">commercial properties come in the form of retail shops, industrial parks, multi-family dwelling units, office complexes, hospitality, and land. Hence, it is where businesses are conducted and where many people live together. According to Jones Lang LaSalle, JLL (2015) market report, there has been an increase in the volume of commercial real estate investments globally. All these indicate the popularity of commercial properties globally. </w:t>
      </w:r>
    </w:p>
    <w:p w14:paraId="6CE2B556" w14:textId="77777777" w:rsidR="00A63CD3" w:rsidRPr="00BE4AF3" w:rsidRDefault="00A63CD3" w:rsidP="00042A7F">
      <w:pPr>
        <w:spacing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 xml:space="preserve">Recently in Nigeria real estate investors and financiers are beginning to looking towards investment in shopping malls. According to Chatzopoulou and Tsimonis (2010) shopping mall is a complex of stores located in a building and managed as a single property. Omisakin (2019) opined that there are several shopping malls in Lagos, this is because of the population of the city and the trading potential of the city. Although there are potential, but it is important to document the performance of shopping mall in Lagos, Nigeria. Studies on the performance of commercial properties includes Abdulmalik (2022), Ojo et al. (2022), Anule (2016), and Oyewole (2013) which were mostly conducted across Nigeria. These studies achieved their aim, however some major gaps exist. For instance none of the studies were carried out considering both Lagos Island and Mainland. Also the performance of shopping malls was not considered by any of the authors. Hence this current study seeks to fill this gap in literature by documenting the performance of shopping malls in Lagos using extract from the rental values of the shopping malls from 2012 to 2023. This study is to examine the factors influencing shopping mall investment in Lagos state with a view to providing information that would improve commercial property investment decision making in the study area. This study is important because it seeks to fill a gap in the existing literature by focusing specifically on the factors influencing the success of shopping mall investments in Lagos State. </w:t>
      </w:r>
    </w:p>
    <w:p w14:paraId="50538473" w14:textId="77777777" w:rsidR="00A63CD3" w:rsidRPr="00BE4AF3" w:rsidRDefault="00A63CD3" w:rsidP="00042A7F">
      <w:pPr>
        <w:spacing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Several previous studies in Lagos and Nigeria as whole have concentrated on the economic and commercial hub of Lagos, performance of commercial property investments, commercial properties investment management, benefits &amp; importance of commercial real estate, determinants of commercial real estate investments, commercial property investment strategy, just to mention a few; Lieser &amp; Groh (2011); Norwich City Council (2021); Ambrose &amp; Lusht (2008); Joseph Gyourko (2009), neglecting the success and the actual factors responsible for the success of commercial property investments. The choice of Lagos State is premised on its position as the largest commercial property market in Nigeria where property investments of different kinds take place and thrive (Olapade &amp; Olaleye, 2018; 2019). The study will be conducted on Lagos Island and Mainland which is in line with the study of Umeh et al. (2016) which opined that these areas reasonably cover the core commercial areas in Lagos Metropolis and the results can be generalized to every commercial area in Lagos Metropolis.</w:t>
      </w:r>
    </w:p>
    <w:p w14:paraId="2F0D124F" w14:textId="77777777" w:rsidR="00A63CD3" w:rsidRPr="00BE4AF3" w:rsidRDefault="00A63CD3" w:rsidP="00A63CD3">
      <w:pPr>
        <w:spacing w:line="240" w:lineRule="auto"/>
        <w:ind w:firstLine="720"/>
        <w:contextualSpacing/>
        <w:jc w:val="both"/>
        <w:rPr>
          <w:rFonts w:ascii="Times New Roman" w:hAnsi="Times New Roman" w:cs="Times New Roman"/>
          <w:sz w:val="24"/>
          <w:szCs w:val="24"/>
        </w:rPr>
      </w:pPr>
    </w:p>
    <w:p w14:paraId="23843512" w14:textId="5CE2715E" w:rsidR="00A63CD3" w:rsidRPr="00BE4AF3" w:rsidRDefault="00A63CD3" w:rsidP="00A63CD3">
      <w:pPr>
        <w:spacing w:line="240" w:lineRule="auto"/>
        <w:contextualSpacing/>
        <w:jc w:val="both"/>
        <w:rPr>
          <w:rFonts w:ascii="Times New Roman" w:hAnsi="Times New Roman" w:cs="Times New Roman"/>
          <w:b/>
          <w:sz w:val="24"/>
          <w:szCs w:val="24"/>
        </w:rPr>
      </w:pPr>
      <w:r w:rsidRPr="00BE4AF3">
        <w:rPr>
          <w:rFonts w:ascii="Times New Roman" w:hAnsi="Times New Roman" w:cs="Times New Roman"/>
          <w:b/>
          <w:sz w:val="24"/>
          <w:szCs w:val="24"/>
        </w:rPr>
        <w:t>Literature Review</w:t>
      </w:r>
    </w:p>
    <w:p w14:paraId="21F4BB3F" w14:textId="77777777" w:rsidR="00A63CD3" w:rsidRPr="00BE4AF3" w:rsidRDefault="00A63CD3" w:rsidP="00042A7F">
      <w:pPr>
        <w:spacing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The review was structured to first examine the profile of estate surveying and valuation firms in Lagos State and how the profile impacts the success of the commercial property investment, identify and examine the types of commercial property in the study area, identify the factors influencing the success of commercial property investments in the study area and, to investigate the characteristics of successful commercial property investors in Lagos State, and how their strategies differ from less successful investors.</w:t>
      </w:r>
    </w:p>
    <w:p w14:paraId="44C03335" w14:textId="77777777" w:rsidR="00A63CD3" w:rsidRPr="00BE4AF3" w:rsidRDefault="00A63CD3" w:rsidP="00A63CD3">
      <w:pPr>
        <w:spacing w:line="240" w:lineRule="auto"/>
        <w:ind w:firstLine="720"/>
        <w:contextualSpacing/>
        <w:jc w:val="both"/>
        <w:rPr>
          <w:rFonts w:ascii="Times New Roman" w:hAnsi="Times New Roman" w:cs="Times New Roman"/>
          <w:sz w:val="24"/>
          <w:szCs w:val="24"/>
        </w:rPr>
      </w:pPr>
    </w:p>
    <w:p w14:paraId="1C79517F" w14:textId="76240FF1" w:rsidR="00A63CD3" w:rsidRPr="00BE4AF3" w:rsidRDefault="00A63CD3" w:rsidP="00A63CD3">
      <w:pPr>
        <w:spacing w:line="240" w:lineRule="auto"/>
        <w:contextualSpacing/>
        <w:jc w:val="both"/>
        <w:rPr>
          <w:rFonts w:ascii="Times New Roman" w:hAnsi="Times New Roman" w:cs="Times New Roman"/>
          <w:b/>
          <w:sz w:val="24"/>
          <w:szCs w:val="24"/>
        </w:rPr>
      </w:pPr>
      <w:r w:rsidRPr="00BE4AF3">
        <w:rPr>
          <w:rFonts w:ascii="Times New Roman" w:hAnsi="Times New Roman" w:cs="Times New Roman"/>
          <w:b/>
          <w:sz w:val="24"/>
          <w:szCs w:val="24"/>
        </w:rPr>
        <w:t>Review of Concepts</w:t>
      </w:r>
    </w:p>
    <w:p w14:paraId="7538356C" w14:textId="77777777" w:rsidR="00A63CD3" w:rsidRPr="00BE4AF3" w:rsidRDefault="00A63CD3" w:rsidP="00042A7F">
      <w:pPr>
        <w:spacing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 xml:space="preserve">Commercial property investment in Lagos State is as introduced earlier is a multifaceted endeavor that is influenced by a myriad of factors that collectively shape either its success or failure. This </w:t>
      </w:r>
      <w:r w:rsidRPr="00BE4AF3">
        <w:rPr>
          <w:rFonts w:ascii="Times New Roman" w:hAnsi="Times New Roman" w:cs="Times New Roman"/>
          <w:sz w:val="24"/>
          <w:szCs w:val="24"/>
        </w:rPr>
        <w:lastRenderedPageBreak/>
        <w:t xml:space="preserve">concept of review explores key concepts and research findings related to thesuccess determinants of commercial property investment in a commercial hubsuch as Lagos State which is a wider in scope ranging from the location, economic trend, infrastructure and accessibility, government policies and regulations, security and stability, market demands and just to mention a few. Various studies have discussed the concept of commercial property investment focusing on diverse issues as it concerns real estate commercial property investments. </w:t>
      </w:r>
    </w:p>
    <w:p w14:paraId="08666A99" w14:textId="77777777" w:rsidR="00A63CD3" w:rsidRPr="00BE4AF3" w:rsidRDefault="00A63CD3" w:rsidP="00A63CD3">
      <w:pPr>
        <w:spacing w:line="240" w:lineRule="auto"/>
        <w:ind w:firstLine="720"/>
        <w:contextualSpacing/>
        <w:jc w:val="both"/>
        <w:rPr>
          <w:rFonts w:ascii="Times New Roman" w:hAnsi="Times New Roman" w:cs="Times New Roman"/>
          <w:sz w:val="24"/>
          <w:szCs w:val="24"/>
        </w:rPr>
      </w:pPr>
    </w:p>
    <w:p w14:paraId="5C141485" w14:textId="608486DC" w:rsidR="00A63CD3" w:rsidRPr="00BE4AF3" w:rsidRDefault="00A63CD3" w:rsidP="00A63CD3">
      <w:pPr>
        <w:spacing w:line="240" w:lineRule="auto"/>
        <w:contextualSpacing/>
        <w:jc w:val="both"/>
        <w:rPr>
          <w:rFonts w:ascii="Times New Roman" w:hAnsi="Times New Roman" w:cs="Times New Roman"/>
          <w:b/>
          <w:sz w:val="24"/>
          <w:szCs w:val="24"/>
        </w:rPr>
      </w:pPr>
      <w:r w:rsidRPr="00BE4AF3">
        <w:rPr>
          <w:rFonts w:ascii="Times New Roman" w:hAnsi="Times New Roman" w:cs="Times New Roman"/>
          <w:b/>
          <w:sz w:val="24"/>
          <w:szCs w:val="24"/>
        </w:rPr>
        <w:t>Previous studies on commercial property value</w:t>
      </w:r>
    </w:p>
    <w:p w14:paraId="09642137" w14:textId="77777777" w:rsidR="00A63CD3" w:rsidRPr="00BE4AF3" w:rsidRDefault="00A63CD3" w:rsidP="00042A7F">
      <w:pPr>
        <w:spacing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 xml:space="preserve">Abdulazeez and Mohammed (2017) did a study on the effects of Locational infrastructural facilities on commercial property value in Sokoto metropolis, Nigeria, using a questionnaire to elicit necessary information from 279 respondents. Given the fact that an increase in commercial property value is a success indicator, the authors asserted that the following factors road, availability of water, drainage, electricity, security, parking space, waste disposal, and telecommunication were found to impact the value of commercial property in Sokoto with road topping the chart with a weighted mean score of 5.00. This implies that a commercial property tends to thrive better when positioned in a good and accessible location. </w:t>
      </w:r>
    </w:p>
    <w:p w14:paraId="615AE7DC" w14:textId="77777777" w:rsidR="00A63CD3" w:rsidRPr="00BE4AF3" w:rsidRDefault="00A63CD3" w:rsidP="00042A7F">
      <w:pPr>
        <w:spacing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Bello (2018) identified the type of structures of residential investment property (as a guide for determining property value) by property accommodation type for analysis to include: a self-contained apartment, detached bungalow, semi-detached bungalow, a block of flats, detached duplex, semi-detached duplex, terrace duplex among others (with or without boy’s quarters and specified number of rooms). Relating this classification to commercial property involves understanding the distinct characteristics and functionalities of commercial real estate. While Bello primarily focuses on residential structures, the principles of property investment determination can be extended to commercial properties with some adaptations. Commercial investment property is always noted with a purpose which may either be for rental or capital growth purposes. All these reviews were carried out, but none of these studies focused on the Factor influencing the success of commercial property investment in Lagos state, with respect to investigating the factors influencing the success of commercial property in the study areas, examining the profile of Estate Surveying and Valuation Firms in Lagos state and how their experience impacts the success of the commercial property investment which is the gap the study tend to breach.</w:t>
      </w:r>
    </w:p>
    <w:p w14:paraId="777DDB8E" w14:textId="77777777" w:rsidR="00A63CD3" w:rsidRPr="00BE4AF3" w:rsidRDefault="00A63CD3" w:rsidP="00A63CD3">
      <w:pPr>
        <w:spacing w:line="240" w:lineRule="auto"/>
        <w:ind w:firstLine="720"/>
        <w:contextualSpacing/>
        <w:jc w:val="both"/>
        <w:rPr>
          <w:rFonts w:ascii="Times New Roman" w:hAnsi="Times New Roman" w:cs="Times New Roman"/>
          <w:sz w:val="24"/>
          <w:szCs w:val="24"/>
        </w:rPr>
      </w:pPr>
    </w:p>
    <w:p w14:paraId="325CC15C" w14:textId="57369EEE" w:rsidR="00A63CD3" w:rsidRPr="00BE4AF3" w:rsidRDefault="00A63CD3" w:rsidP="00A63CD3">
      <w:pPr>
        <w:spacing w:line="240" w:lineRule="auto"/>
        <w:contextualSpacing/>
        <w:jc w:val="both"/>
        <w:rPr>
          <w:rFonts w:ascii="Times New Roman" w:hAnsi="Times New Roman" w:cs="Times New Roman"/>
          <w:b/>
          <w:sz w:val="24"/>
          <w:szCs w:val="24"/>
        </w:rPr>
      </w:pPr>
      <w:r w:rsidRPr="00BE4AF3">
        <w:rPr>
          <w:rFonts w:ascii="Times New Roman" w:hAnsi="Times New Roman" w:cs="Times New Roman"/>
          <w:b/>
          <w:sz w:val="24"/>
          <w:szCs w:val="24"/>
        </w:rPr>
        <w:t>Profile of Estate Surveying &amp; Valuation Firms in Lagos State</w:t>
      </w:r>
    </w:p>
    <w:p w14:paraId="2B72BA1E" w14:textId="77777777" w:rsidR="00A63CD3" w:rsidRPr="00BE4AF3" w:rsidRDefault="00A63CD3" w:rsidP="00042A7F">
      <w:pPr>
        <w:spacing w:line="240" w:lineRule="auto"/>
        <w:contextualSpacing/>
        <w:jc w:val="both"/>
        <w:rPr>
          <w:rFonts w:ascii="Times New Roman" w:hAnsi="Times New Roman" w:cs="Times New Roman"/>
          <w:sz w:val="24"/>
          <w:szCs w:val="24"/>
        </w:rPr>
      </w:pPr>
      <w:bookmarkStart w:id="70" w:name="_Toc130828274"/>
      <w:r w:rsidRPr="00BE4AF3">
        <w:rPr>
          <w:rFonts w:ascii="Times New Roman" w:hAnsi="Times New Roman" w:cs="Times New Roman"/>
          <w:sz w:val="24"/>
          <w:szCs w:val="24"/>
        </w:rPr>
        <w:t>The investment landscape has evolved over time, and real estate has emerged as a major class of asset both domestically and internationally. Real estate investments have become increasingly sophisticated and complex, with investors seeking out new opportunities to diversify their portfolios and maximize returns. This has given rise to new investment strategies, such as crowdfunding, fractional ownership, and private equity funds. Overall, the role of real estate as an investment medium has become more prominent, with its importance increasing globally. Thus, the need to have firms of professionalestate surveyors and valuers with the skills, expertise and experience it requiredto manage, improveand sustain such investment or development is imperative. This segment of the literature review will review past studies on the regulatory requirements, professional services, and the business model of estate surveying and valuation firms.</w:t>
      </w:r>
    </w:p>
    <w:p w14:paraId="6B5AE69D" w14:textId="77777777" w:rsidR="00A63CD3" w:rsidRPr="00BE4AF3" w:rsidRDefault="00A63CD3" w:rsidP="00A63CD3">
      <w:pPr>
        <w:spacing w:line="240" w:lineRule="auto"/>
        <w:ind w:firstLine="720"/>
        <w:contextualSpacing/>
        <w:jc w:val="both"/>
        <w:rPr>
          <w:rFonts w:ascii="Times New Roman" w:hAnsi="Times New Roman" w:cs="Times New Roman"/>
          <w:sz w:val="24"/>
          <w:szCs w:val="24"/>
        </w:rPr>
      </w:pPr>
    </w:p>
    <w:bookmarkEnd w:id="70"/>
    <w:p w14:paraId="5FB147B7" w14:textId="77777777" w:rsidR="007F7543" w:rsidRDefault="007F7543" w:rsidP="00A63CD3">
      <w:pPr>
        <w:spacing w:line="240" w:lineRule="auto"/>
        <w:contextualSpacing/>
        <w:jc w:val="both"/>
        <w:rPr>
          <w:rFonts w:ascii="Times New Roman" w:hAnsi="Times New Roman" w:cs="Times New Roman"/>
          <w:b/>
          <w:sz w:val="24"/>
          <w:szCs w:val="24"/>
        </w:rPr>
      </w:pPr>
    </w:p>
    <w:p w14:paraId="71F37A51" w14:textId="77777777" w:rsidR="007F7543" w:rsidRDefault="007F7543" w:rsidP="00A63CD3">
      <w:pPr>
        <w:spacing w:line="240" w:lineRule="auto"/>
        <w:contextualSpacing/>
        <w:jc w:val="both"/>
        <w:rPr>
          <w:rFonts w:ascii="Times New Roman" w:hAnsi="Times New Roman" w:cs="Times New Roman"/>
          <w:b/>
          <w:sz w:val="24"/>
          <w:szCs w:val="24"/>
        </w:rPr>
      </w:pPr>
    </w:p>
    <w:p w14:paraId="194E0D73" w14:textId="2F192028" w:rsidR="00A63CD3" w:rsidRPr="00BE4AF3" w:rsidRDefault="00A63CD3" w:rsidP="00A63CD3">
      <w:pPr>
        <w:spacing w:line="240" w:lineRule="auto"/>
        <w:contextualSpacing/>
        <w:jc w:val="both"/>
        <w:rPr>
          <w:rFonts w:ascii="Times New Roman" w:hAnsi="Times New Roman" w:cs="Times New Roman"/>
          <w:b/>
          <w:sz w:val="24"/>
          <w:szCs w:val="24"/>
        </w:rPr>
      </w:pPr>
      <w:r w:rsidRPr="00BE4AF3">
        <w:rPr>
          <w:rFonts w:ascii="Times New Roman" w:hAnsi="Times New Roman" w:cs="Times New Roman"/>
          <w:b/>
          <w:sz w:val="24"/>
          <w:szCs w:val="24"/>
        </w:rPr>
        <w:lastRenderedPageBreak/>
        <w:t>Estate Surveying &amp; Valuation Profession</w:t>
      </w:r>
    </w:p>
    <w:p w14:paraId="6266A45B" w14:textId="77777777" w:rsidR="00A63CD3" w:rsidRPr="00BE4AF3" w:rsidRDefault="00A63CD3" w:rsidP="007F7543">
      <w:pPr>
        <w:spacing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According to the Estate Surveyors &amp; Valuers Registration Board of Nigeria, ESVARBON (2022), the profession of estate surveying and valuation gained recognition in Nigeria in the year 1969 when a group of chartered surveyors formed the governing body we all know today as the Nigerian Institution of Estate Surveyors and Valuers (NIESV) as a non-profit oriented professional organization founded to cater for the interest of the profession in the country. ESVARBON (2022), added that the institution sought government recognition and got same six years later by the promulgation of the Estate Surveyors and Valuers Decree No. 24 of 1975, now CAP E. 13 LFN 2004.</w:t>
      </w:r>
    </w:p>
    <w:p w14:paraId="16BC1E03" w14:textId="77777777" w:rsidR="00A63CD3" w:rsidRPr="00BE4AF3" w:rsidRDefault="00A63CD3" w:rsidP="00A63CD3">
      <w:pPr>
        <w:spacing w:line="240" w:lineRule="auto"/>
        <w:ind w:firstLine="720"/>
        <w:contextualSpacing/>
        <w:jc w:val="both"/>
        <w:rPr>
          <w:rFonts w:ascii="Times New Roman" w:hAnsi="Times New Roman" w:cs="Times New Roman"/>
          <w:b/>
          <w:sz w:val="24"/>
          <w:szCs w:val="24"/>
        </w:rPr>
      </w:pPr>
    </w:p>
    <w:p w14:paraId="49D82298" w14:textId="24A862D3" w:rsidR="00A63CD3" w:rsidRPr="00BE4AF3" w:rsidRDefault="00A63CD3" w:rsidP="00A63CD3">
      <w:pPr>
        <w:spacing w:line="240" w:lineRule="auto"/>
        <w:contextualSpacing/>
        <w:jc w:val="both"/>
        <w:rPr>
          <w:rFonts w:ascii="Times New Roman" w:hAnsi="Times New Roman" w:cs="Times New Roman"/>
          <w:b/>
          <w:sz w:val="24"/>
          <w:szCs w:val="24"/>
        </w:rPr>
      </w:pPr>
      <w:r w:rsidRPr="00BE4AF3">
        <w:rPr>
          <w:rFonts w:ascii="Times New Roman" w:hAnsi="Times New Roman" w:cs="Times New Roman"/>
          <w:b/>
          <w:sz w:val="24"/>
          <w:szCs w:val="24"/>
        </w:rPr>
        <w:t xml:space="preserve">Estate Surveyors and Valuers versus Commercial Property Investment </w:t>
      </w:r>
    </w:p>
    <w:p w14:paraId="03B40254" w14:textId="77777777" w:rsidR="00A63CD3" w:rsidRPr="00BE4AF3" w:rsidRDefault="00A63CD3" w:rsidP="007F7543">
      <w:pPr>
        <w:spacing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 xml:space="preserve">An estate surveyor is a professional who advises on the value and condition of real property and can provide insights into potential risks and opportunities for commercial property investments. They consider factors such as market conditions, zoning regulations, and property history to determine the value of the property and identify potential changes or improvements that could increase its value. By working with an estate surveyor early in the investment process, commercial investors can better understand the property's potential and make informed decisions about whether to proceed with the investment. Thus, success of real estate investments is influenced by various factors which most times bother on the profile, skill, expertise and the experience of the estate surveying and valuation firms in charge of such investment. An effective property management is no doubt one of the factors that impact the success of a commercial property investment as it involves the conscious process of guiding and tailoring an investment in land into a profitable venture, Oladokun et al. (2012). The study further added that the success of an investment in commercial properties is a function of how well a property manager is able to effectively prevent or manage seeming obstacles in the course of the discharge of its fiduciary duties. </w:t>
      </w:r>
    </w:p>
    <w:p w14:paraId="2BCA1394" w14:textId="77777777" w:rsidR="00A63CD3" w:rsidRPr="00BE4AF3" w:rsidRDefault="00A63CD3" w:rsidP="007F7543">
      <w:pPr>
        <w:spacing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Similarly, in a study conducted among  161 respondents out of which 35 respondents were registered estate surveyors and valuers by Otty et al, (2021) on the impact of property management on commercial property in Awka, Anambra State, property management contributes immensely to the success of commercial property investments by increasing the property value; property management contributes to improving commercial property value rank 1st, property management improve the state of maintenance of commercial property rank 2nd, property management improve the conditions ofcommercial property environment rank 3rd etc.Otty et al. (2021), opined that a skilled estate surveyor will put his or her property in a good state and tenantable condition and will inspect the property regularly according to the provision of the lease agreement. Thus, it recommended that investors should employ the services of property manager (estate surveyor and valuer) in the management of their properties to keep the properties in marketable value and to maximize return. Omar and Waleed (2019), corroborated that property management contributes to raising the quality of residential product and maintaining its market value in Saudi Arabia.  The study used field questionnaire distributed to a sample of the study community consisting of 125 real estate management institutions and real estate office in Riyadh. The research further revealed that residential product managed by the property management system loses 10% of its value after 5 years. Likewise, the product managed by the owner loses more than 50% of its real value 5 years after. The paper then proposed that cooperation between governmental and private institutions be strengthened to establish a Real Estate Data Centre (REDC) for the classification of residential properties subject to the criteria of management, quality and economic cost.</w:t>
      </w:r>
    </w:p>
    <w:p w14:paraId="025DDE0D" w14:textId="77777777" w:rsidR="00A63CD3" w:rsidRPr="00BE4AF3" w:rsidRDefault="00A63CD3" w:rsidP="00A63CD3">
      <w:pPr>
        <w:spacing w:line="240" w:lineRule="auto"/>
        <w:ind w:firstLine="720"/>
        <w:contextualSpacing/>
        <w:jc w:val="both"/>
        <w:rPr>
          <w:rFonts w:ascii="Times New Roman" w:hAnsi="Times New Roman" w:cs="Times New Roman"/>
          <w:sz w:val="24"/>
          <w:szCs w:val="24"/>
        </w:rPr>
      </w:pPr>
    </w:p>
    <w:p w14:paraId="6498E9BD" w14:textId="1C94D102" w:rsidR="00A63CD3" w:rsidRPr="00BE4AF3" w:rsidRDefault="00A63CD3" w:rsidP="00A63CD3">
      <w:pPr>
        <w:spacing w:line="240" w:lineRule="auto"/>
        <w:contextualSpacing/>
        <w:jc w:val="both"/>
        <w:rPr>
          <w:rFonts w:ascii="Times New Roman" w:hAnsi="Times New Roman" w:cs="Times New Roman"/>
          <w:b/>
          <w:sz w:val="24"/>
          <w:szCs w:val="24"/>
        </w:rPr>
      </w:pPr>
      <w:r w:rsidRPr="00BE4AF3">
        <w:rPr>
          <w:rFonts w:ascii="Times New Roman" w:hAnsi="Times New Roman" w:cs="Times New Roman"/>
          <w:b/>
          <w:sz w:val="24"/>
          <w:szCs w:val="24"/>
        </w:rPr>
        <w:t xml:space="preserve">Types of Shopping Malls </w:t>
      </w:r>
    </w:p>
    <w:p w14:paraId="594BD6D1" w14:textId="77777777" w:rsidR="00A63CD3" w:rsidRPr="00BE4AF3" w:rsidRDefault="00A63CD3" w:rsidP="00A63CD3">
      <w:pPr>
        <w:spacing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1. Regional Mall</w:t>
      </w:r>
    </w:p>
    <w:p w14:paraId="4D7D03FD" w14:textId="77777777" w:rsidR="00A63CD3" w:rsidRPr="00BE4AF3" w:rsidRDefault="00A63CD3" w:rsidP="005D154C">
      <w:pPr>
        <w:spacing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 xml:space="preserve">A regional mall is a shopping place which offers general merchandise (a large percentage of which is apparel) and services in depth and width. A typical regional mall is usually enclosed with an inward orientation of the stores connected by a common walkway and parking surrounds the outside perimeter. As per International Council of Shopping Centers any mall which is designed to cater large number of local people and is larger with 400,000 sq ft (37,000 m) to800,000 sq ft (74,000 m) gross leasable area with at least two anchor stores is known as regional mall. In Lagos this kind of mall includes Palms Mall and Ikeja City Mall among others. </w:t>
      </w:r>
    </w:p>
    <w:p w14:paraId="500EE89C" w14:textId="77777777" w:rsidR="00A63CD3" w:rsidRPr="00BE4AF3" w:rsidRDefault="00A63CD3" w:rsidP="00A63CD3">
      <w:pPr>
        <w:spacing w:line="240" w:lineRule="auto"/>
        <w:contextualSpacing/>
        <w:jc w:val="both"/>
        <w:rPr>
          <w:rFonts w:ascii="Times New Roman" w:hAnsi="Times New Roman" w:cs="Times New Roman"/>
          <w:sz w:val="24"/>
          <w:szCs w:val="24"/>
        </w:rPr>
      </w:pPr>
    </w:p>
    <w:p w14:paraId="66FE917F" w14:textId="77777777" w:rsidR="00A63CD3" w:rsidRPr="00BE4AF3" w:rsidRDefault="00A63CD3" w:rsidP="005D154C">
      <w:pPr>
        <w:spacing w:line="240" w:lineRule="auto"/>
        <w:contextualSpacing/>
        <w:jc w:val="center"/>
        <w:rPr>
          <w:rFonts w:ascii="Times New Roman" w:hAnsi="Times New Roman" w:cs="Times New Roman"/>
          <w:sz w:val="24"/>
          <w:szCs w:val="24"/>
        </w:rPr>
      </w:pPr>
      <w:r w:rsidRPr="00BE4AF3">
        <w:rPr>
          <w:rFonts w:ascii="Times New Roman" w:hAnsi="Times New Roman" w:cs="Times New Roman"/>
          <w:noProof/>
          <w:sz w:val="24"/>
          <w:szCs w:val="24"/>
          <w:lang w:eastAsia="en-GB"/>
        </w:rPr>
        <w:drawing>
          <wp:inline distT="0" distB="0" distL="0" distR="0" wp14:anchorId="1E185645" wp14:editId="26B24C24">
            <wp:extent cx="4111152" cy="1457325"/>
            <wp:effectExtent l="0" t="0" r="3810" b="0"/>
            <wp:docPr id="24" name="Picture 4" descr="Design project for Shopping Mall Façade in Saudi Arabia | Arcbaza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Design project for Shopping Mall Façade in Saudi Arabia | Arcbazar"/>
                    <pic:cNvPicPr>
                      <a:picLocks/>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117975" cy="1459744"/>
                    </a:xfrm>
                    <a:prstGeom prst="rect">
                      <a:avLst/>
                    </a:prstGeom>
                    <a:noFill/>
                    <a:ln>
                      <a:noFill/>
                    </a:ln>
                  </pic:spPr>
                </pic:pic>
              </a:graphicData>
            </a:graphic>
          </wp:inline>
        </w:drawing>
      </w:r>
    </w:p>
    <w:p w14:paraId="4F209365" w14:textId="3366CD33" w:rsidR="00A63CD3" w:rsidRPr="00BE4AF3" w:rsidRDefault="00A63CD3" w:rsidP="005D154C">
      <w:pPr>
        <w:spacing w:line="240" w:lineRule="auto"/>
        <w:contextualSpacing/>
        <w:jc w:val="center"/>
        <w:rPr>
          <w:rFonts w:ascii="Times New Roman" w:hAnsi="Times New Roman" w:cs="Times New Roman"/>
          <w:sz w:val="24"/>
          <w:szCs w:val="24"/>
        </w:rPr>
      </w:pPr>
      <w:r w:rsidRPr="00BE4AF3">
        <w:rPr>
          <w:rFonts w:ascii="Times New Roman" w:hAnsi="Times New Roman" w:cs="Times New Roman"/>
          <w:sz w:val="24"/>
          <w:szCs w:val="24"/>
        </w:rPr>
        <w:t>Source: Author’s compilation (2025)</w:t>
      </w:r>
    </w:p>
    <w:p w14:paraId="2FC376DD" w14:textId="77777777" w:rsidR="00A63CD3" w:rsidRPr="00BE4AF3" w:rsidRDefault="00A63CD3" w:rsidP="00A63CD3">
      <w:pPr>
        <w:spacing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2. Super Regional</w:t>
      </w:r>
    </w:p>
    <w:p w14:paraId="78B3C8B5" w14:textId="77777777" w:rsidR="00A63CD3" w:rsidRDefault="00A63CD3" w:rsidP="005D154C">
      <w:pPr>
        <w:spacing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 xml:space="preserve">A super regional mall, as the vary name implies, is a shopping place which is an extension of regional malls in terms of size and merchandise assortment. As per International Council of Shopping Centers, any mall which is designed to cater large population base and is larger with over 800,000 sq ft (74,000 m) of gross leasable area, and serves as the dominant shopping venue for the region (25 miles) in which it is located is known as super regional mall. A super regional mall usually is an enclosed mall with three or more anchors catering visitors with mass merchants, more variety, and a deeper selection of merchandise. Most of the regional malls are multilevel and serve as dominant shopping venues for the region in which they are located. Example of this kind of space in Lagos is the Trade-fair International Center. </w:t>
      </w:r>
    </w:p>
    <w:p w14:paraId="22FA4311" w14:textId="77777777" w:rsidR="005D154C" w:rsidRPr="00BE4AF3" w:rsidRDefault="005D154C" w:rsidP="005D154C">
      <w:pPr>
        <w:spacing w:line="240" w:lineRule="auto"/>
        <w:contextualSpacing/>
        <w:jc w:val="both"/>
        <w:rPr>
          <w:rFonts w:ascii="Times New Roman" w:hAnsi="Times New Roman" w:cs="Times New Roman"/>
          <w:sz w:val="24"/>
          <w:szCs w:val="24"/>
        </w:rPr>
      </w:pPr>
    </w:p>
    <w:p w14:paraId="2427D273" w14:textId="77777777" w:rsidR="00A63CD3" w:rsidRPr="00BE4AF3" w:rsidRDefault="00A63CD3" w:rsidP="005D154C">
      <w:pPr>
        <w:spacing w:line="240" w:lineRule="auto"/>
        <w:contextualSpacing/>
        <w:jc w:val="center"/>
        <w:rPr>
          <w:rFonts w:ascii="Times New Roman" w:hAnsi="Times New Roman" w:cs="Times New Roman"/>
          <w:sz w:val="24"/>
          <w:szCs w:val="24"/>
        </w:rPr>
      </w:pPr>
      <w:r w:rsidRPr="00BE4AF3">
        <w:rPr>
          <w:rFonts w:ascii="Times New Roman" w:hAnsi="Times New Roman" w:cs="Times New Roman"/>
          <w:noProof/>
          <w:sz w:val="24"/>
          <w:szCs w:val="24"/>
          <w:lang w:eastAsia="en-GB"/>
        </w:rPr>
        <w:drawing>
          <wp:inline distT="0" distB="0" distL="0" distR="0" wp14:anchorId="211FC7F6" wp14:editId="5B46FBC3">
            <wp:extent cx="4391025" cy="2133600"/>
            <wp:effectExtent l="0" t="0" r="9525" b="0"/>
            <wp:docPr id="25" name="Picture 9" descr="Iran Mall - Wikip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Iran Mall - Wikipedia"/>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389120" cy="2132674"/>
                    </a:xfrm>
                    <a:prstGeom prst="rect">
                      <a:avLst/>
                    </a:prstGeom>
                    <a:noFill/>
                    <a:ln>
                      <a:noFill/>
                    </a:ln>
                  </pic:spPr>
                </pic:pic>
              </a:graphicData>
            </a:graphic>
          </wp:inline>
        </w:drawing>
      </w:r>
    </w:p>
    <w:p w14:paraId="26C141A6" w14:textId="09DAF0DA" w:rsidR="00A63CD3" w:rsidRPr="00BE4AF3" w:rsidRDefault="00A63CD3" w:rsidP="005D154C">
      <w:pPr>
        <w:spacing w:line="240" w:lineRule="auto"/>
        <w:contextualSpacing/>
        <w:jc w:val="center"/>
        <w:rPr>
          <w:rFonts w:ascii="Times New Roman" w:hAnsi="Times New Roman" w:cs="Times New Roman"/>
          <w:sz w:val="24"/>
          <w:szCs w:val="24"/>
        </w:rPr>
      </w:pPr>
      <w:r w:rsidRPr="00BE4AF3">
        <w:rPr>
          <w:rFonts w:ascii="Times New Roman" w:hAnsi="Times New Roman" w:cs="Times New Roman"/>
          <w:sz w:val="24"/>
          <w:szCs w:val="24"/>
        </w:rPr>
        <w:t>Source: Author’s compilation (2025)</w:t>
      </w:r>
    </w:p>
    <w:p w14:paraId="5F0035CD" w14:textId="77777777" w:rsidR="00A63CD3" w:rsidRPr="00BE4AF3" w:rsidRDefault="00A63CD3" w:rsidP="00A63CD3">
      <w:pPr>
        <w:spacing w:line="240" w:lineRule="auto"/>
        <w:contextualSpacing/>
        <w:jc w:val="both"/>
        <w:rPr>
          <w:rFonts w:ascii="Times New Roman" w:hAnsi="Times New Roman" w:cs="Times New Roman"/>
          <w:sz w:val="24"/>
          <w:szCs w:val="24"/>
        </w:rPr>
      </w:pPr>
    </w:p>
    <w:p w14:paraId="26952F31" w14:textId="77777777" w:rsidR="005D154C" w:rsidRDefault="005D154C" w:rsidP="00A63CD3">
      <w:pPr>
        <w:spacing w:line="240" w:lineRule="auto"/>
        <w:contextualSpacing/>
        <w:jc w:val="both"/>
        <w:rPr>
          <w:rFonts w:ascii="Times New Roman" w:hAnsi="Times New Roman" w:cs="Times New Roman"/>
          <w:sz w:val="24"/>
          <w:szCs w:val="24"/>
        </w:rPr>
      </w:pPr>
    </w:p>
    <w:p w14:paraId="6FB5E356" w14:textId="77777777" w:rsidR="005D154C" w:rsidRDefault="005D154C" w:rsidP="00A63CD3">
      <w:pPr>
        <w:spacing w:line="240" w:lineRule="auto"/>
        <w:contextualSpacing/>
        <w:jc w:val="both"/>
        <w:rPr>
          <w:rFonts w:ascii="Times New Roman" w:hAnsi="Times New Roman" w:cs="Times New Roman"/>
          <w:sz w:val="24"/>
          <w:szCs w:val="24"/>
        </w:rPr>
      </w:pPr>
    </w:p>
    <w:p w14:paraId="261CD1AA" w14:textId="44403ECC" w:rsidR="00A63CD3" w:rsidRPr="00BE4AF3" w:rsidRDefault="00A63CD3" w:rsidP="00A63CD3">
      <w:pPr>
        <w:spacing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3. Vertical Malls</w:t>
      </w:r>
    </w:p>
    <w:p w14:paraId="3AA43895" w14:textId="399283EA" w:rsidR="00A63CD3" w:rsidRPr="00BE4AF3" w:rsidRDefault="00A63CD3" w:rsidP="005D154C">
      <w:pPr>
        <w:spacing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The concept of vertical mall came in existence because of the complexities of densely populated</w:t>
      </w:r>
      <w:r w:rsidR="005D154C">
        <w:rPr>
          <w:rFonts w:ascii="Times New Roman" w:hAnsi="Times New Roman" w:cs="Times New Roman"/>
          <w:sz w:val="24"/>
          <w:szCs w:val="24"/>
        </w:rPr>
        <w:t xml:space="preserve"> </w:t>
      </w:r>
      <w:r w:rsidRPr="00BE4AF3">
        <w:rPr>
          <w:rFonts w:ascii="Times New Roman" w:hAnsi="Times New Roman" w:cs="Times New Roman"/>
          <w:sz w:val="24"/>
          <w:szCs w:val="24"/>
        </w:rPr>
        <w:t>cities/nations where land price was so high that it</w:t>
      </w:r>
      <w:r w:rsidR="005D154C">
        <w:rPr>
          <w:rFonts w:ascii="Times New Roman" w:hAnsi="Times New Roman" w:cs="Times New Roman"/>
          <w:sz w:val="24"/>
          <w:szCs w:val="24"/>
        </w:rPr>
        <w:t xml:space="preserve"> </w:t>
      </w:r>
      <w:r w:rsidRPr="00BE4AF3">
        <w:rPr>
          <w:rFonts w:ascii="Times New Roman" w:hAnsi="Times New Roman" w:cs="Times New Roman"/>
          <w:sz w:val="24"/>
          <w:szCs w:val="24"/>
        </w:rPr>
        <w:t xml:space="preserve">was becoming difficult for existing retailers to think of any kind of horizontal expansion to accommodate increasing crowd to their retail outlets. Therefore, retail stores were configured over a number of stories accessible by elevators or/and escalators connecting the different parts and levels of the mall. The main philosophy behind such creations was to dedicate each story or a part of the mall to particular theme like beauty and fashion, apparel, furniture, grocery and kitchen ware and so on. </w:t>
      </w:r>
    </w:p>
    <w:p w14:paraId="491B6D17" w14:textId="77777777" w:rsidR="00A63CD3" w:rsidRPr="00BE4AF3" w:rsidRDefault="00A63CD3" w:rsidP="00A63CD3">
      <w:pPr>
        <w:spacing w:line="240" w:lineRule="auto"/>
        <w:contextualSpacing/>
        <w:jc w:val="both"/>
        <w:rPr>
          <w:rFonts w:ascii="Times New Roman" w:hAnsi="Times New Roman" w:cs="Times New Roman"/>
          <w:sz w:val="24"/>
          <w:szCs w:val="24"/>
        </w:rPr>
      </w:pPr>
    </w:p>
    <w:p w14:paraId="3C34F7B4" w14:textId="77777777" w:rsidR="00A63CD3" w:rsidRPr="00BE4AF3" w:rsidRDefault="00A63CD3" w:rsidP="005D154C">
      <w:pPr>
        <w:spacing w:line="240" w:lineRule="auto"/>
        <w:contextualSpacing/>
        <w:jc w:val="center"/>
        <w:rPr>
          <w:rFonts w:ascii="Times New Roman" w:hAnsi="Times New Roman" w:cs="Times New Roman"/>
          <w:sz w:val="24"/>
          <w:szCs w:val="24"/>
        </w:rPr>
      </w:pPr>
      <w:r w:rsidRPr="00BE4AF3">
        <w:rPr>
          <w:rFonts w:ascii="Times New Roman" w:hAnsi="Times New Roman" w:cs="Times New Roman"/>
          <w:noProof/>
          <w:sz w:val="24"/>
          <w:szCs w:val="24"/>
          <w:lang w:eastAsia="en-GB"/>
        </w:rPr>
        <w:drawing>
          <wp:inline distT="0" distB="0" distL="0" distR="0" wp14:anchorId="4D35480C" wp14:editId="1019D6E5">
            <wp:extent cx="4419600" cy="1381125"/>
            <wp:effectExtent l="0" t="0" r="0" b="9525"/>
            <wp:docPr id="26" name="Picture 3" descr="91 Shopping Mall Fast Ship | creativways.c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91 Shopping Mall Fast Ship | creativways.com"/>
                    <pic:cNvPicPr>
                      <a:picLocks/>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25315" cy="1382911"/>
                    </a:xfrm>
                    <a:prstGeom prst="rect">
                      <a:avLst/>
                    </a:prstGeom>
                    <a:noFill/>
                    <a:ln>
                      <a:noFill/>
                    </a:ln>
                  </pic:spPr>
                </pic:pic>
              </a:graphicData>
            </a:graphic>
          </wp:inline>
        </w:drawing>
      </w:r>
    </w:p>
    <w:p w14:paraId="570F80E4" w14:textId="44DB8D03" w:rsidR="00A63CD3" w:rsidRPr="00BE4AF3" w:rsidRDefault="00A63CD3" w:rsidP="005D154C">
      <w:pPr>
        <w:spacing w:line="240" w:lineRule="auto"/>
        <w:contextualSpacing/>
        <w:jc w:val="center"/>
        <w:rPr>
          <w:rFonts w:ascii="Times New Roman" w:hAnsi="Times New Roman" w:cs="Times New Roman"/>
          <w:sz w:val="24"/>
          <w:szCs w:val="24"/>
        </w:rPr>
      </w:pPr>
      <w:r w:rsidRPr="00BE4AF3">
        <w:rPr>
          <w:rFonts w:ascii="Times New Roman" w:hAnsi="Times New Roman" w:cs="Times New Roman"/>
          <w:sz w:val="24"/>
          <w:szCs w:val="24"/>
        </w:rPr>
        <w:t>Source: Author’s compilation (2025)</w:t>
      </w:r>
    </w:p>
    <w:p w14:paraId="08D09621" w14:textId="77777777" w:rsidR="00A63CD3" w:rsidRPr="00BE4AF3" w:rsidRDefault="00A63CD3" w:rsidP="00A63CD3">
      <w:pPr>
        <w:spacing w:line="240" w:lineRule="auto"/>
        <w:contextualSpacing/>
        <w:jc w:val="both"/>
        <w:rPr>
          <w:rFonts w:ascii="Times New Roman" w:hAnsi="Times New Roman" w:cs="Times New Roman"/>
          <w:sz w:val="24"/>
          <w:szCs w:val="24"/>
        </w:rPr>
      </w:pPr>
    </w:p>
    <w:p w14:paraId="451C27A9" w14:textId="77777777" w:rsidR="00A63CD3" w:rsidRPr="00BE4AF3" w:rsidRDefault="00A63CD3" w:rsidP="00A63CD3">
      <w:pPr>
        <w:spacing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4. Strip Mall</w:t>
      </w:r>
    </w:p>
    <w:p w14:paraId="642A56A8" w14:textId="77777777" w:rsidR="00A63CD3" w:rsidRDefault="00A63CD3" w:rsidP="005D154C">
      <w:pPr>
        <w:spacing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Strip mall floor plans are commercial buildings designed to accommodate multiple businesses, retail spaces or offices. They feature various storefronts that are visible from a parking lot or roadway and are commonly constructed in developed neighborhoods where there is a need for space to accommodate local businesses. Strip mall buildings are available in various styles and range in size. They typically accommodate three or more tenants and feature glass storefronts and separate entries for each tenant. Most strip mall designs are one level, but some may have multiple levels. </w:t>
      </w:r>
      <w:hyperlink r:id="rId142" w:tgtFrame="_self" w:tooltip="Commercial Buildings" w:history="1">
        <w:r w:rsidRPr="00BE4AF3">
          <w:rPr>
            <w:rStyle w:val="Hyperlink"/>
            <w:rFonts w:ascii="Times New Roman" w:hAnsi="Times New Roman" w:cs="Times New Roman"/>
            <w:sz w:val="24"/>
            <w:szCs w:val="24"/>
          </w:rPr>
          <w:t>Commercial building</w:t>
        </w:r>
      </w:hyperlink>
      <w:r w:rsidRPr="00BE4AF3">
        <w:rPr>
          <w:rFonts w:ascii="Times New Roman" w:hAnsi="Times New Roman" w:cs="Times New Roman"/>
          <w:sz w:val="24"/>
          <w:szCs w:val="24"/>
        </w:rPr>
        <w:t> plans offer an alternative to strip mall designs.</w:t>
      </w:r>
    </w:p>
    <w:p w14:paraId="41ED56F6" w14:textId="77777777" w:rsidR="005D154C" w:rsidRPr="00BE4AF3" w:rsidRDefault="005D154C" w:rsidP="005D154C">
      <w:pPr>
        <w:spacing w:line="240" w:lineRule="auto"/>
        <w:contextualSpacing/>
        <w:jc w:val="both"/>
        <w:rPr>
          <w:rFonts w:ascii="Times New Roman" w:hAnsi="Times New Roman" w:cs="Times New Roman"/>
          <w:sz w:val="24"/>
          <w:szCs w:val="24"/>
        </w:rPr>
      </w:pPr>
    </w:p>
    <w:p w14:paraId="474B6A2F" w14:textId="77777777" w:rsidR="00A63CD3" w:rsidRPr="00BE4AF3" w:rsidRDefault="00A63CD3" w:rsidP="005D154C">
      <w:pPr>
        <w:spacing w:line="240" w:lineRule="auto"/>
        <w:contextualSpacing/>
        <w:jc w:val="center"/>
        <w:rPr>
          <w:rFonts w:ascii="Times New Roman" w:hAnsi="Times New Roman" w:cs="Times New Roman"/>
          <w:sz w:val="24"/>
          <w:szCs w:val="24"/>
        </w:rPr>
      </w:pPr>
      <w:r w:rsidRPr="00BE4AF3">
        <w:rPr>
          <w:rFonts w:ascii="Times New Roman" w:hAnsi="Times New Roman" w:cs="Times New Roman"/>
          <w:noProof/>
          <w:sz w:val="24"/>
          <w:szCs w:val="24"/>
          <w:lang w:eastAsia="en-GB"/>
        </w:rPr>
        <w:drawing>
          <wp:inline distT="0" distB="0" distL="0" distR="0" wp14:anchorId="4A55BD32" wp14:editId="5648153C">
            <wp:extent cx="4486275" cy="1390650"/>
            <wp:effectExtent l="0" t="0" r="0" b="0"/>
            <wp:docPr id="27" name="Picture 2" descr="Strip mall - Wikip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Strip mall - Wikipedia"/>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486910" cy="1390847"/>
                    </a:xfrm>
                    <a:prstGeom prst="rect">
                      <a:avLst/>
                    </a:prstGeom>
                    <a:noFill/>
                    <a:ln>
                      <a:noFill/>
                    </a:ln>
                  </pic:spPr>
                </pic:pic>
              </a:graphicData>
            </a:graphic>
          </wp:inline>
        </w:drawing>
      </w:r>
    </w:p>
    <w:p w14:paraId="33357048" w14:textId="492DFB0D" w:rsidR="00A63CD3" w:rsidRPr="00BE4AF3" w:rsidRDefault="00A63CD3" w:rsidP="005D154C">
      <w:pPr>
        <w:spacing w:line="240" w:lineRule="auto"/>
        <w:contextualSpacing/>
        <w:jc w:val="center"/>
        <w:rPr>
          <w:rFonts w:ascii="Times New Roman" w:hAnsi="Times New Roman" w:cs="Times New Roman"/>
          <w:sz w:val="24"/>
          <w:szCs w:val="24"/>
        </w:rPr>
      </w:pPr>
      <w:r w:rsidRPr="00BE4AF3">
        <w:rPr>
          <w:rFonts w:ascii="Times New Roman" w:hAnsi="Times New Roman" w:cs="Times New Roman"/>
          <w:sz w:val="24"/>
          <w:szCs w:val="24"/>
        </w:rPr>
        <w:t>Source: Author’s compilation (2025)</w:t>
      </w:r>
    </w:p>
    <w:p w14:paraId="24214084" w14:textId="77777777" w:rsidR="00A63CD3" w:rsidRPr="00BE4AF3" w:rsidRDefault="00A63CD3" w:rsidP="00A63CD3">
      <w:pPr>
        <w:spacing w:line="240" w:lineRule="auto"/>
        <w:contextualSpacing/>
        <w:jc w:val="both"/>
        <w:rPr>
          <w:rFonts w:ascii="Times New Roman" w:hAnsi="Times New Roman" w:cs="Times New Roman"/>
          <w:sz w:val="24"/>
          <w:szCs w:val="24"/>
        </w:rPr>
      </w:pPr>
    </w:p>
    <w:p w14:paraId="2AB4D0EF" w14:textId="77777777" w:rsidR="00A63CD3" w:rsidRPr="00BE4AF3" w:rsidRDefault="00A63CD3" w:rsidP="00A63CD3">
      <w:pPr>
        <w:spacing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5. Outlet Malls</w:t>
      </w:r>
    </w:p>
    <w:p w14:paraId="75C03783" w14:textId="77777777" w:rsidR="00A63CD3" w:rsidRPr="00BE4AF3" w:rsidRDefault="00A63CD3" w:rsidP="005D154C">
      <w:pPr>
        <w:spacing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 xml:space="preserve">An outlet mall (also known as outlet centre) is a brick and mortar (sometimes online retail store) is a shopping mall in which a manufacturer sells their products directly to the general public through their own retail stores. While other stores in the outlet mall sell returned products and discounted goods, generally at reduced prices. Outlet malls are generally located in rural or occasionally in tourist locations. These malls consist mostly of manufacturers’ outlet stores selling their own brands at a discount. These malls are typically not anchored. A strip configuration is </w:t>
      </w:r>
      <w:r w:rsidRPr="00BE4AF3">
        <w:rPr>
          <w:rFonts w:ascii="Times New Roman" w:hAnsi="Times New Roman" w:cs="Times New Roman"/>
          <w:sz w:val="24"/>
          <w:szCs w:val="24"/>
        </w:rPr>
        <w:lastRenderedPageBreak/>
        <w:t xml:space="preserve">most common, although some are enclosed malls, and others can be arranged in a “village” cluster. This type of mall is common in the Nigerian property market. This an include shopping centers such as JustRite and Gendor among others. </w:t>
      </w:r>
    </w:p>
    <w:p w14:paraId="6A1EA2DC" w14:textId="77777777" w:rsidR="00A63CD3" w:rsidRPr="00BE4AF3" w:rsidRDefault="00A63CD3" w:rsidP="00A63CD3">
      <w:pPr>
        <w:spacing w:line="240" w:lineRule="auto"/>
        <w:contextualSpacing/>
        <w:jc w:val="both"/>
        <w:rPr>
          <w:rFonts w:ascii="Times New Roman" w:hAnsi="Times New Roman" w:cs="Times New Roman"/>
          <w:sz w:val="24"/>
          <w:szCs w:val="24"/>
        </w:rPr>
      </w:pPr>
    </w:p>
    <w:p w14:paraId="345ABEF2" w14:textId="77777777" w:rsidR="00A63CD3" w:rsidRPr="00BE4AF3" w:rsidRDefault="00A63CD3" w:rsidP="00A63CD3">
      <w:pPr>
        <w:spacing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6. Neighborhood Shopping Mall</w:t>
      </w:r>
    </w:p>
    <w:p w14:paraId="185C0868" w14:textId="77777777" w:rsidR="00A63CD3" w:rsidRPr="00BE4AF3" w:rsidRDefault="00A63CD3" w:rsidP="005D154C">
      <w:pPr>
        <w:spacing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Neighborhood shopping mall means a group of contiguous or adjoining small retail stores or service buildings, not less than two, serving the neighborhood in which they are located, such as the following: food products, barbershop, beauty shop, laundry and dry cleaning, sundries, and such others of a similar nature including establishments selling fermented malt beverages or malt, vinous or spirituous liquors. The neighbourhood centre, usually has a supermarket as a focus, with daily convenience shops such as a drugstore, shoe repair, laundry, and dry cleaner accompanying it.</w:t>
      </w:r>
    </w:p>
    <w:p w14:paraId="1DBB43FE" w14:textId="77777777" w:rsidR="00A63CD3" w:rsidRPr="00BE4AF3" w:rsidRDefault="00A63CD3" w:rsidP="00A63CD3">
      <w:pPr>
        <w:spacing w:line="240" w:lineRule="auto"/>
        <w:ind w:firstLine="720"/>
        <w:contextualSpacing/>
        <w:jc w:val="both"/>
        <w:rPr>
          <w:rFonts w:ascii="Times New Roman" w:hAnsi="Times New Roman" w:cs="Times New Roman"/>
          <w:sz w:val="24"/>
          <w:szCs w:val="24"/>
        </w:rPr>
      </w:pPr>
    </w:p>
    <w:p w14:paraId="1AA370C0" w14:textId="5E866878" w:rsidR="005D154C" w:rsidRDefault="002327E1" w:rsidP="005D154C">
      <w:pPr>
        <w:spacing w:line="240" w:lineRule="auto"/>
        <w:contextualSpacing/>
        <w:jc w:val="both"/>
        <w:rPr>
          <w:rFonts w:ascii="Times New Roman" w:hAnsi="Times New Roman" w:cs="Times New Roman"/>
          <w:b/>
          <w:sz w:val="24"/>
          <w:szCs w:val="24"/>
        </w:rPr>
      </w:pPr>
      <w:r>
        <w:rPr>
          <w:rFonts w:ascii="Times New Roman" w:hAnsi="Times New Roman" w:cs="Times New Roman"/>
          <w:b/>
          <w:sz w:val="24"/>
          <w:szCs w:val="24"/>
        </w:rPr>
        <w:t xml:space="preserve">Material and </w:t>
      </w:r>
      <w:r w:rsidR="00A63CD3" w:rsidRPr="00BE4AF3">
        <w:rPr>
          <w:rFonts w:ascii="Times New Roman" w:hAnsi="Times New Roman" w:cs="Times New Roman"/>
          <w:b/>
          <w:sz w:val="24"/>
          <w:szCs w:val="24"/>
        </w:rPr>
        <w:t xml:space="preserve"> method</w:t>
      </w:r>
    </w:p>
    <w:p w14:paraId="1C2D5C5D" w14:textId="4393DD74" w:rsidR="00A63CD3" w:rsidRPr="005D154C" w:rsidRDefault="00A63CD3" w:rsidP="005D154C">
      <w:pPr>
        <w:spacing w:line="240" w:lineRule="auto"/>
        <w:contextualSpacing/>
        <w:jc w:val="both"/>
        <w:rPr>
          <w:rFonts w:ascii="Times New Roman" w:hAnsi="Times New Roman" w:cs="Times New Roman"/>
          <w:b/>
          <w:sz w:val="24"/>
          <w:szCs w:val="24"/>
        </w:rPr>
      </w:pPr>
      <w:r w:rsidRPr="00BE4AF3">
        <w:rPr>
          <w:rFonts w:ascii="Times New Roman" w:hAnsi="Times New Roman"/>
          <w:color w:val="000000"/>
          <w:sz w:val="24"/>
          <w:szCs w:val="24"/>
          <w:lang w:eastAsia="en-GB"/>
        </w:rPr>
        <w:t xml:space="preserve">The target population for this study includes estate surveying and valuation firms in Lagos property market. </w:t>
      </w:r>
      <w:r w:rsidRPr="00BE4AF3">
        <w:rPr>
          <w:rFonts w:ascii="Times New Roman" w:hAnsi="Times New Roman"/>
          <w:sz w:val="24"/>
          <w:szCs w:val="24"/>
        </w:rPr>
        <w:t xml:space="preserve">The sampling frame for the study include 154 ESV firms in Lagos Island, 262 ESV firms in Lagos Mainland. </w:t>
      </w:r>
      <w:r w:rsidRPr="00BE4AF3">
        <w:rPr>
          <w:rFonts w:ascii="Times New Roman" w:eastAsia="Times New Roman" w:hAnsi="Times New Roman"/>
          <w:color w:val="121212"/>
          <w:sz w:val="24"/>
          <w:szCs w:val="24"/>
        </w:rPr>
        <w:t xml:space="preserve">The sample size will chosen based on Watson (2001) submission sample size for a 5% margin of error is 50% for population greater than 100 and total enumeration for population size less than 100. </w:t>
      </w:r>
      <w:r w:rsidRPr="00BE4AF3">
        <w:rPr>
          <w:rFonts w:ascii="Times New Roman" w:eastAsia="Times New Roman" w:hAnsi="Times New Roman"/>
          <w:sz w:val="24"/>
          <w:szCs w:val="24"/>
        </w:rPr>
        <w:t>the professionals will provide answers on the type of shopping malls in the study area. Also, information about the constructional details will be sourced from the professionals. The analysis of this objective will be done using descriptive (frequency, mean, mode) and inferential statistics (t-test and chi-square). the professionals will provide answers on rental value of the shopping malls from 2012 to 2023. The analysis of this objective will be done using inferential statistics (trend analysis).</w:t>
      </w:r>
    </w:p>
    <w:p w14:paraId="133D1495" w14:textId="77777777" w:rsidR="00A63CD3" w:rsidRPr="00BE4AF3" w:rsidRDefault="00A63CD3" w:rsidP="00A63CD3">
      <w:pPr>
        <w:spacing w:after="0" w:line="240" w:lineRule="auto"/>
        <w:contextualSpacing/>
        <w:jc w:val="both"/>
        <w:rPr>
          <w:rFonts w:ascii="Times New Roman" w:hAnsi="Times New Roman" w:cs="Times New Roman"/>
          <w:sz w:val="24"/>
          <w:szCs w:val="24"/>
        </w:rPr>
      </w:pPr>
    </w:p>
    <w:p w14:paraId="294B65D5" w14:textId="5191B6FC" w:rsidR="00A63CD3" w:rsidRPr="00BE4AF3" w:rsidRDefault="00A63CD3" w:rsidP="00A63CD3">
      <w:pPr>
        <w:spacing w:after="0" w:line="240" w:lineRule="auto"/>
        <w:contextualSpacing/>
        <w:jc w:val="both"/>
        <w:rPr>
          <w:rFonts w:ascii="Times New Roman" w:hAnsi="Times New Roman" w:cs="Times New Roman"/>
          <w:b/>
          <w:sz w:val="24"/>
          <w:szCs w:val="24"/>
        </w:rPr>
      </w:pPr>
      <w:r w:rsidRPr="00BE4AF3">
        <w:rPr>
          <w:rFonts w:ascii="Times New Roman" w:hAnsi="Times New Roman" w:cs="Times New Roman"/>
          <w:b/>
          <w:sz w:val="24"/>
          <w:szCs w:val="24"/>
        </w:rPr>
        <w:t>Results and discussions</w:t>
      </w:r>
    </w:p>
    <w:p w14:paraId="4C8E5DB7" w14:textId="77777777" w:rsidR="00A63CD3" w:rsidRPr="00BE4AF3" w:rsidRDefault="00A63CD3" w:rsidP="005D154C">
      <w:pPr>
        <w:autoSpaceDE w:val="0"/>
        <w:autoSpaceDN w:val="0"/>
        <w:adjustRightInd w:val="0"/>
        <w:spacing w:after="0"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 xml:space="preserve">This section contains the analysis of the profiles of the sampled firms. Response of respondents with respect to the types of shopping malls was presented while the next section presents information on the rental value of shopping malls from 2012 to 2023. The distribution of questionnaire as administered and retrieved in the study area. A total of 208 copies questionnaire were distributed to each estate surveying and valuation firms in Lagos. 77 distributed in Lagos Island and 131 distributed in Lagos Mainland. From the distributed copies of questionnaire 129 (Lagos Island: 62 and Lagos Mainland: 67) were retrieved which amounted to a total of 62.02% (Lagos Island: 80.52% and Lagos Mainland: 51.14%) retrieval rate. Which appears sufficient for the study considering constrain of time. The 100% rate of retrieval was possible because the estate surveyors and valuers were approached at their monthly meetings and they were all willing to fill the questionnaire. </w:t>
      </w:r>
    </w:p>
    <w:p w14:paraId="0CAE1E4F" w14:textId="77777777" w:rsidR="00A63CD3" w:rsidRPr="00BE4AF3" w:rsidRDefault="00A63CD3" w:rsidP="005D154C">
      <w:pPr>
        <w:autoSpaceDE w:val="0"/>
        <w:autoSpaceDN w:val="0"/>
        <w:adjustRightInd w:val="0"/>
        <w:spacing w:after="0"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 xml:space="preserve">The analysis reveals that most of the firms in Lagos Island have existed for 10 years to 15 years (43.5%), followed by firms those are in existence for 5 years to 10 years (30.7%). In Lagos Mainland, most of the firms has existed for 5years to 10 years (43.3%), followed by firms that are in existence for 10 years to 15 years (41.8%). This indicates that the firms had experience of the running in the Lagos property market. On the aggregate, most of the firms in Lagos had existed 10 years to 15 years (42.6%), followed by firms that are in existence for 5 years to 10 years (37.3%). Furthermore, most of the firms had a minimum of three (3) departments and maximum of four (4) departments. Explicitly in Lagos Island, 96.8% of the firms had 4 departments while only 3.2% of the firm had 3 departments. In the same vein, 95.5% of the firms had 4 departments while only </w:t>
      </w:r>
      <w:r w:rsidRPr="00BE4AF3">
        <w:rPr>
          <w:rFonts w:ascii="Times New Roman" w:hAnsi="Times New Roman" w:cs="Times New Roman"/>
          <w:sz w:val="24"/>
          <w:szCs w:val="24"/>
        </w:rPr>
        <w:lastRenderedPageBreak/>
        <w:t>4.5% of the firm had 3 departments in Lagos Mainland. The result suggests that in Lagos property market most of the Estate Surveying and Valuation firms had minimum of 3 departments and maximum of 4 departments.</w:t>
      </w:r>
    </w:p>
    <w:p w14:paraId="0ECD7499" w14:textId="77777777" w:rsidR="00A63CD3" w:rsidRPr="00BE4AF3" w:rsidRDefault="00A63CD3" w:rsidP="00A63CD3">
      <w:pPr>
        <w:autoSpaceDE w:val="0"/>
        <w:autoSpaceDN w:val="0"/>
        <w:adjustRightInd w:val="0"/>
        <w:spacing w:after="0" w:line="240" w:lineRule="auto"/>
        <w:ind w:firstLine="720"/>
        <w:contextualSpacing/>
        <w:jc w:val="both"/>
        <w:rPr>
          <w:rFonts w:ascii="Times New Roman" w:hAnsi="Times New Roman" w:cs="Times New Roman"/>
          <w:sz w:val="24"/>
          <w:szCs w:val="24"/>
        </w:rPr>
      </w:pPr>
      <w:r w:rsidRPr="00BE4AF3">
        <w:rPr>
          <w:rFonts w:ascii="Times New Roman" w:hAnsi="Times New Roman" w:cs="Times New Roman"/>
          <w:sz w:val="24"/>
          <w:szCs w:val="24"/>
        </w:rPr>
        <w:t xml:space="preserve">  </w:t>
      </w:r>
    </w:p>
    <w:p w14:paraId="7AFED863" w14:textId="77777777" w:rsidR="00A63CD3" w:rsidRPr="00BE4AF3" w:rsidRDefault="00A63CD3" w:rsidP="005D154C">
      <w:pPr>
        <w:spacing w:after="0" w:line="240" w:lineRule="auto"/>
        <w:contextualSpacing/>
        <w:jc w:val="center"/>
        <w:rPr>
          <w:rFonts w:ascii="Times New Roman" w:hAnsi="Times New Roman" w:cs="Times New Roman"/>
          <w:b/>
          <w:sz w:val="24"/>
          <w:szCs w:val="24"/>
        </w:rPr>
      </w:pPr>
      <w:r w:rsidRPr="00BE4AF3">
        <w:rPr>
          <w:rFonts w:ascii="Times New Roman" w:hAnsi="Times New Roman" w:cs="Times New Roman"/>
          <w:b/>
          <w:sz w:val="24"/>
          <w:szCs w:val="24"/>
        </w:rPr>
        <w:t xml:space="preserve">Table 4.1: </w:t>
      </w:r>
      <w:r w:rsidRPr="005D154C">
        <w:rPr>
          <w:rFonts w:ascii="Times New Roman" w:hAnsi="Times New Roman" w:cs="Times New Roman"/>
          <w:bCs/>
          <w:sz w:val="24"/>
          <w:szCs w:val="24"/>
        </w:rPr>
        <w:t>Firms’ Profile</w:t>
      </w:r>
    </w:p>
    <w:tbl>
      <w:tblPr>
        <w:tblW w:w="0" w:type="auto"/>
        <w:jc w:val="center"/>
        <w:tblBorders>
          <w:top w:val="single" w:sz="4" w:space="0" w:color="auto"/>
          <w:bottom w:val="single" w:sz="4" w:space="0" w:color="auto"/>
        </w:tblBorders>
        <w:tblLook w:val="04A0" w:firstRow="1" w:lastRow="0" w:firstColumn="1" w:lastColumn="0" w:noHBand="0" w:noVBand="1"/>
      </w:tblPr>
      <w:tblGrid>
        <w:gridCol w:w="3402"/>
        <w:gridCol w:w="1930"/>
        <w:gridCol w:w="2101"/>
        <w:gridCol w:w="1374"/>
      </w:tblGrid>
      <w:tr w:rsidR="00A63CD3" w:rsidRPr="005D154C" w14:paraId="0A36957F" w14:textId="77777777" w:rsidTr="005D154C">
        <w:trPr>
          <w:jc w:val="center"/>
        </w:trPr>
        <w:tc>
          <w:tcPr>
            <w:tcW w:w="3402" w:type="dxa"/>
            <w:tcBorders>
              <w:top w:val="single" w:sz="4" w:space="0" w:color="auto"/>
              <w:bottom w:val="single" w:sz="4" w:space="0" w:color="auto"/>
            </w:tcBorders>
          </w:tcPr>
          <w:p w14:paraId="1DC040C2"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sz w:val="20"/>
                <w:szCs w:val="20"/>
              </w:rPr>
            </w:pPr>
            <w:r w:rsidRPr="005D154C">
              <w:rPr>
                <w:rFonts w:ascii="Times New Roman" w:hAnsi="Times New Roman" w:cs="Times New Roman"/>
                <w:bCs/>
                <w:sz w:val="20"/>
                <w:szCs w:val="20"/>
              </w:rPr>
              <w:t xml:space="preserve">Firm’s Characteristics </w:t>
            </w:r>
          </w:p>
        </w:tc>
        <w:tc>
          <w:tcPr>
            <w:tcW w:w="1930" w:type="dxa"/>
            <w:tcBorders>
              <w:top w:val="single" w:sz="4" w:space="0" w:color="auto"/>
              <w:bottom w:val="single" w:sz="4" w:space="0" w:color="auto"/>
            </w:tcBorders>
          </w:tcPr>
          <w:p w14:paraId="73811070"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sz w:val="20"/>
                <w:szCs w:val="20"/>
              </w:rPr>
            </w:pPr>
            <w:r w:rsidRPr="005D154C">
              <w:rPr>
                <w:rFonts w:ascii="Times New Roman" w:hAnsi="Times New Roman" w:cs="Times New Roman"/>
                <w:bCs/>
                <w:sz w:val="20"/>
                <w:szCs w:val="20"/>
              </w:rPr>
              <w:t>Lagos Island (%)</w:t>
            </w:r>
          </w:p>
        </w:tc>
        <w:tc>
          <w:tcPr>
            <w:tcW w:w="2101" w:type="dxa"/>
            <w:tcBorders>
              <w:top w:val="single" w:sz="4" w:space="0" w:color="auto"/>
              <w:bottom w:val="single" w:sz="4" w:space="0" w:color="auto"/>
            </w:tcBorders>
          </w:tcPr>
          <w:p w14:paraId="3960A135"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sz w:val="20"/>
                <w:szCs w:val="20"/>
              </w:rPr>
            </w:pPr>
            <w:r w:rsidRPr="005D154C">
              <w:rPr>
                <w:rFonts w:ascii="Times New Roman" w:hAnsi="Times New Roman" w:cs="Times New Roman"/>
                <w:bCs/>
                <w:sz w:val="20"/>
                <w:szCs w:val="20"/>
              </w:rPr>
              <w:t>Lagos Mainland (%)</w:t>
            </w:r>
          </w:p>
        </w:tc>
        <w:tc>
          <w:tcPr>
            <w:tcW w:w="1374" w:type="dxa"/>
            <w:tcBorders>
              <w:top w:val="single" w:sz="4" w:space="0" w:color="auto"/>
              <w:bottom w:val="single" w:sz="4" w:space="0" w:color="auto"/>
            </w:tcBorders>
          </w:tcPr>
          <w:p w14:paraId="4B15464B"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sz w:val="20"/>
                <w:szCs w:val="20"/>
              </w:rPr>
            </w:pPr>
            <w:r w:rsidRPr="005D154C">
              <w:rPr>
                <w:rFonts w:ascii="Times New Roman" w:hAnsi="Times New Roman" w:cs="Times New Roman"/>
                <w:bCs/>
                <w:sz w:val="20"/>
                <w:szCs w:val="20"/>
              </w:rPr>
              <w:t>Lagos (%)</w:t>
            </w:r>
          </w:p>
        </w:tc>
      </w:tr>
      <w:tr w:rsidR="00A63CD3" w:rsidRPr="005D154C" w14:paraId="56008EE2" w14:textId="77777777" w:rsidTr="005D154C">
        <w:trPr>
          <w:jc w:val="center"/>
        </w:trPr>
        <w:tc>
          <w:tcPr>
            <w:tcW w:w="3402" w:type="dxa"/>
            <w:tcBorders>
              <w:top w:val="single" w:sz="4" w:space="0" w:color="auto"/>
            </w:tcBorders>
          </w:tcPr>
          <w:p w14:paraId="6B11F257" w14:textId="77777777" w:rsidR="00A63CD3" w:rsidRPr="005D154C" w:rsidRDefault="00A63CD3" w:rsidP="00A63CD3">
            <w:pPr>
              <w:numPr>
                <w:ilvl w:val="0"/>
                <w:numId w:val="15"/>
              </w:numPr>
              <w:autoSpaceDE w:val="0"/>
              <w:autoSpaceDN w:val="0"/>
              <w:adjustRightInd w:val="0"/>
              <w:spacing w:after="0" w:line="240" w:lineRule="auto"/>
              <w:contextualSpacing/>
              <w:jc w:val="both"/>
              <w:rPr>
                <w:rFonts w:ascii="Times New Roman" w:hAnsi="Times New Roman" w:cs="Times New Roman"/>
                <w:bCs/>
                <w:sz w:val="20"/>
                <w:szCs w:val="20"/>
              </w:rPr>
            </w:pPr>
            <w:r w:rsidRPr="005D154C">
              <w:rPr>
                <w:rFonts w:ascii="Times New Roman" w:hAnsi="Times New Roman" w:cs="Times New Roman"/>
                <w:bCs/>
                <w:sz w:val="20"/>
                <w:szCs w:val="20"/>
              </w:rPr>
              <w:t xml:space="preserve">Years of Existence </w:t>
            </w:r>
          </w:p>
        </w:tc>
        <w:tc>
          <w:tcPr>
            <w:tcW w:w="1930" w:type="dxa"/>
            <w:tcBorders>
              <w:top w:val="single" w:sz="4" w:space="0" w:color="auto"/>
            </w:tcBorders>
          </w:tcPr>
          <w:p w14:paraId="2A8ADF34"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sz w:val="20"/>
                <w:szCs w:val="20"/>
              </w:rPr>
            </w:pPr>
          </w:p>
        </w:tc>
        <w:tc>
          <w:tcPr>
            <w:tcW w:w="2101" w:type="dxa"/>
            <w:tcBorders>
              <w:top w:val="single" w:sz="4" w:space="0" w:color="auto"/>
            </w:tcBorders>
          </w:tcPr>
          <w:p w14:paraId="2CA1A170"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sz w:val="20"/>
                <w:szCs w:val="20"/>
              </w:rPr>
            </w:pPr>
          </w:p>
        </w:tc>
        <w:tc>
          <w:tcPr>
            <w:tcW w:w="1374" w:type="dxa"/>
            <w:tcBorders>
              <w:top w:val="single" w:sz="4" w:space="0" w:color="auto"/>
            </w:tcBorders>
          </w:tcPr>
          <w:p w14:paraId="4FBB0D78"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sz w:val="20"/>
                <w:szCs w:val="20"/>
              </w:rPr>
            </w:pPr>
          </w:p>
        </w:tc>
      </w:tr>
      <w:tr w:rsidR="00A63CD3" w:rsidRPr="005D154C" w14:paraId="0397511A" w14:textId="77777777" w:rsidTr="005D154C">
        <w:trPr>
          <w:jc w:val="center"/>
        </w:trPr>
        <w:tc>
          <w:tcPr>
            <w:tcW w:w="3402" w:type="dxa"/>
            <w:vAlign w:val="center"/>
          </w:tcPr>
          <w:p w14:paraId="6E764938"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Less than 5</w:t>
            </w:r>
          </w:p>
        </w:tc>
        <w:tc>
          <w:tcPr>
            <w:tcW w:w="1930" w:type="dxa"/>
            <w:vAlign w:val="center"/>
          </w:tcPr>
          <w:p w14:paraId="4AE3D05F"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12 (19.4%)</w:t>
            </w:r>
          </w:p>
        </w:tc>
        <w:tc>
          <w:tcPr>
            <w:tcW w:w="2101" w:type="dxa"/>
            <w:vAlign w:val="center"/>
          </w:tcPr>
          <w:p w14:paraId="20BD9D10"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8 (11.9%)</w:t>
            </w:r>
          </w:p>
        </w:tc>
        <w:tc>
          <w:tcPr>
            <w:tcW w:w="1374" w:type="dxa"/>
          </w:tcPr>
          <w:p w14:paraId="253F2C68"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20 (15.5%)</w:t>
            </w:r>
          </w:p>
        </w:tc>
      </w:tr>
      <w:tr w:rsidR="00A63CD3" w:rsidRPr="005D154C" w14:paraId="4B3CD653" w14:textId="77777777" w:rsidTr="005D154C">
        <w:trPr>
          <w:jc w:val="center"/>
        </w:trPr>
        <w:tc>
          <w:tcPr>
            <w:tcW w:w="3402" w:type="dxa"/>
            <w:vAlign w:val="center"/>
          </w:tcPr>
          <w:p w14:paraId="5F0EF237"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5-10</w:t>
            </w:r>
          </w:p>
        </w:tc>
        <w:tc>
          <w:tcPr>
            <w:tcW w:w="1930" w:type="dxa"/>
            <w:vAlign w:val="center"/>
          </w:tcPr>
          <w:p w14:paraId="5B6F026B"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19 (30.7%)</w:t>
            </w:r>
          </w:p>
        </w:tc>
        <w:tc>
          <w:tcPr>
            <w:tcW w:w="2101" w:type="dxa"/>
            <w:vAlign w:val="center"/>
          </w:tcPr>
          <w:p w14:paraId="4CBCA5ED"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29 (43.3%)</w:t>
            </w:r>
          </w:p>
        </w:tc>
        <w:tc>
          <w:tcPr>
            <w:tcW w:w="1374" w:type="dxa"/>
          </w:tcPr>
          <w:p w14:paraId="7C3653E1"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48 (37.3%)</w:t>
            </w:r>
          </w:p>
        </w:tc>
      </w:tr>
      <w:tr w:rsidR="00A63CD3" w:rsidRPr="005D154C" w14:paraId="47DA1BCF" w14:textId="77777777" w:rsidTr="005D154C">
        <w:trPr>
          <w:jc w:val="center"/>
        </w:trPr>
        <w:tc>
          <w:tcPr>
            <w:tcW w:w="3402" w:type="dxa"/>
            <w:vAlign w:val="center"/>
          </w:tcPr>
          <w:p w14:paraId="77F70418"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10-15</w:t>
            </w:r>
          </w:p>
        </w:tc>
        <w:tc>
          <w:tcPr>
            <w:tcW w:w="1930" w:type="dxa"/>
            <w:vAlign w:val="center"/>
          </w:tcPr>
          <w:p w14:paraId="5A64F3AB"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27 (43.5%)</w:t>
            </w:r>
          </w:p>
        </w:tc>
        <w:tc>
          <w:tcPr>
            <w:tcW w:w="2101" w:type="dxa"/>
            <w:vAlign w:val="center"/>
          </w:tcPr>
          <w:p w14:paraId="6DE4D723"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28 (41.8%)</w:t>
            </w:r>
          </w:p>
        </w:tc>
        <w:tc>
          <w:tcPr>
            <w:tcW w:w="1374" w:type="dxa"/>
          </w:tcPr>
          <w:p w14:paraId="7F1E48C1"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55 (42.6%)</w:t>
            </w:r>
          </w:p>
        </w:tc>
      </w:tr>
      <w:tr w:rsidR="00A63CD3" w:rsidRPr="005D154C" w14:paraId="37CD3A02" w14:textId="77777777" w:rsidTr="005D154C">
        <w:trPr>
          <w:jc w:val="center"/>
        </w:trPr>
        <w:tc>
          <w:tcPr>
            <w:tcW w:w="3402" w:type="dxa"/>
            <w:vAlign w:val="center"/>
          </w:tcPr>
          <w:p w14:paraId="1569AC3E"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Above 15</w:t>
            </w:r>
          </w:p>
        </w:tc>
        <w:tc>
          <w:tcPr>
            <w:tcW w:w="1930" w:type="dxa"/>
            <w:vAlign w:val="center"/>
          </w:tcPr>
          <w:p w14:paraId="12018A69"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4 (6.5%)</w:t>
            </w:r>
          </w:p>
        </w:tc>
        <w:tc>
          <w:tcPr>
            <w:tcW w:w="2101" w:type="dxa"/>
            <w:vAlign w:val="center"/>
          </w:tcPr>
          <w:p w14:paraId="6027A759"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2 (3.0%)</w:t>
            </w:r>
          </w:p>
        </w:tc>
        <w:tc>
          <w:tcPr>
            <w:tcW w:w="1374" w:type="dxa"/>
          </w:tcPr>
          <w:p w14:paraId="6C4BECED"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6 (4.7%)</w:t>
            </w:r>
          </w:p>
        </w:tc>
      </w:tr>
      <w:tr w:rsidR="00A63CD3" w:rsidRPr="005D154C" w14:paraId="4804CB63" w14:textId="77777777" w:rsidTr="005D154C">
        <w:trPr>
          <w:jc w:val="center"/>
        </w:trPr>
        <w:tc>
          <w:tcPr>
            <w:tcW w:w="3402" w:type="dxa"/>
          </w:tcPr>
          <w:p w14:paraId="57372695"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iCs/>
                <w:sz w:val="20"/>
                <w:szCs w:val="20"/>
              </w:rPr>
            </w:pPr>
            <w:r w:rsidRPr="005D154C">
              <w:rPr>
                <w:rFonts w:ascii="Times New Roman" w:hAnsi="Times New Roman" w:cs="Times New Roman"/>
                <w:b/>
                <w:iCs/>
                <w:sz w:val="20"/>
                <w:szCs w:val="20"/>
              </w:rPr>
              <w:t>Total</w:t>
            </w:r>
          </w:p>
        </w:tc>
        <w:tc>
          <w:tcPr>
            <w:tcW w:w="1930" w:type="dxa"/>
          </w:tcPr>
          <w:p w14:paraId="79D00362"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
                <w:iCs/>
                <w:sz w:val="20"/>
                <w:szCs w:val="20"/>
              </w:rPr>
            </w:pPr>
            <w:r w:rsidRPr="005D154C">
              <w:rPr>
                <w:rFonts w:ascii="Times New Roman" w:hAnsi="Times New Roman" w:cs="Times New Roman"/>
                <w:b/>
                <w:iCs/>
                <w:sz w:val="20"/>
                <w:szCs w:val="20"/>
              </w:rPr>
              <w:t>62 (100.0)</w:t>
            </w:r>
          </w:p>
        </w:tc>
        <w:tc>
          <w:tcPr>
            <w:tcW w:w="2101" w:type="dxa"/>
          </w:tcPr>
          <w:p w14:paraId="3C1EBDF7"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
                <w:iCs/>
                <w:sz w:val="20"/>
                <w:szCs w:val="20"/>
              </w:rPr>
            </w:pPr>
            <w:r w:rsidRPr="005D154C">
              <w:rPr>
                <w:rFonts w:ascii="Times New Roman" w:hAnsi="Times New Roman" w:cs="Times New Roman"/>
                <w:b/>
                <w:iCs/>
                <w:sz w:val="20"/>
                <w:szCs w:val="20"/>
              </w:rPr>
              <w:t>67 (100.0)</w:t>
            </w:r>
          </w:p>
        </w:tc>
        <w:tc>
          <w:tcPr>
            <w:tcW w:w="1374" w:type="dxa"/>
          </w:tcPr>
          <w:p w14:paraId="026A6DD9"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
                <w:iCs/>
                <w:sz w:val="20"/>
                <w:szCs w:val="20"/>
              </w:rPr>
            </w:pPr>
            <w:r w:rsidRPr="005D154C">
              <w:rPr>
                <w:rFonts w:ascii="Times New Roman" w:hAnsi="Times New Roman" w:cs="Times New Roman"/>
                <w:b/>
                <w:iCs/>
                <w:sz w:val="20"/>
                <w:szCs w:val="20"/>
              </w:rPr>
              <w:t>129 (100.0)</w:t>
            </w:r>
          </w:p>
        </w:tc>
      </w:tr>
      <w:tr w:rsidR="00A63CD3" w:rsidRPr="005D154C" w14:paraId="7175B1AB" w14:textId="77777777" w:rsidTr="005D154C">
        <w:trPr>
          <w:jc w:val="center"/>
        </w:trPr>
        <w:tc>
          <w:tcPr>
            <w:tcW w:w="3402" w:type="dxa"/>
          </w:tcPr>
          <w:p w14:paraId="7AFB7F96" w14:textId="77777777" w:rsidR="00A63CD3" w:rsidRPr="005D154C" w:rsidRDefault="00A63CD3" w:rsidP="00A63CD3">
            <w:pPr>
              <w:numPr>
                <w:ilvl w:val="0"/>
                <w:numId w:val="15"/>
              </w:numPr>
              <w:autoSpaceDE w:val="0"/>
              <w:autoSpaceDN w:val="0"/>
              <w:adjustRightInd w:val="0"/>
              <w:spacing w:after="0" w:line="240" w:lineRule="auto"/>
              <w:contextualSpacing/>
              <w:jc w:val="both"/>
              <w:rPr>
                <w:rFonts w:ascii="Times New Roman" w:hAnsi="Times New Roman" w:cs="Times New Roman"/>
                <w:bCs/>
                <w:sz w:val="20"/>
                <w:szCs w:val="20"/>
              </w:rPr>
            </w:pPr>
            <w:r w:rsidRPr="005D154C">
              <w:rPr>
                <w:rFonts w:ascii="Times New Roman" w:hAnsi="Times New Roman" w:cs="Times New Roman"/>
                <w:bCs/>
                <w:sz w:val="20"/>
                <w:szCs w:val="20"/>
              </w:rPr>
              <w:t xml:space="preserve">No of Departments </w:t>
            </w:r>
          </w:p>
        </w:tc>
        <w:tc>
          <w:tcPr>
            <w:tcW w:w="1930" w:type="dxa"/>
          </w:tcPr>
          <w:p w14:paraId="1D5AA08B"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sz w:val="20"/>
                <w:szCs w:val="20"/>
              </w:rPr>
            </w:pPr>
          </w:p>
        </w:tc>
        <w:tc>
          <w:tcPr>
            <w:tcW w:w="2101" w:type="dxa"/>
          </w:tcPr>
          <w:p w14:paraId="38CDC27F"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sz w:val="20"/>
                <w:szCs w:val="20"/>
              </w:rPr>
            </w:pPr>
          </w:p>
        </w:tc>
        <w:tc>
          <w:tcPr>
            <w:tcW w:w="1374" w:type="dxa"/>
          </w:tcPr>
          <w:p w14:paraId="48AB5F59"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sz w:val="20"/>
                <w:szCs w:val="20"/>
              </w:rPr>
            </w:pPr>
          </w:p>
        </w:tc>
      </w:tr>
      <w:tr w:rsidR="00A63CD3" w:rsidRPr="005D154C" w14:paraId="296A8B18" w14:textId="77777777" w:rsidTr="005D154C">
        <w:trPr>
          <w:jc w:val="center"/>
        </w:trPr>
        <w:tc>
          <w:tcPr>
            <w:tcW w:w="3402" w:type="dxa"/>
            <w:vAlign w:val="center"/>
          </w:tcPr>
          <w:p w14:paraId="4B2DF33E"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1</w:t>
            </w:r>
          </w:p>
        </w:tc>
        <w:tc>
          <w:tcPr>
            <w:tcW w:w="1930" w:type="dxa"/>
            <w:vAlign w:val="center"/>
          </w:tcPr>
          <w:p w14:paraId="3CD970C2"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 (0.0%)</w:t>
            </w:r>
          </w:p>
        </w:tc>
        <w:tc>
          <w:tcPr>
            <w:tcW w:w="2101" w:type="dxa"/>
            <w:vAlign w:val="center"/>
          </w:tcPr>
          <w:p w14:paraId="7CC79724"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 (0.0%)</w:t>
            </w:r>
          </w:p>
        </w:tc>
        <w:tc>
          <w:tcPr>
            <w:tcW w:w="1374" w:type="dxa"/>
          </w:tcPr>
          <w:p w14:paraId="0FFE4A06"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 (0.0%)</w:t>
            </w:r>
          </w:p>
        </w:tc>
      </w:tr>
      <w:tr w:rsidR="00A63CD3" w:rsidRPr="005D154C" w14:paraId="4C801027" w14:textId="77777777" w:rsidTr="005D154C">
        <w:trPr>
          <w:jc w:val="center"/>
        </w:trPr>
        <w:tc>
          <w:tcPr>
            <w:tcW w:w="3402" w:type="dxa"/>
            <w:vAlign w:val="center"/>
          </w:tcPr>
          <w:p w14:paraId="7766D30F"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2</w:t>
            </w:r>
          </w:p>
        </w:tc>
        <w:tc>
          <w:tcPr>
            <w:tcW w:w="1930" w:type="dxa"/>
            <w:vAlign w:val="center"/>
          </w:tcPr>
          <w:p w14:paraId="3EBBE142"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 (0.0%)</w:t>
            </w:r>
          </w:p>
        </w:tc>
        <w:tc>
          <w:tcPr>
            <w:tcW w:w="2101" w:type="dxa"/>
            <w:vAlign w:val="center"/>
          </w:tcPr>
          <w:p w14:paraId="48BD6FBA"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 (0.0%)</w:t>
            </w:r>
          </w:p>
        </w:tc>
        <w:tc>
          <w:tcPr>
            <w:tcW w:w="1374" w:type="dxa"/>
          </w:tcPr>
          <w:p w14:paraId="267408BD"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 (0.0%)</w:t>
            </w:r>
          </w:p>
        </w:tc>
      </w:tr>
      <w:tr w:rsidR="00A63CD3" w:rsidRPr="005D154C" w14:paraId="46D1C6EE" w14:textId="77777777" w:rsidTr="005D154C">
        <w:trPr>
          <w:jc w:val="center"/>
        </w:trPr>
        <w:tc>
          <w:tcPr>
            <w:tcW w:w="3402" w:type="dxa"/>
            <w:vAlign w:val="center"/>
          </w:tcPr>
          <w:p w14:paraId="67F88BAC"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3</w:t>
            </w:r>
          </w:p>
        </w:tc>
        <w:tc>
          <w:tcPr>
            <w:tcW w:w="1930" w:type="dxa"/>
            <w:vAlign w:val="center"/>
          </w:tcPr>
          <w:p w14:paraId="451327B7" w14:textId="77777777" w:rsidR="00A63CD3" w:rsidRPr="005D154C" w:rsidRDefault="00A63CD3" w:rsidP="0000060D">
            <w:pPr>
              <w:autoSpaceDE w:val="0"/>
              <w:autoSpaceDN w:val="0"/>
              <w:adjustRightInd w:val="0"/>
              <w:spacing w:after="0" w:line="240" w:lineRule="auto"/>
              <w:ind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2 (3.2%)</w:t>
            </w:r>
          </w:p>
        </w:tc>
        <w:tc>
          <w:tcPr>
            <w:tcW w:w="2101" w:type="dxa"/>
            <w:vAlign w:val="center"/>
          </w:tcPr>
          <w:p w14:paraId="0AE77658"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3 (4.5%)</w:t>
            </w:r>
          </w:p>
        </w:tc>
        <w:tc>
          <w:tcPr>
            <w:tcW w:w="1374" w:type="dxa"/>
          </w:tcPr>
          <w:p w14:paraId="6CB3BFCB"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5 (3.9%)</w:t>
            </w:r>
          </w:p>
        </w:tc>
      </w:tr>
      <w:tr w:rsidR="00A63CD3" w:rsidRPr="005D154C" w14:paraId="778BDCC2" w14:textId="77777777" w:rsidTr="005D154C">
        <w:trPr>
          <w:jc w:val="center"/>
        </w:trPr>
        <w:tc>
          <w:tcPr>
            <w:tcW w:w="3402" w:type="dxa"/>
            <w:vAlign w:val="center"/>
          </w:tcPr>
          <w:p w14:paraId="78C97FC9"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4</w:t>
            </w:r>
          </w:p>
        </w:tc>
        <w:tc>
          <w:tcPr>
            <w:tcW w:w="1930" w:type="dxa"/>
            <w:vAlign w:val="center"/>
          </w:tcPr>
          <w:p w14:paraId="65382E5D"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60 (96.8%)</w:t>
            </w:r>
          </w:p>
        </w:tc>
        <w:tc>
          <w:tcPr>
            <w:tcW w:w="2101" w:type="dxa"/>
            <w:vAlign w:val="center"/>
          </w:tcPr>
          <w:p w14:paraId="375798CD"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64 (95.5%)</w:t>
            </w:r>
          </w:p>
        </w:tc>
        <w:tc>
          <w:tcPr>
            <w:tcW w:w="1374" w:type="dxa"/>
          </w:tcPr>
          <w:p w14:paraId="368DC358" w14:textId="77777777" w:rsidR="00A63CD3" w:rsidRPr="005D154C" w:rsidRDefault="00A63CD3" w:rsidP="0000060D">
            <w:pPr>
              <w:autoSpaceDE w:val="0"/>
              <w:autoSpaceDN w:val="0"/>
              <w:adjustRightInd w:val="0"/>
              <w:spacing w:after="0" w:line="240" w:lineRule="auto"/>
              <w:ind w:left="60" w:right="60"/>
              <w:contextualSpacing/>
              <w:jc w:val="both"/>
              <w:rPr>
                <w:rFonts w:ascii="Times New Roman" w:hAnsi="Times New Roman" w:cs="Times New Roman"/>
                <w:color w:val="000000"/>
                <w:sz w:val="20"/>
                <w:szCs w:val="20"/>
              </w:rPr>
            </w:pPr>
            <w:r w:rsidRPr="005D154C">
              <w:rPr>
                <w:rFonts w:ascii="Times New Roman" w:hAnsi="Times New Roman" w:cs="Times New Roman"/>
                <w:color w:val="000000"/>
                <w:sz w:val="20"/>
                <w:szCs w:val="20"/>
              </w:rPr>
              <w:t>124 (96.1%)</w:t>
            </w:r>
          </w:p>
        </w:tc>
      </w:tr>
      <w:tr w:rsidR="00A63CD3" w:rsidRPr="005D154C" w14:paraId="5918BB6F" w14:textId="77777777" w:rsidTr="005D154C">
        <w:trPr>
          <w:jc w:val="center"/>
        </w:trPr>
        <w:tc>
          <w:tcPr>
            <w:tcW w:w="3402" w:type="dxa"/>
          </w:tcPr>
          <w:p w14:paraId="4BA0FDDB"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iCs/>
                <w:sz w:val="20"/>
                <w:szCs w:val="20"/>
              </w:rPr>
            </w:pPr>
            <w:r w:rsidRPr="005D154C">
              <w:rPr>
                <w:rFonts w:ascii="Times New Roman" w:hAnsi="Times New Roman" w:cs="Times New Roman"/>
                <w:b/>
                <w:iCs/>
                <w:sz w:val="20"/>
                <w:szCs w:val="20"/>
              </w:rPr>
              <w:t>Total</w:t>
            </w:r>
          </w:p>
        </w:tc>
        <w:tc>
          <w:tcPr>
            <w:tcW w:w="1930" w:type="dxa"/>
          </w:tcPr>
          <w:p w14:paraId="7A378C4D"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
                <w:iCs/>
                <w:sz w:val="20"/>
                <w:szCs w:val="20"/>
              </w:rPr>
            </w:pPr>
            <w:r w:rsidRPr="005D154C">
              <w:rPr>
                <w:rFonts w:ascii="Times New Roman" w:hAnsi="Times New Roman" w:cs="Times New Roman"/>
                <w:b/>
                <w:iCs/>
                <w:sz w:val="20"/>
                <w:szCs w:val="20"/>
              </w:rPr>
              <w:t>62 (100.0)</w:t>
            </w:r>
          </w:p>
        </w:tc>
        <w:tc>
          <w:tcPr>
            <w:tcW w:w="2101" w:type="dxa"/>
          </w:tcPr>
          <w:p w14:paraId="400E6CB2"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
                <w:iCs/>
                <w:sz w:val="20"/>
                <w:szCs w:val="20"/>
              </w:rPr>
            </w:pPr>
            <w:r w:rsidRPr="005D154C">
              <w:rPr>
                <w:rFonts w:ascii="Times New Roman" w:hAnsi="Times New Roman" w:cs="Times New Roman"/>
                <w:b/>
                <w:iCs/>
                <w:sz w:val="20"/>
                <w:szCs w:val="20"/>
              </w:rPr>
              <w:t>67 (100.0)</w:t>
            </w:r>
          </w:p>
        </w:tc>
        <w:tc>
          <w:tcPr>
            <w:tcW w:w="1374" w:type="dxa"/>
          </w:tcPr>
          <w:p w14:paraId="046CB2EC"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
                <w:iCs/>
                <w:sz w:val="20"/>
                <w:szCs w:val="20"/>
              </w:rPr>
            </w:pPr>
            <w:r w:rsidRPr="005D154C">
              <w:rPr>
                <w:rFonts w:ascii="Times New Roman" w:hAnsi="Times New Roman" w:cs="Times New Roman"/>
                <w:b/>
                <w:iCs/>
                <w:sz w:val="20"/>
                <w:szCs w:val="20"/>
              </w:rPr>
              <w:t>129 (100.0)</w:t>
            </w:r>
          </w:p>
        </w:tc>
      </w:tr>
      <w:tr w:rsidR="00A63CD3" w:rsidRPr="005D154C" w14:paraId="50A3B6B7" w14:textId="77777777" w:rsidTr="005D154C">
        <w:trPr>
          <w:jc w:val="center"/>
        </w:trPr>
        <w:tc>
          <w:tcPr>
            <w:tcW w:w="3402" w:type="dxa"/>
          </w:tcPr>
          <w:p w14:paraId="24DB77E7" w14:textId="77777777" w:rsidR="00A63CD3" w:rsidRPr="005D154C" w:rsidRDefault="00A63CD3" w:rsidP="00A63CD3">
            <w:pPr>
              <w:widowControl w:val="0"/>
              <w:numPr>
                <w:ilvl w:val="0"/>
                <w:numId w:val="15"/>
              </w:num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Net-worth</w:t>
            </w:r>
          </w:p>
        </w:tc>
        <w:tc>
          <w:tcPr>
            <w:tcW w:w="1930" w:type="dxa"/>
          </w:tcPr>
          <w:p w14:paraId="1293A5F3"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
                <w:i/>
                <w:sz w:val="20"/>
                <w:szCs w:val="20"/>
              </w:rPr>
            </w:pPr>
          </w:p>
        </w:tc>
        <w:tc>
          <w:tcPr>
            <w:tcW w:w="2101" w:type="dxa"/>
          </w:tcPr>
          <w:p w14:paraId="45520443"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
                <w:i/>
                <w:sz w:val="20"/>
                <w:szCs w:val="20"/>
              </w:rPr>
            </w:pPr>
          </w:p>
        </w:tc>
        <w:tc>
          <w:tcPr>
            <w:tcW w:w="1374" w:type="dxa"/>
          </w:tcPr>
          <w:p w14:paraId="767A65E3"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
                <w:i/>
                <w:sz w:val="20"/>
                <w:szCs w:val="20"/>
              </w:rPr>
            </w:pPr>
          </w:p>
        </w:tc>
      </w:tr>
      <w:tr w:rsidR="00A63CD3" w:rsidRPr="005D154C" w14:paraId="1FCA183F" w14:textId="77777777" w:rsidTr="005D154C">
        <w:trPr>
          <w:jc w:val="center"/>
        </w:trPr>
        <w:tc>
          <w:tcPr>
            <w:tcW w:w="3402" w:type="dxa"/>
          </w:tcPr>
          <w:p w14:paraId="33A5710F"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Below N50 million</w:t>
            </w:r>
          </w:p>
        </w:tc>
        <w:tc>
          <w:tcPr>
            <w:tcW w:w="1930" w:type="dxa"/>
          </w:tcPr>
          <w:p w14:paraId="6CEF1979"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10 (16.1%)</w:t>
            </w:r>
          </w:p>
        </w:tc>
        <w:tc>
          <w:tcPr>
            <w:tcW w:w="2101" w:type="dxa"/>
          </w:tcPr>
          <w:p w14:paraId="2BB12CAC"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39 (58.2%)</w:t>
            </w:r>
          </w:p>
        </w:tc>
        <w:tc>
          <w:tcPr>
            <w:tcW w:w="1374" w:type="dxa"/>
          </w:tcPr>
          <w:p w14:paraId="470B83BF"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49 (40.0%)</w:t>
            </w:r>
          </w:p>
        </w:tc>
      </w:tr>
      <w:tr w:rsidR="00A63CD3" w:rsidRPr="005D154C" w14:paraId="338189B1" w14:textId="77777777" w:rsidTr="005D154C">
        <w:trPr>
          <w:jc w:val="center"/>
        </w:trPr>
        <w:tc>
          <w:tcPr>
            <w:tcW w:w="3402" w:type="dxa"/>
          </w:tcPr>
          <w:p w14:paraId="2710E4E8"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N50 to 99 million</w:t>
            </w:r>
          </w:p>
        </w:tc>
        <w:tc>
          <w:tcPr>
            <w:tcW w:w="1930" w:type="dxa"/>
          </w:tcPr>
          <w:p w14:paraId="4E2A5EB7"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45 (72.6%)</w:t>
            </w:r>
          </w:p>
        </w:tc>
        <w:tc>
          <w:tcPr>
            <w:tcW w:w="2101" w:type="dxa"/>
          </w:tcPr>
          <w:p w14:paraId="4A80626E"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24 (35.8%)</w:t>
            </w:r>
          </w:p>
        </w:tc>
        <w:tc>
          <w:tcPr>
            <w:tcW w:w="1374" w:type="dxa"/>
          </w:tcPr>
          <w:p w14:paraId="3A4CE888"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69 (53.5%)</w:t>
            </w:r>
          </w:p>
        </w:tc>
      </w:tr>
      <w:tr w:rsidR="00A63CD3" w:rsidRPr="005D154C" w14:paraId="2ED13449" w14:textId="77777777" w:rsidTr="005D154C">
        <w:trPr>
          <w:jc w:val="center"/>
        </w:trPr>
        <w:tc>
          <w:tcPr>
            <w:tcW w:w="3402" w:type="dxa"/>
          </w:tcPr>
          <w:p w14:paraId="0B8C0E71"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N100 to 149 million</w:t>
            </w:r>
          </w:p>
        </w:tc>
        <w:tc>
          <w:tcPr>
            <w:tcW w:w="1930" w:type="dxa"/>
          </w:tcPr>
          <w:p w14:paraId="1712AEF0"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4 (6.5%)</w:t>
            </w:r>
          </w:p>
        </w:tc>
        <w:tc>
          <w:tcPr>
            <w:tcW w:w="2101" w:type="dxa"/>
          </w:tcPr>
          <w:p w14:paraId="42CDF545"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2 (3.0%)</w:t>
            </w:r>
          </w:p>
        </w:tc>
        <w:tc>
          <w:tcPr>
            <w:tcW w:w="1374" w:type="dxa"/>
          </w:tcPr>
          <w:p w14:paraId="724727DD"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6 (4.7%)</w:t>
            </w:r>
          </w:p>
        </w:tc>
      </w:tr>
      <w:tr w:rsidR="00A63CD3" w:rsidRPr="005D154C" w14:paraId="0E01B314" w14:textId="77777777" w:rsidTr="005D154C">
        <w:trPr>
          <w:jc w:val="center"/>
        </w:trPr>
        <w:tc>
          <w:tcPr>
            <w:tcW w:w="3402" w:type="dxa"/>
          </w:tcPr>
          <w:p w14:paraId="2ACF96AF"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N150 to 199 million</w:t>
            </w:r>
          </w:p>
        </w:tc>
        <w:tc>
          <w:tcPr>
            <w:tcW w:w="1930" w:type="dxa"/>
          </w:tcPr>
          <w:p w14:paraId="78D479F5"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 xml:space="preserve">2 </w:t>
            </w:r>
            <w:r w:rsidRPr="005D154C">
              <w:rPr>
                <w:rFonts w:ascii="Times New Roman" w:hAnsi="Times New Roman" w:cs="Times New Roman"/>
                <w:color w:val="000000"/>
                <w:sz w:val="20"/>
                <w:szCs w:val="20"/>
              </w:rPr>
              <w:t>(3.2%)</w:t>
            </w:r>
          </w:p>
        </w:tc>
        <w:tc>
          <w:tcPr>
            <w:tcW w:w="2101" w:type="dxa"/>
          </w:tcPr>
          <w:p w14:paraId="0A57A9AA"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1 (1.5%)</w:t>
            </w:r>
          </w:p>
        </w:tc>
        <w:tc>
          <w:tcPr>
            <w:tcW w:w="1374" w:type="dxa"/>
          </w:tcPr>
          <w:p w14:paraId="60148365"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3 (2.3%)</w:t>
            </w:r>
          </w:p>
        </w:tc>
      </w:tr>
      <w:tr w:rsidR="00A63CD3" w:rsidRPr="005D154C" w14:paraId="3852454E" w14:textId="77777777" w:rsidTr="005D154C">
        <w:trPr>
          <w:jc w:val="center"/>
        </w:trPr>
        <w:tc>
          <w:tcPr>
            <w:tcW w:w="3402" w:type="dxa"/>
          </w:tcPr>
          <w:p w14:paraId="723FC3A1"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200 million and above</w:t>
            </w:r>
          </w:p>
        </w:tc>
        <w:tc>
          <w:tcPr>
            <w:tcW w:w="1930" w:type="dxa"/>
          </w:tcPr>
          <w:p w14:paraId="1340EEA1"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1 (1.6%)</w:t>
            </w:r>
          </w:p>
        </w:tc>
        <w:tc>
          <w:tcPr>
            <w:tcW w:w="2101" w:type="dxa"/>
          </w:tcPr>
          <w:p w14:paraId="3D0F42C5"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1 (1.5%)</w:t>
            </w:r>
          </w:p>
        </w:tc>
        <w:tc>
          <w:tcPr>
            <w:tcW w:w="1374" w:type="dxa"/>
          </w:tcPr>
          <w:p w14:paraId="0D8166D2"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2 (1.6%)</w:t>
            </w:r>
          </w:p>
        </w:tc>
      </w:tr>
      <w:tr w:rsidR="00A63CD3" w:rsidRPr="005D154C" w14:paraId="78A39F1F" w14:textId="77777777" w:rsidTr="005D154C">
        <w:trPr>
          <w:jc w:val="center"/>
        </w:trPr>
        <w:tc>
          <w:tcPr>
            <w:tcW w:w="3402" w:type="dxa"/>
          </w:tcPr>
          <w:p w14:paraId="473991F5"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
                <w:iCs/>
                <w:sz w:val="20"/>
                <w:szCs w:val="20"/>
              </w:rPr>
            </w:pPr>
            <w:r w:rsidRPr="005D154C">
              <w:rPr>
                <w:rFonts w:ascii="Times New Roman" w:hAnsi="Times New Roman" w:cs="Times New Roman"/>
                <w:b/>
                <w:iCs/>
                <w:sz w:val="20"/>
                <w:szCs w:val="20"/>
              </w:rPr>
              <w:t xml:space="preserve">Total </w:t>
            </w:r>
          </w:p>
        </w:tc>
        <w:tc>
          <w:tcPr>
            <w:tcW w:w="1930" w:type="dxa"/>
          </w:tcPr>
          <w:p w14:paraId="06A14EEE"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
                <w:iCs/>
                <w:sz w:val="20"/>
                <w:szCs w:val="20"/>
              </w:rPr>
            </w:pPr>
            <w:r w:rsidRPr="005D154C">
              <w:rPr>
                <w:rFonts w:ascii="Times New Roman" w:hAnsi="Times New Roman" w:cs="Times New Roman"/>
                <w:b/>
                <w:iCs/>
                <w:sz w:val="20"/>
                <w:szCs w:val="20"/>
              </w:rPr>
              <w:t>62 (100.0)</w:t>
            </w:r>
          </w:p>
        </w:tc>
        <w:tc>
          <w:tcPr>
            <w:tcW w:w="2101" w:type="dxa"/>
          </w:tcPr>
          <w:p w14:paraId="755DBBA7"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
                <w:iCs/>
                <w:sz w:val="20"/>
                <w:szCs w:val="20"/>
              </w:rPr>
            </w:pPr>
            <w:r w:rsidRPr="005D154C">
              <w:rPr>
                <w:rFonts w:ascii="Times New Roman" w:hAnsi="Times New Roman" w:cs="Times New Roman"/>
                <w:b/>
                <w:iCs/>
                <w:sz w:val="20"/>
                <w:szCs w:val="20"/>
              </w:rPr>
              <w:t>67 (100.0)</w:t>
            </w:r>
          </w:p>
        </w:tc>
        <w:tc>
          <w:tcPr>
            <w:tcW w:w="1374" w:type="dxa"/>
          </w:tcPr>
          <w:p w14:paraId="27F4E28A"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
                <w:iCs/>
                <w:sz w:val="20"/>
                <w:szCs w:val="20"/>
              </w:rPr>
            </w:pPr>
            <w:r w:rsidRPr="005D154C">
              <w:rPr>
                <w:rFonts w:ascii="Times New Roman" w:hAnsi="Times New Roman" w:cs="Times New Roman"/>
                <w:b/>
                <w:iCs/>
                <w:sz w:val="20"/>
                <w:szCs w:val="20"/>
              </w:rPr>
              <w:t>129 (100.0)</w:t>
            </w:r>
          </w:p>
        </w:tc>
      </w:tr>
      <w:tr w:rsidR="00A63CD3" w:rsidRPr="005D154C" w14:paraId="48DBD614" w14:textId="77777777" w:rsidTr="005D154C">
        <w:trPr>
          <w:jc w:val="center"/>
        </w:trPr>
        <w:tc>
          <w:tcPr>
            <w:tcW w:w="3402" w:type="dxa"/>
          </w:tcPr>
          <w:p w14:paraId="381C640B" w14:textId="77777777" w:rsidR="00A63CD3" w:rsidRPr="005D154C" w:rsidRDefault="00A63CD3" w:rsidP="00A63CD3">
            <w:pPr>
              <w:pStyle w:val="ListParagraph"/>
              <w:numPr>
                <w:ilvl w:val="0"/>
                <w:numId w:val="15"/>
              </w:numPr>
              <w:autoSpaceDE w:val="0"/>
              <w:autoSpaceDN w:val="0"/>
              <w:adjustRightInd w:val="0"/>
              <w:spacing w:after="0" w:line="240" w:lineRule="auto"/>
              <w:jc w:val="both"/>
              <w:rPr>
                <w:rFonts w:ascii="Times New Roman" w:hAnsi="Times New Roman"/>
                <w:bCs/>
                <w:iCs/>
                <w:sz w:val="20"/>
                <w:szCs w:val="20"/>
              </w:rPr>
            </w:pPr>
            <w:r w:rsidRPr="005D154C">
              <w:rPr>
                <w:rFonts w:ascii="Times New Roman" w:hAnsi="Times New Roman"/>
                <w:bCs/>
                <w:iCs/>
                <w:sz w:val="20"/>
                <w:szCs w:val="20"/>
              </w:rPr>
              <w:t>Services Provided*</w:t>
            </w:r>
          </w:p>
        </w:tc>
        <w:tc>
          <w:tcPr>
            <w:tcW w:w="1930" w:type="dxa"/>
          </w:tcPr>
          <w:p w14:paraId="3436D689"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
                <w:i/>
                <w:sz w:val="20"/>
                <w:szCs w:val="20"/>
              </w:rPr>
            </w:pPr>
          </w:p>
        </w:tc>
        <w:tc>
          <w:tcPr>
            <w:tcW w:w="2101" w:type="dxa"/>
          </w:tcPr>
          <w:p w14:paraId="36D105C2"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
                <w:i/>
                <w:sz w:val="20"/>
                <w:szCs w:val="20"/>
              </w:rPr>
            </w:pPr>
          </w:p>
        </w:tc>
        <w:tc>
          <w:tcPr>
            <w:tcW w:w="1374" w:type="dxa"/>
          </w:tcPr>
          <w:p w14:paraId="0BD6C1F7"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
                <w:i/>
                <w:sz w:val="20"/>
                <w:szCs w:val="20"/>
              </w:rPr>
            </w:pPr>
          </w:p>
        </w:tc>
      </w:tr>
      <w:tr w:rsidR="00A63CD3" w:rsidRPr="005D154C" w14:paraId="03BBBE9B" w14:textId="77777777" w:rsidTr="005D154C">
        <w:trPr>
          <w:jc w:val="center"/>
        </w:trPr>
        <w:tc>
          <w:tcPr>
            <w:tcW w:w="3402" w:type="dxa"/>
          </w:tcPr>
          <w:p w14:paraId="34B0A3B2"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Agency</w:t>
            </w:r>
          </w:p>
        </w:tc>
        <w:tc>
          <w:tcPr>
            <w:tcW w:w="1930" w:type="dxa"/>
          </w:tcPr>
          <w:p w14:paraId="7784A2C0"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62 (100.0%)</w:t>
            </w:r>
          </w:p>
        </w:tc>
        <w:tc>
          <w:tcPr>
            <w:tcW w:w="2101" w:type="dxa"/>
          </w:tcPr>
          <w:p w14:paraId="36649DB5"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67 (100.0%)</w:t>
            </w:r>
          </w:p>
        </w:tc>
        <w:tc>
          <w:tcPr>
            <w:tcW w:w="1374" w:type="dxa"/>
          </w:tcPr>
          <w:p w14:paraId="4D02E944"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129 (100.0%)</w:t>
            </w:r>
          </w:p>
        </w:tc>
      </w:tr>
      <w:tr w:rsidR="00A63CD3" w:rsidRPr="005D154C" w14:paraId="1ACC14E3" w14:textId="77777777" w:rsidTr="005D154C">
        <w:trPr>
          <w:jc w:val="center"/>
        </w:trPr>
        <w:tc>
          <w:tcPr>
            <w:tcW w:w="3402" w:type="dxa"/>
          </w:tcPr>
          <w:p w14:paraId="548BFF2C"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 xml:space="preserve">Property and Facilities Management </w:t>
            </w:r>
          </w:p>
        </w:tc>
        <w:tc>
          <w:tcPr>
            <w:tcW w:w="1930" w:type="dxa"/>
          </w:tcPr>
          <w:p w14:paraId="19C92409"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62 (100.0%)</w:t>
            </w:r>
          </w:p>
        </w:tc>
        <w:tc>
          <w:tcPr>
            <w:tcW w:w="2101" w:type="dxa"/>
          </w:tcPr>
          <w:p w14:paraId="54783A12"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67 (100.0%)</w:t>
            </w:r>
          </w:p>
        </w:tc>
        <w:tc>
          <w:tcPr>
            <w:tcW w:w="1374" w:type="dxa"/>
          </w:tcPr>
          <w:p w14:paraId="2358A559"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129 (100.0%)</w:t>
            </w:r>
          </w:p>
        </w:tc>
      </w:tr>
      <w:tr w:rsidR="00A63CD3" w:rsidRPr="005D154C" w14:paraId="6B181E15" w14:textId="77777777" w:rsidTr="005D154C">
        <w:trPr>
          <w:jc w:val="center"/>
        </w:trPr>
        <w:tc>
          <w:tcPr>
            <w:tcW w:w="3402" w:type="dxa"/>
          </w:tcPr>
          <w:p w14:paraId="2249FBDE"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 xml:space="preserve">Valuation </w:t>
            </w:r>
          </w:p>
        </w:tc>
        <w:tc>
          <w:tcPr>
            <w:tcW w:w="1930" w:type="dxa"/>
          </w:tcPr>
          <w:p w14:paraId="0B503E5B"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62 (100.0%)</w:t>
            </w:r>
          </w:p>
        </w:tc>
        <w:tc>
          <w:tcPr>
            <w:tcW w:w="2101" w:type="dxa"/>
          </w:tcPr>
          <w:p w14:paraId="2074E035"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67 (100.0%)</w:t>
            </w:r>
          </w:p>
        </w:tc>
        <w:tc>
          <w:tcPr>
            <w:tcW w:w="1374" w:type="dxa"/>
          </w:tcPr>
          <w:p w14:paraId="3ECA1F1B"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129 (100.0%)</w:t>
            </w:r>
          </w:p>
        </w:tc>
      </w:tr>
      <w:tr w:rsidR="00A63CD3" w:rsidRPr="005D154C" w14:paraId="2A60F515" w14:textId="77777777" w:rsidTr="005D154C">
        <w:trPr>
          <w:jc w:val="center"/>
        </w:trPr>
        <w:tc>
          <w:tcPr>
            <w:tcW w:w="3402" w:type="dxa"/>
          </w:tcPr>
          <w:p w14:paraId="1746EC37"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 xml:space="preserve">Property Development </w:t>
            </w:r>
          </w:p>
        </w:tc>
        <w:tc>
          <w:tcPr>
            <w:tcW w:w="1930" w:type="dxa"/>
          </w:tcPr>
          <w:p w14:paraId="16E0B2B4"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34 (50.7%)</w:t>
            </w:r>
          </w:p>
        </w:tc>
        <w:tc>
          <w:tcPr>
            <w:tcW w:w="2101" w:type="dxa"/>
          </w:tcPr>
          <w:p w14:paraId="45346A1F"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42 (62.7%)</w:t>
            </w:r>
          </w:p>
        </w:tc>
        <w:tc>
          <w:tcPr>
            <w:tcW w:w="1374" w:type="dxa"/>
          </w:tcPr>
          <w:p w14:paraId="06D81316"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76 (58.9%)</w:t>
            </w:r>
          </w:p>
        </w:tc>
      </w:tr>
      <w:tr w:rsidR="00A63CD3" w:rsidRPr="005D154C" w14:paraId="05C948CE" w14:textId="77777777" w:rsidTr="005D154C">
        <w:trPr>
          <w:jc w:val="center"/>
        </w:trPr>
        <w:tc>
          <w:tcPr>
            <w:tcW w:w="3402" w:type="dxa"/>
          </w:tcPr>
          <w:p w14:paraId="64A6E20C"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 xml:space="preserve">Arbitration </w:t>
            </w:r>
          </w:p>
        </w:tc>
        <w:tc>
          <w:tcPr>
            <w:tcW w:w="1930" w:type="dxa"/>
          </w:tcPr>
          <w:p w14:paraId="713AC1C5"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5 (7.5%)</w:t>
            </w:r>
          </w:p>
        </w:tc>
        <w:tc>
          <w:tcPr>
            <w:tcW w:w="2101" w:type="dxa"/>
          </w:tcPr>
          <w:p w14:paraId="7628937B"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7 (10.5%)</w:t>
            </w:r>
          </w:p>
        </w:tc>
        <w:tc>
          <w:tcPr>
            <w:tcW w:w="1374" w:type="dxa"/>
          </w:tcPr>
          <w:p w14:paraId="0DAECBB3"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Cs/>
                <w:iCs/>
                <w:sz w:val="20"/>
                <w:szCs w:val="20"/>
              </w:rPr>
            </w:pPr>
            <w:r w:rsidRPr="005D154C">
              <w:rPr>
                <w:rFonts w:ascii="Times New Roman" w:hAnsi="Times New Roman" w:cs="Times New Roman"/>
                <w:bCs/>
                <w:iCs/>
                <w:sz w:val="20"/>
                <w:szCs w:val="20"/>
              </w:rPr>
              <w:t>12 (9.3%)</w:t>
            </w:r>
          </w:p>
        </w:tc>
      </w:tr>
      <w:tr w:rsidR="00A63CD3" w:rsidRPr="005D154C" w14:paraId="77FD8950" w14:textId="77777777" w:rsidTr="005D154C">
        <w:trPr>
          <w:jc w:val="center"/>
        </w:trPr>
        <w:tc>
          <w:tcPr>
            <w:tcW w:w="3402" w:type="dxa"/>
          </w:tcPr>
          <w:p w14:paraId="15FAB1D9"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
                <w:iCs/>
                <w:sz w:val="20"/>
                <w:szCs w:val="20"/>
              </w:rPr>
            </w:pPr>
            <w:r w:rsidRPr="005D154C">
              <w:rPr>
                <w:rFonts w:ascii="Times New Roman" w:hAnsi="Times New Roman" w:cs="Times New Roman"/>
                <w:b/>
                <w:iCs/>
                <w:sz w:val="20"/>
                <w:szCs w:val="20"/>
              </w:rPr>
              <w:t>Total</w:t>
            </w:r>
          </w:p>
        </w:tc>
        <w:tc>
          <w:tcPr>
            <w:tcW w:w="1930" w:type="dxa"/>
          </w:tcPr>
          <w:p w14:paraId="4D858F59"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
                <w:iCs/>
                <w:sz w:val="20"/>
                <w:szCs w:val="20"/>
              </w:rPr>
            </w:pPr>
            <w:r w:rsidRPr="005D154C">
              <w:rPr>
                <w:rFonts w:ascii="Times New Roman" w:hAnsi="Times New Roman" w:cs="Times New Roman"/>
                <w:b/>
                <w:iCs/>
                <w:sz w:val="20"/>
                <w:szCs w:val="20"/>
              </w:rPr>
              <w:t>62 (100.0)</w:t>
            </w:r>
          </w:p>
        </w:tc>
        <w:tc>
          <w:tcPr>
            <w:tcW w:w="2101" w:type="dxa"/>
          </w:tcPr>
          <w:p w14:paraId="17D9280B"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
                <w:iCs/>
                <w:sz w:val="20"/>
                <w:szCs w:val="20"/>
              </w:rPr>
            </w:pPr>
            <w:r w:rsidRPr="005D154C">
              <w:rPr>
                <w:rFonts w:ascii="Times New Roman" w:hAnsi="Times New Roman" w:cs="Times New Roman"/>
                <w:b/>
                <w:iCs/>
                <w:sz w:val="20"/>
                <w:szCs w:val="20"/>
              </w:rPr>
              <w:t>67 (100.0)</w:t>
            </w:r>
          </w:p>
        </w:tc>
        <w:tc>
          <w:tcPr>
            <w:tcW w:w="1374" w:type="dxa"/>
          </w:tcPr>
          <w:p w14:paraId="00E1F841" w14:textId="77777777" w:rsidR="00A63CD3" w:rsidRPr="005D154C" w:rsidRDefault="00A63CD3" w:rsidP="0000060D">
            <w:pPr>
              <w:autoSpaceDE w:val="0"/>
              <w:autoSpaceDN w:val="0"/>
              <w:adjustRightInd w:val="0"/>
              <w:spacing w:after="0" w:line="240" w:lineRule="auto"/>
              <w:contextualSpacing/>
              <w:jc w:val="both"/>
              <w:rPr>
                <w:rFonts w:ascii="Times New Roman" w:hAnsi="Times New Roman" w:cs="Times New Roman"/>
                <w:b/>
                <w:iCs/>
                <w:sz w:val="20"/>
                <w:szCs w:val="20"/>
              </w:rPr>
            </w:pPr>
            <w:r w:rsidRPr="005D154C">
              <w:rPr>
                <w:rFonts w:ascii="Times New Roman" w:hAnsi="Times New Roman" w:cs="Times New Roman"/>
                <w:b/>
                <w:iCs/>
                <w:sz w:val="20"/>
                <w:szCs w:val="20"/>
              </w:rPr>
              <w:t>129 (100.0)</w:t>
            </w:r>
          </w:p>
        </w:tc>
      </w:tr>
    </w:tbl>
    <w:p w14:paraId="5489A8A4" w14:textId="77777777" w:rsidR="00A63CD3" w:rsidRPr="005D154C" w:rsidRDefault="00A63CD3" w:rsidP="005D154C">
      <w:pPr>
        <w:autoSpaceDE w:val="0"/>
        <w:autoSpaceDN w:val="0"/>
        <w:adjustRightInd w:val="0"/>
        <w:spacing w:after="0" w:line="240" w:lineRule="auto"/>
        <w:contextualSpacing/>
        <w:jc w:val="center"/>
        <w:rPr>
          <w:rFonts w:ascii="Times New Roman" w:hAnsi="Times New Roman" w:cs="Times New Roman"/>
          <w:sz w:val="24"/>
          <w:szCs w:val="24"/>
        </w:rPr>
      </w:pPr>
      <w:r w:rsidRPr="005D154C">
        <w:rPr>
          <w:rFonts w:ascii="Times New Roman" w:hAnsi="Times New Roman" w:cs="Times New Roman"/>
          <w:sz w:val="24"/>
          <w:szCs w:val="24"/>
        </w:rPr>
        <w:t>Note: *=multiple choice answer, therefore the aggregate was more that 100%</w:t>
      </w:r>
    </w:p>
    <w:p w14:paraId="40177438" w14:textId="77777777" w:rsidR="00A63CD3" w:rsidRPr="00BE4AF3" w:rsidRDefault="00A63CD3" w:rsidP="00A63CD3">
      <w:pPr>
        <w:autoSpaceDE w:val="0"/>
        <w:autoSpaceDN w:val="0"/>
        <w:adjustRightInd w:val="0"/>
        <w:spacing w:after="0" w:line="240" w:lineRule="auto"/>
        <w:contextualSpacing/>
        <w:jc w:val="both"/>
        <w:rPr>
          <w:rFonts w:ascii="Times New Roman" w:hAnsi="Times New Roman" w:cs="Times New Roman"/>
          <w:sz w:val="24"/>
          <w:szCs w:val="24"/>
        </w:rPr>
      </w:pPr>
    </w:p>
    <w:p w14:paraId="5ED25D9C" w14:textId="77777777" w:rsidR="00A63CD3" w:rsidRPr="00BE4AF3" w:rsidRDefault="00A63CD3" w:rsidP="005D154C">
      <w:pPr>
        <w:autoSpaceDE w:val="0"/>
        <w:autoSpaceDN w:val="0"/>
        <w:adjustRightInd w:val="0"/>
        <w:spacing w:after="0" w:line="240" w:lineRule="auto"/>
        <w:contextualSpacing/>
        <w:jc w:val="both"/>
        <w:rPr>
          <w:rFonts w:ascii="Times New Roman" w:hAnsi="Times New Roman" w:cs="Times New Roman"/>
          <w:sz w:val="24"/>
          <w:szCs w:val="24"/>
        </w:rPr>
      </w:pPr>
      <w:r w:rsidRPr="00BE4AF3">
        <w:rPr>
          <w:rFonts w:ascii="Times New Roman" w:hAnsi="Times New Roman" w:cs="Times New Roman"/>
          <w:sz w:val="24"/>
          <w:szCs w:val="24"/>
        </w:rPr>
        <w:t>The net-worth of the firms was also investigated. The result of the analysis shows that in Lagos Island, 72.6% of the firms were worth between 50million Naira to 99million Naira, this was followed by firms with net-worth below 50million Naira (16.1%). Furthermore, in Lagos Mainland, 58.2% of the firms were worth below 50million Naira while 35.8% of the firms had net-worth of between 50 million Naira to 99million Naira. On the aggregate, the firms in Lagos property market were worth between 50million Naira to 99 million Naira (53.5%), this was followed by firms with net-worth below 50 million Naira (40.0%).</w:t>
      </w:r>
    </w:p>
    <w:p w14:paraId="475E1EA3" w14:textId="77777777" w:rsidR="00A63CD3" w:rsidRPr="00BE4AF3" w:rsidRDefault="00A63CD3" w:rsidP="005D154C">
      <w:pPr>
        <w:autoSpaceDE w:val="0"/>
        <w:autoSpaceDN w:val="0"/>
        <w:adjustRightInd w:val="0"/>
        <w:spacing w:after="0" w:line="240" w:lineRule="auto"/>
        <w:contextualSpacing/>
        <w:jc w:val="both"/>
        <w:rPr>
          <w:rFonts w:ascii="Times New Roman" w:hAnsi="Times New Roman" w:cs="Times New Roman"/>
          <w:bCs/>
          <w:sz w:val="24"/>
          <w:szCs w:val="24"/>
        </w:rPr>
      </w:pPr>
      <w:r w:rsidRPr="00BE4AF3">
        <w:rPr>
          <w:rFonts w:ascii="Times New Roman" w:hAnsi="Times New Roman" w:cs="Times New Roman"/>
          <w:sz w:val="24"/>
          <w:szCs w:val="24"/>
        </w:rPr>
        <w:t xml:space="preserve">The services mostly provided by all the firms in Lagos include agency, property/ facilities management and valuation. Furthermore, 58.9% of the professional firms involved in property development and only 9.3% of the firms carry out arbitration as part of their professional services. This was also the trend in Lagos Island and Mainland. Having documented the profile of firms in Lagos property market, it is important to delve into the focus of the study. Hence the next section discussed the types of shopping malls conversant in Lagos property market by considering the broad sub-markets i.e. Lagos Island and Lagos Mainland. </w:t>
      </w:r>
      <w:r w:rsidRPr="00BE4AF3">
        <w:rPr>
          <w:rFonts w:ascii="Times New Roman" w:hAnsi="Times New Roman" w:cs="Times New Roman"/>
          <w:bCs/>
          <w:sz w:val="24"/>
          <w:szCs w:val="24"/>
        </w:rPr>
        <w:t xml:space="preserve">As presented in Table 4.4, the types of shopping mall in Lagos property market includes regional mall, super -regional mall, strip mall, outlet mall and neighborhood mall. The reasons for this are not far-fetched; there are peculiar </w:t>
      </w:r>
      <w:r w:rsidRPr="00BE4AF3">
        <w:rPr>
          <w:rFonts w:ascii="Times New Roman" w:hAnsi="Times New Roman" w:cs="Times New Roman"/>
          <w:bCs/>
          <w:sz w:val="24"/>
          <w:szCs w:val="24"/>
        </w:rPr>
        <w:lastRenderedPageBreak/>
        <w:t xml:space="preserve">designs for this type of property in the Lagos property market especially for neighborhood and outlet malls. </w:t>
      </w:r>
    </w:p>
    <w:p w14:paraId="00CA1B73" w14:textId="77777777" w:rsidR="00A63CD3" w:rsidRPr="00BE4AF3" w:rsidRDefault="00A63CD3" w:rsidP="00A63CD3">
      <w:pPr>
        <w:autoSpaceDE w:val="0"/>
        <w:autoSpaceDN w:val="0"/>
        <w:adjustRightInd w:val="0"/>
        <w:spacing w:after="0" w:line="240" w:lineRule="auto"/>
        <w:ind w:firstLine="720"/>
        <w:contextualSpacing/>
        <w:jc w:val="both"/>
        <w:rPr>
          <w:rFonts w:ascii="Times New Roman" w:hAnsi="Times New Roman" w:cs="Times New Roman"/>
          <w:sz w:val="24"/>
          <w:szCs w:val="24"/>
        </w:rPr>
      </w:pPr>
    </w:p>
    <w:p w14:paraId="648BC226" w14:textId="77777777" w:rsidR="00A63CD3" w:rsidRPr="00BE4AF3" w:rsidRDefault="00A63CD3" w:rsidP="004B60E9">
      <w:pPr>
        <w:spacing w:after="0" w:line="240" w:lineRule="auto"/>
        <w:contextualSpacing/>
        <w:jc w:val="center"/>
        <w:rPr>
          <w:rStyle w:val="fontstyle21"/>
          <w:rFonts w:ascii="Times New Roman" w:eastAsia="Times New Roman" w:hAnsi="Times New Roman"/>
          <w:b/>
          <w:bCs/>
        </w:rPr>
      </w:pPr>
      <w:r w:rsidRPr="00BE4AF3">
        <w:rPr>
          <w:rStyle w:val="fontstyle21"/>
          <w:rFonts w:ascii="Times New Roman" w:eastAsia="Times New Roman" w:hAnsi="Times New Roman"/>
          <w:b/>
          <w:bCs/>
        </w:rPr>
        <w:t xml:space="preserve">Table 4.2: </w:t>
      </w:r>
      <w:r w:rsidRPr="005D154C">
        <w:rPr>
          <w:rStyle w:val="fontstyle21"/>
          <w:rFonts w:ascii="Times New Roman" w:eastAsia="Times New Roman" w:hAnsi="Times New Roman"/>
        </w:rPr>
        <w:t>Types of Shopping Malls in the Study Area</w:t>
      </w:r>
    </w:p>
    <w:tbl>
      <w:tblPr>
        <w:tblW w:w="7879" w:type="dxa"/>
        <w:jc w:val="center"/>
        <w:tblBorders>
          <w:top w:val="single" w:sz="4" w:space="0" w:color="auto"/>
          <w:bottom w:val="single" w:sz="4" w:space="0" w:color="auto"/>
        </w:tblBorders>
        <w:tblLook w:val="04A0" w:firstRow="1" w:lastRow="0" w:firstColumn="1" w:lastColumn="0" w:noHBand="0" w:noVBand="1"/>
      </w:tblPr>
      <w:tblGrid>
        <w:gridCol w:w="904"/>
        <w:gridCol w:w="2357"/>
        <w:gridCol w:w="1417"/>
        <w:gridCol w:w="1701"/>
        <w:gridCol w:w="1500"/>
      </w:tblGrid>
      <w:tr w:rsidR="00A63CD3" w:rsidRPr="004B60E9" w14:paraId="222A4316" w14:textId="77777777" w:rsidTr="004B60E9">
        <w:trPr>
          <w:trHeight w:val="293"/>
          <w:jc w:val="center"/>
        </w:trPr>
        <w:tc>
          <w:tcPr>
            <w:tcW w:w="904" w:type="dxa"/>
            <w:tcBorders>
              <w:top w:val="single" w:sz="4" w:space="0" w:color="auto"/>
              <w:bottom w:val="single" w:sz="4" w:space="0" w:color="auto"/>
            </w:tcBorders>
          </w:tcPr>
          <w:p w14:paraId="60A40E8F"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S/N</w:t>
            </w:r>
          </w:p>
        </w:tc>
        <w:tc>
          <w:tcPr>
            <w:tcW w:w="2357" w:type="dxa"/>
            <w:tcBorders>
              <w:top w:val="single" w:sz="4" w:space="0" w:color="auto"/>
              <w:bottom w:val="single" w:sz="4" w:space="0" w:color="auto"/>
            </w:tcBorders>
          </w:tcPr>
          <w:p w14:paraId="10CF78B1" w14:textId="6BF82361"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 xml:space="preserve">Types of </w:t>
            </w:r>
            <w:r w:rsidR="004B60E9" w:rsidRPr="004B60E9">
              <w:rPr>
                <w:rStyle w:val="fontstyle21"/>
                <w:rFonts w:ascii="Times New Roman" w:hAnsi="Times New Roman"/>
                <w:sz w:val="20"/>
                <w:szCs w:val="20"/>
              </w:rPr>
              <w:t>shopping malls</w:t>
            </w:r>
          </w:p>
        </w:tc>
        <w:tc>
          <w:tcPr>
            <w:tcW w:w="1417" w:type="dxa"/>
            <w:tcBorders>
              <w:top w:val="single" w:sz="4" w:space="0" w:color="auto"/>
              <w:bottom w:val="single" w:sz="4" w:space="0" w:color="auto"/>
            </w:tcBorders>
          </w:tcPr>
          <w:p w14:paraId="0255D1A1"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Lagos Island</w:t>
            </w:r>
          </w:p>
        </w:tc>
        <w:tc>
          <w:tcPr>
            <w:tcW w:w="1701" w:type="dxa"/>
            <w:tcBorders>
              <w:top w:val="single" w:sz="4" w:space="0" w:color="auto"/>
              <w:bottom w:val="single" w:sz="4" w:space="0" w:color="auto"/>
            </w:tcBorders>
          </w:tcPr>
          <w:p w14:paraId="3157D13A"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 xml:space="preserve">Lagos Mainland </w:t>
            </w:r>
          </w:p>
        </w:tc>
        <w:tc>
          <w:tcPr>
            <w:tcW w:w="1500" w:type="dxa"/>
            <w:tcBorders>
              <w:top w:val="single" w:sz="4" w:space="0" w:color="auto"/>
              <w:bottom w:val="single" w:sz="4" w:space="0" w:color="auto"/>
            </w:tcBorders>
          </w:tcPr>
          <w:p w14:paraId="11025958"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 xml:space="preserve">Lagos </w:t>
            </w:r>
          </w:p>
        </w:tc>
      </w:tr>
      <w:tr w:rsidR="00A63CD3" w:rsidRPr="004B60E9" w14:paraId="408BC150" w14:textId="77777777" w:rsidTr="004B60E9">
        <w:trPr>
          <w:trHeight w:val="282"/>
          <w:jc w:val="center"/>
        </w:trPr>
        <w:tc>
          <w:tcPr>
            <w:tcW w:w="904" w:type="dxa"/>
            <w:tcBorders>
              <w:top w:val="single" w:sz="4" w:space="0" w:color="auto"/>
            </w:tcBorders>
          </w:tcPr>
          <w:p w14:paraId="4A5C6CB9"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1</w:t>
            </w:r>
          </w:p>
        </w:tc>
        <w:tc>
          <w:tcPr>
            <w:tcW w:w="2357" w:type="dxa"/>
            <w:tcBorders>
              <w:top w:val="single" w:sz="4" w:space="0" w:color="auto"/>
            </w:tcBorders>
          </w:tcPr>
          <w:p w14:paraId="56C3C4DB"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Regional Mall</w:t>
            </w:r>
          </w:p>
        </w:tc>
        <w:tc>
          <w:tcPr>
            <w:tcW w:w="1417" w:type="dxa"/>
            <w:tcBorders>
              <w:top w:val="single" w:sz="4" w:space="0" w:color="auto"/>
            </w:tcBorders>
          </w:tcPr>
          <w:p w14:paraId="2F63E29F"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w:t>
            </w:r>
          </w:p>
        </w:tc>
        <w:tc>
          <w:tcPr>
            <w:tcW w:w="1701" w:type="dxa"/>
            <w:tcBorders>
              <w:top w:val="single" w:sz="4" w:space="0" w:color="auto"/>
            </w:tcBorders>
          </w:tcPr>
          <w:p w14:paraId="25F9B82B"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w:t>
            </w:r>
          </w:p>
        </w:tc>
        <w:tc>
          <w:tcPr>
            <w:tcW w:w="1500" w:type="dxa"/>
            <w:tcBorders>
              <w:top w:val="single" w:sz="4" w:space="0" w:color="auto"/>
            </w:tcBorders>
          </w:tcPr>
          <w:p w14:paraId="781B0B41"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w:t>
            </w:r>
          </w:p>
        </w:tc>
      </w:tr>
      <w:tr w:rsidR="00A63CD3" w:rsidRPr="004B60E9" w14:paraId="3700FEB9" w14:textId="77777777" w:rsidTr="004B60E9">
        <w:trPr>
          <w:trHeight w:val="293"/>
          <w:jc w:val="center"/>
        </w:trPr>
        <w:tc>
          <w:tcPr>
            <w:tcW w:w="904" w:type="dxa"/>
          </w:tcPr>
          <w:p w14:paraId="4C83E7EA"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2</w:t>
            </w:r>
          </w:p>
        </w:tc>
        <w:tc>
          <w:tcPr>
            <w:tcW w:w="2357" w:type="dxa"/>
          </w:tcPr>
          <w:p w14:paraId="7B64CB47"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 xml:space="preserve">Super Regional Mall </w:t>
            </w:r>
          </w:p>
        </w:tc>
        <w:tc>
          <w:tcPr>
            <w:tcW w:w="1417" w:type="dxa"/>
          </w:tcPr>
          <w:p w14:paraId="64D769BD"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w:t>
            </w:r>
          </w:p>
        </w:tc>
        <w:tc>
          <w:tcPr>
            <w:tcW w:w="1701" w:type="dxa"/>
          </w:tcPr>
          <w:p w14:paraId="370056BF"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w:t>
            </w:r>
          </w:p>
        </w:tc>
        <w:tc>
          <w:tcPr>
            <w:tcW w:w="1500" w:type="dxa"/>
          </w:tcPr>
          <w:p w14:paraId="230CA41F"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w:t>
            </w:r>
          </w:p>
        </w:tc>
      </w:tr>
      <w:tr w:rsidR="00A63CD3" w:rsidRPr="004B60E9" w14:paraId="48E8DBC6" w14:textId="77777777" w:rsidTr="004B60E9">
        <w:trPr>
          <w:trHeight w:val="282"/>
          <w:jc w:val="center"/>
        </w:trPr>
        <w:tc>
          <w:tcPr>
            <w:tcW w:w="904" w:type="dxa"/>
          </w:tcPr>
          <w:p w14:paraId="3C38C14B"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3</w:t>
            </w:r>
          </w:p>
        </w:tc>
        <w:tc>
          <w:tcPr>
            <w:tcW w:w="2357" w:type="dxa"/>
          </w:tcPr>
          <w:p w14:paraId="685C3C06"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Vertical Mall</w:t>
            </w:r>
          </w:p>
        </w:tc>
        <w:tc>
          <w:tcPr>
            <w:tcW w:w="1417" w:type="dxa"/>
          </w:tcPr>
          <w:p w14:paraId="3577B3F5"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X</w:t>
            </w:r>
          </w:p>
        </w:tc>
        <w:tc>
          <w:tcPr>
            <w:tcW w:w="1701" w:type="dxa"/>
          </w:tcPr>
          <w:p w14:paraId="4C3F888F"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X</w:t>
            </w:r>
          </w:p>
        </w:tc>
        <w:tc>
          <w:tcPr>
            <w:tcW w:w="1500" w:type="dxa"/>
          </w:tcPr>
          <w:p w14:paraId="3C66A586"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X</w:t>
            </w:r>
          </w:p>
        </w:tc>
      </w:tr>
      <w:tr w:rsidR="00A63CD3" w:rsidRPr="004B60E9" w14:paraId="12387B84" w14:textId="77777777" w:rsidTr="004B60E9">
        <w:trPr>
          <w:trHeight w:val="293"/>
          <w:jc w:val="center"/>
        </w:trPr>
        <w:tc>
          <w:tcPr>
            <w:tcW w:w="904" w:type="dxa"/>
          </w:tcPr>
          <w:p w14:paraId="28440975"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4</w:t>
            </w:r>
          </w:p>
        </w:tc>
        <w:tc>
          <w:tcPr>
            <w:tcW w:w="2357" w:type="dxa"/>
          </w:tcPr>
          <w:p w14:paraId="552B8EC4"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Strip Mall</w:t>
            </w:r>
          </w:p>
        </w:tc>
        <w:tc>
          <w:tcPr>
            <w:tcW w:w="1417" w:type="dxa"/>
          </w:tcPr>
          <w:p w14:paraId="0310D710"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w:t>
            </w:r>
          </w:p>
        </w:tc>
        <w:tc>
          <w:tcPr>
            <w:tcW w:w="1701" w:type="dxa"/>
          </w:tcPr>
          <w:p w14:paraId="38173CD5"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w:t>
            </w:r>
          </w:p>
        </w:tc>
        <w:tc>
          <w:tcPr>
            <w:tcW w:w="1500" w:type="dxa"/>
          </w:tcPr>
          <w:p w14:paraId="6E857DD0"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w:t>
            </w:r>
          </w:p>
        </w:tc>
      </w:tr>
      <w:tr w:rsidR="00A63CD3" w:rsidRPr="004B60E9" w14:paraId="70886138" w14:textId="77777777" w:rsidTr="004B60E9">
        <w:trPr>
          <w:trHeight w:val="293"/>
          <w:jc w:val="center"/>
        </w:trPr>
        <w:tc>
          <w:tcPr>
            <w:tcW w:w="904" w:type="dxa"/>
          </w:tcPr>
          <w:p w14:paraId="1BE7409C"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5</w:t>
            </w:r>
          </w:p>
        </w:tc>
        <w:tc>
          <w:tcPr>
            <w:tcW w:w="2357" w:type="dxa"/>
          </w:tcPr>
          <w:p w14:paraId="11A6695B"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Outlet Mall</w:t>
            </w:r>
          </w:p>
        </w:tc>
        <w:tc>
          <w:tcPr>
            <w:tcW w:w="1417" w:type="dxa"/>
          </w:tcPr>
          <w:p w14:paraId="382482E1"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w:t>
            </w:r>
          </w:p>
        </w:tc>
        <w:tc>
          <w:tcPr>
            <w:tcW w:w="1701" w:type="dxa"/>
          </w:tcPr>
          <w:p w14:paraId="6BBDBBC4"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w:t>
            </w:r>
          </w:p>
        </w:tc>
        <w:tc>
          <w:tcPr>
            <w:tcW w:w="1500" w:type="dxa"/>
          </w:tcPr>
          <w:p w14:paraId="68D939B9"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w:t>
            </w:r>
          </w:p>
        </w:tc>
      </w:tr>
      <w:tr w:rsidR="00A63CD3" w:rsidRPr="004B60E9" w14:paraId="7A65B40D" w14:textId="77777777" w:rsidTr="004B60E9">
        <w:trPr>
          <w:trHeight w:val="282"/>
          <w:jc w:val="center"/>
        </w:trPr>
        <w:tc>
          <w:tcPr>
            <w:tcW w:w="904" w:type="dxa"/>
          </w:tcPr>
          <w:p w14:paraId="3B069A94"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6</w:t>
            </w:r>
          </w:p>
        </w:tc>
        <w:tc>
          <w:tcPr>
            <w:tcW w:w="2357" w:type="dxa"/>
          </w:tcPr>
          <w:p w14:paraId="0764F5B6"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Neighborhood Mall</w:t>
            </w:r>
          </w:p>
        </w:tc>
        <w:tc>
          <w:tcPr>
            <w:tcW w:w="1417" w:type="dxa"/>
          </w:tcPr>
          <w:p w14:paraId="473307B5"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w:t>
            </w:r>
          </w:p>
        </w:tc>
        <w:tc>
          <w:tcPr>
            <w:tcW w:w="1701" w:type="dxa"/>
          </w:tcPr>
          <w:p w14:paraId="0BBB7443"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w:t>
            </w:r>
          </w:p>
        </w:tc>
        <w:tc>
          <w:tcPr>
            <w:tcW w:w="1500" w:type="dxa"/>
          </w:tcPr>
          <w:p w14:paraId="3167E916"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w:t>
            </w:r>
          </w:p>
        </w:tc>
      </w:tr>
    </w:tbl>
    <w:p w14:paraId="254829D8" w14:textId="77777777" w:rsidR="004B60E9" w:rsidRDefault="004B60E9" w:rsidP="00A63CD3">
      <w:pPr>
        <w:spacing w:after="0" w:line="240" w:lineRule="auto"/>
        <w:contextualSpacing/>
        <w:jc w:val="both"/>
        <w:rPr>
          <w:rFonts w:ascii="Times New Roman" w:eastAsia="Times New Roman" w:hAnsi="Times New Roman" w:cs="Times New Roman"/>
          <w:sz w:val="24"/>
          <w:szCs w:val="24"/>
        </w:rPr>
      </w:pPr>
    </w:p>
    <w:p w14:paraId="2AB9465E" w14:textId="0DD45186" w:rsidR="00A63CD3" w:rsidRPr="00BE4AF3" w:rsidRDefault="00A63CD3" w:rsidP="00A63CD3">
      <w:pPr>
        <w:spacing w:after="0" w:line="240" w:lineRule="auto"/>
        <w:contextualSpacing/>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Furthermore, the vertical mall which is designed vertically on storeys, were not found in the study area. This type of design is mostly found in developed countries. The result suggests that the available type of shopping malls were the types that are invested in by investors in the study area. However, the extent of investment is unknown. To further achieve this objective, the extent of investment in these shopping malls was inquired. The question was asked on a likert scale of 5; where 5= very high, 4= high, 3= neutral, 2=low and 1= very low. The result of the analysis is presented in Table 4.3. </w:t>
      </w:r>
    </w:p>
    <w:p w14:paraId="20CD5081" w14:textId="77777777" w:rsidR="00A63CD3" w:rsidRPr="00BE4AF3" w:rsidRDefault="00A63CD3" w:rsidP="00A63CD3">
      <w:pPr>
        <w:spacing w:after="0" w:line="240" w:lineRule="auto"/>
        <w:contextualSpacing/>
        <w:jc w:val="both"/>
        <w:rPr>
          <w:rFonts w:ascii="Times New Roman" w:eastAsia="Times New Roman" w:hAnsi="Times New Roman" w:cs="Times New Roman"/>
          <w:sz w:val="24"/>
          <w:szCs w:val="24"/>
        </w:rPr>
      </w:pPr>
    </w:p>
    <w:p w14:paraId="7F961BDB" w14:textId="6BEF988F" w:rsidR="00A63CD3" w:rsidRPr="004B60E9" w:rsidRDefault="00A63CD3" w:rsidP="004B60E9">
      <w:pPr>
        <w:spacing w:after="0" w:line="240" w:lineRule="auto"/>
        <w:contextualSpacing/>
        <w:jc w:val="center"/>
        <w:rPr>
          <w:rFonts w:ascii="Times New Roman" w:eastAsia="Times New Roman" w:hAnsi="Times New Roman" w:cs="Times New Roman"/>
          <w:color w:val="000000"/>
          <w:sz w:val="24"/>
          <w:szCs w:val="24"/>
        </w:rPr>
      </w:pPr>
      <w:r w:rsidRPr="00BE4AF3">
        <w:rPr>
          <w:rStyle w:val="fontstyle21"/>
          <w:rFonts w:ascii="Times New Roman" w:eastAsia="Times New Roman" w:hAnsi="Times New Roman"/>
          <w:b/>
          <w:bCs/>
        </w:rPr>
        <w:t xml:space="preserve">Table 4.3: </w:t>
      </w:r>
      <w:r w:rsidRPr="004B60E9">
        <w:rPr>
          <w:rStyle w:val="fontstyle21"/>
          <w:rFonts w:ascii="Times New Roman" w:eastAsia="Times New Roman" w:hAnsi="Times New Roman"/>
        </w:rPr>
        <w:t>Extent of Investment in Shopping Malls in the Study Area</w:t>
      </w:r>
    </w:p>
    <w:tbl>
      <w:tblPr>
        <w:tblW w:w="0" w:type="auto"/>
        <w:jc w:val="center"/>
        <w:tblBorders>
          <w:top w:val="single" w:sz="4" w:space="0" w:color="auto"/>
          <w:bottom w:val="single" w:sz="4" w:space="0" w:color="auto"/>
        </w:tblBorders>
        <w:tblLook w:val="04A0" w:firstRow="1" w:lastRow="0" w:firstColumn="1" w:lastColumn="0" w:noHBand="0" w:noVBand="1"/>
      </w:tblPr>
      <w:tblGrid>
        <w:gridCol w:w="828"/>
        <w:gridCol w:w="2858"/>
        <w:gridCol w:w="720"/>
        <w:gridCol w:w="720"/>
        <w:gridCol w:w="720"/>
        <w:gridCol w:w="720"/>
        <w:gridCol w:w="720"/>
        <w:gridCol w:w="720"/>
      </w:tblGrid>
      <w:tr w:rsidR="00A63CD3" w:rsidRPr="004B60E9" w14:paraId="2543166D" w14:textId="77777777" w:rsidTr="004B60E9">
        <w:trPr>
          <w:jc w:val="center"/>
        </w:trPr>
        <w:tc>
          <w:tcPr>
            <w:tcW w:w="828" w:type="dxa"/>
            <w:tcBorders>
              <w:top w:val="single" w:sz="4" w:space="0" w:color="auto"/>
              <w:bottom w:val="single" w:sz="4" w:space="0" w:color="auto"/>
            </w:tcBorders>
          </w:tcPr>
          <w:p w14:paraId="3CB7AD33"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S/N</w:t>
            </w:r>
          </w:p>
        </w:tc>
        <w:tc>
          <w:tcPr>
            <w:tcW w:w="2858" w:type="dxa"/>
            <w:tcBorders>
              <w:top w:val="single" w:sz="4" w:space="0" w:color="auto"/>
              <w:bottom w:val="single" w:sz="4" w:space="0" w:color="auto"/>
            </w:tcBorders>
          </w:tcPr>
          <w:p w14:paraId="6D7C551E" w14:textId="50145BCA"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 xml:space="preserve">Types of </w:t>
            </w:r>
            <w:r w:rsidR="004B60E9" w:rsidRPr="004B60E9">
              <w:rPr>
                <w:rStyle w:val="fontstyle21"/>
                <w:rFonts w:ascii="Times New Roman" w:hAnsi="Times New Roman"/>
                <w:sz w:val="20"/>
                <w:szCs w:val="20"/>
              </w:rPr>
              <w:t>shopping malls</w:t>
            </w:r>
          </w:p>
        </w:tc>
        <w:tc>
          <w:tcPr>
            <w:tcW w:w="720" w:type="dxa"/>
            <w:tcBorders>
              <w:top w:val="single" w:sz="4" w:space="0" w:color="auto"/>
              <w:bottom w:val="single" w:sz="4" w:space="0" w:color="auto"/>
            </w:tcBorders>
          </w:tcPr>
          <w:p w14:paraId="55DA46B3"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 xml:space="preserve">LI </w:t>
            </w:r>
          </w:p>
        </w:tc>
        <w:tc>
          <w:tcPr>
            <w:tcW w:w="720" w:type="dxa"/>
            <w:tcBorders>
              <w:top w:val="single" w:sz="4" w:space="0" w:color="auto"/>
              <w:bottom w:val="single" w:sz="4" w:space="0" w:color="auto"/>
            </w:tcBorders>
          </w:tcPr>
          <w:p w14:paraId="31D722F6"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R</w:t>
            </w:r>
          </w:p>
        </w:tc>
        <w:tc>
          <w:tcPr>
            <w:tcW w:w="720" w:type="dxa"/>
            <w:tcBorders>
              <w:top w:val="single" w:sz="4" w:space="0" w:color="auto"/>
              <w:bottom w:val="single" w:sz="4" w:space="0" w:color="auto"/>
            </w:tcBorders>
          </w:tcPr>
          <w:p w14:paraId="2564FA5B"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LM</w:t>
            </w:r>
          </w:p>
        </w:tc>
        <w:tc>
          <w:tcPr>
            <w:tcW w:w="720" w:type="dxa"/>
            <w:tcBorders>
              <w:top w:val="single" w:sz="4" w:space="0" w:color="auto"/>
              <w:bottom w:val="single" w:sz="4" w:space="0" w:color="auto"/>
            </w:tcBorders>
          </w:tcPr>
          <w:p w14:paraId="2DE5375F"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R</w:t>
            </w:r>
          </w:p>
        </w:tc>
        <w:tc>
          <w:tcPr>
            <w:tcW w:w="720" w:type="dxa"/>
            <w:tcBorders>
              <w:top w:val="single" w:sz="4" w:space="0" w:color="auto"/>
              <w:bottom w:val="single" w:sz="4" w:space="0" w:color="auto"/>
            </w:tcBorders>
          </w:tcPr>
          <w:p w14:paraId="4D8A07D6"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LS</w:t>
            </w:r>
          </w:p>
        </w:tc>
        <w:tc>
          <w:tcPr>
            <w:tcW w:w="720" w:type="dxa"/>
            <w:tcBorders>
              <w:top w:val="single" w:sz="4" w:space="0" w:color="auto"/>
              <w:bottom w:val="single" w:sz="4" w:space="0" w:color="auto"/>
            </w:tcBorders>
          </w:tcPr>
          <w:p w14:paraId="435B6BCB"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R</w:t>
            </w:r>
          </w:p>
        </w:tc>
      </w:tr>
      <w:tr w:rsidR="00A63CD3" w:rsidRPr="004B60E9" w14:paraId="75B28EF8" w14:textId="77777777" w:rsidTr="004B60E9">
        <w:trPr>
          <w:jc w:val="center"/>
        </w:trPr>
        <w:tc>
          <w:tcPr>
            <w:tcW w:w="828" w:type="dxa"/>
            <w:tcBorders>
              <w:top w:val="single" w:sz="4" w:space="0" w:color="auto"/>
            </w:tcBorders>
          </w:tcPr>
          <w:p w14:paraId="19C0189C"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1</w:t>
            </w:r>
          </w:p>
        </w:tc>
        <w:tc>
          <w:tcPr>
            <w:tcW w:w="2858" w:type="dxa"/>
            <w:tcBorders>
              <w:top w:val="single" w:sz="4" w:space="0" w:color="auto"/>
            </w:tcBorders>
          </w:tcPr>
          <w:p w14:paraId="797CD74F"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Regional Mall</w:t>
            </w:r>
          </w:p>
        </w:tc>
        <w:tc>
          <w:tcPr>
            <w:tcW w:w="720" w:type="dxa"/>
            <w:tcBorders>
              <w:top w:val="single" w:sz="4" w:space="0" w:color="auto"/>
            </w:tcBorders>
          </w:tcPr>
          <w:p w14:paraId="455CEC35"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2.87</w:t>
            </w:r>
          </w:p>
        </w:tc>
        <w:tc>
          <w:tcPr>
            <w:tcW w:w="720" w:type="dxa"/>
            <w:tcBorders>
              <w:top w:val="single" w:sz="4" w:space="0" w:color="auto"/>
            </w:tcBorders>
          </w:tcPr>
          <w:p w14:paraId="18DE867F"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4</w:t>
            </w:r>
          </w:p>
        </w:tc>
        <w:tc>
          <w:tcPr>
            <w:tcW w:w="720" w:type="dxa"/>
            <w:tcBorders>
              <w:top w:val="single" w:sz="4" w:space="0" w:color="auto"/>
            </w:tcBorders>
          </w:tcPr>
          <w:p w14:paraId="2BDA766D"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2.27</w:t>
            </w:r>
          </w:p>
        </w:tc>
        <w:tc>
          <w:tcPr>
            <w:tcW w:w="720" w:type="dxa"/>
            <w:tcBorders>
              <w:top w:val="single" w:sz="4" w:space="0" w:color="auto"/>
            </w:tcBorders>
          </w:tcPr>
          <w:p w14:paraId="76FE0797"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4</w:t>
            </w:r>
          </w:p>
        </w:tc>
        <w:tc>
          <w:tcPr>
            <w:tcW w:w="720" w:type="dxa"/>
            <w:tcBorders>
              <w:top w:val="single" w:sz="4" w:space="0" w:color="auto"/>
            </w:tcBorders>
            <w:vAlign w:val="bottom"/>
          </w:tcPr>
          <w:p w14:paraId="0A761D73"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Fonts w:ascii="Times New Roman" w:hAnsi="Times New Roman" w:cs="Times New Roman"/>
                <w:color w:val="000000"/>
                <w:sz w:val="20"/>
                <w:szCs w:val="20"/>
              </w:rPr>
              <w:t>2.57</w:t>
            </w:r>
          </w:p>
        </w:tc>
        <w:tc>
          <w:tcPr>
            <w:tcW w:w="720" w:type="dxa"/>
            <w:tcBorders>
              <w:top w:val="single" w:sz="4" w:space="0" w:color="auto"/>
            </w:tcBorders>
          </w:tcPr>
          <w:p w14:paraId="70548656"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4</w:t>
            </w:r>
          </w:p>
        </w:tc>
      </w:tr>
      <w:tr w:rsidR="00A63CD3" w:rsidRPr="004B60E9" w14:paraId="2ECB9010" w14:textId="77777777" w:rsidTr="004B60E9">
        <w:trPr>
          <w:jc w:val="center"/>
        </w:trPr>
        <w:tc>
          <w:tcPr>
            <w:tcW w:w="828" w:type="dxa"/>
          </w:tcPr>
          <w:p w14:paraId="5E23B881"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2</w:t>
            </w:r>
          </w:p>
        </w:tc>
        <w:tc>
          <w:tcPr>
            <w:tcW w:w="2858" w:type="dxa"/>
          </w:tcPr>
          <w:p w14:paraId="1B6A02CF"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 xml:space="preserve">Super Regional Mall </w:t>
            </w:r>
          </w:p>
        </w:tc>
        <w:tc>
          <w:tcPr>
            <w:tcW w:w="720" w:type="dxa"/>
          </w:tcPr>
          <w:p w14:paraId="4CFA7FC9"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2.31</w:t>
            </w:r>
          </w:p>
        </w:tc>
        <w:tc>
          <w:tcPr>
            <w:tcW w:w="720" w:type="dxa"/>
          </w:tcPr>
          <w:p w14:paraId="410531E3"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5</w:t>
            </w:r>
          </w:p>
        </w:tc>
        <w:tc>
          <w:tcPr>
            <w:tcW w:w="720" w:type="dxa"/>
          </w:tcPr>
          <w:p w14:paraId="7F57B292"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2.11</w:t>
            </w:r>
          </w:p>
        </w:tc>
        <w:tc>
          <w:tcPr>
            <w:tcW w:w="720" w:type="dxa"/>
          </w:tcPr>
          <w:p w14:paraId="626A7476"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5</w:t>
            </w:r>
          </w:p>
        </w:tc>
        <w:tc>
          <w:tcPr>
            <w:tcW w:w="720" w:type="dxa"/>
            <w:vAlign w:val="bottom"/>
          </w:tcPr>
          <w:p w14:paraId="2902C296"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Fonts w:ascii="Times New Roman" w:hAnsi="Times New Roman" w:cs="Times New Roman"/>
                <w:color w:val="000000"/>
                <w:sz w:val="20"/>
                <w:szCs w:val="20"/>
              </w:rPr>
              <w:t>2.21</w:t>
            </w:r>
          </w:p>
        </w:tc>
        <w:tc>
          <w:tcPr>
            <w:tcW w:w="720" w:type="dxa"/>
          </w:tcPr>
          <w:p w14:paraId="69EFC7A9"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5</w:t>
            </w:r>
          </w:p>
        </w:tc>
      </w:tr>
      <w:tr w:rsidR="00A63CD3" w:rsidRPr="004B60E9" w14:paraId="03BE1333" w14:textId="77777777" w:rsidTr="004B60E9">
        <w:trPr>
          <w:jc w:val="center"/>
        </w:trPr>
        <w:tc>
          <w:tcPr>
            <w:tcW w:w="828" w:type="dxa"/>
          </w:tcPr>
          <w:p w14:paraId="52627E58"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3</w:t>
            </w:r>
          </w:p>
        </w:tc>
        <w:tc>
          <w:tcPr>
            <w:tcW w:w="2858" w:type="dxa"/>
          </w:tcPr>
          <w:p w14:paraId="2795C937"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Strip Mall</w:t>
            </w:r>
          </w:p>
        </w:tc>
        <w:tc>
          <w:tcPr>
            <w:tcW w:w="720" w:type="dxa"/>
          </w:tcPr>
          <w:p w14:paraId="38551541"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3.34</w:t>
            </w:r>
          </w:p>
        </w:tc>
        <w:tc>
          <w:tcPr>
            <w:tcW w:w="720" w:type="dxa"/>
          </w:tcPr>
          <w:p w14:paraId="331D2306"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3</w:t>
            </w:r>
          </w:p>
        </w:tc>
        <w:tc>
          <w:tcPr>
            <w:tcW w:w="720" w:type="dxa"/>
          </w:tcPr>
          <w:p w14:paraId="7FD570CC"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3.47</w:t>
            </w:r>
          </w:p>
        </w:tc>
        <w:tc>
          <w:tcPr>
            <w:tcW w:w="720" w:type="dxa"/>
          </w:tcPr>
          <w:p w14:paraId="3A553739"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3</w:t>
            </w:r>
          </w:p>
        </w:tc>
        <w:tc>
          <w:tcPr>
            <w:tcW w:w="720" w:type="dxa"/>
            <w:vAlign w:val="bottom"/>
          </w:tcPr>
          <w:p w14:paraId="72345BF2"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Fonts w:ascii="Times New Roman" w:hAnsi="Times New Roman" w:cs="Times New Roman"/>
                <w:color w:val="000000"/>
                <w:sz w:val="20"/>
                <w:szCs w:val="20"/>
              </w:rPr>
              <w:t>3.41</w:t>
            </w:r>
          </w:p>
        </w:tc>
        <w:tc>
          <w:tcPr>
            <w:tcW w:w="720" w:type="dxa"/>
          </w:tcPr>
          <w:p w14:paraId="5DB855BD"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3</w:t>
            </w:r>
          </w:p>
        </w:tc>
      </w:tr>
      <w:tr w:rsidR="00A63CD3" w:rsidRPr="004B60E9" w14:paraId="3A508EAE" w14:textId="77777777" w:rsidTr="004B60E9">
        <w:trPr>
          <w:jc w:val="center"/>
        </w:trPr>
        <w:tc>
          <w:tcPr>
            <w:tcW w:w="828" w:type="dxa"/>
          </w:tcPr>
          <w:p w14:paraId="2DF32F58"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4</w:t>
            </w:r>
          </w:p>
        </w:tc>
        <w:tc>
          <w:tcPr>
            <w:tcW w:w="2858" w:type="dxa"/>
          </w:tcPr>
          <w:p w14:paraId="656C1610"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Outlet Mall</w:t>
            </w:r>
          </w:p>
        </w:tc>
        <w:tc>
          <w:tcPr>
            <w:tcW w:w="720" w:type="dxa"/>
          </w:tcPr>
          <w:p w14:paraId="7E974E82"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4.72</w:t>
            </w:r>
          </w:p>
        </w:tc>
        <w:tc>
          <w:tcPr>
            <w:tcW w:w="720" w:type="dxa"/>
          </w:tcPr>
          <w:p w14:paraId="0DABC43F"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2</w:t>
            </w:r>
          </w:p>
        </w:tc>
        <w:tc>
          <w:tcPr>
            <w:tcW w:w="720" w:type="dxa"/>
          </w:tcPr>
          <w:p w14:paraId="11945179"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4.88</w:t>
            </w:r>
          </w:p>
        </w:tc>
        <w:tc>
          <w:tcPr>
            <w:tcW w:w="720" w:type="dxa"/>
          </w:tcPr>
          <w:p w14:paraId="0206455C"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2</w:t>
            </w:r>
          </w:p>
        </w:tc>
        <w:tc>
          <w:tcPr>
            <w:tcW w:w="720" w:type="dxa"/>
            <w:vAlign w:val="bottom"/>
          </w:tcPr>
          <w:p w14:paraId="459F88F4"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Fonts w:ascii="Times New Roman" w:hAnsi="Times New Roman" w:cs="Times New Roman"/>
                <w:color w:val="000000"/>
                <w:sz w:val="20"/>
                <w:szCs w:val="20"/>
              </w:rPr>
              <w:t>4.80</w:t>
            </w:r>
          </w:p>
        </w:tc>
        <w:tc>
          <w:tcPr>
            <w:tcW w:w="720" w:type="dxa"/>
          </w:tcPr>
          <w:p w14:paraId="1455CAC4"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2</w:t>
            </w:r>
          </w:p>
        </w:tc>
      </w:tr>
      <w:tr w:rsidR="00A63CD3" w:rsidRPr="004B60E9" w14:paraId="13FD0997" w14:textId="77777777" w:rsidTr="004B60E9">
        <w:trPr>
          <w:jc w:val="center"/>
        </w:trPr>
        <w:tc>
          <w:tcPr>
            <w:tcW w:w="828" w:type="dxa"/>
          </w:tcPr>
          <w:p w14:paraId="3F7E7C02"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5</w:t>
            </w:r>
          </w:p>
        </w:tc>
        <w:tc>
          <w:tcPr>
            <w:tcW w:w="2858" w:type="dxa"/>
          </w:tcPr>
          <w:p w14:paraId="7268278C"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Neighborhood Mall</w:t>
            </w:r>
          </w:p>
        </w:tc>
        <w:tc>
          <w:tcPr>
            <w:tcW w:w="720" w:type="dxa"/>
          </w:tcPr>
          <w:p w14:paraId="20C2295C"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4.87</w:t>
            </w:r>
          </w:p>
        </w:tc>
        <w:tc>
          <w:tcPr>
            <w:tcW w:w="720" w:type="dxa"/>
          </w:tcPr>
          <w:p w14:paraId="53B97FDE"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1</w:t>
            </w:r>
          </w:p>
        </w:tc>
        <w:tc>
          <w:tcPr>
            <w:tcW w:w="720" w:type="dxa"/>
          </w:tcPr>
          <w:p w14:paraId="0E6B5280"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4.99</w:t>
            </w:r>
          </w:p>
        </w:tc>
        <w:tc>
          <w:tcPr>
            <w:tcW w:w="720" w:type="dxa"/>
          </w:tcPr>
          <w:p w14:paraId="4648ACBA"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1</w:t>
            </w:r>
          </w:p>
        </w:tc>
        <w:tc>
          <w:tcPr>
            <w:tcW w:w="720" w:type="dxa"/>
            <w:vAlign w:val="bottom"/>
          </w:tcPr>
          <w:p w14:paraId="6D172632"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Fonts w:ascii="Times New Roman" w:hAnsi="Times New Roman" w:cs="Times New Roman"/>
                <w:color w:val="000000"/>
                <w:sz w:val="20"/>
                <w:szCs w:val="20"/>
              </w:rPr>
              <w:t>4.93</w:t>
            </w:r>
          </w:p>
        </w:tc>
        <w:tc>
          <w:tcPr>
            <w:tcW w:w="720" w:type="dxa"/>
          </w:tcPr>
          <w:p w14:paraId="2C214912"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1</w:t>
            </w:r>
          </w:p>
        </w:tc>
      </w:tr>
      <w:tr w:rsidR="00A63CD3" w:rsidRPr="004B60E9" w14:paraId="4CBD4907" w14:textId="77777777" w:rsidTr="004B60E9">
        <w:trPr>
          <w:jc w:val="center"/>
        </w:trPr>
        <w:tc>
          <w:tcPr>
            <w:tcW w:w="828" w:type="dxa"/>
          </w:tcPr>
          <w:p w14:paraId="6D65955C"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p>
        </w:tc>
        <w:tc>
          <w:tcPr>
            <w:tcW w:w="2858" w:type="dxa"/>
          </w:tcPr>
          <w:p w14:paraId="6D1FCA67" w14:textId="77777777" w:rsidR="00A63CD3" w:rsidRPr="004B60E9" w:rsidRDefault="00A63CD3" w:rsidP="0000060D">
            <w:pPr>
              <w:spacing w:after="0" w:line="240" w:lineRule="auto"/>
              <w:contextualSpacing/>
              <w:jc w:val="both"/>
              <w:rPr>
                <w:rStyle w:val="fontstyle21"/>
                <w:rFonts w:ascii="Times New Roman" w:hAnsi="Times New Roman"/>
                <w:b/>
                <w:bCs/>
                <w:i/>
                <w:iCs/>
                <w:sz w:val="20"/>
                <w:szCs w:val="20"/>
              </w:rPr>
            </w:pPr>
            <w:r w:rsidRPr="004B60E9">
              <w:rPr>
                <w:rStyle w:val="fontstyle21"/>
                <w:rFonts w:ascii="Times New Roman" w:hAnsi="Times New Roman"/>
                <w:b/>
                <w:bCs/>
                <w:i/>
                <w:iCs/>
                <w:sz w:val="20"/>
                <w:szCs w:val="20"/>
              </w:rPr>
              <w:t>Average Mean</w:t>
            </w:r>
          </w:p>
        </w:tc>
        <w:tc>
          <w:tcPr>
            <w:tcW w:w="720" w:type="dxa"/>
          </w:tcPr>
          <w:p w14:paraId="77A4C57B"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3.62</w:t>
            </w:r>
          </w:p>
        </w:tc>
        <w:tc>
          <w:tcPr>
            <w:tcW w:w="720" w:type="dxa"/>
          </w:tcPr>
          <w:p w14:paraId="0738E777"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p>
        </w:tc>
        <w:tc>
          <w:tcPr>
            <w:tcW w:w="720" w:type="dxa"/>
          </w:tcPr>
          <w:p w14:paraId="2D146360"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3.54</w:t>
            </w:r>
          </w:p>
        </w:tc>
        <w:tc>
          <w:tcPr>
            <w:tcW w:w="720" w:type="dxa"/>
          </w:tcPr>
          <w:p w14:paraId="0235149F"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p>
        </w:tc>
        <w:tc>
          <w:tcPr>
            <w:tcW w:w="720" w:type="dxa"/>
          </w:tcPr>
          <w:p w14:paraId="4964DAD3"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r w:rsidRPr="004B60E9">
              <w:rPr>
                <w:rStyle w:val="fontstyle21"/>
                <w:rFonts w:ascii="Times New Roman" w:hAnsi="Times New Roman"/>
                <w:sz w:val="20"/>
                <w:szCs w:val="20"/>
              </w:rPr>
              <w:t>3.58</w:t>
            </w:r>
          </w:p>
        </w:tc>
        <w:tc>
          <w:tcPr>
            <w:tcW w:w="720" w:type="dxa"/>
          </w:tcPr>
          <w:p w14:paraId="3D2B99EF" w14:textId="77777777" w:rsidR="00A63CD3" w:rsidRPr="004B60E9" w:rsidRDefault="00A63CD3" w:rsidP="0000060D">
            <w:pPr>
              <w:spacing w:after="0" w:line="240" w:lineRule="auto"/>
              <w:contextualSpacing/>
              <w:jc w:val="both"/>
              <w:rPr>
                <w:rStyle w:val="fontstyle21"/>
                <w:rFonts w:ascii="Times New Roman" w:hAnsi="Times New Roman"/>
                <w:sz w:val="20"/>
                <w:szCs w:val="20"/>
              </w:rPr>
            </w:pPr>
          </w:p>
        </w:tc>
      </w:tr>
    </w:tbl>
    <w:p w14:paraId="14A77E44" w14:textId="77777777" w:rsidR="00A63CD3" w:rsidRPr="004B60E9" w:rsidRDefault="00A63CD3" w:rsidP="00A63CD3">
      <w:pPr>
        <w:spacing w:after="0" w:line="240" w:lineRule="auto"/>
        <w:ind w:left="720"/>
        <w:contextualSpacing/>
        <w:jc w:val="both"/>
        <w:rPr>
          <w:rFonts w:ascii="Times New Roman" w:eastAsia="Times New Roman" w:hAnsi="Times New Roman" w:cs="Times New Roman"/>
          <w:sz w:val="24"/>
          <w:szCs w:val="24"/>
        </w:rPr>
      </w:pPr>
      <w:r w:rsidRPr="004B60E9">
        <w:rPr>
          <w:rFonts w:ascii="Times New Roman" w:eastAsia="Times New Roman" w:hAnsi="Times New Roman" w:cs="Times New Roman"/>
          <w:sz w:val="24"/>
          <w:szCs w:val="24"/>
        </w:rPr>
        <w:t>Note: LI=Lagos Island; LM=Lagos Mainland; LS=Lagos State; R=Rank</w:t>
      </w:r>
    </w:p>
    <w:p w14:paraId="78A3BFAE" w14:textId="77777777" w:rsidR="00A63CD3" w:rsidRPr="00BE4AF3" w:rsidRDefault="00A63CD3" w:rsidP="00A63CD3">
      <w:pPr>
        <w:spacing w:after="0" w:line="240" w:lineRule="auto"/>
        <w:ind w:left="720"/>
        <w:contextualSpacing/>
        <w:jc w:val="both"/>
        <w:rPr>
          <w:rFonts w:ascii="Times New Roman" w:eastAsia="Times New Roman" w:hAnsi="Times New Roman" w:cs="Times New Roman"/>
          <w:b/>
          <w:bCs/>
          <w:i/>
          <w:iCs/>
          <w:sz w:val="24"/>
          <w:szCs w:val="24"/>
        </w:rPr>
      </w:pPr>
    </w:p>
    <w:p w14:paraId="3CFD7344" w14:textId="77777777" w:rsidR="00A63CD3" w:rsidRPr="00BE4AF3" w:rsidRDefault="00A63CD3" w:rsidP="004B60E9">
      <w:pPr>
        <w:spacing w:after="0" w:line="240" w:lineRule="auto"/>
        <w:contextualSpacing/>
        <w:jc w:val="both"/>
        <w:rPr>
          <w:rFonts w:ascii="Times New Roman" w:hAnsi="Times New Roman" w:cs="Times New Roman"/>
          <w:bCs/>
          <w:sz w:val="24"/>
          <w:szCs w:val="24"/>
        </w:rPr>
      </w:pPr>
      <w:r w:rsidRPr="00BE4AF3">
        <w:rPr>
          <w:rFonts w:ascii="Times New Roman" w:hAnsi="Times New Roman" w:cs="Times New Roman"/>
          <w:bCs/>
          <w:sz w:val="24"/>
          <w:szCs w:val="24"/>
        </w:rPr>
        <w:t>As presented in Table 4.5, the extent of investment in shopping mall in Lagos Island shows that neighborhood malls (4.87) and outlet malls (4.72) are investment in at a very high quantity. However, respondents were neutral about the extent of investment in strip malls (3.34) and regional malls (2.87). The investments in super regional malls (2.31) were low in the study area. In Lagos mainland, the respondents opined that neighborhood malls (4.99) and outlet malls (4.88) are investment in at a very high quantity. However, respondents were neutral about the extent of investment in strip malls (3.47). Regional malls (2.27) and super regional malls (2.11) were invested in low quantity in the study area. On the aggregate, the result of the analysis revealed that in Lagos property market, neighborhood malls (4.93) and outlet malls (4.80) are investment in at a very high quantity. However, respondents were neutral about the extent of investment in strip malls (3.41) and regional malls (2.57). The result further established that super regional malls (2.21) were invested in low quantity in the study area. This result is however expected because neighborhood and outlet malls are found to be the interest of most individuals as it is known to be less cost intensive compared to strip, regional and super regional malls (Otegbulu et al., 2015). Furthermore, regional and superregional malls in Lagos are mostly government-initiated investments such as Ikeja City Mall and Lagos Trade Fair market among others.</w:t>
      </w:r>
    </w:p>
    <w:p w14:paraId="623BD7AF" w14:textId="77777777" w:rsidR="00A63CD3" w:rsidRPr="00BE4AF3" w:rsidRDefault="00A63CD3" w:rsidP="00A63CD3">
      <w:pPr>
        <w:spacing w:after="0" w:line="240" w:lineRule="auto"/>
        <w:ind w:firstLine="720"/>
        <w:contextualSpacing/>
        <w:jc w:val="both"/>
        <w:rPr>
          <w:rFonts w:ascii="Times New Roman" w:hAnsi="Times New Roman" w:cs="Times New Roman"/>
          <w:bCs/>
          <w:sz w:val="24"/>
          <w:szCs w:val="24"/>
        </w:rPr>
      </w:pPr>
      <w:r w:rsidRPr="00BE4AF3">
        <w:rPr>
          <w:rFonts w:ascii="Times New Roman" w:hAnsi="Times New Roman" w:cs="Times New Roman"/>
          <w:bCs/>
          <w:sz w:val="24"/>
          <w:szCs w:val="24"/>
        </w:rPr>
        <w:t xml:space="preserve"> </w:t>
      </w:r>
    </w:p>
    <w:p w14:paraId="2CCE4891" w14:textId="77777777" w:rsidR="00A63CD3" w:rsidRPr="00BE4AF3" w:rsidRDefault="00A63CD3" w:rsidP="00A63CD3">
      <w:pPr>
        <w:autoSpaceDE w:val="0"/>
        <w:autoSpaceDN w:val="0"/>
        <w:adjustRightInd w:val="0"/>
        <w:spacing w:after="0" w:line="240" w:lineRule="auto"/>
        <w:contextualSpacing/>
        <w:jc w:val="both"/>
        <w:rPr>
          <w:rFonts w:ascii="Times New Roman" w:hAnsi="Times New Roman" w:cs="Times New Roman"/>
          <w:b/>
          <w:bCs/>
          <w:sz w:val="24"/>
          <w:szCs w:val="24"/>
        </w:rPr>
      </w:pPr>
      <w:r w:rsidRPr="00BE4AF3">
        <w:rPr>
          <w:rFonts w:ascii="Times New Roman" w:hAnsi="Times New Roman" w:cs="Times New Roman"/>
          <w:b/>
          <w:bCs/>
          <w:sz w:val="24"/>
          <w:szCs w:val="24"/>
        </w:rPr>
        <w:lastRenderedPageBreak/>
        <w:t xml:space="preserve">4.4 </w:t>
      </w:r>
      <w:r w:rsidRPr="00BE4AF3">
        <w:rPr>
          <w:rFonts w:ascii="Times New Roman" w:eastAsia="Times New Roman" w:hAnsi="Times New Roman" w:cs="Times New Roman"/>
          <w:b/>
          <w:bCs/>
          <w:sz w:val="24"/>
          <w:szCs w:val="24"/>
        </w:rPr>
        <w:t>Rental Values of shopping malls from 2012 to 2023 in the Study Area</w:t>
      </w:r>
    </w:p>
    <w:p w14:paraId="00C29D0D" w14:textId="77777777" w:rsidR="00A63CD3" w:rsidRPr="00BE4AF3" w:rsidRDefault="00A63CD3" w:rsidP="004B60E9">
      <w:pPr>
        <w:spacing w:after="0" w:line="240" w:lineRule="auto"/>
        <w:contextualSpacing/>
        <w:jc w:val="both"/>
        <w:rPr>
          <w:rFonts w:ascii="Times New Roman" w:hAnsi="Times New Roman" w:cs="Times New Roman"/>
          <w:bCs/>
          <w:sz w:val="24"/>
          <w:szCs w:val="24"/>
        </w:rPr>
      </w:pPr>
      <w:r w:rsidRPr="00BE4AF3">
        <w:rPr>
          <w:rFonts w:ascii="Times New Roman" w:hAnsi="Times New Roman" w:cs="Times New Roman"/>
          <w:bCs/>
          <w:sz w:val="24"/>
          <w:szCs w:val="24"/>
        </w:rPr>
        <w:t xml:space="preserve">The objective of the study is to determine the rental values of shopping malls from 2012 to 2023 in the study area. The rental value of the shopping malls was inquired in per square meters. It is important to note that it is only the available shopping malls in the study area that was analysed. To be explicit the rental values per square meter for regional malls, super-regional malls, strip malls, outlet malls and neighborhood malls were inquired for 2012 to 2023. The result of the analysis is presented in Table 4.4. For regional shopping mall, the average rental values per square meters were N30,061, N27,817 and N28,931 for Lagos Island, Lagos Mainland and Lagos property market respectively. The minimum (N23,653; N21,870 and N22,762) and maximum (N37,800; N33,800 and N35,800) rental values for Lagos Island, Lagos Mainland and Lagos property market respectively were in 2012 and 2023. For super regional shopping mall, the average rental values per square meters were N44,666, N35,808 and N40,237 for Lagos Island, Lagos Mainland and Lagos property market respectively. The minimum (N37,266; N31,267 and N34,267) and maximum (N54,800; N39,210 and N46,705) rental values for Lagos Island, Lagos Mainland and Lagos property market respectively were in 2012 and 2023. </w:t>
      </w:r>
    </w:p>
    <w:p w14:paraId="450F9BF1" w14:textId="77777777" w:rsidR="00A63CD3" w:rsidRPr="00BE4AF3" w:rsidRDefault="00A63CD3" w:rsidP="004B60E9">
      <w:pPr>
        <w:spacing w:after="0" w:line="240" w:lineRule="auto"/>
        <w:contextualSpacing/>
        <w:jc w:val="both"/>
        <w:rPr>
          <w:rFonts w:ascii="Times New Roman" w:hAnsi="Times New Roman" w:cs="Times New Roman"/>
          <w:bCs/>
          <w:sz w:val="24"/>
          <w:szCs w:val="24"/>
        </w:rPr>
      </w:pPr>
      <w:r w:rsidRPr="00BE4AF3">
        <w:rPr>
          <w:rFonts w:ascii="Times New Roman" w:hAnsi="Times New Roman" w:cs="Times New Roman"/>
          <w:bCs/>
          <w:sz w:val="24"/>
          <w:szCs w:val="24"/>
        </w:rPr>
        <w:t xml:space="preserve">For strip shopping mall, the average rental values per square meters were N23,367, N17,424 and N20,395 for Lagos Island, Lagos Mainland and Lagos property market respectively. The minimum (N18,033; N14,013 and N16,033) and maximum (N31,752; N20,852 and N26,302) rental values for Lagos Island, Lagos Mainland and Lagos property market respectively were in 2012 and 2023. For outlet shopping mall, the average rental values per square meters were N33,304, N14,282 and N23,793 for Lagos Island, Lagos Mainland and Lagos property market respectively. The minimum (N10,400) and maximum (N18,600) rental values for Lagos Island were in 2015 and 2012 respectively. For Lagos Mainland, the minimum and maximum were N10,100 and N17,450 in 2012 and 2023 respectively and N11,900 and N17450 for Lagos property market in 2015 and 2023 respectively. </w:t>
      </w:r>
    </w:p>
    <w:p w14:paraId="02DE4A71" w14:textId="77777777" w:rsidR="00A63CD3" w:rsidRPr="00BE4AF3" w:rsidRDefault="00A63CD3" w:rsidP="004B60E9">
      <w:pPr>
        <w:spacing w:after="0" w:line="240" w:lineRule="auto"/>
        <w:contextualSpacing/>
        <w:jc w:val="both"/>
        <w:rPr>
          <w:rFonts w:ascii="Times New Roman" w:hAnsi="Times New Roman" w:cs="Times New Roman"/>
          <w:bCs/>
          <w:sz w:val="24"/>
          <w:szCs w:val="24"/>
        </w:rPr>
      </w:pPr>
      <w:r w:rsidRPr="00BE4AF3">
        <w:rPr>
          <w:rFonts w:ascii="Times New Roman" w:hAnsi="Times New Roman" w:cs="Times New Roman"/>
          <w:bCs/>
          <w:sz w:val="24"/>
          <w:szCs w:val="24"/>
        </w:rPr>
        <w:t>For neighborhood shopping mall, the average rental values per square meters were for Lagos Island, Lagos Mainland and Lagos property market were similar with rental value per meter square been N18, 044. The minimum (N13,280) and maximum (N23,900) rental values were in 2012 and 2023 respectively. The foregoing suggests that there was a continuous increase in the rental values for shopping malls in Lagos property market from 2012 to 2023 except for outlet shopping mall which experienced a downturn from 2012 to 2015 in Lagos Island. To ascertain the previous assertion further analysis was carried put to determine the movement of rental values of the shopping malls for same period using trend analysis. The result of the analysis is presented in Table 4.4.</w:t>
      </w:r>
    </w:p>
    <w:p w14:paraId="24DA807B" w14:textId="77777777" w:rsidR="00A63CD3" w:rsidRPr="00BE4AF3" w:rsidRDefault="00A63CD3" w:rsidP="00A63CD3">
      <w:pPr>
        <w:spacing w:after="0" w:line="240" w:lineRule="auto"/>
        <w:contextualSpacing/>
        <w:jc w:val="both"/>
        <w:rPr>
          <w:rFonts w:ascii="Times New Roman" w:hAnsi="Times New Roman" w:cs="Times New Roman"/>
          <w:b/>
          <w:sz w:val="24"/>
          <w:szCs w:val="24"/>
        </w:rPr>
        <w:sectPr w:rsidR="00A63CD3" w:rsidRPr="00BE4AF3">
          <w:pgSz w:w="12240" w:h="15840"/>
          <w:pgMar w:top="1440" w:right="1440" w:bottom="1440" w:left="1440" w:header="720" w:footer="720" w:gutter="0"/>
          <w:cols w:space="720"/>
          <w:docGrid w:linePitch="360"/>
        </w:sectPr>
      </w:pPr>
    </w:p>
    <w:p w14:paraId="6D7FC7B3" w14:textId="77777777" w:rsidR="00A63CD3" w:rsidRPr="00BE4AF3" w:rsidRDefault="00A63CD3" w:rsidP="00A63CD3">
      <w:pPr>
        <w:spacing w:after="0" w:line="240" w:lineRule="auto"/>
        <w:contextualSpacing/>
        <w:jc w:val="both"/>
        <w:rPr>
          <w:rFonts w:ascii="Times New Roman" w:hAnsi="Times New Roman" w:cs="Times New Roman"/>
          <w:b/>
          <w:sz w:val="24"/>
          <w:szCs w:val="24"/>
        </w:rPr>
      </w:pPr>
    </w:p>
    <w:p w14:paraId="5A1D06C7" w14:textId="77777777" w:rsidR="00A63CD3" w:rsidRPr="00BE4AF3" w:rsidRDefault="00A63CD3" w:rsidP="00A63CD3">
      <w:pPr>
        <w:spacing w:after="0" w:line="240" w:lineRule="auto"/>
        <w:contextualSpacing/>
        <w:jc w:val="both"/>
        <w:rPr>
          <w:rFonts w:ascii="Times New Roman" w:hAnsi="Times New Roman" w:cs="Times New Roman"/>
          <w:b/>
          <w:sz w:val="24"/>
          <w:szCs w:val="24"/>
        </w:rPr>
      </w:pPr>
    </w:p>
    <w:p w14:paraId="2699D7BC" w14:textId="55796AD7" w:rsidR="00A63CD3" w:rsidRPr="00BE4AF3" w:rsidRDefault="00A63CD3" w:rsidP="004B60E9">
      <w:pPr>
        <w:autoSpaceDE w:val="0"/>
        <w:autoSpaceDN w:val="0"/>
        <w:adjustRightInd w:val="0"/>
        <w:spacing w:after="0" w:line="240" w:lineRule="auto"/>
        <w:contextualSpacing/>
        <w:jc w:val="both"/>
        <w:rPr>
          <w:rFonts w:ascii="Times New Roman" w:eastAsia="Times New Roman" w:hAnsi="Times New Roman" w:cs="Times New Roman"/>
          <w:b/>
          <w:bCs/>
          <w:sz w:val="24"/>
          <w:szCs w:val="24"/>
        </w:rPr>
      </w:pPr>
    </w:p>
    <w:tbl>
      <w:tblPr>
        <w:tblpPr w:leftFromText="180" w:rightFromText="180" w:vertAnchor="page" w:horzAnchor="margin" w:tblpY="3071"/>
        <w:tblW w:w="13482" w:type="dxa"/>
        <w:tblBorders>
          <w:top w:val="single" w:sz="4" w:space="0" w:color="auto"/>
          <w:bottom w:val="single" w:sz="4" w:space="0" w:color="auto"/>
        </w:tblBorders>
        <w:tblLayout w:type="fixed"/>
        <w:tblLook w:val="04A0" w:firstRow="1" w:lastRow="0" w:firstColumn="1" w:lastColumn="0" w:noHBand="0" w:noVBand="1"/>
      </w:tblPr>
      <w:tblGrid>
        <w:gridCol w:w="704"/>
        <w:gridCol w:w="985"/>
        <w:gridCol w:w="905"/>
        <w:gridCol w:w="900"/>
        <w:gridCol w:w="720"/>
        <w:gridCol w:w="900"/>
        <w:gridCol w:w="815"/>
        <w:gridCol w:w="895"/>
        <w:gridCol w:w="810"/>
        <w:gridCol w:w="810"/>
        <w:gridCol w:w="810"/>
        <w:gridCol w:w="892"/>
        <w:gridCol w:w="876"/>
        <w:gridCol w:w="820"/>
        <w:gridCol w:w="820"/>
        <w:gridCol w:w="820"/>
      </w:tblGrid>
      <w:tr w:rsidR="00A63CD3" w:rsidRPr="004B60E9" w14:paraId="5C95EB5D" w14:textId="77777777" w:rsidTr="004B60E9">
        <w:trPr>
          <w:trHeight w:val="200"/>
        </w:trPr>
        <w:tc>
          <w:tcPr>
            <w:tcW w:w="704" w:type="dxa"/>
            <w:vMerge w:val="restart"/>
            <w:tcBorders>
              <w:top w:val="single" w:sz="4" w:space="0" w:color="auto"/>
              <w:bottom w:val="nil"/>
            </w:tcBorders>
          </w:tcPr>
          <w:p w14:paraId="76F62029" w14:textId="77777777" w:rsidR="00A63CD3" w:rsidRPr="004B60E9" w:rsidRDefault="00A63CD3" w:rsidP="004B60E9">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 xml:space="preserve">Years </w:t>
            </w:r>
          </w:p>
        </w:tc>
        <w:tc>
          <w:tcPr>
            <w:tcW w:w="4410" w:type="dxa"/>
            <w:gridSpan w:val="5"/>
            <w:tcBorders>
              <w:top w:val="single" w:sz="4" w:space="0" w:color="auto"/>
              <w:bottom w:val="single" w:sz="4" w:space="0" w:color="auto"/>
            </w:tcBorders>
          </w:tcPr>
          <w:p w14:paraId="5B3CAF11" w14:textId="77777777" w:rsidR="00A63CD3" w:rsidRPr="004B60E9" w:rsidRDefault="00A63CD3" w:rsidP="004B60E9">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Lagos Island</w:t>
            </w:r>
          </w:p>
        </w:tc>
        <w:tc>
          <w:tcPr>
            <w:tcW w:w="4140" w:type="dxa"/>
            <w:gridSpan w:val="5"/>
            <w:tcBorders>
              <w:top w:val="single" w:sz="4" w:space="0" w:color="auto"/>
              <w:bottom w:val="single" w:sz="4" w:space="0" w:color="auto"/>
            </w:tcBorders>
          </w:tcPr>
          <w:p w14:paraId="421507DA" w14:textId="77777777" w:rsidR="00A63CD3" w:rsidRPr="004B60E9" w:rsidRDefault="00A63CD3" w:rsidP="004B60E9">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Lagos Mainland</w:t>
            </w:r>
          </w:p>
        </w:tc>
        <w:tc>
          <w:tcPr>
            <w:tcW w:w="4228" w:type="dxa"/>
            <w:gridSpan w:val="5"/>
            <w:tcBorders>
              <w:top w:val="single" w:sz="4" w:space="0" w:color="auto"/>
              <w:bottom w:val="single" w:sz="4" w:space="0" w:color="auto"/>
            </w:tcBorders>
          </w:tcPr>
          <w:p w14:paraId="3BDB0685" w14:textId="77777777" w:rsidR="00A63CD3" w:rsidRPr="004B60E9" w:rsidRDefault="00A63CD3" w:rsidP="004B60E9">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Lagos State</w:t>
            </w:r>
          </w:p>
        </w:tc>
      </w:tr>
      <w:tr w:rsidR="00A63CD3" w:rsidRPr="004B60E9" w14:paraId="6A8FFE45" w14:textId="77777777" w:rsidTr="004B60E9">
        <w:trPr>
          <w:trHeight w:val="200"/>
        </w:trPr>
        <w:tc>
          <w:tcPr>
            <w:tcW w:w="704" w:type="dxa"/>
            <w:vMerge/>
            <w:tcBorders>
              <w:top w:val="nil"/>
              <w:bottom w:val="single" w:sz="4" w:space="0" w:color="auto"/>
            </w:tcBorders>
          </w:tcPr>
          <w:p w14:paraId="7E7340D3"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p>
        </w:tc>
        <w:tc>
          <w:tcPr>
            <w:tcW w:w="985" w:type="dxa"/>
            <w:tcBorders>
              <w:top w:val="single" w:sz="4" w:space="0" w:color="auto"/>
              <w:bottom w:val="single" w:sz="4" w:space="0" w:color="auto"/>
            </w:tcBorders>
          </w:tcPr>
          <w:p w14:paraId="268ACA07"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RM</w:t>
            </w:r>
          </w:p>
        </w:tc>
        <w:tc>
          <w:tcPr>
            <w:tcW w:w="905" w:type="dxa"/>
            <w:tcBorders>
              <w:top w:val="single" w:sz="4" w:space="0" w:color="auto"/>
              <w:bottom w:val="single" w:sz="4" w:space="0" w:color="auto"/>
            </w:tcBorders>
          </w:tcPr>
          <w:p w14:paraId="35752D42"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SRM</w:t>
            </w:r>
          </w:p>
        </w:tc>
        <w:tc>
          <w:tcPr>
            <w:tcW w:w="900" w:type="dxa"/>
            <w:tcBorders>
              <w:top w:val="single" w:sz="4" w:space="0" w:color="auto"/>
              <w:bottom w:val="single" w:sz="4" w:space="0" w:color="auto"/>
            </w:tcBorders>
          </w:tcPr>
          <w:p w14:paraId="6B561816"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SM</w:t>
            </w:r>
          </w:p>
        </w:tc>
        <w:tc>
          <w:tcPr>
            <w:tcW w:w="720" w:type="dxa"/>
            <w:tcBorders>
              <w:top w:val="single" w:sz="4" w:space="0" w:color="auto"/>
              <w:bottom w:val="single" w:sz="4" w:space="0" w:color="auto"/>
            </w:tcBorders>
          </w:tcPr>
          <w:p w14:paraId="60E6FF66"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OM</w:t>
            </w:r>
          </w:p>
        </w:tc>
        <w:tc>
          <w:tcPr>
            <w:tcW w:w="900" w:type="dxa"/>
            <w:tcBorders>
              <w:top w:val="single" w:sz="4" w:space="0" w:color="auto"/>
              <w:bottom w:val="single" w:sz="4" w:space="0" w:color="auto"/>
            </w:tcBorders>
          </w:tcPr>
          <w:p w14:paraId="18E0CC31"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NM</w:t>
            </w:r>
          </w:p>
        </w:tc>
        <w:tc>
          <w:tcPr>
            <w:tcW w:w="815" w:type="dxa"/>
            <w:tcBorders>
              <w:top w:val="single" w:sz="4" w:space="0" w:color="auto"/>
              <w:bottom w:val="single" w:sz="4" w:space="0" w:color="auto"/>
            </w:tcBorders>
          </w:tcPr>
          <w:p w14:paraId="03062901"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RM</w:t>
            </w:r>
          </w:p>
        </w:tc>
        <w:tc>
          <w:tcPr>
            <w:tcW w:w="895" w:type="dxa"/>
            <w:tcBorders>
              <w:top w:val="single" w:sz="4" w:space="0" w:color="auto"/>
              <w:bottom w:val="single" w:sz="4" w:space="0" w:color="auto"/>
            </w:tcBorders>
          </w:tcPr>
          <w:p w14:paraId="1E5FBD7E"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SRM</w:t>
            </w:r>
          </w:p>
        </w:tc>
        <w:tc>
          <w:tcPr>
            <w:tcW w:w="810" w:type="dxa"/>
            <w:tcBorders>
              <w:top w:val="single" w:sz="4" w:space="0" w:color="auto"/>
              <w:bottom w:val="single" w:sz="4" w:space="0" w:color="auto"/>
            </w:tcBorders>
          </w:tcPr>
          <w:p w14:paraId="59F5521B"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SM</w:t>
            </w:r>
          </w:p>
        </w:tc>
        <w:tc>
          <w:tcPr>
            <w:tcW w:w="810" w:type="dxa"/>
            <w:tcBorders>
              <w:top w:val="single" w:sz="4" w:space="0" w:color="auto"/>
              <w:bottom w:val="single" w:sz="4" w:space="0" w:color="auto"/>
            </w:tcBorders>
          </w:tcPr>
          <w:p w14:paraId="335BC3A8"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OM</w:t>
            </w:r>
          </w:p>
        </w:tc>
        <w:tc>
          <w:tcPr>
            <w:tcW w:w="810" w:type="dxa"/>
            <w:tcBorders>
              <w:top w:val="single" w:sz="4" w:space="0" w:color="auto"/>
              <w:bottom w:val="single" w:sz="4" w:space="0" w:color="auto"/>
            </w:tcBorders>
          </w:tcPr>
          <w:p w14:paraId="626DC272"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NM</w:t>
            </w:r>
          </w:p>
        </w:tc>
        <w:tc>
          <w:tcPr>
            <w:tcW w:w="892" w:type="dxa"/>
            <w:tcBorders>
              <w:top w:val="single" w:sz="4" w:space="0" w:color="auto"/>
              <w:bottom w:val="single" w:sz="4" w:space="0" w:color="auto"/>
            </w:tcBorders>
          </w:tcPr>
          <w:p w14:paraId="27C97505"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RM</w:t>
            </w:r>
          </w:p>
        </w:tc>
        <w:tc>
          <w:tcPr>
            <w:tcW w:w="876" w:type="dxa"/>
            <w:tcBorders>
              <w:top w:val="single" w:sz="4" w:space="0" w:color="auto"/>
              <w:bottom w:val="single" w:sz="4" w:space="0" w:color="auto"/>
            </w:tcBorders>
          </w:tcPr>
          <w:p w14:paraId="769AFFFA"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SRM</w:t>
            </w:r>
          </w:p>
        </w:tc>
        <w:tc>
          <w:tcPr>
            <w:tcW w:w="820" w:type="dxa"/>
            <w:tcBorders>
              <w:top w:val="single" w:sz="4" w:space="0" w:color="auto"/>
              <w:bottom w:val="single" w:sz="4" w:space="0" w:color="auto"/>
            </w:tcBorders>
          </w:tcPr>
          <w:p w14:paraId="335B1EBF"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SM</w:t>
            </w:r>
          </w:p>
        </w:tc>
        <w:tc>
          <w:tcPr>
            <w:tcW w:w="820" w:type="dxa"/>
            <w:tcBorders>
              <w:top w:val="single" w:sz="4" w:space="0" w:color="auto"/>
              <w:bottom w:val="single" w:sz="4" w:space="0" w:color="auto"/>
            </w:tcBorders>
          </w:tcPr>
          <w:p w14:paraId="49B741DB"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OM</w:t>
            </w:r>
          </w:p>
        </w:tc>
        <w:tc>
          <w:tcPr>
            <w:tcW w:w="820" w:type="dxa"/>
            <w:tcBorders>
              <w:top w:val="single" w:sz="4" w:space="0" w:color="auto"/>
              <w:bottom w:val="single" w:sz="4" w:space="0" w:color="auto"/>
            </w:tcBorders>
          </w:tcPr>
          <w:p w14:paraId="16663871"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NM</w:t>
            </w:r>
          </w:p>
        </w:tc>
      </w:tr>
      <w:tr w:rsidR="00A63CD3" w:rsidRPr="004B60E9" w14:paraId="19025A64" w14:textId="77777777" w:rsidTr="004B60E9">
        <w:trPr>
          <w:trHeight w:val="50"/>
        </w:trPr>
        <w:tc>
          <w:tcPr>
            <w:tcW w:w="704" w:type="dxa"/>
            <w:tcBorders>
              <w:top w:val="single" w:sz="4" w:space="0" w:color="auto"/>
            </w:tcBorders>
          </w:tcPr>
          <w:p w14:paraId="311A9840"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2012</w:t>
            </w:r>
          </w:p>
        </w:tc>
        <w:tc>
          <w:tcPr>
            <w:tcW w:w="985" w:type="dxa"/>
            <w:tcBorders>
              <w:top w:val="single" w:sz="4" w:space="0" w:color="auto"/>
            </w:tcBorders>
            <w:vAlign w:val="bottom"/>
          </w:tcPr>
          <w:p w14:paraId="644F9A67"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23653</w:t>
            </w:r>
          </w:p>
        </w:tc>
        <w:tc>
          <w:tcPr>
            <w:tcW w:w="905" w:type="dxa"/>
            <w:tcBorders>
              <w:top w:val="single" w:sz="4" w:space="0" w:color="auto"/>
            </w:tcBorders>
            <w:vAlign w:val="bottom"/>
          </w:tcPr>
          <w:p w14:paraId="5CE34260"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37266</w:t>
            </w:r>
          </w:p>
        </w:tc>
        <w:tc>
          <w:tcPr>
            <w:tcW w:w="900" w:type="dxa"/>
            <w:tcBorders>
              <w:top w:val="single" w:sz="4" w:space="0" w:color="auto"/>
            </w:tcBorders>
            <w:vAlign w:val="bottom"/>
          </w:tcPr>
          <w:p w14:paraId="1576385E"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18033</w:t>
            </w:r>
          </w:p>
        </w:tc>
        <w:tc>
          <w:tcPr>
            <w:tcW w:w="720" w:type="dxa"/>
            <w:tcBorders>
              <w:top w:val="single" w:sz="4" w:space="0" w:color="auto"/>
            </w:tcBorders>
            <w:vAlign w:val="bottom"/>
          </w:tcPr>
          <w:p w14:paraId="735D194E"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18600</w:t>
            </w:r>
          </w:p>
        </w:tc>
        <w:tc>
          <w:tcPr>
            <w:tcW w:w="900" w:type="dxa"/>
            <w:tcBorders>
              <w:top w:val="single" w:sz="4" w:space="0" w:color="auto"/>
            </w:tcBorders>
            <w:vAlign w:val="bottom"/>
          </w:tcPr>
          <w:p w14:paraId="55A0B727"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13280</w:t>
            </w:r>
          </w:p>
        </w:tc>
        <w:tc>
          <w:tcPr>
            <w:tcW w:w="815" w:type="dxa"/>
            <w:tcBorders>
              <w:top w:val="single" w:sz="4" w:space="0" w:color="auto"/>
            </w:tcBorders>
            <w:vAlign w:val="bottom"/>
          </w:tcPr>
          <w:p w14:paraId="119F29B7"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21870</w:t>
            </w:r>
          </w:p>
        </w:tc>
        <w:tc>
          <w:tcPr>
            <w:tcW w:w="895" w:type="dxa"/>
            <w:tcBorders>
              <w:top w:val="single" w:sz="4" w:space="0" w:color="auto"/>
            </w:tcBorders>
            <w:vAlign w:val="bottom"/>
          </w:tcPr>
          <w:p w14:paraId="220FFD17"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31267</w:t>
            </w:r>
          </w:p>
        </w:tc>
        <w:tc>
          <w:tcPr>
            <w:tcW w:w="810" w:type="dxa"/>
            <w:tcBorders>
              <w:top w:val="single" w:sz="4" w:space="0" w:color="auto"/>
            </w:tcBorders>
            <w:vAlign w:val="bottom"/>
          </w:tcPr>
          <w:p w14:paraId="5A6D2A41"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14013</w:t>
            </w:r>
          </w:p>
        </w:tc>
        <w:tc>
          <w:tcPr>
            <w:tcW w:w="810" w:type="dxa"/>
            <w:tcBorders>
              <w:top w:val="single" w:sz="4" w:space="0" w:color="auto"/>
            </w:tcBorders>
            <w:vAlign w:val="bottom"/>
          </w:tcPr>
          <w:p w14:paraId="28FAE3B8"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10100</w:t>
            </w:r>
          </w:p>
        </w:tc>
        <w:tc>
          <w:tcPr>
            <w:tcW w:w="810" w:type="dxa"/>
            <w:tcBorders>
              <w:top w:val="single" w:sz="4" w:space="0" w:color="auto"/>
            </w:tcBorders>
            <w:vAlign w:val="bottom"/>
          </w:tcPr>
          <w:p w14:paraId="3BFED718"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13280</w:t>
            </w:r>
          </w:p>
        </w:tc>
        <w:tc>
          <w:tcPr>
            <w:tcW w:w="892" w:type="dxa"/>
            <w:tcBorders>
              <w:top w:val="single" w:sz="4" w:space="0" w:color="auto"/>
            </w:tcBorders>
            <w:vAlign w:val="bottom"/>
          </w:tcPr>
          <w:p w14:paraId="3A8E97F9"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22762</w:t>
            </w:r>
          </w:p>
        </w:tc>
        <w:tc>
          <w:tcPr>
            <w:tcW w:w="876" w:type="dxa"/>
            <w:tcBorders>
              <w:top w:val="single" w:sz="4" w:space="0" w:color="auto"/>
            </w:tcBorders>
            <w:vAlign w:val="bottom"/>
          </w:tcPr>
          <w:p w14:paraId="0B6906A6"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34267</w:t>
            </w:r>
          </w:p>
        </w:tc>
        <w:tc>
          <w:tcPr>
            <w:tcW w:w="820" w:type="dxa"/>
            <w:tcBorders>
              <w:top w:val="single" w:sz="4" w:space="0" w:color="auto"/>
            </w:tcBorders>
            <w:vAlign w:val="bottom"/>
          </w:tcPr>
          <w:p w14:paraId="5730C3F4"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16033</w:t>
            </w:r>
          </w:p>
        </w:tc>
        <w:tc>
          <w:tcPr>
            <w:tcW w:w="820" w:type="dxa"/>
            <w:tcBorders>
              <w:top w:val="single" w:sz="4" w:space="0" w:color="auto"/>
            </w:tcBorders>
            <w:vAlign w:val="bottom"/>
          </w:tcPr>
          <w:p w14:paraId="04DA4395"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14350</w:t>
            </w:r>
          </w:p>
        </w:tc>
        <w:tc>
          <w:tcPr>
            <w:tcW w:w="820" w:type="dxa"/>
            <w:tcBorders>
              <w:top w:val="single" w:sz="4" w:space="0" w:color="auto"/>
            </w:tcBorders>
            <w:vAlign w:val="bottom"/>
          </w:tcPr>
          <w:p w14:paraId="445F59BC"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13280</w:t>
            </w:r>
          </w:p>
        </w:tc>
      </w:tr>
      <w:tr w:rsidR="00A63CD3" w:rsidRPr="004B60E9" w14:paraId="4A1685A9" w14:textId="77777777" w:rsidTr="004B60E9">
        <w:trPr>
          <w:trHeight w:val="61"/>
        </w:trPr>
        <w:tc>
          <w:tcPr>
            <w:tcW w:w="704" w:type="dxa"/>
          </w:tcPr>
          <w:p w14:paraId="0A5260AF"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2013</w:t>
            </w:r>
          </w:p>
        </w:tc>
        <w:tc>
          <w:tcPr>
            <w:tcW w:w="985" w:type="dxa"/>
            <w:vAlign w:val="bottom"/>
          </w:tcPr>
          <w:p w14:paraId="1553CF73"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23953</w:t>
            </w:r>
          </w:p>
        </w:tc>
        <w:tc>
          <w:tcPr>
            <w:tcW w:w="905" w:type="dxa"/>
            <w:vAlign w:val="bottom"/>
          </w:tcPr>
          <w:p w14:paraId="4B4A3941"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37533</w:t>
            </w:r>
          </w:p>
        </w:tc>
        <w:tc>
          <w:tcPr>
            <w:tcW w:w="900" w:type="dxa"/>
            <w:vAlign w:val="bottom"/>
          </w:tcPr>
          <w:p w14:paraId="79836194"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18433</w:t>
            </w:r>
          </w:p>
        </w:tc>
        <w:tc>
          <w:tcPr>
            <w:tcW w:w="720" w:type="dxa"/>
            <w:vAlign w:val="bottom"/>
          </w:tcPr>
          <w:p w14:paraId="40436B58"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16666</w:t>
            </w:r>
          </w:p>
        </w:tc>
        <w:tc>
          <w:tcPr>
            <w:tcW w:w="900" w:type="dxa"/>
            <w:vAlign w:val="bottom"/>
          </w:tcPr>
          <w:p w14:paraId="7579DD1E"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13280</w:t>
            </w:r>
          </w:p>
        </w:tc>
        <w:tc>
          <w:tcPr>
            <w:tcW w:w="815" w:type="dxa"/>
            <w:vAlign w:val="bottom"/>
          </w:tcPr>
          <w:p w14:paraId="5F24B30B"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22222</w:t>
            </w:r>
          </w:p>
        </w:tc>
        <w:tc>
          <w:tcPr>
            <w:tcW w:w="895" w:type="dxa"/>
            <w:vAlign w:val="bottom"/>
          </w:tcPr>
          <w:p w14:paraId="1DF5A39C"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31533</w:t>
            </w:r>
          </w:p>
        </w:tc>
        <w:tc>
          <w:tcPr>
            <w:tcW w:w="810" w:type="dxa"/>
            <w:vAlign w:val="bottom"/>
          </w:tcPr>
          <w:p w14:paraId="73925FC0"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14433</w:t>
            </w:r>
          </w:p>
        </w:tc>
        <w:tc>
          <w:tcPr>
            <w:tcW w:w="810" w:type="dxa"/>
            <w:vAlign w:val="bottom"/>
          </w:tcPr>
          <w:p w14:paraId="51703EE9"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11666</w:t>
            </w:r>
          </w:p>
        </w:tc>
        <w:tc>
          <w:tcPr>
            <w:tcW w:w="810" w:type="dxa"/>
            <w:vAlign w:val="bottom"/>
          </w:tcPr>
          <w:p w14:paraId="5A2A5BB7"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13280</w:t>
            </w:r>
          </w:p>
        </w:tc>
        <w:tc>
          <w:tcPr>
            <w:tcW w:w="892" w:type="dxa"/>
            <w:vAlign w:val="bottom"/>
          </w:tcPr>
          <w:p w14:paraId="260D6AFA"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23088</w:t>
            </w:r>
          </w:p>
        </w:tc>
        <w:tc>
          <w:tcPr>
            <w:tcW w:w="876" w:type="dxa"/>
            <w:vAlign w:val="bottom"/>
          </w:tcPr>
          <w:p w14:paraId="6BCDB715"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34533</w:t>
            </w:r>
          </w:p>
        </w:tc>
        <w:tc>
          <w:tcPr>
            <w:tcW w:w="820" w:type="dxa"/>
            <w:vAlign w:val="bottom"/>
          </w:tcPr>
          <w:p w14:paraId="4DF59EA8"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16433</w:t>
            </w:r>
          </w:p>
        </w:tc>
        <w:tc>
          <w:tcPr>
            <w:tcW w:w="820" w:type="dxa"/>
            <w:vAlign w:val="bottom"/>
          </w:tcPr>
          <w:p w14:paraId="62D480F3"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14166</w:t>
            </w:r>
          </w:p>
        </w:tc>
        <w:tc>
          <w:tcPr>
            <w:tcW w:w="820" w:type="dxa"/>
            <w:vAlign w:val="bottom"/>
          </w:tcPr>
          <w:p w14:paraId="0D63D607"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13280</w:t>
            </w:r>
          </w:p>
        </w:tc>
      </w:tr>
      <w:tr w:rsidR="00A63CD3" w:rsidRPr="004B60E9" w14:paraId="4703CF3A" w14:textId="77777777" w:rsidTr="004B60E9">
        <w:trPr>
          <w:trHeight w:val="109"/>
        </w:trPr>
        <w:tc>
          <w:tcPr>
            <w:tcW w:w="704" w:type="dxa"/>
          </w:tcPr>
          <w:p w14:paraId="5D128A4C"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2014</w:t>
            </w:r>
          </w:p>
        </w:tc>
        <w:tc>
          <w:tcPr>
            <w:tcW w:w="985" w:type="dxa"/>
            <w:vAlign w:val="bottom"/>
          </w:tcPr>
          <w:p w14:paraId="2B5060A6"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25600</w:t>
            </w:r>
          </w:p>
        </w:tc>
        <w:tc>
          <w:tcPr>
            <w:tcW w:w="905" w:type="dxa"/>
            <w:vAlign w:val="bottom"/>
          </w:tcPr>
          <w:p w14:paraId="45988E61"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39200</w:t>
            </w:r>
          </w:p>
        </w:tc>
        <w:tc>
          <w:tcPr>
            <w:tcW w:w="900" w:type="dxa"/>
            <w:vAlign w:val="bottom"/>
          </w:tcPr>
          <w:p w14:paraId="089B036C"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19946</w:t>
            </w:r>
          </w:p>
        </w:tc>
        <w:tc>
          <w:tcPr>
            <w:tcW w:w="720" w:type="dxa"/>
            <w:vAlign w:val="bottom"/>
          </w:tcPr>
          <w:p w14:paraId="3DDEF417"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15666</w:t>
            </w:r>
          </w:p>
        </w:tc>
        <w:tc>
          <w:tcPr>
            <w:tcW w:w="900" w:type="dxa"/>
            <w:vAlign w:val="bottom"/>
          </w:tcPr>
          <w:p w14:paraId="2D46F67D"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14933</w:t>
            </w:r>
          </w:p>
        </w:tc>
        <w:tc>
          <w:tcPr>
            <w:tcW w:w="815" w:type="dxa"/>
            <w:vAlign w:val="bottom"/>
          </w:tcPr>
          <w:p w14:paraId="166AF4FA"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23760</w:t>
            </w:r>
          </w:p>
        </w:tc>
        <w:tc>
          <w:tcPr>
            <w:tcW w:w="895" w:type="dxa"/>
            <w:vAlign w:val="bottom"/>
          </w:tcPr>
          <w:p w14:paraId="2044CCF3"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32200</w:t>
            </w:r>
          </w:p>
        </w:tc>
        <w:tc>
          <w:tcPr>
            <w:tcW w:w="810" w:type="dxa"/>
            <w:vAlign w:val="bottom"/>
          </w:tcPr>
          <w:p w14:paraId="0A774D9D"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14946</w:t>
            </w:r>
          </w:p>
        </w:tc>
        <w:tc>
          <w:tcPr>
            <w:tcW w:w="810" w:type="dxa"/>
            <w:vAlign w:val="bottom"/>
          </w:tcPr>
          <w:p w14:paraId="1DE93084"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12666</w:t>
            </w:r>
          </w:p>
        </w:tc>
        <w:tc>
          <w:tcPr>
            <w:tcW w:w="810" w:type="dxa"/>
            <w:vAlign w:val="bottom"/>
          </w:tcPr>
          <w:p w14:paraId="15F6FF70"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14933</w:t>
            </w:r>
          </w:p>
        </w:tc>
        <w:tc>
          <w:tcPr>
            <w:tcW w:w="892" w:type="dxa"/>
            <w:vAlign w:val="bottom"/>
          </w:tcPr>
          <w:p w14:paraId="3FB22A1A"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24680</w:t>
            </w:r>
          </w:p>
        </w:tc>
        <w:tc>
          <w:tcPr>
            <w:tcW w:w="876" w:type="dxa"/>
            <w:vAlign w:val="bottom"/>
          </w:tcPr>
          <w:p w14:paraId="31060D0D"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35700</w:t>
            </w:r>
          </w:p>
        </w:tc>
        <w:tc>
          <w:tcPr>
            <w:tcW w:w="820" w:type="dxa"/>
            <w:vAlign w:val="bottom"/>
          </w:tcPr>
          <w:p w14:paraId="502F6AE3"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17446</w:t>
            </w:r>
          </w:p>
        </w:tc>
        <w:tc>
          <w:tcPr>
            <w:tcW w:w="820" w:type="dxa"/>
            <w:vAlign w:val="bottom"/>
          </w:tcPr>
          <w:p w14:paraId="46246506"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14166</w:t>
            </w:r>
          </w:p>
        </w:tc>
        <w:tc>
          <w:tcPr>
            <w:tcW w:w="820" w:type="dxa"/>
            <w:vAlign w:val="bottom"/>
          </w:tcPr>
          <w:p w14:paraId="7D4479DB"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14933</w:t>
            </w:r>
          </w:p>
        </w:tc>
      </w:tr>
      <w:tr w:rsidR="00A63CD3" w:rsidRPr="004B60E9" w14:paraId="744AAECA" w14:textId="77777777" w:rsidTr="004B60E9">
        <w:trPr>
          <w:trHeight w:val="286"/>
        </w:trPr>
        <w:tc>
          <w:tcPr>
            <w:tcW w:w="704" w:type="dxa"/>
          </w:tcPr>
          <w:p w14:paraId="7831C9E5"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2015</w:t>
            </w:r>
          </w:p>
        </w:tc>
        <w:tc>
          <w:tcPr>
            <w:tcW w:w="985" w:type="dxa"/>
            <w:vAlign w:val="bottom"/>
          </w:tcPr>
          <w:p w14:paraId="291B50A0"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26600</w:t>
            </w:r>
          </w:p>
        </w:tc>
        <w:tc>
          <w:tcPr>
            <w:tcW w:w="905" w:type="dxa"/>
            <w:vAlign w:val="bottom"/>
          </w:tcPr>
          <w:p w14:paraId="17F0DC79"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40700</w:t>
            </w:r>
          </w:p>
        </w:tc>
        <w:tc>
          <w:tcPr>
            <w:tcW w:w="900" w:type="dxa"/>
            <w:vAlign w:val="bottom"/>
          </w:tcPr>
          <w:p w14:paraId="0E46D957"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20346</w:t>
            </w:r>
          </w:p>
        </w:tc>
        <w:tc>
          <w:tcPr>
            <w:tcW w:w="720" w:type="dxa"/>
            <w:vAlign w:val="bottom"/>
          </w:tcPr>
          <w:p w14:paraId="4F0C87BE"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10400</w:t>
            </w:r>
          </w:p>
        </w:tc>
        <w:tc>
          <w:tcPr>
            <w:tcW w:w="900" w:type="dxa"/>
            <w:vAlign w:val="bottom"/>
          </w:tcPr>
          <w:p w14:paraId="2EC05326"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15586</w:t>
            </w:r>
          </w:p>
        </w:tc>
        <w:tc>
          <w:tcPr>
            <w:tcW w:w="815" w:type="dxa"/>
            <w:vAlign w:val="bottom"/>
          </w:tcPr>
          <w:p w14:paraId="2342AB74"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24780</w:t>
            </w:r>
          </w:p>
        </w:tc>
        <w:tc>
          <w:tcPr>
            <w:tcW w:w="895" w:type="dxa"/>
            <w:vAlign w:val="bottom"/>
          </w:tcPr>
          <w:p w14:paraId="4FB84207"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34700</w:t>
            </w:r>
          </w:p>
        </w:tc>
        <w:tc>
          <w:tcPr>
            <w:tcW w:w="810" w:type="dxa"/>
            <w:vAlign w:val="bottom"/>
          </w:tcPr>
          <w:p w14:paraId="6AC9EBEB"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16346</w:t>
            </w:r>
          </w:p>
        </w:tc>
        <w:tc>
          <w:tcPr>
            <w:tcW w:w="810" w:type="dxa"/>
            <w:vAlign w:val="bottom"/>
          </w:tcPr>
          <w:p w14:paraId="5F6C8D5B"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13400</w:t>
            </w:r>
          </w:p>
        </w:tc>
        <w:tc>
          <w:tcPr>
            <w:tcW w:w="810" w:type="dxa"/>
            <w:vAlign w:val="bottom"/>
          </w:tcPr>
          <w:p w14:paraId="6277C6FB"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15586</w:t>
            </w:r>
          </w:p>
        </w:tc>
        <w:tc>
          <w:tcPr>
            <w:tcW w:w="892" w:type="dxa"/>
            <w:vAlign w:val="bottom"/>
          </w:tcPr>
          <w:p w14:paraId="28196CBE"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25690</w:t>
            </w:r>
          </w:p>
        </w:tc>
        <w:tc>
          <w:tcPr>
            <w:tcW w:w="876" w:type="dxa"/>
            <w:vAlign w:val="bottom"/>
          </w:tcPr>
          <w:p w14:paraId="726D7B87"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37700</w:t>
            </w:r>
          </w:p>
        </w:tc>
        <w:tc>
          <w:tcPr>
            <w:tcW w:w="820" w:type="dxa"/>
            <w:vAlign w:val="bottom"/>
          </w:tcPr>
          <w:p w14:paraId="6D28E752"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18346</w:t>
            </w:r>
          </w:p>
        </w:tc>
        <w:tc>
          <w:tcPr>
            <w:tcW w:w="820" w:type="dxa"/>
            <w:vAlign w:val="bottom"/>
          </w:tcPr>
          <w:p w14:paraId="553F299A"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11900</w:t>
            </w:r>
          </w:p>
        </w:tc>
        <w:tc>
          <w:tcPr>
            <w:tcW w:w="820" w:type="dxa"/>
            <w:vAlign w:val="bottom"/>
          </w:tcPr>
          <w:p w14:paraId="732BD9AD"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15586</w:t>
            </w:r>
          </w:p>
        </w:tc>
      </w:tr>
      <w:tr w:rsidR="00A63CD3" w:rsidRPr="004B60E9" w14:paraId="06CF5C14" w14:textId="77777777" w:rsidTr="004B60E9">
        <w:trPr>
          <w:trHeight w:val="50"/>
        </w:trPr>
        <w:tc>
          <w:tcPr>
            <w:tcW w:w="704" w:type="dxa"/>
          </w:tcPr>
          <w:p w14:paraId="70207FC7"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2016</w:t>
            </w:r>
          </w:p>
        </w:tc>
        <w:tc>
          <w:tcPr>
            <w:tcW w:w="985" w:type="dxa"/>
            <w:vAlign w:val="bottom"/>
          </w:tcPr>
          <w:p w14:paraId="29D2F400"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27333</w:t>
            </w:r>
          </w:p>
        </w:tc>
        <w:tc>
          <w:tcPr>
            <w:tcW w:w="905" w:type="dxa"/>
            <w:vAlign w:val="bottom"/>
          </w:tcPr>
          <w:p w14:paraId="1CE75D79"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42120</w:t>
            </w:r>
          </w:p>
        </w:tc>
        <w:tc>
          <w:tcPr>
            <w:tcW w:w="900" w:type="dxa"/>
            <w:vAlign w:val="bottom"/>
          </w:tcPr>
          <w:p w14:paraId="72F9AAA5"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21180</w:t>
            </w:r>
          </w:p>
        </w:tc>
        <w:tc>
          <w:tcPr>
            <w:tcW w:w="720" w:type="dxa"/>
            <w:vAlign w:val="bottom"/>
          </w:tcPr>
          <w:p w14:paraId="6F1464EA"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11160</w:t>
            </w:r>
          </w:p>
        </w:tc>
        <w:tc>
          <w:tcPr>
            <w:tcW w:w="900" w:type="dxa"/>
            <w:vAlign w:val="bottom"/>
          </w:tcPr>
          <w:p w14:paraId="7C705147"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15853</w:t>
            </w:r>
          </w:p>
        </w:tc>
        <w:tc>
          <w:tcPr>
            <w:tcW w:w="815" w:type="dxa"/>
            <w:vAlign w:val="bottom"/>
          </w:tcPr>
          <w:p w14:paraId="7BEAFCC3"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25130</w:t>
            </w:r>
          </w:p>
        </w:tc>
        <w:tc>
          <w:tcPr>
            <w:tcW w:w="895" w:type="dxa"/>
            <w:vAlign w:val="bottom"/>
          </w:tcPr>
          <w:p w14:paraId="00EFBB4E"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35120</w:t>
            </w:r>
          </w:p>
        </w:tc>
        <w:tc>
          <w:tcPr>
            <w:tcW w:w="810" w:type="dxa"/>
            <w:vAlign w:val="bottom"/>
          </w:tcPr>
          <w:p w14:paraId="07F1598F"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16780</w:t>
            </w:r>
          </w:p>
        </w:tc>
        <w:tc>
          <w:tcPr>
            <w:tcW w:w="810" w:type="dxa"/>
            <w:vAlign w:val="bottom"/>
          </w:tcPr>
          <w:p w14:paraId="51057B98"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13480</w:t>
            </w:r>
          </w:p>
        </w:tc>
        <w:tc>
          <w:tcPr>
            <w:tcW w:w="810" w:type="dxa"/>
            <w:vAlign w:val="bottom"/>
          </w:tcPr>
          <w:p w14:paraId="5A6367D9"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15853</w:t>
            </w:r>
          </w:p>
        </w:tc>
        <w:tc>
          <w:tcPr>
            <w:tcW w:w="892" w:type="dxa"/>
            <w:vAlign w:val="bottom"/>
          </w:tcPr>
          <w:p w14:paraId="3293C819"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26232</w:t>
            </w:r>
          </w:p>
        </w:tc>
        <w:tc>
          <w:tcPr>
            <w:tcW w:w="876" w:type="dxa"/>
            <w:vAlign w:val="bottom"/>
          </w:tcPr>
          <w:p w14:paraId="6A703FDF"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38620</w:t>
            </w:r>
          </w:p>
        </w:tc>
        <w:tc>
          <w:tcPr>
            <w:tcW w:w="820" w:type="dxa"/>
            <w:vAlign w:val="bottom"/>
          </w:tcPr>
          <w:p w14:paraId="6F4F3137"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18980</w:t>
            </w:r>
          </w:p>
        </w:tc>
        <w:tc>
          <w:tcPr>
            <w:tcW w:w="820" w:type="dxa"/>
            <w:vAlign w:val="bottom"/>
          </w:tcPr>
          <w:p w14:paraId="4C1FF7B3"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12320</w:t>
            </w:r>
          </w:p>
        </w:tc>
        <w:tc>
          <w:tcPr>
            <w:tcW w:w="820" w:type="dxa"/>
            <w:vAlign w:val="bottom"/>
          </w:tcPr>
          <w:p w14:paraId="016E7D73"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15853</w:t>
            </w:r>
          </w:p>
        </w:tc>
      </w:tr>
      <w:tr w:rsidR="00A63CD3" w:rsidRPr="004B60E9" w14:paraId="2B89DD97" w14:textId="77777777" w:rsidTr="004B60E9">
        <w:trPr>
          <w:trHeight w:val="50"/>
        </w:trPr>
        <w:tc>
          <w:tcPr>
            <w:tcW w:w="704" w:type="dxa"/>
          </w:tcPr>
          <w:p w14:paraId="5C0C20B0"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2017</w:t>
            </w:r>
          </w:p>
        </w:tc>
        <w:tc>
          <w:tcPr>
            <w:tcW w:w="985" w:type="dxa"/>
            <w:vAlign w:val="bottom"/>
          </w:tcPr>
          <w:p w14:paraId="584EF8D5"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28400</w:t>
            </w:r>
          </w:p>
        </w:tc>
        <w:tc>
          <w:tcPr>
            <w:tcW w:w="905" w:type="dxa"/>
            <w:vAlign w:val="bottom"/>
          </w:tcPr>
          <w:p w14:paraId="68ACF352"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42920</w:t>
            </w:r>
          </w:p>
        </w:tc>
        <w:tc>
          <w:tcPr>
            <w:tcW w:w="900" w:type="dxa"/>
            <w:vAlign w:val="bottom"/>
          </w:tcPr>
          <w:p w14:paraId="4DFF78DD"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22100</w:t>
            </w:r>
          </w:p>
        </w:tc>
        <w:tc>
          <w:tcPr>
            <w:tcW w:w="720" w:type="dxa"/>
            <w:vAlign w:val="bottom"/>
          </w:tcPr>
          <w:p w14:paraId="5CCC9B96"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11986</w:t>
            </w:r>
          </w:p>
        </w:tc>
        <w:tc>
          <w:tcPr>
            <w:tcW w:w="900" w:type="dxa"/>
            <w:vAlign w:val="bottom"/>
          </w:tcPr>
          <w:p w14:paraId="3079B983"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17333</w:t>
            </w:r>
          </w:p>
        </w:tc>
        <w:tc>
          <w:tcPr>
            <w:tcW w:w="815" w:type="dxa"/>
            <w:vAlign w:val="bottom"/>
          </w:tcPr>
          <w:p w14:paraId="48CE9F45"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26780</w:t>
            </w:r>
          </w:p>
        </w:tc>
        <w:tc>
          <w:tcPr>
            <w:tcW w:w="895" w:type="dxa"/>
            <w:vAlign w:val="bottom"/>
          </w:tcPr>
          <w:p w14:paraId="39C0FB40"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35920</w:t>
            </w:r>
          </w:p>
        </w:tc>
        <w:tc>
          <w:tcPr>
            <w:tcW w:w="810" w:type="dxa"/>
            <w:vAlign w:val="bottom"/>
          </w:tcPr>
          <w:p w14:paraId="3B739048"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16900</w:t>
            </w:r>
          </w:p>
        </w:tc>
        <w:tc>
          <w:tcPr>
            <w:tcW w:w="810" w:type="dxa"/>
            <w:vAlign w:val="bottom"/>
          </w:tcPr>
          <w:p w14:paraId="5B72DF50"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13986</w:t>
            </w:r>
          </w:p>
        </w:tc>
        <w:tc>
          <w:tcPr>
            <w:tcW w:w="810" w:type="dxa"/>
            <w:vAlign w:val="bottom"/>
          </w:tcPr>
          <w:p w14:paraId="60EDF300"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17333</w:t>
            </w:r>
          </w:p>
        </w:tc>
        <w:tc>
          <w:tcPr>
            <w:tcW w:w="892" w:type="dxa"/>
            <w:vAlign w:val="bottom"/>
          </w:tcPr>
          <w:p w14:paraId="23903945"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27590</w:t>
            </w:r>
          </w:p>
        </w:tc>
        <w:tc>
          <w:tcPr>
            <w:tcW w:w="876" w:type="dxa"/>
            <w:vAlign w:val="bottom"/>
          </w:tcPr>
          <w:p w14:paraId="6EF1BF9D"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39420</w:t>
            </w:r>
          </w:p>
        </w:tc>
        <w:tc>
          <w:tcPr>
            <w:tcW w:w="820" w:type="dxa"/>
            <w:vAlign w:val="bottom"/>
          </w:tcPr>
          <w:p w14:paraId="4B50E90A"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19500</w:t>
            </w:r>
          </w:p>
        </w:tc>
        <w:tc>
          <w:tcPr>
            <w:tcW w:w="820" w:type="dxa"/>
            <w:vAlign w:val="bottom"/>
          </w:tcPr>
          <w:p w14:paraId="7A08F9F9"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12986</w:t>
            </w:r>
          </w:p>
        </w:tc>
        <w:tc>
          <w:tcPr>
            <w:tcW w:w="820" w:type="dxa"/>
            <w:vAlign w:val="bottom"/>
          </w:tcPr>
          <w:p w14:paraId="456AC163"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17333</w:t>
            </w:r>
          </w:p>
        </w:tc>
      </w:tr>
      <w:tr w:rsidR="00A63CD3" w:rsidRPr="004B60E9" w14:paraId="5D53CB9E" w14:textId="77777777" w:rsidTr="004B60E9">
        <w:trPr>
          <w:trHeight w:val="50"/>
        </w:trPr>
        <w:tc>
          <w:tcPr>
            <w:tcW w:w="704" w:type="dxa"/>
          </w:tcPr>
          <w:p w14:paraId="6306AF89"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2018</w:t>
            </w:r>
          </w:p>
        </w:tc>
        <w:tc>
          <w:tcPr>
            <w:tcW w:w="985" w:type="dxa"/>
            <w:vAlign w:val="bottom"/>
          </w:tcPr>
          <w:p w14:paraId="12891821"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29633</w:t>
            </w:r>
          </w:p>
        </w:tc>
        <w:tc>
          <w:tcPr>
            <w:tcW w:w="905" w:type="dxa"/>
            <w:vAlign w:val="bottom"/>
          </w:tcPr>
          <w:p w14:paraId="306F590B"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44213</w:t>
            </w:r>
          </w:p>
        </w:tc>
        <w:tc>
          <w:tcPr>
            <w:tcW w:w="900" w:type="dxa"/>
            <w:vAlign w:val="bottom"/>
          </w:tcPr>
          <w:p w14:paraId="3AB7D788"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23400</w:t>
            </w:r>
          </w:p>
        </w:tc>
        <w:tc>
          <w:tcPr>
            <w:tcW w:w="720" w:type="dxa"/>
            <w:vAlign w:val="bottom"/>
          </w:tcPr>
          <w:p w14:paraId="39D462C2"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12620</w:t>
            </w:r>
          </w:p>
        </w:tc>
        <w:tc>
          <w:tcPr>
            <w:tcW w:w="900" w:type="dxa"/>
            <w:vAlign w:val="bottom"/>
          </w:tcPr>
          <w:p w14:paraId="23DD8AF7"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18333</w:t>
            </w:r>
          </w:p>
        </w:tc>
        <w:tc>
          <w:tcPr>
            <w:tcW w:w="815" w:type="dxa"/>
            <w:vAlign w:val="bottom"/>
          </w:tcPr>
          <w:p w14:paraId="0528DB15"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28126</w:t>
            </w:r>
          </w:p>
        </w:tc>
        <w:tc>
          <w:tcPr>
            <w:tcW w:w="895" w:type="dxa"/>
            <w:vAlign w:val="bottom"/>
          </w:tcPr>
          <w:p w14:paraId="0B6974B2"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37213</w:t>
            </w:r>
          </w:p>
        </w:tc>
        <w:tc>
          <w:tcPr>
            <w:tcW w:w="810" w:type="dxa"/>
            <w:vAlign w:val="bottom"/>
          </w:tcPr>
          <w:p w14:paraId="67AE8FC0"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17400</w:t>
            </w:r>
          </w:p>
        </w:tc>
        <w:tc>
          <w:tcPr>
            <w:tcW w:w="810" w:type="dxa"/>
            <w:vAlign w:val="bottom"/>
          </w:tcPr>
          <w:p w14:paraId="2ECDB6B5"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14620</w:t>
            </w:r>
          </w:p>
        </w:tc>
        <w:tc>
          <w:tcPr>
            <w:tcW w:w="810" w:type="dxa"/>
            <w:vAlign w:val="bottom"/>
          </w:tcPr>
          <w:p w14:paraId="24E6FE32"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18333</w:t>
            </w:r>
          </w:p>
        </w:tc>
        <w:tc>
          <w:tcPr>
            <w:tcW w:w="892" w:type="dxa"/>
            <w:vAlign w:val="bottom"/>
          </w:tcPr>
          <w:p w14:paraId="4CB27FBB"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28880</w:t>
            </w:r>
          </w:p>
        </w:tc>
        <w:tc>
          <w:tcPr>
            <w:tcW w:w="876" w:type="dxa"/>
            <w:vAlign w:val="bottom"/>
          </w:tcPr>
          <w:p w14:paraId="76DB1248"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40713</w:t>
            </w:r>
          </w:p>
        </w:tc>
        <w:tc>
          <w:tcPr>
            <w:tcW w:w="820" w:type="dxa"/>
            <w:vAlign w:val="bottom"/>
          </w:tcPr>
          <w:p w14:paraId="4D593CD5"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20400</w:t>
            </w:r>
          </w:p>
        </w:tc>
        <w:tc>
          <w:tcPr>
            <w:tcW w:w="820" w:type="dxa"/>
            <w:vAlign w:val="bottom"/>
          </w:tcPr>
          <w:p w14:paraId="737F87C6"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13620</w:t>
            </w:r>
          </w:p>
        </w:tc>
        <w:tc>
          <w:tcPr>
            <w:tcW w:w="820" w:type="dxa"/>
            <w:vAlign w:val="bottom"/>
          </w:tcPr>
          <w:p w14:paraId="7E88B34F"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18333</w:t>
            </w:r>
          </w:p>
        </w:tc>
      </w:tr>
      <w:tr w:rsidR="00A63CD3" w:rsidRPr="004B60E9" w14:paraId="7BE15562" w14:textId="77777777" w:rsidTr="004B60E9">
        <w:trPr>
          <w:trHeight w:val="50"/>
        </w:trPr>
        <w:tc>
          <w:tcPr>
            <w:tcW w:w="704" w:type="dxa"/>
          </w:tcPr>
          <w:p w14:paraId="72B75838"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2019</w:t>
            </w:r>
          </w:p>
        </w:tc>
        <w:tc>
          <w:tcPr>
            <w:tcW w:w="985" w:type="dxa"/>
            <w:vAlign w:val="bottom"/>
          </w:tcPr>
          <w:p w14:paraId="7EC044CA"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31566</w:t>
            </w:r>
          </w:p>
        </w:tc>
        <w:tc>
          <w:tcPr>
            <w:tcW w:w="905" w:type="dxa"/>
            <w:vAlign w:val="bottom"/>
          </w:tcPr>
          <w:p w14:paraId="311C01AE"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46720</w:t>
            </w:r>
          </w:p>
        </w:tc>
        <w:tc>
          <w:tcPr>
            <w:tcW w:w="900" w:type="dxa"/>
            <w:vAlign w:val="bottom"/>
          </w:tcPr>
          <w:p w14:paraId="1A793346"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24133</w:t>
            </w:r>
          </w:p>
        </w:tc>
        <w:tc>
          <w:tcPr>
            <w:tcW w:w="720" w:type="dxa"/>
            <w:vAlign w:val="bottom"/>
          </w:tcPr>
          <w:p w14:paraId="36B0CDB6"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13513</w:t>
            </w:r>
          </w:p>
        </w:tc>
        <w:tc>
          <w:tcPr>
            <w:tcW w:w="900" w:type="dxa"/>
            <w:vAlign w:val="bottom"/>
          </w:tcPr>
          <w:p w14:paraId="37D08B52"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19466</w:t>
            </w:r>
          </w:p>
        </w:tc>
        <w:tc>
          <w:tcPr>
            <w:tcW w:w="815" w:type="dxa"/>
            <w:vAlign w:val="bottom"/>
          </w:tcPr>
          <w:p w14:paraId="567D9836"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29450</w:t>
            </w:r>
          </w:p>
        </w:tc>
        <w:tc>
          <w:tcPr>
            <w:tcW w:w="895" w:type="dxa"/>
            <w:vAlign w:val="bottom"/>
          </w:tcPr>
          <w:p w14:paraId="2B453E23"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37720</w:t>
            </w:r>
          </w:p>
        </w:tc>
        <w:tc>
          <w:tcPr>
            <w:tcW w:w="810" w:type="dxa"/>
            <w:vAlign w:val="bottom"/>
          </w:tcPr>
          <w:p w14:paraId="1A6D9B7C"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18033</w:t>
            </w:r>
          </w:p>
        </w:tc>
        <w:tc>
          <w:tcPr>
            <w:tcW w:w="810" w:type="dxa"/>
            <w:vAlign w:val="bottom"/>
          </w:tcPr>
          <w:p w14:paraId="79F2A48F"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15513</w:t>
            </w:r>
          </w:p>
        </w:tc>
        <w:tc>
          <w:tcPr>
            <w:tcW w:w="810" w:type="dxa"/>
            <w:vAlign w:val="bottom"/>
          </w:tcPr>
          <w:p w14:paraId="6C9FEAD9"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19466</w:t>
            </w:r>
          </w:p>
        </w:tc>
        <w:tc>
          <w:tcPr>
            <w:tcW w:w="892" w:type="dxa"/>
            <w:vAlign w:val="bottom"/>
          </w:tcPr>
          <w:p w14:paraId="4E016C0F"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30508</w:t>
            </w:r>
          </w:p>
        </w:tc>
        <w:tc>
          <w:tcPr>
            <w:tcW w:w="876" w:type="dxa"/>
            <w:vAlign w:val="bottom"/>
          </w:tcPr>
          <w:p w14:paraId="279B6493"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42220</w:t>
            </w:r>
          </w:p>
        </w:tc>
        <w:tc>
          <w:tcPr>
            <w:tcW w:w="820" w:type="dxa"/>
            <w:vAlign w:val="bottom"/>
          </w:tcPr>
          <w:p w14:paraId="0F6E2F2D"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21083</w:t>
            </w:r>
          </w:p>
        </w:tc>
        <w:tc>
          <w:tcPr>
            <w:tcW w:w="820" w:type="dxa"/>
            <w:vAlign w:val="bottom"/>
          </w:tcPr>
          <w:p w14:paraId="111487AD"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14513</w:t>
            </w:r>
          </w:p>
        </w:tc>
        <w:tc>
          <w:tcPr>
            <w:tcW w:w="820" w:type="dxa"/>
            <w:vAlign w:val="bottom"/>
          </w:tcPr>
          <w:p w14:paraId="5BA59F69"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19466</w:t>
            </w:r>
          </w:p>
        </w:tc>
      </w:tr>
      <w:tr w:rsidR="00A63CD3" w:rsidRPr="004B60E9" w14:paraId="23BBED1B" w14:textId="77777777" w:rsidTr="004B60E9">
        <w:trPr>
          <w:trHeight w:val="52"/>
        </w:trPr>
        <w:tc>
          <w:tcPr>
            <w:tcW w:w="704" w:type="dxa"/>
          </w:tcPr>
          <w:p w14:paraId="0E95936E"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2020</w:t>
            </w:r>
          </w:p>
        </w:tc>
        <w:tc>
          <w:tcPr>
            <w:tcW w:w="985" w:type="dxa"/>
            <w:vAlign w:val="bottom"/>
          </w:tcPr>
          <w:p w14:paraId="1B459C22"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34033</w:t>
            </w:r>
          </w:p>
        </w:tc>
        <w:tc>
          <w:tcPr>
            <w:tcW w:w="905" w:type="dxa"/>
            <w:vAlign w:val="bottom"/>
          </w:tcPr>
          <w:p w14:paraId="58838E88"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48753</w:t>
            </w:r>
          </w:p>
        </w:tc>
        <w:tc>
          <w:tcPr>
            <w:tcW w:w="900" w:type="dxa"/>
            <w:vAlign w:val="bottom"/>
          </w:tcPr>
          <w:p w14:paraId="49FFCA80"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24600</w:t>
            </w:r>
          </w:p>
        </w:tc>
        <w:tc>
          <w:tcPr>
            <w:tcW w:w="720" w:type="dxa"/>
            <w:vAlign w:val="bottom"/>
          </w:tcPr>
          <w:p w14:paraId="75087B32"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15186</w:t>
            </w:r>
          </w:p>
        </w:tc>
        <w:tc>
          <w:tcPr>
            <w:tcW w:w="900" w:type="dxa"/>
            <w:vAlign w:val="bottom"/>
          </w:tcPr>
          <w:p w14:paraId="616B202D"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20166</w:t>
            </w:r>
          </w:p>
        </w:tc>
        <w:tc>
          <w:tcPr>
            <w:tcW w:w="815" w:type="dxa"/>
            <w:vAlign w:val="bottom"/>
          </w:tcPr>
          <w:p w14:paraId="65BE57A8"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31659</w:t>
            </w:r>
          </w:p>
        </w:tc>
        <w:tc>
          <w:tcPr>
            <w:tcW w:w="895" w:type="dxa"/>
            <w:vAlign w:val="bottom"/>
          </w:tcPr>
          <w:p w14:paraId="5235A4CB"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37753</w:t>
            </w:r>
          </w:p>
        </w:tc>
        <w:tc>
          <w:tcPr>
            <w:tcW w:w="810" w:type="dxa"/>
            <w:vAlign w:val="bottom"/>
          </w:tcPr>
          <w:p w14:paraId="6EFFD4A3"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18900</w:t>
            </w:r>
          </w:p>
        </w:tc>
        <w:tc>
          <w:tcPr>
            <w:tcW w:w="810" w:type="dxa"/>
            <w:vAlign w:val="bottom"/>
          </w:tcPr>
          <w:p w14:paraId="678D69B3"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15786</w:t>
            </w:r>
          </w:p>
        </w:tc>
        <w:tc>
          <w:tcPr>
            <w:tcW w:w="810" w:type="dxa"/>
            <w:vAlign w:val="bottom"/>
          </w:tcPr>
          <w:p w14:paraId="371CD4DD"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20166</w:t>
            </w:r>
          </w:p>
        </w:tc>
        <w:tc>
          <w:tcPr>
            <w:tcW w:w="892" w:type="dxa"/>
            <w:vAlign w:val="bottom"/>
          </w:tcPr>
          <w:p w14:paraId="681EFE25"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32846</w:t>
            </w:r>
          </w:p>
        </w:tc>
        <w:tc>
          <w:tcPr>
            <w:tcW w:w="876" w:type="dxa"/>
            <w:vAlign w:val="bottom"/>
          </w:tcPr>
          <w:p w14:paraId="0808C5CF"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43253</w:t>
            </w:r>
          </w:p>
        </w:tc>
        <w:tc>
          <w:tcPr>
            <w:tcW w:w="820" w:type="dxa"/>
            <w:vAlign w:val="bottom"/>
          </w:tcPr>
          <w:p w14:paraId="53994D0C"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21750</w:t>
            </w:r>
          </w:p>
        </w:tc>
        <w:tc>
          <w:tcPr>
            <w:tcW w:w="820" w:type="dxa"/>
            <w:vAlign w:val="bottom"/>
          </w:tcPr>
          <w:p w14:paraId="3B2D9DB3"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15486</w:t>
            </w:r>
          </w:p>
        </w:tc>
        <w:tc>
          <w:tcPr>
            <w:tcW w:w="820" w:type="dxa"/>
            <w:vAlign w:val="bottom"/>
          </w:tcPr>
          <w:p w14:paraId="6007BBC9"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20166</w:t>
            </w:r>
          </w:p>
        </w:tc>
      </w:tr>
      <w:tr w:rsidR="00A63CD3" w:rsidRPr="004B60E9" w14:paraId="457D2717" w14:textId="77777777" w:rsidTr="004B60E9">
        <w:trPr>
          <w:trHeight w:val="50"/>
        </w:trPr>
        <w:tc>
          <w:tcPr>
            <w:tcW w:w="704" w:type="dxa"/>
          </w:tcPr>
          <w:p w14:paraId="7B83EB8A"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2021</w:t>
            </w:r>
          </w:p>
        </w:tc>
        <w:tc>
          <w:tcPr>
            <w:tcW w:w="985" w:type="dxa"/>
            <w:vAlign w:val="bottom"/>
          </w:tcPr>
          <w:p w14:paraId="0EEFF8F5"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35233</w:t>
            </w:r>
          </w:p>
        </w:tc>
        <w:tc>
          <w:tcPr>
            <w:tcW w:w="905" w:type="dxa"/>
            <w:vAlign w:val="bottom"/>
          </w:tcPr>
          <w:p w14:paraId="272E912B"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50233</w:t>
            </w:r>
          </w:p>
        </w:tc>
        <w:tc>
          <w:tcPr>
            <w:tcW w:w="900" w:type="dxa"/>
            <w:vAlign w:val="bottom"/>
          </w:tcPr>
          <w:p w14:paraId="4083E102"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26700</w:t>
            </w:r>
          </w:p>
        </w:tc>
        <w:tc>
          <w:tcPr>
            <w:tcW w:w="720" w:type="dxa"/>
            <w:vAlign w:val="bottom"/>
          </w:tcPr>
          <w:p w14:paraId="1E5BE105"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15573</w:t>
            </w:r>
          </w:p>
        </w:tc>
        <w:tc>
          <w:tcPr>
            <w:tcW w:w="900" w:type="dxa"/>
            <w:vAlign w:val="bottom"/>
          </w:tcPr>
          <w:p w14:paraId="45D447BF"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21466</w:t>
            </w:r>
          </w:p>
        </w:tc>
        <w:tc>
          <w:tcPr>
            <w:tcW w:w="815" w:type="dxa"/>
            <w:vAlign w:val="bottom"/>
          </w:tcPr>
          <w:p w14:paraId="7BD13670"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32987</w:t>
            </w:r>
          </w:p>
        </w:tc>
        <w:tc>
          <w:tcPr>
            <w:tcW w:w="895" w:type="dxa"/>
            <w:vAlign w:val="bottom"/>
          </w:tcPr>
          <w:p w14:paraId="24224E8A"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38233</w:t>
            </w:r>
          </w:p>
        </w:tc>
        <w:tc>
          <w:tcPr>
            <w:tcW w:w="810" w:type="dxa"/>
            <w:vAlign w:val="bottom"/>
          </w:tcPr>
          <w:p w14:paraId="532BD4AE"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19700</w:t>
            </w:r>
          </w:p>
        </w:tc>
        <w:tc>
          <w:tcPr>
            <w:tcW w:w="810" w:type="dxa"/>
            <w:vAlign w:val="bottom"/>
          </w:tcPr>
          <w:p w14:paraId="538AFB2A"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15873</w:t>
            </w:r>
          </w:p>
        </w:tc>
        <w:tc>
          <w:tcPr>
            <w:tcW w:w="810" w:type="dxa"/>
            <w:vAlign w:val="bottom"/>
          </w:tcPr>
          <w:p w14:paraId="15D25FF0"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21466</w:t>
            </w:r>
          </w:p>
        </w:tc>
        <w:tc>
          <w:tcPr>
            <w:tcW w:w="892" w:type="dxa"/>
            <w:vAlign w:val="bottom"/>
          </w:tcPr>
          <w:p w14:paraId="42B74052"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34110</w:t>
            </w:r>
          </w:p>
        </w:tc>
        <w:tc>
          <w:tcPr>
            <w:tcW w:w="876" w:type="dxa"/>
            <w:vAlign w:val="bottom"/>
          </w:tcPr>
          <w:p w14:paraId="0B2B643B"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44233</w:t>
            </w:r>
          </w:p>
        </w:tc>
        <w:tc>
          <w:tcPr>
            <w:tcW w:w="820" w:type="dxa"/>
            <w:vAlign w:val="bottom"/>
          </w:tcPr>
          <w:p w14:paraId="1AB0E821"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23200</w:t>
            </w:r>
          </w:p>
        </w:tc>
        <w:tc>
          <w:tcPr>
            <w:tcW w:w="820" w:type="dxa"/>
            <w:vAlign w:val="bottom"/>
          </w:tcPr>
          <w:p w14:paraId="0FC5F26A"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15723</w:t>
            </w:r>
          </w:p>
        </w:tc>
        <w:tc>
          <w:tcPr>
            <w:tcW w:w="820" w:type="dxa"/>
            <w:vAlign w:val="bottom"/>
          </w:tcPr>
          <w:p w14:paraId="37F1775E"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21466</w:t>
            </w:r>
          </w:p>
        </w:tc>
      </w:tr>
      <w:tr w:rsidR="00A63CD3" w:rsidRPr="004B60E9" w14:paraId="7855CE6E" w14:textId="77777777" w:rsidTr="004B60E9">
        <w:trPr>
          <w:trHeight w:val="50"/>
        </w:trPr>
        <w:tc>
          <w:tcPr>
            <w:tcW w:w="704" w:type="dxa"/>
          </w:tcPr>
          <w:p w14:paraId="6D51844E"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2022</w:t>
            </w:r>
          </w:p>
        </w:tc>
        <w:tc>
          <w:tcPr>
            <w:tcW w:w="985" w:type="dxa"/>
            <w:vAlign w:val="bottom"/>
          </w:tcPr>
          <w:p w14:paraId="6B4D9434"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36933</w:t>
            </w:r>
          </w:p>
        </w:tc>
        <w:tc>
          <w:tcPr>
            <w:tcW w:w="905" w:type="dxa"/>
            <w:vAlign w:val="bottom"/>
          </w:tcPr>
          <w:p w14:paraId="1A3B7013"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52133</w:t>
            </w:r>
          </w:p>
        </w:tc>
        <w:tc>
          <w:tcPr>
            <w:tcW w:w="900" w:type="dxa"/>
            <w:vAlign w:val="bottom"/>
          </w:tcPr>
          <w:p w14:paraId="75475301"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29766</w:t>
            </w:r>
          </w:p>
        </w:tc>
        <w:tc>
          <w:tcPr>
            <w:tcW w:w="720" w:type="dxa"/>
            <w:vAlign w:val="bottom"/>
          </w:tcPr>
          <w:p w14:paraId="4C483FDA"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16840</w:t>
            </w:r>
          </w:p>
        </w:tc>
        <w:tc>
          <w:tcPr>
            <w:tcW w:w="900" w:type="dxa"/>
            <w:vAlign w:val="bottom"/>
          </w:tcPr>
          <w:p w14:paraId="0AC67D05"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22933</w:t>
            </w:r>
          </w:p>
        </w:tc>
        <w:tc>
          <w:tcPr>
            <w:tcW w:w="815" w:type="dxa"/>
            <w:vAlign w:val="bottom"/>
          </w:tcPr>
          <w:p w14:paraId="7BB6CEBA"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33234</w:t>
            </w:r>
          </w:p>
        </w:tc>
        <w:tc>
          <w:tcPr>
            <w:tcW w:w="895" w:type="dxa"/>
            <w:vAlign w:val="bottom"/>
          </w:tcPr>
          <w:p w14:paraId="2F25B254"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38833</w:t>
            </w:r>
          </w:p>
        </w:tc>
        <w:tc>
          <w:tcPr>
            <w:tcW w:w="810" w:type="dxa"/>
            <w:vAlign w:val="bottom"/>
          </w:tcPr>
          <w:p w14:paraId="543704A0"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20766</w:t>
            </w:r>
          </w:p>
        </w:tc>
        <w:tc>
          <w:tcPr>
            <w:tcW w:w="810" w:type="dxa"/>
            <w:vAlign w:val="bottom"/>
          </w:tcPr>
          <w:p w14:paraId="5DB94C3C"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16840</w:t>
            </w:r>
          </w:p>
        </w:tc>
        <w:tc>
          <w:tcPr>
            <w:tcW w:w="810" w:type="dxa"/>
            <w:vAlign w:val="bottom"/>
          </w:tcPr>
          <w:p w14:paraId="28AE7908"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22933</w:t>
            </w:r>
          </w:p>
        </w:tc>
        <w:tc>
          <w:tcPr>
            <w:tcW w:w="892" w:type="dxa"/>
            <w:vAlign w:val="bottom"/>
          </w:tcPr>
          <w:p w14:paraId="4865FC93"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35084</w:t>
            </w:r>
          </w:p>
        </w:tc>
        <w:tc>
          <w:tcPr>
            <w:tcW w:w="876" w:type="dxa"/>
            <w:vAlign w:val="bottom"/>
          </w:tcPr>
          <w:p w14:paraId="0B9776FC"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45483</w:t>
            </w:r>
          </w:p>
        </w:tc>
        <w:tc>
          <w:tcPr>
            <w:tcW w:w="820" w:type="dxa"/>
            <w:vAlign w:val="bottom"/>
          </w:tcPr>
          <w:p w14:paraId="4CBC6462"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25266</w:t>
            </w:r>
          </w:p>
        </w:tc>
        <w:tc>
          <w:tcPr>
            <w:tcW w:w="820" w:type="dxa"/>
            <w:vAlign w:val="bottom"/>
          </w:tcPr>
          <w:p w14:paraId="7263DE56"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16840</w:t>
            </w:r>
          </w:p>
        </w:tc>
        <w:tc>
          <w:tcPr>
            <w:tcW w:w="820" w:type="dxa"/>
            <w:vAlign w:val="bottom"/>
          </w:tcPr>
          <w:p w14:paraId="7C55882B"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22933</w:t>
            </w:r>
          </w:p>
        </w:tc>
      </w:tr>
      <w:tr w:rsidR="00A63CD3" w:rsidRPr="004B60E9" w14:paraId="3DA68B74" w14:textId="77777777" w:rsidTr="004B60E9">
        <w:trPr>
          <w:trHeight w:val="50"/>
        </w:trPr>
        <w:tc>
          <w:tcPr>
            <w:tcW w:w="704" w:type="dxa"/>
          </w:tcPr>
          <w:p w14:paraId="0EDD590F"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2023</w:t>
            </w:r>
          </w:p>
        </w:tc>
        <w:tc>
          <w:tcPr>
            <w:tcW w:w="985" w:type="dxa"/>
          </w:tcPr>
          <w:p w14:paraId="5CAE5B1B"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37800</w:t>
            </w:r>
          </w:p>
        </w:tc>
        <w:tc>
          <w:tcPr>
            <w:tcW w:w="905" w:type="dxa"/>
          </w:tcPr>
          <w:p w14:paraId="27E9FFAA"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54200</w:t>
            </w:r>
          </w:p>
        </w:tc>
        <w:tc>
          <w:tcPr>
            <w:tcW w:w="900" w:type="dxa"/>
          </w:tcPr>
          <w:p w14:paraId="5701E2F7"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31752</w:t>
            </w:r>
          </w:p>
        </w:tc>
        <w:tc>
          <w:tcPr>
            <w:tcW w:w="720" w:type="dxa"/>
          </w:tcPr>
          <w:p w14:paraId="7E6CFF22"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17450</w:t>
            </w:r>
          </w:p>
        </w:tc>
        <w:tc>
          <w:tcPr>
            <w:tcW w:w="900" w:type="dxa"/>
          </w:tcPr>
          <w:p w14:paraId="3684C0A6"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23900</w:t>
            </w:r>
          </w:p>
        </w:tc>
        <w:tc>
          <w:tcPr>
            <w:tcW w:w="815" w:type="dxa"/>
          </w:tcPr>
          <w:p w14:paraId="1DDF7F8A"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33800</w:t>
            </w:r>
          </w:p>
        </w:tc>
        <w:tc>
          <w:tcPr>
            <w:tcW w:w="895" w:type="dxa"/>
          </w:tcPr>
          <w:p w14:paraId="222CA5CE"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39210</w:t>
            </w:r>
          </w:p>
        </w:tc>
        <w:tc>
          <w:tcPr>
            <w:tcW w:w="810" w:type="dxa"/>
          </w:tcPr>
          <w:p w14:paraId="25E18D0E"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20852</w:t>
            </w:r>
          </w:p>
        </w:tc>
        <w:tc>
          <w:tcPr>
            <w:tcW w:w="810" w:type="dxa"/>
          </w:tcPr>
          <w:p w14:paraId="58ED14EC"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17450</w:t>
            </w:r>
          </w:p>
        </w:tc>
        <w:tc>
          <w:tcPr>
            <w:tcW w:w="810" w:type="dxa"/>
          </w:tcPr>
          <w:p w14:paraId="1A487C7A"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23900</w:t>
            </w:r>
          </w:p>
        </w:tc>
        <w:tc>
          <w:tcPr>
            <w:tcW w:w="892" w:type="dxa"/>
            <w:vAlign w:val="bottom"/>
          </w:tcPr>
          <w:p w14:paraId="69DC0685"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35800</w:t>
            </w:r>
          </w:p>
        </w:tc>
        <w:tc>
          <w:tcPr>
            <w:tcW w:w="876" w:type="dxa"/>
            <w:vAlign w:val="bottom"/>
          </w:tcPr>
          <w:p w14:paraId="38F310FB"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46705</w:t>
            </w:r>
          </w:p>
        </w:tc>
        <w:tc>
          <w:tcPr>
            <w:tcW w:w="820" w:type="dxa"/>
            <w:vAlign w:val="bottom"/>
          </w:tcPr>
          <w:p w14:paraId="5FDF3FE7"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26302</w:t>
            </w:r>
          </w:p>
        </w:tc>
        <w:tc>
          <w:tcPr>
            <w:tcW w:w="820" w:type="dxa"/>
            <w:vAlign w:val="bottom"/>
          </w:tcPr>
          <w:p w14:paraId="12A36F24"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17450</w:t>
            </w:r>
          </w:p>
        </w:tc>
        <w:tc>
          <w:tcPr>
            <w:tcW w:w="820" w:type="dxa"/>
            <w:vAlign w:val="bottom"/>
          </w:tcPr>
          <w:p w14:paraId="22EB72F9"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23900</w:t>
            </w:r>
          </w:p>
        </w:tc>
      </w:tr>
      <w:tr w:rsidR="00A63CD3" w:rsidRPr="004B60E9" w14:paraId="589628E9" w14:textId="77777777" w:rsidTr="004B60E9">
        <w:trPr>
          <w:trHeight w:val="160"/>
        </w:trPr>
        <w:tc>
          <w:tcPr>
            <w:tcW w:w="704" w:type="dxa"/>
          </w:tcPr>
          <w:p w14:paraId="3940C88B"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sz w:val="20"/>
                <w:szCs w:val="20"/>
              </w:rPr>
              <w:t>ARV</w:t>
            </w:r>
          </w:p>
        </w:tc>
        <w:tc>
          <w:tcPr>
            <w:tcW w:w="985" w:type="dxa"/>
            <w:vAlign w:val="bottom"/>
          </w:tcPr>
          <w:p w14:paraId="055A4974"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30061.42</w:t>
            </w:r>
          </w:p>
        </w:tc>
        <w:tc>
          <w:tcPr>
            <w:tcW w:w="905" w:type="dxa"/>
            <w:vAlign w:val="bottom"/>
          </w:tcPr>
          <w:p w14:paraId="73C08928"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44665.92</w:t>
            </w:r>
          </w:p>
        </w:tc>
        <w:tc>
          <w:tcPr>
            <w:tcW w:w="900" w:type="dxa"/>
            <w:vAlign w:val="bottom"/>
          </w:tcPr>
          <w:p w14:paraId="3C5AAF34"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23365.75</w:t>
            </w:r>
          </w:p>
        </w:tc>
        <w:tc>
          <w:tcPr>
            <w:tcW w:w="720" w:type="dxa"/>
            <w:vAlign w:val="bottom"/>
          </w:tcPr>
          <w:p w14:paraId="7E00387A"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33305</w:t>
            </w:r>
          </w:p>
        </w:tc>
        <w:tc>
          <w:tcPr>
            <w:tcW w:w="900" w:type="dxa"/>
            <w:vAlign w:val="bottom"/>
          </w:tcPr>
          <w:p w14:paraId="6983914F"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18044.08</w:t>
            </w:r>
          </w:p>
        </w:tc>
        <w:tc>
          <w:tcPr>
            <w:tcW w:w="815" w:type="dxa"/>
            <w:vAlign w:val="bottom"/>
          </w:tcPr>
          <w:p w14:paraId="776A809A"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27816.5</w:t>
            </w:r>
          </w:p>
        </w:tc>
        <w:tc>
          <w:tcPr>
            <w:tcW w:w="895" w:type="dxa"/>
            <w:vAlign w:val="bottom"/>
          </w:tcPr>
          <w:p w14:paraId="4BD48C48"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35807.6</w:t>
            </w:r>
          </w:p>
        </w:tc>
        <w:tc>
          <w:tcPr>
            <w:tcW w:w="810" w:type="dxa"/>
            <w:vAlign w:val="bottom"/>
          </w:tcPr>
          <w:p w14:paraId="34167535"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17424.1</w:t>
            </w:r>
          </w:p>
        </w:tc>
        <w:tc>
          <w:tcPr>
            <w:tcW w:w="810" w:type="dxa"/>
            <w:vAlign w:val="bottom"/>
          </w:tcPr>
          <w:p w14:paraId="5C9B3DEE"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14281.7</w:t>
            </w:r>
          </w:p>
        </w:tc>
        <w:tc>
          <w:tcPr>
            <w:tcW w:w="810" w:type="dxa"/>
            <w:vAlign w:val="bottom"/>
          </w:tcPr>
          <w:p w14:paraId="4AA3BED5"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18044.1</w:t>
            </w:r>
          </w:p>
        </w:tc>
        <w:tc>
          <w:tcPr>
            <w:tcW w:w="892" w:type="dxa"/>
            <w:vAlign w:val="bottom"/>
          </w:tcPr>
          <w:p w14:paraId="06DCD663"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28939.2</w:t>
            </w:r>
          </w:p>
        </w:tc>
        <w:tc>
          <w:tcPr>
            <w:tcW w:w="876" w:type="dxa"/>
            <w:vAlign w:val="bottom"/>
          </w:tcPr>
          <w:p w14:paraId="611941BF"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40236.7</w:t>
            </w:r>
          </w:p>
        </w:tc>
        <w:tc>
          <w:tcPr>
            <w:tcW w:w="820" w:type="dxa"/>
            <w:vAlign w:val="bottom"/>
          </w:tcPr>
          <w:p w14:paraId="20FC158E"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20394.9</w:t>
            </w:r>
          </w:p>
        </w:tc>
        <w:tc>
          <w:tcPr>
            <w:tcW w:w="820" w:type="dxa"/>
            <w:vAlign w:val="bottom"/>
          </w:tcPr>
          <w:p w14:paraId="01D3A1E9"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23793.3</w:t>
            </w:r>
          </w:p>
        </w:tc>
        <w:tc>
          <w:tcPr>
            <w:tcW w:w="820" w:type="dxa"/>
            <w:vAlign w:val="bottom"/>
          </w:tcPr>
          <w:p w14:paraId="2EF71966" w14:textId="77777777" w:rsidR="00A63CD3" w:rsidRPr="004B60E9" w:rsidRDefault="00A63CD3" w:rsidP="0000060D">
            <w:pPr>
              <w:spacing w:after="0" w:line="240" w:lineRule="auto"/>
              <w:contextualSpacing/>
              <w:jc w:val="both"/>
              <w:rPr>
                <w:rFonts w:ascii="Times New Roman" w:hAnsi="Times New Roman" w:cs="Times New Roman"/>
                <w:bCs/>
                <w:sz w:val="20"/>
                <w:szCs w:val="20"/>
              </w:rPr>
            </w:pPr>
            <w:r w:rsidRPr="004B60E9">
              <w:rPr>
                <w:rFonts w:ascii="Times New Roman" w:hAnsi="Times New Roman" w:cs="Times New Roman"/>
                <w:bCs/>
                <w:color w:val="000000"/>
                <w:sz w:val="20"/>
                <w:szCs w:val="20"/>
              </w:rPr>
              <w:t>18044.1</w:t>
            </w:r>
          </w:p>
        </w:tc>
      </w:tr>
    </w:tbl>
    <w:p w14:paraId="6CE37610" w14:textId="77777777" w:rsidR="004B60E9" w:rsidRDefault="004B60E9" w:rsidP="00A63CD3">
      <w:pPr>
        <w:spacing w:after="0" w:line="240" w:lineRule="auto"/>
        <w:contextualSpacing/>
        <w:jc w:val="both"/>
        <w:rPr>
          <w:rFonts w:ascii="Times New Roman" w:hAnsi="Times New Roman" w:cs="Times New Roman"/>
          <w:bCs/>
          <w:sz w:val="24"/>
          <w:szCs w:val="24"/>
        </w:rPr>
      </w:pPr>
    </w:p>
    <w:p w14:paraId="2EB02883" w14:textId="2E04997E" w:rsidR="004B60E9" w:rsidRPr="004B60E9" w:rsidRDefault="004B60E9" w:rsidP="004B60E9">
      <w:pPr>
        <w:spacing w:after="0" w:line="240" w:lineRule="auto"/>
        <w:contextualSpacing/>
        <w:jc w:val="center"/>
        <w:rPr>
          <w:rFonts w:ascii="Times New Roman" w:hAnsi="Times New Roman" w:cs="Times New Roman"/>
          <w:sz w:val="24"/>
          <w:szCs w:val="24"/>
        </w:rPr>
      </w:pPr>
      <w:r w:rsidRPr="00BE4AF3">
        <w:rPr>
          <w:rFonts w:ascii="Times New Roman" w:hAnsi="Times New Roman" w:cs="Times New Roman"/>
          <w:b/>
          <w:sz w:val="24"/>
          <w:szCs w:val="24"/>
        </w:rPr>
        <w:t xml:space="preserve">Table 4.4: </w:t>
      </w:r>
      <w:r w:rsidRPr="004B60E9">
        <w:rPr>
          <w:rFonts w:ascii="Times New Roman" w:eastAsia="Times New Roman" w:hAnsi="Times New Roman" w:cs="Times New Roman"/>
          <w:sz w:val="24"/>
          <w:szCs w:val="24"/>
        </w:rPr>
        <w:t>Rental Values of shopping malls from 2012 to 2023 in the Study Area</w:t>
      </w:r>
    </w:p>
    <w:p w14:paraId="13AC4EBC" w14:textId="494B680C" w:rsidR="00A63CD3" w:rsidRPr="004B60E9" w:rsidRDefault="00A63CD3" w:rsidP="00A63CD3">
      <w:pPr>
        <w:spacing w:after="0" w:line="240" w:lineRule="auto"/>
        <w:contextualSpacing/>
        <w:jc w:val="both"/>
        <w:rPr>
          <w:rFonts w:ascii="Times New Roman" w:hAnsi="Times New Roman" w:cs="Times New Roman"/>
          <w:bCs/>
          <w:sz w:val="24"/>
          <w:szCs w:val="24"/>
        </w:rPr>
      </w:pPr>
      <w:r w:rsidRPr="004B60E9">
        <w:rPr>
          <w:rFonts w:ascii="Times New Roman" w:hAnsi="Times New Roman" w:cs="Times New Roman"/>
          <w:bCs/>
          <w:sz w:val="24"/>
          <w:szCs w:val="24"/>
        </w:rPr>
        <w:t xml:space="preserve">Note: RM=Regional Malls; SRM=Super Regional Malls; SM= Strip Malls; OM=Outlet Mall; NM=Neighborhood Malls; ARV=Average Rental Value </w:t>
      </w:r>
    </w:p>
    <w:p w14:paraId="54553ED7" w14:textId="77777777" w:rsidR="00A63CD3" w:rsidRPr="00BE4AF3" w:rsidRDefault="00A63CD3" w:rsidP="00A63CD3">
      <w:pPr>
        <w:spacing w:after="0" w:line="240" w:lineRule="auto"/>
        <w:contextualSpacing/>
        <w:jc w:val="both"/>
        <w:rPr>
          <w:rFonts w:ascii="Times New Roman" w:hAnsi="Times New Roman" w:cs="Times New Roman"/>
          <w:b/>
          <w:i/>
          <w:iCs/>
          <w:sz w:val="24"/>
          <w:szCs w:val="24"/>
        </w:rPr>
      </w:pPr>
    </w:p>
    <w:p w14:paraId="65588EF3" w14:textId="77777777" w:rsidR="00A63CD3" w:rsidRPr="00BE4AF3" w:rsidRDefault="00A63CD3" w:rsidP="00A63CD3">
      <w:pPr>
        <w:spacing w:after="0" w:line="240" w:lineRule="auto"/>
        <w:contextualSpacing/>
        <w:jc w:val="both"/>
        <w:rPr>
          <w:rFonts w:ascii="Times New Roman" w:hAnsi="Times New Roman" w:cs="Times New Roman"/>
          <w:b/>
          <w:sz w:val="24"/>
          <w:szCs w:val="24"/>
        </w:rPr>
      </w:pPr>
    </w:p>
    <w:p w14:paraId="1171001C" w14:textId="77777777" w:rsidR="00A63CD3" w:rsidRPr="00BE4AF3" w:rsidRDefault="00A63CD3" w:rsidP="00A63CD3">
      <w:pPr>
        <w:spacing w:after="0" w:line="240" w:lineRule="auto"/>
        <w:contextualSpacing/>
        <w:jc w:val="both"/>
        <w:rPr>
          <w:rFonts w:ascii="Times New Roman" w:hAnsi="Times New Roman" w:cs="Times New Roman"/>
          <w:b/>
          <w:sz w:val="24"/>
          <w:szCs w:val="24"/>
        </w:rPr>
      </w:pPr>
    </w:p>
    <w:p w14:paraId="371DE101" w14:textId="77777777" w:rsidR="00A63CD3" w:rsidRPr="00BE4AF3" w:rsidRDefault="00A63CD3" w:rsidP="00A63CD3">
      <w:pPr>
        <w:spacing w:after="0" w:line="240" w:lineRule="auto"/>
        <w:contextualSpacing/>
        <w:jc w:val="both"/>
        <w:rPr>
          <w:rFonts w:ascii="Times New Roman" w:hAnsi="Times New Roman" w:cs="Times New Roman"/>
          <w:b/>
          <w:sz w:val="24"/>
          <w:szCs w:val="24"/>
        </w:rPr>
      </w:pPr>
    </w:p>
    <w:p w14:paraId="104DAAFF" w14:textId="77777777" w:rsidR="00A63CD3" w:rsidRPr="00BE4AF3" w:rsidRDefault="00A63CD3" w:rsidP="00A63CD3">
      <w:pPr>
        <w:spacing w:after="0" w:line="240" w:lineRule="auto"/>
        <w:contextualSpacing/>
        <w:jc w:val="both"/>
        <w:rPr>
          <w:rFonts w:ascii="Times New Roman" w:hAnsi="Times New Roman" w:cs="Times New Roman"/>
          <w:b/>
          <w:sz w:val="24"/>
          <w:szCs w:val="24"/>
        </w:rPr>
      </w:pPr>
    </w:p>
    <w:p w14:paraId="0EA5C4FE" w14:textId="77777777" w:rsidR="00A63CD3" w:rsidRPr="00BE4AF3" w:rsidRDefault="00A63CD3" w:rsidP="00A63CD3">
      <w:pPr>
        <w:spacing w:after="0" w:line="240" w:lineRule="auto"/>
        <w:contextualSpacing/>
        <w:jc w:val="both"/>
        <w:rPr>
          <w:rFonts w:ascii="Times New Roman" w:hAnsi="Times New Roman" w:cs="Times New Roman"/>
          <w:b/>
          <w:sz w:val="24"/>
          <w:szCs w:val="24"/>
        </w:rPr>
      </w:pPr>
    </w:p>
    <w:p w14:paraId="0882FB46" w14:textId="77777777" w:rsidR="00A63CD3" w:rsidRPr="00BE4AF3" w:rsidRDefault="00A63CD3" w:rsidP="00A63CD3">
      <w:pPr>
        <w:autoSpaceDE w:val="0"/>
        <w:autoSpaceDN w:val="0"/>
        <w:adjustRightInd w:val="0"/>
        <w:spacing w:after="0" w:line="240" w:lineRule="auto"/>
        <w:contextualSpacing/>
        <w:jc w:val="both"/>
        <w:rPr>
          <w:rFonts w:ascii="Times New Roman" w:hAnsi="Times New Roman" w:cs="Times New Roman"/>
          <w:b/>
          <w:sz w:val="24"/>
          <w:szCs w:val="24"/>
        </w:rPr>
      </w:pPr>
    </w:p>
    <w:p w14:paraId="23EE6C58" w14:textId="77777777" w:rsidR="00A63CD3" w:rsidRPr="00BE4AF3" w:rsidRDefault="00A63CD3" w:rsidP="00A63CD3">
      <w:pPr>
        <w:autoSpaceDE w:val="0"/>
        <w:autoSpaceDN w:val="0"/>
        <w:adjustRightInd w:val="0"/>
        <w:spacing w:after="0" w:line="240" w:lineRule="auto"/>
        <w:contextualSpacing/>
        <w:jc w:val="both"/>
        <w:rPr>
          <w:rFonts w:ascii="Times New Roman" w:hAnsi="Times New Roman" w:cs="Times New Roman"/>
          <w:b/>
          <w:sz w:val="24"/>
          <w:szCs w:val="24"/>
        </w:rPr>
      </w:pPr>
    </w:p>
    <w:p w14:paraId="0CBF437D" w14:textId="77777777" w:rsidR="00A63CD3" w:rsidRPr="00BE4AF3" w:rsidRDefault="00A63CD3" w:rsidP="00A63CD3">
      <w:pPr>
        <w:autoSpaceDE w:val="0"/>
        <w:autoSpaceDN w:val="0"/>
        <w:adjustRightInd w:val="0"/>
        <w:spacing w:after="0" w:line="240" w:lineRule="auto"/>
        <w:contextualSpacing/>
        <w:jc w:val="both"/>
        <w:rPr>
          <w:rFonts w:ascii="Times New Roman" w:hAnsi="Times New Roman" w:cs="Times New Roman"/>
          <w:b/>
          <w:sz w:val="24"/>
          <w:szCs w:val="24"/>
        </w:rPr>
      </w:pPr>
    </w:p>
    <w:p w14:paraId="208CCBE2" w14:textId="77777777" w:rsidR="00A63CD3" w:rsidRPr="00BE4AF3" w:rsidRDefault="00A63CD3" w:rsidP="00A63CD3">
      <w:pPr>
        <w:autoSpaceDE w:val="0"/>
        <w:autoSpaceDN w:val="0"/>
        <w:adjustRightInd w:val="0"/>
        <w:spacing w:after="0" w:line="240" w:lineRule="auto"/>
        <w:contextualSpacing/>
        <w:jc w:val="both"/>
        <w:rPr>
          <w:rFonts w:ascii="Times New Roman" w:hAnsi="Times New Roman" w:cs="Times New Roman"/>
          <w:b/>
          <w:sz w:val="24"/>
          <w:szCs w:val="24"/>
        </w:rPr>
      </w:pPr>
    </w:p>
    <w:p w14:paraId="54765CCA" w14:textId="77777777" w:rsidR="00A63CD3" w:rsidRPr="00BE4AF3" w:rsidRDefault="00A63CD3" w:rsidP="00A63CD3">
      <w:pPr>
        <w:autoSpaceDE w:val="0"/>
        <w:autoSpaceDN w:val="0"/>
        <w:adjustRightInd w:val="0"/>
        <w:spacing w:after="0" w:line="240" w:lineRule="auto"/>
        <w:contextualSpacing/>
        <w:jc w:val="both"/>
        <w:rPr>
          <w:rFonts w:ascii="Times New Roman" w:hAnsi="Times New Roman" w:cs="Times New Roman"/>
          <w:b/>
          <w:sz w:val="24"/>
          <w:szCs w:val="24"/>
        </w:rPr>
      </w:pPr>
    </w:p>
    <w:p w14:paraId="5BD29A5B" w14:textId="77777777" w:rsidR="00A63CD3" w:rsidRPr="00BE4AF3" w:rsidRDefault="00A63CD3" w:rsidP="00A63CD3">
      <w:pPr>
        <w:autoSpaceDE w:val="0"/>
        <w:autoSpaceDN w:val="0"/>
        <w:adjustRightInd w:val="0"/>
        <w:spacing w:after="0" w:line="240" w:lineRule="auto"/>
        <w:contextualSpacing/>
        <w:jc w:val="both"/>
        <w:rPr>
          <w:rFonts w:ascii="Times New Roman" w:hAnsi="Times New Roman" w:cs="Times New Roman"/>
          <w:b/>
          <w:sz w:val="24"/>
          <w:szCs w:val="24"/>
        </w:rPr>
      </w:pPr>
    </w:p>
    <w:p w14:paraId="2440C4AD" w14:textId="77777777" w:rsidR="00A63CD3" w:rsidRPr="00BE4AF3" w:rsidRDefault="00A63CD3" w:rsidP="00A63CD3">
      <w:pPr>
        <w:autoSpaceDE w:val="0"/>
        <w:autoSpaceDN w:val="0"/>
        <w:adjustRightInd w:val="0"/>
        <w:spacing w:after="0" w:line="240" w:lineRule="auto"/>
        <w:contextualSpacing/>
        <w:jc w:val="both"/>
        <w:rPr>
          <w:rFonts w:ascii="Times New Roman" w:eastAsia="Times New Roman" w:hAnsi="Times New Roman" w:cs="Times New Roman"/>
          <w:b/>
          <w:bCs/>
          <w:sz w:val="24"/>
          <w:szCs w:val="24"/>
        </w:rPr>
      </w:pPr>
      <w:r w:rsidRPr="00BE4AF3">
        <w:rPr>
          <w:rFonts w:ascii="Times New Roman" w:hAnsi="Times New Roman" w:cs="Times New Roman"/>
          <w:b/>
          <w:sz w:val="24"/>
          <w:szCs w:val="24"/>
        </w:rPr>
        <w:lastRenderedPageBreak/>
        <w:t xml:space="preserve">Table 4.5: </w:t>
      </w:r>
      <w:r w:rsidRPr="005C1FE0">
        <w:rPr>
          <w:rFonts w:ascii="Times New Roman" w:eastAsia="Times New Roman" w:hAnsi="Times New Roman" w:cs="Times New Roman"/>
          <w:sz w:val="24"/>
          <w:szCs w:val="24"/>
        </w:rPr>
        <w:t>Rental Values Movement of shopping malls from 2012 to 2023 in the Study Area</w:t>
      </w:r>
    </w:p>
    <w:tbl>
      <w:tblPr>
        <w:tblpPr w:leftFromText="180" w:rightFromText="180" w:vertAnchor="page" w:horzAnchor="margin" w:tblpY="1791"/>
        <w:tblW w:w="13310" w:type="dxa"/>
        <w:tblBorders>
          <w:top w:val="single" w:sz="4" w:space="0" w:color="auto"/>
          <w:bottom w:val="single" w:sz="4" w:space="0" w:color="auto"/>
        </w:tblBorders>
        <w:tblLayout w:type="fixed"/>
        <w:tblLook w:val="04A0" w:firstRow="1" w:lastRow="0" w:firstColumn="1" w:lastColumn="0" w:noHBand="0" w:noVBand="1"/>
      </w:tblPr>
      <w:tblGrid>
        <w:gridCol w:w="704"/>
        <w:gridCol w:w="813"/>
        <w:gridCol w:w="985"/>
        <w:gridCol w:w="820"/>
        <w:gridCol w:w="820"/>
        <w:gridCol w:w="820"/>
        <w:gridCol w:w="795"/>
        <w:gridCol w:w="982"/>
        <w:gridCol w:w="820"/>
        <w:gridCol w:w="820"/>
        <w:gridCol w:w="820"/>
        <w:gridCol w:w="775"/>
        <w:gridCol w:w="876"/>
        <w:gridCol w:w="820"/>
        <w:gridCol w:w="820"/>
        <w:gridCol w:w="820"/>
      </w:tblGrid>
      <w:tr w:rsidR="00A63CD3" w:rsidRPr="005C1FE0" w14:paraId="5A0ABE6F" w14:textId="77777777" w:rsidTr="005C1FE0">
        <w:trPr>
          <w:trHeight w:val="200"/>
        </w:trPr>
        <w:tc>
          <w:tcPr>
            <w:tcW w:w="704" w:type="dxa"/>
            <w:vMerge w:val="restart"/>
            <w:tcBorders>
              <w:top w:val="single" w:sz="4" w:space="0" w:color="auto"/>
              <w:bottom w:val="nil"/>
            </w:tcBorders>
          </w:tcPr>
          <w:p w14:paraId="63C5D7C5"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 xml:space="preserve">Years </w:t>
            </w:r>
          </w:p>
        </w:tc>
        <w:tc>
          <w:tcPr>
            <w:tcW w:w="4258" w:type="dxa"/>
            <w:gridSpan w:val="5"/>
            <w:tcBorders>
              <w:top w:val="single" w:sz="4" w:space="0" w:color="auto"/>
              <w:bottom w:val="single" w:sz="4" w:space="0" w:color="auto"/>
            </w:tcBorders>
          </w:tcPr>
          <w:p w14:paraId="37F37FE0"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Lagos Island</w:t>
            </w:r>
          </w:p>
        </w:tc>
        <w:tc>
          <w:tcPr>
            <w:tcW w:w="4237" w:type="dxa"/>
            <w:gridSpan w:val="5"/>
            <w:tcBorders>
              <w:top w:val="single" w:sz="4" w:space="0" w:color="auto"/>
              <w:bottom w:val="single" w:sz="4" w:space="0" w:color="auto"/>
            </w:tcBorders>
          </w:tcPr>
          <w:p w14:paraId="137D9004"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Lagos Mainland</w:t>
            </w:r>
          </w:p>
        </w:tc>
        <w:tc>
          <w:tcPr>
            <w:tcW w:w="4111" w:type="dxa"/>
            <w:gridSpan w:val="5"/>
            <w:tcBorders>
              <w:top w:val="single" w:sz="4" w:space="0" w:color="auto"/>
              <w:bottom w:val="single" w:sz="4" w:space="0" w:color="auto"/>
            </w:tcBorders>
          </w:tcPr>
          <w:p w14:paraId="530AA28C"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Lagos State</w:t>
            </w:r>
          </w:p>
        </w:tc>
      </w:tr>
      <w:tr w:rsidR="00A63CD3" w:rsidRPr="005C1FE0" w14:paraId="1030BF4C" w14:textId="77777777" w:rsidTr="005C1FE0">
        <w:trPr>
          <w:trHeight w:val="200"/>
        </w:trPr>
        <w:tc>
          <w:tcPr>
            <w:tcW w:w="704" w:type="dxa"/>
            <w:vMerge/>
            <w:tcBorders>
              <w:top w:val="nil"/>
              <w:bottom w:val="single" w:sz="4" w:space="0" w:color="auto"/>
            </w:tcBorders>
          </w:tcPr>
          <w:p w14:paraId="69387F8A"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p>
        </w:tc>
        <w:tc>
          <w:tcPr>
            <w:tcW w:w="813" w:type="dxa"/>
            <w:tcBorders>
              <w:top w:val="single" w:sz="4" w:space="0" w:color="auto"/>
              <w:bottom w:val="single" w:sz="4" w:space="0" w:color="auto"/>
            </w:tcBorders>
          </w:tcPr>
          <w:p w14:paraId="3781BB75"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RM</w:t>
            </w:r>
          </w:p>
        </w:tc>
        <w:tc>
          <w:tcPr>
            <w:tcW w:w="985" w:type="dxa"/>
            <w:tcBorders>
              <w:top w:val="single" w:sz="4" w:space="0" w:color="auto"/>
              <w:bottom w:val="single" w:sz="4" w:space="0" w:color="auto"/>
            </w:tcBorders>
          </w:tcPr>
          <w:p w14:paraId="070147AE"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SRM</w:t>
            </w:r>
          </w:p>
        </w:tc>
        <w:tc>
          <w:tcPr>
            <w:tcW w:w="820" w:type="dxa"/>
            <w:tcBorders>
              <w:top w:val="single" w:sz="4" w:space="0" w:color="auto"/>
              <w:bottom w:val="single" w:sz="4" w:space="0" w:color="auto"/>
            </w:tcBorders>
          </w:tcPr>
          <w:p w14:paraId="57279F53"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SM</w:t>
            </w:r>
          </w:p>
        </w:tc>
        <w:tc>
          <w:tcPr>
            <w:tcW w:w="820" w:type="dxa"/>
            <w:tcBorders>
              <w:top w:val="single" w:sz="4" w:space="0" w:color="auto"/>
              <w:bottom w:val="single" w:sz="4" w:space="0" w:color="auto"/>
            </w:tcBorders>
          </w:tcPr>
          <w:p w14:paraId="26180713"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OM</w:t>
            </w:r>
          </w:p>
        </w:tc>
        <w:tc>
          <w:tcPr>
            <w:tcW w:w="820" w:type="dxa"/>
            <w:tcBorders>
              <w:top w:val="single" w:sz="4" w:space="0" w:color="auto"/>
              <w:bottom w:val="single" w:sz="4" w:space="0" w:color="auto"/>
            </w:tcBorders>
          </w:tcPr>
          <w:p w14:paraId="02D4282B"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NM</w:t>
            </w:r>
          </w:p>
        </w:tc>
        <w:tc>
          <w:tcPr>
            <w:tcW w:w="795" w:type="dxa"/>
            <w:tcBorders>
              <w:top w:val="single" w:sz="4" w:space="0" w:color="auto"/>
              <w:bottom w:val="single" w:sz="4" w:space="0" w:color="auto"/>
            </w:tcBorders>
          </w:tcPr>
          <w:p w14:paraId="201598F2"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RM</w:t>
            </w:r>
          </w:p>
        </w:tc>
        <w:tc>
          <w:tcPr>
            <w:tcW w:w="982" w:type="dxa"/>
            <w:tcBorders>
              <w:top w:val="single" w:sz="4" w:space="0" w:color="auto"/>
              <w:bottom w:val="single" w:sz="4" w:space="0" w:color="auto"/>
            </w:tcBorders>
          </w:tcPr>
          <w:p w14:paraId="77992C8B"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SRM</w:t>
            </w:r>
          </w:p>
        </w:tc>
        <w:tc>
          <w:tcPr>
            <w:tcW w:w="820" w:type="dxa"/>
            <w:tcBorders>
              <w:top w:val="single" w:sz="4" w:space="0" w:color="auto"/>
              <w:bottom w:val="single" w:sz="4" w:space="0" w:color="auto"/>
            </w:tcBorders>
          </w:tcPr>
          <w:p w14:paraId="4A4EBCEB"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SM</w:t>
            </w:r>
          </w:p>
        </w:tc>
        <w:tc>
          <w:tcPr>
            <w:tcW w:w="820" w:type="dxa"/>
            <w:tcBorders>
              <w:top w:val="single" w:sz="4" w:space="0" w:color="auto"/>
              <w:bottom w:val="single" w:sz="4" w:space="0" w:color="auto"/>
            </w:tcBorders>
          </w:tcPr>
          <w:p w14:paraId="49B256EA"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OM</w:t>
            </w:r>
          </w:p>
        </w:tc>
        <w:tc>
          <w:tcPr>
            <w:tcW w:w="820" w:type="dxa"/>
            <w:tcBorders>
              <w:top w:val="single" w:sz="4" w:space="0" w:color="auto"/>
              <w:bottom w:val="single" w:sz="4" w:space="0" w:color="auto"/>
            </w:tcBorders>
          </w:tcPr>
          <w:p w14:paraId="59BD3D27"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NM</w:t>
            </w:r>
          </w:p>
        </w:tc>
        <w:tc>
          <w:tcPr>
            <w:tcW w:w="775" w:type="dxa"/>
            <w:tcBorders>
              <w:top w:val="single" w:sz="4" w:space="0" w:color="auto"/>
              <w:bottom w:val="single" w:sz="4" w:space="0" w:color="auto"/>
            </w:tcBorders>
          </w:tcPr>
          <w:p w14:paraId="4BDFDB75"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RM</w:t>
            </w:r>
          </w:p>
        </w:tc>
        <w:tc>
          <w:tcPr>
            <w:tcW w:w="876" w:type="dxa"/>
            <w:tcBorders>
              <w:top w:val="single" w:sz="4" w:space="0" w:color="auto"/>
              <w:bottom w:val="single" w:sz="4" w:space="0" w:color="auto"/>
            </w:tcBorders>
          </w:tcPr>
          <w:p w14:paraId="65F2EC9F"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SRM</w:t>
            </w:r>
          </w:p>
        </w:tc>
        <w:tc>
          <w:tcPr>
            <w:tcW w:w="820" w:type="dxa"/>
            <w:tcBorders>
              <w:top w:val="single" w:sz="4" w:space="0" w:color="auto"/>
              <w:bottom w:val="single" w:sz="4" w:space="0" w:color="auto"/>
            </w:tcBorders>
          </w:tcPr>
          <w:p w14:paraId="336C76CA"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SM</w:t>
            </w:r>
          </w:p>
        </w:tc>
        <w:tc>
          <w:tcPr>
            <w:tcW w:w="820" w:type="dxa"/>
            <w:tcBorders>
              <w:top w:val="single" w:sz="4" w:space="0" w:color="auto"/>
              <w:bottom w:val="single" w:sz="4" w:space="0" w:color="auto"/>
            </w:tcBorders>
          </w:tcPr>
          <w:p w14:paraId="6315F3DB"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OM</w:t>
            </w:r>
          </w:p>
        </w:tc>
        <w:tc>
          <w:tcPr>
            <w:tcW w:w="820" w:type="dxa"/>
            <w:tcBorders>
              <w:top w:val="single" w:sz="4" w:space="0" w:color="auto"/>
              <w:bottom w:val="single" w:sz="4" w:space="0" w:color="auto"/>
            </w:tcBorders>
          </w:tcPr>
          <w:p w14:paraId="5C38F58B"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NM</w:t>
            </w:r>
          </w:p>
        </w:tc>
      </w:tr>
      <w:tr w:rsidR="00A63CD3" w:rsidRPr="005C1FE0" w14:paraId="43C994B2" w14:textId="77777777" w:rsidTr="005C1FE0">
        <w:trPr>
          <w:trHeight w:val="50"/>
        </w:trPr>
        <w:tc>
          <w:tcPr>
            <w:tcW w:w="704" w:type="dxa"/>
            <w:tcBorders>
              <w:top w:val="single" w:sz="4" w:space="0" w:color="auto"/>
            </w:tcBorders>
          </w:tcPr>
          <w:p w14:paraId="39278C5E"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2012</w:t>
            </w:r>
          </w:p>
        </w:tc>
        <w:tc>
          <w:tcPr>
            <w:tcW w:w="813" w:type="dxa"/>
            <w:tcBorders>
              <w:top w:val="single" w:sz="4" w:space="0" w:color="auto"/>
            </w:tcBorders>
            <w:vAlign w:val="bottom"/>
          </w:tcPr>
          <w:p w14:paraId="3D40D01C"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w:t>
            </w:r>
          </w:p>
        </w:tc>
        <w:tc>
          <w:tcPr>
            <w:tcW w:w="985" w:type="dxa"/>
            <w:tcBorders>
              <w:top w:val="single" w:sz="4" w:space="0" w:color="auto"/>
            </w:tcBorders>
            <w:vAlign w:val="bottom"/>
          </w:tcPr>
          <w:p w14:paraId="7A7C9377"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w:t>
            </w:r>
          </w:p>
        </w:tc>
        <w:tc>
          <w:tcPr>
            <w:tcW w:w="820" w:type="dxa"/>
            <w:tcBorders>
              <w:top w:val="single" w:sz="4" w:space="0" w:color="auto"/>
            </w:tcBorders>
            <w:vAlign w:val="bottom"/>
          </w:tcPr>
          <w:p w14:paraId="18323F82"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w:t>
            </w:r>
          </w:p>
        </w:tc>
        <w:tc>
          <w:tcPr>
            <w:tcW w:w="820" w:type="dxa"/>
            <w:tcBorders>
              <w:top w:val="single" w:sz="4" w:space="0" w:color="auto"/>
            </w:tcBorders>
            <w:vAlign w:val="bottom"/>
          </w:tcPr>
          <w:p w14:paraId="5ABB1AB1"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w:t>
            </w:r>
          </w:p>
        </w:tc>
        <w:tc>
          <w:tcPr>
            <w:tcW w:w="820" w:type="dxa"/>
            <w:tcBorders>
              <w:top w:val="single" w:sz="4" w:space="0" w:color="auto"/>
            </w:tcBorders>
            <w:vAlign w:val="bottom"/>
          </w:tcPr>
          <w:p w14:paraId="56FBE88B"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w:t>
            </w:r>
          </w:p>
        </w:tc>
        <w:tc>
          <w:tcPr>
            <w:tcW w:w="795" w:type="dxa"/>
            <w:tcBorders>
              <w:top w:val="single" w:sz="4" w:space="0" w:color="auto"/>
            </w:tcBorders>
            <w:vAlign w:val="bottom"/>
          </w:tcPr>
          <w:p w14:paraId="1914FA16"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w:t>
            </w:r>
          </w:p>
        </w:tc>
        <w:tc>
          <w:tcPr>
            <w:tcW w:w="982" w:type="dxa"/>
            <w:tcBorders>
              <w:top w:val="single" w:sz="4" w:space="0" w:color="auto"/>
            </w:tcBorders>
            <w:vAlign w:val="bottom"/>
          </w:tcPr>
          <w:p w14:paraId="54CACC72"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w:t>
            </w:r>
          </w:p>
        </w:tc>
        <w:tc>
          <w:tcPr>
            <w:tcW w:w="820" w:type="dxa"/>
            <w:tcBorders>
              <w:top w:val="single" w:sz="4" w:space="0" w:color="auto"/>
            </w:tcBorders>
            <w:vAlign w:val="bottom"/>
          </w:tcPr>
          <w:p w14:paraId="031222EF"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w:t>
            </w:r>
          </w:p>
        </w:tc>
        <w:tc>
          <w:tcPr>
            <w:tcW w:w="820" w:type="dxa"/>
            <w:tcBorders>
              <w:top w:val="single" w:sz="4" w:space="0" w:color="auto"/>
            </w:tcBorders>
            <w:vAlign w:val="bottom"/>
          </w:tcPr>
          <w:p w14:paraId="69D2E56A"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w:t>
            </w:r>
          </w:p>
        </w:tc>
        <w:tc>
          <w:tcPr>
            <w:tcW w:w="820" w:type="dxa"/>
            <w:tcBorders>
              <w:top w:val="single" w:sz="4" w:space="0" w:color="auto"/>
            </w:tcBorders>
            <w:vAlign w:val="bottom"/>
          </w:tcPr>
          <w:p w14:paraId="5AB8155C"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w:t>
            </w:r>
          </w:p>
        </w:tc>
        <w:tc>
          <w:tcPr>
            <w:tcW w:w="775" w:type="dxa"/>
            <w:tcBorders>
              <w:top w:val="single" w:sz="4" w:space="0" w:color="auto"/>
            </w:tcBorders>
            <w:vAlign w:val="bottom"/>
          </w:tcPr>
          <w:p w14:paraId="631852F2"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w:t>
            </w:r>
          </w:p>
        </w:tc>
        <w:tc>
          <w:tcPr>
            <w:tcW w:w="876" w:type="dxa"/>
            <w:tcBorders>
              <w:top w:val="single" w:sz="4" w:space="0" w:color="auto"/>
            </w:tcBorders>
            <w:vAlign w:val="bottom"/>
          </w:tcPr>
          <w:p w14:paraId="3732F6AA"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w:t>
            </w:r>
          </w:p>
        </w:tc>
        <w:tc>
          <w:tcPr>
            <w:tcW w:w="820" w:type="dxa"/>
            <w:tcBorders>
              <w:top w:val="single" w:sz="4" w:space="0" w:color="auto"/>
            </w:tcBorders>
            <w:vAlign w:val="bottom"/>
          </w:tcPr>
          <w:p w14:paraId="392DAF0D"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w:t>
            </w:r>
          </w:p>
        </w:tc>
        <w:tc>
          <w:tcPr>
            <w:tcW w:w="820" w:type="dxa"/>
            <w:tcBorders>
              <w:top w:val="single" w:sz="4" w:space="0" w:color="auto"/>
            </w:tcBorders>
            <w:vAlign w:val="bottom"/>
          </w:tcPr>
          <w:p w14:paraId="28A150A7"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w:t>
            </w:r>
          </w:p>
        </w:tc>
        <w:tc>
          <w:tcPr>
            <w:tcW w:w="820" w:type="dxa"/>
            <w:tcBorders>
              <w:top w:val="single" w:sz="4" w:space="0" w:color="auto"/>
            </w:tcBorders>
            <w:vAlign w:val="bottom"/>
          </w:tcPr>
          <w:p w14:paraId="4F9FE2B8"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w:t>
            </w:r>
          </w:p>
        </w:tc>
      </w:tr>
      <w:tr w:rsidR="00A63CD3" w:rsidRPr="005C1FE0" w14:paraId="3843188D" w14:textId="77777777" w:rsidTr="005C1FE0">
        <w:trPr>
          <w:trHeight w:val="61"/>
        </w:trPr>
        <w:tc>
          <w:tcPr>
            <w:tcW w:w="704" w:type="dxa"/>
          </w:tcPr>
          <w:p w14:paraId="275A4110"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2013</w:t>
            </w:r>
          </w:p>
        </w:tc>
        <w:tc>
          <w:tcPr>
            <w:tcW w:w="813" w:type="dxa"/>
            <w:vAlign w:val="bottom"/>
          </w:tcPr>
          <w:p w14:paraId="4C7ED8D4"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0.013</w:t>
            </w:r>
          </w:p>
        </w:tc>
        <w:tc>
          <w:tcPr>
            <w:tcW w:w="985" w:type="dxa"/>
            <w:vAlign w:val="bottom"/>
          </w:tcPr>
          <w:p w14:paraId="39512AF0"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0.007</w:t>
            </w:r>
          </w:p>
        </w:tc>
        <w:tc>
          <w:tcPr>
            <w:tcW w:w="820" w:type="dxa"/>
            <w:vAlign w:val="bottom"/>
          </w:tcPr>
          <w:p w14:paraId="79E8FE91"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0.022</w:t>
            </w:r>
          </w:p>
        </w:tc>
        <w:tc>
          <w:tcPr>
            <w:tcW w:w="820" w:type="dxa"/>
            <w:vAlign w:val="bottom"/>
          </w:tcPr>
          <w:p w14:paraId="7A7B0884"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-0.104</w:t>
            </w:r>
          </w:p>
        </w:tc>
        <w:tc>
          <w:tcPr>
            <w:tcW w:w="820" w:type="dxa"/>
            <w:vAlign w:val="bottom"/>
          </w:tcPr>
          <w:p w14:paraId="5D02BC4B"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w:t>
            </w:r>
          </w:p>
        </w:tc>
        <w:tc>
          <w:tcPr>
            <w:tcW w:w="795" w:type="dxa"/>
            <w:vAlign w:val="bottom"/>
          </w:tcPr>
          <w:p w14:paraId="4CFE6B54"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0.016</w:t>
            </w:r>
          </w:p>
        </w:tc>
        <w:tc>
          <w:tcPr>
            <w:tcW w:w="982" w:type="dxa"/>
            <w:vAlign w:val="bottom"/>
          </w:tcPr>
          <w:p w14:paraId="57684670"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0.009</w:t>
            </w:r>
          </w:p>
        </w:tc>
        <w:tc>
          <w:tcPr>
            <w:tcW w:w="820" w:type="dxa"/>
            <w:vAlign w:val="bottom"/>
          </w:tcPr>
          <w:p w14:paraId="5663171F"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0.029</w:t>
            </w:r>
          </w:p>
        </w:tc>
        <w:tc>
          <w:tcPr>
            <w:tcW w:w="820" w:type="dxa"/>
            <w:vAlign w:val="bottom"/>
          </w:tcPr>
          <w:p w14:paraId="327AD156"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0.155</w:t>
            </w:r>
          </w:p>
        </w:tc>
        <w:tc>
          <w:tcPr>
            <w:tcW w:w="820" w:type="dxa"/>
            <w:vAlign w:val="bottom"/>
          </w:tcPr>
          <w:p w14:paraId="2CBD9840"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w:t>
            </w:r>
          </w:p>
        </w:tc>
        <w:tc>
          <w:tcPr>
            <w:tcW w:w="775" w:type="dxa"/>
            <w:vAlign w:val="bottom"/>
          </w:tcPr>
          <w:p w14:paraId="00869816"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0.014</w:t>
            </w:r>
          </w:p>
        </w:tc>
        <w:tc>
          <w:tcPr>
            <w:tcW w:w="876" w:type="dxa"/>
            <w:vAlign w:val="bottom"/>
          </w:tcPr>
          <w:p w14:paraId="46852662"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0.008</w:t>
            </w:r>
          </w:p>
        </w:tc>
        <w:tc>
          <w:tcPr>
            <w:tcW w:w="820" w:type="dxa"/>
            <w:vAlign w:val="bottom"/>
          </w:tcPr>
          <w:p w14:paraId="7D1E65C0"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0.025</w:t>
            </w:r>
          </w:p>
        </w:tc>
        <w:tc>
          <w:tcPr>
            <w:tcW w:w="820" w:type="dxa"/>
            <w:vAlign w:val="bottom"/>
          </w:tcPr>
          <w:p w14:paraId="12326E7D"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0.010</w:t>
            </w:r>
          </w:p>
        </w:tc>
        <w:tc>
          <w:tcPr>
            <w:tcW w:w="820" w:type="dxa"/>
            <w:vAlign w:val="bottom"/>
          </w:tcPr>
          <w:p w14:paraId="33C56F14"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w:t>
            </w:r>
          </w:p>
        </w:tc>
      </w:tr>
      <w:tr w:rsidR="00A63CD3" w:rsidRPr="005C1FE0" w14:paraId="27FF3AC7" w14:textId="77777777" w:rsidTr="005C1FE0">
        <w:trPr>
          <w:trHeight w:val="109"/>
        </w:trPr>
        <w:tc>
          <w:tcPr>
            <w:tcW w:w="704" w:type="dxa"/>
          </w:tcPr>
          <w:p w14:paraId="01119B3D"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2014</w:t>
            </w:r>
          </w:p>
        </w:tc>
        <w:tc>
          <w:tcPr>
            <w:tcW w:w="813" w:type="dxa"/>
            <w:vAlign w:val="bottom"/>
          </w:tcPr>
          <w:p w14:paraId="1B7D279D"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0.069</w:t>
            </w:r>
          </w:p>
        </w:tc>
        <w:tc>
          <w:tcPr>
            <w:tcW w:w="985" w:type="dxa"/>
            <w:vAlign w:val="bottom"/>
          </w:tcPr>
          <w:p w14:paraId="2B656B35"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0.044</w:t>
            </w:r>
          </w:p>
        </w:tc>
        <w:tc>
          <w:tcPr>
            <w:tcW w:w="820" w:type="dxa"/>
            <w:vAlign w:val="bottom"/>
          </w:tcPr>
          <w:p w14:paraId="6CCEA5EF"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0.082</w:t>
            </w:r>
          </w:p>
        </w:tc>
        <w:tc>
          <w:tcPr>
            <w:tcW w:w="820" w:type="dxa"/>
            <w:vAlign w:val="bottom"/>
          </w:tcPr>
          <w:p w14:paraId="4EC0A391"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w:t>
            </w:r>
          </w:p>
        </w:tc>
        <w:tc>
          <w:tcPr>
            <w:tcW w:w="820" w:type="dxa"/>
            <w:vAlign w:val="bottom"/>
          </w:tcPr>
          <w:p w14:paraId="4F4FDCE6"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0.124</w:t>
            </w:r>
          </w:p>
        </w:tc>
        <w:tc>
          <w:tcPr>
            <w:tcW w:w="795" w:type="dxa"/>
            <w:vAlign w:val="bottom"/>
          </w:tcPr>
          <w:p w14:paraId="45DA3A9F"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0.069</w:t>
            </w:r>
          </w:p>
        </w:tc>
        <w:tc>
          <w:tcPr>
            <w:tcW w:w="982" w:type="dxa"/>
            <w:vAlign w:val="bottom"/>
          </w:tcPr>
          <w:p w14:paraId="6007C226"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0.021</w:t>
            </w:r>
          </w:p>
        </w:tc>
        <w:tc>
          <w:tcPr>
            <w:tcW w:w="820" w:type="dxa"/>
            <w:vAlign w:val="bottom"/>
          </w:tcPr>
          <w:p w14:paraId="24B00439"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0.036</w:t>
            </w:r>
          </w:p>
        </w:tc>
        <w:tc>
          <w:tcPr>
            <w:tcW w:w="820" w:type="dxa"/>
            <w:vAlign w:val="bottom"/>
          </w:tcPr>
          <w:p w14:paraId="0F9EBF13"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0.086</w:t>
            </w:r>
          </w:p>
        </w:tc>
        <w:tc>
          <w:tcPr>
            <w:tcW w:w="820" w:type="dxa"/>
            <w:vAlign w:val="bottom"/>
          </w:tcPr>
          <w:p w14:paraId="5814F080"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0.124</w:t>
            </w:r>
          </w:p>
        </w:tc>
        <w:tc>
          <w:tcPr>
            <w:tcW w:w="775" w:type="dxa"/>
            <w:vAlign w:val="bottom"/>
          </w:tcPr>
          <w:p w14:paraId="365B4BF9"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0.069</w:t>
            </w:r>
          </w:p>
        </w:tc>
        <w:tc>
          <w:tcPr>
            <w:tcW w:w="876" w:type="dxa"/>
            <w:vAlign w:val="bottom"/>
          </w:tcPr>
          <w:p w14:paraId="677E5164"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0.034</w:t>
            </w:r>
          </w:p>
        </w:tc>
        <w:tc>
          <w:tcPr>
            <w:tcW w:w="820" w:type="dxa"/>
            <w:vAlign w:val="bottom"/>
          </w:tcPr>
          <w:p w14:paraId="74056389"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0.062</w:t>
            </w:r>
          </w:p>
        </w:tc>
        <w:tc>
          <w:tcPr>
            <w:tcW w:w="820" w:type="dxa"/>
            <w:vAlign w:val="bottom"/>
          </w:tcPr>
          <w:p w14:paraId="0DC8626D"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0.089</w:t>
            </w:r>
          </w:p>
        </w:tc>
        <w:tc>
          <w:tcPr>
            <w:tcW w:w="820" w:type="dxa"/>
            <w:vAlign w:val="bottom"/>
          </w:tcPr>
          <w:p w14:paraId="5B74B98D"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0.124</w:t>
            </w:r>
          </w:p>
        </w:tc>
      </w:tr>
      <w:tr w:rsidR="00A63CD3" w:rsidRPr="005C1FE0" w14:paraId="4E2B9770" w14:textId="77777777" w:rsidTr="005C1FE0">
        <w:trPr>
          <w:trHeight w:val="286"/>
        </w:trPr>
        <w:tc>
          <w:tcPr>
            <w:tcW w:w="704" w:type="dxa"/>
          </w:tcPr>
          <w:p w14:paraId="057EB4FF"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2015</w:t>
            </w:r>
          </w:p>
        </w:tc>
        <w:tc>
          <w:tcPr>
            <w:tcW w:w="813" w:type="dxa"/>
            <w:vAlign w:val="bottom"/>
          </w:tcPr>
          <w:p w14:paraId="68F23FCD"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0.039</w:t>
            </w:r>
          </w:p>
        </w:tc>
        <w:tc>
          <w:tcPr>
            <w:tcW w:w="985" w:type="dxa"/>
            <w:vAlign w:val="bottom"/>
          </w:tcPr>
          <w:p w14:paraId="308678E9"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0.038</w:t>
            </w:r>
          </w:p>
        </w:tc>
        <w:tc>
          <w:tcPr>
            <w:tcW w:w="820" w:type="dxa"/>
            <w:vAlign w:val="bottom"/>
          </w:tcPr>
          <w:p w14:paraId="31D94987"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0.020</w:t>
            </w:r>
          </w:p>
        </w:tc>
        <w:tc>
          <w:tcPr>
            <w:tcW w:w="820" w:type="dxa"/>
            <w:vAlign w:val="bottom"/>
          </w:tcPr>
          <w:p w14:paraId="77E6936F"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-0.336</w:t>
            </w:r>
          </w:p>
        </w:tc>
        <w:tc>
          <w:tcPr>
            <w:tcW w:w="820" w:type="dxa"/>
            <w:vAlign w:val="bottom"/>
          </w:tcPr>
          <w:p w14:paraId="63B30FE5"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0.044</w:t>
            </w:r>
          </w:p>
        </w:tc>
        <w:tc>
          <w:tcPr>
            <w:tcW w:w="795" w:type="dxa"/>
            <w:vAlign w:val="bottom"/>
          </w:tcPr>
          <w:p w14:paraId="6775A6B8"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0.043</w:t>
            </w:r>
          </w:p>
        </w:tc>
        <w:tc>
          <w:tcPr>
            <w:tcW w:w="982" w:type="dxa"/>
            <w:vAlign w:val="bottom"/>
          </w:tcPr>
          <w:p w14:paraId="2789DB94"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0.078</w:t>
            </w:r>
          </w:p>
        </w:tc>
        <w:tc>
          <w:tcPr>
            <w:tcW w:w="820" w:type="dxa"/>
            <w:vAlign w:val="bottom"/>
          </w:tcPr>
          <w:p w14:paraId="6EB98478"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0.094</w:t>
            </w:r>
          </w:p>
        </w:tc>
        <w:tc>
          <w:tcPr>
            <w:tcW w:w="820" w:type="dxa"/>
            <w:vAlign w:val="bottom"/>
          </w:tcPr>
          <w:p w14:paraId="5E1BE947"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0.058</w:t>
            </w:r>
          </w:p>
        </w:tc>
        <w:tc>
          <w:tcPr>
            <w:tcW w:w="820" w:type="dxa"/>
            <w:vAlign w:val="bottom"/>
          </w:tcPr>
          <w:p w14:paraId="6FD12208"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0.044</w:t>
            </w:r>
          </w:p>
        </w:tc>
        <w:tc>
          <w:tcPr>
            <w:tcW w:w="775" w:type="dxa"/>
            <w:vAlign w:val="bottom"/>
          </w:tcPr>
          <w:p w14:paraId="4513738F"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0.041</w:t>
            </w:r>
          </w:p>
        </w:tc>
        <w:tc>
          <w:tcPr>
            <w:tcW w:w="876" w:type="dxa"/>
            <w:vAlign w:val="bottom"/>
          </w:tcPr>
          <w:p w14:paraId="16450919"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0.056</w:t>
            </w:r>
          </w:p>
        </w:tc>
        <w:tc>
          <w:tcPr>
            <w:tcW w:w="820" w:type="dxa"/>
            <w:vAlign w:val="bottom"/>
          </w:tcPr>
          <w:p w14:paraId="717AB6E1"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0.052</w:t>
            </w:r>
          </w:p>
        </w:tc>
        <w:tc>
          <w:tcPr>
            <w:tcW w:w="820" w:type="dxa"/>
            <w:vAlign w:val="bottom"/>
          </w:tcPr>
          <w:p w14:paraId="0BC6DBCA"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-0.385</w:t>
            </w:r>
          </w:p>
        </w:tc>
        <w:tc>
          <w:tcPr>
            <w:tcW w:w="820" w:type="dxa"/>
            <w:vAlign w:val="bottom"/>
          </w:tcPr>
          <w:p w14:paraId="66EA8635"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0.044</w:t>
            </w:r>
          </w:p>
        </w:tc>
      </w:tr>
      <w:tr w:rsidR="00A63CD3" w:rsidRPr="005C1FE0" w14:paraId="0B2E50D9" w14:textId="77777777" w:rsidTr="005C1FE0">
        <w:trPr>
          <w:trHeight w:val="50"/>
        </w:trPr>
        <w:tc>
          <w:tcPr>
            <w:tcW w:w="704" w:type="dxa"/>
          </w:tcPr>
          <w:p w14:paraId="795D8B03"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2016</w:t>
            </w:r>
          </w:p>
        </w:tc>
        <w:tc>
          <w:tcPr>
            <w:tcW w:w="813" w:type="dxa"/>
            <w:vAlign w:val="bottom"/>
          </w:tcPr>
          <w:p w14:paraId="14AADE70"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0.028</w:t>
            </w:r>
          </w:p>
        </w:tc>
        <w:tc>
          <w:tcPr>
            <w:tcW w:w="985" w:type="dxa"/>
            <w:vAlign w:val="bottom"/>
          </w:tcPr>
          <w:p w14:paraId="7A243B56"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0.035</w:t>
            </w:r>
          </w:p>
        </w:tc>
        <w:tc>
          <w:tcPr>
            <w:tcW w:w="820" w:type="dxa"/>
            <w:vAlign w:val="bottom"/>
          </w:tcPr>
          <w:p w14:paraId="5B054B7A"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0.041</w:t>
            </w:r>
          </w:p>
        </w:tc>
        <w:tc>
          <w:tcPr>
            <w:tcW w:w="820" w:type="dxa"/>
            <w:vAlign w:val="bottom"/>
          </w:tcPr>
          <w:p w14:paraId="752D5D43"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0.073</w:t>
            </w:r>
          </w:p>
        </w:tc>
        <w:tc>
          <w:tcPr>
            <w:tcW w:w="820" w:type="dxa"/>
            <w:vAlign w:val="bottom"/>
          </w:tcPr>
          <w:p w14:paraId="685FBA4A"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0.017</w:t>
            </w:r>
          </w:p>
        </w:tc>
        <w:tc>
          <w:tcPr>
            <w:tcW w:w="795" w:type="dxa"/>
            <w:vAlign w:val="bottom"/>
          </w:tcPr>
          <w:p w14:paraId="3B7A98E7"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0.014</w:t>
            </w:r>
          </w:p>
        </w:tc>
        <w:tc>
          <w:tcPr>
            <w:tcW w:w="982" w:type="dxa"/>
            <w:vAlign w:val="bottom"/>
          </w:tcPr>
          <w:p w14:paraId="69489E99"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0.012</w:t>
            </w:r>
          </w:p>
        </w:tc>
        <w:tc>
          <w:tcPr>
            <w:tcW w:w="820" w:type="dxa"/>
            <w:vAlign w:val="bottom"/>
          </w:tcPr>
          <w:p w14:paraId="21F934C4"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0.027</w:t>
            </w:r>
          </w:p>
        </w:tc>
        <w:tc>
          <w:tcPr>
            <w:tcW w:w="820" w:type="dxa"/>
            <w:vAlign w:val="bottom"/>
          </w:tcPr>
          <w:p w14:paraId="706A0D3B"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0.006</w:t>
            </w:r>
          </w:p>
        </w:tc>
        <w:tc>
          <w:tcPr>
            <w:tcW w:w="820" w:type="dxa"/>
            <w:vAlign w:val="bottom"/>
          </w:tcPr>
          <w:p w14:paraId="2F8A7BF5"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0.017</w:t>
            </w:r>
          </w:p>
        </w:tc>
        <w:tc>
          <w:tcPr>
            <w:tcW w:w="775" w:type="dxa"/>
            <w:vAlign w:val="bottom"/>
          </w:tcPr>
          <w:p w14:paraId="6EC232A7"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0.021</w:t>
            </w:r>
          </w:p>
        </w:tc>
        <w:tc>
          <w:tcPr>
            <w:tcW w:w="876" w:type="dxa"/>
            <w:vAlign w:val="bottom"/>
          </w:tcPr>
          <w:p w14:paraId="2B1E29E7"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0.024</w:t>
            </w:r>
          </w:p>
        </w:tc>
        <w:tc>
          <w:tcPr>
            <w:tcW w:w="820" w:type="dxa"/>
            <w:vAlign w:val="bottom"/>
          </w:tcPr>
          <w:p w14:paraId="3F3A58DC"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0.035</w:t>
            </w:r>
          </w:p>
        </w:tc>
        <w:tc>
          <w:tcPr>
            <w:tcW w:w="820" w:type="dxa"/>
            <w:vAlign w:val="bottom"/>
          </w:tcPr>
          <w:p w14:paraId="3C6FD6E0"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0.035</w:t>
            </w:r>
          </w:p>
        </w:tc>
        <w:tc>
          <w:tcPr>
            <w:tcW w:w="820" w:type="dxa"/>
            <w:vAlign w:val="bottom"/>
          </w:tcPr>
          <w:p w14:paraId="299318E2"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0.017</w:t>
            </w:r>
          </w:p>
        </w:tc>
      </w:tr>
      <w:tr w:rsidR="00A63CD3" w:rsidRPr="005C1FE0" w14:paraId="22E36CD5" w14:textId="77777777" w:rsidTr="005C1FE0">
        <w:trPr>
          <w:trHeight w:val="50"/>
        </w:trPr>
        <w:tc>
          <w:tcPr>
            <w:tcW w:w="704" w:type="dxa"/>
          </w:tcPr>
          <w:p w14:paraId="0AE057E5"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2017</w:t>
            </w:r>
          </w:p>
        </w:tc>
        <w:tc>
          <w:tcPr>
            <w:tcW w:w="813" w:type="dxa"/>
            <w:vAlign w:val="bottom"/>
          </w:tcPr>
          <w:p w14:paraId="5B98B578"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0.039</w:t>
            </w:r>
          </w:p>
        </w:tc>
        <w:tc>
          <w:tcPr>
            <w:tcW w:w="985" w:type="dxa"/>
            <w:vAlign w:val="bottom"/>
          </w:tcPr>
          <w:p w14:paraId="0C76AF2A"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0.019</w:t>
            </w:r>
          </w:p>
        </w:tc>
        <w:tc>
          <w:tcPr>
            <w:tcW w:w="820" w:type="dxa"/>
            <w:vAlign w:val="bottom"/>
          </w:tcPr>
          <w:p w14:paraId="402A8752"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0.043</w:t>
            </w:r>
          </w:p>
        </w:tc>
        <w:tc>
          <w:tcPr>
            <w:tcW w:w="820" w:type="dxa"/>
            <w:vAlign w:val="bottom"/>
          </w:tcPr>
          <w:p w14:paraId="3A961CF2"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0.074</w:t>
            </w:r>
          </w:p>
        </w:tc>
        <w:tc>
          <w:tcPr>
            <w:tcW w:w="820" w:type="dxa"/>
            <w:vAlign w:val="bottom"/>
          </w:tcPr>
          <w:p w14:paraId="2BE146AF"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0.093</w:t>
            </w:r>
          </w:p>
        </w:tc>
        <w:tc>
          <w:tcPr>
            <w:tcW w:w="795" w:type="dxa"/>
            <w:vAlign w:val="bottom"/>
          </w:tcPr>
          <w:p w14:paraId="7C616816"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0.066</w:t>
            </w:r>
          </w:p>
        </w:tc>
        <w:tc>
          <w:tcPr>
            <w:tcW w:w="982" w:type="dxa"/>
            <w:vAlign w:val="bottom"/>
          </w:tcPr>
          <w:p w14:paraId="3FE2FCE4"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0.022</w:t>
            </w:r>
          </w:p>
        </w:tc>
        <w:tc>
          <w:tcPr>
            <w:tcW w:w="820" w:type="dxa"/>
            <w:vAlign w:val="bottom"/>
          </w:tcPr>
          <w:p w14:paraId="020C9C0F"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0.007</w:t>
            </w:r>
          </w:p>
        </w:tc>
        <w:tc>
          <w:tcPr>
            <w:tcW w:w="820" w:type="dxa"/>
            <w:vAlign w:val="bottom"/>
          </w:tcPr>
          <w:p w14:paraId="38CBAE23"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0.038</w:t>
            </w:r>
          </w:p>
        </w:tc>
        <w:tc>
          <w:tcPr>
            <w:tcW w:w="820" w:type="dxa"/>
            <w:vAlign w:val="bottom"/>
          </w:tcPr>
          <w:p w14:paraId="78E44184"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0.093</w:t>
            </w:r>
          </w:p>
        </w:tc>
        <w:tc>
          <w:tcPr>
            <w:tcW w:w="775" w:type="dxa"/>
            <w:vAlign w:val="bottom"/>
          </w:tcPr>
          <w:p w14:paraId="67B25CC3"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0.052</w:t>
            </w:r>
          </w:p>
        </w:tc>
        <w:tc>
          <w:tcPr>
            <w:tcW w:w="876" w:type="dxa"/>
            <w:vAlign w:val="bottom"/>
          </w:tcPr>
          <w:p w14:paraId="409D8FC3"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0.021</w:t>
            </w:r>
          </w:p>
        </w:tc>
        <w:tc>
          <w:tcPr>
            <w:tcW w:w="820" w:type="dxa"/>
            <w:vAlign w:val="bottom"/>
          </w:tcPr>
          <w:p w14:paraId="77A10D65"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0.027</w:t>
            </w:r>
          </w:p>
        </w:tc>
        <w:tc>
          <w:tcPr>
            <w:tcW w:w="820" w:type="dxa"/>
            <w:vAlign w:val="bottom"/>
          </w:tcPr>
          <w:p w14:paraId="788BC88F"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0.054</w:t>
            </w:r>
          </w:p>
        </w:tc>
        <w:tc>
          <w:tcPr>
            <w:tcW w:w="820" w:type="dxa"/>
            <w:vAlign w:val="bottom"/>
          </w:tcPr>
          <w:p w14:paraId="259A134E"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0.093</w:t>
            </w:r>
          </w:p>
        </w:tc>
      </w:tr>
      <w:tr w:rsidR="00A63CD3" w:rsidRPr="005C1FE0" w14:paraId="723ECA95" w14:textId="77777777" w:rsidTr="005C1FE0">
        <w:trPr>
          <w:trHeight w:val="50"/>
        </w:trPr>
        <w:tc>
          <w:tcPr>
            <w:tcW w:w="704" w:type="dxa"/>
          </w:tcPr>
          <w:p w14:paraId="09D2E486"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2018</w:t>
            </w:r>
          </w:p>
        </w:tc>
        <w:tc>
          <w:tcPr>
            <w:tcW w:w="813" w:type="dxa"/>
            <w:vAlign w:val="bottom"/>
          </w:tcPr>
          <w:p w14:paraId="7A95A48B"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0.043</w:t>
            </w:r>
          </w:p>
        </w:tc>
        <w:tc>
          <w:tcPr>
            <w:tcW w:w="985" w:type="dxa"/>
            <w:vAlign w:val="bottom"/>
          </w:tcPr>
          <w:p w14:paraId="59D66DB8"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0.030</w:t>
            </w:r>
          </w:p>
        </w:tc>
        <w:tc>
          <w:tcPr>
            <w:tcW w:w="820" w:type="dxa"/>
            <w:vAlign w:val="bottom"/>
          </w:tcPr>
          <w:p w14:paraId="123C0430"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0.059</w:t>
            </w:r>
          </w:p>
        </w:tc>
        <w:tc>
          <w:tcPr>
            <w:tcW w:w="820" w:type="dxa"/>
            <w:vAlign w:val="bottom"/>
          </w:tcPr>
          <w:p w14:paraId="23795ED6"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0.053</w:t>
            </w:r>
          </w:p>
        </w:tc>
        <w:tc>
          <w:tcPr>
            <w:tcW w:w="820" w:type="dxa"/>
            <w:vAlign w:val="bottom"/>
          </w:tcPr>
          <w:p w14:paraId="0237F078"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0.058</w:t>
            </w:r>
          </w:p>
        </w:tc>
        <w:tc>
          <w:tcPr>
            <w:tcW w:w="795" w:type="dxa"/>
            <w:vAlign w:val="bottom"/>
          </w:tcPr>
          <w:p w14:paraId="3710CBF7"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0.050</w:t>
            </w:r>
          </w:p>
        </w:tc>
        <w:tc>
          <w:tcPr>
            <w:tcW w:w="982" w:type="dxa"/>
            <w:vAlign w:val="bottom"/>
          </w:tcPr>
          <w:p w14:paraId="1A6D8832"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0.036</w:t>
            </w:r>
          </w:p>
        </w:tc>
        <w:tc>
          <w:tcPr>
            <w:tcW w:w="820" w:type="dxa"/>
            <w:vAlign w:val="bottom"/>
          </w:tcPr>
          <w:p w14:paraId="770E98E3"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0.030</w:t>
            </w:r>
          </w:p>
        </w:tc>
        <w:tc>
          <w:tcPr>
            <w:tcW w:w="820" w:type="dxa"/>
            <w:vAlign w:val="bottom"/>
          </w:tcPr>
          <w:p w14:paraId="060C3B8C"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0.045</w:t>
            </w:r>
          </w:p>
        </w:tc>
        <w:tc>
          <w:tcPr>
            <w:tcW w:w="820" w:type="dxa"/>
            <w:vAlign w:val="bottom"/>
          </w:tcPr>
          <w:p w14:paraId="1E551FBC"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0.058</w:t>
            </w:r>
          </w:p>
        </w:tc>
        <w:tc>
          <w:tcPr>
            <w:tcW w:w="775" w:type="dxa"/>
            <w:vAlign w:val="bottom"/>
          </w:tcPr>
          <w:p w14:paraId="42AF39C7"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0.047</w:t>
            </w:r>
          </w:p>
        </w:tc>
        <w:tc>
          <w:tcPr>
            <w:tcW w:w="876" w:type="dxa"/>
            <w:vAlign w:val="bottom"/>
          </w:tcPr>
          <w:p w14:paraId="57484FE6"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0.033</w:t>
            </w:r>
          </w:p>
        </w:tc>
        <w:tc>
          <w:tcPr>
            <w:tcW w:w="820" w:type="dxa"/>
            <w:vAlign w:val="bottom"/>
          </w:tcPr>
          <w:p w14:paraId="0C2E04C6"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0.046</w:t>
            </w:r>
          </w:p>
        </w:tc>
        <w:tc>
          <w:tcPr>
            <w:tcW w:w="820" w:type="dxa"/>
            <w:vAlign w:val="bottom"/>
          </w:tcPr>
          <w:p w14:paraId="5C79C7B7"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0.049</w:t>
            </w:r>
          </w:p>
        </w:tc>
        <w:tc>
          <w:tcPr>
            <w:tcW w:w="820" w:type="dxa"/>
            <w:vAlign w:val="bottom"/>
          </w:tcPr>
          <w:p w14:paraId="46EFA2A1"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0.058</w:t>
            </w:r>
          </w:p>
        </w:tc>
      </w:tr>
      <w:tr w:rsidR="00A63CD3" w:rsidRPr="005C1FE0" w14:paraId="51B435AF" w14:textId="77777777" w:rsidTr="005C1FE0">
        <w:trPr>
          <w:trHeight w:val="50"/>
        </w:trPr>
        <w:tc>
          <w:tcPr>
            <w:tcW w:w="704" w:type="dxa"/>
          </w:tcPr>
          <w:p w14:paraId="6DEEBCFF"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2019</w:t>
            </w:r>
          </w:p>
        </w:tc>
        <w:tc>
          <w:tcPr>
            <w:tcW w:w="813" w:type="dxa"/>
            <w:vAlign w:val="bottom"/>
          </w:tcPr>
          <w:p w14:paraId="7AD5810A"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0.065</w:t>
            </w:r>
          </w:p>
        </w:tc>
        <w:tc>
          <w:tcPr>
            <w:tcW w:w="985" w:type="dxa"/>
            <w:vAlign w:val="bottom"/>
          </w:tcPr>
          <w:p w14:paraId="6BC446F4"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0.057</w:t>
            </w:r>
          </w:p>
        </w:tc>
        <w:tc>
          <w:tcPr>
            <w:tcW w:w="820" w:type="dxa"/>
            <w:vAlign w:val="bottom"/>
          </w:tcPr>
          <w:p w14:paraId="63E2F540"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0.031</w:t>
            </w:r>
          </w:p>
        </w:tc>
        <w:tc>
          <w:tcPr>
            <w:tcW w:w="820" w:type="dxa"/>
            <w:vAlign w:val="bottom"/>
          </w:tcPr>
          <w:p w14:paraId="14E786C6"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0.071</w:t>
            </w:r>
          </w:p>
        </w:tc>
        <w:tc>
          <w:tcPr>
            <w:tcW w:w="820" w:type="dxa"/>
            <w:vAlign w:val="bottom"/>
          </w:tcPr>
          <w:p w14:paraId="112A0A56"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0.062</w:t>
            </w:r>
          </w:p>
        </w:tc>
        <w:tc>
          <w:tcPr>
            <w:tcW w:w="795" w:type="dxa"/>
            <w:vAlign w:val="bottom"/>
          </w:tcPr>
          <w:p w14:paraId="14DB45C2"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0.047</w:t>
            </w:r>
          </w:p>
        </w:tc>
        <w:tc>
          <w:tcPr>
            <w:tcW w:w="982" w:type="dxa"/>
            <w:vAlign w:val="bottom"/>
          </w:tcPr>
          <w:p w14:paraId="3B0FE603"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0.013</w:t>
            </w:r>
          </w:p>
        </w:tc>
        <w:tc>
          <w:tcPr>
            <w:tcW w:w="820" w:type="dxa"/>
            <w:vAlign w:val="bottom"/>
          </w:tcPr>
          <w:p w14:paraId="6BF7E651"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0.037</w:t>
            </w:r>
          </w:p>
        </w:tc>
        <w:tc>
          <w:tcPr>
            <w:tcW w:w="820" w:type="dxa"/>
            <w:vAlign w:val="bottom"/>
          </w:tcPr>
          <w:p w14:paraId="204B9A7A"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0.061</w:t>
            </w:r>
          </w:p>
        </w:tc>
        <w:tc>
          <w:tcPr>
            <w:tcW w:w="820" w:type="dxa"/>
            <w:vAlign w:val="bottom"/>
          </w:tcPr>
          <w:p w14:paraId="0F720746"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0.062</w:t>
            </w:r>
          </w:p>
        </w:tc>
        <w:tc>
          <w:tcPr>
            <w:tcW w:w="775" w:type="dxa"/>
            <w:vAlign w:val="bottom"/>
          </w:tcPr>
          <w:p w14:paraId="248DD0D0"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0.056</w:t>
            </w:r>
          </w:p>
        </w:tc>
        <w:tc>
          <w:tcPr>
            <w:tcW w:w="876" w:type="dxa"/>
            <w:vAlign w:val="bottom"/>
          </w:tcPr>
          <w:p w14:paraId="6F9080DE"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0.037</w:t>
            </w:r>
          </w:p>
        </w:tc>
        <w:tc>
          <w:tcPr>
            <w:tcW w:w="820" w:type="dxa"/>
            <w:vAlign w:val="bottom"/>
          </w:tcPr>
          <w:p w14:paraId="15ACC587"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0.033</w:t>
            </w:r>
          </w:p>
        </w:tc>
        <w:tc>
          <w:tcPr>
            <w:tcW w:w="820" w:type="dxa"/>
            <w:vAlign w:val="bottom"/>
          </w:tcPr>
          <w:p w14:paraId="20228FB5"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0.065</w:t>
            </w:r>
          </w:p>
        </w:tc>
        <w:tc>
          <w:tcPr>
            <w:tcW w:w="820" w:type="dxa"/>
            <w:vAlign w:val="bottom"/>
          </w:tcPr>
          <w:p w14:paraId="68EFC70D"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0.062</w:t>
            </w:r>
          </w:p>
        </w:tc>
      </w:tr>
      <w:tr w:rsidR="00A63CD3" w:rsidRPr="005C1FE0" w14:paraId="5121D88B" w14:textId="77777777" w:rsidTr="005C1FE0">
        <w:trPr>
          <w:trHeight w:val="52"/>
        </w:trPr>
        <w:tc>
          <w:tcPr>
            <w:tcW w:w="704" w:type="dxa"/>
          </w:tcPr>
          <w:p w14:paraId="097C4D00"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2020</w:t>
            </w:r>
          </w:p>
        </w:tc>
        <w:tc>
          <w:tcPr>
            <w:tcW w:w="813" w:type="dxa"/>
            <w:vAlign w:val="bottom"/>
          </w:tcPr>
          <w:p w14:paraId="00A2A4FD"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0.078</w:t>
            </w:r>
          </w:p>
        </w:tc>
        <w:tc>
          <w:tcPr>
            <w:tcW w:w="985" w:type="dxa"/>
            <w:vAlign w:val="bottom"/>
          </w:tcPr>
          <w:p w14:paraId="7AA022EC"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0.044</w:t>
            </w:r>
          </w:p>
        </w:tc>
        <w:tc>
          <w:tcPr>
            <w:tcW w:w="820" w:type="dxa"/>
            <w:vAlign w:val="bottom"/>
          </w:tcPr>
          <w:p w14:paraId="6C68AD98"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0.019</w:t>
            </w:r>
          </w:p>
        </w:tc>
        <w:tc>
          <w:tcPr>
            <w:tcW w:w="820" w:type="dxa"/>
            <w:vAlign w:val="bottom"/>
          </w:tcPr>
          <w:p w14:paraId="06D8A153"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0.124</w:t>
            </w:r>
          </w:p>
        </w:tc>
        <w:tc>
          <w:tcPr>
            <w:tcW w:w="820" w:type="dxa"/>
            <w:vAlign w:val="bottom"/>
          </w:tcPr>
          <w:p w14:paraId="3FB19F6E"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0.036</w:t>
            </w:r>
          </w:p>
        </w:tc>
        <w:tc>
          <w:tcPr>
            <w:tcW w:w="795" w:type="dxa"/>
            <w:vAlign w:val="bottom"/>
          </w:tcPr>
          <w:p w14:paraId="1C3E143B"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0.075</w:t>
            </w:r>
          </w:p>
        </w:tc>
        <w:tc>
          <w:tcPr>
            <w:tcW w:w="982" w:type="dxa"/>
            <w:vAlign w:val="bottom"/>
          </w:tcPr>
          <w:p w14:paraId="149AEA09"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0.001</w:t>
            </w:r>
          </w:p>
        </w:tc>
        <w:tc>
          <w:tcPr>
            <w:tcW w:w="820" w:type="dxa"/>
            <w:vAlign w:val="bottom"/>
          </w:tcPr>
          <w:p w14:paraId="16112381"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0.048</w:t>
            </w:r>
          </w:p>
        </w:tc>
        <w:tc>
          <w:tcPr>
            <w:tcW w:w="820" w:type="dxa"/>
            <w:vAlign w:val="bottom"/>
          </w:tcPr>
          <w:p w14:paraId="2A8BC33D"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0.018</w:t>
            </w:r>
          </w:p>
        </w:tc>
        <w:tc>
          <w:tcPr>
            <w:tcW w:w="820" w:type="dxa"/>
            <w:vAlign w:val="bottom"/>
          </w:tcPr>
          <w:p w14:paraId="4ECDB78D"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0.036</w:t>
            </w:r>
          </w:p>
        </w:tc>
        <w:tc>
          <w:tcPr>
            <w:tcW w:w="775" w:type="dxa"/>
            <w:vAlign w:val="bottom"/>
          </w:tcPr>
          <w:p w14:paraId="4507857F"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0.077</w:t>
            </w:r>
          </w:p>
        </w:tc>
        <w:tc>
          <w:tcPr>
            <w:tcW w:w="876" w:type="dxa"/>
            <w:vAlign w:val="bottom"/>
          </w:tcPr>
          <w:p w14:paraId="4C993AD8"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0.024</w:t>
            </w:r>
          </w:p>
        </w:tc>
        <w:tc>
          <w:tcPr>
            <w:tcW w:w="820" w:type="dxa"/>
            <w:vAlign w:val="bottom"/>
          </w:tcPr>
          <w:p w14:paraId="2D7344EA"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0.032</w:t>
            </w:r>
          </w:p>
        </w:tc>
        <w:tc>
          <w:tcPr>
            <w:tcW w:w="820" w:type="dxa"/>
            <w:vAlign w:val="bottom"/>
          </w:tcPr>
          <w:p w14:paraId="3A2793AF"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0.067</w:t>
            </w:r>
          </w:p>
        </w:tc>
        <w:tc>
          <w:tcPr>
            <w:tcW w:w="820" w:type="dxa"/>
            <w:vAlign w:val="bottom"/>
          </w:tcPr>
          <w:p w14:paraId="1B596FC7"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0.036</w:t>
            </w:r>
          </w:p>
        </w:tc>
      </w:tr>
      <w:tr w:rsidR="00A63CD3" w:rsidRPr="005C1FE0" w14:paraId="754B17AE" w14:textId="77777777" w:rsidTr="005C1FE0">
        <w:trPr>
          <w:trHeight w:val="50"/>
        </w:trPr>
        <w:tc>
          <w:tcPr>
            <w:tcW w:w="704" w:type="dxa"/>
          </w:tcPr>
          <w:p w14:paraId="1A7D2FA1"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2021</w:t>
            </w:r>
          </w:p>
        </w:tc>
        <w:tc>
          <w:tcPr>
            <w:tcW w:w="813" w:type="dxa"/>
            <w:vAlign w:val="bottom"/>
          </w:tcPr>
          <w:p w14:paraId="4F98F2E1"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0.035</w:t>
            </w:r>
          </w:p>
        </w:tc>
        <w:tc>
          <w:tcPr>
            <w:tcW w:w="985" w:type="dxa"/>
            <w:vAlign w:val="bottom"/>
          </w:tcPr>
          <w:p w14:paraId="39AA6ED7"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0.030</w:t>
            </w:r>
          </w:p>
        </w:tc>
        <w:tc>
          <w:tcPr>
            <w:tcW w:w="820" w:type="dxa"/>
            <w:vAlign w:val="bottom"/>
          </w:tcPr>
          <w:p w14:paraId="5A6B046C"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0.085</w:t>
            </w:r>
          </w:p>
        </w:tc>
        <w:tc>
          <w:tcPr>
            <w:tcW w:w="820" w:type="dxa"/>
            <w:vAlign w:val="bottom"/>
          </w:tcPr>
          <w:p w14:paraId="569586AA"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0.025</w:t>
            </w:r>
          </w:p>
        </w:tc>
        <w:tc>
          <w:tcPr>
            <w:tcW w:w="820" w:type="dxa"/>
            <w:vAlign w:val="bottom"/>
          </w:tcPr>
          <w:p w14:paraId="415C0305"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0.064</w:t>
            </w:r>
          </w:p>
        </w:tc>
        <w:tc>
          <w:tcPr>
            <w:tcW w:w="795" w:type="dxa"/>
            <w:vAlign w:val="bottom"/>
          </w:tcPr>
          <w:p w14:paraId="01ECB9CD"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0.041</w:t>
            </w:r>
          </w:p>
        </w:tc>
        <w:tc>
          <w:tcPr>
            <w:tcW w:w="982" w:type="dxa"/>
            <w:vAlign w:val="bottom"/>
          </w:tcPr>
          <w:p w14:paraId="71A09EEC"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0.013</w:t>
            </w:r>
          </w:p>
        </w:tc>
        <w:tc>
          <w:tcPr>
            <w:tcW w:w="820" w:type="dxa"/>
            <w:vAlign w:val="bottom"/>
          </w:tcPr>
          <w:p w14:paraId="39FDBF72"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0.042</w:t>
            </w:r>
          </w:p>
        </w:tc>
        <w:tc>
          <w:tcPr>
            <w:tcW w:w="820" w:type="dxa"/>
            <w:vAlign w:val="bottom"/>
          </w:tcPr>
          <w:p w14:paraId="56A63E9F"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0.006</w:t>
            </w:r>
          </w:p>
        </w:tc>
        <w:tc>
          <w:tcPr>
            <w:tcW w:w="820" w:type="dxa"/>
            <w:vAlign w:val="bottom"/>
          </w:tcPr>
          <w:p w14:paraId="42BD3B2B"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0.064</w:t>
            </w:r>
          </w:p>
        </w:tc>
        <w:tc>
          <w:tcPr>
            <w:tcW w:w="775" w:type="dxa"/>
            <w:vAlign w:val="bottom"/>
          </w:tcPr>
          <w:p w14:paraId="7093BF8D"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0.038</w:t>
            </w:r>
          </w:p>
        </w:tc>
        <w:tc>
          <w:tcPr>
            <w:tcW w:w="876" w:type="dxa"/>
            <w:vAlign w:val="bottom"/>
          </w:tcPr>
          <w:p w14:paraId="6F2889BE"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0.023</w:t>
            </w:r>
          </w:p>
        </w:tc>
        <w:tc>
          <w:tcPr>
            <w:tcW w:w="820" w:type="dxa"/>
            <w:vAlign w:val="bottom"/>
          </w:tcPr>
          <w:p w14:paraId="0139323E"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0.067</w:t>
            </w:r>
          </w:p>
        </w:tc>
        <w:tc>
          <w:tcPr>
            <w:tcW w:w="820" w:type="dxa"/>
            <w:vAlign w:val="bottom"/>
          </w:tcPr>
          <w:p w14:paraId="0A491D83"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0.015</w:t>
            </w:r>
          </w:p>
        </w:tc>
        <w:tc>
          <w:tcPr>
            <w:tcW w:w="820" w:type="dxa"/>
            <w:vAlign w:val="bottom"/>
          </w:tcPr>
          <w:p w14:paraId="31FDEBC8"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0.064</w:t>
            </w:r>
          </w:p>
        </w:tc>
      </w:tr>
      <w:tr w:rsidR="00A63CD3" w:rsidRPr="005C1FE0" w14:paraId="7DDFCD0F" w14:textId="77777777" w:rsidTr="005C1FE0">
        <w:trPr>
          <w:trHeight w:val="50"/>
        </w:trPr>
        <w:tc>
          <w:tcPr>
            <w:tcW w:w="704" w:type="dxa"/>
          </w:tcPr>
          <w:p w14:paraId="5CD8635C"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2022</w:t>
            </w:r>
          </w:p>
        </w:tc>
        <w:tc>
          <w:tcPr>
            <w:tcW w:w="813" w:type="dxa"/>
            <w:vAlign w:val="bottom"/>
          </w:tcPr>
          <w:p w14:paraId="7468AD4A"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0.048</w:t>
            </w:r>
          </w:p>
        </w:tc>
        <w:tc>
          <w:tcPr>
            <w:tcW w:w="985" w:type="dxa"/>
            <w:vAlign w:val="bottom"/>
          </w:tcPr>
          <w:p w14:paraId="6ECCED29"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0.038</w:t>
            </w:r>
          </w:p>
        </w:tc>
        <w:tc>
          <w:tcPr>
            <w:tcW w:w="820" w:type="dxa"/>
            <w:vAlign w:val="bottom"/>
          </w:tcPr>
          <w:p w14:paraId="46B332B5"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0.114</w:t>
            </w:r>
          </w:p>
        </w:tc>
        <w:tc>
          <w:tcPr>
            <w:tcW w:w="820" w:type="dxa"/>
            <w:vAlign w:val="bottom"/>
          </w:tcPr>
          <w:p w14:paraId="63AD2A7C"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0.081</w:t>
            </w:r>
          </w:p>
        </w:tc>
        <w:tc>
          <w:tcPr>
            <w:tcW w:w="820" w:type="dxa"/>
            <w:vAlign w:val="bottom"/>
          </w:tcPr>
          <w:p w14:paraId="0543C3FF"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0.068</w:t>
            </w:r>
          </w:p>
        </w:tc>
        <w:tc>
          <w:tcPr>
            <w:tcW w:w="795" w:type="dxa"/>
            <w:vAlign w:val="bottom"/>
          </w:tcPr>
          <w:p w14:paraId="13C2C529"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0.007</w:t>
            </w:r>
          </w:p>
        </w:tc>
        <w:tc>
          <w:tcPr>
            <w:tcW w:w="982" w:type="dxa"/>
            <w:vAlign w:val="bottom"/>
          </w:tcPr>
          <w:p w14:paraId="32128039"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0.016</w:t>
            </w:r>
          </w:p>
        </w:tc>
        <w:tc>
          <w:tcPr>
            <w:tcW w:w="820" w:type="dxa"/>
            <w:vAlign w:val="bottom"/>
          </w:tcPr>
          <w:p w14:paraId="0ACDEBBE"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0.054</w:t>
            </w:r>
          </w:p>
        </w:tc>
        <w:tc>
          <w:tcPr>
            <w:tcW w:w="820" w:type="dxa"/>
            <w:vAlign w:val="bottom"/>
          </w:tcPr>
          <w:p w14:paraId="18D9941E"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0.061</w:t>
            </w:r>
          </w:p>
        </w:tc>
        <w:tc>
          <w:tcPr>
            <w:tcW w:w="820" w:type="dxa"/>
            <w:vAlign w:val="bottom"/>
          </w:tcPr>
          <w:p w14:paraId="6E14104C"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0.068</w:t>
            </w:r>
          </w:p>
        </w:tc>
        <w:tc>
          <w:tcPr>
            <w:tcW w:w="775" w:type="dxa"/>
            <w:vAlign w:val="bottom"/>
          </w:tcPr>
          <w:p w14:paraId="12C225CE"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0.029</w:t>
            </w:r>
          </w:p>
        </w:tc>
        <w:tc>
          <w:tcPr>
            <w:tcW w:w="876" w:type="dxa"/>
            <w:vAlign w:val="bottom"/>
          </w:tcPr>
          <w:p w14:paraId="3D30FC6B"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0.028</w:t>
            </w:r>
          </w:p>
        </w:tc>
        <w:tc>
          <w:tcPr>
            <w:tcW w:w="820" w:type="dxa"/>
            <w:vAlign w:val="bottom"/>
          </w:tcPr>
          <w:p w14:paraId="1B5071A3"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0.089</w:t>
            </w:r>
          </w:p>
        </w:tc>
        <w:tc>
          <w:tcPr>
            <w:tcW w:w="820" w:type="dxa"/>
            <w:vAlign w:val="bottom"/>
          </w:tcPr>
          <w:p w14:paraId="782428BE"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0.071</w:t>
            </w:r>
          </w:p>
        </w:tc>
        <w:tc>
          <w:tcPr>
            <w:tcW w:w="820" w:type="dxa"/>
            <w:vAlign w:val="bottom"/>
          </w:tcPr>
          <w:p w14:paraId="1E3BF983"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0.068</w:t>
            </w:r>
          </w:p>
        </w:tc>
      </w:tr>
      <w:tr w:rsidR="00A63CD3" w:rsidRPr="005C1FE0" w14:paraId="10948A52" w14:textId="77777777" w:rsidTr="005C1FE0">
        <w:trPr>
          <w:trHeight w:val="50"/>
        </w:trPr>
        <w:tc>
          <w:tcPr>
            <w:tcW w:w="704" w:type="dxa"/>
          </w:tcPr>
          <w:p w14:paraId="0DCABAAE"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sz w:val="20"/>
                <w:szCs w:val="20"/>
              </w:rPr>
              <w:t>2023</w:t>
            </w:r>
          </w:p>
        </w:tc>
        <w:tc>
          <w:tcPr>
            <w:tcW w:w="813" w:type="dxa"/>
            <w:vAlign w:val="bottom"/>
          </w:tcPr>
          <w:p w14:paraId="35684D00"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0.023</w:t>
            </w:r>
          </w:p>
        </w:tc>
        <w:tc>
          <w:tcPr>
            <w:tcW w:w="985" w:type="dxa"/>
            <w:vAlign w:val="bottom"/>
          </w:tcPr>
          <w:p w14:paraId="7D5EBDC8"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0.040</w:t>
            </w:r>
          </w:p>
        </w:tc>
        <w:tc>
          <w:tcPr>
            <w:tcW w:w="820" w:type="dxa"/>
            <w:vAlign w:val="bottom"/>
          </w:tcPr>
          <w:p w14:paraId="36A3981E"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0.067</w:t>
            </w:r>
          </w:p>
        </w:tc>
        <w:tc>
          <w:tcPr>
            <w:tcW w:w="820" w:type="dxa"/>
            <w:vAlign w:val="bottom"/>
          </w:tcPr>
          <w:p w14:paraId="3D0F977B"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0.036</w:t>
            </w:r>
          </w:p>
        </w:tc>
        <w:tc>
          <w:tcPr>
            <w:tcW w:w="820" w:type="dxa"/>
            <w:vAlign w:val="bottom"/>
          </w:tcPr>
          <w:p w14:paraId="1A3328B2"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0.042</w:t>
            </w:r>
          </w:p>
        </w:tc>
        <w:tc>
          <w:tcPr>
            <w:tcW w:w="795" w:type="dxa"/>
            <w:vAlign w:val="bottom"/>
          </w:tcPr>
          <w:p w14:paraId="37ACF46E"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0.017</w:t>
            </w:r>
          </w:p>
        </w:tc>
        <w:tc>
          <w:tcPr>
            <w:tcW w:w="982" w:type="dxa"/>
            <w:vAlign w:val="bottom"/>
          </w:tcPr>
          <w:p w14:paraId="0129E98B"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0.009</w:t>
            </w:r>
          </w:p>
        </w:tc>
        <w:tc>
          <w:tcPr>
            <w:tcW w:w="820" w:type="dxa"/>
            <w:vAlign w:val="bottom"/>
          </w:tcPr>
          <w:p w14:paraId="3FF13B35"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0.004</w:t>
            </w:r>
          </w:p>
        </w:tc>
        <w:tc>
          <w:tcPr>
            <w:tcW w:w="820" w:type="dxa"/>
            <w:vAlign w:val="bottom"/>
          </w:tcPr>
          <w:p w14:paraId="2479458F"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0.036</w:t>
            </w:r>
          </w:p>
        </w:tc>
        <w:tc>
          <w:tcPr>
            <w:tcW w:w="820" w:type="dxa"/>
            <w:vAlign w:val="bottom"/>
          </w:tcPr>
          <w:p w14:paraId="5B6E5411"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0.042</w:t>
            </w:r>
          </w:p>
        </w:tc>
        <w:tc>
          <w:tcPr>
            <w:tcW w:w="775" w:type="dxa"/>
            <w:vAlign w:val="bottom"/>
          </w:tcPr>
          <w:p w14:paraId="329BF734"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0.020</w:t>
            </w:r>
          </w:p>
        </w:tc>
        <w:tc>
          <w:tcPr>
            <w:tcW w:w="876" w:type="dxa"/>
            <w:vAlign w:val="bottom"/>
          </w:tcPr>
          <w:p w14:paraId="2467565E"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0.027</w:t>
            </w:r>
          </w:p>
        </w:tc>
        <w:tc>
          <w:tcPr>
            <w:tcW w:w="820" w:type="dxa"/>
            <w:vAlign w:val="bottom"/>
          </w:tcPr>
          <w:p w14:paraId="2B690AC6"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0.041</w:t>
            </w:r>
          </w:p>
        </w:tc>
        <w:tc>
          <w:tcPr>
            <w:tcW w:w="820" w:type="dxa"/>
            <w:vAlign w:val="bottom"/>
          </w:tcPr>
          <w:p w14:paraId="77CF115D"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0.036</w:t>
            </w:r>
          </w:p>
        </w:tc>
        <w:tc>
          <w:tcPr>
            <w:tcW w:w="820" w:type="dxa"/>
            <w:vAlign w:val="bottom"/>
          </w:tcPr>
          <w:p w14:paraId="5DDA08E8" w14:textId="77777777" w:rsidR="00A63CD3" w:rsidRPr="005C1FE0" w:rsidRDefault="00A63CD3" w:rsidP="0000060D">
            <w:pPr>
              <w:spacing w:after="0" w:line="240" w:lineRule="auto"/>
              <w:contextualSpacing/>
              <w:jc w:val="both"/>
              <w:rPr>
                <w:rFonts w:ascii="Times New Roman" w:hAnsi="Times New Roman" w:cs="Times New Roman"/>
                <w:bCs/>
                <w:sz w:val="20"/>
                <w:szCs w:val="20"/>
              </w:rPr>
            </w:pPr>
            <w:r w:rsidRPr="005C1FE0">
              <w:rPr>
                <w:rFonts w:ascii="Times New Roman" w:hAnsi="Times New Roman" w:cs="Times New Roman"/>
                <w:bCs/>
                <w:color w:val="000000"/>
                <w:sz w:val="20"/>
                <w:szCs w:val="20"/>
              </w:rPr>
              <w:t>0.042</w:t>
            </w:r>
          </w:p>
        </w:tc>
      </w:tr>
    </w:tbl>
    <w:p w14:paraId="2D8B1DB1" w14:textId="77777777" w:rsidR="00A63CD3" w:rsidRPr="005C1FE0" w:rsidRDefault="00A63CD3" w:rsidP="00A63CD3">
      <w:pPr>
        <w:spacing w:after="0" w:line="240" w:lineRule="auto"/>
        <w:contextualSpacing/>
        <w:jc w:val="both"/>
        <w:rPr>
          <w:rFonts w:ascii="Times New Roman" w:hAnsi="Times New Roman" w:cs="Times New Roman"/>
          <w:bCs/>
          <w:sz w:val="24"/>
          <w:szCs w:val="24"/>
        </w:rPr>
      </w:pPr>
      <w:r w:rsidRPr="005C1FE0">
        <w:rPr>
          <w:rFonts w:ascii="Times New Roman" w:hAnsi="Times New Roman" w:cs="Times New Roman"/>
          <w:bCs/>
          <w:sz w:val="24"/>
          <w:szCs w:val="24"/>
        </w:rPr>
        <w:t>Note: RM=Regional Malls; SRM=Super Regional Malls; SM= Strip Malls; OM=Outlet Mall; NM=Neighborhood Malls; ARV=Average Rental Value</w:t>
      </w:r>
    </w:p>
    <w:p w14:paraId="4CFEE817" w14:textId="77777777" w:rsidR="00A63CD3" w:rsidRPr="00BE4AF3" w:rsidRDefault="00A63CD3" w:rsidP="00A63CD3">
      <w:pPr>
        <w:spacing w:after="0" w:line="240" w:lineRule="auto"/>
        <w:contextualSpacing/>
        <w:jc w:val="both"/>
        <w:rPr>
          <w:rFonts w:ascii="Times New Roman" w:hAnsi="Times New Roman" w:cs="Times New Roman"/>
          <w:b/>
          <w:sz w:val="24"/>
          <w:szCs w:val="24"/>
        </w:rPr>
        <w:sectPr w:rsidR="00A63CD3" w:rsidRPr="00BE4AF3" w:rsidSect="0000060D">
          <w:pgSz w:w="15840" w:h="12240" w:orient="landscape"/>
          <w:pgMar w:top="1440" w:right="1440" w:bottom="1440" w:left="1440" w:header="720" w:footer="720" w:gutter="0"/>
          <w:cols w:space="720"/>
          <w:docGrid w:linePitch="360"/>
        </w:sectPr>
      </w:pPr>
    </w:p>
    <w:p w14:paraId="7266990F" w14:textId="77777777" w:rsidR="00DF0A76" w:rsidRDefault="00A63CD3" w:rsidP="00A63CD3">
      <w:pPr>
        <w:spacing w:after="0" w:line="240" w:lineRule="auto"/>
        <w:contextualSpacing/>
        <w:jc w:val="both"/>
        <w:rPr>
          <w:rFonts w:ascii="Times New Roman" w:hAnsi="Times New Roman" w:cs="Times New Roman"/>
          <w:bCs/>
          <w:sz w:val="24"/>
          <w:szCs w:val="24"/>
        </w:rPr>
      </w:pPr>
      <w:r w:rsidRPr="00BE4AF3">
        <w:rPr>
          <w:rFonts w:ascii="Times New Roman" w:hAnsi="Times New Roman" w:cs="Times New Roman"/>
          <w:bCs/>
          <w:sz w:val="24"/>
          <w:szCs w:val="24"/>
        </w:rPr>
        <w:lastRenderedPageBreak/>
        <w:t xml:space="preserve">The result of the analysis presented in Table 4.5 was plotted in a 2-D trend graph to show the co-movement of the rental values of the shopping malls. The graphical representation is presented in Figure 1 to 3. </w:t>
      </w:r>
    </w:p>
    <w:p w14:paraId="6A1A9D8F" w14:textId="01B0B043" w:rsidR="00A63CD3" w:rsidRPr="00BE4AF3" w:rsidRDefault="00A63CD3" w:rsidP="00A63CD3">
      <w:pPr>
        <w:spacing w:after="0" w:line="240" w:lineRule="auto"/>
        <w:contextualSpacing/>
        <w:jc w:val="both"/>
        <w:rPr>
          <w:rFonts w:ascii="Times New Roman" w:hAnsi="Times New Roman" w:cs="Times New Roman"/>
          <w:bCs/>
          <w:sz w:val="24"/>
          <w:szCs w:val="24"/>
        </w:rPr>
      </w:pPr>
      <w:r w:rsidRPr="00BE4AF3">
        <w:rPr>
          <w:rFonts w:ascii="Times New Roman" w:hAnsi="Times New Roman" w:cs="Times New Roman"/>
          <w:bCs/>
          <w:sz w:val="24"/>
          <w:szCs w:val="24"/>
        </w:rPr>
        <w:tab/>
      </w:r>
    </w:p>
    <w:p w14:paraId="27CB8677" w14:textId="77777777" w:rsidR="00A63CD3" w:rsidRPr="00BE4AF3" w:rsidRDefault="00A63CD3" w:rsidP="00DF0A76">
      <w:pPr>
        <w:spacing w:after="0" w:line="240" w:lineRule="auto"/>
        <w:contextualSpacing/>
        <w:jc w:val="center"/>
        <w:rPr>
          <w:rFonts w:ascii="Times New Roman" w:hAnsi="Times New Roman" w:cs="Times New Roman"/>
          <w:b/>
          <w:sz w:val="24"/>
          <w:szCs w:val="24"/>
        </w:rPr>
      </w:pPr>
      <w:r w:rsidRPr="00BE4AF3">
        <w:rPr>
          <w:rFonts w:ascii="Times New Roman" w:hAnsi="Times New Roman" w:cs="Times New Roman"/>
          <w:noProof/>
          <w:sz w:val="24"/>
          <w:szCs w:val="24"/>
          <w:lang w:eastAsia="en-GB"/>
        </w:rPr>
        <w:drawing>
          <wp:inline distT="0" distB="0" distL="0" distR="0" wp14:anchorId="2663721E" wp14:editId="44E7EC50">
            <wp:extent cx="5600700" cy="3145155"/>
            <wp:effectExtent l="0" t="0" r="0" b="0"/>
            <wp:docPr id="28"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00700" cy="3145155"/>
                    </a:xfrm>
                    <a:prstGeom prst="rect">
                      <a:avLst/>
                    </a:prstGeom>
                    <a:noFill/>
                    <a:ln>
                      <a:noFill/>
                    </a:ln>
                  </pic:spPr>
                </pic:pic>
              </a:graphicData>
            </a:graphic>
          </wp:inline>
        </w:drawing>
      </w:r>
    </w:p>
    <w:p w14:paraId="4A338044" w14:textId="2B826CE4" w:rsidR="00DF0A76" w:rsidRPr="00DF0A76" w:rsidRDefault="00DF0A76" w:rsidP="00DF0A76">
      <w:pPr>
        <w:spacing w:after="0" w:line="240" w:lineRule="auto"/>
        <w:contextualSpacing/>
        <w:jc w:val="center"/>
        <w:rPr>
          <w:rFonts w:ascii="Times New Roman" w:hAnsi="Times New Roman" w:cs="Times New Roman"/>
          <w:bCs/>
          <w:sz w:val="24"/>
          <w:szCs w:val="24"/>
        </w:rPr>
      </w:pPr>
      <w:r w:rsidRPr="00BE4AF3">
        <w:rPr>
          <w:rFonts w:ascii="Times New Roman" w:hAnsi="Times New Roman" w:cs="Times New Roman"/>
          <w:b/>
          <w:sz w:val="24"/>
          <w:szCs w:val="24"/>
        </w:rPr>
        <w:t xml:space="preserve">Figure 1: </w:t>
      </w:r>
      <w:r w:rsidRPr="00DF0A76">
        <w:rPr>
          <w:rFonts w:ascii="Times New Roman" w:hAnsi="Times New Roman" w:cs="Times New Roman"/>
          <w:bCs/>
          <w:sz w:val="24"/>
          <w:szCs w:val="24"/>
        </w:rPr>
        <w:t>Rental Value Co-Movement of Shopping Malls in Lagos Island</w:t>
      </w:r>
    </w:p>
    <w:p w14:paraId="45F259EC" w14:textId="77777777" w:rsidR="00A63CD3" w:rsidRPr="00BE4AF3" w:rsidRDefault="00A63CD3" w:rsidP="00A63CD3">
      <w:pPr>
        <w:spacing w:after="0" w:line="240" w:lineRule="auto"/>
        <w:contextualSpacing/>
        <w:jc w:val="both"/>
        <w:rPr>
          <w:rFonts w:ascii="Times New Roman" w:hAnsi="Times New Roman" w:cs="Times New Roman"/>
          <w:b/>
          <w:sz w:val="24"/>
          <w:szCs w:val="24"/>
        </w:rPr>
      </w:pPr>
    </w:p>
    <w:p w14:paraId="7D7092A4" w14:textId="77777777" w:rsidR="00A63CD3" w:rsidRPr="00BE4AF3" w:rsidRDefault="00A63CD3" w:rsidP="00DF0A76">
      <w:pPr>
        <w:spacing w:after="0" w:line="240" w:lineRule="auto"/>
        <w:contextualSpacing/>
        <w:jc w:val="both"/>
        <w:rPr>
          <w:rFonts w:ascii="Times New Roman" w:hAnsi="Times New Roman" w:cs="Times New Roman"/>
          <w:bCs/>
          <w:sz w:val="24"/>
          <w:szCs w:val="24"/>
        </w:rPr>
      </w:pPr>
      <w:r w:rsidRPr="00BE4AF3">
        <w:rPr>
          <w:rFonts w:ascii="Times New Roman" w:hAnsi="Times New Roman" w:cs="Times New Roman"/>
          <w:bCs/>
          <w:sz w:val="24"/>
          <w:szCs w:val="24"/>
        </w:rPr>
        <w:t xml:space="preserve">As seen in Figure 1, the rental value of outlet shopping mall had a negative downturn from 2012 to 2015; at these same periods strip shopping mall out-performed the other types of shopping malls from 2012 to 2013 while neighborhood shopping mall did same from 2013 to 2015. In 2016 again, outlet shopping mall performed better than the other types of malls with a 4.1% growth in rental value. The neighborhood shopping mall grew at 9.3% in 2017 while the strip shopping mall out-performed the others in 2018 with growth rate of 5.9%. for 2019 and 2020 with growth rates of outlet shopping mall was 7.1% and 12.4% which was above the growth rates of other types of malls in Lagos Island. From 2021 to 2023 the rental values of the strip shopping malls out-performed other types of malls in the study area. The reason for this is not far-fetched considering the definition of </w:t>
      </w:r>
      <w:r w:rsidRPr="00BE4AF3">
        <w:rPr>
          <w:rFonts w:ascii="Times New Roman" w:hAnsi="Times New Roman" w:cs="Times New Roman"/>
          <w:color w:val="241A16"/>
          <w:sz w:val="24"/>
          <w:szCs w:val="24"/>
          <w:shd w:val="clear" w:color="auto" w:fill="FFFFFF"/>
        </w:rPr>
        <w:t xml:space="preserve">strip mall been commercial buildings designed to accommodate multiple businesses, retail spaces or offices. They feature various storefronts that are visible from a parking lot or roadway and are commonly constructed in developed neighborhoods where there is a need for space to accommodate local businesses; investors now build this type of properties to accommodate variety of users. Some of this type of strip malls could be on one, two or three floors. On the aggregate, an investor can be advised to invest in either strip, outlet or neighborhood shopping malls in the study area. </w:t>
      </w:r>
    </w:p>
    <w:p w14:paraId="0FEFF484" w14:textId="77777777" w:rsidR="00A63CD3" w:rsidRDefault="00A63CD3" w:rsidP="00DF0A76">
      <w:pPr>
        <w:spacing w:after="0" w:line="240" w:lineRule="auto"/>
        <w:contextualSpacing/>
        <w:jc w:val="center"/>
        <w:rPr>
          <w:rFonts w:ascii="Times New Roman" w:hAnsi="Times New Roman" w:cs="Times New Roman"/>
          <w:b/>
          <w:sz w:val="24"/>
          <w:szCs w:val="24"/>
        </w:rPr>
      </w:pPr>
      <w:r w:rsidRPr="00BE4AF3">
        <w:rPr>
          <w:rFonts w:ascii="Times New Roman" w:hAnsi="Times New Roman" w:cs="Times New Roman"/>
          <w:noProof/>
          <w:sz w:val="24"/>
          <w:szCs w:val="24"/>
          <w:lang w:eastAsia="en-GB"/>
        </w:rPr>
        <w:lastRenderedPageBreak/>
        <w:drawing>
          <wp:inline distT="0" distB="0" distL="0" distR="0" wp14:anchorId="20AD9F5E" wp14:editId="7683C303">
            <wp:extent cx="5362575" cy="3145155"/>
            <wp:effectExtent l="0" t="0" r="9525" b="0"/>
            <wp:docPr id="29"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62575" cy="3145155"/>
                    </a:xfrm>
                    <a:prstGeom prst="rect">
                      <a:avLst/>
                    </a:prstGeom>
                    <a:noFill/>
                    <a:ln>
                      <a:noFill/>
                    </a:ln>
                  </pic:spPr>
                </pic:pic>
              </a:graphicData>
            </a:graphic>
          </wp:inline>
        </w:drawing>
      </w:r>
    </w:p>
    <w:p w14:paraId="48889C07" w14:textId="3EC4865A" w:rsidR="00DF0A76" w:rsidRPr="00BE4AF3" w:rsidRDefault="00DF0A76" w:rsidP="00DF0A76">
      <w:pPr>
        <w:spacing w:after="0" w:line="240" w:lineRule="auto"/>
        <w:contextualSpacing/>
        <w:jc w:val="center"/>
        <w:rPr>
          <w:rFonts w:ascii="Times New Roman" w:hAnsi="Times New Roman" w:cs="Times New Roman"/>
          <w:b/>
          <w:sz w:val="24"/>
          <w:szCs w:val="24"/>
        </w:rPr>
      </w:pPr>
      <w:r w:rsidRPr="00BE4AF3">
        <w:rPr>
          <w:rFonts w:ascii="Times New Roman" w:hAnsi="Times New Roman" w:cs="Times New Roman"/>
          <w:b/>
          <w:sz w:val="24"/>
          <w:szCs w:val="24"/>
        </w:rPr>
        <w:t xml:space="preserve">Figure 2: </w:t>
      </w:r>
      <w:r w:rsidRPr="00DF0A76">
        <w:rPr>
          <w:rFonts w:ascii="Times New Roman" w:hAnsi="Times New Roman" w:cs="Times New Roman"/>
          <w:bCs/>
          <w:sz w:val="24"/>
          <w:szCs w:val="24"/>
        </w:rPr>
        <w:t>Rental Value Co-Movement of Shopping Malls in Lagos Mainland</w:t>
      </w:r>
    </w:p>
    <w:p w14:paraId="3D10CCAB" w14:textId="77777777" w:rsidR="00DF0A76" w:rsidRPr="00BE4AF3" w:rsidRDefault="00DF0A76" w:rsidP="00DF0A76">
      <w:pPr>
        <w:spacing w:after="0" w:line="240" w:lineRule="auto"/>
        <w:contextualSpacing/>
        <w:jc w:val="center"/>
        <w:rPr>
          <w:rFonts w:ascii="Times New Roman" w:hAnsi="Times New Roman" w:cs="Times New Roman"/>
          <w:b/>
          <w:sz w:val="24"/>
          <w:szCs w:val="24"/>
        </w:rPr>
      </w:pPr>
    </w:p>
    <w:p w14:paraId="038412C5" w14:textId="77777777" w:rsidR="00A63CD3" w:rsidRPr="00BE4AF3" w:rsidRDefault="00A63CD3" w:rsidP="00A63CD3">
      <w:pPr>
        <w:spacing w:after="0" w:line="240" w:lineRule="auto"/>
        <w:contextualSpacing/>
        <w:jc w:val="both"/>
        <w:rPr>
          <w:rFonts w:ascii="Times New Roman" w:hAnsi="Times New Roman" w:cs="Times New Roman"/>
          <w:bCs/>
          <w:sz w:val="24"/>
          <w:szCs w:val="24"/>
        </w:rPr>
      </w:pPr>
      <w:r w:rsidRPr="00BE4AF3">
        <w:rPr>
          <w:rFonts w:ascii="Times New Roman" w:hAnsi="Times New Roman" w:cs="Times New Roman"/>
          <w:bCs/>
          <w:sz w:val="24"/>
          <w:szCs w:val="24"/>
        </w:rPr>
        <w:t xml:space="preserve">In Lagos Mainland the movement of the rental values of shopping malls appears different from that Lagos Island. In 2012 to 2013, the outlet shopping mall out-performed other types with a growth rate of 15.5%. After which neighborhood shopping mall grew higher that other malls from, 2014 to 2023 except in 2015 and 2016 where strip shopping mall grew at 9.4% and 2.7% which was above the growth rates of other types of shopping malls and in 2020 where regional shopping mall grew at 7.5%. On the aggregate, it is advisable for an investor to investment in neighborhood shopping mall when investment comes to mind in Lagos Mainland. </w:t>
      </w:r>
    </w:p>
    <w:p w14:paraId="7CD0C67C" w14:textId="3D259D32" w:rsidR="00A63CD3" w:rsidRDefault="00A63CD3" w:rsidP="00A63CD3">
      <w:pPr>
        <w:spacing w:after="0" w:line="240" w:lineRule="auto"/>
        <w:contextualSpacing/>
        <w:jc w:val="both"/>
        <w:rPr>
          <w:rFonts w:ascii="Times New Roman" w:hAnsi="Times New Roman" w:cs="Times New Roman"/>
          <w:bCs/>
          <w:sz w:val="24"/>
          <w:szCs w:val="24"/>
        </w:rPr>
      </w:pPr>
      <w:r w:rsidRPr="00BE4AF3">
        <w:rPr>
          <w:rFonts w:ascii="Times New Roman" w:hAnsi="Times New Roman" w:cs="Times New Roman"/>
          <w:bCs/>
          <w:sz w:val="24"/>
          <w:szCs w:val="24"/>
        </w:rPr>
        <w:t xml:space="preserve">The aggregated movement of rental values of shopping mall in Lagos property market is presented in Figure 3. </w:t>
      </w:r>
    </w:p>
    <w:p w14:paraId="2F3CF725" w14:textId="77777777" w:rsidR="007A6BE7" w:rsidRPr="00BE4AF3" w:rsidRDefault="007A6BE7" w:rsidP="00A63CD3">
      <w:pPr>
        <w:spacing w:after="0" w:line="240" w:lineRule="auto"/>
        <w:contextualSpacing/>
        <w:jc w:val="both"/>
        <w:rPr>
          <w:rFonts w:ascii="Times New Roman" w:hAnsi="Times New Roman" w:cs="Times New Roman"/>
          <w:bCs/>
          <w:sz w:val="24"/>
          <w:szCs w:val="24"/>
        </w:rPr>
      </w:pPr>
    </w:p>
    <w:p w14:paraId="0298D67C" w14:textId="77777777" w:rsidR="00A63CD3" w:rsidRPr="00BE4AF3" w:rsidRDefault="00A63CD3" w:rsidP="007A6BE7">
      <w:pPr>
        <w:spacing w:after="0" w:line="240" w:lineRule="auto"/>
        <w:contextualSpacing/>
        <w:jc w:val="center"/>
        <w:rPr>
          <w:rFonts w:ascii="Times New Roman" w:hAnsi="Times New Roman" w:cs="Times New Roman"/>
          <w:b/>
          <w:sz w:val="24"/>
          <w:szCs w:val="24"/>
        </w:rPr>
      </w:pPr>
      <w:r w:rsidRPr="00BE4AF3">
        <w:rPr>
          <w:rFonts w:ascii="Times New Roman" w:hAnsi="Times New Roman" w:cs="Times New Roman"/>
          <w:noProof/>
          <w:sz w:val="24"/>
          <w:szCs w:val="24"/>
          <w:lang w:eastAsia="en-GB"/>
        </w:rPr>
        <w:drawing>
          <wp:inline distT="0" distB="0" distL="0" distR="0" wp14:anchorId="6A4A2FAB" wp14:editId="483AA4FA">
            <wp:extent cx="5457825" cy="3145155"/>
            <wp:effectExtent l="0" t="0" r="9525" b="0"/>
            <wp:docPr id="30"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57825" cy="3145155"/>
                    </a:xfrm>
                    <a:prstGeom prst="rect">
                      <a:avLst/>
                    </a:prstGeom>
                    <a:noFill/>
                    <a:ln>
                      <a:noFill/>
                    </a:ln>
                  </pic:spPr>
                </pic:pic>
              </a:graphicData>
            </a:graphic>
          </wp:inline>
        </w:drawing>
      </w:r>
    </w:p>
    <w:p w14:paraId="50E21D48" w14:textId="0CD7E902" w:rsidR="007A6BE7" w:rsidRPr="007A6BE7" w:rsidRDefault="007A6BE7" w:rsidP="007A6BE7">
      <w:pPr>
        <w:spacing w:after="0" w:line="240" w:lineRule="auto"/>
        <w:contextualSpacing/>
        <w:jc w:val="center"/>
        <w:rPr>
          <w:rFonts w:ascii="Times New Roman" w:hAnsi="Times New Roman" w:cs="Times New Roman"/>
          <w:bCs/>
          <w:sz w:val="24"/>
          <w:szCs w:val="24"/>
        </w:rPr>
      </w:pPr>
      <w:r w:rsidRPr="00BE4AF3">
        <w:rPr>
          <w:rFonts w:ascii="Times New Roman" w:hAnsi="Times New Roman" w:cs="Times New Roman"/>
          <w:b/>
          <w:sz w:val="24"/>
          <w:szCs w:val="24"/>
        </w:rPr>
        <w:t xml:space="preserve">Figure 3: </w:t>
      </w:r>
      <w:r w:rsidRPr="007A6BE7">
        <w:rPr>
          <w:rFonts w:ascii="Times New Roman" w:hAnsi="Times New Roman" w:cs="Times New Roman"/>
          <w:bCs/>
          <w:sz w:val="24"/>
          <w:szCs w:val="24"/>
        </w:rPr>
        <w:t>Rental Value Co-Movement of Shopping Malls in Lagos Property Market</w:t>
      </w:r>
    </w:p>
    <w:p w14:paraId="3C690C38" w14:textId="77777777" w:rsidR="00A63CD3" w:rsidRPr="00BE4AF3" w:rsidRDefault="00A63CD3" w:rsidP="007A6BE7">
      <w:pPr>
        <w:spacing w:after="0" w:line="240" w:lineRule="auto"/>
        <w:contextualSpacing/>
        <w:jc w:val="both"/>
        <w:rPr>
          <w:rFonts w:ascii="Times New Roman" w:hAnsi="Times New Roman" w:cs="Times New Roman"/>
          <w:bCs/>
          <w:sz w:val="24"/>
          <w:szCs w:val="24"/>
        </w:rPr>
      </w:pPr>
      <w:r w:rsidRPr="00BE4AF3">
        <w:rPr>
          <w:rFonts w:ascii="Times New Roman" w:hAnsi="Times New Roman" w:cs="Times New Roman"/>
          <w:bCs/>
          <w:sz w:val="24"/>
          <w:szCs w:val="24"/>
        </w:rPr>
        <w:lastRenderedPageBreak/>
        <w:t xml:space="preserve">The result of the analysis reveals that strip shopping malls out-performed other types in 2013, 2015, 2016, 2021 and 2022 with growth rates of 2.5%, 5.2%, 6.7% and 8.9% respectively. It was observed that in 2016, strip and outlet mall grew at the same rate of 3.5% above every other type of shopping malls in Lagos property market. In 2019, outlet shopping mall grew at 6.5% which was more than the growth rates of other types of malls in the study area.  Neighborhood shopping mall grew above other types of malls in 2014, 2017, and 2023 at 12.4%, 9.3% and 4.2% respectively. The analysis suggests that in Lagos property market, an investor could consider investing in strip and neighborhood shopping malls above other types. </w:t>
      </w:r>
    </w:p>
    <w:p w14:paraId="25068A87" w14:textId="77777777" w:rsidR="00A63CD3" w:rsidRPr="00BE4AF3" w:rsidRDefault="00A63CD3" w:rsidP="00A63CD3">
      <w:pPr>
        <w:spacing w:after="0" w:line="240" w:lineRule="auto"/>
        <w:ind w:firstLine="720"/>
        <w:contextualSpacing/>
        <w:jc w:val="both"/>
        <w:rPr>
          <w:rFonts w:ascii="Times New Roman" w:hAnsi="Times New Roman" w:cs="Times New Roman"/>
          <w:bCs/>
          <w:sz w:val="24"/>
          <w:szCs w:val="24"/>
        </w:rPr>
      </w:pPr>
    </w:p>
    <w:p w14:paraId="06FD20C8" w14:textId="77777777" w:rsidR="00A63CD3" w:rsidRPr="00BE4AF3" w:rsidRDefault="00A63CD3" w:rsidP="00A63CD3">
      <w:pPr>
        <w:spacing w:after="0" w:line="240" w:lineRule="auto"/>
        <w:contextualSpacing/>
        <w:jc w:val="both"/>
        <w:rPr>
          <w:rFonts w:ascii="Times New Roman" w:hAnsi="Times New Roman" w:cs="Times New Roman"/>
          <w:b/>
          <w:bCs/>
          <w:sz w:val="24"/>
          <w:szCs w:val="24"/>
        </w:rPr>
      </w:pPr>
      <w:r w:rsidRPr="00BE4AF3">
        <w:rPr>
          <w:rFonts w:ascii="Times New Roman" w:hAnsi="Times New Roman" w:cs="Times New Roman"/>
          <w:b/>
          <w:bCs/>
          <w:sz w:val="24"/>
          <w:szCs w:val="24"/>
        </w:rPr>
        <w:t xml:space="preserve">5. Conclusion </w:t>
      </w:r>
    </w:p>
    <w:p w14:paraId="0DA37894" w14:textId="77777777" w:rsidR="00A63CD3" w:rsidRPr="00BE4AF3" w:rsidRDefault="00A63CD3" w:rsidP="007A6BE7">
      <w:pPr>
        <w:spacing w:after="0" w:line="240" w:lineRule="auto"/>
        <w:contextualSpacing/>
        <w:jc w:val="both"/>
        <w:rPr>
          <w:rFonts w:ascii="Times New Roman" w:hAnsi="Times New Roman" w:cs="Times New Roman"/>
          <w:bCs/>
          <w:sz w:val="24"/>
          <w:szCs w:val="24"/>
        </w:rPr>
      </w:pPr>
      <w:r w:rsidRPr="00BE4AF3">
        <w:rPr>
          <w:rFonts w:ascii="Times New Roman" w:hAnsi="Times New Roman" w:cs="Times New Roman"/>
          <w:bCs/>
          <w:sz w:val="24"/>
          <w:szCs w:val="24"/>
        </w:rPr>
        <w:t>The paper concludes that in Lagos property market, an investor looking into shopping malls investment, could consider investing in strip and neighborhood shopping malls above other types considering the movement in the rental values of the these types of shopping malls from 2012 to 2023 in Lagos, Nigeria. Investments in shopping malls amongst other types of commercial properties have been on the increase in most developing countries as well as Nigeria due to increased commercialization. However, despite the potential for success, these investments are faced with several challenges. As discovered from the paper, factors such as feasibility of the market, potential of location, and profitability of the market. In order to improve the rental value of shopping malls in the study area, the following were recommended; improving the feasibility and profitability of the market, improving the neighborhood characteristics, and focusing on property management.</w:t>
      </w:r>
    </w:p>
    <w:p w14:paraId="100ADD5B" w14:textId="77777777" w:rsidR="00A63CD3" w:rsidRPr="00BE4AF3" w:rsidRDefault="00A63CD3" w:rsidP="00A63CD3">
      <w:pPr>
        <w:spacing w:after="0" w:line="240" w:lineRule="auto"/>
        <w:contextualSpacing/>
        <w:jc w:val="both"/>
        <w:rPr>
          <w:rFonts w:ascii="Times New Roman" w:hAnsi="Times New Roman" w:cs="Times New Roman"/>
          <w:sz w:val="24"/>
          <w:szCs w:val="24"/>
        </w:rPr>
      </w:pPr>
    </w:p>
    <w:p w14:paraId="0BDAA2D6" w14:textId="77777777" w:rsidR="00A63CD3" w:rsidRPr="00BE4AF3" w:rsidRDefault="00A63CD3" w:rsidP="00A63CD3">
      <w:pPr>
        <w:spacing w:line="240" w:lineRule="auto"/>
        <w:contextualSpacing/>
        <w:jc w:val="both"/>
        <w:rPr>
          <w:rFonts w:ascii="Times New Roman" w:hAnsi="Times New Roman" w:cs="Times New Roman"/>
          <w:b/>
          <w:bCs/>
          <w:sz w:val="24"/>
          <w:szCs w:val="24"/>
        </w:rPr>
      </w:pPr>
      <w:r w:rsidRPr="00BE4AF3">
        <w:rPr>
          <w:rFonts w:ascii="Times New Roman" w:hAnsi="Times New Roman" w:cs="Times New Roman"/>
          <w:b/>
          <w:bCs/>
          <w:sz w:val="24"/>
          <w:szCs w:val="24"/>
        </w:rPr>
        <w:t>Reference</w:t>
      </w:r>
    </w:p>
    <w:p w14:paraId="5DA596C0" w14:textId="65BB2FAB" w:rsidR="00A63CD3" w:rsidRPr="00BE4AF3" w:rsidRDefault="00A63CD3" w:rsidP="007770E7">
      <w:pPr>
        <w:autoSpaceDE w:val="0"/>
        <w:autoSpaceDN w:val="0"/>
        <w:adjustRightInd w:val="0"/>
        <w:spacing w:after="0" w:line="240" w:lineRule="auto"/>
        <w:ind w:left="851" w:hanging="851"/>
        <w:contextualSpacing/>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Abdulmalik</w:t>
      </w:r>
      <w:r w:rsidR="00342286" w:rsidRPr="00BE4AF3">
        <w:rPr>
          <w:rFonts w:ascii="Times New Roman" w:hAnsi="Times New Roman" w:cs="Times New Roman"/>
          <w:color w:val="000000"/>
          <w:sz w:val="24"/>
          <w:szCs w:val="24"/>
        </w:rPr>
        <w:t>., O.</w:t>
      </w:r>
      <w:r w:rsidRPr="00BE4AF3">
        <w:rPr>
          <w:rFonts w:ascii="Times New Roman" w:hAnsi="Times New Roman" w:cs="Times New Roman"/>
          <w:color w:val="000000"/>
          <w:sz w:val="24"/>
          <w:szCs w:val="24"/>
        </w:rPr>
        <w:t xml:space="preserve"> </w:t>
      </w:r>
      <w:r w:rsidR="00342286" w:rsidRPr="00BE4AF3">
        <w:rPr>
          <w:rFonts w:ascii="Times New Roman" w:hAnsi="Times New Roman" w:cs="Times New Roman"/>
          <w:color w:val="000000"/>
          <w:sz w:val="24"/>
          <w:szCs w:val="24"/>
        </w:rPr>
        <w:t>E., (</w:t>
      </w:r>
      <w:r w:rsidRPr="00BE4AF3">
        <w:rPr>
          <w:rFonts w:ascii="Times New Roman" w:hAnsi="Times New Roman" w:cs="Times New Roman"/>
          <w:color w:val="000000"/>
          <w:sz w:val="24"/>
          <w:szCs w:val="24"/>
        </w:rPr>
        <w:t xml:space="preserve">2022). Nigerian Statistical System: Evolution, Progress and Challenges. </w:t>
      </w:r>
    </w:p>
    <w:p w14:paraId="591E2A32" w14:textId="1AECE260" w:rsidR="00A63CD3" w:rsidRPr="00BE4AF3" w:rsidRDefault="00A63CD3" w:rsidP="007770E7">
      <w:pPr>
        <w:autoSpaceDE w:val="0"/>
        <w:autoSpaceDN w:val="0"/>
        <w:adjustRightInd w:val="0"/>
        <w:spacing w:after="0" w:line="240" w:lineRule="auto"/>
        <w:ind w:left="851" w:hanging="851"/>
        <w:contextualSpacing/>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 </w:t>
      </w:r>
      <w:r w:rsidR="007770E7">
        <w:rPr>
          <w:rFonts w:ascii="Times New Roman" w:hAnsi="Times New Roman" w:cs="Times New Roman"/>
          <w:color w:val="000000"/>
          <w:sz w:val="24"/>
          <w:szCs w:val="24"/>
        </w:rPr>
        <w:t xml:space="preserve">            </w:t>
      </w:r>
      <w:r w:rsidRPr="00BE4AF3">
        <w:rPr>
          <w:rFonts w:ascii="Times New Roman" w:hAnsi="Times New Roman" w:cs="Times New Roman"/>
          <w:color w:val="000000"/>
          <w:sz w:val="24"/>
          <w:szCs w:val="24"/>
        </w:rPr>
        <w:t xml:space="preserve">  [Online]. Available at: </w:t>
      </w:r>
      <w:r w:rsidRPr="00BE4AF3">
        <w:rPr>
          <w:rFonts w:ascii="Times New Roman" w:hAnsi="Times New Roman" w:cs="Times New Roman"/>
          <w:color w:val="0563C2"/>
          <w:sz w:val="24"/>
          <w:szCs w:val="24"/>
        </w:rPr>
        <w:t xml:space="preserve">https://www.researchgate.net/publication/283715250 </w:t>
      </w:r>
      <w:r w:rsidRPr="00BE4AF3">
        <w:rPr>
          <w:rFonts w:ascii="Times New Roman" w:hAnsi="Times New Roman" w:cs="Times New Roman"/>
          <w:color w:val="000000"/>
          <w:sz w:val="24"/>
          <w:szCs w:val="24"/>
        </w:rPr>
        <w:t>(Accessed:</w:t>
      </w:r>
      <w:r w:rsidR="007770E7">
        <w:rPr>
          <w:rFonts w:ascii="Times New Roman" w:hAnsi="Times New Roman" w:cs="Times New Roman"/>
          <w:color w:val="000000"/>
          <w:sz w:val="24"/>
          <w:szCs w:val="24"/>
        </w:rPr>
        <w:t xml:space="preserve"> </w:t>
      </w:r>
      <w:r w:rsidRPr="00BE4AF3">
        <w:rPr>
          <w:rFonts w:ascii="Times New Roman" w:hAnsi="Times New Roman" w:cs="Times New Roman"/>
          <w:color w:val="000000"/>
          <w:sz w:val="24"/>
          <w:szCs w:val="24"/>
        </w:rPr>
        <w:t>11</w:t>
      </w:r>
      <w:r w:rsidR="00342286">
        <w:rPr>
          <w:rFonts w:ascii="Times New Roman" w:hAnsi="Times New Roman" w:cs="Times New Roman"/>
          <w:color w:val="000000"/>
          <w:sz w:val="24"/>
          <w:szCs w:val="24"/>
        </w:rPr>
        <w:t xml:space="preserve"> </w:t>
      </w:r>
      <w:r w:rsidRPr="00BE4AF3">
        <w:rPr>
          <w:rFonts w:ascii="Times New Roman" w:hAnsi="Times New Roman" w:cs="Times New Roman"/>
          <w:color w:val="000000"/>
          <w:sz w:val="24"/>
          <w:szCs w:val="24"/>
        </w:rPr>
        <w:t>July, 2022).</w:t>
      </w:r>
    </w:p>
    <w:p w14:paraId="7545B0C7" w14:textId="77777777" w:rsidR="00A63CD3" w:rsidRPr="00BE4AF3" w:rsidRDefault="00A63CD3" w:rsidP="007770E7">
      <w:pPr>
        <w:spacing w:after="0" w:line="240" w:lineRule="auto"/>
        <w:ind w:left="851" w:hanging="851"/>
        <w:contextualSpacing/>
        <w:jc w:val="both"/>
        <w:rPr>
          <w:rFonts w:ascii="Times New Roman" w:hAnsi="Times New Roman" w:cs="Times New Roman"/>
          <w:sz w:val="24"/>
          <w:szCs w:val="24"/>
        </w:rPr>
      </w:pPr>
      <w:r w:rsidRPr="00BE4AF3">
        <w:rPr>
          <w:rFonts w:ascii="Times New Roman" w:hAnsi="Times New Roman" w:cs="Times New Roman"/>
          <w:sz w:val="24"/>
          <w:szCs w:val="24"/>
        </w:rPr>
        <w:t xml:space="preserve">Ambrose, J. &amp; Lusht T. B., (2008]). Overview  of  the Commercial Real Estate Industry, </w:t>
      </w:r>
    </w:p>
    <w:p w14:paraId="0D9BC2B9" w14:textId="13C6FFAF" w:rsidR="00A63CD3" w:rsidRPr="00BE4AF3" w:rsidRDefault="007770E7" w:rsidP="007770E7">
      <w:pPr>
        <w:autoSpaceDE w:val="0"/>
        <w:autoSpaceDN w:val="0"/>
        <w:adjustRightInd w:val="0"/>
        <w:spacing w:after="0" w:line="240" w:lineRule="auto"/>
        <w:ind w:left="851" w:hanging="851"/>
        <w:contextualSpacing/>
        <w:jc w:val="both"/>
        <w:rPr>
          <w:rFonts w:ascii="Times New Roman" w:hAnsi="Times New Roman" w:cs="Times New Roman"/>
          <w:color w:val="000000"/>
          <w:sz w:val="24"/>
          <w:szCs w:val="24"/>
        </w:rPr>
      </w:pPr>
      <w:r>
        <w:rPr>
          <w:rFonts w:ascii="Times New Roman" w:hAnsi="Times New Roman" w:cs="Times New Roman"/>
          <w:sz w:val="24"/>
          <w:szCs w:val="24"/>
        </w:rPr>
        <w:t xml:space="preserve">                </w:t>
      </w:r>
      <w:r w:rsidR="00A63CD3" w:rsidRPr="00BE4AF3">
        <w:rPr>
          <w:rFonts w:ascii="Times New Roman" w:hAnsi="Times New Roman" w:cs="Times New Roman"/>
          <w:sz w:val="24"/>
          <w:szCs w:val="24"/>
        </w:rPr>
        <w:t>Submitted to the National Association of Real Estate Investment Trusts (NAREIT)</w:t>
      </w:r>
    </w:p>
    <w:p w14:paraId="350F6AE0" w14:textId="77777777" w:rsidR="00342286" w:rsidRDefault="00A63CD3" w:rsidP="007770E7">
      <w:pPr>
        <w:autoSpaceDE w:val="0"/>
        <w:autoSpaceDN w:val="0"/>
        <w:adjustRightInd w:val="0"/>
        <w:spacing w:after="0" w:line="240" w:lineRule="auto"/>
        <w:ind w:left="851" w:hanging="851"/>
        <w:contextualSpacing/>
        <w:jc w:val="both"/>
        <w:rPr>
          <w:rFonts w:ascii="Times New Roman" w:hAnsi="Times New Roman" w:cs="Times New Roman"/>
          <w:i/>
          <w:iCs/>
          <w:sz w:val="24"/>
          <w:szCs w:val="24"/>
        </w:rPr>
      </w:pPr>
      <w:r w:rsidRPr="00BE4AF3">
        <w:rPr>
          <w:rFonts w:ascii="Times New Roman" w:hAnsi="Times New Roman" w:cs="Times New Roman"/>
          <w:sz w:val="24"/>
          <w:szCs w:val="24"/>
        </w:rPr>
        <w:t xml:space="preserve">Anule. P., (2016). Geospatial Analysis of Wetlands Degradation in Makurdi, Nigeria. </w:t>
      </w:r>
      <w:r w:rsidRPr="00BE4AF3">
        <w:rPr>
          <w:rFonts w:ascii="Times New Roman" w:hAnsi="Times New Roman" w:cs="Times New Roman"/>
          <w:i/>
          <w:iCs/>
          <w:sz w:val="24"/>
          <w:szCs w:val="24"/>
        </w:rPr>
        <w:t xml:space="preserve">Journal </w:t>
      </w:r>
      <w:r w:rsidR="00342286">
        <w:rPr>
          <w:rFonts w:ascii="Times New Roman" w:hAnsi="Times New Roman" w:cs="Times New Roman"/>
          <w:i/>
          <w:iCs/>
          <w:sz w:val="24"/>
          <w:szCs w:val="24"/>
        </w:rPr>
        <w:t xml:space="preserve"> </w:t>
      </w:r>
    </w:p>
    <w:p w14:paraId="66520300" w14:textId="6E405200" w:rsidR="00A63CD3" w:rsidRPr="00342286" w:rsidRDefault="00342286" w:rsidP="007770E7">
      <w:pPr>
        <w:autoSpaceDE w:val="0"/>
        <w:autoSpaceDN w:val="0"/>
        <w:adjustRightInd w:val="0"/>
        <w:spacing w:after="0" w:line="240" w:lineRule="auto"/>
        <w:ind w:left="851" w:hanging="851"/>
        <w:contextualSpacing/>
        <w:jc w:val="both"/>
        <w:rPr>
          <w:rFonts w:ascii="Times New Roman" w:hAnsi="Times New Roman" w:cs="Times New Roman"/>
          <w:i/>
          <w:iCs/>
          <w:sz w:val="24"/>
          <w:szCs w:val="24"/>
        </w:rPr>
      </w:pPr>
      <w:r>
        <w:rPr>
          <w:rFonts w:ascii="Times New Roman" w:hAnsi="Times New Roman" w:cs="Times New Roman"/>
          <w:i/>
          <w:iCs/>
          <w:sz w:val="24"/>
          <w:szCs w:val="24"/>
        </w:rPr>
        <w:t xml:space="preserve">        </w:t>
      </w:r>
      <w:r w:rsidR="007770E7">
        <w:rPr>
          <w:rFonts w:ascii="Times New Roman" w:hAnsi="Times New Roman" w:cs="Times New Roman"/>
          <w:i/>
          <w:iCs/>
          <w:sz w:val="24"/>
          <w:szCs w:val="24"/>
        </w:rPr>
        <w:t xml:space="preserve">      </w:t>
      </w:r>
      <w:r w:rsidR="00A63CD3" w:rsidRPr="00BE4AF3">
        <w:rPr>
          <w:rFonts w:ascii="Times New Roman" w:hAnsi="Times New Roman" w:cs="Times New Roman"/>
          <w:i/>
          <w:iCs/>
          <w:sz w:val="24"/>
          <w:szCs w:val="24"/>
        </w:rPr>
        <w:t>of Geography, Environment and Earth Science International. 14</w:t>
      </w:r>
      <w:r w:rsidR="00A63CD3" w:rsidRPr="00BE4AF3">
        <w:rPr>
          <w:rFonts w:ascii="Times New Roman" w:hAnsi="Times New Roman" w:cs="Times New Roman"/>
          <w:sz w:val="24"/>
          <w:szCs w:val="24"/>
        </w:rPr>
        <w:t>(4), 1-2.</w:t>
      </w:r>
    </w:p>
    <w:p w14:paraId="734A0478" w14:textId="77777777" w:rsidR="00A63CD3" w:rsidRPr="00BE4AF3" w:rsidRDefault="00A63CD3" w:rsidP="007770E7">
      <w:pPr>
        <w:spacing w:after="0" w:line="240" w:lineRule="auto"/>
        <w:ind w:left="851" w:hanging="851"/>
        <w:contextualSpacing/>
        <w:jc w:val="both"/>
        <w:rPr>
          <w:rFonts w:ascii="Times New Roman" w:hAnsi="Times New Roman" w:cs="Times New Roman"/>
          <w:sz w:val="24"/>
          <w:szCs w:val="24"/>
        </w:rPr>
      </w:pPr>
      <w:r w:rsidRPr="00BE4AF3">
        <w:rPr>
          <w:rFonts w:ascii="Times New Roman" w:hAnsi="Times New Roman" w:cs="Times New Roman"/>
          <w:sz w:val="24"/>
          <w:szCs w:val="24"/>
        </w:rPr>
        <w:t xml:space="preserve">Bello, N. A. (2018). The role of estate surveyors &amp; valuers in land administration &amp; property </w:t>
      </w:r>
    </w:p>
    <w:p w14:paraId="799A57E4" w14:textId="65B561C4" w:rsidR="00A63CD3" w:rsidRPr="00BE4AF3" w:rsidRDefault="007770E7" w:rsidP="007770E7">
      <w:pPr>
        <w:spacing w:after="0" w:line="240" w:lineRule="auto"/>
        <w:ind w:left="851" w:hanging="851"/>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A63CD3" w:rsidRPr="00BE4AF3">
        <w:rPr>
          <w:rFonts w:ascii="Times New Roman" w:hAnsi="Times New Roman" w:cs="Times New Roman"/>
          <w:sz w:val="24"/>
          <w:szCs w:val="24"/>
        </w:rPr>
        <w:t>development in Nigeria. Retrieved from https://www.scribd.com/document/473459287/TheRoleofEstateSurveyorsandValuersi</w:t>
      </w:r>
    </w:p>
    <w:p w14:paraId="312AC00A" w14:textId="77777777" w:rsidR="00A63CD3" w:rsidRPr="00BE4AF3" w:rsidRDefault="00A63CD3" w:rsidP="007770E7">
      <w:pPr>
        <w:spacing w:after="0" w:line="240" w:lineRule="auto"/>
        <w:ind w:left="851" w:hanging="851"/>
        <w:contextualSpacing/>
        <w:jc w:val="both"/>
        <w:rPr>
          <w:rFonts w:ascii="Times New Roman" w:hAnsi="Times New Roman" w:cs="Times New Roman"/>
          <w:sz w:val="24"/>
          <w:szCs w:val="24"/>
        </w:rPr>
      </w:pPr>
      <w:r w:rsidRPr="00BE4AF3">
        <w:rPr>
          <w:rFonts w:ascii="Times New Roman" w:hAnsi="Times New Roman" w:cs="Times New Roman"/>
          <w:sz w:val="24"/>
          <w:szCs w:val="24"/>
        </w:rPr>
        <w:t xml:space="preserve">Chatzopoulou E. and Tsimonis G. (2010). Shopping Malls Just Another Shopping Place; The </w:t>
      </w:r>
    </w:p>
    <w:p w14:paraId="7697B9C5" w14:textId="599274A0" w:rsidR="00A63CD3" w:rsidRPr="00BE4AF3" w:rsidRDefault="007770E7" w:rsidP="007770E7">
      <w:pPr>
        <w:spacing w:after="0" w:line="240" w:lineRule="auto"/>
        <w:ind w:left="851" w:hanging="851"/>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A63CD3" w:rsidRPr="00BE4AF3">
        <w:rPr>
          <w:rFonts w:ascii="Times New Roman" w:hAnsi="Times New Roman" w:cs="Times New Roman"/>
          <w:sz w:val="24"/>
          <w:szCs w:val="24"/>
        </w:rPr>
        <w:t xml:space="preserve">Case of Physical Enivironment Quality  available at </w:t>
      </w:r>
      <w:hyperlink r:id="rId147" w:history="1">
        <w:r w:rsidR="00A63CD3" w:rsidRPr="00BE4AF3">
          <w:rPr>
            <w:rStyle w:val="Hyperlink"/>
            <w:rFonts w:ascii="Times New Roman" w:hAnsi="Times New Roman" w:cs="Times New Roman"/>
            <w:sz w:val="24"/>
            <w:szCs w:val="24"/>
          </w:rPr>
          <w:t>http://www</w:t>
        </w:r>
      </w:hyperlink>
      <w:r w:rsidR="00A63CD3" w:rsidRPr="00BE4AF3">
        <w:rPr>
          <w:rFonts w:ascii="Times New Roman" w:hAnsi="Times New Roman" w:cs="Times New Roman"/>
          <w:sz w:val="24"/>
          <w:szCs w:val="24"/>
        </w:rPr>
        <w:t>.</w:t>
      </w:r>
      <w:r>
        <w:rPr>
          <w:rFonts w:ascii="Times New Roman" w:hAnsi="Times New Roman" w:cs="Times New Roman"/>
          <w:sz w:val="24"/>
          <w:szCs w:val="24"/>
        </w:rPr>
        <w:t xml:space="preserve"> </w:t>
      </w:r>
      <w:r w:rsidR="00A63CD3" w:rsidRPr="00BE4AF3">
        <w:rPr>
          <w:rFonts w:ascii="Times New Roman" w:hAnsi="Times New Roman" w:cs="Times New Roman"/>
          <w:sz w:val="24"/>
          <w:szCs w:val="24"/>
        </w:rPr>
        <w:t xml:space="preserve">EgZjaHJvbWUyBggAEEUYOdIBCjMwNzg0ajBqMTWoAgiwAgE&amp;sourceid=chrome &amp;ie=UTF-8  </w:t>
      </w:r>
    </w:p>
    <w:p w14:paraId="0502AC8E" w14:textId="77777777" w:rsidR="00342286" w:rsidRDefault="00A63CD3" w:rsidP="007770E7">
      <w:pPr>
        <w:spacing w:after="0" w:line="240" w:lineRule="auto"/>
        <w:ind w:left="851" w:hanging="851"/>
        <w:contextualSpacing/>
        <w:jc w:val="both"/>
        <w:rPr>
          <w:rFonts w:ascii="Times New Roman" w:hAnsi="Times New Roman" w:cs="Times New Roman"/>
          <w:sz w:val="24"/>
          <w:szCs w:val="24"/>
        </w:rPr>
      </w:pPr>
      <w:r w:rsidRPr="00BE4AF3">
        <w:rPr>
          <w:rFonts w:ascii="Times New Roman" w:hAnsi="Times New Roman" w:cs="Times New Roman"/>
          <w:sz w:val="24"/>
          <w:szCs w:val="24"/>
        </w:rPr>
        <w:t xml:space="preserve">Gyourko, J. (2009). Understanding commercial real estate: Just how different from housing is </w:t>
      </w:r>
      <w:r w:rsidR="00342286">
        <w:rPr>
          <w:rFonts w:ascii="Times New Roman" w:hAnsi="Times New Roman" w:cs="Times New Roman"/>
          <w:sz w:val="24"/>
          <w:szCs w:val="24"/>
        </w:rPr>
        <w:t xml:space="preserve"> </w:t>
      </w:r>
    </w:p>
    <w:p w14:paraId="358326FA" w14:textId="77777777" w:rsidR="00342286" w:rsidRDefault="00342286" w:rsidP="007770E7">
      <w:pPr>
        <w:spacing w:after="0" w:line="240" w:lineRule="auto"/>
        <w:ind w:left="851" w:hanging="851"/>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A63CD3" w:rsidRPr="00BE4AF3">
        <w:rPr>
          <w:rFonts w:ascii="Times New Roman" w:hAnsi="Times New Roman" w:cs="Times New Roman"/>
          <w:sz w:val="24"/>
          <w:szCs w:val="24"/>
        </w:rPr>
        <w:t>it?</w:t>
      </w:r>
      <w:r>
        <w:rPr>
          <w:rFonts w:ascii="Times New Roman" w:hAnsi="Times New Roman" w:cs="Times New Roman"/>
          <w:sz w:val="24"/>
          <w:szCs w:val="24"/>
        </w:rPr>
        <w:t xml:space="preserve"> </w:t>
      </w:r>
      <w:r w:rsidR="00A63CD3" w:rsidRPr="00BE4AF3">
        <w:rPr>
          <w:rFonts w:ascii="Times New Roman" w:hAnsi="Times New Roman" w:cs="Times New Roman"/>
          <w:sz w:val="24"/>
          <w:szCs w:val="24"/>
        </w:rPr>
        <w:t xml:space="preserve">Journal of Portfolio Management. Retrieved from </w:t>
      </w:r>
    </w:p>
    <w:p w14:paraId="6FF635FC" w14:textId="3D6A18F8" w:rsidR="00A63CD3" w:rsidRPr="00BE4AF3" w:rsidRDefault="00342286" w:rsidP="007770E7">
      <w:pPr>
        <w:spacing w:after="0" w:line="240" w:lineRule="auto"/>
        <w:ind w:left="851" w:hanging="851"/>
        <w:contextualSpacing/>
        <w:jc w:val="both"/>
        <w:rPr>
          <w:rFonts w:ascii="Times New Roman" w:hAnsi="Times New Roman" w:cs="Times New Roman"/>
          <w:sz w:val="24"/>
          <w:szCs w:val="24"/>
        </w:rPr>
      </w:pPr>
      <w:r>
        <w:rPr>
          <w:rFonts w:ascii="Times New Roman" w:hAnsi="Times New Roman" w:cs="Times New Roman"/>
          <w:sz w:val="24"/>
          <w:szCs w:val="24"/>
        </w:rPr>
        <w:t xml:space="preserve">           </w:t>
      </w:r>
      <w:hyperlink r:id="rId148" w:history="1">
        <w:r w:rsidRPr="00373AB2">
          <w:rPr>
            <w:rStyle w:val="Hyperlink"/>
            <w:rFonts w:ascii="Times New Roman" w:hAnsi="Times New Roman" w:cs="Times New Roman"/>
            <w:sz w:val="24"/>
            <w:szCs w:val="24"/>
          </w:rPr>
          <w:t>https://file:///C:/Users/SAC%20VALUATION%20UNIT/Downloads/w14708.pdf</w:t>
        </w:r>
      </w:hyperlink>
    </w:p>
    <w:p w14:paraId="5381F922" w14:textId="77777777" w:rsidR="00A63CD3" w:rsidRPr="00BE4AF3" w:rsidRDefault="00A63CD3" w:rsidP="007770E7">
      <w:pPr>
        <w:spacing w:after="0" w:line="240" w:lineRule="auto"/>
        <w:ind w:left="851" w:hanging="851"/>
        <w:contextualSpacing/>
        <w:jc w:val="both"/>
        <w:rPr>
          <w:rFonts w:ascii="Times New Roman" w:hAnsi="Times New Roman" w:cs="Times New Roman"/>
          <w:i/>
          <w:sz w:val="24"/>
          <w:szCs w:val="24"/>
        </w:rPr>
      </w:pPr>
      <w:r w:rsidRPr="00BE4AF3">
        <w:rPr>
          <w:rFonts w:ascii="Times New Roman" w:hAnsi="Times New Roman" w:cs="Times New Roman"/>
          <w:sz w:val="24"/>
          <w:szCs w:val="24"/>
        </w:rPr>
        <w:t xml:space="preserve">Jones Lang LaSalle (2015). The Advancement of Real Estate as a Global Asset Class. </w:t>
      </w:r>
      <w:r w:rsidRPr="00BE4AF3">
        <w:rPr>
          <w:rFonts w:ascii="Times New Roman" w:hAnsi="Times New Roman" w:cs="Times New Roman"/>
          <w:i/>
          <w:sz w:val="24"/>
          <w:szCs w:val="24"/>
        </w:rPr>
        <w:t xml:space="preserve">JLL     </w:t>
      </w:r>
    </w:p>
    <w:p w14:paraId="3C3F7F78" w14:textId="77777777" w:rsidR="00A63CD3" w:rsidRPr="00BE4AF3" w:rsidRDefault="00A63CD3" w:rsidP="007770E7">
      <w:pPr>
        <w:spacing w:after="0" w:line="240" w:lineRule="auto"/>
        <w:ind w:left="851" w:hanging="851"/>
        <w:contextualSpacing/>
        <w:jc w:val="both"/>
        <w:rPr>
          <w:rFonts w:ascii="Times New Roman" w:hAnsi="Times New Roman" w:cs="Times New Roman"/>
          <w:sz w:val="24"/>
          <w:szCs w:val="24"/>
        </w:rPr>
      </w:pPr>
      <w:r w:rsidRPr="00BE4AF3">
        <w:rPr>
          <w:rFonts w:ascii="Times New Roman" w:hAnsi="Times New Roman" w:cs="Times New Roman"/>
          <w:i/>
          <w:sz w:val="24"/>
          <w:szCs w:val="24"/>
        </w:rPr>
        <w:t xml:space="preserve">   </w:t>
      </w:r>
      <w:r w:rsidRPr="00BE4AF3">
        <w:rPr>
          <w:rFonts w:ascii="Times New Roman" w:hAnsi="Times New Roman" w:cs="Times New Roman"/>
          <w:i/>
          <w:sz w:val="24"/>
          <w:szCs w:val="24"/>
        </w:rPr>
        <w:tab/>
        <w:t>Global Foresight Series</w:t>
      </w:r>
      <w:r w:rsidRPr="00BE4AF3">
        <w:rPr>
          <w:rFonts w:ascii="Times New Roman" w:hAnsi="Times New Roman" w:cs="Times New Roman"/>
          <w:sz w:val="24"/>
          <w:szCs w:val="24"/>
        </w:rPr>
        <w:t xml:space="preserve"> </w:t>
      </w:r>
    </w:p>
    <w:p w14:paraId="6B09EA92" w14:textId="77777777" w:rsidR="00A63CD3" w:rsidRPr="00BE4AF3" w:rsidRDefault="00A63CD3" w:rsidP="007770E7">
      <w:pPr>
        <w:spacing w:after="0" w:line="240" w:lineRule="auto"/>
        <w:ind w:left="851" w:hanging="851"/>
        <w:contextualSpacing/>
        <w:jc w:val="both"/>
        <w:rPr>
          <w:rFonts w:ascii="Times New Roman" w:hAnsi="Times New Roman" w:cs="Times New Roman"/>
          <w:sz w:val="24"/>
          <w:szCs w:val="24"/>
        </w:rPr>
      </w:pPr>
      <w:r w:rsidRPr="00BE4AF3">
        <w:rPr>
          <w:rFonts w:ascii="Times New Roman" w:hAnsi="Times New Roman" w:cs="Times New Roman"/>
          <w:sz w:val="24"/>
          <w:szCs w:val="24"/>
        </w:rPr>
        <w:t xml:space="preserve">Mughees Shaukat, M. (2010). The benefits and importance of commercial real estate. Retrieved </w:t>
      </w:r>
    </w:p>
    <w:p w14:paraId="7678C3EB" w14:textId="18D7BFF6" w:rsidR="00A63CD3" w:rsidRPr="00BE4AF3" w:rsidRDefault="007770E7" w:rsidP="007770E7">
      <w:pPr>
        <w:spacing w:after="0" w:line="240" w:lineRule="auto"/>
        <w:ind w:left="851" w:hanging="851"/>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A63CD3" w:rsidRPr="00BE4AF3">
        <w:rPr>
          <w:rFonts w:ascii="Times New Roman" w:hAnsi="Times New Roman" w:cs="Times New Roman"/>
          <w:sz w:val="24"/>
          <w:szCs w:val="24"/>
        </w:rPr>
        <w:t xml:space="preserve">from </w:t>
      </w:r>
      <w:hyperlink r:id="rId149" w:history="1">
        <w:r w:rsidR="00A63CD3" w:rsidRPr="00BE4AF3">
          <w:rPr>
            <w:rStyle w:val="Hyperlink"/>
            <w:rFonts w:ascii="Times New Roman" w:hAnsi="Times New Roman" w:cs="Times New Roman"/>
            <w:sz w:val="24"/>
            <w:szCs w:val="24"/>
          </w:rPr>
          <w:t>https://www.semanticscholar.org/paper/The-Benefits-and-Importance-of-Commercial-Real-Shaukat/cd1bafff7167160d24792f6480424e776b42f3fa</w:t>
        </w:r>
      </w:hyperlink>
    </w:p>
    <w:p w14:paraId="4CCFB834" w14:textId="65DBD2DE" w:rsidR="00A63CD3" w:rsidRPr="00BE4AF3" w:rsidRDefault="00A63CD3" w:rsidP="007770E7">
      <w:pPr>
        <w:autoSpaceDE w:val="0"/>
        <w:autoSpaceDN w:val="0"/>
        <w:adjustRightInd w:val="0"/>
        <w:spacing w:after="0" w:line="240" w:lineRule="auto"/>
        <w:ind w:left="851" w:hanging="851"/>
        <w:contextualSpacing/>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Omisakin, O.K. (2019)</w:t>
      </w:r>
      <w:r w:rsidRPr="00BE4AF3">
        <w:rPr>
          <w:rFonts w:ascii="Times New Roman" w:hAnsi="Times New Roman" w:cs="Times New Roman"/>
          <w:b/>
          <w:color w:val="000000"/>
          <w:sz w:val="24"/>
          <w:szCs w:val="24"/>
        </w:rPr>
        <w:t xml:space="preserve">. </w:t>
      </w:r>
      <w:r w:rsidRPr="00BE4AF3">
        <w:rPr>
          <w:rFonts w:ascii="Times New Roman" w:hAnsi="Times New Roman" w:cs="Times New Roman"/>
          <w:color w:val="000000"/>
          <w:sz w:val="24"/>
          <w:szCs w:val="24"/>
        </w:rPr>
        <w:t xml:space="preserve">Market Risks Consideration by Commercial Property Investors </w:t>
      </w:r>
      <w:r w:rsidR="00342286" w:rsidRPr="00BE4AF3">
        <w:rPr>
          <w:rFonts w:ascii="Times New Roman" w:hAnsi="Times New Roman" w:cs="Times New Roman"/>
          <w:color w:val="000000"/>
          <w:sz w:val="24"/>
          <w:szCs w:val="24"/>
        </w:rPr>
        <w:t xml:space="preserve">and </w:t>
      </w:r>
      <w:r w:rsidR="00342286">
        <w:rPr>
          <w:rFonts w:ascii="Times New Roman" w:hAnsi="Times New Roman" w:cs="Times New Roman"/>
          <w:color w:val="000000"/>
          <w:sz w:val="24"/>
          <w:szCs w:val="24"/>
        </w:rPr>
        <w:t>Valuers</w:t>
      </w:r>
      <w:r w:rsidRPr="00BE4AF3">
        <w:rPr>
          <w:rFonts w:ascii="Times New Roman" w:hAnsi="Times New Roman" w:cs="Times New Roman"/>
          <w:color w:val="000000"/>
          <w:sz w:val="24"/>
          <w:szCs w:val="24"/>
        </w:rPr>
        <w:t xml:space="preserve"> in Nigeria: The Critical Issues. The 27</w:t>
      </w:r>
      <w:r w:rsidRPr="00BE4AF3">
        <w:rPr>
          <w:rFonts w:ascii="Times New Roman" w:hAnsi="Times New Roman" w:cs="Times New Roman"/>
          <w:color w:val="000000"/>
          <w:sz w:val="24"/>
          <w:szCs w:val="24"/>
          <w:vertAlign w:val="superscript"/>
        </w:rPr>
        <w:t>th</w:t>
      </w:r>
      <w:r w:rsidRPr="00BE4AF3">
        <w:rPr>
          <w:rFonts w:ascii="Times New Roman" w:hAnsi="Times New Roman" w:cs="Times New Roman"/>
          <w:color w:val="000000"/>
          <w:sz w:val="24"/>
          <w:szCs w:val="24"/>
        </w:rPr>
        <w:t xml:space="preserve"> Inaugural Lecture of Lagos State Polytechnic, Ikorodu, </w:t>
      </w:r>
      <w:r w:rsidR="007770E7" w:rsidRPr="00BE4AF3">
        <w:rPr>
          <w:rFonts w:ascii="Times New Roman" w:hAnsi="Times New Roman" w:cs="Times New Roman"/>
          <w:color w:val="000000"/>
          <w:sz w:val="24"/>
          <w:szCs w:val="24"/>
        </w:rPr>
        <w:t>Lagos. [</w:t>
      </w:r>
      <w:r w:rsidRPr="00BE4AF3">
        <w:rPr>
          <w:rFonts w:ascii="Times New Roman" w:hAnsi="Times New Roman" w:cs="Times New Roman"/>
          <w:color w:val="000000"/>
          <w:sz w:val="24"/>
          <w:szCs w:val="24"/>
        </w:rPr>
        <w:t xml:space="preserve">Online]. Available at: </w:t>
      </w:r>
      <w:r w:rsidRPr="00BE4AF3">
        <w:rPr>
          <w:rFonts w:ascii="Times New Roman" w:hAnsi="Times New Roman" w:cs="Times New Roman"/>
          <w:color w:val="0563C2"/>
          <w:sz w:val="24"/>
          <w:szCs w:val="24"/>
        </w:rPr>
        <w:t>https://www.researchgate.net/publication/264314790_Market_Risks</w:t>
      </w:r>
    </w:p>
    <w:p w14:paraId="7226D82A" w14:textId="0B377EE5" w:rsidR="00A63CD3" w:rsidRPr="007770E7" w:rsidRDefault="00A63CD3" w:rsidP="007770E7">
      <w:pPr>
        <w:autoSpaceDE w:val="0"/>
        <w:autoSpaceDN w:val="0"/>
        <w:adjustRightInd w:val="0"/>
        <w:spacing w:after="0" w:line="240" w:lineRule="auto"/>
        <w:ind w:left="851" w:hanging="142"/>
        <w:contextualSpacing/>
        <w:jc w:val="both"/>
        <w:rPr>
          <w:rFonts w:ascii="Times New Roman" w:hAnsi="Times New Roman" w:cs="Times New Roman"/>
          <w:color w:val="0563C2"/>
          <w:sz w:val="24"/>
          <w:szCs w:val="24"/>
        </w:rPr>
      </w:pPr>
      <w:r w:rsidRPr="00BE4AF3">
        <w:rPr>
          <w:rFonts w:ascii="Times New Roman" w:hAnsi="Times New Roman" w:cs="Times New Roman"/>
          <w:color w:val="0563C2"/>
          <w:sz w:val="24"/>
          <w:szCs w:val="24"/>
        </w:rPr>
        <w:lastRenderedPageBreak/>
        <w:t xml:space="preserve">_Consideration_by_Commercial_Property_Investors_and_Valuers_in_Nigeria_The_Critical_Issues </w:t>
      </w:r>
      <w:r w:rsidRPr="00BE4AF3">
        <w:rPr>
          <w:rFonts w:ascii="Times New Roman" w:hAnsi="Times New Roman" w:cs="Times New Roman"/>
          <w:color w:val="000000"/>
          <w:sz w:val="24"/>
          <w:szCs w:val="24"/>
        </w:rPr>
        <w:t>(Accessed:14 August, 2013).</w:t>
      </w:r>
      <w:r w:rsidRPr="00BE4AF3">
        <w:rPr>
          <w:rFonts w:ascii="Times New Roman" w:hAnsi="Times New Roman" w:cs="Times New Roman"/>
          <w:color w:val="0563C2"/>
          <w:sz w:val="24"/>
          <w:szCs w:val="24"/>
        </w:rPr>
        <w:t xml:space="preserve"> </w:t>
      </w:r>
      <w:r w:rsidRPr="00BE4AF3">
        <w:rPr>
          <w:rFonts w:ascii="Times New Roman" w:hAnsi="Times New Roman" w:cs="Times New Roman"/>
          <w:color w:val="000000"/>
          <w:sz w:val="24"/>
          <w:szCs w:val="24"/>
        </w:rPr>
        <w:t xml:space="preserve">in an Opaque Market. </w:t>
      </w:r>
      <w:r w:rsidRPr="00BE4AF3">
        <w:rPr>
          <w:rFonts w:ascii="Times New Roman" w:hAnsi="Times New Roman" w:cs="Times New Roman"/>
          <w:i/>
          <w:iCs/>
          <w:color w:val="000000"/>
          <w:sz w:val="24"/>
          <w:szCs w:val="24"/>
        </w:rPr>
        <w:t>Property Management</w:t>
      </w:r>
      <w:r w:rsidRPr="00BE4AF3">
        <w:rPr>
          <w:rFonts w:ascii="Times New Roman" w:hAnsi="Times New Roman" w:cs="Times New Roman"/>
          <w:color w:val="000000"/>
          <w:sz w:val="24"/>
          <w:szCs w:val="24"/>
        </w:rPr>
        <w:t xml:space="preserve">, </w:t>
      </w:r>
      <w:r w:rsidRPr="00BE4AF3">
        <w:rPr>
          <w:rFonts w:ascii="Times New Roman" w:hAnsi="Times New Roman" w:cs="Times New Roman"/>
          <w:i/>
          <w:iCs/>
          <w:color w:val="000000"/>
          <w:sz w:val="24"/>
          <w:szCs w:val="24"/>
        </w:rPr>
        <w:t>37</w:t>
      </w:r>
      <w:r w:rsidRPr="00BE4AF3">
        <w:rPr>
          <w:rFonts w:ascii="Times New Roman" w:hAnsi="Times New Roman" w:cs="Times New Roman"/>
          <w:color w:val="000000"/>
          <w:sz w:val="24"/>
          <w:szCs w:val="24"/>
        </w:rPr>
        <w:t>(1), 82-96.</w:t>
      </w:r>
      <w:r w:rsidR="007770E7">
        <w:rPr>
          <w:rFonts w:ascii="Times New Roman" w:hAnsi="Times New Roman" w:cs="Times New Roman"/>
          <w:color w:val="0563C2"/>
          <w:sz w:val="24"/>
          <w:szCs w:val="24"/>
        </w:rPr>
        <w:t xml:space="preserve"> </w:t>
      </w:r>
      <w:r w:rsidRPr="00BE4AF3">
        <w:rPr>
          <w:rFonts w:ascii="Times New Roman" w:hAnsi="Times New Roman" w:cs="Times New Roman"/>
          <w:color w:val="0563C2"/>
          <w:sz w:val="24"/>
          <w:szCs w:val="24"/>
        </w:rPr>
        <w:t>https://doi.org/10.1108/PM-01-2017-0004.</w:t>
      </w:r>
    </w:p>
    <w:p w14:paraId="449EF32A" w14:textId="672E1BD2" w:rsidR="00A63CD3" w:rsidRPr="00BE4AF3" w:rsidRDefault="00A63CD3" w:rsidP="007770E7">
      <w:pPr>
        <w:tabs>
          <w:tab w:val="left" w:pos="8010"/>
        </w:tabs>
        <w:spacing w:after="0" w:line="240" w:lineRule="auto"/>
        <w:ind w:left="851" w:hanging="851"/>
        <w:contextualSpacing/>
        <w:jc w:val="both"/>
        <w:rPr>
          <w:rFonts w:ascii="Times New Roman" w:hAnsi="Times New Roman" w:cs="Times New Roman"/>
          <w:bCs/>
          <w:sz w:val="24"/>
          <w:szCs w:val="24"/>
        </w:rPr>
      </w:pPr>
      <w:r w:rsidRPr="00BE4AF3">
        <w:rPr>
          <w:rFonts w:ascii="Times New Roman" w:hAnsi="Times New Roman" w:cs="Times New Roman"/>
          <w:bCs/>
          <w:sz w:val="24"/>
          <w:szCs w:val="24"/>
        </w:rPr>
        <w:t>Ojo, O., Dabara, D. I., &amp; Ajayi, M. T. A. (2022). Performance of commercial and residential real</w:t>
      </w:r>
      <w:r w:rsidR="007770E7">
        <w:rPr>
          <w:rFonts w:ascii="Times New Roman" w:hAnsi="Times New Roman" w:cs="Times New Roman"/>
          <w:bCs/>
          <w:sz w:val="24"/>
          <w:szCs w:val="24"/>
        </w:rPr>
        <w:t xml:space="preserve"> </w:t>
      </w:r>
      <w:r w:rsidRPr="00BE4AF3">
        <w:rPr>
          <w:rFonts w:ascii="Times New Roman" w:hAnsi="Times New Roman" w:cs="Times New Roman"/>
          <w:bCs/>
          <w:sz w:val="24"/>
          <w:szCs w:val="24"/>
        </w:rPr>
        <w:t xml:space="preserve">estate investments in Ibadan property market, Nigeria. </w:t>
      </w:r>
      <w:r w:rsidRPr="00BE4AF3">
        <w:rPr>
          <w:rFonts w:ascii="Times New Roman" w:hAnsi="Times New Roman" w:cs="Times New Roman"/>
          <w:bCs/>
          <w:i/>
          <w:sz w:val="24"/>
          <w:szCs w:val="24"/>
        </w:rPr>
        <w:t>Property Management</w:t>
      </w:r>
      <w:r w:rsidRPr="00BE4AF3">
        <w:rPr>
          <w:rFonts w:ascii="Times New Roman" w:hAnsi="Times New Roman" w:cs="Times New Roman"/>
          <w:bCs/>
          <w:sz w:val="24"/>
          <w:szCs w:val="24"/>
        </w:rPr>
        <w:t xml:space="preserve">, 40(2), 169–  91. </w:t>
      </w:r>
      <w:hyperlink r:id="rId150" w:history="1">
        <w:r w:rsidRPr="00BE4AF3">
          <w:rPr>
            <w:rStyle w:val="Hyperlink"/>
            <w:rFonts w:ascii="Times New Roman" w:hAnsi="Times New Roman" w:cs="Times New Roman"/>
            <w:bCs/>
            <w:sz w:val="24"/>
            <w:szCs w:val="24"/>
          </w:rPr>
          <w:t>https://doi.org/10.1108/PM-07-2020-0046</w:t>
        </w:r>
      </w:hyperlink>
    </w:p>
    <w:p w14:paraId="4D5E07C8" w14:textId="6EEE40D2" w:rsidR="00A63CD3" w:rsidRPr="00BE4AF3" w:rsidRDefault="00A63CD3" w:rsidP="007770E7">
      <w:pPr>
        <w:autoSpaceDE w:val="0"/>
        <w:autoSpaceDN w:val="0"/>
        <w:adjustRightInd w:val="0"/>
        <w:spacing w:after="0" w:line="240" w:lineRule="auto"/>
        <w:ind w:left="851" w:hanging="851"/>
        <w:contextualSpacing/>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Oyewole, M.O. (2013). A Comparative Analysis of Residential and Retail Commercial Property Investments Performance in Ilorin, Nigeria. </w:t>
      </w:r>
      <w:r w:rsidRPr="00BE4AF3">
        <w:rPr>
          <w:rFonts w:ascii="Times New Roman" w:hAnsi="Times New Roman" w:cs="Times New Roman"/>
          <w:i/>
          <w:iCs/>
          <w:color w:val="000000"/>
          <w:sz w:val="24"/>
          <w:szCs w:val="24"/>
        </w:rPr>
        <w:t>Journal of Economics and Sustainable Development</w:t>
      </w:r>
      <w:r w:rsidRPr="00BE4AF3">
        <w:rPr>
          <w:rFonts w:ascii="Times New Roman" w:hAnsi="Times New Roman" w:cs="Times New Roman"/>
          <w:color w:val="000000"/>
          <w:sz w:val="24"/>
          <w:szCs w:val="24"/>
        </w:rPr>
        <w:t xml:space="preserve">. </w:t>
      </w:r>
      <w:r w:rsidRPr="00BE4AF3">
        <w:rPr>
          <w:rFonts w:ascii="Times New Roman" w:hAnsi="Times New Roman" w:cs="Times New Roman"/>
          <w:i/>
          <w:iCs/>
          <w:color w:val="000000"/>
          <w:sz w:val="24"/>
          <w:szCs w:val="24"/>
        </w:rPr>
        <w:t>4</w:t>
      </w:r>
      <w:r w:rsidRPr="00BE4AF3">
        <w:rPr>
          <w:rFonts w:ascii="Times New Roman" w:hAnsi="Times New Roman" w:cs="Times New Roman"/>
          <w:color w:val="000000"/>
          <w:sz w:val="24"/>
          <w:szCs w:val="24"/>
        </w:rPr>
        <w:t>(3), 199- 208.</w:t>
      </w:r>
    </w:p>
    <w:p w14:paraId="2B5D6E5B" w14:textId="77777777" w:rsidR="00A63CD3" w:rsidRPr="00BE4AF3" w:rsidRDefault="00A63CD3" w:rsidP="007770E7">
      <w:pPr>
        <w:spacing w:after="0" w:line="240" w:lineRule="auto"/>
        <w:ind w:left="851" w:hanging="851"/>
        <w:contextualSpacing/>
        <w:jc w:val="both"/>
        <w:rPr>
          <w:rFonts w:ascii="Times New Roman" w:hAnsi="Times New Roman" w:cs="Times New Roman"/>
          <w:sz w:val="24"/>
          <w:szCs w:val="24"/>
        </w:rPr>
      </w:pPr>
      <w:r w:rsidRPr="00BE4AF3">
        <w:rPr>
          <w:rFonts w:ascii="Times New Roman" w:hAnsi="Times New Roman" w:cs="Times New Roman"/>
          <w:sz w:val="24"/>
          <w:szCs w:val="24"/>
        </w:rPr>
        <w:t xml:space="preserve">Olapade, D. I., &amp; Olaleye, A. (2018). Resolving the data debacle in commercial property: Are </w:t>
      </w:r>
    </w:p>
    <w:p w14:paraId="3A5F65B6" w14:textId="0BD20D05" w:rsidR="00A63CD3" w:rsidRPr="00BE4AF3" w:rsidRDefault="007770E7" w:rsidP="007770E7">
      <w:pPr>
        <w:spacing w:after="0" w:line="240" w:lineRule="auto"/>
        <w:ind w:left="851" w:hanging="851"/>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A63CD3" w:rsidRPr="00BE4AF3">
        <w:rPr>
          <w:rFonts w:ascii="Times New Roman" w:hAnsi="Times New Roman" w:cs="Times New Roman"/>
          <w:sz w:val="24"/>
          <w:szCs w:val="24"/>
        </w:rPr>
        <w:t>property practitioners in opaque markets ready for data sharing and assemblage? Journal of Property Investment &amp; Finance, 36(3), 295-304.</w:t>
      </w:r>
    </w:p>
    <w:p w14:paraId="78CDC9FC" w14:textId="77777777" w:rsidR="00A63CD3" w:rsidRPr="00BE4AF3" w:rsidRDefault="00A63CD3" w:rsidP="007770E7">
      <w:pPr>
        <w:spacing w:after="0" w:line="240" w:lineRule="auto"/>
        <w:ind w:left="851" w:hanging="851"/>
        <w:contextualSpacing/>
        <w:jc w:val="both"/>
        <w:rPr>
          <w:rFonts w:ascii="Times New Roman" w:hAnsi="Times New Roman" w:cs="Times New Roman"/>
          <w:sz w:val="24"/>
          <w:szCs w:val="24"/>
        </w:rPr>
      </w:pPr>
      <w:r w:rsidRPr="00BE4AF3">
        <w:rPr>
          <w:rFonts w:ascii="Times New Roman" w:hAnsi="Times New Roman" w:cs="Times New Roman"/>
          <w:sz w:val="24"/>
          <w:szCs w:val="24"/>
        </w:rPr>
        <w:t xml:space="preserve">Olapade, D. I., &amp; Olaleye, A. (2019). Factors affecting accessibility to property data in an </w:t>
      </w:r>
    </w:p>
    <w:p w14:paraId="09CAC4B5" w14:textId="6E8AD5D7" w:rsidR="00A63CD3" w:rsidRPr="00BE4AF3" w:rsidRDefault="007770E7" w:rsidP="007770E7">
      <w:pPr>
        <w:spacing w:after="0" w:line="240" w:lineRule="auto"/>
        <w:ind w:left="851" w:hanging="851"/>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A63CD3" w:rsidRPr="00BE4AF3">
        <w:rPr>
          <w:rFonts w:ascii="Times New Roman" w:hAnsi="Times New Roman" w:cs="Times New Roman"/>
          <w:sz w:val="24"/>
          <w:szCs w:val="24"/>
        </w:rPr>
        <w:t>opaque market. Property Management, 37(1), 82-96.</w:t>
      </w:r>
    </w:p>
    <w:p w14:paraId="42E9067B" w14:textId="77777777" w:rsidR="00A63CD3" w:rsidRPr="00BE4AF3" w:rsidRDefault="00A63CD3" w:rsidP="007770E7">
      <w:pPr>
        <w:spacing w:after="0" w:line="240" w:lineRule="auto"/>
        <w:ind w:left="851" w:hanging="851"/>
        <w:contextualSpacing/>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Oladokun, T., Ogunba, O. A., &amp; Adeboye, A. B. (2020). An Assessment of the Impact of </w:t>
      </w:r>
    </w:p>
    <w:p w14:paraId="5318F148" w14:textId="77777777" w:rsidR="007770E7" w:rsidRDefault="007770E7" w:rsidP="007770E7">
      <w:pPr>
        <w:autoSpaceDE w:val="0"/>
        <w:autoSpaceDN w:val="0"/>
        <w:adjustRightInd w:val="0"/>
        <w:spacing w:after="0" w:line="240" w:lineRule="auto"/>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A63CD3" w:rsidRPr="00BE4AF3">
        <w:rPr>
          <w:rFonts w:ascii="Times New Roman" w:hAnsi="Times New Roman" w:cs="Times New Roman"/>
          <w:color w:val="000000"/>
          <w:sz w:val="24"/>
          <w:szCs w:val="24"/>
        </w:rPr>
        <w:t xml:space="preserve">Infrastructure Development on Real Estate Investment Returns in Lagos State, </w:t>
      </w:r>
      <w:r>
        <w:rPr>
          <w:rFonts w:ascii="Times New Roman" w:hAnsi="Times New Roman" w:cs="Times New Roman"/>
          <w:color w:val="000000"/>
          <w:sz w:val="24"/>
          <w:szCs w:val="24"/>
        </w:rPr>
        <w:t xml:space="preserve">   </w:t>
      </w:r>
    </w:p>
    <w:p w14:paraId="00AA7567" w14:textId="51176E9A" w:rsidR="00A63CD3" w:rsidRPr="00BE4AF3" w:rsidRDefault="007770E7" w:rsidP="007770E7">
      <w:pPr>
        <w:autoSpaceDE w:val="0"/>
        <w:autoSpaceDN w:val="0"/>
        <w:adjustRightInd w:val="0"/>
        <w:spacing w:after="0" w:line="240" w:lineRule="auto"/>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A63CD3" w:rsidRPr="00BE4AF3">
        <w:rPr>
          <w:rFonts w:ascii="Times New Roman" w:hAnsi="Times New Roman" w:cs="Times New Roman"/>
          <w:color w:val="000000"/>
          <w:sz w:val="24"/>
          <w:szCs w:val="24"/>
        </w:rPr>
        <w:t>Nigeria. Journal of Sustainable Development in Africa, 22(1), 1-20</w:t>
      </w:r>
    </w:p>
    <w:p w14:paraId="2666A64B" w14:textId="77777777" w:rsidR="00A63CD3" w:rsidRPr="00BE4AF3" w:rsidRDefault="00A63CD3" w:rsidP="007770E7">
      <w:pPr>
        <w:autoSpaceDE w:val="0"/>
        <w:autoSpaceDN w:val="0"/>
        <w:adjustRightInd w:val="0"/>
        <w:spacing w:after="0" w:line="240" w:lineRule="auto"/>
        <w:ind w:left="851" w:hanging="851"/>
        <w:contextualSpacing/>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Leiser, K. &amp; Groh, A.P (2011). The Determinant of international Commercial Real Estate </w:t>
      </w:r>
    </w:p>
    <w:p w14:paraId="4B0655BA" w14:textId="6C12F3E3" w:rsidR="00A63CD3" w:rsidRPr="00BE4AF3" w:rsidRDefault="007770E7" w:rsidP="007770E7">
      <w:pPr>
        <w:autoSpaceDE w:val="0"/>
        <w:autoSpaceDN w:val="0"/>
        <w:adjustRightInd w:val="0"/>
        <w:spacing w:after="0" w:line="240" w:lineRule="auto"/>
        <w:ind w:left="851" w:hanging="851"/>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A63CD3" w:rsidRPr="00BE4AF3">
        <w:rPr>
          <w:rFonts w:ascii="Times New Roman" w:hAnsi="Times New Roman" w:cs="Times New Roman"/>
          <w:color w:val="000000"/>
          <w:sz w:val="24"/>
          <w:szCs w:val="24"/>
        </w:rPr>
        <w:t xml:space="preserve">Investments. </w:t>
      </w:r>
      <w:r w:rsidR="00A63CD3" w:rsidRPr="00BE4AF3">
        <w:rPr>
          <w:rFonts w:ascii="Times New Roman" w:hAnsi="Times New Roman" w:cs="Times New Roman"/>
          <w:i/>
          <w:iCs/>
          <w:color w:val="000000"/>
          <w:sz w:val="24"/>
          <w:szCs w:val="24"/>
        </w:rPr>
        <w:t>Journal of Real Estate Research Institute, 9</w:t>
      </w:r>
      <w:r w:rsidR="00A63CD3" w:rsidRPr="00BE4AF3">
        <w:rPr>
          <w:rFonts w:ascii="Times New Roman" w:hAnsi="Times New Roman" w:cs="Times New Roman"/>
          <w:color w:val="000000"/>
          <w:sz w:val="24"/>
          <w:szCs w:val="24"/>
        </w:rPr>
        <w:t>(2), 22-35, Available at</w:t>
      </w:r>
    </w:p>
    <w:p w14:paraId="4D1394AD" w14:textId="4FF6A413" w:rsidR="00A63CD3" w:rsidRPr="00BE4AF3" w:rsidRDefault="007770E7" w:rsidP="007770E7">
      <w:pPr>
        <w:autoSpaceDE w:val="0"/>
        <w:autoSpaceDN w:val="0"/>
        <w:adjustRightInd w:val="0"/>
        <w:spacing w:after="0" w:line="240" w:lineRule="auto"/>
        <w:ind w:left="851" w:hanging="851"/>
        <w:contextualSpacing/>
        <w:jc w:val="both"/>
        <w:rPr>
          <w:rFonts w:ascii="Times New Roman" w:hAnsi="Times New Roman" w:cs="Times New Roman"/>
          <w:color w:val="000000"/>
          <w:sz w:val="24"/>
          <w:szCs w:val="24"/>
        </w:rPr>
      </w:pPr>
      <w:r>
        <w:t xml:space="preserve">                 </w:t>
      </w:r>
      <w:hyperlink r:id="rId151" w:history="1">
        <w:r w:rsidRPr="00373AB2">
          <w:rPr>
            <w:rStyle w:val="Hyperlink"/>
            <w:rFonts w:ascii="Times New Roman" w:hAnsi="Times New Roman" w:cs="Times New Roman"/>
            <w:sz w:val="24"/>
            <w:szCs w:val="24"/>
          </w:rPr>
          <w:t>http://ssrn.com/abstract</w:t>
        </w:r>
      </w:hyperlink>
    </w:p>
    <w:p w14:paraId="033B99C0" w14:textId="77777777" w:rsidR="00A63CD3" w:rsidRPr="00BE4AF3" w:rsidRDefault="00A63CD3" w:rsidP="007770E7">
      <w:pPr>
        <w:spacing w:after="0" w:line="240" w:lineRule="auto"/>
        <w:ind w:left="851" w:hanging="851"/>
        <w:contextualSpacing/>
        <w:jc w:val="both"/>
        <w:rPr>
          <w:rFonts w:ascii="Times New Roman" w:hAnsi="Times New Roman" w:cs="Times New Roman"/>
          <w:sz w:val="24"/>
          <w:szCs w:val="24"/>
        </w:rPr>
      </w:pPr>
      <w:r w:rsidRPr="00BE4AF3">
        <w:rPr>
          <w:rFonts w:ascii="Times New Roman" w:hAnsi="Times New Roman" w:cs="Times New Roman"/>
          <w:sz w:val="24"/>
          <w:szCs w:val="24"/>
        </w:rPr>
        <w:t xml:space="preserve">Norwich City Council. (2021). Commercial property investment strategy. Retrieved from </w:t>
      </w:r>
    </w:p>
    <w:p w14:paraId="2086199E" w14:textId="05FECCFC" w:rsidR="00A63CD3" w:rsidRPr="00BE4AF3" w:rsidRDefault="007770E7" w:rsidP="007770E7">
      <w:pPr>
        <w:spacing w:after="0" w:line="240" w:lineRule="auto"/>
        <w:ind w:left="851"/>
        <w:contextualSpacing/>
        <w:jc w:val="both"/>
        <w:rPr>
          <w:rFonts w:ascii="Times New Roman" w:hAnsi="Times New Roman" w:cs="Times New Roman"/>
          <w:sz w:val="24"/>
          <w:szCs w:val="24"/>
        </w:rPr>
      </w:pPr>
      <w:hyperlink r:id="rId152" w:history="1">
        <w:r w:rsidRPr="00373AB2">
          <w:rPr>
            <w:rStyle w:val="Hyperlink"/>
            <w:rFonts w:ascii="Times New Roman" w:hAnsi="Times New Roman" w:cs="Times New Roman"/>
            <w:sz w:val="24"/>
            <w:szCs w:val="24"/>
          </w:rPr>
          <w:t>https://file:///C:/Users/SAC%20VALUATION%20UNIT/Downloads/CommercialPropertyInvestmentUpdated2020%20(1).pdf</w:t>
        </w:r>
      </w:hyperlink>
    </w:p>
    <w:p w14:paraId="10AB80CD" w14:textId="4539A9F5" w:rsidR="00A63CD3" w:rsidRPr="00BE4AF3" w:rsidRDefault="00A63CD3" w:rsidP="007770E7">
      <w:pPr>
        <w:autoSpaceDE w:val="0"/>
        <w:autoSpaceDN w:val="0"/>
        <w:adjustRightInd w:val="0"/>
        <w:spacing w:after="0" w:line="240" w:lineRule="auto"/>
        <w:ind w:left="851" w:hanging="851"/>
        <w:contextualSpacing/>
        <w:jc w:val="both"/>
        <w:rPr>
          <w:rFonts w:ascii="Times New Roman" w:hAnsi="Times New Roman" w:cs="Times New Roman"/>
          <w:sz w:val="24"/>
          <w:szCs w:val="24"/>
        </w:rPr>
      </w:pPr>
      <w:r w:rsidRPr="00BE4AF3">
        <w:rPr>
          <w:rFonts w:ascii="Times New Roman" w:hAnsi="Times New Roman" w:cs="Times New Roman"/>
          <w:sz w:val="24"/>
          <w:szCs w:val="24"/>
        </w:rPr>
        <w:t xml:space="preserve">Umeh, O.L., Otegbulu, A.C. &amp; Anule, S.A. (2016). Minimising Risk through Diversification of Commercial Property Investment in Selected Submarkets of Lagos. </w:t>
      </w:r>
      <w:r w:rsidRPr="00BE4AF3">
        <w:rPr>
          <w:rFonts w:ascii="Times New Roman" w:hAnsi="Times New Roman" w:cs="Times New Roman"/>
          <w:i/>
          <w:iCs/>
          <w:sz w:val="24"/>
          <w:szCs w:val="24"/>
        </w:rPr>
        <w:t>Journal of Contemporary Issues in Real Estate,</w:t>
      </w:r>
      <w:r w:rsidRPr="00BE4AF3">
        <w:rPr>
          <w:rFonts w:ascii="Times New Roman" w:hAnsi="Times New Roman" w:cs="Times New Roman"/>
          <w:sz w:val="24"/>
          <w:szCs w:val="24"/>
        </w:rPr>
        <w:t xml:space="preserve"> </w:t>
      </w:r>
      <w:r w:rsidRPr="00BE4AF3">
        <w:rPr>
          <w:rFonts w:ascii="Times New Roman" w:hAnsi="Times New Roman" w:cs="Times New Roman"/>
          <w:i/>
          <w:iCs/>
          <w:sz w:val="24"/>
          <w:szCs w:val="24"/>
        </w:rPr>
        <w:t>3</w:t>
      </w:r>
      <w:r w:rsidRPr="00BE4AF3">
        <w:rPr>
          <w:rFonts w:ascii="Times New Roman" w:hAnsi="Times New Roman" w:cs="Times New Roman"/>
          <w:sz w:val="24"/>
          <w:szCs w:val="24"/>
        </w:rPr>
        <w:t>(1), 33-41.</w:t>
      </w:r>
    </w:p>
    <w:p w14:paraId="1E78E9DA" w14:textId="77777777" w:rsidR="00A63CD3" w:rsidRPr="00BE4AF3" w:rsidRDefault="00A63CD3" w:rsidP="007770E7">
      <w:pPr>
        <w:autoSpaceDE w:val="0"/>
        <w:autoSpaceDN w:val="0"/>
        <w:adjustRightInd w:val="0"/>
        <w:spacing w:after="0" w:line="240" w:lineRule="auto"/>
        <w:ind w:left="851" w:hanging="851"/>
        <w:contextualSpacing/>
        <w:jc w:val="both"/>
        <w:rPr>
          <w:rFonts w:ascii="Times New Roman" w:hAnsi="Times New Roman" w:cs="Times New Roman"/>
          <w:sz w:val="24"/>
          <w:szCs w:val="24"/>
        </w:rPr>
      </w:pPr>
      <w:r w:rsidRPr="00BE4AF3">
        <w:rPr>
          <w:rFonts w:ascii="Times New Roman" w:hAnsi="Times New Roman" w:cs="Times New Roman"/>
          <w:sz w:val="24"/>
          <w:szCs w:val="24"/>
        </w:rPr>
        <w:t xml:space="preserve">Watson, J., (2001). How to Determine a Sample Size: Tipsheet ₦60. University Park, PA: Penn </w:t>
      </w:r>
    </w:p>
    <w:p w14:paraId="1FB01E93" w14:textId="29907A43" w:rsidR="00A63CD3" w:rsidRPr="00BE4AF3" w:rsidRDefault="007770E7" w:rsidP="007770E7">
      <w:pPr>
        <w:autoSpaceDE w:val="0"/>
        <w:autoSpaceDN w:val="0"/>
        <w:adjustRightInd w:val="0"/>
        <w:spacing w:after="0" w:line="240" w:lineRule="auto"/>
        <w:ind w:left="851" w:hanging="851"/>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A63CD3" w:rsidRPr="00BE4AF3">
        <w:rPr>
          <w:rFonts w:ascii="Times New Roman" w:hAnsi="Times New Roman" w:cs="Times New Roman"/>
          <w:sz w:val="24"/>
          <w:szCs w:val="24"/>
        </w:rPr>
        <w:t>State Cooperative Extension Retrieved from http://www.extension.psu.edu/evaluation/pdf/TS60.pdf.</w:t>
      </w:r>
    </w:p>
    <w:p w14:paraId="4291A0BA" w14:textId="77777777" w:rsidR="00A63CD3" w:rsidRDefault="00A63CD3" w:rsidP="00A63CD3">
      <w:pPr>
        <w:spacing w:line="480" w:lineRule="auto"/>
        <w:jc w:val="both"/>
        <w:rPr>
          <w:rFonts w:ascii="Times New Roman" w:hAnsi="Times New Roman" w:cs="Times New Roman"/>
          <w:bCs/>
          <w:kern w:val="32"/>
          <w:sz w:val="24"/>
          <w:szCs w:val="24"/>
        </w:rPr>
      </w:pPr>
    </w:p>
    <w:p w14:paraId="219075E4" w14:textId="77777777" w:rsidR="007770E7" w:rsidRDefault="007770E7" w:rsidP="00A63CD3">
      <w:pPr>
        <w:spacing w:line="480" w:lineRule="auto"/>
        <w:jc w:val="both"/>
        <w:rPr>
          <w:rFonts w:ascii="Times New Roman" w:hAnsi="Times New Roman" w:cs="Times New Roman"/>
          <w:bCs/>
          <w:kern w:val="32"/>
          <w:sz w:val="24"/>
          <w:szCs w:val="24"/>
        </w:rPr>
      </w:pPr>
    </w:p>
    <w:p w14:paraId="3DF98CD3" w14:textId="77777777" w:rsidR="007770E7" w:rsidRDefault="007770E7" w:rsidP="00A63CD3">
      <w:pPr>
        <w:spacing w:line="480" w:lineRule="auto"/>
        <w:jc w:val="both"/>
        <w:rPr>
          <w:rFonts w:ascii="Times New Roman" w:hAnsi="Times New Roman" w:cs="Times New Roman"/>
          <w:bCs/>
          <w:kern w:val="32"/>
          <w:sz w:val="24"/>
          <w:szCs w:val="24"/>
        </w:rPr>
      </w:pPr>
    </w:p>
    <w:p w14:paraId="6CCF9E0A" w14:textId="77777777" w:rsidR="007770E7" w:rsidRDefault="007770E7" w:rsidP="00A63CD3">
      <w:pPr>
        <w:spacing w:line="480" w:lineRule="auto"/>
        <w:jc w:val="both"/>
        <w:rPr>
          <w:rFonts w:ascii="Times New Roman" w:hAnsi="Times New Roman" w:cs="Times New Roman"/>
          <w:bCs/>
          <w:kern w:val="32"/>
          <w:sz w:val="24"/>
          <w:szCs w:val="24"/>
        </w:rPr>
      </w:pPr>
    </w:p>
    <w:p w14:paraId="2BE357DF" w14:textId="77777777" w:rsidR="007770E7" w:rsidRDefault="007770E7" w:rsidP="00A63CD3">
      <w:pPr>
        <w:spacing w:line="480" w:lineRule="auto"/>
        <w:jc w:val="both"/>
        <w:rPr>
          <w:rFonts w:ascii="Times New Roman" w:hAnsi="Times New Roman" w:cs="Times New Roman"/>
          <w:bCs/>
          <w:kern w:val="32"/>
          <w:sz w:val="24"/>
          <w:szCs w:val="24"/>
        </w:rPr>
      </w:pPr>
    </w:p>
    <w:p w14:paraId="0CF71514" w14:textId="77777777" w:rsidR="007770E7" w:rsidRDefault="007770E7" w:rsidP="00A63CD3">
      <w:pPr>
        <w:spacing w:line="480" w:lineRule="auto"/>
        <w:jc w:val="both"/>
        <w:rPr>
          <w:rFonts w:ascii="Times New Roman" w:hAnsi="Times New Roman" w:cs="Times New Roman"/>
          <w:bCs/>
          <w:kern w:val="32"/>
          <w:sz w:val="24"/>
          <w:szCs w:val="24"/>
        </w:rPr>
      </w:pPr>
    </w:p>
    <w:p w14:paraId="0B44899C" w14:textId="77777777" w:rsidR="007770E7" w:rsidRDefault="007770E7" w:rsidP="00A63CD3">
      <w:pPr>
        <w:spacing w:line="480" w:lineRule="auto"/>
        <w:jc w:val="both"/>
        <w:rPr>
          <w:rFonts w:ascii="Times New Roman" w:hAnsi="Times New Roman" w:cs="Times New Roman"/>
          <w:bCs/>
          <w:kern w:val="32"/>
          <w:sz w:val="24"/>
          <w:szCs w:val="24"/>
        </w:rPr>
      </w:pPr>
    </w:p>
    <w:p w14:paraId="794E6D2A" w14:textId="77777777" w:rsidR="007770E7" w:rsidRPr="00BE4AF3" w:rsidRDefault="007770E7" w:rsidP="00A63CD3">
      <w:pPr>
        <w:spacing w:line="480" w:lineRule="auto"/>
        <w:jc w:val="both"/>
        <w:rPr>
          <w:rFonts w:ascii="Times New Roman" w:hAnsi="Times New Roman" w:cs="Times New Roman"/>
          <w:bCs/>
          <w:kern w:val="32"/>
          <w:sz w:val="24"/>
          <w:szCs w:val="24"/>
        </w:rPr>
      </w:pPr>
    </w:p>
    <w:p w14:paraId="67CFE9AB" w14:textId="77777777" w:rsidR="00AD00E5" w:rsidRPr="007770E7" w:rsidRDefault="00AD00E5" w:rsidP="000C7355">
      <w:pPr>
        <w:spacing w:after="0" w:line="240" w:lineRule="auto"/>
        <w:jc w:val="center"/>
        <w:rPr>
          <w:rFonts w:ascii="Times New Roman" w:hAnsi="Times New Roman" w:cs="Times New Roman"/>
          <w:b/>
          <w:bCs/>
          <w:sz w:val="28"/>
          <w:szCs w:val="28"/>
        </w:rPr>
      </w:pPr>
      <w:r w:rsidRPr="007770E7">
        <w:rPr>
          <w:rFonts w:ascii="Times New Roman" w:hAnsi="Times New Roman" w:cs="Times New Roman"/>
          <w:b/>
          <w:bCs/>
          <w:sz w:val="28"/>
          <w:szCs w:val="28"/>
        </w:rPr>
        <w:lastRenderedPageBreak/>
        <w:t>Retrieval of Integrated Water Vapor from Space-Based RO Measurements over Nigeria</w:t>
      </w:r>
      <w:r w:rsidRPr="007770E7">
        <w:rPr>
          <w:rFonts w:ascii="Times New Roman" w:hAnsi="Times New Roman" w:cs="Times New Roman"/>
          <w:b/>
          <w:bCs/>
          <w:sz w:val="28"/>
          <w:szCs w:val="28"/>
        </w:rPr>
        <w:br/>
      </w:r>
    </w:p>
    <w:p w14:paraId="2E4426C1" w14:textId="77777777" w:rsidR="00AD00E5" w:rsidRPr="00BE4AF3" w:rsidRDefault="00AD00E5" w:rsidP="00E90BB6">
      <w:pPr>
        <w:spacing w:after="0" w:line="240" w:lineRule="auto"/>
        <w:jc w:val="center"/>
        <w:rPr>
          <w:rFonts w:ascii="Times New Roman" w:hAnsi="Times New Roman" w:cs="Times New Roman"/>
          <w:bCs/>
          <w:sz w:val="24"/>
          <w:szCs w:val="24"/>
        </w:rPr>
      </w:pPr>
      <w:r w:rsidRPr="00BE4AF3">
        <w:rPr>
          <w:rFonts w:ascii="Times New Roman" w:hAnsi="Times New Roman" w:cs="Times New Roman"/>
          <w:bCs/>
          <w:sz w:val="24"/>
          <w:szCs w:val="24"/>
          <w:vertAlign w:val="superscript"/>
        </w:rPr>
        <w:t>*</w:t>
      </w:r>
      <w:r w:rsidRPr="00BE4AF3">
        <w:rPr>
          <w:rFonts w:ascii="Times New Roman" w:hAnsi="Times New Roman" w:cs="Times New Roman"/>
          <w:bCs/>
          <w:sz w:val="24"/>
          <w:szCs w:val="24"/>
        </w:rPr>
        <w:t xml:space="preserve">Zhiri, T. Y. </w:t>
      </w:r>
      <w:r w:rsidRPr="00BE4AF3">
        <w:rPr>
          <w:rFonts w:ascii="Times New Roman" w:hAnsi="Times New Roman" w:cs="Times New Roman"/>
          <w:bCs/>
          <w:sz w:val="24"/>
          <w:szCs w:val="24"/>
          <w:vertAlign w:val="superscript"/>
        </w:rPr>
        <w:t>1</w:t>
      </w:r>
      <w:r w:rsidRPr="00BE4AF3">
        <w:rPr>
          <w:rFonts w:ascii="Times New Roman" w:hAnsi="Times New Roman" w:cs="Times New Roman"/>
          <w:bCs/>
          <w:sz w:val="24"/>
          <w:szCs w:val="24"/>
        </w:rPr>
        <w:t>, Musa, A.</w:t>
      </w:r>
      <w:r w:rsidRPr="00BE4AF3">
        <w:rPr>
          <w:rFonts w:ascii="Times New Roman" w:hAnsi="Times New Roman" w:cs="Times New Roman"/>
          <w:bCs/>
          <w:sz w:val="24"/>
          <w:szCs w:val="24"/>
          <w:vertAlign w:val="superscript"/>
        </w:rPr>
        <w:t>2</w:t>
      </w:r>
      <w:r w:rsidRPr="00BE4AF3">
        <w:rPr>
          <w:rFonts w:ascii="Times New Roman" w:hAnsi="Times New Roman" w:cs="Times New Roman"/>
          <w:bCs/>
          <w:sz w:val="24"/>
          <w:szCs w:val="24"/>
        </w:rPr>
        <w:t>, Opaluwa Y. D.</w:t>
      </w:r>
      <w:r w:rsidRPr="00BE4AF3">
        <w:rPr>
          <w:rFonts w:ascii="Times New Roman" w:hAnsi="Times New Roman" w:cs="Times New Roman"/>
          <w:bCs/>
          <w:sz w:val="24"/>
          <w:szCs w:val="24"/>
          <w:vertAlign w:val="superscript"/>
        </w:rPr>
        <w:t>3</w:t>
      </w:r>
      <w:r w:rsidRPr="00BE4AF3">
        <w:rPr>
          <w:rFonts w:ascii="Times New Roman" w:hAnsi="Times New Roman" w:cs="Times New Roman"/>
          <w:bCs/>
          <w:sz w:val="24"/>
          <w:szCs w:val="24"/>
        </w:rPr>
        <w:t>, Folaranmi. J.</w:t>
      </w:r>
      <w:r w:rsidRPr="00BE4AF3">
        <w:rPr>
          <w:rFonts w:ascii="Times New Roman" w:hAnsi="Times New Roman" w:cs="Times New Roman"/>
          <w:bCs/>
          <w:sz w:val="24"/>
          <w:szCs w:val="24"/>
          <w:vertAlign w:val="superscript"/>
        </w:rPr>
        <w:t>4</w:t>
      </w:r>
      <w:r w:rsidRPr="00BE4AF3">
        <w:rPr>
          <w:rFonts w:ascii="Times New Roman" w:hAnsi="Times New Roman" w:cs="Times New Roman"/>
          <w:bCs/>
          <w:sz w:val="24"/>
          <w:szCs w:val="24"/>
        </w:rPr>
        <w:t>,</w:t>
      </w:r>
    </w:p>
    <w:p w14:paraId="078F8798" w14:textId="77777777" w:rsidR="00AD00E5" w:rsidRPr="00BE4AF3" w:rsidRDefault="00AD00E5" w:rsidP="00E90BB6">
      <w:pPr>
        <w:spacing w:after="0" w:line="240" w:lineRule="auto"/>
        <w:jc w:val="center"/>
        <w:rPr>
          <w:rFonts w:ascii="Times New Roman" w:hAnsi="Times New Roman" w:cs="Times New Roman"/>
          <w:sz w:val="24"/>
          <w:szCs w:val="24"/>
          <w:vertAlign w:val="superscript"/>
        </w:rPr>
      </w:pPr>
    </w:p>
    <w:p w14:paraId="28517EA7" w14:textId="77777777" w:rsidR="00AD00E5" w:rsidRPr="00433976" w:rsidRDefault="00AD00E5" w:rsidP="00E90BB6">
      <w:pPr>
        <w:spacing w:after="0" w:line="240" w:lineRule="auto"/>
        <w:jc w:val="center"/>
        <w:rPr>
          <w:rFonts w:ascii="Times New Roman" w:hAnsi="Times New Roman" w:cs="Times New Roman"/>
          <w:b/>
          <w:bCs/>
          <w:sz w:val="20"/>
          <w:szCs w:val="20"/>
          <w:vertAlign w:val="superscript"/>
        </w:rPr>
      </w:pPr>
      <w:r w:rsidRPr="00433976">
        <w:rPr>
          <w:rFonts w:ascii="Times New Roman" w:hAnsi="Times New Roman" w:cs="Times New Roman"/>
          <w:sz w:val="20"/>
          <w:szCs w:val="20"/>
          <w:vertAlign w:val="superscript"/>
        </w:rPr>
        <w:t>1234</w:t>
      </w:r>
      <w:r w:rsidRPr="00433976">
        <w:rPr>
          <w:rFonts w:ascii="Times New Roman" w:hAnsi="Times New Roman" w:cs="Times New Roman"/>
          <w:sz w:val="20"/>
          <w:szCs w:val="20"/>
        </w:rPr>
        <w:t xml:space="preserve"> Department of Surveying and Geoinformatics, Federal University of Technology Minna, Niger State, Nigeria. </w:t>
      </w:r>
      <w:r w:rsidRPr="00433976">
        <w:rPr>
          <w:rFonts w:ascii="Times New Roman" w:hAnsi="Times New Roman" w:cs="Times New Roman"/>
          <w:sz w:val="20"/>
          <w:szCs w:val="20"/>
        </w:rPr>
        <w:br/>
      </w:r>
    </w:p>
    <w:p w14:paraId="59749B7E" w14:textId="77777777" w:rsidR="00AD00E5" w:rsidRPr="00433976" w:rsidRDefault="00AD00E5" w:rsidP="00E90BB6">
      <w:pPr>
        <w:spacing w:after="0" w:line="240" w:lineRule="auto"/>
        <w:jc w:val="center"/>
        <w:rPr>
          <w:rFonts w:ascii="Times New Roman" w:hAnsi="Times New Roman" w:cs="Times New Roman"/>
          <w:sz w:val="20"/>
          <w:szCs w:val="20"/>
        </w:rPr>
      </w:pPr>
      <w:r w:rsidRPr="00433976">
        <w:rPr>
          <w:rFonts w:ascii="Times New Roman" w:hAnsi="Times New Roman" w:cs="Times New Roman"/>
          <w:b/>
          <w:bCs/>
          <w:sz w:val="20"/>
          <w:szCs w:val="20"/>
          <w:vertAlign w:val="superscript"/>
        </w:rPr>
        <w:t>*</w:t>
      </w:r>
      <w:r w:rsidRPr="00433976">
        <w:rPr>
          <w:rFonts w:ascii="Times New Roman" w:hAnsi="Times New Roman" w:cs="Times New Roman"/>
          <w:sz w:val="20"/>
          <w:szCs w:val="20"/>
        </w:rPr>
        <w:t xml:space="preserve">Corresponding Author: </w:t>
      </w:r>
      <w:r w:rsidRPr="00433976">
        <w:rPr>
          <w:rFonts w:ascii="Times New Roman" w:hAnsi="Times New Roman" w:cs="Times New Roman"/>
          <w:sz w:val="20"/>
          <w:szCs w:val="20"/>
        </w:rPr>
        <w:fldChar w:fldCharType="begin"/>
      </w:r>
      <w:r w:rsidRPr="00433976">
        <w:rPr>
          <w:rFonts w:ascii="Times New Roman" w:hAnsi="Times New Roman" w:cs="Times New Roman"/>
          <w:sz w:val="20"/>
          <w:szCs w:val="20"/>
        </w:rPr>
        <w:instrText xml:space="preserve"> HYPERLINK "mailto:titusyetu@gmail.com</w:instrText>
      </w:r>
      <w:r w:rsidRPr="00433976">
        <w:rPr>
          <w:rFonts w:ascii="Times New Roman" w:hAnsi="Times New Roman" w:cs="Times New Roman"/>
          <w:sz w:val="20"/>
          <w:szCs w:val="20"/>
        </w:rPr>
        <w:tab/>
      </w:r>
      <w:r w:rsidRPr="00433976">
        <w:rPr>
          <w:rFonts w:ascii="Times New Roman" w:hAnsi="Times New Roman" w:cs="Times New Roman"/>
          <w:sz w:val="20"/>
          <w:szCs w:val="20"/>
        </w:rPr>
        <w:tab/>
        <w:instrText>Phone Number: +2347044350087</w:instrText>
      </w:r>
    </w:p>
    <w:p w14:paraId="697E0DE8" w14:textId="77777777" w:rsidR="00AD00E5" w:rsidRPr="00433976" w:rsidRDefault="00AD00E5" w:rsidP="00E90BB6">
      <w:pPr>
        <w:spacing w:after="0" w:line="240" w:lineRule="auto"/>
        <w:jc w:val="center"/>
        <w:rPr>
          <w:rFonts w:ascii="Times New Roman" w:hAnsi="Times New Roman" w:cs="Times New Roman"/>
          <w:sz w:val="20"/>
          <w:szCs w:val="20"/>
        </w:rPr>
      </w:pPr>
    </w:p>
    <w:p w14:paraId="23E87505" w14:textId="77777777" w:rsidR="00AD00E5" w:rsidRPr="00433976" w:rsidRDefault="00AD00E5" w:rsidP="00E90BB6">
      <w:pPr>
        <w:spacing w:after="0" w:line="240" w:lineRule="auto"/>
        <w:jc w:val="center"/>
        <w:rPr>
          <w:rStyle w:val="Hyperlink"/>
          <w:rFonts w:ascii="Times New Roman" w:hAnsi="Times New Roman" w:cs="Times New Roman"/>
          <w:color w:val="auto"/>
          <w:sz w:val="20"/>
          <w:szCs w:val="20"/>
          <w:u w:val="none"/>
        </w:rPr>
      </w:pPr>
      <w:r w:rsidRPr="00433976">
        <w:rPr>
          <w:rFonts w:ascii="Times New Roman" w:hAnsi="Times New Roman" w:cs="Times New Roman"/>
          <w:sz w:val="20"/>
          <w:szCs w:val="20"/>
        </w:rPr>
        <w:instrText xml:space="preserve">" </w:instrText>
      </w:r>
      <w:r w:rsidRPr="00433976">
        <w:rPr>
          <w:rFonts w:ascii="Times New Roman" w:hAnsi="Times New Roman" w:cs="Times New Roman"/>
          <w:sz w:val="20"/>
          <w:szCs w:val="20"/>
        </w:rPr>
      </w:r>
      <w:r w:rsidRPr="00433976">
        <w:rPr>
          <w:rFonts w:ascii="Times New Roman" w:hAnsi="Times New Roman" w:cs="Times New Roman"/>
          <w:sz w:val="20"/>
          <w:szCs w:val="20"/>
        </w:rPr>
        <w:fldChar w:fldCharType="separate"/>
      </w:r>
      <w:r w:rsidRPr="00433976">
        <w:rPr>
          <w:rStyle w:val="Hyperlink"/>
          <w:rFonts w:ascii="Times New Roman" w:hAnsi="Times New Roman" w:cs="Times New Roman"/>
          <w:color w:val="auto"/>
          <w:sz w:val="20"/>
          <w:szCs w:val="20"/>
          <w:u w:val="none"/>
        </w:rPr>
        <w:t>titusyetu@gmail.com Phone Number: +2347044350087</w:t>
      </w:r>
    </w:p>
    <w:p w14:paraId="27DDFE56" w14:textId="77777777" w:rsidR="00AD00E5" w:rsidRPr="00433976" w:rsidRDefault="00AD00E5" w:rsidP="00E90BB6">
      <w:pPr>
        <w:spacing w:after="0" w:line="240" w:lineRule="auto"/>
        <w:jc w:val="center"/>
        <w:rPr>
          <w:rStyle w:val="Hyperlink"/>
          <w:rFonts w:ascii="Times New Roman" w:hAnsi="Times New Roman" w:cs="Times New Roman"/>
          <w:color w:val="auto"/>
          <w:sz w:val="20"/>
          <w:szCs w:val="20"/>
          <w:u w:val="none"/>
        </w:rPr>
      </w:pPr>
    </w:p>
    <w:p w14:paraId="0A72E198" w14:textId="77777777" w:rsidR="00AD00E5" w:rsidRPr="00BE4AF3" w:rsidRDefault="00AD00E5" w:rsidP="00E90BB6">
      <w:pPr>
        <w:spacing w:after="0" w:line="240" w:lineRule="auto"/>
        <w:jc w:val="both"/>
        <w:rPr>
          <w:rFonts w:ascii="Times New Roman" w:hAnsi="Times New Roman" w:cs="Times New Roman"/>
          <w:b/>
          <w:sz w:val="24"/>
          <w:szCs w:val="24"/>
        </w:rPr>
      </w:pPr>
      <w:r w:rsidRPr="00433976">
        <w:rPr>
          <w:rFonts w:ascii="Times New Roman" w:hAnsi="Times New Roman" w:cs="Times New Roman"/>
          <w:sz w:val="20"/>
          <w:szCs w:val="20"/>
        </w:rPr>
        <w:fldChar w:fldCharType="end"/>
      </w:r>
      <w:r w:rsidRPr="00BE4AF3">
        <w:rPr>
          <w:rFonts w:ascii="Times New Roman" w:hAnsi="Times New Roman" w:cs="Times New Roman"/>
          <w:b/>
          <w:sz w:val="24"/>
          <w:szCs w:val="24"/>
        </w:rPr>
        <w:t>LICFES 2025-054-FP22</w:t>
      </w:r>
    </w:p>
    <w:p w14:paraId="7445281B" w14:textId="77777777" w:rsidR="00AD00E5" w:rsidRPr="00BE4AF3" w:rsidRDefault="00AD00E5" w:rsidP="00E90BB6">
      <w:pPr>
        <w:spacing w:after="0" w:line="240" w:lineRule="auto"/>
        <w:jc w:val="both"/>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Abstract</w:t>
      </w:r>
    </w:p>
    <w:p w14:paraId="1C20943D" w14:textId="77777777" w:rsidR="00AD00E5" w:rsidRPr="00BE4AF3" w:rsidRDefault="00AD00E5" w:rsidP="00E90BB6">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This study focuses on the retrieval of Integrated Water Vapor (IWV) over Nigeria using space-based Global Navigation Satellite System (GNSS) Radio Occultation (RO) measurements, with the aim of enhancing weather forecasting and flood prediction capabilities. The research leverages data from the COSMIC-2 (utilising the global positioning system (GPS) - G and GLONASS (R) sensors) missions for the year 2022. The data was processed using MATLAB R2024a to derive wet refractivity, zenith wet delay (ZWD), and ultimately IWV. The derived IWV estimates were validated against the European Centre for Medium-Range Weather Forecasts (ECMWF) Numerical Weather Prediction (NWP) model to assess accuracy and reliability. Results indicate strong correlation between RO-derived IWV and ECMWF model data, particularly for COSMIC 2 sensors (correlation coefficients of 0.9119 and 0.8761 for GPS (G) and GLONASS (R) sensors, respectively), The study highlights the potential of GNSS RO technology to complement traditional meteorological observations in Nigeria, offering high vertical resolution and global coverage. However, systematic negative biases in RO-derived IWV were observed, attributed to retrieval errors in the tropical lower troposphere. These findings underscore the utility of GNSS RO for atmospheric monitoring in data-sparse regions and its potential to improve weather and climate models in tropical environments.</w:t>
      </w:r>
    </w:p>
    <w:p w14:paraId="28E3A886" w14:textId="77777777" w:rsidR="000C7355" w:rsidRPr="00BE4AF3" w:rsidRDefault="000C7355" w:rsidP="00E90BB6">
      <w:pPr>
        <w:spacing w:after="0" w:line="240" w:lineRule="auto"/>
        <w:rPr>
          <w:rFonts w:ascii="Times New Roman" w:eastAsia="Times New Roman" w:hAnsi="Times New Roman" w:cs="Times New Roman"/>
          <w:b/>
          <w:sz w:val="24"/>
          <w:szCs w:val="24"/>
        </w:rPr>
      </w:pPr>
    </w:p>
    <w:p w14:paraId="40C4F7A5" w14:textId="77777777" w:rsidR="00AD00E5" w:rsidRDefault="00AD00E5" w:rsidP="000C7355">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b/>
          <w:sz w:val="24"/>
          <w:szCs w:val="24"/>
        </w:rPr>
        <w:t xml:space="preserve">Keywords: </w:t>
      </w:r>
      <w:r w:rsidRPr="00BE4AF3">
        <w:rPr>
          <w:rFonts w:ascii="Times New Roman" w:eastAsia="Times New Roman" w:hAnsi="Times New Roman" w:cs="Times New Roman"/>
          <w:sz w:val="24"/>
          <w:szCs w:val="24"/>
        </w:rPr>
        <w:t>Global Navigation Satellite System (GNSS), Integrated Water Vapor (IWV), Radio Occultation (RO), COSMIC 2</w:t>
      </w:r>
    </w:p>
    <w:p w14:paraId="05D12266" w14:textId="77777777" w:rsidR="00433976" w:rsidRPr="00BE4AF3" w:rsidRDefault="00433976" w:rsidP="000C7355">
      <w:pPr>
        <w:spacing w:after="0" w:line="240" w:lineRule="auto"/>
        <w:jc w:val="both"/>
        <w:rPr>
          <w:rFonts w:ascii="Times New Roman" w:hAnsi="Times New Roman" w:cs="Times New Roman"/>
          <w:sz w:val="24"/>
          <w:szCs w:val="24"/>
        </w:rPr>
      </w:pPr>
    </w:p>
    <w:p w14:paraId="16D580AA" w14:textId="77777777" w:rsidR="00A63CD3" w:rsidRPr="00433976" w:rsidRDefault="00A63CD3" w:rsidP="00433976">
      <w:pPr>
        <w:pStyle w:val="Heading2"/>
        <w:keepNext w:val="0"/>
        <w:keepLines w:val="0"/>
        <w:spacing w:before="0" w:line="240" w:lineRule="auto"/>
        <w:jc w:val="both"/>
        <w:rPr>
          <w:rFonts w:ascii="Times New Roman" w:hAnsi="Times New Roman" w:cs="Times New Roman"/>
          <w:color w:val="auto"/>
          <w:sz w:val="24"/>
          <w:szCs w:val="24"/>
        </w:rPr>
      </w:pPr>
      <w:r w:rsidRPr="00433976">
        <w:rPr>
          <w:rFonts w:ascii="Times New Roman" w:hAnsi="Times New Roman" w:cs="Times New Roman"/>
          <w:color w:val="auto"/>
          <w:sz w:val="24"/>
          <w:szCs w:val="24"/>
        </w:rPr>
        <w:t>Introduction</w:t>
      </w:r>
    </w:p>
    <w:p w14:paraId="17B5A73E" w14:textId="43214BD1" w:rsidR="00A63CD3" w:rsidRPr="00433976" w:rsidRDefault="00A63CD3" w:rsidP="00433976">
      <w:pPr>
        <w:pStyle w:val="NormalWeb"/>
        <w:spacing w:before="0" w:beforeAutospacing="0" w:after="0" w:afterAutospacing="0"/>
        <w:jc w:val="both"/>
      </w:pPr>
      <w:r w:rsidRPr="00433976">
        <w:t xml:space="preserve">Atmospheric water vapor is a critical component of the climate system, accounting for up to 4% of the total atmospheric volume and is predominantly concentrated in the lower troposphere (Melsheimer and Heygster, 2008), it is the most abundant greenhouse gas, strongly influencing atmospheric stability and energy transport.  Its dynamic nature greatly influences weather phenomena, climate variability, and energy transformation within the atmosphere. Therefore, accurate monitoring and understanding of water vapor distribution, variability, and trends is essential for enhancing weather forecasting capabilities and climate change assessments (Shi et al., 2015; Opaluwa, 2017; Huang et al., 2021; Chen et al., 2021). Atmospheric water vapour is commonly expressed as either precipitable water vapour (PWV), which represents the total depth of liquid water obtained if all vapour in a vertical column of the atmosphere were condensed, or integrated water vapour (IWV), which denotes the vertically integrated amount of water vapour along that column. A variety of techniques have been developed by atmospheric scientists to measure the vertical and horizontal distribution of water vapour (Opaluwa, 2017). </w:t>
      </w:r>
    </w:p>
    <w:p w14:paraId="2EDDB2D1" w14:textId="77777777" w:rsidR="00A63CD3" w:rsidRPr="00433976" w:rsidRDefault="00A63CD3" w:rsidP="00433976">
      <w:pPr>
        <w:pStyle w:val="NormalWeb"/>
        <w:spacing w:before="0" w:beforeAutospacing="0" w:after="0" w:afterAutospacing="0"/>
        <w:jc w:val="both"/>
      </w:pPr>
      <w:r w:rsidRPr="00433976">
        <w:t xml:space="preserve">A variety of observational techniques have been developed to measure atmospheric water vapor. These methods can be broadly categorized into ground-based and space-based observation systems. The traditional ground-based techniques such as radiosondes, microwave </w:t>
      </w:r>
      <w:r w:rsidRPr="00433976">
        <w:lastRenderedPageBreak/>
        <w:t xml:space="preserve">radiometers, and sun photometers provide reliable atmospheric profiles but are often constrained by high operational costs, limited spatial and temporal coverage, and degraded sensor performance under extreme environmental conditions (Gong </w:t>
      </w:r>
      <w:r w:rsidRPr="00433976">
        <w:rPr>
          <w:i/>
          <w:iCs/>
        </w:rPr>
        <w:t>et al.,</w:t>
      </w:r>
      <w:r w:rsidRPr="00433976">
        <w:t xml:space="preserve"> 2018; Kotthaus, </w:t>
      </w:r>
      <w:r w:rsidRPr="00433976">
        <w:rPr>
          <w:i/>
          <w:iCs/>
        </w:rPr>
        <w:t>et al.,</w:t>
      </w:r>
      <w:r w:rsidRPr="00433976">
        <w:t xml:space="preserve"> 2023). Although radiosondes are widely used as reference instruments for atmospheric sounding, their limitations in offering real-time, continuous, and global-scale observations hinder their effectiveness for long-term climate monitoring (Kremser </w:t>
      </w:r>
      <w:r w:rsidRPr="00433976">
        <w:rPr>
          <w:i/>
          <w:iCs/>
        </w:rPr>
        <w:t xml:space="preserve">et al., </w:t>
      </w:r>
      <w:r w:rsidRPr="00433976">
        <w:t xml:space="preserve">2018; Guo </w:t>
      </w:r>
      <w:r w:rsidRPr="00433976">
        <w:rPr>
          <w:i/>
          <w:iCs/>
        </w:rPr>
        <w:t xml:space="preserve">et al., </w:t>
      </w:r>
      <w:r w:rsidRPr="00433976">
        <w:t>2021).</w:t>
      </w:r>
    </w:p>
    <w:p w14:paraId="0A21C5BC" w14:textId="77777777" w:rsidR="00A63CD3" w:rsidRPr="00433976" w:rsidRDefault="00A63CD3" w:rsidP="00433976">
      <w:pPr>
        <w:pStyle w:val="NormalWeb"/>
        <w:spacing w:before="0" w:beforeAutospacing="0" w:after="0" w:afterAutospacing="0"/>
        <w:jc w:val="both"/>
      </w:pPr>
      <w:r w:rsidRPr="00433976">
        <w:t xml:space="preserve">GNSS Radio Occultation (RO) has emerged as a transformative space-based remote sensing technique, particularly effective for retrieving high resolution vertical profiles of atmospheric parameters such as refractivity, temperature, pressure, and water vapor. It has a high vertical resolution of less than 100m and insensitivity to clouds make it especially valuable for profiling water vapor in the lower and middle troposphere regions critical for weather forecasting and climate studies (Kursinski &amp; Gebhardt, 2014;  Zeng </w:t>
      </w:r>
      <w:r w:rsidRPr="00433976">
        <w:rPr>
          <w:i/>
          <w:iCs/>
        </w:rPr>
        <w:t>et al.,</w:t>
      </w:r>
      <w:r w:rsidRPr="00433976">
        <w:t xml:space="preserve"> 2019; Leroy </w:t>
      </w:r>
      <w:r w:rsidRPr="00433976">
        <w:rPr>
          <w:i/>
          <w:iCs/>
        </w:rPr>
        <w:t>et al.,</w:t>
      </w:r>
      <w:r w:rsidRPr="00433976">
        <w:t xml:space="preserve"> 2024).</w:t>
      </w:r>
    </w:p>
    <w:p w14:paraId="4CAB6D8D" w14:textId="77777777" w:rsidR="00A63CD3" w:rsidRPr="00433976" w:rsidRDefault="00A63CD3" w:rsidP="00433976">
      <w:pPr>
        <w:pStyle w:val="NormalWeb"/>
        <w:spacing w:before="0" w:beforeAutospacing="0" w:after="0" w:afterAutospacing="0"/>
        <w:jc w:val="both"/>
      </w:pPr>
      <w:r w:rsidRPr="00433976">
        <w:t xml:space="preserve">Unlike ground-based GPS meteorology, which relies on receivers stationed on the Earth's surface, GPS RO employs receivers onboard low-Earth orbiting (LEO) satellites. These satellites detect signals transmitted by Global Navigation Satellite System (GNSS) satellites as they set or rise behind the Earth’s atmospheric limb. During such occultation events, signals traverse the Earth’s atmosphere and undergo bending due to vertical gradients in refractive index, which is primarily a function of temperature, pressure, and water vapor (Wee et al., 2022; Leroy </w:t>
      </w:r>
      <w:r w:rsidRPr="00433976">
        <w:rPr>
          <w:i/>
          <w:iCs/>
        </w:rPr>
        <w:t>et al.,</w:t>
      </w:r>
      <w:r w:rsidRPr="00433976">
        <w:t xml:space="preserve"> 2024).</w:t>
      </w:r>
    </w:p>
    <w:p w14:paraId="67969329" w14:textId="77777777" w:rsidR="00A63CD3" w:rsidRPr="00433976" w:rsidRDefault="00A63CD3" w:rsidP="00433976">
      <w:pPr>
        <w:pStyle w:val="NormalWeb"/>
        <w:spacing w:before="0" w:beforeAutospacing="0" w:after="0" w:afterAutospacing="0"/>
        <w:jc w:val="both"/>
      </w:pPr>
      <w:r w:rsidRPr="00433976">
        <w:t>The fundamental measurement in RO is the phase delay of the signal, which enables the derivation of bending angles and subsequently, the atmospheric refractivity profile (Hajj et al., 2002). The process is inherently precise, with absolute timing calibration to within one part in 10¹</w:t>
      </w:r>
      <w:r w:rsidRPr="00433976">
        <w:rPr>
          <w:rFonts w:ascii="Cambria Math" w:hAnsi="Cambria Math" w:cs="Cambria Math"/>
        </w:rPr>
        <w:t>⁵</w:t>
      </w:r>
      <w:r w:rsidRPr="00433976">
        <w:t xml:space="preserve">, and is most accurate within the upper troposphere and lower stratosphere (8–30 km altitude), where refractivity can be retrieved with a precision of 0.2% (Leroy </w:t>
      </w:r>
      <w:r w:rsidRPr="00433976">
        <w:rPr>
          <w:i/>
          <w:iCs/>
        </w:rPr>
        <w:t>et al.,</w:t>
      </w:r>
      <w:r w:rsidRPr="00433976">
        <w:t xml:space="preserve"> 2024).</w:t>
      </w:r>
    </w:p>
    <w:p w14:paraId="16987D0A" w14:textId="77777777" w:rsidR="00A63CD3" w:rsidRPr="00433976" w:rsidRDefault="00A63CD3" w:rsidP="00433976">
      <w:pPr>
        <w:spacing w:after="0" w:line="240" w:lineRule="auto"/>
        <w:jc w:val="both"/>
        <w:rPr>
          <w:rFonts w:ascii="Times New Roman" w:hAnsi="Times New Roman" w:cs="Times New Roman"/>
          <w:sz w:val="24"/>
          <w:szCs w:val="24"/>
        </w:rPr>
      </w:pPr>
      <w:r w:rsidRPr="00433976">
        <w:rPr>
          <w:rFonts w:ascii="Times New Roman" w:hAnsi="Times New Roman" w:cs="Times New Roman"/>
          <w:sz w:val="24"/>
          <w:szCs w:val="24"/>
        </w:rPr>
        <w:t>Despite these advantages, GNSS-RO has seen little use in tropical Africa. Nigeria’s meteorological infrastructure relies mainly on sparse surface stations and models, with limited moisture observations for driving forecasts. Improving IWV input could enhance forecasts of heavy rain and flooding. Our goal is to demonstrate RO’s capability in this setting. We use 2022 occultation data from the COSMIC-2 constellation to retrieve IWV over Nigeria, then validate against ECMWF reanalysis. By quantifying RO’s accuracy and biases in this data sparse tropical region, we highlight the novel contribution of spaceborne GNSS meteorology to African weather and climate monitoring.</w:t>
      </w:r>
    </w:p>
    <w:p w14:paraId="4606BF4A" w14:textId="77777777" w:rsidR="00433976" w:rsidRDefault="00433976" w:rsidP="00433976">
      <w:pPr>
        <w:spacing w:after="160" w:line="259" w:lineRule="auto"/>
        <w:jc w:val="both"/>
        <w:rPr>
          <w:rFonts w:ascii="Times New Roman" w:hAnsi="Times New Roman" w:cs="Times New Roman"/>
          <w:b/>
          <w:bCs/>
          <w:sz w:val="24"/>
          <w:szCs w:val="24"/>
        </w:rPr>
      </w:pPr>
    </w:p>
    <w:p w14:paraId="13DE73AE" w14:textId="77777777" w:rsidR="002327E1" w:rsidRDefault="002327E1" w:rsidP="00433976">
      <w:pPr>
        <w:spacing w:after="160" w:line="259"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Material and </w:t>
      </w:r>
      <w:r w:rsidR="00A63CD3" w:rsidRPr="00BE4AF3">
        <w:rPr>
          <w:rFonts w:ascii="Times New Roman" w:hAnsi="Times New Roman" w:cs="Times New Roman"/>
          <w:b/>
          <w:bCs/>
          <w:sz w:val="24"/>
          <w:szCs w:val="24"/>
        </w:rPr>
        <w:t>Method</w:t>
      </w:r>
    </w:p>
    <w:p w14:paraId="333ACDEB" w14:textId="0FE65F30" w:rsidR="00433976" w:rsidRPr="002327E1" w:rsidRDefault="00A63CD3" w:rsidP="002327E1">
      <w:pPr>
        <w:spacing w:after="0" w:line="240" w:lineRule="auto"/>
        <w:jc w:val="both"/>
        <w:rPr>
          <w:rFonts w:ascii="Times New Roman" w:eastAsia="SimSun" w:hAnsi="Times New Roman" w:cs="Times New Roman"/>
          <w:b/>
          <w:bCs/>
          <w:sz w:val="24"/>
          <w:szCs w:val="24"/>
        </w:rPr>
      </w:pPr>
      <w:r w:rsidRPr="00BE4AF3">
        <w:rPr>
          <w:rFonts w:ascii="Times New Roman" w:eastAsia="SimSun" w:hAnsi="Times New Roman" w:cs="Times New Roman"/>
          <w:b/>
          <w:bCs/>
          <w:sz w:val="24"/>
          <w:szCs w:val="24"/>
        </w:rPr>
        <w:t>GNSS-RO Mission Data</w:t>
      </w:r>
    </w:p>
    <w:p w14:paraId="7E5BAF20" w14:textId="12C7C4E3" w:rsidR="00433976" w:rsidRDefault="00A63CD3" w:rsidP="002327E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data for this study were obtained </w:t>
      </w:r>
      <w:r w:rsidR="00DF280C" w:rsidRPr="00BE4AF3">
        <w:rPr>
          <w:rFonts w:ascii="Times New Roman" w:hAnsi="Times New Roman" w:cs="Times New Roman"/>
          <w:sz w:val="24"/>
          <w:szCs w:val="24"/>
        </w:rPr>
        <w:t>from</w:t>
      </w:r>
      <w:r w:rsidRPr="00BE4AF3">
        <w:rPr>
          <w:rFonts w:ascii="Times New Roman" w:hAnsi="Times New Roman" w:cs="Times New Roman"/>
          <w:sz w:val="24"/>
          <w:szCs w:val="24"/>
        </w:rPr>
        <w:t xml:space="preserve"> post-processed observation provided by </w:t>
      </w:r>
      <w:r w:rsidR="00DF280C" w:rsidRPr="00BE4AF3">
        <w:rPr>
          <w:rFonts w:ascii="Times New Roman" w:hAnsi="Times New Roman" w:cs="Times New Roman"/>
          <w:sz w:val="24"/>
          <w:szCs w:val="24"/>
        </w:rPr>
        <w:t>the Taiwan</w:t>
      </w:r>
      <w:r w:rsidRPr="00BE4AF3">
        <w:rPr>
          <w:rFonts w:ascii="Times New Roman" w:hAnsi="Times New Roman" w:cs="Times New Roman"/>
          <w:sz w:val="24"/>
          <w:szCs w:val="24"/>
        </w:rPr>
        <w:t>/U.S. Formosa Satellite Mission 7/Constellation Observing System for Meteorology, Ionosphere, and Climate (Formosat</w:t>
      </w:r>
      <w:r w:rsidRPr="00BE4AF3">
        <w:rPr>
          <w:rFonts w:ascii="Cambria Math" w:hAnsi="Cambria Math" w:cs="Cambria Math"/>
          <w:sz w:val="24"/>
          <w:szCs w:val="24"/>
        </w:rPr>
        <w:t>‐</w:t>
      </w:r>
      <w:r w:rsidRPr="00BE4AF3">
        <w:rPr>
          <w:rFonts w:ascii="Times New Roman" w:hAnsi="Times New Roman" w:cs="Times New Roman"/>
          <w:sz w:val="24"/>
          <w:szCs w:val="24"/>
        </w:rPr>
        <w:t>7/COSMIC 2) which includes six LEO satellites with dual-frequency GPS and GLONASS receivers.</w:t>
      </w:r>
    </w:p>
    <w:p w14:paraId="5BB5C672" w14:textId="61D1C35C" w:rsidR="00433976" w:rsidRDefault="00A63CD3" w:rsidP="00433976">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raw occultation measurements were processed by the University Cooperation for Atmospheric Research/COSMIC Data Analysis and Archiving Center  (UCAR’s CDAAC) into Level-2 “wetPrf” products, which provide profiles of water vapor pressure, temperature, refractivity, and geometric height from near-surface up to ~40 km. These profiles have 100m vertical spacing (</w:t>
      </w:r>
      <w:r w:rsidRPr="00BE4AF3">
        <w:rPr>
          <w:rFonts w:ascii="Times New Roman" w:eastAsia="SimSun" w:hAnsi="Times New Roman" w:cs="Times New Roman"/>
          <w:sz w:val="24"/>
          <w:szCs w:val="24"/>
        </w:rPr>
        <w:t>Dan and Pan, 2014; Opaluwa, 2017)</w:t>
      </w:r>
      <w:r w:rsidRPr="00BE4AF3">
        <w:rPr>
          <w:rFonts w:ascii="Times New Roman" w:hAnsi="Times New Roman" w:cs="Times New Roman"/>
          <w:sz w:val="24"/>
          <w:szCs w:val="24"/>
        </w:rPr>
        <w:t xml:space="preserve">. These profiles are archived in NetCDF format and made publicly available by UCAR/CDAAC, which is responsible for processing COSMIC and several other GNSS radio occultation missions and can be </w:t>
      </w:r>
      <w:r w:rsidR="00DF280C" w:rsidRPr="00BE4AF3">
        <w:rPr>
          <w:rFonts w:ascii="Times New Roman" w:hAnsi="Times New Roman" w:cs="Times New Roman"/>
          <w:sz w:val="24"/>
          <w:szCs w:val="24"/>
        </w:rPr>
        <w:t>accessed</w:t>
      </w:r>
      <w:r w:rsidRPr="00BE4AF3">
        <w:rPr>
          <w:rFonts w:ascii="Times New Roman" w:hAnsi="Times New Roman" w:cs="Times New Roman"/>
          <w:sz w:val="24"/>
          <w:szCs w:val="24"/>
        </w:rPr>
        <w:t xml:space="preserve"> via </w:t>
      </w:r>
      <w:r w:rsidRPr="00BE4AF3">
        <w:rPr>
          <w:rFonts w:ascii="Times New Roman" w:eastAsia="SimSun" w:hAnsi="Times New Roman" w:cs="Times New Roman"/>
          <w:color w:val="000000"/>
          <w:sz w:val="24"/>
          <w:szCs w:val="24"/>
          <w:shd w:val="clear" w:color="auto" w:fill="FFFFFF"/>
        </w:rPr>
        <w:t> </w:t>
      </w:r>
      <w:hyperlink r:id="rId153" w:history="1">
        <w:r w:rsidRPr="00BE4AF3">
          <w:rPr>
            <w:rStyle w:val="Hyperlink"/>
            <w:rFonts w:ascii="Times New Roman" w:eastAsia="SimSun" w:hAnsi="Times New Roman" w:cs="Times New Roman"/>
            <w:sz w:val="24"/>
            <w:szCs w:val="24"/>
            <w:shd w:val="clear" w:color="auto" w:fill="FFFFFF"/>
          </w:rPr>
          <w:t>https://data.cosmic.ucar.edu/gnss-ro/</w:t>
        </w:r>
      </w:hyperlink>
      <w:r w:rsidRPr="00BE4AF3">
        <w:rPr>
          <w:rFonts w:ascii="Times New Roman" w:eastAsia="SimSun" w:hAnsi="Times New Roman" w:cs="Times New Roman"/>
          <w:color w:val="0000FF"/>
          <w:sz w:val="24"/>
          <w:szCs w:val="24"/>
          <w:shd w:val="clear" w:color="auto" w:fill="FFFFFF"/>
        </w:rPr>
        <w:t xml:space="preserve">  </w:t>
      </w:r>
      <w:r w:rsidRPr="00BE4AF3">
        <w:rPr>
          <w:rFonts w:ascii="Times New Roman" w:eastAsia="SimSun" w:hAnsi="Times New Roman" w:cs="Times New Roman"/>
          <w:sz w:val="24"/>
          <w:szCs w:val="24"/>
          <w:shd w:val="clear" w:color="auto" w:fill="FFFFFF"/>
        </w:rPr>
        <w:t xml:space="preserve">However, </w:t>
      </w:r>
      <w:r w:rsidRPr="00BE4AF3">
        <w:rPr>
          <w:rFonts w:ascii="Times New Roman" w:hAnsi="Times New Roman" w:cs="Times New Roman"/>
          <w:sz w:val="24"/>
          <w:szCs w:val="24"/>
        </w:rPr>
        <w:t>this study utilized level 2 data for the year 2022.</w:t>
      </w:r>
    </w:p>
    <w:p w14:paraId="647182B4" w14:textId="77777777" w:rsidR="00433976" w:rsidRPr="00433976" w:rsidRDefault="00433976" w:rsidP="00433976">
      <w:pPr>
        <w:spacing w:after="0" w:line="240" w:lineRule="auto"/>
        <w:jc w:val="both"/>
        <w:rPr>
          <w:rFonts w:ascii="Times New Roman" w:hAnsi="Times New Roman" w:cs="Times New Roman"/>
          <w:sz w:val="24"/>
          <w:szCs w:val="24"/>
        </w:rPr>
      </w:pPr>
    </w:p>
    <w:p w14:paraId="4F97CDD5" w14:textId="77777777" w:rsidR="00433976" w:rsidRDefault="00A63CD3" w:rsidP="00433976">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 xml:space="preserve">Retrieval of IWV from Space Based RO Systems. </w:t>
      </w:r>
    </w:p>
    <w:p w14:paraId="713A2E30" w14:textId="77777777" w:rsidR="00433976" w:rsidRDefault="00433976" w:rsidP="00433976">
      <w:pPr>
        <w:spacing w:after="0" w:line="240" w:lineRule="auto"/>
        <w:jc w:val="both"/>
        <w:rPr>
          <w:rFonts w:ascii="Times New Roman" w:hAnsi="Times New Roman" w:cs="Times New Roman"/>
          <w:b/>
          <w:bCs/>
          <w:sz w:val="24"/>
          <w:szCs w:val="24"/>
        </w:rPr>
      </w:pPr>
    </w:p>
    <w:p w14:paraId="0D4B9E3A" w14:textId="0426D28D" w:rsidR="00433976" w:rsidRDefault="00433976" w:rsidP="00433976">
      <w:pPr>
        <w:spacing w:after="0" w:line="240" w:lineRule="auto"/>
        <w:jc w:val="both"/>
        <w:rPr>
          <w:rFonts w:ascii="Times New Roman" w:hAnsi="Times New Roman" w:cs="Times New Roman"/>
          <w:sz w:val="24"/>
          <w:szCs w:val="24"/>
        </w:rPr>
      </w:pPr>
      <w:r w:rsidRPr="00BE4AF3">
        <w:rPr>
          <w:rFonts w:ascii="Times New Roman" w:hAnsi="Times New Roman" w:cs="Times New Roman"/>
          <w:b/>
          <w:bCs/>
          <w:sz w:val="24"/>
          <w:szCs w:val="24"/>
        </w:rPr>
        <w:t>Retrieval</w:t>
      </w:r>
      <w:r w:rsidR="00A63CD3" w:rsidRPr="00BE4AF3">
        <w:rPr>
          <w:rFonts w:ascii="Times New Roman" w:hAnsi="Times New Roman" w:cs="Times New Roman"/>
          <w:b/>
          <w:bCs/>
          <w:sz w:val="24"/>
          <w:szCs w:val="24"/>
        </w:rPr>
        <w:t xml:space="preserve"> of wet </w:t>
      </w:r>
      <w:r w:rsidRPr="00BE4AF3">
        <w:rPr>
          <w:rFonts w:ascii="Times New Roman" w:hAnsi="Times New Roman" w:cs="Times New Roman"/>
          <w:b/>
          <w:bCs/>
          <w:sz w:val="24"/>
          <w:szCs w:val="24"/>
        </w:rPr>
        <w:t>refractivity</w:t>
      </w:r>
      <w:r w:rsidR="00A63CD3" w:rsidRPr="00BE4AF3">
        <w:rPr>
          <w:rFonts w:ascii="Times New Roman" w:hAnsi="Times New Roman" w:cs="Times New Roman"/>
          <w:b/>
          <w:bCs/>
          <w:sz w:val="24"/>
          <w:szCs w:val="24"/>
        </w:rPr>
        <w:t xml:space="preserve"> from atmospheric parameter.</w:t>
      </w:r>
    </w:p>
    <w:p w14:paraId="024B8756" w14:textId="0F6B7058" w:rsidR="00A63CD3" w:rsidRPr="00BE4AF3" w:rsidRDefault="00A63CD3" w:rsidP="00433976">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To fully retrieve IWV from </w:t>
      </w:r>
      <w:r w:rsidR="00DF280C" w:rsidRPr="00BE4AF3">
        <w:rPr>
          <w:rFonts w:ascii="Times New Roman" w:hAnsi="Times New Roman" w:cs="Times New Roman"/>
          <w:sz w:val="24"/>
          <w:szCs w:val="24"/>
        </w:rPr>
        <w:t>space-based</w:t>
      </w:r>
      <w:r w:rsidRPr="00BE4AF3">
        <w:rPr>
          <w:rFonts w:ascii="Times New Roman" w:hAnsi="Times New Roman" w:cs="Times New Roman"/>
          <w:sz w:val="24"/>
          <w:szCs w:val="24"/>
        </w:rPr>
        <w:t xml:space="preserve"> RO system, the wet refractivity is first of all estimated from the total refractivity:</w:t>
      </w:r>
    </w:p>
    <w:p w14:paraId="27860A67" w14:textId="77777777" w:rsidR="00433976" w:rsidRDefault="00A63CD3" w:rsidP="00433976">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 </w:t>
      </w:r>
      <m:oMath>
        <m:r>
          <m:rPr>
            <m:sty m:val="p"/>
          </m:rPr>
          <w:rPr>
            <w:rFonts w:ascii="Cambria Math" w:hAnsi="Cambria Math" w:cs="Times New Roman"/>
            <w:sz w:val="24"/>
            <w:szCs w:val="24"/>
          </w:rPr>
          <m:t xml:space="preserve"> </m:t>
        </m:r>
        <m:r>
          <w:rPr>
            <w:rFonts w:ascii="Cambria Math" w:hAnsi="Cambria Math" w:cs="Times New Roman"/>
            <w:sz w:val="24"/>
            <w:szCs w:val="24"/>
            <w:vertAlign w:val="superscript"/>
          </w:rPr>
          <m:t>N=</m:t>
        </m:r>
        <m:d>
          <m:dPr>
            <m:ctrlPr>
              <w:rPr>
                <w:rFonts w:ascii="Cambria Math" w:hAnsi="Cambria Math" w:cs="Times New Roman"/>
                <w:i/>
                <w:sz w:val="24"/>
                <w:szCs w:val="24"/>
                <w:vertAlign w:val="superscript"/>
              </w:rPr>
            </m:ctrlPr>
          </m:dPr>
          <m:e>
            <m:r>
              <w:rPr>
                <w:rFonts w:ascii="Cambria Math" w:hAnsi="Cambria Math" w:cs="Times New Roman"/>
                <w:sz w:val="24"/>
                <w:szCs w:val="24"/>
                <w:vertAlign w:val="superscript"/>
              </w:rPr>
              <m:t>n-1</m:t>
            </m:r>
          </m:e>
        </m:d>
        <m:r>
          <w:rPr>
            <w:rFonts w:ascii="Cambria Math" w:hAnsi="Cambria Math" w:cs="Times New Roman"/>
            <w:sz w:val="24"/>
            <w:szCs w:val="24"/>
            <w:vertAlign w:val="superscript"/>
          </w:rPr>
          <m:t xml:space="preserve"> </m:t>
        </m:r>
        <m:sSup>
          <m:sSupPr>
            <m:ctrlPr>
              <w:rPr>
                <w:rFonts w:ascii="Cambria Math" w:hAnsi="Cambria Math" w:cs="Times New Roman"/>
                <w:i/>
                <w:sz w:val="24"/>
                <w:szCs w:val="24"/>
                <w:vertAlign w:val="superscript"/>
              </w:rPr>
            </m:ctrlPr>
          </m:sSupPr>
          <m:e>
            <m:r>
              <w:rPr>
                <w:rFonts w:ascii="Cambria Math" w:hAnsi="Cambria Math" w:cs="Times New Roman"/>
                <w:sz w:val="24"/>
                <w:szCs w:val="24"/>
                <w:vertAlign w:val="superscript"/>
              </w:rPr>
              <m:t>10</m:t>
            </m:r>
          </m:e>
          <m:sup>
            <m:r>
              <w:rPr>
                <w:rFonts w:ascii="Cambria Math" w:hAnsi="Cambria Math" w:cs="Times New Roman"/>
                <w:sz w:val="24"/>
                <w:szCs w:val="24"/>
                <w:vertAlign w:val="superscript"/>
              </w:rPr>
              <m:t>6</m:t>
            </m:r>
          </m:sup>
        </m:sSup>
        <m:r>
          <m:rPr>
            <m:sty m:val="p"/>
          </m:rPr>
          <w:rPr>
            <w:rFonts w:ascii="Cambria Math" w:hAnsi="Cambria Math" w:cs="Times New Roman"/>
            <w:sz w:val="24"/>
            <w:szCs w:val="24"/>
          </w:rPr>
          <m:t xml:space="preserve"> </m:t>
        </m:r>
      </m:oMath>
      <w:r w:rsidRPr="00BE4AF3">
        <w:rPr>
          <w:rFonts w:ascii="Times New Roman" w:hAnsi="Times New Roman" w:cs="Times New Roman"/>
          <w:sz w:val="24"/>
          <w:szCs w:val="24"/>
        </w:rPr>
        <w:tab/>
      </w:r>
      <w:r w:rsidRPr="00BE4AF3">
        <w:rPr>
          <w:rFonts w:ascii="Times New Roman" w:hAnsi="Times New Roman" w:cs="Times New Roman"/>
          <w:sz w:val="24"/>
          <w:szCs w:val="24"/>
        </w:rPr>
        <w:tab/>
      </w:r>
      <w:r w:rsidRPr="00BE4AF3">
        <w:rPr>
          <w:rFonts w:ascii="Times New Roman" w:hAnsi="Times New Roman" w:cs="Times New Roman"/>
          <w:sz w:val="24"/>
          <w:szCs w:val="24"/>
        </w:rPr>
        <w:tab/>
      </w:r>
      <w:r w:rsidRPr="00BE4AF3">
        <w:rPr>
          <w:rFonts w:ascii="Times New Roman" w:hAnsi="Times New Roman" w:cs="Times New Roman"/>
          <w:sz w:val="24"/>
          <w:szCs w:val="24"/>
        </w:rPr>
        <w:tab/>
      </w:r>
      <w:r w:rsidRPr="00BE4AF3">
        <w:rPr>
          <w:rFonts w:ascii="Times New Roman" w:hAnsi="Times New Roman" w:cs="Times New Roman"/>
          <w:sz w:val="24"/>
          <w:szCs w:val="24"/>
        </w:rPr>
        <w:tab/>
      </w:r>
      <w:r w:rsidRPr="00BE4AF3">
        <w:rPr>
          <w:rFonts w:ascii="Times New Roman" w:hAnsi="Times New Roman" w:cs="Times New Roman"/>
          <w:sz w:val="24"/>
          <w:szCs w:val="24"/>
        </w:rPr>
        <w:tab/>
      </w:r>
      <w:r w:rsidRPr="00BE4AF3">
        <w:rPr>
          <w:rFonts w:ascii="Times New Roman" w:hAnsi="Times New Roman" w:cs="Times New Roman"/>
          <w:sz w:val="24"/>
          <w:szCs w:val="24"/>
        </w:rPr>
        <w:tab/>
        <w:t>2.0</w:t>
      </w:r>
    </w:p>
    <w:p w14:paraId="1BE948A6" w14:textId="2A1FF851" w:rsidR="00433976" w:rsidRDefault="00A63CD3" w:rsidP="00433976">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where the refractivity (</w:t>
      </w:r>
      <w:r w:rsidRPr="00BE4AF3">
        <w:rPr>
          <w:rStyle w:val="Emphasis"/>
          <w:rFonts w:ascii="Times New Roman" w:hAnsi="Times New Roman" w:cs="Times New Roman"/>
          <w:sz w:val="24"/>
          <w:szCs w:val="24"/>
        </w:rPr>
        <w:t>N</w:t>
      </w:r>
      <w:r w:rsidRPr="00BE4AF3">
        <w:rPr>
          <w:rFonts w:ascii="Times New Roman" w:hAnsi="Times New Roman" w:cs="Times New Roman"/>
          <w:sz w:val="24"/>
          <w:szCs w:val="24"/>
        </w:rPr>
        <w:t>) is a function of atmospheric temperature (T), pressure(</w:t>
      </w:r>
      <w:r w:rsidRPr="00BE4AF3">
        <w:rPr>
          <w:rFonts w:ascii="Times New Roman" w:eastAsia="Times New Roman" w:hAnsi="Times New Roman" w:cs="Times New Roman"/>
          <w:i/>
          <w:iCs/>
          <w:sz w:val="24"/>
          <w:szCs w:val="24"/>
        </w:rPr>
        <w:t>P</w:t>
      </w:r>
      <w:r w:rsidRPr="00BE4AF3">
        <w:rPr>
          <w:rFonts w:ascii="Times New Roman" w:hAnsi="Times New Roman" w:cs="Times New Roman"/>
          <w:sz w:val="24"/>
          <w:szCs w:val="24"/>
        </w:rPr>
        <w:t>), and water vapor pressure(</w:t>
      </w:r>
      <w:r w:rsidRPr="00BE4AF3">
        <w:rPr>
          <w:rFonts w:ascii="Times New Roman" w:eastAsia="Times New Roman" w:hAnsi="Times New Roman" w:cs="Times New Roman"/>
          <w:i/>
          <w:iCs/>
          <w:sz w:val="24"/>
          <w:szCs w:val="24"/>
        </w:rPr>
        <w:t>e</w:t>
      </w:r>
      <w:r w:rsidRPr="00BE4AF3">
        <w:rPr>
          <w:rFonts w:ascii="Times New Roman" w:hAnsi="Times New Roman" w:cs="Times New Roman"/>
          <w:sz w:val="24"/>
          <w:szCs w:val="24"/>
        </w:rPr>
        <w:t>), and wet refractivity (N</w:t>
      </w:r>
      <w:r w:rsidRPr="00BE4AF3">
        <w:rPr>
          <w:rFonts w:ascii="Times New Roman" w:hAnsi="Times New Roman" w:cs="Times New Roman"/>
          <w:sz w:val="24"/>
          <w:szCs w:val="24"/>
          <w:vertAlign w:val="subscript"/>
        </w:rPr>
        <w:t>w</w:t>
      </w:r>
      <w:r w:rsidRPr="00BE4AF3">
        <w:rPr>
          <w:rFonts w:ascii="Times New Roman" w:hAnsi="Times New Roman" w:cs="Times New Roman"/>
          <w:sz w:val="24"/>
          <w:szCs w:val="24"/>
        </w:rPr>
        <w:t>) being estimated from the atmosphric parameter or total refractivity using the equation 2.1</w:t>
      </w:r>
    </w:p>
    <w:p w14:paraId="130F7B08" w14:textId="77777777" w:rsidR="00433976" w:rsidRDefault="00000000" w:rsidP="00433976">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N</m:t>
            </m:r>
          </m:e>
          <m:sub>
            <m:r>
              <w:rPr>
                <w:rFonts w:ascii="Cambria Math" w:eastAsia="Times New Roman" w:hAnsi="Cambria Math" w:cs="Times New Roman"/>
                <w:sz w:val="24"/>
                <w:szCs w:val="24"/>
              </w:rPr>
              <m:t>w</m:t>
            </m:r>
          </m:sub>
        </m:sSub>
        <m:r>
          <w:rPr>
            <w:rFonts w:ascii="Cambria Math" w:eastAsia="Times New Roman" w:hAnsi="Cambria Math" w:cs="Times New Roman"/>
            <w:sz w:val="24"/>
            <w:szCs w:val="24"/>
          </w:rPr>
          <m:t>=</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70.4×</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e</m:t>
                </m:r>
              </m:num>
              <m:den>
                <m:r>
                  <w:rPr>
                    <w:rFonts w:ascii="Cambria Math" w:eastAsia="Times New Roman" w:hAnsi="Cambria Math" w:cs="Times New Roman"/>
                    <w:sz w:val="24"/>
                    <w:szCs w:val="24"/>
                  </w:rPr>
                  <m:t>T</m:t>
                </m:r>
              </m:den>
            </m:f>
          </m:e>
        </m:d>
        <m:r>
          <w:rPr>
            <w:rFonts w:ascii="Cambria Math" w:eastAsia="Times New Roman" w:hAnsi="Cambria Math" w:cs="Times New Roman"/>
            <w:sz w:val="24"/>
            <w:szCs w:val="24"/>
          </w:rPr>
          <m:t>+(3.747×</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5</m:t>
            </m:r>
          </m:sup>
        </m:sSup>
        <m:r>
          <w:rPr>
            <w:rFonts w:ascii="Cambria Math" w:eastAsia="Times New Roman" w:hAnsi="Cambria Math" w:cs="Times New Roman"/>
            <w:sz w:val="24"/>
            <w:szCs w:val="24"/>
          </w:rPr>
          <m:t xml:space="preserve"> ×</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e</m:t>
            </m:r>
          </m:num>
          <m:den>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T</m:t>
                </m:r>
              </m:e>
              <m:sup>
                <m:r>
                  <w:rPr>
                    <w:rFonts w:ascii="Cambria Math" w:eastAsia="Times New Roman" w:hAnsi="Cambria Math" w:cs="Times New Roman"/>
                    <w:sz w:val="24"/>
                    <w:szCs w:val="24"/>
                  </w:rPr>
                  <m:t>2</m:t>
                </m:r>
              </m:sup>
            </m:sSup>
          </m:den>
        </m:f>
        <m:r>
          <w:rPr>
            <w:rFonts w:ascii="Cambria Math" w:eastAsia="Times New Roman" w:hAnsi="Cambria Math" w:cs="Times New Roman"/>
            <w:sz w:val="24"/>
            <w:szCs w:val="24"/>
          </w:rPr>
          <m:t>)</m:t>
        </m:r>
      </m:oMath>
      <w:r w:rsidR="00A63CD3" w:rsidRPr="00BE4AF3">
        <w:rPr>
          <w:rFonts w:ascii="Times New Roman" w:eastAsia="Times New Roman" w:hAnsi="Times New Roman" w:cs="Times New Roman"/>
          <w:sz w:val="24"/>
          <w:szCs w:val="24"/>
        </w:rPr>
        <w:t xml:space="preserve">          </w:t>
      </w:r>
      <w:r w:rsidR="00A63CD3" w:rsidRPr="00BE4AF3">
        <w:rPr>
          <w:rFonts w:ascii="Times New Roman" w:eastAsia="Times New Roman" w:hAnsi="Times New Roman" w:cs="Times New Roman"/>
          <w:sz w:val="24"/>
          <w:szCs w:val="24"/>
        </w:rPr>
        <w:tab/>
      </w:r>
      <w:r w:rsidR="00A63CD3" w:rsidRPr="00BE4AF3">
        <w:rPr>
          <w:rFonts w:ascii="Times New Roman" w:eastAsia="Times New Roman" w:hAnsi="Times New Roman" w:cs="Times New Roman"/>
          <w:sz w:val="24"/>
          <w:szCs w:val="24"/>
        </w:rPr>
        <w:tab/>
      </w:r>
      <w:r w:rsidR="00A63CD3" w:rsidRPr="00BE4AF3">
        <w:rPr>
          <w:rFonts w:ascii="Times New Roman" w:eastAsia="Times New Roman" w:hAnsi="Times New Roman" w:cs="Times New Roman"/>
          <w:sz w:val="24"/>
          <w:szCs w:val="24"/>
        </w:rPr>
        <w:tab/>
        <w:t>2.1</w:t>
      </w:r>
    </w:p>
    <w:p w14:paraId="2267AF87" w14:textId="77777777" w:rsidR="00433976" w:rsidRDefault="00A63CD3" w:rsidP="00433976">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However, in order to distinguish the water vapor from the other atmospheric parameters, auxiliary meteorological information (usually temperature) from external sources such as NWP model or climatology is required from the general expression for atmospheric refractivity given by Thayer (1974), it is evident that the contributions of </w:t>
      </w:r>
      <w:r w:rsidRPr="00BE4AF3">
        <w:rPr>
          <w:rFonts w:ascii="Times New Roman" w:eastAsia="Times New Roman" w:hAnsi="Times New Roman" w:cs="Times New Roman"/>
          <w:i/>
          <w:iCs/>
          <w:sz w:val="24"/>
          <w:szCs w:val="24"/>
        </w:rPr>
        <w:t xml:space="preserve">T, P </w:t>
      </w:r>
      <w:r w:rsidRPr="00BE4AF3">
        <w:rPr>
          <w:rFonts w:ascii="Times New Roman" w:eastAsia="Times New Roman" w:hAnsi="Times New Roman" w:cs="Times New Roman"/>
          <w:sz w:val="24"/>
          <w:szCs w:val="24"/>
        </w:rPr>
        <w:t xml:space="preserve">and </w:t>
      </w:r>
      <w:r w:rsidRPr="00BE4AF3">
        <w:rPr>
          <w:rFonts w:ascii="Times New Roman" w:eastAsia="Times New Roman" w:hAnsi="Times New Roman" w:cs="Times New Roman"/>
          <w:i/>
          <w:iCs/>
          <w:sz w:val="24"/>
          <w:szCs w:val="24"/>
        </w:rPr>
        <w:t xml:space="preserve">Pv </w:t>
      </w:r>
      <w:r w:rsidRPr="00BE4AF3">
        <w:rPr>
          <w:rFonts w:ascii="Times New Roman" w:eastAsia="Times New Roman" w:hAnsi="Times New Roman" w:cs="Times New Roman"/>
          <w:sz w:val="24"/>
          <w:szCs w:val="24"/>
        </w:rPr>
        <w:t xml:space="preserve">could be a source of ambiguities to refractivity (Kursinki </w:t>
      </w:r>
      <w:r w:rsidRPr="00BE4AF3">
        <w:rPr>
          <w:rFonts w:ascii="Times New Roman" w:eastAsia="Times New Roman" w:hAnsi="Times New Roman" w:cs="Times New Roman"/>
          <w:i/>
          <w:iCs/>
          <w:sz w:val="24"/>
          <w:szCs w:val="24"/>
        </w:rPr>
        <w:t>et al.</w:t>
      </w:r>
      <w:r w:rsidRPr="00BE4AF3">
        <w:rPr>
          <w:rFonts w:ascii="Times New Roman" w:eastAsia="Times New Roman" w:hAnsi="Times New Roman" w:cs="Times New Roman"/>
          <w:sz w:val="24"/>
          <w:szCs w:val="24"/>
        </w:rPr>
        <w:t xml:space="preserve">, 1995). </w:t>
      </w:r>
    </w:p>
    <w:p w14:paraId="2693A4F1" w14:textId="40C00AB6" w:rsidR="00A63CD3" w:rsidRPr="00BE4AF3" w:rsidRDefault="00A63CD3" w:rsidP="00433976">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                                                        </w:t>
      </w:r>
    </w:p>
    <w:p w14:paraId="353B5887" w14:textId="27C19073" w:rsidR="00433976" w:rsidRDefault="00A63CD3" w:rsidP="00433976">
      <w:pPr>
        <w:spacing w:after="0" w:line="240" w:lineRule="auto"/>
        <w:jc w:val="both"/>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 xml:space="preserve">Estimation of Zenith Wet Delay from GPS Analysis </w:t>
      </w:r>
    </w:p>
    <w:p w14:paraId="092B7BF6" w14:textId="7A9EF621" w:rsidR="00A63CD3" w:rsidRPr="00BE4AF3" w:rsidRDefault="00A63CD3" w:rsidP="00433976">
      <w:pPr>
        <w:spacing w:after="0" w:line="240" w:lineRule="auto"/>
        <w:jc w:val="both"/>
        <w:rPr>
          <w:rFonts w:ascii="Times New Roman" w:eastAsia="Times New Roman" w:hAnsi="Times New Roman" w:cs="Times New Roman"/>
          <w:b/>
          <w:sz w:val="24"/>
          <w:szCs w:val="24"/>
        </w:rPr>
      </w:pPr>
      <w:r w:rsidRPr="00BE4AF3">
        <w:rPr>
          <w:rFonts w:ascii="Times New Roman" w:hAnsi="Times New Roman" w:cs="Times New Roman"/>
          <w:sz w:val="24"/>
          <w:szCs w:val="24"/>
        </w:rPr>
        <w:t xml:space="preserve">Using equation 2.2, </w:t>
      </w:r>
      <w:r w:rsidR="00433976" w:rsidRPr="00BE4AF3">
        <w:rPr>
          <w:rFonts w:ascii="Times New Roman" w:hAnsi="Times New Roman" w:cs="Times New Roman"/>
          <w:sz w:val="24"/>
          <w:szCs w:val="24"/>
        </w:rPr>
        <w:t>we can</w:t>
      </w:r>
      <w:r w:rsidRPr="00BE4AF3">
        <w:rPr>
          <w:rFonts w:ascii="Times New Roman" w:eastAsia="Times New Roman" w:hAnsi="Times New Roman" w:cs="Times New Roman"/>
          <w:bCs/>
          <w:sz w:val="24"/>
          <w:szCs w:val="24"/>
        </w:rPr>
        <w:t xml:space="preserve"> separate the zenith atmospheric delay also into dry or hydrostatic delay and wet delay. Therefore we can write zenith tropospheric delay as: </w:t>
      </w:r>
    </w:p>
    <w:p w14:paraId="643F3EA4" w14:textId="38B1F2B5" w:rsidR="00A63CD3" w:rsidRPr="00BE4AF3" w:rsidRDefault="00A63CD3" w:rsidP="00433976">
      <w:pPr>
        <w:spacing w:after="0" w:line="240" w:lineRule="auto"/>
        <w:jc w:val="both"/>
        <w:rPr>
          <w:rFonts w:ascii="Times New Roman" w:eastAsia="Times New Roman" w:hAnsi="Times New Roman" w:cs="Times New Roman"/>
          <w:bCs/>
          <w:sz w:val="24"/>
          <w:szCs w:val="24"/>
        </w:rPr>
      </w:pPr>
      <m:oMath>
        <m:r>
          <m:rPr>
            <m:sty m:val="p"/>
          </m:rPr>
          <w:rPr>
            <w:rFonts w:ascii="Cambria Math" w:eastAsia="Times New Roman" w:hAnsi="Cambria Math" w:cs="Times New Roman"/>
            <w:sz w:val="24"/>
            <w:szCs w:val="24"/>
          </w:rPr>
          <m:t>∆</m:t>
        </m:r>
        <m:sSup>
          <m:sSupPr>
            <m:ctrlPr>
              <w:rPr>
                <w:rFonts w:ascii="Cambria Math" w:eastAsia="Times New Roman" w:hAnsi="Cambria Math" w:cs="Times New Roman"/>
                <w:bCs/>
                <w:sz w:val="24"/>
                <w:szCs w:val="24"/>
              </w:rPr>
            </m:ctrlPr>
          </m:sSupPr>
          <m:e>
            <m:r>
              <m:rPr>
                <m:sty m:val="p"/>
              </m:rPr>
              <w:rPr>
                <w:rFonts w:ascii="Cambria Math" w:eastAsia="Times New Roman" w:hAnsi="Cambria Math" w:cs="Times New Roman"/>
                <w:sz w:val="24"/>
                <w:szCs w:val="24"/>
              </w:rPr>
              <m:t>L</m:t>
            </m:r>
          </m:e>
          <m:sup>
            <m:r>
              <m:rPr>
                <m:sty m:val="p"/>
              </m:rPr>
              <w:rPr>
                <w:rFonts w:ascii="Cambria Math" w:eastAsia="Times New Roman" w:hAnsi="Cambria Math" w:cs="Times New Roman"/>
                <w:sz w:val="24"/>
                <w:szCs w:val="24"/>
              </w:rPr>
              <m:t>0</m:t>
            </m:r>
          </m:sup>
        </m:sSup>
        <m:r>
          <m:rPr>
            <m:sty m:val="p"/>
          </m:rPr>
          <w:rPr>
            <w:rFonts w:ascii="Cambria Math" w:eastAsia="Times New Roman" w:hAnsi="Cambria Math" w:cs="Times New Roman"/>
            <w:sz w:val="24"/>
            <w:szCs w:val="24"/>
          </w:rPr>
          <m:t>=</m:t>
        </m:r>
        <m:nary>
          <m:naryPr>
            <m:supHide m:val="1"/>
            <m:ctrlPr>
              <w:rPr>
                <w:rFonts w:ascii="Cambria Math" w:eastAsia="Times New Roman" w:hAnsi="Cambria Math" w:cs="Times New Roman"/>
                <w:bCs/>
                <w:sz w:val="24"/>
                <w:szCs w:val="24"/>
              </w:rPr>
            </m:ctrlPr>
          </m:naryPr>
          <m:sub>
            <m:r>
              <m:rPr>
                <m:sty m:val="p"/>
              </m:rPr>
              <w:rPr>
                <w:rFonts w:ascii="Cambria Math" w:eastAsia="Times New Roman" w:hAnsi="Cambria Math" w:cs="Times New Roman"/>
                <w:sz w:val="24"/>
                <w:szCs w:val="24"/>
              </w:rPr>
              <m:t>L</m:t>
            </m:r>
          </m:sub>
          <m:sup/>
          <m:e>
            <m:d>
              <m:dPr>
                <m:ctrlPr>
                  <w:rPr>
                    <w:rFonts w:ascii="Cambria Math" w:eastAsia="Times New Roman" w:hAnsi="Cambria Math" w:cs="Times New Roman"/>
                    <w:bCs/>
                    <w:sz w:val="24"/>
                    <w:szCs w:val="24"/>
                  </w:rPr>
                </m:ctrlPr>
              </m:dPr>
              <m:e>
                <m:r>
                  <m:rPr>
                    <m:sty m:val="p"/>
                  </m:rPr>
                  <w:rPr>
                    <w:rFonts w:ascii="Cambria Math" w:eastAsia="Times New Roman" w:hAnsi="Cambria Math" w:cs="Times New Roman"/>
                    <w:sz w:val="24"/>
                    <w:szCs w:val="24"/>
                  </w:rPr>
                  <m:t>n</m:t>
                </m:r>
                <m:d>
                  <m:dPr>
                    <m:ctrlPr>
                      <w:rPr>
                        <w:rFonts w:ascii="Cambria Math" w:eastAsia="Times New Roman" w:hAnsi="Cambria Math" w:cs="Times New Roman"/>
                        <w:bCs/>
                        <w:sz w:val="24"/>
                        <w:szCs w:val="24"/>
                      </w:rPr>
                    </m:ctrlPr>
                  </m:dPr>
                  <m:e>
                    <m:r>
                      <m:rPr>
                        <m:sty m:val="p"/>
                      </m:rPr>
                      <w:rPr>
                        <w:rFonts w:ascii="Cambria Math" w:eastAsia="Times New Roman" w:hAnsi="Cambria Math" w:cs="Times New Roman"/>
                        <w:sz w:val="24"/>
                        <w:szCs w:val="24"/>
                      </w:rPr>
                      <m:t>s</m:t>
                    </m:r>
                  </m:e>
                </m:d>
                <m:r>
                  <m:rPr>
                    <m:sty m:val="p"/>
                  </m:rPr>
                  <w:rPr>
                    <w:rFonts w:ascii="Cambria Math" w:eastAsia="Times New Roman" w:hAnsi="Cambria Math" w:cs="Times New Roman"/>
                    <w:sz w:val="24"/>
                    <w:szCs w:val="24"/>
                  </w:rPr>
                  <m:t>-1</m:t>
                </m:r>
              </m:e>
            </m:d>
            <m:r>
              <m:rPr>
                <m:sty m:val="p"/>
              </m:rPr>
              <w:rPr>
                <w:rFonts w:ascii="Cambria Math" w:eastAsia="Times New Roman" w:hAnsi="Cambria Math" w:cs="Times New Roman"/>
                <w:sz w:val="24"/>
                <w:szCs w:val="24"/>
              </w:rPr>
              <m:t>ds=</m:t>
            </m:r>
            <m:sSup>
              <m:sSupPr>
                <m:ctrlPr>
                  <w:rPr>
                    <w:rFonts w:ascii="Cambria Math" w:eastAsia="Times New Roman" w:hAnsi="Cambria Math" w:cs="Times New Roman"/>
                    <w:bCs/>
                    <w:sz w:val="24"/>
                    <w:szCs w:val="24"/>
                  </w:rPr>
                </m:ctrlPr>
              </m:sSupPr>
              <m:e>
                <m:r>
                  <m:rPr>
                    <m:sty m:val="p"/>
                  </m:rPr>
                  <w:rPr>
                    <w:rFonts w:ascii="Cambria Math" w:eastAsia="Times New Roman" w:hAnsi="Cambria Math" w:cs="Times New Roman"/>
                    <w:sz w:val="24"/>
                    <w:szCs w:val="24"/>
                  </w:rPr>
                  <m:t>10</m:t>
                </m:r>
              </m:e>
              <m:sup>
                <m:r>
                  <m:rPr>
                    <m:sty m:val="p"/>
                  </m:rPr>
                  <w:rPr>
                    <w:rFonts w:ascii="Cambria Math" w:eastAsia="Times New Roman" w:hAnsi="Cambria Math" w:cs="Times New Roman"/>
                    <w:sz w:val="24"/>
                    <w:szCs w:val="24"/>
                  </w:rPr>
                  <m:t>-6</m:t>
                </m:r>
              </m:sup>
            </m:sSup>
            <m:nary>
              <m:naryPr>
                <m:supHide m:val="1"/>
                <m:ctrlPr>
                  <w:rPr>
                    <w:rFonts w:ascii="Cambria Math" w:eastAsia="Times New Roman" w:hAnsi="Cambria Math" w:cs="Times New Roman"/>
                    <w:bCs/>
                    <w:sz w:val="24"/>
                    <w:szCs w:val="24"/>
                  </w:rPr>
                </m:ctrlPr>
              </m:naryPr>
              <m:sub>
                <m:r>
                  <m:rPr>
                    <m:sty m:val="p"/>
                  </m:rPr>
                  <w:rPr>
                    <w:rFonts w:ascii="Cambria Math" w:eastAsia="Times New Roman" w:hAnsi="Cambria Math" w:cs="Times New Roman"/>
                    <w:sz w:val="24"/>
                    <w:szCs w:val="24"/>
                  </w:rPr>
                  <m:t>L</m:t>
                </m:r>
              </m:sub>
              <m:sup/>
              <m:e>
                <m:r>
                  <m:rPr>
                    <m:sty m:val="p"/>
                  </m:rPr>
                  <w:rPr>
                    <w:rFonts w:ascii="Cambria Math" w:eastAsia="Times New Roman" w:hAnsi="Cambria Math" w:cs="Times New Roman"/>
                    <w:sz w:val="24"/>
                    <w:szCs w:val="24"/>
                  </w:rPr>
                  <m:t>Nds=</m:t>
                </m:r>
                <m:sSup>
                  <m:sSupPr>
                    <m:ctrlPr>
                      <w:rPr>
                        <w:rFonts w:ascii="Cambria Math" w:eastAsia="Times New Roman" w:hAnsi="Cambria Math" w:cs="Times New Roman"/>
                        <w:bCs/>
                        <w:sz w:val="24"/>
                        <w:szCs w:val="24"/>
                      </w:rPr>
                    </m:ctrlPr>
                  </m:sSupPr>
                  <m:e>
                    <m:r>
                      <m:rPr>
                        <m:sty m:val="p"/>
                      </m:rPr>
                      <w:rPr>
                        <w:rFonts w:ascii="Cambria Math" w:eastAsia="Times New Roman" w:hAnsi="Cambria Math" w:cs="Times New Roman"/>
                        <w:sz w:val="24"/>
                        <w:szCs w:val="24"/>
                      </w:rPr>
                      <m:t>10</m:t>
                    </m:r>
                  </m:e>
                  <m:sup>
                    <m:r>
                      <m:rPr>
                        <m:sty m:val="p"/>
                      </m:rPr>
                      <w:rPr>
                        <w:rFonts w:ascii="Cambria Math" w:eastAsia="Times New Roman" w:hAnsi="Cambria Math" w:cs="Times New Roman"/>
                        <w:sz w:val="24"/>
                        <w:szCs w:val="24"/>
                      </w:rPr>
                      <m:t>-6</m:t>
                    </m:r>
                  </m:sup>
                </m:sSup>
                <m:r>
                  <m:rPr>
                    <m:sty m:val="p"/>
                  </m:rPr>
                  <w:rPr>
                    <w:rFonts w:ascii="Cambria Math" w:eastAsia="Times New Roman" w:hAnsi="Cambria Math" w:cs="Times New Roman"/>
                    <w:sz w:val="24"/>
                    <w:szCs w:val="24"/>
                  </w:rPr>
                  <m:t xml:space="preserve"> </m:t>
                </m:r>
                <m:nary>
                  <m:naryPr>
                    <m:supHide m:val="1"/>
                    <m:ctrlPr>
                      <w:rPr>
                        <w:rFonts w:ascii="Cambria Math" w:eastAsia="Times New Roman" w:hAnsi="Cambria Math" w:cs="Times New Roman"/>
                        <w:bCs/>
                        <w:sz w:val="24"/>
                        <w:szCs w:val="24"/>
                      </w:rPr>
                    </m:ctrlPr>
                  </m:naryPr>
                  <m:sub>
                    <m:r>
                      <m:rPr>
                        <m:sty m:val="p"/>
                      </m:rPr>
                      <w:rPr>
                        <w:rFonts w:ascii="Cambria Math" w:eastAsia="Times New Roman" w:hAnsi="Cambria Math" w:cs="Times New Roman"/>
                        <w:sz w:val="24"/>
                        <w:szCs w:val="24"/>
                      </w:rPr>
                      <m:t>L</m:t>
                    </m:r>
                  </m:sub>
                  <m:sup/>
                  <m:e>
                    <m:sSub>
                      <m:sSubPr>
                        <m:ctrlPr>
                          <w:rPr>
                            <w:rFonts w:ascii="Cambria Math" w:eastAsia="Times New Roman" w:hAnsi="Cambria Math" w:cs="Times New Roman"/>
                            <w:bCs/>
                            <w:sz w:val="24"/>
                            <w:szCs w:val="24"/>
                          </w:rPr>
                        </m:ctrlPr>
                      </m:sSubPr>
                      <m:e>
                        <m:r>
                          <m:rPr>
                            <m:sty m:val="p"/>
                          </m:rPr>
                          <w:rPr>
                            <w:rFonts w:ascii="Cambria Math" w:eastAsia="Times New Roman" w:hAnsi="Cambria Math" w:cs="Times New Roman"/>
                            <w:sz w:val="24"/>
                            <w:szCs w:val="24"/>
                          </w:rPr>
                          <m:t>N</m:t>
                        </m:r>
                      </m:e>
                      <m:sub>
                        <m:r>
                          <m:rPr>
                            <m:sty m:val="p"/>
                          </m:rPr>
                          <w:rPr>
                            <w:rFonts w:ascii="Cambria Math" w:eastAsia="Times New Roman" w:hAnsi="Cambria Math" w:cs="Times New Roman"/>
                            <w:sz w:val="24"/>
                            <w:szCs w:val="24"/>
                          </w:rPr>
                          <m:t>h</m:t>
                        </m:r>
                      </m:sub>
                    </m:sSub>
                    <m:r>
                      <m:rPr>
                        <m:sty m:val="p"/>
                      </m:rPr>
                      <w:rPr>
                        <w:rFonts w:ascii="Cambria Math" w:eastAsia="Times New Roman" w:hAnsi="Cambria Math" w:cs="Times New Roman"/>
                        <w:sz w:val="24"/>
                        <w:szCs w:val="24"/>
                      </w:rPr>
                      <m:t>ds+</m:t>
                    </m:r>
                    <m:sSup>
                      <m:sSupPr>
                        <m:ctrlPr>
                          <w:rPr>
                            <w:rFonts w:ascii="Cambria Math" w:eastAsia="Times New Roman" w:hAnsi="Cambria Math" w:cs="Times New Roman"/>
                            <w:bCs/>
                            <w:sz w:val="24"/>
                            <w:szCs w:val="24"/>
                          </w:rPr>
                        </m:ctrlPr>
                      </m:sSupPr>
                      <m:e>
                        <m:r>
                          <m:rPr>
                            <m:sty m:val="p"/>
                          </m:rPr>
                          <w:rPr>
                            <w:rFonts w:ascii="Cambria Math" w:eastAsia="Times New Roman" w:hAnsi="Cambria Math" w:cs="Times New Roman"/>
                            <w:sz w:val="24"/>
                            <w:szCs w:val="24"/>
                          </w:rPr>
                          <m:t>10</m:t>
                        </m:r>
                      </m:e>
                      <m:sup>
                        <m:r>
                          <m:rPr>
                            <m:sty m:val="p"/>
                          </m:rPr>
                          <w:rPr>
                            <w:rFonts w:ascii="Cambria Math" w:eastAsia="Times New Roman" w:hAnsi="Cambria Math" w:cs="Times New Roman"/>
                            <w:sz w:val="24"/>
                            <w:szCs w:val="24"/>
                          </w:rPr>
                          <m:t>-6</m:t>
                        </m:r>
                      </m:sup>
                    </m:sSup>
                    <m:nary>
                      <m:naryPr>
                        <m:supHide m:val="1"/>
                        <m:ctrlPr>
                          <w:rPr>
                            <w:rFonts w:ascii="Cambria Math" w:eastAsia="Times New Roman" w:hAnsi="Cambria Math" w:cs="Times New Roman"/>
                            <w:bCs/>
                            <w:sz w:val="24"/>
                            <w:szCs w:val="24"/>
                          </w:rPr>
                        </m:ctrlPr>
                      </m:naryPr>
                      <m:sub>
                        <m:r>
                          <m:rPr>
                            <m:sty m:val="p"/>
                          </m:rPr>
                          <w:rPr>
                            <w:rFonts w:ascii="Cambria Math" w:eastAsia="Times New Roman" w:hAnsi="Cambria Math" w:cs="Times New Roman"/>
                            <w:sz w:val="24"/>
                            <w:szCs w:val="24"/>
                          </w:rPr>
                          <m:t>L</m:t>
                        </m:r>
                      </m:sub>
                      <m:sup/>
                      <m:e>
                        <m:sSub>
                          <m:sSubPr>
                            <m:ctrlPr>
                              <w:rPr>
                                <w:rFonts w:ascii="Cambria Math" w:eastAsia="Times New Roman" w:hAnsi="Cambria Math" w:cs="Times New Roman"/>
                                <w:bCs/>
                                <w:sz w:val="24"/>
                                <w:szCs w:val="24"/>
                              </w:rPr>
                            </m:ctrlPr>
                          </m:sSubPr>
                          <m:e>
                            <m:r>
                              <m:rPr>
                                <m:sty m:val="p"/>
                              </m:rPr>
                              <w:rPr>
                                <w:rFonts w:ascii="Cambria Math" w:eastAsia="Times New Roman" w:hAnsi="Cambria Math" w:cs="Times New Roman"/>
                                <w:sz w:val="24"/>
                                <w:szCs w:val="24"/>
                              </w:rPr>
                              <m:t>N</m:t>
                            </m:r>
                          </m:e>
                          <m:sub>
                            <m:r>
                              <m:rPr>
                                <m:sty m:val="p"/>
                              </m:rPr>
                              <w:rPr>
                                <w:rFonts w:ascii="Cambria Math" w:eastAsia="Times New Roman" w:hAnsi="Cambria Math" w:cs="Times New Roman"/>
                                <w:sz w:val="24"/>
                                <w:szCs w:val="24"/>
                              </w:rPr>
                              <m:t>w</m:t>
                            </m:r>
                          </m:sub>
                        </m:sSub>
                        <m:r>
                          <m:rPr>
                            <m:sty m:val="p"/>
                          </m:rPr>
                          <w:rPr>
                            <w:rFonts w:ascii="Cambria Math" w:eastAsia="Times New Roman" w:hAnsi="Cambria Math" w:cs="Times New Roman"/>
                            <w:sz w:val="24"/>
                            <w:szCs w:val="24"/>
                          </w:rPr>
                          <m:t>ds=∆</m:t>
                        </m:r>
                        <m:sSubSup>
                          <m:sSubSupPr>
                            <m:ctrlPr>
                              <w:rPr>
                                <w:rFonts w:ascii="Cambria Math" w:eastAsia="Times New Roman" w:hAnsi="Cambria Math" w:cs="Times New Roman"/>
                                <w:bCs/>
                                <w:sz w:val="24"/>
                                <w:szCs w:val="24"/>
                              </w:rPr>
                            </m:ctrlPr>
                          </m:sSubSupPr>
                          <m:e>
                            <m:r>
                              <m:rPr>
                                <m:sty m:val="p"/>
                              </m:rPr>
                              <w:rPr>
                                <w:rFonts w:ascii="Cambria Math" w:eastAsia="Times New Roman" w:hAnsi="Cambria Math" w:cs="Times New Roman"/>
                                <w:sz w:val="24"/>
                                <w:szCs w:val="24"/>
                              </w:rPr>
                              <m:t>L</m:t>
                            </m:r>
                          </m:e>
                          <m:sub>
                            <m:r>
                              <m:rPr>
                                <m:sty m:val="p"/>
                              </m:rPr>
                              <w:rPr>
                                <w:rFonts w:ascii="Cambria Math" w:eastAsia="Times New Roman" w:hAnsi="Cambria Math" w:cs="Times New Roman"/>
                                <w:sz w:val="24"/>
                                <w:szCs w:val="24"/>
                              </w:rPr>
                              <m:t>h</m:t>
                            </m:r>
                          </m:sub>
                          <m:sup>
                            <m:r>
                              <m:rPr>
                                <m:sty m:val="p"/>
                              </m:rPr>
                              <w:rPr>
                                <w:rFonts w:ascii="Cambria Math" w:eastAsia="Times New Roman" w:hAnsi="Cambria Math" w:cs="Times New Roman"/>
                                <w:sz w:val="24"/>
                                <w:szCs w:val="24"/>
                              </w:rPr>
                              <m:t>0</m:t>
                            </m:r>
                          </m:sup>
                        </m:sSubSup>
                        <m:r>
                          <m:rPr>
                            <m:sty m:val="p"/>
                          </m:rPr>
                          <w:rPr>
                            <w:rFonts w:ascii="Cambria Math" w:eastAsia="Times New Roman" w:hAnsi="Cambria Math" w:cs="Times New Roman"/>
                            <w:sz w:val="24"/>
                            <w:szCs w:val="24"/>
                          </w:rPr>
                          <m:t>+∆</m:t>
                        </m:r>
                        <m:sSubSup>
                          <m:sSubSupPr>
                            <m:ctrlPr>
                              <w:rPr>
                                <w:rFonts w:ascii="Cambria Math" w:eastAsia="Times New Roman" w:hAnsi="Cambria Math" w:cs="Times New Roman"/>
                                <w:bCs/>
                                <w:sz w:val="24"/>
                                <w:szCs w:val="24"/>
                              </w:rPr>
                            </m:ctrlPr>
                          </m:sSubSupPr>
                          <m:e>
                            <m:r>
                              <m:rPr>
                                <m:sty m:val="p"/>
                              </m:rPr>
                              <w:rPr>
                                <w:rFonts w:ascii="Cambria Math" w:eastAsia="Times New Roman" w:hAnsi="Cambria Math" w:cs="Times New Roman"/>
                                <w:sz w:val="24"/>
                                <w:szCs w:val="24"/>
                              </w:rPr>
                              <m:t>L</m:t>
                            </m:r>
                          </m:e>
                          <m:sub>
                            <m:r>
                              <m:rPr>
                                <m:sty m:val="p"/>
                              </m:rPr>
                              <w:rPr>
                                <w:rFonts w:ascii="Cambria Math" w:eastAsia="Times New Roman" w:hAnsi="Cambria Math" w:cs="Times New Roman"/>
                                <w:sz w:val="24"/>
                                <w:szCs w:val="24"/>
                              </w:rPr>
                              <m:t>w</m:t>
                            </m:r>
                          </m:sub>
                          <m:sup>
                            <m:r>
                              <m:rPr>
                                <m:sty m:val="p"/>
                              </m:rPr>
                              <w:rPr>
                                <w:rFonts w:ascii="Cambria Math" w:eastAsia="Times New Roman" w:hAnsi="Cambria Math" w:cs="Times New Roman"/>
                                <w:sz w:val="24"/>
                                <w:szCs w:val="24"/>
                              </w:rPr>
                              <m:t>0</m:t>
                            </m:r>
                          </m:sup>
                        </m:sSubSup>
                      </m:e>
                    </m:nary>
                  </m:e>
                </m:nary>
              </m:e>
            </m:nary>
          </m:e>
        </m:nary>
      </m:oMath>
      <w:r w:rsidRPr="00BE4AF3">
        <w:rPr>
          <w:rFonts w:ascii="Times New Roman" w:eastAsia="Times New Roman" w:hAnsi="Times New Roman" w:cs="Times New Roman"/>
          <w:bCs/>
          <w:sz w:val="24"/>
          <w:szCs w:val="24"/>
        </w:rPr>
        <w:t xml:space="preserve"> 2.</w:t>
      </w:r>
      <w:r w:rsidRPr="00BE4AF3">
        <w:rPr>
          <w:rFonts w:ascii="Times New Roman" w:eastAsia="Times New Roman" w:hAnsi="Times New Roman" w:cs="Times New Roman"/>
          <w:bCs/>
          <w:sz w:val="24"/>
          <w:szCs w:val="24"/>
        </w:rPr>
        <w:tab/>
      </w:r>
      <w:r w:rsidRPr="00BE4AF3">
        <w:rPr>
          <w:rFonts w:ascii="Times New Roman" w:eastAsia="Times New Roman" w:hAnsi="Times New Roman" w:cs="Times New Roman"/>
          <w:bCs/>
          <w:sz w:val="24"/>
          <w:szCs w:val="24"/>
        </w:rPr>
        <w:tab/>
      </w:r>
      <w:r w:rsidRPr="00BE4AF3">
        <w:rPr>
          <w:rFonts w:ascii="Times New Roman" w:eastAsia="Times New Roman" w:hAnsi="Times New Roman" w:cs="Times New Roman"/>
          <w:bCs/>
          <w:sz w:val="24"/>
          <w:szCs w:val="24"/>
        </w:rPr>
        <w:tab/>
      </w:r>
      <w:r w:rsidRPr="00BE4AF3">
        <w:rPr>
          <w:rFonts w:ascii="Times New Roman" w:eastAsia="Times New Roman" w:hAnsi="Times New Roman" w:cs="Times New Roman"/>
          <w:bCs/>
          <w:sz w:val="24"/>
          <w:szCs w:val="24"/>
        </w:rPr>
        <w:tab/>
      </w:r>
      <w:r w:rsidRPr="00BE4AF3">
        <w:rPr>
          <w:rFonts w:ascii="Times New Roman" w:eastAsia="Times New Roman" w:hAnsi="Times New Roman" w:cs="Times New Roman"/>
          <w:bCs/>
          <w:sz w:val="24"/>
          <w:szCs w:val="24"/>
        </w:rPr>
        <w:tab/>
      </w:r>
      <w:r w:rsidRPr="00BE4AF3">
        <w:rPr>
          <w:rFonts w:ascii="Times New Roman" w:eastAsia="Times New Roman" w:hAnsi="Times New Roman" w:cs="Times New Roman"/>
          <w:bCs/>
          <w:sz w:val="24"/>
          <w:szCs w:val="24"/>
        </w:rPr>
        <w:tab/>
      </w:r>
      <w:r w:rsidRPr="00BE4AF3">
        <w:rPr>
          <w:rFonts w:ascii="Times New Roman" w:eastAsia="Times New Roman" w:hAnsi="Times New Roman" w:cs="Times New Roman"/>
          <w:bCs/>
          <w:sz w:val="24"/>
          <w:szCs w:val="24"/>
        </w:rPr>
        <w:tab/>
      </w:r>
      <w:r w:rsidRPr="00BE4AF3">
        <w:rPr>
          <w:rFonts w:ascii="Times New Roman" w:eastAsia="Times New Roman" w:hAnsi="Times New Roman" w:cs="Times New Roman"/>
          <w:bCs/>
          <w:sz w:val="24"/>
          <w:szCs w:val="24"/>
        </w:rPr>
        <w:tab/>
      </w:r>
      <w:r w:rsidRPr="00BE4AF3">
        <w:rPr>
          <w:rFonts w:ascii="Times New Roman" w:eastAsia="Times New Roman" w:hAnsi="Times New Roman" w:cs="Times New Roman"/>
          <w:bCs/>
          <w:sz w:val="24"/>
          <w:szCs w:val="24"/>
        </w:rPr>
        <w:tab/>
      </w:r>
    </w:p>
    <w:p w14:paraId="69531535" w14:textId="77777777" w:rsidR="00A63CD3" w:rsidRPr="00BE4AF3" w:rsidRDefault="00A63CD3" w:rsidP="00433976">
      <w:pPr>
        <w:spacing w:after="0" w:line="240" w:lineRule="auto"/>
        <w:jc w:val="both"/>
        <w:rPr>
          <w:rFonts w:ascii="Times New Roman" w:eastAsia="Times New Roman" w:hAnsi="Times New Roman" w:cs="Times New Roman"/>
          <w:bCs/>
          <w:sz w:val="24"/>
          <w:szCs w:val="24"/>
        </w:rPr>
      </w:pPr>
      <w:r w:rsidRPr="00BE4AF3">
        <w:rPr>
          <w:rFonts w:ascii="Times New Roman" w:eastAsia="Times New Roman" w:hAnsi="Times New Roman" w:cs="Times New Roman"/>
          <w:bCs/>
          <w:sz w:val="24"/>
          <w:szCs w:val="24"/>
        </w:rPr>
        <w:t xml:space="preserve">Where </w:t>
      </w:r>
      <m:oMath>
        <m:r>
          <m:rPr>
            <m:sty m:val="p"/>
          </m:rPr>
          <w:rPr>
            <w:rFonts w:ascii="Cambria Math" w:eastAsia="Times New Roman" w:hAnsi="Cambria Math" w:cs="Times New Roman"/>
            <w:sz w:val="24"/>
            <w:szCs w:val="24"/>
          </w:rPr>
          <m:t>∆</m:t>
        </m:r>
        <m:sSubSup>
          <m:sSubSupPr>
            <m:ctrlPr>
              <w:rPr>
                <w:rFonts w:ascii="Cambria Math" w:eastAsia="Times New Roman" w:hAnsi="Cambria Math" w:cs="Times New Roman"/>
                <w:bCs/>
                <w:sz w:val="24"/>
                <w:szCs w:val="24"/>
              </w:rPr>
            </m:ctrlPr>
          </m:sSubSupPr>
          <m:e>
            <m:r>
              <m:rPr>
                <m:sty m:val="p"/>
              </m:rPr>
              <w:rPr>
                <w:rFonts w:ascii="Cambria Math" w:eastAsia="Times New Roman" w:hAnsi="Cambria Math" w:cs="Times New Roman"/>
                <w:sz w:val="24"/>
                <w:szCs w:val="24"/>
              </w:rPr>
              <m:t>L</m:t>
            </m:r>
          </m:e>
          <m:sub>
            <m:r>
              <m:rPr>
                <m:sty m:val="p"/>
              </m:rPr>
              <w:rPr>
                <w:rFonts w:ascii="Cambria Math" w:eastAsia="Times New Roman" w:hAnsi="Cambria Math" w:cs="Times New Roman"/>
                <w:sz w:val="24"/>
                <w:szCs w:val="24"/>
              </w:rPr>
              <m:t>h</m:t>
            </m:r>
          </m:sub>
          <m:sup>
            <m:r>
              <m:rPr>
                <m:sty m:val="p"/>
              </m:rPr>
              <w:rPr>
                <w:rFonts w:ascii="Cambria Math" w:eastAsia="Times New Roman" w:hAnsi="Cambria Math" w:cs="Times New Roman"/>
                <w:sz w:val="24"/>
                <w:szCs w:val="24"/>
              </w:rPr>
              <m:t>0</m:t>
            </m:r>
          </m:sup>
        </m:sSubSup>
        <m:r>
          <m:rPr>
            <m:sty m:val="p"/>
          </m:rPr>
          <w:rPr>
            <w:rFonts w:ascii="Cambria Math" w:eastAsia="Times New Roman" w:hAnsi="Cambria Math" w:cs="Times New Roman"/>
            <w:sz w:val="24"/>
            <w:szCs w:val="24"/>
          </w:rPr>
          <m:t xml:space="preserve"> </m:t>
        </m:r>
      </m:oMath>
      <w:r w:rsidRPr="00BE4AF3">
        <w:rPr>
          <w:rFonts w:ascii="Times New Roman" w:eastAsia="Times New Roman" w:hAnsi="Times New Roman" w:cs="Times New Roman"/>
          <w:bCs/>
          <w:sz w:val="24"/>
          <w:szCs w:val="24"/>
        </w:rPr>
        <w:t xml:space="preserve">is the zenith hydrostatic delay (ZHD) and  </w:t>
      </w:r>
      <m:oMath>
        <m:r>
          <m:rPr>
            <m:sty m:val="p"/>
          </m:rPr>
          <w:rPr>
            <w:rFonts w:ascii="Cambria Math" w:eastAsia="Times New Roman" w:hAnsi="Cambria Math" w:cs="Times New Roman"/>
            <w:sz w:val="24"/>
            <w:szCs w:val="24"/>
          </w:rPr>
          <m:t>∆</m:t>
        </m:r>
        <m:sSubSup>
          <m:sSubSupPr>
            <m:ctrlPr>
              <w:rPr>
                <w:rFonts w:ascii="Cambria Math" w:eastAsia="Times New Roman" w:hAnsi="Cambria Math" w:cs="Times New Roman"/>
                <w:bCs/>
                <w:sz w:val="24"/>
                <w:szCs w:val="24"/>
              </w:rPr>
            </m:ctrlPr>
          </m:sSubSupPr>
          <m:e>
            <m:r>
              <m:rPr>
                <m:sty m:val="p"/>
              </m:rPr>
              <w:rPr>
                <w:rFonts w:ascii="Cambria Math" w:eastAsia="Times New Roman" w:hAnsi="Cambria Math" w:cs="Times New Roman"/>
                <w:sz w:val="24"/>
                <w:szCs w:val="24"/>
              </w:rPr>
              <m:t>L</m:t>
            </m:r>
          </m:e>
          <m:sub>
            <m:r>
              <m:rPr>
                <m:sty m:val="p"/>
              </m:rPr>
              <w:rPr>
                <w:rFonts w:ascii="Cambria Math" w:eastAsia="Times New Roman" w:hAnsi="Cambria Math" w:cs="Times New Roman"/>
                <w:sz w:val="24"/>
                <w:szCs w:val="24"/>
              </w:rPr>
              <m:t>w</m:t>
            </m:r>
          </m:sub>
          <m:sup>
            <m:r>
              <m:rPr>
                <m:sty m:val="p"/>
              </m:rPr>
              <w:rPr>
                <w:rFonts w:ascii="Cambria Math" w:eastAsia="Times New Roman" w:hAnsi="Cambria Math" w:cs="Times New Roman"/>
                <w:sz w:val="24"/>
                <w:szCs w:val="24"/>
              </w:rPr>
              <m:t>0</m:t>
            </m:r>
          </m:sup>
        </m:sSubSup>
      </m:oMath>
      <w:r w:rsidRPr="00BE4AF3">
        <w:rPr>
          <w:rFonts w:ascii="Times New Roman" w:eastAsia="Times New Roman" w:hAnsi="Times New Roman" w:cs="Times New Roman"/>
          <w:bCs/>
          <w:sz w:val="24"/>
          <w:szCs w:val="24"/>
        </w:rPr>
        <w:t xml:space="preserve"> is the zenith wet delay (ZWD)</w:t>
      </w:r>
    </w:p>
    <w:p w14:paraId="33618738" w14:textId="56510ECC" w:rsidR="00A63CD3" w:rsidRPr="00BE4AF3" w:rsidRDefault="00A63CD3" w:rsidP="00433976">
      <w:pPr>
        <w:spacing w:after="0" w:line="240" w:lineRule="auto"/>
        <w:jc w:val="both"/>
        <w:rPr>
          <w:rFonts w:ascii="Times New Roman" w:eastAsia="Times New Roman" w:hAnsi="Times New Roman" w:cs="Times New Roman"/>
          <w:bCs/>
          <w:sz w:val="24"/>
          <w:szCs w:val="24"/>
        </w:rPr>
      </w:pPr>
      <w:r w:rsidRPr="00BE4AF3">
        <w:rPr>
          <w:rFonts w:ascii="Times New Roman" w:eastAsia="Times New Roman" w:hAnsi="Times New Roman" w:cs="Times New Roman"/>
          <w:bCs/>
          <w:sz w:val="24"/>
          <w:szCs w:val="24"/>
        </w:rPr>
        <w:t xml:space="preserve">If the vertical refractivity profiles are available, for instance, from data collected by </w:t>
      </w:r>
      <w:r w:rsidR="00433976" w:rsidRPr="00BE4AF3">
        <w:rPr>
          <w:rFonts w:ascii="Times New Roman" w:eastAsia="Times New Roman" w:hAnsi="Times New Roman" w:cs="Times New Roman"/>
          <w:bCs/>
          <w:sz w:val="24"/>
          <w:szCs w:val="24"/>
        </w:rPr>
        <w:t>RO systems</w:t>
      </w:r>
      <w:r w:rsidRPr="00BE4AF3">
        <w:rPr>
          <w:rFonts w:ascii="Times New Roman" w:eastAsia="Times New Roman" w:hAnsi="Times New Roman" w:cs="Times New Roman"/>
          <w:bCs/>
          <w:sz w:val="24"/>
          <w:szCs w:val="24"/>
        </w:rPr>
        <w:t xml:space="preserve">, radiosonde or from numerical weather fields, the zenith delay components can be obtained by integration of the vertical refractivity profiles as: </w:t>
      </w:r>
    </w:p>
    <w:p w14:paraId="3F8D3793" w14:textId="77777777" w:rsidR="00A63CD3" w:rsidRPr="00BE4AF3" w:rsidRDefault="00A63CD3" w:rsidP="00433976">
      <w:pPr>
        <w:spacing w:after="0" w:line="240" w:lineRule="auto"/>
        <w:jc w:val="both"/>
        <w:rPr>
          <w:rFonts w:ascii="Times New Roman" w:eastAsia="Times New Roman" w:hAnsi="Times New Roman" w:cs="Times New Roman"/>
          <w:bCs/>
          <w:sz w:val="24"/>
          <w:szCs w:val="24"/>
        </w:rPr>
      </w:pPr>
      <m:oMath>
        <m:r>
          <m:rPr>
            <m:sty m:val="p"/>
          </m:rPr>
          <w:rPr>
            <w:rFonts w:ascii="Cambria Math" w:eastAsia="Times New Roman" w:hAnsi="Cambria Math" w:cs="Times New Roman"/>
            <w:sz w:val="24"/>
            <w:szCs w:val="24"/>
          </w:rPr>
          <m:t>ZHD=</m:t>
        </m:r>
        <m:sSup>
          <m:sSupPr>
            <m:ctrlPr>
              <w:rPr>
                <w:rFonts w:ascii="Cambria Math" w:eastAsia="Times New Roman" w:hAnsi="Cambria Math" w:cs="Times New Roman"/>
                <w:bCs/>
                <w:sz w:val="24"/>
                <w:szCs w:val="24"/>
              </w:rPr>
            </m:ctrlPr>
          </m:sSupPr>
          <m:e>
            <m:r>
              <m:rPr>
                <m:sty m:val="p"/>
              </m:rPr>
              <w:rPr>
                <w:rFonts w:ascii="Cambria Math" w:eastAsia="Times New Roman" w:hAnsi="Cambria Math" w:cs="Times New Roman"/>
                <w:sz w:val="24"/>
                <w:szCs w:val="24"/>
              </w:rPr>
              <m:t>10</m:t>
            </m:r>
          </m:e>
          <m:sup>
            <m:r>
              <m:rPr>
                <m:sty m:val="p"/>
              </m:rPr>
              <w:rPr>
                <w:rFonts w:ascii="Cambria Math" w:eastAsia="Times New Roman" w:hAnsi="Cambria Math" w:cs="Times New Roman"/>
                <w:sz w:val="24"/>
                <w:szCs w:val="24"/>
              </w:rPr>
              <m:t>-6</m:t>
            </m:r>
          </m:sup>
        </m:sSup>
        <m:nary>
          <m:naryPr>
            <m:supHide m:val="1"/>
            <m:ctrlPr>
              <w:rPr>
                <w:rFonts w:ascii="Cambria Math" w:eastAsia="Times New Roman" w:hAnsi="Cambria Math" w:cs="Times New Roman"/>
                <w:bCs/>
                <w:sz w:val="24"/>
                <w:szCs w:val="24"/>
              </w:rPr>
            </m:ctrlPr>
          </m:naryPr>
          <m:sub>
            <m:r>
              <m:rPr>
                <m:sty m:val="p"/>
              </m:rPr>
              <w:rPr>
                <w:rFonts w:ascii="Cambria Math" w:eastAsia="Times New Roman" w:hAnsi="Cambria Math" w:cs="Times New Roman"/>
                <w:sz w:val="24"/>
                <w:szCs w:val="24"/>
              </w:rPr>
              <m:t>h</m:t>
            </m:r>
          </m:sub>
          <m:sup/>
          <m:e>
            <m:sSub>
              <m:sSubPr>
                <m:ctrlPr>
                  <w:rPr>
                    <w:rFonts w:ascii="Cambria Math" w:eastAsia="Times New Roman" w:hAnsi="Cambria Math" w:cs="Times New Roman"/>
                    <w:bCs/>
                    <w:sz w:val="24"/>
                    <w:szCs w:val="24"/>
                  </w:rPr>
                </m:ctrlPr>
              </m:sSubPr>
              <m:e>
                <m:r>
                  <m:rPr>
                    <m:sty m:val="p"/>
                  </m:rPr>
                  <w:rPr>
                    <w:rFonts w:ascii="Cambria Math" w:eastAsia="Times New Roman" w:hAnsi="Cambria Math" w:cs="Times New Roman"/>
                    <w:sz w:val="24"/>
                    <w:szCs w:val="24"/>
                  </w:rPr>
                  <m:t>N</m:t>
                </m:r>
              </m:e>
              <m:sub>
                <m:r>
                  <m:rPr>
                    <m:sty m:val="p"/>
                  </m:rPr>
                  <w:rPr>
                    <w:rFonts w:ascii="Cambria Math" w:eastAsia="Times New Roman" w:hAnsi="Cambria Math" w:cs="Times New Roman"/>
                    <w:sz w:val="24"/>
                    <w:szCs w:val="24"/>
                  </w:rPr>
                  <m:t>h</m:t>
                </m:r>
              </m:sub>
            </m:sSub>
            <m:d>
              <m:dPr>
                <m:ctrlPr>
                  <w:rPr>
                    <w:rFonts w:ascii="Cambria Math" w:eastAsia="Times New Roman" w:hAnsi="Cambria Math" w:cs="Times New Roman"/>
                    <w:bCs/>
                    <w:sz w:val="24"/>
                    <w:szCs w:val="24"/>
                  </w:rPr>
                </m:ctrlPr>
              </m:dPr>
              <m:e>
                <m:r>
                  <m:rPr>
                    <m:sty m:val="p"/>
                  </m:rPr>
                  <w:rPr>
                    <w:rFonts w:ascii="Cambria Math" w:eastAsia="Times New Roman" w:hAnsi="Cambria Math" w:cs="Times New Roman"/>
                    <w:sz w:val="24"/>
                    <w:szCs w:val="24"/>
                  </w:rPr>
                  <m:t>h</m:t>
                </m:r>
              </m:e>
            </m:d>
            <m:r>
              <m:rPr>
                <m:sty m:val="p"/>
              </m:rPr>
              <w:rPr>
                <w:rFonts w:ascii="Cambria Math" w:eastAsia="Times New Roman" w:hAnsi="Cambria Math" w:cs="Times New Roman"/>
                <w:sz w:val="24"/>
                <w:szCs w:val="24"/>
              </w:rPr>
              <m:t>dh=</m:t>
            </m:r>
            <m:sSup>
              <m:sSupPr>
                <m:ctrlPr>
                  <w:rPr>
                    <w:rFonts w:ascii="Cambria Math" w:eastAsia="Times New Roman" w:hAnsi="Cambria Math" w:cs="Times New Roman"/>
                    <w:bCs/>
                    <w:sz w:val="24"/>
                    <w:szCs w:val="24"/>
                  </w:rPr>
                </m:ctrlPr>
              </m:sSupPr>
              <m:e>
                <m:r>
                  <m:rPr>
                    <m:sty m:val="p"/>
                  </m:rPr>
                  <w:rPr>
                    <w:rFonts w:ascii="Cambria Math" w:eastAsia="Times New Roman" w:hAnsi="Cambria Math" w:cs="Times New Roman"/>
                    <w:sz w:val="24"/>
                    <w:szCs w:val="24"/>
                  </w:rPr>
                  <m:t>10</m:t>
                </m:r>
              </m:e>
              <m:sup>
                <m:r>
                  <m:rPr>
                    <m:sty m:val="p"/>
                  </m:rPr>
                  <w:rPr>
                    <w:rFonts w:ascii="Cambria Math" w:eastAsia="Times New Roman" w:hAnsi="Cambria Math" w:cs="Times New Roman"/>
                    <w:sz w:val="24"/>
                    <w:szCs w:val="24"/>
                  </w:rPr>
                  <m:t>-6</m:t>
                </m:r>
              </m:sup>
            </m:sSup>
          </m:e>
        </m:nary>
        <m:nary>
          <m:naryPr>
            <m:supHide m:val="1"/>
            <m:ctrlPr>
              <w:rPr>
                <w:rFonts w:ascii="Cambria Math" w:eastAsia="Times New Roman" w:hAnsi="Cambria Math" w:cs="Times New Roman"/>
                <w:bCs/>
                <w:sz w:val="24"/>
                <w:szCs w:val="24"/>
              </w:rPr>
            </m:ctrlPr>
          </m:naryPr>
          <m:sub>
            <m:r>
              <m:rPr>
                <m:sty m:val="p"/>
              </m:rPr>
              <w:rPr>
                <w:rFonts w:ascii="Cambria Math" w:eastAsia="Times New Roman" w:hAnsi="Cambria Math" w:cs="Times New Roman"/>
                <w:sz w:val="24"/>
                <w:szCs w:val="24"/>
              </w:rPr>
              <m:t>h</m:t>
            </m:r>
          </m:sub>
          <m:sup/>
          <m:e>
            <m:d>
              <m:dPr>
                <m:ctrlPr>
                  <w:rPr>
                    <w:rFonts w:ascii="Cambria Math" w:eastAsia="Times New Roman" w:hAnsi="Cambria Math" w:cs="Times New Roman"/>
                    <w:bCs/>
                    <w:sz w:val="24"/>
                    <w:szCs w:val="24"/>
                  </w:rPr>
                </m:ctrlPr>
              </m:dPr>
              <m:e>
                <m:sSub>
                  <m:sSubPr>
                    <m:ctrlPr>
                      <w:rPr>
                        <w:rFonts w:ascii="Cambria Math" w:eastAsia="Times New Roman" w:hAnsi="Cambria Math" w:cs="Times New Roman"/>
                        <w:bCs/>
                        <w:sz w:val="24"/>
                        <w:szCs w:val="24"/>
                      </w:rPr>
                    </m:ctrlPr>
                  </m:sSubPr>
                  <m:e>
                    <m:r>
                      <m:rPr>
                        <m:sty m:val="p"/>
                      </m:rPr>
                      <w:rPr>
                        <w:rFonts w:ascii="Cambria Math" w:eastAsia="Times New Roman" w:hAnsi="Cambria Math" w:cs="Times New Roman"/>
                        <w:sz w:val="24"/>
                        <w:szCs w:val="24"/>
                      </w:rPr>
                      <m:t>k</m:t>
                    </m:r>
                  </m:e>
                  <m:sub>
                    <m:r>
                      <m:rPr>
                        <m:sty m:val="p"/>
                      </m:rPr>
                      <w:rPr>
                        <w:rFonts w:ascii="Cambria Math" w:eastAsia="Times New Roman" w:hAnsi="Cambria Math" w:cs="Times New Roman"/>
                        <w:sz w:val="24"/>
                        <w:szCs w:val="24"/>
                      </w:rPr>
                      <m:t>1</m:t>
                    </m:r>
                  </m:sub>
                </m:sSub>
                <m:sSub>
                  <m:sSubPr>
                    <m:ctrlPr>
                      <w:rPr>
                        <w:rFonts w:ascii="Cambria Math" w:eastAsia="Times New Roman" w:hAnsi="Cambria Math" w:cs="Times New Roman"/>
                        <w:bCs/>
                        <w:sz w:val="24"/>
                        <w:szCs w:val="24"/>
                      </w:rPr>
                    </m:ctrlPr>
                  </m:sSubPr>
                  <m:e>
                    <m:r>
                      <m:rPr>
                        <m:sty m:val="p"/>
                      </m:rPr>
                      <w:rPr>
                        <w:rFonts w:ascii="Cambria Math" w:eastAsia="Times New Roman" w:hAnsi="Cambria Math" w:cs="Times New Roman"/>
                        <w:sz w:val="24"/>
                        <w:szCs w:val="24"/>
                      </w:rPr>
                      <m:t>R</m:t>
                    </m:r>
                  </m:e>
                  <m:sub>
                    <m:r>
                      <m:rPr>
                        <m:sty m:val="p"/>
                      </m:rPr>
                      <w:rPr>
                        <w:rFonts w:ascii="Cambria Math" w:eastAsia="Times New Roman" w:hAnsi="Cambria Math" w:cs="Times New Roman"/>
                        <w:sz w:val="24"/>
                        <w:szCs w:val="24"/>
                      </w:rPr>
                      <m:t>d</m:t>
                    </m:r>
                  </m:sub>
                </m:sSub>
                <m:r>
                  <m:rPr>
                    <m:sty m:val="p"/>
                  </m:rPr>
                  <w:rPr>
                    <w:rFonts w:ascii="Cambria Math" w:eastAsia="Times New Roman" w:hAnsi="Cambria Math" w:cs="Times New Roman"/>
                    <w:sz w:val="24"/>
                    <w:szCs w:val="24"/>
                  </w:rPr>
                  <m:t>ρ</m:t>
                </m:r>
              </m:e>
            </m:d>
            <m:r>
              <m:rPr>
                <m:sty m:val="p"/>
              </m:rPr>
              <w:rPr>
                <w:rFonts w:ascii="Cambria Math" w:eastAsia="Times New Roman" w:hAnsi="Cambria Math" w:cs="Times New Roman"/>
                <w:sz w:val="24"/>
                <w:szCs w:val="24"/>
              </w:rPr>
              <m:t>dh</m:t>
            </m:r>
          </m:e>
        </m:nary>
      </m:oMath>
      <w:r w:rsidRPr="00BE4AF3">
        <w:rPr>
          <w:rFonts w:ascii="Times New Roman" w:eastAsia="Times New Roman" w:hAnsi="Times New Roman" w:cs="Times New Roman"/>
          <w:bCs/>
          <w:sz w:val="24"/>
          <w:szCs w:val="24"/>
        </w:rPr>
        <w:t xml:space="preserve">                       </w:t>
      </w:r>
      <w:r w:rsidRPr="00BE4AF3">
        <w:rPr>
          <w:rFonts w:ascii="Times New Roman" w:eastAsia="Times New Roman" w:hAnsi="Times New Roman" w:cs="Times New Roman"/>
          <w:bCs/>
          <w:sz w:val="24"/>
          <w:szCs w:val="24"/>
        </w:rPr>
        <w:tab/>
      </w:r>
      <w:r w:rsidRPr="00BE4AF3">
        <w:rPr>
          <w:rFonts w:ascii="Times New Roman" w:eastAsia="Times New Roman" w:hAnsi="Times New Roman" w:cs="Times New Roman"/>
          <w:bCs/>
          <w:sz w:val="24"/>
          <w:szCs w:val="24"/>
        </w:rPr>
        <w:tab/>
        <w:t xml:space="preserve">2.3                                         </w:t>
      </w:r>
    </w:p>
    <w:p w14:paraId="2799E024" w14:textId="16AF34AE" w:rsidR="00A63CD3" w:rsidRPr="00BE4AF3" w:rsidRDefault="00A63CD3" w:rsidP="00433976">
      <w:pPr>
        <w:spacing w:after="0" w:line="240" w:lineRule="auto"/>
        <w:jc w:val="both"/>
        <w:rPr>
          <w:rFonts w:ascii="Times New Roman" w:eastAsia="Times New Roman" w:hAnsi="Times New Roman" w:cs="Times New Roman"/>
          <w:bCs/>
          <w:sz w:val="24"/>
          <w:szCs w:val="24"/>
        </w:rPr>
      </w:pPr>
      <m:oMath>
        <m:r>
          <m:rPr>
            <m:sty m:val="p"/>
          </m:rPr>
          <w:rPr>
            <w:rFonts w:ascii="Cambria Math" w:eastAsia="Times New Roman" w:hAnsi="Cambria Math" w:cs="Times New Roman"/>
            <w:sz w:val="24"/>
            <w:szCs w:val="24"/>
          </w:rPr>
          <m:t>ZWD=</m:t>
        </m:r>
        <m:sSup>
          <m:sSupPr>
            <m:ctrlPr>
              <w:rPr>
                <w:rFonts w:ascii="Cambria Math" w:eastAsia="Times New Roman" w:hAnsi="Cambria Math" w:cs="Times New Roman"/>
                <w:bCs/>
                <w:sz w:val="24"/>
                <w:szCs w:val="24"/>
              </w:rPr>
            </m:ctrlPr>
          </m:sSupPr>
          <m:e>
            <m:r>
              <m:rPr>
                <m:sty m:val="p"/>
              </m:rPr>
              <w:rPr>
                <w:rFonts w:ascii="Cambria Math" w:eastAsia="Times New Roman" w:hAnsi="Cambria Math" w:cs="Times New Roman"/>
                <w:sz w:val="24"/>
                <w:szCs w:val="24"/>
              </w:rPr>
              <m:t>10</m:t>
            </m:r>
          </m:e>
          <m:sup>
            <m:r>
              <m:rPr>
                <m:sty m:val="p"/>
              </m:rPr>
              <w:rPr>
                <w:rFonts w:ascii="Cambria Math" w:eastAsia="Times New Roman" w:hAnsi="Cambria Math" w:cs="Times New Roman"/>
                <w:sz w:val="24"/>
                <w:szCs w:val="24"/>
              </w:rPr>
              <m:t>-6</m:t>
            </m:r>
          </m:sup>
        </m:sSup>
        <m:nary>
          <m:naryPr>
            <m:supHide m:val="1"/>
            <m:ctrlPr>
              <w:rPr>
                <w:rFonts w:ascii="Cambria Math" w:eastAsia="Times New Roman" w:hAnsi="Cambria Math" w:cs="Times New Roman"/>
                <w:bCs/>
                <w:sz w:val="24"/>
                <w:szCs w:val="24"/>
              </w:rPr>
            </m:ctrlPr>
          </m:naryPr>
          <m:sub>
            <m:r>
              <m:rPr>
                <m:sty m:val="p"/>
              </m:rPr>
              <w:rPr>
                <w:rFonts w:ascii="Cambria Math" w:eastAsia="Times New Roman" w:hAnsi="Cambria Math" w:cs="Times New Roman"/>
                <w:sz w:val="24"/>
                <w:szCs w:val="24"/>
              </w:rPr>
              <m:t>h</m:t>
            </m:r>
          </m:sub>
          <m:sup/>
          <m:e>
            <m:sSub>
              <m:sSubPr>
                <m:ctrlPr>
                  <w:rPr>
                    <w:rFonts w:ascii="Cambria Math" w:eastAsia="Times New Roman" w:hAnsi="Cambria Math" w:cs="Times New Roman"/>
                    <w:bCs/>
                    <w:sz w:val="24"/>
                    <w:szCs w:val="24"/>
                  </w:rPr>
                </m:ctrlPr>
              </m:sSubPr>
              <m:e>
                <m:r>
                  <m:rPr>
                    <m:sty m:val="p"/>
                  </m:rPr>
                  <w:rPr>
                    <w:rFonts w:ascii="Cambria Math" w:eastAsia="Times New Roman" w:hAnsi="Cambria Math" w:cs="Times New Roman"/>
                    <w:sz w:val="24"/>
                    <w:szCs w:val="24"/>
                  </w:rPr>
                  <m:t>N</m:t>
                </m:r>
              </m:e>
              <m:sub>
                <m:r>
                  <m:rPr>
                    <m:sty m:val="p"/>
                  </m:rPr>
                  <w:rPr>
                    <w:rFonts w:ascii="Cambria Math" w:eastAsia="Times New Roman" w:hAnsi="Cambria Math" w:cs="Times New Roman"/>
                    <w:sz w:val="24"/>
                    <w:szCs w:val="24"/>
                  </w:rPr>
                  <m:t>w</m:t>
                </m:r>
              </m:sub>
            </m:sSub>
            <m:d>
              <m:dPr>
                <m:ctrlPr>
                  <w:rPr>
                    <w:rFonts w:ascii="Cambria Math" w:eastAsia="Times New Roman" w:hAnsi="Cambria Math" w:cs="Times New Roman"/>
                    <w:bCs/>
                    <w:sz w:val="24"/>
                    <w:szCs w:val="24"/>
                  </w:rPr>
                </m:ctrlPr>
              </m:dPr>
              <m:e>
                <m:r>
                  <m:rPr>
                    <m:sty m:val="p"/>
                  </m:rPr>
                  <w:rPr>
                    <w:rFonts w:ascii="Cambria Math" w:eastAsia="Times New Roman" w:hAnsi="Cambria Math" w:cs="Times New Roman"/>
                    <w:sz w:val="24"/>
                    <w:szCs w:val="24"/>
                  </w:rPr>
                  <m:t>h</m:t>
                </m:r>
              </m:e>
            </m:d>
            <m:r>
              <m:rPr>
                <m:sty m:val="p"/>
              </m:rPr>
              <w:rPr>
                <w:rFonts w:ascii="Cambria Math" w:eastAsia="Times New Roman" w:hAnsi="Cambria Math" w:cs="Times New Roman"/>
                <w:sz w:val="24"/>
                <w:szCs w:val="24"/>
              </w:rPr>
              <m:t>dh=</m:t>
            </m:r>
            <m:sSup>
              <m:sSupPr>
                <m:ctrlPr>
                  <w:rPr>
                    <w:rFonts w:ascii="Cambria Math" w:eastAsia="Times New Roman" w:hAnsi="Cambria Math" w:cs="Times New Roman"/>
                    <w:bCs/>
                    <w:sz w:val="24"/>
                    <w:szCs w:val="24"/>
                  </w:rPr>
                </m:ctrlPr>
              </m:sSupPr>
              <m:e>
                <m:r>
                  <m:rPr>
                    <m:sty m:val="p"/>
                  </m:rPr>
                  <w:rPr>
                    <w:rFonts w:ascii="Cambria Math" w:eastAsia="Times New Roman" w:hAnsi="Cambria Math" w:cs="Times New Roman"/>
                    <w:sz w:val="24"/>
                    <w:szCs w:val="24"/>
                  </w:rPr>
                  <m:t>10</m:t>
                </m:r>
              </m:e>
              <m:sup>
                <m:r>
                  <m:rPr>
                    <m:sty m:val="p"/>
                  </m:rPr>
                  <w:rPr>
                    <w:rFonts w:ascii="Cambria Math" w:eastAsia="Times New Roman" w:hAnsi="Cambria Math" w:cs="Times New Roman"/>
                    <w:sz w:val="24"/>
                    <w:szCs w:val="24"/>
                  </w:rPr>
                  <m:t>-6</m:t>
                </m:r>
              </m:sup>
            </m:sSup>
            <m:nary>
              <m:naryPr>
                <m:supHide m:val="1"/>
                <m:ctrlPr>
                  <w:rPr>
                    <w:rFonts w:ascii="Cambria Math" w:eastAsia="Times New Roman" w:hAnsi="Cambria Math" w:cs="Times New Roman"/>
                    <w:bCs/>
                    <w:sz w:val="24"/>
                    <w:szCs w:val="24"/>
                  </w:rPr>
                </m:ctrlPr>
              </m:naryPr>
              <m:sub>
                <m:r>
                  <m:rPr>
                    <m:sty m:val="p"/>
                  </m:rPr>
                  <w:rPr>
                    <w:rFonts w:ascii="Cambria Math" w:eastAsia="Times New Roman" w:hAnsi="Cambria Math" w:cs="Times New Roman"/>
                    <w:sz w:val="24"/>
                    <w:szCs w:val="24"/>
                  </w:rPr>
                  <m:t>h</m:t>
                </m:r>
              </m:sub>
              <m:sup/>
              <m:e>
                <m:d>
                  <m:dPr>
                    <m:ctrlPr>
                      <w:rPr>
                        <w:rFonts w:ascii="Cambria Math" w:eastAsia="Times New Roman" w:hAnsi="Cambria Math" w:cs="Times New Roman"/>
                        <w:bCs/>
                        <w:sz w:val="24"/>
                        <w:szCs w:val="24"/>
                      </w:rPr>
                    </m:ctrlPr>
                  </m:dPr>
                  <m:e>
                    <m:sSubSup>
                      <m:sSubSupPr>
                        <m:ctrlPr>
                          <w:rPr>
                            <w:rFonts w:ascii="Cambria Math" w:eastAsia="Times New Roman" w:hAnsi="Cambria Math" w:cs="Times New Roman"/>
                            <w:bCs/>
                            <w:sz w:val="24"/>
                            <w:szCs w:val="24"/>
                          </w:rPr>
                        </m:ctrlPr>
                      </m:sSubSupPr>
                      <m:e>
                        <m:r>
                          <m:rPr>
                            <m:sty m:val="p"/>
                          </m:rPr>
                          <w:rPr>
                            <w:rFonts w:ascii="Cambria Math" w:eastAsia="Times New Roman" w:hAnsi="Cambria Math" w:cs="Times New Roman"/>
                            <w:sz w:val="24"/>
                            <w:szCs w:val="24"/>
                          </w:rPr>
                          <m:t>k</m:t>
                        </m:r>
                      </m:e>
                      <m:sub>
                        <m:r>
                          <m:rPr>
                            <m:sty m:val="p"/>
                          </m:rPr>
                          <w:rPr>
                            <w:rFonts w:ascii="Cambria Math" w:eastAsia="Times New Roman" w:hAnsi="Cambria Math" w:cs="Times New Roman"/>
                            <w:sz w:val="24"/>
                            <w:szCs w:val="24"/>
                          </w:rPr>
                          <m:t>1</m:t>
                        </m:r>
                      </m:sub>
                      <m:sup>
                        <m:r>
                          <m:rPr>
                            <m:sty m:val="p"/>
                          </m:rPr>
                          <w:rPr>
                            <w:rFonts w:ascii="Cambria Math" w:eastAsia="Times New Roman" w:hAnsi="Cambria Math" w:cs="Times New Roman"/>
                            <w:sz w:val="24"/>
                            <w:szCs w:val="24"/>
                          </w:rPr>
                          <m:t>'</m:t>
                        </m:r>
                      </m:sup>
                    </m:sSubSup>
                    <m:f>
                      <m:fPr>
                        <m:ctrlPr>
                          <w:rPr>
                            <w:rFonts w:ascii="Cambria Math" w:eastAsia="Times New Roman" w:hAnsi="Cambria Math" w:cs="Times New Roman"/>
                            <w:bCs/>
                            <w:sz w:val="24"/>
                            <w:szCs w:val="24"/>
                          </w:rPr>
                        </m:ctrlPr>
                      </m:fPr>
                      <m:num>
                        <m:sSub>
                          <m:sSubPr>
                            <m:ctrlPr>
                              <w:rPr>
                                <w:rFonts w:ascii="Cambria Math" w:eastAsia="Times New Roman" w:hAnsi="Cambria Math" w:cs="Times New Roman"/>
                                <w:bCs/>
                                <w:sz w:val="24"/>
                                <w:szCs w:val="24"/>
                              </w:rPr>
                            </m:ctrlPr>
                          </m:sSubPr>
                          <m:e>
                            <m:r>
                              <m:rPr>
                                <m:sty m:val="p"/>
                              </m:rPr>
                              <w:rPr>
                                <w:rFonts w:ascii="Cambria Math" w:eastAsia="Times New Roman" w:hAnsi="Cambria Math" w:cs="Times New Roman"/>
                                <w:sz w:val="24"/>
                                <w:szCs w:val="24"/>
                              </w:rPr>
                              <m:t>p</m:t>
                            </m:r>
                          </m:e>
                          <m:sub>
                            <m:r>
                              <m:rPr>
                                <m:sty m:val="p"/>
                              </m:rPr>
                              <w:rPr>
                                <w:rFonts w:ascii="Cambria Math" w:eastAsia="Times New Roman" w:hAnsi="Cambria Math" w:cs="Times New Roman"/>
                                <w:sz w:val="24"/>
                                <w:szCs w:val="24"/>
                              </w:rPr>
                              <m:t>v</m:t>
                            </m:r>
                          </m:sub>
                        </m:sSub>
                      </m:num>
                      <m:den>
                        <m:r>
                          <m:rPr>
                            <m:sty m:val="p"/>
                          </m:rPr>
                          <w:rPr>
                            <w:rFonts w:ascii="Cambria Math" w:eastAsia="Times New Roman" w:hAnsi="Cambria Math" w:cs="Times New Roman"/>
                            <w:sz w:val="24"/>
                            <w:szCs w:val="24"/>
                          </w:rPr>
                          <m:t>T</m:t>
                        </m:r>
                      </m:den>
                    </m:f>
                    <m:sSubSup>
                      <m:sSubSupPr>
                        <m:ctrlPr>
                          <w:rPr>
                            <w:rFonts w:ascii="Cambria Math" w:eastAsia="Times New Roman" w:hAnsi="Cambria Math" w:cs="Times New Roman"/>
                            <w:bCs/>
                            <w:sz w:val="24"/>
                            <w:szCs w:val="24"/>
                          </w:rPr>
                        </m:ctrlPr>
                      </m:sSubSupPr>
                      <m:e>
                        <m:r>
                          <m:rPr>
                            <m:sty m:val="p"/>
                          </m:rPr>
                          <w:rPr>
                            <w:rFonts w:ascii="Cambria Math" w:eastAsia="Times New Roman" w:hAnsi="Cambria Math" w:cs="Times New Roman"/>
                            <w:sz w:val="24"/>
                            <w:szCs w:val="24"/>
                          </w:rPr>
                          <m:t>Z</m:t>
                        </m:r>
                      </m:e>
                      <m:sub>
                        <m:r>
                          <m:rPr>
                            <m:sty m:val="p"/>
                          </m:rPr>
                          <w:rPr>
                            <w:rFonts w:ascii="Cambria Math" w:eastAsia="Times New Roman" w:hAnsi="Cambria Math" w:cs="Times New Roman"/>
                            <w:sz w:val="24"/>
                            <w:szCs w:val="24"/>
                          </w:rPr>
                          <m:t>v</m:t>
                        </m:r>
                      </m:sub>
                      <m:sup>
                        <m:r>
                          <m:rPr>
                            <m:sty m:val="p"/>
                          </m:rPr>
                          <w:rPr>
                            <w:rFonts w:ascii="Cambria Math" w:eastAsia="Times New Roman" w:hAnsi="Cambria Math" w:cs="Times New Roman"/>
                            <w:sz w:val="24"/>
                            <w:szCs w:val="24"/>
                          </w:rPr>
                          <m:t>-1</m:t>
                        </m:r>
                      </m:sup>
                    </m:sSubSup>
                    <m:r>
                      <m:rPr>
                        <m:sty m:val="p"/>
                      </m:rPr>
                      <w:rPr>
                        <w:rFonts w:ascii="Cambria Math" w:eastAsia="Times New Roman" w:hAnsi="Cambria Math" w:cs="Times New Roman"/>
                        <w:sz w:val="24"/>
                        <w:szCs w:val="24"/>
                      </w:rPr>
                      <m:t>+</m:t>
                    </m:r>
                    <m:sSub>
                      <m:sSubPr>
                        <m:ctrlPr>
                          <w:rPr>
                            <w:rFonts w:ascii="Cambria Math" w:eastAsia="Times New Roman" w:hAnsi="Cambria Math" w:cs="Times New Roman"/>
                            <w:bCs/>
                            <w:sz w:val="24"/>
                            <w:szCs w:val="24"/>
                          </w:rPr>
                        </m:ctrlPr>
                      </m:sSubPr>
                      <m:e>
                        <m:r>
                          <m:rPr>
                            <m:sty m:val="p"/>
                          </m:rPr>
                          <w:rPr>
                            <w:rFonts w:ascii="Cambria Math" w:eastAsia="Times New Roman" w:hAnsi="Cambria Math" w:cs="Times New Roman"/>
                            <w:sz w:val="24"/>
                            <w:szCs w:val="24"/>
                          </w:rPr>
                          <m:t>k</m:t>
                        </m:r>
                      </m:e>
                      <m:sub>
                        <m:r>
                          <m:rPr>
                            <m:sty m:val="p"/>
                          </m:rPr>
                          <w:rPr>
                            <w:rFonts w:ascii="Cambria Math" w:eastAsia="Times New Roman" w:hAnsi="Cambria Math" w:cs="Times New Roman"/>
                            <w:sz w:val="24"/>
                            <w:szCs w:val="24"/>
                          </w:rPr>
                          <m:t>3</m:t>
                        </m:r>
                      </m:sub>
                    </m:sSub>
                    <m:f>
                      <m:fPr>
                        <m:ctrlPr>
                          <w:rPr>
                            <w:rFonts w:ascii="Cambria Math" w:eastAsia="Times New Roman" w:hAnsi="Cambria Math" w:cs="Times New Roman"/>
                            <w:bCs/>
                            <w:sz w:val="24"/>
                            <w:szCs w:val="24"/>
                          </w:rPr>
                        </m:ctrlPr>
                      </m:fPr>
                      <m:num>
                        <m:sSub>
                          <m:sSubPr>
                            <m:ctrlPr>
                              <w:rPr>
                                <w:rFonts w:ascii="Cambria Math" w:eastAsia="Times New Roman" w:hAnsi="Cambria Math" w:cs="Times New Roman"/>
                                <w:bCs/>
                                <w:sz w:val="24"/>
                                <w:szCs w:val="24"/>
                              </w:rPr>
                            </m:ctrlPr>
                          </m:sSubPr>
                          <m:e>
                            <m:r>
                              <m:rPr>
                                <m:sty m:val="p"/>
                              </m:rPr>
                              <w:rPr>
                                <w:rFonts w:ascii="Cambria Math" w:eastAsia="Times New Roman" w:hAnsi="Cambria Math" w:cs="Times New Roman"/>
                                <w:sz w:val="24"/>
                                <w:szCs w:val="24"/>
                              </w:rPr>
                              <m:t>p</m:t>
                            </m:r>
                          </m:e>
                          <m:sub>
                            <m:r>
                              <m:rPr>
                                <m:sty m:val="p"/>
                              </m:rPr>
                              <w:rPr>
                                <w:rFonts w:ascii="Cambria Math" w:eastAsia="Times New Roman" w:hAnsi="Cambria Math" w:cs="Times New Roman"/>
                                <w:sz w:val="24"/>
                                <w:szCs w:val="24"/>
                              </w:rPr>
                              <m:t>v</m:t>
                            </m:r>
                          </m:sub>
                        </m:sSub>
                      </m:num>
                      <m:den>
                        <m:sSup>
                          <m:sSupPr>
                            <m:ctrlPr>
                              <w:rPr>
                                <w:rFonts w:ascii="Cambria Math" w:eastAsia="Times New Roman" w:hAnsi="Cambria Math" w:cs="Times New Roman"/>
                                <w:bCs/>
                                <w:sz w:val="24"/>
                                <w:szCs w:val="24"/>
                              </w:rPr>
                            </m:ctrlPr>
                          </m:sSupPr>
                          <m:e>
                            <m:r>
                              <m:rPr>
                                <m:sty m:val="p"/>
                              </m:rPr>
                              <w:rPr>
                                <w:rFonts w:ascii="Cambria Math" w:eastAsia="Times New Roman" w:hAnsi="Cambria Math" w:cs="Times New Roman"/>
                                <w:sz w:val="24"/>
                                <w:szCs w:val="24"/>
                              </w:rPr>
                              <m:t>T</m:t>
                            </m:r>
                          </m:e>
                          <m:sup>
                            <m:r>
                              <m:rPr>
                                <m:sty m:val="p"/>
                              </m:rPr>
                              <w:rPr>
                                <w:rFonts w:ascii="Cambria Math" w:eastAsia="Times New Roman" w:hAnsi="Cambria Math" w:cs="Times New Roman"/>
                                <w:sz w:val="24"/>
                                <w:szCs w:val="24"/>
                              </w:rPr>
                              <m:t>2</m:t>
                            </m:r>
                          </m:sup>
                        </m:sSup>
                      </m:den>
                    </m:f>
                    <m:sSubSup>
                      <m:sSubSupPr>
                        <m:ctrlPr>
                          <w:rPr>
                            <w:rFonts w:ascii="Cambria Math" w:eastAsia="Times New Roman" w:hAnsi="Cambria Math" w:cs="Times New Roman"/>
                            <w:bCs/>
                            <w:sz w:val="24"/>
                            <w:szCs w:val="24"/>
                          </w:rPr>
                        </m:ctrlPr>
                      </m:sSubSupPr>
                      <m:e>
                        <m:r>
                          <m:rPr>
                            <m:sty m:val="p"/>
                          </m:rPr>
                          <w:rPr>
                            <w:rFonts w:ascii="Cambria Math" w:eastAsia="Times New Roman" w:hAnsi="Cambria Math" w:cs="Times New Roman"/>
                            <w:sz w:val="24"/>
                            <w:szCs w:val="24"/>
                          </w:rPr>
                          <m:t>Z</m:t>
                        </m:r>
                      </m:e>
                      <m:sub>
                        <m:r>
                          <m:rPr>
                            <m:sty m:val="p"/>
                          </m:rPr>
                          <w:rPr>
                            <w:rFonts w:ascii="Cambria Math" w:eastAsia="Times New Roman" w:hAnsi="Cambria Math" w:cs="Times New Roman"/>
                            <w:sz w:val="24"/>
                            <w:szCs w:val="24"/>
                          </w:rPr>
                          <m:t>v</m:t>
                        </m:r>
                      </m:sub>
                      <m:sup>
                        <m:r>
                          <m:rPr>
                            <m:sty m:val="p"/>
                          </m:rPr>
                          <w:rPr>
                            <w:rFonts w:ascii="Cambria Math" w:eastAsia="Times New Roman" w:hAnsi="Cambria Math" w:cs="Times New Roman"/>
                            <w:sz w:val="24"/>
                            <w:szCs w:val="24"/>
                          </w:rPr>
                          <m:t>-1</m:t>
                        </m:r>
                      </m:sup>
                    </m:sSubSup>
                  </m:e>
                </m:d>
                <m:r>
                  <m:rPr>
                    <m:sty m:val="p"/>
                  </m:rPr>
                  <w:rPr>
                    <w:rFonts w:ascii="Cambria Math" w:eastAsia="Times New Roman" w:hAnsi="Cambria Math" w:cs="Times New Roman"/>
                    <w:sz w:val="24"/>
                    <w:szCs w:val="24"/>
                  </w:rPr>
                  <m:t>dh</m:t>
                </m:r>
              </m:e>
            </m:nary>
          </m:e>
        </m:nary>
      </m:oMath>
      <w:r w:rsidRPr="00BE4AF3">
        <w:rPr>
          <w:rFonts w:ascii="Times New Roman" w:eastAsia="Times New Roman" w:hAnsi="Times New Roman" w:cs="Times New Roman"/>
          <w:bCs/>
          <w:sz w:val="24"/>
          <w:szCs w:val="24"/>
        </w:rPr>
        <w:t xml:space="preserve">                2.4                  </w:t>
      </w:r>
    </w:p>
    <w:p w14:paraId="7264C4E8" w14:textId="77777777" w:rsidR="00433976" w:rsidRDefault="00A63CD3" w:rsidP="00433976">
      <w:pPr>
        <w:spacing w:after="0" w:line="240" w:lineRule="auto"/>
        <w:jc w:val="both"/>
        <w:rPr>
          <w:rFonts w:ascii="Times New Roman" w:hAnsi="Times New Roman" w:cs="Times New Roman"/>
          <w:b/>
          <w:bCs/>
          <w:sz w:val="24"/>
          <w:szCs w:val="24"/>
        </w:rPr>
      </w:pPr>
      <m:oMath>
        <m:r>
          <m:rPr>
            <m:sty m:val="p"/>
          </m:rPr>
          <w:rPr>
            <w:rFonts w:ascii="Cambria Math" w:eastAsia="Times New Roman" w:hAnsi="Cambria Math" w:cs="Times New Roman"/>
            <w:sz w:val="24"/>
            <w:szCs w:val="24"/>
          </w:rPr>
          <m:t>ZTD=ZHD+ZWD=</m:t>
        </m:r>
        <m:sSup>
          <m:sSupPr>
            <m:ctrlPr>
              <w:rPr>
                <w:rFonts w:ascii="Cambria Math" w:eastAsia="Times New Roman" w:hAnsi="Cambria Math" w:cs="Times New Roman"/>
                <w:bCs/>
                <w:sz w:val="24"/>
                <w:szCs w:val="24"/>
              </w:rPr>
            </m:ctrlPr>
          </m:sSupPr>
          <m:e>
            <m:r>
              <m:rPr>
                <m:sty m:val="p"/>
              </m:rPr>
              <w:rPr>
                <w:rFonts w:ascii="Cambria Math" w:eastAsia="Times New Roman" w:hAnsi="Cambria Math" w:cs="Times New Roman"/>
                <w:sz w:val="24"/>
                <w:szCs w:val="24"/>
              </w:rPr>
              <m:t>10</m:t>
            </m:r>
          </m:e>
          <m:sup>
            <m:r>
              <m:rPr>
                <m:sty m:val="p"/>
              </m:rPr>
              <w:rPr>
                <w:rFonts w:ascii="Cambria Math" w:eastAsia="Times New Roman" w:hAnsi="Cambria Math" w:cs="Times New Roman"/>
                <w:sz w:val="24"/>
                <w:szCs w:val="24"/>
              </w:rPr>
              <m:t>-6</m:t>
            </m:r>
          </m:sup>
        </m:sSup>
        <m:nary>
          <m:naryPr>
            <m:supHide m:val="1"/>
            <m:ctrlPr>
              <w:rPr>
                <w:rFonts w:ascii="Cambria Math" w:eastAsia="Times New Roman" w:hAnsi="Cambria Math" w:cs="Times New Roman"/>
                <w:bCs/>
                <w:sz w:val="24"/>
                <w:szCs w:val="24"/>
              </w:rPr>
            </m:ctrlPr>
          </m:naryPr>
          <m:sub>
            <m:r>
              <m:rPr>
                <m:sty m:val="p"/>
              </m:rPr>
              <w:rPr>
                <w:rFonts w:ascii="Cambria Math" w:eastAsia="Times New Roman" w:hAnsi="Cambria Math" w:cs="Times New Roman"/>
                <w:sz w:val="24"/>
                <w:szCs w:val="24"/>
              </w:rPr>
              <m:t>h</m:t>
            </m:r>
          </m:sub>
          <m:sup/>
          <m:e>
            <m:r>
              <m:rPr>
                <m:sty m:val="p"/>
              </m:rPr>
              <w:rPr>
                <w:rFonts w:ascii="Cambria Math" w:eastAsia="Times New Roman" w:hAnsi="Cambria Math" w:cs="Times New Roman"/>
                <w:sz w:val="24"/>
                <w:szCs w:val="24"/>
              </w:rPr>
              <m:t>N</m:t>
            </m:r>
            <m:d>
              <m:dPr>
                <m:ctrlPr>
                  <w:rPr>
                    <w:rFonts w:ascii="Cambria Math" w:eastAsia="Times New Roman" w:hAnsi="Cambria Math" w:cs="Times New Roman"/>
                    <w:bCs/>
                    <w:sz w:val="24"/>
                    <w:szCs w:val="24"/>
                  </w:rPr>
                </m:ctrlPr>
              </m:dPr>
              <m:e>
                <m:r>
                  <m:rPr>
                    <m:sty m:val="p"/>
                  </m:rPr>
                  <w:rPr>
                    <w:rFonts w:ascii="Cambria Math" w:eastAsia="Times New Roman" w:hAnsi="Cambria Math" w:cs="Times New Roman"/>
                    <w:sz w:val="24"/>
                    <w:szCs w:val="24"/>
                  </w:rPr>
                  <m:t>h</m:t>
                </m:r>
              </m:e>
            </m:d>
            <m:r>
              <m:rPr>
                <m:sty m:val="p"/>
              </m:rPr>
              <w:rPr>
                <w:rFonts w:ascii="Cambria Math" w:eastAsia="Times New Roman" w:hAnsi="Cambria Math" w:cs="Times New Roman"/>
                <w:sz w:val="24"/>
                <w:szCs w:val="24"/>
              </w:rPr>
              <m:t>dh</m:t>
            </m:r>
          </m:e>
        </m:nary>
      </m:oMath>
      <w:r w:rsidRPr="00BE4AF3">
        <w:rPr>
          <w:rFonts w:ascii="Times New Roman" w:eastAsia="Times New Roman" w:hAnsi="Times New Roman" w:cs="Times New Roman"/>
          <w:bCs/>
          <w:sz w:val="24"/>
          <w:szCs w:val="24"/>
        </w:rPr>
        <w:t xml:space="preserve">  </w:t>
      </w:r>
      <w:r w:rsidRPr="00BE4AF3">
        <w:rPr>
          <w:rFonts w:ascii="Times New Roman" w:eastAsia="Times New Roman" w:hAnsi="Times New Roman" w:cs="Times New Roman"/>
          <w:bCs/>
          <w:sz w:val="24"/>
          <w:szCs w:val="24"/>
        </w:rPr>
        <w:tab/>
      </w:r>
      <w:r w:rsidRPr="00BE4AF3">
        <w:rPr>
          <w:rFonts w:ascii="Times New Roman" w:eastAsia="Times New Roman" w:hAnsi="Times New Roman" w:cs="Times New Roman"/>
          <w:bCs/>
          <w:sz w:val="24"/>
          <w:szCs w:val="24"/>
        </w:rPr>
        <w:tab/>
      </w:r>
      <w:r w:rsidRPr="00BE4AF3">
        <w:rPr>
          <w:rFonts w:ascii="Times New Roman" w:eastAsia="Times New Roman" w:hAnsi="Times New Roman" w:cs="Times New Roman"/>
          <w:bCs/>
          <w:sz w:val="24"/>
          <w:szCs w:val="24"/>
        </w:rPr>
        <w:tab/>
      </w:r>
      <w:r w:rsidRPr="00BE4AF3">
        <w:rPr>
          <w:rFonts w:ascii="Times New Roman" w:eastAsia="Times New Roman" w:hAnsi="Times New Roman" w:cs="Times New Roman"/>
          <w:bCs/>
          <w:sz w:val="24"/>
          <w:szCs w:val="24"/>
        </w:rPr>
        <w:tab/>
      </w:r>
      <w:r w:rsidRPr="00BE4AF3">
        <w:rPr>
          <w:rFonts w:ascii="Times New Roman" w:eastAsia="Times New Roman" w:hAnsi="Times New Roman" w:cs="Times New Roman"/>
          <w:bCs/>
          <w:sz w:val="24"/>
          <w:szCs w:val="24"/>
        </w:rPr>
        <w:tab/>
        <w:t>2.5</w:t>
      </w:r>
      <w:r w:rsidRPr="00BE4AF3">
        <w:rPr>
          <w:rFonts w:ascii="Times New Roman" w:eastAsia="Times New Roman" w:hAnsi="Times New Roman" w:cs="Times New Roman"/>
          <w:b/>
          <w:sz w:val="24"/>
          <w:szCs w:val="24"/>
        </w:rPr>
        <w:br/>
      </w:r>
    </w:p>
    <w:p w14:paraId="55388178" w14:textId="47CF5342" w:rsidR="00A63CD3" w:rsidRPr="00BE4AF3" w:rsidRDefault="00A63CD3" w:rsidP="00433976">
      <w:pPr>
        <w:spacing w:after="0" w:line="240" w:lineRule="auto"/>
        <w:jc w:val="both"/>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t xml:space="preserve">Estimation of Integrated Water Vapor from GPS ZWD </w:t>
      </w:r>
    </w:p>
    <w:p w14:paraId="73CBC1DD" w14:textId="77777777" w:rsidR="00A63CD3" w:rsidRPr="00BE4AF3" w:rsidRDefault="00A63CD3" w:rsidP="00433976">
      <w:pPr>
        <w:spacing w:after="0" w:line="240" w:lineRule="auto"/>
        <w:jc w:val="both"/>
        <w:rPr>
          <w:rFonts w:ascii="Times New Roman" w:eastAsia="Times New Roman" w:hAnsi="Times New Roman" w:cs="Times New Roman"/>
          <w:bCs/>
          <w:sz w:val="24"/>
          <w:szCs w:val="24"/>
        </w:rPr>
      </w:pPr>
      <w:r w:rsidRPr="00BE4AF3">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76672" behindDoc="0" locked="0" layoutInCell="1" allowOverlap="1" wp14:anchorId="7A2FF2B9" wp14:editId="1C7F9B78">
                <wp:simplePos x="0" y="0"/>
                <wp:positionH relativeFrom="column">
                  <wp:posOffset>1929765</wp:posOffset>
                </wp:positionH>
                <wp:positionV relativeFrom="paragraph">
                  <wp:posOffset>387985</wp:posOffset>
                </wp:positionV>
                <wp:extent cx="82550" cy="6350"/>
                <wp:effectExtent l="635" t="4445" r="5715" b="8255"/>
                <wp:wrapNone/>
                <wp:docPr id="31" name="Straight Arrow Connector 31"/>
                <wp:cNvGraphicFramePr/>
                <a:graphic xmlns:a="http://schemas.openxmlformats.org/drawingml/2006/main">
                  <a:graphicData uri="http://schemas.microsoft.com/office/word/2010/wordprocessingShape">
                    <wps:wsp>
                      <wps:cNvCnPr/>
                      <wps:spPr>
                        <a:xfrm flipH="1" flipV="1">
                          <a:off x="0" y="0"/>
                          <a:ext cx="82550" cy="635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w14:anchorId="1A186B49" id="Straight Arrow Connector 31" o:spid="_x0000_s1026" type="#_x0000_t32" style="position:absolute;margin-left:151.95pt;margin-top:30.55pt;width:6.5pt;height:.5pt;flip:x y;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"/>
            </w:pict>
          </mc:Fallback>
        </mc:AlternateContent>
      </w:r>
      <w:r w:rsidRPr="00BE4AF3">
        <w:rPr>
          <w:rFonts w:ascii="Times New Roman" w:eastAsia="Times New Roman" w:hAnsi="Times New Roman" w:cs="Times New Roman"/>
          <w:sz w:val="24"/>
          <w:szCs w:val="24"/>
        </w:rPr>
        <w:t>This</w:t>
      </w:r>
      <w:r w:rsidRPr="00BE4AF3">
        <w:rPr>
          <w:rFonts w:ascii="Times New Roman" w:eastAsia="Times New Roman" w:hAnsi="Times New Roman" w:cs="Times New Roman"/>
          <w:bCs/>
          <w:sz w:val="24"/>
          <w:szCs w:val="24"/>
        </w:rPr>
        <w:t xml:space="preserve"> procedure involves the conversion of the GPS derived ZWD to the IWV. The two parameters required are the weighted mean temperature (Tm ) of the atmosphere and the conversion parameter (</w:t>
      </w:r>
      <m:oMath>
        <m:r>
          <m:rPr>
            <m:sty m:val="p"/>
          </m:rPr>
          <w:rPr>
            <w:rFonts w:ascii="Cambria Math" w:eastAsia="Times New Roman" w:hAnsi="Cambria Math" w:cs="Times New Roman"/>
            <w:sz w:val="24"/>
            <w:szCs w:val="24"/>
          </w:rPr>
          <m:t>k</m:t>
        </m:r>
      </m:oMath>
      <w:r w:rsidRPr="00BE4AF3">
        <w:rPr>
          <w:rFonts w:ascii="Times New Roman" w:eastAsia="Times New Roman" w:hAnsi="Times New Roman" w:cs="Times New Roman"/>
          <w:bCs/>
          <w:sz w:val="24"/>
          <w:szCs w:val="24"/>
        </w:rPr>
        <w:t>) thus, if the surface pressure and temperature at the GPS stations are measured or known, the Tm parameter can be obtained as (Davis</w:t>
      </w:r>
      <w:r w:rsidRPr="00BE4AF3">
        <w:rPr>
          <w:rFonts w:ascii="Times New Roman" w:eastAsia="Times New Roman" w:hAnsi="Times New Roman" w:cs="Times New Roman"/>
          <w:bCs/>
          <w:i/>
          <w:iCs/>
          <w:sz w:val="24"/>
          <w:szCs w:val="24"/>
        </w:rPr>
        <w:t xml:space="preserve"> et al.,</w:t>
      </w:r>
      <w:r w:rsidRPr="00BE4AF3">
        <w:rPr>
          <w:rFonts w:ascii="Times New Roman" w:eastAsia="Times New Roman" w:hAnsi="Times New Roman" w:cs="Times New Roman"/>
          <w:bCs/>
          <w:sz w:val="24"/>
          <w:szCs w:val="24"/>
        </w:rPr>
        <w:t xml:space="preserve"> 1985):</w:t>
      </w:r>
    </w:p>
    <w:p w14:paraId="6AD9435A" w14:textId="77777777" w:rsidR="00A63CD3" w:rsidRPr="00BE4AF3" w:rsidRDefault="00000000" w:rsidP="00433976">
      <w:pPr>
        <w:spacing w:after="0" w:line="240" w:lineRule="auto"/>
        <w:jc w:val="both"/>
        <w:rPr>
          <w:rFonts w:ascii="Times New Roman" w:eastAsia="Times New Roman" w:hAnsi="Times New Roman" w:cs="Times New Roman"/>
          <w:bCs/>
          <w:sz w:val="24"/>
          <w:szCs w:val="24"/>
        </w:rPr>
      </w:pPr>
      <m:oMath>
        <m:sSub>
          <m:sSubPr>
            <m:ctrlPr>
              <w:rPr>
                <w:rFonts w:ascii="Cambria Math" w:eastAsia="Times New Roman" w:hAnsi="Cambria Math" w:cs="Times New Roman"/>
                <w:bCs/>
                <w:sz w:val="24"/>
                <w:szCs w:val="24"/>
              </w:rPr>
            </m:ctrlPr>
          </m:sSubPr>
          <m:e>
            <m:r>
              <m:rPr>
                <m:sty m:val="p"/>
              </m:rPr>
              <w:rPr>
                <w:rFonts w:ascii="Cambria Math" w:eastAsia="Times New Roman" w:hAnsi="Cambria Math" w:cs="Times New Roman"/>
                <w:sz w:val="24"/>
                <w:szCs w:val="24"/>
              </w:rPr>
              <m:t>T</m:t>
            </m:r>
          </m:e>
          <m:sub>
            <m:r>
              <m:rPr>
                <m:sty m:val="p"/>
              </m:rPr>
              <w:rPr>
                <w:rFonts w:ascii="Cambria Math" w:eastAsia="Times New Roman" w:hAnsi="Cambria Math" w:cs="Times New Roman"/>
                <w:sz w:val="24"/>
                <w:szCs w:val="24"/>
              </w:rPr>
              <m:t>m</m:t>
            </m:r>
          </m:sub>
        </m:sSub>
        <m:r>
          <m:rPr>
            <m:sty m:val="p"/>
          </m:rPr>
          <w:rPr>
            <w:rFonts w:ascii="Cambria Math" w:eastAsia="Times New Roman" w:hAnsi="Cambria Math" w:cs="Times New Roman"/>
            <w:sz w:val="24"/>
            <w:szCs w:val="24"/>
          </w:rPr>
          <m:t>=</m:t>
        </m:r>
        <m:f>
          <m:fPr>
            <m:ctrlPr>
              <w:rPr>
                <w:rFonts w:ascii="Cambria Math" w:eastAsia="Times New Roman" w:hAnsi="Cambria Math" w:cs="Times New Roman"/>
                <w:bCs/>
                <w:sz w:val="24"/>
                <w:szCs w:val="24"/>
              </w:rPr>
            </m:ctrlPr>
          </m:fPr>
          <m:num>
            <m:r>
              <m:rPr>
                <m:sty m:val="p"/>
              </m:rPr>
              <w:rPr>
                <w:rFonts w:ascii="Cambria Math" w:eastAsia="Times New Roman" w:hAnsi="Cambria Math" w:cs="Times New Roman"/>
                <w:sz w:val="24"/>
                <w:szCs w:val="24"/>
              </w:rPr>
              <m:t>∫</m:t>
            </m:r>
            <m:d>
              <m:dPr>
                <m:ctrlPr>
                  <w:rPr>
                    <w:rFonts w:ascii="Cambria Math" w:eastAsia="Times New Roman" w:hAnsi="Cambria Math" w:cs="Times New Roman"/>
                    <w:bCs/>
                    <w:sz w:val="24"/>
                    <w:szCs w:val="24"/>
                  </w:rPr>
                </m:ctrlPr>
              </m:dPr>
              <m:e>
                <m:f>
                  <m:fPr>
                    <m:ctrlPr>
                      <w:rPr>
                        <w:rFonts w:ascii="Cambria Math" w:eastAsia="Times New Roman" w:hAnsi="Cambria Math" w:cs="Times New Roman"/>
                        <w:bCs/>
                        <w:sz w:val="24"/>
                        <w:szCs w:val="24"/>
                      </w:rPr>
                    </m:ctrlPr>
                  </m:fPr>
                  <m:num>
                    <m:r>
                      <m:rPr>
                        <m:sty m:val="p"/>
                      </m:rPr>
                      <w:rPr>
                        <w:rFonts w:ascii="Cambria Math" w:eastAsia="Times New Roman" w:hAnsi="Cambria Math" w:cs="Times New Roman"/>
                        <w:sz w:val="24"/>
                        <w:szCs w:val="24"/>
                      </w:rPr>
                      <m:t>e</m:t>
                    </m:r>
                  </m:num>
                  <m:den>
                    <m:r>
                      <m:rPr>
                        <m:sty m:val="p"/>
                      </m:rPr>
                      <w:rPr>
                        <w:rFonts w:ascii="Cambria Math" w:eastAsia="Times New Roman" w:hAnsi="Cambria Math" w:cs="Times New Roman"/>
                        <w:sz w:val="24"/>
                        <w:szCs w:val="24"/>
                      </w:rPr>
                      <m:t>T</m:t>
                    </m:r>
                  </m:den>
                </m:f>
              </m:e>
            </m:d>
            <m:r>
              <m:rPr>
                <m:sty m:val="p"/>
              </m:rPr>
              <w:rPr>
                <w:rFonts w:ascii="Cambria Math" w:eastAsia="Times New Roman" w:hAnsi="Cambria Math" w:cs="Times New Roman"/>
                <w:sz w:val="24"/>
                <w:szCs w:val="24"/>
              </w:rPr>
              <m:t>dz</m:t>
            </m:r>
          </m:num>
          <m:den>
            <m:r>
              <m:rPr>
                <m:sty m:val="p"/>
              </m:rPr>
              <w:rPr>
                <w:rFonts w:ascii="Cambria Math" w:eastAsia="Times New Roman" w:hAnsi="Cambria Math" w:cs="Times New Roman"/>
                <w:sz w:val="24"/>
                <w:szCs w:val="24"/>
              </w:rPr>
              <m:t>∫</m:t>
            </m:r>
            <m:d>
              <m:dPr>
                <m:ctrlPr>
                  <w:rPr>
                    <w:rFonts w:ascii="Cambria Math" w:eastAsia="Times New Roman" w:hAnsi="Cambria Math" w:cs="Times New Roman"/>
                    <w:bCs/>
                    <w:sz w:val="24"/>
                    <w:szCs w:val="24"/>
                  </w:rPr>
                </m:ctrlPr>
              </m:dPr>
              <m:e>
                <m:f>
                  <m:fPr>
                    <m:ctrlPr>
                      <w:rPr>
                        <w:rFonts w:ascii="Cambria Math" w:eastAsia="Times New Roman" w:hAnsi="Cambria Math" w:cs="Times New Roman"/>
                        <w:bCs/>
                        <w:sz w:val="24"/>
                        <w:szCs w:val="24"/>
                      </w:rPr>
                    </m:ctrlPr>
                  </m:fPr>
                  <m:num>
                    <m:r>
                      <m:rPr>
                        <m:sty m:val="p"/>
                      </m:rPr>
                      <w:rPr>
                        <w:rFonts w:ascii="Cambria Math" w:eastAsia="Times New Roman" w:hAnsi="Cambria Math" w:cs="Times New Roman"/>
                        <w:sz w:val="24"/>
                        <w:szCs w:val="24"/>
                      </w:rPr>
                      <m:t>e</m:t>
                    </m:r>
                  </m:num>
                  <m:den>
                    <m:sSup>
                      <m:sSupPr>
                        <m:ctrlPr>
                          <w:rPr>
                            <w:rFonts w:ascii="Cambria Math" w:eastAsia="Times New Roman" w:hAnsi="Cambria Math" w:cs="Times New Roman"/>
                            <w:bCs/>
                            <w:sz w:val="24"/>
                            <w:szCs w:val="24"/>
                          </w:rPr>
                        </m:ctrlPr>
                      </m:sSupPr>
                      <m:e>
                        <m:r>
                          <m:rPr>
                            <m:sty m:val="p"/>
                          </m:rPr>
                          <w:rPr>
                            <w:rFonts w:ascii="Cambria Math" w:eastAsia="Times New Roman" w:hAnsi="Cambria Math" w:cs="Times New Roman"/>
                            <w:sz w:val="24"/>
                            <w:szCs w:val="24"/>
                          </w:rPr>
                          <m:t>T</m:t>
                        </m:r>
                      </m:e>
                      <m:sup>
                        <m:r>
                          <m:rPr>
                            <m:sty m:val="p"/>
                          </m:rPr>
                          <w:rPr>
                            <w:rFonts w:ascii="Cambria Math" w:eastAsia="Times New Roman" w:hAnsi="Cambria Math" w:cs="Times New Roman"/>
                            <w:sz w:val="24"/>
                            <w:szCs w:val="24"/>
                          </w:rPr>
                          <m:t>2</m:t>
                        </m:r>
                      </m:sup>
                    </m:sSup>
                  </m:den>
                </m:f>
              </m:e>
            </m:d>
            <m:r>
              <m:rPr>
                <m:sty m:val="p"/>
              </m:rPr>
              <w:rPr>
                <w:rFonts w:ascii="Cambria Math" w:eastAsia="Times New Roman" w:hAnsi="Cambria Math" w:cs="Times New Roman"/>
                <w:sz w:val="24"/>
                <w:szCs w:val="24"/>
              </w:rPr>
              <m:t>dz</m:t>
            </m:r>
          </m:den>
        </m:f>
      </m:oMath>
      <w:r w:rsidR="00A63CD3" w:rsidRPr="00BE4AF3">
        <w:rPr>
          <w:rFonts w:ascii="Times New Roman" w:eastAsia="Times New Roman" w:hAnsi="Times New Roman" w:cs="Times New Roman"/>
          <w:bCs/>
          <w:sz w:val="24"/>
          <w:szCs w:val="24"/>
        </w:rPr>
        <w:t xml:space="preserve">                     </w:t>
      </w:r>
      <w:r w:rsidR="00A63CD3" w:rsidRPr="00BE4AF3">
        <w:rPr>
          <w:rFonts w:ascii="Times New Roman" w:eastAsia="Times New Roman" w:hAnsi="Times New Roman" w:cs="Times New Roman"/>
          <w:bCs/>
          <w:sz w:val="24"/>
          <w:szCs w:val="24"/>
        </w:rPr>
        <w:tab/>
      </w:r>
      <w:r w:rsidR="00A63CD3" w:rsidRPr="00BE4AF3">
        <w:rPr>
          <w:rFonts w:ascii="Times New Roman" w:eastAsia="Times New Roman" w:hAnsi="Times New Roman" w:cs="Times New Roman"/>
          <w:bCs/>
          <w:sz w:val="24"/>
          <w:szCs w:val="24"/>
        </w:rPr>
        <w:tab/>
      </w:r>
      <w:r w:rsidR="00A63CD3" w:rsidRPr="00BE4AF3">
        <w:rPr>
          <w:rFonts w:ascii="Times New Roman" w:eastAsia="Times New Roman" w:hAnsi="Times New Roman" w:cs="Times New Roman"/>
          <w:bCs/>
          <w:sz w:val="24"/>
          <w:szCs w:val="24"/>
        </w:rPr>
        <w:tab/>
      </w:r>
      <w:r w:rsidR="00A63CD3" w:rsidRPr="00BE4AF3">
        <w:rPr>
          <w:rFonts w:ascii="Times New Roman" w:eastAsia="Times New Roman" w:hAnsi="Times New Roman" w:cs="Times New Roman"/>
          <w:bCs/>
          <w:sz w:val="24"/>
          <w:szCs w:val="24"/>
        </w:rPr>
        <w:tab/>
      </w:r>
      <w:r w:rsidR="00A63CD3" w:rsidRPr="00BE4AF3">
        <w:rPr>
          <w:rFonts w:ascii="Times New Roman" w:eastAsia="Times New Roman" w:hAnsi="Times New Roman" w:cs="Times New Roman"/>
          <w:bCs/>
          <w:sz w:val="24"/>
          <w:szCs w:val="24"/>
        </w:rPr>
        <w:tab/>
      </w:r>
      <w:r w:rsidR="00A63CD3" w:rsidRPr="00BE4AF3">
        <w:rPr>
          <w:rFonts w:ascii="Times New Roman" w:eastAsia="Times New Roman" w:hAnsi="Times New Roman" w:cs="Times New Roman"/>
          <w:bCs/>
          <w:sz w:val="24"/>
          <w:szCs w:val="24"/>
        </w:rPr>
        <w:tab/>
      </w:r>
      <w:r w:rsidR="00A63CD3" w:rsidRPr="00BE4AF3">
        <w:rPr>
          <w:rFonts w:ascii="Times New Roman" w:eastAsia="Times New Roman" w:hAnsi="Times New Roman" w:cs="Times New Roman"/>
          <w:bCs/>
          <w:sz w:val="24"/>
          <w:szCs w:val="24"/>
        </w:rPr>
        <w:tab/>
        <w:t xml:space="preserve">2.6                                                                                                     </w:t>
      </w:r>
    </w:p>
    <w:p w14:paraId="2BF9CE81" w14:textId="77777777" w:rsidR="00A63CD3" w:rsidRPr="00BE4AF3" w:rsidRDefault="00A63CD3" w:rsidP="00433976">
      <w:pPr>
        <w:spacing w:after="0" w:line="240" w:lineRule="auto"/>
        <w:jc w:val="both"/>
        <w:rPr>
          <w:rFonts w:ascii="Times New Roman" w:eastAsia="Times New Roman" w:hAnsi="Times New Roman" w:cs="Times New Roman"/>
          <w:bCs/>
          <w:sz w:val="24"/>
          <w:szCs w:val="24"/>
        </w:rPr>
      </w:pPr>
      <w:r w:rsidRPr="00BE4AF3">
        <w:rPr>
          <w:rFonts w:ascii="Times New Roman" w:eastAsia="Times New Roman" w:hAnsi="Times New Roman" w:cs="Times New Roman"/>
          <w:bCs/>
          <w:sz w:val="24"/>
          <w:szCs w:val="24"/>
        </w:rPr>
        <w:t>where e is water vapour pressure, T is temperature.</w:t>
      </w:r>
    </w:p>
    <w:p w14:paraId="2973F99D" w14:textId="77777777" w:rsidR="00A63CD3" w:rsidRPr="00BE4AF3" w:rsidRDefault="00A63CD3" w:rsidP="00433976">
      <w:pPr>
        <w:spacing w:after="0" w:line="240" w:lineRule="auto"/>
        <w:jc w:val="both"/>
        <w:rPr>
          <w:rFonts w:ascii="Times New Roman" w:eastAsia="Times New Roman" w:hAnsi="Times New Roman" w:cs="Times New Roman"/>
          <w:bCs/>
          <w:sz w:val="24"/>
          <w:szCs w:val="24"/>
        </w:rPr>
      </w:pPr>
      <w:r w:rsidRPr="00BE4AF3">
        <w:rPr>
          <w:rFonts w:ascii="Times New Roman" w:eastAsia="Times New Roman" w:hAnsi="Times New Roman" w:cs="Times New Roman"/>
          <w:bCs/>
          <w:sz w:val="24"/>
          <w:szCs w:val="24"/>
        </w:rPr>
        <w:t xml:space="preserve">The commonly used global parameters are usually derived from radiosonde and surface temperature (Ts) in Kelvin (K) using linear regression technique. However, (Isioye </w:t>
      </w:r>
      <w:r w:rsidRPr="00BE4AF3">
        <w:rPr>
          <w:rFonts w:ascii="Times New Roman" w:eastAsia="Times New Roman" w:hAnsi="Times New Roman" w:cs="Times New Roman"/>
          <w:bCs/>
          <w:i/>
          <w:iCs/>
          <w:sz w:val="24"/>
          <w:szCs w:val="24"/>
        </w:rPr>
        <w:t xml:space="preserve">et al., </w:t>
      </w:r>
      <w:r w:rsidRPr="00BE4AF3">
        <w:rPr>
          <w:rFonts w:ascii="Times New Roman" w:eastAsia="Times New Roman" w:hAnsi="Times New Roman" w:cs="Times New Roman"/>
          <w:bCs/>
          <w:sz w:val="24"/>
          <w:szCs w:val="24"/>
        </w:rPr>
        <w:t xml:space="preserve">2016) derived the Nigerian </w:t>
      </w:r>
      <m:oMath>
        <m:sSub>
          <m:sSubPr>
            <m:ctrlPr>
              <w:rPr>
                <w:rFonts w:ascii="Cambria Math" w:eastAsia="Times New Roman" w:hAnsi="Cambria Math" w:cs="Times New Roman"/>
                <w:bCs/>
                <w:sz w:val="24"/>
                <w:szCs w:val="24"/>
              </w:rPr>
            </m:ctrlPr>
          </m:sSubPr>
          <m:e>
            <m:r>
              <m:rPr>
                <m:sty m:val="p"/>
              </m:rPr>
              <w:rPr>
                <w:rFonts w:ascii="Cambria Math" w:eastAsia="Times New Roman" w:hAnsi="Cambria Math" w:cs="Times New Roman"/>
                <w:sz w:val="24"/>
                <w:szCs w:val="24"/>
              </w:rPr>
              <m:t>T</m:t>
            </m:r>
          </m:e>
          <m:sub>
            <m:r>
              <m:rPr>
                <m:sty m:val="p"/>
              </m:rPr>
              <w:rPr>
                <w:rFonts w:ascii="Cambria Math" w:eastAsia="Times New Roman" w:hAnsi="Cambria Math" w:cs="Times New Roman"/>
                <w:sz w:val="24"/>
                <w:szCs w:val="24"/>
              </w:rPr>
              <m:t>m</m:t>
            </m:r>
          </m:sub>
        </m:sSub>
      </m:oMath>
      <w:r w:rsidRPr="00BE4AF3">
        <w:rPr>
          <w:rFonts w:ascii="Times New Roman" w:eastAsia="Times New Roman" w:hAnsi="Times New Roman" w:cs="Times New Roman"/>
          <w:bCs/>
          <w:sz w:val="24"/>
          <w:szCs w:val="24"/>
        </w:rPr>
        <w:t xml:space="preserve"> parameters as:</w:t>
      </w:r>
    </w:p>
    <w:p w14:paraId="613BD233" w14:textId="77777777" w:rsidR="00A63CD3" w:rsidRPr="00BE4AF3" w:rsidRDefault="00000000" w:rsidP="00433976">
      <w:pPr>
        <w:spacing w:after="0" w:line="240" w:lineRule="auto"/>
        <w:jc w:val="both"/>
        <w:rPr>
          <w:rFonts w:ascii="Times New Roman" w:eastAsia="Times New Roman" w:hAnsi="Times New Roman" w:cs="Times New Roman"/>
          <w:bCs/>
          <w:sz w:val="24"/>
          <w:szCs w:val="24"/>
        </w:rPr>
      </w:pPr>
      <m:oMath>
        <m:sSub>
          <m:sSubPr>
            <m:ctrlPr>
              <w:rPr>
                <w:rFonts w:ascii="Cambria Math" w:eastAsia="Times New Roman" w:hAnsi="Cambria Math" w:cs="Times New Roman"/>
                <w:bCs/>
                <w:sz w:val="24"/>
                <w:szCs w:val="24"/>
              </w:rPr>
            </m:ctrlPr>
          </m:sSubPr>
          <m:e>
            <m:r>
              <m:rPr>
                <m:sty m:val="p"/>
              </m:rPr>
              <w:rPr>
                <w:rFonts w:ascii="Cambria Math" w:eastAsia="Times New Roman" w:hAnsi="Cambria Math" w:cs="Times New Roman"/>
                <w:sz w:val="24"/>
                <w:szCs w:val="24"/>
              </w:rPr>
              <m:t>T</m:t>
            </m:r>
          </m:e>
          <m:sub>
            <m:r>
              <m:rPr>
                <m:sty m:val="p"/>
              </m:rPr>
              <w:rPr>
                <w:rFonts w:ascii="Cambria Math" w:eastAsia="Times New Roman" w:hAnsi="Cambria Math" w:cs="Times New Roman"/>
                <w:sz w:val="24"/>
                <w:szCs w:val="24"/>
              </w:rPr>
              <m:t>m</m:t>
            </m:r>
          </m:sub>
        </m:sSub>
        <m:r>
          <m:rPr>
            <m:sty m:val="p"/>
          </m:rPr>
          <w:rPr>
            <w:rFonts w:ascii="Cambria Math" w:eastAsia="Times New Roman" w:hAnsi="Cambria Math" w:cs="Times New Roman"/>
            <w:sz w:val="24"/>
            <w:szCs w:val="24"/>
          </w:rPr>
          <m:t>=0.5245</m:t>
        </m:r>
        <m:sSub>
          <m:sSubPr>
            <m:ctrlPr>
              <w:rPr>
                <w:rFonts w:ascii="Cambria Math" w:eastAsia="Times New Roman" w:hAnsi="Cambria Math" w:cs="Times New Roman"/>
                <w:bCs/>
                <w:sz w:val="24"/>
                <w:szCs w:val="24"/>
              </w:rPr>
            </m:ctrlPr>
          </m:sSubPr>
          <m:e>
            <m:r>
              <m:rPr>
                <m:sty m:val="p"/>
              </m:rPr>
              <w:rPr>
                <w:rFonts w:ascii="Cambria Math" w:eastAsia="Times New Roman" w:hAnsi="Cambria Math" w:cs="Times New Roman"/>
                <w:sz w:val="24"/>
                <w:szCs w:val="24"/>
              </w:rPr>
              <m:t>T</m:t>
            </m:r>
          </m:e>
          <m:sub>
            <m:r>
              <m:rPr>
                <m:sty m:val="p"/>
              </m:rPr>
              <w:rPr>
                <w:rFonts w:ascii="Cambria Math" w:eastAsia="Times New Roman" w:hAnsi="Cambria Math" w:cs="Times New Roman"/>
                <w:sz w:val="24"/>
                <w:szCs w:val="24"/>
              </w:rPr>
              <m:t>s</m:t>
            </m:r>
          </m:sub>
        </m:sSub>
        <m:r>
          <m:rPr>
            <m:sty m:val="p"/>
          </m:rPr>
          <w:rPr>
            <w:rFonts w:ascii="Cambria Math" w:eastAsia="Times New Roman" w:hAnsi="Cambria Math" w:cs="Times New Roman"/>
            <w:sz w:val="24"/>
            <w:szCs w:val="24"/>
          </w:rPr>
          <m:t>+ 132.12</m:t>
        </m:r>
      </m:oMath>
      <w:r w:rsidR="00A63CD3" w:rsidRPr="00BE4AF3">
        <w:rPr>
          <w:rFonts w:ascii="Times New Roman" w:eastAsia="Times New Roman" w:hAnsi="Times New Roman" w:cs="Times New Roman"/>
          <w:bCs/>
          <w:sz w:val="24"/>
          <w:szCs w:val="24"/>
        </w:rPr>
        <w:t xml:space="preserve">                 </w:t>
      </w:r>
      <w:r w:rsidR="00A63CD3" w:rsidRPr="00BE4AF3">
        <w:rPr>
          <w:rFonts w:ascii="Times New Roman" w:eastAsia="Times New Roman" w:hAnsi="Times New Roman" w:cs="Times New Roman"/>
          <w:bCs/>
          <w:sz w:val="24"/>
          <w:szCs w:val="24"/>
        </w:rPr>
        <w:tab/>
      </w:r>
      <w:r w:rsidR="00A63CD3" w:rsidRPr="00BE4AF3">
        <w:rPr>
          <w:rFonts w:ascii="Times New Roman" w:eastAsia="Times New Roman" w:hAnsi="Times New Roman" w:cs="Times New Roman"/>
          <w:bCs/>
          <w:sz w:val="24"/>
          <w:szCs w:val="24"/>
        </w:rPr>
        <w:tab/>
      </w:r>
      <w:r w:rsidR="00A63CD3" w:rsidRPr="00BE4AF3">
        <w:rPr>
          <w:rFonts w:ascii="Times New Roman" w:eastAsia="Times New Roman" w:hAnsi="Times New Roman" w:cs="Times New Roman"/>
          <w:bCs/>
          <w:sz w:val="24"/>
          <w:szCs w:val="24"/>
        </w:rPr>
        <w:tab/>
      </w:r>
      <w:r w:rsidR="00A63CD3" w:rsidRPr="00BE4AF3">
        <w:rPr>
          <w:rFonts w:ascii="Times New Roman" w:eastAsia="Times New Roman" w:hAnsi="Times New Roman" w:cs="Times New Roman"/>
          <w:bCs/>
          <w:sz w:val="24"/>
          <w:szCs w:val="24"/>
        </w:rPr>
        <w:tab/>
      </w:r>
      <w:r w:rsidR="00A63CD3" w:rsidRPr="00BE4AF3">
        <w:rPr>
          <w:rFonts w:ascii="Times New Roman" w:eastAsia="Times New Roman" w:hAnsi="Times New Roman" w:cs="Times New Roman"/>
          <w:bCs/>
          <w:sz w:val="24"/>
          <w:szCs w:val="24"/>
        </w:rPr>
        <w:tab/>
        <w:t xml:space="preserve">2.7                                                                                  </w:t>
      </w:r>
    </w:p>
    <w:p w14:paraId="4EFBEA62" w14:textId="77777777" w:rsidR="00A63CD3" w:rsidRPr="00BE4AF3" w:rsidRDefault="00A63CD3" w:rsidP="00433976">
      <w:pPr>
        <w:spacing w:after="0" w:line="240" w:lineRule="auto"/>
        <w:jc w:val="both"/>
        <w:rPr>
          <w:rFonts w:ascii="Times New Roman" w:eastAsia="Times New Roman" w:hAnsi="Times New Roman" w:cs="Times New Roman"/>
          <w:bCs/>
          <w:sz w:val="24"/>
          <w:szCs w:val="24"/>
        </w:rPr>
      </w:pPr>
      <w:r w:rsidRPr="00BE4AF3">
        <w:rPr>
          <w:rFonts w:ascii="Times New Roman" w:eastAsia="Times New Roman" w:hAnsi="Times New Roman" w:cs="Times New Roman"/>
          <w:bCs/>
          <w:noProof/>
          <w:sz w:val="24"/>
          <w:szCs w:val="24"/>
          <w:lang w:eastAsia="en-GB"/>
        </w:rPr>
        <mc:AlternateContent>
          <mc:Choice Requires="wps">
            <w:drawing>
              <wp:anchor distT="0" distB="0" distL="114300" distR="114300" simplePos="0" relativeHeight="251677696" behindDoc="0" locked="0" layoutInCell="1" allowOverlap="1" wp14:anchorId="667C1299" wp14:editId="40E266C7">
                <wp:simplePos x="0" y="0"/>
                <wp:positionH relativeFrom="column">
                  <wp:posOffset>467995</wp:posOffset>
                </wp:positionH>
                <wp:positionV relativeFrom="paragraph">
                  <wp:posOffset>-3175</wp:posOffset>
                </wp:positionV>
                <wp:extent cx="66040" cy="0"/>
                <wp:effectExtent l="0" t="4445" r="0" b="5080"/>
                <wp:wrapNone/>
                <wp:docPr id="807822848" name="Straight Arrow Connector 807822848"/>
                <wp:cNvGraphicFramePr/>
                <a:graphic xmlns:a="http://schemas.openxmlformats.org/drawingml/2006/main">
                  <a:graphicData uri="http://schemas.microsoft.com/office/word/2010/wordprocessingShape">
                    <wps:wsp>
                      <wps:cNvCnPr/>
                      <wps:spPr>
                        <a:xfrm>
                          <a:off x="0" y="0"/>
                          <a:ext cx="6604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w14:anchorId="787482A7" id="Straight Arrow Connector 807822848" o:spid="_x0000_s1026" type="#_x0000_t32" style="position:absolute;margin-left:36.85pt;margin-top:-.25pt;width:5.2pt;height:0;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"/>
            </w:pict>
          </mc:Fallback>
        </mc:AlternateContent>
      </w:r>
      <w:r w:rsidRPr="00BE4AF3">
        <w:rPr>
          <w:rFonts w:ascii="Times New Roman" w:eastAsia="Times New Roman" w:hAnsi="Times New Roman" w:cs="Times New Roman"/>
          <w:bCs/>
          <w:sz w:val="24"/>
          <w:szCs w:val="24"/>
        </w:rPr>
        <w:t xml:space="preserve">Where </w:t>
      </w:r>
      <m:oMath>
        <m:r>
          <m:rPr>
            <m:sty m:val="p"/>
          </m:rPr>
          <w:rPr>
            <w:rFonts w:ascii="Cambria Math" w:eastAsia="Times New Roman" w:hAnsi="Cambria Math" w:cs="Times New Roman"/>
            <w:sz w:val="24"/>
            <w:szCs w:val="24"/>
          </w:rPr>
          <m:t>k</m:t>
        </m:r>
      </m:oMath>
      <w:r w:rsidRPr="00BE4AF3">
        <w:rPr>
          <w:rFonts w:ascii="Times New Roman" w:eastAsia="Times New Roman" w:hAnsi="Times New Roman" w:cs="Times New Roman"/>
          <w:bCs/>
          <w:sz w:val="24"/>
          <w:szCs w:val="24"/>
        </w:rPr>
        <w:t xml:space="preserve"> is defined as:</w:t>
      </w:r>
    </w:p>
    <w:p w14:paraId="315B951C" w14:textId="71D2AB6A" w:rsidR="00A63CD3" w:rsidRPr="00BE4AF3" w:rsidRDefault="00A63CD3" w:rsidP="00433976">
      <w:pPr>
        <w:spacing w:after="0" w:line="240" w:lineRule="auto"/>
        <w:jc w:val="both"/>
        <w:rPr>
          <w:rFonts w:ascii="Times New Roman" w:eastAsia="Times New Roman" w:hAnsi="Times New Roman" w:cs="Times New Roman"/>
          <w:bCs/>
          <w:sz w:val="24"/>
          <w:szCs w:val="24"/>
        </w:rPr>
      </w:pPr>
      <w:r w:rsidRPr="00BE4AF3">
        <w:rPr>
          <w:rFonts w:ascii="Times New Roman" w:eastAsia="Times New Roman" w:hAnsi="Times New Roman" w:cs="Times New Roman"/>
          <w:bCs/>
          <w:noProof/>
          <w:sz w:val="24"/>
          <w:szCs w:val="24"/>
          <w:lang w:eastAsia="en-GB"/>
        </w:rPr>
        <mc:AlternateContent>
          <mc:Choice Requires="wps">
            <w:drawing>
              <wp:anchor distT="0" distB="0" distL="114300" distR="114300" simplePos="0" relativeHeight="251678720" behindDoc="0" locked="0" layoutInCell="1" allowOverlap="1" wp14:anchorId="488DA90C" wp14:editId="7D9B1982">
                <wp:simplePos x="0" y="0"/>
                <wp:positionH relativeFrom="column">
                  <wp:posOffset>7620</wp:posOffset>
                </wp:positionH>
                <wp:positionV relativeFrom="paragraph">
                  <wp:posOffset>55880</wp:posOffset>
                </wp:positionV>
                <wp:extent cx="102235" cy="0"/>
                <wp:effectExtent l="0" t="4445" r="0" b="5080"/>
                <wp:wrapNone/>
                <wp:docPr id="807822849" name="Straight Arrow Connector 807822849"/>
                <wp:cNvGraphicFramePr/>
                <a:graphic xmlns:a="http://schemas.openxmlformats.org/drawingml/2006/main">
                  <a:graphicData uri="http://schemas.microsoft.com/office/word/2010/wordprocessingShape">
                    <wps:wsp>
                      <wps:cNvCnPr/>
                      <wps:spPr>
                        <a:xfrm>
                          <a:off x="0" y="0"/>
                          <a:ext cx="102235"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w14:anchorId="2D87F862" id="Straight Arrow Connector 807822849" o:spid="_x0000_s1026" type="#_x0000_t32" style="position:absolute;margin-left:.6pt;margin-top:4.4pt;width:8.05pt;height:0;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"/>
            </w:pict>
          </mc:Fallback>
        </mc:AlternateContent>
      </w:r>
      <m:oMath>
        <m:r>
          <m:rPr>
            <m:sty m:val="p"/>
          </m:rPr>
          <w:rPr>
            <w:rFonts w:ascii="Cambria Math" w:eastAsia="Times New Roman" w:hAnsi="Cambria Math" w:cs="Times New Roman"/>
            <w:sz w:val="24"/>
            <w:szCs w:val="24"/>
          </w:rPr>
          <m:t>k=</m:t>
        </m:r>
        <m:f>
          <m:fPr>
            <m:ctrlPr>
              <w:rPr>
                <w:rFonts w:ascii="Cambria Math" w:eastAsia="Times New Roman" w:hAnsi="Cambria Math" w:cs="Times New Roman"/>
                <w:bCs/>
                <w:sz w:val="24"/>
                <w:szCs w:val="24"/>
              </w:rPr>
            </m:ctrlPr>
          </m:fPr>
          <m:num>
            <m:sSup>
              <m:sSupPr>
                <m:ctrlPr>
                  <w:rPr>
                    <w:rFonts w:ascii="Cambria Math" w:eastAsia="Times New Roman" w:hAnsi="Cambria Math" w:cs="Times New Roman"/>
                    <w:bCs/>
                    <w:sz w:val="24"/>
                    <w:szCs w:val="24"/>
                  </w:rPr>
                </m:ctrlPr>
              </m:sSupPr>
              <m:e>
                <m:r>
                  <m:rPr>
                    <m:sty m:val="p"/>
                  </m:rPr>
                  <w:rPr>
                    <w:rFonts w:ascii="Cambria Math" w:eastAsia="Times New Roman" w:hAnsi="Cambria Math" w:cs="Times New Roman"/>
                    <w:sz w:val="24"/>
                    <w:szCs w:val="24"/>
                  </w:rPr>
                  <m:t>10</m:t>
                </m:r>
              </m:e>
              <m:sup>
                <m:r>
                  <m:rPr>
                    <m:sty m:val="p"/>
                  </m:rPr>
                  <w:rPr>
                    <w:rFonts w:ascii="Cambria Math" w:eastAsia="Times New Roman" w:hAnsi="Cambria Math" w:cs="Times New Roman"/>
                    <w:sz w:val="24"/>
                    <w:szCs w:val="24"/>
                  </w:rPr>
                  <m:t>6</m:t>
                </m:r>
              </m:sup>
            </m:sSup>
          </m:num>
          <m:den>
            <m:r>
              <m:rPr>
                <m:sty m:val="p"/>
              </m:rPr>
              <w:rPr>
                <w:rFonts w:ascii="Cambria Math" w:eastAsia="Times New Roman" w:hAnsi="Cambria Math" w:cs="Times New Roman"/>
                <w:sz w:val="24"/>
                <w:szCs w:val="24"/>
              </w:rPr>
              <m:t>(</m:t>
            </m:r>
            <m:f>
              <m:fPr>
                <m:ctrlPr>
                  <w:rPr>
                    <w:rFonts w:ascii="Cambria Math" w:eastAsia="Times New Roman" w:hAnsi="Cambria Math" w:cs="Times New Roman"/>
                    <w:bCs/>
                    <w:sz w:val="24"/>
                    <w:szCs w:val="24"/>
                  </w:rPr>
                </m:ctrlPr>
              </m:fPr>
              <m:num>
                <m:sSub>
                  <m:sSubPr>
                    <m:ctrlPr>
                      <w:rPr>
                        <w:rFonts w:ascii="Cambria Math" w:eastAsia="Times New Roman" w:hAnsi="Cambria Math" w:cs="Times New Roman"/>
                        <w:bCs/>
                        <w:sz w:val="24"/>
                        <w:szCs w:val="24"/>
                      </w:rPr>
                    </m:ctrlPr>
                  </m:sSubPr>
                  <m:e>
                    <m:r>
                      <m:rPr>
                        <m:sty m:val="p"/>
                      </m:rPr>
                      <w:rPr>
                        <w:rFonts w:ascii="Cambria Math" w:eastAsia="Times New Roman" w:hAnsi="Cambria Math" w:cs="Times New Roman"/>
                        <w:sz w:val="24"/>
                        <w:szCs w:val="24"/>
                      </w:rPr>
                      <m:t>k</m:t>
                    </m:r>
                  </m:e>
                  <m:sub>
                    <m:r>
                      <m:rPr>
                        <m:sty m:val="p"/>
                      </m:rPr>
                      <w:rPr>
                        <w:rFonts w:ascii="Cambria Math" w:eastAsia="Times New Roman" w:hAnsi="Cambria Math" w:cs="Times New Roman"/>
                        <w:sz w:val="24"/>
                        <w:szCs w:val="24"/>
                      </w:rPr>
                      <m:t>3</m:t>
                    </m:r>
                  </m:sub>
                </m:sSub>
              </m:num>
              <m:den>
                <m:sSub>
                  <m:sSubPr>
                    <m:ctrlPr>
                      <w:rPr>
                        <w:rFonts w:ascii="Cambria Math" w:eastAsia="Times New Roman" w:hAnsi="Cambria Math" w:cs="Times New Roman"/>
                        <w:bCs/>
                        <w:sz w:val="24"/>
                        <w:szCs w:val="24"/>
                      </w:rPr>
                    </m:ctrlPr>
                  </m:sSubPr>
                  <m:e>
                    <m:r>
                      <m:rPr>
                        <m:sty m:val="p"/>
                      </m:rPr>
                      <w:rPr>
                        <w:rFonts w:ascii="Cambria Math" w:eastAsia="Times New Roman" w:hAnsi="Cambria Math" w:cs="Times New Roman"/>
                        <w:sz w:val="24"/>
                        <w:szCs w:val="24"/>
                      </w:rPr>
                      <m:t>T</m:t>
                    </m:r>
                  </m:e>
                  <m:sub>
                    <m:r>
                      <m:rPr>
                        <m:sty m:val="p"/>
                      </m:rPr>
                      <w:rPr>
                        <w:rFonts w:ascii="Cambria Math" w:eastAsia="Times New Roman" w:hAnsi="Cambria Math" w:cs="Times New Roman"/>
                        <w:sz w:val="24"/>
                        <w:szCs w:val="24"/>
                      </w:rPr>
                      <m:t>m</m:t>
                    </m:r>
                  </m:sub>
                </m:sSub>
              </m:den>
            </m:f>
            <m:r>
              <m:rPr>
                <m:sty m:val="p"/>
              </m:rPr>
              <w:rPr>
                <w:rFonts w:ascii="Cambria Math" w:eastAsia="Times New Roman" w:hAnsi="Cambria Math" w:cs="Times New Roman"/>
                <w:sz w:val="24"/>
                <w:szCs w:val="24"/>
              </w:rPr>
              <m:t>+</m:t>
            </m:r>
            <m:sSub>
              <m:sSubPr>
                <m:ctrlPr>
                  <w:rPr>
                    <w:rFonts w:ascii="Cambria Math" w:eastAsia="Times New Roman" w:hAnsi="Cambria Math" w:cs="Times New Roman"/>
                    <w:bCs/>
                    <w:sz w:val="24"/>
                    <w:szCs w:val="24"/>
                  </w:rPr>
                </m:ctrlPr>
              </m:sSubPr>
              <m:e>
                <m:r>
                  <m:rPr>
                    <m:sty m:val="p"/>
                  </m:rPr>
                  <w:rPr>
                    <w:rFonts w:ascii="Cambria Math" w:eastAsia="Times New Roman" w:hAnsi="Cambria Math" w:cs="Times New Roman"/>
                    <w:sz w:val="24"/>
                    <w:szCs w:val="24"/>
                  </w:rPr>
                  <m:t>k</m:t>
                </m:r>
              </m:e>
              <m:sub>
                <m:r>
                  <m:rPr>
                    <m:sty m:val="p"/>
                  </m:rPr>
                  <w:rPr>
                    <w:rFonts w:ascii="Cambria Math" w:eastAsia="Times New Roman" w:hAnsi="Cambria Math" w:cs="Times New Roman"/>
                    <w:sz w:val="24"/>
                    <w:szCs w:val="24"/>
                  </w:rPr>
                  <m:t>2</m:t>
                </m:r>
              </m:sub>
            </m:sSub>
            <m:r>
              <m:rPr>
                <m:sty m:val="p"/>
              </m:rPr>
              <w:rPr>
                <w:rFonts w:ascii="Cambria Math" w:eastAsia="Times New Roman" w:hAnsi="Cambria Math" w:cs="Times New Roman"/>
                <w:sz w:val="24"/>
                <w:szCs w:val="24"/>
              </w:rPr>
              <m:t>)</m:t>
            </m:r>
            <m:sSub>
              <m:sSubPr>
                <m:ctrlPr>
                  <w:rPr>
                    <w:rFonts w:ascii="Cambria Math" w:eastAsia="Times New Roman" w:hAnsi="Cambria Math" w:cs="Times New Roman"/>
                    <w:bCs/>
                    <w:sz w:val="24"/>
                    <w:szCs w:val="24"/>
                  </w:rPr>
                </m:ctrlPr>
              </m:sSubPr>
              <m:e>
                <m:r>
                  <m:rPr>
                    <m:sty m:val="p"/>
                  </m:rPr>
                  <w:rPr>
                    <w:rFonts w:ascii="Cambria Math" w:eastAsia="Times New Roman" w:hAnsi="Cambria Math" w:cs="Times New Roman"/>
                    <w:sz w:val="24"/>
                    <w:szCs w:val="24"/>
                  </w:rPr>
                  <m:t>R</m:t>
                </m:r>
              </m:e>
              <m:sub>
                <m:r>
                  <m:rPr>
                    <m:sty m:val="p"/>
                  </m:rPr>
                  <w:rPr>
                    <w:rFonts w:ascii="Cambria Math" w:eastAsia="Times New Roman" w:hAnsi="Cambria Math" w:cs="Times New Roman"/>
                    <w:sz w:val="24"/>
                    <w:szCs w:val="24"/>
                  </w:rPr>
                  <m:t>v</m:t>
                </m:r>
              </m:sub>
            </m:sSub>
          </m:den>
        </m:f>
      </m:oMath>
      <w:r w:rsidRPr="00BE4AF3">
        <w:rPr>
          <w:rFonts w:ascii="Times New Roman" w:eastAsia="Times New Roman" w:hAnsi="Times New Roman" w:cs="Times New Roman"/>
          <w:bCs/>
          <w:sz w:val="24"/>
          <w:szCs w:val="24"/>
        </w:rPr>
        <w:t xml:space="preserve">                                         </w:t>
      </w:r>
      <w:r w:rsidRPr="00BE4AF3">
        <w:rPr>
          <w:rFonts w:ascii="Times New Roman" w:eastAsia="Times New Roman" w:hAnsi="Times New Roman" w:cs="Times New Roman"/>
          <w:bCs/>
          <w:sz w:val="24"/>
          <w:szCs w:val="24"/>
        </w:rPr>
        <w:tab/>
      </w:r>
      <w:r w:rsidRPr="00BE4AF3">
        <w:rPr>
          <w:rFonts w:ascii="Times New Roman" w:eastAsia="Times New Roman" w:hAnsi="Times New Roman" w:cs="Times New Roman"/>
          <w:bCs/>
          <w:sz w:val="24"/>
          <w:szCs w:val="24"/>
        </w:rPr>
        <w:tab/>
      </w:r>
      <w:r w:rsidRPr="00BE4AF3">
        <w:rPr>
          <w:rFonts w:ascii="Times New Roman" w:eastAsia="Times New Roman" w:hAnsi="Times New Roman" w:cs="Times New Roman"/>
          <w:bCs/>
          <w:sz w:val="24"/>
          <w:szCs w:val="24"/>
        </w:rPr>
        <w:tab/>
      </w:r>
      <w:r w:rsidR="00433976">
        <w:rPr>
          <w:rFonts w:ascii="Times New Roman" w:eastAsia="Times New Roman" w:hAnsi="Times New Roman" w:cs="Times New Roman"/>
          <w:bCs/>
          <w:sz w:val="24"/>
          <w:szCs w:val="24"/>
        </w:rPr>
        <w:t xml:space="preserve">           </w:t>
      </w:r>
      <w:r w:rsidRPr="00BE4AF3">
        <w:rPr>
          <w:rFonts w:ascii="Times New Roman" w:eastAsia="Times New Roman" w:hAnsi="Times New Roman" w:cs="Times New Roman"/>
          <w:bCs/>
          <w:sz w:val="24"/>
          <w:szCs w:val="24"/>
        </w:rPr>
        <w:t xml:space="preserve">2.8                                                                       </w:t>
      </w:r>
    </w:p>
    <w:p w14:paraId="21740F0B" w14:textId="77777777" w:rsidR="00A63CD3" w:rsidRPr="00BE4AF3" w:rsidRDefault="00A63CD3" w:rsidP="00433976">
      <w:pPr>
        <w:spacing w:after="0" w:line="240" w:lineRule="auto"/>
        <w:jc w:val="both"/>
        <w:rPr>
          <w:rFonts w:ascii="Times New Roman" w:eastAsia="Times New Roman" w:hAnsi="Times New Roman" w:cs="Times New Roman"/>
          <w:bCs/>
          <w:sz w:val="24"/>
          <w:szCs w:val="24"/>
        </w:rPr>
      </w:pPr>
      <w:r w:rsidRPr="00BE4AF3">
        <w:rPr>
          <w:rFonts w:ascii="Times New Roman" w:eastAsia="Times New Roman" w:hAnsi="Times New Roman" w:cs="Times New Roman"/>
          <w:bCs/>
          <w:sz w:val="24"/>
          <w:szCs w:val="24"/>
        </w:rPr>
        <w:t>Where</w:t>
      </w:r>
    </w:p>
    <w:p w14:paraId="7C71D17D" w14:textId="77777777" w:rsidR="00A63CD3" w:rsidRPr="00BE4AF3" w:rsidRDefault="00A63CD3" w:rsidP="00433976">
      <w:pPr>
        <w:spacing w:after="0" w:line="240" w:lineRule="auto"/>
        <w:jc w:val="both"/>
        <w:rPr>
          <w:rFonts w:ascii="Times New Roman" w:eastAsia="Times New Roman" w:hAnsi="Times New Roman" w:cs="Times New Roman"/>
          <w:bCs/>
          <w:sz w:val="24"/>
          <w:szCs w:val="24"/>
        </w:rPr>
      </w:pPr>
      <w:r w:rsidRPr="00BE4AF3">
        <w:rPr>
          <w:rFonts w:ascii="Times New Roman" w:eastAsia="Times New Roman" w:hAnsi="Times New Roman" w:cs="Times New Roman"/>
          <w:bCs/>
          <w:sz w:val="24"/>
          <w:szCs w:val="24"/>
        </w:rPr>
        <w:t xml:space="preserve"> </w:t>
      </w:r>
      <m:oMath>
        <m:sSub>
          <m:sSubPr>
            <m:ctrlPr>
              <w:rPr>
                <w:rFonts w:ascii="Cambria Math" w:eastAsia="Times New Roman" w:hAnsi="Cambria Math" w:cs="Times New Roman"/>
                <w:bCs/>
                <w:sz w:val="24"/>
                <w:szCs w:val="24"/>
              </w:rPr>
            </m:ctrlPr>
          </m:sSubPr>
          <m:e>
            <m:r>
              <m:rPr>
                <m:sty m:val="p"/>
              </m:rPr>
              <w:rPr>
                <w:rFonts w:ascii="Cambria Math" w:eastAsia="Times New Roman" w:hAnsi="Cambria Math" w:cs="Times New Roman"/>
                <w:sz w:val="24"/>
                <w:szCs w:val="24"/>
              </w:rPr>
              <m:t>R</m:t>
            </m:r>
          </m:e>
          <m:sub>
            <m:r>
              <m:rPr>
                <m:sty m:val="p"/>
              </m:rPr>
              <w:rPr>
                <w:rFonts w:ascii="Cambria Math" w:eastAsia="Times New Roman" w:hAnsi="Cambria Math" w:cs="Times New Roman"/>
                <w:sz w:val="24"/>
                <w:szCs w:val="24"/>
              </w:rPr>
              <m:t>v</m:t>
            </m:r>
          </m:sub>
        </m:sSub>
        <m:r>
          <m:rPr>
            <m:sty m:val="p"/>
          </m:rPr>
          <w:rPr>
            <w:rFonts w:ascii="Cambria Math" w:eastAsia="Times New Roman" w:hAnsi="Cambria Math" w:cs="Times New Roman"/>
            <w:sz w:val="24"/>
            <w:szCs w:val="24"/>
          </w:rPr>
          <m:t>=461.525J/kg</m:t>
        </m:r>
      </m:oMath>
      <w:r w:rsidRPr="00BE4AF3">
        <w:rPr>
          <w:rFonts w:ascii="Times New Roman" w:eastAsia="Times New Roman" w:hAnsi="Times New Roman" w:cs="Times New Roman"/>
          <w:bCs/>
          <w:sz w:val="24"/>
          <w:szCs w:val="24"/>
        </w:rPr>
        <w:t xml:space="preserve"> Specific gas constant for the water vapor,</w:t>
      </w:r>
    </w:p>
    <w:p w14:paraId="357EA6F7" w14:textId="77777777" w:rsidR="00A63CD3" w:rsidRPr="00BE4AF3" w:rsidRDefault="00000000" w:rsidP="00433976">
      <w:pPr>
        <w:spacing w:after="0" w:line="240" w:lineRule="auto"/>
        <w:jc w:val="both"/>
        <w:rPr>
          <w:rFonts w:ascii="Times New Roman" w:eastAsia="Times New Roman" w:hAnsi="Times New Roman" w:cs="Times New Roman"/>
          <w:bCs/>
          <w:sz w:val="24"/>
          <w:szCs w:val="24"/>
        </w:rPr>
      </w:pPr>
      <m:oMath>
        <m:sSub>
          <m:sSubPr>
            <m:ctrlPr>
              <w:rPr>
                <w:rFonts w:ascii="Cambria Math" w:eastAsia="Times New Roman" w:hAnsi="Cambria Math" w:cs="Times New Roman"/>
                <w:bCs/>
                <w:sz w:val="24"/>
                <w:szCs w:val="24"/>
              </w:rPr>
            </m:ctrlPr>
          </m:sSubPr>
          <m:e>
            <m:r>
              <m:rPr>
                <m:sty m:val="p"/>
              </m:rPr>
              <w:rPr>
                <w:rFonts w:ascii="Cambria Math" w:eastAsia="Times New Roman" w:hAnsi="Cambria Math" w:cs="Times New Roman"/>
                <w:sz w:val="24"/>
                <w:szCs w:val="24"/>
              </w:rPr>
              <m:t>k</m:t>
            </m:r>
          </m:e>
          <m:sub>
            <m:r>
              <m:rPr>
                <m:sty m:val="p"/>
              </m:rPr>
              <w:rPr>
                <w:rFonts w:ascii="Cambria Math" w:eastAsia="Times New Roman" w:hAnsi="Cambria Math" w:cs="Times New Roman"/>
                <w:sz w:val="24"/>
                <w:szCs w:val="24"/>
              </w:rPr>
              <m:t>2</m:t>
            </m:r>
          </m:sub>
        </m:sSub>
        <m:r>
          <m:rPr>
            <m:sty m:val="p"/>
          </m:rPr>
          <w:rPr>
            <w:rFonts w:ascii="Cambria Math" w:eastAsia="Times New Roman" w:hAnsi="Cambria Math" w:cs="Times New Roman"/>
            <w:sz w:val="24"/>
            <w:szCs w:val="24"/>
          </w:rPr>
          <m:t xml:space="preserve">and </m:t>
        </m:r>
        <m:sSub>
          <m:sSubPr>
            <m:ctrlPr>
              <w:rPr>
                <w:rFonts w:ascii="Cambria Math" w:eastAsia="Times New Roman" w:hAnsi="Cambria Math" w:cs="Times New Roman"/>
                <w:bCs/>
                <w:sz w:val="24"/>
                <w:szCs w:val="24"/>
              </w:rPr>
            </m:ctrlPr>
          </m:sSubPr>
          <m:e>
            <m:r>
              <m:rPr>
                <m:sty m:val="p"/>
              </m:rPr>
              <w:rPr>
                <w:rFonts w:ascii="Cambria Math" w:eastAsia="Times New Roman" w:hAnsi="Cambria Math" w:cs="Times New Roman"/>
                <w:sz w:val="24"/>
                <w:szCs w:val="24"/>
              </w:rPr>
              <m:t>k</m:t>
            </m:r>
          </m:e>
          <m:sub>
            <m:r>
              <m:rPr>
                <m:sty m:val="p"/>
              </m:rPr>
              <w:rPr>
                <w:rFonts w:ascii="Cambria Math" w:eastAsia="Times New Roman" w:hAnsi="Cambria Math" w:cs="Times New Roman"/>
                <w:sz w:val="24"/>
                <w:szCs w:val="24"/>
              </w:rPr>
              <m:t>3</m:t>
            </m:r>
          </m:sub>
        </m:sSub>
        <m:r>
          <m:rPr>
            <m:sty m:val="p"/>
          </m:rP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2</m:t>
            </m:r>
          </m:sub>
        </m:sSub>
        <m:r>
          <w:rPr>
            <w:rFonts w:ascii="Cambria Math" w:eastAsia="Times New Roman" w:hAnsi="Cambria Math" w:cs="Times New Roman"/>
            <w:sz w:val="24"/>
            <w:szCs w:val="24"/>
          </w:rPr>
          <m:t>=</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70.4 ±2.2</m:t>
            </m:r>
          </m:e>
        </m:d>
        <m:r>
          <w:rPr>
            <w:rFonts w:ascii="Cambria Math" w:eastAsia="Times New Roman" w:hAnsi="Cambria Math" w:cs="Times New Roman"/>
            <w:sz w:val="24"/>
            <w:szCs w:val="24"/>
          </w:rPr>
          <m:t xml:space="preserve"> Kmba</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r</m:t>
            </m:r>
          </m:e>
          <m:sup>
            <m:r>
              <w:rPr>
                <w:rFonts w:ascii="Cambria Math" w:eastAsia="Times New Roman" w:hAnsi="Cambria Math" w:cs="Times New Roman"/>
                <w:sz w:val="24"/>
                <w:szCs w:val="24"/>
              </w:rPr>
              <m:t>-1</m:t>
            </m:r>
          </m:sup>
        </m:sSup>
        <m:r>
          <w:rPr>
            <w:rFonts w:ascii="Cambria Math" w:eastAsia="Times New Roman" w:hAnsi="Cambria Math" w:cs="Times New Roman"/>
            <w:sz w:val="24"/>
            <w:szCs w:val="24"/>
          </w:rPr>
          <m:t xml:space="preserve"> and  </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rPr>
              <m:t>3</m:t>
            </m:r>
          </m:sub>
        </m:sSub>
        <m:r>
          <w:rPr>
            <w:rFonts w:ascii="Cambria Math" w:eastAsia="Times New Roman" w:hAnsi="Cambria Math" w:cs="Times New Roman"/>
            <w:sz w:val="24"/>
            <w:szCs w:val="24"/>
          </w:rPr>
          <m:t>=</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3.739 ±0.012</m:t>
            </m:r>
          </m:e>
        </m:d>
        <m:r>
          <w:rPr>
            <w:rFonts w:ascii="Cambria Math" w:eastAsia="Times New Roman" w:hAnsi="Cambria Math" w:cs="Times New Roman"/>
            <w:sz w:val="24"/>
            <w:szCs w:val="24"/>
          </w:rPr>
          <m:t xml:space="preserve"> </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5</m:t>
            </m:r>
          </m:sup>
        </m:sSup>
        <m:r>
          <w:rPr>
            <w:rFonts w:ascii="Cambria Math" w:eastAsia="Times New Roman" w:hAnsi="Cambria Math" w:cs="Times New Roman"/>
            <w:sz w:val="24"/>
            <w:szCs w:val="24"/>
          </w:rPr>
          <m:t xml:space="preserve"> </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K</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mba</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r</m:t>
            </m:r>
          </m:e>
          <m:sup>
            <m:r>
              <w:rPr>
                <w:rFonts w:ascii="Cambria Math" w:eastAsia="Times New Roman" w:hAnsi="Cambria Math" w:cs="Times New Roman"/>
                <w:sz w:val="24"/>
                <w:szCs w:val="24"/>
              </w:rPr>
              <m:t>-1</m:t>
            </m:r>
          </m:sup>
        </m:sSup>
      </m:oMath>
      <w:r w:rsidR="00A63CD3" w:rsidRPr="00BE4AF3">
        <w:rPr>
          <w:rFonts w:ascii="Times New Roman" w:hAnsi="Times New Roman" w:cs="Times New Roman"/>
          <w:sz w:val="24"/>
          <w:szCs w:val="24"/>
        </w:rPr>
        <w:t xml:space="preserve">   </w:t>
      </w:r>
    </w:p>
    <w:p w14:paraId="56D823A0" w14:textId="77777777" w:rsidR="00A63CD3" w:rsidRPr="00BE4AF3" w:rsidRDefault="00000000" w:rsidP="00433976">
      <w:pPr>
        <w:spacing w:after="0" w:line="240" w:lineRule="auto"/>
        <w:jc w:val="both"/>
        <w:rPr>
          <w:rFonts w:ascii="Times New Roman" w:eastAsia="Times New Roman" w:hAnsi="Times New Roman" w:cs="Times New Roman"/>
          <w:bCs/>
          <w:sz w:val="24"/>
          <w:szCs w:val="24"/>
        </w:rPr>
      </w:pPr>
      <m:oMath>
        <m:sSub>
          <m:sSubPr>
            <m:ctrlPr>
              <w:rPr>
                <w:rFonts w:ascii="Cambria Math" w:eastAsia="Times New Roman" w:hAnsi="Cambria Math" w:cs="Times New Roman"/>
                <w:bCs/>
                <w:sz w:val="24"/>
                <w:szCs w:val="24"/>
              </w:rPr>
            </m:ctrlPr>
          </m:sSubPr>
          <m:e>
            <m:r>
              <m:rPr>
                <m:sty m:val="p"/>
              </m:rPr>
              <w:rPr>
                <w:rFonts w:ascii="Cambria Math" w:eastAsia="Times New Roman" w:hAnsi="Cambria Math" w:cs="Times New Roman"/>
                <w:sz w:val="24"/>
                <w:szCs w:val="24"/>
              </w:rPr>
              <m:t>T</m:t>
            </m:r>
          </m:e>
          <m:sub>
            <m:r>
              <m:rPr>
                <m:sty m:val="p"/>
              </m:rPr>
              <w:rPr>
                <w:rFonts w:ascii="Cambria Math" w:eastAsia="Times New Roman" w:hAnsi="Cambria Math" w:cs="Times New Roman"/>
                <w:sz w:val="24"/>
                <w:szCs w:val="24"/>
              </w:rPr>
              <m:t>m</m:t>
            </m:r>
          </m:sub>
        </m:sSub>
        <m:r>
          <m:rPr>
            <m:sty m:val="p"/>
          </m:rPr>
          <w:rPr>
            <w:rFonts w:ascii="Cambria Math" w:eastAsia="Times New Roman" w:hAnsi="Cambria Math" w:cs="Times New Roman"/>
            <w:sz w:val="24"/>
            <w:szCs w:val="24"/>
          </w:rPr>
          <m:t>=</m:t>
        </m:r>
      </m:oMath>
      <w:r w:rsidR="00A63CD3" w:rsidRPr="00BE4AF3">
        <w:rPr>
          <w:rFonts w:ascii="Times New Roman" w:eastAsia="Times New Roman" w:hAnsi="Times New Roman" w:cs="Times New Roman"/>
          <w:bCs/>
          <w:sz w:val="24"/>
          <w:szCs w:val="24"/>
        </w:rPr>
        <w:t xml:space="preserve"> Weighted mean temperature of the atmosphere.</w:t>
      </w:r>
    </w:p>
    <w:p w14:paraId="3CDB9F6C" w14:textId="77777777" w:rsidR="00A63CD3" w:rsidRPr="00BE4AF3" w:rsidRDefault="00A63CD3" w:rsidP="00433976">
      <w:pPr>
        <w:spacing w:after="0" w:line="240" w:lineRule="auto"/>
        <w:jc w:val="both"/>
        <w:rPr>
          <w:rFonts w:ascii="Times New Roman" w:eastAsia="Times New Roman" w:hAnsi="Times New Roman" w:cs="Times New Roman"/>
          <w:bCs/>
          <w:sz w:val="24"/>
          <w:szCs w:val="24"/>
        </w:rPr>
      </w:pPr>
      <w:r w:rsidRPr="00BE4AF3">
        <w:rPr>
          <w:rFonts w:ascii="Times New Roman" w:eastAsia="Times New Roman" w:hAnsi="Times New Roman" w:cs="Times New Roman"/>
          <w:bCs/>
          <w:sz w:val="24"/>
          <w:szCs w:val="24"/>
        </w:rPr>
        <w:t xml:space="preserve">The IWV can be derived as (Bai, 2004, Musa </w:t>
      </w:r>
      <w:r w:rsidRPr="00BE4AF3">
        <w:rPr>
          <w:rFonts w:ascii="Times New Roman" w:eastAsia="Times New Roman" w:hAnsi="Times New Roman" w:cs="Times New Roman"/>
          <w:bCs/>
          <w:i/>
          <w:iCs/>
          <w:sz w:val="24"/>
          <w:szCs w:val="24"/>
        </w:rPr>
        <w:t xml:space="preserve">et al., </w:t>
      </w:r>
      <w:r w:rsidRPr="00BE4AF3">
        <w:rPr>
          <w:rFonts w:ascii="Times New Roman" w:eastAsia="Times New Roman" w:hAnsi="Times New Roman" w:cs="Times New Roman"/>
          <w:bCs/>
          <w:sz w:val="24"/>
          <w:szCs w:val="24"/>
        </w:rPr>
        <w:t>2011, Opaluwa, 2017):</w:t>
      </w:r>
    </w:p>
    <w:p w14:paraId="507FB418" w14:textId="0D030D3E" w:rsidR="00A63CD3" w:rsidRPr="00BE4AF3" w:rsidRDefault="00A63CD3" w:rsidP="00433976">
      <w:pPr>
        <w:spacing w:after="0" w:line="240" w:lineRule="auto"/>
        <w:jc w:val="both"/>
        <w:rPr>
          <w:rFonts w:ascii="Times New Roman" w:hAnsi="Times New Roman" w:cs="Times New Roman"/>
          <w:sz w:val="24"/>
          <w:szCs w:val="24"/>
        </w:rPr>
      </w:pPr>
      <w:r w:rsidRPr="00BE4AF3">
        <w:rPr>
          <w:rFonts w:ascii="Times New Roman" w:eastAsia="Times New Roman" w:hAnsi="Times New Roman" w:cs="Times New Roman"/>
          <w:bCs/>
          <w:noProof/>
          <w:sz w:val="24"/>
          <w:szCs w:val="24"/>
          <w:lang w:eastAsia="en-GB"/>
        </w:rPr>
        <mc:AlternateContent>
          <mc:Choice Requires="wps">
            <w:drawing>
              <wp:anchor distT="0" distB="0" distL="114300" distR="114300" simplePos="0" relativeHeight="251679744" behindDoc="0" locked="0" layoutInCell="1" allowOverlap="1" wp14:anchorId="422E7C80" wp14:editId="0C6B001D">
                <wp:simplePos x="0" y="0"/>
                <wp:positionH relativeFrom="column">
                  <wp:posOffset>464185</wp:posOffset>
                </wp:positionH>
                <wp:positionV relativeFrom="paragraph">
                  <wp:posOffset>10160</wp:posOffset>
                </wp:positionV>
                <wp:extent cx="95250" cy="0"/>
                <wp:effectExtent l="0" t="4445" r="0" b="5080"/>
                <wp:wrapNone/>
                <wp:docPr id="807822850" name="Straight Arrow Connector 807822850"/>
                <wp:cNvGraphicFramePr/>
                <a:graphic xmlns:a="http://schemas.openxmlformats.org/drawingml/2006/main">
                  <a:graphicData uri="http://schemas.microsoft.com/office/word/2010/wordprocessingShape">
                    <wps:wsp>
                      <wps:cNvCnPr/>
                      <wps:spPr>
                        <a:xfrm>
                          <a:off x="0" y="0"/>
                          <a:ext cx="952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w14:anchorId="3F92FBF6" id="Straight Arrow Connector 807822850" o:spid="_x0000_s1026" type="#_x0000_t32" style="position:absolute;margin-left:36.55pt;margin-top:.8pt;width:7.5pt;height:0;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"/>
            </w:pict>
          </mc:Fallback>
        </mc:AlternateContent>
      </w:r>
      <m:oMath>
        <m:r>
          <m:rPr>
            <m:sty m:val="p"/>
          </m:rPr>
          <w:rPr>
            <w:rFonts w:ascii="Cambria Math" w:eastAsia="Times New Roman" w:hAnsi="Cambria Math" w:cs="Times New Roman"/>
            <w:sz w:val="24"/>
            <w:szCs w:val="24"/>
          </w:rPr>
          <m:t>IWV=KZWD</m:t>
        </m:r>
      </m:oMath>
      <w:r w:rsidRPr="00BE4AF3">
        <w:rPr>
          <w:rFonts w:ascii="Times New Roman" w:eastAsia="Times New Roman" w:hAnsi="Times New Roman" w:cs="Times New Roman"/>
          <w:bCs/>
          <w:sz w:val="24"/>
          <w:szCs w:val="24"/>
        </w:rPr>
        <w:t xml:space="preserve">           </w:t>
      </w:r>
      <w:r w:rsidRPr="00BE4AF3">
        <w:rPr>
          <w:rFonts w:ascii="Times New Roman" w:eastAsia="Times New Roman" w:hAnsi="Times New Roman" w:cs="Times New Roman"/>
          <w:b/>
          <w:sz w:val="24"/>
          <w:szCs w:val="24"/>
        </w:rPr>
        <w:t xml:space="preserve">                     </w:t>
      </w:r>
      <w:r w:rsidRPr="00BE4AF3">
        <w:rPr>
          <w:rFonts w:ascii="Times New Roman" w:eastAsia="Times New Roman" w:hAnsi="Times New Roman" w:cs="Times New Roman"/>
          <w:b/>
          <w:sz w:val="24"/>
          <w:szCs w:val="24"/>
        </w:rPr>
        <w:tab/>
      </w:r>
      <w:r w:rsidRPr="00BE4AF3">
        <w:rPr>
          <w:rFonts w:ascii="Times New Roman" w:eastAsia="Times New Roman" w:hAnsi="Times New Roman" w:cs="Times New Roman"/>
          <w:b/>
          <w:sz w:val="24"/>
          <w:szCs w:val="24"/>
        </w:rPr>
        <w:tab/>
      </w:r>
      <w:r w:rsidRPr="00BE4AF3">
        <w:rPr>
          <w:rFonts w:ascii="Times New Roman" w:eastAsia="Times New Roman" w:hAnsi="Times New Roman" w:cs="Times New Roman"/>
          <w:b/>
          <w:sz w:val="24"/>
          <w:szCs w:val="24"/>
        </w:rPr>
        <w:tab/>
      </w:r>
      <w:r w:rsidRPr="00BE4AF3">
        <w:rPr>
          <w:rFonts w:ascii="Times New Roman" w:eastAsia="Times New Roman" w:hAnsi="Times New Roman" w:cs="Times New Roman"/>
          <w:b/>
          <w:sz w:val="24"/>
          <w:szCs w:val="24"/>
        </w:rPr>
        <w:tab/>
      </w:r>
      <w:r w:rsidRPr="00BE4AF3">
        <w:rPr>
          <w:rFonts w:ascii="Times New Roman" w:eastAsia="Times New Roman" w:hAnsi="Times New Roman" w:cs="Times New Roman"/>
          <w:b/>
          <w:sz w:val="24"/>
          <w:szCs w:val="24"/>
        </w:rPr>
        <w:tab/>
      </w:r>
      <w:r w:rsidRPr="00BE4AF3">
        <w:rPr>
          <w:rFonts w:ascii="Times New Roman" w:eastAsia="Times New Roman" w:hAnsi="Times New Roman" w:cs="Times New Roman"/>
          <w:bCs/>
          <w:sz w:val="24"/>
          <w:szCs w:val="24"/>
        </w:rPr>
        <w:t>2.9</w:t>
      </w:r>
      <w:r w:rsidRPr="00BE4AF3">
        <w:rPr>
          <w:rFonts w:ascii="Times New Roman" w:eastAsia="Times New Roman" w:hAnsi="Times New Roman" w:cs="Times New Roman"/>
          <w:b/>
          <w:sz w:val="24"/>
          <w:szCs w:val="24"/>
        </w:rPr>
        <w:t xml:space="preserve">                                           </w:t>
      </w:r>
      <w:r w:rsidRPr="00BE4AF3">
        <w:rPr>
          <w:rFonts w:ascii="Times New Roman" w:hAnsi="Times New Roman" w:cs="Times New Roman"/>
          <w:sz w:val="24"/>
          <w:szCs w:val="24"/>
        </w:rPr>
        <w:br/>
        <w:t xml:space="preserve">UCAR/CDAAC supplies atmospheric parameter profiles and their collocated counterparts with ECMWF high-resolution reanalysis (ECH) fields “echPrf” (ECMWF collocations) and other data types which are accessible from </w:t>
      </w:r>
      <w:r w:rsidRPr="00BE4AF3">
        <w:rPr>
          <w:rFonts w:ascii="Times New Roman" w:eastAsia="SimSun" w:hAnsi="Times New Roman" w:cs="Times New Roman"/>
          <w:color w:val="000000"/>
          <w:sz w:val="24"/>
          <w:szCs w:val="24"/>
          <w:shd w:val="clear" w:color="auto" w:fill="FFFFFF"/>
        </w:rPr>
        <w:t> </w:t>
      </w:r>
      <w:hyperlink r:id="rId154" w:history="1">
        <w:r w:rsidRPr="00BE4AF3">
          <w:rPr>
            <w:rStyle w:val="Hyperlink"/>
            <w:rFonts w:ascii="Times New Roman" w:eastAsia="SimSun" w:hAnsi="Times New Roman" w:cs="Times New Roman"/>
            <w:sz w:val="24"/>
            <w:szCs w:val="24"/>
            <w:shd w:val="clear" w:color="auto" w:fill="FFFFFF"/>
          </w:rPr>
          <w:t>https://data.cosmic.ucar.edu/gnss-ro/</w:t>
        </w:r>
      </w:hyperlink>
      <w:r w:rsidRPr="00BE4AF3">
        <w:rPr>
          <w:rFonts w:ascii="Times New Roman" w:hAnsi="Times New Roman" w:cs="Times New Roman"/>
          <w:sz w:val="24"/>
          <w:szCs w:val="24"/>
        </w:rPr>
        <w:br/>
        <w:t xml:space="preserve">Each occultation yields a local IWV value (a profile integrated column). For validation, we collocated these with ECMWF high-resolution reanalysis IWV at the RO tangent point and time within 200 km horizontally and ±2 h in time, per standard practice. For the RO sensor  COSMIC-2 GPS/R, we then computed the mean bias, root-mean-square error (RMSE), and correlation coefficient between the RO-derived IWV and ECMWF IWV over all matched events. </w:t>
      </w:r>
    </w:p>
    <w:p w14:paraId="75A4C178" w14:textId="77777777" w:rsidR="00433976" w:rsidRDefault="00433976" w:rsidP="00433976">
      <w:pPr>
        <w:spacing w:after="0" w:line="240" w:lineRule="auto"/>
        <w:jc w:val="both"/>
        <w:rPr>
          <w:rFonts w:ascii="Times New Roman" w:hAnsi="Times New Roman"/>
          <w:b/>
          <w:bCs/>
          <w:sz w:val="24"/>
          <w:szCs w:val="24"/>
        </w:rPr>
      </w:pPr>
    </w:p>
    <w:p w14:paraId="01DC876B" w14:textId="5F770FC4" w:rsidR="00433976" w:rsidRPr="00433976" w:rsidRDefault="00A63CD3" w:rsidP="00433976">
      <w:pPr>
        <w:spacing w:after="0" w:line="240" w:lineRule="auto"/>
        <w:jc w:val="both"/>
        <w:rPr>
          <w:rFonts w:ascii="Times New Roman" w:hAnsi="Times New Roman"/>
          <w:b/>
          <w:bCs/>
          <w:sz w:val="24"/>
          <w:szCs w:val="24"/>
        </w:rPr>
      </w:pPr>
      <w:r w:rsidRPr="00433976">
        <w:rPr>
          <w:rFonts w:ascii="Times New Roman" w:hAnsi="Times New Roman"/>
          <w:b/>
          <w:bCs/>
          <w:sz w:val="24"/>
          <w:szCs w:val="24"/>
        </w:rPr>
        <w:t>Results and Discussion</w:t>
      </w:r>
    </w:p>
    <w:p w14:paraId="4E2CEFF5" w14:textId="3A664E74" w:rsidR="00A63CD3" w:rsidRPr="00433976" w:rsidRDefault="00A63CD3" w:rsidP="00433976">
      <w:pPr>
        <w:spacing w:after="0" w:line="240" w:lineRule="auto"/>
        <w:jc w:val="both"/>
        <w:rPr>
          <w:rFonts w:ascii="Times New Roman" w:hAnsi="Times New Roman"/>
          <w:sz w:val="24"/>
          <w:szCs w:val="24"/>
        </w:rPr>
      </w:pPr>
      <w:r w:rsidRPr="00433976">
        <w:rPr>
          <w:rFonts w:ascii="Times New Roman" w:hAnsi="Times New Roman"/>
          <w:sz w:val="24"/>
          <w:szCs w:val="24"/>
        </w:rPr>
        <w:t>The mean daily trend of the IWV derived from RO, and the ECMWF NWP model was generated and the time series are shown from Figure 3.1 to 3.2.</w:t>
      </w:r>
    </w:p>
    <w:p w14:paraId="2CFE71C8" w14:textId="77777777" w:rsidR="00A63CD3" w:rsidRPr="00BE4AF3" w:rsidRDefault="00A63CD3" w:rsidP="00433976">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time-series IWV trend as generated from the mean daily IWV estimates was considered all through the year for the IWV time series plot, showing its temporal dynamics. This is evident in Figure 3.1 to 3.2 as low IWV value were noticed for the first and the last three months of the year which represent dry season over Nigeria and the months in between representing rainy season. </w:t>
      </w:r>
    </w:p>
    <w:p w14:paraId="385FCF16" w14:textId="77777777" w:rsidR="00A63CD3" w:rsidRPr="00BE4AF3" w:rsidRDefault="00A63CD3" w:rsidP="00A63CD3">
      <w:pPr>
        <w:jc w:val="both"/>
        <w:rPr>
          <w:rFonts w:ascii="Times New Roman" w:hAnsi="Times New Roman" w:cs="Times New Roman"/>
          <w:b/>
          <w:bCs/>
          <w:sz w:val="24"/>
          <w:szCs w:val="24"/>
        </w:rPr>
      </w:pPr>
    </w:p>
    <w:p w14:paraId="45A03489" w14:textId="2DF334A3" w:rsidR="00A63CD3" w:rsidRPr="00BE4AF3" w:rsidRDefault="00A63CD3" w:rsidP="00152DDF">
      <w:pPr>
        <w:spacing w:line="240" w:lineRule="auto"/>
        <w:jc w:val="center"/>
        <w:rPr>
          <w:rFonts w:ascii="Times New Roman" w:hAnsi="Times New Roman" w:cs="Times New Roman"/>
          <w:sz w:val="24"/>
          <w:szCs w:val="24"/>
        </w:rPr>
      </w:pPr>
      <w:r w:rsidRPr="00BE4AF3">
        <w:rPr>
          <w:rFonts w:ascii="Times New Roman" w:hAnsi="Times New Roman" w:cs="Times New Roman"/>
          <w:b/>
          <w:bCs/>
          <w:sz w:val="24"/>
          <w:szCs w:val="24"/>
        </w:rPr>
        <w:br/>
      </w:r>
      <w:r w:rsidRPr="00BE4AF3">
        <w:rPr>
          <w:rFonts w:ascii="Times New Roman" w:hAnsi="Times New Roman" w:cs="Times New Roman"/>
          <w:noProof/>
          <w:sz w:val="24"/>
          <w:szCs w:val="24"/>
          <w:lang w:eastAsia="en-GB"/>
        </w:rPr>
        <w:drawing>
          <wp:inline distT="0" distB="0" distL="0" distR="0" wp14:anchorId="7FF00231" wp14:editId="359111B4">
            <wp:extent cx="5280025" cy="2501900"/>
            <wp:effectExtent l="0" t="0" r="3175" b="0"/>
            <wp:docPr id="807822851" name="Picture 1" descr="C:\Users\Hp\Desktop\X-LANE\Final_Plots_Corrected\COSMIC-G_vs_ECMWF_Daily_Tr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 descr="C:\Users\Hp\Desktop\X-LANE\Final_Plots_Corrected\COSMIC-G_vs_ECMWF_Daily_Trend.png"/>
                    <pic:cNvPicPr>
                      <a:picLocks noChangeAspect="1" noChangeArrowheads="1"/>
                    </pic:cNvPicPr>
                  </pic:nvPicPr>
                  <pic:blipFill>
                    <a:blip r:embed="rId155" cstate="print"/>
                    <a:srcRect t="6524" r="716"/>
                    <a:stretch>
                      <a:fillRect/>
                    </a:stretch>
                  </pic:blipFill>
                  <pic:spPr>
                    <a:xfrm>
                      <a:off x="0" y="0"/>
                      <a:ext cx="5280025" cy="2501900"/>
                    </a:xfrm>
                    <a:prstGeom prst="rect">
                      <a:avLst/>
                    </a:prstGeom>
                    <a:noFill/>
                    <a:ln w="9525">
                      <a:noFill/>
                      <a:miter lim="800000"/>
                      <a:headEnd/>
                      <a:tailEnd/>
                    </a:ln>
                  </pic:spPr>
                </pic:pic>
              </a:graphicData>
            </a:graphic>
          </wp:inline>
        </w:drawing>
      </w:r>
      <w:r w:rsidRPr="00BE4AF3">
        <w:rPr>
          <w:rFonts w:ascii="Times New Roman" w:hAnsi="Times New Roman" w:cs="Times New Roman"/>
          <w:b/>
          <w:bCs/>
          <w:sz w:val="24"/>
          <w:szCs w:val="24"/>
        </w:rPr>
        <w:br/>
      </w:r>
      <w:r w:rsidRPr="00152DDF">
        <w:rPr>
          <w:rFonts w:ascii="Times New Roman" w:hAnsi="Times New Roman" w:cs="Times New Roman"/>
          <w:b/>
          <w:sz w:val="24"/>
          <w:szCs w:val="24"/>
        </w:rPr>
        <w:t>Figure 3.1</w:t>
      </w:r>
      <w:r w:rsidR="00152DDF" w:rsidRPr="00152DDF">
        <w:rPr>
          <w:rFonts w:ascii="Times New Roman" w:hAnsi="Times New Roman" w:cs="Times New Roman"/>
          <w:b/>
          <w:sz w:val="24"/>
          <w:szCs w:val="24"/>
        </w:rPr>
        <w:t>:</w:t>
      </w:r>
      <w:r w:rsidRPr="00BE4AF3">
        <w:rPr>
          <w:rFonts w:ascii="Times New Roman" w:hAnsi="Times New Roman" w:cs="Times New Roman"/>
          <w:bCs/>
          <w:sz w:val="24"/>
          <w:szCs w:val="24"/>
        </w:rPr>
        <w:t xml:space="preserve"> </w:t>
      </w:r>
      <w:r w:rsidRPr="00BE4AF3">
        <w:rPr>
          <w:rFonts w:ascii="Times New Roman" w:hAnsi="Times New Roman" w:cs="Times New Roman"/>
          <w:sz w:val="24"/>
          <w:szCs w:val="24"/>
        </w:rPr>
        <w:t>Time series of IWV from GPS RO (COSMIC 2) G sensor and ECMWF NWP</w:t>
      </w:r>
      <w:r w:rsidR="004B13C1">
        <w:rPr>
          <w:rFonts w:ascii="Times New Roman" w:hAnsi="Times New Roman" w:cs="Times New Roman"/>
          <w:sz w:val="24"/>
          <w:szCs w:val="24"/>
        </w:rPr>
        <w:t xml:space="preserve"> </w:t>
      </w:r>
      <w:r w:rsidRPr="00BE4AF3">
        <w:rPr>
          <w:rFonts w:ascii="Times New Roman" w:hAnsi="Times New Roman" w:cs="Times New Roman"/>
          <w:sz w:val="24"/>
          <w:szCs w:val="24"/>
        </w:rPr>
        <w:t>model</w:t>
      </w:r>
      <w:r w:rsidR="004B13C1">
        <w:rPr>
          <w:rFonts w:ascii="Times New Roman" w:hAnsi="Times New Roman" w:cs="Times New Roman"/>
          <w:sz w:val="24"/>
          <w:szCs w:val="24"/>
        </w:rPr>
        <w:t xml:space="preserve"> </w:t>
      </w:r>
      <w:r w:rsidRPr="00BE4AF3">
        <w:rPr>
          <w:rFonts w:ascii="Times New Roman" w:hAnsi="Times New Roman" w:cs="Times New Roman"/>
          <w:sz w:val="24"/>
          <w:szCs w:val="24"/>
        </w:rPr>
        <w:t>data in Nigeria</w:t>
      </w:r>
    </w:p>
    <w:p w14:paraId="2E0C34AD" w14:textId="77777777" w:rsidR="00A63CD3" w:rsidRPr="00BE4AF3" w:rsidRDefault="00A63CD3" w:rsidP="00A63CD3">
      <w:pPr>
        <w:spacing w:line="240" w:lineRule="auto"/>
        <w:jc w:val="both"/>
        <w:rPr>
          <w:rFonts w:ascii="Times New Roman" w:hAnsi="Times New Roman" w:cs="Times New Roman"/>
          <w:sz w:val="24"/>
          <w:szCs w:val="24"/>
        </w:rPr>
      </w:pPr>
    </w:p>
    <w:p w14:paraId="254DA093" w14:textId="77777777" w:rsidR="00A63CD3" w:rsidRPr="00BE4AF3" w:rsidRDefault="00A63CD3" w:rsidP="00A63CD3">
      <w:pPr>
        <w:spacing w:line="240" w:lineRule="auto"/>
        <w:jc w:val="both"/>
        <w:rPr>
          <w:rFonts w:ascii="Times New Roman" w:hAnsi="Times New Roman" w:cs="Times New Roman"/>
          <w:sz w:val="24"/>
          <w:szCs w:val="24"/>
        </w:rPr>
      </w:pPr>
    </w:p>
    <w:p w14:paraId="2E15E512" w14:textId="77777777" w:rsidR="00A63CD3" w:rsidRPr="00BE4AF3" w:rsidRDefault="00A63CD3" w:rsidP="00A63CD3">
      <w:pPr>
        <w:spacing w:line="240" w:lineRule="auto"/>
        <w:jc w:val="both"/>
        <w:rPr>
          <w:rFonts w:ascii="Times New Roman" w:hAnsi="Times New Roman" w:cs="Times New Roman"/>
          <w:sz w:val="24"/>
          <w:szCs w:val="24"/>
        </w:rPr>
      </w:pPr>
    </w:p>
    <w:p w14:paraId="1901A9D3" w14:textId="77777777" w:rsidR="00A63CD3" w:rsidRPr="00BE4AF3" w:rsidRDefault="00A63CD3" w:rsidP="00A63CD3">
      <w:pPr>
        <w:spacing w:line="240" w:lineRule="auto"/>
        <w:jc w:val="both"/>
        <w:rPr>
          <w:rFonts w:ascii="Times New Roman" w:hAnsi="Times New Roman" w:cs="Times New Roman"/>
          <w:sz w:val="24"/>
          <w:szCs w:val="24"/>
        </w:rPr>
      </w:pPr>
    </w:p>
    <w:p w14:paraId="6FDCC5A9" w14:textId="77777777" w:rsidR="00A63CD3" w:rsidRPr="00BE4AF3" w:rsidRDefault="00A63CD3" w:rsidP="00152DDF">
      <w:pPr>
        <w:spacing w:line="240" w:lineRule="auto"/>
        <w:jc w:val="center"/>
        <w:rPr>
          <w:rFonts w:ascii="Times New Roman" w:hAnsi="Times New Roman" w:cs="Times New Roman"/>
          <w:sz w:val="24"/>
          <w:szCs w:val="24"/>
        </w:rPr>
      </w:pPr>
      <w:r w:rsidRPr="00BE4AF3">
        <w:rPr>
          <w:rFonts w:ascii="Times New Roman" w:hAnsi="Times New Roman" w:cs="Times New Roman"/>
          <w:noProof/>
          <w:sz w:val="24"/>
          <w:szCs w:val="24"/>
          <w:lang w:eastAsia="en-GB"/>
        </w:rPr>
        <w:lastRenderedPageBreak/>
        <w:drawing>
          <wp:inline distT="0" distB="0" distL="0" distR="0" wp14:anchorId="196102A1" wp14:editId="16757ED3">
            <wp:extent cx="5126990" cy="3009900"/>
            <wp:effectExtent l="0" t="0" r="0" b="0"/>
            <wp:docPr id="807822852" name="Picture 2" descr="C:\Users\Hp\Desktop\X-LANE\Final_Plots_Corrected\COSMIC-R_vs_ECMWF_Daily_Tr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descr="C:\Users\Hp\Desktop\X-LANE\Final_Plots_Corrected\COSMIC-R_vs_ECMWF_Daily_Trend.png"/>
                    <pic:cNvPicPr>
                      <a:picLocks noChangeAspect="1" noChangeArrowheads="1"/>
                    </pic:cNvPicPr>
                  </pic:nvPicPr>
                  <pic:blipFill>
                    <a:blip r:embed="rId156" cstate="print"/>
                    <a:srcRect t="6301" r="602"/>
                    <a:stretch>
                      <a:fillRect/>
                    </a:stretch>
                  </pic:blipFill>
                  <pic:spPr>
                    <a:xfrm>
                      <a:off x="0" y="0"/>
                      <a:ext cx="5126990" cy="3009900"/>
                    </a:xfrm>
                    <a:prstGeom prst="rect">
                      <a:avLst/>
                    </a:prstGeom>
                    <a:noFill/>
                    <a:ln w="9525">
                      <a:noFill/>
                      <a:miter lim="800000"/>
                      <a:headEnd/>
                      <a:tailEnd/>
                    </a:ln>
                  </pic:spPr>
                </pic:pic>
              </a:graphicData>
            </a:graphic>
          </wp:inline>
        </w:drawing>
      </w:r>
    </w:p>
    <w:p w14:paraId="02A8C728" w14:textId="77777777" w:rsidR="004B13C1" w:rsidRDefault="00A63CD3" w:rsidP="00152DDF">
      <w:pPr>
        <w:spacing w:line="240" w:lineRule="auto"/>
        <w:jc w:val="center"/>
        <w:rPr>
          <w:rFonts w:ascii="Times New Roman" w:hAnsi="Times New Roman" w:cs="Times New Roman"/>
          <w:sz w:val="24"/>
          <w:szCs w:val="24"/>
        </w:rPr>
      </w:pPr>
      <w:r w:rsidRPr="004B13C1">
        <w:rPr>
          <w:rFonts w:ascii="Times New Roman" w:hAnsi="Times New Roman" w:cs="Times New Roman"/>
          <w:b/>
          <w:sz w:val="24"/>
          <w:szCs w:val="24"/>
        </w:rPr>
        <w:t>Figure 3.2</w:t>
      </w:r>
      <w:r w:rsidR="004B13C1">
        <w:rPr>
          <w:rFonts w:ascii="Times New Roman" w:hAnsi="Times New Roman" w:cs="Times New Roman"/>
          <w:b/>
          <w:sz w:val="24"/>
          <w:szCs w:val="24"/>
        </w:rPr>
        <w:t>:</w:t>
      </w:r>
      <w:r w:rsidRPr="00BE4AF3">
        <w:rPr>
          <w:rFonts w:ascii="Times New Roman" w:hAnsi="Times New Roman" w:cs="Times New Roman"/>
          <w:bCs/>
          <w:sz w:val="24"/>
          <w:szCs w:val="24"/>
        </w:rPr>
        <w:t xml:space="preserve"> </w:t>
      </w:r>
      <w:r w:rsidRPr="00BE4AF3">
        <w:rPr>
          <w:rFonts w:ascii="Times New Roman" w:hAnsi="Times New Roman" w:cs="Times New Roman"/>
          <w:sz w:val="24"/>
          <w:szCs w:val="24"/>
        </w:rPr>
        <w:t>Time series of IWV from GPS RO (COSMIC 2) G sensor and ECMWF NWP model data in Nigeria</w:t>
      </w:r>
    </w:p>
    <w:p w14:paraId="70965E94" w14:textId="3F1779CF" w:rsidR="00A63CD3" w:rsidRPr="004B13C1" w:rsidRDefault="00A63CD3" w:rsidP="00A63CD3">
      <w:pPr>
        <w:spacing w:line="240" w:lineRule="auto"/>
        <w:jc w:val="both"/>
        <w:rPr>
          <w:rFonts w:ascii="Times New Roman" w:hAnsi="Times New Roman" w:cs="Times New Roman"/>
          <w:b/>
          <w:bCs/>
          <w:sz w:val="24"/>
          <w:szCs w:val="24"/>
        </w:rPr>
      </w:pPr>
      <w:r w:rsidRPr="00BE4AF3">
        <w:rPr>
          <w:rFonts w:ascii="Times New Roman" w:hAnsi="Times New Roman" w:cs="Times New Roman"/>
          <w:sz w:val="24"/>
          <w:szCs w:val="24"/>
        </w:rPr>
        <w:t>It could be seen from Figure (3.1 to 3.2), that the time series of the GPS RO, and  ECMWF NWP model-derived IWV follow the same trend thus, indicating that the GNSS RO can properly capture the signature of IWV oscillation in the study area.</w:t>
      </w:r>
      <w:r w:rsidRPr="00BE4AF3">
        <w:rPr>
          <w:rFonts w:ascii="Times New Roman" w:eastAsia="Times New Roman" w:hAnsi="Times New Roman" w:cs="Times New Roman"/>
          <w:color w:val="000000"/>
          <w:sz w:val="24"/>
          <w:szCs w:val="24"/>
        </w:rPr>
        <w:t xml:space="preserve"> </w:t>
      </w:r>
      <w:r w:rsidRPr="00BE4AF3">
        <w:rPr>
          <w:rFonts w:ascii="Times New Roman" w:hAnsi="Times New Roman" w:cs="Times New Roman"/>
          <w:sz w:val="24"/>
          <w:szCs w:val="24"/>
        </w:rPr>
        <w:t>It was observed that the time series of the IWV (Figure 3.1 to 3.2) from the two systems compared present the same pattern.  The highest mean daily IWV estimate for the  ECMWF measurement was observed at 0.0027kg/m</w:t>
      </w:r>
      <w:r w:rsidRPr="00BE4AF3">
        <w:rPr>
          <w:rFonts w:ascii="Times New Roman" w:hAnsi="Times New Roman" w:cs="Times New Roman"/>
          <w:sz w:val="24"/>
          <w:szCs w:val="24"/>
          <w:vertAlign w:val="superscript"/>
        </w:rPr>
        <w:t>2</w:t>
      </w:r>
      <w:r w:rsidRPr="00BE4AF3">
        <w:rPr>
          <w:rFonts w:ascii="Times New Roman" w:hAnsi="Times New Roman" w:cs="Times New Roman"/>
          <w:sz w:val="24"/>
          <w:szCs w:val="24"/>
        </w:rPr>
        <w:t xml:space="preserve"> for COSMIC 2 G senor, and 0.0036kg/m</w:t>
      </w:r>
      <w:r w:rsidRPr="00BE4AF3">
        <w:rPr>
          <w:rFonts w:ascii="Times New Roman" w:hAnsi="Times New Roman" w:cs="Times New Roman"/>
          <w:sz w:val="24"/>
          <w:szCs w:val="24"/>
          <w:vertAlign w:val="superscript"/>
        </w:rPr>
        <w:t>2</w:t>
      </w:r>
      <w:r w:rsidRPr="00BE4AF3">
        <w:rPr>
          <w:rFonts w:ascii="Times New Roman" w:hAnsi="Times New Roman" w:cs="Times New Roman"/>
          <w:sz w:val="24"/>
          <w:szCs w:val="24"/>
        </w:rPr>
        <w:t xml:space="preserve">  at COSMIC 2 R senor.</w:t>
      </w:r>
    </w:p>
    <w:p w14:paraId="53B74D60" w14:textId="77777777" w:rsidR="00A63CD3" w:rsidRPr="00BE4AF3" w:rsidRDefault="00A63CD3" w:rsidP="00A63CD3">
      <w:pPr>
        <w:spacing w:line="240" w:lineRule="auto"/>
        <w:jc w:val="both"/>
        <w:rPr>
          <w:rFonts w:ascii="Times New Roman" w:hAnsi="Times New Roman" w:cs="Times New Roman"/>
          <w:sz w:val="24"/>
          <w:szCs w:val="24"/>
        </w:rPr>
      </w:pPr>
    </w:p>
    <w:p w14:paraId="47242847" w14:textId="732D8D40" w:rsidR="00A63CD3" w:rsidRPr="00BE4AF3" w:rsidRDefault="00A63CD3" w:rsidP="00152DDF">
      <w:pPr>
        <w:spacing w:line="240" w:lineRule="auto"/>
        <w:jc w:val="center"/>
        <w:rPr>
          <w:rFonts w:ascii="Times New Roman" w:hAnsi="Times New Roman" w:cs="Times New Roman"/>
          <w:sz w:val="24"/>
          <w:szCs w:val="24"/>
        </w:rPr>
      </w:pPr>
      <w:r w:rsidRPr="00BE4AF3">
        <w:rPr>
          <w:rFonts w:ascii="Times New Roman" w:hAnsi="Times New Roman" w:cs="Times New Roman"/>
          <w:noProof/>
          <w:sz w:val="24"/>
          <w:szCs w:val="24"/>
          <w:lang w:eastAsia="en-GB"/>
        </w:rPr>
        <w:drawing>
          <wp:inline distT="0" distB="0" distL="0" distR="0" wp14:anchorId="7BFB86B2" wp14:editId="1F6125C1">
            <wp:extent cx="4819650" cy="2828925"/>
            <wp:effectExtent l="0" t="0" r="0" b="9525"/>
            <wp:docPr id="807822853" name="Picture 7" descr="C:\Users\Hp\Desktop\X-LANE\Final_Plots_Corrected\COSMIC-G_vs_ECMWF_Sca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7" descr="C:\Users\Hp\Desktop\X-LANE\Final_Plots_Corrected\COSMIC-G_vs_ECMWF_Scatter.png"/>
                    <pic:cNvPicPr>
                      <a:picLocks noChangeAspect="1" noChangeArrowheads="1"/>
                    </pic:cNvPicPr>
                  </pic:nvPicPr>
                  <pic:blipFill>
                    <a:blip r:embed="rId157" cstate="print"/>
                    <a:srcRect t="8068" r="-964"/>
                    <a:stretch>
                      <a:fillRect/>
                    </a:stretch>
                  </pic:blipFill>
                  <pic:spPr>
                    <a:xfrm>
                      <a:off x="0" y="0"/>
                      <a:ext cx="4819650" cy="2828925"/>
                    </a:xfrm>
                    <a:prstGeom prst="rect">
                      <a:avLst/>
                    </a:prstGeom>
                    <a:noFill/>
                    <a:ln w="9525">
                      <a:noFill/>
                      <a:miter lim="800000"/>
                      <a:headEnd/>
                      <a:tailEnd/>
                    </a:ln>
                  </pic:spPr>
                </pic:pic>
              </a:graphicData>
            </a:graphic>
          </wp:inline>
        </w:drawing>
      </w:r>
      <w:r w:rsidRPr="00BE4AF3">
        <w:rPr>
          <w:rFonts w:ascii="Times New Roman" w:hAnsi="Times New Roman" w:cs="Times New Roman"/>
          <w:sz w:val="24"/>
          <w:szCs w:val="24"/>
        </w:rPr>
        <w:br/>
      </w:r>
      <w:r w:rsidRPr="00152DDF">
        <w:rPr>
          <w:rFonts w:ascii="Times New Roman" w:hAnsi="Times New Roman" w:cs="Times New Roman"/>
          <w:b/>
          <w:sz w:val="24"/>
          <w:szCs w:val="24"/>
        </w:rPr>
        <w:t>Figure 3.3</w:t>
      </w:r>
      <w:r w:rsidR="00152DDF" w:rsidRPr="00152DDF">
        <w:rPr>
          <w:rFonts w:ascii="Times New Roman" w:hAnsi="Times New Roman" w:cs="Times New Roman"/>
          <w:b/>
          <w:sz w:val="24"/>
          <w:szCs w:val="24"/>
        </w:rPr>
        <w:t>:</w:t>
      </w:r>
      <w:r w:rsidRPr="00BE4AF3">
        <w:rPr>
          <w:rFonts w:ascii="Times New Roman" w:hAnsi="Times New Roman" w:cs="Times New Roman"/>
          <w:bCs/>
          <w:sz w:val="24"/>
          <w:szCs w:val="24"/>
        </w:rPr>
        <w:t xml:space="preserve"> </w:t>
      </w:r>
      <w:r w:rsidRPr="00BE4AF3">
        <w:rPr>
          <w:rFonts w:ascii="Times New Roman" w:hAnsi="Times New Roman" w:cs="Times New Roman"/>
          <w:sz w:val="24"/>
          <w:szCs w:val="24"/>
        </w:rPr>
        <w:t>Scatter plot for IWV comparison between GPS RO (COSMIC 2) G sensor and ECMWF NWP model derived IWV</w:t>
      </w:r>
    </w:p>
    <w:p w14:paraId="0A3280B1" w14:textId="0071D2DE" w:rsidR="00152DDF" w:rsidRPr="00152DDF" w:rsidRDefault="00A63CD3" w:rsidP="00152DDF">
      <w:pPr>
        <w:pStyle w:val="Heading2"/>
        <w:jc w:val="center"/>
        <w:rPr>
          <w:rFonts w:ascii="Times New Roman" w:hAnsi="Times New Roman" w:cs="Times New Roman"/>
          <w:color w:val="auto"/>
          <w:sz w:val="24"/>
          <w:szCs w:val="24"/>
        </w:rPr>
      </w:pPr>
      <w:r w:rsidRPr="00BE4AF3">
        <w:rPr>
          <w:rFonts w:ascii="Times New Roman" w:hAnsi="Times New Roman" w:cs="Times New Roman"/>
          <w:sz w:val="24"/>
          <w:szCs w:val="24"/>
        </w:rPr>
        <w:lastRenderedPageBreak/>
        <w:br/>
      </w:r>
      <w:r w:rsidRPr="00BE4AF3">
        <w:rPr>
          <w:rFonts w:ascii="Times New Roman" w:hAnsi="Times New Roman" w:cs="Times New Roman"/>
          <w:sz w:val="24"/>
          <w:szCs w:val="24"/>
        </w:rPr>
        <w:br/>
      </w:r>
      <w:r w:rsidRPr="00BE4AF3">
        <w:rPr>
          <w:rFonts w:ascii="Times New Roman" w:hAnsi="Times New Roman" w:cs="Times New Roman"/>
          <w:noProof/>
          <w:sz w:val="24"/>
          <w:szCs w:val="24"/>
          <w:lang w:eastAsia="en-GB"/>
        </w:rPr>
        <w:drawing>
          <wp:inline distT="0" distB="0" distL="0" distR="0" wp14:anchorId="609827AC" wp14:editId="4836DCB5">
            <wp:extent cx="4781550" cy="2573020"/>
            <wp:effectExtent l="0" t="0" r="0" b="17780"/>
            <wp:docPr id="36" name="Picture 8" descr="C:\Users\Hp\Desktop\X-LANE\Final_Plots_Corrected\COSMIC-R_vs_ECMWF_Sca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8" descr="C:\Users\Hp\Desktop\X-LANE\Final_Plots_Corrected\COSMIC-R_vs_ECMWF_Scatter.png"/>
                    <pic:cNvPicPr>
                      <a:picLocks noChangeAspect="1" noChangeArrowheads="1"/>
                    </pic:cNvPicPr>
                  </pic:nvPicPr>
                  <pic:blipFill>
                    <a:blip r:embed="rId158" cstate="print"/>
                    <a:srcRect t="5618" r="1732" b="-506"/>
                    <a:stretch>
                      <a:fillRect/>
                    </a:stretch>
                  </pic:blipFill>
                  <pic:spPr>
                    <a:xfrm>
                      <a:off x="0" y="0"/>
                      <a:ext cx="4781550" cy="2573020"/>
                    </a:xfrm>
                    <a:prstGeom prst="rect">
                      <a:avLst/>
                    </a:prstGeom>
                    <a:noFill/>
                    <a:ln w="9525">
                      <a:noFill/>
                      <a:miter lim="800000"/>
                      <a:headEnd/>
                      <a:tailEnd/>
                    </a:ln>
                  </pic:spPr>
                </pic:pic>
              </a:graphicData>
            </a:graphic>
          </wp:inline>
        </w:drawing>
      </w:r>
      <w:r w:rsidRPr="00BE4AF3">
        <w:rPr>
          <w:rFonts w:ascii="Times New Roman" w:hAnsi="Times New Roman" w:cs="Times New Roman"/>
          <w:sz w:val="24"/>
          <w:szCs w:val="24"/>
        </w:rPr>
        <w:br/>
      </w:r>
      <w:r w:rsidRPr="00152DDF">
        <w:rPr>
          <w:rFonts w:ascii="Times New Roman" w:hAnsi="Times New Roman" w:cs="Times New Roman"/>
          <w:color w:val="auto"/>
          <w:sz w:val="24"/>
          <w:szCs w:val="24"/>
        </w:rPr>
        <w:t>Figure 3.4</w:t>
      </w:r>
      <w:r w:rsidR="00152DDF">
        <w:rPr>
          <w:rFonts w:ascii="Times New Roman" w:hAnsi="Times New Roman" w:cs="Times New Roman"/>
          <w:color w:val="auto"/>
          <w:sz w:val="24"/>
          <w:szCs w:val="24"/>
        </w:rPr>
        <w:t>:</w:t>
      </w:r>
      <w:r w:rsidRPr="00152DDF">
        <w:rPr>
          <w:rFonts w:ascii="Times New Roman" w:hAnsi="Times New Roman" w:cs="Times New Roman"/>
          <w:b w:val="0"/>
          <w:bCs w:val="0"/>
          <w:color w:val="auto"/>
          <w:sz w:val="24"/>
          <w:szCs w:val="24"/>
        </w:rPr>
        <w:t xml:space="preserve"> Scatter plot for IWV comparison between GPS RO (COSMIC 2</w:t>
      </w:r>
      <w:r w:rsidR="00152DDF" w:rsidRPr="00152DDF">
        <w:rPr>
          <w:rFonts w:ascii="Times New Roman" w:hAnsi="Times New Roman" w:cs="Times New Roman"/>
          <w:b w:val="0"/>
          <w:bCs w:val="0"/>
          <w:color w:val="auto"/>
          <w:sz w:val="24"/>
          <w:szCs w:val="24"/>
        </w:rPr>
        <w:t>) R</w:t>
      </w:r>
      <w:r w:rsidRPr="00152DDF">
        <w:rPr>
          <w:rFonts w:ascii="Times New Roman" w:hAnsi="Times New Roman" w:cs="Times New Roman"/>
          <w:b w:val="0"/>
          <w:bCs w:val="0"/>
          <w:color w:val="auto"/>
          <w:sz w:val="24"/>
          <w:szCs w:val="24"/>
        </w:rPr>
        <w:t xml:space="preserve"> sensor and ECMWF NWP model derived IWV</w:t>
      </w:r>
    </w:p>
    <w:p w14:paraId="5129FD8A" w14:textId="79032F17" w:rsidR="00A63CD3" w:rsidRPr="00152DDF" w:rsidRDefault="00A63CD3" w:rsidP="00A63CD3">
      <w:pPr>
        <w:pStyle w:val="Heading2"/>
        <w:jc w:val="both"/>
        <w:rPr>
          <w:rFonts w:ascii="Times New Roman" w:hAnsi="Times New Roman" w:cs="Times New Roman"/>
          <w:b w:val="0"/>
          <w:bCs w:val="0"/>
          <w:color w:val="auto"/>
          <w:sz w:val="24"/>
          <w:szCs w:val="24"/>
        </w:rPr>
      </w:pPr>
      <w:r w:rsidRPr="00152DDF">
        <w:rPr>
          <w:rFonts w:ascii="Times New Roman" w:hAnsi="Times New Roman" w:cs="Times New Roman"/>
          <w:b w:val="0"/>
          <w:bCs w:val="0"/>
          <w:color w:val="auto"/>
          <w:sz w:val="24"/>
          <w:szCs w:val="24"/>
        </w:rPr>
        <w:t>In order to validate and assess the estimated IWV, the IWV from ECMWF NWP model data was generated and compared to the IWV estimated from GPS RO data. The estimated GPS-based IWV were compared with the IWV obtained from the ECMWF NWP model and the RMS was computed. The scatter-plots in Figure (3.3 – 3.4)  shows the linear fit between the mean daily GPS RO-based IWV derived  and those from the ECMWF NWP model for the period of 365 days in 2022 over Nigeria.</w:t>
      </w:r>
    </w:p>
    <w:p w14:paraId="52F0777D" w14:textId="77777777" w:rsidR="00A63CD3" w:rsidRPr="00BE4AF3" w:rsidRDefault="00A63CD3" w:rsidP="00A63CD3">
      <w:pPr>
        <w:pStyle w:val="NormalWeb"/>
        <w:spacing w:beforeAutospacing="0" w:afterAutospacing="0"/>
        <w:jc w:val="both"/>
      </w:pPr>
    </w:p>
    <w:p w14:paraId="18BA11DE" w14:textId="29B35036" w:rsidR="00A63CD3" w:rsidRPr="00152DDF" w:rsidRDefault="00A63CD3" w:rsidP="00152DDF">
      <w:pPr>
        <w:spacing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bias statistics of the estimated GPS RO IWV and ECMWF NWP model IWV measurement is summarized in table 3.0 below </w:t>
      </w:r>
    </w:p>
    <w:p w14:paraId="354C3A1B" w14:textId="77777777" w:rsidR="00A63CD3" w:rsidRPr="00BE4AF3" w:rsidRDefault="00A63CD3" w:rsidP="00A63CD3">
      <w:pPr>
        <w:pStyle w:val="NormalWeb"/>
        <w:spacing w:beforeAutospacing="0" w:afterAutospacing="0"/>
        <w:jc w:val="both"/>
      </w:pPr>
      <w:r w:rsidRPr="00BE4AF3">
        <w:t>Table 3.0 The IWV Bias Statistics</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7"/>
        <w:gridCol w:w="1217"/>
        <w:gridCol w:w="1217"/>
        <w:gridCol w:w="1217"/>
        <w:gridCol w:w="1217"/>
        <w:gridCol w:w="1217"/>
        <w:gridCol w:w="1217"/>
      </w:tblGrid>
      <w:tr w:rsidR="00A63CD3" w:rsidRPr="00152DDF" w14:paraId="1FFC74F2" w14:textId="77777777" w:rsidTr="00152DDF">
        <w:trPr>
          <w:jc w:val="center"/>
        </w:trPr>
        <w:tc>
          <w:tcPr>
            <w:tcW w:w="1217" w:type="dxa"/>
            <w:tcBorders>
              <w:top w:val="single" w:sz="4" w:space="0" w:color="auto"/>
              <w:bottom w:val="single" w:sz="4" w:space="0" w:color="auto"/>
            </w:tcBorders>
          </w:tcPr>
          <w:p w14:paraId="485DEA16" w14:textId="77777777" w:rsidR="00A63CD3" w:rsidRPr="00152DDF" w:rsidRDefault="00A63CD3" w:rsidP="0000060D">
            <w:pPr>
              <w:pStyle w:val="NormalWeb"/>
              <w:spacing w:beforeAutospacing="0" w:afterAutospacing="0"/>
              <w:rPr>
                <w:sz w:val="20"/>
                <w:szCs w:val="20"/>
              </w:rPr>
            </w:pPr>
          </w:p>
        </w:tc>
        <w:tc>
          <w:tcPr>
            <w:tcW w:w="1217" w:type="dxa"/>
            <w:tcBorders>
              <w:top w:val="single" w:sz="4" w:space="0" w:color="auto"/>
              <w:bottom w:val="single" w:sz="4" w:space="0" w:color="auto"/>
            </w:tcBorders>
          </w:tcPr>
          <w:p w14:paraId="55EA2462" w14:textId="77777777" w:rsidR="00A63CD3" w:rsidRPr="00152DDF" w:rsidRDefault="00A63CD3" w:rsidP="0000060D">
            <w:pPr>
              <w:pStyle w:val="NormalWeb"/>
              <w:spacing w:beforeAutospacing="0" w:afterAutospacing="0"/>
              <w:rPr>
                <w:sz w:val="20"/>
                <w:szCs w:val="20"/>
              </w:rPr>
            </w:pPr>
            <w:r w:rsidRPr="00152DDF">
              <w:rPr>
                <w:sz w:val="20"/>
                <w:szCs w:val="20"/>
              </w:rPr>
              <w:t>MAX KG/M</w:t>
            </w:r>
            <w:r w:rsidRPr="00152DDF">
              <w:rPr>
                <w:sz w:val="20"/>
                <w:szCs w:val="20"/>
                <w:vertAlign w:val="superscript"/>
              </w:rPr>
              <w:t>2</w:t>
            </w:r>
          </w:p>
        </w:tc>
        <w:tc>
          <w:tcPr>
            <w:tcW w:w="1217" w:type="dxa"/>
            <w:tcBorders>
              <w:top w:val="single" w:sz="4" w:space="0" w:color="auto"/>
              <w:bottom w:val="single" w:sz="4" w:space="0" w:color="auto"/>
            </w:tcBorders>
          </w:tcPr>
          <w:p w14:paraId="1282AE01" w14:textId="77777777" w:rsidR="00A63CD3" w:rsidRPr="00152DDF" w:rsidRDefault="00A63CD3" w:rsidP="0000060D">
            <w:pPr>
              <w:pStyle w:val="NormalWeb"/>
              <w:spacing w:beforeAutospacing="0" w:afterAutospacing="0"/>
              <w:rPr>
                <w:sz w:val="20"/>
                <w:szCs w:val="20"/>
              </w:rPr>
            </w:pPr>
            <w:r w:rsidRPr="00152DDF">
              <w:rPr>
                <w:sz w:val="20"/>
                <w:szCs w:val="20"/>
              </w:rPr>
              <w:t>MIN KG/M</w:t>
            </w:r>
            <w:r w:rsidRPr="00152DDF">
              <w:rPr>
                <w:sz w:val="20"/>
                <w:szCs w:val="20"/>
                <w:vertAlign w:val="superscript"/>
              </w:rPr>
              <w:t>2</w:t>
            </w:r>
          </w:p>
        </w:tc>
        <w:tc>
          <w:tcPr>
            <w:tcW w:w="1217" w:type="dxa"/>
            <w:tcBorders>
              <w:top w:val="single" w:sz="4" w:space="0" w:color="auto"/>
              <w:bottom w:val="single" w:sz="4" w:space="0" w:color="auto"/>
            </w:tcBorders>
          </w:tcPr>
          <w:p w14:paraId="3A5A0D24" w14:textId="77777777" w:rsidR="00A63CD3" w:rsidRPr="00152DDF" w:rsidRDefault="00A63CD3" w:rsidP="0000060D">
            <w:pPr>
              <w:pStyle w:val="NormalWeb"/>
              <w:spacing w:beforeAutospacing="0" w:afterAutospacing="0"/>
              <w:rPr>
                <w:sz w:val="20"/>
                <w:szCs w:val="20"/>
              </w:rPr>
            </w:pPr>
            <w:r w:rsidRPr="00152DDF">
              <w:rPr>
                <w:sz w:val="20"/>
                <w:szCs w:val="20"/>
              </w:rPr>
              <w:t>MEAN KG/M</w:t>
            </w:r>
            <w:r w:rsidRPr="00152DDF">
              <w:rPr>
                <w:sz w:val="20"/>
                <w:szCs w:val="20"/>
                <w:vertAlign w:val="superscript"/>
              </w:rPr>
              <w:t>2</w:t>
            </w:r>
          </w:p>
        </w:tc>
        <w:tc>
          <w:tcPr>
            <w:tcW w:w="1217" w:type="dxa"/>
            <w:tcBorders>
              <w:top w:val="single" w:sz="4" w:space="0" w:color="auto"/>
              <w:bottom w:val="single" w:sz="4" w:space="0" w:color="auto"/>
            </w:tcBorders>
          </w:tcPr>
          <w:p w14:paraId="2BB7016F" w14:textId="77777777" w:rsidR="00A63CD3" w:rsidRPr="00152DDF" w:rsidRDefault="00A63CD3" w:rsidP="0000060D">
            <w:pPr>
              <w:pStyle w:val="NormalWeb"/>
              <w:spacing w:beforeAutospacing="0" w:afterAutospacing="0"/>
              <w:rPr>
                <w:sz w:val="20"/>
                <w:szCs w:val="20"/>
              </w:rPr>
            </w:pPr>
            <w:r w:rsidRPr="00152DDF">
              <w:rPr>
                <w:sz w:val="20"/>
                <w:szCs w:val="20"/>
              </w:rPr>
              <w:t>STD DEV KG/M</w:t>
            </w:r>
            <w:r w:rsidRPr="00152DDF">
              <w:rPr>
                <w:sz w:val="20"/>
                <w:szCs w:val="20"/>
                <w:vertAlign w:val="superscript"/>
              </w:rPr>
              <w:t>2</w:t>
            </w:r>
          </w:p>
        </w:tc>
        <w:tc>
          <w:tcPr>
            <w:tcW w:w="1217" w:type="dxa"/>
            <w:tcBorders>
              <w:top w:val="single" w:sz="4" w:space="0" w:color="auto"/>
              <w:bottom w:val="single" w:sz="4" w:space="0" w:color="auto"/>
            </w:tcBorders>
          </w:tcPr>
          <w:p w14:paraId="26BED39F" w14:textId="77777777" w:rsidR="00A63CD3" w:rsidRPr="00152DDF" w:rsidRDefault="00A63CD3" w:rsidP="0000060D">
            <w:pPr>
              <w:pStyle w:val="NormalWeb"/>
              <w:spacing w:beforeAutospacing="0" w:afterAutospacing="0"/>
              <w:rPr>
                <w:sz w:val="20"/>
                <w:szCs w:val="20"/>
              </w:rPr>
            </w:pPr>
            <w:r w:rsidRPr="00152DDF">
              <w:rPr>
                <w:sz w:val="20"/>
                <w:szCs w:val="20"/>
              </w:rPr>
              <w:t>RMSE KG/M</w:t>
            </w:r>
            <w:r w:rsidRPr="00152DDF">
              <w:rPr>
                <w:sz w:val="20"/>
                <w:szCs w:val="20"/>
                <w:vertAlign w:val="superscript"/>
              </w:rPr>
              <w:t>2</w:t>
            </w:r>
          </w:p>
        </w:tc>
        <w:tc>
          <w:tcPr>
            <w:tcW w:w="1217" w:type="dxa"/>
            <w:tcBorders>
              <w:top w:val="single" w:sz="4" w:space="0" w:color="auto"/>
              <w:bottom w:val="single" w:sz="4" w:space="0" w:color="auto"/>
            </w:tcBorders>
          </w:tcPr>
          <w:p w14:paraId="01C93B81" w14:textId="77777777" w:rsidR="00A63CD3" w:rsidRPr="00152DDF" w:rsidRDefault="00A63CD3" w:rsidP="0000060D">
            <w:pPr>
              <w:pStyle w:val="NormalWeb"/>
              <w:spacing w:beforeAutospacing="0" w:afterAutospacing="0"/>
              <w:rPr>
                <w:sz w:val="20"/>
                <w:szCs w:val="20"/>
              </w:rPr>
            </w:pPr>
            <w:r w:rsidRPr="00152DDF">
              <w:rPr>
                <w:sz w:val="20"/>
                <w:szCs w:val="20"/>
              </w:rPr>
              <w:t>CORR COEFF</w:t>
            </w:r>
            <w:r w:rsidRPr="00152DDF">
              <w:rPr>
                <w:sz w:val="20"/>
                <w:szCs w:val="20"/>
              </w:rPr>
              <w:br/>
              <w:t>KG/M</w:t>
            </w:r>
            <w:r w:rsidRPr="00152DDF">
              <w:rPr>
                <w:sz w:val="20"/>
                <w:szCs w:val="20"/>
                <w:vertAlign w:val="superscript"/>
              </w:rPr>
              <w:t>2</w:t>
            </w:r>
          </w:p>
        </w:tc>
      </w:tr>
      <w:tr w:rsidR="00A63CD3" w:rsidRPr="00152DDF" w14:paraId="135139CB" w14:textId="77777777" w:rsidTr="00152DDF">
        <w:trPr>
          <w:jc w:val="center"/>
        </w:trPr>
        <w:tc>
          <w:tcPr>
            <w:tcW w:w="1217" w:type="dxa"/>
            <w:tcBorders>
              <w:top w:val="single" w:sz="4" w:space="0" w:color="auto"/>
            </w:tcBorders>
            <w:shd w:val="clear" w:color="auto" w:fill="C0C0C0" w:themeFill="text1" w:themeFillTint="3F"/>
          </w:tcPr>
          <w:p w14:paraId="331F1A6B" w14:textId="77777777" w:rsidR="00A63CD3" w:rsidRPr="00152DDF" w:rsidRDefault="00A63CD3" w:rsidP="0000060D">
            <w:pPr>
              <w:spacing w:after="0" w:line="240" w:lineRule="auto"/>
              <w:rPr>
                <w:rFonts w:ascii="Times New Roman" w:eastAsia="Times New Roman" w:hAnsi="Times New Roman" w:cs="Times New Roman"/>
                <w:color w:val="000000"/>
                <w:sz w:val="20"/>
                <w:szCs w:val="20"/>
              </w:rPr>
            </w:pPr>
            <w:r w:rsidRPr="00152DDF">
              <w:rPr>
                <w:rFonts w:ascii="Times New Roman" w:eastAsia="Times New Roman" w:hAnsi="Times New Roman" w:cs="Times New Roman"/>
                <w:color w:val="000000"/>
                <w:sz w:val="20"/>
                <w:szCs w:val="20"/>
              </w:rPr>
              <w:t xml:space="preserve">COSMIC 2 G SENSOR </w:t>
            </w:r>
          </w:p>
        </w:tc>
        <w:tc>
          <w:tcPr>
            <w:tcW w:w="1217" w:type="dxa"/>
            <w:tcBorders>
              <w:top w:val="single" w:sz="4" w:space="0" w:color="auto"/>
            </w:tcBorders>
            <w:shd w:val="clear" w:color="auto" w:fill="C0C0C0" w:themeFill="text1" w:themeFillTint="3F"/>
          </w:tcPr>
          <w:p w14:paraId="4B4555AF" w14:textId="77777777" w:rsidR="00A63CD3" w:rsidRPr="00152DDF" w:rsidRDefault="00A63CD3" w:rsidP="0000060D">
            <w:pPr>
              <w:spacing w:after="0" w:line="240" w:lineRule="auto"/>
              <w:rPr>
                <w:rFonts w:ascii="Times New Roman" w:eastAsia="Times New Roman" w:hAnsi="Times New Roman" w:cs="Times New Roman"/>
                <w:color w:val="000000"/>
                <w:sz w:val="20"/>
                <w:szCs w:val="20"/>
              </w:rPr>
            </w:pPr>
            <w:r w:rsidRPr="00152DDF">
              <w:rPr>
                <w:rFonts w:ascii="Times New Roman" w:eastAsia="Times New Roman" w:hAnsi="Times New Roman" w:cs="Times New Roman"/>
                <w:color w:val="000000"/>
                <w:sz w:val="20"/>
                <w:szCs w:val="20"/>
              </w:rPr>
              <w:t>0.0098</w:t>
            </w:r>
          </w:p>
        </w:tc>
        <w:tc>
          <w:tcPr>
            <w:tcW w:w="1217" w:type="dxa"/>
            <w:tcBorders>
              <w:top w:val="single" w:sz="4" w:space="0" w:color="auto"/>
            </w:tcBorders>
            <w:shd w:val="clear" w:color="auto" w:fill="C0C0C0" w:themeFill="text1" w:themeFillTint="3F"/>
          </w:tcPr>
          <w:p w14:paraId="3DF4FA1C" w14:textId="77777777" w:rsidR="00A63CD3" w:rsidRPr="00152DDF" w:rsidRDefault="00A63CD3" w:rsidP="0000060D">
            <w:pPr>
              <w:spacing w:after="0" w:line="240" w:lineRule="auto"/>
              <w:rPr>
                <w:rFonts w:ascii="Times New Roman" w:eastAsia="Times New Roman" w:hAnsi="Times New Roman" w:cs="Times New Roman"/>
                <w:color w:val="000000"/>
                <w:sz w:val="20"/>
                <w:szCs w:val="20"/>
              </w:rPr>
            </w:pPr>
            <w:r w:rsidRPr="00152DDF">
              <w:rPr>
                <w:rFonts w:ascii="Times New Roman" w:eastAsia="Times New Roman" w:hAnsi="Times New Roman" w:cs="Times New Roman"/>
                <w:color w:val="000000"/>
                <w:sz w:val="20"/>
                <w:szCs w:val="20"/>
              </w:rPr>
              <w:t>-0.0028</w:t>
            </w:r>
          </w:p>
        </w:tc>
        <w:tc>
          <w:tcPr>
            <w:tcW w:w="1217" w:type="dxa"/>
            <w:tcBorders>
              <w:top w:val="single" w:sz="4" w:space="0" w:color="auto"/>
            </w:tcBorders>
            <w:shd w:val="clear" w:color="auto" w:fill="C0C0C0" w:themeFill="text1" w:themeFillTint="3F"/>
          </w:tcPr>
          <w:p w14:paraId="7A2BCE59" w14:textId="77777777" w:rsidR="00A63CD3" w:rsidRPr="00152DDF" w:rsidRDefault="00A63CD3" w:rsidP="0000060D">
            <w:pPr>
              <w:spacing w:after="0" w:line="240" w:lineRule="auto"/>
              <w:rPr>
                <w:rFonts w:ascii="Times New Roman" w:eastAsia="Times New Roman" w:hAnsi="Times New Roman" w:cs="Times New Roman"/>
                <w:color w:val="000000"/>
                <w:sz w:val="20"/>
                <w:szCs w:val="20"/>
              </w:rPr>
            </w:pPr>
            <w:r w:rsidRPr="00152DDF">
              <w:rPr>
                <w:rFonts w:ascii="Times New Roman" w:eastAsia="Times New Roman" w:hAnsi="Times New Roman" w:cs="Times New Roman"/>
                <w:color w:val="000000"/>
                <w:sz w:val="20"/>
                <w:szCs w:val="20"/>
              </w:rPr>
              <w:t>-0.0012</w:t>
            </w:r>
          </w:p>
        </w:tc>
        <w:tc>
          <w:tcPr>
            <w:tcW w:w="1217" w:type="dxa"/>
            <w:tcBorders>
              <w:top w:val="single" w:sz="4" w:space="0" w:color="auto"/>
            </w:tcBorders>
            <w:shd w:val="clear" w:color="auto" w:fill="C0C0C0" w:themeFill="text1" w:themeFillTint="3F"/>
          </w:tcPr>
          <w:p w14:paraId="7D9825CA" w14:textId="77777777" w:rsidR="00A63CD3" w:rsidRPr="00152DDF" w:rsidRDefault="00A63CD3" w:rsidP="0000060D">
            <w:pPr>
              <w:spacing w:after="0" w:line="240" w:lineRule="auto"/>
              <w:rPr>
                <w:rFonts w:ascii="Times New Roman" w:eastAsia="Times New Roman" w:hAnsi="Times New Roman" w:cs="Times New Roman"/>
                <w:color w:val="000000"/>
                <w:sz w:val="20"/>
                <w:szCs w:val="20"/>
              </w:rPr>
            </w:pPr>
            <w:r w:rsidRPr="00152DDF">
              <w:rPr>
                <w:rFonts w:ascii="Times New Roman" w:eastAsia="Times New Roman" w:hAnsi="Times New Roman" w:cs="Times New Roman"/>
                <w:color w:val="000000"/>
                <w:sz w:val="20"/>
                <w:szCs w:val="20"/>
              </w:rPr>
              <w:t>0.0014</w:t>
            </w:r>
          </w:p>
        </w:tc>
        <w:tc>
          <w:tcPr>
            <w:tcW w:w="1217" w:type="dxa"/>
            <w:tcBorders>
              <w:top w:val="single" w:sz="4" w:space="0" w:color="auto"/>
            </w:tcBorders>
            <w:shd w:val="clear" w:color="auto" w:fill="C0C0C0" w:themeFill="text1" w:themeFillTint="3F"/>
          </w:tcPr>
          <w:p w14:paraId="50EEA128" w14:textId="77777777" w:rsidR="00A63CD3" w:rsidRPr="00152DDF" w:rsidRDefault="00A63CD3" w:rsidP="0000060D">
            <w:pPr>
              <w:spacing w:after="0" w:line="240" w:lineRule="auto"/>
              <w:rPr>
                <w:rFonts w:ascii="Times New Roman" w:eastAsia="Times New Roman" w:hAnsi="Times New Roman" w:cs="Times New Roman"/>
                <w:color w:val="000000"/>
                <w:sz w:val="20"/>
                <w:szCs w:val="20"/>
              </w:rPr>
            </w:pPr>
            <w:r w:rsidRPr="00152DDF">
              <w:rPr>
                <w:rFonts w:ascii="Times New Roman" w:eastAsia="Times New Roman" w:hAnsi="Times New Roman" w:cs="Times New Roman"/>
                <w:color w:val="000000"/>
                <w:sz w:val="20"/>
                <w:szCs w:val="20"/>
              </w:rPr>
              <w:t>0.0019</w:t>
            </w:r>
          </w:p>
        </w:tc>
        <w:tc>
          <w:tcPr>
            <w:tcW w:w="1217" w:type="dxa"/>
            <w:tcBorders>
              <w:top w:val="single" w:sz="4" w:space="0" w:color="auto"/>
            </w:tcBorders>
          </w:tcPr>
          <w:p w14:paraId="6DA94F39" w14:textId="77777777" w:rsidR="00A63CD3" w:rsidRPr="00152DDF" w:rsidRDefault="00A63CD3" w:rsidP="0000060D">
            <w:pPr>
              <w:pStyle w:val="NormalWeb"/>
              <w:spacing w:beforeAutospacing="0" w:afterAutospacing="0"/>
              <w:rPr>
                <w:sz w:val="20"/>
                <w:szCs w:val="20"/>
              </w:rPr>
            </w:pPr>
            <w:r w:rsidRPr="00152DDF">
              <w:rPr>
                <w:color w:val="000000"/>
                <w:sz w:val="20"/>
                <w:szCs w:val="20"/>
              </w:rPr>
              <w:t>0.9119</w:t>
            </w:r>
          </w:p>
        </w:tc>
      </w:tr>
      <w:tr w:rsidR="00A63CD3" w:rsidRPr="00152DDF" w14:paraId="216AED28" w14:textId="77777777" w:rsidTr="00152DDF">
        <w:trPr>
          <w:jc w:val="center"/>
        </w:trPr>
        <w:tc>
          <w:tcPr>
            <w:tcW w:w="1217" w:type="dxa"/>
            <w:shd w:val="clear" w:color="auto" w:fill="auto"/>
          </w:tcPr>
          <w:p w14:paraId="2E22CC6E" w14:textId="77777777" w:rsidR="00A63CD3" w:rsidRPr="00152DDF" w:rsidRDefault="00A63CD3" w:rsidP="0000060D">
            <w:pPr>
              <w:spacing w:after="0" w:line="240" w:lineRule="auto"/>
              <w:rPr>
                <w:rFonts w:ascii="Times New Roman" w:eastAsia="Times New Roman" w:hAnsi="Times New Roman" w:cs="Times New Roman"/>
                <w:color w:val="000000"/>
                <w:sz w:val="20"/>
                <w:szCs w:val="20"/>
              </w:rPr>
            </w:pPr>
            <w:r w:rsidRPr="00152DDF">
              <w:rPr>
                <w:rFonts w:ascii="Times New Roman" w:eastAsia="Times New Roman" w:hAnsi="Times New Roman" w:cs="Times New Roman"/>
                <w:color w:val="000000"/>
                <w:sz w:val="20"/>
                <w:szCs w:val="20"/>
              </w:rPr>
              <w:t>COSMIC 2 R SENSOR</w:t>
            </w:r>
          </w:p>
        </w:tc>
        <w:tc>
          <w:tcPr>
            <w:tcW w:w="1217" w:type="dxa"/>
            <w:shd w:val="clear" w:color="auto" w:fill="auto"/>
          </w:tcPr>
          <w:p w14:paraId="08096DD5" w14:textId="77777777" w:rsidR="00A63CD3" w:rsidRPr="00152DDF" w:rsidRDefault="00A63CD3" w:rsidP="0000060D">
            <w:pPr>
              <w:spacing w:after="0" w:line="240" w:lineRule="auto"/>
              <w:rPr>
                <w:rFonts w:ascii="Times New Roman" w:eastAsia="Times New Roman" w:hAnsi="Times New Roman" w:cs="Times New Roman"/>
                <w:color w:val="000000"/>
                <w:sz w:val="20"/>
                <w:szCs w:val="20"/>
              </w:rPr>
            </w:pPr>
            <w:r w:rsidRPr="00152DDF">
              <w:rPr>
                <w:rFonts w:ascii="Times New Roman" w:eastAsia="Times New Roman" w:hAnsi="Times New Roman" w:cs="Times New Roman"/>
                <w:color w:val="000000"/>
                <w:sz w:val="20"/>
                <w:szCs w:val="20"/>
              </w:rPr>
              <w:t>0.0135</w:t>
            </w:r>
          </w:p>
        </w:tc>
        <w:tc>
          <w:tcPr>
            <w:tcW w:w="1217" w:type="dxa"/>
            <w:shd w:val="clear" w:color="auto" w:fill="auto"/>
          </w:tcPr>
          <w:p w14:paraId="6CC73DFF" w14:textId="77777777" w:rsidR="00A63CD3" w:rsidRPr="00152DDF" w:rsidRDefault="00A63CD3" w:rsidP="0000060D">
            <w:pPr>
              <w:spacing w:after="0" w:line="240" w:lineRule="auto"/>
              <w:rPr>
                <w:rFonts w:ascii="Times New Roman" w:eastAsia="Times New Roman" w:hAnsi="Times New Roman" w:cs="Times New Roman"/>
                <w:color w:val="000000"/>
                <w:sz w:val="20"/>
                <w:szCs w:val="20"/>
              </w:rPr>
            </w:pPr>
            <w:r w:rsidRPr="00152DDF">
              <w:rPr>
                <w:rFonts w:ascii="Times New Roman" w:eastAsia="Times New Roman" w:hAnsi="Times New Roman" w:cs="Times New Roman"/>
                <w:color w:val="000000"/>
                <w:sz w:val="20"/>
                <w:szCs w:val="20"/>
              </w:rPr>
              <w:t>-0.0027</w:t>
            </w:r>
          </w:p>
        </w:tc>
        <w:tc>
          <w:tcPr>
            <w:tcW w:w="1217" w:type="dxa"/>
            <w:shd w:val="clear" w:color="auto" w:fill="auto"/>
          </w:tcPr>
          <w:p w14:paraId="32A253A0" w14:textId="77777777" w:rsidR="00A63CD3" w:rsidRPr="00152DDF" w:rsidRDefault="00A63CD3" w:rsidP="0000060D">
            <w:pPr>
              <w:spacing w:after="0" w:line="240" w:lineRule="auto"/>
              <w:rPr>
                <w:rFonts w:ascii="Times New Roman" w:eastAsia="Times New Roman" w:hAnsi="Times New Roman" w:cs="Times New Roman"/>
                <w:color w:val="000000"/>
                <w:sz w:val="20"/>
                <w:szCs w:val="20"/>
              </w:rPr>
            </w:pPr>
            <w:r w:rsidRPr="00152DDF">
              <w:rPr>
                <w:rFonts w:ascii="Times New Roman" w:eastAsia="Times New Roman" w:hAnsi="Times New Roman" w:cs="Times New Roman"/>
                <w:color w:val="000000"/>
                <w:sz w:val="20"/>
                <w:szCs w:val="20"/>
              </w:rPr>
              <w:t>-0.0015</w:t>
            </w:r>
          </w:p>
        </w:tc>
        <w:tc>
          <w:tcPr>
            <w:tcW w:w="1217" w:type="dxa"/>
            <w:shd w:val="clear" w:color="auto" w:fill="auto"/>
          </w:tcPr>
          <w:p w14:paraId="186F01DC" w14:textId="77777777" w:rsidR="00A63CD3" w:rsidRPr="00152DDF" w:rsidRDefault="00A63CD3" w:rsidP="0000060D">
            <w:pPr>
              <w:spacing w:after="0" w:line="240" w:lineRule="auto"/>
              <w:rPr>
                <w:rFonts w:ascii="Times New Roman" w:eastAsia="Times New Roman" w:hAnsi="Times New Roman" w:cs="Times New Roman"/>
                <w:color w:val="000000"/>
                <w:sz w:val="20"/>
                <w:szCs w:val="20"/>
              </w:rPr>
            </w:pPr>
            <w:r w:rsidRPr="00152DDF">
              <w:rPr>
                <w:rFonts w:ascii="Times New Roman" w:eastAsia="Times New Roman" w:hAnsi="Times New Roman" w:cs="Times New Roman"/>
                <w:color w:val="000000"/>
                <w:sz w:val="20"/>
                <w:szCs w:val="20"/>
              </w:rPr>
              <w:t>0.0017</w:t>
            </w:r>
          </w:p>
        </w:tc>
        <w:tc>
          <w:tcPr>
            <w:tcW w:w="1217" w:type="dxa"/>
            <w:shd w:val="clear" w:color="auto" w:fill="auto"/>
          </w:tcPr>
          <w:p w14:paraId="75A71B80" w14:textId="77777777" w:rsidR="00A63CD3" w:rsidRPr="00152DDF" w:rsidRDefault="00A63CD3" w:rsidP="0000060D">
            <w:pPr>
              <w:spacing w:after="0" w:line="240" w:lineRule="auto"/>
              <w:rPr>
                <w:rFonts w:ascii="Times New Roman" w:eastAsia="Times New Roman" w:hAnsi="Times New Roman" w:cs="Times New Roman"/>
                <w:color w:val="000000"/>
                <w:sz w:val="20"/>
                <w:szCs w:val="20"/>
              </w:rPr>
            </w:pPr>
            <w:r w:rsidRPr="00152DDF">
              <w:rPr>
                <w:rFonts w:ascii="Times New Roman" w:eastAsia="Times New Roman" w:hAnsi="Times New Roman" w:cs="Times New Roman"/>
                <w:color w:val="000000"/>
                <w:sz w:val="20"/>
                <w:szCs w:val="20"/>
              </w:rPr>
              <w:t>0.0022</w:t>
            </w:r>
          </w:p>
        </w:tc>
        <w:tc>
          <w:tcPr>
            <w:tcW w:w="1217" w:type="dxa"/>
          </w:tcPr>
          <w:p w14:paraId="26D701C0" w14:textId="77777777" w:rsidR="00A63CD3" w:rsidRPr="00152DDF" w:rsidRDefault="00A63CD3" w:rsidP="0000060D">
            <w:pPr>
              <w:pStyle w:val="NormalWeb"/>
              <w:spacing w:beforeAutospacing="0" w:afterAutospacing="0"/>
              <w:rPr>
                <w:sz w:val="20"/>
                <w:szCs w:val="20"/>
              </w:rPr>
            </w:pPr>
            <w:r w:rsidRPr="00152DDF">
              <w:rPr>
                <w:color w:val="000000"/>
                <w:sz w:val="20"/>
                <w:szCs w:val="20"/>
              </w:rPr>
              <w:t>0.8761</w:t>
            </w:r>
          </w:p>
        </w:tc>
      </w:tr>
    </w:tbl>
    <w:p w14:paraId="12AED58D" w14:textId="77777777" w:rsidR="00152DDF" w:rsidRPr="00152DDF" w:rsidRDefault="00A63CD3" w:rsidP="00152DDF">
      <w:pPr>
        <w:pStyle w:val="NormalWeb"/>
        <w:spacing w:before="0" w:beforeAutospacing="0" w:after="0" w:afterAutospacing="0"/>
        <w:jc w:val="both"/>
      </w:pPr>
      <w:r w:rsidRPr="00BE4AF3">
        <w:t>From table 3.0, the COSMIC-2 occultation data exhibit very high agreement with the ECMWF model in the Nigerian region. The G-sensor (COSMIC</w:t>
      </w:r>
      <w:r w:rsidRPr="00BE4AF3">
        <w:noBreakHyphen/>
        <w:t>2) values correlate strongly with ECMWF IWV (r ≈ 0.912) and shows an essentially negligible mean bias (≈ –0.0012 kg/m²) and very low scatter (RMSE ≈ 0.0019 kg/m²; STD ≈ 0.0014 kg/m²). The R</w:t>
      </w:r>
      <w:r w:rsidRPr="00BE4AF3">
        <w:noBreakHyphen/>
        <w:t>sensor (COSMIC</w:t>
      </w:r>
      <w:r w:rsidRPr="00BE4AF3">
        <w:noBreakHyphen/>
        <w:t>2) is only slightly low (r ≈ 0.876, mean bias ≈ –0.0015 kg/m², RMSE ≈ 0.0022 kg/m², STD ≈ 0.0017 kg/m²). Such statistics indicate that COSMIC</w:t>
      </w:r>
      <w:r w:rsidRPr="00BE4AF3">
        <w:noBreakHyphen/>
        <w:t>2 IWV matches the model almost perfectly. These findings are consistent with previous validations: for example, global analyses have found COSMIC water</w:t>
      </w:r>
      <w:r w:rsidRPr="00BE4AF3">
        <w:noBreakHyphen/>
        <w:t>vapor profiles to agree closely with ECMWF, with near-zero mean bias and small standard deviation (Zhou, 2010). In this study the small negative bias (on the order of 10</w:t>
      </w:r>
      <w:r w:rsidRPr="00BE4AF3">
        <w:rPr>
          <w:vertAlign w:val="superscript"/>
        </w:rPr>
        <w:t>–3</w:t>
      </w:r>
      <w:r w:rsidRPr="00BE4AF3">
        <w:t xml:space="preserve"> kg/m²) is negligible relative to typical tropical IWV (tens of kg/m²) and may </w:t>
      </w:r>
      <w:r w:rsidRPr="00BE4AF3">
        <w:lastRenderedPageBreak/>
        <w:t xml:space="preserve">reflect slight retrieval or collocation offsets. The scatter plots (Figures 3.3 – 3.4) show that </w:t>
      </w:r>
      <w:r w:rsidRPr="00152DDF">
        <w:t>COSMIC</w:t>
      </w:r>
      <w:r w:rsidRPr="00152DDF">
        <w:noBreakHyphen/>
        <w:t>2 points lie very close to the 1:1 line, confirming the tight correlation with ECMWF.</w:t>
      </w:r>
    </w:p>
    <w:p w14:paraId="253FF8F7" w14:textId="04B79A80" w:rsidR="00A63CD3" w:rsidRPr="00152DDF" w:rsidRDefault="00A63CD3" w:rsidP="00152DDF">
      <w:pPr>
        <w:pStyle w:val="NormalWeb"/>
        <w:spacing w:before="0" w:beforeAutospacing="0" w:after="0" w:afterAutospacing="0"/>
        <w:jc w:val="both"/>
      </w:pPr>
      <w:r w:rsidRPr="00152DDF">
        <w:t>In summary, COSMIC</w:t>
      </w:r>
      <w:r w:rsidRPr="00152DDF">
        <w:noBreakHyphen/>
        <w:t>2 data agree almost ideally with ECMWF over Nigeria. The higher precision of COSMIC-2 is consistent with earlier findings that reported very close alignment with ECMWF (Xin, 2023)</w:t>
      </w:r>
    </w:p>
    <w:p w14:paraId="3284A80E" w14:textId="77777777" w:rsidR="00152DDF" w:rsidRDefault="00152DDF" w:rsidP="00152DDF">
      <w:pPr>
        <w:pStyle w:val="Heading2"/>
        <w:spacing w:before="0" w:line="240" w:lineRule="auto"/>
        <w:jc w:val="both"/>
        <w:rPr>
          <w:rFonts w:ascii="Times New Roman" w:hAnsi="Times New Roman" w:cs="Times New Roman"/>
          <w:color w:val="auto"/>
          <w:sz w:val="24"/>
          <w:szCs w:val="24"/>
        </w:rPr>
      </w:pPr>
    </w:p>
    <w:p w14:paraId="223EDA13" w14:textId="08474DE9" w:rsidR="00A63CD3" w:rsidRPr="00152DDF" w:rsidRDefault="00A63CD3" w:rsidP="00152DDF">
      <w:pPr>
        <w:pStyle w:val="Heading2"/>
        <w:spacing w:before="0" w:line="240" w:lineRule="auto"/>
        <w:jc w:val="both"/>
        <w:rPr>
          <w:rFonts w:ascii="Times New Roman" w:hAnsi="Times New Roman" w:cs="Times New Roman"/>
          <w:color w:val="auto"/>
          <w:sz w:val="24"/>
          <w:szCs w:val="24"/>
        </w:rPr>
      </w:pPr>
      <w:r w:rsidRPr="00152DDF">
        <w:rPr>
          <w:rFonts w:ascii="Times New Roman" w:hAnsi="Times New Roman" w:cs="Times New Roman"/>
          <w:color w:val="auto"/>
          <w:sz w:val="24"/>
          <w:szCs w:val="24"/>
        </w:rPr>
        <w:t>Implications for Meteorological Modeling in Nigeria</w:t>
      </w:r>
    </w:p>
    <w:p w14:paraId="6040C32C" w14:textId="29D3E3FB" w:rsidR="00A63CD3" w:rsidRPr="00152DDF" w:rsidRDefault="00A63CD3" w:rsidP="00152DDF">
      <w:pPr>
        <w:pStyle w:val="NormalWeb"/>
        <w:spacing w:before="0" w:beforeAutospacing="0" w:after="0" w:afterAutospacing="0"/>
        <w:jc w:val="both"/>
      </w:pPr>
      <w:r w:rsidRPr="00152DDF">
        <w:t>The high accuracy of COSMIC-2 IWV indicates that GNSS-RO data are highly valuable for advancing meteorological studies in Nigeria.. Accurate IWV from RO can supplement sparse in situ observations and enhance model initialization and validation. Previous work has shown that adding COSMIC</w:t>
      </w:r>
      <w:r w:rsidRPr="00152DDF">
        <w:noBreakHyphen/>
        <w:t>2 and Spire RO data to NWP systems improves forecast; our results indicate that COSMIC</w:t>
      </w:r>
      <w:r w:rsidRPr="00152DDF">
        <w:noBreakHyphen/>
        <w:t>2 will be especially reliable in the African tropics. Importantly, several studies have highlighted the role of GNSS</w:t>
      </w:r>
      <w:r w:rsidRPr="00152DDF">
        <w:noBreakHyphen/>
        <w:t>RO in filling the radiosonde gap over Africa. COSMIC</w:t>
      </w:r>
      <w:r w:rsidRPr="00152DDF">
        <w:noBreakHyphen/>
        <w:t>2 (and similar missions) show good agreement with radiosonde humidity, enabling infilling of Africa’s sparse upper-air network. In practical modeling terms, the COSMIC</w:t>
      </w:r>
      <w:r w:rsidRPr="00152DDF">
        <w:noBreakHyphen/>
        <w:t xml:space="preserve">2 RO data could be assimilated or blended into regional forecasts for Nigeria with high confidence (given the near-zero bias). Overall, the results underscore that RO-based </w:t>
      </w:r>
      <w:r w:rsidR="00152DDF" w:rsidRPr="00152DDF">
        <w:t>IWV particularly</w:t>
      </w:r>
      <w:r w:rsidRPr="00152DDF">
        <w:t xml:space="preserve"> from COSMIC</w:t>
      </w:r>
      <w:r w:rsidRPr="00152DDF">
        <w:noBreakHyphen/>
        <w:t>2 is a robust data set for tropical Africa. It can improve analysis of atmospheric moisture and is likely to enhance precipitation and convection forecasts in this region when incorporated into operational meteorological models.</w:t>
      </w:r>
    </w:p>
    <w:p w14:paraId="2F2D7077" w14:textId="77777777" w:rsidR="00152DDF" w:rsidRDefault="00152DDF" w:rsidP="00152DDF">
      <w:pPr>
        <w:pStyle w:val="Heading2"/>
        <w:keepNext w:val="0"/>
        <w:keepLines w:val="0"/>
        <w:spacing w:before="0" w:line="240" w:lineRule="auto"/>
        <w:jc w:val="both"/>
        <w:rPr>
          <w:rFonts w:ascii="Times New Roman" w:hAnsi="Times New Roman" w:cs="Times New Roman"/>
          <w:color w:val="auto"/>
          <w:sz w:val="24"/>
          <w:szCs w:val="24"/>
        </w:rPr>
      </w:pPr>
    </w:p>
    <w:p w14:paraId="2F8C58A2" w14:textId="0FCC6438" w:rsidR="00A63CD3" w:rsidRPr="00152DDF" w:rsidRDefault="00A63CD3" w:rsidP="00152DDF">
      <w:pPr>
        <w:pStyle w:val="Heading2"/>
        <w:keepNext w:val="0"/>
        <w:keepLines w:val="0"/>
        <w:spacing w:before="0" w:line="240" w:lineRule="auto"/>
        <w:jc w:val="both"/>
        <w:rPr>
          <w:rFonts w:ascii="Times New Roman" w:hAnsi="Times New Roman" w:cs="Times New Roman"/>
          <w:color w:val="auto"/>
          <w:sz w:val="24"/>
          <w:szCs w:val="24"/>
        </w:rPr>
      </w:pPr>
      <w:r w:rsidRPr="00152DDF">
        <w:rPr>
          <w:rFonts w:ascii="Times New Roman" w:hAnsi="Times New Roman" w:cs="Times New Roman"/>
          <w:color w:val="auto"/>
          <w:sz w:val="24"/>
          <w:szCs w:val="24"/>
        </w:rPr>
        <w:t>Conclusions</w:t>
      </w:r>
    </w:p>
    <w:p w14:paraId="36311D0A" w14:textId="77777777" w:rsidR="00A63CD3" w:rsidRPr="00152DDF" w:rsidRDefault="00A63CD3" w:rsidP="00152DDF">
      <w:pPr>
        <w:pStyle w:val="NormalWeb"/>
        <w:spacing w:before="0" w:beforeAutospacing="0" w:after="0" w:afterAutospacing="0"/>
        <w:jc w:val="both"/>
      </w:pPr>
      <w:r w:rsidRPr="00152DDF">
        <w:t>This study has validated the retrieval of Integrated Water Vapor (IWV) over Nigeria from space-based GNSS Radio Occultation data (COSMIC-2). Over the 2022 period, RO-derived IWV showed a strong temporal agreement with the ECMWF NWP model reference, particularly for COSMIC-2; correlations ≈0.91 and 0.88 for the two COSMIC-2 sensors. The seasonal cycle (dry vs. wet months) was captured by RO, confirming its sensitivity to regional climate patterns. A consistent finding is a small negative bias in RO IWV relative to ECMWF, on the order of 1–2×10</w:t>
      </w:r>
      <w:r w:rsidRPr="00152DDF">
        <w:rPr>
          <w:rFonts w:ascii="Cambria Math" w:hAnsi="Cambria Math" w:cs="Cambria Math"/>
        </w:rPr>
        <w:t>⁻</w:t>
      </w:r>
      <w:r w:rsidRPr="00152DDF">
        <w:t>³ kg/m² . This suggests RO slightly underestimates tropical WV, consistent with prior studies attributing it to lower-troposphere retrieval challenges.</w:t>
      </w:r>
    </w:p>
    <w:p w14:paraId="592698F5" w14:textId="77777777" w:rsidR="0016640C" w:rsidRDefault="00A63CD3" w:rsidP="0016640C">
      <w:pPr>
        <w:pStyle w:val="NormalWeb"/>
        <w:spacing w:before="0" w:beforeAutospacing="0" w:after="0" w:afterAutospacing="0"/>
        <w:jc w:val="both"/>
      </w:pPr>
      <w:r w:rsidRPr="00152DDF">
        <w:t xml:space="preserve">Overall, the results underscore GNSS-RO’s </w:t>
      </w:r>
      <w:r w:rsidRPr="00152DDF">
        <w:rPr>
          <w:rStyle w:val="Strong"/>
          <w:rFonts w:eastAsiaTheme="majorEastAsia"/>
          <w:b w:val="0"/>
          <w:bCs w:val="0"/>
        </w:rPr>
        <w:t>utility for tropical IWV monitoring</w:t>
      </w:r>
      <w:r w:rsidRPr="00152DDF">
        <w:t>. The high spatial resolution and all weather capability of RO can fill gaps left by sparse ground networks in Nigeria. By providing near global IWV coverage with good accuracy, GNSS-RO can enhance local NWP and flood forecasting models, contributing to disaster preparedness. Future work should extend this analysis to multiple years and explore integration of RO with ground GNSS networks to further improve coverage and bias correction.</w:t>
      </w:r>
    </w:p>
    <w:p w14:paraId="4174E5B4" w14:textId="77777777" w:rsidR="0016640C" w:rsidRDefault="0016640C" w:rsidP="0016640C">
      <w:pPr>
        <w:pStyle w:val="NormalWeb"/>
        <w:spacing w:before="0" w:beforeAutospacing="0" w:after="0" w:afterAutospacing="0"/>
        <w:jc w:val="both"/>
      </w:pPr>
    </w:p>
    <w:p w14:paraId="35732485" w14:textId="77777777" w:rsidR="0016640C" w:rsidRDefault="00A63CD3" w:rsidP="0016640C">
      <w:pPr>
        <w:pStyle w:val="NormalWeb"/>
        <w:spacing w:before="0" w:beforeAutospacing="0" w:after="0" w:afterAutospacing="0"/>
        <w:ind w:left="851" w:hanging="851"/>
        <w:jc w:val="both"/>
      </w:pPr>
      <w:r w:rsidRPr="00152DDF">
        <w:rPr>
          <w:b/>
          <w:bCs/>
        </w:rPr>
        <w:t xml:space="preserve">References </w:t>
      </w:r>
    </w:p>
    <w:p w14:paraId="1533C87A" w14:textId="004A1779" w:rsidR="00A63CD3" w:rsidRPr="00152DDF" w:rsidRDefault="00A63CD3" w:rsidP="0016640C">
      <w:pPr>
        <w:pStyle w:val="NormalWeb"/>
        <w:spacing w:before="0" w:beforeAutospacing="0" w:after="0" w:afterAutospacing="0"/>
        <w:ind w:left="851" w:hanging="851"/>
        <w:jc w:val="both"/>
      </w:pPr>
      <w:r w:rsidRPr="00152DDF">
        <w:t xml:space="preserve">Jing, X., Ho, S.-P., Shao, X., Liu, T.-C., Chen, Y., &amp; Zhou, X. (2023). Spire RO </w:t>
      </w:r>
      <w:r w:rsidRPr="00152DDF">
        <w:tab/>
        <w:t xml:space="preserve">thermal </w:t>
      </w:r>
      <w:r w:rsidR="0016640C">
        <w:t xml:space="preserve"> </w:t>
      </w:r>
      <w:r w:rsidRPr="00152DDF">
        <w:t xml:space="preserve">profiles for climate studies: Initial comparisons of the measurements </w:t>
      </w:r>
      <w:r w:rsidRPr="00152DDF">
        <w:tab/>
        <w:t xml:space="preserve">from Spire, NOAA-20 ATMS, radiosonde, and COSMIC-2. Remote Sensing, </w:t>
      </w:r>
      <w:r w:rsidRPr="00152DDF">
        <w:tab/>
        <w:t xml:space="preserve">15(15), 3710. </w:t>
      </w:r>
      <w:hyperlink r:id="rId159" w:tgtFrame="_new" w:history="1">
        <w:r w:rsidRPr="00152DDF">
          <w:t>https://doi.org/10.3390/rs15153710</w:t>
        </w:r>
      </w:hyperlink>
    </w:p>
    <w:p w14:paraId="7E9E9A80" w14:textId="6B01B38E" w:rsidR="00A63CD3" w:rsidRPr="00152DDF" w:rsidRDefault="00A63CD3" w:rsidP="00152DDF">
      <w:pPr>
        <w:pStyle w:val="NormalWeb"/>
        <w:spacing w:before="0" w:beforeAutospacing="0" w:after="0" w:afterAutospacing="0"/>
        <w:ind w:left="851" w:hanging="851"/>
        <w:jc w:val="both"/>
      </w:pPr>
      <w:r w:rsidRPr="00152DDF">
        <w:t xml:space="preserve">Melsheimer, C., &amp; Heygster, G. (2008). Improved retrieval of total water vapor over polar regions from AMSU-B microwave radiometer data. IEEE Transactions </w:t>
      </w:r>
      <w:r w:rsidRPr="00152DDF">
        <w:tab/>
        <w:t xml:space="preserve">on Geoscience and Remote Sensing, 46(8), 2307–2322. </w:t>
      </w:r>
      <w:r w:rsidRPr="00152DDF">
        <w:tab/>
        <w:t>https://doi.org/10.1109/TGRS.2008.918013</w:t>
      </w:r>
    </w:p>
    <w:p w14:paraId="259A2AD2" w14:textId="3B524BDE" w:rsidR="00A63CD3" w:rsidRPr="00152DDF" w:rsidRDefault="00A63CD3" w:rsidP="00152DDF">
      <w:pPr>
        <w:pStyle w:val="NormalWeb"/>
        <w:spacing w:before="0" w:beforeAutospacing="0" w:after="0" w:afterAutospacing="0"/>
        <w:ind w:left="851" w:hanging="851"/>
        <w:jc w:val="both"/>
      </w:pPr>
      <w:r w:rsidRPr="00152DDF">
        <w:t xml:space="preserve">Shi, J., Gao, Y., &amp; Guo, J. (2015). Real-time GPS Precise Point Positioning-based Precipitable Water Vapor Estimation for Rainfall Monitoring and Forecasting. </w:t>
      </w:r>
      <w:r w:rsidRPr="00152DDF">
        <w:tab/>
        <w:t>IEEE Transactions on Geoscience and Remote Sensing, 53, 3452–3459.</w:t>
      </w:r>
    </w:p>
    <w:p w14:paraId="266979C1" w14:textId="1D4CD890" w:rsidR="00A63CD3" w:rsidRPr="00152DDF" w:rsidRDefault="00A63CD3" w:rsidP="00152DDF">
      <w:pPr>
        <w:pStyle w:val="NormalWeb"/>
        <w:spacing w:before="0" w:beforeAutospacing="0" w:after="0" w:afterAutospacing="0"/>
        <w:ind w:left="851" w:hanging="851"/>
        <w:jc w:val="both"/>
      </w:pPr>
      <w:r w:rsidRPr="00152DDF">
        <w:lastRenderedPageBreak/>
        <w:t>Huang, L., Mo, Z., Xie, S., Liu, L., Kang, C., &amp; Wang, S. (2021). Spatiotemporal Characteristics of GNSS-derived Precipitable Water Vapor during Heavy Rainfall Events in Guilin, China. Satellite Navigation, 2, Article 13</w:t>
      </w:r>
    </w:p>
    <w:p w14:paraId="29292F63" w14:textId="77777777" w:rsidR="0016640C" w:rsidRDefault="00A63CD3" w:rsidP="0016640C">
      <w:pPr>
        <w:pStyle w:val="NormalWeb"/>
        <w:spacing w:before="0" w:beforeAutospacing="0" w:after="0" w:afterAutospacing="0"/>
        <w:jc w:val="both"/>
      </w:pPr>
      <w:r w:rsidRPr="00152DDF">
        <w:t xml:space="preserve">Chen, B., Yu, W., Wang, W., Zhang, Z., &amp; Dai, W. (2021). A global assessment of precipitable </w:t>
      </w:r>
      <w:r w:rsidR="0016640C">
        <w:t xml:space="preserve"> </w:t>
      </w:r>
    </w:p>
    <w:p w14:paraId="41D9A7E7" w14:textId="77777777" w:rsidR="0016640C" w:rsidRDefault="0016640C" w:rsidP="0016640C">
      <w:pPr>
        <w:pStyle w:val="NormalWeb"/>
        <w:spacing w:before="0" w:beforeAutospacing="0" w:after="0" w:afterAutospacing="0"/>
        <w:jc w:val="both"/>
      </w:pPr>
      <w:r>
        <w:t xml:space="preserve">              </w:t>
      </w:r>
      <w:r w:rsidR="00A63CD3" w:rsidRPr="00152DDF">
        <w:t xml:space="preserve">water vapor derived from GNSS zenith tropospheric delays with </w:t>
      </w:r>
      <w:r w:rsidR="00A63CD3" w:rsidRPr="00152DDF">
        <w:tab/>
        <w:t xml:space="preserve">ERA5, NCEP </w:t>
      </w:r>
      <w:r>
        <w:t xml:space="preserve">  </w:t>
      </w:r>
    </w:p>
    <w:p w14:paraId="1C1EB6E3" w14:textId="77777777" w:rsidR="0016640C" w:rsidRDefault="0016640C" w:rsidP="0016640C">
      <w:pPr>
        <w:pStyle w:val="NormalWeb"/>
        <w:spacing w:before="0" w:beforeAutospacing="0" w:after="0" w:afterAutospacing="0"/>
        <w:jc w:val="both"/>
      </w:pPr>
      <w:r>
        <w:t xml:space="preserve">               </w:t>
      </w:r>
      <w:r w:rsidR="00A63CD3" w:rsidRPr="00152DDF">
        <w:t xml:space="preserve">FNL, and NCEP GFS products. Earth and Space Science, 8, </w:t>
      </w:r>
      <w:r w:rsidR="00A63CD3" w:rsidRPr="00152DDF">
        <w:tab/>
        <w:t xml:space="preserve">e2021EA001796. </w:t>
      </w:r>
    </w:p>
    <w:p w14:paraId="6EF051E8" w14:textId="53A81259" w:rsidR="0016640C" w:rsidRDefault="0016640C" w:rsidP="0016640C">
      <w:pPr>
        <w:pStyle w:val="NormalWeb"/>
        <w:spacing w:before="0" w:beforeAutospacing="0" w:after="0" w:afterAutospacing="0"/>
        <w:jc w:val="both"/>
      </w:pPr>
      <w:r>
        <w:t xml:space="preserve">                </w:t>
      </w:r>
      <w:hyperlink r:id="rId160" w:history="1">
        <w:r w:rsidR="00A63CD3" w:rsidRPr="00152DDF">
          <w:rPr>
            <w:rStyle w:val="Hyperlink"/>
            <w:color w:val="auto"/>
          </w:rPr>
          <w:t>https://doi.org/10.1029/2021EA001796</w:t>
        </w:r>
        <w:r w:rsidR="00A63CD3" w:rsidRPr="00152DDF">
          <w:rPr>
            <w:rStyle w:val="Hyperlink"/>
            <w:color w:val="auto"/>
          </w:rPr>
          <w:br/>
        </w:r>
      </w:hyperlink>
      <w:r w:rsidR="00A63CD3" w:rsidRPr="00152DDF">
        <w:t xml:space="preserve">Gong, S., Hagan, D. F. T., Wu, X., &amp; Wang, G. (2018). Spatio-temporal analysis of precipitable </w:t>
      </w:r>
      <w:r>
        <w:t xml:space="preserve"> </w:t>
      </w:r>
    </w:p>
    <w:p w14:paraId="72EF7A1E" w14:textId="562F1FAD" w:rsidR="0016640C" w:rsidRDefault="0016640C" w:rsidP="0016640C">
      <w:pPr>
        <w:pStyle w:val="NormalWeb"/>
        <w:spacing w:before="0" w:beforeAutospacing="0" w:after="0" w:afterAutospacing="0"/>
        <w:jc w:val="both"/>
      </w:pPr>
      <w:r>
        <w:t xml:space="preserve">               </w:t>
      </w:r>
      <w:r w:rsidR="00A63CD3" w:rsidRPr="00152DDF">
        <w:t xml:space="preserve">water vapour over northwest China utilizing MERSI/FY-3A </w:t>
      </w:r>
      <w:r w:rsidR="00A63CD3" w:rsidRPr="00152DDF">
        <w:tab/>
        <w:t xml:space="preserve">products. </w:t>
      </w:r>
      <w:r>
        <w:t xml:space="preserve"> </w:t>
      </w:r>
    </w:p>
    <w:p w14:paraId="51FEBA07" w14:textId="77777777" w:rsidR="0016640C" w:rsidRDefault="0016640C" w:rsidP="0016640C">
      <w:pPr>
        <w:pStyle w:val="NormalWeb"/>
        <w:spacing w:before="0" w:beforeAutospacing="0" w:after="0" w:afterAutospacing="0"/>
        <w:jc w:val="both"/>
      </w:pPr>
      <w:r>
        <w:t xml:space="preserve">               </w:t>
      </w:r>
      <w:r w:rsidR="00A63CD3" w:rsidRPr="00152DDF">
        <w:t xml:space="preserve">International Journal of Remote Sensing, 39(10), 3094–3110. </w:t>
      </w:r>
    </w:p>
    <w:p w14:paraId="2BAC8C56" w14:textId="77777777" w:rsidR="0016640C" w:rsidRDefault="0016640C" w:rsidP="0016640C">
      <w:pPr>
        <w:pStyle w:val="NormalWeb"/>
        <w:spacing w:before="0" w:beforeAutospacing="0" w:after="0" w:afterAutospacing="0"/>
        <w:jc w:val="both"/>
      </w:pPr>
      <w:r>
        <w:t xml:space="preserve">               </w:t>
      </w:r>
      <w:hyperlink r:id="rId161" w:history="1">
        <w:r w:rsidRPr="00373AB2">
          <w:rPr>
            <w:rStyle w:val="Hyperlink"/>
          </w:rPr>
          <w:t>https://doi.org/10.1080/01431161.2018.1437298</w:t>
        </w:r>
        <w:r w:rsidRPr="00373AB2">
          <w:rPr>
            <w:rStyle w:val="Hyperlink"/>
          </w:rPr>
          <w:br/>
        </w:r>
      </w:hyperlink>
      <w:r w:rsidR="00A63CD3" w:rsidRPr="00152DDF">
        <w:t xml:space="preserve">Kotthaus, S., Bravo-Aranda, J. A., Collaud Coen, M., Guerrero-Rascado, J. L., Costa, </w:t>
      </w:r>
      <w:r w:rsidR="00A63CD3" w:rsidRPr="00152DDF">
        <w:tab/>
        <w:t xml:space="preserve">M. </w:t>
      </w:r>
    </w:p>
    <w:p w14:paraId="098FD40C" w14:textId="77777777" w:rsidR="0016640C" w:rsidRDefault="0016640C" w:rsidP="0016640C">
      <w:pPr>
        <w:pStyle w:val="NormalWeb"/>
        <w:spacing w:before="0" w:beforeAutospacing="0" w:after="0" w:afterAutospacing="0"/>
        <w:jc w:val="both"/>
      </w:pPr>
      <w:r>
        <w:t xml:space="preserve">               </w:t>
      </w:r>
      <w:r w:rsidR="00A63CD3" w:rsidRPr="00152DDF">
        <w:t>J., Cimini, D., O’Connor, E. J., Hervo, M., Alados-Arboledas, L., Jiménez-</w:t>
      </w:r>
      <w:r w:rsidR="00A63CD3" w:rsidRPr="00152DDF">
        <w:tab/>
      </w:r>
      <w:r>
        <w:t xml:space="preserve">      </w:t>
      </w:r>
    </w:p>
    <w:p w14:paraId="3A4223C2" w14:textId="77777777" w:rsidR="0016640C" w:rsidRDefault="0016640C" w:rsidP="0016640C">
      <w:pPr>
        <w:pStyle w:val="NormalWeb"/>
        <w:spacing w:before="0" w:beforeAutospacing="0" w:after="0" w:afterAutospacing="0"/>
        <w:jc w:val="both"/>
      </w:pPr>
      <w:r>
        <w:t xml:space="preserve">               </w:t>
      </w:r>
      <w:r w:rsidR="00A63CD3" w:rsidRPr="00152DDF">
        <w:t xml:space="preserve">Portaz, M., Mona, L., Ruffieux, D., Illingworth, A., &amp; Haeffelin, M. (2023). </w:t>
      </w:r>
      <w:r w:rsidR="00A63CD3" w:rsidRPr="00152DDF">
        <w:tab/>
      </w:r>
      <w:r>
        <w:t xml:space="preserve"> </w:t>
      </w:r>
    </w:p>
    <w:p w14:paraId="766A9D99" w14:textId="77777777" w:rsidR="0016640C" w:rsidRDefault="0016640C" w:rsidP="0016640C">
      <w:pPr>
        <w:pStyle w:val="NormalWeb"/>
        <w:spacing w:before="0" w:beforeAutospacing="0" w:after="0" w:afterAutospacing="0"/>
        <w:jc w:val="both"/>
      </w:pPr>
      <w:r>
        <w:t xml:space="preserve">              </w:t>
      </w:r>
      <w:r w:rsidR="00A63CD3" w:rsidRPr="00152DDF">
        <w:t xml:space="preserve">Atmospheric boundary layer height from ground-based remote sensing: a </w:t>
      </w:r>
      <w:r w:rsidR="00A63CD3" w:rsidRPr="00152DDF">
        <w:tab/>
      </w:r>
    </w:p>
    <w:p w14:paraId="28EEF1A0" w14:textId="77777777" w:rsidR="0016640C" w:rsidRDefault="0016640C" w:rsidP="0016640C">
      <w:pPr>
        <w:pStyle w:val="NormalWeb"/>
        <w:spacing w:before="0" w:beforeAutospacing="0" w:after="0" w:afterAutospacing="0"/>
        <w:jc w:val="both"/>
      </w:pPr>
      <w:r>
        <w:t xml:space="preserve">              </w:t>
      </w:r>
      <w:r w:rsidR="00A63CD3" w:rsidRPr="00152DDF">
        <w:t xml:space="preserve">review of capabilities and limitations. Atmospheric Measurement Techniques, </w:t>
      </w:r>
      <w:r w:rsidR="00A63CD3" w:rsidRPr="00152DDF">
        <w:tab/>
        <w:t xml:space="preserve">16, </w:t>
      </w:r>
    </w:p>
    <w:p w14:paraId="4236F786" w14:textId="3CE3D062" w:rsidR="00895636" w:rsidRDefault="0016640C" w:rsidP="00F15B77">
      <w:pPr>
        <w:pStyle w:val="NormalWeb"/>
        <w:spacing w:before="0" w:beforeAutospacing="0" w:after="0" w:afterAutospacing="0"/>
        <w:ind w:left="851" w:hanging="851"/>
        <w:jc w:val="both"/>
        <w:rPr>
          <w:rStyle w:val="Hyperlink"/>
          <w:color w:val="auto"/>
        </w:rPr>
      </w:pPr>
      <w:r>
        <w:t xml:space="preserve">              </w:t>
      </w:r>
      <w:r w:rsidR="00A63CD3" w:rsidRPr="00152DDF">
        <w:t xml:space="preserve">433–479. </w:t>
      </w:r>
      <w:r w:rsidR="00A63CD3" w:rsidRPr="00895636">
        <w:t>https://doi.org/10.5194/amt-16-433-2023</w:t>
      </w:r>
    </w:p>
    <w:p w14:paraId="3A756F21" w14:textId="77777777" w:rsidR="00895636" w:rsidRDefault="00A63CD3" w:rsidP="00F15B77">
      <w:pPr>
        <w:pStyle w:val="NormalWeb"/>
        <w:spacing w:before="0" w:beforeAutospacing="0" w:after="0" w:afterAutospacing="0"/>
        <w:ind w:left="851" w:hanging="851"/>
        <w:jc w:val="both"/>
      </w:pPr>
      <w:r w:rsidRPr="00152DDF">
        <w:t xml:space="preserve">Kremser, S., Tradowsky, J. S., Rust, H. W., &amp; Bodeker, G. E. (2018). Is it feasible to estimate radiosonde biases from interlaced measurements? Atmospheric </w:t>
      </w:r>
      <w:r w:rsidRPr="00152DDF">
        <w:tab/>
        <w:t xml:space="preserve">Measurement Techniques, 11, 3021–3029. </w:t>
      </w:r>
      <w:hyperlink r:id="rId162" w:history="1">
        <w:r w:rsidRPr="00152DDF">
          <w:rPr>
            <w:rStyle w:val="Hyperlink"/>
            <w:color w:val="auto"/>
          </w:rPr>
          <w:t>https://doi.org/10.5194/amt-11-</w:t>
        </w:r>
      </w:hyperlink>
      <w:r w:rsidRPr="00152DDF">
        <w:tab/>
        <w:t>3021-2018</w:t>
      </w:r>
      <w:r w:rsidRPr="00152DDF">
        <w:br/>
        <w:t xml:space="preserve">Guo, J., Zhang, J., Yang, K., Liao, H., Zhang, S., Huang, K., Lv, Y., Shao, J., Yu, T., </w:t>
      </w:r>
    </w:p>
    <w:p w14:paraId="7C1AFD25" w14:textId="75EC5BE5" w:rsidR="00895636" w:rsidRDefault="00A63CD3" w:rsidP="00F15B77">
      <w:pPr>
        <w:pStyle w:val="NormalWeb"/>
        <w:spacing w:before="0" w:beforeAutospacing="0" w:after="0" w:afterAutospacing="0"/>
        <w:ind w:left="851" w:hanging="851"/>
        <w:jc w:val="both"/>
        <w:rPr>
          <w:rStyle w:val="Hyperlink"/>
          <w:color w:val="auto"/>
        </w:rPr>
      </w:pPr>
      <w:r w:rsidRPr="00152DDF">
        <w:t xml:space="preserve">Tong, B., Li, J., Su, T., Yim, S. H. L., Stoffelen, A., Zhai, P., &amp; Xu, X. (2021). </w:t>
      </w:r>
      <w:r w:rsidRPr="00152DDF">
        <w:tab/>
        <w:t>Investigation of near-global daytime boundary layer height using high-</w:t>
      </w:r>
      <w:r w:rsidRPr="00152DDF">
        <w:tab/>
        <w:t xml:space="preserve">resolution radiosondes: first results and comparison with ERA5, MERRA-2, </w:t>
      </w:r>
      <w:r w:rsidRPr="00152DDF">
        <w:tab/>
        <w:t xml:space="preserve">JRA-55, and NCEP-2 reanalyses. Atmospheric Chemistry and Physics, 21, </w:t>
      </w:r>
      <w:r w:rsidRPr="00152DDF">
        <w:tab/>
        <w:t xml:space="preserve">17079–17097. </w:t>
      </w:r>
      <w:r w:rsidRPr="00895636">
        <w:t>https://doi.org/10.5194/acp-21-17079-2021</w:t>
      </w:r>
    </w:p>
    <w:p w14:paraId="7D7384A8" w14:textId="53B523B5" w:rsidR="00895636" w:rsidRDefault="00A63CD3" w:rsidP="00F15B77">
      <w:pPr>
        <w:pStyle w:val="NormalWeb"/>
        <w:spacing w:before="0" w:beforeAutospacing="0" w:after="0" w:afterAutospacing="0"/>
        <w:ind w:left="851" w:hanging="851"/>
        <w:jc w:val="both"/>
      </w:pPr>
      <w:r w:rsidRPr="00152DDF">
        <w:t xml:space="preserve">Kursinski, E. R., &amp; Gebhardt, T. (2014). A method to deconvolve errors in GPS RO-derived water vapor histograms. Journal of Atmospheric and Oceanic </w:t>
      </w:r>
      <w:r w:rsidRPr="00152DDF">
        <w:tab/>
        <w:t xml:space="preserve">Technology, 31(12), 2606–2628. </w:t>
      </w:r>
      <w:hyperlink r:id="rId163" w:history="1">
        <w:r w:rsidRPr="00152DDF">
          <w:rPr>
            <w:rStyle w:val="Hyperlink"/>
            <w:color w:val="auto"/>
          </w:rPr>
          <w:t>https://doi.org/10.1175/JTECH-D-13-</w:t>
        </w:r>
      </w:hyperlink>
      <w:r w:rsidRPr="00152DDF">
        <w:tab/>
        <w:t>00233.1.</w:t>
      </w:r>
    </w:p>
    <w:p w14:paraId="776C975F" w14:textId="379ACD92" w:rsidR="00895636" w:rsidRDefault="00A63CD3" w:rsidP="00F15B77">
      <w:pPr>
        <w:pStyle w:val="NormalWeb"/>
        <w:spacing w:before="0" w:beforeAutospacing="0" w:after="0" w:afterAutospacing="0"/>
        <w:ind w:left="851" w:hanging="851"/>
        <w:jc w:val="both"/>
        <w:rPr>
          <w:rStyle w:val="Hyperlink"/>
          <w:color w:val="auto"/>
        </w:rPr>
      </w:pPr>
      <w:r w:rsidRPr="00152DDF">
        <w:t xml:space="preserve">Zeng, Z., Sokolovskiy, S., Schreiner, W. S., &amp; Hunt, D. (2019). Representation of vertical atmospheric structures by radio occultation observations in the upper </w:t>
      </w:r>
      <w:r w:rsidRPr="00152DDF">
        <w:tab/>
        <w:t xml:space="preserve">troposphere and lower stratosphere: Comparison to high-resolution radiosonde </w:t>
      </w:r>
      <w:r w:rsidRPr="00152DDF">
        <w:tab/>
        <w:t xml:space="preserve">profiles. Journal of Atmospheric and Oceanic Technology, 36(4), 655–670. </w:t>
      </w:r>
      <w:r w:rsidRPr="00152DDF">
        <w:tab/>
      </w:r>
      <w:r w:rsidRPr="00895636">
        <w:t>https://doi.org/10.1175/JTECH-D-18-0105.1</w:t>
      </w:r>
    </w:p>
    <w:p w14:paraId="7F63BD69" w14:textId="5C9FAEC1" w:rsidR="00895636" w:rsidRDefault="00A63CD3" w:rsidP="00F15B77">
      <w:pPr>
        <w:pStyle w:val="NormalWeb"/>
        <w:spacing w:before="0" w:beforeAutospacing="0" w:after="0" w:afterAutospacing="0"/>
        <w:ind w:left="851" w:hanging="851"/>
        <w:jc w:val="both"/>
        <w:rPr>
          <w:rStyle w:val="Hyperlink"/>
          <w:color w:val="auto"/>
        </w:rPr>
      </w:pPr>
      <w:r w:rsidRPr="00152DDF">
        <w:t xml:space="preserve">Leroy, S. S., McVey, A. E., Leidner, S. M., Zhang, H., &amp; Gleisner, H. (2024). GNSS radio occultation data in the AWS Cloud. Earth and Space Science, 11, </w:t>
      </w:r>
      <w:r w:rsidRPr="00152DDF">
        <w:tab/>
        <w:t xml:space="preserve">e2023EA003021. </w:t>
      </w:r>
      <w:hyperlink r:id="rId164" w:history="1">
        <w:r w:rsidRPr="00152DDF">
          <w:rPr>
            <w:rStyle w:val="Hyperlink"/>
            <w:color w:val="auto"/>
          </w:rPr>
          <w:t>https://doi.org/10.1029/2023EA003021</w:t>
        </w:r>
        <w:r w:rsidRPr="00152DDF">
          <w:rPr>
            <w:rStyle w:val="Hyperlink"/>
            <w:color w:val="auto"/>
          </w:rPr>
          <w:br/>
        </w:r>
      </w:hyperlink>
      <w:r w:rsidRPr="00152DDF">
        <w:t xml:space="preserve">Wee, T.-K., Anthes, R. A., Hunt, D. C., Schreiner, W. S., &amp; Kuo, Y.-H. (2022). Atmospheric GNSS RO 1D-Var in Use at UCAR: Description and Validation. Remote Sensing, 14(21), 5614. </w:t>
      </w:r>
      <w:r w:rsidRPr="00895636">
        <w:t>https://doi.org/10.3390/rs14215614</w:t>
      </w:r>
    </w:p>
    <w:p w14:paraId="1C99A3FF" w14:textId="77777777" w:rsidR="00895636" w:rsidRDefault="00A63CD3" w:rsidP="00F15B77">
      <w:pPr>
        <w:pStyle w:val="NormalWeb"/>
        <w:spacing w:before="0" w:beforeAutospacing="0" w:after="0" w:afterAutospacing="0"/>
        <w:ind w:left="851" w:hanging="851"/>
        <w:jc w:val="both"/>
      </w:pPr>
      <w:r w:rsidRPr="00152DDF">
        <w:t xml:space="preserve">Hajj, G. A., Romans, L. J., Bertiger, W. I., &amp; Kursinski, E. R. (2002). A Technical Description of Atmospheric Sounding by GPS Occultation. Journal of </w:t>
      </w:r>
      <w:r w:rsidRPr="00152DDF">
        <w:tab/>
        <w:t xml:space="preserve">Atmospheric and Solar-Terrestrial Physics, 64(4), 451-469. </w:t>
      </w:r>
      <w:r w:rsidRPr="00152DDF">
        <w:tab/>
      </w:r>
      <w:hyperlink r:id="rId165" w:history="1">
        <w:r w:rsidR="0016640C" w:rsidRPr="00373AB2">
          <w:rPr>
            <w:rStyle w:val="Hyperlink"/>
          </w:rPr>
          <w:t>https://doi.org/10.1016/S1364-6826(01)00190-X</w:t>
        </w:r>
        <w:r w:rsidR="0016640C" w:rsidRPr="00373AB2">
          <w:rPr>
            <w:rStyle w:val="Hyperlink"/>
          </w:rPr>
          <w:br/>
        </w:r>
        <w:r w:rsidR="0016640C" w:rsidRPr="00373AB2">
          <w:rPr>
            <w:rStyle w:val="Hyperlink"/>
          </w:rPr>
          <w:t xml:space="preserve">Thayer, G. D. (1974). An improved equation for the radio refractive index of air. </w:t>
        </w:r>
        <w:r w:rsidR="0016640C" w:rsidRPr="00373AB2">
          <w:rPr>
            <w:rStyle w:val="Hyperlink"/>
          </w:rPr>
          <w:tab/>
          <w:t>Radio Science, 9(10), 803-807. https://doi.org/10.1029/RS009i010p00803</w:t>
        </w:r>
        <w:r w:rsidR="0016640C" w:rsidRPr="00373AB2">
          <w:rPr>
            <w:rStyle w:val="Hyperlink"/>
          </w:rPr>
          <w:br/>
        </w:r>
      </w:hyperlink>
    </w:p>
    <w:p w14:paraId="06FB4EDB" w14:textId="750003AB" w:rsidR="0016640C" w:rsidRDefault="00A63CD3" w:rsidP="00F15B77">
      <w:pPr>
        <w:pStyle w:val="NormalWeb"/>
        <w:spacing w:before="0" w:beforeAutospacing="0" w:after="0" w:afterAutospacing="0"/>
        <w:ind w:left="851" w:hanging="851"/>
        <w:jc w:val="both"/>
      </w:pPr>
      <w:r w:rsidRPr="00152DDF">
        <w:t xml:space="preserve">Kursinski, E. R., G. A. Hajj, K. R. Hardy, L. J. Romans, and J. T. Schofield (1995). Observing tropospheric water vapor by radio occultation using the global </w:t>
      </w:r>
      <w:r w:rsidRPr="00152DDF">
        <w:tab/>
        <w:t>positioning system. Geophys. Res. Lett., 22(17):2365–2368.</w:t>
      </w:r>
    </w:p>
    <w:p w14:paraId="3770B52F" w14:textId="363AC098" w:rsidR="00A63CD3" w:rsidRPr="00152DDF" w:rsidRDefault="00A63CD3" w:rsidP="00152DDF">
      <w:pPr>
        <w:pStyle w:val="NormalWeb"/>
        <w:spacing w:before="0" w:beforeAutospacing="0" w:after="0" w:afterAutospacing="0"/>
        <w:ind w:left="851" w:hanging="851"/>
        <w:jc w:val="both"/>
      </w:pPr>
      <w:r w:rsidRPr="00152DDF">
        <w:lastRenderedPageBreak/>
        <w:t>Thayer, G.D. (1974): An Improved Equation for the Radio Refractive Index of Air. Radio Sc., 9(10), 803-807. DOI: 10.1029/RS009i010p00803.</w:t>
      </w:r>
      <w:r w:rsidRPr="00152DDF">
        <w:br/>
        <w:t xml:space="preserve">Davis, J. L., Herring, T. A., Shapiro, I. I., Rogers, A. E. E. and Elgered, G. (1985). Geodesy by Radio Interferometry: Effects of Atmospheric Modelling on </w:t>
      </w:r>
      <w:r w:rsidRPr="00152DDF">
        <w:tab/>
        <w:t>Estimates of Baseline Length. Radio Science, 20, (6), 1593-1607.</w:t>
      </w:r>
    </w:p>
    <w:p w14:paraId="2E737153" w14:textId="1DCF569E" w:rsidR="0016640C" w:rsidRDefault="00A63CD3" w:rsidP="00152DDF">
      <w:pPr>
        <w:pStyle w:val="NormalWeb"/>
        <w:spacing w:before="0" w:beforeAutospacing="0" w:after="0" w:afterAutospacing="0"/>
        <w:ind w:left="851" w:hanging="851"/>
        <w:jc w:val="both"/>
      </w:pPr>
      <w:r w:rsidRPr="00152DDF">
        <w:t xml:space="preserve">Bai, Z. (2004). Near-Real-Time GPS Sensing of Atmospheric Water Vapour. PhD Thesis, Faculty of Built Environment and Engineering, Queensland University </w:t>
      </w:r>
      <w:r w:rsidRPr="00152DDF">
        <w:tab/>
        <w:t>of Technology, Brisbane, Australia.</w:t>
      </w:r>
    </w:p>
    <w:p w14:paraId="79E39E44" w14:textId="42FAE6C2" w:rsidR="00A63CD3" w:rsidRPr="00152DDF" w:rsidRDefault="00A63CD3" w:rsidP="00152DDF">
      <w:pPr>
        <w:pStyle w:val="NormalWeb"/>
        <w:spacing w:before="0" w:beforeAutospacing="0" w:after="0" w:afterAutospacing="0"/>
        <w:ind w:left="851" w:hanging="851"/>
        <w:jc w:val="both"/>
      </w:pPr>
      <w:r w:rsidRPr="00152DDF">
        <w:t xml:space="preserve">Musa, T.A, S. Amir, R. Othman, S. Ses, K. Omar, K. Abdullah, S. Lim and C. Rizos (2011). GPS Meteorology in a Low-Latitude Region: Remote Sensing of </w:t>
      </w:r>
      <w:r w:rsidRPr="00152DDF">
        <w:tab/>
        <w:t xml:space="preserve">Atmospheric Water Vapour over the Malaysian Peninsular. J. Atmos &amp; Solar </w:t>
      </w:r>
      <w:r w:rsidRPr="00152DDF">
        <w:tab/>
        <w:t>Terr. Phys., 73 (16), 2410-2422. Doi: 10.1016/j.jast.2011.08.014.</w:t>
      </w:r>
    </w:p>
    <w:p w14:paraId="2C3BA0DF" w14:textId="00E41FF9" w:rsidR="00A63CD3" w:rsidRPr="00152DDF" w:rsidRDefault="00A63CD3" w:rsidP="00152DDF">
      <w:pPr>
        <w:pStyle w:val="NormalWeb"/>
        <w:spacing w:before="0" w:beforeAutospacing="0" w:after="0" w:afterAutospacing="0"/>
        <w:ind w:left="851" w:hanging="851"/>
        <w:jc w:val="both"/>
      </w:pPr>
      <w:r w:rsidRPr="00152DDF">
        <w:t xml:space="preserve">Isioye, O. A., Combrinck, L., &amp; Botai, J. O. (2016). Modelling weighted mean temperature in the West African region: Implications for GNSS meteorology. Meteorological Applications, 23(4), 614-632. </w:t>
      </w:r>
      <w:r w:rsidRPr="00152DDF">
        <w:tab/>
        <w:t>https://doi.org/10.1002/met.1584</w:t>
      </w:r>
    </w:p>
    <w:p w14:paraId="527071C3" w14:textId="7DCF9BB3" w:rsidR="00152DDF" w:rsidRDefault="00A63CD3" w:rsidP="00152DDF">
      <w:pPr>
        <w:pStyle w:val="NormalWeb"/>
        <w:spacing w:before="0" w:beforeAutospacing="0" w:after="0" w:afterAutospacing="0"/>
        <w:ind w:left="851" w:hanging="851"/>
        <w:jc w:val="both"/>
      </w:pPr>
      <w:r w:rsidRPr="00152DDF">
        <w:t xml:space="preserve">Xin, Y., Ho, S.-P., Wang, C., Zhou, X., Chen, H., Sun, Y., &amp; Ao, C. O. (2023). Comparative assessment of Spire and COSMIC-2 radio occultation data </w:t>
      </w:r>
      <w:r w:rsidRPr="00152DDF">
        <w:tab/>
        <w:t xml:space="preserve">quality. Atmospheric Measurement Techniques, 16(15), 3781–3799. </w:t>
      </w:r>
    </w:p>
    <w:p w14:paraId="3BCDC5AE" w14:textId="40B6E1A2" w:rsidR="0016640C" w:rsidRDefault="00A63CD3" w:rsidP="00152DDF">
      <w:pPr>
        <w:pStyle w:val="NormalWeb"/>
        <w:spacing w:before="0" w:beforeAutospacing="0" w:after="0" w:afterAutospacing="0"/>
        <w:ind w:left="851" w:hanging="851"/>
        <w:jc w:val="both"/>
        <w:rPr>
          <w:rStyle w:val="Hyperlink"/>
          <w:color w:val="auto"/>
        </w:rPr>
      </w:pPr>
      <w:r w:rsidRPr="00152DDF">
        <w:t xml:space="preserve">Cong, Q., Wang, X., Zhou, K., Zhang, J., Chen, Y., Li, H., &amp; Liu, D. (2023). Comparative assessment of Spire and COSMIC-2 radio occultation data </w:t>
      </w:r>
      <w:r w:rsidRPr="00152DDF">
        <w:tab/>
      </w:r>
      <w:r w:rsidRPr="00152DDF">
        <w:tab/>
        <w:t xml:space="preserve">quality. Remote Sensing, 15(21), 5082. </w:t>
      </w:r>
      <w:r w:rsidRPr="0016640C">
        <w:t>https://doi.org/10.3390/rs15215082</w:t>
      </w:r>
    </w:p>
    <w:p w14:paraId="069762C2" w14:textId="3CC3BA45" w:rsidR="00A63CD3" w:rsidRPr="00152DDF" w:rsidRDefault="00A63CD3" w:rsidP="00152DDF">
      <w:pPr>
        <w:pStyle w:val="NormalWeb"/>
        <w:spacing w:before="0" w:beforeAutospacing="0" w:after="0" w:afterAutospacing="0"/>
        <w:ind w:left="851" w:hanging="851"/>
        <w:jc w:val="both"/>
      </w:pPr>
      <w:r w:rsidRPr="00152DDF">
        <w:t xml:space="preserve">Opaluwa, Y. D. (2017). Modelling atmospheric wet refractivity profile using ground </w:t>
      </w:r>
      <w:r w:rsidRPr="00152DDF">
        <w:tab/>
        <w:t xml:space="preserve">and space-based global positioning system (Doctoral dissertation). Universiti </w:t>
      </w:r>
      <w:r w:rsidRPr="00152DDF">
        <w:tab/>
        <w:t>Teknologi Malaysia, Faculty of Geoinformation and Real Estate.</w:t>
      </w:r>
    </w:p>
    <w:p w14:paraId="78B4547C" w14:textId="77777777" w:rsidR="00AD00E5" w:rsidRDefault="00AD00E5" w:rsidP="00E90BB6">
      <w:pPr>
        <w:pStyle w:val="NormalWeb"/>
        <w:spacing w:before="0" w:beforeAutospacing="0" w:after="0" w:afterAutospacing="0"/>
      </w:pPr>
    </w:p>
    <w:p w14:paraId="2DD63BD8" w14:textId="77777777" w:rsidR="00717939" w:rsidRDefault="00717939" w:rsidP="00E90BB6">
      <w:pPr>
        <w:pStyle w:val="NormalWeb"/>
        <w:spacing w:before="0" w:beforeAutospacing="0" w:after="0" w:afterAutospacing="0"/>
      </w:pPr>
    </w:p>
    <w:p w14:paraId="5CF82F1A" w14:textId="77777777" w:rsidR="00717939" w:rsidRDefault="00717939" w:rsidP="00E90BB6">
      <w:pPr>
        <w:pStyle w:val="NormalWeb"/>
        <w:spacing w:before="0" w:beforeAutospacing="0" w:after="0" w:afterAutospacing="0"/>
      </w:pPr>
    </w:p>
    <w:p w14:paraId="39A38ED6" w14:textId="77777777" w:rsidR="00717939" w:rsidRDefault="00717939" w:rsidP="00E90BB6">
      <w:pPr>
        <w:pStyle w:val="NormalWeb"/>
        <w:spacing w:before="0" w:beforeAutospacing="0" w:after="0" w:afterAutospacing="0"/>
      </w:pPr>
    </w:p>
    <w:p w14:paraId="164F7D0F" w14:textId="77777777" w:rsidR="00717939" w:rsidRDefault="00717939" w:rsidP="00E90BB6">
      <w:pPr>
        <w:pStyle w:val="NormalWeb"/>
        <w:spacing w:before="0" w:beforeAutospacing="0" w:after="0" w:afterAutospacing="0"/>
      </w:pPr>
    </w:p>
    <w:p w14:paraId="1D0E925A" w14:textId="77777777" w:rsidR="00717939" w:rsidRDefault="00717939" w:rsidP="00E90BB6">
      <w:pPr>
        <w:pStyle w:val="NormalWeb"/>
        <w:spacing w:before="0" w:beforeAutospacing="0" w:after="0" w:afterAutospacing="0"/>
      </w:pPr>
    </w:p>
    <w:p w14:paraId="587B60F1" w14:textId="77777777" w:rsidR="00717939" w:rsidRDefault="00717939" w:rsidP="00E90BB6">
      <w:pPr>
        <w:pStyle w:val="NormalWeb"/>
        <w:spacing w:before="0" w:beforeAutospacing="0" w:after="0" w:afterAutospacing="0"/>
      </w:pPr>
    </w:p>
    <w:p w14:paraId="6F81A6AB" w14:textId="77777777" w:rsidR="00717939" w:rsidRDefault="00717939" w:rsidP="00E90BB6">
      <w:pPr>
        <w:pStyle w:val="NormalWeb"/>
        <w:spacing w:before="0" w:beforeAutospacing="0" w:after="0" w:afterAutospacing="0"/>
      </w:pPr>
    </w:p>
    <w:p w14:paraId="528B3447" w14:textId="77777777" w:rsidR="00717939" w:rsidRDefault="00717939" w:rsidP="00E90BB6">
      <w:pPr>
        <w:pStyle w:val="NormalWeb"/>
        <w:spacing w:before="0" w:beforeAutospacing="0" w:after="0" w:afterAutospacing="0"/>
      </w:pPr>
    </w:p>
    <w:p w14:paraId="50D9EACA" w14:textId="77777777" w:rsidR="00717939" w:rsidRDefault="00717939" w:rsidP="00E90BB6">
      <w:pPr>
        <w:pStyle w:val="NormalWeb"/>
        <w:spacing w:before="0" w:beforeAutospacing="0" w:after="0" w:afterAutospacing="0"/>
      </w:pPr>
    </w:p>
    <w:p w14:paraId="539EB498" w14:textId="77777777" w:rsidR="00717939" w:rsidRDefault="00717939" w:rsidP="00E90BB6">
      <w:pPr>
        <w:pStyle w:val="NormalWeb"/>
        <w:spacing w:before="0" w:beforeAutospacing="0" w:after="0" w:afterAutospacing="0"/>
      </w:pPr>
    </w:p>
    <w:p w14:paraId="5F7A0137" w14:textId="77777777" w:rsidR="00717939" w:rsidRDefault="00717939" w:rsidP="00E90BB6">
      <w:pPr>
        <w:pStyle w:val="NormalWeb"/>
        <w:spacing w:before="0" w:beforeAutospacing="0" w:after="0" w:afterAutospacing="0"/>
      </w:pPr>
    </w:p>
    <w:p w14:paraId="2C1A5C87" w14:textId="77777777" w:rsidR="00717939" w:rsidRDefault="00717939" w:rsidP="00E90BB6">
      <w:pPr>
        <w:pStyle w:val="NormalWeb"/>
        <w:spacing w:before="0" w:beforeAutospacing="0" w:after="0" w:afterAutospacing="0"/>
      </w:pPr>
    </w:p>
    <w:p w14:paraId="1916F7CB" w14:textId="77777777" w:rsidR="00717939" w:rsidRDefault="00717939" w:rsidP="00E90BB6">
      <w:pPr>
        <w:pStyle w:val="NormalWeb"/>
        <w:spacing w:before="0" w:beforeAutospacing="0" w:after="0" w:afterAutospacing="0"/>
      </w:pPr>
    </w:p>
    <w:p w14:paraId="5476E371" w14:textId="77777777" w:rsidR="00717939" w:rsidRDefault="00717939" w:rsidP="00E90BB6">
      <w:pPr>
        <w:pStyle w:val="NormalWeb"/>
        <w:spacing w:before="0" w:beforeAutospacing="0" w:after="0" w:afterAutospacing="0"/>
      </w:pPr>
    </w:p>
    <w:p w14:paraId="567D0A08" w14:textId="77777777" w:rsidR="00717939" w:rsidRDefault="00717939" w:rsidP="00E90BB6">
      <w:pPr>
        <w:pStyle w:val="NormalWeb"/>
        <w:spacing w:before="0" w:beforeAutospacing="0" w:after="0" w:afterAutospacing="0"/>
      </w:pPr>
    </w:p>
    <w:p w14:paraId="34809CB7" w14:textId="77777777" w:rsidR="00717939" w:rsidRDefault="00717939" w:rsidP="00E90BB6">
      <w:pPr>
        <w:pStyle w:val="NormalWeb"/>
        <w:spacing w:before="0" w:beforeAutospacing="0" w:after="0" w:afterAutospacing="0"/>
      </w:pPr>
    </w:p>
    <w:p w14:paraId="7FC9ED8C" w14:textId="77777777" w:rsidR="00717939" w:rsidRDefault="00717939" w:rsidP="00E90BB6">
      <w:pPr>
        <w:pStyle w:val="NormalWeb"/>
        <w:spacing w:before="0" w:beforeAutospacing="0" w:after="0" w:afterAutospacing="0"/>
      </w:pPr>
    </w:p>
    <w:p w14:paraId="3FD6E86B" w14:textId="77777777" w:rsidR="00717939" w:rsidRDefault="00717939" w:rsidP="00E90BB6">
      <w:pPr>
        <w:pStyle w:val="NormalWeb"/>
        <w:spacing w:before="0" w:beforeAutospacing="0" w:after="0" w:afterAutospacing="0"/>
      </w:pPr>
    </w:p>
    <w:p w14:paraId="2EC7C06E" w14:textId="77777777" w:rsidR="00DF280C" w:rsidRDefault="00DF280C" w:rsidP="00E90BB6">
      <w:pPr>
        <w:pStyle w:val="NormalWeb"/>
        <w:spacing w:before="0" w:beforeAutospacing="0" w:after="0" w:afterAutospacing="0"/>
      </w:pPr>
    </w:p>
    <w:p w14:paraId="4035AB9B" w14:textId="77777777" w:rsidR="00DF280C" w:rsidRDefault="00DF280C" w:rsidP="00E90BB6">
      <w:pPr>
        <w:pStyle w:val="NormalWeb"/>
        <w:spacing w:before="0" w:beforeAutospacing="0" w:after="0" w:afterAutospacing="0"/>
      </w:pPr>
    </w:p>
    <w:p w14:paraId="20C5F347" w14:textId="77777777" w:rsidR="00717939" w:rsidRDefault="00717939" w:rsidP="00E90BB6">
      <w:pPr>
        <w:pStyle w:val="NormalWeb"/>
        <w:spacing w:before="0" w:beforeAutospacing="0" w:after="0" w:afterAutospacing="0"/>
      </w:pPr>
    </w:p>
    <w:p w14:paraId="1B2E169D" w14:textId="77777777" w:rsidR="00717939" w:rsidRDefault="00717939" w:rsidP="00E90BB6">
      <w:pPr>
        <w:pStyle w:val="NormalWeb"/>
        <w:spacing w:before="0" w:beforeAutospacing="0" w:after="0" w:afterAutospacing="0"/>
      </w:pPr>
    </w:p>
    <w:p w14:paraId="216F32F3" w14:textId="77777777" w:rsidR="00717939" w:rsidRDefault="00717939" w:rsidP="00E90BB6">
      <w:pPr>
        <w:pStyle w:val="NormalWeb"/>
        <w:spacing w:before="0" w:beforeAutospacing="0" w:after="0" w:afterAutospacing="0"/>
      </w:pPr>
    </w:p>
    <w:p w14:paraId="53619CC4" w14:textId="77777777" w:rsidR="00717939" w:rsidRPr="00BE4AF3" w:rsidRDefault="00717939" w:rsidP="00E90BB6">
      <w:pPr>
        <w:pStyle w:val="NormalWeb"/>
        <w:spacing w:before="0" w:beforeAutospacing="0" w:after="0" w:afterAutospacing="0"/>
      </w:pPr>
    </w:p>
    <w:p w14:paraId="391A191A" w14:textId="77777777" w:rsidR="00AD00E5" w:rsidRPr="00717939" w:rsidRDefault="00AD00E5" w:rsidP="00E90BB6">
      <w:pPr>
        <w:spacing w:after="0" w:line="240" w:lineRule="auto"/>
        <w:jc w:val="center"/>
        <w:rPr>
          <w:rFonts w:ascii="Times New Roman" w:eastAsia="Calibri" w:hAnsi="Times New Roman" w:cs="Times New Roman"/>
          <w:b/>
          <w:bCs/>
          <w:sz w:val="28"/>
          <w:szCs w:val="28"/>
        </w:rPr>
      </w:pPr>
      <w:r w:rsidRPr="00717939">
        <w:rPr>
          <w:rFonts w:ascii="Times New Roman" w:eastAsia="Calibri" w:hAnsi="Times New Roman" w:cs="Times New Roman"/>
          <w:b/>
          <w:bCs/>
          <w:sz w:val="28"/>
          <w:szCs w:val="28"/>
        </w:rPr>
        <w:lastRenderedPageBreak/>
        <w:t>The Impacts of Socioeconomic Characteristics and</w:t>
      </w:r>
      <w:r w:rsidRPr="00717939">
        <w:rPr>
          <w:rFonts w:ascii="Times New Roman" w:hAnsi="Times New Roman" w:cs="Times New Roman"/>
          <w:sz w:val="28"/>
          <w:szCs w:val="28"/>
        </w:rPr>
        <w:t xml:space="preserve"> </w:t>
      </w:r>
      <w:r w:rsidRPr="00717939">
        <w:rPr>
          <w:rFonts w:ascii="Times New Roman" w:eastAsia="Calibri" w:hAnsi="Times New Roman" w:cs="Times New Roman"/>
          <w:b/>
          <w:bCs/>
          <w:sz w:val="28"/>
          <w:szCs w:val="28"/>
        </w:rPr>
        <w:t>Landscape Elements on Users’ Preferences in Nigerian Tourist Centers</w:t>
      </w:r>
    </w:p>
    <w:p w14:paraId="3941BE42" w14:textId="77777777" w:rsidR="000C7355" w:rsidRPr="00BE4AF3" w:rsidRDefault="000C7355" w:rsidP="00E90BB6">
      <w:pPr>
        <w:spacing w:after="0" w:line="240" w:lineRule="auto"/>
        <w:jc w:val="center"/>
        <w:rPr>
          <w:rFonts w:ascii="Times New Roman" w:eastAsia="Calibri" w:hAnsi="Times New Roman" w:cs="Times New Roman"/>
          <w:b/>
          <w:bCs/>
          <w:sz w:val="24"/>
          <w:szCs w:val="24"/>
        </w:rPr>
      </w:pPr>
    </w:p>
    <w:p w14:paraId="2A2CAC37" w14:textId="77777777" w:rsidR="00AD00E5" w:rsidRPr="00BE4AF3" w:rsidRDefault="00AD00E5" w:rsidP="00E90BB6">
      <w:pPr>
        <w:autoSpaceDE w:val="0"/>
        <w:autoSpaceDN w:val="0"/>
        <w:adjustRightInd w:val="0"/>
        <w:spacing w:after="0" w:line="240" w:lineRule="auto"/>
        <w:jc w:val="center"/>
        <w:rPr>
          <w:rFonts w:ascii="Times New Roman" w:eastAsia="Times New Roman" w:hAnsi="Times New Roman" w:cs="Times New Roman"/>
          <w:bCs/>
          <w:sz w:val="24"/>
          <w:szCs w:val="24"/>
          <w:vertAlign w:val="superscript"/>
        </w:rPr>
      </w:pPr>
      <w:r w:rsidRPr="00BE4AF3">
        <w:rPr>
          <w:rFonts w:ascii="Times New Roman" w:eastAsia="Times New Roman" w:hAnsi="Times New Roman" w:cs="Times New Roman"/>
          <w:bCs/>
          <w:sz w:val="24"/>
          <w:szCs w:val="24"/>
        </w:rPr>
        <w:t>Makinde Olusola Oladapo</w:t>
      </w:r>
      <w:r w:rsidRPr="00BE4AF3">
        <w:rPr>
          <w:rFonts w:ascii="Times New Roman" w:eastAsia="Times New Roman" w:hAnsi="Times New Roman" w:cs="Times New Roman"/>
          <w:bCs/>
          <w:sz w:val="24"/>
          <w:szCs w:val="24"/>
          <w:vertAlign w:val="superscript"/>
        </w:rPr>
        <w:t>1*</w:t>
      </w:r>
      <w:r w:rsidRPr="00BE4AF3">
        <w:rPr>
          <w:rFonts w:ascii="Times New Roman" w:eastAsia="Times New Roman" w:hAnsi="Times New Roman" w:cs="Times New Roman"/>
          <w:bCs/>
          <w:sz w:val="24"/>
          <w:szCs w:val="24"/>
        </w:rPr>
        <w:t>, Akangbe Olabode Oludayo</w:t>
      </w:r>
      <w:r w:rsidRPr="00BE4AF3">
        <w:rPr>
          <w:rFonts w:ascii="Times New Roman" w:eastAsia="Times New Roman" w:hAnsi="Times New Roman" w:cs="Times New Roman"/>
          <w:bCs/>
          <w:sz w:val="24"/>
          <w:szCs w:val="24"/>
          <w:vertAlign w:val="superscript"/>
        </w:rPr>
        <w:t>1</w:t>
      </w:r>
      <w:r w:rsidRPr="00BE4AF3">
        <w:rPr>
          <w:rFonts w:ascii="Times New Roman" w:eastAsia="Times New Roman" w:hAnsi="Times New Roman" w:cs="Times New Roman"/>
          <w:bCs/>
          <w:sz w:val="24"/>
          <w:szCs w:val="24"/>
        </w:rPr>
        <w:t>, Makinde Olubukunmi Temitope</w:t>
      </w:r>
      <w:r w:rsidRPr="00BE4AF3">
        <w:rPr>
          <w:rFonts w:ascii="Times New Roman" w:eastAsia="Times New Roman" w:hAnsi="Times New Roman" w:cs="Times New Roman"/>
          <w:bCs/>
          <w:sz w:val="24"/>
          <w:szCs w:val="24"/>
          <w:vertAlign w:val="superscript"/>
        </w:rPr>
        <w:t>2</w:t>
      </w:r>
      <w:r w:rsidRPr="00BE4AF3">
        <w:rPr>
          <w:rFonts w:ascii="Times New Roman" w:eastAsia="Times New Roman" w:hAnsi="Times New Roman" w:cs="Times New Roman"/>
          <w:bCs/>
          <w:sz w:val="24"/>
          <w:szCs w:val="24"/>
        </w:rPr>
        <w:t>, Ajiboye Adebola Taofeeq</w:t>
      </w:r>
      <w:r w:rsidRPr="00BE4AF3">
        <w:rPr>
          <w:rFonts w:ascii="Times New Roman" w:eastAsia="Times New Roman" w:hAnsi="Times New Roman" w:cs="Times New Roman"/>
          <w:bCs/>
          <w:sz w:val="24"/>
          <w:szCs w:val="24"/>
          <w:vertAlign w:val="superscript"/>
        </w:rPr>
        <w:t>1</w:t>
      </w:r>
    </w:p>
    <w:p w14:paraId="0ED78357" w14:textId="77777777" w:rsidR="000C7355" w:rsidRPr="00BE4AF3" w:rsidRDefault="000C7355" w:rsidP="00E90BB6">
      <w:pPr>
        <w:autoSpaceDE w:val="0"/>
        <w:autoSpaceDN w:val="0"/>
        <w:adjustRightInd w:val="0"/>
        <w:spacing w:after="0" w:line="240" w:lineRule="auto"/>
        <w:jc w:val="center"/>
        <w:rPr>
          <w:rFonts w:ascii="Times New Roman" w:eastAsia="Times New Roman" w:hAnsi="Times New Roman" w:cs="Times New Roman"/>
          <w:b/>
          <w:bCs/>
          <w:sz w:val="24"/>
          <w:szCs w:val="24"/>
        </w:rPr>
      </w:pPr>
    </w:p>
    <w:p w14:paraId="7CD64D69" w14:textId="77777777" w:rsidR="00AD00E5" w:rsidRPr="00717939" w:rsidRDefault="00AD00E5" w:rsidP="00E90BB6">
      <w:pPr>
        <w:autoSpaceDE w:val="0"/>
        <w:autoSpaceDN w:val="0"/>
        <w:adjustRightInd w:val="0"/>
        <w:spacing w:after="0" w:line="240" w:lineRule="auto"/>
        <w:jc w:val="center"/>
        <w:rPr>
          <w:rFonts w:ascii="Times New Roman" w:eastAsia="Times New Roman" w:hAnsi="Times New Roman" w:cs="Times New Roman"/>
          <w:bCs/>
          <w:sz w:val="20"/>
          <w:szCs w:val="20"/>
        </w:rPr>
      </w:pPr>
      <w:r w:rsidRPr="00717939">
        <w:rPr>
          <w:rFonts w:ascii="Times New Roman" w:eastAsia="Times New Roman" w:hAnsi="Times New Roman" w:cs="Times New Roman"/>
          <w:bCs/>
          <w:sz w:val="20"/>
          <w:szCs w:val="20"/>
          <w:vertAlign w:val="superscript"/>
        </w:rPr>
        <w:t>1</w:t>
      </w:r>
      <w:r w:rsidRPr="00717939">
        <w:rPr>
          <w:rFonts w:ascii="Times New Roman" w:eastAsia="Times New Roman" w:hAnsi="Times New Roman" w:cs="Times New Roman"/>
          <w:bCs/>
          <w:sz w:val="20"/>
          <w:szCs w:val="20"/>
        </w:rPr>
        <w:t>Department of Architecture, Ladoke Akintola University of Technology, Ogbomoso, Oyo State, Nigeria</w:t>
      </w:r>
    </w:p>
    <w:p w14:paraId="4464A6D0" w14:textId="77777777" w:rsidR="00AD00E5" w:rsidRPr="00717939" w:rsidRDefault="00AD00E5" w:rsidP="00E90BB6">
      <w:pPr>
        <w:autoSpaceDE w:val="0"/>
        <w:autoSpaceDN w:val="0"/>
        <w:adjustRightInd w:val="0"/>
        <w:spacing w:after="0" w:line="240" w:lineRule="auto"/>
        <w:jc w:val="center"/>
        <w:rPr>
          <w:rFonts w:ascii="Times New Roman" w:eastAsia="Times New Roman" w:hAnsi="Times New Roman" w:cs="Times New Roman"/>
          <w:bCs/>
          <w:sz w:val="20"/>
          <w:szCs w:val="20"/>
        </w:rPr>
      </w:pPr>
      <w:r w:rsidRPr="00717939">
        <w:rPr>
          <w:rFonts w:ascii="Times New Roman" w:eastAsia="Times New Roman" w:hAnsi="Times New Roman" w:cs="Times New Roman"/>
          <w:bCs/>
          <w:sz w:val="20"/>
          <w:szCs w:val="20"/>
          <w:vertAlign w:val="superscript"/>
        </w:rPr>
        <w:t>2</w:t>
      </w:r>
      <w:r w:rsidRPr="00717939">
        <w:rPr>
          <w:rFonts w:ascii="Times New Roman" w:eastAsia="Times New Roman" w:hAnsi="Times New Roman" w:cs="Times New Roman"/>
          <w:bCs/>
          <w:sz w:val="20"/>
          <w:szCs w:val="20"/>
        </w:rPr>
        <w:t>Department of Estate Management, Osun State University, Osogbo, Nigeria</w:t>
      </w:r>
    </w:p>
    <w:p w14:paraId="6460422B" w14:textId="77777777" w:rsidR="000C7355" w:rsidRPr="00717939" w:rsidRDefault="000C7355" w:rsidP="00E90BB6">
      <w:pPr>
        <w:autoSpaceDE w:val="0"/>
        <w:autoSpaceDN w:val="0"/>
        <w:adjustRightInd w:val="0"/>
        <w:spacing w:after="0" w:line="240" w:lineRule="auto"/>
        <w:jc w:val="center"/>
        <w:rPr>
          <w:rFonts w:ascii="Times New Roman" w:eastAsia="Times New Roman" w:hAnsi="Times New Roman" w:cs="Times New Roman"/>
          <w:b/>
          <w:bCs/>
          <w:sz w:val="20"/>
          <w:szCs w:val="20"/>
        </w:rPr>
      </w:pPr>
    </w:p>
    <w:p w14:paraId="5BD745D5" w14:textId="77777777" w:rsidR="00AD00E5" w:rsidRPr="00717939" w:rsidRDefault="00AD00E5" w:rsidP="00E90BB6">
      <w:pPr>
        <w:autoSpaceDE w:val="0"/>
        <w:autoSpaceDN w:val="0"/>
        <w:adjustRightInd w:val="0"/>
        <w:spacing w:after="0" w:line="240" w:lineRule="auto"/>
        <w:jc w:val="center"/>
        <w:rPr>
          <w:rFonts w:ascii="Times New Roman" w:eastAsia="Times New Roman" w:hAnsi="Times New Roman" w:cs="Times New Roman"/>
          <w:bCs/>
          <w:sz w:val="20"/>
          <w:szCs w:val="20"/>
        </w:rPr>
      </w:pPr>
      <w:r w:rsidRPr="00717939">
        <w:rPr>
          <w:rFonts w:ascii="Times New Roman" w:eastAsia="Times New Roman" w:hAnsi="Times New Roman" w:cs="Times New Roman"/>
          <w:bCs/>
          <w:sz w:val="20"/>
          <w:szCs w:val="20"/>
        </w:rPr>
        <w:t>E-mail:</w:t>
      </w:r>
      <w:r w:rsidRPr="00717939">
        <w:rPr>
          <w:rFonts w:ascii="Times New Roman" w:eastAsia="Times New Roman" w:hAnsi="Times New Roman" w:cs="Times New Roman"/>
          <w:b/>
          <w:bCs/>
          <w:sz w:val="20"/>
          <w:szCs w:val="20"/>
        </w:rPr>
        <w:t xml:space="preserve"> </w:t>
      </w:r>
      <w:hyperlink r:id="rId166" w:history="1">
        <w:r w:rsidRPr="00717939">
          <w:rPr>
            <w:rStyle w:val="Hyperlink"/>
            <w:rFonts w:ascii="Times New Roman" w:eastAsia="Times New Roman" w:hAnsi="Times New Roman" w:cs="Times New Roman"/>
            <w:color w:val="auto"/>
            <w:sz w:val="20"/>
            <w:szCs w:val="20"/>
            <w:u w:val="none"/>
          </w:rPr>
          <w:t>makindeolusola2012@yahoo.com</w:t>
        </w:r>
      </w:hyperlink>
    </w:p>
    <w:p w14:paraId="6C9EF0E4" w14:textId="77777777" w:rsidR="00AD00E5" w:rsidRPr="00BE4AF3" w:rsidRDefault="00AD00E5" w:rsidP="00E90BB6">
      <w:pPr>
        <w:autoSpaceDE w:val="0"/>
        <w:autoSpaceDN w:val="0"/>
        <w:adjustRightInd w:val="0"/>
        <w:spacing w:after="0" w:line="240" w:lineRule="auto"/>
        <w:jc w:val="center"/>
        <w:rPr>
          <w:rFonts w:ascii="Times New Roman" w:eastAsia="Calibri" w:hAnsi="Times New Roman" w:cs="Times New Roman"/>
          <w:b/>
          <w:bCs/>
          <w:sz w:val="24"/>
          <w:szCs w:val="24"/>
        </w:rPr>
      </w:pPr>
    </w:p>
    <w:p w14:paraId="288C45FA" w14:textId="77777777" w:rsidR="00AD00E5" w:rsidRPr="00BE4AF3" w:rsidRDefault="00AD00E5" w:rsidP="00E90BB6">
      <w:pPr>
        <w:spacing w:after="0" w:line="240" w:lineRule="auto"/>
        <w:rPr>
          <w:rFonts w:ascii="Times New Roman" w:eastAsia="Calibri" w:hAnsi="Times New Roman" w:cs="Times New Roman"/>
          <w:b/>
          <w:bCs/>
          <w:sz w:val="24"/>
          <w:szCs w:val="24"/>
        </w:rPr>
      </w:pPr>
      <w:r w:rsidRPr="00BE4AF3">
        <w:rPr>
          <w:rFonts w:ascii="Times New Roman" w:eastAsia="Calibri" w:hAnsi="Times New Roman" w:cs="Times New Roman"/>
          <w:b/>
          <w:bCs/>
          <w:sz w:val="24"/>
          <w:szCs w:val="24"/>
        </w:rPr>
        <w:t>LICFES 2025-050 – FP23</w:t>
      </w:r>
    </w:p>
    <w:p w14:paraId="28655812" w14:textId="77777777" w:rsidR="00AD00E5" w:rsidRPr="00BE4AF3" w:rsidRDefault="00AD00E5" w:rsidP="00E90BB6">
      <w:pPr>
        <w:spacing w:after="0" w:line="240" w:lineRule="auto"/>
        <w:rPr>
          <w:rFonts w:ascii="Times New Roman" w:eastAsia="Calibri" w:hAnsi="Times New Roman" w:cs="Times New Roman"/>
          <w:b/>
          <w:bCs/>
          <w:sz w:val="24"/>
          <w:szCs w:val="24"/>
        </w:rPr>
      </w:pPr>
      <w:r w:rsidRPr="00BE4AF3">
        <w:rPr>
          <w:rFonts w:ascii="Times New Roman" w:eastAsia="Calibri" w:hAnsi="Times New Roman" w:cs="Times New Roman"/>
          <w:b/>
          <w:bCs/>
          <w:sz w:val="24"/>
          <w:szCs w:val="24"/>
        </w:rPr>
        <w:t>Abstract</w:t>
      </w:r>
    </w:p>
    <w:p w14:paraId="52F0729F" w14:textId="77777777" w:rsidR="00AD00E5" w:rsidRPr="00BE4AF3" w:rsidRDefault="00AD00E5" w:rsidP="00E90BB6">
      <w:pPr>
        <w:widowControl w:val="0"/>
        <w:spacing w:after="0" w:line="240" w:lineRule="auto"/>
        <w:jc w:val="both"/>
        <w:rPr>
          <w:rFonts w:ascii="Times New Roman" w:eastAsia="Calibri" w:hAnsi="Times New Roman" w:cs="Times New Roman"/>
          <w:sz w:val="24"/>
          <w:szCs w:val="24"/>
        </w:rPr>
      </w:pPr>
      <w:r w:rsidRPr="00BE4AF3">
        <w:rPr>
          <w:rFonts w:ascii="Times New Roman" w:eastAsia="Times New Roman" w:hAnsi="Times New Roman" w:cs="Times New Roman"/>
          <w:sz w:val="24"/>
          <w:szCs w:val="24"/>
        </w:rPr>
        <w:t>There is a notable gap in empirical research focusing on the impacts of socioeconomic characteristics and quality of Landscape Elements (LEs) on</w:t>
      </w:r>
      <w:r w:rsidRPr="00BE4AF3">
        <w:rPr>
          <w:rFonts w:ascii="Times New Roman" w:hAnsi="Times New Roman" w:cs="Times New Roman"/>
          <w:sz w:val="24"/>
          <w:szCs w:val="24"/>
        </w:rPr>
        <w:t xml:space="preserve"> </w:t>
      </w:r>
      <w:r w:rsidRPr="00BE4AF3">
        <w:rPr>
          <w:rFonts w:ascii="Times New Roman" w:eastAsia="Times New Roman" w:hAnsi="Times New Roman" w:cs="Times New Roman"/>
          <w:sz w:val="24"/>
          <w:szCs w:val="24"/>
        </w:rPr>
        <w:t>the users'</w:t>
      </w:r>
      <w:r w:rsidRPr="00BE4AF3">
        <w:rPr>
          <w:rFonts w:ascii="Times New Roman" w:hAnsi="Times New Roman" w:cs="Times New Roman"/>
          <w:sz w:val="24"/>
          <w:szCs w:val="24"/>
        </w:rPr>
        <w:t xml:space="preserve"> </w:t>
      </w:r>
      <w:r w:rsidRPr="00BE4AF3">
        <w:rPr>
          <w:rFonts w:ascii="Times New Roman" w:eastAsia="Times New Roman" w:hAnsi="Times New Roman" w:cs="Times New Roman"/>
          <w:sz w:val="24"/>
          <w:szCs w:val="24"/>
        </w:rPr>
        <w:t>preferences and their experiences, particularly in Nigerian tourist centers. Primary and secondary data were used in this study.</w:t>
      </w:r>
      <w:r w:rsidRPr="00BE4AF3">
        <w:rPr>
          <w:rFonts w:ascii="Times New Roman" w:eastAsia="Calibri" w:hAnsi="Times New Roman" w:cs="Times New Roman"/>
          <w:sz w:val="24"/>
          <w:szCs w:val="24"/>
        </w:rPr>
        <w:t xml:space="preserve"> </w:t>
      </w:r>
      <w:r w:rsidRPr="00BE4AF3">
        <w:rPr>
          <w:rFonts w:ascii="Times New Roman" w:eastAsia="Times New Roman" w:hAnsi="Times New Roman" w:cs="Times New Roman"/>
          <w:sz w:val="24"/>
          <w:szCs w:val="24"/>
        </w:rPr>
        <w:t>Relevant information was obtained from the staff of the tourist centers and visitors. Six tourist hotels were selected,</w:t>
      </w:r>
      <w:r w:rsidRPr="00BE4AF3">
        <w:rPr>
          <w:rFonts w:ascii="Times New Roman" w:eastAsia="Calibri" w:hAnsi="Times New Roman" w:cs="Times New Roman"/>
          <w:sz w:val="24"/>
          <w:szCs w:val="24"/>
        </w:rPr>
        <w:t xml:space="preserve"> </w:t>
      </w:r>
      <w:r w:rsidRPr="00BE4AF3">
        <w:rPr>
          <w:rFonts w:ascii="Times New Roman" w:eastAsia="Times New Roman" w:hAnsi="Times New Roman" w:cs="Times New Roman"/>
          <w:sz w:val="24"/>
          <w:szCs w:val="24"/>
        </w:rPr>
        <w:t>one from each state</w:t>
      </w:r>
      <w:r w:rsidRPr="00BE4AF3">
        <w:rPr>
          <w:rFonts w:ascii="Times New Roman" w:eastAsia="Calibri" w:hAnsi="Times New Roman" w:cs="Times New Roman"/>
          <w:sz w:val="24"/>
          <w:szCs w:val="24"/>
        </w:rPr>
        <w:t xml:space="preserve"> in </w:t>
      </w:r>
      <w:r w:rsidRPr="00BE4AF3">
        <w:rPr>
          <w:rFonts w:ascii="Times New Roman" w:eastAsia="Times New Roman" w:hAnsi="Times New Roman" w:cs="Times New Roman"/>
          <w:sz w:val="24"/>
          <w:szCs w:val="24"/>
        </w:rPr>
        <w:t>Southwest Nigeria. The total number of visitors to the tourist center hotel was 2,520 from which 13.7% representing 345 respondents were selected. Accidental sampling technique was used for questionnaire administration.</w:t>
      </w:r>
      <w:r w:rsidRPr="00BE4AF3">
        <w:rPr>
          <w:rFonts w:ascii="Times New Roman" w:eastAsia="Calibri" w:hAnsi="Times New Roman" w:cs="Times New Roman"/>
          <w:sz w:val="24"/>
          <w:szCs w:val="24"/>
        </w:rPr>
        <w:t xml:space="preserve"> </w:t>
      </w:r>
      <w:r w:rsidRPr="00BE4AF3">
        <w:rPr>
          <w:rFonts w:ascii="Times New Roman" w:eastAsia="Times New Roman" w:hAnsi="Times New Roman" w:cs="Times New Roman"/>
          <w:sz w:val="24"/>
          <w:szCs w:val="24"/>
        </w:rPr>
        <w:t>Descriptive statistics that comprised frequency count, mean, likers scale, and index were used for analysis. The results show that 73.5% of the respondents were male and 26.5% were female. The age range indicated that 5.4% of the users were between 18 and 25 years old, while 63.1%, had age range 36-45. In addition, 24.6% and 66.2% indicated that they visit tourist centres twice a year and more than twice a year, respectively. The results of visitors’ purpose of visitation to tourist centres indicated that 54.3% visited because of leisure, while</w:t>
      </w:r>
      <w:r w:rsidRPr="00BE4AF3">
        <w:rPr>
          <w:rFonts w:ascii="Times New Roman" w:eastAsia="Calibri" w:hAnsi="Times New Roman" w:cs="Times New Roman"/>
          <w:sz w:val="24"/>
          <w:szCs w:val="24"/>
        </w:rPr>
        <w:t xml:space="preserve"> because of </w:t>
      </w:r>
      <w:r w:rsidRPr="00BE4AF3">
        <w:rPr>
          <w:rFonts w:ascii="Times New Roman" w:eastAsia="Times New Roman" w:hAnsi="Times New Roman" w:cs="Times New Roman"/>
          <w:sz w:val="24"/>
          <w:szCs w:val="24"/>
        </w:rPr>
        <w:t>education had 31.2% and</w:t>
      </w:r>
      <w:r w:rsidRPr="00BE4AF3">
        <w:rPr>
          <w:rFonts w:ascii="Times New Roman" w:hAnsi="Times New Roman" w:cs="Times New Roman"/>
          <w:sz w:val="24"/>
          <w:szCs w:val="24"/>
        </w:rPr>
        <w:t xml:space="preserve"> </w:t>
      </w:r>
      <w:r w:rsidRPr="00BE4AF3">
        <w:rPr>
          <w:rFonts w:ascii="Times New Roman" w:eastAsia="Times New Roman" w:hAnsi="Times New Roman" w:cs="Times New Roman"/>
          <w:sz w:val="24"/>
          <w:szCs w:val="24"/>
        </w:rPr>
        <w:t>because of</w:t>
      </w:r>
      <w:r w:rsidRPr="00BE4AF3">
        <w:rPr>
          <w:rFonts w:ascii="Times New Roman" w:eastAsia="Calibri" w:hAnsi="Times New Roman" w:cs="Times New Roman"/>
          <w:sz w:val="24"/>
          <w:szCs w:val="24"/>
        </w:rPr>
        <w:t xml:space="preserve"> </w:t>
      </w:r>
      <w:r w:rsidRPr="00BE4AF3">
        <w:rPr>
          <w:rFonts w:ascii="Times New Roman" w:eastAsia="Times New Roman" w:hAnsi="Times New Roman" w:cs="Times New Roman"/>
          <w:sz w:val="24"/>
          <w:szCs w:val="24"/>
        </w:rPr>
        <w:t>adventure had 14.5%. The results</w:t>
      </w:r>
      <w:r w:rsidRPr="00BE4AF3">
        <w:rPr>
          <w:rFonts w:ascii="Times New Roman" w:eastAsia="Calibri" w:hAnsi="Times New Roman" w:cs="Times New Roman"/>
          <w:sz w:val="24"/>
          <w:szCs w:val="24"/>
        </w:rPr>
        <w:t xml:space="preserve"> of users’ assessment</w:t>
      </w:r>
      <w:r w:rsidRPr="00BE4AF3">
        <w:rPr>
          <w:rFonts w:ascii="Times New Roman" w:eastAsia="Times New Roman" w:hAnsi="Times New Roman" w:cs="Times New Roman"/>
          <w:sz w:val="24"/>
          <w:szCs w:val="24"/>
        </w:rPr>
        <w:t xml:space="preserve"> of the LEs show that</w:t>
      </w:r>
      <w:r w:rsidRPr="00BE4AF3">
        <w:rPr>
          <w:rFonts w:ascii="Times New Roman" w:eastAsia="Calibri" w:hAnsi="Times New Roman" w:cs="Times New Roman"/>
          <w:sz w:val="24"/>
          <w:szCs w:val="24"/>
        </w:rPr>
        <w:t xml:space="preserve"> </w:t>
      </w:r>
      <w:r w:rsidRPr="00BE4AF3">
        <w:rPr>
          <w:rFonts w:ascii="Times New Roman" w:eastAsia="Times New Roman" w:hAnsi="Times New Roman" w:cs="Times New Roman"/>
          <w:sz w:val="24"/>
          <w:szCs w:val="24"/>
        </w:rPr>
        <w:t xml:space="preserve">the majority of landscape features were positively rated as good, including vegetation (63.7%), water features (58.7%), pathways and walkways (63.7%). </w:t>
      </w:r>
      <w:r w:rsidRPr="00BE4AF3">
        <w:rPr>
          <w:rFonts w:ascii="Times New Roman" w:eastAsia="Calibri" w:hAnsi="Times New Roman" w:cs="Times New Roman"/>
          <w:sz w:val="24"/>
          <w:szCs w:val="24"/>
        </w:rPr>
        <w:t>Majority of respondents (85.1%) indicated that they strongly agree that the quality of LEs impacts their choice of tourist destination. The result on the importance of LEs to visitors preference index (ILEVPI) indicated that 12 variables out of 20 identified had the ILEVPI above average of 4.21. These include: seating areas, wildlife habitats, and gardens among others.</w:t>
      </w:r>
      <w:r w:rsidRPr="00BE4AF3">
        <w:rPr>
          <w:rFonts w:ascii="Times New Roman" w:hAnsi="Times New Roman" w:cs="Times New Roman"/>
          <w:sz w:val="24"/>
          <w:szCs w:val="24"/>
        </w:rPr>
        <w:t xml:space="preserve"> The result shows that there is a significant relationship between variables of socioeconomic characteristics and users’ preferences with P-values that were significant at 0.05 levels, these comprised: gender, age, occupation and education qualification, marital status, and monthly income with P-values of 0.014, 0.000, 0.000, 0.050, 0.010, and 0.020 respectively. </w:t>
      </w:r>
      <w:r w:rsidRPr="00BE4AF3">
        <w:rPr>
          <w:rFonts w:ascii="Times New Roman" w:eastAsia="Calibri" w:hAnsi="Times New Roman" w:cs="Times New Roman"/>
          <w:sz w:val="24"/>
          <w:szCs w:val="24"/>
        </w:rPr>
        <w:t>The study concluded that the impacts of LEs and socioeconomic characteristics of users are high and they are strong factors that determined the users’ Preferences for tourists’ center. These findings recommend that investing in the development, maintenance of attractive and well-planned landscapes is a strategic approach to enhancing the appeal and competitiveness of tourist centers.</w:t>
      </w:r>
    </w:p>
    <w:p w14:paraId="6D6A0D8F" w14:textId="77777777" w:rsidR="000C7355" w:rsidRPr="00BE4AF3" w:rsidRDefault="000C7355" w:rsidP="00E90BB6">
      <w:pPr>
        <w:spacing w:after="0" w:line="240" w:lineRule="auto"/>
        <w:jc w:val="both"/>
        <w:rPr>
          <w:rFonts w:ascii="Times New Roman" w:eastAsia="Calibri" w:hAnsi="Times New Roman" w:cs="Times New Roman"/>
          <w:b/>
          <w:bCs/>
          <w:sz w:val="24"/>
          <w:szCs w:val="24"/>
        </w:rPr>
      </w:pPr>
    </w:p>
    <w:p w14:paraId="189711F3" w14:textId="77777777" w:rsidR="00AD00E5" w:rsidRPr="00BE4AF3" w:rsidRDefault="00AD00E5" w:rsidP="00E90BB6">
      <w:pPr>
        <w:spacing w:after="0" w:line="240" w:lineRule="auto"/>
        <w:jc w:val="both"/>
        <w:rPr>
          <w:rFonts w:ascii="Times New Roman" w:eastAsia="Calibri" w:hAnsi="Times New Roman" w:cs="Times New Roman"/>
          <w:sz w:val="24"/>
          <w:szCs w:val="24"/>
        </w:rPr>
      </w:pPr>
      <w:r w:rsidRPr="00BE4AF3">
        <w:rPr>
          <w:rFonts w:ascii="Times New Roman" w:eastAsia="Calibri" w:hAnsi="Times New Roman" w:cs="Times New Roman"/>
          <w:b/>
          <w:bCs/>
          <w:sz w:val="24"/>
          <w:szCs w:val="24"/>
        </w:rPr>
        <w:t>Keywords:</w:t>
      </w:r>
      <w:r w:rsidRPr="00BE4AF3">
        <w:rPr>
          <w:rFonts w:ascii="Times New Roman" w:eastAsia="Calibri" w:hAnsi="Times New Roman" w:cs="Times New Roman"/>
          <w:bCs/>
          <w:sz w:val="24"/>
          <w:szCs w:val="24"/>
        </w:rPr>
        <w:t xml:space="preserve"> Landscape Elements, Socioeconomic Characteristics,</w:t>
      </w:r>
      <w:r w:rsidRPr="00BE4AF3">
        <w:rPr>
          <w:rFonts w:ascii="Times New Roman" w:hAnsi="Times New Roman" w:cs="Times New Roman"/>
          <w:sz w:val="24"/>
          <w:szCs w:val="24"/>
        </w:rPr>
        <w:t xml:space="preserve"> </w:t>
      </w:r>
      <w:r w:rsidRPr="00BE4AF3">
        <w:rPr>
          <w:rFonts w:ascii="Times New Roman" w:eastAsia="Calibri" w:hAnsi="Times New Roman" w:cs="Times New Roman"/>
          <w:bCs/>
          <w:sz w:val="24"/>
          <w:szCs w:val="24"/>
        </w:rPr>
        <w:t>Preferences, Experiences, Tourist Centers</w:t>
      </w:r>
      <w:r w:rsidRPr="00BE4AF3">
        <w:rPr>
          <w:rFonts w:ascii="Times New Roman" w:eastAsia="Calibri" w:hAnsi="Times New Roman" w:cs="Times New Roman"/>
          <w:sz w:val="24"/>
          <w:szCs w:val="24"/>
        </w:rPr>
        <w:tab/>
      </w:r>
    </w:p>
    <w:p w14:paraId="76985970" w14:textId="77777777" w:rsidR="00AD00E5" w:rsidRPr="00BE4AF3" w:rsidRDefault="00AD00E5" w:rsidP="00E90BB6">
      <w:pPr>
        <w:pStyle w:val="NormalWeb"/>
        <w:spacing w:before="0" w:beforeAutospacing="0" w:after="0" w:afterAutospacing="0"/>
      </w:pPr>
    </w:p>
    <w:p w14:paraId="4DAC0670" w14:textId="304E96BD" w:rsidR="00A63CD3" w:rsidRPr="00BE4AF3" w:rsidRDefault="00A63CD3" w:rsidP="00A63CD3">
      <w:pPr>
        <w:spacing w:after="0" w:line="240" w:lineRule="auto"/>
        <w:jc w:val="both"/>
        <w:rPr>
          <w:rFonts w:ascii="Times New Roman" w:eastAsia="Calibri" w:hAnsi="Times New Roman" w:cs="Times New Roman"/>
          <w:b/>
          <w:bCs/>
          <w:color w:val="000000" w:themeColor="text1"/>
          <w:sz w:val="24"/>
          <w:szCs w:val="24"/>
        </w:rPr>
      </w:pPr>
      <w:r w:rsidRPr="00BE4AF3">
        <w:rPr>
          <w:rFonts w:ascii="Times New Roman" w:eastAsia="Calibri" w:hAnsi="Times New Roman" w:cs="Times New Roman"/>
          <w:b/>
          <w:bCs/>
          <w:color w:val="000000" w:themeColor="text1"/>
          <w:sz w:val="24"/>
          <w:szCs w:val="24"/>
        </w:rPr>
        <w:t>Introduction</w:t>
      </w:r>
    </w:p>
    <w:p w14:paraId="5B7FCE21" w14:textId="77777777" w:rsidR="00A63CD3" w:rsidRPr="00BE4AF3" w:rsidRDefault="00A63CD3" w:rsidP="00717939">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Despite extensive research on tourist center users globally, there is a significant gap in understanding the socio-economic characteristics of users and LEs quality in tourist centers in Southwest Nigeria. Study such as Suriati </w:t>
      </w:r>
      <w:r w:rsidRPr="00BE4AF3">
        <w:rPr>
          <w:rFonts w:ascii="Times New Roman" w:eastAsia="Calibri" w:hAnsi="Times New Roman" w:cs="Times New Roman"/>
          <w:i/>
          <w:color w:val="000000" w:themeColor="text1"/>
          <w:sz w:val="24"/>
          <w:szCs w:val="24"/>
        </w:rPr>
        <w:t>et al.</w:t>
      </w:r>
      <w:r w:rsidRPr="00BE4AF3">
        <w:rPr>
          <w:rFonts w:ascii="Times New Roman" w:eastAsia="Calibri" w:hAnsi="Times New Roman" w:cs="Times New Roman"/>
          <w:color w:val="000000" w:themeColor="text1"/>
          <w:sz w:val="24"/>
          <w:szCs w:val="24"/>
        </w:rPr>
        <w:t xml:space="preserve"> (2022) had focused on landscape maintenance and landscape perception, respectively, but have not adequately addressed socio-economic </w:t>
      </w:r>
      <w:r w:rsidRPr="00BE4AF3">
        <w:rPr>
          <w:rFonts w:ascii="Times New Roman" w:eastAsia="Calibri" w:hAnsi="Times New Roman" w:cs="Times New Roman"/>
          <w:color w:val="000000" w:themeColor="text1"/>
          <w:sz w:val="24"/>
          <w:szCs w:val="24"/>
        </w:rPr>
        <w:lastRenderedPageBreak/>
        <w:t xml:space="preserve">characteristics. Therefore, this research aims to fill this gap by exploring the demographic composition of tourists in Southwest Nigeria, which is essential for developing targeted strategies and enhancing visitor experiences. Existing literature by </w:t>
      </w:r>
      <w:r w:rsidRPr="00BE4AF3">
        <w:rPr>
          <w:rFonts w:ascii="Times New Roman" w:hAnsi="Times New Roman" w:cs="Times New Roman"/>
          <w:color w:val="000000" w:themeColor="text1"/>
          <w:sz w:val="24"/>
          <w:szCs w:val="24"/>
          <w:lang w:eastAsia="en-GB"/>
        </w:rPr>
        <w:t>Camilleri, (2017)</w:t>
      </w:r>
      <w:r w:rsidRPr="00BE4AF3">
        <w:rPr>
          <w:rFonts w:ascii="Times New Roman" w:eastAsia="Calibri" w:hAnsi="Times New Roman" w:cs="Times New Roman"/>
          <w:color w:val="000000" w:themeColor="text1"/>
          <w:sz w:val="24"/>
          <w:szCs w:val="24"/>
        </w:rPr>
        <w:t xml:space="preserve"> and Deng, et al (2020) highlights the importance of understanding the socio-economic characteristics of users in LE management and urban ecosystem services. However, there is limited synthesis of these interactions. Additionally, socio-economic status significantly influences participation in leisure-time physical activity (Aboufazeli et al., 2024; Hongpeng et al., 2024).</w:t>
      </w:r>
    </w:p>
    <w:p w14:paraId="5113A0DA" w14:textId="77777777" w:rsidR="00A63CD3" w:rsidRPr="00BE4AF3" w:rsidRDefault="00A63CD3" w:rsidP="00717939">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Assessing the quality of existing LEs such as vegetation, water features, architectural design, and their integration into the natural environment is crucial for understanding their aesthetic and functional contributions to visitor experiences</w:t>
      </w:r>
      <w:r w:rsidRPr="00BE4AF3">
        <w:rPr>
          <w:rFonts w:ascii="Times New Roman" w:hAnsi="Times New Roman" w:cs="Times New Roman"/>
          <w:color w:val="000000" w:themeColor="text1"/>
          <w:sz w:val="24"/>
          <w:szCs w:val="24"/>
        </w:rPr>
        <w:t xml:space="preserve"> (</w:t>
      </w:r>
      <w:r w:rsidRPr="00BE4AF3">
        <w:rPr>
          <w:rFonts w:ascii="Times New Roman" w:eastAsia="Calibri" w:hAnsi="Times New Roman" w:cs="Times New Roman"/>
          <w:color w:val="000000" w:themeColor="text1"/>
          <w:sz w:val="24"/>
          <w:szCs w:val="24"/>
        </w:rPr>
        <w:t xml:space="preserve">John, &amp; Ayeni, 2019). While some studies discuss general landscape features, there is a lack of detailed methodologies for systematically assessing the quality of these elements within the Nigerian tourist centers, particularly those near natural landmarks like Owu Fall. As the current state of landscape quality in Nigerian tourist centers remains largely unknown, with limited studies addressing this area (Ayeni, 2012; Sadiq </w:t>
      </w:r>
      <w:r w:rsidRPr="00BE4AF3">
        <w:rPr>
          <w:rFonts w:ascii="Times New Roman" w:eastAsia="Calibri" w:hAnsi="Times New Roman" w:cs="Times New Roman"/>
          <w:i/>
          <w:color w:val="000000" w:themeColor="text1"/>
          <w:sz w:val="24"/>
          <w:szCs w:val="24"/>
        </w:rPr>
        <w:t>et al.,</w:t>
      </w:r>
      <w:r w:rsidRPr="00BE4AF3">
        <w:rPr>
          <w:rFonts w:ascii="Times New Roman" w:eastAsia="Calibri" w:hAnsi="Times New Roman" w:cs="Times New Roman"/>
          <w:color w:val="000000" w:themeColor="text1"/>
          <w:sz w:val="24"/>
          <w:szCs w:val="24"/>
        </w:rPr>
        <w:t xml:space="preserve"> 2020). Sadiq et al. (2020) explored the impact of landscape on tourism development through a case study of Abuja, while Ayeni (2012b) examined initiatives for enhancing Nigeria's tourist attractions through landscaping. However, there is a significant gap in research specifically identifying and assessing the quality of LEs in Southwest Nigeria.</w:t>
      </w:r>
    </w:p>
    <w:p w14:paraId="790EB55E" w14:textId="77777777" w:rsidR="00A63CD3" w:rsidRPr="00BE4AF3" w:rsidRDefault="00A63CD3" w:rsidP="00717939">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In the context of landscape quality, various scholars, including Eseigbe (2014), Bodunde (2020), Emmanuel (2021) and Jessel, (2006) have extensively explored various aspects of landscape and tourism. Their research ranges from addressing the cost of landscape practices to the maintenance of conventional plant landscapes. However, there is a notable gap in empirical research focusing on the quality of LEs and their impact on user experiences, particularly in Nigerian tourist centers near natural landmarks.. While some studies touch upon the broader aspects of landscape quality or aesthetics, there is a lack of detailed methodologies for systematically assessing the quality of LEs such as vegetation, water features, and architectural design. This is crucial for understanding their aesthetic and functional contributions to visitor experiences.</w:t>
      </w:r>
    </w:p>
    <w:p w14:paraId="4450BFC0" w14:textId="77777777" w:rsidR="00A63CD3" w:rsidRPr="00BE4AF3" w:rsidRDefault="00A63CD3" w:rsidP="00717939">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Existing research has explored the influence of various factors on user preferences and experiences in tourist centers, such as the perception of landscape and its implications in tourism. For example, Terkenli </w:t>
      </w:r>
      <w:r w:rsidRPr="00BE4AF3">
        <w:rPr>
          <w:rFonts w:ascii="Times New Roman" w:eastAsia="Calibri" w:hAnsi="Times New Roman" w:cs="Times New Roman"/>
          <w:i/>
          <w:color w:val="000000" w:themeColor="text1"/>
          <w:sz w:val="24"/>
          <w:szCs w:val="24"/>
        </w:rPr>
        <w:t xml:space="preserve">et al. </w:t>
      </w:r>
      <w:r w:rsidRPr="00BE4AF3">
        <w:rPr>
          <w:rFonts w:ascii="Times New Roman" w:eastAsia="Calibri" w:hAnsi="Times New Roman" w:cs="Times New Roman"/>
          <w:color w:val="000000" w:themeColor="text1"/>
          <w:sz w:val="24"/>
          <w:szCs w:val="24"/>
        </w:rPr>
        <w:t xml:space="preserve">(2019) conducted a comparative study on locals' and visitors' perceptions of tourist landscapes in selected destinations in Poland and Greece. Rumao (2016) assessed users' perceptions of campus landscapes at the University of Texas at Arlington. Additionally, Sadiq </w:t>
      </w:r>
      <w:r w:rsidRPr="00BE4AF3">
        <w:rPr>
          <w:rFonts w:ascii="Times New Roman" w:eastAsia="Calibri" w:hAnsi="Times New Roman" w:cs="Times New Roman"/>
          <w:i/>
          <w:color w:val="000000" w:themeColor="text1"/>
          <w:sz w:val="24"/>
          <w:szCs w:val="24"/>
        </w:rPr>
        <w:t>et al.</w:t>
      </w:r>
      <w:r w:rsidRPr="00BE4AF3">
        <w:rPr>
          <w:rFonts w:ascii="Times New Roman" w:eastAsia="Calibri" w:hAnsi="Times New Roman" w:cs="Times New Roman"/>
          <w:color w:val="000000" w:themeColor="text1"/>
          <w:sz w:val="24"/>
          <w:szCs w:val="24"/>
        </w:rPr>
        <w:t xml:space="preserve"> (2020) studied the impact of landscape on tourism development with a case study of Millennium Park in Abuja. While several factors influence user preferences and experiences, there is a notable gap in the existing literature regarding the specific role of LEs quality in shaping these preferences and experiences. There is a lack of detailed methodologies for systematically assessing the quality of LEs such as vegetation, water features, and architectural design within the context of Nigerian tourist centers. This is crucial for understanding their aesthetic and functional contributions to visitor experiences.</w:t>
      </w:r>
    </w:p>
    <w:p w14:paraId="68D8F21A" w14:textId="77777777" w:rsidR="00A63CD3" w:rsidRPr="00BE4AF3" w:rsidRDefault="00A63CD3" w:rsidP="00717939">
      <w:pPr>
        <w:spacing w:after="0" w:line="240" w:lineRule="auto"/>
        <w:jc w:val="both"/>
        <w:rPr>
          <w:rFonts w:ascii="Times New Roman"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Proposing design considerations for a well-standard landscape require integrating insights from user preferences, landscape assessments, and sustainable tourism principles. Existing guidelines often lack specificity for designing hospitality facilities that harmonize with natural landscapes while meeting visitor expectations and environmental sustainability goals</w:t>
      </w:r>
      <w:r w:rsidRPr="00BE4AF3">
        <w:rPr>
          <w:rFonts w:ascii="Times New Roman" w:hAnsi="Times New Roman" w:cs="Times New Roman"/>
          <w:color w:val="000000" w:themeColor="text1"/>
          <w:sz w:val="24"/>
          <w:szCs w:val="24"/>
        </w:rPr>
        <w:t xml:space="preserve"> (</w:t>
      </w:r>
      <w:r w:rsidRPr="00BE4AF3">
        <w:rPr>
          <w:rFonts w:ascii="Times New Roman" w:eastAsia="Calibri" w:hAnsi="Times New Roman" w:cs="Times New Roman"/>
          <w:color w:val="000000" w:themeColor="text1"/>
          <w:sz w:val="24"/>
          <w:szCs w:val="24"/>
        </w:rPr>
        <w:t xml:space="preserve">Ijeomah, 2019; Jahani, et al. 2023). Developing design frameworks will provide practical guidance for developers to create sustainable and aesthetically pleasing accommodations that enhance the overall tourism experience. The study therefore answered the following research question: </w:t>
      </w:r>
      <w:r w:rsidRPr="00BE4AF3">
        <w:rPr>
          <w:rFonts w:ascii="Times New Roman" w:hAnsi="Times New Roman" w:cs="Times New Roman"/>
          <w:color w:val="000000" w:themeColor="text1"/>
          <w:sz w:val="24"/>
          <w:szCs w:val="24"/>
        </w:rPr>
        <w:t xml:space="preserve">What are the socio-economic characteristics of users at the selected tourist centers in the study areas? What LEs are present in the study areas, and how can they be assessed? How do users perceive the quality of LEs in the study areas? In what ways does the quality of LEs influence </w:t>
      </w:r>
      <w:r w:rsidRPr="00BE4AF3">
        <w:rPr>
          <w:rFonts w:ascii="Times New Roman" w:hAnsi="Times New Roman" w:cs="Times New Roman"/>
          <w:color w:val="000000" w:themeColor="text1"/>
          <w:sz w:val="24"/>
          <w:szCs w:val="24"/>
        </w:rPr>
        <w:lastRenderedPageBreak/>
        <w:t xml:space="preserve">users' preferences in the study areas? What design considerations should be proposed for a well-standard landscape hotel? </w:t>
      </w:r>
    </w:p>
    <w:p w14:paraId="65CCC8FA" w14:textId="77777777" w:rsidR="00A63CD3" w:rsidRPr="00BE4AF3" w:rsidRDefault="00A63CD3" w:rsidP="00717939">
      <w:pPr>
        <w:spacing w:after="0" w:line="240" w:lineRule="auto"/>
        <w:jc w:val="both"/>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color w:val="000000" w:themeColor="text1"/>
          <w:sz w:val="24"/>
          <w:szCs w:val="24"/>
        </w:rPr>
        <w:t xml:space="preserve">The insights derived from this research will influence tourism development, facilitating planning decisions that prioritize high-quality LEs and sustainable tourism development. The study will also contribute insights into users' perceptions, an underexplored area. It laid the groundwork for future research in similar contexts, increasing interest in the research subject. Furthermore, the study fills a gap by examining the specific correlation between LEs quality and user perceptions in a tourist center. This enhances the theoretical foundations of tourism studies and environmental psychology and provides practical implications for hotel design. </w:t>
      </w:r>
    </w:p>
    <w:p w14:paraId="4315B5D8" w14:textId="77777777" w:rsidR="00717939" w:rsidRDefault="00717939" w:rsidP="00A63CD3">
      <w:pPr>
        <w:spacing w:after="0" w:line="240" w:lineRule="auto"/>
        <w:rPr>
          <w:rFonts w:ascii="Times New Roman" w:eastAsia="Calibri" w:hAnsi="Times New Roman" w:cs="Times New Roman"/>
          <w:b/>
          <w:color w:val="000000" w:themeColor="text1"/>
          <w:sz w:val="24"/>
          <w:szCs w:val="24"/>
        </w:rPr>
      </w:pPr>
    </w:p>
    <w:p w14:paraId="7C47107C" w14:textId="7237005C" w:rsidR="00A63CD3" w:rsidRPr="00BE4AF3" w:rsidRDefault="00A63CD3" w:rsidP="00A63CD3">
      <w:pPr>
        <w:spacing w:after="0" w:line="240" w:lineRule="auto"/>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b/>
          <w:color w:val="000000" w:themeColor="text1"/>
          <w:sz w:val="24"/>
          <w:szCs w:val="24"/>
        </w:rPr>
        <w:t>Literature Review</w:t>
      </w:r>
    </w:p>
    <w:p w14:paraId="6192E015" w14:textId="77777777" w:rsidR="00717939" w:rsidRDefault="00717939" w:rsidP="00A63CD3">
      <w:pPr>
        <w:spacing w:after="0" w:line="240" w:lineRule="auto"/>
        <w:jc w:val="both"/>
        <w:rPr>
          <w:rFonts w:ascii="Times New Roman" w:eastAsia="Calibri" w:hAnsi="Times New Roman" w:cs="Times New Roman"/>
          <w:b/>
          <w:color w:val="000000" w:themeColor="text1"/>
          <w:sz w:val="24"/>
          <w:szCs w:val="24"/>
        </w:rPr>
      </w:pPr>
    </w:p>
    <w:p w14:paraId="4D5053F1" w14:textId="6D90A83B" w:rsidR="00A63CD3" w:rsidRPr="00BE4AF3" w:rsidRDefault="00A63CD3" w:rsidP="00A63CD3">
      <w:pPr>
        <w:spacing w:after="0" w:line="240" w:lineRule="auto"/>
        <w:jc w:val="both"/>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b/>
          <w:color w:val="000000" w:themeColor="text1"/>
          <w:sz w:val="24"/>
          <w:szCs w:val="24"/>
        </w:rPr>
        <w:t>The Connection between Tourism and Landscape Quality</w:t>
      </w:r>
    </w:p>
    <w:p w14:paraId="1DB117CC" w14:textId="77777777" w:rsidR="00A63CD3" w:rsidRPr="00BE4AF3" w:rsidRDefault="00A63CD3" w:rsidP="00717939">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Landscape quality is a critical factor in determining the appeal of a tourist destination. Whether natural or man-made, landscapes contribute to the visual, emotional, and functional experiences of visitors. High-quality landscapes not only offer scenic beauty but also provide a sense of place and identity, making destinations more memorable</w:t>
      </w:r>
      <w:r w:rsidRPr="00BE4AF3">
        <w:rPr>
          <w:rFonts w:ascii="Times New Roman" w:hAnsi="Times New Roman" w:cs="Times New Roman"/>
          <w:color w:val="000000" w:themeColor="text1"/>
          <w:sz w:val="24"/>
          <w:szCs w:val="24"/>
        </w:rPr>
        <w:t xml:space="preserve"> (</w:t>
      </w:r>
      <w:r w:rsidRPr="00BE4AF3">
        <w:rPr>
          <w:rFonts w:ascii="Times New Roman" w:eastAsia="Calibri" w:hAnsi="Times New Roman" w:cs="Times New Roman"/>
          <w:color w:val="000000" w:themeColor="text1"/>
          <w:sz w:val="24"/>
          <w:szCs w:val="24"/>
        </w:rPr>
        <w:t>Terkenli, 2011). Often, the landscape itself becomes a primary attraction, as seen with landmarks like the Grand Canyon in the United States or the fjords in Norway. These impacts include:</w:t>
      </w:r>
    </w:p>
    <w:p w14:paraId="2DEABF62"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Aesthetic Value: Aesthetic appeal is a primary reason tourists are drawn to certain destinations. The arrangement of natural elements such as mountains, rivers, and forests, along with man-made features like pathways and lighting, creates a compelling visual experience. Research indicates that destinations with well-preserved natural beauty and thoughtfully designed landscapes are more likely to attract visitors seeking an escape from the everyday and a connection to the sublime (Aboufazeli et al., 2024, Hongpeng et al., 2024).</w:t>
      </w:r>
    </w:p>
    <w:p w14:paraId="21BCD703"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Cultural Significance: Landscapes often carry cultural, historical, and symbolic meanings that enhance the tourism experience. UNESCO World Heritage Sites like Machu Picchu and the rice terraces of the Philippines are valued not only for their physical beauty but also for their cultural significance (Smith, et al, 2023). The quality of a landscape is closely tied to its cultural narratives, traditions, and history, making it an integral part of the tourism product</w:t>
      </w:r>
      <w:r w:rsidRPr="00BE4AF3">
        <w:rPr>
          <w:rFonts w:ascii="Times New Roman" w:hAnsi="Times New Roman" w:cs="Times New Roman"/>
          <w:sz w:val="24"/>
          <w:szCs w:val="24"/>
        </w:rPr>
        <w:t xml:space="preserve"> </w:t>
      </w:r>
      <w:r w:rsidRPr="00BE4AF3">
        <w:rPr>
          <w:rFonts w:ascii="Times New Roman" w:eastAsia="Calibri" w:hAnsi="Times New Roman" w:cs="Times New Roman"/>
          <w:color w:val="000000" w:themeColor="text1"/>
          <w:sz w:val="24"/>
          <w:szCs w:val="24"/>
        </w:rPr>
        <w:t>(Jahani, et al. 2023).</w:t>
      </w:r>
    </w:p>
    <w:p w14:paraId="649161B5"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Economic Impact: High-quality landscapes can significantly boost local economies by attracting tourists and generating revenue from entrance fees, lodging, dining, and other tourism-related activities. Well-maintained landscapes enhance property values, increase business opportunities, and support a thriving tourism industry (</w:t>
      </w:r>
      <w:r w:rsidRPr="00BE4AF3">
        <w:rPr>
          <w:rFonts w:ascii="Times New Roman" w:hAnsi="Times New Roman" w:cs="Times New Roman"/>
          <w:color w:val="000000" w:themeColor="text1"/>
          <w:sz w:val="24"/>
          <w:szCs w:val="24"/>
        </w:rPr>
        <w:t>Mayer &amp; Vogt, 2016).</w:t>
      </w:r>
    </w:p>
    <w:p w14:paraId="762C3CE3" w14:textId="77777777" w:rsidR="00717939" w:rsidRDefault="00717939" w:rsidP="00A63CD3">
      <w:pPr>
        <w:spacing w:after="0" w:line="240" w:lineRule="auto"/>
        <w:jc w:val="both"/>
        <w:rPr>
          <w:rFonts w:ascii="Times New Roman" w:eastAsia="Calibri" w:hAnsi="Times New Roman" w:cs="Times New Roman"/>
          <w:b/>
          <w:color w:val="000000" w:themeColor="text1"/>
          <w:sz w:val="24"/>
          <w:szCs w:val="24"/>
        </w:rPr>
      </w:pPr>
    </w:p>
    <w:p w14:paraId="385E51DE" w14:textId="0087D613" w:rsidR="00A63CD3" w:rsidRPr="00BE4AF3" w:rsidRDefault="00A63CD3" w:rsidP="00A63CD3">
      <w:pPr>
        <w:spacing w:after="0" w:line="240" w:lineRule="auto"/>
        <w:jc w:val="both"/>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b/>
          <w:color w:val="000000" w:themeColor="text1"/>
          <w:sz w:val="24"/>
          <w:szCs w:val="24"/>
        </w:rPr>
        <w:t>Impact of Landscape Design on the Visitor Experience</w:t>
      </w:r>
    </w:p>
    <w:p w14:paraId="157787D2" w14:textId="77777777" w:rsidR="00A63CD3" w:rsidRPr="00BE4AF3" w:rsidRDefault="00A63CD3" w:rsidP="00717939">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The design of a landscape greatly influences how visitors interact with and perceive a destination. A well-designed landscape enhances functionality, accessibility, and comfort, contributing to a more enjoyable and immersive visitor experience (Duzenli, &amp; Özkan, 2016; Efe, et al., 16). </w:t>
      </w:r>
    </w:p>
    <w:p w14:paraId="25A2326C"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Comfort and Usability: Thoughtfully designed landscapes cater to the needs and preferences of diverse users. Features such as pathways, seating areas, shaded spots, and restrooms play a crucial role in making a space user-friendly. Visitors are more likely to linger, relax, and enjoy a destination when they feel comfortable, safe, and well-catered for (Wolch, et al., 2014).</w:t>
      </w:r>
    </w:p>
    <w:p w14:paraId="5A751660"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Over-Tourism:  Over-tourism, where a destination becomes overcrowded with visitors, can lead.</w:t>
      </w:r>
    </w:p>
    <w:p w14:paraId="58E8431B"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Emotional and Psychological Impact: Landscapes can profoundly affect human emotions and psychology. Natural environments, in particular, are known to reduce stress, improve mood, and foster a sense of well-being. Destinations that incorporate natural elements like greenery, </w:t>
      </w:r>
      <w:r w:rsidRPr="00BE4AF3">
        <w:rPr>
          <w:rFonts w:ascii="Times New Roman" w:eastAsia="Calibri" w:hAnsi="Times New Roman" w:cs="Times New Roman"/>
          <w:color w:val="000000" w:themeColor="text1"/>
          <w:sz w:val="24"/>
          <w:szCs w:val="24"/>
        </w:rPr>
        <w:lastRenderedPageBreak/>
        <w:t xml:space="preserve">water features, and open spaces can evoke feelings of tranquility, awe, or inspiration, enhancing overall visitor satisfaction. This emotional connection often results in positive reviews, repeat visits, and word-of-mouth recommendations 2. Sense of Place: (Igbosonu </w:t>
      </w:r>
      <w:r w:rsidRPr="00BE4AF3">
        <w:rPr>
          <w:rFonts w:ascii="Times New Roman" w:eastAsia="Calibri" w:hAnsi="Times New Roman" w:cs="Times New Roman"/>
          <w:i/>
          <w:color w:val="000000" w:themeColor="text1"/>
          <w:sz w:val="24"/>
          <w:szCs w:val="24"/>
        </w:rPr>
        <w:t>et al.,</w:t>
      </w:r>
      <w:r w:rsidRPr="00BE4AF3">
        <w:rPr>
          <w:rFonts w:ascii="Times New Roman" w:eastAsia="Calibri" w:hAnsi="Times New Roman" w:cs="Times New Roman"/>
          <w:color w:val="000000" w:themeColor="text1"/>
          <w:sz w:val="24"/>
          <w:szCs w:val="24"/>
        </w:rPr>
        <w:t xml:space="preserve"> 2024). A well-designed landscape creates a strong sense of place by reflecting the unique character of its location. This can be achieved through the use of native vegetation, local materials, and architectural styles that resonate with the region’s history and culture. An authentic landscape design enhances visitors’ immersion and connection to the destination 4.9. The Importance of Maintaining LEs for Long-Term Tourism Success (Arbieu, et al 2017)</w:t>
      </w:r>
    </w:p>
    <w:p w14:paraId="492BBF15" w14:textId="77777777" w:rsidR="00717939" w:rsidRDefault="00717939" w:rsidP="00A63CD3">
      <w:pPr>
        <w:spacing w:after="0" w:line="240" w:lineRule="auto"/>
        <w:jc w:val="both"/>
        <w:rPr>
          <w:rFonts w:ascii="Times New Roman" w:eastAsia="Calibri" w:hAnsi="Times New Roman" w:cs="Times New Roman"/>
          <w:b/>
          <w:color w:val="000000" w:themeColor="text1"/>
          <w:sz w:val="24"/>
          <w:szCs w:val="24"/>
        </w:rPr>
      </w:pPr>
    </w:p>
    <w:p w14:paraId="616341AB" w14:textId="2B612741" w:rsidR="00A63CD3" w:rsidRPr="00BE4AF3" w:rsidRDefault="00A63CD3" w:rsidP="00A63CD3">
      <w:pPr>
        <w:spacing w:after="0" w:line="240" w:lineRule="auto"/>
        <w:jc w:val="both"/>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b/>
          <w:color w:val="000000" w:themeColor="text1"/>
          <w:sz w:val="24"/>
          <w:szCs w:val="24"/>
        </w:rPr>
        <w:t xml:space="preserve">Sustainable Tourism Practices </w:t>
      </w:r>
    </w:p>
    <w:p w14:paraId="37DB1550" w14:textId="77777777" w:rsidR="00A63CD3" w:rsidRPr="00BE4AF3" w:rsidRDefault="00A63CD3" w:rsidP="00717939">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Sustainable tourism practices are essential for balancing visitor demand with the need to preserve landscape quality. Over-tourism, where too many visitors overwhelm a destination, can lead to environmental degradation, resource depletion, and a reduced visitor experience (Atamtürk, 2022, Ayeni, 2012; Ayeni, et al, 2011). To address this, destinations must implement strategies such as visitor quotas, controlled access to sensitive areas, and promoting off-peak travel. Effective management of tourism helps protect landscapes and ensures their continued appeal in the long term (Ayeni, 2012a; Aboufazeli et al., 2024; Mohamed et al 2012). Engaging local communities in the maintenance and preservation of LEs is crucial for long-term tourism success. Communities that take pride in their landscapes are more likely to participate in conservation efforts, promote sustainable tourism practices, and contribute to the upkeep of public spaces (Ayeni, 2012a; Smith, et al, 2023; </w:t>
      </w:r>
      <w:r w:rsidRPr="00BE4AF3">
        <w:rPr>
          <w:rFonts w:ascii="Times New Roman" w:eastAsia="Times New Roman" w:hAnsi="Times New Roman" w:cs="Times New Roman"/>
          <w:color w:val="000000" w:themeColor="text1"/>
          <w:sz w:val="24"/>
          <w:szCs w:val="24"/>
          <w:lang w:eastAsia="en-GB"/>
        </w:rPr>
        <w:t>Noroozi, 2020).</w:t>
      </w:r>
      <w:r w:rsidRPr="00BE4AF3">
        <w:rPr>
          <w:rFonts w:ascii="Times New Roman" w:eastAsia="Calibri" w:hAnsi="Times New Roman" w:cs="Times New Roman"/>
          <w:color w:val="000000" w:themeColor="text1"/>
          <w:sz w:val="24"/>
          <w:szCs w:val="24"/>
        </w:rPr>
        <w:t xml:space="preserve"> Community-led initiatives, such as volunteer clean-up programs and eco-friendly tourism projects, have significantly contributed to preserving the natural and cultural integrity of landscapes (Wolch, et al., 2014).</w:t>
      </w:r>
    </w:p>
    <w:p w14:paraId="6ACD6FE2" w14:textId="77777777" w:rsidR="00A63CD3" w:rsidRPr="00BE4AF3" w:rsidRDefault="00A63CD3" w:rsidP="00717939">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Over-Tourism:  Over-tourism, where a destination becomes overcrowded with visitors, can lead.</w:t>
      </w:r>
    </w:p>
    <w:p w14:paraId="664A186D" w14:textId="77777777" w:rsidR="00A63CD3" w:rsidRPr="00BE4AF3" w:rsidRDefault="00A63CD3" w:rsidP="00717939">
      <w:pPr>
        <w:spacing w:after="0" w:line="240" w:lineRule="auto"/>
        <w:jc w:val="both"/>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color w:val="000000" w:themeColor="text1"/>
          <w:sz w:val="24"/>
          <w:szCs w:val="24"/>
        </w:rPr>
        <w:t>Landscape design is critical in shaping the appeal, functionality, and sustainability of tourist destinations. A well-designed landscape enhances the aesthetic beauty of a location, provides comfort and accessibility for visitors, and ensures the preservation of both natural and man-made elements</w:t>
      </w:r>
      <w:r w:rsidRPr="00BE4AF3">
        <w:rPr>
          <w:rFonts w:ascii="Times New Roman" w:hAnsi="Times New Roman" w:cs="Times New Roman"/>
          <w:color w:val="000000" w:themeColor="text1"/>
          <w:sz w:val="24"/>
          <w:szCs w:val="24"/>
        </w:rPr>
        <w:t xml:space="preserve"> (</w:t>
      </w:r>
      <w:r w:rsidRPr="00BE4AF3">
        <w:rPr>
          <w:rFonts w:ascii="Times New Roman" w:eastAsia="Calibri" w:hAnsi="Times New Roman" w:cs="Times New Roman"/>
          <w:color w:val="000000" w:themeColor="text1"/>
          <w:sz w:val="24"/>
          <w:szCs w:val="24"/>
        </w:rPr>
        <w:t>Bruni, 2016). Effective landscape design involves balancing the natural environment with architectural structures to create spaces that attract tourists and offer meaningful experiences. This section will explore best practices in landscape design, present case studies of successful tourist centres, discuss the integration of natural and architectural features, and examine the challenges in maintaining landscape quality (</w:t>
      </w:r>
      <w:r w:rsidRPr="00BE4AF3">
        <w:rPr>
          <w:rFonts w:ascii="Times New Roman" w:eastAsia="Times New Roman" w:hAnsi="Times New Roman" w:cs="Times New Roman"/>
          <w:color w:val="000000" w:themeColor="text1"/>
          <w:sz w:val="24"/>
          <w:szCs w:val="24"/>
          <w:lang w:eastAsia="en-GB"/>
        </w:rPr>
        <w:t xml:space="preserve">Noroozi, 2020; </w:t>
      </w:r>
      <w:r w:rsidRPr="00BE4AF3">
        <w:rPr>
          <w:rFonts w:ascii="Times New Roman" w:eastAsia="Calibri" w:hAnsi="Times New Roman" w:cs="Times New Roman"/>
          <w:color w:val="000000" w:themeColor="text1"/>
          <w:sz w:val="24"/>
          <w:szCs w:val="24"/>
        </w:rPr>
        <w:t>Makinde, 2020).</w:t>
      </w:r>
    </w:p>
    <w:p w14:paraId="15248EBF" w14:textId="77777777" w:rsidR="00717939" w:rsidRDefault="00717939" w:rsidP="00A63CD3">
      <w:pPr>
        <w:spacing w:after="0" w:line="240" w:lineRule="auto"/>
        <w:jc w:val="both"/>
        <w:rPr>
          <w:rFonts w:ascii="Times New Roman" w:eastAsia="Calibri" w:hAnsi="Times New Roman" w:cs="Times New Roman"/>
          <w:b/>
          <w:color w:val="000000" w:themeColor="text1"/>
          <w:sz w:val="24"/>
          <w:szCs w:val="24"/>
        </w:rPr>
      </w:pPr>
    </w:p>
    <w:p w14:paraId="4397FA05" w14:textId="0DEB40E0"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b/>
          <w:color w:val="000000" w:themeColor="text1"/>
          <w:sz w:val="24"/>
          <w:szCs w:val="24"/>
        </w:rPr>
        <w:t>Best Practices in Landscape Design for Tourist Destination</w:t>
      </w:r>
      <w:r w:rsidRPr="00BE4AF3">
        <w:rPr>
          <w:rFonts w:ascii="Times New Roman" w:eastAsia="Calibri" w:hAnsi="Times New Roman" w:cs="Times New Roman"/>
          <w:color w:val="000000" w:themeColor="text1"/>
          <w:sz w:val="24"/>
          <w:szCs w:val="24"/>
        </w:rPr>
        <w:t>s</w:t>
      </w:r>
    </w:p>
    <w:p w14:paraId="385F654A" w14:textId="77777777" w:rsidR="00A63CD3" w:rsidRPr="00BE4AF3" w:rsidRDefault="00A63CD3" w:rsidP="00717939">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Best practices in landscape design for tourist destinations focus on sustainability, accessibility, aesthetic appeal, and visitor engagement. Implementing these practices ensures that tourist centres remain attractive, functional, and environmentally responsible (</w:t>
      </w:r>
      <w:r w:rsidRPr="00BE4AF3">
        <w:rPr>
          <w:rFonts w:ascii="Times New Roman" w:hAnsi="Times New Roman" w:cs="Times New Roman"/>
          <w:color w:val="000000" w:themeColor="text1"/>
          <w:sz w:val="24"/>
          <w:szCs w:val="24"/>
        </w:rPr>
        <w:t>Pueyo-Ros, et al, 2017</w:t>
      </w:r>
      <w:r w:rsidRPr="00BE4AF3">
        <w:rPr>
          <w:rFonts w:ascii="Times New Roman" w:eastAsia="Calibri" w:hAnsi="Times New Roman" w:cs="Times New Roman"/>
          <w:color w:val="000000" w:themeColor="text1"/>
          <w:sz w:val="24"/>
          <w:szCs w:val="24"/>
        </w:rPr>
        <w:t>).</w:t>
      </w:r>
    </w:p>
    <w:p w14:paraId="3EBD88B2" w14:textId="77777777" w:rsidR="00A63CD3" w:rsidRPr="00BE4AF3" w:rsidRDefault="00A63CD3" w:rsidP="00A63CD3">
      <w:pPr>
        <w:spacing w:after="0" w:line="240" w:lineRule="auto"/>
        <w:contextualSpacing/>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Sustainable Design: Sustainability is a key consideration in modern landscape design, especially for tourist destinations with high foot traffic. Designers should prioritize eco-friendly materials, renewable energy sources, and water-efficient systems (Ali, et al, 2024). Native vegetation, which requires less maintenance, conserves water, and supports local biodiversity, should be preferred over non-native species. Sustainable design also involves minimizing environmental impacts during construction and promoting practices such as recycling and waste reduction (Silva, et al. 2021).</w:t>
      </w:r>
    </w:p>
    <w:p w14:paraId="0831F314" w14:textId="77777777" w:rsidR="00A63CD3" w:rsidRPr="00BE4AF3" w:rsidRDefault="00A63CD3" w:rsidP="00A63CD3">
      <w:pPr>
        <w:spacing w:after="0" w:line="240" w:lineRule="auto"/>
        <w:contextualSpacing/>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Visitor-Centric Approach: Landscape design should address the needs of visitors by providing accessible pathways, shaded seating areas, clear signage, and well-designed rest spots. Ensuring that all visitors, including those with disabilities, can comfortably navigate the site is </w:t>
      </w:r>
      <w:r w:rsidRPr="00BE4AF3">
        <w:rPr>
          <w:rFonts w:ascii="Times New Roman" w:hAnsi="Times New Roman" w:cs="Times New Roman"/>
          <w:color w:val="000000" w:themeColor="text1"/>
          <w:sz w:val="24"/>
          <w:szCs w:val="24"/>
        </w:rPr>
        <w:lastRenderedPageBreak/>
        <w:t>essential. Features such as smooth and wide pathways, ramps, and railings enhance accessibility. Designers should also create spaces that promote relaxation, recreation, and engagement with the environment, thereby improving the overall visitor experience (Ayeni, and Ebohon, 2012).</w:t>
      </w:r>
    </w:p>
    <w:p w14:paraId="7F46F4A5" w14:textId="77777777" w:rsidR="00A63CD3" w:rsidRPr="00BE4AF3" w:rsidRDefault="00A63CD3" w:rsidP="00A63CD3">
      <w:pPr>
        <w:spacing w:after="0" w:line="240" w:lineRule="auto"/>
        <w:contextualSpacing/>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Integration with Local Culture and Heritage: Landscape design should reflect the cultural and historical context of the destination. Incorporating local materials, traditional building techniques, and design elements that echo the region's heritage adds authenticity and strengthens the connection between the site and its surroundings (Barrena et al, 2016). For example, using local stone, wood, or traditional craftsmanship can help establish a strong sense of place and identity (Terkenli, 2011; Smith, et al, 2023).</w:t>
      </w:r>
    </w:p>
    <w:p w14:paraId="6024487D" w14:textId="77777777" w:rsidR="00A63CD3" w:rsidRPr="00BE4AF3" w:rsidRDefault="00A63CD3" w:rsidP="00A63CD3">
      <w:pPr>
        <w:spacing w:after="0" w:line="240" w:lineRule="auto"/>
        <w:contextualSpacing/>
        <w:jc w:val="both"/>
        <w:rPr>
          <w:rFonts w:ascii="Times New Roman" w:eastAsia="Calibri" w:hAnsi="Times New Roman" w:cs="Times New Roman"/>
          <w:color w:val="000000" w:themeColor="text1"/>
          <w:sz w:val="24"/>
          <w:szCs w:val="24"/>
        </w:rPr>
      </w:pPr>
      <w:r w:rsidRPr="00BE4AF3">
        <w:rPr>
          <w:rFonts w:ascii="Times New Roman" w:hAnsi="Times New Roman" w:cs="Times New Roman"/>
          <w:color w:val="000000" w:themeColor="text1"/>
          <w:sz w:val="24"/>
          <w:szCs w:val="24"/>
        </w:rPr>
        <w:t>Preservation of Natural Features: Where possible, natural landscape features such as rivers, forests, or rock formations should be preserved and integrated into the design (Baris, &amp; Kaygusız, 2023). These natural elements often serve as primary attractions and provide ecological benefits, such as habitat preservation and stormwater management. Carefully integrating natural features into the overall design helps maintain environmental integrity while enhancing aesthetic appeal (Aboufazeli et al., 2024).</w:t>
      </w:r>
    </w:p>
    <w:p w14:paraId="6AFDC8A3"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Adaptive Use of Space: Flexibility in landscape design allows tourist centres to adapt to changing conditions, visitor patterns, and environmental challenges (Hongpeng et al., 2024). This can be achieved through modular design elements, such as moveable seating or temporary installations, and creating multifunctional spaces that can accommodate a variety of activities, from outdoor concerts to quiet relaxation.</w:t>
      </w:r>
    </w:p>
    <w:p w14:paraId="228A679C" w14:textId="77777777" w:rsidR="00717939" w:rsidRDefault="00717939" w:rsidP="00A63CD3">
      <w:pPr>
        <w:spacing w:after="0" w:line="240" w:lineRule="auto"/>
        <w:rPr>
          <w:rFonts w:ascii="Times New Roman" w:eastAsia="Calibri" w:hAnsi="Times New Roman" w:cs="Times New Roman"/>
          <w:b/>
          <w:color w:val="000000" w:themeColor="text1"/>
          <w:sz w:val="24"/>
          <w:szCs w:val="24"/>
        </w:rPr>
      </w:pPr>
    </w:p>
    <w:p w14:paraId="2506FE44" w14:textId="32B57EA0" w:rsidR="00A63CD3" w:rsidRPr="00BE4AF3" w:rsidRDefault="00A63CD3" w:rsidP="00A63CD3">
      <w:pPr>
        <w:spacing w:after="0" w:line="240" w:lineRule="auto"/>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b/>
          <w:color w:val="000000" w:themeColor="text1"/>
          <w:sz w:val="24"/>
          <w:szCs w:val="24"/>
        </w:rPr>
        <w:t>Research Methodology</w:t>
      </w:r>
    </w:p>
    <w:p w14:paraId="1C4A3613" w14:textId="77777777" w:rsidR="00717939" w:rsidRDefault="00717939" w:rsidP="00A63CD3">
      <w:pPr>
        <w:spacing w:after="0" w:line="240" w:lineRule="auto"/>
        <w:jc w:val="both"/>
        <w:rPr>
          <w:rFonts w:ascii="Times New Roman" w:eastAsia="Calibri" w:hAnsi="Times New Roman" w:cs="Times New Roman"/>
          <w:b/>
          <w:bCs/>
          <w:color w:val="000000" w:themeColor="text1"/>
          <w:sz w:val="24"/>
          <w:szCs w:val="24"/>
        </w:rPr>
      </w:pPr>
    </w:p>
    <w:p w14:paraId="185543A8" w14:textId="3CA18A7A" w:rsidR="00A63CD3" w:rsidRPr="00BE4AF3" w:rsidRDefault="00A63CD3" w:rsidP="00A63CD3">
      <w:pPr>
        <w:spacing w:after="0" w:line="240" w:lineRule="auto"/>
        <w:jc w:val="both"/>
        <w:rPr>
          <w:rFonts w:ascii="Times New Roman" w:eastAsia="Calibri" w:hAnsi="Times New Roman" w:cs="Times New Roman"/>
          <w:bCs/>
          <w:color w:val="000000" w:themeColor="text1"/>
          <w:sz w:val="24"/>
          <w:szCs w:val="24"/>
        </w:rPr>
      </w:pPr>
      <w:r w:rsidRPr="00BE4AF3">
        <w:rPr>
          <w:rFonts w:ascii="Times New Roman" w:eastAsia="Calibri" w:hAnsi="Times New Roman" w:cs="Times New Roman"/>
          <w:b/>
          <w:bCs/>
          <w:color w:val="000000" w:themeColor="text1"/>
          <w:sz w:val="24"/>
          <w:szCs w:val="24"/>
        </w:rPr>
        <w:t>Study Area</w:t>
      </w:r>
    </w:p>
    <w:p w14:paraId="1A114C6A" w14:textId="77777777" w:rsidR="00A63CD3" w:rsidRDefault="00A63CD3" w:rsidP="00717939">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The study was carried out at various selected tourist centers in south west Nigeria which shall include Oyo, Osun Ondo, Lagos, Ekiti, and Ogun, state. </w:t>
      </w:r>
    </w:p>
    <w:p w14:paraId="0C5792A0" w14:textId="77777777" w:rsidR="00717939" w:rsidRPr="00BE4AF3" w:rsidRDefault="00717939" w:rsidP="00717939">
      <w:pPr>
        <w:spacing w:after="0" w:line="240" w:lineRule="auto"/>
        <w:jc w:val="both"/>
        <w:rPr>
          <w:rFonts w:ascii="Times New Roman" w:eastAsia="Calibri" w:hAnsi="Times New Roman" w:cs="Times New Roman"/>
          <w:color w:val="000000" w:themeColor="text1"/>
          <w:sz w:val="24"/>
          <w:szCs w:val="24"/>
        </w:rPr>
      </w:pPr>
    </w:p>
    <w:p w14:paraId="24AD43D2" w14:textId="77777777" w:rsidR="00A63CD3" w:rsidRPr="00BE4AF3" w:rsidRDefault="00A63CD3" w:rsidP="00717939">
      <w:pPr>
        <w:spacing w:after="0" w:line="240" w:lineRule="auto"/>
        <w:jc w:val="center"/>
        <w:rPr>
          <w:rFonts w:ascii="Times New Roman" w:eastAsia="Calibri" w:hAnsi="Times New Roman" w:cs="Times New Roman"/>
          <w:color w:val="000000" w:themeColor="text1"/>
          <w:sz w:val="24"/>
          <w:szCs w:val="24"/>
        </w:rPr>
      </w:pPr>
      <w:r w:rsidRPr="00BE4AF3">
        <w:rPr>
          <w:rFonts w:ascii="Times New Roman" w:eastAsia="Calibri" w:hAnsi="Times New Roman" w:cs="Times New Roman"/>
          <w:noProof/>
          <w:color w:val="000000" w:themeColor="text1"/>
          <w:sz w:val="24"/>
          <w:szCs w:val="24"/>
          <w:lang w:eastAsia="en-GB"/>
        </w:rPr>
        <w:drawing>
          <wp:inline distT="0" distB="0" distL="0" distR="0" wp14:anchorId="7BBDE2D1" wp14:editId="3EB36EAD">
            <wp:extent cx="3533775" cy="2169323"/>
            <wp:effectExtent l="0" t="0" r="0" b="2540"/>
            <wp:docPr id="807822854" name="Picture 807822854" descr="Figure-1-Location-map-of-South-Western-Nig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1-Location-map-of-South-Western-Nigeria"/>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533775" cy="2169323"/>
                    </a:xfrm>
                    <a:prstGeom prst="rect">
                      <a:avLst/>
                    </a:prstGeom>
                    <a:noFill/>
                    <a:ln>
                      <a:noFill/>
                    </a:ln>
                  </pic:spPr>
                </pic:pic>
              </a:graphicData>
            </a:graphic>
          </wp:inline>
        </w:drawing>
      </w:r>
    </w:p>
    <w:p w14:paraId="260F8371" w14:textId="2DE449CD" w:rsidR="00A63CD3" w:rsidRPr="00717939" w:rsidRDefault="00A63CD3" w:rsidP="00717939">
      <w:pPr>
        <w:spacing w:after="0" w:line="240" w:lineRule="auto"/>
        <w:jc w:val="center"/>
        <w:rPr>
          <w:rFonts w:ascii="Times New Roman" w:eastAsia="Calibri" w:hAnsi="Times New Roman" w:cs="Times New Roman"/>
          <w:color w:val="000000" w:themeColor="text1"/>
          <w:sz w:val="24"/>
          <w:szCs w:val="24"/>
        </w:rPr>
      </w:pPr>
      <w:r w:rsidRPr="00BE4AF3">
        <w:rPr>
          <w:rFonts w:ascii="Times New Roman" w:eastAsia="Calibri" w:hAnsi="Times New Roman" w:cs="Times New Roman"/>
          <w:b/>
          <w:bCs/>
          <w:color w:val="000000" w:themeColor="text1"/>
          <w:sz w:val="24"/>
          <w:szCs w:val="24"/>
        </w:rPr>
        <w:t xml:space="preserve">Figure 1: </w:t>
      </w:r>
      <w:r w:rsidRPr="00717939">
        <w:rPr>
          <w:rFonts w:ascii="Times New Roman" w:eastAsia="Calibri" w:hAnsi="Times New Roman" w:cs="Times New Roman"/>
          <w:color w:val="000000" w:themeColor="text1"/>
          <w:sz w:val="24"/>
          <w:szCs w:val="24"/>
        </w:rPr>
        <w:t xml:space="preserve">Location map of </w:t>
      </w:r>
      <w:r w:rsidR="00717939" w:rsidRPr="00717939">
        <w:rPr>
          <w:rFonts w:ascii="Times New Roman" w:eastAsia="Calibri" w:hAnsi="Times New Roman" w:cs="Times New Roman"/>
          <w:color w:val="000000" w:themeColor="text1"/>
          <w:sz w:val="24"/>
          <w:szCs w:val="24"/>
        </w:rPr>
        <w:t>Southwestern</w:t>
      </w:r>
      <w:r w:rsidRPr="00717939">
        <w:rPr>
          <w:rFonts w:ascii="Times New Roman" w:eastAsia="Calibri" w:hAnsi="Times New Roman" w:cs="Times New Roman"/>
          <w:color w:val="000000" w:themeColor="text1"/>
          <w:sz w:val="24"/>
          <w:szCs w:val="24"/>
        </w:rPr>
        <w:t xml:space="preserve"> Nigeria</w:t>
      </w:r>
    </w:p>
    <w:p w14:paraId="3C3249B6" w14:textId="77777777" w:rsidR="00A63CD3" w:rsidRPr="00717939" w:rsidRDefault="00A63CD3" w:rsidP="00717939">
      <w:pPr>
        <w:spacing w:after="0" w:line="240" w:lineRule="auto"/>
        <w:jc w:val="center"/>
        <w:rPr>
          <w:rFonts w:ascii="Times New Roman" w:eastAsia="Calibri" w:hAnsi="Times New Roman" w:cs="Times New Roman"/>
          <w:color w:val="000000" w:themeColor="text1"/>
          <w:sz w:val="24"/>
          <w:szCs w:val="24"/>
        </w:rPr>
      </w:pPr>
      <w:r w:rsidRPr="00717939">
        <w:rPr>
          <w:rFonts w:ascii="Times New Roman" w:eastAsia="Calibri" w:hAnsi="Times New Roman" w:cs="Times New Roman"/>
          <w:color w:val="000000" w:themeColor="text1"/>
          <w:sz w:val="24"/>
          <w:szCs w:val="24"/>
        </w:rPr>
        <w:t>Source: Southwest Topographical Map-HD GIS Mapping -Geoinfotech.</w:t>
      </w:r>
    </w:p>
    <w:p w14:paraId="1D0D6E3A" w14:textId="77777777" w:rsidR="00717939" w:rsidRDefault="00717939" w:rsidP="00A63CD3">
      <w:pPr>
        <w:spacing w:after="0" w:line="240" w:lineRule="auto"/>
        <w:jc w:val="both"/>
        <w:rPr>
          <w:rFonts w:ascii="Times New Roman" w:eastAsia="Times New Roman" w:hAnsi="Times New Roman" w:cs="Times New Roman"/>
          <w:b/>
          <w:color w:val="000000" w:themeColor="text1"/>
          <w:sz w:val="24"/>
          <w:szCs w:val="24"/>
        </w:rPr>
      </w:pPr>
    </w:p>
    <w:p w14:paraId="7042A5C7" w14:textId="7884E335" w:rsidR="00A63CD3" w:rsidRPr="00BE4AF3" w:rsidRDefault="00A63CD3" w:rsidP="00A63CD3">
      <w:pPr>
        <w:spacing w:after="0" w:line="240" w:lineRule="auto"/>
        <w:jc w:val="both"/>
        <w:rPr>
          <w:rFonts w:ascii="Times New Roman" w:eastAsia="Times New Roman" w:hAnsi="Times New Roman" w:cs="Times New Roman"/>
          <w:b/>
          <w:color w:val="000000" w:themeColor="text1"/>
          <w:sz w:val="24"/>
          <w:szCs w:val="24"/>
        </w:rPr>
      </w:pPr>
      <w:r w:rsidRPr="00BE4AF3">
        <w:rPr>
          <w:rFonts w:ascii="Times New Roman" w:eastAsia="Times New Roman" w:hAnsi="Times New Roman" w:cs="Times New Roman"/>
          <w:b/>
          <w:color w:val="000000" w:themeColor="text1"/>
          <w:sz w:val="24"/>
          <w:szCs w:val="24"/>
        </w:rPr>
        <w:t>Sample Frame</w:t>
      </w:r>
    </w:p>
    <w:p w14:paraId="47DEBB41" w14:textId="77777777" w:rsidR="00A63CD3" w:rsidRDefault="00A63CD3" w:rsidP="00717939">
      <w:pPr>
        <w:autoSpaceDE w:val="0"/>
        <w:autoSpaceDN w:val="0"/>
        <w:adjustRightInd w:val="0"/>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The sampling frame adopted comprises of all tourist center that possess the natural attraction, such as waterfall, beach, rocks, gardens and rivers in south-west geopolitical and with presence of a hotel. There are thirty nine (39) identified tourist center that form the population of the sample. The sample size was obtained using purpose built tourist center hotels that are frequently used for events, picnic, meetings and other social gathering purposes. This is so because it will be easier to get respondents to gather information. Six tourist hotels are </w:t>
      </w:r>
      <w:r w:rsidRPr="00BE4AF3">
        <w:rPr>
          <w:rFonts w:ascii="Times New Roman" w:eastAsia="Calibri" w:hAnsi="Times New Roman" w:cs="Times New Roman"/>
          <w:color w:val="000000" w:themeColor="text1"/>
          <w:sz w:val="24"/>
          <w:szCs w:val="24"/>
        </w:rPr>
        <w:lastRenderedPageBreak/>
        <w:t>purposively selected from each of the states because they have hotel facilities and landscape features to be assessed. Total number of visitors to the tourist center hotel is 2,520. 13.7% represent the sample size to give about 345, which represent questionnaires to be administered to the visitors for interview and questionnaire administration purpose. Table 1 shows the purposively selected tourist centers in southwest Nigeria.</w:t>
      </w:r>
    </w:p>
    <w:p w14:paraId="16EFFE16" w14:textId="77777777" w:rsidR="00717939" w:rsidRPr="00BE4AF3" w:rsidRDefault="00717939" w:rsidP="00717939">
      <w:pPr>
        <w:autoSpaceDE w:val="0"/>
        <w:autoSpaceDN w:val="0"/>
        <w:adjustRightInd w:val="0"/>
        <w:spacing w:after="0" w:line="240" w:lineRule="auto"/>
        <w:jc w:val="both"/>
        <w:rPr>
          <w:rFonts w:ascii="Times New Roman" w:eastAsia="Calibri" w:hAnsi="Times New Roman" w:cs="Times New Roman"/>
          <w:color w:val="000000" w:themeColor="text1"/>
          <w:sz w:val="24"/>
          <w:szCs w:val="24"/>
        </w:rPr>
      </w:pPr>
    </w:p>
    <w:p w14:paraId="46C27F1C" w14:textId="3DE5FD67" w:rsidR="00A63CD3" w:rsidRPr="00BE4AF3" w:rsidRDefault="00A63CD3" w:rsidP="00717939">
      <w:pPr>
        <w:autoSpaceDE w:val="0"/>
        <w:autoSpaceDN w:val="0"/>
        <w:adjustRightInd w:val="0"/>
        <w:spacing w:after="0" w:line="240" w:lineRule="auto"/>
        <w:jc w:val="center"/>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b/>
          <w:color w:val="000000" w:themeColor="text1"/>
          <w:sz w:val="24"/>
          <w:szCs w:val="24"/>
        </w:rPr>
        <w:t xml:space="preserve">Table 1: </w:t>
      </w:r>
      <w:r w:rsidRPr="00717939">
        <w:rPr>
          <w:rFonts w:ascii="Times New Roman" w:eastAsia="Calibri" w:hAnsi="Times New Roman" w:cs="Times New Roman"/>
          <w:bCs/>
          <w:color w:val="000000" w:themeColor="text1"/>
          <w:sz w:val="24"/>
          <w:szCs w:val="24"/>
        </w:rPr>
        <w:t>Purposively selected tourist centers in southwest Nigeria.</w:t>
      </w:r>
    </w:p>
    <w:tbl>
      <w:tblPr>
        <w:tblW w:w="8589" w:type="dxa"/>
        <w:jc w:val="center"/>
        <w:tblLayout w:type="fixed"/>
        <w:tblLook w:val="04A0" w:firstRow="1" w:lastRow="0" w:firstColumn="1" w:lastColumn="0" w:noHBand="0" w:noVBand="1"/>
      </w:tblPr>
      <w:tblGrid>
        <w:gridCol w:w="709"/>
        <w:gridCol w:w="1080"/>
        <w:gridCol w:w="3031"/>
        <w:gridCol w:w="1879"/>
        <w:gridCol w:w="1890"/>
      </w:tblGrid>
      <w:tr w:rsidR="00A63CD3" w:rsidRPr="00717939" w14:paraId="4E62DA70" w14:textId="77777777" w:rsidTr="00717939">
        <w:trPr>
          <w:trHeight w:val="465"/>
          <w:jc w:val="center"/>
        </w:trPr>
        <w:tc>
          <w:tcPr>
            <w:tcW w:w="709" w:type="dxa"/>
            <w:tcBorders>
              <w:top w:val="single" w:sz="4" w:space="0" w:color="auto"/>
              <w:bottom w:val="thinThickSmallGap" w:sz="24" w:space="0" w:color="auto"/>
            </w:tcBorders>
          </w:tcPr>
          <w:p w14:paraId="2E932E7D" w14:textId="77777777" w:rsidR="00A63CD3" w:rsidRPr="00717939" w:rsidRDefault="00A63CD3" w:rsidP="00717939">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S/N</w:t>
            </w:r>
          </w:p>
        </w:tc>
        <w:tc>
          <w:tcPr>
            <w:tcW w:w="1080" w:type="dxa"/>
            <w:tcBorders>
              <w:top w:val="single" w:sz="4" w:space="0" w:color="auto"/>
              <w:bottom w:val="thinThickSmallGap" w:sz="24" w:space="0" w:color="auto"/>
            </w:tcBorders>
          </w:tcPr>
          <w:p w14:paraId="5F6B38AA" w14:textId="77777777" w:rsidR="00A63CD3" w:rsidRPr="00717939" w:rsidRDefault="00A63CD3" w:rsidP="00717939">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State</w:t>
            </w:r>
          </w:p>
        </w:tc>
        <w:tc>
          <w:tcPr>
            <w:tcW w:w="3031" w:type="dxa"/>
            <w:tcBorders>
              <w:top w:val="single" w:sz="4" w:space="0" w:color="auto"/>
              <w:bottom w:val="thinThickSmallGap" w:sz="24" w:space="0" w:color="auto"/>
            </w:tcBorders>
          </w:tcPr>
          <w:p w14:paraId="2F69C7FF" w14:textId="77777777" w:rsidR="00A63CD3" w:rsidRPr="00717939" w:rsidRDefault="00A63CD3" w:rsidP="00717939">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 xml:space="preserve">Purposed Selected Hotel For The Study </w:t>
            </w:r>
          </w:p>
        </w:tc>
        <w:tc>
          <w:tcPr>
            <w:tcW w:w="1879" w:type="dxa"/>
            <w:tcBorders>
              <w:top w:val="single" w:sz="4" w:space="0" w:color="auto"/>
              <w:bottom w:val="thinThickSmallGap" w:sz="24" w:space="0" w:color="auto"/>
            </w:tcBorders>
          </w:tcPr>
          <w:p w14:paraId="082A4D3E" w14:textId="77777777" w:rsidR="00A63CD3" w:rsidRPr="00717939" w:rsidRDefault="00A63CD3" w:rsidP="00717939">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Average Number Of user’s Per Week</w:t>
            </w:r>
          </w:p>
        </w:tc>
        <w:tc>
          <w:tcPr>
            <w:tcW w:w="1890" w:type="dxa"/>
            <w:tcBorders>
              <w:top w:val="single" w:sz="4" w:space="0" w:color="auto"/>
              <w:bottom w:val="thinThickSmallGap" w:sz="24" w:space="0" w:color="auto"/>
            </w:tcBorders>
          </w:tcPr>
          <w:p w14:paraId="59E20190" w14:textId="77777777" w:rsidR="00A63CD3" w:rsidRPr="00717939" w:rsidRDefault="00A63CD3" w:rsidP="00717939">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13.7% Sample Size For user’s</w:t>
            </w:r>
          </w:p>
        </w:tc>
      </w:tr>
      <w:tr w:rsidR="00A63CD3" w:rsidRPr="00717939" w14:paraId="4C578E6F" w14:textId="77777777" w:rsidTr="00717939">
        <w:trPr>
          <w:trHeight w:val="165"/>
          <w:jc w:val="center"/>
        </w:trPr>
        <w:tc>
          <w:tcPr>
            <w:tcW w:w="709" w:type="dxa"/>
            <w:tcBorders>
              <w:top w:val="thinThickSmallGap" w:sz="24" w:space="0" w:color="auto"/>
            </w:tcBorders>
          </w:tcPr>
          <w:p w14:paraId="4162CE75"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p>
        </w:tc>
        <w:tc>
          <w:tcPr>
            <w:tcW w:w="1080" w:type="dxa"/>
            <w:tcBorders>
              <w:top w:val="thinThickSmallGap" w:sz="24" w:space="0" w:color="auto"/>
            </w:tcBorders>
          </w:tcPr>
          <w:p w14:paraId="06973B32"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p>
        </w:tc>
        <w:tc>
          <w:tcPr>
            <w:tcW w:w="3031" w:type="dxa"/>
            <w:tcBorders>
              <w:top w:val="thinThickSmallGap" w:sz="24" w:space="0" w:color="auto"/>
            </w:tcBorders>
          </w:tcPr>
          <w:p w14:paraId="72C694B9"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p>
        </w:tc>
        <w:tc>
          <w:tcPr>
            <w:tcW w:w="1879" w:type="dxa"/>
            <w:tcBorders>
              <w:top w:val="thinThickSmallGap" w:sz="24" w:space="0" w:color="auto"/>
            </w:tcBorders>
          </w:tcPr>
          <w:p w14:paraId="474479D0"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p>
        </w:tc>
        <w:tc>
          <w:tcPr>
            <w:tcW w:w="1890" w:type="dxa"/>
            <w:tcBorders>
              <w:top w:val="thinThickSmallGap" w:sz="24" w:space="0" w:color="auto"/>
            </w:tcBorders>
          </w:tcPr>
          <w:p w14:paraId="2901FD1A"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p>
        </w:tc>
      </w:tr>
      <w:tr w:rsidR="00A63CD3" w:rsidRPr="00717939" w14:paraId="141991D5" w14:textId="77777777" w:rsidTr="00717939">
        <w:trPr>
          <w:trHeight w:val="314"/>
          <w:jc w:val="center"/>
        </w:trPr>
        <w:tc>
          <w:tcPr>
            <w:tcW w:w="709" w:type="dxa"/>
          </w:tcPr>
          <w:p w14:paraId="560016CF"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1</w:t>
            </w:r>
          </w:p>
        </w:tc>
        <w:tc>
          <w:tcPr>
            <w:tcW w:w="1080" w:type="dxa"/>
          </w:tcPr>
          <w:p w14:paraId="5C77DEE9"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EKITI</w:t>
            </w:r>
          </w:p>
        </w:tc>
        <w:tc>
          <w:tcPr>
            <w:tcW w:w="3031" w:type="dxa"/>
          </w:tcPr>
          <w:p w14:paraId="7DAF7711"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bCs/>
                <w:color w:val="000000" w:themeColor="text1"/>
                <w:sz w:val="20"/>
                <w:szCs w:val="20"/>
                <w:lang w:eastAsia="zh-CN"/>
              </w:rPr>
              <w:t>Ikogosi Warm Springs Resort</w:t>
            </w:r>
          </w:p>
        </w:tc>
        <w:tc>
          <w:tcPr>
            <w:tcW w:w="1879" w:type="dxa"/>
          </w:tcPr>
          <w:p w14:paraId="4F77D2FE"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462</w:t>
            </w:r>
          </w:p>
        </w:tc>
        <w:tc>
          <w:tcPr>
            <w:tcW w:w="1890" w:type="dxa"/>
          </w:tcPr>
          <w:p w14:paraId="42E63204"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63</w:t>
            </w:r>
          </w:p>
        </w:tc>
      </w:tr>
      <w:tr w:rsidR="00A63CD3" w:rsidRPr="00717939" w14:paraId="4CF9C6B3" w14:textId="77777777" w:rsidTr="00717939">
        <w:trPr>
          <w:trHeight w:val="422"/>
          <w:jc w:val="center"/>
        </w:trPr>
        <w:tc>
          <w:tcPr>
            <w:tcW w:w="709" w:type="dxa"/>
          </w:tcPr>
          <w:p w14:paraId="33FC4BB5"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2</w:t>
            </w:r>
          </w:p>
        </w:tc>
        <w:tc>
          <w:tcPr>
            <w:tcW w:w="1080" w:type="dxa"/>
          </w:tcPr>
          <w:p w14:paraId="70F1227D"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OSUN</w:t>
            </w:r>
          </w:p>
        </w:tc>
        <w:tc>
          <w:tcPr>
            <w:tcW w:w="3031" w:type="dxa"/>
          </w:tcPr>
          <w:p w14:paraId="6DC4F70A"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bCs/>
                <w:color w:val="000000" w:themeColor="text1"/>
                <w:sz w:val="20"/>
                <w:szCs w:val="20"/>
                <w:lang w:eastAsia="zh-CN"/>
              </w:rPr>
              <w:t>Zenababs half-moon resort hotel</w:t>
            </w:r>
          </w:p>
        </w:tc>
        <w:tc>
          <w:tcPr>
            <w:tcW w:w="1879" w:type="dxa"/>
          </w:tcPr>
          <w:p w14:paraId="38462E8C"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173</w:t>
            </w:r>
          </w:p>
        </w:tc>
        <w:tc>
          <w:tcPr>
            <w:tcW w:w="1890" w:type="dxa"/>
          </w:tcPr>
          <w:p w14:paraId="77748AB2"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24</w:t>
            </w:r>
          </w:p>
        </w:tc>
      </w:tr>
      <w:tr w:rsidR="00A63CD3" w:rsidRPr="00717939" w14:paraId="20DFBACC" w14:textId="77777777" w:rsidTr="00717939">
        <w:trPr>
          <w:trHeight w:val="224"/>
          <w:jc w:val="center"/>
        </w:trPr>
        <w:tc>
          <w:tcPr>
            <w:tcW w:w="709" w:type="dxa"/>
          </w:tcPr>
          <w:p w14:paraId="25489A92"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3</w:t>
            </w:r>
          </w:p>
        </w:tc>
        <w:tc>
          <w:tcPr>
            <w:tcW w:w="1080" w:type="dxa"/>
          </w:tcPr>
          <w:p w14:paraId="6D5E88D6"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OGUN</w:t>
            </w:r>
          </w:p>
        </w:tc>
        <w:tc>
          <w:tcPr>
            <w:tcW w:w="3031" w:type="dxa"/>
          </w:tcPr>
          <w:p w14:paraId="5EB4639D"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bCs/>
                <w:color w:val="000000" w:themeColor="text1"/>
                <w:sz w:val="20"/>
                <w:szCs w:val="20"/>
                <w:lang w:eastAsia="zh-CN"/>
              </w:rPr>
              <w:t>Green Legacy resort, Abeokuta</w:t>
            </w:r>
          </w:p>
        </w:tc>
        <w:tc>
          <w:tcPr>
            <w:tcW w:w="1879" w:type="dxa"/>
          </w:tcPr>
          <w:p w14:paraId="495E7133"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560</w:t>
            </w:r>
          </w:p>
        </w:tc>
        <w:tc>
          <w:tcPr>
            <w:tcW w:w="1890" w:type="dxa"/>
          </w:tcPr>
          <w:p w14:paraId="47299256"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77</w:t>
            </w:r>
          </w:p>
        </w:tc>
      </w:tr>
      <w:tr w:rsidR="00A63CD3" w:rsidRPr="00717939" w14:paraId="040C6FF8" w14:textId="77777777" w:rsidTr="00717939">
        <w:trPr>
          <w:trHeight w:val="466"/>
          <w:jc w:val="center"/>
        </w:trPr>
        <w:tc>
          <w:tcPr>
            <w:tcW w:w="709" w:type="dxa"/>
          </w:tcPr>
          <w:p w14:paraId="420DD783"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4</w:t>
            </w:r>
          </w:p>
        </w:tc>
        <w:tc>
          <w:tcPr>
            <w:tcW w:w="1080" w:type="dxa"/>
          </w:tcPr>
          <w:p w14:paraId="2811874C"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OYO</w:t>
            </w:r>
          </w:p>
        </w:tc>
        <w:tc>
          <w:tcPr>
            <w:tcW w:w="3031" w:type="dxa"/>
          </w:tcPr>
          <w:p w14:paraId="438025C2"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bCs/>
                <w:color w:val="000000" w:themeColor="text1"/>
                <w:sz w:val="20"/>
                <w:szCs w:val="20"/>
                <w:lang w:eastAsia="zh-CN"/>
              </w:rPr>
              <w:t>IIaji hotel and resort center</w:t>
            </w:r>
          </w:p>
        </w:tc>
        <w:tc>
          <w:tcPr>
            <w:tcW w:w="1879" w:type="dxa"/>
          </w:tcPr>
          <w:p w14:paraId="26355154"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442</w:t>
            </w:r>
          </w:p>
        </w:tc>
        <w:tc>
          <w:tcPr>
            <w:tcW w:w="1890" w:type="dxa"/>
          </w:tcPr>
          <w:p w14:paraId="667DD2CA"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60</w:t>
            </w:r>
          </w:p>
        </w:tc>
      </w:tr>
      <w:tr w:rsidR="00A63CD3" w:rsidRPr="00717939" w14:paraId="05BC7CEB" w14:textId="77777777" w:rsidTr="00717939">
        <w:trPr>
          <w:trHeight w:val="349"/>
          <w:jc w:val="center"/>
        </w:trPr>
        <w:tc>
          <w:tcPr>
            <w:tcW w:w="709" w:type="dxa"/>
          </w:tcPr>
          <w:p w14:paraId="6C3035BD"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5</w:t>
            </w:r>
          </w:p>
        </w:tc>
        <w:tc>
          <w:tcPr>
            <w:tcW w:w="1080" w:type="dxa"/>
          </w:tcPr>
          <w:p w14:paraId="108A79CA"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LAGOS</w:t>
            </w:r>
          </w:p>
        </w:tc>
        <w:tc>
          <w:tcPr>
            <w:tcW w:w="3031" w:type="dxa"/>
          </w:tcPr>
          <w:p w14:paraId="2B6F040A"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Lekki beach resort</w:t>
            </w:r>
          </w:p>
        </w:tc>
        <w:tc>
          <w:tcPr>
            <w:tcW w:w="1879" w:type="dxa"/>
          </w:tcPr>
          <w:p w14:paraId="5CFABC50"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645</w:t>
            </w:r>
          </w:p>
        </w:tc>
        <w:tc>
          <w:tcPr>
            <w:tcW w:w="1890" w:type="dxa"/>
          </w:tcPr>
          <w:p w14:paraId="1A172A3F"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88</w:t>
            </w:r>
          </w:p>
        </w:tc>
      </w:tr>
      <w:tr w:rsidR="00A63CD3" w:rsidRPr="00717939" w14:paraId="501B85D2" w14:textId="77777777" w:rsidTr="00717939">
        <w:trPr>
          <w:trHeight w:val="286"/>
          <w:jc w:val="center"/>
        </w:trPr>
        <w:tc>
          <w:tcPr>
            <w:tcW w:w="709" w:type="dxa"/>
            <w:tcBorders>
              <w:bottom w:val="thinThickSmallGap" w:sz="24" w:space="0" w:color="auto"/>
            </w:tcBorders>
          </w:tcPr>
          <w:p w14:paraId="2B110888"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6</w:t>
            </w:r>
          </w:p>
        </w:tc>
        <w:tc>
          <w:tcPr>
            <w:tcW w:w="1080" w:type="dxa"/>
            <w:tcBorders>
              <w:bottom w:val="thinThickSmallGap" w:sz="24" w:space="0" w:color="auto"/>
            </w:tcBorders>
          </w:tcPr>
          <w:p w14:paraId="478115FC"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ONDO</w:t>
            </w:r>
          </w:p>
        </w:tc>
        <w:tc>
          <w:tcPr>
            <w:tcW w:w="3031" w:type="dxa"/>
            <w:tcBorders>
              <w:bottom w:val="thinThickSmallGap" w:sz="24" w:space="0" w:color="auto"/>
            </w:tcBorders>
          </w:tcPr>
          <w:p w14:paraId="3E353073"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Goshen trust hotel</w:t>
            </w:r>
          </w:p>
        </w:tc>
        <w:tc>
          <w:tcPr>
            <w:tcW w:w="1879" w:type="dxa"/>
            <w:tcBorders>
              <w:bottom w:val="thinThickSmallGap" w:sz="24" w:space="0" w:color="auto"/>
            </w:tcBorders>
          </w:tcPr>
          <w:p w14:paraId="199085B2"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238</w:t>
            </w:r>
          </w:p>
        </w:tc>
        <w:tc>
          <w:tcPr>
            <w:tcW w:w="1890" w:type="dxa"/>
            <w:tcBorders>
              <w:bottom w:val="thinThickSmallGap" w:sz="24" w:space="0" w:color="auto"/>
            </w:tcBorders>
          </w:tcPr>
          <w:p w14:paraId="5865AFF1" w14:textId="77777777" w:rsidR="00A63CD3" w:rsidRPr="00717939" w:rsidRDefault="00A63CD3" w:rsidP="0000060D">
            <w:pPr>
              <w:spacing w:after="0" w:line="240" w:lineRule="auto"/>
              <w:rPr>
                <w:rFonts w:ascii="Times New Roman" w:eastAsia="SimSun" w:hAnsi="Times New Roman" w:cs="Times New Roman"/>
                <w:color w:val="000000" w:themeColor="text1"/>
                <w:sz w:val="20"/>
                <w:szCs w:val="20"/>
                <w:lang w:eastAsia="zh-CN"/>
              </w:rPr>
            </w:pPr>
            <w:r w:rsidRPr="00717939">
              <w:rPr>
                <w:rFonts w:ascii="Times New Roman" w:eastAsia="SimSun" w:hAnsi="Times New Roman" w:cs="Times New Roman"/>
                <w:color w:val="000000" w:themeColor="text1"/>
                <w:sz w:val="20"/>
                <w:szCs w:val="20"/>
                <w:lang w:eastAsia="zh-CN"/>
              </w:rPr>
              <w:t>33</w:t>
            </w:r>
          </w:p>
        </w:tc>
      </w:tr>
    </w:tbl>
    <w:p w14:paraId="6B0F003F" w14:textId="77777777" w:rsidR="00717939" w:rsidRDefault="00717939" w:rsidP="00717939">
      <w:pPr>
        <w:spacing w:after="0" w:line="240" w:lineRule="auto"/>
        <w:jc w:val="both"/>
        <w:rPr>
          <w:rFonts w:ascii="Times New Roman" w:eastAsia="Calibri" w:hAnsi="Times New Roman" w:cs="Times New Roman"/>
          <w:color w:val="000000" w:themeColor="text1"/>
          <w:sz w:val="24"/>
          <w:szCs w:val="24"/>
        </w:rPr>
      </w:pPr>
    </w:p>
    <w:p w14:paraId="4AE997E3" w14:textId="6D658793" w:rsidR="00A63CD3" w:rsidRPr="00BE4AF3" w:rsidRDefault="00A63CD3" w:rsidP="00717939">
      <w:pPr>
        <w:spacing w:after="0" w:line="240" w:lineRule="auto"/>
        <w:jc w:val="both"/>
        <w:rPr>
          <w:rFonts w:ascii="Times New Roman"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The minimum sample size used for this study as obtained by Slovin’s formula is 345. This represents 13.7% of the total population for the study. A total set of 345 questionnaires was distributed to tourists in the study area, randomly selected to ensure a representative sample. </w:t>
      </w:r>
    </w:p>
    <w:p w14:paraId="06EF313D" w14:textId="77777777" w:rsidR="00717939" w:rsidRDefault="00717939" w:rsidP="00A63CD3">
      <w:pPr>
        <w:spacing w:after="0" w:line="240" w:lineRule="auto"/>
        <w:rPr>
          <w:rFonts w:ascii="Times New Roman" w:eastAsia="Calibri" w:hAnsi="Times New Roman" w:cs="Times New Roman"/>
          <w:b/>
          <w:color w:val="000000" w:themeColor="text1"/>
          <w:sz w:val="24"/>
          <w:szCs w:val="24"/>
        </w:rPr>
      </w:pPr>
    </w:p>
    <w:p w14:paraId="7E74CE0E" w14:textId="03A5B3CB" w:rsidR="00A63CD3" w:rsidRPr="00BE4AF3" w:rsidRDefault="00A63CD3" w:rsidP="00A63CD3">
      <w:pPr>
        <w:spacing w:after="0" w:line="240" w:lineRule="auto"/>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b/>
          <w:color w:val="000000" w:themeColor="text1"/>
          <w:sz w:val="24"/>
          <w:szCs w:val="24"/>
        </w:rPr>
        <w:t>Results and Interpretation</w:t>
      </w:r>
    </w:p>
    <w:p w14:paraId="60829085" w14:textId="77777777" w:rsidR="00717939" w:rsidRDefault="00717939" w:rsidP="00A63CD3">
      <w:pPr>
        <w:spacing w:after="0" w:line="240" w:lineRule="auto"/>
        <w:rPr>
          <w:rFonts w:ascii="Times New Roman" w:eastAsia="Calibri" w:hAnsi="Times New Roman" w:cs="Times New Roman"/>
          <w:b/>
          <w:color w:val="000000" w:themeColor="text1"/>
          <w:sz w:val="24"/>
          <w:szCs w:val="24"/>
        </w:rPr>
      </w:pPr>
    </w:p>
    <w:p w14:paraId="6211F32F" w14:textId="4AC7728E" w:rsidR="00A63CD3" w:rsidRPr="00BE4AF3" w:rsidRDefault="00A63CD3" w:rsidP="00A63CD3">
      <w:pPr>
        <w:spacing w:after="0" w:line="240" w:lineRule="auto"/>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b/>
          <w:color w:val="000000" w:themeColor="text1"/>
          <w:sz w:val="24"/>
          <w:szCs w:val="24"/>
        </w:rPr>
        <w:t>Socioeconomic Characteristics of Respondents</w:t>
      </w:r>
    </w:p>
    <w:p w14:paraId="65AB34E7" w14:textId="77777777" w:rsidR="00A63CD3" w:rsidRPr="00BE4AF3" w:rsidRDefault="00A63CD3" w:rsidP="00717939">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The overall results for both gender and age of the respondents from selected tourist centres in southwest Nigeria from Table 2 revealed that the majority of the population, constituting 73.5%, were identified as male while the remaining </w:t>
      </w:r>
      <w:r w:rsidRPr="00BE4AF3">
        <w:rPr>
          <w:rFonts w:ascii="Times New Roman" w:eastAsia="Calibri" w:hAnsi="Times New Roman" w:cs="Times New Roman"/>
          <w:bCs/>
          <w:color w:val="000000" w:themeColor="text1"/>
          <w:sz w:val="24"/>
          <w:szCs w:val="24"/>
        </w:rPr>
        <w:t xml:space="preserve">26.5% were female, it shows discernible gender imbalance, with a higher representation of male respondents compared to their female counterparts in the selected tourist centres in southwest, Nigeria (Ekiti, Osun, Ogun, Oyo, Lagos &amp; Ondo). For the age of the respondents, it revealed that a substantial portion of the respondents fall within the age range of 36-45 years, comprising 63.1% of the total. The subsequent age group, 26-35 years, follows closely with a representation of 20.8%. The age bracket of 46-55 years constitutes 8.8% of the respondents, ranking third, while the 18-25 years age group follows with 5.4%. The smallest proportion of respondents belongs to the age category of over 56 years, accounting for 1.9% of the total. The result revealed that in the selected tourist centres in southwest Nigeria, the dominant gender is the male between the age brackets of 36-45 years old. </w:t>
      </w:r>
      <w:r w:rsidRPr="00BE4AF3">
        <w:rPr>
          <w:rFonts w:ascii="Times New Roman" w:eastAsia="Calibri" w:hAnsi="Times New Roman" w:cs="Times New Roman"/>
          <w:color w:val="000000" w:themeColor="text1"/>
          <w:sz w:val="24"/>
          <w:szCs w:val="24"/>
        </w:rPr>
        <w:t xml:space="preserve">   </w:t>
      </w:r>
    </w:p>
    <w:p w14:paraId="74197228" w14:textId="77777777" w:rsidR="00A63CD3" w:rsidRPr="00BE4AF3" w:rsidRDefault="00A63CD3" w:rsidP="00717939">
      <w:pPr>
        <w:spacing w:after="0" w:line="240" w:lineRule="auto"/>
        <w:jc w:val="both"/>
        <w:rPr>
          <w:rFonts w:ascii="Times New Roman" w:eastAsia="Calibri" w:hAnsi="Times New Roman" w:cs="Times New Roman"/>
          <w:bCs/>
          <w:color w:val="000000" w:themeColor="text1"/>
          <w:sz w:val="24"/>
          <w:szCs w:val="24"/>
        </w:rPr>
      </w:pPr>
      <w:r w:rsidRPr="00BE4AF3">
        <w:rPr>
          <w:rFonts w:ascii="Times New Roman" w:eastAsia="Calibri" w:hAnsi="Times New Roman" w:cs="Times New Roman"/>
          <w:bCs/>
          <w:color w:val="000000" w:themeColor="text1"/>
          <w:sz w:val="24"/>
          <w:szCs w:val="24"/>
        </w:rPr>
        <w:t>The implication of this result is that there is gender imbalance for tourist that visited tourist centers in Southwest Nigeria, with a significantly higher proportion of male respondents (73.5%) compared to female respondents (26.5%) who visited. This shows that male visits these tourist centers across the six states (Ekiti, Osun, Ogun, Oyo, Lagos, and Ondo) more than female. This disparity reflects underlying societal or cultural trends where men have more access to leisure activities or tourism opportunities than women in this region. Additionally, the consistency of male dominance across all six states, particularly in Osun State where no female respondents were recorded, points to a broader gender participation gap in tourism.</w:t>
      </w:r>
    </w:p>
    <w:p w14:paraId="0F3D6C7C" w14:textId="77777777" w:rsidR="00A63CD3" w:rsidRPr="00BE4AF3" w:rsidRDefault="00A63CD3" w:rsidP="00717939">
      <w:pPr>
        <w:spacing w:after="0" w:line="240" w:lineRule="auto"/>
        <w:jc w:val="both"/>
        <w:rPr>
          <w:rFonts w:ascii="Times New Roman" w:eastAsia="Calibri" w:hAnsi="Times New Roman" w:cs="Times New Roman"/>
          <w:bCs/>
          <w:color w:val="000000" w:themeColor="text1"/>
          <w:sz w:val="24"/>
          <w:szCs w:val="24"/>
        </w:rPr>
      </w:pPr>
      <w:r w:rsidRPr="00BE4AF3">
        <w:rPr>
          <w:rFonts w:ascii="Times New Roman" w:eastAsia="Calibri" w:hAnsi="Times New Roman" w:cs="Times New Roman"/>
          <w:bCs/>
          <w:color w:val="000000" w:themeColor="text1"/>
          <w:sz w:val="24"/>
          <w:szCs w:val="24"/>
        </w:rPr>
        <w:t xml:space="preserve">In terms of age distribution, the data reveals that the most represented age group is between 36-45 years, constituting 63.1% of the respondents, followed by the 26-35 years age group at 20.8%. This concentration of respondents in middle adulthood reveal that individuals in this </w:t>
      </w:r>
      <w:r w:rsidRPr="00BE4AF3">
        <w:rPr>
          <w:rFonts w:ascii="Times New Roman" w:eastAsia="Calibri" w:hAnsi="Times New Roman" w:cs="Times New Roman"/>
          <w:bCs/>
          <w:color w:val="000000" w:themeColor="text1"/>
          <w:sz w:val="24"/>
          <w:szCs w:val="24"/>
        </w:rPr>
        <w:lastRenderedPageBreak/>
        <w:t>age range are more active in tourism activities, due to having more financial stability or fewer family responsibilities than younger or older populations. The Overall findings in Table 2 revealed the occupation and qualification of the respondents in the selected tourist centres in Southwest, Nigeria. The data revealed that majority of the respondents accounting for 48.9% identified to be self-employed in the study area, while 31.9% of the total identified to be employed. 9.1% of the total respondents are students and the least portion constituting 10.1% are retired workers. The data shown in Table 2 further revealed that the majority of respondents, accounting for 53.3%, are undergraduates in a tertiary institution. A notable portion, comprising 30.0%, are identified as postgraduate. Furthermore, 16.7% of respondents have certificate from Secondary School indicating that their highest qualification is secondary school. Overall majority of the respondents from the selected tourist centres in Southwest Nigeria are self-employed and are undergraduate. The implication of this result is that in the selected tourist centers across Southwest Nigeria, the predominant occupation of the respondents is self-employment, accounting for 48.9% of the total population. This proves a strong presence of individuals who own and run their own businesses, reflecting the entrepreneurial nature of many visitors to these sites. Employment follows as the second most common occupation, representing 31.9% of the respondents, showing that a substantial portion of the population is engaged in formal or corporate work. A smaller portion of respondents (9.1%) are students, and only 10.1% are retired, which reveal that tourist centers in the region attract mostly economically active individuals, with relatively few retirees.</w:t>
      </w:r>
    </w:p>
    <w:p w14:paraId="42777F94" w14:textId="77777777" w:rsidR="00A63CD3" w:rsidRPr="00BE4AF3" w:rsidRDefault="00A63CD3" w:rsidP="00717939">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bCs/>
          <w:color w:val="000000" w:themeColor="text1"/>
          <w:sz w:val="24"/>
          <w:szCs w:val="24"/>
        </w:rPr>
        <w:t xml:space="preserve">In terms of educational qualifications, the data reveals that the majority of respondents, 53.3%, hold undergraduate degrees, while 30.0% possess postgraduate degrees. This shows that the tourists frequenting these centers are relatively well-educated, with a significant number having pursued higher education. Smaller percentages (16.7%) hold only secondary school certificates, indicating some level of diversity in educational backgrounds. The fact that most respondents have tertiary education qualifications aligns with the observation that self-employment and formal employment are the predominant occupations, because individuals with higher education are more likely to engage in such activities. </w:t>
      </w:r>
      <w:r w:rsidRPr="00BE4AF3">
        <w:rPr>
          <w:rFonts w:ascii="Times New Roman" w:eastAsia="Calibri" w:hAnsi="Times New Roman" w:cs="Times New Roman"/>
          <w:color w:val="000000" w:themeColor="text1"/>
          <w:sz w:val="24"/>
          <w:szCs w:val="24"/>
        </w:rPr>
        <w:t xml:space="preserve">Overall data from Table 2 provides valuable demographic information about the study population in the selected tourist centers in Southwest Nigeria. The analysis reveals a significant preference for married individuals, with 82.6% of respondents identifying as married. This is followed by single individuals at 14.5%, divorced individuals at 2.8%, and there is no respondent that identified with widowed category. In terms of income distribution, the study population exhibits a relatively balanced profile. The most common income bracket is ₦100,001 to ₦200,000 with 64.7% of the total respondent, followed by ₦200,001 to ₦300,000 with 21.8%, ₦50,000 to ₦100,000 with 4.4%, and less than ₦50,000 with 0.6% being the least response from the respondent. These findings suggest that the majority of respondents are middle-income earners with monthly income range of ₦100,001 to ₦200,000. Overall, the data presented in Table 2 provides a clear picture of the demographic characteristics of the study population. The predominance of married individuals and the balanced income distribution are important factors to consider when evaluating the needs and preferences of visitors to tourist centers in Southwest Nigeria. The implication of this result is that the demographic information regarding the marital status and monthly income of respondents from selected tourist centers in Southwest Nigeria. A significant portion of the respondents, 82.6%, identified as married, revealing that the majority of tourists in the region are family-oriented or settled individuals. Single respondents make up 14.5% of the total, while divorced individuals account for 2.8%. No respondents identified as widowed, indicating a relatively youthful or middle-aged population that is likely to be married or single. The overwhelming representation of married individuals in all six states (Ekiti, Osun, Ogun, Oyo, Lagos, and Ondo) points to the idea that tourism in this region may be more attractive to people in stable relationships or families. In terms of </w:t>
      </w:r>
      <w:r w:rsidRPr="00BE4AF3">
        <w:rPr>
          <w:rFonts w:ascii="Times New Roman" w:eastAsia="Calibri" w:hAnsi="Times New Roman" w:cs="Times New Roman"/>
          <w:color w:val="000000" w:themeColor="text1"/>
          <w:sz w:val="24"/>
          <w:szCs w:val="24"/>
        </w:rPr>
        <w:lastRenderedPageBreak/>
        <w:t>income distribution, the majority of respondents, 64.7%, fall within the ₦100,001 to ₦200,000 monthly income range, indicating that most of the visitors are middle-income earners. The next most common income bracket is ₦200,001 to ₦300,000, representing 21.8% of the respondents, which show that a significant portion of the population earns above the average income level in Nigeria. A smaller proportion of respondents earn less than ₦100,000, with only 4.4% earning between ₦50,000 to ₦100,000 and a mere 0.6% earning less than ₦50,000. These findings reveal that the tourist centers in Southwest Nigeria attract primarily middle-income visitors, which could influence the types of services and facilities needed at these locations. The predominance of married individuals and middle-income earners show the importance of catering to families and individuals seeking moderately priced tourist experiences.</w:t>
      </w:r>
    </w:p>
    <w:p w14:paraId="1CC36A85" w14:textId="77777777" w:rsidR="00717939" w:rsidRDefault="00717939" w:rsidP="00A63CD3">
      <w:pPr>
        <w:spacing w:after="0" w:line="240" w:lineRule="auto"/>
        <w:contextualSpacing/>
        <w:jc w:val="both"/>
        <w:rPr>
          <w:rFonts w:ascii="Times New Roman" w:eastAsia="Calibri" w:hAnsi="Times New Roman" w:cs="Times New Roman"/>
          <w:b/>
          <w:color w:val="000000" w:themeColor="text1"/>
          <w:sz w:val="24"/>
          <w:szCs w:val="24"/>
        </w:rPr>
      </w:pPr>
    </w:p>
    <w:p w14:paraId="7D6622E2" w14:textId="6F4A9F05" w:rsidR="00A63CD3" w:rsidRPr="00BE4AF3" w:rsidRDefault="00A63CD3" w:rsidP="00A63CD3">
      <w:pPr>
        <w:spacing w:after="0" w:line="240" w:lineRule="auto"/>
        <w:contextualSpacing/>
        <w:jc w:val="both"/>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b/>
          <w:color w:val="000000" w:themeColor="text1"/>
          <w:sz w:val="24"/>
          <w:szCs w:val="24"/>
        </w:rPr>
        <w:t>Visitors Response to the Frequently Visitation to Tourist Centres</w:t>
      </w:r>
    </w:p>
    <w:p w14:paraId="52553B4D" w14:textId="77777777" w:rsidR="00A63CD3" w:rsidRPr="00BE4AF3" w:rsidRDefault="00A63CD3" w:rsidP="00717939">
      <w:pPr>
        <w:spacing w:after="0" w:line="240" w:lineRule="auto"/>
        <w:contextualSpacing/>
        <w:jc w:val="both"/>
        <w:rPr>
          <w:rFonts w:ascii="Times New Roman" w:eastAsia="Calibri" w:hAnsi="Times New Roman" w:cs="Times New Roman"/>
          <w:b/>
          <w:i/>
          <w:color w:val="000000" w:themeColor="text1"/>
          <w:sz w:val="24"/>
          <w:szCs w:val="24"/>
        </w:rPr>
      </w:pPr>
      <w:r w:rsidRPr="00BE4AF3">
        <w:rPr>
          <w:rFonts w:ascii="Times New Roman" w:eastAsia="Calibri" w:hAnsi="Times New Roman" w:cs="Times New Roman"/>
          <w:color w:val="000000" w:themeColor="text1"/>
          <w:sz w:val="24"/>
          <w:szCs w:val="24"/>
        </w:rPr>
        <w:t>Table 2 provides valuable insights into the frequency of visits to tourist centers in Southwest Nigeria. The data reveals a clear preference for repeat visits, with a significant majority (66.2%) of respondents reporting that they visit these centers more than twice a year. Overall, the data indicates a high level of return visitation to tourist centers in the region. This reveals that these centers are popular and attractive destinations for leisure and recreation. Additionally, significant portions (24.6%) of respondents visit these centers twice a year, presenting a moderate level of visitation. Only 9.1% of respondents visit tourist centers once a year, indicating that these centers are generally well-visited. The implication of this result is that the majority of respondents from tourist centers in Southwest Nigeria prefer to visit these locations frequently, with 66.2% indicating that they visit more than twice a year. This high rate of return visitation show that the tourist centers in states like Ekiti, Osun, Ogun, Oyo, Lagos, and Ondo are popular and likely offer engaging experiences that encourage visitors to return multiple times throughout the year. For instance, in Osun and Oyo States, an overwhelming majority (100% and 86.8%, respectively) of respondents reported visiting more than twice annually, showing the strong appeal of the tourist centers in these areas. Similarly, in Ondo and Lagos States, a large proportion of respondents (83.3% and 63.2%) visit more than twice a year, reinforcing the notion that these centers attract loyal and frequent visitors. In contrast, a smaller portion of visitors reported visiting less frequently. About 24.6% of the total respondents visit tourist centers twice a year, representing a moderate but consistent level of engagement with the sites. Additionally, only 9.1% of respondents reported visiting once a year, indicating that one-off or infrequent visits are relatively uncommon. The low percentage of respondents who visit only once, show that most tourist centers in Southwest Nigeria have a sustained attraction for visitors, leading to higher levels of repeat visitation.</w:t>
      </w:r>
      <w:r w:rsidRPr="00BE4AF3">
        <w:rPr>
          <w:rFonts w:ascii="Times New Roman" w:eastAsia="Calibri" w:hAnsi="Times New Roman" w:cs="Times New Roman"/>
          <w:b/>
          <w:i/>
          <w:color w:val="000000" w:themeColor="text1"/>
          <w:sz w:val="24"/>
          <w:szCs w:val="24"/>
        </w:rPr>
        <w:t xml:space="preserve"> </w:t>
      </w:r>
    </w:p>
    <w:p w14:paraId="26FF4065" w14:textId="77777777" w:rsidR="00717939" w:rsidRDefault="00717939" w:rsidP="00A63CD3">
      <w:pPr>
        <w:spacing w:after="0" w:line="240" w:lineRule="auto"/>
        <w:contextualSpacing/>
        <w:rPr>
          <w:rFonts w:ascii="Times New Roman" w:eastAsia="Calibri" w:hAnsi="Times New Roman" w:cs="Times New Roman"/>
          <w:b/>
          <w:color w:val="000000" w:themeColor="text1"/>
          <w:sz w:val="24"/>
          <w:szCs w:val="24"/>
        </w:rPr>
      </w:pPr>
    </w:p>
    <w:p w14:paraId="2AD0D4E9" w14:textId="40DADA8E" w:rsidR="00A63CD3" w:rsidRPr="00BE4AF3" w:rsidRDefault="00A63CD3" w:rsidP="00A63CD3">
      <w:pPr>
        <w:spacing w:after="0" w:line="240" w:lineRule="auto"/>
        <w:contextualSpacing/>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b/>
          <w:color w:val="000000" w:themeColor="text1"/>
          <w:sz w:val="24"/>
          <w:szCs w:val="24"/>
        </w:rPr>
        <w:t xml:space="preserve">Visitors Response to the Purpose of Visitation to Tourist Centres </w:t>
      </w:r>
    </w:p>
    <w:p w14:paraId="2884C39D" w14:textId="77777777" w:rsidR="00A63CD3" w:rsidRPr="00BE4AF3" w:rsidRDefault="00A63CD3" w:rsidP="00717939">
      <w:pPr>
        <w:spacing w:after="0" w:line="240" w:lineRule="auto"/>
        <w:contextualSpacing/>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Overall findings from Table 2 revealed the primary purposes of visitation to tourist centers in Southwest Nigeria. The data reveals a clear preference for leisure activities, followed by adventure and educational pursuits. Leisure is the most cited purpose for visiting tourist centers, accounting for 54.3% of all responses. This reveals that relaxation and enjoyment are primary motivations for visitors. Adventure and educational purposes are also significant, with 14.5% and 31.2% of respondents, respectively, citing these as their primary reasons for visiting. This reveals a desire for both excitement and learning experiences. While leisure is the dominant purpose across all states, there are variations in the relative importance of adventure and educational activities. For example, Osun has a higher emphasis on adventure, while Ondo places a greater emphasis on educational activities. Overall, the data presented in Table 2 highlights the diverse motivations for visiting tourist centers in Southwest Nigeria. While </w:t>
      </w:r>
      <w:r w:rsidRPr="00BE4AF3">
        <w:rPr>
          <w:rFonts w:ascii="Times New Roman" w:eastAsia="Calibri" w:hAnsi="Times New Roman" w:cs="Times New Roman"/>
          <w:color w:val="000000" w:themeColor="text1"/>
          <w:sz w:val="24"/>
          <w:szCs w:val="24"/>
        </w:rPr>
        <w:lastRenderedPageBreak/>
        <w:t>leisure activities are the primary driver, adventure and education also play significant roles in attracting visitors.</w:t>
      </w:r>
    </w:p>
    <w:p w14:paraId="08513721" w14:textId="77777777" w:rsidR="00A63CD3" w:rsidRPr="00BE4AF3" w:rsidRDefault="00A63CD3" w:rsidP="00717939">
      <w:pPr>
        <w:spacing w:after="0" w:line="240" w:lineRule="auto"/>
        <w:contextualSpacing/>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The implication of this result is that there is the visitors response into the diverse motivations for visiting tourist centers in Southwest Nigeria. Across the six states (Ekiti, Osun, Ogun, Oyo, Lagos, and Ondo), leisure activities emerge as the most common reason for visitation, accounting for 54.3% of all responses. This shows that the majority of tourists are drawn to these centers for relaxation, recreation, and enjoyment. States like Ekiti, Ogun, Oyo, and Lagos have a strong preference for leisure, with a significant portion of visitors in each state citing it as their primary reason for visiting. In Oyo State, for example, 79.8% of respondents visit for leisure purposes, revealing the appeal of these locations as places for relaxation.</w:t>
      </w:r>
    </w:p>
    <w:p w14:paraId="2EBC9F57" w14:textId="77777777" w:rsidR="00A63CD3" w:rsidRDefault="00A63CD3" w:rsidP="00717939">
      <w:pPr>
        <w:spacing w:after="0" w:line="240" w:lineRule="auto"/>
        <w:contextualSpacing/>
        <w:jc w:val="both"/>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color w:val="000000" w:themeColor="text1"/>
          <w:sz w:val="24"/>
          <w:szCs w:val="24"/>
        </w:rPr>
        <w:t>Educational and adventure activities also play important roles in drawing visitors. Educational purposes account for 31.2% of the total responses, showing that many tourists visit these centers for learning and enrichment. Ondo State has the highest emphasis on educational activities, with 86.7% of visitors citing this as their primary reason for visiting. Adventure activities, while less prominent overall, still attract a notable 14.5% of respondents. Osun State stands out in this regard, with 52.6% of visitors seeking adventure, revealing that certain tourist centers offer unique or thrilling experiences that cater to adventurous visitors. Overall, the findings from Table 2 reveal that while leisure is the dominant purpose of visitation, there is a strong demand for both adventure and educational experiences in the region. This reveal the need for tourist centers to continue offering a variety of activities that cater to different preferences, ensuring a broad appeal to visitors seeking relaxation, excitement, or learning opportunities. The variation across states in terms of the importance of adventure and education points to the diverse attractions available within the region, which can be leveraged to enhance the tourism experience.</w:t>
      </w:r>
      <w:r w:rsidRPr="00BE4AF3">
        <w:rPr>
          <w:rFonts w:ascii="Times New Roman" w:eastAsia="Calibri" w:hAnsi="Times New Roman" w:cs="Times New Roman"/>
          <w:b/>
          <w:color w:val="000000" w:themeColor="text1"/>
          <w:sz w:val="24"/>
          <w:szCs w:val="24"/>
        </w:rPr>
        <w:t xml:space="preserve"> </w:t>
      </w:r>
    </w:p>
    <w:p w14:paraId="6A5A763A" w14:textId="77777777" w:rsidR="00717939" w:rsidRPr="00BE4AF3" w:rsidRDefault="00717939" w:rsidP="00717939">
      <w:pPr>
        <w:spacing w:after="0" w:line="240" w:lineRule="auto"/>
        <w:contextualSpacing/>
        <w:jc w:val="both"/>
        <w:rPr>
          <w:rFonts w:ascii="Times New Roman" w:eastAsia="Calibri" w:hAnsi="Times New Roman" w:cs="Times New Roman"/>
          <w:b/>
          <w:color w:val="000000" w:themeColor="text1"/>
          <w:sz w:val="24"/>
          <w:szCs w:val="24"/>
        </w:rPr>
      </w:pPr>
    </w:p>
    <w:p w14:paraId="1539A8D8" w14:textId="77777777" w:rsidR="00A63CD3" w:rsidRPr="00BE4AF3" w:rsidRDefault="00A63CD3" w:rsidP="00A63CD3">
      <w:pPr>
        <w:spacing w:after="0" w:line="360" w:lineRule="auto"/>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b/>
          <w:color w:val="000000" w:themeColor="text1"/>
          <w:sz w:val="24"/>
          <w:szCs w:val="24"/>
        </w:rPr>
        <w:t>Table 2: Socioeconomic Characteristics of Respondents</w:t>
      </w:r>
    </w:p>
    <w:tbl>
      <w:tblPr>
        <w:tblW w:w="0" w:type="auto"/>
        <w:tblBorders>
          <w:top w:val="single" w:sz="4" w:space="0" w:color="auto"/>
        </w:tblBorders>
        <w:tblLook w:val="04A0" w:firstRow="1" w:lastRow="0" w:firstColumn="1" w:lastColumn="0" w:noHBand="0" w:noVBand="1"/>
      </w:tblPr>
      <w:tblGrid>
        <w:gridCol w:w="9027"/>
      </w:tblGrid>
      <w:tr w:rsidR="00A63CD3" w:rsidRPr="000704D9" w14:paraId="41D5A2E2" w14:textId="77777777" w:rsidTr="000704D9">
        <w:tc>
          <w:tcPr>
            <w:tcW w:w="9017" w:type="dxa"/>
            <w:shd w:val="clear" w:color="auto" w:fill="auto"/>
          </w:tcPr>
          <w:p w14:paraId="600F30F2" w14:textId="77777777" w:rsidR="00A63CD3" w:rsidRPr="000704D9" w:rsidRDefault="00A63CD3" w:rsidP="000704D9">
            <w:pPr>
              <w:spacing w:after="0" w:line="360" w:lineRule="auto"/>
              <w:contextualSpacing/>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Gender and Age of the Respondents</w:t>
            </w:r>
          </w:p>
        </w:tc>
      </w:tr>
      <w:tr w:rsidR="00A63CD3" w:rsidRPr="000704D9" w14:paraId="3B39A624" w14:textId="77777777" w:rsidTr="000704D9">
        <w:tc>
          <w:tcPr>
            <w:tcW w:w="9017" w:type="dxa"/>
            <w:shd w:val="clear" w:color="auto" w:fill="auto"/>
          </w:tcPr>
          <w:tbl>
            <w:tblPr>
              <w:tblW w:w="9172" w:type="dxa"/>
              <w:jc w:val="center"/>
              <w:tblLook w:val="04A0" w:firstRow="1" w:lastRow="0" w:firstColumn="1" w:lastColumn="0" w:noHBand="0" w:noVBand="1"/>
            </w:tblPr>
            <w:tblGrid>
              <w:gridCol w:w="1197"/>
              <w:gridCol w:w="1160"/>
              <w:gridCol w:w="860"/>
              <w:gridCol w:w="852"/>
              <w:gridCol w:w="719"/>
              <w:gridCol w:w="790"/>
              <w:gridCol w:w="606"/>
              <w:gridCol w:w="254"/>
              <w:gridCol w:w="756"/>
              <w:gridCol w:w="733"/>
              <w:gridCol w:w="310"/>
              <w:gridCol w:w="935"/>
            </w:tblGrid>
            <w:tr w:rsidR="00A63CD3" w:rsidRPr="000704D9" w14:paraId="05AE35FF" w14:textId="77777777" w:rsidTr="000704D9">
              <w:trPr>
                <w:gridAfter w:val="1"/>
                <w:wAfter w:w="1171" w:type="dxa"/>
                <w:jc w:val="center"/>
              </w:trPr>
              <w:tc>
                <w:tcPr>
                  <w:tcW w:w="1965" w:type="dxa"/>
                  <w:gridSpan w:val="2"/>
                  <w:vMerge w:val="restart"/>
                  <w:shd w:val="clear" w:color="auto" w:fill="auto"/>
                </w:tcPr>
                <w:p w14:paraId="3BD69251"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31B7FB94"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Selected Tourist Centres in Southwest Nigeria</w:t>
                  </w:r>
                </w:p>
                <w:p w14:paraId="7A3B218C"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tc>
              <w:tc>
                <w:tcPr>
                  <w:tcW w:w="1762" w:type="dxa"/>
                  <w:gridSpan w:val="2"/>
                  <w:shd w:val="clear" w:color="auto" w:fill="auto"/>
                </w:tcPr>
                <w:p w14:paraId="4982EE52"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GENDER</w:t>
                  </w:r>
                </w:p>
              </w:tc>
              <w:tc>
                <w:tcPr>
                  <w:tcW w:w="2167" w:type="dxa"/>
                  <w:gridSpan w:val="3"/>
                  <w:shd w:val="clear" w:color="auto" w:fill="auto"/>
                </w:tcPr>
                <w:p w14:paraId="3EFDA05F"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AGE</w:t>
                  </w:r>
                </w:p>
              </w:tc>
              <w:tc>
                <w:tcPr>
                  <w:tcW w:w="2107" w:type="dxa"/>
                  <w:gridSpan w:val="4"/>
                  <w:vMerge w:val="restart"/>
                  <w:shd w:val="clear" w:color="auto" w:fill="auto"/>
                </w:tcPr>
                <w:p w14:paraId="22FE3B86"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0E3E4372"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 xml:space="preserve">Total </w:t>
                  </w:r>
                </w:p>
              </w:tc>
            </w:tr>
            <w:tr w:rsidR="000704D9" w:rsidRPr="000704D9" w14:paraId="10DF732C" w14:textId="77777777" w:rsidTr="000704D9">
              <w:trPr>
                <w:jc w:val="center"/>
              </w:trPr>
              <w:tc>
                <w:tcPr>
                  <w:tcW w:w="1965" w:type="dxa"/>
                  <w:gridSpan w:val="2"/>
                  <w:vMerge/>
                  <w:tcBorders>
                    <w:bottom w:val="single" w:sz="4" w:space="0" w:color="auto"/>
                  </w:tcBorders>
                  <w:shd w:val="clear" w:color="auto" w:fill="auto"/>
                </w:tcPr>
                <w:p w14:paraId="075A395A"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tc>
              <w:tc>
                <w:tcPr>
                  <w:tcW w:w="878" w:type="dxa"/>
                  <w:tcBorders>
                    <w:bottom w:val="single" w:sz="4" w:space="0" w:color="auto"/>
                  </w:tcBorders>
                  <w:shd w:val="clear" w:color="auto" w:fill="auto"/>
                </w:tcPr>
                <w:p w14:paraId="2B56F0A3"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Male</w:t>
                  </w:r>
                </w:p>
              </w:tc>
              <w:tc>
                <w:tcPr>
                  <w:tcW w:w="884" w:type="dxa"/>
                  <w:tcBorders>
                    <w:bottom w:val="single" w:sz="4" w:space="0" w:color="auto"/>
                  </w:tcBorders>
                  <w:shd w:val="clear" w:color="auto" w:fill="auto"/>
                </w:tcPr>
                <w:p w14:paraId="415A66DF"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Female</w:t>
                  </w:r>
                </w:p>
              </w:tc>
              <w:tc>
                <w:tcPr>
                  <w:tcW w:w="754" w:type="dxa"/>
                  <w:tcBorders>
                    <w:bottom w:val="single" w:sz="4" w:space="0" w:color="auto"/>
                  </w:tcBorders>
                  <w:shd w:val="clear" w:color="auto" w:fill="auto"/>
                </w:tcPr>
                <w:p w14:paraId="442941B1"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18-25 years</w:t>
                  </w:r>
                </w:p>
              </w:tc>
              <w:tc>
                <w:tcPr>
                  <w:tcW w:w="807" w:type="dxa"/>
                  <w:tcBorders>
                    <w:bottom w:val="single" w:sz="4" w:space="0" w:color="auto"/>
                  </w:tcBorders>
                  <w:shd w:val="clear" w:color="auto" w:fill="auto"/>
                </w:tcPr>
                <w:p w14:paraId="7DCA047B"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26-35 years</w:t>
                  </w:r>
                </w:p>
              </w:tc>
              <w:tc>
                <w:tcPr>
                  <w:tcW w:w="878" w:type="dxa"/>
                  <w:gridSpan w:val="2"/>
                  <w:tcBorders>
                    <w:bottom w:val="single" w:sz="4" w:space="0" w:color="auto"/>
                  </w:tcBorders>
                  <w:shd w:val="clear" w:color="auto" w:fill="auto"/>
                </w:tcPr>
                <w:p w14:paraId="4A1AD313"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36-45 years</w:t>
                  </w:r>
                </w:p>
              </w:tc>
              <w:tc>
                <w:tcPr>
                  <w:tcW w:w="772" w:type="dxa"/>
                  <w:tcBorders>
                    <w:bottom w:val="single" w:sz="4" w:space="0" w:color="auto"/>
                  </w:tcBorders>
                  <w:shd w:val="clear" w:color="auto" w:fill="auto"/>
                </w:tcPr>
                <w:p w14:paraId="02206B6E"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46-55 years</w:t>
                  </w:r>
                </w:p>
              </w:tc>
              <w:tc>
                <w:tcPr>
                  <w:tcW w:w="733" w:type="dxa"/>
                  <w:tcBorders>
                    <w:bottom w:val="single" w:sz="4" w:space="0" w:color="auto"/>
                  </w:tcBorders>
                </w:tcPr>
                <w:p w14:paraId="30C6012D"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56 years above</w:t>
                  </w:r>
                </w:p>
              </w:tc>
              <w:tc>
                <w:tcPr>
                  <w:tcW w:w="1501" w:type="dxa"/>
                  <w:gridSpan w:val="2"/>
                  <w:vMerge/>
                  <w:tcBorders>
                    <w:bottom w:val="single" w:sz="4" w:space="0" w:color="auto"/>
                  </w:tcBorders>
                  <w:shd w:val="clear" w:color="auto" w:fill="auto"/>
                </w:tcPr>
                <w:p w14:paraId="3727E741"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tc>
            </w:tr>
            <w:tr w:rsidR="000704D9" w:rsidRPr="000704D9" w14:paraId="02319C41" w14:textId="77777777" w:rsidTr="000704D9">
              <w:trPr>
                <w:jc w:val="center"/>
              </w:trPr>
              <w:tc>
                <w:tcPr>
                  <w:tcW w:w="1384" w:type="dxa"/>
                  <w:vMerge w:val="restart"/>
                  <w:tcBorders>
                    <w:top w:val="single" w:sz="4" w:space="0" w:color="auto"/>
                  </w:tcBorders>
                  <w:shd w:val="clear" w:color="auto" w:fill="auto"/>
                </w:tcPr>
                <w:p w14:paraId="6752083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51113C4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Ekiti</w:t>
                  </w:r>
                </w:p>
              </w:tc>
              <w:tc>
                <w:tcPr>
                  <w:tcW w:w="581" w:type="dxa"/>
                  <w:tcBorders>
                    <w:top w:val="single" w:sz="4" w:space="0" w:color="auto"/>
                  </w:tcBorders>
                </w:tcPr>
                <w:p w14:paraId="1D417E8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878" w:type="dxa"/>
                  <w:tcBorders>
                    <w:top w:val="single" w:sz="4" w:space="0" w:color="auto"/>
                  </w:tcBorders>
                  <w:shd w:val="clear" w:color="auto" w:fill="auto"/>
                </w:tcPr>
                <w:p w14:paraId="749EDC1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38</w:t>
                  </w:r>
                </w:p>
              </w:tc>
              <w:tc>
                <w:tcPr>
                  <w:tcW w:w="884" w:type="dxa"/>
                  <w:tcBorders>
                    <w:top w:val="single" w:sz="4" w:space="0" w:color="auto"/>
                  </w:tcBorders>
                  <w:shd w:val="clear" w:color="auto" w:fill="auto"/>
                </w:tcPr>
                <w:p w14:paraId="0D6F997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20</w:t>
                  </w:r>
                </w:p>
              </w:tc>
              <w:tc>
                <w:tcPr>
                  <w:tcW w:w="754" w:type="dxa"/>
                  <w:tcBorders>
                    <w:top w:val="single" w:sz="4" w:space="0" w:color="auto"/>
                  </w:tcBorders>
                  <w:shd w:val="clear" w:color="auto" w:fill="auto"/>
                </w:tcPr>
                <w:p w14:paraId="0D5FE63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w:t>
                  </w:r>
                </w:p>
              </w:tc>
              <w:tc>
                <w:tcPr>
                  <w:tcW w:w="807" w:type="dxa"/>
                  <w:tcBorders>
                    <w:top w:val="single" w:sz="4" w:space="0" w:color="auto"/>
                  </w:tcBorders>
                  <w:shd w:val="clear" w:color="auto" w:fill="auto"/>
                </w:tcPr>
                <w:p w14:paraId="330FA05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13</w:t>
                  </w:r>
                </w:p>
              </w:tc>
              <w:tc>
                <w:tcPr>
                  <w:tcW w:w="878" w:type="dxa"/>
                  <w:gridSpan w:val="2"/>
                  <w:tcBorders>
                    <w:top w:val="single" w:sz="4" w:space="0" w:color="auto"/>
                  </w:tcBorders>
                  <w:shd w:val="clear" w:color="auto" w:fill="auto"/>
                </w:tcPr>
                <w:p w14:paraId="7987646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36</w:t>
                  </w:r>
                </w:p>
              </w:tc>
              <w:tc>
                <w:tcPr>
                  <w:tcW w:w="772" w:type="dxa"/>
                  <w:tcBorders>
                    <w:top w:val="single" w:sz="4" w:space="0" w:color="auto"/>
                  </w:tcBorders>
                  <w:shd w:val="clear" w:color="auto" w:fill="auto"/>
                </w:tcPr>
                <w:p w14:paraId="5A2396B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w:t>
                  </w:r>
                </w:p>
              </w:tc>
              <w:tc>
                <w:tcPr>
                  <w:tcW w:w="733" w:type="dxa"/>
                  <w:tcBorders>
                    <w:top w:val="single" w:sz="4" w:space="0" w:color="auto"/>
                  </w:tcBorders>
                </w:tcPr>
                <w:p w14:paraId="225AA9E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501" w:type="dxa"/>
                  <w:gridSpan w:val="2"/>
                  <w:tcBorders>
                    <w:top w:val="single" w:sz="4" w:space="0" w:color="auto"/>
                  </w:tcBorders>
                  <w:shd w:val="clear" w:color="auto" w:fill="auto"/>
                </w:tcPr>
                <w:p w14:paraId="0B34C33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58</w:t>
                  </w:r>
                </w:p>
              </w:tc>
            </w:tr>
            <w:tr w:rsidR="000704D9" w:rsidRPr="000704D9" w14:paraId="40D1CB3D" w14:textId="77777777" w:rsidTr="000704D9">
              <w:trPr>
                <w:jc w:val="center"/>
              </w:trPr>
              <w:tc>
                <w:tcPr>
                  <w:tcW w:w="1384" w:type="dxa"/>
                  <w:vMerge/>
                  <w:shd w:val="clear" w:color="auto" w:fill="auto"/>
                </w:tcPr>
                <w:p w14:paraId="44440E7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581" w:type="dxa"/>
                </w:tcPr>
                <w:p w14:paraId="01EC464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 (%)</w:t>
                  </w:r>
                </w:p>
              </w:tc>
              <w:tc>
                <w:tcPr>
                  <w:tcW w:w="878" w:type="dxa"/>
                  <w:shd w:val="clear" w:color="auto" w:fill="auto"/>
                </w:tcPr>
                <w:p w14:paraId="604FCD4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65.5%</w:t>
                  </w:r>
                </w:p>
              </w:tc>
              <w:tc>
                <w:tcPr>
                  <w:tcW w:w="884" w:type="dxa"/>
                  <w:shd w:val="clear" w:color="auto" w:fill="auto"/>
                </w:tcPr>
                <w:p w14:paraId="708225C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34.5%</w:t>
                  </w:r>
                </w:p>
              </w:tc>
              <w:tc>
                <w:tcPr>
                  <w:tcW w:w="754" w:type="dxa"/>
                  <w:shd w:val="clear" w:color="auto" w:fill="auto"/>
                </w:tcPr>
                <w:p w14:paraId="4BF155F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5.2%</w:t>
                  </w:r>
                </w:p>
              </w:tc>
              <w:tc>
                <w:tcPr>
                  <w:tcW w:w="807" w:type="dxa"/>
                  <w:shd w:val="clear" w:color="auto" w:fill="auto"/>
                </w:tcPr>
                <w:p w14:paraId="047B773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22.4%</w:t>
                  </w:r>
                </w:p>
              </w:tc>
              <w:tc>
                <w:tcPr>
                  <w:tcW w:w="878" w:type="dxa"/>
                  <w:gridSpan w:val="2"/>
                  <w:shd w:val="clear" w:color="auto" w:fill="auto"/>
                </w:tcPr>
                <w:p w14:paraId="0F9A33D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62.1%</w:t>
                  </w:r>
                </w:p>
              </w:tc>
              <w:tc>
                <w:tcPr>
                  <w:tcW w:w="772" w:type="dxa"/>
                  <w:shd w:val="clear" w:color="auto" w:fill="auto"/>
                </w:tcPr>
                <w:p w14:paraId="29C32F9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10.3%</w:t>
                  </w:r>
                </w:p>
              </w:tc>
              <w:tc>
                <w:tcPr>
                  <w:tcW w:w="733" w:type="dxa"/>
                </w:tcPr>
                <w:p w14:paraId="4005C36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501" w:type="dxa"/>
                  <w:gridSpan w:val="2"/>
                  <w:shd w:val="clear" w:color="auto" w:fill="auto"/>
                </w:tcPr>
                <w:p w14:paraId="3826BA9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0704D9" w:rsidRPr="000704D9" w14:paraId="22D64C37" w14:textId="77777777" w:rsidTr="000704D9">
              <w:trPr>
                <w:trHeight w:val="449"/>
                <w:jc w:val="center"/>
              </w:trPr>
              <w:tc>
                <w:tcPr>
                  <w:tcW w:w="1384" w:type="dxa"/>
                  <w:vMerge w:val="restart"/>
                  <w:shd w:val="clear" w:color="auto" w:fill="auto"/>
                </w:tcPr>
                <w:p w14:paraId="4B6EB17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709ACE9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Osun</w:t>
                  </w:r>
                </w:p>
              </w:tc>
              <w:tc>
                <w:tcPr>
                  <w:tcW w:w="581" w:type="dxa"/>
                </w:tcPr>
                <w:p w14:paraId="7DF43EB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878" w:type="dxa"/>
                  <w:shd w:val="clear" w:color="auto" w:fill="auto"/>
                </w:tcPr>
                <w:p w14:paraId="1E16AD7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19</w:t>
                  </w:r>
                </w:p>
              </w:tc>
              <w:tc>
                <w:tcPr>
                  <w:tcW w:w="884" w:type="dxa"/>
                  <w:shd w:val="clear" w:color="auto" w:fill="auto"/>
                </w:tcPr>
                <w:p w14:paraId="6708ECD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754" w:type="dxa"/>
                  <w:shd w:val="clear" w:color="auto" w:fill="auto"/>
                </w:tcPr>
                <w:p w14:paraId="5C71F82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07" w:type="dxa"/>
                  <w:shd w:val="clear" w:color="auto" w:fill="auto"/>
                </w:tcPr>
                <w:p w14:paraId="1B4A9F8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78" w:type="dxa"/>
                  <w:gridSpan w:val="2"/>
                  <w:shd w:val="clear" w:color="auto" w:fill="auto"/>
                </w:tcPr>
                <w:p w14:paraId="18D7CFD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19</w:t>
                  </w:r>
                </w:p>
              </w:tc>
              <w:tc>
                <w:tcPr>
                  <w:tcW w:w="772" w:type="dxa"/>
                  <w:shd w:val="clear" w:color="auto" w:fill="auto"/>
                </w:tcPr>
                <w:p w14:paraId="2A4C7ED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733" w:type="dxa"/>
                </w:tcPr>
                <w:p w14:paraId="53AA9F8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501" w:type="dxa"/>
                  <w:gridSpan w:val="2"/>
                  <w:shd w:val="clear" w:color="auto" w:fill="auto"/>
                </w:tcPr>
                <w:p w14:paraId="53B6B1F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19</w:t>
                  </w:r>
                </w:p>
              </w:tc>
            </w:tr>
            <w:tr w:rsidR="000704D9" w:rsidRPr="000704D9" w14:paraId="310E8FE9" w14:textId="77777777" w:rsidTr="000704D9">
              <w:trPr>
                <w:jc w:val="center"/>
              </w:trPr>
              <w:tc>
                <w:tcPr>
                  <w:tcW w:w="1384" w:type="dxa"/>
                  <w:vMerge/>
                  <w:shd w:val="clear" w:color="auto" w:fill="auto"/>
                </w:tcPr>
                <w:p w14:paraId="12369AA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581" w:type="dxa"/>
                </w:tcPr>
                <w:p w14:paraId="53D77C6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 (%)</w:t>
                  </w:r>
                </w:p>
              </w:tc>
              <w:tc>
                <w:tcPr>
                  <w:tcW w:w="878" w:type="dxa"/>
                  <w:shd w:val="clear" w:color="auto" w:fill="auto"/>
                </w:tcPr>
                <w:p w14:paraId="0CCCCB7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c>
                <w:tcPr>
                  <w:tcW w:w="884" w:type="dxa"/>
                  <w:shd w:val="clear" w:color="auto" w:fill="auto"/>
                </w:tcPr>
                <w:p w14:paraId="27A78A9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754" w:type="dxa"/>
                  <w:shd w:val="clear" w:color="auto" w:fill="auto"/>
                </w:tcPr>
                <w:p w14:paraId="617BEF2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07" w:type="dxa"/>
                  <w:shd w:val="clear" w:color="auto" w:fill="auto"/>
                </w:tcPr>
                <w:p w14:paraId="6A92D5D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78" w:type="dxa"/>
                  <w:gridSpan w:val="2"/>
                  <w:shd w:val="clear" w:color="auto" w:fill="auto"/>
                </w:tcPr>
                <w:p w14:paraId="1E2303D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c>
                <w:tcPr>
                  <w:tcW w:w="772" w:type="dxa"/>
                  <w:shd w:val="clear" w:color="auto" w:fill="auto"/>
                </w:tcPr>
                <w:p w14:paraId="4057C57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733" w:type="dxa"/>
                </w:tcPr>
                <w:p w14:paraId="023F6F6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501" w:type="dxa"/>
                  <w:gridSpan w:val="2"/>
                  <w:shd w:val="clear" w:color="auto" w:fill="auto"/>
                </w:tcPr>
                <w:p w14:paraId="56A2727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0704D9" w:rsidRPr="000704D9" w14:paraId="3368660D" w14:textId="77777777" w:rsidTr="000704D9">
              <w:trPr>
                <w:jc w:val="center"/>
              </w:trPr>
              <w:tc>
                <w:tcPr>
                  <w:tcW w:w="1384" w:type="dxa"/>
                  <w:vMerge w:val="restart"/>
                  <w:shd w:val="clear" w:color="auto" w:fill="auto"/>
                </w:tcPr>
                <w:p w14:paraId="16B3A31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048504E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Ogun</w:t>
                  </w:r>
                </w:p>
              </w:tc>
              <w:tc>
                <w:tcPr>
                  <w:tcW w:w="581" w:type="dxa"/>
                </w:tcPr>
                <w:p w14:paraId="7E19A6F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878" w:type="dxa"/>
                  <w:shd w:val="clear" w:color="auto" w:fill="auto"/>
                </w:tcPr>
                <w:p w14:paraId="392779D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55</w:t>
                  </w:r>
                </w:p>
              </w:tc>
              <w:tc>
                <w:tcPr>
                  <w:tcW w:w="884" w:type="dxa"/>
                  <w:shd w:val="clear" w:color="auto" w:fill="auto"/>
                </w:tcPr>
                <w:p w14:paraId="3A7B2A9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15</w:t>
                  </w:r>
                </w:p>
              </w:tc>
              <w:tc>
                <w:tcPr>
                  <w:tcW w:w="754" w:type="dxa"/>
                  <w:shd w:val="clear" w:color="auto" w:fill="auto"/>
                </w:tcPr>
                <w:p w14:paraId="221CCC4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w:t>
                  </w:r>
                </w:p>
              </w:tc>
              <w:tc>
                <w:tcPr>
                  <w:tcW w:w="807" w:type="dxa"/>
                  <w:shd w:val="clear" w:color="auto" w:fill="auto"/>
                </w:tcPr>
                <w:p w14:paraId="45D4895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12</w:t>
                  </w:r>
                </w:p>
              </w:tc>
              <w:tc>
                <w:tcPr>
                  <w:tcW w:w="878" w:type="dxa"/>
                  <w:gridSpan w:val="2"/>
                  <w:shd w:val="clear" w:color="auto" w:fill="auto"/>
                </w:tcPr>
                <w:p w14:paraId="05A5C37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35</w:t>
                  </w:r>
                </w:p>
              </w:tc>
              <w:tc>
                <w:tcPr>
                  <w:tcW w:w="772" w:type="dxa"/>
                  <w:shd w:val="clear" w:color="auto" w:fill="auto"/>
                </w:tcPr>
                <w:p w14:paraId="4349A06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8</w:t>
                  </w:r>
                </w:p>
              </w:tc>
              <w:tc>
                <w:tcPr>
                  <w:tcW w:w="733" w:type="dxa"/>
                </w:tcPr>
                <w:p w14:paraId="7A9B4AE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501" w:type="dxa"/>
                  <w:gridSpan w:val="2"/>
                  <w:shd w:val="clear" w:color="auto" w:fill="auto"/>
                </w:tcPr>
                <w:p w14:paraId="3295AF0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70</w:t>
                  </w:r>
                </w:p>
              </w:tc>
            </w:tr>
            <w:tr w:rsidR="000704D9" w:rsidRPr="000704D9" w14:paraId="7B4AA3BB" w14:textId="77777777" w:rsidTr="000704D9">
              <w:trPr>
                <w:jc w:val="center"/>
              </w:trPr>
              <w:tc>
                <w:tcPr>
                  <w:tcW w:w="1384" w:type="dxa"/>
                  <w:vMerge/>
                  <w:shd w:val="clear" w:color="auto" w:fill="auto"/>
                </w:tcPr>
                <w:p w14:paraId="471FD7A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581" w:type="dxa"/>
                </w:tcPr>
                <w:p w14:paraId="2BA07D0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 (%)</w:t>
                  </w:r>
                </w:p>
              </w:tc>
              <w:tc>
                <w:tcPr>
                  <w:tcW w:w="878" w:type="dxa"/>
                  <w:shd w:val="clear" w:color="auto" w:fill="auto"/>
                </w:tcPr>
                <w:p w14:paraId="46E9563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78.6%</w:t>
                  </w:r>
                </w:p>
              </w:tc>
              <w:tc>
                <w:tcPr>
                  <w:tcW w:w="884" w:type="dxa"/>
                  <w:shd w:val="clear" w:color="auto" w:fill="auto"/>
                </w:tcPr>
                <w:p w14:paraId="009CC88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21.4%</w:t>
                  </w:r>
                </w:p>
              </w:tc>
              <w:tc>
                <w:tcPr>
                  <w:tcW w:w="754" w:type="dxa"/>
                  <w:shd w:val="clear" w:color="auto" w:fill="auto"/>
                </w:tcPr>
                <w:p w14:paraId="19C4DED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5.2%</w:t>
                  </w:r>
                </w:p>
              </w:tc>
              <w:tc>
                <w:tcPr>
                  <w:tcW w:w="807" w:type="dxa"/>
                  <w:shd w:val="clear" w:color="auto" w:fill="auto"/>
                </w:tcPr>
                <w:p w14:paraId="30A6DAF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20.7%</w:t>
                  </w:r>
                </w:p>
              </w:tc>
              <w:tc>
                <w:tcPr>
                  <w:tcW w:w="878" w:type="dxa"/>
                  <w:gridSpan w:val="2"/>
                  <w:shd w:val="clear" w:color="auto" w:fill="auto"/>
                </w:tcPr>
                <w:p w14:paraId="0C2B25C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60.3%</w:t>
                  </w:r>
                </w:p>
              </w:tc>
              <w:tc>
                <w:tcPr>
                  <w:tcW w:w="772" w:type="dxa"/>
                  <w:shd w:val="clear" w:color="auto" w:fill="auto"/>
                </w:tcPr>
                <w:p w14:paraId="6E556F5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13.8%</w:t>
                  </w:r>
                </w:p>
              </w:tc>
              <w:tc>
                <w:tcPr>
                  <w:tcW w:w="733" w:type="dxa"/>
                </w:tcPr>
                <w:p w14:paraId="5E9E351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501" w:type="dxa"/>
                  <w:gridSpan w:val="2"/>
                  <w:shd w:val="clear" w:color="auto" w:fill="auto"/>
                </w:tcPr>
                <w:p w14:paraId="76677D9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0704D9" w:rsidRPr="000704D9" w14:paraId="1AD5DA77" w14:textId="77777777" w:rsidTr="000704D9">
              <w:trPr>
                <w:jc w:val="center"/>
              </w:trPr>
              <w:tc>
                <w:tcPr>
                  <w:tcW w:w="1384" w:type="dxa"/>
                  <w:vMerge w:val="restart"/>
                  <w:shd w:val="clear" w:color="auto" w:fill="auto"/>
                </w:tcPr>
                <w:p w14:paraId="79784A0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16BCA33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Oyo</w:t>
                  </w:r>
                </w:p>
              </w:tc>
              <w:tc>
                <w:tcPr>
                  <w:tcW w:w="581" w:type="dxa"/>
                </w:tcPr>
                <w:p w14:paraId="5DCE697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878" w:type="dxa"/>
                  <w:shd w:val="clear" w:color="auto" w:fill="auto"/>
                </w:tcPr>
                <w:p w14:paraId="52B1F1E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36</w:t>
                  </w:r>
                </w:p>
              </w:tc>
              <w:tc>
                <w:tcPr>
                  <w:tcW w:w="884" w:type="dxa"/>
                  <w:shd w:val="clear" w:color="auto" w:fill="auto"/>
                </w:tcPr>
                <w:p w14:paraId="0F9ABAD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17</w:t>
                  </w:r>
                </w:p>
              </w:tc>
              <w:tc>
                <w:tcPr>
                  <w:tcW w:w="754" w:type="dxa"/>
                  <w:shd w:val="clear" w:color="auto" w:fill="auto"/>
                </w:tcPr>
                <w:p w14:paraId="3DFE5DE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07" w:type="dxa"/>
                  <w:shd w:val="clear" w:color="auto" w:fill="auto"/>
                </w:tcPr>
                <w:p w14:paraId="6264A58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7</w:t>
                  </w:r>
                </w:p>
              </w:tc>
              <w:tc>
                <w:tcPr>
                  <w:tcW w:w="878" w:type="dxa"/>
                  <w:gridSpan w:val="2"/>
                  <w:shd w:val="clear" w:color="auto" w:fill="auto"/>
                </w:tcPr>
                <w:p w14:paraId="4A2E301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44</w:t>
                  </w:r>
                </w:p>
              </w:tc>
              <w:tc>
                <w:tcPr>
                  <w:tcW w:w="772" w:type="dxa"/>
                  <w:shd w:val="clear" w:color="auto" w:fill="auto"/>
                </w:tcPr>
                <w:p w14:paraId="68F891B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7</w:t>
                  </w:r>
                </w:p>
              </w:tc>
              <w:tc>
                <w:tcPr>
                  <w:tcW w:w="733" w:type="dxa"/>
                </w:tcPr>
                <w:p w14:paraId="22FBEB4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501" w:type="dxa"/>
                  <w:gridSpan w:val="2"/>
                  <w:shd w:val="clear" w:color="auto" w:fill="auto"/>
                </w:tcPr>
                <w:p w14:paraId="357D168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53</w:t>
                  </w:r>
                </w:p>
              </w:tc>
            </w:tr>
            <w:tr w:rsidR="000704D9" w:rsidRPr="000704D9" w14:paraId="449C97E5" w14:textId="77777777" w:rsidTr="000704D9">
              <w:trPr>
                <w:jc w:val="center"/>
              </w:trPr>
              <w:tc>
                <w:tcPr>
                  <w:tcW w:w="1384" w:type="dxa"/>
                  <w:vMerge/>
                  <w:shd w:val="clear" w:color="auto" w:fill="auto"/>
                </w:tcPr>
                <w:p w14:paraId="192ABB2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581" w:type="dxa"/>
                </w:tcPr>
                <w:p w14:paraId="175AC2A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 (%)</w:t>
                  </w:r>
                </w:p>
              </w:tc>
              <w:tc>
                <w:tcPr>
                  <w:tcW w:w="878" w:type="dxa"/>
                  <w:shd w:val="clear" w:color="auto" w:fill="auto"/>
                </w:tcPr>
                <w:p w14:paraId="0FEA415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67.9%</w:t>
                  </w:r>
                </w:p>
              </w:tc>
              <w:tc>
                <w:tcPr>
                  <w:tcW w:w="884" w:type="dxa"/>
                  <w:shd w:val="clear" w:color="auto" w:fill="auto"/>
                </w:tcPr>
                <w:p w14:paraId="28D92A5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32.1%</w:t>
                  </w:r>
                </w:p>
              </w:tc>
              <w:tc>
                <w:tcPr>
                  <w:tcW w:w="754" w:type="dxa"/>
                  <w:shd w:val="clear" w:color="auto" w:fill="auto"/>
                </w:tcPr>
                <w:p w14:paraId="2E3A9BA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07" w:type="dxa"/>
                  <w:shd w:val="clear" w:color="auto" w:fill="auto"/>
                </w:tcPr>
                <w:p w14:paraId="19734C0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12.1%</w:t>
                  </w:r>
                </w:p>
              </w:tc>
              <w:tc>
                <w:tcPr>
                  <w:tcW w:w="878" w:type="dxa"/>
                  <w:gridSpan w:val="2"/>
                  <w:shd w:val="clear" w:color="auto" w:fill="auto"/>
                </w:tcPr>
                <w:p w14:paraId="7737D4D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75.9%</w:t>
                  </w:r>
                </w:p>
              </w:tc>
              <w:tc>
                <w:tcPr>
                  <w:tcW w:w="772" w:type="dxa"/>
                  <w:shd w:val="clear" w:color="auto" w:fill="auto"/>
                </w:tcPr>
                <w:p w14:paraId="33ED66C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12.1%</w:t>
                  </w:r>
                </w:p>
              </w:tc>
              <w:tc>
                <w:tcPr>
                  <w:tcW w:w="733" w:type="dxa"/>
                </w:tcPr>
                <w:p w14:paraId="358D4B3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501" w:type="dxa"/>
                  <w:gridSpan w:val="2"/>
                  <w:shd w:val="clear" w:color="auto" w:fill="auto"/>
                </w:tcPr>
                <w:p w14:paraId="088A81A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0704D9" w:rsidRPr="000704D9" w14:paraId="33081365" w14:textId="77777777" w:rsidTr="000704D9">
              <w:trPr>
                <w:jc w:val="center"/>
              </w:trPr>
              <w:tc>
                <w:tcPr>
                  <w:tcW w:w="1384" w:type="dxa"/>
                  <w:vMerge w:val="restart"/>
                  <w:shd w:val="clear" w:color="auto" w:fill="auto"/>
                </w:tcPr>
                <w:p w14:paraId="467BF6D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1CB8ACD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Lagos</w:t>
                  </w:r>
                </w:p>
              </w:tc>
              <w:tc>
                <w:tcPr>
                  <w:tcW w:w="581" w:type="dxa"/>
                </w:tcPr>
                <w:p w14:paraId="73CB395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878" w:type="dxa"/>
                  <w:shd w:val="clear" w:color="auto" w:fill="auto"/>
                </w:tcPr>
                <w:p w14:paraId="5664009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60</w:t>
                  </w:r>
                </w:p>
              </w:tc>
              <w:tc>
                <w:tcPr>
                  <w:tcW w:w="884" w:type="dxa"/>
                  <w:shd w:val="clear" w:color="auto" w:fill="auto"/>
                </w:tcPr>
                <w:p w14:paraId="5577AB6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27</w:t>
                  </w:r>
                </w:p>
              </w:tc>
              <w:tc>
                <w:tcPr>
                  <w:tcW w:w="754" w:type="dxa"/>
                  <w:shd w:val="clear" w:color="auto" w:fill="auto"/>
                </w:tcPr>
                <w:p w14:paraId="6AF73C4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w:t>
                  </w:r>
                </w:p>
              </w:tc>
              <w:tc>
                <w:tcPr>
                  <w:tcW w:w="807" w:type="dxa"/>
                  <w:shd w:val="clear" w:color="auto" w:fill="auto"/>
                </w:tcPr>
                <w:p w14:paraId="29D0299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w:t>
                  </w:r>
                </w:p>
              </w:tc>
              <w:tc>
                <w:tcPr>
                  <w:tcW w:w="878" w:type="dxa"/>
                  <w:gridSpan w:val="2"/>
                  <w:shd w:val="clear" w:color="auto" w:fill="auto"/>
                </w:tcPr>
                <w:p w14:paraId="31D754F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34</w:t>
                  </w:r>
                </w:p>
              </w:tc>
              <w:tc>
                <w:tcPr>
                  <w:tcW w:w="772" w:type="dxa"/>
                  <w:shd w:val="clear" w:color="auto" w:fill="auto"/>
                </w:tcPr>
                <w:p w14:paraId="2CE2CDB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w:t>
                  </w:r>
                </w:p>
              </w:tc>
              <w:tc>
                <w:tcPr>
                  <w:tcW w:w="733" w:type="dxa"/>
                </w:tcPr>
                <w:p w14:paraId="13FB8EE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w:t>
                  </w:r>
                </w:p>
              </w:tc>
              <w:tc>
                <w:tcPr>
                  <w:tcW w:w="1501" w:type="dxa"/>
                  <w:gridSpan w:val="2"/>
                  <w:shd w:val="clear" w:color="auto" w:fill="auto"/>
                </w:tcPr>
                <w:p w14:paraId="34A4D83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87</w:t>
                  </w:r>
                </w:p>
              </w:tc>
            </w:tr>
            <w:tr w:rsidR="000704D9" w:rsidRPr="000704D9" w14:paraId="221C9B92" w14:textId="77777777" w:rsidTr="000704D9">
              <w:trPr>
                <w:jc w:val="center"/>
              </w:trPr>
              <w:tc>
                <w:tcPr>
                  <w:tcW w:w="1384" w:type="dxa"/>
                  <w:vMerge/>
                  <w:shd w:val="clear" w:color="auto" w:fill="auto"/>
                </w:tcPr>
                <w:p w14:paraId="57DCD9D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581" w:type="dxa"/>
                </w:tcPr>
                <w:p w14:paraId="4E9EDAC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 (%)</w:t>
                  </w:r>
                </w:p>
              </w:tc>
              <w:tc>
                <w:tcPr>
                  <w:tcW w:w="878" w:type="dxa"/>
                  <w:shd w:val="clear" w:color="auto" w:fill="auto"/>
                </w:tcPr>
                <w:p w14:paraId="3F3B3EC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69.0%</w:t>
                  </w:r>
                </w:p>
              </w:tc>
              <w:tc>
                <w:tcPr>
                  <w:tcW w:w="884" w:type="dxa"/>
                  <w:shd w:val="clear" w:color="auto" w:fill="auto"/>
                </w:tcPr>
                <w:p w14:paraId="5EE3831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31.0%</w:t>
                  </w:r>
                </w:p>
              </w:tc>
              <w:tc>
                <w:tcPr>
                  <w:tcW w:w="754" w:type="dxa"/>
                  <w:shd w:val="clear" w:color="auto" w:fill="auto"/>
                </w:tcPr>
                <w:p w14:paraId="5929422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8.6%</w:t>
                  </w:r>
                </w:p>
              </w:tc>
              <w:tc>
                <w:tcPr>
                  <w:tcW w:w="807" w:type="dxa"/>
                  <w:shd w:val="clear" w:color="auto" w:fill="auto"/>
                </w:tcPr>
                <w:p w14:paraId="1EDAC2F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5.2%</w:t>
                  </w:r>
                </w:p>
              </w:tc>
              <w:tc>
                <w:tcPr>
                  <w:tcW w:w="878" w:type="dxa"/>
                  <w:gridSpan w:val="2"/>
                  <w:shd w:val="clear" w:color="auto" w:fill="auto"/>
                </w:tcPr>
                <w:p w14:paraId="4976EC9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58.6%</w:t>
                  </w:r>
                </w:p>
              </w:tc>
              <w:tc>
                <w:tcPr>
                  <w:tcW w:w="772" w:type="dxa"/>
                  <w:shd w:val="clear" w:color="auto" w:fill="auto"/>
                </w:tcPr>
                <w:p w14:paraId="725FAC7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17.2%</w:t>
                  </w:r>
                </w:p>
              </w:tc>
              <w:tc>
                <w:tcPr>
                  <w:tcW w:w="733" w:type="dxa"/>
                </w:tcPr>
                <w:p w14:paraId="5B68D10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10.3%</w:t>
                  </w:r>
                </w:p>
              </w:tc>
              <w:tc>
                <w:tcPr>
                  <w:tcW w:w="1501" w:type="dxa"/>
                  <w:gridSpan w:val="2"/>
                  <w:shd w:val="clear" w:color="auto" w:fill="auto"/>
                </w:tcPr>
                <w:p w14:paraId="5F2824E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0704D9" w:rsidRPr="000704D9" w14:paraId="72FDEDFB" w14:textId="77777777" w:rsidTr="000704D9">
              <w:trPr>
                <w:jc w:val="center"/>
              </w:trPr>
              <w:tc>
                <w:tcPr>
                  <w:tcW w:w="1384" w:type="dxa"/>
                  <w:vMerge w:val="restart"/>
                  <w:shd w:val="clear" w:color="auto" w:fill="auto"/>
                </w:tcPr>
                <w:p w14:paraId="3E88E7D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2533C92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Ondo</w:t>
                  </w:r>
                </w:p>
              </w:tc>
              <w:tc>
                <w:tcPr>
                  <w:tcW w:w="581" w:type="dxa"/>
                </w:tcPr>
                <w:p w14:paraId="4EB7A12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878" w:type="dxa"/>
                  <w:shd w:val="clear" w:color="auto" w:fill="auto"/>
                </w:tcPr>
                <w:p w14:paraId="75AEF8F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25</w:t>
                  </w:r>
                </w:p>
              </w:tc>
              <w:tc>
                <w:tcPr>
                  <w:tcW w:w="884" w:type="dxa"/>
                  <w:shd w:val="clear" w:color="auto" w:fill="auto"/>
                </w:tcPr>
                <w:p w14:paraId="5490F4D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w:t>
                  </w:r>
                </w:p>
              </w:tc>
              <w:tc>
                <w:tcPr>
                  <w:tcW w:w="754" w:type="dxa"/>
                  <w:shd w:val="clear" w:color="auto" w:fill="auto"/>
                </w:tcPr>
                <w:p w14:paraId="580EAED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4</w:t>
                  </w:r>
                </w:p>
              </w:tc>
              <w:tc>
                <w:tcPr>
                  <w:tcW w:w="807" w:type="dxa"/>
                  <w:shd w:val="clear" w:color="auto" w:fill="auto"/>
                </w:tcPr>
                <w:p w14:paraId="4656E8F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9</w:t>
                  </w:r>
                </w:p>
              </w:tc>
              <w:tc>
                <w:tcPr>
                  <w:tcW w:w="878" w:type="dxa"/>
                  <w:gridSpan w:val="2"/>
                  <w:shd w:val="clear" w:color="auto" w:fill="auto"/>
                </w:tcPr>
                <w:p w14:paraId="0F342AA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45</w:t>
                  </w:r>
                </w:p>
              </w:tc>
              <w:tc>
                <w:tcPr>
                  <w:tcW w:w="772" w:type="dxa"/>
                  <w:shd w:val="clear" w:color="auto" w:fill="auto"/>
                </w:tcPr>
                <w:p w14:paraId="5F559AE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733" w:type="dxa"/>
                </w:tcPr>
                <w:p w14:paraId="7224F71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501" w:type="dxa"/>
                  <w:gridSpan w:val="2"/>
                  <w:shd w:val="clear" w:color="auto" w:fill="auto"/>
                </w:tcPr>
                <w:p w14:paraId="0F27553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30</w:t>
                  </w:r>
                </w:p>
              </w:tc>
            </w:tr>
            <w:tr w:rsidR="000704D9" w:rsidRPr="000704D9" w14:paraId="7A9A2ED4" w14:textId="77777777" w:rsidTr="000704D9">
              <w:trPr>
                <w:jc w:val="center"/>
              </w:trPr>
              <w:tc>
                <w:tcPr>
                  <w:tcW w:w="1384" w:type="dxa"/>
                  <w:vMerge/>
                  <w:shd w:val="clear" w:color="auto" w:fill="auto"/>
                </w:tcPr>
                <w:p w14:paraId="129FBAC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581" w:type="dxa"/>
                </w:tcPr>
                <w:p w14:paraId="14CE5E2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 (%)</w:t>
                  </w:r>
                </w:p>
              </w:tc>
              <w:tc>
                <w:tcPr>
                  <w:tcW w:w="878" w:type="dxa"/>
                  <w:shd w:val="clear" w:color="auto" w:fill="auto"/>
                </w:tcPr>
                <w:p w14:paraId="4BFEFEE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83.3%</w:t>
                  </w:r>
                </w:p>
              </w:tc>
              <w:tc>
                <w:tcPr>
                  <w:tcW w:w="884" w:type="dxa"/>
                  <w:shd w:val="clear" w:color="auto" w:fill="auto"/>
                </w:tcPr>
                <w:p w14:paraId="1085734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16.7%</w:t>
                  </w:r>
                </w:p>
              </w:tc>
              <w:tc>
                <w:tcPr>
                  <w:tcW w:w="754" w:type="dxa"/>
                  <w:shd w:val="clear" w:color="auto" w:fill="auto"/>
                </w:tcPr>
                <w:p w14:paraId="6AA44DB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6.9%</w:t>
                  </w:r>
                </w:p>
              </w:tc>
              <w:tc>
                <w:tcPr>
                  <w:tcW w:w="807" w:type="dxa"/>
                  <w:shd w:val="clear" w:color="auto" w:fill="auto"/>
                </w:tcPr>
                <w:p w14:paraId="3C459CE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15.5%</w:t>
                  </w:r>
                </w:p>
              </w:tc>
              <w:tc>
                <w:tcPr>
                  <w:tcW w:w="878" w:type="dxa"/>
                  <w:gridSpan w:val="2"/>
                  <w:shd w:val="clear" w:color="auto" w:fill="auto"/>
                </w:tcPr>
                <w:p w14:paraId="55A016D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77.6%</w:t>
                  </w:r>
                </w:p>
              </w:tc>
              <w:tc>
                <w:tcPr>
                  <w:tcW w:w="772" w:type="dxa"/>
                  <w:shd w:val="clear" w:color="auto" w:fill="auto"/>
                </w:tcPr>
                <w:p w14:paraId="79990B4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733" w:type="dxa"/>
                </w:tcPr>
                <w:p w14:paraId="7F53509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501" w:type="dxa"/>
                  <w:gridSpan w:val="2"/>
                  <w:shd w:val="clear" w:color="auto" w:fill="auto"/>
                </w:tcPr>
                <w:p w14:paraId="3A4816A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0704D9" w:rsidRPr="000704D9" w14:paraId="36CB5F30" w14:textId="77777777" w:rsidTr="000704D9">
              <w:trPr>
                <w:jc w:val="center"/>
              </w:trPr>
              <w:tc>
                <w:tcPr>
                  <w:tcW w:w="1384" w:type="dxa"/>
                  <w:vMerge w:val="restart"/>
                  <w:shd w:val="clear" w:color="auto" w:fill="auto"/>
                </w:tcPr>
                <w:p w14:paraId="08036844"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p>
                <w:p w14:paraId="05C3A5E4"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TOTAL</w:t>
                  </w:r>
                </w:p>
              </w:tc>
              <w:tc>
                <w:tcPr>
                  <w:tcW w:w="581" w:type="dxa"/>
                </w:tcPr>
                <w:p w14:paraId="3DBFBD3F"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Frequency</w:t>
                  </w:r>
                </w:p>
              </w:tc>
              <w:tc>
                <w:tcPr>
                  <w:tcW w:w="878" w:type="dxa"/>
                  <w:shd w:val="clear" w:color="auto" w:fill="auto"/>
                </w:tcPr>
                <w:p w14:paraId="7FCBF42C"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233</w:t>
                  </w:r>
                </w:p>
              </w:tc>
              <w:tc>
                <w:tcPr>
                  <w:tcW w:w="884" w:type="dxa"/>
                  <w:shd w:val="clear" w:color="auto" w:fill="auto"/>
                </w:tcPr>
                <w:p w14:paraId="4E633777"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84</w:t>
                  </w:r>
                </w:p>
              </w:tc>
              <w:tc>
                <w:tcPr>
                  <w:tcW w:w="754" w:type="dxa"/>
                  <w:shd w:val="clear" w:color="auto" w:fill="auto"/>
                </w:tcPr>
                <w:p w14:paraId="4F53B742"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15</w:t>
                  </w:r>
                </w:p>
              </w:tc>
              <w:tc>
                <w:tcPr>
                  <w:tcW w:w="807" w:type="dxa"/>
                  <w:shd w:val="clear" w:color="auto" w:fill="auto"/>
                </w:tcPr>
                <w:p w14:paraId="59AA2F73"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80</w:t>
                  </w:r>
                </w:p>
              </w:tc>
              <w:tc>
                <w:tcPr>
                  <w:tcW w:w="878" w:type="dxa"/>
                  <w:gridSpan w:val="2"/>
                  <w:shd w:val="clear" w:color="auto" w:fill="auto"/>
                </w:tcPr>
                <w:p w14:paraId="70EB2BC3"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177</w:t>
                  </w:r>
                </w:p>
              </w:tc>
              <w:tc>
                <w:tcPr>
                  <w:tcW w:w="772" w:type="dxa"/>
                  <w:shd w:val="clear" w:color="auto" w:fill="auto"/>
                </w:tcPr>
                <w:p w14:paraId="08FAC1A4"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31</w:t>
                  </w:r>
                </w:p>
              </w:tc>
              <w:tc>
                <w:tcPr>
                  <w:tcW w:w="733" w:type="dxa"/>
                </w:tcPr>
                <w:p w14:paraId="16E37657"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6</w:t>
                  </w:r>
                </w:p>
              </w:tc>
              <w:tc>
                <w:tcPr>
                  <w:tcW w:w="1501" w:type="dxa"/>
                  <w:gridSpan w:val="2"/>
                  <w:shd w:val="clear" w:color="auto" w:fill="auto"/>
                </w:tcPr>
                <w:p w14:paraId="2F3F9F34"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317</w:t>
                  </w:r>
                </w:p>
              </w:tc>
            </w:tr>
            <w:tr w:rsidR="000704D9" w:rsidRPr="000704D9" w14:paraId="2A9865CC" w14:textId="77777777" w:rsidTr="000704D9">
              <w:trPr>
                <w:jc w:val="center"/>
              </w:trPr>
              <w:tc>
                <w:tcPr>
                  <w:tcW w:w="1384" w:type="dxa"/>
                  <w:vMerge/>
                  <w:shd w:val="clear" w:color="auto" w:fill="auto"/>
                </w:tcPr>
                <w:p w14:paraId="330F915A"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p>
              </w:tc>
              <w:tc>
                <w:tcPr>
                  <w:tcW w:w="581" w:type="dxa"/>
                </w:tcPr>
                <w:p w14:paraId="7747E629"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Percentage (%)</w:t>
                  </w:r>
                </w:p>
              </w:tc>
              <w:tc>
                <w:tcPr>
                  <w:tcW w:w="878" w:type="dxa"/>
                  <w:shd w:val="clear" w:color="auto" w:fill="auto"/>
                </w:tcPr>
                <w:p w14:paraId="1C55A324"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73.5%</w:t>
                  </w:r>
                </w:p>
              </w:tc>
              <w:tc>
                <w:tcPr>
                  <w:tcW w:w="884" w:type="dxa"/>
                  <w:shd w:val="clear" w:color="auto" w:fill="auto"/>
                </w:tcPr>
                <w:p w14:paraId="1C605374"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26.5%</w:t>
                  </w:r>
                </w:p>
              </w:tc>
              <w:tc>
                <w:tcPr>
                  <w:tcW w:w="754" w:type="dxa"/>
                  <w:shd w:val="clear" w:color="auto" w:fill="auto"/>
                </w:tcPr>
                <w:p w14:paraId="366E4589"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5.4%</w:t>
                  </w:r>
                </w:p>
              </w:tc>
              <w:tc>
                <w:tcPr>
                  <w:tcW w:w="807" w:type="dxa"/>
                  <w:shd w:val="clear" w:color="auto" w:fill="auto"/>
                </w:tcPr>
                <w:p w14:paraId="3F6E5BAE"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20.8%</w:t>
                  </w:r>
                </w:p>
              </w:tc>
              <w:tc>
                <w:tcPr>
                  <w:tcW w:w="878" w:type="dxa"/>
                  <w:gridSpan w:val="2"/>
                  <w:shd w:val="clear" w:color="auto" w:fill="auto"/>
                </w:tcPr>
                <w:p w14:paraId="07C003EC"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63.1%</w:t>
                  </w:r>
                </w:p>
              </w:tc>
              <w:tc>
                <w:tcPr>
                  <w:tcW w:w="772" w:type="dxa"/>
                  <w:shd w:val="clear" w:color="auto" w:fill="auto"/>
                </w:tcPr>
                <w:p w14:paraId="6C6322D0"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8.8%</w:t>
                  </w:r>
                </w:p>
              </w:tc>
              <w:tc>
                <w:tcPr>
                  <w:tcW w:w="733" w:type="dxa"/>
                </w:tcPr>
                <w:p w14:paraId="323B7A9A"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1.9%</w:t>
                  </w:r>
                </w:p>
              </w:tc>
              <w:tc>
                <w:tcPr>
                  <w:tcW w:w="1501" w:type="dxa"/>
                  <w:gridSpan w:val="2"/>
                  <w:shd w:val="clear" w:color="auto" w:fill="auto"/>
                </w:tcPr>
                <w:p w14:paraId="2EDB354C"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100.0%</w:t>
                  </w:r>
                </w:p>
              </w:tc>
            </w:tr>
          </w:tbl>
          <w:p w14:paraId="33861E00" w14:textId="77777777" w:rsidR="00A63CD3" w:rsidRPr="000704D9" w:rsidRDefault="00A63CD3" w:rsidP="000704D9">
            <w:pPr>
              <w:spacing w:after="0" w:line="360" w:lineRule="auto"/>
              <w:contextualSpacing/>
              <w:rPr>
                <w:rFonts w:ascii="Times New Roman" w:eastAsia="Calibri" w:hAnsi="Times New Roman" w:cs="Times New Roman"/>
                <w:b/>
                <w:color w:val="000000" w:themeColor="text1"/>
                <w:sz w:val="20"/>
                <w:szCs w:val="20"/>
              </w:rPr>
            </w:pPr>
          </w:p>
        </w:tc>
      </w:tr>
      <w:tr w:rsidR="00A63CD3" w:rsidRPr="000704D9" w14:paraId="0CDF0730" w14:textId="77777777" w:rsidTr="000704D9">
        <w:tc>
          <w:tcPr>
            <w:tcW w:w="9017" w:type="dxa"/>
            <w:shd w:val="clear" w:color="auto" w:fill="auto"/>
          </w:tcPr>
          <w:p w14:paraId="2DA77923" w14:textId="77777777" w:rsidR="00A63CD3" w:rsidRPr="000704D9" w:rsidRDefault="00A63CD3" w:rsidP="000704D9">
            <w:pPr>
              <w:spacing w:after="0" w:line="360" w:lineRule="auto"/>
              <w:contextualSpacing/>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lastRenderedPageBreak/>
              <w:t>Occupation and Educational Qualification of the Respondents</w:t>
            </w:r>
          </w:p>
        </w:tc>
      </w:tr>
      <w:tr w:rsidR="00A63CD3" w:rsidRPr="000704D9" w14:paraId="1046475A" w14:textId="77777777" w:rsidTr="000704D9">
        <w:tc>
          <w:tcPr>
            <w:tcW w:w="9017" w:type="dxa"/>
            <w:shd w:val="clear" w:color="auto" w:fill="auto"/>
          </w:tcPr>
          <w:tbl>
            <w:tblPr>
              <w:tblW w:w="10980" w:type="dxa"/>
              <w:tblLook w:val="04A0" w:firstRow="1" w:lastRow="0" w:firstColumn="1" w:lastColumn="0" w:noHBand="0" w:noVBand="1"/>
            </w:tblPr>
            <w:tblGrid>
              <w:gridCol w:w="945"/>
              <w:gridCol w:w="1494"/>
              <w:gridCol w:w="890"/>
              <w:gridCol w:w="1039"/>
              <w:gridCol w:w="1005"/>
              <w:gridCol w:w="807"/>
              <w:gridCol w:w="876"/>
              <w:gridCol w:w="1068"/>
              <w:gridCol w:w="937"/>
              <w:gridCol w:w="937"/>
              <w:gridCol w:w="982"/>
            </w:tblGrid>
            <w:tr w:rsidR="00A63CD3" w:rsidRPr="000704D9" w14:paraId="480FEA36" w14:textId="77777777" w:rsidTr="0000060D">
              <w:trPr>
                <w:trHeight w:val="692"/>
              </w:trPr>
              <w:tc>
                <w:tcPr>
                  <w:tcW w:w="2160" w:type="dxa"/>
                  <w:gridSpan w:val="2"/>
                  <w:vMerge w:val="restart"/>
                  <w:tcBorders>
                    <w:top w:val="single" w:sz="18" w:space="0" w:color="auto"/>
                  </w:tcBorders>
                  <w:shd w:val="clear" w:color="auto" w:fill="auto"/>
                </w:tcPr>
                <w:p w14:paraId="63237D40"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Selected Tourist Centres in Southwest Nigeria</w:t>
                  </w:r>
                </w:p>
                <w:p w14:paraId="6388DEA8"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tc>
              <w:tc>
                <w:tcPr>
                  <w:tcW w:w="3690" w:type="dxa"/>
                  <w:gridSpan w:val="4"/>
                  <w:tcBorders>
                    <w:top w:val="single" w:sz="18" w:space="0" w:color="auto"/>
                  </w:tcBorders>
                  <w:shd w:val="clear" w:color="auto" w:fill="auto"/>
                </w:tcPr>
                <w:p w14:paraId="14D2CE24"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763AFF43"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505F926B"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Occupation</w:t>
                  </w:r>
                </w:p>
              </w:tc>
              <w:tc>
                <w:tcPr>
                  <w:tcW w:w="3960" w:type="dxa"/>
                  <w:gridSpan w:val="4"/>
                  <w:tcBorders>
                    <w:top w:val="single" w:sz="18" w:space="0" w:color="auto"/>
                  </w:tcBorders>
                  <w:shd w:val="clear" w:color="auto" w:fill="auto"/>
                </w:tcPr>
                <w:p w14:paraId="7D80EE0E"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56399176"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798E37CD"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 xml:space="preserve">Qualification </w:t>
                  </w:r>
                </w:p>
              </w:tc>
              <w:tc>
                <w:tcPr>
                  <w:tcW w:w="1170" w:type="dxa"/>
                  <w:vMerge w:val="restart"/>
                  <w:tcBorders>
                    <w:top w:val="single" w:sz="18" w:space="0" w:color="auto"/>
                  </w:tcBorders>
                  <w:shd w:val="clear" w:color="auto" w:fill="auto"/>
                </w:tcPr>
                <w:p w14:paraId="5FFFAECE"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6EE1EE13"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6C77358D"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344E5CBB"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 xml:space="preserve">Total </w:t>
                  </w:r>
                </w:p>
                <w:p w14:paraId="3D484B2C"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1978BDA4"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tc>
            </w:tr>
            <w:tr w:rsidR="00A63CD3" w:rsidRPr="000704D9" w14:paraId="689579B6" w14:textId="77777777" w:rsidTr="0000060D">
              <w:trPr>
                <w:trHeight w:val="266"/>
              </w:trPr>
              <w:tc>
                <w:tcPr>
                  <w:tcW w:w="2160" w:type="dxa"/>
                  <w:gridSpan w:val="2"/>
                  <w:vMerge/>
                  <w:tcBorders>
                    <w:bottom w:val="single" w:sz="8" w:space="0" w:color="auto"/>
                  </w:tcBorders>
                  <w:shd w:val="clear" w:color="auto" w:fill="auto"/>
                </w:tcPr>
                <w:p w14:paraId="2598E4D9"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tc>
              <w:tc>
                <w:tcPr>
                  <w:tcW w:w="990" w:type="dxa"/>
                  <w:tcBorders>
                    <w:bottom w:val="single" w:sz="8" w:space="0" w:color="auto"/>
                  </w:tcBorders>
                  <w:shd w:val="clear" w:color="auto" w:fill="auto"/>
                </w:tcPr>
                <w:p w14:paraId="75901A64"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Student</w:t>
                  </w:r>
                </w:p>
              </w:tc>
              <w:tc>
                <w:tcPr>
                  <w:tcW w:w="900" w:type="dxa"/>
                  <w:tcBorders>
                    <w:bottom w:val="single" w:sz="8" w:space="0" w:color="auto"/>
                  </w:tcBorders>
                  <w:shd w:val="clear" w:color="auto" w:fill="auto"/>
                </w:tcPr>
                <w:p w14:paraId="34516C0F"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Employed</w:t>
                  </w:r>
                </w:p>
              </w:tc>
              <w:tc>
                <w:tcPr>
                  <w:tcW w:w="990" w:type="dxa"/>
                  <w:tcBorders>
                    <w:bottom w:val="single" w:sz="8" w:space="0" w:color="auto"/>
                  </w:tcBorders>
                </w:tcPr>
                <w:p w14:paraId="32AB4D7F"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Self-employed</w:t>
                  </w:r>
                </w:p>
              </w:tc>
              <w:tc>
                <w:tcPr>
                  <w:tcW w:w="810" w:type="dxa"/>
                  <w:tcBorders>
                    <w:bottom w:val="single" w:sz="8" w:space="0" w:color="auto"/>
                  </w:tcBorders>
                </w:tcPr>
                <w:p w14:paraId="70C8D700"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Retired</w:t>
                  </w:r>
                </w:p>
              </w:tc>
              <w:tc>
                <w:tcPr>
                  <w:tcW w:w="900" w:type="dxa"/>
                  <w:tcBorders>
                    <w:bottom w:val="single" w:sz="8" w:space="0" w:color="auto"/>
                  </w:tcBorders>
                  <w:shd w:val="clear" w:color="auto" w:fill="auto"/>
                </w:tcPr>
                <w:p w14:paraId="63ED2158"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Primary school</w:t>
                  </w:r>
                </w:p>
              </w:tc>
              <w:tc>
                <w:tcPr>
                  <w:tcW w:w="1080" w:type="dxa"/>
                  <w:tcBorders>
                    <w:bottom w:val="single" w:sz="8" w:space="0" w:color="auto"/>
                  </w:tcBorders>
                  <w:shd w:val="clear" w:color="auto" w:fill="auto"/>
                </w:tcPr>
                <w:p w14:paraId="1B252109"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Secondary school</w:t>
                  </w:r>
                </w:p>
              </w:tc>
              <w:tc>
                <w:tcPr>
                  <w:tcW w:w="990" w:type="dxa"/>
                  <w:tcBorders>
                    <w:bottom w:val="single" w:sz="8" w:space="0" w:color="auto"/>
                  </w:tcBorders>
                  <w:shd w:val="clear" w:color="auto" w:fill="auto"/>
                </w:tcPr>
                <w:p w14:paraId="7A71179B"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Under-graduate</w:t>
                  </w:r>
                </w:p>
              </w:tc>
              <w:tc>
                <w:tcPr>
                  <w:tcW w:w="990" w:type="dxa"/>
                  <w:tcBorders>
                    <w:bottom w:val="single" w:sz="8" w:space="0" w:color="auto"/>
                  </w:tcBorders>
                  <w:shd w:val="clear" w:color="auto" w:fill="auto"/>
                </w:tcPr>
                <w:p w14:paraId="5FA37E22"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Post-graduate</w:t>
                  </w:r>
                </w:p>
              </w:tc>
              <w:tc>
                <w:tcPr>
                  <w:tcW w:w="1170" w:type="dxa"/>
                  <w:vMerge/>
                  <w:tcBorders>
                    <w:bottom w:val="single" w:sz="8" w:space="0" w:color="auto"/>
                  </w:tcBorders>
                  <w:shd w:val="clear" w:color="auto" w:fill="auto"/>
                </w:tcPr>
                <w:p w14:paraId="1E2ABCB0"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tc>
            </w:tr>
            <w:tr w:rsidR="00A63CD3" w:rsidRPr="000704D9" w14:paraId="6251C726" w14:textId="77777777" w:rsidTr="0000060D">
              <w:tc>
                <w:tcPr>
                  <w:tcW w:w="990" w:type="dxa"/>
                  <w:vMerge w:val="restart"/>
                  <w:tcBorders>
                    <w:top w:val="single" w:sz="8" w:space="0" w:color="auto"/>
                  </w:tcBorders>
                  <w:shd w:val="clear" w:color="auto" w:fill="auto"/>
                </w:tcPr>
                <w:p w14:paraId="496B29C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2F2EE8B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Ekiti</w:t>
                  </w:r>
                </w:p>
              </w:tc>
              <w:tc>
                <w:tcPr>
                  <w:tcW w:w="1170" w:type="dxa"/>
                  <w:tcBorders>
                    <w:top w:val="single" w:sz="8" w:space="0" w:color="auto"/>
                  </w:tcBorders>
                </w:tcPr>
                <w:p w14:paraId="35A2DFD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990" w:type="dxa"/>
                  <w:tcBorders>
                    <w:top w:val="single" w:sz="8" w:space="0" w:color="auto"/>
                  </w:tcBorders>
                  <w:shd w:val="clear" w:color="auto" w:fill="auto"/>
                </w:tcPr>
                <w:p w14:paraId="447224C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7</w:t>
                  </w:r>
                </w:p>
              </w:tc>
              <w:tc>
                <w:tcPr>
                  <w:tcW w:w="900" w:type="dxa"/>
                  <w:tcBorders>
                    <w:top w:val="single" w:sz="8" w:space="0" w:color="auto"/>
                  </w:tcBorders>
                  <w:shd w:val="clear" w:color="auto" w:fill="auto"/>
                </w:tcPr>
                <w:p w14:paraId="69F8DE4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w:t>
                  </w:r>
                </w:p>
              </w:tc>
              <w:tc>
                <w:tcPr>
                  <w:tcW w:w="990" w:type="dxa"/>
                  <w:tcBorders>
                    <w:top w:val="single" w:sz="8" w:space="0" w:color="auto"/>
                  </w:tcBorders>
                </w:tcPr>
                <w:p w14:paraId="0B74EFD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40</w:t>
                  </w:r>
                </w:p>
              </w:tc>
              <w:tc>
                <w:tcPr>
                  <w:tcW w:w="810" w:type="dxa"/>
                  <w:tcBorders>
                    <w:top w:val="single" w:sz="8" w:space="0" w:color="auto"/>
                  </w:tcBorders>
                </w:tcPr>
                <w:p w14:paraId="2020CF1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w:t>
                  </w:r>
                </w:p>
              </w:tc>
              <w:tc>
                <w:tcPr>
                  <w:tcW w:w="900" w:type="dxa"/>
                  <w:tcBorders>
                    <w:top w:val="single" w:sz="8" w:space="0" w:color="auto"/>
                  </w:tcBorders>
                  <w:shd w:val="clear" w:color="auto" w:fill="auto"/>
                </w:tcPr>
                <w:p w14:paraId="25B6492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080" w:type="dxa"/>
                  <w:tcBorders>
                    <w:top w:val="single" w:sz="8" w:space="0" w:color="auto"/>
                  </w:tcBorders>
                  <w:shd w:val="clear" w:color="auto" w:fill="auto"/>
                </w:tcPr>
                <w:p w14:paraId="5D20364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8</w:t>
                  </w:r>
                </w:p>
              </w:tc>
              <w:tc>
                <w:tcPr>
                  <w:tcW w:w="990" w:type="dxa"/>
                  <w:tcBorders>
                    <w:top w:val="single" w:sz="8" w:space="0" w:color="auto"/>
                  </w:tcBorders>
                  <w:shd w:val="clear" w:color="auto" w:fill="auto"/>
                </w:tcPr>
                <w:p w14:paraId="37D0147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38</w:t>
                  </w:r>
                </w:p>
              </w:tc>
              <w:tc>
                <w:tcPr>
                  <w:tcW w:w="990" w:type="dxa"/>
                  <w:tcBorders>
                    <w:top w:val="single" w:sz="8" w:space="0" w:color="auto"/>
                  </w:tcBorders>
                  <w:shd w:val="clear" w:color="auto" w:fill="auto"/>
                </w:tcPr>
                <w:p w14:paraId="44AE1A0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12</w:t>
                  </w:r>
                </w:p>
              </w:tc>
              <w:tc>
                <w:tcPr>
                  <w:tcW w:w="1170" w:type="dxa"/>
                  <w:tcBorders>
                    <w:top w:val="single" w:sz="8" w:space="0" w:color="auto"/>
                  </w:tcBorders>
                  <w:shd w:val="clear" w:color="auto" w:fill="auto"/>
                </w:tcPr>
                <w:p w14:paraId="662987F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58</w:t>
                  </w:r>
                </w:p>
              </w:tc>
            </w:tr>
            <w:tr w:rsidR="00A63CD3" w:rsidRPr="000704D9" w14:paraId="3302EFA1" w14:textId="77777777" w:rsidTr="0000060D">
              <w:tc>
                <w:tcPr>
                  <w:tcW w:w="990" w:type="dxa"/>
                  <w:vMerge/>
                  <w:shd w:val="clear" w:color="auto" w:fill="auto"/>
                </w:tcPr>
                <w:p w14:paraId="7651F46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1170" w:type="dxa"/>
                </w:tcPr>
                <w:p w14:paraId="4119764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 (%)</w:t>
                  </w:r>
                </w:p>
              </w:tc>
              <w:tc>
                <w:tcPr>
                  <w:tcW w:w="990" w:type="dxa"/>
                  <w:shd w:val="clear" w:color="auto" w:fill="auto"/>
                </w:tcPr>
                <w:p w14:paraId="08DB1C1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12.1%</w:t>
                  </w:r>
                </w:p>
              </w:tc>
              <w:tc>
                <w:tcPr>
                  <w:tcW w:w="900" w:type="dxa"/>
                  <w:shd w:val="clear" w:color="auto" w:fill="auto"/>
                </w:tcPr>
                <w:p w14:paraId="58D1953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17.2%</w:t>
                  </w:r>
                </w:p>
              </w:tc>
              <w:tc>
                <w:tcPr>
                  <w:tcW w:w="990" w:type="dxa"/>
                </w:tcPr>
                <w:p w14:paraId="7B5555C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69.0%</w:t>
                  </w:r>
                </w:p>
              </w:tc>
              <w:tc>
                <w:tcPr>
                  <w:tcW w:w="810" w:type="dxa"/>
                </w:tcPr>
                <w:p w14:paraId="13C8E9D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1.7%</w:t>
                  </w:r>
                </w:p>
              </w:tc>
              <w:tc>
                <w:tcPr>
                  <w:tcW w:w="900" w:type="dxa"/>
                  <w:shd w:val="clear" w:color="auto" w:fill="auto"/>
                </w:tcPr>
                <w:p w14:paraId="1DBEE30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080" w:type="dxa"/>
                  <w:shd w:val="clear" w:color="auto" w:fill="auto"/>
                </w:tcPr>
                <w:p w14:paraId="3F19215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13.8%</w:t>
                  </w:r>
                </w:p>
              </w:tc>
              <w:tc>
                <w:tcPr>
                  <w:tcW w:w="990" w:type="dxa"/>
                  <w:shd w:val="clear" w:color="auto" w:fill="auto"/>
                </w:tcPr>
                <w:p w14:paraId="4220181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65.5%</w:t>
                  </w:r>
                </w:p>
              </w:tc>
              <w:tc>
                <w:tcPr>
                  <w:tcW w:w="990" w:type="dxa"/>
                  <w:shd w:val="clear" w:color="auto" w:fill="auto"/>
                </w:tcPr>
                <w:p w14:paraId="6448E0E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20.7%</w:t>
                  </w:r>
                </w:p>
              </w:tc>
              <w:tc>
                <w:tcPr>
                  <w:tcW w:w="1170" w:type="dxa"/>
                  <w:shd w:val="clear" w:color="auto" w:fill="auto"/>
                </w:tcPr>
                <w:p w14:paraId="5AE8E0B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A63CD3" w:rsidRPr="000704D9" w14:paraId="379D0F9A" w14:textId="77777777" w:rsidTr="0000060D">
              <w:tc>
                <w:tcPr>
                  <w:tcW w:w="990" w:type="dxa"/>
                  <w:vMerge w:val="restart"/>
                  <w:shd w:val="clear" w:color="auto" w:fill="auto"/>
                </w:tcPr>
                <w:p w14:paraId="12AFD11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7DF49AB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Osun</w:t>
                  </w:r>
                </w:p>
              </w:tc>
              <w:tc>
                <w:tcPr>
                  <w:tcW w:w="1170" w:type="dxa"/>
                </w:tcPr>
                <w:p w14:paraId="2BE0765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990" w:type="dxa"/>
                  <w:shd w:val="clear" w:color="auto" w:fill="auto"/>
                </w:tcPr>
                <w:p w14:paraId="5D29887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00" w:type="dxa"/>
                  <w:shd w:val="clear" w:color="auto" w:fill="auto"/>
                </w:tcPr>
                <w:p w14:paraId="1D64AC9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90" w:type="dxa"/>
                </w:tcPr>
                <w:p w14:paraId="3A3E36F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w:t>
                  </w:r>
                </w:p>
              </w:tc>
              <w:tc>
                <w:tcPr>
                  <w:tcW w:w="810" w:type="dxa"/>
                </w:tcPr>
                <w:p w14:paraId="7FD02D5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16</w:t>
                  </w:r>
                </w:p>
              </w:tc>
              <w:tc>
                <w:tcPr>
                  <w:tcW w:w="900" w:type="dxa"/>
                  <w:shd w:val="clear" w:color="auto" w:fill="auto"/>
                </w:tcPr>
                <w:p w14:paraId="70698ED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080" w:type="dxa"/>
                  <w:shd w:val="clear" w:color="auto" w:fill="auto"/>
                </w:tcPr>
                <w:p w14:paraId="1C98EB2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90" w:type="dxa"/>
                  <w:shd w:val="clear" w:color="auto" w:fill="auto"/>
                </w:tcPr>
                <w:p w14:paraId="3181069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90" w:type="dxa"/>
                  <w:shd w:val="clear" w:color="auto" w:fill="auto"/>
                </w:tcPr>
                <w:p w14:paraId="3DE5974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19</w:t>
                  </w:r>
                </w:p>
              </w:tc>
              <w:tc>
                <w:tcPr>
                  <w:tcW w:w="1170" w:type="dxa"/>
                  <w:shd w:val="clear" w:color="auto" w:fill="auto"/>
                </w:tcPr>
                <w:p w14:paraId="2BE97E3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19</w:t>
                  </w:r>
                </w:p>
              </w:tc>
            </w:tr>
            <w:tr w:rsidR="00A63CD3" w:rsidRPr="000704D9" w14:paraId="4CBB558E" w14:textId="77777777" w:rsidTr="0000060D">
              <w:tc>
                <w:tcPr>
                  <w:tcW w:w="990" w:type="dxa"/>
                  <w:vMerge/>
                  <w:shd w:val="clear" w:color="auto" w:fill="auto"/>
                </w:tcPr>
                <w:p w14:paraId="1F6C632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1170" w:type="dxa"/>
                </w:tcPr>
                <w:p w14:paraId="1C25CC8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 (%)</w:t>
                  </w:r>
                </w:p>
              </w:tc>
              <w:tc>
                <w:tcPr>
                  <w:tcW w:w="990" w:type="dxa"/>
                  <w:shd w:val="clear" w:color="auto" w:fill="auto"/>
                </w:tcPr>
                <w:p w14:paraId="71252C3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00" w:type="dxa"/>
                  <w:shd w:val="clear" w:color="auto" w:fill="auto"/>
                </w:tcPr>
                <w:p w14:paraId="3A1D2E0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90" w:type="dxa"/>
                </w:tcPr>
                <w:p w14:paraId="0C7B1D9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15.8%</w:t>
                  </w:r>
                </w:p>
              </w:tc>
              <w:tc>
                <w:tcPr>
                  <w:tcW w:w="810" w:type="dxa"/>
                </w:tcPr>
                <w:p w14:paraId="6A2B881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84.2%</w:t>
                  </w:r>
                </w:p>
              </w:tc>
              <w:tc>
                <w:tcPr>
                  <w:tcW w:w="900" w:type="dxa"/>
                  <w:shd w:val="clear" w:color="auto" w:fill="auto"/>
                </w:tcPr>
                <w:p w14:paraId="2310D0D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080" w:type="dxa"/>
                  <w:shd w:val="clear" w:color="auto" w:fill="auto"/>
                </w:tcPr>
                <w:p w14:paraId="5727C26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90" w:type="dxa"/>
                  <w:shd w:val="clear" w:color="auto" w:fill="auto"/>
                </w:tcPr>
                <w:p w14:paraId="2B5AF45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90" w:type="dxa"/>
                  <w:shd w:val="clear" w:color="auto" w:fill="auto"/>
                </w:tcPr>
                <w:p w14:paraId="5B5D7E0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c>
                <w:tcPr>
                  <w:tcW w:w="1170" w:type="dxa"/>
                  <w:shd w:val="clear" w:color="auto" w:fill="auto"/>
                </w:tcPr>
                <w:p w14:paraId="2CB8E87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A63CD3" w:rsidRPr="000704D9" w14:paraId="0FBF3890" w14:textId="77777777" w:rsidTr="0000060D">
              <w:tc>
                <w:tcPr>
                  <w:tcW w:w="990" w:type="dxa"/>
                  <w:vMerge w:val="restart"/>
                  <w:shd w:val="clear" w:color="auto" w:fill="auto"/>
                </w:tcPr>
                <w:p w14:paraId="49CDFC2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7E4E6C2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Ogun</w:t>
                  </w:r>
                </w:p>
              </w:tc>
              <w:tc>
                <w:tcPr>
                  <w:tcW w:w="1170" w:type="dxa"/>
                </w:tcPr>
                <w:p w14:paraId="21972EA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990" w:type="dxa"/>
                  <w:shd w:val="clear" w:color="auto" w:fill="auto"/>
                </w:tcPr>
                <w:p w14:paraId="3FE51EC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w:t>
                  </w:r>
                </w:p>
              </w:tc>
              <w:tc>
                <w:tcPr>
                  <w:tcW w:w="900" w:type="dxa"/>
                  <w:shd w:val="clear" w:color="auto" w:fill="auto"/>
                </w:tcPr>
                <w:p w14:paraId="53DA598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20</w:t>
                  </w:r>
                </w:p>
              </w:tc>
              <w:tc>
                <w:tcPr>
                  <w:tcW w:w="990" w:type="dxa"/>
                </w:tcPr>
                <w:p w14:paraId="7AAAB5A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40</w:t>
                  </w:r>
                </w:p>
              </w:tc>
              <w:tc>
                <w:tcPr>
                  <w:tcW w:w="810" w:type="dxa"/>
                </w:tcPr>
                <w:p w14:paraId="0208181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w:t>
                  </w:r>
                </w:p>
              </w:tc>
              <w:tc>
                <w:tcPr>
                  <w:tcW w:w="900" w:type="dxa"/>
                  <w:shd w:val="clear" w:color="auto" w:fill="auto"/>
                </w:tcPr>
                <w:p w14:paraId="0B921D5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080" w:type="dxa"/>
                  <w:shd w:val="clear" w:color="auto" w:fill="auto"/>
                </w:tcPr>
                <w:p w14:paraId="7F7BDE9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w:t>
                  </w:r>
                </w:p>
              </w:tc>
              <w:tc>
                <w:tcPr>
                  <w:tcW w:w="990" w:type="dxa"/>
                  <w:shd w:val="clear" w:color="auto" w:fill="auto"/>
                </w:tcPr>
                <w:p w14:paraId="4E17CEE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40</w:t>
                  </w:r>
                </w:p>
              </w:tc>
              <w:tc>
                <w:tcPr>
                  <w:tcW w:w="990" w:type="dxa"/>
                  <w:shd w:val="clear" w:color="auto" w:fill="auto"/>
                </w:tcPr>
                <w:p w14:paraId="0268F5C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20</w:t>
                  </w:r>
                </w:p>
              </w:tc>
              <w:tc>
                <w:tcPr>
                  <w:tcW w:w="1170" w:type="dxa"/>
                  <w:shd w:val="clear" w:color="auto" w:fill="auto"/>
                </w:tcPr>
                <w:p w14:paraId="0FAA34F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70</w:t>
                  </w:r>
                </w:p>
              </w:tc>
            </w:tr>
            <w:tr w:rsidR="00A63CD3" w:rsidRPr="000704D9" w14:paraId="6638386A" w14:textId="77777777" w:rsidTr="0000060D">
              <w:tc>
                <w:tcPr>
                  <w:tcW w:w="990" w:type="dxa"/>
                  <w:vMerge/>
                  <w:shd w:val="clear" w:color="auto" w:fill="auto"/>
                </w:tcPr>
                <w:p w14:paraId="35E9995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1170" w:type="dxa"/>
                </w:tcPr>
                <w:p w14:paraId="5DACA52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 (%)</w:t>
                  </w:r>
                </w:p>
              </w:tc>
              <w:tc>
                <w:tcPr>
                  <w:tcW w:w="990" w:type="dxa"/>
                  <w:shd w:val="clear" w:color="auto" w:fill="auto"/>
                </w:tcPr>
                <w:p w14:paraId="434991E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7.1%</w:t>
                  </w:r>
                </w:p>
              </w:tc>
              <w:tc>
                <w:tcPr>
                  <w:tcW w:w="900" w:type="dxa"/>
                  <w:shd w:val="clear" w:color="auto" w:fill="auto"/>
                </w:tcPr>
                <w:p w14:paraId="786E391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28.6%</w:t>
                  </w:r>
                </w:p>
              </w:tc>
              <w:tc>
                <w:tcPr>
                  <w:tcW w:w="990" w:type="dxa"/>
                </w:tcPr>
                <w:p w14:paraId="3791AEE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57.1%</w:t>
                  </w:r>
                </w:p>
              </w:tc>
              <w:tc>
                <w:tcPr>
                  <w:tcW w:w="810" w:type="dxa"/>
                </w:tcPr>
                <w:p w14:paraId="6AEEC12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7.1%</w:t>
                  </w:r>
                </w:p>
              </w:tc>
              <w:tc>
                <w:tcPr>
                  <w:tcW w:w="900" w:type="dxa"/>
                  <w:shd w:val="clear" w:color="auto" w:fill="auto"/>
                </w:tcPr>
                <w:p w14:paraId="6474158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080" w:type="dxa"/>
                  <w:shd w:val="clear" w:color="auto" w:fill="auto"/>
                </w:tcPr>
                <w:p w14:paraId="546BF17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14.3%</w:t>
                  </w:r>
                </w:p>
              </w:tc>
              <w:tc>
                <w:tcPr>
                  <w:tcW w:w="990" w:type="dxa"/>
                  <w:shd w:val="clear" w:color="auto" w:fill="auto"/>
                </w:tcPr>
                <w:p w14:paraId="4C1BD00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57.1%</w:t>
                  </w:r>
                </w:p>
              </w:tc>
              <w:tc>
                <w:tcPr>
                  <w:tcW w:w="990" w:type="dxa"/>
                  <w:shd w:val="clear" w:color="auto" w:fill="auto"/>
                </w:tcPr>
                <w:p w14:paraId="620970C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28.6%</w:t>
                  </w:r>
                </w:p>
              </w:tc>
              <w:tc>
                <w:tcPr>
                  <w:tcW w:w="1170" w:type="dxa"/>
                  <w:shd w:val="clear" w:color="auto" w:fill="auto"/>
                </w:tcPr>
                <w:p w14:paraId="1F38EF1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A63CD3" w:rsidRPr="000704D9" w14:paraId="5A8BFA68" w14:textId="77777777" w:rsidTr="0000060D">
              <w:tc>
                <w:tcPr>
                  <w:tcW w:w="990" w:type="dxa"/>
                  <w:vMerge w:val="restart"/>
                  <w:shd w:val="clear" w:color="auto" w:fill="auto"/>
                </w:tcPr>
                <w:p w14:paraId="15D9212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45D9F5E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Oyo</w:t>
                  </w:r>
                </w:p>
              </w:tc>
              <w:tc>
                <w:tcPr>
                  <w:tcW w:w="1170" w:type="dxa"/>
                </w:tcPr>
                <w:p w14:paraId="55BAF70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990" w:type="dxa"/>
                  <w:shd w:val="clear" w:color="auto" w:fill="auto"/>
                </w:tcPr>
                <w:p w14:paraId="00A4BC0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w:t>
                  </w:r>
                </w:p>
              </w:tc>
              <w:tc>
                <w:tcPr>
                  <w:tcW w:w="900" w:type="dxa"/>
                  <w:shd w:val="clear" w:color="auto" w:fill="auto"/>
                </w:tcPr>
                <w:p w14:paraId="4ACD967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34</w:t>
                  </w:r>
                </w:p>
              </w:tc>
              <w:tc>
                <w:tcPr>
                  <w:tcW w:w="990" w:type="dxa"/>
                </w:tcPr>
                <w:p w14:paraId="4C11D86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12</w:t>
                  </w:r>
                </w:p>
              </w:tc>
              <w:tc>
                <w:tcPr>
                  <w:tcW w:w="810" w:type="dxa"/>
                </w:tcPr>
                <w:p w14:paraId="63A7BAD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4</w:t>
                  </w:r>
                </w:p>
              </w:tc>
              <w:tc>
                <w:tcPr>
                  <w:tcW w:w="900" w:type="dxa"/>
                  <w:shd w:val="clear" w:color="auto" w:fill="auto"/>
                </w:tcPr>
                <w:p w14:paraId="34B69DC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080" w:type="dxa"/>
                  <w:shd w:val="clear" w:color="auto" w:fill="auto"/>
                </w:tcPr>
                <w:p w14:paraId="5CCF711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15</w:t>
                  </w:r>
                </w:p>
              </w:tc>
              <w:tc>
                <w:tcPr>
                  <w:tcW w:w="990" w:type="dxa"/>
                  <w:shd w:val="clear" w:color="auto" w:fill="auto"/>
                </w:tcPr>
                <w:p w14:paraId="1D32A07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35</w:t>
                  </w:r>
                </w:p>
              </w:tc>
              <w:tc>
                <w:tcPr>
                  <w:tcW w:w="990" w:type="dxa"/>
                  <w:shd w:val="clear" w:color="auto" w:fill="auto"/>
                </w:tcPr>
                <w:p w14:paraId="3A4249D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w:t>
                  </w:r>
                </w:p>
              </w:tc>
              <w:tc>
                <w:tcPr>
                  <w:tcW w:w="1170" w:type="dxa"/>
                  <w:shd w:val="clear" w:color="auto" w:fill="auto"/>
                </w:tcPr>
                <w:p w14:paraId="1C17DD2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53</w:t>
                  </w:r>
                </w:p>
              </w:tc>
            </w:tr>
            <w:tr w:rsidR="00A63CD3" w:rsidRPr="000704D9" w14:paraId="01BD8DCA" w14:textId="77777777" w:rsidTr="0000060D">
              <w:tc>
                <w:tcPr>
                  <w:tcW w:w="990" w:type="dxa"/>
                  <w:vMerge/>
                  <w:shd w:val="clear" w:color="auto" w:fill="auto"/>
                </w:tcPr>
                <w:p w14:paraId="47124E6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1170" w:type="dxa"/>
                </w:tcPr>
                <w:p w14:paraId="2457CC5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 (%)</w:t>
                  </w:r>
                </w:p>
              </w:tc>
              <w:tc>
                <w:tcPr>
                  <w:tcW w:w="990" w:type="dxa"/>
                  <w:shd w:val="clear" w:color="auto" w:fill="auto"/>
                </w:tcPr>
                <w:p w14:paraId="5746310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5.7%</w:t>
                  </w:r>
                </w:p>
              </w:tc>
              <w:tc>
                <w:tcPr>
                  <w:tcW w:w="900" w:type="dxa"/>
                  <w:shd w:val="clear" w:color="auto" w:fill="auto"/>
                </w:tcPr>
                <w:p w14:paraId="3AD34E6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64.2%</w:t>
                  </w:r>
                </w:p>
              </w:tc>
              <w:tc>
                <w:tcPr>
                  <w:tcW w:w="990" w:type="dxa"/>
                </w:tcPr>
                <w:p w14:paraId="5772B69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22.6%</w:t>
                  </w:r>
                </w:p>
              </w:tc>
              <w:tc>
                <w:tcPr>
                  <w:tcW w:w="810" w:type="dxa"/>
                </w:tcPr>
                <w:p w14:paraId="66D42A3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7.5%</w:t>
                  </w:r>
                </w:p>
              </w:tc>
              <w:tc>
                <w:tcPr>
                  <w:tcW w:w="900" w:type="dxa"/>
                  <w:shd w:val="clear" w:color="auto" w:fill="auto"/>
                </w:tcPr>
                <w:p w14:paraId="7463FB2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080" w:type="dxa"/>
                  <w:shd w:val="clear" w:color="auto" w:fill="auto"/>
                </w:tcPr>
                <w:p w14:paraId="3AA8224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28.3%</w:t>
                  </w:r>
                </w:p>
              </w:tc>
              <w:tc>
                <w:tcPr>
                  <w:tcW w:w="990" w:type="dxa"/>
                  <w:shd w:val="clear" w:color="auto" w:fill="auto"/>
                </w:tcPr>
                <w:p w14:paraId="5F38B0E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66.0%</w:t>
                  </w:r>
                </w:p>
              </w:tc>
              <w:tc>
                <w:tcPr>
                  <w:tcW w:w="990" w:type="dxa"/>
                  <w:shd w:val="clear" w:color="auto" w:fill="auto"/>
                </w:tcPr>
                <w:p w14:paraId="1CE83C7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5.7%</w:t>
                  </w:r>
                </w:p>
              </w:tc>
              <w:tc>
                <w:tcPr>
                  <w:tcW w:w="1170" w:type="dxa"/>
                  <w:shd w:val="clear" w:color="auto" w:fill="auto"/>
                </w:tcPr>
                <w:p w14:paraId="1464FFF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A63CD3" w:rsidRPr="000704D9" w14:paraId="2423063F" w14:textId="77777777" w:rsidTr="0000060D">
              <w:tc>
                <w:tcPr>
                  <w:tcW w:w="990" w:type="dxa"/>
                  <w:vMerge w:val="restart"/>
                  <w:shd w:val="clear" w:color="auto" w:fill="auto"/>
                </w:tcPr>
                <w:p w14:paraId="5FF5420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5EF37AA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Lagos</w:t>
                  </w:r>
                </w:p>
              </w:tc>
              <w:tc>
                <w:tcPr>
                  <w:tcW w:w="1170" w:type="dxa"/>
                </w:tcPr>
                <w:p w14:paraId="3DB58DF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990" w:type="dxa"/>
                  <w:shd w:val="clear" w:color="auto" w:fill="auto"/>
                </w:tcPr>
                <w:p w14:paraId="791538F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w:t>
                  </w:r>
                </w:p>
              </w:tc>
              <w:tc>
                <w:tcPr>
                  <w:tcW w:w="900" w:type="dxa"/>
                  <w:shd w:val="clear" w:color="auto" w:fill="auto"/>
                </w:tcPr>
                <w:p w14:paraId="3E383B7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36</w:t>
                  </w:r>
                </w:p>
              </w:tc>
              <w:tc>
                <w:tcPr>
                  <w:tcW w:w="990" w:type="dxa"/>
                </w:tcPr>
                <w:p w14:paraId="0E4D4FD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35</w:t>
                  </w:r>
                </w:p>
              </w:tc>
              <w:tc>
                <w:tcPr>
                  <w:tcW w:w="810" w:type="dxa"/>
                </w:tcPr>
                <w:p w14:paraId="46FDCE1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w:t>
                  </w:r>
                </w:p>
              </w:tc>
              <w:tc>
                <w:tcPr>
                  <w:tcW w:w="900" w:type="dxa"/>
                  <w:shd w:val="clear" w:color="auto" w:fill="auto"/>
                </w:tcPr>
                <w:p w14:paraId="11D91FE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080" w:type="dxa"/>
                  <w:shd w:val="clear" w:color="auto" w:fill="auto"/>
                </w:tcPr>
                <w:p w14:paraId="51A9B3F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20</w:t>
                  </w:r>
                </w:p>
              </w:tc>
              <w:tc>
                <w:tcPr>
                  <w:tcW w:w="990" w:type="dxa"/>
                  <w:shd w:val="clear" w:color="auto" w:fill="auto"/>
                </w:tcPr>
                <w:p w14:paraId="7668E1E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46</w:t>
                  </w:r>
                </w:p>
              </w:tc>
              <w:tc>
                <w:tcPr>
                  <w:tcW w:w="990" w:type="dxa"/>
                  <w:shd w:val="clear" w:color="auto" w:fill="auto"/>
                </w:tcPr>
                <w:p w14:paraId="30AFC52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21</w:t>
                  </w:r>
                </w:p>
              </w:tc>
              <w:tc>
                <w:tcPr>
                  <w:tcW w:w="1170" w:type="dxa"/>
                  <w:shd w:val="clear" w:color="auto" w:fill="auto"/>
                </w:tcPr>
                <w:p w14:paraId="622AEF1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87</w:t>
                  </w:r>
                </w:p>
              </w:tc>
            </w:tr>
            <w:tr w:rsidR="00A63CD3" w:rsidRPr="000704D9" w14:paraId="61AD2273" w14:textId="77777777" w:rsidTr="0000060D">
              <w:tc>
                <w:tcPr>
                  <w:tcW w:w="990" w:type="dxa"/>
                  <w:vMerge/>
                  <w:shd w:val="clear" w:color="auto" w:fill="auto"/>
                </w:tcPr>
                <w:p w14:paraId="6EB35DE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1170" w:type="dxa"/>
                </w:tcPr>
                <w:p w14:paraId="7226378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 (%)</w:t>
                  </w:r>
                </w:p>
              </w:tc>
              <w:tc>
                <w:tcPr>
                  <w:tcW w:w="990" w:type="dxa"/>
                  <w:shd w:val="clear" w:color="auto" w:fill="auto"/>
                </w:tcPr>
                <w:p w14:paraId="3F2D940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11.5%</w:t>
                  </w:r>
                </w:p>
              </w:tc>
              <w:tc>
                <w:tcPr>
                  <w:tcW w:w="900" w:type="dxa"/>
                  <w:shd w:val="clear" w:color="auto" w:fill="auto"/>
                </w:tcPr>
                <w:p w14:paraId="5295BEB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41.4%</w:t>
                  </w:r>
                </w:p>
              </w:tc>
              <w:tc>
                <w:tcPr>
                  <w:tcW w:w="990" w:type="dxa"/>
                </w:tcPr>
                <w:p w14:paraId="55C2665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40.2%</w:t>
                  </w:r>
                </w:p>
              </w:tc>
              <w:tc>
                <w:tcPr>
                  <w:tcW w:w="810" w:type="dxa"/>
                </w:tcPr>
                <w:p w14:paraId="1DDC2A9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6.9%</w:t>
                  </w:r>
                </w:p>
              </w:tc>
              <w:tc>
                <w:tcPr>
                  <w:tcW w:w="900" w:type="dxa"/>
                  <w:shd w:val="clear" w:color="auto" w:fill="auto"/>
                </w:tcPr>
                <w:p w14:paraId="225A8B5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080" w:type="dxa"/>
                  <w:shd w:val="clear" w:color="auto" w:fill="auto"/>
                </w:tcPr>
                <w:p w14:paraId="069F7F9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23.0%</w:t>
                  </w:r>
                </w:p>
              </w:tc>
              <w:tc>
                <w:tcPr>
                  <w:tcW w:w="990" w:type="dxa"/>
                  <w:shd w:val="clear" w:color="auto" w:fill="auto"/>
                </w:tcPr>
                <w:p w14:paraId="2FED88B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52.9%</w:t>
                  </w:r>
                </w:p>
              </w:tc>
              <w:tc>
                <w:tcPr>
                  <w:tcW w:w="990" w:type="dxa"/>
                  <w:shd w:val="clear" w:color="auto" w:fill="auto"/>
                </w:tcPr>
                <w:p w14:paraId="46A1857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24.1%</w:t>
                  </w:r>
                </w:p>
              </w:tc>
              <w:tc>
                <w:tcPr>
                  <w:tcW w:w="1170" w:type="dxa"/>
                  <w:shd w:val="clear" w:color="auto" w:fill="auto"/>
                </w:tcPr>
                <w:p w14:paraId="3D8991D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A63CD3" w:rsidRPr="000704D9" w14:paraId="33BD806B" w14:textId="77777777" w:rsidTr="0000060D">
              <w:tc>
                <w:tcPr>
                  <w:tcW w:w="990" w:type="dxa"/>
                  <w:vMerge w:val="restart"/>
                  <w:shd w:val="clear" w:color="auto" w:fill="auto"/>
                </w:tcPr>
                <w:p w14:paraId="4A0F6FD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4D4271A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Ondo</w:t>
                  </w:r>
                </w:p>
              </w:tc>
              <w:tc>
                <w:tcPr>
                  <w:tcW w:w="1170" w:type="dxa"/>
                </w:tcPr>
                <w:p w14:paraId="0910139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990" w:type="dxa"/>
                  <w:shd w:val="clear" w:color="auto" w:fill="auto"/>
                </w:tcPr>
                <w:p w14:paraId="48CCCA4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4</w:t>
                  </w:r>
                </w:p>
              </w:tc>
              <w:tc>
                <w:tcPr>
                  <w:tcW w:w="900" w:type="dxa"/>
                  <w:shd w:val="clear" w:color="auto" w:fill="auto"/>
                </w:tcPr>
                <w:p w14:paraId="737986C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w:t>
                  </w:r>
                </w:p>
              </w:tc>
              <w:tc>
                <w:tcPr>
                  <w:tcW w:w="990" w:type="dxa"/>
                </w:tcPr>
                <w:p w14:paraId="18351B0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25</w:t>
                  </w:r>
                </w:p>
              </w:tc>
              <w:tc>
                <w:tcPr>
                  <w:tcW w:w="810" w:type="dxa"/>
                </w:tcPr>
                <w:p w14:paraId="48598F3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00" w:type="dxa"/>
                  <w:shd w:val="clear" w:color="auto" w:fill="auto"/>
                </w:tcPr>
                <w:p w14:paraId="2ED7FE0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080" w:type="dxa"/>
                  <w:shd w:val="clear" w:color="auto" w:fill="auto"/>
                </w:tcPr>
                <w:p w14:paraId="2F38621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90" w:type="dxa"/>
                  <w:shd w:val="clear" w:color="auto" w:fill="auto"/>
                </w:tcPr>
                <w:p w14:paraId="21175A7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w:t>
                  </w:r>
                </w:p>
              </w:tc>
              <w:tc>
                <w:tcPr>
                  <w:tcW w:w="990" w:type="dxa"/>
                  <w:shd w:val="clear" w:color="auto" w:fill="auto"/>
                </w:tcPr>
                <w:p w14:paraId="17F5EF0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20</w:t>
                  </w:r>
                </w:p>
              </w:tc>
              <w:tc>
                <w:tcPr>
                  <w:tcW w:w="1170" w:type="dxa"/>
                  <w:shd w:val="clear" w:color="auto" w:fill="auto"/>
                </w:tcPr>
                <w:p w14:paraId="50DFC60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30</w:t>
                  </w:r>
                </w:p>
              </w:tc>
            </w:tr>
            <w:tr w:rsidR="00A63CD3" w:rsidRPr="000704D9" w14:paraId="5625BFE2" w14:textId="77777777" w:rsidTr="0000060D">
              <w:tc>
                <w:tcPr>
                  <w:tcW w:w="990" w:type="dxa"/>
                  <w:vMerge/>
                  <w:shd w:val="clear" w:color="auto" w:fill="auto"/>
                </w:tcPr>
                <w:p w14:paraId="07F45C5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1170" w:type="dxa"/>
                </w:tcPr>
                <w:p w14:paraId="44875CC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 (%)</w:t>
                  </w:r>
                </w:p>
              </w:tc>
              <w:tc>
                <w:tcPr>
                  <w:tcW w:w="990" w:type="dxa"/>
                  <w:shd w:val="clear" w:color="auto" w:fill="auto"/>
                </w:tcPr>
                <w:p w14:paraId="17FF431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13.3%</w:t>
                  </w:r>
                </w:p>
              </w:tc>
              <w:tc>
                <w:tcPr>
                  <w:tcW w:w="900" w:type="dxa"/>
                  <w:shd w:val="clear" w:color="auto" w:fill="auto"/>
                </w:tcPr>
                <w:p w14:paraId="36BCB7E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3.3%</w:t>
                  </w:r>
                </w:p>
              </w:tc>
              <w:tc>
                <w:tcPr>
                  <w:tcW w:w="990" w:type="dxa"/>
                </w:tcPr>
                <w:p w14:paraId="00E89CE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83.3%</w:t>
                  </w:r>
                </w:p>
              </w:tc>
              <w:tc>
                <w:tcPr>
                  <w:tcW w:w="810" w:type="dxa"/>
                </w:tcPr>
                <w:p w14:paraId="76D8C87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00" w:type="dxa"/>
                  <w:shd w:val="clear" w:color="auto" w:fill="auto"/>
                </w:tcPr>
                <w:p w14:paraId="758EBEE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080" w:type="dxa"/>
                  <w:shd w:val="clear" w:color="auto" w:fill="auto"/>
                </w:tcPr>
                <w:p w14:paraId="003E116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90" w:type="dxa"/>
                  <w:shd w:val="clear" w:color="auto" w:fill="auto"/>
                </w:tcPr>
                <w:p w14:paraId="682EC83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33.3%</w:t>
                  </w:r>
                </w:p>
              </w:tc>
              <w:tc>
                <w:tcPr>
                  <w:tcW w:w="990" w:type="dxa"/>
                  <w:shd w:val="clear" w:color="auto" w:fill="auto"/>
                </w:tcPr>
                <w:p w14:paraId="65C4462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66.7%</w:t>
                  </w:r>
                </w:p>
              </w:tc>
              <w:tc>
                <w:tcPr>
                  <w:tcW w:w="1170" w:type="dxa"/>
                  <w:shd w:val="clear" w:color="auto" w:fill="auto"/>
                </w:tcPr>
                <w:p w14:paraId="35C4B37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A63CD3" w:rsidRPr="000704D9" w14:paraId="7239B92E" w14:textId="77777777" w:rsidTr="0000060D">
              <w:tc>
                <w:tcPr>
                  <w:tcW w:w="990" w:type="dxa"/>
                  <w:vMerge w:val="restart"/>
                  <w:shd w:val="clear" w:color="auto" w:fill="auto"/>
                </w:tcPr>
                <w:p w14:paraId="013F3146"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p>
                <w:p w14:paraId="7051FAAE"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TOTAL</w:t>
                  </w:r>
                </w:p>
              </w:tc>
              <w:tc>
                <w:tcPr>
                  <w:tcW w:w="1170" w:type="dxa"/>
                </w:tcPr>
                <w:p w14:paraId="140AE485"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Frequency</w:t>
                  </w:r>
                </w:p>
              </w:tc>
              <w:tc>
                <w:tcPr>
                  <w:tcW w:w="990" w:type="dxa"/>
                  <w:shd w:val="clear" w:color="auto" w:fill="auto"/>
                </w:tcPr>
                <w:p w14:paraId="00ED725A"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29</w:t>
                  </w:r>
                </w:p>
              </w:tc>
              <w:tc>
                <w:tcPr>
                  <w:tcW w:w="900" w:type="dxa"/>
                  <w:shd w:val="clear" w:color="auto" w:fill="auto"/>
                </w:tcPr>
                <w:p w14:paraId="3048845E"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101</w:t>
                  </w:r>
                </w:p>
              </w:tc>
              <w:tc>
                <w:tcPr>
                  <w:tcW w:w="990" w:type="dxa"/>
                </w:tcPr>
                <w:p w14:paraId="690AE14A"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155</w:t>
                  </w:r>
                </w:p>
              </w:tc>
              <w:tc>
                <w:tcPr>
                  <w:tcW w:w="810" w:type="dxa"/>
                </w:tcPr>
                <w:p w14:paraId="6171C2BD"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32</w:t>
                  </w:r>
                </w:p>
              </w:tc>
              <w:tc>
                <w:tcPr>
                  <w:tcW w:w="900" w:type="dxa"/>
                  <w:shd w:val="clear" w:color="auto" w:fill="auto"/>
                </w:tcPr>
                <w:p w14:paraId="6448AF90"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w:t>
                  </w:r>
                </w:p>
              </w:tc>
              <w:tc>
                <w:tcPr>
                  <w:tcW w:w="1080" w:type="dxa"/>
                  <w:shd w:val="clear" w:color="auto" w:fill="auto"/>
                </w:tcPr>
                <w:p w14:paraId="53841E86"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53</w:t>
                  </w:r>
                </w:p>
              </w:tc>
              <w:tc>
                <w:tcPr>
                  <w:tcW w:w="990" w:type="dxa"/>
                  <w:shd w:val="clear" w:color="auto" w:fill="auto"/>
                </w:tcPr>
                <w:p w14:paraId="0E93D426"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169</w:t>
                  </w:r>
                </w:p>
              </w:tc>
              <w:tc>
                <w:tcPr>
                  <w:tcW w:w="990" w:type="dxa"/>
                  <w:shd w:val="clear" w:color="auto" w:fill="auto"/>
                </w:tcPr>
                <w:p w14:paraId="583E64A2"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95</w:t>
                  </w:r>
                </w:p>
              </w:tc>
              <w:tc>
                <w:tcPr>
                  <w:tcW w:w="1170" w:type="dxa"/>
                  <w:shd w:val="clear" w:color="auto" w:fill="auto"/>
                </w:tcPr>
                <w:p w14:paraId="6CA788D8"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317</w:t>
                  </w:r>
                </w:p>
              </w:tc>
            </w:tr>
            <w:tr w:rsidR="00A63CD3" w:rsidRPr="000704D9" w14:paraId="2455389C" w14:textId="77777777" w:rsidTr="0000060D">
              <w:tc>
                <w:tcPr>
                  <w:tcW w:w="990" w:type="dxa"/>
                  <w:vMerge/>
                  <w:tcBorders>
                    <w:bottom w:val="single" w:sz="18" w:space="0" w:color="auto"/>
                  </w:tcBorders>
                  <w:shd w:val="clear" w:color="auto" w:fill="auto"/>
                </w:tcPr>
                <w:p w14:paraId="2B821D83"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p>
              </w:tc>
              <w:tc>
                <w:tcPr>
                  <w:tcW w:w="1170" w:type="dxa"/>
                  <w:tcBorders>
                    <w:bottom w:val="single" w:sz="18" w:space="0" w:color="auto"/>
                  </w:tcBorders>
                </w:tcPr>
                <w:p w14:paraId="39B2F18C"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Percentage(%)</w:t>
                  </w:r>
                </w:p>
              </w:tc>
              <w:tc>
                <w:tcPr>
                  <w:tcW w:w="990" w:type="dxa"/>
                  <w:tcBorders>
                    <w:bottom w:val="single" w:sz="18" w:space="0" w:color="auto"/>
                  </w:tcBorders>
                  <w:shd w:val="clear" w:color="auto" w:fill="auto"/>
                </w:tcPr>
                <w:p w14:paraId="20E9623A"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9.1%</w:t>
                  </w:r>
                </w:p>
              </w:tc>
              <w:tc>
                <w:tcPr>
                  <w:tcW w:w="900" w:type="dxa"/>
                  <w:tcBorders>
                    <w:bottom w:val="single" w:sz="18" w:space="0" w:color="auto"/>
                  </w:tcBorders>
                  <w:shd w:val="clear" w:color="auto" w:fill="auto"/>
                </w:tcPr>
                <w:p w14:paraId="346A00CC"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31.9%</w:t>
                  </w:r>
                </w:p>
              </w:tc>
              <w:tc>
                <w:tcPr>
                  <w:tcW w:w="990" w:type="dxa"/>
                  <w:tcBorders>
                    <w:bottom w:val="single" w:sz="18" w:space="0" w:color="auto"/>
                  </w:tcBorders>
                </w:tcPr>
                <w:p w14:paraId="61AD4EA6"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48.9%</w:t>
                  </w:r>
                </w:p>
              </w:tc>
              <w:tc>
                <w:tcPr>
                  <w:tcW w:w="810" w:type="dxa"/>
                  <w:tcBorders>
                    <w:bottom w:val="single" w:sz="18" w:space="0" w:color="auto"/>
                  </w:tcBorders>
                </w:tcPr>
                <w:p w14:paraId="50AF2D84"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10.1%</w:t>
                  </w:r>
                </w:p>
              </w:tc>
              <w:tc>
                <w:tcPr>
                  <w:tcW w:w="900" w:type="dxa"/>
                  <w:tcBorders>
                    <w:bottom w:val="single" w:sz="18" w:space="0" w:color="auto"/>
                  </w:tcBorders>
                  <w:shd w:val="clear" w:color="auto" w:fill="auto"/>
                </w:tcPr>
                <w:p w14:paraId="6B71FA6A"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w:t>
                  </w:r>
                </w:p>
              </w:tc>
              <w:tc>
                <w:tcPr>
                  <w:tcW w:w="1080" w:type="dxa"/>
                  <w:tcBorders>
                    <w:bottom w:val="single" w:sz="18" w:space="0" w:color="auto"/>
                  </w:tcBorders>
                  <w:shd w:val="clear" w:color="auto" w:fill="auto"/>
                </w:tcPr>
                <w:p w14:paraId="0EA0B011"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16.7%</w:t>
                  </w:r>
                </w:p>
              </w:tc>
              <w:tc>
                <w:tcPr>
                  <w:tcW w:w="990" w:type="dxa"/>
                  <w:tcBorders>
                    <w:bottom w:val="single" w:sz="18" w:space="0" w:color="auto"/>
                  </w:tcBorders>
                  <w:shd w:val="clear" w:color="auto" w:fill="auto"/>
                </w:tcPr>
                <w:p w14:paraId="458F43E2"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53.3%</w:t>
                  </w:r>
                </w:p>
              </w:tc>
              <w:tc>
                <w:tcPr>
                  <w:tcW w:w="990" w:type="dxa"/>
                  <w:tcBorders>
                    <w:bottom w:val="single" w:sz="18" w:space="0" w:color="auto"/>
                  </w:tcBorders>
                  <w:shd w:val="clear" w:color="auto" w:fill="auto"/>
                </w:tcPr>
                <w:p w14:paraId="242C086D"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30.0%</w:t>
                  </w:r>
                </w:p>
              </w:tc>
              <w:tc>
                <w:tcPr>
                  <w:tcW w:w="1170" w:type="dxa"/>
                  <w:tcBorders>
                    <w:bottom w:val="single" w:sz="18" w:space="0" w:color="auto"/>
                  </w:tcBorders>
                  <w:shd w:val="clear" w:color="auto" w:fill="auto"/>
                </w:tcPr>
                <w:p w14:paraId="484BF079"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100.0%</w:t>
                  </w:r>
                </w:p>
              </w:tc>
            </w:tr>
          </w:tbl>
          <w:p w14:paraId="74698CAA" w14:textId="77777777" w:rsidR="00A63CD3" w:rsidRPr="000704D9" w:rsidRDefault="00A63CD3" w:rsidP="000704D9">
            <w:pPr>
              <w:spacing w:after="0" w:line="360" w:lineRule="auto"/>
              <w:contextualSpacing/>
              <w:rPr>
                <w:rFonts w:ascii="Times New Roman" w:eastAsia="Calibri" w:hAnsi="Times New Roman" w:cs="Times New Roman"/>
                <w:b/>
                <w:color w:val="000000" w:themeColor="text1"/>
                <w:sz w:val="20"/>
                <w:szCs w:val="20"/>
              </w:rPr>
            </w:pPr>
          </w:p>
        </w:tc>
      </w:tr>
      <w:tr w:rsidR="00A63CD3" w:rsidRPr="000704D9" w14:paraId="79560203" w14:textId="77777777" w:rsidTr="000704D9">
        <w:tc>
          <w:tcPr>
            <w:tcW w:w="9017" w:type="dxa"/>
            <w:shd w:val="clear" w:color="auto" w:fill="auto"/>
          </w:tcPr>
          <w:p w14:paraId="732C0941"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p>
          <w:p w14:paraId="7B6C0057"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Marital Status and Monthly Income Range of the respondents</w:t>
            </w:r>
          </w:p>
        </w:tc>
      </w:tr>
      <w:tr w:rsidR="00A63CD3" w:rsidRPr="000704D9" w14:paraId="387CBF7A" w14:textId="77777777" w:rsidTr="000704D9">
        <w:tc>
          <w:tcPr>
            <w:tcW w:w="9017" w:type="dxa"/>
            <w:shd w:val="clear" w:color="auto" w:fill="auto"/>
          </w:tcPr>
          <w:tbl>
            <w:tblPr>
              <w:tblW w:w="11232" w:type="dxa"/>
              <w:tblLook w:val="04A0" w:firstRow="1" w:lastRow="0" w:firstColumn="1" w:lastColumn="0" w:noHBand="0" w:noVBand="1"/>
            </w:tblPr>
            <w:tblGrid>
              <w:gridCol w:w="707"/>
              <w:gridCol w:w="876"/>
              <w:gridCol w:w="600"/>
              <w:gridCol w:w="667"/>
              <w:gridCol w:w="736"/>
              <w:gridCol w:w="759"/>
              <w:gridCol w:w="702"/>
              <w:gridCol w:w="771"/>
              <w:gridCol w:w="771"/>
              <w:gridCol w:w="771"/>
              <w:gridCol w:w="771"/>
              <w:gridCol w:w="670"/>
            </w:tblGrid>
            <w:tr w:rsidR="00A63CD3" w:rsidRPr="000704D9" w14:paraId="2E4F482F" w14:textId="77777777" w:rsidTr="0000060D">
              <w:tc>
                <w:tcPr>
                  <w:tcW w:w="2048" w:type="dxa"/>
                  <w:gridSpan w:val="2"/>
                  <w:vMerge w:val="restart"/>
                  <w:tcBorders>
                    <w:top w:val="single" w:sz="18" w:space="0" w:color="auto"/>
                  </w:tcBorders>
                  <w:shd w:val="clear" w:color="auto" w:fill="auto"/>
                </w:tcPr>
                <w:p w14:paraId="73982965"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2F78EEB8"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Selected Tourist Centres in Southwest Nigeria</w:t>
                  </w:r>
                </w:p>
              </w:tc>
              <w:tc>
                <w:tcPr>
                  <w:tcW w:w="3463" w:type="dxa"/>
                  <w:gridSpan w:val="4"/>
                  <w:tcBorders>
                    <w:top w:val="single" w:sz="18" w:space="0" w:color="auto"/>
                  </w:tcBorders>
                  <w:shd w:val="clear" w:color="auto" w:fill="auto"/>
                </w:tcPr>
                <w:p w14:paraId="4D6AD964"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Marital Status</w:t>
                  </w:r>
                </w:p>
              </w:tc>
              <w:tc>
                <w:tcPr>
                  <w:tcW w:w="4565" w:type="dxa"/>
                  <w:gridSpan w:val="5"/>
                  <w:tcBorders>
                    <w:top w:val="single" w:sz="18" w:space="0" w:color="auto"/>
                  </w:tcBorders>
                  <w:shd w:val="clear" w:color="auto" w:fill="auto"/>
                </w:tcPr>
                <w:p w14:paraId="1722B549"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AGE</w:t>
                  </w:r>
                </w:p>
              </w:tc>
              <w:tc>
                <w:tcPr>
                  <w:tcW w:w="1156" w:type="dxa"/>
                  <w:vMerge w:val="restart"/>
                  <w:tcBorders>
                    <w:top w:val="single" w:sz="18" w:space="0" w:color="auto"/>
                  </w:tcBorders>
                  <w:shd w:val="clear" w:color="auto" w:fill="auto"/>
                </w:tcPr>
                <w:p w14:paraId="299170D6"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4BA287E0"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354376D0"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7831EC9D"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 xml:space="preserve">Total </w:t>
                  </w:r>
                </w:p>
              </w:tc>
            </w:tr>
            <w:tr w:rsidR="00A63CD3" w:rsidRPr="000704D9" w14:paraId="61E0A41B" w14:textId="77777777" w:rsidTr="0000060D">
              <w:tc>
                <w:tcPr>
                  <w:tcW w:w="2048" w:type="dxa"/>
                  <w:gridSpan w:val="2"/>
                  <w:vMerge/>
                  <w:tcBorders>
                    <w:bottom w:val="single" w:sz="8" w:space="0" w:color="auto"/>
                  </w:tcBorders>
                  <w:shd w:val="clear" w:color="auto" w:fill="auto"/>
                </w:tcPr>
                <w:p w14:paraId="3291045F"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tc>
              <w:tc>
                <w:tcPr>
                  <w:tcW w:w="734" w:type="dxa"/>
                  <w:tcBorders>
                    <w:bottom w:val="single" w:sz="8" w:space="0" w:color="auto"/>
                  </w:tcBorders>
                  <w:shd w:val="clear" w:color="auto" w:fill="auto"/>
                </w:tcPr>
                <w:p w14:paraId="00618D6D"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397B4B11"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49FB950E"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5392260F"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Single</w:t>
                  </w:r>
                </w:p>
              </w:tc>
              <w:tc>
                <w:tcPr>
                  <w:tcW w:w="866" w:type="dxa"/>
                  <w:tcBorders>
                    <w:bottom w:val="single" w:sz="8" w:space="0" w:color="auto"/>
                  </w:tcBorders>
                  <w:shd w:val="clear" w:color="auto" w:fill="auto"/>
                </w:tcPr>
                <w:p w14:paraId="28CADD79"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099F4480"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3E13984D"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10C6857C"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Married</w:t>
                  </w:r>
                </w:p>
              </w:tc>
              <w:tc>
                <w:tcPr>
                  <w:tcW w:w="916" w:type="dxa"/>
                  <w:tcBorders>
                    <w:bottom w:val="single" w:sz="8" w:space="0" w:color="auto"/>
                  </w:tcBorders>
                </w:tcPr>
                <w:p w14:paraId="2AFBB2C6"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15062FC6"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29636A3D"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65EF7F8C"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Divorced</w:t>
                  </w:r>
                </w:p>
              </w:tc>
              <w:tc>
                <w:tcPr>
                  <w:tcW w:w="947" w:type="dxa"/>
                  <w:tcBorders>
                    <w:bottom w:val="single" w:sz="8" w:space="0" w:color="auto"/>
                  </w:tcBorders>
                </w:tcPr>
                <w:p w14:paraId="2FFD1273"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1AB99188"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5C10DA62"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0D96C27D"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 xml:space="preserve">Widowed </w:t>
                  </w:r>
                </w:p>
              </w:tc>
              <w:tc>
                <w:tcPr>
                  <w:tcW w:w="841" w:type="dxa"/>
                  <w:tcBorders>
                    <w:bottom w:val="single" w:sz="8" w:space="0" w:color="auto"/>
                  </w:tcBorders>
                  <w:shd w:val="clear" w:color="auto" w:fill="auto"/>
                </w:tcPr>
                <w:p w14:paraId="6BAFE390"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55BA0751"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 xml:space="preserve">Less than </w:t>
                  </w:r>
                  <w:r w:rsidRPr="000704D9">
                    <w:rPr>
                      <w:rFonts w:ascii="Times New Roman" w:eastAsia="Calibri" w:hAnsi="Times New Roman" w:cs="Times New Roman"/>
                      <w:bCs/>
                      <w:dstrike/>
                      <w:color w:val="000000" w:themeColor="text1"/>
                      <w:sz w:val="20"/>
                      <w:szCs w:val="20"/>
                    </w:rPr>
                    <w:t>N</w:t>
                  </w:r>
                  <w:r w:rsidRPr="000704D9">
                    <w:rPr>
                      <w:rFonts w:ascii="Times New Roman" w:eastAsia="Calibri" w:hAnsi="Times New Roman" w:cs="Times New Roman"/>
                      <w:bCs/>
                      <w:color w:val="000000" w:themeColor="text1"/>
                      <w:sz w:val="20"/>
                      <w:szCs w:val="20"/>
                    </w:rPr>
                    <w:t>50,000</w:t>
                  </w:r>
                </w:p>
              </w:tc>
              <w:tc>
                <w:tcPr>
                  <w:tcW w:w="931" w:type="dxa"/>
                  <w:tcBorders>
                    <w:bottom w:val="single" w:sz="8" w:space="0" w:color="auto"/>
                  </w:tcBorders>
                  <w:shd w:val="clear" w:color="auto" w:fill="auto"/>
                </w:tcPr>
                <w:p w14:paraId="5CB79FF1" w14:textId="77777777" w:rsidR="00A63CD3" w:rsidRPr="000704D9" w:rsidRDefault="00A63CD3" w:rsidP="000704D9">
                  <w:pPr>
                    <w:spacing w:after="0" w:line="240" w:lineRule="auto"/>
                    <w:rPr>
                      <w:rFonts w:ascii="Times New Roman" w:eastAsia="Calibri" w:hAnsi="Times New Roman" w:cs="Times New Roman"/>
                      <w:bCs/>
                      <w:dstrike/>
                      <w:color w:val="000000" w:themeColor="text1"/>
                      <w:sz w:val="20"/>
                      <w:szCs w:val="20"/>
                    </w:rPr>
                  </w:pPr>
                </w:p>
                <w:p w14:paraId="0B7FC183"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dstrike/>
                      <w:color w:val="000000" w:themeColor="text1"/>
                      <w:sz w:val="20"/>
                      <w:szCs w:val="20"/>
                    </w:rPr>
                    <w:t>N</w:t>
                  </w:r>
                  <w:r w:rsidRPr="000704D9">
                    <w:rPr>
                      <w:rFonts w:ascii="Times New Roman" w:eastAsia="Calibri" w:hAnsi="Times New Roman" w:cs="Times New Roman"/>
                      <w:bCs/>
                      <w:color w:val="000000" w:themeColor="text1"/>
                      <w:sz w:val="20"/>
                      <w:szCs w:val="20"/>
                    </w:rPr>
                    <w:t xml:space="preserve">50,000 – </w:t>
                  </w:r>
                  <w:r w:rsidRPr="000704D9">
                    <w:rPr>
                      <w:rFonts w:ascii="Times New Roman" w:eastAsia="Calibri" w:hAnsi="Times New Roman" w:cs="Times New Roman"/>
                      <w:bCs/>
                      <w:dstrike/>
                      <w:color w:val="000000" w:themeColor="text1"/>
                      <w:sz w:val="20"/>
                      <w:szCs w:val="20"/>
                    </w:rPr>
                    <w:t>N</w:t>
                  </w:r>
                  <w:r w:rsidRPr="000704D9">
                    <w:rPr>
                      <w:rFonts w:ascii="Times New Roman" w:eastAsia="Calibri" w:hAnsi="Times New Roman" w:cs="Times New Roman"/>
                      <w:bCs/>
                      <w:color w:val="000000" w:themeColor="text1"/>
                      <w:sz w:val="20"/>
                      <w:szCs w:val="20"/>
                    </w:rPr>
                    <w:t>100,000</w:t>
                  </w:r>
                </w:p>
              </w:tc>
              <w:tc>
                <w:tcPr>
                  <w:tcW w:w="931" w:type="dxa"/>
                  <w:tcBorders>
                    <w:bottom w:val="single" w:sz="8" w:space="0" w:color="auto"/>
                  </w:tcBorders>
                  <w:shd w:val="clear" w:color="auto" w:fill="auto"/>
                </w:tcPr>
                <w:p w14:paraId="3F2F73B7"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1A770501"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₦100,001 - ₦200,000</w:t>
                  </w:r>
                </w:p>
              </w:tc>
              <w:tc>
                <w:tcPr>
                  <w:tcW w:w="931" w:type="dxa"/>
                  <w:tcBorders>
                    <w:bottom w:val="single" w:sz="8" w:space="0" w:color="auto"/>
                  </w:tcBorders>
                  <w:shd w:val="clear" w:color="auto" w:fill="auto"/>
                </w:tcPr>
                <w:p w14:paraId="6307C2D0"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3BC9A265"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₦200,001 - ₦300,000</w:t>
                  </w:r>
                </w:p>
              </w:tc>
              <w:tc>
                <w:tcPr>
                  <w:tcW w:w="931" w:type="dxa"/>
                  <w:tcBorders>
                    <w:bottom w:val="single" w:sz="8" w:space="0" w:color="auto"/>
                  </w:tcBorders>
                </w:tcPr>
                <w:p w14:paraId="4167C7B2"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4564CAAF"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Above ₦300,000</w:t>
                  </w:r>
                </w:p>
              </w:tc>
              <w:tc>
                <w:tcPr>
                  <w:tcW w:w="1156" w:type="dxa"/>
                  <w:vMerge/>
                  <w:tcBorders>
                    <w:bottom w:val="single" w:sz="8" w:space="0" w:color="auto"/>
                  </w:tcBorders>
                  <w:shd w:val="clear" w:color="auto" w:fill="auto"/>
                </w:tcPr>
                <w:p w14:paraId="46C07F4E"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tc>
            </w:tr>
            <w:tr w:rsidR="00A63CD3" w:rsidRPr="000704D9" w14:paraId="2B5C7E66" w14:textId="77777777" w:rsidTr="0000060D">
              <w:tc>
                <w:tcPr>
                  <w:tcW w:w="847" w:type="dxa"/>
                  <w:vMerge w:val="restart"/>
                  <w:tcBorders>
                    <w:top w:val="single" w:sz="8" w:space="0" w:color="auto"/>
                  </w:tcBorders>
                  <w:shd w:val="clear" w:color="auto" w:fill="auto"/>
                </w:tcPr>
                <w:p w14:paraId="020498A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0561B17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Ekiti</w:t>
                  </w:r>
                </w:p>
              </w:tc>
              <w:tc>
                <w:tcPr>
                  <w:tcW w:w="1201" w:type="dxa"/>
                  <w:tcBorders>
                    <w:top w:val="single" w:sz="8" w:space="0" w:color="auto"/>
                  </w:tcBorders>
                </w:tcPr>
                <w:p w14:paraId="0FE0DCF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734" w:type="dxa"/>
                  <w:tcBorders>
                    <w:top w:val="single" w:sz="8" w:space="0" w:color="auto"/>
                  </w:tcBorders>
                  <w:shd w:val="clear" w:color="auto" w:fill="auto"/>
                </w:tcPr>
                <w:p w14:paraId="408916C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8</w:t>
                  </w:r>
                </w:p>
              </w:tc>
              <w:tc>
                <w:tcPr>
                  <w:tcW w:w="866" w:type="dxa"/>
                  <w:tcBorders>
                    <w:top w:val="single" w:sz="8" w:space="0" w:color="auto"/>
                  </w:tcBorders>
                  <w:shd w:val="clear" w:color="auto" w:fill="auto"/>
                </w:tcPr>
                <w:p w14:paraId="663BD04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50</w:t>
                  </w:r>
                </w:p>
              </w:tc>
              <w:tc>
                <w:tcPr>
                  <w:tcW w:w="916" w:type="dxa"/>
                  <w:tcBorders>
                    <w:top w:val="single" w:sz="8" w:space="0" w:color="auto"/>
                  </w:tcBorders>
                </w:tcPr>
                <w:p w14:paraId="1FB33A2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47" w:type="dxa"/>
                  <w:tcBorders>
                    <w:top w:val="single" w:sz="8" w:space="0" w:color="auto"/>
                  </w:tcBorders>
                </w:tcPr>
                <w:p w14:paraId="39CB6AC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41" w:type="dxa"/>
                  <w:tcBorders>
                    <w:top w:val="single" w:sz="8" w:space="0" w:color="auto"/>
                  </w:tcBorders>
                  <w:shd w:val="clear" w:color="auto" w:fill="auto"/>
                </w:tcPr>
                <w:p w14:paraId="4BCCF28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31" w:type="dxa"/>
                  <w:tcBorders>
                    <w:top w:val="single" w:sz="8" w:space="0" w:color="auto"/>
                  </w:tcBorders>
                  <w:shd w:val="clear" w:color="auto" w:fill="auto"/>
                </w:tcPr>
                <w:p w14:paraId="1080AD1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w:t>
                  </w:r>
                </w:p>
              </w:tc>
              <w:tc>
                <w:tcPr>
                  <w:tcW w:w="931" w:type="dxa"/>
                  <w:tcBorders>
                    <w:top w:val="single" w:sz="8" w:space="0" w:color="auto"/>
                  </w:tcBorders>
                  <w:shd w:val="clear" w:color="auto" w:fill="auto"/>
                </w:tcPr>
                <w:p w14:paraId="337C030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35</w:t>
                  </w:r>
                </w:p>
              </w:tc>
              <w:tc>
                <w:tcPr>
                  <w:tcW w:w="931" w:type="dxa"/>
                  <w:tcBorders>
                    <w:top w:val="single" w:sz="8" w:space="0" w:color="auto"/>
                  </w:tcBorders>
                  <w:shd w:val="clear" w:color="auto" w:fill="auto"/>
                </w:tcPr>
                <w:p w14:paraId="378BD5B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16</w:t>
                  </w:r>
                </w:p>
              </w:tc>
              <w:tc>
                <w:tcPr>
                  <w:tcW w:w="931" w:type="dxa"/>
                  <w:tcBorders>
                    <w:top w:val="single" w:sz="8" w:space="0" w:color="auto"/>
                  </w:tcBorders>
                </w:tcPr>
                <w:p w14:paraId="0A92A89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w:t>
                  </w:r>
                </w:p>
              </w:tc>
              <w:tc>
                <w:tcPr>
                  <w:tcW w:w="1156" w:type="dxa"/>
                  <w:tcBorders>
                    <w:top w:val="single" w:sz="8" w:space="0" w:color="auto"/>
                  </w:tcBorders>
                  <w:shd w:val="clear" w:color="auto" w:fill="auto"/>
                </w:tcPr>
                <w:p w14:paraId="375AA44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58</w:t>
                  </w:r>
                </w:p>
              </w:tc>
            </w:tr>
            <w:tr w:rsidR="00A63CD3" w:rsidRPr="000704D9" w14:paraId="2BB4CA52" w14:textId="77777777" w:rsidTr="0000060D">
              <w:tc>
                <w:tcPr>
                  <w:tcW w:w="847" w:type="dxa"/>
                  <w:vMerge/>
                  <w:shd w:val="clear" w:color="auto" w:fill="auto"/>
                </w:tcPr>
                <w:p w14:paraId="1669E3A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1201" w:type="dxa"/>
                </w:tcPr>
                <w:p w14:paraId="774F33E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 (%)</w:t>
                  </w:r>
                </w:p>
              </w:tc>
              <w:tc>
                <w:tcPr>
                  <w:tcW w:w="734" w:type="dxa"/>
                  <w:shd w:val="clear" w:color="auto" w:fill="auto"/>
                </w:tcPr>
                <w:p w14:paraId="3487855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13.8%</w:t>
                  </w:r>
                </w:p>
              </w:tc>
              <w:tc>
                <w:tcPr>
                  <w:tcW w:w="866" w:type="dxa"/>
                  <w:shd w:val="clear" w:color="auto" w:fill="auto"/>
                </w:tcPr>
                <w:p w14:paraId="4E12C1F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86.2%</w:t>
                  </w:r>
                </w:p>
              </w:tc>
              <w:tc>
                <w:tcPr>
                  <w:tcW w:w="916" w:type="dxa"/>
                </w:tcPr>
                <w:p w14:paraId="40A790B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47" w:type="dxa"/>
                </w:tcPr>
                <w:p w14:paraId="7766DB7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41" w:type="dxa"/>
                  <w:shd w:val="clear" w:color="auto" w:fill="auto"/>
                </w:tcPr>
                <w:p w14:paraId="3FFD9C0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31" w:type="dxa"/>
                  <w:shd w:val="clear" w:color="auto" w:fill="auto"/>
                </w:tcPr>
                <w:p w14:paraId="7F5681F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3.4%</w:t>
                  </w:r>
                </w:p>
              </w:tc>
              <w:tc>
                <w:tcPr>
                  <w:tcW w:w="931" w:type="dxa"/>
                  <w:shd w:val="clear" w:color="auto" w:fill="auto"/>
                </w:tcPr>
                <w:p w14:paraId="34C3E18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60.3%</w:t>
                  </w:r>
                </w:p>
              </w:tc>
              <w:tc>
                <w:tcPr>
                  <w:tcW w:w="931" w:type="dxa"/>
                  <w:shd w:val="clear" w:color="auto" w:fill="auto"/>
                </w:tcPr>
                <w:p w14:paraId="59AEDB8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25.9%</w:t>
                  </w:r>
                </w:p>
              </w:tc>
              <w:tc>
                <w:tcPr>
                  <w:tcW w:w="931" w:type="dxa"/>
                </w:tcPr>
                <w:p w14:paraId="2428460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10.3%</w:t>
                  </w:r>
                </w:p>
              </w:tc>
              <w:tc>
                <w:tcPr>
                  <w:tcW w:w="1156" w:type="dxa"/>
                  <w:shd w:val="clear" w:color="auto" w:fill="auto"/>
                </w:tcPr>
                <w:p w14:paraId="381228D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A63CD3" w:rsidRPr="000704D9" w14:paraId="5FBBBC14" w14:textId="77777777" w:rsidTr="0000060D">
              <w:tc>
                <w:tcPr>
                  <w:tcW w:w="847" w:type="dxa"/>
                  <w:vMerge w:val="restart"/>
                  <w:shd w:val="clear" w:color="auto" w:fill="auto"/>
                </w:tcPr>
                <w:p w14:paraId="51C270F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2B73E6D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Osun</w:t>
                  </w:r>
                </w:p>
              </w:tc>
              <w:tc>
                <w:tcPr>
                  <w:tcW w:w="1201" w:type="dxa"/>
                </w:tcPr>
                <w:p w14:paraId="186C2B7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734" w:type="dxa"/>
                  <w:shd w:val="clear" w:color="auto" w:fill="auto"/>
                </w:tcPr>
                <w:p w14:paraId="08CC27C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66" w:type="dxa"/>
                  <w:shd w:val="clear" w:color="auto" w:fill="auto"/>
                </w:tcPr>
                <w:p w14:paraId="1B1EFC4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19</w:t>
                  </w:r>
                </w:p>
              </w:tc>
              <w:tc>
                <w:tcPr>
                  <w:tcW w:w="916" w:type="dxa"/>
                </w:tcPr>
                <w:p w14:paraId="0EC1C4E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47" w:type="dxa"/>
                </w:tcPr>
                <w:p w14:paraId="3AAABA5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41" w:type="dxa"/>
                  <w:shd w:val="clear" w:color="auto" w:fill="auto"/>
                </w:tcPr>
                <w:p w14:paraId="42BB63D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31" w:type="dxa"/>
                  <w:shd w:val="clear" w:color="auto" w:fill="auto"/>
                </w:tcPr>
                <w:p w14:paraId="29F1E67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31" w:type="dxa"/>
                  <w:shd w:val="clear" w:color="auto" w:fill="auto"/>
                </w:tcPr>
                <w:p w14:paraId="4023B91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9</w:t>
                  </w:r>
                </w:p>
              </w:tc>
              <w:tc>
                <w:tcPr>
                  <w:tcW w:w="931" w:type="dxa"/>
                  <w:shd w:val="clear" w:color="auto" w:fill="auto"/>
                </w:tcPr>
                <w:p w14:paraId="357FF72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w:t>
                  </w:r>
                </w:p>
              </w:tc>
              <w:tc>
                <w:tcPr>
                  <w:tcW w:w="931" w:type="dxa"/>
                </w:tcPr>
                <w:p w14:paraId="093A5B0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156" w:type="dxa"/>
                  <w:shd w:val="clear" w:color="auto" w:fill="auto"/>
                </w:tcPr>
                <w:p w14:paraId="1EC3FC8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19</w:t>
                  </w:r>
                </w:p>
              </w:tc>
            </w:tr>
            <w:tr w:rsidR="00A63CD3" w:rsidRPr="000704D9" w14:paraId="440EE60D" w14:textId="77777777" w:rsidTr="0000060D">
              <w:tc>
                <w:tcPr>
                  <w:tcW w:w="847" w:type="dxa"/>
                  <w:vMerge/>
                  <w:shd w:val="clear" w:color="auto" w:fill="auto"/>
                </w:tcPr>
                <w:p w14:paraId="402B40D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1201" w:type="dxa"/>
                </w:tcPr>
                <w:p w14:paraId="5662DEA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 (%)</w:t>
                  </w:r>
                </w:p>
              </w:tc>
              <w:tc>
                <w:tcPr>
                  <w:tcW w:w="734" w:type="dxa"/>
                  <w:shd w:val="clear" w:color="auto" w:fill="auto"/>
                </w:tcPr>
                <w:p w14:paraId="2A03A99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66" w:type="dxa"/>
                  <w:shd w:val="clear" w:color="auto" w:fill="auto"/>
                </w:tcPr>
                <w:p w14:paraId="698EF82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c>
                <w:tcPr>
                  <w:tcW w:w="916" w:type="dxa"/>
                </w:tcPr>
                <w:p w14:paraId="2CD2BD4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47" w:type="dxa"/>
                </w:tcPr>
                <w:p w14:paraId="2BB3D66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41" w:type="dxa"/>
                  <w:shd w:val="clear" w:color="auto" w:fill="auto"/>
                </w:tcPr>
                <w:p w14:paraId="2D34510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31" w:type="dxa"/>
                  <w:shd w:val="clear" w:color="auto" w:fill="auto"/>
                </w:tcPr>
                <w:p w14:paraId="4B157B2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31" w:type="dxa"/>
                  <w:shd w:val="clear" w:color="auto" w:fill="auto"/>
                </w:tcPr>
                <w:p w14:paraId="1223039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47.4%</w:t>
                  </w:r>
                </w:p>
              </w:tc>
              <w:tc>
                <w:tcPr>
                  <w:tcW w:w="931" w:type="dxa"/>
                  <w:shd w:val="clear" w:color="auto" w:fill="auto"/>
                </w:tcPr>
                <w:p w14:paraId="644E02C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52.6%</w:t>
                  </w:r>
                </w:p>
              </w:tc>
              <w:tc>
                <w:tcPr>
                  <w:tcW w:w="931" w:type="dxa"/>
                </w:tcPr>
                <w:p w14:paraId="1FCCC82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156" w:type="dxa"/>
                  <w:shd w:val="clear" w:color="auto" w:fill="auto"/>
                </w:tcPr>
                <w:p w14:paraId="0E2888A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A63CD3" w:rsidRPr="000704D9" w14:paraId="2DAB3B7C" w14:textId="77777777" w:rsidTr="0000060D">
              <w:tc>
                <w:tcPr>
                  <w:tcW w:w="847" w:type="dxa"/>
                  <w:vMerge w:val="restart"/>
                  <w:shd w:val="clear" w:color="auto" w:fill="auto"/>
                </w:tcPr>
                <w:p w14:paraId="0A9C5ED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2BEEF09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Ogun</w:t>
                  </w:r>
                </w:p>
              </w:tc>
              <w:tc>
                <w:tcPr>
                  <w:tcW w:w="1201" w:type="dxa"/>
                </w:tcPr>
                <w:p w14:paraId="08918BB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734" w:type="dxa"/>
                  <w:shd w:val="clear" w:color="auto" w:fill="auto"/>
                </w:tcPr>
                <w:p w14:paraId="52A95BF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w:t>
                  </w:r>
                </w:p>
              </w:tc>
              <w:tc>
                <w:tcPr>
                  <w:tcW w:w="866" w:type="dxa"/>
                  <w:shd w:val="clear" w:color="auto" w:fill="auto"/>
                </w:tcPr>
                <w:p w14:paraId="463A224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57</w:t>
                  </w:r>
                </w:p>
              </w:tc>
              <w:tc>
                <w:tcPr>
                  <w:tcW w:w="916" w:type="dxa"/>
                </w:tcPr>
                <w:p w14:paraId="3F4271F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w:t>
                  </w:r>
                </w:p>
              </w:tc>
              <w:tc>
                <w:tcPr>
                  <w:tcW w:w="947" w:type="dxa"/>
                </w:tcPr>
                <w:p w14:paraId="731BA91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41" w:type="dxa"/>
                  <w:shd w:val="clear" w:color="auto" w:fill="auto"/>
                </w:tcPr>
                <w:p w14:paraId="07338BD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w:t>
                  </w:r>
                </w:p>
              </w:tc>
              <w:tc>
                <w:tcPr>
                  <w:tcW w:w="931" w:type="dxa"/>
                  <w:shd w:val="clear" w:color="auto" w:fill="auto"/>
                </w:tcPr>
                <w:p w14:paraId="5F88638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4</w:t>
                  </w:r>
                </w:p>
              </w:tc>
              <w:tc>
                <w:tcPr>
                  <w:tcW w:w="931" w:type="dxa"/>
                  <w:shd w:val="clear" w:color="auto" w:fill="auto"/>
                </w:tcPr>
                <w:p w14:paraId="0E5F73F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45</w:t>
                  </w:r>
                </w:p>
              </w:tc>
              <w:tc>
                <w:tcPr>
                  <w:tcW w:w="931" w:type="dxa"/>
                  <w:shd w:val="clear" w:color="auto" w:fill="auto"/>
                </w:tcPr>
                <w:p w14:paraId="7EF05B2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12</w:t>
                  </w:r>
                </w:p>
              </w:tc>
              <w:tc>
                <w:tcPr>
                  <w:tcW w:w="931" w:type="dxa"/>
                </w:tcPr>
                <w:p w14:paraId="65E5457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8</w:t>
                  </w:r>
                </w:p>
              </w:tc>
              <w:tc>
                <w:tcPr>
                  <w:tcW w:w="1156" w:type="dxa"/>
                  <w:shd w:val="clear" w:color="auto" w:fill="auto"/>
                </w:tcPr>
                <w:p w14:paraId="27A630C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70</w:t>
                  </w:r>
                </w:p>
              </w:tc>
            </w:tr>
            <w:tr w:rsidR="00A63CD3" w:rsidRPr="000704D9" w14:paraId="4892202C" w14:textId="77777777" w:rsidTr="0000060D">
              <w:tc>
                <w:tcPr>
                  <w:tcW w:w="847" w:type="dxa"/>
                  <w:vMerge/>
                  <w:shd w:val="clear" w:color="auto" w:fill="auto"/>
                </w:tcPr>
                <w:p w14:paraId="1D15C61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1201" w:type="dxa"/>
                </w:tcPr>
                <w:p w14:paraId="675C084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 (%)</w:t>
                  </w:r>
                </w:p>
              </w:tc>
              <w:tc>
                <w:tcPr>
                  <w:tcW w:w="734" w:type="dxa"/>
                  <w:shd w:val="clear" w:color="auto" w:fill="auto"/>
                </w:tcPr>
                <w:p w14:paraId="50B5D1D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14.3%</w:t>
                  </w:r>
                </w:p>
              </w:tc>
              <w:tc>
                <w:tcPr>
                  <w:tcW w:w="866" w:type="dxa"/>
                  <w:shd w:val="clear" w:color="auto" w:fill="auto"/>
                </w:tcPr>
                <w:p w14:paraId="6A41488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81.4%</w:t>
                  </w:r>
                </w:p>
              </w:tc>
              <w:tc>
                <w:tcPr>
                  <w:tcW w:w="916" w:type="dxa"/>
                </w:tcPr>
                <w:p w14:paraId="658942A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4.3%</w:t>
                  </w:r>
                </w:p>
              </w:tc>
              <w:tc>
                <w:tcPr>
                  <w:tcW w:w="947" w:type="dxa"/>
                </w:tcPr>
                <w:p w14:paraId="5DCFF7E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41" w:type="dxa"/>
                  <w:shd w:val="clear" w:color="auto" w:fill="auto"/>
                </w:tcPr>
                <w:p w14:paraId="0E66724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1.4%</w:t>
                  </w:r>
                </w:p>
              </w:tc>
              <w:tc>
                <w:tcPr>
                  <w:tcW w:w="931" w:type="dxa"/>
                  <w:shd w:val="clear" w:color="auto" w:fill="auto"/>
                </w:tcPr>
                <w:p w14:paraId="0B3BA07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5.7%</w:t>
                  </w:r>
                </w:p>
              </w:tc>
              <w:tc>
                <w:tcPr>
                  <w:tcW w:w="931" w:type="dxa"/>
                  <w:shd w:val="clear" w:color="auto" w:fill="auto"/>
                </w:tcPr>
                <w:p w14:paraId="0988647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64.3%</w:t>
                  </w:r>
                </w:p>
              </w:tc>
              <w:tc>
                <w:tcPr>
                  <w:tcW w:w="931" w:type="dxa"/>
                  <w:shd w:val="clear" w:color="auto" w:fill="auto"/>
                </w:tcPr>
                <w:p w14:paraId="5083755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17.1%</w:t>
                  </w:r>
                </w:p>
              </w:tc>
              <w:tc>
                <w:tcPr>
                  <w:tcW w:w="931" w:type="dxa"/>
                </w:tcPr>
                <w:p w14:paraId="5E3935F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11.4%</w:t>
                  </w:r>
                </w:p>
              </w:tc>
              <w:tc>
                <w:tcPr>
                  <w:tcW w:w="1156" w:type="dxa"/>
                  <w:shd w:val="clear" w:color="auto" w:fill="auto"/>
                </w:tcPr>
                <w:p w14:paraId="53D90B4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A63CD3" w:rsidRPr="000704D9" w14:paraId="64BBC8DA" w14:textId="77777777" w:rsidTr="0000060D">
              <w:tc>
                <w:tcPr>
                  <w:tcW w:w="847" w:type="dxa"/>
                  <w:vMerge w:val="restart"/>
                  <w:shd w:val="clear" w:color="auto" w:fill="auto"/>
                </w:tcPr>
                <w:p w14:paraId="28E9041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0E4F94F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Oyo</w:t>
                  </w:r>
                </w:p>
              </w:tc>
              <w:tc>
                <w:tcPr>
                  <w:tcW w:w="1201" w:type="dxa"/>
                </w:tcPr>
                <w:p w14:paraId="1E13A08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734" w:type="dxa"/>
                  <w:shd w:val="clear" w:color="auto" w:fill="auto"/>
                </w:tcPr>
                <w:p w14:paraId="7203179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15</w:t>
                  </w:r>
                </w:p>
              </w:tc>
              <w:tc>
                <w:tcPr>
                  <w:tcW w:w="866" w:type="dxa"/>
                  <w:shd w:val="clear" w:color="auto" w:fill="auto"/>
                </w:tcPr>
                <w:p w14:paraId="7BADCC6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35</w:t>
                  </w:r>
                </w:p>
              </w:tc>
              <w:tc>
                <w:tcPr>
                  <w:tcW w:w="916" w:type="dxa"/>
                </w:tcPr>
                <w:p w14:paraId="5588957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w:t>
                  </w:r>
                </w:p>
              </w:tc>
              <w:tc>
                <w:tcPr>
                  <w:tcW w:w="947" w:type="dxa"/>
                </w:tcPr>
                <w:p w14:paraId="73DAD9A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41" w:type="dxa"/>
                  <w:shd w:val="clear" w:color="auto" w:fill="auto"/>
                </w:tcPr>
                <w:p w14:paraId="2DDD03A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31" w:type="dxa"/>
                  <w:shd w:val="clear" w:color="auto" w:fill="auto"/>
                </w:tcPr>
                <w:p w14:paraId="12E2272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w:t>
                  </w:r>
                </w:p>
              </w:tc>
              <w:tc>
                <w:tcPr>
                  <w:tcW w:w="931" w:type="dxa"/>
                  <w:shd w:val="clear" w:color="auto" w:fill="auto"/>
                </w:tcPr>
                <w:p w14:paraId="090535A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32</w:t>
                  </w:r>
                </w:p>
              </w:tc>
              <w:tc>
                <w:tcPr>
                  <w:tcW w:w="931" w:type="dxa"/>
                  <w:shd w:val="clear" w:color="auto" w:fill="auto"/>
                </w:tcPr>
                <w:p w14:paraId="27E7EE6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12</w:t>
                  </w:r>
                </w:p>
              </w:tc>
              <w:tc>
                <w:tcPr>
                  <w:tcW w:w="931" w:type="dxa"/>
                </w:tcPr>
                <w:p w14:paraId="07B1E21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w:t>
                  </w:r>
                </w:p>
              </w:tc>
              <w:tc>
                <w:tcPr>
                  <w:tcW w:w="1156" w:type="dxa"/>
                  <w:shd w:val="clear" w:color="auto" w:fill="auto"/>
                </w:tcPr>
                <w:p w14:paraId="4E3BBC8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53</w:t>
                  </w:r>
                </w:p>
              </w:tc>
            </w:tr>
            <w:tr w:rsidR="00A63CD3" w:rsidRPr="000704D9" w14:paraId="1DA9FF00" w14:textId="77777777" w:rsidTr="0000060D">
              <w:tc>
                <w:tcPr>
                  <w:tcW w:w="847" w:type="dxa"/>
                  <w:vMerge/>
                  <w:shd w:val="clear" w:color="auto" w:fill="auto"/>
                </w:tcPr>
                <w:p w14:paraId="1315362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1201" w:type="dxa"/>
                </w:tcPr>
                <w:p w14:paraId="2FCC342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 (%)</w:t>
                  </w:r>
                </w:p>
              </w:tc>
              <w:tc>
                <w:tcPr>
                  <w:tcW w:w="734" w:type="dxa"/>
                  <w:shd w:val="clear" w:color="auto" w:fill="auto"/>
                </w:tcPr>
                <w:p w14:paraId="47FA049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28.3%</w:t>
                  </w:r>
                </w:p>
              </w:tc>
              <w:tc>
                <w:tcPr>
                  <w:tcW w:w="866" w:type="dxa"/>
                  <w:shd w:val="clear" w:color="auto" w:fill="auto"/>
                </w:tcPr>
                <w:p w14:paraId="5D8F5D8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66.0%</w:t>
                  </w:r>
                </w:p>
              </w:tc>
              <w:tc>
                <w:tcPr>
                  <w:tcW w:w="916" w:type="dxa"/>
                </w:tcPr>
                <w:p w14:paraId="6003551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5.7%</w:t>
                  </w:r>
                </w:p>
              </w:tc>
              <w:tc>
                <w:tcPr>
                  <w:tcW w:w="947" w:type="dxa"/>
                </w:tcPr>
                <w:p w14:paraId="7AE324E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41" w:type="dxa"/>
                  <w:shd w:val="clear" w:color="auto" w:fill="auto"/>
                </w:tcPr>
                <w:p w14:paraId="770C50F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31" w:type="dxa"/>
                  <w:shd w:val="clear" w:color="auto" w:fill="auto"/>
                </w:tcPr>
                <w:p w14:paraId="2E8B0ED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5.7%</w:t>
                  </w:r>
                </w:p>
              </w:tc>
              <w:tc>
                <w:tcPr>
                  <w:tcW w:w="931" w:type="dxa"/>
                  <w:shd w:val="clear" w:color="auto" w:fill="auto"/>
                </w:tcPr>
                <w:p w14:paraId="27C5125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60.4%</w:t>
                  </w:r>
                </w:p>
              </w:tc>
              <w:tc>
                <w:tcPr>
                  <w:tcW w:w="931" w:type="dxa"/>
                  <w:shd w:val="clear" w:color="auto" w:fill="auto"/>
                </w:tcPr>
                <w:p w14:paraId="4E5E65D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22.6%</w:t>
                  </w:r>
                </w:p>
              </w:tc>
              <w:tc>
                <w:tcPr>
                  <w:tcW w:w="931" w:type="dxa"/>
                </w:tcPr>
                <w:p w14:paraId="1675736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11.3%</w:t>
                  </w:r>
                </w:p>
              </w:tc>
              <w:tc>
                <w:tcPr>
                  <w:tcW w:w="1156" w:type="dxa"/>
                  <w:shd w:val="clear" w:color="auto" w:fill="auto"/>
                </w:tcPr>
                <w:p w14:paraId="32D7D8E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A63CD3" w:rsidRPr="000704D9" w14:paraId="506CEC9F" w14:textId="77777777" w:rsidTr="0000060D">
              <w:tc>
                <w:tcPr>
                  <w:tcW w:w="847" w:type="dxa"/>
                  <w:vMerge w:val="restart"/>
                  <w:shd w:val="clear" w:color="auto" w:fill="auto"/>
                </w:tcPr>
                <w:p w14:paraId="1DA862F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5FEA626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Lagos</w:t>
                  </w:r>
                </w:p>
              </w:tc>
              <w:tc>
                <w:tcPr>
                  <w:tcW w:w="1201" w:type="dxa"/>
                </w:tcPr>
                <w:p w14:paraId="3DCD986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734" w:type="dxa"/>
                  <w:shd w:val="clear" w:color="auto" w:fill="auto"/>
                </w:tcPr>
                <w:p w14:paraId="135C8DD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w:t>
                  </w:r>
                </w:p>
              </w:tc>
              <w:tc>
                <w:tcPr>
                  <w:tcW w:w="866" w:type="dxa"/>
                  <w:shd w:val="clear" w:color="auto" w:fill="auto"/>
                </w:tcPr>
                <w:p w14:paraId="60BA7CE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79</w:t>
                  </w:r>
                </w:p>
              </w:tc>
              <w:tc>
                <w:tcPr>
                  <w:tcW w:w="916" w:type="dxa"/>
                </w:tcPr>
                <w:p w14:paraId="6D57415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w:t>
                  </w:r>
                </w:p>
              </w:tc>
              <w:tc>
                <w:tcPr>
                  <w:tcW w:w="947" w:type="dxa"/>
                </w:tcPr>
                <w:p w14:paraId="4771F3F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41" w:type="dxa"/>
                  <w:shd w:val="clear" w:color="auto" w:fill="auto"/>
                </w:tcPr>
                <w:p w14:paraId="79A8B99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w:t>
                  </w:r>
                </w:p>
              </w:tc>
              <w:tc>
                <w:tcPr>
                  <w:tcW w:w="931" w:type="dxa"/>
                  <w:shd w:val="clear" w:color="auto" w:fill="auto"/>
                </w:tcPr>
                <w:p w14:paraId="58E3FF6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w:t>
                  </w:r>
                </w:p>
              </w:tc>
              <w:tc>
                <w:tcPr>
                  <w:tcW w:w="931" w:type="dxa"/>
                  <w:shd w:val="clear" w:color="auto" w:fill="auto"/>
                </w:tcPr>
                <w:p w14:paraId="3DC961C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62</w:t>
                  </w:r>
                </w:p>
              </w:tc>
              <w:tc>
                <w:tcPr>
                  <w:tcW w:w="931" w:type="dxa"/>
                  <w:shd w:val="clear" w:color="auto" w:fill="auto"/>
                </w:tcPr>
                <w:p w14:paraId="71B960A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14</w:t>
                  </w:r>
                </w:p>
              </w:tc>
              <w:tc>
                <w:tcPr>
                  <w:tcW w:w="931" w:type="dxa"/>
                </w:tcPr>
                <w:p w14:paraId="6FBD60B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8</w:t>
                  </w:r>
                </w:p>
              </w:tc>
              <w:tc>
                <w:tcPr>
                  <w:tcW w:w="1156" w:type="dxa"/>
                  <w:shd w:val="clear" w:color="auto" w:fill="auto"/>
                </w:tcPr>
                <w:p w14:paraId="4F35724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87</w:t>
                  </w:r>
                </w:p>
              </w:tc>
            </w:tr>
            <w:tr w:rsidR="00A63CD3" w:rsidRPr="000704D9" w14:paraId="7ACB9BD5" w14:textId="77777777" w:rsidTr="0000060D">
              <w:tc>
                <w:tcPr>
                  <w:tcW w:w="847" w:type="dxa"/>
                  <w:vMerge/>
                  <w:shd w:val="clear" w:color="auto" w:fill="auto"/>
                </w:tcPr>
                <w:p w14:paraId="7DBE74C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1201" w:type="dxa"/>
                </w:tcPr>
                <w:p w14:paraId="0E92575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 (%)</w:t>
                  </w:r>
                </w:p>
              </w:tc>
              <w:tc>
                <w:tcPr>
                  <w:tcW w:w="734" w:type="dxa"/>
                  <w:shd w:val="clear" w:color="auto" w:fill="auto"/>
                </w:tcPr>
                <w:p w14:paraId="1F2DCA9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5.7%</w:t>
                  </w:r>
                </w:p>
              </w:tc>
              <w:tc>
                <w:tcPr>
                  <w:tcW w:w="866" w:type="dxa"/>
                  <w:shd w:val="clear" w:color="auto" w:fill="auto"/>
                </w:tcPr>
                <w:p w14:paraId="3AC129B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90.8%</w:t>
                  </w:r>
                </w:p>
              </w:tc>
              <w:tc>
                <w:tcPr>
                  <w:tcW w:w="916" w:type="dxa"/>
                </w:tcPr>
                <w:p w14:paraId="1F693F4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3.4%</w:t>
                  </w:r>
                </w:p>
              </w:tc>
              <w:tc>
                <w:tcPr>
                  <w:tcW w:w="947" w:type="dxa"/>
                </w:tcPr>
                <w:p w14:paraId="23AE11D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41" w:type="dxa"/>
                  <w:shd w:val="clear" w:color="auto" w:fill="auto"/>
                </w:tcPr>
                <w:p w14:paraId="67EF26A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1.1%</w:t>
                  </w:r>
                </w:p>
              </w:tc>
              <w:tc>
                <w:tcPr>
                  <w:tcW w:w="931" w:type="dxa"/>
                  <w:shd w:val="clear" w:color="auto" w:fill="auto"/>
                </w:tcPr>
                <w:p w14:paraId="5CAB457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2.3%</w:t>
                  </w:r>
                </w:p>
              </w:tc>
              <w:tc>
                <w:tcPr>
                  <w:tcW w:w="931" w:type="dxa"/>
                  <w:shd w:val="clear" w:color="auto" w:fill="auto"/>
                </w:tcPr>
                <w:p w14:paraId="31959E4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71.3%</w:t>
                  </w:r>
                </w:p>
              </w:tc>
              <w:tc>
                <w:tcPr>
                  <w:tcW w:w="931" w:type="dxa"/>
                  <w:shd w:val="clear" w:color="auto" w:fill="auto"/>
                </w:tcPr>
                <w:p w14:paraId="53E704A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16.1%</w:t>
                  </w:r>
                </w:p>
              </w:tc>
              <w:tc>
                <w:tcPr>
                  <w:tcW w:w="931" w:type="dxa"/>
                </w:tcPr>
                <w:p w14:paraId="60A97CB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9.2%</w:t>
                  </w:r>
                </w:p>
              </w:tc>
              <w:tc>
                <w:tcPr>
                  <w:tcW w:w="1156" w:type="dxa"/>
                  <w:shd w:val="clear" w:color="auto" w:fill="auto"/>
                </w:tcPr>
                <w:p w14:paraId="6122455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A63CD3" w:rsidRPr="000704D9" w14:paraId="7C691981" w14:textId="77777777" w:rsidTr="0000060D">
              <w:tc>
                <w:tcPr>
                  <w:tcW w:w="847" w:type="dxa"/>
                  <w:vMerge w:val="restart"/>
                  <w:shd w:val="clear" w:color="auto" w:fill="auto"/>
                </w:tcPr>
                <w:p w14:paraId="70262A2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032CB42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Ondo</w:t>
                  </w:r>
                </w:p>
              </w:tc>
              <w:tc>
                <w:tcPr>
                  <w:tcW w:w="1201" w:type="dxa"/>
                </w:tcPr>
                <w:p w14:paraId="6506F6E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734" w:type="dxa"/>
                  <w:shd w:val="clear" w:color="auto" w:fill="auto"/>
                </w:tcPr>
                <w:p w14:paraId="573A0BF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8</w:t>
                  </w:r>
                </w:p>
              </w:tc>
              <w:tc>
                <w:tcPr>
                  <w:tcW w:w="866" w:type="dxa"/>
                  <w:shd w:val="clear" w:color="auto" w:fill="auto"/>
                </w:tcPr>
                <w:p w14:paraId="68EA586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22</w:t>
                  </w:r>
                </w:p>
              </w:tc>
              <w:tc>
                <w:tcPr>
                  <w:tcW w:w="916" w:type="dxa"/>
                </w:tcPr>
                <w:p w14:paraId="014F28F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47" w:type="dxa"/>
                </w:tcPr>
                <w:p w14:paraId="54E242C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41" w:type="dxa"/>
                  <w:shd w:val="clear" w:color="auto" w:fill="auto"/>
                </w:tcPr>
                <w:p w14:paraId="072879A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31" w:type="dxa"/>
                  <w:shd w:val="clear" w:color="auto" w:fill="auto"/>
                </w:tcPr>
                <w:p w14:paraId="36CED04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w:t>
                  </w:r>
                </w:p>
              </w:tc>
              <w:tc>
                <w:tcPr>
                  <w:tcW w:w="931" w:type="dxa"/>
                  <w:shd w:val="clear" w:color="auto" w:fill="auto"/>
                </w:tcPr>
                <w:p w14:paraId="371A30B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22</w:t>
                  </w:r>
                </w:p>
              </w:tc>
              <w:tc>
                <w:tcPr>
                  <w:tcW w:w="931" w:type="dxa"/>
                  <w:shd w:val="clear" w:color="auto" w:fill="auto"/>
                </w:tcPr>
                <w:p w14:paraId="02CC3B1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w:t>
                  </w:r>
                </w:p>
              </w:tc>
              <w:tc>
                <w:tcPr>
                  <w:tcW w:w="931" w:type="dxa"/>
                </w:tcPr>
                <w:p w14:paraId="7003D44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156" w:type="dxa"/>
                  <w:shd w:val="clear" w:color="auto" w:fill="auto"/>
                </w:tcPr>
                <w:p w14:paraId="5DF4338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30</w:t>
                  </w:r>
                </w:p>
              </w:tc>
            </w:tr>
            <w:tr w:rsidR="00A63CD3" w:rsidRPr="000704D9" w14:paraId="14FB7E7C" w14:textId="77777777" w:rsidTr="0000060D">
              <w:tc>
                <w:tcPr>
                  <w:tcW w:w="847" w:type="dxa"/>
                  <w:vMerge/>
                  <w:shd w:val="clear" w:color="auto" w:fill="auto"/>
                </w:tcPr>
                <w:p w14:paraId="67045FC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1201" w:type="dxa"/>
                </w:tcPr>
                <w:p w14:paraId="2DDC11B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 (%)</w:t>
                  </w:r>
                </w:p>
              </w:tc>
              <w:tc>
                <w:tcPr>
                  <w:tcW w:w="734" w:type="dxa"/>
                  <w:shd w:val="clear" w:color="auto" w:fill="auto"/>
                </w:tcPr>
                <w:p w14:paraId="6EA075F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26.7%</w:t>
                  </w:r>
                </w:p>
              </w:tc>
              <w:tc>
                <w:tcPr>
                  <w:tcW w:w="866" w:type="dxa"/>
                  <w:shd w:val="clear" w:color="auto" w:fill="auto"/>
                </w:tcPr>
                <w:p w14:paraId="1CD97DF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73.3%</w:t>
                  </w:r>
                </w:p>
              </w:tc>
              <w:tc>
                <w:tcPr>
                  <w:tcW w:w="916" w:type="dxa"/>
                </w:tcPr>
                <w:p w14:paraId="5EC11C8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47" w:type="dxa"/>
                </w:tcPr>
                <w:p w14:paraId="316F632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41" w:type="dxa"/>
                  <w:shd w:val="clear" w:color="auto" w:fill="auto"/>
                </w:tcPr>
                <w:p w14:paraId="193C4E7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931" w:type="dxa"/>
                  <w:shd w:val="clear" w:color="auto" w:fill="auto"/>
                </w:tcPr>
                <w:p w14:paraId="399A65D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w:t>
                  </w:r>
                </w:p>
              </w:tc>
              <w:tc>
                <w:tcPr>
                  <w:tcW w:w="931" w:type="dxa"/>
                  <w:shd w:val="clear" w:color="auto" w:fill="auto"/>
                </w:tcPr>
                <w:p w14:paraId="7342080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73.3%</w:t>
                  </w:r>
                </w:p>
              </w:tc>
              <w:tc>
                <w:tcPr>
                  <w:tcW w:w="931" w:type="dxa"/>
                  <w:shd w:val="clear" w:color="auto" w:fill="auto"/>
                </w:tcPr>
                <w:p w14:paraId="473AD85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16.7%</w:t>
                  </w:r>
                </w:p>
              </w:tc>
              <w:tc>
                <w:tcPr>
                  <w:tcW w:w="931" w:type="dxa"/>
                </w:tcPr>
                <w:p w14:paraId="378AA61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156" w:type="dxa"/>
                  <w:shd w:val="clear" w:color="auto" w:fill="auto"/>
                </w:tcPr>
                <w:p w14:paraId="5D11F54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A63CD3" w:rsidRPr="000704D9" w14:paraId="41E9B040" w14:textId="77777777" w:rsidTr="0000060D">
              <w:tc>
                <w:tcPr>
                  <w:tcW w:w="847" w:type="dxa"/>
                  <w:vMerge w:val="restart"/>
                  <w:shd w:val="clear" w:color="auto" w:fill="auto"/>
                </w:tcPr>
                <w:p w14:paraId="0F301EC9"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p>
                <w:p w14:paraId="4419C04A"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TOTAL</w:t>
                  </w:r>
                </w:p>
              </w:tc>
              <w:tc>
                <w:tcPr>
                  <w:tcW w:w="1201" w:type="dxa"/>
                </w:tcPr>
                <w:p w14:paraId="2AF2A45C"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Frequency</w:t>
                  </w:r>
                </w:p>
              </w:tc>
              <w:tc>
                <w:tcPr>
                  <w:tcW w:w="734" w:type="dxa"/>
                  <w:shd w:val="clear" w:color="auto" w:fill="auto"/>
                </w:tcPr>
                <w:p w14:paraId="39983038"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46</w:t>
                  </w:r>
                </w:p>
              </w:tc>
              <w:tc>
                <w:tcPr>
                  <w:tcW w:w="866" w:type="dxa"/>
                  <w:shd w:val="clear" w:color="auto" w:fill="auto"/>
                </w:tcPr>
                <w:p w14:paraId="1E7EA32C"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262</w:t>
                  </w:r>
                </w:p>
              </w:tc>
              <w:tc>
                <w:tcPr>
                  <w:tcW w:w="916" w:type="dxa"/>
                </w:tcPr>
                <w:p w14:paraId="7B4685C1"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9</w:t>
                  </w:r>
                </w:p>
              </w:tc>
              <w:tc>
                <w:tcPr>
                  <w:tcW w:w="947" w:type="dxa"/>
                </w:tcPr>
                <w:p w14:paraId="5B8634D9"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w:t>
                  </w:r>
                </w:p>
              </w:tc>
              <w:tc>
                <w:tcPr>
                  <w:tcW w:w="841" w:type="dxa"/>
                  <w:shd w:val="clear" w:color="auto" w:fill="auto"/>
                </w:tcPr>
                <w:p w14:paraId="46A64CDC"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2</w:t>
                  </w:r>
                </w:p>
              </w:tc>
              <w:tc>
                <w:tcPr>
                  <w:tcW w:w="931" w:type="dxa"/>
                  <w:shd w:val="clear" w:color="auto" w:fill="auto"/>
                </w:tcPr>
                <w:p w14:paraId="74DF8091"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14</w:t>
                  </w:r>
                </w:p>
              </w:tc>
              <w:tc>
                <w:tcPr>
                  <w:tcW w:w="931" w:type="dxa"/>
                  <w:shd w:val="clear" w:color="auto" w:fill="auto"/>
                </w:tcPr>
                <w:p w14:paraId="3D54230D"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205</w:t>
                  </w:r>
                </w:p>
              </w:tc>
              <w:tc>
                <w:tcPr>
                  <w:tcW w:w="931" w:type="dxa"/>
                  <w:shd w:val="clear" w:color="auto" w:fill="auto"/>
                </w:tcPr>
                <w:p w14:paraId="5FD1849C"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69</w:t>
                  </w:r>
                </w:p>
              </w:tc>
              <w:tc>
                <w:tcPr>
                  <w:tcW w:w="931" w:type="dxa"/>
                </w:tcPr>
                <w:p w14:paraId="03D93B2E"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27</w:t>
                  </w:r>
                </w:p>
              </w:tc>
              <w:tc>
                <w:tcPr>
                  <w:tcW w:w="1156" w:type="dxa"/>
                  <w:shd w:val="clear" w:color="auto" w:fill="auto"/>
                </w:tcPr>
                <w:p w14:paraId="3FBFF368"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317</w:t>
                  </w:r>
                </w:p>
              </w:tc>
            </w:tr>
            <w:tr w:rsidR="00A63CD3" w:rsidRPr="000704D9" w14:paraId="6FA42CE4" w14:textId="77777777" w:rsidTr="0000060D">
              <w:trPr>
                <w:trHeight w:val="300"/>
              </w:trPr>
              <w:tc>
                <w:tcPr>
                  <w:tcW w:w="847" w:type="dxa"/>
                  <w:vMerge/>
                  <w:tcBorders>
                    <w:bottom w:val="single" w:sz="18" w:space="0" w:color="auto"/>
                  </w:tcBorders>
                  <w:shd w:val="clear" w:color="auto" w:fill="auto"/>
                </w:tcPr>
                <w:p w14:paraId="3D1B6E6D"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p>
              </w:tc>
              <w:tc>
                <w:tcPr>
                  <w:tcW w:w="1201" w:type="dxa"/>
                  <w:tcBorders>
                    <w:bottom w:val="single" w:sz="18" w:space="0" w:color="auto"/>
                  </w:tcBorders>
                </w:tcPr>
                <w:p w14:paraId="60682A01"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Percentage (%)</w:t>
                  </w:r>
                </w:p>
              </w:tc>
              <w:tc>
                <w:tcPr>
                  <w:tcW w:w="734" w:type="dxa"/>
                  <w:tcBorders>
                    <w:bottom w:val="single" w:sz="18" w:space="0" w:color="auto"/>
                  </w:tcBorders>
                  <w:shd w:val="clear" w:color="auto" w:fill="auto"/>
                </w:tcPr>
                <w:p w14:paraId="17206379"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14.5%</w:t>
                  </w:r>
                </w:p>
              </w:tc>
              <w:tc>
                <w:tcPr>
                  <w:tcW w:w="866" w:type="dxa"/>
                  <w:tcBorders>
                    <w:bottom w:val="single" w:sz="18" w:space="0" w:color="auto"/>
                  </w:tcBorders>
                  <w:shd w:val="clear" w:color="auto" w:fill="auto"/>
                </w:tcPr>
                <w:p w14:paraId="5094DD24"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82.6%</w:t>
                  </w:r>
                </w:p>
              </w:tc>
              <w:tc>
                <w:tcPr>
                  <w:tcW w:w="916" w:type="dxa"/>
                  <w:tcBorders>
                    <w:bottom w:val="single" w:sz="18" w:space="0" w:color="auto"/>
                  </w:tcBorders>
                </w:tcPr>
                <w:p w14:paraId="79F49327"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2.8%</w:t>
                  </w:r>
                </w:p>
              </w:tc>
              <w:tc>
                <w:tcPr>
                  <w:tcW w:w="947" w:type="dxa"/>
                  <w:tcBorders>
                    <w:bottom w:val="single" w:sz="18" w:space="0" w:color="auto"/>
                  </w:tcBorders>
                </w:tcPr>
                <w:p w14:paraId="36BE40A5"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w:t>
                  </w:r>
                </w:p>
              </w:tc>
              <w:tc>
                <w:tcPr>
                  <w:tcW w:w="841" w:type="dxa"/>
                  <w:tcBorders>
                    <w:bottom w:val="single" w:sz="18" w:space="0" w:color="auto"/>
                  </w:tcBorders>
                  <w:shd w:val="clear" w:color="auto" w:fill="auto"/>
                </w:tcPr>
                <w:p w14:paraId="3BC2CEFC"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0.6%</w:t>
                  </w:r>
                </w:p>
              </w:tc>
              <w:tc>
                <w:tcPr>
                  <w:tcW w:w="931" w:type="dxa"/>
                  <w:tcBorders>
                    <w:bottom w:val="single" w:sz="18" w:space="0" w:color="auto"/>
                  </w:tcBorders>
                  <w:shd w:val="clear" w:color="auto" w:fill="auto"/>
                </w:tcPr>
                <w:p w14:paraId="3B8B799B"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4.4%</w:t>
                  </w:r>
                </w:p>
              </w:tc>
              <w:tc>
                <w:tcPr>
                  <w:tcW w:w="931" w:type="dxa"/>
                  <w:tcBorders>
                    <w:bottom w:val="single" w:sz="18" w:space="0" w:color="auto"/>
                  </w:tcBorders>
                  <w:shd w:val="clear" w:color="auto" w:fill="auto"/>
                </w:tcPr>
                <w:p w14:paraId="70C503E6"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64.7%</w:t>
                  </w:r>
                </w:p>
              </w:tc>
              <w:tc>
                <w:tcPr>
                  <w:tcW w:w="931" w:type="dxa"/>
                  <w:tcBorders>
                    <w:bottom w:val="single" w:sz="18" w:space="0" w:color="auto"/>
                  </w:tcBorders>
                  <w:shd w:val="clear" w:color="auto" w:fill="auto"/>
                </w:tcPr>
                <w:p w14:paraId="51339187"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21.8%</w:t>
                  </w:r>
                </w:p>
              </w:tc>
              <w:tc>
                <w:tcPr>
                  <w:tcW w:w="931" w:type="dxa"/>
                  <w:tcBorders>
                    <w:bottom w:val="single" w:sz="18" w:space="0" w:color="auto"/>
                  </w:tcBorders>
                </w:tcPr>
                <w:p w14:paraId="4262D55D"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8.5%</w:t>
                  </w:r>
                </w:p>
              </w:tc>
              <w:tc>
                <w:tcPr>
                  <w:tcW w:w="1156" w:type="dxa"/>
                  <w:tcBorders>
                    <w:bottom w:val="single" w:sz="18" w:space="0" w:color="auto"/>
                  </w:tcBorders>
                  <w:shd w:val="clear" w:color="auto" w:fill="auto"/>
                </w:tcPr>
                <w:p w14:paraId="64A02B26"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100.0%</w:t>
                  </w:r>
                </w:p>
              </w:tc>
            </w:tr>
          </w:tbl>
          <w:p w14:paraId="085B09BD"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p>
          <w:p w14:paraId="27914225"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lastRenderedPageBreak/>
              <w:t>Visitors response to the frequently visitation to tourist centres</w:t>
            </w:r>
          </w:p>
          <w:p w14:paraId="0AA35EE9"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p>
        </w:tc>
      </w:tr>
      <w:tr w:rsidR="00A63CD3" w:rsidRPr="000704D9" w14:paraId="2CEF0473" w14:textId="77777777" w:rsidTr="000704D9">
        <w:tc>
          <w:tcPr>
            <w:tcW w:w="9017" w:type="dxa"/>
            <w:shd w:val="clear" w:color="auto" w:fill="auto"/>
          </w:tcPr>
          <w:tbl>
            <w:tblPr>
              <w:tblW w:w="8969" w:type="dxa"/>
              <w:tblLook w:val="04A0" w:firstRow="1" w:lastRow="0" w:firstColumn="1" w:lastColumn="0" w:noHBand="0" w:noVBand="1"/>
            </w:tblPr>
            <w:tblGrid>
              <w:gridCol w:w="1949"/>
              <w:gridCol w:w="1620"/>
              <w:gridCol w:w="1766"/>
              <w:gridCol w:w="1385"/>
              <w:gridCol w:w="833"/>
              <w:gridCol w:w="1416"/>
            </w:tblGrid>
            <w:tr w:rsidR="00A63CD3" w:rsidRPr="000704D9" w14:paraId="43467C53" w14:textId="77777777" w:rsidTr="000704D9">
              <w:tc>
                <w:tcPr>
                  <w:tcW w:w="3575" w:type="dxa"/>
                  <w:gridSpan w:val="2"/>
                  <w:vMerge w:val="restart"/>
                  <w:tcBorders>
                    <w:top w:val="single" w:sz="18" w:space="0" w:color="auto"/>
                  </w:tcBorders>
                  <w:shd w:val="clear" w:color="auto" w:fill="auto"/>
                </w:tcPr>
                <w:p w14:paraId="24CA72F4"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05A8C6FF"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Selected Tourist Centres in Southwest Nigeria</w:t>
                  </w:r>
                </w:p>
                <w:p w14:paraId="36E6DBA3"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tc>
              <w:tc>
                <w:tcPr>
                  <w:tcW w:w="3975" w:type="dxa"/>
                  <w:gridSpan w:val="3"/>
                  <w:tcBorders>
                    <w:top w:val="single" w:sz="18" w:space="0" w:color="auto"/>
                  </w:tcBorders>
                  <w:shd w:val="clear" w:color="auto" w:fill="auto"/>
                </w:tcPr>
                <w:p w14:paraId="5184BC21"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p w14:paraId="6C321581"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Visitors response to the frequently visitation to tourist centres</w:t>
                  </w:r>
                </w:p>
              </w:tc>
              <w:tc>
                <w:tcPr>
                  <w:tcW w:w="1419" w:type="dxa"/>
                  <w:vMerge w:val="restart"/>
                  <w:tcBorders>
                    <w:top w:val="single" w:sz="18" w:space="0" w:color="auto"/>
                  </w:tcBorders>
                  <w:shd w:val="clear" w:color="auto" w:fill="auto"/>
                </w:tcPr>
                <w:p w14:paraId="586FD5B2"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p>
                <w:p w14:paraId="5565F3CA"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 xml:space="preserve">Total </w:t>
                  </w:r>
                </w:p>
              </w:tc>
            </w:tr>
            <w:tr w:rsidR="00A63CD3" w:rsidRPr="000704D9" w14:paraId="0BB8BDD0" w14:textId="77777777" w:rsidTr="000704D9">
              <w:tc>
                <w:tcPr>
                  <w:tcW w:w="3575" w:type="dxa"/>
                  <w:gridSpan w:val="2"/>
                  <w:vMerge/>
                  <w:tcBorders>
                    <w:bottom w:val="single" w:sz="8" w:space="0" w:color="auto"/>
                  </w:tcBorders>
                  <w:shd w:val="clear" w:color="auto" w:fill="auto"/>
                </w:tcPr>
                <w:p w14:paraId="021C643B"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p>
              </w:tc>
              <w:tc>
                <w:tcPr>
                  <w:tcW w:w="1772" w:type="dxa"/>
                  <w:tcBorders>
                    <w:bottom w:val="single" w:sz="8" w:space="0" w:color="auto"/>
                  </w:tcBorders>
                  <w:shd w:val="clear" w:color="auto" w:fill="auto"/>
                </w:tcPr>
                <w:p w14:paraId="163DEA60"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Once a year</w:t>
                  </w:r>
                </w:p>
              </w:tc>
              <w:tc>
                <w:tcPr>
                  <w:tcW w:w="1389" w:type="dxa"/>
                  <w:tcBorders>
                    <w:bottom w:val="single" w:sz="8" w:space="0" w:color="auto"/>
                  </w:tcBorders>
                  <w:shd w:val="clear" w:color="auto" w:fill="auto"/>
                </w:tcPr>
                <w:p w14:paraId="60552E88"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Twice a year</w:t>
                  </w:r>
                </w:p>
              </w:tc>
              <w:tc>
                <w:tcPr>
                  <w:tcW w:w="814" w:type="dxa"/>
                  <w:tcBorders>
                    <w:bottom w:val="single" w:sz="8" w:space="0" w:color="auto"/>
                  </w:tcBorders>
                  <w:shd w:val="clear" w:color="auto" w:fill="auto"/>
                </w:tcPr>
                <w:p w14:paraId="3EE6F717" w14:textId="77777777" w:rsidR="00A63CD3" w:rsidRPr="000704D9" w:rsidRDefault="00A63CD3" w:rsidP="000704D9">
                  <w:pPr>
                    <w:spacing w:after="0" w:line="240" w:lineRule="auto"/>
                    <w:rPr>
                      <w:rFonts w:ascii="Times New Roman" w:eastAsia="Calibri" w:hAnsi="Times New Roman" w:cs="Times New Roman"/>
                      <w:bCs/>
                      <w:color w:val="000000" w:themeColor="text1"/>
                      <w:sz w:val="20"/>
                      <w:szCs w:val="20"/>
                    </w:rPr>
                  </w:pPr>
                  <w:r w:rsidRPr="000704D9">
                    <w:rPr>
                      <w:rFonts w:ascii="Times New Roman" w:eastAsia="Calibri" w:hAnsi="Times New Roman" w:cs="Times New Roman"/>
                      <w:bCs/>
                      <w:color w:val="000000" w:themeColor="text1"/>
                      <w:sz w:val="20"/>
                      <w:szCs w:val="20"/>
                    </w:rPr>
                    <w:t>More than twice a year</w:t>
                  </w:r>
                </w:p>
              </w:tc>
              <w:tc>
                <w:tcPr>
                  <w:tcW w:w="1419" w:type="dxa"/>
                  <w:vMerge/>
                  <w:tcBorders>
                    <w:bottom w:val="single" w:sz="8" w:space="0" w:color="auto"/>
                  </w:tcBorders>
                  <w:shd w:val="clear" w:color="auto" w:fill="auto"/>
                </w:tcPr>
                <w:p w14:paraId="3DA20579"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p>
              </w:tc>
            </w:tr>
            <w:tr w:rsidR="00A63CD3" w:rsidRPr="000704D9" w14:paraId="74F4FCEF" w14:textId="77777777" w:rsidTr="000704D9">
              <w:tc>
                <w:tcPr>
                  <w:tcW w:w="1954" w:type="dxa"/>
                  <w:vMerge w:val="restart"/>
                  <w:tcBorders>
                    <w:top w:val="single" w:sz="8" w:space="0" w:color="auto"/>
                  </w:tcBorders>
                  <w:shd w:val="clear" w:color="auto" w:fill="auto"/>
                </w:tcPr>
                <w:p w14:paraId="495699A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1A513AE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Ekiti</w:t>
                  </w:r>
                </w:p>
              </w:tc>
              <w:tc>
                <w:tcPr>
                  <w:tcW w:w="1621" w:type="dxa"/>
                  <w:tcBorders>
                    <w:top w:val="single" w:sz="8" w:space="0" w:color="auto"/>
                  </w:tcBorders>
                </w:tcPr>
                <w:p w14:paraId="394DF30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1772" w:type="dxa"/>
                  <w:tcBorders>
                    <w:top w:val="single" w:sz="8" w:space="0" w:color="auto"/>
                  </w:tcBorders>
                  <w:shd w:val="clear" w:color="auto" w:fill="auto"/>
                </w:tcPr>
                <w:p w14:paraId="7E71537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8</w:t>
                  </w:r>
                </w:p>
              </w:tc>
              <w:tc>
                <w:tcPr>
                  <w:tcW w:w="1389" w:type="dxa"/>
                  <w:tcBorders>
                    <w:top w:val="single" w:sz="8" w:space="0" w:color="auto"/>
                  </w:tcBorders>
                  <w:shd w:val="clear" w:color="auto" w:fill="auto"/>
                </w:tcPr>
                <w:p w14:paraId="5C9B189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25</w:t>
                  </w:r>
                </w:p>
              </w:tc>
              <w:tc>
                <w:tcPr>
                  <w:tcW w:w="814" w:type="dxa"/>
                  <w:tcBorders>
                    <w:top w:val="single" w:sz="8" w:space="0" w:color="auto"/>
                  </w:tcBorders>
                  <w:shd w:val="clear" w:color="auto" w:fill="auto"/>
                </w:tcPr>
                <w:p w14:paraId="450AA96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25</w:t>
                  </w:r>
                </w:p>
              </w:tc>
              <w:tc>
                <w:tcPr>
                  <w:tcW w:w="1419" w:type="dxa"/>
                  <w:tcBorders>
                    <w:top w:val="single" w:sz="8" w:space="0" w:color="auto"/>
                  </w:tcBorders>
                  <w:shd w:val="clear" w:color="auto" w:fill="auto"/>
                </w:tcPr>
                <w:p w14:paraId="4512954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58</w:t>
                  </w:r>
                </w:p>
              </w:tc>
            </w:tr>
            <w:tr w:rsidR="00A63CD3" w:rsidRPr="000704D9" w14:paraId="4CD3A636" w14:textId="77777777" w:rsidTr="000704D9">
              <w:tc>
                <w:tcPr>
                  <w:tcW w:w="1954" w:type="dxa"/>
                  <w:vMerge/>
                  <w:shd w:val="clear" w:color="auto" w:fill="auto"/>
                </w:tcPr>
                <w:p w14:paraId="7598559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1621" w:type="dxa"/>
                </w:tcPr>
                <w:p w14:paraId="7019140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w:t>
                  </w:r>
                </w:p>
              </w:tc>
              <w:tc>
                <w:tcPr>
                  <w:tcW w:w="1772" w:type="dxa"/>
                  <w:shd w:val="clear" w:color="auto" w:fill="auto"/>
                </w:tcPr>
                <w:p w14:paraId="0D21CF4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13.8%</w:t>
                  </w:r>
                </w:p>
              </w:tc>
              <w:tc>
                <w:tcPr>
                  <w:tcW w:w="1389" w:type="dxa"/>
                  <w:shd w:val="clear" w:color="auto" w:fill="auto"/>
                </w:tcPr>
                <w:p w14:paraId="6519609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43.1%</w:t>
                  </w:r>
                </w:p>
              </w:tc>
              <w:tc>
                <w:tcPr>
                  <w:tcW w:w="814" w:type="dxa"/>
                  <w:shd w:val="clear" w:color="auto" w:fill="auto"/>
                </w:tcPr>
                <w:p w14:paraId="199C12A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43.1%</w:t>
                  </w:r>
                </w:p>
              </w:tc>
              <w:tc>
                <w:tcPr>
                  <w:tcW w:w="1419" w:type="dxa"/>
                  <w:shd w:val="clear" w:color="auto" w:fill="auto"/>
                </w:tcPr>
                <w:p w14:paraId="138412D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A63CD3" w:rsidRPr="000704D9" w14:paraId="70FD3EF9" w14:textId="77777777" w:rsidTr="000704D9">
              <w:tc>
                <w:tcPr>
                  <w:tcW w:w="1954" w:type="dxa"/>
                  <w:vMerge w:val="restart"/>
                  <w:shd w:val="clear" w:color="auto" w:fill="auto"/>
                </w:tcPr>
                <w:p w14:paraId="6E9C32D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795852E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Osun</w:t>
                  </w:r>
                </w:p>
              </w:tc>
              <w:tc>
                <w:tcPr>
                  <w:tcW w:w="1621" w:type="dxa"/>
                </w:tcPr>
                <w:p w14:paraId="4C71434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1772" w:type="dxa"/>
                  <w:shd w:val="clear" w:color="auto" w:fill="auto"/>
                </w:tcPr>
                <w:p w14:paraId="302DFEA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389" w:type="dxa"/>
                  <w:shd w:val="clear" w:color="auto" w:fill="auto"/>
                </w:tcPr>
                <w:p w14:paraId="6F8E8DE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14" w:type="dxa"/>
                  <w:shd w:val="clear" w:color="auto" w:fill="auto"/>
                </w:tcPr>
                <w:p w14:paraId="4AE5C25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19</w:t>
                  </w:r>
                </w:p>
              </w:tc>
              <w:tc>
                <w:tcPr>
                  <w:tcW w:w="1419" w:type="dxa"/>
                  <w:shd w:val="clear" w:color="auto" w:fill="auto"/>
                </w:tcPr>
                <w:p w14:paraId="6B5D2FB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19</w:t>
                  </w:r>
                </w:p>
              </w:tc>
            </w:tr>
            <w:tr w:rsidR="00A63CD3" w:rsidRPr="000704D9" w14:paraId="40476B5A" w14:textId="77777777" w:rsidTr="000704D9">
              <w:tc>
                <w:tcPr>
                  <w:tcW w:w="1954" w:type="dxa"/>
                  <w:vMerge/>
                  <w:shd w:val="clear" w:color="auto" w:fill="auto"/>
                </w:tcPr>
                <w:p w14:paraId="3E65C41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1621" w:type="dxa"/>
                </w:tcPr>
                <w:p w14:paraId="6120033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w:t>
                  </w:r>
                </w:p>
              </w:tc>
              <w:tc>
                <w:tcPr>
                  <w:tcW w:w="1772" w:type="dxa"/>
                  <w:shd w:val="clear" w:color="auto" w:fill="auto"/>
                </w:tcPr>
                <w:p w14:paraId="2428278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1389" w:type="dxa"/>
                  <w:shd w:val="clear" w:color="auto" w:fill="auto"/>
                </w:tcPr>
                <w:p w14:paraId="33822C8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14" w:type="dxa"/>
                  <w:shd w:val="clear" w:color="auto" w:fill="auto"/>
                </w:tcPr>
                <w:p w14:paraId="23F23A5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c>
                <w:tcPr>
                  <w:tcW w:w="1419" w:type="dxa"/>
                  <w:shd w:val="clear" w:color="auto" w:fill="auto"/>
                </w:tcPr>
                <w:p w14:paraId="1EB5D20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A63CD3" w:rsidRPr="000704D9" w14:paraId="014B54F4" w14:textId="77777777" w:rsidTr="000704D9">
              <w:tc>
                <w:tcPr>
                  <w:tcW w:w="1954" w:type="dxa"/>
                  <w:vMerge w:val="restart"/>
                  <w:shd w:val="clear" w:color="auto" w:fill="auto"/>
                </w:tcPr>
                <w:p w14:paraId="0EEE2B7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62076BC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Ogun</w:t>
                  </w:r>
                </w:p>
              </w:tc>
              <w:tc>
                <w:tcPr>
                  <w:tcW w:w="1621" w:type="dxa"/>
                </w:tcPr>
                <w:p w14:paraId="51BE4D1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1772" w:type="dxa"/>
                  <w:shd w:val="clear" w:color="auto" w:fill="auto"/>
                </w:tcPr>
                <w:p w14:paraId="0CA0541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8</w:t>
                  </w:r>
                </w:p>
              </w:tc>
              <w:tc>
                <w:tcPr>
                  <w:tcW w:w="1389" w:type="dxa"/>
                  <w:shd w:val="clear" w:color="auto" w:fill="auto"/>
                </w:tcPr>
                <w:p w14:paraId="7DC7671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22</w:t>
                  </w:r>
                </w:p>
              </w:tc>
              <w:tc>
                <w:tcPr>
                  <w:tcW w:w="814" w:type="dxa"/>
                  <w:shd w:val="clear" w:color="auto" w:fill="auto"/>
                </w:tcPr>
                <w:p w14:paraId="65CB1B5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40</w:t>
                  </w:r>
                </w:p>
              </w:tc>
              <w:tc>
                <w:tcPr>
                  <w:tcW w:w="1419" w:type="dxa"/>
                  <w:shd w:val="clear" w:color="auto" w:fill="auto"/>
                </w:tcPr>
                <w:p w14:paraId="3BE5FDE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70</w:t>
                  </w:r>
                </w:p>
              </w:tc>
            </w:tr>
            <w:tr w:rsidR="00A63CD3" w:rsidRPr="000704D9" w14:paraId="6295172B" w14:textId="77777777" w:rsidTr="000704D9">
              <w:tc>
                <w:tcPr>
                  <w:tcW w:w="1954" w:type="dxa"/>
                  <w:vMerge/>
                  <w:shd w:val="clear" w:color="auto" w:fill="auto"/>
                </w:tcPr>
                <w:p w14:paraId="4206BEA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1621" w:type="dxa"/>
                </w:tcPr>
                <w:p w14:paraId="17CDC8D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w:t>
                  </w:r>
                </w:p>
              </w:tc>
              <w:tc>
                <w:tcPr>
                  <w:tcW w:w="1772" w:type="dxa"/>
                  <w:shd w:val="clear" w:color="auto" w:fill="auto"/>
                </w:tcPr>
                <w:p w14:paraId="4C9FBFA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11.4%</w:t>
                  </w:r>
                </w:p>
              </w:tc>
              <w:tc>
                <w:tcPr>
                  <w:tcW w:w="1389" w:type="dxa"/>
                  <w:shd w:val="clear" w:color="auto" w:fill="auto"/>
                </w:tcPr>
                <w:p w14:paraId="2788E6D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31.4%</w:t>
                  </w:r>
                </w:p>
              </w:tc>
              <w:tc>
                <w:tcPr>
                  <w:tcW w:w="814" w:type="dxa"/>
                  <w:shd w:val="clear" w:color="auto" w:fill="auto"/>
                </w:tcPr>
                <w:p w14:paraId="4A0D09F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57.1%</w:t>
                  </w:r>
                </w:p>
              </w:tc>
              <w:tc>
                <w:tcPr>
                  <w:tcW w:w="1419" w:type="dxa"/>
                  <w:shd w:val="clear" w:color="auto" w:fill="auto"/>
                </w:tcPr>
                <w:p w14:paraId="7144419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A63CD3" w:rsidRPr="000704D9" w14:paraId="60C84A06" w14:textId="77777777" w:rsidTr="000704D9">
              <w:tc>
                <w:tcPr>
                  <w:tcW w:w="1954" w:type="dxa"/>
                  <w:vMerge w:val="restart"/>
                  <w:shd w:val="clear" w:color="auto" w:fill="auto"/>
                </w:tcPr>
                <w:p w14:paraId="0CA6BA3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7343AC65"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Oyo</w:t>
                  </w:r>
                </w:p>
              </w:tc>
              <w:tc>
                <w:tcPr>
                  <w:tcW w:w="1621" w:type="dxa"/>
                </w:tcPr>
                <w:p w14:paraId="063990A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1772" w:type="dxa"/>
                  <w:shd w:val="clear" w:color="auto" w:fill="auto"/>
                </w:tcPr>
                <w:p w14:paraId="696F618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w:t>
                  </w:r>
                </w:p>
              </w:tc>
              <w:tc>
                <w:tcPr>
                  <w:tcW w:w="1389" w:type="dxa"/>
                  <w:shd w:val="clear" w:color="auto" w:fill="auto"/>
                </w:tcPr>
                <w:p w14:paraId="70FCA85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w:t>
                  </w:r>
                </w:p>
              </w:tc>
              <w:tc>
                <w:tcPr>
                  <w:tcW w:w="814" w:type="dxa"/>
                  <w:shd w:val="clear" w:color="auto" w:fill="auto"/>
                </w:tcPr>
                <w:p w14:paraId="27D22171"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46</w:t>
                  </w:r>
                </w:p>
              </w:tc>
              <w:tc>
                <w:tcPr>
                  <w:tcW w:w="1419" w:type="dxa"/>
                  <w:shd w:val="clear" w:color="auto" w:fill="auto"/>
                </w:tcPr>
                <w:p w14:paraId="4359A2D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53</w:t>
                  </w:r>
                </w:p>
              </w:tc>
            </w:tr>
            <w:tr w:rsidR="00A63CD3" w:rsidRPr="000704D9" w14:paraId="66E87F6E" w14:textId="77777777" w:rsidTr="000704D9">
              <w:tc>
                <w:tcPr>
                  <w:tcW w:w="1954" w:type="dxa"/>
                  <w:vMerge/>
                  <w:shd w:val="clear" w:color="auto" w:fill="auto"/>
                </w:tcPr>
                <w:p w14:paraId="7ECCAC0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1621" w:type="dxa"/>
                </w:tcPr>
                <w:p w14:paraId="0CF19A2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w:t>
                  </w:r>
                </w:p>
              </w:tc>
              <w:tc>
                <w:tcPr>
                  <w:tcW w:w="1772" w:type="dxa"/>
                  <w:shd w:val="clear" w:color="auto" w:fill="auto"/>
                </w:tcPr>
                <w:p w14:paraId="2BB3E12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1.9%</w:t>
                  </w:r>
                </w:p>
              </w:tc>
              <w:tc>
                <w:tcPr>
                  <w:tcW w:w="1389" w:type="dxa"/>
                  <w:shd w:val="clear" w:color="auto" w:fill="auto"/>
                </w:tcPr>
                <w:p w14:paraId="2ED148D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11.3%</w:t>
                  </w:r>
                </w:p>
              </w:tc>
              <w:tc>
                <w:tcPr>
                  <w:tcW w:w="814" w:type="dxa"/>
                  <w:shd w:val="clear" w:color="auto" w:fill="auto"/>
                </w:tcPr>
                <w:p w14:paraId="2DE5533A"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86.8%</w:t>
                  </w:r>
                </w:p>
              </w:tc>
              <w:tc>
                <w:tcPr>
                  <w:tcW w:w="1419" w:type="dxa"/>
                  <w:shd w:val="clear" w:color="auto" w:fill="auto"/>
                </w:tcPr>
                <w:p w14:paraId="51B6A51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A63CD3" w:rsidRPr="000704D9" w14:paraId="64423518" w14:textId="77777777" w:rsidTr="000704D9">
              <w:tc>
                <w:tcPr>
                  <w:tcW w:w="1954" w:type="dxa"/>
                  <w:vMerge w:val="restart"/>
                  <w:shd w:val="clear" w:color="auto" w:fill="auto"/>
                </w:tcPr>
                <w:p w14:paraId="006D868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04CE2A7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Lagos</w:t>
                  </w:r>
                </w:p>
              </w:tc>
              <w:tc>
                <w:tcPr>
                  <w:tcW w:w="1621" w:type="dxa"/>
                </w:tcPr>
                <w:p w14:paraId="744070D2"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1772" w:type="dxa"/>
                  <w:shd w:val="clear" w:color="auto" w:fill="auto"/>
                </w:tcPr>
                <w:p w14:paraId="6735203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7</w:t>
                  </w:r>
                </w:p>
              </w:tc>
              <w:tc>
                <w:tcPr>
                  <w:tcW w:w="1389" w:type="dxa"/>
                  <w:shd w:val="clear" w:color="auto" w:fill="auto"/>
                </w:tcPr>
                <w:p w14:paraId="7C216BD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25</w:t>
                  </w:r>
                </w:p>
              </w:tc>
              <w:tc>
                <w:tcPr>
                  <w:tcW w:w="814" w:type="dxa"/>
                  <w:shd w:val="clear" w:color="auto" w:fill="auto"/>
                </w:tcPr>
                <w:p w14:paraId="2933081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55</w:t>
                  </w:r>
                </w:p>
              </w:tc>
              <w:tc>
                <w:tcPr>
                  <w:tcW w:w="1419" w:type="dxa"/>
                  <w:shd w:val="clear" w:color="auto" w:fill="auto"/>
                </w:tcPr>
                <w:p w14:paraId="25CA7DA0"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87</w:t>
                  </w:r>
                </w:p>
              </w:tc>
            </w:tr>
            <w:tr w:rsidR="00A63CD3" w:rsidRPr="000704D9" w14:paraId="454179BE" w14:textId="77777777" w:rsidTr="000704D9">
              <w:tc>
                <w:tcPr>
                  <w:tcW w:w="1954" w:type="dxa"/>
                  <w:vMerge/>
                  <w:shd w:val="clear" w:color="auto" w:fill="auto"/>
                </w:tcPr>
                <w:p w14:paraId="5AFBCEF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1621" w:type="dxa"/>
                </w:tcPr>
                <w:p w14:paraId="0940574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w:t>
                  </w:r>
                </w:p>
              </w:tc>
              <w:tc>
                <w:tcPr>
                  <w:tcW w:w="1772" w:type="dxa"/>
                  <w:shd w:val="clear" w:color="auto" w:fill="auto"/>
                </w:tcPr>
                <w:p w14:paraId="04617F23"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8.0%</w:t>
                  </w:r>
                </w:p>
              </w:tc>
              <w:tc>
                <w:tcPr>
                  <w:tcW w:w="1389" w:type="dxa"/>
                  <w:shd w:val="clear" w:color="auto" w:fill="auto"/>
                </w:tcPr>
                <w:p w14:paraId="2B571F9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28.7%</w:t>
                  </w:r>
                </w:p>
              </w:tc>
              <w:tc>
                <w:tcPr>
                  <w:tcW w:w="814" w:type="dxa"/>
                  <w:shd w:val="clear" w:color="auto" w:fill="auto"/>
                </w:tcPr>
                <w:p w14:paraId="4864587F"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63.2%</w:t>
                  </w:r>
                </w:p>
              </w:tc>
              <w:tc>
                <w:tcPr>
                  <w:tcW w:w="1419" w:type="dxa"/>
                  <w:shd w:val="clear" w:color="auto" w:fill="auto"/>
                </w:tcPr>
                <w:p w14:paraId="4CA3DC2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A63CD3" w:rsidRPr="000704D9" w14:paraId="2D5D0A55" w14:textId="77777777" w:rsidTr="000704D9">
              <w:tc>
                <w:tcPr>
                  <w:tcW w:w="1954" w:type="dxa"/>
                  <w:vMerge w:val="restart"/>
                  <w:shd w:val="clear" w:color="auto" w:fill="auto"/>
                </w:tcPr>
                <w:p w14:paraId="7BE842F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p w14:paraId="185EE35E"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Ondo</w:t>
                  </w:r>
                </w:p>
              </w:tc>
              <w:tc>
                <w:tcPr>
                  <w:tcW w:w="1621" w:type="dxa"/>
                </w:tcPr>
                <w:p w14:paraId="0B453F9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Frequency</w:t>
                  </w:r>
                </w:p>
              </w:tc>
              <w:tc>
                <w:tcPr>
                  <w:tcW w:w="1772" w:type="dxa"/>
                  <w:shd w:val="clear" w:color="auto" w:fill="auto"/>
                </w:tcPr>
                <w:p w14:paraId="7AA4CD9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5</w:t>
                  </w:r>
                </w:p>
              </w:tc>
              <w:tc>
                <w:tcPr>
                  <w:tcW w:w="1389" w:type="dxa"/>
                  <w:shd w:val="clear" w:color="auto" w:fill="auto"/>
                </w:tcPr>
                <w:p w14:paraId="1F70A008"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14" w:type="dxa"/>
                  <w:shd w:val="clear" w:color="auto" w:fill="auto"/>
                </w:tcPr>
                <w:p w14:paraId="3EB81BF6"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25</w:t>
                  </w:r>
                </w:p>
              </w:tc>
              <w:tc>
                <w:tcPr>
                  <w:tcW w:w="1419" w:type="dxa"/>
                  <w:shd w:val="clear" w:color="auto" w:fill="auto"/>
                </w:tcPr>
                <w:p w14:paraId="38158A07"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30</w:t>
                  </w:r>
                </w:p>
              </w:tc>
            </w:tr>
            <w:tr w:rsidR="00A63CD3" w:rsidRPr="000704D9" w14:paraId="32D4F4B8" w14:textId="77777777" w:rsidTr="000704D9">
              <w:tc>
                <w:tcPr>
                  <w:tcW w:w="1954" w:type="dxa"/>
                  <w:vMerge/>
                  <w:shd w:val="clear" w:color="auto" w:fill="auto"/>
                </w:tcPr>
                <w:p w14:paraId="656225E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p>
              </w:tc>
              <w:tc>
                <w:tcPr>
                  <w:tcW w:w="1621" w:type="dxa"/>
                </w:tcPr>
                <w:p w14:paraId="01553CFB"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Percentage(%)</w:t>
                  </w:r>
                </w:p>
              </w:tc>
              <w:tc>
                <w:tcPr>
                  <w:tcW w:w="1772" w:type="dxa"/>
                  <w:shd w:val="clear" w:color="auto" w:fill="auto"/>
                </w:tcPr>
                <w:p w14:paraId="3E111AC9"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16.7%</w:t>
                  </w:r>
                </w:p>
              </w:tc>
              <w:tc>
                <w:tcPr>
                  <w:tcW w:w="1389" w:type="dxa"/>
                  <w:shd w:val="clear" w:color="auto" w:fill="auto"/>
                </w:tcPr>
                <w:p w14:paraId="313D744D"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w:t>
                  </w:r>
                </w:p>
              </w:tc>
              <w:tc>
                <w:tcPr>
                  <w:tcW w:w="814" w:type="dxa"/>
                  <w:shd w:val="clear" w:color="auto" w:fill="auto"/>
                </w:tcPr>
                <w:p w14:paraId="1DA386C4"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83.3%</w:t>
                  </w:r>
                </w:p>
              </w:tc>
              <w:tc>
                <w:tcPr>
                  <w:tcW w:w="1419" w:type="dxa"/>
                  <w:shd w:val="clear" w:color="auto" w:fill="auto"/>
                </w:tcPr>
                <w:p w14:paraId="2575CA0C" w14:textId="77777777" w:rsidR="00A63CD3" w:rsidRPr="000704D9" w:rsidRDefault="00A63CD3" w:rsidP="000704D9">
                  <w:pPr>
                    <w:spacing w:after="0" w:line="240" w:lineRule="auto"/>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100.0%</w:t>
                  </w:r>
                </w:p>
              </w:tc>
            </w:tr>
            <w:tr w:rsidR="00A63CD3" w:rsidRPr="000704D9" w14:paraId="70C4095B" w14:textId="77777777" w:rsidTr="000704D9">
              <w:tc>
                <w:tcPr>
                  <w:tcW w:w="1954" w:type="dxa"/>
                  <w:vMerge w:val="restart"/>
                  <w:shd w:val="clear" w:color="auto" w:fill="auto"/>
                </w:tcPr>
                <w:p w14:paraId="2EBCFFD3"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p>
                <w:p w14:paraId="23AF1859"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TOTAL</w:t>
                  </w:r>
                </w:p>
              </w:tc>
              <w:tc>
                <w:tcPr>
                  <w:tcW w:w="1621" w:type="dxa"/>
                </w:tcPr>
                <w:p w14:paraId="0F45C7E1"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Frequency</w:t>
                  </w:r>
                </w:p>
              </w:tc>
              <w:tc>
                <w:tcPr>
                  <w:tcW w:w="1772" w:type="dxa"/>
                  <w:shd w:val="clear" w:color="auto" w:fill="auto"/>
                </w:tcPr>
                <w:p w14:paraId="0311C966"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29</w:t>
                  </w:r>
                </w:p>
              </w:tc>
              <w:tc>
                <w:tcPr>
                  <w:tcW w:w="1389" w:type="dxa"/>
                  <w:shd w:val="clear" w:color="auto" w:fill="auto"/>
                </w:tcPr>
                <w:p w14:paraId="5C680C8B"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78</w:t>
                  </w:r>
                </w:p>
              </w:tc>
              <w:tc>
                <w:tcPr>
                  <w:tcW w:w="814" w:type="dxa"/>
                  <w:shd w:val="clear" w:color="auto" w:fill="auto"/>
                </w:tcPr>
                <w:p w14:paraId="1EB61D12"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210</w:t>
                  </w:r>
                </w:p>
              </w:tc>
              <w:tc>
                <w:tcPr>
                  <w:tcW w:w="1419" w:type="dxa"/>
                  <w:shd w:val="clear" w:color="auto" w:fill="auto"/>
                </w:tcPr>
                <w:p w14:paraId="4B860D96"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317</w:t>
                  </w:r>
                </w:p>
              </w:tc>
            </w:tr>
            <w:tr w:rsidR="00A63CD3" w:rsidRPr="000704D9" w14:paraId="0E134020" w14:textId="77777777" w:rsidTr="000704D9">
              <w:tc>
                <w:tcPr>
                  <w:tcW w:w="1954" w:type="dxa"/>
                  <w:vMerge/>
                  <w:tcBorders>
                    <w:bottom w:val="single" w:sz="18" w:space="0" w:color="auto"/>
                  </w:tcBorders>
                  <w:shd w:val="clear" w:color="auto" w:fill="auto"/>
                </w:tcPr>
                <w:p w14:paraId="2BA7EE68"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p>
              </w:tc>
              <w:tc>
                <w:tcPr>
                  <w:tcW w:w="1621" w:type="dxa"/>
                  <w:tcBorders>
                    <w:bottom w:val="single" w:sz="18" w:space="0" w:color="auto"/>
                  </w:tcBorders>
                </w:tcPr>
                <w:p w14:paraId="6471D97B"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Percentage(%)</w:t>
                  </w:r>
                </w:p>
              </w:tc>
              <w:tc>
                <w:tcPr>
                  <w:tcW w:w="1772" w:type="dxa"/>
                  <w:tcBorders>
                    <w:bottom w:val="single" w:sz="18" w:space="0" w:color="auto"/>
                  </w:tcBorders>
                  <w:shd w:val="clear" w:color="auto" w:fill="auto"/>
                </w:tcPr>
                <w:p w14:paraId="7EB12B61"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9.1%</w:t>
                  </w:r>
                </w:p>
              </w:tc>
              <w:tc>
                <w:tcPr>
                  <w:tcW w:w="1389" w:type="dxa"/>
                  <w:tcBorders>
                    <w:bottom w:val="single" w:sz="18" w:space="0" w:color="auto"/>
                  </w:tcBorders>
                  <w:shd w:val="clear" w:color="auto" w:fill="auto"/>
                </w:tcPr>
                <w:p w14:paraId="6DDA376C"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24.6%</w:t>
                  </w:r>
                </w:p>
              </w:tc>
              <w:tc>
                <w:tcPr>
                  <w:tcW w:w="814" w:type="dxa"/>
                  <w:tcBorders>
                    <w:bottom w:val="single" w:sz="18" w:space="0" w:color="auto"/>
                  </w:tcBorders>
                  <w:shd w:val="clear" w:color="auto" w:fill="auto"/>
                </w:tcPr>
                <w:p w14:paraId="678D2EEE"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66.2%</w:t>
                  </w:r>
                </w:p>
              </w:tc>
              <w:tc>
                <w:tcPr>
                  <w:tcW w:w="1419" w:type="dxa"/>
                  <w:tcBorders>
                    <w:bottom w:val="single" w:sz="18" w:space="0" w:color="auto"/>
                  </w:tcBorders>
                  <w:shd w:val="clear" w:color="auto" w:fill="auto"/>
                </w:tcPr>
                <w:p w14:paraId="2E4E54AD"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100.0%</w:t>
                  </w:r>
                </w:p>
              </w:tc>
            </w:tr>
          </w:tbl>
          <w:p w14:paraId="138FC5D9"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p>
          <w:p w14:paraId="0DA5CE7B"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Visitors’ response to the purpose of visitation to tourist centres</w:t>
            </w:r>
          </w:p>
        </w:tc>
      </w:tr>
      <w:tr w:rsidR="00A63CD3" w:rsidRPr="000704D9" w14:paraId="51F2EB56" w14:textId="77777777" w:rsidTr="000704D9">
        <w:tc>
          <w:tcPr>
            <w:tcW w:w="9017" w:type="dxa"/>
            <w:shd w:val="clear" w:color="auto" w:fill="auto"/>
          </w:tcPr>
          <w:tbl>
            <w:tblPr>
              <w:tblW w:w="8963" w:type="dxa"/>
              <w:tblLook w:val="04A0" w:firstRow="1" w:lastRow="0" w:firstColumn="1" w:lastColumn="0" w:noHBand="0" w:noVBand="1"/>
            </w:tblPr>
            <w:tblGrid>
              <w:gridCol w:w="1782"/>
              <w:gridCol w:w="1699"/>
              <w:gridCol w:w="1507"/>
              <w:gridCol w:w="1438"/>
              <w:gridCol w:w="1172"/>
              <w:gridCol w:w="1365"/>
            </w:tblGrid>
            <w:tr w:rsidR="00A63CD3" w:rsidRPr="000704D9" w14:paraId="71F06132" w14:textId="77777777" w:rsidTr="000704D9">
              <w:tc>
                <w:tcPr>
                  <w:tcW w:w="3618" w:type="dxa"/>
                  <w:gridSpan w:val="2"/>
                  <w:vMerge w:val="restart"/>
                  <w:tcBorders>
                    <w:top w:val="single" w:sz="18" w:space="0" w:color="auto"/>
                  </w:tcBorders>
                  <w:shd w:val="clear" w:color="auto" w:fill="auto"/>
                </w:tcPr>
                <w:p w14:paraId="688A795B"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p>
                <w:p w14:paraId="235E8023"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Selected Tourist Centres in Southwest Nigeria</w:t>
                  </w:r>
                </w:p>
                <w:p w14:paraId="7B667DA7"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p>
              </w:tc>
              <w:tc>
                <w:tcPr>
                  <w:tcW w:w="3932" w:type="dxa"/>
                  <w:gridSpan w:val="3"/>
                  <w:tcBorders>
                    <w:top w:val="single" w:sz="18" w:space="0" w:color="auto"/>
                  </w:tcBorders>
                  <w:shd w:val="clear" w:color="auto" w:fill="auto"/>
                </w:tcPr>
                <w:p w14:paraId="25EF5FB0"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Visitors’ response to the purpose of visitation to tourist centres</w:t>
                  </w:r>
                </w:p>
              </w:tc>
              <w:tc>
                <w:tcPr>
                  <w:tcW w:w="1413" w:type="dxa"/>
                  <w:vMerge w:val="restart"/>
                  <w:tcBorders>
                    <w:top w:val="single" w:sz="18" w:space="0" w:color="auto"/>
                  </w:tcBorders>
                  <w:shd w:val="clear" w:color="auto" w:fill="auto"/>
                </w:tcPr>
                <w:p w14:paraId="6B36ABB1"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p>
                <w:p w14:paraId="2B658D74"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 xml:space="preserve">Total </w:t>
                  </w:r>
                </w:p>
              </w:tc>
            </w:tr>
            <w:tr w:rsidR="00A63CD3" w:rsidRPr="000704D9" w14:paraId="159CEAB9" w14:textId="77777777" w:rsidTr="000704D9">
              <w:tc>
                <w:tcPr>
                  <w:tcW w:w="3618" w:type="dxa"/>
                  <w:gridSpan w:val="2"/>
                  <w:vMerge/>
                  <w:tcBorders>
                    <w:bottom w:val="single" w:sz="8" w:space="0" w:color="auto"/>
                  </w:tcBorders>
                  <w:shd w:val="clear" w:color="auto" w:fill="auto"/>
                </w:tcPr>
                <w:p w14:paraId="2DCDB500"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p>
              </w:tc>
              <w:tc>
                <w:tcPr>
                  <w:tcW w:w="1570" w:type="dxa"/>
                  <w:tcBorders>
                    <w:bottom w:val="single" w:sz="8" w:space="0" w:color="auto"/>
                  </w:tcBorders>
                  <w:shd w:val="clear" w:color="auto" w:fill="auto"/>
                </w:tcPr>
                <w:p w14:paraId="47A581F6"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Leisure</w:t>
                  </w:r>
                </w:p>
              </w:tc>
              <w:tc>
                <w:tcPr>
                  <w:tcW w:w="1472" w:type="dxa"/>
                  <w:tcBorders>
                    <w:bottom w:val="single" w:sz="8" w:space="0" w:color="auto"/>
                  </w:tcBorders>
                  <w:shd w:val="clear" w:color="auto" w:fill="auto"/>
                </w:tcPr>
                <w:p w14:paraId="3377A6B7"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Adventure</w:t>
                  </w:r>
                </w:p>
              </w:tc>
              <w:tc>
                <w:tcPr>
                  <w:tcW w:w="890" w:type="dxa"/>
                  <w:tcBorders>
                    <w:bottom w:val="single" w:sz="8" w:space="0" w:color="auto"/>
                  </w:tcBorders>
                  <w:shd w:val="clear" w:color="auto" w:fill="auto"/>
                </w:tcPr>
                <w:p w14:paraId="104386FC"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Educational</w:t>
                  </w:r>
                </w:p>
              </w:tc>
              <w:tc>
                <w:tcPr>
                  <w:tcW w:w="1413" w:type="dxa"/>
                  <w:vMerge/>
                  <w:tcBorders>
                    <w:bottom w:val="single" w:sz="8" w:space="0" w:color="auto"/>
                  </w:tcBorders>
                  <w:shd w:val="clear" w:color="auto" w:fill="auto"/>
                </w:tcPr>
                <w:p w14:paraId="099E367C"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p>
              </w:tc>
            </w:tr>
            <w:tr w:rsidR="00A63CD3" w:rsidRPr="000704D9" w14:paraId="77ADE728" w14:textId="77777777" w:rsidTr="000704D9">
              <w:tc>
                <w:tcPr>
                  <w:tcW w:w="1864" w:type="dxa"/>
                  <w:vMerge w:val="restart"/>
                  <w:tcBorders>
                    <w:top w:val="single" w:sz="8" w:space="0" w:color="auto"/>
                  </w:tcBorders>
                  <w:shd w:val="clear" w:color="auto" w:fill="auto"/>
                </w:tcPr>
                <w:p w14:paraId="3FE56D1C"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p>
                <w:p w14:paraId="5F97A3F6"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Ekiti</w:t>
                  </w:r>
                </w:p>
              </w:tc>
              <w:tc>
                <w:tcPr>
                  <w:tcW w:w="1754" w:type="dxa"/>
                  <w:tcBorders>
                    <w:top w:val="single" w:sz="8" w:space="0" w:color="auto"/>
                  </w:tcBorders>
                </w:tcPr>
                <w:p w14:paraId="5779F792"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Frequency</w:t>
                  </w:r>
                </w:p>
              </w:tc>
              <w:tc>
                <w:tcPr>
                  <w:tcW w:w="1570" w:type="dxa"/>
                  <w:tcBorders>
                    <w:top w:val="single" w:sz="8" w:space="0" w:color="auto"/>
                  </w:tcBorders>
                  <w:shd w:val="clear" w:color="auto" w:fill="auto"/>
                </w:tcPr>
                <w:p w14:paraId="7D1B88C2"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37</w:t>
                  </w:r>
                </w:p>
              </w:tc>
              <w:tc>
                <w:tcPr>
                  <w:tcW w:w="1472" w:type="dxa"/>
                  <w:tcBorders>
                    <w:top w:val="single" w:sz="8" w:space="0" w:color="auto"/>
                  </w:tcBorders>
                  <w:shd w:val="clear" w:color="auto" w:fill="auto"/>
                </w:tcPr>
                <w:p w14:paraId="245A69D2"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6</w:t>
                  </w:r>
                </w:p>
              </w:tc>
              <w:tc>
                <w:tcPr>
                  <w:tcW w:w="890" w:type="dxa"/>
                  <w:tcBorders>
                    <w:top w:val="single" w:sz="8" w:space="0" w:color="auto"/>
                  </w:tcBorders>
                  <w:shd w:val="clear" w:color="auto" w:fill="auto"/>
                </w:tcPr>
                <w:p w14:paraId="3B9A7422"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15</w:t>
                  </w:r>
                </w:p>
              </w:tc>
              <w:tc>
                <w:tcPr>
                  <w:tcW w:w="1413" w:type="dxa"/>
                  <w:tcBorders>
                    <w:top w:val="single" w:sz="8" w:space="0" w:color="auto"/>
                  </w:tcBorders>
                  <w:shd w:val="clear" w:color="auto" w:fill="auto"/>
                </w:tcPr>
                <w:p w14:paraId="2F6603D6"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58</w:t>
                  </w:r>
                </w:p>
              </w:tc>
            </w:tr>
            <w:tr w:rsidR="00A63CD3" w:rsidRPr="000704D9" w14:paraId="3BB784EC" w14:textId="77777777" w:rsidTr="000704D9">
              <w:tc>
                <w:tcPr>
                  <w:tcW w:w="1864" w:type="dxa"/>
                  <w:vMerge/>
                  <w:shd w:val="clear" w:color="auto" w:fill="auto"/>
                </w:tcPr>
                <w:p w14:paraId="6589CF22"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p>
              </w:tc>
              <w:tc>
                <w:tcPr>
                  <w:tcW w:w="1754" w:type="dxa"/>
                </w:tcPr>
                <w:p w14:paraId="72DC30E0"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Percentage (%)</w:t>
                  </w:r>
                </w:p>
              </w:tc>
              <w:tc>
                <w:tcPr>
                  <w:tcW w:w="1570" w:type="dxa"/>
                  <w:shd w:val="clear" w:color="auto" w:fill="auto"/>
                </w:tcPr>
                <w:p w14:paraId="044C064D"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63.8%</w:t>
                  </w:r>
                </w:p>
              </w:tc>
              <w:tc>
                <w:tcPr>
                  <w:tcW w:w="1472" w:type="dxa"/>
                  <w:shd w:val="clear" w:color="auto" w:fill="auto"/>
                </w:tcPr>
                <w:p w14:paraId="739A7470"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10.3%</w:t>
                  </w:r>
                </w:p>
              </w:tc>
              <w:tc>
                <w:tcPr>
                  <w:tcW w:w="890" w:type="dxa"/>
                  <w:shd w:val="clear" w:color="auto" w:fill="auto"/>
                </w:tcPr>
                <w:p w14:paraId="0771DCEF"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25.9%</w:t>
                  </w:r>
                </w:p>
              </w:tc>
              <w:tc>
                <w:tcPr>
                  <w:tcW w:w="1413" w:type="dxa"/>
                  <w:shd w:val="clear" w:color="auto" w:fill="auto"/>
                </w:tcPr>
                <w:p w14:paraId="36357432"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100.0%</w:t>
                  </w:r>
                </w:p>
              </w:tc>
            </w:tr>
            <w:tr w:rsidR="00A63CD3" w:rsidRPr="000704D9" w14:paraId="6239425D" w14:textId="77777777" w:rsidTr="000704D9">
              <w:tc>
                <w:tcPr>
                  <w:tcW w:w="1864" w:type="dxa"/>
                  <w:vMerge w:val="restart"/>
                  <w:shd w:val="clear" w:color="auto" w:fill="auto"/>
                </w:tcPr>
                <w:p w14:paraId="0A7314A6"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p>
                <w:p w14:paraId="7BEBDFA5"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Osun</w:t>
                  </w:r>
                </w:p>
              </w:tc>
              <w:tc>
                <w:tcPr>
                  <w:tcW w:w="1754" w:type="dxa"/>
                </w:tcPr>
                <w:p w14:paraId="22EFB7C0"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Frequency</w:t>
                  </w:r>
                </w:p>
              </w:tc>
              <w:tc>
                <w:tcPr>
                  <w:tcW w:w="1570" w:type="dxa"/>
                  <w:shd w:val="clear" w:color="auto" w:fill="auto"/>
                </w:tcPr>
                <w:p w14:paraId="61690F7F"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w:t>
                  </w:r>
                </w:p>
              </w:tc>
              <w:tc>
                <w:tcPr>
                  <w:tcW w:w="1472" w:type="dxa"/>
                  <w:shd w:val="clear" w:color="auto" w:fill="auto"/>
                </w:tcPr>
                <w:p w14:paraId="168477AC"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10</w:t>
                  </w:r>
                </w:p>
              </w:tc>
              <w:tc>
                <w:tcPr>
                  <w:tcW w:w="890" w:type="dxa"/>
                  <w:shd w:val="clear" w:color="auto" w:fill="auto"/>
                </w:tcPr>
                <w:p w14:paraId="72EFB09D"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9</w:t>
                  </w:r>
                </w:p>
              </w:tc>
              <w:tc>
                <w:tcPr>
                  <w:tcW w:w="1413" w:type="dxa"/>
                  <w:shd w:val="clear" w:color="auto" w:fill="auto"/>
                </w:tcPr>
                <w:p w14:paraId="70575A8A"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19</w:t>
                  </w:r>
                </w:p>
              </w:tc>
            </w:tr>
            <w:tr w:rsidR="00A63CD3" w:rsidRPr="000704D9" w14:paraId="40F62D60" w14:textId="77777777" w:rsidTr="000704D9">
              <w:tc>
                <w:tcPr>
                  <w:tcW w:w="1864" w:type="dxa"/>
                  <w:vMerge/>
                  <w:shd w:val="clear" w:color="auto" w:fill="auto"/>
                </w:tcPr>
                <w:p w14:paraId="49B3C8B8"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p>
              </w:tc>
              <w:tc>
                <w:tcPr>
                  <w:tcW w:w="1754" w:type="dxa"/>
                </w:tcPr>
                <w:p w14:paraId="11281A02"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Percentage (%)</w:t>
                  </w:r>
                </w:p>
              </w:tc>
              <w:tc>
                <w:tcPr>
                  <w:tcW w:w="1570" w:type="dxa"/>
                  <w:shd w:val="clear" w:color="auto" w:fill="auto"/>
                </w:tcPr>
                <w:p w14:paraId="4A7A6610"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w:t>
                  </w:r>
                </w:p>
              </w:tc>
              <w:tc>
                <w:tcPr>
                  <w:tcW w:w="1472" w:type="dxa"/>
                  <w:shd w:val="clear" w:color="auto" w:fill="auto"/>
                </w:tcPr>
                <w:p w14:paraId="54AA5B83"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52.6%</w:t>
                  </w:r>
                </w:p>
              </w:tc>
              <w:tc>
                <w:tcPr>
                  <w:tcW w:w="890" w:type="dxa"/>
                  <w:shd w:val="clear" w:color="auto" w:fill="auto"/>
                </w:tcPr>
                <w:p w14:paraId="2685996B"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47.4%</w:t>
                  </w:r>
                </w:p>
              </w:tc>
              <w:tc>
                <w:tcPr>
                  <w:tcW w:w="1413" w:type="dxa"/>
                  <w:shd w:val="clear" w:color="auto" w:fill="auto"/>
                </w:tcPr>
                <w:p w14:paraId="6E5B55C4"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100.0%</w:t>
                  </w:r>
                </w:p>
              </w:tc>
            </w:tr>
            <w:tr w:rsidR="00A63CD3" w:rsidRPr="000704D9" w14:paraId="2A4CB21B" w14:textId="77777777" w:rsidTr="000704D9">
              <w:tc>
                <w:tcPr>
                  <w:tcW w:w="1864" w:type="dxa"/>
                  <w:vMerge w:val="restart"/>
                  <w:shd w:val="clear" w:color="auto" w:fill="auto"/>
                </w:tcPr>
                <w:p w14:paraId="3F378861"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p>
                <w:p w14:paraId="5077B62C"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Ogun</w:t>
                  </w:r>
                </w:p>
              </w:tc>
              <w:tc>
                <w:tcPr>
                  <w:tcW w:w="1754" w:type="dxa"/>
                </w:tcPr>
                <w:p w14:paraId="1B949406"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Frequency</w:t>
                  </w:r>
                </w:p>
              </w:tc>
              <w:tc>
                <w:tcPr>
                  <w:tcW w:w="1570" w:type="dxa"/>
                  <w:shd w:val="clear" w:color="auto" w:fill="auto"/>
                </w:tcPr>
                <w:p w14:paraId="2DFF5C15"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40</w:t>
                  </w:r>
                </w:p>
              </w:tc>
              <w:tc>
                <w:tcPr>
                  <w:tcW w:w="1472" w:type="dxa"/>
                  <w:shd w:val="clear" w:color="auto" w:fill="auto"/>
                </w:tcPr>
                <w:p w14:paraId="387C6A6B"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9</w:t>
                  </w:r>
                </w:p>
              </w:tc>
              <w:tc>
                <w:tcPr>
                  <w:tcW w:w="890" w:type="dxa"/>
                  <w:shd w:val="clear" w:color="auto" w:fill="auto"/>
                </w:tcPr>
                <w:p w14:paraId="180B6E14"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21</w:t>
                  </w:r>
                </w:p>
              </w:tc>
              <w:tc>
                <w:tcPr>
                  <w:tcW w:w="1413" w:type="dxa"/>
                  <w:shd w:val="clear" w:color="auto" w:fill="auto"/>
                </w:tcPr>
                <w:p w14:paraId="098ABBA0"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70</w:t>
                  </w:r>
                </w:p>
              </w:tc>
            </w:tr>
            <w:tr w:rsidR="00A63CD3" w:rsidRPr="000704D9" w14:paraId="15D73543" w14:textId="77777777" w:rsidTr="000704D9">
              <w:tc>
                <w:tcPr>
                  <w:tcW w:w="1864" w:type="dxa"/>
                  <w:vMerge/>
                  <w:shd w:val="clear" w:color="auto" w:fill="auto"/>
                </w:tcPr>
                <w:p w14:paraId="5B598C80"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p>
              </w:tc>
              <w:tc>
                <w:tcPr>
                  <w:tcW w:w="1754" w:type="dxa"/>
                </w:tcPr>
                <w:p w14:paraId="156FEA69"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Percentage (%)</w:t>
                  </w:r>
                </w:p>
              </w:tc>
              <w:tc>
                <w:tcPr>
                  <w:tcW w:w="1570" w:type="dxa"/>
                  <w:shd w:val="clear" w:color="auto" w:fill="auto"/>
                </w:tcPr>
                <w:p w14:paraId="018084CE"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57.1%</w:t>
                  </w:r>
                </w:p>
              </w:tc>
              <w:tc>
                <w:tcPr>
                  <w:tcW w:w="1472" w:type="dxa"/>
                  <w:shd w:val="clear" w:color="auto" w:fill="auto"/>
                </w:tcPr>
                <w:p w14:paraId="3A739154"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12.9%</w:t>
                  </w:r>
                </w:p>
              </w:tc>
              <w:tc>
                <w:tcPr>
                  <w:tcW w:w="890" w:type="dxa"/>
                  <w:shd w:val="clear" w:color="auto" w:fill="auto"/>
                </w:tcPr>
                <w:p w14:paraId="7E9B09B9"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30.0%</w:t>
                  </w:r>
                </w:p>
              </w:tc>
              <w:tc>
                <w:tcPr>
                  <w:tcW w:w="1413" w:type="dxa"/>
                  <w:shd w:val="clear" w:color="auto" w:fill="auto"/>
                </w:tcPr>
                <w:p w14:paraId="1CD0EB15"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100.0%</w:t>
                  </w:r>
                </w:p>
              </w:tc>
            </w:tr>
            <w:tr w:rsidR="00A63CD3" w:rsidRPr="000704D9" w14:paraId="39539C66" w14:textId="77777777" w:rsidTr="000704D9">
              <w:tc>
                <w:tcPr>
                  <w:tcW w:w="1864" w:type="dxa"/>
                  <w:vMerge w:val="restart"/>
                  <w:shd w:val="clear" w:color="auto" w:fill="auto"/>
                </w:tcPr>
                <w:p w14:paraId="7C22FA64"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p>
                <w:p w14:paraId="64ECD13A"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Oyo</w:t>
                  </w:r>
                </w:p>
              </w:tc>
              <w:tc>
                <w:tcPr>
                  <w:tcW w:w="1754" w:type="dxa"/>
                </w:tcPr>
                <w:p w14:paraId="6C23847F"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Frequency</w:t>
                  </w:r>
                </w:p>
              </w:tc>
              <w:tc>
                <w:tcPr>
                  <w:tcW w:w="1570" w:type="dxa"/>
                  <w:shd w:val="clear" w:color="auto" w:fill="auto"/>
                </w:tcPr>
                <w:p w14:paraId="299EE197"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42</w:t>
                  </w:r>
                </w:p>
              </w:tc>
              <w:tc>
                <w:tcPr>
                  <w:tcW w:w="1472" w:type="dxa"/>
                  <w:shd w:val="clear" w:color="auto" w:fill="auto"/>
                </w:tcPr>
                <w:p w14:paraId="4F413599"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6</w:t>
                  </w:r>
                </w:p>
              </w:tc>
              <w:tc>
                <w:tcPr>
                  <w:tcW w:w="890" w:type="dxa"/>
                  <w:shd w:val="clear" w:color="auto" w:fill="auto"/>
                </w:tcPr>
                <w:p w14:paraId="13B1FCF6"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5</w:t>
                  </w:r>
                </w:p>
              </w:tc>
              <w:tc>
                <w:tcPr>
                  <w:tcW w:w="1413" w:type="dxa"/>
                  <w:shd w:val="clear" w:color="auto" w:fill="auto"/>
                </w:tcPr>
                <w:p w14:paraId="2E421CB2"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53</w:t>
                  </w:r>
                </w:p>
              </w:tc>
            </w:tr>
            <w:tr w:rsidR="00A63CD3" w:rsidRPr="000704D9" w14:paraId="4C535CAC" w14:textId="77777777" w:rsidTr="000704D9">
              <w:tc>
                <w:tcPr>
                  <w:tcW w:w="1864" w:type="dxa"/>
                  <w:vMerge/>
                  <w:shd w:val="clear" w:color="auto" w:fill="auto"/>
                </w:tcPr>
                <w:p w14:paraId="57A3D6AF"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p>
              </w:tc>
              <w:tc>
                <w:tcPr>
                  <w:tcW w:w="1754" w:type="dxa"/>
                </w:tcPr>
                <w:p w14:paraId="436FEB6A"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Percentage (%)</w:t>
                  </w:r>
                </w:p>
              </w:tc>
              <w:tc>
                <w:tcPr>
                  <w:tcW w:w="1570" w:type="dxa"/>
                  <w:shd w:val="clear" w:color="auto" w:fill="auto"/>
                </w:tcPr>
                <w:p w14:paraId="37A7144E"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79.2%</w:t>
                  </w:r>
                </w:p>
              </w:tc>
              <w:tc>
                <w:tcPr>
                  <w:tcW w:w="1472" w:type="dxa"/>
                  <w:shd w:val="clear" w:color="auto" w:fill="auto"/>
                </w:tcPr>
                <w:p w14:paraId="1FC2C32A"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11.3%</w:t>
                  </w:r>
                </w:p>
              </w:tc>
              <w:tc>
                <w:tcPr>
                  <w:tcW w:w="890" w:type="dxa"/>
                  <w:shd w:val="clear" w:color="auto" w:fill="auto"/>
                </w:tcPr>
                <w:p w14:paraId="0DC5D909"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9.4%</w:t>
                  </w:r>
                </w:p>
              </w:tc>
              <w:tc>
                <w:tcPr>
                  <w:tcW w:w="1413" w:type="dxa"/>
                  <w:shd w:val="clear" w:color="auto" w:fill="auto"/>
                </w:tcPr>
                <w:p w14:paraId="7A23D946"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100.0%</w:t>
                  </w:r>
                </w:p>
              </w:tc>
            </w:tr>
            <w:tr w:rsidR="00A63CD3" w:rsidRPr="000704D9" w14:paraId="202C6224" w14:textId="77777777" w:rsidTr="000704D9">
              <w:tc>
                <w:tcPr>
                  <w:tcW w:w="1864" w:type="dxa"/>
                  <w:vMerge w:val="restart"/>
                  <w:shd w:val="clear" w:color="auto" w:fill="auto"/>
                </w:tcPr>
                <w:p w14:paraId="35171145"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p>
                <w:p w14:paraId="50FE554A"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Lagos</w:t>
                  </w:r>
                </w:p>
              </w:tc>
              <w:tc>
                <w:tcPr>
                  <w:tcW w:w="1754" w:type="dxa"/>
                </w:tcPr>
                <w:p w14:paraId="481ACDD3"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Frequency</w:t>
                  </w:r>
                </w:p>
              </w:tc>
              <w:tc>
                <w:tcPr>
                  <w:tcW w:w="1570" w:type="dxa"/>
                  <w:shd w:val="clear" w:color="auto" w:fill="auto"/>
                </w:tcPr>
                <w:p w14:paraId="4756FE9B"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53</w:t>
                  </w:r>
                </w:p>
              </w:tc>
              <w:tc>
                <w:tcPr>
                  <w:tcW w:w="1472" w:type="dxa"/>
                  <w:shd w:val="clear" w:color="auto" w:fill="auto"/>
                </w:tcPr>
                <w:p w14:paraId="6F7249D0"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12</w:t>
                  </w:r>
                </w:p>
              </w:tc>
              <w:tc>
                <w:tcPr>
                  <w:tcW w:w="890" w:type="dxa"/>
                  <w:shd w:val="clear" w:color="auto" w:fill="auto"/>
                </w:tcPr>
                <w:p w14:paraId="0E8691AC"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22</w:t>
                  </w:r>
                </w:p>
              </w:tc>
              <w:tc>
                <w:tcPr>
                  <w:tcW w:w="1413" w:type="dxa"/>
                  <w:shd w:val="clear" w:color="auto" w:fill="auto"/>
                </w:tcPr>
                <w:p w14:paraId="5B8F368B"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87</w:t>
                  </w:r>
                </w:p>
              </w:tc>
            </w:tr>
            <w:tr w:rsidR="00A63CD3" w:rsidRPr="000704D9" w14:paraId="6CF28B15" w14:textId="77777777" w:rsidTr="000704D9">
              <w:tc>
                <w:tcPr>
                  <w:tcW w:w="1864" w:type="dxa"/>
                  <w:vMerge/>
                  <w:shd w:val="clear" w:color="auto" w:fill="auto"/>
                </w:tcPr>
                <w:p w14:paraId="61BDCB47"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p>
              </w:tc>
              <w:tc>
                <w:tcPr>
                  <w:tcW w:w="1754" w:type="dxa"/>
                </w:tcPr>
                <w:p w14:paraId="492C5894"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Percentage (%)</w:t>
                  </w:r>
                </w:p>
              </w:tc>
              <w:tc>
                <w:tcPr>
                  <w:tcW w:w="1570" w:type="dxa"/>
                  <w:shd w:val="clear" w:color="auto" w:fill="auto"/>
                </w:tcPr>
                <w:p w14:paraId="454F1449"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60.9%</w:t>
                  </w:r>
                </w:p>
              </w:tc>
              <w:tc>
                <w:tcPr>
                  <w:tcW w:w="1472" w:type="dxa"/>
                  <w:shd w:val="clear" w:color="auto" w:fill="auto"/>
                </w:tcPr>
                <w:p w14:paraId="05CA0B4A"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13.8%</w:t>
                  </w:r>
                </w:p>
              </w:tc>
              <w:tc>
                <w:tcPr>
                  <w:tcW w:w="890" w:type="dxa"/>
                  <w:shd w:val="clear" w:color="auto" w:fill="auto"/>
                </w:tcPr>
                <w:p w14:paraId="331FD666"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25.3%</w:t>
                  </w:r>
                </w:p>
              </w:tc>
              <w:tc>
                <w:tcPr>
                  <w:tcW w:w="1413" w:type="dxa"/>
                  <w:shd w:val="clear" w:color="auto" w:fill="auto"/>
                </w:tcPr>
                <w:p w14:paraId="6770C997"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100.0%</w:t>
                  </w:r>
                </w:p>
              </w:tc>
            </w:tr>
            <w:tr w:rsidR="00A63CD3" w:rsidRPr="000704D9" w14:paraId="6011EF0A" w14:textId="77777777" w:rsidTr="000704D9">
              <w:tc>
                <w:tcPr>
                  <w:tcW w:w="1864" w:type="dxa"/>
                  <w:vMerge w:val="restart"/>
                  <w:shd w:val="clear" w:color="auto" w:fill="auto"/>
                </w:tcPr>
                <w:p w14:paraId="2FCE8DAE"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p>
                <w:p w14:paraId="221E192A"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Ondo</w:t>
                  </w:r>
                </w:p>
              </w:tc>
              <w:tc>
                <w:tcPr>
                  <w:tcW w:w="1754" w:type="dxa"/>
                </w:tcPr>
                <w:p w14:paraId="77B828A3"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Frequency</w:t>
                  </w:r>
                </w:p>
              </w:tc>
              <w:tc>
                <w:tcPr>
                  <w:tcW w:w="1570" w:type="dxa"/>
                  <w:shd w:val="clear" w:color="auto" w:fill="auto"/>
                </w:tcPr>
                <w:p w14:paraId="6EFBE0E2"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w:t>
                  </w:r>
                </w:p>
              </w:tc>
              <w:tc>
                <w:tcPr>
                  <w:tcW w:w="1472" w:type="dxa"/>
                  <w:shd w:val="clear" w:color="auto" w:fill="auto"/>
                </w:tcPr>
                <w:p w14:paraId="4FEF3F0D"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w:t>
                  </w:r>
                </w:p>
              </w:tc>
              <w:tc>
                <w:tcPr>
                  <w:tcW w:w="890" w:type="dxa"/>
                  <w:shd w:val="clear" w:color="auto" w:fill="auto"/>
                </w:tcPr>
                <w:p w14:paraId="2852C6CB"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26</w:t>
                  </w:r>
                </w:p>
              </w:tc>
              <w:tc>
                <w:tcPr>
                  <w:tcW w:w="1413" w:type="dxa"/>
                  <w:shd w:val="clear" w:color="auto" w:fill="auto"/>
                </w:tcPr>
                <w:p w14:paraId="0AA110E6"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30</w:t>
                  </w:r>
                </w:p>
              </w:tc>
            </w:tr>
            <w:tr w:rsidR="00A63CD3" w:rsidRPr="000704D9" w14:paraId="185B9342" w14:textId="77777777" w:rsidTr="000704D9">
              <w:tc>
                <w:tcPr>
                  <w:tcW w:w="1864" w:type="dxa"/>
                  <w:vMerge/>
                  <w:shd w:val="clear" w:color="auto" w:fill="auto"/>
                </w:tcPr>
                <w:p w14:paraId="2B0C4846"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p>
              </w:tc>
              <w:tc>
                <w:tcPr>
                  <w:tcW w:w="1754" w:type="dxa"/>
                </w:tcPr>
                <w:p w14:paraId="113D5FA7"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Percentage (%)</w:t>
                  </w:r>
                </w:p>
              </w:tc>
              <w:tc>
                <w:tcPr>
                  <w:tcW w:w="1570" w:type="dxa"/>
                  <w:shd w:val="clear" w:color="auto" w:fill="auto"/>
                </w:tcPr>
                <w:p w14:paraId="7A8B424F"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w:t>
                  </w:r>
                </w:p>
              </w:tc>
              <w:tc>
                <w:tcPr>
                  <w:tcW w:w="1472" w:type="dxa"/>
                  <w:shd w:val="clear" w:color="auto" w:fill="auto"/>
                </w:tcPr>
                <w:p w14:paraId="4B7BDD30"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13.3%</w:t>
                  </w:r>
                </w:p>
              </w:tc>
              <w:tc>
                <w:tcPr>
                  <w:tcW w:w="890" w:type="dxa"/>
                  <w:shd w:val="clear" w:color="auto" w:fill="auto"/>
                </w:tcPr>
                <w:p w14:paraId="69E16A74"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86.7%</w:t>
                  </w:r>
                </w:p>
              </w:tc>
              <w:tc>
                <w:tcPr>
                  <w:tcW w:w="1413" w:type="dxa"/>
                  <w:shd w:val="clear" w:color="auto" w:fill="auto"/>
                </w:tcPr>
                <w:p w14:paraId="07BDD330"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100.0%</w:t>
                  </w:r>
                </w:p>
              </w:tc>
            </w:tr>
            <w:tr w:rsidR="00A63CD3" w:rsidRPr="000704D9" w14:paraId="4B952AC6" w14:textId="77777777" w:rsidTr="000704D9">
              <w:tc>
                <w:tcPr>
                  <w:tcW w:w="1864" w:type="dxa"/>
                  <w:vMerge w:val="restart"/>
                  <w:shd w:val="clear" w:color="auto" w:fill="auto"/>
                </w:tcPr>
                <w:p w14:paraId="0C2D1502"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p>
                <w:p w14:paraId="388BB2E3"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TOTAL</w:t>
                  </w:r>
                </w:p>
              </w:tc>
              <w:tc>
                <w:tcPr>
                  <w:tcW w:w="1754" w:type="dxa"/>
                </w:tcPr>
                <w:p w14:paraId="625A7B0A"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Frequency</w:t>
                  </w:r>
                </w:p>
              </w:tc>
              <w:tc>
                <w:tcPr>
                  <w:tcW w:w="1570" w:type="dxa"/>
                  <w:shd w:val="clear" w:color="auto" w:fill="auto"/>
                </w:tcPr>
                <w:p w14:paraId="442F20E6"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172</w:t>
                  </w:r>
                </w:p>
              </w:tc>
              <w:tc>
                <w:tcPr>
                  <w:tcW w:w="1472" w:type="dxa"/>
                  <w:shd w:val="clear" w:color="auto" w:fill="auto"/>
                </w:tcPr>
                <w:p w14:paraId="5F0DF178"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46</w:t>
                  </w:r>
                </w:p>
              </w:tc>
              <w:tc>
                <w:tcPr>
                  <w:tcW w:w="890" w:type="dxa"/>
                  <w:shd w:val="clear" w:color="auto" w:fill="auto"/>
                </w:tcPr>
                <w:p w14:paraId="34F5613C"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99</w:t>
                  </w:r>
                </w:p>
              </w:tc>
              <w:tc>
                <w:tcPr>
                  <w:tcW w:w="1413" w:type="dxa"/>
                  <w:shd w:val="clear" w:color="auto" w:fill="auto"/>
                </w:tcPr>
                <w:p w14:paraId="44A01011"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317</w:t>
                  </w:r>
                </w:p>
              </w:tc>
            </w:tr>
            <w:tr w:rsidR="00A63CD3" w:rsidRPr="000704D9" w14:paraId="43A98545" w14:textId="77777777" w:rsidTr="000704D9">
              <w:tc>
                <w:tcPr>
                  <w:tcW w:w="1864" w:type="dxa"/>
                  <w:vMerge/>
                  <w:tcBorders>
                    <w:bottom w:val="single" w:sz="18" w:space="0" w:color="auto"/>
                  </w:tcBorders>
                  <w:shd w:val="clear" w:color="auto" w:fill="auto"/>
                </w:tcPr>
                <w:p w14:paraId="3496DC86"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p>
              </w:tc>
              <w:tc>
                <w:tcPr>
                  <w:tcW w:w="1754" w:type="dxa"/>
                  <w:tcBorders>
                    <w:bottom w:val="single" w:sz="18" w:space="0" w:color="auto"/>
                  </w:tcBorders>
                </w:tcPr>
                <w:p w14:paraId="1A96DE6B"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Percentage (%)</w:t>
                  </w:r>
                </w:p>
              </w:tc>
              <w:tc>
                <w:tcPr>
                  <w:tcW w:w="1570" w:type="dxa"/>
                  <w:tcBorders>
                    <w:bottom w:val="single" w:sz="18" w:space="0" w:color="auto"/>
                  </w:tcBorders>
                  <w:shd w:val="clear" w:color="auto" w:fill="auto"/>
                </w:tcPr>
                <w:p w14:paraId="28DF6B44"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54.3%</w:t>
                  </w:r>
                </w:p>
              </w:tc>
              <w:tc>
                <w:tcPr>
                  <w:tcW w:w="1472" w:type="dxa"/>
                  <w:tcBorders>
                    <w:bottom w:val="single" w:sz="18" w:space="0" w:color="auto"/>
                  </w:tcBorders>
                  <w:shd w:val="clear" w:color="auto" w:fill="auto"/>
                </w:tcPr>
                <w:p w14:paraId="1E22D29E"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14.5%</w:t>
                  </w:r>
                </w:p>
              </w:tc>
              <w:tc>
                <w:tcPr>
                  <w:tcW w:w="890" w:type="dxa"/>
                  <w:tcBorders>
                    <w:bottom w:val="single" w:sz="18" w:space="0" w:color="auto"/>
                  </w:tcBorders>
                  <w:shd w:val="clear" w:color="auto" w:fill="auto"/>
                </w:tcPr>
                <w:p w14:paraId="38F6B2BE"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31.2%</w:t>
                  </w:r>
                </w:p>
              </w:tc>
              <w:tc>
                <w:tcPr>
                  <w:tcW w:w="1413" w:type="dxa"/>
                  <w:tcBorders>
                    <w:bottom w:val="single" w:sz="18" w:space="0" w:color="auto"/>
                  </w:tcBorders>
                  <w:shd w:val="clear" w:color="auto" w:fill="auto"/>
                </w:tcPr>
                <w:p w14:paraId="6B33F777" w14:textId="77777777" w:rsidR="00A63CD3" w:rsidRPr="000704D9" w:rsidRDefault="00A63CD3" w:rsidP="000704D9">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100.0%</w:t>
                  </w:r>
                </w:p>
              </w:tc>
            </w:tr>
          </w:tbl>
          <w:p w14:paraId="596A776A"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p>
          <w:p w14:paraId="6474050F" w14:textId="77777777" w:rsidR="00A63CD3" w:rsidRPr="000704D9" w:rsidRDefault="00A63CD3" w:rsidP="000704D9">
            <w:pPr>
              <w:spacing w:after="0" w:line="240" w:lineRule="auto"/>
              <w:rPr>
                <w:rFonts w:ascii="Times New Roman" w:eastAsia="Calibri" w:hAnsi="Times New Roman" w:cs="Times New Roman"/>
                <w:b/>
                <w:color w:val="000000" w:themeColor="text1"/>
                <w:sz w:val="20"/>
                <w:szCs w:val="20"/>
              </w:rPr>
            </w:pPr>
          </w:p>
        </w:tc>
      </w:tr>
    </w:tbl>
    <w:p w14:paraId="6F3B28BE" w14:textId="049FDAAF" w:rsidR="00A63CD3" w:rsidRPr="00BE4AF3" w:rsidRDefault="00A63CD3" w:rsidP="00A63CD3">
      <w:pPr>
        <w:spacing w:after="0" w:line="240" w:lineRule="auto"/>
        <w:contextualSpacing/>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b/>
          <w:color w:val="000000" w:themeColor="text1"/>
          <w:sz w:val="24"/>
          <w:szCs w:val="24"/>
        </w:rPr>
        <w:t xml:space="preserve">Importance of Landscape Elements to Visitors Preference </w:t>
      </w:r>
    </w:p>
    <w:p w14:paraId="4B96ED72" w14:textId="77777777" w:rsidR="00A63CD3" w:rsidRPr="00BE4AF3" w:rsidRDefault="00A63CD3" w:rsidP="00717939">
      <w:pPr>
        <w:spacing w:after="0" w:line="240" w:lineRule="auto"/>
        <w:contextualSpacing/>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Table 3 presented the data on the importance of LEs to visitor preference. Each element is evaluated across five levels of agreement: Not Important, Slightly Important, Neutral, Important, and Very Important. The Total Weight Value (TWV) represents the aggregate score for each element, calculated by summing up the weighted values assigned to each level of agreement. This shows the overall measure of how positively or negatively respondents view each LE. TWV/n, is derived by dividing the TWV by the total number of responses (n) for each element, allowing for an average score that makes it easier to compare elements with different numbers of respondents. The result as contained in Table 3 shows the Relative Importance Index of LEs to Visitors Preference Index (ILEVPI). The result indicates that 12 variables out of 20 identified had the ILEVPI above average of 4.21, which were considered as major important factors influencing visitors’ preference. These include: accessibility features, seating </w:t>
      </w:r>
      <w:r w:rsidRPr="00BE4AF3">
        <w:rPr>
          <w:rFonts w:ascii="Times New Roman" w:eastAsia="Calibri" w:hAnsi="Times New Roman" w:cs="Times New Roman"/>
          <w:color w:val="000000" w:themeColor="text1"/>
          <w:sz w:val="24"/>
          <w:szCs w:val="24"/>
        </w:rPr>
        <w:lastRenderedPageBreak/>
        <w:t>areas, wildlife habitats, pathways and walkways, gardens, signage and information boards, leisure gardening, driveways, building fence and gate, paving stones, statues and sculptures, vegetation (trees, shrubs, lawns). Others comprised: building texture, compost bin, building colour, outdoor furniture, lighting features, building form, recreational spaces and water features (ponds, fountains, streams) among others with positive deviation but below average of 4.21. The study revealed that among all the factors, retailing wall with 2.46 ILEVPI, and with negative deviation, was considered as, factors not important in influencing visitors’ preference in the study area. These require considerable improvement in the study area.</w:t>
      </w:r>
    </w:p>
    <w:p w14:paraId="782001F5" w14:textId="77777777" w:rsidR="00A63CD3" w:rsidRPr="00BE4AF3" w:rsidRDefault="00A63CD3" w:rsidP="00601EE7">
      <w:pPr>
        <w:spacing w:after="0" w:line="240" w:lineRule="auto"/>
        <w:contextualSpacing/>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The implication is that user considered the quality of vegetation as very important and it highlighting the desire for well-maintained and aesthetically pleasing green spaces. Similarly, water features, pathways, seating areas, and sanitation and maintenance received strong support, deeming them as significant factors. This result reveals that landscapes with these elements are more likely to be perceived as attractive and welcoming. Other influential factors included lighting, building facades, and security. These elements contribute to the overall ambiance, safety, and functionality of the landscape, demonstrating the importance of considering a variety of factors in landscape design to enhance user satisfaction.</w:t>
      </w:r>
    </w:p>
    <w:p w14:paraId="08BB3DE6" w14:textId="77777777" w:rsidR="000704D9" w:rsidRDefault="000704D9" w:rsidP="00601EE7">
      <w:pPr>
        <w:spacing w:after="0" w:line="240" w:lineRule="auto"/>
        <w:contextualSpacing/>
        <w:jc w:val="center"/>
        <w:rPr>
          <w:rFonts w:ascii="Times New Roman" w:eastAsia="Calibri" w:hAnsi="Times New Roman" w:cs="Times New Roman"/>
          <w:b/>
          <w:color w:val="000000" w:themeColor="text1"/>
          <w:sz w:val="24"/>
          <w:szCs w:val="24"/>
        </w:rPr>
      </w:pPr>
    </w:p>
    <w:p w14:paraId="7EF80225" w14:textId="368789B9" w:rsidR="00A63CD3" w:rsidRPr="00601EE7" w:rsidRDefault="00A63CD3" w:rsidP="00601EE7">
      <w:pPr>
        <w:spacing w:after="0" w:line="240" w:lineRule="auto"/>
        <w:contextualSpacing/>
        <w:jc w:val="center"/>
        <w:rPr>
          <w:rFonts w:ascii="Times New Roman" w:eastAsia="Calibri" w:hAnsi="Times New Roman" w:cs="Times New Roman"/>
          <w:bCs/>
          <w:color w:val="000000" w:themeColor="text1"/>
          <w:sz w:val="24"/>
          <w:szCs w:val="24"/>
        </w:rPr>
      </w:pPr>
      <w:r w:rsidRPr="00BE4AF3">
        <w:rPr>
          <w:rFonts w:ascii="Times New Roman" w:eastAsia="Calibri" w:hAnsi="Times New Roman" w:cs="Times New Roman"/>
          <w:b/>
          <w:color w:val="000000" w:themeColor="text1"/>
          <w:sz w:val="24"/>
          <w:szCs w:val="24"/>
        </w:rPr>
        <w:t xml:space="preserve">Table 3: </w:t>
      </w:r>
      <w:r w:rsidRPr="00601EE7">
        <w:rPr>
          <w:rFonts w:ascii="Times New Roman" w:eastAsia="Calibri" w:hAnsi="Times New Roman" w:cs="Times New Roman"/>
          <w:bCs/>
          <w:color w:val="000000" w:themeColor="text1"/>
          <w:sz w:val="24"/>
          <w:szCs w:val="24"/>
        </w:rPr>
        <w:t>Importance of Landscape Elements to Visitors Preference Index (ILEVPI)</w:t>
      </w:r>
    </w:p>
    <w:tbl>
      <w:tblPr>
        <w:tblW w:w="9187" w:type="dxa"/>
        <w:tblLook w:val="04A0" w:firstRow="1" w:lastRow="0" w:firstColumn="1" w:lastColumn="0" w:noHBand="0" w:noVBand="1"/>
      </w:tblPr>
      <w:tblGrid>
        <w:gridCol w:w="528"/>
        <w:gridCol w:w="1261"/>
        <w:gridCol w:w="1005"/>
        <w:gridCol w:w="1005"/>
        <w:gridCol w:w="816"/>
        <w:gridCol w:w="1005"/>
        <w:gridCol w:w="1005"/>
        <w:gridCol w:w="1194"/>
        <w:gridCol w:w="672"/>
        <w:gridCol w:w="922"/>
      </w:tblGrid>
      <w:tr w:rsidR="00A63CD3" w:rsidRPr="00601EE7" w14:paraId="6F042E86" w14:textId="77777777" w:rsidTr="00601EE7">
        <w:tc>
          <w:tcPr>
            <w:tcW w:w="0" w:type="auto"/>
            <w:tcBorders>
              <w:top w:val="single" w:sz="18" w:space="0" w:color="auto"/>
              <w:bottom w:val="single" w:sz="8" w:space="0" w:color="auto"/>
            </w:tcBorders>
            <w:vAlign w:val="center"/>
          </w:tcPr>
          <w:p w14:paraId="0B77463F" w14:textId="77777777" w:rsidR="00A63CD3" w:rsidRPr="00601EE7" w:rsidRDefault="00A63CD3" w:rsidP="0000060D">
            <w:pPr>
              <w:spacing w:after="0" w:line="240" w:lineRule="auto"/>
              <w:jc w:val="center"/>
              <w:rPr>
                <w:rFonts w:ascii="Times New Roman" w:eastAsia="SimSun" w:hAnsi="Times New Roman" w:cs="Times New Roman"/>
                <w:bCs/>
                <w:color w:val="000000" w:themeColor="text1"/>
                <w:sz w:val="20"/>
                <w:szCs w:val="20"/>
                <w:lang w:eastAsia="zh-CN"/>
              </w:rPr>
            </w:pPr>
            <w:r w:rsidRPr="00601EE7">
              <w:rPr>
                <w:rFonts w:ascii="Times New Roman" w:eastAsia="SimSun" w:hAnsi="Times New Roman" w:cs="Times New Roman"/>
                <w:bCs/>
                <w:color w:val="000000" w:themeColor="text1"/>
                <w:sz w:val="20"/>
                <w:szCs w:val="20"/>
                <w:lang w:eastAsia="zh-CN"/>
              </w:rPr>
              <w:t>S/N</w:t>
            </w:r>
          </w:p>
        </w:tc>
        <w:tc>
          <w:tcPr>
            <w:tcW w:w="0" w:type="auto"/>
            <w:tcBorders>
              <w:top w:val="single" w:sz="18" w:space="0" w:color="auto"/>
              <w:bottom w:val="single" w:sz="8" w:space="0" w:color="auto"/>
            </w:tcBorders>
            <w:shd w:val="clear" w:color="auto" w:fill="auto"/>
            <w:vAlign w:val="center"/>
          </w:tcPr>
          <w:p w14:paraId="79CE9BA6" w14:textId="77777777" w:rsidR="00A63CD3" w:rsidRPr="00601EE7" w:rsidRDefault="00A63CD3" w:rsidP="0000060D">
            <w:pPr>
              <w:spacing w:after="0" w:line="240" w:lineRule="auto"/>
              <w:jc w:val="center"/>
              <w:rPr>
                <w:rFonts w:ascii="Times New Roman" w:eastAsia="SimSun" w:hAnsi="Times New Roman" w:cs="Times New Roman"/>
                <w:bCs/>
                <w:color w:val="000000" w:themeColor="text1"/>
                <w:sz w:val="20"/>
                <w:szCs w:val="20"/>
                <w:lang w:eastAsia="zh-CN"/>
              </w:rPr>
            </w:pPr>
            <w:r w:rsidRPr="00601EE7">
              <w:rPr>
                <w:rFonts w:ascii="Times New Roman" w:eastAsia="SimSun" w:hAnsi="Times New Roman" w:cs="Times New Roman"/>
                <w:bCs/>
                <w:color w:val="000000" w:themeColor="text1"/>
                <w:sz w:val="20"/>
                <w:szCs w:val="20"/>
                <w:lang w:eastAsia="zh-CN"/>
              </w:rPr>
              <w:t>Landscape Element</w:t>
            </w:r>
          </w:p>
        </w:tc>
        <w:tc>
          <w:tcPr>
            <w:tcW w:w="0" w:type="auto"/>
            <w:tcBorders>
              <w:top w:val="single" w:sz="18" w:space="0" w:color="auto"/>
              <w:bottom w:val="single" w:sz="8" w:space="0" w:color="auto"/>
            </w:tcBorders>
            <w:shd w:val="clear" w:color="auto" w:fill="auto"/>
            <w:vAlign w:val="center"/>
          </w:tcPr>
          <w:p w14:paraId="06363B6D" w14:textId="77777777" w:rsidR="00A63CD3" w:rsidRPr="00601EE7" w:rsidRDefault="00A63CD3" w:rsidP="0000060D">
            <w:pPr>
              <w:spacing w:after="0" w:line="240" w:lineRule="auto"/>
              <w:jc w:val="center"/>
              <w:rPr>
                <w:rFonts w:ascii="Times New Roman" w:eastAsia="SimSun" w:hAnsi="Times New Roman" w:cs="Times New Roman"/>
                <w:bCs/>
                <w:color w:val="000000" w:themeColor="text1"/>
                <w:sz w:val="20"/>
                <w:szCs w:val="20"/>
                <w:lang w:eastAsia="zh-CN"/>
              </w:rPr>
            </w:pPr>
            <w:r w:rsidRPr="00601EE7">
              <w:rPr>
                <w:rFonts w:ascii="Times New Roman" w:eastAsia="SimSun" w:hAnsi="Times New Roman" w:cs="Times New Roman"/>
                <w:bCs/>
                <w:color w:val="000000" w:themeColor="text1"/>
                <w:sz w:val="20"/>
                <w:szCs w:val="20"/>
                <w:lang w:eastAsia="zh-CN"/>
              </w:rPr>
              <w:t>Not Important</w:t>
            </w:r>
          </w:p>
          <w:p w14:paraId="69926B7C" w14:textId="77777777" w:rsidR="00A63CD3" w:rsidRPr="00601EE7" w:rsidRDefault="00A63CD3" w:rsidP="0000060D">
            <w:pPr>
              <w:spacing w:after="0" w:line="240" w:lineRule="auto"/>
              <w:jc w:val="center"/>
              <w:rPr>
                <w:rFonts w:ascii="Times New Roman" w:eastAsia="SimSun" w:hAnsi="Times New Roman" w:cs="Times New Roman"/>
                <w:bCs/>
                <w:color w:val="000000" w:themeColor="text1"/>
                <w:sz w:val="20"/>
                <w:szCs w:val="20"/>
                <w:lang w:eastAsia="zh-CN"/>
              </w:rPr>
            </w:pPr>
            <w:r w:rsidRPr="00601EE7">
              <w:rPr>
                <w:rFonts w:ascii="Times New Roman" w:eastAsia="SimSun" w:hAnsi="Times New Roman" w:cs="Times New Roman"/>
                <w:bCs/>
                <w:color w:val="000000" w:themeColor="text1"/>
                <w:sz w:val="20"/>
                <w:szCs w:val="20"/>
                <w:lang w:eastAsia="zh-CN"/>
              </w:rPr>
              <w:t>(1)</w:t>
            </w:r>
          </w:p>
        </w:tc>
        <w:tc>
          <w:tcPr>
            <w:tcW w:w="0" w:type="auto"/>
            <w:tcBorders>
              <w:top w:val="single" w:sz="18" w:space="0" w:color="auto"/>
              <w:bottom w:val="single" w:sz="8" w:space="0" w:color="auto"/>
            </w:tcBorders>
            <w:shd w:val="clear" w:color="auto" w:fill="auto"/>
            <w:vAlign w:val="center"/>
          </w:tcPr>
          <w:p w14:paraId="3132584D" w14:textId="77777777" w:rsidR="00A63CD3" w:rsidRPr="00601EE7" w:rsidRDefault="00A63CD3" w:rsidP="0000060D">
            <w:pPr>
              <w:spacing w:after="0" w:line="240" w:lineRule="auto"/>
              <w:jc w:val="center"/>
              <w:rPr>
                <w:rFonts w:ascii="Times New Roman" w:eastAsia="SimSun" w:hAnsi="Times New Roman" w:cs="Times New Roman"/>
                <w:bCs/>
                <w:color w:val="000000" w:themeColor="text1"/>
                <w:sz w:val="20"/>
                <w:szCs w:val="20"/>
                <w:lang w:eastAsia="zh-CN"/>
              </w:rPr>
            </w:pPr>
            <w:r w:rsidRPr="00601EE7">
              <w:rPr>
                <w:rFonts w:ascii="Times New Roman" w:eastAsia="SimSun" w:hAnsi="Times New Roman" w:cs="Times New Roman"/>
                <w:bCs/>
                <w:color w:val="000000" w:themeColor="text1"/>
                <w:sz w:val="20"/>
                <w:szCs w:val="20"/>
                <w:lang w:eastAsia="zh-CN"/>
              </w:rPr>
              <w:t>Slightly Important</w:t>
            </w:r>
          </w:p>
          <w:p w14:paraId="73725D28" w14:textId="77777777" w:rsidR="00A63CD3" w:rsidRPr="00601EE7" w:rsidRDefault="00A63CD3" w:rsidP="0000060D">
            <w:pPr>
              <w:spacing w:after="0" w:line="240" w:lineRule="auto"/>
              <w:jc w:val="center"/>
              <w:rPr>
                <w:rFonts w:ascii="Times New Roman" w:eastAsia="SimSun" w:hAnsi="Times New Roman" w:cs="Times New Roman"/>
                <w:bCs/>
                <w:color w:val="000000" w:themeColor="text1"/>
                <w:sz w:val="20"/>
                <w:szCs w:val="20"/>
                <w:lang w:eastAsia="zh-CN"/>
              </w:rPr>
            </w:pPr>
            <w:r w:rsidRPr="00601EE7">
              <w:rPr>
                <w:rFonts w:ascii="Times New Roman" w:eastAsia="SimSun" w:hAnsi="Times New Roman" w:cs="Times New Roman"/>
                <w:bCs/>
                <w:color w:val="000000" w:themeColor="text1"/>
                <w:sz w:val="20"/>
                <w:szCs w:val="20"/>
                <w:lang w:eastAsia="zh-CN"/>
              </w:rPr>
              <w:t>(2)</w:t>
            </w:r>
          </w:p>
        </w:tc>
        <w:tc>
          <w:tcPr>
            <w:tcW w:w="0" w:type="auto"/>
            <w:tcBorders>
              <w:top w:val="single" w:sz="18" w:space="0" w:color="auto"/>
              <w:bottom w:val="single" w:sz="8" w:space="0" w:color="auto"/>
            </w:tcBorders>
            <w:shd w:val="clear" w:color="auto" w:fill="auto"/>
            <w:vAlign w:val="center"/>
          </w:tcPr>
          <w:p w14:paraId="056CC9E9" w14:textId="77777777" w:rsidR="00A63CD3" w:rsidRPr="00601EE7" w:rsidRDefault="00A63CD3" w:rsidP="0000060D">
            <w:pPr>
              <w:spacing w:after="0" w:line="240" w:lineRule="auto"/>
              <w:jc w:val="center"/>
              <w:rPr>
                <w:rFonts w:ascii="Times New Roman" w:eastAsia="SimSun" w:hAnsi="Times New Roman" w:cs="Times New Roman"/>
                <w:bCs/>
                <w:color w:val="000000" w:themeColor="text1"/>
                <w:sz w:val="20"/>
                <w:szCs w:val="20"/>
                <w:lang w:eastAsia="zh-CN"/>
              </w:rPr>
            </w:pPr>
            <w:r w:rsidRPr="00601EE7">
              <w:rPr>
                <w:rFonts w:ascii="Times New Roman" w:eastAsia="SimSun" w:hAnsi="Times New Roman" w:cs="Times New Roman"/>
                <w:bCs/>
                <w:color w:val="000000" w:themeColor="text1"/>
                <w:sz w:val="20"/>
                <w:szCs w:val="20"/>
                <w:lang w:eastAsia="zh-CN"/>
              </w:rPr>
              <w:t>Neutral</w:t>
            </w:r>
          </w:p>
          <w:p w14:paraId="398AA538" w14:textId="77777777" w:rsidR="00A63CD3" w:rsidRPr="00601EE7" w:rsidRDefault="00A63CD3" w:rsidP="0000060D">
            <w:pPr>
              <w:spacing w:after="0" w:line="240" w:lineRule="auto"/>
              <w:jc w:val="center"/>
              <w:rPr>
                <w:rFonts w:ascii="Times New Roman" w:eastAsia="SimSun" w:hAnsi="Times New Roman" w:cs="Times New Roman"/>
                <w:bCs/>
                <w:color w:val="000000" w:themeColor="text1"/>
                <w:sz w:val="20"/>
                <w:szCs w:val="20"/>
                <w:lang w:eastAsia="zh-CN"/>
              </w:rPr>
            </w:pPr>
          </w:p>
          <w:p w14:paraId="16F12A51" w14:textId="77777777" w:rsidR="00A63CD3" w:rsidRPr="00601EE7" w:rsidRDefault="00A63CD3" w:rsidP="0000060D">
            <w:pPr>
              <w:spacing w:after="0" w:line="240" w:lineRule="auto"/>
              <w:jc w:val="center"/>
              <w:rPr>
                <w:rFonts w:ascii="Times New Roman" w:eastAsia="SimSun" w:hAnsi="Times New Roman" w:cs="Times New Roman"/>
                <w:bCs/>
                <w:color w:val="000000" w:themeColor="text1"/>
                <w:sz w:val="20"/>
                <w:szCs w:val="20"/>
                <w:lang w:eastAsia="zh-CN"/>
              </w:rPr>
            </w:pPr>
            <w:r w:rsidRPr="00601EE7">
              <w:rPr>
                <w:rFonts w:ascii="Times New Roman" w:eastAsia="SimSun" w:hAnsi="Times New Roman" w:cs="Times New Roman"/>
                <w:bCs/>
                <w:color w:val="000000" w:themeColor="text1"/>
                <w:sz w:val="20"/>
                <w:szCs w:val="20"/>
                <w:lang w:eastAsia="zh-CN"/>
              </w:rPr>
              <w:t>(3)</w:t>
            </w:r>
          </w:p>
        </w:tc>
        <w:tc>
          <w:tcPr>
            <w:tcW w:w="0" w:type="auto"/>
            <w:tcBorders>
              <w:top w:val="single" w:sz="18" w:space="0" w:color="auto"/>
              <w:bottom w:val="single" w:sz="8" w:space="0" w:color="auto"/>
            </w:tcBorders>
            <w:shd w:val="clear" w:color="auto" w:fill="auto"/>
            <w:vAlign w:val="center"/>
          </w:tcPr>
          <w:p w14:paraId="3CF11827" w14:textId="77777777" w:rsidR="00A63CD3" w:rsidRPr="00601EE7" w:rsidRDefault="00A63CD3" w:rsidP="0000060D">
            <w:pPr>
              <w:spacing w:after="0" w:line="240" w:lineRule="auto"/>
              <w:jc w:val="center"/>
              <w:rPr>
                <w:rFonts w:ascii="Times New Roman" w:eastAsia="SimSun" w:hAnsi="Times New Roman" w:cs="Times New Roman"/>
                <w:bCs/>
                <w:color w:val="000000" w:themeColor="text1"/>
                <w:sz w:val="20"/>
                <w:szCs w:val="20"/>
                <w:lang w:eastAsia="zh-CN"/>
              </w:rPr>
            </w:pPr>
            <w:r w:rsidRPr="00601EE7">
              <w:rPr>
                <w:rFonts w:ascii="Times New Roman" w:eastAsia="SimSun" w:hAnsi="Times New Roman" w:cs="Times New Roman"/>
                <w:bCs/>
                <w:color w:val="000000" w:themeColor="text1"/>
                <w:sz w:val="20"/>
                <w:szCs w:val="20"/>
                <w:lang w:eastAsia="zh-CN"/>
              </w:rPr>
              <w:t>Important</w:t>
            </w:r>
          </w:p>
          <w:p w14:paraId="083868E3" w14:textId="77777777" w:rsidR="00A63CD3" w:rsidRPr="00601EE7" w:rsidRDefault="00A63CD3" w:rsidP="0000060D">
            <w:pPr>
              <w:spacing w:after="0" w:line="240" w:lineRule="auto"/>
              <w:jc w:val="center"/>
              <w:rPr>
                <w:rFonts w:ascii="Times New Roman" w:eastAsia="SimSun" w:hAnsi="Times New Roman" w:cs="Times New Roman"/>
                <w:bCs/>
                <w:color w:val="000000" w:themeColor="text1"/>
                <w:sz w:val="20"/>
                <w:szCs w:val="20"/>
                <w:lang w:eastAsia="zh-CN"/>
              </w:rPr>
            </w:pPr>
          </w:p>
          <w:p w14:paraId="771C8256" w14:textId="77777777" w:rsidR="00A63CD3" w:rsidRPr="00601EE7" w:rsidRDefault="00A63CD3" w:rsidP="0000060D">
            <w:pPr>
              <w:spacing w:after="0" w:line="240" w:lineRule="auto"/>
              <w:jc w:val="center"/>
              <w:rPr>
                <w:rFonts w:ascii="Times New Roman" w:eastAsia="SimSun" w:hAnsi="Times New Roman" w:cs="Times New Roman"/>
                <w:bCs/>
                <w:color w:val="000000" w:themeColor="text1"/>
                <w:sz w:val="20"/>
                <w:szCs w:val="20"/>
                <w:lang w:eastAsia="zh-CN"/>
              </w:rPr>
            </w:pPr>
            <w:r w:rsidRPr="00601EE7">
              <w:rPr>
                <w:rFonts w:ascii="Times New Roman" w:eastAsia="SimSun" w:hAnsi="Times New Roman" w:cs="Times New Roman"/>
                <w:bCs/>
                <w:color w:val="000000" w:themeColor="text1"/>
                <w:sz w:val="20"/>
                <w:szCs w:val="20"/>
                <w:lang w:eastAsia="zh-CN"/>
              </w:rPr>
              <w:t>(4)</w:t>
            </w:r>
          </w:p>
        </w:tc>
        <w:tc>
          <w:tcPr>
            <w:tcW w:w="0" w:type="auto"/>
            <w:tcBorders>
              <w:top w:val="single" w:sz="18" w:space="0" w:color="auto"/>
              <w:bottom w:val="single" w:sz="8" w:space="0" w:color="auto"/>
            </w:tcBorders>
            <w:shd w:val="clear" w:color="auto" w:fill="auto"/>
            <w:vAlign w:val="center"/>
          </w:tcPr>
          <w:p w14:paraId="1BC10E16" w14:textId="77777777" w:rsidR="00A63CD3" w:rsidRPr="00601EE7" w:rsidRDefault="00A63CD3" w:rsidP="0000060D">
            <w:pPr>
              <w:spacing w:after="0" w:line="240" w:lineRule="auto"/>
              <w:jc w:val="center"/>
              <w:rPr>
                <w:rFonts w:ascii="Times New Roman" w:eastAsia="SimSun" w:hAnsi="Times New Roman" w:cs="Times New Roman"/>
                <w:bCs/>
                <w:color w:val="000000" w:themeColor="text1"/>
                <w:sz w:val="20"/>
                <w:szCs w:val="20"/>
                <w:lang w:eastAsia="zh-CN"/>
              </w:rPr>
            </w:pPr>
            <w:r w:rsidRPr="00601EE7">
              <w:rPr>
                <w:rFonts w:ascii="Times New Roman" w:eastAsia="SimSun" w:hAnsi="Times New Roman" w:cs="Times New Roman"/>
                <w:bCs/>
                <w:color w:val="000000" w:themeColor="text1"/>
                <w:sz w:val="20"/>
                <w:szCs w:val="20"/>
                <w:lang w:eastAsia="zh-CN"/>
              </w:rPr>
              <w:t>Very Important</w:t>
            </w:r>
          </w:p>
          <w:p w14:paraId="58462ABF" w14:textId="77777777" w:rsidR="00A63CD3" w:rsidRPr="00601EE7" w:rsidRDefault="00A63CD3" w:rsidP="0000060D">
            <w:pPr>
              <w:spacing w:after="0" w:line="240" w:lineRule="auto"/>
              <w:jc w:val="center"/>
              <w:rPr>
                <w:rFonts w:ascii="Times New Roman" w:eastAsia="SimSun" w:hAnsi="Times New Roman" w:cs="Times New Roman"/>
                <w:bCs/>
                <w:color w:val="000000" w:themeColor="text1"/>
                <w:sz w:val="20"/>
                <w:szCs w:val="20"/>
                <w:lang w:eastAsia="zh-CN"/>
              </w:rPr>
            </w:pPr>
            <w:r w:rsidRPr="00601EE7">
              <w:rPr>
                <w:rFonts w:ascii="Times New Roman" w:eastAsia="SimSun" w:hAnsi="Times New Roman" w:cs="Times New Roman"/>
                <w:bCs/>
                <w:color w:val="000000" w:themeColor="text1"/>
                <w:sz w:val="20"/>
                <w:szCs w:val="20"/>
                <w:lang w:eastAsia="zh-CN"/>
              </w:rPr>
              <w:t>(5)</w:t>
            </w:r>
          </w:p>
        </w:tc>
        <w:tc>
          <w:tcPr>
            <w:tcW w:w="1302" w:type="dxa"/>
            <w:tcBorders>
              <w:top w:val="single" w:sz="18" w:space="0" w:color="auto"/>
              <w:bottom w:val="single" w:sz="8" w:space="0" w:color="auto"/>
            </w:tcBorders>
            <w:shd w:val="clear" w:color="auto" w:fill="auto"/>
            <w:vAlign w:val="center"/>
          </w:tcPr>
          <w:p w14:paraId="16E2C98A" w14:textId="77777777" w:rsidR="00A63CD3" w:rsidRPr="00601EE7" w:rsidRDefault="00A63CD3" w:rsidP="0000060D">
            <w:pPr>
              <w:spacing w:after="0" w:line="240" w:lineRule="auto"/>
              <w:jc w:val="center"/>
              <w:rPr>
                <w:rFonts w:ascii="Times New Roman" w:eastAsia="SimSun" w:hAnsi="Times New Roman" w:cs="Times New Roman"/>
                <w:bCs/>
                <w:color w:val="000000" w:themeColor="text1"/>
                <w:sz w:val="20"/>
                <w:szCs w:val="20"/>
                <w:lang w:eastAsia="zh-CN"/>
              </w:rPr>
            </w:pPr>
            <w:r w:rsidRPr="00601EE7">
              <w:rPr>
                <w:rFonts w:ascii="Times New Roman" w:eastAsia="SimSun" w:hAnsi="Times New Roman" w:cs="Times New Roman"/>
                <w:bCs/>
                <w:color w:val="000000" w:themeColor="text1"/>
                <w:sz w:val="20"/>
                <w:szCs w:val="20"/>
                <w:lang w:eastAsia="zh-CN"/>
              </w:rPr>
              <w:t>Total (Frequency)</w:t>
            </w:r>
          </w:p>
          <w:p w14:paraId="155A790B" w14:textId="77777777" w:rsidR="00A63CD3" w:rsidRPr="00601EE7" w:rsidRDefault="00A63CD3" w:rsidP="0000060D">
            <w:pPr>
              <w:spacing w:after="0" w:line="240" w:lineRule="auto"/>
              <w:jc w:val="center"/>
              <w:rPr>
                <w:rFonts w:ascii="Times New Roman" w:eastAsia="SimSun" w:hAnsi="Times New Roman" w:cs="Times New Roman"/>
                <w:bCs/>
                <w:color w:val="000000" w:themeColor="text1"/>
                <w:sz w:val="20"/>
                <w:szCs w:val="20"/>
                <w:lang w:eastAsia="zh-CN"/>
              </w:rPr>
            </w:pPr>
            <w:r w:rsidRPr="00601EE7">
              <w:rPr>
                <w:rFonts w:ascii="Times New Roman" w:eastAsia="SimSun" w:hAnsi="Times New Roman" w:cs="Times New Roman"/>
                <w:bCs/>
                <w:color w:val="000000" w:themeColor="text1"/>
                <w:sz w:val="20"/>
                <w:szCs w:val="20"/>
                <w:lang w:eastAsia="zh-CN"/>
              </w:rPr>
              <w:t>(n)</w:t>
            </w:r>
          </w:p>
        </w:tc>
        <w:tc>
          <w:tcPr>
            <w:tcW w:w="0" w:type="auto"/>
            <w:tcBorders>
              <w:top w:val="single" w:sz="18" w:space="0" w:color="auto"/>
              <w:bottom w:val="single" w:sz="8" w:space="0" w:color="auto"/>
            </w:tcBorders>
            <w:shd w:val="clear" w:color="auto" w:fill="auto"/>
            <w:vAlign w:val="center"/>
          </w:tcPr>
          <w:p w14:paraId="4AE26087" w14:textId="77777777" w:rsidR="00A63CD3" w:rsidRPr="00601EE7" w:rsidRDefault="00A63CD3" w:rsidP="0000060D">
            <w:pPr>
              <w:spacing w:after="0" w:line="240" w:lineRule="auto"/>
              <w:jc w:val="center"/>
              <w:rPr>
                <w:rFonts w:ascii="Times New Roman" w:eastAsia="SimSun" w:hAnsi="Times New Roman" w:cs="Times New Roman"/>
                <w:bCs/>
                <w:color w:val="000000" w:themeColor="text1"/>
                <w:sz w:val="20"/>
                <w:szCs w:val="20"/>
                <w:lang w:eastAsia="zh-CN"/>
              </w:rPr>
            </w:pPr>
            <w:r w:rsidRPr="00601EE7">
              <w:rPr>
                <w:rFonts w:ascii="Times New Roman" w:eastAsia="SimSun" w:hAnsi="Times New Roman" w:cs="Times New Roman"/>
                <w:bCs/>
                <w:color w:val="000000" w:themeColor="text1"/>
                <w:sz w:val="20"/>
                <w:szCs w:val="20"/>
                <w:lang w:eastAsia="zh-CN"/>
              </w:rPr>
              <w:t>TWV</w:t>
            </w:r>
          </w:p>
        </w:tc>
        <w:tc>
          <w:tcPr>
            <w:tcW w:w="0" w:type="auto"/>
            <w:tcBorders>
              <w:top w:val="single" w:sz="18" w:space="0" w:color="auto"/>
              <w:bottom w:val="single" w:sz="8" w:space="0" w:color="auto"/>
            </w:tcBorders>
            <w:shd w:val="clear" w:color="auto" w:fill="auto"/>
            <w:vAlign w:val="center"/>
          </w:tcPr>
          <w:p w14:paraId="699E0A76" w14:textId="77777777" w:rsidR="00A63CD3" w:rsidRPr="00601EE7" w:rsidRDefault="00A63CD3" w:rsidP="0000060D">
            <w:pPr>
              <w:spacing w:after="0" w:line="240" w:lineRule="auto"/>
              <w:jc w:val="center"/>
              <w:rPr>
                <w:rFonts w:ascii="Times New Roman" w:eastAsia="SimSun" w:hAnsi="Times New Roman" w:cs="Times New Roman"/>
                <w:bCs/>
                <w:color w:val="000000" w:themeColor="text1"/>
                <w:sz w:val="20"/>
                <w:szCs w:val="20"/>
                <w:lang w:eastAsia="zh-CN"/>
              </w:rPr>
            </w:pPr>
            <w:r w:rsidRPr="00601EE7">
              <w:rPr>
                <w:rFonts w:ascii="Times New Roman" w:eastAsia="SimSun" w:hAnsi="Times New Roman" w:cs="Times New Roman"/>
                <w:bCs/>
                <w:color w:val="000000" w:themeColor="text1"/>
                <w:sz w:val="20"/>
                <w:szCs w:val="20"/>
                <w:lang w:eastAsia="zh-CN"/>
              </w:rPr>
              <w:t>TWV/n</w:t>
            </w:r>
          </w:p>
        </w:tc>
      </w:tr>
      <w:tr w:rsidR="00A63CD3" w:rsidRPr="00601EE7" w14:paraId="0B6EDE3F" w14:textId="77777777" w:rsidTr="00601EE7">
        <w:tc>
          <w:tcPr>
            <w:tcW w:w="0" w:type="auto"/>
            <w:tcBorders>
              <w:top w:val="single" w:sz="8" w:space="0" w:color="auto"/>
            </w:tcBorders>
          </w:tcPr>
          <w:p w14:paraId="0E79CCD5"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w:t>
            </w:r>
          </w:p>
        </w:tc>
        <w:tc>
          <w:tcPr>
            <w:tcW w:w="0" w:type="auto"/>
            <w:tcBorders>
              <w:top w:val="single" w:sz="8" w:space="0" w:color="auto"/>
            </w:tcBorders>
            <w:shd w:val="clear" w:color="auto" w:fill="auto"/>
          </w:tcPr>
          <w:p w14:paraId="71B3CE7C"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Accessibility features</w:t>
            </w:r>
          </w:p>
        </w:tc>
        <w:tc>
          <w:tcPr>
            <w:tcW w:w="0" w:type="auto"/>
            <w:tcBorders>
              <w:top w:val="single" w:sz="8" w:space="0" w:color="auto"/>
            </w:tcBorders>
            <w:shd w:val="clear" w:color="auto" w:fill="auto"/>
          </w:tcPr>
          <w:p w14:paraId="1A05535A"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0</w:t>
            </w:r>
          </w:p>
        </w:tc>
        <w:tc>
          <w:tcPr>
            <w:tcW w:w="0" w:type="auto"/>
            <w:tcBorders>
              <w:top w:val="single" w:sz="8" w:space="0" w:color="auto"/>
            </w:tcBorders>
            <w:shd w:val="clear" w:color="auto" w:fill="auto"/>
          </w:tcPr>
          <w:p w14:paraId="595B512D"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w:t>
            </w:r>
          </w:p>
        </w:tc>
        <w:tc>
          <w:tcPr>
            <w:tcW w:w="0" w:type="auto"/>
            <w:tcBorders>
              <w:top w:val="single" w:sz="8" w:space="0" w:color="auto"/>
            </w:tcBorders>
            <w:shd w:val="clear" w:color="auto" w:fill="auto"/>
          </w:tcPr>
          <w:p w14:paraId="1F460F01"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10</w:t>
            </w:r>
          </w:p>
        </w:tc>
        <w:tc>
          <w:tcPr>
            <w:tcW w:w="0" w:type="auto"/>
            <w:tcBorders>
              <w:top w:val="single" w:sz="8" w:space="0" w:color="auto"/>
            </w:tcBorders>
            <w:shd w:val="clear" w:color="auto" w:fill="auto"/>
          </w:tcPr>
          <w:p w14:paraId="5DBA632B"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130</w:t>
            </w:r>
          </w:p>
        </w:tc>
        <w:tc>
          <w:tcPr>
            <w:tcW w:w="0" w:type="auto"/>
            <w:tcBorders>
              <w:top w:val="single" w:sz="8" w:space="0" w:color="auto"/>
            </w:tcBorders>
            <w:shd w:val="clear" w:color="auto" w:fill="auto"/>
          </w:tcPr>
          <w:p w14:paraId="527B3F3D"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173</w:t>
            </w:r>
          </w:p>
        </w:tc>
        <w:tc>
          <w:tcPr>
            <w:tcW w:w="1302" w:type="dxa"/>
            <w:tcBorders>
              <w:top w:val="single" w:sz="8" w:space="0" w:color="auto"/>
            </w:tcBorders>
            <w:shd w:val="clear" w:color="auto" w:fill="auto"/>
          </w:tcPr>
          <w:p w14:paraId="5D35E019"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317</w:t>
            </w:r>
          </w:p>
        </w:tc>
        <w:tc>
          <w:tcPr>
            <w:tcW w:w="0" w:type="auto"/>
            <w:tcBorders>
              <w:top w:val="single" w:sz="8" w:space="0" w:color="auto"/>
            </w:tcBorders>
            <w:shd w:val="clear" w:color="auto" w:fill="auto"/>
          </w:tcPr>
          <w:p w14:paraId="76E31039"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1423</w:t>
            </w:r>
          </w:p>
        </w:tc>
        <w:tc>
          <w:tcPr>
            <w:tcW w:w="0" w:type="auto"/>
            <w:tcBorders>
              <w:top w:val="single" w:sz="8" w:space="0" w:color="auto"/>
            </w:tcBorders>
            <w:shd w:val="clear" w:color="auto" w:fill="auto"/>
          </w:tcPr>
          <w:p w14:paraId="7FF23F2F"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4.49</w:t>
            </w:r>
          </w:p>
        </w:tc>
      </w:tr>
      <w:tr w:rsidR="00A63CD3" w:rsidRPr="00601EE7" w14:paraId="70A7F7B9" w14:textId="77777777" w:rsidTr="00601EE7">
        <w:tc>
          <w:tcPr>
            <w:tcW w:w="0" w:type="auto"/>
          </w:tcPr>
          <w:p w14:paraId="3750C737"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2</w:t>
            </w:r>
          </w:p>
        </w:tc>
        <w:tc>
          <w:tcPr>
            <w:tcW w:w="0" w:type="auto"/>
            <w:shd w:val="clear" w:color="auto" w:fill="auto"/>
          </w:tcPr>
          <w:p w14:paraId="30F768E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Seating areas</w:t>
            </w:r>
          </w:p>
        </w:tc>
        <w:tc>
          <w:tcPr>
            <w:tcW w:w="0" w:type="auto"/>
            <w:shd w:val="clear" w:color="auto" w:fill="auto"/>
          </w:tcPr>
          <w:p w14:paraId="1E7FB97D"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2</w:t>
            </w:r>
          </w:p>
        </w:tc>
        <w:tc>
          <w:tcPr>
            <w:tcW w:w="0" w:type="auto"/>
            <w:shd w:val="clear" w:color="auto" w:fill="auto"/>
          </w:tcPr>
          <w:p w14:paraId="24FBAEE7"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15</w:t>
            </w:r>
          </w:p>
        </w:tc>
        <w:tc>
          <w:tcPr>
            <w:tcW w:w="0" w:type="auto"/>
            <w:shd w:val="clear" w:color="auto" w:fill="auto"/>
          </w:tcPr>
          <w:p w14:paraId="66719A20"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40</w:t>
            </w:r>
          </w:p>
        </w:tc>
        <w:tc>
          <w:tcPr>
            <w:tcW w:w="0" w:type="auto"/>
            <w:shd w:val="clear" w:color="auto" w:fill="auto"/>
          </w:tcPr>
          <w:p w14:paraId="2F329F08"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40</w:t>
            </w:r>
          </w:p>
        </w:tc>
        <w:tc>
          <w:tcPr>
            <w:tcW w:w="0" w:type="auto"/>
            <w:shd w:val="clear" w:color="auto" w:fill="auto"/>
          </w:tcPr>
          <w:p w14:paraId="440BD4D7"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220</w:t>
            </w:r>
          </w:p>
        </w:tc>
        <w:tc>
          <w:tcPr>
            <w:tcW w:w="1302" w:type="dxa"/>
            <w:shd w:val="clear" w:color="auto" w:fill="auto"/>
          </w:tcPr>
          <w:p w14:paraId="14F11B4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317</w:t>
            </w:r>
          </w:p>
        </w:tc>
        <w:tc>
          <w:tcPr>
            <w:tcW w:w="0" w:type="auto"/>
            <w:shd w:val="clear" w:color="auto" w:fill="auto"/>
          </w:tcPr>
          <w:p w14:paraId="00AFCD68"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1412</w:t>
            </w:r>
          </w:p>
        </w:tc>
        <w:tc>
          <w:tcPr>
            <w:tcW w:w="0" w:type="auto"/>
            <w:shd w:val="clear" w:color="auto" w:fill="auto"/>
          </w:tcPr>
          <w:p w14:paraId="7367D01E"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4.45</w:t>
            </w:r>
          </w:p>
        </w:tc>
      </w:tr>
      <w:tr w:rsidR="00A63CD3" w:rsidRPr="00601EE7" w14:paraId="2EB30E41" w14:textId="77777777" w:rsidTr="00601EE7">
        <w:tc>
          <w:tcPr>
            <w:tcW w:w="0" w:type="auto"/>
          </w:tcPr>
          <w:p w14:paraId="76D75E1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w:t>
            </w:r>
          </w:p>
        </w:tc>
        <w:tc>
          <w:tcPr>
            <w:tcW w:w="0" w:type="auto"/>
            <w:shd w:val="clear" w:color="auto" w:fill="auto"/>
          </w:tcPr>
          <w:p w14:paraId="3F41186E"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Wildlife habitats</w:t>
            </w:r>
          </w:p>
        </w:tc>
        <w:tc>
          <w:tcPr>
            <w:tcW w:w="0" w:type="auto"/>
            <w:shd w:val="clear" w:color="auto" w:fill="auto"/>
          </w:tcPr>
          <w:p w14:paraId="3F5314D8"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w:t>
            </w:r>
          </w:p>
        </w:tc>
        <w:tc>
          <w:tcPr>
            <w:tcW w:w="0" w:type="auto"/>
            <w:shd w:val="clear" w:color="auto" w:fill="auto"/>
          </w:tcPr>
          <w:p w14:paraId="715376FC"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7</w:t>
            </w:r>
          </w:p>
        </w:tc>
        <w:tc>
          <w:tcPr>
            <w:tcW w:w="0" w:type="auto"/>
            <w:shd w:val="clear" w:color="auto" w:fill="auto"/>
          </w:tcPr>
          <w:p w14:paraId="2A089D8E"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16</w:t>
            </w:r>
          </w:p>
        </w:tc>
        <w:tc>
          <w:tcPr>
            <w:tcW w:w="0" w:type="auto"/>
            <w:shd w:val="clear" w:color="auto" w:fill="auto"/>
          </w:tcPr>
          <w:p w14:paraId="27911BBE"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120</w:t>
            </w:r>
          </w:p>
        </w:tc>
        <w:tc>
          <w:tcPr>
            <w:tcW w:w="0" w:type="auto"/>
            <w:shd w:val="clear" w:color="auto" w:fill="auto"/>
          </w:tcPr>
          <w:p w14:paraId="04E2029F"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170</w:t>
            </w:r>
          </w:p>
        </w:tc>
        <w:tc>
          <w:tcPr>
            <w:tcW w:w="1302" w:type="dxa"/>
            <w:shd w:val="clear" w:color="auto" w:fill="auto"/>
          </w:tcPr>
          <w:p w14:paraId="6D8B42E2"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317</w:t>
            </w:r>
          </w:p>
        </w:tc>
        <w:tc>
          <w:tcPr>
            <w:tcW w:w="0" w:type="auto"/>
            <w:shd w:val="clear" w:color="auto" w:fill="auto"/>
          </w:tcPr>
          <w:p w14:paraId="1291CFFD"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1396</w:t>
            </w:r>
          </w:p>
        </w:tc>
        <w:tc>
          <w:tcPr>
            <w:tcW w:w="0" w:type="auto"/>
            <w:shd w:val="clear" w:color="auto" w:fill="auto"/>
          </w:tcPr>
          <w:p w14:paraId="7EE4E85C"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4.40</w:t>
            </w:r>
          </w:p>
        </w:tc>
      </w:tr>
      <w:tr w:rsidR="00A63CD3" w:rsidRPr="00601EE7" w14:paraId="55456636" w14:textId="77777777" w:rsidTr="00601EE7">
        <w:tc>
          <w:tcPr>
            <w:tcW w:w="0" w:type="auto"/>
          </w:tcPr>
          <w:p w14:paraId="26369EC5"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w:t>
            </w:r>
          </w:p>
        </w:tc>
        <w:tc>
          <w:tcPr>
            <w:tcW w:w="0" w:type="auto"/>
            <w:shd w:val="clear" w:color="auto" w:fill="auto"/>
          </w:tcPr>
          <w:p w14:paraId="1875A62A"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Pathways and walkways</w:t>
            </w:r>
          </w:p>
        </w:tc>
        <w:tc>
          <w:tcPr>
            <w:tcW w:w="0" w:type="auto"/>
            <w:shd w:val="clear" w:color="auto" w:fill="auto"/>
          </w:tcPr>
          <w:p w14:paraId="74744E61"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6</w:t>
            </w:r>
          </w:p>
        </w:tc>
        <w:tc>
          <w:tcPr>
            <w:tcW w:w="0" w:type="auto"/>
            <w:shd w:val="clear" w:color="auto" w:fill="auto"/>
          </w:tcPr>
          <w:p w14:paraId="2CEFD720"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18</w:t>
            </w:r>
          </w:p>
        </w:tc>
        <w:tc>
          <w:tcPr>
            <w:tcW w:w="0" w:type="auto"/>
            <w:shd w:val="clear" w:color="auto" w:fill="auto"/>
          </w:tcPr>
          <w:p w14:paraId="081CB215"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45</w:t>
            </w:r>
          </w:p>
        </w:tc>
        <w:tc>
          <w:tcPr>
            <w:tcW w:w="0" w:type="auto"/>
            <w:shd w:val="clear" w:color="auto" w:fill="auto"/>
          </w:tcPr>
          <w:p w14:paraId="4FE87FBB"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68</w:t>
            </w:r>
          </w:p>
        </w:tc>
        <w:tc>
          <w:tcPr>
            <w:tcW w:w="0" w:type="auto"/>
            <w:shd w:val="clear" w:color="auto" w:fill="auto"/>
          </w:tcPr>
          <w:p w14:paraId="25791A4D"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180</w:t>
            </w:r>
          </w:p>
        </w:tc>
        <w:tc>
          <w:tcPr>
            <w:tcW w:w="1302" w:type="dxa"/>
            <w:shd w:val="clear" w:color="auto" w:fill="auto"/>
          </w:tcPr>
          <w:p w14:paraId="31F2CEFF"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317</w:t>
            </w:r>
          </w:p>
        </w:tc>
        <w:tc>
          <w:tcPr>
            <w:tcW w:w="0" w:type="auto"/>
            <w:shd w:val="clear" w:color="auto" w:fill="auto"/>
          </w:tcPr>
          <w:p w14:paraId="4AFBCA01"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1349</w:t>
            </w:r>
          </w:p>
        </w:tc>
        <w:tc>
          <w:tcPr>
            <w:tcW w:w="0" w:type="auto"/>
            <w:shd w:val="clear" w:color="auto" w:fill="auto"/>
          </w:tcPr>
          <w:p w14:paraId="38815923"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4.26</w:t>
            </w:r>
          </w:p>
        </w:tc>
      </w:tr>
      <w:tr w:rsidR="00A63CD3" w:rsidRPr="00601EE7" w14:paraId="08781EBD" w14:textId="77777777" w:rsidTr="00601EE7">
        <w:tc>
          <w:tcPr>
            <w:tcW w:w="0" w:type="auto"/>
          </w:tcPr>
          <w:p w14:paraId="626EFEEE"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5</w:t>
            </w:r>
          </w:p>
        </w:tc>
        <w:tc>
          <w:tcPr>
            <w:tcW w:w="0" w:type="auto"/>
            <w:shd w:val="clear" w:color="auto" w:fill="auto"/>
          </w:tcPr>
          <w:p w14:paraId="5736DE1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Gardens</w:t>
            </w:r>
          </w:p>
        </w:tc>
        <w:tc>
          <w:tcPr>
            <w:tcW w:w="0" w:type="auto"/>
            <w:shd w:val="clear" w:color="auto" w:fill="auto"/>
          </w:tcPr>
          <w:p w14:paraId="6EF29B80"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6</w:t>
            </w:r>
          </w:p>
        </w:tc>
        <w:tc>
          <w:tcPr>
            <w:tcW w:w="0" w:type="auto"/>
            <w:shd w:val="clear" w:color="auto" w:fill="auto"/>
          </w:tcPr>
          <w:p w14:paraId="6C446F77"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18</w:t>
            </w:r>
          </w:p>
        </w:tc>
        <w:tc>
          <w:tcPr>
            <w:tcW w:w="0" w:type="auto"/>
            <w:shd w:val="clear" w:color="auto" w:fill="auto"/>
          </w:tcPr>
          <w:p w14:paraId="18750CB6"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45</w:t>
            </w:r>
          </w:p>
        </w:tc>
        <w:tc>
          <w:tcPr>
            <w:tcW w:w="0" w:type="auto"/>
            <w:shd w:val="clear" w:color="auto" w:fill="auto"/>
          </w:tcPr>
          <w:p w14:paraId="5D756BEC"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68</w:t>
            </w:r>
          </w:p>
        </w:tc>
        <w:tc>
          <w:tcPr>
            <w:tcW w:w="0" w:type="auto"/>
            <w:shd w:val="clear" w:color="auto" w:fill="auto"/>
          </w:tcPr>
          <w:p w14:paraId="7CBA1359"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180</w:t>
            </w:r>
          </w:p>
        </w:tc>
        <w:tc>
          <w:tcPr>
            <w:tcW w:w="1302" w:type="dxa"/>
            <w:shd w:val="clear" w:color="auto" w:fill="auto"/>
          </w:tcPr>
          <w:p w14:paraId="09853CA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317</w:t>
            </w:r>
          </w:p>
        </w:tc>
        <w:tc>
          <w:tcPr>
            <w:tcW w:w="0" w:type="auto"/>
            <w:shd w:val="clear" w:color="auto" w:fill="auto"/>
          </w:tcPr>
          <w:p w14:paraId="57740411"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1349</w:t>
            </w:r>
          </w:p>
        </w:tc>
        <w:tc>
          <w:tcPr>
            <w:tcW w:w="0" w:type="auto"/>
            <w:shd w:val="clear" w:color="auto" w:fill="auto"/>
          </w:tcPr>
          <w:p w14:paraId="18CCEBA0"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4.26</w:t>
            </w:r>
          </w:p>
        </w:tc>
      </w:tr>
      <w:tr w:rsidR="00A63CD3" w:rsidRPr="00601EE7" w14:paraId="38E4FFB5" w14:textId="77777777" w:rsidTr="00601EE7">
        <w:tc>
          <w:tcPr>
            <w:tcW w:w="0" w:type="auto"/>
          </w:tcPr>
          <w:p w14:paraId="033FE253"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6</w:t>
            </w:r>
          </w:p>
        </w:tc>
        <w:tc>
          <w:tcPr>
            <w:tcW w:w="0" w:type="auto"/>
            <w:shd w:val="clear" w:color="auto" w:fill="auto"/>
          </w:tcPr>
          <w:p w14:paraId="44DA3D5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Signage and information boards</w:t>
            </w:r>
          </w:p>
        </w:tc>
        <w:tc>
          <w:tcPr>
            <w:tcW w:w="0" w:type="auto"/>
            <w:shd w:val="clear" w:color="auto" w:fill="auto"/>
          </w:tcPr>
          <w:p w14:paraId="036F9BAF"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w:t>
            </w:r>
          </w:p>
        </w:tc>
        <w:tc>
          <w:tcPr>
            <w:tcW w:w="0" w:type="auto"/>
            <w:shd w:val="clear" w:color="auto" w:fill="auto"/>
          </w:tcPr>
          <w:p w14:paraId="6BB43CB9"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10</w:t>
            </w:r>
          </w:p>
        </w:tc>
        <w:tc>
          <w:tcPr>
            <w:tcW w:w="0" w:type="auto"/>
            <w:shd w:val="clear" w:color="auto" w:fill="auto"/>
          </w:tcPr>
          <w:p w14:paraId="7C8A6F3A"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15</w:t>
            </w:r>
          </w:p>
        </w:tc>
        <w:tc>
          <w:tcPr>
            <w:tcW w:w="0" w:type="auto"/>
            <w:shd w:val="clear" w:color="auto" w:fill="auto"/>
          </w:tcPr>
          <w:p w14:paraId="65DA052B"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180</w:t>
            </w:r>
          </w:p>
        </w:tc>
        <w:tc>
          <w:tcPr>
            <w:tcW w:w="0" w:type="auto"/>
            <w:shd w:val="clear" w:color="auto" w:fill="auto"/>
          </w:tcPr>
          <w:p w14:paraId="7805419F"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108</w:t>
            </w:r>
          </w:p>
        </w:tc>
        <w:tc>
          <w:tcPr>
            <w:tcW w:w="1302" w:type="dxa"/>
            <w:shd w:val="clear" w:color="auto" w:fill="auto"/>
          </w:tcPr>
          <w:p w14:paraId="7CB36C6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317</w:t>
            </w:r>
          </w:p>
        </w:tc>
        <w:tc>
          <w:tcPr>
            <w:tcW w:w="0" w:type="auto"/>
            <w:shd w:val="clear" w:color="auto" w:fill="auto"/>
          </w:tcPr>
          <w:p w14:paraId="0A522D72"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1329</w:t>
            </w:r>
          </w:p>
        </w:tc>
        <w:tc>
          <w:tcPr>
            <w:tcW w:w="0" w:type="auto"/>
            <w:shd w:val="clear" w:color="auto" w:fill="auto"/>
          </w:tcPr>
          <w:p w14:paraId="0DA61E4C"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4.19</w:t>
            </w:r>
          </w:p>
        </w:tc>
      </w:tr>
      <w:tr w:rsidR="00A63CD3" w:rsidRPr="00601EE7" w14:paraId="4D4DE7E4" w14:textId="77777777" w:rsidTr="00601EE7">
        <w:tc>
          <w:tcPr>
            <w:tcW w:w="0" w:type="auto"/>
          </w:tcPr>
          <w:p w14:paraId="4432A223"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7</w:t>
            </w:r>
          </w:p>
        </w:tc>
        <w:tc>
          <w:tcPr>
            <w:tcW w:w="0" w:type="auto"/>
            <w:shd w:val="clear" w:color="auto" w:fill="auto"/>
          </w:tcPr>
          <w:p w14:paraId="6582FB52"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Leisure gardening</w:t>
            </w:r>
          </w:p>
        </w:tc>
        <w:tc>
          <w:tcPr>
            <w:tcW w:w="0" w:type="auto"/>
            <w:shd w:val="clear" w:color="auto" w:fill="auto"/>
          </w:tcPr>
          <w:p w14:paraId="6CF05420"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w:t>
            </w:r>
          </w:p>
        </w:tc>
        <w:tc>
          <w:tcPr>
            <w:tcW w:w="0" w:type="auto"/>
            <w:shd w:val="clear" w:color="auto" w:fill="auto"/>
          </w:tcPr>
          <w:p w14:paraId="5AD83993"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10</w:t>
            </w:r>
          </w:p>
        </w:tc>
        <w:tc>
          <w:tcPr>
            <w:tcW w:w="0" w:type="auto"/>
            <w:shd w:val="clear" w:color="auto" w:fill="auto"/>
          </w:tcPr>
          <w:p w14:paraId="34259040"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15</w:t>
            </w:r>
          </w:p>
        </w:tc>
        <w:tc>
          <w:tcPr>
            <w:tcW w:w="0" w:type="auto"/>
            <w:shd w:val="clear" w:color="auto" w:fill="auto"/>
          </w:tcPr>
          <w:p w14:paraId="201BA48B"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180</w:t>
            </w:r>
          </w:p>
        </w:tc>
        <w:tc>
          <w:tcPr>
            <w:tcW w:w="0" w:type="auto"/>
            <w:shd w:val="clear" w:color="auto" w:fill="auto"/>
          </w:tcPr>
          <w:p w14:paraId="5F84324D"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108</w:t>
            </w:r>
          </w:p>
        </w:tc>
        <w:tc>
          <w:tcPr>
            <w:tcW w:w="1302" w:type="dxa"/>
            <w:shd w:val="clear" w:color="auto" w:fill="auto"/>
          </w:tcPr>
          <w:p w14:paraId="6D8A8A96"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317</w:t>
            </w:r>
          </w:p>
        </w:tc>
        <w:tc>
          <w:tcPr>
            <w:tcW w:w="0" w:type="auto"/>
            <w:shd w:val="clear" w:color="auto" w:fill="auto"/>
          </w:tcPr>
          <w:p w14:paraId="76F39BCB"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1329</w:t>
            </w:r>
          </w:p>
        </w:tc>
        <w:tc>
          <w:tcPr>
            <w:tcW w:w="0" w:type="auto"/>
            <w:shd w:val="clear" w:color="auto" w:fill="auto"/>
          </w:tcPr>
          <w:p w14:paraId="7AACABF6"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4.19</w:t>
            </w:r>
          </w:p>
        </w:tc>
      </w:tr>
      <w:tr w:rsidR="00A63CD3" w:rsidRPr="00601EE7" w14:paraId="016F2751" w14:textId="77777777" w:rsidTr="00601EE7">
        <w:tc>
          <w:tcPr>
            <w:tcW w:w="0" w:type="auto"/>
          </w:tcPr>
          <w:p w14:paraId="40C5E27B"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8</w:t>
            </w:r>
          </w:p>
        </w:tc>
        <w:tc>
          <w:tcPr>
            <w:tcW w:w="0" w:type="auto"/>
            <w:shd w:val="clear" w:color="auto" w:fill="auto"/>
          </w:tcPr>
          <w:p w14:paraId="028E5B8F"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Driveways</w:t>
            </w:r>
          </w:p>
        </w:tc>
        <w:tc>
          <w:tcPr>
            <w:tcW w:w="0" w:type="auto"/>
            <w:shd w:val="clear" w:color="auto" w:fill="auto"/>
          </w:tcPr>
          <w:p w14:paraId="2A5B2C61"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w:t>
            </w:r>
          </w:p>
        </w:tc>
        <w:tc>
          <w:tcPr>
            <w:tcW w:w="0" w:type="auto"/>
            <w:shd w:val="clear" w:color="auto" w:fill="auto"/>
          </w:tcPr>
          <w:p w14:paraId="06C25E42"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10</w:t>
            </w:r>
          </w:p>
        </w:tc>
        <w:tc>
          <w:tcPr>
            <w:tcW w:w="0" w:type="auto"/>
            <w:shd w:val="clear" w:color="auto" w:fill="auto"/>
          </w:tcPr>
          <w:p w14:paraId="69A6CC5C"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15</w:t>
            </w:r>
          </w:p>
        </w:tc>
        <w:tc>
          <w:tcPr>
            <w:tcW w:w="0" w:type="auto"/>
            <w:shd w:val="clear" w:color="auto" w:fill="auto"/>
          </w:tcPr>
          <w:p w14:paraId="3EFAE31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180</w:t>
            </w:r>
          </w:p>
        </w:tc>
        <w:tc>
          <w:tcPr>
            <w:tcW w:w="0" w:type="auto"/>
            <w:shd w:val="clear" w:color="auto" w:fill="auto"/>
          </w:tcPr>
          <w:p w14:paraId="39E64132"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108</w:t>
            </w:r>
          </w:p>
        </w:tc>
        <w:tc>
          <w:tcPr>
            <w:tcW w:w="1302" w:type="dxa"/>
            <w:shd w:val="clear" w:color="auto" w:fill="auto"/>
          </w:tcPr>
          <w:p w14:paraId="515FE737"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317</w:t>
            </w:r>
          </w:p>
        </w:tc>
        <w:tc>
          <w:tcPr>
            <w:tcW w:w="0" w:type="auto"/>
            <w:shd w:val="clear" w:color="auto" w:fill="auto"/>
          </w:tcPr>
          <w:p w14:paraId="673610D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1329</w:t>
            </w:r>
          </w:p>
        </w:tc>
        <w:tc>
          <w:tcPr>
            <w:tcW w:w="0" w:type="auto"/>
            <w:shd w:val="clear" w:color="auto" w:fill="auto"/>
          </w:tcPr>
          <w:p w14:paraId="20308BC7"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4.19</w:t>
            </w:r>
          </w:p>
        </w:tc>
      </w:tr>
      <w:tr w:rsidR="00A63CD3" w:rsidRPr="00601EE7" w14:paraId="1A0AD141" w14:textId="77777777" w:rsidTr="00601EE7">
        <w:tc>
          <w:tcPr>
            <w:tcW w:w="0" w:type="auto"/>
          </w:tcPr>
          <w:p w14:paraId="2043EF9F"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9</w:t>
            </w:r>
          </w:p>
        </w:tc>
        <w:tc>
          <w:tcPr>
            <w:tcW w:w="0" w:type="auto"/>
            <w:shd w:val="clear" w:color="auto" w:fill="auto"/>
          </w:tcPr>
          <w:p w14:paraId="694C6C25"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Building fence and gate</w:t>
            </w:r>
          </w:p>
        </w:tc>
        <w:tc>
          <w:tcPr>
            <w:tcW w:w="0" w:type="auto"/>
            <w:shd w:val="clear" w:color="auto" w:fill="auto"/>
          </w:tcPr>
          <w:p w14:paraId="33DDB46D"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6</w:t>
            </w:r>
          </w:p>
        </w:tc>
        <w:tc>
          <w:tcPr>
            <w:tcW w:w="0" w:type="auto"/>
            <w:shd w:val="clear" w:color="auto" w:fill="auto"/>
          </w:tcPr>
          <w:p w14:paraId="5B5F87D2"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7</w:t>
            </w:r>
          </w:p>
        </w:tc>
        <w:tc>
          <w:tcPr>
            <w:tcW w:w="0" w:type="auto"/>
            <w:shd w:val="clear" w:color="auto" w:fill="auto"/>
          </w:tcPr>
          <w:p w14:paraId="7AEA7567"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45</w:t>
            </w:r>
          </w:p>
        </w:tc>
        <w:tc>
          <w:tcPr>
            <w:tcW w:w="0" w:type="auto"/>
            <w:shd w:val="clear" w:color="auto" w:fill="auto"/>
          </w:tcPr>
          <w:p w14:paraId="0FA6E2C3"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135</w:t>
            </w:r>
          </w:p>
        </w:tc>
        <w:tc>
          <w:tcPr>
            <w:tcW w:w="0" w:type="auto"/>
            <w:shd w:val="clear" w:color="auto" w:fill="auto"/>
          </w:tcPr>
          <w:p w14:paraId="10560D83"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124</w:t>
            </w:r>
          </w:p>
        </w:tc>
        <w:tc>
          <w:tcPr>
            <w:tcW w:w="1302" w:type="dxa"/>
            <w:shd w:val="clear" w:color="auto" w:fill="auto"/>
          </w:tcPr>
          <w:p w14:paraId="505116AF"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317</w:t>
            </w:r>
          </w:p>
        </w:tc>
        <w:tc>
          <w:tcPr>
            <w:tcW w:w="0" w:type="auto"/>
            <w:shd w:val="clear" w:color="auto" w:fill="auto"/>
          </w:tcPr>
          <w:p w14:paraId="51E004F9"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1315</w:t>
            </w:r>
          </w:p>
        </w:tc>
        <w:tc>
          <w:tcPr>
            <w:tcW w:w="0" w:type="auto"/>
            <w:shd w:val="clear" w:color="auto" w:fill="auto"/>
          </w:tcPr>
          <w:p w14:paraId="1A2BB6A6"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4.15</w:t>
            </w:r>
          </w:p>
        </w:tc>
      </w:tr>
      <w:tr w:rsidR="00A63CD3" w:rsidRPr="00601EE7" w14:paraId="1C7ACC53" w14:textId="77777777" w:rsidTr="00601EE7">
        <w:tc>
          <w:tcPr>
            <w:tcW w:w="0" w:type="auto"/>
          </w:tcPr>
          <w:p w14:paraId="2C0A6103"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10</w:t>
            </w:r>
          </w:p>
        </w:tc>
        <w:tc>
          <w:tcPr>
            <w:tcW w:w="0" w:type="auto"/>
            <w:shd w:val="clear" w:color="auto" w:fill="auto"/>
          </w:tcPr>
          <w:p w14:paraId="253884FC"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Paving stones</w:t>
            </w:r>
          </w:p>
        </w:tc>
        <w:tc>
          <w:tcPr>
            <w:tcW w:w="0" w:type="auto"/>
            <w:shd w:val="clear" w:color="auto" w:fill="auto"/>
          </w:tcPr>
          <w:p w14:paraId="045289AC"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9</w:t>
            </w:r>
          </w:p>
        </w:tc>
        <w:tc>
          <w:tcPr>
            <w:tcW w:w="0" w:type="auto"/>
            <w:shd w:val="clear" w:color="auto" w:fill="auto"/>
          </w:tcPr>
          <w:p w14:paraId="6D7841F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12</w:t>
            </w:r>
          </w:p>
        </w:tc>
        <w:tc>
          <w:tcPr>
            <w:tcW w:w="0" w:type="auto"/>
            <w:shd w:val="clear" w:color="auto" w:fill="auto"/>
          </w:tcPr>
          <w:p w14:paraId="39872FDE"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45</w:t>
            </w:r>
          </w:p>
        </w:tc>
        <w:tc>
          <w:tcPr>
            <w:tcW w:w="0" w:type="auto"/>
            <w:shd w:val="clear" w:color="auto" w:fill="auto"/>
          </w:tcPr>
          <w:p w14:paraId="124425CD"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130</w:t>
            </w:r>
          </w:p>
        </w:tc>
        <w:tc>
          <w:tcPr>
            <w:tcW w:w="0" w:type="auto"/>
            <w:shd w:val="clear" w:color="auto" w:fill="auto"/>
          </w:tcPr>
          <w:p w14:paraId="5B6AEE41"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121</w:t>
            </w:r>
          </w:p>
        </w:tc>
        <w:tc>
          <w:tcPr>
            <w:tcW w:w="1302" w:type="dxa"/>
            <w:shd w:val="clear" w:color="auto" w:fill="auto"/>
          </w:tcPr>
          <w:p w14:paraId="30432A1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317</w:t>
            </w:r>
          </w:p>
        </w:tc>
        <w:tc>
          <w:tcPr>
            <w:tcW w:w="0" w:type="auto"/>
            <w:shd w:val="clear" w:color="auto" w:fill="auto"/>
          </w:tcPr>
          <w:p w14:paraId="1BB1FB6A"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1293</w:t>
            </w:r>
          </w:p>
        </w:tc>
        <w:tc>
          <w:tcPr>
            <w:tcW w:w="0" w:type="auto"/>
            <w:shd w:val="clear" w:color="auto" w:fill="auto"/>
          </w:tcPr>
          <w:p w14:paraId="1606C330"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4.08</w:t>
            </w:r>
          </w:p>
        </w:tc>
      </w:tr>
      <w:tr w:rsidR="00A63CD3" w:rsidRPr="00601EE7" w14:paraId="67191991" w14:textId="77777777" w:rsidTr="00601EE7">
        <w:tc>
          <w:tcPr>
            <w:tcW w:w="0" w:type="auto"/>
          </w:tcPr>
          <w:p w14:paraId="2DFD555C"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11</w:t>
            </w:r>
          </w:p>
        </w:tc>
        <w:tc>
          <w:tcPr>
            <w:tcW w:w="0" w:type="auto"/>
            <w:shd w:val="clear" w:color="auto" w:fill="auto"/>
          </w:tcPr>
          <w:p w14:paraId="6AC06FA7"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Statues and sculptures</w:t>
            </w:r>
          </w:p>
        </w:tc>
        <w:tc>
          <w:tcPr>
            <w:tcW w:w="0" w:type="auto"/>
            <w:shd w:val="clear" w:color="auto" w:fill="auto"/>
          </w:tcPr>
          <w:p w14:paraId="73885393"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2</w:t>
            </w:r>
          </w:p>
        </w:tc>
        <w:tc>
          <w:tcPr>
            <w:tcW w:w="0" w:type="auto"/>
            <w:shd w:val="clear" w:color="auto" w:fill="auto"/>
          </w:tcPr>
          <w:p w14:paraId="4FFB1C8C"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w:t>
            </w:r>
          </w:p>
        </w:tc>
        <w:tc>
          <w:tcPr>
            <w:tcW w:w="0" w:type="auto"/>
            <w:shd w:val="clear" w:color="auto" w:fill="auto"/>
          </w:tcPr>
          <w:p w14:paraId="6F83014C"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88</w:t>
            </w:r>
          </w:p>
        </w:tc>
        <w:tc>
          <w:tcPr>
            <w:tcW w:w="0" w:type="auto"/>
            <w:shd w:val="clear" w:color="auto" w:fill="auto"/>
          </w:tcPr>
          <w:p w14:paraId="0FD5A3AB"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120</w:t>
            </w:r>
          </w:p>
        </w:tc>
        <w:tc>
          <w:tcPr>
            <w:tcW w:w="0" w:type="auto"/>
            <w:shd w:val="clear" w:color="auto" w:fill="auto"/>
          </w:tcPr>
          <w:p w14:paraId="11F48FB2"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107</w:t>
            </w:r>
          </w:p>
        </w:tc>
        <w:tc>
          <w:tcPr>
            <w:tcW w:w="1302" w:type="dxa"/>
            <w:shd w:val="clear" w:color="auto" w:fill="auto"/>
          </w:tcPr>
          <w:p w14:paraId="6E395875"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317</w:t>
            </w:r>
          </w:p>
        </w:tc>
        <w:tc>
          <w:tcPr>
            <w:tcW w:w="0" w:type="auto"/>
            <w:shd w:val="clear" w:color="auto" w:fill="auto"/>
          </w:tcPr>
          <w:p w14:paraId="29037492"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1281</w:t>
            </w:r>
          </w:p>
        </w:tc>
        <w:tc>
          <w:tcPr>
            <w:tcW w:w="0" w:type="auto"/>
            <w:shd w:val="clear" w:color="auto" w:fill="auto"/>
          </w:tcPr>
          <w:p w14:paraId="049BC675"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4.04</w:t>
            </w:r>
          </w:p>
        </w:tc>
      </w:tr>
      <w:tr w:rsidR="00A63CD3" w:rsidRPr="00601EE7" w14:paraId="7296854B" w14:textId="77777777" w:rsidTr="00601EE7">
        <w:tc>
          <w:tcPr>
            <w:tcW w:w="0" w:type="auto"/>
          </w:tcPr>
          <w:p w14:paraId="48F6D02D"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12</w:t>
            </w:r>
          </w:p>
        </w:tc>
        <w:tc>
          <w:tcPr>
            <w:tcW w:w="0" w:type="auto"/>
            <w:shd w:val="clear" w:color="auto" w:fill="auto"/>
          </w:tcPr>
          <w:p w14:paraId="3F9D3BE5"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Vegetation (trees, shrubs, lawns)</w:t>
            </w:r>
          </w:p>
        </w:tc>
        <w:tc>
          <w:tcPr>
            <w:tcW w:w="0" w:type="auto"/>
            <w:shd w:val="clear" w:color="auto" w:fill="auto"/>
          </w:tcPr>
          <w:p w14:paraId="0E0F891A"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6</w:t>
            </w:r>
          </w:p>
        </w:tc>
        <w:tc>
          <w:tcPr>
            <w:tcW w:w="0" w:type="auto"/>
            <w:shd w:val="clear" w:color="auto" w:fill="auto"/>
          </w:tcPr>
          <w:p w14:paraId="050B53CF"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15</w:t>
            </w:r>
          </w:p>
        </w:tc>
        <w:tc>
          <w:tcPr>
            <w:tcW w:w="0" w:type="auto"/>
            <w:shd w:val="clear" w:color="auto" w:fill="auto"/>
          </w:tcPr>
          <w:p w14:paraId="1E9AE9DE"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80</w:t>
            </w:r>
          </w:p>
        </w:tc>
        <w:tc>
          <w:tcPr>
            <w:tcW w:w="0" w:type="auto"/>
            <w:shd w:val="clear" w:color="auto" w:fill="auto"/>
          </w:tcPr>
          <w:p w14:paraId="380AAFEF"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96</w:t>
            </w:r>
          </w:p>
        </w:tc>
        <w:tc>
          <w:tcPr>
            <w:tcW w:w="0" w:type="auto"/>
            <w:shd w:val="clear" w:color="auto" w:fill="auto"/>
          </w:tcPr>
          <w:p w14:paraId="0D0C25D7"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120</w:t>
            </w:r>
          </w:p>
        </w:tc>
        <w:tc>
          <w:tcPr>
            <w:tcW w:w="1302" w:type="dxa"/>
            <w:shd w:val="clear" w:color="auto" w:fill="auto"/>
          </w:tcPr>
          <w:p w14:paraId="26145D8F"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317</w:t>
            </w:r>
          </w:p>
        </w:tc>
        <w:tc>
          <w:tcPr>
            <w:tcW w:w="0" w:type="auto"/>
            <w:shd w:val="clear" w:color="auto" w:fill="auto"/>
          </w:tcPr>
          <w:p w14:paraId="7655F01E"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1260</w:t>
            </w:r>
          </w:p>
        </w:tc>
        <w:tc>
          <w:tcPr>
            <w:tcW w:w="0" w:type="auto"/>
            <w:shd w:val="clear" w:color="auto" w:fill="auto"/>
          </w:tcPr>
          <w:p w14:paraId="59E99F71"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3.97</w:t>
            </w:r>
          </w:p>
        </w:tc>
      </w:tr>
      <w:tr w:rsidR="00A63CD3" w:rsidRPr="00601EE7" w14:paraId="393CC63A" w14:textId="77777777" w:rsidTr="00601EE7">
        <w:tc>
          <w:tcPr>
            <w:tcW w:w="0" w:type="auto"/>
          </w:tcPr>
          <w:p w14:paraId="138486E2"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13</w:t>
            </w:r>
          </w:p>
        </w:tc>
        <w:tc>
          <w:tcPr>
            <w:tcW w:w="0" w:type="auto"/>
            <w:shd w:val="clear" w:color="auto" w:fill="auto"/>
          </w:tcPr>
          <w:p w14:paraId="5E3750A9"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Building texture</w:t>
            </w:r>
          </w:p>
        </w:tc>
        <w:tc>
          <w:tcPr>
            <w:tcW w:w="0" w:type="auto"/>
            <w:shd w:val="clear" w:color="auto" w:fill="auto"/>
          </w:tcPr>
          <w:p w14:paraId="0B1E44F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6</w:t>
            </w:r>
          </w:p>
        </w:tc>
        <w:tc>
          <w:tcPr>
            <w:tcW w:w="0" w:type="auto"/>
            <w:shd w:val="clear" w:color="auto" w:fill="auto"/>
          </w:tcPr>
          <w:p w14:paraId="23480B26"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15</w:t>
            </w:r>
          </w:p>
        </w:tc>
        <w:tc>
          <w:tcPr>
            <w:tcW w:w="0" w:type="auto"/>
            <w:shd w:val="clear" w:color="auto" w:fill="auto"/>
          </w:tcPr>
          <w:p w14:paraId="1DE087B9"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80</w:t>
            </w:r>
          </w:p>
        </w:tc>
        <w:tc>
          <w:tcPr>
            <w:tcW w:w="0" w:type="auto"/>
            <w:shd w:val="clear" w:color="auto" w:fill="auto"/>
          </w:tcPr>
          <w:p w14:paraId="49C392A8"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96</w:t>
            </w:r>
          </w:p>
        </w:tc>
        <w:tc>
          <w:tcPr>
            <w:tcW w:w="0" w:type="auto"/>
            <w:shd w:val="clear" w:color="auto" w:fill="auto"/>
          </w:tcPr>
          <w:p w14:paraId="6EDE17B0"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120</w:t>
            </w:r>
          </w:p>
        </w:tc>
        <w:tc>
          <w:tcPr>
            <w:tcW w:w="1302" w:type="dxa"/>
            <w:shd w:val="clear" w:color="auto" w:fill="auto"/>
          </w:tcPr>
          <w:p w14:paraId="593FA0EA"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317</w:t>
            </w:r>
          </w:p>
        </w:tc>
        <w:tc>
          <w:tcPr>
            <w:tcW w:w="0" w:type="auto"/>
            <w:shd w:val="clear" w:color="auto" w:fill="auto"/>
          </w:tcPr>
          <w:p w14:paraId="790D1316"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1260</w:t>
            </w:r>
          </w:p>
        </w:tc>
        <w:tc>
          <w:tcPr>
            <w:tcW w:w="0" w:type="auto"/>
            <w:shd w:val="clear" w:color="auto" w:fill="auto"/>
          </w:tcPr>
          <w:p w14:paraId="05A22A48"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3.97</w:t>
            </w:r>
          </w:p>
        </w:tc>
      </w:tr>
      <w:tr w:rsidR="00A63CD3" w:rsidRPr="00601EE7" w14:paraId="4AAC457B" w14:textId="77777777" w:rsidTr="00601EE7">
        <w:tc>
          <w:tcPr>
            <w:tcW w:w="0" w:type="auto"/>
          </w:tcPr>
          <w:p w14:paraId="6B8D702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14</w:t>
            </w:r>
          </w:p>
        </w:tc>
        <w:tc>
          <w:tcPr>
            <w:tcW w:w="0" w:type="auto"/>
            <w:shd w:val="clear" w:color="auto" w:fill="auto"/>
          </w:tcPr>
          <w:p w14:paraId="2C140373"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Compost bin</w:t>
            </w:r>
          </w:p>
        </w:tc>
        <w:tc>
          <w:tcPr>
            <w:tcW w:w="0" w:type="auto"/>
            <w:shd w:val="clear" w:color="auto" w:fill="auto"/>
          </w:tcPr>
          <w:p w14:paraId="16D51BAF"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25</w:t>
            </w:r>
          </w:p>
        </w:tc>
        <w:tc>
          <w:tcPr>
            <w:tcW w:w="0" w:type="auto"/>
            <w:shd w:val="clear" w:color="auto" w:fill="auto"/>
          </w:tcPr>
          <w:p w14:paraId="0893D84D"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10</w:t>
            </w:r>
          </w:p>
        </w:tc>
        <w:tc>
          <w:tcPr>
            <w:tcW w:w="0" w:type="auto"/>
            <w:shd w:val="clear" w:color="auto" w:fill="auto"/>
          </w:tcPr>
          <w:p w14:paraId="2ADDBFA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80</w:t>
            </w:r>
          </w:p>
        </w:tc>
        <w:tc>
          <w:tcPr>
            <w:tcW w:w="0" w:type="auto"/>
            <w:shd w:val="clear" w:color="auto" w:fill="auto"/>
          </w:tcPr>
          <w:p w14:paraId="180DBCDD"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82</w:t>
            </w:r>
          </w:p>
        </w:tc>
        <w:tc>
          <w:tcPr>
            <w:tcW w:w="0" w:type="auto"/>
            <w:shd w:val="clear" w:color="auto" w:fill="auto"/>
          </w:tcPr>
          <w:p w14:paraId="62132C4C"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120</w:t>
            </w:r>
          </w:p>
        </w:tc>
        <w:tc>
          <w:tcPr>
            <w:tcW w:w="1302" w:type="dxa"/>
            <w:shd w:val="clear" w:color="auto" w:fill="auto"/>
          </w:tcPr>
          <w:p w14:paraId="14973A6D"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317</w:t>
            </w:r>
          </w:p>
        </w:tc>
        <w:tc>
          <w:tcPr>
            <w:tcW w:w="0" w:type="auto"/>
            <w:shd w:val="clear" w:color="auto" w:fill="auto"/>
          </w:tcPr>
          <w:p w14:paraId="08A920C6"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1213</w:t>
            </w:r>
          </w:p>
        </w:tc>
        <w:tc>
          <w:tcPr>
            <w:tcW w:w="0" w:type="auto"/>
            <w:shd w:val="clear" w:color="auto" w:fill="auto"/>
          </w:tcPr>
          <w:p w14:paraId="5B5AEFBE"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3.83</w:t>
            </w:r>
          </w:p>
        </w:tc>
      </w:tr>
      <w:tr w:rsidR="00A63CD3" w:rsidRPr="00601EE7" w14:paraId="64EC7D75" w14:textId="77777777" w:rsidTr="00601EE7">
        <w:tc>
          <w:tcPr>
            <w:tcW w:w="0" w:type="auto"/>
          </w:tcPr>
          <w:p w14:paraId="4DF26A62"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15</w:t>
            </w:r>
          </w:p>
        </w:tc>
        <w:tc>
          <w:tcPr>
            <w:tcW w:w="0" w:type="auto"/>
            <w:shd w:val="clear" w:color="auto" w:fill="auto"/>
          </w:tcPr>
          <w:p w14:paraId="67E7FE40"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Building colour</w:t>
            </w:r>
          </w:p>
        </w:tc>
        <w:tc>
          <w:tcPr>
            <w:tcW w:w="0" w:type="auto"/>
            <w:shd w:val="clear" w:color="auto" w:fill="auto"/>
          </w:tcPr>
          <w:p w14:paraId="4A11D67C"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35</w:t>
            </w:r>
          </w:p>
        </w:tc>
        <w:tc>
          <w:tcPr>
            <w:tcW w:w="0" w:type="auto"/>
            <w:shd w:val="clear" w:color="auto" w:fill="auto"/>
          </w:tcPr>
          <w:p w14:paraId="295E28D7"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12</w:t>
            </w:r>
          </w:p>
        </w:tc>
        <w:tc>
          <w:tcPr>
            <w:tcW w:w="0" w:type="auto"/>
            <w:shd w:val="clear" w:color="auto" w:fill="auto"/>
          </w:tcPr>
          <w:p w14:paraId="1C51991F"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45</w:t>
            </w:r>
          </w:p>
        </w:tc>
        <w:tc>
          <w:tcPr>
            <w:tcW w:w="0" w:type="auto"/>
            <w:shd w:val="clear" w:color="auto" w:fill="auto"/>
          </w:tcPr>
          <w:p w14:paraId="016C0C03"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117</w:t>
            </w:r>
          </w:p>
        </w:tc>
        <w:tc>
          <w:tcPr>
            <w:tcW w:w="0" w:type="auto"/>
            <w:shd w:val="clear" w:color="auto" w:fill="auto"/>
          </w:tcPr>
          <w:p w14:paraId="29158916"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108</w:t>
            </w:r>
          </w:p>
        </w:tc>
        <w:tc>
          <w:tcPr>
            <w:tcW w:w="1302" w:type="dxa"/>
            <w:shd w:val="clear" w:color="auto" w:fill="auto"/>
          </w:tcPr>
          <w:p w14:paraId="3A38DB19"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317</w:t>
            </w:r>
          </w:p>
        </w:tc>
        <w:tc>
          <w:tcPr>
            <w:tcW w:w="0" w:type="auto"/>
            <w:shd w:val="clear" w:color="auto" w:fill="auto"/>
          </w:tcPr>
          <w:p w14:paraId="323A25B6"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1202</w:t>
            </w:r>
          </w:p>
        </w:tc>
        <w:tc>
          <w:tcPr>
            <w:tcW w:w="0" w:type="auto"/>
            <w:shd w:val="clear" w:color="auto" w:fill="auto"/>
          </w:tcPr>
          <w:p w14:paraId="7BC58E2E"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3.79</w:t>
            </w:r>
          </w:p>
        </w:tc>
      </w:tr>
      <w:tr w:rsidR="00A63CD3" w:rsidRPr="00601EE7" w14:paraId="66FACEBE" w14:textId="77777777" w:rsidTr="00601EE7">
        <w:tc>
          <w:tcPr>
            <w:tcW w:w="0" w:type="auto"/>
          </w:tcPr>
          <w:p w14:paraId="5F95F05B"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16</w:t>
            </w:r>
          </w:p>
        </w:tc>
        <w:tc>
          <w:tcPr>
            <w:tcW w:w="0" w:type="auto"/>
            <w:shd w:val="clear" w:color="auto" w:fill="auto"/>
          </w:tcPr>
          <w:p w14:paraId="1632C0C2"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Outdoor furniture</w:t>
            </w:r>
          </w:p>
        </w:tc>
        <w:tc>
          <w:tcPr>
            <w:tcW w:w="0" w:type="auto"/>
            <w:shd w:val="clear" w:color="auto" w:fill="auto"/>
          </w:tcPr>
          <w:p w14:paraId="341982F5"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10</w:t>
            </w:r>
          </w:p>
        </w:tc>
        <w:tc>
          <w:tcPr>
            <w:tcW w:w="0" w:type="auto"/>
            <w:shd w:val="clear" w:color="auto" w:fill="auto"/>
          </w:tcPr>
          <w:p w14:paraId="51C1B87C"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5</w:t>
            </w:r>
          </w:p>
        </w:tc>
        <w:tc>
          <w:tcPr>
            <w:tcW w:w="0" w:type="auto"/>
            <w:shd w:val="clear" w:color="auto" w:fill="auto"/>
          </w:tcPr>
          <w:p w14:paraId="0FCF51D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175</w:t>
            </w:r>
          </w:p>
        </w:tc>
        <w:tc>
          <w:tcPr>
            <w:tcW w:w="0" w:type="auto"/>
            <w:shd w:val="clear" w:color="auto" w:fill="auto"/>
          </w:tcPr>
          <w:p w14:paraId="1F82F142"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50</w:t>
            </w:r>
          </w:p>
        </w:tc>
        <w:tc>
          <w:tcPr>
            <w:tcW w:w="0" w:type="auto"/>
            <w:shd w:val="clear" w:color="auto" w:fill="auto"/>
          </w:tcPr>
          <w:p w14:paraId="7D6E3023"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77</w:t>
            </w:r>
          </w:p>
        </w:tc>
        <w:tc>
          <w:tcPr>
            <w:tcW w:w="1302" w:type="dxa"/>
            <w:shd w:val="clear" w:color="auto" w:fill="auto"/>
          </w:tcPr>
          <w:p w14:paraId="0739B3A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317</w:t>
            </w:r>
          </w:p>
        </w:tc>
        <w:tc>
          <w:tcPr>
            <w:tcW w:w="0" w:type="auto"/>
            <w:shd w:val="clear" w:color="auto" w:fill="auto"/>
          </w:tcPr>
          <w:p w14:paraId="4BAD570B"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1130</w:t>
            </w:r>
          </w:p>
        </w:tc>
        <w:tc>
          <w:tcPr>
            <w:tcW w:w="0" w:type="auto"/>
            <w:shd w:val="clear" w:color="auto" w:fill="auto"/>
          </w:tcPr>
          <w:p w14:paraId="53F1313D"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3.56</w:t>
            </w:r>
          </w:p>
        </w:tc>
      </w:tr>
      <w:tr w:rsidR="00A63CD3" w:rsidRPr="00601EE7" w14:paraId="56D1CE97" w14:textId="77777777" w:rsidTr="00601EE7">
        <w:tc>
          <w:tcPr>
            <w:tcW w:w="0" w:type="auto"/>
          </w:tcPr>
          <w:p w14:paraId="3EDA4A35"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lastRenderedPageBreak/>
              <w:t>17</w:t>
            </w:r>
          </w:p>
        </w:tc>
        <w:tc>
          <w:tcPr>
            <w:tcW w:w="0" w:type="auto"/>
            <w:shd w:val="clear" w:color="auto" w:fill="auto"/>
          </w:tcPr>
          <w:p w14:paraId="575D9E68"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Lighting features</w:t>
            </w:r>
          </w:p>
        </w:tc>
        <w:tc>
          <w:tcPr>
            <w:tcW w:w="0" w:type="auto"/>
            <w:shd w:val="clear" w:color="auto" w:fill="auto"/>
          </w:tcPr>
          <w:p w14:paraId="3D92DCBD"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32</w:t>
            </w:r>
          </w:p>
        </w:tc>
        <w:tc>
          <w:tcPr>
            <w:tcW w:w="0" w:type="auto"/>
            <w:shd w:val="clear" w:color="auto" w:fill="auto"/>
          </w:tcPr>
          <w:p w14:paraId="462B1A26"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45</w:t>
            </w:r>
          </w:p>
        </w:tc>
        <w:tc>
          <w:tcPr>
            <w:tcW w:w="0" w:type="auto"/>
            <w:shd w:val="clear" w:color="auto" w:fill="auto"/>
          </w:tcPr>
          <w:p w14:paraId="7E96F553"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90</w:t>
            </w:r>
          </w:p>
        </w:tc>
        <w:tc>
          <w:tcPr>
            <w:tcW w:w="0" w:type="auto"/>
            <w:shd w:val="clear" w:color="auto" w:fill="auto"/>
          </w:tcPr>
          <w:p w14:paraId="004E62F9"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20</w:t>
            </w:r>
          </w:p>
        </w:tc>
        <w:tc>
          <w:tcPr>
            <w:tcW w:w="0" w:type="auto"/>
            <w:shd w:val="clear" w:color="auto" w:fill="auto"/>
          </w:tcPr>
          <w:p w14:paraId="5A379AA2"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130</w:t>
            </w:r>
          </w:p>
        </w:tc>
        <w:tc>
          <w:tcPr>
            <w:tcW w:w="1302" w:type="dxa"/>
            <w:shd w:val="clear" w:color="auto" w:fill="auto"/>
          </w:tcPr>
          <w:p w14:paraId="22343131"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317</w:t>
            </w:r>
          </w:p>
        </w:tc>
        <w:tc>
          <w:tcPr>
            <w:tcW w:w="0" w:type="auto"/>
            <w:shd w:val="clear" w:color="auto" w:fill="auto"/>
          </w:tcPr>
          <w:p w14:paraId="474FDBB9"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1122</w:t>
            </w:r>
          </w:p>
        </w:tc>
        <w:tc>
          <w:tcPr>
            <w:tcW w:w="0" w:type="auto"/>
            <w:shd w:val="clear" w:color="auto" w:fill="auto"/>
          </w:tcPr>
          <w:p w14:paraId="5DAD278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3.54</w:t>
            </w:r>
          </w:p>
        </w:tc>
      </w:tr>
      <w:tr w:rsidR="00A63CD3" w:rsidRPr="00601EE7" w14:paraId="7D1F6D4D" w14:textId="77777777" w:rsidTr="00601EE7">
        <w:tc>
          <w:tcPr>
            <w:tcW w:w="0" w:type="auto"/>
          </w:tcPr>
          <w:p w14:paraId="49EF5650"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18</w:t>
            </w:r>
          </w:p>
        </w:tc>
        <w:tc>
          <w:tcPr>
            <w:tcW w:w="0" w:type="auto"/>
            <w:shd w:val="clear" w:color="auto" w:fill="auto"/>
          </w:tcPr>
          <w:p w14:paraId="7DCF24A2"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Building form</w:t>
            </w:r>
          </w:p>
        </w:tc>
        <w:tc>
          <w:tcPr>
            <w:tcW w:w="0" w:type="auto"/>
            <w:shd w:val="clear" w:color="auto" w:fill="auto"/>
          </w:tcPr>
          <w:p w14:paraId="0EBD586F"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20</w:t>
            </w:r>
          </w:p>
        </w:tc>
        <w:tc>
          <w:tcPr>
            <w:tcW w:w="0" w:type="auto"/>
            <w:shd w:val="clear" w:color="auto" w:fill="auto"/>
          </w:tcPr>
          <w:p w14:paraId="10F65E4A"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15</w:t>
            </w:r>
          </w:p>
        </w:tc>
        <w:tc>
          <w:tcPr>
            <w:tcW w:w="0" w:type="auto"/>
            <w:shd w:val="clear" w:color="auto" w:fill="auto"/>
          </w:tcPr>
          <w:p w14:paraId="568BE6B1"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167</w:t>
            </w:r>
          </w:p>
        </w:tc>
        <w:tc>
          <w:tcPr>
            <w:tcW w:w="0" w:type="auto"/>
            <w:shd w:val="clear" w:color="auto" w:fill="auto"/>
          </w:tcPr>
          <w:p w14:paraId="501DFBC7"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90</w:t>
            </w:r>
          </w:p>
        </w:tc>
        <w:tc>
          <w:tcPr>
            <w:tcW w:w="0" w:type="auto"/>
            <w:shd w:val="clear" w:color="auto" w:fill="auto"/>
          </w:tcPr>
          <w:p w14:paraId="2950D537"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25</w:t>
            </w:r>
          </w:p>
        </w:tc>
        <w:tc>
          <w:tcPr>
            <w:tcW w:w="1302" w:type="dxa"/>
            <w:shd w:val="clear" w:color="auto" w:fill="auto"/>
          </w:tcPr>
          <w:p w14:paraId="1D10633E"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317</w:t>
            </w:r>
          </w:p>
        </w:tc>
        <w:tc>
          <w:tcPr>
            <w:tcW w:w="0" w:type="auto"/>
            <w:shd w:val="clear" w:color="auto" w:fill="auto"/>
          </w:tcPr>
          <w:p w14:paraId="18BC0736"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1036</w:t>
            </w:r>
          </w:p>
        </w:tc>
        <w:tc>
          <w:tcPr>
            <w:tcW w:w="0" w:type="auto"/>
            <w:shd w:val="clear" w:color="auto" w:fill="auto"/>
          </w:tcPr>
          <w:p w14:paraId="006D5340"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3.27</w:t>
            </w:r>
          </w:p>
        </w:tc>
      </w:tr>
      <w:tr w:rsidR="00A63CD3" w:rsidRPr="00601EE7" w14:paraId="7526397F" w14:textId="77777777" w:rsidTr="00601EE7">
        <w:tc>
          <w:tcPr>
            <w:tcW w:w="0" w:type="auto"/>
          </w:tcPr>
          <w:p w14:paraId="39B125E0"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19</w:t>
            </w:r>
          </w:p>
        </w:tc>
        <w:tc>
          <w:tcPr>
            <w:tcW w:w="0" w:type="auto"/>
            <w:shd w:val="clear" w:color="auto" w:fill="auto"/>
          </w:tcPr>
          <w:p w14:paraId="5C06CDFA"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Recreational Spaces</w:t>
            </w:r>
          </w:p>
        </w:tc>
        <w:tc>
          <w:tcPr>
            <w:tcW w:w="0" w:type="auto"/>
            <w:shd w:val="clear" w:color="auto" w:fill="auto"/>
          </w:tcPr>
          <w:p w14:paraId="0C18D43A"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15</w:t>
            </w:r>
          </w:p>
        </w:tc>
        <w:tc>
          <w:tcPr>
            <w:tcW w:w="0" w:type="auto"/>
            <w:shd w:val="clear" w:color="auto" w:fill="auto"/>
          </w:tcPr>
          <w:p w14:paraId="2F9277D5"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16</w:t>
            </w:r>
          </w:p>
        </w:tc>
        <w:tc>
          <w:tcPr>
            <w:tcW w:w="0" w:type="auto"/>
            <w:shd w:val="clear" w:color="auto" w:fill="auto"/>
          </w:tcPr>
          <w:p w14:paraId="210BFA27"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175</w:t>
            </w:r>
          </w:p>
        </w:tc>
        <w:tc>
          <w:tcPr>
            <w:tcW w:w="0" w:type="auto"/>
            <w:shd w:val="clear" w:color="auto" w:fill="auto"/>
          </w:tcPr>
          <w:p w14:paraId="6388607D"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96</w:t>
            </w:r>
          </w:p>
        </w:tc>
        <w:tc>
          <w:tcPr>
            <w:tcW w:w="0" w:type="auto"/>
            <w:shd w:val="clear" w:color="auto" w:fill="auto"/>
          </w:tcPr>
          <w:p w14:paraId="01EA8FB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15</w:t>
            </w:r>
          </w:p>
        </w:tc>
        <w:tc>
          <w:tcPr>
            <w:tcW w:w="1302" w:type="dxa"/>
            <w:shd w:val="clear" w:color="auto" w:fill="auto"/>
          </w:tcPr>
          <w:p w14:paraId="1E979C46"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317</w:t>
            </w:r>
          </w:p>
        </w:tc>
        <w:tc>
          <w:tcPr>
            <w:tcW w:w="0" w:type="auto"/>
            <w:shd w:val="clear" w:color="auto" w:fill="auto"/>
          </w:tcPr>
          <w:p w14:paraId="3952DF88"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1031</w:t>
            </w:r>
          </w:p>
        </w:tc>
        <w:tc>
          <w:tcPr>
            <w:tcW w:w="0" w:type="auto"/>
            <w:shd w:val="clear" w:color="auto" w:fill="auto"/>
          </w:tcPr>
          <w:p w14:paraId="3B56346E"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3.25</w:t>
            </w:r>
          </w:p>
        </w:tc>
      </w:tr>
      <w:tr w:rsidR="00A63CD3" w:rsidRPr="00601EE7" w14:paraId="29994282" w14:textId="77777777" w:rsidTr="00601EE7">
        <w:tc>
          <w:tcPr>
            <w:tcW w:w="0" w:type="auto"/>
          </w:tcPr>
          <w:p w14:paraId="5678BFA9"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20</w:t>
            </w:r>
          </w:p>
        </w:tc>
        <w:tc>
          <w:tcPr>
            <w:tcW w:w="0" w:type="auto"/>
            <w:shd w:val="clear" w:color="auto" w:fill="auto"/>
          </w:tcPr>
          <w:p w14:paraId="715DA06A"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Water features (ponds, fountains, streams)</w:t>
            </w:r>
          </w:p>
        </w:tc>
        <w:tc>
          <w:tcPr>
            <w:tcW w:w="0" w:type="auto"/>
            <w:shd w:val="clear" w:color="auto" w:fill="auto"/>
          </w:tcPr>
          <w:p w14:paraId="2FE00389"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10</w:t>
            </w:r>
          </w:p>
        </w:tc>
        <w:tc>
          <w:tcPr>
            <w:tcW w:w="0" w:type="auto"/>
            <w:shd w:val="clear" w:color="auto" w:fill="auto"/>
          </w:tcPr>
          <w:p w14:paraId="3FF4708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135</w:t>
            </w:r>
          </w:p>
        </w:tc>
        <w:tc>
          <w:tcPr>
            <w:tcW w:w="0" w:type="auto"/>
            <w:shd w:val="clear" w:color="auto" w:fill="auto"/>
          </w:tcPr>
          <w:p w14:paraId="1F8D5850"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22</w:t>
            </w:r>
          </w:p>
        </w:tc>
        <w:tc>
          <w:tcPr>
            <w:tcW w:w="0" w:type="auto"/>
            <w:shd w:val="clear" w:color="auto" w:fill="auto"/>
          </w:tcPr>
          <w:p w14:paraId="0C81BF2C"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110</w:t>
            </w:r>
          </w:p>
        </w:tc>
        <w:tc>
          <w:tcPr>
            <w:tcW w:w="0" w:type="auto"/>
            <w:shd w:val="clear" w:color="auto" w:fill="auto"/>
          </w:tcPr>
          <w:p w14:paraId="688FA0BF"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40</w:t>
            </w:r>
          </w:p>
        </w:tc>
        <w:tc>
          <w:tcPr>
            <w:tcW w:w="1302" w:type="dxa"/>
            <w:shd w:val="clear" w:color="auto" w:fill="auto"/>
          </w:tcPr>
          <w:p w14:paraId="6916AE3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317</w:t>
            </w:r>
          </w:p>
        </w:tc>
        <w:tc>
          <w:tcPr>
            <w:tcW w:w="0" w:type="auto"/>
            <w:shd w:val="clear" w:color="auto" w:fill="auto"/>
          </w:tcPr>
          <w:p w14:paraId="2625F388"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986</w:t>
            </w:r>
          </w:p>
        </w:tc>
        <w:tc>
          <w:tcPr>
            <w:tcW w:w="0" w:type="auto"/>
            <w:shd w:val="clear" w:color="auto" w:fill="auto"/>
          </w:tcPr>
          <w:p w14:paraId="18FC7ECD"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3.11</w:t>
            </w:r>
          </w:p>
        </w:tc>
      </w:tr>
      <w:tr w:rsidR="00A63CD3" w:rsidRPr="00601EE7" w14:paraId="7F916616" w14:textId="77777777" w:rsidTr="00601EE7">
        <w:tc>
          <w:tcPr>
            <w:tcW w:w="0" w:type="auto"/>
          </w:tcPr>
          <w:p w14:paraId="77994C5D"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21</w:t>
            </w:r>
          </w:p>
        </w:tc>
        <w:tc>
          <w:tcPr>
            <w:tcW w:w="0" w:type="auto"/>
            <w:shd w:val="clear" w:color="auto" w:fill="auto"/>
          </w:tcPr>
          <w:p w14:paraId="4F139581"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Retailing wall</w:t>
            </w:r>
          </w:p>
        </w:tc>
        <w:tc>
          <w:tcPr>
            <w:tcW w:w="0" w:type="auto"/>
            <w:shd w:val="clear" w:color="auto" w:fill="auto"/>
          </w:tcPr>
          <w:p w14:paraId="3D5B4A4F"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90</w:t>
            </w:r>
          </w:p>
        </w:tc>
        <w:tc>
          <w:tcPr>
            <w:tcW w:w="0" w:type="auto"/>
            <w:shd w:val="clear" w:color="auto" w:fill="auto"/>
          </w:tcPr>
          <w:p w14:paraId="723E875F"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100</w:t>
            </w:r>
          </w:p>
        </w:tc>
        <w:tc>
          <w:tcPr>
            <w:tcW w:w="0" w:type="auto"/>
            <w:shd w:val="clear" w:color="auto" w:fill="auto"/>
          </w:tcPr>
          <w:p w14:paraId="63DC3D13"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47</w:t>
            </w:r>
          </w:p>
        </w:tc>
        <w:tc>
          <w:tcPr>
            <w:tcW w:w="0" w:type="auto"/>
            <w:shd w:val="clear" w:color="auto" w:fill="auto"/>
          </w:tcPr>
          <w:p w14:paraId="131FDB98"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50</w:t>
            </w:r>
          </w:p>
        </w:tc>
        <w:tc>
          <w:tcPr>
            <w:tcW w:w="0" w:type="auto"/>
            <w:shd w:val="clear" w:color="auto" w:fill="auto"/>
          </w:tcPr>
          <w:p w14:paraId="483819F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30</w:t>
            </w:r>
          </w:p>
        </w:tc>
        <w:tc>
          <w:tcPr>
            <w:tcW w:w="1302" w:type="dxa"/>
            <w:shd w:val="clear" w:color="auto" w:fill="auto"/>
          </w:tcPr>
          <w:p w14:paraId="2B488746"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317</w:t>
            </w:r>
          </w:p>
        </w:tc>
        <w:tc>
          <w:tcPr>
            <w:tcW w:w="0" w:type="auto"/>
            <w:shd w:val="clear" w:color="auto" w:fill="auto"/>
          </w:tcPr>
          <w:p w14:paraId="187A55E9"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781</w:t>
            </w:r>
          </w:p>
        </w:tc>
        <w:tc>
          <w:tcPr>
            <w:tcW w:w="0" w:type="auto"/>
            <w:shd w:val="clear" w:color="auto" w:fill="auto"/>
          </w:tcPr>
          <w:p w14:paraId="283E781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2.46</w:t>
            </w:r>
          </w:p>
        </w:tc>
      </w:tr>
      <w:tr w:rsidR="00A63CD3" w:rsidRPr="00601EE7" w14:paraId="4205EA52" w14:textId="77777777" w:rsidTr="00601EE7">
        <w:tc>
          <w:tcPr>
            <w:tcW w:w="0" w:type="auto"/>
            <w:gridSpan w:val="2"/>
            <w:vMerge w:val="restart"/>
          </w:tcPr>
          <w:p w14:paraId="08065D7F"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Average</w:t>
            </w:r>
          </w:p>
        </w:tc>
        <w:tc>
          <w:tcPr>
            <w:tcW w:w="0" w:type="auto"/>
            <w:shd w:val="clear" w:color="auto" w:fill="auto"/>
          </w:tcPr>
          <w:p w14:paraId="773D7C38"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p>
        </w:tc>
        <w:tc>
          <w:tcPr>
            <w:tcW w:w="0" w:type="auto"/>
            <w:shd w:val="clear" w:color="auto" w:fill="auto"/>
          </w:tcPr>
          <w:p w14:paraId="0CD35B32"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p>
        </w:tc>
        <w:tc>
          <w:tcPr>
            <w:tcW w:w="0" w:type="auto"/>
            <w:shd w:val="clear" w:color="auto" w:fill="auto"/>
          </w:tcPr>
          <w:p w14:paraId="235E418B"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p>
        </w:tc>
        <w:tc>
          <w:tcPr>
            <w:tcW w:w="0" w:type="auto"/>
            <w:shd w:val="clear" w:color="auto" w:fill="auto"/>
          </w:tcPr>
          <w:p w14:paraId="720523B2"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p>
        </w:tc>
        <w:tc>
          <w:tcPr>
            <w:tcW w:w="0" w:type="auto"/>
            <w:shd w:val="clear" w:color="auto" w:fill="auto"/>
          </w:tcPr>
          <w:p w14:paraId="4A37585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p>
        </w:tc>
        <w:tc>
          <w:tcPr>
            <w:tcW w:w="1302" w:type="dxa"/>
            <w:shd w:val="clear" w:color="auto" w:fill="auto"/>
          </w:tcPr>
          <w:p w14:paraId="48446150"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p>
        </w:tc>
        <w:tc>
          <w:tcPr>
            <w:tcW w:w="0" w:type="auto"/>
            <w:shd w:val="clear" w:color="auto" w:fill="auto"/>
          </w:tcPr>
          <w:p w14:paraId="025608E4"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p>
        </w:tc>
        <w:tc>
          <w:tcPr>
            <w:tcW w:w="0" w:type="auto"/>
            <w:shd w:val="clear" w:color="auto" w:fill="auto"/>
          </w:tcPr>
          <w:p w14:paraId="399FC99A"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81.45/21</w:t>
            </w:r>
          </w:p>
        </w:tc>
      </w:tr>
      <w:tr w:rsidR="00A63CD3" w:rsidRPr="00601EE7" w14:paraId="65F1039C" w14:textId="77777777" w:rsidTr="00601EE7">
        <w:tc>
          <w:tcPr>
            <w:tcW w:w="0" w:type="auto"/>
            <w:gridSpan w:val="2"/>
            <w:vMerge/>
            <w:tcBorders>
              <w:bottom w:val="single" w:sz="18" w:space="0" w:color="auto"/>
            </w:tcBorders>
          </w:tcPr>
          <w:p w14:paraId="77FB204E"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p>
        </w:tc>
        <w:tc>
          <w:tcPr>
            <w:tcW w:w="0" w:type="auto"/>
            <w:tcBorders>
              <w:bottom w:val="single" w:sz="18" w:space="0" w:color="auto"/>
            </w:tcBorders>
            <w:shd w:val="clear" w:color="auto" w:fill="auto"/>
          </w:tcPr>
          <w:p w14:paraId="78134C57"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p>
        </w:tc>
        <w:tc>
          <w:tcPr>
            <w:tcW w:w="0" w:type="auto"/>
            <w:tcBorders>
              <w:bottom w:val="single" w:sz="18" w:space="0" w:color="auto"/>
            </w:tcBorders>
            <w:shd w:val="clear" w:color="auto" w:fill="auto"/>
          </w:tcPr>
          <w:p w14:paraId="17649720"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p>
        </w:tc>
        <w:tc>
          <w:tcPr>
            <w:tcW w:w="0" w:type="auto"/>
            <w:tcBorders>
              <w:bottom w:val="single" w:sz="18" w:space="0" w:color="auto"/>
            </w:tcBorders>
            <w:shd w:val="clear" w:color="auto" w:fill="auto"/>
          </w:tcPr>
          <w:p w14:paraId="0906614C"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p>
        </w:tc>
        <w:tc>
          <w:tcPr>
            <w:tcW w:w="0" w:type="auto"/>
            <w:tcBorders>
              <w:bottom w:val="single" w:sz="18" w:space="0" w:color="auto"/>
            </w:tcBorders>
            <w:shd w:val="clear" w:color="auto" w:fill="auto"/>
          </w:tcPr>
          <w:p w14:paraId="54CF5CB3"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p>
        </w:tc>
        <w:tc>
          <w:tcPr>
            <w:tcW w:w="0" w:type="auto"/>
            <w:tcBorders>
              <w:bottom w:val="single" w:sz="18" w:space="0" w:color="auto"/>
            </w:tcBorders>
            <w:shd w:val="clear" w:color="auto" w:fill="auto"/>
          </w:tcPr>
          <w:p w14:paraId="322432CB"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p>
        </w:tc>
        <w:tc>
          <w:tcPr>
            <w:tcW w:w="1302" w:type="dxa"/>
            <w:tcBorders>
              <w:bottom w:val="single" w:sz="18" w:space="0" w:color="auto"/>
            </w:tcBorders>
            <w:shd w:val="clear" w:color="auto" w:fill="auto"/>
          </w:tcPr>
          <w:p w14:paraId="31BD6193"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p>
        </w:tc>
        <w:tc>
          <w:tcPr>
            <w:tcW w:w="0" w:type="auto"/>
            <w:tcBorders>
              <w:bottom w:val="single" w:sz="18" w:space="0" w:color="auto"/>
            </w:tcBorders>
            <w:shd w:val="clear" w:color="auto" w:fill="auto"/>
          </w:tcPr>
          <w:p w14:paraId="49551759"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p>
        </w:tc>
        <w:tc>
          <w:tcPr>
            <w:tcW w:w="0" w:type="auto"/>
            <w:tcBorders>
              <w:bottom w:val="single" w:sz="18" w:space="0" w:color="auto"/>
            </w:tcBorders>
            <w:shd w:val="clear" w:color="auto" w:fill="auto"/>
          </w:tcPr>
          <w:p w14:paraId="606D8E17" w14:textId="77777777" w:rsidR="00A63CD3" w:rsidRPr="00601EE7" w:rsidRDefault="00A63CD3" w:rsidP="0000060D">
            <w:pPr>
              <w:spacing w:after="0" w:line="240" w:lineRule="auto"/>
              <w:rPr>
                <w:rFonts w:ascii="Times New Roman" w:eastAsia="SimSun" w:hAnsi="Times New Roman" w:cs="Times New Roman"/>
                <w:color w:val="000000" w:themeColor="text1"/>
                <w:sz w:val="20"/>
                <w:szCs w:val="20"/>
                <w:lang w:eastAsia="zh-CN"/>
              </w:rPr>
            </w:pPr>
            <w:r w:rsidRPr="00601EE7">
              <w:rPr>
                <w:rFonts w:ascii="Times New Roman" w:eastAsia="SimSun" w:hAnsi="Times New Roman" w:cs="Times New Roman"/>
                <w:color w:val="000000" w:themeColor="text1"/>
                <w:sz w:val="20"/>
                <w:szCs w:val="20"/>
                <w:lang w:eastAsia="zh-CN"/>
              </w:rPr>
              <w:t>3.88</w:t>
            </w:r>
          </w:p>
        </w:tc>
      </w:tr>
    </w:tbl>
    <w:p w14:paraId="6A247028" w14:textId="77777777" w:rsidR="00A63CD3" w:rsidRPr="00BE4AF3" w:rsidRDefault="00A63CD3" w:rsidP="00A63CD3">
      <w:pPr>
        <w:spacing w:after="0" w:line="240" w:lineRule="auto"/>
        <w:rPr>
          <w:rFonts w:ascii="Times New Roman" w:eastAsia="Calibri" w:hAnsi="Times New Roman" w:cs="Times New Roman"/>
          <w:b/>
          <w:i/>
          <w:color w:val="000000" w:themeColor="text1"/>
          <w:sz w:val="24"/>
          <w:szCs w:val="24"/>
        </w:rPr>
      </w:pPr>
      <w:r w:rsidRPr="00BE4AF3">
        <w:rPr>
          <w:rFonts w:ascii="Times New Roman" w:eastAsia="Calibri" w:hAnsi="Times New Roman" w:cs="Times New Roman"/>
          <w:b/>
          <w:color w:val="000000" w:themeColor="text1"/>
          <w:sz w:val="24"/>
          <w:szCs w:val="24"/>
        </w:rPr>
        <w:t xml:space="preserve"> </w:t>
      </w:r>
    </w:p>
    <w:p w14:paraId="00E9C552" w14:textId="77777777" w:rsidR="00601EE7" w:rsidRDefault="00601EE7" w:rsidP="00A63CD3">
      <w:pPr>
        <w:spacing w:after="0" w:line="240" w:lineRule="auto"/>
        <w:rPr>
          <w:rFonts w:ascii="Times New Roman" w:eastAsia="Calibri" w:hAnsi="Times New Roman" w:cs="Times New Roman"/>
          <w:b/>
          <w:color w:val="000000" w:themeColor="text1"/>
          <w:sz w:val="24"/>
          <w:szCs w:val="24"/>
        </w:rPr>
      </w:pPr>
    </w:p>
    <w:p w14:paraId="12EF8B5F" w14:textId="67F01886" w:rsidR="00A63CD3" w:rsidRPr="00BE4AF3" w:rsidRDefault="00A63CD3" w:rsidP="00A63CD3">
      <w:pPr>
        <w:spacing w:after="0" w:line="240" w:lineRule="auto"/>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b/>
          <w:color w:val="000000" w:themeColor="text1"/>
          <w:sz w:val="24"/>
          <w:szCs w:val="24"/>
        </w:rPr>
        <w:t>Design Elements Require for Landscaping Hotels</w:t>
      </w:r>
    </w:p>
    <w:p w14:paraId="0AC27104" w14:textId="77777777" w:rsidR="00A63CD3" w:rsidRDefault="00A63CD3" w:rsidP="00601EE7">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Table 4 revealed the results of users’ perception of Design Elements in Landscaping Hotels. The results show that several LEs significantly influenced users' preferences for such accommodations. Among these elements, the integration of natural elements, water features, and pathways emerged as particularly influential. Accessibility having 5.00</w:t>
      </w:r>
      <w:r w:rsidRPr="00BE4AF3">
        <w:rPr>
          <w:rFonts w:ascii="Times New Roman" w:hAnsi="Times New Roman" w:cs="Times New Roman"/>
          <w:color w:val="000000" w:themeColor="text1"/>
          <w:sz w:val="24"/>
          <w:szCs w:val="24"/>
        </w:rPr>
        <w:t xml:space="preserve"> </w:t>
      </w:r>
      <w:r w:rsidRPr="00BE4AF3">
        <w:rPr>
          <w:rFonts w:ascii="Times New Roman" w:eastAsia="Calibri" w:hAnsi="Times New Roman" w:cs="Times New Roman"/>
          <w:color w:val="000000" w:themeColor="text1"/>
          <w:sz w:val="24"/>
          <w:szCs w:val="24"/>
        </w:rPr>
        <w:t>Design Considerations for Landscape</w:t>
      </w:r>
      <w:r w:rsidRPr="00BE4AF3">
        <w:rPr>
          <w:rFonts w:ascii="Times New Roman" w:hAnsi="Times New Roman" w:cs="Times New Roman"/>
          <w:color w:val="000000" w:themeColor="text1"/>
          <w:sz w:val="24"/>
          <w:szCs w:val="24"/>
        </w:rPr>
        <w:t xml:space="preserve"> </w:t>
      </w:r>
      <w:r w:rsidRPr="00BE4AF3">
        <w:rPr>
          <w:rFonts w:ascii="Times New Roman" w:eastAsia="Calibri" w:hAnsi="Times New Roman" w:cs="Times New Roman"/>
          <w:color w:val="000000" w:themeColor="text1"/>
          <w:sz w:val="24"/>
          <w:szCs w:val="24"/>
        </w:rPr>
        <w:t>Hotel Index</w:t>
      </w:r>
      <w:r w:rsidRPr="00BE4AF3">
        <w:rPr>
          <w:rFonts w:ascii="Times New Roman" w:hAnsi="Times New Roman" w:cs="Times New Roman"/>
          <w:color w:val="000000" w:themeColor="text1"/>
          <w:sz w:val="24"/>
          <w:szCs w:val="24"/>
        </w:rPr>
        <w:t xml:space="preserve"> (</w:t>
      </w:r>
      <w:r w:rsidRPr="00BE4AF3">
        <w:rPr>
          <w:rFonts w:ascii="Times New Roman" w:eastAsia="Calibri" w:hAnsi="Times New Roman" w:cs="Times New Roman"/>
          <w:color w:val="000000" w:themeColor="text1"/>
          <w:sz w:val="24"/>
          <w:szCs w:val="24"/>
        </w:rPr>
        <w:t>DCLHI), Availability of water features (e.g., fountains, ponds) having 4.68</w:t>
      </w:r>
      <w:r w:rsidRPr="00BE4AF3">
        <w:rPr>
          <w:rFonts w:ascii="Times New Roman" w:hAnsi="Times New Roman" w:cs="Times New Roman"/>
          <w:color w:val="000000" w:themeColor="text1"/>
          <w:sz w:val="24"/>
          <w:szCs w:val="24"/>
        </w:rPr>
        <w:t xml:space="preserve"> </w:t>
      </w:r>
      <w:r w:rsidRPr="00BE4AF3">
        <w:rPr>
          <w:rFonts w:ascii="Times New Roman" w:eastAsia="Calibri" w:hAnsi="Times New Roman" w:cs="Times New Roman"/>
          <w:color w:val="000000" w:themeColor="text1"/>
          <w:sz w:val="24"/>
          <w:szCs w:val="24"/>
        </w:rPr>
        <w:t>DCLHI, The quality of pathways and walkways influences my preference for visiting a tourist centre, having 4.59</w:t>
      </w:r>
      <w:r w:rsidRPr="00BE4AF3">
        <w:rPr>
          <w:rFonts w:ascii="Times New Roman" w:hAnsi="Times New Roman" w:cs="Times New Roman"/>
          <w:color w:val="000000" w:themeColor="text1"/>
          <w:sz w:val="24"/>
          <w:szCs w:val="24"/>
        </w:rPr>
        <w:t xml:space="preserve"> </w:t>
      </w:r>
      <w:r w:rsidRPr="00BE4AF3">
        <w:rPr>
          <w:rFonts w:ascii="Times New Roman" w:eastAsia="Calibri" w:hAnsi="Times New Roman" w:cs="Times New Roman"/>
          <w:color w:val="000000" w:themeColor="text1"/>
          <w:sz w:val="24"/>
          <w:szCs w:val="24"/>
        </w:rPr>
        <w:t>DCLHI, Aesthetic appeal and ease of maintenance having 4.56, Opportunities for social interaction and community activities having 4.55, Safety for visitors (e.g., well-lit pathways, clear signage) having 4.51</w:t>
      </w:r>
      <w:r w:rsidRPr="00BE4AF3">
        <w:rPr>
          <w:rFonts w:ascii="Times New Roman" w:hAnsi="Times New Roman" w:cs="Times New Roman"/>
          <w:color w:val="000000" w:themeColor="text1"/>
          <w:sz w:val="24"/>
          <w:szCs w:val="24"/>
        </w:rPr>
        <w:t xml:space="preserve"> </w:t>
      </w:r>
      <w:r w:rsidRPr="00BE4AF3">
        <w:rPr>
          <w:rFonts w:ascii="Times New Roman" w:eastAsia="Calibri" w:hAnsi="Times New Roman" w:cs="Times New Roman"/>
          <w:color w:val="000000" w:themeColor="text1"/>
          <w:sz w:val="24"/>
          <w:szCs w:val="24"/>
        </w:rPr>
        <w:t>DCLHI, and Availability of seating areas having 4.43</w:t>
      </w:r>
      <w:r w:rsidRPr="00BE4AF3">
        <w:rPr>
          <w:rFonts w:ascii="Times New Roman" w:hAnsi="Times New Roman" w:cs="Times New Roman"/>
          <w:color w:val="000000" w:themeColor="text1"/>
          <w:sz w:val="24"/>
          <w:szCs w:val="24"/>
        </w:rPr>
        <w:t xml:space="preserve"> </w:t>
      </w:r>
      <w:r w:rsidRPr="00BE4AF3">
        <w:rPr>
          <w:rFonts w:ascii="Times New Roman" w:eastAsia="Calibri" w:hAnsi="Times New Roman" w:cs="Times New Roman"/>
          <w:color w:val="000000" w:themeColor="text1"/>
          <w:sz w:val="24"/>
          <w:szCs w:val="24"/>
        </w:rPr>
        <w:t>DCLHI among others. From the results it evident that the users considered the integration of natural elements as important or very important, highlighting the desire for hotels to incorporate natural features into their designs. Similarly, water features and pathways received strong support, which is seen as significant factors. The results reveal that hotels with well-designed water features and accessible pathways are more likely to attract and satisfy guests. Other influential factors included accessibility, seating, shade, and spaces for recreation. These elements collectively contribute to a comfortable and enjoyable hotel experience, demonstrating the importance of considering landscape design elements in hotel development.</w:t>
      </w:r>
    </w:p>
    <w:p w14:paraId="2BF7FC33" w14:textId="77777777" w:rsidR="005320EC" w:rsidRPr="00BE4AF3" w:rsidRDefault="005320EC" w:rsidP="00601EE7">
      <w:pPr>
        <w:spacing w:after="0" w:line="240" w:lineRule="auto"/>
        <w:jc w:val="both"/>
        <w:rPr>
          <w:rFonts w:ascii="Times New Roman" w:eastAsia="Calibri" w:hAnsi="Times New Roman" w:cs="Times New Roman"/>
          <w:color w:val="000000" w:themeColor="text1"/>
          <w:sz w:val="24"/>
          <w:szCs w:val="24"/>
        </w:rPr>
      </w:pPr>
    </w:p>
    <w:p w14:paraId="60764E17" w14:textId="77777777" w:rsidR="00A63CD3" w:rsidRPr="00BE4AF3" w:rsidRDefault="00A63CD3" w:rsidP="005320EC">
      <w:pPr>
        <w:spacing w:after="0" w:line="240" w:lineRule="auto"/>
        <w:jc w:val="center"/>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b/>
          <w:color w:val="000000" w:themeColor="text1"/>
          <w:sz w:val="24"/>
          <w:szCs w:val="24"/>
        </w:rPr>
        <w:t xml:space="preserve">Table 4: </w:t>
      </w:r>
      <w:r w:rsidRPr="005320EC">
        <w:rPr>
          <w:rFonts w:ascii="Times New Roman" w:eastAsia="Calibri" w:hAnsi="Times New Roman" w:cs="Times New Roman"/>
          <w:bCs/>
          <w:color w:val="000000" w:themeColor="text1"/>
          <w:sz w:val="24"/>
          <w:szCs w:val="24"/>
        </w:rPr>
        <w:t>Design Considerations for Landscape Hotel Index (DCLHI)</w:t>
      </w:r>
    </w:p>
    <w:tbl>
      <w:tblPr>
        <w:tblW w:w="9356" w:type="dxa"/>
        <w:jc w:val="center"/>
        <w:tblLayout w:type="fixed"/>
        <w:tblLook w:val="04A0" w:firstRow="1" w:lastRow="0" w:firstColumn="1" w:lastColumn="0" w:noHBand="0" w:noVBand="1"/>
      </w:tblPr>
      <w:tblGrid>
        <w:gridCol w:w="529"/>
        <w:gridCol w:w="2476"/>
        <w:gridCol w:w="823"/>
        <w:gridCol w:w="850"/>
        <w:gridCol w:w="567"/>
        <w:gridCol w:w="851"/>
        <w:gridCol w:w="850"/>
        <w:gridCol w:w="992"/>
        <w:gridCol w:w="709"/>
        <w:gridCol w:w="709"/>
      </w:tblGrid>
      <w:tr w:rsidR="00A63CD3" w:rsidRPr="000704D9" w14:paraId="1DD67FE2" w14:textId="77777777" w:rsidTr="005320EC">
        <w:trPr>
          <w:jc w:val="center"/>
        </w:trPr>
        <w:tc>
          <w:tcPr>
            <w:tcW w:w="529" w:type="dxa"/>
            <w:tcBorders>
              <w:top w:val="single" w:sz="18" w:space="0" w:color="auto"/>
              <w:bottom w:val="single" w:sz="8" w:space="0" w:color="auto"/>
            </w:tcBorders>
          </w:tcPr>
          <w:p w14:paraId="359EA591" w14:textId="77777777" w:rsidR="00A63CD3" w:rsidRPr="000704D9" w:rsidRDefault="00A63CD3" w:rsidP="005320EC">
            <w:pPr>
              <w:spacing w:after="0" w:line="240" w:lineRule="auto"/>
              <w:contextualSpacing/>
              <w:jc w:val="center"/>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S/N</w:t>
            </w:r>
          </w:p>
        </w:tc>
        <w:tc>
          <w:tcPr>
            <w:tcW w:w="2476" w:type="dxa"/>
            <w:tcBorders>
              <w:top w:val="single" w:sz="18" w:space="0" w:color="auto"/>
              <w:bottom w:val="single" w:sz="8" w:space="0" w:color="auto"/>
            </w:tcBorders>
            <w:shd w:val="clear" w:color="auto" w:fill="auto"/>
          </w:tcPr>
          <w:p w14:paraId="22428405" w14:textId="77777777" w:rsidR="00A63CD3" w:rsidRPr="000704D9" w:rsidRDefault="00A63CD3" w:rsidP="005320EC">
            <w:pPr>
              <w:spacing w:after="0" w:line="240" w:lineRule="auto"/>
              <w:contextualSpacing/>
              <w:jc w:val="center"/>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Design Consideration</w:t>
            </w:r>
          </w:p>
        </w:tc>
        <w:tc>
          <w:tcPr>
            <w:tcW w:w="823" w:type="dxa"/>
            <w:tcBorders>
              <w:top w:val="single" w:sz="18" w:space="0" w:color="auto"/>
              <w:bottom w:val="single" w:sz="8" w:space="0" w:color="auto"/>
            </w:tcBorders>
            <w:shd w:val="clear" w:color="auto" w:fill="auto"/>
          </w:tcPr>
          <w:p w14:paraId="6CCF6D36" w14:textId="77777777" w:rsidR="00A63CD3" w:rsidRPr="000704D9" w:rsidRDefault="00A63CD3" w:rsidP="005320EC">
            <w:pPr>
              <w:spacing w:after="0" w:line="240" w:lineRule="auto"/>
              <w:contextualSpacing/>
              <w:jc w:val="center"/>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Not important at all     (1)</w:t>
            </w:r>
          </w:p>
        </w:tc>
        <w:tc>
          <w:tcPr>
            <w:tcW w:w="850" w:type="dxa"/>
            <w:tcBorders>
              <w:top w:val="single" w:sz="18" w:space="0" w:color="auto"/>
              <w:bottom w:val="single" w:sz="8" w:space="0" w:color="auto"/>
            </w:tcBorders>
            <w:shd w:val="clear" w:color="auto" w:fill="auto"/>
          </w:tcPr>
          <w:p w14:paraId="6C9D8FB3" w14:textId="77777777" w:rsidR="00A63CD3" w:rsidRPr="000704D9" w:rsidRDefault="00A63CD3" w:rsidP="005320EC">
            <w:pPr>
              <w:spacing w:after="0" w:line="240" w:lineRule="auto"/>
              <w:contextualSpacing/>
              <w:jc w:val="center"/>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Slightly important (2)</w:t>
            </w:r>
          </w:p>
        </w:tc>
        <w:tc>
          <w:tcPr>
            <w:tcW w:w="567" w:type="dxa"/>
            <w:tcBorders>
              <w:top w:val="single" w:sz="18" w:space="0" w:color="auto"/>
              <w:bottom w:val="single" w:sz="8" w:space="0" w:color="auto"/>
            </w:tcBorders>
            <w:shd w:val="clear" w:color="auto" w:fill="auto"/>
          </w:tcPr>
          <w:p w14:paraId="739EB332" w14:textId="77777777" w:rsidR="00A63CD3" w:rsidRPr="000704D9" w:rsidRDefault="00A63CD3" w:rsidP="005320EC">
            <w:pPr>
              <w:spacing w:after="0" w:line="240" w:lineRule="auto"/>
              <w:contextualSpacing/>
              <w:jc w:val="center"/>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Neutral (3)</w:t>
            </w:r>
          </w:p>
        </w:tc>
        <w:tc>
          <w:tcPr>
            <w:tcW w:w="851" w:type="dxa"/>
            <w:tcBorders>
              <w:top w:val="single" w:sz="18" w:space="0" w:color="auto"/>
              <w:bottom w:val="single" w:sz="8" w:space="0" w:color="auto"/>
            </w:tcBorders>
            <w:shd w:val="clear" w:color="auto" w:fill="auto"/>
          </w:tcPr>
          <w:p w14:paraId="2A4D7808" w14:textId="77777777" w:rsidR="00A63CD3" w:rsidRPr="000704D9" w:rsidRDefault="00A63CD3" w:rsidP="005320EC">
            <w:pPr>
              <w:spacing w:after="0" w:line="240" w:lineRule="auto"/>
              <w:contextualSpacing/>
              <w:jc w:val="center"/>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Important (4)</w:t>
            </w:r>
          </w:p>
        </w:tc>
        <w:tc>
          <w:tcPr>
            <w:tcW w:w="850" w:type="dxa"/>
            <w:tcBorders>
              <w:top w:val="single" w:sz="18" w:space="0" w:color="auto"/>
              <w:bottom w:val="single" w:sz="8" w:space="0" w:color="auto"/>
            </w:tcBorders>
            <w:shd w:val="clear" w:color="auto" w:fill="auto"/>
          </w:tcPr>
          <w:p w14:paraId="79028FE9" w14:textId="77777777" w:rsidR="00A63CD3" w:rsidRPr="000704D9" w:rsidRDefault="00A63CD3" w:rsidP="005320EC">
            <w:pPr>
              <w:spacing w:after="0" w:line="240" w:lineRule="auto"/>
              <w:contextualSpacing/>
              <w:jc w:val="center"/>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Very Important (5)</w:t>
            </w:r>
          </w:p>
        </w:tc>
        <w:tc>
          <w:tcPr>
            <w:tcW w:w="992" w:type="dxa"/>
            <w:tcBorders>
              <w:top w:val="single" w:sz="18" w:space="0" w:color="auto"/>
              <w:bottom w:val="single" w:sz="8" w:space="0" w:color="auto"/>
            </w:tcBorders>
            <w:shd w:val="clear" w:color="auto" w:fill="auto"/>
          </w:tcPr>
          <w:p w14:paraId="7257E902" w14:textId="77777777" w:rsidR="00A63CD3" w:rsidRPr="000704D9" w:rsidRDefault="00A63CD3" w:rsidP="005320EC">
            <w:pPr>
              <w:spacing w:after="0" w:line="240" w:lineRule="auto"/>
              <w:contextualSpacing/>
              <w:jc w:val="center"/>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Total (Frequency)</w:t>
            </w:r>
          </w:p>
          <w:p w14:paraId="3192EC3C" w14:textId="77777777" w:rsidR="00A63CD3" w:rsidRPr="000704D9" w:rsidRDefault="00A63CD3" w:rsidP="005320EC">
            <w:pPr>
              <w:spacing w:after="0" w:line="240" w:lineRule="auto"/>
              <w:contextualSpacing/>
              <w:jc w:val="center"/>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(n)</w:t>
            </w:r>
          </w:p>
        </w:tc>
        <w:tc>
          <w:tcPr>
            <w:tcW w:w="709" w:type="dxa"/>
            <w:tcBorders>
              <w:top w:val="single" w:sz="18" w:space="0" w:color="auto"/>
              <w:bottom w:val="single" w:sz="8" w:space="0" w:color="auto"/>
            </w:tcBorders>
            <w:shd w:val="clear" w:color="auto" w:fill="auto"/>
          </w:tcPr>
          <w:p w14:paraId="6C7D9309" w14:textId="77777777" w:rsidR="00A63CD3" w:rsidRPr="000704D9" w:rsidRDefault="00A63CD3" w:rsidP="005320EC">
            <w:pPr>
              <w:spacing w:after="0" w:line="240" w:lineRule="auto"/>
              <w:contextualSpacing/>
              <w:jc w:val="center"/>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TWV</w:t>
            </w:r>
          </w:p>
        </w:tc>
        <w:tc>
          <w:tcPr>
            <w:tcW w:w="709" w:type="dxa"/>
            <w:tcBorders>
              <w:top w:val="single" w:sz="18" w:space="0" w:color="auto"/>
              <w:bottom w:val="single" w:sz="8" w:space="0" w:color="auto"/>
            </w:tcBorders>
            <w:shd w:val="clear" w:color="auto" w:fill="auto"/>
          </w:tcPr>
          <w:p w14:paraId="287EA6EC" w14:textId="77777777" w:rsidR="00A63CD3" w:rsidRPr="000704D9" w:rsidRDefault="00A63CD3" w:rsidP="005320EC">
            <w:pPr>
              <w:spacing w:after="0" w:line="240" w:lineRule="auto"/>
              <w:contextualSpacing/>
              <w:jc w:val="center"/>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TWV/n</w:t>
            </w:r>
          </w:p>
        </w:tc>
      </w:tr>
      <w:tr w:rsidR="00A63CD3" w:rsidRPr="000704D9" w14:paraId="337BB67C" w14:textId="77777777" w:rsidTr="005320EC">
        <w:trPr>
          <w:jc w:val="center"/>
        </w:trPr>
        <w:tc>
          <w:tcPr>
            <w:tcW w:w="529" w:type="dxa"/>
            <w:tcBorders>
              <w:top w:val="single" w:sz="8" w:space="0" w:color="auto"/>
            </w:tcBorders>
          </w:tcPr>
          <w:p w14:paraId="48F4B3E7"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w:t>
            </w:r>
          </w:p>
        </w:tc>
        <w:tc>
          <w:tcPr>
            <w:tcW w:w="2476" w:type="dxa"/>
            <w:tcBorders>
              <w:top w:val="single" w:sz="8" w:space="0" w:color="auto"/>
            </w:tcBorders>
            <w:shd w:val="clear" w:color="auto" w:fill="auto"/>
          </w:tcPr>
          <w:p w14:paraId="6EA68499"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 xml:space="preserve">Accessibility </w:t>
            </w:r>
          </w:p>
        </w:tc>
        <w:tc>
          <w:tcPr>
            <w:tcW w:w="823" w:type="dxa"/>
            <w:tcBorders>
              <w:top w:val="single" w:sz="8" w:space="0" w:color="auto"/>
            </w:tcBorders>
            <w:shd w:val="clear" w:color="auto" w:fill="auto"/>
          </w:tcPr>
          <w:p w14:paraId="0539E011"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w:t>
            </w:r>
          </w:p>
        </w:tc>
        <w:tc>
          <w:tcPr>
            <w:tcW w:w="850" w:type="dxa"/>
            <w:tcBorders>
              <w:top w:val="single" w:sz="8" w:space="0" w:color="auto"/>
            </w:tcBorders>
            <w:shd w:val="clear" w:color="auto" w:fill="auto"/>
          </w:tcPr>
          <w:p w14:paraId="185590AB"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w:t>
            </w:r>
          </w:p>
        </w:tc>
        <w:tc>
          <w:tcPr>
            <w:tcW w:w="567" w:type="dxa"/>
            <w:tcBorders>
              <w:top w:val="single" w:sz="8" w:space="0" w:color="auto"/>
            </w:tcBorders>
            <w:shd w:val="clear" w:color="auto" w:fill="auto"/>
          </w:tcPr>
          <w:p w14:paraId="259BB535"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w:t>
            </w:r>
          </w:p>
        </w:tc>
        <w:tc>
          <w:tcPr>
            <w:tcW w:w="851" w:type="dxa"/>
            <w:tcBorders>
              <w:top w:val="single" w:sz="8" w:space="0" w:color="auto"/>
            </w:tcBorders>
            <w:shd w:val="clear" w:color="auto" w:fill="auto"/>
          </w:tcPr>
          <w:p w14:paraId="618377DC"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w:t>
            </w:r>
          </w:p>
        </w:tc>
        <w:tc>
          <w:tcPr>
            <w:tcW w:w="850" w:type="dxa"/>
            <w:tcBorders>
              <w:top w:val="single" w:sz="8" w:space="0" w:color="auto"/>
            </w:tcBorders>
            <w:shd w:val="clear" w:color="auto" w:fill="auto"/>
          </w:tcPr>
          <w:p w14:paraId="0B9A2950"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317</w:t>
            </w:r>
          </w:p>
        </w:tc>
        <w:tc>
          <w:tcPr>
            <w:tcW w:w="992" w:type="dxa"/>
            <w:tcBorders>
              <w:top w:val="single" w:sz="8" w:space="0" w:color="auto"/>
            </w:tcBorders>
            <w:shd w:val="clear" w:color="auto" w:fill="auto"/>
          </w:tcPr>
          <w:p w14:paraId="342F953D"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317</w:t>
            </w:r>
          </w:p>
        </w:tc>
        <w:tc>
          <w:tcPr>
            <w:tcW w:w="709" w:type="dxa"/>
            <w:tcBorders>
              <w:top w:val="single" w:sz="8" w:space="0" w:color="auto"/>
            </w:tcBorders>
            <w:shd w:val="clear" w:color="auto" w:fill="auto"/>
          </w:tcPr>
          <w:p w14:paraId="207D2153"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1585</w:t>
            </w:r>
          </w:p>
        </w:tc>
        <w:tc>
          <w:tcPr>
            <w:tcW w:w="709" w:type="dxa"/>
            <w:tcBorders>
              <w:top w:val="single" w:sz="8" w:space="0" w:color="auto"/>
            </w:tcBorders>
            <w:shd w:val="clear" w:color="auto" w:fill="auto"/>
          </w:tcPr>
          <w:p w14:paraId="7B7430A9"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5.00</w:t>
            </w:r>
          </w:p>
        </w:tc>
      </w:tr>
      <w:tr w:rsidR="00A63CD3" w:rsidRPr="000704D9" w14:paraId="5E948D17" w14:textId="77777777" w:rsidTr="005320EC">
        <w:trPr>
          <w:trHeight w:val="449"/>
          <w:jc w:val="center"/>
        </w:trPr>
        <w:tc>
          <w:tcPr>
            <w:tcW w:w="529" w:type="dxa"/>
          </w:tcPr>
          <w:p w14:paraId="2C148CE3"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2</w:t>
            </w:r>
          </w:p>
        </w:tc>
        <w:tc>
          <w:tcPr>
            <w:tcW w:w="2476" w:type="dxa"/>
            <w:shd w:val="clear" w:color="auto" w:fill="auto"/>
          </w:tcPr>
          <w:p w14:paraId="2B6DB223"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Availability of water features (e.g., fountains, ponds)</w:t>
            </w:r>
          </w:p>
        </w:tc>
        <w:tc>
          <w:tcPr>
            <w:tcW w:w="823" w:type="dxa"/>
            <w:shd w:val="clear" w:color="auto" w:fill="auto"/>
          </w:tcPr>
          <w:p w14:paraId="2A57C21B"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2</w:t>
            </w:r>
          </w:p>
        </w:tc>
        <w:tc>
          <w:tcPr>
            <w:tcW w:w="850" w:type="dxa"/>
            <w:shd w:val="clear" w:color="auto" w:fill="auto"/>
          </w:tcPr>
          <w:p w14:paraId="03BE540A"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5</w:t>
            </w:r>
          </w:p>
        </w:tc>
        <w:tc>
          <w:tcPr>
            <w:tcW w:w="567" w:type="dxa"/>
            <w:shd w:val="clear" w:color="auto" w:fill="auto"/>
          </w:tcPr>
          <w:p w14:paraId="37AAA906"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12</w:t>
            </w:r>
          </w:p>
        </w:tc>
        <w:tc>
          <w:tcPr>
            <w:tcW w:w="851" w:type="dxa"/>
            <w:shd w:val="clear" w:color="auto" w:fill="auto"/>
          </w:tcPr>
          <w:p w14:paraId="29231729"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55</w:t>
            </w:r>
          </w:p>
        </w:tc>
        <w:tc>
          <w:tcPr>
            <w:tcW w:w="850" w:type="dxa"/>
            <w:shd w:val="clear" w:color="auto" w:fill="auto"/>
          </w:tcPr>
          <w:p w14:paraId="423C3A6A"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243</w:t>
            </w:r>
          </w:p>
        </w:tc>
        <w:tc>
          <w:tcPr>
            <w:tcW w:w="992" w:type="dxa"/>
            <w:shd w:val="clear" w:color="auto" w:fill="auto"/>
          </w:tcPr>
          <w:p w14:paraId="1B99C908"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317</w:t>
            </w:r>
          </w:p>
        </w:tc>
        <w:tc>
          <w:tcPr>
            <w:tcW w:w="709" w:type="dxa"/>
            <w:shd w:val="clear" w:color="auto" w:fill="auto"/>
          </w:tcPr>
          <w:p w14:paraId="75C1E72F"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1483</w:t>
            </w:r>
          </w:p>
        </w:tc>
        <w:tc>
          <w:tcPr>
            <w:tcW w:w="709" w:type="dxa"/>
            <w:shd w:val="clear" w:color="auto" w:fill="auto"/>
          </w:tcPr>
          <w:p w14:paraId="2ACEE784"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4.68</w:t>
            </w:r>
          </w:p>
        </w:tc>
      </w:tr>
      <w:tr w:rsidR="00A63CD3" w:rsidRPr="000704D9" w14:paraId="2335D309" w14:textId="77777777" w:rsidTr="005320EC">
        <w:trPr>
          <w:jc w:val="center"/>
        </w:trPr>
        <w:tc>
          <w:tcPr>
            <w:tcW w:w="529" w:type="dxa"/>
          </w:tcPr>
          <w:p w14:paraId="03F598E8"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w:t>
            </w:r>
          </w:p>
        </w:tc>
        <w:tc>
          <w:tcPr>
            <w:tcW w:w="2476" w:type="dxa"/>
            <w:shd w:val="clear" w:color="auto" w:fill="auto"/>
          </w:tcPr>
          <w:p w14:paraId="7FF79ED2"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The quality of pathways and walkways influences my preference for visiting a tourist centre.</w:t>
            </w:r>
          </w:p>
        </w:tc>
        <w:tc>
          <w:tcPr>
            <w:tcW w:w="823" w:type="dxa"/>
            <w:shd w:val="clear" w:color="auto" w:fill="auto"/>
          </w:tcPr>
          <w:p w14:paraId="5994D460"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w:t>
            </w:r>
          </w:p>
        </w:tc>
        <w:tc>
          <w:tcPr>
            <w:tcW w:w="850" w:type="dxa"/>
            <w:shd w:val="clear" w:color="auto" w:fill="auto"/>
          </w:tcPr>
          <w:p w14:paraId="3DA44AE8"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w:t>
            </w:r>
          </w:p>
        </w:tc>
        <w:tc>
          <w:tcPr>
            <w:tcW w:w="567" w:type="dxa"/>
            <w:shd w:val="clear" w:color="auto" w:fill="auto"/>
          </w:tcPr>
          <w:p w14:paraId="62DA6C90"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12</w:t>
            </w:r>
          </w:p>
        </w:tc>
        <w:tc>
          <w:tcPr>
            <w:tcW w:w="851" w:type="dxa"/>
            <w:shd w:val="clear" w:color="auto" w:fill="auto"/>
          </w:tcPr>
          <w:p w14:paraId="7083B8AF"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98</w:t>
            </w:r>
          </w:p>
        </w:tc>
        <w:tc>
          <w:tcPr>
            <w:tcW w:w="850" w:type="dxa"/>
            <w:shd w:val="clear" w:color="auto" w:fill="auto"/>
          </w:tcPr>
          <w:p w14:paraId="085112C1"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204</w:t>
            </w:r>
          </w:p>
        </w:tc>
        <w:tc>
          <w:tcPr>
            <w:tcW w:w="992" w:type="dxa"/>
            <w:shd w:val="clear" w:color="auto" w:fill="auto"/>
          </w:tcPr>
          <w:p w14:paraId="29492F49"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317</w:t>
            </w:r>
          </w:p>
        </w:tc>
        <w:tc>
          <w:tcPr>
            <w:tcW w:w="709" w:type="dxa"/>
            <w:shd w:val="clear" w:color="auto" w:fill="auto"/>
          </w:tcPr>
          <w:p w14:paraId="77A7CDB2"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1454</w:t>
            </w:r>
          </w:p>
        </w:tc>
        <w:tc>
          <w:tcPr>
            <w:tcW w:w="709" w:type="dxa"/>
            <w:shd w:val="clear" w:color="auto" w:fill="auto"/>
          </w:tcPr>
          <w:p w14:paraId="7B8B1F1F"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4.59</w:t>
            </w:r>
          </w:p>
        </w:tc>
      </w:tr>
      <w:tr w:rsidR="00A63CD3" w:rsidRPr="000704D9" w14:paraId="2C67D1D2" w14:textId="77777777" w:rsidTr="005320EC">
        <w:trPr>
          <w:jc w:val="center"/>
        </w:trPr>
        <w:tc>
          <w:tcPr>
            <w:tcW w:w="529" w:type="dxa"/>
          </w:tcPr>
          <w:p w14:paraId="62EDD3F6"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w:t>
            </w:r>
          </w:p>
        </w:tc>
        <w:tc>
          <w:tcPr>
            <w:tcW w:w="2476" w:type="dxa"/>
            <w:shd w:val="clear" w:color="auto" w:fill="auto"/>
          </w:tcPr>
          <w:p w14:paraId="58E98072"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Aesthetic appeal and ease of maintenance</w:t>
            </w:r>
          </w:p>
        </w:tc>
        <w:tc>
          <w:tcPr>
            <w:tcW w:w="823" w:type="dxa"/>
            <w:shd w:val="clear" w:color="auto" w:fill="auto"/>
          </w:tcPr>
          <w:p w14:paraId="10F18DD4"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6</w:t>
            </w:r>
          </w:p>
        </w:tc>
        <w:tc>
          <w:tcPr>
            <w:tcW w:w="850" w:type="dxa"/>
            <w:shd w:val="clear" w:color="auto" w:fill="auto"/>
          </w:tcPr>
          <w:p w14:paraId="1DDAAD86"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12</w:t>
            </w:r>
          </w:p>
        </w:tc>
        <w:tc>
          <w:tcPr>
            <w:tcW w:w="567" w:type="dxa"/>
            <w:shd w:val="clear" w:color="auto" w:fill="auto"/>
          </w:tcPr>
          <w:p w14:paraId="693FA74C"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w:t>
            </w:r>
          </w:p>
        </w:tc>
        <w:tc>
          <w:tcPr>
            <w:tcW w:w="851" w:type="dxa"/>
            <w:shd w:val="clear" w:color="auto" w:fill="auto"/>
          </w:tcPr>
          <w:p w14:paraId="4A020299"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78</w:t>
            </w:r>
          </w:p>
        </w:tc>
        <w:tc>
          <w:tcPr>
            <w:tcW w:w="850" w:type="dxa"/>
            <w:shd w:val="clear" w:color="auto" w:fill="auto"/>
          </w:tcPr>
          <w:p w14:paraId="4A2A8850"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221</w:t>
            </w:r>
          </w:p>
        </w:tc>
        <w:tc>
          <w:tcPr>
            <w:tcW w:w="992" w:type="dxa"/>
            <w:shd w:val="clear" w:color="auto" w:fill="auto"/>
          </w:tcPr>
          <w:p w14:paraId="5CBC5202"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317</w:t>
            </w:r>
          </w:p>
        </w:tc>
        <w:tc>
          <w:tcPr>
            <w:tcW w:w="709" w:type="dxa"/>
            <w:shd w:val="clear" w:color="auto" w:fill="auto"/>
          </w:tcPr>
          <w:p w14:paraId="3FA2F49D"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1447</w:t>
            </w:r>
          </w:p>
        </w:tc>
        <w:tc>
          <w:tcPr>
            <w:tcW w:w="709" w:type="dxa"/>
            <w:shd w:val="clear" w:color="auto" w:fill="auto"/>
          </w:tcPr>
          <w:p w14:paraId="698EF55D"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4.56</w:t>
            </w:r>
          </w:p>
        </w:tc>
      </w:tr>
      <w:tr w:rsidR="00A63CD3" w:rsidRPr="000704D9" w14:paraId="18317AF0" w14:textId="77777777" w:rsidTr="005320EC">
        <w:trPr>
          <w:trHeight w:val="449"/>
          <w:jc w:val="center"/>
        </w:trPr>
        <w:tc>
          <w:tcPr>
            <w:tcW w:w="529" w:type="dxa"/>
          </w:tcPr>
          <w:p w14:paraId="25E92162"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lastRenderedPageBreak/>
              <w:t>5</w:t>
            </w:r>
          </w:p>
        </w:tc>
        <w:tc>
          <w:tcPr>
            <w:tcW w:w="2476" w:type="dxa"/>
            <w:shd w:val="clear" w:color="auto" w:fill="auto"/>
          </w:tcPr>
          <w:p w14:paraId="7BB27A00"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Opportunities for social interaction and community activities</w:t>
            </w:r>
          </w:p>
        </w:tc>
        <w:tc>
          <w:tcPr>
            <w:tcW w:w="823" w:type="dxa"/>
            <w:shd w:val="clear" w:color="auto" w:fill="auto"/>
          </w:tcPr>
          <w:p w14:paraId="08FF4432"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w:t>
            </w:r>
          </w:p>
        </w:tc>
        <w:tc>
          <w:tcPr>
            <w:tcW w:w="850" w:type="dxa"/>
            <w:shd w:val="clear" w:color="auto" w:fill="auto"/>
          </w:tcPr>
          <w:p w14:paraId="43E7DEBF"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w:t>
            </w:r>
          </w:p>
        </w:tc>
        <w:tc>
          <w:tcPr>
            <w:tcW w:w="567" w:type="dxa"/>
            <w:shd w:val="clear" w:color="auto" w:fill="auto"/>
          </w:tcPr>
          <w:p w14:paraId="31592226"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33</w:t>
            </w:r>
          </w:p>
        </w:tc>
        <w:tc>
          <w:tcPr>
            <w:tcW w:w="851" w:type="dxa"/>
            <w:shd w:val="clear" w:color="auto" w:fill="auto"/>
          </w:tcPr>
          <w:p w14:paraId="437FE0B3"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78</w:t>
            </w:r>
          </w:p>
        </w:tc>
        <w:tc>
          <w:tcPr>
            <w:tcW w:w="850" w:type="dxa"/>
            <w:shd w:val="clear" w:color="auto" w:fill="auto"/>
          </w:tcPr>
          <w:p w14:paraId="1BDC0527"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206</w:t>
            </w:r>
          </w:p>
        </w:tc>
        <w:tc>
          <w:tcPr>
            <w:tcW w:w="992" w:type="dxa"/>
            <w:shd w:val="clear" w:color="auto" w:fill="auto"/>
          </w:tcPr>
          <w:p w14:paraId="62BE5FA4"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317</w:t>
            </w:r>
          </w:p>
        </w:tc>
        <w:tc>
          <w:tcPr>
            <w:tcW w:w="709" w:type="dxa"/>
            <w:shd w:val="clear" w:color="auto" w:fill="auto"/>
          </w:tcPr>
          <w:p w14:paraId="3C67F271"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1441</w:t>
            </w:r>
          </w:p>
        </w:tc>
        <w:tc>
          <w:tcPr>
            <w:tcW w:w="709" w:type="dxa"/>
            <w:shd w:val="clear" w:color="auto" w:fill="auto"/>
          </w:tcPr>
          <w:p w14:paraId="7ACCA70C"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4.55</w:t>
            </w:r>
          </w:p>
        </w:tc>
      </w:tr>
      <w:tr w:rsidR="00A63CD3" w:rsidRPr="000704D9" w14:paraId="681A5670" w14:textId="77777777" w:rsidTr="005320EC">
        <w:trPr>
          <w:jc w:val="center"/>
        </w:trPr>
        <w:tc>
          <w:tcPr>
            <w:tcW w:w="529" w:type="dxa"/>
          </w:tcPr>
          <w:p w14:paraId="3D45FB2A"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6</w:t>
            </w:r>
          </w:p>
        </w:tc>
        <w:tc>
          <w:tcPr>
            <w:tcW w:w="2476" w:type="dxa"/>
            <w:shd w:val="clear" w:color="auto" w:fill="auto"/>
          </w:tcPr>
          <w:p w14:paraId="40C15A04"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Safety for visitors (e.g., well-lit pathways, clear signage)pathways, clear signage.</w:t>
            </w:r>
          </w:p>
        </w:tc>
        <w:tc>
          <w:tcPr>
            <w:tcW w:w="823" w:type="dxa"/>
            <w:shd w:val="clear" w:color="auto" w:fill="auto"/>
          </w:tcPr>
          <w:p w14:paraId="54A72A89"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w:t>
            </w:r>
          </w:p>
        </w:tc>
        <w:tc>
          <w:tcPr>
            <w:tcW w:w="850" w:type="dxa"/>
            <w:shd w:val="clear" w:color="auto" w:fill="auto"/>
          </w:tcPr>
          <w:p w14:paraId="2C17B6DE"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w:t>
            </w:r>
          </w:p>
        </w:tc>
        <w:tc>
          <w:tcPr>
            <w:tcW w:w="567" w:type="dxa"/>
            <w:shd w:val="clear" w:color="auto" w:fill="auto"/>
          </w:tcPr>
          <w:p w14:paraId="24CF281C"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w:t>
            </w:r>
          </w:p>
        </w:tc>
        <w:tc>
          <w:tcPr>
            <w:tcW w:w="851" w:type="dxa"/>
            <w:shd w:val="clear" w:color="auto" w:fill="auto"/>
          </w:tcPr>
          <w:p w14:paraId="3A427C42"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154</w:t>
            </w:r>
          </w:p>
        </w:tc>
        <w:tc>
          <w:tcPr>
            <w:tcW w:w="850" w:type="dxa"/>
            <w:shd w:val="clear" w:color="auto" w:fill="auto"/>
          </w:tcPr>
          <w:p w14:paraId="23A5D1C3"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163</w:t>
            </w:r>
          </w:p>
        </w:tc>
        <w:tc>
          <w:tcPr>
            <w:tcW w:w="992" w:type="dxa"/>
            <w:shd w:val="clear" w:color="auto" w:fill="auto"/>
          </w:tcPr>
          <w:p w14:paraId="2B6CDAE4"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317</w:t>
            </w:r>
          </w:p>
        </w:tc>
        <w:tc>
          <w:tcPr>
            <w:tcW w:w="709" w:type="dxa"/>
            <w:shd w:val="clear" w:color="auto" w:fill="auto"/>
          </w:tcPr>
          <w:p w14:paraId="0A162763"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1431</w:t>
            </w:r>
          </w:p>
        </w:tc>
        <w:tc>
          <w:tcPr>
            <w:tcW w:w="709" w:type="dxa"/>
            <w:shd w:val="clear" w:color="auto" w:fill="auto"/>
          </w:tcPr>
          <w:p w14:paraId="0EF1AA2E"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4.51</w:t>
            </w:r>
          </w:p>
        </w:tc>
      </w:tr>
      <w:tr w:rsidR="00A63CD3" w:rsidRPr="000704D9" w14:paraId="1312E1CC" w14:textId="77777777" w:rsidTr="005320EC">
        <w:trPr>
          <w:jc w:val="center"/>
        </w:trPr>
        <w:tc>
          <w:tcPr>
            <w:tcW w:w="529" w:type="dxa"/>
          </w:tcPr>
          <w:p w14:paraId="5572FB93"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7</w:t>
            </w:r>
          </w:p>
        </w:tc>
        <w:tc>
          <w:tcPr>
            <w:tcW w:w="2476" w:type="dxa"/>
            <w:shd w:val="clear" w:color="auto" w:fill="auto"/>
          </w:tcPr>
          <w:p w14:paraId="372A1E07"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Availability of seating areas</w:t>
            </w:r>
          </w:p>
        </w:tc>
        <w:tc>
          <w:tcPr>
            <w:tcW w:w="823" w:type="dxa"/>
            <w:shd w:val="clear" w:color="auto" w:fill="auto"/>
          </w:tcPr>
          <w:p w14:paraId="65CED466"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5</w:t>
            </w:r>
          </w:p>
        </w:tc>
        <w:tc>
          <w:tcPr>
            <w:tcW w:w="850" w:type="dxa"/>
            <w:shd w:val="clear" w:color="auto" w:fill="auto"/>
          </w:tcPr>
          <w:p w14:paraId="4AB72F6F"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2</w:t>
            </w:r>
          </w:p>
        </w:tc>
        <w:tc>
          <w:tcPr>
            <w:tcW w:w="567" w:type="dxa"/>
            <w:shd w:val="clear" w:color="auto" w:fill="auto"/>
          </w:tcPr>
          <w:p w14:paraId="70A3A21E"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12</w:t>
            </w:r>
          </w:p>
        </w:tc>
        <w:tc>
          <w:tcPr>
            <w:tcW w:w="851" w:type="dxa"/>
            <w:shd w:val="clear" w:color="auto" w:fill="auto"/>
          </w:tcPr>
          <w:p w14:paraId="508F4F36"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132</w:t>
            </w:r>
          </w:p>
        </w:tc>
        <w:tc>
          <w:tcPr>
            <w:tcW w:w="850" w:type="dxa"/>
            <w:shd w:val="clear" w:color="auto" w:fill="auto"/>
          </w:tcPr>
          <w:p w14:paraId="24DE9D44"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166</w:t>
            </w:r>
          </w:p>
        </w:tc>
        <w:tc>
          <w:tcPr>
            <w:tcW w:w="992" w:type="dxa"/>
            <w:shd w:val="clear" w:color="auto" w:fill="auto"/>
          </w:tcPr>
          <w:p w14:paraId="0B43FA98"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317</w:t>
            </w:r>
          </w:p>
        </w:tc>
        <w:tc>
          <w:tcPr>
            <w:tcW w:w="709" w:type="dxa"/>
            <w:shd w:val="clear" w:color="auto" w:fill="auto"/>
          </w:tcPr>
          <w:p w14:paraId="49F1583C"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1403</w:t>
            </w:r>
          </w:p>
        </w:tc>
        <w:tc>
          <w:tcPr>
            <w:tcW w:w="709" w:type="dxa"/>
            <w:shd w:val="clear" w:color="auto" w:fill="auto"/>
          </w:tcPr>
          <w:p w14:paraId="4AD2C66B"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4.43</w:t>
            </w:r>
          </w:p>
        </w:tc>
      </w:tr>
      <w:tr w:rsidR="00A63CD3" w:rsidRPr="000704D9" w14:paraId="51868BFE" w14:textId="77777777" w:rsidTr="005320EC">
        <w:trPr>
          <w:jc w:val="center"/>
        </w:trPr>
        <w:tc>
          <w:tcPr>
            <w:tcW w:w="529" w:type="dxa"/>
          </w:tcPr>
          <w:p w14:paraId="566D0A4D"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8</w:t>
            </w:r>
          </w:p>
        </w:tc>
        <w:tc>
          <w:tcPr>
            <w:tcW w:w="2476" w:type="dxa"/>
            <w:shd w:val="clear" w:color="auto" w:fill="auto"/>
          </w:tcPr>
          <w:p w14:paraId="303118D8"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Integration of natural elements (vegetation, water features)</w:t>
            </w:r>
          </w:p>
        </w:tc>
        <w:tc>
          <w:tcPr>
            <w:tcW w:w="823" w:type="dxa"/>
            <w:shd w:val="clear" w:color="auto" w:fill="auto"/>
          </w:tcPr>
          <w:p w14:paraId="6692ED62"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2</w:t>
            </w:r>
          </w:p>
        </w:tc>
        <w:tc>
          <w:tcPr>
            <w:tcW w:w="850" w:type="dxa"/>
            <w:shd w:val="clear" w:color="auto" w:fill="auto"/>
          </w:tcPr>
          <w:p w14:paraId="2DA9BD6B"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5</w:t>
            </w:r>
          </w:p>
        </w:tc>
        <w:tc>
          <w:tcPr>
            <w:tcW w:w="567" w:type="dxa"/>
            <w:shd w:val="clear" w:color="auto" w:fill="auto"/>
          </w:tcPr>
          <w:p w14:paraId="63D46C2A"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45</w:t>
            </w:r>
          </w:p>
        </w:tc>
        <w:tc>
          <w:tcPr>
            <w:tcW w:w="851" w:type="dxa"/>
            <w:shd w:val="clear" w:color="auto" w:fill="auto"/>
          </w:tcPr>
          <w:p w14:paraId="67466D3C"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87</w:t>
            </w:r>
          </w:p>
        </w:tc>
        <w:tc>
          <w:tcPr>
            <w:tcW w:w="850" w:type="dxa"/>
            <w:shd w:val="clear" w:color="auto" w:fill="auto"/>
          </w:tcPr>
          <w:p w14:paraId="13D978CE"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178</w:t>
            </w:r>
          </w:p>
        </w:tc>
        <w:tc>
          <w:tcPr>
            <w:tcW w:w="992" w:type="dxa"/>
            <w:shd w:val="clear" w:color="auto" w:fill="auto"/>
          </w:tcPr>
          <w:p w14:paraId="18FC40CB"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317</w:t>
            </w:r>
          </w:p>
        </w:tc>
        <w:tc>
          <w:tcPr>
            <w:tcW w:w="709" w:type="dxa"/>
            <w:shd w:val="clear" w:color="auto" w:fill="auto"/>
          </w:tcPr>
          <w:p w14:paraId="204E69F0"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1385</w:t>
            </w:r>
          </w:p>
        </w:tc>
        <w:tc>
          <w:tcPr>
            <w:tcW w:w="709" w:type="dxa"/>
            <w:shd w:val="clear" w:color="auto" w:fill="auto"/>
          </w:tcPr>
          <w:p w14:paraId="7B42ECE2"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4.37</w:t>
            </w:r>
          </w:p>
        </w:tc>
      </w:tr>
      <w:tr w:rsidR="00A63CD3" w:rsidRPr="000704D9" w14:paraId="73F6EF3A" w14:textId="77777777" w:rsidTr="005320EC">
        <w:trPr>
          <w:jc w:val="center"/>
        </w:trPr>
        <w:tc>
          <w:tcPr>
            <w:tcW w:w="529" w:type="dxa"/>
          </w:tcPr>
          <w:p w14:paraId="31B56CB6"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9</w:t>
            </w:r>
          </w:p>
        </w:tc>
        <w:tc>
          <w:tcPr>
            <w:tcW w:w="2476" w:type="dxa"/>
            <w:shd w:val="clear" w:color="auto" w:fill="auto"/>
          </w:tcPr>
          <w:p w14:paraId="18184901"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Presence of interactive landscape features</w:t>
            </w:r>
          </w:p>
        </w:tc>
        <w:tc>
          <w:tcPr>
            <w:tcW w:w="823" w:type="dxa"/>
            <w:shd w:val="clear" w:color="auto" w:fill="auto"/>
          </w:tcPr>
          <w:p w14:paraId="76B55864"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2</w:t>
            </w:r>
          </w:p>
        </w:tc>
        <w:tc>
          <w:tcPr>
            <w:tcW w:w="850" w:type="dxa"/>
            <w:shd w:val="clear" w:color="auto" w:fill="auto"/>
          </w:tcPr>
          <w:p w14:paraId="260CFAE7"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5</w:t>
            </w:r>
          </w:p>
        </w:tc>
        <w:tc>
          <w:tcPr>
            <w:tcW w:w="567" w:type="dxa"/>
            <w:shd w:val="clear" w:color="auto" w:fill="auto"/>
          </w:tcPr>
          <w:p w14:paraId="5B022C16"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45</w:t>
            </w:r>
          </w:p>
        </w:tc>
        <w:tc>
          <w:tcPr>
            <w:tcW w:w="851" w:type="dxa"/>
            <w:shd w:val="clear" w:color="auto" w:fill="auto"/>
          </w:tcPr>
          <w:p w14:paraId="7D621C5C"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87</w:t>
            </w:r>
          </w:p>
        </w:tc>
        <w:tc>
          <w:tcPr>
            <w:tcW w:w="850" w:type="dxa"/>
            <w:shd w:val="clear" w:color="auto" w:fill="auto"/>
          </w:tcPr>
          <w:p w14:paraId="37E6E37E"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178</w:t>
            </w:r>
          </w:p>
        </w:tc>
        <w:tc>
          <w:tcPr>
            <w:tcW w:w="992" w:type="dxa"/>
            <w:shd w:val="clear" w:color="auto" w:fill="auto"/>
          </w:tcPr>
          <w:p w14:paraId="2FB22C2C"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317</w:t>
            </w:r>
          </w:p>
        </w:tc>
        <w:tc>
          <w:tcPr>
            <w:tcW w:w="709" w:type="dxa"/>
            <w:shd w:val="clear" w:color="auto" w:fill="auto"/>
          </w:tcPr>
          <w:p w14:paraId="61554DD4"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1385</w:t>
            </w:r>
          </w:p>
        </w:tc>
        <w:tc>
          <w:tcPr>
            <w:tcW w:w="709" w:type="dxa"/>
            <w:shd w:val="clear" w:color="auto" w:fill="auto"/>
          </w:tcPr>
          <w:p w14:paraId="2097A08C"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4.37</w:t>
            </w:r>
          </w:p>
        </w:tc>
      </w:tr>
      <w:tr w:rsidR="00A63CD3" w:rsidRPr="000704D9" w14:paraId="4540963D" w14:textId="77777777" w:rsidTr="005320EC">
        <w:trPr>
          <w:trHeight w:val="449"/>
          <w:jc w:val="center"/>
        </w:trPr>
        <w:tc>
          <w:tcPr>
            <w:tcW w:w="529" w:type="dxa"/>
          </w:tcPr>
          <w:p w14:paraId="63447223"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10</w:t>
            </w:r>
          </w:p>
        </w:tc>
        <w:tc>
          <w:tcPr>
            <w:tcW w:w="2476" w:type="dxa"/>
            <w:shd w:val="clear" w:color="auto" w:fill="auto"/>
          </w:tcPr>
          <w:p w14:paraId="53DBA279"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Presence of artwork and sculptures within the landscape</w:t>
            </w:r>
          </w:p>
        </w:tc>
        <w:tc>
          <w:tcPr>
            <w:tcW w:w="823" w:type="dxa"/>
            <w:shd w:val="clear" w:color="auto" w:fill="auto"/>
          </w:tcPr>
          <w:p w14:paraId="2BF4DC2B"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2</w:t>
            </w:r>
          </w:p>
        </w:tc>
        <w:tc>
          <w:tcPr>
            <w:tcW w:w="850" w:type="dxa"/>
            <w:shd w:val="clear" w:color="auto" w:fill="auto"/>
          </w:tcPr>
          <w:p w14:paraId="6BAF19C9"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5</w:t>
            </w:r>
          </w:p>
        </w:tc>
        <w:tc>
          <w:tcPr>
            <w:tcW w:w="567" w:type="dxa"/>
            <w:shd w:val="clear" w:color="auto" w:fill="auto"/>
          </w:tcPr>
          <w:p w14:paraId="377D2EC1"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45</w:t>
            </w:r>
          </w:p>
        </w:tc>
        <w:tc>
          <w:tcPr>
            <w:tcW w:w="851" w:type="dxa"/>
            <w:shd w:val="clear" w:color="auto" w:fill="auto"/>
          </w:tcPr>
          <w:p w14:paraId="587769F8"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87</w:t>
            </w:r>
          </w:p>
        </w:tc>
        <w:tc>
          <w:tcPr>
            <w:tcW w:w="850" w:type="dxa"/>
            <w:shd w:val="clear" w:color="auto" w:fill="auto"/>
          </w:tcPr>
          <w:p w14:paraId="78293059"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178</w:t>
            </w:r>
          </w:p>
        </w:tc>
        <w:tc>
          <w:tcPr>
            <w:tcW w:w="992" w:type="dxa"/>
            <w:shd w:val="clear" w:color="auto" w:fill="auto"/>
          </w:tcPr>
          <w:p w14:paraId="5F30BDB1"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317</w:t>
            </w:r>
          </w:p>
        </w:tc>
        <w:tc>
          <w:tcPr>
            <w:tcW w:w="709" w:type="dxa"/>
            <w:shd w:val="clear" w:color="auto" w:fill="auto"/>
          </w:tcPr>
          <w:p w14:paraId="6BEA16C6"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1385</w:t>
            </w:r>
          </w:p>
        </w:tc>
        <w:tc>
          <w:tcPr>
            <w:tcW w:w="709" w:type="dxa"/>
            <w:shd w:val="clear" w:color="auto" w:fill="auto"/>
          </w:tcPr>
          <w:p w14:paraId="0E78A437"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4.37</w:t>
            </w:r>
          </w:p>
        </w:tc>
      </w:tr>
      <w:tr w:rsidR="00A63CD3" w:rsidRPr="000704D9" w14:paraId="69AC637B" w14:textId="77777777" w:rsidTr="005320EC">
        <w:trPr>
          <w:jc w:val="center"/>
        </w:trPr>
        <w:tc>
          <w:tcPr>
            <w:tcW w:w="529" w:type="dxa"/>
          </w:tcPr>
          <w:p w14:paraId="59D08E35"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11</w:t>
            </w:r>
          </w:p>
        </w:tc>
        <w:tc>
          <w:tcPr>
            <w:tcW w:w="2476" w:type="dxa"/>
            <w:shd w:val="clear" w:color="auto" w:fill="auto"/>
          </w:tcPr>
          <w:p w14:paraId="30EC5E3F"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Provision of shade and shelter</w:t>
            </w:r>
          </w:p>
        </w:tc>
        <w:tc>
          <w:tcPr>
            <w:tcW w:w="823" w:type="dxa"/>
            <w:shd w:val="clear" w:color="auto" w:fill="auto"/>
          </w:tcPr>
          <w:p w14:paraId="76E86C4D"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2</w:t>
            </w:r>
          </w:p>
        </w:tc>
        <w:tc>
          <w:tcPr>
            <w:tcW w:w="850" w:type="dxa"/>
            <w:shd w:val="clear" w:color="auto" w:fill="auto"/>
          </w:tcPr>
          <w:p w14:paraId="4D8FC8DF"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12</w:t>
            </w:r>
          </w:p>
        </w:tc>
        <w:tc>
          <w:tcPr>
            <w:tcW w:w="567" w:type="dxa"/>
            <w:shd w:val="clear" w:color="auto" w:fill="auto"/>
          </w:tcPr>
          <w:p w14:paraId="2019F971"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34</w:t>
            </w:r>
          </w:p>
        </w:tc>
        <w:tc>
          <w:tcPr>
            <w:tcW w:w="851" w:type="dxa"/>
            <w:shd w:val="clear" w:color="auto" w:fill="auto"/>
          </w:tcPr>
          <w:p w14:paraId="1F832325"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110</w:t>
            </w:r>
          </w:p>
        </w:tc>
        <w:tc>
          <w:tcPr>
            <w:tcW w:w="850" w:type="dxa"/>
            <w:shd w:val="clear" w:color="auto" w:fill="auto"/>
          </w:tcPr>
          <w:p w14:paraId="04E7F3AC"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159</w:t>
            </w:r>
          </w:p>
        </w:tc>
        <w:tc>
          <w:tcPr>
            <w:tcW w:w="992" w:type="dxa"/>
            <w:shd w:val="clear" w:color="auto" w:fill="auto"/>
          </w:tcPr>
          <w:p w14:paraId="517BCDEC"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317</w:t>
            </w:r>
          </w:p>
        </w:tc>
        <w:tc>
          <w:tcPr>
            <w:tcW w:w="709" w:type="dxa"/>
            <w:shd w:val="clear" w:color="auto" w:fill="auto"/>
          </w:tcPr>
          <w:p w14:paraId="1597B8AB"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1363</w:t>
            </w:r>
          </w:p>
        </w:tc>
        <w:tc>
          <w:tcPr>
            <w:tcW w:w="709" w:type="dxa"/>
            <w:shd w:val="clear" w:color="auto" w:fill="auto"/>
          </w:tcPr>
          <w:p w14:paraId="78943B1B"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4.30</w:t>
            </w:r>
          </w:p>
        </w:tc>
      </w:tr>
      <w:tr w:rsidR="00A63CD3" w:rsidRPr="000704D9" w14:paraId="44619F0A" w14:textId="77777777" w:rsidTr="005320EC">
        <w:trPr>
          <w:jc w:val="center"/>
        </w:trPr>
        <w:tc>
          <w:tcPr>
            <w:tcW w:w="529" w:type="dxa"/>
          </w:tcPr>
          <w:p w14:paraId="15715C73"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12</w:t>
            </w:r>
          </w:p>
        </w:tc>
        <w:tc>
          <w:tcPr>
            <w:tcW w:w="2476" w:type="dxa"/>
            <w:shd w:val="clear" w:color="auto" w:fill="auto"/>
          </w:tcPr>
          <w:p w14:paraId="38F4576F"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Spaces for sport and recreation</w:t>
            </w:r>
          </w:p>
        </w:tc>
        <w:tc>
          <w:tcPr>
            <w:tcW w:w="823" w:type="dxa"/>
            <w:shd w:val="clear" w:color="auto" w:fill="auto"/>
          </w:tcPr>
          <w:p w14:paraId="10CB04E2"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w:t>
            </w:r>
          </w:p>
        </w:tc>
        <w:tc>
          <w:tcPr>
            <w:tcW w:w="850" w:type="dxa"/>
            <w:shd w:val="clear" w:color="auto" w:fill="auto"/>
          </w:tcPr>
          <w:p w14:paraId="5787177C"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43</w:t>
            </w:r>
          </w:p>
        </w:tc>
        <w:tc>
          <w:tcPr>
            <w:tcW w:w="567" w:type="dxa"/>
            <w:shd w:val="clear" w:color="auto" w:fill="auto"/>
          </w:tcPr>
          <w:p w14:paraId="749CD187"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w:t>
            </w:r>
          </w:p>
        </w:tc>
        <w:tc>
          <w:tcPr>
            <w:tcW w:w="851" w:type="dxa"/>
            <w:shd w:val="clear" w:color="auto" w:fill="auto"/>
          </w:tcPr>
          <w:p w14:paraId="3F1F0DF2"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132</w:t>
            </w:r>
          </w:p>
        </w:tc>
        <w:tc>
          <w:tcPr>
            <w:tcW w:w="850" w:type="dxa"/>
            <w:shd w:val="clear" w:color="auto" w:fill="auto"/>
          </w:tcPr>
          <w:p w14:paraId="2566D7F4"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142</w:t>
            </w:r>
          </w:p>
        </w:tc>
        <w:tc>
          <w:tcPr>
            <w:tcW w:w="992" w:type="dxa"/>
            <w:shd w:val="clear" w:color="auto" w:fill="auto"/>
          </w:tcPr>
          <w:p w14:paraId="757779B7"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317</w:t>
            </w:r>
          </w:p>
        </w:tc>
        <w:tc>
          <w:tcPr>
            <w:tcW w:w="709" w:type="dxa"/>
            <w:shd w:val="clear" w:color="auto" w:fill="auto"/>
          </w:tcPr>
          <w:p w14:paraId="038545AA"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1324</w:t>
            </w:r>
          </w:p>
        </w:tc>
        <w:tc>
          <w:tcPr>
            <w:tcW w:w="709" w:type="dxa"/>
            <w:shd w:val="clear" w:color="auto" w:fill="auto"/>
          </w:tcPr>
          <w:p w14:paraId="2ACE38B1"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4.18</w:t>
            </w:r>
          </w:p>
        </w:tc>
      </w:tr>
      <w:tr w:rsidR="00A63CD3" w:rsidRPr="000704D9" w14:paraId="5DA8EB9A" w14:textId="77777777" w:rsidTr="005320EC">
        <w:trPr>
          <w:trHeight w:val="449"/>
          <w:jc w:val="center"/>
        </w:trPr>
        <w:tc>
          <w:tcPr>
            <w:tcW w:w="529" w:type="dxa"/>
          </w:tcPr>
          <w:p w14:paraId="701F1A12"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13</w:t>
            </w:r>
          </w:p>
        </w:tc>
        <w:tc>
          <w:tcPr>
            <w:tcW w:w="2476" w:type="dxa"/>
            <w:shd w:val="clear" w:color="auto" w:fill="auto"/>
          </w:tcPr>
          <w:p w14:paraId="743823C4"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Availability of leisure gardening areas</w:t>
            </w:r>
          </w:p>
        </w:tc>
        <w:tc>
          <w:tcPr>
            <w:tcW w:w="823" w:type="dxa"/>
            <w:shd w:val="clear" w:color="auto" w:fill="auto"/>
          </w:tcPr>
          <w:p w14:paraId="28C10087"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w:t>
            </w:r>
          </w:p>
        </w:tc>
        <w:tc>
          <w:tcPr>
            <w:tcW w:w="850" w:type="dxa"/>
            <w:shd w:val="clear" w:color="auto" w:fill="auto"/>
          </w:tcPr>
          <w:p w14:paraId="0F3E0B4B"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w:t>
            </w:r>
          </w:p>
        </w:tc>
        <w:tc>
          <w:tcPr>
            <w:tcW w:w="567" w:type="dxa"/>
            <w:shd w:val="clear" w:color="auto" w:fill="auto"/>
          </w:tcPr>
          <w:p w14:paraId="5A440453"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87</w:t>
            </w:r>
          </w:p>
        </w:tc>
        <w:tc>
          <w:tcPr>
            <w:tcW w:w="851" w:type="dxa"/>
            <w:shd w:val="clear" w:color="auto" w:fill="auto"/>
          </w:tcPr>
          <w:p w14:paraId="7E66DA50"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110</w:t>
            </w:r>
          </w:p>
        </w:tc>
        <w:tc>
          <w:tcPr>
            <w:tcW w:w="850" w:type="dxa"/>
            <w:shd w:val="clear" w:color="auto" w:fill="auto"/>
          </w:tcPr>
          <w:p w14:paraId="4AD21A0F"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120</w:t>
            </w:r>
          </w:p>
        </w:tc>
        <w:tc>
          <w:tcPr>
            <w:tcW w:w="992" w:type="dxa"/>
            <w:shd w:val="clear" w:color="auto" w:fill="auto"/>
          </w:tcPr>
          <w:p w14:paraId="793E99F9"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317</w:t>
            </w:r>
          </w:p>
        </w:tc>
        <w:tc>
          <w:tcPr>
            <w:tcW w:w="709" w:type="dxa"/>
            <w:shd w:val="clear" w:color="auto" w:fill="auto"/>
          </w:tcPr>
          <w:p w14:paraId="71A5CE34"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1301</w:t>
            </w:r>
          </w:p>
        </w:tc>
        <w:tc>
          <w:tcPr>
            <w:tcW w:w="709" w:type="dxa"/>
            <w:shd w:val="clear" w:color="auto" w:fill="auto"/>
          </w:tcPr>
          <w:p w14:paraId="00E49EB3"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4.10</w:t>
            </w:r>
          </w:p>
        </w:tc>
      </w:tr>
      <w:tr w:rsidR="00A63CD3" w:rsidRPr="000704D9" w14:paraId="72A33A20" w14:textId="77777777" w:rsidTr="005320EC">
        <w:trPr>
          <w:jc w:val="center"/>
        </w:trPr>
        <w:tc>
          <w:tcPr>
            <w:tcW w:w="529" w:type="dxa"/>
          </w:tcPr>
          <w:p w14:paraId="34636417"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14</w:t>
            </w:r>
          </w:p>
        </w:tc>
        <w:tc>
          <w:tcPr>
            <w:tcW w:w="2476" w:type="dxa"/>
            <w:shd w:val="clear" w:color="auto" w:fill="auto"/>
          </w:tcPr>
          <w:p w14:paraId="64038FEF"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Educational features (e.g., plant information boards).</w:t>
            </w:r>
          </w:p>
        </w:tc>
        <w:tc>
          <w:tcPr>
            <w:tcW w:w="823" w:type="dxa"/>
            <w:shd w:val="clear" w:color="auto" w:fill="auto"/>
          </w:tcPr>
          <w:p w14:paraId="77B5ABE6"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w:t>
            </w:r>
          </w:p>
        </w:tc>
        <w:tc>
          <w:tcPr>
            <w:tcW w:w="850" w:type="dxa"/>
            <w:shd w:val="clear" w:color="auto" w:fill="auto"/>
          </w:tcPr>
          <w:p w14:paraId="0F907BDC"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78</w:t>
            </w:r>
          </w:p>
        </w:tc>
        <w:tc>
          <w:tcPr>
            <w:tcW w:w="567" w:type="dxa"/>
            <w:shd w:val="clear" w:color="auto" w:fill="auto"/>
          </w:tcPr>
          <w:p w14:paraId="34EC7094"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22</w:t>
            </w:r>
          </w:p>
        </w:tc>
        <w:tc>
          <w:tcPr>
            <w:tcW w:w="851" w:type="dxa"/>
            <w:shd w:val="clear" w:color="auto" w:fill="auto"/>
          </w:tcPr>
          <w:p w14:paraId="6DA7A672"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80</w:t>
            </w:r>
          </w:p>
        </w:tc>
        <w:tc>
          <w:tcPr>
            <w:tcW w:w="850" w:type="dxa"/>
            <w:shd w:val="clear" w:color="auto" w:fill="auto"/>
          </w:tcPr>
          <w:p w14:paraId="53A94498"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137</w:t>
            </w:r>
          </w:p>
        </w:tc>
        <w:tc>
          <w:tcPr>
            <w:tcW w:w="992" w:type="dxa"/>
            <w:shd w:val="clear" w:color="auto" w:fill="auto"/>
          </w:tcPr>
          <w:p w14:paraId="1FB96BB0"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317</w:t>
            </w:r>
          </w:p>
        </w:tc>
        <w:tc>
          <w:tcPr>
            <w:tcW w:w="709" w:type="dxa"/>
            <w:shd w:val="clear" w:color="auto" w:fill="auto"/>
          </w:tcPr>
          <w:p w14:paraId="27650B11"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1227</w:t>
            </w:r>
          </w:p>
        </w:tc>
        <w:tc>
          <w:tcPr>
            <w:tcW w:w="709" w:type="dxa"/>
            <w:shd w:val="clear" w:color="auto" w:fill="auto"/>
          </w:tcPr>
          <w:p w14:paraId="6A6653A1" w14:textId="77777777" w:rsidR="00A63CD3" w:rsidRPr="000704D9" w:rsidRDefault="00A63CD3" w:rsidP="005320EC">
            <w:pPr>
              <w:spacing w:after="0" w:line="240" w:lineRule="auto"/>
              <w:rPr>
                <w:rFonts w:ascii="Times New Roman" w:eastAsia="SimSun" w:hAnsi="Times New Roman" w:cs="Times New Roman"/>
                <w:color w:val="000000" w:themeColor="text1"/>
                <w:sz w:val="20"/>
                <w:szCs w:val="20"/>
                <w:lang w:eastAsia="zh-CN"/>
              </w:rPr>
            </w:pPr>
            <w:r w:rsidRPr="000704D9">
              <w:rPr>
                <w:rFonts w:ascii="Times New Roman" w:eastAsia="SimSun" w:hAnsi="Times New Roman" w:cs="Times New Roman"/>
                <w:color w:val="000000" w:themeColor="text1"/>
                <w:sz w:val="20"/>
                <w:szCs w:val="20"/>
                <w:lang w:eastAsia="zh-CN"/>
              </w:rPr>
              <w:t>3.87</w:t>
            </w:r>
          </w:p>
        </w:tc>
      </w:tr>
      <w:tr w:rsidR="00A63CD3" w:rsidRPr="000704D9" w14:paraId="6D8E36C7" w14:textId="77777777" w:rsidTr="005320EC">
        <w:trPr>
          <w:jc w:val="center"/>
        </w:trPr>
        <w:tc>
          <w:tcPr>
            <w:tcW w:w="529" w:type="dxa"/>
          </w:tcPr>
          <w:p w14:paraId="7AF9DA61" w14:textId="77777777" w:rsidR="00A63CD3" w:rsidRPr="000704D9" w:rsidRDefault="00A63CD3" w:rsidP="005320EC">
            <w:pPr>
              <w:spacing w:after="0" w:line="240" w:lineRule="auto"/>
              <w:contextualSpacing/>
              <w:rPr>
                <w:rFonts w:ascii="Times New Roman" w:eastAsia="Calibri" w:hAnsi="Times New Roman" w:cs="Times New Roman"/>
                <w:b/>
                <w:color w:val="000000" w:themeColor="text1"/>
                <w:sz w:val="20"/>
                <w:szCs w:val="20"/>
              </w:rPr>
            </w:pPr>
          </w:p>
        </w:tc>
        <w:tc>
          <w:tcPr>
            <w:tcW w:w="2476" w:type="dxa"/>
            <w:vMerge w:val="restart"/>
            <w:shd w:val="clear" w:color="auto" w:fill="auto"/>
          </w:tcPr>
          <w:p w14:paraId="5E3BA5B6" w14:textId="77777777" w:rsidR="00A63CD3" w:rsidRPr="000704D9" w:rsidRDefault="00A63CD3" w:rsidP="005320EC">
            <w:pPr>
              <w:spacing w:after="0" w:line="240" w:lineRule="auto"/>
              <w:contextualSpacing/>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Total</w:t>
            </w:r>
          </w:p>
        </w:tc>
        <w:tc>
          <w:tcPr>
            <w:tcW w:w="823" w:type="dxa"/>
            <w:shd w:val="clear" w:color="auto" w:fill="auto"/>
          </w:tcPr>
          <w:p w14:paraId="3151154E" w14:textId="77777777" w:rsidR="00A63CD3" w:rsidRPr="000704D9" w:rsidRDefault="00A63CD3" w:rsidP="005320EC">
            <w:pPr>
              <w:spacing w:after="0" w:line="240" w:lineRule="auto"/>
              <w:contextualSpacing/>
              <w:jc w:val="center"/>
              <w:rPr>
                <w:rFonts w:ascii="Times New Roman" w:eastAsia="Calibri" w:hAnsi="Times New Roman" w:cs="Times New Roman"/>
                <w:color w:val="000000" w:themeColor="text1"/>
                <w:sz w:val="20"/>
                <w:szCs w:val="20"/>
              </w:rPr>
            </w:pPr>
          </w:p>
        </w:tc>
        <w:tc>
          <w:tcPr>
            <w:tcW w:w="850" w:type="dxa"/>
            <w:shd w:val="clear" w:color="auto" w:fill="auto"/>
          </w:tcPr>
          <w:p w14:paraId="0EAB112E" w14:textId="77777777" w:rsidR="00A63CD3" w:rsidRPr="000704D9" w:rsidRDefault="00A63CD3" w:rsidP="005320EC">
            <w:pPr>
              <w:spacing w:after="0" w:line="240" w:lineRule="auto"/>
              <w:contextualSpacing/>
              <w:jc w:val="center"/>
              <w:rPr>
                <w:rFonts w:ascii="Times New Roman" w:eastAsia="Calibri" w:hAnsi="Times New Roman" w:cs="Times New Roman"/>
                <w:color w:val="000000" w:themeColor="text1"/>
                <w:sz w:val="20"/>
                <w:szCs w:val="20"/>
              </w:rPr>
            </w:pPr>
          </w:p>
        </w:tc>
        <w:tc>
          <w:tcPr>
            <w:tcW w:w="567" w:type="dxa"/>
            <w:shd w:val="clear" w:color="auto" w:fill="auto"/>
          </w:tcPr>
          <w:p w14:paraId="53BEBBE5" w14:textId="77777777" w:rsidR="00A63CD3" w:rsidRPr="000704D9" w:rsidRDefault="00A63CD3" w:rsidP="005320EC">
            <w:pPr>
              <w:spacing w:after="0" w:line="240" w:lineRule="auto"/>
              <w:contextualSpacing/>
              <w:jc w:val="center"/>
              <w:rPr>
                <w:rFonts w:ascii="Times New Roman" w:eastAsia="Calibri" w:hAnsi="Times New Roman" w:cs="Times New Roman"/>
                <w:color w:val="000000" w:themeColor="text1"/>
                <w:sz w:val="20"/>
                <w:szCs w:val="20"/>
              </w:rPr>
            </w:pPr>
          </w:p>
        </w:tc>
        <w:tc>
          <w:tcPr>
            <w:tcW w:w="851" w:type="dxa"/>
            <w:shd w:val="clear" w:color="auto" w:fill="auto"/>
          </w:tcPr>
          <w:p w14:paraId="573B2425" w14:textId="77777777" w:rsidR="00A63CD3" w:rsidRPr="000704D9" w:rsidRDefault="00A63CD3" w:rsidP="005320EC">
            <w:pPr>
              <w:spacing w:after="0" w:line="240" w:lineRule="auto"/>
              <w:contextualSpacing/>
              <w:jc w:val="center"/>
              <w:rPr>
                <w:rFonts w:ascii="Times New Roman" w:eastAsia="Calibri" w:hAnsi="Times New Roman" w:cs="Times New Roman"/>
                <w:color w:val="000000" w:themeColor="text1"/>
                <w:sz w:val="20"/>
                <w:szCs w:val="20"/>
              </w:rPr>
            </w:pPr>
          </w:p>
        </w:tc>
        <w:tc>
          <w:tcPr>
            <w:tcW w:w="850" w:type="dxa"/>
            <w:shd w:val="clear" w:color="auto" w:fill="auto"/>
          </w:tcPr>
          <w:p w14:paraId="12E6851F" w14:textId="77777777" w:rsidR="00A63CD3" w:rsidRPr="000704D9" w:rsidRDefault="00A63CD3" w:rsidP="005320EC">
            <w:pPr>
              <w:spacing w:after="0" w:line="240" w:lineRule="auto"/>
              <w:contextualSpacing/>
              <w:jc w:val="center"/>
              <w:rPr>
                <w:rFonts w:ascii="Times New Roman" w:eastAsia="Calibri" w:hAnsi="Times New Roman" w:cs="Times New Roman"/>
                <w:color w:val="000000" w:themeColor="text1"/>
                <w:sz w:val="20"/>
                <w:szCs w:val="20"/>
              </w:rPr>
            </w:pPr>
          </w:p>
        </w:tc>
        <w:tc>
          <w:tcPr>
            <w:tcW w:w="992" w:type="dxa"/>
            <w:shd w:val="clear" w:color="auto" w:fill="auto"/>
          </w:tcPr>
          <w:p w14:paraId="308DBC65" w14:textId="77777777" w:rsidR="00A63CD3" w:rsidRPr="000704D9" w:rsidRDefault="00A63CD3" w:rsidP="005320EC">
            <w:pPr>
              <w:spacing w:after="0" w:line="240" w:lineRule="auto"/>
              <w:contextualSpacing/>
              <w:jc w:val="center"/>
              <w:rPr>
                <w:rFonts w:ascii="Times New Roman" w:eastAsia="Calibri" w:hAnsi="Times New Roman" w:cs="Times New Roman"/>
                <w:color w:val="000000" w:themeColor="text1"/>
                <w:sz w:val="20"/>
                <w:szCs w:val="20"/>
              </w:rPr>
            </w:pPr>
          </w:p>
        </w:tc>
        <w:tc>
          <w:tcPr>
            <w:tcW w:w="709" w:type="dxa"/>
            <w:shd w:val="clear" w:color="auto" w:fill="auto"/>
          </w:tcPr>
          <w:p w14:paraId="48814921" w14:textId="77777777" w:rsidR="00A63CD3" w:rsidRPr="000704D9" w:rsidRDefault="00A63CD3" w:rsidP="005320EC">
            <w:pPr>
              <w:spacing w:after="0" w:line="240" w:lineRule="auto"/>
              <w:contextualSpacing/>
              <w:jc w:val="center"/>
              <w:rPr>
                <w:rFonts w:ascii="Times New Roman" w:eastAsia="Calibri" w:hAnsi="Times New Roman" w:cs="Times New Roman"/>
                <w:color w:val="000000" w:themeColor="text1"/>
                <w:sz w:val="20"/>
                <w:szCs w:val="20"/>
              </w:rPr>
            </w:pPr>
          </w:p>
        </w:tc>
        <w:tc>
          <w:tcPr>
            <w:tcW w:w="709" w:type="dxa"/>
            <w:shd w:val="clear" w:color="auto" w:fill="auto"/>
          </w:tcPr>
          <w:p w14:paraId="22DF5A0C" w14:textId="77777777" w:rsidR="00A63CD3" w:rsidRPr="000704D9" w:rsidRDefault="00A63CD3" w:rsidP="005320EC">
            <w:pPr>
              <w:spacing w:after="0" w:line="240" w:lineRule="auto"/>
              <w:contextualSpacing/>
              <w:jc w:val="center"/>
              <w:rPr>
                <w:rFonts w:ascii="Times New Roman" w:eastAsia="Calibri" w:hAnsi="Times New Roman" w:cs="Times New Roman"/>
                <w:color w:val="000000" w:themeColor="text1"/>
                <w:sz w:val="20"/>
                <w:szCs w:val="20"/>
              </w:rPr>
            </w:pPr>
            <w:r w:rsidRPr="000704D9">
              <w:rPr>
                <w:rFonts w:ascii="Times New Roman" w:eastAsia="Calibri" w:hAnsi="Times New Roman" w:cs="Times New Roman"/>
                <w:color w:val="000000" w:themeColor="text1"/>
                <w:sz w:val="20"/>
                <w:szCs w:val="20"/>
              </w:rPr>
              <w:t>61.87/14</w:t>
            </w:r>
          </w:p>
        </w:tc>
      </w:tr>
      <w:tr w:rsidR="00A63CD3" w:rsidRPr="000704D9" w14:paraId="5B890038" w14:textId="77777777" w:rsidTr="005320EC">
        <w:trPr>
          <w:jc w:val="center"/>
        </w:trPr>
        <w:tc>
          <w:tcPr>
            <w:tcW w:w="529" w:type="dxa"/>
            <w:tcBorders>
              <w:bottom w:val="single" w:sz="18" w:space="0" w:color="auto"/>
            </w:tcBorders>
          </w:tcPr>
          <w:p w14:paraId="03D867E2" w14:textId="77777777" w:rsidR="00A63CD3" w:rsidRPr="000704D9" w:rsidRDefault="00A63CD3" w:rsidP="005320EC">
            <w:pPr>
              <w:spacing w:after="0" w:line="240" w:lineRule="auto"/>
              <w:contextualSpacing/>
              <w:rPr>
                <w:rFonts w:ascii="Times New Roman" w:eastAsia="Calibri" w:hAnsi="Times New Roman" w:cs="Times New Roman"/>
                <w:color w:val="000000" w:themeColor="text1"/>
                <w:sz w:val="20"/>
                <w:szCs w:val="20"/>
              </w:rPr>
            </w:pPr>
          </w:p>
        </w:tc>
        <w:tc>
          <w:tcPr>
            <w:tcW w:w="2476" w:type="dxa"/>
            <w:vMerge/>
            <w:tcBorders>
              <w:bottom w:val="single" w:sz="18" w:space="0" w:color="auto"/>
            </w:tcBorders>
            <w:shd w:val="clear" w:color="auto" w:fill="auto"/>
          </w:tcPr>
          <w:p w14:paraId="2015F8AF" w14:textId="77777777" w:rsidR="00A63CD3" w:rsidRPr="000704D9" w:rsidRDefault="00A63CD3" w:rsidP="005320EC">
            <w:pPr>
              <w:spacing w:after="0" w:line="240" w:lineRule="auto"/>
              <w:contextualSpacing/>
              <w:rPr>
                <w:rFonts w:ascii="Times New Roman" w:eastAsia="Calibri" w:hAnsi="Times New Roman" w:cs="Times New Roman"/>
                <w:color w:val="000000" w:themeColor="text1"/>
                <w:sz w:val="20"/>
                <w:szCs w:val="20"/>
              </w:rPr>
            </w:pPr>
          </w:p>
        </w:tc>
        <w:tc>
          <w:tcPr>
            <w:tcW w:w="823" w:type="dxa"/>
            <w:tcBorders>
              <w:bottom w:val="single" w:sz="18" w:space="0" w:color="auto"/>
            </w:tcBorders>
            <w:shd w:val="clear" w:color="auto" w:fill="auto"/>
          </w:tcPr>
          <w:p w14:paraId="05F2122B" w14:textId="77777777" w:rsidR="00A63CD3" w:rsidRPr="000704D9" w:rsidRDefault="00A63CD3" w:rsidP="005320EC">
            <w:pPr>
              <w:spacing w:after="0" w:line="240" w:lineRule="auto"/>
              <w:contextualSpacing/>
              <w:jc w:val="center"/>
              <w:rPr>
                <w:rFonts w:ascii="Times New Roman" w:eastAsia="Calibri" w:hAnsi="Times New Roman" w:cs="Times New Roman"/>
                <w:color w:val="000000" w:themeColor="text1"/>
                <w:sz w:val="20"/>
                <w:szCs w:val="20"/>
              </w:rPr>
            </w:pPr>
          </w:p>
        </w:tc>
        <w:tc>
          <w:tcPr>
            <w:tcW w:w="850" w:type="dxa"/>
            <w:tcBorders>
              <w:bottom w:val="single" w:sz="18" w:space="0" w:color="auto"/>
            </w:tcBorders>
            <w:shd w:val="clear" w:color="auto" w:fill="auto"/>
          </w:tcPr>
          <w:p w14:paraId="32AF9EC3" w14:textId="77777777" w:rsidR="00A63CD3" w:rsidRPr="000704D9" w:rsidRDefault="00A63CD3" w:rsidP="005320EC">
            <w:pPr>
              <w:spacing w:after="0" w:line="240" w:lineRule="auto"/>
              <w:contextualSpacing/>
              <w:jc w:val="center"/>
              <w:rPr>
                <w:rFonts w:ascii="Times New Roman" w:eastAsia="Calibri" w:hAnsi="Times New Roman" w:cs="Times New Roman"/>
                <w:color w:val="000000" w:themeColor="text1"/>
                <w:sz w:val="20"/>
                <w:szCs w:val="20"/>
              </w:rPr>
            </w:pPr>
          </w:p>
        </w:tc>
        <w:tc>
          <w:tcPr>
            <w:tcW w:w="567" w:type="dxa"/>
            <w:tcBorders>
              <w:bottom w:val="single" w:sz="18" w:space="0" w:color="auto"/>
            </w:tcBorders>
            <w:shd w:val="clear" w:color="auto" w:fill="auto"/>
          </w:tcPr>
          <w:p w14:paraId="166A7FF3" w14:textId="77777777" w:rsidR="00A63CD3" w:rsidRPr="000704D9" w:rsidRDefault="00A63CD3" w:rsidP="005320EC">
            <w:pPr>
              <w:spacing w:after="0" w:line="240" w:lineRule="auto"/>
              <w:contextualSpacing/>
              <w:jc w:val="center"/>
              <w:rPr>
                <w:rFonts w:ascii="Times New Roman" w:eastAsia="Calibri" w:hAnsi="Times New Roman" w:cs="Times New Roman"/>
                <w:color w:val="000000" w:themeColor="text1"/>
                <w:sz w:val="20"/>
                <w:szCs w:val="20"/>
              </w:rPr>
            </w:pPr>
          </w:p>
        </w:tc>
        <w:tc>
          <w:tcPr>
            <w:tcW w:w="851" w:type="dxa"/>
            <w:tcBorders>
              <w:bottom w:val="single" w:sz="18" w:space="0" w:color="auto"/>
            </w:tcBorders>
            <w:shd w:val="clear" w:color="auto" w:fill="auto"/>
          </w:tcPr>
          <w:p w14:paraId="0EBB5057" w14:textId="77777777" w:rsidR="00A63CD3" w:rsidRPr="000704D9" w:rsidRDefault="00A63CD3" w:rsidP="005320EC">
            <w:pPr>
              <w:spacing w:after="0" w:line="240" w:lineRule="auto"/>
              <w:contextualSpacing/>
              <w:jc w:val="center"/>
              <w:rPr>
                <w:rFonts w:ascii="Times New Roman" w:eastAsia="Calibri" w:hAnsi="Times New Roman" w:cs="Times New Roman"/>
                <w:color w:val="000000" w:themeColor="text1"/>
                <w:sz w:val="20"/>
                <w:szCs w:val="20"/>
              </w:rPr>
            </w:pPr>
          </w:p>
        </w:tc>
        <w:tc>
          <w:tcPr>
            <w:tcW w:w="850" w:type="dxa"/>
            <w:tcBorders>
              <w:bottom w:val="single" w:sz="18" w:space="0" w:color="auto"/>
            </w:tcBorders>
            <w:shd w:val="clear" w:color="auto" w:fill="auto"/>
          </w:tcPr>
          <w:p w14:paraId="4305E2E3" w14:textId="77777777" w:rsidR="00A63CD3" w:rsidRPr="000704D9" w:rsidRDefault="00A63CD3" w:rsidP="005320EC">
            <w:pPr>
              <w:spacing w:after="0" w:line="240" w:lineRule="auto"/>
              <w:contextualSpacing/>
              <w:jc w:val="center"/>
              <w:rPr>
                <w:rFonts w:ascii="Times New Roman" w:eastAsia="Calibri" w:hAnsi="Times New Roman" w:cs="Times New Roman"/>
                <w:color w:val="000000" w:themeColor="text1"/>
                <w:sz w:val="20"/>
                <w:szCs w:val="20"/>
              </w:rPr>
            </w:pPr>
          </w:p>
        </w:tc>
        <w:tc>
          <w:tcPr>
            <w:tcW w:w="992" w:type="dxa"/>
            <w:tcBorders>
              <w:bottom w:val="single" w:sz="18" w:space="0" w:color="auto"/>
            </w:tcBorders>
            <w:shd w:val="clear" w:color="auto" w:fill="auto"/>
          </w:tcPr>
          <w:p w14:paraId="53DDEAAB" w14:textId="77777777" w:rsidR="00A63CD3" w:rsidRPr="000704D9" w:rsidRDefault="00A63CD3" w:rsidP="005320EC">
            <w:pPr>
              <w:spacing w:after="0" w:line="240" w:lineRule="auto"/>
              <w:contextualSpacing/>
              <w:jc w:val="center"/>
              <w:rPr>
                <w:rFonts w:ascii="Times New Roman" w:eastAsia="Calibri" w:hAnsi="Times New Roman" w:cs="Times New Roman"/>
                <w:color w:val="000000" w:themeColor="text1"/>
                <w:sz w:val="20"/>
                <w:szCs w:val="20"/>
              </w:rPr>
            </w:pPr>
          </w:p>
        </w:tc>
        <w:tc>
          <w:tcPr>
            <w:tcW w:w="709" w:type="dxa"/>
            <w:tcBorders>
              <w:bottom w:val="single" w:sz="18" w:space="0" w:color="auto"/>
            </w:tcBorders>
            <w:shd w:val="clear" w:color="auto" w:fill="auto"/>
          </w:tcPr>
          <w:p w14:paraId="0380718D" w14:textId="77777777" w:rsidR="00A63CD3" w:rsidRPr="000704D9" w:rsidRDefault="00A63CD3" w:rsidP="005320EC">
            <w:pPr>
              <w:spacing w:after="0" w:line="240" w:lineRule="auto"/>
              <w:contextualSpacing/>
              <w:jc w:val="center"/>
              <w:rPr>
                <w:rFonts w:ascii="Times New Roman" w:eastAsia="Calibri" w:hAnsi="Times New Roman" w:cs="Times New Roman"/>
                <w:color w:val="000000" w:themeColor="text1"/>
                <w:sz w:val="20"/>
                <w:szCs w:val="20"/>
              </w:rPr>
            </w:pPr>
          </w:p>
        </w:tc>
        <w:tc>
          <w:tcPr>
            <w:tcW w:w="709" w:type="dxa"/>
            <w:tcBorders>
              <w:bottom w:val="single" w:sz="18" w:space="0" w:color="auto"/>
            </w:tcBorders>
            <w:shd w:val="clear" w:color="auto" w:fill="auto"/>
          </w:tcPr>
          <w:p w14:paraId="7190D003" w14:textId="77777777" w:rsidR="00A63CD3" w:rsidRPr="000704D9" w:rsidRDefault="00A63CD3" w:rsidP="005320EC">
            <w:pPr>
              <w:spacing w:after="0" w:line="240" w:lineRule="auto"/>
              <w:contextualSpacing/>
              <w:jc w:val="center"/>
              <w:rPr>
                <w:rFonts w:ascii="Times New Roman" w:eastAsia="Calibri" w:hAnsi="Times New Roman" w:cs="Times New Roman"/>
                <w:b/>
                <w:color w:val="000000" w:themeColor="text1"/>
                <w:sz w:val="20"/>
                <w:szCs w:val="20"/>
              </w:rPr>
            </w:pPr>
            <w:r w:rsidRPr="000704D9">
              <w:rPr>
                <w:rFonts w:ascii="Times New Roman" w:eastAsia="Calibri" w:hAnsi="Times New Roman" w:cs="Times New Roman"/>
                <w:b/>
                <w:color w:val="000000" w:themeColor="text1"/>
                <w:sz w:val="20"/>
                <w:szCs w:val="20"/>
              </w:rPr>
              <w:t>4.42</w:t>
            </w:r>
          </w:p>
        </w:tc>
      </w:tr>
    </w:tbl>
    <w:p w14:paraId="68515EC7" w14:textId="77777777" w:rsidR="0075695E" w:rsidRDefault="0075695E" w:rsidP="00A63CD3">
      <w:pPr>
        <w:spacing w:after="0" w:line="240" w:lineRule="auto"/>
        <w:jc w:val="center"/>
        <w:rPr>
          <w:rFonts w:ascii="Times New Roman" w:eastAsia="Calibri" w:hAnsi="Times New Roman" w:cs="Times New Roman"/>
          <w:b/>
          <w:bCs/>
          <w:color w:val="000000" w:themeColor="text1"/>
          <w:sz w:val="24"/>
          <w:szCs w:val="24"/>
        </w:rPr>
      </w:pPr>
    </w:p>
    <w:p w14:paraId="31DA4B5F" w14:textId="6D4BDE09" w:rsidR="00A63CD3" w:rsidRPr="00BE4AF3" w:rsidRDefault="00A63CD3" w:rsidP="0075695E">
      <w:pPr>
        <w:spacing w:after="0" w:line="240" w:lineRule="auto"/>
        <w:jc w:val="both"/>
        <w:rPr>
          <w:rFonts w:ascii="Times New Roman" w:eastAsia="Cambria" w:hAnsi="Times New Roman" w:cs="Times New Roman"/>
          <w:color w:val="000000" w:themeColor="text1"/>
          <w:sz w:val="24"/>
          <w:szCs w:val="24"/>
        </w:rPr>
      </w:pPr>
      <w:r w:rsidRPr="00BE4AF3">
        <w:rPr>
          <w:rFonts w:ascii="Times New Roman" w:eastAsia="Calibri" w:hAnsi="Times New Roman" w:cs="Times New Roman"/>
          <w:b/>
          <w:bCs/>
          <w:color w:val="000000" w:themeColor="text1"/>
          <w:sz w:val="24"/>
          <w:szCs w:val="24"/>
        </w:rPr>
        <w:t>Relationship between variables of Socioeconomic Characteristics and</w:t>
      </w:r>
      <w:r w:rsidRPr="00BE4AF3">
        <w:rPr>
          <w:rFonts w:ascii="Times New Roman" w:hAnsi="Times New Roman" w:cs="Times New Roman"/>
          <w:color w:val="000000" w:themeColor="text1"/>
          <w:sz w:val="24"/>
          <w:szCs w:val="24"/>
        </w:rPr>
        <w:t xml:space="preserve"> </w:t>
      </w:r>
      <w:r w:rsidRPr="00BE4AF3">
        <w:rPr>
          <w:rFonts w:ascii="Times New Roman" w:eastAsia="Calibri" w:hAnsi="Times New Roman" w:cs="Times New Roman"/>
          <w:b/>
          <w:bCs/>
          <w:color w:val="000000" w:themeColor="text1"/>
          <w:sz w:val="24"/>
          <w:szCs w:val="24"/>
        </w:rPr>
        <w:t>Users’ Preferences in Nigerian Tourist Centers</w:t>
      </w:r>
    </w:p>
    <w:p w14:paraId="1E8A4BFD" w14:textId="77777777" w:rsidR="00A63CD3" w:rsidRDefault="00A63CD3" w:rsidP="0075695E">
      <w:pPr>
        <w:spacing w:after="0" w:line="240" w:lineRule="auto"/>
        <w:jc w:val="both"/>
        <w:rPr>
          <w:rFonts w:ascii="Times New Roman" w:eastAsia="Cambria" w:hAnsi="Times New Roman" w:cs="Times New Roman"/>
          <w:b/>
          <w:color w:val="000000" w:themeColor="text1"/>
          <w:sz w:val="24"/>
          <w:szCs w:val="24"/>
        </w:rPr>
      </w:pPr>
      <w:r w:rsidRPr="00BE4AF3">
        <w:rPr>
          <w:rFonts w:ascii="Times New Roman" w:eastAsia="Cambria" w:hAnsi="Times New Roman" w:cs="Times New Roman"/>
          <w:color w:val="000000" w:themeColor="text1"/>
          <w:sz w:val="24"/>
          <w:szCs w:val="24"/>
        </w:rPr>
        <w:t>Table 5</w:t>
      </w:r>
      <w:r w:rsidRPr="00BE4AF3">
        <w:rPr>
          <w:rFonts w:ascii="Times New Roman" w:eastAsia="Cambria" w:hAnsi="Times New Roman" w:cs="Times New Roman"/>
          <w:b/>
          <w:color w:val="000000" w:themeColor="text1"/>
          <w:sz w:val="24"/>
          <w:szCs w:val="24"/>
        </w:rPr>
        <w:t xml:space="preserve"> </w:t>
      </w:r>
      <w:r w:rsidRPr="00BE4AF3">
        <w:rPr>
          <w:rFonts w:ascii="Times New Roman" w:eastAsia="Cambria" w:hAnsi="Times New Roman" w:cs="Times New Roman"/>
          <w:color w:val="000000" w:themeColor="text1"/>
          <w:sz w:val="24"/>
          <w:szCs w:val="24"/>
        </w:rPr>
        <w:t>is the Multiple Regression Analysis result of relationship between variables of socioeconomic characteristics and Users’ Preferences in Nigerian Tourist Centers in the study areas. The results showed F–value of 99.964 and P–value of 0.000 that is significant at 0.05 levels. It was observed that the relationship between socio–economic characteristics and Users’ Preferences is significant. This indicates that there is a strong relationship between the dependent and the independents variables. Variables with P-values that were significant at 0.05 levels comprised: gender, age, occupation</w:t>
      </w:r>
      <w:r w:rsidRPr="00BE4AF3">
        <w:rPr>
          <w:rFonts w:ascii="Times New Roman" w:hAnsi="Times New Roman" w:cs="Times New Roman"/>
          <w:color w:val="000000" w:themeColor="text1"/>
          <w:sz w:val="24"/>
          <w:szCs w:val="24"/>
        </w:rPr>
        <w:t xml:space="preserve"> </w:t>
      </w:r>
      <w:r w:rsidRPr="00BE4AF3">
        <w:rPr>
          <w:rFonts w:ascii="Times New Roman" w:eastAsia="Cambria" w:hAnsi="Times New Roman" w:cs="Times New Roman"/>
          <w:color w:val="000000" w:themeColor="text1"/>
          <w:sz w:val="24"/>
          <w:szCs w:val="24"/>
        </w:rPr>
        <w:t>of the respondents and education qualification of the respondents, marital status, and monthly income range of the respondents with P-values of 0.014, 0.000, 0.000, 0.050, 0.010, and 0.020 respectively.</w:t>
      </w:r>
      <w:r w:rsidRPr="00BE4AF3">
        <w:rPr>
          <w:rFonts w:ascii="Times New Roman" w:eastAsia="Cambria" w:hAnsi="Times New Roman" w:cs="Times New Roman"/>
          <w:b/>
          <w:color w:val="000000" w:themeColor="text1"/>
          <w:sz w:val="24"/>
          <w:szCs w:val="24"/>
        </w:rPr>
        <w:t xml:space="preserve"> </w:t>
      </w:r>
    </w:p>
    <w:p w14:paraId="780BABB7" w14:textId="77777777" w:rsidR="00FA6103" w:rsidRPr="00BE4AF3" w:rsidRDefault="00FA6103" w:rsidP="0075695E">
      <w:pPr>
        <w:spacing w:after="0" w:line="240" w:lineRule="auto"/>
        <w:jc w:val="both"/>
        <w:rPr>
          <w:rFonts w:ascii="Times New Roman" w:eastAsia="Calibri" w:hAnsi="Times New Roman" w:cs="Times New Roman"/>
          <w:color w:val="000000" w:themeColor="text1"/>
          <w:sz w:val="24"/>
          <w:szCs w:val="24"/>
        </w:rPr>
      </w:pPr>
    </w:p>
    <w:p w14:paraId="3A91DF89" w14:textId="77777777" w:rsidR="00A63CD3" w:rsidRPr="00FA6103" w:rsidRDefault="00A63CD3" w:rsidP="00A63CD3">
      <w:pPr>
        <w:spacing w:after="0" w:line="240" w:lineRule="auto"/>
        <w:jc w:val="both"/>
        <w:rPr>
          <w:rFonts w:ascii="Times New Roman" w:eastAsia="Cambria" w:hAnsi="Times New Roman" w:cs="Times New Roman"/>
          <w:bCs/>
          <w:color w:val="000000" w:themeColor="text1"/>
          <w:sz w:val="24"/>
          <w:szCs w:val="24"/>
        </w:rPr>
      </w:pPr>
      <w:r w:rsidRPr="00BE4AF3">
        <w:rPr>
          <w:rFonts w:ascii="Times New Roman" w:eastAsia="Cambria" w:hAnsi="Times New Roman" w:cs="Times New Roman"/>
          <w:b/>
          <w:color w:val="000000" w:themeColor="text1"/>
          <w:sz w:val="24"/>
          <w:szCs w:val="24"/>
        </w:rPr>
        <w:t>Table 5:</w:t>
      </w:r>
      <w:r w:rsidRPr="00BE4AF3">
        <w:rPr>
          <w:rFonts w:ascii="Times New Roman" w:eastAsia="LiberationSerif" w:hAnsi="Times New Roman" w:cs="Times New Roman"/>
          <w:b/>
          <w:color w:val="000000" w:themeColor="text1"/>
          <w:sz w:val="24"/>
          <w:szCs w:val="24"/>
        </w:rPr>
        <w:t xml:space="preserve"> </w:t>
      </w:r>
      <w:r w:rsidRPr="00FA6103">
        <w:rPr>
          <w:rFonts w:ascii="Times New Roman" w:eastAsia="LiberationSerif" w:hAnsi="Times New Roman" w:cs="Times New Roman"/>
          <w:bCs/>
          <w:color w:val="000000" w:themeColor="text1"/>
          <w:sz w:val="24"/>
          <w:szCs w:val="24"/>
        </w:rPr>
        <w:t>Regression Analysis Showing the Relationship</w:t>
      </w:r>
      <w:r w:rsidRPr="00FA6103">
        <w:rPr>
          <w:rFonts w:ascii="Times New Roman" w:eastAsia="Cambria" w:hAnsi="Times New Roman" w:cs="Times New Roman"/>
          <w:bCs/>
          <w:color w:val="000000" w:themeColor="text1"/>
          <w:sz w:val="24"/>
          <w:szCs w:val="24"/>
        </w:rPr>
        <w:t xml:space="preserve"> between Socio-Economic Variables and Users’ Preferences in the Study Area</w:t>
      </w:r>
    </w:p>
    <w:tbl>
      <w:tblPr>
        <w:tblW w:w="0" w:type="auto"/>
        <w:tblInd w:w="-162" w:type="dxa"/>
        <w:tblLook w:val="0000" w:firstRow="0" w:lastRow="0" w:firstColumn="0" w:lastColumn="0" w:noHBand="0" w:noVBand="0"/>
      </w:tblPr>
      <w:tblGrid>
        <w:gridCol w:w="8545"/>
      </w:tblGrid>
      <w:tr w:rsidR="00A63CD3" w:rsidRPr="00FA6103" w14:paraId="71A5788B" w14:textId="77777777" w:rsidTr="00FA6103">
        <w:trPr>
          <w:trHeight w:val="1245"/>
        </w:trPr>
        <w:tc>
          <w:tcPr>
            <w:tcW w:w="0" w:type="auto"/>
          </w:tcPr>
          <w:p w14:paraId="09394E35" w14:textId="77777777" w:rsidR="00A63CD3" w:rsidRPr="00FA6103" w:rsidRDefault="00A63CD3" w:rsidP="0000060D">
            <w:pPr>
              <w:autoSpaceDE w:val="0"/>
              <w:autoSpaceDN w:val="0"/>
              <w:adjustRightInd w:val="0"/>
              <w:spacing w:after="0" w:line="240" w:lineRule="auto"/>
              <w:rPr>
                <w:rFonts w:ascii="Times New Roman" w:eastAsia="Calibri" w:hAnsi="Times New Roman" w:cs="Times New Roman"/>
                <w:color w:val="000000" w:themeColor="text1"/>
                <w:sz w:val="20"/>
                <w:szCs w:val="20"/>
              </w:rPr>
            </w:pPr>
          </w:p>
          <w:tbl>
            <w:tblPr>
              <w:tblW w:w="5667" w:type="dxa"/>
              <w:jc w:val="center"/>
              <w:tblBorders>
                <w:top w:val="single" w:sz="4" w:space="0" w:color="auto"/>
                <w:bottom w:val="single" w:sz="4" w:space="0" w:color="auto"/>
              </w:tblBorders>
              <w:tblCellMar>
                <w:left w:w="30" w:type="dxa"/>
                <w:right w:w="30" w:type="dxa"/>
              </w:tblCellMar>
              <w:tblLook w:val="0000" w:firstRow="0" w:lastRow="0" w:firstColumn="0" w:lastColumn="0" w:noHBand="0" w:noVBand="0"/>
            </w:tblPr>
            <w:tblGrid>
              <w:gridCol w:w="721"/>
              <w:gridCol w:w="1000"/>
              <w:gridCol w:w="1066"/>
              <w:gridCol w:w="1440"/>
              <w:gridCol w:w="1440"/>
            </w:tblGrid>
            <w:tr w:rsidR="00A63CD3" w:rsidRPr="00FA6103" w14:paraId="43520A0D" w14:textId="77777777" w:rsidTr="0000060D">
              <w:trPr>
                <w:cantSplit/>
                <w:tblHeader/>
                <w:jc w:val="center"/>
              </w:trPr>
              <w:tc>
                <w:tcPr>
                  <w:tcW w:w="5666" w:type="dxa"/>
                  <w:gridSpan w:val="5"/>
                  <w:tcBorders>
                    <w:bottom w:val="single" w:sz="4" w:space="0" w:color="auto"/>
                  </w:tcBorders>
                  <w:shd w:val="clear" w:color="auto" w:fill="FFFFFF"/>
                  <w:tcMar>
                    <w:top w:w="30" w:type="dxa"/>
                    <w:left w:w="30" w:type="dxa"/>
                    <w:bottom w:w="30" w:type="dxa"/>
                    <w:right w:w="30" w:type="dxa"/>
                  </w:tcMar>
                  <w:vAlign w:val="center"/>
                </w:tcPr>
                <w:p w14:paraId="767A0D02" w14:textId="77777777" w:rsidR="00A63CD3" w:rsidRPr="00FA6103" w:rsidRDefault="00A63CD3" w:rsidP="0000060D">
                  <w:pPr>
                    <w:spacing w:after="0" w:line="240" w:lineRule="auto"/>
                    <w:jc w:val="center"/>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Model Summary</w:t>
                  </w:r>
                </w:p>
              </w:tc>
            </w:tr>
            <w:tr w:rsidR="00A63CD3" w:rsidRPr="00FA6103" w14:paraId="26014318" w14:textId="77777777" w:rsidTr="0000060D">
              <w:trPr>
                <w:cantSplit/>
                <w:tblHeader/>
                <w:jc w:val="center"/>
              </w:trPr>
              <w:tc>
                <w:tcPr>
                  <w:tcW w:w="720" w:type="dxa"/>
                  <w:tcBorders>
                    <w:top w:val="single" w:sz="4" w:space="0" w:color="auto"/>
                  </w:tcBorders>
                  <w:shd w:val="clear" w:color="auto" w:fill="FFFFFF"/>
                  <w:tcMar>
                    <w:top w:w="30" w:type="dxa"/>
                    <w:left w:w="30" w:type="dxa"/>
                    <w:bottom w:w="30" w:type="dxa"/>
                    <w:right w:w="30" w:type="dxa"/>
                  </w:tcMar>
                  <w:vAlign w:val="bottom"/>
                </w:tcPr>
                <w:p w14:paraId="3D58662C"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Model</w:t>
                  </w:r>
                </w:p>
              </w:tc>
              <w:tc>
                <w:tcPr>
                  <w:tcW w:w="1000" w:type="dxa"/>
                  <w:tcBorders>
                    <w:top w:val="single" w:sz="4" w:space="0" w:color="auto"/>
                  </w:tcBorders>
                  <w:shd w:val="clear" w:color="auto" w:fill="FFFFFF"/>
                  <w:tcMar>
                    <w:top w:w="30" w:type="dxa"/>
                    <w:left w:w="30" w:type="dxa"/>
                    <w:bottom w:w="30" w:type="dxa"/>
                    <w:right w:w="30" w:type="dxa"/>
                  </w:tcMar>
                  <w:vAlign w:val="bottom"/>
                </w:tcPr>
                <w:p w14:paraId="03546A79"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R</w:t>
                  </w:r>
                </w:p>
              </w:tc>
              <w:tc>
                <w:tcPr>
                  <w:tcW w:w="1066" w:type="dxa"/>
                  <w:tcBorders>
                    <w:top w:val="single" w:sz="4" w:space="0" w:color="auto"/>
                  </w:tcBorders>
                  <w:shd w:val="clear" w:color="auto" w:fill="FFFFFF"/>
                  <w:tcMar>
                    <w:top w:w="30" w:type="dxa"/>
                    <w:left w:w="30" w:type="dxa"/>
                    <w:bottom w:w="30" w:type="dxa"/>
                    <w:right w:w="30" w:type="dxa"/>
                  </w:tcMar>
                  <w:vAlign w:val="bottom"/>
                </w:tcPr>
                <w:p w14:paraId="5885582E"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R Square</w:t>
                  </w:r>
                </w:p>
              </w:tc>
              <w:tc>
                <w:tcPr>
                  <w:tcW w:w="1440" w:type="dxa"/>
                  <w:tcBorders>
                    <w:top w:val="single" w:sz="4" w:space="0" w:color="auto"/>
                  </w:tcBorders>
                  <w:shd w:val="clear" w:color="auto" w:fill="FFFFFF"/>
                  <w:tcMar>
                    <w:top w:w="30" w:type="dxa"/>
                    <w:left w:w="30" w:type="dxa"/>
                    <w:bottom w:w="30" w:type="dxa"/>
                    <w:right w:w="30" w:type="dxa"/>
                  </w:tcMar>
                  <w:vAlign w:val="bottom"/>
                </w:tcPr>
                <w:p w14:paraId="0E94CDB5"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Adjusted R Square</w:t>
                  </w:r>
                </w:p>
              </w:tc>
              <w:tc>
                <w:tcPr>
                  <w:tcW w:w="1440" w:type="dxa"/>
                  <w:tcBorders>
                    <w:top w:val="single" w:sz="4" w:space="0" w:color="auto"/>
                  </w:tcBorders>
                  <w:shd w:val="clear" w:color="auto" w:fill="FFFFFF"/>
                  <w:tcMar>
                    <w:top w:w="30" w:type="dxa"/>
                    <w:left w:w="30" w:type="dxa"/>
                    <w:bottom w:w="30" w:type="dxa"/>
                    <w:right w:w="30" w:type="dxa"/>
                  </w:tcMar>
                  <w:vAlign w:val="bottom"/>
                </w:tcPr>
                <w:p w14:paraId="7DA45FEF"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Std. Error of the Estimate</w:t>
                  </w:r>
                </w:p>
              </w:tc>
            </w:tr>
            <w:tr w:rsidR="00A63CD3" w:rsidRPr="00FA6103" w14:paraId="51F18CED" w14:textId="77777777" w:rsidTr="0000060D">
              <w:trPr>
                <w:cantSplit/>
                <w:tblHeader/>
                <w:jc w:val="center"/>
              </w:trPr>
              <w:tc>
                <w:tcPr>
                  <w:tcW w:w="720" w:type="dxa"/>
                  <w:shd w:val="clear" w:color="auto" w:fill="FFFFFF"/>
                  <w:tcMar>
                    <w:top w:w="30" w:type="dxa"/>
                    <w:left w:w="30" w:type="dxa"/>
                    <w:bottom w:w="30" w:type="dxa"/>
                    <w:right w:w="30" w:type="dxa"/>
                  </w:tcMar>
                </w:tcPr>
                <w:p w14:paraId="1977BF85"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w:t>
                  </w:r>
                </w:p>
              </w:tc>
              <w:tc>
                <w:tcPr>
                  <w:tcW w:w="1000" w:type="dxa"/>
                  <w:shd w:val="clear" w:color="auto" w:fill="FFFFFF"/>
                  <w:tcMar>
                    <w:top w:w="30" w:type="dxa"/>
                    <w:left w:w="30" w:type="dxa"/>
                    <w:bottom w:w="30" w:type="dxa"/>
                    <w:right w:w="30" w:type="dxa"/>
                  </w:tcMar>
                  <w:vAlign w:val="center"/>
                </w:tcPr>
                <w:p w14:paraId="21FB15F4"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.996</w:t>
                  </w:r>
                  <w:r w:rsidRPr="00FA6103">
                    <w:rPr>
                      <w:rFonts w:ascii="Times New Roman" w:eastAsia="Calibri" w:hAnsi="Times New Roman" w:cs="Times New Roman"/>
                      <w:color w:val="000000" w:themeColor="text1"/>
                      <w:sz w:val="20"/>
                      <w:szCs w:val="20"/>
                      <w:vertAlign w:val="superscript"/>
                    </w:rPr>
                    <w:t>a</w:t>
                  </w:r>
                </w:p>
              </w:tc>
              <w:tc>
                <w:tcPr>
                  <w:tcW w:w="1066" w:type="dxa"/>
                  <w:shd w:val="clear" w:color="auto" w:fill="FFFFFF"/>
                  <w:tcMar>
                    <w:top w:w="30" w:type="dxa"/>
                    <w:left w:w="30" w:type="dxa"/>
                    <w:bottom w:w="30" w:type="dxa"/>
                    <w:right w:w="30" w:type="dxa"/>
                  </w:tcMar>
                  <w:vAlign w:val="center"/>
                </w:tcPr>
                <w:p w14:paraId="3885F3CE"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.992</w:t>
                  </w:r>
                </w:p>
              </w:tc>
              <w:tc>
                <w:tcPr>
                  <w:tcW w:w="1440" w:type="dxa"/>
                  <w:shd w:val="clear" w:color="auto" w:fill="FFFFFF"/>
                  <w:tcMar>
                    <w:top w:w="30" w:type="dxa"/>
                    <w:left w:w="30" w:type="dxa"/>
                    <w:bottom w:w="30" w:type="dxa"/>
                    <w:right w:w="30" w:type="dxa"/>
                  </w:tcMar>
                  <w:vAlign w:val="center"/>
                </w:tcPr>
                <w:p w14:paraId="05E6E83A"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.982</w:t>
                  </w:r>
                </w:p>
              </w:tc>
              <w:tc>
                <w:tcPr>
                  <w:tcW w:w="1440" w:type="dxa"/>
                  <w:shd w:val="clear" w:color="auto" w:fill="FFFFFF"/>
                  <w:tcMar>
                    <w:top w:w="30" w:type="dxa"/>
                    <w:left w:w="30" w:type="dxa"/>
                    <w:bottom w:w="30" w:type="dxa"/>
                    <w:right w:w="30" w:type="dxa"/>
                  </w:tcMar>
                  <w:vAlign w:val="center"/>
                </w:tcPr>
                <w:p w14:paraId="0667AA01"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.04854</w:t>
                  </w:r>
                </w:p>
              </w:tc>
            </w:tr>
            <w:tr w:rsidR="00A63CD3" w:rsidRPr="00FA6103" w14:paraId="4C425371" w14:textId="77777777" w:rsidTr="0000060D">
              <w:trPr>
                <w:cantSplit/>
                <w:jc w:val="center"/>
              </w:trPr>
              <w:tc>
                <w:tcPr>
                  <w:tcW w:w="5666" w:type="dxa"/>
                  <w:gridSpan w:val="5"/>
                  <w:shd w:val="clear" w:color="auto" w:fill="FFFFFF"/>
                  <w:tcMar>
                    <w:top w:w="30" w:type="dxa"/>
                    <w:left w:w="30" w:type="dxa"/>
                    <w:bottom w:w="30" w:type="dxa"/>
                    <w:right w:w="30" w:type="dxa"/>
                  </w:tcMar>
                </w:tcPr>
                <w:p w14:paraId="3AB85284"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a. Predictors: (Constant), Gender, Age, Occupation and Education Qualification, Marital Status, and Monthly Income Range.</w:t>
                  </w:r>
                </w:p>
              </w:tc>
            </w:tr>
          </w:tbl>
          <w:p w14:paraId="2787E673" w14:textId="77777777" w:rsidR="00A63CD3" w:rsidRPr="00FA6103" w:rsidRDefault="00A63CD3" w:rsidP="0000060D">
            <w:pPr>
              <w:autoSpaceDE w:val="0"/>
              <w:autoSpaceDN w:val="0"/>
              <w:adjustRightInd w:val="0"/>
              <w:spacing w:after="0" w:line="240" w:lineRule="auto"/>
              <w:rPr>
                <w:rFonts w:ascii="Times New Roman" w:eastAsia="Calibri" w:hAnsi="Times New Roman" w:cs="Times New Roman"/>
                <w:color w:val="000000" w:themeColor="text1"/>
                <w:sz w:val="20"/>
                <w:szCs w:val="20"/>
              </w:rPr>
            </w:pPr>
          </w:p>
          <w:tbl>
            <w:tblPr>
              <w:tblW w:w="7801" w:type="dxa"/>
              <w:jc w:val="center"/>
              <w:tblBorders>
                <w:top w:val="single" w:sz="4" w:space="0" w:color="auto"/>
                <w:bottom w:val="single" w:sz="4" w:space="0" w:color="auto"/>
              </w:tblBorders>
              <w:tblCellMar>
                <w:left w:w="30" w:type="dxa"/>
                <w:right w:w="30" w:type="dxa"/>
              </w:tblCellMar>
              <w:tblLook w:val="0000" w:firstRow="0" w:lastRow="0" w:firstColumn="0" w:lastColumn="0" w:noHBand="0" w:noVBand="0"/>
            </w:tblPr>
            <w:tblGrid>
              <w:gridCol w:w="721"/>
              <w:gridCol w:w="1258"/>
              <w:gridCol w:w="1441"/>
              <w:gridCol w:w="998"/>
              <w:gridCol w:w="1383"/>
              <w:gridCol w:w="1000"/>
              <w:gridCol w:w="1000"/>
            </w:tblGrid>
            <w:tr w:rsidR="00A63CD3" w:rsidRPr="00FA6103" w14:paraId="641F1CAA" w14:textId="77777777" w:rsidTr="0000060D">
              <w:trPr>
                <w:cantSplit/>
                <w:tblHeader/>
                <w:jc w:val="center"/>
              </w:trPr>
              <w:tc>
                <w:tcPr>
                  <w:tcW w:w="7798" w:type="dxa"/>
                  <w:gridSpan w:val="7"/>
                  <w:tcBorders>
                    <w:bottom w:val="single" w:sz="4" w:space="0" w:color="auto"/>
                  </w:tcBorders>
                  <w:shd w:val="clear" w:color="auto" w:fill="FFFFFF"/>
                  <w:tcMar>
                    <w:top w:w="30" w:type="dxa"/>
                    <w:left w:w="30" w:type="dxa"/>
                    <w:bottom w:w="30" w:type="dxa"/>
                    <w:right w:w="30" w:type="dxa"/>
                  </w:tcMar>
                  <w:vAlign w:val="center"/>
                </w:tcPr>
                <w:p w14:paraId="23A09FCC" w14:textId="77777777" w:rsidR="00A63CD3" w:rsidRPr="00FA6103" w:rsidRDefault="00A63CD3" w:rsidP="0000060D">
                  <w:pPr>
                    <w:spacing w:after="0" w:line="240" w:lineRule="auto"/>
                    <w:jc w:val="center"/>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lastRenderedPageBreak/>
                    <w:t>ANOVA</w:t>
                  </w:r>
                  <w:r w:rsidRPr="00FA6103">
                    <w:rPr>
                      <w:rFonts w:ascii="Times New Roman" w:eastAsia="Calibri" w:hAnsi="Times New Roman" w:cs="Times New Roman"/>
                      <w:color w:val="000000" w:themeColor="text1"/>
                      <w:sz w:val="20"/>
                      <w:szCs w:val="20"/>
                      <w:vertAlign w:val="superscript"/>
                    </w:rPr>
                    <w:t>b</w:t>
                  </w:r>
                </w:p>
              </w:tc>
            </w:tr>
            <w:tr w:rsidR="00A63CD3" w:rsidRPr="00FA6103" w14:paraId="098B331B" w14:textId="77777777" w:rsidTr="0000060D">
              <w:trPr>
                <w:cantSplit/>
                <w:tblHeader/>
                <w:jc w:val="center"/>
              </w:trPr>
              <w:tc>
                <w:tcPr>
                  <w:tcW w:w="1978" w:type="dxa"/>
                  <w:gridSpan w:val="2"/>
                  <w:tcBorders>
                    <w:top w:val="single" w:sz="4" w:space="0" w:color="auto"/>
                  </w:tcBorders>
                  <w:shd w:val="clear" w:color="auto" w:fill="FFFFFF"/>
                  <w:tcMar>
                    <w:top w:w="30" w:type="dxa"/>
                    <w:left w:w="30" w:type="dxa"/>
                    <w:bottom w:w="30" w:type="dxa"/>
                    <w:right w:w="30" w:type="dxa"/>
                  </w:tcMar>
                  <w:vAlign w:val="bottom"/>
                </w:tcPr>
                <w:p w14:paraId="189B9182"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Model</w:t>
                  </w:r>
                </w:p>
              </w:tc>
              <w:tc>
                <w:tcPr>
                  <w:tcW w:w="1440" w:type="dxa"/>
                  <w:tcBorders>
                    <w:top w:val="single" w:sz="4" w:space="0" w:color="auto"/>
                  </w:tcBorders>
                  <w:shd w:val="clear" w:color="auto" w:fill="FFFFFF"/>
                  <w:tcMar>
                    <w:top w:w="30" w:type="dxa"/>
                    <w:left w:w="30" w:type="dxa"/>
                    <w:bottom w:w="30" w:type="dxa"/>
                    <w:right w:w="30" w:type="dxa"/>
                  </w:tcMar>
                  <w:vAlign w:val="bottom"/>
                </w:tcPr>
                <w:p w14:paraId="2329E359"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Sum of Squares</w:t>
                  </w:r>
                </w:p>
              </w:tc>
              <w:tc>
                <w:tcPr>
                  <w:tcW w:w="998" w:type="dxa"/>
                  <w:tcBorders>
                    <w:top w:val="single" w:sz="4" w:space="0" w:color="auto"/>
                  </w:tcBorders>
                  <w:shd w:val="clear" w:color="auto" w:fill="FFFFFF"/>
                  <w:tcMar>
                    <w:top w:w="30" w:type="dxa"/>
                    <w:left w:w="30" w:type="dxa"/>
                    <w:bottom w:w="30" w:type="dxa"/>
                    <w:right w:w="30" w:type="dxa"/>
                  </w:tcMar>
                  <w:vAlign w:val="bottom"/>
                </w:tcPr>
                <w:p w14:paraId="19038CE0"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Df</w:t>
                  </w:r>
                </w:p>
              </w:tc>
              <w:tc>
                <w:tcPr>
                  <w:tcW w:w="1382" w:type="dxa"/>
                  <w:tcBorders>
                    <w:top w:val="single" w:sz="4" w:space="0" w:color="auto"/>
                  </w:tcBorders>
                  <w:shd w:val="clear" w:color="auto" w:fill="FFFFFF"/>
                  <w:tcMar>
                    <w:top w:w="30" w:type="dxa"/>
                    <w:left w:w="30" w:type="dxa"/>
                    <w:bottom w:w="30" w:type="dxa"/>
                    <w:right w:w="30" w:type="dxa"/>
                  </w:tcMar>
                  <w:vAlign w:val="bottom"/>
                </w:tcPr>
                <w:p w14:paraId="3840220D"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Mean Square</w:t>
                  </w:r>
                </w:p>
              </w:tc>
              <w:tc>
                <w:tcPr>
                  <w:tcW w:w="1000" w:type="dxa"/>
                  <w:tcBorders>
                    <w:top w:val="single" w:sz="4" w:space="0" w:color="auto"/>
                  </w:tcBorders>
                  <w:shd w:val="clear" w:color="auto" w:fill="FFFFFF"/>
                  <w:tcMar>
                    <w:top w:w="30" w:type="dxa"/>
                    <w:left w:w="30" w:type="dxa"/>
                    <w:bottom w:w="30" w:type="dxa"/>
                    <w:right w:w="30" w:type="dxa"/>
                  </w:tcMar>
                  <w:vAlign w:val="bottom"/>
                </w:tcPr>
                <w:p w14:paraId="0F671ACD"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F</w:t>
                  </w:r>
                </w:p>
              </w:tc>
              <w:tc>
                <w:tcPr>
                  <w:tcW w:w="1000" w:type="dxa"/>
                  <w:tcBorders>
                    <w:top w:val="single" w:sz="4" w:space="0" w:color="auto"/>
                  </w:tcBorders>
                  <w:shd w:val="clear" w:color="auto" w:fill="FFFFFF"/>
                  <w:tcMar>
                    <w:top w:w="30" w:type="dxa"/>
                    <w:left w:w="30" w:type="dxa"/>
                    <w:bottom w:w="30" w:type="dxa"/>
                    <w:right w:w="30" w:type="dxa"/>
                  </w:tcMar>
                  <w:vAlign w:val="bottom"/>
                </w:tcPr>
                <w:p w14:paraId="017BE84B"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Sig.</w:t>
                  </w:r>
                </w:p>
              </w:tc>
            </w:tr>
            <w:tr w:rsidR="00A63CD3" w:rsidRPr="00FA6103" w14:paraId="0B4D4C32" w14:textId="77777777" w:rsidTr="0000060D">
              <w:trPr>
                <w:cantSplit/>
                <w:tblHeader/>
                <w:jc w:val="center"/>
              </w:trPr>
              <w:tc>
                <w:tcPr>
                  <w:tcW w:w="720" w:type="dxa"/>
                  <w:vMerge w:val="restart"/>
                  <w:shd w:val="clear" w:color="auto" w:fill="FFFFFF"/>
                  <w:tcMar>
                    <w:top w:w="30" w:type="dxa"/>
                    <w:left w:w="30" w:type="dxa"/>
                    <w:bottom w:w="30" w:type="dxa"/>
                    <w:right w:w="30" w:type="dxa"/>
                  </w:tcMar>
                </w:tcPr>
                <w:p w14:paraId="3C344C94"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w:t>
                  </w:r>
                </w:p>
              </w:tc>
              <w:tc>
                <w:tcPr>
                  <w:tcW w:w="1258" w:type="dxa"/>
                  <w:shd w:val="clear" w:color="auto" w:fill="FFFFFF"/>
                  <w:tcMar>
                    <w:top w:w="30" w:type="dxa"/>
                    <w:left w:w="30" w:type="dxa"/>
                    <w:bottom w:w="30" w:type="dxa"/>
                    <w:right w:w="30" w:type="dxa"/>
                  </w:tcMar>
                </w:tcPr>
                <w:p w14:paraId="3D6AB0D4"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Regression</w:t>
                  </w:r>
                </w:p>
              </w:tc>
              <w:tc>
                <w:tcPr>
                  <w:tcW w:w="1440" w:type="dxa"/>
                  <w:shd w:val="clear" w:color="auto" w:fill="FFFFFF"/>
                  <w:tcMar>
                    <w:top w:w="30" w:type="dxa"/>
                    <w:left w:w="30" w:type="dxa"/>
                    <w:bottom w:w="30" w:type="dxa"/>
                    <w:right w:w="30" w:type="dxa"/>
                  </w:tcMar>
                  <w:vAlign w:val="center"/>
                </w:tcPr>
                <w:p w14:paraId="410E9C1E"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3.062</w:t>
                  </w:r>
                </w:p>
              </w:tc>
              <w:tc>
                <w:tcPr>
                  <w:tcW w:w="998" w:type="dxa"/>
                  <w:shd w:val="clear" w:color="auto" w:fill="FFFFFF"/>
                  <w:tcMar>
                    <w:top w:w="30" w:type="dxa"/>
                    <w:left w:w="30" w:type="dxa"/>
                    <w:bottom w:w="30" w:type="dxa"/>
                    <w:right w:w="30" w:type="dxa"/>
                  </w:tcMar>
                  <w:vAlign w:val="center"/>
                </w:tcPr>
                <w:p w14:paraId="68880256"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13</w:t>
                  </w:r>
                </w:p>
              </w:tc>
              <w:tc>
                <w:tcPr>
                  <w:tcW w:w="1382" w:type="dxa"/>
                  <w:shd w:val="clear" w:color="auto" w:fill="FFFFFF"/>
                  <w:tcMar>
                    <w:top w:w="30" w:type="dxa"/>
                    <w:left w:w="30" w:type="dxa"/>
                    <w:bottom w:w="30" w:type="dxa"/>
                    <w:right w:w="30" w:type="dxa"/>
                  </w:tcMar>
                  <w:vAlign w:val="center"/>
                </w:tcPr>
                <w:p w14:paraId="44CE9C78"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.236</w:t>
                  </w:r>
                </w:p>
              </w:tc>
              <w:tc>
                <w:tcPr>
                  <w:tcW w:w="1000" w:type="dxa"/>
                  <w:shd w:val="clear" w:color="auto" w:fill="FFFFFF"/>
                  <w:tcMar>
                    <w:top w:w="30" w:type="dxa"/>
                    <w:left w:w="30" w:type="dxa"/>
                    <w:bottom w:w="30" w:type="dxa"/>
                    <w:right w:w="30" w:type="dxa"/>
                  </w:tcMar>
                  <w:vAlign w:val="center"/>
                </w:tcPr>
                <w:p w14:paraId="455591C4"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99.964</w:t>
                  </w:r>
                </w:p>
              </w:tc>
              <w:tc>
                <w:tcPr>
                  <w:tcW w:w="1000" w:type="dxa"/>
                  <w:shd w:val="clear" w:color="auto" w:fill="FFFFFF"/>
                  <w:tcMar>
                    <w:top w:w="30" w:type="dxa"/>
                    <w:left w:w="30" w:type="dxa"/>
                    <w:bottom w:w="30" w:type="dxa"/>
                    <w:right w:w="30" w:type="dxa"/>
                  </w:tcMar>
                  <w:vAlign w:val="center"/>
                </w:tcPr>
                <w:p w14:paraId="7EC5F4CD"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.000</w:t>
                  </w:r>
                  <w:r w:rsidRPr="00FA6103">
                    <w:rPr>
                      <w:rFonts w:ascii="Times New Roman" w:eastAsia="Calibri" w:hAnsi="Times New Roman" w:cs="Times New Roman"/>
                      <w:color w:val="000000" w:themeColor="text1"/>
                      <w:sz w:val="20"/>
                      <w:szCs w:val="20"/>
                      <w:vertAlign w:val="superscript"/>
                    </w:rPr>
                    <w:t>a</w:t>
                  </w:r>
                </w:p>
              </w:tc>
            </w:tr>
            <w:tr w:rsidR="00A63CD3" w:rsidRPr="00FA6103" w14:paraId="4489A084" w14:textId="77777777" w:rsidTr="0000060D">
              <w:trPr>
                <w:cantSplit/>
                <w:tblHeader/>
                <w:jc w:val="center"/>
              </w:trPr>
              <w:tc>
                <w:tcPr>
                  <w:tcW w:w="720" w:type="dxa"/>
                  <w:vMerge/>
                  <w:shd w:val="clear" w:color="auto" w:fill="FFFFFF"/>
                  <w:tcMar>
                    <w:top w:w="30" w:type="dxa"/>
                    <w:left w:w="30" w:type="dxa"/>
                    <w:bottom w:w="30" w:type="dxa"/>
                    <w:right w:w="30" w:type="dxa"/>
                  </w:tcMar>
                </w:tcPr>
                <w:p w14:paraId="2F70C70C"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1258" w:type="dxa"/>
                  <w:shd w:val="clear" w:color="auto" w:fill="FFFFFF"/>
                  <w:tcMar>
                    <w:top w:w="30" w:type="dxa"/>
                    <w:left w:w="30" w:type="dxa"/>
                    <w:bottom w:w="30" w:type="dxa"/>
                    <w:right w:w="30" w:type="dxa"/>
                  </w:tcMar>
                </w:tcPr>
                <w:p w14:paraId="1490E9A2"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Residual</w:t>
                  </w:r>
                </w:p>
              </w:tc>
              <w:tc>
                <w:tcPr>
                  <w:tcW w:w="1440" w:type="dxa"/>
                  <w:shd w:val="clear" w:color="auto" w:fill="FFFFFF"/>
                  <w:tcMar>
                    <w:top w:w="30" w:type="dxa"/>
                    <w:left w:w="30" w:type="dxa"/>
                    <w:bottom w:w="30" w:type="dxa"/>
                    <w:right w:w="30" w:type="dxa"/>
                  </w:tcMar>
                  <w:vAlign w:val="center"/>
                </w:tcPr>
                <w:p w14:paraId="165FB044"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.026</w:t>
                  </w:r>
                </w:p>
              </w:tc>
              <w:tc>
                <w:tcPr>
                  <w:tcW w:w="998" w:type="dxa"/>
                  <w:shd w:val="clear" w:color="auto" w:fill="FFFFFF"/>
                  <w:tcMar>
                    <w:top w:w="30" w:type="dxa"/>
                    <w:left w:w="30" w:type="dxa"/>
                    <w:bottom w:w="30" w:type="dxa"/>
                    <w:right w:w="30" w:type="dxa"/>
                  </w:tcMar>
                  <w:vAlign w:val="center"/>
                </w:tcPr>
                <w:p w14:paraId="6FF9CDF5"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11</w:t>
                  </w:r>
                </w:p>
              </w:tc>
              <w:tc>
                <w:tcPr>
                  <w:tcW w:w="1382" w:type="dxa"/>
                  <w:shd w:val="clear" w:color="auto" w:fill="FFFFFF"/>
                  <w:tcMar>
                    <w:top w:w="30" w:type="dxa"/>
                    <w:left w:w="30" w:type="dxa"/>
                    <w:bottom w:w="30" w:type="dxa"/>
                    <w:right w:w="30" w:type="dxa"/>
                  </w:tcMar>
                  <w:vAlign w:val="center"/>
                </w:tcPr>
                <w:p w14:paraId="5D5F251E"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.002</w:t>
                  </w:r>
                </w:p>
              </w:tc>
              <w:tc>
                <w:tcPr>
                  <w:tcW w:w="1000" w:type="dxa"/>
                  <w:shd w:val="clear" w:color="auto" w:fill="FFFFFF"/>
                  <w:tcMar>
                    <w:top w:w="30" w:type="dxa"/>
                    <w:left w:w="30" w:type="dxa"/>
                    <w:bottom w:w="30" w:type="dxa"/>
                    <w:right w:w="30" w:type="dxa"/>
                  </w:tcMar>
                </w:tcPr>
                <w:p w14:paraId="261FC625"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1000" w:type="dxa"/>
                  <w:shd w:val="clear" w:color="auto" w:fill="FFFFFF"/>
                  <w:tcMar>
                    <w:top w:w="30" w:type="dxa"/>
                    <w:left w:w="30" w:type="dxa"/>
                    <w:bottom w:w="30" w:type="dxa"/>
                    <w:right w:w="30" w:type="dxa"/>
                  </w:tcMar>
                </w:tcPr>
                <w:p w14:paraId="2C012F8B"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r>
            <w:tr w:rsidR="00A63CD3" w:rsidRPr="00FA6103" w14:paraId="7E2902F7" w14:textId="77777777" w:rsidTr="0000060D">
              <w:trPr>
                <w:cantSplit/>
                <w:tblHeader/>
                <w:jc w:val="center"/>
              </w:trPr>
              <w:tc>
                <w:tcPr>
                  <w:tcW w:w="720" w:type="dxa"/>
                  <w:vMerge/>
                  <w:shd w:val="clear" w:color="auto" w:fill="FFFFFF"/>
                  <w:tcMar>
                    <w:top w:w="30" w:type="dxa"/>
                    <w:left w:w="30" w:type="dxa"/>
                    <w:bottom w:w="30" w:type="dxa"/>
                    <w:right w:w="30" w:type="dxa"/>
                  </w:tcMar>
                </w:tcPr>
                <w:p w14:paraId="6EDFCA8E"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1258" w:type="dxa"/>
                  <w:shd w:val="clear" w:color="auto" w:fill="FFFFFF"/>
                  <w:tcMar>
                    <w:top w:w="30" w:type="dxa"/>
                    <w:left w:w="30" w:type="dxa"/>
                    <w:bottom w:w="30" w:type="dxa"/>
                    <w:right w:w="30" w:type="dxa"/>
                  </w:tcMar>
                </w:tcPr>
                <w:p w14:paraId="1A6AAB4A"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Total</w:t>
                  </w:r>
                </w:p>
              </w:tc>
              <w:tc>
                <w:tcPr>
                  <w:tcW w:w="1440" w:type="dxa"/>
                  <w:shd w:val="clear" w:color="auto" w:fill="FFFFFF"/>
                  <w:tcMar>
                    <w:top w:w="30" w:type="dxa"/>
                    <w:left w:w="30" w:type="dxa"/>
                    <w:bottom w:w="30" w:type="dxa"/>
                    <w:right w:w="30" w:type="dxa"/>
                  </w:tcMar>
                  <w:vAlign w:val="center"/>
                </w:tcPr>
                <w:p w14:paraId="0939F98C"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3.088</w:t>
                  </w:r>
                </w:p>
              </w:tc>
              <w:tc>
                <w:tcPr>
                  <w:tcW w:w="998" w:type="dxa"/>
                  <w:shd w:val="clear" w:color="auto" w:fill="FFFFFF"/>
                  <w:tcMar>
                    <w:top w:w="30" w:type="dxa"/>
                    <w:left w:w="30" w:type="dxa"/>
                    <w:bottom w:w="30" w:type="dxa"/>
                    <w:right w:w="30" w:type="dxa"/>
                  </w:tcMar>
                  <w:vAlign w:val="center"/>
                </w:tcPr>
                <w:p w14:paraId="1027242A"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24</w:t>
                  </w:r>
                </w:p>
              </w:tc>
              <w:tc>
                <w:tcPr>
                  <w:tcW w:w="1382" w:type="dxa"/>
                  <w:shd w:val="clear" w:color="auto" w:fill="FFFFFF"/>
                  <w:tcMar>
                    <w:top w:w="30" w:type="dxa"/>
                    <w:left w:w="30" w:type="dxa"/>
                    <w:bottom w:w="30" w:type="dxa"/>
                    <w:right w:w="30" w:type="dxa"/>
                  </w:tcMar>
                </w:tcPr>
                <w:p w14:paraId="48A30A7E"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1000" w:type="dxa"/>
                  <w:shd w:val="clear" w:color="auto" w:fill="FFFFFF"/>
                  <w:tcMar>
                    <w:top w:w="30" w:type="dxa"/>
                    <w:left w:w="30" w:type="dxa"/>
                    <w:bottom w:w="30" w:type="dxa"/>
                    <w:right w:w="30" w:type="dxa"/>
                  </w:tcMar>
                </w:tcPr>
                <w:p w14:paraId="31D65632"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1000" w:type="dxa"/>
                  <w:shd w:val="clear" w:color="auto" w:fill="FFFFFF"/>
                  <w:tcMar>
                    <w:top w:w="30" w:type="dxa"/>
                    <w:left w:w="30" w:type="dxa"/>
                    <w:bottom w:w="30" w:type="dxa"/>
                    <w:right w:w="30" w:type="dxa"/>
                  </w:tcMar>
                </w:tcPr>
                <w:p w14:paraId="06B58E84"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r>
            <w:tr w:rsidR="00A63CD3" w:rsidRPr="00FA6103" w14:paraId="39ED9D6B" w14:textId="77777777" w:rsidTr="0000060D">
              <w:trPr>
                <w:cantSplit/>
                <w:tblHeader/>
                <w:jc w:val="center"/>
              </w:trPr>
              <w:tc>
                <w:tcPr>
                  <w:tcW w:w="7798" w:type="dxa"/>
                  <w:gridSpan w:val="7"/>
                  <w:shd w:val="clear" w:color="auto" w:fill="FFFFFF"/>
                  <w:tcMar>
                    <w:top w:w="30" w:type="dxa"/>
                    <w:left w:w="30" w:type="dxa"/>
                    <w:bottom w:w="30" w:type="dxa"/>
                    <w:right w:w="30" w:type="dxa"/>
                  </w:tcMar>
                </w:tcPr>
                <w:p w14:paraId="0663B399"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 xml:space="preserve">a. Predictors: (Constant), Gender, Age, Occupation and Education Qualification, Marital Status, and Monthly Income Range. </w:t>
                  </w:r>
                </w:p>
              </w:tc>
            </w:tr>
            <w:tr w:rsidR="00A63CD3" w:rsidRPr="00FA6103" w14:paraId="4E23F56B" w14:textId="77777777" w:rsidTr="0000060D">
              <w:trPr>
                <w:cantSplit/>
                <w:jc w:val="center"/>
              </w:trPr>
              <w:tc>
                <w:tcPr>
                  <w:tcW w:w="5798" w:type="dxa"/>
                  <w:gridSpan w:val="5"/>
                  <w:shd w:val="clear" w:color="auto" w:fill="FFFFFF"/>
                  <w:tcMar>
                    <w:top w:w="30" w:type="dxa"/>
                    <w:left w:w="30" w:type="dxa"/>
                    <w:bottom w:w="30" w:type="dxa"/>
                    <w:right w:w="30" w:type="dxa"/>
                  </w:tcMar>
                </w:tcPr>
                <w:p w14:paraId="6BBCEB7C"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b. Dependent Variable: Users’ Preferences.</w:t>
                  </w:r>
                </w:p>
              </w:tc>
              <w:tc>
                <w:tcPr>
                  <w:tcW w:w="1000" w:type="dxa"/>
                  <w:shd w:val="clear" w:color="auto" w:fill="FFFFFF"/>
                  <w:tcMar>
                    <w:top w:w="30" w:type="dxa"/>
                    <w:left w:w="30" w:type="dxa"/>
                    <w:bottom w:w="30" w:type="dxa"/>
                    <w:right w:w="30" w:type="dxa"/>
                  </w:tcMar>
                </w:tcPr>
                <w:p w14:paraId="49A2D72D"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1000" w:type="dxa"/>
                  <w:shd w:val="clear" w:color="auto" w:fill="FFFFFF"/>
                  <w:tcMar>
                    <w:top w:w="30" w:type="dxa"/>
                    <w:left w:w="30" w:type="dxa"/>
                    <w:bottom w:w="30" w:type="dxa"/>
                    <w:right w:w="30" w:type="dxa"/>
                  </w:tcMar>
                </w:tcPr>
                <w:p w14:paraId="0725BF2E"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r>
          </w:tbl>
          <w:p w14:paraId="548ADC11" w14:textId="77777777" w:rsidR="00A63CD3" w:rsidRPr="00FA6103" w:rsidRDefault="00A63CD3" w:rsidP="0000060D">
            <w:pPr>
              <w:autoSpaceDE w:val="0"/>
              <w:autoSpaceDN w:val="0"/>
              <w:adjustRightInd w:val="0"/>
              <w:spacing w:after="0" w:line="240" w:lineRule="auto"/>
              <w:rPr>
                <w:rFonts w:ascii="Times New Roman" w:eastAsia="Calibri" w:hAnsi="Times New Roman" w:cs="Times New Roman"/>
                <w:color w:val="000000" w:themeColor="text1"/>
                <w:sz w:val="20"/>
                <w:szCs w:val="20"/>
              </w:rPr>
            </w:pPr>
          </w:p>
          <w:tbl>
            <w:tblPr>
              <w:tblW w:w="8329" w:type="dxa"/>
              <w:tblBorders>
                <w:top w:val="single" w:sz="4" w:space="0" w:color="auto"/>
                <w:bottom w:val="single" w:sz="4" w:space="0" w:color="auto"/>
              </w:tblBorders>
              <w:tblCellMar>
                <w:left w:w="30" w:type="dxa"/>
                <w:right w:w="30" w:type="dxa"/>
              </w:tblCellMar>
              <w:tblLook w:val="0000" w:firstRow="0" w:lastRow="0" w:firstColumn="0" w:lastColumn="0" w:noHBand="0" w:noVBand="0"/>
            </w:tblPr>
            <w:tblGrid>
              <w:gridCol w:w="709"/>
              <w:gridCol w:w="2379"/>
              <w:gridCol w:w="1301"/>
              <w:gridCol w:w="1104"/>
              <w:gridCol w:w="1105"/>
              <w:gridCol w:w="730"/>
              <w:gridCol w:w="1001"/>
            </w:tblGrid>
            <w:tr w:rsidR="00A63CD3" w:rsidRPr="00FA6103" w14:paraId="43BA83ED" w14:textId="77777777" w:rsidTr="00FA6103">
              <w:trPr>
                <w:cantSplit/>
                <w:tblHeader/>
              </w:trPr>
              <w:tc>
                <w:tcPr>
                  <w:tcW w:w="8329" w:type="dxa"/>
                  <w:gridSpan w:val="7"/>
                  <w:tcBorders>
                    <w:bottom w:val="single" w:sz="4" w:space="0" w:color="auto"/>
                  </w:tcBorders>
                  <w:shd w:val="clear" w:color="auto" w:fill="FFFFFF"/>
                  <w:tcMar>
                    <w:top w:w="30" w:type="dxa"/>
                    <w:left w:w="30" w:type="dxa"/>
                    <w:bottom w:w="30" w:type="dxa"/>
                    <w:right w:w="30" w:type="dxa"/>
                  </w:tcMar>
                  <w:vAlign w:val="center"/>
                </w:tcPr>
                <w:p w14:paraId="6E295BFA" w14:textId="77777777" w:rsidR="00A63CD3" w:rsidRPr="00FA6103" w:rsidRDefault="00A63CD3" w:rsidP="0000060D">
                  <w:pPr>
                    <w:spacing w:after="0" w:line="240" w:lineRule="auto"/>
                    <w:jc w:val="center"/>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Coefficients</w:t>
                  </w:r>
                  <w:r w:rsidRPr="00FA6103">
                    <w:rPr>
                      <w:rFonts w:ascii="Times New Roman" w:eastAsia="Calibri" w:hAnsi="Times New Roman" w:cs="Times New Roman"/>
                      <w:color w:val="000000" w:themeColor="text1"/>
                      <w:sz w:val="20"/>
                      <w:szCs w:val="20"/>
                      <w:vertAlign w:val="superscript"/>
                    </w:rPr>
                    <w:t>a</w:t>
                  </w:r>
                </w:p>
              </w:tc>
            </w:tr>
            <w:tr w:rsidR="00A63CD3" w:rsidRPr="00FA6103" w14:paraId="112E3D6B" w14:textId="77777777" w:rsidTr="00FA6103">
              <w:trPr>
                <w:cantSplit/>
                <w:tblHeader/>
              </w:trPr>
              <w:tc>
                <w:tcPr>
                  <w:tcW w:w="3125" w:type="dxa"/>
                  <w:gridSpan w:val="2"/>
                  <w:vMerge w:val="restart"/>
                  <w:tcBorders>
                    <w:top w:val="single" w:sz="4" w:space="0" w:color="auto"/>
                  </w:tcBorders>
                  <w:shd w:val="clear" w:color="auto" w:fill="FFFFFF"/>
                  <w:tcMar>
                    <w:top w:w="30" w:type="dxa"/>
                    <w:left w:w="30" w:type="dxa"/>
                    <w:bottom w:w="30" w:type="dxa"/>
                    <w:right w:w="30" w:type="dxa"/>
                  </w:tcMar>
                  <w:vAlign w:val="bottom"/>
                </w:tcPr>
                <w:p w14:paraId="6563E98C"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Model</w:t>
                  </w:r>
                </w:p>
              </w:tc>
              <w:tc>
                <w:tcPr>
                  <w:tcW w:w="2427" w:type="dxa"/>
                  <w:gridSpan w:val="2"/>
                  <w:tcBorders>
                    <w:top w:val="single" w:sz="4" w:space="0" w:color="auto"/>
                  </w:tcBorders>
                  <w:shd w:val="clear" w:color="auto" w:fill="FFFFFF"/>
                  <w:tcMar>
                    <w:top w:w="30" w:type="dxa"/>
                    <w:left w:w="30" w:type="dxa"/>
                    <w:bottom w:w="30" w:type="dxa"/>
                    <w:right w:w="30" w:type="dxa"/>
                  </w:tcMar>
                  <w:vAlign w:val="bottom"/>
                </w:tcPr>
                <w:p w14:paraId="45038084"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Unstandardized Coefficients</w:t>
                  </w:r>
                </w:p>
              </w:tc>
              <w:tc>
                <w:tcPr>
                  <w:tcW w:w="1029" w:type="dxa"/>
                  <w:tcBorders>
                    <w:top w:val="single" w:sz="4" w:space="0" w:color="auto"/>
                  </w:tcBorders>
                  <w:shd w:val="clear" w:color="auto" w:fill="FFFFFF"/>
                  <w:tcMar>
                    <w:top w:w="30" w:type="dxa"/>
                    <w:left w:w="30" w:type="dxa"/>
                    <w:bottom w:w="30" w:type="dxa"/>
                    <w:right w:w="30" w:type="dxa"/>
                  </w:tcMar>
                  <w:vAlign w:val="bottom"/>
                </w:tcPr>
                <w:p w14:paraId="32662DEF"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Standardized Coefficients</w:t>
                  </w:r>
                </w:p>
              </w:tc>
              <w:tc>
                <w:tcPr>
                  <w:tcW w:w="735" w:type="dxa"/>
                  <w:vMerge w:val="restart"/>
                  <w:tcBorders>
                    <w:top w:val="single" w:sz="4" w:space="0" w:color="auto"/>
                  </w:tcBorders>
                  <w:shd w:val="clear" w:color="auto" w:fill="FFFFFF"/>
                  <w:tcMar>
                    <w:top w:w="30" w:type="dxa"/>
                    <w:left w:w="30" w:type="dxa"/>
                    <w:bottom w:w="30" w:type="dxa"/>
                    <w:right w:w="30" w:type="dxa"/>
                  </w:tcMar>
                  <w:vAlign w:val="bottom"/>
                </w:tcPr>
                <w:p w14:paraId="14FCE578"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t</w:t>
                  </w:r>
                </w:p>
              </w:tc>
              <w:tc>
                <w:tcPr>
                  <w:tcW w:w="1008" w:type="dxa"/>
                  <w:vMerge w:val="restart"/>
                  <w:tcBorders>
                    <w:top w:val="single" w:sz="4" w:space="0" w:color="auto"/>
                  </w:tcBorders>
                  <w:shd w:val="clear" w:color="auto" w:fill="FFFFFF"/>
                  <w:tcMar>
                    <w:top w:w="30" w:type="dxa"/>
                    <w:left w:w="30" w:type="dxa"/>
                    <w:bottom w:w="30" w:type="dxa"/>
                    <w:right w:w="30" w:type="dxa"/>
                  </w:tcMar>
                  <w:vAlign w:val="bottom"/>
                </w:tcPr>
                <w:p w14:paraId="44FBF68C"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Sig.</w:t>
                  </w:r>
                </w:p>
              </w:tc>
            </w:tr>
            <w:tr w:rsidR="00A63CD3" w:rsidRPr="00FA6103" w14:paraId="76A12B17" w14:textId="77777777" w:rsidTr="00FA6103">
              <w:trPr>
                <w:cantSplit/>
                <w:tblHeader/>
              </w:trPr>
              <w:tc>
                <w:tcPr>
                  <w:tcW w:w="3125" w:type="dxa"/>
                  <w:gridSpan w:val="2"/>
                  <w:vMerge/>
                  <w:shd w:val="clear" w:color="auto" w:fill="FFFFFF"/>
                  <w:tcMar>
                    <w:top w:w="30" w:type="dxa"/>
                    <w:left w:w="30" w:type="dxa"/>
                    <w:bottom w:w="30" w:type="dxa"/>
                    <w:right w:w="30" w:type="dxa"/>
                  </w:tcMar>
                  <w:vAlign w:val="bottom"/>
                </w:tcPr>
                <w:p w14:paraId="35F6DC35"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1313" w:type="dxa"/>
                  <w:shd w:val="clear" w:color="auto" w:fill="FFFFFF"/>
                  <w:tcMar>
                    <w:top w:w="30" w:type="dxa"/>
                    <w:left w:w="30" w:type="dxa"/>
                    <w:bottom w:w="30" w:type="dxa"/>
                    <w:right w:w="30" w:type="dxa"/>
                  </w:tcMar>
                  <w:vAlign w:val="bottom"/>
                </w:tcPr>
                <w:p w14:paraId="5A6AA8C8"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B</w:t>
                  </w:r>
                </w:p>
              </w:tc>
              <w:tc>
                <w:tcPr>
                  <w:tcW w:w="1114" w:type="dxa"/>
                  <w:shd w:val="clear" w:color="auto" w:fill="FFFFFF"/>
                  <w:tcMar>
                    <w:top w:w="30" w:type="dxa"/>
                    <w:left w:w="30" w:type="dxa"/>
                    <w:bottom w:w="30" w:type="dxa"/>
                    <w:right w:w="30" w:type="dxa"/>
                  </w:tcMar>
                  <w:vAlign w:val="bottom"/>
                </w:tcPr>
                <w:p w14:paraId="48D9DE17"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Std. Error</w:t>
                  </w:r>
                </w:p>
              </w:tc>
              <w:tc>
                <w:tcPr>
                  <w:tcW w:w="1029" w:type="dxa"/>
                  <w:shd w:val="clear" w:color="auto" w:fill="FFFFFF"/>
                  <w:tcMar>
                    <w:top w:w="30" w:type="dxa"/>
                    <w:left w:w="30" w:type="dxa"/>
                    <w:bottom w:w="30" w:type="dxa"/>
                    <w:right w:w="30" w:type="dxa"/>
                  </w:tcMar>
                  <w:vAlign w:val="bottom"/>
                </w:tcPr>
                <w:p w14:paraId="692A0599"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Beta</w:t>
                  </w:r>
                </w:p>
              </w:tc>
              <w:tc>
                <w:tcPr>
                  <w:tcW w:w="735" w:type="dxa"/>
                  <w:vMerge/>
                  <w:shd w:val="clear" w:color="auto" w:fill="FFFFFF"/>
                  <w:tcMar>
                    <w:top w:w="30" w:type="dxa"/>
                    <w:left w:w="30" w:type="dxa"/>
                    <w:bottom w:w="30" w:type="dxa"/>
                    <w:right w:w="30" w:type="dxa"/>
                  </w:tcMar>
                  <w:vAlign w:val="bottom"/>
                </w:tcPr>
                <w:p w14:paraId="0C25B858"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1008" w:type="dxa"/>
                  <w:vMerge/>
                  <w:shd w:val="clear" w:color="auto" w:fill="FFFFFF"/>
                  <w:tcMar>
                    <w:top w:w="30" w:type="dxa"/>
                    <w:left w:w="30" w:type="dxa"/>
                    <w:bottom w:w="30" w:type="dxa"/>
                    <w:right w:w="30" w:type="dxa"/>
                  </w:tcMar>
                  <w:vAlign w:val="bottom"/>
                </w:tcPr>
                <w:p w14:paraId="1E1DC1D1"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r>
            <w:tr w:rsidR="00A63CD3" w:rsidRPr="00FA6103" w14:paraId="6D78F035" w14:textId="77777777" w:rsidTr="00FA6103">
              <w:trPr>
                <w:cantSplit/>
                <w:tblHeader/>
              </w:trPr>
              <w:tc>
                <w:tcPr>
                  <w:tcW w:w="720" w:type="dxa"/>
                  <w:vMerge w:val="restart"/>
                  <w:shd w:val="clear" w:color="auto" w:fill="FFFFFF"/>
                  <w:tcMar>
                    <w:top w:w="30" w:type="dxa"/>
                    <w:left w:w="30" w:type="dxa"/>
                    <w:bottom w:w="30" w:type="dxa"/>
                    <w:right w:w="30" w:type="dxa"/>
                  </w:tcMar>
                </w:tcPr>
                <w:p w14:paraId="1FFF0C17"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w:t>
                  </w:r>
                </w:p>
              </w:tc>
              <w:tc>
                <w:tcPr>
                  <w:tcW w:w="2405" w:type="dxa"/>
                  <w:shd w:val="clear" w:color="auto" w:fill="FFFFFF"/>
                  <w:tcMar>
                    <w:top w:w="30" w:type="dxa"/>
                    <w:left w:w="30" w:type="dxa"/>
                    <w:bottom w:w="30" w:type="dxa"/>
                    <w:right w:w="30" w:type="dxa"/>
                  </w:tcMar>
                </w:tcPr>
                <w:p w14:paraId="167F9637"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(Constant)</w:t>
                  </w:r>
                </w:p>
              </w:tc>
              <w:tc>
                <w:tcPr>
                  <w:tcW w:w="1313" w:type="dxa"/>
                  <w:shd w:val="clear" w:color="auto" w:fill="FFFFFF"/>
                  <w:tcMar>
                    <w:top w:w="30" w:type="dxa"/>
                    <w:left w:w="30" w:type="dxa"/>
                    <w:bottom w:w="30" w:type="dxa"/>
                    <w:right w:w="30" w:type="dxa"/>
                  </w:tcMar>
                  <w:vAlign w:val="center"/>
                </w:tcPr>
                <w:p w14:paraId="37B276E0"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-1.531</w:t>
                  </w:r>
                </w:p>
              </w:tc>
              <w:tc>
                <w:tcPr>
                  <w:tcW w:w="1114" w:type="dxa"/>
                  <w:shd w:val="clear" w:color="auto" w:fill="FFFFFF"/>
                  <w:tcMar>
                    <w:top w:w="30" w:type="dxa"/>
                    <w:left w:w="30" w:type="dxa"/>
                    <w:bottom w:w="30" w:type="dxa"/>
                    <w:right w:w="30" w:type="dxa"/>
                  </w:tcMar>
                  <w:vAlign w:val="center"/>
                </w:tcPr>
                <w:p w14:paraId="5487405F"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1.655</w:t>
                  </w:r>
                </w:p>
              </w:tc>
              <w:tc>
                <w:tcPr>
                  <w:tcW w:w="1029" w:type="dxa"/>
                  <w:shd w:val="clear" w:color="auto" w:fill="FFFFFF"/>
                  <w:tcMar>
                    <w:top w:w="30" w:type="dxa"/>
                    <w:left w:w="30" w:type="dxa"/>
                    <w:bottom w:w="30" w:type="dxa"/>
                    <w:right w:w="30" w:type="dxa"/>
                  </w:tcMar>
                </w:tcPr>
                <w:p w14:paraId="63BD63E9"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735" w:type="dxa"/>
                  <w:shd w:val="clear" w:color="auto" w:fill="FFFFFF"/>
                  <w:tcMar>
                    <w:top w:w="30" w:type="dxa"/>
                    <w:left w:w="30" w:type="dxa"/>
                    <w:bottom w:w="30" w:type="dxa"/>
                    <w:right w:w="30" w:type="dxa"/>
                  </w:tcMar>
                  <w:vAlign w:val="center"/>
                </w:tcPr>
                <w:p w14:paraId="73AED4F5"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-.925</w:t>
                  </w:r>
                </w:p>
              </w:tc>
              <w:tc>
                <w:tcPr>
                  <w:tcW w:w="1008" w:type="dxa"/>
                  <w:shd w:val="clear" w:color="auto" w:fill="FFFFFF"/>
                  <w:tcMar>
                    <w:top w:w="30" w:type="dxa"/>
                    <w:left w:w="30" w:type="dxa"/>
                    <w:bottom w:w="30" w:type="dxa"/>
                    <w:right w:w="30" w:type="dxa"/>
                  </w:tcMar>
                  <w:vAlign w:val="center"/>
                </w:tcPr>
                <w:p w14:paraId="152CA9C0"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.375</w:t>
                  </w:r>
                </w:p>
              </w:tc>
            </w:tr>
            <w:tr w:rsidR="00A63CD3" w:rsidRPr="00FA6103" w14:paraId="57FA66B0" w14:textId="77777777" w:rsidTr="00FA6103">
              <w:trPr>
                <w:cantSplit/>
                <w:tblHeader/>
              </w:trPr>
              <w:tc>
                <w:tcPr>
                  <w:tcW w:w="720" w:type="dxa"/>
                  <w:vMerge/>
                  <w:shd w:val="clear" w:color="auto" w:fill="FFFFFF"/>
                  <w:tcMar>
                    <w:top w:w="30" w:type="dxa"/>
                    <w:left w:w="30" w:type="dxa"/>
                    <w:bottom w:w="30" w:type="dxa"/>
                    <w:right w:w="30" w:type="dxa"/>
                  </w:tcMar>
                </w:tcPr>
                <w:p w14:paraId="53A409B4"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2405" w:type="dxa"/>
                  <w:shd w:val="clear" w:color="auto" w:fill="FFFFFF"/>
                  <w:tcMar>
                    <w:top w:w="30" w:type="dxa"/>
                    <w:left w:w="30" w:type="dxa"/>
                    <w:bottom w:w="30" w:type="dxa"/>
                    <w:right w:w="30" w:type="dxa"/>
                  </w:tcMar>
                </w:tcPr>
                <w:p w14:paraId="57152052"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Gender</w:t>
                  </w:r>
                </w:p>
              </w:tc>
              <w:tc>
                <w:tcPr>
                  <w:tcW w:w="1313" w:type="dxa"/>
                  <w:shd w:val="clear" w:color="auto" w:fill="FFFFFF"/>
                  <w:tcMar>
                    <w:top w:w="30" w:type="dxa"/>
                    <w:left w:w="30" w:type="dxa"/>
                    <w:bottom w:w="30" w:type="dxa"/>
                    <w:right w:w="30" w:type="dxa"/>
                  </w:tcMar>
                  <w:vAlign w:val="center"/>
                </w:tcPr>
                <w:p w14:paraId="6085D323"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.363</w:t>
                  </w:r>
                </w:p>
              </w:tc>
              <w:tc>
                <w:tcPr>
                  <w:tcW w:w="1114" w:type="dxa"/>
                  <w:shd w:val="clear" w:color="auto" w:fill="FFFFFF"/>
                  <w:tcMar>
                    <w:top w:w="30" w:type="dxa"/>
                    <w:left w:w="30" w:type="dxa"/>
                    <w:bottom w:w="30" w:type="dxa"/>
                    <w:right w:w="30" w:type="dxa"/>
                  </w:tcMar>
                  <w:vAlign w:val="center"/>
                </w:tcPr>
                <w:p w14:paraId="0901CE65"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.124</w:t>
                  </w:r>
                </w:p>
              </w:tc>
              <w:tc>
                <w:tcPr>
                  <w:tcW w:w="1029" w:type="dxa"/>
                  <w:shd w:val="clear" w:color="auto" w:fill="FFFFFF"/>
                  <w:tcMar>
                    <w:top w:w="30" w:type="dxa"/>
                    <w:left w:w="30" w:type="dxa"/>
                    <w:bottom w:w="30" w:type="dxa"/>
                    <w:right w:w="30" w:type="dxa"/>
                  </w:tcMar>
                  <w:vAlign w:val="center"/>
                </w:tcPr>
                <w:p w14:paraId="2557A2A7"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.521</w:t>
                  </w:r>
                </w:p>
              </w:tc>
              <w:tc>
                <w:tcPr>
                  <w:tcW w:w="735" w:type="dxa"/>
                  <w:shd w:val="clear" w:color="auto" w:fill="FFFFFF"/>
                  <w:tcMar>
                    <w:top w:w="30" w:type="dxa"/>
                    <w:left w:w="30" w:type="dxa"/>
                    <w:bottom w:w="30" w:type="dxa"/>
                    <w:right w:w="30" w:type="dxa"/>
                  </w:tcMar>
                  <w:vAlign w:val="center"/>
                </w:tcPr>
                <w:p w14:paraId="2E07AFB8"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2.937</w:t>
                  </w:r>
                </w:p>
              </w:tc>
              <w:tc>
                <w:tcPr>
                  <w:tcW w:w="1008" w:type="dxa"/>
                  <w:shd w:val="clear" w:color="auto" w:fill="FFFFFF"/>
                  <w:tcMar>
                    <w:top w:w="30" w:type="dxa"/>
                    <w:left w:w="30" w:type="dxa"/>
                    <w:bottom w:w="30" w:type="dxa"/>
                    <w:right w:w="30" w:type="dxa"/>
                  </w:tcMar>
                  <w:vAlign w:val="center"/>
                </w:tcPr>
                <w:p w14:paraId="77ECF185"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.014</w:t>
                  </w:r>
                </w:p>
              </w:tc>
            </w:tr>
            <w:tr w:rsidR="00A63CD3" w:rsidRPr="00FA6103" w14:paraId="7D35CC31" w14:textId="77777777" w:rsidTr="00FA6103">
              <w:trPr>
                <w:cantSplit/>
                <w:tblHeader/>
              </w:trPr>
              <w:tc>
                <w:tcPr>
                  <w:tcW w:w="720" w:type="dxa"/>
                  <w:vMerge/>
                  <w:shd w:val="clear" w:color="auto" w:fill="FFFFFF"/>
                  <w:tcMar>
                    <w:top w:w="30" w:type="dxa"/>
                    <w:left w:w="30" w:type="dxa"/>
                    <w:bottom w:w="30" w:type="dxa"/>
                    <w:right w:w="30" w:type="dxa"/>
                  </w:tcMar>
                </w:tcPr>
                <w:p w14:paraId="3C425304"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2405" w:type="dxa"/>
                  <w:shd w:val="clear" w:color="auto" w:fill="FFFFFF"/>
                  <w:tcMar>
                    <w:top w:w="30" w:type="dxa"/>
                    <w:left w:w="30" w:type="dxa"/>
                    <w:bottom w:w="30" w:type="dxa"/>
                    <w:right w:w="30" w:type="dxa"/>
                  </w:tcMar>
                </w:tcPr>
                <w:p w14:paraId="57779B91"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Age</w:t>
                  </w:r>
                </w:p>
              </w:tc>
              <w:tc>
                <w:tcPr>
                  <w:tcW w:w="1313" w:type="dxa"/>
                  <w:shd w:val="clear" w:color="auto" w:fill="FFFFFF"/>
                  <w:tcMar>
                    <w:top w:w="30" w:type="dxa"/>
                    <w:left w:w="30" w:type="dxa"/>
                    <w:bottom w:w="30" w:type="dxa"/>
                    <w:right w:w="30" w:type="dxa"/>
                  </w:tcMar>
                  <w:vAlign w:val="center"/>
                </w:tcPr>
                <w:p w14:paraId="2297DEB9"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1.149</w:t>
                  </w:r>
                </w:p>
              </w:tc>
              <w:tc>
                <w:tcPr>
                  <w:tcW w:w="1114" w:type="dxa"/>
                  <w:shd w:val="clear" w:color="auto" w:fill="FFFFFF"/>
                  <w:tcMar>
                    <w:top w:w="30" w:type="dxa"/>
                    <w:left w:w="30" w:type="dxa"/>
                    <w:bottom w:w="30" w:type="dxa"/>
                    <w:right w:w="30" w:type="dxa"/>
                  </w:tcMar>
                  <w:vAlign w:val="center"/>
                </w:tcPr>
                <w:p w14:paraId="374818E7"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.201</w:t>
                  </w:r>
                </w:p>
              </w:tc>
              <w:tc>
                <w:tcPr>
                  <w:tcW w:w="1029" w:type="dxa"/>
                  <w:shd w:val="clear" w:color="auto" w:fill="FFFFFF"/>
                  <w:tcMar>
                    <w:top w:w="30" w:type="dxa"/>
                    <w:left w:w="30" w:type="dxa"/>
                    <w:bottom w:w="30" w:type="dxa"/>
                    <w:right w:w="30" w:type="dxa"/>
                  </w:tcMar>
                  <w:vAlign w:val="center"/>
                </w:tcPr>
                <w:p w14:paraId="63F02A83"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1.287</w:t>
                  </w:r>
                </w:p>
              </w:tc>
              <w:tc>
                <w:tcPr>
                  <w:tcW w:w="735" w:type="dxa"/>
                  <w:shd w:val="clear" w:color="auto" w:fill="FFFFFF"/>
                  <w:tcMar>
                    <w:top w:w="30" w:type="dxa"/>
                    <w:left w:w="30" w:type="dxa"/>
                    <w:bottom w:w="30" w:type="dxa"/>
                    <w:right w:w="30" w:type="dxa"/>
                  </w:tcMar>
                  <w:vAlign w:val="center"/>
                </w:tcPr>
                <w:p w14:paraId="0F9BC034"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5.718</w:t>
                  </w:r>
                </w:p>
              </w:tc>
              <w:tc>
                <w:tcPr>
                  <w:tcW w:w="1008" w:type="dxa"/>
                  <w:shd w:val="clear" w:color="auto" w:fill="FFFFFF"/>
                  <w:tcMar>
                    <w:top w:w="30" w:type="dxa"/>
                    <w:left w:w="30" w:type="dxa"/>
                    <w:bottom w:w="30" w:type="dxa"/>
                    <w:right w:w="30" w:type="dxa"/>
                  </w:tcMar>
                  <w:vAlign w:val="center"/>
                </w:tcPr>
                <w:p w14:paraId="652951D9"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.000</w:t>
                  </w:r>
                </w:p>
              </w:tc>
            </w:tr>
            <w:tr w:rsidR="00A63CD3" w:rsidRPr="00FA6103" w14:paraId="59240456" w14:textId="77777777" w:rsidTr="00FA6103">
              <w:trPr>
                <w:cantSplit/>
                <w:tblHeader/>
              </w:trPr>
              <w:tc>
                <w:tcPr>
                  <w:tcW w:w="720" w:type="dxa"/>
                  <w:vMerge/>
                  <w:shd w:val="clear" w:color="auto" w:fill="FFFFFF"/>
                  <w:tcMar>
                    <w:top w:w="30" w:type="dxa"/>
                    <w:left w:w="30" w:type="dxa"/>
                    <w:bottom w:w="30" w:type="dxa"/>
                    <w:right w:w="30" w:type="dxa"/>
                  </w:tcMar>
                </w:tcPr>
                <w:p w14:paraId="13E77641"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2405" w:type="dxa"/>
                  <w:shd w:val="clear" w:color="auto" w:fill="FFFFFF"/>
                  <w:tcMar>
                    <w:top w:w="30" w:type="dxa"/>
                    <w:left w:w="30" w:type="dxa"/>
                    <w:bottom w:w="30" w:type="dxa"/>
                    <w:right w:w="30" w:type="dxa"/>
                  </w:tcMar>
                </w:tcPr>
                <w:p w14:paraId="31B0583B"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Occupation</w:t>
                  </w:r>
                </w:p>
              </w:tc>
              <w:tc>
                <w:tcPr>
                  <w:tcW w:w="1313" w:type="dxa"/>
                  <w:shd w:val="clear" w:color="auto" w:fill="FFFFFF"/>
                  <w:tcMar>
                    <w:top w:w="30" w:type="dxa"/>
                    <w:left w:w="30" w:type="dxa"/>
                    <w:bottom w:w="30" w:type="dxa"/>
                    <w:right w:w="30" w:type="dxa"/>
                  </w:tcMar>
                  <w:vAlign w:val="center"/>
                </w:tcPr>
                <w:p w14:paraId="5535A740"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1.464</w:t>
                  </w:r>
                </w:p>
              </w:tc>
              <w:tc>
                <w:tcPr>
                  <w:tcW w:w="1114" w:type="dxa"/>
                  <w:shd w:val="clear" w:color="auto" w:fill="FFFFFF"/>
                  <w:tcMar>
                    <w:top w:w="30" w:type="dxa"/>
                    <w:left w:w="30" w:type="dxa"/>
                    <w:bottom w:w="30" w:type="dxa"/>
                    <w:right w:w="30" w:type="dxa"/>
                  </w:tcMar>
                  <w:vAlign w:val="center"/>
                </w:tcPr>
                <w:p w14:paraId="065E1799"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.156</w:t>
                  </w:r>
                </w:p>
              </w:tc>
              <w:tc>
                <w:tcPr>
                  <w:tcW w:w="1029" w:type="dxa"/>
                  <w:shd w:val="clear" w:color="auto" w:fill="FFFFFF"/>
                  <w:tcMar>
                    <w:top w:w="30" w:type="dxa"/>
                    <w:left w:w="30" w:type="dxa"/>
                    <w:bottom w:w="30" w:type="dxa"/>
                    <w:right w:w="30" w:type="dxa"/>
                  </w:tcMar>
                  <w:vAlign w:val="center"/>
                </w:tcPr>
                <w:p w14:paraId="62BBF7C9"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1.382</w:t>
                  </w:r>
                </w:p>
              </w:tc>
              <w:tc>
                <w:tcPr>
                  <w:tcW w:w="735" w:type="dxa"/>
                  <w:shd w:val="clear" w:color="auto" w:fill="FFFFFF"/>
                  <w:tcMar>
                    <w:top w:w="30" w:type="dxa"/>
                    <w:left w:w="30" w:type="dxa"/>
                    <w:bottom w:w="30" w:type="dxa"/>
                    <w:right w:w="30" w:type="dxa"/>
                  </w:tcMar>
                  <w:vAlign w:val="center"/>
                </w:tcPr>
                <w:p w14:paraId="601DC47E"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9.379</w:t>
                  </w:r>
                </w:p>
              </w:tc>
              <w:tc>
                <w:tcPr>
                  <w:tcW w:w="1008" w:type="dxa"/>
                  <w:shd w:val="clear" w:color="auto" w:fill="FFFFFF"/>
                  <w:tcMar>
                    <w:top w:w="30" w:type="dxa"/>
                    <w:left w:w="30" w:type="dxa"/>
                    <w:bottom w:w="30" w:type="dxa"/>
                    <w:right w:w="30" w:type="dxa"/>
                  </w:tcMar>
                  <w:vAlign w:val="center"/>
                </w:tcPr>
                <w:p w14:paraId="7107F3E1"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.000</w:t>
                  </w:r>
                </w:p>
              </w:tc>
            </w:tr>
            <w:tr w:rsidR="00A63CD3" w:rsidRPr="00FA6103" w14:paraId="52C2C05B" w14:textId="77777777" w:rsidTr="00FA6103">
              <w:trPr>
                <w:cantSplit/>
                <w:tblHeader/>
              </w:trPr>
              <w:tc>
                <w:tcPr>
                  <w:tcW w:w="720" w:type="dxa"/>
                  <w:vMerge/>
                  <w:shd w:val="clear" w:color="auto" w:fill="FFFFFF"/>
                  <w:tcMar>
                    <w:top w:w="30" w:type="dxa"/>
                    <w:left w:w="30" w:type="dxa"/>
                    <w:bottom w:w="30" w:type="dxa"/>
                    <w:right w:w="30" w:type="dxa"/>
                  </w:tcMar>
                </w:tcPr>
                <w:p w14:paraId="55C72BFC"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2405" w:type="dxa"/>
                  <w:shd w:val="clear" w:color="auto" w:fill="FFFFFF"/>
                  <w:tcMar>
                    <w:top w:w="30" w:type="dxa"/>
                    <w:left w:w="30" w:type="dxa"/>
                    <w:bottom w:w="30" w:type="dxa"/>
                    <w:right w:w="30" w:type="dxa"/>
                  </w:tcMar>
                </w:tcPr>
                <w:p w14:paraId="54EF4D18"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Education Qualification</w:t>
                  </w:r>
                </w:p>
              </w:tc>
              <w:tc>
                <w:tcPr>
                  <w:tcW w:w="1313" w:type="dxa"/>
                  <w:shd w:val="clear" w:color="auto" w:fill="FFFFFF"/>
                  <w:tcMar>
                    <w:top w:w="30" w:type="dxa"/>
                    <w:left w:w="30" w:type="dxa"/>
                    <w:bottom w:w="30" w:type="dxa"/>
                    <w:right w:w="30" w:type="dxa"/>
                  </w:tcMar>
                  <w:vAlign w:val="center"/>
                </w:tcPr>
                <w:p w14:paraId="7B6D76CB"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-1.244</w:t>
                  </w:r>
                </w:p>
              </w:tc>
              <w:tc>
                <w:tcPr>
                  <w:tcW w:w="1114" w:type="dxa"/>
                  <w:shd w:val="clear" w:color="auto" w:fill="FFFFFF"/>
                  <w:tcMar>
                    <w:top w:w="30" w:type="dxa"/>
                    <w:left w:w="30" w:type="dxa"/>
                    <w:bottom w:w="30" w:type="dxa"/>
                    <w:right w:w="30" w:type="dxa"/>
                  </w:tcMar>
                  <w:vAlign w:val="center"/>
                </w:tcPr>
                <w:p w14:paraId="31734B39"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.573</w:t>
                  </w:r>
                </w:p>
              </w:tc>
              <w:tc>
                <w:tcPr>
                  <w:tcW w:w="1029" w:type="dxa"/>
                  <w:shd w:val="clear" w:color="auto" w:fill="FFFFFF"/>
                  <w:tcMar>
                    <w:top w:w="30" w:type="dxa"/>
                    <w:left w:w="30" w:type="dxa"/>
                    <w:bottom w:w="30" w:type="dxa"/>
                    <w:right w:w="30" w:type="dxa"/>
                  </w:tcMar>
                  <w:vAlign w:val="center"/>
                </w:tcPr>
                <w:p w14:paraId="2F199EC1"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-1.253</w:t>
                  </w:r>
                </w:p>
              </w:tc>
              <w:tc>
                <w:tcPr>
                  <w:tcW w:w="735" w:type="dxa"/>
                  <w:shd w:val="clear" w:color="auto" w:fill="FFFFFF"/>
                  <w:tcMar>
                    <w:top w:w="30" w:type="dxa"/>
                    <w:left w:w="30" w:type="dxa"/>
                    <w:bottom w:w="30" w:type="dxa"/>
                    <w:right w:w="30" w:type="dxa"/>
                  </w:tcMar>
                  <w:vAlign w:val="center"/>
                </w:tcPr>
                <w:p w14:paraId="04EC0BD0"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-2.170</w:t>
                  </w:r>
                </w:p>
              </w:tc>
              <w:tc>
                <w:tcPr>
                  <w:tcW w:w="1008" w:type="dxa"/>
                  <w:shd w:val="clear" w:color="auto" w:fill="FFFFFF"/>
                  <w:tcMar>
                    <w:top w:w="30" w:type="dxa"/>
                    <w:left w:w="30" w:type="dxa"/>
                    <w:bottom w:w="30" w:type="dxa"/>
                    <w:right w:w="30" w:type="dxa"/>
                  </w:tcMar>
                  <w:vAlign w:val="center"/>
                </w:tcPr>
                <w:p w14:paraId="6E8DD8CA"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.050</w:t>
                  </w:r>
                </w:p>
              </w:tc>
            </w:tr>
            <w:tr w:rsidR="00A63CD3" w:rsidRPr="00FA6103" w14:paraId="630DC647" w14:textId="77777777" w:rsidTr="00FA6103">
              <w:trPr>
                <w:cantSplit/>
                <w:tblHeader/>
              </w:trPr>
              <w:tc>
                <w:tcPr>
                  <w:tcW w:w="720" w:type="dxa"/>
                  <w:vMerge/>
                  <w:shd w:val="clear" w:color="auto" w:fill="FFFFFF"/>
                  <w:tcMar>
                    <w:top w:w="30" w:type="dxa"/>
                    <w:left w:w="30" w:type="dxa"/>
                    <w:bottom w:w="30" w:type="dxa"/>
                    <w:right w:w="30" w:type="dxa"/>
                  </w:tcMar>
                </w:tcPr>
                <w:p w14:paraId="145A5062"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2405" w:type="dxa"/>
                  <w:shd w:val="clear" w:color="auto" w:fill="FFFFFF"/>
                  <w:tcMar>
                    <w:top w:w="30" w:type="dxa"/>
                    <w:left w:w="30" w:type="dxa"/>
                    <w:bottom w:w="30" w:type="dxa"/>
                    <w:right w:w="30" w:type="dxa"/>
                  </w:tcMar>
                </w:tcPr>
                <w:p w14:paraId="67CA739A"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Marital Status</w:t>
                  </w:r>
                </w:p>
              </w:tc>
              <w:tc>
                <w:tcPr>
                  <w:tcW w:w="1313" w:type="dxa"/>
                  <w:shd w:val="clear" w:color="auto" w:fill="FFFFFF"/>
                  <w:tcMar>
                    <w:top w:w="30" w:type="dxa"/>
                    <w:left w:w="30" w:type="dxa"/>
                    <w:bottom w:w="30" w:type="dxa"/>
                    <w:right w:w="30" w:type="dxa"/>
                  </w:tcMar>
                  <w:vAlign w:val="center"/>
                </w:tcPr>
                <w:p w14:paraId="5CC1B708"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-1.291</w:t>
                  </w:r>
                </w:p>
              </w:tc>
              <w:tc>
                <w:tcPr>
                  <w:tcW w:w="1114" w:type="dxa"/>
                  <w:shd w:val="clear" w:color="auto" w:fill="FFFFFF"/>
                  <w:tcMar>
                    <w:top w:w="30" w:type="dxa"/>
                    <w:left w:w="30" w:type="dxa"/>
                    <w:bottom w:w="30" w:type="dxa"/>
                    <w:right w:w="30" w:type="dxa"/>
                  </w:tcMar>
                  <w:vAlign w:val="center"/>
                </w:tcPr>
                <w:p w14:paraId="0E9790D1"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.414</w:t>
                  </w:r>
                </w:p>
              </w:tc>
              <w:tc>
                <w:tcPr>
                  <w:tcW w:w="1029" w:type="dxa"/>
                  <w:shd w:val="clear" w:color="auto" w:fill="FFFFFF"/>
                  <w:tcMar>
                    <w:top w:w="30" w:type="dxa"/>
                    <w:left w:w="30" w:type="dxa"/>
                    <w:bottom w:w="30" w:type="dxa"/>
                    <w:right w:w="30" w:type="dxa"/>
                  </w:tcMar>
                  <w:vAlign w:val="center"/>
                </w:tcPr>
                <w:p w14:paraId="679B4C68"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-.848</w:t>
                  </w:r>
                </w:p>
              </w:tc>
              <w:tc>
                <w:tcPr>
                  <w:tcW w:w="735" w:type="dxa"/>
                  <w:shd w:val="clear" w:color="auto" w:fill="FFFFFF"/>
                  <w:tcMar>
                    <w:top w:w="30" w:type="dxa"/>
                    <w:left w:w="30" w:type="dxa"/>
                    <w:bottom w:w="30" w:type="dxa"/>
                    <w:right w:w="30" w:type="dxa"/>
                  </w:tcMar>
                  <w:vAlign w:val="center"/>
                </w:tcPr>
                <w:p w14:paraId="4BCF319C"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-3.122</w:t>
                  </w:r>
                </w:p>
              </w:tc>
              <w:tc>
                <w:tcPr>
                  <w:tcW w:w="1008" w:type="dxa"/>
                  <w:shd w:val="clear" w:color="auto" w:fill="FFFFFF"/>
                  <w:tcMar>
                    <w:top w:w="30" w:type="dxa"/>
                    <w:left w:w="30" w:type="dxa"/>
                    <w:bottom w:w="30" w:type="dxa"/>
                    <w:right w:w="30" w:type="dxa"/>
                  </w:tcMar>
                  <w:vAlign w:val="center"/>
                </w:tcPr>
                <w:p w14:paraId="66AF02DD"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.010</w:t>
                  </w:r>
                </w:p>
              </w:tc>
            </w:tr>
            <w:tr w:rsidR="00A63CD3" w:rsidRPr="00FA6103" w14:paraId="2EB0422B" w14:textId="77777777" w:rsidTr="00FA6103">
              <w:trPr>
                <w:cantSplit/>
                <w:tblHeader/>
              </w:trPr>
              <w:tc>
                <w:tcPr>
                  <w:tcW w:w="720" w:type="dxa"/>
                  <w:vMerge/>
                  <w:shd w:val="clear" w:color="auto" w:fill="FFFFFF"/>
                  <w:tcMar>
                    <w:top w:w="30" w:type="dxa"/>
                    <w:left w:w="30" w:type="dxa"/>
                    <w:bottom w:w="30" w:type="dxa"/>
                    <w:right w:w="30" w:type="dxa"/>
                  </w:tcMar>
                </w:tcPr>
                <w:p w14:paraId="227C8483"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2405" w:type="dxa"/>
                  <w:shd w:val="clear" w:color="auto" w:fill="FFFFFF"/>
                  <w:tcMar>
                    <w:top w:w="30" w:type="dxa"/>
                    <w:left w:w="30" w:type="dxa"/>
                    <w:bottom w:w="30" w:type="dxa"/>
                    <w:right w:w="30" w:type="dxa"/>
                  </w:tcMar>
                </w:tcPr>
                <w:p w14:paraId="1DF44C97"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Monthly Income Range</w:t>
                  </w:r>
                </w:p>
              </w:tc>
              <w:tc>
                <w:tcPr>
                  <w:tcW w:w="1313" w:type="dxa"/>
                  <w:shd w:val="clear" w:color="auto" w:fill="FFFFFF"/>
                  <w:tcMar>
                    <w:top w:w="30" w:type="dxa"/>
                    <w:left w:w="30" w:type="dxa"/>
                    <w:bottom w:w="30" w:type="dxa"/>
                    <w:right w:w="30" w:type="dxa"/>
                  </w:tcMar>
                  <w:vAlign w:val="center"/>
                </w:tcPr>
                <w:p w14:paraId="402AFCC5"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.292</w:t>
                  </w:r>
                </w:p>
              </w:tc>
              <w:tc>
                <w:tcPr>
                  <w:tcW w:w="1114" w:type="dxa"/>
                  <w:shd w:val="clear" w:color="auto" w:fill="FFFFFF"/>
                  <w:tcMar>
                    <w:top w:w="30" w:type="dxa"/>
                    <w:left w:w="30" w:type="dxa"/>
                    <w:bottom w:w="30" w:type="dxa"/>
                    <w:right w:w="30" w:type="dxa"/>
                  </w:tcMar>
                  <w:vAlign w:val="center"/>
                </w:tcPr>
                <w:p w14:paraId="4C2FE915"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.071</w:t>
                  </w:r>
                </w:p>
              </w:tc>
              <w:tc>
                <w:tcPr>
                  <w:tcW w:w="1029" w:type="dxa"/>
                  <w:shd w:val="clear" w:color="auto" w:fill="FFFFFF"/>
                  <w:tcMar>
                    <w:top w:w="30" w:type="dxa"/>
                    <w:left w:w="30" w:type="dxa"/>
                    <w:bottom w:w="30" w:type="dxa"/>
                    <w:right w:w="30" w:type="dxa"/>
                  </w:tcMar>
                  <w:vAlign w:val="center"/>
                </w:tcPr>
                <w:p w14:paraId="650DAA76"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.540</w:t>
                  </w:r>
                </w:p>
              </w:tc>
              <w:tc>
                <w:tcPr>
                  <w:tcW w:w="735" w:type="dxa"/>
                  <w:shd w:val="clear" w:color="auto" w:fill="FFFFFF"/>
                  <w:tcMar>
                    <w:top w:w="30" w:type="dxa"/>
                    <w:left w:w="30" w:type="dxa"/>
                    <w:bottom w:w="30" w:type="dxa"/>
                    <w:right w:w="30" w:type="dxa"/>
                  </w:tcMar>
                  <w:vAlign w:val="center"/>
                </w:tcPr>
                <w:p w14:paraId="585156EB"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4.141</w:t>
                  </w:r>
                </w:p>
              </w:tc>
              <w:tc>
                <w:tcPr>
                  <w:tcW w:w="1008" w:type="dxa"/>
                  <w:shd w:val="clear" w:color="auto" w:fill="FFFFFF"/>
                  <w:tcMar>
                    <w:top w:w="30" w:type="dxa"/>
                    <w:left w:w="30" w:type="dxa"/>
                    <w:bottom w:w="30" w:type="dxa"/>
                    <w:right w:w="30" w:type="dxa"/>
                  </w:tcMar>
                  <w:vAlign w:val="center"/>
                </w:tcPr>
                <w:p w14:paraId="43805E59"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.002</w:t>
                  </w:r>
                </w:p>
              </w:tc>
            </w:tr>
            <w:tr w:rsidR="00A63CD3" w:rsidRPr="00FA6103" w14:paraId="512443B8" w14:textId="77777777" w:rsidTr="00FA6103">
              <w:trPr>
                <w:cantSplit/>
              </w:trPr>
              <w:tc>
                <w:tcPr>
                  <w:tcW w:w="5552" w:type="dxa"/>
                  <w:gridSpan w:val="4"/>
                  <w:shd w:val="clear" w:color="auto" w:fill="FFFFFF"/>
                  <w:tcMar>
                    <w:top w:w="30" w:type="dxa"/>
                    <w:left w:w="30" w:type="dxa"/>
                    <w:bottom w:w="30" w:type="dxa"/>
                    <w:right w:w="30" w:type="dxa"/>
                  </w:tcMar>
                </w:tcPr>
                <w:p w14:paraId="3AE72A30"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a. Dependent Variable: Users’ Preferences.</w:t>
                  </w:r>
                </w:p>
              </w:tc>
              <w:tc>
                <w:tcPr>
                  <w:tcW w:w="1029" w:type="dxa"/>
                  <w:shd w:val="clear" w:color="auto" w:fill="FFFFFF"/>
                  <w:tcMar>
                    <w:top w:w="30" w:type="dxa"/>
                    <w:left w:w="30" w:type="dxa"/>
                    <w:bottom w:w="30" w:type="dxa"/>
                    <w:right w:w="30" w:type="dxa"/>
                  </w:tcMar>
                </w:tcPr>
                <w:p w14:paraId="514A409D"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735" w:type="dxa"/>
                  <w:shd w:val="clear" w:color="auto" w:fill="FFFFFF"/>
                  <w:tcMar>
                    <w:top w:w="30" w:type="dxa"/>
                    <w:left w:w="30" w:type="dxa"/>
                    <w:bottom w:w="30" w:type="dxa"/>
                    <w:right w:w="30" w:type="dxa"/>
                  </w:tcMar>
                </w:tcPr>
                <w:p w14:paraId="289DA453"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1008" w:type="dxa"/>
                  <w:shd w:val="clear" w:color="auto" w:fill="FFFFFF"/>
                  <w:tcMar>
                    <w:top w:w="30" w:type="dxa"/>
                    <w:left w:w="30" w:type="dxa"/>
                    <w:bottom w:w="30" w:type="dxa"/>
                    <w:right w:w="30" w:type="dxa"/>
                  </w:tcMar>
                </w:tcPr>
                <w:p w14:paraId="42B5BD19"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r>
          </w:tbl>
          <w:p w14:paraId="7746C94D" w14:textId="77777777" w:rsidR="00A63CD3" w:rsidRPr="00FA6103" w:rsidRDefault="00A63CD3" w:rsidP="0000060D">
            <w:pPr>
              <w:spacing w:after="0" w:line="240" w:lineRule="auto"/>
              <w:jc w:val="center"/>
              <w:rPr>
                <w:rFonts w:ascii="Times New Roman" w:eastAsia="Cambria" w:hAnsi="Times New Roman" w:cs="Times New Roman"/>
                <w:color w:val="000000" w:themeColor="text1"/>
                <w:sz w:val="20"/>
                <w:szCs w:val="20"/>
              </w:rPr>
            </w:pPr>
          </w:p>
        </w:tc>
      </w:tr>
    </w:tbl>
    <w:p w14:paraId="740E6A26" w14:textId="77777777" w:rsidR="00A63CD3" w:rsidRPr="00BE4AF3" w:rsidRDefault="00A63CD3" w:rsidP="00A63CD3">
      <w:pPr>
        <w:spacing w:after="0" w:line="240" w:lineRule="auto"/>
        <w:jc w:val="both"/>
        <w:rPr>
          <w:rFonts w:ascii="Times New Roman" w:eastAsia="Cambria" w:hAnsi="Times New Roman" w:cs="Times New Roman"/>
          <w:b/>
          <w:color w:val="000000" w:themeColor="text1"/>
          <w:sz w:val="24"/>
          <w:szCs w:val="24"/>
        </w:rPr>
      </w:pPr>
      <w:r w:rsidRPr="00BE4AF3">
        <w:rPr>
          <w:rFonts w:ascii="Times New Roman" w:eastAsia="Cambria" w:hAnsi="Times New Roman" w:cs="Times New Roman"/>
          <w:b/>
          <w:color w:val="000000" w:themeColor="text1"/>
          <w:sz w:val="24"/>
          <w:szCs w:val="24"/>
        </w:rPr>
        <w:t>P-values significant at 0.05 levels</w:t>
      </w:r>
    </w:p>
    <w:p w14:paraId="728FD037" w14:textId="77777777" w:rsidR="00FA6103" w:rsidRDefault="00FA6103" w:rsidP="00FA6103">
      <w:pPr>
        <w:autoSpaceDE w:val="0"/>
        <w:autoSpaceDN w:val="0"/>
        <w:adjustRightInd w:val="0"/>
        <w:spacing w:after="0" w:line="240" w:lineRule="auto"/>
        <w:jc w:val="both"/>
        <w:rPr>
          <w:rFonts w:ascii="Times New Roman" w:eastAsia="Calibri" w:hAnsi="Times New Roman" w:cs="Times New Roman"/>
          <w:color w:val="000000" w:themeColor="text1"/>
          <w:sz w:val="24"/>
          <w:szCs w:val="24"/>
        </w:rPr>
      </w:pPr>
    </w:p>
    <w:p w14:paraId="680B252B" w14:textId="7A1E2C20" w:rsidR="00A63CD3" w:rsidRPr="00BE4AF3" w:rsidRDefault="00A63CD3" w:rsidP="00FA6103">
      <w:pPr>
        <w:autoSpaceDE w:val="0"/>
        <w:autoSpaceDN w:val="0"/>
        <w:adjustRightInd w:val="0"/>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Table 6 shows that the computed Pearson’s Correlation Co-efficient (r) among pairs of the thirteen (6) identified relevant social economic characteristics variables in the study area. The study indicated that Users’ Preferences had negative and significant correlations -0.603 with variable Gender (A). It has positive and significant correlations with</w:t>
      </w:r>
      <w:r w:rsidRPr="00BE4AF3">
        <w:rPr>
          <w:rFonts w:ascii="Times New Roman" w:eastAsia="Cambria" w:hAnsi="Times New Roman" w:cs="Times New Roman"/>
          <w:color w:val="000000" w:themeColor="text1"/>
          <w:sz w:val="24"/>
          <w:szCs w:val="24"/>
        </w:rPr>
        <w:t xml:space="preserve"> </w:t>
      </w:r>
      <w:r w:rsidRPr="00BE4AF3">
        <w:rPr>
          <w:rFonts w:ascii="Times New Roman" w:eastAsia="Calibri" w:hAnsi="Times New Roman" w:cs="Times New Roman"/>
          <w:color w:val="000000" w:themeColor="text1"/>
          <w:sz w:val="24"/>
          <w:szCs w:val="24"/>
        </w:rPr>
        <w:t>Age (B),</w:t>
      </w:r>
      <w:r w:rsidRPr="00BE4AF3">
        <w:rPr>
          <w:rFonts w:ascii="Times New Roman" w:eastAsia="Cambria" w:hAnsi="Times New Roman" w:cs="Times New Roman"/>
          <w:color w:val="000000" w:themeColor="text1"/>
          <w:sz w:val="24"/>
          <w:szCs w:val="24"/>
        </w:rPr>
        <w:t xml:space="preserve"> </w:t>
      </w:r>
      <w:r w:rsidRPr="00BE4AF3">
        <w:rPr>
          <w:rFonts w:ascii="Times New Roman" w:eastAsia="Calibri" w:hAnsi="Times New Roman" w:cs="Times New Roman"/>
          <w:color w:val="000000" w:themeColor="text1"/>
          <w:sz w:val="24"/>
          <w:szCs w:val="24"/>
        </w:rPr>
        <w:t>Occupation (C),</w:t>
      </w:r>
      <w:r w:rsidRPr="00BE4AF3">
        <w:rPr>
          <w:rFonts w:ascii="Times New Roman" w:eastAsia="Cambria" w:hAnsi="Times New Roman" w:cs="Times New Roman"/>
          <w:color w:val="000000" w:themeColor="text1"/>
          <w:sz w:val="24"/>
          <w:szCs w:val="24"/>
        </w:rPr>
        <w:t xml:space="preserve"> </w:t>
      </w:r>
      <w:r w:rsidRPr="00BE4AF3">
        <w:rPr>
          <w:rFonts w:ascii="Times New Roman" w:eastAsia="Calibri" w:hAnsi="Times New Roman" w:cs="Times New Roman"/>
          <w:color w:val="000000" w:themeColor="text1"/>
          <w:sz w:val="24"/>
          <w:szCs w:val="24"/>
        </w:rPr>
        <w:t>Education Qualification (D),</w:t>
      </w:r>
      <w:r w:rsidRPr="00BE4AF3">
        <w:rPr>
          <w:rFonts w:ascii="Times New Roman" w:eastAsia="Cambria" w:hAnsi="Times New Roman" w:cs="Times New Roman"/>
          <w:color w:val="000000" w:themeColor="text1"/>
          <w:sz w:val="24"/>
          <w:szCs w:val="24"/>
        </w:rPr>
        <w:t xml:space="preserve"> </w:t>
      </w:r>
      <w:r w:rsidRPr="00BE4AF3">
        <w:rPr>
          <w:rFonts w:ascii="Times New Roman" w:eastAsia="Calibri" w:hAnsi="Times New Roman" w:cs="Times New Roman"/>
          <w:color w:val="000000" w:themeColor="text1"/>
          <w:sz w:val="24"/>
          <w:szCs w:val="24"/>
        </w:rPr>
        <w:t>Marital Status (E),</w:t>
      </w:r>
      <w:r w:rsidRPr="00BE4AF3">
        <w:rPr>
          <w:rFonts w:ascii="Times New Roman" w:eastAsia="Cambria" w:hAnsi="Times New Roman" w:cs="Times New Roman"/>
          <w:color w:val="000000" w:themeColor="text1"/>
          <w:sz w:val="24"/>
          <w:szCs w:val="24"/>
        </w:rPr>
        <w:t xml:space="preserve"> </w:t>
      </w:r>
      <w:r w:rsidRPr="00BE4AF3">
        <w:rPr>
          <w:rFonts w:ascii="Times New Roman" w:eastAsia="Calibri" w:hAnsi="Times New Roman" w:cs="Times New Roman"/>
          <w:color w:val="000000" w:themeColor="text1"/>
          <w:sz w:val="24"/>
          <w:szCs w:val="24"/>
        </w:rPr>
        <w:t>Monthly Income Range (F), with coefficients of 0.771, 0.605, 0.760, 0.673, and 0.464, and respectively. The correlation is significant at 0.01 and 0.05</w:t>
      </w:r>
      <w:r w:rsidRPr="00BE4AF3">
        <w:rPr>
          <w:rFonts w:ascii="Times New Roman" w:eastAsia="Cambria" w:hAnsi="Times New Roman" w:cs="Times New Roman"/>
          <w:color w:val="000000" w:themeColor="text1"/>
          <w:sz w:val="24"/>
          <w:szCs w:val="24"/>
        </w:rPr>
        <w:t xml:space="preserve"> </w:t>
      </w:r>
      <w:r w:rsidRPr="00BE4AF3">
        <w:rPr>
          <w:rFonts w:ascii="Times New Roman" w:eastAsia="Calibri" w:hAnsi="Times New Roman" w:cs="Times New Roman"/>
          <w:color w:val="000000" w:themeColor="text1"/>
          <w:sz w:val="24"/>
          <w:szCs w:val="24"/>
        </w:rPr>
        <w:t>levels. Furthermore, the study revealed that</w:t>
      </w:r>
      <w:r w:rsidRPr="00BE4AF3">
        <w:rPr>
          <w:rFonts w:ascii="Times New Roman" w:eastAsia="Cambria" w:hAnsi="Times New Roman" w:cs="Times New Roman"/>
          <w:color w:val="000000" w:themeColor="text1"/>
          <w:sz w:val="24"/>
          <w:szCs w:val="24"/>
        </w:rPr>
        <w:t xml:space="preserve"> </w:t>
      </w:r>
      <w:r w:rsidRPr="00BE4AF3">
        <w:rPr>
          <w:rFonts w:ascii="Times New Roman" w:eastAsia="Calibri" w:hAnsi="Times New Roman" w:cs="Times New Roman"/>
          <w:color w:val="000000" w:themeColor="text1"/>
          <w:sz w:val="24"/>
          <w:szCs w:val="24"/>
        </w:rPr>
        <w:t>Users’ Preferences which has positive and no significant correlations with Gender (A), with coefficients of 0.035.</w:t>
      </w:r>
    </w:p>
    <w:p w14:paraId="464A1A32" w14:textId="77777777" w:rsidR="00FA6103" w:rsidRDefault="00FA6103" w:rsidP="00A63CD3">
      <w:pPr>
        <w:autoSpaceDE w:val="0"/>
        <w:autoSpaceDN w:val="0"/>
        <w:adjustRightInd w:val="0"/>
        <w:spacing w:after="0" w:line="240" w:lineRule="auto"/>
        <w:jc w:val="both"/>
        <w:rPr>
          <w:rFonts w:ascii="Times New Roman" w:eastAsia="Times New Roman" w:hAnsi="Times New Roman" w:cs="Times New Roman"/>
          <w:b/>
          <w:color w:val="000000" w:themeColor="text1"/>
          <w:sz w:val="24"/>
          <w:szCs w:val="24"/>
        </w:rPr>
      </w:pPr>
    </w:p>
    <w:p w14:paraId="0E9DDC15" w14:textId="3B339E3B" w:rsidR="00A63CD3" w:rsidRPr="00FA6103" w:rsidRDefault="00A63CD3" w:rsidP="00FA6103">
      <w:pPr>
        <w:autoSpaceDE w:val="0"/>
        <w:autoSpaceDN w:val="0"/>
        <w:adjustRightInd w:val="0"/>
        <w:spacing w:after="0" w:line="240" w:lineRule="auto"/>
        <w:jc w:val="center"/>
        <w:rPr>
          <w:rFonts w:ascii="Times New Roman" w:eastAsia="Calibri" w:hAnsi="Times New Roman" w:cs="Times New Roman"/>
          <w:bCs/>
          <w:color w:val="000000" w:themeColor="text1"/>
          <w:sz w:val="24"/>
          <w:szCs w:val="24"/>
        </w:rPr>
      </w:pPr>
      <w:r w:rsidRPr="00BE4AF3">
        <w:rPr>
          <w:rFonts w:ascii="Times New Roman" w:eastAsia="Times New Roman" w:hAnsi="Times New Roman" w:cs="Times New Roman"/>
          <w:b/>
          <w:color w:val="000000" w:themeColor="text1"/>
          <w:sz w:val="24"/>
          <w:szCs w:val="24"/>
        </w:rPr>
        <w:t xml:space="preserve">Table 6: </w:t>
      </w:r>
      <w:r w:rsidRPr="00FA6103">
        <w:rPr>
          <w:rFonts w:ascii="Times New Roman" w:eastAsia="Times New Roman" w:hAnsi="Times New Roman" w:cs="Times New Roman"/>
          <w:bCs/>
          <w:color w:val="000000" w:themeColor="text1"/>
          <w:sz w:val="24"/>
          <w:szCs w:val="24"/>
        </w:rPr>
        <w:t>Relationship between Respondents’ Socio-economic Characteristics and Users’ Preferences Using Pearson’s Correlation Co-efficient (r) in the Study Area</w:t>
      </w:r>
    </w:p>
    <w:tbl>
      <w:tblPr>
        <w:tblW w:w="0" w:type="auto"/>
        <w:jc w:val="center"/>
        <w:tblBorders>
          <w:top w:val="single" w:sz="4" w:space="0" w:color="auto"/>
          <w:bottom w:val="single" w:sz="4" w:space="0" w:color="auto"/>
        </w:tblBorders>
        <w:tblCellMar>
          <w:left w:w="30" w:type="dxa"/>
          <w:right w:w="30" w:type="dxa"/>
        </w:tblCellMar>
        <w:tblLook w:val="0000" w:firstRow="0" w:lastRow="0" w:firstColumn="0" w:lastColumn="0" w:noHBand="0" w:noVBand="0"/>
      </w:tblPr>
      <w:tblGrid>
        <w:gridCol w:w="472"/>
        <w:gridCol w:w="2491"/>
        <w:gridCol w:w="685"/>
        <w:gridCol w:w="540"/>
        <w:gridCol w:w="540"/>
        <w:gridCol w:w="540"/>
        <w:gridCol w:w="540"/>
        <w:gridCol w:w="475"/>
        <w:gridCol w:w="683"/>
      </w:tblGrid>
      <w:tr w:rsidR="00A63CD3" w:rsidRPr="00FA6103" w14:paraId="16151C89" w14:textId="77777777" w:rsidTr="0000060D">
        <w:trPr>
          <w:cantSplit/>
          <w:trHeight w:val="482"/>
          <w:tblHeader/>
          <w:jc w:val="center"/>
        </w:trPr>
        <w:tc>
          <w:tcPr>
            <w:tcW w:w="235" w:type="dxa"/>
            <w:tcBorders>
              <w:bottom w:val="single" w:sz="4" w:space="0" w:color="auto"/>
            </w:tcBorders>
            <w:shd w:val="clear" w:color="auto" w:fill="FFFFFF"/>
            <w:tcMar>
              <w:top w:w="30" w:type="dxa"/>
              <w:left w:w="30" w:type="dxa"/>
              <w:bottom w:w="30" w:type="dxa"/>
              <w:right w:w="30" w:type="dxa"/>
            </w:tcMar>
          </w:tcPr>
          <w:p w14:paraId="5910D5F6" w14:textId="77777777" w:rsidR="00A63CD3" w:rsidRPr="00FA6103" w:rsidRDefault="00A63CD3" w:rsidP="0000060D">
            <w:pPr>
              <w:rPr>
                <w:rFonts w:ascii="Times New Roman" w:eastAsia="Cambria" w:hAnsi="Times New Roman" w:cs="Times New Roman"/>
                <w:bCs/>
                <w:color w:val="000000" w:themeColor="text1"/>
                <w:sz w:val="20"/>
                <w:szCs w:val="20"/>
              </w:rPr>
            </w:pPr>
            <w:r w:rsidRPr="00FA6103">
              <w:rPr>
                <w:rFonts w:ascii="Times New Roman" w:eastAsia="Cambria" w:hAnsi="Times New Roman" w:cs="Times New Roman"/>
                <w:bCs/>
                <w:color w:val="000000" w:themeColor="text1"/>
                <w:sz w:val="20"/>
                <w:szCs w:val="20"/>
              </w:rPr>
              <w:t>S/No</w:t>
            </w:r>
          </w:p>
        </w:tc>
        <w:tc>
          <w:tcPr>
            <w:tcW w:w="2491" w:type="dxa"/>
            <w:tcBorders>
              <w:bottom w:val="single" w:sz="4" w:space="0" w:color="auto"/>
            </w:tcBorders>
            <w:shd w:val="clear" w:color="auto" w:fill="FFFFFF"/>
            <w:tcMar>
              <w:top w:w="30" w:type="dxa"/>
              <w:left w:w="30" w:type="dxa"/>
              <w:bottom w:w="30" w:type="dxa"/>
              <w:right w:w="30" w:type="dxa"/>
            </w:tcMar>
          </w:tcPr>
          <w:p w14:paraId="75ED3161" w14:textId="77777777" w:rsidR="00A63CD3" w:rsidRPr="00FA6103" w:rsidRDefault="00A63CD3" w:rsidP="0000060D">
            <w:pPr>
              <w:rPr>
                <w:rFonts w:ascii="Times New Roman" w:eastAsia="Cambria" w:hAnsi="Times New Roman" w:cs="Times New Roman"/>
                <w:bCs/>
                <w:color w:val="000000" w:themeColor="text1"/>
                <w:sz w:val="20"/>
                <w:szCs w:val="20"/>
              </w:rPr>
            </w:pPr>
            <w:r w:rsidRPr="00FA6103">
              <w:rPr>
                <w:rFonts w:ascii="Times New Roman" w:eastAsia="Cambria" w:hAnsi="Times New Roman" w:cs="Times New Roman"/>
                <w:bCs/>
                <w:color w:val="000000" w:themeColor="text1"/>
                <w:sz w:val="20"/>
                <w:szCs w:val="20"/>
              </w:rPr>
              <w:t>Variables</w:t>
            </w:r>
          </w:p>
        </w:tc>
        <w:tc>
          <w:tcPr>
            <w:tcW w:w="685" w:type="dxa"/>
            <w:tcBorders>
              <w:bottom w:val="single" w:sz="4" w:space="0" w:color="auto"/>
            </w:tcBorders>
            <w:shd w:val="clear" w:color="auto" w:fill="FFFFFF"/>
            <w:tcMar>
              <w:top w:w="30" w:type="dxa"/>
              <w:left w:w="30" w:type="dxa"/>
              <w:bottom w:w="30" w:type="dxa"/>
              <w:right w:w="30" w:type="dxa"/>
            </w:tcMar>
          </w:tcPr>
          <w:p w14:paraId="278C4F79" w14:textId="77777777" w:rsidR="00A63CD3" w:rsidRPr="00FA6103" w:rsidRDefault="00A63CD3" w:rsidP="0000060D">
            <w:pPr>
              <w:rPr>
                <w:rFonts w:ascii="Times New Roman" w:eastAsia="Cambria" w:hAnsi="Times New Roman" w:cs="Times New Roman"/>
                <w:bCs/>
                <w:color w:val="000000" w:themeColor="text1"/>
                <w:sz w:val="20"/>
                <w:szCs w:val="20"/>
              </w:rPr>
            </w:pPr>
            <w:r w:rsidRPr="00FA6103">
              <w:rPr>
                <w:rFonts w:ascii="Times New Roman" w:eastAsia="Cambria" w:hAnsi="Times New Roman" w:cs="Times New Roman"/>
                <w:bCs/>
                <w:color w:val="000000" w:themeColor="text1"/>
                <w:sz w:val="20"/>
                <w:szCs w:val="20"/>
              </w:rPr>
              <w:t xml:space="preserve">A </w:t>
            </w:r>
          </w:p>
          <w:p w14:paraId="4CD1AAE6" w14:textId="77777777" w:rsidR="00A63CD3" w:rsidRPr="00FA6103" w:rsidRDefault="00A63CD3" w:rsidP="0000060D">
            <w:pPr>
              <w:rPr>
                <w:rFonts w:ascii="Times New Roman" w:eastAsia="Cambria" w:hAnsi="Times New Roman" w:cs="Times New Roman"/>
                <w:bCs/>
                <w:color w:val="000000" w:themeColor="text1"/>
                <w:sz w:val="20"/>
                <w:szCs w:val="20"/>
              </w:rPr>
            </w:pPr>
            <w:r w:rsidRPr="00FA6103">
              <w:rPr>
                <w:rFonts w:ascii="Times New Roman" w:eastAsia="Cambria" w:hAnsi="Times New Roman" w:cs="Times New Roman"/>
                <w:bCs/>
                <w:color w:val="000000" w:themeColor="text1"/>
                <w:sz w:val="20"/>
                <w:szCs w:val="20"/>
              </w:rPr>
              <w:t>(i)</w:t>
            </w:r>
          </w:p>
        </w:tc>
        <w:tc>
          <w:tcPr>
            <w:tcW w:w="0" w:type="auto"/>
            <w:tcBorders>
              <w:bottom w:val="single" w:sz="4" w:space="0" w:color="auto"/>
            </w:tcBorders>
            <w:shd w:val="clear" w:color="auto" w:fill="FFFFFF"/>
            <w:tcMar>
              <w:top w:w="30" w:type="dxa"/>
              <w:left w:w="30" w:type="dxa"/>
              <w:bottom w:w="30" w:type="dxa"/>
              <w:right w:w="30" w:type="dxa"/>
            </w:tcMar>
          </w:tcPr>
          <w:p w14:paraId="22962082" w14:textId="77777777" w:rsidR="00A63CD3" w:rsidRPr="00FA6103" w:rsidRDefault="00A63CD3" w:rsidP="0000060D">
            <w:pPr>
              <w:rPr>
                <w:rFonts w:ascii="Times New Roman" w:eastAsia="Cambria" w:hAnsi="Times New Roman" w:cs="Times New Roman"/>
                <w:bCs/>
                <w:color w:val="000000" w:themeColor="text1"/>
                <w:sz w:val="20"/>
                <w:szCs w:val="20"/>
              </w:rPr>
            </w:pPr>
            <w:r w:rsidRPr="00FA6103">
              <w:rPr>
                <w:rFonts w:ascii="Times New Roman" w:eastAsia="Cambria" w:hAnsi="Times New Roman" w:cs="Times New Roman"/>
                <w:bCs/>
                <w:color w:val="000000" w:themeColor="text1"/>
                <w:sz w:val="20"/>
                <w:szCs w:val="20"/>
              </w:rPr>
              <w:t>B</w:t>
            </w:r>
          </w:p>
          <w:p w14:paraId="7469E4BA" w14:textId="77777777" w:rsidR="00A63CD3" w:rsidRPr="00FA6103" w:rsidRDefault="00A63CD3" w:rsidP="0000060D">
            <w:pPr>
              <w:rPr>
                <w:rFonts w:ascii="Times New Roman" w:eastAsia="Cambria" w:hAnsi="Times New Roman" w:cs="Times New Roman"/>
                <w:bCs/>
                <w:color w:val="000000" w:themeColor="text1"/>
                <w:sz w:val="20"/>
                <w:szCs w:val="20"/>
              </w:rPr>
            </w:pPr>
            <w:r w:rsidRPr="00FA6103">
              <w:rPr>
                <w:rFonts w:ascii="Times New Roman" w:eastAsia="Cambria" w:hAnsi="Times New Roman" w:cs="Times New Roman"/>
                <w:bCs/>
                <w:color w:val="000000" w:themeColor="text1"/>
                <w:sz w:val="20"/>
                <w:szCs w:val="20"/>
              </w:rPr>
              <w:t xml:space="preserve"> (ii)</w:t>
            </w:r>
          </w:p>
        </w:tc>
        <w:tc>
          <w:tcPr>
            <w:tcW w:w="0" w:type="auto"/>
            <w:tcBorders>
              <w:bottom w:val="single" w:sz="4" w:space="0" w:color="auto"/>
            </w:tcBorders>
            <w:shd w:val="clear" w:color="auto" w:fill="FFFFFF"/>
            <w:tcMar>
              <w:top w:w="30" w:type="dxa"/>
              <w:left w:w="30" w:type="dxa"/>
              <w:bottom w:w="30" w:type="dxa"/>
              <w:right w:w="30" w:type="dxa"/>
            </w:tcMar>
          </w:tcPr>
          <w:p w14:paraId="1D78BB0B" w14:textId="77777777" w:rsidR="00A63CD3" w:rsidRPr="00FA6103" w:rsidRDefault="00A63CD3" w:rsidP="0000060D">
            <w:pPr>
              <w:rPr>
                <w:rFonts w:ascii="Times New Roman" w:eastAsia="Cambria" w:hAnsi="Times New Roman" w:cs="Times New Roman"/>
                <w:bCs/>
                <w:color w:val="000000" w:themeColor="text1"/>
                <w:sz w:val="20"/>
                <w:szCs w:val="20"/>
              </w:rPr>
            </w:pPr>
            <w:r w:rsidRPr="00FA6103">
              <w:rPr>
                <w:rFonts w:ascii="Times New Roman" w:eastAsia="Cambria" w:hAnsi="Times New Roman" w:cs="Times New Roman"/>
                <w:bCs/>
                <w:color w:val="000000" w:themeColor="text1"/>
                <w:sz w:val="20"/>
                <w:szCs w:val="20"/>
              </w:rPr>
              <w:t>C</w:t>
            </w:r>
          </w:p>
          <w:p w14:paraId="3BAC580F" w14:textId="77777777" w:rsidR="00A63CD3" w:rsidRPr="00FA6103" w:rsidRDefault="00A63CD3" w:rsidP="0000060D">
            <w:pPr>
              <w:rPr>
                <w:rFonts w:ascii="Times New Roman" w:eastAsia="Cambria" w:hAnsi="Times New Roman" w:cs="Times New Roman"/>
                <w:bCs/>
                <w:color w:val="000000" w:themeColor="text1"/>
                <w:sz w:val="20"/>
                <w:szCs w:val="20"/>
              </w:rPr>
            </w:pPr>
            <w:r w:rsidRPr="00FA6103">
              <w:rPr>
                <w:rFonts w:ascii="Times New Roman" w:eastAsia="Cambria" w:hAnsi="Times New Roman" w:cs="Times New Roman"/>
                <w:bCs/>
                <w:color w:val="000000" w:themeColor="text1"/>
                <w:sz w:val="20"/>
                <w:szCs w:val="20"/>
              </w:rPr>
              <w:t xml:space="preserve"> (iii)</w:t>
            </w:r>
          </w:p>
        </w:tc>
        <w:tc>
          <w:tcPr>
            <w:tcW w:w="0" w:type="auto"/>
            <w:tcBorders>
              <w:bottom w:val="single" w:sz="4" w:space="0" w:color="auto"/>
            </w:tcBorders>
            <w:shd w:val="clear" w:color="auto" w:fill="FFFFFF"/>
            <w:tcMar>
              <w:top w:w="30" w:type="dxa"/>
              <w:left w:w="30" w:type="dxa"/>
              <w:bottom w:w="30" w:type="dxa"/>
              <w:right w:w="30" w:type="dxa"/>
            </w:tcMar>
          </w:tcPr>
          <w:p w14:paraId="5DBB00BA" w14:textId="77777777" w:rsidR="00A63CD3" w:rsidRPr="00FA6103" w:rsidRDefault="00A63CD3" w:rsidP="0000060D">
            <w:pPr>
              <w:rPr>
                <w:rFonts w:ascii="Times New Roman" w:eastAsia="Cambria" w:hAnsi="Times New Roman" w:cs="Times New Roman"/>
                <w:bCs/>
                <w:color w:val="000000" w:themeColor="text1"/>
                <w:sz w:val="20"/>
                <w:szCs w:val="20"/>
              </w:rPr>
            </w:pPr>
            <w:r w:rsidRPr="00FA6103">
              <w:rPr>
                <w:rFonts w:ascii="Times New Roman" w:eastAsia="Cambria" w:hAnsi="Times New Roman" w:cs="Times New Roman"/>
                <w:bCs/>
                <w:color w:val="000000" w:themeColor="text1"/>
                <w:sz w:val="20"/>
                <w:szCs w:val="20"/>
              </w:rPr>
              <w:t xml:space="preserve">D </w:t>
            </w:r>
          </w:p>
          <w:p w14:paraId="6A17D222" w14:textId="77777777" w:rsidR="00A63CD3" w:rsidRPr="00FA6103" w:rsidRDefault="00A63CD3" w:rsidP="0000060D">
            <w:pPr>
              <w:rPr>
                <w:rFonts w:ascii="Times New Roman" w:eastAsia="Cambria" w:hAnsi="Times New Roman" w:cs="Times New Roman"/>
                <w:bCs/>
                <w:color w:val="000000" w:themeColor="text1"/>
                <w:sz w:val="20"/>
                <w:szCs w:val="20"/>
              </w:rPr>
            </w:pPr>
            <w:r w:rsidRPr="00FA6103">
              <w:rPr>
                <w:rFonts w:ascii="Times New Roman" w:eastAsia="Cambria" w:hAnsi="Times New Roman" w:cs="Times New Roman"/>
                <w:bCs/>
                <w:color w:val="000000" w:themeColor="text1"/>
                <w:sz w:val="20"/>
                <w:szCs w:val="20"/>
              </w:rPr>
              <w:t>(iv)</w:t>
            </w:r>
          </w:p>
        </w:tc>
        <w:tc>
          <w:tcPr>
            <w:tcW w:w="0" w:type="auto"/>
            <w:tcBorders>
              <w:bottom w:val="single" w:sz="4" w:space="0" w:color="auto"/>
            </w:tcBorders>
            <w:shd w:val="clear" w:color="auto" w:fill="FFFFFF"/>
            <w:tcMar>
              <w:top w:w="30" w:type="dxa"/>
              <w:left w:w="30" w:type="dxa"/>
              <w:bottom w:w="30" w:type="dxa"/>
              <w:right w:w="30" w:type="dxa"/>
            </w:tcMar>
          </w:tcPr>
          <w:p w14:paraId="2EE55824" w14:textId="77777777" w:rsidR="00A63CD3" w:rsidRPr="00FA6103" w:rsidRDefault="00A63CD3" w:rsidP="0000060D">
            <w:pPr>
              <w:rPr>
                <w:rFonts w:ascii="Times New Roman" w:eastAsia="Cambria" w:hAnsi="Times New Roman" w:cs="Times New Roman"/>
                <w:bCs/>
                <w:color w:val="000000" w:themeColor="text1"/>
                <w:sz w:val="20"/>
                <w:szCs w:val="20"/>
              </w:rPr>
            </w:pPr>
            <w:r w:rsidRPr="00FA6103">
              <w:rPr>
                <w:rFonts w:ascii="Times New Roman" w:eastAsia="Cambria" w:hAnsi="Times New Roman" w:cs="Times New Roman"/>
                <w:bCs/>
                <w:color w:val="000000" w:themeColor="text1"/>
                <w:sz w:val="20"/>
                <w:szCs w:val="20"/>
              </w:rPr>
              <w:t xml:space="preserve">E </w:t>
            </w:r>
          </w:p>
          <w:p w14:paraId="2F73253C" w14:textId="77777777" w:rsidR="00A63CD3" w:rsidRPr="00FA6103" w:rsidRDefault="00A63CD3" w:rsidP="0000060D">
            <w:pPr>
              <w:rPr>
                <w:rFonts w:ascii="Times New Roman" w:eastAsia="Cambria" w:hAnsi="Times New Roman" w:cs="Times New Roman"/>
                <w:bCs/>
                <w:color w:val="000000" w:themeColor="text1"/>
                <w:sz w:val="20"/>
                <w:szCs w:val="20"/>
              </w:rPr>
            </w:pPr>
            <w:r w:rsidRPr="00FA6103">
              <w:rPr>
                <w:rFonts w:ascii="Times New Roman" w:eastAsia="Cambria" w:hAnsi="Times New Roman" w:cs="Times New Roman"/>
                <w:bCs/>
                <w:color w:val="000000" w:themeColor="text1"/>
                <w:sz w:val="20"/>
                <w:szCs w:val="20"/>
              </w:rPr>
              <w:t>(v)</w:t>
            </w:r>
          </w:p>
        </w:tc>
        <w:tc>
          <w:tcPr>
            <w:tcW w:w="0" w:type="auto"/>
            <w:tcBorders>
              <w:bottom w:val="single" w:sz="4" w:space="0" w:color="auto"/>
            </w:tcBorders>
            <w:shd w:val="clear" w:color="auto" w:fill="FFFFFF"/>
            <w:tcMar>
              <w:top w:w="30" w:type="dxa"/>
              <w:left w:w="30" w:type="dxa"/>
              <w:bottom w:w="30" w:type="dxa"/>
              <w:right w:w="30" w:type="dxa"/>
            </w:tcMar>
          </w:tcPr>
          <w:p w14:paraId="6F684590" w14:textId="77777777" w:rsidR="00A63CD3" w:rsidRPr="00FA6103" w:rsidRDefault="00A63CD3" w:rsidP="0000060D">
            <w:pPr>
              <w:rPr>
                <w:rFonts w:ascii="Times New Roman" w:eastAsia="Cambria" w:hAnsi="Times New Roman" w:cs="Times New Roman"/>
                <w:bCs/>
                <w:color w:val="000000" w:themeColor="text1"/>
                <w:sz w:val="20"/>
                <w:szCs w:val="20"/>
              </w:rPr>
            </w:pPr>
            <w:r w:rsidRPr="00FA6103">
              <w:rPr>
                <w:rFonts w:ascii="Times New Roman" w:eastAsia="Cambria" w:hAnsi="Times New Roman" w:cs="Times New Roman"/>
                <w:bCs/>
                <w:color w:val="000000" w:themeColor="text1"/>
                <w:sz w:val="20"/>
                <w:szCs w:val="20"/>
              </w:rPr>
              <w:t xml:space="preserve">F </w:t>
            </w:r>
          </w:p>
          <w:p w14:paraId="0E418C31" w14:textId="77777777" w:rsidR="00A63CD3" w:rsidRPr="00FA6103" w:rsidRDefault="00A63CD3" w:rsidP="0000060D">
            <w:pPr>
              <w:rPr>
                <w:rFonts w:ascii="Times New Roman" w:eastAsia="Cambria" w:hAnsi="Times New Roman" w:cs="Times New Roman"/>
                <w:bCs/>
                <w:color w:val="000000" w:themeColor="text1"/>
                <w:sz w:val="20"/>
                <w:szCs w:val="20"/>
              </w:rPr>
            </w:pPr>
            <w:r w:rsidRPr="00FA6103">
              <w:rPr>
                <w:rFonts w:ascii="Times New Roman" w:eastAsia="Cambria" w:hAnsi="Times New Roman" w:cs="Times New Roman"/>
                <w:bCs/>
                <w:color w:val="000000" w:themeColor="text1"/>
                <w:sz w:val="20"/>
                <w:szCs w:val="20"/>
              </w:rPr>
              <w:t>(vi)</w:t>
            </w:r>
          </w:p>
        </w:tc>
        <w:tc>
          <w:tcPr>
            <w:tcW w:w="683" w:type="dxa"/>
            <w:tcBorders>
              <w:bottom w:val="single" w:sz="4" w:space="0" w:color="auto"/>
            </w:tcBorders>
            <w:shd w:val="clear" w:color="auto" w:fill="FFFFFF"/>
            <w:tcMar>
              <w:top w:w="30" w:type="dxa"/>
              <w:left w:w="30" w:type="dxa"/>
              <w:bottom w:w="30" w:type="dxa"/>
              <w:right w:w="30" w:type="dxa"/>
            </w:tcMar>
          </w:tcPr>
          <w:p w14:paraId="03ABF66B" w14:textId="77777777" w:rsidR="00A63CD3" w:rsidRPr="00FA6103" w:rsidRDefault="00A63CD3" w:rsidP="0000060D">
            <w:pPr>
              <w:rPr>
                <w:rFonts w:ascii="Times New Roman" w:eastAsia="Cambria" w:hAnsi="Times New Roman" w:cs="Times New Roman"/>
                <w:bCs/>
                <w:color w:val="000000" w:themeColor="text1"/>
                <w:sz w:val="20"/>
                <w:szCs w:val="20"/>
              </w:rPr>
            </w:pPr>
            <w:r w:rsidRPr="00FA6103">
              <w:rPr>
                <w:rFonts w:ascii="Times New Roman" w:eastAsia="Cambria" w:hAnsi="Times New Roman" w:cs="Times New Roman"/>
                <w:bCs/>
                <w:color w:val="000000" w:themeColor="text1"/>
                <w:sz w:val="20"/>
                <w:szCs w:val="20"/>
              </w:rPr>
              <w:t xml:space="preserve">G </w:t>
            </w:r>
          </w:p>
          <w:p w14:paraId="77190657" w14:textId="77777777" w:rsidR="00A63CD3" w:rsidRPr="00FA6103" w:rsidRDefault="00A63CD3" w:rsidP="0000060D">
            <w:pPr>
              <w:rPr>
                <w:rFonts w:ascii="Times New Roman" w:eastAsia="Cambria" w:hAnsi="Times New Roman" w:cs="Times New Roman"/>
                <w:bCs/>
                <w:color w:val="000000" w:themeColor="text1"/>
                <w:sz w:val="20"/>
                <w:szCs w:val="20"/>
              </w:rPr>
            </w:pPr>
            <w:r w:rsidRPr="00FA6103">
              <w:rPr>
                <w:rFonts w:ascii="Times New Roman" w:eastAsia="Cambria" w:hAnsi="Times New Roman" w:cs="Times New Roman"/>
                <w:bCs/>
                <w:color w:val="000000" w:themeColor="text1"/>
                <w:sz w:val="20"/>
                <w:szCs w:val="20"/>
              </w:rPr>
              <w:t>(vii)</w:t>
            </w:r>
          </w:p>
        </w:tc>
      </w:tr>
      <w:tr w:rsidR="00A63CD3" w:rsidRPr="00FA6103" w14:paraId="18AA8A63" w14:textId="77777777" w:rsidTr="0000060D">
        <w:trPr>
          <w:cantSplit/>
          <w:tblHeader/>
          <w:jc w:val="center"/>
        </w:trPr>
        <w:tc>
          <w:tcPr>
            <w:tcW w:w="235" w:type="dxa"/>
            <w:tcBorders>
              <w:top w:val="single" w:sz="4" w:space="0" w:color="auto"/>
            </w:tcBorders>
            <w:shd w:val="clear" w:color="auto" w:fill="FFFFFF"/>
            <w:tcMar>
              <w:top w:w="30" w:type="dxa"/>
              <w:left w:w="30" w:type="dxa"/>
              <w:bottom w:w="30" w:type="dxa"/>
              <w:right w:w="30" w:type="dxa"/>
            </w:tcMar>
          </w:tcPr>
          <w:p w14:paraId="42F48105"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(i)</w:t>
            </w:r>
          </w:p>
        </w:tc>
        <w:tc>
          <w:tcPr>
            <w:tcW w:w="2491" w:type="dxa"/>
            <w:tcBorders>
              <w:top w:val="single" w:sz="4" w:space="0" w:color="auto"/>
            </w:tcBorders>
            <w:shd w:val="clear" w:color="auto" w:fill="FFFFFF"/>
            <w:tcMar>
              <w:top w:w="30" w:type="dxa"/>
              <w:left w:w="30" w:type="dxa"/>
              <w:bottom w:w="30" w:type="dxa"/>
              <w:right w:w="30" w:type="dxa"/>
            </w:tcMar>
          </w:tcPr>
          <w:p w14:paraId="39068112"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Gender (A)</w:t>
            </w:r>
          </w:p>
        </w:tc>
        <w:tc>
          <w:tcPr>
            <w:tcW w:w="685" w:type="dxa"/>
            <w:tcBorders>
              <w:top w:val="single" w:sz="4" w:space="0" w:color="auto"/>
            </w:tcBorders>
            <w:shd w:val="clear" w:color="auto" w:fill="FFFFFF"/>
            <w:tcMar>
              <w:top w:w="30" w:type="dxa"/>
              <w:left w:w="30" w:type="dxa"/>
              <w:bottom w:w="30" w:type="dxa"/>
              <w:right w:w="30" w:type="dxa"/>
            </w:tcMar>
            <w:vAlign w:val="center"/>
          </w:tcPr>
          <w:p w14:paraId="49926ABA"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w:t>
            </w:r>
          </w:p>
        </w:tc>
        <w:tc>
          <w:tcPr>
            <w:tcW w:w="0" w:type="auto"/>
            <w:tcBorders>
              <w:top w:val="single" w:sz="4" w:space="0" w:color="auto"/>
            </w:tcBorders>
            <w:shd w:val="clear" w:color="auto" w:fill="FFFFFF"/>
            <w:tcMar>
              <w:top w:w="30" w:type="dxa"/>
              <w:left w:w="30" w:type="dxa"/>
              <w:bottom w:w="30" w:type="dxa"/>
              <w:right w:w="30" w:type="dxa"/>
            </w:tcMar>
            <w:vAlign w:val="center"/>
          </w:tcPr>
          <w:p w14:paraId="11153D96"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0" w:type="auto"/>
            <w:tcBorders>
              <w:top w:val="single" w:sz="4" w:space="0" w:color="auto"/>
            </w:tcBorders>
            <w:shd w:val="clear" w:color="auto" w:fill="FFFFFF"/>
            <w:tcMar>
              <w:top w:w="30" w:type="dxa"/>
              <w:left w:w="30" w:type="dxa"/>
              <w:bottom w:w="30" w:type="dxa"/>
              <w:right w:w="30" w:type="dxa"/>
            </w:tcMar>
            <w:vAlign w:val="center"/>
          </w:tcPr>
          <w:p w14:paraId="76E85910"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0" w:type="auto"/>
            <w:tcBorders>
              <w:top w:val="single" w:sz="4" w:space="0" w:color="auto"/>
            </w:tcBorders>
            <w:shd w:val="clear" w:color="auto" w:fill="FFFFFF"/>
            <w:tcMar>
              <w:top w:w="30" w:type="dxa"/>
              <w:left w:w="30" w:type="dxa"/>
              <w:bottom w:w="30" w:type="dxa"/>
              <w:right w:w="30" w:type="dxa"/>
            </w:tcMar>
            <w:vAlign w:val="center"/>
          </w:tcPr>
          <w:p w14:paraId="4AADB625"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0" w:type="auto"/>
            <w:tcBorders>
              <w:top w:val="single" w:sz="4" w:space="0" w:color="auto"/>
            </w:tcBorders>
            <w:shd w:val="clear" w:color="auto" w:fill="FFFFFF"/>
            <w:tcMar>
              <w:top w:w="30" w:type="dxa"/>
              <w:left w:w="30" w:type="dxa"/>
              <w:bottom w:w="30" w:type="dxa"/>
              <w:right w:w="30" w:type="dxa"/>
            </w:tcMar>
            <w:vAlign w:val="center"/>
          </w:tcPr>
          <w:p w14:paraId="053182AF"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0" w:type="auto"/>
            <w:tcBorders>
              <w:top w:val="single" w:sz="4" w:space="0" w:color="auto"/>
            </w:tcBorders>
            <w:shd w:val="clear" w:color="auto" w:fill="FFFFFF"/>
            <w:tcMar>
              <w:top w:w="30" w:type="dxa"/>
              <w:left w:w="30" w:type="dxa"/>
              <w:bottom w:w="30" w:type="dxa"/>
              <w:right w:w="30" w:type="dxa"/>
            </w:tcMar>
            <w:vAlign w:val="center"/>
          </w:tcPr>
          <w:p w14:paraId="576F33DD"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683" w:type="dxa"/>
            <w:tcBorders>
              <w:top w:val="single" w:sz="4" w:space="0" w:color="auto"/>
            </w:tcBorders>
            <w:shd w:val="clear" w:color="auto" w:fill="FFFFFF"/>
            <w:tcMar>
              <w:top w:w="30" w:type="dxa"/>
              <w:left w:w="30" w:type="dxa"/>
              <w:bottom w:w="30" w:type="dxa"/>
              <w:right w:w="30" w:type="dxa"/>
            </w:tcMar>
            <w:vAlign w:val="center"/>
          </w:tcPr>
          <w:p w14:paraId="60257947"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r>
      <w:tr w:rsidR="00A63CD3" w:rsidRPr="00FA6103" w14:paraId="2E214C3B" w14:textId="77777777" w:rsidTr="0000060D">
        <w:trPr>
          <w:cantSplit/>
          <w:tblHeader/>
          <w:jc w:val="center"/>
        </w:trPr>
        <w:tc>
          <w:tcPr>
            <w:tcW w:w="235" w:type="dxa"/>
            <w:shd w:val="clear" w:color="auto" w:fill="FFFFFF"/>
            <w:tcMar>
              <w:top w:w="30" w:type="dxa"/>
              <w:left w:w="30" w:type="dxa"/>
              <w:bottom w:w="30" w:type="dxa"/>
              <w:right w:w="30" w:type="dxa"/>
            </w:tcMar>
          </w:tcPr>
          <w:p w14:paraId="618BB986"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(ii)</w:t>
            </w:r>
          </w:p>
        </w:tc>
        <w:tc>
          <w:tcPr>
            <w:tcW w:w="2491" w:type="dxa"/>
            <w:shd w:val="clear" w:color="auto" w:fill="FFFFFF"/>
            <w:tcMar>
              <w:top w:w="30" w:type="dxa"/>
              <w:left w:w="30" w:type="dxa"/>
              <w:bottom w:w="30" w:type="dxa"/>
              <w:right w:w="30" w:type="dxa"/>
            </w:tcMar>
          </w:tcPr>
          <w:p w14:paraId="48594769"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Age (B)</w:t>
            </w:r>
          </w:p>
        </w:tc>
        <w:tc>
          <w:tcPr>
            <w:tcW w:w="685" w:type="dxa"/>
            <w:shd w:val="clear" w:color="auto" w:fill="FFFFFF"/>
            <w:tcMar>
              <w:top w:w="30" w:type="dxa"/>
              <w:left w:w="30" w:type="dxa"/>
              <w:bottom w:w="30" w:type="dxa"/>
              <w:right w:w="30" w:type="dxa"/>
            </w:tcMar>
            <w:vAlign w:val="center"/>
          </w:tcPr>
          <w:p w14:paraId="2415590B"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-.218</w:t>
            </w:r>
          </w:p>
        </w:tc>
        <w:tc>
          <w:tcPr>
            <w:tcW w:w="0" w:type="auto"/>
            <w:shd w:val="clear" w:color="auto" w:fill="FFFFFF"/>
            <w:tcMar>
              <w:top w:w="30" w:type="dxa"/>
              <w:left w:w="30" w:type="dxa"/>
              <w:bottom w:w="30" w:type="dxa"/>
              <w:right w:w="30" w:type="dxa"/>
            </w:tcMar>
            <w:vAlign w:val="center"/>
          </w:tcPr>
          <w:p w14:paraId="6205C2ED"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w:t>
            </w:r>
          </w:p>
        </w:tc>
        <w:tc>
          <w:tcPr>
            <w:tcW w:w="0" w:type="auto"/>
            <w:shd w:val="clear" w:color="auto" w:fill="FFFFFF"/>
            <w:tcMar>
              <w:top w:w="30" w:type="dxa"/>
              <w:left w:w="30" w:type="dxa"/>
              <w:bottom w:w="30" w:type="dxa"/>
              <w:right w:w="30" w:type="dxa"/>
            </w:tcMar>
            <w:vAlign w:val="center"/>
          </w:tcPr>
          <w:p w14:paraId="1213E653"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0" w:type="auto"/>
            <w:shd w:val="clear" w:color="auto" w:fill="FFFFFF"/>
            <w:tcMar>
              <w:top w:w="30" w:type="dxa"/>
              <w:left w:w="30" w:type="dxa"/>
              <w:bottom w:w="30" w:type="dxa"/>
              <w:right w:w="30" w:type="dxa"/>
            </w:tcMar>
            <w:vAlign w:val="center"/>
          </w:tcPr>
          <w:p w14:paraId="2077CB08"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0" w:type="auto"/>
            <w:shd w:val="clear" w:color="auto" w:fill="FFFFFF"/>
            <w:tcMar>
              <w:top w:w="30" w:type="dxa"/>
              <w:left w:w="30" w:type="dxa"/>
              <w:bottom w:w="30" w:type="dxa"/>
              <w:right w:w="30" w:type="dxa"/>
            </w:tcMar>
            <w:vAlign w:val="center"/>
          </w:tcPr>
          <w:p w14:paraId="2EB4B352"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0" w:type="auto"/>
            <w:shd w:val="clear" w:color="auto" w:fill="FFFFFF"/>
            <w:tcMar>
              <w:top w:w="30" w:type="dxa"/>
              <w:left w:w="30" w:type="dxa"/>
              <w:bottom w:w="30" w:type="dxa"/>
              <w:right w:w="30" w:type="dxa"/>
            </w:tcMar>
            <w:vAlign w:val="center"/>
          </w:tcPr>
          <w:p w14:paraId="65501A38"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683" w:type="dxa"/>
            <w:shd w:val="clear" w:color="auto" w:fill="FFFFFF"/>
            <w:tcMar>
              <w:top w:w="30" w:type="dxa"/>
              <w:left w:w="30" w:type="dxa"/>
              <w:bottom w:w="30" w:type="dxa"/>
              <w:right w:w="30" w:type="dxa"/>
            </w:tcMar>
            <w:vAlign w:val="center"/>
          </w:tcPr>
          <w:p w14:paraId="4D0AB07B"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r>
      <w:tr w:rsidR="00A63CD3" w:rsidRPr="00FA6103" w14:paraId="0107A23B" w14:textId="77777777" w:rsidTr="0000060D">
        <w:trPr>
          <w:cantSplit/>
          <w:tblHeader/>
          <w:jc w:val="center"/>
        </w:trPr>
        <w:tc>
          <w:tcPr>
            <w:tcW w:w="235" w:type="dxa"/>
            <w:shd w:val="clear" w:color="auto" w:fill="FFFFFF"/>
            <w:tcMar>
              <w:top w:w="30" w:type="dxa"/>
              <w:left w:w="30" w:type="dxa"/>
              <w:bottom w:w="30" w:type="dxa"/>
              <w:right w:w="30" w:type="dxa"/>
            </w:tcMar>
          </w:tcPr>
          <w:p w14:paraId="4E763C57"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(iii)</w:t>
            </w:r>
          </w:p>
        </w:tc>
        <w:tc>
          <w:tcPr>
            <w:tcW w:w="2491" w:type="dxa"/>
            <w:shd w:val="clear" w:color="auto" w:fill="FFFFFF"/>
            <w:tcMar>
              <w:top w:w="30" w:type="dxa"/>
              <w:left w:w="30" w:type="dxa"/>
              <w:bottom w:w="30" w:type="dxa"/>
              <w:right w:w="30" w:type="dxa"/>
            </w:tcMar>
          </w:tcPr>
          <w:p w14:paraId="28F5A555"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Occupation(C)</w:t>
            </w:r>
          </w:p>
        </w:tc>
        <w:tc>
          <w:tcPr>
            <w:tcW w:w="685" w:type="dxa"/>
            <w:shd w:val="clear" w:color="auto" w:fill="FFFFFF"/>
            <w:tcMar>
              <w:top w:w="30" w:type="dxa"/>
              <w:left w:w="30" w:type="dxa"/>
              <w:bottom w:w="30" w:type="dxa"/>
              <w:right w:w="30" w:type="dxa"/>
            </w:tcMar>
            <w:vAlign w:val="center"/>
          </w:tcPr>
          <w:p w14:paraId="72D46B8B"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.323</w:t>
            </w:r>
          </w:p>
        </w:tc>
        <w:tc>
          <w:tcPr>
            <w:tcW w:w="0" w:type="auto"/>
            <w:shd w:val="clear" w:color="auto" w:fill="FFFFFF"/>
            <w:tcMar>
              <w:top w:w="30" w:type="dxa"/>
              <w:left w:w="30" w:type="dxa"/>
              <w:bottom w:w="30" w:type="dxa"/>
              <w:right w:w="30" w:type="dxa"/>
            </w:tcMar>
            <w:vAlign w:val="center"/>
          </w:tcPr>
          <w:p w14:paraId="5A2EA024"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.464</w:t>
            </w:r>
            <w:r w:rsidRPr="00FA6103">
              <w:rPr>
                <w:rFonts w:ascii="Times New Roman" w:eastAsia="Calibri" w:hAnsi="Times New Roman" w:cs="Times New Roman"/>
                <w:color w:val="000000" w:themeColor="text1"/>
                <w:sz w:val="20"/>
                <w:szCs w:val="20"/>
                <w:vertAlign w:val="superscript"/>
              </w:rPr>
              <w:t>*</w:t>
            </w:r>
          </w:p>
        </w:tc>
        <w:tc>
          <w:tcPr>
            <w:tcW w:w="0" w:type="auto"/>
            <w:shd w:val="clear" w:color="auto" w:fill="FFFFFF"/>
            <w:tcMar>
              <w:top w:w="30" w:type="dxa"/>
              <w:left w:w="30" w:type="dxa"/>
              <w:bottom w:w="30" w:type="dxa"/>
              <w:right w:w="30" w:type="dxa"/>
            </w:tcMar>
            <w:vAlign w:val="center"/>
          </w:tcPr>
          <w:p w14:paraId="49C26D9A"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w:t>
            </w:r>
          </w:p>
        </w:tc>
        <w:tc>
          <w:tcPr>
            <w:tcW w:w="0" w:type="auto"/>
            <w:shd w:val="clear" w:color="auto" w:fill="FFFFFF"/>
            <w:tcMar>
              <w:top w:w="30" w:type="dxa"/>
              <w:left w:w="30" w:type="dxa"/>
              <w:bottom w:w="30" w:type="dxa"/>
              <w:right w:w="30" w:type="dxa"/>
            </w:tcMar>
            <w:vAlign w:val="center"/>
          </w:tcPr>
          <w:p w14:paraId="42F395B2"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0" w:type="auto"/>
            <w:shd w:val="clear" w:color="auto" w:fill="FFFFFF"/>
            <w:tcMar>
              <w:top w:w="30" w:type="dxa"/>
              <w:left w:w="30" w:type="dxa"/>
              <w:bottom w:w="30" w:type="dxa"/>
              <w:right w:w="30" w:type="dxa"/>
            </w:tcMar>
            <w:vAlign w:val="center"/>
          </w:tcPr>
          <w:p w14:paraId="15C2A4F5"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0" w:type="auto"/>
            <w:shd w:val="clear" w:color="auto" w:fill="FFFFFF"/>
            <w:tcMar>
              <w:top w:w="30" w:type="dxa"/>
              <w:left w:w="30" w:type="dxa"/>
              <w:bottom w:w="30" w:type="dxa"/>
              <w:right w:w="30" w:type="dxa"/>
            </w:tcMar>
            <w:vAlign w:val="center"/>
          </w:tcPr>
          <w:p w14:paraId="673F15EE"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683" w:type="dxa"/>
            <w:shd w:val="clear" w:color="auto" w:fill="FFFFFF"/>
            <w:tcMar>
              <w:top w:w="30" w:type="dxa"/>
              <w:left w:w="30" w:type="dxa"/>
              <w:bottom w:w="30" w:type="dxa"/>
              <w:right w:w="30" w:type="dxa"/>
            </w:tcMar>
            <w:vAlign w:val="center"/>
          </w:tcPr>
          <w:p w14:paraId="7A393DE0"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r>
      <w:tr w:rsidR="00A63CD3" w:rsidRPr="00FA6103" w14:paraId="30D6376C" w14:textId="77777777" w:rsidTr="0000060D">
        <w:trPr>
          <w:cantSplit/>
          <w:tblHeader/>
          <w:jc w:val="center"/>
        </w:trPr>
        <w:tc>
          <w:tcPr>
            <w:tcW w:w="235" w:type="dxa"/>
            <w:shd w:val="clear" w:color="auto" w:fill="FFFFFF"/>
            <w:tcMar>
              <w:top w:w="30" w:type="dxa"/>
              <w:left w:w="30" w:type="dxa"/>
              <w:bottom w:w="30" w:type="dxa"/>
              <w:right w:w="30" w:type="dxa"/>
            </w:tcMar>
          </w:tcPr>
          <w:p w14:paraId="1CE75B9F"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(iv)</w:t>
            </w:r>
          </w:p>
        </w:tc>
        <w:tc>
          <w:tcPr>
            <w:tcW w:w="2491" w:type="dxa"/>
            <w:shd w:val="clear" w:color="auto" w:fill="FFFFFF"/>
            <w:tcMar>
              <w:top w:w="30" w:type="dxa"/>
              <w:left w:w="30" w:type="dxa"/>
              <w:bottom w:w="30" w:type="dxa"/>
              <w:right w:w="30" w:type="dxa"/>
            </w:tcMar>
          </w:tcPr>
          <w:p w14:paraId="72B2A05A"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Education Qualification (D)</w:t>
            </w:r>
          </w:p>
        </w:tc>
        <w:tc>
          <w:tcPr>
            <w:tcW w:w="685" w:type="dxa"/>
            <w:shd w:val="clear" w:color="auto" w:fill="FFFFFF"/>
            <w:tcMar>
              <w:top w:w="30" w:type="dxa"/>
              <w:left w:w="30" w:type="dxa"/>
              <w:bottom w:w="30" w:type="dxa"/>
              <w:right w:w="30" w:type="dxa"/>
            </w:tcMar>
            <w:vAlign w:val="center"/>
          </w:tcPr>
          <w:p w14:paraId="49BE8DE0"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-.005</w:t>
            </w:r>
          </w:p>
        </w:tc>
        <w:tc>
          <w:tcPr>
            <w:tcW w:w="0" w:type="auto"/>
            <w:shd w:val="clear" w:color="auto" w:fill="FFFFFF"/>
            <w:tcMar>
              <w:top w:w="30" w:type="dxa"/>
              <w:left w:w="30" w:type="dxa"/>
              <w:bottom w:w="30" w:type="dxa"/>
              <w:right w:w="30" w:type="dxa"/>
            </w:tcMar>
            <w:vAlign w:val="center"/>
          </w:tcPr>
          <w:p w14:paraId="2E559F45"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.714</w:t>
            </w:r>
            <w:r w:rsidRPr="00FA6103">
              <w:rPr>
                <w:rFonts w:ascii="Times New Roman" w:eastAsia="Calibri" w:hAnsi="Times New Roman" w:cs="Times New Roman"/>
                <w:color w:val="000000" w:themeColor="text1"/>
                <w:sz w:val="20"/>
                <w:szCs w:val="20"/>
                <w:vertAlign w:val="superscript"/>
              </w:rPr>
              <w:t>**</w:t>
            </w:r>
          </w:p>
        </w:tc>
        <w:tc>
          <w:tcPr>
            <w:tcW w:w="0" w:type="auto"/>
            <w:shd w:val="clear" w:color="auto" w:fill="FFFFFF"/>
            <w:tcMar>
              <w:top w:w="30" w:type="dxa"/>
              <w:left w:w="30" w:type="dxa"/>
              <w:bottom w:w="30" w:type="dxa"/>
              <w:right w:w="30" w:type="dxa"/>
            </w:tcMar>
            <w:vAlign w:val="center"/>
          </w:tcPr>
          <w:p w14:paraId="25CBEC31"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.835</w:t>
            </w:r>
            <w:r w:rsidRPr="00FA6103">
              <w:rPr>
                <w:rFonts w:ascii="Times New Roman" w:eastAsia="Calibri" w:hAnsi="Times New Roman" w:cs="Times New Roman"/>
                <w:color w:val="000000" w:themeColor="text1"/>
                <w:sz w:val="20"/>
                <w:szCs w:val="20"/>
                <w:vertAlign w:val="superscript"/>
              </w:rPr>
              <w:t>**</w:t>
            </w:r>
          </w:p>
        </w:tc>
        <w:tc>
          <w:tcPr>
            <w:tcW w:w="0" w:type="auto"/>
            <w:shd w:val="clear" w:color="auto" w:fill="FFFFFF"/>
            <w:tcMar>
              <w:top w:w="30" w:type="dxa"/>
              <w:left w:w="30" w:type="dxa"/>
              <w:bottom w:w="30" w:type="dxa"/>
              <w:right w:w="30" w:type="dxa"/>
            </w:tcMar>
            <w:vAlign w:val="center"/>
          </w:tcPr>
          <w:p w14:paraId="1B30CA47"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w:t>
            </w:r>
          </w:p>
        </w:tc>
        <w:tc>
          <w:tcPr>
            <w:tcW w:w="0" w:type="auto"/>
            <w:shd w:val="clear" w:color="auto" w:fill="FFFFFF"/>
            <w:tcMar>
              <w:top w:w="30" w:type="dxa"/>
              <w:left w:w="30" w:type="dxa"/>
              <w:bottom w:w="30" w:type="dxa"/>
              <w:right w:w="30" w:type="dxa"/>
            </w:tcMar>
            <w:vAlign w:val="center"/>
          </w:tcPr>
          <w:p w14:paraId="39CCBB4B"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0" w:type="auto"/>
            <w:shd w:val="clear" w:color="auto" w:fill="FFFFFF"/>
            <w:tcMar>
              <w:top w:w="30" w:type="dxa"/>
              <w:left w:w="30" w:type="dxa"/>
              <w:bottom w:w="30" w:type="dxa"/>
              <w:right w:w="30" w:type="dxa"/>
            </w:tcMar>
            <w:vAlign w:val="center"/>
          </w:tcPr>
          <w:p w14:paraId="7E39FA3E"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683" w:type="dxa"/>
            <w:shd w:val="clear" w:color="auto" w:fill="FFFFFF"/>
            <w:tcMar>
              <w:top w:w="30" w:type="dxa"/>
              <w:left w:w="30" w:type="dxa"/>
              <w:bottom w:w="30" w:type="dxa"/>
              <w:right w:w="30" w:type="dxa"/>
            </w:tcMar>
            <w:vAlign w:val="center"/>
          </w:tcPr>
          <w:p w14:paraId="1142201A"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r>
      <w:tr w:rsidR="00A63CD3" w:rsidRPr="00FA6103" w14:paraId="2CA5B383" w14:textId="77777777" w:rsidTr="0000060D">
        <w:trPr>
          <w:cantSplit/>
          <w:tblHeader/>
          <w:jc w:val="center"/>
        </w:trPr>
        <w:tc>
          <w:tcPr>
            <w:tcW w:w="235" w:type="dxa"/>
            <w:shd w:val="clear" w:color="auto" w:fill="FFFFFF"/>
            <w:tcMar>
              <w:top w:w="30" w:type="dxa"/>
              <w:left w:w="30" w:type="dxa"/>
              <w:bottom w:w="30" w:type="dxa"/>
              <w:right w:w="30" w:type="dxa"/>
            </w:tcMar>
          </w:tcPr>
          <w:p w14:paraId="251909FF"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(v)</w:t>
            </w:r>
          </w:p>
        </w:tc>
        <w:tc>
          <w:tcPr>
            <w:tcW w:w="2491" w:type="dxa"/>
            <w:shd w:val="clear" w:color="auto" w:fill="FFFFFF"/>
            <w:tcMar>
              <w:top w:w="30" w:type="dxa"/>
              <w:left w:w="30" w:type="dxa"/>
              <w:bottom w:w="30" w:type="dxa"/>
              <w:right w:w="30" w:type="dxa"/>
            </w:tcMar>
          </w:tcPr>
          <w:p w14:paraId="4CA1345B"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Marital Status(E)</w:t>
            </w:r>
          </w:p>
        </w:tc>
        <w:tc>
          <w:tcPr>
            <w:tcW w:w="685" w:type="dxa"/>
            <w:shd w:val="clear" w:color="auto" w:fill="FFFFFF"/>
            <w:tcMar>
              <w:top w:w="30" w:type="dxa"/>
              <w:left w:w="30" w:type="dxa"/>
              <w:bottom w:w="30" w:type="dxa"/>
              <w:right w:w="30" w:type="dxa"/>
            </w:tcMar>
            <w:vAlign w:val="center"/>
          </w:tcPr>
          <w:p w14:paraId="5F627427"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-.343</w:t>
            </w:r>
          </w:p>
        </w:tc>
        <w:tc>
          <w:tcPr>
            <w:tcW w:w="0" w:type="auto"/>
            <w:shd w:val="clear" w:color="auto" w:fill="FFFFFF"/>
            <w:tcMar>
              <w:top w:w="30" w:type="dxa"/>
              <w:left w:w="30" w:type="dxa"/>
              <w:bottom w:w="30" w:type="dxa"/>
              <w:right w:w="30" w:type="dxa"/>
            </w:tcMar>
            <w:vAlign w:val="center"/>
          </w:tcPr>
          <w:p w14:paraId="5F0EE7FD"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.955</w:t>
            </w:r>
            <w:r w:rsidRPr="00FA6103">
              <w:rPr>
                <w:rFonts w:ascii="Times New Roman" w:eastAsia="Calibri" w:hAnsi="Times New Roman" w:cs="Times New Roman"/>
                <w:color w:val="000000" w:themeColor="text1"/>
                <w:sz w:val="20"/>
                <w:szCs w:val="20"/>
                <w:vertAlign w:val="superscript"/>
              </w:rPr>
              <w:t>**</w:t>
            </w:r>
          </w:p>
        </w:tc>
        <w:tc>
          <w:tcPr>
            <w:tcW w:w="0" w:type="auto"/>
            <w:shd w:val="clear" w:color="auto" w:fill="FFFFFF"/>
            <w:tcMar>
              <w:top w:w="30" w:type="dxa"/>
              <w:left w:w="30" w:type="dxa"/>
              <w:bottom w:w="30" w:type="dxa"/>
              <w:right w:w="30" w:type="dxa"/>
            </w:tcMar>
            <w:vAlign w:val="center"/>
          </w:tcPr>
          <w:p w14:paraId="59E6BD5C"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.367</w:t>
            </w:r>
          </w:p>
        </w:tc>
        <w:tc>
          <w:tcPr>
            <w:tcW w:w="0" w:type="auto"/>
            <w:shd w:val="clear" w:color="auto" w:fill="FFFFFF"/>
            <w:tcMar>
              <w:top w:w="30" w:type="dxa"/>
              <w:left w:w="30" w:type="dxa"/>
              <w:bottom w:w="30" w:type="dxa"/>
              <w:right w:w="30" w:type="dxa"/>
            </w:tcMar>
            <w:vAlign w:val="center"/>
          </w:tcPr>
          <w:p w14:paraId="03FB5435"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.679</w:t>
            </w:r>
            <w:r w:rsidRPr="00FA6103">
              <w:rPr>
                <w:rFonts w:ascii="Times New Roman" w:eastAsia="Calibri" w:hAnsi="Times New Roman" w:cs="Times New Roman"/>
                <w:color w:val="000000" w:themeColor="text1"/>
                <w:sz w:val="20"/>
                <w:szCs w:val="20"/>
                <w:vertAlign w:val="superscript"/>
              </w:rPr>
              <w:t>**</w:t>
            </w:r>
          </w:p>
        </w:tc>
        <w:tc>
          <w:tcPr>
            <w:tcW w:w="0" w:type="auto"/>
            <w:shd w:val="clear" w:color="auto" w:fill="FFFFFF"/>
            <w:tcMar>
              <w:top w:w="30" w:type="dxa"/>
              <w:left w:w="30" w:type="dxa"/>
              <w:bottom w:w="30" w:type="dxa"/>
              <w:right w:w="30" w:type="dxa"/>
            </w:tcMar>
            <w:vAlign w:val="center"/>
          </w:tcPr>
          <w:p w14:paraId="5BDA2A4D"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w:t>
            </w:r>
          </w:p>
        </w:tc>
        <w:tc>
          <w:tcPr>
            <w:tcW w:w="0" w:type="auto"/>
            <w:shd w:val="clear" w:color="auto" w:fill="FFFFFF"/>
            <w:tcMar>
              <w:top w:w="30" w:type="dxa"/>
              <w:left w:w="30" w:type="dxa"/>
              <w:bottom w:w="30" w:type="dxa"/>
              <w:right w:w="30" w:type="dxa"/>
            </w:tcMar>
            <w:vAlign w:val="center"/>
          </w:tcPr>
          <w:p w14:paraId="5B95BCE3"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c>
          <w:tcPr>
            <w:tcW w:w="683" w:type="dxa"/>
            <w:shd w:val="clear" w:color="auto" w:fill="FFFFFF"/>
            <w:tcMar>
              <w:top w:w="30" w:type="dxa"/>
              <w:left w:w="30" w:type="dxa"/>
              <w:bottom w:w="30" w:type="dxa"/>
              <w:right w:w="30" w:type="dxa"/>
            </w:tcMar>
            <w:vAlign w:val="center"/>
          </w:tcPr>
          <w:p w14:paraId="1A7C4668"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r>
      <w:tr w:rsidR="00A63CD3" w:rsidRPr="00FA6103" w14:paraId="5E698293" w14:textId="77777777" w:rsidTr="0000060D">
        <w:trPr>
          <w:cantSplit/>
          <w:tblHeader/>
          <w:jc w:val="center"/>
        </w:trPr>
        <w:tc>
          <w:tcPr>
            <w:tcW w:w="235" w:type="dxa"/>
            <w:shd w:val="clear" w:color="auto" w:fill="FFFFFF"/>
            <w:tcMar>
              <w:top w:w="30" w:type="dxa"/>
              <w:left w:w="30" w:type="dxa"/>
              <w:bottom w:w="30" w:type="dxa"/>
              <w:right w:w="30" w:type="dxa"/>
            </w:tcMar>
          </w:tcPr>
          <w:p w14:paraId="6BE4771D"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(vi)</w:t>
            </w:r>
          </w:p>
        </w:tc>
        <w:tc>
          <w:tcPr>
            <w:tcW w:w="2491" w:type="dxa"/>
            <w:shd w:val="clear" w:color="auto" w:fill="FFFFFF"/>
            <w:tcMar>
              <w:top w:w="30" w:type="dxa"/>
              <w:left w:w="30" w:type="dxa"/>
              <w:bottom w:w="30" w:type="dxa"/>
              <w:right w:w="30" w:type="dxa"/>
            </w:tcMar>
          </w:tcPr>
          <w:p w14:paraId="36BA7B29"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Monthly Income Range (F)</w:t>
            </w:r>
          </w:p>
        </w:tc>
        <w:tc>
          <w:tcPr>
            <w:tcW w:w="685" w:type="dxa"/>
            <w:shd w:val="clear" w:color="auto" w:fill="FFFFFF"/>
            <w:tcMar>
              <w:top w:w="30" w:type="dxa"/>
              <w:left w:w="30" w:type="dxa"/>
              <w:bottom w:w="30" w:type="dxa"/>
              <w:right w:w="30" w:type="dxa"/>
            </w:tcMar>
            <w:vAlign w:val="center"/>
          </w:tcPr>
          <w:p w14:paraId="2B13B5D4"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.134</w:t>
            </w:r>
          </w:p>
        </w:tc>
        <w:tc>
          <w:tcPr>
            <w:tcW w:w="0" w:type="auto"/>
            <w:shd w:val="clear" w:color="auto" w:fill="FFFFFF"/>
            <w:tcMar>
              <w:top w:w="30" w:type="dxa"/>
              <w:left w:w="30" w:type="dxa"/>
              <w:bottom w:w="30" w:type="dxa"/>
              <w:right w:w="30" w:type="dxa"/>
            </w:tcMar>
            <w:vAlign w:val="center"/>
          </w:tcPr>
          <w:p w14:paraId="2E334901"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.557</w:t>
            </w:r>
            <w:r w:rsidRPr="00FA6103">
              <w:rPr>
                <w:rFonts w:ascii="Times New Roman" w:eastAsia="Calibri" w:hAnsi="Times New Roman" w:cs="Times New Roman"/>
                <w:color w:val="000000" w:themeColor="text1"/>
                <w:sz w:val="20"/>
                <w:szCs w:val="20"/>
                <w:vertAlign w:val="superscript"/>
              </w:rPr>
              <w:t>**</w:t>
            </w:r>
          </w:p>
        </w:tc>
        <w:tc>
          <w:tcPr>
            <w:tcW w:w="0" w:type="auto"/>
            <w:shd w:val="clear" w:color="auto" w:fill="FFFFFF"/>
            <w:tcMar>
              <w:top w:w="30" w:type="dxa"/>
              <w:left w:w="30" w:type="dxa"/>
              <w:bottom w:w="30" w:type="dxa"/>
              <w:right w:w="30" w:type="dxa"/>
            </w:tcMar>
            <w:vAlign w:val="center"/>
          </w:tcPr>
          <w:p w14:paraId="00846DAE"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.179</w:t>
            </w:r>
          </w:p>
        </w:tc>
        <w:tc>
          <w:tcPr>
            <w:tcW w:w="0" w:type="auto"/>
            <w:shd w:val="clear" w:color="auto" w:fill="FFFFFF"/>
            <w:tcMar>
              <w:top w:w="30" w:type="dxa"/>
              <w:left w:w="30" w:type="dxa"/>
              <w:bottom w:w="30" w:type="dxa"/>
              <w:right w:w="30" w:type="dxa"/>
            </w:tcMar>
            <w:vAlign w:val="center"/>
          </w:tcPr>
          <w:p w14:paraId="7370562B"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.297</w:t>
            </w:r>
          </w:p>
        </w:tc>
        <w:tc>
          <w:tcPr>
            <w:tcW w:w="0" w:type="auto"/>
            <w:shd w:val="clear" w:color="auto" w:fill="FFFFFF"/>
            <w:tcMar>
              <w:top w:w="30" w:type="dxa"/>
              <w:left w:w="30" w:type="dxa"/>
              <w:bottom w:w="30" w:type="dxa"/>
              <w:right w:w="30" w:type="dxa"/>
            </w:tcMar>
            <w:vAlign w:val="center"/>
          </w:tcPr>
          <w:p w14:paraId="37A6A509"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.521</w:t>
            </w:r>
            <w:r w:rsidRPr="00FA6103">
              <w:rPr>
                <w:rFonts w:ascii="Times New Roman" w:eastAsia="Calibri" w:hAnsi="Times New Roman" w:cs="Times New Roman"/>
                <w:color w:val="000000" w:themeColor="text1"/>
                <w:sz w:val="20"/>
                <w:szCs w:val="20"/>
                <w:vertAlign w:val="superscript"/>
              </w:rPr>
              <w:t>**</w:t>
            </w:r>
          </w:p>
        </w:tc>
        <w:tc>
          <w:tcPr>
            <w:tcW w:w="0" w:type="auto"/>
            <w:shd w:val="clear" w:color="auto" w:fill="FFFFFF"/>
            <w:tcMar>
              <w:top w:w="30" w:type="dxa"/>
              <w:left w:w="30" w:type="dxa"/>
              <w:bottom w:w="30" w:type="dxa"/>
              <w:right w:w="30" w:type="dxa"/>
            </w:tcMar>
            <w:vAlign w:val="center"/>
          </w:tcPr>
          <w:p w14:paraId="0F162190"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w:t>
            </w:r>
          </w:p>
        </w:tc>
        <w:tc>
          <w:tcPr>
            <w:tcW w:w="683" w:type="dxa"/>
            <w:shd w:val="clear" w:color="auto" w:fill="FFFFFF"/>
            <w:tcMar>
              <w:top w:w="30" w:type="dxa"/>
              <w:left w:w="30" w:type="dxa"/>
              <w:bottom w:w="30" w:type="dxa"/>
              <w:right w:w="30" w:type="dxa"/>
            </w:tcMar>
            <w:vAlign w:val="center"/>
          </w:tcPr>
          <w:p w14:paraId="5F125C3D"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p>
        </w:tc>
      </w:tr>
      <w:tr w:rsidR="00A63CD3" w:rsidRPr="00FA6103" w14:paraId="52941F0E" w14:textId="77777777" w:rsidTr="0000060D">
        <w:trPr>
          <w:cantSplit/>
          <w:tblHeader/>
          <w:jc w:val="center"/>
        </w:trPr>
        <w:tc>
          <w:tcPr>
            <w:tcW w:w="235" w:type="dxa"/>
            <w:shd w:val="clear" w:color="auto" w:fill="FFFFFF"/>
            <w:tcMar>
              <w:top w:w="30" w:type="dxa"/>
              <w:left w:w="30" w:type="dxa"/>
              <w:bottom w:w="30" w:type="dxa"/>
              <w:right w:w="30" w:type="dxa"/>
            </w:tcMar>
          </w:tcPr>
          <w:p w14:paraId="10C32942"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(xiv)</w:t>
            </w:r>
          </w:p>
        </w:tc>
        <w:tc>
          <w:tcPr>
            <w:tcW w:w="2491" w:type="dxa"/>
            <w:shd w:val="clear" w:color="auto" w:fill="FFFFFF"/>
            <w:tcMar>
              <w:top w:w="30" w:type="dxa"/>
              <w:left w:w="30" w:type="dxa"/>
              <w:bottom w:w="30" w:type="dxa"/>
              <w:right w:w="30" w:type="dxa"/>
            </w:tcMar>
          </w:tcPr>
          <w:p w14:paraId="2A127303"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Users’ Preferences  (N)</w:t>
            </w:r>
          </w:p>
        </w:tc>
        <w:tc>
          <w:tcPr>
            <w:tcW w:w="685" w:type="dxa"/>
            <w:shd w:val="clear" w:color="auto" w:fill="FFFFFF"/>
            <w:tcMar>
              <w:top w:w="30" w:type="dxa"/>
              <w:left w:w="30" w:type="dxa"/>
              <w:bottom w:w="30" w:type="dxa"/>
              <w:right w:w="30" w:type="dxa"/>
            </w:tcMar>
            <w:vAlign w:val="center"/>
          </w:tcPr>
          <w:p w14:paraId="20D3101C"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.035</w:t>
            </w:r>
          </w:p>
        </w:tc>
        <w:tc>
          <w:tcPr>
            <w:tcW w:w="0" w:type="auto"/>
            <w:shd w:val="clear" w:color="auto" w:fill="FFFFFF"/>
            <w:tcMar>
              <w:top w:w="30" w:type="dxa"/>
              <w:left w:w="30" w:type="dxa"/>
              <w:bottom w:w="30" w:type="dxa"/>
              <w:right w:w="30" w:type="dxa"/>
            </w:tcMar>
            <w:vAlign w:val="center"/>
          </w:tcPr>
          <w:p w14:paraId="5C1DC9BA"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.771</w:t>
            </w:r>
            <w:r w:rsidRPr="00FA6103">
              <w:rPr>
                <w:rFonts w:ascii="Times New Roman" w:eastAsia="Calibri" w:hAnsi="Times New Roman" w:cs="Times New Roman"/>
                <w:color w:val="000000" w:themeColor="text1"/>
                <w:sz w:val="20"/>
                <w:szCs w:val="20"/>
                <w:vertAlign w:val="superscript"/>
              </w:rPr>
              <w:t>**</w:t>
            </w:r>
          </w:p>
        </w:tc>
        <w:tc>
          <w:tcPr>
            <w:tcW w:w="0" w:type="auto"/>
            <w:shd w:val="clear" w:color="auto" w:fill="FFFFFF"/>
            <w:tcMar>
              <w:top w:w="30" w:type="dxa"/>
              <w:left w:w="30" w:type="dxa"/>
              <w:bottom w:w="30" w:type="dxa"/>
              <w:right w:w="30" w:type="dxa"/>
            </w:tcMar>
            <w:vAlign w:val="center"/>
          </w:tcPr>
          <w:p w14:paraId="7DD0D050"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.605</w:t>
            </w:r>
            <w:r w:rsidRPr="00FA6103">
              <w:rPr>
                <w:rFonts w:ascii="Times New Roman" w:eastAsia="Calibri" w:hAnsi="Times New Roman" w:cs="Times New Roman"/>
                <w:color w:val="000000" w:themeColor="text1"/>
                <w:sz w:val="20"/>
                <w:szCs w:val="20"/>
                <w:vertAlign w:val="superscript"/>
              </w:rPr>
              <w:t>**</w:t>
            </w:r>
          </w:p>
        </w:tc>
        <w:tc>
          <w:tcPr>
            <w:tcW w:w="0" w:type="auto"/>
            <w:shd w:val="clear" w:color="auto" w:fill="FFFFFF"/>
            <w:tcMar>
              <w:top w:w="30" w:type="dxa"/>
              <w:left w:w="30" w:type="dxa"/>
              <w:bottom w:w="30" w:type="dxa"/>
              <w:right w:w="30" w:type="dxa"/>
            </w:tcMar>
            <w:vAlign w:val="center"/>
          </w:tcPr>
          <w:p w14:paraId="4ED494E8"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.760</w:t>
            </w:r>
            <w:r w:rsidRPr="00FA6103">
              <w:rPr>
                <w:rFonts w:ascii="Times New Roman" w:eastAsia="Calibri" w:hAnsi="Times New Roman" w:cs="Times New Roman"/>
                <w:color w:val="000000" w:themeColor="text1"/>
                <w:sz w:val="20"/>
                <w:szCs w:val="20"/>
                <w:vertAlign w:val="superscript"/>
              </w:rPr>
              <w:t>**</w:t>
            </w:r>
          </w:p>
        </w:tc>
        <w:tc>
          <w:tcPr>
            <w:tcW w:w="0" w:type="auto"/>
            <w:shd w:val="clear" w:color="auto" w:fill="FFFFFF"/>
            <w:tcMar>
              <w:top w:w="30" w:type="dxa"/>
              <w:left w:w="30" w:type="dxa"/>
              <w:bottom w:w="30" w:type="dxa"/>
              <w:right w:w="30" w:type="dxa"/>
            </w:tcMar>
            <w:vAlign w:val="center"/>
          </w:tcPr>
          <w:p w14:paraId="4C616E42"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.673</w:t>
            </w:r>
            <w:r w:rsidRPr="00FA6103">
              <w:rPr>
                <w:rFonts w:ascii="Times New Roman" w:eastAsia="Calibri" w:hAnsi="Times New Roman" w:cs="Times New Roman"/>
                <w:color w:val="000000" w:themeColor="text1"/>
                <w:sz w:val="20"/>
                <w:szCs w:val="20"/>
                <w:vertAlign w:val="superscript"/>
              </w:rPr>
              <w:t>**</w:t>
            </w:r>
          </w:p>
        </w:tc>
        <w:tc>
          <w:tcPr>
            <w:tcW w:w="0" w:type="auto"/>
            <w:shd w:val="clear" w:color="auto" w:fill="FFFFFF"/>
            <w:tcMar>
              <w:top w:w="30" w:type="dxa"/>
              <w:left w:w="30" w:type="dxa"/>
              <w:bottom w:w="30" w:type="dxa"/>
              <w:right w:w="30" w:type="dxa"/>
            </w:tcMar>
            <w:vAlign w:val="center"/>
          </w:tcPr>
          <w:p w14:paraId="50CFBBFB"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.464</w:t>
            </w:r>
            <w:r w:rsidRPr="00FA6103">
              <w:rPr>
                <w:rFonts w:ascii="Times New Roman" w:eastAsia="Calibri" w:hAnsi="Times New Roman" w:cs="Times New Roman"/>
                <w:color w:val="000000" w:themeColor="text1"/>
                <w:sz w:val="20"/>
                <w:szCs w:val="20"/>
                <w:vertAlign w:val="superscript"/>
              </w:rPr>
              <w:t>*</w:t>
            </w:r>
          </w:p>
        </w:tc>
        <w:tc>
          <w:tcPr>
            <w:tcW w:w="683" w:type="dxa"/>
            <w:shd w:val="clear" w:color="auto" w:fill="FFFFFF"/>
            <w:tcMar>
              <w:top w:w="30" w:type="dxa"/>
              <w:left w:w="30" w:type="dxa"/>
              <w:bottom w:w="30" w:type="dxa"/>
              <w:right w:w="30" w:type="dxa"/>
            </w:tcMar>
            <w:vAlign w:val="center"/>
          </w:tcPr>
          <w:p w14:paraId="4C6B7C80" w14:textId="77777777" w:rsidR="00A63CD3" w:rsidRPr="00FA6103" w:rsidRDefault="00A63CD3" w:rsidP="0000060D">
            <w:pPr>
              <w:spacing w:after="0" w:line="240" w:lineRule="auto"/>
              <w:rPr>
                <w:rFonts w:ascii="Times New Roman" w:eastAsia="Calibri" w:hAnsi="Times New Roman" w:cs="Times New Roman"/>
                <w:color w:val="000000" w:themeColor="text1"/>
                <w:sz w:val="20"/>
                <w:szCs w:val="20"/>
              </w:rPr>
            </w:pPr>
            <w:r w:rsidRPr="00FA6103">
              <w:rPr>
                <w:rFonts w:ascii="Times New Roman" w:eastAsia="Calibri" w:hAnsi="Times New Roman" w:cs="Times New Roman"/>
                <w:color w:val="000000" w:themeColor="text1"/>
                <w:sz w:val="20"/>
                <w:szCs w:val="20"/>
              </w:rPr>
              <w:t>1</w:t>
            </w:r>
          </w:p>
        </w:tc>
      </w:tr>
    </w:tbl>
    <w:p w14:paraId="17782CC9" w14:textId="77777777" w:rsidR="00A63CD3" w:rsidRPr="00FA6103" w:rsidRDefault="00A63CD3" w:rsidP="00FA6103">
      <w:pPr>
        <w:spacing w:after="0" w:line="240" w:lineRule="auto"/>
        <w:jc w:val="center"/>
        <w:rPr>
          <w:rFonts w:ascii="Times New Roman" w:eastAsia="Cambria" w:hAnsi="Times New Roman" w:cs="Times New Roman"/>
          <w:bCs/>
          <w:color w:val="000000" w:themeColor="text1"/>
          <w:sz w:val="24"/>
          <w:szCs w:val="24"/>
        </w:rPr>
      </w:pPr>
      <w:r w:rsidRPr="00FA6103">
        <w:rPr>
          <w:rFonts w:ascii="Times New Roman" w:eastAsia="Cambria" w:hAnsi="Times New Roman" w:cs="Times New Roman"/>
          <w:bCs/>
          <w:color w:val="000000" w:themeColor="text1"/>
          <w:sz w:val="24"/>
          <w:szCs w:val="24"/>
        </w:rPr>
        <w:t>**Correlation is significant at the 0.01 level (2-tailed).</w:t>
      </w:r>
    </w:p>
    <w:p w14:paraId="785AE68B" w14:textId="77777777" w:rsidR="00A63CD3" w:rsidRPr="00FA6103" w:rsidRDefault="00A63CD3" w:rsidP="00FA6103">
      <w:pPr>
        <w:spacing w:after="0" w:line="240" w:lineRule="auto"/>
        <w:jc w:val="center"/>
        <w:rPr>
          <w:rFonts w:ascii="Times New Roman" w:eastAsia="Cambria" w:hAnsi="Times New Roman" w:cs="Times New Roman"/>
          <w:bCs/>
          <w:color w:val="000000" w:themeColor="text1"/>
          <w:sz w:val="24"/>
          <w:szCs w:val="24"/>
        </w:rPr>
      </w:pPr>
      <w:r w:rsidRPr="00FA6103">
        <w:rPr>
          <w:rFonts w:ascii="Times New Roman" w:eastAsia="Cambria" w:hAnsi="Times New Roman" w:cs="Times New Roman"/>
          <w:bCs/>
          <w:color w:val="000000" w:themeColor="text1"/>
          <w:sz w:val="24"/>
          <w:szCs w:val="24"/>
        </w:rPr>
        <w:t>* Correlation is significant at the 0.05 level (2-tailed).</w:t>
      </w:r>
    </w:p>
    <w:p w14:paraId="524B664B" w14:textId="77777777" w:rsidR="00A63CD3" w:rsidRPr="00FA6103" w:rsidRDefault="00A63CD3" w:rsidP="00A63CD3">
      <w:pPr>
        <w:spacing w:after="0" w:line="240" w:lineRule="auto"/>
        <w:jc w:val="both"/>
        <w:rPr>
          <w:rFonts w:ascii="Times New Roman" w:eastAsia="Cambria" w:hAnsi="Times New Roman" w:cs="Times New Roman"/>
          <w:bCs/>
          <w:color w:val="000000" w:themeColor="text1"/>
          <w:sz w:val="24"/>
          <w:szCs w:val="24"/>
        </w:rPr>
      </w:pPr>
    </w:p>
    <w:p w14:paraId="25602297" w14:textId="77777777" w:rsidR="00FA6103" w:rsidRPr="00BE4AF3" w:rsidRDefault="00FA6103" w:rsidP="00A63CD3">
      <w:pPr>
        <w:spacing w:after="0" w:line="240" w:lineRule="auto"/>
        <w:jc w:val="both"/>
        <w:rPr>
          <w:rFonts w:ascii="Times New Roman" w:eastAsia="Cambria" w:hAnsi="Times New Roman" w:cs="Times New Roman"/>
          <w:b/>
          <w:color w:val="000000" w:themeColor="text1"/>
          <w:sz w:val="24"/>
          <w:szCs w:val="24"/>
        </w:rPr>
      </w:pPr>
    </w:p>
    <w:p w14:paraId="31A03891" w14:textId="741BC57B" w:rsidR="00A63CD3" w:rsidRPr="00BE4AF3" w:rsidRDefault="00A63CD3" w:rsidP="00A63CD3">
      <w:pPr>
        <w:spacing w:after="0" w:line="240" w:lineRule="auto"/>
        <w:jc w:val="both"/>
        <w:rPr>
          <w:rFonts w:ascii="Times New Roman" w:eastAsia="Times New Roman" w:hAnsi="Times New Roman" w:cs="Times New Roman"/>
          <w:b/>
          <w:color w:val="000000" w:themeColor="text1"/>
          <w:sz w:val="24"/>
          <w:szCs w:val="24"/>
          <w:lang w:eastAsia="en-GB"/>
        </w:rPr>
      </w:pPr>
      <w:r w:rsidRPr="00BE4AF3">
        <w:rPr>
          <w:rFonts w:ascii="Times New Roman" w:eastAsia="Times New Roman" w:hAnsi="Times New Roman" w:cs="Times New Roman"/>
          <w:b/>
          <w:color w:val="000000" w:themeColor="text1"/>
          <w:sz w:val="24"/>
          <w:szCs w:val="24"/>
          <w:lang w:eastAsia="en-GB"/>
        </w:rPr>
        <w:lastRenderedPageBreak/>
        <w:t>Conclusion</w:t>
      </w:r>
    </w:p>
    <w:p w14:paraId="6AA6ED09" w14:textId="6873FC96"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Theme="majorEastAsia" w:hAnsi="Times New Roman" w:cs="Times New Roman"/>
          <w:color w:val="000000" w:themeColor="text1"/>
          <w:sz w:val="24"/>
          <w:szCs w:val="24"/>
        </w:rPr>
        <w:t>The study examined impacts of users' socioeconomic characteristics and</w:t>
      </w:r>
      <w:r w:rsidRPr="00BE4AF3">
        <w:rPr>
          <w:rFonts w:ascii="Times New Roman" w:hAnsi="Times New Roman" w:cs="Times New Roman"/>
          <w:color w:val="000000" w:themeColor="text1"/>
          <w:sz w:val="24"/>
          <w:szCs w:val="24"/>
        </w:rPr>
        <w:t xml:space="preserve"> </w:t>
      </w:r>
      <w:r w:rsidRPr="00BE4AF3">
        <w:rPr>
          <w:rFonts w:ascii="Times New Roman" w:eastAsiaTheme="majorEastAsia" w:hAnsi="Times New Roman" w:cs="Times New Roman"/>
          <w:color w:val="000000" w:themeColor="text1"/>
          <w:sz w:val="24"/>
          <w:szCs w:val="24"/>
        </w:rPr>
        <w:t xml:space="preserve">LEs focusing on components that enhance the visitor preferences and experiences, such as vegetation, water features, pathways, seating areas, signage, and lighting in Nigerian Tourist Centers. These findings suggest that tourist centers in this region are highly attractive to middle-aged, middle-income, married individuals seeking leisure and educational experiences, with recurrence visitation. </w:t>
      </w:r>
      <w:r w:rsidRPr="00BE4AF3">
        <w:rPr>
          <w:rFonts w:ascii="Times New Roman" w:eastAsia="Calibri" w:hAnsi="Times New Roman" w:cs="Times New Roman"/>
          <w:color w:val="000000" w:themeColor="text1"/>
          <w:sz w:val="24"/>
          <w:szCs w:val="24"/>
        </w:rPr>
        <w:t>This finding highlights the need for tourism destinations to invest in aesthetically pleasing environments to attract and retain visitors. By creating visually appealing spaces, these destinations can enhance their overall appeal and create a positive impression on visitors. Furthermore, aesthetic considerations can contribute to a more enjoyable and memorable experience, encouraging visitors to stay longer and explore the area.</w:t>
      </w:r>
      <w:r w:rsidRPr="00BE4AF3">
        <w:rPr>
          <w:rFonts w:ascii="Times New Roman" w:hAnsi="Times New Roman" w:cs="Times New Roman"/>
          <w:color w:val="000000" w:themeColor="text1"/>
          <w:sz w:val="24"/>
          <w:szCs w:val="24"/>
        </w:rPr>
        <w:t xml:space="preserve"> </w:t>
      </w:r>
      <w:r w:rsidRPr="00BE4AF3">
        <w:rPr>
          <w:rFonts w:ascii="Times New Roman" w:eastAsia="Calibri" w:hAnsi="Times New Roman" w:cs="Times New Roman"/>
          <w:color w:val="000000" w:themeColor="text1"/>
          <w:sz w:val="24"/>
          <w:szCs w:val="24"/>
        </w:rPr>
        <w:t>This finding highlights the need for tourism destinations to invest in maintaining clean and well-maintained landscapes. By creating a visually appealing and hygienic environment, these destinations can enhance their overall appeal and create a positive impression on visitors. Furthermore, a well-maintained landscape can contribute to a more enjoyable and memorable experience, encouraging visitors to stay longer and explore the area. These findings highlight the necessity for tourism destinations in the region to prioritize strategic landscape planning and implementation. By creating visually appealing and functional spaces, these destinations can significantly enhance their overall appeal, fostering a positive visitor experience. Moreover, well-designed landscapes can contribute to a more enjoyable and memorable visit, encouraging longer stays and further exploration. By creating inviting and visually pleasing environments, destination marketers can foster a positive visitor experience, encourage repeat visits, and generate positive word-of-mouth recommendations. Furthermore, well-maintained landscapes can contribute to the overall functionality and enjoyment of tourist sites. By providing comfortable and aesthetically pleasing spaces, destinations can enhance visitor satisfaction and create a memorable experience.</w:t>
      </w:r>
    </w:p>
    <w:p w14:paraId="6218B9C9" w14:textId="77777777" w:rsidR="00FA6103" w:rsidRDefault="00FA6103" w:rsidP="00A63CD3">
      <w:pPr>
        <w:spacing w:after="0" w:line="240" w:lineRule="auto"/>
        <w:contextualSpacing/>
        <w:jc w:val="both"/>
        <w:rPr>
          <w:rFonts w:ascii="Times New Roman" w:eastAsia="Calibri" w:hAnsi="Times New Roman" w:cs="Times New Roman"/>
          <w:b/>
          <w:color w:val="000000" w:themeColor="text1"/>
          <w:sz w:val="24"/>
          <w:szCs w:val="24"/>
        </w:rPr>
      </w:pPr>
    </w:p>
    <w:p w14:paraId="20E074B9" w14:textId="44ADFEE7" w:rsidR="00A63CD3" w:rsidRPr="00BE4AF3" w:rsidRDefault="00A63CD3" w:rsidP="00A63CD3">
      <w:pPr>
        <w:spacing w:after="0" w:line="240" w:lineRule="auto"/>
        <w:contextualSpacing/>
        <w:jc w:val="both"/>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b/>
          <w:color w:val="000000" w:themeColor="text1"/>
          <w:sz w:val="24"/>
          <w:szCs w:val="24"/>
        </w:rPr>
        <w:t>References</w:t>
      </w:r>
    </w:p>
    <w:p w14:paraId="5DEA99BF"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Aboufazeli, S., Jahani, A., Farahpour, M., 2024. Aesthetic quality modeling of the form of </w:t>
      </w:r>
      <w:r w:rsidRPr="00BE4AF3">
        <w:rPr>
          <w:rFonts w:ascii="Times New Roman" w:eastAsia="Calibri" w:hAnsi="Times New Roman" w:cs="Times New Roman"/>
          <w:color w:val="000000" w:themeColor="text1"/>
          <w:sz w:val="24"/>
          <w:szCs w:val="24"/>
        </w:rPr>
        <w:tab/>
        <w:t xml:space="preserve">natural </w:t>
      </w:r>
      <w:r w:rsidRPr="00BE4AF3">
        <w:rPr>
          <w:rFonts w:ascii="Times New Roman" w:eastAsia="Calibri" w:hAnsi="Times New Roman" w:cs="Times New Roman"/>
          <w:color w:val="000000" w:themeColor="text1"/>
          <w:sz w:val="24"/>
          <w:szCs w:val="24"/>
        </w:rPr>
        <w:tab/>
        <w:t>elements in the environment of urban parks. Evol Intell 17, 327–338.</w:t>
      </w:r>
    </w:p>
    <w:p w14:paraId="2883D7FE" w14:textId="77777777" w:rsidR="00FA610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Ali, R., El Ashmawy, R. A., Ragheb, A., &amp; Ragheb, G. (2024). Sustainable Design Principles </w:t>
      </w:r>
    </w:p>
    <w:p w14:paraId="53F452EA" w14:textId="77777777" w:rsidR="00FA610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 xml:space="preserve">for </w:t>
      </w:r>
      <w:r w:rsidR="00A63CD3" w:rsidRPr="00BE4AF3">
        <w:rPr>
          <w:rFonts w:ascii="Times New Roman" w:eastAsia="Calibri" w:hAnsi="Times New Roman" w:cs="Times New Roman"/>
          <w:color w:val="000000" w:themeColor="text1"/>
          <w:sz w:val="24"/>
          <w:szCs w:val="24"/>
        </w:rPr>
        <w:tab/>
        <w:t xml:space="preserve">Green </w:t>
      </w:r>
      <w:r w:rsidR="00A63CD3" w:rsidRPr="00BE4AF3">
        <w:rPr>
          <w:rFonts w:ascii="Times New Roman" w:eastAsia="Calibri" w:hAnsi="Times New Roman" w:cs="Times New Roman"/>
          <w:color w:val="000000" w:themeColor="text1"/>
          <w:sz w:val="24"/>
          <w:szCs w:val="24"/>
        </w:rPr>
        <w:tab/>
        <w:t xml:space="preserve">Office Buildings: A Comprehensive Review. International Journal of </w:t>
      </w:r>
      <w:r>
        <w:rPr>
          <w:rFonts w:ascii="Times New Roman" w:eastAsia="Calibri" w:hAnsi="Times New Roman" w:cs="Times New Roman"/>
          <w:color w:val="000000" w:themeColor="text1"/>
          <w:sz w:val="24"/>
          <w:szCs w:val="24"/>
        </w:rPr>
        <w:t xml:space="preserve"> </w:t>
      </w:r>
    </w:p>
    <w:p w14:paraId="0C192B9A" w14:textId="57EFE504" w:rsidR="00A63CD3" w:rsidRPr="00BE4AF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 xml:space="preserve">Sustainable </w:t>
      </w:r>
      <w:r w:rsidR="00A63CD3" w:rsidRPr="00BE4AF3">
        <w:rPr>
          <w:rFonts w:ascii="Times New Roman" w:eastAsia="Calibri" w:hAnsi="Times New Roman" w:cs="Times New Roman"/>
          <w:color w:val="000000" w:themeColor="text1"/>
          <w:sz w:val="24"/>
          <w:szCs w:val="24"/>
        </w:rPr>
        <w:tab/>
        <w:t xml:space="preserve">Development and Planning 19(6):2069-2077, 19(6):2069-2077, </w:t>
      </w:r>
      <w:r w:rsidR="00A63CD3" w:rsidRPr="00BE4AF3">
        <w:rPr>
          <w:rFonts w:ascii="Times New Roman" w:eastAsia="Calibri" w:hAnsi="Times New Roman" w:cs="Times New Roman"/>
          <w:color w:val="000000" w:themeColor="text1"/>
          <w:sz w:val="24"/>
          <w:szCs w:val="24"/>
        </w:rPr>
        <w:tab/>
        <w:t>DOI:10.18280/ijsdp.190607</w:t>
      </w:r>
    </w:p>
    <w:p w14:paraId="68D110F8" w14:textId="77777777" w:rsidR="00FA610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Arbieu, U., Grünewald, C., Schleuning, M., &amp; Böhning-Gaese, K. (2017). The importance of</w:t>
      </w:r>
      <w:r w:rsidRPr="00BE4AF3">
        <w:rPr>
          <w:rFonts w:ascii="Times New Roman" w:eastAsia="Calibri" w:hAnsi="Times New Roman" w:cs="Times New Roman"/>
          <w:color w:val="000000" w:themeColor="text1"/>
          <w:sz w:val="24"/>
          <w:szCs w:val="24"/>
        </w:rPr>
        <w:tab/>
        <w:t xml:space="preserve"> </w:t>
      </w:r>
      <w:r w:rsidRPr="00BE4AF3">
        <w:rPr>
          <w:rFonts w:ascii="Times New Roman" w:eastAsia="Calibri" w:hAnsi="Times New Roman" w:cs="Times New Roman"/>
          <w:color w:val="000000" w:themeColor="text1"/>
          <w:sz w:val="24"/>
          <w:szCs w:val="24"/>
        </w:rPr>
        <w:tab/>
        <w:t xml:space="preserve">vegetation density for tourists’ wildlife viewing experience and satisfaction in </w:t>
      </w:r>
      <w:r w:rsidR="00FA6103">
        <w:rPr>
          <w:rFonts w:ascii="Times New Roman" w:eastAsia="Calibri" w:hAnsi="Times New Roman" w:cs="Times New Roman"/>
          <w:color w:val="000000" w:themeColor="text1"/>
          <w:sz w:val="24"/>
          <w:szCs w:val="24"/>
        </w:rPr>
        <w:t xml:space="preserve">     </w:t>
      </w:r>
    </w:p>
    <w:p w14:paraId="201E6B03" w14:textId="77777777" w:rsidR="00FA610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 xml:space="preserve">African </w:t>
      </w:r>
      <w:r w:rsidR="00A63CD3" w:rsidRPr="00BE4AF3">
        <w:rPr>
          <w:rFonts w:ascii="Times New Roman" w:eastAsia="Calibri" w:hAnsi="Times New Roman" w:cs="Times New Roman"/>
          <w:color w:val="000000" w:themeColor="text1"/>
          <w:sz w:val="24"/>
          <w:szCs w:val="24"/>
        </w:rPr>
        <w:tab/>
        <w:t xml:space="preserve">savannah ecosystems, plos one 2(9):e0185793, </w:t>
      </w:r>
      <w:r>
        <w:rPr>
          <w:rFonts w:ascii="Times New Roman" w:eastAsia="Calibri" w:hAnsi="Times New Roman" w:cs="Times New Roman"/>
          <w:color w:val="000000" w:themeColor="text1"/>
          <w:sz w:val="24"/>
          <w:szCs w:val="24"/>
        </w:rPr>
        <w:t xml:space="preserve"> </w:t>
      </w:r>
    </w:p>
    <w:p w14:paraId="3CAA660C" w14:textId="5AF42B22" w:rsidR="00A63CD3" w:rsidRPr="00BE4AF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DOI:10.1371/journal.pone.0185793</w:t>
      </w:r>
    </w:p>
    <w:p w14:paraId="7019AF8D"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Atamtürk, B. (2022). Adapting to Abandonment: Sustainability of Depopulated Historic Rural </w:t>
      </w:r>
      <w:r w:rsidRPr="00BE4AF3">
        <w:rPr>
          <w:rFonts w:ascii="Times New Roman" w:eastAsia="Calibri" w:hAnsi="Times New Roman" w:cs="Times New Roman"/>
          <w:color w:val="000000" w:themeColor="text1"/>
          <w:sz w:val="24"/>
          <w:szCs w:val="24"/>
        </w:rPr>
        <w:tab/>
        <w:t xml:space="preserve">Landscapes, The Case of Nallidere. </w:t>
      </w:r>
    </w:p>
    <w:p w14:paraId="7FFFA161" w14:textId="77777777" w:rsidR="00FA6103" w:rsidRDefault="00A63CD3" w:rsidP="00A63CD3">
      <w:pPr>
        <w:spacing w:after="0" w:line="240" w:lineRule="auto"/>
        <w:jc w:val="both"/>
        <w:rPr>
          <w:rFonts w:ascii="Times New Roman" w:eastAsia="Calibri" w:hAnsi="Times New Roman" w:cs="Times New Roman"/>
          <w:color w:val="000000" w:themeColor="text1"/>
          <w:sz w:val="24"/>
          <w:szCs w:val="24"/>
          <w:shd w:val="clear" w:color="auto" w:fill="FFFFFF"/>
        </w:rPr>
      </w:pPr>
      <w:r w:rsidRPr="00BE4AF3">
        <w:rPr>
          <w:rFonts w:ascii="Times New Roman" w:eastAsia="Calibri" w:hAnsi="Times New Roman" w:cs="Times New Roman"/>
          <w:color w:val="000000" w:themeColor="text1"/>
          <w:sz w:val="24"/>
          <w:szCs w:val="24"/>
          <w:shd w:val="clear" w:color="auto" w:fill="FFFFFF"/>
        </w:rPr>
        <w:t xml:space="preserve">Ayeni, D. A. (2012a). Enhancing the Nigerian Tourist Attractions through Landscaping for </w:t>
      </w:r>
      <w:r w:rsidRPr="00BE4AF3">
        <w:rPr>
          <w:rFonts w:ascii="Times New Roman" w:eastAsia="Calibri" w:hAnsi="Times New Roman" w:cs="Times New Roman"/>
          <w:color w:val="000000" w:themeColor="text1"/>
          <w:sz w:val="24"/>
          <w:szCs w:val="24"/>
          <w:shd w:val="clear" w:color="auto" w:fill="FFFFFF"/>
        </w:rPr>
        <w:tab/>
        <w:t xml:space="preserve">Sustainable Tourism Development. </w:t>
      </w:r>
      <w:r w:rsidRPr="00BE4AF3">
        <w:rPr>
          <w:rFonts w:ascii="Times New Roman" w:eastAsia="Calibri" w:hAnsi="Times New Roman" w:cs="Times New Roman"/>
          <w:i/>
          <w:color w:val="000000" w:themeColor="text1"/>
          <w:sz w:val="24"/>
          <w:szCs w:val="24"/>
          <w:shd w:val="clear" w:color="auto" w:fill="FFFFFF"/>
        </w:rPr>
        <w:t xml:space="preserve">American Journal of Tourism ResearchVol.1, </w:t>
      </w:r>
      <w:r w:rsidRPr="00BE4AF3">
        <w:rPr>
          <w:rFonts w:ascii="Times New Roman" w:eastAsia="Calibri" w:hAnsi="Times New Roman" w:cs="Times New Roman"/>
          <w:color w:val="000000" w:themeColor="text1"/>
          <w:sz w:val="24"/>
          <w:szCs w:val="24"/>
          <w:shd w:val="clear" w:color="auto" w:fill="FFFFFF"/>
        </w:rPr>
        <w:tab/>
        <w:t xml:space="preserve">No. </w:t>
      </w:r>
      <w:r w:rsidR="00FA6103">
        <w:rPr>
          <w:rFonts w:ascii="Times New Roman" w:eastAsia="Calibri" w:hAnsi="Times New Roman" w:cs="Times New Roman"/>
          <w:color w:val="000000" w:themeColor="text1"/>
          <w:sz w:val="24"/>
          <w:szCs w:val="24"/>
          <w:shd w:val="clear" w:color="auto" w:fill="FFFFFF"/>
        </w:rPr>
        <w:t xml:space="preserve"> </w:t>
      </w:r>
    </w:p>
    <w:p w14:paraId="2470A238" w14:textId="42FE1C78" w:rsidR="00A63CD3" w:rsidRPr="00BE4AF3" w:rsidRDefault="00FA6103" w:rsidP="00A63CD3">
      <w:pPr>
        <w:spacing w:after="0" w:line="240" w:lineRule="auto"/>
        <w:jc w:val="both"/>
        <w:rPr>
          <w:rFonts w:ascii="Times New Roman" w:eastAsia="Times New Roman" w:hAnsi="Times New Roman" w:cs="Times New Roman"/>
          <w:b/>
          <w:i/>
          <w:color w:val="000000" w:themeColor="text1"/>
          <w:sz w:val="24"/>
          <w:szCs w:val="24"/>
        </w:rPr>
      </w:pPr>
      <w:r>
        <w:rPr>
          <w:rFonts w:ascii="Times New Roman" w:eastAsia="Calibri" w:hAnsi="Times New Roman" w:cs="Times New Roman"/>
          <w:color w:val="000000" w:themeColor="text1"/>
          <w:sz w:val="24"/>
          <w:szCs w:val="24"/>
          <w:shd w:val="clear" w:color="auto" w:fill="FFFFFF"/>
        </w:rPr>
        <w:t xml:space="preserve">            </w:t>
      </w:r>
      <w:r w:rsidR="00A63CD3" w:rsidRPr="00BE4AF3">
        <w:rPr>
          <w:rFonts w:ascii="Times New Roman" w:eastAsia="Calibri" w:hAnsi="Times New Roman" w:cs="Times New Roman"/>
          <w:color w:val="000000" w:themeColor="text1"/>
          <w:sz w:val="24"/>
          <w:szCs w:val="24"/>
          <w:shd w:val="clear" w:color="auto" w:fill="FFFFFF"/>
        </w:rPr>
        <w:t xml:space="preserve">2, </w:t>
      </w:r>
      <w:r w:rsidR="00A63CD3" w:rsidRPr="00BE4AF3">
        <w:rPr>
          <w:rFonts w:ascii="Times New Roman" w:eastAsia="Calibri" w:hAnsi="Times New Roman" w:cs="Times New Roman"/>
          <w:color w:val="000000" w:themeColor="text1"/>
          <w:sz w:val="24"/>
          <w:szCs w:val="24"/>
          <w:shd w:val="clear" w:color="auto" w:fill="FFFFFF"/>
        </w:rPr>
        <w:tab/>
        <w:t>ISSN 2168-3786 Print/ ISSN 2168-3794 Online  © 2012 World Scholars</w:t>
      </w:r>
    </w:p>
    <w:p w14:paraId="203BBB37" w14:textId="77777777" w:rsidR="00FA6103" w:rsidRDefault="00A63CD3" w:rsidP="00A63CD3">
      <w:pPr>
        <w:spacing w:after="0" w:line="240" w:lineRule="auto"/>
        <w:jc w:val="both"/>
        <w:rPr>
          <w:rFonts w:ascii="Times New Roman" w:eastAsia="Calibri" w:hAnsi="Times New Roman" w:cs="Times New Roman"/>
          <w:bCs/>
          <w:color w:val="000000" w:themeColor="text1"/>
          <w:sz w:val="24"/>
          <w:szCs w:val="24"/>
        </w:rPr>
      </w:pPr>
      <w:r w:rsidRPr="00BE4AF3">
        <w:rPr>
          <w:rFonts w:ascii="Times New Roman" w:eastAsia="Calibri" w:hAnsi="Times New Roman" w:cs="Times New Roman"/>
          <w:bCs/>
          <w:color w:val="000000" w:themeColor="text1"/>
          <w:sz w:val="24"/>
          <w:szCs w:val="24"/>
        </w:rPr>
        <w:t xml:space="preserve">Ayeni, D. A., Ebohon, O. J., and TakiI, A. H. (2011).  The Likely Effect of Sustainable </w:t>
      </w:r>
      <w:r w:rsidRPr="00BE4AF3">
        <w:rPr>
          <w:rFonts w:ascii="Times New Roman" w:eastAsia="Calibri" w:hAnsi="Times New Roman" w:cs="Times New Roman"/>
          <w:bCs/>
          <w:color w:val="000000" w:themeColor="text1"/>
          <w:sz w:val="24"/>
          <w:szCs w:val="24"/>
        </w:rPr>
        <w:tab/>
        <w:t xml:space="preserve">Landscape on </w:t>
      </w:r>
      <w:r w:rsidRPr="00BE4AF3">
        <w:rPr>
          <w:rFonts w:ascii="Times New Roman" w:eastAsia="Calibri" w:hAnsi="Times New Roman" w:cs="Times New Roman"/>
          <w:bCs/>
          <w:color w:val="000000" w:themeColor="text1"/>
          <w:sz w:val="24"/>
          <w:szCs w:val="24"/>
        </w:rPr>
        <w:tab/>
        <w:t>the Quality of Life through Tourism: Focus on Nigeria</w:t>
      </w:r>
      <w:r w:rsidRPr="00BE4AF3">
        <w:rPr>
          <w:rFonts w:ascii="Times New Roman" w:eastAsia="Calibri" w:hAnsi="Times New Roman" w:cs="Times New Roman"/>
          <w:bCs/>
          <w:i/>
          <w:color w:val="000000" w:themeColor="text1"/>
          <w:sz w:val="24"/>
          <w:szCs w:val="24"/>
        </w:rPr>
        <w:t xml:space="preserve">. Paper presented </w:t>
      </w:r>
      <w:r w:rsidRPr="00BE4AF3">
        <w:rPr>
          <w:rFonts w:ascii="Times New Roman" w:eastAsia="Calibri" w:hAnsi="Times New Roman" w:cs="Times New Roman"/>
          <w:bCs/>
          <w:i/>
          <w:color w:val="000000" w:themeColor="text1"/>
          <w:sz w:val="24"/>
          <w:szCs w:val="24"/>
        </w:rPr>
        <w:tab/>
        <w:t xml:space="preserve">at the West AfricaBuilt </w:t>
      </w:r>
      <w:r w:rsidRPr="00BE4AF3">
        <w:rPr>
          <w:rFonts w:ascii="Times New Roman" w:eastAsia="Calibri" w:hAnsi="Times New Roman" w:cs="Times New Roman"/>
          <w:bCs/>
          <w:i/>
          <w:color w:val="000000" w:themeColor="text1"/>
          <w:sz w:val="24"/>
          <w:szCs w:val="24"/>
        </w:rPr>
        <w:tab/>
        <w:t>Environment Research (WABER),</w:t>
      </w:r>
      <w:r w:rsidRPr="00BE4AF3">
        <w:rPr>
          <w:rFonts w:ascii="Times New Roman" w:eastAsia="Calibri" w:hAnsi="Times New Roman" w:cs="Times New Roman"/>
          <w:bCs/>
          <w:color w:val="000000" w:themeColor="text1"/>
          <w:sz w:val="24"/>
          <w:szCs w:val="24"/>
        </w:rPr>
        <w:t xml:space="preserve"> 2011 19-21, Accra, </w:t>
      </w:r>
    </w:p>
    <w:p w14:paraId="100C0AB3" w14:textId="1E474D74" w:rsidR="00A63CD3" w:rsidRPr="00BE4AF3" w:rsidRDefault="00FA6103" w:rsidP="00A63CD3">
      <w:pPr>
        <w:spacing w:after="0" w:line="240" w:lineRule="auto"/>
        <w:jc w:val="both"/>
        <w:rPr>
          <w:rFonts w:ascii="Times New Roman" w:eastAsia="Calibri" w:hAnsi="Times New Roman" w:cs="Times New Roman"/>
          <w:bCs/>
          <w:color w:val="000000" w:themeColor="text1"/>
          <w:sz w:val="24"/>
          <w:szCs w:val="24"/>
        </w:rPr>
      </w:pPr>
      <w:r>
        <w:rPr>
          <w:rFonts w:ascii="Times New Roman" w:eastAsia="Calibri" w:hAnsi="Times New Roman" w:cs="Times New Roman"/>
          <w:bCs/>
          <w:color w:val="000000" w:themeColor="text1"/>
          <w:sz w:val="24"/>
          <w:szCs w:val="24"/>
        </w:rPr>
        <w:t xml:space="preserve">            </w:t>
      </w:r>
      <w:r w:rsidR="00A63CD3" w:rsidRPr="00BE4AF3">
        <w:rPr>
          <w:rFonts w:ascii="Times New Roman" w:eastAsia="Calibri" w:hAnsi="Times New Roman" w:cs="Times New Roman"/>
          <w:bCs/>
          <w:color w:val="000000" w:themeColor="text1"/>
          <w:sz w:val="24"/>
          <w:szCs w:val="24"/>
        </w:rPr>
        <w:t>Ghana. 9</w:t>
      </w:r>
    </w:p>
    <w:p w14:paraId="39032C07"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lang w:eastAsia="en-GB"/>
        </w:rPr>
      </w:pPr>
      <w:r w:rsidRPr="00BE4AF3">
        <w:rPr>
          <w:rFonts w:ascii="Times New Roman" w:eastAsia="Calibri" w:hAnsi="Times New Roman" w:cs="Times New Roman"/>
          <w:color w:val="000000" w:themeColor="text1"/>
          <w:sz w:val="24"/>
          <w:szCs w:val="24"/>
          <w:lang w:eastAsia="en-GB"/>
        </w:rPr>
        <w:t xml:space="preserve">Ayeni, D. and Ebohon, O. (2012). Exploring sustainable tourism in Nigeria for developmental </w:t>
      </w:r>
      <w:r w:rsidRPr="00BE4AF3">
        <w:rPr>
          <w:rFonts w:ascii="Times New Roman" w:eastAsia="Calibri" w:hAnsi="Times New Roman" w:cs="Times New Roman"/>
          <w:color w:val="000000" w:themeColor="text1"/>
          <w:sz w:val="24"/>
          <w:szCs w:val="24"/>
          <w:lang w:eastAsia="en-GB"/>
        </w:rPr>
        <w:tab/>
        <w:t>growth</w:t>
      </w:r>
      <w:r w:rsidRPr="00BE4AF3">
        <w:rPr>
          <w:rFonts w:ascii="Times New Roman" w:eastAsia="Calibri" w:hAnsi="Times New Roman" w:cs="Times New Roman"/>
          <w:color w:val="000000" w:themeColor="text1"/>
          <w:spacing w:val="-1"/>
          <w:sz w:val="24"/>
          <w:szCs w:val="24"/>
          <w:lang w:eastAsia="en-GB"/>
        </w:rPr>
        <w:t xml:space="preserve">. </w:t>
      </w:r>
      <w:r w:rsidRPr="00BE4AF3">
        <w:rPr>
          <w:rFonts w:ascii="Times New Roman" w:eastAsia="Calibri" w:hAnsi="Times New Roman" w:cs="Times New Roman"/>
          <w:color w:val="000000" w:themeColor="text1"/>
          <w:spacing w:val="-1"/>
          <w:sz w:val="24"/>
          <w:szCs w:val="24"/>
          <w:lang w:eastAsia="en-GB"/>
        </w:rPr>
        <w:tab/>
      </w:r>
      <w:r w:rsidRPr="00BE4AF3">
        <w:rPr>
          <w:rFonts w:ascii="Times New Roman" w:eastAsia="Calibri" w:hAnsi="Times New Roman" w:cs="Times New Roman"/>
          <w:i/>
          <w:color w:val="000000" w:themeColor="text1"/>
          <w:sz w:val="24"/>
          <w:szCs w:val="24"/>
          <w:lang w:eastAsia="en-GB"/>
        </w:rPr>
        <w:t xml:space="preserve">European Scientific Journal, </w:t>
      </w:r>
      <w:r w:rsidRPr="00BE4AF3">
        <w:rPr>
          <w:rFonts w:ascii="Times New Roman" w:eastAsia="Calibri" w:hAnsi="Times New Roman" w:cs="Times New Roman"/>
          <w:b/>
          <w:color w:val="000000" w:themeColor="text1"/>
          <w:sz w:val="24"/>
          <w:szCs w:val="24"/>
          <w:lang w:eastAsia="en-GB"/>
        </w:rPr>
        <w:t>8</w:t>
      </w:r>
      <w:r w:rsidRPr="00BE4AF3">
        <w:rPr>
          <w:rFonts w:ascii="Times New Roman" w:eastAsia="Calibri" w:hAnsi="Times New Roman" w:cs="Times New Roman"/>
          <w:color w:val="000000" w:themeColor="text1"/>
          <w:sz w:val="24"/>
          <w:szCs w:val="24"/>
          <w:lang w:eastAsia="en-GB"/>
        </w:rPr>
        <w:t xml:space="preserve"> (20), pp. 126-140. </w:t>
      </w:r>
    </w:p>
    <w:p w14:paraId="49BCC875"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lastRenderedPageBreak/>
        <w:t xml:space="preserve">Ayeni, D.A. (2012b). Emphasizing Landscape Elements as Important Components of a </w:t>
      </w:r>
      <w:r w:rsidRPr="00BE4AF3">
        <w:rPr>
          <w:rFonts w:ascii="Times New Roman" w:eastAsia="Calibri" w:hAnsi="Times New Roman" w:cs="Times New Roman"/>
          <w:color w:val="000000" w:themeColor="text1"/>
          <w:sz w:val="24"/>
          <w:szCs w:val="24"/>
        </w:rPr>
        <w:tab/>
        <w:t xml:space="preserve">Sustainable </w:t>
      </w:r>
      <w:r w:rsidRPr="00BE4AF3">
        <w:rPr>
          <w:rFonts w:ascii="Times New Roman" w:eastAsia="Calibri" w:hAnsi="Times New Roman" w:cs="Times New Roman"/>
          <w:color w:val="000000" w:themeColor="text1"/>
          <w:sz w:val="24"/>
          <w:szCs w:val="24"/>
        </w:rPr>
        <w:tab/>
        <w:t>Built Environment in Nigeria Developing Country Studies ISSN 2224-</w:t>
      </w:r>
      <w:r w:rsidRPr="00BE4AF3">
        <w:rPr>
          <w:rFonts w:ascii="Times New Roman" w:eastAsia="Calibri" w:hAnsi="Times New Roman" w:cs="Times New Roman"/>
          <w:color w:val="000000" w:themeColor="text1"/>
          <w:sz w:val="24"/>
          <w:szCs w:val="24"/>
        </w:rPr>
        <w:tab/>
        <w:t xml:space="preserve">607X (Paper) ISSN </w:t>
      </w:r>
      <w:r w:rsidRPr="00BE4AF3">
        <w:rPr>
          <w:rFonts w:ascii="Times New Roman" w:eastAsia="Calibri" w:hAnsi="Times New Roman" w:cs="Times New Roman"/>
          <w:color w:val="000000" w:themeColor="text1"/>
          <w:sz w:val="24"/>
          <w:szCs w:val="24"/>
        </w:rPr>
        <w:tab/>
        <w:t>2225-0565 (Online) Vol 2, No.8, 2012</w:t>
      </w:r>
    </w:p>
    <w:p w14:paraId="6A630805"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Baris, M. E., &amp; Kaygusız, S. Z. (2023). Landscape Planning and Design Approaches for </w:t>
      </w:r>
      <w:r w:rsidRPr="00BE4AF3">
        <w:rPr>
          <w:rFonts w:ascii="Times New Roman" w:eastAsia="Calibri" w:hAnsi="Times New Roman" w:cs="Times New Roman"/>
          <w:color w:val="000000" w:themeColor="text1"/>
          <w:sz w:val="24"/>
          <w:szCs w:val="24"/>
        </w:rPr>
        <w:tab/>
        <w:t xml:space="preserve">Ecologically </w:t>
      </w:r>
      <w:r w:rsidRPr="00BE4AF3">
        <w:rPr>
          <w:rFonts w:ascii="Times New Roman" w:eastAsia="Calibri" w:hAnsi="Times New Roman" w:cs="Times New Roman"/>
          <w:color w:val="000000" w:themeColor="text1"/>
          <w:sz w:val="24"/>
          <w:szCs w:val="24"/>
        </w:rPr>
        <w:tab/>
        <w:t>Sustainable Cities. Asian Research Journal of Agriculture 16(3):85-95</w:t>
      </w:r>
      <w:r w:rsidRPr="00BE4AF3">
        <w:rPr>
          <w:rFonts w:ascii="Times New Roman" w:eastAsia="Calibri" w:hAnsi="Times New Roman" w:cs="Times New Roman"/>
          <w:color w:val="000000" w:themeColor="text1"/>
          <w:sz w:val="24"/>
          <w:szCs w:val="24"/>
        </w:rPr>
        <w:tab/>
        <w:t xml:space="preserve"> 16(3):85-95, </w:t>
      </w:r>
      <w:r w:rsidRPr="00BE4AF3">
        <w:rPr>
          <w:rFonts w:ascii="Times New Roman" w:eastAsia="Calibri" w:hAnsi="Times New Roman" w:cs="Times New Roman"/>
          <w:color w:val="000000" w:themeColor="text1"/>
          <w:sz w:val="24"/>
          <w:szCs w:val="24"/>
        </w:rPr>
        <w:tab/>
        <w:t>DOI:10.9734/arja/2023/v16i3395</w:t>
      </w:r>
    </w:p>
    <w:p w14:paraId="4ADEDFBB" w14:textId="77777777" w:rsidR="00FA610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Barrena, E., Laporte, G., Ortega, F. A., &amp; Pozo, M. A. (2016). Planning Ecotourism Routes in </w:t>
      </w:r>
      <w:r w:rsidRPr="00BE4AF3">
        <w:rPr>
          <w:rFonts w:ascii="Times New Roman" w:eastAsia="Calibri" w:hAnsi="Times New Roman" w:cs="Times New Roman"/>
          <w:color w:val="000000" w:themeColor="text1"/>
          <w:sz w:val="24"/>
          <w:szCs w:val="24"/>
        </w:rPr>
        <w:tab/>
        <w:t xml:space="preserve">Nature </w:t>
      </w:r>
      <w:r w:rsidRPr="00BE4AF3">
        <w:rPr>
          <w:rFonts w:ascii="Times New Roman" w:eastAsia="Calibri" w:hAnsi="Times New Roman" w:cs="Times New Roman"/>
          <w:color w:val="000000" w:themeColor="text1"/>
          <w:sz w:val="24"/>
          <w:szCs w:val="24"/>
        </w:rPr>
        <w:tab/>
        <w:t xml:space="preserve">Parks. DOI:10.1007/978-3-319-32013-7_11, In book: Trends in Differential </w:t>
      </w:r>
      <w:r w:rsidRPr="00BE4AF3">
        <w:rPr>
          <w:rFonts w:ascii="Times New Roman" w:eastAsia="Calibri" w:hAnsi="Times New Roman" w:cs="Times New Roman"/>
          <w:color w:val="000000" w:themeColor="text1"/>
          <w:sz w:val="24"/>
          <w:szCs w:val="24"/>
        </w:rPr>
        <w:tab/>
        <w:t xml:space="preserve">Equations and </w:t>
      </w:r>
      <w:r w:rsidRPr="00BE4AF3">
        <w:rPr>
          <w:rFonts w:ascii="Times New Roman" w:eastAsia="Calibri" w:hAnsi="Times New Roman" w:cs="Times New Roman"/>
          <w:color w:val="000000" w:themeColor="text1"/>
          <w:sz w:val="24"/>
          <w:szCs w:val="24"/>
        </w:rPr>
        <w:tab/>
        <w:t xml:space="preserve">Applications (pp.189-202) DOI:10.1007/978-3-319-32013-7_11, In </w:t>
      </w:r>
    </w:p>
    <w:p w14:paraId="743787A6" w14:textId="052E0E1D" w:rsidR="00A63CD3" w:rsidRPr="00BE4AF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 xml:space="preserve">book: Trends in </w:t>
      </w:r>
      <w:r w:rsidR="00A63CD3" w:rsidRPr="00BE4AF3">
        <w:rPr>
          <w:rFonts w:ascii="Times New Roman" w:eastAsia="Calibri" w:hAnsi="Times New Roman" w:cs="Times New Roman"/>
          <w:color w:val="000000" w:themeColor="text1"/>
          <w:sz w:val="24"/>
          <w:szCs w:val="24"/>
        </w:rPr>
        <w:tab/>
        <w:t>Differential Equations and Applications (pp.189-202).</w:t>
      </w:r>
    </w:p>
    <w:p w14:paraId="115BD15C"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Bodunde, J., Olubode, O., and Owolabi, C. (2020). Impact of Maintenance on a</w:t>
      </w:r>
      <w:r w:rsidRPr="00BE4AF3">
        <w:rPr>
          <w:rFonts w:ascii="Times New Roman" w:eastAsia="Calibri" w:hAnsi="Times New Roman" w:cs="Times New Roman"/>
          <w:color w:val="000000" w:themeColor="text1"/>
          <w:sz w:val="24"/>
          <w:szCs w:val="24"/>
        </w:rPr>
        <w:tab/>
        <w:t xml:space="preserve">Conventional </w:t>
      </w:r>
      <w:r w:rsidRPr="00BE4AF3">
        <w:rPr>
          <w:rFonts w:ascii="Times New Roman" w:eastAsia="Calibri" w:hAnsi="Times New Roman" w:cs="Times New Roman"/>
          <w:color w:val="000000" w:themeColor="text1"/>
          <w:sz w:val="24"/>
          <w:szCs w:val="24"/>
        </w:rPr>
        <w:tab/>
        <w:t xml:space="preserve">and </w:t>
      </w:r>
      <w:r w:rsidRPr="00BE4AF3">
        <w:rPr>
          <w:rFonts w:ascii="Times New Roman" w:eastAsia="Calibri" w:hAnsi="Times New Roman" w:cs="Times New Roman"/>
          <w:color w:val="000000" w:themeColor="text1"/>
          <w:sz w:val="24"/>
          <w:szCs w:val="24"/>
        </w:rPr>
        <w:tab/>
        <w:t xml:space="preserve">Edible Plant Components Landscape Design Concept. </w:t>
      </w:r>
      <w:r w:rsidRPr="00BE4AF3">
        <w:rPr>
          <w:rFonts w:ascii="Times New Roman" w:eastAsia="Calibri" w:hAnsi="Times New Roman" w:cs="Times New Roman"/>
          <w:color w:val="000000" w:themeColor="text1"/>
          <w:sz w:val="24"/>
          <w:szCs w:val="24"/>
        </w:rPr>
        <w:tab/>
        <w:t xml:space="preserve">10.13140/Rg.2.2.15042.94407. </w:t>
      </w:r>
    </w:p>
    <w:p w14:paraId="7985F5C7" w14:textId="77777777" w:rsidR="00FA610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Bruni, D. (2016). Landscape Quality and Sustainability Indicators, Agriculture and </w:t>
      </w:r>
    </w:p>
    <w:p w14:paraId="63D9AA4E" w14:textId="77777777" w:rsidR="00FA610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 xml:space="preserve">Agricultural </w:t>
      </w:r>
      <w:r w:rsidR="00A63CD3" w:rsidRPr="00BE4AF3">
        <w:rPr>
          <w:rFonts w:ascii="Times New Roman" w:eastAsia="Calibri" w:hAnsi="Times New Roman" w:cs="Times New Roman"/>
          <w:color w:val="000000" w:themeColor="text1"/>
          <w:sz w:val="24"/>
          <w:szCs w:val="24"/>
        </w:rPr>
        <w:tab/>
        <w:t xml:space="preserve">Science </w:t>
      </w:r>
      <w:r w:rsidR="00A63CD3" w:rsidRPr="00BE4AF3">
        <w:rPr>
          <w:rFonts w:ascii="Times New Roman" w:eastAsia="Calibri" w:hAnsi="Times New Roman" w:cs="Times New Roman"/>
          <w:color w:val="000000" w:themeColor="text1"/>
          <w:sz w:val="24"/>
          <w:szCs w:val="24"/>
        </w:rPr>
        <w:tab/>
        <w:t xml:space="preserve">Procedia 8:698-705, 8:698-705 </w:t>
      </w:r>
    </w:p>
    <w:p w14:paraId="0A7B7930" w14:textId="45709FAA" w:rsidR="00A63CD3" w:rsidRPr="00BE4AF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 xml:space="preserve">DOI:10.1016/j.aaspro.2016.02.047, LicenseCC </w:t>
      </w:r>
      <w:r w:rsidR="00A63CD3" w:rsidRPr="00BE4AF3">
        <w:rPr>
          <w:rFonts w:ascii="Times New Roman" w:eastAsia="Calibri" w:hAnsi="Times New Roman" w:cs="Times New Roman"/>
          <w:color w:val="000000" w:themeColor="text1"/>
          <w:sz w:val="24"/>
          <w:szCs w:val="24"/>
        </w:rPr>
        <w:tab/>
        <w:t>BY-NC-ND 4.0</w:t>
      </w:r>
    </w:p>
    <w:p w14:paraId="3DE4D3D8" w14:textId="0A6122A2"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lang w:eastAsia="en-GB"/>
        </w:rPr>
      </w:pPr>
      <w:r w:rsidRPr="00BE4AF3">
        <w:rPr>
          <w:rFonts w:ascii="Times New Roman" w:eastAsia="Calibri" w:hAnsi="Times New Roman" w:cs="Times New Roman"/>
          <w:color w:val="000000" w:themeColor="text1"/>
          <w:sz w:val="24"/>
          <w:szCs w:val="24"/>
          <w:lang w:eastAsia="en-GB"/>
        </w:rPr>
        <w:t>Camilleri, M. A.(2017). The Tourism Industry: An Overview. 10.1007/978-3-319-49849-</w:t>
      </w:r>
      <w:r w:rsidRPr="00BE4AF3">
        <w:rPr>
          <w:rFonts w:ascii="Times New Roman" w:eastAsia="Calibri" w:hAnsi="Times New Roman" w:cs="Times New Roman"/>
          <w:color w:val="000000" w:themeColor="text1"/>
          <w:sz w:val="24"/>
          <w:szCs w:val="24"/>
          <w:lang w:eastAsia="en-GB"/>
        </w:rPr>
        <w:tab/>
        <w:t>2_1.</w:t>
      </w:r>
    </w:p>
    <w:p w14:paraId="0E9FE229"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Deng, L., Li, X., Luo, H., Fu, E.-K., Ma, J., Sun, L.-X., Jia, Y. (2020). Empirical </w:t>
      </w:r>
      <w:r w:rsidRPr="00BE4AF3">
        <w:rPr>
          <w:rFonts w:ascii="Times New Roman" w:eastAsia="Calibri" w:hAnsi="Times New Roman" w:cs="Times New Roman"/>
          <w:color w:val="000000" w:themeColor="text1"/>
          <w:sz w:val="24"/>
          <w:szCs w:val="24"/>
        </w:rPr>
        <w:tab/>
        <w:t xml:space="preserve">study of </w:t>
      </w:r>
      <w:r w:rsidRPr="00BE4AF3">
        <w:rPr>
          <w:rFonts w:ascii="Times New Roman" w:eastAsia="Calibri" w:hAnsi="Times New Roman" w:cs="Times New Roman"/>
          <w:color w:val="000000" w:themeColor="text1"/>
          <w:sz w:val="24"/>
          <w:szCs w:val="24"/>
        </w:rPr>
        <w:tab/>
        <w:t xml:space="preserve">landscape types, landscape elements and landscape components of the urban park </w:t>
      </w:r>
      <w:r w:rsidRPr="00BE4AF3">
        <w:rPr>
          <w:rFonts w:ascii="Times New Roman" w:eastAsia="Calibri" w:hAnsi="Times New Roman" w:cs="Times New Roman"/>
          <w:color w:val="000000" w:themeColor="text1"/>
          <w:sz w:val="24"/>
          <w:szCs w:val="24"/>
        </w:rPr>
        <w:tab/>
        <w:t xml:space="preserve">promoting physiological and psychological restoration. College of Landscape </w:t>
      </w:r>
      <w:r w:rsidRPr="00BE4AF3">
        <w:rPr>
          <w:rFonts w:ascii="Times New Roman" w:eastAsia="Calibri" w:hAnsi="Times New Roman" w:cs="Times New Roman"/>
          <w:color w:val="000000" w:themeColor="text1"/>
          <w:sz w:val="24"/>
          <w:szCs w:val="24"/>
        </w:rPr>
        <w:tab/>
        <w:t xml:space="preserve">Architecture, </w:t>
      </w:r>
      <w:r w:rsidRPr="00BE4AF3">
        <w:rPr>
          <w:rFonts w:ascii="Times New Roman" w:eastAsia="Calibri" w:hAnsi="Times New Roman" w:cs="Times New Roman"/>
          <w:color w:val="000000" w:themeColor="text1"/>
          <w:sz w:val="24"/>
          <w:szCs w:val="24"/>
        </w:rPr>
        <w:tab/>
        <w:t xml:space="preserve">Sichuan Agricultural University, Chengdu, 611130, China, </w:t>
      </w:r>
      <w:r w:rsidRPr="00BE4AF3">
        <w:rPr>
          <w:rFonts w:ascii="Times New Roman" w:eastAsia="Calibri" w:hAnsi="Times New Roman" w:cs="Times New Roman"/>
          <w:color w:val="000000" w:themeColor="text1"/>
          <w:sz w:val="24"/>
          <w:szCs w:val="24"/>
        </w:rPr>
        <w:tab/>
      </w:r>
      <w:hyperlink r:id="rId168" w:history="1">
        <w:r w:rsidRPr="00BE4AF3">
          <w:rPr>
            <w:rFonts w:ascii="Times New Roman" w:eastAsia="Calibri" w:hAnsi="Times New Roman" w:cs="Times New Roman"/>
            <w:color w:val="000000" w:themeColor="text1"/>
            <w:sz w:val="24"/>
            <w:szCs w:val="24"/>
            <w:u w:val="single"/>
          </w:rPr>
          <w:t>https://doi.org/10.1016/j.ufug.2019.126488</w:t>
        </w:r>
      </w:hyperlink>
      <w:r w:rsidRPr="00BE4AF3">
        <w:rPr>
          <w:rFonts w:ascii="Times New Roman" w:eastAsia="Calibri" w:hAnsi="Times New Roman" w:cs="Times New Roman"/>
          <w:color w:val="000000" w:themeColor="text1"/>
          <w:sz w:val="24"/>
          <w:szCs w:val="24"/>
        </w:rPr>
        <w:tab/>
      </w:r>
      <w:r w:rsidRPr="00BE4AF3">
        <w:rPr>
          <w:rFonts w:ascii="Times New Roman" w:eastAsia="Calibri" w:hAnsi="Times New Roman" w:cs="Times New Roman"/>
          <w:color w:val="000000" w:themeColor="text1"/>
          <w:sz w:val="24"/>
          <w:szCs w:val="24"/>
        </w:rPr>
        <w:tab/>
      </w:r>
      <w:r w:rsidRPr="00BE4AF3">
        <w:rPr>
          <w:rFonts w:ascii="Times New Roman" w:eastAsia="Calibri" w:hAnsi="Times New Roman" w:cs="Times New Roman"/>
          <w:color w:val="000000" w:themeColor="text1"/>
          <w:sz w:val="24"/>
          <w:szCs w:val="24"/>
        </w:rPr>
        <w:tab/>
      </w:r>
    </w:p>
    <w:p w14:paraId="3143B232" w14:textId="77777777" w:rsidR="00FA610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Duzenli, T., &amp; Özkan, D. G. (2016). Purposes of Waterscapes Usage in Landscape </w:t>
      </w:r>
    </w:p>
    <w:p w14:paraId="21AFD67E" w14:textId="77777777" w:rsidR="00FA610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 xml:space="preserve">Architecture. </w:t>
      </w:r>
      <w:r w:rsidR="00A63CD3" w:rsidRPr="00BE4AF3">
        <w:rPr>
          <w:rFonts w:ascii="Times New Roman" w:eastAsia="Calibri" w:hAnsi="Times New Roman" w:cs="Times New Roman"/>
          <w:color w:val="000000" w:themeColor="text1"/>
          <w:sz w:val="24"/>
          <w:szCs w:val="24"/>
        </w:rPr>
        <w:tab/>
        <w:t>Environmental Sustainability and Landscape Management (Pp.412-</w:t>
      </w:r>
    </w:p>
    <w:p w14:paraId="41915F47" w14:textId="77777777" w:rsidR="00FA610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 xml:space="preserve">424), Edition: St. </w:t>
      </w:r>
      <w:r w:rsidR="00A63CD3" w:rsidRPr="00BE4AF3">
        <w:rPr>
          <w:rFonts w:ascii="Times New Roman" w:eastAsia="Calibri" w:hAnsi="Times New Roman" w:cs="Times New Roman"/>
          <w:color w:val="000000" w:themeColor="text1"/>
          <w:sz w:val="24"/>
          <w:szCs w:val="24"/>
        </w:rPr>
        <w:tab/>
        <w:t xml:space="preserve">Kliment Ohridski University Press Sofiachapter: 25Publisher: </w:t>
      </w:r>
    </w:p>
    <w:p w14:paraId="71F2C208" w14:textId="77777777" w:rsidR="00FA610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 xml:space="preserve">St. Kliment Ohridski </w:t>
      </w:r>
      <w:r w:rsidR="00A63CD3" w:rsidRPr="00BE4AF3">
        <w:rPr>
          <w:rFonts w:ascii="Times New Roman" w:eastAsia="Calibri" w:hAnsi="Times New Roman" w:cs="Times New Roman"/>
          <w:color w:val="000000" w:themeColor="text1"/>
          <w:sz w:val="24"/>
          <w:szCs w:val="24"/>
        </w:rPr>
        <w:tab/>
        <w:t xml:space="preserve">University Presseditors: Recep Efe, İsa Cürebal, Abdalla Gad, </w:t>
      </w:r>
    </w:p>
    <w:p w14:paraId="26B3E675" w14:textId="40DB7C7F" w:rsidR="00A63CD3" w:rsidRPr="00BE4AF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Brigitta Tóth</w:t>
      </w:r>
    </w:p>
    <w:p w14:paraId="5E9CECBF"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Efe, R., Abd-alla Gad, A. G., &amp; Toth, B. (2016). Environmental Sustainability and Landscape </w:t>
      </w:r>
      <w:r w:rsidRPr="00BE4AF3">
        <w:rPr>
          <w:rFonts w:ascii="Times New Roman" w:eastAsia="Calibri" w:hAnsi="Times New Roman" w:cs="Times New Roman"/>
          <w:color w:val="000000" w:themeColor="text1"/>
          <w:sz w:val="24"/>
          <w:szCs w:val="24"/>
        </w:rPr>
        <w:tab/>
        <w:t>Management. Land Art as a Contemporary Remark on Forming the Landscape (pp.396-</w:t>
      </w:r>
      <w:r w:rsidRPr="00BE4AF3">
        <w:rPr>
          <w:rFonts w:ascii="Times New Roman" w:eastAsia="Calibri" w:hAnsi="Times New Roman" w:cs="Times New Roman"/>
          <w:color w:val="000000" w:themeColor="text1"/>
          <w:sz w:val="24"/>
          <w:szCs w:val="24"/>
        </w:rPr>
        <w:tab/>
        <w:t>410)Publisher: ST. KLIMENT OHRIDSKI UNIVERSITY PRESS</w:t>
      </w:r>
    </w:p>
    <w:p w14:paraId="453337D9" w14:textId="2927C2DC"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Emmanuel, S. (2021).  Tourism in the great alpine glacial sites: perceptions and adaptations to </w:t>
      </w:r>
      <w:r w:rsidRPr="00BE4AF3">
        <w:rPr>
          <w:rFonts w:ascii="Times New Roman" w:eastAsia="Calibri" w:hAnsi="Times New Roman" w:cs="Times New Roman"/>
          <w:color w:val="000000" w:themeColor="text1"/>
          <w:sz w:val="24"/>
          <w:szCs w:val="24"/>
        </w:rPr>
        <w:tab/>
        <w:t xml:space="preserve">landscape change.. Géographie. Université Savoie Mont blanc, 2021. Français. </w:t>
      </w:r>
      <w:r w:rsidRPr="00BE4AF3">
        <w:rPr>
          <w:rFonts w:ascii="Times New Roman" w:eastAsia="Calibri" w:hAnsi="Times New Roman" w:cs="Times New Roman"/>
          <w:color w:val="000000" w:themeColor="text1"/>
          <w:sz w:val="24"/>
          <w:szCs w:val="24"/>
        </w:rPr>
        <w:tab/>
        <w:t>‌</w:t>
      </w:r>
      <w:r w:rsidRPr="00BE4AF3">
        <w:rPr>
          <w:rFonts w:ascii="Times New Roman" w:eastAsia="Calibri" w:hAnsi="Times New Roman" w:cs="Times New Roman"/>
          <w:color w:val="000000" w:themeColor="text1"/>
          <w:sz w:val="24"/>
          <w:szCs w:val="24"/>
        </w:rPr>
        <w:tab/>
        <w:t>tel-03710261‌</w:t>
      </w:r>
    </w:p>
    <w:p w14:paraId="58F25F37"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u w:val="single"/>
        </w:rPr>
      </w:pPr>
      <w:r w:rsidRPr="00BE4AF3">
        <w:rPr>
          <w:rFonts w:ascii="Times New Roman" w:eastAsia="Calibri" w:hAnsi="Times New Roman" w:cs="Times New Roman"/>
          <w:color w:val="000000" w:themeColor="text1"/>
          <w:sz w:val="24"/>
          <w:szCs w:val="24"/>
        </w:rPr>
        <w:t>Eseigbe, J. O. (2014). Landscape Features and Tourism Development in Nigeria. ISSN 2224-</w:t>
      </w:r>
      <w:r w:rsidRPr="00BE4AF3">
        <w:rPr>
          <w:rFonts w:ascii="Times New Roman" w:eastAsia="Calibri" w:hAnsi="Times New Roman" w:cs="Times New Roman"/>
          <w:color w:val="000000" w:themeColor="text1"/>
          <w:sz w:val="24"/>
          <w:szCs w:val="24"/>
        </w:rPr>
        <w:tab/>
        <w:t xml:space="preserve">607X </w:t>
      </w:r>
      <w:r w:rsidRPr="00BE4AF3">
        <w:rPr>
          <w:rFonts w:ascii="Times New Roman" w:eastAsia="Calibri" w:hAnsi="Times New Roman" w:cs="Times New Roman"/>
          <w:color w:val="000000" w:themeColor="text1"/>
          <w:sz w:val="24"/>
          <w:szCs w:val="24"/>
        </w:rPr>
        <w:tab/>
        <w:t xml:space="preserve">(Paper) ISSN 2225-0565 (Online) Vol.4, No.10, 2014 163 </w:t>
      </w:r>
      <w:hyperlink r:id="rId169" w:history="1">
        <w:r w:rsidRPr="00BE4AF3">
          <w:rPr>
            <w:rFonts w:ascii="Times New Roman" w:eastAsia="Calibri" w:hAnsi="Times New Roman" w:cs="Times New Roman"/>
            <w:color w:val="000000" w:themeColor="text1"/>
            <w:sz w:val="24"/>
            <w:szCs w:val="24"/>
            <w:u w:val="single"/>
          </w:rPr>
          <w:t>www.iiste.org</w:t>
        </w:r>
      </w:hyperlink>
    </w:p>
    <w:p w14:paraId="2E915D2C" w14:textId="77777777" w:rsidR="00FA610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Hongpeng Fu, Jianxing Guan, Qikang Zhong, Lingbo Fu, Yuqing Jian,, Jingdong Li, (2024). </w:t>
      </w:r>
      <w:r w:rsidRPr="00BE4AF3">
        <w:rPr>
          <w:rFonts w:ascii="Times New Roman" w:eastAsia="Calibri" w:hAnsi="Times New Roman" w:cs="Times New Roman"/>
          <w:color w:val="000000" w:themeColor="text1"/>
          <w:sz w:val="24"/>
          <w:szCs w:val="24"/>
        </w:rPr>
        <w:tab/>
        <w:t xml:space="preserve">Landscape Elements, ecosystem services and users’ Happiness: An indicator </w:t>
      </w:r>
    </w:p>
    <w:p w14:paraId="779CE908" w14:textId="77777777" w:rsidR="00FA610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 xml:space="preserve">framework </w:t>
      </w:r>
      <w:r w:rsidR="00A63CD3" w:rsidRPr="00BE4AF3">
        <w:rPr>
          <w:rFonts w:ascii="Times New Roman" w:eastAsia="Calibri" w:hAnsi="Times New Roman" w:cs="Times New Roman"/>
          <w:color w:val="000000" w:themeColor="text1"/>
          <w:sz w:val="24"/>
          <w:szCs w:val="24"/>
        </w:rPr>
        <w:tab/>
        <w:t xml:space="preserve">for park </w:t>
      </w:r>
      <w:r w:rsidR="00A63CD3" w:rsidRPr="00BE4AF3">
        <w:rPr>
          <w:rFonts w:ascii="Times New Roman" w:eastAsia="Calibri" w:hAnsi="Times New Roman" w:cs="Times New Roman"/>
          <w:color w:val="000000" w:themeColor="text1"/>
          <w:sz w:val="24"/>
          <w:szCs w:val="24"/>
        </w:rPr>
        <w:tab/>
        <w:t xml:space="preserve">management based on cognitive appraisal theory. </w:t>
      </w:r>
    </w:p>
    <w:p w14:paraId="653BA396" w14:textId="27FD734E" w:rsidR="00A63CD3" w:rsidRPr="00BE4AF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 xml:space="preserve">Ecological Indicators. 165 </w:t>
      </w:r>
      <w:r w:rsidR="00A63CD3" w:rsidRPr="00BE4AF3">
        <w:rPr>
          <w:rFonts w:ascii="Times New Roman" w:eastAsia="Calibri" w:hAnsi="Times New Roman" w:cs="Times New Roman"/>
          <w:color w:val="000000" w:themeColor="text1"/>
          <w:sz w:val="24"/>
          <w:szCs w:val="24"/>
        </w:rPr>
        <w:tab/>
        <w:t xml:space="preserve">(2024) 112209. </w:t>
      </w:r>
      <w:r w:rsidR="00A63CD3" w:rsidRPr="00BE4AF3">
        <w:rPr>
          <w:rFonts w:ascii="Times New Roman" w:eastAsia="Calibri" w:hAnsi="Times New Roman" w:cs="Times New Roman"/>
          <w:color w:val="000000" w:themeColor="text1"/>
          <w:sz w:val="24"/>
          <w:szCs w:val="24"/>
        </w:rPr>
        <w:tab/>
      </w:r>
      <w:hyperlink r:id="rId170" w:history="1">
        <w:r w:rsidR="00A63CD3" w:rsidRPr="00BE4AF3">
          <w:rPr>
            <w:rFonts w:ascii="Times New Roman" w:eastAsia="Calibri" w:hAnsi="Times New Roman" w:cs="Times New Roman"/>
            <w:color w:val="000000" w:themeColor="text1"/>
            <w:sz w:val="24"/>
            <w:szCs w:val="24"/>
            <w:u w:val="single"/>
          </w:rPr>
          <w:t>https://doi.org/10.1016/j.ecolind.2024.112209</w:t>
        </w:r>
      </w:hyperlink>
    </w:p>
    <w:p w14:paraId="637215CB" w14:textId="77777777" w:rsidR="00FA610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Igbosonu, C., Peace, S., &amp; Favour, U. (2024). Evaluating the Effect of Landscaping Elements </w:t>
      </w:r>
    </w:p>
    <w:p w14:paraId="0F52390E" w14:textId="77777777" w:rsidR="00FA610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 xml:space="preserve">on </w:t>
      </w:r>
      <w:r w:rsidR="00A63CD3" w:rsidRPr="00BE4AF3">
        <w:rPr>
          <w:rFonts w:ascii="Times New Roman" w:eastAsia="Calibri" w:hAnsi="Times New Roman" w:cs="Times New Roman"/>
          <w:color w:val="000000" w:themeColor="text1"/>
          <w:sz w:val="24"/>
          <w:szCs w:val="24"/>
        </w:rPr>
        <w:tab/>
        <w:t xml:space="preserve">Human </w:t>
      </w:r>
      <w:r w:rsidR="00A63CD3" w:rsidRPr="00BE4AF3">
        <w:rPr>
          <w:rFonts w:ascii="Times New Roman" w:eastAsia="Calibri" w:hAnsi="Times New Roman" w:cs="Times New Roman"/>
          <w:color w:val="000000" w:themeColor="text1"/>
          <w:sz w:val="24"/>
          <w:szCs w:val="24"/>
        </w:rPr>
        <w:tab/>
        <w:t xml:space="preserve">Comfort in a Resort Atmosphere: An Analysis of a Proposed </w:t>
      </w:r>
    </w:p>
    <w:p w14:paraId="3BFF8CD5" w14:textId="6715F577" w:rsidR="00A63CD3" w:rsidRPr="00BE4AF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 xml:space="preserve">Hotel Resort in </w:t>
      </w:r>
      <w:r w:rsidR="00A63CD3" w:rsidRPr="00BE4AF3">
        <w:rPr>
          <w:rFonts w:ascii="Times New Roman" w:eastAsia="Calibri" w:hAnsi="Times New Roman" w:cs="Times New Roman"/>
          <w:color w:val="000000" w:themeColor="text1"/>
          <w:sz w:val="24"/>
          <w:szCs w:val="24"/>
        </w:rPr>
        <w:tab/>
        <w:t>Lekki.</w:t>
      </w:r>
    </w:p>
    <w:p w14:paraId="787AC419" w14:textId="77777777" w:rsidR="00FA610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Ijeomah, H. M. (2019). Relevance of wildlife resources and ecotourism as instruments for </w:t>
      </w:r>
      <w:r w:rsidRPr="00BE4AF3">
        <w:rPr>
          <w:rFonts w:ascii="Times New Roman" w:eastAsia="Calibri" w:hAnsi="Times New Roman" w:cs="Times New Roman"/>
          <w:color w:val="000000" w:themeColor="text1"/>
          <w:sz w:val="24"/>
          <w:szCs w:val="24"/>
        </w:rPr>
        <w:tab/>
        <w:t xml:space="preserve">achieving sustainable development goals. In V. A. J. Adekunle &amp; A. O. Akinwole </w:t>
      </w:r>
    </w:p>
    <w:p w14:paraId="2868BD8D" w14:textId="77777777" w:rsidR="00FA610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 xml:space="preserve">(Eds.), </w:t>
      </w:r>
      <w:r w:rsidR="00A63CD3" w:rsidRPr="00BE4AF3">
        <w:rPr>
          <w:rFonts w:ascii="Times New Roman" w:eastAsia="Calibri" w:hAnsi="Times New Roman" w:cs="Times New Roman"/>
          <w:color w:val="000000" w:themeColor="text1"/>
          <w:sz w:val="24"/>
          <w:szCs w:val="24"/>
        </w:rPr>
        <w:tab/>
        <w:t xml:space="preserve">Sustainable development goals through appropriate forest management: </w:t>
      </w:r>
    </w:p>
    <w:p w14:paraId="0DAE1B3F" w14:textId="77777777" w:rsidR="00FA610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 xml:space="preserve">Keynote and </w:t>
      </w:r>
      <w:r w:rsidR="00A63CD3" w:rsidRPr="00BE4AF3">
        <w:rPr>
          <w:rFonts w:ascii="Times New Roman" w:eastAsia="Calibri" w:hAnsi="Times New Roman" w:cs="Times New Roman"/>
          <w:color w:val="000000" w:themeColor="text1"/>
          <w:sz w:val="24"/>
          <w:szCs w:val="24"/>
        </w:rPr>
        <w:tab/>
        <w:t>sub-</w:t>
      </w:r>
      <w:r w:rsidR="00A63CD3" w:rsidRPr="00BE4AF3">
        <w:rPr>
          <w:rFonts w:ascii="Times New Roman" w:eastAsia="Calibri" w:hAnsi="Times New Roman" w:cs="Times New Roman"/>
          <w:color w:val="000000" w:themeColor="text1"/>
          <w:sz w:val="24"/>
          <w:szCs w:val="24"/>
        </w:rPr>
        <w:tab/>
        <w:t xml:space="preserve">themes. Proceedings of the 41st Annual Conference of the </w:t>
      </w:r>
    </w:p>
    <w:p w14:paraId="0B7D0EA0" w14:textId="77777777" w:rsidR="00FA610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 xml:space="preserve">Forestry Association of </w:t>
      </w:r>
      <w:r w:rsidR="00A63CD3" w:rsidRPr="00BE4AF3">
        <w:rPr>
          <w:rFonts w:ascii="Times New Roman" w:eastAsia="Calibri" w:hAnsi="Times New Roman" w:cs="Times New Roman"/>
          <w:color w:val="000000" w:themeColor="text1"/>
          <w:sz w:val="24"/>
          <w:szCs w:val="24"/>
        </w:rPr>
        <w:tab/>
        <w:t xml:space="preserve">Nigeria </w:t>
      </w:r>
      <w:r w:rsidR="00A63CD3" w:rsidRPr="00BE4AF3">
        <w:rPr>
          <w:rFonts w:ascii="Times New Roman" w:eastAsia="Calibri" w:hAnsi="Times New Roman" w:cs="Times New Roman"/>
          <w:color w:val="000000" w:themeColor="text1"/>
          <w:sz w:val="24"/>
          <w:szCs w:val="24"/>
        </w:rPr>
        <w:tab/>
        <w:t xml:space="preserve">(pp. 144–166). Forestry Association of </w:t>
      </w:r>
    </w:p>
    <w:p w14:paraId="55CA8AF7" w14:textId="26B6ADD9" w:rsidR="00A63CD3" w:rsidRPr="00BE4AF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 xml:space="preserve">Nigeria. Conference held in Abuja, </w:t>
      </w:r>
      <w:r w:rsidR="00A63CD3" w:rsidRPr="00BE4AF3">
        <w:rPr>
          <w:rFonts w:ascii="Times New Roman" w:eastAsia="Calibri" w:hAnsi="Times New Roman" w:cs="Times New Roman"/>
          <w:color w:val="000000" w:themeColor="text1"/>
          <w:sz w:val="24"/>
          <w:szCs w:val="24"/>
        </w:rPr>
        <w:tab/>
        <w:t xml:space="preserve">Federal Capital </w:t>
      </w:r>
      <w:r w:rsidR="00A63CD3" w:rsidRPr="00BE4AF3">
        <w:rPr>
          <w:rFonts w:ascii="Times New Roman" w:eastAsia="Calibri" w:hAnsi="Times New Roman" w:cs="Times New Roman"/>
          <w:color w:val="000000" w:themeColor="text1"/>
          <w:sz w:val="24"/>
          <w:szCs w:val="24"/>
        </w:rPr>
        <w:tab/>
        <w:t>Territory, Nigeria, 7–11.</w:t>
      </w:r>
    </w:p>
    <w:p w14:paraId="0BA89F93" w14:textId="77777777" w:rsidR="00FA610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lastRenderedPageBreak/>
        <w:t xml:space="preserve">Jahani, A., Saffariha, M., Barzegar, P., 2023. Landscape aesthetic quality assessment of </w:t>
      </w:r>
      <w:r w:rsidRPr="00BE4AF3">
        <w:rPr>
          <w:rFonts w:ascii="Times New Roman" w:eastAsia="Calibri" w:hAnsi="Times New Roman" w:cs="Times New Roman"/>
          <w:color w:val="000000" w:themeColor="text1"/>
          <w:sz w:val="24"/>
          <w:szCs w:val="24"/>
        </w:rPr>
        <w:tab/>
        <w:t xml:space="preserve">forest </w:t>
      </w:r>
      <w:r w:rsidRPr="00BE4AF3">
        <w:rPr>
          <w:rFonts w:ascii="Times New Roman" w:eastAsia="Calibri" w:hAnsi="Times New Roman" w:cs="Times New Roman"/>
          <w:color w:val="000000" w:themeColor="text1"/>
          <w:sz w:val="24"/>
          <w:szCs w:val="24"/>
        </w:rPr>
        <w:tab/>
        <w:t xml:space="preserve">lands: </w:t>
      </w:r>
      <w:r w:rsidRPr="00BE4AF3">
        <w:rPr>
          <w:rFonts w:ascii="Times New Roman" w:eastAsia="Calibri" w:hAnsi="Times New Roman" w:cs="Times New Roman"/>
          <w:color w:val="000000" w:themeColor="text1"/>
          <w:sz w:val="24"/>
          <w:szCs w:val="24"/>
        </w:rPr>
        <w:tab/>
        <w:t>an application of machine learning approach. Soft Comput 27, 6671–</w:t>
      </w:r>
    </w:p>
    <w:p w14:paraId="5641F96D" w14:textId="5C3843F1" w:rsidR="00A63CD3" w:rsidRPr="00BE4AF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6686.</w:t>
      </w:r>
    </w:p>
    <w:p w14:paraId="341B4B7C" w14:textId="77777777" w:rsidR="00FA610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Jessel, B. (2006). Elements, characteristics and character Information functions of landscapes </w:t>
      </w:r>
    </w:p>
    <w:p w14:paraId="3C0AA051" w14:textId="33B98789" w:rsidR="00A63CD3" w:rsidRPr="00BE4AF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 xml:space="preserve">in </w:t>
      </w:r>
      <w:r w:rsidR="00A63CD3" w:rsidRPr="00BE4AF3">
        <w:rPr>
          <w:rFonts w:ascii="Times New Roman" w:eastAsia="Calibri" w:hAnsi="Times New Roman" w:cs="Times New Roman"/>
          <w:color w:val="000000" w:themeColor="text1"/>
          <w:sz w:val="24"/>
          <w:szCs w:val="24"/>
        </w:rPr>
        <w:tab/>
        <w:t xml:space="preserve">terms </w:t>
      </w:r>
      <w:r w:rsidR="00A63CD3" w:rsidRPr="00BE4AF3">
        <w:rPr>
          <w:rFonts w:ascii="Times New Roman" w:eastAsia="Calibri" w:hAnsi="Times New Roman" w:cs="Times New Roman"/>
          <w:color w:val="000000" w:themeColor="text1"/>
          <w:sz w:val="24"/>
          <w:szCs w:val="24"/>
        </w:rPr>
        <w:tab/>
        <w:t xml:space="preserve">of indicators. Ecological Indicators 6(1):153-167, 6(1):153-167, </w:t>
      </w:r>
      <w:r w:rsidR="00A63CD3" w:rsidRPr="00BE4AF3">
        <w:rPr>
          <w:rFonts w:ascii="Times New Roman" w:eastAsia="Calibri" w:hAnsi="Times New Roman" w:cs="Times New Roman"/>
          <w:color w:val="000000" w:themeColor="text1"/>
          <w:sz w:val="24"/>
          <w:szCs w:val="24"/>
        </w:rPr>
        <w:tab/>
        <w:t>DOI:10.1016/j.ecolind.2005.08.009</w:t>
      </w:r>
    </w:p>
    <w:p w14:paraId="7EB51578"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John, O., &amp; Ayeni, D. (2019). Achieving Aesthetics using Landscape Design in Resort </w:t>
      </w:r>
      <w:r w:rsidRPr="00BE4AF3">
        <w:rPr>
          <w:rFonts w:ascii="Times New Roman" w:eastAsia="Calibri" w:hAnsi="Times New Roman" w:cs="Times New Roman"/>
          <w:color w:val="000000" w:themeColor="text1"/>
          <w:sz w:val="24"/>
          <w:szCs w:val="24"/>
        </w:rPr>
        <w:tab/>
        <w:t xml:space="preserve">Environment. </w:t>
      </w:r>
      <w:r w:rsidRPr="00BE4AF3">
        <w:rPr>
          <w:rFonts w:ascii="Times New Roman" w:eastAsia="Calibri" w:hAnsi="Times New Roman" w:cs="Times New Roman"/>
          <w:color w:val="000000" w:themeColor="text1"/>
          <w:sz w:val="24"/>
          <w:szCs w:val="24"/>
        </w:rPr>
        <w:tab/>
        <w:t>7(IX):2321-9653</w:t>
      </w:r>
    </w:p>
    <w:p w14:paraId="38D83028" w14:textId="77777777" w:rsidR="00FA610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Maghsoodi Tilaki, M. J., Samat, N., &amp; Abdul Rahim, A. (2022). Assessing the Impact of </w:t>
      </w:r>
      <w:r w:rsidRPr="00BE4AF3">
        <w:rPr>
          <w:rFonts w:ascii="Times New Roman" w:eastAsia="Calibri" w:hAnsi="Times New Roman" w:cs="Times New Roman"/>
          <w:color w:val="000000" w:themeColor="text1"/>
          <w:sz w:val="24"/>
          <w:szCs w:val="24"/>
        </w:rPr>
        <w:tab/>
        <w:t xml:space="preserve">Landscape </w:t>
      </w:r>
      <w:r w:rsidRPr="00BE4AF3">
        <w:rPr>
          <w:rFonts w:ascii="Times New Roman" w:eastAsia="Calibri" w:hAnsi="Times New Roman" w:cs="Times New Roman"/>
          <w:color w:val="000000" w:themeColor="text1"/>
          <w:sz w:val="24"/>
          <w:szCs w:val="24"/>
        </w:rPr>
        <w:tab/>
        <w:t xml:space="preserve">Design on Perception of Safety, Place Attachment and Place </w:t>
      </w:r>
    </w:p>
    <w:p w14:paraId="040598D4" w14:textId="5DA58FE5" w:rsidR="00A63CD3" w:rsidRPr="00BE4AF3" w:rsidRDefault="00FA6103"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Satisfaction.</w:t>
      </w:r>
    </w:p>
    <w:p w14:paraId="65C4B6C9"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Mayer, M., &amp; Vogt, L. (2016). Economic effects of tourism and its influencing factors. An </w:t>
      </w:r>
      <w:r w:rsidRPr="00BE4AF3">
        <w:rPr>
          <w:rFonts w:ascii="Times New Roman" w:eastAsia="Calibri" w:hAnsi="Times New Roman" w:cs="Times New Roman"/>
          <w:color w:val="000000" w:themeColor="text1"/>
          <w:sz w:val="24"/>
          <w:szCs w:val="24"/>
        </w:rPr>
        <w:tab/>
        <w:t>overview focusing on the spending determinants of visitors.</w:t>
      </w:r>
    </w:p>
    <w:p w14:paraId="6FD4F70C" w14:textId="77777777" w:rsidR="00FA6103" w:rsidRDefault="00A63CD3" w:rsidP="00A63CD3">
      <w:pPr>
        <w:spacing w:after="0" w:line="240" w:lineRule="auto"/>
        <w:jc w:val="both"/>
        <w:rPr>
          <w:rFonts w:ascii="Times New Roman" w:eastAsia="Times New Roman" w:hAnsi="Times New Roman" w:cs="Times New Roman"/>
          <w:color w:val="000000" w:themeColor="text1"/>
          <w:sz w:val="24"/>
          <w:szCs w:val="24"/>
          <w:lang w:eastAsia="en-GB"/>
        </w:rPr>
      </w:pPr>
      <w:r w:rsidRPr="00BE4AF3">
        <w:rPr>
          <w:rFonts w:ascii="Times New Roman" w:eastAsia="Times New Roman" w:hAnsi="Times New Roman" w:cs="Times New Roman"/>
          <w:color w:val="000000" w:themeColor="text1"/>
          <w:sz w:val="24"/>
          <w:szCs w:val="24"/>
          <w:lang w:eastAsia="en-GB"/>
        </w:rPr>
        <w:t>Mohamed, N. Othman, N. and Ariffin, M. (2012). The Potential of Urban Forest Park for</w:t>
      </w:r>
      <w:r w:rsidRPr="00BE4AF3">
        <w:rPr>
          <w:rFonts w:ascii="Times New Roman" w:eastAsia="Times New Roman" w:hAnsi="Times New Roman" w:cs="Times New Roman"/>
          <w:color w:val="000000" w:themeColor="text1"/>
          <w:sz w:val="24"/>
          <w:szCs w:val="24"/>
          <w:lang w:eastAsia="en-GB"/>
        </w:rPr>
        <w:tab/>
        <w:t xml:space="preserve"> </w:t>
      </w:r>
    </w:p>
    <w:p w14:paraId="35A166B1" w14:textId="77777777" w:rsidR="00FA6103" w:rsidRDefault="00FA6103" w:rsidP="00A63CD3">
      <w:pPr>
        <w:spacing w:after="0" w:line="240" w:lineRule="auto"/>
        <w:jc w:val="both"/>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 xml:space="preserve">            </w:t>
      </w:r>
      <w:r w:rsidR="00A63CD3" w:rsidRPr="00BE4AF3">
        <w:rPr>
          <w:rFonts w:ascii="Times New Roman" w:eastAsia="Times New Roman" w:hAnsi="Times New Roman" w:cs="Times New Roman"/>
          <w:color w:val="000000" w:themeColor="text1"/>
          <w:sz w:val="24"/>
          <w:szCs w:val="24"/>
          <w:lang w:eastAsia="en-GB"/>
        </w:rPr>
        <w:t xml:space="preserve">Sustainable </w:t>
      </w:r>
      <w:r w:rsidR="00A63CD3" w:rsidRPr="00BE4AF3">
        <w:rPr>
          <w:rFonts w:ascii="Times New Roman" w:eastAsia="Times New Roman" w:hAnsi="Times New Roman" w:cs="Times New Roman"/>
          <w:color w:val="000000" w:themeColor="text1"/>
          <w:sz w:val="24"/>
          <w:szCs w:val="24"/>
          <w:lang w:eastAsia="en-GB"/>
        </w:rPr>
        <w:tab/>
        <w:t xml:space="preserve">City.  Planning Malaysia,  10(3). </w:t>
      </w:r>
    </w:p>
    <w:p w14:paraId="46A51895" w14:textId="0D5DFDCE" w:rsidR="00A63CD3" w:rsidRPr="00BE4AF3" w:rsidRDefault="00FA6103" w:rsidP="00A63CD3">
      <w:pPr>
        <w:spacing w:after="0" w:line="240" w:lineRule="auto"/>
        <w:jc w:val="both"/>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 xml:space="preserve">            </w:t>
      </w:r>
      <w:hyperlink r:id="rId171" w:history="1">
        <w:r w:rsidRPr="00373AB2">
          <w:rPr>
            <w:rStyle w:val="Hyperlink"/>
            <w:rFonts w:ascii="Times New Roman" w:eastAsia="Times New Roman" w:hAnsi="Times New Roman" w:cs="Times New Roman"/>
            <w:sz w:val="24"/>
            <w:szCs w:val="24"/>
            <w:lang w:eastAsia="en-GB"/>
          </w:rPr>
          <w:t>Https://Doi.Org/10.21837/Pm.V10i3.101</w:t>
        </w:r>
      </w:hyperlink>
      <w:r w:rsidR="00A63CD3" w:rsidRPr="00BE4AF3">
        <w:rPr>
          <w:rFonts w:ascii="Times New Roman" w:eastAsia="Times New Roman" w:hAnsi="Times New Roman" w:cs="Times New Roman"/>
          <w:color w:val="000000" w:themeColor="text1"/>
          <w:sz w:val="24"/>
          <w:szCs w:val="24"/>
          <w:lang w:eastAsia="en-GB"/>
        </w:rPr>
        <w:t>.</w:t>
      </w:r>
    </w:p>
    <w:p w14:paraId="46ACE49E" w14:textId="77777777" w:rsidR="00A63CD3" w:rsidRPr="00BE4AF3" w:rsidRDefault="00A63CD3" w:rsidP="00A63CD3">
      <w:pPr>
        <w:spacing w:after="0" w:line="240" w:lineRule="auto"/>
        <w:jc w:val="both"/>
        <w:rPr>
          <w:rFonts w:ascii="Times New Roman" w:eastAsia="Calibri" w:hAnsi="Times New Roman" w:cs="Times New Roman"/>
          <w:i/>
          <w:color w:val="000000" w:themeColor="text1"/>
          <w:sz w:val="24"/>
          <w:szCs w:val="24"/>
        </w:rPr>
      </w:pPr>
      <w:r w:rsidRPr="00BE4AF3">
        <w:rPr>
          <w:rFonts w:ascii="Times New Roman" w:eastAsia="Times New Roman" w:hAnsi="Times New Roman" w:cs="Times New Roman"/>
          <w:color w:val="000000" w:themeColor="text1"/>
          <w:sz w:val="24"/>
          <w:szCs w:val="24"/>
          <w:lang w:eastAsia="en-GB"/>
        </w:rPr>
        <w:t xml:space="preserve">Noroozi, H. (2020). Definition of Tourism and Sustainable Tourism. </w:t>
      </w:r>
      <w:r w:rsidRPr="00BE4AF3">
        <w:rPr>
          <w:rFonts w:ascii="Times New Roman" w:eastAsia="Times New Roman" w:hAnsi="Times New Roman" w:cs="Times New Roman"/>
          <w:color w:val="000000" w:themeColor="text1"/>
          <w:sz w:val="24"/>
          <w:szCs w:val="24"/>
          <w:lang w:eastAsia="en-GB"/>
        </w:rPr>
        <w:tab/>
        <w:t>10.13140/RG.2.2.33562.47042.</w:t>
      </w:r>
      <w:r w:rsidRPr="00BE4AF3">
        <w:rPr>
          <w:rFonts w:ascii="Times New Roman" w:eastAsia="Calibri" w:hAnsi="Times New Roman" w:cs="Times New Roman"/>
          <w:color w:val="000000" w:themeColor="text1"/>
          <w:sz w:val="24"/>
          <w:szCs w:val="24"/>
        </w:rPr>
        <w:t>http://www.unwto.or</w:t>
      </w:r>
      <w:r w:rsidRPr="00BE4AF3">
        <w:rPr>
          <w:rFonts w:ascii="Times New Roman" w:eastAsia="Times New Roman" w:hAnsi="Times New Roman" w:cs="Times New Roman"/>
          <w:color w:val="000000" w:themeColor="text1"/>
          <w:sz w:val="24"/>
          <w:szCs w:val="24"/>
          <w:lang w:eastAsia="en-GB"/>
        </w:rPr>
        <w:tab/>
      </w:r>
    </w:p>
    <w:p w14:paraId="71CB6F17"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Onyejegbu, M. N. (2014). Cultural Heritage and Tourism Development in Nigeria - Towards </w:t>
      </w:r>
      <w:r w:rsidRPr="00BE4AF3">
        <w:rPr>
          <w:rFonts w:ascii="Times New Roman" w:eastAsia="Calibri" w:hAnsi="Times New Roman" w:cs="Times New Roman"/>
          <w:color w:val="000000" w:themeColor="text1"/>
          <w:sz w:val="24"/>
          <w:szCs w:val="24"/>
        </w:rPr>
        <w:tab/>
        <w:t>Maximizing Museum Potentials.</w:t>
      </w:r>
    </w:p>
    <w:p w14:paraId="2471C290"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Pueyo-Ros, J., Palom, A. R., &amp; Fraguell, R. M. (2017). Uses and Preferences of Visitors to </w:t>
      </w:r>
      <w:r w:rsidRPr="00BE4AF3">
        <w:rPr>
          <w:rFonts w:ascii="Times New Roman" w:eastAsia="Calibri" w:hAnsi="Times New Roman" w:cs="Times New Roman"/>
          <w:color w:val="000000" w:themeColor="text1"/>
          <w:sz w:val="24"/>
          <w:szCs w:val="24"/>
        </w:rPr>
        <w:tab/>
        <w:t xml:space="preserve">Coastal </w:t>
      </w:r>
      <w:r w:rsidRPr="00BE4AF3">
        <w:rPr>
          <w:rFonts w:ascii="Times New Roman" w:eastAsia="Calibri" w:hAnsi="Times New Roman" w:cs="Times New Roman"/>
          <w:color w:val="000000" w:themeColor="text1"/>
          <w:sz w:val="24"/>
          <w:szCs w:val="24"/>
        </w:rPr>
        <w:tab/>
        <w:t>Wetlands in Tourism Destinations (Costa Brava, Spain).</w:t>
      </w:r>
    </w:p>
    <w:p w14:paraId="3B41D5DF"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Rumao, G. S. (2016). Assessing users’ perceptions of campus landscapes learning from the </w:t>
      </w:r>
      <w:r w:rsidRPr="00BE4AF3">
        <w:rPr>
          <w:rFonts w:ascii="Times New Roman" w:eastAsia="Calibri" w:hAnsi="Times New Roman" w:cs="Times New Roman"/>
          <w:color w:val="000000" w:themeColor="text1"/>
          <w:sz w:val="24"/>
          <w:szCs w:val="24"/>
        </w:rPr>
        <w:tab/>
        <w:t>University of Texas at Arlington. Degree of Master of Landscape Arcitecture.</w:t>
      </w:r>
      <w:r w:rsidRPr="00BE4AF3">
        <w:rPr>
          <w:rFonts w:ascii="Times New Roman" w:eastAsia="Calibri" w:hAnsi="Times New Roman" w:cs="Times New Roman"/>
          <w:color w:val="000000" w:themeColor="text1"/>
          <w:sz w:val="24"/>
          <w:szCs w:val="24"/>
        </w:rPr>
        <w:tab/>
        <w:t xml:space="preserve"> </w:t>
      </w:r>
      <w:r w:rsidRPr="00BE4AF3">
        <w:rPr>
          <w:rFonts w:ascii="Times New Roman" w:eastAsia="Calibri" w:hAnsi="Times New Roman" w:cs="Times New Roman"/>
          <w:color w:val="000000" w:themeColor="text1"/>
          <w:sz w:val="24"/>
          <w:szCs w:val="24"/>
        </w:rPr>
        <w:tab/>
        <w:t>https. uta-ir. tdl. org.</w:t>
      </w:r>
    </w:p>
    <w:p w14:paraId="15225546" w14:textId="77777777" w:rsidR="00FA6103" w:rsidRDefault="00A63CD3" w:rsidP="00A63CD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Sadiq, M.,  Abba, H., Bulama, K., and Babagana, H. (2020).  Impact of Landscape on </w:t>
      </w:r>
      <w:r w:rsidRPr="00BE4AF3">
        <w:rPr>
          <w:rFonts w:ascii="Times New Roman" w:hAnsi="Times New Roman" w:cs="Times New Roman"/>
          <w:color w:val="000000" w:themeColor="text1"/>
          <w:sz w:val="24"/>
          <w:szCs w:val="24"/>
        </w:rPr>
        <w:tab/>
        <w:t xml:space="preserve">Tourism </w:t>
      </w:r>
      <w:r w:rsidRPr="00BE4AF3">
        <w:rPr>
          <w:rFonts w:ascii="Times New Roman" w:hAnsi="Times New Roman" w:cs="Times New Roman"/>
          <w:color w:val="000000" w:themeColor="text1"/>
          <w:sz w:val="24"/>
          <w:szCs w:val="24"/>
        </w:rPr>
        <w:tab/>
        <w:t xml:space="preserve">Development, A Case Study of Abuja Millennium Park Abuja, </w:t>
      </w:r>
      <w:r w:rsidRPr="00BE4AF3">
        <w:rPr>
          <w:rFonts w:ascii="Times New Roman" w:hAnsi="Times New Roman" w:cs="Times New Roman"/>
          <w:color w:val="000000" w:themeColor="text1"/>
          <w:sz w:val="24"/>
          <w:szCs w:val="24"/>
        </w:rPr>
        <w:tab/>
        <w:t xml:space="preserve">Nigeria  </w:t>
      </w:r>
      <w:r w:rsidRPr="00BE4AF3">
        <w:rPr>
          <w:rFonts w:ascii="Times New Roman" w:hAnsi="Times New Roman" w:cs="Times New Roman"/>
          <w:color w:val="000000" w:themeColor="text1"/>
          <w:sz w:val="24"/>
          <w:szCs w:val="24"/>
        </w:rPr>
        <w:tab/>
        <w:t xml:space="preserve">Volume 11, </w:t>
      </w:r>
      <w:r w:rsidRPr="00BE4AF3">
        <w:rPr>
          <w:rFonts w:ascii="Times New Roman" w:hAnsi="Times New Roman" w:cs="Times New Roman"/>
          <w:color w:val="000000" w:themeColor="text1"/>
          <w:sz w:val="24"/>
          <w:szCs w:val="24"/>
        </w:rPr>
        <w:tab/>
        <w:t xml:space="preserve">Issue 3, PP 59-72, ISSN: 2360-9194, Double Blind Peer </w:t>
      </w:r>
    </w:p>
    <w:p w14:paraId="151158F2" w14:textId="77777777" w:rsidR="00FA6103" w:rsidRDefault="00FA6103" w:rsidP="00A63CD3">
      <w:pPr>
        <w:spacing w:after="0" w:line="240" w:lineRule="auto"/>
        <w:jc w:val="both"/>
        <w:rPr>
          <w:rFonts w:ascii="Times New Roman" w:hAnsi="Times New Roman" w:cs="Times New Roman"/>
          <w:i/>
          <w:color w:val="000000" w:themeColor="text1"/>
          <w:sz w:val="24"/>
          <w:szCs w:val="24"/>
        </w:rPr>
      </w:pPr>
      <w:r>
        <w:rPr>
          <w:rFonts w:ascii="Times New Roman" w:hAnsi="Times New Roman" w:cs="Times New Roman"/>
          <w:color w:val="000000" w:themeColor="text1"/>
          <w:sz w:val="24"/>
          <w:szCs w:val="24"/>
        </w:rPr>
        <w:t xml:space="preserve">            </w:t>
      </w:r>
      <w:r w:rsidR="00A63CD3" w:rsidRPr="00BE4AF3">
        <w:rPr>
          <w:rFonts w:ascii="Times New Roman" w:hAnsi="Times New Roman" w:cs="Times New Roman"/>
          <w:color w:val="000000" w:themeColor="text1"/>
          <w:sz w:val="24"/>
          <w:szCs w:val="24"/>
        </w:rPr>
        <w:t xml:space="preserve">Reviewed. </w:t>
      </w:r>
      <w:r w:rsidR="00A63CD3" w:rsidRPr="00BE4AF3">
        <w:rPr>
          <w:rFonts w:ascii="Times New Roman" w:hAnsi="Times New Roman" w:cs="Times New Roman"/>
          <w:color w:val="000000" w:themeColor="text1"/>
          <w:sz w:val="24"/>
          <w:szCs w:val="24"/>
        </w:rPr>
        <w:tab/>
      </w:r>
      <w:r w:rsidR="00A63CD3" w:rsidRPr="00BE4AF3">
        <w:rPr>
          <w:rFonts w:ascii="Times New Roman" w:hAnsi="Times New Roman" w:cs="Times New Roman"/>
          <w:i/>
          <w:color w:val="000000" w:themeColor="text1"/>
          <w:sz w:val="24"/>
          <w:szCs w:val="24"/>
        </w:rPr>
        <w:t xml:space="preserve">International Research </w:t>
      </w:r>
      <w:r w:rsidR="00A63CD3" w:rsidRPr="00BE4AF3">
        <w:rPr>
          <w:rFonts w:ascii="Times New Roman" w:hAnsi="Times New Roman" w:cs="Times New Roman"/>
          <w:i/>
          <w:color w:val="000000" w:themeColor="text1"/>
          <w:sz w:val="24"/>
          <w:szCs w:val="24"/>
        </w:rPr>
        <w:tab/>
        <w:t xml:space="preserve">Journal garcjournalssubmit@gmail.com </w:t>
      </w:r>
    </w:p>
    <w:p w14:paraId="67B69165" w14:textId="4FD9D74B" w:rsidR="00A63CD3" w:rsidRPr="00BE4AF3" w:rsidRDefault="00FA6103" w:rsidP="00A63CD3">
      <w:pPr>
        <w:spacing w:after="0" w:line="240" w:lineRule="auto"/>
        <w:jc w:val="both"/>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            </w:t>
      </w:r>
      <w:r w:rsidR="00A63CD3" w:rsidRPr="00BE4AF3">
        <w:rPr>
          <w:rFonts w:ascii="Times New Roman" w:hAnsi="Times New Roman" w:cs="Times New Roman"/>
          <w:i/>
          <w:color w:val="000000" w:themeColor="text1"/>
          <w:sz w:val="24"/>
          <w:szCs w:val="24"/>
        </w:rPr>
        <w:t xml:space="preserve">Journal Series: </w:t>
      </w:r>
      <w:r w:rsidR="00A63CD3" w:rsidRPr="00BE4AF3">
        <w:rPr>
          <w:rFonts w:ascii="Times New Roman" w:hAnsi="Times New Roman" w:cs="Times New Roman"/>
          <w:i/>
          <w:color w:val="000000" w:themeColor="text1"/>
          <w:sz w:val="24"/>
          <w:szCs w:val="24"/>
        </w:rPr>
        <w:tab/>
        <w:t xml:space="preserve">Global </w:t>
      </w:r>
      <w:r w:rsidR="00A63CD3" w:rsidRPr="00BE4AF3">
        <w:rPr>
          <w:rFonts w:ascii="Times New Roman" w:hAnsi="Times New Roman" w:cs="Times New Roman"/>
          <w:i/>
          <w:color w:val="000000" w:themeColor="text1"/>
          <w:sz w:val="24"/>
          <w:szCs w:val="24"/>
        </w:rPr>
        <w:tab/>
        <w:t xml:space="preserve">Academic Research </w:t>
      </w:r>
      <w:r w:rsidR="00A63CD3" w:rsidRPr="00BE4AF3">
        <w:rPr>
          <w:rFonts w:ascii="Times New Roman" w:hAnsi="Times New Roman" w:cs="Times New Roman"/>
          <w:i/>
          <w:color w:val="000000" w:themeColor="text1"/>
          <w:sz w:val="24"/>
          <w:szCs w:val="24"/>
        </w:rPr>
        <w:tab/>
        <w:t>Consortium (garc)</w:t>
      </w:r>
    </w:p>
    <w:p w14:paraId="61F4B12C"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Silva, A. C. R. de S., Bimbato, A. M., &amp; Balestieri, J. A. P. (2021). Exploring environmental, </w:t>
      </w:r>
      <w:r w:rsidRPr="00BE4AF3">
        <w:rPr>
          <w:rFonts w:ascii="Times New Roman" w:eastAsia="Calibri" w:hAnsi="Times New Roman" w:cs="Times New Roman"/>
          <w:color w:val="000000" w:themeColor="text1"/>
          <w:sz w:val="24"/>
          <w:szCs w:val="24"/>
        </w:rPr>
        <w:tab/>
        <w:t>economic and social aspects of rainwater harvesting systems: A review.</w:t>
      </w:r>
    </w:p>
    <w:p w14:paraId="1A9D608A" w14:textId="77777777" w:rsidR="005C1151"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Smith, M. K. (2023). Issues in Cultural Tourism Studies Motivation for Cultural Tourism, </w:t>
      </w:r>
    </w:p>
    <w:p w14:paraId="033DCAE4" w14:textId="1170AC74" w:rsidR="00A63CD3" w:rsidRPr="00BE4AF3" w:rsidRDefault="005C1151"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 xml:space="preserve">Ethnic </w:t>
      </w:r>
      <w:r w:rsidR="00A63CD3" w:rsidRPr="00BE4AF3">
        <w:rPr>
          <w:rFonts w:ascii="Times New Roman" w:eastAsia="Calibri" w:hAnsi="Times New Roman" w:cs="Times New Roman"/>
          <w:color w:val="000000" w:themeColor="text1"/>
          <w:sz w:val="24"/>
          <w:szCs w:val="24"/>
        </w:rPr>
        <w:tab/>
        <w:t>Cultural Tourism and Sustainable Management of.</w:t>
      </w:r>
    </w:p>
    <w:p w14:paraId="1F5FCA9F" w14:textId="77777777" w:rsidR="005C1151" w:rsidRDefault="00A63CD3" w:rsidP="00A63CD3">
      <w:pPr>
        <w:spacing w:after="0" w:line="240" w:lineRule="auto"/>
        <w:jc w:val="both"/>
        <w:rPr>
          <w:rFonts w:ascii="Times New Roman" w:eastAsia="Calibri" w:hAnsi="Times New Roman" w:cs="Times New Roman"/>
          <w:i/>
          <w:color w:val="000000" w:themeColor="text1"/>
          <w:sz w:val="24"/>
          <w:szCs w:val="24"/>
        </w:rPr>
      </w:pPr>
      <w:r w:rsidRPr="00BE4AF3">
        <w:rPr>
          <w:rFonts w:ascii="Times New Roman" w:eastAsia="Calibri" w:hAnsi="Times New Roman" w:cs="Times New Roman"/>
          <w:color w:val="000000" w:themeColor="text1"/>
          <w:sz w:val="24"/>
          <w:szCs w:val="24"/>
        </w:rPr>
        <w:t xml:space="preserve">Suriati, A., Zulkefle, A., Nur, .H., and Nadiyanti, .N. (2022). Assessment of Landscape </w:t>
      </w:r>
      <w:r w:rsidRPr="00BE4AF3">
        <w:rPr>
          <w:rFonts w:ascii="Times New Roman" w:eastAsia="Calibri" w:hAnsi="Times New Roman" w:cs="Times New Roman"/>
          <w:color w:val="000000" w:themeColor="text1"/>
          <w:sz w:val="24"/>
          <w:szCs w:val="24"/>
        </w:rPr>
        <w:tab/>
        <w:t xml:space="preserve">Maintenance </w:t>
      </w:r>
      <w:r w:rsidRPr="00BE4AF3">
        <w:rPr>
          <w:rFonts w:ascii="Times New Roman" w:eastAsia="Calibri" w:hAnsi="Times New Roman" w:cs="Times New Roman"/>
          <w:color w:val="000000" w:themeColor="text1"/>
          <w:sz w:val="24"/>
          <w:szCs w:val="24"/>
        </w:rPr>
        <w:tab/>
        <w:t xml:space="preserve">towards Cost Planning: Expert Validation on the Criteria of Sustainable </w:t>
      </w:r>
      <w:r w:rsidRPr="00BE4AF3">
        <w:rPr>
          <w:rFonts w:ascii="Times New Roman" w:eastAsia="Calibri" w:hAnsi="Times New Roman" w:cs="Times New Roman"/>
          <w:color w:val="000000" w:themeColor="text1"/>
          <w:sz w:val="24"/>
          <w:szCs w:val="24"/>
        </w:rPr>
        <w:tab/>
        <w:t xml:space="preserve">Landscape Maintenance for Public Park. Planning Malaysia: </w:t>
      </w:r>
      <w:r w:rsidRPr="00BE4AF3">
        <w:rPr>
          <w:rFonts w:ascii="Times New Roman" w:eastAsia="Calibri" w:hAnsi="Times New Roman" w:cs="Times New Roman"/>
          <w:i/>
          <w:color w:val="000000" w:themeColor="text1"/>
          <w:sz w:val="24"/>
          <w:szCs w:val="24"/>
        </w:rPr>
        <w:t xml:space="preserve">Journal of </w:t>
      </w:r>
      <w:r w:rsidRPr="00BE4AF3">
        <w:rPr>
          <w:rFonts w:ascii="Times New Roman" w:eastAsia="Calibri" w:hAnsi="Times New Roman" w:cs="Times New Roman"/>
          <w:i/>
          <w:color w:val="000000" w:themeColor="text1"/>
          <w:sz w:val="24"/>
          <w:szCs w:val="24"/>
        </w:rPr>
        <w:tab/>
        <w:t xml:space="preserve">the </w:t>
      </w:r>
    </w:p>
    <w:p w14:paraId="749D4180" w14:textId="29BB4E1C" w:rsidR="00A63CD3" w:rsidRPr="00BE4AF3" w:rsidRDefault="005C1151" w:rsidP="00A63CD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i/>
          <w:color w:val="000000" w:themeColor="text1"/>
          <w:sz w:val="24"/>
          <w:szCs w:val="24"/>
        </w:rPr>
        <w:t xml:space="preserve">           </w:t>
      </w:r>
      <w:r w:rsidR="00A63CD3" w:rsidRPr="00BE4AF3">
        <w:rPr>
          <w:rFonts w:ascii="Times New Roman" w:eastAsia="Calibri" w:hAnsi="Times New Roman" w:cs="Times New Roman"/>
          <w:i/>
          <w:color w:val="000000" w:themeColor="text1"/>
          <w:sz w:val="24"/>
          <w:szCs w:val="24"/>
        </w:rPr>
        <w:t xml:space="preserve">Malaysian </w:t>
      </w:r>
      <w:r w:rsidR="00A63CD3" w:rsidRPr="00BE4AF3">
        <w:rPr>
          <w:rFonts w:ascii="Times New Roman" w:eastAsia="Calibri" w:hAnsi="Times New Roman" w:cs="Times New Roman"/>
          <w:i/>
          <w:color w:val="000000" w:themeColor="text1"/>
          <w:sz w:val="24"/>
          <w:szCs w:val="24"/>
        </w:rPr>
        <w:tab/>
        <w:t xml:space="preserve">Institute of Planners Volume 20 Issue </w:t>
      </w:r>
      <w:r w:rsidR="00A63CD3" w:rsidRPr="00BE4AF3">
        <w:rPr>
          <w:rFonts w:ascii="Times New Roman" w:eastAsia="Calibri" w:hAnsi="Times New Roman" w:cs="Times New Roman"/>
          <w:b/>
          <w:color w:val="000000" w:themeColor="text1"/>
          <w:sz w:val="24"/>
          <w:szCs w:val="24"/>
        </w:rPr>
        <w:t>3</w:t>
      </w:r>
      <w:r w:rsidR="00A63CD3" w:rsidRPr="00BE4AF3">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ab/>
        <w:t>(2022), Page 87 – 98.</w:t>
      </w:r>
    </w:p>
    <w:p w14:paraId="4FE6BFF1"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Terkenli, T. S. (2011). From landscape to tourism and back: the emergence of a Greek </w:t>
      </w:r>
      <w:r w:rsidRPr="00BE4AF3">
        <w:rPr>
          <w:rFonts w:ascii="Times New Roman" w:eastAsia="Calibri" w:hAnsi="Times New Roman" w:cs="Times New Roman"/>
          <w:color w:val="000000" w:themeColor="text1"/>
          <w:sz w:val="24"/>
          <w:szCs w:val="24"/>
        </w:rPr>
        <w:tab/>
        <w:t xml:space="preserve">landscape </w:t>
      </w:r>
      <w:r w:rsidRPr="00BE4AF3">
        <w:rPr>
          <w:rFonts w:ascii="Times New Roman" w:eastAsia="Calibri" w:hAnsi="Times New Roman" w:cs="Times New Roman"/>
          <w:color w:val="000000" w:themeColor="text1"/>
          <w:sz w:val="24"/>
          <w:szCs w:val="24"/>
        </w:rPr>
        <w:tab/>
        <w:t>conscience. Landscape, Identities and Development. Aldershot</w:t>
      </w:r>
    </w:p>
    <w:p w14:paraId="625E5571" w14:textId="77777777" w:rsidR="00A63CD3" w:rsidRPr="00BE4AF3"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Terkenli, T. S., Skowronek, E., Tucki, A., Kounellis, N. (2019). Toward understanding </w:t>
      </w:r>
      <w:r w:rsidRPr="00BE4AF3">
        <w:rPr>
          <w:rFonts w:ascii="Times New Roman" w:eastAsia="Calibri" w:hAnsi="Times New Roman" w:cs="Times New Roman"/>
          <w:color w:val="000000" w:themeColor="text1"/>
          <w:sz w:val="24"/>
          <w:szCs w:val="24"/>
        </w:rPr>
        <w:tab/>
        <w:t xml:space="preserve">tourist </w:t>
      </w:r>
      <w:r w:rsidRPr="00BE4AF3">
        <w:rPr>
          <w:rFonts w:ascii="Times New Roman" w:eastAsia="Calibri" w:hAnsi="Times New Roman" w:cs="Times New Roman"/>
          <w:color w:val="000000" w:themeColor="text1"/>
          <w:sz w:val="24"/>
          <w:szCs w:val="24"/>
        </w:rPr>
        <w:tab/>
        <w:t xml:space="preserve">landscape. A comparative study of locals` and visitors` perception in selected </w:t>
      </w:r>
      <w:r w:rsidRPr="00BE4AF3">
        <w:rPr>
          <w:rFonts w:ascii="Times New Roman" w:eastAsia="Calibri" w:hAnsi="Times New Roman" w:cs="Times New Roman"/>
          <w:color w:val="000000" w:themeColor="text1"/>
          <w:sz w:val="24"/>
          <w:szCs w:val="24"/>
        </w:rPr>
        <w:tab/>
        <w:t xml:space="preserve">destinations in </w:t>
      </w:r>
      <w:r w:rsidRPr="00BE4AF3">
        <w:rPr>
          <w:rFonts w:ascii="Times New Roman" w:eastAsia="Calibri" w:hAnsi="Times New Roman" w:cs="Times New Roman"/>
          <w:color w:val="000000" w:themeColor="text1"/>
          <w:sz w:val="24"/>
          <w:szCs w:val="24"/>
        </w:rPr>
        <w:tab/>
        <w:t xml:space="preserve">Poland and Greece. Quaestiones Geographicae 38(3), Bogucki </w:t>
      </w:r>
      <w:r w:rsidRPr="00BE4AF3">
        <w:rPr>
          <w:rFonts w:ascii="Times New Roman" w:eastAsia="Calibri" w:hAnsi="Times New Roman" w:cs="Times New Roman"/>
          <w:color w:val="000000" w:themeColor="text1"/>
          <w:sz w:val="24"/>
          <w:szCs w:val="24"/>
        </w:rPr>
        <w:tab/>
        <w:t xml:space="preserve">Wydawnictwo Naukowe, </w:t>
      </w:r>
      <w:r w:rsidRPr="00BE4AF3">
        <w:rPr>
          <w:rFonts w:ascii="Times New Roman" w:eastAsia="Calibri" w:hAnsi="Times New Roman" w:cs="Times New Roman"/>
          <w:color w:val="000000" w:themeColor="text1"/>
          <w:sz w:val="24"/>
          <w:szCs w:val="24"/>
        </w:rPr>
        <w:tab/>
        <w:t xml:space="preserve">Poznań, pp. 81–93. </w:t>
      </w:r>
    </w:p>
    <w:p w14:paraId="31999938" w14:textId="77777777" w:rsidR="005C1151" w:rsidRDefault="00A63CD3" w:rsidP="00A63CD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 xml:space="preserve">Wolch, J.R., Byrne, J., Newell, J.P., 2014. Urban green space, public health, and </w:t>
      </w:r>
      <w:r w:rsidRPr="00BE4AF3">
        <w:rPr>
          <w:rFonts w:ascii="Times New Roman" w:eastAsia="Calibri" w:hAnsi="Times New Roman" w:cs="Times New Roman"/>
          <w:color w:val="000000" w:themeColor="text1"/>
          <w:sz w:val="24"/>
          <w:szCs w:val="24"/>
        </w:rPr>
        <w:tab/>
        <w:t xml:space="preserve">environmental </w:t>
      </w:r>
      <w:r w:rsidRPr="00BE4AF3">
        <w:rPr>
          <w:rFonts w:ascii="Times New Roman" w:eastAsia="Calibri" w:hAnsi="Times New Roman" w:cs="Times New Roman"/>
          <w:color w:val="000000" w:themeColor="text1"/>
          <w:sz w:val="24"/>
          <w:szCs w:val="24"/>
        </w:rPr>
        <w:tab/>
        <w:t xml:space="preserve">justice: </w:t>
      </w:r>
      <w:r w:rsidRPr="00BE4AF3">
        <w:rPr>
          <w:rFonts w:ascii="Times New Roman" w:eastAsia="Calibri" w:hAnsi="Times New Roman" w:cs="Times New Roman"/>
          <w:color w:val="000000" w:themeColor="text1"/>
          <w:sz w:val="24"/>
          <w:szCs w:val="24"/>
        </w:rPr>
        <w:tab/>
        <w:t xml:space="preserve">The challenge of making cities ‘just green </w:t>
      </w:r>
    </w:p>
    <w:p w14:paraId="702D2A0D" w14:textId="3B74B77D" w:rsidR="00DD1ACE" w:rsidRDefault="005C1151" w:rsidP="005C1151">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63CD3" w:rsidRPr="00BE4AF3">
        <w:rPr>
          <w:rFonts w:ascii="Times New Roman" w:eastAsia="Calibri" w:hAnsi="Times New Roman" w:cs="Times New Roman"/>
          <w:color w:val="000000" w:themeColor="text1"/>
          <w:sz w:val="24"/>
          <w:szCs w:val="24"/>
        </w:rPr>
        <w:t xml:space="preserve">enough’. Landsc Urban Plan 125, </w:t>
      </w:r>
      <w:r w:rsidR="00A63CD3" w:rsidRPr="00BE4AF3">
        <w:rPr>
          <w:rFonts w:ascii="Times New Roman" w:eastAsia="Calibri" w:hAnsi="Times New Roman" w:cs="Times New Roman"/>
          <w:color w:val="000000" w:themeColor="text1"/>
          <w:sz w:val="24"/>
          <w:szCs w:val="24"/>
        </w:rPr>
        <w:tab/>
        <w:t>234–244.</w:t>
      </w:r>
    </w:p>
    <w:p w14:paraId="098E8BDD" w14:textId="77777777" w:rsidR="005C1151" w:rsidRPr="005C1151" w:rsidRDefault="005C1151" w:rsidP="005C1151">
      <w:pPr>
        <w:spacing w:after="0" w:line="240" w:lineRule="auto"/>
        <w:jc w:val="both"/>
        <w:rPr>
          <w:rStyle w:val="Emphasis"/>
          <w:rFonts w:ascii="Times New Roman" w:eastAsia="Calibri" w:hAnsi="Times New Roman" w:cs="Times New Roman"/>
          <w:i w:val="0"/>
          <w:iCs w:val="0"/>
          <w:color w:val="000000" w:themeColor="text1"/>
          <w:sz w:val="24"/>
          <w:szCs w:val="24"/>
        </w:rPr>
      </w:pPr>
    </w:p>
    <w:p w14:paraId="65398580" w14:textId="77777777" w:rsidR="00DD1ACE" w:rsidRDefault="00DD1ACE" w:rsidP="00E90BB6">
      <w:pPr>
        <w:spacing w:after="0" w:line="240" w:lineRule="auto"/>
        <w:jc w:val="center"/>
        <w:rPr>
          <w:rStyle w:val="Emphasis"/>
          <w:rFonts w:ascii="Times New Roman" w:hAnsi="Times New Roman" w:cs="Times New Roman"/>
          <w:b/>
          <w:i w:val="0"/>
          <w:sz w:val="24"/>
          <w:szCs w:val="24"/>
        </w:rPr>
      </w:pPr>
    </w:p>
    <w:p w14:paraId="4F62722C" w14:textId="0FB31BAD" w:rsidR="00AD00E5" w:rsidRPr="00DD1ACE" w:rsidRDefault="00AD00E5" w:rsidP="00E90BB6">
      <w:pPr>
        <w:spacing w:after="0" w:line="240" w:lineRule="auto"/>
        <w:jc w:val="center"/>
        <w:rPr>
          <w:rStyle w:val="Emphasis"/>
          <w:rFonts w:ascii="Times New Roman" w:hAnsi="Times New Roman" w:cs="Times New Roman"/>
          <w:b/>
          <w:i w:val="0"/>
          <w:sz w:val="28"/>
          <w:szCs w:val="28"/>
        </w:rPr>
      </w:pPr>
      <w:r w:rsidRPr="00DD1ACE">
        <w:rPr>
          <w:rStyle w:val="Emphasis"/>
          <w:rFonts w:ascii="Times New Roman" w:hAnsi="Times New Roman" w:cs="Times New Roman"/>
          <w:b/>
          <w:i w:val="0"/>
          <w:sz w:val="28"/>
          <w:szCs w:val="28"/>
        </w:rPr>
        <w:lastRenderedPageBreak/>
        <w:t xml:space="preserve">Evaluating the Influence of Landscape Maintenance on Users’ Experiences in Tourist Centres </w:t>
      </w:r>
    </w:p>
    <w:p w14:paraId="0EC2CFFD" w14:textId="77777777" w:rsidR="00AD00E5" w:rsidRPr="00BE4AF3" w:rsidRDefault="00AD00E5" w:rsidP="00E90BB6">
      <w:pPr>
        <w:autoSpaceDE w:val="0"/>
        <w:autoSpaceDN w:val="0"/>
        <w:adjustRightInd w:val="0"/>
        <w:spacing w:after="0" w:line="240" w:lineRule="auto"/>
        <w:jc w:val="center"/>
        <w:rPr>
          <w:rFonts w:ascii="Times New Roman" w:eastAsia="Times New Roman" w:hAnsi="Times New Roman" w:cs="Times New Roman"/>
          <w:b/>
          <w:bCs/>
          <w:sz w:val="24"/>
          <w:szCs w:val="24"/>
        </w:rPr>
      </w:pPr>
    </w:p>
    <w:p w14:paraId="62B1D3C2" w14:textId="77777777" w:rsidR="00AD00E5" w:rsidRPr="00BE4AF3" w:rsidRDefault="00AD00E5" w:rsidP="00E90BB6">
      <w:pPr>
        <w:autoSpaceDE w:val="0"/>
        <w:autoSpaceDN w:val="0"/>
        <w:adjustRightInd w:val="0"/>
        <w:spacing w:after="0" w:line="240" w:lineRule="auto"/>
        <w:jc w:val="center"/>
        <w:rPr>
          <w:rFonts w:ascii="Times New Roman" w:eastAsia="Times New Roman" w:hAnsi="Times New Roman" w:cs="Times New Roman"/>
          <w:bCs/>
          <w:sz w:val="24"/>
          <w:szCs w:val="24"/>
        </w:rPr>
      </w:pPr>
      <w:r w:rsidRPr="00BE4AF3">
        <w:rPr>
          <w:rFonts w:ascii="Times New Roman" w:eastAsia="Times New Roman" w:hAnsi="Times New Roman" w:cs="Times New Roman"/>
          <w:bCs/>
          <w:sz w:val="24"/>
          <w:szCs w:val="24"/>
        </w:rPr>
        <w:t xml:space="preserve">Makinde Olusola Oladapo </w:t>
      </w:r>
      <w:r w:rsidRPr="00BE4AF3">
        <w:rPr>
          <w:rFonts w:ascii="Times New Roman" w:eastAsia="Times New Roman" w:hAnsi="Times New Roman" w:cs="Times New Roman"/>
          <w:bCs/>
          <w:sz w:val="24"/>
          <w:szCs w:val="24"/>
          <w:vertAlign w:val="superscript"/>
        </w:rPr>
        <w:t>1*</w:t>
      </w:r>
      <w:r w:rsidRPr="00BE4AF3">
        <w:rPr>
          <w:rFonts w:ascii="Times New Roman" w:eastAsia="Times New Roman" w:hAnsi="Times New Roman" w:cs="Times New Roman"/>
          <w:bCs/>
          <w:sz w:val="24"/>
          <w:szCs w:val="24"/>
        </w:rPr>
        <w:t>, AJIBOYE Adebola Taofeeq</w:t>
      </w:r>
      <w:r w:rsidRPr="00BE4AF3">
        <w:rPr>
          <w:rFonts w:ascii="Times New Roman" w:eastAsia="Times New Roman" w:hAnsi="Times New Roman" w:cs="Times New Roman"/>
          <w:bCs/>
          <w:sz w:val="24"/>
          <w:szCs w:val="24"/>
          <w:vertAlign w:val="superscript"/>
        </w:rPr>
        <w:t>1</w:t>
      </w:r>
      <w:r w:rsidRPr="00BE4AF3">
        <w:rPr>
          <w:rFonts w:ascii="Times New Roman" w:eastAsia="Times New Roman" w:hAnsi="Times New Roman" w:cs="Times New Roman"/>
          <w:bCs/>
          <w:sz w:val="24"/>
          <w:szCs w:val="24"/>
        </w:rPr>
        <w:t>, Akangbe Olabode Oludayo</w:t>
      </w:r>
      <w:r w:rsidRPr="00BE4AF3">
        <w:rPr>
          <w:rFonts w:ascii="Times New Roman" w:eastAsia="Times New Roman" w:hAnsi="Times New Roman" w:cs="Times New Roman"/>
          <w:bCs/>
          <w:sz w:val="24"/>
          <w:szCs w:val="24"/>
          <w:vertAlign w:val="superscript"/>
        </w:rPr>
        <w:t>1</w:t>
      </w:r>
      <w:r w:rsidRPr="00BE4AF3">
        <w:rPr>
          <w:rFonts w:ascii="Times New Roman" w:eastAsia="Times New Roman" w:hAnsi="Times New Roman" w:cs="Times New Roman"/>
          <w:bCs/>
          <w:sz w:val="24"/>
          <w:szCs w:val="24"/>
        </w:rPr>
        <w:t xml:space="preserve"> , Makinde Olubukunmi Temitope </w:t>
      </w:r>
      <w:r w:rsidRPr="00BE4AF3">
        <w:rPr>
          <w:rFonts w:ascii="Times New Roman" w:eastAsia="Times New Roman" w:hAnsi="Times New Roman" w:cs="Times New Roman"/>
          <w:bCs/>
          <w:sz w:val="24"/>
          <w:szCs w:val="24"/>
          <w:vertAlign w:val="superscript"/>
        </w:rPr>
        <w:t>2</w:t>
      </w:r>
      <w:r w:rsidRPr="00BE4AF3">
        <w:rPr>
          <w:rFonts w:ascii="Times New Roman" w:eastAsia="Times New Roman" w:hAnsi="Times New Roman" w:cs="Times New Roman"/>
          <w:bCs/>
          <w:sz w:val="24"/>
          <w:szCs w:val="24"/>
        </w:rPr>
        <w:t xml:space="preserve">, </w:t>
      </w:r>
    </w:p>
    <w:p w14:paraId="5B1591D1" w14:textId="77777777" w:rsidR="000C7355" w:rsidRPr="00BE4AF3" w:rsidRDefault="000C7355" w:rsidP="00E90BB6">
      <w:pPr>
        <w:autoSpaceDE w:val="0"/>
        <w:autoSpaceDN w:val="0"/>
        <w:adjustRightInd w:val="0"/>
        <w:spacing w:after="0" w:line="240" w:lineRule="auto"/>
        <w:jc w:val="center"/>
        <w:rPr>
          <w:rFonts w:ascii="Times New Roman" w:eastAsia="Times New Roman" w:hAnsi="Times New Roman" w:cs="Times New Roman"/>
          <w:b/>
          <w:bCs/>
          <w:sz w:val="24"/>
          <w:szCs w:val="24"/>
        </w:rPr>
      </w:pPr>
    </w:p>
    <w:p w14:paraId="6587DEAF" w14:textId="77777777" w:rsidR="00AD00E5" w:rsidRPr="00DD1ACE" w:rsidRDefault="00AD00E5" w:rsidP="00E90BB6">
      <w:pPr>
        <w:autoSpaceDE w:val="0"/>
        <w:autoSpaceDN w:val="0"/>
        <w:adjustRightInd w:val="0"/>
        <w:spacing w:after="0" w:line="240" w:lineRule="auto"/>
        <w:jc w:val="center"/>
        <w:rPr>
          <w:rFonts w:ascii="Times New Roman" w:eastAsia="Times New Roman" w:hAnsi="Times New Roman" w:cs="Times New Roman"/>
          <w:bCs/>
          <w:sz w:val="20"/>
          <w:szCs w:val="20"/>
        </w:rPr>
      </w:pPr>
      <w:r w:rsidRPr="00DD1ACE">
        <w:rPr>
          <w:rFonts w:ascii="Times New Roman" w:eastAsia="Times New Roman" w:hAnsi="Times New Roman" w:cs="Times New Roman"/>
          <w:bCs/>
          <w:sz w:val="20"/>
          <w:szCs w:val="20"/>
          <w:vertAlign w:val="superscript"/>
        </w:rPr>
        <w:t>1</w:t>
      </w:r>
      <w:r w:rsidRPr="00DD1ACE">
        <w:rPr>
          <w:rFonts w:ascii="Times New Roman" w:eastAsia="Times New Roman" w:hAnsi="Times New Roman" w:cs="Times New Roman"/>
          <w:bCs/>
          <w:sz w:val="20"/>
          <w:szCs w:val="20"/>
        </w:rPr>
        <w:t>Department of Architecture, Ladoke Akintola University of Technology, Ogbomoso, Oyo State, Nigeria</w:t>
      </w:r>
    </w:p>
    <w:p w14:paraId="2876BEA9" w14:textId="77777777" w:rsidR="00AD00E5" w:rsidRPr="00DD1ACE" w:rsidRDefault="00AD00E5" w:rsidP="00E90BB6">
      <w:pPr>
        <w:autoSpaceDE w:val="0"/>
        <w:autoSpaceDN w:val="0"/>
        <w:adjustRightInd w:val="0"/>
        <w:spacing w:after="0" w:line="240" w:lineRule="auto"/>
        <w:jc w:val="center"/>
        <w:rPr>
          <w:rFonts w:ascii="Times New Roman" w:eastAsia="Times New Roman" w:hAnsi="Times New Roman" w:cs="Times New Roman"/>
          <w:bCs/>
          <w:sz w:val="20"/>
          <w:szCs w:val="20"/>
        </w:rPr>
      </w:pPr>
      <w:r w:rsidRPr="00DD1ACE">
        <w:rPr>
          <w:rFonts w:ascii="Times New Roman" w:eastAsia="Times New Roman" w:hAnsi="Times New Roman" w:cs="Times New Roman"/>
          <w:bCs/>
          <w:sz w:val="20"/>
          <w:szCs w:val="20"/>
          <w:vertAlign w:val="superscript"/>
        </w:rPr>
        <w:t>2</w:t>
      </w:r>
      <w:r w:rsidRPr="00DD1ACE">
        <w:rPr>
          <w:rFonts w:ascii="Times New Roman" w:eastAsia="Times New Roman" w:hAnsi="Times New Roman" w:cs="Times New Roman"/>
          <w:bCs/>
          <w:sz w:val="20"/>
          <w:szCs w:val="20"/>
        </w:rPr>
        <w:t>Department of Estate Management, Osun State University, Osogbo, Nigeria</w:t>
      </w:r>
    </w:p>
    <w:p w14:paraId="6E7D2020" w14:textId="77777777" w:rsidR="000C7355" w:rsidRPr="00DD1ACE" w:rsidRDefault="000C7355" w:rsidP="00E90BB6">
      <w:pPr>
        <w:autoSpaceDE w:val="0"/>
        <w:autoSpaceDN w:val="0"/>
        <w:adjustRightInd w:val="0"/>
        <w:spacing w:after="0" w:line="240" w:lineRule="auto"/>
        <w:jc w:val="center"/>
        <w:rPr>
          <w:rFonts w:ascii="Times New Roman" w:eastAsia="Times New Roman" w:hAnsi="Times New Roman" w:cs="Times New Roman"/>
          <w:b/>
          <w:bCs/>
          <w:sz w:val="20"/>
          <w:szCs w:val="20"/>
        </w:rPr>
      </w:pPr>
    </w:p>
    <w:p w14:paraId="51465772" w14:textId="77777777" w:rsidR="00AD00E5" w:rsidRPr="00DD1ACE" w:rsidRDefault="00AD00E5" w:rsidP="00E90BB6">
      <w:pPr>
        <w:autoSpaceDE w:val="0"/>
        <w:autoSpaceDN w:val="0"/>
        <w:adjustRightInd w:val="0"/>
        <w:spacing w:after="0" w:line="240" w:lineRule="auto"/>
        <w:jc w:val="center"/>
        <w:rPr>
          <w:rFonts w:ascii="Times New Roman" w:eastAsia="Calibri" w:hAnsi="Times New Roman" w:cs="Times New Roman"/>
          <w:b/>
          <w:bCs/>
          <w:sz w:val="20"/>
          <w:szCs w:val="20"/>
        </w:rPr>
      </w:pPr>
      <w:r w:rsidRPr="00DD1ACE">
        <w:rPr>
          <w:rFonts w:ascii="Times New Roman" w:eastAsia="Times New Roman" w:hAnsi="Times New Roman" w:cs="Times New Roman"/>
          <w:bCs/>
          <w:sz w:val="20"/>
          <w:szCs w:val="20"/>
        </w:rPr>
        <w:t>E-mail:</w:t>
      </w:r>
      <w:r w:rsidRPr="00DD1ACE">
        <w:rPr>
          <w:rFonts w:ascii="Times New Roman" w:eastAsia="Times New Roman" w:hAnsi="Times New Roman" w:cs="Times New Roman"/>
          <w:b/>
          <w:bCs/>
          <w:sz w:val="20"/>
          <w:szCs w:val="20"/>
        </w:rPr>
        <w:t xml:space="preserve"> </w:t>
      </w:r>
      <w:r w:rsidRPr="00DD1ACE">
        <w:rPr>
          <w:rFonts w:ascii="Times New Roman" w:eastAsia="Times New Roman" w:hAnsi="Times New Roman" w:cs="Times New Roman"/>
          <w:bCs/>
          <w:sz w:val="20"/>
          <w:szCs w:val="20"/>
        </w:rPr>
        <w:t>makindeolusola2012@yahoo.com</w:t>
      </w:r>
    </w:p>
    <w:p w14:paraId="129598F1" w14:textId="77777777" w:rsidR="00AD00E5" w:rsidRPr="00BE4AF3" w:rsidRDefault="00AD00E5" w:rsidP="00E90BB6">
      <w:pPr>
        <w:spacing w:after="0" w:line="240" w:lineRule="auto"/>
        <w:rPr>
          <w:rStyle w:val="Emphasis"/>
          <w:rFonts w:ascii="Times New Roman" w:hAnsi="Times New Roman" w:cs="Times New Roman"/>
          <w:b/>
          <w:i w:val="0"/>
          <w:sz w:val="24"/>
          <w:szCs w:val="24"/>
        </w:rPr>
      </w:pPr>
    </w:p>
    <w:p w14:paraId="101917F1" w14:textId="77777777" w:rsidR="00AD00E5" w:rsidRPr="00BE4AF3" w:rsidRDefault="00AD00E5" w:rsidP="00E90BB6">
      <w:pPr>
        <w:spacing w:after="0" w:line="240" w:lineRule="auto"/>
        <w:rPr>
          <w:rStyle w:val="Emphasis"/>
          <w:rFonts w:ascii="Times New Roman" w:hAnsi="Times New Roman" w:cs="Times New Roman"/>
          <w:b/>
          <w:i w:val="0"/>
          <w:sz w:val="24"/>
          <w:szCs w:val="24"/>
        </w:rPr>
      </w:pPr>
      <w:r w:rsidRPr="00BE4AF3">
        <w:rPr>
          <w:rStyle w:val="Emphasis"/>
          <w:rFonts w:ascii="Times New Roman" w:hAnsi="Times New Roman" w:cs="Times New Roman"/>
          <w:b/>
          <w:i w:val="0"/>
          <w:sz w:val="24"/>
          <w:szCs w:val="24"/>
        </w:rPr>
        <w:t>LICFES 2025-049 FP24</w:t>
      </w:r>
    </w:p>
    <w:p w14:paraId="2DB8297B" w14:textId="77777777" w:rsidR="00AD00E5" w:rsidRPr="00BE4AF3" w:rsidRDefault="00F17F1B" w:rsidP="00E90BB6">
      <w:pPr>
        <w:spacing w:after="0" w:line="240" w:lineRule="auto"/>
        <w:rPr>
          <w:rStyle w:val="Emphasis"/>
          <w:rFonts w:ascii="Times New Roman" w:hAnsi="Times New Roman" w:cs="Times New Roman"/>
          <w:b/>
          <w:i w:val="0"/>
          <w:sz w:val="24"/>
          <w:szCs w:val="24"/>
        </w:rPr>
      </w:pPr>
      <w:r w:rsidRPr="00BE4AF3">
        <w:rPr>
          <w:rStyle w:val="Emphasis"/>
          <w:rFonts w:ascii="Times New Roman" w:hAnsi="Times New Roman" w:cs="Times New Roman"/>
          <w:b/>
          <w:i w:val="0"/>
          <w:sz w:val="24"/>
          <w:szCs w:val="24"/>
        </w:rPr>
        <w:t>Abstract</w:t>
      </w:r>
    </w:p>
    <w:p w14:paraId="0D1C1E9E" w14:textId="77777777" w:rsidR="00AD00E5" w:rsidRPr="00BE4AF3" w:rsidRDefault="00AD00E5" w:rsidP="00E90BB6">
      <w:pPr>
        <w:spacing w:after="0" w:line="240" w:lineRule="auto"/>
        <w:jc w:val="both"/>
        <w:rPr>
          <w:rStyle w:val="Strong"/>
          <w:rFonts w:ascii="Times New Roman" w:hAnsi="Times New Roman" w:cs="Times New Roman"/>
          <w:b w:val="0"/>
          <w:sz w:val="24"/>
          <w:szCs w:val="24"/>
          <w:lang w:eastAsia="en-GB"/>
        </w:rPr>
      </w:pPr>
      <w:r w:rsidRPr="00BE4AF3">
        <w:rPr>
          <w:rStyle w:val="Strong"/>
          <w:rFonts w:ascii="Times New Roman" w:hAnsi="Times New Roman" w:cs="Times New Roman"/>
          <w:b w:val="0"/>
          <w:sz w:val="24"/>
          <w:szCs w:val="24"/>
        </w:rPr>
        <w:t>The diligent upkeep of landscapes in tourist centres is crucial not only for aesthetic reasons but also for fostering a sense of safety and security, ensuring a positive experience for visitors and preventing the degradation of the park environment. The study evaluates the influence of landscape maintenance on user’s experiences in selected tourist centres across Southwest Nigeria.</w:t>
      </w:r>
      <w:r w:rsidRPr="00BE4AF3">
        <w:rPr>
          <w:rStyle w:val="Strong"/>
          <w:rFonts w:ascii="Times New Roman" w:hAnsi="Times New Roman" w:cs="Times New Roman"/>
          <w:sz w:val="24"/>
          <w:szCs w:val="24"/>
        </w:rPr>
        <w:t xml:space="preserve"> </w:t>
      </w:r>
      <w:r w:rsidRPr="00BE4AF3">
        <w:rPr>
          <w:rFonts w:ascii="Times New Roman" w:eastAsia="Times New Roman" w:hAnsi="Times New Roman" w:cs="Times New Roman"/>
          <w:sz w:val="24"/>
          <w:szCs w:val="24"/>
        </w:rPr>
        <w:t>Primary and secondary data were used in this study.</w:t>
      </w:r>
      <w:r w:rsidRPr="00BE4AF3">
        <w:rPr>
          <w:rFonts w:ascii="Times New Roman" w:eastAsia="Calibri" w:hAnsi="Times New Roman" w:cs="Times New Roman"/>
          <w:sz w:val="24"/>
          <w:szCs w:val="24"/>
        </w:rPr>
        <w:t xml:space="preserve"> </w:t>
      </w:r>
      <w:r w:rsidRPr="00BE4AF3">
        <w:rPr>
          <w:rFonts w:ascii="Times New Roman" w:eastAsia="Times New Roman" w:hAnsi="Times New Roman" w:cs="Times New Roman"/>
          <w:sz w:val="24"/>
          <w:szCs w:val="24"/>
        </w:rPr>
        <w:t>Relevant information was obtained from the visitors. Six tourist hotels were selected,</w:t>
      </w:r>
      <w:r w:rsidRPr="00BE4AF3">
        <w:rPr>
          <w:rFonts w:ascii="Times New Roman" w:eastAsia="Calibri" w:hAnsi="Times New Roman" w:cs="Times New Roman"/>
          <w:sz w:val="24"/>
          <w:szCs w:val="24"/>
        </w:rPr>
        <w:t xml:space="preserve"> </w:t>
      </w:r>
      <w:r w:rsidRPr="00BE4AF3">
        <w:rPr>
          <w:rFonts w:ascii="Times New Roman" w:eastAsia="Times New Roman" w:hAnsi="Times New Roman" w:cs="Times New Roman"/>
          <w:sz w:val="24"/>
          <w:szCs w:val="24"/>
        </w:rPr>
        <w:t>one from each state</w:t>
      </w:r>
      <w:r w:rsidRPr="00BE4AF3">
        <w:rPr>
          <w:rFonts w:ascii="Times New Roman" w:eastAsia="Calibri" w:hAnsi="Times New Roman" w:cs="Times New Roman"/>
          <w:sz w:val="24"/>
          <w:szCs w:val="24"/>
        </w:rPr>
        <w:t xml:space="preserve"> in </w:t>
      </w:r>
      <w:r w:rsidRPr="00BE4AF3">
        <w:rPr>
          <w:rFonts w:ascii="Times New Roman" w:eastAsia="Times New Roman" w:hAnsi="Times New Roman" w:cs="Times New Roman"/>
          <w:sz w:val="24"/>
          <w:szCs w:val="24"/>
        </w:rPr>
        <w:t>Southwest Nigeria. The total number of visitors to the tourist center hotel was 2,520 from which 13.7% representing 345 respondents were selected. Accidental sampling technique was used for questionnaire administration.</w:t>
      </w:r>
      <w:r w:rsidRPr="00BE4AF3">
        <w:rPr>
          <w:rFonts w:ascii="Times New Roman" w:eastAsia="Calibri" w:hAnsi="Times New Roman" w:cs="Times New Roman"/>
          <w:sz w:val="24"/>
          <w:szCs w:val="24"/>
        </w:rPr>
        <w:t xml:space="preserve"> </w:t>
      </w:r>
      <w:r w:rsidRPr="00BE4AF3">
        <w:rPr>
          <w:rFonts w:ascii="Times New Roman" w:eastAsia="Times New Roman" w:hAnsi="Times New Roman" w:cs="Times New Roman"/>
          <w:sz w:val="24"/>
          <w:szCs w:val="24"/>
        </w:rPr>
        <w:t xml:space="preserve">Descriptive statistics that comprised frequency count, mean, likers scale, and index were used for analysis. </w:t>
      </w:r>
      <w:r w:rsidRPr="00BE4AF3">
        <w:rPr>
          <w:rFonts w:ascii="Times New Roman" w:eastAsia="Calibri" w:hAnsi="Times New Roman" w:cs="Times New Roman"/>
          <w:sz w:val="24"/>
          <w:szCs w:val="24"/>
        </w:rPr>
        <w:t xml:space="preserve">The results show that users were generally satisfied with the overall cleanliness and maintenance of elements. Specifically, with an average index of 4.20 USMI. The results obtained shows strong satisfaction with the cleanliness of tourist centers with USMI of 4.34, while satisfied with the regular upkeep and maintenance of landscape elements had 4.15 USMI, maintenance of vegetation (trees, shrubs, lawns) had 4.07, maintenance of lighting had 4.47 and maintenance of signage and information boards had 4.21. </w:t>
      </w:r>
      <w:r w:rsidRPr="00BE4AF3">
        <w:rPr>
          <w:rFonts w:ascii="Times New Roman" w:eastAsia="Times New Roman" w:hAnsi="Times New Roman" w:cs="Times New Roman"/>
          <w:sz w:val="24"/>
          <w:szCs w:val="24"/>
        </w:rPr>
        <w:t>The study shows that the consequence of landscape maintenance on users’ experience for tourist centres is very high.</w:t>
      </w:r>
      <w:r w:rsidRPr="00BE4AF3">
        <w:rPr>
          <w:rFonts w:ascii="Times New Roman" w:hAnsi="Times New Roman" w:cs="Times New Roman"/>
          <w:sz w:val="24"/>
          <w:szCs w:val="24"/>
        </w:rPr>
        <w:t xml:space="preserve"> </w:t>
      </w:r>
      <w:r w:rsidRPr="00BE4AF3">
        <w:rPr>
          <w:rFonts w:ascii="Times New Roman" w:eastAsia="Times New Roman" w:hAnsi="Times New Roman" w:cs="Times New Roman"/>
          <w:sz w:val="24"/>
          <w:szCs w:val="24"/>
        </w:rPr>
        <w:t>The results indicated that several landscape elements significantly contributed to a positive experience in tourist centers. Among these elements are the community and cultural integration, visitor engagement, and environmental sustainability.</w:t>
      </w:r>
    </w:p>
    <w:p w14:paraId="0ACF3917" w14:textId="77777777" w:rsidR="000C7355" w:rsidRPr="00BE4AF3" w:rsidRDefault="000C7355" w:rsidP="00E90BB6">
      <w:pPr>
        <w:spacing w:after="0" w:line="240" w:lineRule="auto"/>
        <w:rPr>
          <w:rStyle w:val="Strong"/>
          <w:rFonts w:ascii="Times New Roman" w:hAnsi="Times New Roman" w:cs="Times New Roman"/>
          <w:sz w:val="24"/>
          <w:szCs w:val="24"/>
        </w:rPr>
      </w:pPr>
    </w:p>
    <w:p w14:paraId="4ACDE8D8" w14:textId="77777777" w:rsidR="00F53A50" w:rsidRPr="00BE4AF3" w:rsidRDefault="00AD00E5" w:rsidP="000C7355">
      <w:pPr>
        <w:spacing w:after="0" w:line="240" w:lineRule="auto"/>
        <w:jc w:val="both"/>
        <w:rPr>
          <w:rStyle w:val="Strong"/>
          <w:rFonts w:ascii="Times New Roman" w:hAnsi="Times New Roman" w:cs="Times New Roman"/>
          <w:b w:val="0"/>
          <w:sz w:val="24"/>
          <w:szCs w:val="24"/>
        </w:rPr>
      </w:pPr>
      <w:r w:rsidRPr="00BE4AF3">
        <w:rPr>
          <w:rStyle w:val="Strong"/>
          <w:rFonts w:ascii="Times New Roman" w:hAnsi="Times New Roman" w:cs="Times New Roman"/>
          <w:sz w:val="24"/>
          <w:szCs w:val="24"/>
        </w:rPr>
        <w:t>Keywords:</w:t>
      </w:r>
      <w:r w:rsidRPr="00BE4AF3">
        <w:rPr>
          <w:rFonts w:ascii="Times New Roman" w:hAnsi="Times New Roman" w:cs="Times New Roman"/>
          <w:b/>
          <w:sz w:val="24"/>
          <w:szCs w:val="24"/>
        </w:rPr>
        <w:t xml:space="preserve"> </w:t>
      </w:r>
      <w:r w:rsidRPr="00BE4AF3">
        <w:rPr>
          <w:rStyle w:val="Strong"/>
          <w:rFonts w:ascii="Times New Roman" w:hAnsi="Times New Roman" w:cs="Times New Roman"/>
          <w:b w:val="0"/>
          <w:sz w:val="24"/>
          <w:szCs w:val="24"/>
        </w:rPr>
        <w:t>Influence, Landscape Maintenance, Social Value, Users’ Experiences, Users’ Satisfaction, Tourist Centres</w:t>
      </w:r>
    </w:p>
    <w:p w14:paraId="586A76DE" w14:textId="77777777" w:rsidR="009B16DE" w:rsidRPr="00BE4AF3" w:rsidRDefault="009B16DE" w:rsidP="009B16DE">
      <w:pPr>
        <w:spacing w:after="0" w:line="240" w:lineRule="auto"/>
        <w:jc w:val="both"/>
        <w:rPr>
          <w:rStyle w:val="Strong"/>
          <w:rFonts w:ascii="Times New Roman" w:hAnsi="Times New Roman" w:cs="Times New Roman"/>
          <w:b w:val="0"/>
          <w:sz w:val="24"/>
          <w:szCs w:val="24"/>
        </w:rPr>
      </w:pPr>
    </w:p>
    <w:p w14:paraId="075EF8AB" w14:textId="757CD8EE" w:rsidR="00A63CD3" w:rsidRPr="00BE4AF3" w:rsidRDefault="00A63CD3" w:rsidP="00A63CD3">
      <w:pPr>
        <w:spacing w:after="0" w:line="240" w:lineRule="auto"/>
        <w:rPr>
          <w:rStyle w:val="Strong"/>
          <w:rFonts w:ascii="Times New Roman" w:hAnsi="Times New Roman" w:cs="Times New Roman"/>
          <w:color w:val="000000" w:themeColor="text1"/>
          <w:sz w:val="24"/>
          <w:szCs w:val="24"/>
        </w:rPr>
      </w:pPr>
      <w:r w:rsidRPr="00BE4AF3">
        <w:rPr>
          <w:rStyle w:val="Strong"/>
          <w:rFonts w:ascii="Times New Roman" w:hAnsi="Times New Roman" w:cs="Times New Roman"/>
          <w:color w:val="000000" w:themeColor="text1"/>
          <w:sz w:val="24"/>
          <w:szCs w:val="24"/>
        </w:rPr>
        <w:t xml:space="preserve">Introduction </w:t>
      </w:r>
    </w:p>
    <w:p w14:paraId="61767FAD" w14:textId="18E3BD81" w:rsidR="00A63CD3" w:rsidRPr="00DD1ACE" w:rsidRDefault="00A63CD3" w:rsidP="00DD1ACE">
      <w:pPr>
        <w:spacing w:after="0" w:line="240" w:lineRule="auto"/>
        <w:jc w:val="both"/>
        <w:rPr>
          <w:rFonts w:ascii="Times New Roman" w:hAnsi="Times New Roman" w:cs="Times New Roman"/>
          <w:color w:val="000000" w:themeColor="text1"/>
          <w:sz w:val="24"/>
          <w:szCs w:val="24"/>
        </w:rPr>
      </w:pPr>
      <w:r w:rsidRPr="00DD1ACE">
        <w:rPr>
          <w:rStyle w:val="Strong"/>
          <w:rFonts w:ascii="Times New Roman" w:hAnsi="Times New Roman" w:cs="Times New Roman"/>
          <w:b w:val="0"/>
          <w:bCs w:val="0"/>
          <w:color w:val="000000" w:themeColor="text1"/>
          <w:sz w:val="24"/>
          <w:szCs w:val="24"/>
        </w:rPr>
        <w:t xml:space="preserve">The relationship between natural attraction such as vegetation, rocks, </w:t>
      </w:r>
      <w:r w:rsidR="00DD1ACE" w:rsidRPr="00DD1ACE">
        <w:rPr>
          <w:rStyle w:val="Strong"/>
          <w:rFonts w:ascii="Times New Roman" w:hAnsi="Times New Roman" w:cs="Times New Roman"/>
          <w:b w:val="0"/>
          <w:bCs w:val="0"/>
          <w:color w:val="000000" w:themeColor="text1"/>
          <w:sz w:val="24"/>
          <w:szCs w:val="24"/>
        </w:rPr>
        <w:t>waterfall</w:t>
      </w:r>
      <w:r w:rsidRPr="00DD1ACE">
        <w:rPr>
          <w:rStyle w:val="Strong"/>
          <w:rFonts w:ascii="Times New Roman" w:hAnsi="Times New Roman" w:cs="Times New Roman"/>
          <w:b w:val="0"/>
          <w:bCs w:val="0"/>
          <w:color w:val="000000" w:themeColor="text1"/>
          <w:sz w:val="24"/>
          <w:szCs w:val="24"/>
        </w:rPr>
        <w:t>, etc. architectural design and tourism presents a fascinating landscape for exploration and innovation</w:t>
      </w:r>
      <w:r w:rsidRPr="00DD1ACE">
        <w:rPr>
          <w:rFonts w:ascii="Times New Roman" w:hAnsi="Times New Roman" w:cs="Times New Roman"/>
          <w:sz w:val="24"/>
          <w:szCs w:val="24"/>
        </w:rPr>
        <w:t xml:space="preserve"> (</w:t>
      </w:r>
      <w:r w:rsidRPr="00DD1ACE">
        <w:rPr>
          <w:rStyle w:val="Strong"/>
          <w:rFonts w:ascii="Times New Roman" w:hAnsi="Times New Roman" w:cs="Times New Roman"/>
          <w:b w:val="0"/>
          <w:bCs w:val="0"/>
          <w:color w:val="000000" w:themeColor="text1"/>
          <w:sz w:val="24"/>
          <w:szCs w:val="24"/>
        </w:rPr>
        <w:t xml:space="preserve">Akhimien, et al. 2018). </w:t>
      </w:r>
      <w:r w:rsidRPr="00DD1ACE">
        <w:rPr>
          <w:rFonts w:ascii="Times New Roman" w:hAnsi="Times New Roman" w:cs="Times New Roman"/>
          <w:color w:val="000000" w:themeColor="text1"/>
          <w:sz w:val="24"/>
          <w:szCs w:val="24"/>
        </w:rPr>
        <w:t xml:space="preserve">The term Landscape according to Eseigbe (2014) are sceneries of nature, which are also the configuration of the earth surface especially the classification, description, nature and the development of the different surface features. Similarly, Adeniji, Ezekiel, and Aliyu (2018) define Landscape as land surfaces that appeals to the human sense of beauty. Furthermore Ayeni (2012) said landscape encompasses the observable features of a land area, comprising physical elements which includes mountains, hills, rivers, lakes, valleys, and other natural formations which is made up of a unique arrangement and distinctive character of these elements within a specific region. And these surface features are widely spread throughout Nigeria (Uji, 2000). </w:t>
      </w:r>
      <w:r w:rsidRPr="00DD1ACE">
        <w:rPr>
          <w:rStyle w:val="Strong"/>
          <w:rFonts w:ascii="Times New Roman" w:hAnsi="Times New Roman" w:cs="Times New Roman"/>
          <w:b w:val="0"/>
          <w:bCs w:val="0"/>
          <w:color w:val="000000" w:themeColor="text1"/>
          <w:sz w:val="24"/>
          <w:szCs w:val="24"/>
        </w:rPr>
        <w:t xml:space="preserve">Maintenance of this features is important for preserving the enduring attraction and functionality of the designed outdoor spaces, ensuring their sustained beauty and integrity over time. </w:t>
      </w:r>
      <w:r w:rsidRPr="00DD1ACE">
        <w:rPr>
          <w:rFonts w:ascii="Times New Roman" w:hAnsi="Times New Roman" w:cs="Times New Roman"/>
          <w:color w:val="000000" w:themeColor="text1"/>
          <w:sz w:val="24"/>
          <w:szCs w:val="24"/>
        </w:rPr>
        <w:t xml:space="preserve">Thus, any area of amenity land </w:t>
      </w:r>
      <w:r w:rsidRPr="00DD1ACE">
        <w:rPr>
          <w:rFonts w:ascii="Times New Roman" w:hAnsi="Times New Roman" w:cs="Times New Roman"/>
          <w:color w:val="000000" w:themeColor="text1"/>
          <w:sz w:val="24"/>
          <w:szCs w:val="24"/>
        </w:rPr>
        <w:lastRenderedPageBreak/>
        <w:t xml:space="preserve">may be managed to provide pleasant views or appearance, screening or shelter, nature conservation, horticultural excellence, botanical variety and education, space for sport and recreation, job-creation, or leisure gardening (Mohamed, Othman &amp; Ariffin, 2012). </w:t>
      </w:r>
    </w:p>
    <w:p w14:paraId="1A0CFB99" w14:textId="77777777" w:rsidR="00A63CD3" w:rsidRPr="00DD1ACE" w:rsidRDefault="00A63CD3" w:rsidP="00DD1ACE">
      <w:pPr>
        <w:spacing w:after="0" w:line="240" w:lineRule="auto"/>
        <w:jc w:val="both"/>
        <w:rPr>
          <w:rFonts w:ascii="Times New Roman" w:hAnsi="Times New Roman" w:cs="Times New Roman"/>
          <w:color w:val="000000" w:themeColor="text1"/>
          <w:sz w:val="24"/>
          <w:szCs w:val="24"/>
        </w:rPr>
      </w:pPr>
      <w:r w:rsidRPr="00DD1ACE">
        <w:rPr>
          <w:rStyle w:val="Strong"/>
          <w:rFonts w:ascii="Times New Roman" w:hAnsi="Times New Roman" w:cs="Times New Roman"/>
          <w:b w:val="0"/>
          <w:bCs w:val="0"/>
          <w:color w:val="000000" w:themeColor="text1"/>
          <w:sz w:val="24"/>
          <w:szCs w:val="24"/>
        </w:rPr>
        <w:t xml:space="preserve">Tourism is recognized as experiencing significant global growth, contributing to the economic success of the world economy, as highlighted by Ayeni and Ebohon (2012) in their observations on developed countries. It is therefore seen as a conventional role to become a catalyst for cross-cultural interactions, revenue generation, and sustainable development in Nigeria. Tourism which can be described as specific activities chosen and pursued outside one's home environment, Whether or not it includes an overnight stay away from home varies </w:t>
      </w:r>
      <w:r w:rsidRPr="00DD1ACE">
        <w:rPr>
          <w:rFonts w:ascii="Times New Roman" w:hAnsi="Times New Roman" w:cs="Times New Roman"/>
          <w:color w:val="000000" w:themeColor="text1"/>
          <w:sz w:val="24"/>
          <w:szCs w:val="24"/>
          <w:lang w:eastAsia="en-GB"/>
        </w:rPr>
        <w:t xml:space="preserve">(Camilleri 2017). </w:t>
      </w:r>
      <w:r w:rsidRPr="00DD1ACE">
        <w:rPr>
          <w:rFonts w:ascii="Times New Roman" w:hAnsi="Times New Roman" w:cs="Times New Roman"/>
          <w:color w:val="000000" w:themeColor="text1"/>
          <w:sz w:val="24"/>
          <w:szCs w:val="24"/>
        </w:rPr>
        <w:t>Noroozi</w:t>
      </w:r>
      <w:r w:rsidRPr="00DD1ACE">
        <w:rPr>
          <w:rFonts w:ascii="Times New Roman" w:eastAsia="Times New Roman" w:hAnsi="Times New Roman" w:cs="Times New Roman"/>
          <w:color w:val="000000" w:themeColor="text1"/>
          <w:sz w:val="24"/>
          <w:szCs w:val="24"/>
          <w:lang w:eastAsia="en-GB"/>
        </w:rPr>
        <w:t xml:space="preserve"> (2020) also defines tourism as a social, cultural and economic phenomenon which entails the movement of people to countries or places outside their usual environment</w:t>
      </w:r>
      <w:r w:rsidRPr="00DD1ACE">
        <w:rPr>
          <w:rStyle w:val="Strong"/>
          <w:rFonts w:ascii="Times New Roman" w:hAnsi="Times New Roman" w:cs="Times New Roman"/>
          <w:b w:val="0"/>
          <w:bCs w:val="0"/>
          <w:color w:val="000000" w:themeColor="text1"/>
          <w:sz w:val="24"/>
          <w:szCs w:val="24"/>
        </w:rPr>
        <w:t xml:space="preserve"> for personal or business professional purposes. People who undergo such process are called visitors, tourist or excursionist. Some can be residents or non-residents. </w:t>
      </w:r>
      <w:r w:rsidRPr="00DD1ACE">
        <w:rPr>
          <w:rFonts w:ascii="Times New Roman" w:eastAsia="Times New Roman" w:hAnsi="Times New Roman" w:cs="Times New Roman"/>
          <w:color w:val="000000" w:themeColor="text1"/>
          <w:sz w:val="24"/>
          <w:szCs w:val="24"/>
          <w:lang w:eastAsia="en-GB"/>
        </w:rPr>
        <w:t>Noroozi (2020)</w:t>
      </w:r>
      <w:r w:rsidRPr="00DD1ACE">
        <w:rPr>
          <w:rStyle w:val="Strong"/>
          <w:rFonts w:ascii="Times New Roman" w:hAnsi="Times New Roman" w:cs="Times New Roman"/>
          <w:b w:val="0"/>
          <w:bCs w:val="0"/>
          <w:color w:val="000000" w:themeColor="text1"/>
          <w:sz w:val="24"/>
          <w:szCs w:val="24"/>
        </w:rPr>
        <w:t xml:space="preserve">, Stated that tourism has to do with activities, some of which involve tourism expenditure. </w:t>
      </w:r>
      <w:r w:rsidRPr="00DD1ACE">
        <w:rPr>
          <w:rFonts w:ascii="Times New Roman" w:hAnsi="Times New Roman" w:cs="Times New Roman"/>
          <w:color w:val="000000" w:themeColor="text1"/>
          <w:sz w:val="24"/>
          <w:szCs w:val="24"/>
        </w:rPr>
        <w:t>Tourism seen in another perspective is a collection of activities, services and industries that delivers travel experience, including transportations, accommodations, eating and drinking establishments, retail shops, entertainment business, activity facilities and other hospitability services provided for individuals or group of travelling away from home. (Sadiq, Abba, Bulama and Babagana 2020). Landscape is therefore a crucial aspect of tourist space (Terkenli 2011; 2002; 2006; 2011; Włodarczyk 2009).</w:t>
      </w:r>
    </w:p>
    <w:p w14:paraId="7F1CD7B2" w14:textId="37AD39E4" w:rsidR="00A63CD3" w:rsidRPr="00DD1ACE" w:rsidRDefault="00A63CD3" w:rsidP="00A63CD3">
      <w:pPr>
        <w:spacing w:after="0" w:line="240" w:lineRule="auto"/>
        <w:jc w:val="both"/>
        <w:rPr>
          <w:rStyle w:val="Strong"/>
          <w:rFonts w:ascii="Times New Roman" w:hAnsi="Times New Roman" w:cs="Times New Roman"/>
          <w:b w:val="0"/>
          <w:bCs w:val="0"/>
          <w:color w:val="000000" w:themeColor="text1"/>
          <w:sz w:val="24"/>
          <w:szCs w:val="24"/>
        </w:rPr>
      </w:pPr>
      <w:r w:rsidRPr="00DD1ACE">
        <w:rPr>
          <w:rFonts w:ascii="Times New Roman" w:hAnsi="Times New Roman" w:cs="Times New Roman"/>
          <w:color w:val="000000" w:themeColor="text1"/>
          <w:sz w:val="24"/>
          <w:szCs w:val="24"/>
        </w:rPr>
        <w:t xml:space="preserve">  </w:t>
      </w:r>
      <w:r w:rsidRPr="00DD1ACE">
        <w:rPr>
          <w:rStyle w:val="Strong"/>
          <w:rFonts w:ascii="Times New Roman" w:hAnsi="Times New Roman" w:cs="Times New Roman"/>
          <w:b w:val="0"/>
          <w:bCs w:val="0"/>
          <w:color w:val="000000" w:themeColor="text1"/>
          <w:sz w:val="24"/>
          <w:szCs w:val="24"/>
        </w:rPr>
        <w:t xml:space="preserve">However, in achieving a sustainable, memorable, and transformative tourism experience, the role of landscape maintenance emerges as a crucial factor deserving careful and precise exploration. Whereas </w:t>
      </w:r>
      <w:r w:rsidRPr="00DD1ACE">
        <w:rPr>
          <w:rFonts w:ascii="Times New Roman" w:hAnsi="Times New Roman" w:cs="Times New Roman"/>
          <w:color w:val="000000" w:themeColor="text1"/>
          <w:sz w:val="24"/>
          <w:szCs w:val="24"/>
        </w:rPr>
        <w:t xml:space="preserve">Suriati and Zulkefle (2022) defines </w:t>
      </w:r>
      <w:r w:rsidRPr="00DD1ACE">
        <w:rPr>
          <w:rStyle w:val="Strong"/>
          <w:rFonts w:ascii="Times New Roman" w:hAnsi="Times New Roman" w:cs="Times New Roman"/>
          <w:b w:val="0"/>
          <w:bCs w:val="0"/>
          <w:color w:val="000000" w:themeColor="text1"/>
          <w:sz w:val="24"/>
          <w:szCs w:val="24"/>
        </w:rPr>
        <w:t xml:space="preserve">landscape maintenance as the process of </w:t>
      </w:r>
      <w:r w:rsidRPr="00DD1ACE">
        <w:rPr>
          <w:rFonts w:ascii="Times New Roman" w:hAnsi="Times New Roman" w:cs="Times New Roman"/>
          <w:color w:val="000000" w:themeColor="text1"/>
          <w:sz w:val="24"/>
          <w:szCs w:val="24"/>
        </w:rPr>
        <w:t>resisting landscape deterioration. Landscape maintenance also involves continuous care to preserve, enhance, and manage the aesthetics, functionality, and health of outdoor spaces. It includes various tasks to sustain the desired condition of gardens, parks, lawns, and other landscaped areas, ultimately ensuring their long-term vitality and attractiveness (Florkowski, Hubbard, and Wade 1994).</w:t>
      </w:r>
      <w:r w:rsidRPr="00DD1ACE">
        <w:rPr>
          <w:rStyle w:val="Strong"/>
          <w:rFonts w:ascii="Times New Roman" w:hAnsi="Times New Roman" w:cs="Times New Roman"/>
          <w:b w:val="0"/>
          <w:bCs w:val="0"/>
          <w:color w:val="000000" w:themeColor="text1"/>
          <w:sz w:val="24"/>
          <w:szCs w:val="24"/>
        </w:rPr>
        <w:t xml:space="preserve"> Landscape maintenance emerges as a major factor in ensuring that a tourism centre provides an enchanting and unforgettable experience for visitors. </w:t>
      </w:r>
      <w:r w:rsidRPr="00DD1ACE">
        <w:rPr>
          <w:rFonts w:ascii="Times New Roman" w:hAnsi="Times New Roman" w:cs="Times New Roman"/>
          <w:color w:val="000000" w:themeColor="text1"/>
          <w:sz w:val="24"/>
          <w:szCs w:val="24"/>
          <w:shd w:val="clear" w:color="auto" w:fill="FFFFFF"/>
        </w:rPr>
        <w:t xml:space="preserve">Maintaining a landscape refers </w:t>
      </w:r>
      <w:r w:rsidRPr="00DD1ACE">
        <w:rPr>
          <w:rStyle w:val="ls6"/>
          <w:rFonts w:ascii="Times New Roman" w:hAnsi="Times New Roman" w:cs="Times New Roman"/>
          <w:color w:val="000000" w:themeColor="text1"/>
          <w:sz w:val="24"/>
          <w:szCs w:val="24"/>
          <w:shd w:val="clear" w:color="auto" w:fill="FFFFFF"/>
        </w:rPr>
        <w:t>to</w:t>
      </w:r>
      <w:r w:rsidRPr="00DD1ACE">
        <w:rPr>
          <w:rFonts w:ascii="Times New Roman" w:hAnsi="Times New Roman" w:cs="Times New Roman"/>
          <w:color w:val="000000" w:themeColor="text1"/>
          <w:sz w:val="24"/>
          <w:szCs w:val="24"/>
          <w:shd w:val="clear" w:color="auto" w:fill="FFFFFF"/>
        </w:rPr>
        <w:t xml:space="preserve"> the process </w:t>
      </w:r>
      <w:r w:rsidRPr="00DD1ACE">
        <w:rPr>
          <w:rStyle w:val="ls1"/>
          <w:rFonts w:ascii="Times New Roman" w:hAnsi="Times New Roman" w:cs="Times New Roman"/>
          <w:color w:val="000000" w:themeColor="text1"/>
          <w:spacing w:val="2"/>
          <w:sz w:val="24"/>
          <w:szCs w:val="24"/>
          <w:shd w:val="clear" w:color="auto" w:fill="FFFFFF"/>
        </w:rPr>
        <w:t>of</w:t>
      </w:r>
      <w:r w:rsidRPr="00DD1ACE">
        <w:rPr>
          <w:rFonts w:ascii="Times New Roman" w:hAnsi="Times New Roman" w:cs="Times New Roman"/>
          <w:color w:val="000000" w:themeColor="text1"/>
          <w:sz w:val="24"/>
          <w:szCs w:val="24"/>
          <w:shd w:val="clear" w:color="auto" w:fill="FFFFFF"/>
        </w:rPr>
        <w:t xml:space="preserve"> resisting deterioration (</w:t>
      </w:r>
      <w:r w:rsidRPr="00DD1ACE">
        <w:rPr>
          <w:rFonts w:ascii="Times New Roman" w:hAnsi="Times New Roman" w:cs="Times New Roman"/>
          <w:color w:val="000000" w:themeColor="text1"/>
          <w:sz w:val="24"/>
          <w:szCs w:val="24"/>
        </w:rPr>
        <w:t xml:space="preserve">Ahmad, Ayob, Hussain, Mat, and Nadiyanti. 2022). </w:t>
      </w:r>
      <w:r w:rsidRPr="00DD1ACE">
        <w:rPr>
          <w:rStyle w:val="Strong"/>
          <w:rFonts w:ascii="Times New Roman" w:hAnsi="Times New Roman" w:cs="Times New Roman"/>
          <w:b w:val="0"/>
          <w:bCs w:val="0"/>
          <w:color w:val="000000" w:themeColor="text1"/>
          <w:sz w:val="24"/>
          <w:szCs w:val="24"/>
        </w:rPr>
        <w:t xml:space="preserve">A well-maintained landscape not only enhances aesthetic appeal but also contributes to the overall atmosphere and peacefulness of the site. Landscape maintenance is more than mere aesthetic </w:t>
      </w:r>
      <w:r w:rsidR="00DD1ACE" w:rsidRPr="00DD1ACE">
        <w:rPr>
          <w:rStyle w:val="Strong"/>
          <w:rFonts w:ascii="Times New Roman" w:hAnsi="Times New Roman" w:cs="Times New Roman"/>
          <w:b w:val="0"/>
          <w:bCs w:val="0"/>
          <w:color w:val="000000" w:themeColor="text1"/>
          <w:sz w:val="24"/>
          <w:szCs w:val="24"/>
        </w:rPr>
        <w:t>upkeep</w:t>
      </w:r>
      <w:r w:rsidRPr="00DD1ACE">
        <w:rPr>
          <w:rStyle w:val="Strong"/>
          <w:rFonts w:ascii="Times New Roman" w:hAnsi="Times New Roman" w:cs="Times New Roman"/>
          <w:b w:val="0"/>
          <w:bCs w:val="0"/>
          <w:color w:val="000000" w:themeColor="text1"/>
          <w:sz w:val="24"/>
          <w:szCs w:val="24"/>
        </w:rPr>
        <w:t>; it serves as the bedrock of creating an environment that goes well with serenity, harmony, and natural authenticity.</w:t>
      </w:r>
    </w:p>
    <w:p w14:paraId="108BD3EF" w14:textId="48268153" w:rsidR="00A63CD3" w:rsidRPr="00DD1ACE" w:rsidRDefault="00A63CD3" w:rsidP="00DD1ACE">
      <w:pPr>
        <w:spacing w:after="0" w:line="240" w:lineRule="auto"/>
        <w:jc w:val="both"/>
        <w:rPr>
          <w:rFonts w:ascii="Times New Roman" w:hAnsi="Times New Roman" w:cs="Times New Roman"/>
          <w:color w:val="000000" w:themeColor="text1"/>
          <w:sz w:val="24"/>
          <w:szCs w:val="24"/>
        </w:rPr>
      </w:pPr>
      <w:r w:rsidRPr="00DD1ACE">
        <w:rPr>
          <w:rFonts w:ascii="Times New Roman" w:eastAsia="Times New Roman" w:hAnsi="Times New Roman" w:cs="Times New Roman"/>
          <w:color w:val="000000" w:themeColor="text1"/>
          <w:sz w:val="24"/>
          <w:szCs w:val="24"/>
          <w:lang w:eastAsia="en-GB"/>
        </w:rPr>
        <w:t>Maintenance according to (</w:t>
      </w:r>
      <w:r w:rsidRPr="00DD1ACE">
        <w:rPr>
          <w:rStyle w:val="Strong"/>
          <w:rFonts w:ascii="Times New Roman" w:hAnsi="Times New Roman" w:cs="Times New Roman"/>
          <w:b w:val="0"/>
          <w:bCs w:val="0"/>
          <w:color w:val="000000" w:themeColor="text1"/>
          <w:sz w:val="24"/>
          <w:szCs w:val="24"/>
        </w:rPr>
        <w:t>Dhingra and Velmurugan 2015)</w:t>
      </w:r>
      <w:r w:rsidRPr="00DD1ACE">
        <w:rPr>
          <w:rFonts w:ascii="Times New Roman" w:eastAsia="Times New Roman" w:hAnsi="Times New Roman" w:cs="Times New Roman"/>
          <w:color w:val="000000" w:themeColor="text1"/>
          <w:sz w:val="24"/>
          <w:szCs w:val="24"/>
          <w:lang w:eastAsia="en-GB"/>
        </w:rPr>
        <w:t xml:space="preserve"> means, to carry out and to continue repair work.  With regards to </w:t>
      </w:r>
      <w:r w:rsidR="00DD1ACE" w:rsidRPr="00DD1ACE">
        <w:rPr>
          <w:rFonts w:ascii="Times New Roman" w:eastAsia="Times New Roman" w:hAnsi="Times New Roman" w:cs="Times New Roman"/>
          <w:color w:val="000000" w:themeColor="text1"/>
          <w:sz w:val="24"/>
          <w:szCs w:val="24"/>
          <w:lang w:eastAsia="en-GB"/>
        </w:rPr>
        <w:t xml:space="preserve">landscaping, it is repair work that is regularly carried out to keep </w:t>
      </w:r>
      <w:r w:rsidR="00DF280C" w:rsidRPr="00DD1ACE">
        <w:rPr>
          <w:rFonts w:ascii="Times New Roman" w:eastAsia="Times New Roman" w:hAnsi="Times New Roman" w:cs="Times New Roman"/>
          <w:color w:val="000000" w:themeColor="text1"/>
          <w:sz w:val="24"/>
          <w:szCs w:val="24"/>
          <w:lang w:eastAsia="en-GB"/>
        </w:rPr>
        <w:t>the landscape in</w:t>
      </w:r>
      <w:r w:rsidRPr="00DD1ACE">
        <w:rPr>
          <w:rFonts w:ascii="Times New Roman" w:eastAsia="Times New Roman" w:hAnsi="Times New Roman" w:cs="Times New Roman"/>
          <w:color w:val="000000" w:themeColor="text1"/>
          <w:sz w:val="24"/>
          <w:szCs w:val="24"/>
          <w:lang w:eastAsia="en-GB"/>
        </w:rPr>
        <w:t xml:space="preserve"> </w:t>
      </w:r>
      <w:r w:rsidR="00DF280C" w:rsidRPr="00DD1ACE">
        <w:rPr>
          <w:rFonts w:ascii="Times New Roman" w:eastAsia="Times New Roman" w:hAnsi="Times New Roman" w:cs="Times New Roman"/>
          <w:color w:val="000000" w:themeColor="text1"/>
          <w:sz w:val="24"/>
          <w:szCs w:val="24"/>
          <w:lang w:eastAsia="en-GB"/>
        </w:rPr>
        <w:t>good condition</w:t>
      </w:r>
      <w:r w:rsidRPr="00DD1ACE">
        <w:rPr>
          <w:rFonts w:ascii="Times New Roman" w:eastAsia="Times New Roman" w:hAnsi="Times New Roman" w:cs="Times New Roman"/>
          <w:color w:val="000000" w:themeColor="text1"/>
          <w:sz w:val="24"/>
          <w:szCs w:val="24"/>
          <w:lang w:eastAsia="en-GB"/>
        </w:rPr>
        <w:t xml:space="preserve">  and  working  order.  </w:t>
      </w:r>
      <w:r w:rsidR="00DD1ACE" w:rsidRPr="00DD1ACE">
        <w:rPr>
          <w:rFonts w:ascii="Times New Roman" w:eastAsia="Times New Roman" w:hAnsi="Times New Roman" w:cs="Times New Roman"/>
          <w:color w:val="000000" w:themeColor="text1"/>
          <w:sz w:val="24"/>
          <w:szCs w:val="24"/>
          <w:lang w:eastAsia="en-GB"/>
        </w:rPr>
        <w:t>It is an attempt to sustain, support or</w:t>
      </w:r>
      <w:r w:rsidRPr="00DD1ACE">
        <w:rPr>
          <w:rFonts w:ascii="Times New Roman" w:eastAsia="Times New Roman" w:hAnsi="Times New Roman" w:cs="Times New Roman"/>
          <w:color w:val="000000" w:themeColor="text1"/>
          <w:sz w:val="24"/>
          <w:szCs w:val="24"/>
          <w:lang w:eastAsia="en-GB"/>
        </w:rPr>
        <w:t xml:space="preserve"> </w:t>
      </w:r>
      <w:r w:rsidR="00DD1ACE" w:rsidRPr="00DD1ACE">
        <w:rPr>
          <w:rFonts w:ascii="Times New Roman" w:eastAsia="Times New Roman" w:hAnsi="Times New Roman" w:cs="Times New Roman"/>
          <w:color w:val="000000" w:themeColor="text1"/>
          <w:sz w:val="24"/>
          <w:szCs w:val="24"/>
          <w:lang w:eastAsia="en-GB"/>
        </w:rPr>
        <w:t>uphold landscaped projects to</w:t>
      </w:r>
      <w:r w:rsidRPr="00DD1ACE">
        <w:rPr>
          <w:rFonts w:ascii="Times New Roman" w:eastAsia="Times New Roman" w:hAnsi="Times New Roman" w:cs="Times New Roman"/>
          <w:color w:val="000000" w:themeColor="text1"/>
          <w:sz w:val="24"/>
          <w:szCs w:val="24"/>
          <w:lang w:eastAsia="en-GB"/>
        </w:rPr>
        <w:t xml:space="preserve"> ensure, that their initial beauty, standard and quality </w:t>
      </w:r>
      <w:r w:rsidR="00DD1ACE" w:rsidRPr="00DD1ACE">
        <w:rPr>
          <w:rFonts w:ascii="Times New Roman" w:eastAsia="Times New Roman" w:hAnsi="Times New Roman" w:cs="Times New Roman"/>
          <w:color w:val="000000" w:themeColor="text1"/>
          <w:sz w:val="24"/>
          <w:szCs w:val="24"/>
          <w:lang w:eastAsia="en-GB"/>
        </w:rPr>
        <w:t>are retained</w:t>
      </w:r>
      <w:r w:rsidRPr="00DD1ACE">
        <w:rPr>
          <w:rFonts w:ascii="Times New Roman" w:eastAsia="Times New Roman" w:hAnsi="Times New Roman" w:cs="Times New Roman"/>
          <w:color w:val="000000" w:themeColor="text1"/>
          <w:sz w:val="24"/>
          <w:szCs w:val="24"/>
          <w:lang w:eastAsia="en-GB"/>
        </w:rPr>
        <w:t xml:space="preserve">.  It also includes all efforts </w:t>
      </w:r>
      <w:r w:rsidR="00DD1ACE" w:rsidRPr="00DD1ACE">
        <w:rPr>
          <w:rFonts w:ascii="Times New Roman" w:eastAsia="Times New Roman" w:hAnsi="Times New Roman" w:cs="Times New Roman"/>
          <w:color w:val="000000" w:themeColor="text1"/>
          <w:sz w:val="24"/>
          <w:szCs w:val="24"/>
          <w:lang w:eastAsia="en-GB"/>
        </w:rPr>
        <w:t>undertaken to</w:t>
      </w:r>
      <w:r w:rsidRPr="00DD1ACE">
        <w:rPr>
          <w:rFonts w:ascii="Times New Roman" w:eastAsia="Times New Roman" w:hAnsi="Times New Roman" w:cs="Times New Roman"/>
          <w:color w:val="000000" w:themeColor="text1"/>
          <w:sz w:val="24"/>
          <w:szCs w:val="24"/>
          <w:lang w:eastAsia="en-GB"/>
        </w:rPr>
        <w:t xml:space="preserve"> </w:t>
      </w:r>
      <w:r w:rsidR="00DD1ACE" w:rsidRPr="00DD1ACE">
        <w:rPr>
          <w:rFonts w:ascii="Times New Roman" w:eastAsia="Times New Roman" w:hAnsi="Times New Roman" w:cs="Times New Roman"/>
          <w:color w:val="000000" w:themeColor="text1"/>
          <w:sz w:val="24"/>
          <w:szCs w:val="24"/>
          <w:lang w:eastAsia="en-GB"/>
        </w:rPr>
        <w:t>keep all</w:t>
      </w:r>
      <w:r w:rsidRPr="00DD1ACE">
        <w:rPr>
          <w:rFonts w:ascii="Times New Roman" w:eastAsia="Times New Roman" w:hAnsi="Times New Roman" w:cs="Times New Roman"/>
          <w:color w:val="000000" w:themeColor="text1"/>
          <w:sz w:val="24"/>
          <w:szCs w:val="24"/>
          <w:lang w:eastAsia="en-GB"/>
        </w:rPr>
        <w:t xml:space="preserve"> </w:t>
      </w:r>
      <w:r w:rsidR="00DD1ACE" w:rsidRPr="00DD1ACE">
        <w:rPr>
          <w:rFonts w:ascii="Times New Roman" w:eastAsia="Times New Roman" w:hAnsi="Times New Roman" w:cs="Times New Roman"/>
          <w:color w:val="000000" w:themeColor="text1"/>
          <w:sz w:val="24"/>
          <w:szCs w:val="24"/>
          <w:lang w:eastAsia="en-GB"/>
        </w:rPr>
        <w:t>landscape facilities</w:t>
      </w:r>
      <w:r w:rsidRPr="00DD1ACE">
        <w:rPr>
          <w:rFonts w:ascii="Times New Roman" w:eastAsia="Times New Roman" w:hAnsi="Times New Roman" w:cs="Times New Roman"/>
          <w:color w:val="000000" w:themeColor="text1"/>
          <w:sz w:val="24"/>
          <w:szCs w:val="24"/>
          <w:lang w:eastAsia="en-GB"/>
        </w:rPr>
        <w:t xml:space="preserve"> and </w:t>
      </w:r>
      <w:r w:rsidR="00DD1ACE" w:rsidRPr="00DD1ACE">
        <w:rPr>
          <w:rFonts w:ascii="Times New Roman" w:eastAsia="Times New Roman" w:hAnsi="Times New Roman" w:cs="Times New Roman"/>
          <w:color w:val="000000" w:themeColor="text1"/>
          <w:sz w:val="24"/>
          <w:szCs w:val="24"/>
          <w:lang w:eastAsia="en-GB"/>
        </w:rPr>
        <w:t xml:space="preserve">features in an acceptable </w:t>
      </w:r>
      <w:r w:rsidR="00DF280C" w:rsidRPr="00DD1ACE">
        <w:rPr>
          <w:rFonts w:ascii="Times New Roman" w:eastAsia="Times New Roman" w:hAnsi="Times New Roman" w:cs="Times New Roman"/>
          <w:color w:val="000000" w:themeColor="text1"/>
          <w:sz w:val="24"/>
          <w:szCs w:val="24"/>
          <w:lang w:eastAsia="en-GB"/>
        </w:rPr>
        <w:t>state, so as</w:t>
      </w:r>
      <w:r w:rsidRPr="00DD1ACE">
        <w:rPr>
          <w:rFonts w:ascii="Times New Roman" w:eastAsia="Times New Roman" w:hAnsi="Times New Roman" w:cs="Times New Roman"/>
          <w:color w:val="000000" w:themeColor="text1"/>
          <w:sz w:val="24"/>
          <w:szCs w:val="24"/>
          <w:lang w:eastAsia="en-GB"/>
        </w:rPr>
        <w:t xml:space="preserve">  to  ensure  their  functionality, good aesthetic standing and the continued  survival  of a beautiful  environment  (</w:t>
      </w:r>
      <w:r w:rsidRPr="00DD1ACE">
        <w:rPr>
          <w:rFonts w:ascii="Times New Roman" w:hAnsi="Times New Roman" w:cs="Times New Roman"/>
          <w:color w:val="000000" w:themeColor="text1"/>
          <w:sz w:val="24"/>
          <w:szCs w:val="24"/>
        </w:rPr>
        <w:t>Efobi 2006).</w:t>
      </w:r>
      <w:r w:rsidRPr="00DD1ACE">
        <w:rPr>
          <w:rStyle w:val="Strong"/>
          <w:rFonts w:ascii="Times New Roman" w:hAnsi="Times New Roman" w:cs="Times New Roman"/>
          <w:b w:val="0"/>
          <w:bCs w:val="0"/>
          <w:color w:val="000000" w:themeColor="text1"/>
          <w:sz w:val="24"/>
          <w:szCs w:val="24"/>
        </w:rPr>
        <w:t xml:space="preserve"> </w:t>
      </w:r>
      <w:r w:rsidRPr="00DD1ACE">
        <w:rPr>
          <w:rFonts w:ascii="Times New Roman" w:hAnsi="Times New Roman" w:cs="Times New Roman"/>
          <w:color w:val="000000" w:themeColor="text1"/>
          <w:sz w:val="24"/>
          <w:szCs w:val="24"/>
        </w:rPr>
        <w:t xml:space="preserve">Landscape maintenance activities are often performed by the same firms that perform installation functions. </w:t>
      </w:r>
    </w:p>
    <w:p w14:paraId="5F4E2C7F" w14:textId="77777777" w:rsidR="00A63CD3" w:rsidRPr="00DD1ACE" w:rsidRDefault="00A63CD3" w:rsidP="00DD1ACE">
      <w:pPr>
        <w:spacing w:after="0" w:line="240" w:lineRule="auto"/>
        <w:jc w:val="both"/>
        <w:rPr>
          <w:rStyle w:val="Strong"/>
          <w:rFonts w:ascii="Times New Roman" w:hAnsi="Times New Roman" w:cs="Times New Roman"/>
          <w:b w:val="0"/>
          <w:bCs w:val="0"/>
          <w:color w:val="000000" w:themeColor="text1"/>
          <w:sz w:val="24"/>
          <w:szCs w:val="24"/>
        </w:rPr>
      </w:pPr>
      <w:r w:rsidRPr="00DD1ACE">
        <w:rPr>
          <w:rStyle w:val="Strong"/>
          <w:rFonts w:ascii="Times New Roman" w:hAnsi="Times New Roman" w:cs="Times New Roman"/>
          <w:b w:val="0"/>
          <w:bCs w:val="0"/>
          <w:color w:val="000000" w:themeColor="text1"/>
          <w:sz w:val="24"/>
          <w:szCs w:val="24"/>
        </w:rPr>
        <w:t>This study is the exploration of users'; the manner in which landscape maintenance is perceived by users holds the key to unlocking a harmonious synergy between architectural design, natural surroundings, and the experiential narratives they together weave. The users view can either be subjective, based on users understanding, cultural background, experience which can be easily influenced.</w:t>
      </w:r>
      <w:r w:rsidRPr="00DD1ACE">
        <w:rPr>
          <w:rStyle w:val="Strong"/>
          <w:rFonts w:ascii="Times New Roman" w:hAnsi="Times New Roman" w:cs="Times New Roman"/>
          <w:b w:val="0"/>
          <w:bCs w:val="0"/>
          <w:color w:val="000000" w:themeColor="text1"/>
          <w:sz w:val="24"/>
          <w:szCs w:val="24"/>
          <w:lang w:eastAsia="en-GB"/>
        </w:rPr>
        <w:t xml:space="preserve"> </w:t>
      </w:r>
      <w:r w:rsidRPr="00DD1ACE">
        <w:rPr>
          <w:rStyle w:val="Strong"/>
          <w:rFonts w:ascii="Times New Roman" w:hAnsi="Times New Roman" w:cs="Times New Roman"/>
          <w:b w:val="0"/>
          <w:bCs w:val="0"/>
          <w:color w:val="000000" w:themeColor="text1"/>
          <w:sz w:val="24"/>
          <w:szCs w:val="24"/>
        </w:rPr>
        <w:t>As tourism becomes an increasingly integral part of societal and economic fabrics (</w:t>
      </w:r>
      <w:r w:rsidRPr="00DD1ACE">
        <w:rPr>
          <w:rFonts w:ascii="Times New Roman" w:hAnsi="Times New Roman" w:cs="Times New Roman"/>
          <w:color w:val="000000" w:themeColor="text1"/>
          <w:sz w:val="24"/>
          <w:szCs w:val="24"/>
        </w:rPr>
        <w:t>Ayeni 2011).</w:t>
      </w:r>
      <w:r w:rsidRPr="00DD1ACE">
        <w:rPr>
          <w:rStyle w:val="Strong"/>
          <w:rFonts w:ascii="Times New Roman" w:hAnsi="Times New Roman" w:cs="Times New Roman"/>
          <w:b w:val="0"/>
          <w:bCs w:val="0"/>
          <w:color w:val="000000" w:themeColor="text1"/>
          <w:sz w:val="24"/>
          <w:szCs w:val="24"/>
        </w:rPr>
        <w:t xml:space="preserve"> Understanding how users perceive the effect of landscape maintenance practices is important. These perceptions can influence their interactions with the environment, cultural heritage, and the architectural elements that facilitate their journey. The perceived effect of </w:t>
      </w:r>
      <w:r w:rsidRPr="00DD1ACE">
        <w:rPr>
          <w:rStyle w:val="Strong"/>
          <w:rFonts w:ascii="Times New Roman" w:hAnsi="Times New Roman" w:cs="Times New Roman"/>
          <w:b w:val="0"/>
          <w:bCs w:val="0"/>
          <w:color w:val="000000" w:themeColor="text1"/>
          <w:sz w:val="24"/>
          <w:szCs w:val="24"/>
        </w:rPr>
        <w:lastRenderedPageBreak/>
        <w:t>landscape maintenance practices becomes a tool that shapes visitors' interactions, impressions, and memories. The perception of these users also becomes a compass that can guide the evolution of architecture and tourism toward a sustainable development.</w:t>
      </w:r>
    </w:p>
    <w:p w14:paraId="550DF893" w14:textId="62C6DE1F" w:rsidR="00A63CD3" w:rsidRDefault="00A63CD3" w:rsidP="00A63CD3">
      <w:pPr>
        <w:spacing w:after="0" w:line="240" w:lineRule="auto"/>
        <w:jc w:val="both"/>
        <w:rPr>
          <w:rStyle w:val="Strong"/>
          <w:rFonts w:ascii="Times New Roman" w:hAnsi="Times New Roman" w:cs="Times New Roman"/>
          <w:b w:val="0"/>
          <w:bCs w:val="0"/>
          <w:color w:val="000000" w:themeColor="text1"/>
          <w:sz w:val="24"/>
          <w:szCs w:val="24"/>
        </w:rPr>
      </w:pPr>
      <w:r w:rsidRPr="00DD1ACE">
        <w:rPr>
          <w:rStyle w:val="Strong"/>
          <w:rFonts w:ascii="Times New Roman" w:hAnsi="Times New Roman" w:cs="Times New Roman"/>
          <w:b w:val="0"/>
          <w:bCs w:val="0"/>
          <w:color w:val="000000" w:themeColor="text1"/>
          <w:sz w:val="24"/>
          <w:szCs w:val="24"/>
        </w:rPr>
        <w:t>The users' perceptions regarding the influence of landscape maintenance remains relatively unexplored, particularly within the context of Kwara State's Owu Waterfall. This gap signifies an exciting avenue for inquiry;</w:t>
      </w:r>
      <w:r w:rsidRPr="00DD1ACE">
        <w:rPr>
          <w:rStyle w:val="Strong"/>
          <w:rFonts w:ascii="Times New Roman" w:hAnsi="Times New Roman" w:cs="Times New Roman"/>
          <w:b w:val="0"/>
          <w:bCs w:val="0"/>
          <w:color w:val="000000" w:themeColor="text1"/>
          <w:sz w:val="24"/>
          <w:szCs w:val="24"/>
          <w:lang w:eastAsia="en-GB"/>
        </w:rPr>
        <w:t xml:space="preserve"> </w:t>
      </w:r>
      <w:r w:rsidRPr="00DD1ACE">
        <w:rPr>
          <w:rStyle w:val="Strong"/>
          <w:rFonts w:ascii="Times New Roman" w:hAnsi="Times New Roman" w:cs="Times New Roman"/>
          <w:b w:val="0"/>
          <w:bCs w:val="0"/>
          <w:color w:val="000000" w:themeColor="text1"/>
          <w:sz w:val="24"/>
          <w:szCs w:val="24"/>
        </w:rPr>
        <w:t>in which the study offers a measure for the design of a hotel facility not far to the Owu Waterfall. By looking into the users' perceptions of the influence of landscape maintenance, It seeks to shed light on how these perceptions can influence the architecture, functionality, and sustainability of the proposed hotel, bringing in an harmonious coexistence between nature, design, and human experience.</w:t>
      </w:r>
    </w:p>
    <w:p w14:paraId="45F857D0" w14:textId="77777777" w:rsidR="00DD1ACE" w:rsidRPr="00DD1ACE" w:rsidRDefault="00DD1ACE" w:rsidP="00A63CD3">
      <w:pPr>
        <w:spacing w:after="0" w:line="240" w:lineRule="auto"/>
        <w:jc w:val="both"/>
        <w:rPr>
          <w:rStyle w:val="Strong"/>
          <w:rFonts w:ascii="Times New Roman" w:hAnsi="Times New Roman" w:cs="Times New Roman"/>
          <w:b w:val="0"/>
          <w:bCs w:val="0"/>
          <w:color w:val="000000" w:themeColor="text1"/>
          <w:sz w:val="24"/>
          <w:szCs w:val="24"/>
          <w:lang w:eastAsia="en-GB"/>
        </w:rPr>
      </w:pPr>
    </w:p>
    <w:p w14:paraId="14060396" w14:textId="634DB382" w:rsidR="00A63CD3" w:rsidRPr="00BE4AF3" w:rsidRDefault="00A63CD3" w:rsidP="00A63CD3">
      <w:pPr>
        <w:spacing w:after="0" w:line="240" w:lineRule="auto"/>
        <w:jc w:val="both"/>
        <w:rPr>
          <w:rFonts w:ascii="Times New Roman" w:hAnsi="Times New Roman" w:cs="Times New Roman"/>
          <w:b/>
          <w:bCs/>
          <w:color w:val="000000" w:themeColor="text1"/>
          <w:sz w:val="24"/>
          <w:szCs w:val="24"/>
        </w:rPr>
      </w:pPr>
      <w:r w:rsidRPr="00BE4AF3">
        <w:rPr>
          <w:rFonts w:ascii="Times New Roman" w:hAnsi="Times New Roman" w:cs="Times New Roman"/>
          <w:b/>
          <w:color w:val="000000" w:themeColor="text1"/>
          <w:sz w:val="24"/>
          <w:szCs w:val="24"/>
        </w:rPr>
        <w:t>Literature Review</w:t>
      </w:r>
      <w:r w:rsidRPr="00BE4AF3">
        <w:rPr>
          <w:rStyle w:val="Strong"/>
          <w:rFonts w:ascii="Times New Roman" w:hAnsi="Times New Roman" w:cs="Times New Roman"/>
          <w:color w:val="000000" w:themeColor="text1"/>
          <w:sz w:val="24"/>
          <w:szCs w:val="24"/>
        </w:rPr>
        <w:t xml:space="preserve"> </w:t>
      </w:r>
    </w:p>
    <w:p w14:paraId="45C43F59" w14:textId="02442FBF" w:rsidR="00A63CD3" w:rsidRPr="00BE4AF3" w:rsidRDefault="00A63CD3" w:rsidP="00A63CD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The major current state of landscape maintenance in tourist centres in Nigeria remains largely unknown, with limited studies conducted in this area (Sadiq et al., 2020; Ayeni, 2012). While (Sadiq et al., 2020), has explored the impact of landscape on tourism development, such as a case study of Abuja and (Ayeni 2012), studied the initiatives for enhancing Nigeria's tourist attractions through landscaping there is a lack of specific research identifying and assessing the current state of landscape maintenance in southwest Nigeria. In the context of landscape maintenance practices, various scholars who include (Eseigbe 2014, bodunde 2020, Emmanuel 2021, zuikefle 2022) have extensively explored extensively various aspects of landscape and tourism, ranging from addressing cost of maintenance practise to the maintenance of landscape convectional plant. However, within this scope of landscape maintenance in tourist centre, there is a notable gap in empirical research focusing on user perceptions. While some studies touch upon the broader aspects of landscape quality or aesthetics, there is a lack of detailed investigation into how users specifically perceive and evaluate the maintenance practices employed in these areas. This is crucial for informing effective maintenance strategies and enhancing user satisfaction in urban or recreational settings.</w:t>
      </w:r>
    </w:p>
    <w:p w14:paraId="14BF1978" w14:textId="284ED7B1" w:rsidR="00A63CD3" w:rsidRPr="00BE4AF3" w:rsidRDefault="00207803" w:rsidP="00A63CD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Also,</w:t>
      </w:r>
      <w:r w:rsidR="00A63CD3" w:rsidRPr="00BE4AF3">
        <w:rPr>
          <w:rFonts w:ascii="Times New Roman" w:hAnsi="Times New Roman" w:cs="Times New Roman"/>
          <w:color w:val="000000" w:themeColor="text1"/>
          <w:sz w:val="24"/>
          <w:szCs w:val="24"/>
        </w:rPr>
        <w:t xml:space="preserve"> existing research has explored the influence of various factors on user preferences and experiences in tourist centres, such as the perception of landscape and its implications in tourism. Terkenli, et al. (2019) did a study toward understanding tourist landscape, with a comparative study of locals` and visitors` perception in selected destinations in Poland and Greece. Another study by Rumao, (2016), Assess users’ perceptions of campus landscapes learning from the University of Texas at Arlington. Also Sadiq, et,al (2020), studied the Impact of Landscape on Tourism Development, A Case Study of Abuja Millennium Park Abuja. While several factors influence user’s preference and experiences, there is a notable gap in the existing literatures regarding the specific role of landscape maintenance practices in shaping these preferences and experiences. Therefore, there is a need for research that systematically investigates the ways in which landscape maintenance practices influence user preferences and experiences in tourist centres, providing valuable insights for destination management and tourism development strategies. By bridging these gaps, this study aims to inform decision-making processes in destination management, including the design and development of hotels within tourist centres. By understanding the demographic composition of tourists and the influence of landscape maintenance practices on visitor experiences, this research will provide valuable insights for designing hotels that cater to the preferences and needs of tourists, thereby contributing to the overall advancement of the tourism industry in the region.</w:t>
      </w:r>
    </w:p>
    <w:p w14:paraId="0240C5CC" w14:textId="01649A3D" w:rsidR="00A63CD3" w:rsidRPr="00BE4AF3" w:rsidRDefault="00A63CD3" w:rsidP="00A63CD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The study by Ayeni, 2012, looked at the method of enhancing the Nigeria tourist attractions through landscaping for sustainable tourism development. </w:t>
      </w:r>
      <w:r w:rsidRPr="00BE4AF3">
        <w:rPr>
          <w:rFonts w:ascii="Times New Roman" w:hAnsi="Times New Roman" w:cs="Times New Roman"/>
          <w:bCs/>
          <w:color w:val="000000" w:themeColor="text1"/>
          <w:sz w:val="24"/>
          <w:szCs w:val="24"/>
        </w:rPr>
        <w:t xml:space="preserve">The methodology adopted in this study is a quantitative approach alongside literature review to assess the perspectives of tourism users in Nigeria regarding the importance of landscaping in tourism development. Closed-ended questionnaires were used for data collection, with responses measured on a Likert scales </w:t>
      </w:r>
      <w:r w:rsidRPr="00BE4AF3">
        <w:rPr>
          <w:rFonts w:ascii="Times New Roman" w:hAnsi="Times New Roman" w:cs="Times New Roman"/>
          <w:bCs/>
          <w:color w:val="000000" w:themeColor="text1"/>
          <w:sz w:val="24"/>
          <w:szCs w:val="24"/>
        </w:rPr>
        <w:lastRenderedPageBreak/>
        <w:t>ranging from strongly agree to strongly disagree. The study population included users from four selected states (Kogi, Ekiti, Ondo, and the Federal Capital Territory-Abuja) and an academic institution, chosen using simple random and convenience sampling methods. Stratified random sampling was employed to select respondents from various sectors within the tourism industry. This methodology aimed to ensure credibility, reliability, and validity of the findings while achieving the study objectives effectively. This study set out to investigate the need for the enhancement of the Nigerian tourist attractions for sustainable   tourism development.</w:t>
      </w:r>
    </w:p>
    <w:p w14:paraId="09F0D53D" w14:textId="77777777" w:rsidR="00A63CD3" w:rsidRPr="00BE4AF3" w:rsidRDefault="00A63CD3" w:rsidP="0020780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Suriati, Zulkefle, Huzeima &amp; Nadiyanti, (2022), study assessed of landscape maintenance towards cost planning: using expert validation on the criteria of sustainable landscape maintenance for Public Park in Nayan the methodology adopted in the study is quantitative method. </w:t>
      </w:r>
      <w:r w:rsidRPr="00BE4AF3">
        <w:rPr>
          <w:rFonts w:ascii="Times New Roman" w:hAnsi="Times New Roman" w:cs="Times New Roman"/>
          <w:bCs/>
          <w:color w:val="000000" w:themeColor="text1"/>
          <w:sz w:val="24"/>
          <w:szCs w:val="24"/>
        </w:rPr>
        <w:t>The methodology employed in this research on evaluating the cost implication of public park maintenance utilized a mixed-method approach, specifically Creswell and Plano Clark's (2011) explanatory sequential design. Initially, the quantitative method was employed for phase one data collection and analysis, focusing on expert validation of the landscape maintenance checklist. The questionnaire survey aimed to validate significant attributes and parameters for the checklist, drawing responses from experts in the Malaysia landscape industry, including academics, government sectors, landscape firms, contractors, developers, and nursery operators. A sample size of 15 expert panels was chosen for the validation process based on ILAM directory members. The questionnaire consisted of two sections: respondent background and criteria of public park maintenance, using a Likert scale to rate the outlined criteria. Criteria were organized based on themes derived from the literature review, covering landscape planning, design, and construction, implementation, and maintenance phases. The quantitative data analysis utilized the Percentage of Consensus of Agreement (PoCoA), with attributes achieving a consensus agreement of 80.0% or higher included in the final landscape maintenance checklist. This methodology ensured comprehensive coverage of key maintenance parameters while maintaining reliability and validity through expert validation and consensus analysis.</w:t>
      </w:r>
    </w:p>
    <w:p w14:paraId="77314C7E" w14:textId="77777777" w:rsidR="00A63CD3" w:rsidRPr="00BE4AF3" w:rsidRDefault="00A63CD3" w:rsidP="0020780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Gloria, 2016, study assessed users’ perceptions of campus landscapes: learning from the University of Texas at Arlington, the methodology adopted in the study is quantitative techniques. </w:t>
      </w:r>
      <w:r w:rsidRPr="00BE4AF3">
        <w:rPr>
          <w:rFonts w:ascii="Times New Roman" w:hAnsi="Times New Roman" w:cs="Times New Roman"/>
          <w:bCs/>
          <w:color w:val="000000" w:themeColor="text1"/>
          <w:sz w:val="24"/>
          <w:szCs w:val="24"/>
        </w:rPr>
        <w:t>This research employed quantitative techniques to evaluate users' perceptions of the campus landscape at UT Arlington. Data collection methods included online surveys, passive on-site observations, and a systematic review of archival and secondary data relevant to campus landscape design. Historic documents about the campus were obtained from the UT Arlington Central Library's special collection. The survey method involved participants completing online survey questions based on their experiences and perceptions of the campus. Both open and close-ended questions were included to gain comprehensive insights. Passive observation by the researcher at the campus was documented through qualitative descriptions and site photographs. Subsequently, a data triangulation method was utilized to analyze the findings and illustrate users' perceptions of campus landscapes at UT Arlington.</w:t>
      </w:r>
    </w:p>
    <w:p w14:paraId="39506B9C" w14:textId="77777777" w:rsidR="00A63CD3" w:rsidRPr="00BE4AF3" w:rsidRDefault="00A63CD3" w:rsidP="0020780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Theano, Ewa, Andrzej, (2019), in their study toward understanding tourist landscape, carry out a comparative study of locals’ and visitors’ perception in selected destinations in Poland and Greece. This study adopted structured questionnaires administered to the stakeholders.</w:t>
      </w:r>
      <w:r w:rsidRPr="00BE4AF3">
        <w:rPr>
          <w:rFonts w:ascii="Times New Roman" w:hAnsi="Times New Roman" w:cs="Times New Roman"/>
          <w:bCs/>
          <w:color w:val="000000" w:themeColor="text1"/>
          <w:sz w:val="24"/>
          <w:szCs w:val="24"/>
        </w:rPr>
        <w:t xml:space="preserve"> The research design involved conducting surveys with a total of 261 respondents in Zwierzyniec and Chios, comprising residents, tourists, and tourism businesses/stakeholders. Structured questionnaires were administered by researchers themselves at highly visited locations during peak tourist periods. Purposive sampling was used for tourists, while residents were interviewed door-to-door. Stakeholders were sampled using purposive non-probability sampling, targeting owners/managers of tourism products. Respondents were questioned about their perceptions of the landscapes visited, focusing on various landscape elements' </w:t>
      </w:r>
      <w:r w:rsidRPr="00BE4AF3">
        <w:rPr>
          <w:rFonts w:ascii="Times New Roman" w:hAnsi="Times New Roman" w:cs="Times New Roman"/>
          <w:bCs/>
          <w:color w:val="000000" w:themeColor="text1"/>
          <w:sz w:val="24"/>
          <w:szCs w:val="24"/>
        </w:rPr>
        <w:lastRenderedPageBreak/>
        <w:t>significance and their contribution to defining the tourist landscape. The survey in Poland occurred between June and August 2012, while in Greece, it was conducted during the tourist season of 2015, ensuring active tourist businesses and arrivals.</w:t>
      </w:r>
    </w:p>
    <w:p w14:paraId="5D3D1550" w14:textId="77777777" w:rsidR="00A63CD3" w:rsidRPr="00BE4AF3" w:rsidRDefault="00A63CD3" w:rsidP="00207803">
      <w:pPr>
        <w:spacing w:after="0" w:line="240" w:lineRule="auto"/>
        <w:jc w:val="both"/>
        <w:rPr>
          <w:rStyle w:val="Strong"/>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Sadiq, Abba, Bulama, and Babagana, 2020, in their study looked at the impact of landscape on tourism development. The study used a case study of Abuja Millennium Park Abuja, Nigeria. The methodology adopted in this study is qualitative research methods. </w:t>
      </w:r>
      <w:r w:rsidRPr="00BE4AF3">
        <w:rPr>
          <w:rFonts w:ascii="Times New Roman" w:hAnsi="Times New Roman" w:cs="Times New Roman"/>
          <w:bCs/>
          <w:color w:val="000000" w:themeColor="text1"/>
          <w:sz w:val="24"/>
          <w:szCs w:val="24"/>
        </w:rPr>
        <w:t>The following methods are used; these include visual survey that involves visiting parks and carefully observing their features. Also, Structured Interview was used that involved conducting interviews with administrative and technical staff to gather detailed information on various aspects of the parks' functionality. Furthermore, analytical and comparative study was used in comparing parks' landscapes using independent variables such as major facilities, primary means of circulation, and landscape style and concept. Data collection methods include observations, visual surveys, analytical and comparative studies, and structured interviews. The primary instrument used for data collection and documentation was a questionnaire. Procedures for data collection involved site visits, visual analysis of landscape elements, and documentation of their harmony with nature.</w:t>
      </w:r>
    </w:p>
    <w:p w14:paraId="0B678F82" w14:textId="77777777" w:rsidR="00A63CD3" w:rsidRPr="00BE4AF3" w:rsidRDefault="00A63CD3" w:rsidP="0020780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Landscape constitutes a most sig</w:t>
      </w:r>
      <w:r w:rsidRPr="00BE4AF3">
        <w:rPr>
          <w:rFonts w:ascii="Times New Roman" w:hAnsi="Times New Roman" w:cs="Times New Roman"/>
          <w:color w:val="000000" w:themeColor="text1"/>
          <w:sz w:val="24"/>
          <w:szCs w:val="24"/>
        </w:rPr>
        <w:softHyphen/>
        <w:t xml:space="preserve">nificant geographical medium in the analysis of relationships that develop between tourist and visited location (Terkenli 2014). So therefore, </w:t>
      </w:r>
      <w:r w:rsidRPr="00207803">
        <w:rPr>
          <w:rStyle w:val="Strong"/>
          <w:rFonts w:ascii="Times New Roman" w:hAnsi="Times New Roman" w:cs="Times New Roman"/>
          <w:b w:val="0"/>
          <w:bCs w:val="0"/>
          <w:color w:val="000000" w:themeColor="text1"/>
          <w:sz w:val="24"/>
          <w:szCs w:val="24"/>
        </w:rPr>
        <w:t>Landscapes according to Eseigbe (2014) are</w:t>
      </w:r>
      <w:r w:rsidRPr="00207803">
        <w:rPr>
          <w:rFonts w:ascii="Times New Roman" w:hAnsi="Times New Roman" w:cs="Times New Roman"/>
          <w:b/>
          <w:bCs/>
          <w:color w:val="000000" w:themeColor="text1"/>
          <w:sz w:val="24"/>
          <w:szCs w:val="24"/>
        </w:rPr>
        <w:t xml:space="preserve"> </w:t>
      </w:r>
      <w:r w:rsidRPr="00BE4AF3">
        <w:rPr>
          <w:rFonts w:ascii="Times New Roman" w:hAnsi="Times New Roman" w:cs="Times New Roman"/>
          <w:color w:val="000000" w:themeColor="text1"/>
          <w:sz w:val="24"/>
          <w:szCs w:val="24"/>
        </w:rPr>
        <w:t>sceneries of nature, whereas according to most of the English dictionaries, landscape is defined as a piece of land that can be seen at a glance or eye. Similarly Adeniji, Ezekiel, and Aliyu (2018) define Landscape as land surfaces that appeals to the human sense of beauty. Another given definition by Ayeni (2012) said landscape encompasses the visible features of a land area, comprising physical elements which includes elements such as rivers, lakes, mountains, hills, valleys, and other natural formations which is made up of a unique arrangement and distinctive character of these elements within a specific region, and these surface features are widely spread throughout earth surface.</w:t>
      </w:r>
    </w:p>
    <w:p w14:paraId="1EF921DB" w14:textId="77777777" w:rsidR="00A63CD3" w:rsidRPr="00BE4AF3" w:rsidRDefault="00A63CD3" w:rsidP="00207803">
      <w:pPr>
        <w:spacing w:after="0" w:line="240" w:lineRule="auto"/>
        <w:jc w:val="both"/>
        <w:rPr>
          <w:rStyle w:val="Strong"/>
          <w:rFonts w:ascii="Times New Roman" w:hAnsi="Times New Roman" w:cs="Times New Roman"/>
          <w:b w:val="0"/>
          <w:bCs w:val="0"/>
          <w:color w:val="000000" w:themeColor="text1"/>
          <w:sz w:val="24"/>
          <w:szCs w:val="24"/>
        </w:rPr>
      </w:pPr>
      <w:r w:rsidRPr="00BE4AF3">
        <w:rPr>
          <w:rFonts w:ascii="Times New Roman" w:hAnsi="Times New Roman" w:cs="Times New Roman"/>
          <w:color w:val="000000" w:themeColor="text1"/>
          <w:sz w:val="24"/>
          <w:szCs w:val="24"/>
        </w:rPr>
        <w:t>Maintenance plays an essential role in tourism development. Maintaining a landscape involves actively preventing its deterioration, ensuring it remains in optimal condition. The objectives of managing a landscape are diverse, and areas assign for amenity purposes often fulfil multiple roles (Suriati and Zulkefle 2022). These roles involves providing appealing views, serving as a protective screen or shelter, contributing to nature conservation, achieving horticultural excellence, boosting botanical diversity and education, offering space for sports and recreation, facilitating job creation, and accommodating leisure gardening (Mohamed, Othman &amp; Ariffin, 2012). While some purposes may be immediately evident based on the land's layout, changes in circumstances over time may obscure the original intent. Consequently, during the planning or review of maintenance efforts, a clear understanding of the land's use and functions is crucial. Landscape maintenance is a discipline that involves planned and continuous efforts directed towards the preservation, enhancement, and effective management of outdoor spaces within tourist destinations (Uji, 2000;</w:t>
      </w:r>
      <w:r w:rsidRPr="00BE4AF3">
        <w:rPr>
          <w:rFonts w:ascii="Times New Roman" w:hAnsi="Times New Roman" w:cs="Times New Roman"/>
          <w:sz w:val="24"/>
          <w:szCs w:val="24"/>
        </w:rPr>
        <w:t xml:space="preserve"> </w:t>
      </w:r>
      <w:r w:rsidRPr="00BE4AF3">
        <w:rPr>
          <w:rFonts w:ascii="Times New Roman" w:hAnsi="Times New Roman" w:cs="Times New Roman"/>
          <w:color w:val="000000" w:themeColor="text1"/>
          <w:sz w:val="24"/>
          <w:szCs w:val="24"/>
        </w:rPr>
        <w:t>Yazici, and Gülgün, 2023). It involves a range of activities aimed at sustaining the desired condition of outdoor spaces, which includes gardening, conservation, infrastructure upkeep, and continuous care to ensure the optimal condition of tourist centres landscaped areas (Efobi, 1988, Makinde, 2020)</w:t>
      </w:r>
      <w:r w:rsidRPr="00BE4AF3">
        <w:rPr>
          <w:rStyle w:val="Strong"/>
          <w:rFonts w:ascii="Times New Roman" w:hAnsi="Times New Roman" w:cs="Times New Roman"/>
          <w:color w:val="000000" w:themeColor="text1"/>
          <w:sz w:val="24"/>
          <w:szCs w:val="24"/>
        </w:rPr>
        <w:t xml:space="preserve">. </w:t>
      </w:r>
    </w:p>
    <w:p w14:paraId="569487CE" w14:textId="77777777" w:rsidR="00A63CD3" w:rsidRPr="00207803" w:rsidRDefault="00A63CD3" w:rsidP="00207803">
      <w:pPr>
        <w:spacing w:after="0" w:line="240" w:lineRule="auto"/>
        <w:jc w:val="both"/>
        <w:rPr>
          <w:rStyle w:val="Strong"/>
          <w:rFonts w:ascii="Times New Roman" w:hAnsi="Times New Roman" w:cs="Times New Roman"/>
          <w:b w:val="0"/>
          <w:bCs w:val="0"/>
          <w:color w:val="000000" w:themeColor="text1"/>
          <w:sz w:val="24"/>
          <w:szCs w:val="24"/>
        </w:rPr>
      </w:pPr>
      <w:r w:rsidRPr="00207803">
        <w:rPr>
          <w:rStyle w:val="Strong"/>
          <w:rFonts w:ascii="Times New Roman" w:hAnsi="Times New Roman" w:cs="Times New Roman"/>
          <w:b w:val="0"/>
          <w:bCs w:val="0"/>
          <w:color w:val="000000" w:themeColor="text1"/>
          <w:sz w:val="24"/>
          <w:szCs w:val="24"/>
        </w:rPr>
        <w:t>According suriati and zulkefie (2022) the importance of landscape maintenance in tourist centres is underscored by its significant role in ensuring tourist centre safety. An excellent and efficient maintenance program is essential to address issues such as graffiti, garbage, and vandalism, poorly maintained pathways, or neglected planting. These concerns contribute to a perception of a lack of safety within the tourist centre</w:t>
      </w:r>
      <w:r w:rsidRPr="00207803">
        <w:rPr>
          <w:rFonts w:ascii="Times New Roman" w:hAnsi="Times New Roman" w:cs="Times New Roman"/>
          <w:b/>
          <w:bCs/>
          <w:sz w:val="24"/>
          <w:szCs w:val="24"/>
        </w:rPr>
        <w:t xml:space="preserve"> (</w:t>
      </w:r>
      <w:r w:rsidRPr="00207803">
        <w:rPr>
          <w:rStyle w:val="Strong"/>
          <w:rFonts w:ascii="Times New Roman" w:hAnsi="Times New Roman" w:cs="Times New Roman"/>
          <w:b w:val="0"/>
          <w:bCs w:val="0"/>
          <w:color w:val="000000" w:themeColor="text1"/>
          <w:sz w:val="24"/>
          <w:szCs w:val="24"/>
        </w:rPr>
        <w:t xml:space="preserve">Gérald, 2011). When these conditions are present, they imply that the area is uncared for and lacks proper supervision. Neglecting maintenance can lead to a cycle of abuse, wherein legitimate users of the park begin to avoid the area as physical conditions deteriorate (Efobi, 1988). This avoidance can create an </w:t>
      </w:r>
      <w:r w:rsidRPr="00207803">
        <w:rPr>
          <w:rStyle w:val="Strong"/>
          <w:rFonts w:ascii="Times New Roman" w:hAnsi="Times New Roman" w:cs="Times New Roman"/>
          <w:b w:val="0"/>
          <w:bCs w:val="0"/>
          <w:color w:val="000000" w:themeColor="text1"/>
          <w:sz w:val="24"/>
          <w:szCs w:val="24"/>
        </w:rPr>
        <w:lastRenderedPageBreak/>
        <w:t>opportunity for inappropriate users and uses to take over the park. Therefore, the diligent upkeep of landscapes in tourist centres is crucial not only for aesthetic reasons but also for fostering a sense of safety and security, ensuring a positive experience for visitors and preventing the degradation of the park environment. Suriati and Zulkefle (2022) also maintain that Landscape maintenance plays a pivotal role in the success and sustainability of tourist centres. These centres, often characterized by natural wonders like waterfalls, mountains, and lush vegetation, rely on effective landscape maintenance to create environments that not only captivate but also offer a memorable and transformative experience for visitors. The well-maintained landscapes of tourist centres contribute significantly to attracting and retaining tourists, fostering repeat visitations, and enhancing the overall economic growth of the region</w:t>
      </w:r>
      <w:r w:rsidRPr="00207803">
        <w:rPr>
          <w:rFonts w:ascii="Times New Roman" w:hAnsi="Times New Roman" w:cs="Times New Roman"/>
          <w:b/>
          <w:bCs/>
          <w:sz w:val="24"/>
          <w:szCs w:val="24"/>
        </w:rPr>
        <w:t xml:space="preserve"> (</w:t>
      </w:r>
      <w:r w:rsidRPr="00207803">
        <w:rPr>
          <w:rStyle w:val="Strong"/>
          <w:rFonts w:ascii="Times New Roman" w:hAnsi="Times New Roman" w:cs="Times New Roman"/>
          <w:b w:val="0"/>
          <w:bCs w:val="0"/>
          <w:color w:val="000000" w:themeColor="text1"/>
          <w:sz w:val="24"/>
          <w:szCs w:val="24"/>
        </w:rPr>
        <w:t xml:space="preserve">Haiming, et al. 2023).  </w:t>
      </w:r>
    </w:p>
    <w:p w14:paraId="1B2ABAFC" w14:textId="77777777" w:rsidR="00A63CD3" w:rsidRPr="00BE4AF3" w:rsidRDefault="00A63CD3" w:rsidP="00207803">
      <w:pPr>
        <w:spacing w:after="0" w:line="240" w:lineRule="auto"/>
        <w:jc w:val="both"/>
        <w:rPr>
          <w:rStyle w:val="Strong"/>
          <w:rFonts w:ascii="Times New Roman" w:hAnsi="Times New Roman" w:cs="Times New Roman"/>
          <w:b w:val="0"/>
          <w:color w:val="000000" w:themeColor="text1"/>
          <w:sz w:val="24"/>
          <w:szCs w:val="24"/>
        </w:rPr>
      </w:pPr>
      <w:r w:rsidRPr="00BE4AF3">
        <w:rPr>
          <w:rFonts w:ascii="Times New Roman" w:hAnsi="Times New Roman" w:cs="Times New Roman"/>
          <w:color w:val="000000" w:themeColor="text1"/>
          <w:sz w:val="24"/>
          <w:szCs w:val="24"/>
        </w:rPr>
        <w:t xml:space="preserve">Landscape designs differ depending on use, although design principles are the same. Management and maintenance play a pivotal role in shaping aesthetic qualities with values of feel, look, usefulness and biodiversity. Differences exist between management and maintenance (Bodunde, Olubode and Owolabi 2020). </w:t>
      </w:r>
      <w:r w:rsidRPr="00207803">
        <w:rPr>
          <w:rStyle w:val="Strong"/>
          <w:rFonts w:ascii="Times New Roman" w:hAnsi="Times New Roman" w:cs="Times New Roman"/>
          <w:b w:val="0"/>
          <w:bCs w:val="0"/>
          <w:color w:val="000000" w:themeColor="text1"/>
          <w:sz w:val="24"/>
          <w:szCs w:val="24"/>
        </w:rPr>
        <w:t>The significance of landscape maintenance extends beyond surface aesthetics, combining with broader environmental sustainability goals. Well-maintained landscapes contribute to environmental stewardship by preserving biodiversity, conserving natural resources, and reducing the impact of tourism activities. It is important to the aesthetic appeal of tourist destinations. It shapes the visual narrative of a place, creating harmonious and inviting surroundings that resonate with visitors and enhance their overall experience</w:t>
      </w:r>
      <w:r w:rsidRPr="00BE4AF3">
        <w:rPr>
          <w:rStyle w:val="Strong"/>
          <w:rFonts w:ascii="Times New Roman" w:hAnsi="Times New Roman" w:cs="Times New Roman"/>
          <w:color w:val="000000" w:themeColor="text1"/>
          <w:sz w:val="24"/>
          <w:szCs w:val="24"/>
        </w:rPr>
        <w:t xml:space="preserve"> </w:t>
      </w:r>
      <w:r w:rsidRPr="00BE4AF3">
        <w:rPr>
          <w:rFonts w:ascii="Times New Roman" w:hAnsi="Times New Roman" w:cs="Times New Roman"/>
          <w:color w:val="000000" w:themeColor="text1"/>
          <w:sz w:val="24"/>
          <w:szCs w:val="24"/>
        </w:rPr>
        <w:t>(Efobi, 1988, Makinde, 2020)</w:t>
      </w:r>
      <w:r w:rsidRPr="00BE4AF3">
        <w:rPr>
          <w:rStyle w:val="Strong"/>
          <w:rFonts w:ascii="Times New Roman" w:hAnsi="Times New Roman" w:cs="Times New Roman"/>
          <w:color w:val="000000" w:themeColor="text1"/>
          <w:sz w:val="24"/>
          <w:szCs w:val="24"/>
        </w:rPr>
        <w:t>.</w:t>
      </w:r>
    </w:p>
    <w:p w14:paraId="51542485" w14:textId="77777777" w:rsidR="00A63CD3" w:rsidRPr="00207803" w:rsidRDefault="00A63CD3" w:rsidP="00207803">
      <w:pPr>
        <w:spacing w:after="0" w:line="240" w:lineRule="auto"/>
        <w:jc w:val="both"/>
        <w:rPr>
          <w:rStyle w:val="Strong"/>
          <w:rFonts w:ascii="Times New Roman" w:hAnsi="Times New Roman" w:cs="Times New Roman"/>
          <w:b w:val="0"/>
          <w:bCs w:val="0"/>
          <w:color w:val="000000" w:themeColor="text1"/>
          <w:sz w:val="24"/>
          <w:szCs w:val="24"/>
        </w:rPr>
      </w:pPr>
      <w:r w:rsidRPr="00BE4AF3">
        <w:rPr>
          <w:rFonts w:ascii="Times New Roman" w:hAnsi="Times New Roman" w:cs="Times New Roman"/>
          <w:color w:val="000000" w:themeColor="text1"/>
          <w:sz w:val="24"/>
          <w:szCs w:val="24"/>
        </w:rPr>
        <w:t xml:space="preserve">According to Shamsuddin (2013) </w:t>
      </w:r>
      <w:r w:rsidRPr="00BE4AF3">
        <w:rPr>
          <w:rFonts w:ascii="Times New Roman" w:hAnsi="Times New Roman" w:cs="Times New Roman"/>
          <w:iCs/>
          <w:color w:val="000000" w:themeColor="text1"/>
          <w:sz w:val="24"/>
          <w:szCs w:val="24"/>
        </w:rPr>
        <w:t>landscape maintenance is</w:t>
      </w:r>
      <w:r w:rsidRPr="00BE4AF3">
        <w:rPr>
          <w:rFonts w:ascii="Times New Roman" w:hAnsi="Times New Roman" w:cs="Times New Roman"/>
          <w:color w:val="000000" w:themeColor="text1"/>
          <w:sz w:val="24"/>
          <w:szCs w:val="24"/>
        </w:rPr>
        <w:t xml:space="preserve"> part of landscape management that involve the routine works according to daily or weekly operations in caring for green areas, gardens, and parks, which include all scheduled works such as site cleaning, grass cutting, weeding, pruning, fertilising, pest control.</w:t>
      </w:r>
      <w:r w:rsidRPr="00BE4AF3">
        <w:rPr>
          <w:rStyle w:val="Strong"/>
          <w:rFonts w:ascii="Times New Roman" w:hAnsi="Times New Roman" w:cs="Times New Roman"/>
          <w:color w:val="000000" w:themeColor="text1"/>
          <w:sz w:val="24"/>
          <w:szCs w:val="24"/>
        </w:rPr>
        <w:t xml:space="preserve"> </w:t>
      </w:r>
      <w:r w:rsidRPr="00207803">
        <w:rPr>
          <w:rStyle w:val="Strong"/>
          <w:rFonts w:ascii="Times New Roman" w:hAnsi="Times New Roman" w:cs="Times New Roman"/>
          <w:b w:val="0"/>
          <w:bCs w:val="0"/>
          <w:color w:val="000000" w:themeColor="text1"/>
          <w:sz w:val="24"/>
          <w:szCs w:val="24"/>
        </w:rPr>
        <w:t xml:space="preserve">Tourist centres are characterized by their unique landscapes, and the practices employed to maintain these environments play a crucial role in shaping the overall visitor experience. There are varieties of landscape maintenance practices which involve various ranges of activities. These are horticultural practices, ecological conservation efforts, infrastructure upkeep, waste management, and strategies to reduce the environmental impact of tourism-related activities </w:t>
      </w:r>
      <w:r w:rsidRPr="00207803">
        <w:rPr>
          <w:rFonts w:ascii="Times New Roman" w:hAnsi="Times New Roman" w:cs="Times New Roman"/>
          <w:b/>
          <w:bCs/>
          <w:color w:val="000000" w:themeColor="text1"/>
          <w:sz w:val="24"/>
          <w:szCs w:val="24"/>
        </w:rPr>
        <w:t>(</w:t>
      </w:r>
      <w:r w:rsidRPr="00207803">
        <w:rPr>
          <w:rStyle w:val="Strong"/>
          <w:rFonts w:ascii="Times New Roman" w:hAnsi="Times New Roman" w:cs="Times New Roman"/>
          <w:b w:val="0"/>
          <w:bCs w:val="0"/>
          <w:color w:val="000000" w:themeColor="text1"/>
          <w:sz w:val="24"/>
          <w:szCs w:val="24"/>
        </w:rPr>
        <w:t>Shamsudin, 2013).</w:t>
      </w:r>
    </w:p>
    <w:p w14:paraId="2409ED64" w14:textId="77777777" w:rsidR="00A63CD3" w:rsidRPr="00207803" w:rsidRDefault="00A63CD3" w:rsidP="00A63CD3">
      <w:pPr>
        <w:spacing w:after="0" w:line="240" w:lineRule="auto"/>
        <w:jc w:val="both"/>
        <w:rPr>
          <w:rStyle w:val="Strong"/>
          <w:rFonts w:ascii="Times New Roman" w:hAnsi="Times New Roman" w:cs="Times New Roman"/>
          <w:b w:val="0"/>
          <w:bCs w:val="0"/>
          <w:color w:val="000000" w:themeColor="text1"/>
          <w:sz w:val="24"/>
          <w:szCs w:val="24"/>
        </w:rPr>
      </w:pPr>
      <w:r w:rsidRPr="00207803">
        <w:rPr>
          <w:rStyle w:val="Strong"/>
          <w:rFonts w:ascii="Times New Roman" w:hAnsi="Times New Roman" w:cs="Times New Roman"/>
          <w:b w:val="0"/>
          <w:bCs w:val="0"/>
          <w:color w:val="000000" w:themeColor="text1"/>
          <w:sz w:val="24"/>
          <w:szCs w:val="24"/>
        </w:rPr>
        <w:t xml:space="preserve">Environmental Sustainability in Landscape Maintenance: environmental sustainability is a key consideration in landscape maintenance within tourist centres. Practices such as native plant conservation, water conservation, and eco-friendly waste management contribute to minimizing the ecological footprint of tourism activities. </w:t>
      </w:r>
    </w:p>
    <w:p w14:paraId="2BE4DE76" w14:textId="77777777" w:rsidR="00A63CD3" w:rsidRDefault="00A63CD3" w:rsidP="00A63CD3">
      <w:pPr>
        <w:spacing w:after="0" w:line="240" w:lineRule="auto"/>
        <w:jc w:val="both"/>
        <w:rPr>
          <w:rStyle w:val="Strong"/>
          <w:rFonts w:ascii="Times New Roman" w:hAnsi="Times New Roman" w:cs="Times New Roman"/>
          <w:b w:val="0"/>
          <w:bCs w:val="0"/>
          <w:color w:val="000000" w:themeColor="text1"/>
          <w:sz w:val="24"/>
          <w:szCs w:val="24"/>
        </w:rPr>
      </w:pPr>
      <w:r w:rsidRPr="00207803">
        <w:rPr>
          <w:rStyle w:val="Strong"/>
          <w:rFonts w:ascii="Times New Roman" w:hAnsi="Times New Roman" w:cs="Times New Roman"/>
          <w:b w:val="0"/>
          <w:bCs w:val="0"/>
          <w:color w:val="000000" w:themeColor="text1"/>
          <w:sz w:val="24"/>
          <w:szCs w:val="24"/>
        </w:rPr>
        <w:t xml:space="preserve">Aesthetic effect of Landscape Maintenance: The aesthetic appeal of tourist centres is tied to the effectiveness of landscape maintenance practices. Well-maintained landscapes contribute to the visual charm of the destination, creating picturesque settings that enhance the overall experience for visitors. </w:t>
      </w:r>
    </w:p>
    <w:p w14:paraId="1230FD8D" w14:textId="77777777" w:rsidR="00207803" w:rsidRPr="00207803" w:rsidRDefault="00207803" w:rsidP="00A63CD3">
      <w:pPr>
        <w:spacing w:after="0" w:line="240" w:lineRule="auto"/>
        <w:jc w:val="both"/>
        <w:rPr>
          <w:rFonts w:ascii="Times New Roman" w:hAnsi="Times New Roman" w:cs="Times New Roman"/>
          <w:b/>
          <w:bCs/>
          <w:color w:val="000000" w:themeColor="text1"/>
          <w:sz w:val="24"/>
          <w:szCs w:val="24"/>
        </w:rPr>
      </w:pPr>
    </w:p>
    <w:p w14:paraId="06371323" w14:textId="0D70353E" w:rsidR="00A63CD3" w:rsidRPr="00BE4AF3" w:rsidRDefault="00DF280C" w:rsidP="00A63CD3">
      <w:pPr>
        <w:spacing w:after="0" w:line="240" w:lineRule="auto"/>
        <w:rPr>
          <w:rFonts w:ascii="Times New Roman" w:eastAsia="Calibri" w:hAnsi="Times New Roman" w:cs="Times New Roman"/>
          <w:b/>
          <w:color w:val="000000" w:themeColor="text1"/>
          <w:sz w:val="24"/>
          <w:szCs w:val="24"/>
          <w:lang w:val="en-US"/>
        </w:rPr>
      </w:pPr>
      <w:r>
        <w:rPr>
          <w:rFonts w:ascii="Times New Roman" w:eastAsia="Calibri" w:hAnsi="Times New Roman" w:cs="Times New Roman"/>
          <w:b/>
          <w:color w:val="000000" w:themeColor="text1"/>
          <w:sz w:val="24"/>
          <w:szCs w:val="24"/>
          <w:lang w:val="en-US"/>
        </w:rPr>
        <w:t>Material and</w:t>
      </w:r>
      <w:r w:rsidR="00A63CD3" w:rsidRPr="00BE4AF3">
        <w:rPr>
          <w:rFonts w:ascii="Times New Roman" w:eastAsia="Calibri" w:hAnsi="Times New Roman" w:cs="Times New Roman"/>
          <w:b/>
          <w:color w:val="000000" w:themeColor="text1"/>
          <w:sz w:val="24"/>
          <w:szCs w:val="24"/>
          <w:lang w:val="en-US"/>
        </w:rPr>
        <w:t xml:space="preserve"> Method</w:t>
      </w:r>
    </w:p>
    <w:p w14:paraId="09E5D705" w14:textId="77777777" w:rsidR="00A63CD3" w:rsidRPr="00BE4AF3" w:rsidRDefault="00A63CD3" w:rsidP="00207803">
      <w:pPr>
        <w:spacing w:after="0" w:line="240" w:lineRule="auto"/>
        <w:jc w:val="both"/>
        <w:rPr>
          <w:rFonts w:ascii="Times New Roman" w:eastAsia="Calibri" w:hAnsi="Times New Roman" w:cs="Times New Roman"/>
          <w:color w:val="000000" w:themeColor="text1"/>
          <w:sz w:val="24"/>
          <w:szCs w:val="24"/>
          <w:lang w:val="en-US"/>
        </w:rPr>
      </w:pPr>
      <w:r w:rsidRPr="00BE4AF3">
        <w:rPr>
          <w:rFonts w:ascii="Times New Roman" w:eastAsia="Calibri" w:hAnsi="Times New Roman" w:cs="Times New Roman"/>
          <w:color w:val="000000" w:themeColor="text1"/>
          <w:sz w:val="24"/>
          <w:szCs w:val="24"/>
          <w:lang w:val="en-US"/>
        </w:rPr>
        <w:t xml:space="preserve">The study was carried out at various selected tourist centers in south west Nigeria which shall include Oyo, Osun Ondo, Lagos, Ekiti, and Ogun, state. </w:t>
      </w:r>
    </w:p>
    <w:p w14:paraId="5176A239" w14:textId="77777777" w:rsidR="00A63CD3" w:rsidRPr="00BE4AF3" w:rsidRDefault="00A63CD3" w:rsidP="00207803">
      <w:pPr>
        <w:spacing w:after="0" w:line="240" w:lineRule="auto"/>
        <w:jc w:val="center"/>
        <w:rPr>
          <w:rFonts w:ascii="Times New Roman" w:eastAsia="Calibri" w:hAnsi="Times New Roman" w:cs="Times New Roman"/>
          <w:color w:val="000000" w:themeColor="text1"/>
          <w:sz w:val="24"/>
          <w:szCs w:val="24"/>
          <w:lang w:val="en-US"/>
        </w:rPr>
      </w:pPr>
      <w:r w:rsidRPr="00BE4AF3">
        <w:rPr>
          <w:rFonts w:ascii="Times New Roman" w:eastAsia="Calibri" w:hAnsi="Times New Roman" w:cs="Times New Roman"/>
          <w:noProof/>
          <w:color w:val="000000" w:themeColor="text1"/>
          <w:sz w:val="24"/>
          <w:szCs w:val="24"/>
          <w:lang w:eastAsia="en-GB"/>
        </w:rPr>
        <w:lastRenderedPageBreak/>
        <w:drawing>
          <wp:inline distT="0" distB="0" distL="0" distR="0" wp14:anchorId="04A9BB58" wp14:editId="7E84BFEF">
            <wp:extent cx="3863482" cy="2371725"/>
            <wp:effectExtent l="0" t="0" r="3810" b="0"/>
            <wp:docPr id="807822855" name="Picture 807822855" descr="Figure-1-Location-map-of-South-Western-Nig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1-Location-map-of-South-Western-Nigeria"/>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63482" cy="2371725"/>
                    </a:xfrm>
                    <a:prstGeom prst="rect">
                      <a:avLst/>
                    </a:prstGeom>
                    <a:noFill/>
                    <a:ln>
                      <a:noFill/>
                    </a:ln>
                  </pic:spPr>
                </pic:pic>
              </a:graphicData>
            </a:graphic>
          </wp:inline>
        </w:drawing>
      </w:r>
    </w:p>
    <w:p w14:paraId="4F3A4284" w14:textId="30C4DDBD" w:rsidR="00A63CD3" w:rsidRPr="00207803" w:rsidRDefault="00A63CD3" w:rsidP="00207803">
      <w:pPr>
        <w:spacing w:after="0" w:line="240" w:lineRule="auto"/>
        <w:jc w:val="center"/>
        <w:rPr>
          <w:rFonts w:ascii="Times New Roman" w:eastAsia="Calibri" w:hAnsi="Times New Roman" w:cs="Times New Roman"/>
          <w:color w:val="000000" w:themeColor="text1"/>
          <w:sz w:val="24"/>
          <w:szCs w:val="24"/>
          <w:lang w:val="en-US"/>
        </w:rPr>
      </w:pPr>
      <w:r w:rsidRPr="00BE4AF3">
        <w:rPr>
          <w:rFonts w:ascii="Times New Roman" w:eastAsia="Calibri" w:hAnsi="Times New Roman" w:cs="Times New Roman"/>
          <w:b/>
          <w:bCs/>
          <w:color w:val="000000" w:themeColor="text1"/>
          <w:sz w:val="24"/>
          <w:szCs w:val="24"/>
          <w:lang w:val="en-US"/>
        </w:rPr>
        <w:t xml:space="preserve">Figure 1: </w:t>
      </w:r>
      <w:r w:rsidRPr="00207803">
        <w:rPr>
          <w:rFonts w:ascii="Times New Roman" w:eastAsia="Calibri" w:hAnsi="Times New Roman" w:cs="Times New Roman"/>
          <w:color w:val="000000" w:themeColor="text1"/>
          <w:sz w:val="24"/>
          <w:szCs w:val="24"/>
          <w:lang w:val="en-US"/>
        </w:rPr>
        <w:t xml:space="preserve">Location Map of </w:t>
      </w:r>
      <w:r w:rsidR="00207803" w:rsidRPr="00207803">
        <w:rPr>
          <w:rFonts w:ascii="Times New Roman" w:eastAsia="Calibri" w:hAnsi="Times New Roman" w:cs="Times New Roman"/>
          <w:color w:val="000000" w:themeColor="text1"/>
          <w:sz w:val="24"/>
          <w:szCs w:val="24"/>
          <w:lang w:val="en-US"/>
        </w:rPr>
        <w:t>Southwestern</w:t>
      </w:r>
      <w:r w:rsidRPr="00207803">
        <w:rPr>
          <w:rFonts w:ascii="Times New Roman" w:eastAsia="Calibri" w:hAnsi="Times New Roman" w:cs="Times New Roman"/>
          <w:color w:val="000000" w:themeColor="text1"/>
          <w:sz w:val="24"/>
          <w:szCs w:val="24"/>
          <w:lang w:val="en-US"/>
        </w:rPr>
        <w:t xml:space="preserve"> Nigeria</w:t>
      </w:r>
    </w:p>
    <w:p w14:paraId="0916ABAE" w14:textId="77777777" w:rsidR="00A63CD3" w:rsidRPr="00207803" w:rsidRDefault="00A63CD3" w:rsidP="00207803">
      <w:pPr>
        <w:spacing w:after="0" w:line="240" w:lineRule="auto"/>
        <w:jc w:val="center"/>
        <w:rPr>
          <w:rFonts w:ascii="Times New Roman" w:eastAsia="Calibri" w:hAnsi="Times New Roman" w:cs="Times New Roman"/>
          <w:color w:val="000000" w:themeColor="text1"/>
          <w:sz w:val="24"/>
          <w:szCs w:val="24"/>
          <w:lang w:val="en-US"/>
        </w:rPr>
      </w:pPr>
      <w:r w:rsidRPr="00207803">
        <w:rPr>
          <w:rFonts w:ascii="Times New Roman" w:eastAsia="Calibri" w:hAnsi="Times New Roman" w:cs="Times New Roman"/>
          <w:color w:val="000000" w:themeColor="text1"/>
          <w:sz w:val="24"/>
          <w:szCs w:val="24"/>
          <w:lang w:val="en-US"/>
        </w:rPr>
        <w:t>Source: Southwest Topographical Map-HD GIS Mapping -Geoinfotech.</w:t>
      </w:r>
    </w:p>
    <w:p w14:paraId="1663AEB3" w14:textId="77777777" w:rsidR="00207803" w:rsidRDefault="00207803" w:rsidP="00207803">
      <w:pPr>
        <w:autoSpaceDE w:val="0"/>
        <w:autoSpaceDN w:val="0"/>
        <w:adjustRightInd w:val="0"/>
        <w:spacing w:after="0" w:line="240" w:lineRule="auto"/>
        <w:jc w:val="both"/>
        <w:rPr>
          <w:rFonts w:ascii="Times New Roman" w:eastAsia="Calibri" w:hAnsi="Times New Roman" w:cs="Times New Roman"/>
          <w:color w:val="000000" w:themeColor="text1"/>
          <w:sz w:val="24"/>
          <w:szCs w:val="24"/>
          <w:lang w:val="en-US"/>
        </w:rPr>
      </w:pPr>
    </w:p>
    <w:p w14:paraId="45C4F100" w14:textId="0B7B5B21" w:rsidR="00A63CD3" w:rsidRDefault="00A63CD3" w:rsidP="00207803">
      <w:pPr>
        <w:autoSpaceDE w:val="0"/>
        <w:autoSpaceDN w:val="0"/>
        <w:adjustRightInd w:val="0"/>
        <w:spacing w:after="0" w:line="240" w:lineRule="auto"/>
        <w:jc w:val="both"/>
        <w:rPr>
          <w:rFonts w:ascii="Times New Roman" w:eastAsia="Calibri" w:hAnsi="Times New Roman" w:cs="Times New Roman"/>
          <w:color w:val="000000" w:themeColor="text1"/>
          <w:sz w:val="24"/>
          <w:szCs w:val="24"/>
          <w:lang w:val="en-US"/>
        </w:rPr>
      </w:pPr>
      <w:r w:rsidRPr="00BE4AF3">
        <w:rPr>
          <w:rFonts w:ascii="Times New Roman" w:eastAsia="Calibri" w:hAnsi="Times New Roman" w:cs="Times New Roman"/>
          <w:color w:val="000000" w:themeColor="text1"/>
          <w:sz w:val="24"/>
          <w:szCs w:val="24"/>
          <w:lang w:val="en-US"/>
        </w:rPr>
        <w:t xml:space="preserve">The sampling frame adopted comprises of all tourist center that possess the natural attraction, such as waterfall, beach, rocks, gardens and rivers in south-west geopolitical and with presence of a hotel. There are thirty nine (39) identified tourist center that form the population of the sample. </w:t>
      </w:r>
    </w:p>
    <w:p w14:paraId="52F43FBA" w14:textId="77777777" w:rsidR="00207803" w:rsidRPr="00BE4AF3" w:rsidRDefault="00207803" w:rsidP="00207803">
      <w:pPr>
        <w:autoSpaceDE w:val="0"/>
        <w:autoSpaceDN w:val="0"/>
        <w:adjustRightInd w:val="0"/>
        <w:spacing w:after="0" w:line="240" w:lineRule="auto"/>
        <w:jc w:val="both"/>
        <w:rPr>
          <w:rFonts w:ascii="Times New Roman" w:eastAsia="Calibri" w:hAnsi="Times New Roman" w:cs="Times New Roman"/>
          <w:color w:val="000000" w:themeColor="text1"/>
          <w:sz w:val="24"/>
          <w:szCs w:val="24"/>
          <w:lang w:val="en-US"/>
        </w:rPr>
      </w:pPr>
    </w:p>
    <w:p w14:paraId="2F5E6F15" w14:textId="2C22050F" w:rsidR="00A63CD3" w:rsidRPr="00BE4AF3" w:rsidRDefault="00A63CD3" w:rsidP="00207803">
      <w:pPr>
        <w:autoSpaceDE w:val="0"/>
        <w:autoSpaceDN w:val="0"/>
        <w:adjustRightInd w:val="0"/>
        <w:spacing w:after="0" w:line="240" w:lineRule="auto"/>
        <w:jc w:val="center"/>
        <w:rPr>
          <w:rFonts w:ascii="Times New Roman" w:eastAsia="Calibri" w:hAnsi="Times New Roman" w:cs="Times New Roman"/>
          <w:color w:val="000000" w:themeColor="text1"/>
          <w:sz w:val="24"/>
          <w:szCs w:val="24"/>
          <w:lang w:val="en-US"/>
        </w:rPr>
      </w:pPr>
      <w:r w:rsidRPr="00207803">
        <w:rPr>
          <w:rFonts w:ascii="Times New Roman" w:eastAsia="Calibri" w:hAnsi="Times New Roman" w:cs="Times New Roman"/>
          <w:b/>
          <w:color w:val="000000" w:themeColor="text1"/>
          <w:sz w:val="24"/>
          <w:szCs w:val="24"/>
          <w:lang w:val="en-US"/>
        </w:rPr>
        <w:t>Table 1:</w:t>
      </w:r>
      <w:r w:rsidRPr="00BE4AF3">
        <w:rPr>
          <w:rFonts w:ascii="Times New Roman" w:eastAsia="Calibri" w:hAnsi="Times New Roman" w:cs="Times New Roman"/>
          <w:bCs/>
          <w:color w:val="000000" w:themeColor="text1"/>
          <w:sz w:val="24"/>
          <w:szCs w:val="24"/>
          <w:lang w:val="en-US"/>
        </w:rPr>
        <w:t xml:space="preserve"> </w:t>
      </w:r>
      <w:r w:rsidRPr="00BE4AF3">
        <w:rPr>
          <w:rFonts w:ascii="Times New Roman" w:eastAsia="Calibri" w:hAnsi="Times New Roman" w:cs="Times New Roman"/>
          <w:color w:val="000000" w:themeColor="text1"/>
          <w:sz w:val="24"/>
          <w:szCs w:val="24"/>
          <w:lang w:val="en-US"/>
        </w:rPr>
        <w:t xml:space="preserve">Table shows various tourist centers in </w:t>
      </w:r>
      <w:r w:rsidR="00207803" w:rsidRPr="00BE4AF3">
        <w:rPr>
          <w:rFonts w:ascii="Times New Roman" w:eastAsia="Calibri" w:hAnsi="Times New Roman" w:cs="Times New Roman"/>
          <w:color w:val="000000" w:themeColor="text1"/>
          <w:sz w:val="24"/>
          <w:szCs w:val="24"/>
          <w:lang w:val="en-US"/>
        </w:rPr>
        <w:t>southwest</w:t>
      </w:r>
      <w:r w:rsidRPr="00BE4AF3">
        <w:rPr>
          <w:rFonts w:ascii="Times New Roman" w:eastAsia="Calibri" w:hAnsi="Times New Roman" w:cs="Times New Roman"/>
          <w:color w:val="000000" w:themeColor="text1"/>
          <w:sz w:val="24"/>
          <w:szCs w:val="24"/>
          <w:lang w:val="en-US"/>
        </w:rPr>
        <w:t xml:space="preserve"> geopolitical zones in Nigeria</w:t>
      </w:r>
    </w:p>
    <w:tbl>
      <w:tblPr>
        <w:tblW w:w="0" w:type="auto"/>
        <w:jc w:val="center"/>
        <w:tblLook w:val="04A0" w:firstRow="1" w:lastRow="0" w:firstColumn="1" w:lastColumn="0" w:noHBand="0" w:noVBand="1"/>
      </w:tblPr>
      <w:tblGrid>
        <w:gridCol w:w="528"/>
        <w:gridCol w:w="912"/>
        <w:gridCol w:w="4626"/>
        <w:gridCol w:w="1750"/>
      </w:tblGrid>
      <w:tr w:rsidR="00A63CD3" w:rsidRPr="00207803" w14:paraId="2459CDC2" w14:textId="77777777" w:rsidTr="00207803">
        <w:trPr>
          <w:jc w:val="center"/>
        </w:trPr>
        <w:tc>
          <w:tcPr>
            <w:tcW w:w="0" w:type="auto"/>
            <w:tcBorders>
              <w:top w:val="single" w:sz="18" w:space="0" w:color="auto"/>
              <w:bottom w:val="single" w:sz="8" w:space="0" w:color="auto"/>
            </w:tcBorders>
          </w:tcPr>
          <w:p w14:paraId="54D8498D"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S/N</w:t>
            </w:r>
          </w:p>
        </w:tc>
        <w:tc>
          <w:tcPr>
            <w:tcW w:w="0" w:type="auto"/>
            <w:tcBorders>
              <w:top w:val="single" w:sz="18" w:space="0" w:color="auto"/>
              <w:bottom w:val="single" w:sz="8" w:space="0" w:color="auto"/>
            </w:tcBorders>
          </w:tcPr>
          <w:p w14:paraId="088A86A9"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STATES</w:t>
            </w:r>
          </w:p>
        </w:tc>
        <w:tc>
          <w:tcPr>
            <w:tcW w:w="0" w:type="auto"/>
            <w:tcBorders>
              <w:top w:val="single" w:sz="18" w:space="0" w:color="auto"/>
              <w:bottom w:val="single" w:sz="8" w:space="0" w:color="auto"/>
            </w:tcBorders>
          </w:tcPr>
          <w:p w14:paraId="455CAC1B"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NAME OF TOURIST CENTER</w:t>
            </w:r>
          </w:p>
        </w:tc>
        <w:tc>
          <w:tcPr>
            <w:tcW w:w="0" w:type="auto"/>
            <w:tcBorders>
              <w:top w:val="single" w:sz="18" w:space="0" w:color="auto"/>
              <w:bottom w:val="single" w:sz="8" w:space="0" w:color="auto"/>
            </w:tcBorders>
          </w:tcPr>
          <w:p w14:paraId="0F434FD1"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TOTAL NUMBER</w:t>
            </w:r>
          </w:p>
        </w:tc>
      </w:tr>
      <w:tr w:rsidR="00A63CD3" w:rsidRPr="00207803" w14:paraId="1E734315" w14:textId="77777777" w:rsidTr="00207803">
        <w:trPr>
          <w:jc w:val="center"/>
        </w:trPr>
        <w:tc>
          <w:tcPr>
            <w:tcW w:w="0" w:type="auto"/>
            <w:tcBorders>
              <w:top w:val="single" w:sz="8" w:space="0" w:color="auto"/>
            </w:tcBorders>
          </w:tcPr>
          <w:p w14:paraId="2437543C"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w:t>
            </w:r>
          </w:p>
        </w:tc>
        <w:tc>
          <w:tcPr>
            <w:tcW w:w="0" w:type="auto"/>
            <w:tcBorders>
              <w:top w:val="single" w:sz="8" w:space="0" w:color="auto"/>
            </w:tcBorders>
          </w:tcPr>
          <w:p w14:paraId="79A74395"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EKITI</w:t>
            </w:r>
          </w:p>
        </w:tc>
        <w:tc>
          <w:tcPr>
            <w:tcW w:w="0" w:type="auto"/>
            <w:tcBorders>
              <w:top w:val="single" w:sz="8" w:space="0" w:color="auto"/>
            </w:tcBorders>
          </w:tcPr>
          <w:p w14:paraId="20D89767"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Ikogosi Warm Springs </w:t>
            </w:r>
          </w:p>
          <w:p w14:paraId="30351007"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Arinta Waterfall </w:t>
            </w:r>
          </w:p>
          <w:p w14:paraId="7EB4AC90"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Esa Cave</w:t>
            </w:r>
          </w:p>
          <w:p w14:paraId="744D1036"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Erin Ayonigba Sacred Groove</w:t>
            </w:r>
          </w:p>
          <w:p w14:paraId="4B73EA38"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Olosunta Hill</w:t>
            </w:r>
          </w:p>
          <w:p w14:paraId="38ED30E6"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Ewi's Palace</w:t>
            </w:r>
          </w:p>
        </w:tc>
        <w:tc>
          <w:tcPr>
            <w:tcW w:w="0" w:type="auto"/>
            <w:tcBorders>
              <w:top w:val="single" w:sz="8" w:space="0" w:color="auto"/>
            </w:tcBorders>
          </w:tcPr>
          <w:p w14:paraId="7E79B720"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6</w:t>
            </w:r>
          </w:p>
        </w:tc>
      </w:tr>
      <w:tr w:rsidR="00A63CD3" w:rsidRPr="00207803" w14:paraId="5BDAFDF5" w14:textId="77777777" w:rsidTr="00207803">
        <w:trPr>
          <w:jc w:val="center"/>
        </w:trPr>
        <w:tc>
          <w:tcPr>
            <w:tcW w:w="0" w:type="auto"/>
          </w:tcPr>
          <w:p w14:paraId="46E14B3B"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2</w:t>
            </w:r>
          </w:p>
        </w:tc>
        <w:tc>
          <w:tcPr>
            <w:tcW w:w="0" w:type="auto"/>
          </w:tcPr>
          <w:p w14:paraId="4C0FDEAA"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OSUN</w:t>
            </w:r>
          </w:p>
        </w:tc>
        <w:tc>
          <w:tcPr>
            <w:tcW w:w="0" w:type="auto"/>
          </w:tcPr>
          <w:p w14:paraId="17DDFD7F"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Erin Ijesha Waterfall </w:t>
            </w:r>
          </w:p>
          <w:p w14:paraId="3A52AD88"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Osun-Osogbo Sacred Grove</w:t>
            </w:r>
          </w:p>
          <w:p w14:paraId="10D7FD5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Olumirin Waterfall</w:t>
            </w:r>
          </w:p>
          <w:p w14:paraId="491DEE2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Erinle Natural Spring </w:t>
            </w:r>
          </w:p>
          <w:p w14:paraId="1C4562CC"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Olumirin Waterfall </w:t>
            </w:r>
          </w:p>
          <w:p w14:paraId="2CEBFAC9"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Odo Owa Cave and Waterfall </w:t>
            </w:r>
          </w:p>
        </w:tc>
        <w:tc>
          <w:tcPr>
            <w:tcW w:w="0" w:type="auto"/>
          </w:tcPr>
          <w:p w14:paraId="7400C037"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6</w:t>
            </w:r>
          </w:p>
        </w:tc>
      </w:tr>
      <w:tr w:rsidR="00A63CD3" w:rsidRPr="00207803" w14:paraId="11662E9B" w14:textId="77777777" w:rsidTr="00207803">
        <w:trPr>
          <w:jc w:val="center"/>
        </w:trPr>
        <w:tc>
          <w:tcPr>
            <w:tcW w:w="0" w:type="auto"/>
          </w:tcPr>
          <w:p w14:paraId="7B4D8321"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w:t>
            </w:r>
          </w:p>
        </w:tc>
        <w:tc>
          <w:tcPr>
            <w:tcW w:w="0" w:type="auto"/>
          </w:tcPr>
          <w:p w14:paraId="67AC951A"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OGUN</w:t>
            </w:r>
          </w:p>
        </w:tc>
        <w:tc>
          <w:tcPr>
            <w:tcW w:w="0" w:type="auto"/>
          </w:tcPr>
          <w:p w14:paraId="62E0FA0F"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Olumo Rock </w:t>
            </w:r>
          </w:p>
          <w:p w14:paraId="6BE5F5B3"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Oke-Ado Mountain </w:t>
            </w:r>
          </w:p>
          <w:p w14:paraId="700FD593"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Ogun State Cultural Center </w:t>
            </w:r>
          </w:p>
          <w:p w14:paraId="2A816ADB"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Omo Forest Reserve </w:t>
            </w:r>
          </w:p>
          <w:p w14:paraId="41ED102D"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Ogun River </w:t>
            </w:r>
          </w:p>
        </w:tc>
        <w:tc>
          <w:tcPr>
            <w:tcW w:w="0" w:type="auto"/>
          </w:tcPr>
          <w:p w14:paraId="3E92662A"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5</w:t>
            </w:r>
          </w:p>
        </w:tc>
      </w:tr>
      <w:tr w:rsidR="00A63CD3" w:rsidRPr="00207803" w14:paraId="09187F52" w14:textId="77777777" w:rsidTr="00207803">
        <w:trPr>
          <w:jc w:val="center"/>
        </w:trPr>
        <w:tc>
          <w:tcPr>
            <w:tcW w:w="0" w:type="auto"/>
          </w:tcPr>
          <w:p w14:paraId="18169F84"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4</w:t>
            </w:r>
          </w:p>
        </w:tc>
        <w:tc>
          <w:tcPr>
            <w:tcW w:w="0" w:type="auto"/>
          </w:tcPr>
          <w:p w14:paraId="36F24F10"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OYO</w:t>
            </w:r>
          </w:p>
        </w:tc>
        <w:tc>
          <w:tcPr>
            <w:tcW w:w="0" w:type="auto"/>
          </w:tcPr>
          <w:p w14:paraId="08CFF6ED"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Agodi Gardens </w:t>
            </w:r>
          </w:p>
          <w:p w14:paraId="2D409AF8"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Ado-Awaye Suspended Lake </w:t>
            </w:r>
          </w:p>
          <w:p w14:paraId="2285F0C4"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Cocoa House</w:t>
            </w:r>
          </w:p>
          <w:p w14:paraId="07724C6C"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Okeho-Igboho Waterfalls</w:t>
            </w:r>
          </w:p>
          <w:p w14:paraId="46EA8E1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Ogbomoso Wildlife Park</w:t>
            </w:r>
          </w:p>
          <w:p w14:paraId="2F592347"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Alaafin of Oyo's Palace</w:t>
            </w:r>
          </w:p>
          <w:p w14:paraId="09AB335D"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Old Oyo National Park</w:t>
            </w:r>
          </w:p>
          <w:p w14:paraId="07DE1EBA"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Igbo-Ora</w:t>
            </w:r>
          </w:p>
        </w:tc>
        <w:tc>
          <w:tcPr>
            <w:tcW w:w="0" w:type="auto"/>
          </w:tcPr>
          <w:p w14:paraId="6F4D71ED"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8</w:t>
            </w:r>
          </w:p>
        </w:tc>
      </w:tr>
      <w:tr w:rsidR="00A63CD3" w:rsidRPr="00207803" w14:paraId="66C0D757" w14:textId="77777777" w:rsidTr="00207803">
        <w:trPr>
          <w:jc w:val="center"/>
        </w:trPr>
        <w:tc>
          <w:tcPr>
            <w:tcW w:w="0" w:type="auto"/>
          </w:tcPr>
          <w:p w14:paraId="0BD927C3"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5</w:t>
            </w:r>
          </w:p>
        </w:tc>
        <w:tc>
          <w:tcPr>
            <w:tcW w:w="0" w:type="auto"/>
          </w:tcPr>
          <w:p w14:paraId="24D7157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ONDO</w:t>
            </w:r>
          </w:p>
        </w:tc>
        <w:tc>
          <w:tcPr>
            <w:tcW w:w="0" w:type="auto"/>
          </w:tcPr>
          <w:p w14:paraId="6A5E7354"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Idanre Hills </w:t>
            </w:r>
          </w:p>
          <w:p w14:paraId="447B5134"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Igbokoda Waterfront</w:t>
            </w:r>
          </w:p>
          <w:p w14:paraId="49E7231D"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Owo Museum of Antiquities</w:t>
            </w:r>
          </w:p>
          <w:p w14:paraId="433AE69A"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Ebomi Lake</w:t>
            </w:r>
          </w:p>
          <w:p w14:paraId="45AD7E55"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Igbo Olodumare</w:t>
            </w:r>
          </w:p>
          <w:p w14:paraId="2BD45B4C"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Igbara-Oke Hills</w:t>
            </w:r>
          </w:p>
          <w:p w14:paraId="0CBF32FA"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African Heritage Research Library and Cultural Center</w:t>
            </w:r>
          </w:p>
        </w:tc>
        <w:tc>
          <w:tcPr>
            <w:tcW w:w="0" w:type="auto"/>
          </w:tcPr>
          <w:p w14:paraId="1E13556C"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7</w:t>
            </w:r>
          </w:p>
        </w:tc>
      </w:tr>
      <w:tr w:rsidR="00A63CD3" w:rsidRPr="00207803" w14:paraId="5E28060F" w14:textId="77777777" w:rsidTr="00207803">
        <w:trPr>
          <w:jc w:val="center"/>
        </w:trPr>
        <w:tc>
          <w:tcPr>
            <w:tcW w:w="0" w:type="auto"/>
            <w:tcBorders>
              <w:bottom w:val="single" w:sz="18" w:space="0" w:color="auto"/>
            </w:tcBorders>
          </w:tcPr>
          <w:p w14:paraId="0F120CE9"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lastRenderedPageBreak/>
              <w:t>6</w:t>
            </w:r>
          </w:p>
        </w:tc>
        <w:tc>
          <w:tcPr>
            <w:tcW w:w="0" w:type="auto"/>
            <w:tcBorders>
              <w:bottom w:val="single" w:sz="18" w:space="0" w:color="auto"/>
            </w:tcBorders>
          </w:tcPr>
          <w:p w14:paraId="4285F420"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LAGOS</w:t>
            </w:r>
          </w:p>
        </w:tc>
        <w:tc>
          <w:tcPr>
            <w:tcW w:w="0" w:type="auto"/>
            <w:tcBorders>
              <w:bottom w:val="single" w:sz="18" w:space="0" w:color="auto"/>
            </w:tcBorders>
          </w:tcPr>
          <w:p w14:paraId="27F35348"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Eredo Hills </w:t>
            </w:r>
          </w:p>
          <w:p w14:paraId="3CCEBAF6"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Whispering Palms Resort </w:t>
            </w:r>
          </w:p>
          <w:p w14:paraId="61E745FC"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Lekki Conservation Center </w:t>
            </w:r>
          </w:p>
          <w:p w14:paraId="0074AD7E"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National Museum Lagos </w:t>
            </w:r>
          </w:p>
          <w:p w14:paraId="17305F31"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Yemoji Natural Swimming Pool </w:t>
            </w:r>
          </w:p>
          <w:p w14:paraId="35C098EB"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Omu Resort </w:t>
            </w:r>
          </w:p>
          <w:p w14:paraId="38B7449A"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Epe Mangroves </w:t>
            </w:r>
          </w:p>
        </w:tc>
        <w:tc>
          <w:tcPr>
            <w:tcW w:w="0" w:type="auto"/>
            <w:tcBorders>
              <w:bottom w:val="single" w:sz="18" w:space="0" w:color="auto"/>
            </w:tcBorders>
          </w:tcPr>
          <w:p w14:paraId="69CFA634"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7</w:t>
            </w:r>
          </w:p>
        </w:tc>
      </w:tr>
    </w:tbl>
    <w:p w14:paraId="4D49E422" w14:textId="77777777" w:rsidR="00207803" w:rsidRDefault="00207803" w:rsidP="00A63CD3">
      <w:pPr>
        <w:spacing w:after="0" w:line="240" w:lineRule="auto"/>
        <w:jc w:val="both"/>
        <w:rPr>
          <w:rFonts w:ascii="Times New Roman" w:eastAsia="Calibri" w:hAnsi="Times New Roman" w:cs="Times New Roman"/>
          <w:color w:val="000000" w:themeColor="text1"/>
          <w:sz w:val="24"/>
          <w:szCs w:val="24"/>
          <w:lang w:val="en-US"/>
        </w:rPr>
      </w:pPr>
    </w:p>
    <w:p w14:paraId="407D603D" w14:textId="2CFBA732" w:rsidR="00A63CD3" w:rsidRDefault="00A63CD3" w:rsidP="00A63CD3">
      <w:pPr>
        <w:spacing w:after="0" w:line="240" w:lineRule="auto"/>
        <w:jc w:val="both"/>
        <w:rPr>
          <w:rFonts w:ascii="Times New Roman" w:eastAsia="Calibri" w:hAnsi="Times New Roman" w:cs="Times New Roman"/>
          <w:color w:val="000000" w:themeColor="text1"/>
          <w:sz w:val="24"/>
          <w:szCs w:val="24"/>
          <w:lang w:val="en-US"/>
        </w:rPr>
      </w:pPr>
      <w:r w:rsidRPr="00BE4AF3">
        <w:rPr>
          <w:rFonts w:ascii="Times New Roman" w:eastAsia="Calibri" w:hAnsi="Times New Roman" w:cs="Times New Roman"/>
          <w:color w:val="000000" w:themeColor="text1"/>
          <w:sz w:val="24"/>
          <w:szCs w:val="24"/>
          <w:lang w:val="en-US"/>
        </w:rPr>
        <w:t>The sample size was obtained using purpose built tourist center hotels that are frequently used for events, picnic, meetings and other social gathering purposes. This is so because it made it easier to get respondents to gather information. Six tourist hotels are purposively selected from each of the states because they have hotel facilities and landscape features to be assessed. Average number of visitors to the tourist center hotel per week was 2,520 out of which 13.7% were selected representing 345, which represent questionnaires that were administered to the visitors,</w:t>
      </w:r>
    </w:p>
    <w:p w14:paraId="72953AB4" w14:textId="77777777" w:rsidR="00207803" w:rsidRPr="00BE4AF3" w:rsidRDefault="00207803" w:rsidP="00A63CD3">
      <w:pPr>
        <w:spacing w:after="0" w:line="240" w:lineRule="auto"/>
        <w:jc w:val="both"/>
        <w:rPr>
          <w:rFonts w:ascii="Times New Roman" w:eastAsia="Calibri" w:hAnsi="Times New Roman" w:cs="Times New Roman"/>
          <w:color w:val="000000" w:themeColor="text1"/>
          <w:sz w:val="24"/>
          <w:szCs w:val="24"/>
          <w:lang w:val="en-US"/>
        </w:rPr>
      </w:pPr>
    </w:p>
    <w:p w14:paraId="24E1E87E" w14:textId="0678589C" w:rsidR="00A63CD3" w:rsidRPr="00207803" w:rsidRDefault="00A63CD3" w:rsidP="00207803">
      <w:pPr>
        <w:autoSpaceDE w:val="0"/>
        <w:autoSpaceDN w:val="0"/>
        <w:adjustRightInd w:val="0"/>
        <w:spacing w:after="0" w:line="240" w:lineRule="auto"/>
        <w:jc w:val="center"/>
        <w:rPr>
          <w:rFonts w:ascii="Times New Roman" w:eastAsia="Calibri" w:hAnsi="Times New Roman" w:cs="Times New Roman"/>
          <w:bCs/>
          <w:color w:val="000000" w:themeColor="text1"/>
          <w:sz w:val="24"/>
          <w:szCs w:val="24"/>
          <w:lang w:val="en-US"/>
        </w:rPr>
      </w:pPr>
      <w:r w:rsidRPr="00BE4AF3">
        <w:rPr>
          <w:rFonts w:ascii="Times New Roman" w:eastAsia="Calibri" w:hAnsi="Times New Roman" w:cs="Times New Roman"/>
          <w:b/>
          <w:color w:val="000000" w:themeColor="text1"/>
          <w:sz w:val="24"/>
          <w:szCs w:val="24"/>
          <w:lang w:val="en-US"/>
        </w:rPr>
        <w:t xml:space="preserve">Table 2: </w:t>
      </w:r>
      <w:r w:rsidRPr="00207803">
        <w:rPr>
          <w:rFonts w:ascii="Times New Roman" w:eastAsia="Calibri" w:hAnsi="Times New Roman" w:cs="Times New Roman"/>
          <w:bCs/>
          <w:color w:val="000000" w:themeColor="text1"/>
          <w:sz w:val="24"/>
          <w:szCs w:val="24"/>
          <w:lang w:val="en-US"/>
        </w:rPr>
        <w:t>Purposively selected tourist centers in southwest Nigeria.</w:t>
      </w:r>
    </w:p>
    <w:tbl>
      <w:tblPr>
        <w:tblW w:w="8553" w:type="dxa"/>
        <w:jc w:val="center"/>
        <w:tblBorders>
          <w:top w:val="single" w:sz="4" w:space="0" w:color="auto"/>
          <w:bottom w:val="single" w:sz="4" w:space="0" w:color="auto"/>
        </w:tblBorders>
        <w:tblLayout w:type="fixed"/>
        <w:tblLook w:val="04A0" w:firstRow="1" w:lastRow="0" w:firstColumn="1" w:lastColumn="0" w:noHBand="0" w:noVBand="1"/>
      </w:tblPr>
      <w:tblGrid>
        <w:gridCol w:w="1080"/>
        <w:gridCol w:w="1080"/>
        <w:gridCol w:w="2660"/>
        <w:gridCol w:w="1843"/>
        <w:gridCol w:w="1890"/>
      </w:tblGrid>
      <w:tr w:rsidR="00A63CD3" w:rsidRPr="00207803" w14:paraId="6F9ACC04" w14:textId="77777777" w:rsidTr="00207803">
        <w:trPr>
          <w:trHeight w:val="660"/>
          <w:jc w:val="center"/>
        </w:trPr>
        <w:tc>
          <w:tcPr>
            <w:tcW w:w="1080" w:type="dxa"/>
            <w:tcBorders>
              <w:bottom w:val="single" w:sz="4" w:space="0" w:color="auto"/>
            </w:tcBorders>
          </w:tcPr>
          <w:p w14:paraId="09A0E592"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S/N</w:t>
            </w:r>
          </w:p>
        </w:tc>
        <w:tc>
          <w:tcPr>
            <w:tcW w:w="1080" w:type="dxa"/>
            <w:tcBorders>
              <w:bottom w:val="single" w:sz="4" w:space="0" w:color="auto"/>
            </w:tcBorders>
          </w:tcPr>
          <w:p w14:paraId="7C93C390"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State</w:t>
            </w:r>
          </w:p>
        </w:tc>
        <w:tc>
          <w:tcPr>
            <w:tcW w:w="2660" w:type="dxa"/>
            <w:tcBorders>
              <w:bottom w:val="single" w:sz="4" w:space="0" w:color="auto"/>
            </w:tcBorders>
          </w:tcPr>
          <w:p w14:paraId="4BC26DFD" w14:textId="659296E2"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 xml:space="preserve">Purposed Selected Hotel </w:t>
            </w:r>
            <w:r w:rsidR="00207803" w:rsidRPr="00207803">
              <w:rPr>
                <w:rFonts w:ascii="Times New Roman" w:eastAsia="SimSun" w:hAnsi="Times New Roman" w:cs="Times New Roman"/>
                <w:color w:val="000000" w:themeColor="text1"/>
                <w:sz w:val="20"/>
                <w:szCs w:val="20"/>
                <w:lang w:val="en-US" w:eastAsia="zh-CN"/>
              </w:rPr>
              <w:t>for</w:t>
            </w:r>
            <w:r w:rsidRPr="00207803">
              <w:rPr>
                <w:rFonts w:ascii="Times New Roman" w:eastAsia="SimSun" w:hAnsi="Times New Roman" w:cs="Times New Roman"/>
                <w:color w:val="000000" w:themeColor="text1"/>
                <w:sz w:val="20"/>
                <w:szCs w:val="20"/>
                <w:lang w:val="en-US" w:eastAsia="zh-CN"/>
              </w:rPr>
              <w:t xml:space="preserve"> The Study </w:t>
            </w:r>
          </w:p>
        </w:tc>
        <w:tc>
          <w:tcPr>
            <w:tcW w:w="1843" w:type="dxa"/>
            <w:tcBorders>
              <w:bottom w:val="single" w:sz="4" w:space="0" w:color="auto"/>
            </w:tcBorders>
          </w:tcPr>
          <w:p w14:paraId="7D02545B"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Average Number Of user’s Per Week</w:t>
            </w:r>
          </w:p>
        </w:tc>
        <w:tc>
          <w:tcPr>
            <w:tcW w:w="1890" w:type="dxa"/>
            <w:tcBorders>
              <w:bottom w:val="single" w:sz="4" w:space="0" w:color="auto"/>
            </w:tcBorders>
          </w:tcPr>
          <w:p w14:paraId="5D6B11E8"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13.7% Sample Size For user’s</w:t>
            </w:r>
          </w:p>
        </w:tc>
      </w:tr>
      <w:tr w:rsidR="00A63CD3" w:rsidRPr="00207803" w14:paraId="64529EBC" w14:textId="77777777" w:rsidTr="00207803">
        <w:trPr>
          <w:trHeight w:val="314"/>
          <w:jc w:val="center"/>
        </w:trPr>
        <w:tc>
          <w:tcPr>
            <w:tcW w:w="1080" w:type="dxa"/>
          </w:tcPr>
          <w:p w14:paraId="2091B462"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1</w:t>
            </w:r>
          </w:p>
        </w:tc>
        <w:tc>
          <w:tcPr>
            <w:tcW w:w="1080" w:type="dxa"/>
          </w:tcPr>
          <w:p w14:paraId="10C1E20E"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EKITI</w:t>
            </w:r>
          </w:p>
        </w:tc>
        <w:tc>
          <w:tcPr>
            <w:tcW w:w="2660" w:type="dxa"/>
          </w:tcPr>
          <w:p w14:paraId="7909ED61"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bCs/>
                <w:color w:val="000000" w:themeColor="text1"/>
                <w:sz w:val="20"/>
                <w:szCs w:val="20"/>
                <w:lang w:val="en-US" w:eastAsia="zh-CN"/>
              </w:rPr>
              <w:t>Ikogosi Warm Springs Resort</w:t>
            </w:r>
          </w:p>
        </w:tc>
        <w:tc>
          <w:tcPr>
            <w:tcW w:w="1843" w:type="dxa"/>
          </w:tcPr>
          <w:p w14:paraId="0CE48838"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462</w:t>
            </w:r>
          </w:p>
        </w:tc>
        <w:tc>
          <w:tcPr>
            <w:tcW w:w="1890" w:type="dxa"/>
          </w:tcPr>
          <w:p w14:paraId="364A8810"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63</w:t>
            </w:r>
          </w:p>
        </w:tc>
      </w:tr>
      <w:tr w:rsidR="00A63CD3" w:rsidRPr="00207803" w14:paraId="173AC52D" w14:textId="77777777" w:rsidTr="00207803">
        <w:trPr>
          <w:trHeight w:val="422"/>
          <w:jc w:val="center"/>
        </w:trPr>
        <w:tc>
          <w:tcPr>
            <w:tcW w:w="1080" w:type="dxa"/>
          </w:tcPr>
          <w:p w14:paraId="50A072BB"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2</w:t>
            </w:r>
          </w:p>
        </w:tc>
        <w:tc>
          <w:tcPr>
            <w:tcW w:w="1080" w:type="dxa"/>
          </w:tcPr>
          <w:p w14:paraId="365E4102"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OSUN</w:t>
            </w:r>
          </w:p>
        </w:tc>
        <w:tc>
          <w:tcPr>
            <w:tcW w:w="2660" w:type="dxa"/>
          </w:tcPr>
          <w:p w14:paraId="58F0B1BB"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bCs/>
                <w:color w:val="000000" w:themeColor="text1"/>
                <w:sz w:val="20"/>
                <w:szCs w:val="20"/>
                <w:lang w:val="en-US" w:eastAsia="zh-CN"/>
              </w:rPr>
              <w:t>Zenababs half-moon resort hotel</w:t>
            </w:r>
          </w:p>
        </w:tc>
        <w:tc>
          <w:tcPr>
            <w:tcW w:w="1843" w:type="dxa"/>
          </w:tcPr>
          <w:p w14:paraId="24DF4221"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173</w:t>
            </w:r>
          </w:p>
        </w:tc>
        <w:tc>
          <w:tcPr>
            <w:tcW w:w="1890" w:type="dxa"/>
          </w:tcPr>
          <w:p w14:paraId="23F8B4BF"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24</w:t>
            </w:r>
          </w:p>
        </w:tc>
      </w:tr>
      <w:tr w:rsidR="00A63CD3" w:rsidRPr="00207803" w14:paraId="04B53B39" w14:textId="77777777" w:rsidTr="00207803">
        <w:trPr>
          <w:trHeight w:val="224"/>
          <w:jc w:val="center"/>
        </w:trPr>
        <w:tc>
          <w:tcPr>
            <w:tcW w:w="1080" w:type="dxa"/>
          </w:tcPr>
          <w:p w14:paraId="44AB1541"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3</w:t>
            </w:r>
          </w:p>
        </w:tc>
        <w:tc>
          <w:tcPr>
            <w:tcW w:w="1080" w:type="dxa"/>
          </w:tcPr>
          <w:p w14:paraId="725B4A82"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OGUN</w:t>
            </w:r>
          </w:p>
        </w:tc>
        <w:tc>
          <w:tcPr>
            <w:tcW w:w="2660" w:type="dxa"/>
          </w:tcPr>
          <w:p w14:paraId="33464CA5"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bCs/>
                <w:color w:val="000000" w:themeColor="text1"/>
                <w:sz w:val="20"/>
                <w:szCs w:val="20"/>
                <w:lang w:val="en-US" w:eastAsia="zh-CN"/>
              </w:rPr>
              <w:t>Green Legacy resort, Abeokuta</w:t>
            </w:r>
          </w:p>
        </w:tc>
        <w:tc>
          <w:tcPr>
            <w:tcW w:w="1843" w:type="dxa"/>
          </w:tcPr>
          <w:p w14:paraId="2AF733AE"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560</w:t>
            </w:r>
          </w:p>
        </w:tc>
        <w:tc>
          <w:tcPr>
            <w:tcW w:w="1890" w:type="dxa"/>
          </w:tcPr>
          <w:p w14:paraId="6886569A"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77</w:t>
            </w:r>
          </w:p>
        </w:tc>
      </w:tr>
      <w:tr w:rsidR="00A63CD3" w:rsidRPr="00207803" w14:paraId="4B373EB1" w14:textId="77777777" w:rsidTr="00207803">
        <w:trPr>
          <w:trHeight w:val="466"/>
          <w:jc w:val="center"/>
        </w:trPr>
        <w:tc>
          <w:tcPr>
            <w:tcW w:w="1080" w:type="dxa"/>
          </w:tcPr>
          <w:p w14:paraId="37ADB50D"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4</w:t>
            </w:r>
          </w:p>
        </w:tc>
        <w:tc>
          <w:tcPr>
            <w:tcW w:w="1080" w:type="dxa"/>
          </w:tcPr>
          <w:p w14:paraId="1E07882B"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OYO</w:t>
            </w:r>
          </w:p>
        </w:tc>
        <w:tc>
          <w:tcPr>
            <w:tcW w:w="2660" w:type="dxa"/>
          </w:tcPr>
          <w:p w14:paraId="21FFA84C"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bCs/>
                <w:color w:val="000000" w:themeColor="text1"/>
                <w:sz w:val="20"/>
                <w:szCs w:val="20"/>
                <w:lang w:val="en-US" w:eastAsia="zh-CN"/>
              </w:rPr>
              <w:t>IIaji hotel and resort center</w:t>
            </w:r>
          </w:p>
        </w:tc>
        <w:tc>
          <w:tcPr>
            <w:tcW w:w="1843" w:type="dxa"/>
          </w:tcPr>
          <w:p w14:paraId="67E83ACE"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442</w:t>
            </w:r>
          </w:p>
        </w:tc>
        <w:tc>
          <w:tcPr>
            <w:tcW w:w="1890" w:type="dxa"/>
          </w:tcPr>
          <w:p w14:paraId="5324F0D0"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60</w:t>
            </w:r>
          </w:p>
        </w:tc>
      </w:tr>
      <w:tr w:rsidR="00A63CD3" w:rsidRPr="00207803" w14:paraId="502B029B" w14:textId="77777777" w:rsidTr="00207803">
        <w:trPr>
          <w:trHeight w:val="349"/>
          <w:jc w:val="center"/>
        </w:trPr>
        <w:tc>
          <w:tcPr>
            <w:tcW w:w="1080" w:type="dxa"/>
          </w:tcPr>
          <w:p w14:paraId="216CF20E"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5</w:t>
            </w:r>
          </w:p>
        </w:tc>
        <w:tc>
          <w:tcPr>
            <w:tcW w:w="1080" w:type="dxa"/>
          </w:tcPr>
          <w:p w14:paraId="6B8ED02F"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LAGOS</w:t>
            </w:r>
          </w:p>
        </w:tc>
        <w:tc>
          <w:tcPr>
            <w:tcW w:w="2660" w:type="dxa"/>
          </w:tcPr>
          <w:p w14:paraId="60D597C1"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Lekki beach resort</w:t>
            </w:r>
          </w:p>
        </w:tc>
        <w:tc>
          <w:tcPr>
            <w:tcW w:w="1843" w:type="dxa"/>
          </w:tcPr>
          <w:p w14:paraId="7D2BAA8A"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645</w:t>
            </w:r>
          </w:p>
        </w:tc>
        <w:tc>
          <w:tcPr>
            <w:tcW w:w="1890" w:type="dxa"/>
          </w:tcPr>
          <w:p w14:paraId="0F3A71C3"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88</w:t>
            </w:r>
          </w:p>
        </w:tc>
      </w:tr>
      <w:tr w:rsidR="00A63CD3" w:rsidRPr="00207803" w14:paraId="1BB94476" w14:textId="77777777" w:rsidTr="00207803">
        <w:trPr>
          <w:trHeight w:val="286"/>
          <w:jc w:val="center"/>
        </w:trPr>
        <w:tc>
          <w:tcPr>
            <w:tcW w:w="1080" w:type="dxa"/>
          </w:tcPr>
          <w:p w14:paraId="1D0FDA10"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6</w:t>
            </w:r>
          </w:p>
        </w:tc>
        <w:tc>
          <w:tcPr>
            <w:tcW w:w="1080" w:type="dxa"/>
          </w:tcPr>
          <w:p w14:paraId="042D64EB"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ONDO</w:t>
            </w:r>
          </w:p>
        </w:tc>
        <w:tc>
          <w:tcPr>
            <w:tcW w:w="2660" w:type="dxa"/>
          </w:tcPr>
          <w:p w14:paraId="5C853B53"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Goshen trust hotel</w:t>
            </w:r>
          </w:p>
        </w:tc>
        <w:tc>
          <w:tcPr>
            <w:tcW w:w="1843" w:type="dxa"/>
          </w:tcPr>
          <w:p w14:paraId="7E41C294"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238</w:t>
            </w:r>
          </w:p>
        </w:tc>
        <w:tc>
          <w:tcPr>
            <w:tcW w:w="1890" w:type="dxa"/>
          </w:tcPr>
          <w:p w14:paraId="3BD2A964" w14:textId="77777777" w:rsidR="00A63CD3" w:rsidRPr="00207803" w:rsidRDefault="00A63CD3" w:rsidP="0000060D">
            <w:pPr>
              <w:spacing w:after="0" w:line="36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33</w:t>
            </w:r>
          </w:p>
        </w:tc>
      </w:tr>
      <w:tr w:rsidR="00A63CD3" w:rsidRPr="00207803" w14:paraId="0063B27A" w14:textId="77777777" w:rsidTr="00207803">
        <w:trPr>
          <w:trHeight w:val="215"/>
          <w:jc w:val="center"/>
        </w:trPr>
        <w:tc>
          <w:tcPr>
            <w:tcW w:w="1080" w:type="dxa"/>
          </w:tcPr>
          <w:p w14:paraId="2D842242" w14:textId="77777777" w:rsidR="00A63CD3" w:rsidRPr="00207803" w:rsidRDefault="00A63CD3" w:rsidP="0000060D">
            <w:pPr>
              <w:spacing w:after="0" w:line="360" w:lineRule="auto"/>
              <w:rPr>
                <w:rFonts w:ascii="Times New Roman" w:eastAsia="SimSun" w:hAnsi="Times New Roman" w:cs="Times New Roman"/>
                <w:b/>
                <w:bCs/>
                <w:color w:val="000000" w:themeColor="text1"/>
                <w:sz w:val="20"/>
                <w:szCs w:val="20"/>
                <w:lang w:val="en-US" w:eastAsia="zh-CN"/>
              </w:rPr>
            </w:pPr>
            <w:r w:rsidRPr="00207803">
              <w:rPr>
                <w:rFonts w:ascii="Times New Roman" w:eastAsia="SimSun" w:hAnsi="Times New Roman" w:cs="Times New Roman"/>
                <w:b/>
                <w:bCs/>
                <w:color w:val="000000" w:themeColor="text1"/>
                <w:sz w:val="20"/>
                <w:szCs w:val="20"/>
                <w:lang w:val="en-US" w:eastAsia="zh-CN"/>
              </w:rPr>
              <w:t>TOTAL</w:t>
            </w:r>
          </w:p>
        </w:tc>
        <w:tc>
          <w:tcPr>
            <w:tcW w:w="1080" w:type="dxa"/>
          </w:tcPr>
          <w:p w14:paraId="41230B14" w14:textId="77777777" w:rsidR="00A63CD3" w:rsidRPr="00207803" w:rsidRDefault="00A63CD3" w:rsidP="0000060D">
            <w:pPr>
              <w:spacing w:after="0" w:line="360" w:lineRule="auto"/>
              <w:rPr>
                <w:rFonts w:ascii="Times New Roman" w:eastAsia="SimSun" w:hAnsi="Times New Roman" w:cs="Times New Roman"/>
                <w:b/>
                <w:bCs/>
                <w:color w:val="000000" w:themeColor="text1"/>
                <w:sz w:val="20"/>
                <w:szCs w:val="20"/>
                <w:lang w:val="en-US" w:eastAsia="zh-CN"/>
              </w:rPr>
            </w:pPr>
            <w:r w:rsidRPr="00207803">
              <w:rPr>
                <w:rFonts w:ascii="Times New Roman" w:eastAsia="SimSun" w:hAnsi="Times New Roman" w:cs="Times New Roman"/>
                <w:b/>
                <w:bCs/>
                <w:color w:val="000000" w:themeColor="text1"/>
                <w:sz w:val="20"/>
                <w:szCs w:val="20"/>
                <w:lang w:val="en-US" w:eastAsia="zh-CN"/>
              </w:rPr>
              <w:t>6</w:t>
            </w:r>
          </w:p>
        </w:tc>
        <w:tc>
          <w:tcPr>
            <w:tcW w:w="2660" w:type="dxa"/>
          </w:tcPr>
          <w:p w14:paraId="786CD494" w14:textId="77777777" w:rsidR="00A63CD3" w:rsidRPr="00207803" w:rsidRDefault="00A63CD3" w:rsidP="0000060D">
            <w:pPr>
              <w:spacing w:after="0" w:line="360" w:lineRule="auto"/>
              <w:rPr>
                <w:rFonts w:ascii="Times New Roman" w:eastAsia="SimSun" w:hAnsi="Times New Roman" w:cs="Times New Roman"/>
                <w:b/>
                <w:bCs/>
                <w:color w:val="000000" w:themeColor="text1"/>
                <w:sz w:val="20"/>
                <w:szCs w:val="20"/>
                <w:lang w:val="en-US" w:eastAsia="zh-CN"/>
              </w:rPr>
            </w:pPr>
            <w:r w:rsidRPr="00207803">
              <w:rPr>
                <w:rFonts w:ascii="Times New Roman" w:eastAsia="SimSun" w:hAnsi="Times New Roman" w:cs="Times New Roman"/>
                <w:b/>
                <w:bCs/>
                <w:color w:val="000000" w:themeColor="text1"/>
                <w:sz w:val="20"/>
                <w:szCs w:val="20"/>
                <w:lang w:val="en-US" w:eastAsia="zh-CN"/>
              </w:rPr>
              <w:t>6</w:t>
            </w:r>
          </w:p>
        </w:tc>
        <w:tc>
          <w:tcPr>
            <w:tcW w:w="1843" w:type="dxa"/>
          </w:tcPr>
          <w:p w14:paraId="02243B90" w14:textId="77777777" w:rsidR="00A63CD3" w:rsidRPr="00207803" w:rsidRDefault="00A63CD3" w:rsidP="0000060D">
            <w:pPr>
              <w:spacing w:after="0" w:line="360" w:lineRule="auto"/>
              <w:rPr>
                <w:rFonts w:ascii="Times New Roman" w:eastAsia="SimSun" w:hAnsi="Times New Roman" w:cs="Times New Roman"/>
                <w:b/>
                <w:bCs/>
                <w:color w:val="000000" w:themeColor="text1"/>
                <w:sz w:val="20"/>
                <w:szCs w:val="20"/>
                <w:lang w:val="en-US" w:eastAsia="zh-CN"/>
              </w:rPr>
            </w:pPr>
            <w:r w:rsidRPr="00207803">
              <w:rPr>
                <w:rFonts w:ascii="Times New Roman" w:eastAsia="SimSun" w:hAnsi="Times New Roman" w:cs="Times New Roman"/>
                <w:b/>
                <w:bCs/>
                <w:color w:val="000000" w:themeColor="text1"/>
                <w:sz w:val="20"/>
                <w:szCs w:val="20"/>
                <w:lang w:val="en-US" w:eastAsia="zh-CN"/>
              </w:rPr>
              <w:t>2520</w:t>
            </w:r>
          </w:p>
        </w:tc>
        <w:tc>
          <w:tcPr>
            <w:tcW w:w="1890" w:type="dxa"/>
          </w:tcPr>
          <w:p w14:paraId="430DB849" w14:textId="77777777" w:rsidR="00A63CD3" w:rsidRPr="00207803" w:rsidRDefault="00A63CD3" w:rsidP="0000060D">
            <w:pPr>
              <w:spacing w:after="0" w:line="360" w:lineRule="auto"/>
              <w:rPr>
                <w:rFonts w:ascii="Times New Roman" w:eastAsia="SimSun" w:hAnsi="Times New Roman" w:cs="Times New Roman"/>
                <w:b/>
                <w:bCs/>
                <w:color w:val="000000" w:themeColor="text1"/>
                <w:sz w:val="20"/>
                <w:szCs w:val="20"/>
                <w:lang w:val="en-US" w:eastAsia="zh-CN"/>
              </w:rPr>
            </w:pPr>
            <w:r w:rsidRPr="00207803">
              <w:rPr>
                <w:rFonts w:ascii="Times New Roman" w:eastAsia="SimSun" w:hAnsi="Times New Roman" w:cs="Times New Roman"/>
                <w:b/>
                <w:bCs/>
                <w:color w:val="000000" w:themeColor="text1"/>
                <w:sz w:val="20"/>
                <w:szCs w:val="20"/>
                <w:lang w:val="en-US" w:eastAsia="zh-CN"/>
              </w:rPr>
              <w:t>345</w:t>
            </w:r>
          </w:p>
        </w:tc>
      </w:tr>
    </w:tbl>
    <w:p w14:paraId="2CC7C25E" w14:textId="77777777" w:rsidR="00207803" w:rsidRDefault="00207803" w:rsidP="00A63CD3">
      <w:pPr>
        <w:spacing w:after="0" w:line="240" w:lineRule="auto"/>
        <w:rPr>
          <w:rFonts w:ascii="Times New Roman" w:eastAsia="Calibri" w:hAnsi="Times New Roman" w:cs="Times New Roman"/>
          <w:b/>
          <w:color w:val="000000" w:themeColor="text1"/>
          <w:sz w:val="24"/>
          <w:szCs w:val="24"/>
          <w:lang w:val="en-US"/>
        </w:rPr>
      </w:pPr>
    </w:p>
    <w:p w14:paraId="0BC2904C" w14:textId="111D5161" w:rsidR="00A63CD3" w:rsidRPr="00BE4AF3" w:rsidRDefault="00A63CD3" w:rsidP="00A63CD3">
      <w:pPr>
        <w:spacing w:after="0" w:line="240" w:lineRule="auto"/>
        <w:rPr>
          <w:rFonts w:ascii="Times New Roman" w:eastAsia="Calibri" w:hAnsi="Times New Roman" w:cs="Times New Roman"/>
          <w:b/>
          <w:color w:val="000000" w:themeColor="text1"/>
          <w:sz w:val="24"/>
          <w:szCs w:val="24"/>
          <w:lang w:val="en-US"/>
        </w:rPr>
      </w:pPr>
      <w:r w:rsidRPr="00BE4AF3">
        <w:rPr>
          <w:rFonts w:ascii="Times New Roman" w:eastAsia="Calibri" w:hAnsi="Times New Roman" w:cs="Times New Roman"/>
          <w:b/>
          <w:color w:val="000000" w:themeColor="text1"/>
          <w:sz w:val="24"/>
          <w:szCs w:val="24"/>
          <w:lang w:val="en-US"/>
        </w:rPr>
        <w:t>Data Analysis and Interpretation</w:t>
      </w:r>
    </w:p>
    <w:p w14:paraId="422659E6" w14:textId="77777777" w:rsidR="00A63CD3" w:rsidRPr="00BE4AF3" w:rsidRDefault="00A63CD3" w:rsidP="00207803">
      <w:pPr>
        <w:spacing w:after="0" w:line="240" w:lineRule="auto"/>
        <w:jc w:val="both"/>
        <w:rPr>
          <w:rFonts w:ascii="Times New Roman" w:eastAsia="Calibri" w:hAnsi="Times New Roman" w:cs="Times New Roman"/>
          <w:color w:val="000000" w:themeColor="text1"/>
          <w:sz w:val="24"/>
          <w:szCs w:val="24"/>
          <w:lang w:val="en-US"/>
        </w:rPr>
      </w:pPr>
      <w:r w:rsidRPr="00BE4AF3">
        <w:rPr>
          <w:rFonts w:ascii="Times New Roman" w:eastAsia="Calibri" w:hAnsi="Times New Roman" w:cs="Times New Roman"/>
          <w:color w:val="000000" w:themeColor="text1"/>
          <w:sz w:val="24"/>
          <w:szCs w:val="24"/>
          <w:lang w:val="en-US"/>
        </w:rPr>
        <w:t xml:space="preserve">Table 4.0 Total Questionnaire Distributed," presented the data on the distribution and retrieval of questionnaires across the six selected tourist centers in Southwest Nigeria. </w:t>
      </w:r>
    </w:p>
    <w:p w14:paraId="710E6260" w14:textId="77777777" w:rsidR="00207803" w:rsidRDefault="00207803" w:rsidP="00207803">
      <w:pPr>
        <w:spacing w:after="0" w:line="240" w:lineRule="auto"/>
        <w:jc w:val="center"/>
        <w:rPr>
          <w:rFonts w:ascii="Times New Roman" w:eastAsia="Calibri" w:hAnsi="Times New Roman" w:cs="Times New Roman"/>
          <w:b/>
          <w:color w:val="000000" w:themeColor="text1"/>
          <w:sz w:val="24"/>
          <w:szCs w:val="24"/>
          <w:lang w:val="en-US"/>
        </w:rPr>
      </w:pPr>
    </w:p>
    <w:p w14:paraId="5453ADCD" w14:textId="38DC289A" w:rsidR="00A63CD3" w:rsidRPr="00BE4AF3" w:rsidRDefault="00A63CD3" w:rsidP="00207803">
      <w:pPr>
        <w:spacing w:after="0" w:line="240" w:lineRule="auto"/>
        <w:jc w:val="center"/>
        <w:rPr>
          <w:rFonts w:ascii="Times New Roman" w:eastAsia="Calibri" w:hAnsi="Times New Roman" w:cs="Times New Roman"/>
          <w:b/>
          <w:color w:val="000000" w:themeColor="text1"/>
          <w:sz w:val="24"/>
          <w:szCs w:val="24"/>
          <w:lang w:val="en-US"/>
        </w:rPr>
      </w:pPr>
      <w:r w:rsidRPr="00BE4AF3">
        <w:rPr>
          <w:rFonts w:ascii="Times New Roman" w:eastAsia="Calibri" w:hAnsi="Times New Roman" w:cs="Times New Roman"/>
          <w:b/>
          <w:color w:val="000000" w:themeColor="text1"/>
          <w:sz w:val="24"/>
          <w:szCs w:val="24"/>
          <w:lang w:val="en-US"/>
        </w:rPr>
        <w:t xml:space="preserve">Table 4.0: </w:t>
      </w:r>
      <w:r w:rsidRPr="00207803">
        <w:rPr>
          <w:rFonts w:ascii="Times New Roman" w:eastAsia="Calibri" w:hAnsi="Times New Roman" w:cs="Times New Roman"/>
          <w:bCs/>
          <w:color w:val="000000" w:themeColor="text1"/>
          <w:sz w:val="24"/>
          <w:szCs w:val="24"/>
          <w:lang w:val="en-US"/>
        </w:rPr>
        <w:t>Total Questionnaire distributed</w:t>
      </w:r>
    </w:p>
    <w:tbl>
      <w:tblPr>
        <w:tblW w:w="0" w:type="auto"/>
        <w:jc w:val="center"/>
        <w:tblBorders>
          <w:top w:val="single" w:sz="4" w:space="0" w:color="auto"/>
          <w:bottom w:val="single" w:sz="4" w:space="0" w:color="auto"/>
        </w:tblBorders>
        <w:tblLook w:val="04A0" w:firstRow="1" w:lastRow="0" w:firstColumn="1" w:lastColumn="0" w:noHBand="0" w:noVBand="1"/>
      </w:tblPr>
      <w:tblGrid>
        <w:gridCol w:w="3435"/>
        <w:gridCol w:w="2856"/>
        <w:gridCol w:w="2736"/>
      </w:tblGrid>
      <w:tr w:rsidR="00A63CD3" w:rsidRPr="00207803" w14:paraId="55D45AB1" w14:textId="77777777" w:rsidTr="0000060D">
        <w:trPr>
          <w:jc w:val="center"/>
        </w:trPr>
        <w:tc>
          <w:tcPr>
            <w:tcW w:w="0" w:type="auto"/>
            <w:tcBorders>
              <w:bottom w:val="single" w:sz="4" w:space="0" w:color="auto"/>
            </w:tcBorders>
            <w:shd w:val="clear" w:color="auto" w:fill="auto"/>
          </w:tcPr>
          <w:p w14:paraId="293F798D"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Selected Tourist Centres in Southwest Nigeria</w:t>
            </w:r>
          </w:p>
        </w:tc>
        <w:tc>
          <w:tcPr>
            <w:tcW w:w="0" w:type="auto"/>
            <w:tcBorders>
              <w:bottom w:val="single" w:sz="4" w:space="0" w:color="auto"/>
            </w:tcBorders>
            <w:shd w:val="clear" w:color="auto" w:fill="auto"/>
          </w:tcPr>
          <w:p w14:paraId="0326D52B"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Number of Questionnaire distributed</w:t>
            </w:r>
          </w:p>
        </w:tc>
        <w:tc>
          <w:tcPr>
            <w:tcW w:w="0" w:type="auto"/>
            <w:tcBorders>
              <w:bottom w:val="single" w:sz="4" w:space="0" w:color="auto"/>
            </w:tcBorders>
            <w:shd w:val="clear" w:color="auto" w:fill="auto"/>
          </w:tcPr>
          <w:p w14:paraId="03CC75EB"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Number of Questionnaire retrieved</w:t>
            </w:r>
          </w:p>
        </w:tc>
      </w:tr>
      <w:tr w:rsidR="00A63CD3" w:rsidRPr="00207803" w14:paraId="160CDC9D" w14:textId="77777777" w:rsidTr="0000060D">
        <w:trPr>
          <w:jc w:val="center"/>
        </w:trPr>
        <w:tc>
          <w:tcPr>
            <w:tcW w:w="0" w:type="auto"/>
            <w:vMerge w:val="restart"/>
            <w:tcBorders>
              <w:top w:val="single" w:sz="4" w:space="0" w:color="auto"/>
            </w:tcBorders>
            <w:shd w:val="clear" w:color="auto" w:fill="auto"/>
          </w:tcPr>
          <w:p w14:paraId="4EA80A1D"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p>
          <w:p w14:paraId="1F98D294"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Ekiti</w:t>
            </w:r>
          </w:p>
        </w:tc>
        <w:tc>
          <w:tcPr>
            <w:tcW w:w="0" w:type="auto"/>
            <w:tcBorders>
              <w:top w:val="single" w:sz="4" w:space="0" w:color="auto"/>
            </w:tcBorders>
            <w:shd w:val="clear" w:color="auto" w:fill="auto"/>
          </w:tcPr>
          <w:p w14:paraId="44D33BA7"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63</w:t>
            </w:r>
          </w:p>
        </w:tc>
        <w:tc>
          <w:tcPr>
            <w:tcW w:w="0" w:type="auto"/>
            <w:tcBorders>
              <w:top w:val="single" w:sz="4" w:space="0" w:color="auto"/>
            </w:tcBorders>
            <w:shd w:val="clear" w:color="auto" w:fill="auto"/>
          </w:tcPr>
          <w:p w14:paraId="76A43EDF"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58</w:t>
            </w:r>
          </w:p>
        </w:tc>
      </w:tr>
      <w:tr w:rsidR="00A63CD3" w:rsidRPr="00207803" w14:paraId="218B0321" w14:textId="77777777" w:rsidTr="0000060D">
        <w:trPr>
          <w:jc w:val="center"/>
        </w:trPr>
        <w:tc>
          <w:tcPr>
            <w:tcW w:w="0" w:type="auto"/>
            <w:vMerge/>
            <w:shd w:val="clear" w:color="auto" w:fill="auto"/>
          </w:tcPr>
          <w:p w14:paraId="06782039"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p>
        </w:tc>
        <w:tc>
          <w:tcPr>
            <w:tcW w:w="0" w:type="auto"/>
            <w:shd w:val="clear" w:color="auto" w:fill="auto"/>
          </w:tcPr>
          <w:p w14:paraId="4978CC20"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18.3%</w:t>
            </w:r>
          </w:p>
        </w:tc>
        <w:tc>
          <w:tcPr>
            <w:tcW w:w="0" w:type="auto"/>
            <w:shd w:val="clear" w:color="auto" w:fill="auto"/>
          </w:tcPr>
          <w:p w14:paraId="3A3BC1EA"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18.3%</w:t>
            </w:r>
          </w:p>
        </w:tc>
      </w:tr>
      <w:tr w:rsidR="00A63CD3" w:rsidRPr="00207803" w14:paraId="7EB5F1B9" w14:textId="77777777" w:rsidTr="0000060D">
        <w:trPr>
          <w:jc w:val="center"/>
        </w:trPr>
        <w:tc>
          <w:tcPr>
            <w:tcW w:w="0" w:type="auto"/>
            <w:vMerge w:val="restart"/>
            <w:shd w:val="clear" w:color="auto" w:fill="auto"/>
          </w:tcPr>
          <w:p w14:paraId="6D03C9A6"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p>
          <w:p w14:paraId="455BDC24"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Osun</w:t>
            </w:r>
          </w:p>
        </w:tc>
        <w:tc>
          <w:tcPr>
            <w:tcW w:w="0" w:type="auto"/>
            <w:shd w:val="clear" w:color="auto" w:fill="auto"/>
          </w:tcPr>
          <w:p w14:paraId="70192E36"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24</w:t>
            </w:r>
          </w:p>
        </w:tc>
        <w:tc>
          <w:tcPr>
            <w:tcW w:w="0" w:type="auto"/>
            <w:shd w:val="clear" w:color="auto" w:fill="auto"/>
          </w:tcPr>
          <w:p w14:paraId="110EC55B"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19</w:t>
            </w:r>
          </w:p>
        </w:tc>
      </w:tr>
      <w:tr w:rsidR="00A63CD3" w:rsidRPr="00207803" w14:paraId="329DB283" w14:textId="77777777" w:rsidTr="0000060D">
        <w:trPr>
          <w:jc w:val="center"/>
        </w:trPr>
        <w:tc>
          <w:tcPr>
            <w:tcW w:w="0" w:type="auto"/>
            <w:vMerge/>
            <w:shd w:val="clear" w:color="auto" w:fill="auto"/>
          </w:tcPr>
          <w:p w14:paraId="250732DB"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p>
        </w:tc>
        <w:tc>
          <w:tcPr>
            <w:tcW w:w="0" w:type="auto"/>
            <w:shd w:val="clear" w:color="auto" w:fill="auto"/>
          </w:tcPr>
          <w:p w14:paraId="2036BDB9"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7.0%</w:t>
            </w:r>
          </w:p>
        </w:tc>
        <w:tc>
          <w:tcPr>
            <w:tcW w:w="0" w:type="auto"/>
            <w:shd w:val="clear" w:color="auto" w:fill="auto"/>
          </w:tcPr>
          <w:p w14:paraId="6F192497"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6.0%</w:t>
            </w:r>
          </w:p>
        </w:tc>
      </w:tr>
      <w:tr w:rsidR="00A63CD3" w:rsidRPr="00207803" w14:paraId="52918C97" w14:textId="77777777" w:rsidTr="0000060D">
        <w:trPr>
          <w:jc w:val="center"/>
        </w:trPr>
        <w:tc>
          <w:tcPr>
            <w:tcW w:w="0" w:type="auto"/>
            <w:vMerge w:val="restart"/>
            <w:shd w:val="clear" w:color="auto" w:fill="auto"/>
          </w:tcPr>
          <w:p w14:paraId="66D61697"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p>
          <w:p w14:paraId="3E2D983D"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Ogun</w:t>
            </w:r>
          </w:p>
        </w:tc>
        <w:tc>
          <w:tcPr>
            <w:tcW w:w="0" w:type="auto"/>
            <w:shd w:val="clear" w:color="auto" w:fill="auto"/>
          </w:tcPr>
          <w:p w14:paraId="76363FE3"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77</w:t>
            </w:r>
          </w:p>
        </w:tc>
        <w:tc>
          <w:tcPr>
            <w:tcW w:w="0" w:type="auto"/>
            <w:shd w:val="clear" w:color="auto" w:fill="auto"/>
          </w:tcPr>
          <w:p w14:paraId="1A3DDE9A"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70</w:t>
            </w:r>
          </w:p>
        </w:tc>
      </w:tr>
      <w:tr w:rsidR="00A63CD3" w:rsidRPr="00207803" w14:paraId="54F3115F" w14:textId="77777777" w:rsidTr="0000060D">
        <w:trPr>
          <w:jc w:val="center"/>
        </w:trPr>
        <w:tc>
          <w:tcPr>
            <w:tcW w:w="0" w:type="auto"/>
            <w:vMerge/>
            <w:shd w:val="clear" w:color="auto" w:fill="auto"/>
          </w:tcPr>
          <w:p w14:paraId="34CB641C"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p>
        </w:tc>
        <w:tc>
          <w:tcPr>
            <w:tcW w:w="0" w:type="auto"/>
            <w:shd w:val="clear" w:color="auto" w:fill="auto"/>
          </w:tcPr>
          <w:p w14:paraId="79CC452F"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22.3%</w:t>
            </w:r>
          </w:p>
        </w:tc>
        <w:tc>
          <w:tcPr>
            <w:tcW w:w="0" w:type="auto"/>
            <w:shd w:val="clear" w:color="auto" w:fill="auto"/>
          </w:tcPr>
          <w:p w14:paraId="2C871310"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22.1%</w:t>
            </w:r>
          </w:p>
        </w:tc>
      </w:tr>
      <w:tr w:rsidR="00A63CD3" w:rsidRPr="00207803" w14:paraId="6DE92841" w14:textId="77777777" w:rsidTr="0000060D">
        <w:trPr>
          <w:jc w:val="center"/>
        </w:trPr>
        <w:tc>
          <w:tcPr>
            <w:tcW w:w="0" w:type="auto"/>
            <w:vMerge w:val="restart"/>
            <w:shd w:val="clear" w:color="auto" w:fill="auto"/>
          </w:tcPr>
          <w:p w14:paraId="0BEE4B12"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p>
          <w:p w14:paraId="4FC2B80C"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Oyo</w:t>
            </w:r>
          </w:p>
        </w:tc>
        <w:tc>
          <w:tcPr>
            <w:tcW w:w="0" w:type="auto"/>
            <w:shd w:val="clear" w:color="auto" w:fill="auto"/>
          </w:tcPr>
          <w:p w14:paraId="7C1B7B46"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60</w:t>
            </w:r>
          </w:p>
        </w:tc>
        <w:tc>
          <w:tcPr>
            <w:tcW w:w="0" w:type="auto"/>
            <w:shd w:val="clear" w:color="auto" w:fill="auto"/>
          </w:tcPr>
          <w:p w14:paraId="4555213E"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53</w:t>
            </w:r>
          </w:p>
        </w:tc>
      </w:tr>
      <w:tr w:rsidR="00A63CD3" w:rsidRPr="00207803" w14:paraId="788F3059" w14:textId="77777777" w:rsidTr="0000060D">
        <w:trPr>
          <w:jc w:val="center"/>
        </w:trPr>
        <w:tc>
          <w:tcPr>
            <w:tcW w:w="0" w:type="auto"/>
            <w:vMerge/>
            <w:shd w:val="clear" w:color="auto" w:fill="auto"/>
          </w:tcPr>
          <w:p w14:paraId="24BA3290"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p>
        </w:tc>
        <w:tc>
          <w:tcPr>
            <w:tcW w:w="0" w:type="auto"/>
            <w:shd w:val="clear" w:color="auto" w:fill="auto"/>
          </w:tcPr>
          <w:p w14:paraId="163275FD"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17.4%</w:t>
            </w:r>
          </w:p>
        </w:tc>
        <w:tc>
          <w:tcPr>
            <w:tcW w:w="0" w:type="auto"/>
            <w:shd w:val="clear" w:color="auto" w:fill="auto"/>
          </w:tcPr>
          <w:p w14:paraId="28E51CD0"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16.7%</w:t>
            </w:r>
          </w:p>
        </w:tc>
      </w:tr>
      <w:tr w:rsidR="00A63CD3" w:rsidRPr="00207803" w14:paraId="679EACBE" w14:textId="77777777" w:rsidTr="0000060D">
        <w:trPr>
          <w:jc w:val="center"/>
        </w:trPr>
        <w:tc>
          <w:tcPr>
            <w:tcW w:w="0" w:type="auto"/>
            <w:vMerge w:val="restart"/>
            <w:shd w:val="clear" w:color="auto" w:fill="auto"/>
          </w:tcPr>
          <w:p w14:paraId="283ECFE7"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p>
          <w:p w14:paraId="0CBA9747"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Lagos</w:t>
            </w:r>
          </w:p>
        </w:tc>
        <w:tc>
          <w:tcPr>
            <w:tcW w:w="0" w:type="auto"/>
            <w:shd w:val="clear" w:color="auto" w:fill="auto"/>
          </w:tcPr>
          <w:p w14:paraId="6D4A47C5"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88</w:t>
            </w:r>
          </w:p>
        </w:tc>
        <w:tc>
          <w:tcPr>
            <w:tcW w:w="0" w:type="auto"/>
            <w:shd w:val="clear" w:color="auto" w:fill="auto"/>
          </w:tcPr>
          <w:p w14:paraId="55B04D9F"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87</w:t>
            </w:r>
          </w:p>
        </w:tc>
      </w:tr>
      <w:tr w:rsidR="00A63CD3" w:rsidRPr="00207803" w14:paraId="3DA744D5" w14:textId="77777777" w:rsidTr="0000060D">
        <w:trPr>
          <w:jc w:val="center"/>
        </w:trPr>
        <w:tc>
          <w:tcPr>
            <w:tcW w:w="0" w:type="auto"/>
            <w:vMerge/>
            <w:shd w:val="clear" w:color="auto" w:fill="auto"/>
          </w:tcPr>
          <w:p w14:paraId="4D55E903"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p>
        </w:tc>
        <w:tc>
          <w:tcPr>
            <w:tcW w:w="0" w:type="auto"/>
            <w:shd w:val="clear" w:color="auto" w:fill="auto"/>
          </w:tcPr>
          <w:p w14:paraId="73D8F8D2"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25.5%</w:t>
            </w:r>
          </w:p>
        </w:tc>
        <w:tc>
          <w:tcPr>
            <w:tcW w:w="0" w:type="auto"/>
            <w:shd w:val="clear" w:color="auto" w:fill="auto"/>
          </w:tcPr>
          <w:p w14:paraId="65CE7D3C"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27.4%</w:t>
            </w:r>
          </w:p>
        </w:tc>
      </w:tr>
      <w:tr w:rsidR="00A63CD3" w:rsidRPr="00207803" w14:paraId="6CD322AA" w14:textId="77777777" w:rsidTr="0000060D">
        <w:trPr>
          <w:jc w:val="center"/>
        </w:trPr>
        <w:tc>
          <w:tcPr>
            <w:tcW w:w="0" w:type="auto"/>
            <w:vMerge w:val="restart"/>
            <w:shd w:val="clear" w:color="auto" w:fill="auto"/>
          </w:tcPr>
          <w:p w14:paraId="550877A5"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p>
          <w:p w14:paraId="40E2CDBB"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Ondo</w:t>
            </w:r>
          </w:p>
        </w:tc>
        <w:tc>
          <w:tcPr>
            <w:tcW w:w="0" w:type="auto"/>
            <w:shd w:val="clear" w:color="auto" w:fill="auto"/>
          </w:tcPr>
          <w:p w14:paraId="57FB6223"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33</w:t>
            </w:r>
          </w:p>
        </w:tc>
        <w:tc>
          <w:tcPr>
            <w:tcW w:w="0" w:type="auto"/>
            <w:shd w:val="clear" w:color="auto" w:fill="auto"/>
          </w:tcPr>
          <w:p w14:paraId="61F0C56F"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30</w:t>
            </w:r>
          </w:p>
        </w:tc>
      </w:tr>
      <w:tr w:rsidR="00A63CD3" w:rsidRPr="00207803" w14:paraId="69C8B0A6" w14:textId="77777777" w:rsidTr="0000060D">
        <w:trPr>
          <w:jc w:val="center"/>
        </w:trPr>
        <w:tc>
          <w:tcPr>
            <w:tcW w:w="0" w:type="auto"/>
            <w:vMerge/>
            <w:shd w:val="clear" w:color="auto" w:fill="auto"/>
          </w:tcPr>
          <w:p w14:paraId="7AE5D0CF"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p>
        </w:tc>
        <w:tc>
          <w:tcPr>
            <w:tcW w:w="0" w:type="auto"/>
            <w:shd w:val="clear" w:color="auto" w:fill="auto"/>
          </w:tcPr>
          <w:p w14:paraId="5D889B8B"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9.6%</w:t>
            </w:r>
          </w:p>
        </w:tc>
        <w:tc>
          <w:tcPr>
            <w:tcW w:w="0" w:type="auto"/>
            <w:shd w:val="clear" w:color="auto" w:fill="auto"/>
          </w:tcPr>
          <w:p w14:paraId="5CC4178F" w14:textId="77777777" w:rsidR="00A63CD3" w:rsidRPr="00207803" w:rsidRDefault="00A63CD3" w:rsidP="00207803">
            <w:pPr>
              <w:spacing w:after="0" w:line="240" w:lineRule="auto"/>
              <w:rPr>
                <w:rFonts w:ascii="Times New Roman" w:eastAsia="SimSun" w:hAnsi="Times New Roman" w:cs="Times New Roman"/>
                <w:color w:val="000000" w:themeColor="text1"/>
                <w:sz w:val="20"/>
                <w:szCs w:val="20"/>
                <w:lang w:val="en-US" w:eastAsia="zh-CN"/>
              </w:rPr>
            </w:pPr>
            <w:r w:rsidRPr="00207803">
              <w:rPr>
                <w:rFonts w:ascii="Times New Roman" w:eastAsia="SimSun" w:hAnsi="Times New Roman" w:cs="Times New Roman"/>
                <w:color w:val="000000" w:themeColor="text1"/>
                <w:sz w:val="20"/>
                <w:szCs w:val="20"/>
                <w:lang w:val="en-US" w:eastAsia="zh-CN"/>
              </w:rPr>
              <w:t>9.5%</w:t>
            </w:r>
          </w:p>
        </w:tc>
      </w:tr>
      <w:tr w:rsidR="00A63CD3" w:rsidRPr="00207803" w14:paraId="64D95BB4" w14:textId="77777777" w:rsidTr="0000060D">
        <w:trPr>
          <w:jc w:val="center"/>
        </w:trPr>
        <w:tc>
          <w:tcPr>
            <w:tcW w:w="0" w:type="auto"/>
            <w:vMerge w:val="restart"/>
            <w:shd w:val="clear" w:color="auto" w:fill="auto"/>
          </w:tcPr>
          <w:p w14:paraId="532DB921" w14:textId="77777777" w:rsidR="00A63CD3" w:rsidRPr="00207803" w:rsidRDefault="00A63CD3" w:rsidP="00207803">
            <w:pPr>
              <w:spacing w:after="0" w:line="240" w:lineRule="auto"/>
              <w:rPr>
                <w:rFonts w:ascii="Times New Roman" w:eastAsia="SimSun" w:hAnsi="Times New Roman" w:cs="Times New Roman"/>
                <w:b/>
                <w:bCs/>
                <w:color w:val="000000" w:themeColor="text1"/>
                <w:sz w:val="20"/>
                <w:szCs w:val="20"/>
                <w:lang w:val="en-US" w:eastAsia="zh-CN"/>
              </w:rPr>
            </w:pPr>
          </w:p>
          <w:p w14:paraId="1C240540" w14:textId="77777777" w:rsidR="00A63CD3" w:rsidRPr="00207803" w:rsidRDefault="00A63CD3" w:rsidP="00207803">
            <w:pPr>
              <w:spacing w:after="0" w:line="240" w:lineRule="auto"/>
              <w:rPr>
                <w:rFonts w:ascii="Times New Roman" w:eastAsia="SimSun" w:hAnsi="Times New Roman" w:cs="Times New Roman"/>
                <w:b/>
                <w:bCs/>
                <w:color w:val="000000" w:themeColor="text1"/>
                <w:sz w:val="20"/>
                <w:szCs w:val="20"/>
                <w:lang w:val="en-US" w:eastAsia="zh-CN"/>
              </w:rPr>
            </w:pPr>
            <w:r w:rsidRPr="00207803">
              <w:rPr>
                <w:rFonts w:ascii="Times New Roman" w:eastAsia="SimSun" w:hAnsi="Times New Roman" w:cs="Times New Roman"/>
                <w:b/>
                <w:bCs/>
                <w:color w:val="000000" w:themeColor="text1"/>
                <w:sz w:val="20"/>
                <w:szCs w:val="20"/>
                <w:lang w:val="en-US" w:eastAsia="zh-CN"/>
              </w:rPr>
              <w:t>TOTAL</w:t>
            </w:r>
          </w:p>
        </w:tc>
        <w:tc>
          <w:tcPr>
            <w:tcW w:w="0" w:type="auto"/>
            <w:shd w:val="clear" w:color="auto" w:fill="auto"/>
          </w:tcPr>
          <w:p w14:paraId="2CEA2F0F" w14:textId="77777777" w:rsidR="00A63CD3" w:rsidRPr="00207803" w:rsidRDefault="00A63CD3" w:rsidP="00207803">
            <w:pPr>
              <w:spacing w:after="0" w:line="240" w:lineRule="auto"/>
              <w:rPr>
                <w:rFonts w:ascii="Times New Roman" w:eastAsia="SimSun" w:hAnsi="Times New Roman" w:cs="Times New Roman"/>
                <w:b/>
                <w:bCs/>
                <w:color w:val="000000" w:themeColor="text1"/>
                <w:sz w:val="20"/>
                <w:szCs w:val="20"/>
                <w:lang w:val="en-US" w:eastAsia="zh-CN"/>
              </w:rPr>
            </w:pPr>
            <w:r w:rsidRPr="00207803">
              <w:rPr>
                <w:rFonts w:ascii="Times New Roman" w:eastAsia="SimSun" w:hAnsi="Times New Roman" w:cs="Times New Roman"/>
                <w:b/>
                <w:bCs/>
                <w:color w:val="000000" w:themeColor="text1"/>
                <w:sz w:val="20"/>
                <w:szCs w:val="20"/>
                <w:lang w:val="en-US" w:eastAsia="zh-CN"/>
              </w:rPr>
              <w:t>345</w:t>
            </w:r>
          </w:p>
        </w:tc>
        <w:tc>
          <w:tcPr>
            <w:tcW w:w="0" w:type="auto"/>
            <w:shd w:val="clear" w:color="auto" w:fill="auto"/>
          </w:tcPr>
          <w:p w14:paraId="2F1C1EE1" w14:textId="77777777" w:rsidR="00A63CD3" w:rsidRPr="00207803" w:rsidRDefault="00A63CD3" w:rsidP="00207803">
            <w:pPr>
              <w:spacing w:after="0" w:line="240" w:lineRule="auto"/>
              <w:rPr>
                <w:rFonts w:ascii="Times New Roman" w:eastAsia="SimSun" w:hAnsi="Times New Roman" w:cs="Times New Roman"/>
                <w:b/>
                <w:bCs/>
                <w:color w:val="000000" w:themeColor="text1"/>
                <w:sz w:val="20"/>
                <w:szCs w:val="20"/>
                <w:lang w:val="en-US" w:eastAsia="zh-CN"/>
              </w:rPr>
            </w:pPr>
            <w:r w:rsidRPr="00207803">
              <w:rPr>
                <w:rFonts w:ascii="Times New Roman" w:eastAsia="SimSun" w:hAnsi="Times New Roman" w:cs="Times New Roman"/>
                <w:b/>
                <w:bCs/>
                <w:color w:val="000000" w:themeColor="text1"/>
                <w:sz w:val="20"/>
                <w:szCs w:val="20"/>
                <w:lang w:val="en-US" w:eastAsia="zh-CN"/>
              </w:rPr>
              <w:t>317</w:t>
            </w:r>
          </w:p>
        </w:tc>
      </w:tr>
      <w:tr w:rsidR="00A63CD3" w:rsidRPr="00207803" w14:paraId="6FC290CC" w14:textId="77777777" w:rsidTr="0000060D">
        <w:trPr>
          <w:jc w:val="center"/>
        </w:trPr>
        <w:tc>
          <w:tcPr>
            <w:tcW w:w="0" w:type="auto"/>
            <w:vMerge/>
            <w:shd w:val="clear" w:color="auto" w:fill="auto"/>
          </w:tcPr>
          <w:p w14:paraId="019FEA8D" w14:textId="77777777" w:rsidR="00A63CD3" w:rsidRPr="00207803" w:rsidRDefault="00A63CD3" w:rsidP="00207803">
            <w:pPr>
              <w:spacing w:after="0" w:line="240" w:lineRule="auto"/>
              <w:rPr>
                <w:rFonts w:ascii="Times New Roman" w:eastAsia="SimSun" w:hAnsi="Times New Roman" w:cs="Times New Roman"/>
                <w:b/>
                <w:bCs/>
                <w:color w:val="000000" w:themeColor="text1"/>
                <w:sz w:val="20"/>
                <w:szCs w:val="20"/>
                <w:lang w:val="en-US" w:eastAsia="zh-CN"/>
              </w:rPr>
            </w:pPr>
          </w:p>
        </w:tc>
        <w:tc>
          <w:tcPr>
            <w:tcW w:w="0" w:type="auto"/>
            <w:shd w:val="clear" w:color="auto" w:fill="auto"/>
          </w:tcPr>
          <w:p w14:paraId="6EF5D4BF" w14:textId="77777777" w:rsidR="00A63CD3" w:rsidRPr="00207803" w:rsidRDefault="00A63CD3" w:rsidP="00207803">
            <w:pPr>
              <w:spacing w:after="0" w:line="240" w:lineRule="auto"/>
              <w:rPr>
                <w:rFonts w:ascii="Times New Roman" w:eastAsia="SimSun" w:hAnsi="Times New Roman" w:cs="Times New Roman"/>
                <w:b/>
                <w:bCs/>
                <w:color w:val="000000" w:themeColor="text1"/>
                <w:sz w:val="20"/>
                <w:szCs w:val="20"/>
                <w:lang w:val="en-US" w:eastAsia="zh-CN"/>
              </w:rPr>
            </w:pPr>
            <w:r w:rsidRPr="00207803">
              <w:rPr>
                <w:rFonts w:ascii="Times New Roman" w:eastAsia="SimSun" w:hAnsi="Times New Roman" w:cs="Times New Roman"/>
                <w:b/>
                <w:bCs/>
                <w:color w:val="000000" w:themeColor="text1"/>
                <w:sz w:val="20"/>
                <w:szCs w:val="20"/>
                <w:lang w:val="en-US" w:eastAsia="zh-CN"/>
              </w:rPr>
              <w:t>100.0%</w:t>
            </w:r>
          </w:p>
        </w:tc>
        <w:tc>
          <w:tcPr>
            <w:tcW w:w="0" w:type="auto"/>
            <w:shd w:val="clear" w:color="auto" w:fill="auto"/>
          </w:tcPr>
          <w:p w14:paraId="67EFA610" w14:textId="77777777" w:rsidR="00A63CD3" w:rsidRPr="00207803" w:rsidRDefault="00A63CD3" w:rsidP="00207803">
            <w:pPr>
              <w:spacing w:after="0" w:line="240" w:lineRule="auto"/>
              <w:rPr>
                <w:rFonts w:ascii="Times New Roman" w:eastAsia="SimSun" w:hAnsi="Times New Roman" w:cs="Times New Roman"/>
                <w:b/>
                <w:bCs/>
                <w:color w:val="000000" w:themeColor="text1"/>
                <w:sz w:val="20"/>
                <w:szCs w:val="20"/>
                <w:lang w:val="en-US" w:eastAsia="zh-CN"/>
              </w:rPr>
            </w:pPr>
            <w:r w:rsidRPr="00207803">
              <w:rPr>
                <w:rFonts w:ascii="Times New Roman" w:eastAsia="SimSun" w:hAnsi="Times New Roman" w:cs="Times New Roman"/>
                <w:b/>
                <w:bCs/>
                <w:color w:val="000000" w:themeColor="text1"/>
                <w:sz w:val="20"/>
                <w:szCs w:val="20"/>
                <w:lang w:val="en-US" w:eastAsia="zh-CN"/>
              </w:rPr>
              <w:t>100.0%</w:t>
            </w:r>
          </w:p>
        </w:tc>
      </w:tr>
    </w:tbl>
    <w:p w14:paraId="42506F67" w14:textId="4FE0F330" w:rsidR="00A63CD3" w:rsidRPr="00BE4AF3" w:rsidRDefault="00A63CD3" w:rsidP="00A63CD3">
      <w:pPr>
        <w:spacing w:after="0" w:line="240" w:lineRule="auto"/>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b/>
          <w:color w:val="000000" w:themeColor="text1"/>
          <w:sz w:val="24"/>
          <w:szCs w:val="24"/>
        </w:rPr>
        <w:lastRenderedPageBreak/>
        <w:t>Users’ Satisfaction of Maintenance Aspects of the Landscape Elements in Tourist Centres in the Study Areas.</w:t>
      </w:r>
    </w:p>
    <w:p w14:paraId="22CEA061" w14:textId="77777777" w:rsidR="00A63CD3" w:rsidRDefault="00A63CD3" w:rsidP="00207803">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Findings from Table 4.32 presented the users’ satisfaction of maintenance aspects of the landscape elements in tourist centres in the study areas. The results show that users were generally satisfied with the overall cleanliness and maintenance of these elements. Specifically, with an average index of 4.20 Users’ Satisfaction of Maintenance Indices (USMI), this is on positive side. The results obtained shows strong satisfaction with the cleanliness of tourist centers with USMI of 4.34, while satisfied with the regular upkeep and maintenance of landscape elements had 4.15 USMI, maintenance of vegetation (trees, shrubs, lawns) had 4.07, maintenance of lighting had 4.47 and maintenance of signage and information boards had 4.21. However, areas such as the horticultural excellence and the maintenance of water features received lower satisfaction ratings, with 3.44 and 3.47 respondents, respectively, indicating lower satisfaction. These findings reveal the need for continued efforts to maintain high standards of cleanliness, upkeep, and functionality in all aspects of landscape elements at tourist centers to ensure visitor satisfaction.</w:t>
      </w:r>
    </w:p>
    <w:p w14:paraId="01F34BE2" w14:textId="77777777" w:rsidR="00207803" w:rsidRPr="00BE4AF3" w:rsidRDefault="00207803" w:rsidP="00207803">
      <w:pPr>
        <w:spacing w:after="0" w:line="240" w:lineRule="auto"/>
        <w:jc w:val="both"/>
        <w:rPr>
          <w:rFonts w:ascii="Times New Roman" w:eastAsia="Calibri" w:hAnsi="Times New Roman" w:cs="Times New Roman"/>
          <w:color w:val="000000" w:themeColor="text1"/>
          <w:sz w:val="24"/>
          <w:szCs w:val="24"/>
        </w:rPr>
      </w:pPr>
    </w:p>
    <w:p w14:paraId="6BEB7A88" w14:textId="77777777" w:rsidR="00A63CD3" w:rsidRPr="00207803" w:rsidRDefault="00A63CD3" w:rsidP="00244A2E">
      <w:pPr>
        <w:spacing w:after="0" w:line="240" w:lineRule="auto"/>
        <w:jc w:val="center"/>
        <w:rPr>
          <w:rFonts w:ascii="Times New Roman" w:eastAsia="Calibri" w:hAnsi="Times New Roman" w:cs="Times New Roman"/>
          <w:bCs/>
          <w:color w:val="000000" w:themeColor="text1"/>
          <w:sz w:val="24"/>
          <w:szCs w:val="24"/>
        </w:rPr>
      </w:pPr>
      <w:r w:rsidRPr="00BE4AF3">
        <w:rPr>
          <w:rFonts w:ascii="Times New Roman" w:eastAsia="Calibri" w:hAnsi="Times New Roman" w:cs="Times New Roman"/>
          <w:b/>
          <w:color w:val="000000" w:themeColor="text1"/>
          <w:sz w:val="24"/>
          <w:szCs w:val="24"/>
        </w:rPr>
        <w:t xml:space="preserve">Table 4.32: </w:t>
      </w:r>
      <w:r w:rsidRPr="00207803">
        <w:rPr>
          <w:rFonts w:ascii="Times New Roman" w:eastAsia="Calibri" w:hAnsi="Times New Roman" w:cs="Times New Roman"/>
          <w:bCs/>
          <w:color w:val="000000" w:themeColor="text1"/>
          <w:sz w:val="24"/>
          <w:szCs w:val="24"/>
        </w:rPr>
        <w:t>Users’ Satisfaction of Maintenance Aspects of the Landscape Elements in Tourist Centres in the Study Areas.</w:t>
      </w:r>
    </w:p>
    <w:tbl>
      <w:tblPr>
        <w:tblW w:w="9132" w:type="dxa"/>
        <w:jc w:val="center"/>
        <w:tblLayout w:type="fixed"/>
        <w:tblLook w:val="04A0" w:firstRow="1" w:lastRow="0" w:firstColumn="1" w:lastColumn="0" w:noHBand="0" w:noVBand="1"/>
      </w:tblPr>
      <w:tblGrid>
        <w:gridCol w:w="626"/>
        <w:gridCol w:w="1449"/>
        <w:gridCol w:w="902"/>
        <w:gridCol w:w="733"/>
        <w:gridCol w:w="685"/>
        <w:gridCol w:w="919"/>
        <w:gridCol w:w="1002"/>
        <w:gridCol w:w="1197"/>
        <w:gridCol w:w="720"/>
        <w:gridCol w:w="899"/>
      </w:tblGrid>
      <w:tr w:rsidR="00A63CD3" w:rsidRPr="00207803" w14:paraId="1CE9971A" w14:textId="77777777" w:rsidTr="00244A2E">
        <w:trPr>
          <w:jc w:val="center"/>
        </w:trPr>
        <w:tc>
          <w:tcPr>
            <w:tcW w:w="626" w:type="dxa"/>
            <w:tcBorders>
              <w:top w:val="single" w:sz="18" w:space="0" w:color="auto"/>
              <w:bottom w:val="single" w:sz="8" w:space="0" w:color="auto"/>
            </w:tcBorders>
          </w:tcPr>
          <w:p w14:paraId="43C8B6AE"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S/N</w:t>
            </w:r>
          </w:p>
        </w:tc>
        <w:tc>
          <w:tcPr>
            <w:tcW w:w="1449" w:type="dxa"/>
            <w:tcBorders>
              <w:top w:val="single" w:sz="18" w:space="0" w:color="auto"/>
              <w:bottom w:val="single" w:sz="8" w:space="0" w:color="auto"/>
            </w:tcBorders>
            <w:shd w:val="clear" w:color="auto" w:fill="auto"/>
          </w:tcPr>
          <w:p w14:paraId="0615140C" w14:textId="77777777" w:rsidR="00A63CD3" w:rsidRPr="00207803" w:rsidRDefault="00A63CD3" w:rsidP="00244A2E">
            <w:pPr>
              <w:pStyle w:val="NoSpacing"/>
              <w:jc w:val="left"/>
              <w:rPr>
                <w:rFonts w:ascii="Times New Roman" w:hAnsi="Times New Roman" w:cs="Times New Roman"/>
                <w:color w:val="000000" w:themeColor="text1"/>
                <w:sz w:val="20"/>
                <w:szCs w:val="20"/>
              </w:rPr>
            </w:pPr>
          </w:p>
          <w:p w14:paraId="71AEB3DF" w14:textId="77777777" w:rsidR="00A63CD3" w:rsidRPr="00207803" w:rsidRDefault="00A63CD3" w:rsidP="00244A2E">
            <w:pPr>
              <w:pStyle w:val="NoSpacing"/>
              <w:jc w:val="left"/>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Maintenance aspects of the landscape elements at tourist centres</w:t>
            </w:r>
          </w:p>
        </w:tc>
        <w:tc>
          <w:tcPr>
            <w:tcW w:w="902" w:type="dxa"/>
            <w:tcBorders>
              <w:top w:val="single" w:sz="18" w:space="0" w:color="auto"/>
              <w:bottom w:val="single" w:sz="8" w:space="0" w:color="auto"/>
            </w:tcBorders>
            <w:shd w:val="clear" w:color="auto" w:fill="auto"/>
          </w:tcPr>
          <w:p w14:paraId="563775F6"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Very Dissatisfied (1)</w:t>
            </w:r>
          </w:p>
        </w:tc>
        <w:tc>
          <w:tcPr>
            <w:tcW w:w="733" w:type="dxa"/>
            <w:tcBorders>
              <w:top w:val="single" w:sz="18" w:space="0" w:color="auto"/>
              <w:bottom w:val="single" w:sz="8" w:space="0" w:color="auto"/>
            </w:tcBorders>
            <w:shd w:val="clear" w:color="auto" w:fill="auto"/>
          </w:tcPr>
          <w:p w14:paraId="28B53343"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Dissatisfied (2)</w:t>
            </w:r>
          </w:p>
        </w:tc>
        <w:tc>
          <w:tcPr>
            <w:tcW w:w="685" w:type="dxa"/>
            <w:tcBorders>
              <w:top w:val="single" w:sz="18" w:space="0" w:color="auto"/>
              <w:bottom w:val="single" w:sz="8" w:space="0" w:color="auto"/>
            </w:tcBorders>
            <w:shd w:val="clear" w:color="auto" w:fill="auto"/>
          </w:tcPr>
          <w:p w14:paraId="4A7C6376"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Neutral (3)</w:t>
            </w:r>
          </w:p>
        </w:tc>
        <w:tc>
          <w:tcPr>
            <w:tcW w:w="919" w:type="dxa"/>
            <w:tcBorders>
              <w:top w:val="single" w:sz="18" w:space="0" w:color="auto"/>
              <w:bottom w:val="single" w:sz="8" w:space="0" w:color="auto"/>
            </w:tcBorders>
            <w:shd w:val="clear" w:color="auto" w:fill="auto"/>
          </w:tcPr>
          <w:p w14:paraId="210082B5"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Satisfied       (4)</w:t>
            </w:r>
          </w:p>
        </w:tc>
        <w:tc>
          <w:tcPr>
            <w:tcW w:w="1002" w:type="dxa"/>
            <w:tcBorders>
              <w:top w:val="single" w:sz="18" w:space="0" w:color="auto"/>
              <w:bottom w:val="single" w:sz="8" w:space="0" w:color="auto"/>
            </w:tcBorders>
            <w:shd w:val="clear" w:color="auto" w:fill="auto"/>
          </w:tcPr>
          <w:p w14:paraId="2BA30F41"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Very Satisfied (5)</w:t>
            </w:r>
          </w:p>
        </w:tc>
        <w:tc>
          <w:tcPr>
            <w:tcW w:w="1197" w:type="dxa"/>
            <w:tcBorders>
              <w:top w:val="single" w:sz="18" w:space="0" w:color="auto"/>
              <w:bottom w:val="single" w:sz="8" w:space="0" w:color="auto"/>
            </w:tcBorders>
            <w:shd w:val="clear" w:color="auto" w:fill="auto"/>
          </w:tcPr>
          <w:p w14:paraId="298CFE9E"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Total (Frequency)</w:t>
            </w:r>
          </w:p>
          <w:p w14:paraId="2110AA40"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(n)</w:t>
            </w:r>
          </w:p>
        </w:tc>
        <w:tc>
          <w:tcPr>
            <w:tcW w:w="720" w:type="dxa"/>
            <w:tcBorders>
              <w:top w:val="single" w:sz="18" w:space="0" w:color="auto"/>
              <w:bottom w:val="single" w:sz="8" w:space="0" w:color="auto"/>
            </w:tcBorders>
            <w:shd w:val="clear" w:color="auto" w:fill="auto"/>
          </w:tcPr>
          <w:p w14:paraId="17600B3B"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TWV</w:t>
            </w:r>
          </w:p>
        </w:tc>
        <w:tc>
          <w:tcPr>
            <w:tcW w:w="899" w:type="dxa"/>
            <w:tcBorders>
              <w:top w:val="single" w:sz="18" w:space="0" w:color="auto"/>
              <w:bottom w:val="single" w:sz="8" w:space="0" w:color="auto"/>
            </w:tcBorders>
            <w:shd w:val="clear" w:color="auto" w:fill="auto"/>
          </w:tcPr>
          <w:p w14:paraId="5A9B8FD4"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TWV/n</w:t>
            </w:r>
          </w:p>
        </w:tc>
      </w:tr>
      <w:tr w:rsidR="00A63CD3" w:rsidRPr="00207803" w14:paraId="7ACE3535" w14:textId="77777777" w:rsidTr="00244A2E">
        <w:trPr>
          <w:jc w:val="center"/>
        </w:trPr>
        <w:tc>
          <w:tcPr>
            <w:tcW w:w="626" w:type="dxa"/>
            <w:tcBorders>
              <w:top w:val="single" w:sz="8" w:space="0" w:color="auto"/>
            </w:tcBorders>
          </w:tcPr>
          <w:p w14:paraId="4856872D"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w:t>
            </w:r>
          </w:p>
        </w:tc>
        <w:tc>
          <w:tcPr>
            <w:tcW w:w="1449" w:type="dxa"/>
            <w:tcBorders>
              <w:top w:val="single" w:sz="8" w:space="0" w:color="auto"/>
            </w:tcBorders>
            <w:shd w:val="clear" w:color="auto" w:fill="auto"/>
          </w:tcPr>
          <w:p w14:paraId="3A8CB52C" w14:textId="77777777" w:rsidR="00A63CD3" w:rsidRPr="00207803" w:rsidRDefault="00A63CD3" w:rsidP="00244A2E">
            <w:pPr>
              <w:pStyle w:val="NoSpacing"/>
              <w:jc w:val="left"/>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Accessibility and safety (e.g., well-lit pathways, clear signage)</w:t>
            </w:r>
          </w:p>
        </w:tc>
        <w:tc>
          <w:tcPr>
            <w:tcW w:w="902" w:type="dxa"/>
            <w:tcBorders>
              <w:top w:val="single" w:sz="8" w:space="0" w:color="auto"/>
            </w:tcBorders>
            <w:shd w:val="clear" w:color="auto" w:fill="auto"/>
          </w:tcPr>
          <w:p w14:paraId="430F1B1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w:t>
            </w:r>
          </w:p>
        </w:tc>
        <w:tc>
          <w:tcPr>
            <w:tcW w:w="733" w:type="dxa"/>
            <w:tcBorders>
              <w:top w:val="single" w:sz="8" w:space="0" w:color="auto"/>
            </w:tcBorders>
            <w:shd w:val="clear" w:color="auto" w:fill="auto"/>
          </w:tcPr>
          <w:p w14:paraId="358E635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w:t>
            </w:r>
          </w:p>
        </w:tc>
        <w:tc>
          <w:tcPr>
            <w:tcW w:w="685" w:type="dxa"/>
            <w:tcBorders>
              <w:top w:val="single" w:sz="8" w:space="0" w:color="auto"/>
            </w:tcBorders>
            <w:shd w:val="clear" w:color="auto" w:fill="auto"/>
          </w:tcPr>
          <w:p w14:paraId="32851C34"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w:t>
            </w:r>
          </w:p>
        </w:tc>
        <w:tc>
          <w:tcPr>
            <w:tcW w:w="919" w:type="dxa"/>
            <w:tcBorders>
              <w:top w:val="single" w:sz="8" w:space="0" w:color="auto"/>
            </w:tcBorders>
            <w:shd w:val="clear" w:color="auto" w:fill="auto"/>
          </w:tcPr>
          <w:p w14:paraId="3797C17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w:t>
            </w:r>
          </w:p>
        </w:tc>
        <w:tc>
          <w:tcPr>
            <w:tcW w:w="1002" w:type="dxa"/>
            <w:tcBorders>
              <w:top w:val="single" w:sz="8" w:space="0" w:color="auto"/>
            </w:tcBorders>
            <w:shd w:val="clear" w:color="auto" w:fill="auto"/>
          </w:tcPr>
          <w:p w14:paraId="53E501FD"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317</w:t>
            </w:r>
          </w:p>
        </w:tc>
        <w:tc>
          <w:tcPr>
            <w:tcW w:w="1197" w:type="dxa"/>
            <w:tcBorders>
              <w:top w:val="single" w:sz="8" w:space="0" w:color="auto"/>
            </w:tcBorders>
            <w:shd w:val="clear" w:color="auto" w:fill="auto"/>
          </w:tcPr>
          <w:p w14:paraId="138A1D01"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317</w:t>
            </w:r>
          </w:p>
        </w:tc>
        <w:tc>
          <w:tcPr>
            <w:tcW w:w="720" w:type="dxa"/>
            <w:tcBorders>
              <w:top w:val="single" w:sz="8" w:space="0" w:color="auto"/>
            </w:tcBorders>
            <w:shd w:val="clear" w:color="auto" w:fill="auto"/>
          </w:tcPr>
          <w:p w14:paraId="34877DE4"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1585</w:t>
            </w:r>
          </w:p>
        </w:tc>
        <w:tc>
          <w:tcPr>
            <w:tcW w:w="899" w:type="dxa"/>
            <w:tcBorders>
              <w:top w:val="single" w:sz="8" w:space="0" w:color="auto"/>
            </w:tcBorders>
            <w:shd w:val="clear" w:color="auto" w:fill="auto"/>
          </w:tcPr>
          <w:p w14:paraId="4CF55517"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5.00</w:t>
            </w:r>
          </w:p>
        </w:tc>
      </w:tr>
      <w:tr w:rsidR="00A63CD3" w:rsidRPr="00207803" w14:paraId="0E6FA139" w14:textId="77777777" w:rsidTr="00244A2E">
        <w:trPr>
          <w:jc w:val="center"/>
        </w:trPr>
        <w:tc>
          <w:tcPr>
            <w:tcW w:w="626" w:type="dxa"/>
          </w:tcPr>
          <w:p w14:paraId="53DC3AFF"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2</w:t>
            </w:r>
          </w:p>
        </w:tc>
        <w:tc>
          <w:tcPr>
            <w:tcW w:w="1449" w:type="dxa"/>
            <w:shd w:val="clear" w:color="auto" w:fill="auto"/>
          </w:tcPr>
          <w:p w14:paraId="42D03582" w14:textId="77777777" w:rsidR="00A63CD3" w:rsidRPr="00207803" w:rsidRDefault="00A63CD3" w:rsidP="00244A2E">
            <w:pPr>
              <w:pStyle w:val="NoSpacing"/>
              <w:jc w:val="left"/>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Educational features (e.g., information on plants)</w:t>
            </w:r>
          </w:p>
        </w:tc>
        <w:tc>
          <w:tcPr>
            <w:tcW w:w="902" w:type="dxa"/>
            <w:shd w:val="clear" w:color="auto" w:fill="auto"/>
          </w:tcPr>
          <w:p w14:paraId="48A19325"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w:t>
            </w:r>
          </w:p>
        </w:tc>
        <w:tc>
          <w:tcPr>
            <w:tcW w:w="733" w:type="dxa"/>
            <w:shd w:val="clear" w:color="auto" w:fill="auto"/>
          </w:tcPr>
          <w:p w14:paraId="7996C0E3"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12</w:t>
            </w:r>
          </w:p>
        </w:tc>
        <w:tc>
          <w:tcPr>
            <w:tcW w:w="685" w:type="dxa"/>
            <w:shd w:val="clear" w:color="auto" w:fill="auto"/>
          </w:tcPr>
          <w:p w14:paraId="2772CB7D"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w:t>
            </w:r>
          </w:p>
        </w:tc>
        <w:tc>
          <w:tcPr>
            <w:tcW w:w="919" w:type="dxa"/>
            <w:shd w:val="clear" w:color="auto" w:fill="auto"/>
          </w:tcPr>
          <w:p w14:paraId="79F53A2C"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123</w:t>
            </w:r>
          </w:p>
        </w:tc>
        <w:tc>
          <w:tcPr>
            <w:tcW w:w="1002" w:type="dxa"/>
            <w:shd w:val="clear" w:color="auto" w:fill="auto"/>
          </w:tcPr>
          <w:p w14:paraId="4FC599ED"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182</w:t>
            </w:r>
          </w:p>
        </w:tc>
        <w:tc>
          <w:tcPr>
            <w:tcW w:w="1197" w:type="dxa"/>
            <w:shd w:val="clear" w:color="auto" w:fill="auto"/>
          </w:tcPr>
          <w:p w14:paraId="6AAF015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317</w:t>
            </w:r>
          </w:p>
        </w:tc>
        <w:tc>
          <w:tcPr>
            <w:tcW w:w="720" w:type="dxa"/>
            <w:shd w:val="clear" w:color="auto" w:fill="auto"/>
          </w:tcPr>
          <w:p w14:paraId="56D29A07"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1426</w:t>
            </w:r>
          </w:p>
        </w:tc>
        <w:tc>
          <w:tcPr>
            <w:tcW w:w="899" w:type="dxa"/>
            <w:shd w:val="clear" w:color="auto" w:fill="auto"/>
          </w:tcPr>
          <w:p w14:paraId="686BE651"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4.50</w:t>
            </w:r>
          </w:p>
        </w:tc>
      </w:tr>
      <w:tr w:rsidR="00A63CD3" w:rsidRPr="00207803" w14:paraId="46167A96" w14:textId="77777777" w:rsidTr="00244A2E">
        <w:trPr>
          <w:jc w:val="center"/>
        </w:trPr>
        <w:tc>
          <w:tcPr>
            <w:tcW w:w="626" w:type="dxa"/>
          </w:tcPr>
          <w:p w14:paraId="6B88BB7B"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w:t>
            </w:r>
          </w:p>
        </w:tc>
        <w:tc>
          <w:tcPr>
            <w:tcW w:w="1449" w:type="dxa"/>
            <w:shd w:val="clear" w:color="auto" w:fill="auto"/>
          </w:tcPr>
          <w:p w14:paraId="778D4B3A" w14:textId="77777777" w:rsidR="00A63CD3" w:rsidRPr="00207803" w:rsidRDefault="00A63CD3" w:rsidP="00244A2E">
            <w:pPr>
              <w:pStyle w:val="NoSpacing"/>
              <w:jc w:val="left"/>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Maintenance of lighting</w:t>
            </w:r>
          </w:p>
        </w:tc>
        <w:tc>
          <w:tcPr>
            <w:tcW w:w="902" w:type="dxa"/>
            <w:shd w:val="clear" w:color="auto" w:fill="auto"/>
          </w:tcPr>
          <w:p w14:paraId="028BDF7E"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w:t>
            </w:r>
          </w:p>
        </w:tc>
        <w:tc>
          <w:tcPr>
            <w:tcW w:w="733" w:type="dxa"/>
            <w:shd w:val="clear" w:color="auto" w:fill="auto"/>
          </w:tcPr>
          <w:p w14:paraId="4B099C25"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5</w:t>
            </w:r>
          </w:p>
        </w:tc>
        <w:tc>
          <w:tcPr>
            <w:tcW w:w="685" w:type="dxa"/>
            <w:shd w:val="clear" w:color="auto" w:fill="auto"/>
          </w:tcPr>
          <w:p w14:paraId="4AB81A33"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10</w:t>
            </w:r>
          </w:p>
        </w:tc>
        <w:tc>
          <w:tcPr>
            <w:tcW w:w="919" w:type="dxa"/>
            <w:shd w:val="clear" w:color="auto" w:fill="auto"/>
          </w:tcPr>
          <w:p w14:paraId="13D1F07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132</w:t>
            </w:r>
          </w:p>
        </w:tc>
        <w:tc>
          <w:tcPr>
            <w:tcW w:w="1002" w:type="dxa"/>
            <w:shd w:val="clear" w:color="auto" w:fill="auto"/>
          </w:tcPr>
          <w:p w14:paraId="7801F7B0"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170</w:t>
            </w:r>
          </w:p>
        </w:tc>
        <w:tc>
          <w:tcPr>
            <w:tcW w:w="1197" w:type="dxa"/>
            <w:shd w:val="clear" w:color="auto" w:fill="auto"/>
          </w:tcPr>
          <w:p w14:paraId="7E881691"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317</w:t>
            </w:r>
          </w:p>
        </w:tc>
        <w:tc>
          <w:tcPr>
            <w:tcW w:w="720" w:type="dxa"/>
            <w:shd w:val="clear" w:color="auto" w:fill="auto"/>
          </w:tcPr>
          <w:p w14:paraId="45D6ADCA"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1418</w:t>
            </w:r>
          </w:p>
        </w:tc>
        <w:tc>
          <w:tcPr>
            <w:tcW w:w="899" w:type="dxa"/>
            <w:shd w:val="clear" w:color="auto" w:fill="auto"/>
          </w:tcPr>
          <w:p w14:paraId="57D5F4A0"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4.47</w:t>
            </w:r>
          </w:p>
        </w:tc>
      </w:tr>
      <w:tr w:rsidR="00A63CD3" w:rsidRPr="00207803" w14:paraId="32913010" w14:textId="77777777" w:rsidTr="00244A2E">
        <w:trPr>
          <w:jc w:val="center"/>
        </w:trPr>
        <w:tc>
          <w:tcPr>
            <w:tcW w:w="626" w:type="dxa"/>
          </w:tcPr>
          <w:p w14:paraId="6769ABE0"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4</w:t>
            </w:r>
          </w:p>
        </w:tc>
        <w:tc>
          <w:tcPr>
            <w:tcW w:w="1449" w:type="dxa"/>
            <w:shd w:val="clear" w:color="auto" w:fill="auto"/>
          </w:tcPr>
          <w:p w14:paraId="5BF392FB" w14:textId="77777777" w:rsidR="00A63CD3" w:rsidRPr="00207803" w:rsidRDefault="00A63CD3" w:rsidP="00244A2E">
            <w:pPr>
              <w:pStyle w:val="NoSpacing"/>
              <w:jc w:val="left"/>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Condition and functionality of seating areas</w:t>
            </w:r>
          </w:p>
        </w:tc>
        <w:tc>
          <w:tcPr>
            <w:tcW w:w="902" w:type="dxa"/>
            <w:shd w:val="clear" w:color="auto" w:fill="auto"/>
          </w:tcPr>
          <w:p w14:paraId="2A5A8286"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w:t>
            </w:r>
          </w:p>
        </w:tc>
        <w:tc>
          <w:tcPr>
            <w:tcW w:w="733" w:type="dxa"/>
            <w:shd w:val="clear" w:color="auto" w:fill="auto"/>
          </w:tcPr>
          <w:p w14:paraId="6D4E1243"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w:t>
            </w:r>
          </w:p>
        </w:tc>
        <w:tc>
          <w:tcPr>
            <w:tcW w:w="685" w:type="dxa"/>
            <w:shd w:val="clear" w:color="auto" w:fill="auto"/>
          </w:tcPr>
          <w:p w14:paraId="671F8E65"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45</w:t>
            </w:r>
          </w:p>
        </w:tc>
        <w:tc>
          <w:tcPr>
            <w:tcW w:w="919" w:type="dxa"/>
            <w:shd w:val="clear" w:color="auto" w:fill="auto"/>
          </w:tcPr>
          <w:p w14:paraId="40A6B4D9"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88</w:t>
            </w:r>
          </w:p>
        </w:tc>
        <w:tc>
          <w:tcPr>
            <w:tcW w:w="1002" w:type="dxa"/>
            <w:shd w:val="clear" w:color="auto" w:fill="auto"/>
          </w:tcPr>
          <w:p w14:paraId="5674C1D9"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184</w:t>
            </w:r>
          </w:p>
        </w:tc>
        <w:tc>
          <w:tcPr>
            <w:tcW w:w="1197" w:type="dxa"/>
            <w:shd w:val="clear" w:color="auto" w:fill="auto"/>
          </w:tcPr>
          <w:p w14:paraId="583D7394"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317</w:t>
            </w:r>
          </w:p>
        </w:tc>
        <w:tc>
          <w:tcPr>
            <w:tcW w:w="720" w:type="dxa"/>
            <w:shd w:val="clear" w:color="auto" w:fill="auto"/>
          </w:tcPr>
          <w:p w14:paraId="4887D520"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1407</w:t>
            </w:r>
          </w:p>
        </w:tc>
        <w:tc>
          <w:tcPr>
            <w:tcW w:w="899" w:type="dxa"/>
            <w:shd w:val="clear" w:color="auto" w:fill="auto"/>
          </w:tcPr>
          <w:p w14:paraId="1E07F6BB"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4.44</w:t>
            </w:r>
          </w:p>
        </w:tc>
      </w:tr>
      <w:tr w:rsidR="00A63CD3" w:rsidRPr="00207803" w14:paraId="35EC2E58" w14:textId="77777777" w:rsidTr="00244A2E">
        <w:trPr>
          <w:jc w:val="center"/>
        </w:trPr>
        <w:tc>
          <w:tcPr>
            <w:tcW w:w="626" w:type="dxa"/>
          </w:tcPr>
          <w:p w14:paraId="06ED9E46"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5</w:t>
            </w:r>
          </w:p>
        </w:tc>
        <w:tc>
          <w:tcPr>
            <w:tcW w:w="1449" w:type="dxa"/>
            <w:shd w:val="clear" w:color="auto" w:fill="auto"/>
          </w:tcPr>
          <w:p w14:paraId="64DD8957" w14:textId="77777777" w:rsidR="00A63CD3" w:rsidRPr="00207803" w:rsidRDefault="00A63CD3" w:rsidP="00244A2E">
            <w:pPr>
              <w:pStyle w:val="NoSpacing"/>
              <w:jc w:val="left"/>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Overall cleanliness and tidiness</w:t>
            </w:r>
          </w:p>
        </w:tc>
        <w:tc>
          <w:tcPr>
            <w:tcW w:w="902" w:type="dxa"/>
            <w:shd w:val="clear" w:color="auto" w:fill="auto"/>
          </w:tcPr>
          <w:p w14:paraId="21EACB5D"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w:t>
            </w:r>
          </w:p>
        </w:tc>
        <w:tc>
          <w:tcPr>
            <w:tcW w:w="733" w:type="dxa"/>
            <w:shd w:val="clear" w:color="auto" w:fill="auto"/>
          </w:tcPr>
          <w:p w14:paraId="478872D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w:t>
            </w:r>
          </w:p>
        </w:tc>
        <w:tc>
          <w:tcPr>
            <w:tcW w:w="685" w:type="dxa"/>
            <w:shd w:val="clear" w:color="auto" w:fill="auto"/>
          </w:tcPr>
          <w:p w14:paraId="58A9B96E"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45</w:t>
            </w:r>
          </w:p>
        </w:tc>
        <w:tc>
          <w:tcPr>
            <w:tcW w:w="919" w:type="dxa"/>
            <w:shd w:val="clear" w:color="auto" w:fill="auto"/>
          </w:tcPr>
          <w:p w14:paraId="023B945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111</w:t>
            </w:r>
          </w:p>
        </w:tc>
        <w:tc>
          <w:tcPr>
            <w:tcW w:w="1002" w:type="dxa"/>
            <w:shd w:val="clear" w:color="auto" w:fill="auto"/>
          </w:tcPr>
          <w:p w14:paraId="42B5BBB8"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158</w:t>
            </w:r>
          </w:p>
        </w:tc>
        <w:tc>
          <w:tcPr>
            <w:tcW w:w="1197" w:type="dxa"/>
            <w:shd w:val="clear" w:color="auto" w:fill="auto"/>
          </w:tcPr>
          <w:p w14:paraId="50EF68F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317</w:t>
            </w:r>
          </w:p>
        </w:tc>
        <w:tc>
          <w:tcPr>
            <w:tcW w:w="720" w:type="dxa"/>
            <w:shd w:val="clear" w:color="auto" w:fill="auto"/>
          </w:tcPr>
          <w:p w14:paraId="0B99FA5D"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1375</w:t>
            </w:r>
          </w:p>
        </w:tc>
        <w:tc>
          <w:tcPr>
            <w:tcW w:w="899" w:type="dxa"/>
            <w:shd w:val="clear" w:color="auto" w:fill="auto"/>
          </w:tcPr>
          <w:p w14:paraId="2D266B39"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4.34</w:t>
            </w:r>
          </w:p>
        </w:tc>
      </w:tr>
      <w:tr w:rsidR="00A63CD3" w:rsidRPr="00207803" w14:paraId="291FE601" w14:textId="77777777" w:rsidTr="00244A2E">
        <w:trPr>
          <w:jc w:val="center"/>
        </w:trPr>
        <w:tc>
          <w:tcPr>
            <w:tcW w:w="626" w:type="dxa"/>
          </w:tcPr>
          <w:p w14:paraId="40BAA821"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6</w:t>
            </w:r>
          </w:p>
        </w:tc>
        <w:tc>
          <w:tcPr>
            <w:tcW w:w="1449" w:type="dxa"/>
            <w:shd w:val="clear" w:color="auto" w:fill="auto"/>
          </w:tcPr>
          <w:p w14:paraId="53D0E2BD" w14:textId="77777777" w:rsidR="00A63CD3" w:rsidRPr="00207803" w:rsidRDefault="00A63CD3" w:rsidP="00244A2E">
            <w:pPr>
              <w:pStyle w:val="NoSpacing"/>
              <w:jc w:val="left"/>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Condition and functionality of landscape element</w:t>
            </w:r>
          </w:p>
        </w:tc>
        <w:tc>
          <w:tcPr>
            <w:tcW w:w="902" w:type="dxa"/>
            <w:shd w:val="clear" w:color="auto" w:fill="auto"/>
          </w:tcPr>
          <w:p w14:paraId="0F9743F4"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w:t>
            </w:r>
          </w:p>
        </w:tc>
        <w:tc>
          <w:tcPr>
            <w:tcW w:w="733" w:type="dxa"/>
            <w:shd w:val="clear" w:color="auto" w:fill="auto"/>
          </w:tcPr>
          <w:p w14:paraId="3916B29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45</w:t>
            </w:r>
          </w:p>
        </w:tc>
        <w:tc>
          <w:tcPr>
            <w:tcW w:w="685" w:type="dxa"/>
            <w:shd w:val="clear" w:color="auto" w:fill="auto"/>
          </w:tcPr>
          <w:p w14:paraId="36CD5718"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12</w:t>
            </w:r>
          </w:p>
        </w:tc>
        <w:tc>
          <w:tcPr>
            <w:tcW w:w="919" w:type="dxa"/>
            <w:shd w:val="clear" w:color="auto" w:fill="auto"/>
          </w:tcPr>
          <w:p w14:paraId="7E92F534"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56</w:t>
            </w:r>
          </w:p>
        </w:tc>
        <w:tc>
          <w:tcPr>
            <w:tcW w:w="1002" w:type="dxa"/>
            <w:shd w:val="clear" w:color="auto" w:fill="auto"/>
          </w:tcPr>
          <w:p w14:paraId="66D5C2A6"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204</w:t>
            </w:r>
          </w:p>
        </w:tc>
        <w:tc>
          <w:tcPr>
            <w:tcW w:w="1197" w:type="dxa"/>
            <w:shd w:val="clear" w:color="auto" w:fill="auto"/>
          </w:tcPr>
          <w:p w14:paraId="319956C3"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317</w:t>
            </w:r>
          </w:p>
        </w:tc>
        <w:tc>
          <w:tcPr>
            <w:tcW w:w="720" w:type="dxa"/>
            <w:shd w:val="clear" w:color="auto" w:fill="auto"/>
          </w:tcPr>
          <w:p w14:paraId="62A2455D"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1370</w:t>
            </w:r>
          </w:p>
        </w:tc>
        <w:tc>
          <w:tcPr>
            <w:tcW w:w="899" w:type="dxa"/>
            <w:shd w:val="clear" w:color="auto" w:fill="auto"/>
          </w:tcPr>
          <w:p w14:paraId="064BE86A"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4.32</w:t>
            </w:r>
          </w:p>
        </w:tc>
      </w:tr>
      <w:tr w:rsidR="00A63CD3" w:rsidRPr="00207803" w14:paraId="628399B8" w14:textId="77777777" w:rsidTr="00244A2E">
        <w:trPr>
          <w:jc w:val="center"/>
        </w:trPr>
        <w:tc>
          <w:tcPr>
            <w:tcW w:w="626" w:type="dxa"/>
          </w:tcPr>
          <w:p w14:paraId="47C77061"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7</w:t>
            </w:r>
          </w:p>
        </w:tc>
        <w:tc>
          <w:tcPr>
            <w:tcW w:w="1449" w:type="dxa"/>
            <w:shd w:val="clear" w:color="auto" w:fill="auto"/>
          </w:tcPr>
          <w:p w14:paraId="492F2609" w14:textId="77777777" w:rsidR="00A63CD3" w:rsidRPr="00207803" w:rsidRDefault="00A63CD3" w:rsidP="00244A2E">
            <w:pPr>
              <w:pStyle w:val="NoSpacing"/>
              <w:jc w:val="left"/>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Landscaping aesthetics</w:t>
            </w:r>
          </w:p>
        </w:tc>
        <w:tc>
          <w:tcPr>
            <w:tcW w:w="902" w:type="dxa"/>
            <w:shd w:val="clear" w:color="auto" w:fill="auto"/>
          </w:tcPr>
          <w:p w14:paraId="30D2F738"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2</w:t>
            </w:r>
          </w:p>
        </w:tc>
        <w:tc>
          <w:tcPr>
            <w:tcW w:w="733" w:type="dxa"/>
            <w:shd w:val="clear" w:color="auto" w:fill="auto"/>
          </w:tcPr>
          <w:p w14:paraId="2862F1EB"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24</w:t>
            </w:r>
          </w:p>
        </w:tc>
        <w:tc>
          <w:tcPr>
            <w:tcW w:w="685" w:type="dxa"/>
            <w:shd w:val="clear" w:color="auto" w:fill="auto"/>
          </w:tcPr>
          <w:p w14:paraId="76E77E4A"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34</w:t>
            </w:r>
          </w:p>
        </w:tc>
        <w:tc>
          <w:tcPr>
            <w:tcW w:w="919" w:type="dxa"/>
            <w:shd w:val="clear" w:color="auto" w:fill="auto"/>
          </w:tcPr>
          <w:p w14:paraId="29E4C66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89</w:t>
            </w:r>
          </w:p>
        </w:tc>
        <w:tc>
          <w:tcPr>
            <w:tcW w:w="1002" w:type="dxa"/>
            <w:shd w:val="clear" w:color="auto" w:fill="auto"/>
          </w:tcPr>
          <w:p w14:paraId="489B6DD9"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168</w:t>
            </w:r>
          </w:p>
        </w:tc>
        <w:tc>
          <w:tcPr>
            <w:tcW w:w="1197" w:type="dxa"/>
            <w:shd w:val="clear" w:color="auto" w:fill="auto"/>
          </w:tcPr>
          <w:p w14:paraId="0DD20C48"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317</w:t>
            </w:r>
          </w:p>
        </w:tc>
        <w:tc>
          <w:tcPr>
            <w:tcW w:w="720" w:type="dxa"/>
            <w:shd w:val="clear" w:color="auto" w:fill="auto"/>
          </w:tcPr>
          <w:p w14:paraId="4E2DCF97"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1348</w:t>
            </w:r>
          </w:p>
        </w:tc>
        <w:tc>
          <w:tcPr>
            <w:tcW w:w="899" w:type="dxa"/>
            <w:shd w:val="clear" w:color="auto" w:fill="auto"/>
          </w:tcPr>
          <w:p w14:paraId="4E81BEDA"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4.25</w:t>
            </w:r>
          </w:p>
        </w:tc>
      </w:tr>
      <w:tr w:rsidR="00A63CD3" w:rsidRPr="00207803" w14:paraId="3B612EA2" w14:textId="77777777" w:rsidTr="00244A2E">
        <w:trPr>
          <w:jc w:val="center"/>
        </w:trPr>
        <w:tc>
          <w:tcPr>
            <w:tcW w:w="626" w:type="dxa"/>
          </w:tcPr>
          <w:p w14:paraId="6DAD1097"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8</w:t>
            </w:r>
          </w:p>
        </w:tc>
        <w:tc>
          <w:tcPr>
            <w:tcW w:w="1449" w:type="dxa"/>
            <w:shd w:val="clear" w:color="auto" w:fill="auto"/>
          </w:tcPr>
          <w:p w14:paraId="23626E83" w14:textId="77777777" w:rsidR="00A63CD3" w:rsidRPr="00207803" w:rsidRDefault="00A63CD3" w:rsidP="00244A2E">
            <w:pPr>
              <w:pStyle w:val="NoSpacing"/>
              <w:jc w:val="left"/>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Space for sport and recreation</w:t>
            </w:r>
          </w:p>
        </w:tc>
        <w:tc>
          <w:tcPr>
            <w:tcW w:w="902" w:type="dxa"/>
            <w:shd w:val="clear" w:color="auto" w:fill="auto"/>
          </w:tcPr>
          <w:p w14:paraId="12366299"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w:t>
            </w:r>
          </w:p>
        </w:tc>
        <w:tc>
          <w:tcPr>
            <w:tcW w:w="733" w:type="dxa"/>
            <w:shd w:val="clear" w:color="auto" w:fill="auto"/>
          </w:tcPr>
          <w:p w14:paraId="4B71343D"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w:t>
            </w:r>
          </w:p>
        </w:tc>
        <w:tc>
          <w:tcPr>
            <w:tcW w:w="685" w:type="dxa"/>
            <w:shd w:val="clear" w:color="auto" w:fill="auto"/>
          </w:tcPr>
          <w:p w14:paraId="50EDEBE4"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56</w:t>
            </w:r>
          </w:p>
        </w:tc>
        <w:tc>
          <w:tcPr>
            <w:tcW w:w="919" w:type="dxa"/>
            <w:shd w:val="clear" w:color="auto" w:fill="auto"/>
          </w:tcPr>
          <w:p w14:paraId="527F5A9A"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130</w:t>
            </w:r>
          </w:p>
        </w:tc>
        <w:tc>
          <w:tcPr>
            <w:tcW w:w="1002" w:type="dxa"/>
            <w:shd w:val="clear" w:color="auto" w:fill="auto"/>
          </w:tcPr>
          <w:p w14:paraId="7AC39870"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131</w:t>
            </w:r>
          </w:p>
        </w:tc>
        <w:tc>
          <w:tcPr>
            <w:tcW w:w="1197" w:type="dxa"/>
            <w:shd w:val="clear" w:color="auto" w:fill="auto"/>
          </w:tcPr>
          <w:p w14:paraId="3CBC005E"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317</w:t>
            </w:r>
          </w:p>
        </w:tc>
        <w:tc>
          <w:tcPr>
            <w:tcW w:w="720" w:type="dxa"/>
            <w:shd w:val="clear" w:color="auto" w:fill="auto"/>
          </w:tcPr>
          <w:p w14:paraId="1366DD69"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1343</w:t>
            </w:r>
          </w:p>
        </w:tc>
        <w:tc>
          <w:tcPr>
            <w:tcW w:w="899" w:type="dxa"/>
            <w:shd w:val="clear" w:color="auto" w:fill="auto"/>
          </w:tcPr>
          <w:p w14:paraId="6C48AEA7"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4.24</w:t>
            </w:r>
          </w:p>
        </w:tc>
      </w:tr>
      <w:tr w:rsidR="00A63CD3" w:rsidRPr="00207803" w14:paraId="200EBB4F" w14:textId="77777777" w:rsidTr="00244A2E">
        <w:trPr>
          <w:jc w:val="center"/>
        </w:trPr>
        <w:tc>
          <w:tcPr>
            <w:tcW w:w="626" w:type="dxa"/>
          </w:tcPr>
          <w:p w14:paraId="1A46E155"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9</w:t>
            </w:r>
          </w:p>
        </w:tc>
        <w:tc>
          <w:tcPr>
            <w:tcW w:w="1449" w:type="dxa"/>
            <w:shd w:val="clear" w:color="auto" w:fill="auto"/>
          </w:tcPr>
          <w:p w14:paraId="2C3F439C" w14:textId="77777777" w:rsidR="00A63CD3" w:rsidRPr="00207803" w:rsidRDefault="00A63CD3" w:rsidP="00244A2E">
            <w:pPr>
              <w:pStyle w:val="NoSpacing"/>
              <w:jc w:val="left"/>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Maintenance of signage and information boards</w:t>
            </w:r>
          </w:p>
        </w:tc>
        <w:tc>
          <w:tcPr>
            <w:tcW w:w="902" w:type="dxa"/>
            <w:shd w:val="clear" w:color="auto" w:fill="auto"/>
          </w:tcPr>
          <w:p w14:paraId="12118753"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w:t>
            </w:r>
          </w:p>
        </w:tc>
        <w:tc>
          <w:tcPr>
            <w:tcW w:w="733" w:type="dxa"/>
            <w:shd w:val="clear" w:color="auto" w:fill="auto"/>
          </w:tcPr>
          <w:p w14:paraId="458131DA"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w:t>
            </w:r>
          </w:p>
        </w:tc>
        <w:tc>
          <w:tcPr>
            <w:tcW w:w="685" w:type="dxa"/>
            <w:shd w:val="clear" w:color="auto" w:fill="auto"/>
          </w:tcPr>
          <w:p w14:paraId="0862429A"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90</w:t>
            </w:r>
          </w:p>
        </w:tc>
        <w:tc>
          <w:tcPr>
            <w:tcW w:w="919" w:type="dxa"/>
            <w:shd w:val="clear" w:color="auto" w:fill="auto"/>
          </w:tcPr>
          <w:p w14:paraId="3CA1CF95"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65</w:t>
            </w:r>
          </w:p>
        </w:tc>
        <w:tc>
          <w:tcPr>
            <w:tcW w:w="1002" w:type="dxa"/>
            <w:shd w:val="clear" w:color="auto" w:fill="auto"/>
          </w:tcPr>
          <w:p w14:paraId="26A56577"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161</w:t>
            </w:r>
          </w:p>
        </w:tc>
        <w:tc>
          <w:tcPr>
            <w:tcW w:w="1197" w:type="dxa"/>
            <w:shd w:val="clear" w:color="auto" w:fill="auto"/>
          </w:tcPr>
          <w:p w14:paraId="3232540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317</w:t>
            </w:r>
          </w:p>
        </w:tc>
        <w:tc>
          <w:tcPr>
            <w:tcW w:w="720" w:type="dxa"/>
            <w:shd w:val="clear" w:color="auto" w:fill="auto"/>
          </w:tcPr>
          <w:p w14:paraId="4FCD9908"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1336</w:t>
            </w:r>
          </w:p>
        </w:tc>
        <w:tc>
          <w:tcPr>
            <w:tcW w:w="899" w:type="dxa"/>
            <w:shd w:val="clear" w:color="auto" w:fill="auto"/>
          </w:tcPr>
          <w:p w14:paraId="1D74AC9D"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4.21</w:t>
            </w:r>
          </w:p>
        </w:tc>
      </w:tr>
      <w:tr w:rsidR="00A63CD3" w:rsidRPr="00207803" w14:paraId="3695F763" w14:textId="77777777" w:rsidTr="00244A2E">
        <w:trPr>
          <w:jc w:val="center"/>
        </w:trPr>
        <w:tc>
          <w:tcPr>
            <w:tcW w:w="626" w:type="dxa"/>
          </w:tcPr>
          <w:p w14:paraId="703488FB"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10</w:t>
            </w:r>
          </w:p>
        </w:tc>
        <w:tc>
          <w:tcPr>
            <w:tcW w:w="1449" w:type="dxa"/>
            <w:shd w:val="clear" w:color="auto" w:fill="auto"/>
          </w:tcPr>
          <w:p w14:paraId="2A7809BC" w14:textId="77777777" w:rsidR="00A63CD3" w:rsidRPr="00207803" w:rsidRDefault="00A63CD3" w:rsidP="00244A2E">
            <w:pPr>
              <w:pStyle w:val="NoSpacing"/>
              <w:jc w:val="left"/>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 xml:space="preserve">Leisure gardening </w:t>
            </w:r>
            <w:r w:rsidRPr="00207803">
              <w:rPr>
                <w:rFonts w:ascii="Times New Roman" w:hAnsi="Times New Roman" w:cs="Times New Roman"/>
                <w:color w:val="000000" w:themeColor="text1"/>
                <w:sz w:val="20"/>
                <w:szCs w:val="20"/>
              </w:rPr>
              <w:lastRenderedPageBreak/>
              <w:t>spaces</w:t>
            </w:r>
          </w:p>
        </w:tc>
        <w:tc>
          <w:tcPr>
            <w:tcW w:w="902" w:type="dxa"/>
            <w:shd w:val="clear" w:color="auto" w:fill="auto"/>
          </w:tcPr>
          <w:p w14:paraId="5A1A3136"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lastRenderedPageBreak/>
              <w:t>-</w:t>
            </w:r>
          </w:p>
        </w:tc>
        <w:tc>
          <w:tcPr>
            <w:tcW w:w="733" w:type="dxa"/>
            <w:shd w:val="clear" w:color="auto" w:fill="auto"/>
          </w:tcPr>
          <w:p w14:paraId="39DEBC2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w:t>
            </w:r>
          </w:p>
        </w:tc>
        <w:tc>
          <w:tcPr>
            <w:tcW w:w="685" w:type="dxa"/>
            <w:shd w:val="clear" w:color="auto" w:fill="auto"/>
          </w:tcPr>
          <w:p w14:paraId="30E44430"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97</w:t>
            </w:r>
          </w:p>
        </w:tc>
        <w:tc>
          <w:tcPr>
            <w:tcW w:w="919" w:type="dxa"/>
            <w:shd w:val="clear" w:color="auto" w:fill="auto"/>
          </w:tcPr>
          <w:p w14:paraId="4018A520"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56</w:t>
            </w:r>
          </w:p>
        </w:tc>
        <w:tc>
          <w:tcPr>
            <w:tcW w:w="1002" w:type="dxa"/>
            <w:shd w:val="clear" w:color="auto" w:fill="auto"/>
          </w:tcPr>
          <w:p w14:paraId="0C83A59A"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164</w:t>
            </w:r>
          </w:p>
        </w:tc>
        <w:tc>
          <w:tcPr>
            <w:tcW w:w="1197" w:type="dxa"/>
            <w:shd w:val="clear" w:color="auto" w:fill="auto"/>
          </w:tcPr>
          <w:p w14:paraId="3174CAC8"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317</w:t>
            </w:r>
          </w:p>
        </w:tc>
        <w:tc>
          <w:tcPr>
            <w:tcW w:w="720" w:type="dxa"/>
            <w:shd w:val="clear" w:color="auto" w:fill="auto"/>
          </w:tcPr>
          <w:p w14:paraId="68941938"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1335</w:t>
            </w:r>
          </w:p>
        </w:tc>
        <w:tc>
          <w:tcPr>
            <w:tcW w:w="899" w:type="dxa"/>
            <w:shd w:val="clear" w:color="auto" w:fill="auto"/>
          </w:tcPr>
          <w:p w14:paraId="14986CE3"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4.21</w:t>
            </w:r>
          </w:p>
        </w:tc>
      </w:tr>
      <w:tr w:rsidR="00A63CD3" w:rsidRPr="00207803" w14:paraId="53A25B75" w14:textId="77777777" w:rsidTr="00244A2E">
        <w:trPr>
          <w:jc w:val="center"/>
        </w:trPr>
        <w:tc>
          <w:tcPr>
            <w:tcW w:w="626" w:type="dxa"/>
          </w:tcPr>
          <w:p w14:paraId="32407046"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11</w:t>
            </w:r>
          </w:p>
        </w:tc>
        <w:tc>
          <w:tcPr>
            <w:tcW w:w="1449" w:type="dxa"/>
            <w:shd w:val="clear" w:color="auto" w:fill="auto"/>
          </w:tcPr>
          <w:p w14:paraId="6D200911" w14:textId="77777777" w:rsidR="00A63CD3" w:rsidRPr="00207803" w:rsidRDefault="00A63CD3" w:rsidP="00244A2E">
            <w:pPr>
              <w:pStyle w:val="NoSpacing"/>
              <w:jc w:val="left"/>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Regular upkeep and maintenance of landscape elements</w:t>
            </w:r>
          </w:p>
        </w:tc>
        <w:tc>
          <w:tcPr>
            <w:tcW w:w="902" w:type="dxa"/>
            <w:shd w:val="clear" w:color="auto" w:fill="auto"/>
          </w:tcPr>
          <w:p w14:paraId="0108B0A3"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w:t>
            </w:r>
          </w:p>
        </w:tc>
        <w:tc>
          <w:tcPr>
            <w:tcW w:w="733" w:type="dxa"/>
            <w:shd w:val="clear" w:color="auto" w:fill="auto"/>
          </w:tcPr>
          <w:p w14:paraId="456D2093"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12</w:t>
            </w:r>
          </w:p>
        </w:tc>
        <w:tc>
          <w:tcPr>
            <w:tcW w:w="685" w:type="dxa"/>
            <w:shd w:val="clear" w:color="auto" w:fill="auto"/>
          </w:tcPr>
          <w:p w14:paraId="06878C8F"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55</w:t>
            </w:r>
          </w:p>
        </w:tc>
        <w:tc>
          <w:tcPr>
            <w:tcW w:w="919" w:type="dxa"/>
            <w:shd w:val="clear" w:color="auto" w:fill="auto"/>
          </w:tcPr>
          <w:p w14:paraId="1928112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123</w:t>
            </w:r>
          </w:p>
        </w:tc>
        <w:tc>
          <w:tcPr>
            <w:tcW w:w="1002" w:type="dxa"/>
            <w:shd w:val="clear" w:color="auto" w:fill="auto"/>
          </w:tcPr>
          <w:p w14:paraId="31260E4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127</w:t>
            </w:r>
          </w:p>
        </w:tc>
        <w:tc>
          <w:tcPr>
            <w:tcW w:w="1197" w:type="dxa"/>
            <w:shd w:val="clear" w:color="auto" w:fill="auto"/>
          </w:tcPr>
          <w:p w14:paraId="1BFDC9B4"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317</w:t>
            </w:r>
          </w:p>
        </w:tc>
        <w:tc>
          <w:tcPr>
            <w:tcW w:w="720" w:type="dxa"/>
            <w:shd w:val="clear" w:color="auto" w:fill="auto"/>
          </w:tcPr>
          <w:p w14:paraId="722FBC0E"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1316</w:t>
            </w:r>
          </w:p>
        </w:tc>
        <w:tc>
          <w:tcPr>
            <w:tcW w:w="899" w:type="dxa"/>
            <w:shd w:val="clear" w:color="auto" w:fill="auto"/>
          </w:tcPr>
          <w:p w14:paraId="2C4E51BC"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4.15</w:t>
            </w:r>
          </w:p>
        </w:tc>
      </w:tr>
      <w:tr w:rsidR="00A63CD3" w:rsidRPr="00207803" w14:paraId="5C258027" w14:textId="77777777" w:rsidTr="00244A2E">
        <w:trPr>
          <w:jc w:val="center"/>
        </w:trPr>
        <w:tc>
          <w:tcPr>
            <w:tcW w:w="626" w:type="dxa"/>
          </w:tcPr>
          <w:p w14:paraId="169B804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12</w:t>
            </w:r>
          </w:p>
        </w:tc>
        <w:tc>
          <w:tcPr>
            <w:tcW w:w="1449" w:type="dxa"/>
            <w:shd w:val="clear" w:color="auto" w:fill="auto"/>
          </w:tcPr>
          <w:p w14:paraId="669414E7" w14:textId="77777777" w:rsidR="00A63CD3" w:rsidRPr="00207803" w:rsidRDefault="00A63CD3" w:rsidP="00244A2E">
            <w:pPr>
              <w:pStyle w:val="NoSpacing"/>
              <w:jc w:val="left"/>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Maintenance of vegetation (trees, shrubs, lawns)</w:t>
            </w:r>
          </w:p>
        </w:tc>
        <w:tc>
          <w:tcPr>
            <w:tcW w:w="902" w:type="dxa"/>
            <w:shd w:val="clear" w:color="auto" w:fill="auto"/>
          </w:tcPr>
          <w:p w14:paraId="59F2D335"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w:t>
            </w:r>
          </w:p>
        </w:tc>
        <w:tc>
          <w:tcPr>
            <w:tcW w:w="733" w:type="dxa"/>
            <w:shd w:val="clear" w:color="auto" w:fill="auto"/>
          </w:tcPr>
          <w:p w14:paraId="539D8AAB"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35</w:t>
            </w:r>
          </w:p>
        </w:tc>
        <w:tc>
          <w:tcPr>
            <w:tcW w:w="685" w:type="dxa"/>
            <w:shd w:val="clear" w:color="auto" w:fill="auto"/>
          </w:tcPr>
          <w:p w14:paraId="5DDDA9F8"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55</w:t>
            </w:r>
          </w:p>
        </w:tc>
        <w:tc>
          <w:tcPr>
            <w:tcW w:w="919" w:type="dxa"/>
            <w:shd w:val="clear" w:color="auto" w:fill="auto"/>
          </w:tcPr>
          <w:p w14:paraId="1BCE85DC"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80</w:t>
            </w:r>
          </w:p>
        </w:tc>
        <w:tc>
          <w:tcPr>
            <w:tcW w:w="1002" w:type="dxa"/>
            <w:shd w:val="clear" w:color="auto" w:fill="auto"/>
          </w:tcPr>
          <w:p w14:paraId="5CF1F893"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147</w:t>
            </w:r>
          </w:p>
        </w:tc>
        <w:tc>
          <w:tcPr>
            <w:tcW w:w="1197" w:type="dxa"/>
            <w:shd w:val="clear" w:color="auto" w:fill="auto"/>
          </w:tcPr>
          <w:p w14:paraId="49DA0D5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317</w:t>
            </w:r>
          </w:p>
        </w:tc>
        <w:tc>
          <w:tcPr>
            <w:tcW w:w="720" w:type="dxa"/>
            <w:shd w:val="clear" w:color="auto" w:fill="auto"/>
          </w:tcPr>
          <w:p w14:paraId="4D3DEE89"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1290</w:t>
            </w:r>
          </w:p>
        </w:tc>
        <w:tc>
          <w:tcPr>
            <w:tcW w:w="899" w:type="dxa"/>
            <w:shd w:val="clear" w:color="auto" w:fill="auto"/>
          </w:tcPr>
          <w:p w14:paraId="5BF4DF40"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4.07</w:t>
            </w:r>
          </w:p>
        </w:tc>
      </w:tr>
      <w:tr w:rsidR="00A63CD3" w:rsidRPr="00207803" w14:paraId="17DBD25E" w14:textId="77777777" w:rsidTr="00244A2E">
        <w:trPr>
          <w:jc w:val="center"/>
        </w:trPr>
        <w:tc>
          <w:tcPr>
            <w:tcW w:w="626" w:type="dxa"/>
          </w:tcPr>
          <w:p w14:paraId="25B23335"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13</w:t>
            </w:r>
          </w:p>
        </w:tc>
        <w:tc>
          <w:tcPr>
            <w:tcW w:w="1449" w:type="dxa"/>
            <w:shd w:val="clear" w:color="auto" w:fill="auto"/>
          </w:tcPr>
          <w:p w14:paraId="40634654" w14:textId="77777777" w:rsidR="00A63CD3" w:rsidRPr="00207803" w:rsidRDefault="00A63CD3" w:rsidP="00244A2E">
            <w:pPr>
              <w:pStyle w:val="NoSpacing"/>
              <w:jc w:val="left"/>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Nature conservation efforts</w:t>
            </w:r>
          </w:p>
        </w:tc>
        <w:tc>
          <w:tcPr>
            <w:tcW w:w="902" w:type="dxa"/>
            <w:shd w:val="clear" w:color="auto" w:fill="auto"/>
          </w:tcPr>
          <w:p w14:paraId="3B8DE8B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w:t>
            </w:r>
          </w:p>
        </w:tc>
        <w:tc>
          <w:tcPr>
            <w:tcW w:w="733" w:type="dxa"/>
            <w:shd w:val="clear" w:color="auto" w:fill="auto"/>
          </w:tcPr>
          <w:p w14:paraId="4E24C8E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12</w:t>
            </w:r>
          </w:p>
        </w:tc>
        <w:tc>
          <w:tcPr>
            <w:tcW w:w="685" w:type="dxa"/>
            <w:shd w:val="clear" w:color="auto" w:fill="auto"/>
          </w:tcPr>
          <w:p w14:paraId="743B663B"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76</w:t>
            </w:r>
          </w:p>
        </w:tc>
        <w:tc>
          <w:tcPr>
            <w:tcW w:w="919" w:type="dxa"/>
            <w:shd w:val="clear" w:color="auto" w:fill="auto"/>
          </w:tcPr>
          <w:p w14:paraId="25CDE75C"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110</w:t>
            </w:r>
          </w:p>
        </w:tc>
        <w:tc>
          <w:tcPr>
            <w:tcW w:w="1002" w:type="dxa"/>
            <w:shd w:val="clear" w:color="auto" w:fill="auto"/>
          </w:tcPr>
          <w:p w14:paraId="67318D0F"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119</w:t>
            </w:r>
          </w:p>
        </w:tc>
        <w:tc>
          <w:tcPr>
            <w:tcW w:w="1197" w:type="dxa"/>
            <w:shd w:val="clear" w:color="auto" w:fill="auto"/>
          </w:tcPr>
          <w:p w14:paraId="72FD7414"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317</w:t>
            </w:r>
          </w:p>
        </w:tc>
        <w:tc>
          <w:tcPr>
            <w:tcW w:w="720" w:type="dxa"/>
            <w:shd w:val="clear" w:color="auto" w:fill="auto"/>
          </w:tcPr>
          <w:p w14:paraId="005B183C"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1287</w:t>
            </w:r>
          </w:p>
        </w:tc>
        <w:tc>
          <w:tcPr>
            <w:tcW w:w="899" w:type="dxa"/>
            <w:shd w:val="clear" w:color="auto" w:fill="auto"/>
          </w:tcPr>
          <w:p w14:paraId="41BD57BD"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4.06</w:t>
            </w:r>
          </w:p>
        </w:tc>
      </w:tr>
      <w:tr w:rsidR="00A63CD3" w:rsidRPr="00207803" w14:paraId="15DA4CD5" w14:textId="77777777" w:rsidTr="00244A2E">
        <w:trPr>
          <w:jc w:val="center"/>
        </w:trPr>
        <w:tc>
          <w:tcPr>
            <w:tcW w:w="626" w:type="dxa"/>
          </w:tcPr>
          <w:p w14:paraId="672226CE"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13</w:t>
            </w:r>
          </w:p>
        </w:tc>
        <w:tc>
          <w:tcPr>
            <w:tcW w:w="1449" w:type="dxa"/>
            <w:shd w:val="clear" w:color="auto" w:fill="auto"/>
          </w:tcPr>
          <w:p w14:paraId="243791B1" w14:textId="77777777" w:rsidR="00A63CD3" w:rsidRPr="00207803" w:rsidRDefault="00A63CD3" w:rsidP="00244A2E">
            <w:pPr>
              <w:pStyle w:val="NoSpacing"/>
              <w:jc w:val="left"/>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Integration of natural elements</w:t>
            </w:r>
          </w:p>
        </w:tc>
        <w:tc>
          <w:tcPr>
            <w:tcW w:w="902" w:type="dxa"/>
            <w:shd w:val="clear" w:color="auto" w:fill="auto"/>
          </w:tcPr>
          <w:p w14:paraId="02DCF983"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w:t>
            </w:r>
          </w:p>
        </w:tc>
        <w:tc>
          <w:tcPr>
            <w:tcW w:w="733" w:type="dxa"/>
            <w:shd w:val="clear" w:color="auto" w:fill="auto"/>
          </w:tcPr>
          <w:p w14:paraId="725CD1A1"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22</w:t>
            </w:r>
          </w:p>
        </w:tc>
        <w:tc>
          <w:tcPr>
            <w:tcW w:w="685" w:type="dxa"/>
            <w:shd w:val="clear" w:color="auto" w:fill="auto"/>
          </w:tcPr>
          <w:p w14:paraId="6DE312C9"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87</w:t>
            </w:r>
          </w:p>
        </w:tc>
        <w:tc>
          <w:tcPr>
            <w:tcW w:w="919" w:type="dxa"/>
            <w:shd w:val="clear" w:color="auto" w:fill="auto"/>
          </w:tcPr>
          <w:p w14:paraId="3B549F2F"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90</w:t>
            </w:r>
          </w:p>
        </w:tc>
        <w:tc>
          <w:tcPr>
            <w:tcW w:w="1002" w:type="dxa"/>
            <w:shd w:val="clear" w:color="auto" w:fill="auto"/>
          </w:tcPr>
          <w:p w14:paraId="386B92C9"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118</w:t>
            </w:r>
          </w:p>
        </w:tc>
        <w:tc>
          <w:tcPr>
            <w:tcW w:w="1197" w:type="dxa"/>
            <w:shd w:val="clear" w:color="auto" w:fill="auto"/>
          </w:tcPr>
          <w:p w14:paraId="11EAF227"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317</w:t>
            </w:r>
          </w:p>
        </w:tc>
        <w:tc>
          <w:tcPr>
            <w:tcW w:w="720" w:type="dxa"/>
            <w:shd w:val="clear" w:color="auto" w:fill="auto"/>
          </w:tcPr>
          <w:p w14:paraId="7D58806E"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1255</w:t>
            </w:r>
          </w:p>
        </w:tc>
        <w:tc>
          <w:tcPr>
            <w:tcW w:w="899" w:type="dxa"/>
            <w:shd w:val="clear" w:color="auto" w:fill="auto"/>
          </w:tcPr>
          <w:p w14:paraId="4743F9FD"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3.96</w:t>
            </w:r>
          </w:p>
        </w:tc>
      </w:tr>
      <w:tr w:rsidR="00A63CD3" w:rsidRPr="00207803" w14:paraId="7FCC9E20" w14:textId="77777777" w:rsidTr="00244A2E">
        <w:trPr>
          <w:jc w:val="center"/>
        </w:trPr>
        <w:tc>
          <w:tcPr>
            <w:tcW w:w="626" w:type="dxa"/>
          </w:tcPr>
          <w:p w14:paraId="72C24CC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14</w:t>
            </w:r>
          </w:p>
        </w:tc>
        <w:tc>
          <w:tcPr>
            <w:tcW w:w="1449" w:type="dxa"/>
            <w:shd w:val="clear" w:color="auto" w:fill="auto"/>
          </w:tcPr>
          <w:p w14:paraId="2307B653" w14:textId="77777777" w:rsidR="00A63CD3" w:rsidRPr="00207803" w:rsidRDefault="00A63CD3" w:rsidP="00244A2E">
            <w:pPr>
              <w:pStyle w:val="NoSpacing"/>
              <w:jc w:val="left"/>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Maintenance of water features (ponds, fountains, streams)</w:t>
            </w:r>
          </w:p>
        </w:tc>
        <w:tc>
          <w:tcPr>
            <w:tcW w:w="902" w:type="dxa"/>
            <w:shd w:val="clear" w:color="auto" w:fill="auto"/>
          </w:tcPr>
          <w:p w14:paraId="79EA4DC3"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w:t>
            </w:r>
          </w:p>
        </w:tc>
        <w:tc>
          <w:tcPr>
            <w:tcW w:w="733" w:type="dxa"/>
            <w:shd w:val="clear" w:color="auto" w:fill="auto"/>
          </w:tcPr>
          <w:p w14:paraId="2CB63A36"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120</w:t>
            </w:r>
          </w:p>
        </w:tc>
        <w:tc>
          <w:tcPr>
            <w:tcW w:w="685" w:type="dxa"/>
            <w:shd w:val="clear" w:color="auto" w:fill="auto"/>
          </w:tcPr>
          <w:p w14:paraId="65E3F392"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45</w:t>
            </w:r>
          </w:p>
        </w:tc>
        <w:tc>
          <w:tcPr>
            <w:tcW w:w="919" w:type="dxa"/>
            <w:shd w:val="clear" w:color="auto" w:fill="auto"/>
          </w:tcPr>
          <w:p w14:paraId="75040C97"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35</w:t>
            </w:r>
          </w:p>
        </w:tc>
        <w:tc>
          <w:tcPr>
            <w:tcW w:w="1002" w:type="dxa"/>
            <w:shd w:val="clear" w:color="auto" w:fill="auto"/>
          </w:tcPr>
          <w:p w14:paraId="3763F3EB"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117</w:t>
            </w:r>
          </w:p>
        </w:tc>
        <w:tc>
          <w:tcPr>
            <w:tcW w:w="1197" w:type="dxa"/>
            <w:shd w:val="clear" w:color="auto" w:fill="auto"/>
          </w:tcPr>
          <w:p w14:paraId="109149FA"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317</w:t>
            </w:r>
          </w:p>
        </w:tc>
        <w:tc>
          <w:tcPr>
            <w:tcW w:w="720" w:type="dxa"/>
            <w:shd w:val="clear" w:color="auto" w:fill="auto"/>
          </w:tcPr>
          <w:p w14:paraId="30CFB9DD"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1100</w:t>
            </w:r>
          </w:p>
        </w:tc>
        <w:tc>
          <w:tcPr>
            <w:tcW w:w="899" w:type="dxa"/>
            <w:shd w:val="clear" w:color="auto" w:fill="auto"/>
          </w:tcPr>
          <w:p w14:paraId="2C1A160C"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3.47</w:t>
            </w:r>
          </w:p>
        </w:tc>
      </w:tr>
      <w:tr w:rsidR="00A63CD3" w:rsidRPr="00207803" w14:paraId="1D320501" w14:textId="77777777" w:rsidTr="00244A2E">
        <w:trPr>
          <w:jc w:val="center"/>
        </w:trPr>
        <w:tc>
          <w:tcPr>
            <w:tcW w:w="626" w:type="dxa"/>
          </w:tcPr>
          <w:p w14:paraId="67DB34AC"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16</w:t>
            </w:r>
          </w:p>
        </w:tc>
        <w:tc>
          <w:tcPr>
            <w:tcW w:w="1449" w:type="dxa"/>
            <w:shd w:val="clear" w:color="auto" w:fill="auto"/>
          </w:tcPr>
          <w:p w14:paraId="5F809ED9" w14:textId="77777777" w:rsidR="00A63CD3" w:rsidRPr="00207803" w:rsidRDefault="00A63CD3" w:rsidP="00244A2E">
            <w:pPr>
              <w:pStyle w:val="NoSpacing"/>
              <w:jc w:val="left"/>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Horticultural excellence</w:t>
            </w:r>
          </w:p>
        </w:tc>
        <w:tc>
          <w:tcPr>
            <w:tcW w:w="902" w:type="dxa"/>
            <w:shd w:val="clear" w:color="auto" w:fill="auto"/>
          </w:tcPr>
          <w:p w14:paraId="645AC80A"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w:t>
            </w:r>
          </w:p>
        </w:tc>
        <w:tc>
          <w:tcPr>
            <w:tcW w:w="733" w:type="dxa"/>
            <w:shd w:val="clear" w:color="auto" w:fill="auto"/>
          </w:tcPr>
          <w:p w14:paraId="09B92657"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89</w:t>
            </w:r>
          </w:p>
        </w:tc>
        <w:tc>
          <w:tcPr>
            <w:tcW w:w="685" w:type="dxa"/>
            <w:shd w:val="clear" w:color="auto" w:fill="auto"/>
          </w:tcPr>
          <w:p w14:paraId="1F009101"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68</w:t>
            </w:r>
          </w:p>
        </w:tc>
        <w:tc>
          <w:tcPr>
            <w:tcW w:w="919" w:type="dxa"/>
            <w:shd w:val="clear" w:color="auto" w:fill="auto"/>
          </w:tcPr>
          <w:p w14:paraId="73C78C15"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90</w:t>
            </w:r>
          </w:p>
        </w:tc>
        <w:tc>
          <w:tcPr>
            <w:tcW w:w="1002" w:type="dxa"/>
            <w:shd w:val="clear" w:color="auto" w:fill="auto"/>
          </w:tcPr>
          <w:p w14:paraId="4955EEB9"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70</w:t>
            </w:r>
          </w:p>
        </w:tc>
        <w:tc>
          <w:tcPr>
            <w:tcW w:w="1197" w:type="dxa"/>
            <w:shd w:val="clear" w:color="auto" w:fill="auto"/>
          </w:tcPr>
          <w:p w14:paraId="00B41B08"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317</w:t>
            </w:r>
          </w:p>
        </w:tc>
        <w:tc>
          <w:tcPr>
            <w:tcW w:w="720" w:type="dxa"/>
            <w:shd w:val="clear" w:color="auto" w:fill="auto"/>
          </w:tcPr>
          <w:p w14:paraId="187DC3FF"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1092</w:t>
            </w:r>
          </w:p>
        </w:tc>
        <w:tc>
          <w:tcPr>
            <w:tcW w:w="899" w:type="dxa"/>
            <w:shd w:val="clear" w:color="auto" w:fill="auto"/>
          </w:tcPr>
          <w:p w14:paraId="2BD4C90F"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3.44</w:t>
            </w:r>
          </w:p>
        </w:tc>
      </w:tr>
      <w:tr w:rsidR="00A63CD3" w:rsidRPr="00207803" w14:paraId="5C0A4098" w14:textId="77777777" w:rsidTr="00244A2E">
        <w:trPr>
          <w:jc w:val="center"/>
        </w:trPr>
        <w:tc>
          <w:tcPr>
            <w:tcW w:w="626" w:type="dxa"/>
          </w:tcPr>
          <w:p w14:paraId="22F6AA34" w14:textId="77777777" w:rsidR="00A63CD3" w:rsidRPr="00207803" w:rsidRDefault="00A63CD3" w:rsidP="0000060D">
            <w:pPr>
              <w:pStyle w:val="NoSpacing"/>
              <w:rPr>
                <w:rFonts w:ascii="Times New Roman" w:hAnsi="Times New Roman" w:cs="Times New Roman"/>
                <w:color w:val="000000" w:themeColor="text1"/>
                <w:sz w:val="20"/>
                <w:szCs w:val="20"/>
              </w:rPr>
            </w:pPr>
          </w:p>
        </w:tc>
        <w:tc>
          <w:tcPr>
            <w:tcW w:w="1449" w:type="dxa"/>
            <w:vMerge w:val="restart"/>
            <w:shd w:val="clear" w:color="auto" w:fill="auto"/>
          </w:tcPr>
          <w:p w14:paraId="6BEC5CE0" w14:textId="77777777" w:rsidR="00A63CD3" w:rsidRPr="00207803" w:rsidRDefault="00A63CD3" w:rsidP="00244A2E">
            <w:pPr>
              <w:pStyle w:val="NoSpacing"/>
              <w:jc w:val="left"/>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Average</w:t>
            </w:r>
          </w:p>
        </w:tc>
        <w:tc>
          <w:tcPr>
            <w:tcW w:w="902" w:type="dxa"/>
            <w:shd w:val="clear" w:color="auto" w:fill="auto"/>
          </w:tcPr>
          <w:p w14:paraId="65B3E69C" w14:textId="77777777" w:rsidR="00A63CD3" w:rsidRPr="00207803" w:rsidRDefault="00A63CD3" w:rsidP="0000060D">
            <w:pPr>
              <w:pStyle w:val="NoSpacing"/>
              <w:rPr>
                <w:rFonts w:ascii="Times New Roman" w:hAnsi="Times New Roman" w:cs="Times New Roman"/>
                <w:color w:val="000000" w:themeColor="text1"/>
                <w:sz w:val="20"/>
                <w:szCs w:val="20"/>
              </w:rPr>
            </w:pPr>
          </w:p>
        </w:tc>
        <w:tc>
          <w:tcPr>
            <w:tcW w:w="733" w:type="dxa"/>
            <w:shd w:val="clear" w:color="auto" w:fill="auto"/>
          </w:tcPr>
          <w:p w14:paraId="41A2E030" w14:textId="77777777" w:rsidR="00A63CD3" w:rsidRPr="00207803" w:rsidRDefault="00A63CD3" w:rsidP="0000060D">
            <w:pPr>
              <w:pStyle w:val="NoSpacing"/>
              <w:rPr>
                <w:rFonts w:ascii="Times New Roman" w:hAnsi="Times New Roman" w:cs="Times New Roman"/>
                <w:color w:val="000000" w:themeColor="text1"/>
                <w:sz w:val="20"/>
                <w:szCs w:val="20"/>
              </w:rPr>
            </w:pPr>
          </w:p>
        </w:tc>
        <w:tc>
          <w:tcPr>
            <w:tcW w:w="685" w:type="dxa"/>
            <w:shd w:val="clear" w:color="auto" w:fill="auto"/>
          </w:tcPr>
          <w:p w14:paraId="207F7266" w14:textId="77777777" w:rsidR="00A63CD3" w:rsidRPr="00207803" w:rsidRDefault="00A63CD3" w:rsidP="0000060D">
            <w:pPr>
              <w:pStyle w:val="NoSpacing"/>
              <w:rPr>
                <w:rFonts w:ascii="Times New Roman" w:hAnsi="Times New Roman" w:cs="Times New Roman"/>
                <w:color w:val="000000" w:themeColor="text1"/>
                <w:sz w:val="20"/>
                <w:szCs w:val="20"/>
              </w:rPr>
            </w:pPr>
          </w:p>
        </w:tc>
        <w:tc>
          <w:tcPr>
            <w:tcW w:w="919" w:type="dxa"/>
            <w:shd w:val="clear" w:color="auto" w:fill="auto"/>
          </w:tcPr>
          <w:p w14:paraId="5454682E" w14:textId="77777777" w:rsidR="00A63CD3" w:rsidRPr="00207803" w:rsidRDefault="00A63CD3" w:rsidP="0000060D">
            <w:pPr>
              <w:pStyle w:val="NoSpacing"/>
              <w:rPr>
                <w:rFonts w:ascii="Times New Roman" w:hAnsi="Times New Roman" w:cs="Times New Roman"/>
                <w:color w:val="000000" w:themeColor="text1"/>
                <w:sz w:val="20"/>
                <w:szCs w:val="20"/>
              </w:rPr>
            </w:pPr>
          </w:p>
        </w:tc>
        <w:tc>
          <w:tcPr>
            <w:tcW w:w="1002" w:type="dxa"/>
            <w:shd w:val="clear" w:color="auto" w:fill="auto"/>
          </w:tcPr>
          <w:p w14:paraId="452D7E3C" w14:textId="77777777" w:rsidR="00A63CD3" w:rsidRPr="00207803" w:rsidRDefault="00A63CD3" w:rsidP="0000060D">
            <w:pPr>
              <w:pStyle w:val="NoSpacing"/>
              <w:rPr>
                <w:rFonts w:ascii="Times New Roman" w:hAnsi="Times New Roman" w:cs="Times New Roman"/>
                <w:color w:val="000000" w:themeColor="text1"/>
                <w:sz w:val="20"/>
                <w:szCs w:val="20"/>
              </w:rPr>
            </w:pPr>
          </w:p>
        </w:tc>
        <w:tc>
          <w:tcPr>
            <w:tcW w:w="1197" w:type="dxa"/>
            <w:shd w:val="clear" w:color="auto" w:fill="auto"/>
          </w:tcPr>
          <w:p w14:paraId="7D508F3F" w14:textId="77777777" w:rsidR="00A63CD3" w:rsidRPr="00207803" w:rsidRDefault="00A63CD3" w:rsidP="0000060D">
            <w:pPr>
              <w:pStyle w:val="NoSpacing"/>
              <w:rPr>
                <w:rFonts w:ascii="Times New Roman" w:hAnsi="Times New Roman" w:cs="Times New Roman"/>
                <w:color w:val="000000" w:themeColor="text1"/>
                <w:sz w:val="20"/>
                <w:szCs w:val="20"/>
              </w:rPr>
            </w:pPr>
          </w:p>
        </w:tc>
        <w:tc>
          <w:tcPr>
            <w:tcW w:w="720" w:type="dxa"/>
            <w:shd w:val="clear" w:color="auto" w:fill="auto"/>
          </w:tcPr>
          <w:p w14:paraId="169460B8" w14:textId="77777777" w:rsidR="00A63CD3" w:rsidRPr="00207803" w:rsidRDefault="00A63CD3" w:rsidP="0000060D">
            <w:pPr>
              <w:pStyle w:val="NoSpacing"/>
              <w:rPr>
                <w:rFonts w:ascii="Times New Roman" w:hAnsi="Times New Roman" w:cs="Times New Roman"/>
                <w:color w:val="000000" w:themeColor="text1"/>
                <w:sz w:val="20"/>
                <w:szCs w:val="20"/>
              </w:rPr>
            </w:pPr>
          </w:p>
        </w:tc>
        <w:tc>
          <w:tcPr>
            <w:tcW w:w="899" w:type="dxa"/>
            <w:shd w:val="clear" w:color="auto" w:fill="auto"/>
          </w:tcPr>
          <w:p w14:paraId="554F3DFF"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67.14/16</w:t>
            </w:r>
          </w:p>
        </w:tc>
      </w:tr>
      <w:tr w:rsidR="00A63CD3" w:rsidRPr="00207803" w14:paraId="7819AC2B" w14:textId="77777777" w:rsidTr="00244A2E">
        <w:trPr>
          <w:jc w:val="center"/>
        </w:trPr>
        <w:tc>
          <w:tcPr>
            <w:tcW w:w="626" w:type="dxa"/>
            <w:tcBorders>
              <w:bottom w:val="single" w:sz="18" w:space="0" w:color="auto"/>
            </w:tcBorders>
          </w:tcPr>
          <w:p w14:paraId="105CE2B6" w14:textId="77777777" w:rsidR="00A63CD3" w:rsidRPr="00207803" w:rsidRDefault="00A63CD3" w:rsidP="0000060D">
            <w:pPr>
              <w:pStyle w:val="NoSpacing"/>
              <w:rPr>
                <w:rFonts w:ascii="Times New Roman" w:hAnsi="Times New Roman" w:cs="Times New Roman"/>
                <w:color w:val="000000" w:themeColor="text1"/>
                <w:sz w:val="20"/>
                <w:szCs w:val="20"/>
              </w:rPr>
            </w:pPr>
          </w:p>
        </w:tc>
        <w:tc>
          <w:tcPr>
            <w:tcW w:w="1449" w:type="dxa"/>
            <w:vMerge/>
            <w:tcBorders>
              <w:bottom w:val="single" w:sz="18" w:space="0" w:color="auto"/>
            </w:tcBorders>
            <w:shd w:val="clear" w:color="auto" w:fill="auto"/>
          </w:tcPr>
          <w:p w14:paraId="56720B46" w14:textId="77777777" w:rsidR="00A63CD3" w:rsidRPr="00207803" w:rsidRDefault="00A63CD3" w:rsidP="00244A2E">
            <w:pPr>
              <w:pStyle w:val="NoSpacing"/>
              <w:jc w:val="left"/>
              <w:rPr>
                <w:rFonts w:ascii="Times New Roman" w:hAnsi="Times New Roman" w:cs="Times New Roman"/>
                <w:color w:val="000000" w:themeColor="text1"/>
                <w:sz w:val="20"/>
                <w:szCs w:val="20"/>
              </w:rPr>
            </w:pPr>
          </w:p>
        </w:tc>
        <w:tc>
          <w:tcPr>
            <w:tcW w:w="902" w:type="dxa"/>
            <w:tcBorders>
              <w:bottom w:val="single" w:sz="18" w:space="0" w:color="auto"/>
            </w:tcBorders>
            <w:shd w:val="clear" w:color="auto" w:fill="auto"/>
          </w:tcPr>
          <w:p w14:paraId="70276E3E" w14:textId="77777777" w:rsidR="00A63CD3" w:rsidRPr="00207803" w:rsidRDefault="00A63CD3" w:rsidP="0000060D">
            <w:pPr>
              <w:pStyle w:val="NoSpacing"/>
              <w:rPr>
                <w:rFonts w:ascii="Times New Roman" w:hAnsi="Times New Roman" w:cs="Times New Roman"/>
                <w:color w:val="000000" w:themeColor="text1"/>
                <w:sz w:val="20"/>
                <w:szCs w:val="20"/>
              </w:rPr>
            </w:pPr>
          </w:p>
        </w:tc>
        <w:tc>
          <w:tcPr>
            <w:tcW w:w="733" w:type="dxa"/>
            <w:tcBorders>
              <w:bottom w:val="single" w:sz="18" w:space="0" w:color="auto"/>
            </w:tcBorders>
            <w:shd w:val="clear" w:color="auto" w:fill="auto"/>
          </w:tcPr>
          <w:p w14:paraId="33BD3D5B" w14:textId="77777777" w:rsidR="00A63CD3" w:rsidRPr="00207803" w:rsidRDefault="00A63CD3" w:rsidP="0000060D">
            <w:pPr>
              <w:pStyle w:val="NoSpacing"/>
              <w:rPr>
                <w:rFonts w:ascii="Times New Roman" w:hAnsi="Times New Roman" w:cs="Times New Roman"/>
                <w:color w:val="000000" w:themeColor="text1"/>
                <w:sz w:val="20"/>
                <w:szCs w:val="20"/>
              </w:rPr>
            </w:pPr>
          </w:p>
        </w:tc>
        <w:tc>
          <w:tcPr>
            <w:tcW w:w="685" w:type="dxa"/>
            <w:tcBorders>
              <w:bottom w:val="single" w:sz="18" w:space="0" w:color="auto"/>
            </w:tcBorders>
            <w:shd w:val="clear" w:color="auto" w:fill="auto"/>
          </w:tcPr>
          <w:p w14:paraId="7DE79735" w14:textId="77777777" w:rsidR="00A63CD3" w:rsidRPr="00207803" w:rsidRDefault="00A63CD3" w:rsidP="0000060D">
            <w:pPr>
              <w:pStyle w:val="NoSpacing"/>
              <w:rPr>
                <w:rFonts w:ascii="Times New Roman" w:hAnsi="Times New Roman" w:cs="Times New Roman"/>
                <w:color w:val="000000" w:themeColor="text1"/>
                <w:sz w:val="20"/>
                <w:szCs w:val="20"/>
              </w:rPr>
            </w:pPr>
          </w:p>
        </w:tc>
        <w:tc>
          <w:tcPr>
            <w:tcW w:w="919" w:type="dxa"/>
            <w:tcBorders>
              <w:bottom w:val="single" w:sz="18" w:space="0" w:color="auto"/>
            </w:tcBorders>
            <w:shd w:val="clear" w:color="auto" w:fill="auto"/>
          </w:tcPr>
          <w:p w14:paraId="38A0D393" w14:textId="77777777" w:rsidR="00A63CD3" w:rsidRPr="00207803" w:rsidRDefault="00A63CD3" w:rsidP="0000060D">
            <w:pPr>
              <w:pStyle w:val="NoSpacing"/>
              <w:rPr>
                <w:rFonts w:ascii="Times New Roman" w:hAnsi="Times New Roman" w:cs="Times New Roman"/>
                <w:color w:val="000000" w:themeColor="text1"/>
                <w:sz w:val="20"/>
                <w:szCs w:val="20"/>
              </w:rPr>
            </w:pPr>
          </w:p>
        </w:tc>
        <w:tc>
          <w:tcPr>
            <w:tcW w:w="1002" w:type="dxa"/>
            <w:tcBorders>
              <w:bottom w:val="single" w:sz="18" w:space="0" w:color="auto"/>
            </w:tcBorders>
            <w:shd w:val="clear" w:color="auto" w:fill="auto"/>
          </w:tcPr>
          <w:p w14:paraId="0CE18A0B" w14:textId="77777777" w:rsidR="00A63CD3" w:rsidRPr="00207803" w:rsidRDefault="00A63CD3" w:rsidP="0000060D">
            <w:pPr>
              <w:pStyle w:val="NoSpacing"/>
              <w:rPr>
                <w:rFonts w:ascii="Times New Roman" w:hAnsi="Times New Roman" w:cs="Times New Roman"/>
                <w:color w:val="000000" w:themeColor="text1"/>
                <w:sz w:val="20"/>
                <w:szCs w:val="20"/>
              </w:rPr>
            </w:pPr>
          </w:p>
        </w:tc>
        <w:tc>
          <w:tcPr>
            <w:tcW w:w="1197" w:type="dxa"/>
            <w:tcBorders>
              <w:bottom w:val="single" w:sz="18" w:space="0" w:color="auto"/>
            </w:tcBorders>
            <w:shd w:val="clear" w:color="auto" w:fill="auto"/>
          </w:tcPr>
          <w:p w14:paraId="43798117" w14:textId="77777777" w:rsidR="00A63CD3" w:rsidRPr="00207803" w:rsidRDefault="00A63CD3" w:rsidP="0000060D">
            <w:pPr>
              <w:pStyle w:val="NoSpacing"/>
              <w:rPr>
                <w:rFonts w:ascii="Times New Roman" w:hAnsi="Times New Roman" w:cs="Times New Roman"/>
                <w:color w:val="000000" w:themeColor="text1"/>
                <w:sz w:val="20"/>
                <w:szCs w:val="20"/>
              </w:rPr>
            </w:pPr>
          </w:p>
        </w:tc>
        <w:tc>
          <w:tcPr>
            <w:tcW w:w="720" w:type="dxa"/>
            <w:tcBorders>
              <w:bottom w:val="single" w:sz="18" w:space="0" w:color="auto"/>
            </w:tcBorders>
            <w:shd w:val="clear" w:color="auto" w:fill="auto"/>
          </w:tcPr>
          <w:p w14:paraId="275A38EE" w14:textId="77777777" w:rsidR="00A63CD3" w:rsidRPr="00207803" w:rsidRDefault="00A63CD3" w:rsidP="0000060D">
            <w:pPr>
              <w:pStyle w:val="NoSpacing"/>
              <w:rPr>
                <w:rFonts w:ascii="Times New Roman" w:hAnsi="Times New Roman" w:cs="Times New Roman"/>
                <w:color w:val="000000" w:themeColor="text1"/>
                <w:sz w:val="20"/>
                <w:szCs w:val="20"/>
              </w:rPr>
            </w:pPr>
          </w:p>
        </w:tc>
        <w:tc>
          <w:tcPr>
            <w:tcW w:w="899" w:type="dxa"/>
            <w:tcBorders>
              <w:bottom w:val="single" w:sz="18" w:space="0" w:color="auto"/>
            </w:tcBorders>
            <w:shd w:val="clear" w:color="auto" w:fill="auto"/>
          </w:tcPr>
          <w:p w14:paraId="4B46D9AD" w14:textId="77777777" w:rsidR="00A63CD3" w:rsidRPr="00207803" w:rsidRDefault="00A63CD3" w:rsidP="0000060D">
            <w:pPr>
              <w:pStyle w:val="NoSpacing"/>
              <w:rPr>
                <w:rFonts w:ascii="Times New Roman" w:hAnsi="Times New Roman" w:cs="Times New Roman"/>
                <w:color w:val="000000" w:themeColor="text1"/>
                <w:sz w:val="20"/>
                <w:szCs w:val="20"/>
              </w:rPr>
            </w:pPr>
            <w:r w:rsidRPr="00207803">
              <w:rPr>
                <w:rFonts w:ascii="Times New Roman" w:hAnsi="Times New Roman" w:cs="Times New Roman"/>
                <w:color w:val="000000" w:themeColor="text1"/>
                <w:sz w:val="20"/>
                <w:szCs w:val="20"/>
              </w:rPr>
              <w:t>4.20</w:t>
            </w:r>
          </w:p>
        </w:tc>
      </w:tr>
    </w:tbl>
    <w:p w14:paraId="0BEEE429" w14:textId="77777777" w:rsidR="00A63CD3" w:rsidRPr="00BE4AF3" w:rsidRDefault="00A63CD3" w:rsidP="00A63CD3">
      <w:pPr>
        <w:spacing w:after="0" w:line="240" w:lineRule="auto"/>
        <w:rPr>
          <w:rFonts w:ascii="Times New Roman" w:eastAsia="Calibri" w:hAnsi="Times New Roman" w:cs="Times New Roman"/>
          <w:b/>
          <w:i/>
          <w:color w:val="000000" w:themeColor="text1"/>
          <w:sz w:val="24"/>
          <w:szCs w:val="24"/>
        </w:rPr>
      </w:pPr>
    </w:p>
    <w:p w14:paraId="66B3BA28" w14:textId="2B78E8F9" w:rsidR="00A63CD3" w:rsidRPr="00BE4AF3" w:rsidRDefault="00A63CD3" w:rsidP="00A63CD3">
      <w:pPr>
        <w:spacing w:after="0" w:line="240" w:lineRule="auto"/>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b/>
          <w:color w:val="000000" w:themeColor="text1"/>
          <w:sz w:val="24"/>
          <w:szCs w:val="24"/>
        </w:rPr>
        <w:t>Assessment of the Importance Design Principles</w:t>
      </w:r>
    </w:p>
    <w:p w14:paraId="17F97264" w14:textId="77777777" w:rsidR="00A63CD3" w:rsidRDefault="00A63CD3" w:rsidP="00244A2E">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Table 4.33 revealed the uses assessment of design principles. The results indicated that several design principles significantly influenced users' perceptions of landscape elements. Among these principles, balance, symmetry, rhythm and repetition, focal points, and variety and diversity emerged as particularly influential. The results shows that three variable had Design Principles Index (DPI) that is above the average of 4.29 DPI these include: Symmetry in the design of landscape features, Proportion of landscape elements relative to each other and to the hotel, Variety and diversity of landscape elements having DPI of 4.58, 4.58 and 4.30 respectively. Four variable the is less than average of 4.29 DPI comprises of balance in the arrangement of landscape element, rhythm and repetition in landscape elements, harmony and unity in the overall landscape design having DPI of 4.25, 4.24, 4.04 and 4.02 respectively. Emphasis on focal points in landscape design,  balance in the arrangement of landscape elements among others were considered as important or very important, highlighting the desire for well-balanced and visually pleasing designs. Similarly, symmetry, rhythm and repetition, focal points, and variety and diversity received strong support, deeming them as significant factors. This shows that landscapes incorporating these design principles are more likely to be perceived as aesthetically pleasing and engaging. Other influential factors included harmony and unity, proportion, and scale. These principles contribute to the overall coherence and visual appeal of the landscape, demonstrating the importance of considering design principles in landscape planning and development.</w:t>
      </w:r>
    </w:p>
    <w:p w14:paraId="3F68D299" w14:textId="77777777" w:rsidR="00244A2E" w:rsidRDefault="00244A2E" w:rsidP="00244A2E">
      <w:pPr>
        <w:spacing w:after="0" w:line="240" w:lineRule="auto"/>
        <w:jc w:val="both"/>
        <w:rPr>
          <w:rFonts w:ascii="Times New Roman" w:eastAsia="Calibri" w:hAnsi="Times New Roman" w:cs="Times New Roman"/>
          <w:color w:val="000000" w:themeColor="text1"/>
          <w:sz w:val="24"/>
          <w:szCs w:val="24"/>
        </w:rPr>
      </w:pPr>
    </w:p>
    <w:p w14:paraId="216D48DD" w14:textId="77777777" w:rsidR="00244A2E" w:rsidRDefault="00244A2E" w:rsidP="00244A2E">
      <w:pPr>
        <w:spacing w:after="0" w:line="240" w:lineRule="auto"/>
        <w:jc w:val="both"/>
        <w:rPr>
          <w:rFonts w:ascii="Times New Roman" w:eastAsia="Calibri" w:hAnsi="Times New Roman" w:cs="Times New Roman"/>
          <w:color w:val="000000" w:themeColor="text1"/>
          <w:sz w:val="24"/>
          <w:szCs w:val="24"/>
        </w:rPr>
      </w:pPr>
    </w:p>
    <w:p w14:paraId="71622A9D" w14:textId="77777777" w:rsidR="00244A2E" w:rsidRDefault="00244A2E" w:rsidP="00244A2E">
      <w:pPr>
        <w:spacing w:after="0" w:line="240" w:lineRule="auto"/>
        <w:jc w:val="both"/>
        <w:rPr>
          <w:rFonts w:ascii="Times New Roman" w:eastAsia="Calibri" w:hAnsi="Times New Roman" w:cs="Times New Roman"/>
          <w:color w:val="000000" w:themeColor="text1"/>
          <w:sz w:val="24"/>
          <w:szCs w:val="24"/>
        </w:rPr>
      </w:pPr>
    </w:p>
    <w:p w14:paraId="38CA7749" w14:textId="77777777" w:rsidR="00244A2E" w:rsidRDefault="00244A2E" w:rsidP="00244A2E">
      <w:pPr>
        <w:spacing w:after="0" w:line="240" w:lineRule="auto"/>
        <w:jc w:val="both"/>
        <w:rPr>
          <w:rFonts w:ascii="Times New Roman" w:eastAsia="Calibri" w:hAnsi="Times New Roman" w:cs="Times New Roman"/>
          <w:color w:val="000000" w:themeColor="text1"/>
          <w:sz w:val="24"/>
          <w:szCs w:val="24"/>
        </w:rPr>
      </w:pPr>
    </w:p>
    <w:p w14:paraId="557C015C" w14:textId="77777777" w:rsidR="00244A2E" w:rsidRDefault="00244A2E" w:rsidP="00244A2E">
      <w:pPr>
        <w:spacing w:after="0" w:line="240" w:lineRule="auto"/>
        <w:jc w:val="both"/>
        <w:rPr>
          <w:rFonts w:ascii="Times New Roman" w:eastAsia="Calibri" w:hAnsi="Times New Roman" w:cs="Times New Roman"/>
          <w:color w:val="000000" w:themeColor="text1"/>
          <w:sz w:val="24"/>
          <w:szCs w:val="24"/>
        </w:rPr>
      </w:pPr>
    </w:p>
    <w:p w14:paraId="6A1FF229" w14:textId="77777777" w:rsidR="00244A2E" w:rsidRPr="00BE4AF3" w:rsidRDefault="00244A2E" w:rsidP="00244A2E">
      <w:pPr>
        <w:spacing w:after="0" w:line="240" w:lineRule="auto"/>
        <w:jc w:val="both"/>
        <w:rPr>
          <w:rFonts w:ascii="Times New Roman" w:eastAsia="Calibri" w:hAnsi="Times New Roman" w:cs="Times New Roman"/>
          <w:color w:val="000000" w:themeColor="text1"/>
          <w:sz w:val="24"/>
          <w:szCs w:val="24"/>
        </w:rPr>
      </w:pPr>
    </w:p>
    <w:p w14:paraId="57A62258" w14:textId="77777777" w:rsidR="00A63CD3" w:rsidRPr="00BE4AF3" w:rsidRDefault="00A63CD3" w:rsidP="00244A2E">
      <w:pPr>
        <w:spacing w:after="0" w:line="240" w:lineRule="auto"/>
        <w:jc w:val="center"/>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b/>
          <w:color w:val="000000" w:themeColor="text1"/>
          <w:sz w:val="24"/>
          <w:szCs w:val="24"/>
        </w:rPr>
        <w:lastRenderedPageBreak/>
        <w:t xml:space="preserve">Table 4.33 </w:t>
      </w:r>
      <w:r w:rsidRPr="00244A2E">
        <w:rPr>
          <w:rFonts w:ascii="Times New Roman" w:eastAsia="Calibri" w:hAnsi="Times New Roman" w:cs="Times New Roman"/>
          <w:bCs/>
          <w:color w:val="000000" w:themeColor="text1"/>
          <w:sz w:val="24"/>
          <w:szCs w:val="24"/>
        </w:rPr>
        <w:t>Assessment of the Relative Importance Design Principles Index (IDPI)</w:t>
      </w:r>
    </w:p>
    <w:tbl>
      <w:tblPr>
        <w:tblW w:w="9437" w:type="dxa"/>
        <w:jc w:val="center"/>
        <w:tblLayout w:type="fixed"/>
        <w:tblLook w:val="04A0" w:firstRow="1" w:lastRow="0" w:firstColumn="1" w:lastColumn="0" w:noHBand="0" w:noVBand="1"/>
      </w:tblPr>
      <w:tblGrid>
        <w:gridCol w:w="630"/>
        <w:gridCol w:w="1834"/>
        <w:gridCol w:w="994"/>
        <w:gridCol w:w="795"/>
        <w:gridCol w:w="816"/>
        <w:gridCol w:w="762"/>
        <w:gridCol w:w="1170"/>
        <w:gridCol w:w="937"/>
        <w:gridCol w:w="672"/>
        <w:gridCol w:w="827"/>
      </w:tblGrid>
      <w:tr w:rsidR="00A63CD3" w:rsidRPr="00244A2E" w14:paraId="211B4A8A" w14:textId="77777777" w:rsidTr="00244A2E">
        <w:trPr>
          <w:jc w:val="center"/>
        </w:trPr>
        <w:tc>
          <w:tcPr>
            <w:tcW w:w="630" w:type="dxa"/>
            <w:tcBorders>
              <w:top w:val="single" w:sz="18" w:space="0" w:color="auto"/>
              <w:bottom w:val="single" w:sz="8" w:space="0" w:color="auto"/>
            </w:tcBorders>
          </w:tcPr>
          <w:p w14:paraId="1B8076C4"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S/N</w:t>
            </w:r>
          </w:p>
        </w:tc>
        <w:tc>
          <w:tcPr>
            <w:tcW w:w="1834" w:type="dxa"/>
            <w:tcBorders>
              <w:top w:val="single" w:sz="18" w:space="0" w:color="auto"/>
              <w:bottom w:val="single" w:sz="8" w:space="0" w:color="auto"/>
            </w:tcBorders>
            <w:shd w:val="clear" w:color="auto" w:fill="auto"/>
          </w:tcPr>
          <w:p w14:paraId="2A590D27"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Design Principles</w:t>
            </w:r>
          </w:p>
        </w:tc>
        <w:tc>
          <w:tcPr>
            <w:tcW w:w="994" w:type="dxa"/>
            <w:tcBorders>
              <w:top w:val="single" w:sz="18" w:space="0" w:color="auto"/>
              <w:bottom w:val="single" w:sz="8" w:space="0" w:color="auto"/>
            </w:tcBorders>
            <w:shd w:val="clear" w:color="auto" w:fill="auto"/>
          </w:tcPr>
          <w:p w14:paraId="355A63BD"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Not important      (1)</w:t>
            </w:r>
          </w:p>
        </w:tc>
        <w:tc>
          <w:tcPr>
            <w:tcW w:w="795" w:type="dxa"/>
            <w:tcBorders>
              <w:top w:val="single" w:sz="18" w:space="0" w:color="auto"/>
              <w:bottom w:val="single" w:sz="8" w:space="0" w:color="auto"/>
            </w:tcBorders>
            <w:shd w:val="clear" w:color="auto" w:fill="auto"/>
          </w:tcPr>
          <w:p w14:paraId="67B129F1"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Slightly important (2)</w:t>
            </w:r>
          </w:p>
        </w:tc>
        <w:tc>
          <w:tcPr>
            <w:tcW w:w="816" w:type="dxa"/>
            <w:tcBorders>
              <w:top w:val="single" w:sz="18" w:space="0" w:color="auto"/>
              <w:bottom w:val="single" w:sz="8" w:space="0" w:color="auto"/>
            </w:tcBorders>
            <w:shd w:val="clear" w:color="auto" w:fill="auto"/>
          </w:tcPr>
          <w:p w14:paraId="12A2EC0E"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Neutral (3)</w:t>
            </w:r>
          </w:p>
        </w:tc>
        <w:tc>
          <w:tcPr>
            <w:tcW w:w="762" w:type="dxa"/>
            <w:tcBorders>
              <w:top w:val="single" w:sz="18" w:space="0" w:color="auto"/>
              <w:bottom w:val="single" w:sz="8" w:space="0" w:color="auto"/>
            </w:tcBorders>
            <w:shd w:val="clear" w:color="auto" w:fill="auto"/>
          </w:tcPr>
          <w:p w14:paraId="0F467EF9"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Important (4)</w:t>
            </w:r>
          </w:p>
        </w:tc>
        <w:tc>
          <w:tcPr>
            <w:tcW w:w="1170" w:type="dxa"/>
            <w:tcBorders>
              <w:top w:val="single" w:sz="18" w:space="0" w:color="auto"/>
              <w:bottom w:val="single" w:sz="8" w:space="0" w:color="auto"/>
            </w:tcBorders>
            <w:shd w:val="clear" w:color="auto" w:fill="auto"/>
          </w:tcPr>
          <w:p w14:paraId="1E81DE8A"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Very Important (5)</w:t>
            </w:r>
          </w:p>
        </w:tc>
        <w:tc>
          <w:tcPr>
            <w:tcW w:w="937" w:type="dxa"/>
            <w:tcBorders>
              <w:top w:val="single" w:sz="18" w:space="0" w:color="auto"/>
              <w:bottom w:val="single" w:sz="8" w:space="0" w:color="auto"/>
            </w:tcBorders>
            <w:shd w:val="clear" w:color="auto" w:fill="auto"/>
          </w:tcPr>
          <w:p w14:paraId="774323EE"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Total (Frequency)</w:t>
            </w:r>
          </w:p>
          <w:p w14:paraId="65C64C75"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(n)</w:t>
            </w:r>
          </w:p>
        </w:tc>
        <w:tc>
          <w:tcPr>
            <w:tcW w:w="672" w:type="dxa"/>
            <w:tcBorders>
              <w:top w:val="single" w:sz="18" w:space="0" w:color="auto"/>
              <w:bottom w:val="single" w:sz="8" w:space="0" w:color="auto"/>
            </w:tcBorders>
            <w:shd w:val="clear" w:color="auto" w:fill="auto"/>
          </w:tcPr>
          <w:p w14:paraId="03700D08"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TWV</w:t>
            </w:r>
          </w:p>
        </w:tc>
        <w:tc>
          <w:tcPr>
            <w:tcW w:w="827" w:type="dxa"/>
            <w:tcBorders>
              <w:top w:val="single" w:sz="18" w:space="0" w:color="auto"/>
              <w:bottom w:val="single" w:sz="8" w:space="0" w:color="auto"/>
            </w:tcBorders>
            <w:shd w:val="clear" w:color="auto" w:fill="auto"/>
          </w:tcPr>
          <w:p w14:paraId="7CB0AE4A"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TWV/n</w:t>
            </w:r>
          </w:p>
        </w:tc>
      </w:tr>
      <w:tr w:rsidR="00A63CD3" w:rsidRPr="00244A2E" w14:paraId="42E96366" w14:textId="77777777" w:rsidTr="00244A2E">
        <w:trPr>
          <w:jc w:val="center"/>
        </w:trPr>
        <w:tc>
          <w:tcPr>
            <w:tcW w:w="630" w:type="dxa"/>
            <w:tcBorders>
              <w:top w:val="single" w:sz="8" w:space="0" w:color="auto"/>
            </w:tcBorders>
          </w:tcPr>
          <w:p w14:paraId="2F075B23"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w:t>
            </w:r>
          </w:p>
        </w:tc>
        <w:tc>
          <w:tcPr>
            <w:tcW w:w="1834" w:type="dxa"/>
            <w:tcBorders>
              <w:top w:val="single" w:sz="8" w:space="0" w:color="auto"/>
            </w:tcBorders>
            <w:shd w:val="clear" w:color="auto" w:fill="auto"/>
          </w:tcPr>
          <w:p w14:paraId="484020BC"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Symmetry in the design of landscape features</w:t>
            </w:r>
          </w:p>
        </w:tc>
        <w:tc>
          <w:tcPr>
            <w:tcW w:w="994" w:type="dxa"/>
            <w:tcBorders>
              <w:top w:val="single" w:sz="8" w:space="0" w:color="auto"/>
            </w:tcBorders>
            <w:shd w:val="clear" w:color="auto" w:fill="auto"/>
          </w:tcPr>
          <w:p w14:paraId="5F34B006"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95" w:type="dxa"/>
            <w:tcBorders>
              <w:top w:val="single" w:sz="8" w:space="0" w:color="auto"/>
            </w:tcBorders>
            <w:shd w:val="clear" w:color="auto" w:fill="auto"/>
          </w:tcPr>
          <w:p w14:paraId="0351CD52"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816" w:type="dxa"/>
            <w:tcBorders>
              <w:top w:val="single" w:sz="8" w:space="0" w:color="auto"/>
            </w:tcBorders>
            <w:shd w:val="clear" w:color="auto" w:fill="auto"/>
          </w:tcPr>
          <w:p w14:paraId="743E6EEB"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62" w:type="dxa"/>
            <w:tcBorders>
              <w:top w:val="single" w:sz="8" w:space="0" w:color="auto"/>
            </w:tcBorders>
            <w:shd w:val="clear" w:color="auto" w:fill="auto"/>
          </w:tcPr>
          <w:p w14:paraId="1A322D0E"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132</w:t>
            </w:r>
          </w:p>
        </w:tc>
        <w:tc>
          <w:tcPr>
            <w:tcW w:w="1170" w:type="dxa"/>
            <w:tcBorders>
              <w:top w:val="single" w:sz="8" w:space="0" w:color="auto"/>
            </w:tcBorders>
            <w:shd w:val="clear" w:color="auto" w:fill="auto"/>
          </w:tcPr>
          <w:p w14:paraId="11F72A0F"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185</w:t>
            </w:r>
          </w:p>
        </w:tc>
        <w:tc>
          <w:tcPr>
            <w:tcW w:w="937" w:type="dxa"/>
            <w:tcBorders>
              <w:top w:val="single" w:sz="8" w:space="0" w:color="auto"/>
            </w:tcBorders>
            <w:shd w:val="clear" w:color="auto" w:fill="auto"/>
          </w:tcPr>
          <w:p w14:paraId="52154F39"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tcBorders>
              <w:top w:val="single" w:sz="8" w:space="0" w:color="auto"/>
            </w:tcBorders>
            <w:shd w:val="clear" w:color="auto" w:fill="auto"/>
          </w:tcPr>
          <w:p w14:paraId="168D2C61"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1453</w:t>
            </w:r>
          </w:p>
        </w:tc>
        <w:tc>
          <w:tcPr>
            <w:tcW w:w="827" w:type="dxa"/>
            <w:tcBorders>
              <w:top w:val="single" w:sz="8" w:space="0" w:color="auto"/>
            </w:tcBorders>
            <w:shd w:val="clear" w:color="auto" w:fill="auto"/>
          </w:tcPr>
          <w:p w14:paraId="40EC4394"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4.58</w:t>
            </w:r>
          </w:p>
        </w:tc>
      </w:tr>
      <w:tr w:rsidR="00A63CD3" w:rsidRPr="00244A2E" w14:paraId="3FE9023E" w14:textId="77777777" w:rsidTr="00244A2E">
        <w:trPr>
          <w:jc w:val="center"/>
        </w:trPr>
        <w:tc>
          <w:tcPr>
            <w:tcW w:w="630" w:type="dxa"/>
          </w:tcPr>
          <w:p w14:paraId="0E9729B5"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w:t>
            </w:r>
          </w:p>
        </w:tc>
        <w:tc>
          <w:tcPr>
            <w:tcW w:w="1834" w:type="dxa"/>
            <w:shd w:val="clear" w:color="auto" w:fill="auto"/>
          </w:tcPr>
          <w:p w14:paraId="5827BC93"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Proportion of landscape elements relative to each other and to the hotel</w:t>
            </w:r>
          </w:p>
        </w:tc>
        <w:tc>
          <w:tcPr>
            <w:tcW w:w="994" w:type="dxa"/>
            <w:shd w:val="clear" w:color="auto" w:fill="auto"/>
          </w:tcPr>
          <w:p w14:paraId="077A399C"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95" w:type="dxa"/>
            <w:shd w:val="clear" w:color="auto" w:fill="auto"/>
          </w:tcPr>
          <w:p w14:paraId="7700BFDA"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816" w:type="dxa"/>
            <w:shd w:val="clear" w:color="auto" w:fill="auto"/>
          </w:tcPr>
          <w:p w14:paraId="72CD1883"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62" w:type="dxa"/>
            <w:shd w:val="clear" w:color="auto" w:fill="auto"/>
          </w:tcPr>
          <w:p w14:paraId="41323F6B"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134</w:t>
            </w:r>
          </w:p>
        </w:tc>
        <w:tc>
          <w:tcPr>
            <w:tcW w:w="1170" w:type="dxa"/>
            <w:shd w:val="clear" w:color="auto" w:fill="auto"/>
          </w:tcPr>
          <w:p w14:paraId="3FB7C004"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183</w:t>
            </w:r>
          </w:p>
        </w:tc>
        <w:tc>
          <w:tcPr>
            <w:tcW w:w="937" w:type="dxa"/>
            <w:shd w:val="clear" w:color="auto" w:fill="auto"/>
          </w:tcPr>
          <w:p w14:paraId="074E329F"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5DF8B715"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1451</w:t>
            </w:r>
          </w:p>
        </w:tc>
        <w:tc>
          <w:tcPr>
            <w:tcW w:w="827" w:type="dxa"/>
            <w:shd w:val="clear" w:color="auto" w:fill="auto"/>
          </w:tcPr>
          <w:p w14:paraId="299478BF"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4.58</w:t>
            </w:r>
          </w:p>
        </w:tc>
      </w:tr>
      <w:tr w:rsidR="00A63CD3" w:rsidRPr="00244A2E" w14:paraId="533D936D" w14:textId="77777777" w:rsidTr="00244A2E">
        <w:trPr>
          <w:jc w:val="center"/>
        </w:trPr>
        <w:tc>
          <w:tcPr>
            <w:tcW w:w="630" w:type="dxa"/>
          </w:tcPr>
          <w:p w14:paraId="6907C99B"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w:t>
            </w:r>
          </w:p>
        </w:tc>
        <w:tc>
          <w:tcPr>
            <w:tcW w:w="1834" w:type="dxa"/>
            <w:shd w:val="clear" w:color="auto" w:fill="auto"/>
          </w:tcPr>
          <w:p w14:paraId="6ACE2B47"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Variety and diversity of landscape elements</w:t>
            </w:r>
          </w:p>
        </w:tc>
        <w:tc>
          <w:tcPr>
            <w:tcW w:w="994" w:type="dxa"/>
            <w:shd w:val="clear" w:color="auto" w:fill="auto"/>
          </w:tcPr>
          <w:p w14:paraId="025F392F"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95" w:type="dxa"/>
            <w:shd w:val="clear" w:color="auto" w:fill="auto"/>
          </w:tcPr>
          <w:p w14:paraId="1A217341"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816" w:type="dxa"/>
            <w:shd w:val="clear" w:color="auto" w:fill="auto"/>
          </w:tcPr>
          <w:p w14:paraId="104F3A6B"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50</w:t>
            </w:r>
          </w:p>
        </w:tc>
        <w:tc>
          <w:tcPr>
            <w:tcW w:w="762" w:type="dxa"/>
            <w:shd w:val="clear" w:color="auto" w:fill="auto"/>
          </w:tcPr>
          <w:p w14:paraId="4A80CF05"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121</w:t>
            </w:r>
          </w:p>
        </w:tc>
        <w:tc>
          <w:tcPr>
            <w:tcW w:w="1170" w:type="dxa"/>
            <w:shd w:val="clear" w:color="auto" w:fill="auto"/>
          </w:tcPr>
          <w:p w14:paraId="4A92DCD7"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146</w:t>
            </w:r>
          </w:p>
        </w:tc>
        <w:tc>
          <w:tcPr>
            <w:tcW w:w="937" w:type="dxa"/>
            <w:shd w:val="clear" w:color="auto" w:fill="auto"/>
          </w:tcPr>
          <w:p w14:paraId="7F2EFEC4"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48F09D2A"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1364</w:t>
            </w:r>
          </w:p>
        </w:tc>
        <w:tc>
          <w:tcPr>
            <w:tcW w:w="827" w:type="dxa"/>
            <w:shd w:val="clear" w:color="auto" w:fill="auto"/>
          </w:tcPr>
          <w:p w14:paraId="51CA26C1"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4.30</w:t>
            </w:r>
          </w:p>
        </w:tc>
      </w:tr>
      <w:tr w:rsidR="00A63CD3" w:rsidRPr="00244A2E" w14:paraId="7E6FE3FD" w14:textId="77777777" w:rsidTr="00244A2E">
        <w:trPr>
          <w:jc w:val="center"/>
        </w:trPr>
        <w:tc>
          <w:tcPr>
            <w:tcW w:w="630" w:type="dxa"/>
          </w:tcPr>
          <w:p w14:paraId="7C4DAA37"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w:t>
            </w:r>
          </w:p>
        </w:tc>
        <w:tc>
          <w:tcPr>
            <w:tcW w:w="1834" w:type="dxa"/>
            <w:shd w:val="clear" w:color="auto" w:fill="auto"/>
          </w:tcPr>
          <w:p w14:paraId="4A87F638"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Balance in the arrangement of landscape element</w:t>
            </w:r>
          </w:p>
        </w:tc>
        <w:tc>
          <w:tcPr>
            <w:tcW w:w="994" w:type="dxa"/>
            <w:shd w:val="clear" w:color="auto" w:fill="auto"/>
          </w:tcPr>
          <w:p w14:paraId="5CFD8E18"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95" w:type="dxa"/>
            <w:shd w:val="clear" w:color="auto" w:fill="auto"/>
          </w:tcPr>
          <w:p w14:paraId="06412110"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5</w:t>
            </w:r>
          </w:p>
        </w:tc>
        <w:tc>
          <w:tcPr>
            <w:tcW w:w="816" w:type="dxa"/>
            <w:shd w:val="clear" w:color="auto" w:fill="auto"/>
          </w:tcPr>
          <w:p w14:paraId="0B9E1D56"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45</w:t>
            </w:r>
          </w:p>
        </w:tc>
        <w:tc>
          <w:tcPr>
            <w:tcW w:w="762" w:type="dxa"/>
            <w:shd w:val="clear" w:color="auto" w:fill="auto"/>
          </w:tcPr>
          <w:p w14:paraId="4BD81A66"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132</w:t>
            </w:r>
          </w:p>
        </w:tc>
        <w:tc>
          <w:tcPr>
            <w:tcW w:w="1170" w:type="dxa"/>
            <w:shd w:val="clear" w:color="auto" w:fill="auto"/>
          </w:tcPr>
          <w:p w14:paraId="3C7990B3"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135</w:t>
            </w:r>
          </w:p>
        </w:tc>
        <w:tc>
          <w:tcPr>
            <w:tcW w:w="937" w:type="dxa"/>
            <w:shd w:val="clear" w:color="auto" w:fill="auto"/>
          </w:tcPr>
          <w:p w14:paraId="1EB0EE1C"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04AB5BCD"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1348</w:t>
            </w:r>
          </w:p>
        </w:tc>
        <w:tc>
          <w:tcPr>
            <w:tcW w:w="827" w:type="dxa"/>
            <w:shd w:val="clear" w:color="auto" w:fill="auto"/>
          </w:tcPr>
          <w:p w14:paraId="3CED80B8"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4.25</w:t>
            </w:r>
          </w:p>
        </w:tc>
      </w:tr>
      <w:tr w:rsidR="00A63CD3" w:rsidRPr="00244A2E" w14:paraId="146DD5CB" w14:textId="77777777" w:rsidTr="00244A2E">
        <w:trPr>
          <w:jc w:val="center"/>
        </w:trPr>
        <w:tc>
          <w:tcPr>
            <w:tcW w:w="630" w:type="dxa"/>
          </w:tcPr>
          <w:p w14:paraId="258A5640"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5</w:t>
            </w:r>
          </w:p>
        </w:tc>
        <w:tc>
          <w:tcPr>
            <w:tcW w:w="1834" w:type="dxa"/>
            <w:shd w:val="clear" w:color="auto" w:fill="auto"/>
          </w:tcPr>
          <w:p w14:paraId="471B9A1C"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Rhythm and repetition in landscape elements</w:t>
            </w:r>
          </w:p>
        </w:tc>
        <w:tc>
          <w:tcPr>
            <w:tcW w:w="994" w:type="dxa"/>
            <w:shd w:val="clear" w:color="auto" w:fill="auto"/>
          </w:tcPr>
          <w:p w14:paraId="08F3FB3E"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95" w:type="dxa"/>
            <w:shd w:val="clear" w:color="auto" w:fill="auto"/>
          </w:tcPr>
          <w:p w14:paraId="12FA2F8D"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w:t>
            </w:r>
          </w:p>
        </w:tc>
        <w:tc>
          <w:tcPr>
            <w:tcW w:w="816" w:type="dxa"/>
            <w:shd w:val="clear" w:color="auto" w:fill="auto"/>
          </w:tcPr>
          <w:p w14:paraId="22FEE647"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55</w:t>
            </w:r>
          </w:p>
        </w:tc>
        <w:tc>
          <w:tcPr>
            <w:tcW w:w="762" w:type="dxa"/>
            <w:shd w:val="clear" w:color="auto" w:fill="auto"/>
          </w:tcPr>
          <w:p w14:paraId="27D4F228"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125</w:t>
            </w:r>
          </w:p>
        </w:tc>
        <w:tc>
          <w:tcPr>
            <w:tcW w:w="1170" w:type="dxa"/>
            <w:shd w:val="clear" w:color="auto" w:fill="auto"/>
          </w:tcPr>
          <w:p w14:paraId="2F5AC37F"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135</w:t>
            </w:r>
          </w:p>
        </w:tc>
        <w:tc>
          <w:tcPr>
            <w:tcW w:w="937" w:type="dxa"/>
            <w:shd w:val="clear" w:color="auto" w:fill="auto"/>
          </w:tcPr>
          <w:p w14:paraId="480AA63E"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5B9880D2"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1344</w:t>
            </w:r>
          </w:p>
        </w:tc>
        <w:tc>
          <w:tcPr>
            <w:tcW w:w="827" w:type="dxa"/>
            <w:shd w:val="clear" w:color="auto" w:fill="auto"/>
          </w:tcPr>
          <w:p w14:paraId="0492F280"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4.24</w:t>
            </w:r>
          </w:p>
        </w:tc>
      </w:tr>
      <w:tr w:rsidR="00A63CD3" w:rsidRPr="00244A2E" w14:paraId="7D0245F7" w14:textId="77777777" w:rsidTr="00244A2E">
        <w:trPr>
          <w:jc w:val="center"/>
        </w:trPr>
        <w:tc>
          <w:tcPr>
            <w:tcW w:w="630" w:type="dxa"/>
          </w:tcPr>
          <w:p w14:paraId="54AF968D"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6</w:t>
            </w:r>
          </w:p>
        </w:tc>
        <w:tc>
          <w:tcPr>
            <w:tcW w:w="1834" w:type="dxa"/>
            <w:shd w:val="clear" w:color="auto" w:fill="auto"/>
          </w:tcPr>
          <w:p w14:paraId="6F2F75D6"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Harmony and unity in the overall landscape design</w:t>
            </w:r>
          </w:p>
        </w:tc>
        <w:tc>
          <w:tcPr>
            <w:tcW w:w="994" w:type="dxa"/>
            <w:shd w:val="clear" w:color="auto" w:fill="auto"/>
          </w:tcPr>
          <w:p w14:paraId="0AC8920D"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95" w:type="dxa"/>
            <w:shd w:val="clear" w:color="auto" w:fill="auto"/>
          </w:tcPr>
          <w:p w14:paraId="4B97A136"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816" w:type="dxa"/>
            <w:shd w:val="clear" w:color="auto" w:fill="auto"/>
          </w:tcPr>
          <w:p w14:paraId="13108011"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90</w:t>
            </w:r>
          </w:p>
        </w:tc>
        <w:tc>
          <w:tcPr>
            <w:tcW w:w="762" w:type="dxa"/>
            <w:shd w:val="clear" w:color="auto" w:fill="auto"/>
          </w:tcPr>
          <w:p w14:paraId="7B0DD1C8"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125</w:t>
            </w:r>
          </w:p>
        </w:tc>
        <w:tc>
          <w:tcPr>
            <w:tcW w:w="1170" w:type="dxa"/>
            <w:shd w:val="clear" w:color="auto" w:fill="auto"/>
          </w:tcPr>
          <w:p w14:paraId="5C35DC0B"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102</w:t>
            </w:r>
          </w:p>
        </w:tc>
        <w:tc>
          <w:tcPr>
            <w:tcW w:w="937" w:type="dxa"/>
            <w:shd w:val="clear" w:color="auto" w:fill="auto"/>
          </w:tcPr>
          <w:p w14:paraId="19476B8A"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63F542EE"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1280</w:t>
            </w:r>
          </w:p>
        </w:tc>
        <w:tc>
          <w:tcPr>
            <w:tcW w:w="827" w:type="dxa"/>
            <w:shd w:val="clear" w:color="auto" w:fill="auto"/>
          </w:tcPr>
          <w:p w14:paraId="53158E55"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4.04</w:t>
            </w:r>
          </w:p>
        </w:tc>
      </w:tr>
      <w:tr w:rsidR="00A63CD3" w:rsidRPr="00244A2E" w14:paraId="62C98A6A" w14:textId="77777777" w:rsidTr="00244A2E">
        <w:trPr>
          <w:jc w:val="center"/>
        </w:trPr>
        <w:tc>
          <w:tcPr>
            <w:tcW w:w="630" w:type="dxa"/>
          </w:tcPr>
          <w:p w14:paraId="5B4314EE"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7</w:t>
            </w:r>
          </w:p>
        </w:tc>
        <w:tc>
          <w:tcPr>
            <w:tcW w:w="1834" w:type="dxa"/>
            <w:shd w:val="clear" w:color="auto" w:fill="auto"/>
          </w:tcPr>
          <w:p w14:paraId="3786E692"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Emphasis on focal points in landscape design</w:t>
            </w:r>
          </w:p>
        </w:tc>
        <w:tc>
          <w:tcPr>
            <w:tcW w:w="994" w:type="dxa"/>
            <w:shd w:val="clear" w:color="auto" w:fill="auto"/>
          </w:tcPr>
          <w:p w14:paraId="4D484F65"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95" w:type="dxa"/>
            <w:shd w:val="clear" w:color="auto" w:fill="auto"/>
          </w:tcPr>
          <w:p w14:paraId="6A1AC628"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12</w:t>
            </w:r>
          </w:p>
        </w:tc>
        <w:tc>
          <w:tcPr>
            <w:tcW w:w="816" w:type="dxa"/>
            <w:shd w:val="clear" w:color="auto" w:fill="auto"/>
          </w:tcPr>
          <w:p w14:paraId="2030DF06"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89</w:t>
            </w:r>
          </w:p>
        </w:tc>
        <w:tc>
          <w:tcPr>
            <w:tcW w:w="762" w:type="dxa"/>
            <w:shd w:val="clear" w:color="auto" w:fill="auto"/>
          </w:tcPr>
          <w:p w14:paraId="0DE8B1A4"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98</w:t>
            </w:r>
          </w:p>
        </w:tc>
        <w:tc>
          <w:tcPr>
            <w:tcW w:w="1170" w:type="dxa"/>
            <w:shd w:val="clear" w:color="auto" w:fill="auto"/>
          </w:tcPr>
          <w:p w14:paraId="32F3867E"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118</w:t>
            </w:r>
          </w:p>
        </w:tc>
        <w:tc>
          <w:tcPr>
            <w:tcW w:w="937" w:type="dxa"/>
            <w:shd w:val="clear" w:color="auto" w:fill="auto"/>
          </w:tcPr>
          <w:p w14:paraId="437B662A"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700B43A7"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1273</w:t>
            </w:r>
          </w:p>
        </w:tc>
        <w:tc>
          <w:tcPr>
            <w:tcW w:w="827" w:type="dxa"/>
            <w:shd w:val="clear" w:color="auto" w:fill="auto"/>
          </w:tcPr>
          <w:p w14:paraId="7B2F5B2B"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4.02</w:t>
            </w:r>
          </w:p>
        </w:tc>
      </w:tr>
      <w:tr w:rsidR="00A63CD3" w:rsidRPr="00244A2E" w14:paraId="2CCDCFC7" w14:textId="77777777" w:rsidTr="00244A2E">
        <w:trPr>
          <w:jc w:val="center"/>
        </w:trPr>
        <w:tc>
          <w:tcPr>
            <w:tcW w:w="630" w:type="dxa"/>
          </w:tcPr>
          <w:p w14:paraId="68CFDFD8"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1834" w:type="dxa"/>
            <w:vMerge w:val="restart"/>
            <w:shd w:val="clear" w:color="auto" w:fill="auto"/>
          </w:tcPr>
          <w:p w14:paraId="09CB4B6C"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Average</w:t>
            </w:r>
          </w:p>
        </w:tc>
        <w:tc>
          <w:tcPr>
            <w:tcW w:w="994" w:type="dxa"/>
            <w:shd w:val="clear" w:color="auto" w:fill="auto"/>
          </w:tcPr>
          <w:p w14:paraId="57191B91"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795" w:type="dxa"/>
            <w:shd w:val="clear" w:color="auto" w:fill="auto"/>
          </w:tcPr>
          <w:p w14:paraId="79435F64"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816" w:type="dxa"/>
            <w:shd w:val="clear" w:color="auto" w:fill="auto"/>
          </w:tcPr>
          <w:p w14:paraId="28AF77BD"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762" w:type="dxa"/>
            <w:shd w:val="clear" w:color="auto" w:fill="auto"/>
          </w:tcPr>
          <w:p w14:paraId="6E91639A"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1170" w:type="dxa"/>
            <w:shd w:val="clear" w:color="auto" w:fill="auto"/>
          </w:tcPr>
          <w:p w14:paraId="5AA6F1E5"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937" w:type="dxa"/>
            <w:shd w:val="clear" w:color="auto" w:fill="auto"/>
          </w:tcPr>
          <w:p w14:paraId="519ACE35"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672" w:type="dxa"/>
            <w:shd w:val="clear" w:color="auto" w:fill="auto"/>
          </w:tcPr>
          <w:p w14:paraId="3AE5B64C"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827" w:type="dxa"/>
            <w:shd w:val="clear" w:color="auto" w:fill="auto"/>
          </w:tcPr>
          <w:p w14:paraId="198F62CB"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30.01/7</w:t>
            </w:r>
          </w:p>
        </w:tc>
      </w:tr>
      <w:tr w:rsidR="00A63CD3" w:rsidRPr="00244A2E" w14:paraId="4341EBAF" w14:textId="77777777" w:rsidTr="00244A2E">
        <w:trPr>
          <w:jc w:val="center"/>
        </w:trPr>
        <w:tc>
          <w:tcPr>
            <w:tcW w:w="630" w:type="dxa"/>
            <w:tcBorders>
              <w:bottom w:val="single" w:sz="18" w:space="0" w:color="auto"/>
            </w:tcBorders>
          </w:tcPr>
          <w:p w14:paraId="6EA8CA73"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1834" w:type="dxa"/>
            <w:vMerge/>
            <w:tcBorders>
              <w:bottom w:val="single" w:sz="18" w:space="0" w:color="auto"/>
            </w:tcBorders>
            <w:shd w:val="clear" w:color="auto" w:fill="auto"/>
          </w:tcPr>
          <w:p w14:paraId="5C6B90B7" w14:textId="77777777" w:rsidR="00A63CD3" w:rsidRPr="00244A2E" w:rsidRDefault="00A63CD3" w:rsidP="00244A2E">
            <w:pPr>
              <w:pStyle w:val="NoSpacing"/>
              <w:jc w:val="left"/>
              <w:rPr>
                <w:rFonts w:ascii="Times New Roman" w:hAnsi="Times New Roman" w:cs="Times New Roman"/>
                <w:color w:val="000000" w:themeColor="text1"/>
                <w:sz w:val="20"/>
                <w:szCs w:val="20"/>
              </w:rPr>
            </w:pPr>
          </w:p>
        </w:tc>
        <w:tc>
          <w:tcPr>
            <w:tcW w:w="994" w:type="dxa"/>
            <w:tcBorders>
              <w:bottom w:val="single" w:sz="18" w:space="0" w:color="auto"/>
            </w:tcBorders>
            <w:shd w:val="clear" w:color="auto" w:fill="auto"/>
          </w:tcPr>
          <w:p w14:paraId="259BAEE6"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795" w:type="dxa"/>
            <w:tcBorders>
              <w:bottom w:val="single" w:sz="18" w:space="0" w:color="auto"/>
            </w:tcBorders>
            <w:shd w:val="clear" w:color="auto" w:fill="auto"/>
          </w:tcPr>
          <w:p w14:paraId="60916F0A"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816" w:type="dxa"/>
            <w:tcBorders>
              <w:bottom w:val="single" w:sz="18" w:space="0" w:color="auto"/>
            </w:tcBorders>
            <w:shd w:val="clear" w:color="auto" w:fill="auto"/>
          </w:tcPr>
          <w:p w14:paraId="465DC965"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762" w:type="dxa"/>
            <w:tcBorders>
              <w:bottom w:val="single" w:sz="18" w:space="0" w:color="auto"/>
            </w:tcBorders>
            <w:shd w:val="clear" w:color="auto" w:fill="auto"/>
          </w:tcPr>
          <w:p w14:paraId="1703FDB6"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1170" w:type="dxa"/>
            <w:tcBorders>
              <w:bottom w:val="single" w:sz="18" w:space="0" w:color="auto"/>
            </w:tcBorders>
            <w:shd w:val="clear" w:color="auto" w:fill="auto"/>
          </w:tcPr>
          <w:p w14:paraId="0F28F6AD"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937" w:type="dxa"/>
            <w:tcBorders>
              <w:bottom w:val="single" w:sz="18" w:space="0" w:color="auto"/>
            </w:tcBorders>
            <w:shd w:val="clear" w:color="auto" w:fill="auto"/>
          </w:tcPr>
          <w:p w14:paraId="318C103C"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672" w:type="dxa"/>
            <w:tcBorders>
              <w:bottom w:val="single" w:sz="18" w:space="0" w:color="auto"/>
            </w:tcBorders>
            <w:shd w:val="clear" w:color="auto" w:fill="auto"/>
          </w:tcPr>
          <w:p w14:paraId="655788EA"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827" w:type="dxa"/>
            <w:tcBorders>
              <w:bottom w:val="single" w:sz="18" w:space="0" w:color="auto"/>
            </w:tcBorders>
            <w:shd w:val="clear" w:color="auto" w:fill="auto"/>
          </w:tcPr>
          <w:p w14:paraId="6A2C5EE8"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4.29</w:t>
            </w:r>
          </w:p>
        </w:tc>
      </w:tr>
    </w:tbl>
    <w:p w14:paraId="52FB66A6" w14:textId="77777777" w:rsidR="00A63CD3" w:rsidRPr="00BE4AF3" w:rsidRDefault="00A63CD3" w:rsidP="00A63CD3">
      <w:pPr>
        <w:spacing w:after="0" w:line="240" w:lineRule="auto"/>
        <w:rPr>
          <w:rFonts w:ascii="Times New Roman" w:eastAsia="Calibri" w:hAnsi="Times New Roman" w:cs="Times New Roman"/>
          <w:b/>
          <w:i/>
          <w:color w:val="000000" w:themeColor="text1"/>
          <w:sz w:val="24"/>
          <w:szCs w:val="24"/>
        </w:rPr>
      </w:pPr>
    </w:p>
    <w:p w14:paraId="119DD27D" w14:textId="3D5D4481" w:rsidR="00A63CD3" w:rsidRPr="00BE4AF3" w:rsidRDefault="00A63CD3" w:rsidP="00A63CD3">
      <w:pPr>
        <w:spacing w:after="0" w:line="240" w:lineRule="auto"/>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b/>
          <w:color w:val="000000" w:themeColor="text1"/>
          <w:sz w:val="24"/>
          <w:szCs w:val="24"/>
        </w:rPr>
        <w:t>Users' Perceptions of Design Principle</w:t>
      </w:r>
    </w:p>
    <w:p w14:paraId="6EA0B344" w14:textId="77777777" w:rsidR="00A63CD3" w:rsidRPr="00BE4AF3" w:rsidRDefault="00A63CD3" w:rsidP="00244A2E">
      <w:pPr>
        <w:spacing w:after="0" w:line="240" w:lineRule="auto"/>
        <w:jc w:val="both"/>
        <w:rPr>
          <w:rFonts w:ascii="Times New Roman" w:eastAsia="Calibri" w:hAnsi="Times New Roman" w:cs="Times New Roman"/>
          <w:color w:val="000000" w:themeColor="text1"/>
          <w:sz w:val="24"/>
          <w:szCs w:val="24"/>
        </w:rPr>
      </w:pPr>
      <w:r w:rsidRPr="00BE4AF3">
        <w:rPr>
          <w:rFonts w:ascii="Times New Roman" w:eastAsia="Calibri" w:hAnsi="Times New Roman" w:cs="Times New Roman"/>
          <w:color w:val="000000" w:themeColor="text1"/>
          <w:sz w:val="24"/>
          <w:szCs w:val="24"/>
        </w:rPr>
        <w:t>Table 4.34 presented the users' perceptions of design principle. The results show that several design principles significantly influenced users' perceptions of landscape elements. Among these principles, scale and proportion, balance, space, hierarchy, and visual focus emerged as particularly influential factors. Fourteen variables out of twenty seven variables had DPI that is greater than 3.43. The results indicated consideration for appropriate scale and proportion as very important in the design of landscape in hotel, highlighting the desire for landscapes that are harmonious and visually pleasing is also important. Similarly, balance, space, hierarchy, and visual focus received strong support, as significant factors. This result reveals that landscapes design incorporating these design principles are more likely to be perceived as aesthetically pleasing and engaging. Other influential factors included unity and coherence, variety and diversity, and functionality. These principles contribute to the overall coherence, visual interest, and usability of the landscape, demonstrating the importance of considering design principles in landscape planning and development.</w:t>
      </w:r>
    </w:p>
    <w:p w14:paraId="0168AD16" w14:textId="77777777" w:rsidR="00244A2E" w:rsidRDefault="00244A2E" w:rsidP="00A63CD3">
      <w:pPr>
        <w:spacing w:after="0" w:line="240" w:lineRule="auto"/>
        <w:jc w:val="both"/>
        <w:rPr>
          <w:rFonts w:ascii="Times New Roman" w:eastAsia="Calibri" w:hAnsi="Times New Roman" w:cs="Times New Roman"/>
          <w:b/>
          <w:color w:val="000000" w:themeColor="text1"/>
          <w:sz w:val="24"/>
          <w:szCs w:val="24"/>
        </w:rPr>
      </w:pPr>
    </w:p>
    <w:p w14:paraId="43ABDC8C" w14:textId="77777777" w:rsidR="00244A2E" w:rsidRDefault="00244A2E" w:rsidP="00A63CD3">
      <w:pPr>
        <w:spacing w:after="0" w:line="240" w:lineRule="auto"/>
        <w:jc w:val="both"/>
        <w:rPr>
          <w:rFonts w:ascii="Times New Roman" w:eastAsia="Calibri" w:hAnsi="Times New Roman" w:cs="Times New Roman"/>
          <w:b/>
          <w:color w:val="000000" w:themeColor="text1"/>
          <w:sz w:val="24"/>
          <w:szCs w:val="24"/>
        </w:rPr>
      </w:pPr>
    </w:p>
    <w:p w14:paraId="211C0DA2" w14:textId="77777777" w:rsidR="00244A2E" w:rsidRDefault="00244A2E" w:rsidP="00A63CD3">
      <w:pPr>
        <w:spacing w:after="0" w:line="240" w:lineRule="auto"/>
        <w:jc w:val="both"/>
        <w:rPr>
          <w:rFonts w:ascii="Times New Roman" w:eastAsia="Calibri" w:hAnsi="Times New Roman" w:cs="Times New Roman"/>
          <w:b/>
          <w:color w:val="000000" w:themeColor="text1"/>
          <w:sz w:val="24"/>
          <w:szCs w:val="24"/>
        </w:rPr>
      </w:pPr>
    </w:p>
    <w:p w14:paraId="609EBD02" w14:textId="77777777" w:rsidR="00244A2E" w:rsidRDefault="00244A2E" w:rsidP="00A63CD3">
      <w:pPr>
        <w:spacing w:after="0" w:line="240" w:lineRule="auto"/>
        <w:jc w:val="both"/>
        <w:rPr>
          <w:rFonts w:ascii="Times New Roman" w:eastAsia="Calibri" w:hAnsi="Times New Roman" w:cs="Times New Roman"/>
          <w:b/>
          <w:color w:val="000000" w:themeColor="text1"/>
          <w:sz w:val="24"/>
          <w:szCs w:val="24"/>
        </w:rPr>
      </w:pPr>
    </w:p>
    <w:p w14:paraId="757EEAE9" w14:textId="77777777" w:rsidR="00244A2E" w:rsidRDefault="00244A2E" w:rsidP="00A63CD3">
      <w:pPr>
        <w:spacing w:after="0" w:line="240" w:lineRule="auto"/>
        <w:jc w:val="both"/>
        <w:rPr>
          <w:rFonts w:ascii="Times New Roman" w:eastAsia="Calibri" w:hAnsi="Times New Roman" w:cs="Times New Roman"/>
          <w:b/>
          <w:color w:val="000000" w:themeColor="text1"/>
          <w:sz w:val="24"/>
          <w:szCs w:val="24"/>
        </w:rPr>
      </w:pPr>
    </w:p>
    <w:p w14:paraId="21D0118C" w14:textId="77777777" w:rsidR="00244A2E" w:rsidRDefault="00244A2E" w:rsidP="00A63CD3">
      <w:pPr>
        <w:spacing w:after="0" w:line="240" w:lineRule="auto"/>
        <w:jc w:val="both"/>
        <w:rPr>
          <w:rFonts w:ascii="Times New Roman" w:eastAsia="Calibri" w:hAnsi="Times New Roman" w:cs="Times New Roman"/>
          <w:b/>
          <w:color w:val="000000" w:themeColor="text1"/>
          <w:sz w:val="24"/>
          <w:szCs w:val="24"/>
        </w:rPr>
      </w:pPr>
    </w:p>
    <w:p w14:paraId="4FDD4F5A" w14:textId="77777777" w:rsidR="00244A2E" w:rsidRDefault="00244A2E" w:rsidP="00A63CD3">
      <w:pPr>
        <w:spacing w:after="0" w:line="240" w:lineRule="auto"/>
        <w:jc w:val="both"/>
        <w:rPr>
          <w:rFonts w:ascii="Times New Roman" w:eastAsia="Calibri" w:hAnsi="Times New Roman" w:cs="Times New Roman"/>
          <w:b/>
          <w:color w:val="000000" w:themeColor="text1"/>
          <w:sz w:val="24"/>
          <w:szCs w:val="24"/>
        </w:rPr>
      </w:pPr>
    </w:p>
    <w:p w14:paraId="65058485" w14:textId="77777777" w:rsidR="00244A2E" w:rsidRDefault="00244A2E" w:rsidP="00A63CD3">
      <w:pPr>
        <w:spacing w:after="0" w:line="240" w:lineRule="auto"/>
        <w:jc w:val="both"/>
        <w:rPr>
          <w:rFonts w:ascii="Times New Roman" w:eastAsia="Calibri" w:hAnsi="Times New Roman" w:cs="Times New Roman"/>
          <w:b/>
          <w:color w:val="000000" w:themeColor="text1"/>
          <w:sz w:val="24"/>
          <w:szCs w:val="24"/>
        </w:rPr>
      </w:pPr>
    </w:p>
    <w:p w14:paraId="33AD999E" w14:textId="77777777" w:rsidR="00244A2E" w:rsidRDefault="00244A2E" w:rsidP="00A63CD3">
      <w:pPr>
        <w:spacing w:after="0" w:line="240" w:lineRule="auto"/>
        <w:jc w:val="both"/>
        <w:rPr>
          <w:rFonts w:ascii="Times New Roman" w:eastAsia="Calibri" w:hAnsi="Times New Roman" w:cs="Times New Roman"/>
          <w:b/>
          <w:color w:val="000000" w:themeColor="text1"/>
          <w:sz w:val="24"/>
          <w:szCs w:val="24"/>
        </w:rPr>
      </w:pPr>
    </w:p>
    <w:p w14:paraId="46BB6C70" w14:textId="77777777" w:rsidR="00244A2E" w:rsidRDefault="00244A2E" w:rsidP="00A63CD3">
      <w:pPr>
        <w:spacing w:after="0" w:line="240" w:lineRule="auto"/>
        <w:jc w:val="both"/>
        <w:rPr>
          <w:rFonts w:ascii="Times New Roman" w:eastAsia="Calibri" w:hAnsi="Times New Roman" w:cs="Times New Roman"/>
          <w:b/>
          <w:color w:val="000000" w:themeColor="text1"/>
          <w:sz w:val="24"/>
          <w:szCs w:val="24"/>
        </w:rPr>
      </w:pPr>
    </w:p>
    <w:p w14:paraId="260A17D7" w14:textId="25EB1618" w:rsidR="00A63CD3" w:rsidRPr="00244A2E" w:rsidRDefault="00A63CD3" w:rsidP="002A3ABC">
      <w:pPr>
        <w:spacing w:after="0" w:line="240" w:lineRule="auto"/>
        <w:jc w:val="center"/>
        <w:rPr>
          <w:rFonts w:ascii="Times New Roman" w:eastAsia="Calibri" w:hAnsi="Times New Roman" w:cs="Times New Roman"/>
          <w:bCs/>
          <w:color w:val="000000" w:themeColor="text1"/>
          <w:sz w:val="24"/>
          <w:szCs w:val="24"/>
        </w:rPr>
      </w:pPr>
      <w:r w:rsidRPr="00BE4AF3">
        <w:rPr>
          <w:rFonts w:ascii="Times New Roman" w:eastAsia="Calibri" w:hAnsi="Times New Roman" w:cs="Times New Roman"/>
          <w:b/>
          <w:color w:val="000000" w:themeColor="text1"/>
          <w:sz w:val="24"/>
          <w:szCs w:val="24"/>
        </w:rPr>
        <w:lastRenderedPageBreak/>
        <w:t xml:space="preserve">Table 4.34: </w:t>
      </w:r>
      <w:r w:rsidRPr="00244A2E">
        <w:rPr>
          <w:rFonts w:ascii="Times New Roman" w:eastAsia="Calibri" w:hAnsi="Times New Roman" w:cs="Times New Roman"/>
          <w:bCs/>
          <w:color w:val="000000" w:themeColor="text1"/>
          <w:sz w:val="24"/>
          <w:szCs w:val="24"/>
        </w:rPr>
        <w:t>Design Principle Index (DPI)</w:t>
      </w:r>
    </w:p>
    <w:tbl>
      <w:tblPr>
        <w:tblW w:w="10540" w:type="dxa"/>
        <w:jc w:val="center"/>
        <w:tblLook w:val="04A0" w:firstRow="1" w:lastRow="0" w:firstColumn="1" w:lastColumn="0" w:noHBand="0" w:noVBand="1"/>
      </w:tblPr>
      <w:tblGrid>
        <w:gridCol w:w="784"/>
        <w:gridCol w:w="2477"/>
        <w:gridCol w:w="927"/>
        <w:gridCol w:w="927"/>
        <w:gridCol w:w="822"/>
        <w:gridCol w:w="771"/>
        <w:gridCol w:w="945"/>
        <w:gridCol w:w="1194"/>
        <w:gridCol w:w="672"/>
        <w:gridCol w:w="1021"/>
      </w:tblGrid>
      <w:tr w:rsidR="00A63CD3" w:rsidRPr="00BE4AF3" w14:paraId="517BED5F" w14:textId="77777777" w:rsidTr="00244A2E">
        <w:trPr>
          <w:jc w:val="center"/>
        </w:trPr>
        <w:tc>
          <w:tcPr>
            <w:tcW w:w="809" w:type="dxa"/>
            <w:tcBorders>
              <w:top w:val="single" w:sz="18" w:space="0" w:color="auto"/>
              <w:bottom w:val="single" w:sz="8" w:space="0" w:color="auto"/>
            </w:tcBorders>
          </w:tcPr>
          <w:p w14:paraId="6C41486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S/N</w:t>
            </w:r>
          </w:p>
        </w:tc>
        <w:tc>
          <w:tcPr>
            <w:tcW w:w="2581" w:type="dxa"/>
            <w:tcBorders>
              <w:top w:val="single" w:sz="18" w:space="0" w:color="auto"/>
              <w:bottom w:val="single" w:sz="8" w:space="0" w:color="auto"/>
            </w:tcBorders>
            <w:shd w:val="clear" w:color="auto" w:fill="auto"/>
          </w:tcPr>
          <w:p w14:paraId="1F8290B3" w14:textId="77777777" w:rsidR="00A63CD3" w:rsidRPr="00244A2E" w:rsidRDefault="00A63CD3" w:rsidP="00244A2E">
            <w:pPr>
              <w:pStyle w:val="NoSpacing"/>
              <w:jc w:val="left"/>
              <w:rPr>
                <w:rFonts w:ascii="Times New Roman" w:hAnsi="Times New Roman" w:cs="Times New Roman"/>
                <w:color w:val="000000" w:themeColor="text1"/>
                <w:sz w:val="20"/>
                <w:szCs w:val="20"/>
              </w:rPr>
            </w:pPr>
          </w:p>
          <w:p w14:paraId="6EF5E663"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Design Principle</w:t>
            </w:r>
          </w:p>
        </w:tc>
        <w:tc>
          <w:tcPr>
            <w:tcW w:w="927" w:type="dxa"/>
            <w:tcBorders>
              <w:top w:val="single" w:sz="18" w:space="0" w:color="auto"/>
              <w:bottom w:val="single" w:sz="8" w:space="0" w:color="auto"/>
            </w:tcBorders>
            <w:shd w:val="clear" w:color="auto" w:fill="auto"/>
          </w:tcPr>
          <w:p w14:paraId="6A94491E"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Strongly Disagree (1)</w:t>
            </w:r>
          </w:p>
        </w:tc>
        <w:tc>
          <w:tcPr>
            <w:tcW w:w="786" w:type="dxa"/>
            <w:tcBorders>
              <w:top w:val="single" w:sz="18" w:space="0" w:color="auto"/>
              <w:bottom w:val="single" w:sz="8" w:space="0" w:color="auto"/>
            </w:tcBorders>
            <w:shd w:val="clear" w:color="auto" w:fill="auto"/>
          </w:tcPr>
          <w:p w14:paraId="55C5E62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Disagree (2)</w:t>
            </w:r>
          </w:p>
        </w:tc>
        <w:tc>
          <w:tcPr>
            <w:tcW w:w="823" w:type="dxa"/>
            <w:tcBorders>
              <w:top w:val="single" w:sz="18" w:space="0" w:color="auto"/>
              <w:bottom w:val="single" w:sz="8" w:space="0" w:color="auto"/>
            </w:tcBorders>
            <w:shd w:val="clear" w:color="auto" w:fill="auto"/>
          </w:tcPr>
          <w:p w14:paraId="241A5ED9"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Neutral (3)</w:t>
            </w:r>
          </w:p>
        </w:tc>
        <w:tc>
          <w:tcPr>
            <w:tcW w:w="777" w:type="dxa"/>
            <w:tcBorders>
              <w:top w:val="single" w:sz="18" w:space="0" w:color="auto"/>
              <w:bottom w:val="single" w:sz="8" w:space="0" w:color="auto"/>
            </w:tcBorders>
            <w:shd w:val="clear" w:color="auto" w:fill="auto"/>
          </w:tcPr>
          <w:p w14:paraId="22B58306"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Agree       (4)</w:t>
            </w:r>
          </w:p>
        </w:tc>
        <w:tc>
          <w:tcPr>
            <w:tcW w:w="949" w:type="dxa"/>
            <w:tcBorders>
              <w:top w:val="single" w:sz="18" w:space="0" w:color="auto"/>
              <w:bottom w:val="single" w:sz="8" w:space="0" w:color="auto"/>
            </w:tcBorders>
            <w:shd w:val="clear" w:color="auto" w:fill="auto"/>
          </w:tcPr>
          <w:p w14:paraId="28704F0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Strongly Agree       (5)</w:t>
            </w:r>
          </w:p>
        </w:tc>
        <w:tc>
          <w:tcPr>
            <w:tcW w:w="1194" w:type="dxa"/>
            <w:tcBorders>
              <w:top w:val="single" w:sz="18" w:space="0" w:color="auto"/>
              <w:bottom w:val="single" w:sz="8" w:space="0" w:color="auto"/>
            </w:tcBorders>
            <w:shd w:val="clear" w:color="auto" w:fill="auto"/>
          </w:tcPr>
          <w:p w14:paraId="77939A5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Total (Frequency)</w:t>
            </w:r>
          </w:p>
          <w:p w14:paraId="74944E7F"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(n)</w:t>
            </w:r>
          </w:p>
        </w:tc>
        <w:tc>
          <w:tcPr>
            <w:tcW w:w="672" w:type="dxa"/>
            <w:tcBorders>
              <w:top w:val="single" w:sz="18" w:space="0" w:color="auto"/>
              <w:bottom w:val="single" w:sz="8" w:space="0" w:color="auto"/>
            </w:tcBorders>
            <w:shd w:val="clear" w:color="auto" w:fill="auto"/>
          </w:tcPr>
          <w:p w14:paraId="78945126"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TWV</w:t>
            </w:r>
          </w:p>
        </w:tc>
        <w:tc>
          <w:tcPr>
            <w:tcW w:w="1022" w:type="dxa"/>
            <w:tcBorders>
              <w:top w:val="single" w:sz="18" w:space="0" w:color="auto"/>
              <w:bottom w:val="single" w:sz="8" w:space="0" w:color="auto"/>
            </w:tcBorders>
            <w:shd w:val="clear" w:color="auto" w:fill="auto"/>
          </w:tcPr>
          <w:p w14:paraId="6CFA181C"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TWV/n</w:t>
            </w:r>
          </w:p>
        </w:tc>
      </w:tr>
      <w:tr w:rsidR="00A63CD3" w:rsidRPr="00BE4AF3" w14:paraId="1AB7C0DF" w14:textId="77777777" w:rsidTr="00244A2E">
        <w:trPr>
          <w:jc w:val="center"/>
        </w:trPr>
        <w:tc>
          <w:tcPr>
            <w:tcW w:w="809" w:type="dxa"/>
            <w:tcBorders>
              <w:top w:val="single" w:sz="8" w:space="0" w:color="auto"/>
            </w:tcBorders>
          </w:tcPr>
          <w:p w14:paraId="1A4E3174"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w:t>
            </w:r>
          </w:p>
        </w:tc>
        <w:tc>
          <w:tcPr>
            <w:tcW w:w="2581" w:type="dxa"/>
            <w:tcBorders>
              <w:top w:val="single" w:sz="8" w:space="0" w:color="auto"/>
            </w:tcBorders>
            <w:shd w:val="clear" w:color="auto" w:fill="auto"/>
          </w:tcPr>
          <w:p w14:paraId="44CBDDBF"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emphasizes key elements to create focal points and visual hierarchy</w:t>
            </w:r>
          </w:p>
        </w:tc>
        <w:tc>
          <w:tcPr>
            <w:tcW w:w="927" w:type="dxa"/>
            <w:tcBorders>
              <w:top w:val="single" w:sz="8" w:space="0" w:color="auto"/>
            </w:tcBorders>
            <w:shd w:val="clear" w:color="auto" w:fill="auto"/>
          </w:tcPr>
          <w:p w14:paraId="5C06C17A"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86" w:type="dxa"/>
            <w:tcBorders>
              <w:top w:val="single" w:sz="8" w:space="0" w:color="auto"/>
            </w:tcBorders>
            <w:shd w:val="clear" w:color="auto" w:fill="auto"/>
          </w:tcPr>
          <w:p w14:paraId="0A393E0A"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823" w:type="dxa"/>
            <w:tcBorders>
              <w:top w:val="single" w:sz="8" w:space="0" w:color="auto"/>
            </w:tcBorders>
            <w:shd w:val="clear" w:color="auto" w:fill="auto"/>
          </w:tcPr>
          <w:p w14:paraId="510DBB8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77" w:type="dxa"/>
            <w:tcBorders>
              <w:top w:val="single" w:sz="8" w:space="0" w:color="auto"/>
            </w:tcBorders>
            <w:shd w:val="clear" w:color="auto" w:fill="auto"/>
          </w:tcPr>
          <w:p w14:paraId="16DF34B5"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949" w:type="dxa"/>
            <w:tcBorders>
              <w:top w:val="single" w:sz="8" w:space="0" w:color="auto"/>
            </w:tcBorders>
            <w:shd w:val="clear" w:color="auto" w:fill="auto"/>
          </w:tcPr>
          <w:p w14:paraId="0BF5CC5D"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1194" w:type="dxa"/>
            <w:tcBorders>
              <w:top w:val="single" w:sz="8" w:space="0" w:color="auto"/>
            </w:tcBorders>
            <w:shd w:val="clear" w:color="auto" w:fill="auto"/>
          </w:tcPr>
          <w:p w14:paraId="6FADBFA2"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tcBorders>
              <w:top w:val="single" w:sz="8" w:space="0" w:color="auto"/>
            </w:tcBorders>
            <w:shd w:val="clear" w:color="auto" w:fill="auto"/>
          </w:tcPr>
          <w:p w14:paraId="779D9E5D"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1585</w:t>
            </w:r>
          </w:p>
        </w:tc>
        <w:tc>
          <w:tcPr>
            <w:tcW w:w="1022" w:type="dxa"/>
            <w:tcBorders>
              <w:top w:val="single" w:sz="8" w:space="0" w:color="auto"/>
            </w:tcBorders>
            <w:shd w:val="clear" w:color="auto" w:fill="auto"/>
          </w:tcPr>
          <w:p w14:paraId="74D1410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5.00</w:t>
            </w:r>
          </w:p>
        </w:tc>
      </w:tr>
      <w:tr w:rsidR="00A63CD3" w:rsidRPr="00BE4AF3" w14:paraId="5C31B3E4" w14:textId="77777777" w:rsidTr="00244A2E">
        <w:trPr>
          <w:jc w:val="center"/>
        </w:trPr>
        <w:tc>
          <w:tcPr>
            <w:tcW w:w="809" w:type="dxa"/>
          </w:tcPr>
          <w:p w14:paraId="166EE815"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w:t>
            </w:r>
          </w:p>
        </w:tc>
        <w:tc>
          <w:tcPr>
            <w:tcW w:w="2581" w:type="dxa"/>
            <w:shd w:val="clear" w:color="auto" w:fill="auto"/>
          </w:tcPr>
          <w:p w14:paraId="37CA2287"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ensures accessibility and safety for visitors (e.g., well-lit pathways, clear signage).</w:t>
            </w:r>
          </w:p>
        </w:tc>
        <w:tc>
          <w:tcPr>
            <w:tcW w:w="927" w:type="dxa"/>
            <w:shd w:val="clear" w:color="auto" w:fill="auto"/>
          </w:tcPr>
          <w:p w14:paraId="609B7806"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86" w:type="dxa"/>
            <w:shd w:val="clear" w:color="auto" w:fill="auto"/>
          </w:tcPr>
          <w:p w14:paraId="475855FF"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823" w:type="dxa"/>
            <w:shd w:val="clear" w:color="auto" w:fill="auto"/>
          </w:tcPr>
          <w:p w14:paraId="22E7ECFB"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77" w:type="dxa"/>
            <w:shd w:val="clear" w:color="auto" w:fill="auto"/>
          </w:tcPr>
          <w:p w14:paraId="367B2EC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949" w:type="dxa"/>
            <w:shd w:val="clear" w:color="auto" w:fill="auto"/>
          </w:tcPr>
          <w:p w14:paraId="2EBD6639"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1194" w:type="dxa"/>
            <w:shd w:val="clear" w:color="auto" w:fill="auto"/>
          </w:tcPr>
          <w:p w14:paraId="330776D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40660F29"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1585</w:t>
            </w:r>
          </w:p>
        </w:tc>
        <w:tc>
          <w:tcPr>
            <w:tcW w:w="1022" w:type="dxa"/>
            <w:shd w:val="clear" w:color="auto" w:fill="auto"/>
          </w:tcPr>
          <w:p w14:paraId="26606C9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5.00</w:t>
            </w:r>
          </w:p>
        </w:tc>
      </w:tr>
      <w:tr w:rsidR="00A63CD3" w:rsidRPr="00BE4AF3" w14:paraId="01A59109" w14:textId="77777777" w:rsidTr="00244A2E">
        <w:trPr>
          <w:jc w:val="center"/>
        </w:trPr>
        <w:tc>
          <w:tcPr>
            <w:tcW w:w="809" w:type="dxa"/>
          </w:tcPr>
          <w:p w14:paraId="79CF1B06"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w:t>
            </w:r>
          </w:p>
        </w:tc>
        <w:tc>
          <w:tcPr>
            <w:tcW w:w="2581" w:type="dxa"/>
            <w:shd w:val="clear" w:color="auto" w:fill="auto"/>
          </w:tcPr>
          <w:p w14:paraId="194CB649"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emphasizes environmental sustainability (e.g., use of native plants, water conservation).</w:t>
            </w:r>
          </w:p>
        </w:tc>
        <w:tc>
          <w:tcPr>
            <w:tcW w:w="927" w:type="dxa"/>
            <w:shd w:val="clear" w:color="auto" w:fill="auto"/>
          </w:tcPr>
          <w:p w14:paraId="2EF9C0CC"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86" w:type="dxa"/>
            <w:shd w:val="clear" w:color="auto" w:fill="auto"/>
          </w:tcPr>
          <w:p w14:paraId="3E66276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823" w:type="dxa"/>
            <w:shd w:val="clear" w:color="auto" w:fill="auto"/>
          </w:tcPr>
          <w:p w14:paraId="700182D6"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77" w:type="dxa"/>
            <w:shd w:val="clear" w:color="auto" w:fill="auto"/>
          </w:tcPr>
          <w:p w14:paraId="05053A57"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949" w:type="dxa"/>
            <w:shd w:val="clear" w:color="auto" w:fill="auto"/>
          </w:tcPr>
          <w:p w14:paraId="349BD2FA"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1194" w:type="dxa"/>
            <w:shd w:val="clear" w:color="auto" w:fill="auto"/>
          </w:tcPr>
          <w:p w14:paraId="58F9A39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7C0527AC"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1585</w:t>
            </w:r>
          </w:p>
        </w:tc>
        <w:tc>
          <w:tcPr>
            <w:tcW w:w="1022" w:type="dxa"/>
            <w:shd w:val="clear" w:color="auto" w:fill="auto"/>
          </w:tcPr>
          <w:p w14:paraId="6CCFF98D"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5.00</w:t>
            </w:r>
          </w:p>
        </w:tc>
      </w:tr>
      <w:tr w:rsidR="00A63CD3" w:rsidRPr="00BE4AF3" w14:paraId="51FF80B4" w14:textId="77777777" w:rsidTr="00244A2E">
        <w:trPr>
          <w:jc w:val="center"/>
        </w:trPr>
        <w:tc>
          <w:tcPr>
            <w:tcW w:w="809" w:type="dxa"/>
          </w:tcPr>
          <w:p w14:paraId="47B9AEA8"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w:t>
            </w:r>
          </w:p>
        </w:tc>
        <w:tc>
          <w:tcPr>
            <w:tcW w:w="2581" w:type="dxa"/>
            <w:shd w:val="clear" w:color="auto" w:fill="auto"/>
          </w:tcPr>
          <w:p w14:paraId="396E3933"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enhances the visual identity and branding (Image/Billie).</w:t>
            </w:r>
          </w:p>
        </w:tc>
        <w:tc>
          <w:tcPr>
            <w:tcW w:w="927" w:type="dxa"/>
            <w:shd w:val="clear" w:color="auto" w:fill="auto"/>
          </w:tcPr>
          <w:p w14:paraId="54953A7C"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86" w:type="dxa"/>
            <w:shd w:val="clear" w:color="auto" w:fill="auto"/>
          </w:tcPr>
          <w:p w14:paraId="7BF18288"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823" w:type="dxa"/>
            <w:shd w:val="clear" w:color="auto" w:fill="auto"/>
          </w:tcPr>
          <w:p w14:paraId="7B29934A"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23</w:t>
            </w:r>
          </w:p>
        </w:tc>
        <w:tc>
          <w:tcPr>
            <w:tcW w:w="777" w:type="dxa"/>
            <w:shd w:val="clear" w:color="auto" w:fill="auto"/>
          </w:tcPr>
          <w:p w14:paraId="05046FB4"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949" w:type="dxa"/>
            <w:shd w:val="clear" w:color="auto" w:fill="auto"/>
          </w:tcPr>
          <w:p w14:paraId="163DFC9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294</w:t>
            </w:r>
          </w:p>
        </w:tc>
        <w:tc>
          <w:tcPr>
            <w:tcW w:w="1194" w:type="dxa"/>
            <w:shd w:val="clear" w:color="auto" w:fill="auto"/>
          </w:tcPr>
          <w:p w14:paraId="630F3F02"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5AF124FD"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1539</w:t>
            </w:r>
          </w:p>
        </w:tc>
        <w:tc>
          <w:tcPr>
            <w:tcW w:w="1022" w:type="dxa"/>
            <w:shd w:val="clear" w:color="auto" w:fill="auto"/>
          </w:tcPr>
          <w:p w14:paraId="7024E20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4.85</w:t>
            </w:r>
          </w:p>
        </w:tc>
      </w:tr>
      <w:tr w:rsidR="00A63CD3" w:rsidRPr="00BE4AF3" w14:paraId="31506C19" w14:textId="77777777" w:rsidTr="00244A2E">
        <w:trPr>
          <w:jc w:val="center"/>
        </w:trPr>
        <w:tc>
          <w:tcPr>
            <w:tcW w:w="809" w:type="dxa"/>
          </w:tcPr>
          <w:p w14:paraId="51F95DB8"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5</w:t>
            </w:r>
          </w:p>
        </w:tc>
        <w:tc>
          <w:tcPr>
            <w:tcW w:w="2581" w:type="dxa"/>
            <w:shd w:val="clear" w:color="auto" w:fill="auto"/>
          </w:tcPr>
          <w:p w14:paraId="668D3DFF"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considers territorial aspects, such as zoning and separation of areas.</w:t>
            </w:r>
          </w:p>
        </w:tc>
        <w:tc>
          <w:tcPr>
            <w:tcW w:w="927" w:type="dxa"/>
            <w:shd w:val="clear" w:color="auto" w:fill="auto"/>
          </w:tcPr>
          <w:p w14:paraId="53905DE4"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86" w:type="dxa"/>
            <w:shd w:val="clear" w:color="auto" w:fill="auto"/>
          </w:tcPr>
          <w:p w14:paraId="646ED02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w:t>
            </w:r>
          </w:p>
        </w:tc>
        <w:tc>
          <w:tcPr>
            <w:tcW w:w="823" w:type="dxa"/>
            <w:shd w:val="clear" w:color="auto" w:fill="auto"/>
          </w:tcPr>
          <w:p w14:paraId="0A33C687"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32</w:t>
            </w:r>
          </w:p>
        </w:tc>
        <w:tc>
          <w:tcPr>
            <w:tcW w:w="777" w:type="dxa"/>
            <w:shd w:val="clear" w:color="auto" w:fill="auto"/>
          </w:tcPr>
          <w:p w14:paraId="7F53ED86"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12</w:t>
            </w:r>
          </w:p>
        </w:tc>
        <w:tc>
          <w:tcPr>
            <w:tcW w:w="949" w:type="dxa"/>
            <w:shd w:val="clear" w:color="auto" w:fill="auto"/>
          </w:tcPr>
          <w:p w14:paraId="51CC2EA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270</w:t>
            </w:r>
          </w:p>
        </w:tc>
        <w:tc>
          <w:tcPr>
            <w:tcW w:w="1194" w:type="dxa"/>
            <w:shd w:val="clear" w:color="auto" w:fill="auto"/>
          </w:tcPr>
          <w:p w14:paraId="2125C78F"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41657019"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1500</w:t>
            </w:r>
          </w:p>
        </w:tc>
        <w:tc>
          <w:tcPr>
            <w:tcW w:w="1022" w:type="dxa"/>
            <w:shd w:val="clear" w:color="auto" w:fill="auto"/>
          </w:tcPr>
          <w:p w14:paraId="6B8A3CEE"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4.73</w:t>
            </w:r>
          </w:p>
        </w:tc>
      </w:tr>
      <w:tr w:rsidR="00A63CD3" w:rsidRPr="00BE4AF3" w14:paraId="2C397AB7" w14:textId="77777777" w:rsidTr="00244A2E">
        <w:trPr>
          <w:jc w:val="center"/>
        </w:trPr>
        <w:tc>
          <w:tcPr>
            <w:tcW w:w="809" w:type="dxa"/>
          </w:tcPr>
          <w:p w14:paraId="754FDBD0"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6</w:t>
            </w:r>
          </w:p>
        </w:tc>
        <w:tc>
          <w:tcPr>
            <w:tcW w:w="2581" w:type="dxa"/>
            <w:shd w:val="clear" w:color="auto" w:fill="auto"/>
          </w:tcPr>
          <w:p w14:paraId="13B0A783"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prioritizes aesthetic appeal and ease of maintenance.</w:t>
            </w:r>
          </w:p>
        </w:tc>
        <w:tc>
          <w:tcPr>
            <w:tcW w:w="927" w:type="dxa"/>
            <w:shd w:val="clear" w:color="auto" w:fill="auto"/>
          </w:tcPr>
          <w:p w14:paraId="7B170442"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86" w:type="dxa"/>
            <w:shd w:val="clear" w:color="auto" w:fill="auto"/>
          </w:tcPr>
          <w:p w14:paraId="3D0B569B"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823" w:type="dxa"/>
            <w:shd w:val="clear" w:color="auto" w:fill="auto"/>
          </w:tcPr>
          <w:p w14:paraId="7706513F"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77" w:type="dxa"/>
            <w:shd w:val="clear" w:color="auto" w:fill="auto"/>
          </w:tcPr>
          <w:p w14:paraId="4867CF07"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120</w:t>
            </w:r>
          </w:p>
        </w:tc>
        <w:tc>
          <w:tcPr>
            <w:tcW w:w="949" w:type="dxa"/>
            <w:shd w:val="clear" w:color="auto" w:fill="auto"/>
          </w:tcPr>
          <w:p w14:paraId="517E242C"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197</w:t>
            </w:r>
          </w:p>
        </w:tc>
        <w:tc>
          <w:tcPr>
            <w:tcW w:w="1194" w:type="dxa"/>
            <w:shd w:val="clear" w:color="auto" w:fill="auto"/>
          </w:tcPr>
          <w:p w14:paraId="6F3E83A6"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4C4D651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1465</w:t>
            </w:r>
          </w:p>
        </w:tc>
        <w:tc>
          <w:tcPr>
            <w:tcW w:w="1022" w:type="dxa"/>
            <w:shd w:val="clear" w:color="auto" w:fill="auto"/>
          </w:tcPr>
          <w:p w14:paraId="502B67C9"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4.62</w:t>
            </w:r>
          </w:p>
        </w:tc>
      </w:tr>
      <w:tr w:rsidR="00A63CD3" w:rsidRPr="00BE4AF3" w14:paraId="5B71F6DB" w14:textId="77777777" w:rsidTr="00244A2E">
        <w:trPr>
          <w:jc w:val="center"/>
        </w:trPr>
        <w:tc>
          <w:tcPr>
            <w:tcW w:w="809" w:type="dxa"/>
          </w:tcPr>
          <w:p w14:paraId="34257926"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7</w:t>
            </w:r>
          </w:p>
        </w:tc>
        <w:tc>
          <w:tcPr>
            <w:tcW w:w="2581" w:type="dxa"/>
            <w:shd w:val="clear" w:color="auto" w:fill="auto"/>
          </w:tcPr>
          <w:p w14:paraId="1CA58943"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draws inspiration from nature and living organisms (organic concept).</w:t>
            </w:r>
          </w:p>
        </w:tc>
        <w:tc>
          <w:tcPr>
            <w:tcW w:w="927" w:type="dxa"/>
            <w:shd w:val="clear" w:color="auto" w:fill="auto"/>
          </w:tcPr>
          <w:p w14:paraId="158F9CBE"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86" w:type="dxa"/>
            <w:shd w:val="clear" w:color="auto" w:fill="auto"/>
          </w:tcPr>
          <w:p w14:paraId="417CF0DA"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823" w:type="dxa"/>
            <w:shd w:val="clear" w:color="auto" w:fill="auto"/>
          </w:tcPr>
          <w:p w14:paraId="7130AE2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77" w:type="dxa"/>
            <w:shd w:val="clear" w:color="auto" w:fill="auto"/>
          </w:tcPr>
          <w:p w14:paraId="739577D6"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132</w:t>
            </w:r>
          </w:p>
        </w:tc>
        <w:tc>
          <w:tcPr>
            <w:tcW w:w="949" w:type="dxa"/>
            <w:shd w:val="clear" w:color="auto" w:fill="auto"/>
          </w:tcPr>
          <w:p w14:paraId="48234826"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185</w:t>
            </w:r>
          </w:p>
        </w:tc>
        <w:tc>
          <w:tcPr>
            <w:tcW w:w="1194" w:type="dxa"/>
            <w:shd w:val="clear" w:color="auto" w:fill="auto"/>
          </w:tcPr>
          <w:p w14:paraId="0C93B9F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1A5107C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1453</w:t>
            </w:r>
          </w:p>
        </w:tc>
        <w:tc>
          <w:tcPr>
            <w:tcW w:w="1022" w:type="dxa"/>
            <w:shd w:val="clear" w:color="auto" w:fill="auto"/>
          </w:tcPr>
          <w:p w14:paraId="31A3293E"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4.58</w:t>
            </w:r>
          </w:p>
        </w:tc>
      </w:tr>
      <w:tr w:rsidR="00A63CD3" w:rsidRPr="00BE4AF3" w14:paraId="07415FA2" w14:textId="77777777" w:rsidTr="00244A2E">
        <w:trPr>
          <w:jc w:val="center"/>
        </w:trPr>
        <w:tc>
          <w:tcPr>
            <w:tcW w:w="809" w:type="dxa"/>
          </w:tcPr>
          <w:p w14:paraId="3E180667"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8</w:t>
            </w:r>
          </w:p>
        </w:tc>
        <w:tc>
          <w:tcPr>
            <w:tcW w:w="2581" w:type="dxa"/>
            <w:shd w:val="clear" w:color="auto" w:fill="auto"/>
          </w:tcPr>
          <w:p w14:paraId="3ABA64E6"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captures the essence and fundamental nature of the space.</w:t>
            </w:r>
          </w:p>
        </w:tc>
        <w:tc>
          <w:tcPr>
            <w:tcW w:w="927" w:type="dxa"/>
            <w:shd w:val="clear" w:color="auto" w:fill="auto"/>
          </w:tcPr>
          <w:p w14:paraId="1BBDB056"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86" w:type="dxa"/>
            <w:shd w:val="clear" w:color="auto" w:fill="auto"/>
          </w:tcPr>
          <w:p w14:paraId="5722927B"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823" w:type="dxa"/>
            <w:shd w:val="clear" w:color="auto" w:fill="auto"/>
          </w:tcPr>
          <w:p w14:paraId="645A5E36"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12</w:t>
            </w:r>
          </w:p>
        </w:tc>
        <w:tc>
          <w:tcPr>
            <w:tcW w:w="777" w:type="dxa"/>
            <w:shd w:val="clear" w:color="auto" w:fill="auto"/>
          </w:tcPr>
          <w:p w14:paraId="79DD1C2C"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132</w:t>
            </w:r>
          </w:p>
        </w:tc>
        <w:tc>
          <w:tcPr>
            <w:tcW w:w="949" w:type="dxa"/>
            <w:shd w:val="clear" w:color="auto" w:fill="auto"/>
          </w:tcPr>
          <w:p w14:paraId="328ECD08"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173</w:t>
            </w:r>
          </w:p>
        </w:tc>
        <w:tc>
          <w:tcPr>
            <w:tcW w:w="1194" w:type="dxa"/>
            <w:shd w:val="clear" w:color="auto" w:fill="auto"/>
          </w:tcPr>
          <w:p w14:paraId="2B5C67ED"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130BB589"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1429</w:t>
            </w:r>
          </w:p>
        </w:tc>
        <w:tc>
          <w:tcPr>
            <w:tcW w:w="1022" w:type="dxa"/>
            <w:shd w:val="clear" w:color="auto" w:fill="auto"/>
          </w:tcPr>
          <w:p w14:paraId="433FF25B"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4.51</w:t>
            </w:r>
          </w:p>
        </w:tc>
      </w:tr>
      <w:tr w:rsidR="00A63CD3" w:rsidRPr="00BE4AF3" w14:paraId="2CA8289A" w14:textId="77777777" w:rsidTr="00244A2E">
        <w:trPr>
          <w:jc w:val="center"/>
        </w:trPr>
        <w:tc>
          <w:tcPr>
            <w:tcW w:w="809" w:type="dxa"/>
          </w:tcPr>
          <w:p w14:paraId="71FE83C5"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9</w:t>
            </w:r>
          </w:p>
        </w:tc>
        <w:tc>
          <w:tcPr>
            <w:tcW w:w="2581" w:type="dxa"/>
            <w:shd w:val="clear" w:color="auto" w:fill="auto"/>
          </w:tcPr>
          <w:p w14:paraId="4C120611"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promotes social interaction and community building.</w:t>
            </w:r>
          </w:p>
        </w:tc>
        <w:tc>
          <w:tcPr>
            <w:tcW w:w="927" w:type="dxa"/>
            <w:shd w:val="clear" w:color="auto" w:fill="auto"/>
          </w:tcPr>
          <w:p w14:paraId="6A7F8A6C"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86" w:type="dxa"/>
            <w:shd w:val="clear" w:color="auto" w:fill="auto"/>
          </w:tcPr>
          <w:p w14:paraId="39EE3FAE"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12</w:t>
            </w:r>
          </w:p>
        </w:tc>
        <w:tc>
          <w:tcPr>
            <w:tcW w:w="823" w:type="dxa"/>
            <w:shd w:val="clear" w:color="auto" w:fill="auto"/>
          </w:tcPr>
          <w:p w14:paraId="040DC60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77" w:type="dxa"/>
            <w:shd w:val="clear" w:color="auto" w:fill="auto"/>
          </w:tcPr>
          <w:p w14:paraId="1F7225BA"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123</w:t>
            </w:r>
          </w:p>
        </w:tc>
        <w:tc>
          <w:tcPr>
            <w:tcW w:w="949" w:type="dxa"/>
            <w:shd w:val="clear" w:color="auto" w:fill="auto"/>
          </w:tcPr>
          <w:p w14:paraId="791E12BB"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182</w:t>
            </w:r>
          </w:p>
        </w:tc>
        <w:tc>
          <w:tcPr>
            <w:tcW w:w="1194" w:type="dxa"/>
            <w:shd w:val="clear" w:color="auto" w:fill="auto"/>
          </w:tcPr>
          <w:p w14:paraId="11C178B0"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463FA904"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1426</w:t>
            </w:r>
          </w:p>
        </w:tc>
        <w:tc>
          <w:tcPr>
            <w:tcW w:w="1022" w:type="dxa"/>
            <w:shd w:val="clear" w:color="auto" w:fill="auto"/>
          </w:tcPr>
          <w:p w14:paraId="1343D752"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4.50</w:t>
            </w:r>
          </w:p>
        </w:tc>
      </w:tr>
      <w:tr w:rsidR="00A63CD3" w:rsidRPr="00BE4AF3" w14:paraId="7804E057" w14:textId="77777777" w:rsidTr="00244A2E">
        <w:trPr>
          <w:jc w:val="center"/>
        </w:trPr>
        <w:tc>
          <w:tcPr>
            <w:tcW w:w="809" w:type="dxa"/>
          </w:tcPr>
          <w:p w14:paraId="4A2A5E2E"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10</w:t>
            </w:r>
          </w:p>
        </w:tc>
        <w:tc>
          <w:tcPr>
            <w:tcW w:w="2581" w:type="dxa"/>
            <w:shd w:val="clear" w:color="auto" w:fill="auto"/>
          </w:tcPr>
          <w:p w14:paraId="566BFA6E"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focuses on functionality and practicality (pragmatic concept).</w:t>
            </w:r>
          </w:p>
        </w:tc>
        <w:tc>
          <w:tcPr>
            <w:tcW w:w="927" w:type="dxa"/>
            <w:shd w:val="clear" w:color="auto" w:fill="auto"/>
          </w:tcPr>
          <w:p w14:paraId="0773212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w:t>
            </w:r>
          </w:p>
        </w:tc>
        <w:tc>
          <w:tcPr>
            <w:tcW w:w="786" w:type="dxa"/>
            <w:shd w:val="clear" w:color="auto" w:fill="auto"/>
          </w:tcPr>
          <w:p w14:paraId="66CAE0A7"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w:t>
            </w:r>
          </w:p>
        </w:tc>
        <w:tc>
          <w:tcPr>
            <w:tcW w:w="823" w:type="dxa"/>
            <w:shd w:val="clear" w:color="auto" w:fill="auto"/>
          </w:tcPr>
          <w:p w14:paraId="1019559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6</w:t>
            </w:r>
          </w:p>
        </w:tc>
        <w:tc>
          <w:tcPr>
            <w:tcW w:w="777" w:type="dxa"/>
            <w:shd w:val="clear" w:color="auto" w:fill="auto"/>
          </w:tcPr>
          <w:p w14:paraId="36F4488F"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143</w:t>
            </w:r>
          </w:p>
        </w:tc>
        <w:tc>
          <w:tcPr>
            <w:tcW w:w="949" w:type="dxa"/>
            <w:shd w:val="clear" w:color="auto" w:fill="auto"/>
          </w:tcPr>
          <w:p w14:paraId="54906838"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165</w:t>
            </w:r>
          </w:p>
        </w:tc>
        <w:tc>
          <w:tcPr>
            <w:tcW w:w="1194" w:type="dxa"/>
            <w:shd w:val="clear" w:color="auto" w:fill="auto"/>
          </w:tcPr>
          <w:p w14:paraId="42FB171E"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35B2AD85"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1419</w:t>
            </w:r>
          </w:p>
        </w:tc>
        <w:tc>
          <w:tcPr>
            <w:tcW w:w="1022" w:type="dxa"/>
            <w:shd w:val="clear" w:color="auto" w:fill="auto"/>
          </w:tcPr>
          <w:p w14:paraId="22B7961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4.48</w:t>
            </w:r>
          </w:p>
        </w:tc>
      </w:tr>
      <w:tr w:rsidR="00A63CD3" w:rsidRPr="00BE4AF3" w14:paraId="02C005DD" w14:textId="77777777" w:rsidTr="00244A2E">
        <w:trPr>
          <w:jc w:val="center"/>
        </w:trPr>
        <w:tc>
          <w:tcPr>
            <w:tcW w:w="809" w:type="dxa"/>
          </w:tcPr>
          <w:p w14:paraId="6E1F6576"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11</w:t>
            </w:r>
          </w:p>
        </w:tc>
        <w:tc>
          <w:tcPr>
            <w:tcW w:w="2581" w:type="dxa"/>
            <w:shd w:val="clear" w:color="auto" w:fill="auto"/>
          </w:tcPr>
          <w:p w14:paraId="45844372"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includes geometric and organic forms to create visual interest.</w:t>
            </w:r>
          </w:p>
        </w:tc>
        <w:tc>
          <w:tcPr>
            <w:tcW w:w="927" w:type="dxa"/>
            <w:shd w:val="clear" w:color="auto" w:fill="auto"/>
          </w:tcPr>
          <w:p w14:paraId="7E1C55AF"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86" w:type="dxa"/>
            <w:shd w:val="clear" w:color="auto" w:fill="auto"/>
          </w:tcPr>
          <w:p w14:paraId="201022A5"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5</w:t>
            </w:r>
          </w:p>
        </w:tc>
        <w:tc>
          <w:tcPr>
            <w:tcW w:w="823" w:type="dxa"/>
            <w:shd w:val="clear" w:color="auto" w:fill="auto"/>
          </w:tcPr>
          <w:p w14:paraId="260DE86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10</w:t>
            </w:r>
          </w:p>
        </w:tc>
        <w:tc>
          <w:tcPr>
            <w:tcW w:w="777" w:type="dxa"/>
            <w:shd w:val="clear" w:color="auto" w:fill="auto"/>
          </w:tcPr>
          <w:p w14:paraId="7E98ECA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132</w:t>
            </w:r>
          </w:p>
        </w:tc>
        <w:tc>
          <w:tcPr>
            <w:tcW w:w="949" w:type="dxa"/>
            <w:shd w:val="clear" w:color="auto" w:fill="auto"/>
          </w:tcPr>
          <w:p w14:paraId="4BBB1EC7"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170</w:t>
            </w:r>
          </w:p>
        </w:tc>
        <w:tc>
          <w:tcPr>
            <w:tcW w:w="1194" w:type="dxa"/>
            <w:shd w:val="clear" w:color="auto" w:fill="auto"/>
          </w:tcPr>
          <w:p w14:paraId="649891FB"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4C253448"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1418</w:t>
            </w:r>
          </w:p>
        </w:tc>
        <w:tc>
          <w:tcPr>
            <w:tcW w:w="1022" w:type="dxa"/>
            <w:shd w:val="clear" w:color="auto" w:fill="auto"/>
          </w:tcPr>
          <w:p w14:paraId="4A538FCA"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4.47</w:t>
            </w:r>
          </w:p>
        </w:tc>
      </w:tr>
      <w:tr w:rsidR="00A63CD3" w:rsidRPr="00BE4AF3" w14:paraId="4C70A14C" w14:textId="77777777" w:rsidTr="00244A2E">
        <w:trPr>
          <w:jc w:val="center"/>
        </w:trPr>
        <w:tc>
          <w:tcPr>
            <w:tcW w:w="809" w:type="dxa"/>
          </w:tcPr>
          <w:p w14:paraId="1BAD9BB8"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12</w:t>
            </w:r>
          </w:p>
        </w:tc>
        <w:tc>
          <w:tcPr>
            <w:tcW w:w="2581" w:type="dxa"/>
            <w:shd w:val="clear" w:color="auto" w:fill="auto"/>
          </w:tcPr>
          <w:p w14:paraId="6E3BB0AB"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effectively creates a sense of enclosure and defined spaces.</w:t>
            </w:r>
          </w:p>
        </w:tc>
        <w:tc>
          <w:tcPr>
            <w:tcW w:w="927" w:type="dxa"/>
            <w:shd w:val="clear" w:color="auto" w:fill="auto"/>
          </w:tcPr>
          <w:p w14:paraId="02F58444"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w:t>
            </w:r>
          </w:p>
        </w:tc>
        <w:tc>
          <w:tcPr>
            <w:tcW w:w="786" w:type="dxa"/>
            <w:shd w:val="clear" w:color="auto" w:fill="auto"/>
          </w:tcPr>
          <w:p w14:paraId="1FDFC6CC"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8</w:t>
            </w:r>
          </w:p>
        </w:tc>
        <w:tc>
          <w:tcPr>
            <w:tcW w:w="823" w:type="dxa"/>
            <w:shd w:val="clear" w:color="auto" w:fill="auto"/>
          </w:tcPr>
          <w:p w14:paraId="66DA4C6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45</w:t>
            </w:r>
          </w:p>
        </w:tc>
        <w:tc>
          <w:tcPr>
            <w:tcW w:w="777" w:type="dxa"/>
            <w:shd w:val="clear" w:color="auto" w:fill="auto"/>
          </w:tcPr>
          <w:p w14:paraId="5FB15F5C"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65</w:t>
            </w:r>
          </w:p>
        </w:tc>
        <w:tc>
          <w:tcPr>
            <w:tcW w:w="949" w:type="dxa"/>
            <w:shd w:val="clear" w:color="auto" w:fill="auto"/>
          </w:tcPr>
          <w:p w14:paraId="32A42DC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198</w:t>
            </w:r>
          </w:p>
        </w:tc>
        <w:tc>
          <w:tcPr>
            <w:tcW w:w="1194" w:type="dxa"/>
            <w:shd w:val="clear" w:color="auto" w:fill="auto"/>
          </w:tcPr>
          <w:p w14:paraId="5F7C1D14"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37746B8C"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1402</w:t>
            </w:r>
          </w:p>
        </w:tc>
        <w:tc>
          <w:tcPr>
            <w:tcW w:w="1022" w:type="dxa"/>
            <w:shd w:val="clear" w:color="auto" w:fill="auto"/>
          </w:tcPr>
          <w:p w14:paraId="084EA730"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4.42</w:t>
            </w:r>
          </w:p>
        </w:tc>
      </w:tr>
      <w:tr w:rsidR="00A63CD3" w:rsidRPr="00BE4AF3" w14:paraId="52F4CF85" w14:textId="77777777" w:rsidTr="00244A2E">
        <w:trPr>
          <w:jc w:val="center"/>
        </w:trPr>
        <w:tc>
          <w:tcPr>
            <w:tcW w:w="809" w:type="dxa"/>
          </w:tcPr>
          <w:p w14:paraId="17E8B7AE"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w:t>
            </w:r>
          </w:p>
        </w:tc>
        <w:tc>
          <w:tcPr>
            <w:tcW w:w="2581" w:type="dxa"/>
            <w:shd w:val="clear" w:color="auto" w:fill="auto"/>
          </w:tcPr>
          <w:p w14:paraId="55DB443C"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achieves unity and cohesion throughout the space.</w:t>
            </w:r>
          </w:p>
        </w:tc>
        <w:tc>
          <w:tcPr>
            <w:tcW w:w="927" w:type="dxa"/>
            <w:shd w:val="clear" w:color="auto" w:fill="auto"/>
          </w:tcPr>
          <w:p w14:paraId="57D58A36"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w:t>
            </w:r>
          </w:p>
        </w:tc>
        <w:tc>
          <w:tcPr>
            <w:tcW w:w="786" w:type="dxa"/>
            <w:shd w:val="clear" w:color="auto" w:fill="auto"/>
          </w:tcPr>
          <w:p w14:paraId="36242058"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8</w:t>
            </w:r>
          </w:p>
        </w:tc>
        <w:tc>
          <w:tcPr>
            <w:tcW w:w="823" w:type="dxa"/>
            <w:shd w:val="clear" w:color="auto" w:fill="auto"/>
          </w:tcPr>
          <w:p w14:paraId="22F9AAEF"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45</w:t>
            </w:r>
          </w:p>
        </w:tc>
        <w:tc>
          <w:tcPr>
            <w:tcW w:w="777" w:type="dxa"/>
            <w:shd w:val="clear" w:color="auto" w:fill="auto"/>
          </w:tcPr>
          <w:p w14:paraId="5F1F59EE"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65</w:t>
            </w:r>
          </w:p>
        </w:tc>
        <w:tc>
          <w:tcPr>
            <w:tcW w:w="949" w:type="dxa"/>
            <w:shd w:val="clear" w:color="auto" w:fill="auto"/>
          </w:tcPr>
          <w:p w14:paraId="50C9E7C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198</w:t>
            </w:r>
          </w:p>
        </w:tc>
        <w:tc>
          <w:tcPr>
            <w:tcW w:w="1194" w:type="dxa"/>
            <w:shd w:val="clear" w:color="auto" w:fill="auto"/>
          </w:tcPr>
          <w:p w14:paraId="6CCCF7AF"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0E46D83B"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1402</w:t>
            </w:r>
          </w:p>
        </w:tc>
        <w:tc>
          <w:tcPr>
            <w:tcW w:w="1022" w:type="dxa"/>
            <w:shd w:val="clear" w:color="auto" w:fill="auto"/>
          </w:tcPr>
          <w:p w14:paraId="4EE2196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4.42</w:t>
            </w:r>
          </w:p>
        </w:tc>
      </w:tr>
      <w:tr w:rsidR="00A63CD3" w:rsidRPr="00BE4AF3" w14:paraId="2629DB7F" w14:textId="77777777" w:rsidTr="00244A2E">
        <w:trPr>
          <w:jc w:val="center"/>
        </w:trPr>
        <w:tc>
          <w:tcPr>
            <w:tcW w:w="809" w:type="dxa"/>
          </w:tcPr>
          <w:p w14:paraId="14C9F204"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14</w:t>
            </w:r>
          </w:p>
        </w:tc>
        <w:tc>
          <w:tcPr>
            <w:tcW w:w="2581" w:type="dxa"/>
            <w:shd w:val="clear" w:color="auto" w:fill="auto"/>
          </w:tcPr>
          <w:p w14:paraId="22564EFC"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integrates natural elements (vegetation, water features) effectively.</w:t>
            </w:r>
          </w:p>
        </w:tc>
        <w:tc>
          <w:tcPr>
            <w:tcW w:w="927" w:type="dxa"/>
            <w:shd w:val="clear" w:color="auto" w:fill="auto"/>
          </w:tcPr>
          <w:p w14:paraId="6420D09E"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6</w:t>
            </w:r>
          </w:p>
        </w:tc>
        <w:tc>
          <w:tcPr>
            <w:tcW w:w="786" w:type="dxa"/>
            <w:shd w:val="clear" w:color="auto" w:fill="auto"/>
          </w:tcPr>
          <w:p w14:paraId="59F02AA5"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w:t>
            </w:r>
          </w:p>
        </w:tc>
        <w:tc>
          <w:tcPr>
            <w:tcW w:w="823" w:type="dxa"/>
            <w:shd w:val="clear" w:color="auto" w:fill="auto"/>
          </w:tcPr>
          <w:p w14:paraId="6DA0CF56"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45</w:t>
            </w:r>
          </w:p>
        </w:tc>
        <w:tc>
          <w:tcPr>
            <w:tcW w:w="777" w:type="dxa"/>
            <w:shd w:val="clear" w:color="auto" w:fill="auto"/>
          </w:tcPr>
          <w:p w14:paraId="4D3EF67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76</w:t>
            </w:r>
          </w:p>
        </w:tc>
        <w:tc>
          <w:tcPr>
            <w:tcW w:w="949" w:type="dxa"/>
            <w:shd w:val="clear" w:color="auto" w:fill="auto"/>
          </w:tcPr>
          <w:p w14:paraId="03817C50"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188</w:t>
            </w:r>
          </w:p>
        </w:tc>
        <w:tc>
          <w:tcPr>
            <w:tcW w:w="1194" w:type="dxa"/>
            <w:shd w:val="clear" w:color="auto" w:fill="auto"/>
          </w:tcPr>
          <w:p w14:paraId="198AB712"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799DF53E"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1389</w:t>
            </w:r>
          </w:p>
        </w:tc>
        <w:tc>
          <w:tcPr>
            <w:tcW w:w="1022" w:type="dxa"/>
            <w:shd w:val="clear" w:color="auto" w:fill="auto"/>
          </w:tcPr>
          <w:p w14:paraId="3BD64535"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4.38</w:t>
            </w:r>
          </w:p>
        </w:tc>
      </w:tr>
      <w:tr w:rsidR="00A63CD3" w:rsidRPr="00BE4AF3" w14:paraId="2125CA53" w14:textId="77777777" w:rsidTr="00244A2E">
        <w:trPr>
          <w:jc w:val="center"/>
        </w:trPr>
        <w:tc>
          <w:tcPr>
            <w:tcW w:w="809" w:type="dxa"/>
          </w:tcPr>
          <w:p w14:paraId="2ED6576D"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15</w:t>
            </w:r>
          </w:p>
        </w:tc>
        <w:tc>
          <w:tcPr>
            <w:tcW w:w="2581" w:type="dxa"/>
            <w:shd w:val="clear" w:color="auto" w:fill="auto"/>
          </w:tcPr>
          <w:p w14:paraId="6FE4C497"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uses metaphoric concepts to convey abstract ideas.</w:t>
            </w:r>
          </w:p>
        </w:tc>
        <w:tc>
          <w:tcPr>
            <w:tcW w:w="927" w:type="dxa"/>
            <w:shd w:val="clear" w:color="auto" w:fill="auto"/>
          </w:tcPr>
          <w:p w14:paraId="3656C67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86" w:type="dxa"/>
            <w:shd w:val="clear" w:color="auto" w:fill="auto"/>
          </w:tcPr>
          <w:p w14:paraId="3A07EB57"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823" w:type="dxa"/>
            <w:shd w:val="clear" w:color="auto" w:fill="auto"/>
          </w:tcPr>
          <w:p w14:paraId="5CDC3FF8"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54</w:t>
            </w:r>
          </w:p>
        </w:tc>
        <w:tc>
          <w:tcPr>
            <w:tcW w:w="777" w:type="dxa"/>
            <w:shd w:val="clear" w:color="auto" w:fill="auto"/>
          </w:tcPr>
          <w:p w14:paraId="088F055B"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112</w:t>
            </w:r>
          </w:p>
        </w:tc>
        <w:tc>
          <w:tcPr>
            <w:tcW w:w="949" w:type="dxa"/>
            <w:shd w:val="clear" w:color="auto" w:fill="auto"/>
          </w:tcPr>
          <w:p w14:paraId="71CD3BFD"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151</w:t>
            </w:r>
          </w:p>
        </w:tc>
        <w:tc>
          <w:tcPr>
            <w:tcW w:w="1194" w:type="dxa"/>
            <w:shd w:val="clear" w:color="auto" w:fill="auto"/>
          </w:tcPr>
          <w:p w14:paraId="69834122"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6B66A8AA"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1365</w:t>
            </w:r>
          </w:p>
        </w:tc>
        <w:tc>
          <w:tcPr>
            <w:tcW w:w="1022" w:type="dxa"/>
            <w:shd w:val="clear" w:color="auto" w:fill="auto"/>
          </w:tcPr>
          <w:p w14:paraId="5C617080"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4.31</w:t>
            </w:r>
          </w:p>
        </w:tc>
      </w:tr>
      <w:tr w:rsidR="00A63CD3" w:rsidRPr="00BE4AF3" w14:paraId="63FF205A" w14:textId="77777777" w:rsidTr="00244A2E">
        <w:trPr>
          <w:jc w:val="center"/>
        </w:trPr>
        <w:tc>
          <w:tcPr>
            <w:tcW w:w="809" w:type="dxa"/>
          </w:tcPr>
          <w:p w14:paraId="41CF943D"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16</w:t>
            </w:r>
          </w:p>
        </w:tc>
        <w:tc>
          <w:tcPr>
            <w:tcW w:w="2581" w:type="dxa"/>
            <w:shd w:val="clear" w:color="auto" w:fill="auto"/>
          </w:tcPr>
          <w:p w14:paraId="5376C9F1"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incorporates variety to enhance the range and diversity of elements.</w:t>
            </w:r>
          </w:p>
        </w:tc>
        <w:tc>
          <w:tcPr>
            <w:tcW w:w="927" w:type="dxa"/>
            <w:shd w:val="clear" w:color="auto" w:fill="auto"/>
          </w:tcPr>
          <w:p w14:paraId="0F2DFDF7"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5</w:t>
            </w:r>
          </w:p>
        </w:tc>
        <w:tc>
          <w:tcPr>
            <w:tcW w:w="786" w:type="dxa"/>
            <w:shd w:val="clear" w:color="auto" w:fill="auto"/>
          </w:tcPr>
          <w:p w14:paraId="7274B748"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w:t>
            </w:r>
          </w:p>
        </w:tc>
        <w:tc>
          <w:tcPr>
            <w:tcW w:w="823" w:type="dxa"/>
            <w:shd w:val="clear" w:color="auto" w:fill="auto"/>
          </w:tcPr>
          <w:p w14:paraId="02A83B19"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76</w:t>
            </w:r>
          </w:p>
        </w:tc>
        <w:tc>
          <w:tcPr>
            <w:tcW w:w="777" w:type="dxa"/>
            <w:shd w:val="clear" w:color="auto" w:fill="auto"/>
          </w:tcPr>
          <w:p w14:paraId="0AEFDDF7"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54</w:t>
            </w:r>
          </w:p>
        </w:tc>
        <w:tc>
          <w:tcPr>
            <w:tcW w:w="949" w:type="dxa"/>
            <w:shd w:val="clear" w:color="auto" w:fill="auto"/>
          </w:tcPr>
          <w:p w14:paraId="2F2302D5"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179</w:t>
            </w:r>
          </w:p>
        </w:tc>
        <w:tc>
          <w:tcPr>
            <w:tcW w:w="1194" w:type="dxa"/>
            <w:shd w:val="clear" w:color="auto" w:fill="auto"/>
          </w:tcPr>
          <w:p w14:paraId="6D307564"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77146DFB"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1350</w:t>
            </w:r>
          </w:p>
        </w:tc>
        <w:tc>
          <w:tcPr>
            <w:tcW w:w="1022" w:type="dxa"/>
            <w:shd w:val="clear" w:color="auto" w:fill="auto"/>
          </w:tcPr>
          <w:p w14:paraId="65CC26F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4.26</w:t>
            </w:r>
          </w:p>
        </w:tc>
      </w:tr>
      <w:tr w:rsidR="00A63CD3" w:rsidRPr="00BE4AF3" w14:paraId="707D7D55" w14:textId="77777777" w:rsidTr="00244A2E">
        <w:trPr>
          <w:jc w:val="center"/>
        </w:trPr>
        <w:tc>
          <w:tcPr>
            <w:tcW w:w="809" w:type="dxa"/>
          </w:tcPr>
          <w:p w14:paraId="4D8901FF"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lastRenderedPageBreak/>
              <w:t>17</w:t>
            </w:r>
          </w:p>
        </w:tc>
        <w:tc>
          <w:tcPr>
            <w:tcW w:w="2581" w:type="dxa"/>
            <w:shd w:val="clear" w:color="auto" w:fill="auto"/>
          </w:tcPr>
          <w:p w14:paraId="1C1E83A8"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encourages visitor engagement through interactive elements (e.g., seating areas, pathways).</w:t>
            </w:r>
          </w:p>
        </w:tc>
        <w:tc>
          <w:tcPr>
            <w:tcW w:w="927" w:type="dxa"/>
            <w:shd w:val="clear" w:color="auto" w:fill="auto"/>
          </w:tcPr>
          <w:p w14:paraId="59AD8CB6"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w:t>
            </w:r>
          </w:p>
        </w:tc>
        <w:tc>
          <w:tcPr>
            <w:tcW w:w="786" w:type="dxa"/>
            <w:shd w:val="clear" w:color="auto" w:fill="auto"/>
          </w:tcPr>
          <w:p w14:paraId="71FC034C"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24</w:t>
            </w:r>
          </w:p>
        </w:tc>
        <w:tc>
          <w:tcPr>
            <w:tcW w:w="823" w:type="dxa"/>
            <w:shd w:val="clear" w:color="auto" w:fill="auto"/>
          </w:tcPr>
          <w:p w14:paraId="6C176B00"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34</w:t>
            </w:r>
          </w:p>
        </w:tc>
        <w:tc>
          <w:tcPr>
            <w:tcW w:w="777" w:type="dxa"/>
            <w:shd w:val="clear" w:color="auto" w:fill="auto"/>
          </w:tcPr>
          <w:p w14:paraId="5970CA85"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89</w:t>
            </w:r>
          </w:p>
        </w:tc>
        <w:tc>
          <w:tcPr>
            <w:tcW w:w="949" w:type="dxa"/>
            <w:shd w:val="clear" w:color="auto" w:fill="auto"/>
          </w:tcPr>
          <w:p w14:paraId="57164355"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168</w:t>
            </w:r>
          </w:p>
        </w:tc>
        <w:tc>
          <w:tcPr>
            <w:tcW w:w="1194" w:type="dxa"/>
            <w:shd w:val="clear" w:color="auto" w:fill="auto"/>
          </w:tcPr>
          <w:p w14:paraId="0C21E6C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0B9E298C"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1348</w:t>
            </w:r>
          </w:p>
        </w:tc>
        <w:tc>
          <w:tcPr>
            <w:tcW w:w="1022" w:type="dxa"/>
            <w:shd w:val="clear" w:color="auto" w:fill="auto"/>
          </w:tcPr>
          <w:p w14:paraId="4DAC928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4.25</w:t>
            </w:r>
          </w:p>
        </w:tc>
      </w:tr>
      <w:tr w:rsidR="00A63CD3" w:rsidRPr="00BE4AF3" w14:paraId="5AE03C38" w14:textId="77777777" w:rsidTr="00244A2E">
        <w:trPr>
          <w:jc w:val="center"/>
        </w:trPr>
        <w:tc>
          <w:tcPr>
            <w:tcW w:w="809" w:type="dxa"/>
          </w:tcPr>
          <w:p w14:paraId="193E2C9A"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18</w:t>
            </w:r>
          </w:p>
        </w:tc>
        <w:tc>
          <w:tcPr>
            <w:tcW w:w="2581" w:type="dxa"/>
            <w:shd w:val="clear" w:color="auto" w:fill="auto"/>
          </w:tcPr>
          <w:p w14:paraId="0141DA34"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addresses climate responsiveness and adaptability.</w:t>
            </w:r>
          </w:p>
        </w:tc>
        <w:tc>
          <w:tcPr>
            <w:tcW w:w="927" w:type="dxa"/>
            <w:shd w:val="clear" w:color="auto" w:fill="auto"/>
          </w:tcPr>
          <w:p w14:paraId="565CB097"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w:t>
            </w:r>
          </w:p>
        </w:tc>
        <w:tc>
          <w:tcPr>
            <w:tcW w:w="786" w:type="dxa"/>
            <w:shd w:val="clear" w:color="auto" w:fill="auto"/>
          </w:tcPr>
          <w:p w14:paraId="3CEF776F"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24</w:t>
            </w:r>
          </w:p>
        </w:tc>
        <w:tc>
          <w:tcPr>
            <w:tcW w:w="823" w:type="dxa"/>
            <w:shd w:val="clear" w:color="auto" w:fill="auto"/>
          </w:tcPr>
          <w:p w14:paraId="49C5B5D0"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34</w:t>
            </w:r>
          </w:p>
        </w:tc>
        <w:tc>
          <w:tcPr>
            <w:tcW w:w="777" w:type="dxa"/>
            <w:shd w:val="clear" w:color="auto" w:fill="auto"/>
          </w:tcPr>
          <w:p w14:paraId="40DCDA42"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89</w:t>
            </w:r>
          </w:p>
        </w:tc>
        <w:tc>
          <w:tcPr>
            <w:tcW w:w="949" w:type="dxa"/>
            <w:shd w:val="clear" w:color="auto" w:fill="auto"/>
          </w:tcPr>
          <w:p w14:paraId="73ADECD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168</w:t>
            </w:r>
          </w:p>
        </w:tc>
        <w:tc>
          <w:tcPr>
            <w:tcW w:w="1194" w:type="dxa"/>
            <w:shd w:val="clear" w:color="auto" w:fill="auto"/>
          </w:tcPr>
          <w:p w14:paraId="7262FBC5"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5A61997E"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1348</w:t>
            </w:r>
          </w:p>
        </w:tc>
        <w:tc>
          <w:tcPr>
            <w:tcW w:w="1022" w:type="dxa"/>
            <w:shd w:val="clear" w:color="auto" w:fill="auto"/>
          </w:tcPr>
          <w:p w14:paraId="6D4A6A6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4.25</w:t>
            </w:r>
          </w:p>
        </w:tc>
      </w:tr>
      <w:tr w:rsidR="00A63CD3" w:rsidRPr="00BE4AF3" w14:paraId="3268093D" w14:textId="77777777" w:rsidTr="00244A2E">
        <w:trPr>
          <w:jc w:val="center"/>
        </w:trPr>
        <w:tc>
          <w:tcPr>
            <w:tcW w:w="809" w:type="dxa"/>
          </w:tcPr>
          <w:p w14:paraId="67730BAE"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19</w:t>
            </w:r>
          </w:p>
        </w:tc>
        <w:tc>
          <w:tcPr>
            <w:tcW w:w="2581" w:type="dxa"/>
            <w:shd w:val="clear" w:color="auto" w:fill="auto"/>
          </w:tcPr>
          <w:p w14:paraId="4393FC29"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utilizes repeating patterns to create rhythm and movement.</w:t>
            </w:r>
          </w:p>
        </w:tc>
        <w:tc>
          <w:tcPr>
            <w:tcW w:w="927" w:type="dxa"/>
            <w:shd w:val="clear" w:color="auto" w:fill="auto"/>
          </w:tcPr>
          <w:p w14:paraId="1F3D8497"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w:t>
            </w:r>
          </w:p>
        </w:tc>
        <w:tc>
          <w:tcPr>
            <w:tcW w:w="786" w:type="dxa"/>
            <w:shd w:val="clear" w:color="auto" w:fill="auto"/>
          </w:tcPr>
          <w:p w14:paraId="16146A94"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823" w:type="dxa"/>
            <w:shd w:val="clear" w:color="auto" w:fill="auto"/>
          </w:tcPr>
          <w:p w14:paraId="28495B7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90</w:t>
            </w:r>
          </w:p>
        </w:tc>
        <w:tc>
          <w:tcPr>
            <w:tcW w:w="777" w:type="dxa"/>
            <w:shd w:val="clear" w:color="auto" w:fill="auto"/>
          </w:tcPr>
          <w:p w14:paraId="214620A6"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65</w:t>
            </w:r>
          </w:p>
        </w:tc>
        <w:tc>
          <w:tcPr>
            <w:tcW w:w="949" w:type="dxa"/>
            <w:shd w:val="clear" w:color="auto" w:fill="auto"/>
          </w:tcPr>
          <w:p w14:paraId="1A5F39ED"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161</w:t>
            </w:r>
          </w:p>
        </w:tc>
        <w:tc>
          <w:tcPr>
            <w:tcW w:w="1194" w:type="dxa"/>
            <w:shd w:val="clear" w:color="auto" w:fill="auto"/>
          </w:tcPr>
          <w:p w14:paraId="523E06B9"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3094C7F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1336</w:t>
            </w:r>
          </w:p>
        </w:tc>
        <w:tc>
          <w:tcPr>
            <w:tcW w:w="1022" w:type="dxa"/>
            <w:shd w:val="clear" w:color="auto" w:fill="auto"/>
          </w:tcPr>
          <w:p w14:paraId="56C72F22"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4.21</w:t>
            </w:r>
          </w:p>
        </w:tc>
      </w:tr>
      <w:tr w:rsidR="00A63CD3" w:rsidRPr="00BE4AF3" w14:paraId="3961CD91" w14:textId="77777777" w:rsidTr="00244A2E">
        <w:trPr>
          <w:jc w:val="center"/>
        </w:trPr>
        <w:tc>
          <w:tcPr>
            <w:tcW w:w="809" w:type="dxa"/>
          </w:tcPr>
          <w:p w14:paraId="5C37337D"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20</w:t>
            </w:r>
          </w:p>
        </w:tc>
        <w:tc>
          <w:tcPr>
            <w:tcW w:w="2581" w:type="dxa"/>
            <w:shd w:val="clear" w:color="auto" w:fill="auto"/>
          </w:tcPr>
          <w:p w14:paraId="4CBF2371"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incorporates appropriate scale and proportion.</w:t>
            </w:r>
          </w:p>
        </w:tc>
        <w:tc>
          <w:tcPr>
            <w:tcW w:w="927" w:type="dxa"/>
            <w:shd w:val="clear" w:color="auto" w:fill="auto"/>
          </w:tcPr>
          <w:p w14:paraId="5BBF888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w:t>
            </w:r>
          </w:p>
        </w:tc>
        <w:tc>
          <w:tcPr>
            <w:tcW w:w="786" w:type="dxa"/>
            <w:shd w:val="clear" w:color="auto" w:fill="auto"/>
          </w:tcPr>
          <w:p w14:paraId="5DE4B0A0"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w:t>
            </w:r>
          </w:p>
        </w:tc>
        <w:tc>
          <w:tcPr>
            <w:tcW w:w="823" w:type="dxa"/>
            <w:shd w:val="clear" w:color="auto" w:fill="auto"/>
          </w:tcPr>
          <w:p w14:paraId="2958DC5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56</w:t>
            </w:r>
          </w:p>
        </w:tc>
        <w:tc>
          <w:tcPr>
            <w:tcW w:w="777" w:type="dxa"/>
            <w:shd w:val="clear" w:color="auto" w:fill="auto"/>
          </w:tcPr>
          <w:p w14:paraId="5108E25F"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132</w:t>
            </w:r>
          </w:p>
        </w:tc>
        <w:tc>
          <w:tcPr>
            <w:tcW w:w="949" w:type="dxa"/>
            <w:shd w:val="clear" w:color="auto" w:fill="auto"/>
          </w:tcPr>
          <w:p w14:paraId="5CE13346"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126</w:t>
            </w:r>
          </w:p>
        </w:tc>
        <w:tc>
          <w:tcPr>
            <w:tcW w:w="1194" w:type="dxa"/>
            <w:shd w:val="clear" w:color="auto" w:fill="auto"/>
          </w:tcPr>
          <w:p w14:paraId="4678D95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25361747"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1330</w:t>
            </w:r>
          </w:p>
        </w:tc>
        <w:tc>
          <w:tcPr>
            <w:tcW w:w="1022" w:type="dxa"/>
            <w:shd w:val="clear" w:color="auto" w:fill="auto"/>
          </w:tcPr>
          <w:p w14:paraId="2727B545"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4.20</w:t>
            </w:r>
          </w:p>
        </w:tc>
      </w:tr>
      <w:tr w:rsidR="00A63CD3" w:rsidRPr="00BE4AF3" w14:paraId="1A2DB378" w14:textId="77777777" w:rsidTr="00244A2E">
        <w:trPr>
          <w:jc w:val="center"/>
        </w:trPr>
        <w:tc>
          <w:tcPr>
            <w:tcW w:w="809" w:type="dxa"/>
          </w:tcPr>
          <w:p w14:paraId="781801AC"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21</w:t>
            </w:r>
          </w:p>
        </w:tc>
        <w:tc>
          <w:tcPr>
            <w:tcW w:w="2581" w:type="dxa"/>
            <w:shd w:val="clear" w:color="auto" w:fill="auto"/>
          </w:tcPr>
          <w:p w14:paraId="4C05270F"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incorporates appropriate textures and surface qualities.</w:t>
            </w:r>
          </w:p>
        </w:tc>
        <w:tc>
          <w:tcPr>
            <w:tcW w:w="927" w:type="dxa"/>
            <w:shd w:val="clear" w:color="auto" w:fill="auto"/>
          </w:tcPr>
          <w:p w14:paraId="7CB842C9"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86" w:type="dxa"/>
            <w:shd w:val="clear" w:color="auto" w:fill="auto"/>
          </w:tcPr>
          <w:p w14:paraId="43E71F24"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35</w:t>
            </w:r>
          </w:p>
        </w:tc>
        <w:tc>
          <w:tcPr>
            <w:tcW w:w="823" w:type="dxa"/>
            <w:shd w:val="clear" w:color="auto" w:fill="auto"/>
          </w:tcPr>
          <w:p w14:paraId="14A2875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55</w:t>
            </w:r>
          </w:p>
        </w:tc>
        <w:tc>
          <w:tcPr>
            <w:tcW w:w="777" w:type="dxa"/>
            <w:shd w:val="clear" w:color="auto" w:fill="auto"/>
          </w:tcPr>
          <w:p w14:paraId="3A2DDCBB"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80</w:t>
            </w:r>
          </w:p>
        </w:tc>
        <w:tc>
          <w:tcPr>
            <w:tcW w:w="949" w:type="dxa"/>
            <w:shd w:val="clear" w:color="auto" w:fill="auto"/>
          </w:tcPr>
          <w:p w14:paraId="0C79D584"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147</w:t>
            </w:r>
          </w:p>
        </w:tc>
        <w:tc>
          <w:tcPr>
            <w:tcW w:w="1194" w:type="dxa"/>
            <w:shd w:val="clear" w:color="auto" w:fill="auto"/>
          </w:tcPr>
          <w:p w14:paraId="3900EBCA"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73627F1E"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1290</w:t>
            </w:r>
          </w:p>
        </w:tc>
        <w:tc>
          <w:tcPr>
            <w:tcW w:w="1022" w:type="dxa"/>
            <w:shd w:val="clear" w:color="auto" w:fill="auto"/>
          </w:tcPr>
          <w:p w14:paraId="24B3A0D4"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4.07</w:t>
            </w:r>
          </w:p>
        </w:tc>
      </w:tr>
      <w:tr w:rsidR="00A63CD3" w:rsidRPr="00BE4AF3" w14:paraId="240BB1DB" w14:textId="77777777" w:rsidTr="00244A2E">
        <w:trPr>
          <w:jc w:val="center"/>
        </w:trPr>
        <w:tc>
          <w:tcPr>
            <w:tcW w:w="809" w:type="dxa"/>
          </w:tcPr>
          <w:p w14:paraId="664ABCE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22</w:t>
            </w:r>
          </w:p>
        </w:tc>
        <w:tc>
          <w:tcPr>
            <w:tcW w:w="2581" w:type="dxa"/>
            <w:shd w:val="clear" w:color="auto" w:fill="auto"/>
          </w:tcPr>
          <w:p w14:paraId="5C3D3671"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maintains balance and symmetry.</w:t>
            </w:r>
          </w:p>
        </w:tc>
        <w:tc>
          <w:tcPr>
            <w:tcW w:w="927" w:type="dxa"/>
            <w:shd w:val="clear" w:color="auto" w:fill="auto"/>
          </w:tcPr>
          <w:p w14:paraId="335E6F0F"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86" w:type="dxa"/>
            <w:shd w:val="clear" w:color="auto" w:fill="auto"/>
          </w:tcPr>
          <w:p w14:paraId="48D75C67"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823" w:type="dxa"/>
            <w:shd w:val="clear" w:color="auto" w:fill="auto"/>
          </w:tcPr>
          <w:p w14:paraId="0900BFFA"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98</w:t>
            </w:r>
          </w:p>
        </w:tc>
        <w:tc>
          <w:tcPr>
            <w:tcW w:w="777" w:type="dxa"/>
            <w:shd w:val="clear" w:color="auto" w:fill="auto"/>
          </w:tcPr>
          <w:p w14:paraId="7CD18427"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114</w:t>
            </w:r>
          </w:p>
        </w:tc>
        <w:tc>
          <w:tcPr>
            <w:tcW w:w="949" w:type="dxa"/>
            <w:shd w:val="clear" w:color="auto" w:fill="auto"/>
          </w:tcPr>
          <w:p w14:paraId="0CC7BE10"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105</w:t>
            </w:r>
          </w:p>
        </w:tc>
        <w:tc>
          <w:tcPr>
            <w:tcW w:w="1194" w:type="dxa"/>
            <w:shd w:val="clear" w:color="auto" w:fill="auto"/>
          </w:tcPr>
          <w:p w14:paraId="65D322E2"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6FEE2558"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1275</w:t>
            </w:r>
          </w:p>
        </w:tc>
        <w:tc>
          <w:tcPr>
            <w:tcW w:w="1022" w:type="dxa"/>
            <w:shd w:val="clear" w:color="auto" w:fill="auto"/>
          </w:tcPr>
          <w:p w14:paraId="1E1B9ABB"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4.02</w:t>
            </w:r>
          </w:p>
        </w:tc>
      </w:tr>
      <w:tr w:rsidR="00A63CD3" w:rsidRPr="00BE4AF3" w14:paraId="668A4ED3" w14:textId="77777777" w:rsidTr="00244A2E">
        <w:trPr>
          <w:jc w:val="center"/>
        </w:trPr>
        <w:tc>
          <w:tcPr>
            <w:tcW w:w="809" w:type="dxa"/>
          </w:tcPr>
          <w:p w14:paraId="6FB2E1B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23</w:t>
            </w:r>
          </w:p>
        </w:tc>
        <w:tc>
          <w:tcPr>
            <w:tcW w:w="2581" w:type="dxa"/>
            <w:shd w:val="clear" w:color="auto" w:fill="auto"/>
          </w:tcPr>
          <w:p w14:paraId="3C8939EA"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reflects and integrates local community and cultural context.</w:t>
            </w:r>
          </w:p>
        </w:tc>
        <w:tc>
          <w:tcPr>
            <w:tcW w:w="927" w:type="dxa"/>
            <w:shd w:val="clear" w:color="auto" w:fill="auto"/>
          </w:tcPr>
          <w:p w14:paraId="777F8E29"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86" w:type="dxa"/>
            <w:shd w:val="clear" w:color="auto" w:fill="auto"/>
          </w:tcPr>
          <w:p w14:paraId="737DB806"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22</w:t>
            </w:r>
          </w:p>
        </w:tc>
        <w:tc>
          <w:tcPr>
            <w:tcW w:w="823" w:type="dxa"/>
            <w:shd w:val="clear" w:color="auto" w:fill="auto"/>
          </w:tcPr>
          <w:p w14:paraId="3909A535"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87</w:t>
            </w:r>
          </w:p>
        </w:tc>
        <w:tc>
          <w:tcPr>
            <w:tcW w:w="777" w:type="dxa"/>
            <w:shd w:val="clear" w:color="auto" w:fill="auto"/>
          </w:tcPr>
          <w:p w14:paraId="4213B2CD"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90</w:t>
            </w:r>
          </w:p>
        </w:tc>
        <w:tc>
          <w:tcPr>
            <w:tcW w:w="949" w:type="dxa"/>
            <w:shd w:val="clear" w:color="auto" w:fill="auto"/>
          </w:tcPr>
          <w:p w14:paraId="08BF466E"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118</w:t>
            </w:r>
          </w:p>
        </w:tc>
        <w:tc>
          <w:tcPr>
            <w:tcW w:w="1194" w:type="dxa"/>
            <w:shd w:val="clear" w:color="auto" w:fill="auto"/>
          </w:tcPr>
          <w:p w14:paraId="2CFDA947"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1A53CEEE"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1255</w:t>
            </w:r>
          </w:p>
        </w:tc>
        <w:tc>
          <w:tcPr>
            <w:tcW w:w="1022" w:type="dxa"/>
            <w:shd w:val="clear" w:color="auto" w:fill="auto"/>
          </w:tcPr>
          <w:p w14:paraId="1C36348A"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3.96</w:t>
            </w:r>
          </w:p>
        </w:tc>
      </w:tr>
      <w:tr w:rsidR="00A63CD3" w:rsidRPr="00BE4AF3" w14:paraId="1D3488ED" w14:textId="77777777" w:rsidTr="00244A2E">
        <w:trPr>
          <w:jc w:val="center"/>
        </w:trPr>
        <w:tc>
          <w:tcPr>
            <w:tcW w:w="809" w:type="dxa"/>
          </w:tcPr>
          <w:p w14:paraId="62FED36F"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24</w:t>
            </w:r>
          </w:p>
        </w:tc>
        <w:tc>
          <w:tcPr>
            <w:tcW w:w="2581" w:type="dxa"/>
            <w:shd w:val="clear" w:color="auto" w:fill="auto"/>
          </w:tcPr>
          <w:p w14:paraId="650240E8"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includes clear and informative signage and information boards.</w:t>
            </w:r>
          </w:p>
        </w:tc>
        <w:tc>
          <w:tcPr>
            <w:tcW w:w="927" w:type="dxa"/>
            <w:shd w:val="clear" w:color="auto" w:fill="auto"/>
          </w:tcPr>
          <w:p w14:paraId="22810097"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86" w:type="dxa"/>
            <w:shd w:val="clear" w:color="auto" w:fill="auto"/>
          </w:tcPr>
          <w:p w14:paraId="4A006172"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45</w:t>
            </w:r>
          </w:p>
        </w:tc>
        <w:tc>
          <w:tcPr>
            <w:tcW w:w="823" w:type="dxa"/>
            <w:shd w:val="clear" w:color="auto" w:fill="auto"/>
          </w:tcPr>
          <w:p w14:paraId="0BA71BEC"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65</w:t>
            </w:r>
          </w:p>
        </w:tc>
        <w:tc>
          <w:tcPr>
            <w:tcW w:w="777" w:type="dxa"/>
            <w:shd w:val="clear" w:color="auto" w:fill="auto"/>
          </w:tcPr>
          <w:p w14:paraId="24E6E77B"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90</w:t>
            </w:r>
          </w:p>
        </w:tc>
        <w:tc>
          <w:tcPr>
            <w:tcW w:w="949" w:type="dxa"/>
            <w:shd w:val="clear" w:color="auto" w:fill="auto"/>
          </w:tcPr>
          <w:p w14:paraId="494B1CBF"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117</w:t>
            </w:r>
          </w:p>
        </w:tc>
        <w:tc>
          <w:tcPr>
            <w:tcW w:w="1194" w:type="dxa"/>
            <w:shd w:val="clear" w:color="auto" w:fill="auto"/>
          </w:tcPr>
          <w:p w14:paraId="619A94AA"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02463054"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1230</w:t>
            </w:r>
          </w:p>
        </w:tc>
        <w:tc>
          <w:tcPr>
            <w:tcW w:w="1022" w:type="dxa"/>
            <w:shd w:val="clear" w:color="auto" w:fill="auto"/>
          </w:tcPr>
          <w:p w14:paraId="59B8AF9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3.88</w:t>
            </w:r>
          </w:p>
        </w:tc>
      </w:tr>
      <w:tr w:rsidR="00A63CD3" w:rsidRPr="00BE4AF3" w14:paraId="04BB8B44" w14:textId="77777777" w:rsidTr="00244A2E">
        <w:trPr>
          <w:jc w:val="center"/>
        </w:trPr>
        <w:tc>
          <w:tcPr>
            <w:tcW w:w="809" w:type="dxa"/>
          </w:tcPr>
          <w:p w14:paraId="0375B382"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25</w:t>
            </w:r>
          </w:p>
        </w:tc>
        <w:tc>
          <w:tcPr>
            <w:tcW w:w="2581" w:type="dxa"/>
            <w:shd w:val="clear" w:color="auto" w:fill="auto"/>
          </w:tcPr>
          <w:p w14:paraId="557439AC"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incorporates advanced technology for enhanced visitor experience.</w:t>
            </w:r>
          </w:p>
        </w:tc>
        <w:tc>
          <w:tcPr>
            <w:tcW w:w="927" w:type="dxa"/>
            <w:shd w:val="clear" w:color="auto" w:fill="auto"/>
          </w:tcPr>
          <w:p w14:paraId="66D56535"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5</w:t>
            </w:r>
          </w:p>
        </w:tc>
        <w:tc>
          <w:tcPr>
            <w:tcW w:w="786" w:type="dxa"/>
            <w:shd w:val="clear" w:color="auto" w:fill="auto"/>
          </w:tcPr>
          <w:p w14:paraId="23988769"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67</w:t>
            </w:r>
          </w:p>
        </w:tc>
        <w:tc>
          <w:tcPr>
            <w:tcW w:w="823" w:type="dxa"/>
            <w:shd w:val="clear" w:color="auto" w:fill="auto"/>
          </w:tcPr>
          <w:p w14:paraId="2D8F82DD"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34</w:t>
            </w:r>
          </w:p>
        </w:tc>
        <w:tc>
          <w:tcPr>
            <w:tcW w:w="777" w:type="dxa"/>
            <w:shd w:val="clear" w:color="auto" w:fill="auto"/>
          </w:tcPr>
          <w:p w14:paraId="759C2934"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70</w:t>
            </w:r>
          </w:p>
        </w:tc>
        <w:tc>
          <w:tcPr>
            <w:tcW w:w="949" w:type="dxa"/>
            <w:shd w:val="clear" w:color="auto" w:fill="auto"/>
          </w:tcPr>
          <w:p w14:paraId="02E5B6B1"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141</w:t>
            </w:r>
          </w:p>
        </w:tc>
        <w:tc>
          <w:tcPr>
            <w:tcW w:w="1194" w:type="dxa"/>
            <w:shd w:val="clear" w:color="auto" w:fill="auto"/>
          </w:tcPr>
          <w:p w14:paraId="419E4F16"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714CCDF7"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1226</w:t>
            </w:r>
          </w:p>
        </w:tc>
        <w:tc>
          <w:tcPr>
            <w:tcW w:w="1022" w:type="dxa"/>
            <w:shd w:val="clear" w:color="auto" w:fill="auto"/>
          </w:tcPr>
          <w:p w14:paraId="2A867ECF"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3.87</w:t>
            </w:r>
          </w:p>
        </w:tc>
      </w:tr>
      <w:tr w:rsidR="00A63CD3" w:rsidRPr="00BE4AF3" w14:paraId="5B625E06" w14:textId="77777777" w:rsidTr="00244A2E">
        <w:trPr>
          <w:jc w:val="center"/>
        </w:trPr>
        <w:tc>
          <w:tcPr>
            <w:tcW w:w="809" w:type="dxa"/>
          </w:tcPr>
          <w:p w14:paraId="29DA6ECB"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26</w:t>
            </w:r>
          </w:p>
        </w:tc>
        <w:tc>
          <w:tcPr>
            <w:tcW w:w="2581" w:type="dxa"/>
            <w:shd w:val="clear" w:color="auto" w:fill="auto"/>
          </w:tcPr>
          <w:p w14:paraId="3BD93956"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uses a cohesive and harmonious colour scheme.</w:t>
            </w:r>
          </w:p>
        </w:tc>
        <w:tc>
          <w:tcPr>
            <w:tcW w:w="927" w:type="dxa"/>
            <w:shd w:val="clear" w:color="auto" w:fill="auto"/>
          </w:tcPr>
          <w:p w14:paraId="17797F0C"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86" w:type="dxa"/>
            <w:shd w:val="clear" w:color="auto" w:fill="auto"/>
          </w:tcPr>
          <w:p w14:paraId="2B0BAAEE"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120</w:t>
            </w:r>
          </w:p>
        </w:tc>
        <w:tc>
          <w:tcPr>
            <w:tcW w:w="823" w:type="dxa"/>
            <w:shd w:val="clear" w:color="auto" w:fill="auto"/>
          </w:tcPr>
          <w:p w14:paraId="79A92F72"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45</w:t>
            </w:r>
          </w:p>
        </w:tc>
        <w:tc>
          <w:tcPr>
            <w:tcW w:w="777" w:type="dxa"/>
            <w:shd w:val="clear" w:color="auto" w:fill="auto"/>
          </w:tcPr>
          <w:p w14:paraId="6A8E1116"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35</w:t>
            </w:r>
          </w:p>
        </w:tc>
        <w:tc>
          <w:tcPr>
            <w:tcW w:w="949" w:type="dxa"/>
            <w:shd w:val="clear" w:color="auto" w:fill="auto"/>
          </w:tcPr>
          <w:p w14:paraId="67326FC0"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117</w:t>
            </w:r>
          </w:p>
        </w:tc>
        <w:tc>
          <w:tcPr>
            <w:tcW w:w="1194" w:type="dxa"/>
            <w:shd w:val="clear" w:color="auto" w:fill="auto"/>
          </w:tcPr>
          <w:p w14:paraId="14F61522"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3F9580E9"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1100</w:t>
            </w:r>
          </w:p>
        </w:tc>
        <w:tc>
          <w:tcPr>
            <w:tcW w:w="1022" w:type="dxa"/>
            <w:shd w:val="clear" w:color="auto" w:fill="auto"/>
          </w:tcPr>
          <w:p w14:paraId="657F3007"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3.47</w:t>
            </w:r>
          </w:p>
        </w:tc>
      </w:tr>
      <w:tr w:rsidR="00A63CD3" w:rsidRPr="00BE4AF3" w14:paraId="0E3FB5BA" w14:textId="77777777" w:rsidTr="00244A2E">
        <w:trPr>
          <w:jc w:val="center"/>
        </w:trPr>
        <w:tc>
          <w:tcPr>
            <w:tcW w:w="809" w:type="dxa"/>
          </w:tcPr>
          <w:p w14:paraId="67BDF214"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27</w:t>
            </w:r>
          </w:p>
        </w:tc>
        <w:tc>
          <w:tcPr>
            <w:tcW w:w="2581" w:type="dxa"/>
            <w:shd w:val="clear" w:color="auto" w:fill="auto"/>
          </w:tcPr>
          <w:p w14:paraId="7CFCEAAA"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The design incorporates innovative and creative solutions.</w:t>
            </w:r>
          </w:p>
        </w:tc>
        <w:tc>
          <w:tcPr>
            <w:tcW w:w="927" w:type="dxa"/>
            <w:shd w:val="clear" w:color="auto" w:fill="auto"/>
          </w:tcPr>
          <w:p w14:paraId="0DC3703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86" w:type="dxa"/>
            <w:shd w:val="clear" w:color="auto" w:fill="auto"/>
          </w:tcPr>
          <w:p w14:paraId="1DB4127F"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89</w:t>
            </w:r>
          </w:p>
        </w:tc>
        <w:tc>
          <w:tcPr>
            <w:tcW w:w="823" w:type="dxa"/>
            <w:shd w:val="clear" w:color="auto" w:fill="auto"/>
          </w:tcPr>
          <w:p w14:paraId="20364DEF"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68</w:t>
            </w:r>
          </w:p>
        </w:tc>
        <w:tc>
          <w:tcPr>
            <w:tcW w:w="777" w:type="dxa"/>
            <w:shd w:val="clear" w:color="auto" w:fill="auto"/>
          </w:tcPr>
          <w:p w14:paraId="5E587B5A"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90</w:t>
            </w:r>
          </w:p>
        </w:tc>
        <w:tc>
          <w:tcPr>
            <w:tcW w:w="949" w:type="dxa"/>
            <w:shd w:val="clear" w:color="auto" w:fill="auto"/>
          </w:tcPr>
          <w:p w14:paraId="03810803"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70</w:t>
            </w:r>
          </w:p>
        </w:tc>
        <w:tc>
          <w:tcPr>
            <w:tcW w:w="1194" w:type="dxa"/>
            <w:shd w:val="clear" w:color="auto" w:fill="auto"/>
          </w:tcPr>
          <w:p w14:paraId="081D062D"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5C82B0D5"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1092</w:t>
            </w:r>
          </w:p>
        </w:tc>
        <w:tc>
          <w:tcPr>
            <w:tcW w:w="1022" w:type="dxa"/>
            <w:shd w:val="clear" w:color="auto" w:fill="auto"/>
          </w:tcPr>
          <w:p w14:paraId="1CC6B5F8"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3.44</w:t>
            </w:r>
          </w:p>
        </w:tc>
      </w:tr>
      <w:tr w:rsidR="00A63CD3" w:rsidRPr="00BE4AF3" w14:paraId="527CDBA3" w14:textId="77777777" w:rsidTr="00244A2E">
        <w:trPr>
          <w:jc w:val="center"/>
        </w:trPr>
        <w:tc>
          <w:tcPr>
            <w:tcW w:w="809" w:type="dxa"/>
          </w:tcPr>
          <w:p w14:paraId="3D2B50C0" w14:textId="77777777" w:rsidR="00A63CD3" w:rsidRPr="00244A2E" w:rsidRDefault="00A63CD3" w:rsidP="00244A2E">
            <w:pPr>
              <w:pStyle w:val="NoSpacing"/>
              <w:jc w:val="center"/>
              <w:rPr>
                <w:rFonts w:ascii="Times New Roman" w:hAnsi="Times New Roman" w:cs="Times New Roman"/>
                <w:color w:val="000000" w:themeColor="text1"/>
                <w:sz w:val="20"/>
                <w:szCs w:val="20"/>
              </w:rPr>
            </w:pPr>
          </w:p>
        </w:tc>
        <w:tc>
          <w:tcPr>
            <w:tcW w:w="2581" w:type="dxa"/>
            <w:vMerge w:val="restart"/>
            <w:shd w:val="clear" w:color="auto" w:fill="auto"/>
          </w:tcPr>
          <w:p w14:paraId="41C5A7B9"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Average</w:t>
            </w:r>
          </w:p>
        </w:tc>
        <w:tc>
          <w:tcPr>
            <w:tcW w:w="927" w:type="dxa"/>
            <w:shd w:val="clear" w:color="auto" w:fill="auto"/>
          </w:tcPr>
          <w:p w14:paraId="56C0331B" w14:textId="77777777" w:rsidR="00A63CD3" w:rsidRPr="00244A2E" w:rsidRDefault="00A63CD3" w:rsidP="00244A2E">
            <w:pPr>
              <w:pStyle w:val="NoSpacing"/>
              <w:jc w:val="center"/>
              <w:rPr>
                <w:rFonts w:ascii="Times New Roman" w:hAnsi="Times New Roman" w:cs="Times New Roman"/>
                <w:color w:val="000000" w:themeColor="text1"/>
                <w:sz w:val="20"/>
                <w:szCs w:val="20"/>
              </w:rPr>
            </w:pPr>
          </w:p>
        </w:tc>
        <w:tc>
          <w:tcPr>
            <w:tcW w:w="786" w:type="dxa"/>
            <w:shd w:val="clear" w:color="auto" w:fill="auto"/>
          </w:tcPr>
          <w:p w14:paraId="267576EA" w14:textId="77777777" w:rsidR="00A63CD3" w:rsidRPr="00244A2E" w:rsidRDefault="00A63CD3" w:rsidP="00244A2E">
            <w:pPr>
              <w:pStyle w:val="NoSpacing"/>
              <w:jc w:val="center"/>
              <w:rPr>
                <w:rFonts w:ascii="Times New Roman" w:hAnsi="Times New Roman" w:cs="Times New Roman"/>
                <w:color w:val="000000" w:themeColor="text1"/>
                <w:sz w:val="20"/>
                <w:szCs w:val="20"/>
              </w:rPr>
            </w:pPr>
          </w:p>
        </w:tc>
        <w:tc>
          <w:tcPr>
            <w:tcW w:w="823" w:type="dxa"/>
            <w:shd w:val="clear" w:color="auto" w:fill="auto"/>
          </w:tcPr>
          <w:p w14:paraId="035FBC43" w14:textId="77777777" w:rsidR="00A63CD3" w:rsidRPr="00244A2E" w:rsidRDefault="00A63CD3" w:rsidP="00244A2E">
            <w:pPr>
              <w:pStyle w:val="NoSpacing"/>
              <w:jc w:val="center"/>
              <w:rPr>
                <w:rFonts w:ascii="Times New Roman" w:hAnsi="Times New Roman" w:cs="Times New Roman"/>
                <w:color w:val="000000" w:themeColor="text1"/>
                <w:sz w:val="20"/>
                <w:szCs w:val="20"/>
              </w:rPr>
            </w:pPr>
          </w:p>
        </w:tc>
        <w:tc>
          <w:tcPr>
            <w:tcW w:w="777" w:type="dxa"/>
            <w:shd w:val="clear" w:color="auto" w:fill="auto"/>
          </w:tcPr>
          <w:p w14:paraId="0AC6143C" w14:textId="77777777" w:rsidR="00A63CD3" w:rsidRPr="00244A2E" w:rsidRDefault="00A63CD3" w:rsidP="00244A2E">
            <w:pPr>
              <w:pStyle w:val="NoSpacing"/>
              <w:jc w:val="center"/>
              <w:rPr>
                <w:rFonts w:ascii="Times New Roman" w:hAnsi="Times New Roman" w:cs="Times New Roman"/>
                <w:color w:val="000000" w:themeColor="text1"/>
                <w:sz w:val="20"/>
                <w:szCs w:val="20"/>
              </w:rPr>
            </w:pPr>
          </w:p>
        </w:tc>
        <w:tc>
          <w:tcPr>
            <w:tcW w:w="949" w:type="dxa"/>
            <w:shd w:val="clear" w:color="auto" w:fill="auto"/>
          </w:tcPr>
          <w:p w14:paraId="6C02F69E" w14:textId="77777777" w:rsidR="00A63CD3" w:rsidRPr="00244A2E" w:rsidRDefault="00A63CD3" w:rsidP="00244A2E">
            <w:pPr>
              <w:pStyle w:val="NoSpacing"/>
              <w:jc w:val="center"/>
              <w:rPr>
                <w:rFonts w:ascii="Times New Roman" w:hAnsi="Times New Roman" w:cs="Times New Roman"/>
                <w:color w:val="000000" w:themeColor="text1"/>
                <w:sz w:val="20"/>
                <w:szCs w:val="20"/>
              </w:rPr>
            </w:pPr>
          </w:p>
        </w:tc>
        <w:tc>
          <w:tcPr>
            <w:tcW w:w="1194" w:type="dxa"/>
            <w:shd w:val="clear" w:color="auto" w:fill="auto"/>
          </w:tcPr>
          <w:p w14:paraId="48BC0DC6" w14:textId="77777777" w:rsidR="00A63CD3" w:rsidRPr="00244A2E" w:rsidRDefault="00A63CD3" w:rsidP="00244A2E">
            <w:pPr>
              <w:pStyle w:val="NoSpacing"/>
              <w:jc w:val="center"/>
              <w:rPr>
                <w:rFonts w:ascii="Times New Roman" w:hAnsi="Times New Roman" w:cs="Times New Roman"/>
                <w:color w:val="000000" w:themeColor="text1"/>
                <w:sz w:val="20"/>
                <w:szCs w:val="20"/>
              </w:rPr>
            </w:pPr>
          </w:p>
        </w:tc>
        <w:tc>
          <w:tcPr>
            <w:tcW w:w="672" w:type="dxa"/>
            <w:shd w:val="clear" w:color="auto" w:fill="auto"/>
          </w:tcPr>
          <w:p w14:paraId="716940DD" w14:textId="77777777" w:rsidR="00A63CD3" w:rsidRPr="00244A2E" w:rsidRDefault="00A63CD3" w:rsidP="00244A2E">
            <w:pPr>
              <w:pStyle w:val="NoSpacing"/>
              <w:jc w:val="center"/>
              <w:rPr>
                <w:rFonts w:ascii="Times New Roman" w:hAnsi="Times New Roman" w:cs="Times New Roman"/>
                <w:color w:val="000000" w:themeColor="text1"/>
                <w:sz w:val="20"/>
                <w:szCs w:val="20"/>
              </w:rPr>
            </w:pPr>
          </w:p>
        </w:tc>
        <w:tc>
          <w:tcPr>
            <w:tcW w:w="1022" w:type="dxa"/>
            <w:shd w:val="clear" w:color="auto" w:fill="auto"/>
          </w:tcPr>
          <w:p w14:paraId="6DEA599D"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117.17/27</w:t>
            </w:r>
          </w:p>
        </w:tc>
      </w:tr>
      <w:tr w:rsidR="00A63CD3" w:rsidRPr="00BE4AF3" w14:paraId="12CC2DA3" w14:textId="77777777" w:rsidTr="00244A2E">
        <w:trPr>
          <w:jc w:val="center"/>
        </w:trPr>
        <w:tc>
          <w:tcPr>
            <w:tcW w:w="809" w:type="dxa"/>
            <w:tcBorders>
              <w:bottom w:val="single" w:sz="18" w:space="0" w:color="auto"/>
            </w:tcBorders>
          </w:tcPr>
          <w:p w14:paraId="1B02E2F2" w14:textId="77777777" w:rsidR="00A63CD3" w:rsidRPr="00244A2E" w:rsidRDefault="00A63CD3" w:rsidP="00244A2E">
            <w:pPr>
              <w:pStyle w:val="NoSpacing"/>
              <w:jc w:val="center"/>
              <w:rPr>
                <w:rFonts w:ascii="Times New Roman" w:hAnsi="Times New Roman" w:cs="Times New Roman"/>
                <w:color w:val="000000" w:themeColor="text1"/>
                <w:sz w:val="20"/>
                <w:szCs w:val="20"/>
              </w:rPr>
            </w:pPr>
          </w:p>
        </w:tc>
        <w:tc>
          <w:tcPr>
            <w:tcW w:w="2581" w:type="dxa"/>
            <w:vMerge/>
            <w:tcBorders>
              <w:bottom w:val="single" w:sz="18" w:space="0" w:color="auto"/>
            </w:tcBorders>
            <w:shd w:val="clear" w:color="auto" w:fill="auto"/>
          </w:tcPr>
          <w:p w14:paraId="58C91283" w14:textId="77777777" w:rsidR="00A63CD3" w:rsidRPr="00244A2E" w:rsidRDefault="00A63CD3" w:rsidP="00244A2E">
            <w:pPr>
              <w:pStyle w:val="NoSpacing"/>
              <w:jc w:val="left"/>
              <w:rPr>
                <w:rFonts w:ascii="Times New Roman" w:hAnsi="Times New Roman" w:cs="Times New Roman"/>
                <w:color w:val="000000" w:themeColor="text1"/>
                <w:sz w:val="20"/>
                <w:szCs w:val="20"/>
              </w:rPr>
            </w:pPr>
          </w:p>
        </w:tc>
        <w:tc>
          <w:tcPr>
            <w:tcW w:w="927" w:type="dxa"/>
            <w:tcBorders>
              <w:bottom w:val="single" w:sz="18" w:space="0" w:color="auto"/>
            </w:tcBorders>
            <w:shd w:val="clear" w:color="auto" w:fill="auto"/>
          </w:tcPr>
          <w:p w14:paraId="34D81910" w14:textId="77777777" w:rsidR="00A63CD3" w:rsidRPr="00244A2E" w:rsidRDefault="00A63CD3" w:rsidP="00244A2E">
            <w:pPr>
              <w:pStyle w:val="NoSpacing"/>
              <w:jc w:val="center"/>
              <w:rPr>
                <w:rFonts w:ascii="Times New Roman" w:hAnsi="Times New Roman" w:cs="Times New Roman"/>
                <w:color w:val="000000" w:themeColor="text1"/>
                <w:sz w:val="20"/>
                <w:szCs w:val="20"/>
              </w:rPr>
            </w:pPr>
          </w:p>
        </w:tc>
        <w:tc>
          <w:tcPr>
            <w:tcW w:w="786" w:type="dxa"/>
            <w:tcBorders>
              <w:bottom w:val="single" w:sz="18" w:space="0" w:color="auto"/>
            </w:tcBorders>
            <w:shd w:val="clear" w:color="auto" w:fill="auto"/>
          </w:tcPr>
          <w:p w14:paraId="61463CBF" w14:textId="77777777" w:rsidR="00A63CD3" w:rsidRPr="00244A2E" w:rsidRDefault="00A63CD3" w:rsidP="00244A2E">
            <w:pPr>
              <w:pStyle w:val="NoSpacing"/>
              <w:jc w:val="center"/>
              <w:rPr>
                <w:rFonts w:ascii="Times New Roman" w:hAnsi="Times New Roman" w:cs="Times New Roman"/>
                <w:color w:val="000000" w:themeColor="text1"/>
                <w:sz w:val="20"/>
                <w:szCs w:val="20"/>
              </w:rPr>
            </w:pPr>
          </w:p>
        </w:tc>
        <w:tc>
          <w:tcPr>
            <w:tcW w:w="823" w:type="dxa"/>
            <w:tcBorders>
              <w:bottom w:val="single" w:sz="18" w:space="0" w:color="auto"/>
            </w:tcBorders>
            <w:shd w:val="clear" w:color="auto" w:fill="auto"/>
          </w:tcPr>
          <w:p w14:paraId="5E956598" w14:textId="77777777" w:rsidR="00A63CD3" w:rsidRPr="00244A2E" w:rsidRDefault="00A63CD3" w:rsidP="00244A2E">
            <w:pPr>
              <w:pStyle w:val="NoSpacing"/>
              <w:jc w:val="center"/>
              <w:rPr>
                <w:rFonts w:ascii="Times New Roman" w:hAnsi="Times New Roman" w:cs="Times New Roman"/>
                <w:color w:val="000000" w:themeColor="text1"/>
                <w:sz w:val="20"/>
                <w:szCs w:val="20"/>
              </w:rPr>
            </w:pPr>
          </w:p>
        </w:tc>
        <w:tc>
          <w:tcPr>
            <w:tcW w:w="777" w:type="dxa"/>
            <w:tcBorders>
              <w:bottom w:val="single" w:sz="18" w:space="0" w:color="auto"/>
            </w:tcBorders>
            <w:shd w:val="clear" w:color="auto" w:fill="auto"/>
          </w:tcPr>
          <w:p w14:paraId="24675BE0" w14:textId="77777777" w:rsidR="00A63CD3" w:rsidRPr="00244A2E" w:rsidRDefault="00A63CD3" w:rsidP="00244A2E">
            <w:pPr>
              <w:pStyle w:val="NoSpacing"/>
              <w:jc w:val="center"/>
              <w:rPr>
                <w:rFonts w:ascii="Times New Roman" w:hAnsi="Times New Roman" w:cs="Times New Roman"/>
                <w:color w:val="000000" w:themeColor="text1"/>
                <w:sz w:val="20"/>
                <w:szCs w:val="20"/>
              </w:rPr>
            </w:pPr>
          </w:p>
        </w:tc>
        <w:tc>
          <w:tcPr>
            <w:tcW w:w="949" w:type="dxa"/>
            <w:tcBorders>
              <w:bottom w:val="single" w:sz="18" w:space="0" w:color="auto"/>
            </w:tcBorders>
            <w:shd w:val="clear" w:color="auto" w:fill="auto"/>
          </w:tcPr>
          <w:p w14:paraId="2C3C6A2E" w14:textId="77777777" w:rsidR="00A63CD3" w:rsidRPr="00244A2E" w:rsidRDefault="00A63CD3" w:rsidP="00244A2E">
            <w:pPr>
              <w:pStyle w:val="NoSpacing"/>
              <w:jc w:val="center"/>
              <w:rPr>
                <w:rFonts w:ascii="Times New Roman" w:hAnsi="Times New Roman" w:cs="Times New Roman"/>
                <w:color w:val="000000" w:themeColor="text1"/>
                <w:sz w:val="20"/>
                <w:szCs w:val="20"/>
              </w:rPr>
            </w:pPr>
          </w:p>
        </w:tc>
        <w:tc>
          <w:tcPr>
            <w:tcW w:w="1194" w:type="dxa"/>
            <w:tcBorders>
              <w:bottom w:val="single" w:sz="18" w:space="0" w:color="auto"/>
            </w:tcBorders>
            <w:shd w:val="clear" w:color="auto" w:fill="auto"/>
          </w:tcPr>
          <w:p w14:paraId="24C23D54" w14:textId="77777777" w:rsidR="00A63CD3" w:rsidRPr="00244A2E" w:rsidRDefault="00A63CD3" w:rsidP="00244A2E">
            <w:pPr>
              <w:pStyle w:val="NoSpacing"/>
              <w:jc w:val="center"/>
              <w:rPr>
                <w:rFonts w:ascii="Times New Roman" w:hAnsi="Times New Roman" w:cs="Times New Roman"/>
                <w:color w:val="000000" w:themeColor="text1"/>
                <w:sz w:val="20"/>
                <w:szCs w:val="20"/>
              </w:rPr>
            </w:pPr>
          </w:p>
        </w:tc>
        <w:tc>
          <w:tcPr>
            <w:tcW w:w="672" w:type="dxa"/>
            <w:tcBorders>
              <w:bottom w:val="single" w:sz="18" w:space="0" w:color="auto"/>
            </w:tcBorders>
            <w:shd w:val="clear" w:color="auto" w:fill="auto"/>
          </w:tcPr>
          <w:p w14:paraId="4AB79875" w14:textId="77777777" w:rsidR="00A63CD3" w:rsidRPr="00244A2E" w:rsidRDefault="00A63CD3" w:rsidP="00244A2E">
            <w:pPr>
              <w:pStyle w:val="NoSpacing"/>
              <w:jc w:val="center"/>
              <w:rPr>
                <w:rFonts w:ascii="Times New Roman" w:hAnsi="Times New Roman" w:cs="Times New Roman"/>
                <w:color w:val="000000" w:themeColor="text1"/>
                <w:sz w:val="20"/>
                <w:szCs w:val="20"/>
              </w:rPr>
            </w:pPr>
          </w:p>
        </w:tc>
        <w:tc>
          <w:tcPr>
            <w:tcW w:w="1022" w:type="dxa"/>
            <w:tcBorders>
              <w:bottom w:val="single" w:sz="18" w:space="0" w:color="auto"/>
            </w:tcBorders>
            <w:shd w:val="clear" w:color="auto" w:fill="auto"/>
          </w:tcPr>
          <w:p w14:paraId="00608B49" w14:textId="77777777" w:rsidR="00A63CD3" w:rsidRPr="00244A2E" w:rsidRDefault="00A63CD3" w:rsidP="00244A2E">
            <w:pPr>
              <w:pStyle w:val="NoSpacing"/>
              <w:jc w:val="center"/>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4.34</w:t>
            </w:r>
          </w:p>
        </w:tc>
      </w:tr>
    </w:tbl>
    <w:p w14:paraId="3DFF8FF2" w14:textId="77777777" w:rsidR="00A63CD3" w:rsidRPr="00BE4AF3" w:rsidRDefault="00A63CD3" w:rsidP="00A63CD3">
      <w:pPr>
        <w:spacing w:after="0" w:line="240" w:lineRule="auto"/>
        <w:rPr>
          <w:rFonts w:ascii="Times New Roman" w:eastAsia="Calibri" w:hAnsi="Times New Roman" w:cs="Times New Roman"/>
          <w:b/>
          <w:i/>
          <w:color w:val="000000" w:themeColor="text1"/>
          <w:sz w:val="24"/>
          <w:szCs w:val="24"/>
        </w:rPr>
      </w:pPr>
    </w:p>
    <w:p w14:paraId="104214EF" w14:textId="643F951A" w:rsidR="00A63CD3" w:rsidRPr="00BE4AF3" w:rsidRDefault="00A63CD3" w:rsidP="00A63CD3">
      <w:pPr>
        <w:spacing w:after="0" w:line="240" w:lineRule="auto"/>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b/>
          <w:color w:val="000000" w:themeColor="text1"/>
          <w:sz w:val="24"/>
          <w:szCs w:val="24"/>
        </w:rPr>
        <w:t>Users’ Perception of Social Value of Landscape Elements that Contribute to a Positive Experience in Tourist Centre</w:t>
      </w:r>
    </w:p>
    <w:p w14:paraId="5229CE98" w14:textId="77777777" w:rsidR="00A63CD3" w:rsidRPr="00BE4AF3" w:rsidRDefault="00A63CD3" w:rsidP="00244A2E">
      <w:pPr>
        <w:widowControl w:val="0"/>
        <w:spacing w:after="0" w:line="240" w:lineRule="auto"/>
        <w:jc w:val="both"/>
        <w:rPr>
          <w:rFonts w:ascii="Times New Roman" w:eastAsia="Calibri" w:hAnsi="Times New Roman" w:cs="Times New Roman"/>
          <w:b/>
          <w:color w:val="000000" w:themeColor="text1"/>
          <w:sz w:val="24"/>
          <w:szCs w:val="24"/>
        </w:rPr>
      </w:pPr>
      <w:r w:rsidRPr="00BE4AF3">
        <w:rPr>
          <w:rFonts w:ascii="Times New Roman" w:eastAsia="Calibri" w:hAnsi="Times New Roman" w:cs="Times New Roman"/>
          <w:color w:val="000000" w:themeColor="text1"/>
          <w:sz w:val="24"/>
          <w:szCs w:val="24"/>
        </w:rPr>
        <w:t xml:space="preserve">Table 4.31 revealed the result of users’ perception to social value of landscape elements Indices (SVLSI) </w:t>
      </w:r>
      <w:r w:rsidRPr="00BE4AF3">
        <w:rPr>
          <w:rFonts w:ascii="Times New Roman" w:eastAsia="Times New Roman" w:hAnsi="Times New Roman" w:cs="Times New Roman"/>
          <w:color w:val="000000" w:themeColor="text1"/>
          <w:sz w:val="24"/>
          <w:szCs w:val="24"/>
        </w:rPr>
        <w:t xml:space="preserve">that contribute to a positive experience in tourist centre show that landscape elements promote safety and security within the landscape areas, Integration of local art and cultural elements into the landscape, promotion of environmental sustainability, enhancement of visitor educational experiences, facilitation of social interaction among visitors, support for local cultural activities and events, encouragement of visitor engagement and promotion of community and cultural integration with 5.00, 4.62, 4.58, 4.51, 4.48, 4.38, 4.31 and 4.26 (SVLSI) respectively. </w:t>
      </w:r>
      <w:r w:rsidRPr="00BE4AF3">
        <w:rPr>
          <w:rFonts w:ascii="Times New Roman" w:eastAsia="Calibri" w:hAnsi="Times New Roman" w:cs="Times New Roman"/>
          <w:color w:val="000000" w:themeColor="text1"/>
          <w:sz w:val="24"/>
          <w:szCs w:val="24"/>
        </w:rPr>
        <w:t>The result shows that tourist centers with well-designed spaces for interaction, educational signage, and sustainable practices are more likely to attract and satisfy visitors. Other influential factors included social interaction, educational experiences, and local cultural support. These elements collectively contribute to a positive and enriching visitor experience, demonstrating the importance of considering social quality aspects in landscape design for tourist centers.</w:t>
      </w:r>
    </w:p>
    <w:p w14:paraId="4181FF04" w14:textId="77777777" w:rsidR="00244A2E" w:rsidRDefault="00244A2E" w:rsidP="00A63CD3">
      <w:pPr>
        <w:spacing w:after="0" w:line="240" w:lineRule="auto"/>
        <w:jc w:val="both"/>
        <w:rPr>
          <w:rFonts w:ascii="Times New Roman" w:eastAsia="Calibri" w:hAnsi="Times New Roman" w:cs="Times New Roman"/>
          <w:b/>
          <w:color w:val="000000" w:themeColor="text1"/>
          <w:sz w:val="24"/>
          <w:szCs w:val="24"/>
        </w:rPr>
      </w:pPr>
    </w:p>
    <w:p w14:paraId="16139BEC" w14:textId="77777777" w:rsidR="00244A2E" w:rsidRDefault="00244A2E" w:rsidP="00A63CD3">
      <w:pPr>
        <w:spacing w:after="0" w:line="240" w:lineRule="auto"/>
        <w:jc w:val="both"/>
        <w:rPr>
          <w:rFonts w:ascii="Times New Roman" w:eastAsia="Calibri" w:hAnsi="Times New Roman" w:cs="Times New Roman"/>
          <w:b/>
          <w:color w:val="000000" w:themeColor="text1"/>
          <w:sz w:val="24"/>
          <w:szCs w:val="24"/>
        </w:rPr>
      </w:pPr>
    </w:p>
    <w:p w14:paraId="1479EB8C" w14:textId="77777777" w:rsidR="00244A2E" w:rsidRDefault="00244A2E" w:rsidP="00A63CD3">
      <w:pPr>
        <w:spacing w:after="0" w:line="240" w:lineRule="auto"/>
        <w:jc w:val="both"/>
        <w:rPr>
          <w:rFonts w:ascii="Times New Roman" w:eastAsia="Calibri" w:hAnsi="Times New Roman" w:cs="Times New Roman"/>
          <w:b/>
          <w:color w:val="000000" w:themeColor="text1"/>
          <w:sz w:val="24"/>
          <w:szCs w:val="24"/>
        </w:rPr>
      </w:pPr>
    </w:p>
    <w:p w14:paraId="28E778C8" w14:textId="09517173" w:rsidR="00A63CD3" w:rsidRPr="00244A2E" w:rsidRDefault="00A63CD3" w:rsidP="002A3ABC">
      <w:pPr>
        <w:spacing w:after="0" w:line="240" w:lineRule="auto"/>
        <w:jc w:val="center"/>
        <w:rPr>
          <w:rFonts w:ascii="Times New Roman" w:eastAsia="Calibri" w:hAnsi="Times New Roman" w:cs="Times New Roman"/>
          <w:bCs/>
          <w:color w:val="000000" w:themeColor="text1"/>
          <w:sz w:val="24"/>
          <w:szCs w:val="24"/>
        </w:rPr>
      </w:pPr>
      <w:r w:rsidRPr="00BE4AF3">
        <w:rPr>
          <w:rFonts w:ascii="Times New Roman" w:eastAsia="Calibri" w:hAnsi="Times New Roman" w:cs="Times New Roman"/>
          <w:b/>
          <w:color w:val="000000" w:themeColor="text1"/>
          <w:sz w:val="24"/>
          <w:szCs w:val="24"/>
        </w:rPr>
        <w:lastRenderedPageBreak/>
        <w:t xml:space="preserve">Table 4.31: </w:t>
      </w:r>
      <w:r w:rsidRPr="00244A2E">
        <w:rPr>
          <w:rFonts w:ascii="Times New Roman" w:eastAsia="Calibri" w:hAnsi="Times New Roman" w:cs="Times New Roman"/>
          <w:bCs/>
          <w:color w:val="000000" w:themeColor="text1"/>
          <w:sz w:val="24"/>
          <w:szCs w:val="24"/>
        </w:rPr>
        <w:t>Social Value of Landscape Elements that Contribute to a Positive Experience in Tourist Centre</w:t>
      </w:r>
    </w:p>
    <w:tbl>
      <w:tblPr>
        <w:tblW w:w="0" w:type="auto"/>
        <w:jc w:val="center"/>
        <w:tblLayout w:type="fixed"/>
        <w:tblLook w:val="04A0" w:firstRow="1" w:lastRow="0" w:firstColumn="1" w:lastColumn="0" w:noHBand="0" w:noVBand="1"/>
      </w:tblPr>
      <w:tblGrid>
        <w:gridCol w:w="529"/>
        <w:gridCol w:w="1507"/>
        <w:gridCol w:w="932"/>
        <w:gridCol w:w="718"/>
        <w:gridCol w:w="640"/>
        <w:gridCol w:w="708"/>
        <w:gridCol w:w="911"/>
        <w:gridCol w:w="1196"/>
        <w:gridCol w:w="672"/>
        <w:gridCol w:w="827"/>
      </w:tblGrid>
      <w:tr w:rsidR="00A63CD3" w:rsidRPr="00244A2E" w14:paraId="53F87CFF" w14:textId="77777777" w:rsidTr="00244A2E">
        <w:trPr>
          <w:jc w:val="center"/>
        </w:trPr>
        <w:tc>
          <w:tcPr>
            <w:tcW w:w="529" w:type="dxa"/>
            <w:tcBorders>
              <w:top w:val="single" w:sz="18" w:space="0" w:color="auto"/>
              <w:bottom w:val="single" w:sz="8" w:space="0" w:color="auto"/>
            </w:tcBorders>
          </w:tcPr>
          <w:p w14:paraId="53116925"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S/N</w:t>
            </w:r>
          </w:p>
        </w:tc>
        <w:tc>
          <w:tcPr>
            <w:tcW w:w="1507" w:type="dxa"/>
            <w:tcBorders>
              <w:top w:val="single" w:sz="18" w:space="0" w:color="auto"/>
              <w:bottom w:val="single" w:sz="8" w:space="0" w:color="auto"/>
            </w:tcBorders>
            <w:shd w:val="clear" w:color="auto" w:fill="auto"/>
          </w:tcPr>
          <w:p w14:paraId="5DFB9E23"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Social Quality of Landscape Elements</w:t>
            </w:r>
          </w:p>
        </w:tc>
        <w:tc>
          <w:tcPr>
            <w:tcW w:w="932" w:type="dxa"/>
            <w:tcBorders>
              <w:top w:val="single" w:sz="18" w:space="0" w:color="auto"/>
              <w:bottom w:val="single" w:sz="8" w:space="0" w:color="auto"/>
            </w:tcBorders>
            <w:shd w:val="clear" w:color="auto" w:fill="auto"/>
          </w:tcPr>
          <w:p w14:paraId="18EE7B8F"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Strongly Disagree (1)</w:t>
            </w:r>
          </w:p>
        </w:tc>
        <w:tc>
          <w:tcPr>
            <w:tcW w:w="718" w:type="dxa"/>
            <w:tcBorders>
              <w:top w:val="single" w:sz="18" w:space="0" w:color="auto"/>
              <w:bottom w:val="single" w:sz="8" w:space="0" w:color="auto"/>
            </w:tcBorders>
            <w:shd w:val="clear" w:color="auto" w:fill="auto"/>
          </w:tcPr>
          <w:p w14:paraId="1006E46F"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Disagree (2)</w:t>
            </w:r>
          </w:p>
        </w:tc>
        <w:tc>
          <w:tcPr>
            <w:tcW w:w="640" w:type="dxa"/>
            <w:tcBorders>
              <w:top w:val="single" w:sz="18" w:space="0" w:color="auto"/>
              <w:bottom w:val="single" w:sz="8" w:space="0" w:color="auto"/>
            </w:tcBorders>
            <w:shd w:val="clear" w:color="auto" w:fill="auto"/>
          </w:tcPr>
          <w:p w14:paraId="737634BD"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Neutral (3)</w:t>
            </w:r>
          </w:p>
        </w:tc>
        <w:tc>
          <w:tcPr>
            <w:tcW w:w="708" w:type="dxa"/>
            <w:tcBorders>
              <w:top w:val="single" w:sz="18" w:space="0" w:color="auto"/>
              <w:bottom w:val="single" w:sz="8" w:space="0" w:color="auto"/>
            </w:tcBorders>
            <w:shd w:val="clear" w:color="auto" w:fill="auto"/>
          </w:tcPr>
          <w:p w14:paraId="18D21C44"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Agree       (4)</w:t>
            </w:r>
          </w:p>
        </w:tc>
        <w:tc>
          <w:tcPr>
            <w:tcW w:w="911" w:type="dxa"/>
            <w:tcBorders>
              <w:top w:val="single" w:sz="18" w:space="0" w:color="auto"/>
              <w:bottom w:val="single" w:sz="8" w:space="0" w:color="auto"/>
            </w:tcBorders>
            <w:shd w:val="clear" w:color="auto" w:fill="auto"/>
          </w:tcPr>
          <w:p w14:paraId="4F931BDE"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Strongly Agree       (5)</w:t>
            </w:r>
          </w:p>
        </w:tc>
        <w:tc>
          <w:tcPr>
            <w:tcW w:w="1196" w:type="dxa"/>
            <w:tcBorders>
              <w:top w:val="single" w:sz="18" w:space="0" w:color="auto"/>
              <w:bottom w:val="single" w:sz="8" w:space="0" w:color="auto"/>
            </w:tcBorders>
            <w:shd w:val="clear" w:color="auto" w:fill="auto"/>
          </w:tcPr>
          <w:p w14:paraId="59A0F235"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Total (Frequency)</w:t>
            </w:r>
          </w:p>
          <w:p w14:paraId="0E78BDF0"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(n)</w:t>
            </w:r>
          </w:p>
        </w:tc>
        <w:tc>
          <w:tcPr>
            <w:tcW w:w="672" w:type="dxa"/>
            <w:tcBorders>
              <w:top w:val="single" w:sz="18" w:space="0" w:color="auto"/>
              <w:bottom w:val="single" w:sz="8" w:space="0" w:color="auto"/>
            </w:tcBorders>
            <w:shd w:val="clear" w:color="auto" w:fill="auto"/>
          </w:tcPr>
          <w:p w14:paraId="491B5C21"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TWV</w:t>
            </w:r>
          </w:p>
        </w:tc>
        <w:tc>
          <w:tcPr>
            <w:tcW w:w="827" w:type="dxa"/>
            <w:tcBorders>
              <w:top w:val="single" w:sz="18" w:space="0" w:color="auto"/>
              <w:bottom w:val="single" w:sz="8" w:space="0" w:color="auto"/>
            </w:tcBorders>
            <w:shd w:val="clear" w:color="auto" w:fill="auto"/>
          </w:tcPr>
          <w:p w14:paraId="39AA43D1"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TWV/n</w:t>
            </w:r>
          </w:p>
        </w:tc>
      </w:tr>
      <w:tr w:rsidR="00A63CD3" w:rsidRPr="00244A2E" w14:paraId="7341D4B0" w14:textId="77777777" w:rsidTr="00244A2E">
        <w:trPr>
          <w:jc w:val="center"/>
        </w:trPr>
        <w:tc>
          <w:tcPr>
            <w:tcW w:w="529" w:type="dxa"/>
            <w:tcBorders>
              <w:top w:val="single" w:sz="8" w:space="0" w:color="auto"/>
            </w:tcBorders>
          </w:tcPr>
          <w:p w14:paraId="7EE014D4"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w:t>
            </w:r>
          </w:p>
        </w:tc>
        <w:tc>
          <w:tcPr>
            <w:tcW w:w="1507" w:type="dxa"/>
            <w:tcBorders>
              <w:top w:val="single" w:sz="8" w:space="0" w:color="auto"/>
            </w:tcBorders>
            <w:shd w:val="clear" w:color="auto" w:fill="auto"/>
          </w:tcPr>
          <w:p w14:paraId="758C132E"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Promotion of safety and security within the landscape areas</w:t>
            </w:r>
          </w:p>
        </w:tc>
        <w:tc>
          <w:tcPr>
            <w:tcW w:w="932" w:type="dxa"/>
            <w:tcBorders>
              <w:top w:val="single" w:sz="8" w:space="0" w:color="auto"/>
            </w:tcBorders>
            <w:shd w:val="clear" w:color="auto" w:fill="auto"/>
          </w:tcPr>
          <w:p w14:paraId="19C8C9D1"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18" w:type="dxa"/>
            <w:tcBorders>
              <w:top w:val="single" w:sz="8" w:space="0" w:color="auto"/>
            </w:tcBorders>
            <w:shd w:val="clear" w:color="auto" w:fill="auto"/>
          </w:tcPr>
          <w:p w14:paraId="46F32560"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640" w:type="dxa"/>
            <w:tcBorders>
              <w:top w:val="single" w:sz="8" w:space="0" w:color="auto"/>
            </w:tcBorders>
            <w:shd w:val="clear" w:color="auto" w:fill="auto"/>
          </w:tcPr>
          <w:p w14:paraId="78EDB488"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08" w:type="dxa"/>
            <w:tcBorders>
              <w:top w:val="single" w:sz="8" w:space="0" w:color="auto"/>
            </w:tcBorders>
            <w:shd w:val="clear" w:color="auto" w:fill="auto"/>
          </w:tcPr>
          <w:p w14:paraId="5233AB62"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911" w:type="dxa"/>
            <w:tcBorders>
              <w:top w:val="single" w:sz="8" w:space="0" w:color="auto"/>
            </w:tcBorders>
            <w:shd w:val="clear" w:color="auto" w:fill="auto"/>
          </w:tcPr>
          <w:p w14:paraId="2342B0AF"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1196" w:type="dxa"/>
            <w:tcBorders>
              <w:top w:val="single" w:sz="8" w:space="0" w:color="auto"/>
            </w:tcBorders>
            <w:shd w:val="clear" w:color="auto" w:fill="auto"/>
          </w:tcPr>
          <w:p w14:paraId="5080FA7F"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tcBorders>
              <w:top w:val="single" w:sz="8" w:space="0" w:color="auto"/>
            </w:tcBorders>
            <w:shd w:val="clear" w:color="auto" w:fill="auto"/>
          </w:tcPr>
          <w:p w14:paraId="7F16BA91"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1585</w:t>
            </w:r>
          </w:p>
        </w:tc>
        <w:tc>
          <w:tcPr>
            <w:tcW w:w="827" w:type="dxa"/>
            <w:tcBorders>
              <w:top w:val="single" w:sz="8" w:space="0" w:color="auto"/>
            </w:tcBorders>
            <w:shd w:val="clear" w:color="auto" w:fill="auto"/>
          </w:tcPr>
          <w:p w14:paraId="2600441D"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5.00</w:t>
            </w:r>
          </w:p>
        </w:tc>
      </w:tr>
      <w:tr w:rsidR="00A63CD3" w:rsidRPr="00244A2E" w14:paraId="07E9E14E" w14:textId="77777777" w:rsidTr="00244A2E">
        <w:trPr>
          <w:jc w:val="center"/>
        </w:trPr>
        <w:tc>
          <w:tcPr>
            <w:tcW w:w="529" w:type="dxa"/>
          </w:tcPr>
          <w:p w14:paraId="3F896111"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w:t>
            </w:r>
          </w:p>
        </w:tc>
        <w:tc>
          <w:tcPr>
            <w:tcW w:w="1507" w:type="dxa"/>
            <w:shd w:val="clear" w:color="auto" w:fill="auto"/>
          </w:tcPr>
          <w:p w14:paraId="145DB035"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Integration of local art and cultural elements into the landscape</w:t>
            </w:r>
          </w:p>
        </w:tc>
        <w:tc>
          <w:tcPr>
            <w:tcW w:w="932" w:type="dxa"/>
            <w:shd w:val="clear" w:color="auto" w:fill="auto"/>
          </w:tcPr>
          <w:p w14:paraId="693D8B5D"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18" w:type="dxa"/>
            <w:shd w:val="clear" w:color="auto" w:fill="auto"/>
          </w:tcPr>
          <w:p w14:paraId="79184BC5"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640" w:type="dxa"/>
            <w:shd w:val="clear" w:color="auto" w:fill="auto"/>
          </w:tcPr>
          <w:p w14:paraId="341FAE5E"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08" w:type="dxa"/>
            <w:shd w:val="clear" w:color="auto" w:fill="auto"/>
          </w:tcPr>
          <w:p w14:paraId="3E7111E8"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120</w:t>
            </w:r>
          </w:p>
        </w:tc>
        <w:tc>
          <w:tcPr>
            <w:tcW w:w="911" w:type="dxa"/>
            <w:shd w:val="clear" w:color="auto" w:fill="auto"/>
          </w:tcPr>
          <w:p w14:paraId="12C8CF3F"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197</w:t>
            </w:r>
          </w:p>
        </w:tc>
        <w:tc>
          <w:tcPr>
            <w:tcW w:w="1196" w:type="dxa"/>
            <w:shd w:val="clear" w:color="auto" w:fill="auto"/>
          </w:tcPr>
          <w:p w14:paraId="3CC34ED2"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2BB3AB34"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1465</w:t>
            </w:r>
          </w:p>
        </w:tc>
        <w:tc>
          <w:tcPr>
            <w:tcW w:w="827" w:type="dxa"/>
            <w:shd w:val="clear" w:color="auto" w:fill="auto"/>
          </w:tcPr>
          <w:p w14:paraId="26BBA65C"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4.62</w:t>
            </w:r>
          </w:p>
        </w:tc>
      </w:tr>
      <w:tr w:rsidR="00A63CD3" w:rsidRPr="00244A2E" w14:paraId="62FCCEBB" w14:textId="77777777" w:rsidTr="00244A2E">
        <w:trPr>
          <w:jc w:val="center"/>
        </w:trPr>
        <w:tc>
          <w:tcPr>
            <w:tcW w:w="529" w:type="dxa"/>
          </w:tcPr>
          <w:p w14:paraId="3275248F"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w:t>
            </w:r>
          </w:p>
        </w:tc>
        <w:tc>
          <w:tcPr>
            <w:tcW w:w="1507" w:type="dxa"/>
            <w:shd w:val="clear" w:color="auto" w:fill="auto"/>
          </w:tcPr>
          <w:p w14:paraId="530856C4"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Promotion of environmental sustainability (e.g., use of native plants, water conservation)</w:t>
            </w:r>
          </w:p>
        </w:tc>
        <w:tc>
          <w:tcPr>
            <w:tcW w:w="932" w:type="dxa"/>
            <w:shd w:val="clear" w:color="auto" w:fill="auto"/>
          </w:tcPr>
          <w:p w14:paraId="01F58EB9"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18" w:type="dxa"/>
            <w:shd w:val="clear" w:color="auto" w:fill="auto"/>
          </w:tcPr>
          <w:p w14:paraId="447109CD"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640" w:type="dxa"/>
            <w:shd w:val="clear" w:color="auto" w:fill="auto"/>
          </w:tcPr>
          <w:p w14:paraId="3F91D8F6"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08" w:type="dxa"/>
            <w:shd w:val="clear" w:color="auto" w:fill="auto"/>
          </w:tcPr>
          <w:p w14:paraId="593D3DE4"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132</w:t>
            </w:r>
          </w:p>
        </w:tc>
        <w:tc>
          <w:tcPr>
            <w:tcW w:w="911" w:type="dxa"/>
            <w:shd w:val="clear" w:color="auto" w:fill="auto"/>
          </w:tcPr>
          <w:p w14:paraId="1D7C3C95"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185</w:t>
            </w:r>
          </w:p>
        </w:tc>
        <w:tc>
          <w:tcPr>
            <w:tcW w:w="1196" w:type="dxa"/>
            <w:shd w:val="clear" w:color="auto" w:fill="auto"/>
          </w:tcPr>
          <w:p w14:paraId="422CD10F"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4C5CF761"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1453</w:t>
            </w:r>
          </w:p>
        </w:tc>
        <w:tc>
          <w:tcPr>
            <w:tcW w:w="827" w:type="dxa"/>
            <w:shd w:val="clear" w:color="auto" w:fill="auto"/>
          </w:tcPr>
          <w:p w14:paraId="258B104B"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4.58</w:t>
            </w:r>
          </w:p>
        </w:tc>
      </w:tr>
      <w:tr w:rsidR="00A63CD3" w:rsidRPr="00244A2E" w14:paraId="50BFFF6B" w14:textId="77777777" w:rsidTr="00244A2E">
        <w:trPr>
          <w:jc w:val="center"/>
        </w:trPr>
        <w:tc>
          <w:tcPr>
            <w:tcW w:w="529" w:type="dxa"/>
          </w:tcPr>
          <w:p w14:paraId="1793D2B3"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w:t>
            </w:r>
          </w:p>
        </w:tc>
        <w:tc>
          <w:tcPr>
            <w:tcW w:w="1507" w:type="dxa"/>
            <w:shd w:val="clear" w:color="auto" w:fill="auto"/>
          </w:tcPr>
          <w:p w14:paraId="1D06CCAF"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Enhancement of visitor educational experiences (e.g., informational signage, educational programs)</w:t>
            </w:r>
          </w:p>
        </w:tc>
        <w:tc>
          <w:tcPr>
            <w:tcW w:w="932" w:type="dxa"/>
            <w:shd w:val="clear" w:color="auto" w:fill="auto"/>
          </w:tcPr>
          <w:p w14:paraId="28E71D22"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18" w:type="dxa"/>
            <w:shd w:val="clear" w:color="auto" w:fill="auto"/>
          </w:tcPr>
          <w:p w14:paraId="455566BC"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640" w:type="dxa"/>
            <w:shd w:val="clear" w:color="auto" w:fill="auto"/>
          </w:tcPr>
          <w:p w14:paraId="78531BC7"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12</w:t>
            </w:r>
          </w:p>
        </w:tc>
        <w:tc>
          <w:tcPr>
            <w:tcW w:w="708" w:type="dxa"/>
            <w:shd w:val="clear" w:color="auto" w:fill="auto"/>
          </w:tcPr>
          <w:p w14:paraId="275D8733"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132</w:t>
            </w:r>
          </w:p>
        </w:tc>
        <w:tc>
          <w:tcPr>
            <w:tcW w:w="911" w:type="dxa"/>
            <w:shd w:val="clear" w:color="auto" w:fill="auto"/>
          </w:tcPr>
          <w:p w14:paraId="4A186434"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173</w:t>
            </w:r>
          </w:p>
        </w:tc>
        <w:tc>
          <w:tcPr>
            <w:tcW w:w="1196" w:type="dxa"/>
            <w:shd w:val="clear" w:color="auto" w:fill="auto"/>
          </w:tcPr>
          <w:p w14:paraId="24C8ECF8"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4B37A3E9"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1429</w:t>
            </w:r>
          </w:p>
        </w:tc>
        <w:tc>
          <w:tcPr>
            <w:tcW w:w="827" w:type="dxa"/>
            <w:shd w:val="clear" w:color="auto" w:fill="auto"/>
          </w:tcPr>
          <w:p w14:paraId="3097F5DD"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4.51</w:t>
            </w:r>
          </w:p>
        </w:tc>
      </w:tr>
      <w:tr w:rsidR="00A63CD3" w:rsidRPr="00244A2E" w14:paraId="7478A94B" w14:textId="77777777" w:rsidTr="00244A2E">
        <w:trPr>
          <w:jc w:val="center"/>
        </w:trPr>
        <w:tc>
          <w:tcPr>
            <w:tcW w:w="529" w:type="dxa"/>
          </w:tcPr>
          <w:p w14:paraId="70B6876E"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5</w:t>
            </w:r>
          </w:p>
        </w:tc>
        <w:tc>
          <w:tcPr>
            <w:tcW w:w="1507" w:type="dxa"/>
            <w:shd w:val="clear" w:color="auto" w:fill="auto"/>
          </w:tcPr>
          <w:p w14:paraId="257685D1"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Facilitation of social interaction among visitors (e.g., communal seating areas)</w:t>
            </w:r>
          </w:p>
        </w:tc>
        <w:tc>
          <w:tcPr>
            <w:tcW w:w="932" w:type="dxa"/>
            <w:shd w:val="clear" w:color="auto" w:fill="auto"/>
          </w:tcPr>
          <w:p w14:paraId="4EF86A55"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w:t>
            </w:r>
          </w:p>
        </w:tc>
        <w:tc>
          <w:tcPr>
            <w:tcW w:w="718" w:type="dxa"/>
            <w:shd w:val="clear" w:color="auto" w:fill="auto"/>
          </w:tcPr>
          <w:p w14:paraId="2B141CB1"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w:t>
            </w:r>
          </w:p>
        </w:tc>
        <w:tc>
          <w:tcPr>
            <w:tcW w:w="640" w:type="dxa"/>
            <w:shd w:val="clear" w:color="auto" w:fill="auto"/>
          </w:tcPr>
          <w:p w14:paraId="3D9D75A9"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6</w:t>
            </w:r>
          </w:p>
        </w:tc>
        <w:tc>
          <w:tcPr>
            <w:tcW w:w="708" w:type="dxa"/>
            <w:shd w:val="clear" w:color="auto" w:fill="auto"/>
          </w:tcPr>
          <w:p w14:paraId="5CB7B98C"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143</w:t>
            </w:r>
          </w:p>
        </w:tc>
        <w:tc>
          <w:tcPr>
            <w:tcW w:w="911" w:type="dxa"/>
            <w:shd w:val="clear" w:color="auto" w:fill="auto"/>
          </w:tcPr>
          <w:p w14:paraId="0F5611F2"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165</w:t>
            </w:r>
          </w:p>
        </w:tc>
        <w:tc>
          <w:tcPr>
            <w:tcW w:w="1196" w:type="dxa"/>
            <w:shd w:val="clear" w:color="auto" w:fill="auto"/>
          </w:tcPr>
          <w:p w14:paraId="73FB1B78"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0359D165"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1419</w:t>
            </w:r>
          </w:p>
        </w:tc>
        <w:tc>
          <w:tcPr>
            <w:tcW w:w="827" w:type="dxa"/>
            <w:shd w:val="clear" w:color="auto" w:fill="auto"/>
          </w:tcPr>
          <w:p w14:paraId="27C2BA7A"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4.48</w:t>
            </w:r>
          </w:p>
        </w:tc>
      </w:tr>
      <w:tr w:rsidR="00A63CD3" w:rsidRPr="00244A2E" w14:paraId="5EFC95E7" w14:textId="77777777" w:rsidTr="00244A2E">
        <w:trPr>
          <w:jc w:val="center"/>
        </w:trPr>
        <w:tc>
          <w:tcPr>
            <w:tcW w:w="529" w:type="dxa"/>
          </w:tcPr>
          <w:p w14:paraId="54038D51"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6</w:t>
            </w:r>
          </w:p>
        </w:tc>
        <w:tc>
          <w:tcPr>
            <w:tcW w:w="1507" w:type="dxa"/>
            <w:shd w:val="clear" w:color="auto" w:fill="auto"/>
          </w:tcPr>
          <w:p w14:paraId="27514BFF"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Support for local cultural activities and events</w:t>
            </w:r>
          </w:p>
        </w:tc>
        <w:tc>
          <w:tcPr>
            <w:tcW w:w="932" w:type="dxa"/>
            <w:shd w:val="clear" w:color="auto" w:fill="auto"/>
          </w:tcPr>
          <w:p w14:paraId="74DD3ADE"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6</w:t>
            </w:r>
          </w:p>
        </w:tc>
        <w:tc>
          <w:tcPr>
            <w:tcW w:w="718" w:type="dxa"/>
            <w:shd w:val="clear" w:color="auto" w:fill="auto"/>
          </w:tcPr>
          <w:p w14:paraId="6628508E"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2</w:t>
            </w:r>
          </w:p>
        </w:tc>
        <w:tc>
          <w:tcPr>
            <w:tcW w:w="640" w:type="dxa"/>
            <w:shd w:val="clear" w:color="auto" w:fill="auto"/>
          </w:tcPr>
          <w:p w14:paraId="33A745CE"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45</w:t>
            </w:r>
          </w:p>
        </w:tc>
        <w:tc>
          <w:tcPr>
            <w:tcW w:w="708" w:type="dxa"/>
            <w:shd w:val="clear" w:color="auto" w:fill="auto"/>
          </w:tcPr>
          <w:p w14:paraId="332DD118"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76</w:t>
            </w:r>
          </w:p>
        </w:tc>
        <w:tc>
          <w:tcPr>
            <w:tcW w:w="911" w:type="dxa"/>
            <w:shd w:val="clear" w:color="auto" w:fill="auto"/>
          </w:tcPr>
          <w:p w14:paraId="7FBB56B6"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188</w:t>
            </w:r>
          </w:p>
        </w:tc>
        <w:tc>
          <w:tcPr>
            <w:tcW w:w="1196" w:type="dxa"/>
            <w:shd w:val="clear" w:color="auto" w:fill="auto"/>
          </w:tcPr>
          <w:p w14:paraId="50FA91E1"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37BB580E"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1389</w:t>
            </w:r>
          </w:p>
        </w:tc>
        <w:tc>
          <w:tcPr>
            <w:tcW w:w="827" w:type="dxa"/>
            <w:shd w:val="clear" w:color="auto" w:fill="auto"/>
          </w:tcPr>
          <w:p w14:paraId="292DD978"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4.38</w:t>
            </w:r>
          </w:p>
        </w:tc>
      </w:tr>
      <w:tr w:rsidR="00A63CD3" w:rsidRPr="00244A2E" w14:paraId="6E1F629A" w14:textId="77777777" w:rsidTr="00244A2E">
        <w:trPr>
          <w:jc w:val="center"/>
        </w:trPr>
        <w:tc>
          <w:tcPr>
            <w:tcW w:w="529" w:type="dxa"/>
          </w:tcPr>
          <w:p w14:paraId="1B0F996F"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7</w:t>
            </w:r>
          </w:p>
        </w:tc>
        <w:tc>
          <w:tcPr>
            <w:tcW w:w="1507" w:type="dxa"/>
            <w:shd w:val="clear" w:color="auto" w:fill="auto"/>
          </w:tcPr>
          <w:p w14:paraId="407DFAFC"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Encouragement of visitor engagement (e.g., seating areas, pathways)</w:t>
            </w:r>
          </w:p>
        </w:tc>
        <w:tc>
          <w:tcPr>
            <w:tcW w:w="932" w:type="dxa"/>
            <w:shd w:val="clear" w:color="auto" w:fill="auto"/>
          </w:tcPr>
          <w:p w14:paraId="3C127036"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718" w:type="dxa"/>
            <w:shd w:val="clear" w:color="auto" w:fill="auto"/>
          </w:tcPr>
          <w:p w14:paraId="2A679937"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w:t>
            </w:r>
          </w:p>
        </w:tc>
        <w:tc>
          <w:tcPr>
            <w:tcW w:w="640" w:type="dxa"/>
            <w:shd w:val="clear" w:color="auto" w:fill="auto"/>
          </w:tcPr>
          <w:p w14:paraId="636DA566"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54</w:t>
            </w:r>
          </w:p>
        </w:tc>
        <w:tc>
          <w:tcPr>
            <w:tcW w:w="708" w:type="dxa"/>
            <w:shd w:val="clear" w:color="auto" w:fill="auto"/>
          </w:tcPr>
          <w:p w14:paraId="006F32C5"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112</w:t>
            </w:r>
          </w:p>
        </w:tc>
        <w:tc>
          <w:tcPr>
            <w:tcW w:w="911" w:type="dxa"/>
            <w:shd w:val="clear" w:color="auto" w:fill="auto"/>
          </w:tcPr>
          <w:p w14:paraId="44FB5495"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151</w:t>
            </w:r>
          </w:p>
        </w:tc>
        <w:tc>
          <w:tcPr>
            <w:tcW w:w="1196" w:type="dxa"/>
            <w:shd w:val="clear" w:color="auto" w:fill="auto"/>
          </w:tcPr>
          <w:p w14:paraId="78E8A7A0"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1073A614"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1365</w:t>
            </w:r>
          </w:p>
        </w:tc>
        <w:tc>
          <w:tcPr>
            <w:tcW w:w="827" w:type="dxa"/>
            <w:shd w:val="clear" w:color="auto" w:fill="auto"/>
          </w:tcPr>
          <w:p w14:paraId="3FB717F8"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4.31</w:t>
            </w:r>
          </w:p>
        </w:tc>
      </w:tr>
      <w:tr w:rsidR="00A63CD3" w:rsidRPr="00244A2E" w14:paraId="51C0A111" w14:textId="77777777" w:rsidTr="00244A2E">
        <w:trPr>
          <w:jc w:val="center"/>
        </w:trPr>
        <w:tc>
          <w:tcPr>
            <w:tcW w:w="529" w:type="dxa"/>
          </w:tcPr>
          <w:p w14:paraId="4516A229"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8</w:t>
            </w:r>
          </w:p>
        </w:tc>
        <w:tc>
          <w:tcPr>
            <w:tcW w:w="1507" w:type="dxa"/>
            <w:shd w:val="clear" w:color="auto" w:fill="auto"/>
          </w:tcPr>
          <w:p w14:paraId="1057CE3F"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Community and cultural integration</w:t>
            </w:r>
          </w:p>
        </w:tc>
        <w:tc>
          <w:tcPr>
            <w:tcW w:w="932" w:type="dxa"/>
            <w:shd w:val="clear" w:color="auto" w:fill="auto"/>
          </w:tcPr>
          <w:p w14:paraId="13900814"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5</w:t>
            </w:r>
          </w:p>
        </w:tc>
        <w:tc>
          <w:tcPr>
            <w:tcW w:w="718" w:type="dxa"/>
            <w:shd w:val="clear" w:color="auto" w:fill="auto"/>
          </w:tcPr>
          <w:p w14:paraId="17929BCB"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w:t>
            </w:r>
          </w:p>
        </w:tc>
        <w:tc>
          <w:tcPr>
            <w:tcW w:w="640" w:type="dxa"/>
            <w:shd w:val="clear" w:color="auto" w:fill="auto"/>
          </w:tcPr>
          <w:p w14:paraId="6E6F7AE2"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76</w:t>
            </w:r>
          </w:p>
        </w:tc>
        <w:tc>
          <w:tcPr>
            <w:tcW w:w="708" w:type="dxa"/>
            <w:shd w:val="clear" w:color="auto" w:fill="auto"/>
          </w:tcPr>
          <w:p w14:paraId="45CA1C86"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54</w:t>
            </w:r>
          </w:p>
        </w:tc>
        <w:tc>
          <w:tcPr>
            <w:tcW w:w="911" w:type="dxa"/>
            <w:shd w:val="clear" w:color="auto" w:fill="auto"/>
          </w:tcPr>
          <w:p w14:paraId="75B51439"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179</w:t>
            </w:r>
          </w:p>
        </w:tc>
        <w:tc>
          <w:tcPr>
            <w:tcW w:w="1196" w:type="dxa"/>
            <w:shd w:val="clear" w:color="auto" w:fill="auto"/>
          </w:tcPr>
          <w:p w14:paraId="3ED5BCDA"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317</w:t>
            </w:r>
          </w:p>
        </w:tc>
        <w:tc>
          <w:tcPr>
            <w:tcW w:w="672" w:type="dxa"/>
            <w:shd w:val="clear" w:color="auto" w:fill="auto"/>
          </w:tcPr>
          <w:p w14:paraId="28BAD1A3"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1350</w:t>
            </w:r>
          </w:p>
        </w:tc>
        <w:tc>
          <w:tcPr>
            <w:tcW w:w="827" w:type="dxa"/>
            <w:shd w:val="clear" w:color="auto" w:fill="auto"/>
          </w:tcPr>
          <w:p w14:paraId="220916E9"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4.26</w:t>
            </w:r>
          </w:p>
        </w:tc>
      </w:tr>
      <w:tr w:rsidR="00A63CD3" w:rsidRPr="00244A2E" w14:paraId="6AD337C5" w14:textId="77777777" w:rsidTr="00244A2E">
        <w:trPr>
          <w:jc w:val="center"/>
        </w:trPr>
        <w:tc>
          <w:tcPr>
            <w:tcW w:w="529" w:type="dxa"/>
          </w:tcPr>
          <w:p w14:paraId="65EFDA65"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1507" w:type="dxa"/>
            <w:vMerge w:val="restart"/>
            <w:shd w:val="clear" w:color="auto" w:fill="auto"/>
          </w:tcPr>
          <w:p w14:paraId="3D9A50FF" w14:textId="77777777" w:rsidR="00A63CD3" w:rsidRPr="00244A2E" w:rsidRDefault="00A63CD3" w:rsidP="00244A2E">
            <w:pPr>
              <w:pStyle w:val="NoSpacing"/>
              <w:jc w:val="left"/>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Total</w:t>
            </w:r>
          </w:p>
        </w:tc>
        <w:tc>
          <w:tcPr>
            <w:tcW w:w="932" w:type="dxa"/>
            <w:shd w:val="clear" w:color="auto" w:fill="auto"/>
          </w:tcPr>
          <w:p w14:paraId="64222D96"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718" w:type="dxa"/>
            <w:shd w:val="clear" w:color="auto" w:fill="auto"/>
          </w:tcPr>
          <w:p w14:paraId="0E3BC35D"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640" w:type="dxa"/>
            <w:shd w:val="clear" w:color="auto" w:fill="auto"/>
          </w:tcPr>
          <w:p w14:paraId="25C28188"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708" w:type="dxa"/>
            <w:shd w:val="clear" w:color="auto" w:fill="auto"/>
          </w:tcPr>
          <w:p w14:paraId="31F00178"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911" w:type="dxa"/>
            <w:shd w:val="clear" w:color="auto" w:fill="auto"/>
          </w:tcPr>
          <w:p w14:paraId="5F7521DF"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1196" w:type="dxa"/>
            <w:shd w:val="clear" w:color="auto" w:fill="auto"/>
          </w:tcPr>
          <w:p w14:paraId="2BA15A94"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672" w:type="dxa"/>
            <w:shd w:val="clear" w:color="auto" w:fill="auto"/>
          </w:tcPr>
          <w:p w14:paraId="681CAF30"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827" w:type="dxa"/>
            <w:shd w:val="clear" w:color="auto" w:fill="auto"/>
          </w:tcPr>
          <w:p w14:paraId="2F79B2F5"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36.14/8</w:t>
            </w:r>
          </w:p>
        </w:tc>
      </w:tr>
      <w:tr w:rsidR="00A63CD3" w:rsidRPr="00244A2E" w14:paraId="2842630A" w14:textId="77777777" w:rsidTr="00244A2E">
        <w:trPr>
          <w:jc w:val="center"/>
        </w:trPr>
        <w:tc>
          <w:tcPr>
            <w:tcW w:w="529" w:type="dxa"/>
            <w:tcBorders>
              <w:bottom w:val="single" w:sz="18" w:space="0" w:color="auto"/>
            </w:tcBorders>
          </w:tcPr>
          <w:p w14:paraId="440F6771"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1507" w:type="dxa"/>
            <w:vMerge/>
            <w:tcBorders>
              <w:bottom w:val="single" w:sz="18" w:space="0" w:color="auto"/>
            </w:tcBorders>
            <w:shd w:val="clear" w:color="auto" w:fill="auto"/>
          </w:tcPr>
          <w:p w14:paraId="1E004307" w14:textId="77777777" w:rsidR="00A63CD3" w:rsidRPr="00244A2E" w:rsidRDefault="00A63CD3" w:rsidP="00244A2E">
            <w:pPr>
              <w:pStyle w:val="NoSpacing"/>
              <w:jc w:val="left"/>
              <w:rPr>
                <w:rFonts w:ascii="Times New Roman" w:hAnsi="Times New Roman" w:cs="Times New Roman"/>
                <w:color w:val="000000" w:themeColor="text1"/>
                <w:sz w:val="20"/>
                <w:szCs w:val="20"/>
              </w:rPr>
            </w:pPr>
          </w:p>
        </w:tc>
        <w:tc>
          <w:tcPr>
            <w:tcW w:w="932" w:type="dxa"/>
            <w:tcBorders>
              <w:bottom w:val="single" w:sz="18" w:space="0" w:color="auto"/>
            </w:tcBorders>
            <w:shd w:val="clear" w:color="auto" w:fill="auto"/>
          </w:tcPr>
          <w:p w14:paraId="0B182961"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718" w:type="dxa"/>
            <w:tcBorders>
              <w:bottom w:val="single" w:sz="18" w:space="0" w:color="auto"/>
            </w:tcBorders>
            <w:shd w:val="clear" w:color="auto" w:fill="auto"/>
          </w:tcPr>
          <w:p w14:paraId="38F82CCE"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640" w:type="dxa"/>
            <w:tcBorders>
              <w:bottom w:val="single" w:sz="18" w:space="0" w:color="auto"/>
            </w:tcBorders>
            <w:shd w:val="clear" w:color="auto" w:fill="auto"/>
          </w:tcPr>
          <w:p w14:paraId="23DBA804"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708" w:type="dxa"/>
            <w:tcBorders>
              <w:bottom w:val="single" w:sz="18" w:space="0" w:color="auto"/>
            </w:tcBorders>
            <w:shd w:val="clear" w:color="auto" w:fill="auto"/>
          </w:tcPr>
          <w:p w14:paraId="3CC95860"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911" w:type="dxa"/>
            <w:tcBorders>
              <w:bottom w:val="single" w:sz="18" w:space="0" w:color="auto"/>
            </w:tcBorders>
            <w:shd w:val="clear" w:color="auto" w:fill="auto"/>
          </w:tcPr>
          <w:p w14:paraId="13503A30"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1196" w:type="dxa"/>
            <w:tcBorders>
              <w:bottom w:val="single" w:sz="18" w:space="0" w:color="auto"/>
            </w:tcBorders>
            <w:shd w:val="clear" w:color="auto" w:fill="auto"/>
          </w:tcPr>
          <w:p w14:paraId="07D4F8B7"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672" w:type="dxa"/>
            <w:tcBorders>
              <w:bottom w:val="single" w:sz="18" w:space="0" w:color="auto"/>
            </w:tcBorders>
            <w:shd w:val="clear" w:color="auto" w:fill="auto"/>
          </w:tcPr>
          <w:p w14:paraId="10563D94" w14:textId="77777777" w:rsidR="00A63CD3" w:rsidRPr="00244A2E" w:rsidRDefault="00A63CD3" w:rsidP="0000060D">
            <w:pPr>
              <w:pStyle w:val="NoSpacing"/>
              <w:rPr>
                <w:rFonts w:ascii="Times New Roman" w:hAnsi="Times New Roman" w:cs="Times New Roman"/>
                <w:color w:val="000000" w:themeColor="text1"/>
                <w:sz w:val="20"/>
                <w:szCs w:val="20"/>
              </w:rPr>
            </w:pPr>
          </w:p>
        </w:tc>
        <w:tc>
          <w:tcPr>
            <w:tcW w:w="827" w:type="dxa"/>
            <w:tcBorders>
              <w:bottom w:val="single" w:sz="18" w:space="0" w:color="auto"/>
            </w:tcBorders>
            <w:shd w:val="clear" w:color="auto" w:fill="auto"/>
          </w:tcPr>
          <w:p w14:paraId="578519FA" w14:textId="77777777" w:rsidR="00A63CD3" w:rsidRPr="00244A2E" w:rsidRDefault="00A63CD3" w:rsidP="0000060D">
            <w:pPr>
              <w:pStyle w:val="NoSpacing"/>
              <w:rPr>
                <w:rFonts w:ascii="Times New Roman" w:hAnsi="Times New Roman" w:cs="Times New Roman"/>
                <w:color w:val="000000" w:themeColor="text1"/>
                <w:sz w:val="20"/>
                <w:szCs w:val="20"/>
              </w:rPr>
            </w:pPr>
            <w:r w:rsidRPr="00244A2E">
              <w:rPr>
                <w:rFonts w:ascii="Times New Roman" w:hAnsi="Times New Roman" w:cs="Times New Roman"/>
                <w:color w:val="000000" w:themeColor="text1"/>
                <w:sz w:val="20"/>
                <w:szCs w:val="20"/>
              </w:rPr>
              <w:t>4.52</w:t>
            </w:r>
          </w:p>
        </w:tc>
      </w:tr>
    </w:tbl>
    <w:p w14:paraId="7A3F08B6" w14:textId="77777777" w:rsidR="00244A2E" w:rsidRDefault="00244A2E" w:rsidP="00A63CD3">
      <w:pPr>
        <w:widowControl w:val="0"/>
        <w:spacing w:after="0" w:line="360" w:lineRule="auto"/>
        <w:jc w:val="both"/>
        <w:rPr>
          <w:rFonts w:ascii="Times New Roman" w:eastAsia="Times New Roman" w:hAnsi="Times New Roman" w:cs="Times New Roman"/>
          <w:b/>
          <w:color w:val="000000" w:themeColor="text1"/>
          <w:sz w:val="24"/>
          <w:szCs w:val="24"/>
        </w:rPr>
      </w:pPr>
    </w:p>
    <w:p w14:paraId="15DE3A98" w14:textId="0B092E39" w:rsidR="00A63CD3" w:rsidRPr="00244A2E" w:rsidRDefault="00A63CD3" w:rsidP="00244A2E">
      <w:pPr>
        <w:widowControl w:val="0"/>
        <w:spacing w:after="0" w:line="240" w:lineRule="auto"/>
        <w:jc w:val="both"/>
        <w:rPr>
          <w:rFonts w:ascii="Times New Roman" w:eastAsia="Times New Roman" w:hAnsi="Times New Roman" w:cs="Times New Roman"/>
          <w:b/>
          <w:color w:val="000000" w:themeColor="text1"/>
          <w:sz w:val="24"/>
          <w:szCs w:val="24"/>
        </w:rPr>
      </w:pPr>
      <w:r w:rsidRPr="00244A2E">
        <w:rPr>
          <w:rFonts w:ascii="Times New Roman" w:eastAsia="Times New Roman" w:hAnsi="Times New Roman" w:cs="Times New Roman"/>
          <w:b/>
          <w:color w:val="000000" w:themeColor="text1"/>
          <w:sz w:val="24"/>
          <w:szCs w:val="24"/>
        </w:rPr>
        <w:t>Conclusion</w:t>
      </w:r>
    </w:p>
    <w:p w14:paraId="097AA965" w14:textId="19C1C573" w:rsidR="00A63CD3" w:rsidRPr="00244A2E" w:rsidRDefault="00A63CD3" w:rsidP="00244A2E">
      <w:pPr>
        <w:widowControl w:val="0"/>
        <w:spacing w:after="0" w:line="240" w:lineRule="auto"/>
        <w:jc w:val="both"/>
        <w:rPr>
          <w:rFonts w:ascii="Times New Roman" w:hAnsi="Times New Roman" w:cs="Times New Roman"/>
          <w:b/>
          <w:color w:val="000000" w:themeColor="text1"/>
          <w:sz w:val="24"/>
          <w:szCs w:val="24"/>
        </w:rPr>
      </w:pPr>
      <w:r w:rsidRPr="00244A2E">
        <w:rPr>
          <w:rFonts w:ascii="Times New Roman" w:eastAsia="Times New Roman" w:hAnsi="Times New Roman" w:cs="Times New Roman"/>
          <w:bCs/>
          <w:color w:val="000000" w:themeColor="text1"/>
          <w:sz w:val="24"/>
          <w:szCs w:val="24"/>
        </w:rPr>
        <w:t>The study shows that the consequence of landscape maintenance on users’ experience for tourist centres is very high.</w:t>
      </w:r>
      <w:r w:rsidRPr="00244A2E">
        <w:rPr>
          <w:rFonts w:ascii="Times New Roman" w:hAnsi="Times New Roman" w:cs="Times New Roman"/>
          <w:bCs/>
          <w:color w:val="000000" w:themeColor="text1"/>
          <w:sz w:val="24"/>
          <w:szCs w:val="24"/>
        </w:rPr>
        <w:t xml:space="preserve"> </w:t>
      </w:r>
      <w:r w:rsidRPr="00244A2E">
        <w:rPr>
          <w:rFonts w:ascii="Times New Roman" w:eastAsia="Times New Roman" w:hAnsi="Times New Roman" w:cs="Times New Roman"/>
          <w:bCs/>
          <w:color w:val="000000" w:themeColor="text1"/>
          <w:sz w:val="24"/>
          <w:szCs w:val="24"/>
        </w:rPr>
        <w:t xml:space="preserve">The results indicated that several landscape elements significantly contributed to a positive experience in tourist centers. Among these elements, are community </w:t>
      </w:r>
      <w:r w:rsidRPr="00244A2E">
        <w:rPr>
          <w:rFonts w:ascii="Times New Roman" w:eastAsia="Times New Roman" w:hAnsi="Times New Roman" w:cs="Times New Roman"/>
          <w:bCs/>
          <w:color w:val="000000" w:themeColor="text1"/>
          <w:sz w:val="24"/>
          <w:szCs w:val="24"/>
        </w:rPr>
        <w:lastRenderedPageBreak/>
        <w:t xml:space="preserve">and cultural integration, visitor engagement, and environmental sustainability emerged as highly influential. The results shows that user considered community and cultural integration as very important, highlighting the desire for tourist centers to be integrated into the local community and offer cultural experiences. Similarly, visitor engagement and environmental sustainability received strong support, with several users agreed that it is a </w:t>
      </w:r>
      <w:r w:rsidR="00244A2E" w:rsidRPr="00244A2E">
        <w:rPr>
          <w:rFonts w:ascii="Times New Roman" w:eastAsia="Times New Roman" w:hAnsi="Times New Roman" w:cs="Times New Roman"/>
          <w:bCs/>
          <w:color w:val="000000" w:themeColor="text1"/>
          <w:sz w:val="24"/>
          <w:szCs w:val="24"/>
        </w:rPr>
        <w:t>significant factor</w:t>
      </w:r>
      <w:r w:rsidRPr="00244A2E">
        <w:rPr>
          <w:rFonts w:ascii="Times New Roman" w:eastAsia="Times New Roman" w:hAnsi="Times New Roman" w:cs="Times New Roman"/>
          <w:bCs/>
          <w:color w:val="000000" w:themeColor="text1"/>
          <w:sz w:val="24"/>
          <w:szCs w:val="24"/>
        </w:rPr>
        <w:t>. The result shows that tourist centers with well-designed spaces for interaction, educational signage, and sustainable practices are more likely to attract and satisfy visitors. Other influential factors included social interaction, educational experiences, and local cultural support. These elements collectively contribute to a positive and enriching visitor experience, demonstrating the importance of considering social quality aspects in landscape design for tourist centers.</w:t>
      </w:r>
      <w:r w:rsidRPr="00244A2E">
        <w:rPr>
          <w:rFonts w:ascii="Times New Roman" w:eastAsia="Times New Roman" w:hAnsi="Times New Roman" w:cs="Times New Roman"/>
          <w:b/>
          <w:color w:val="000000" w:themeColor="text1"/>
          <w:sz w:val="24"/>
          <w:szCs w:val="24"/>
        </w:rPr>
        <w:t xml:space="preserve"> </w:t>
      </w:r>
      <w:r w:rsidRPr="00244A2E">
        <w:rPr>
          <w:rStyle w:val="Strong"/>
          <w:rFonts w:ascii="Times New Roman" w:hAnsi="Times New Roman" w:cs="Times New Roman"/>
          <w:b w:val="0"/>
          <w:color w:val="000000" w:themeColor="text1"/>
          <w:sz w:val="24"/>
          <w:szCs w:val="24"/>
          <w:lang w:eastAsia="en-GB"/>
        </w:rPr>
        <w:t xml:space="preserve">The study will </w:t>
      </w:r>
      <w:r w:rsidR="00244A2E" w:rsidRPr="00244A2E">
        <w:rPr>
          <w:rStyle w:val="Strong"/>
          <w:rFonts w:ascii="Times New Roman" w:hAnsi="Times New Roman" w:cs="Times New Roman"/>
          <w:b w:val="0"/>
          <w:color w:val="000000" w:themeColor="text1"/>
          <w:sz w:val="24"/>
          <w:szCs w:val="24"/>
          <w:lang w:eastAsia="en-GB"/>
        </w:rPr>
        <w:t>contribute</w:t>
      </w:r>
      <w:r w:rsidRPr="00244A2E">
        <w:rPr>
          <w:rStyle w:val="Strong"/>
          <w:rFonts w:ascii="Times New Roman" w:hAnsi="Times New Roman" w:cs="Times New Roman"/>
          <w:b w:val="0"/>
          <w:color w:val="000000" w:themeColor="text1"/>
          <w:sz w:val="24"/>
          <w:szCs w:val="24"/>
          <w:lang w:eastAsia="en-GB"/>
        </w:rPr>
        <w:t xml:space="preserve"> to knowledge in area of sustainable landscape maintenance, emphasizing their role in attracting tourists and preserving cultural and natural elements, And shedding light on the crucial role of landscape maintenance in ensuring an unforgettable tourism experience, emphasizing its impact on aesthetics, functionality, and the overall atmosphere. The study will also provide practical implications in tourism management, environmental science, and architecture, increasing interdisciplinary applications in real-world scenarios.</w:t>
      </w:r>
    </w:p>
    <w:p w14:paraId="41C148CE" w14:textId="77777777" w:rsidR="00A63CD3" w:rsidRPr="00244A2E" w:rsidRDefault="00A63CD3" w:rsidP="00244A2E">
      <w:pPr>
        <w:spacing w:after="0" w:line="240" w:lineRule="auto"/>
        <w:jc w:val="both"/>
        <w:rPr>
          <w:rFonts w:ascii="Times New Roman" w:hAnsi="Times New Roman" w:cs="Times New Roman"/>
          <w:b/>
          <w:color w:val="000000" w:themeColor="text1"/>
          <w:sz w:val="24"/>
          <w:szCs w:val="24"/>
        </w:rPr>
      </w:pPr>
    </w:p>
    <w:p w14:paraId="2F12DAC2" w14:textId="77777777" w:rsidR="00A63CD3" w:rsidRPr="00BE4AF3" w:rsidRDefault="00A63CD3" w:rsidP="00A63CD3">
      <w:pPr>
        <w:spacing w:after="0" w:line="240" w:lineRule="auto"/>
        <w:jc w:val="both"/>
        <w:rPr>
          <w:rFonts w:ascii="Times New Roman" w:hAnsi="Times New Roman" w:cs="Times New Roman"/>
          <w:bCs/>
          <w:color w:val="000000" w:themeColor="text1"/>
          <w:sz w:val="24"/>
          <w:szCs w:val="24"/>
          <w:lang w:eastAsia="en-GB"/>
        </w:rPr>
      </w:pPr>
      <w:r w:rsidRPr="00BE4AF3">
        <w:rPr>
          <w:rFonts w:ascii="Times New Roman" w:hAnsi="Times New Roman" w:cs="Times New Roman"/>
          <w:b/>
          <w:color w:val="000000" w:themeColor="text1"/>
          <w:sz w:val="24"/>
          <w:szCs w:val="24"/>
        </w:rPr>
        <w:t>Reference</w:t>
      </w:r>
    </w:p>
    <w:p w14:paraId="015F08BE" w14:textId="77777777" w:rsidR="00A63CD3" w:rsidRPr="00BE4AF3" w:rsidRDefault="00A63CD3" w:rsidP="00A63CD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Ahmad, S., Ayob, Z., Hussain, N., and Mat, N. (2022). Assessment of landscape </w:t>
      </w:r>
      <w:r w:rsidRPr="00BE4AF3">
        <w:rPr>
          <w:rFonts w:ascii="Times New Roman" w:hAnsi="Times New Roman" w:cs="Times New Roman"/>
          <w:color w:val="000000" w:themeColor="text1"/>
          <w:sz w:val="24"/>
          <w:szCs w:val="24"/>
        </w:rPr>
        <w:tab/>
        <w:t xml:space="preserve">maintenance towards cost planning: expert validation on the criteria of sustainable </w:t>
      </w:r>
      <w:r w:rsidRPr="00BE4AF3">
        <w:rPr>
          <w:rFonts w:ascii="Times New Roman" w:hAnsi="Times New Roman" w:cs="Times New Roman"/>
          <w:color w:val="000000" w:themeColor="text1"/>
          <w:sz w:val="24"/>
          <w:szCs w:val="24"/>
        </w:rPr>
        <w:tab/>
        <w:t xml:space="preserve">landscape maintenance for public park. Planning malaysia. 20. </w:t>
      </w:r>
      <w:r w:rsidRPr="00BE4AF3">
        <w:rPr>
          <w:rFonts w:ascii="Times New Roman" w:hAnsi="Times New Roman" w:cs="Times New Roman"/>
          <w:color w:val="000000" w:themeColor="text1"/>
          <w:sz w:val="24"/>
          <w:szCs w:val="24"/>
        </w:rPr>
        <w:tab/>
        <w:t xml:space="preserve">10.21837/pm.v20i22.1129. </w:t>
      </w:r>
    </w:p>
    <w:p w14:paraId="35DF0058" w14:textId="77777777" w:rsidR="00A63CD3" w:rsidRPr="00BE4AF3" w:rsidRDefault="00A63CD3" w:rsidP="00A63CD3">
      <w:pPr>
        <w:spacing w:after="0" w:line="240" w:lineRule="auto"/>
        <w:jc w:val="both"/>
        <w:rPr>
          <w:rFonts w:ascii="Times New Roman" w:hAnsi="Times New Roman" w:cs="Times New Roman"/>
          <w:i/>
          <w:color w:val="000000" w:themeColor="text1"/>
          <w:sz w:val="24"/>
          <w:szCs w:val="24"/>
        </w:rPr>
      </w:pPr>
      <w:r w:rsidRPr="00BE4AF3">
        <w:rPr>
          <w:rFonts w:ascii="Times New Roman" w:hAnsi="Times New Roman" w:cs="Times New Roman"/>
          <w:color w:val="000000" w:themeColor="text1"/>
          <w:sz w:val="24"/>
          <w:szCs w:val="24"/>
        </w:rPr>
        <w:t xml:space="preserve">Akhimien, N., Isiwele, A.J. and Adamolekun, M.O. (2018). The impact of Landscape </w:t>
      </w:r>
      <w:r w:rsidRPr="00BE4AF3">
        <w:rPr>
          <w:rFonts w:ascii="Times New Roman" w:hAnsi="Times New Roman" w:cs="Times New Roman"/>
          <w:color w:val="000000" w:themeColor="text1"/>
          <w:sz w:val="24"/>
          <w:szCs w:val="24"/>
        </w:rPr>
        <w:tab/>
        <w:t xml:space="preserve">Architecture on the Built Fnvironment. </w:t>
      </w:r>
      <w:r w:rsidRPr="00BE4AF3">
        <w:rPr>
          <w:rFonts w:ascii="Times New Roman" w:hAnsi="Times New Roman" w:cs="Times New Roman"/>
          <w:i/>
          <w:color w:val="000000" w:themeColor="text1"/>
          <w:sz w:val="24"/>
          <w:szCs w:val="24"/>
        </w:rPr>
        <w:t>Journal of Environmental Studies.</w:t>
      </w:r>
      <w:r w:rsidRPr="00BE4AF3">
        <w:rPr>
          <w:rFonts w:ascii="Times New Roman" w:hAnsi="Times New Roman" w:cs="Times New Roman"/>
          <w:color w:val="000000" w:themeColor="text1"/>
          <w:sz w:val="24"/>
          <w:szCs w:val="24"/>
        </w:rPr>
        <w:t xml:space="preserve"> </w:t>
      </w:r>
      <w:r w:rsidRPr="00BE4AF3">
        <w:rPr>
          <w:rFonts w:ascii="Times New Roman" w:hAnsi="Times New Roman" w:cs="Times New Roman"/>
          <w:b/>
          <w:color w:val="000000" w:themeColor="text1"/>
          <w:sz w:val="24"/>
          <w:szCs w:val="24"/>
        </w:rPr>
        <w:t>2.</w:t>
      </w:r>
      <w:r w:rsidRPr="00BE4AF3">
        <w:rPr>
          <w:rFonts w:ascii="Times New Roman" w:hAnsi="Times New Roman" w:cs="Times New Roman"/>
          <w:i/>
          <w:color w:val="000000" w:themeColor="text1"/>
          <w:sz w:val="24"/>
          <w:szCs w:val="24"/>
        </w:rPr>
        <w:t xml:space="preserve"> 139-146.</w:t>
      </w:r>
    </w:p>
    <w:p w14:paraId="471D06F6" w14:textId="77777777" w:rsidR="00A63CD3" w:rsidRPr="00BE4AF3" w:rsidRDefault="00A63CD3" w:rsidP="00A63CD3">
      <w:pPr>
        <w:spacing w:after="0" w:line="240" w:lineRule="auto"/>
        <w:jc w:val="both"/>
        <w:rPr>
          <w:rFonts w:ascii="Times New Roman" w:eastAsia="Times New Roman" w:hAnsi="Times New Roman" w:cs="Times New Roman"/>
          <w:b/>
          <w:i/>
          <w:color w:val="000000" w:themeColor="text1"/>
          <w:sz w:val="24"/>
          <w:szCs w:val="24"/>
        </w:rPr>
      </w:pPr>
      <w:r w:rsidRPr="00BE4AF3">
        <w:rPr>
          <w:rFonts w:ascii="Times New Roman" w:hAnsi="Times New Roman" w:cs="Times New Roman"/>
          <w:color w:val="000000" w:themeColor="text1"/>
          <w:sz w:val="24"/>
          <w:szCs w:val="24"/>
          <w:shd w:val="clear" w:color="auto" w:fill="FFFFFF"/>
        </w:rPr>
        <w:t xml:space="preserve"> Ayeni, D. A. (2012). Enhancing the Nigerian Tourist Attractions through Landscaping for </w:t>
      </w:r>
      <w:r w:rsidRPr="00BE4AF3">
        <w:rPr>
          <w:rFonts w:ascii="Times New Roman" w:hAnsi="Times New Roman" w:cs="Times New Roman"/>
          <w:color w:val="000000" w:themeColor="text1"/>
          <w:sz w:val="24"/>
          <w:szCs w:val="24"/>
          <w:shd w:val="clear" w:color="auto" w:fill="FFFFFF"/>
        </w:rPr>
        <w:tab/>
        <w:t xml:space="preserve">Sustainable Tourism Development. </w:t>
      </w:r>
      <w:r w:rsidRPr="00BE4AF3">
        <w:rPr>
          <w:rFonts w:ascii="Times New Roman" w:hAnsi="Times New Roman" w:cs="Times New Roman"/>
          <w:i/>
          <w:color w:val="000000" w:themeColor="text1"/>
          <w:sz w:val="24"/>
          <w:szCs w:val="24"/>
          <w:shd w:val="clear" w:color="auto" w:fill="FFFFFF"/>
        </w:rPr>
        <w:t xml:space="preserve">American Journal of Tourism ResearchVol. 1, </w:t>
      </w:r>
      <w:r w:rsidRPr="00BE4AF3">
        <w:rPr>
          <w:rFonts w:ascii="Times New Roman" w:hAnsi="Times New Roman" w:cs="Times New Roman"/>
          <w:color w:val="000000" w:themeColor="text1"/>
          <w:sz w:val="24"/>
          <w:szCs w:val="24"/>
          <w:shd w:val="clear" w:color="auto" w:fill="FFFFFF"/>
        </w:rPr>
        <w:tab/>
        <w:t>No.</w:t>
      </w:r>
      <w:r w:rsidRPr="00BE4AF3">
        <w:rPr>
          <w:rFonts w:ascii="Times New Roman" w:hAnsi="Times New Roman" w:cs="Times New Roman"/>
          <w:color w:val="000000" w:themeColor="text1"/>
          <w:sz w:val="24"/>
          <w:szCs w:val="24"/>
          <w:shd w:val="clear" w:color="auto" w:fill="FFFFFF"/>
        </w:rPr>
        <w:tab/>
        <w:t xml:space="preserve"> 2, ISSN 2168-3786 Print/ ISSN 2168-3794 Online  © 2012 World </w:t>
      </w:r>
      <w:r w:rsidRPr="00BE4AF3">
        <w:rPr>
          <w:rFonts w:ascii="Times New Roman" w:hAnsi="Times New Roman" w:cs="Times New Roman"/>
          <w:color w:val="000000" w:themeColor="text1"/>
          <w:sz w:val="24"/>
          <w:szCs w:val="24"/>
          <w:shd w:val="clear" w:color="auto" w:fill="FFFFFF"/>
        </w:rPr>
        <w:tab/>
      </w:r>
      <w:r w:rsidRPr="00BE4AF3">
        <w:rPr>
          <w:rFonts w:ascii="Times New Roman" w:hAnsi="Times New Roman" w:cs="Times New Roman"/>
          <w:color w:val="000000" w:themeColor="text1"/>
          <w:sz w:val="24"/>
          <w:szCs w:val="24"/>
          <w:shd w:val="clear" w:color="auto" w:fill="FFFFFF"/>
        </w:rPr>
        <w:tab/>
        <w:t>Scholars</w:t>
      </w:r>
    </w:p>
    <w:p w14:paraId="3FA0EC40" w14:textId="77777777" w:rsidR="00A63CD3" w:rsidRPr="00275273" w:rsidRDefault="00A63CD3" w:rsidP="00A63CD3">
      <w:pPr>
        <w:spacing w:after="0" w:line="240" w:lineRule="auto"/>
        <w:jc w:val="both"/>
        <w:rPr>
          <w:rStyle w:val="Strong"/>
          <w:rFonts w:ascii="Times New Roman" w:hAnsi="Times New Roman" w:cs="Times New Roman"/>
          <w:b w:val="0"/>
          <w:bCs w:val="0"/>
          <w:color w:val="000000" w:themeColor="text1"/>
          <w:sz w:val="24"/>
          <w:szCs w:val="24"/>
        </w:rPr>
      </w:pPr>
      <w:r w:rsidRPr="00275273">
        <w:rPr>
          <w:rStyle w:val="Strong"/>
          <w:rFonts w:ascii="Times New Roman" w:hAnsi="Times New Roman" w:cs="Times New Roman"/>
          <w:b w:val="0"/>
          <w:bCs w:val="0"/>
          <w:color w:val="000000" w:themeColor="text1"/>
          <w:sz w:val="24"/>
          <w:szCs w:val="24"/>
        </w:rPr>
        <w:t xml:space="preserve">Ayeni, D. A., Ebohon, O. J., and TakiI, A. H. (2011).  The Likely Effect of Sustainable </w:t>
      </w:r>
      <w:r w:rsidRPr="00275273">
        <w:rPr>
          <w:rStyle w:val="Strong"/>
          <w:rFonts w:ascii="Times New Roman" w:hAnsi="Times New Roman" w:cs="Times New Roman"/>
          <w:b w:val="0"/>
          <w:bCs w:val="0"/>
          <w:color w:val="000000" w:themeColor="text1"/>
          <w:sz w:val="24"/>
          <w:szCs w:val="24"/>
        </w:rPr>
        <w:tab/>
        <w:t>Landscape on the Quality of Life through Tourism: Focus on Nigeria</w:t>
      </w:r>
      <w:r w:rsidRPr="00275273">
        <w:rPr>
          <w:rStyle w:val="Strong"/>
          <w:rFonts w:ascii="Times New Roman" w:hAnsi="Times New Roman" w:cs="Times New Roman"/>
          <w:b w:val="0"/>
          <w:bCs w:val="0"/>
          <w:i/>
          <w:color w:val="000000" w:themeColor="text1"/>
          <w:sz w:val="24"/>
          <w:szCs w:val="24"/>
        </w:rPr>
        <w:t xml:space="preserve">. Paper presented </w:t>
      </w:r>
      <w:r w:rsidRPr="00275273">
        <w:rPr>
          <w:rStyle w:val="Strong"/>
          <w:rFonts w:ascii="Times New Roman" w:hAnsi="Times New Roman" w:cs="Times New Roman"/>
          <w:b w:val="0"/>
          <w:bCs w:val="0"/>
          <w:i/>
          <w:color w:val="000000" w:themeColor="text1"/>
          <w:sz w:val="24"/>
          <w:szCs w:val="24"/>
        </w:rPr>
        <w:tab/>
        <w:t>at the West AfricaBuilt Environment Research (WABER),</w:t>
      </w:r>
      <w:r w:rsidRPr="00275273">
        <w:rPr>
          <w:rStyle w:val="Strong"/>
          <w:rFonts w:ascii="Times New Roman" w:hAnsi="Times New Roman" w:cs="Times New Roman"/>
          <w:b w:val="0"/>
          <w:bCs w:val="0"/>
          <w:color w:val="000000" w:themeColor="text1"/>
          <w:sz w:val="24"/>
          <w:szCs w:val="24"/>
        </w:rPr>
        <w:t xml:space="preserve"> 2011 19-21 July, 2011, </w:t>
      </w:r>
      <w:r w:rsidRPr="00275273">
        <w:rPr>
          <w:rStyle w:val="Strong"/>
          <w:rFonts w:ascii="Times New Roman" w:hAnsi="Times New Roman" w:cs="Times New Roman"/>
          <w:b w:val="0"/>
          <w:bCs w:val="0"/>
          <w:color w:val="000000" w:themeColor="text1"/>
          <w:sz w:val="24"/>
          <w:szCs w:val="24"/>
        </w:rPr>
        <w:tab/>
        <w:t>Accra, Ghana. 9</w:t>
      </w:r>
    </w:p>
    <w:p w14:paraId="1B9427C6" w14:textId="77777777" w:rsidR="00A63CD3" w:rsidRPr="00BE4AF3" w:rsidRDefault="00A63CD3" w:rsidP="00A63CD3">
      <w:pPr>
        <w:spacing w:after="0" w:line="240" w:lineRule="auto"/>
        <w:jc w:val="both"/>
        <w:rPr>
          <w:rFonts w:ascii="Times New Roman" w:hAnsi="Times New Roman" w:cs="Times New Roman"/>
          <w:color w:val="000000" w:themeColor="text1"/>
          <w:sz w:val="24"/>
          <w:szCs w:val="24"/>
          <w:lang w:eastAsia="en-GB"/>
        </w:rPr>
      </w:pPr>
      <w:r w:rsidRPr="00BE4AF3">
        <w:rPr>
          <w:rFonts w:ascii="Times New Roman" w:hAnsi="Times New Roman" w:cs="Times New Roman"/>
          <w:color w:val="000000" w:themeColor="text1"/>
          <w:sz w:val="24"/>
          <w:szCs w:val="24"/>
          <w:lang w:eastAsia="en-GB"/>
        </w:rPr>
        <w:t xml:space="preserve">Ayeni, D. and Ebohon, O. (2012). Exploring sustainable tourism in Nigeria for </w:t>
      </w:r>
      <w:r w:rsidRPr="00BE4AF3">
        <w:rPr>
          <w:rFonts w:ascii="Times New Roman" w:hAnsi="Times New Roman" w:cs="Times New Roman"/>
          <w:color w:val="000000" w:themeColor="text1"/>
          <w:sz w:val="24"/>
          <w:szCs w:val="24"/>
          <w:lang w:eastAsia="en-GB"/>
        </w:rPr>
        <w:tab/>
        <w:t>developmental growth</w:t>
      </w:r>
      <w:r w:rsidRPr="00BE4AF3">
        <w:rPr>
          <w:rFonts w:ascii="Times New Roman" w:hAnsi="Times New Roman" w:cs="Times New Roman"/>
          <w:color w:val="000000" w:themeColor="text1"/>
          <w:spacing w:val="-1"/>
          <w:sz w:val="24"/>
          <w:szCs w:val="24"/>
          <w:lang w:eastAsia="en-GB"/>
        </w:rPr>
        <w:t xml:space="preserve">. </w:t>
      </w:r>
      <w:r w:rsidRPr="00BE4AF3">
        <w:rPr>
          <w:rFonts w:ascii="Times New Roman" w:hAnsi="Times New Roman" w:cs="Times New Roman"/>
          <w:i/>
          <w:color w:val="000000" w:themeColor="text1"/>
          <w:sz w:val="24"/>
          <w:szCs w:val="24"/>
          <w:lang w:eastAsia="en-GB"/>
        </w:rPr>
        <w:t xml:space="preserve">European Scientific Journal, </w:t>
      </w:r>
      <w:r w:rsidRPr="00BE4AF3">
        <w:rPr>
          <w:rFonts w:ascii="Times New Roman" w:hAnsi="Times New Roman" w:cs="Times New Roman"/>
          <w:b/>
          <w:color w:val="000000" w:themeColor="text1"/>
          <w:sz w:val="24"/>
          <w:szCs w:val="24"/>
          <w:lang w:eastAsia="en-GB"/>
        </w:rPr>
        <w:t>8</w:t>
      </w:r>
      <w:r w:rsidRPr="00BE4AF3">
        <w:rPr>
          <w:rFonts w:ascii="Times New Roman" w:hAnsi="Times New Roman" w:cs="Times New Roman"/>
          <w:color w:val="000000" w:themeColor="text1"/>
          <w:sz w:val="24"/>
          <w:szCs w:val="24"/>
          <w:lang w:eastAsia="en-GB"/>
        </w:rPr>
        <w:t xml:space="preserve"> (20), pp. 126-140. </w:t>
      </w:r>
    </w:p>
    <w:p w14:paraId="1DC68636" w14:textId="77777777" w:rsidR="00A63CD3" w:rsidRPr="00BE4AF3" w:rsidRDefault="00A63CD3" w:rsidP="00A63CD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Ayeni, D.A. (2012). Emphasizing Landscape Elements as Important Components of a </w:t>
      </w:r>
      <w:r w:rsidRPr="00BE4AF3">
        <w:rPr>
          <w:rFonts w:ascii="Times New Roman" w:hAnsi="Times New Roman" w:cs="Times New Roman"/>
          <w:color w:val="000000" w:themeColor="text1"/>
          <w:sz w:val="24"/>
          <w:szCs w:val="24"/>
        </w:rPr>
        <w:tab/>
        <w:t>Sustainable Built Environment in Nigeria Developing Country Studies ISSN 2224-</w:t>
      </w:r>
      <w:r w:rsidRPr="00BE4AF3">
        <w:rPr>
          <w:rFonts w:ascii="Times New Roman" w:hAnsi="Times New Roman" w:cs="Times New Roman"/>
          <w:color w:val="000000" w:themeColor="text1"/>
          <w:sz w:val="24"/>
          <w:szCs w:val="24"/>
        </w:rPr>
        <w:tab/>
        <w:t>607X (Paper) ISSN 2225-0565 (Online) Vol 2, No.8, 2012</w:t>
      </w:r>
    </w:p>
    <w:p w14:paraId="641790B2" w14:textId="77777777" w:rsidR="00A63CD3" w:rsidRPr="00BE4AF3" w:rsidRDefault="00A63CD3" w:rsidP="00A63CD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Bodunde, J., Olubode, O., and Owolabi, C. (2020). Impact of Maintenance on a</w:t>
      </w:r>
      <w:r w:rsidRPr="00BE4AF3">
        <w:rPr>
          <w:rFonts w:ascii="Times New Roman" w:hAnsi="Times New Roman" w:cs="Times New Roman"/>
          <w:color w:val="000000" w:themeColor="text1"/>
          <w:sz w:val="24"/>
          <w:szCs w:val="24"/>
        </w:rPr>
        <w:tab/>
        <w:t xml:space="preserve">Conventional and Edible Plant Components Landscape Design Concept. </w:t>
      </w:r>
      <w:r w:rsidRPr="00BE4AF3">
        <w:rPr>
          <w:rFonts w:ascii="Times New Roman" w:hAnsi="Times New Roman" w:cs="Times New Roman"/>
          <w:color w:val="000000" w:themeColor="text1"/>
          <w:sz w:val="24"/>
          <w:szCs w:val="24"/>
        </w:rPr>
        <w:tab/>
        <w:t>10.13140/Rg.2.2.15042.94407.</w:t>
      </w:r>
    </w:p>
    <w:p w14:paraId="7716D6A6" w14:textId="77777777" w:rsidR="00A63CD3" w:rsidRPr="00BE4AF3" w:rsidRDefault="00A63CD3" w:rsidP="00A63CD3">
      <w:pPr>
        <w:spacing w:after="0" w:line="240" w:lineRule="auto"/>
        <w:jc w:val="both"/>
        <w:rPr>
          <w:rFonts w:ascii="Times New Roman" w:hAnsi="Times New Roman" w:cs="Times New Roman"/>
          <w:color w:val="000000" w:themeColor="text1"/>
          <w:sz w:val="24"/>
          <w:szCs w:val="24"/>
          <w:lang w:eastAsia="en-GB"/>
        </w:rPr>
      </w:pPr>
      <w:r w:rsidRPr="00BE4AF3">
        <w:rPr>
          <w:rFonts w:ascii="Times New Roman" w:hAnsi="Times New Roman" w:cs="Times New Roman"/>
          <w:color w:val="000000" w:themeColor="text1"/>
          <w:sz w:val="24"/>
          <w:szCs w:val="24"/>
          <w:lang w:eastAsia="en-GB"/>
        </w:rPr>
        <w:t>Camilleri, M. A. (2017). The Tourism Industry: An Overview. 10.1007/978-3-319-49849-</w:t>
      </w:r>
      <w:r w:rsidRPr="00BE4AF3">
        <w:rPr>
          <w:rFonts w:ascii="Times New Roman" w:hAnsi="Times New Roman" w:cs="Times New Roman"/>
          <w:color w:val="000000" w:themeColor="text1"/>
          <w:sz w:val="24"/>
          <w:szCs w:val="24"/>
          <w:lang w:eastAsia="en-GB"/>
        </w:rPr>
        <w:tab/>
        <w:t>2_1.</w:t>
      </w:r>
    </w:p>
    <w:p w14:paraId="4235A447" w14:textId="3B53BD03" w:rsidR="00A63CD3" w:rsidRPr="00275273" w:rsidRDefault="00A63CD3" w:rsidP="00A63CD3">
      <w:pPr>
        <w:spacing w:after="0" w:line="240" w:lineRule="auto"/>
        <w:jc w:val="both"/>
        <w:rPr>
          <w:rFonts w:ascii="Times New Roman" w:hAnsi="Times New Roman" w:cs="Times New Roman"/>
          <w:b/>
          <w:bCs/>
          <w:i/>
          <w:color w:val="000000" w:themeColor="text1"/>
          <w:sz w:val="24"/>
          <w:szCs w:val="24"/>
        </w:rPr>
      </w:pPr>
      <w:r w:rsidRPr="00275273">
        <w:rPr>
          <w:rStyle w:val="Strong"/>
          <w:rFonts w:ascii="Times New Roman" w:hAnsi="Times New Roman" w:cs="Times New Roman"/>
          <w:b w:val="0"/>
          <w:bCs w:val="0"/>
          <w:color w:val="000000" w:themeColor="text1"/>
          <w:sz w:val="24"/>
          <w:szCs w:val="24"/>
        </w:rPr>
        <w:t>Dhingra, T. and Velmurugan, R. (2015). Maintenance Strategy Selection and its Impact on</w:t>
      </w:r>
      <w:r w:rsidRPr="00275273">
        <w:rPr>
          <w:rStyle w:val="Strong"/>
          <w:rFonts w:ascii="Times New Roman" w:hAnsi="Times New Roman" w:cs="Times New Roman"/>
          <w:b w:val="0"/>
          <w:bCs w:val="0"/>
          <w:color w:val="000000" w:themeColor="text1"/>
          <w:sz w:val="24"/>
          <w:szCs w:val="24"/>
        </w:rPr>
        <w:tab/>
        <w:t xml:space="preserve"> Maintenance Function - A Conceptual Framework. </w:t>
      </w:r>
      <w:r w:rsidRPr="00275273">
        <w:rPr>
          <w:rStyle w:val="Strong"/>
          <w:rFonts w:ascii="Times New Roman" w:hAnsi="Times New Roman" w:cs="Times New Roman"/>
          <w:b w:val="0"/>
          <w:bCs w:val="0"/>
          <w:i/>
          <w:color w:val="000000" w:themeColor="text1"/>
          <w:sz w:val="24"/>
          <w:szCs w:val="24"/>
        </w:rPr>
        <w:t xml:space="preserve">International Journal of </w:t>
      </w:r>
      <w:r w:rsidRPr="00275273">
        <w:rPr>
          <w:rStyle w:val="Strong"/>
          <w:rFonts w:ascii="Times New Roman" w:hAnsi="Times New Roman" w:cs="Times New Roman"/>
          <w:b w:val="0"/>
          <w:bCs w:val="0"/>
          <w:i/>
          <w:color w:val="000000" w:themeColor="text1"/>
          <w:sz w:val="24"/>
          <w:szCs w:val="24"/>
        </w:rPr>
        <w:tab/>
        <w:t xml:space="preserve">Operations &amp; </w:t>
      </w:r>
      <w:r w:rsidRPr="00275273">
        <w:rPr>
          <w:rStyle w:val="Strong"/>
          <w:rFonts w:ascii="Times New Roman" w:hAnsi="Times New Roman" w:cs="Times New Roman"/>
          <w:b w:val="0"/>
          <w:bCs w:val="0"/>
          <w:i/>
          <w:color w:val="000000" w:themeColor="text1"/>
          <w:sz w:val="24"/>
          <w:szCs w:val="24"/>
        </w:rPr>
        <w:tab/>
        <w:t xml:space="preserve">Production Management. </w:t>
      </w:r>
      <w:r w:rsidRPr="00275273">
        <w:rPr>
          <w:rStyle w:val="Strong"/>
          <w:rFonts w:ascii="Times New Roman" w:hAnsi="Times New Roman" w:cs="Times New Roman"/>
          <w:b w:val="0"/>
          <w:bCs w:val="0"/>
          <w:color w:val="000000" w:themeColor="text1"/>
          <w:sz w:val="24"/>
          <w:szCs w:val="24"/>
        </w:rPr>
        <w:t>10.1108/IJOPM-01-2014-0028.</w:t>
      </w:r>
    </w:p>
    <w:p w14:paraId="1EEC08F1" w14:textId="7878D2DD" w:rsidR="00A63CD3" w:rsidRPr="00BE4AF3" w:rsidRDefault="00A63CD3" w:rsidP="00A63CD3">
      <w:pPr>
        <w:spacing w:after="0" w:line="240" w:lineRule="auto"/>
        <w:jc w:val="both"/>
        <w:rPr>
          <w:rFonts w:ascii="Times New Roman" w:eastAsia="Times New Roman" w:hAnsi="Times New Roman" w:cs="Times New Roman"/>
          <w:color w:val="000000" w:themeColor="text1"/>
          <w:spacing w:val="-1"/>
          <w:sz w:val="24"/>
          <w:szCs w:val="24"/>
          <w:lang w:eastAsia="en-GB"/>
        </w:rPr>
      </w:pPr>
      <w:r w:rsidRPr="00BE4AF3">
        <w:rPr>
          <w:rFonts w:ascii="Times New Roman" w:eastAsia="Times New Roman" w:hAnsi="Times New Roman" w:cs="Times New Roman"/>
          <w:color w:val="000000" w:themeColor="text1"/>
          <w:sz w:val="24"/>
          <w:szCs w:val="24"/>
          <w:lang w:eastAsia="en-GB"/>
        </w:rPr>
        <w:t xml:space="preserve">Efobi, K. (1988). Real  estate  maintenance  as  a  strategy  for  improving  the Nigerian  </w:t>
      </w:r>
      <w:r w:rsidRPr="00BE4AF3">
        <w:rPr>
          <w:rFonts w:ascii="Times New Roman" w:eastAsia="Times New Roman" w:hAnsi="Times New Roman" w:cs="Times New Roman"/>
          <w:color w:val="000000" w:themeColor="text1"/>
          <w:sz w:val="24"/>
          <w:szCs w:val="24"/>
          <w:lang w:eastAsia="en-GB"/>
        </w:rPr>
        <w:tab/>
        <w:t xml:space="preserve">urban  centre.  </w:t>
      </w:r>
      <w:r w:rsidRPr="00BE4AF3">
        <w:rPr>
          <w:rFonts w:ascii="Times New Roman" w:eastAsia="Times New Roman" w:hAnsi="Times New Roman" w:cs="Times New Roman"/>
          <w:i/>
          <w:color w:val="000000" w:themeColor="text1"/>
          <w:sz w:val="24"/>
          <w:szCs w:val="24"/>
          <w:lang w:eastAsia="en-GB"/>
        </w:rPr>
        <w:t xml:space="preserve">Proceedings of </w:t>
      </w:r>
      <w:r w:rsidR="00DF280C" w:rsidRPr="00BE4AF3">
        <w:rPr>
          <w:rFonts w:ascii="Times New Roman" w:eastAsia="Times New Roman" w:hAnsi="Times New Roman" w:cs="Times New Roman"/>
          <w:i/>
          <w:color w:val="000000" w:themeColor="text1"/>
          <w:sz w:val="24"/>
          <w:szCs w:val="24"/>
          <w:lang w:eastAsia="en-GB"/>
        </w:rPr>
        <w:t>the National Conference</w:t>
      </w:r>
      <w:r w:rsidRPr="00BE4AF3">
        <w:rPr>
          <w:rFonts w:ascii="Times New Roman" w:eastAsia="Times New Roman" w:hAnsi="Times New Roman" w:cs="Times New Roman"/>
          <w:i/>
          <w:color w:val="000000" w:themeColor="text1"/>
          <w:sz w:val="24"/>
          <w:szCs w:val="24"/>
          <w:lang w:eastAsia="en-GB"/>
        </w:rPr>
        <w:t xml:space="preserve"> on Maintenance.  </w:t>
      </w:r>
      <w:r w:rsidRPr="00BE4AF3">
        <w:rPr>
          <w:rFonts w:ascii="Times New Roman" w:eastAsia="Times New Roman" w:hAnsi="Times New Roman" w:cs="Times New Roman"/>
          <w:i/>
          <w:color w:val="000000" w:themeColor="text1"/>
          <w:sz w:val="24"/>
          <w:szCs w:val="24"/>
          <w:lang w:eastAsia="en-GB"/>
        </w:rPr>
        <w:tab/>
      </w:r>
      <w:r w:rsidR="00DF280C" w:rsidRPr="00BE4AF3">
        <w:rPr>
          <w:rFonts w:ascii="Times New Roman" w:eastAsia="Times New Roman" w:hAnsi="Times New Roman" w:cs="Times New Roman"/>
          <w:i/>
          <w:color w:val="000000" w:themeColor="text1"/>
          <w:sz w:val="24"/>
          <w:szCs w:val="24"/>
          <w:lang w:eastAsia="en-GB"/>
        </w:rPr>
        <w:t>Management and</w:t>
      </w:r>
      <w:r w:rsidRPr="00BE4AF3">
        <w:rPr>
          <w:rFonts w:ascii="Times New Roman" w:eastAsia="Times New Roman" w:hAnsi="Times New Roman" w:cs="Times New Roman"/>
          <w:i/>
          <w:color w:val="000000" w:themeColor="text1"/>
          <w:sz w:val="24"/>
          <w:szCs w:val="24"/>
          <w:lang w:eastAsia="en-GB"/>
        </w:rPr>
        <w:t xml:space="preserve"> Technology.  Enugu</w:t>
      </w:r>
      <w:r w:rsidRPr="00BE4AF3">
        <w:rPr>
          <w:rFonts w:ascii="Times New Roman" w:eastAsia="Times New Roman" w:hAnsi="Times New Roman" w:cs="Times New Roman"/>
          <w:color w:val="000000" w:themeColor="text1"/>
          <w:sz w:val="24"/>
          <w:szCs w:val="24"/>
          <w:lang w:eastAsia="en-GB"/>
        </w:rPr>
        <w:t>.  Nov. 16th— 18th, 1988.</w:t>
      </w:r>
    </w:p>
    <w:p w14:paraId="601FD486" w14:textId="77777777" w:rsidR="00A63CD3" w:rsidRPr="00BE4AF3" w:rsidRDefault="00A63CD3" w:rsidP="00A63CD3">
      <w:pPr>
        <w:spacing w:after="0" w:line="240" w:lineRule="auto"/>
        <w:jc w:val="both"/>
        <w:rPr>
          <w:rFonts w:ascii="Times New Roman" w:hAnsi="Times New Roman" w:cs="Times New Roman"/>
          <w:i/>
          <w:color w:val="000000" w:themeColor="text1"/>
          <w:sz w:val="24"/>
          <w:szCs w:val="24"/>
        </w:rPr>
      </w:pPr>
      <w:r w:rsidRPr="00BE4AF3">
        <w:rPr>
          <w:rFonts w:ascii="Times New Roman" w:hAnsi="Times New Roman" w:cs="Times New Roman"/>
          <w:color w:val="000000" w:themeColor="text1"/>
          <w:sz w:val="24"/>
          <w:szCs w:val="24"/>
        </w:rPr>
        <w:lastRenderedPageBreak/>
        <w:t xml:space="preserve">Efobi. K. (2006). Landscape maintenance in enugu metropolis: a review. </w:t>
      </w:r>
      <w:r w:rsidRPr="00BE4AF3">
        <w:rPr>
          <w:rFonts w:ascii="Times New Roman" w:hAnsi="Times New Roman" w:cs="Times New Roman"/>
          <w:i/>
          <w:color w:val="000000" w:themeColor="text1"/>
          <w:sz w:val="24"/>
          <w:szCs w:val="24"/>
        </w:rPr>
        <w:t xml:space="preserve">Journal of Science </w:t>
      </w:r>
      <w:r w:rsidRPr="00BE4AF3">
        <w:rPr>
          <w:rFonts w:ascii="Times New Roman" w:hAnsi="Times New Roman" w:cs="Times New Roman"/>
          <w:i/>
          <w:color w:val="000000" w:themeColor="text1"/>
          <w:sz w:val="24"/>
          <w:szCs w:val="24"/>
        </w:rPr>
        <w:tab/>
        <w:t xml:space="preserve">Engineering and Technology. </w:t>
      </w:r>
      <w:r w:rsidRPr="00BE4AF3">
        <w:rPr>
          <w:rFonts w:ascii="Times New Roman" w:hAnsi="Times New Roman" w:cs="Times New Roman"/>
          <w:color w:val="000000" w:themeColor="text1"/>
          <w:sz w:val="24"/>
          <w:szCs w:val="24"/>
        </w:rPr>
        <w:t xml:space="preserve"> pp. 7099-7105</w:t>
      </w:r>
    </w:p>
    <w:p w14:paraId="402903C1" w14:textId="77777777" w:rsidR="00A63CD3" w:rsidRPr="00BE4AF3" w:rsidRDefault="00A63CD3" w:rsidP="00A63CD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Emmanuel, S. (2021).  Tourism in the great alpine glacial sites: perceptions and adaptations </w:t>
      </w:r>
      <w:r w:rsidRPr="00BE4AF3">
        <w:rPr>
          <w:rFonts w:ascii="Times New Roman" w:hAnsi="Times New Roman" w:cs="Times New Roman"/>
          <w:color w:val="000000" w:themeColor="text1"/>
          <w:sz w:val="24"/>
          <w:szCs w:val="24"/>
        </w:rPr>
        <w:tab/>
        <w:t xml:space="preserve">to </w:t>
      </w:r>
      <w:r w:rsidRPr="00BE4AF3">
        <w:rPr>
          <w:rFonts w:ascii="Times New Roman" w:hAnsi="Times New Roman" w:cs="Times New Roman"/>
          <w:color w:val="000000" w:themeColor="text1"/>
          <w:sz w:val="24"/>
          <w:szCs w:val="24"/>
        </w:rPr>
        <w:tab/>
        <w:t xml:space="preserve">landscape change.. Géographie. Université Savoie Mont blanc, 2021. Français. </w:t>
      </w:r>
      <w:r w:rsidRPr="00BE4AF3">
        <w:rPr>
          <w:rFonts w:ascii="Times New Roman" w:hAnsi="Times New Roman" w:cs="Times New Roman"/>
          <w:color w:val="000000" w:themeColor="text1"/>
          <w:sz w:val="24"/>
          <w:szCs w:val="24"/>
        </w:rPr>
        <w:tab/>
        <w:t>‌tel-03710261‌</w:t>
      </w:r>
    </w:p>
    <w:p w14:paraId="0081CC3F" w14:textId="77777777" w:rsidR="00A63CD3" w:rsidRPr="00BE4AF3" w:rsidRDefault="00A63CD3" w:rsidP="00A63CD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Eseigbe, J. O. (2014). Landscape Features and Tourism Development in Nigeria. ISSN 2224-</w:t>
      </w:r>
      <w:r w:rsidRPr="00BE4AF3">
        <w:rPr>
          <w:rFonts w:ascii="Times New Roman" w:hAnsi="Times New Roman" w:cs="Times New Roman"/>
          <w:color w:val="000000" w:themeColor="text1"/>
          <w:sz w:val="24"/>
          <w:szCs w:val="24"/>
        </w:rPr>
        <w:tab/>
        <w:t xml:space="preserve">607X (Paper) ISSN 2225-0565 (Online) Vol.4, No.10, 2014 163 </w:t>
      </w:r>
      <w:hyperlink r:id="rId172" w:history="1">
        <w:r w:rsidRPr="00BE4AF3">
          <w:rPr>
            <w:rStyle w:val="Hyperlink"/>
            <w:rFonts w:ascii="Times New Roman" w:hAnsi="Times New Roman" w:cs="Times New Roman"/>
            <w:color w:val="000000" w:themeColor="text1"/>
            <w:sz w:val="24"/>
            <w:szCs w:val="24"/>
          </w:rPr>
          <w:t>www.iiste.org</w:t>
        </w:r>
      </w:hyperlink>
    </w:p>
    <w:p w14:paraId="0E854B28" w14:textId="77777777" w:rsidR="00A63CD3" w:rsidRPr="00BE4AF3" w:rsidRDefault="00A63CD3" w:rsidP="00A63CD3">
      <w:pPr>
        <w:spacing w:after="0" w:line="240" w:lineRule="auto"/>
        <w:jc w:val="both"/>
        <w:rPr>
          <w:rFonts w:ascii="Times New Roman" w:hAnsi="Times New Roman" w:cs="Times New Roman"/>
          <w:i/>
          <w:color w:val="000000" w:themeColor="text1"/>
          <w:sz w:val="24"/>
          <w:szCs w:val="24"/>
        </w:rPr>
      </w:pPr>
      <w:r w:rsidRPr="00BE4AF3">
        <w:rPr>
          <w:rFonts w:ascii="Times New Roman" w:hAnsi="Times New Roman" w:cs="Times New Roman"/>
          <w:color w:val="000000" w:themeColor="text1"/>
          <w:sz w:val="24"/>
          <w:szCs w:val="24"/>
        </w:rPr>
        <w:t xml:space="preserve">Florkowski, W., Hubbard, E., and Wade G. (1994). Factors influencing the supply of four </w:t>
      </w:r>
      <w:r w:rsidRPr="00BE4AF3">
        <w:rPr>
          <w:rFonts w:ascii="Times New Roman" w:hAnsi="Times New Roman" w:cs="Times New Roman"/>
          <w:color w:val="000000" w:themeColor="text1"/>
          <w:sz w:val="24"/>
          <w:szCs w:val="24"/>
        </w:rPr>
        <w:tab/>
        <w:t>landscape services. 1. Environ. Hort. 12:39-42.</w:t>
      </w:r>
    </w:p>
    <w:p w14:paraId="2AA0EED6" w14:textId="77777777" w:rsidR="00A63CD3" w:rsidRPr="00BE4AF3" w:rsidRDefault="00A63CD3" w:rsidP="00A63CD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Gérald, D. (2011). Landscape as resource: Consequences, challenges and opportunities for </w:t>
      </w:r>
      <w:r w:rsidRPr="00BE4AF3">
        <w:rPr>
          <w:rFonts w:ascii="Times New Roman" w:hAnsi="Times New Roman" w:cs="Times New Roman"/>
          <w:color w:val="000000" w:themeColor="text1"/>
          <w:sz w:val="24"/>
          <w:szCs w:val="24"/>
        </w:rPr>
        <w:tab/>
        <w:t>rural development, Landscape and Urban Planning, Volume 100, Issue 4, Pages 338-</w:t>
      </w:r>
      <w:r w:rsidRPr="00BE4AF3">
        <w:rPr>
          <w:rFonts w:ascii="Times New Roman" w:hAnsi="Times New Roman" w:cs="Times New Roman"/>
          <w:color w:val="000000" w:themeColor="text1"/>
          <w:sz w:val="24"/>
          <w:szCs w:val="24"/>
        </w:rPr>
        <w:tab/>
        <w:t xml:space="preserve">340, ISSN 0169-2046, </w:t>
      </w:r>
      <w:hyperlink r:id="rId173" w:history="1">
        <w:r w:rsidRPr="00BE4AF3">
          <w:rPr>
            <w:rStyle w:val="Hyperlink"/>
            <w:rFonts w:ascii="Times New Roman" w:hAnsi="Times New Roman" w:cs="Times New Roman"/>
            <w:color w:val="000000" w:themeColor="text1"/>
            <w:sz w:val="24"/>
            <w:szCs w:val="24"/>
          </w:rPr>
          <w:t>https://doi.org/10.1016/j.landurbplan.2011.02.014</w:t>
        </w:r>
      </w:hyperlink>
      <w:r w:rsidRPr="00BE4AF3">
        <w:rPr>
          <w:rFonts w:ascii="Times New Roman" w:hAnsi="Times New Roman" w:cs="Times New Roman"/>
          <w:color w:val="000000" w:themeColor="text1"/>
          <w:sz w:val="24"/>
          <w:szCs w:val="24"/>
        </w:rPr>
        <w:t>.</w:t>
      </w:r>
    </w:p>
    <w:p w14:paraId="7AF75AA6" w14:textId="77777777" w:rsidR="00A63CD3" w:rsidRPr="00BE4AF3" w:rsidRDefault="00A63CD3" w:rsidP="00A63CD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Rumao, G. S. (2016). Assessing users’ perceptions of campus landscapes learning from the </w:t>
      </w:r>
      <w:r w:rsidRPr="00BE4AF3">
        <w:rPr>
          <w:rFonts w:ascii="Times New Roman" w:hAnsi="Times New Roman" w:cs="Times New Roman"/>
          <w:color w:val="000000" w:themeColor="text1"/>
          <w:sz w:val="24"/>
          <w:szCs w:val="24"/>
        </w:rPr>
        <w:tab/>
        <w:t>university of Texas at Arlington. Degree of Master of Landscape Arcitecture.</w:t>
      </w:r>
      <w:r w:rsidRPr="00BE4AF3">
        <w:rPr>
          <w:rFonts w:ascii="Times New Roman" w:hAnsi="Times New Roman" w:cs="Times New Roman"/>
          <w:color w:val="000000" w:themeColor="text1"/>
          <w:sz w:val="24"/>
          <w:szCs w:val="24"/>
        </w:rPr>
        <w:tab/>
        <w:t xml:space="preserve"> </w:t>
      </w:r>
      <w:r w:rsidRPr="00BE4AF3">
        <w:rPr>
          <w:rFonts w:ascii="Times New Roman" w:hAnsi="Times New Roman" w:cs="Times New Roman"/>
          <w:color w:val="000000" w:themeColor="text1"/>
          <w:sz w:val="24"/>
          <w:szCs w:val="24"/>
        </w:rPr>
        <w:tab/>
        <w:t>https. uta-ir. tdl. org.</w:t>
      </w:r>
    </w:p>
    <w:p w14:paraId="7E5D7EC3" w14:textId="77777777" w:rsidR="00A63CD3" w:rsidRPr="00275273" w:rsidRDefault="00A63CD3" w:rsidP="00A63CD3">
      <w:pPr>
        <w:spacing w:after="0" w:line="240" w:lineRule="auto"/>
        <w:jc w:val="both"/>
        <w:rPr>
          <w:rFonts w:ascii="Times New Roman" w:hAnsi="Times New Roman" w:cs="Times New Roman"/>
          <w:b/>
          <w:bCs/>
          <w:i/>
          <w:color w:val="000000" w:themeColor="text1"/>
          <w:sz w:val="24"/>
          <w:szCs w:val="24"/>
        </w:rPr>
      </w:pPr>
      <w:r w:rsidRPr="00275273">
        <w:rPr>
          <w:rStyle w:val="Strong"/>
          <w:rFonts w:ascii="Times New Roman" w:hAnsi="Times New Roman" w:cs="Times New Roman"/>
          <w:b w:val="0"/>
          <w:bCs w:val="0"/>
          <w:color w:val="000000" w:themeColor="text1"/>
          <w:sz w:val="24"/>
          <w:szCs w:val="24"/>
        </w:rPr>
        <w:t xml:space="preserve">Haiming, Y., Tao. Z., Hiroatsu, F., and Xuan, M. (2023). The effect of landscape </w:t>
      </w:r>
      <w:r w:rsidRPr="00275273">
        <w:rPr>
          <w:rStyle w:val="Strong"/>
          <w:rFonts w:ascii="Times New Roman" w:hAnsi="Times New Roman" w:cs="Times New Roman"/>
          <w:b w:val="0"/>
          <w:bCs w:val="0"/>
          <w:color w:val="000000" w:themeColor="text1"/>
          <w:sz w:val="24"/>
          <w:szCs w:val="24"/>
        </w:rPr>
        <w:tab/>
        <w:t xml:space="preserve">configuration on outdoor thermal environment: A case of urban Plaza in Xi'an, China, </w:t>
      </w:r>
      <w:r w:rsidRPr="00275273">
        <w:rPr>
          <w:rStyle w:val="Strong"/>
          <w:rFonts w:ascii="Times New Roman" w:hAnsi="Times New Roman" w:cs="Times New Roman"/>
          <w:b w:val="0"/>
          <w:bCs w:val="0"/>
          <w:color w:val="000000" w:themeColor="text1"/>
          <w:sz w:val="24"/>
          <w:szCs w:val="24"/>
        </w:rPr>
        <w:tab/>
        <w:t xml:space="preserve">Building and Environment, Volume 231,110027,ISSN 0360-1323, </w:t>
      </w:r>
      <w:r w:rsidRPr="00275273">
        <w:rPr>
          <w:rStyle w:val="Strong"/>
          <w:rFonts w:ascii="Times New Roman" w:hAnsi="Times New Roman" w:cs="Times New Roman"/>
          <w:b w:val="0"/>
          <w:bCs w:val="0"/>
          <w:color w:val="000000" w:themeColor="text1"/>
          <w:sz w:val="24"/>
          <w:szCs w:val="24"/>
        </w:rPr>
        <w:tab/>
        <w:t>https://doi.org/10.1016/j.buildenv.2023.110027</w:t>
      </w:r>
      <w:r w:rsidRPr="00275273">
        <w:rPr>
          <w:rStyle w:val="Strong"/>
          <w:rFonts w:ascii="Times New Roman" w:hAnsi="Times New Roman" w:cs="Times New Roman"/>
          <w:b w:val="0"/>
          <w:bCs w:val="0"/>
          <w:i/>
          <w:color w:val="000000" w:themeColor="text1"/>
          <w:sz w:val="24"/>
          <w:szCs w:val="24"/>
        </w:rPr>
        <w:t>.</w:t>
      </w:r>
    </w:p>
    <w:p w14:paraId="63D4E903" w14:textId="77777777" w:rsidR="00A63CD3" w:rsidRPr="00BE4AF3" w:rsidRDefault="00A63CD3" w:rsidP="00A63CD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Jibril, I.U. (2002). Report of ministerial committee for the appraisal of physical planning and</w:t>
      </w:r>
      <w:r w:rsidRPr="00BE4AF3">
        <w:rPr>
          <w:rFonts w:ascii="Times New Roman" w:hAnsi="Times New Roman" w:cs="Times New Roman"/>
          <w:color w:val="000000" w:themeColor="text1"/>
          <w:sz w:val="24"/>
          <w:szCs w:val="24"/>
        </w:rPr>
        <w:tab/>
        <w:t xml:space="preserve"> development issues in the federal capital territory, Abuja.</w:t>
      </w:r>
    </w:p>
    <w:p w14:paraId="79FC00C3" w14:textId="77777777" w:rsidR="00A63CD3" w:rsidRPr="00BE4AF3" w:rsidRDefault="00A63CD3" w:rsidP="00A63CD3">
      <w:pPr>
        <w:spacing w:after="0" w:line="240" w:lineRule="auto"/>
        <w:jc w:val="both"/>
        <w:rPr>
          <w:rFonts w:ascii="Times New Roman" w:eastAsia="Times New Roman" w:hAnsi="Times New Roman" w:cs="Times New Roman"/>
          <w:color w:val="000000" w:themeColor="text1"/>
          <w:sz w:val="24"/>
          <w:szCs w:val="24"/>
          <w:lang w:eastAsia="en-GB"/>
        </w:rPr>
      </w:pPr>
      <w:r w:rsidRPr="00BE4AF3">
        <w:rPr>
          <w:rFonts w:ascii="Times New Roman" w:eastAsia="Times New Roman" w:hAnsi="Times New Roman" w:cs="Times New Roman"/>
          <w:color w:val="000000" w:themeColor="text1"/>
          <w:sz w:val="24"/>
          <w:szCs w:val="24"/>
          <w:lang w:eastAsia="en-GB"/>
        </w:rPr>
        <w:t>Mohamed, N. Othman, N. and Ariffin, M. (2012). The Potential of Urban Forest Park for</w:t>
      </w:r>
      <w:r w:rsidRPr="00BE4AF3">
        <w:rPr>
          <w:rFonts w:ascii="Times New Roman" w:eastAsia="Times New Roman" w:hAnsi="Times New Roman" w:cs="Times New Roman"/>
          <w:color w:val="000000" w:themeColor="text1"/>
          <w:sz w:val="24"/>
          <w:szCs w:val="24"/>
          <w:lang w:eastAsia="en-GB"/>
        </w:rPr>
        <w:tab/>
      </w:r>
      <w:r w:rsidRPr="00BE4AF3">
        <w:rPr>
          <w:rFonts w:ascii="Times New Roman" w:eastAsia="Times New Roman" w:hAnsi="Times New Roman" w:cs="Times New Roman"/>
          <w:color w:val="000000" w:themeColor="text1"/>
          <w:sz w:val="24"/>
          <w:szCs w:val="24"/>
          <w:lang w:eastAsia="en-GB"/>
        </w:rPr>
        <w:tab/>
        <w:t xml:space="preserve"> Sustainable City.  Planning Malaysia,  10(3). </w:t>
      </w:r>
      <w:r w:rsidRPr="00BE4AF3">
        <w:rPr>
          <w:rFonts w:ascii="Times New Roman" w:eastAsia="Times New Roman" w:hAnsi="Times New Roman" w:cs="Times New Roman"/>
          <w:color w:val="000000" w:themeColor="text1"/>
          <w:sz w:val="24"/>
          <w:szCs w:val="24"/>
          <w:lang w:eastAsia="en-GB"/>
        </w:rPr>
        <w:tab/>
      </w:r>
      <w:hyperlink r:id="rId174" w:history="1">
        <w:r w:rsidRPr="00BE4AF3">
          <w:rPr>
            <w:rStyle w:val="Hyperlink"/>
            <w:rFonts w:ascii="Times New Roman" w:eastAsia="Times New Roman" w:hAnsi="Times New Roman" w:cs="Times New Roman"/>
            <w:color w:val="000000" w:themeColor="text1"/>
            <w:sz w:val="24"/>
            <w:szCs w:val="24"/>
            <w:lang w:eastAsia="en-GB"/>
          </w:rPr>
          <w:t>Https://Doi.Org/10.21837/Pm.V10i3.101</w:t>
        </w:r>
      </w:hyperlink>
      <w:r w:rsidRPr="00BE4AF3">
        <w:rPr>
          <w:rFonts w:ascii="Times New Roman" w:eastAsia="Times New Roman" w:hAnsi="Times New Roman" w:cs="Times New Roman"/>
          <w:color w:val="000000" w:themeColor="text1"/>
          <w:sz w:val="24"/>
          <w:szCs w:val="24"/>
          <w:lang w:eastAsia="en-GB"/>
        </w:rPr>
        <w:t>.</w:t>
      </w:r>
      <w:r w:rsidRPr="00BE4AF3">
        <w:rPr>
          <w:rFonts w:ascii="Times New Roman" w:eastAsia="Times New Roman" w:hAnsi="Times New Roman" w:cs="Times New Roman"/>
          <w:color w:val="000000" w:themeColor="text1"/>
          <w:sz w:val="24"/>
          <w:szCs w:val="24"/>
          <w:lang w:eastAsia="en-GB"/>
        </w:rPr>
        <w:tab/>
      </w:r>
    </w:p>
    <w:p w14:paraId="53B62F86" w14:textId="77777777" w:rsidR="00A63CD3" w:rsidRPr="00BE4AF3" w:rsidRDefault="00A63CD3" w:rsidP="00A63CD3">
      <w:pPr>
        <w:spacing w:after="0" w:line="240" w:lineRule="auto"/>
        <w:jc w:val="both"/>
        <w:rPr>
          <w:rFonts w:ascii="Times New Roman" w:hAnsi="Times New Roman" w:cs="Times New Roman"/>
          <w:i/>
          <w:color w:val="000000" w:themeColor="text1"/>
          <w:sz w:val="24"/>
          <w:szCs w:val="24"/>
        </w:rPr>
      </w:pPr>
      <w:r w:rsidRPr="00BE4AF3">
        <w:rPr>
          <w:rFonts w:ascii="Times New Roman" w:eastAsia="Times New Roman" w:hAnsi="Times New Roman" w:cs="Times New Roman"/>
          <w:color w:val="000000" w:themeColor="text1"/>
          <w:sz w:val="24"/>
          <w:szCs w:val="24"/>
          <w:lang w:eastAsia="en-GB"/>
        </w:rPr>
        <w:t xml:space="preserve">Noroozi, H. (2020). Definition of Tourism and Sustainable Tourism. </w:t>
      </w:r>
      <w:r w:rsidRPr="00BE4AF3">
        <w:rPr>
          <w:rFonts w:ascii="Times New Roman" w:eastAsia="Times New Roman" w:hAnsi="Times New Roman" w:cs="Times New Roman"/>
          <w:color w:val="000000" w:themeColor="text1"/>
          <w:sz w:val="24"/>
          <w:szCs w:val="24"/>
          <w:lang w:eastAsia="en-GB"/>
        </w:rPr>
        <w:tab/>
        <w:t>10.13140/RG.2.2.33562.47042.</w:t>
      </w:r>
      <w:r w:rsidRPr="00BE4AF3">
        <w:rPr>
          <w:rFonts w:ascii="Times New Roman" w:hAnsi="Times New Roman" w:cs="Times New Roman"/>
          <w:color w:val="000000" w:themeColor="text1"/>
          <w:sz w:val="24"/>
          <w:szCs w:val="24"/>
        </w:rPr>
        <w:t>http://www.unwto.org</w:t>
      </w:r>
    </w:p>
    <w:p w14:paraId="0F4A1D18" w14:textId="77777777" w:rsidR="00A63CD3" w:rsidRPr="00BE4AF3" w:rsidRDefault="00A63CD3" w:rsidP="00A63CD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Sadiq, M.,  Abba, H., Bulama, K., and Babagana, H. (2020).  Impact of Landscape on </w:t>
      </w:r>
      <w:r w:rsidRPr="00BE4AF3">
        <w:rPr>
          <w:rFonts w:ascii="Times New Roman" w:hAnsi="Times New Roman" w:cs="Times New Roman"/>
          <w:color w:val="000000" w:themeColor="text1"/>
          <w:sz w:val="24"/>
          <w:szCs w:val="24"/>
        </w:rPr>
        <w:tab/>
        <w:t xml:space="preserve">Tourism Development, A Case Study of Abuja Millennium Park Abuja, </w:t>
      </w:r>
      <w:r w:rsidRPr="00BE4AF3">
        <w:rPr>
          <w:rFonts w:ascii="Times New Roman" w:hAnsi="Times New Roman" w:cs="Times New Roman"/>
          <w:color w:val="000000" w:themeColor="text1"/>
          <w:sz w:val="24"/>
          <w:szCs w:val="24"/>
        </w:rPr>
        <w:tab/>
        <w:t xml:space="preserve">Nigeria  </w:t>
      </w:r>
      <w:r w:rsidRPr="00BE4AF3">
        <w:rPr>
          <w:rFonts w:ascii="Times New Roman" w:hAnsi="Times New Roman" w:cs="Times New Roman"/>
          <w:color w:val="000000" w:themeColor="text1"/>
          <w:sz w:val="24"/>
          <w:szCs w:val="24"/>
        </w:rPr>
        <w:tab/>
        <w:t xml:space="preserve">Volume 11, Issue 3, PP 59-72, ISSN: 2360-9194, Double Blind Peer Reviewed. </w:t>
      </w:r>
      <w:r w:rsidRPr="00BE4AF3">
        <w:rPr>
          <w:rFonts w:ascii="Times New Roman" w:hAnsi="Times New Roman" w:cs="Times New Roman"/>
          <w:color w:val="000000" w:themeColor="text1"/>
          <w:sz w:val="24"/>
          <w:szCs w:val="24"/>
        </w:rPr>
        <w:tab/>
      </w:r>
      <w:r w:rsidRPr="00BE4AF3">
        <w:rPr>
          <w:rFonts w:ascii="Times New Roman" w:hAnsi="Times New Roman" w:cs="Times New Roman"/>
          <w:i/>
          <w:color w:val="000000" w:themeColor="text1"/>
          <w:sz w:val="24"/>
          <w:szCs w:val="24"/>
        </w:rPr>
        <w:t xml:space="preserve">International Research Journal garcjournalssubmit@gmail.com Journal Series: </w:t>
      </w:r>
      <w:r w:rsidRPr="00BE4AF3">
        <w:rPr>
          <w:rFonts w:ascii="Times New Roman" w:hAnsi="Times New Roman" w:cs="Times New Roman"/>
          <w:i/>
          <w:color w:val="000000" w:themeColor="text1"/>
          <w:sz w:val="24"/>
          <w:szCs w:val="24"/>
        </w:rPr>
        <w:tab/>
        <w:t>Global Academic Research Consortium (garc)</w:t>
      </w:r>
    </w:p>
    <w:p w14:paraId="294AED66" w14:textId="77777777" w:rsidR="00A63CD3" w:rsidRPr="00BE4AF3" w:rsidRDefault="00A63CD3" w:rsidP="00A63CD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Shamsudin, A. H. (2013). </w:t>
      </w:r>
      <w:r w:rsidRPr="00BE4AF3">
        <w:rPr>
          <w:rFonts w:ascii="Times New Roman" w:hAnsi="Times New Roman" w:cs="Times New Roman"/>
          <w:iCs/>
          <w:color w:val="000000" w:themeColor="text1"/>
          <w:sz w:val="24"/>
          <w:szCs w:val="24"/>
        </w:rPr>
        <w:t xml:space="preserve">Landscape Management: Effective Landscape Management &amp; </w:t>
      </w:r>
      <w:r w:rsidRPr="00BE4AF3">
        <w:rPr>
          <w:rFonts w:ascii="Times New Roman" w:hAnsi="Times New Roman" w:cs="Times New Roman"/>
          <w:iCs/>
          <w:color w:val="000000" w:themeColor="text1"/>
          <w:sz w:val="24"/>
          <w:szCs w:val="24"/>
        </w:rPr>
        <w:tab/>
        <w:t>Maintenance in the Tropics</w:t>
      </w:r>
      <w:r w:rsidRPr="00BE4AF3">
        <w:rPr>
          <w:rFonts w:ascii="Times New Roman" w:hAnsi="Times New Roman" w:cs="Times New Roman"/>
          <w:color w:val="000000" w:themeColor="text1"/>
          <w:sz w:val="24"/>
          <w:szCs w:val="24"/>
        </w:rPr>
        <w:t>. Shah Alam: UiTM Press.</w:t>
      </w:r>
    </w:p>
    <w:p w14:paraId="388C1AC8" w14:textId="77777777" w:rsidR="00275273" w:rsidRDefault="00A63CD3" w:rsidP="00A63CD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Suriati, A., Zulkefle, A., Nur, .H. and Nadiyanti, .N. (2022). Assessment of Landscape </w:t>
      </w:r>
      <w:r w:rsidRPr="00BE4AF3">
        <w:rPr>
          <w:rFonts w:ascii="Times New Roman" w:hAnsi="Times New Roman" w:cs="Times New Roman"/>
          <w:color w:val="000000" w:themeColor="text1"/>
          <w:sz w:val="24"/>
          <w:szCs w:val="24"/>
        </w:rPr>
        <w:tab/>
        <w:t xml:space="preserve">Maintenance towards Cost Planning: Expert Validation on the Criteria of </w:t>
      </w:r>
      <w:r w:rsidRPr="00BE4AF3">
        <w:rPr>
          <w:rFonts w:ascii="Times New Roman" w:hAnsi="Times New Roman" w:cs="Times New Roman"/>
          <w:color w:val="000000" w:themeColor="text1"/>
          <w:sz w:val="24"/>
          <w:szCs w:val="24"/>
        </w:rPr>
        <w:tab/>
        <w:t xml:space="preserve">Sustainable </w:t>
      </w:r>
      <w:r w:rsidR="00275273">
        <w:rPr>
          <w:rFonts w:ascii="Times New Roman" w:hAnsi="Times New Roman" w:cs="Times New Roman"/>
          <w:color w:val="000000" w:themeColor="text1"/>
          <w:sz w:val="24"/>
          <w:szCs w:val="24"/>
        </w:rPr>
        <w:t xml:space="preserve"> </w:t>
      </w:r>
    </w:p>
    <w:p w14:paraId="4AE58D36" w14:textId="77777777" w:rsidR="00275273" w:rsidRDefault="00275273" w:rsidP="00A63CD3">
      <w:pPr>
        <w:spacing w:after="0" w:line="240" w:lineRule="auto"/>
        <w:jc w:val="both"/>
        <w:rPr>
          <w:rFonts w:ascii="Times New Roman" w:hAnsi="Times New Roman" w:cs="Times New Roman"/>
          <w:i/>
          <w:color w:val="000000" w:themeColor="text1"/>
          <w:sz w:val="24"/>
          <w:szCs w:val="24"/>
        </w:rPr>
      </w:pPr>
      <w:r>
        <w:rPr>
          <w:rFonts w:ascii="Times New Roman" w:hAnsi="Times New Roman" w:cs="Times New Roman"/>
          <w:color w:val="000000" w:themeColor="text1"/>
          <w:sz w:val="24"/>
          <w:szCs w:val="24"/>
        </w:rPr>
        <w:t xml:space="preserve">             </w:t>
      </w:r>
      <w:r w:rsidR="00A63CD3" w:rsidRPr="00BE4AF3">
        <w:rPr>
          <w:rFonts w:ascii="Times New Roman" w:hAnsi="Times New Roman" w:cs="Times New Roman"/>
          <w:color w:val="000000" w:themeColor="text1"/>
          <w:sz w:val="24"/>
          <w:szCs w:val="24"/>
        </w:rPr>
        <w:t xml:space="preserve">Landscape Maintenance for Public Park. Planning Malaysia: </w:t>
      </w:r>
      <w:r w:rsidR="00A63CD3" w:rsidRPr="00BE4AF3">
        <w:rPr>
          <w:rFonts w:ascii="Times New Roman" w:hAnsi="Times New Roman" w:cs="Times New Roman"/>
          <w:i/>
          <w:color w:val="000000" w:themeColor="text1"/>
          <w:sz w:val="24"/>
          <w:szCs w:val="24"/>
        </w:rPr>
        <w:t xml:space="preserve">Journal of </w:t>
      </w:r>
      <w:r w:rsidR="00A63CD3" w:rsidRPr="00BE4AF3">
        <w:rPr>
          <w:rFonts w:ascii="Times New Roman" w:hAnsi="Times New Roman" w:cs="Times New Roman"/>
          <w:i/>
          <w:color w:val="000000" w:themeColor="text1"/>
          <w:sz w:val="24"/>
          <w:szCs w:val="24"/>
        </w:rPr>
        <w:tab/>
        <w:t xml:space="preserve">the </w:t>
      </w:r>
      <w:r>
        <w:rPr>
          <w:rFonts w:ascii="Times New Roman" w:hAnsi="Times New Roman" w:cs="Times New Roman"/>
          <w:i/>
          <w:color w:val="000000" w:themeColor="text1"/>
          <w:sz w:val="24"/>
          <w:szCs w:val="24"/>
        </w:rPr>
        <w:t xml:space="preserve"> </w:t>
      </w:r>
    </w:p>
    <w:p w14:paraId="3A822710" w14:textId="29D86F2E" w:rsidR="00A63CD3" w:rsidRPr="00BE4AF3" w:rsidRDefault="00275273" w:rsidP="00A63CD3">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i/>
          <w:color w:val="000000" w:themeColor="text1"/>
          <w:sz w:val="24"/>
          <w:szCs w:val="24"/>
        </w:rPr>
        <w:t xml:space="preserve">             </w:t>
      </w:r>
      <w:r w:rsidR="00A63CD3" w:rsidRPr="00BE4AF3">
        <w:rPr>
          <w:rFonts w:ascii="Times New Roman" w:hAnsi="Times New Roman" w:cs="Times New Roman"/>
          <w:i/>
          <w:color w:val="000000" w:themeColor="text1"/>
          <w:sz w:val="24"/>
          <w:szCs w:val="24"/>
        </w:rPr>
        <w:t xml:space="preserve">Malaysian Institute of Planners Volume 20 Issue </w:t>
      </w:r>
      <w:r w:rsidR="00A63CD3" w:rsidRPr="00BE4AF3">
        <w:rPr>
          <w:rFonts w:ascii="Times New Roman" w:hAnsi="Times New Roman" w:cs="Times New Roman"/>
          <w:b/>
          <w:color w:val="000000" w:themeColor="text1"/>
          <w:sz w:val="24"/>
          <w:szCs w:val="24"/>
        </w:rPr>
        <w:t>3</w:t>
      </w:r>
      <w:r w:rsidR="00A63CD3" w:rsidRPr="00BE4AF3">
        <w:rPr>
          <w:rFonts w:ascii="Times New Roman" w:hAnsi="Times New Roman" w:cs="Times New Roman"/>
          <w:color w:val="000000" w:themeColor="text1"/>
          <w:sz w:val="24"/>
          <w:szCs w:val="24"/>
        </w:rPr>
        <w:t xml:space="preserve"> (2022), Page 87 – 98.</w:t>
      </w:r>
    </w:p>
    <w:p w14:paraId="2E2175D1" w14:textId="77777777" w:rsidR="00A63CD3" w:rsidRPr="00BE4AF3" w:rsidRDefault="00A63CD3" w:rsidP="00A63CD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Terkenli, T. (2014). Landscapes of Tourism. 10.1002/9781118474648.ch22.</w:t>
      </w:r>
    </w:p>
    <w:p w14:paraId="54B1A712" w14:textId="77777777" w:rsidR="00A63CD3" w:rsidRPr="00BE4AF3" w:rsidRDefault="00A63CD3" w:rsidP="00A63CD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Terkenli, T. S. (2011). From landscape to tourism and back: the emergence of a Greek </w:t>
      </w:r>
      <w:r w:rsidRPr="00BE4AF3">
        <w:rPr>
          <w:rFonts w:ascii="Times New Roman" w:hAnsi="Times New Roman" w:cs="Times New Roman"/>
          <w:color w:val="000000" w:themeColor="text1"/>
          <w:sz w:val="24"/>
          <w:szCs w:val="24"/>
        </w:rPr>
        <w:tab/>
      </w:r>
      <w:r w:rsidRPr="00BE4AF3">
        <w:rPr>
          <w:rFonts w:ascii="Times New Roman" w:hAnsi="Times New Roman" w:cs="Times New Roman"/>
          <w:color w:val="000000" w:themeColor="text1"/>
          <w:sz w:val="24"/>
          <w:szCs w:val="24"/>
        </w:rPr>
        <w:tab/>
        <w:t>landscape conscience. Landscape, Identities and Development. Aldershot</w:t>
      </w:r>
    </w:p>
    <w:p w14:paraId="3E6336B4" w14:textId="77777777" w:rsidR="00A63CD3" w:rsidRPr="00BE4AF3" w:rsidRDefault="00A63CD3" w:rsidP="00A63CD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 Terkenli, T. S., Skowronek, E., Tucki, A., Kounellis, N. (2019). Toward understanding </w:t>
      </w:r>
      <w:r w:rsidRPr="00BE4AF3">
        <w:rPr>
          <w:rFonts w:ascii="Times New Roman" w:hAnsi="Times New Roman" w:cs="Times New Roman"/>
          <w:color w:val="000000" w:themeColor="text1"/>
          <w:sz w:val="24"/>
          <w:szCs w:val="24"/>
        </w:rPr>
        <w:tab/>
        <w:t xml:space="preserve">tourist landscape. A comparative study of locals` and visitors` perception in selected </w:t>
      </w:r>
      <w:r w:rsidRPr="00BE4AF3">
        <w:rPr>
          <w:rFonts w:ascii="Times New Roman" w:hAnsi="Times New Roman" w:cs="Times New Roman"/>
          <w:color w:val="000000" w:themeColor="text1"/>
          <w:sz w:val="24"/>
          <w:szCs w:val="24"/>
        </w:rPr>
        <w:tab/>
        <w:t xml:space="preserve">destinations in Poland and Greece. Quaestiones Geographicae 38(3), Bogucki </w:t>
      </w:r>
      <w:r w:rsidRPr="00BE4AF3">
        <w:rPr>
          <w:rFonts w:ascii="Times New Roman" w:hAnsi="Times New Roman" w:cs="Times New Roman"/>
          <w:color w:val="000000" w:themeColor="text1"/>
          <w:sz w:val="24"/>
          <w:szCs w:val="24"/>
        </w:rPr>
        <w:tab/>
        <w:t>Wydawnictwo Naukowe, Poznań, pp. 81–93. 7 figs, 7 tables.</w:t>
      </w:r>
    </w:p>
    <w:p w14:paraId="7F367712" w14:textId="77777777" w:rsidR="00A63CD3" w:rsidRPr="00BE4AF3" w:rsidRDefault="00A63CD3" w:rsidP="00A63CD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Uji, T.A. (2000). Valuation of Urban parks Landscape and Planning 15, pp139-152 Vietnam; </w:t>
      </w:r>
      <w:r w:rsidRPr="00BE4AF3">
        <w:rPr>
          <w:rFonts w:ascii="Times New Roman" w:hAnsi="Times New Roman" w:cs="Times New Roman"/>
          <w:color w:val="000000" w:themeColor="text1"/>
          <w:sz w:val="24"/>
          <w:szCs w:val="24"/>
        </w:rPr>
        <w:tab/>
        <w:t xml:space="preserve">An Examination of Residents Perceptions. Asian Social Sciences. 8(8), pp28-29. Jibril </w:t>
      </w:r>
      <w:r w:rsidRPr="00BE4AF3">
        <w:rPr>
          <w:rFonts w:ascii="Times New Roman" w:hAnsi="Times New Roman" w:cs="Times New Roman"/>
          <w:color w:val="000000" w:themeColor="text1"/>
          <w:sz w:val="24"/>
          <w:szCs w:val="24"/>
        </w:rPr>
        <w:tab/>
        <w:t xml:space="preserve">I.U (eds) (2002), report of ministerial committee for the appraisal of physical planning </w:t>
      </w:r>
      <w:r w:rsidRPr="00BE4AF3">
        <w:rPr>
          <w:rFonts w:ascii="Times New Roman" w:hAnsi="Times New Roman" w:cs="Times New Roman"/>
          <w:color w:val="000000" w:themeColor="text1"/>
          <w:sz w:val="24"/>
          <w:szCs w:val="24"/>
        </w:rPr>
        <w:tab/>
        <w:t xml:space="preserve">and development issues in the federal capital territory, Abuja. </w:t>
      </w:r>
    </w:p>
    <w:p w14:paraId="6782EC04" w14:textId="77777777" w:rsidR="00A63CD3" w:rsidRPr="00BE4AF3" w:rsidRDefault="00A63CD3" w:rsidP="00A63CD3">
      <w:pPr>
        <w:spacing w:after="0" w:line="240" w:lineRule="auto"/>
        <w:jc w:val="both"/>
        <w:rPr>
          <w:rFonts w:ascii="Times New Roman" w:hAnsi="Times New Roman" w:cs="Times New Roman"/>
          <w:color w:val="000000" w:themeColor="text1"/>
          <w:sz w:val="24"/>
          <w:szCs w:val="24"/>
        </w:rPr>
      </w:pPr>
      <w:r w:rsidRPr="00BE4AF3">
        <w:rPr>
          <w:rFonts w:ascii="Times New Roman" w:hAnsi="Times New Roman" w:cs="Times New Roman"/>
          <w:color w:val="000000" w:themeColor="text1"/>
          <w:sz w:val="24"/>
          <w:szCs w:val="24"/>
        </w:rPr>
        <w:t xml:space="preserve">Yazici, K. and Gülgün, B. (2023). The Status and Importance of Landscape Maintenance in </w:t>
      </w:r>
      <w:r w:rsidRPr="00BE4AF3">
        <w:rPr>
          <w:rFonts w:ascii="Times New Roman" w:hAnsi="Times New Roman" w:cs="Times New Roman"/>
          <w:color w:val="000000" w:themeColor="text1"/>
          <w:sz w:val="24"/>
          <w:szCs w:val="24"/>
        </w:rPr>
        <w:tab/>
        <w:t>the Sector within the Scope of Landscape Architecture Studies.</w:t>
      </w:r>
    </w:p>
    <w:p w14:paraId="24A546AC" w14:textId="77777777" w:rsidR="00A63CD3" w:rsidRPr="00BE4AF3" w:rsidRDefault="00A63CD3" w:rsidP="00A63CD3">
      <w:pPr>
        <w:spacing w:after="0" w:line="240" w:lineRule="auto"/>
        <w:jc w:val="both"/>
        <w:rPr>
          <w:rFonts w:ascii="Times New Roman" w:hAnsi="Times New Roman" w:cs="Times New Roman"/>
          <w:i/>
          <w:color w:val="000000" w:themeColor="text1"/>
          <w:sz w:val="24"/>
          <w:szCs w:val="24"/>
        </w:rPr>
      </w:pPr>
      <w:r w:rsidRPr="00BE4AF3">
        <w:rPr>
          <w:rFonts w:ascii="Times New Roman" w:hAnsi="Times New Roman" w:cs="Times New Roman"/>
          <w:color w:val="000000" w:themeColor="text1"/>
          <w:sz w:val="24"/>
          <w:szCs w:val="24"/>
        </w:rPr>
        <w:lastRenderedPageBreak/>
        <w:t xml:space="preserve">Zulkefle, A., Suriati, A., and Ibrahim, A .S. (2022). Criteria for Sustainable Landscape </w:t>
      </w:r>
      <w:r w:rsidRPr="00BE4AF3">
        <w:rPr>
          <w:rFonts w:ascii="Times New Roman" w:hAnsi="Times New Roman" w:cs="Times New Roman"/>
          <w:color w:val="000000" w:themeColor="text1"/>
          <w:sz w:val="24"/>
          <w:szCs w:val="24"/>
        </w:rPr>
        <w:tab/>
        <w:t xml:space="preserve">Maintenance: Addressing Cost Implication. </w:t>
      </w:r>
      <w:r w:rsidRPr="00BE4AF3">
        <w:rPr>
          <w:rFonts w:ascii="Times New Roman" w:hAnsi="Times New Roman" w:cs="Times New Roman"/>
          <w:i/>
          <w:color w:val="000000" w:themeColor="text1"/>
          <w:sz w:val="24"/>
          <w:szCs w:val="24"/>
        </w:rPr>
        <w:t>10th Asian Conference on Environment-</w:t>
      </w:r>
      <w:r w:rsidRPr="00BE4AF3">
        <w:rPr>
          <w:rFonts w:ascii="Times New Roman" w:hAnsi="Times New Roman" w:cs="Times New Roman"/>
          <w:i/>
          <w:color w:val="000000" w:themeColor="text1"/>
          <w:sz w:val="24"/>
          <w:szCs w:val="24"/>
        </w:rPr>
        <w:tab/>
        <w:t xml:space="preserve">Behaviour Studies Holiday Villa Beach Resort, Cherating, Malaysia, 08-09 Jun 2022 </w:t>
      </w:r>
      <w:r w:rsidRPr="00BE4AF3">
        <w:rPr>
          <w:rFonts w:ascii="Times New Roman" w:hAnsi="Times New Roman" w:cs="Times New Roman"/>
          <w:i/>
          <w:color w:val="000000" w:themeColor="text1"/>
          <w:sz w:val="24"/>
          <w:szCs w:val="24"/>
        </w:rPr>
        <w:tab/>
        <w:t>eISSN: 2398-4287</w:t>
      </w:r>
    </w:p>
    <w:p w14:paraId="7394F991" w14:textId="77777777" w:rsidR="009B16DE" w:rsidRPr="00BE4AF3" w:rsidRDefault="009B16DE" w:rsidP="009B16DE">
      <w:pPr>
        <w:spacing w:after="0" w:line="240" w:lineRule="auto"/>
        <w:jc w:val="both"/>
        <w:rPr>
          <w:rStyle w:val="Strong"/>
          <w:rFonts w:ascii="Times New Roman" w:hAnsi="Times New Roman" w:cs="Times New Roman"/>
          <w:b w:val="0"/>
          <w:sz w:val="24"/>
          <w:szCs w:val="24"/>
        </w:rPr>
      </w:pPr>
    </w:p>
    <w:p w14:paraId="301A79EC" w14:textId="77777777" w:rsidR="00FD4D91" w:rsidRDefault="00FD4D91" w:rsidP="00B6642C">
      <w:pPr>
        <w:spacing w:after="0" w:line="240" w:lineRule="auto"/>
        <w:jc w:val="center"/>
        <w:rPr>
          <w:rFonts w:ascii="Times New Roman" w:hAnsi="Times New Roman" w:cs="Times New Roman"/>
          <w:b/>
          <w:sz w:val="24"/>
          <w:szCs w:val="24"/>
        </w:rPr>
      </w:pPr>
    </w:p>
    <w:p w14:paraId="3BA3ECED" w14:textId="77777777" w:rsidR="00FD4D91" w:rsidRDefault="00FD4D91" w:rsidP="00B6642C">
      <w:pPr>
        <w:spacing w:after="0" w:line="240" w:lineRule="auto"/>
        <w:jc w:val="center"/>
        <w:rPr>
          <w:rFonts w:ascii="Times New Roman" w:hAnsi="Times New Roman" w:cs="Times New Roman"/>
          <w:b/>
          <w:sz w:val="24"/>
          <w:szCs w:val="24"/>
        </w:rPr>
      </w:pPr>
    </w:p>
    <w:p w14:paraId="17C5C640" w14:textId="77777777" w:rsidR="00FD4D91" w:rsidRDefault="00FD4D91" w:rsidP="00B6642C">
      <w:pPr>
        <w:spacing w:after="0" w:line="240" w:lineRule="auto"/>
        <w:jc w:val="center"/>
        <w:rPr>
          <w:rFonts w:ascii="Times New Roman" w:hAnsi="Times New Roman" w:cs="Times New Roman"/>
          <w:b/>
          <w:sz w:val="24"/>
          <w:szCs w:val="24"/>
        </w:rPr>
      </w:pPr>
    </w:p>
    <w:p w14:paraId="2C3AA0A3" w14:textId="77777777" w:rsidR="00FD4D91" w:rsidRDefault="00FD4D91" w:rsidP="00B6642C">
      <w:pPr>
        <w:spacing w:after="0" w:line="240" w:lineRule="auto"/>
        <w:jc w:val="center"/>
        <w:rPr>
          <w:rFonts w:ascii="Times New Roman" w:hAnsi="Times New Roman" w:cs="Times New Roman"/>
          <w:b/>
          <w:sz w:val="24"/>
          <w:szCs w:val="24"/>
        </w:rPr>
      </w:pPr>
    </w:p>
    <w:p w14:paraId="5E0706E6" w14:textId="77777777" w:rsidR="00FD4D91" w:rsidRDefault="00FD4D91" w:rsidP="00B6642C">
      <w:pPr>
        <w:spacing w:after="0" w:line="240" w:lineRule="auto"/>
        <w:jc w:val="center"/>
        <w:rPr>
          <w:rFonts w:ascii="Times New Roman" w:hAnsi="Times New Roman" w:cs="Times New Roman"/>
          <w:b/>
          <w:sz w:val="24"/>
          <w:szCs w:val="24"/>
        </w:rPr>
      </w:pPr>
    </w:p>
    <w:p w14:paraId="02EA21D4" w14:textId="77777777" w:rsidR="00FD4D91" w:rsidRDefault="00FD4D91" w:rsidP="00B6642C">
      <w:pPr>
        <w:spacing w:after="0" w:line="240" w:lineRule="auto"/>
        <w:jc w:val="center"/>
        <w:rPr>
          <w:rFonts w:ascii="Times New Roman" w:hAnsi="Times New Roman" w:cs="Times New Roman"/>
          <w:b/>
          <w:sz w:val="24"/>
          <w:szCs w:val="24"/>
        </w:rPr>
      </w:pPr>
    </w:p>
    <w:p w14:paraId="33DA54FF" w14:textId="77777777" w:rsidR="00FD4D91" w:rsidRDefault="00FD4D91" w:rsidP="00B6642C">
      <w:pPr>
        <w:spacing w:after="0" w:line="240" w:lineRule="auto"/>
        <w:jc w:val="center"/>
        <w:rPr>
          <w:rFonts w:ascii="Times New Roman" w:hAnsi="Times New Roman" w:cs="Times New Roman"/>
          <w:b/>
          <w:sz w:val="24"/>
          <w:szCs w:val="24"/>
        </w:rPr>
      </w:pPr>
    </w:p>
    <w:p w14:paraId="24C0AF61" w14:textId="77777777" w:rsidR="00FD4D91" w:rsidRDefault="00FD4D91" w:rsidP="00B6642C">
      <w:pPr>
        <w:spacing w:after="0" w:line="240" w:lineRule="auto"/>
        <w:jc w:val="center"/>
        <w:rPr>
          <w:rFonts w:ascii="Times New Roman" w:hAnsi="Times New Roman" w:cs="Times New Roman"/>
          <w:b/>
          <w:sz w:val="24"/>
          <w:szCs w:val="24"/>
        </w:rPr>
      </w:pPr>
    </w:p>
    <w:p w14:paraId="3153D8E6" w14:textId="77777777" w:rsidR="00FD4D91" w:rsidRDefault="00FD4D91" w:rsidP="00B6642C">
      <w:pPr>
        <w:spacing w:after="0" w:line="240" w:lineRule="auto"/>
        <w:jc w:val="center"/>
        <w:rPr>
          <w:rFonts w:ascii="Times New Roman" w:hAnsi="Times New Roman" w:cs="Times New Roman"/>
          <w:b/>
          <w:sz w:val="24"/>
          <w:szCs w:val="24"/>
        </w:rPr>
      </w:pPr>
    </w:p>
    <w:p w14:paraId="465D8A61" w14:textId="77777777" w:rsidR="00FD4D91" w:rsidRDefault="00FD4D91" w:rsidP="00B6642C">
      <w:pPr>
        <w:spacing w:after="0" w:line="240" w:lineRule="auto"/>
        <w:jc w:val="center"/>
        <w:rPr>
          <w:rFonts w:ascii="Times New Roman" w:hAnsi="Times New Roman" w:cs="Times New Roman"/>
          <w:b/>
          <w:sz w:val="24"/>
          <w:szCs w:val="24"/>
        </w:rPr>
      </w:pPr>
    </w:p>
    <w:p w14:paraId="47533598" w14:textId="77777777" w:rsidR="00FD4D91" w:rsidRDefault="00FD4D91" w:rsidP="00B6642C">
      <w:pPr>
        <w:spacing w:after="0" w:line="240" w:lineRule="auto"/>
        <w:jc w:val="center"/>
        <w:rPr>
          <w:rFonts w:ascii="Times New Roman" w:hAnsi="Times New Roman" w:cs="Times New Roman"/>
          <w:b/>
          <w:sz w:val="24"/>
          <w:szCs w:val="24"/>
        </w:rPr>
      </w:pPr>
    </w:p>
    <w:p w14:paraId="3C2DD62C" w14:textId="77777777" w:rsidR="00FD4D91" w:rsidRDefault="00FD4D91" w:rsidP="00B6642C">
      <w:pPr>
        <w:spacing w:after="0" w:line="240" w:lineRule="auto"/>
        <w:jc w:val="center"/>
        <w:rPr>
          <w:rFonts w:ascii="Times New Roman" w:hAnsi="Times New Roman" w:cs="Times New Roman"/>
          <w:b/>
          <w:sz w:val="24"/>
          <w:szCs w:val="24"/>
        </w:rPr>
      </w:pPr>
    </w:p>
    <w:p w14:paraId="129C1EBF" w14:textId="77777777" w:rsidR="00FD4D91" w:rsidRDefault="00FD4D91" w:rsidP="00B6642C">
      <w:pPr>
        <w:spacing w:after="0" w:line="240" w:lineRule="auto"/>
        <w:jc w:val="center"/>
        <w:rPr>
          <w:rFonts w:ascii="Times New Roman" w:hAnsi="Times New Roman" w:cs="Times New Roman"/>
          <w:b/>
          <w:sz w:val="24"/>
          <w:szCs w:val="24"/>
        </w:rPr>
      </w:pPr>
    </w:p>
    <w:p w14:paraId="5AB797BC" w14:textId="77777777" w:rsidR="00FD4D91" w:rsidRDefault="00FD4D91" w:rsidP="00B6642C">
      <w:pPr>
        <w:spacing w:after="0" w:line="240" w:lineRule="auto"/>
        <w:jc w:val="center"/>
        <w:rPr>
          <w:rFonts w:ascii="Times New Roman" w:hAnsi="Times New Roman" w:cs="Times New Roman"/>
          <w:b/>
          <w:sz w:val="24"/>
          <w:szCs w:val="24"/>
        </w:rPr>
      </w:pPr>
    </w:p>
    <w:p w14:paraId="7E07C72D" w14:textId="77777777" w:rsidR="00FD4D91" w:rsidRDefault="00FD4D91" w:rsidP="00B6642C">
      <w:pPr>
        <w:spacing w:after="0" w:line="240" w:lineRule="auto"/>
        <w:jc w:val="center"/>
        <w:rPr>
          <w:rFonts w:ascii="Times New Roman" w:hAnsi="Times New Roman" w:cs="Times New Roman"/>
          <w:b/>
          <w:sz w:val="24"/>
          <w:szCs w:val="24"/>
        </w:rPr>
      </w:pPr>
    </w:p>
    <w:p w14:paraId="09910318" w14:textId="77777777" w:rsidR="00FD4D91" w:rsidRDefault="00FD4D91" w:rsidP="00B6642C">
      <w:pPr>
        <w:spacing w:after="0" w:line="240" w:lineRule="auto"/>
        <w:jc w:val="center"/>
        <w:rPr>
          <w:rFonts w:ascii="Times New Roman" w:hAnsi="Times New Roman" w:cs="Times New Roman"/>
          <w:b/>
          <w:sz w:val="24"/>
          <w:szCs w:val="24"/>
        </w:rPr>
      </w:pPr>
    </w:p>
    <w:p w14:paraId="2CB30BCF" w14:textId="77777777" w:rsidR="00FD4D91" w:rsidRDefault="00FD4D91" w:rsidP="00B6642C">
      <w:pPr>
        <w:spacing w:after="0" w:line="240" w:lineRule="auto"/>
        <w:jc w:val="center"/>
        <w:rPr>
          <w:rFonts w:ascii="Times New Roman" w:hAnsi="Times New Roman" w:cs="Times New Roman"/>
          <w:b/>
          <w:sz w:val="24"/>
          <w:szCs w:val="24"/>
        </w:rPr>
      </w:pPr>
    </w:p>
    <w:p w14:paraId="7721B5F4" w14:textId="77777777" w:rsidR="00FD4D91" w:rsidRDefault="00FD4D91" w:rsidP="00B6642C">
      <w:pPr>
        <w:spacing w:after="0" w:line="240" w:lineRule="auto"/>
        <w:jc w:val="center"/>
        <w:rPr>
          <w:rFonts w:ascii="Times New Roman" w:hAnsi="Times New Roman" w:cs="Times New Roman"/>
          <w:b/>
          <w:sz w:val="24"/>
          <w:szCs w:val="24"/>
        </w:rPr>
      </w:pPr>
    </w:p>
    <w:p w14:paraId="4B7C01AF" w14:textId="77777777" w:rsidR="00FD4D91" w:rsidRDefault="00FD4D91" w:rsidP="00B6642C">
      <w:pPr>
        <w:spacing w:after="0" w:line="240" w:lineRule="auto"/>
        <w:jc w:val="center"/>
        <w:rPr>
          <w:rFonts w:ascii="Times New Roman" w:hAnsi="Times New Roman" w:cs="Times New Roman"/>
          <w:b/>
          <w:sz w:val="24"/>
          <w:szCs w:val="24"/>
        </w:rPr>
      </w:pPr>
    </w:p>
    <w:p w14:paraId="57E3A587" w14:textId="77777777" w:rsidR="00FD4D91" w:rsidRDefault="00FD4D91" w:rsidP="00B6642C">
      <w:pPr>
        <w:spacing w:after="0" w:line="240" w:lineRule="auto"/>
        <w:jc w:val="center"/>
        <w:rPr>
          <w:rFonts w:ascii="Times New Roman" w:hAnsi="Times New Roman" w:cs="Times New Roman"/>
          <w:b/>
          <w:sz w:val="24"/>
          <w:szCs w:val="24"/>
        </w:rPr>
      </w:pPr>
    </w:p>
    <w:p w14:paraId="0FC65D9A" w14:textId="77777777" w:rsidR="00FD4D91" w:rsidRDefault="00FD4D91" w:rsidP="00B6642C">
      <w:pPr>
        <w:spacing w:after="0" w:line="240" w:lineRule="auto"/>
        <w:jc w:val="center"/>
        <w:rPr>
          <w:rFonts w:ascii="Times New Roman" w:hAnsi="Times New Roman" w:cs="Times New Roman"/>
          <w:b/>
          <w:sz w:val="24"/>
          <w:szCs w:val="24"/>
        </w:rPr>
      </w:pPr>
    </w:p>
    <w:p w14:paraId="7DBB202A" w14:textId="77777777" w:rsidR="00FD4D91" w:rsidRDefault="00FD4D91" w:rsidP="00B6642C">
      <w:pPr>
        <w:spacing w:after="0" w:line="240" w:lineRule="auto"/>
        <w:jc w:val="center"/>
        <w:rPr>
          <w:rFonts w:ascii="Times New Roman" w:hAnsi="Times New Roman" w:cs="Times New Roman"/>
          <w:b/>
          <w:sz w:val="24"/>
          <w:szCs w:val="24"/>
        </w:rPr>
      </w:pPr>
    </w:p>
    <w:p w14:paraId="0AE075DD" w14:textId="77777777" w:rsidR="00FD4D91" w:rsidRDefault="00FD4D91" w:rsidP="00B6642C">
      <w:pPr>
        <w:spacing w:after="0" w:line="240" w:lineRule="auto"/>
        <w:jc w:val="center"/>
        <w:rPr>
          <w:rFonts w:ascii="Times New Roman" w:hAnsi="Times New Roman" w:cs="Times New Roman"/>
          <w:b/>
          <w:sz w:val="24"/>
          <w:szCs w:val="24"/>
        </w:rPr>
      </w:pPr>
    </w:p>
    <w:p w14:paraId="51698BEB" w14:textId="77777777" w:rsidR="00FD4D91" w:rsidRDefault="00FD4D91" w:rsidP="00B6642C">
      <w:pPr>
        <w:spacing w:after="0" w:line="240" w:lineRule="auto"/>
        <w:jc w:val="center"/>
        <w:rPr>
          <w:rFonts w:ascii="Times New Roman" w:hAnsi="Times New Roman" w:cs="Times New Roman"/>
          <w:b/>
          <w:sz w:val="24"/>
          <w:szCs w:val="24"/>
        </w:rPr>
      </w:pPr>
    </w:p>
    <w:p w14:paraId="2D097CB6" w14:textId="77777777" w:rsidR="00FD4D91" w:rsidRDefault="00FD4D91" w:rsidP="00B6642C">
      <w:pPr>
        <w:spacing w:after="0" w:line="240" w:lineRule="auto"/>
        <w:jc w:val="center"/>
        <w:rPr>
          <w:rFonts w:ascii="Times New Roman" w:hAnsi="Times New Roman" w:cs="Times New Roman"/>
          <w:b/>
          <w:sz w:val="24"/>
          <w:szCs w:val="24"/>
        </w:rPr>
      </w:pPr>
    </w:p>
    <w:p w14:paraId="4A0A7977" w14:textId="77777777" w:rsidR="00FD4D91" w:rsidRDefault="00FD4D91" w:rsidP="00B6642C">
      <w:pPr>
        <w:spacing w:after="0" w:line="240" w:lineRule="auto"/>
        <w:jc w:val="center"/>
        <w:rPr>
          <w:rFonts w:ascii="Times New Roman" w:hAnsi="Times New Roman" w:cs="Times New Roman"/>
          <w:b/>
          <w:sz w:val="24"/>
          <w:szCs w:val="24"/>
        </w:rPr>
      </w:pPr>
    </w:p>
    <w:p w14:paraId="29B9E152" w14:textId="77777777" w:rsidR="00FD4D91" w:rsidRDefault="00FD4D91" w:rsidP="00B6642C">
      <w:pPr>
        <w:spacing w:after="0" w:line="240" w:lineRule="auto"/>
        <w:jc w:val="center"/>
        <w:rPr>
          <w:rFonts w:ascii="Times New Roman" w:hAnsi="Times New Roman" w:cs="Times New Roman"/>
          <w:b/>
          <w:sz w:val="24"/>
          <w:szCs w:val="24"/>
        </w:rPr>
      </w:pPr>
    </w:p>
    <w:p w14:paraId="0B61F3D8" w14:textId="77777777" w:rsidR="00FD4D91" w:rsidRDefault="00FD4D91" w:rsidP="00B6642C">
      <w:pPr>
        <w:spacing w:after="0" w:line="240" w:lineRule="auto"/>
        <w:jc w:val="center"/>
        <w:rPr>
          <w:rFonts w:ascii="Times New Roman" w:hAnsi="Times New Roman" w:cs="Times New Roman"/>
          <w:b/>
          <w:sz w:val="24"/>
          <w:szCs w:val="24"/>
        </w:rPr>
      </w:pPr>
    </w:p>
    <w:p w14:paraId="3A9B541C" w14:textId="77777777" w:rsidR="00FD4D91" w:rsidRDefault="00FD4D91" w:rsidP="00B6642C">
      <w:pPr>
        <w:spacing w:after="0" w:line="240" w:lineRule="auto"/>
        <w:jc w:val="center"/>
        <w:rPr>
          <w:rFonts w:ascii="Times New Roman" w:hAnsi="Times New Roman" w:cs="Times New Roman"/>
          <w:b/>
          <w:sz w:val="24"/>
          <w:szCs w:val="24"/>
        </w:rPr>
      </w:pPr>
    </w:p>
    <w:p w14:paraId="53FFC045" w14:textId="77777777" w:rsidR="00FD4D91" w:rsidRDefault="00FD4D91" w:rsidP="00B6642C">
      <w:pPr>
        <w:spacing w:after="0" w:line="240" w:lineRule="auto"/>
        <w:jc w:val="center"/>
        <w:rPr>
          <w:rFonts w:ascii="Times New Roman" w:hAnsi="Times New Roman" w:cs="Times New Roman"/>
          <w:b/>
          <w:sz w:val="24"/>
          <w:szCs w:val="24"/>
        </w:rPr>
      </w:pPr>
    </w:p>
    <w:p w14:paraId="6B74617B" w14:textId="77777777" w:rsidR="00FD4D91" w:rsidRDefault="00FD4D91" w:rsidP="00B6642C">
      <w:pPr>
        <w:spacing w:after="0" w:line="240" w:lineRule="auto"/>
        <w:jc w:val="center"/>
        <w:rPr>
          <w:rFonts w:ascii="Times New Roman" w:hAnsi="Times New Roman" w:cs="Times New Roman"/>
          <w:b/>
          <w:sz w:val="24"/>
          <w:szCs w:val="24"/>
        </w:rPr>
      </w:pPr>
    </w:p>
    <w:p w14:paraId="472A8963" w14:textId="77777777" w:rsidR="00FD4D91" w:rsidRDefault="00FD4D91" w:rsidP="00B6642C">
      <w:pPr>
        <w:spacing w:after="0" w:line="240" w:lineRule="auto"/>
        <w:jc w:val="center"/>
        <w:rPr>
          <w:rFonts w:ascii="Times New Roman" w:hAnsi="Times New Roman" w:cs="Times New Roman"/>
          <w:b/>
          <w:sz w:val="24"/>
          <w:szCs w:val="24"/>
        </w:rPr>
      </w:pPr>
    </w:p>
    <w:p w14:paraId="0E57592B" w14:textId="77777777" w:rsidR="00FD4D91" w:rsidRDefault="00FD4D91" w:rsidP="00B6642C">
      <w:pPr>
        <w:spacing w:after="0" w:line="240" w:lineRule="auto"/>
        <w:jc w:val="center"/>
        <w:rPr>
          <w:rFonts w:ascii="Times New Roman" w:hAnsi="Times New Roman" w:cs="Times New Roman"/>
          <w:b/>
          <w:sz w:val="24"/>
          <w:szCs w:val="24"/>
        </w:rPr>
      </w:pPr>
    </w:p>
    <w:p w14:paraId="6DF82C52" w14:textId="77777777" w:rsidR="00FD4D91" w:rsidRDefault="00FD4D91" w:rsidP="00B6642C">
      <w:pPr>
        <w:spacing w:after="0" w:line="240" w:lineRule="auto"/>
        <w:jc w:val="center"/>
        <w:rPr>
          <w:rFonts w:ascii="Times New Roman" w:hAnsi="Times New Roman" w:cs="Times New Roman"/>
          <w:b/>
          <w:sz w:val="24"/>
          <w:szCs w:val="24"/>
        </w:rPr>
      </w:pPr>
    </w:p>
    <w:p w14:paraId="1832F729" w14:textId="77777777" w:rsidR="00FD4D91" w:rsidRDefault="00FD4D91" w:rsidP="00B6642C">
      <w:pPr>
        <w:spacing w:after="0" w:line="240" w:lineRule="auto"/>
        <w:jc w:val="center"/>
        <w:rPr>
          <w:rFonts w:ascii="Times New Roman" w:hAnsi="Times New Roman" w:cs="Times New Roman"/>
          <w:b/>
          <w:sz w:val="24"/>
          <w:szCs w:val="24"/>
        </w:rPr>
      </w:pPr>
    </w:p>
    <w:p w14:paraId="29E06CF7" w14:textId="77777777" w:rsidR="00FD4D91" w:rsidRDefault="00FD4D91" w:rsidP="00B6642C">
      <w:pPr>
        <w:spacing w:after="0" w:line="240" w:lineRule="auto"/>
        <w:jc w:val="center"/>
        <w:rPr>
          <w:rFonts w:ascii="Times New Roman" w:hAnsi="Times New Roman" w:cs="Times New Roman"/>
          <w:b/>
          <w:sz w:val="24"/>
          <w:szCs w:val="24"/>
        </w:rPr>
      </w:pPr>
    </w:p>
    <w:p w14:paraId="0597A364" w14:textId="77777777" w:rsidR="00FD4D91" w:rsidRDefault="00FD4D91" w:rsidP="00B6642C">
      <w:pPr>
        <w:spacing w:after="0" w:line="240" w:lineRule="auto"/>
        <w:jc w:val="center"/>
        <w:rPr>
          <w:rFonts w:ascii="Times New Roman" w:hAnsi="Times New Roman" w:cs="Times New Roman"/>
          <w:b/>
          <w:sz w:val="24"/>
          <w:szCs w:val="24"/>
        </w:rPr>
      </w:pPr>
    </w:p>
    <w:p w14:paraId="0477C010" w14:textId="77777777" w:rsidR="00FD4D91" w:rsidRDefault="00FD4D91" w:rsidP="00B6642C">
      <w:pPr>
        <w:spacing w:after="0" w:line="240" w:lineRule="auto"/>
        <w:jc w:val="center"/>
        <w:rPr>
          <w:rFonts w:ascii="Times New Roman" w:hAnsi="Times New Roman" w:cs="Times New Roman"/>
          <w:b/>
          <w:sz w:val="24"/>
          <w:szCs w:val="24"/>
        </w:rPr>
      </w:pPr>
    </w:p>
    <w:p w14:paraId="59A7EB30" w14:textId="77777777" w:rsidR="00FD4D91" w:rsidRDefault="00FD4D91" w:rsidP="00B6642C">
      <w:pPr>
        <w:spacing w:after="0" w:line="240" w:lineRule="auto"/>
        <w:jc w:val="center"/>
        <w:rPr>
          <w:rFonts w:ascii="Times New Roman" w:hAnsi="Times New Roman" w:cs="Times New Roman"/>
          <w:b/>
          <w:sz w:val="24"/>
          <w:szCs w:val="24"/>
        </w:rPr>
      </w:pPr>
    </w:p>
    <w:p w14:paraId="2190D24E" w14:textId="77777777" w:rsidR="00FD4D91" w:rsidRDefault="00FD4D91" w:rsidP="00B6642C">
      <w:pPr>
        <w:spacing w:after="0" w:line="240" w:lineRule="auto"/>
        <w:jc w:val="center"/>
        <w:rPr>
          <w:rFonts w:ascii="Times New Roman" w:hAnsi="Times New Roman" w:cs="Times New Roman"/>
          <w:b/>
          <w:sz w:val="24"/>
          <w:szCs w:val="24"/>
        </w:rPr>
      </w:pPr>
    </w:p>
    <w:p w14:paraId="07B4DC81" w14:textId="77777777" w:rsidR="00FD4D91" w:rsidRDefault="00FD4D91" w:rsidP="00B6642C">
      <w:pPr>
        <w:spacing w:after="0" w:line="240" w:lineRule="auto"/>
        <w:jc w:val="center"/>
        <w:rPr>
          <w:rFonts w:ascii="Times New Roman" w:hAnsi="Times New Roman" w:cs="Times New Roman"/>
          <w:b/>
          <w:sz w:val="24"/>
          <w:szCs w:val="24"/>
        </w:rPr>
      </w:pPr>
    </w:p>
    <w:p w14:paraId="6C1D7903" w14:textId="77777777" w:rsidR="00FD4D91" w:rsidRDefault="00FD4D91" w:rsidP="00B6642C">
      <w:pPr>
        <w:spacing w:after="0" w:line="240" w:lineRule="auto"/>
        <w:jc w:val="center"/>
        <w:rPr>
          <w:rFonts w:ascii="Times New Roman" w:hAnsi="Times New Roman" w:cs="Times New Roman"/>
          <w:b/>
          <w:sz w:val="24"/>
          <w:szCs w:val="24"/>
        </w:rPr>
      </w:pPr>
    </w:p>
    <w:p w14:paraId="56DFA119" w14:textId="77777777" w:rsidR="00FD4D91" w:rsidRDefault="00FD4D91" w:rsidP="00B6642C">
      <w:pPr>
        <w:spacing w:after="0" w:line="240" w:lineRule="auto"/>
        <w:jc w:val="center"/>
        <w:rPr>
          <w:rFonts w:ascii="Times New Roman" w:hAnsi="Times New Roman" w:cs="Times New Roman"/>
          <w:b/>
          <w:sz w:val="24"/>
          <w:szCs w:val="24"/>
        </w:rPr>
      </w:pPr>
    </w:p>
    <w:p w14:paraId="56BDDEF2" w14:textId="77777777" w:rsidR="00FD4D91" w:rsidRDefault="00FD4D91" w:rsidP="00B6642C">
      <w:pPr>
        <w:spacing w:after="0" w:line="240" w:lineRule="auto"/>
        <w:jc w:val="center"/>
        <w:rPr>
          <w:rFonts w:ascii="Times New Roman" w:hAnsi="Times New Roman" w:cs="Times New Roman"/>
          <w:b/>
          <w:sz w:val="24"/>
          <w:szCs w:val="24"/>
        </w:rPr>
      </w:pPr>
    </w:p>
    <w:p w14:paraId="33145496" w14:textId="77777777" w:rsidR="00FD4D91" w:rsidRDefault="00FD4D91" w:rsidP="00B6642C">
      <w:pPr>
        <w:spacing w:after="0" w:line="240" w:lineRule="auto"/>
        <w:jc w:val="center"/>
        <w:rPr>
          <w:rFonts w:ascii="Times New Roman" w:hAnsi="Times New Roman" w:cs="Times New Roman"/>
          <w:b/>
          <w:sz w:val="24"/>
          <w:szCs w:val="24"/>
        </w:rPr>
      </w:pPr>
    </w:p>
    <w:p w14:paraId="35371BA6" w14:textId="2DFDBB2F" w:rsidR="00B6642C" w:rsidRPr="0020515F" w:rsidRDefault="00C17E13" w:rsidP="00B6642C">
      <w:pPr>
        <w:spacing w:after="0" w:line="240" w:lineRule="auto"/>
        <w:jc w:val="center"/>
        <w:rPr>
          <w:rFonts w:ascii="Times New Roman" w:hAnsi="Times New Roman" w:cs="Times New Roman"/>
          <w:b/>
          <w:sz w:val="28"/>
          <w:szCs w:val="28"/>
        </w:rPr>
      </w:pPr>
      <w:r w:rsidRPr="0020515F">
        <w:rPr>
          <w:rFonts w:ascii="Times New Roman" w:hAnsi="Times New Roman" w:cs="Times New Roman"/>
          <w:b/>
          <w:sz w:val="28"/>
          <w:szCs w:val="28"/>
        </w:rPr>
        <w:lastRenderedPageBreak/>
        <w:t>Maintenance Management Practices in Public Buildings                                                                       A Case Study of Lagos and Abuja Airports</w:t>
      </w:r>
    </w:p>
    <w:p w14:paraId="1E2C7F68" w14:textId="77777777" w:rsidR="00C17E13" w:rsidRPr="00BE4AF3" w:rsidRDefault="00C17E13" w:rsidP="00B6642C">
      <w:pPr>
        <w:spacing w:after="0" w:line="240" w:lineRule="auto"/>
        <w:jc w:val="center"/>
        <w:rPr>
          <w:rFonts w:ascii="Times New Roman" w:hAnsi="Times New Roman" w:cs="Times New Roman"/>
          <w:b/>
          <w:sz w:val="24"/>
          <w:szCs w:val="24"/>
        </w:rPr>
      </w:pPr>
    </w:p>
    <w:p w14:paraId="2C2072ED" w14:textId="77777777" w:rsidR="00B6642C" w:rsidRPr="00BE4AF3" w:rsidRDefault="00B6642C" w:rsidP="00B6642C">
      <w:pPr>
        <w:spacing w:after="0" w:line="240" w:lineRule="auto"/>
        <w:jc w:val="center"/>
        <w:rPr>
          <w:rFonts w:ascii="Times New Roman" w:hAnsi="Times New Roman" w:cs="Times New Roman"/>
          <w:sz w:val="24"/>
          <w:szCs w:val="24"/>
          <w:vertAlign w:val="superscript"/>
        </w:rPr>
      </w:pPr>
      <w:r w:rsidRPr="00BE4AF3">
        <w:rPr>
          <w:rFonts w:ascii="Times New Roman" w:hAnsi="Times New Roman" w:cs="Times New Roman"/>
          <w:sz w:val="24"/>
          <w:szCs w:val="24"/>
        </w:rPr>
        <w:t>Yusuf Yakubu</w:t>
      </w:r>
      <w:r w:rsidRPr="00BE4AF3">
        <w:rPr>
          <w:rFonts w:ascii="Times New Roman" w:hAnsi="Times New Roman" w:cs="Times New Roman"/>
          <w:sz w:val="24"/>
          <w:szCs w:val="24"/>
          <w:vertAlign w:val="superscript"/>
        </w:rPr>
        <w:t>1</w:t>
      </w:r>
      <w:r w:rsidRPr="00BE4AF3">
        <w:rPr>
          <w:rFonts w:ascii="Times New Roman" w:hAnsi="Times New Roman" w:cs="Times New Roman"/>
          <w:sz w:val="24"/>
          <w:szCs w:val="24"/>
        </w:rPr>
        <w:t>, Prof. Adenuga O.A</w:t>
      </w:r>
      <w:r w:rsidRPr="00BE4AF3">
        <w:rPr>
          <w:rFonts w:ascii="Times New Roman" w:hAnsi="Times New Roman" w:cs="Times New Roman"/>
          <w:sz w:val="24"/>
          <w:szCs w:val="24"/>
          <w:vertAlign w:val="superscript"/>
        </w:rPr>
        <w:t>1</w:t>
      </w:r>
      <w:r w:rsidRPr="00BE4AF3">
        <w:rPr>
          <w:rFonts w:ascii="Times New Roman" w:hAnsi="Times New Roman" w:cs="Times New Roman"/>
          <w:sz w:val="24"/>
          <w:szCs w:val="24"/>
        </w:rPr>
        <w:t>, Adefisoye S.A</w:t>
      </w:r>
      <w:r w:rsidRPr="00BE4AF3">
        <w:rPr>
          <w:rFonts w:ascii="Times New Roman" w:hAnsi="Times New Roman" w:cs="Times New Roman"/>
          <w:sz w:val="24"/>
          <w:szCs w:val="24"/>
          <w:vertAlign w:val="superscript"/>
        </w:rPr>
        <w:t>2</w:t>
      </w:r>
    </w:p>
    <w:p w14:paraId="73E5C623" w14:textId="77777777" w:rsidR="00C17E13" w:rsidRPr="00BE4AF3" w:rsidRDefault="00C17E13" w:rsidP="00B6642C">
      <w:pPr>
        <w:spacing w:after="0" w:line="240" w:lineRule="auto"/>
        <w:jc w:val="center"/>
        <w:rPr>
          <w:rFonts w:ascii="Times New Roman" w:hAnsi="Times New Roman" w:cs="Times New Roman"/>
          <w:sz w:val="24"/>
          <w:szCs w:val="24"/>
        </w:rPr>
      </w:pPr>
    </w:p>
    <w:p w14:paraId="50EF16F6" w14:textId="77777777" w:rsidR="00B6642C" w:rsidRPr="00FD4D91" w:rsidRDefault="00B6642C" w:rsidP="00B6642C">
      <w:pPr>
        <w:spacing w:after="0" w:line="240" w:lineRule="auto"/>
        <w:jc w:val="center"/>
        <w:rPr>
          <w:rFonts w:ascii="Times New Roman" w:hAnsi="Times New Roman" w:cs="Times New Roman"/>
          <w:sz w:val="20"/>
          <w:szCs w:val="20"/>
        </w:rPr>
      </w:pPr>
      <w:r w:rsidRPr="00FD4D91">
        <w:rPr>
          <w:rFonts w:ascii="Times New Roman" w:hAnsi="Times New Roman" w:cs="Times New Roman"/>
          <w:sz w:val="20"/>
          <w:szCs w:val="20"/>
        </w:rPr>
        <w:t>Department of Building, University of Lagos</w:t>
      </w:r>
    </w:p>
    <w:p w14:paraId="7F50CB15" w14:textId="77777777" w:rsidR="00B6642C" w:rsidRPr="00FD4D91" w:rsidRDefault="00B6642C" w:rsidP="00B6642C">
      <w:pPr>
        <w:spacing w:after="0" w:line="240" w:lineRule="auto"/>
        <w:jc w:val="center"/>
        <w:rPr>
          <w:rFonts w:ascii="Times New Roman" w:hAnsi="Times New Roman" w:cs="Times New Roman"/>
          <w:sz w:val="20"/>
          <w:szCs w:val="20"/>
        </w:rPr>
      </w:pPr>
      <w:r w:rsidRPr="00FD4D91">
        <w:rPr>
          <w:rFonts w:ascii="Times New Roman" w:hAnsi="Times New Roman" w:cs="Times New Roman"/>
          <w:sz w:val="20"/>
          <w:szCs w:val="20"/>
        </w:rPr>
        <w:t>Department of Civil Engineering, Lead City University, Ibadan</w:t>
      </w:r>
    </w:p>
    <w:p w14:paraId="598BDE29" w14:textId="77777777" w:rsidR="00C17E13" w:rsidRPr="00FD4D91" w:rsidRDefault="00C17E13" w:rsidP="00B6642C">
      <w:pPr>
        <w:spacing w:after="0" w:line="240" w:lineRule="auto"/>
        <w:jc w:val="center"/>
        <w:rPr>
          <w:rFonts w:ascii="Times New Roman" w:hAnsi="Times New Roman" w:cs="Times New Roman"/>
          <w:sz w:val="20"/>
          <w:szCs w:val="20"/>
        </w:rPr>
      </w:pPr>
    </w:p>
    <w:p w14:paraId="65D6BCB5" w14:textId="77777777" w:rsidR="00B6642C" w:rsidRPr="00FD4D91" w:rsidRDefault="00B6642C" w:rsidP="00B6642C">
      <w:pPr>
        <w:spacing w:after="0" w:line="240" w:lineRule="auto"/>
        <w:jc w:val="center"/>
        <w:rPr>
          <w:rFonts w:ascii="Times New Roman" w:hAnsi="Times New Roman" w:cs="Times New Roman"/>
          <w:sz w:val="20"/>
          <w:szCs w:val="20"/>
        </w:rPr>
      </w:pPr>
      <w:r w:rsidRPr="00FD4D91">
        <w:rPr>
          <w:rFonts w:ascii="Times New Roman" w:hAnsi="Times New Roman" w:cs="Times New Roman"/>
          <w:sz w:val="20"/>
          <w:szCs w:val="20"/>
        </w:rPr>
        <w:t>Corresponding author: yusufdynasty@yahoo.com</w:t>
      </w:r>
    </w:p>
    <w:p w14:paraId="7A126895" w14:textId="77777777" w:rsidR="00B6642C" w:rsidRPr="00FD4D91" w:rsidRDefault="00B6642C" w:rsidP="00C17E13">
      <w:pPr>
        <w:spacing w:after="0" w:line="240" w:lineRule="auto"/>
        <w:jc w:val="center"/>
        <w:rPr>
          <w:rFonts w:ascii="Times New Roman" w:hAnsi="Times New Roman" w:cs="Times New Roman"/>
          <w:b/>
          <w:sz w:val="20"/>
          <w:szCs w:val="20"/>
        </w:rPr>
      </w:pPr>
      <w:r w:rsidRPr="00FD4D91">
        <w:rPr>
          <w:rFonts w:ascii="Times New Roman" w:hAnsi="Times New Roman" w:cs="Times New Roman"/>
          <w:sz w:val="20"/>
          <w:szCs w:val="20"/>
        </w:rPr>
        <w:t>+2347033474722</w:t>
      </w:r>
    </w:p>
    <w:p w14:paraId="2F430D7F" w14:textId="77777777" w:rsidR="00B6642C" w:rsidRPr="00BE4AF3" w:rsidRDefault="00B6642C" w:rsidP="00B6642C">
      <w:pPr>
        <w:spacing w:after="0" w:line="240" w:lineRule="auto"/>
        <w:rPr>
          <w:rFonts w:ascii="Times New Roman" w:hAnsi="Times New Roman" w:cs="Times New Roman"/>
          <w:sz w:val="24"/>
          <w:szCs w:val="24"/>
        </w:rPr>
      </w:pPr>
    </w:p>
    <w:p w14:paraId="3A69943C" w14:textId="77777777" w:rsidR="00B6642C" w:rsidRPr="00BE4AF3" w:rsidRDefault="00B6642C" w:rsidP="00B6642C">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LICFES 2025-045 – FP25</w:t>
      </w:r>
    </w:p>
    <w:p w14:paraId="7F688621" w14:textId="77777777" w:rsidR="00B6642C" w:rsidRPr="00BE4AF3" w:rsidRDefault="00C17E13" w:rsidP="00B6642C">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Abstract</w:t>
      </w:r>
    </w:p>
    <w:p w14:paraId="67EE9300" w14:textId="77777777" w:rsidR="00B6642C" w:rsidRPr="00BE4AF3" w:rsidRDefault="00B6642C" w:rsidP="00B6642C">
      <w:pPr>
        <w:pStyle w:val="NormalWeb"/>
        <w:spacing w:before="0" w:beforeAutospacing="0" w:after="0" w:afterAutospacing="0"/>
        <w:jc w:val="both"/>
      </w:pPr>
      <w:r w:rsidRPr="00BE4AF3">
        <w:t>This study investigates the maintenance management practices at Lagos and Abuja Airports, focusing on the current condition of facilities, maintenance strategies, and factors influencing performance. A total of 200 questionnaires were administered, 100 to maintenance staff and 100 to airport users and analyzed using statistical tools such as mean item score, ANOVA, Spearman-rank correlation, and multiple regression analysis. The airports were selected using convenience sampling based on accessibility and proximity. Findings revealed a predominantly young maintenance workforce, suggesting recent recruitment efforts but a lack of experienced personnel, thereby underscoring the need for targeted training and professional development. Critical infrastructure components including lifts, escalators, and floor slabs were identified as essential to operational efficiency and safety. A communication gap between maintenance staff and users was observed, affecting the prioritization and resolution of issues like roof leakages and waste disposal. Despite the presence of formal maintenance frameworks, including policies, manuals, and review mechanisms, the study identified major challenges such as limited funding and insufficient skilled personnel. A mismatch between reported defects and actual repair efforts further emphasizes the need for a proactive and responsive maintenance system. The study recommends increased budgetary allocation, adoption of preventive maintenance, regular facility inspections, and improved communication channels. Aligning maintenance strategies with user needs and investing in staff training are vital for enhancing service delivery, safety, and overall operational efficiency at Nigerian airports.</w:t>
      </w:r>
    </w:p>
    <w:p w14:paraId="468A604F" w14:textId="77777777" w:rsidR="00B6642C" w:rsidRPr="00BE4AF3" w:rsidRDefault="00B6642C" w:rsidP="00B6642C">
      <w:pPr>
        <w:spacing w:after="0" w:line="240" w:lineRule="auto"/>
        <w:rPr>
          <w:rFonts w:ascii="Times New Roman" w:hAnsi="Times New Roman" w:cs="Times New Roman"/>
          <w:b/>
          <w:sz w:val="24"/>
          <w:szCs w:val="24"/>
        </w:rPr>
      </w:pPr>
    </w:p>
    <w:p w14:paraId="459D9376" w14:textId="77777777" w:rsidR="00B6642C" w:rsidRPr="00BE4AF3" w:rsidRDefault="00B6642C" w:rsidP="00B6642C">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 xml:space="preserve">Keywords: </w:t>
      </w:r>
      <w:r w:rsidRPr="00BE4AF3">
        <w:rPr>
          <w:rFonts w:ascii="Times New Roman" w:hAnsi="Times New Roman" w:cs="Times New Roman"/>
          <w:sz w:val="24"/>
          <w:szCs w:val="24"/>
        </w:rPr>
        <w:t>Airport, Maintenance, Management.</w:t>
      </w:r>
    </w:p>
    <w:p w14:paraId="492EEAC3" w14:textId="77777777" w:rsidR="009B16DE" w:rsidRPr="00BE4AF3" w:rsidRDefault="009B16DE" w:rsidP="00B6642C">
      <w:pPr>
        <w:spacing w:after="0" w:line="240" w:lineRule="auto"/>
        <w:jc w:val="both"/>
        <w:rPr>
          <w:rFonts w:ascii="Times New Roman" w:hAnsi="Times New Roman" w:cs="Times New Roman"/>
          <w:sz w:val="24"/>
          <w:szCs w:val="24"/>
        </w:rPr>
      </w:pPr>
    </w:p>
    <w:p w14:paraId="27F10CF7" w14:textId="69C89F81" w:rsidR="006A700E" w:rsidRPr="00BE4AF3" w:rsidRDefault="0020515F" w:rsidP="0020515F">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Introduction</w:t>
      </w:r>
    </w:p>
    <w:p w14:paraId="658B1634" w14:textId="77777777" w:rsidR="006A700E" w:rsidRPr="00BE4AF3" w:rsidRDefault="006A700E" w:rsidP="0020515F">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Maintenance involves regular inspection of building facilities and the execution of works necessary to keep or restore a building to an acceptable standard for its present and intended use. </w:t>
      </w:r>
    </w:p>
    <w:p w14:paraId="23DFA4C1" w14:textId="77777777" w:rsidR="006A700E" w:rsidRPr="00BE4AF3" w:rsidRDefault="006A700E" w:rsidP="0020515F">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To this end, neglecting maintenance issues such as faulty electric fittings, leaking plumbing pipes, indiscriminate disposal of items or poor house-keeping can cause fire outbreak, flooding and health or safety hazards which could result in injuries or damages including loss of lives and properties. The traditional maintenance approach in Nigeria’s airports has failed to yield desired outcome. Patunola-Ajayi, 2019, confirms that “It is a common sight to witness inadequacies and non-functionality of common-use airport applications such as check-in counters, passenger processing, terminal services, curbside services, janitorial services, ramp control, cargo operations, ramp and ground handling, communications infrastructure and business software systems.” Effective maintenance management practice on airport building and facilities plays pivotal role in achieving greater efficiency in airport overall operations and quality of service delivery.</w:t>
      </w:r>
    </w:p>
    <w:p w14:paraId="55C04E1D" w14:textId="77777777" w:rsidR="006A700E" w:rsidRPr="00BE4AF3" w:rsidRDefault="006A700E" w:rsidP="0020515F">
      <w:pPr>
        <w:spacing w:after="0" w:line="240" w:lineRule="auto"/>
        <w:jc w:val="both"/>
        <w:rPr>
          <w:rFonts w:ascii="Times New Roman" w:hAnsi="Times New Roman" w:cs="Times New Roman"/>
          <w:sz w:val="24"/>
          <w:szCs w:val="24"/>
        </w:rPr>
      </w:pPr>
    </w:p>
    <w:p w14:paraId="4D818BBF" w14:textId="0CACAFF6" w:rsidR="006A700E" w:rsidRPr="00BE4AF3" w:rsidRDefault="0020515F" w:rsidP="0020515F">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lastRenderedPageBreak/>
        <w:t xml:space="preserve">Materials </w:t>
      </w:r>
      <w:r>
        <w:rPr>
          <w:rFonts w:ascii="Times New Roman" w:hAnsi="Times New Roman" w:cs="Times New Roman"/>
          <w:b/>
          <w:sz w:val="24"/>
          <w:szCs w:val="24"/>
        </w:rPr>
        <w:t>a</w:t>
      </w:r>
      <w:r w:rsidRPr="00BE4AF3">
        <w:rPr>
          <w:rFonts w:ascii="Times New Roman" w:hAnsi="Times New Roman" w:cs="Times New Roman"/>
          <w:b/>
          <w:sz w:val="24"/>
          <w:szCs w:val="24"/>
        </w:rPr>
        <w:t>nd Methods</w:t>
      </w:r>
    </w:p>
    <w:p w14:paraId="7DDAF6B9" w14:textId="77777777" w:rsidR="006A700E" w:rsidRPr="00BE4AF3" w:rsidRDefault="006A700E" w:rsidP="0020515F">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study covers maintenance management practices in Lagos and Abuja airports, Nigeria. Survey research design was adopted for the study, which involved collection of data through administration of questionnaires. The targeted respondents for the study were maintenance engineers, technicians, facilities managers and airport users in Lagos and Abuja airports. The survey collected data from two categories of respondents, namely the maintenance staff and other airport users.  The main survey instrument was structured questionnaires distributed in both Lagos and Abuja airport, Nigeria.  In the maintenance staff survey, a total 32 questionnaires were distributed at the two airports using equal allocation i.e Sixteen (16) questionnaires were administered at each airport. In the airport users survey, sixty-eight (68) questionnaires were administered at the two airports with equal allocation of thirty-four (34) questionnaires administered at each airport. The questionnaires administered were duly completed and returned.</w:t>
      </w:r>
    </w:p>
    <w:p w14:paraId="54381D54" w14:textId="77777777" w:rsidR="006A700E" w:rsidRPr="00BE4AF3" w:rsidRDefault="006A700E" w:rsidP="0020515F">
      <w:pPr>
        <w:spacing w:after="0" w:line="240" w:lineRule="auto"/>
        <w:jc w:val="both"/>
        <w:rPr>
          <w:rFonts w:ascii="Times New Roman" w:hAnsi="Times New Roman" w:cs="Times New Roman"/>
          <w:b/>
          <w:sz w:val="24"/>
          <w:szCs w:val="24"/>
        </w:rPr>
      </w:pPr>
    </w:p>
    <w:p w14:paraId="07C9FEC1" w14:textId="588FBD94" w:rsidR="006A700E" w:rsidRPr="00BE4AF3" w:rsidRDefault="0020515F" w:rsidP="0020515F">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 xml:space="preserve">Results </w:t>
      </w:r>
      <w:r>
        <w:rPr>
          <w:rFonts w:ascii="Times New Roman" w:hAnsi="Times New Roman" w:cs="Times New Roman"/>
          <w:b/>
          <w:sz w:val="24"/>
          <w:szCs w:val="24"/>
        </w:rPr>
        <w:t>a</w:t>
      </w:r>
      <w:r w:rsidRPr="00BE4AF3">
        <w:rPr>
          <w:rFonts w:ascii="Times New Roman" w:hAnsi="Times New Roman" w:cs="Times New Roman"/>
          <w:b/>
          <w:sz w:val="24"/>
          <w:szCs w:val="24"/>
        </w:rPr>
        <w:t>nd Discussions</w:t>
      </w:r>
    </w:p>
    <w:p w14:paraId="6B3EE06B" w14:textId="77777777" w:rsidR="006A700E" w:rsidRPr="00BE4AF3" w:rsidRDefault="006A700E" w:rsidP="0020515F">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Subtitle 1</w:t>
      </w:r>
    </w:p>
    <w:p w14:paraId="66344C73" w14:textId="77777777" w:rsidR="006A700E" w:rsidRPr="00BE4AF3" w:rsidRDefault="006A700E" w:rsidP="0020515F">
      <w:pPr>
        <w:spacing w:after="0" w:line="240" w:lineRule="auto"/>
        <w:jc w:val="both"/>
        <w:rPr>
          <w:rFonts w:ascii="Times New Roman" w:hAnsi="Times New Roman" w:cs="Times New Roman"/>
          <w:b/>
          <w:sz w:val="24"/>
          <w:szCs w:val="24"/>
        </w:rPr>
      </w:pPr>
      <w:r w:rsidRPr="00BE4AF3">
        <w:rPr>
          <w:rFonts w:ascii="Times New Roman" w:hAnsi="Times New Roman" w:cs="Times New Roman"/>
          <w:sz w:val="24"/>
          <w:szCs w:val="24"/>
        </w:rPr>
        <w:t>The profile of the respondents were investigated and presented in table 1</w:t>
      </w:r>
      <w:bookmarkStart w:id="71" w:name="_Hlk180050534"/>
      <w:bookmarkEnd w:id="71"/>
    </w:p>
    <w:p w14:paraId="7F65C10C" w14:textId="77777777" w:rsidR="006A700E" w:rsidRPr="00BE4AF3" w:rsidRDefault="006A700E" w:rsidP="0020515F">
      <w:pPr>
        <w:spacing w:after="0" w:line="240" w:lineRule="auto"/>
        <w:jc w:val="both"/>
        <w:rPr>
          <w:rFonts w:ascii="Times New Roman" w:hAnsi="Times New Roman" w:cs="Times New Roman"/>
          <w:b/>
          <w:sz w:val="24"/>
          <w:szCs w:val="24"/>
        </w:rPr>
      </w:pPr>
    </w:p>
    <w:p w14:paraId="7DABF16D" w14:textId="77777777" w:rsidR="006A700E" w:rsidRPr="00BE4AF3" w:rsidRDefault="006A700E" w:rsidP="0020515F">
      <w:pPr>
        <w:spacing w:after="0" w:line="240" w:lineRule="auto"/>
        <w:rPr>
          <w:rFonts w:ascii="Times New Roman" w:hAnsi="Times New Roman" w:cs="Times New Roman"/>
          <w:b/>
          <w:bCs/>
          <w:sz w:val="24"/>
          <w:szCs w:val="24"/>
        </w:rPr>
      </w:pPr>
      <w:r w:rsidRPr="00BE4AF3">
        <w:rPr>
          <w:rFonts w:ascii="Times New Roman" w:hAnsi="Times New Roman" w:cs="Times New Roman"/>
          <w:b/>
          <w:bCs/>
          <w:sz w:val="24"/>
          <w:szCs w:val="24"/>
        </w:rPr>
        <w:t>Subtitle 2</w:t>
      </w:r>
    </w:p>
    <w:p w14:paraId="4859DD68" w14:textId="77777777" w:rsidR="006A700E" w:rsidRPr="00BE4AF3" w:rsidRDefault="006A700E" w:rsidP="0020515F">
      <w:pPr>
        <w:spacing w:after="0" w:line="240" w:lineRule="auto"/>
        <w:rPr>
          <w:rFonts w:ascii="Times New Roman" w:hAnsi="Times New Roman" w:cs="Times New Roman"/>
          <w:sz w:val="24"/>
          <w:szCs w:val="24"/>
        </w:rPr>
      </w:pPr>
      <w:r w:rsidRPr="00BE4AF3">
        <w:rPr>
          <w:rFonts w:ascii="Times New Roman" w:hAnsi="Times New Roman" w:cs="Times New Roman"/>
          <w:bCs/>
          <w:sz w:val="24"/>
          <w:szCs w:val="24"/>
        </w:rPr>
        <w:t xml:space="preserve">These factors were identified by the respondents on a 5-point linkert scale. From very bad (1) to very good (5). Table 2 shows </w:t>
      </w:r>
      <w:r w:rsidRPr="00BE4AF3">
        <w:rPr>
          <w:rFonts w:ascii="Times New Roman" w:hAnsi="Times New Roman" w:cs="Times New Roman"/>
          <w:sz w:val="24"/>
          <w:szCs w:val="24"/>
        </w:rPr>
        <w:t xml:space="preserve">the operational condition of building elements and services in Lagos/Abuja airport. </w:t>
      </w:r>
    </w:p>
    <w:p w14:paraId="3A8FAD88" w14:textId="77777777" w:rsidR="006A700E" w:rsidRPr="00BE4AF3" w:rsidRDefault="006A700E" w:rsidP="0020515F">
      <w:pPr>
        <w:spacing w:after="0" w:line="240" w:lineRule="auto"/>
        <w:rPr>
          <w:rFonts w:ascii="Times New Roman" w:hAnsi="Times New Roman" w:cs="Times New Roman"/>
          <w:b/>
          <w:sz w:val="24"/>
          <w:szCs w:val="24"/>
        </w:rPr>
      </w:pPr>
    </w:p>
    <w:p w14:paraId="35011093" w14:textId="77777777" w:rsidR="006A700E" w:rsidRPr="00BE4AF3" w:rsidRDefault="006A700E" w:rsidP="0020515F">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Subtitle 3</w:t>
      </w:r>
    </w:p>
    <w:p w14:paraId="04E5ACE6" w14:textId="77777777" w:rsidR="006A700E" w:rsidRPr="00BE4AF3" w:rsidRDefault="006A700E" w:rsidP="0020515F">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The type maintenance strategies used in the airports was investigated and presented in figure 1</w:t>
      </w:r>
    </w:p>
    <w:p w14:paraId="7A26B0B1" w14:textId="77777777" w:rsidR="006A700E" w:rsidRPr="00BE4AF3" w:rsidRDefault="006A700E" w:rsidP="0020515F">
      <w:pPr>
        <w:spacing w:after="0" w:line="240" w:lineRule="auto"/>
        <w:rPr>
          <w:rFonts w:ascii="Times New Roman" w:hAnsi="Times New Roman" w:cs="Times New Roman"/>
          <w:bCs/>
          <w:sz w:val="24"/>
          <w:szCs w:val="24"/>
        </w:rPr>
      </w:pPr>
    </w:p>
    <w:p w14:paraId="39557EE5" w14:textId="77777777" w:rsidR="006A700E" w:rsidRPr="0020515F" w:rsidRDefault="006A700E" w:rsidP="0020515F">
      <w:pPr>
        <w:spacing w:after="0" w:line="240" w:lineRule="auto"/>
        <w:jc w:val="center"/>
        <w:rPr>
          <w:rFonts w:ascii="Times New Roman" w:hAnsi="Times New Roman" w:cs="Times New Roman"/>
          <w:sz w:val="24"/>
          <w:szCs w:val="24"/>
        </w:rPr>
      </w:pPr>
      <w:r w:rsidRPr="00BE4AF3">
        <w:rPr>
          <w:rFonts w:ascii="Times New Roman" w:hAnsi="Times New Roman" w:cs="Times New Roman"/>
          <w:b/>
          <w:bCs/>
          <w:sz w:val="24"/>
          <w:szCs w:val="24"/>
        </w:rPr>
        <w:t xml:space="preserve">Table 1: </w:t>
      </w:r>
      <w:r w:rsidRPr="0020515F">
        <w:rPr>
          <w:rFonts w:ascii="Times New Roman" w:hAnsi="Times New Roman" w:cs="Times New Roman"/>
          <w:sz w:val="24"/>
          <w:szCs w:val="24"/>
        </w:rPr>
        <w:t>Analysis of Maintenance staff length of service.</w:t>
      </w:r>
    </w:p>
    <w:tbl>
      <w:tblPr>
        <w:tblW w:w="0" w:type="auto"/>
        <w:jc w:val="center"/>
        <w:tblBorders>
          <w:top w:val="single" w:sz="4" w:space="0" w:color="auto"/>
          <w:bottom w:val="single" w:sz="4" w:space="0" w:color="auto"/>
        </w:tblBorders>
        <w:tblLook w:val="01E0" w:firstRow="1" w:lastRow="1" w:firstColumn="1" w:lastColumn="1" w:noHBand="0" w:noVBand="0"/>
      </w:tblPr>
      <w:tblGrid>
        <w:gridCol w:w="2214"/>
        <w:gridCol w:w="1472"/>
        <w:gridCol w:w="1560"/>
        <w:gridCol w:w="2214"/>
      </w:tblGrid>
      <w:tr w:rsidR="006A700E" w:rsidRPr="0020515F" w14:paraId="348D8352" w14:textId="77777777" w:rsidTr="0020515F">
        <w:trPr>
          <w:trHeight w:val="323"/>
          <w:jc w:val="center"/>
        </w:trPr>
        <w:tc>
          <w:tcPr>
            <w:tcW w:w="2214" w:type="dxa"/>
            <w:tcBorders>
              <w:top w:val="single" w:sz="4" w:space="0" w:color="auto"/>
              <w:bottom w:val="single" w:sz="4" w:space="0" w:color="auto"/>
            </w:tcBorders>
          </w:tcPr>
          <w:p w14:paraId="1FF1F621"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Length of service</w:t>
            </w:r>
          </w:p>
        </w:tc>
        <w:tc>
          <w:tcPr>
            <w:tcW w:w="1472" w:type="dxa"/>
            <w:tcBorders>
              <w:top w:val="single" w:sz="4" w:space="0" w:color="auto"/>
              <w:bottom w:val="single" w:sz="4" w:space="0" w:color="auto"/>
            </w:tcBorders>
          </w:tcPr>
          <w:p w14:paraId="207C08C9"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Frequency</w:t>
            </w:r>
          </w:p>
        </w:tc>
        <w:tc>
          <w:tcPr>
            <w:tcW w:w="1560" w:type="dxa"/>
            <w:tcBorders>
              <w:top w:val="single" w:sz="4" w:space="0" w:color="auto"/>
              <w:bottom w:val="single" w:sz="4" w:space="0" w:color="auto"/>
            </w:tcBorders>
          </w:tcPr>
          <w:p w14:paraId="5169D4B8"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Valid percent</w:t>
            </w:r>
          </w:p>
        </w:tc>
        <w:tc>
          <w:tcPr>
            <w:tcW w:w="2214" w:type="dxa"/>
            <w:tcBorders>
              <w:top w:val="single" w:sz="4" w:space="0" w:color="auto"/>
              <w:bottom w:val="single" w:sz="4" w:space="0" w:color="auto"/>
            </w:tcBorders>
          </w:tcPr>
          <w:p w14:paraId="64127E8B"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Cumulative percent</w:t>
            </w:r>
          </w:p>
        </w:tc>
      </w:tr>
      <w:tr w:rsidR="006A700E" w:rsidRPr="0020515F" w14:paraId="5E1815E9" w14:textId="77777777" w:rsidTr="0020515F">
        <w:trPr>
          <w:jc w:val="center"/>
        </w:trPr>
        <w:tc>
          <w:tcPr>
            <w:tcW w:w="2214" w:type="dxa"/>
            <w:tcBorders>
              <w:top w:val="single" w:sz="4" w:space="0" w:color="auto"/>
            </w:tcBorders>
          </w:tcPr>
          <w:p w14:paraId="33F3BF0D"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Less than 10 years</w:t>
            </w:r>
          </w:p>
        </w:tc>
        <w:tc>
          <w:tcPr>
            <w:tcW w:w="1472" w:type="dxa"/>
            <w:tcBorders>
              <w:top w:val="single" w:sz="4" w:space="0" w:color="auto"/>
            </w:tcBorders>
            <w:vAlign w:val="center"/>
          </w:tcPr>
          <w:p w14:paraId="28F51C88"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8</w:t>
            </w:r>
          </w:p>
        </w:tc>
        <w:tc>
          <w:tcPr>
            <w:tcW w:w="1560" w:type="dxa"/>
            <w:tcBorders>
              <w:top w:val="single" w:sz="4" w:space="0" w:color="auto"/>
            </w:tcBorders>
            <w:vAlign w:val="center"/>
          </w:tcPr>
          <w:p w14:paraId="5E5459D5"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22.2</w:t>
            </w:r>
          </w:p>
        </w:tc>
        <w:tc>
          <w:tcPr>
            <w:tcW w:w="2214" w:type="dxa"/>
            <w:tcBorders>
              <w:top w:val="single" w:sz="4" w:space="0" w:color="auto"/>
            </w:tcBorders>
            <w:vAlign w:val="center"/>
          </w:tcPr>
          <w:p w14:paraId="650724B5"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22.2</w:t>
            </w:r>
          </w:p>
        </w:tc>
      </w:tr>
      <w:tr w:rsidR="006A700E" w:rsidRPr="0020515F" w14:paraId="5D432D56" w14:textId="77777777" w:rsidTr="0020515F">
        <w:trPr>
          <w:jc w:val="center"/>
        </w:trPr>
        <w:tc>
          <w:tcPr>
            <w:tcW w:w="2214" w:type="dxa"/>
          </w:tcPr>
          <w:p w14:paraId="5D0D6389"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10 – 19 years</w:t>
            </w:r>
          </w:p>
        </w:tc>
        <w:tc>
          <w:tcPr>
            <w:tcW w:w="1472" w:type="dxa"/>
            <w:vAlign w:val="center"/>
          </w:tcPr>
          <w:p w14:paraId="65B05B14"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13</w:t>
            </w:r>
          </w:p>
        </w:tc>
        <w:tc>
          <w:tcPr>
            <w:tcW w:w="1560" w:type="dxa"/>
            <w:vAlign w:val="center"/>
          </w:tcPr>
          <w:p w14:paraId="39A30614"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36.1</w:t>
            </w:r>
          </w:p>
        </w:tc>
        <w:tc>
          <w:tcPr>
            <w:tcW w:w="2214" w:type="dxa"/>
            <w:vAlign w:val="center"/>
          </w:tcPr>
          <w:p w14:paraId="3E2CF1C0"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58.3</w:t>
            </w:r>
          </w:p>
        </w:tc>
      </w:tr>
      <w:tr w:rsidR="006A700E" w:rsidRPr="0020515F" w14:paraId="713227C0" w14:textId="77777777" w:rsidTr="0020515F">
        <w:trPr>
          <w:jc w:val="center"/>
        </w:trPr>
        <w:tc>
          <w:tcPr>
            <w:tcW w:w="2214" w:type="dxa"/>
          </w:tcPr>
          <w:p w14:paraId="752F2D3B"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20 – 29 years</w:t>
            </w:r>
          </w:p>
        </w:tc>
        <w:tc>
          <w:tcPr>
            <w:tcW w:w="1472" w:type="dxa"/>
            <w:vAlign w:val="center"/>
          </w:tcPr>
          <w:p w14:paraId="2DE72D57"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13</w:t>
            </w:r>
          </w:p>
        </w:tc>
        <w:tc>
          <w:tcPr>
            <w:tcW w:w="1560" w:type="dxa"/>
            <w:vAlign w:val="center"/>
          </w:tcPr>
          <w:p w14:paraId="18C334A8"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36.1</w:t>
            </w:r>
          </w:p>
        </w:tc>
        <w:tc>
          <w:tcPr>
            <w:tcW w:w="2214" w:type="dxa"/>
            <w:vAlign w:val="center"/>
          </w:tcPr>
          <w:p w14:paraId="13C7C08A"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94.4</w:t>
            </w:r>
          </w:p>
        </w:tc>
      </w:tr>
      <w:tr w:rsidR="006A700E" w:rsidRPr="0020515F" w14:paraId="1E3D10C2" w14:textId="77777777" w:rsidTr="0020515F">
        <w:trPr>
          <w:jc w:val="center"/>
        </w:trPr>
        <w:tc>
          <w:tcPr>
            <w:tcW w:w="2214" w:type="dxa"/>
          </w:tcPr>
          <w:p w14:paraId="2C2BE4BE"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30 and above</w:t>
            </w:r>
          </w:p>
        </w:tc>
        <w:tc>
          <w:tcPr>
            <w:tcW w:w="1472" w:type="dxa"/>
            <w:vAlign w:val="center"/>
          </w:tcPr>
          <w:p w14:paraId="2AF30765"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2</w:t>
            </w:r>
          </w:p>
        </w:tc>
        <w:tc>
          <w:tcPr>
            <w:tcW w:w="1560" w:type="dxa"/>
            <w:vAlign w:val="center"/>
          </w:tcPr>
          <w:p w14:paraId="486F7446"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5.6</w:t>
            </w:r>
          </w:p>
        </w:tc>
        <w:tc>
          <w:tcPr>
            <w:tcW w:w="2214" w:type="dxa"/>
            <w:vAlign w:val="center"/>
          </w:tcPr>
          <w:p w14:paraId="76CC7F50"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100.0</w:t>
            </w:r>
          </w:p>
        </w:tc>
      </w:tr>
      <w:tr w:rsidR="006A700E" w:rsidRPr="0020515F" w14:paraId="672F8A31" w14:textId="77777777" w:rsidTr="0020515F">
        <w:trPr>
          <w:jc w:val="center"/>
        </w:trPr>
        <w:tc>
          <w:tcPr>
            <w:tcW w:w="2214" w:type="dxa"/>
          </w:tcPr>
          <w:p w14:paraId="27B89D26"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Total</w:t>
            </w:r>
          </w:p>
        </w:tc>
        <w:tc>
          <w:tcPr>
            <w:tcW w:w="1472" w:type="dxa"/>
            <w:vAlign w:val="center"/>
          </w:tcPr>
          <w:p w14:paraId="707176E5"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36</w:t>
            </w:r>
          </w:p>
        </w:tc>
        <w:tc>
          <w:tcPr>
            <w:tcW w:w="1560" w:type="dxa"/>
            <w:vAlign w:val="center"/>
          </w:tcPr>
          <w:p w14:paraId="4BEB22F5" w14:textId="77777777" w:rsidR="006A700E" w:rsidRPr="0020515F" w:rsidRDefault="006A700E" w:rsidP="0020515F">
            <w:pPr>
              <w:spacing w:after="0" w:line="240" w:lineRule="auto"/>
              <w:jc w:val="both"/>
              <w:rPr>
                <w:rFonts w:ascii="Times New Roman" w:hAnsi="Times New Roman" w:cs="Times New Roman"/>
                <w:sz w:val="20"/>
                <w:szCs w:val="20"/>
              </w:rPr>
            </w:pPr>
            <w:r w:rsidRPr="0020515F">
              <w:rPr>
                <w:rFonts w:ascii="Times New Roman" w:hAnsi="Times New Roman" w:cs="Times New Roman"/>
                <w:sz w:val="20"/>
                <w:szCs w:val="20"/>
              </w:rPr>
              <w:t>100.0</w:t>
            </w:r>
          </w:p>
        </w:tc>
        <w:tc>
          <w:tcPr>
            <w:tcW w:w="2214" w:type="dxa"/>
          </w:tcPr>
          <w:p w14:paraId="16A8DCE9" w14:textId="77777777" w:rsidR="006A700E" w:rsidRPr="0020515F" w:rsidRDefault="006A700E" w:rsidP="0020515F">
            <w:pPr>
              <w:spacing w:after="0" w:line="240" w:lineRule="auto"/>
              <w:jc w:val="both"/>
              <w:rPr>
                <w:rFonts w:ascii="Times New Roman" w:hAnsi="Times New Roman" w:cs="Times New Roman"/>
                <w:sz w:val="20"/>
                <w:szCs w:val="20"/>
              </w:rPr>
            </w:pPr>
          </w:p>
        </w:tc>
      </w:tr>
    </w:tbl>
    <w:p w14:paraId="25D578CE" w14:textId="77777777" w:rsidR="006A700E" w:rsidRPr="00BE4AF3" w:rsidRDefault="006A700E" w:rsidP="0020515F">
      <w:pPr>
        <w:spacing w:after="0" w:line="240" w:lineRule="auto"/>
        <w:jc w:val="both"/>
        <w:rPr>
          <w:rFonts w:ascii="Times New Roman" w:hAnsi="Times New Roman" w:cs="Times New Roman"/>
          <w:sz w:val="24"/>
          <w:szCs w:val="24"/>
        </w:rPr>
      </w:pPr>
    </w:p>
    <w:p w14:paraId="09884C1C" w14:textId="77777777" w:rsidR="006A700E" w:rsidRPr="00BE4AF3" w:rsidRDefault="006A700E" w:rsidP="0020515F">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Source: Field survey (2024).</w:t>
      </w:r>
    </w:p>
    <w:p w14:paraId="4CDC7668" w14:textId="77777777" w:rsidR="006A700E" w:rsidRPr="00BE4AF3" w:rsidRDefault="006A700E" w:rsidP="0020515F">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analysis of the length of service among airport staff reveals a diverse range of experience levels. Out of a total of 36 respondents, 22.2% have served for less than 10 years, indicating a relatively youthful workforce or recent hires. Meanwhile, 36.1% fall into the 10 to 19 years category, and another 36.1% have between 20 to 29 years of experience, suggesting a strong representation of moderately to highly experienced employees. Only 5.6% of the respondents have served for 30 years or more, highlighting that most staff members are relatively new to the industry or have transitioned in recent years. This combination of experience levels can be advantageous for the airports, as it fosters a mix of fresh perspectives and established expertise, which is essential for effective operations and continuous improvement.</w:t>
      </w:r>
      <w:bookmarkStart w:id="72" w:name="_Hlk179935418"/>
    </w:p>
    <w:p w14:paraId="560C7745" w14:textId="77777777" w:rsidR="0020515F" w:rsidRDefault="0020515F" w:rsidP="0020515F">
      <w:pPr>
        <w:spacing w:after="0" w:line="240" w:lineRule="auto"/>
        <w:jc w:val="both"/>
        <w:rPr>
          <w:rFonts w:ascii="Times New Roman" w:hAnsi="Times New Roman" w:cs="Times New Roman"/>
          <w:b/>
          <w:bCs/>
          <w:sz w:val="24"/>
          <w:szCs w:val="24"/>
        </w:rPr>
      </w:pPr>
    </w:p>
    <w:p w14:paraId="70CDB009" w14:textId="77777777" w:rsidR="0020515F" w:rsidRDefault="0020515F" w:rsidP="0020515F">
      <w:pPr>
        <w:spacing w:after="0" w:line="240" w:lineRule="auto"/>
        <w:jc w:val="both"/>
        <w:rPr>
          <w:rFonts w:ascii="Times New Roman" w:hAnsi="Times New Roman" w:cs="Times New Roman"/>
          <w:b/>
          <w:bCs/>
          <w:sz w:val="24"/>
          <w:szCs w:val="24"/>
        </w:rPr>
      </w:pPr>
    </w:p>
    <w:p w14:paraId="4C707EE9" w14:textId="77777777" w:rsidR="0020515F" w:rsidRDefault="0020515F" w:rsidP="0020515F">
      <w:pPr>
        <w:spacing w:after="0" w:line="240" w:lineRule="auto"/>
        <w:jc w:val="both"/>
        <w:rPr>
          <w:rFonts w:ascii="Times New Roman" w:hAnsi="Times New Roman" w:cs="Times New Roman"/>
          <w:b/>
          <w:bCs/>
          <w:sz w:val="24"/>
          <w:szCs w:val="24"/>
        </w:rPr>
      </w:pPr>
    </w:p>
    <w:p w14:paraId="27CA9320" w14:textId="77777777" w:rsidR="0020515F" w:rsidRDefault="0020515F" w:rsidP="0020515F">
      <w:pPr>
        <w:spacing w:after="0" w:line="240" w:lineRule="auto"/>
        <w:jc w:val="both"/>
        <w:rPr>
          <w:rFonts w:ascii="Times New Roman" w:hAnsi="Times New Roman" w:cs="Times New Roman"/>
          <w:b/>
          <w:bCs/>
          <w:sz w:val="24"/>
          <w:szCs w:val="24"/>
        </w:rPr>
      </w:pPr>
    </w:p>
    <w:p w14:paraId="032221E3" w14:textId="77777777" w:rsidR="0020515F" w:rsidRDefault="0020515F" w:rsidP="0020515F">
      <w:pPr>
        <w:spacing w:after="0" w:line="240" w:lineRule="auto"/>
        <w:jc w:val="both"/>
        <w:rPr>
          <w:rFonts w:ascii="Times New Roman" w:hAnsi="Times New Roman" w:cs="Times New Roman"/>
          <w:b/>
          <w:bCs/>
          <w:sz w:val="24"/>
          <w:szCs w:val="24"/>
        </w:rPr>
      </w:pPr>
    </w:p>
    <w:p w14:paraId="5645DA9C" w14:textId="4F7AC08E" w:rsidR="006A700E" w:rsidRPr="0020515F" w:rsidRDefault="006A700E" w:rsidP="0020515F">
      <w:pPr>
        <w:spacing w:after="0" w:line="240" w:lineRule="auto"/>
        <w:jc w:val="center"/>
        <w:rPr>
          <w:rFonts w:ascii="Times New Roman" w:hAnsi="Times New Roman" w:cs="Times New Roman"/>
          <w:b/>
          <w:bCs/>
          <w:sz w:val="24"/>
          <w:szCs w:val="24"/>
        </w:rPr>
      </w:pPr>
      <w:r w:rsidRPr="00BE4AF3">
        <w:rPr>
          <w:rFonts w:ascii="Times New Roman" w:hAnsi="Times New Roman" w:cs="Times New Roman"/>
          <w:b/>
          <w:bCs/>
          <w:sz w:val="24"/>
          <w:szCs w:val="24"/>
        </w:rPr>
        <w:lastRenderedPageBreak/>
        <w:t xml:space="preserve">Table 2: </w:t>
      </w:r>
      <w:r w:rsidRPr="0020515F">
        <w:rPr>
          <w:rFonts w:ascii="Times New Roman" w:hAnsi="Times New Roman" w:cs="Times New Roman"/>
          <w:sz w:val="24"/>
          <w:szCs w:val="24"/>
        </w:rPr>
        <w:t>Comparative Analysis of Building Maintenance Issues: Perspectives of Maintenance Staff and Users.</w:t>
      </w:r>
    </w:p>
    <w:tbl>
      <w:tblPr>
        <w:tblW w:w="8729"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2865"/>
        <w:gridCol w:w="1168"/>
        <w:gridCol w:w="1807"/>
        <w:gridCol w:w="1248"/>
        <w:gridCol w:w="1641"/>
      </w:tblGrid>
      <w:tr w:rsidR="006A700E" w:rsidRPr="0020515F" w14:paraId="5BC7FA49" w14:textId="77777777" w:rsidTr="0020515F">
        <w:trPr>
          <w:cantSplit/>
          <w:trHeight w:val="560"/>
        </w:trPr>
        <w:tc>
          <w:tcPr>
            <w:tcW w:w="2865" w:type="dxa"/>
            <w:vMerge w:val="restart"/>
            <w:tcBorders>
              <w:top w:val="single" w:sz="4" w:space="0" w:color="auto"/>
              <w:bottom w:val="single" w:sz="4" w:space="0" w:color="auto"/>
            </w:tcBorders>
            <w:tcMar>
              <w:top w:w="0" w:type="dxa"/>
              <w:left w:w="15" w:type="dxa"/>
              <w:bottom w:w="0" w:type="dxa"/>
              <w:right w:w="15" w:type="dxa"/>
            </w:tcMar>
          </w:tcPr>
          <w:p w14:paraId="50E0756D"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Building elements/Services</w:t>
            </w:r>
          </w:p>
        </w:tc>
        <w:tc>
          <w:tcPr>
            <w:tcW w:w="2975" w:type="dxa"/>
            <w:gridSpan w:val="2"/>
            <w:tcBorders>
              <w:top w:val="single" w:sz="4" w:space="0" w:color="auto"/>
              <w:bottom w:val="single" w:sz="4" w:space="0" w:color="auto"/>
            </w:tcBorders>
            <w:tcMar>
              <w:top w:w="15" w:type="dxa"/>
              <w:left w:w="15" w:type="dxa"/>
              <w:bottom w:w="0" w:type="dxa"/>
              <w:right w:w="15" w:type="dxa"/>
            </w:tcMar>
          </w:tcPr>
          <w:p w14:paraId="4E05BFDF"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Maintenance Staff Response</w:t>
            </w:r>
          </w:p>
        </w:tc>
        <w:tc>
          <w:tcPr>
            <w:tcW w:w="2889" w:type="dxa"/>
            <w:gridSpan w:val="2"/>
            <w:tcBorders>
              <w:top w:val="single" w:sz="4" w:space="0" w:color="auto"/>
              <w:bottom w:val="single" w:sz="4" w:space="0" w:color="auto"/>
            </w:tcBorders>
            <w:tcMar>
              <w:top w:w="0" w:type="dxa"/>
              <w:left w:w="15" w:type="dxa"/>
              <w:bottom w:w="0" w:type="dxa"/>
              <w:right w:w="15" w:type="dxa"/>
            </w:tcMar>
          </w:tcPr>
          <w:p w14:paraId="4D9EAFB8"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Users Response</w:t>
            </w:r>
          </w:p>
        </w:tc>
      </w:tr>
      <w:tr w:rsidR="006A700E" w:rsidRPr="0020515F" w14:paraId="4E2E2537" w14:textId="77777777" w:rsidTr="0020515F">
        <w:trPr>
          <w:cantSplit/>
          <w:trHeight w:val="340"/>
        </w:trPr>
        <w:tc>
          <w:tcPr>
            <w:tcW w:w="2865" w:type="dxa"/>
            <w:vMerge/>
            <w:tcBorders>
              <w:top w:val="single" w:sz="4" w:space="0" w:color="auto"/>
              <w:bottom w:val="single" w:sz="4" w:space="0" w:color="auto"/>
            </w:tcBorders>
            <w:vAlign w:val="center"/>
          </w:tcPr>
          <w:p w14:paraId="21D9B78F" w14:textId="77777777" w:rsidR="006A700E" w:rsidRPr="0020515F" w:rsidRDefault="006A700E" w:rsidP="0020515F">
            <w:pPr>
              <w:spacing w:after="0" w:line="240" w:lineRule="auto"/>
              <w:rPr>
                <w:rFonts w:ascii="Times New Roman" w:hAnsi="Times New Roman" w:cs="Times New Roman"/>
                <w:sz w:val="20"/>
                <w:szCs w:val="20"/>
              </w:rPr>
            </w:pPr>
          </w:p>
        </w:tc>
        <w:tc>
          <w:tcPr>
            <w:tcW w:w="1168" w:type="dxa"/>
            <w:tcBorders>
              <w:top w:val="single" w:sz="4" w:space="0" w:color="auto"/>
              <w:bottom w:val="single" w:sz="4" w:space="0" w:color="auto"/>
            </w:tcBorders>
            <w:tcMar>
              <w:top w:w="15" w:type="dxa"/>
              <w:left w:w="15" w:type="dxa"/>
              <w:bottom w:w="0" w:type="dxa"/>
              <w:right w:w="15" w:type="dxa"/>
            </w:tcMar>
          </w:tcPr>
          <w:p w14:paraId="3863B826"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Mean</w:t>
            </w:r>
          </w:p>
        </w:tc>
        <w:tc>
          <w:tcPr>
            <w:tcW w:w="1807" w:type="dxa"/>
            <w:tcBorders>
              <w:top w:val="single" w:sz="4" w:space="0" w:color="auto"/>
              <w:bottom w:val="single" w:sz="4" w:space="0" w:color="auto"/>
            </w:tcBorders>
            <w:tcMar>
              <w:top w:w="15" w:type="dxa"/>
              <w:left w:w="15" w:type="dxa"/>
              <w:bottom w:w="0" w:type="dxa"/>
              <w:right w:w="15" w:type="dxa"/>
            </w:tcMar>
          </w:tcPr>
          <w:p w14:paraId="649C636B"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Overall Ranking</w:t>
            </w:r>
          </w:p>
        </w:tc>
        <w:tc>
          <w:tcPr>
            <w:tcW w:w="1248" w:type="dxa"/>
            <w:tcBorders>
              <w:top w:val="single" w:sz="4" w:space="0" w:color="auto"/>
              <w:bottom w:val="single" w:sz="4" w:space="0" w:color="auto"/>
            </w:tcBorders>
            <w:tcMar>
              <w:top w:w="15" w:type="dxa"/>
              <w:left w:w="15" w:type="dxa"/>
              <w:bottom w:w="0" w:type="dxa"/>
              <w:right w:w="15" w:type="dxa"/>
            </w:tcMar>
          </w:tcPr>
          <w:p w14:paraId="5E9EE300"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Mean</w:t>
            </w:r>
          </w:p>
        </w:tc>
        <w:tc>
          <w:tcPr>
            <w:tcW w:w="1641" w:type="dxa"/>
            <w:tcBorders>
              <w:top w:val="single" w:sz="4" w:space="0" w:color="auto"/>
              <w:bottom w:val="single" w:sz="4" w:space="0" w:color="auto"/>
            </w:tcBorders>
            <w:tcMar>
              <w:top w:w="15" w:type="dxa"/>
              <w:left w:w="15" w:type="dxa"/>
              <w:bottom w:w="0" w:type="dxa"/>
              <w:right w:w="15" w:type="dxa"/>
            </w:tcMar>
          </w:tcPr>
          <w:p w14:paraId="10775CC1"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Overall Ranking</w:t>
            </w:r>
          </w:p>
        </w:tc>
      </w:tr>
      <w:tr w:rsidR="006A700E" w:rsidRPr="0020515F" w14:paraId="7EE88ED0" w14:textId="77777777" w:rsidTr="0020515F">
        <w:trPr>
          <w:trHeight w:val="280"/>
        </w:trPr>
        <w:tc>
          <w:tcPr>
            <w:tcW w:w="2865" w:type="dxa"/>
            <w:tcBorders>
              <w:top w:val="single" w:sz="4" w:space="0" w:color="auto"/>
            </w:tcBorders>
            <w:tcMar>
              <w:top w:w="15" w:type="dxa"/>
              <w:left w:w="15" w:type="dxa"/>
              <w:bottom w:w="0" w:type="dxa"/>
              <w:right w:w="15" w:type="dxa"/>
            </w:tcMar>
            <w:vAlign w:val="center"/>
          </w:tcPr>
          <w:p w14:paraId="5B56854C"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Electrical faults</w:t>
            </w:r>
          </w:p>
        </w:tc>
        <w:tc>
          <w:tcPr>
            <w:tcW w:w="1168" w:type="dxa"/>
            <w:tcBorders>
              <w:top w:val="single" w:sz="4" w:space="0" w:color="auto"/>
            </w:tcBorders>
            <w:tcMar>
              <w:top w:w="15" w:type="dxa"/>
              <w:left w:w="15" w:type="dxa"/>
              <w:bottom w:w="0" w:type="dxa"/>
              <w:right w:w="15" w:type="dxa"/>
            </w:tcMar>
            <w:vAlign w:val="center"/>
          </w:tcPr>
          <w:p w14:paraId="2144980B"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3.74</w:t>
            </w:r>
          </w:p>
        </w:tc>
        <w:tc>
          <w:tcPr>
            <w:tcW w:w="1807" w:type="dxa"/>
            <w:tcBorders>
              <w:top w:val="single" w:sz="4" w:space="0" w:color="auto"/>
            </w:tcBorders>
            <w:tcMar>
              <w:top w:w="15" w:type="dxa"/>
              <w:left w:w="15" w:type="dxa"/>
              <w:bottom w:w="0" w:type="dxa"/>
              <w:right w:w="15" w:type="dxa"/>
            </w:tcMar>
          </w:tcPr>
          <w:p w14:paraId="5F8992E5"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1</w:t>
            </w:r>
          </w:p>
        </w:tc>
        <w:tc>
          <w:tcPr>
            <w:tcW w:w="1248" w:type="dxa"/>
            <w:tcBorders>
              <w:top w:val="single" w:sz="4" w:space="0" w:color="auto"/>
            </w:tcBorders>
            <w:tcMar>
              <w:top w:w="15" w:type="dxa"/>
              <w:left w:w="15" w:type="dxa"/>
              <w:bottom w:w="0" w:type="dxa"/>
              <w:right w:w="15" w:type="dxa"/>
            </w:tcMar>
          </w:tcPr>
          <w:p w14:paraId="3BD53E2C"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3.44</w:t>
            </w:r>
          </w:p>
        </w:tc>
        <w:tc>
          <w:tcPr>
            <w:tcW w:w="1641" w:type="dxa"/>
            <w:tcBorders>
              <w:top w:val="single" w:sz="4" w:space="0" w:color="auto"/>
            </w:tcBorders>
            <w:tcMar>
              <w:top w:w="15" w:type="dxa"/>
              <w:left w:w="15" w:type="dxa"/>
              <w:bottom w:w="0" w:type="dxa"/>
              <w:right w:w="15" w:type="dxa"/>
            </w:tcMar>
          </w:tcPr>
          <w:p w14:paraId="7EBEF5CC"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w:t>
            </w:r>
          </w:p>
        </w:tc>
      </w:tr>
      <w:tr w:rsidR="006A700E" w:rsidRPr="0020515F" w14:paraId="46F47C11" w14:textId="77777777" w:rsidTr="0020515F">
        <w:trPr>
          <w:trHeight w:val="280"/>
        </w:trPr>
        <w:tc>
          <w:tcPr>
            <w:tcW w:w="2865" w:type="dxa"/>
            <w:tcMar>
              <w:top w:w="15" w:type="dxa"/>
              <w:left w:w="15" w:type="dxa"/>
              <w:bottom w:w="0" w:type="dxa"/>
              <w:right w:w="15" w:type="dxa"/>
            </w:tcMar>
            <w:vAlign w:val="center"/>
          </w:tcPr>
          <w:p w14:paraId="3ABBBD92"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Roof leakages</w:t>
            </w:r>
          </w:p>
        </w:tc>
        <w:tc>
          <w:tcPr>
            <w:tcW w:w="1168" w:type="dxa"/>
            <w:tcMar>
              <w:top w:w="15" w:type="dxa"/>
              <w:left w:w="15" w:type="dxa"/>
              <w:bottom w:w="0" w:type="dxa"/>
              <w:right w:w="15" w:type="dxa"/>
            </w:tcMar>
            <w:vAlign w:val="center"/>
          </w:tcPr>
          <w:p w14:paraId="4F645531"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3.66</w:t>
            </w:r>
          </w:p>
        </w:tc>
        <w:tc>
          <w:tcPr>
            <w:tcW w:w="1807" w:type="dxa"/>
            <w:tcMar>
              <w:top w:w="15" w:type="dxa"/>
              <w:left w:w="15" w:type="dxa"/>
              <w:bottom w:w="0" w:type="dxa"/>
              <w:right w:w="15" w:type="dxa"/>
            </w:tcMar>
          </w:tcPr>
          <w:p w14:paraId="572519C2"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2</w:t>
            </w:r>
          </w:p>
        </w:tc>
        <w:tc>
          <w:tcPr>
            <w:tcW w:w="1248" w:type="dxa"/>
            <w:tcMar>
              <w:top w:w="15" w:type="dxa"/>
              <w:left w:w="15" w:type="dxa"/>
              <w:bottom w:w="0" w:type="dxa"/>
              <w:right w:w="15" w:type="dxa"/>
            </w:tcMar>
          </w:tcPr>
          <w:p w14:paraId="455A02F7"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3.66</w:t>
            </w:r>
          </w:p>
        </w:tc>
        <w:tc>
          <w:tcPr>
            <w:tcW w:w="1641" w:type="dxa"/>
            <w:tcMar>
              <w:top w:w="15" w:type="dxa"/>
              <w:left w:w="15" w:type="dxa"/>
              <w:bottom w:w="0" w:type="dxa"/>
              <w:right w:w="15" w:type="dxa"/>
            </w:tcMar>
          </w:tcPr>
          <w:p w14:paraId="29308F41"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1</w:t>
            </w:r>
          </w:p>
        </w:tc>
      </w:tr>
      <w:tr w:rsidR="006A700E" w:rsidRPr="0020515F" w14:paraId="58E6AFEB" w14:textId="77777777" w:rsidTr="0020515F">
        <w:trPr>
          <w:trHeight w:val="280"/>
        </w:trPr>
        <w:tc>
          <w:tcPr>
            <w:tcW w:w="2865" w:type="dxa"/>
            <w:tcMar>
              <w:top w:w="15" w:type="dxa"/>
              <w:left w:w="15" w:type="dxa"/>
              <w:bottom w:w="0" w:type="dxa"/>
              <w:right w:w="15" w:type="dxa"/>
            </w:tcMar>
            <w:vAlign w:val="center"/>
          </w:tcPr>
          <w:p w14:paraId="2C486EA5"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Faulty abio bridge</w:t>
            </w:r>
          </w:p>
        </w:tc>
        <w:tc>
          <w:tcPr>
            <w:tcW w:w="1168" w:type="dxa"/>
            <w:tcMar>
              <w:top w:w="15" w:type="dxa"/>
              <w:left w:w="15" w:type="dxa"/>
              <w:bottom w:w="0" w:type="dxa"/>
              <w:right w:w="15" w:type="dxa"/>
            </w:tcMar>
            <w:vAlign w:val="center"/>
          </w:tcPr>
          <w:p w14:paraId="71C97AF1"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3.40</w:t>
            </w:r>
          </w:p>
        </w:tc>
        <w:tc>
          <w:tcPr>
            <w:tcW w:w="1807" w:type="dxa"/>
            <w:tcMar>
              <w:top w:w="15" w:type="dxa"/>
              <w:left w:w="15" w:type="dxa"/>
              <w:bottom w:w="0" w:type="dxa"/>
              <w:right w:w="15" w:type="dxa"/>
            </w:tcMar>
          </w:tcPr>
          <w:p w14:paraId="597E68EF"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w:t>
            </w:r>
          </w:p>
        </w:tc>
        <w:tc>
          <w:tcPr>
            <w:tcW w:w="1248" w:type="dxa"/>
            <w:tcMar>
              <w:top w:w="15" w:type="dxa"/>
              <w:left w:w="15" w:type="dxa"/>
              <w:bottom w:w="0" w:type="dxa"/>
              <w:right w:w="15" w:type="dxa"/>
            </w:tcMar>
          </w:tcPr>
          <w:p w14:paraId="618C7C8D"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2.59</w:t>
            </w:r>
          </w:p>
        </w:tc>
        <w:tc>
          <w:tcPr>
            <w:tcW w:w="1641" w:type="dxa"/>
            <w:tcMar>
              <w:top w:w="15" w:type="dxa"/>
              <w:left w:w="15" w:type="dxa"/>
              <w:bottom w:w="0" w:type="dxa"/>
              <w:right w:w="15" w:type="dxa"/>
            </w:tcMar>
          </w:tcPr>
          <w:p w14:paraId="6593245B"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22</w:t>
            </w:r>
          </w:p>
        </w:tc>
      </w:tr>
      <w:tr w:rsidR="006A700E" w:rsidRPr="0020515F" w14:paraId="4B1ECEA7" w14:textId="77777777" w:rsidTr="0020515F">
        <w:trPr>
          <w:trHeight w:val="280"/>
        </w:trPr>
        <w:tc>
          <w:tcPr>
            <w:tcW w:w="2865" w:type="dxa"/>
            <w:tcMar>
              <w:top w:w="15" w:type="dxa"/>
              <w:left w:w="15" w:type="dxa"/>
              <w:bottom w:w="0" w:type="dxa"/>
              <w:right w:w="15" w:type="dxa"/>
            </w:tcMar>
            <w:vAlign w:val="center"/>
          </w:tcPr>
          <w:p w14:paraId="24F7A3B0"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Run-down in cooling system</w:t>
            </w:r>
          </w:p>
        </w:tc>
        <w:tc>
          <w:tcPr>
            <w:tcW w:w="1168" w:type="dxa"/>
            <w:tcMar>
              <w:top w:w="15" w:type="dxa"/>
              <w:left w:w="15" w:type="dxa"/>
              <w:bottom w:w="0" w:type="dxa"/>
              <w:right w:w="15" w:type="dxa"/>
            </w:tcMar>
            <w:vAlign w:val="center"/>
          </w:tcPr>
          <w:p w14:paraId="4B4F5E32"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3.32</w:t>
            </w:r>
          </w:p>
        </w:tc>
        <w:tc>
          <w:tcPr>
            <w:tcW w:w="1807" w:type="dxa"/>
            <w:tcMar>
              <w:top w:w="15" w:type="dxa"/>
              <w:left w:w="15" w:type="dxa"/>
              <w:bottom w:w="0" w:type="dxa"/>
              <w:right w:w="15" w:type="dxa"/>
            </w:tcMar>
          </w:tcPr>
          <w:p w14:paraId="3EDD740A"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4</w:t>
            </w:r>
          </w:p>
        </w:tc>
        <w:tc>
          <w:tcPr>
            <w:tcW w:w="1248" w:type="dxa"/>
            <w:tcMar>
              <w:top w:w="15" w:type="dxa"/>
              <w:left w:w="15" w:type="dxa"/>
              <w:bottom w:w="0" w:type="dxa"/>
              <w:right w:w="15" w:type="dxa"/>
            </w:tcMar>
          </w:tcPr>
          <w:p w14:paraId="50B96F3C"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3.29</w:t>
            </w:r>
          </w:p>
        </w:tc>
        <w:tc>
          <w:tcPr>
            <w:tcW w:w="1641" w:type="dxa"/>
            <w:tcMar>
              <w:top w:w="15" w:type="dxa"/>
              <w:left w:w="15" w:type="dxa"/>
              <w:bottom w:w="0" w:type="dxa"/>
              <w:right w:w="15" w:type="dxa"/>
            </w:tcMar>
          </w:tcPr>
          <w:p w14:paraId="74ED3533"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8</w:t>
            </w:r>
          </w:p>
        </w:tc>
      </w:tr>
      <w:tr w:rsidR="006A700E" w:rsidRPr="0020515F" w14:paraId="36672969" w14:textId="77777777" w:rsidTr="0020515F">
        <w:trPr>
          <w:trHeight w:val="280"/>
        </w:trPr>
        <w:tc>
          <w:tcPr>
            <w:tcW w:w="2865" w:type="dxa"/>
            <w:tcMar>
              <w:top w:w="15" w:type="dxa"/>
              <w:left w:w="15" w:type="dxa"/>
              <w:bottom w:w="0" w:type="dxa"/>
              <w:right w:w="15" w:type="dxa"/>
            </w:tcMar>
            <w:vAlign w:val="center"/>
          </w:tcPr>
          <w:p w14:paraId="77EAB082"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Broken floor/wall tiles</w:t>
            </w:r>
          </w:p>
        </w:tc>
        <w:tc>
          <w:tcPr>
            <w:tcW w:w="1168" w:type="dxa"/>
            <w:tcMar>
              <w:top w:w="15" w:type="dxa"/>
              <w:left w:w="15" w:type="dxa"/>
              <w:bottom w:w="0" w:type="dxa"/>
              <w:right w:w="15" w:type="dxa"/>
            </w:tcMar>
            <w:vAlign w:val="center"/>
          </w:tcPr>
          <w:p w14:paraId="01827540"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3.29</w:t>
            </w:r>
          </w:p>
        </w:tc>
        <w:tc>
          <w:tcPr>
            <w:tcW w:w="1807" w:type="dxa"/>
            <w:tcMar>
              <w:top w:w="15" w:type="dxa"/>
              <w:left w:w="15" w:type="dxa"/>
              <w:bottom w:w="0" w:type="dxa"/>
              <w:right w:w="15" w:type="dxa"/>
            </w:tcMar>
          </w:tcPr>
          <w:p w14:paraId="04D8BBD8"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5</w:t>
            </w:r>
          </w:p>
        </w:tc>
        <w:tc>
          <w:tcPr>
            <w:tcW w:w="1248" w:type="dxa"/>
            <w:tcMar>
              <w:top w:w="15" w:type="dxa"/>
              <w:left w:w="15" w:type="dxa"/>
              <w:bottom w:w="0" w:type="dxa"/>
              <w:right w:w="15" w:type="dxa"/>
            </w:tcMar>
          </w:tcPr>
          <w:p w14:paraId="09AB0BAA"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3.35</w:t>
            </w:r>
          </w:p>
        </w:tc>
        <w:tc>
          <w:tcPr>
            <w:tcW w:w="1641" w:type="dxa"/>
            <w:tcMar>
              <w:top w:w="15" w:type="dxa"/>
              <w:left w:w="15" w:type="dxa"/>
              <w:bottom w:w="0" w:type="dxa"/>
              <w:right w:w="15" w:type="dxa"/>
            </w:tcMar>
          </w:tcPr>
          <w:p w14:paraId="01EB2E98"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6</w:t>
            </w:r>
          </w:p>
        </w:tc>
      </w:tr>
      <w:tr w:rsidR="006A700E" w:rsidRPr="0020515F" w14:paraId="6AD9E6BB" w14:textId="77777777" w:rsidTr="0020515F">
        <w:trPr>
          <w:trHeight w:val="396"/>
        </w:trPr>
        <w:tc>
          <w:tcPr>
            <w:tcW w:w="2865" w:type="dxa"/>
            <w:tcMar>
              <w:top w:w="15" w:type="dxa"/>
              <w:left w:w="15" w:type="dxa"/>
              <w:bottom w:w="0" w:type="dxa"/>
              <w:right w:w="15" w:type="dxa"/>
            </w:tcMar>
            <w:vAlign w:val="center"/>
          </w:tcPr>
          <w:p w14:paraId="2EAC62EB"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Damaged taps/valves</w:t>
            </w:r>
          </w:p>
        </w:tc>
        <w:tc>
          <w:tcPr>
            <w:tcW w:w="1168" w:type="dxa"/>
            <w:tcMar>
              <w:top w:w="15" w:type="dxa"/>
              <w:left w:w="15" w:type="dxa"/>
              <w:bottom w:w="0" w:type="dxa"/>
              <w:right w:w="15" w:type="dxa"/>
            </w:tcMar>
            <w:vAlign w:val="center"/>
          </w:tcPr>
          <w:p w14:paraId="265B8FCA"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3.24</w:t>
            </w:r>
          </w:p>
        </w:tc>
        <w:tc>
          <w:tcPr>
            <w:tcW w:w="1807" w:type="dxa"/>
            <w:tcMar>
              <w:top w:w="15" w:type="dxa"/>
              <w:left w:w="15" w:type="dxa"/>
              <w:bottom w:w="0" w:type="dxa"/>
              <w:right w:w="15" w:type="dxa"/>
            </w:tcMar>
          </w:tcPr>
          <w:p w14:paraId="21A7F7A0"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6</w:t>
            </w:r>
          </w:p>
        </w:tc>
        <w:tc>
          <w:tcPr>
            <w:tcW w:w="1248" w:type="dxa"/>
            <w:tcMar>
              <w:top w:w="15" w:type="dxa"/>
              <w:left w:w="15" w:type="dxa"/>
              <w:bottom w:w="0" w:type="dxa"/>
              <w:right w:w="15" w:type="dxa"/>
            </w:tcMar>
          </w:tcPr>
          <w:p w14:paraId="43D3744A"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3.26</w:t>
            </w:r>
          </w:p>
        </w:tc>
        <w:tc>
          <w:tcPr>
            <w:tcW w:w="1641" w:type="dxa"/>
            <w:tcMar>
              <w:top w:w="15" w:type="dxa"/>
              <w:left w:w="15" w:type="dxa"/>
              <w:bottom w:w="0" w:type="dxa"/>
              <w:right w:w="15" w:type="dxa"/>
            </w:tcMar>
          </w:tcPr>
          <w:p w14:paraId="22211972"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11</w:t>
            </w:r>
          </w:p>
        </w:tc>
      </w:tr>
      <w:tr w:rsidR="006A700E" w:rsidRPr="0020515F" w14:paraId="526785BC" w14:textId="77777777" w:rsidTr="0020515F">
        <w:trPr>
          <w:trHeight w:val="560"/>
        </w:trPr>
        <w:tc>
          <w:tcPr>
            <w:tcW w:w="2865" w:type="dxa"/>
            <w:tcMar>
              <w:top w:w="15" w:type="dxa"/>
              <w:left w:w="15" w:type="dxa"/>
              <w:bottom w:w="0" w:type="dxa"/>
              <w:right w:w="15" w:type="dxa"/>
            </w:tcMar>
            <w:vAlign w:val="center"/>
          </w:tcPr>
          <w:p w14:paraId="4475763D"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Damaged doors</w:t>
            </w:r>
          </w:p>
        </w:tc>
        <w:tc>
          <w:tcPr>
            <w:tcW w:w="1168" w:type="dxa"/>
            <w:tcMar>
              <w:top w:w="15" w:type="dxa"/>
              <w:left w:w="15" w:type="dxa"/>
              <w:bottom w:w="0" w:type="dxa"/>
              <w:right w:w="15" w:type="dxa"/>
            </w:tcMar>
            <w:vAlign w:val="center"/>
          </w:tcPr>
          <w:p w14:paraId="6945E7FC"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3.21</w:t>
            </w:r>
          </w:p>
        </w:tc>
        <w:tc>
          <w:tcPr>
            <w:tcW w:w="1807" w:type="dxa"/>
            <w:tcMar>
              <w:top w:w="15" w:type="dxa"/>
              <w:left w:w="15" w:type="dxa"/>
              <w:bottom w:w="0" w:type="dxa"/>
              <w:right w:w="15" w:type="dxa"/>
            </w:tcMar>
          </w:tcPr>
          <w:p w14:paraId="39E1A8FB"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7</w:t>
            </w:r>
          </w:p>
        </w:tc>
        <w:tc>
          <w:tcPr>
            <w:tcW w:w="1248" w:type="dxa"/>
            <w:tcMar>
              <w:top w:w="15" w:type="dxa"/>
              <w:left w:w="15" w:type="dxa"/>
              <w:bottom w:w="0" w:type="dxa"/>
              <w:right w:w="15" w:type="dxa"/>
            </w:tcMar>
          </w:tcPr>
          <w:p w14:paraId="211C7762"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3.29</w:t>
            </w:r>
          </w:p>
        </w:tc>
        <w:tc>
          <w:tcPr>
            <w:tcW w:w="1641" w:type="dxa"/>
            <w:tcMar>
              <w:top w:w="15" w:type="dxa"/>
              <w:left w:w="15" w:type="dxa"/>
              <w:bottom w:w="0" w:type="dxa"/>
              <w:right w:w="15" w:type="dxa"/>
            </w:tcMar>
          </w:tcPr>
          <w:p w14:paraId="5C1CA80B"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8</w:t>
            </w:r>
          </w:p>
        </w:tc>
      </w:tr>
      <w:tr w:rsidR="006A700E" w:rsidRPr="0020515F" w14:paraId="7A3907B0" w14:textId="77777777" w:rsidTr="0020515F">
        <w:trPr>
          <w:trHeight w:val="350"/>
        </w:trPr>
        <w:tc>
          <w:tcPr>
            <w:tcW w:w="2865" w:type="dxa"/>
            <w:tcMar>
              <w:top w:w="15" w:type="dxa"/>
              <w:left w:w="15" w:type="dxa"/>
              <w:bottom w:w="0" w:type="dxa"/>
              <w:right w:w="15" w:type="dxa"/>
            </w:tcMar>
            <w:vAlign w:val="center"/>
          </w:tcPr>
          <w:p w14:paraId="68827208"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Damaged window panel</w:t>
            </w:r>
          </w:p>
        </w:tc>
        <w:tc>
          <w:tcPr>
            <w:tcW w:w="1168" w:type="dxa"/>
            <w:tcMar>
              <w:top w:w="15" w:type="dxa"/>
              <w:left w:w="15" w:type="dxa"/>
              <w:bottom w:w="0" w:type="dxa"/>
              <w:right w:w="15" w:type="dxa"/>
            </w:tcMar>
            <w:vAlign w:val="center"/>
          </w:tcPr>
          <w:p w14:paraId="6F5D9CF5"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3.09</w:t>
            </w:r>
          </w:p>
        </w:tc>
        <w:tc>
          <w:tcPr>
            <w:tcW w:w="1807" w:type="dxa"/>
            <w:tcMar>
              <w:top w:w="15" w:type="dxa"/>
              <w:left w:w="15" w:type="dxa"/>
              <w:bottom w:w="0" w:type="dxa"/>
              <w:right w:w="15" w:type="dxa"/>
            </w:tcMar>
          </w:tcPr>
          <w:p w14:paraId="755B4D19"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8</w:t>
            </w:r>
          </w:p>
        </w:tc>
        <w:tc>
          <w:tcPr>
            <w:tcW w:w="1248" w:type="dxa"/>
            <w:tcMar>
              <w:top w:w="15" w:type="dxa"/>
              <w:left w:w="15" w:type="dxa"/>
              <w:bottom w:w="0" w:type="dxa"/>
              <w:right w:w="15" w:type="dxa"/>
            </w:tcMar>
          </w:tcPr>
          <w:p w14:paraId="4AA9C014"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3.41</w:t>
            </w:r>
          </w:p>
        </w:tc>
        <w:tc>
          <w:tcPr>
            <w:tcW w:w="1641" w:type="dxa"/>
            <w:tcMar>
              <w:top w:w="15" w:type="dxa"/>
              <w:left w:w="15" w:type="dxa"/>
              <w:bottom w:w="0" w:type="dxa"/>
              <w:right w:w="15" w:type="dxa"/>
            </w:tcMar>
          </w:tcPr>
          <w:p w14:paraId="6D3A8CD0"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5</w:t>
            </w:r>
          </w:p>
        </w:tc>
      </w:tr>
      <w:tr w:rsidR="006A700E" w:rsidRPr="0020515F" w14:paraId="4A2CF79E" w14:textId="77777777" w:rsidTr="0020515F">
        <w:trPr>
          <w:trHeight w:val="280"/>
        </w:trPr>
        <w:tc>
          <w:tcPr>
            <w:tcW w:w="2865" w:type="dxa"/>
            <w:tcMar>
              <w:top w:w="15" w:type="dxa"/>
              <w:left w:w="15" w:type="dxa"/>
              <w:bottom w:w="0" w:type="dxa"/>
              <w:right w:w="15" w:type="dxa"/>
            </w:tcMar>
            <w:vAlign w:val="center"/>
          </w:tcPr>
          <w:p w14:paraId="78E8DC27"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Security lapses</w:t>
            </w:r>
          </w:p>
        </w:tc>
        <w:tc>
          <w:tcPr>
            <w:tcW w:w="1168" w:type="dxa"/>
            <w:tcMar>
              <w:top w:w="15" w:type="dxa"/>
              <w:left w:w="15" w:type="dxa"/>
              <w:bottom w:w="0" w:type="dxa"/>
              <w:right w:w="15" w:type="dxa"/>
            </w:tcMar>
            <w:vAlign w:val="center"/>
          </w:tcPr>
          <w:p w14:paraId="1852AFB1"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3.09</w:t>
            </w:r>
          </w:p>
        </w:tc>
        <w:tc>
          <w:tcPr>
            <w:tcW w:w="1807" w:type="dxa"/>
            <w:tcMar>
              <w:top w:w="15" w:type="dxa"/>
              <w:left w:w="15" w:type="dxa"/>
              <w:bottom w:w="0" w:type="dxa"/>
              <w:right w:w="15" w:type="dxa"/>
            </w:tcMar>
          </w:tcPr>
          <w:p w14:paraId="372AE5F4"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8</w:t>
            </w:r>
          </w:p>
        </w:tc>
        <w:tc>
          <w:tcPr>
            <w:tcW w:w="1248" w:type="dxa"/>
            <w:tcMar>
              <w:top w:w="15" w:type="dxa"/>
              <w:left w:w="15" w:type="dxa"/>
              <w:bottom w:w="0" w:type="dxa"/>
              <w:right w:w="15" w:type="dxa"/>
            </w:tcMar>
          </w:tcPr>
          <w:p w14:paraId="03C49484"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3.21</w:t>
            </w:r>
          </w:p>
        </w:tc>
        <w:tc>
          <w:tcPr>
            <w:tcW w:w="1641" w:type="dxa"/>
            <w:tcMar>
              <w:top w:w="15" w:type="dxa"/>
              <w:left w:w="15" w:type="dxa"/>
              <w:bottom w:w="0" w:type="dxa"/>
              <w:right w:w="15" w:type="dxa"/>
            </w:tcMar>
          </w:tcPr>
          <w:p w14:paraId="27823B62"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14</w:t>
            </w:r>
          </w:p>
        </w:tc>
      </w:tr>
      <w:tr w:rsidR="006A700E" w:rsidRPr="0020515F" w14:paraId="48E3D995" w14:textId="77777777" w:rsidTr="0020515F">
        <w:trPr>
          <w:trHeight w:val="280"/>
        </w:trPr>
        <w:tc>
          <w:tcPr>
            <w:tcW w:w="2865" w:type="dxa"/>
            <w:tcMar>
              <w:top w:w="15" w:type="dxa"/>
              <w:left w:w="15" w:type="dxa"/>
              <w:bottom w:w="0" w:type="dxa"/>
              <w:right w:w="15" w:type="dxa"/>
            </w:tcMar>
            <w:vAlign w:val="center"/>
          </w:tcPr>
          <w:p w14:paraId="3A243A25"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Faulty scanning machine</w:t>
            </w:r>
          </w:p>
        </w:tc>
        <w:tc>
          <w:tcPr>
            <w:tcW w:w="1168" w:type="dxa"/>
            <w:tcMar>
              <w:top w:w="15" w:type="dxa"/>
              <w:left w:w="15" w:type="dxa"/>
              <w:bottom w:w="0" w:type="dxa"/>
              <w:right w:w="15" w:type="dxa"/>
            </w:tcMar>
            <w:vAlign w:val="center"/>
          </w:tcPr>
          <w:p w14:paraId="1AD77DCD"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3.09</w:t>
            </w:r>
          </w:p>
        </w:tc>
        <w:tc>
          <w:tcPr>
            <w:tcW w:w="1807" w:type="dxa"/>
            <w:tcMar>
              <w:top w:w="15" w:type="dxa"/>
              <w:left w:w="15" w:type="dxa"/>
              <w:bottom w:w="0" w:type="dxa"/>
              <w:right w:w="15" w:type="dxa"/>
            </w:tcMar>
          </w:tcPr>
          <w:p w14:paraId="5801EB93"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8</w:t>
            </w:r>
          </w:p>
        </w:tc>
        <w:tc>
          <w:tcPr>
            <w:tcW w:w="1248" w:type="dxa"/>
            <w:tcMar>
              <w:top w:w="15" w:type="dxa"/>
              <w:left w:w="15" w:type="dxa"/>
              <w:bottom w:w="0" w:type="dxa"/>
              <w:right w:w="15" w:type="dxa"/>
            </w:tcMar>
          </w:tcPr>
          <w:p w14:paraId="5CB758E4"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2.85</w:t>
            </w:r>
          </w:p>
        </w:tc>
        <w:tc>
          <w:tcPr>
            <w:tcW w:w="1641" w:type="dxa"/>
            <w:tcMar>
              <w:top w:w="15" w:type="dxa"/>
              <w:left w:w="15" w:type="dxa"/>
              <w:bottom w:w="0" w:type="dxa"/>
              <w:right w:w="15" w:type="dxa"/>
            </w:tcMar>
          </w:tcPr>
          <w:p w14:paraId="00DA11A7"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19</w:t>
            </w:r>
          </w:p>
        </w:tc>
      </w:tr>
      <w:tr w:rsidR="006A700E" w:rsidRPr="0020515F" w14:paraId="78908681" w14:textId="77777777" w:rsidTr="0020515F">
        <w:trPr>
          <w:trHeight w:val="280"/>
        </w:trPr>
        <w:tc>
          <w:tcPr>
            <w:tcW w:w="2865" w:type="dxa"/>
            <w:tcMar>
              <w:top w:w="15" w:type="dxa"/>
              <w:left w:w="15" w:type="dxa"/>
              <w:bottom w:w="0" w:type="dxa"/>
              <w:right w:w="15" w:type="dxa"/>
            </w:tcMar>
            <w:vAlign w:val="center"/>
          </w:tcPr>
          <w:p w14:paraId="681EFF85"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Poor waste disposal system</w:t>
            </w:r>
          </w:p>
        </w:tc>
        <w:tc>
          <w:tcPr>
            <w:tcW w:w="1168" w:type="dxa"/>
            <w:tcMar>
              <w:top w:w="15" w:type="dxa"/>
              <w:left w:w="15" w:type="dxa"/>
              <w:bottom w:w="0" w:type="dxa"/>
              <w:right w:w="15" w:type="dxa"/>
            </w:tcMar>
            <w:vAlign w:val="center"/>
          </w:tcPr>
          <w:p w14:paraId="083D872F"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3.06</w:t>
            </w:r>
          </w:p>
        </w:tc>
        <w:tc>
          <w:tcPr>
            <w:tcW w:w="1807" w:type="dxa"/>
            <w:tcMar>
              <w:top w:w="15" w:type="dxa"/>
              <w:left w:w="15" w:type="dxa"/>
              <w:bottom w:w="0" w:type="dxa"/>
              <w:right w:w="15" w:type="dxa"/>
            </w:tcMar>
          </w:tcPr>
          <w:p w14:paraId="3B77BED6"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11</w:t>
            </w:r>
          </w:p>
        </w:tc>
        <w:tc>
          <w:tcPr>
            <w:tcW w:w="1248" w:type="dxa"/>
            <w:tcMar>
              <w:top w:w="15" w:type="dxa"/>
              <w:left w:w="15" w:type="dxa"/>
              <w:bottom w:w="0" w:type="dxa"/>
              <w:right w:w="15" w:type="dxa"/>
            </w:tcMar>
          </w:tcPr>
          <w:p w14:paraId="7BE0EA62"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3.26</w:t>
            </w:r>
          </w:p>
        </w:tc>
        <w:tc>
          <w:tcPr>
            <w:tcW w:w="1641" w:type="dxa"/>
            <w:tcMar>
              <w:top w:w="15" w:type="dxa"/>
              <w:left w:w="15" w:type="dxa"/>
              <w:bottom w:w="0" w:type="dxa"/>
              <w:right w:w="15" w:type="dxa"/>
            </w:tcMar>
          </w:tcPr>
          <w:p w14:paraId="7E8CBF36"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11</w:t>
            </w:r>
          </w:p>
        </w:tc>
      </w:tr>
      <w:tr w:rsidR="006A700E" w:rsidRPr="0020515F" w14:paraId="4C7FD920" w14:textId="77777777" w:rsidTr="0020515F">
        <w:trPr>
          <w:trHeight w:val="280"/>
        </w:trPr>
        <w:tc>
          <w:tcPr>
            <w:tcW w:w="2865" w:type="dxa"/>
            <w:tcMar>
              <w:top w:w="15" w:type="dxa"/>
              <w:left w:w="15" w:type="dxa"/>
              <w:bottom w:w="0" w:type="dxa"/>
              <w:right w:w="15" w:type="dxa"/>
            </w:tcMar>
            <w:vAlign w:val="center"/>
          </w:tcPr>
          <w:p w14:paraId="5B8507DC"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Faulty conveyor system</w:t>
            </w:r>
          </w:p>
        </w:tc>
        <w:tc>
          <w:tcPr>
            <w:tcW w:w="1168" w:type="dxa"/>
            <w:tcMar>
              <w:top w:w="15" w:type="dxa"/>
              <w:left w:w="15" w:type="dxa"/>
              <w:bottom w:w="0" w:type="dxa"/>
              <w:right w:w="15" w:type="dxa"/>
            </w:tcMar>
            <w:vAlign w:val="center"/>
          </w:tcPr>
          <w:p w14:paraId="198B6CA6"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3.06</w:t>
            </w:r>
          </w:p>
        </w:tc>
        <w:tc>
          <w:tcPr>
            <w:tcW w:w="1807" w:type="dxa"/>
            <w:tcMar>
              <w:top w:w="15" w:type="dxa"/>
              <w:left w:w="15" w:type="dxa"/>
              <w:bottom w:w="0" w:type="dxa"/>
              <w:right w:w="15" w:type="dxa"/>
            </w:tcMar>
          </w:tcPr>
          <w:p w14:paraId="14D3DB19"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11</w:t>
            </w:r>
          </w:p>
        </w:tc>
        <w:tc>
          <w:tcPr>
            <w:tcW w:w="1248" w:type="dxa"/>
            <w:tcMar>
              <w:top w:w="15" w:type="dxa"/>
              <w:left w:w="15" w:type="dxa"/>
              <w:bottom w:w="0" w:type="dxa"/>
              <w:right w:w="15" w:type="dxa"/>
            </w:tcMar>
          </w:tcPr>
          <w:p w14:paraId="1E8909CD"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3.12</w:t>
            </w:r>
          </w:p>
        </w:tc>
        <w:tc>
          <w:tcPr>
            <w:tcW w:w="1641" w:type="dxa"/>
            <w:tcMar>
              <w:top w:w="15" w:type="dxa"/>
              <w:left w:w="15" w:type="dxa"/>
              <w:bottom w:w="0" w:type="dxa"/>
              <w:right w:w="15" w:type="dxa"/>
            </w:tcMar>
          </w:tcPr>
          <w:p w14:paraId="0A49CE66"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16</w:t>
            </w:r>
          </w:p>
        </w:tc>
      </w:tr>
      <w:tr w:rsidR="006A700E" w:rsidRPr="0020515F" w14:paraId="0F27251F" w14:textId="77777777" w:rsidTr="0020515F">
        <w:trPr>
          <w:trHeight w:val="497"/>
        </w:trPr>
        <w:tc>
          <w:tcPr>
            <w:tcW w:w="2865" w:type="dxa"/>
            <w:tcMar>
              <w:top w:w="15" w:type="dxa"/>
              <w:left w:w="15" w:type="dxa"/>
              <w:bottom w:w="0" w:type="dxa"/>
              <w:right w:w="15" w:type="dxa"/>
            </w:tcMar>
            <w:vAlign w:val="center"/>
          </w:tcPr>
          <w:p w14:paraId="5FB971B2"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Run-down in lifts/escalator</w:t>
            </w:r>
          </w:p>
        </w:tc>
        <w:tc>
          <w:tcPr>
            <w:tcW w:w="1168" w:type="dxa"/>
            <w:tcMar>
              <w:top w:w="15" w:type="dxa"/>
              <w:left w:w="15" w:type="dxa"/>
              <w:bottom w:w="0" w:type="dxa"/>
              <w:right w:w="15" w:type="dxa"/>
            </w:tcMar>
            <w:vAlign w:val="center"/>
          </w:tcPr>
          <w:p w14:paraId="684BA808"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3.03</w:t>
            </w:r>
          </w:p>
        </w:tc>
        <w:tc>
          <w:tcPr>
            <w:tcW w:w="1807" w:type="dxa"/>
            <w:tcMar>
              <w:top w:w="15" w:type="dxa"/>
              <w:left w:w="15" w:type="dxa"/>
              <w:bottom w:w="0" w:type="dxa"/>
              <w:right w:w="15" w:type="dxa"/>
            </w:tcMar>
          </w:tcPr>
          <w:p w14:paraId="397A2A1A"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13</w:t>
            </w:r>
          </w:p>
        </w:tc>
        <w:tc>
          <w:tcPr>
            <w:tcW w:w="1248" w:type="dxa"/>
            <w:tcMar>
              <w:top w:w="15" w:type="dxa"/>
              <w:left w:w="15" w:type="dxa"/>
              <w:bottom w:w="0" w:type="dxa"/>
              <w:right w:w="15" w:type="dxa"/>
            </w:tcMar>
          </w:tcPr>
          <w:p w14:paraId="1EADF034"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2.71</w:t>
            </w:r>
          </w:p>
        </w:tc>
        <w:tc>
          <w:tcPr>
            <w:tcW w:w="1641" w:type="dxa"/>
            <w:tcMar>
              <w:top w:w="15" w:type="dxa"/>
              <w:left w:w="15" w:type="dxa"/>
              <w:bottom w:w="0" w:type="dxa"/>
              <w:right w:w="15" w:type="dxa"/>
            </w:tcMar>
          </w:tcPr>
          <w:p w14:paraId="11E4BCAE"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21</w:t>
            </w:r>
          </w:p>
        </w:tc>
      </w:tr>
      <w:tr w:rsidR="006A700E" w:rsidRPr="0020515F" w14:paraId="12C91B66" w14:textId="77777777" w:rsidTr="0020515F">
        <w:trPr>
          <w:trHeight w:val="280"/>
        </w:trPr>
        <w:tc>
          <w:tcPr>
            <w:tcW w:w="2865" w:type="dxa"/>
            <w:tcMar>
              <w:top w:w="15" w:type="dxa"/>
              <w:left w:w="15" w:type="dxa"/>
              <w:bottom w:w="0" w:type="dxa"/>
              <w:right w:w="15" w:type="dxa"/>
            </w:tcMar>
            <w:vAlign w:val="center"/>
          </w:tcPr>
          <w:p w14:paraId="6BC7DBCB"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Lack/inadequate fire protection</w:t>
            </w:r>
          </w:p>
        </w:tc>
        <w:tc>
          <w:tcPr>
            <w:tcW w:w="1168" w:type="dxa"/>
            <w:tcMar>
              <w:top w:w="15" w:type="dxa"/>
              <w:left w:w="15" w:type="dxa"/>
              <w:bottom w:w="0" w:type="dxa"/>
              <w:right w:w="15" w:type="dxa"/>
            </w:tcMar>
            <w:vAlign w:val="center"/>
          </w:tcPr>
          <w:p w14:paraId="6D47EA29"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3.03</w:t>
            </w:r>
          </w:p>
        </w:tc>
        <w:tc>
          <w:tcPr>
            <w:tcW w:w="1807" w:type="dxa"/>
            <w:tcMar>
              <w:top w:w="15" w:type="dxa"/>
              <w:left w:w="15" w:type="dxa"/>
              <w:bottom w:w="0" w:type="dxa"/>
              <w:right w:w="15" w:type="dxa"/>
            </w:tcMar>
          </w:tcPr>
          <w:p w14:paraId="7AEF2AFD"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13</w:t>
            </w:r>
          </w:p>
        </w:tc>
        <w:tc>
          <w:tcPr>
            <w:tcW w:w="1248" w:type="dxa"/>
            <w:tcMar>
              <w:top w:w="15" w:type="dxa"/>
              <w:left w:w="15" w:type="dxa"/>
              <w:bottom w:w="0" w:type="dxa"/>
              <w:right w:w="15" w:type="dxa"/>
            </w:tcMar>
          </w:tcPr>
          <w:p w14:paraId="4451351B"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3.33</w:t>
            </w:r>
          </w:p>
        </w:tc>
        <w:tc>
          <w:tcPr>
            <w:tcW w:w="1641" w:type="dxa"/>
            <w:tcMar>
              <w:top w:w="15" w:type="dxa"/>
              <w:left w:w="15" w:type="dxa"/>
              <w:bottom w:w="0" w:type="dxa"/>
              <w:right w:w="15" w:type="dxa"/>
            </w:tcMar>
          </w:tcPr>
          <w:p w14:paraId="7A6F16C2"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7</w:t>
            </w:r>
          </w:p>
        </w:tc>
      </w:tr>
      <w:tr w:rsidR="006A700E" w:rsidRPr="0020515F" w14:paraId="71134F07" w14:textId="77777777" w:rsidTr="0020515F">
        <w:trPr>
          <w:trHeight w:val="280"/>
        </w:trPr>
        <w:tc>
          <w:tcPr>
            <w:tcW w:w="2865" w:type="dxa"/>
            <w:tcMar>
              <w:top w:w="15" w:type="dxa"/>
              <w:left w:w="15" w:type="dxa"/>
              <w:bottom w:w="0" w:type="dxa"/>
              <w:right w:w="15" w:type="dxa"/>
            </w:tcMar>
            <w:vAlign w:val="center"/>
          </w:tcPr>
          <w:p w14:paraId="482CC28A"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Blocked drainage system</w:t>
            </w:r>
          </w:p>
        </w:tc>
        <w:tc>
          <w:tcPr>
            <w:tcW w:w="1168" w:type="dxa"/>
            <w:tcMar>
              <w:top w:w="15" w:type="dxa"/>
              <w:left w:w="15" w:type="dxa"/>
              <w:bottom w:w="0" w:type="dxa"/>
              <w:right w:w="15" w:type="dxa"/>
            </w:tcMar>
            <w:vAlign w:val="center"/>
          </w:tcPr>
          <w:p w14:paraId="78300198"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3.03</w:t>
            </w:r>
          </w:p>
        </w:tc>
        <w:tc>
          <w:tcPr>
            <w:tcW w:w="1807" w:type="dxa"/>
            <w:tcMar>
              <w:top w:w="15" w:type="dxa"/>
              <w:left w:w="15" w:type="dxa"/>
              <w:bottom w:w="0" w:type="dxa"/>
              <w:right w:w="15" w:type="dxa"/>
            </w:tcMar>
          </w:tcPr>
          <w:p w14:paraId="64BA1FC6"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13</w:t>
            </w:r>
          </w:p>
        </w:tc>
        <w:tc>
          <w:tcPr>
            <w:tcW w:w="1248" w:type="dxa"/>
            <w:tcMar>
              <w:top w:w="15" w:type="dxa"/>
              <w:left w:w="15" w:type="dxa"/>
              <w:bottom w:w="0" w:type="dxa"/>
              <w:right w:w="15" w:type="dxa"/>
            </w:tcMar>
          </w:tcPr>
          <w:p w14:paraId="5361DD00"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3.56</w:t>
            </w:r>
          </w:p>
        </w:tc>
        <w:tc>
          <w:tcPr>
            <w:tcW w:w="1641" w:type="dxa"/>
            <w:tcMar>
              <w:top w:w="15" w:type="dxa"/>
              <w:left w:w="15" w:type="dxa"/>
              <w:bottom w:w="0" w:type="dxa"/>
              <w:right w:w="15" w:type="dxa"/>
            </w:tcMar>
          </w:tcPr>
          <w:p w14:paraId="6C681C51"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2</w:t>
            </w:r>
          </w:p>
        </w:tc>
      </w:tr>
      <w:tr w:rsidR="006A700E" w:rsidRPr="0020515F" w14:paraId="64FB8BCA" w14:textId="77777777" w:rsidTr="0020515F">
        <w:trPr>
          <w:trHeight w:val="280"/>
        </w:trPr>
        <w:tc>
          <w:tcPr>
            <w:tcW w:w="2865" w:type="dxa"/>
            <w:tcMar>
              <w:top w:w="15" w:type="dxa"/>
              <w:left w:w="15" w:type="dxa"/>
              <w:bottom w:w="0" w:type="dxa"/>
              <w:right w:w="15" w:type="dxa"/>
            </w:tcMar>
            <w:vAlign w:val="center"/>
          </w:tcPr>
          <w:p w14:paraId="0CCBA646"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Broken glass panel</w:t>
            </w:r>
          </w:p>
        </w:tc>
        <w:tc>
          <w:tcPr>
            <w:tcW w:w="1168" w:type="dxa"/>
            <w:tcMar>
              <w:top w:w="15" w:type="dxa"/>
              <w:left w:w="15" w:type="dxa"/>
              <w:bottom w:w="0" w:type="dxa"/>
              <w:right w:w="15" w:type="dxa"/>
            </w:tcMar>
            <w:vAlign w:val="center"/>
          </w:tcPr>
          <w:p w14:paraId="7BB6801A"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2.87</w:t>
            </w:r>
          </w:p>
        </w:tc>
        <w:tc>
          <w:tcPr>
            <w:tcW w:w="1807" w:type="dxa"/>
            <w:tcMar>
              <w:top w:w="15" w:type="dxa"/>
              <w:left w:w="15" w:type="dxa"/>
              <w:bottom w:w="0" w:type="dxa"/>
              <w:right w:w="15" w:type="dxa"/>
            </w:tcMar>
          </w:tcPr>
          <w:p w14:paraId="235D59E3"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16</w:t>
            </w:r>
          </w:p>
        </w:tc>
        <w:tc>
          <w:tcPr>
            <w:tcW w:w="1248" w:type="dxa"/>
            <w:tcMar>
              <w:top w:w="15" w:type="dxa"/>
              <w:left w:w="15" w:type="dxa"/>
              <w:bottom w:w="0" w:type="dxa"/>
              <w:right w:w="15" w:type="dxa"/>
            </w:tcMar>
          </w:tcPr>
          <w:p w14:paraId="4F4E176E"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3.00</w:t>
            </w:r>
          </w:p>
        </w:tc>
        <w:tc>
          <w:tcPr>
            <w:tcW w:w="1641" w:type="dxa"/>
            <w:tcMar>
              <w:top w:w="15" w:type="dxa"/>
              <w:left w:w="15" w:type="dxa"/>
              <w:bottom w:w="0" w:type="dxa"/>
              <w:right w:w="15" w:type="dxa"/>
            </w:tcMar>
          </w:tcPr>
          <w:p w14:paraId="01E5B91F"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18</w:t>
            </w:r>
          </w:p>
        </w:tc>
      </w:tr>
      <w:tr w:rsidR="006A700E" w:rsidRPr="0020515F" w14:paraId="1D8531F9" w14:textId="77777777" w:rsidTr="0020515F">
        <w:trPr>
          <w:trHeight w:val="280"/>
        </w:trPr>
        <w:tc>
          <w:tcPr>
            <w:tcW w:w="2865" w:type="dxa"/>
            <w:tcMar>
              <w:top w:w="15" w:type="dxa"/>
              <w:left w:w="15" w:type="dxa"/>
              <w:bottom w:w="0" w:type="dxa"/>
              <w:right w:w="15" w:type="dxa"/>
            </w:tcMar>
            <w:vAlign w:val="center"/>
          </w:tcPr>
          <w:p w14:paraId="212EA0B3"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Breakdown in screening system</w:t>
            </w:r>
          </w:p>
        </w:tc>
        <w:tc>
          <w:tcPr>
            <w:tcW w:w="1168" w:type="dxa"/>
            <w:tcMar>
              <w:top w:w="15" w:type="dxa"/>
              <w:left w:w="15" w:type="dxa"/>
              <w:bottom w:w="0" w:type="dxa"/>
              <w:right w:w="15" w:type="dxa"/>
            </w:tcMar>
            <w:vAlign w:val="center"/>
          </w:tcPr>
          <w:p w14:paraId="14D7B51E"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2.86</w:t>
            </w:r>
          </w:p>
        </w:tc>
        <w:tc>
          <w:tcPr>
            <w:tcW w:w="1807" w:type="dxa"/>
            <w:tcMar>
              <w:top w:w="15" w:type="dxa"/>
              <w:left w:w="15" w:type="dxa"/>
              <w:bottom w:w="0" w:type="dxa"/>
              <w:right w:w="15" w:type="dxa"/>
            </w:tcMar>
          </w:tcPr>
          <w:p w14:paraId="324BFB51"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17</w:t>
            </w:r>
          </w:p>
        </w:tc>
        <w:tc>
          <w:tcPr>
            <w:tcW w:w="1248" w:type="dxa"/>
            <w:tcMar>
              <w:top w:w="15" w:type="dxa"/>
              <w:left w:w="15" w:type="dxa"/>
              <w:bottom w:w="0" w:type="dxa"/>
              <w:right w:w="15" w:type="dxa"/>
            </w:tcMar>
          </w:tcPr>
          <w:p w14:paraId="27F52DD7"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2.82</w:t>
            </w:r>
          </w:p>
        </w:tc>
        <w:tc>
          <w:tcPr>
            <w:tcW w:w="1641" w:type="dxa"/>
            <w:tcMar>
              <w:top w:w="15" w:type="dxa"/>
              <w:left w:w="15" w:type="dxa"/>
              <w:bottom w:w="0" w:type="dxa"/>
              <w:right w:w="15" w:type="dxa"/>
            </w:tcMar>
          </w:tcPr>
          <w:p w14:paraId="03EC5BAA"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20</w:t>
            </w:r>
          </w:p>
        </w:tc>
      </w:tr>
      <w:tr w:rsidR="006A700E" w:rsidRPr="0020515F" w14:paraId="7A1E3ED5" w14:textId="77777777" w:rsidTr="0020515F">
        <w:trPr>
          <w:trHeight w:val="364"/>
        </w:trPr>
        <w:tc>
          <w:tcPr>
            <w:tcW w:w="2865" w:type="dxa"/>
            <w:tcMar>
              <w:top w:w="15" w:type="dxa"/>
              <w:left w:w="15" w:type="dxa"/>
              <w:bottom w:w="0" w:type="dxa"/>
              <w:right w:w="15" w:type="dxa"/>
            </w:tcMar>
            <w:vAlign w:val="center"/>
          </w:tcPr>
          <w:p w14:paraId="19DACD30"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Burst pipe/broken sanitary wares</w:t>
            </w:r>
          </w:p>
        </w:tc>
        <w:tc>
          <w:tcPr>
            <w:tcW w:w="1168" w:type="dxa"/>
            <w:tcMar>
              <w:top w:w="15" w:type="dxa"/>
              <w:left w:w="15" w:type="dxa"/>
              <w:bottom w:w="0" w:type="dxa"/>
              <w:right w:w="15" w:type="dxa"/>
            </w:tcMar>
            <w:vAlign w:val="center"/>
          </w:tcPr>
          <w:p w14:paraId="79FE78F6"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2.86</w:t>
            </w:r>
          </w:p>
        </w:tc>
        <w:tc>
          <w:tcPr>
            <w:tcW w:w="1807" w:type="dxa"/>
            <w:tcMar>
              <w:top w:w="15" w:type="dxa"/>
              <w:left w:w="15" w:type="dxa"/>
              <w:bottom w:w="0" w:type="dxa"/>
              <w:right w:w="15" w:type="dxa"/>
            </w:tcMar>
          </w:tcPr>
          <w:p w14:paraId="32735CFF"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17</w:t>
            </w:r>
          </w:p>
        </w:tc>
        <w:tc>
          <w:tcPr>
            <w:tcW w:w="1248" w:type="dxa"/>
            <w:tcMar>
              <w:top w:w="15" w:type="dxa"/>
              <w:left w:w="15" w:type="dxa"/>
              <w:bottom w:w="0" w:type="dxa"/>
              <w:right w:w="15" w:type="dxa"/>
            </w:tcMar>
          </w:tcPr>
          <w:p w14:paraId="0EC35E35"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3.28</w:t>
            </w:r>
          </w:p>
        </w:tc>
        <w:tc>
          <w:tcPr>
            <w:tcW w:w="1641" w:type="dxa"/>
            <w:tcMar>
              <w:top w:w="15" w:type="dxa"/>
              <w:left w:w="15" w:type="dxa"/>
              <w:bottom w:w="0" w:type="dxa"/>
              <w:right w:w="15" w:type="dxa"/>
            </w:tcMar>
          </w:tcPr>
          <w:p w14:paraId="7801DA3D"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10</w:t>
            </w:r>
          </w:p>
        </w:tc>
      </w:tr>
      <w:tr w:rsidR="006A700E" w:rsidRPr="0020515F" w14:paraId="1425C14F" w14:textId="77777777" w:rsidTr="0020515F">
        <w:trPr>
          <w:trHeight w:val="280"/>
        </w:trPr>
        <w:tc>
          <w:tcPr>
            <w:tcW w:w="2865" w:type="dxa"/>
            <w:tcMar>
              <w:top w:w="15" w:type="dxa"/>
              <w:left w:w="15" w:type="dxa"/>
              <w:bottom w:w="0" w:type="dxa"/>
              <w:right w:w="15" w:type="dxa"/>
            </w:tcMar>
            <w:vAlign w:val="center"/>
          </w:tcPr>
          <w:p w14:paraId="755D6823"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Wall cracks</w:t>
            </w:r>
          </w:p>
        </w:tc>
        <w:tc>
          <w:tcPr>
            <w:tcW w:w="1168" w:type="dxa"/>
            <w:tcMar>
              <w:top w:w="15" w:type="dxa"/>
              <w:left w:w="15" w:type="dxa"/>
              <w:bottom w:w="0" w:type="dxa"/>
              <w:right w:w="15" w:type="dxa"/>
            </w:tcMar>
            <w:vAlign w:val="center"/>
          </w:tcPr>
          <w:p w14:paraId="1B71032C"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2.80</w:t>
            </w:r>
          </w:p>
        </w:tc>
        <w:tc>
          <w:tcPr>
            <w:tcW w:w="1807" w:type="dxa"/>
            <w:tcMar>
              <w:top w:w="15" w:type="dxa"/>
              <w:left w:w="15" w:type="dxa"/>
              <w:bottom w:w="0" w:type="dxa"/>
              <w:right w:w="15" w:type="dxa"/>
            </w:tcMar>
          </w:tcPr>
          <w:p w14:paraId="59937D95"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19</w:t>
            </w:r>
          </w:p>
        </w:tc>
        <w:tc>
          <w:tcPr>
            <w:tcW w:w="1248" w:type="dxa"/>
            <w:tcMar>
              <w:top w:w="15" w:type="dxa"/>
              <w:left w:w="15" w:type="dxa"/>
              <w:bottom w:w="0" w:type="dxa"/>
              <w:right w:w="15" w:type="dxa"/>
            </w:tcMar>
          </w:tcPr>
          <w:p w14:paraId="0A45ABBA"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3.44</w:t>
            </w:r>
          </w:p>
        </w:tc>
        <w:tc>
          <w:tcPr>
            <w:tcW w:w="1641" w:type="dxa"/>
            <w:tcMar>
              <w:top w:w="15" w:type="dxa"/>
              <w:left w:w="15" w:type="dxa"/>
              <w:bottom w:w="0" w:type="dxa"/>
              <w:right w:w="15" w:type="dxa"/>
            </w:tcMar>
          </w:tcPr>
          <w:p w14:paraId="2DD9B5F2"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w:t>
            </w:r>
          </w:p>
        </w:tc>
      </w:tr>
      <w:tr w:rsidR="006A700E" w:rsidRPr="0020515F" w14:paraId="7BEC9C77" w14:textId="77777777" w:rsidTr="0020515F">
        <w:trPr>
          <w:trHeight w:val="310"/>
        </w:trPr>
        <w:tc>
          <w:tcPr>
            <w:tcW w:w="2865" w:type="dxa"/>
            <w:tcMar>
              <w:top w:w="15" w:type="dxa"/>
              <w:left w:w="15" w:type="dxa"/>
              <w:bottom w:w="0" w:type="dxa"/>
              <w:right w:w="15" w:type="dxa"/>
            </w:tcMar>
            <w:vAlign w:val="center"/>
          </w:tcPr>
          <w:p w14:paraId="0775B69D"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Breakdown in communication system</w:t>
            </w:r>
          </w:p>
        </w:tc>
        <w:tc>
          <w:tcPr>
            <w:tcW w:w="1168" w:type="dxa"/>
            <w:tcMar>
              <w:top w:w="15" w:type="dxa"/>
              <w:left w:w="15" w:type="dxa"/>
              <w:bottom w:w="0" w:type="dxa"/>
              <w:right w:w="15" w:type="dxa"/>
            </w:tcMar>
            <w:vAlign w:val="center"/>
          </w:tcPr>
          <w:p w14:paraId="49EB6061"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2.75</w:t>
            </w:r>
          </w:p>
        </w:tc>
        <w:tc>
          <w:tcPr>
            <w:tcW w:w="1807" w:type="dxa"/>
            <w:tcMar>
              <w:top w:w="15" w:type="dxa"/>
              <w:left w:w="15" w:type="dxa"/>
              <w:bottom w:w="0" w:type="dxa"/>
              <w:right w:w="15" w:type="dxa"/>
            </w:tcMar>
          </w:tcPr>
          <w:p w14:paraId="65DD3DAE"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20</w:t>
            </w:r>
          </w:p>
        </w:tc>
        <w:tc>
          <w:tcPr>
            <w:tcW w:w="1248" w:type="dxa"/>
            <w:tcMar>
              <w:top w:w="15" w:type="dxa"/>
              <w:left w:w="15" w:type="dxa"/>
              <w:bottom w:w="0" w:type="dxa"/>
              <w:right w:w="15" w:type="dxa"/>
            </w:tcMar>
          </w:tcPr>
          <w:p w14:paraId="7394313F"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3.12</w:t>
            </w:r>
          </w:p>
        </w:tc>
        <w:tc>
          <w:tcPr>
            <w:tcW w:w="1641" w:type="dxa"/>
            <w:tcMar>
              <w:top w:w="15" w:type="dxa"/>
              <w:left w:w="15" w:type="dxa"/>
              <w:bottom w:w="0" w:type="dxa"/>
              <w:right w:w="15" w:type="dxa"/>
            </w:tcMar>
          </w:tcPr>
          <w:p w14:paraId="17323374"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16</w:t>
            </w:r>
          </w:p>
        </w:tc>
      </w:tr>
      <w:tr w:rsidR="006A700E" w:rsidRPr="0020515F" w14:paraId="551B335E" w14:textId="77777777" w:rsidTr="0020515F">
        <w:trPr>
          <w:trHeight w:val="280"/>
        </w:trPr>
        <w:tc>
          <w:tcPr>
            <w:tcW w:w="2865" w:type="dxa"/>
            <w:tcMar>
              <w:top w:w="15" w:type="dxa"/>
              <w:left w:w="15" w:type="dxa"/>
              <w:bottom w:w="0" w:type="dxa"/>
              <w:right w:w="15" w:type="dxa"/>
            </w:tcMar>
            <w:vAlign w:val="center"/>
          </w:tcPr>
          <w:p w14:paraId="3F3B6B54"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Air pollution</w:t>
            </w:r>
          </w:p>
        </w:tc>
        <w:tc>
          <w:tcPr>
            <w:tcW w:w="1168" w:type="dxa"/>
            <w:tcMar>
              <w:top w:w="15" w:type="dxa"/>
              <w:left w:w="15" w:type="dxa"/>
              <w:bottom w:w="0" w:type="dxa"/>
              <w:right w:w="15" w:type="dxa"/>
            </w:tcMar>
            <w:vAlign w:val="center"/>
          </w:tcPr>
          <w:p w14:paraId="65915725"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2.74</w:t>
            </w:r>
          </w:p>
        </w:tc>
        <w:tc>
          <w:tcPr>
            <w:tcW w:w="1807" w:type="dxa"/>
            <w:tcMar>
              <w:top w:w="15" w:type="dxa"/>
              <w:left w:w="15" w:type="dxa"/>
              <w:bottom w:w="0" w:type="dxa"/>
              <w:right w:w="15" w:type="dxa"/>
            </w:tcMar>
          </w:tcPr>
          <w:p w14:paraId="13C91A49"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21</w:t>
            </w:r>
          </w:p>
        </w:tc>
        <w:tc>
          <w:tcPr>
            <w:tcW w:w="1248" w:type="dxa"/>
            <w:tcMar>
              <w:top w:w="15" w:type="dxa"/>
              <w:left w:w="15" w:type="dxa"/>
              <w:bottom w:w="0" w:type="dxa"/>
              <w:right w:w="15" w:type="dxa"/>
            </w:tcMar>
          </w:tcPr>
          <w:p w14:paraId="25020EF4"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3.26</w:t>
            </w:r>
          </w:p>
        </w:tc>
        <w:tc>
          <w:tcPr>
            <w:tcW w:w="1641" w:type="dxa"/>
            <w:tcMar>
              <w:top w:w="15" w:type="dxa"/>
              <w:left w:w="15" w:type="dxa"/>
              <w:bottom w:w="0" w:type="dxa"/>
              <w:right w:w="15" w:type="dxa"/>
            </w:tcMar>
          </w:tcPr>
          <w:p w14:paraId="5B047577"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11</w:t>
            </w:r>
          </w:p>
        </w:tc>
      </w:tr>
      <w:tr w:rsidR="006A700E" w:rsidRPr="0020515F" w14:paraId="0B7460CE" w14:textId="77777777" w:rsidTr="0020515F">
        <w:trPr>
          <w:trHeight w:val="280"/>
        </w:trPr>
        <w:tc>
          <w:tcPr>
            <w:tcW w:w="2865" w:type="dxa"/>
            <w:tcMar>
              <w:top w:w="15" w:type="dxa"/>
              <w:left w:w="15" w:type="dxa"/>
              <w:bottom w:w="0" w:type="dxa"/>
              <w:right w:w="15" w:type="dxa"/>
            </w:tcMar>
            <w:vAlign w:val="center"/>
          </w:tcPr>
          <w:p w14:paraId="0F8E6E86" w14:textId="77777777" w:rsidR="006A700E" w:rsidRPr="0020515F" w:rsidRDefault="006A700E" w:rsidP="0020515F">
            <w:pPr>
              <w:spacing w:after="0" w:line="240" w:lineRule="auto"/>
              <w:rPr>
                <w:rFonts w:ascii="Times New Roman" w:hAnsi="Times New Roman" w:cs="Times New Roman"/>
                <w:sz w:val="20"/>
                <w:szCs w:val="20"/>
              </w:rPr>
            </w:pPr>
            <w:r w:rsidRPr="0020515F">
              <w:rPr>
                <w:rFonts w:ascii="Times New Roman" w:hAnsi="Times New Roman" w:cs="Times New Roman"/>
                <w:sz w:val="20"/>
                <w:szCs w:val="20"/>
              </w:rPr>
              <w:t xml:space="preserve"> Damaged ceiling</w:t>
            </w:r>
          </w:p>
        </w:tc>
        <w:tc>
          <w:tcPr>
            <w:tcW w:w="1168" w:type="dxa"/>
            <w:tcMar>
              <w:top w:w="15" w:type="dxa"/>
              <w:left w:w="15" w:type="dxa"/>
              <w:bottom w:w="0" w:type="dxa"/>
              <w:right w:w="15" w:type="dxa"/>
            </w:tcMar>
            <w:vAlign w:val="center"/>
          </w:tcPr>
          <w:p w14:paraId="6632C832"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2.74</w:t>
            </w:r>
          </w:p>
        </w:tc>
        <w:tc>
          <w:tcPr>
            <w:tcW w:w="1807" w:type="dxa"/>
            <w:tcMar>
              <w:top w:w="15" w:type="dxa"/>
              <w:left w:w="15" w:type="dxa"/>
              <w:bottom w:w="0" w:type="dxa"/>
              <w:right w:w="15" w:type="dxa"/>
            </w:tcMar>
          </w:tcPr>
          <w:p w14:paraId="453704E0"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21</w:t>
            </w:r>
          </w:p>
        </w:tc>
        <w:tc>
          <w:tcPr>
            <w:tcW w:w="1248" w:type="dxa"/>
            <w:tcMar>
              <w:top w:w="15" w:type="dxa"/>
              <w:left w:w="15" w:type="dxa"/>
              <w:bottom w:w="0" w:type="dxa"/>
              <w:right w:w="15" w:type="dxa"/>
            </w:tcMar>
          </w:tcPr>
          <w:p w14:paraId="6AC2CFA0"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3.15</w:t>
            </w:r>
          </w:p>
        </w:tc>
        <w:tc>
          <w:tcPr>
            <w:tcW w:w="1641" w:type="dxa"/>
            <w:tcMar>
              <w:top w:w="15" w:type="dxa"/>
              <w:left w:w="15" w:type="dxa"/>
              <w:bottom w:w="0" w:type="dxa"/>
              <w:right w:w="15" w:type="dxa"/>
            </w:tcMar>
          </w:tcPr>
          <w:p w14:paraId="4EA42D8D" w14:textId="77777777" w:rsidR="006A700E" w:rsidRPr="0020515F" w:rsidRDefault="006A700E" w:rsidP="0020515F">
            <w:pPr>
              <w:spacing w:after="0" w:line="240" w:lineRule="auto"/>
              <w:jc w:val="center"/>
              <w:rPr>
                <w:rFonts w:ascii="Times New Roman" w:hAnsi="Times New Roman" w:cs="Times New Roman"/>
                <w:sz w:val="20"/>
                <w:szCs w:val="20"/>
              </w:rPr>
            </w:pPr>
            <w:r w:rsidRPr="0020515F">
              <w:rPr>
                <w:rFonts w:ascii="Times New Roman" w:hAnsi="Times New Roman" w:cs="Times New Roman"/>
                <w:sz w:val="20"/>
                <w:szCs w:val="20"/>
              </w:rPr>
              <w:t>15</w:t>
            </w:r>
          </w:p>
        </w:tc>
      </w:tr>
      <w:tr w:rsidR="006A700E" w:rsidRPr="0020515F" w14:paraId="5320ABD9" w14:textId="77777777" w:rsidTr="0020515F">
        <w:trPr>
          <w:trHeight w:val="59"/>
        </w:trPr>
        <w:tc>
          <w:tcPr>
            <w:tcW w:w="2865" w:type="dxa"/>
            <w:tcMar>
              <w:top w:w="15" w:type="dxa"/>
              <w:left w:w="15" w:type="dxa"/>
              <w:bottom w:w="0" w:type="dxa"/>
              <w:right w:w="15" w:type="dxa"/>
            </w:tcMar>
          </w:tcPr>
          <w:p w14:paraId="0AB26581" w14:textId="77777777" w:rsidR="006A700E" w:rsidRPr="0020515F" w:rsidRDefault="006A700E" w:rsidP="0020515F">
            <w:pPr>
              <w:spacing w:after="0" w:line="240" w:lineRule="auto"/>
              <w:rPr>
                <w:rFonts w:ascii="Times New Roman" w:hAnsi="Times New Roman" w:cs="Times New Roman"/>
                <w:sz w:val="20"/>
                <w:szCs w:val="20"/>
              </w:rPr>
            </w:pPr>
          </w:p>
        </w:tc>
        <w:tc>
          <w:tcPr>
            <w:tcW w:w="1168" w:type="dxa"/>
            <w:tcMar>
              <w:top w:w="15" w:type="dxa"/>
              <w:left w:w="15" w:type="dxa"/>
              <w:bottom w:w="0" w:type="dxa"/>
              <w:right w:w="15" w:type="dxa"/>
            </w:tcMar>
          </w:tcPr>
          <w:p w14:paraId="78ECAED9" w14:textId="77777777" w:rsidR="006A700E" w:rsidRPr="0020515F" w:rsidRDefault="006A700E" w:rsidP="0020515F">
            <w:pPr>
              <w:spacing w:after="0" w:line="240" w:lineRule="auto"/>
              <w:jc w:val="center"/>
              <w:rPr>
                <w:rFonts w:ascii="Times New Roman" w:hAnsi="Times New Roman" w:cs="Times New Roman"/>
                <w:sz w:val="20"/>
                <w:szCs w:val="20"/>
              </w:rPr>
            </w:pPr>
          </w:p>
        </w:tc>
        <w:tc>
          <w:tcPr>
            <w:tcW w:w="1807" w:type="dxa"/>
            <w:tcMar>
              <w:top w:w="15" w:type="dxa"/>
              <w:left w:w="15" w:type="dxa"/>
              <w:bottom w:w="0" w:type="dxa"/>
              <w:right w:w="15" w:type="dxa"/>
            </w:tcMar>
          </w:tcPr>
          <w:p w14:paraId="2AFCA262" w14:textId="77777777" w:rsidR="006A700E" w:rsidRPr="0020515F" w:rsidRDefault="006A700E" w:rsidP="0020515F">
            <w:pPr>
              <w:spacing w:after="0" w:line="240" w:lineRule="auto"/>
              <w:jc w:val="center"/>
              <w:rPr>
                <w:rFonts w:ascii="Times New Roman" w:hAnsi="Times New Roman" w:cs="Times New Roman"/>
                <w:sz w:val="20"/>
                <w:szCs w:val="20"/>
              </w:rPr>
            </w:pPr>
          </w:p>
        </w:tc>
        <w:tc>
          <w:tcPr>
            <w:tcW w:w="1248" w:type="dxa"/>
            <w:tcMar>
              <w:top w:w="15" w:type="dxa"/>
              <w:left w:w="15" w:type="dxa"/>
              <w:bottom w:w="0" w:type="dxa"/>
              <w:right w:w="15" w:type="dxa"/>
            </w:tcMar>
          </w:tcPr>
          <w:p w14:paraId="38EE64A4" w14:textId="77777777" w:rsidR="006A700E" w:rsidRPr="0020515F" w:rsidRDefault="006A700E" w:rsidP="0020515F">
            <w:pPr>
              <w:spacing w:after="0" w:line="240" w:lineRule="auto"/>
              <w:jc w:val="center"/>
              <w:rPr>
                <w:rFonts w:ascii="Times New Roman" w:hAnsi="Times New Roman" w:cs="Times New Roman"/>
                <w:sz w:val="20"/>
                <w:szCs w:val="20"/>
              </w:rPr>
            </w:pPr>
          </w:p>
        </w:tc>
        <w:tc>
          <w:tcPr>
            <w:tcW w:w="1641" w:type="dxa"/>
            <w:tcMar>
              <w:top w:w="15" w:type="dxa"/>
              <w:left w:w="15" w:type="dxa"/>
              <w:bottom w:w="0" w:type="dxa"/>
              <w:right w:w="15" w:type="dxa"/>
            </w:tcMar>
          </w:tcPr>
          <w:p w14:paraId="2C97B5A8" w14:textId="77777777" w:rsidR="006A700E" w:rsidRPr="0020515F" w:rsidRDefault="006A700E" w:rsidP="0020515F">
            <w:pPr>
              <w:spacing w:after="0" w:line="240" w:lineRule="auto"/>
              <w:jc w:val="center"/>
              <w:rPr>
                <w:rFonts w:ascii="Times New Roman" w:hAnsi="Times New Roman" w:cs="Times New Roman"/>
                <w:sz w:val="20"/>
                <w:szCs w:val="20"/>
              </w:rPr>
            </w:pPr>
          </w:p>
        </w:tc>
      </w:tr>
    </w:tbl>
    <w:bookmarkEnd w:id="72"/>
    <w:p w14:paraId="276D780E" w14:textId="77777777" w:rsidR="006A700E" w:rsidRPr="00BE4AF3" w:rsidRDefault="006A700E" w:rsidP="0020515F">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Field survey, 2024</w:t>
      </w:r>
    </w:p>
    <w:p w14:paraId="2DA36ADB" w14:textId="77777777" w:rsidR="006A700E" w:rsidRPr="00BE4AF3" w:rsidRDefault="006A700E" w:rsidP="0020515F">
      <w:pPr>
        <w:spacing w:after="0" w:line="240" w:lineRule="auto"/>
        <w:jc w:val="both"/>
        <w:rPr>
          <w:rFonts w:ascii="Times New Roman" w:hAnsi="Times New Roman" w:cs="Times New Roman"/>
          <w:sz w:val="24"/>
          <w:szCs w:val="24"/>
        </w:rPr>
      </w:pPr>
    </w:p>
    <w:p w14:paraId="71472F1E" w14:textId="77777777" w:rsidR="006A700E" w:rsidRPr="00BE4AF3" w:rsidRDefault="006A700E" w:rsidP="0020515F">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Figure 1 indicates that planned maintenance policy was prominent among others in the maintenance practice in Lagos/Abuja airport, Nigeria.</w:t>
      </w:r>
      <w:r w:rsidRPr="00BE4AF3">
        <w:rPr>
          <w:rFonts w:ascii="Times New Roman" w:hAnsi="Times New Roman" w:cs="Times New Roman"/>
          <w:noProof/>
          <w:sz w:val="24"/>
          <w:szCs w:val="24"/>
        </w:rPr>
        <w:t xml:space="preserve"> </w:t>
      </w:r>
    </w:p>
    <w:p w14:paraId="52E790C0" w14:textId="0B0F3EA7" w:rsidR="006A700E" w:rsidRPr="00BE4AF3" w:rsidRDefault="006A700E" w:rsidP="0020515F">
      <w:pPr>
        <w:tabs>
          <w:tab w:val="left" w:pos="90"/>
        </w:tabs>
        <w:spacing w:after="0" w:line="240" w:lineRule="auto"/>
        <w:jc w:val="center"/>
        <w:rPr>
          <w:rFonts w:ascii="Times New Roman" w:hAnsi="Times New Roman" w:cs="Times New Roman"/>
          <w:sz w:val="24"/>
          <w:szCs w:val="24"/>
        </w:rPr>
      </w:pPr>
      <w:r w:rsidRPr="00BE4AF3">
        <w:rPr>
          <w:rFonts w:ascii="Times New Roman" w:hAnsi="Times New Roman" w:cs="Times New Roman"/>
          <w:noProof/>
          <w:sz w:val="24"/>
          <w:szCs w:val="24"/>
          <w:lang w:eastAsia="en-GB"/>
        </w:rPr>
        <w:lastRenderedPageBreak/>
        <w:drawing>
          <wp:inline distT="0" distB="0" distL="0" distR="0" wp14:anchorId="45C43108" wp14:editId="1299C777">
            <wp:extent cx="5184475" cy="2988191"/>
            <wp:effectExtent l="0" t="0" r="0" b="3175"/>
            <wp:docPr id="807822856"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pic:cNvPicPr/>
                  </pic:nvPicPr>
                  <pic:blipFill rotWithShape="1">
                    <a:blip r:embed="rId175" cstate="print">
                      <a:extLst>
                        <a:ext uri="{28A0092B-C50C-407E-A947-70E740481C1C}">
                          <a14:useLocalDpi xmlns:a14="http://schemas.microsoft.com/office/drawing/2010/main" val="0"/>
                        </a:ext>
                      </a:extLst>
                    </a:blip>
                    <a:srcRect/>
                    <a:stretch>
                      <a:fillRect/>
                    </a:stretch>
                  </pic:blipFill>
                  <pic:spPr>
                    <a:xfrm>
                      <a:off x="0" y="0"/>
                      <a:ext cx="5184475" cy="2988191"/>
                    </a:xfrm>
                    <a:prstGeom prst="rect">
                      <a:avLst/>
                    </a:prstGeom>
                  </pic:spPr>
                </pic:pic>
              </a:graphicData>
            </a:graphic>
          </wp:inline>
        </w:drawing>
      </w:r>
    </w:p>
    <w:p w14:paraId="18A90386" w14:textId="77777777" w:rsidR="006A700E" w:rsidRPr="00BE4AF3" w:rsidRDefault="006A700E" w:rsidP="0020515F">
      <w:pPr>
        <w:spacing w:after="0" w:line="240" w:lineRule="auto"/>
        <w:jc w:val="center"/>
        <w:rPr>
          <w:rFonts w:ascii="Times New Roman" w:hAnsi="Times New Roman" w:cs="Times New Roman"/>
          <w:bCs/>
          <w:sz w:val="24"/>
          <w:szCs w:val="24"/>
        </w:rPr>
      </w:pPr>
      <w:r w:rsidRPr="00BE4AF3">
        <w:rPr>
          <w:rFonts w:ascii="Times New Roman" w:hAnsi="Times New Roman" w:cs="Times New Roman"/>
          <w:bCs/>
          <w:sz w:val="24"/>
          <w:szCs w:val="24"/>
        </w:rPr>
        <w:t>Field Survey, 2024</w:t>
      </w:r>
    </w:p>
    <w:p w14:paraId="26F8E321" w14:textId="77777777" w:rsidR="006A700E" w:rsidRPr="00BE4AF3" w:rsidRDefault="006A700E" w:rsidP="0020515F">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 xml:space="preserve">Conclusion </w:t>
      </w:r>
    </w:p>
    <w:p w14:paraId="352E2C5A" w14:textId="77777777" w:rsidR="006A700E" w:rsidRPr="00BE4AF3" w:rsidRDefault="006A700E" w:rsidP="0020515F">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This research offers critical insights into maintenance management practices at the airports, revealing a nuanced understanding of the workforce dynamics, departmental priorities, and the effectiveness of maintenance operations. The findings highlight a significant majority of youthful workforce predominantly hired in recent years. This suggests the need for a focused training and development initiatives to build skilled maintenance team capable of addressing the unique maintenance challenges in the airport. The study underscores the importance of prioritizing various building elements, with lifts, escalators, and floor slabs identified as critical for operational efficiency and safety. Notably, the disparity in priorities between maintenance staff and users points to a communication gap that could hinder maintenance effectiveness. Addressing shared concerns, such as roof leakages and electrical faults, alongside improving communication is essential for enhancing overall user satisfaction and maintenance response. Moreover, the analysis reveals significant gaps between reported defects and repair actions, particularly concerning poor waste disposal, which was frequently reported but inadequately addressed. This disconnect underscores the necessity for a more proactive approach to maintenance, including regular audits and streamlined communication channels. The study also highlights the robust framework in place for maintenance management, with a high percentage of having established policies and manuals. However, critical challenges remain, such as the lack of skilled personnel and insufficient funding, which must be addressed to optimize maintenance practices.</w:t>
      </w:r>
    </w:p>
    <w:p w14:paraId="4768377C" w14:textId="77777777" w:rsidR="006A700E" w:rsidRPr="00BE4AF3" w:rsidRDefault="006A700E" w:rsidP="0020515F">
      <w:pPr>
        <w:spacing w:after="0" w:line="240" w:lineRule="auto"/>
        <w:jc w:val="both"/>
        <w:rPr>
          <w:rFonts w:ascii="Times New Roman" w:hAnsi="Times New Roman" w:cs="Times New Roman"/>
          <w:sz w:val="24"/>
          <w:szCs w:val="24"/>
        </w:rPr>
      </w:pPr>
    </w:p>
    <w:p w14:paraId="2B982CEA" w14:textId="77FD29F4" w:rsidR="006A700E" w:rsidRPr="0020515F" w:rsidRDefault="0020515F" w:rsidP="0020515F">
      <w:pPr>
        <w:pStyle w:val="Heading1"/>
        <w:spacing w:before="0" w:line="240" w:lineRule="auto"/>
        <w:ind w:right="39"/>
        <w:jc w:val="both"/>
        <w:rPr>
          <w:rFonts w:ascii="Times New Roman" w:hAnsi="Times New Roman" w:cs="Times New Roman"/>
          <w:b/>
          <w:bCs/>
          <w:sz w:val="24"/>
          <w:szCs w:val="24"/>
        </w:rPr>
      </w:pPr>
      <w:r w:rsidRPr="0020515F">
        <w:rPr>
          <w:rFonts w:ascii="Times New Roman" w:hAnsi="Times New Roman" w:cs="Times New Roman"/>
          <w:b/>
          <w:bCs/>
          <w:color w:val="000000" w:themeColor="text1"/>
          <w:sz w:val="24"/>
          <w:szCs w:val="24"/>
        </w:rPr>
        <w:t>References</w:t>
      </w:r>
    </w:p>
    <w:p w14:paraId="07FFC715" w14:textId="77777777" w:rsidR="006A700E" w:rsidRPr="0020515F" w:rsidRDefault="006A700E" w:rsidP="0020515F">
      <w:pPr>
        <w:widowControl w:val="0"/>
        <w:autoSpaceDE w:val="0"/>
        <w:autoSpaceDN w:val="0"/>
        <w:spacing w:after="0" w:line="240" w:lineRule="auto"/>
        <w:ind w:left="851" w:right="201" w:hanging="851"/>
        <w:jc w:val="both"/>
        <w:rPr>
          <w:rFonts w:ascii="Times New Roman" w:hAnsi="Times New Roman"/>
          <w:sz w:val="24"/>
          <w:szCs w:val="24"/>
        </w:rPr>
      </w:pPr>
      <w:r w:rsidRPr="0020515F">
        <w:rPr>
          <w:rFonts w:ascii="Times New Roman" w:hAnsi="Times New Roman"/>
          <w:sz w:val="24"/>
          <w:szCs w:val="24"/>
        </w:rPr>
        <w:t>Adamu A. D. &amp; Shakantu W.M.W. (2016). Strategic Maintenance Management of Built Facilities in an Organisation, International Journal of Economic and Management Engineering.</w:t>
      </w:r>
    </w:p>
    <w:p w14:paraId="7A851B56" w14:textId="77777777" w:rsidR="006A700E" w:rsidRPr="00BE4AF3" w:rsidRDefault="006A700E" w:rsidP="0020515F">
      <w:pPr>
        <w:pStyle w:val="ListParagraph"/>
        <w:spacing w:after="0" w:line="240" w:lineRule="auto"/>
        <w:ind w:left="851" w:hanging="851"/>
        <w:jc w:val="both"/>
        <w:rPr>
          <w:rFonts w:ascii="Times New Roman" w:hAnsi="Times New Roman"/>
          <w:sz w:val="24"/>
          <w:szCs w:val="24"/>
        </w:rPr>
      </w:pPr>
    </w:p>
    <w:p w14:paraId="5F76A09C" w14:textId="77777777" w:rsidR="006A700E" w:rsidRPr="0020515F" w:rsidRDefault="006A700E" w:rsidP="0020515F">
      <w:pPr>
        <w:widowControl w:val="0"/>
        <w:autoSpaceDE w:val="0"/>
        <w:autoSpaceDN w:val="0"/>
        <w:spacing w:after="0" w:line="240" w:lineRule="auto"/>
        <w:ind w:left="851" w:right="201" w:hanging="851"/>
        <w:jc w:val="both"/>
        <w:rPr>
          <w:rFonts w:ascii="Times New Roman" w:hAnsi="Times New Roman"/>
          <w:sz w:val="24"/>
          <w:szCs w:val="24"/>
        </w:rPr>
      </w:pPr>
      <w:r w:rsidRPr="0020515F">
        <w:rPr>
          <w:rFonts w:ascii="Times New Roman" w:hAnsi="Times New Roman"/>
          <w:sz w:val="24"/>
          <w:szCs w:val="24"/>
        </w:rPr>
        <w:t>Adejimi, A., (2005). Poor Building Maintenance are Architects Free from Blames? A Paper Presented at the ENHR International Conference on Housing; New Challenges and Innovations in Tomorrow‟s Cities.</w:t>
      </w:r>
    </w:p>
    <w:p w14:paraId="64FC6FF0" w14:textId="77777777" w:rsidR="006A700E" w:rsidRPr="00BE4AF3" w:rsidRDefault="006A700E" w:rsidP="0020515F">
      <w:pPr>
        <w:pStyle w:val="ListParagraph"/>
        <w:spacing w:after="0" w:line="240" w:lineRule="auto"/>
        <w:ind w:left="851" w:hanging="851"/>
        <w:jc w:val="both"/>
        <w:rPr>
          <w:rFonts w:ascii="Times New Roman" w:hAnsi="Times New Roman"/>
          <w:sz w:val="24"/>
          <w:szCs w:val="24"/>
        </w:rPr>
      </w:pPr>
    </w:p>
    <w:p w14:paraId="435F4046" w14:textId="77777777" w:rsidR="006A700E" w:rsidRPr="0020515F" w:rsidRDefault="006A700E" w:rsidP="0020515F">
      <w:pPr>
        <w:widowControl w:val="0"/>
        <w:autoSpaceDE w:val="0"/>
        <w:autoSpaceDN w:val="0"/>
        <w:spacing w:after="0" w:line="240" w:lineRule="auto"/>
        <w:ind w:left="851" w:right="201" w:hanging="851"/>
        <w:jc w:val="both"/>
        <w:rPr>
          <w:rFonts w:ascii="Times New Roman" w:hAnsi="Times New Roman"/>
          <w:sz w:val="24"/>
          <w:szCs w:val="24"/>
        </w:rPr>
      </w:pPr>
      <w:r w:rsidRPr="0020515F">
        <w:rPr>
          <w:rFonts w:ascii="Times New Roman" w:hAnsi="Times New Roman"/>
          <w:sz w:val="24"/>
          <w:szCs w:val="24"/>
        </w:rPr>
        <w:t xml:space="preserve">Adenuga O. A, Olufowobi M. B, &amp; Raheem A. A., (2010). Effective Maintenance Policy as a tool for Sustaining Housing Stock in Downturn Economy, </w:t>
      </w:r>
      <w:r w:rsidRPr="0020515F">
        <w:rPr>
          <w:rFonts w:ascii="Times New Roman" w:hAnsi="Times New Roman"/>
          <w:i/>
          <w:sz w:val="24"/>
          <w:szCs w:val="24"/>
        </w:rPr>
        <w:t xml:space="preserve">Journal of Building </w:t>
      </w:r>
      <w:r w:rsidRPr="0020515F">
        <w:rPr>
          <w:rFonts w:ascii="Times New Roman" w:hAnsi="Times New Roman"/>
          <w:i/>
          <w:sz w:val="24"/>
          <w:szCs w:val="24"/>
        </w:rPr>
        <w:lastRenderedPageBreak/>
        <w:t>Performance</w:t>
      </w:r>
      <w:r w:rsidRPr="0020515F">
        <w:rPr>
          <w:rFonts w:ascii="Times New Roman" w:hAnsi="Times New Roman"/>
          <w:sz w:val="24"/>
          <w:szCs w:val="24"/>
        </w:rPr>
        <w:t>: Lagos, Nigeria.</w:t>
      </w:r>
    </w:p>
    <w:p w14:paraId="3831A176" w14:textId="77777777" w:rsidR="006A700E" w:rsidRPr="00BE4AF3" w:rsidRDefault="006A700E" w:rsidP="0020515F">
      <w:pPr>
        <w:pStyle w:val="BodyText"/>
        <w:widowControl w:val="0"/>
        <w:autoSpaceDE w:val="0"/>
        <w:autoSpaceDN w:val="0"/>
        <w:spacing w:after="0" w:line="240" w:lineRule="auto"/>
        <w:ind w:left="851" w:right="197" w:hanging="851"/>
        <w:jc w:val="both"/>
        <w:rPr>
          <w:rFonts w:ascii="Times New Roman" w:hAnsi="Times New Roman"/>
          <w:sz w:val="24"/>
          <w:szCs w:val="24"/>
        </w:rPr>
      </w:pPr>
      <w:r w:rsidRPr="00BE4AF3">
        <w:rPr>
          <w:rFonts w:ascii="Times New Roman" w:hAnsi="Times New Roman"/>
          <w:sz w:val="24"/>
          <w:szCs w:val="24"/>
        </w:rPr>
        <w:t xml:space="preserve">Adenuga, O. A., Odusami, K. T. &amp; Faremi, J. O., (2007). Assessment of Factors Affecting Maintenance Management of Public Hospital Buildings in Lagos State, Nigeria. </w:t>
      </w:r>
      <w:r w:rsidRPr="00BE4AF3">
        <w:rPr>
          <w:rFonts w:ascii="Times New Roman" w:hAnsi="Times New Roman"/>
          <w:i/>
          <w:sz w:val="24"/>
          <w:szCs w:val="24"/>
        </w:rPr>
        <w:t>The Construction and Building Research Conference of the Royal Institution of Chartered Surveyors</w:t>
      </w:r>
      <w:r w:rsidRPr="00BE4AF3">
        <w:rPr>
          <w:rFonts w:ascii="Times New Roman" w:hAnsi="Times New Roman"/>
          <w:sz w:val="24"/>
          <w:szCs w:val="24"/>
        </w:rPr>
        <w:t>.</w:t>
      </w:r>
    </w:p>
    <w:p w14:paraId="630BF226" w14:textId="77777777" w:rsidR="006A700E" w:rsidRPr="00BE4AF3" w:rsidRDefault="006A700E" w:rsidP="0020515F">
      <w:pPr>
        <w:pStyle w:val="BodyText"/>
        <w:widowControl w:val="0"/>
        <w:autoSpaceDE w:val="0"/>
        <w:autoSpaceDN w:val="0"/>
        <w:spacing w:after="0" w:line="240" w:lineRule="auto"/>
        <w:ind w:left="851" w:right="197" w:hanging="851"/>
        <w:jc w:val="both"/>
        <w:rPr>
          <w:rFonts w:ascii="Times New Roman" w:hAnsi="Times New Roman"/>
          <w:sz w:val="24"/>
          <w:szCs w:val="24"/>
        </w:rPr>
      </w:pPr>
      <w:r w:rsidRPr="00BE4AF3">
        <w:rPr>
          <w:rFonts w:ascii="Times New Roman" w:hAnsi="Times New Roman"/>
          <w:sz w:val="24"/>
          <w:szCs w:val="24"/>
        </w:rPr>
        <w:t>Ajayi, A. A., (2014). Factors Affecting Maintenance Management of Education Trust Fund (ETF) Buildings of Tertiary Institutions in Osun State.</w:t>
      </w:r>
    </w:p>
    <w:p w14:paraId="5C55842E" w14:textId="77777777" w:rsidR="006A700E" w:rsidRPr="00BE4AF3" w:rsidRDefault="006A700E" w:rsidP="0020515F">
      <w:pPr>
        <w:pStyle w:val="BodyText"/>
        <w:widowControl w:val="0"/>
        <w:autoSpaceDE w:val="0"/>
        <w:autoSpaceDN w:val="0"/>
        <w:spacing w:after="0" w:line="240" w:lineRule="auto"/>
        <w:ind w:left="851" w:right="197" w:hanging="851"/>
        <w:jc w:val="both"/>
        <w:rPr>
          <w:rFonts w:ascii="Times New Roman" w:hAnsi="Times New Roman"/>
          <w:sz w:val="24"/>
          <w:szCs w:val="24"/>
        </w:rPr>
      </w:pPr>
      <w:r w:rsidRPr="00BE4AF3">
        <w:rPr>
          <w:rFonts w:ascii="Times New Roman" w:hAnsi="Times New Roman"/>
          <w:sz w:val="24"/>
          <w:szCs w:val="24"/>
        </w:rPr>
        <w:t>Akadiri O.P., (2011). Development of a Multi-Criteria Approach for the Selection of Sustainable Materials for Building Projects, Ph.D. Thesis, University of Wolverhampton, Wolverhampton, UK.</w:t>
      </w:r>
    </w:p>
    <w:p w14:paraId="57BCB386" w14:textId="77777777" w:rsidR="006A700E" w:rsidRPr="00BE4AF3" w:rsidRDefault="006A700E" w:rsidP="0020515F">
      <w:pPr>
        <w:pStyle w:val="BodyText"/>
        <w:widowControl w:val="0"/>
        <w:autoSpaceDE w:val="0"/>
        <w:autoSpaceDN w:val="0"/>
        <w:spacing w:after="0" w:line="240" w:lineRule="auto"/>
        <w:ind w:left="851" w:right="197" w:hanging="851"/>
        <w:jc w:val="both"/>
        <w:rPr>
          <w:rFonts w:ascii="Times New Roman" w:hAnsi="Times New Roman"/>
          <w:sz w:val="24"/>
          <w:szCs w:val="24"/>
        </w:rPr>
      </w:pPr>
      <w:r w:rsidRPr="00BE4AF3">
        <w:rPr>
          <w:rFonts w:ascii="Times New Roman" w:hAnsi="Times New Roman"/>
          <w:sz w:val="24"/>
          <w:szCs w:val="24"/>
        </w:rPr>
        <w:t>Akhtar, I., (2016). Research Design. Research in Social Science: Interdisciplinary Perspectives New Delhi.</w:t>
      </w:r>
    </w:p>
    <w:p w14:paraId="7D3FFB36" w14:textId="77777777" w:rsidR="006A700E" w:rsidRPr="00BE4AF3" w:rsidRDefault="006A700E" w:rsidP="0020515F">
      <w:pPr>
        <w:pStyle w:val="BodyText"/>
        <w:widowControl w:val="0"/>
        <w:autoSpaceDE w:val="0"/>
        <w:autoSpaceDN w:val="0"/>
        <w:spacing w:after="0" w:line="240" w:lineRule="auto"/>
        <w:ind w:left="851" w:right="197" w:hanging="851"/>
        <w:jc w:val="both"/>
        <w:rPr>
          <w:rFonts w:ascii="Times New Roman" w:hAnsi="Times New Roman"/>
          <w:sz w:val="24"/>
          <w:szCs w:val="24"/>
        </w:rPr>
      </w:pPr>
      <w:r w:rsidRPr="00BE4AF3">
        <w:rPr>
          <w:rFonts w:ascii="Times New Roman" w:hAnsi="Times New Roman"/>
          <w:sz w:val="24"/>
          <w:szCs w:val="24"/>
        </w:rPr>
        <w:t>Akinsola, O. &amp; Hussaini, P.O. &amp; Oyenuga, S.O. &amp; Fatokun, A. (2012). Critical factors influencing facility maintenance management of tertiary institutional buildings in Southwest Nigeria.</w:t>
      </w:r>
    </w:p>
    <w:p w14:paraId="1A953729" w14:textId="77777777" w:rsidR="006A700E" w:rsidRPr="00BE4AF3" w:rsidRDefault="006A700E" w:rsidP="0020515F">
      <w:pPr>
        <w:pStyle w:val="BodyText"/>
        <w:widowControl w:val="0"/>
        <w:autoSpaceDE w:val="0"/>
        <w:autoSpaceDN w:val="0"/>
        <w:spacing w:after="0" w:line="240" w:lineRule="auto"/>
        <w:ind w:left="851" w:right="197" w:hanging="851"/>
        <w:jc w:val="both"/>
        <w:rPr>
          <w:rFonts w:ascii="Times New Roman" w:hAnsi="Times New Roman"/>
          <w:sz w:val="24"/>
          <w:szCs w:val="24"/>
        </w:rPr>
      </w:pPr>
      <w:r w:rsidRPr="00BE4AF3">
        <w:rPr>
          <w:rFonts w:ascii="Times New Roman" w:hAnsi="Times New Roman"/>
          <w:sz w:val="24"/>
          <w:szCs w:val="24"/>
        </w:rPr>
        <w:t>Alshehri A. R. (2016). Quality Management System for Building Maintenance. Doctor of Philosophy thesis.</w:t>
      </w:r>
    </w:p>
    <w:p w14:paraId="6971F323" w14:textId="77777777" w:rsidR="006A700E" w:rsidRPr="00BE4AF3" w:rsidRDefault="006A700E" w:rsidP="0020515F">
      <w:pPr>
        <w:pStyle w:val="BodyText"/>
        <w:widowControl w:val="0"/>
        <w:autoSpaceDE w:val="0"/>
        <w:autoSpaceDN w:val="0"/>
        <w:spacing w:after="0" w:line="240" w:lineRule="auto"/>
        <w:ind w:left="851" w:right="197" w:hanging="851"/>
        <w:jc w:val="both"/>
        <w:rPr>
          <w:rFonts w:ascii="Times New Roman" w:hAnsi="Times New Roman"/>
          <w:sz w:val="24"/>
          <w:szCs w:val="24"/>
        </w:rPr>
      </w:pPr>
      <w:r w:rsidRPr="00BE4AF3">
        <w:rPr>
          <w:rFonts w:ascii="Times New Roman" w:hAnsi="Times New Roman"/>
          <w:sz w:val="24"/>
          <w:szCs w:val="24"/>
        </w:rPr>
        <w:t xml:space="preserve">Alsyouf I. (2017). The Role of Maintenance in Improving Companies‟ Productivity and Profitability. </w:t>
      </w:r>
      <w:r w:rsidRPr="00BE4AF3">
        <w:rPr>
          <w:rFonts w:ascii="Times New Roman" w:hAnsi="Times New Roman"/>
          <w:i/>
          <w:sz w:val="24"/>
          <w:szCs w:val="24"/>
        </w:rPr>
        <w:t>International Journal of Production Economics.</w:t>
      </w:r>
    </w:p>
    <w:p w14:paraId="53897E59" w14:textId="77777777" w:rsidR="006A700E" w:rsidRPr="00BE4AF3" w:rsidRDefault="006A700E" w:rsidP="0020515F">
      <w:pPr>
        <w:pStyle w:val="BodyText"/>
        <w:widowControl w:val="0"/>
        <w:autoSpaceDE w:val="0"/>
        <w:autoSpaceDN w:val="0"/>
        <w:spacing w:after="0" w:line="240" w:lineRule="auto"/>
        <w:ind w:left="851" w:right="197" w:hanging="851"/>
        <w:jc w:val="both"/>
        <w:rPr>
          <w:rFonts w:ascii="Times New Roman" w:hAnsi="Times New Roman"/>
          <w:sz w:val="24"/>
          <w:szCs w:val="24"/>
        </w:rPr>
      </w:pPr>
      <w:r w:rsidRPr="00BE4AF3">
        <w:rPr>
          <w:rFonts w:ascii="Times New Roman" w:hAnsi="Times New Roman"/>
          <w:sz w:val="24"/>
          <w:szCs w:val="24"/>
        </w:rPr>
        <w:t>Au-Yong, C. P., Ali, A. S., &amp; Ahmad, F., (2014). Preventive maintenance characteristics towards optimal maintenance performance: A case study of office buildings, Wuhan, China.</w:t>
      </w:r>
    </w:p>
    <w:p w14:paraId="5CC1071A" w14:textId="77777777" w:rsidR="006A700E" w:rsidRPr="00BE4AF3" w:rsidRDefault="006A700E" w:rsidP="0020515F">
      <w:pPr>
        <w:pStyle w:val="BodyText"/>
        <w:widowControl w:val="0"/>
        <w:autoSpaceDE w:val="0"/>
        <w:autoSpaceDN w:val="0"/>
        <w:spacing w:after="0" w:line="240" w:lineRule="auto"/>
        <w:ind w:left="851" w:right="197" w:hanging="851"/>
        <w:jc w:val="both"/>
        <w:rPr>
          <w:rFonts w:ascii="Times New Roman" w:hAnsi="Times New Roman"/>
          <w:sz w:val="24"/>
          <w:szCs w:val="24"/>
        </w:rPr>
      </w:pPr>
      <w:r w:rsidRPr="00BE4AF3">
        <w:rPr>
          <w:rFonts w:ascii="Times New Roman" w:hAnsi="Times New Roman"/>
          <w:sz w:val="24"/>
          <w:szCs w:val="24"/>
        </w:rPr>
        <w:t>Baba, S. W. &amp; Buba, A. V. (2013). Evaluation of Factors Affecting Residential Building Maintenance in Nigeria: Users‟ Perspective. Civil and Environmental Research.</w:t>
      </w:r>
    </w:p>
    <w:p w14:paraId="743A6A6D" w14:textId="77777777" w:rsidR="006A700E" w:rsidRPr="00BE4AF3" w:rsidRDefault="006A700E" w:rsidP="0020515F">
      <w:pPr>
        <w:pStyle w:val="BodyText"/>
        <w:widowControl w:val="0"/>
        <w:autoSpaceDE w:val="0"/>
        <w:autoSpaceDN w:val="0"/>
        <w:spacing w:after="0" w:line="240" w:lineRule="auto"/>
        <w:ind w:left="851" w:right="197" w:hanging="851"/>
        <w:jc w:val="both"/>
        <w:rPr>
          <w:rFonts w:ascii="Times New Roman" w:hAnsi="Times New Roman"/>
          <w:sz w:val="24"/>
          <w:szCs w:val="24"/>
        </w:rPr>
      </w:pPr>
      <w:r w:rsidRPr="00BE4AF3">
        <w:rPr>
          <w:rFonts w:ascii="Times New Roman" w:hAnsi="Times New Roman"/>
          <w:sz w:val="24"/>
          <w:szCs w:val="24"/>
        </w:rPr>
        <w:t xml:space="preserve">Basri E. I., Abdul Razak I. H., Ab-Samat H. &amp; Kamaruddin S., (2017). Preventive Maintenance (PM) planning: A review. </w:t>
      </w:r>
      <w:r w:rsidRPr="00BE4AF3">
        <w:rPr>
          <w:rFonts w:ascii="Times New Roman" w:hAnsi="Times New Roman"/>
          <w:i/>
          <w:sz w:val="24"/>
          <w:szCs w:val="24"/>
        </w:rPr>
        <w:t>Journal of Quality in Maintenance Engineering</w:t>
      </w:r>
      <w:r w:rsidRPr="00BE4AF3">
        <w:rPr>
          <w:rFonts w:ascii="Times New Roman" w:hAnsi="Times New Roman"/>
          <w:sz w:val="24"/>
          <w:szCs w:val="24"/>
        </w:rPr>
        <w:t>.</w:t>
      </w:r>
    </w:p>
    <w:p w14:paraId="0011CCB7" w14:textId="77777777" w:rsidR="006A700E" w:rsidRPr="00BE4AF3" w:rsidRDefault="006A700E" w:rsidP="0020515F">
      <w:pPr>
        <w:pStyle w:val="BodyText"/>
        <w:widowControl w:val="0"/>
        <w:autoSpaceDE w:val="0"/>
        <w:autoSpaceDN w:val="0"/>
        <w:spacing w:after="0" w:line="240" w:lineRule="auto"/>
        <w:ind w:left="851" w:right="197" w:hanging="851"/>
        <w:jc w:val="both"/>
        <w:rPr>
          <w:rFonts w:ascii="Times New Roman" w:hAnsi="Times New Roman"/>
          <w:sz w:val="24"/>
          <w:szCs w:val="24"/>
        </w:rPr>
      </w:pPr>
      <w:r w:rsidRPr="00BE4AF3">
        <w:rPr>
          <w:rFonts w:ascii="Times New Roman" w:hAnsi="Times New Roman"/>
          <w:sz w:val="24"/>
          <w:szCs w:val="24"/>
        </w:rPr>
        <w:t>Blessing O. &amp; Richard J., (2016). Building Condition: Rating of Higher Institutions in Niger State Federal University of Technology.</w:t>
      </w:r>
    </w:p>
    <w:p w14:paraId="45E7385C" w14:textId="77777777" w:rsidR="006A700E" w:rsidRPr="00BE4AF3" w:rsidRDefault="006A700E" w:rsidP="0020515F">
      <w:pPr>
        <w:pStyle w:val="BodyText"/>
        <w:widowControl w:val="0"/>
        <w:autoSpaceDE w:val="0"/>
        <w:autoSpaceDN w:val="0"/>
        <w:spacing w:after="0" w:line="240" w:lineRule="auto"/>
        <w:ind w:left="851" w:right="197" w:hanging="851"/>
        <w:jc w:val="both"/>
        <w:rPr>
          <w:rFonts w:ascii="Times New Roman" w:hAnsi="Times New Roman"/>
          <w:sz w:val="24"/>
          <w:szCs w:val="24"/>
        </w:rPr>
      </w:pPr>
      <w:r w:rsidRPr="00BE4AF3">
        <w:rPr>
          <w:rFonts w:ascii="Times New Roman" w:hAnsi="Times New Roman"/>
          <w:sz w:val="24"/>
          <w:szCs w:val="24"/>
        </w:rPr>
        <w:t>Bowazi, K., &amp; Buys, F. (2012). Maintenance of University Facilities in Developing Countries. Cape Town: International Conference on Facilities Management, Procurement Systems, and Public-Private</w:t>
      </w:r>
      <w:r w:rsidRPr="00BE4AF3">
        <w:rPr>
          <w:rFonts w:ascii="Times New Roman" w:hAnsi="Times New Roman"/>
          <w:spacing w:val="-1"/>
          <w:sz w:val="24"/>
          <w:szCs w:val="24"/>
        </w:rPr>
        <w:t xml:space="preserve"> </w:t>
      </w:r>
      <w:r w:rsidRPr="00BE4AF3">
        <w:rPr>
          <w:rFonts w:ascii="Times New Roman" w:hAnsi="Times New Roman"/>
          <w:sz w:val="24"/>
          <w:szCs w:val="24"/>
        </w:rPr>
        <w:t>Partnership.</w:t>
      </w:r>
    </w:p>
    <w:p w14:paraId="5269FDE2" w14:textId="77777777" w:rsidR="006A700E" w:rsidRPr="00BE4AF3" w:rsidRDefault="006A700E" w:rsidP="0020515F">
      <w:pPr>
        <w:pStyle w:val="BodyText"/>
        <w:widowControl w:val="0"/>
        <w:autoSpaceDE w:val="0"/>
        <w:autoSpaceDN w:val="0"/>
        <w:spacing w:after="0" w:line="240" w:lineRule="auto"/>
        <w:ind w:left="851" w:right="197" w:hanging="851"/>
        <w:jc w:val="both"/>
        <w:rPr>
          <w:rFonts w:ascii="Times New Roman" w:hAnsi="Times New Roman"/>
          <w:sz w:val="24"/>
          <w:szCs w:val="24"/>
        </w:rPr>
      </w:pPr>
      <w:r w:rsidRPr="00BE4AF3">
        <w:rPr>
          <w:rFonts w:ascii="Times New Roman" w:hAnsi="Times New Roman"/>
          <w:sz w:val="24"/>
          <w:szCs w:val="24"/>
        </w:rPr>
        <w:t>Chidi, Shamsudeen, Oladipupo, Owolabi (2017). Assessment of Maintenance Culture on Public Buildings in Nigeria (A Case Study of Osun State). Journal of Mechanical and Civil Engineering (IOSR-JMCE).</w:t>
      </w:r>
    </w:p>
    <w:p w14:paraId="473DB41F" w14:textId="77777777" w:rsidR="006A700E" w:rsidRPr="00BE4AF3" w:rsidRDefault="006A700E" w:rsidP="0020515F">
      <w:pPr>
        <w:pStyle w:val="BodyText"/>
        <w:widowControl w:val="0"/>
        <w:autoSpaceDE w:val="0"/>
        <w:autoSpaceDN w:val="0"/>
        <w:spacing w:after="0" w:line="240" w:lineRule="auto"/>
        <w:ind w:left="851" w:right="42" w:hanging="851"/>
        <w:jc w:val="both"/>
        <w:rPr>
          <w:rFonts w:ascii="Times New Roman" w:hAnsi="Times New Roman"/>
          <w:sz w:val="24"/>
          <w:szCs w:val="24"/>
        </w:rPr>
      </w:pPr>
      <w:r w:rsidRPr="00BE4AF3">
        <w:rPr>
          <w:rFonts w:ascii="Times New Roman" w:hAnsi="Times New Roman"/>
          <w:sz w:val="24"/>
          <w:szCs w:val="24"/>
        </w:rPr>
        <w:t>Cripps, D. J., Armstrong, R. W., and Bampton, E. (1984). Managing Building Maintenance.</w:t>
      </w:r>
    </w:p>
    <w:p w14:paraId="2533EE1E" w14:textId="77777777" w:rsidR="006A700E" w:rsidRPr="00BE4AF3" w:rsidRDefault="006A700E" w:rsidP="0020515F">
      <w:pPr>
        <w:pStyle w:val="BodyText"/>
        <w:widowControl w:val="0"/>
        <w:autoSpaceDE w:val="0"/>
        <w:autoSpaceDN w:val="0"/>
        <w:spacing w:after="0" w:line="240" w:lineRule="auto"/>
        <w:ind w:left="851" w:hanging="851"/>
        <w:jc w:val="both"/>
        <w:rPr>
          <w:rFonts w:ascii="Times New Roman" w:hAnsi="Times New Roman"/>
          <w:sz w:val="24"/>
          <w:szCs w:val="24"/>
        </w:rPr>
      </w:pPr>
      <w:hyperlink r:id="rId176" w:history="1">
        <w:r w:rsidRPr="00BE4AF3">
          <w:rPr>
            <w:rFonts w:ascii="Times New Roman" w:hAnsi="Times New Roman"/>
            <w:sz w:val="24"/>
            <w:szCs w:val="24"/>
          </w:rPr>
          <w:t xml:space="preserve">Dutschke </w:t>
        </w:r>
      </w:hyperlink>
      <w:r w:rsidRPr="00BE4AF3">
        <w:rPr>
          <w:rFonts w:ascii="Times New Roman" w:hAnsi="Times New Roman"/>
          <w:sz w:val="24"/>
          <w:szCs w:val="24"/>
        </w:rPr>
        <w:t xml:space="preserve">J. (2014). </w:t>
      </w:r>
      <w:hyperlink r:id="rId177" w:history="1">
        <w:r w:rsidRPr="00BE4AF3">
          <w:rPr>
            <w:rFonts w:ascii="Times New Roman" w:hAnsi="Times New Roman"/>
            <w:sz w:val="24"/>
            <w:szCs w:val="24"/>
          </w:rPr>
          <w:t>The Evolution of Maintenance Practice.</w:t>
        </w:r>
      </w:hyperlink>
    </w:p>
    <w:p w14:paraId="5442BB1B" w14:textId="77777777" w:rsidR="006A700E" w:rsidRPr="00BE4AF3" w:rsidRDefault="006A700E" w:rsidP="0020515F">
      <w:pPr>
        <w:pStyle w:val="BodyText"/>
        <w:widowControl w:val="0"/>
        <w:autoSpaceDE w:val="0"/>
        <w:autoSpaceDN w:val="0"/>
        <w:spacing w:after="0" w:line="240" w:lineRule="auto"/>
        <w:ind w:left="851" w:right="199" w:hanging="851"/>
        <w:jc w:val="both"/>
        <w:rPr>
          <w:rFonts w:ascii="Times New Roman" w:hAnsi="Times New Roman"/>
          <w:sz w:val="24"/>
          <w:szCs w:val="24"/>
        </w:rPr>
      </w:pPr>
      <w:r w:rsidRPr="00BE4AF3">
        <w:rPr>
          <w:rFonts w:ascii="Times New Roman" w:hAnsi="Times New Roman"/>
          <w:sz w:val="24"/>
          <w:szCs w:val="24"/>
        </w:rPr>
        <w:t>Dzikwi A. A. &amp; Winston S., (2016). A Concept: Strategic Maintenance Management for Built Facilities of Universities. “Emerging Trends in Construction Organisational Practices And Project Management Knowledge Area”, Cape Town, South</w:t>
      </w:r>
      <w:r w:rsidRPr="00BE4AF3">
        <w:rPr>
          <w:rFonts w:ascii="Times New Roman" w:hAnsi="Times New Roman"/>
          <w:spacing w:val="-17"/>
          <w:sz w:val="24"/>
          <w:szCs w:val="24"/>
        </w:rPr>
        <w:t xml:space="preserve"> </w:t>
      </w:r>
      <w:r w:rsidRPr="00BE4AF3">
        <w:rPr>
          <w:rFonts w:ascii="Times New Roman" w:hAnsi="Times New Roman"/>
          <w:sz w:val="24"/>
          <w:szCs w:val="24"/>
        </w:rPr>
        <w:t>Africa.</w:t>
      </w:r>
    </w:p>
    <w:p w14:paraId="1F10DC38" w14:textId="77777777" w:rsidR="006A700E" w:rsidRPr="00BE4AF3" w:rsidRDefault="006A700E" w:rsidP="0020515F">
      <w:pPr>
        <w:pStyle w:val="BodyText"/>
        <w:widowControl w:val="0"/>
        <w:autoSpaceDE w:val="0"/>
        <w:autoSpaceDN w:val="0"/>
        <w:spacing w:after="0" w:line="240" w:lineRule="auto"/>
        <w:ind w:left="851" w:hanging="851"/>
        <w:jc w:val="both"/>
        <w:rPr>
          <w:rFonts w:ascii="Times New Roman" w:hAnsi="Times New Roman"/>
          <w:sz w:val="24"/>
          <w:szCs w:val="24"/>
        </w:rPr>
      </w:pPr>
      <w:r w:rsidRPr="00BE4AF3">
        <w:rPr>
          <w:rFonts w:ascii="Times New Roman" w:hAnsi="Times New Roman"/>
          <w:sz w:val="24"/>
          <w:szCs w:val="24"/>
        </w:rPr>
        <w:t>El-Haram, M.A. and Horner, M.W. (2002) Factors affecting housing maintenance cost.</w:t>
      </w:r>
    </w:p>
    <w:p w14:paraId="64DD08EA" w14:textId="77777777" w:rsidR="006A700E" w:rsidRPr="00BE4AF3" w:rsidRDefault="006A700E" w:rsidP="0020515F">
      <w:pPr>
        <w:pStyle w:val="BodyText"/>
        <w:spacing w:after="0" w:line="240" w:lineRule="auto"/>
        <w:ind w:left="851" w:hanging="851"/>
        <w:jc w:val="both"/>
        <w:rPr>
          <w:rFonts w:ascii="Times New Roman" w:hAnsi="Times New Roman"/>
          <w:sz w:val="24"/>
          <w:szCs w:val="24"/>
        </w:rPr>
      </w:pPr>
      <w:r w:rsidRPr="00BE4AF3">
        <w:rPr>
          <w:rFonts w:ascii="Times New Roman" w:hAnsi="Times New Roman"/>
          <w:sz w:val="24"/>
          <w:szCs w:val="24"/>
        </w:rPr>
        <w:t>Journal of Quality in Maintenance Engineering.</w:t>
      </w:r>
    </w:p>
    <w:p w14:paraId="7190B752" w14:textId="0F6335A9" w:rsidR="006A700E" w:rsidRPr="00BE4AF3" w:rsidRDefault="006A700E" w:rsidP="00DF280C">
      <w:pPr>
        <w:pStyle w:val="BodyText"/>
        <w:widowControl w:val="0"/>
        <w:autoSpaceDE w:val="0"/>
        <w:autoSpaceDN w:val="0"/>
        <w:spacing w:after="0" w:line="240" w:lineRule="auto"/>
        <w:ind w:left="851" w:right="198" w:hanging="851"/>
        <w:jc w:val="both"/>
        <w:rPr>
          <w:rFonts w:ascii="Times New Roman" w:hAnsi="Times New Roman"/>
          <w:sz w:val="24"/>
          <w:szCs w:val="24"/>
        </w:rPr>
      </w:pPr>
      <w:r w:rsidRPr="00BE4AF3">
        <w:rPr>
          <w:rFonts w:ascii="Times New Roman" w:hAnsi="Times New Roman"/>
          <w:sz w:val="24"/>
          <w:szCs w:val="24"/>
        </w:rPr>
        <w:t>Enofe O. M. (2009).Improving Maintenance Perception in Developing Countries Total Quality Maintenance Thesis no TD 091/2009 Linnaeus University School of Engineering Department of Terotechnology.</w:t>
      </w:r>
    </w:p>
    <w:p w14:paraId="57D5AC7D" w14:textId="77777777" w:rsidR="006A700E" w:rsidRPr="00BE4AF3" w:rsidRDefault="006A700E" w:rsidP="0020515F">
      <w:pPr>
        <w:pStyle w:val="BodyText"/>
        <w:widowControl w:val="0"/>
        <w:autoSpaceDE w:val="0"/>
        <w:autoSpaceDN w:val="0"/>
        <w:spacing w:after="0" w:line="240" w:lineRule="auto"/>
        <w:ind w:left="851" w:right="207" w:hanging="851"/>
        <w:jc w:val="both"/>
        <w:rPr>
          <w:rFonts w:ascii="Times New Roman" w:hAnsi="Times New Roman"/>
          <w:sz w:val="24"/>
          <w:szCs w:val="24"/>
        </w:rPr>
      </w:pPr>
      <w:r w:rsidRPr="00BE4AF3">
        <w:rPr>
          <w:rFonts w:ascii="Times New Roman" w:hAnsi="Times New Roman"/>
          <w:sz w:val="24"/>
          <w:szCs w:val="24"/>
        </w:rPr>
        <w:t>Ganisen, S., Mohammed, M. A. H. &amp; Nesan, L. J. &amp; Kanniyapan, G. (2015). Critical Success Factors for Low-Cost Housing Building Maintenance Organization. Jurnal Teknologi.</w:t>
      </w:r>
    </w:p>
    <w:p w14:paraId="3B47203C" w14:textId="77777777" w:rsidR="006A700E" w:rsidRPr="00BE4AF3" w:rsidRDefault="006A700E" w:rsidP="0020515F">
      <w:pPr>
        <w:pStyle w:val="BodyText"/>
        <w:widowControl w:val="0"/>
        <w:autoSpaceDE w:val="0"/>
        <w:autoSpaceDN w:val="0"/>
        <w:spacing w:after="0" w:line="240" w:lineRule="auto"/>
        <w:ind w:left="851" w:right="201" w:hanging="851"/>
        <w:jc w:val="both"/>
        <w:rPr>
          <w:rFonts w:ascii="Times New Roman" w:hAnsi="Times New Roman"/>
          <w:sz w:val="24"/>
          <w:szCs w:val="24"/>
        </w:rPr>
      </w:pPr>
      <w:r w:rsidRPr="00BE4AF3">
        <w:rPr>
          <w:rFonts w:ascii="Times New Roman" w:hAnsi="Times New Roman"/>
          <w:sz w:val="24"/>
          <w:szCs w:val="24"/>
        </w:rPr>
        <w:t xml:space="preserve">Hatkar K. B. &amp; Hedaoo N. A. (2016). Delay Analysing by Using Relative importance Index Method in infrastructure Projects. International Journal of Civil Engineering and </w:t>
      </w:r>
      <w:r w:rsidRPr="00BE4AF3">
        <w:rPr>
          <w:rFonts w:ascii="Times New Roman" w:hAnsi="Times New Roman"/>
          <w:sz w:val="24"/>
          <w:szCs w:val="24"/>
        </w:rPr>
        <w:lastRenderedPageBreak/>
        <w:t>Concreter Structures.</w:t>
      </w:r>
    </w:p>
    <w:p w14:paraId="32AC7C0F" w14:textId="77777777" w:rsidR="006A700E" w:rsidRPr="00BE4AF3" w:rsidRDefault="006A700E" w:rsidP="0020515F">
      <w:pPr>
        <w:pStyle w:val="BodyText"/>
        <w:widowControl w:val="0"/>
        <w:autoSpaceDE w:val="0"/>
        <w:autoSpaceDN w:val="0"/>
        <w:spacing w:after="0" w:line="240" w:lineRule="auto"/>
        <w:ind w:left="851" w:right="768" w:hanging="851"/>
        <w:jc w:val="both"/>
        <w:rPr>
          <w:rFonts w:ascii="Times New Roman" w:hAnsi="Times New Roman"/>
          <w:sz w:val="24"/>
          <w:szCs w:val="24"/>
        </w:rPr>
      </w:pPr>
      <w:hyperlink r:id="rId178" w:history="1">
        <w:r w:rsidRPr="00BE4AF3">
          <w:rPr>
            <w:rFonts w:ascii="Times New Roman" w:hAnsi="Times New Roman"/>
            <w:sz w:val="24"/>
            <w:szCs w:val="24"/>
          </w:rPr>
          <w:t>http://www</w:t>
        </w:r>
      </w:hyperlink>
      <w:r w:rsidRPr="00BE4AF3">
        <w:rPr>
          <w:rFonts w:ascii="Times New Roman" w:hAnsi="Times New Roman"/>
          <w:sz w:val="24"/>
          <w:szCs w:val="24"/>
        </w:rPr>
        <w:t>.oas.org\en\cdmp accessed on 12</w:t>
      </w:r>
      <w:r w:rsidRPr="00BE4AF3">
        <w:rPr>
          <w:rFonts w:ascii="Times New Roman" w:hAnsi="Times New Roman"/>
          <w:sz w:val="24"/>
          <w:szCs w:val="24"/>
          <w:vertAlign w:val="superscript"/>
        </w:rPr>
        <w:t>th</w:t>
      </w:r>
      <w:r w:rsidRPr="00BE4AF3">
        <w:rPr>
          <w:rFonts w:ascii="Times New Roman" w:hAnsi="Times New Roman"/>
          <w:sz w:val="24"/>
          <w:szCs w:val="24"/>
        </w:rPr>
        <w:t xml:space="preserve"> February 2010. </w:t>
      </w:r>
      <w:hyperlink r:id="rId179" w:history="1">
        <w:r w:rsidRPr="00BE4AF3">
          <w:rPr>
            <w:rFonts w:ascii="Times New Roman" w:hAnsi="Times New Roman"/>
            <w:sz w:val="24"/>
            <w:szCs w:val="24"/>
          </w:rPr>
          <w:t xml:space="preserve">https://www.surveymonkey.com/mp/sample-size-calculator/ </w:t>
        </w:r>
      </w:hyperlink>
      <w:r w:rsidRPr="00BE4AF3">
        <w:rPr>
          <w:rFonts w:ascii="Times New Roman" w:hAnsi="Times New Roman"/>
          <w:sz w:val="24"/>
          <w:szCs w:val="24"/>
        </w:rPr>
        <w:t>accesses on 18</w:t>
      </w:r>
      <w:r w:rsidRPr="00BE4AF3">
        <w:rPr>
          <w:rFonts w:ascii="Times New Roman" w:hAnsi="Times New Roman"/>
          <w:sz w:val="24"/>
          <w:szCs w:val="24"/>
          <w:vertAlign w:val="superscript"/>
        </w:rPr>
        <w:t>th</w:t>
      </w:r>
      <w:r w:rsidRPr="00BE4AF3">
        <w:rPr>
          <w:rFonts w:ascii="Times New Roman" w:hAnsi="Times New Roman"/>
          <w:sz w:val="24"/>
          <w:szCs w:val="24"/>
        </w:rPr>
        <w:t xml:space="preserve"> July 2019. </w:t>
      </w:r>
      <w:hyperlink r:id="rId180" w:history="1">
        <w:r w:rsidRPr="00BE4AF3">
          <w:rPr>
            <w:rFonts w:ascii="Times New Roman" w:hAnsi="Times New Roman"/>
            <w:sz w:val="24"/>
            <w:szCs w:val="24"/>
          </w:rPr>
          <w:t xml:space="preserve">https://www.youtube.com/watch?v=KT_sooVMQD0 </w:t>
        </w:r>
      </w:hyperlink>
      <w:r w:rsidRPr="00BE4AF3">
        <w:rPr>
          <w:rFonts w:ascii="Times New Roman" w:hAnsi="Times New Roman"/>
          <w:sz w:val="24"/>
          <w:szCs w:val="24"/>
        </w:rPr>
        <w:t>accessed on 11</w:t>
      </w:r>
      <w:r w:rsidRPr="00BE4AF3">
        <w:rPr>
          <w:rFonts w:ascii="Times New Roman" w:hAnsi="Times New Roman"/>
          <w:sz w:val="24"/>
          <w:szCs w:val="24"/>
          <w:vertAlign w:val="superscript"/>
        </w:rPr>
        <w:t>th</w:t>
      </w:r>
      <w:r w:rsidRPr="00BE4AF3">
        <w:rPr>
          <w:rFonts w:ascii="Times New Roman" w:hAnsi="Times New Roman"/>
          <w:sz w:val="24"/>
          <w:szCs w:val="24"/>
        </w:rPr>
        <w:t xml:space="preserve"> April 2019.</w:t>
      </w:r>
    </w:p>
    <w:p w14:paraId="1E201242" w14:textId="77777777" w:rsidR="006A700E" w:rsidRPr="00BE4AF3" w:rsidRDefault="006A700E" w:rsidP="0020515F">
      <w:pPr>
        <w:pStyle w:val="BodyText"/>
        <w:widowControl w:val="0"/>
        <w:autoSpaceDE w:val="0"/>
        <w:autoSpaceDN w:val="0"/>
        <w:spacing w:after="0" w:line="240" w:lineRule="auto"/>
        <w:ind w:left="851" w:right="202" w:hanging="851"/>
        <w:jc w:val="both"/>
        <w:rPr>
          <w:rFonts w:ascii="Times New Roman" w:hAnsi="Times New Roman"/>
          <w:i/>
          <w:sz w:val="24"/>
          <w:szCs w:val="24"/>
        </w:rPr>
      </w:pPr>
      <w:r w:rsidRPr="00BE4AF3">
        <w:rPr>
          <w:rFonts w:ascii="Times New Roman" w:hAnsi="Times New Roman"/>
          <w:sz w:val="24"/>
          <w:szCs w:val="24"/>
        </w:rPr>
        <w:t xml:space="preserve">Lambert S., Loiselle C. (2017) Combining Individual Interviews and Focus Groups to enhance Data Richness. </w:t>
      </w:r>
      <w:r w:rsidRPr="00BE4AF3">
        <w:rPr>
          <w:rFonts w:ascii="Times New Roman" w:hAnsi="Times New Roman"/>
          <w:i/>
          <w:sz w:val="24"/>
          <w:szCs w:val="24"/>
        </w:rPr>
        <w:t>J Adv Nurs.</w:t>
      </w:r>
    </w:p>
    <w:p w14:paraId="4F693A67" w14:textId="77777777" w:rsidR="006A700E" w:rsidRPr="00BE4AF3" w:rsidRDefault="006A700E" w:rsidP="0020515F">
      <w:pPr>
        <w:pStyle w:val="BodyText"/>
        <w:widowControl w:val="0"/>
        <w:autoSpaceDE w:val="0"/>
        <w:autoSpaceDN w:val="0"/>
        <w:spacing w:after="0" w:line="240" w:lineRule="auto"/>
        <w:ind w:left="851" w:right="202" w:hanging="851"/>
        <w:jc w:val="both"/>
        <w:rPr>
          <w:rFonts w:ascii="Times New Roman" w:hAnsi="Times New Roman"/>
          <w:sz w:val="24"/>
          <w:szCs w:val="24"/>
        </w:rPr>
      </w:pPr>
      <w:r w:rsidRPr="00BE4AF3">
        <w:rPr>
          <w:rFonts w:ascii="Times New Roman" w:hAnsi="Times New Roman"/>
          <w:sz w:val="24"/>
          <w:szCs w:val="24"/>
        </w:rPr>
        <w:t>Legesse, B. (2014). Research Methods in Agribusiness and Value Chains. School of Agricultural Economics and Agribusiness, Haramaya University.</w:t>
      </w:r>
    </w:p>
    <w:p w14:paraId="12F265C0" w14:textId="77777777" w:rsidR="006A700E" w:rsidRPr="00BE4AF3" w:rsidRDefault="006A700E" w:rsidP="0020515F">
      <w:pPr>
        <w:pStyle w:val="BodyText"/>
        <w:widowControl w:val="0"/>
        <w:autoSpaceDE w:val="0"/>
        <w:autoSpaceDN w:val="0"/>
        <w:spacing w:after="0" w:line="240" w:lineRule="auto"/>
        <w:ind w:left="851" w:right="202" w:hanging="851"/>
        <w:jc w:val="both"/>
        <w:rPr>
          <w:rFonts w:ascii="Times New Roman" w:hAnsi="Times New Roman"/>
          <w:sz w:val="24"/>
          <w:szCs w:val="24"/>
        </w:rPr>
      </w:pPr>
      <w:hyperlink r:id="rId181" w:history="1">
        <w:r w:rsidRPr="00BE4AF3">
          <w:rPr>
            <w:rFonts w:ascii="Times New Roman" w:hAnsi="Times New Roman"/>
            <w:sz w:val="24"/>
            <w:szCs w:val="24"/>
          </w:rPr>
          <w:t>Lind</w:t>
        </w:r>
      </w:hyperlink>
      <w:r w:rsidRPr="00BE4AF3">
        <w:rPr>
          <w:rFonts w:ascii="Times New Roman" w:hAnsi="Times New Roman"/>
          <w:sz w:val="24"/>
          <w:szCs w:val="24"/>
        </w:rPr>
        <w:t xml:space="preserve"> H. &amp; </w:t>
      </w:r>
      <w:hyperlink r:id="rId182" w:history="1">
        <w:r w:rsidRPr="00BE4AF3">
          <w:rPr>
            <w:rFonts w:ascii="Times New Roman" w:hAnsi="Times New Roman"/>
            <w:sz w:val="24"/>
            <w:szCs w:val="24"/>
          </w:rPr>
          <w:t>Muyingo</w:t>
        </w:r>
      </w:hyperlink>
      <w:r w:rsidRPr="00BE4AF3">
        <w:rPr>
          <w:rFonts w:ascii="Times New Roman" w:hAnsi="Times New Roman"/>
          <w:sz w:val="24"/>
          <w:szCs w:val="24"/>
        </w:rPr>
        <w:t xml:space="preserve"> H., (2012). “Building Maintenance Strategies: Planning Under Uncertainty”, </w:t>
      </w:r>
      <w:r w:rsidRPr="00BE4AF3">
        <w:rPr>
          <w:rFonts w:ascii="Times New Roman" w:hAnsi="Times New Roman"/>
          <w:i/>
          <w:sz w:val="24"/>
          <w:szCs w:val="24"/>
        </w:rPr>
        <w:t>Property Management</w:t>
      </w:r>
      <w:r w:rsidRPr="00BE4AF3">
        <w:rPr>
          <w:rFonts w:ascii="Times New Roman" w:hAnsi="Times New Roman"/>
          <w:sz w:val="24"/>
          <w:szCs w:val="24"/>
        </w:rPr>
        <w:t>.</w:t>
      </w:r>
    </w:p>
    <w:p w14:paraId="7836328A" w14:textId="77777777" w:rsidR="006A700E" w:rsidRPr="00BE4AF3" w:rsidRDefault="006A700E" w:rsidP="0020515F">
      <w:pPr>
        <w:pStyle w:val="BodyText"/>
        <w:widowControl w:val="0"/>
        <w:autoSpaceDE w:val="0"/>
        <w:autoSpaceDN w:val="0"/>
        <w:spacing w:after="0" w:line="240" w:lineRule="auto"/>
        <w:ind w:left="851" w:right="202" w:hanging="851"/>
        <w:jc w:val="both"/>
        <w:rPr>
          <w:rFonts w:ascii="Times New Roman" w:hAnsi="Times New Roman"/>
          <w:sz w:val="24"/>
          <w:szCs w:val="24"/>
        </w:rPr>
      </w:pPr>
      <w:r w:rsidRPr="00BE4AF3">
        <w:rPr>
          <w:rFonts w:ascii="Times New Roman" w:hAnsi="Times New Roman"/>
          <w:sz w:val="24"/>
          <w:szCs w:val="24"/>
        </w:rPr>
        <w:t>Madureira, S., Flores-Colen I., Brito, J. &amp; Pereira, C., (2017). Maintenance planning of facades in current buildings. Construction and Building Materials.</w:t>
      </w:r>
    </w:p>
    <w:p w14:paraId="523DD663" w14:textId="77777777" w:rsidR="006A700E" w:rsidRPr="00BE4AF3" w:rsidRDefault="006A700E" w:rsidP="0020515F">
      <w:pPr>
        <w:pStyle w:val="BodyText"/>
        <w:widowControl w:val="0"/>
        <w:autoSpaceDE w:val="0"/>
        <w:autoSpaceDN w:val="0"/>
        <w:spacing w:after="0" w:line="240" w:lineRule="auto"/>
        <w:ind w:left="851" w:hanging="851"/>
        <w:jc w:val="both"/>
        <w:rPr>
          <w:rFonts w:ascii="Times New Roman" w:hAnsi="Times New Roman"/>
          <w:sz w:val="24"/>
          <w:szCs w:val="24"/>
        </w:rPr>
      </w:pPr>
      <w:r w:rsidRPr="00BE4AF3">
        <w:rPr>
          <w:rFonts w:ascii="Times New Roman" w:hAnsi="Times New Roman"/>
          <w:sz w:val="24"/>
          <w:szCs w:val="24"/>
        </w:rPr>
        <w:t>Maslow A. H. (1954). Motivation and Personality: Harper &amp; Brothers, New York.</w:t>
      </w:r>
    </w:p>
    <w:p w14:paraId="2956705A" w14:textId="77777777" w:rsidR="006A700E" w:rsidRPr="00BE4AF3" w:rsidRDefault="006A700E" w:rsidP="0020515F">
      <w:pPr>
        <w:pStyle w:val="BodyText"/>
        <w:widowControl w:val="0"/>
        <w:autoSpaceDE w:val="0"/>
        <w:autoSpaceDN w:val="0"/>
        <w:spacing w:after="0" w:line="240" w:lineRule="auto"/>
        <w:ind w:left="851" w:right="202" w:hanging="851"/>
        <w:jc w:val="both"/>
        <w:rPr>
          <w:rFonts w:ascii="Times New Roman" w:hAnsi="Times New Roman"/>
          <w:sz w:val="24"/>
          <w:szCs w:val="24"/>
        </w:rPr>
      </w:pPr>
      <w:r w:rsidRPr="00BE4AF3">
        <w:rPr>
          <w:rFonts w:ascii="Times New Roman" w:hAnsi="Times New Roman"/>
          <w:sz w:val="24"/>
          <w:szCs w:val="24"/>
        </w:rPr>
        <w:t>Ministerial Policy Statement (2019). For Lands, Housing and Urban Development: The Republic of Uganda.</w:t>
      </w:r>
    </w:p>
    <w:p w14:paraId="7421051C" w14:textId="77777777" w:rsidR="006A700E" w:rsidRPr="00BE4AF3" w:rsidRDefault="006A700E" w:rsidP="0020515F">
      <w:pPr>
        <w:pStyle w:val="BodyText"/>
        <w:widowControl w:val="0"/>
        <w:autoSpaceDE w:val="0"/>
        <w:autoSpaceDN w:val="0"/>
        <w:spacing w:after="0" w:line="240" w:lineRule="auto"/>
        <w:ind w:left="851" w:right="200" w:hanging="851"/>
        <w:jc w:val="both"/>
        <w:rPr>
          <w:rFonts w:ascii="Times New Roman" w:hAnsi="Times New Roman"/>
          <w:sz w:val="24"/>
          <w:szCs w:val="24"/>
        </w:rPr>
      </w:pPr>
      <w:r w:rsidRPr="00BE4AF3">
        <w:rPr>
          <w:rFonts w:ascii="Times New Roman" w:hAnsi="Times New Roman"/>
          <w:sz w:val="24"/>
          <w:szCs w:val="24"/>
        </w:rPr>
        <w:t>Mohan K. G. (2016). Concept for Maintenance Management for Construction Equipment, Construction, Plant &amp; Machinery, Pune Maharashtra: India.</w:t>
      </w:r>
    </w:p>
    <w:p w14:paraId="31CDE9E6" w14:textId="77777777" w:rsidR="006A700E" w:rsidRPr="00BE4AF3" w:rsidRDefault="006A700E" w:rsidP="0020515F">
      <w:pPr>
        <w:pStyle w:val="BodyText"/>
        <w:widowControl w:val="0"/>
        <w:autoSpaceDE w:val="0"/>
        <w:autoSpaceDN w:val="0"/>
        <w:spacing w:after="0" w:line="240" w:lineRule="auto"/>
        <w:ind w:left="851" w:right="199" w:hanging="851"/>
        <w:jc w:val="both"/>
        <w:rPr>
          <w:rFonts w:ascii="Times New Roman" w:hAnsi="Times New Roman"/>
          <w:sz w:val="24"/>
          <w:szCs w:val="24"/>
        </w:rPr>
      </w:pPr>
      <w:r w:rsidRPr="00BE4AF3">
        <w:rPr>
          <w:rFonts w:ascii="Times New Roman" w:hAnsi="Times New Roman"/>
          <w:sz w:val="24"/>
          <w:szCs w:val="24"/>
        </w:rPr>
        <w:t>Motawa I. &amp; Almarshad A. (2013) A knowledge-based BIM system for building maintenance. Automation in Construction, Edinburgh,</w:t>
      </w:r>
      <w:r w:rsidRPr="00BE4AF3">
        <w:rPr>
          <w:rFonts w:ascii="Times New Roman" w:hAnsi="Times New Roman"/>
          <w:spacing w:val="3"/>
          <w:sz w:val="24"/>
          <w:szCs w:val="24"/>
        </w:rPr>
        <w:t xml:space="preserve"> </w:t>
      </w:r>
      <w:r w:rsidRPr="00BE4AF3">
        <w:rPr>
          <w:rFonts w:ascii="Times New Roman" w:hAnsi="Times New Roman"/>
          <w:sz w:val="24"/>
          <w:szCs w:val="24"/>
        </w:rPr>
        <w:t>UK.</w:t>
      </w:r>
    </w:p>
    <w:p w14:paraId="4392F798" w14:textId="77777777" w:rsidR="006A700E" w:rsidRPr="00BE4AF3" w:rsidRDefault="006A700E" w:rsidP="0020515F">
      <w:pPr>
        <w:pStyle w:val="BodyText"/>
        <w:widowControl w:val="0"/>
        <w:autoSpaceDE w:val="0"/>
        <w:autoSpaceDN w:val="0"/>
        <w:spacing w:after="0" w:line="240" w:lineRule="auto"/>
        <w:ind w:left="851" w:right="202" w:hanging="851"/>
        <w:jc w:val="both"/>
        <w:rPr>
          <w:rFonts w:ascii="Times New Roman" w:hAnsi="Times New Roman"/>
          <w:sz w:val="24"/>
          <w:szCs w:val="24"/>
        </w:rPr>
      </w:pPr>
      <w:r w:rsidRPr="00BE4AF3">
        <w:rPr>
          <w:rFonts w:ascii="Times New Roman" w:hAnsi="Times New Roman"/>
          <w:sz w:val="24"/>
          <w:szCs w:val="24"/>
        </w:rPr>
        <w:t>Nkrumah E. N. K. (2017). Public Infrastructure Maintenance Practices in Ghana: Review of Public Administration Management: School of Management, Jiangsu University, PRC; Ghana Institute of Journalism.</w:t>
      </w:r>
    </w:p>
    <w:p w14:paraId="7831504A" w14:textId="77777777" w:rsidR="006A700E" w:rsidRPr="0020515F" w:rsidRDefault="006A700E" w:rsidP="0020515F">
      <w:pPr>
        <w:widowControl w:val="0"/>
        <w:autoSpaceDE w:val="0"/>
        <w:autoSpaceDN w:val="0"/>
        <w:spacing w:after="0" w:line="240" w:lineRule="auto"/>
        <w:ind w:left="851" w:right="196" w:hanging="851"/>
        <w:jc w:val="both"/>
        <w:rPr>
          <w:rFonts w:ascii="Times New Roman" w:hAnsi="Times New Roman"/>
          <w:sz w:val="24"/>
          <w:szCs w:val="24"/>
        </w:rPr>
      </w:pPr>
      <w:r w:rsidRPr="0020515F">
        <w:rPr>
          <w:rFonts w:ascii="Times New Roman" w:hAnsi="Times New Roman"/>
          <w:sz w:val="24"/>
          <w:szCs w:val="24"/>
        </w:rPr>
        <w:t xml:space="preserve">Ofori I., Duodu P. M. &amp; Bonney S. O., (2015).Establishing Factors Influencing Building Maintenance Practices: Ghanaian Perspective. </w:t>
      </w:r>
      <w:r w:rsidRPr="0020515F">
        <w:rPr>
          <w:rFonts w:ascii="Times New Roman" w:hAnsi="Times New Roman"/>
          <w:i/>
          <w:sz w:val="24"/>
          <w:szCs w:val="24"/>
        </w:rPr>
        <w:t xml:space="preserve">Journal of Economics and Sustainable Development: </w:t>
      </w:r>
      <w:r w:rsidRPr="0020515F">
        <w:rPr>
          <w:rFonts w:ascii="Times New Roman" w:hAnsi="Times New Roman"/>
          <w:sz w:val="24"/>
          <w:szCs w:val="24"/>
        </w:rPr>
        <w:t>Osu- Accra, Ghana.</w:t>
      </w:r>
    </w:p>
    <w:p w14:paraId="16E2316E" w14:textId="77777777" w:rsidR="006A700E" w:rsidRPr="0020515F" w:rsidRDefault="006A700E" w:rsidP="0020515F">
      <w:pPr>
        <w:widowControl w:val="0"/>
        <w:autoSpaceDE w:val="0"/>
        <w:autoSpaceDN w:val="0"/>
        <w:spacing w:after="0" w:line="240" w:lineRule="auto"/>
        <w:ind w:left="851" w:right="201" w:hanging="851"/>
        <w:jc w:val="both"/>
        <w:rPr>
          <w:rFonts w:ascii="Times New Roman" w:hAnsi="Times New Roman"/>
          <w:i/>
          <w:sz w:val="24"/>
          <w:szCs w:val="24"/>
        </w:rPr>
      </w:pPr>
      <w:r w:rsidRPr="0020515F">
        <w:rPr>
          <w:rFonts w:ascii="Times New Roman" w:hAnsi="Times New Roman"/>
          <w:sz w:val="24"/>
          <w:szCs w:val="24"/>
        </w:rPr>
        <w:t xml:space="preserve">Ogunmakinde, O. E., Akinola, A. A. &amp; Siyanbola, A. B. (2013). Analysis of the Factors Affecting Building Maintenance in Government Residential Estates in Akure, Ondo State, Nigeria. </w:t>
      </w:r>
      <w:r w:rsidRPr="0020515F">
        <w:rPr>
          <w:rFonts w:ascii="Times New Roman" w:hAnsi="Times New Roman"/>
          <w:i/>
          <w:sz w:val="24"/>
          <w:szCs w:val="24"/>
        </w:rPr>
        <w:t>Journal of Environmental Sciences and Resources Management.</w:t>
      </w:r>
    </w:p>
    <w:p w14:paraId="7E8EF6E3" w14:textId="77777777" w:rsidR="006A700E" w:rsidRPr="0020515F" w:rsidRDefault="006A700E" w:rsidP="0020515F">
      <w:pPr>
        <w:widowControl w:val="0"/>
        <w:autoSpaceDE w:val="0"/>
        <w:autoSpaceDN w:val="0"/>
        <w:spacing w:after="0" w:line="240" w:lineRule="auto"/>
        <w:ind w:left="851" w:right="195" w:hanging="851"/>
        <w:jc w:val="both"/>
        <w:rPr>
          <w:rFonts w:ascii="Times New Roman" w:hAnsi="Times New Roman"/>
          <w:sz w:val="24"/>
          <w:szCs w:val="24"/>
        </w:rPr>
      </w:pPr>
      <w:r w:rsidRPr="0020515F">
        <w:rPr>
          <w:rFonts w:ascii="Times New Roman" w:hAnsi="Times New Roman"/>
          <w:sz w:val="24"/>
          <w:szCs w:val="24"/>
        </w:rPr>
        <w:t>Olagunju R. E., (2012). Predictive Modelling for Sustainable Residential building Maintenance in Developing Countries: A Nigerian Case</w:t>
      </w:r>
      <w:r w:rsidRPr="0020515F">
        <w:rPr>
          <w:rFonts w:ascii="Times New Roman" w:hAnsi="Times New Roman"/>
          <w:i/>
          <w:sz w:val="24"/>
          <w:szCs w:val="24"/>
        </w:rPr>
        <w:t>. Interdisciplinary Journal of Contemporary Research in Business</w:t>
      </w:r>
      <w:r w:rsidRPr="0020515F">
        <w:rPr>
          <w:rFonts w:ascii="Times New Roman" w:hAnsi="Times New Roman"/>
          <w:sz w:val="24"/>
          <w:szCs w:val="24"/>
        </w:rPr>
        <w:t>. Niger State: Nigeria.</w:t>
      </w:r>
    </w:p>
    <w:p w14:paraId="4DA26FEE" w14:textId="77777777" w:rsidR="006A700E" w:rsidRPr="00BE4AF3" w:rsidRDefault="006A700E" w:rsidP="0020515F">
      <w:pPr>
        <w:pStyle w:val="BodyText"/>
        <w:widowControl w:val="0"/>
        <w:autoSpaceDE w:val="0"/>
        <w:autoSpaceDN w:val="0"/>
        <w:spacing w:after="0" w:line="240" w:lineRule="auto"/>
        <w:ind w:left="851" w:right="196" w:hanging="851"/>
        <w:jc w:val="both"/>
        <w:rPr>
          <w:rFonts w:ascii="Times New Roman" w:hAnsi="Times New Roman"/>
          <w:sz w:val="24"/>
          <w:szCs w:val="24"/>
        </w:rPr>
      </w:pPr>
      <w:r w:rsidRPr="00BE4AF3">
        <w:rPr>
          <w:rFonts w:ascii="Times New Roman" w:hAnsi="Times New Roman"/>
          <w:sz w:val="24"/>
          <w:szCs w:val="24"/>
        </w:rPr>
        <w:t>Olanrewaju S. B. O. and Anifowose O. S. (2015). The Challenges of Building Maintenance in Nigeria: A Case Study of Ekiti State. European Journal of Educational and Development Psychology,</w:t>
      </w:r>
      <w:r w:rsidRPr="00BE4AF3">
        <w:rPr>
          <w:rFonts w:ascii="Times New Roman" w:hAnsi="Times New Roman"/>
          <w:spacing w:val="1"/>
          <w:sz w:val="24"/>
          <w:szCs w:val="24"/>
        </w:rPr>
        <w:t xml:space="preserve"> </w:t>
      </w:r>
      <w:r w:rsidRPr="00BE4AF3">
        <w:rPr>
          <w:rFonts w:ascii="Times New Roman" w:hAnsi="Times New Roman"/>
          <w:sz w:val="24"/>
          <w:szCs w:val="24"/>
        </w:rPr>
        <w:t>Nigeria.</w:t>
      </w:r>
    </w:p>
    <w:p w14:paraId="6BACD4E6" w14:textId="77777777" w:rsidR="006A700E" w:rsidRPr="00BE4AF3" w:rsidRDefault="006A700E" w:rsidP="0020515F">
      <w:pPr>
        <w:pStyle w:val="BodyText"/>
        <w:widowControl w:val="0"/>
        <w:autoSpaceDE w:val="0"/>
        <w:autoSpaceDN w:val="0"/>
        <w:spacing w:after="0" w:line="240" w:lineRule="auto"/>
        <w:ind w:left="851" w:right="201" w:hanging="851"/>
        <w:jc w:val="both"/>
        <w:rPr>
          <w:rFonts w:ascii="Times New Roman" w:hAnsi="Times New Roman"/>
          <w:sz w:val="24"/>
          <w:szCs w:val="24"/>
        </w:rPr>
      </w:pPr>
      <w:r w:rsidRPr="00BE4AF3">
        <w:rPr>
          <w:rFonts w:ascii="Times New Roman" w:hAnsi="Times New Roman"/>
          <w:sz w:val="24"/>
          <w:szCs w:val="24"/>
        </w:rPr>
        <w:t>Othuman M. A. M. (2014) Key Performance Indicator of Building Maintenance and Its Effect on the Building Life Cycle. School of Housing, Building, and Planning: Penang,</w:t>
      </w:r>
      <w:r w:rsidRPr="00BE4AF3">
        <w:rPr>
          <w:rFonts w:ascii="Times New Roman" w:hAnsi="Times New Roman"/>
          <w:spacing w:val="-1"/>
          <w:sz w:val="24"/>
          <w:szCs w:val="24"/>
        </w:rPr>
        <w:t xml:space="preserve"> </w:t>
      </w:r>
      <w:r w:rsidRPr="00BE4AF3">
        <w:rPr>
          <w:rFonts w:ascii="Times New Roman" w:hAnsi="Times New Roman"/>
          <w:sz w:val="24"/>
          <w:szCs w:val="24"/>
        </w:rPr>
        <w:t>Malaysia.</w:t>
      </w:r>
    </w:p>
    <w:p w14:paraId="60707AC8" w14:textId="77777777" w:rsidR="006A700E" w:rsidRPr="00BE4AF3" w:rsidRDefault="006A700E" w:rsidP="0020515F">
      <w:pPr>
        <w:pStyle w:val="BodyText"/>
        <w:widowControl w:val="0"/>
        <w:autoSpaceDE w:val="0"/>
        <w:autoSpaceDN w:val="0"/>
        <w:spacing w:after="0" w:line="240" w:lineRule="auto"/>
        <w:ind w:left="851" w:right="198" w:hanging="851"/>
        <w:jc w:val="both"/>
        <w:rPr>
          <w:rFonts w:ascii="Times New Roman" w:hAnsi="Times New Roman"/>
          <w:sz w:val="24"/>
          <w:szCs w:val="24"/>
        </w:rPr>
      </w:pPr>
      <w:r w:rsidRPr="00BE4AF3">
        <w:rPr>
          <w:rFonts w:ascii="Times New Roman" w:hAnsi="Times New Roman"/>
          <w:sz w:val="24"/>
          <w:szCs w:val="24"/>
        </w:rPr>
        <w:t>Othuman, M. A. M. (2017). Significant of Building Maintenance Management on Life-Span of Buildings. Robotica and Management: Penang, Malaysia.</w:t>
      </w:r>
    </w:p>
    <w:p w14:paraId="562334FA" w14:textId="77777777" w:rsidR="006A700E" w:rsidRPr="0020515F" w:rsidRDefault="006A700E" w:rsidP="0020515F">
      <w:pPr>
        <w:widowControl w:val="0"/>
        <w:autoSpaceDE w:val="0"/>
        <w:autoSpaceDN w:val="0"/>
        <w:spacing w:after="0" w:line="240" w:lineRule="auto"/>
        <w:ind w:left="851" w:right="195" w:hanging="851"/>
        <w:jc w:val="both"/>
        <w:rPr>
          <w:rFonts w:ascii="Times New Roman" w:hAnsi="Times New Roman"/>
          <w:sz w:val="24"/>
          <w:szCs w:val="24"/>
        </w:rPr>
      </w:pPr>
      <w:r w:rsidRPr="0020515F">
        <w:rPr>
          <w:rFonts w:ascii="Times New Roman" w:hAnsi="Times New Roman"/>
          <w:sz w:val="24"/>
          <w:szCs w:val="24"/>
        </w:rPr>
        <w:t xml:space="preserve">Owolabi J. D., Amusan L. M., Gani J., Tunji-Olayeni P., Omuh I., (2014), “Assessing The Effectiveness Of Maintenance Practices In Public Schools.” </w:t>
      </w:r>
      <w:r w:rsidRPr="0020515F">
        <w:rPr>
          <w:rFonts w:ascii="Times New Roman" w:hAnsi="Times New Roman"/>
          <w:i/>
          <w:sz w:val="24"/>
          <w:szCs w:val="24"/>
        </w:rPr>
        <w:t>European International Journal of Science and Technology</w:t>
      </w:r>
      <w:r w:rsidRPr="0020515F">
        <w:rPr>
          <w:rFonts w:ascii="Times New Roman" w:hAnsi="Times New Roman"/>
          <w:sz w:val="24"/>
          <w:szCs w:val="24"/>
        </w:rPr>
        <w:t>.</w:t>
      </w:r>
    </w:p>
    <w:p w14:paraId="1FB4515C" w14:textId="77777777" w:rsidR="006A700E" w:rsidRPr="00BE4AF3" w:rsidRDefault="006A700E" w:rsidP="0020515F">
      <w:pPr>
        <w:pStyle w:val="BodyText"/>
        <w:widowControl w:val="0"/>
        <w:autoSpaceDE w:val="0"/>
        <w:autoSpaceDN w:val="0"/>
        <w:spacing w:after="0" w:line="240" w:lineRule="auto"/>
        <w:ind w:left="851" w:right="200" w:hanging="851"/>
        <w:jc w:val="both"/>
        <w:rPr>
          <w:rFonts w:ascii="Times New Roman" w:hAnsi="Times New Roman"/>
          <w:sz w:val="24"/>
          <w:szCs w:val="24"/>
        </w:rPr>
      </w:pPr>
      <w:r w:rsidRPr="00BE4AF3">
        <w:rPr>
          <w:rFonts w:ascii="Times New Roman" w:hAnsi="Times New Roman"/>
          <w:sz w:val="24"/>
          <w:szCs w:val="24"/>
        </w:rPr>
        <w:t>Sridhar J., (2018). What is data analysis and why is it important. htt</w:t>
      </w:r>
      <w:hyperlink r:id="rId183" w:history="1">
        <w:r w:rsidRPr="00BE4AF3">
          <w:rPr>
            <w:rFonts w:ascii="Times New Roman" w:hAnsi="Times New Roman"/>
            <w:sz w:val="24"/>
            <w:szCs w:val="24"/>
          </w:rPr>
          <w:t>ps://www.makeuseof.com/tag/wha</w:t>
        </w:r>
      </w:hyperlink>
      <w:r w:rsidRPr="00BE4AF3">
        <w:rPr>
          <w:rFonts w:ascii="Times New Roman" w:hAnsi="Times New Roman"/>
          <w:sz w:val="24"/>
          <w:szCs w:val="24"/>
        </w:rPr>
        <w:t>t</w:t>
      </w:r>
      <w:hyperlink r:id="rId184" w:history="1">
        <w:r w:rsidRPr="00BE4AF3">
          <w:rPr>
            <w:rFonts w:ascii="Times New Roman" w:hAnsi="Times New Roman"/>
            <w:sz w:val="24"/>
            <w:szCs w:val="24"/>
          </w:rPr>
          <w:t xml:space="preserve">-is-data-analysis </w:t>
        </w:r>
      </w:hyperlink>
      <w:r w:rsidRPr="00BE4AF3">
        <w:rPr>
          <w:rFonts w:ascii="Times New Roman" w:hAnsi="Times New Roman"/>
          <w:sz w:val="24"/>
          <w:szCs w:val="24"/>
        </w:rPr>
        <w:t>(Accessed on 17/07/19).</w:t>
      </w:r>
    </w:p>
    <w:p w14:paraId="63A1F788" w14:textId="77777777" w:rsidR="006A700E" w:rsidRPr="00BE4AF3" w:rsidRDefault="006A700E" w:rsidP="0020515F">
      <w:pPr>
        <w:pStyle w:val="BodyText"/>
        <w:widowControl w:val="0"/>
        <w:autoSpaceDE w:val="0"/>
        <w:autoSpaceDN w:val="0"/>
        <w:spacing w:after="0" w:line="240" w:lineRule="auto"/>
        <w:ind w:left="851" w:right="199" w:hanging="851"/>
        <w:jc w:val="both"/>
        <w:rPr>
          <w:rFonts w:ascii="Times New Roman" w:hAnsi="Times New Roman"/>
          <w:sz w:val="24"/>
          <w:szCs w:val="24"/>
        </w:rPr>
      </w:pPr>
      <w:r w:rsidRPr="00BE4AF3">
        <w:rPr>
          <w:rFonts w:ascii="Times New Roman" w:hAnsi="Times New Roman"/>
          <w:sz w:val="24"/>
          <w:szCs w:val="24"/>
        </w:rPr>
        <w:t>Suffian, A., (2013). Some Common Maintenance Problems and Building Defects: Our Experiences. The 2nd International Conference on Rehabilitation and Maintenance in Civil Engineering. Social Security Organisation (SOCSO), Malaysia.</w:t>
      </w:r>
    </w:p>
    <w:p w14:paraId="57A216B0" w14:textId="77777777" w:rsidR="006A700E" w:rsidRPr="00BE4AF3" w:rsidRDefault="006A700E" w:rsidP="0020515F">
      <w:pPr>
        <w:pStyle w:val="BodyText"/>
        <w:widowControl w:val="0"/>
        <w:autoSpaceDE w:val="0"/>
        <w:autoSpaceDN w:val="0"/>
        <w:spacing w:after="0" w:line="240" w:lineRule="auto"/>
        <w:ind w:left="851" w:right="205" w:hanging="851"/>
        <w:jc w:val="both"/>
        <w:rPr>
          <w:rFonts w:ascii="Times New Roman" w:hAnsi="Times New Roman"/>
          <w:sz w:val="24"/>
          <w:szCs w:val="24"/>
        </w:rPr>
      </w:pPr>
      <w:r w:rsidRPr="00BE4AF3">
        <w:rPr>
          <w:rFonts w:ascii="Times New Roman" w:hAnsi="Times New Roman"/>
          <w:sz w:val="24"/>
          <w:szCs w:val="24"/>
        </w:rPr>
        <w:t xml:space="preserve">Talib R., Ahmad A. G., Zakaria N., &amp; Sulieman M. Z., (2014). Assessment of Factors Affecting Building Maintenance and Defects of Public Buildings in Penang, </w:t>
      </w:r>
      <w:r w:rsidRPr="00BE4AF3">
        <w:rPr>
          <w:rFonts w:ascii="Times New Roman" w:hAnsi="Times New Roman"/>
          <w:sz w:val="24"/>
          <w:szCs w:val="24"/>
        </w:rPr>
        <w:lastRenderedPageBreak/>
        <w:t xml:space="preserve">Malaysia. </w:t>
      </w:r>
      <w:r w:rsidRPr="00BE4AF3">
        <w:rPr>
          <w:rFonts w:ascii="Times New Roman" w:hAnsi="Times New Roman"/>
          <w:i/>
          <w:sz w:val="24"/>
          <w:szCs w:val="24"/>
        </w:rPr>
        <w:t xml:space="preserve">Architecture Research 2014, </w:t>
      </w:r>
      <w:r w:rsidRPr="00BE4AF3">
        <w:rPr>
          <w:rFonts w:ascii="Times New Roman" w:hAnsi="Times New Roman"/>
          <w:sz w:val="24"/>
          <w:szCs w:val="24"/>
        </w:rPr>
        <w:t>USM Pulau Pinang,</w:t>
      </w:r>
      <w:r w:rsidRPr="00BE4AF3">
        <w:rPr>
          <w:rFonts w:ascii="Times New Roman" w:hAnsi="Times New Roman"/>
          <w:spacing w:val="-2"/>
          <w:sz w:val="24"/>
          <w:szCs w:val="24"/>
        </w:rPr>
        <w:t xml:space="preserve"> </w:t>
      </w:r>
      <w:r w:rsidRPr="00BE4AF3">
        <w:rPr>
          <w:rFonts w:ascii="Times New Roman" w:hAnsi="Times New Roman"/>
          <w:sz w:val="24"/>
          <w:szCs w:val="24"/>
        </w:rPr>
        <w:t>Malaysia.</w:t>
      </w:r>
    </w:p>
    <w:p w14:paraId="004D4891" w14:textId="77777777" w:rsidR="006A700E" w:rsidRPr="00BE4AF3" w:rsidRDefault="006A700E" w:rsidP="0020515F">
      <w:pPr>
        <w:pStyle w:val="BodyText"/>
        <w:widowControl w:val="0"/>
        <w:autoSpaceDE w:val="0"/>
        <w:autoSpaceDN w:val="0"/>
        <w:spacing w:after="0" w:line="240" w:lineRule="auto"/>
        <w:ind w:left="851" w:right="200" w:hanging="851"/>
        <w:jc w:val="both"/>
        <w:rPr>
          <w:rFonts w:ascii="Times New Roman" w:hAnsi="Times New Roman"/>
          <w:sz w:val="24"/>
          <w:szCs w:val="24"/>
        </w:rPr>
      </w:pPr>
      <w:r w:rsidRPr="00BE4AF3">
        <w:rPr>
          <w:rFonts w:ascii="Times New Roman" w:hAnsi="Times New Roman"/>
          <w:sz w:val="24"/>
          <w:szCs w:val="24"/>
        </w:rPr>
        <w:t>Vanduhe, B. A. (2012). An Investigation of Factors Affecting Residential Building Maintenance. Unpublished B.Eng. project submitted to the Department of Civil and Water Resources Engineering University of Maiduguri.</w:t>
      </w:r>
    </w:p>
    <w:p w14:paraId="2FE581FF" w14:textId="77777777" w:rsidR="006A700E" w:rsidRPr="00BE4AF3" w:rsidRDefault="006A700E" w:rsidP="0020515F">
      <w:pPr>
        <w:pStyle w:val="BodyText"/>
        <w:widowControl w:val="0"/>
        <w:autoSpaceDE w:val="0"/>
        <w:autoSpaceDN w:val="0"/>
        <w:spacing w:after="0" w:line="240" w:lineRule="auto"/>
        <w:ind w:left="851" w:right="197" w:hanging="851"/>
        <w:jc w:val="both"/>
        <w:rPr>
          <w:rFonts w:ascii="Times New Roman" w:hAnsi="Times New Roman"/>
          <w:sz w:val="24"/>
          <w:szCs w:val="24"/>
        </w:rPr>
      </w:pPr>
      <w:r w:rsidRPr="00BE4AF3">
        <w:rPr>
          <w:rFonts w:ascii="Times New Roman" w:hAnsi="Times New Roman"/>
          <w:sz w:val="24"/>
          <w:szCs w:val="24"/>
        </w:rPr>
        <w:t>Veldman, J., Wortmann, H. &amp; Klingenberg W., (2011).Methodology and Theory: Typology of Condition-based maintenance. Journal of Quality in Maintenance Engineering.</w:t>
      </w:r>
    </w:p>
    <w:p w14:paraId="12B8EAA2" w14:textId="77777777" w:rsidR="006A700E" w:rsidRPr="0020515F" w:rsidRDefault="006A700E" w:rsidP="0020515F">
      <w:pPr>
        <w:widowControl w:val="0"/>
        <w:autoSpaceDE w:val="0"/>
        <w:autoSpaceDN w:val="0"/>
        <w:spacing w:after="0" w:line="240" w:lineRule="auto"/>
        <w:ind w:left="851" w:right="195" w:hanging="851"/>
        <w:jc w:val="both"/>
        <w:rPr>
          <w:rFonts w:ascii="Times New Roman" w:hAnsi="Times New Roman"/>
          <w:sz w:val="24"/>
          <w:szCs w:val="24"/>
        </w:rPr>
      </w:pPr>
      <w:r w:rsidRPr="0020515F">
        <w:rPr>
          <w:rFonts w:ascii="Times New Roman" w:hAnsi="Times New Roman"/>
          <w:sz w:val="24"/>
          <w:szCs w:val="24"/>
        </w:rPr>
        <w:t>Wahab Y. A &amp; Basari A. S. H., (2013). Building Maintenance Management Preliminary Finding of a Case Study in ICYM.</w:t>
      </w:r>
      <w:r w:rsidRPr="0020515F">
        <w:rPr>
          <w:rFonts w:ascii="Times New Roman" w:hAnsi="Times New Roman"/>
          <w:i/>
          <w:sz w:val="24"/>
          <w:szCs w:val="24"/>
        </w:rPr>
        <w:t>Middle-East Journal of Scientific Research</w:t>
      </w:r>
      <w:r w:rsidRPr="0020515F">
        <w:rPr>
          <w:rFonts w:ascii="Times New Roman" w:hAnsi="Times New Roman"/>
          <w:sz w:val="24"/>
          <w:szCs w:val="24"/>
        </w:rPr>
        <w:t>: Durian Tunggal Melaka: Malaysia.</w:t>
      </w:r>
    </w:p>
    <w:p w14:paraId="1D54FF5B" w14:textId="2DE30A04" w:rsidR="006A700E" w:rsidRPr="00BE4AF3" w:rsidRDefault="006A700E" w:rsidP="0020515F">
      <w:pPr>
        <w:pStyle w:val="BodyText"/>
        <w:widowControl w:val="0"/>
        <w:autoSpaceDE w:val="0"/>
        <w:autoSpaceDN w:val="0"/>
        <w:spacing w:after="0" w:line="240" w:lineRule="auto"/>
        <w:ind w:left="851" w:right="204" w:hanging="851"/>
        <w:jc w:val="both"/>
        <w:rPr>
          <w:rFonts w:ascii="Times New Roman" w:hAnsi="Times New Roman"/>
          <w:sz w:val="24"/>
          <w:szCs w:val="24"/>
        </w:rPr>
      </w:pPr>
      <w:r w:rsidRPr="00BE4AF3">
        <w:rPr>
          <w:rFonts w:ascii="Times New Roman" w:hAnsi="Times New Roman"/>
          <w:sz w:val="24"/>
          <w:szCs w:val="24"/>
        </w:rPr>
        <w:t>Walter E. (2016). Building Maintenance: 8 Little-Known Factors Affecting Your Building. Waziri B. S. &amp; Vanduhe B. A., (2013). Evaluation of Factors Affecting Residential Building.</w:t>
      </w:r>
      <w:r w:rsidRPr="0020515F">
        <w:rPr>
          <w:rFonts w:ascii="Times New Roman" w:hAnsi="Times New Roman"/>
          <w:sz w:val="24"/>
          <w:szCs w:val="24"/>
        </w:rPr>
        <w:t>Maintenance in Nigeria: Users‟ Perspective</w:t>
      </w:r>
      <w:r w:rsidRPr="0020515F">
        <w:rPr>
          <w:rFonts w:ascii="Times New Roman" w:hAnsi="Times New Roman"/>
          <w:i/>
          <w:sz w:val="24"/>
          <w:szCs w:val="24"/>
        </w:rPr>
        <w:t xml:space="preserve">. Civil and Environmental Research. </w:t>
      </w:r>
      <w:r w:rsidRPr="0020515F">
        <w:rPr>
          <w:rFonts w:ascii="Times New Roman" w:hAnsi="Times New Roman"/>
          <w:sz w:val="24"/>
          <w:szCs w:val="24"/>
        </w:rPr>
        <w:t>Civil</w:t>
      </w:r>
      <w:r w:rsidR="0020515F">
        <w:rPr>
          <w:rFonts w:ascii="Times New Roman" w:hAnsi="Times New Roman"/>
          <w:sz w:val="24"/>
          <w:szCs w:val="24"/>
        </w:rPr>
        <w:t xml:space="preserve"> </w:t>
      </w:r>
      <w:r w:rsidRPr="00BE4AF3">
        <w:rPr>
          <w:rFonts w:ascii="Times New Roman" w:hAnsi="Times New Roman"/>
          <w:sz w:val="24"/>
          <w:szCs w:val="24"/>
        </w:rPr>
        <w:t>Strut Associates Kaduna: Nigeria.</w:t>
      </w:r>
    </w:p>
    <w:p w14:paraId="60D50153" w14:textId="77777777" w:rsidR="006A700E" w:rsidRPr="00BE4AF3" w:rsidRDefault="006A700E" w:rsidP="0020515F">
      <w:pPr>
        <w:pStyle w:val="BodyText"/>
        <w:widowControl w:val="0"/>
        <w:autoSpaceDE w:val="0"/>
        <w:autoSpaceDN w:val="0"/>
        <w:spacing w:after="0" w:line="240" w:lineRule="auto"/>
        <w:ind w:left="851" w:right="201" w:hanging="851"/>
        <w:jc w:val="both"/>
        <w:rPr>
          <w:rFonts w:ascii="Times New Roman" w:hAnsi="Times New Roman"/>
          <w:sz w:val="24"/>
          <w:szCs w:val="24"/>
        </w:rPr>
      </w:pPr>
      <w:r w:rsidRPr="00BE4AF3">
        <w:rPr>
          <w:rFonts w:ascii="Times New Roman" w:hAnsi="Times New Roman"/>
          <w:sz w:val="24"/>
          <w:szCs w:val="24"/>
        </w:rPr>
        <w:t>Yong C. Y. &amp; Sulieman M. Z. (2015). Assessment of Building Maintenance Management Practice and Occupant Satisfaction of School Buildings in Perak, Malaysia.</w:t>
      </w:r>
    </w:p>
    <w:p w14:paraId="66A0C0FD" w14:textId="77777777" w:rsidR="006A700E" w:rsidRDefault="006A700E" w:rsidP="006A700E">
      <w:pPr>
        <w:pStyle w:val="Heading1"/>
        <w:spacing w:before="60" w:line="480" w:lineRule="auto"/>
        <w:ind w:right="39"/>
        <w:jc w:val="both"/>
        <w:rPr>
          <w:rFonts w:ascii="Times New Roman" w:hAnsi="Times New Roman" w:cs="Times New Roman"/>
          <w:color w:val="auto"/>
          <w:sz w:val="24"/>
          <w:szCs w:val="24"/>
        </w:rPr>
      </w:pPr>
    </w:p>
    <w:p w14:paraId="08D17A02" w14:textId="77777777" w:rsidR="0020515F" w:rsidRDefault="0020515F" w:rsidP="0020515F"/>
    <w:p w14:paraId="7874CE3F" w14:textId="77777777" w:rsidR="0020515F" w:rsidRDefault="0020515F" w:rsidP="0020515F"/>
    <w:p w14:paraId="47985CD0" w14:textId="77777777" w:rsidR="0020515F" w:rsidRDefault="0020515F" w:rsidP="0020515F"/>
    <w:p w14:paraId="56D7CB72" w14:textId="77777777" w:rsidR="0020515F" w:rsidRDefault="0020515F" w:rsidP="0020515F"/>
    <w:p w14:paraId="5DE2CC95" w14:textId="77777777" w:rsidR="0020515F" w:rsidRDefault="0020515F" w:rsidP="0020515F"/>
    <w:p w14:paraId="0E0A419A" w14:textId="77777777" w:rsidR="0020515F" w:rsidRDefault="0020515F" w:rsidP="0020515F"/>
    <w:p w14:paraId="5E42EE4F" w14:textId="77777777" w:rsidR="0020515F" w:rsidRDefault="0020515F" w:rsidP="0020515F"/>
    <w:p w14:paraId="1E6A8C0E" w14:textId="77777777" w:rsidR="0020515F" w:rsidRDefault="0020515F" w:rsidP="0020515F"/>
    <w:p w14:paraId="20869138" w14:textId="77777777" w:rsidR="0020515F" w:rsidRDefault="0020515F" w:rsidP="0020515F"/>
    <w:p w14:paraId="28D71137" w14:textId="77777777" w:rsidR="0020515F" w:rsidRDefault="0020515F" w:rsidP="0020515F"/>
    <w:p w14:paraId="19A089DD" w14:textId="77777777" w:rsidR="0020515F" w:rsidRDefault="0020515F" w:rsidP="0020515F"/>
    <w:p w14:paraId="2247D10D" w14:textId="77777777" w:rsidR="0020515F" w:rsidRDefault="0020515F" w:rsidP="0020515F"/>
    <w:p w14:paraId="7B2DD806" w14:textId="77777777" w:rsidR="0020515F" w:rsidRDefault="0020515F" w:rsidP="0020515F"/>
    <w:p w14:paraId="34FC7BC8" w14:textId="77777777" w:rsidR="0020515F" w:rsidRDefault="0020515F" w:rsidP="0020515F"/>
    <w:p w14:paraId="1BB78D5F" w14:textId="77777777" w:rsidR="0020515F" w:rsidRDefault="0020515F" w:rsidP="0020515F"/>
    <w:p w14:paraId="6D83D9E1" w14:textId="77777777" w:rsidR="0020515F" w:rsidRDefault="0020515F" w:rsidP="0020515F"/>
    <w:p w14:paraId="24AC0FB2" w14:textId="77777777" w:rsidR="0020515F" w:rsidRDefault="0020515F" w:rsidP="0020515F"/>
    <w:p w14:paraId="0907B0E0" w14:textId="77777777" w:rsidR="0020515F" w:rsidRPr="0020515F" w:rsidRDefault="0020515F" w:rsidP="0020515F"/>
    <w:p w14:paraId="4018A312" w14:textId="77777777" w:rsidR="00C17E13" w:rsidRPr="004D1C5E" w:rsidRDefault="00C17E13" w:rsidP="00B6642C">
      <w:pPr>
        <w:spacing w:after="0" w:line="240" w:lineRule="auto"/>
        <w:jc w:val="center"/>
        <w:rPr>
          <w:rFonts w:ascii="Times New Roman" w:hAnsi="Times New Roman" w:cs="Times New Roman"/>
          <w:b/>
          <w:sz w:val="28"/>
          <w:szCs w:val="28"/>
        </w:rPr>
      </w:pPr>
      <w:r w:rsidRPr="004D1C5E">
        <w:rPr>
          <w:rFonts w:ascii="Times New Roman" w:hAnsi="Times New Roman" w:cs="Times New Roman"/>
          <w:b/>
          <w:sz w:val="28"/>
          <w:szCs w:val="28"/>
        </w:rPr>
        <w:lastRenderedPageBreak/>
        <w:t xml:space="preserve">Cost Management Practices and Performance of Construction Firms in </w:t>
      </w:r>
    </w:p>
    <w:p w14:paraId="0C34B85E" w14:textId="77777777" w:rsidR="00B6642C" w:rsidRPr="004D1C5E" w:rsidRDefault="00C17E13" w:rsidP="00B6642C">
      <w:pPr>
        <w:spacing w:after="0" w:line="240" w:lineRule="auto"/>
        <w:jc w:val="center"/>
        <w:rPr>
          <w:rFonts w:ascii="Times New Roman" w:hAnsi="Times New Roman" w:cs="Times New Roman"/>
          <w:b/>
          <w:sz w:val="28"/>
          <w:szCs w:val="28"/>
        </w:rPr>
      </w:pPr>
      <w:r w:rsidRPr="004D1C5E">
        <w:rPr>
          <w:rFonts w:ascii="Times New Roman" w:hAnsi="Times New Roman" w:cs="Times New Roman"/>
          <w:b/>
          <w:sz w:val="28"/>
          <w:szCs w:val="28"/>
        </w:rPr>
        <w:t>Oke-Ogun Area, Oyo State</w:t>
      </w:r>
    </w:p>
    <w:p w14:paraId="5D91A4EB" w14:textId="77777777" w:rsidR="00C17E13" w:rsidRPr="004D1C5E" w:rsidRDefault="00C17E13" w:rsidP="00B6642C">
      <w:pPr>
        <w:spacing w:after="0" w:line="240" w:lineRule="auto"/>
        <w:jc w:val="center"/>
        <w:rPr>
          <w:rFonts w:ascii="Times New Roman" w:hAnsi="Times New Roman" w:cs="Times New Roman"/>
          <w:b/>
          <w:sz w:val="28"/>
          <w:szCs w:val="28"/>
        </w:rPr>
      </w:pPr>
    </w:p>
    <w:p w14:paraId="3770C31B" w14:textId="77777777" w:rsidR="00B6642C" w:rsidRPr="00BE4AF3" w:rsidRDefault="00C17E13" w:rsidP="00B6642C">
      <w:pPr>
        <w:spacing w:after="0" w:line="240" w:lineRule="auto"/>
        <w:jc w:val="center"/>
        <w:rPr>
          <w:rFonts w:ascii="Times New Roman" w:hAnsi="Times New Roman" w:cs="Times New Roman"/>
          <w:sz w:val="24"/>
          <w:szCs w:val="24"/>
        </w:rPr>
      </w:pPr>
      <w:r w:rsidRPr="00BE4AF3">
        <w:rPr>
          <w:rFonts w:ascii="Times New Roman" w:hAnsi="Times New Roman" w:cs="Times New Roman"/>
          <w:sz w:val="24"/>
          <w:szCs w:val="24"/>
          <w:vertAlign w:val="superscript"/>
        </w:rPr>
        <w:t>1</w:t>
      </w:r>
      <w:r w:rsidRPr="00BE4AF3">
        <w:rPr>
          <w:rFonts w:ascii="Times New Roman" w:hAnsi="Times New Roman" w:cs="Times New Roman"/>
          <w:sz w:val="24"/>
          <w:szCs w:val="24"/>
        </w:rPr>
        <w:t xml:space="preserve">Ajao, A. C., </w:t>
      </w:r>
      <w:r w:rsidRPr="00BE4AF3">
        <w:rPr>
          <w:rFonts w:ascii="Times New Roman" w:hAnsi="Times New Roman" w:cs="Times New Roman"/>
          <w:sz w:val="24"/>
          <w:szCs w:val="24"/>
          <w:vertAlign w:val="superscript"/>
        </w:rPr>
        <w:t>2</w:t>
      </w:r>
      <w:r w:rsidRPr="00BE4AF3">
        <w:rPr>
          <w:rFonts w:ascii="Times New Roman" w:hAnsi="Times New Roman" w:cs="Times New Roman"/>
          <w:sz w:val="24"/>
          <w:szCs w:val="24"/>
        </w:rPr>
        <w:t xml:space="preserve">Akinsola E. D. &amp; </w:t>
      </w:r>
      <w:r w:rsidRPr="00BE4AF3">
        <w:rPr>
          <w:rFonts w:ascii="Times New Roman" w:hAnsi="Times New Roman" w:cs="Times New Roman"/>
          <w:sz w:val="24"/>
          <w:szCs w:val="24"/>
          <w:vertAlign w:val="superscript"/>
        </w:rPr>
        <w:t>3</w:t>
      </w:r>
      <w:r w:rsidRPr="00BE4AF3">
        <w:rPr>
          <w:rFonts w:ascii="Times New Roman" w:hAnsi="Times New Roman" w:cs="Times New Roman"/>
          <w:sz w:val="24"/>
          <w:szCs w:val="24"/>
        </w:rPr>
        <w:t>Sikiru N.</w:t>
      </w:r>
    </w:p>
    <w:p w14:paraId="7BF9C6AF" w14:textId="77777777" w:rsidR="00C17E13" w:rsidRPr="00BE4AF3" w:rsidRDefault="00C17E13" w:rsidP="00B6642C">
      <w:pPr>
        <w:spacing w:after="0" w:line="240" w:lineRule="auto"/>
        <w:jc w:val="center"/>
        <w:rPr>
          <w:rFonts w:ascii="Times New Roman" w:hAnsi="Times New Roman" w:cs="Times New Roman"/>
          <w:sz w:val="24"/>
          <w:szCs w:val="24"/>
        </w:rPr>
      </w:pPr>
    </w:p>
    <w:p w14:paraId="38482CA6" w14:textId="77777777" w:rsidR="00B6642C" w:rsidRPr="004D1C5E" w:rsidRDefault="00B6642C" w:rsidP="00B6642C">
      <w:pPr>
        <w:spacing w:after="0" w:line="240" w:lineRule="auto"/>
        <w:jc w:val="center"/>
        <w:rPr>
          <w:rFonts w:ascii="Times New Roman" w:hAnsi="Times New Roman" w:cs="Times New Roman"/>
          <w:sz w:val="20"/>
          <w:szCs w:val="20"/>
        </w:rPr>
      </w:pPr>
      <w:r w:rsidRPr="004D1C5E">
        <w:rPr>
          <w:rFonts w:ascii="Times New Roman" w:hAnsi="Times New Roman" w:cs="Times New Roman"/>
          <w:sz w:val="20"/>
          <w:szCs w:val="20"/>
          <w:vertAlign w:val="superscript"/>
        </w:rPr>
        <w:t>123</w:t>
      </w:r>
      <w:r w:rsidRPr="004D1C5E">
        <w:rPr>
          <w:rFonts w:ascii="Times New Roman" w:hAnsi="Times New Roman" w:cs="Times New Roman"/>
          <w:sz w:val="20"/>
          <w:szCs w:val="20"/>
        </w:rPr>
        <w:t>Department of Building Technology</w:t>
      </w:r>
    </w:p>
    <w:p w14:paraId="43E5A68F" w14:textId="77777777" w:rsidR="00B6642C" w:rsidRPr="004D1C5E" w:rsidRDefault="00B6642C" w:rsidP="00B6642C">
      <w:pPr>
        <w:spacing w:after="0" w:line="240" w:lineRule="auto"/>
        <w:jc w:val="center"/>
        <w:rPr>
          <w:rFonts w:ascii="Times New Roman" w:hAnsi="Times New Roman" w:cs="Times New Roman"/>
          <w:sz w:val="20"/>
          <w:szCs w:val="20"/>
        </w:rPr>
      </w:pPr>
      <w:r w:rsidRPr="004D1C5E">
        <w:rPr>
          <w:rFonts w:ascii="Times New Roman" w:hAnsi="Times New Roman" w:cs="Times New Roman"/>
          <w:sz w:val="20"/>
          <w:szCs w:val="20"/>
        </w:rPr>
        <w:t>The Oke-Ogun Polytechnic, Saki</w:t>
      </w:r>
    </w:p>
    <w:p w14:paraId="5C339603" w14:textId="77777777" w:rsidR="00C17E13" w:rsidRPr="004D1C5E" w:rsidRDefault="00C17E13" w:rsidP="00B6642C">
      <w:pPr>
        <w:spacing w:after="0" w:line="240" w:lineRule="auto"/>
        <w:jc w:val="center"/>
        <w:rPr>
          <w:rFonts w:ascii="Times New Roman" w:hAnsi="Times New Roman" w:cs="Times New Roman"/>
          <w:sz w:val="20"/>
          <w:szCs w:val="20"/>
        </w:rPr>
      </w:pPr>
    </w:p>
    <w:p w14:paraId="420ED7AB" w14:textId="77777777" w:rsidR="00B6642C" w:rsidRPr="004D1C5E" w:rsidRDefault="00B6642C" w:rsidP="00B6642C">
      <w:pPr>
        <w:spacing w:after="0" w:line="240" w:lineRule="auto"/>
        <w:jc w:val="center"/>
        <w:rPr>
          <w:rFonts w:ascii="Times New Roman" w:hAnsi="Times New Roman" w:cs="Times New Roman"/>
          <w:sz w:val="20"/>
          <w:szCs w:val="20"/>
        </w:rPr>
      </w:pPr>
      <w:hyperlink r:id="rId185" w:history="1">
        <w:r w:rsidRPr="004D1C5E">
          <w:rPr>
            <w:rStyle w:val="Hyperlink"/>
            <w:rFonts w:ascii="Times New Roman" w:hAnsi="Times New Roman" w:cs="Times New Roman"/>
            <w:sz w:val="20"/>
            <w:szCs w:val="20"/>
          </w:rPr>
          <w:t>ayokola1@gmail.com</w:t>
        </w:r>
      </w:hyperlink>
    </w:p>
    <w:p w14:paraId="4E748826" w14:textId="77777777" w:rsidR="00B6642C" w:rsidRPr="004D1C5E" w:rsidRDefault="00B6642C" w:rsidP="00B6642C">
      <w:pPr>
        <w:spacing w:after="0" w:line="240" w:lineRule="auto"/>
        <w:jc w:val="center"/>
        <w:rPr>
          <w:rFonts w:ascii="Times New Roman" w:hAnsi="Times New Roman" w:cs="Times New Roman"/>
          <w:sz w:val="20"/>
          <w:szCs w:val="20"/>
        </w:rPr>
      </w:pPr>
      <w:r w:rsidRPr="004D1C5E">
        <w:rPr>
          <w:rFonts w:ascii="Times New Roman" w:hAnsi="Times New Roman" w:cs="Times New Roman"/>
          <w:sz w:val="20"/>
          <w:szCs w:val="20"/>
        </w:rPr>
        <w:t>08027278257</w:t>
      </w:r>
    </w:p>
    <w:p w14:paraId="6797E927" w14:textId="77777777" w:rsidR="00B6642C" w:rsidRPr="00BE4AF3" w:rsidRDefault="00B6642C" w:rsidP="00B6642C">
      <w:pPr>
        <w:spacing w:after="0" w:line="240" w:lineRule="auto"/>
        <w:rPr>
          <w:rFonts w:ascii="Times New Roman" w:hAnsi="Times New Roman" w:cs="Times New Roman"/>
          <w:b/>
          <w:sz w:val="24"/>
          <w:szCs w:val="24"/>
        </w:rPr>
      </w:pPr>
    </w:p>
    <w:p w14:paraId="49D864B8" w14:textId="77777777" w:rsidR="00B6642C" w:rsidRPr="00BE4AF3" w:rsidRDefault="00B6642C" w:rsidP="00B6642C">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LICFES 2025-058 – FP26</w:t>
      </w:r>
    </w:p>
    <w:p w14:paraId="0D9CC1BC" w14:textId="77777777" w:rsidR="00B6642C" w:rsidRPr="00BE4AF3" w:rsidRDefault="00B6642C" w:rsidP="00B6642C">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Abstract</w:t>
      </w:r>
    </w:p>
    <w:p w14:paraId="51C1096F" w14:textId="77777777" w:rsidR="00B6642C" w:rsidRPr="00BE4AF3" w:rsidRDefault="00B6642C" w:rsidP="00B6642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Construction Industry is a unique industry with her policy and goals which could be attained through effective management of resources.  One of the resources to be managed in the construction firms is cost which should be effectively managed to achieve the required performance. This study was carried out to assess cost resources management practices on the performance of construction firms in Oke-Ogun area, Oyo State. The study examined the factors influencing cost resource management practices and assessed the effects of cost management practices on the performance of construction firms in the study area. The study was a descriptive research with the use of questionnaire designed in line with the rules guiding the design of a research questionnaire. The study population included the construction firms in Oke-Ogun area, Oyo State. Sample frame were the managers (site and project managers) and procurement officers in each firm who are responsible for the managerial activities in their respective firms. The sample size of 100 was determined by purposive sampling (10 copies from each Local Government) but 92 copies were duly filled and returned. From the study, it was found that the factors influencing the resources management practices are both external (those that the construction firms have no control over) and internal (those that are within the capability of the construction firms). The study found that, cost resources management practices have significance effect on the performance of the construction firms in the study area. The R</w:t>
      </w:r>
      <w:r w:rsidRPr="00BE4AF3">
        <w:rPr>
          <w:rFonts w:ascii="Times New Roman" w:hAnsi="Times New Roman" w:cs="Times New Roman"/>
          <w:sz w:val="24"/>
          <w:szCs w:val="24"/>
          <w:vertAlign w:val="superscript"/>
        </w:rPr>
        <w:t>2</w:t>
      </w:r>
      <w:r w:rsidRPr="00BE4AF3">
        <w:rPr>
          <w:rFonts w:ascii="Times New Roman" w:hAnsi="Times New Roman" w:cs="Times New Roman"/>
          <w:sz w:val="24"/>
          <w:szCs w:val="24"/>
        </w:rPr>
        <w:t xml:space="preserve"> was 62.10% and F value of 101.249 which was significant at high T value. The test for individual parameter is cost report .563, cost control -.089, budget -.062 and cost estimate .241. The study concluded that, cost optimization is essential, as accurate cost estimation and reporting are positive predictors of performance, while cost control measures need improvement. Based on this, the study therefore recommended that, cost control and cost budget should be well practiced to enhance cost performance and prevent cost overrun.</w:t>
      </w:r>
    </w:p>
    <w:p w14:paraId="7593D3BE" w14:textId="77777777" w:rsidR="00B6642C" w:rsidRPr="00BE4AF3" w:rsidRDefault="00B6642C" w:rsidP="00B6642C">
      <w:pPr>
        <w:spacing w:after="0" w:line="240" w:lineRule="auto"/>
        <w:rPr>
          <w:rFonts w:ascii="Times New Roman" w:hAnsi="Times New Roman" w:cs="Times New Roman"/>
          <w:sz w:val="24"/>
          <w:szCs w:val="24"/>
        </w:rPr>
      </w:pPr>
    </w:p>
    <w:p w14:paraId="432F19DB" w14:textId="77777777" w:rsidR="009B16DE" w:rsidRPr="00BE4AF3" w:rsidRDefault="00B6642C" w:rsidP="00B6642C">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Keywords</w:t>
      </w:r>
      <w:r w:rsidRPr="00BE4AF3">
        <w:rPr>
          <w:rFonts w:ascii="Times New Roman" w:hAnsi="Times New Roman" w:cs="Times New Roman"/>
          <w:sz w:val="24"/>
          <w:szCs w:val="24"/>
        </w:rPr>
        <w:t>: Cost management, performance, Construction Firm, Management,</w:t>
      </w:r>
    </w:p>
    <w:p w14:paraId="00FFCDE4" w14:textId="77777777" w:rsidR="009B16DE" w:rsidRPr="00BE4AF3" w:rsidRDefault="009B16DE" w:rsidP="00B6642C">
      <w:pPr>
        <w:spacing w:after="0" w:line="240" w:lineRule="auto"/>
        <w:jc w:val="both"/>
        <w:rPr>
          <w:rFonts w:ascii="Times New Roman" w:hAnsi="Times New Roman" w:cs="Times New Roman"/>
          <w:sz w:val="24"/>
          <w:szCs w:val="24"/>
        </w:rPr>
      </w:pPr>
    </w:p>
    <w:p w14:paraId="708A4372" w14:textId="77777777" w:rsidR="0000060D" w:rsidRPr="00BE4AF3" w:rsidRDefault="0000060D" w:rsidP="007A5D8C">
      <w:pPr>
        <w:pStyle w:val="Heading1"/>
        <w:spacing w:before="0" w:line="240" w:lineRule="auto"/>
        <w:rPr>
          <w:rFonts w:ascii="Times New Roman" w:hAnsi="Times New Roman" w:cs="Times New Roman"/>
          <w:color w:val="auto"/>
          <w:sz w:val="24"/>
          <w:szCs w:val="24"/>
        </w:rPr>
      </w:pPr>
      <w:r w:rsidRPr="00BE4AF3">
        <w:rPr>
          <w:rFonts w:ascii="Times New Roman" w:hAnsi="Times New Roman" w:cs="Times New Roman"/>
          <w:b/>
          <w:color w:val="auto"/>
          <w:sz w:val="24"/>
          <w:szCs w:val="24"/>
        </w:rPr>
        <w:t>Introduction</w:t>
      </w:r>
    </w:p>
    <w:p w14:paraId="034A5F49" w14:textId="77777777"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Construction sector is a crucial contributor to the economy and national growth socially and economically (Ijigah, Ojo, Lawal &amp; Olowokere, 2023). It contributes to the GDP (Gross Domestic Product) and stands as the second largest with immense resources following closely behind agriculture (Raja &amp; Murali, 2020). The industry plays a crucial role in the national economy by providing substantial employment opportunities (Abhishek &amp; Aditya, 2017). However, it is also one of the major consumers of resources (Ajao, Ajayi &amp; Ojo, 2024) and energy (Dania, Kehinde &amp; Bala, 2007; Idowu, Wintson&amp; Kabir, 2020) and is associated with generating significant amounts of waste (Wahab &amp; Lawal, 2011). Construction activities that generate waste can be categorized into off-site and on-site operations. Off-site activities encompass prefabrication, project design (including architectural, structural, mechanical, and </w:t>
      </w:r>
      <w:r w:rsidRPr="00BE4AF3">
        <w:rPr>
          <w:rFonts w:ascii="Times New Roman" w:hAnsi="Times New Roman" w:cs="Times New Roman"/>
          <w:sz w:val="24"/>
          <w:szCs w:val="24"/>
        </w:rPr>
        <w:lastRenderedPageBreak/>
        <w:t xml:space="preserve">electrical aspects), as well as the manufacturing and transportation of materials and components. On-site activities involve the actual construction of the facility, including both the substructure and superstructure of the building. (Wahab &amp; Lawal, 2011; Idowu, et.al., 2020). Babalola and Ojo (2016) emphasized that, with the growing competition in the construction industry, it is essential for every firm to continuously assess their performance. </w:t>
      </w:r>
    </w:p>
    <w:p w14:paraId="57361DB4" w14:textId="17F772AA"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performance of any firm or organization can be determined by time, (timely delivery of projects), cost (finish projects within budget) and quality (meeting clients’ requirement or satisfaction) (Chitkara, 2012; Osuizugbo &amp; Okuntade, 2020;  Ijigah, </w:t>
      </w:r>
      <w:r w:rsidRPr="00BE4AF3">
        <w:rPr>
          <w:rFonts w:ascii="Times New Roman" w:hAnsi="Times New Roman" w:cs="Times New Roman"/>
          <w:i/>
          <w:sz w:val="24"/>
          <w:szCs w:val="24"/>
        </w:rPr>
        <w:t>et al</w:t>
      </w:r>
      <w:r w:rsidRPr="00BE4AF3">
        <w:rPr>
          <w:rFonts w:ascii="Times New Roman" w:hAnsi="Times New Roman" w:cs="Times New Roman"/>
          <w:sz w:val="24"/>
          <w:szCs w:val="24"/>
        </w:rPr>
        <w:t xml:space="preserve">., 2023).  Subramani and Karthick (2018) opined that, except combined resources are deliberate and procured, no activity may be completed in line with a pre fixed time table. This is in line with Lamka, Masu, and Wayona (2018) that, under performance by construction firms has been traced to poor management of the available resources. </w:t>
      </w:r>
    </w:p>
    <w:p w14:paraId="521E6659" w14:textId="77777777"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Ajao, et.al.,(2024) classified resources into three categories: physical capital resources (including plant, equipment, and finances), organizational capital resources (such as the organization’s structure, planning, HR systems, history, and culture), and human capital resources (encompassing the skills, knowledge, judgment, and intelligence of employees). Raja and Murali (2020) further noted that resources can also include manpower, materials, money, equipment, time, or space allocated to various activities. Lamka </w:t>
      </w:r>
      <w:r w:rsidRPr="00BE4AF3">
        <w:rPr>
          <w:rFonts w:ascii="Times New Roman" w:hAnsi="Times New Roman" w:cs="Times New Roman"/>
          <w:i/>
          <w:iCs/>
          <w:sz w:val="24"/>
          <w:szCs w:val="24"/>
        </w:rPr>
        <w:t>et al</w:t>
      </w:r>
      <w:r w:rsidRPr="00BE4AF3">
        <w:rPr>
          <w:rFonts w:ascii="Times New Roman" w:hAnsi="Times New Roman" w:cs="Times New Roman"/>
          <w:sz w:val="24"/>
          <w:szCs w:val="24"/>
        </w:rPr>
        <w:t xml:space="preserve">., (2018) further noted that the construction industry relies on various resources such as labour, equipment, materials, finances, time, and space to deliver completed facilities to clients. </w:t>
      </w:r>
    </w:p>
    <w:p w14:paraId="73493AA6" w14:textId="77777777" w:rsidR="0000060D" w:rsidRPr="00BE4AF3" w:rsidRDefault="0000060D" w:rsidP="007A5D8C">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Divakar and Jebin (2018) asserted that a project is deemed successful when it is completed within the constraints of cost, time, and required quality (the three critical factors of project management). Kasim, Phani, Mathew, and Roy (2005), along with Anthony and Jaya (2021), identified resource management on project sites as a significant factor impacting project performance. They concluded that, it is essential to efficiently manage all available resources from the planning stages through to the construction phase. Enhanced resource management strategies are particularly valuable in fast-track construction projects to improve productivity and service delivery (Hemsworth, Agapiou, Clausen, Flanagan, Norman, &amp; Notman, 2006).</w:t>
      </w:r>
    </w:p>
    <w:p w14:paraId="5B5BD5BC" w14:textId="77777777" w:rsidR="0000060D" w:rsidRPr="00BE4AF3" w:rsidRDefault="0000060D" w:rsidP="007A5D8C">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 xml:space="preserve">Despite extensive research on resource management and the performance of construction firms in both developed and developing economies, challenges such as resource shortages, supply delays, cost fluctuations, damage, waste management, and insufficient storage space continue to affect the performance of construction firms (Kasim </w:t>
      </w:r>
      <w:r w:rsidRPr="00BE4AF3">
        <w:rPr>
          <w:rFonts w:ascii="Times New Roman" w:eastAsia="Times New Roman" w:hAnsi="Times New Roman" w:cs="Times New Roman"/>
          <w:i/>
          <w:iCs/>
          <w:sz w:val="24"/>
          <w:szCs w:val="24"/>
          <w:lang w:eastAsia="en-GB"/>
        </w:rPr>
        <w:t>et al</w:t>
      </w:r>
      <w:r w:rsidRPr="00BE4AF3">
        <w:rPr>
          <w:rFonts w:ascii="Times New Roman" w:eastAsia="Times New Roman" w:hAnsi="Times New Roman" w:cs="Times New Roman"/>
          <w:sz w:val="24"/>
          <w:szCs w:val="24"/>
          <w:lang w:eastAsia="en-GB"/>
        </w:rPr>
        <w:t>., 2005).</w:t>
      </w:r>
    </w:p>
    <w:p w14:paraId="6D2368A2" w14:textId="77777777"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To address this, there is a need to establish a decentralized, coordinated, and well-controlled resource tracking and monitoring system and develop a comprehensive strategies. Additionally, companies should implement site-specific awareness and accountability measures (Anthony &amp; Jaya, 2021). Furthermore, developing comprehensive strategies that incorporate advanced information technologies is essential for effective cost resource management across various construction projects (Anthony &amp; Jaya, 2021).</w:t>
      </w:r>
    </w:p>
    <w:p w14:paraId="0271F8CE" w14:textId="77777777" w:rsidR="0000060D" w:rsidRPr="00BE4AF3" w:rsidRDefault="0000060D" w:rsidP="007A5D8C">
      <w:pPr>
        <w:spacing w:after="0" w:line="240" w:lineRule="auto"/>
        <w:ind w:firstLine="720"/>
        <w:jc w:val="both"/>
        <w:rPr>
          <w:rFonts w:ascii="Times New Roman" w:eastAsia="Times New Roman" w:hAnsi="Times New Roman" w:cs="Times New Roman"/>
          <w:sz w:val="24"/>
          <w:szCs w:val="24"/>
          <w:lang w:eastAsia="en-GB"/>
        </w:rPr>
      </w:pPr>
    </w:p>
    <w:p w14:paraId="6962A451" w14:textId="77777777" w:rsidR="0000060D" w:rsidRPr="007A5D8C" w:rsidRDefault="0000060D" w:rsidP="007A5D8C">
      <w:pPr>
        <w:spacing w:after="0" w:line="240" w:lineRule="auto"/>
        <w:jc w:val="both"/>
        <w:outlineLvl w:val="0"/>
        <w:rPr>
          <w:rFonts w:ascii="Times New Roman" w:hAnsi="Times New Roman"/>
          <w:b/>
          <w:sz w:val="24"/>
          <w:szCs w:val="24"/>
        </w:rPr>
      </w:pPr>
      <w:bookmarkStart w:id="73" w:name="_Toc169338531"/>
      <w:r w:rsidRPr="007A5D8C">
        <w:rPr>
          <w:rFonts w:ascii="Times New Roman" w:hAnsi="Times New Roman"/>
          <w:b/>
          <w:sz w:val="24"/>
          <w:szCs w:val="24"/>
        </w:rPr>
        <w:t>Statement of the Research Problem</w:t>
      </w:r>
      <w:bookmarkEnd w:id="73"/>
    </w:p>
    <w:p w14:paraId="08469B16" w14:textId="77777777"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One major challenge in construction projects is the inadequate management of resources and delays in project activities (Anthony &amp; Jaya, 2021).The study of Amaechi (2016), cited by Ijigah </w:t>
      </w:r>
      <w:r w:rsidRPr="00BE4AF3">
        <w:rPr>
          <w:rFonts w:ascii="Times New Roman" w:hAnsi="Times New Roman" w:cs="Times New Roman"/>
          <w:i/>
          <w:iCs/>
          <w:sz w:val="24"/>
          <w:szCs w:val="24"/>
        </w:rPr>
        <w:t>et al</w:t>
      </w:r>
      <w:r w:rsidRPr="00BE4AF3">
        <w:rPr>
          <w:rFonts w:ascii="Times New Roman" w:hAnsi="Times New Roman" w:cs="Times New Roman"/>
          <w:sz w:val="24"/>
          <w:szCs w:val="24"/>
        </w:rPr>
        <w:t xml:space="preserve">., (2023);  Zailani, Kolo and Abubakar (2019), Gupta and Kumar (2020), Adedeji and Ajayi (2020) highlight how the construction industry's poor performance has been associated with inadequate cost, time, and quality management, leading to building collapses, project abandonment, and substandard work which could be summarized as ineffective management of resources. </w:t>
      </w:r>
    </w:p>
    <w:p w14:paraId="17B85570" w14:textId="77777777"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Inventory management plays a vital role in balancing the advantages and disadvantages of holding inventory. Efficient and effective inventory management is essential for the successful operation and sustainability of a business. When organizations fail to manage their inventory </w:t>
      </w:r>
      <w:r w:rsidRPr="00BE4AF3">
        <w:rPr>
          <w:rFonts w:ascii="Times New Roman" w:hAnsi="Times New Roman" w:cs="Times New Roman"/>
          <w:sz w:val="24"/>
          <w:szCs w:val="24"/>
        </w:rPr>
        <w:lastRenderedPageBreak/>
        <w:t>properly, they are likely to encounter stockouts, decreased productivity and profitability, and customer dissatisfaction. Therefore, careful attention must be given to the procurement, storage, and management of materials to ensure optimal performance, efficient handling, proper usage, and effective control of construction resources.</w:t>
      </w:r>
    </w:p>
    <w:p w14:paraId="15B2773E" w14:textId="77777777" w:rsidR="0000060D" w:rsidRPr="00BE4AF3" w:rsidRDefault="0000060D" w:rsidP="007A5D8C">
      <w:pPr>
        <w:spacing w:after="0" w:line="240" w:lineRule="auto"/>
        <w:jc w:val="both"/>
        <w:rPr>
          <w:rFonts w:ascii="Times New Roman" w:hAnsi="Times New Roman" w:cs="Times New Roman"/>
          <w:sz w:val="24"/>
          <w:szCs w:val="24"/>
          <w:lang w:eastAsia="en-GB"/>
        </w:rPr>
      </w:pPr>
      <w:r w:rsidRPr="00BE4AF3">
        <w:rPr>
          <w:rFonts w:ascii="Times New Roman" w:hAnsi="Times New Roman" w:cs="Times New Roman"/>
          <w:sz w:val="24"/>
          <w:szCs w:val="24"/>
          <w:lang w:eastAsia="en-GB"/>
        </w:rPr>
        <w:t xml:space="preserve">Adigbole, Adebayo, and Osemene (2020) observed that, empirical studies on various cost management techniques in Nigeria are limited. The available literature predominantly focuses on the Activity-Based Costing method and its impact on firm performance. Therefore, there is a need for a comprehensive study of product costing methods to better understand the effects of different cost management approaches on organizational performance. </w:t>
      </w:r>
    </w:p>
    <w:p w14:paraId="7A9538EC" w14:textId="77777777" w:rsidR="0000060D" w:rsidRPr="00BE4AF3" w:rsidRDefault="0000060D" w:rsidP="007A5D8C">
      <w:pPr>
        <w:spacing w:after="0" w:line="240" w:lineRule="auto"/>
        <w:ind w:firstLine="720"/>
        <w:jc w:val="both"/>
        <w:rPr>
          <w:rFonts w:ascii="Times New Roman" w:eastAsia="Times New Roman" w:hAnsi="Times New Roman" w:cs="Times New Roman"/>
          <w:sz w:val="24"/>
          <w:szCs w:val="24"/>
          <w:lang w:eastAsia="en-GB"/>
        </w:rPr>
      </w:pPr>
    </w:p>
    <w:p w14:paraId="49B5A6CD" w14:textId="77777777" w:rsidR="0000060D" w:rsidRPr="00BE4AF3" w:rsidRDefault="0000060D" w:rsidP="007A5D8C">
      <w:pPr>
        <w:spacing w:after="0" w:line="240" w:lineRule="auto"/>
        <w:jc w:val="both"/>
        <w:rPr>
          <w:rFonts w:ascii="Times New Roman" w:eastAsia="Times New Roman" w:hAnsi="Times New Roman" w:cs="Times New Roman"/>
          <w:b/>
          <w:sz w:val="24"/>
          <w:szCs w:val="24"/>
          <w:lang w:eastAsia="en-GB"/>
        </w:rPr>
      </w:pPr>
      <w:r w:rsidRPr="00BE4AF3">
        <w:rPr>
          <w:rFonts w:ascii="Times New Roman" w:eastAsia="Times New Roman" w:hAnsi="Times New Roman" w:cs="Times New Roman"/>
          <w:b/>
          <w:sz w:val="24"/>
          <w:szCs w:val="24"/>
          <w:lang w:eastAsia="en-GB"/>
        </w:rPr>
        <w:t>Materials and Method</w:t>
      </w:r>
    </w:p>
    <w:p w14:paraId="58CCE40F" w14:textId="77777777" w:rsidR="0000060D" w:rsidRPr="00BE4AF3" w:rsidRDefault="0000060D" w:rsidP="007A5D8C">
      <w:pPr>
        <w:spacing w:after="0" w:line="240" w:lineRule="auto"/>
        <w:jc w:val="both"/>
        <w:rPr>
          <w:rFonts w:ascii="Times New Roman" w:eastAsia="Times New Roman" w:hAnsi="Times New Roman" w:cs="Times New Roman"/>
          <w:sz w:val="24"/>
          <w:szCs w:val="24"/>
          <w:lang w:eastAsia="en-GB"/>
        </w:rPr>
      </w:pPr>
      <w:r w:rsidRPr="00BE4AF3">
        <w:rPr>
          <w:rFonts w:ascii="Times New Roman" w:eastAsia="Times New Roman" w:hAnsi="Times New Roman" w:cs="Times New Roman"/>
          <w:sz w:val="24"/>
          <w:szCs w:val="24"/>
          <w:lang w:eastAsia="en-GB"/>
        </w:rPr>
        <w:t>The study was carried out in Oke-Ogun area, Oyo State. The study adopted survey research design. The construction firms in the study area constituted the study population. Data for the study was collected through questionnaire from the managers (site and project) and procurement officers in the construction firms who were the targeted respondents for the study. 100 copies of questionnaire were distributed and 92 were duly filled and returned which is 92% of the response rate and was used for the analysis.</w:t>
      </w:r>
    </w:p>
    <w:p w14:paraId="4755E845" w14:textId="77777777" w:rsidR="0000060D" w:rsidRPr="00BE4AF3" w:rsidRDefault="0000060D" w:rsidP="007A5D8C">
      <w:pPr>
        <w:spacing w:after="0" w:line="240" w:lineRule="auto"/>
        <w:jc w:val="both"/>
        <w:rPr>
          <w:rFonts w:ascii="Times New Roman" w:eastAsia="Times New Roman" w:hAnsi="Times New Roman" w:cs="Times New Roman"/>
          <w:sz w:val="24"/>
          <w:szCs w:val="24"/>
          <w:lang w:eastAsia="en-GB"/>
        </w:rPr>
      </w:pPr>
    </w:p>
    <w:p w14:paraId="45BC6A38" w14:textId="77777777" w:rsidR="0000060D" w:rsidRPr="00BE4AF3" w:rsidRDefault="0000060D" w:rsidP="007A5D8C">
      <w:pPr>
        <w:spacing w:after="0" w:line="240" w:lineRule="auto"/>
        <w:jc w:val="both"/>
        <w:rPr>
          <w:rFonts w:ascii="Times New Roman" w:eastAsia="Times New Roman" w:hAnsi="Times New Roman" w:cs="Times New Roman"/>
          <w:b/>
          <w:sz w:val="24"/>
          <w:szCs w:val="24"/>
          <w:lang w:eastAsia="en-GB"/>
        </w:rPr>
      </w:pPr>
      <w:r w:rsidRPr="00BE4AF3">
        <w:rPr>
          <w:rFonts w:ascii="Times New Roman" w:eastAsia="Times New Roman" w:hAnsi="Times New Roman" w:cs="Times New Roman"/>
          <w:b/>
          <w:sz w:val="24"/>
          <w:szCs w:val="24"/>
          <w:lang w:eastAsia="en-GB"/>
        </w:rPr>
        <w:t>Results and Discussion</w:t>
      </w:r>
    </w:p>
    <w:p w14:paraId="6843C74C" w14:textId="77777777" w:rsidR="0000060D" w:rsidRPr="00BE4AF3" w:rsidRDefault="0000060D" w:rsidP="007A5D8C">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Profile of the Respondents</w:t>
      </w:r>
    </w:p>
    <w:p w14:paraId="0B41B077" w14:textId="77777777" w:rsidR="0000060D" w:rsidRPr="00BE4AF3" w:rsidRDefault="0000060D" w:rsidP="007A5D8C">
      <w:pPr>
        <w:spacing w:after="0" w:line="240" w:lineRule="auto"/>
        <w:jc w:val="center"/>
        <w:rPr>
          <w:rFonts w:ascii="Times New Roman" w:hAnsi="Times New Roman" w:cs="Times New Roman"/>
          <w:b/>
          <w:sz w:val="24"/>
          <w:szCs w:val="24"/>
        </w:rPr>
      </w:pPr>
      <w:r w:rsidRPr="00BE4AF3">
        <w:rPr>
          <w:rFonts w:ascii="Times New Roman" w:hAnsi="Times New Roman" w:cs="Times New Roman"/>
          <w:b/>
          <w:sz w:val="24"/>
          <w:szCs w:val="24"/>
        </w:rPr>
        <w:t xml:space="preserve">Table1: </w:t>
      </w:r>
      <w:r w:rsidRPr="00BE4AF3">
        <w:rPr>
          <w:rFonts w:ascii="Times New Roman" w:hAnsi="Times New Roman" w:cs="Times New Roman"/>
          <w:sz w:val="24"/>
          <w:szCs w:val="24"/>
        </w:rPr>
        <w:t>Gender of the Respondents</w:t>
      </w:r>
    </w:p>
    <w:tbl>
      <w:tblPr>
        <w:tblW w:w="0" w:type="auto"/>
        <w:tblInd w:w="1048" w:type="dxa"/>
        <w:tblLook w:val="04A0" w:firstRow="1" w:lastRow="0" w:firstColumn="1" w:lastColumn="0" w:noHBand="0" w:noVBand="1"/>
      </w:tblPr>
      <w:tblGrid>
        <w:gridCol w:w="1896"/>
        <w:gridCol w:w="2496"/>
        <w:gridCol w:w="2880"/>
      </w:tblGrid>
      <w:tr w:rsidR="0000060D" w:rsidRPr="007A5D8C" w14:paraId="121F1881" w14:textId="77777777" w:rsidTr="007A5D8C">
        <w:tc>
          <w:tcPr>
            <w:tcW w:w="1896" w:type="dxa"/>
          </w:tcPr>
          <w:p w14:paraId="721B7063" w14:textId="77777777" w:rsidR="0000060D" w:rsidRPr="007A5D8C" w:rsidRDefault="0000060D" w:rsidP="007A5D8C">
            <w:pPr>
              <w:spacing w:after="0" w:line="240" w:lineRule="auto"/>
              <w:jc w:val="center"/>
              <w:rPr>
                <w:rFonts w:ascii="Times New Roman" w:hAnsi="Times New Roman" w:cs="Times New Roman"/>
                <w:bCs/>
                <w:sz w:val="20"/>
                <w:szCs w:val="20"/>
              </w:rPr>
            </w:pPr>
            <w:r w:rsidRPr="007A5D8C">
              <w:rPr>
                <w:rFonts w:ascii="Times New Roman" w:hAnsi="Times New Roman" w:cs="Times New Roman"/>
                <w:bCs/>
                <w:noProof/>
                <w:sz w:val="20"/>
                <w:szCs w:val="20"/>
                <w:lang w:eastAsia="en-GB"/>
              </w:rPr>
              <mc:AlternateContent>
                <mc:Choice Requires="wps">
                  <w:drawing>
                    <wp:anchor distT="4294967295" distB="4294967295" distL="114300" distR="114300" simplePos="0" relativeHeight="251681792" behindDoc="0" locked="0" layoutInCell="1" allowOverlap="1" wp14:anchorId="3085E59E" wp14:editId="1BC69985">
                      <wp:simplePos x="0" y="0"/>
                      <wp:positionH relativeFrom="column">
                        <wp:posOffset>-294005</wp:posOffset>
                      </wp:positionH>
                      <wp:positionV relativeFrom="paragraph">
                        <wp:posOffset>-11431</wp:posOffset>
                      </wp:positionV>
                      <wp:extent cx="5394960" cy="0"/>
                      <wp:effectExtent l="0" t="19050" r="34290" b="19050"/>
                      <wp:wrapNone/>
                      <wp:docPr id="45" name="Straight Arrow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949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0B0E03F" id="_x0000_t32" coordsize="21600,21600" o:spt="32" o:oned="t" path="m,l21600,21600e" filled="f">
                      <v:path arrowok="t" fillok="f" o:connecttype="none"/>
                      <o:lock v:ext="edit" shapetype="t"/>
                    </v:shapetype>
                    <v:shape id="Straight Arrow Connector 45" o:spid="_x0000_s1026" type="#_x0000_t32" style="position:absolute;margin-left:-23.15pt;margin-top:-.9pt;width:424.8pt;height:0;flip:y;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" strokeweight="2.25pt"/>
                  </w:pict>
                </mc:Fallback>
              </mc:AlternateContent>
            </w:r>
            <w:r w:rsidRPr="007A5D8C">
              <w:rPr>
                <w:rFonts w:ascii="Times New Roman" w:hAnsi="Times New Roman" w:cs="Times New Roman"/>
                <w:bCs/>
                <w:sz w:val="20"/>
                <w:szCs w:val="20"/>
              </w:rPr>
              <w:t>Gender</w:t>
            </w:r>
          </w:p>
        </w:tc>
        <w:tc>
          <w:tcPr>
            <w:tcW w:w="2496" w:type="dxa"/>
          </w:tcPr>
          <w:p w14:paraId="21B377C8" w14:textId="77777777" w:rsidR="0000060D" w:rsidRPr="007A5D8C" w:rsidRDefault="0000060D" w:rsidP="007A5D8C">
            <w:pPr>
              <w:spacing w:after="0" w:line="240" w:lineRule="auto"/>
              <w:jc w:val="center"/>
              <w:rPr>
                <w:rFonts w:ascii="Times New Roman" w:hAnsi="Times New Roman" w:cs="Times New Roman"/>
                <w:bCs/>
                <w:sz w:val="20"/>
                <w:szCs w:val="20"/>
              </w:rPr>
            </w:pPr>
            <w:r w:rsidRPr="007A5D8C">
              <w:rPr>
                <w:rFonts w:ascii="Times New Roman" w:hAnsi="Times New Roman" w:cs="Times New Roman"/>
                <w:bCs/>
                <w:sz w:val="20"/>
                <w:szCs w:val="20"/>
              </w:rPr>
              <w:t>Frequency</w:t>
            </w:r>
          </w:p>
        </w:tc>
        <w:tc>
          <w:tcPr>
            <w:tcW w:w="2880" w:type="dxa"/>
          </w:tcPr>
          <w:p w14:paraId="7D070A32" w14:textId="77777777" w:rsidR="0000060D" w:rsidRPr="007A5D8C" w:rsidRDefault="0000060D" w:rsidP="007A5D8C">
            <w:pPr>
              <w:spacing w:after="0" w:line="240" w:lineRule="auto"/>
              <w:jc w:val="center"/>
              <w:rPr>
                <w:rFonts w:ascii="Times New Roman" w:hAnsi="Times New Roman" w:cs="Times New Roman"/>
                <w:bCs/>
                <w:sz w:val="20"/>
                <w:szCs w:val="20"/>
              </w:rPr>
            </w:pPr>
            <w:r w:rsidRPr="007A5D8C">
              <w:rPr>
                <w:rFonts w:ascii="Times New Roman" w:hAnsi="Times New Roman" w:cs="Times New Roman"/>
                <w:bCs/>
                <w:sz w:val="20"/>
                <w:szCs w:val="20"/>
              </w:rPr>
              <w:t>Percentage</w:t>
            </w:r>
          </w:p>
        </w:tc>
      </w:tr>
      <w:tr w:rsidR="0000060D" w:rsidRPr="007A5D8C" w14:paraId="4B23D81A" w14:textId="77777777" w:rsidTr="007A5D8C">
        <w:tc>
          <w:tcPr>
            <w:tcW w:w="1896" w:type="dxa"/>
          </w:tcPr>
          <w:p w14:paraId="4DFBB58C" w14:textId="77777777" w:rsidR="0000060D" w:rsidRPr="007A5D8C" w:rsidRDefault="0000060D" w:rsidP="007A5D8C">
            <w:pPr>
              <w:spacing w:after="0" w:line="240" w:lineRule="auto"/>
              <w:jc w:val="center"/>
              <w:rPr>
                <w:rFonts w:ascii="Times New Roman" w:hAnsi="Times New Roman" w:cs="Times New Roman"/>
                <w:bCs/>
                <w:sz w:val="20"/>
                <w:szCs w:val="20"/>
              </w:rPr>
            </w:pPr>
            <w:r w:rsidRPr="007A5D8C">
              <w:rPr>
                <w:rFonts w:ascii="Times New Roman" w:hAnsi="Times New Roman" w:cs="Times New Roman"/>
                <w:bCs/>
                <w:noProof/>
                <w:sz w:val="20"/>
                <w:szCs w:val="20"/>
                <w:lang w:eastAsia="en-GB"/>
              </w:rPr>
              <mc:AlternateContent>
                <mc:Choice Requires="wps">
                  <w:drawing>
                    <wp:anchor distT="4294967295" distB="4294967295" distL="114300" distR="114300" simplePos="0" relativeHeight="251682816" behindDoc="0" locked="0" layoutInCell="1" allowOverlap="1" wp14:anchorId="2CFC42DB" wp14:editId="649DA698">
                      <wp:simplePos x="0" y="0"/>
                      <wp:positionH relativeFrom="column">
                        <wp:posOffset>-292100</wp:posOffset>
                      </wp:positionH>
                      <wp:positionV relativeFrom="paragraph">
                        <wp:posOffset>-1906</wp:posOffset>
                      </wp:positionV>
                      <wp:extent cx="5394960" cy="0"/>
                      <wp:effectExtent l="0" t="19050" r="34290" b="19050"/>
                      <wp:wrapNone/>
                      <wp:docPr id="807822857"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949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C41B47" id="Straight Arrow Connector 44" o:spid="_x0000_s1026" type="#_x0000_t32" style="position:absolute;margin-left:-23pt;margin-top:-.15pt;width:424.8pt;height:0;flip:y;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" strokeweight="2.25pt"/>
                  </w:pict>
                </mc:Fallback>
              </mc:AlternateContent>
            </w:r>
            <w:r w:rsidRPr="007A5D8C">
              <w:rPr>
                <w:rFonts w:ascii="Times New Roman" w:hAnsi="Times New Roman" w:cs="Times New Roman"/>
                <w:bCs/>
                <w:sz w:val="20"/>
                <w:szCs w:val="20"/>
              </w:rPr>
              <w:t>Male</w:t>
            </w:r>
          </w:p>
        </w:tc>
        <w:tc>
          <w:tcPr>
            <w:tcW w:w="2496" w:type="dxa"/>
          </w:tcPr>
          <w:p w14:paraId="4C70ADE6" w14:textId="77777777" w:rsidR="0000060D" w:rsidRPr="007A5D8C" w:rsidRDefault="0000060D" w:rsidP="007A5D8C">
            <w:pPr>
              <w:spacing w:after="0" w:line="240" w:lineRule="auto"/>
              <w:jc w:val="center"/>
              <w:rPr>
                <w:rFonts w:ascii="Times New Roman" w:hAnsi="Times New Roman" w:cs="Times New Roman"/>
                <w:bCs/>
                <w:sz w:val="20"/>
                <w:szCs w:val="20"/>
              </w:rPr>
            </w:pPr>
            <w:r w:rsidRPr="007A5D8C">
              <w:rPr>
                <w:rFonts w:ascii="Times New Roman" w:hAnsi="Times New Roman" w:cs="Times New Roman"/>
                <w:bCs/>
                <w:sz w:val="20"/>
                <w:szCs w:val="20"/>
              </w:rPr>
              <w:t>80</w:t>
            </w:r>
          </w:p>
        </w:tc>
        <w:tc>
          <w:tcPr>
            <w:tcW w:w="2880" w:type="dxa"/>
          </w:tcPr>
          <w:p w14:paraId="19CC3BEE" w14:textId="77777777" w:rsidR="0000060D" w:rsidRPr="007A5D8C" w:rsidRDefault="0000060D" w:rsidP="007A5D8C">
            <w:pPr>
              <w:spacing w:after="0" w:line="240" w:lineRule="auto"/>
              <w:jc w:val="center"/>
              <w:rPr>
                <w:rFonts w:ascii="Times New Roman" w:hAnsi="Times New Roman" w:cs="Times New Roman"/>
                <w:bCs/>
                <w:sz w:val="20"/>
                <w:szCs w:val="20"/>
              </w:rPr>
            </w:pPr>
            <w:r w:rsidRPr="007A5D8C">
              <w:rPr>
                <w:rFonts w:ascii="Times New Roman" w:hAnsi="Times New Roman" w:cs="Times New Roman"/>
                <w:bCs/>
                <w:sz w:val="20"/>
                <w:szCs w:val="20"/>
              </w:rPr>
              <w:t>86.96</w:t>
            </w:r>
          </w:p>
        </w:tc>
      </w:tr>
      <w:tr w:rsidR="0000060D" w:rsidRPr="007A5D8C" w14:paraId="51A0889D" w14:textId="77777777" w:rsidTr="007A5D8C">
        <w:tc>
          <w:tcPr>
            <w:tcW w:w="1896" w:type="dxa"/>
          </w:tcPr>
          <w:p w14:paraId="39263197" w14:textId="77777777" w:rsidR="0000060D" w:rsidRPr="007A5D8C" w:rsidRDefault="0000060D" w:rsidP="007A5D8C">
            <w:pPr>
              <w:spacing w:after="0" w:line="240" w:lineRule="auto"/>
              <w:jc w:val="center"/>
              <w:rPr>
                <w:rFonts w:ascii="Times New Roman" w:hAnsi="Times New Roman" w:cs="Times New Roman"/>
                <w:bCs/>
                <w:sz w:val="20"/>
                <w:szCs w:val="20"/>
              </w:rPr>
            </w:pPr>
            <w:r w:rsidRPr="007A5D8C">
              <w:rPr>
                <w:rFonts w:ascii="Times New Roman" w:hAnsi="Times New Roman" w:cs="Times New Roman"/>
                <w:bCs/>
                <w:sz w:val="20"/>
                <w:szCs w:val="20"/>
              </w:rPr>
              <w:t>Female</w:t>
            </w:r>
          </w:p>
        </w:tc>
        <w:tc>
          <w:tcPr>
            <w:tcW w:w="2496" w:type="dxa"/>
          </w:tcPr>
          <w:p w14:paraId="09494706" w14:textId="77777777" w:rsidR="0000060D" w:rsidRPr="007A5D8C" w:rsidRDefault="0000060D" w:rsidP="007A5D8C">
            <w:pPr>
              <w:spacing w:after="0" w:line="240" w:lineRule="auto"/>
              <w:jc w:val="center"/>
              <w:rPr>
                <w:rFonts w:ascii="Times New Roman" w:hAnsi="Times New Roman" w:cs="Times New Roman"/>
                <w:bCs/>
                <w:sz w:val="20"/>
                <w:szCs w:val="20"/>
              </w:rPr>
            </w:pPr>
            <w:r w:rsidRPr="007A5D8C">
              <w:rPr>
                <w:rFonts w:ascii="Times New Roman" w:hAnsi="Times New Roman" w:cs="Times New Roman"/>
                <w:bCs/>
                <w:sz w:val="20"/>
                <w:szCs w:val="20"/>
              </w:rPr>
              <w:t>12</w:t>
            </w:r>
          </w:p>
        </w:tc>
        <w:tc>
          <w:tcPr>
            <w:tcW w:w="2880" w:type="dxa"/>
          </w:tcPr>
          <w:p w14:paraId="5B366A80" w14:textId="77777777" w:rsidR="0000060D" w:rsidRPr="007A5D8C" w:rsidRDefault="0000060D" w:rsidP="007A5D8C">
            <w:pPr>
              <w:spacing w:after="0" w:line="240" w:lineRule="auto"/>
              <w:jc w:val="center"/>
              <w:rPr>
                <w:rFonts w:ascii="Times New Roman" w:hAnsi="Times New Roman" w:cs="Times New Roman"/>
                <w:bCs/>
                <w:sz w:val="20"/>
                <w:szCs w:val="20"/>
              </w:rPr>
            </w:pPr>
            <w:r w:rsidRPr="007A5D8C">
              <w:rPr>
                <w:rFonts w:ascii="Times New Roman" w:hAnsi="Times New Roman" w:cs="Times New Roman"/>
                <w:bCs/>
                <w:sz w:val="20"/>
                <w:szCs w:val="20"/>
              </w:rPr>
              <w:t>13.04</w:t>
            </w:r>
          </w:p>
        </w:tc>
      </w:tr>
      <w:tr w:rsidR="0000060D" w:rsidRPr="007A5D8C" w14:paraId="61FAE750" w14:textId="77777777" w:rsidTr="007A5D8C">
        <w:tc>
          <w:tcPr>
            <w:tcW w:w="1896" w:type="dxa"/>
          </w:tcPr>
          <w:p w14:paraId="16A5E041" w14:textId="1C8C2DB3" w:rsidR="0000060D" w:rsidRPr="007A5D8C" w:rsidRDefault="007A5D8C" w:rsidP="007A5D8C">
            <w:pPr>
              <w:spacing w:after="0" w:line="240" w:lineRule="auto"/>
              <w:jc w:val="center"/>
              <w:rPr>
                <w:rFonts w:ascii="Times New Roman" w:hAnsi="Times New Roman" w:cs="Times New Roman"/>
                <w:b/>
                <w:sz w:val="20"/>
                <w:szCs w:val="20"/>
              </w:rPr>
            </w:pPr>
            <w:r w:rsidRPr="007A5D8C">
              <w:rPr>
                <w:rFonts w:ascii="Times New Roman" w:hAnsi="Times New Roman" w:cs="Times New Roman"/>
                <w:b/>
                <w:noProof/>
                <w:sz w:val="20"/>
                <w:szCs w:val="20"/>
                <w:lang w:eastAsia="en-GB"/>
              </w:rPr>
              <mc:AlternateContent>
                <mc:Choice Requires="wps">
                  <w:drawing>
                    <wp:anchor distT="4294967295" distB="4294967295" distL="114300" distR="114300" simplePos="0" relativeHeight="251689984" behindDoc="0" locked="0" layoutInCell="1" allowOverlap="1" wp14:anchorId="0F0D09A9" wp14:editId="7C31DDBF">
                      <wp:simplePos x="0" y="0"/>
                      <wp:positionH relativeFrom="column">
                        <wp:posOffset>-390525</wp:posOffset>
                      </wp:positionH>
                      <wp:positionV relativeFrom="paragraph">
                        <wp:posOffset>168910</wp:posOffset>
                      </wp:positionV>
                      <wp:extent cx="5394960" cy="0"/>
                      <wp:effectExtent l="0" t="19050" r="34290" b="19050"/>
                      <wp:wrapNone/>
                      <wp:docPr id="44"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949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7B90B30" id="_x0000_t32" coordsize="21600,21600" o:spt="32" o:oned="t" path="m,l21600,21600e" filled="f">
                      <v:path arrowok="t" fillok="f" o:connecttype="none"/>
                      <o:lock v:ext="edit" shapetype="t"/>
                    </v:shapetype>
                    <v:shape id="Straight Arrow Connector 44" o:spid="_x0000_s1026" type="#_x0000_t32" style="position:absolute;margin-left:-30.75pt;margin-top:13.3pt;width:424.8pt;height:0;flip:y;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" strokeweight="2.25pt"/>
                  </w:pict>
                </mc:Fallback>
              </mc:AlternateContent>
            </w:r>
            <w:r w:rsidR="0000060D" w:rsidRPr="007A5D8C">
              <w:rPr>
                <w:rFonts w:ascii="Times New Roman" w:hAnsi="Times New Roman" w:cs="Times New Roman"/>
                <w:b/>
                <w:sz w:val="20"/>
                <w:szCs w:val="20"/>
              </w:rPr>
              <w:t>Total</w:t>
            </w:r>
          </w:p>
        </w:tc>
        <w:tc>
          <w:tcPr>
            <w:tcW w:w="2496" w:type="dxa"/>
          </w:tcPr>
          <w:p w14:paraId="7498E2B2" w14:textId="64447E41" w:rsidR="0000060D" w:rsidRPr="007A5D8C" w:rsidRDefault="0000060D" w:rsidP="007A5D8C">
            <w:pPr>
              <w:spacing w:after="0" w:line="240" w:lineRule="auto"/>
              <w:jc w:val="center"/>
              <w:rPr>
                <w:rFonts w:ascii="Times New Roman" w:hAnsi="Times New Roman" w:cs="Times New Roman"/>
                <w:b/>
                <w:sz w:val="20"/>
                <w:szCs w:val="20"/>
              </w:rPr>
            </w:pPr>
            <w:r w:rsidRPr="007A5D8C">
              <w:rPr>
                <w:rFonts w:ascii="Times New Roman" w:hAnsi="Times New Roman" w:cs="Times New Roman"/>
                <w:b/>
                <w:sz w:val="20"/>
                <w:szCs w:val="20"/>
              </w:rPr>
              <w:t>92</w:t>
            </w:r>
          </w:p>
        </w:tc>
        <w:tc>
          <w:tcPr>
            <w:tcW w:w="2880" w:type="dxa"/>
          </w:tcPr>
          <w:p w14:paraId="283DB2A3" w14:textId="77777777" w:rsidR="0000060D" w:rsidRPr="007A5D8C" w:rsidRDefault="0000060D" w:rsidP="007A5D8C">
            <w:pPr>
              <w:spacing w:after="0" w:line="240" w:lineRule="auto"/>
              <w:jc w:val="center"/>
              <w:rPr>
                <w:rFonts w:ascii="Times New Roman" w:hAnsi="Times New Roman" w:cs="Times New Roman"/>
                <w:b/>
                <w:sz w:val="20"/>
                <w:szCs w:val="20"/>
              </w:rPr>
            </w:pPr>
            <w:r w:rsidRPr="007A5D8C">
              <w:rPr>
                <w:rFonts w:ascii="Times New Roman" w:hAnsi="Times New Roman" w:cs="Times New Roman"/>
                <w:b/>
                <w:sz w:val="20"/>
                <w:szCs w:val="20"/>
              </w:rPr>
              <w:t>100</w:t>
            </w:r>
          </w:p>
        </w:tc>
      </w:tr>
    </w:tbl>
    <w:p w14:paraId="0E82F3CA" w14:textId="4DE9C735" w:rsidR="007A5D8C" w:rsidRPr="00BE4AF3" w:rsidRDefault="007A5D8C" w:rsidP="007A5D8C">
      <w:pPr>
        <w:spacing w:after="0" w:line="240" w:lineRule="auto"/>
        <w:jc w:val="center"/>
        <w:rPr>
          <w:rFonts w:ascii="Times New Roman" w:hAnsi="Times New Roman" w:cs="Times New Roman"/>
          <w:b/>
          <w:sz w:val="24"/>
          <w:szCs w:val="24"/>
        </w:rPr>
      </w:pPr>
      <w:r w:rsidRPr="007A5D8C">
        <w:rPr>
          <w:rFonts w:ascii="Times New Roman" w:hAnsi="Times New Roman" w:cs="Times New Roman"/>
          <w:bCs/>
          <w:sz w:val="24"/>
          <w:szCs w:val="24"/>
        </w:rPr>
        <w:t>Source: Field survey, 2025.</w:t>
      </w:r>
    </w:p>
    <w:p w14:paraId="3F190714" w14:textId="77777777" w:rsidR="007A5D8C" w:rsidRDefault="007A5D8C" w:rsidP="007A5D8C">
      <w:pPr>
        <w:spacing w:after="0" w:line="240" w:lineRule="auto"/>
        <w:rPr>
          <w:rFonts w:ascii="Times New Roman" w:hAnsi="Times New Roman" w:cs="Times New Roman"/>
          <w:sz w:val="24"/>
          <w:szCs w:val="24"/>
        </w:rPr>
      </w:pPr>
    </w:p>
    <w:p w14:paraId="27836115" w14:textId="413F93E1" w:rsidR="0000060D" w:rsidRDefault="0000060D" w:rsidP="007A5D8C">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Table 1 is the table showing the gender of the respondents. The table shows that 86.96% of the respondents were male while others were female. The data collected was from both gender’s perception which is void of bias.</w:t>
      </w:r>
    </w:p>
    <w:p w14:paraId="50ADE947" w14:textId="77777777" w:rsidR="007A5D8C" w:rsidRPr="00BE4AF3" w:rsidRDefault="007A5D8C" w:rsidP="007A5D8C">
      <w:pPr>
        <w:spacing w:after="0" w:line="240" w:lineRule="auto"/>
        <w:rPr>
          <w:rFonts w:ascii="Times New Roman" w:hAnsi="Times New Roman" w:cs="Times New Roman"/>
          <w:sz w:val="24"/>
          <w:szCs w:val="24"/>
        </w:rPr>
      </w:pPr>
    </w:p>
    <w:p w14:paraId="76302696" w14:textId="5BFA1B15" w:rsidR="0000060D" w:rsidRPr="00BE4AF3" w:rsidRDefault="007A5D8C" w:rsidP="007A5D8C">
      <w:pPr>
        <w:spacing w:after="0" w:line="240" w:lineRule="auto"/>
        <w:jc w:val="center"/>
        <w:rPr>
          <w:rFonts w:ascii="Times New Roman" w:hAnsi="Times New Roman" w:cs="Times New Roman"/>
          <w:b/>
          <w:sz w:val="24"/>
          <w:szCs w:val="24"/>
        </w:rPr>
      </w:pPr>
      <w:r w:rsidRPr="00BE4AF3">
        <w:rPr>
          <w:rFonts w:ascii="Times New Roman" w:hAnsi="Times New Roman" w:cs="Times New Roman"/>
          <w:noProof/>
          <w:sz w:val="24"/>
          <w:szCs w:val="24"/>
          <w:lang w:eastAsia="en-GB"/>
        </w:rPr>
        <mc:AlternateContent>
          <mc:Choice Requires="wps">
            <w:drawing>
              <wp:anchor distT="0" distB="0" distL="114300" distR="114300" simplePos="0" relativeHeight="251683840" behindDoc="0" locked="0" layoutInCell="1" allowOverlap="1" wp14:anchorId="465029D6" wp14:editId="4C121D87">
                <wp:simplePos x="0" y="0"/>
                <wp:positionH relativeFrom="column">
                  <wp:posOffset>1071880</wp:posOffset>
                </wp:positionH>
                <wp:positionV relativeFrom="paragraph">
                  <wp:posOffset>170815</wp:posOffset>
                </wp:positionV>
                <wp:extent cx="4540250" cy="0"/>
                <wp:effectExtent l="14605" t="18415" r="17145" b="19685"/>
                <wp:wrapNone/>
                <wp:docPr id="807822858"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4025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3DEB23" id="Straight Arrow Connector 42" o:spid="_x0000_s1026" type="#_x0000_t32" style="position:absolute;margin-left:84.4pt;margin-top:13.45pt;width:357.5pt;height: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" strokeweight="2.25pt"/>
            </w:pict>
          </mc:Fallback>
        </mc:AlternateContent>
      </w:r>
      <w:r w:rsidR="0000060D" w:rsidRPr="00BE4AF3">
        <w:rPr>
          <w:rFonts w:ascii="Times New Roman" w:hAnsi="Times New Roman" w:cs="Times New Roman"/>
          <w:b/>
          <w:sz w:val="24"/>
          <w:szCs w:val="24"/>
        </w:rPr>
        <w:t xml:space="preserve">Table 2: </w:t>
      </w:r>
      <w:r w:rsidR="0000060D" w:rsidRPr="00BE4AF3">
        <w:rPr>
          <w:rFonts w:ascii="Times New Roman" w:hAnsi="Times New Roman" w:cs="Times New Roman"/>
          <w:sz w:val="24"/>
          <w:szCs w:val="24"/>
        </w:rPr>
        <w:t>Academic Qualification of the Respondents</w:t>
      </w:r>
    </w:p>
    <w:p w14:paraId="30453F08" w14:textId="5A03D345" w:rsidR="0000060D" w:rsidRPr="007A5D8C" w:rsidRDefault="0000060D" w:rsidP="007A5D8C">
      <w:pPr>
        <w:spacing w:after="0" w:line="240" w:lineRule="auto"/>
        <w:ind w:left="720" w:firstLine="720"/>
        <w:jc w:val="center"/>
        <w:rPr>
          <w:rFonts w:ascii="Times New Roman" w:hAnsi="Times New Roman" w:cs="Times New Roman"/>
          <w:bCs/>
          <w:sz w:val="20"/>
          <w:szCs w:val="20"/>
        </w:rPr>
      </w:pPr>
      <w:r w:rsidRPr="007A5D8C">
        <w:rPr>
          <w:rFonts w:ascii="Times New Roman" w:hAnsi="Times New Roman" w:cs="Times New Roman"/>
          <w:bCs/>
          <w:sz w:val="20"/>
          <w:szCs w:val="20"/>
        </w:rPr>
        <w:t xml:space="preserve">Qualification </w:t>
      </w:r>
      <w:r w:rsidRPr="007A5D8C">
        <w:rPr>
          <w:rFonts w:ascii="Times New Roman" w:hAnsi="Times New Roman" w:cs="Times New Roman"/>
          <w:bCs/>
          <w:sz w:val="20"/>
          <w:szCs w:val="20"/>
        </w:rPr>
        <w:tab/>
      </w:r>
      <w:r w:rsidRPr="007A5D8C">
        <w:rPr>
          <w:rFonts w:ascii="Times New Roman" w:hAnsi="Times New Roman" w:cs="Times New Roman"/>
          <w:bCs/>
          <w:sz w:val="20"/>
          <w:szCs w:val="20"/>
        </w:rPr>
        <w:tab/>
        <w:t xml:space="preserve">      Frequency</w:t>
      </w:r>
      <w:r w:rsidRPr="007A5D8C">
        <w:rPr>
          <w:rFonts w:ascii="Times New Roman" w:hAnsi="Times New Roman" w:cs="Times New Roman"/>
          <w:bCs/>
          <w:sz w:val="20"/>
          <w:szCs w:val="20"/>
        </w:rPr>
        <w:tab/>
      </w:r>
      <w:r w:rsidRPr="007A5D8C">
        <w:rPr>
          <w:rFonts w:ascii="Times New Roman" w:hAnsi="Times New Roman" w:cs="Times New Roman"/>
          <w:bCs/>
          <w:sz w:val="20"/>
          <w:szCs w:val="20"/>
        </w:rPr>
        <w:tab/>
        <w:t>Percentage</w:t>
      </w:r>
    </w:p>
    <w:p w14:paraId="6B8FD72B" w14:textId="5FCCE6BD" w:rsidR="0000060D" w:rsidRPr="007A5D8C" w:rsidRDefault="007A5D8C" w:rsidP="007A5D8C">
      <w:pPr>
        <w:spacing w:after="0" w:line="240" w:lineRule="auto"/>
        <w:ind w:left="720" w:firstLine="720"/>
        <w:jc w:val="center"/>
        <w:rPr>
          <w:rFonts w:ascii="Times New Roman" w:hAnsi="Times New Roman" w:cs="Times New Roman"/>
          <w:sz w:val="20"/>
          <w:szCs w:val="20"/>
        </w:rPr>
      </w:pPr>
      <w:r w:rsidRPr="007A5D8C">
        <w:rPr>
          <w:rFonts w:ascii="Times New Roman" w:hAnsi="Times New Roman" w:cs="Times New Roman"/>
          <w:b/>
          <w:noProof/>
          <w:sz w:val="20"/>
          <w:szCs w:val="20"/>
          <w:lang w:eastAsia="en-GB"/>
        </w:rPr>
        <mc:AlternateContent>
          <mc:Choice Requires="wps">
            <w:drawing>
              <wp:anchor distT="0" distB="0" distL="114300" distR="114300" simplePos="0" relativeHeight="251686912" behindDoc="0" locked="0" layoutInCell="1" allowOverlap="1" wp14:anchorId="207D41F1" wp14:editId="583BF32E">
                <wp:simplePos x="0" y="0"/>
                <wp:positionH relativeFrom="column">
                  <wp:posOffset>1071880</wp:posOffset>
                </wp:positionH>
                <wp:positionV relativeFrom="paragraph">
                  <wp:posOffset>13335</wp:posOffset>
                </wp:positionV>
                <wp:extent cx="4540250" cy="0"/>
                <wp:effectExtent l="14605" t="19685" r="17145" b="18415"/>
                <wp:wrapNone/>
                <wp:docPr id="807822859"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4025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944C92" id="Straight Arrow Connector 41" o:spid="_x0000_s1026" type="#_x0000_t32" style="position:absolute;margin-left:84.4pt;margin-top:1.05pt;width:357.5pt;height: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" strokeweight="2.25pt"/>
            </w:pict>
          </mc:Fallback>
        </mc:AlternateContent>
      </w:r>
      <w:r w:rsidR="0000060D" w:rsidRPr="007A5D8C">
        <w:rPr>
          <w:rFonts w:ascii="Times New Roman" w:hAnsi="Times New Roman" w:cs="Times New Roman"/>
          <w:sz w:val="20"/>
          <w:szCs w:val="20"/>
        </w:rPr>
        <w:t>HND</w:t>
      </w:r>
      <w:r w:rsidR="0000060D" w:rsidRPr="007A5D8C">
        <w:rPr>
          <w:rFonts w:ascii="Times New Roman" w:hAnsi="Times New Roman" w:cs="Times New Roman"/>
          <w:sz w:val="20"/>
          <w:szCs w:val="20"/>
        </w:rPr>
        <w:tab/>
      </w:r>
      <w:r w:rsidR="0000060D" w:rsidRPr="007A5D8C">
        <w:rPr>
          <w:rFonts w:ascii="Times New Roman" w:hAnsi="Times New Roman" w:cs="Times New Roman"/>
          <w:sz w:val="20"/>
          <w:szCs w:val="20"/>
        </w:rPr>
        <w:tab/>
      </w:r>
      <w:r w:rsidR="0000060D" w:rsidRPr="007A5D8C">
        <w:rPr>
          <w:rFonts w:ascii="Times New Roman" w:hAnsi="Times New Roman" w:cs="Times New Roman"/>
          <w:sz w:val="20"/>
          <w:szCs w:val="20"/>
        </w:rPr>
        <w:tab/>
      </w:r>
      <w:r w:rsidR="0000060D" w:rsidRPr="007A5D8C">
        <w:rPr>
          <w:rFonts w:ascii="Times New Roman" w:hAnsi="Times New Roman" w:cs="Times New Roman"/>
          <w:sz w:val="20"/>
          <w:szCs w:val="20"/>
        </w:rPr>
        <w:tab/>
        <w:t>30</w:t>
      </w:r>
      <w:r w:rsidR="0000060D" w:rsidRPr="007A5D8C">
        <w:rPr>
          <w:rFonts w:ascii="Times New Roman" w:hAnsi="Times New Roman" w:cs="Times New Roman"/>
          <w:sz w:val="20"/>
          <w:szCs w:val="20"/>
        </w:rPr>
        <w:tab/>
      </w:r>
      <w:r w:rsidR="0000060D" w:rsidRPr="007A5D8C">
        <w:rPr>
          <w:rFonts w:ascii="Times New Roman" w:hAnsi="Times New Roman" w:cs="Times New Roman"/>
          <w:sz w:val="20"/>
          <w:szCs w:val="20"/>
        </w:rPr>
        <w:tab/>
      </w:r>
      <w:r w:rsidR="0000060D" w:rsidRPr="007A5D8C">
        <w:rPr>
          <w:rFonts w:ascii="Times New Roman" w:hAnsi="Times New Roman" w:cs="Times New Roman"/>
          <w:sz w:val="20"/>
          <w:szCs w:val="20"/>
        </w:rPr>
        <w:tab/>
        <w:t xml:space="preserve">  32.61</w:t>
      </w:r>
    </w:p>
    <w:p w14:paraId="083E6E7B" w14:textId="77777777" w:rsidR="0000060D" w:rsidRPr="007A5D8C" w:rsidRDefault="0000060D" w:rsidP="007A5D8C">
      <w:pPr>
        <w:spacing w:after="0" w:line="240" w:lineRule="auto"/>
        <w:ind w:left="720" w:firstLine="720"/>
        <w:jc w:val="center"/>
        <w:rPr>
          <w:rFonts w:ascii="Times New Roman" w:hAnsi="Times New Roman" w:cs="Times New Roman"/>
          <w:sz w:val="20"/>
          <w:szCs w:val="20"/>
        </w:rPr>
      </w:pPr>
      <w:r w:rsidRPr="007A5D8C">
        <w:rPr>
          <w:rFonts w:ascii="Times New Roman" w:hAnsi="Times New Roman" w:cs="Times New Roman"/>
          <w:sz w:val="20"/>
          <w:szCs w:val="20"/>
        </w:rPr>
        <w:t>BSc/B.Tech</w:t>
      </w:r>
      <w:r w:rsidRPr="007A5D8C">
        <w:rPr>
          <w:rFonts w:ascii="Times New Roman" w:hAnsi="Times New Roman" w:cs="Times New Roman"/>
          <w:sz w:val="20"/>
          <w:szCs w:val="20"/>
        </w:rPr>
        <w:tab/>
      </w:r>
      <w:r w:rsidRPr="007A5D8C">
        <w:rPr>
          <w:rFonts w:ascii="Times New Roman" w:hAnsi="Times New Roman" w:cs="Times New Roman"/>
          <w:sz w:val="20"/>
          <w:szCs w:val="20"/>
        </w:rPr>
        <w:tab/>
      </w:r>
      <w:r w:rsidRPr="007A5D8C">
        <w:rPr>
          <w:rFonts w:ascii="Times New Roman" w:hAnsi="Times New Roman" w:cs="Times New Roman"/>
          <w:sz w:val="20"/>
          <w:szCs w:val="20"/>
        </w:rPr>
        <w:tab/>
        <w:t>22</w:t>
      </w:r>
      <w:r w:rsidRPr="007A5D8C">
        <w:rPr>
          <w:rFonts w:ascii="Times New Roman" w:hAnsi="Times New Roman" w:cs="Times New Roman"/>
          <w:sz w:val="20"/>
          <w:szCs w:val="20"/>
        </w:rPr>
        <w:tab/>
      </w:r>
      <w:r w:rsidRPr="007A5D8C">
        <w:rPr>
          <w:rFonts w:ascii="Times New Roman" w:hAnsi="Times New Roman" w:cs="Times New Roman"/>
          <w:sz w:val="20"/>
          <w:szCs w:val="20"/>
        </w:rPr>
        <w:tab/>
      </w:r>
      <w:r w:rsidRPr="007A5D8C">
        <w:rPr>
          <w:rFonts w:ascii="Times New Roman" w:hAnsi="Times New Roman" w:cs="Times New Roman"/>
          <w:sz w:val="20"/>
          <w:szCs w:val="20"/>
        </w:rPr>
        <w:tab/>
        <w:t xml:space="preserve">  23.91</w:t>
      </w:r>
    </w:p>
    <w:p w14:paraId="5E2120D9" w14:textId="77777777" w:rsidR="0000060D" w:rsidRPr="007A5D8C" w:rsidRDefault="0000060D" w:rsidP="007A5D8C">
      <w:pPr>
        <w:spacing w:after="0" w:line="240" w:lineRule="auto"/>
        <w:ind w:left="720" w:firstLine="720"/>
        <w:jc w:val="center"/>
        <w:rPr>
          <w:rFonts w:ascii="Times New Roman" w:hAnsi="Times New Roman" w:cs="Times New Roman"/>
          <w:sz w:val="20"/>
          <w:szCs w:val="20"/>
        </w:rPr>
      </w:pPr>
      <w:r w:rsidRPr="007A5D8C">
        <w:rPr>
          <w:rFonts w:ascii="Times New Roman" w:hAnsi="Times New Roman" w:cs="Times New Roman"/>
          <w:sz w:val="20"/>
          <w:szCs w:val="20"/>
        </w:rPr>
        <w:t>M.Sc/M.Tech</w:t>
      </w:r>
      <w:r w:rsidRPr="007A5D8C">
        <w:rPr>
          <w:rFonts w:ascii="Times New Roman" w:hAnsi="Times New Roman" w:cs="Times New Roman"/>
          <w:sz w:val="20"/>
          <w:szCs w:val="20"/>
        </w:rPr>
        <w:tab/>
      </w:r>
      <w:r w:rsidRPr="007A5D8C">
        <w:rPr>
          <w:rFonts w:ascii="Times New Roman" w:hAnsi="Times New Roman" w:cs="Times New Roman"/>
          <w:sz w:val="20"/>
          <w:szCs w:val="20"/>
        </w:rPr>
        <w:tab/>
      </w:r>
      <w:r w:rsidRPr="007A5D8C">
        <w:rPr>
          <w:rFonts w:ascii="Times New Roman" w:hAnsi="Times New Roman" w:cs="Times New Roman"/>
          <w:sz w:val="20"/>
          <w:szCs w:val="20"/>
        </w:rPr>
        <w:tab/>
        <w:t xml:space="preserve"> 14</w:t>
      </w:r>
      <w:r w:rsidRPr="007A5D8C">
        <w:rPr>
          <w:rFonts w:ascii="Times New Roman" w:hAnsi="Times New Roman" w:cs="Times New Roman"/>
          <w:sz w:val="20"/>
          <w:szCs w:val="20"/>
        </w:rPr>
        <w:tab/>
      </w:r>
      <w:r w:rsidRPr="007A5D8C">
        <w:rPr>
          <w:rFonts w:ascii="Times New Roman" w:hAnsi="Times New Roman" w:cs="Times New Roman"/>
          <w:sz w:val="20"/>
          <w:szCs w:val="20"/>
        </w:rPr>
        <w:tab/>
      </w:r>
      <w:r w:rsidRPr="007A5D8C">
        <w:rPr>
          <w:rFonts w:ascii="Times New Roman" w:hAnsi="Times New Roman" w:cs="Times New Roman"/>
          <w:sz w:val="20"/>
          <w:szCs w:val="20"/>
        </w:rPr>
        <w:tab/>
        <w:t xml:space="preserve">  15.22</w:t>
      </w:r>
    </w:p>
    <w:p w14:paraId="37F61F91" w14:textId="77777777" w:rsidR="0000060D" w:rsidRPr="007A5D8C" w:rsidRDefault="0000060D" w:rsidP="007A5D8C">
      <w:pPr>
        <w:spacing w:after="0" w:line="240" w:lineRule="auto"/>
        <w:ind w:left="720" w:firstLine="720"/>
        <w:jc w:val="center"/>
        <w:rPr>
          <w:rFonts w:ascii="Times New Roman" w:hAnsi="Times New Roman" w:cs="Times New Roman"/>
          <w:sz w:val="20"/>
          <w:szCs w:val="20"/>
        </w:rPr>
      </w:pPr>
      <w:r w:rsidRPr="007A5D8C">
        <w:rPr>
          <w:rFonts w:ascii="Times New Roman" w:hAnsi="Times New Roman" w:cs="Times New Roman"/>
          <w:sz w:val="20"/>
          <w:szCs w:val="20"/>
        </w:rPr>
        <w:t>Ph.D</w:t>
      </w:r>
      <w:r w:rsidRPr="007A5D8C">
        <w:rPr>
          <w:rFonts w:ascii="Times New Roman" w:hAnsi="Times New Roman" w:cs="Times New Roman"/>
          <w:sz w:val="20"/>
          <w:szCs w:val="20"/>
        </w:rPr>
        <w:tab/>
      </w:r>
      <w:r w:rsidRPr="007A5D8C">
        <w:rPr>
          <w:rFonts w:ascii="Times New Roman" w:hAnsi="Times New Roman" w:cs="Times New Roman"/>
          <w:sz w:val="20"/>
          <w:szCs w:val="20"/>
        </w:rPr>
        <w:tab/>
      </w:r>
      <w:r w:rsidRPr="007A5D8C">
        <w:rPr>
          <w:rFonts w:ascii="Times New Roman" w:hAnsi="Times New Roman" w:cs="Times New Roman"/>
          <w:sz w:val="20"/>
          <w:szCs w:val="20"/>
        </w:rPr>
        <w:tab/>
      </w:r>
      <w:r w:rsidRPr="007A5D8C">
        <w:rPr>
          <w:rFonts w:ascii="Times New Roman" w:hAnsi="Times New Roman" w:cs="Times New Roman"/>
          <w:sz w:val="20"/>
          <w:szCs w:val="20"/>
        </w:rPr>
        <w:tab/>
        <w:t xml:space="preserve"> 16</w:t>
      </w:r>
      <w:r w:rsidRPr="007A5D8C">
        <w:rPr>
          <w:rFonts w:ascii="Times New Roman" w:hAnsi="Times New Roman" w:cs="Times New Roman"/>
          <w:sz w:val="20"/>
          <w:szCs w:val="20"/>
        </w:rPr>
        <w:tab/>
      </w:r>
      <w:r w:rsidRPr="007A5D8C">
        <w:rPr>
          <w:rFonts w:ascii="Times New Roman" w:hAnsi="Times New Roman" w:cs="Times New Roman"/>
          <w:sz w:val="20"/>
          <w:szCs w:val="20"/>
        </w:rPr>
        <w:tab/>
      </w:r>
      <w:r w:rsidRPr="007A5D8C">
        <w:rPr>
          <w:rFonts w:ascii="Times New Roman" w:hAnsi="Times New Roman" w:cs="Times New Roman"/>
          <w:sz w:val="20"/>
          <w:szCs w:val="20"/>
        </w:rPr>
        <w:tab/>
        <w:t xml:space="preserve">  17.39</w:t>
      </w:r>
    </w:p>
    <w:p w14:paraId="7825C561" w14:textId="7E9C2ECB" w:rsidR="0000060D" w:rsidRPr="007A5D8C" w:rsidRDefault="0000060D" w:rsidP="007A5D8C">
      <w:pPr>
        <w:tabs>
          <w:tab w:val="left" w:pos="3054"/>
          <w:tab w:val="left" w:pos="5143"/>
        </w:tabs>
        <w:spacing w:after="0" w:line="240" w:lineRule="auto"/>
        <w:jc w:val="center"/>
        <w:rPr>
          <w:rFonts w:ascii="Times New Roman" w:hAnsi="Times New Roman" w:cs="Times New Roman"/>
          <w:sz w:val="20"/>
          <w:szCs w:val="20"/>
        </w:rPr>
      </w:pPr>
      <w:r w:rsidRPr="007A5D8C">
        <w:rPr>
          <w:rFonts w:ascii="Times New Roman" w:hAnsi="Times New Roman" w:cs="Times New Roman"/>
          <w:sz w:val="20"/>
          <w:szCs w:val="20"/>
        </w:rPr>
        <w:t xml:space="preserve">                    </w:t>
      </w:r>
      <w:r w:rsidR="007A5D8C">
        <w:rPr>
          <w:rFonts w:ascii="Times New Roman" w:hAnsi="Times New Roman" w:cs="Times New Roman"/>
          <w:sz w:val="20"/>
          <w:szCs w:val="20"/>
        </w:rPr>
        <w:t xml:space="preserve">         </w:t>
      </w:r>
      <w:r w:rsidRPr="007A5D8C">
        <w:rPr>
          <w:rFonts w:ascii="Times New Roman" w:hAnsi="Times New Roman" w:cs="Times New Roman"/>
          <w:sz w:val="20"/>
          <w:szCs w:val="20"/>
        </w:rPr>
        <w:t xml:space="preserve">  Others                                     </w:t>
      </w:r>
      <w:r w:rsidR="007A5D8C">
        <w:rPr>
          <w:rFonts w:ascii="Times New Roman" w:hAnsi="Times New Roman" w:cs="Times New Roman"/>
          <w:sz w:val="20"/>
          <w:szCs w:val="20"/>
        </w:rPr>
        <w:t xml:space="preserve">          </w:t>
      </w:r>
      <w:r w:rsidRPr="007A5D8C">
        <w:rPr>
          <w:rFonts w:ascii="Times New Roman" w:hAnsi="Times New Roman" w:cs="Times New Roman"/>
          <w:sz w:val="20"/>
          <w:szCs w:val="20"/>
        </w:rPr>
        <w:t>10</w:t>
      </w:r>
      <w:r w:rsidRPr="007A5D8C">
        <w:rPr>
          <w:rFonts w:ascii="Times New Roman" w:hAnsi="Times New Roman" w:cs="Times New Roman"/>
          <w:sz w:val="20"/>
          <w:szCs w:val="20"/>
        </w:rPr>
        <w:tab/>
      </w:r>
      <w:r w:rsidRPr="007A5D8C">
        <w:rPr>
          <w:rFonts w:ascii="Times New Roman" w:hAnsi="Times New Roman" w:cs="Times New Roman"/>
          <w:sz w:val="20"/>
          <w:szCs w:val="20"/>
        </w:rPr>
        <w:tab/>
      </w:r>
      <w:r w:rsidRPr="007A5D8C">
        <w:rPr>
          <w:rFonts w:ascii="Times New Roman" w:hAnsi="Times New Roman" w:cs="Times New Roman"/>
          <w:sz w:val="20"/>
          <w:szCs w:val="20"/>
        </w:rPr>
        <w:tab/>
        <w:t xml:space="preserve">    10.87</w:t>
      </w:r>
    </w:p>
    <w:p w14:paraId="5C1213EC" w14:textId="53C0B106" w:rsidR="0000060D" w:rsidRPr="007A5D8C" w:rsidRDefault="0000060D" w:rsidP="007A5D8C">
      <w:pPr>
        <w:spacing w:after="0" w:line="240" w:lineRule="auto"/>
        <w:ind w:left="720" w:firstLine="720"/>
        <w:jc w:val="center"/>
        <w:rPr>
          <w:rFonts w:ascii="Times New Roman" w:hAnsi="Times New Roman" w:cs="Times New Roman"/>
          <w:b/>
          <w:sz w:val="20"/>
          <w:szCs w:val="20"/>
        </w:rPr>
      </w:pPr>
      <w:r w:rsidRPr="007A5D8C">
        <w:rPr>
          <w:rFonts w:ascii="Times New Roman" w:hAnsi="Times New Roman" w:cs="Times New Roman"/>
          <w:b/>
          <w:sz w:val="20"/>
          <w:szCs w:val="20"/>
        </w:rPr>
        <w:t xml:space="preserve">Total </w:t>
      </w:r>
      <w:r w:rsidRPr="007A5D8C">
        <w:rPr>
          <w:rFonts w:ascii="Times New Roman" w:hAnsi="Times New Roman" w:cs="Times New Roman"/>
          <w:b/>
          <w:sz w:val="20"/>
          <w:szCs w:val="20"/>
        </w:rPr>
        <w:tab/>
      </w:r>
      <w:r w:rsidRPr="007A5D8C">
        <w:rPr>
          <w:rFonts w:ascii="Times New Roman" w:hAnsi="Times New Roman" w:cs="Times New Roman"/>
          <w:b/>
          <w:sz w:val="20"/>
          <w:szCs w:val="20"/>
        </w:rPr>
        <w:tab/>
      </w:r>
      <w:r w:rsidRPr="007A5D8C">
        <w:rPr>
          <w:rFonts w:ascii="Times New Roman" w:hAnsi="Times New Roman" w:cs="Times New Roman"/>
          <w:b/>
          <w:sz w:val="20"/>
          <w:szCs w:val="20"/>
        </w:rPr>
        <w:tab/>
        <w:t xml:space="preserve">          </w:t>
      </w:r>
      <w:r w:rsidR="007A5D8C">
        <w:rPr>
          <w:rFonts w:ascii="Times New Roman" w:hAnsi="Times New Roman" w:cs="Times New Roman"/>
          <w:b/>
          <w:sz w:val="20"/>
          <w:szCs w:val="20"/>
        </w:rPr>
        <w:t xml:space="preserve">    </w:t>
      </w:r>
      <w:r w:rsidRPr="007A5D8C">
        <w:rPr>
          <w:rFonts w:ascii="Times New Roman" w:hAnsi="Times New Roman" w:cs="Times New Roman"/>
          <w:b/>
          <w:sz w:val="20"/>
          <w:szCs w:val="20"/>
        </w:rPr>
        <w:t xml:space="preserve">   92</w:t>
      </w:r>
      <w:r w:rsidRPr="007A5D8C">
        <w:rPr>
          <w:rFonts w:ascii="Times New Roman" w:hAnsi="Times New Roman" w:cs="Times New Roman"/>
          <w:b/>
          <w:sz w:val="20"/>
          <w:szCs w:val="20"/>
        </w:rPr>
        <w:tab/>
      </w:r>
      <w:r w:rsidRPr="007A5D8C">
        <w:rPr>
          <w:rFonts w:ascii="Times New Roman" w:hAnsi="Times New Roman" w:cs="Times New Roman"/>
          <w:b/>
          <w:sz w:val="20"/>
          <w:szCs w:val="20"/>
        </w:rPr>
        <w:tab/>
      </w:r>
      <w:r w:rsidRPr="007A5D8C">
        <w:rPr>
          <w:rFonts w:ascii="Times New Roman" w:hAnsi="Times New Roman" w:cs="Times New Roman"/>
          <w:b/>
          <w:sz w:val="20"/>
          <w:szCs w:val="20"/>
        </w:rPr>
        <w:tab/>
        <w:t xml:space="preserve">  100.00</w:t>
      </w:r>
    </w:p>
    <w:p w14:paraId="3C931DF9" w14:textId="77777777" w:rsidR="0000060D" w:rsidRDefault="0000060D" w:rsidP="007A5D8C">
      <w:pPr>
        <w:spacing w:after="0" w:line="240" w:lineRule="auto"/>
        <w:ind w:left="720" w:firstLine="720"/>
        <w:jc w:val="center"/>
        <w:rPr>
          <w:rFonts w:ascii="Times New Roman" w:hAnsi="Times New Roman" w:cs="Times New Roman"/>
          <w:bCs/>
          <w:sz w:val="24"/>
          <w:szCs w:val="24"/>
        </w:rPr>
      </w:pPr>
      <w:r w:rsidRPr="007A5D8C">
        <w:rPr>
          <w:rFonts w:ascii="Times New Roman" w:hAnsi="Times New Roman" w:cs="Times New Roman"/>
          <w:bCs/>
          <w:noProof/>
          <w:sz w:val="24"/>
          <w:szCs w:val="24"/>
          <w:lang w:eastAsia="en-GB"/>
        </w:rPr>
        <mc:AlternateContent>
          <mc:Choice Requires="wps">
            <w:drawing>
              <wp:anchor distT="0" distB="0" distL="114300" distR="114300" simplePos="0" relativeHeight="251687936" behindDoc="0" locked="0" layoutInCell="1" allowOverlap="1" wp14:anchorId="395503FA" wp14:editId="0D866498">
                <wp:simplePos x="0" y="0"/>
                <wp:positionH relativeFrom="column">
                  <wp:posOffset>1229995</wp:posOffset>
                </wp:positionH>
                <wp:positionV relativeFrom="paragraph">
                  <wp:posOffset>-3810</wp:posOffset>
                </wp:positionV>
                <wp:extent cx="4341495" cy="635"/>
                <wp:effectExtent l="20320" t="16510" r="19685" b="20955"/>
                <wp:wrapNone/>
                <wp:docPr id="807822860" name="Straight Arrow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1495" cy="635"/>
                        </a:xfrm>
                        <a:prstGeom prst="bentConnector3">
                          <a:avLst>
                            <a:gd name="adj1" fmla="val 49991"/>
                          </a:avLst>
                        </a:prstGeom>
                        <a:noFill/>
                        <a:ln w="2857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06B399C"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40" o:spid="_x0000_s1026" type="#_x0000_t34" style="position:absolute;margin-left:96.85pt;margin-top:-.3pt;width:341.85pt;height:.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" adj="10798" strokeweight="2.25pt"/>
            </w:pict>
          </mc:Fallback>
        </mc:AlternateContent>
      </w:r>
      <w:r w:rsidRPr="007A5D8C">
        <w:rPr>
          <w:rFonts w:ascii="Times New Roman" w:hAnsi="Times New Roman" w:cs="Times New Roman"/>
          <w:bCs/>
          <w:sz w:val="24"/>
          <w:szCs w:val="24"/>
        </w:rPr>
        <w:t>Source: Field survey, 2025.</w:t>
      </w:r>
    </w:p>
    <w:p w14:paraId="0DA3E912" w14:textId="77777777" w:rsidR="007A5D8C" w:rsidRPr="007A5D8C" w:rsidRDefault="007A5D8C" w:rsidP="007A5D8C">
      <w:pPr>
        <w:spacing w:after="0" w:line="240" w:lineRule="auto"/>
        <w:ind w:left="720" w:firstLine="720"/>
        <w:jc w:val="center"/>
        <w:rPr>
          <w:rFonts w:ascii="Times New Roman" w:hAnsi="Times New Roman" w:cs="Times New Roman"/>
          <w:bCs/>
          <w:sz w:val="24"/>
          <w:szCs w:val="24"/>
        </w:rPr>
      </w:pPr>
    </w:p>
    <w:p w14:paraId="72F1C01B" w14:textId="77777777" w:rsidR="0000060D" w:rsidRDefault="0000060D" w:rsidP="007A5D8C">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Table 2 shows that 32.61%   of the respondents are HND holders followed by B.Sc./B.Tech with 23.91%,  M.Sc /M.Tech 15.33% and Ph.D with 17.39%. Only 10.87.11% is having other qualifications. This indicates that all the respondents are well educated to answer the questionnaire. Or we can say that they are academically trained in their respective professions.</w:t>
      </w:r>
    </w:p>
    <w:p w14:paraId="4763D6EE" w14:textId="77777777" w:rsidR="007A5D8C" w:rsidRDefault="007A5D8C" w:rsidP="007A5D8C">
      <w:pPr>
        <w:spacing w:after="0" w:line="240" w:lineRule="auto"/>
        <w:rPr>
          <w:rFonts w:ascii="Times New Roman" w:hAnsi="Times New Roman" w:cs="Times New Roman"/>
          <w:sz w:val="24"/>
          <w:szCs w:val="24"/>
        </w:rPr>
      </w:pPr>
    </w:p>
    <w:p w14:paraId="19868E9B" w14:textId="77777777" w:rsidR="007A5D8C" w:rsidRDefault="007A5D8C" w:rsidP="007A5D8C">
      <w:pPr>
        <w:spacing w:after="0" w:line="240" w:lineRule="auto"/>
        <w:rPr>
          <w:rFonts w:ascii="Times New Roman" w:hAnsi="Times New Roman" w:cs="Times New Roman"/>
          <w:sz w:val="24"/>
          <w:szCs w:val="24"/>
        </w:rPr>
      </w:pPr>
    </w:p>
    <w:p w14:paraId="240637F9" w14:textId="77777777" w:rsidR="007A5D8C" w:rsidRDefault="007A5D8C" w:rsidP="007A5D8C">
      <w:pPr>
        <w:spacing w:after="0" w:line="240" w:lineRule="auto"/>
        <w:rPr>
          <w:rFonts w:ascii="Times New Roman" w:hAnsi="Times New Roman" w:cs="Times New Roman"/>
          <w:sz w:val="24"/>
          <w:szCs w:val="24"/>
        </w:rPr>
      </w:pPr>
    </w:p>
    <w:p w14:paraId="534C7159" w14:textId="77777777" w:rsidR="007A5D8C" w:rsidRDefault="007A5D8C" w:rsidP="007A5D8C">
      <w:pPr>
        <w:spacing w:after="0" w:line="240" w:lineRule="auto"/>
        <w:rPr>
          <w:rFonts w:ascii="Times New Roman" w:hAnsi="Times New Roman" w:cs="Times New Roman"/>
          <w:sz w:val="24"/>
          <w:szCs w:val="24"/>
        </w:rPr>
      </w:pPr>
    </w:p>
    <w:p w14:paraId="7AC7028F" w14:textId="77777777" w:rsidR="007A5D8C" w:rsidRPr="00BE4AF3" w:rsidRDefault="007A5D8C" w:rsidP="007A5D8C">
      <w:pPr>
        <w:spacing w:after="0" w:line="240" w:lineRule="auto"/>
        <w:rPr>
          <w:rFonts w:ascii="Times New Roman" w:hAnsi="Times New Roman" w:cs="Times New Roman"/>
          <w:sz w:val="24"/>
          <w:szCs w:val="24"/>
        </w:rPr>
      </w:pPr>
    </w:p>
    <w:p w14:paraId="3F63C62B" w14:textId="77777777" w:rsidR="0000060D" w:rsidRPr="00BE4AF3" w:rsidRDefault="0000060D" w:rsidP="007A5D8C">
      <w:pPr>
        <w:tabs>
          <w:tab w:val="left" w:pos="1933"/>
        </w:tabs>
        <w:spacing w:after="0" w:line="240" w:lineRule="auto"/>
        <w:rPr>
          <w:rFonts w:ascii="Times New Roman" w:hAnsi="Times New Roman" w:cs="Times New Roman"/>
          <w:sz w:val="24"/>
          <w:szCs w:val="24"/>
        </w:rPr>
      </w:pPr>
      <w:r w:rsidRPr="00BE4AF3">
        <w:rPr>
          <w:rFonts w:ascii="Times New Roman" w:hAnsi="Times New Roman" w:cs="Times New Roman"/>
          <w:sz w:val="24"/>
          <w:szCs w:val="24"/>
        </w:rPr>
        <w:tab/>
      </w:r>
    </w:p>
    <w:p w14:paraId="71B62AEC" w14:textId="77777777" w:rsidR="0000060D" w:rsidRPr="00BE4AF3" w:rsidRDefault="0000060D" w:rsidP="007A5D8C">
      <w:pPr>
        <w:spacing w:after="0" w:line="240" w:lineRule="auto"/>
        <w:jc w:val="center"/>
        <w:rPr>
          <w:rFonts w:ascii="Times New Roman" w:hAnsi="Times New Roman" w:cs="Times New Roman"/>
          <w:sz w:val="24"/>
          <w:szCs w:val="24"/>
        </w:rPr>
      </w:pPr>
      <w:r w:rsidRPr="00BE4AF3">
        <w:rPr>
          <w:rFonts w:ascii="Times New Roman" w:hAnsi="Times New Roman" w:cs="Times New Roman"/>
          <w:b/>
          <w:sz w:val="24"/>
          <w:szCs w:val="24"/>
        </w:rPr>
        <w:lastRenderedPageBreak/>
        <w:t xml:space="preserve">Table 3: </w:t>
      </w:r>
      <w:r w:rsidRPr="00BE4AF3">
        <w:rPr>
          <w:rFonts w:ascii="Times New Roman" w:hAnsi="Times New Roman" w:cs="Times New Roman"/>
          <w:sz w:val="24"/>
          <w:szCs w:val="24"/>
        </w:rPr>
        <w:t>Years of Experience of the Respondents</w:t>
      </w:r>
    </w:p>
    <w:tbl>
      <w:tblPr>
        <w:tblW w:w="0" w:type="auto"/>
        <w:jc w:val="center"/>
        <w:tblLook w:val="04A0" w:firstRow="1" w:lastRow="0" w:firstColumn="1" w:lastColumn="0" w:noHBand="0" w:noVBand="1"/>
      </w:tblPr>
      <w:tblGrid>
        <w:gridCol w:w="3827"/>
        <w:gridCol w:w="2268"/>
        <w:gridCol w:w="2127"/>
      </w:tblGrid>
      <w:tr w:rsidR="0000060D" w:rsidRPr="007A5D8C" w14:paraId="420189BC" w14:textId="77777777" w:rsidTr="0000060D">
        <w:trPr>
          <w:trHeight w:val="572"/>
          <w:jc w:val="center"/>
        </w:trPr>
        <w:tc>
          <w:tcPr>
            <w:tcW w:w="8222" w:type="dxa"/>
            <w:gridSpan w:val="3"/>
          </w:tcPr>
          <w:p w14:paraId="74998EA0" w14:textId="472E64EC" w:rsidR="0000060D" w:rsidRPr="007A5D8C" w:rsidRDefault="007A5D8C" w:rsidP="007A5D8C">
            <w:pPr>
              <w:spacing w:after="0" w:line="240" w:lineRule="auto"/>
              <w:jc w:val="center"/>
              <w:rPr>
                <w:rFonts w:ascii="Times New Roman" w:hAnsi="Times New Roman" w:cs="Times New Roman"/>
                <w:b/>
                <w:sz w:val="20"/>
                <w:szCs w:val="20"/>
              </w:rPr>
            </w:pPr>
            <w:r w:rsidRPr="007A5D8C">
              <w:rPr>
                <w:rFonts w:ascii="Times New Roman" w:hAnsi="Times New Roman" w:cs="Times New Roman"/>
                <w:noProof/>
                <w:sz w:val="20"/>
                <w:szCs w:val="20"/>
                <w:lang w:eastAsia="en-GB"/>
              </w:rPr>
              <mc:AlternateContent>
                <mc:Choice Requires="wps">
                  <w:drawing>
                    <wp:anchor distT="0" distB="0" distL="114300" distR="114300" simplePos="0" relativeHeight="251685888" behindDoc="0" locked="0" layoutInCell="1" allowOverlap="1" wp14:anchorId="24AADC99" wp14:editId="0837B84A">
                      <wp:simplePos x="0" y="0"/>
                      <wp:positionH relativeFrom="column">
                        <wp:posOffset>242570</wp:posOffset>
                      </wp:positionH>
                      <wp:positionV relativeFrom="paragraph">
                        <wp:posOffset>192405</wp:posOffset>
                      </wp:positionV>
                      <wp:extent cx="4753610" cy="0"/>
                      <wp:effectExtent l="16510" t="17145" r="20955" b="20955"/>
                      <wp:wrapNone/>
                      <wp:docPr id="807822862" name="Straight Arrow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5361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799FD0" id="Straight Arrow Connector 34" o:spid="_x0000_s1026" type="#_x0000_t32" style="position:absolute;margin-left:19.1pt;margin-top:15.15pt;width:374.3pt;height: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" strokeweight="2.25pt"/>
                  </w:pict>
                </mc:Fallback>
              </mc:AlternateContent>
            </w:r>
            <w:r w:rsidR="0000060D" w:rsidRPr="007A5D8C">
              <w:rPr>
                <w:rFonts w:ascii="Times New Roman" w:hAnsi="Times New Roman" w:cs="Times New Roman"/>
                <w:noProof/>
                <w:sz w:val="20"/>
                <w:szCs w:val="20"/>
                <w:lang w:eastAsia="en-GB"/>
              </w:rPr>
              <mc:AlternateContent>
                <mc:Choice Requires="wps">
                  <w:drawing>
                    <wp:anchor distT="0" distB="0" distL="114300" distR="114300" simplePos="0" relativeHeight="251684864" behindDoc="0" locked="0" layoutInCell="1" allowOverlap="1" wp14:anchorId="77CDC3C0" wp14:editId="2C0979DA">
                      <wp:simplePos x="0" y="0"/>
                      <wp:positionH relativeFrom="column">
                        <wp:posOffset>291465</wp:posOffset>
                      </wp:positionH>
                      <wp:positionV relativeFrom="paragraph">
                        <wp:posOffset>3175</wp:posOffset>
                      </wp:positionV>
                      <wp:extent cx="4637405" cy="0"/>
                      <wp:effectExtent l="16510" t="18415" r="22860" b="19685"/>
                      <wp:wrapNone/>
                      <wp:docPr id="807822861" name="Straight Arrow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740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A58E32" id="Straight Arrow Connector 35" o:spid="_x0000_s1026" type="#_x0000_t32" style="position:absolute;margin-left:22.95pt;margin-top:.25pt;width:365.15pt;height: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" strokeweight="2.25pt"/>
                  </w:pict>
                </mc:Fallback>
              </mc:AlternateContent>
            </w:r>
            <w:r w:rsidR="0000060D" w:rsidRPr="007A5D8C">
              <w:rPr>
                <w:rFonts w:ascii="Times New Roman" w:hAnsi="Times New Roman" w:cs="Times New Roman"/>
                <w:b/>
                <w:sz w:val="20"/>
                <w:szCs w:val="20"/>
              </w:rPr>
              <w:t xml:space="preserve">                   Years                  Frequency                             Percentage</w:t>
            </w:r>
          </w:p>
        </w:tc>
      </w:tr>
      <w:tr w:rsidR="0000060D" w:rsidRPr="007A5D8C" w14:paraId="0732B8F3" w14:textId="77777777" w:rsidTr="0000060D">
        <w:trPr>
          <w:trHeight w:val="1902"/>
          <w:jc w:val="center"/>
        </w:trPr>
        <w:tc>
          <w:tcPr>
            <w:tcW w:w="3827" w:type="dxa"/>
          </w:tcPr>
          <w:p w14:paraId="500DC3A4" w14:textId="77777777" w:rsidR="0000060D" w:rsidRPr="007A5D8C" w:rsidRDefault="0000060D" w:rsidP="007A5D8C">
            <w:pPr>
              <w:spacing w:after="0" w:line="240" w:lineRule="auto"/>
              <w:rPr>
                <w:rFonts w:ascii="Times New Roman" w:hAnsi="Times New Roman" w:cs="Times New Roman"/>
                <w:sz w:val="20"/>
                <w:szCs w:val="20"/>
              </w:rPr>
            </w:pPr>
            <w:r w:rsidRPr="007A5D8C">
              <w:rPr>
                <w:rFonts w:ascii="Times New Roman" w:hAnsi="Times New Roman" w:cs="Times New Roman"/>
                <w:sz w:val="20"/>
                <w:szCs w:val="20"/>
              </w:rPr>
              <w:t xml:space="preserve">                          About 5yrs</w:t>
            </w:r>
          </w:p>
          <w:p w14:paraId="3B175C52" w14:textId="77777777" w:rsidR="0000060D" w:rsidRPr="007A5D8C" w:rsidRDefault="0000060D" w:rsidP="007A5D8C">
            <w:pPr>
              <w:spacing w:after="0" w:line="240" w:lineRule="auto"/>
              <w:rPr>
                <w:rFonts w:ascii="Times New Roman" w:hAnsi="Times New Roman" w:cs="Times New Roman"/>
                <w:sz w:val="20"/>
                <w:szCs w:val="20"/>
              </w:rPr>
            </w:pPr>
            <w:r w:rsidRPr="007A5D8C">
              <w:rPr>
                <w:rFonts w:ascii="Times New Roman" w:hAnsi="Times New Roman" w:cs="Times New Roman"/>
                <w:sz w:val="20"/>
                <w:szCs w:val="20"/>
              </w:rPr>
              <w:t xml:space="preserve">                           10years</w:t>
            </w:r>
          </w:p>
          <w:p w14:paraId="0A3D854B" w14:textId="77777777" w:rsidR="0000060D" w:rsidRPr="007A5D8C" w:rsidRDefault="0000060D" w:rsidP="007A5D8C">
            <w:pPr>
              <w:spacing w:after="0" w:line="240" w:lineRule="auto"/>
              <w:rPr>
                <w:rFonts w:ascii="Times New Roman" w:hAnsi="Times New Roman" w:cs="Times New Roman"/>
                <w:sz w:val="20"/>
                <w:szCs w:val="20"/>
              </w:rPr>
            </w:pPr>
            <w:r w:rsidRPr="007A5D8C">
              <w:rPr>
                <w:rFonts w:ascii="Times New Roman" w:hAnsi="Times New Roman" w:cs="Times New Roman"/>
                <w:sz w:val="20"/>
                <w:szCs w:val="20"/>
              </w:rPr>
              <w:t xml:space="preserve">                           15years</w:t>
            </w:r>
          </w:p>
          <w:p w14:paraId="752F3701" w14:textId="77777777" w:rsidR="0000060D" w:rsidRPr="007A5D8C" w:rsidRDefault="0000060D" w:rsidP="007A5D8C">
            <w:pPr>
              <w:spacing w:after="0" w:line="240" w:lineRule="auto"/>
              <w:rPr>
                <w:rFonts w:ascii="Times New Roman" w:hAnsi="Times New Roman" w:cs="Times New Roman"/>
                <w:sz w:val="20"/>
                <w:szCs w:val="20"/>
              </w:rPr>
            </w:pPr>
            <w:r w:rsidRPr="007A5D8C">
              <w:rPr>
                <w:rFonts w:ascii="Times New Roman" w:hAnsi="Times New Roman" w:cs="Times New Roman"/>
                <w:noProof/>
                <w:sz w:val="20"/>
                <w:szCs w:val="20"/>
                <w:lang w:eastAsia="en-GB"/>
              </w:rPr>
              <mc:AlternateContent>
                <mc:Choice Requires="wps">
                  <w:drawing>
                    <wp:anchor distT="0" distB="0" distL="114300" distR="114300" simplePos="0" relativeHeight="251688960" behindDoc="0" locked="0" layoutInCell="1" allowOverlap="1" wp14:anchorId="5508D825" wp14:editId="4F58DF74">
                      <wp:simplePos x="0" y="0"/>
                      <wp:positionH relativeFrom="column">
                        <wp:posOffset>381635</wp:posOffset>
                      </wp:positionH>
                      <wp:positionV relativeFrom="paragraph">
                        <wp:posOffset>325120</wp:posOffset>
                      </wp:positionV>
                      <wp:extent cx="4697730" cy="635"/>
                      <wp:effectExtent l="20955" t="15875" r="15240" b="21590"/>
                      <wp:wrapNone/>
                      <wp:docPr id="80782286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97730" cy="635"/>
                              </a:xfrm>
                              <a:prstGeom prst="bentConnector3">
                                <a:avLst>
                                  <a:gd name="adj1" fmla="val 50000"/>
                                </a:avLst>
                              </a:prstGeom>
                              <a:noFill/>
                              <a:ln w="2857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111E95" id="Straight Arrow Connector 33" o:spid="_x0000_s1026" type="#_x0000_t34" style="position:absolute;margin-left:30.05pt;margin-top:25.6pt;width:369.9pt;height:.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" strokeweight="2.25pt"/>
                  </w:pict>
                </mc:Fallback>
              </mc:AlternateContent>
            </w:r>
            <w:r w:rsidRPr="007A5D8C">
              <w:rPr>
                <w:rFonts w:ascii="Times New Roman" w:hAnsi="Times New Roman" w:cs="Times New Roman"/>
                <w:b/>
                <w:sz w:val="20"/>
                <w:szCs w:val="20"/>
              </w:rPr>
              <w:t xml:space="preserve">                            Total</w:t>
            </w:r>
          </w:p>
        </w:tc>
        <w:tc>
          <w:tcPr>
            <w:tcW w:w="2268" w:type="dxa"/>
          </w:tcPr>
          <w:p w14:paraId="2F5E1A60" w14:textId="77777777" w:rsidR="0000060D" w:rsidRPr="007A5D8C" w:rsidRDefault="0000060D" w:rsidP="007A5D8C">
            <w:pPr>
              <w:spacing w:after="0" w:line="240" w:lineRule="auto"/>
              <w:rPr>
                <w:rFonts w:ascii="Times New Roman" w:hAnsi="Times New Roman" w:cs="Times New Roman"/>
                <w:sz w:val="20"/>
                <w:szCs w:val="20"/>
              </w:rPr>
            </w:pPr>
            <w:r w:rsidRPr="007A5D8C">
              <w:rPr>
                <w:rFonts w:ascii="Times New Roman" w:hAnsi="Times New Roman" w:cs="Times New Roman"/>
                <w:sz w:val="20"/>
                <w:szCs w:val="20"/>
              </w:rPr>
              <w:t>30</w:t>
            </w:r>
          </w:p>
          <w:p w14:paraId="482695D6" w14:textId="77777777" w:rsidR="0000060D" w:rsidRPr="007A5D8C" w:rsidRDefault="0000060D" w:rsidP="007A5D8C">
            <w:pPr>
              <w:spacing w:after="0" w:line="240" w:lineRule="auto"/>
              <w:rPr>
                <w:rFonts w:ascii="Times New Roman" w:hAnsi="Times New Roman" w:cs="Times New Roman"/>
                <w:sz w:val="20"/>
                <w:szCs w:val="20"/>
              </w:rPr>
            </w:pPr>
            <w:r w:rsidRPr="007A5D8C">
              <w:rPr>
                <w:rFonts w:ascii="Times New Roman" w:hAnsi="Times New Roman" w:cs="Times New Roman"/>
                <w:sz w:val="20"/>
                <w:szCs w:val="20"/>
              </w:rPr>
              <w:t>40</w:t>
            </w:r>
          </w:p>
          <w:p w14:paraId="0B4F1F18" w14:textId="77777777" w:rsidR="0000060D" w:rsidRPr="007A5D8C" w:rsidRDefault="0000060D" w:rsidP="007A5D8C">
            <w:pPr>
              <w:spacing w:after="0" w:line="240" w:lineRule="auto"/>
              <w:rPr>
                <w:rFonts w:ascii="Times New Roman" w:hAnsi="Times New Roman" w:cs="Times New Roman"/>
                <w:sz w:val="20"/>
                <w:szCs w:val="20"/>
              </w:rPr>
            </w:pPr>
            <w:r w:rsidRPr="007A5D8C">
              <w:rPr>
                <w:rFonts w:ascii="Times New Roman" w:hAnsi="Times New Roman" w:cs="Times New Roman"/>
                <w:sz w:val="20"/>
                <w:szCs w:val="20"/>
              </w:rPr>
              <w:t>22</w:t>
            </w:r>
          </w:p>
          <w:p w14:paraId="756881DB" w14:textId="77777777" w:rsidR="0000060D" w:rsidRPr="007A5D8C" w:rsidRDefault="0000060D" w:rsidP="007A5D8C">
            <w:pPr>
              <w:spacing w:after="0" w:line="240" w:lineRule="auto"/>
              <w:rPr>
                <w:rFonts w:ascii="Times New Roman" w:hAnsi="Times New Roman" w:cs="Times New Roman"/>
                <w:b/>
                <w:sz w:val="20"/>
                <w:szCs w:val="20"/>
              </w:rPr>
            </w:pPr>
            <w:r w:rsidRPr="007A5D8C">
              <w:rPr>
                <w:rFonts w:ascii="Times New Roman" w:hAnsi="Times New Roman" w:cs="Times New Roman"/>
                <w:b/>
                <w:sz w:val="20"/>
                <w:szCs w:val="20"/>
              </w:rPr>
              <w:t>92</w:t>
            </w:r>
          </w:p>
        </w:tc>
        <w:tc>
          <w:tcPr>
            <w:tcW w:w="2127" w:type="dxa"/>
          </w:tcPr>
          <w:p w14:paraId="454A99DB" w14:textId="77777777" w:rsidR="0000060D" w:rsidRPr="007A5D8C" w:rsidRDefault="0000060D" w:rsidP="007A5D8C">
            <w:pPr>
              <w:spacing w:after="0" w:line="240" w:lineRule="auto"/>
              <w:rPr>
                <w:rFonts w:ascii="Times New Roman" w:hAnsi="Times New Roman" w:cs="Times New Roman"/>
                <w:sz w:val="20"/>
                <w:szCs w:val="20"/>
              </w:rPr>
            </w:pPr>
            <w:r w:rsidRPr="007A5D8C">
              <w:rPr>
                <w:rFonts w:ascii="Times New Roman" w:hAnsi="Times New Roman" w:cs="Times New Roman"/>
                <w:sz w:val="20"/>
                <w:szCs w:val="20"/>
              </w:rPr>
              <w:t xml:space="preserve">           32.61</w:t>
            </w:r>
          </w:p>
          <w:p w14:paraId="59FD4498" w14:textId="77777777" w:rsidR="0000060D" w:rsidRPr="007A5D8C" w:rsidRDefault="0000060D" w:rsidP="007A5D8C">
            <w:pPr>
              <w:spacing w:after="0" w:line="240" w:lineRule="auto"/>
              <w:rPr>
                <w:rFonts w:ascii="Times New Roman" w:hAnsi="Times New Roman" w:cs="Times New Roman"/>
                <w:sz w:val="20"/>
                <w:szCs w:val="20"/>
              </w:rPr>
            </w:pPr>
            <w:r w:rsidRPr="007A5D8C">
              <w:rPr>
                <w:rFonts w:ascii="Times New Roman" w:hAnsi="Times New Roman" w:cs="Times New Roman"/>
                <w:sz w:val="20"/>
                <w:szCs w:val="20"/>
              </w:rPr>
              <w:t xml:space="preserve">          43.48</w:t>
            </w:r>
          </w:p>
          <w:p w14:paraId="643D537B" w14:textId="77777777" w:rsidR="0000060D" w:rsidRPr="007A5D8C" w:rsidRDefault="0000060D" w:rsidP="007A5D8C">
            <w:pPr>
              <w:spacing w:after="0" w:line="240" w:lineRule="auto"/>
              <w:rPr>
                <w:rFonts w:ascii="Times New Roman" w:hAnsi="Times New Roman" w:cs="Times New Roman"/>
                <w:sz w:val="20"/>
                <w:szCs w:val="20"/>
              </w:rPr>
            </w:pPr>
            <w:r w:rsidRPr="007A5D8C">
              <w:rPr>
                <w:rFonts w:ascii="Times New Roman" w:hAnsi="Times New Roman" w:cs="Times New Roman"/>
                <w:sz w:val="20"/>
                <w:szCs w:val="20"/>
              </w:rPr>
              <w:t xml:space="preserve">           23.91</w:t>
            </w:r>
          </w:p>
          <w:p w14:paraId="1FB894D7" w14:textId="77777777" w:rsidR="0000060D" w:rsidRPr="007A5D8C" w:rsidRDefault="0000060D" w:rsidP="007A5D8C">
            <w:pPr>
              <w:spacing w:after="0" w:line="240" w:lineRule="auto"/>
              <w:rPr>
                <w:rFonts w:ascii="Times New Roman" w:hAnsi="Times New Roman" w:cs="Times New Roman"/>
                <w:b/>
                <w:sz w:val="20"/>
                <w:szCs w:val="20"/>
              </w:rPr>
            </w:pPr>
            <w:r w:rsidRPr="007A5D8C">
              <w:rPr>
                <w:rFonts w:ascii="Times New Roman" w:hAnsi="Times New Roman" w:cs="Times New Roman"/>
                <w:b/>
                <w:sz w:val="20"/>
                <w:szCs w:val="20"/>
              </w:rPr>
              <w:t xml:space="preserve">           100.00</w:t>
            </w:r>
          </w:p>
        </w:tc>
      </w:tr>
    </w:tbl>
    <w:p w14:paraId="3FEE08A3" w14:textId="77777777" w:rsidR="0000060D" w:rsidRPr="007A5D8C" w:rsidRDefault="0000060D" w:rsidP="007A5D8C">
      <w:pPr>
        <w:spacing w:after="0" w:line="240" w:lineRule="auto"/>
        <w:jc w:val="center"/>
        <w:rPr>
          <w:rFonts w:ascii="Times New Roman" w:hAnsi="Times New Roman" w:cs="Times New Roman"/>
          <w:bCs/>
          <w:sz w:val="24"/>
          <w:szCs w:val="24"/>
        </w:rPr>
      </w:pPr>
      <w:r w:rsidRPr="007A5D8C">
        <w:rPr>
          <w:rFonts w:ascii="Times New Roman" w:hAnsi="Times New Roman" w:cs="Times New Roman"/>
          <w:bCs/>
          <w:sz w:val="24"/>
          <w:szCs w:val="24"/>
        </w:rPr>
        <w:t>Source: Field survey, 2025</w:t>
      </w:r>
    </w:p>
    <w:p w14:paraId="29CE1E32" w14:textId="77777777" w:rsidR="0000060D" w:rsidRPr="00BE4AF3" w:rsidRDefault="0000060D" w:rsidP="007A5D8C">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The respondents that constitute 67.39% of the total population have more about ten years and above working experience (Table 3). This indicates that, they have enough experience to answer the questionnaire.</w:t>
      </w:r>
    </w:p>
    <w:p w14:paraId="466E9940" w14:textId="77777777" w:rsidR="0000060D" w:rsidRPr="00BE4AF3" w:rsidRDefault="0000060D" w:rsidP="007A5D8C">
      <w:pPr>
        <w:spacing w:after="0" w:line="240" w:lineRule="auto"/>
        <w:rPr>
          <w:rFonts w:ascii="Times New Roman" w:hAnsi="Times New Roman" w:cs="Times New Roman"/>
          <w:sz w:val="24"/>
          <w:szCs w:val="24"/>
        </w:rPr>
      </w:pPr>
    </w:p>
    <w:p w14:paraId="1BFA111B" w14:textId="77777777" w:rsidR="0000060D" w:rsidRPr="00BE4AF3" w:rsidRDefault="0000060D" w:rsidP="007A5D8C">
      <w:pPr>
        <w:spacing w:after="0" w:line="240" w:lineRule="auto"/>
        <w:rPr>
          <w:rFonts w:ascii="Times New Roman" w:hAnsi="Times New Roman" w:cs="Times New Roman"/>
          <w:sz w:val="24"/>
          <w:szCs w:val="24"/>
        </w:rPr>
      </w:pPr>
      <w:r w:rsidRPr="00BE4AF3">
        <w:rPr>
          <w:rFonts w:ascii="Times New Roman" w:hAnsi="Times New Roman" w:cs="Times New Roman"/>
          <w:b/>
          <w:sz w:val="24"/>
          <w:szCs w:val="24"/>
        </w:rPr>
        <w:t xml:space="preserve">               Table 4: </w:t>
      </w:r>
      <w:r w:rsidRPr="00BE4AF3">
        <w:rPr>
          <w:rFonts w:ascii="Times New Roman" w:hAnsi="Times New Roman" w:cs="Times New Roman"/>
          <w:sz w:val="24"/>
          <w:szCs w:val="24"/>
        </w:rPr>
        <w:t>Professional Membership of the respondents</w:t>
      </w:r>
    </w:p>
    <w:tbl>
      <w:tblPr>
        <w:tblpPr w:leftFromText="180" w:rightFromText="180" w:vertAnchor="text" w:horzAnchor="margin" w:tblpX="828" w:tblpY="188"/>
        <w:tblW w:w="0" w:type="auto"/>
        <w:tblLook w:val="04A0" w:firstRow="1" w:lastRow="0" w:firstColumn="1" w:lastColumn="0" w:noHBand="0" w:noVBand="1"/>
      </w:tblPr>
      <w:tblGrid>
        <w:gridCol w:w="2012"/>
        <w:gridCol w:w="2841"/>
        <w:gridCol w:w="2841"/>
      </w:tblGrid>
      <w:tr w:rsidR="0000060D" w:rsidRPr="007A5D8C" w14:paraId="54A233B7" w14:textId="77777777" w:rsidTr="0000060D">
        <w:tc>
          <w:tcPr>
            <w:tcW w:w="2012" w:type="dxa"/>
          </w:tcPr>
          <w:p w14:paraId="636EFF04" w14:textId="77777777" w:rsidR="0000060D" w:rsidRPr="007A5D8C" w:rsidRDefault="0000060D" w:rsidP="007A5D8C">
            <w:pPr>
              <w:spacing w:after="0" w:line="240" w:lineRule="auto"/>
              <w:jc w:val="center"/>
              <w:rPr>
                <w:rFonts w:ascii="Times New Roman" w:hAnsi="Times New Roman" w:cs="Times New Roman"/>
                <w:b/>
                <w:sz w:val="20"/>
                <w:szCs w:val="20"/>
              </w:rPr>
            </w:pPr>
            <w:r w:rsidRPr="007A5D8C">
              <w:rPr>
                <w:rFonts w:ascii="Times New Roman" w:hAnsi="Times New Roman" w:cs="Times New Roman"/>
                <w:noProof/>
                <w:sz w:val="20"/>
                <w:szCs w:val="20"/>
                <w:lang w:eastAsia="en-GB"/>
              </w:rPr>
              <mc:AlternateContent>
                <mc:Choice Requires="wps">
                  <w:drawing>
                    <wp:anchor distT="0" distB="0" distL="114300" distR="114300" simplePos="0" relativeHeight="251691008" behindDoc="0" locked="0" layoutInCell="1" allowOverlap="1" wp14:anchorId="1F814114" wp14:editId="3CAA713C">
                      <wp:simplePos x="0" y="0"/>
                      <wp:positionH relativeFrom="column">
                        <wp:posOffset>-139700</wp:posOffset>
                      </wp:positionH>
                      <wp:positionV relativeFrom="paragraph">
                        <wp:posOffset>248285</wp:posOffset>
                      </wp:positionV>
                      <wp:extent cx="5407660" cy="635"/>
                      <wp:effectExtent l="23495" t="20955" r="17145" b="16510"/>
                      <wp:wrapNone/>
                      <wp:docPr id="807822864" name="Straight Arrow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07660" cy="635"/>
                              </a:xfrm>
                              <a:prstGeom prst="bentConnector3">
                                <a:avLst>
                                  <a:gd name="adj1" fmla="val 50000"/>
                                </a:avLst>
                              </a:prstGeom>
                              <a:noFill/>
                              <a:ln w="2857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E7250E" id="Straight Arrow Connector 29" o:spid="_x0000_s1026" type="#_x0000_t34" style="position:absolute;margin-left:-11pt;margin-top:19.55pt;width:425.8pt;height:.05pt;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" strokeweight="2.25pt"/>
                  </w:pict>
                </mc:Fallback>
              </mc:AlternateContent>
            </w:r>
            <w:r w:rsidRPr="007A5D8C">
              <w:rPr>
                <w:rFonts w:ascii="Times New Roman" w:hAnsi="Times New Roman" w:cs="Times New Roman"/>
                <w:b/>
                <w:sz w:val="20"/>
                <w:szCs w:val="20"/>
              </w:rPr>
              <w:t>Profession</w:t>
            </w:r>
          </w:p>
        </w:tc>
        <w:tc>
          <w:tcPr>
            <w:tcW w:w="2841" w:type="dxa"/>
          </w:tcPr>
          <w:p w14:paraId="343A1DDC" w14:textId="77777777" w:rsidR="0000060D" w:rsidRPr="007A5D8C" w:rsidRDefault="0000060D" w:rsidP="007A5D8C">
            <w:pPr>
              <w:spacing w:after="0" w:line="240" w:lineRule="auto"/>
              <w:jc w:val="center"/>
              <w:rPr>
                <w:rFonts w:ascii="Times New Roman" w:hAnsi="Times New Roman" w:cs="Times New Roman"/>
                <w:b/>
                <w:sz w:val="20"/>
                <w:szCs w:val="20"/>
              </w:rPr>
            </w:pPr>
            <w:r w:rsidRPr="007A5D8C">
              <w:rPr>
                <w:rFonts w:ascii="Times New Roman" w:hAnsi="Times New Roman" w:cs="Times New Roman"/>
                <w:b/>
                <w:sz w:val="20"/>
                <w:szCs w:val="20"/>
              </w:rPr>
              <w:t>Frequency</w:t>
            </w:r>
          </w:p>
        </w:tc>
        <w:tc>
          <w:tcPr>
            <w:tcW w:w="2841" w:type="dxa"/>
          </w:tcPr>
          <w:p w14:paraId="34985FDB" w14:textId="77777777" w:rsidR="0000060D" w:rsidRPr="007A5D8C" w:rsidRDefault="0000060D" w:rsidP="007A5D8C">
            <w:pPr>
              <w:spacing w:after="0" w:line="240" w:lineRule="auto"/>
              <w:jc w:val="center"/>
              <w:rPr>
                <w:rFonts w:ascii="Times New Roman" w:hAnsi="Times New Roman" w:cs="Times New Roman"/>
                <w:b/>
                <w:sz w:val="20"/>
                <w:szCs w:val="20"/>
              </w:rPr>
            </w:pPr>
            <w:r w:rsidRPr="007A5D8C">
              <w:rPr>
                <w:rFonts w:ascii="Times New Roman" w:hAnsi="Times New Roman" w:cs="Times New Roman"/>
                <w:b/>
                <w:sz w:val="20"/>
                <w:szCs w:val="20"/>
              </w:rPr>
              <w:t>Percentage</w:t>
            </w:r>
          </w:p>
        </w:tc>
      </w:tr>
      <w:tr w:rsidR="0000060D" w:rsidRPr="007A5D8C" w14:paraId="5FC2F52B" w14:textId="77777777" w:rsidTr="0000060D">
        <w:tc>
          <w:tcPr>
            <w:tcW w:w="2012" w:type="dxa"/>
          </w:tcPr>
          <w:p w14:paraId="6DA6E78B" w14:textId="77777777" w:rsidR="0000060D" w:rsidRPr="007A5D8C" w:rsidRDefault="0000060D" w:rsidP="007A5D8C">
            <w:pPr>
              <w:spacing w:after="0" w:line="240" w:lineRule="auto"/>
              <w:jc w:val="center"/>
              <w:rPr>
                <w:rFonts w:ascii="Times New Roman" w:hAnsi="Times New Roman" w:cs="Times New Roman"/>
                <w:sz w:val="20"/>
                <w:szCs w:val="20"/>
              </w:rPr>
            </w:pPr>
            <w:r w:rsidRPr="007A5D8C">
              <w:rPr>
                <w:rFonts w:ascii="Times New Roman" w:hAnsi="Times New Roman" w:cs="Times New Roman"/>
                <w:sz w:val="20"/>
                <w:szCs w:val="20"/>
              </w:rPr>
              <w:t>NIA</w:t>
            </w:r>
          </w:p>
        </w:tc>
        <w:tc>
          <w:tcPr>
            <w:tcW w:w="2841" w:type="dxa"/>
          </w:tcPr>
          <w:p w14:paraId="370DA733" w14:textId="77777777" w:rsidR="0000060D" w:rsidRPr="007A5D8C" w:rsidRDefault="0000060D" w:rsidP="007A5D8C">
            <w:pPr>
              <w:spacing w:after="0" w:line="240" w:lineRule="auto"/>
              <w:jc w:val="center"/>
              <w:rPr>
                <w:rFonts w:ascii="Times New Roman" w:hAnsi="Times New Roman" w:cs="Times New Roman"/>
                <w:sz w:val="20"/>
                <w:szCs w:val="20"/>
              </w:rPr>
            </w:pPr>
            <w:r w:rsidRPr="007A5D8C">
              <w:rPr>
                <w:rFonts w:ascii="Times New Roman" w:hAnsi="Times New Roman" w:cs="Times New Roman"/>
                <w:sz w:val="20"/>
                <w:szCs w:val="20"/>
              </w:rPr>
              <w:t>10</w:t>
            </w:r>
          </w:p>
        </w:tc>
        <w:tc>
          <w:tcPr>
            <w:tcW w:w="2841" w:type="dxa"/>
          </w:tcPr>
          <w:p w14:paraId="21D411FE" w14:textId="77777777" w:rsidR="0000060D" w:rsidRPr="007A5D8C" w:rsidRDefault="0000060D" w:rsidP="007A5D8C">
            <w:pPr>
              <w:spacing w:after="0" w:line="240" w:lineRule="auto"/>
              <w:jc w:val="center"/>
              <w:rPr>
                <w:rFonts w:ascii="Times New Roman" w:hAnsi="Times New Roman" w:cs="Times New Roman"/>
                <w:sz w:val="20"/>
                <w:szCs w:val="20"/>
              </w:rPr>
            </w:pPr>
            <w:r w:rsidRPr="007A5D8C">
              <w:rPr>
                <w:rFonts w:ascii="Times New Roman" w:hAnsi="Times New Roman" w:cs="Times New Roman"/>
                <w:sz w:val="20"/>
                <w:szCs w:val="20"/>
              </w:rPr>
              <w:t>10.87</w:t>
            </w:r>
          </w:p>
        </w:tc>
      </w:tr>
      <w:tr w:rsidR="0000060D" w:rsidRPr="007A5D8C" w14:paraId="3C69BE38" w14:textId="77777777" w:rsidTr="0000060D">
        <w:tc>
          <w:tcPr>
            <w:tcW w:w="2012" w:type="dxa"/>
          </w:tcPr>
          <w:p w14:paraId="55445FCA" w14:textId="77777777" w:rsidR="0000060D" w:rsidRPr="007A5D8C" w:rsidRDefault="0000060D" w:rsidP="007A5D8C">
            <w:pPr>
              <w:spacing w:after="0" w:line="240" w:lineRule="auto"/>
              <w:jc w:val="center"/>
              <w:rPr>
                <w:rFonts w:ascii="Times New Roman" w:hAnsi="Times New Roman" w:cs="Times New Roman"/>
                <w:sz w:val="20"/>
                <w:szCs w:val="20"/>
              </w:rPr>
            </w:pPr>
            <w:r w:rsidRPr="007A5D8C">
              <w:rPr>
                <w:rFonts w:ascii="Times New Roman" w:hAnsi="Times New Roman" w:cs="Times New Roman"/>
                <w:sz w:val="20"/>
                <w:szCs w:val="20"/>
              </w:rPr>
              <w:t>NSE</w:t>
            </w:r>
          </w:p>
        </w:tc>
        <w:tc>
          <w:tcPr>
            <w:tcW w:w="2841" w:type="dxa"/>
          </w:tcPr>
          <w:p w14:paraId="3B1BBB2C" w14:textId="77777777" w:rsidR="0000060D" w:rsidRPr="007A5D8C" w:rsidRDefault="0000060D" w:rsidP="007A5D8C">
            <w:pPr>
              <w:spacing w:after="0" w:line="240" w:lineRule="auto"/>
              <w:jc w:val="center"/>
              <w:rPr>
                <w:rFonts w:ascii="Times New Roman" w:hAnsi="Times New Roman" w:cs="Times New Roman"/>
                <w:b/>
                <w:sz w:val="20"/>
                <w:szCs w:val="20"/>
              </w:rPr>
            </w:pPr>
            <w:r w:rsidRPr="007A5D8C">
              <w:rPr>
                <w:rFonts w:ascii="Times New Roman" w:hAnsi="Times New Roman" w:cs="Times New Roman"/>
                <w:sz w:val="20"/>
                <w:szCs w:val="20"/>
              </w:rPr>
              <w:t>50</w:t>
            </w:r>
          </w:p>
        </w:tc>
        <w:tc>
          <w:tcPr>
            <w:tcW w:w="2841" w:type="dxa"/>
          </w:tcPr>
          <w:p w14:paraId="31E86B51" w14:textId="77777777" w:rsidR="0000060D" w:rsidRPr="007A5D8C" w:rsidRDefault="0000060D" w:rsidP="007A5D8C">
            <w:pPr>
              <w:spacing w:after="0" w:line="240" w:lineRule="auto"/>
              <w:jc w:val="center"/>
              <w:rPr>
                <w:rFonts w:ascii="Times New Roman" w:hAnsi="Times New Roman" w:cs="Times New Roman"/>
                <w:sz w:val="20"/>
                <w:szCs w:val="20"/>
              </w:rPr>
            </w:pPr>
            <w:r w:rsidRPr="007A5D8C">
              <w:rPr>
                <w:rFonts w:ascii="Times New Roman" w:hAnsi="Times New Roman" w:cs="Times New Roman"/>
                <w:sz w:val="20"/>
                <w:szCs w:val="20"/>
              </w:rPr>
              <w:t>54</w:t>
            </w:r>
            <w:r w:rsidRPr="007A5D8C">
              <w:rPr>
                <w:rFonts w:ascii="Times New Roman" w:hAnsi="Times New Roman" w:cs="Times New Roman"/>
                <w:b/>
                <w:sz w:val="20"/>
                <w:szCs w:val="20"/>
              </w:rPr>
              <w:t>.</w:t>
            </w:r>
            <w:r w:rsidRPr="007A5D8C">
              <w:rPr>
                <w:rFonts w:ascii="Times New Roman" w:hAnsi="Times New Roman" w:cs="Times New Roman"/>
                <w:sz w:val="20"/>
                <w:szCs w:val="20"/>
              </w:rPr>
              <w:t>35</w:t>
            </w:r>
          </w:p>
        </w:tc>
      </w:tr>
      <w:tr w:rsidR="0000060D" w:rsidRPr="007A5D8C" w14:paraId="32EF233F" w14:textId="77777777" w:rsidTr="0000060D">
        <w:tc>
          <w:tcPr>
            <w:tcW w:w="2012" w:type="dxa"/>
          </w:tcPr>
          <w:p w14:paraId="3FB3423C" w14:textId="77777777" w:rsidR="0000060D" w:rsidRPr="007A5D8C" w:rsidRDefault="0000060D" w:rsidP="007A5D8C">
            <w:pPr>
              <w:spacing w:after="0" w:line="240" w:lineRule="auto"/>
              <w:jc w:val="center"/>
              <w:rPr>
                <w:rFonts w:ascii="Times New Roman" w:hAnsi="Times New Roman" w:cs="Times New Roman"/>
                <w:b/>
                <w:sz w:val="20"/>
                <w:szCs w:val="20"/>
              </w:rPr>
            </w:pPr>
            <w:r w:rsidRPr="007A5D8C">
              <w:rPr>
                <w:rFonts w:ascii="Times New Roman" w:hAnsi="Times New Roman" w:cs="Times New Roman"/>
                <w:sz w:val="20"/>
                <w:szCs w:val="20"/>
              </w:rPr>
              <w:t>Others</w:t>
            </w:r>
          </w:p>
        </w:tc>
        <w:tc>
          <w:tcPr>
            <w:tcW w:w="2841" w:type="dxa"/>
          </w:tcPr>
          <w:p w14:paraId="5B00D41B" w14:textId="77777777" w:rsidR="0000060D" w:rsidRPr="007A5D8C" w:rsidRDefault="0000060D" w:rsidP="007A5D8C">
            <w:pPr>
              <w:spacing w:after="0" w:line="240" w:lineRule="auto"/>
              <w:jc w:val="center"/>
              <w:rPr>
                <w:rFonts w:ascii="Times New Roman" w:hAnsi="Times New Roman" w:cs="Times New Roman"/>
                <w:sz w:val="20"/>
                <w:szCs w:val="20"/>
              </w:rPr>
            </w:pPr>
            <w:r w:rsidRPr="007A5D8C">
              <w:rPr>
                <w:rFonts w:ascii="Times New Roman" w:hAnsi="Times New Roman" w:cs="Times New Roman"/>
                <w:sz w:val="20"/>
                <w:szCs w:val="20"/>
              </w:rPr>
              <w:t>04</w:t>
            </w:r>
          </w:p>
        </w:tc>
        <w:tc>
          <w:tcPr>
            <w:tcW w:w="2841" w:type="dxa"/>
          </w:tcPr>
          <w:p w14:paraId="49D6079E" w14:textId="77777777" w:rsidR="0000060D" w:rsidRPr="007A5D8C" w:rsidRDefault="0000060D" w:rsidP="007A5D8C">
            <w:pPr>
              <w:spacing w:after="0" w:line="240" w:lineRule="auto"/>
              <w:jc w:val="center"/>
              <w:rPr>
                <w:rFonts w:ascii="Times New Roman" w:hAnsi="Times New Roman" w:cs="Times New Roman"/>
                <w:sz w:val="20"/>
                <w:szCs w:val="20"/>
              </w:rPr>
            </w:pPr>
            <w:r w:rsidRPr="007A5D8C">
              <w:rPr>
                <w:rFonts w:ascii="Times New Roman" w:hAnsi="Times New Roman" w:cs="Times New Roman"/>
                <w:sz w:val="20"/>
                <w:szCs w:val="20"/>
              </w:rPr>
              <w:t>04.35</w:t>
            </w:r>
          </w:p>
        </w:tc>
      </w:tr>
      <w:tr w:rsidR="0000060D" w:rsidRPr="007A5D8C" w14:paraId="6497B642" w14:textId="77777777" w:rsidTr="0000060D">
        <w:tc>
          <w:tcPr>
            <w:tcW w:w="2012" w:type="dxa"/>
          </w:tcPr>
          <w:p w14:paraId="1B28027A" w14:textId="77777777" w:rsidR="0000060D" w:rsidRPr="007A5D8C" w:rsidRDefault="0000060D" w:rsidP="007A5D8C">
            <w:pPr>
              <w:spacing w:after="0" w:line="240" w:lineRule="auto"/>
              <w:jc w:val="center"/>
              <w:rPr>
                <w:rFonts w:ascii="Times New Roman" w:hAnsi="Times New Roman" w:cs="Times New Roman"/>
                <w:sz w:val="20"/>
                <w:szCs w:val="20"/>
              </w:rPr>
            </w:pPr>
            <w:r w:rsidRPr="007A5D8C">
              <w:rPr>
                <w:rFonts w:ascii="Times New Roman" w:hAnsi="Times New Roman" w:cs="Times New Roman"/>
                <w:sz w:val="20"/>
                <w:szCs w:val="20"/>
              </w:rPr>
              <w:t>NIOB</w:t>
            </w:r>
          </w:p>
        </w:tc>
        <w:tc>
          <w:tcPr>
            <w:tcW w:w="2841" w:type="dxa"/>
          </w:tcPr>
          <w:p w14:paraId="68F3CCF2" w14:textId="77777777" w:rsidR="0000060D" w:rsidRPr="007A5D8C" w:rsidRDefault="0000060D" w:rsidP="007A5D8C">
            <w:pPr>
              <w:spacing w:after="0" w:line="240" w:lineRule="auto"/>
              <w:jc w:val="center"/>
              <w:rPr>
                <w:rFonts w:ascii="Times New Roman" w:hAnsi="Times New Roman" w:cs="Times New Roman"/>
                <w:b/>
                <w:sz w:val="20"/>
                <w:szCs w:val="20"/>
              </w:rPr>
            </w:pPr>
            <w:r w:rsidRPr="007A5D8C">
              <w:rPr>
                <w:rFonts w:ascii="Times New Roman" w:hAnsi="Times New Roman" w:cs="Times New Roman"/>
                <w:sz w:val="20"/>
                <w:szCs w:val="20"/>
              </w:rPr>
              <w:t>28</w:t>
            </w:r>
          </w:p>
        </w:tc>
        <w:tc>
          <w:tcPr>
            <w:tcW w:w="2841" w:type="dxa"/>
          </w:tcPr>
          <w:p w14:paraId="6C0A5CD1" w14:textId="77777777" w:rsidR="0000060D" w:rsidRPr="007A5D8C" w:rsidRDefault="0000060D" w:rsidP="007A5D8C">
            <w:pPr>
              <w:spacing w:after="0" w:line="240" w:lineRule="auto"/>
              <w:jc w:val="center"/>
              <w:rPr>
                <w:rFonts w:ascii="Times New Roman" w:hAnsi="Times New Roman" w:cs="Times New Roman"/>
                <w:sz w:val="20"/>
                <w:szCs w:val="20"/>
              </w:rPr>
            </w:pPr>
            <w:r w:rsidRPr="007A5D8C">
              <w:rPr>
                <w:rFonts w:ascii="Times New Roman" w:hAnsi="Times New Roman" w:cs="Times New Roman"/>
                <w:sz w:val="20"/>
                <w:szCs w:val="20"/>
              </w:rPr>
              <w:t>30.43</w:t>
            </w:r>
          </w:p>
        </w:tc>
      </w:tr>
      <w:tr w:rsidR="0000060D" w:rsidRPr="007A5D8C" w14:paraId="08F6194E" w14:textId="77777777" w:rsidTr="0000060D">
        <w:tc>
          <w:tcPr>
            <w:tcW w:w="2012" w:type="dxa"/>
          </w:tcPr>
          <w:p w14:paraId="2B37F764" w14:textId="4090536A" w:rsidR="0000060D" w:rsidRPr="007A5D8C" w:rsidRDefault="0000060D" w:rsidP="007A5D8C">
            <w:pPr>
              <w:spacing w:after="0" w:line="240" w:lineRule="auto"/>
              <w:jc w:val="center"/>
              <w:rPr>
                <w:rFonts w:ascii="Times New Roman" w:hAnsi="Times New Roman" w:cs="Times New Roman"/>
                <w:b/>
                <w:sz w:val="20"/>
                <w:szCs w:val="20"/>
              </w:rPr>
            </w:pPr>
            <w:r w:rsidRPr="007A5D8C">
              <w:rPr>
                <w:rFonts w:ascii="Times New Roman" w:hAnsi="Times New Roman" w:cs="Times New Roman"/>
                <w:b/>
                <w:sz w:val="20"/>
                <w:szCs w:val="20"/>
              </w:rPr>
              <w:t>Total</w:t>
            </w:r>
          </w:p>
        </w:tc>
        <w:tc>
          <w:tcPr>
            <w:tcW w:w="2841" w:type="dxa"/>
          </w:tcPr>
          <w:p w14:paraId="1D1A8302" w14:textId="77777777" w:rsidR="0000060D" w:rsidRPr="007A5D8C" w:rsidRDefault="0000060D" w:rsidP="007A5D8C">
            <w:pPr>
              <w:spacing w:after="0" w:line="240" w:lineRule="auto"/>
              <w:jc w:val="center"/>
              <w:rPr>
                <w:rFonts w:ascii="Times New Roman" w:hAnsi="Times New Roman" w:cs="Times New Roman"/>
                <w:b/>
                <w:sz w:val="20"/>
                <w:szCs w:val="20"/>
              </w:rPr>
            </w:pPr>
            <w:r w:rsidRPr="007A5D8C">
              <w:rPr>
                <w:rFonts w:ascii="Times New Roman" w:hAnsi="Times New Roman" w:cs="Times New Roman"/>
                <w:b/>
                <w:sz w:val="20"/>
                <w:szCs w:val="20"/>
              </w:rPr>
              <w:t>92</w:t>
            </w:r>
          </w:p>
        </w:tc>
        <w:tc>
          <w:tcPr>
            <w:tcW w:w="2841" w:type="dxa"/>
          </w:tcPr>
          <w:p w14:paraId="1D20A8BD" w14:textId="77777777" w:rsidR="0000060D" w:rsidRPr="007A5D8C" w:rsidRDefault="0000060D" w:rsidP="007A5D8C">
            <w:pPr>
              <w:spacing w:after="0" w:line="240" w:lineRule="auto"/>
              <w:jc w:val="center"/>
              <w:rPr>
                <w:rFonts w:ascii="Times New Roman" w:hAnsi="Times New Roman" w:cs="Times New Roman"/>
                <w:b/>
                <w:sz w:val="20"/>
                <w:szCs w:val="20"/>
              </w:rPr>
            </w:pPr>
            <w:r w:rsidRPr="007A5D8C">
              <w:rPr>
                <w:rFonts w:ascii="Times New Roman" w:hAnsi="Times New Roman" w:cs="Times New Roman"/>
                <w:b/>
                <w:sz w:val="20"/>
                <w:szCs w:val="20"/>
              </w:rPr>
              <w:t>100.00</w:t>
            </w:r>
          </w:p>
        </w:tc>
      </w:tr>
    </w:tbl>
    <w:p w14:paraId="6435731E" w14:textId="77777777" w:rsidR="0000060D" w:rsidRPr="00BE4AF3" w:rsidRDefault="0000060D" w:rsidP="007A5D8C">
      <w:pPr>
        <w:spacing w:after="0" w:line="240" w:lineRule="auto"/>
        <w:rPr>
          <w:rFonts w:ascii="Times New Roman" w:hAnsi="Times New Roman" w:cs="Times New Roman"/>
          <w:sz w:val="24"/>
          <w:szCs w:val="24"/>
        </w:rPr>
      </w:pPr>
      <w:r w:rsidRPr="00BE4AF3">
        <w:rPr>
          <w:rFonts w:ascii="Times New Roman" w:hAnsi="Times New Roman" w:cs="Times New Roman"/>
          <w:noProof/>
          <w:sz w:val="24"/>
          <w:szCs w:val="24"/>
          <w:lang w:eastAsia="en-GB"/>
        </w:rPr>
        <mc:AlternateContent>
          <mc:Choice Requires="wps">
            <w:drawing>
              <wp:anchor distT="0" distB="0" distL="114300" distR="114300" simplePos="0" relativeHeight="251692032" behindDoc="0" locked="0" layoutInCell="1" allowOverlap="1" wp14:anchorId="77A744F2" wp14:editId="670CE8D4">
                <wp:simplePos x="0" y="0"/>
                <wp:positionH relativeFrom="column">
                  <wp:posOffset>387985</wp:posOffset>
                </wp:positionH>
                <wp:positionV relativeFrom="paragraph">
                  <wp:posOffset>97155</wp:posOffset>
                </wp:positionV>
                <wp:extent cx="5405120" cy="635"/>
                <wp:effectExtent l="16510" t="17145" r="17145" b="20320"/>
                <wp:wrapNone/>
                <wp:docPr id="807822866"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05120" cy="635"/>
                        </a:xfrm>
                        <a:prstGeom prst="bentConnector3">
                          <a:avLst>
                            <a:gd name="adj1" fmla="val 50000"/>
                          </a:avLst>
                        </a:prstGeom>
                        <a:noFill/>
                        <a:ln w="2857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1C1FB8" id="Straight Arrow Connector 28" o:spid="_x0000_s1026" type="#_x0000_t34" style="position:absolute;margin-left:30.55pt;margin-top:7.65pt;width:425.6pt;height:.05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" strokeweight="2.25pt"/>
            </w:pict>
          </mc:Fallback>
        </mc:AlternateContent>
      </w:r>
    </w:p>
    <w:p w14:paraId="718E1F0F" w14:textId="77777777" w:rsidR="0000060D" w:rsidRPr="00BE4AF3" w:rsidRDefault="0000060D" w:rsidP="007A5D8C">
      <w:pPr>
        <w:spacing w:after="0" w:line="240" w:lineRule="auto"/>
        <w:rPr>
          <w:rFonts w:ascii="Times New Roman" w:hAnsi="Times New Roman" w:cs="Times New Roman"/>
          <w:b/>
          <w:sz w:val="24"/>
          <w:szCs w:val="24"/>
        </w:rPr>
      </w:pPr>
    </w:p>
    <w:p w14:paraId="744A887E" w14:textId="77777777" w:rsidR="0000060D" w:rsidRPr="00BE4AF3" w:rsidRDefault="0000060D" w:rsidP="007A5D8C">
      <w:pPr>
        <w:spacing w:after="0" w:line="240" w:lineRule="auto"/>
        <w:rPr>
          <w:rFonts w:ascii="Times New Roman" w:hAnsi="Times New Roman" w:cs="Times New Roman"/>
          <w:b/>
          <w:sz w:val="24"/>
          <w:szCs w:val="24"/>
        </w:rPr>
      </w:pPr>
    </w:p>
    <w:p w14:paraId="6A634853" w14:textId="77777777" w:rsidR="0000060D" w:rsidRPr="00BE4AF3" w:rsidRDefault="0000060D" w:rsidP="007A5D8C">
      <w:pPr>
        <w:spacing w:after="0" w:line="240" w:lineRule="auto"/>
        <w:rPr>
          <w:rFonts w:ascii="Times New Roman" w:hAnsi="Times New Roman" w:cs="Times New Roman"/>
          <w:b/>
          <w:sz w:val="24"/>
          <w:szCs w:val="24"/>
        </w:rPr>
      </w:pPr>
    </w:p>
    <w:p w14:paraId="7DDA9069" w14:textId="77777777" w:rsidR="0000060D" w:rsidRPr="00BE4AF3" w:rsidRDefault="0000060D" w:rsidP="007A5D8C">
      <w:pPr>
        <w:spacing w:after="0" w:line="240" w:lineRule="auto"/>
        <w:rPr>
          <w:rFonts w:ascii="Times New Roman" w:hAnsi="Times New Roman" w:cs="Times New Roman"/>
          <w:b/>
          <w:sz w:val="24"/>
          <w:szCs w:val="24"/>
        </w:rPr>
      </w:pPr>
    </w:p>
    <w:p w14:paraId="52AE82E9" w14:textId="7BDCDFAC" w:rsidR="0000060D" w:rsidRPr="00BE4AF3" w:rsidRDefault="007A5D8C" w:rsidP="007A5D8C">
      <w:pPr>
        <w:spacing w:after="0" w:line="240" w:lineRule="auto"/>
        <w:rPr>
          <w:rFonts w:ascii="Times New Roman" w:hAnsi="Times New Roman" w:cs="Times New Roman"/>
          <w:b/>
          <w:sz w:val="24"/>
          <w:szCs w:val="24"/>
        </w:rPr>
      </w:pPr>
      <w:r w:rsidRPr="007A5D8C">
        <w:rPr>
          <w:rFonts w:ascii="Times New Roman" w:hAnsi="Times New Roman" w:cs="Times New Roman"/>
          <w:b/>
          <w:noProof/>
          <w:sz w:val="20"/>
          <w:szCs w:val="20"/>
          <w:lang w:eastAsia="en-GB"/>
        </w:rPr>
        <mc:AlternateContent>
          <mc:Choice Requires="wps">
            <w:drawing>
              <wp:anchor distT="0" distB="0" distL="114300" distR="114300" simplePos="0" relativeHeight="251693056" behindDoc="0" locked="0" layoutInCell="1" allowOverlap="1" wp14:anchorId="71C6E3E2" wp14:editId="2F71400A">
                <wp:simplePos x="0" y="0"/>
                <wp:positionH relativeFrom="column">
                  <wp:posOffset>546100</wp:posOffset>
                </wp:positionH>
                <wp:positionV relativeFrom="paragraph">
                  <wp:posOffset>145415</wp:posOffset>
                </wp:positionV>
                <wp:extent cx="5405120" cy="0"/>
                <wp:effectExtent l="20320" t="20955" r="22860" b="17145"/>
                <wp:wrapNone/>
                <wp:docPr id="807822865" name="Straight Arrow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512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B7AE2A" id="Straight Arrow Connector 27" o:spid="_x0000_s1026" type="#_x0000_t32" style="position:absolute;margin-left:43pt;margin-top:11.45pt;width:425.6pt;height: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" strokeweight="2.25pt"/>
            </w:pict>
          </mc:Fallback>
        </mc:AlternateContent>
      </w:r>
    </w:p>
    <w:p w14:paraId="0BE117E3" w14:textId="2986F61F" w:rsidR="0000060D" w:rsidRPr="007A5D8C" w:rsidRDefault="0000060D" w:rsidP="007A5D8C">
      <w:pPr>
        <w:spacing w:after="0" w:line="240" w:lineRule="auto"/>
        <w:jc w:val="center"/>
        <w:rPr>
          <w:rFonts w:ascii="Times New Roman" w:hAnsi="Times New Roman" w:cs="Times New Roman"/>
          <w:bCs/>
          <w:sz w:val="24"/>
          <w:szCs w:val="24"/>
        </w:rPr>
      </w:pPr>
      <w:r w:rsidRPr="007A5D8C">
        <w:rPr>
          <w:rFonts w:ascii="Times New Roman" w:hAnsi="Times New Roman" w:cs="Times New Roman"/>
          <w:bCs/>
          <w:sz w:val="24"/>
          <w:szCs w:val="24"/>
        </w:rPr>
        <w:t>Source: Field survey, 2025.</w:t>
      </w:r>
    </w:p>
    <w:p w14:paraId="6B087E2F" w14:textId="77777777" w:rsidR="007A5D8C" w:rsidRDefault="007A5D8C" w:rsidP="007A5D8C">
      <w:pPr>
        <w:spacing w:after="0" w:line="240" w:lineRule="auto"/>
        <w:rPr>
          <w:rFonts w:ascii="Times New Roman" w:hAnsi="Times New Roman" w:cs="Times New Roman"/>
          <w:sz w:val="24"/>
          <w:szCs w:val="24"/>
        </w:rPr>
      </w:pPr>
    </w:p>
    <w:p w14:paraId="555E20E0" w14:textId="637DC557" w:rsidR="0000060D" w:rsidRPr="00BE4AF3" w:rsidRDefault="0000060D" w:rsidP="007A5D8C">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Table 4 shows that 54.35% of the respondents are NSE, followed by 30.43% which are from NIOB, 10.87% which are NIA while others are 4.35% . This implies that the questionnaire cut across many professions in the built environment.</w:t>
      </w:r>
    </w:p>
    <w:p w14:paraId="1720212C" w14:textId="77777777" w:rsidR="0000060D" w:rsidRPr="00BE4AF3" w:rsidRDefault="0000060D" w:rsidP="007A5D8C">
      <w:pPr>
        <w:spacing w:after="0" w:line="240" w:lineRule="auto"/>
        <w:rPr>
          <w:rFonts w:ascii="Times New Roman" w:hAnsi="Times New Roman" w:cs="Times New Roman"/>
          <w:b/>
          <w:sz w:val="24"/>
          <w:szCs w:val="24"/>
        </w:rPr>
      </w:pPr>
    </w:p>
    <w:p w14:paraId="46A548C2" w14:textId="77777777" w:rsidR="0000060D" w:rsidRPr="00BE4AF3" w:rsidRDefault="0000060D" w:rsidP="007A5D8C">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Factors Affecting Cost Management Practices</w:t>
      </w:r>
    </w:p>
    <w:p w14:paraId="4DE52805" w14:textId="77777777" w:rsidR="0000060D" w:rsidRPr="00BE4AF3" w:rsidRDefault="0000060D" w:rsidP="007A5D8C">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From the study, the findings establishes that; resources management practices is available in the constructions firms in the area but there are some factors influencing the practices which in turn affect the performance of the firms. Those factors were classified into two, which are external and internal factors. The internal factors are the factors that are within the capacity of the firms, while the external factors are those that the firm has no influence on. It was found that lack of experience of the supervisors, late procurement,  lack of experience of supervisors and lack of training are the internal factors while, fluctuation in cost of materials, economy, variation, delay in supply of materials and weather conditions are the external factors.</w:t>
      </w:r>
    </w:p>
    <w:p w14:paraId="6B3D3715" w14:textId="77777777" w:rsidR="0000060D" w:rsidRPr="00BE4AF3" w:rsidRDefault="0000060D" w:rsidP="007A5D8C">
      <w:pPr>
        <w:spacing w:after="0" w:line="240" w:lineRule="auto"/>
        <w:jc w:val="both"/>
        <w:rPr>
          <w:rFonts w:ascii="Times New Roman" w:hAnsi="Times New Roman" w:cs="Times New Roman"/>
          <w:b/>
          <w:bCs/>
          <w:sz w:val="24"/>
          <w:szCs w:val="24"/>
        </w:rPr>
      </w:pPr>
    </w:p>
    <w:p w14:paraId="267716B8" w14:textId="6C0E5DBF" w:rsidR="0000060D" w:rsidRPr="00BE4AF3" w:rsidRDefault="0000060D" w:rsidP="00DF280C">
      <w:pPr>
        <w:spacing w:after="0" w:line="240" w:lineRule="auto"/>
        <w:jc w:val="center"/>
        <w:rPr>
          <w:rFonts w:ascii="Times New Roman" w:hAnsi="Times New Roman" w:cs="Times New Roman"/>
          <w:bCs/>
          <w:sz w:val="24"/>
          <w:szCs w:val="24"/>
        </w:rPr>
      </w:pPr>
      <w:r w:rsidRPr="00BE4AF3">
        <w:rPr>
          <w:rFonts w:ascii="Times New Roman" w:hAnsi="Times New Roman" w:cs="Times New Roman"/>
          <w:b/>
          <w:bCs/>
          <w:sz w:val="24"/>
          <w:szCs w:val="24"/>
        </w:rPr>
        <w:t xml:space="preserve">Table 5: </w:t>
      </w:r>
      <w:r w:rsidRPr="00BE4AF3">
        <w:rPr>
          <w:rFonts w:ascii="Times New Roman" w:hAnsi="Times New Roman" w:cs="Times New Roman"/>
          <w:bCs/>
          <w:sz w:val="24"/>
          <w:szCs w:val="24"/>
        </w:rPr>
        <w:t>Model Summary for effects of Cost Management Practices on Performance</w:t>
      </w:r>
    </w:p>
    <w:p w14:paraId="41AF4E83" w14:textId="7E2F61EB" w:rsidR="0000060D" w:rsidRPr="00BE4AF3" w:rsidRDefault="0000060D" w:rsidP="00DF280C">
      <w:pPr>
        <w:spacing w:after="0" w:line="240" w:lineRule="auto"/>
        <w:jc w:val="center"/>
        <w:rPr>
          <w:rFonts w:ascii="Times New Roman" w:hAnsi="Times New Roman" w:cs="Times New Roman"/>
          <w:sz w:val="24"/>
          <w:szCs w:val="24"/>
        </w:rPr>
      </w:pPr>
      <w:r w:rsidRPr="00BE4AF3">
        <w:rPr>
          <w:rFonts w:ascii="Times New Roman" w:hAnsi="Times New Roman" w:cs="Times New Roman"/>
          <w:bCs/>
          <w:sz w:val="24"/>
          <w:szCs w:val="24"/>
        </w:rPr>
        <w:t>of Construction Firms in Oke-Ogun area, Oyo State</w:t>
      </w:r>
    </w:p>
    <w:tbl>
      <w:tblPr>
        <w:tblW w:w="0" w:type="auto"/>
        <w:jc w:val="center"/>
        <w:tblBorders>
          <w:top w:val="single" w:sz="4" w:space="0" w:color="auto"/>
          <w:bottom w:val="single" w:sz="4" w:space="0" w:color="auto"/>
        </w:tblBorders>
        <w:tblLook w:val="04A0" w:firstRow="1" w:lastRow="0" w:firstColumn="1" w:lastColumn="0" w:noHBand="0" w:noVBand="1"/>
      </w:tblPr>
      <w:tblGrid>
        <w:gridCol w:w="1632"/>
        <w:gridCol w:w="1062"/>
        <w:gridCol w:w="1448"/>
        <w:gridCol w:w="1528"/>
        <w:gridCol w:w="2544"/>
      </w:tblGrid>
      <w:tr w:rsidR="0000060D" w:rsidRPr="007A5D8C" w14:paraId="28A9033A" w14:textId="77777777" w:rsidTr="00C12B44">
        <w:trPr>
          <w:trHeight w:val="683"/>
          <w:jc w:val="center"/>
        </w:trPr>
        <w:tc>
          <w:tcPr>
            <w:tcW w:w="1632" w:type="dxa"/>
            <w:tcBorders>
              <w:top w:val="single" w:sz="4" w:space="0" w:color="auto"/>
              <w:bottom w:val="single" w:sz="4" w:space="0" w:color="auto"/>
            </w:tcBorders>
          </w:tcPr>
          <w:p w14:paraId="7D63BDDF" w14:textId="60697633" w:rsidR="0000060D" w:rsidRPr="007A5D8C" w:rsidRDefault="0000060D" w:rsidP="007A5D8C">
            <w:pPr>
              <w:autoSpaceDE w:val="0"/>
              <w:autoSpaceDN w:val="0"/>
              <w:adjustRightInd w:val="0"/>
              <w:spacing w:after="0" w:line="240" w:lineRule="auto"/>
              <w:rPr>
                <w:rFonts w:ascii="Times New Roman" w:hAnsi="Times New Roman" w:cs="Times New Roman"/>
                <w:bCs/>
                <w:color w:val="000000"/>
                <w:sz w:val="20"/>
                <w:szCs w:val="20"/>
              </w:rPr>
            </w:pPr>
            <w:r w:rsidRPr="007A5D8C">
              <w:rPr>
                <w:rFonts w:ascii="Times New Roman" w:hAnsi="Times New Roman" w:cs="Times New Roman"/>
                <w:bCs/>
                <w:color w:val="000000"/>
                <w:sz w:val="20"/>
                <w:szCs w:val="20"/>
              </w:rPr>
              <w:t>Model</w:t>
            </w:r>
          </w:p>
        </w:tc>
        <w:tc>
          <w:tcPr>
            <w:tcW w:w="1062" w:type="dxa"/>
            <w:tcBorders>
              <w:top w:val="single" w:sz="4" w:space="0" w:color="auto"/>
              <w:bottom w:val="single" w:sz="4" w:space="0" w:color="auto"/>
            </w:tcBorders>
          </w:tcPr>
          <w:p w14:paraId="7677FC62" w14:textId="77777777" w:rsidR="0000060D" w:rsidRPr="007A5D8C" w:rsidRDefault="0000060D" w:rsidP="007A5D8C">
            <w:pPr>
              <w:autoSpaceDE w:val="0"/>
              <w:autoSpaceDN w:val="0"/>
              <w:adjustRightInd w:val="0"/>
              <w:spacing w:after="0" w:line="240" w:lineRule="auto"/>
              <w:rPr>
                <w:rFonts w:ascii="Times New Roman" w:hAnsi="Times New Roman" w:cs="Times New Roman"/>
                <w:bCs/>
                <w:color w:val="000000"/>
                <w:sz w:val="20"/>
                <w:szCs w:val="20"/>
              </w:rPr>
            </w:pPr>
            <w:r w:rsidRPr="007A5D8C">
              <w:rPr>
                <w:rFonts w:ascii="Times New Roman" w:hAnsi="Times New Roman" w:cs="Times New Roman"/>
                <w:bCs/>
                <w:color w:val="000000"/>
                <w:sz w:val="20"/>
                <w:szCs w:val="20"/>
              </w:rPr>
              <w:t>R</w:t>
            </w:r>
          </w:p>
        </w:tc>
        <w:tc>
          <w:tcPr>
            <w:tcW w:w="1448" w:type="dxa"/>
            <w:tcBorders>
              <w:top w:val="single" w:sz="4" w:space="0" w:color="auto"/>
              <w:bottom w:val="single" w:sz="4" w:space="0" w:color="auto"/>
            </w:tcBorders>
          </w:tcPr>
          <w:p w14:paraId="741A3CDA" w14:textId="77777777" w:rsidR="0000060D" w:rsidRPr="007A5D8C" w:rsidRDefault="0000060D" w:rsidP="007A5D8C">
            <w:pPr>
              <w:autoSpaceDE w:val="0"/>
              <w:autoSpaceDN w:val="0"/>
              <w:adjustRightInd w:val="0"/>
              <w:spacing w:after="0" w:line="240" w:lineRule="auto"/>
              <w:jc w:val="center"/>
              <w:rPr>
                <w:rFonts w:ascii="Times New Roman" w:hAnsi="Times New Roman" w:cs="Times New Roman"/>
                <w:bCs/>
                <w:color w:val="000000"/>
                <w:sz w:val="20"/>
                <w:szCs w:val="20"/>
              </w:rPr>
            </w:pPr>
            <w:r w:rsidRPr="007A5D8C">
              <w:rPr>
                <w:rFonts w:ascii="Times New Roman" w:hAnsi="Times New Roman" w:cs="Times New Roman"/>
                <w:bCs/>
                <w:color w:val="000000"/>
                <w:sz w:val="20"/>
                <w:szCs w:val="20"/>
              </w:rPr>
              <w:t>R</w:t>
            </w:r>
            <w:r w:rsidRPr="007A5D8C">
              <w:rPr>
                <w:rFonts w:ascii="Times New Roman" w:hAnsi="Times New Roman" w:cs="Times New Roman"/>
                <w:bCs/>
                <w:color w:val="000000"/>
                <w:sz w:val="20"/>
                <w:szCs w:val="20"/>
                <w:vertAlign w:val="superscript"/>
              </w:rPr>
              <w:t>2</w:t>
            </w:r>
          </w:p>
        </w:tc>
        <w:tc>
          <w:tcPr>
            <w:tcW w:w="1528" w:type="dxa"/>
            <w:tcBorders>
              <w:top w:val="single" w:sz="4" w:space="0" w:color="auto"/>
              <w:bottom w:val="single" w:sz="4" w:space="0" w:color="auto"/>
            </w:tcBorders>
          </w:tcPr>
          <w:p w14:paraId="2D9D5DC6" w14:textId="77777777" w:rsidR="0000060D" w:rsidRPr="007A5D8C" w:rsidRDefault="0000060D" w:rsidP="007A5D8C">
            <w:pPr>
              <w:autoSpaceDE w:val="0"/>
              <w:autoSpaceDN w:val="0"/>
              <w:adjustRightInd w:val="0"/>
              <w:spacing w:after="0" w:line="240" w:lineRule="auto"/>
              <w:jc w:val="center"/>
              <w:rPr>
                <w:rFonts w:ascii="Times New Roman" w:hAnsi="Times New Roman" w:cs="Times New Roman"/>
                <w:bCs/>
                <w:color w:val="000000"/>
                <w:sz w:val="20"/>
                <w:szCs w:val="20"/>
              </w:rPr>
            </w:pPr>
            <w:r w:rsidRPr="007A5D8C">
              <w:rPr>
                <w:rFonts w:ascii="Times New Roman" w:hAnsi="Times New Roman" w:cs="Times New Roman"/>
                <w:bCs/>
                <w:color w:val="000000"/>
                <w:sz w:val="20"/>
                <w:szCs w:val="20"/>
              </w:rPr>
              <w:t>Adjusted R</w:t>
            </w:r>
            <w:r w:rsidRPr="007A5D8C">
              <w:rPr>
                <w:rFonts w:ascii="Times New Roman" w:hAnsi="Times New Roman" w:cs="Times New Roman"/>
                <w:bCs/>
                <w:color w:val="000000"/>
                <w:sz w:val="20"/>
                <w:szCs w:val="20"/>
                <w:vertAlign w:val="superscript"/>
              </w:rPr>
              <w:t>2</w:t>
            </w:r>
          </w:p>
        </w:tc>
        <w:tc>
          <w:tcPr>
            <w:tcW w:w="2544" w:type="dxa"/>
            <w:tcBorders>
              <w:top w:val="single" w:sz="4" w:space="0" w:color="auto"/>
              <w:bottom w:val="single" w:sz="4" w:space="0" w:color="auto"/>
            </w:tcBorders>
          </w:tcPr>
          <w:p w14:paraId="09234209" w14:textId="77777777" w:rsidR="0000060D" w:rsidRPr="007A5D8C" w:rsidRDefault="0000060D" w:rsidP="007A5D8C">
            <w:pPr>
              <w:autoSpaceDE w:val="0"/>
              <w:autoSpaceDN w:val="0"/>
              <w:adjustRightInd w:val="0"/>
              <w:spacing w:after="0" w:line="240" w:lineRule="auto"/>
              <w:jc w:val="center"/>
              <w:rPr>
                <w:rFonts w:ascii="Times New Roman" w:hAnsi="Times New Roman" w:cs="Times New Roman"/>
                <w:bCs/>
                <w:color w:val="000000"/>
                <w:sz w:val="20"/>
                <w:szCs w:val="20"/>
              </w:rPr>
            </w:pPr>
            <w:r w:rsidRPr="007A5D8C">
              <w:rPr>
                <w:rFonts w:ascii="Times New Roman" w:hAnsi="Times New Roman" w:cs="Times New Roman"/>
                <w:bCs/>
                <w:color w:val="000000"/>
                <w:sz w:val="20"/>
                <w:szCs w:val="20"/>
              </w:rPr>
              <w:t>Standard Error</w:t>
            </w:r>
          </w:p>
        </w:tc>
      </w:tr>
      <w:tr w:rsidR="0000060D" w:rsidRPr="007A5D8C" w14:paraId="1CD43A0C" w14:textId="77777777" w:rsidTr="00C12B44">
        <w:trPr>
          <w:trHeight w:val="333"/>
          <w:jc w:val="center"/>
        </w:trPr>
        <w:tc>
          <w:tcPr>
            <w:tcW w:w="1632" w:type="dxa"/>
            <w:tcBorders>
              <w:top w:val="single" w:sz="4" w:space="0" w:color="auto"/>
            </w:tcBorders>
          </w:tcPr>
          <w:p w14:paraId="76ED8522" w14:textId="48E86356" w:rsidR="0000060D" w:rsidRPr="007A5D8C" w:rsidRDefault="0000060D" w:rsidP="007A5D8C">
            <w:pPr>
              <w:autoSpaceDE w:val="0"/>
              <w:autoSpaceDN w:val="0"/>
              <w:adjustRightInd w:val="0"/>
              <w:spacing w:after="0" w:line="240" w:lineRule="auto"/>
              <w:ind w:left="60" w:right="60"/>
              <w:jc w:val="both"/>
              <w:rPr>
                <w:rFonts w:ascii="Times New Roman" w:hAnsi="Times New Roman" w:cs="Times New Roman"/>
                <w:bCs/>
                <w:color w:val="264A60"/>
                <w:sz w:val="20"/>
                <w:szCs w:val="20"/>
              </w:rPr>
            </w:pPr>
            <w:r w:rsidRPr="007A5D8C">
              <w:rPr>
                <w:rFonts w:ascii="Times New Roman" w:hAnsi="Times New Roman" w:cs="Times New Roman"/>
                <w:bCs/>
                <w:color w:val="264A60"/>
                <w:sz w:val="20"/>
                <w:szCs w:val="20"/>
              </w:rPr>
              <w:t>1</w:t>
            </w:r>
          </w:p>
        </w:tc>
        <w:tc>
          <w:tcPr>
            <w:tcW w:w="1062" w:type="dxa"/>
            <w:tcBorders>
              <w:top w:val="single" w:sz="4" w:space="0" w:color="auto"/>
            </w:tcBorders>
          </w:tcPr>
          <w:p w14:paraId="11196AFB" w14:textId="77777777" w:rsidR="0000060D" w:rsidRPr="007A5D8C" w:rsidRDefault="0000060D" w:rsidP="007A5D8C">
            <w:pPr>
              <w:autoSpaceDE w:val="0"/>
              <w:autoSpaceDN w:val="0"/>
              <w:adjustRightInd w:val="0"/>
              <w:spacing w:after="0" w:line="240" w:lineRule="auto"/>
              <w:ind w:right="60"/>
              <w:rPr>
                <w:rFonts w:ascii="Times New Roman" w:hAnsi="Times New Roman" w:cs="Times New Roman"/>
                <w:bCs/>
                <w:color w:val="010205"/>
                <w:sz w:val="20"/>
                <w:szCs w:val="20"/>
              </w:rPr>
            </w:pPr>
            <w:r w:rsidRPr="007A5D8C">
              <w:rPr>
                <w:rFonts w:ascii="Times New Roman" w:hAnsi="Times New Roman" w:cs="Times New Roman"/>
                <w:bCs/>
                <w:color w:val="010205"/>
                <w:sz w:val="20"/>
                <w:szCs w:val="20"/>
              </w:rPr>
              <w:t>.788</w:t>
            </w:r>
          </w:p>
        </w:tc>
        <w:tc>
          <w:tcPr>
            <w:tcW w:w="1448" w:type="dxa"/>
            <w:tcBorders>
              <w:top w:val="single" w:sz="4" w:space="0" w:color="auto"/>
            </w:tcBorders>
          </w:tcPr>
          <w:p w14:paraId="1729DBF4" w14:textId="77777777" w:rsidR="0000060D" w:rsidRPr="007A5D8C" w:rsidRDefault="0000060D" w:rsidP="007A5D8C">
            <w:pPr>
              <w:autoSpaceDE w:val="0"/>
              <w:autoSpaceDN w:val="0"/>
              <w:adjustRightInd w:val="0"/>
              <w:spacing w:after="0" w:line="240" w:lineRule="auto"/>
              <w:ind w:left="60" w:right="60"/>
              <w:jc w:val="center"/>
              <w:rPr>
                <w:rFonts w:ascii="Times New Roman" w:hAnsi="Times New Roman" w:cs="Times New Roman"/>
                <w:bCs/>
                <w:color w:val="010205"/>
                <w:sz w:val="20"/>
                <w:szCs w:val="20"/>
              </w:rPr>
            </w:pPr>
            <w:r w:rsidRPr="007A5D8C">
              <w:rPr>
                <w:rFonts w:ascii="Times New Roman" w:hAnsi="Times New Roman" w:cs="Times New Roman"/>
                <w:bCs/>
                <w:color w:val="010205"/>
                <w:sz w:val="20"/>
                <w:szCs w:val="20"/>
              </w:rPr>
              <w:t>.621</w:t>
            </w:r>
          </w:p>
        </w:tc>
        <w:tc>
          <w:tcPr>
            <w:tcW w:w="1528" w:type="dxa"/>
            <w:tcBorders>
              <w:top w:val="single" w:sz="4" w:space="0" w:color="auto"/>
            </w:tcBorders>
          </w:tcPr>
          <w:p w14:paraId="3BE7DF08" w14:textId="77777777" w:rsidR="0000060D" w:rsidRPr="007A5D8C" w:rsidRDefault="0000060D" w:rsidP="007A5D8C">
            <w:pPr>
              <w:autoSpaceDE w:val="0"/>
              <w:autoSpaceDN w:val="0"/>
              <w:adjustRightInd w:val="0"/>
              <w:spacing w:after="0" w:line="240" w:lineRule="auto"/>
              <w:ind w:left="60" w:right="60"/>
              <w:jc w:val="center"/>
              <w:rPr>
                <w:rFonts w:ascii="Times New Roman" w:hAnsi="Times New Roman" w:cs="Times New Roman"/>
                <w:bCs/>
                <w:color w:val="010205"/>
                <w:sz w:val="20"/>
                <w:szCs w:val="20"/>
              </w:rPr>
            </w:pPr>
            <w:r w:rsidRPr="007A5D8C">
              <w:rPr>
                <w:rFonts w:ascii="Times New Roman" w:hAnsi="Times New Roman" w:cs="Times New Roman"/>
                <w:bCs/>
                <w:color w:val="010205"/>
                <w:sz w:val="20"/>
                <w:szCs w:val="20"/>
              </w:rPr>
              <w:t>.615</w:t>
            </w:r>
          </w:p>
        </w:tc>
        <w:tc>
          <w:tcPr>
            <w:tcW w:w="2544" w:type="dxa"/>
            <w:tcBorders>
              <w:top w:val="single" w:sz="4" w:space="0" w:color="auto"/>
            </w:tcBorders>
          </w:tcPr>
          <w:p w14:paraId="49640302" w14:textId="77777777" w:rsidR="0000060D" w:rsidRPr="007A5D8C" w:rsidRDefault="0000060D" w:rsidP="007A5D8C">
            <w:pPr>
              <w:spacing w:after="0" w:line="240" w:lineRule="auto"/>
              <w:jc w:val="center"/>
              <w:rPr>
                <w:rFonts w:ascii="Times New Roman" w:hAnsi="Times New Roman" w:cs="Times New Roman"/>
                <w:bCs/>
                <w:sz w:val="20"/>
                <w:szCs w:val="20"/>
              </w:rPr>
            </w:pPr>
            <w:r w:rsidRPr="007A5D8C">
              <w:rPr>
                <w:rFonts w:ascii="Times New Roman" w:hAnsi="Times New Roman" w:cs="Times New Roman"/>
                <w:bCs/>
                <w:sz w:val="20"/>
                <w:szCs w:val="20"/>
              </w:rPr>
              <w:t>.356</w:t>
            </w:r>
          </w:p>
        </w:tc>
      </w:tr>
    </w:tbl>
    <w:p w14:paraId="14C39B6E" w14:textId="77777777" w:rsidR="0000060D" w:rsidRPr="00C12B44" w:rsidRDefault="0000060D" w:rsidP="00C12B44">
      <w:pPr>
        <w:pStyle w:val="Default"/>
        <w:jc w:val="center"/>
      </w:pPr>
      <w:r w:rsidRPr="00C12B44">
        <w:t>Source: Researcher’s fieldwork (2025)</w:t>
      </w:r>
    </w:p>
    <w:p w14:paraId="25338DD9" w14:textId="77777777" w:rsidR="00C12B44" w:rsidRDefault="00C12B44" w:rsidP="007A5D8C">
      <w:pPr>
        <w:autoSpaceDE w:val="0"/>
        <w:autoSpaceDN w:val="0"/>
        <w:adjustRightInd w:val="0"/>
        <w:spacing w:after="0" w:line="240" w:lineRule="auto"/>
        <w:jc w:val="both"/>
        <w:rPr>
          <w:rFonts w:ascii="Times New Roman" w:hAnsi="Times New Roman" w:cs="Times New Roman"/>
          <w:b/>
          <w:sz w:val="24"/>
          <w:szCs w:val="24"/>
        </w:rPr>
      </w:pPr>
    </w:p>
    <w:p w14:paraId="2F2E7FDD" w14:textId="23CA5BE1" w:rsidR="0000060D" w:rsidRPr="00BE4AF3" w:rsidRDefault="0000060D" w:rsidP="007A5D8C">
      <w:pPr>
        <w:autoSpaceDE w:val="0"/>
        <w:autoSpaceDN w:val="0"/>
        <w:adjustRightInd w:val="0"/>
        <w:spacing w:after="0" w:line="240" w:lineRule="auto"/>
        <w:jc w:val="both"/>
        <w:rPr>
          <w:rFonts w:ascii="Times New Roman" w:hAnsi="Times New Roman" w:cs="Times New Roman"/>
          <w:color w:val="010205"/>
          <w:sz w:val="24"/>
          <w:szCs w:val="24"/>
        </w:rPr>
      </w:pPr>
      <w:r w:rsidRPr="00BE4AF3">
        <w:rPr>
          <w:rFonts w:ascii="Times New Roman" w:hAnsi="Times New Roman" w:cs="Times New Roman"/>
          <w:b/>
          <w:sz w:val="24"/>
          <w:szCs w:val="24"/>
        </w:rPr>
        <w:t>Predictors:</w:t>
      </w:r>
      <w:r w:rsidRPr="00BE4AF3">
        <w:rPr>
          <w:rFonts w:ascii="Times New Roman" w:hAnsi="Times New Roman" w:cs="Times New Roman"/>
          <w:sz w:val="24"/>
          <w:szCs w:val="24"/>
        </w:rPr>
        <w:t xml:space="preserve"> </w:t>
      </w:r>
      <w:r w:rsidRPr="00BE4AF3">
        <w:rPr>
          <w:rFonts w:ascii="Times New Roman" w:hAnsi="Times New Roman" w:cs="Times New Roman"/>
          <w:color w:val="010205"/>
          <w:sz w:val="24"/>
          <w:szCs w:val="24"/>
        </w:rPr>
        <w:t>(Constant), Cost Report, Cost Control, Budget, Cost Estimate</w:t>
      </w:r>
    </w:p>
    <w:p w14:paraId="25EBFDE7" w14:textId="77777777" w:rsidR="0000060D" w:rsidRPr="00BE4AF3" w:rsidRDefault="0000060D" w:rsidP="007A5D8C">
      <w:pPr>
        <w:autoSpaceDE w:val="0"/>
        <w:autoSpaceDN w:val="0"/>
        <w:adjustRightInd w:val="0"/>
        <w:spacing w:after="0" w:line="240" w:lineRule="auto"/>
        <w:jc w:val="both"/>
        <w:rPr>
          <w:rFonts w:ascii="Times New Roman" w:hAnsi="Times New Roman" w:cs="Times New Roman"/>
          <w:color w:val="010205"/>
          <w:sz w:val="24"/>
          <w:szCs w:val="24"/>
        </w:rPr>
      </w:pPr>
      <w:r w:rsidRPr="00BE4AF3">
        <w:rPr>
          <w:rFonts w:ascii="Times New Roman" w:hAnsi="Times New Roman" w:cs="Times New Roman"/>
          <w:b/>
          <w:color w:val="010205"/>
          <w:sz w:val="24"/>
          <w:szCs w:val="24"/>
        </w:rPr>
        <w:t>Dependent Variable</w:t>
      </w:r>
      <w:r w:rsidRPr="00BE4AF3">
        <w:rPr>
          <w:rFonts w:ascii="Times New Roman" w:hAnsi="Times New Roman" w:cs="Times New Roman"/>
          <w:color w:val="010205"/>
          <w:sz w:val="24"/>
          <w:szCs w:val="24"/>
        </w:rPr>
        <w:t>: Performance</w:t>
      </w:r>
    </w:p>
    <w:p w14:paraId="2A937C6A" w14:textId="77777777" w:rsidR="00C12B44" w:rsidRDefault="00C12B44" w:rsidP="007A5D8C">
      <w:pPr>
        <w:spacing w:after="0" w:line="240" w:lineRule="auto"/>
        <w:jc w:val="both"/>
        <w:rPr>
          <w:rFonts w:ascii="Times New Roman" w:hAnsi="Times New Roman" w:cs="Times New Roman"/>
          <w:b/>
          <w:bCs/>
          <w:sz w:val="24"/>
          <w:szCs w:val="24"/>
        </w:rPr>
      </w:pPr>
    </w:p>
    <w:p w14:paraId="49D727A4" w14:textId="0883A148" w:rsidR="0000060D" w:rsidRPr="00C12B44" w:rsidRDefault="0000060D" w:rsidP="00C12B44">
      <w:pPr>
        <w:spacing w:after="0" w:line="240" w:lineRule="auto"/>
        <w:jc w:val="center"/>
        <w:rPr>
          <w:rFonts w:ascii="Times New Roman" w:hAnsi="Times New Roman" w:cs="Times New Roman"/>
          <w:bCs/>
          <w:sz w:val="24"/>
          <w:szCs w:val="24"/>
        </w:rPr>
      </w:pPr>
      <w:r w:rsidRPr="00BE4AF3">
        <w:rPr>
          <w:rFonts w:ascii="Times New Roman" w:hAnsi="Times New Roman" w:cs="Times New Roman"/>
          <w:b/>
          <w:bCs/>
          <w:sz w:val="24"/>
          <w:szCs w:val="24"/>
        </w:rPr>
        <w:lastRenderedPageBreak/>
        <w:t xml:space="preserve">Table 6: </w:t>
      </w:r>
      <w:r w:rsidRPr="00BE4AF3">
        <w:rPr>
          <w:rFonts w:ascii="Times New Roman" w:hAnsi="Times New Roman" w:cs="Times New Roman"/>
          <w:bCs/>
          <w:sz w:val="24"/>
          <w:szCs w:val="24"/>
        </w:rPr>
        <w:t xml:space="preserve">ANOVA of effects of Cost management on Performance of </w:t>
      </w:r>
      <w:r w:rsidRPr="00BE4AF3">
        <w:rPr>
          <w:rFonts w:ascii="Times New Roman" w:hAnsi="Times New Roman" w:cs="Times New Roman"/>
          <w:bCs/>
          <w:sz w:val="24"/>
          <w:szCs w:val="24"/>
        </w:rPr>
        <w:tab/>
        <w:t>Construction Firms in Oke-Ogun area, Oyo State</w:t>
      </w:r>
    </w:p>
    <w:tbl>
      <w:tblPr>
        <w:tblW w:w="0" w:type="auto"/>
        <w:jc w:val="center"/>
        <w:tblBorders>
          <w:top w:val="single" w:sz="4" w:space="0" w:color="auto"/>
          <w:bottom w:val="single" w:sz="4" w:space="0" w:color="auto"/>
        </w:tblBorders>
        <w:tblLook w:val="04A0" w:firstRow="1" w:lastRow="0" w:firstColumn="1" w:lastColumn="0" w:noHBand="0" w:noVBand="1"/>
      </w:tblPr>
      <w:tblGrid>
        <w:gridCol w:w="1679"/>
        <w:gridCol w:w="1015"/>
        <w:gridCol w:w="1450"/>
        <w:gridCol w:w="1299"/>
        <w:gridCol w:w="2522"/>
      </w:tblGrid>
      <w:tr w:rsidR="0000060D" w:rsidRPr="00BE4AF3" w14:paraId="2F04BE66" w14:textId="77777777" w:rsidTr="00C12B44">
        <w:trPr>
          <w:trHeight w:val="683"/>
          <w:jc w:val="center"/>
        </w:trPr>
        <w:tc>
          <w:tcPr>
            <w:tcW w:w="1679" w:type="dxa"/>
            <w:tcBorders>
              <w:top w:val="single" w:sz="4" w:space="0" w:color="auto"/>
              <w:bottom w:val="single" w:sz="4" w:space="0" w:color="auto"/>
            </w:tcBorders>
          </w:tcPr>
          <w:p w14:paraId="5E189425" w14:textId="6AF92FF4" w:rsidR="0000060D" w:rsidRPr="00C12B44" w:rsidRDefault="0000060D" w:rsidP="007A5D8C">
            <w:pPr>
              <w:autoSpaceDE w:val="0"/>
              <w:autoSpaceDN w:val="0"/>
              <w:adjustRightInd w:val="0"/>
              <w:spacing w:after="0" w:line="240" w:lineRule="auto"/>
              <w:rPr>
                <w:rFonts w:ascii="Times New Roman" w:hAnsi="Times New Roman" w:cs="Times New Roman"/>
                <w:bCs/>
                <w:color w:val="000000"/>
                <w:sz w:val="24"/>
                <w:szCs w:val="24"/>
              </w:rPr>
            </w:pPr>
            <w:r w:rsidRPr="00C12B44">
              <w:rPr>
                <w:rFonts w:ascii="Times New Roman" w:hAnsi="Times New Roman" w:cs="Times New Roman"/>
                <w:bCs/>
                <w:color w:val="000000"/>
                <w:sz w:val="24"/>
                <w:szCs w:val="24"/>
              </w:rPr>
              <w:t>Model</w:t>
            </w:r>
          </w:p>
        </w:tc>
        <w:tc>
          <w:tcPr>
            <w:tcW w:w="1015" w:type="dxa"/>
            <w:tcBorders>
              <w:top w:val="single" w:sz="4" w:space="0" w:color="auto"/>
              <w:bottom w:val="single" w:sz="4" w:space="0" w:color="auto"/>
            </w:tcBorders>
          </w:tcPr>
          <w:p w14:paraId="6FF839E9" w14:textId="77777777" w:rsidR="0000060D" w:rsidRPr="00C12B44" w:rsidRDefault="0000060D" w:rsidP="007A5D8C">
            <w:pPr>
              <w:autoSpaceDE w:val="0"/>
              <w:autoSpaceDN w:val="0"/>
              <w:adjustRightInd w:val="0"/>
              <w:spacing w:after="0" w:line="240" w:lineRule="auto"/>
              <w:rPr>
                <w:rFonts w:ascii="Times New Roman" w:hAnsi="Times New Roman" w:cs="Times New Roman"/>
                <w:bCs/>
                <w:color w:val="000000"/>
                <w:sz w:val="24"/>
                <w:szCs w:val="24"/>
              </w:rPr>
            </w:pPr>
            <w:r w:rsidRPr="00C12B44">
              <w:rPr>
                <w:rFonts w:ascii="Times New Roman" w:hAnsi="Times New Roman" w:cs="Times New Roman"/>
                <w:bCs/>
                <w:color w:val="000000"/>
                <w:sz w:val="24"/>
                <w:szCs w:val="24"/>
              </w:rPr>
              <w:t>Sum of Square</w:t>
            </w:r>
          </w:p>
        </w:tc>
        <w:tc>
          <w:tcPr>
            <w:tcW w:w="1450" w:type="dxa"/>
            <w:tcBorders>
              <w:top w:val="single" w:sz="4" w:space="0" w:color="auto"/>
              <w:bottom w:val="single" w:sz="4" w:space="0" w:color="auto"/>
            </w:tcBorders>
          </w:tcPr>
          <w:p w14:paraId="20D2A41F" w14:textId="77777777" w:rsidR="0000060D" w:rsidRPr="00C12B44" w:rsidRDefault="0000060D" w:rsidP="007A5D8C">
            <w:pPr>
              <w:autoSpaceDE w:val="0"/>
              <w:autoSpaceDN w:val="0"/>
              <w:adjustRightInd w:val="0"/>
              <w:spacing w:after="0" w:line="240" w:lineRule="auto"/>
              <w:jc w:val="center"/>
              <w:rPr>
                <w:rFonts w:ascii="Times New Roman" w:hAnsi="Times New Roman" w:cs="Times New Roman"/>
                <w:bCs/>
                <w:color w:val="000000"/>
                <w:sz w:val="24"/>
                <w:szCs w:val="24"/>
              </w:rPr>
            </w:pPr>
            <w:r w:rsidRPr="00C12B44">
              <w:rPr>
                <w:rFonts w:ascii="Times New Roman" w:hAnsi="Times New Roman" w:cs="Times New Roman"/>
                <w:bCs/>
                <w:color w:val="000000"/>
                <w:sz w:val="24"/>
                <w:szCs w:val="24"/>
              </w:rPr>
              <w:t>Mean Square</w:t>
            </w:r>
          </w:p>
        </w:tc>
        <w:tc>
          <w:tcPr>
            <w:tcW w:w="1299" w:type="dxa"/>
            <w:tcBorders>
              <w:top w:val="single" w:sz="4" w:space="0" w:color="auto"/>
              <w:bottom w:val="single" w:sz="4" w:space="0" w:color="auto"/>
            </w:tcBorders>
          </w:tcPr>
          <w:p w14:paraId="4BEEF222" w14:textId="77777777" w:rsidR="0000060D" w:rsidRPr="00C12B44" w:rsidRDefault="0000060D" w:rsidP="007A5D8C">
            <w:pPr>
              <w:autoSpaceDE w:val="0"/>
              <w:autoSpaceDN w:val="0"/>
              <w:adjustRightInd w:val="0"/>
              <w:spacing w:after="0" w:line="240" w:lineRule="auto"/>
              <w:jc w:val="center"/>
              <w:rPr>
                <w:rFonts w:ascii="Times New Roman" w:hAnsi="Times New Roman" w:cs="Times New Roman"/>
                <w:bCs/>
                <w:color w:val="000000"/>
                <w:sz w:val="24"/>
                <w:szCs w:val="24"/>
              </w:rPr>
            </w:pPr>
            <w:r w:rsidRPr="00C12B44">
              <w:rPr>
                <w:rFonts w:ascii="Times New Roman" w:hAnsi="Times New Roman" w:cs="Times New Roman"/>
                <w:bCs/>
                <w:color w:val="000000"/>
                <w:sz w:val="24"/>
                <w:szCs w:val="24"/>
              </w:rPr>
              <w:t>F</w:t>
            </w:r>
          </w:p>
        </w:tc>
        <w:tc>
          <w:tcPr>
            <w:tcW w:w="2522" w:type="dxa"/>
            <w:tcBorders>
              <w:top w:val="single" w:sz="4" w:space="0" w:color="auto"/>
              <w:bottom w:val="single" w:sz="4" w:space="0" w:color="auto"/>
            </w:tcBorders>
          </w:tcPr>
          <w:p w14:paraId="28CBD706" w14:textId="77777777" w:rsidR="0000060D" w:rsidRPr="00C12B44" w:rsidRDefault="0000060D" w:rsidP="007A5D8C">
            <w:pPr>
              <w:autoSpaceDE w:val="0"/>
              <w:autoSpaceDN w:val="0"/>
              <w:adjustRightInd w:val="0"/>
              <w:spacing w:after="0" w:line="240" w:lineRule="auto"/>
              <w:jc w:val="center"/>
              <w:rPr>
                <w:rFonts w:ascii="Times New Roman" w:hAnsi="Times New Roman" w:cs="Times New Roman"/>
                <w:bCs/>
                <w:color w:val="000000"/>
                <w:sz w:val="24"/>
                <w:szCs w:val="24"/>
              </w:rPr>
            </w:pPr>
            <w:r w:rsidRPr="00C12B44">
              <w:rPr>
                <w:rFonts w:ascii="Times New Roman" w:hAnsi="Times New Roman" w:cs="Times New Roman"/>
                <w:bCs/>
                <w:color w:val="000000"/>
                <w:sz w:val="24"/>
                <w:szCs w:val="24"/>
              </w:rPr>
              <w:t>Significance</w:t>
            </w:r>
          </w:p>
        </w:tc>
      </w:tr>
      <w:tr w:rsidR="0000060D" w:rsidRPr="00BE4AF3" w14:paraId="51E2C0BB" w14:textId="77777777" w:rsidTr="00C12B44">
        <w:trPr>
          <w:trHeight w:val="89"/>
          <w:jc w:val="center"/>
        </w:trPr>
        <w:tc>
          <w:tcPr>
            <w:tcW w:w="1679" w:type="dxa"/>
            <w:tcBorders>
              <w:top w:val="single" w:sz="4" w:space="0" w:color="auto"/>
            </w:tcBorders>
          </w:tcPr>
          <w:p w14:paraId="640911E4" w14:textId="77777777" w:rsidR="0000060D" w:rsidRPr="00BE4AF3" w:rsidRDefault="0000060D" w:rsidP="007A5D8C">
            <w:pPr>
              <w:autoSpaceDE w:val="0"/>
              <w:autoSpaceDN w:val="0"/>
              <w:adjustRightInd w:val="0"/>
              <w:spacing w:after="0" w:line="240" w:lineRule="auto"/>
              <w:ind w:left="60" w:right="60"/>
              <w:jc w:val="both"/>
              <w:rPr>
                <w:rFonts w:ascii="Times New Roman" w:hAnsi="Times New Roman" w:cs="Times New Roman"/>
                <w:sz w:val="24"/>
                <w:szCs w:val="24"/>
              </w:rPr>
            </w:pPr>
            <w:r w:rsidRPr="00BE4AF3">
              <w:rPr>
                <w:rFonts w:ascii="Times New Roman" w:hAnsi="Times New Roman" w:cs="Times New Roman"/>
                <w:sz w:val="24"/>
                <w:szCs w:val="24"/>
              </w:rPr>
              <w:t>Regression</w:t>
            </w:r>
          </w:p>
        </w:tc>
        <w:tc>
          <w:tcPr>
            <w:tcW w:w="1015" w:type="dxa"/>
            <w:tcBorders>
              <w:top w:val="single" w:sz="4" w:space="0" w:color="auto"/>
            </w:tcBorders>
          </w:tcPr>
          <w:p w14:paraId="4B003291" w14:textId="77777777" w:rsidR="0000060D" w:rsidRPr="00BE4AF3" w:rsidRDefault="0000060D" w:rsidP="007A5D8C">
            <w:pPr>
              <w:autoSpaceDE w:val="0"/>
              <w:autoSpaceDN w:val="0"/>
              <w:adjustRightInd w:val="0"/>
              <w:spacing w:after="0" w:line="240" w:lineRule="auto"/>
              <w:ind w:left="60" w:right="60"/>
              <w:rPr>
                <w:rFonts w:ascii="Times New Roman" w:hAnsi="Times New Roman" w:cs="Times New Roman"/>
                <w:sz w:val="24"/>
                <w:szCs w:val="24"/>
              </w:rPr>
            </w:pPr>
            <w:r w:rsidRPr="00BE4AF3">
              <w:rPr>
                <w:rFonts w:ascii="Times New Roman" w:hAnsi="Times New Roman" w:cs="Times New Roman"/>
                <w:sz w:val="24"/>
                <w:szCs w:val="24"/>
              </w:rPr>
              <w:t>51.436</w:t>
            </w:r>
          </w:p>
        </w:tc>
        <w:tc>
          <w:tcPr>
            <w:tcW w:w="1450" w:type="dxa"/>
            <w:tcBorders>
              <w:top w:val="single" w:sz="4" w:space="0" w:color="auto"/>
            </w:tcBorders>
          </w:tcPr>
          <w:p w14:paraId="61A0BD3D" w14:textId="77777777" w:rsidR="0000060D" w:rsidRPr="00BE4AF3" w:rsidRDefault="0000060D" w:rsidP="007A5D8C">
            <w:pPr>
              <w:autoSpaceDE w:val="0"/>
              <w:autoSpaceDN w:val="0"/>
              <w:adjustRightInd w:val="0"/>
              <w:spacing w:after="0" w:line="240" w:lineRule="auto"/>
              <w:ind w:left="60" w:right="60"/>
              <w:jc w:val="center"/>
              <w:rPr>
                <w:rFonts w:ascii="Times New Roman" w:hAnsi="Times New Roman" w:cs="Times New Roman"/>
                <w:sz w:val="24"/>
                <w:szCs w:val="24"/>
              </w:rPr>
            </w:pPr>
            <w:r w:rsidRPr="00BE4AF3">
              <w:rPr>
                <w:rFonts w:ascii="Times New Roman" w:hAnsi="Times New Roman" w:cs="Times New Roman"/>
                <w:sz w:val="24"/>
                <w:szCs w:val="24"/>
              </w:rPr>
              <w:t>12.859</w:t>
            </w:r>
          </w:p>
        </w:tc>
        <w:tc>
          <w:tcPr>
            <w:tcW w:w="1299" w:type="dxa"/>
            <w:tcBorders>
              <w:top w:val="single" w:sz="4" w:space="0" w:color="auto"/>
            </w:tcBorders>
          </w:tcPr>
          <w:p w14:paraId="6E88C1D2" w14:textId="77777777" w:rsidR="0000060D" w:rsidRPr="00BE4AF3" w:rsidRDefault="0000060D" w:rsidP="007A5D8C">
            <w:pPr>
              <w:autoSpaceDE w:val="0"/>
              <w:autoSpaceDN w:val="0"/>
              <w:adjustRightInd w:val="0"/>
              <w:spacing w:after="0" w:line="240" w:lineRule="auto"/>
              <w:ind w:left="60" w:right="60"/>
              <w:jc w:val="center"/>
              <w:rPr>
                <w:rFonts w:ascii="Times New Roman" w:hAnsi="Times New Roman" w:cs="Times New Roman"/>
                <w:sz w:val="24"/>
                <w:szCs w:val="24"/>
              </w:rPr>
            </w:pPr>
            <w:r w:rsidRPr="00BE4AF3">
              <w:rPr>
                <w:rFonts w:ascii="Times New Roman" w:hAnsi="Times New Roman" w:cs="Times New Roman"/>
                <w:sz w:val="24"/>
                <w:szCs w:val="24"/>
              </w:rPr>
              <w:t>101.249</w:t>
            </w:r>
          </w:p>
        </w:tc>
        <w:tc>
          <w:tcPr>
            <w:tcW w:w="2522" w:type="dxa"/>
            <w:tcBorders>
              <w:top w:val="single" w:sz="4" w:space="0" w:color="auto"/>
            </w:tcBorders>
          </w:tcPr>
          <w:p w14:paraId="0F808E60" w14:textId="77777777" w:rsidR="0000060D" w:rsidRPr="00BE4AF3" w:rsidRDefault="0000060D" w:rsidP="007A5D8C">
            <w:pPr>
              <w:autoSpaceDE w:val="0"/>
              <w:autoSpaceDN w:val="0"/>
              <w:adjustRightInd w:val="0"/>
              <w:spacing w:after="0" w:line="240" w:lineRule="auto"/>
              <w:ind w:left="60" w:right="60"/>
              <w:jc w:val="center"/>
              <w:rPr>
                <w:rFonts w:ascii="Times New Roman" w:hAnsi="Times New Roman" w:cs="Times New Roman"/>
                <w:sz w:val="24"/>
                <w:szCs w:val="24"/>
              </w:rPr>
            </w:pPr>
            <w:r w:rsidRPr="00BE4AF3">
              <w:rPr>
                <w:rFonts w:ascii="Times New Roman" w:hAnsi="Times New Roman" w:cs="Times New Roman"/>
                <w:sz w:val="24"/>
                <w:szCs w:val="24"/>
              </w:rPr>
              <w:t>.000</w:t>
            </w:r>
            <w:r w:rsidRPr="00BE4AF3">
              <w:rPr>
                <w:rFonts w:ascii="Times New Roman" w:hAnsi="Times New Roman" w:cs="Times New Roman"/>
                <w:sz w:val="24"/>
                <w:szCs w:val="24"/>
                <w:vertAlign w:val="superscript"/>
              </w:rPr>
              <w:t>b</w:t>
            </w:r>
          </w:p>
        </w:tc>
      </w:tr>
      <w:tr w:rsidR="0000060D" w:rsidRPr="00BE4AF3" w14:paraId="0C848D60" w14:textId="77777777" w:rsidTr="00C12B44">
        <w:trPr>
          <w:trHeight w:val="89"/>
          <w:jc w:val="center"/>
        </w:trPr>
        <w:tc>
          <w:tcPr>
            <w:tcW w:w="1679" w:type="dxa"/>
          </w:tcPr>
          <w:p w14:paraId="0308A732" w14:textId="77777777" w:rsidR="0000060D" w:rsidRPr="00BE4AF3" w:rsidRDefault="0000060D" w:rsidP="007A5D8C">
            <w:pPr>
              <w:autoSpaceDE w:val="0"/>
              <w:autoSpaceDN w:val="0"/>
              <w:adjustRightInd w:val="0"/>
              <w:spacing w:after="0" w:line="240" w:lineRule="auto"/>
              <w:ind w:left="60" w:right="60"/>
              <w:jc w:val="both"/>
              <w:rPr>
                <w:rFonts w:ascii="Times New Roman" w:hAnsi="Times New Roman" w:cs="Times New Roman"/>
                <w:sz w:val="24"/>
                <w:szCs w:val="24"/>
              </w:rPr>
            </w:pPr>
            <w:r w:rsidRPr="00BE4AF3">
              <w:rPr>
                <w:rFonts w:ascii="Times New Roman" w:hAnsi="Times New Roman" w:cs="Times New Roman"/>
                <w:sz w:val="24"/>
                <w:szCs w:val="24"/>
              </w:rPr>
              <w:t>Residual</w:t>
            </w:r>
          </w:p>
        </w:tc>
        <w:tc>
          <w:tcPr>
            <w:tcW w:w="1015" w:type="dxa"/>
          </w:tcPr>
          <w:p w14:paraId="7E02D3CB" w14:textId="77777777" w:rsidR="0000060D" w:rsidRPr="00BE4AF3" w:rsidRDefault="0000060D" w:rsidP="007A5D8C">
            <w:pPr>
              <w:autoSpaceDE w:val="0"/>
              <w:autoSpaceDN w:val="0"/>
              <w:adjustRightInd w:val="0"/>
              <w:spacing w:after="0" w:line="240" w:lineRule="auto"/>
              <w:ind w:left="60" w:right="60"/>
              <w:rPr>
                <w:rFonts w:ascii="Times New Roman" w:hAnsi="Times New Roman" w:cs="Times New Roman"/>
                <w:sz w:val="24"/>
                <w:szCs w:val="24"/>
              </w:rPr>
            </w:pPr>
            <w:r w:rsidRPr="00BE4AF3">
              <w:rPr>
                <w:rFonts w:ascii="Times New Roman" w:hAnsi="Times New Roman" w:cs="Times New Roman"/>
                <w:sz w:val="24"/>
                <w:szCs w:val="24"/>
              </w:rPr>
              <w:t>31.370</w:t>
            </w:r>
          </w:p>
        </w:tc>
        <w:tc>
          <w:tcPr>
            <w:tcW w:w="1450" w:type="dxa"/>
          </w:tcPr>
          <w:p w14:paraId="4D842083" w14:textId="77777777" w:rsidR="0000060D" w:rsidRPr="00BE4AF3" w:rsidRDefault="0000060D" w:rsidP="007A5D8C">
            <w:pPr>
              <w:autoSpaceDE w:val="0"/>
              <w:autoSpaceDN w:val="0"/>
              <w:adjustRightInd w:val="0"/>
              <w:spacing w:after="0" w:line="240" w:lineRule="auto"/>
              <w:ind w:left="60" w:right="60"/>
              <w:rPr>
                <w:rFonts w:ascii="Times New Roman" w:hAnsi="Times New Roman" w:cs="Times New Roman"/>
                <w:sz w:val="24"/>
                <w:szCs w:val="24"/>
              </w:rPr>
            </w:pPr>
            <w:r w:rsidRPr="00BE4AF3">
              <w:rPr>
                <w:rFonts w:ascii="Times New Roman" w:hAnsi="Times New Roman" w:cs="Times New Roman"/>
                <w:sz w:val="24"/>
                <w:szCs w:val="24"/>
              </w:rPr>
              <w:t xml:space="preserve">      .127</w:t>
            </w:r>
          </w:p>
        </w:tc>
        <w:tc>
          <w:tcPr>
            <w:tcW w:w="1299" w:type="dxa"/>
            <w:vAlign w:val="center"/>
          </w:tcPr>
          <w:p w14:paraId="60E0259E" w14:textId="77777777" w:rsidR="0000060D" w:rsidRPr="00BE4AF3" w:rsidRDefault="0000060D" w:rsidP="007A5D8C">
            <w:pPr>
              <w:autoSpaceDE w:val="0"/>
              <w:autoSpaceDN w:val="0"/>
              <w:adjustRightInd w:val="0"/>
              <w:spacing w:after="0" w:line="240" w:lineRule="auto"/>
              <w:rPr>
                <w:rFonts w:ascii="Times New Roman" w:hAnsi="Times New Roman" w:cs="Times New Roman"/>
                <w:sz w:val="24"/>
                <w:szCs w:val="24"/>
              </w:rPr>
            </w:pPr>
          </w:p>
        </w:tc>
        <w:tc>
          <w:tcPr>
            <w:tcW w:w="2522" w:type="dxa"/>
            <w:vAlign w:val="center"/>
          </w:tcPr>
          <w:p w14:paraId="12100B0C" w14:textId="77777777" w:rsidR="0000060D" w:rsidRPr="00BE4AF3" w:rsidRDefault="0000060D" w:rsidP="007A5D8C">
            <w:pPr>
              <w:autoSpaceDE w:val="0"/>
              <w:autoSpaceDN w:val="0"/>
              <w:adjustRightInd w:val="0"/>
              <w:spacing w:after="0" w:line="240" w:lineRule="auto"/>
              <w:rPr>
                <w:rFonts w:ascii="Times New Roman" w:hAnsi="Times New Roman" w:cs="Times New Roman"/>
                <w:sz w:val="24"/>
                <w:szCs w:val="24"/>
              </w:rPr>
            </w:pPr>
          </w:p>
        </w:tc>
      </w:tr>
      <w:tr w:rsidR="0000060D" w:rsidRPr="00BE4AF3" w14:paraId="3EB8E91D" w14:textId="77777777" w:rsidTr="00C12B44">
        <w:trPr>
          <w:trHeight w:val="89"/>
          <w:jc w:val="center"/>
        </w:trPr>
        <w:tc>
          <w:tcPr>
            <w:tcW w:w="1679" w:type="dxa"/>
          </w:tcPr>
          <w:p w14:paraId="54305053" w14:textId="74B190A9" w:rsidR="0000060D" w:rsidRPr="00BE4AF3" w:rsidRDefault="0000060D" w:rsidP="007A5D8C">
            <w:pPr>
              <w:autoSpaceDE w:val="0"/>
              <w:autoSpaceDN w:val="0"/>
              <w:adjustRightInd w:val="0"/>
              <w:spacing w:after="0" w:line="240" w:lineRule="auto"/>
              <w:ind w:left="60" w:right="60"/>
              <w:jc w:val="both"/>
              <w:rPr>
                <w:rFonts w:ascii="Times New Roman" w:hAnsi="Times New Roman" w:cs="Times New Roman"/>
                <w:b/>
                <w:noProof/>
                <w:sz w:val="24"/>
                <w:szCs w:val="24"/>
              </w:rPr>
            </w:pPr>
            <w:r w:rsidRPr="00BE4AF3">
              <w:rPr>
                <w:rFonts w:ascii="Times New Roman" w:hAnsi="Times New Roman" w:cs="Times New Roman"/>
                <w:b/>
                <w:noProof/>
                <w:sz w:val="24"/>
                <w:szCs w:val="24"/>
              </w:rPr>
              <w:t>Total</w:t>
            </w:r>
          </w:p>
        </w:tc>
        <w:tc>
          <w:tcPr>
            <w:tcW w:w="1015" w:type="dxa"/>
          </w:tcPr>
          <w:p w14:paraId="5C865FAF" w14:textId="77777777" w:rsidR="0000060D" w:rsidRPr="00BE4AF3" w:rsidRDefault="0000060D" w:rsidP="007A5D8C">
            <w:pPr>
              <w:autoSpaceDE w:val="0"/>
              <w:autoSpaceDN w:val="0"/>
              <w:adjustRightInd w:val="0"/>
              <w:spacing w:after="0" w:line="240" w:lineRule="auto"/>
              <w:ind w:left="60" w:right="60"/>
              <w:rPr>
                <w:rFonts w:ascii="Times New Roman" w:hAnsi="Times New Roman" w:cs="Times New Roman"/>
                <w:sz w:val="24"/>
                <w:szCs w:val="24"/>
              </w:rPr>
            </w:pPr>
            <w:r w:rsidRPr="00BE4AF3">
              <w:rPr>
                <w:rFonts w:ascii="Times New Roman" w:hAnsi="Times New Roman" w:cs="Times New Roman"/>
                <w:sz w:val="24"/>
                <w:szCs w:val="24"/>
              </w:rPr>
              <w:t>82.806</w:t>
            </w:r>
          </w:p>
        </w:tc>
        <w:tc>
          <w:tcPr>
            <w:tcW w:w="1450" w:type="dxa"/>
          </w:tcPr>
          <w:p w14:paraId="2A11AD1E" w14:textId="77777777" w:rsidR="0000060D" w:rsidRPr="00BE4AF3" w:rsidRDefault="0000060D" w:rsidP="007A5D8C">
            <w:pPr>
              <w:autoSpaceDE w:val="0"/>
              <w:autoSpaceDN w:val="0"/>
              <w:adjustRightInd w:val="0"/>
              <w:spacing w:after="0" w:line="240" w:lineRule="auto"/>
              <w:ind w:left="60" w:right="60"/>
              <w:jc w:val="center"/>
              <w:rPr>
                <w:rFonts w:ascii="Times New Roman" w:hAnsi="Times New Roman" w:cs="Times New Roman"/>
                <w:sz w:val="24"/>
                <w:szCs w:val="24"/>
              </w:rPr>
            </w:pPr>
          </w:p>
        </w:tc>
        <w:tc>
          <w:tcPr>
            <w:tcW w:w="1299" w:type="dxa"/>
          </w:tcPr>
          <w:p w14:paraId="032B2AFF" w14:textId="77777777" w:rsidR="0000060D" w:rsidRPr="00BE4AF3" w:rsidRDefault="0000060D" w:rsidP="007A5D8C">
            <w:pPr>
              <w:autoSpaceDE w:val="0"/>
              <w:autoSpaceDN w:val="0"/>
              <w:adjustRightInd w:val="0"/>
              <w:spacing w:after="0" w:line="240" w:lineRule="auto"/>
              <w:ind w:left="60" w:right="60"/>
              <w:jc w:val="center"/>
              <w:rPr>
                <w:rFonts w:ascii="Times New Roman" w:hAnsi="Times New Roman" w:cs="Times New Roman"/>
                <w:sz w:val="24"/>
                <w:szCs w:val="24"/>
              </w:rPr>
            </w:pPr>
          </w:p>
        </w:tc>
        <w:tc>
          <w:tcPr>
            <w:tcW w:w="2522" w:type="dxa"/>
          </w:tcPr>
          <w:p w14:paraId="2A1D3CF9" w14:textId="77777777" w:rsidR="0000060D" w:rsidRPr="00BE4AF3" w:rsidRDefault="0000060D" w:rsidP="007A5D8C">
            <w:pPr>
              <w:spacing w:after="0" w:line="240" w:lineRule="auto"/>
              <w:jc w:val="center"/>
              <w:rPr>
                <w:rFonts w:ascii="Times New Roman" w:hAnsi="Times New Roman" w:cs="Times New Roman"/>
                <w:b/>
                <w:bCs/>
                <w:sz w:val="24"/>
                <w:szCs w:val="24"/>
              </w:rPr>
            </w:pPr>
          </w:p>
        </w:tc>
      </w:tr>
    </w:tbl>
    <w:p w14:paraId="56D3C10B" w14:textId="77777777" w:rsidR="0000060D" w:rsidRPr="00C12B44" w:rsidRDefault="0000060D" w:rsidP="00C12B44">
      <w:pPr>
        <w:pStyle w:val="Default"/>
        <w:jc w:val="center"/>
      </w:pPr>
      <w:r w:rsidRPr="00C12B44">
        <w:t>Source: Researcher’s fieldwork (2025)</w:t>
      </w:r>
    </w:p>
    <w:p w14:paraId="0D7315F1" w14:textId="77777777" w:rsidR="00C12B44" w:rsidRDefault="00C12B44" w:rsidP="007A5D8C">
      <w:pPr>
        <w:autoSpaceDE w:val="0"/>
        <w:autoSpaceDN w:val="0"/>
        <w:adjustRightInd w:val="0"/>
        <w:spacing w:after="0" w:line="240" w:lineRule="auto"/>
        <w:jc w:val="both"/>
        <w:rPr>
          <w:rFonts w:ascii="Times New Roman" w:hAnsi="Times New Roman" w:cs="Times New Roman"/>
          <w:b/>
          <w:sz w:val="24"/>
          <w:szCs w:val="24"/>
        </w:rPr>
      </w:pPr>
    </w:p>
    <w:p w14:paraId="14A1B617" w14:textId="0CC57055" w:rsidR="0000060D" w:rsidRPr="00BE4AF3" w:rsidRDefault="0000060D" w:rsidP="007A5D8C">
      <w:pPr>
        <w:autoSpaceDE w:val="0"/>
        <w:autoSpaceDN w:val="0"/>
        <w:adjustRightInd w:val="0"/>
        <w:spacing w:after="0" w:line="240" w:lineRule="auto"/>
        <w:jc w:val="both"/>
        <w:rPr>
          <w:rFonts w:ascii="Times New Roman" w:hAnsi="Times New Roman" w:cs="Times New Roman"/>
          <w:color w:val="010205"/>
          <w:sz w:val="24"/>
          <w:szCs w:val="24"/>
        </w:rPr>
      </w:pPr>
      <w:r w:rsidRPr="00BE4AF3">
        <w:rPr>
          <w:rFonts w:ascii="Times New Roman" w:hAnsi="Times New Roman" w:cs="Times New Roman"/>
          <w:b/>
          <w:sz w:val="24"/>
          <w:szCs w:val="24"/>
        </w:rPr>
        <w:t>Predictors (Constant),</w:t>
      </w:r>
      <w:r w:rsidRPr="00BE4AF3">
        <w:rPr>
          <w:rFonts w:ascii="Times New Roman" w:hAnsi="Times New Roman" w:cs="Times New Roman"/>
          <w:sz w:val="24"/>
          <w:szCs w:val="24"/>
        </w:rPr>
        <w:t xml:space="preserve"> </w:t>
      </w:r>
      <w:r w:rsidRPr="00BE4AF3">
        <w:rPr>
          <w:rFonts w:ascii="Times New Roman" w:hAnsi="Times New Roman" w:cs="Times New Roman"/>
          <w:color w:val="010205"/>
          <w:sz w:val="24"/>
          <w:szCs w:val="24"/>
        </w:rPr>
        <w:t>Cost Report, Cost Control, Budget, Cost Estimate</w:t>
      </w:r>
    </w:p>
    <w:p w14:paraId="1AD343D5" w14:textId="77777777" w:rsidR="0000060D" w:rsidRPr="00BE4AF3" w:rsidRDefault="0000060D" w:rsidP="007A5D8C">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Dependent Variable</w:t>
      </w:r>
      <w:r w:rsidRPr="00BE4AF3">
        <w:rPr>
          <w:rFonts w:ascii="Times New Roman" w:hAnsi="Times New Roman" w:cs="Times New Roman"/>
          <w:sz w:val="24"/>
          <w:szCs w:val="24"/>
        </w:rPr>
        <w:t>: Performance.</w:t>
      </w:r>
    </w:p>
    <w:p w14:paraId="35DE140D" w14:textId="77777777" w:rsidR="0000060D" w:rsidRPr="00BE4AF3" w:rsidRDefault="0000060D" w:rsidP="007A5D8C">
      <w:pPr>
        <w:autoSpaceDE w:val="0"/>
        <w:autoSpaceDN w:val="0"/>
        <w:adjustRightInd w:val="0"/>
        <w:spacing w:after="0" w:line="240" w:lineRule="auto"/>
        <w:jc w:val="both"/>
        <w:rPr>
          <w:rFonts w:ascii="Times New Roman" w:hAnsi="Times New Roman" w:cs="Times New Roman"/>
          <w:bCs/>
          <w:color w:val="000000"/>
          <w:sz w:val="24"/>
          <w:szCs w:val="24"/>
        </w:rPr>
      </w:pPr>
      <w:r w:rsidRPr="00BE4AF3">
        <w:rPr>
          <w:rFonts w:ascii="Times New Roman" w:hAnsi="Times New Roman" w:cs="Times New Roman"/>
          <w:sz w:val="24"/>
          <w:szCs w:val="24"/>
        </w:rPr>
        <w:t xml:space="preserve">From Table 6, the model was confirmed with an F value of 101.249 which is significant at the 5% level of significance which implies the model has the capacity to capture the contribution. Also, the collinearity statistics, Tolerance and Variance Inflation Factor (VIF) values are satisfactory, which signifies no problem with the linearity assumption of regression. Consequently, the predictive power of each of the individual variables of cost resources management practices as presented in the analysis suffices. </w:t>
      </w:r>
      <w:r w:rsidRPr="00BE4AF3">
        <w:rPr>
          <w:rFonts w:ascii="Times New Roman" w:hAnsi="Times New Roman" w:cs="Times New Roman"/>
          <w:bCs/>
          <w:color w:val="000000"/>
          <w:sz w:val="24"/>
          <w:szCs w:val="24"/>
        </w:rPr>
        <w:t>Consequently, it is evident that cost resources management practices do have significant effects on the performance of the construction firms.</w:t>
      </w:r>
    </w:p>
    <w:p w14:paraId="23B4101D" w14:textId="77777777" w:rsidR="0000060D" w:rsidRPr="00BE4AF3" w:rsidRDefault="0000060D" w:rsidP="007A5D8C">
      <w:pPr>
        <w:spacing w:after="0" w:line="240" w:lineRule="auto"/>
        <w:rPr>
          <w:rFonts w:ascii="Times New Roman" w:hAnsi="Times New Roman" w:cs="Times New Roman"/>
          <w:b/>
          <w:sz w:val="24"/>
          <w:szCs w:val="24"/>
        </w:rPr>
      </w:pPr>
    </w:p>
    <w:p w14:paraId="4DDAF6C3" w14:textId="77777777" w:rsidR="0000060D" w:rsidRPr="00BE4AF3" w:rsidRDefault="0000060D" w:rsidP="007A5D8C">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Conclusion</w:t>
      </w:r>
    </w:p>
    <w:p w14:paraId="64396297" w14:textId="77777777" w:rsidR="0000060D" w:rsidRPr="00BE4AF3" w:rsidRDefault="0000060D" w:rsidP="007A5D8C">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This study identifies the factors affecting cost management practices in the Construction firms in the Oke-Ogun area, Oyo State. Based on this finding, the study concluded that;</w:t>
      </w:r>
    </w:p>
    <w:p w14:paraId="08882D33" w14:textId="77777777" w:rsidR="0000060D" w:rsidRPr="00BE4AF3" w:rsidRDefault="0000060D" w:rsidP="007A5D8C">
      <w:pPr>
        <w:pStyle w:val="ListParagraph"/>
        <w:numPr>
          <w:ilvl w:val="0"/>
          <w:numId w:val="22"/>
        </w:numPr>
        <w:spacing w:after="0" w:line="240" w:lineRule="auto"/>
        <w:rPr>
          <w:rFonts w:ascii="Times New Roman" w:hAnsi="Times New Roman"/>
          <w:sz w:val="24"/>
          <w:szCs w:val="24"/>
        </w:rPr>
      </w:pPr>
      <w:r w:rsidRPr="00BE4AF3">
        <w:rPr>
          <w:rFonts w:ascii="Times New Roman" w:hAnsi="Times New Roman"/>
          <w:sz w:val="24"/>
          <w:szCs w:val="24"/>
        </w:rPr>
        <w:t>Factors affecting cost management practices are both external factors and internal factors. Internal factors are those within the control of the firm while external are those that the firms/organization has no power to control or manipulate.</w:t>
      </w:r>
    </w:p>
    <w:p w14:paraId="6B3AB80B" w14:textId="77777777" w:rsidR="0000060D" w:rsidRPr="00BE4AF3" w:rsidRDefault="0000060D" w:rsidP="007A5D8C">
      <w:pPr>
        <w:pStyle w:val="ListParagraph"/>
        <w:numPr>
          <w:ilvl w:val="0"/>
          <w:numId w:val="22"/>
        </w:numPr>
        <w:spacing w:after="0" w:line="240" w:lineRule="auto"/>
        <w:rPr>
          <w:rFonts w:ascii="Times New Roman" w:hAnsi="Times New Roman"/>
          <w:sz w:val="24"/>
          <w:szCs w:val="24"/>
        </w:rPr>
      </w:pPr>
      <w:r w:rsidRPr="00BE4AF3">
        <w:rPr>
          <w:rFonts w:ascii="Times New Roman" w:hAnsi="Times New Roman"/>
          <w:sz w:val="24"/>
          <w:szCs w:val="24"/>
        </w:rPr>
        <w:t xml:space="preserve">Cost  management practices has effect on performance of construction firms. </w:t>
      </w:r>
    </w:p>
    <w:p w14:paraId="46B378E1" w14:textId="77777777"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Based on the findings and the above conclusion, the paper now recommends that,</w:t>
      </w:r>
    </w:p>
    <w:p w14:paraId="6E312561" w14:textId="77777777" w:rsidR="0000060D" w:rsidRPr="00BE4AF3" w:rsidRDefault="0000060D" w:rsidP="007A5D8C">
      <w:pPr>
        <w:pStyle w:val="ListParagraph"/>
        <w:numPr>
          <w:ilvl w:val="0"/>
          <w:numId w:val="23"/>
        </w:numPr>
        <w:spacing w:after="0" w:line="240" w:lineRule="auto"/>
        <w:jc w:val="both"/>
        <w:rPr>
          <w:rFonts w:ascii="Times New Roman" w:hAnsi="Times New Roman"/>
          <w:sz w:val="24"/>
          <w:szCs w:val="24"/>
        </w:rPr>
      </w:pPr>
      <w:r w:rsidRPr="00BE4AF3">
        <w:rPr>
          <w:rFonts w:ascii="Times New Roman" w:hAnsi="Times New Roman"/>
          <w:sz w:val="24"/>
          <w:szCs w:val="24"/>
        </w:rPr>
        <w:t xml:space="preserve"> in order to prevent cost overrun during the project, allocation of cost on other resources should be carried out early at the inception of the project.</w:t>
      </w:r>
    </w:p>
    <w:p w14:paraId="6E73EBAD" w14:textId="77777777" w:rsidR="0000060D" w:rsidRPr="00BE4AF3" w:rsidRDefault="0000060D" w:rsidP="007A5D8C">
      <w:pPr>
        <w:pStyle w:val="ListParagraph"/>
        <w:numPr>
          <w:ilvl w:val="0"/>
          <w:numId w:val="23"/>
        </w:numPr>
        <w:spacing w:after="0" w:line="240" w:lineRule="auto"/>
        <w:jc w:val="both"/>
        <w:rPr>
          <w:rFonts w:ascii="Times New Roman" w:hAnsi="Times New Roman"/>
          <w:sz w:val="24"/>
          <w:szCs w:val="24"/>
        </w:rPr>
      </w:pPr>
      <w:r w:rsidRPr="00BE4AF3">
        <w:rPr>
          <w:rFonts w:ascii="Times New Roman" w:hAnsi="Times New Roman"/>
          <w:sz w:val="24"/>
          <w:szCs w:val="24"/>
        </w:rPr>
        <w:t>Clients’ requirements and scope should be well designed and greed upon before the commencement of work.</w:t>
      </w:r>
    </w:p>
    <w:p w14:paraId="70254C59" w14:textId="77777777" w:rsidR="0000060D" w:rsidRPr="00BE4AF3" w:rsidRDefault="0000060D" w:rsidP="007A5D8C">
      <w:pPr>
        <w:pStyle w:val="ListParagraph"/>
        <w:numPr>
          <w:ilvl w:val="0"/>
          <w:numId w:val="23"/>
        </w:numPr>
        <w:spacing w:after="0" w:line="240" w:lineRule="auto"/>
        <w:jc w:val="both"/>
        <w:rPr>
          <w:rFonts w:ascii="Times New Roman" w:hAnsi="Times New Roman"/>
          <w:sz w:val="24"/>
          <w:szCs w:val="24"/>
        </w:rPr>
      </w:pPr>
      <w:r w:rsidRPr="00BE4AF3">
        <w:rPr>
          <w:rFonts w:ascii="Times New Roman" w:hAnsi="Times New Roman"/>
          <w:sz w:val="24"/>
          <w:szCs w:val="24"/>
        </w:rPr>
        <w:t>The managers (site and project) and supervisors should be well trained and exposed to gain the required experience(s) on management of resources.</w:t>
      </w:r>
    </w:p>
    <w:p w14:paraId="61EEDFF3" w14:textId="77777777" w:rsidR="0000060D" w:rsidRPr="00BE4AF3" w:rsidRDefault="0000060D" w:rsidP="007A5D8C">
      <w:pPr>
        <w:spacing w:after="0" w:line="240" w:lineRule="auto"/>
        <w:rPr>
          <w:rFonts w:ascii="Times New Roman" w:hAnsi="Times New Roman" w:cs="Times New Roman"/>
          <w:b/>
          <w:sz w:val="24"/>
          <w:szCs w:val="24"/>
        </w:rPr>
      </w:pPr>
    </w:p>
    <w:p w14:paraId="24126397" w14:textId="77777777" w:rsidR="0000060D" w:rsidRPr="00BE4AF3" w:rsidRDefault="0000060D" w:rsidP="007A5D8C">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References</w:t>
      </w:r>
    </w:p>
    <w:p w14:paraId="70836A6C" w14:textId="77777777" w:rsidR="0000060D" w:rsidRPr="00BE4AF3" w:rsidRDefault="0000060D" w:rsidP="007A5D8C">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Abhishek, A. S &amp; Aditya, P. M. (2017). Overview of Human resources management in the</w:t>
      </w:r>
    </w:p>
    <w:p w14:paraId="7C96B7E1" w14:textId="77777777" w:rsidR="0000060D" w:rsidRPr="00BE4AF3" w:rsidRDefault="0000060D" w:rsidP="007A5D8C">
      <w:pPr>
        <w:autoSpaceDE w:val="0"/>
        <w:autoSpaceDN w:val="0"/>
        <w:adjustRightInd w:val="0"/>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sz w:val="24"/>
          <w:szCs w:val="24"/>
        </w:rPr>
        <w:t xml:space="preserve"> construction Industry. </w:t>
      </w:r>
      <w:r w:rsidRPr="00BE4AF3">
        <w:rPr>
          <w:rFonts w:ascii="Times New Roman" w:hAnsi="Times New Roman" w:cs="Times New Roman"/>
          <w:i/>
          <w:sz w:val="24"/>
          <w:szCs w:val="24"/>
        </w:rPr>
        <w:t>International Journal of Advance Research and Publications</w:t>
      </w:r>
      <w:r w:rsidRPr="00BE4AF3">
        <w:rPr>
          <w:rFonts w:ascii="Times New Roman" w:hAnsi="Times New Roman" w:cs="Times New Roman"/>
          <w:sz w:val="24"/>
          <w:szCs w:val="24"/>
        </w:rPr>
        <w:t xml:space="preserve">. </w:t>
      </w:r>
    </w:p>
    <w:p w14:paraId="3D191C50" w14:textId="77777777" w:rsidR="0000060D" w:rsidRPr="00BE4AF3" w:rsidRDefault="0000060D" w:rsidP="007A5D8C">
      <w:pPr>
        <w:autoSpaceDE w:val="0"/>
        <w:autoSpaceDN w:val="0"/>
        <w:adjustRightInd w:val="0"/>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sz w:val="24"/>
          <w:szCs w:val="24"/>
        </w:rPr>
        <w:t>1(6), Pp 81-84</w:t>
      </w:r>
    </w:p>
    <w:p w14:paraId="260A4921" w14:textId="77777777" w:rsidR="00C12B44" w:rsidRDefault="0000060D" w:rsidP="007A5D8C">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Adedeji &amp; Ajayi (2020). Causes of conflict in construction projects in Ondo State, Nigeria</w:t>
      </w:r>
      <w:r w:rsidRPr="00BE4AF3">
        <w:rPr>
          <w:rFonts w:ascii="Times New Roman" w:hAnsi="Times New Roman" w:cs="Times New Roman"/>
          <w:sz w:val="24"/>
          <w:szCs w:val="24"/>
        </w:rPr>
        <w:tab/>
      </w:r>
      <w:r w:rsidRPr="00BE4AF3">
        <w:rPr>
          <w:rFonts w:ascii="Times New Roman" w:hAnsi="Times New Roman" w:cs="Times New Roman"/>
          <w:i/>
          <w:sz w:val="24"/>
          <w:szCs w:val="24"/>
        </w:rPr>
        <w:t>International Journal if Civil Engineering, Construction and Estate Management</w:t>
      </w:r>
      <w:r w:rsidRPr="00BE4AF3">
        <w:rPr>
          <w:rFonts w:ascii="Times New Roman" w:hAnsi="Times New Roman" w:cs="Times New Roman"/>
          <w:sz w:val="24"/>
          <w:szCs w:val="24"/>
        </w:rPr>
        <w:t xml:space="preserve">, </w:t>
      </w:r>
      <w:r w:rsidR="00C12B44">
        <w:rPr>
          <w:rFonts w:ascii="Times New Roman" w:hAnsi="Times New Roman" w:cs="Times New Roman"/>
          <w:sz w:val="24"/>
          <w:szCs w:val="24"/>
        </w:rPr>
        <w:t xml:space="preserve"> </w:t>
      </w:r>
    </w:p>
    <w:p w14:paraId="08FA6DFE" w14:textId="6C052029" w:rsidR="0000060D" w:rsidRPr="00BE4AF3" w:rsidRDefault="00C12B44" w:rsidP="007A5D8C">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0060D" w:rsidRPr="00BE4AF3">
        <w:rPr>
          <w:rFonts w:ascii="Times New Roman" w:hAnsi="Times New Roman" w:cs="Times New Roman"/>
          <w:sz w:val="24"/>
          <w:szCs w:val="24"/>
        </w:rPr>
        <w:t>10(3), 49-59.</w:t>
      </w:r>
    </w:p>
    <w:p w14:paraId="0A5A4EF7" w14:textId="77777777" w:rsidR="0000060D" w:rsidRPr="00BE4AF3" w:rsidRDefault="0000060D" w:rsidP="007A5D8C">
      <w:pPr>
        <w:pStyle w:val="Default"/>
        <w:rPr>
          <w:bCs/>
          <w:color w:val="auto"/>
        </w:rPr>
      </w:pPr>
      <w:r w:rsidRPr="00BE4AF3">
        <w:rPr>
          <w:bCs/>
          <w:color w:val="auto"/>
        </w:rPr>
        <w:t xml:space="preserve">Adigbole, E. A., Adebayo, A.O. and Osemene, O F. (2020): Strategic cost management </w:t>
      </w:r>
    </w:p>
    <w:p w14:paraId="45941B38" w14:textId="77777777" w:rsidR="0000060D" w:rsidRPr="00BE4AF3" w:rsidRDefault="0000060D" w:rsidP="007A5D8C">
      <w:pPr>
        <w:pStyle w:val="Default"/>
        <w:rPr>
          <w:bCs/>
          <w:color w:val="auto"/>
        </w:rPr>
      </w:pPr>
      <w:r w:rsidRPr="00BE4AF3">
        <w:rPr>
          <w:bCs/>
          <w:color w:val="auto"/>
        </w:rPr>
        <w:tab/>
        <w:t xml:space="preserve">practices and organizational performance: a study of manufacturing firms in Nigeria. </w:t>
      </w:r>
    </w:p>
    <w:p w14:paraId="5DE503BE" w14:textId="77777777" w:rsidR="0000060D" w:rsidRPr="00BE4AF3" w:rsidRDefault="0000060D" w:rsidP="007A5D8C">
      <w:pPr>
        <w:pStyle w:val="Default"/>
      </w:pPr>
      <w:r w:rsidRPr="00BE4AF3">
        <w:rPr>
          <w:bCs/>
          <w:color w:val="auto"/>
        </w:rPr>
        <w:tab/>
      </w:r>
      <w:r w:rsidRPr="00BE4AF3">
        <w:rPr>
          <w:i/>
        </w:rPr>
        <w:t>Global Journal of Accounting and Finance</w:t>
      </w:r>
      <w:r w:rsidRPr="00BE4AF3">
        <w:t xml:space="preserve"> 4(1)</w:t>
      </w:r>
    </w:p>
    <w:p w14:paraId="35CD660B" w14:textId="77777777"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Ajao, A.C., Ajayi, M.O. &amp; Ojo J.O. (2024). Resources management practices and performance </w:t>
      </w:r>
    </w:p>
    <w:p w14:paraId="23D07B8E" w14:textId="77777777" w:rsidR="0000060D" w:rsidRPr="00BE4AF3" w:rsidRDefault="0000060D" w:rsidP="007A5D8C">
      <w:pPr>
        <w:spacing w:after="0" w:line="240" w:lineRule="auto"/>
        <w:ind w:left="720"/>
        <w:jc w:val="both"/>
        <w:rPr>
          <w:rFonts w:ascii="Times New Roman" w:hAnsi="Times New Roman" w:cs="Times New Roman"/>
          <w:i/>
          <w:sz w:val="24"/>
          <w:szCs w:val="24"/>
        </w:rPr>
      </w:pPr>
      <w:r w:rsidRPr="00BE4AF3">
        <w:rPr>
          <w:rFonts w:ascii="Times New Roman" w:hAnsi="Times New Roman" w:cs="Times New Roman"/>
          <w:sz w:val="24"/>
          <w:szCs w:val="24"/>
        </w:rPr>
        <w:t xml:space="preserve">of construction firms in Southwest, Nigeria. </w:t>
      </w:r>
      <w:r w:rsidRPr="00BE4AF3">
        <w:rPr>
          <w:rFonts w:ascii="Times New Roman" w:hAnsi="Times New Roman" w:cs="Times New Roman"/>
          <w:i/>
          <w:sz w:val="24"/>
          <w:szCs w:val="24"/>
        </w:rPr>
        <w:t>International Journal of Environmental Research and Earth Science, 4(4)</w:t>
      </w:r>
    </w:p>
    <w:p w14:paraId="1020BBF9" w14:textId="77777777"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lastRenderedPageBreak/>
        <w:t>Amaechi, C. E. (2016). Evaluation of the extent of TETFund contribution towards quality</w:t>
      </w:r>
      <w:r w:rsidRPr="00BE4AF3">
        <w:rPr>
          <w:rFonts w:ascii="Times New Roman" w:hAnsi="Times New Roman" w:cs="Times New Roman"/>
          <w:sz w:val="24"/>
          <w:szCs w:val="24"/>
        </w:rPr>
        <w:tab/>
        <w:t xml:space="preserve">transformation of tertiary institutions in Imo State. </w:t>
      </w:r>
      <w:r w:rsidRPr="00BE4AF3">
        <w:rPr>
          <w:rFonts w:ascii="Times New Roman" w:hAnsi="Times New Roman" w:cs="Times New Roman"/>
          <w:i/>
          <w:sz w:val="24"/>
          <w:szCs w:val="24"/>
        </w:rPr>
        <w:t>Journal of Pristine</w:t>
      </w:r>
      <w:r w:rsidRPr="00BE4AF3">
        <w:rPr>
          <w:rFonts w:ascii="Times New Roman" w:hAnsi="Times New Roman" w:cs="Times New Roman"/>
          <w:sz w:val="24"/>
          <w:szCs w:val="24"/>
        </w:rPr>
        <w:t>, 12(1), 198-209.</w:t>
      </w:r>
    </w:p>
    <w:p w14:paraId="52D7FA93" w14:textId="77777777"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Anthony B. and Jaya S. (2021). Resource management practices and construction projects</w:t>
      </w:r>
      <w:r w:rsidRPr="00BE4AF3">
        <w:rPr>
          <w:rFonts w:ascii="Times New Roman" w:hAnsi="Times New Roman" w:cs="Times New Roman"/>
          <w:sz w:val="24"/>
          <w:szCs w:val="24"/>
        </w:rPr>
        <w:tab/>
        <w:t>performance in Rwanda case of Land Survey Engineering Consultancy Limited.</w:t>
      </w:r>
      <w:r w:rsidRPr="00BE4AF3">
        <w:rPr>
          <w:rFonts w:ascii="Times New Roman" w:hAnsi="Times New Roman" w:cs="Times New Roman"/>
          <w:sz w:val="24"/>
          <w:szCs w:val="24"/>
        </w:rPr>
        <w:tab/>
      </w:r>
      <w:r w:rsidRPr="00BE4AF3">
        <w:rPr>
          <w:rFonts w:ascii="Times New Roman" w:hAnsi="Times New Roman" w:cs="Times New Roman"/>
          <w:i/>
          <w:sz w:val="24"/>
          <w:szCs w:val="24"/>
        </w:rPr>
        <w:t>International Journal of Scientific and Research Publications</w:t>
      </w:r>
      <w:r w:rsidRPr="00BE4AF3">
        <w:rPr>
          <w:rFonts w:ascii="Times New Roman" w:hAnsi="Times New Roman" w:cs="Times New Roman"/>
          <w:sz w:val="24"/>
          <w:szCs w:val="24"/>
        </w:rPr>
        <w:t>, 11(5), Pp 797 – 805</w:t>
      </w:r>
    </w:p>
    <w:p w14:paraId="42B4BF4E" w14:textId="77777777" w:rsidR="0000060D" w:rsidRPr="00BE4AF3" w:rsidRDefault="0000060D" w:rsidP="007A5D8C">
      <w:pPr>
        <w:spacing w:after="0" w:line="240" w:lineRule="auto"/>
        <w:jc w:val="both"/>
        <w:rPr>
          <w:rFonts w:ascii="Times New Roman" w:hAnsi="Times New Roman" w:cs="Times New Roman"/>
          <w:i/>
          <w:sz w:val="24"/>
          <w:szCs w:val="24"/>
        </w:rPr>
      </w:pPr>
      <w:r w:rsidRPr="00BE4AF3">
        <w:rPr>
          <w:rFonts w:ascii="Times New Roman" w:hAnsi="Times New Roman" w:cs="Times New Roman"/>
          <w:sz w:val="24"/>
          <w:szCs w:val="24"/>
        </w:rPr>
        <w:t>Babalola, H.I. &amp; Ojo, O.J. (2016). An investigation into factors affecting the performance of</w:t>
      </w:r>
      <w:r w:rsidRPr="00BE4AF3">
        <w:rPr>
          <w:rFonts w:ascii="Times New Roman" w:hAnsi="Times New Roman" w:cs="Times New Roman"/>
          <w:sz w:val="24"/>
          <w:szCs w:val="24"/>
        </w:rPr>
        <w:tab/>
        <w:t xml:space="preserve">Public construction projects in Ondo State, Southwest, Nigeria. </w:t>
      </w:r>
      <w:r w:rsidRPr="00BE4AF3">
        <w:rPr>
          <w:rFonts w:ascii="Times New Roman" w:hAnsi="Times New Roman" w:cs="Times New Roman"/>
          <w:i/>
          <w:sz w:val="24"/>
          <w:szCs w:val="24"/>
        </w:rPr>
        <w:t xml:space="preserve">Civil and </w:t>
      </w:r>
    </w:p>
    <w:p w14:paraId="2B1BEE60" w14:textId="77777777" w:rsidR="0000060D" w:rsidRPr="00BE4AF3" w:rsidRDefault="0000060D" w:rsidP="007A5D8C">
      <w:pPr>
        <w:spacing w:after="0" w:line="240" w:lineRule="auto"/>
        <w:jc w:val="both"/>
        <w:rPr>
          <w:rFonts w:ascii="Times New Roman" w:hAnsi="Times New Roman" w:cs="Times New Roman"/>
          <w:i/>
          <w:sz w:val="24"/>
          <w:szCs w:val="24"/>
        </w:rPr>
      </w:pPr>
      <w:r w:rsidRPr="00BE4AF3">
        <w:rPr>
          <w:rFonts w:ascii="Times New Roman" w:hAnsi="Times New Roman" w:cs="Times New Roman"/>
          <w:i/>
          <w:sz w:val="24"/>
          <w:szCs w:val="24"/>
        </w:rPr>
        <w:tab/>
        <w:t>Environmental research, 8, (1) Pp 72-79</w:t>
      </w:r>
    </w:p>
    <w:p w14:paraId="06D59C76" w14:textId="1BAFA422"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Chikara, K. (2012). Construction project management planning scheduling and controlling.</w:t>
      </w:r>
      <w:r w:rsidRPr="00BE4AF3">
        <w:rPr>
          <w:rFonts w:ascii="Times New Roman" w:hAnsi="Times New Roman" w:cs="Times New Roman"/>
          <w:sz w:val="24"/>
          <w:szCs w:val="24"/>
        </w:rPr>
        <w:tab/>
        <w:t>New Delhi: Tata McGraw-Hill.</w:t>
      </w:r>
    </w:p>
    <w:p w14:paraId="4BE008B9" w14:textId="77777777"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Dania, A.A., Kehinde, J.O. &amp; Bala, K., (2007). A study of construction material waste</w:t>
      </w:r>
      <w:r w:rsidRPr="00BE4AF3">
        <w:rPr>
          <w:rFonts w:ascii="Times New Roman" w:hAnsi="Times New Roman" w:cs="Times New Roman"/>
          <w:sz w:val="24"/>
          <w:szCs w:val="24"/>
        </w:rPr>
        <w:tab/>
        <w:t>management practices by construction firms in Nigeria. In Proceedings of the 3rd</w:t>
      </w:r>
      <w:r w:rsidRPr="00BE4AF3">
        <w:rPr>
          <w:rFonts w:ascii="Times New Roman" w:hAnsi="Times New Roman" w:cs="Times New Roman"/>
          <w:sz w:val="24"/>
          <w:szCs w:val="24"/>
        </w:rPr>
        <w:tab/>
        <w:t xml:space="preserve">Scottish Conference for Postgraduate Researchers of the Built and Natural </w:t>
      </w:r>
    </w:p>
    <w:p w14:paraId="6CBB8156" w14:textId="77777777"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b/>
        <w:t>Environment,</w:t>
      </w:r>
      <w:r w:rsidRPr="00BE4AF3">
        <w:rPr>
          <w:rFonts w:ascii="Times New Roman" w:hAnsi="Times New Roman" w:cs="Times New Roman"/>
          <w:sz w:val="24"/>
          <w:szCs w:val="24"/>
        </w:rPr>
        <w:tab/>
        <w:t>Glasgow, pp. 121-129.</w:t>
      </w:r>
    </w:p>
    <w:p w14:paraId="705DC22A" w14:textId="77777777" w:rsidR="0000060D" w:rsidRPr="00BE4AF3" w:rsidRDefault="0000060D" w:rsidP="007A5D8C">
      <w:pPr>
        <w:spacing w:after="0" w:line="240" w:lineRule="auto"/>
        <w:jc w:val="both"/>
        <w:rPr>
          <w:rFonts w:ascii="Times New Roman" w:hAnsi="Times New Roman" w:cs="Times New Roman"/>
          <w:i/>
          <w:sz w:val="24"/>
          <w:szCs w:val="24"/>
        </w:rPr>
      </w:pPr>
      <w:r w:rsidRPr="00BE4AF3">
        <w:rPr>
          <w:rFonts w:ascii="Times New Roman" w:hAnsi="Times New Roman" w:cs="Times New Roman"/>
          <w:sz w:val="24"/>
          <w:szCs w:val="24"/>
        </w:rPr>
        <w:t>Divakar, K., &amp;Jebin, B.J.D. (2018). Factors affecting effective implementation of cost</w:t>
      </w:r>
      <w:r w:rsidRPr="00BE4AF3">
        <w:rPr>
          <w:rFonts w:ascii="Times New Roman" w:hAnsi="Times New Roman" w:cs="Times New Roman"/>
          <w:sz w:val="24"/>
          <w:szCs w:val="24"/>
        </w:rPr>
        <w:tab/>
        <w:t xml:space="preserve">management process in construction industry. </w:t>
      </w:r>
      <w:r w:rsidRPr="00BE4AF3">
        <w:rPr>
          <w:rFonts w:ascii="Times New Roman" w:hAnsi="Times New Roman" w:cs="Times New Roman"/>
          <w:i/>
          <w:sz w:val="24"/>
          <w:szCs w:val="24"/>
        </w:rPr>
        <w:t>International Research Journal of</w:t>
      </w:r>
      <w:r w:rsidRPr="00BE4AF3">
        <w:rPr>
          <w:rFonts w:ascii="Times New Roman" w:hAnsi="Times New Roman" w:cs="Times New Roman"/>
          <w:i/>
          <w:sz w:val="24"/>
          <w:szCs w:val="24"/>
        </w:rPr>
        <w:tab/>
        <w:t>Engineering and Technology, 5(5), 3599- 3603</w:t>
      </w:r>
    </w:p>
    <w:p w14:paraId="57EEC443" w14:textId="77777777" w:rsidR="0000060D" w:rsidRPr="00BE4AF3" w:rsidRDefault="0000060D" w:rsidP="007A5D8C">
      <w:pPr>
        <w:autoSpaceDE w:val="0"/>
        <w:autoSpaceDN w:val="0"/>
        <w:adjustRightInd w:val="0"/>
        <w:spacing w:after="0" w:line="240" w:lineRule="auto"/>
        <w:rPr>
          <w:rFonts w:ascii="Times New Roman" w:hAnsi="Times New Roman" w:cs="Times New Roman"/>
          <w:sz w:val="24"/>
          <w:szCs w:val="24"/>
        </w:rPr>
      </w:pPr>
      <w:r w:rsidRPr="00BE4AF3">
        <w:rPr>
          <w:rFonts w:ascii="Times New Roman" w:hAnsi="Times New Roman" w:cs="Times New Roman"/>
          <w:sz w:val="24"/>
          <w:szCs w:val="24"/>
        </w:rPr>
        <w:t xml:space="preserve">Gupta, C. &amp; Kumar, C. (2020). Study of factors causing cost and time overrun in construction </w:t>
      </w:r>
    </w:p>
    <w:p w14:paraId="564D103B" w14:textId="77777777" w:rsidR="00DF280C" w:rsidRDefault="0000060D" w:rsidP="007A5D8C">
      <w:pPr>
        <w:autoSpaceDE w:val="0"/>
        <w:autoSpaceDN w:val="0"/>
        <w:adjustRightInd w:val="0"/>
        <w:spacing w:after="0" w:line="240" w:lineRule="auto"/>
        <w:ind w:firstLine="720"/>
        <w:rPr>
          <w:rFonts w:ascii="Times New Roman" w:hAnsi="Times New Roman" w:cs="Times New Roman"/>
          <w:sz w:val="24"/>
          <w:szCs w:val="24"/>
        </w:rPr>
      </w:pPr>
      <w:r w:rsidRPr="00BE4AF3">
        <w:rPr>
          <w:rFonts w:ascii="Times New Roman" w:hAnsi="Times New Roman" w:cs="Times New Roman"/>
          <w:sz w:val="24"/>
          <w:szCs w:val="24"/>
        </w:rPr>
        <w:t>projects. International Journal of Engineering Research &amp; Technology, 9(10), 2278-</w:t>
      </w:r>
      <w:r w:rsidR="00DF280C">
        <w:rPr>
          <w:rFonts w:ascii="Times New Roman" w:hAnsi="Times New Roman" w:cs="Times New Roman"/>
          <w:sz w:val="24"/>
          <w:szCs w:val="24"/>
        </w:rPr>
        <w:t xml:space="preserve"> </w:t>
      </w:r>
    </w:p>
    <w:p w14:paraId="7DEC13AE" w14:textId="7F9210B6" w:rsidR="0000060D" w:rsidRPr="00BE4AF3" w:rsidRDefault="0000060D" w:rsidP="007A5D8C">
      <w:pPr>
        <w:autoSpaceDE w:val="0"/>
        <w:autoSpaceDN w:val="0"/>
        <w:adjustRightInd w:val="0"/>
        <w:spacing w:after="0" w:line="240" w:lineRule="auto"/>
        <w:ind w:firstLine="720"/>
        <w:rPr>
          <w:rFonts w:ascii="Times New Roman" w:hAnsi="Times New Roman" w:cs="Times New Roman"/>
          <w:sz w:val="24"/>
          <w:szCs w:val="24"/>
        </w:rPr>
      </w:pPr>
      <w:r w:rsidRPr="00BE4AF3">
        <w:rPr>
          <w:rFonts w:ascii="Times New Roman" w:hAnsi="Times New Roman" w:cs="Times New Roman"/>
          <w:sz w:val="24"/>
          <w:szCs w:val="24"/>
        </w:rPr>
        <w:t>018.</w:t>
      </w:r>
    </w:p>
    <w:p w14:paraId="64BBF624" w14:textId="77777777"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Hemsworth.A. Agapiou, A., Clausen, L. E., Flanagan, R., Norman, G &amp;Notman, D.(2006). </w:t>
      </w:r>
    </w:p>
    <w:p w14:paraId="19DEADB4" w14:textId="77777777"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b/>
        <w:t xml:space="preserve">The role of logistics in the materials flow control process: Construction Management </w:t>
      </w:r>
    </w:p>
    <w:p w14:paraId="0EBA9814" w14:textId="77777777"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b/>
        <w:t>and Economics</w:t>
      </w:r>
    </w:p>
    <w:p w14:paraId="2768E7E5" w14:textId="77777777" w:rsidR="0000060D" w:rsidRPr="00BE4AF3" w:rsidRDefault="0000060D" w:rsidP="007A5D8C">
      <w:pPr>
        <w:pStyle w:val="Default"/>
        <w:jc w:val="both"/>
        <w:rPr>
          <w:i/>
        </w:rPr>
      </w:pPr>
      <w:r w:rsidRPr="00BE4AF3">
        <w:t>Idowu A.,Winston S. &amp; Ibraheem S. (2021).  The effect of poor materials management in the</w:t>
      </w:r>
      <w:r w:rsidRPr="00BE4AF3">
        <w:tab/>
        <w:t xml:space="preserve">construction industry: a case study of Abuja, Nigeria, </w:t>
      </w:r>
      <w:r w:rsidRPr="00BE4AF3">
        <w:rPr>
          <w:i/>
        </w:rPr>
        <w:t>Acta Structilia 28(1): 142-167</w:t>
      </w:r>
    </w:p>
    <w:p w14:paraId="7E95119B" w14:textId="77777777"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Idowu A., Wintson, S. &amp; Kabir, I.(2020). A theoretical framework of lean production </w:t>
      </w:r>
    </w:p>
    <w:p w14:paraId="37D16A36" w14:textId="77777777" w:rsidR="0000060D" w:rsidRPr="00BE4AF3" w:rsidRDefault="0000060D" w:rsidP="007A5D8C">
      <w:pPr>
        <w:spacing w:after="0" w:line="240" w:lineRule="auto"/>
        <w:ind w:left="720"/>
        <w:jc w:val="both"/>
        <w:rPr>
          <w:rFonts w:ascii="Times New Roman" w:hAnsi="Times New Roman" w:cs="Times New Roman"/>
          <w:i/>
          <w:sz w:val="24"/>
          <w:szCs w:val="24"/>
        </w:rPr>
      </w:pPr>
      <w:r w:rsidRPr="00BE4AF3">
        <w:rPr>
          <w:rFonts w:ascii="Times New Roman" w:hAnsi="Times New Roman" w:cs="Times New Roman"/>
          <w:sz w:val="24"/>
          <w:szCs w:val="24"/>
        </w:rPr>
        <w:t>approach</w:t>
      </w:r>
      <w:r w:rsidRPr="00BE4AF3">
        <w:rPr>
          <w:rFonts w:ascii="Times New Roman" w:hAnsi="Times New Roman" w:cs="Times New Roman"/>
          <w:sz w:val="24"/>
          <w:szCs w:val="24"/>
        </w:rPr>
        <w:tab/>
        <w:t xml:space="preserve">to materials management in the construction industry Sapientia </w:t>
      </w:r>
      <w:r w:rsidRPr="00BE4AF3">
        <w:rPr>
          <w:rFonts w:ascii="Times New Roman" w:hAnsi="Times New Roman" w:cs="Times New Roman"/>
          <w:i/>
          <w:sz w:val="24"/>
          <w:szCs w:val="24"/>
        </w:rPr>
        <w:t xml:space="preserve">Foundation Journal of Education, Sciences and Gender Studies (SFJESGS), 2 (3) September  pg. 189 – 200 </w:t>
      </w:r>
    </w:p>
    <w:p w14:paraId="77E459AE" w14:textId="77777777" w:rsidR="0000060D" w:rsidRPr="00BE4AF3" w:rsidRDefault="0000060D" w:rsidP="007A5D8C">
      <w:pPr>
        <w:spacing w:after="0" w:line="240" w:lineRule="auto"/>
        <w:jc w:val="both"/>
        <w:rPr>
          <w:rFonts w:ascii="Times New Roman" w:hAnsi="Times New Roman" w:cs="Times New Roman"/>
          <w:i/>
          <w:sz w:val="24"/>
          <w:szCs w:val="24"/>
        </w:rPr>
      </w:pPr>
      <w:r w:rsidRPr="00BE4AF3">
        <w:rPr>
          <w:rFonts w:ascii="Times New Roman" w:hAnsi="Times New Roman" w:cs="Times New Roman"/>
          <w:sz w:val="24"/>
          <w:szCs w:val="24"/>
        </w:rPr>
        <w:t>Ijigah, E.A., Ojo, O.J., Lawal, A.F. &amp;Olowokere, E.N. (2023). Assessment of cost and time</w:t>
      </w:r>
      <w:r w:rsidRPr="00BE4AF3">
        <w:rPr>
          <w:rFonts w:ascii="Times New Roman" w:hAnsi="Times New Roman" w:cs="Times New Roman"/>
          <w:sz w:val="24"/>
          <w:szCs w:val="24"/>
        </w:rPr>
        <w:tab/>
        <w:t>performance of Tertiary Education trust Fund (TETFUND) construction projects in</w:t>
      </w:r>
      <w:r w:rsidRPr="00BE4AF3">
        <w:rPr>
          <w:rFonts w:ascii="Times New Roman" w:hAnsi="Times New Roman" w:cs="Times New Roman"/>
          <w:sz w:val="24"/>
          <w:szCs w:val="24"/>
        </w:rPr>
        <w:tab/>
        <w:t xml:space="preserve">South-West Nigeria. </w:t>
      </w:r>
      <w:r w:rsidRPr="00BE4AF3">
        <w:rPr>
          <w:rFonts w:ascii="Times New Roman" w:hAnsi="Times New Roman" w:cs="Times New Roman"/>
          <w:i/>
          <w:sz w:val="24"/>
          <w:szCs w:val="24"/>
        </w:rPr>
        <w:t xml:space="preserve">Environmental Technology and Science Journal Pp 159-171 </w:t>
      </w:r>
    </w:p>
    <w:p w14:paraId="0E514DAB" w14:textId="77777777"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Kasim, N.,Phani M T., S V. Mathew &amp; S. Roy, (2005).Material Management in construction </w:t>
      </w:r>
    </w:p>
    <w:p w14:paraId="601D4A7F" w14:textId="77777777" w:rsidR="0000060D" w:rsidRPr="00BE4AF3" w:rsidRDefault="0000060D" w:rsidP="007A5D8C">
      <w:pPr>
        <w:spacing w:after="0" w:line="240" w:lineRule="auto"/>
        <w:ind w:left="720"/>
        <w:jc w:val="both"/>
        <w:rPr>
          <w:rFonts w:ascii="Times New Roman" w:hAnsi="Times New Roman" w:cs="Times New Roman"/>
          <w:sz w:val="24"/>
          <w:szCs w:val="24"/>
        </w:rPr>
      </w:pPr>
      <w:r w:rsidRPr="00BE4AF3">
        <w:rPr>
          <w:rFonts w:ascii="Times New Roman" w:hAnsi="Times New Roman" w:cs="Times New Roman"/>
          <w:sz w:val="24"/>
          <w:szCs w:val="24"/>
        </w:rPr>
        <w:t>–  A Case Study: International Journal of Research in Engineering and Technology Kenya National Bureau of Statistics (2011), Kenya Economic Survey</w:t>
      </w:r>
    </w:p>
    <w:p w14:paraId="5EBFDEE0" w14:textId="77777777"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Lamka A. H., Masu S. M. &amp;Wayona G. (2018, September).  An evaluation of impacts on </w:t>
      </w:r>
    </w:p>
    <w:p w14:paraId="01D61111" w14:textId="77777777"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b/>
        <w:t xml:space="preserve">resource leveling practices and performance by construction firms in Kenya (Case </w:t>
      </w:r>
    </w:p>
    <w:p w14:paraId="0C597CEA" w14:textId="77777777" w:rsidR="0000060D" w:rsidRPr="00BE4AF3" w:rsidRDefault="0000060D" w:rsidP="007A5D8C">
      <w:pPr>
        <w:spacing w:after="0" w:line="240" w:lineRule="auto"/>
        <w:jc w:val="both"/>
        <w:rPr>
          <w:rFonts w:ascii="Times New Roman" w:hAnsi="Times New Roman" w:cs="Times New Roman"/>
          <w:i/>
          <w:sz w:val="24"/>
          <w:szCs w:val="24"/>
        </w:rPr>
      </w:pPr>
      <w:r w:rsidRPr="00BE4AF3">
        <w:rPr>
          <w:rFonts w:ascii="Times New Roman" w:hAnsi="Times New Roman" w:cs="Times New Roman"/>
          <w:sz w:val="24"/>
          <w:szCs w:val="24"/>
        </w:rPr>
        <w:tab/>
        <w:t>study of in-situ concrete works by Registered Construction Firms in Nairobi County).</w:t>
      </w:r>
    </w:p>
    <w:p w14:paraId="6019D847" w14:textId="77777777"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i/>
          <w:sz w:val="24"/>
          <w:szCs w:val="24"/>
        </w:rPr>
        <w:tab/>
        <w:t>International Journal of Engineering Research &amp; Technology (LJERT)</w:t>
      </w:r>
      <w:r w:rsidRPr="00BE4AF3">
        <w:rPr>
          <w:rFonts w:ascii="Times New Roman" w:hAnsi="Times New Roman" w:cs="Times New Roman"/>
          <w:sz w:val="24"/>
          <w:szCs w:val="24"/>
        </w:rPr>
        <w:t xml:space="preserve">  7 (09) </w:t>
      </w:r>
    </w:p>
    <w:p w14:paraId="0F6ADE5C" w14:textId="3C385ABC" w:rsidR="0000060D" w:rsidRPr="00BE4AF3" w:rsidRDefault="0000060D" w:rsidP="00C12B44">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sz w:val="24"/>
          <w:szCs w:val="24"/>
        </w:rPr>
        <w:t xml:space="preserve">2278-0181, </w:t>
      </w:r>
    </w:p>
    <w:p w14:paraId="11E122D3" w14:textId="77777777"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Osuizugbo I.C. &amp; Okuntade, T.F.(2020). Conflict management practice among stakeholders </w:t>
      </w:r>
    </w:p>
    <w:p w14:paraId="0501C35C" w14:textId="77777777" w:rsidR="0000060D" w:rsidRPr="00BE4AF3" w:rsidRDefault="0000060D" w:rsidP="007A5D8C">
      <w:pPr>
        <w:spacing w:after="0" w:line="240" w:lineRule="auto"/>
        <w:ind w:left="720"/>
        <w:jc w:val="both"/>
        <w:rPr>
          <w:rFonts w:ascii="Times New Roman" w:hAnsi="Times New Roman" w:cs="Times New Roman"/>
          <w:i/>
          <w:sz w:val="24"/>
          <w:szCs w:val="24"/>
        </w:rPr>
      </w:pPr>
      <w:r w:rsidRPr="00BE4AF3">
        <w:rPr>
          <w:rFonts w:ascii="Times New Roman" w:hAnsi="Times New Roman" w:cs="Times New Roman"/>
          <w:sz w:val="24"/>
          <w:szCs w:val="24"/>
        </w:rPr>
        <w:t xml:space="preserve">in construction project delivery. </w:t>
      </w:r>
      <w:r w:rsidRPr="00BE4AF3">
        <w:rPr>
          <w:rFonts w:ascii="Times New Roman" w:hAnsi="Times New Roman" w:cs="Times New Roman"/>
          <w:i/>
          <w:sz w:val="24"/>
          <w:szCs w:val="24"/>
        </w:rPr>
        <w:t>Covenant Journal in Research and Built Environment 8(1), 40-57-</w:t>
      </w:r>
    </w:p>
    <w:p w14:paraId="2FB05792" w14:textId="77777777" w:rsidR="0000060D" w:rsidRPr="00BE4AF3" w:rsidRDefault="0000060D" w:rsidP="007A5D8C">
      <w:pPr>
        <w:spacing w:after="0" w:line="240" w:lineRule="auto"/>
        <w:jc w:val="both"/>
        <w:rPr>
          <w:rFonts w:ascii="Times New Roman" w:hAnsi="Times New Roman" w:cs="Times New Roman"/>
          <w:i/>
          <w:sz w:val="24"/>
          <w:szCs w:val="24"/>
        </w:rPr>
      </w:pPr>
      <w:r w:rsidRPr="00BE4AF3">
        <w:rPr>
          <w:rFonts w:ascii="Times New Roman" w:hAnsi="Times New Roman" w:cs="Times New Roman"/>
          <w:sz w:val="24"/>
          <w:szCs w:val="24"/>
        </w:rPr>
        <w:t xml:space="preserve">Raja K. &amp; Murali K (2020): Resource Management in Construction Project. </w:t>
      </w:r>
      <w:r w:rsidRPr="00BE4AF3">
        <w:rPr>
          <w:rFonts w:ascii="Times New Roman" w:hAnsi="Times New Roman" w:cs="Times New Roman"/>
          <w:i/>
          <w:sz w:val="24"/>
          <w:szCs w:val="24"/>
        </w:rPr>
        <w:t>Journal of</w:t>
      </w:r>
    </w:p>
    <w:p w14:paraId="1B1C49E4" w14:textId="77777777" w:rsidR="0000060D" w:rsidRPr="00BE4AF3" w:rsidRDefault="0000060D" w:rsidP="007A5D8C">
      <w:pPr>
        <w:spacing w:after="0" w:line="240" w:lineRule="auto"/>
        <w:ind w:firstLine="720"/>
        <w:jc w:val="both"/>
        <w:rPr>
          <w:rFonts w:ascii="Times New Roman" w:hAnsi="Times New Roman" w:cs="Times New Roman"/>
          <w:i/>
          <w:sz w:val="24"/>
          <w:szCs w:val="24"/>
        </w:rPr>
      </w:pPr>
      <w:r w:rsidRPr="00BE4AF3">
        <w:rPr>
          <w:rFonts w:ascii="Times New Roman" w:hAnsi="Times New Roman" w:cs="Times New Roman"/>
          <w:i/>
          <w:sz w:val="24"/>
          <w:szCs w:val="24"/>
        </w:rPr>
        <w:t xml:space="preserve"> Scientific and Research Publications, 10(5), 485-259</w:t>
      </w:r>
    </w:p>
    <w:p w14:paraId="274B7F1B" w14:textId="77777777" w:rsidR="0000060D" w:rsidRPr="00BE4AF3" w:rsidRDefault="0000060D" w:rsidP="007A5D8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Subramani, T.M. &amp; Karthick T. (2018). Study on Time and Resource Management in </w:t>
      </w:r>
    </w:p>
    <w:p w14:paraId="1657E908" w14:textId="77777777" w:rsidR="0000060D" w:rsidRPr="00BE4AF3" w:rsidRDefault="0000060D" w:rsidP="007A5D8C">
      <w:pPr>
        <w:spacing w:after="0" w:line="240" w:lineRule="auto"/>
        <w:ind w:left="720"/>
        <w:jc w:val="both"/>
        <w:rPr>
          <w:rFonts w:ascii="Times New Roman" w:hAnsi="Times New Roman" w:cs="Times New Roman"/>
          <w:i/>
          <w:sz w:val="24"/>
          <w:szCs w:val="24"/>
        </w:rPr>
      </w:pPr>
      <w:r w:rsidRPr="00BE4AF3">
        <w:rPr>
          <w:rFonts w:ascii="Times New Roman" w:hAnsi="Times New Roman" w:cs="Times New Roman"/>
          <w:sz w:val="24"/>
          <w:szCs w:val="24"/>
        </w:rPr>
        <w:t xml:space="preserve">construction Projects Using MS Project T. </w:t>
      </w:r>
      <w:r w:rsidRPr="00BE4AF3">
        <w:rPr>
          <w:rFonts w:ascii="Times New Roman" w:hAnsi="Times New Roman" w:cs="Times New Roman"/>
          <w:i/>
          <w:sz w:val="24"/>
          <w:szCs w:val="24"/>
        </w:rPr>
        <w:t>International Journal of Engineering &amp; Technology, 7 (3.10) 23-26</w:t>
      </w:r>
    </w:p>
    <w:p w14:paraId="4593908D" w14:textId="77777777" w:rsidR="0000060D" w:rsidRPr="00BE4AF3" w:rsidRDefault="0000060D" w:rsidP="007A5D8C">
      <w:pPr>
        <w:tabs>
          <w:tab w:val="left" w:pos="1282"/>
        </w:tabs>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Wahab, A.B. and Lawal, A.F., (2011). An evaluation of waste control measures in </w:t>
      </w:r>
    </w:p>
    <w:p w14:paraId="491D575A" w14:textId="77777777" w:rsidR="0000060D" w:rsidRPr="00BE4AF3" w:rsidRDefault="0000060D" w:rsidP="007A5D8C">
      <w:pPr>
        <w:tabs>
          <w:tab w:val="left" w:pos="1282"/>
        </w:tabs>
        <w:spacing w:after="0" w:line="240" w:lineRule="auto"/>
        <w:jc w:val="both"/>
        <w:rPr>
          <w:rFonts w:ascii="Times New Roman" w:hAnsi="Times New Roman" w:cs="Times New Roman"/>
          <w:i/>
          <w:sz w:val="24"/>
          <w:szCs w:val="24"/>
        </w:rPr>
      </w:pPr>
      <w:r w:rsidRPr="00BE4AF3">
        <w:rPr>
          <w:rFonts w:ascii="Times New Roman" w:hAnsi="Times New Roman" w:cs="Times New Roman"/>
          <w:sz w:val="24"/>
          <w:szCs w:val="24"/>
        </w:rPr>
        <w:tab/>
        <w:t xml:space="preserve">construction industry in Nigeria.  </w:t>
      </w:r>
      <w:r w:rsidRPr="00BE4AF3">
        <w:rPr>
          <w:rFonts w:ascii="Times New Roman" w:hAnsi="Times New Roman" w:cs="Times New Roman"/>
          <w:i/>
          <w:sz w:val="24"/>
          <w:szCs w:val="24"/>
        </w:rPr>
        <w:t xml:space="preserve">African Journal of Environmental Science and </w:t>
      </w:r>
    </w:p>
    <w:p w14:paraId="05ACE147" w14:textId="77777777" w:rsidR="0000060D" w:rsidRPr="00BE4AF3" w:rsidRDefault="0000060D" w:rsidP="007A5D8C">
      <w:pPr>
        <w:tabs>
          <w:tab w:val="left" w:pos="1282"/>
        </w:tabs>
        <w:spacing w:after="0" w:line="240" w:lineRule="auto"/>
        <w:jc w:val="both"/>
        <w:rPr>
          <w:rFonts w:ascii="Times New Roman" w:hAnsi="Times New Roman" w:cs="Times New Roman"/>
          <w:i/>
          <w:sz w:val="24"/>
          <w:szCs w:val="24"/>
        </w:rPr>
      </w:pPr>
      <w:r w:rsidRPr="00BE4AF3">
        <w:rPr>
          <w:rFonts w:ascii="Times New Roman" w:hAnsi="Times New Roman" w:cs="Times New Roman"/>
          <w:i/>
          <w:sz w:val="24"/>
          <w:szCs w:val="24"/>
        </w:rPr>
        <w:lastRenderedPageBreak/>
        <w:tab/>
        <w:t>Technology, 5(3), 246-254.</w:t>
      </w:r>
    </w:p>
    <w:p w14:paraId="6635A4A0" w14:textId="77777777" w:rsidR="00C12B44" w:rsidRDefault="0000060D" w:rsidP="00C12B44">
      <w:pPr>
        <w:autoSpaceDE w:val="0"/>
        <w:autoSpaceDN w:val="0"/>
        <w:adjustRightInd w:val="0"/>
        <w:spacing w:after="0" w:line="240" w:lineRule="auto"/>
        <w:rPr>
          <w:rFonts w:ascii="Times New Roman" w:hAnsi="Times New Roman" w:cs="Times New Roman"/>
          <w:color w:val="000000"/>
          <w:sz w:val="24"/>
          <w:szCs w:val="24"/>
        </w:rPr>
      </w:pPr>
      <w:r w:rsidRPr="00BE4AF3">
        <w:rPr>
          <w:rFonts w:ascii="Times New Roman" w:hAnsi="Times New Roman" w:cs="Times New Roman"/>
          <w:color w:val="000000"/>
          <w:sz w:val="24"/>
          <w:szCs w:val="24"/>
        </w:rPr>
        <w:t xml:space="preserve">Zailani, M.B., Kolo, B.A. &amp; Abubakar, M. (2019). The role of project management in </w:t>
      </w:r>
    </w:p>
    <w:p w14:paraId="1CB52DB9" w14:textId="77777777" w:rsidR="00C12B44" w:rsidRDefault="00C12B44" w:rsidP="00C12B4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00060D" w:rsidRPr="00BE4AF3">
        <w:rPr>
          <w:rFonts w:ascii="Times New Roman" w:hAnsi="Times New Roman" w:cs="Times New Roman"/>
          <w:color w:val="000000"/>
          <w:sz w:val="24"/>
          <w:szCs w:val="24"/>
        </w:rPr>
        <w:t xml:space="preserve">TETFund construction projects.  Proceedings of West African Built Environment </w:t>
      </w:r>
    </w:p>
    <w:p w14:paraId="6177942A" w14:textId="789A4477" w:rsidR="0000060D" w:rsidRPr="00BE4AF3" w:rsidRDefault="00C12B44" w:rsidP="00C12B4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00060D" w:rsidRPr="00BE4AF3">
        <w:rPr>
          <w:rFonts w:ascii="Times New Roman" w:hAnsi="Times New Roman" w:cs="Times New Roman"/>
          <w:color w:val="000000"/>
          <w:sz w:val="24"/>
          <w:szCs w:val="24"/>
        </w:rPr>
        <w:t>Research (WABER) Conference, Accra, Ghana, 5</w:t>
      </w:r>
      <w:r w:rsidR="0000060D" w:rsidRPr="00BE4AF3">
        <w:rPr>
          <w:rFonts w:ascii="Times New Roman" w:hAnsi="Times New Roman" w:cs="Times New Roman"/>
          <w:color w:val="000000"/>
          <w:sz w:val="24"/>
          <w:szCs w:val="24"/>
          <w:vertAlign w:val="superscript"/>
        </w:rPr>
        <w:t>th</w:t>
      </w:r>
      <w:r w:rsidR="0000060D" w:rsidRPr="00BE4AF3">
        <w:rPr>
          <w:rFonts w:ascii="Times New Roman" w:hAnsi="Times New Roman" w:cs="Times New Roman"/>
          <w:color w:val="000000"/>
          <w:sz w:val="24"/>
          <w:szCs w:val="24"/>
        </w:rPr>
        <w:t xml:space="preserve"> -7</w:t>
      </w:r>
      <w:r w:rsidR="0000060D" w:rsidRPr="00BE4AF3">
        <w:rPr>
          <w:rFonts w:ascii="Times New Roman" w:hAnsi="Times New Roman" w:cs="Times New Roman"/>
          <w:color w:val="000000"/>
          <w:sz w:val="24"/>
          <w:szCs w:val="24"/>
          <w:vertAlign w:val="superscript"/>
        </w:rPr>
        <w:t>th</w:t>
      </w:r>
      <w:r w:rsidR="0000060D" w:rsidRPr="00BE4AF3">
        <w:rPr>
          <w:rFonts w:ascii="Times New Roman" w:hAnsi="Times New Roman" w:cs="Times New Roman"/>
          <w:color w:val="000000"/>
          <w:sz w:val="24"/>
          <w:szCs w:val="24"/>
        </w:rPr>
        <w:t xml:space="preserve">  August 1116-1125.</w:t>
      </w:r>
    </w:p>
    <w:p w14:paraId="437BFF47" w14:textId="77777777" w:rsidR="00B6642C" w:rsidRDefault="00B6642C" w:rsidP="00B6642C">
      <w:pPr>
        <w:spacing w:after="0" w:line="240" w:lineRule="auto"/>
        <w:jc w:val="both"/>
        <w:rPr>
          <w:rFonts w:ascii="Times New Roman" w:hAnsi="Times New Roman" w:cs="Times New Roman"/>
          <w:sz w:val="24"/>
          <w:szCs w:val="24"/>
        </w:rPr>
      </w:pPr>
    </w:p>
    <w:p w14:paraId="2EFCD3B6" w14:textId="77777777" w:rsidR="00755C04" w:rsidRDefault="00755C04" w:rsidP="00B6642C">
      <w:pPr>
        <w:spacing w:after="0" w:line="240" w:lineRule="auto"/>
        <w:jc w:val="both"/>
        <w:rPr>
          <w:rFonts w:ascii="Times New Roman" w:hAnsi="Times New Roman" w:cs="Times New Roman"/>
          <w:sz w:val="24"/>
          <w:szCs w:val="24"/>
        </w:rPr>
      </w:pPr>
    </w:p>
    <w:p w14:paraId="63269F06" w14:textId="77777777" w:rsidR="00755C04" w:rsidRDefault="00755C04" w:rsidP="00B6642C">
      <w:pPr>
        <w:spacing w:after="0" w:line="240" w:lineRule="auto"/>
        <w:jc w:val="both"/>
        <w:rPr>
          <w:rFonts w:ascii="Times New Roman" w:hAnsi="Times New Roman" w:cs="Times New Roman"/>
          <w:sz w:val="24"/>
          <w:szCs w:val="24"/>
        </w:rPr>
      </w:pPr>
    </w:p>
    <w:p w14:paraId="7A27C71E" w14:textId="77777777" w:rsidR="00755C04" w:rsidRDefault="00755C04" w:rsidP="00B6642C">
      <w:pPr>
        <w:spacing w:after="0" w:line="240" w:lineRule="auto"/>
        <w:jc w:val="both"/>
        <w:rPr>
          <w:rFonts w:ascii="Times New Roman" w:hAnsi="Times New Roman" w:cs="Times New Roman"/>
          <w:sz w:val="24"/>
          <w:szCs w:val="24"/>
        </w:rPr>
      </w:pPr>
    </w:p>
    <w:p w14:paraId="4AFE8716" w14:textId="77777777" w:rsidR="00755C04" w:rsidRDefault="00755C04" w:rsidP="00B6642C">
      <w:pPr>
        <w:spacing w:after="0" w:line="240" w:lineRule="auto"/>
        <w:jc w:val="both"/>
        <w:rPr>
          <w:rFonts w:ascii="Times New Roman" w:hAnsi="Times New Roman" w:cs="Times New Roman"/>
          <w:sz w:val="24"/>
          <w:szCs w:val="24"/>
        </w:rPr>
      </w:pPr>
    </w:p>
    <w:p w14:paraId="5ACBC462" w14:textId="77777777" w:rsidR="00755C04" w:rsidRDefault="00755C04" w:rsidP="00B6642C">
      <w:pPr>
        <w:spacing w:after="0" w:line="240" w:lineRule="auto"/>
        <w:jc w:val="both"/>
        <w:rPr>
          <w:rFonts w:ascii="Times New Roman" w:hAnsi="Times New Roman" w:cs="Times New Roman"/>
          <w:sz w:val="24"/>
          <w:szCs w:val="24"/>
        </w:rPr>
      </w:pPr>
    </w:p>
    <w:p w14:paraId="04B19559" w14:textId="77777777" w:rsidR="00755C04" w:rsidRDefault="00755C04" w:rsidP="00B6642C">
      <w:pPr>
        <w:spacing w:after="0" w:line="240" w:lineRule="auto"/>
        <w:jc w:val="both"/>
        <w:rPr>
          <w:rFonts w:ascii="Times New Roman" w:hAnsi="Times New Roman" w:cs="Times New Roman"/>
          <w:sz w:val="24"/>
          <w:szCs w:val="24"/>
        </w:rPr>
      </w:pPr>
    </w:p>
    <w:p w14:paraId="492C18ED" w14:textId="77777777" w:rsidR="00755C04" w:rsidRDefault="00755C04" w:rsidP="00B6642C">
      <w:pPr>
        <w:spacing w:after="0" w:line="240" w:lineRule="auto"/>
        <w:jc w:val="both"/>
        <w:rPr>
          <w:rFonts w:ascii="Times New Roman" w:hAnsi="Times New Roman" w:cs="Times New Roman"/>
          <w:sz w:val="24"/>
          <w:szCs w:val="24"/>
        </w:rPr>
      </w:pPr>
    </w:p>
    <w:p w14:paraId="15852BBB" w14:textId="77777777" w:rsidR="00755C04" w:rsidRDefault="00755C04" w:rsidP="00B6642C">
      <w:pPr>
        <w:spacing w:after="0" w:line="240" w:lineRule="auto"/>
        <w:jc w:val="both"/>
        <w:rPr>
          <w:rFonts w:ascii="Times New Roman" w:hAnsi="Times New Roman" w:cs="Times New Roman"/>
          <w:sz w:val="24"/>
          <w:szCs w:val="24"/>
        </w:rPr>
      </w:pPr>
    </w:p>
    <w:p w14:paraId="4F6F2888" w14:textId="77777777" w:rsidR="00755C04" w:rsidRDefault="00755C04" w:rsidP="00B6642C">
      <w:pPr>
        <w:spacing w:after="0" w:line="240" w:lineRule="auto"/>
        <w:jc w:val="both"/>
        <w:rPr>
          <w:rFonts w:ascii="Times New Roman" w:hAnsi="Times New Roman" w:cs="Times New Roman"/>
          <w:sz w:val="24"/>
          <w:szCs w:val="24"/>
        </w:rPr>
      </w:pPr>
    </w:p>
    <w:p w14:paraId="2D206965" w14:textId="77777777" w:rsidR="00755C04" w:rsidRDefault="00755C04" w:rsidP="00B6642C">
      <w:pPr>
        <w:spacing w:after="0" w:line="240" w:lineRule="auto"/>
        <w:jc w:val="both"/>
        <w:rPr>
          <w:rFonts w:ascii="Times New Roman" w:hAnsi="Times New Roman" w:cs="Times New Roman"/>
          <w:sz w:val="24"/>
          <w:szCs w:val="24"/>
        </w:rPr>
      </w:pPr>
    </w:p>
    <w:p w14:paraId="4C274D0C" w14:textId="77777777" w:rsidR="00755C04" w:rsidRDefault="00755C04" w:rsidP="00B6642C">
      <w:pPr>
        <w:spacing w:after="0" w:line="240" w:lineRule="auto"/>
        <w:jc w:val="both"/>
        <w:rPr>
          <w:rFonts w:ascii="Times New Roman" w:hAnsi="Times New Roman" w:cs="Times New Roman"/>
          <w:sz w:val="24"/>
          <w:szCs w:val="24"/>
        </w:rPr>
      </w:pPr>
    </w:p>
    <w:p w14:paraId="5E09F5D6" w14:textId="77777777" w:rsidR="00755C04" w:rsidRDefault="00755C04" w:rsidP="00B6642C">
      <w:pPr>
        <w:spacing w:after="0" w:line="240" w:lineRule="auto"/>
        <w:jc w:val="both"/>
        <w:rPr>
          <w:rFonts w:ascii="Times New Roman" w:hAnsi="Times New Roman" w:cs="Times New Roman"/>
          <w:sz w:val="24"/>
          <w:szCs w:val="24"/>
        </w:rPr>
      </w:pPr>
    </w:p>
    <w:p w14:paraId="212854DF" w14:textId="77777777" w:rsidR="00755C04" w:rsidRDefault="00755C04" w:rsidP="00B6642C">
      <w:pPr>
        <w:spacing w:after="0" w:line="240" w:lineRule="auto"/>
        <w:jc w:val="both"/>
        <w:rPr>
          <w:rFonts w:ascii="Times New Roman" w:hAnsi="Times New Roman" w:cs="Times New Roman"/>
          <w:sz w:val="24"/>
          <w:szCs w:val="24"/>
        </w:rPr>
      </w:pPr>
    </w:p>
    <w:p w14:paraId="4F6C96C9" w14:textId="77777777" w:rsidR="00755C04" w:rsidRDefault="00755C04" w:rsidP="00B6642C">
      <w:pPr>
        <w:spacing w:after="0" w:line="240" w:lineRule="auto"/>
        <w:jc w:val="both"/>
        <w:rPr>
          <w:rFonts w:ascii="Times New Roman" w:hAnsi="Times New Roman" w:cs="Times New Roman"/>
          <w:sz w:val="24"/>
          <w:szCs w:val="24"/>
        </w:rPr>
      </w:pPr>
    </w:p>
    <w:p w14:paraId="4E348997" w14:textId="77777777" w:rsidR="00755C04" w:rsidRDefault="00755C04" w:rsidP="00B6642C">
      <w:pPr>
        <w:spacing w:after="0" w:line="240" w:lineRule="auto"/>
        <w:jc w:val="both"/>
        <w:rPr>
          <w:rFonts w:ascii="Times New Roman" w:hAnsi="Times New Roman" w:cs="Times New Roman"/>
          <w:sz w:val="24"/>
          <w:szCs w:val="24"/>
        </w:rPr>
      </w:pPr>
    </w:p>
    <w:p w14:paraId="22ED1CF1" w14:textId="77777777" w:rsidR="00755C04" w:rsidRDefault="00755C04" w:rsidP="00B6642C">
      <w:pPr>
        <w:spacing w:after="0" w:line="240" w:lineRule="auto"/>
        <w:jc w:val="both"/>
        <w:rPr>
          <w:rFonts w:ascii="Times New Roman" w:hAnsi="Times New Roman" w:cs="Times New Roman"/>
          <w:sz w:val="24"/>
          <w:szCs w:val="24"/>
        </w:rPr>
      </w:pPr>
    </w:p>
    <w:p w14:paraId="1A9530F9" w14:textId="77777777" w:rsidR="00755C04" w:rsidRDefault="00755C04" w:rsidP="00B6642C">
      <w:pPr>
        <w:spacing w:after="0" w:line="240" w:lineRule="auto"/>
        <w:jc w:val="both"/>
        <w:rPr>
          <w:rFonts w:ascii="Times New Roman" w:hAnsi="Times New Roman" w:cs="Times New Roman"/>
          <w:sz w:val="24"/>
          <w:szCs w:val="24"/>
        </w:rPr>
      </w:pPr>
    </w:p>
    <w:p w14:paraId="3F57475B" w14:textId="77777777" w:rsidR="00755C04" w:rsidRDefault="00755C04" w:rsidP="00B6642C">
      <w:pPr>
        <w:spacing w:after="0" w:line="240" w:lineRule="auto"/>
        <w:jc w:val="both"/>
        <w:rPr>
          <w:rFonts w:ascii="Times New Roman" w:hAnsi="Times New Roman" w:cs="Times New Roman"/>
          <w:sz w:val="24"/>
          <w:szCs w:val="24"/>
        </w:rPr>
      </w:pPr>
    </w:p>
    <w:p w14:paraId="0405ECCD" w14:textId="77777777" w:rsidR="00755C04" w:rsidRDefault="00755C04" w:rsidP="00B6642C">
      <w:pPr>
        <w:spacing w:after="0" w:line="240" w:lineRule="auto"/>
        <w:jc w:val="both"/>
        <w:rPr>
          <w:rFonts w:ascii="Times New Roman" w:hAnsi="Times New Roman" w:cs="Times New Roman"/>
          <w:sz w:val="24"/>
          <w:szCs w:val="24"/>
        </w:rPr>
      </w:pPr>
    </w:p>
    <w:p w14:paraId="0A05CC92" w14:textId="77777777" w:rsidR="00755C04" w:rsidRDefault="00755C04" w:rsidP="00B6642C">
      <w:pPr>
        <w:spacing w:after="0" w:line="240" w:lineRule="auto"/>
        <w:jc w:val="both"/>
        <w:rPr>
          <w:rFonts w:ascii="Times New Roman" w:hAnsi="Times New Roman" w:cs="Times New Roman"/>
          <w:sz w:val="24"/>
          <w:szCs w:val="24"/>
        </w:rPr>
      </w:pPr>
    </w:p>
    <w:p w14:paraId="73448473" w14:textId="77777777" w:rsidR="00755C04" w:rsidRDefault="00755C04" w:rsidP="00B6642C">
      <w:pPr>
        <w:spacing w:after="0" w:line="240" w:lineRule="auto"/>
        <w:jc w:val="both"/>
        <w:rPr>
          <w:rFonts w:ascii="Times New Roman" w:hAnsi="Times New Roman" w:cs="Times New Roman"/>
          <w:sz w:val="24"/>
          <w:szCs w:val="24"/>
        </w:rPr>
      </w:pPr>
    </w:p>
    <w:p w14:paraId="0269565E" w14:textId="77777777" w:rsidR="00755C04" w:rsidRDefault="00755C04" w:rsidP="00B6642C">
      <w:pPr>
        <w:spacing w:after="0" w:line="240" w:lineRule="auto"/>
        <w:jc w:val="both"/>
        <w:rPr>
          <w:rFonts w:ascii="Times New Roman" w:hAnsi="Times New Roman" w:cs="Times New Roman"/>
          <w:sz w:val="24"/>
          <w:szCs w:val="24"/>
        </w:rPr>
      </w:pPr>
    </w:p>
    <w:p w14:paraId="41BA2D5C" w14:textId="77777777" w:rsidR="00755C04" w:rsidRDefault="00755C04" w:rsidP="00B6642C">
      <w:pPr>
        <w:spacing w:after="0" w:line="240" w:lineRule="auto"/>
        <w:jc w:val="both"/>
        <w:rPr>
          <w:rFonts w:ascii="Times New Roman" w:hAnsi="Times New Roman" w:cs="Times New Roman"/>
          <w:sz w:val="24"/>
          <w:szCs w:val="24"/>
        </w:rPr>
      </w:pPr>
    </w:p>
    <w:p w14:paraId="07E6B8D4" w14:textId="77777777" w:rsidR="00755C04" w:rsidRDefault="00755C04" w:rsidP="00B6642C">
      <w:pPr>
        <w:spacing w:after="0" w:line="240" w:lineRule="auto"/>
        <w:jc w:val="both"/>
        <w:rPr>
          <w:rFonts w:ascii="Times New Roman" w:hAnsi="Times New Roman" w:cs="Times New Roman"/>
          <w:sz w:val="24"/>
          <w:szCs w:val="24"/>
        </w:rPr>
      </w:pPr>
    </w:p>
    <w:p w14:paraId="65D0C68C" w14:textId="77777777" w:rsidR="00755C04" w:rsidRDefault="00755C04" w:rsidP="00B6642C">
      <w:pPr>
        <w:spacing w:after="0" w:line="240" w:lineRule="auto"/>
        <w:jc w:val="both"/>
        <w:rPr>
          <w:rFonts w:ascii="Times New Roman" w:hAnsi="Times New Roman" w:cs="Times New Roman"/>
          <w:sz w:val="24"/>
          <w:szCs w:val="24"/>
        </w:rPr>
      </w:pPr>
    </w:p>
    <w:p w14:paraId="4C44B932" w14:textId="77777777" w:rsidR="00755C04" w:rsidRDefault="00755C04" w:rsidP="00B6642C">
      <w:pPr>
        <w:spacing w:after="0" w:line="240" w:lineRule="auto"/>
        <w:jc w:val="both"/>
        <w:rPr>
          <w:rFonts w:ascii="Times New Roman" w:hAnsi="Times New Roman" w:cs="Times New Roman"/>
          <w:sz w:val="24"/>
          <w:szCs w:val="24"/>
        </w:rPr>
      </w:pPr>
    </w:p>
    <w:p w14:paraId="1B19BBE7" w14:textId="77777777" w:rsidR="00755C04" w:rsidRDefault="00755C04" w:rsidP="00B6642C">
      <w:pPr>
        <w:spacing w:after="0" w:line="240" w:lineRule="auto"/>
        <w:jc w:val="both"/>
        <w:rPr>
          <w:rFonts w:ascii="Times New Roman" w:hAnsi="Times New Roman" w:cs="Times New Roman"/>
          <w:sz w:val="24"/>
          <w:szCs w:val="24"/>
        </w:rPr>
      </w:pPr>
    </w:p>
    <w:p w14:paraId="4CA67396" w14:textId="77777777" w:rsidR="00755C04" w:rsidRDefault="00755C04" w:rsidP="00B6642C">
      <w:pPr>
        <w:spacing w:after="0" w:line="240" w:lineRule="auto"/>
        <w:jc w:val="both"/>
        <w:rPr>
          <w:rFonts w:ascii="Times New Roman" w:hAnsi="Times New Roman" w:cs="Times New Roman"/>
          <w:sz w:val="24"/>
          <w:szCs w:val="24"/>
        </w:rPr>
      </w:pPr>
    </w:p>
    <w:p w14:paraId="15F846CB" w14:textId="77777777" w:rsidR="00755C04" w:rsidRDefault="00755C04" w:rsidP="00B6642C">
      <w:pPr>
        <w:spacing w:after="0" w:line="240" w:lineRule="auto"/>
        <w:jc w:val="both"/>
        <w:rPr>
          <w:rFonts w:ascii="Times New Roman" w:hAnsi="Times New Roman" w:cs="Times New Roman"/>
          <w:sz w:val="24"/>
          <w:szCs w:val="24"/>
        </w:rPr>
      </w:pPr>
    </w:p>
    <w:p w14:paraId="266F4FF3" w14:textId="77777777" w:rsidR="00755C04" w:rsidRDefault="00755C04" w:rsidP="00B6642C">
      <w:pPr>
        <w:spacing w:after="0" w:line="240" w:lineRule="auto"/>
        <w:jc w:val="both"/>
        <w:rPr>
          <w:rFonts w:ascii="Times New Roman" w:hAnsi="Times New Roman" w:cs="Times New Roman"/>
          <w:sz w:val="24"/>
          <w:szCs w:val="24"/>
        </w:rPr>
      </w:pPr>
    </w:p>
    <w:p w14:paraId="14C4AE3C" w14:textId="77777777" w:rsidR="00755C04" w:rsidRDefault="00755C04" w:rsidP="00B6642C">
      <w:pPr>
        <w:spacing w:after="0" w:line="240" w:lineRule="auto"/>
        <w:jc w:val="both"/>
        <w:rPr>
          <w:rFonts w:ascii="Times New Roman" w:hAnsi="Times New Roman" w:cs="Times New Roman"/>
          <w:sz w:val="24"/>
          <w:szCs w:val="24"/>
        </w:rPr>
      </w:pPr>
    </w:p>
    <w:p w14:paraId="7DD988D7" w14:textId="77777777" w:rsidR="00755C04" w:rsidRDefault="00755C04" w:rsidP="00B6642C">
      <w:pPr>
        <w:spacing w:after="0" w:line="240" w:lineRule="auto"/>
        <w:jc w:val="both"/>
        <w:rPr>
          <w:rFonts w:ascii="Times New Roman" w:hAnsi="Times New Roman" w:cs="Times New Roman"/>
          <w:sz w:val="24"/>
          <w:szCs w:val="24"/>
        </w:rPr>
      </w:pPr>
    </w:p>
    <w:p w14:paraId="1362B8EE" w14:textId="77777777" w:rsidR="00755C04" w:rsidRDefault="00755C04" w:rsidP="00B6642C">
      <w:pPr>
        <w:spacing w:after="0" w:line="240" w:lineRule="auto"/>
        <w:jc w:val="both"/>
        <w:rPr>
          <w:rFonts w:ascii="Times New Roman" w:hAnsi="Times New Roman" w:cs="Times New Roman"/>
          <w:sz w:val="24"/>
          <w:szCs w:val="24"/>
        </w:rPr>
      </w:pPr>
    </w:p>
    <w:p w14:paraId="0D86175F" w14:textId="77777777" w:rsidR="00755C04" w:rsidRDefault="00755C04" w:rsidP="00B6642C">
      <w:pPr>
        <w:spacing w:after="0" w:line="240" w:lineRule="auto"/>
        <w:jc w:val="both"/>
        <w:rPr>
          <w:rFonts w:ascii="Times New Roman" w:hAnsi="Times New Roman" w:cs="Times New Roman"/>
          <w:sz w:val="24"/>
          <w:szCs w:val="24"/>
        </w:rPr>
      </w:pPr>
    </w:p>
    <w:p w14:paraId="37939649" w14:textId="77777777" w:rsidR="00755C04" w:rsidRDefault="00755C04" w:rsidP="00B6642C">
      <w:pPr>
        <w:spacing w:after="0" w:line="240" w:lineRule="auto"/>
        <w:jc w:val="both"/>
        <w:rPr>
          <w:rFonts w:ascii="Times New Roman" w:hAnsi="Times New Roman" w:cs="Times New Roman"/>
          <w:sz w:val="24"/>
          <w:szCs w:val="24"/>
        </w:rPr>
      </w:pPr>
    </w:p>
    <w:p w14:paraId="7A8563AE" w14:textId="77777777" w:rsidR="00755C04" w:rsidRDefault="00755C04" w:rsidP="00B6642C">
      <w:pPr>
        <w:spacing w:after="0" w:line="240" w:lineRule="auto"/>
        <w:jc w:val="both"/>
        <w:rPr>
          <w:rFonts w:ascii="Times New Roman" w:hAnsi="Times New Roman" w:cs="Times New Roman"/>
          <w:sz w:val="24"/>
          <w:szCs w:val="24"/>
        </w:rPr>
      </w:pPr>
    </w:p>
    <w:p w14:paraId="4F489260" w14:textId="77777777" w:rsidR="00755C04" w:rsidRDefault="00755C04" w:rsidP="00B6642C">
      <w:pPr>
        <w:spacing w:after="0" w:line="240" w:lineRule="auto"/>
        <w:jc w:val="both"/>
        <w:rPr>
          <w:rFonts w:ascii="Times New Roman" w:hAnsi="Times New Roman" w:cs="Times New Roman"/>
          <w:sz w:val="24"/>
          <w:szCs w:val="24"/>
        </w:rPr>
      </w:pPr>
    </w:p>
    <w:p w14:paraId="406C0FA5" w14:textId="77777777" w:rsidR="00755C04" w:rsidRDefault="00755C04" w:rsidP="00B6642C">
      <w:pPr>
        <w:spacing w:after="0" w:line="240" w:lineRule="auto"/>
        <w:jc w:val="both"/>
        <w:rPr>
          <w:rFonts w:ascii="Times New Roman" w:hAnsi="Times New Roman" w:cs="Times New Roman"/>
          <w:sz w:val="24"/>
          <w:szCs w:val="24"/>
        </w:rPr>
      </w:pPr>
    </w:p>
    <w:p w14:paraId="17EA1FB4" w14:textId="77777777" w:rsidR="00755C04" w:rsidRDefault="00755C04" w:rsidP="00B6642C">
      <w:pPr>
        <w:spacing w:after="0" w:line="240" w:lineRule="auto"/>
        <w:jc w:val="both"/>
        <w:rPr>
          <w:rFonts w:ascii="Times New Roman" w:hAnsi="Times New Roman" w:cs="Times New Roman"/>
          <w:sz w:val="24"/>
          <w:szCs w:val="24"/>
        </w:rPr>
      </w:pPr>
    </w:p>
    <w:p w14:paraId="1D78C1F3" w14:textId="77777777" w:rsidR="00755C04" w:rsidRDefault="00755C04" w:rsidP="00B6642C">
      <w:pPr>
        <w:spacing w:after="0" w:line="240" w:lineRule="auto"/>
        <w:jc w:val="both"/>
        <w:rPr>
          <w:rFonts w:ascii="Times New Roman" w:hAnsi="Times New Roman" w:cs="Times New Roman"/>
          <w:sz w:val="24"/>
          <w:szCs w:val="24"/>
        </w:rPr>
      </w:pPr>
    </w:p>
    <w:p w14:paraId="1495367F" w14:textId="77777777" w:rsidR="00755C04" w:rsidRDefault="00755C04" w:rsidP="00B6642C">
      <w:pPr>
        <w:spacing w:after="0" w:line="240" w:lineRule="auto"/>
        <w:jc w:val="both"/>
        <w:rPr>
          <w:rFonts w:ascii="Times New Roman" w:hAnsi="Times New Roman" w:cs="Times New Roman"/>
          <w:sz w:val="24"/>
          <w:szCs w:val="24"/>
        </w:rPr>
      </w:pPr>
    </w:p>
    <w:p w14:paraId="49BFF332" w14:textId="77777777" w:rsidR="00755C04" w:rsidRDefault="00755C04" w:rsidP="00B6642C">
      <w:pPr>
        <w:spacing w:after="0" w:line="240" w:lineRule="auto"/>
        <w:jc w:val="both"/>
        <w:rPr>
          <w:rFonts w:ascii="Times New Roman" w:hAnsi="Times New Roman" w:cs="Times New Roman"/>
          <w:sz w:val="24"/>
          <w:szCs w:val="24"/>
        </w:rPr>
      </w:pPr>
    </w:p>
    <w:p w14:paraId="616CDD3B" w14:textId="77777777" w:rsidR="00755C04" w:rsidRDefault="00755C04" w:rsidP="00B6642C">
      <w:pPr>
        <w:spacing w:after="0" w:line="240" w:lineRule="auto"/>
        <w:jc w:val="both"/>
        <w:rPr>
          <w:rFonts w:ascii="Times New Roman" w:hAnsi="Times New Roman" w:cs="Times New Roman"/>
          <w:sz w:val="24"/>
          <w:szCs w:val="24"/>
        </w:rPr>
      </w:pPr>
    </w:p>
    <w:p w14:paraId="6777BAC3" w14:textId="77777777" w:rsidR="00755C04" w:rsidRPr="00BE4AF3" w:rsidRDefault="00755C04" w:rsidP="00B6642C">
      <w:pPr>
        <w:spacing w:after="0" w:line="240" w:lineRule="auto"/>
        <w:jc w:val="both"/>
        <w:rPr>
          <w:rFonts w:ascii="Times New Roman" w:hAnsi="Times New Roman" w:cs="Times New Roman"/>
          <w:sz w:val="24"/>
          <w:szCs w:val="24"/>
        </w:rPr>
      </w:pPr>
    </w:p>
    <w:p w14:paraId="06FD0F7A" w14:textId="77777777" w:rsidR="0000060D" w:rsidRPr="00BE4AF3" w:rsidRDefault="0000060D" w:rsidP="00B6642C">
      <w:pPr>
        <w:spacing w:after="0" w:line="240" w:lineRule="auto"/>
        <w:jc w:val="center"/>
        <w:rPr>
          <w:rFonts w:ascii="Times New Roman" w:hAnsi="Times New Roman" w:cs="Times New Roman"/>
          <w:b/>
          <w:sz w:val="24"/>
          <w:szCs w:val="24"/>
        </w:rPr>
      </w:pPr>
    </w:p>
    <w:p w14:paraId="35477624" w14:textId="77777777" w:rsidR="00B6642C" w:rsidRPr="00755C04" w:rsidRDefault="00B6642C" w:rsidP="00B6642C">
      <w:pPr>
        <w:spacing w:after="0" w:line="240" w:lineRule="auto"/>
        <w:jc w:val="center"/>
        <w:rPr>
          <w:rFonts w:ascii="Times New Roman" w:hAnsi="Times New Roman" w:cs="Times New Roman"/>
          <w:b/>
          <w:sz w:val="28"/>
          <w:szCs w:val="28"/>
        </w:rPr>
      </w:pPr>
      <w:r w:rsidRPr="00755C04">
        <w:rPr>
          <w:rFonts w:ascii="Times New Roman" w:hAnsi="Times New Roman" w:cs="Times New Roman"/>
          <w:b/>
          <w:sz w:val="28"/>
          <w:szCs w:val="28"/>
        </w:rPr>
        <w:lastRenderedPageBreak/>
        <w:t>Socio-economic Implications of Peri-Urban Incremental Housing Development in Ogbomoso, Nigeria</w:t>
      </w:r>
    </w:p>
    <w:p w14:paraId="118C0D1C" w14:textId="77777777" w:rsidR="00B6642C" w:rsidRPr="00BE4AF3" w:rsidRDefault="00B6642C" w:rsidP="00B6642C">
      <w:pPr>
        <w:spacing w:after="0" w:line="240" w:lineRule="auto"/>
        <w:jc w:val="center"/>
        <w:rPr>
          <w:rFonts w:ascii="Times New Roman" w:hAnsi="Times New Roman" w:cs="Times New Roman"/>
          <w:b/>
          <w:sz w:val="24"/>
          <w:szCs w:val="24"/>
        </w:rPr>
      </w:pPr>
    </w:p>
    <w:p w14:paraId="44DFB055" w14:textId="77777777" w:rsidR="00B6642C" w:rsidRPr="00BE4AF3" w:rsidRDefault="00C17E13" w:rsidP="00B6642C">
      <w:pPr>
        <w:spacing w:after="0" w:line="240" w:lineRule="auto"/>
        <w:jc w:val="center"/>
        <w:rPr>
          <w:rFonts w:ascii="Times New Roman" w:hAnsi="Times New Roman" w:cs="Times New Roman"/>
          <w:sz w:val="24"/>
          <w:szCs w:val="24"/>
          <w:vertAlign w:val="superscript"/>
        </w:rPr>
      </w:pPr>
      <w:r w:rsidRPr="00BE4AF3">
        <w:rPr>
          <w:rFonts w:ascii="Times New Roman" w:hAnsi="Times New Roman" w:cs="Times New Roman"/>
          <w:sz w:val="24"/>
          <w:szCs w:val="24"/>
          <w:vertAlign w:val="superscript"/>
        </w:rPr>
        <w:t>1</w:t>
      </w:r>
      <w:r w:rsidRPr="00BE4AF3">
        <w:rPr>
          <w:rFonts w:ascii="Times New Roman" w:hAnsi="Times New Roman" w:cs="Times New Roman"/>
          <w:b/>
          <w:sz w:val="24"/>
          <w:szCs w:val="24"/>
        </w:rPr>
        <w:t xml:space="preserve"> </w:t>
      </w:r>
      <w:r w:rsidRPr="00BE4AF3">
        <w:rPr>
          <w:rFonts w:ascii="Times New Roman" w:hAnsi="Times New Roman" w:cs="Times New Roman"/>
          <w:sz w:val="24"/>
          <w:szCs w:val="24"/>
        </w:rPr>
        <w:t xml:space="preserve">*Oladele, J. A., </w:t>
      </w:r>
      <w:r w:rsidRPr="00BE4AF3">
        <w:rPr>
          <w:rFonts w:ascii="Times New Roman" w:hAnsi="Times New Roman" w:cs="Times New Roman"/>
          <w:sz w:val="24"/>
          <w:szCs w:val="24"/>
          <w:vertAlign w:val="superscript"/>
        </w:rPr>
        <w:t>2</w:t>
      </w:r>
      <w:r w:rsidRPr="00BE4AF3">
        <w:rPr>
          <w:rFonts w:ascii="Times New Roman" w:hAnsi="Times New Roman" w:cs="Times New Roman"/>
          <w:sz w:val="24"/>
          <w:szCs w:val="24"/>
        </w:rPr>
        <w:t>Bello, L. O.,</w:t>
      </w:r>
      <w:r w:rsidRPr="00BE4AF3">
        <w:rPr>
          <w:rFonts w:ascii="Times New Roman" w:hAnsi="Times New Roman" w:cs="Times New Roman"/>
          <w:sz w:val="24"/>
          <w:szCs w:val="24"/>
          <w:vertAlign w:val="superscript"/>
        </w:rPr>
        <w:t>3</w:t>
      </w:r>
      <w:r w:rsidRPr="00BE4AF3">
        <w:rPr>
          <w:rFonts w:ascii="Times New Roman" w:hAnsi="Times New Roman" w:cs="Times New Roman"/>
          <w:sz w:val="24"/>
          <w:szCs w:val="24"/>
        </w:rPr>
        <w:t>Abolade</w:t>
      </w:r>
      <w:r w:rsidRPr="00BE4AF3">
        <w:rPr>
          <w:rFonts w:ascii="Times New Roman" w:hAnsi="Times New Roman" w:cs="Times New Roman"/>
          <w:b/>
          <w:sz w:val="24"/>
          <w:szCs w:val="24"/>
        </w:rPr>
        <w:t>,</w:t>
      </w:r>
      <w:r w:rsidRPr="00BE4AF3">
        <w:rPr>
          <w:rFonts w:ascii="Times New Roman" w:hAnsi="Times New Roman" w:cs="Times New Roman"/>
          <w:sz w:val="24"/>
          <w:szCs w:val="24"/>
        </w:rPr>
        <w:t xml:space="preserve"> O. and</w:t>
      </w:r>
      <w:r w:rsidRPr="00BE4AF3">
        <w:rPr>
          <w:rFonts w:ascii="Times New Roman" w:hAnsi="Times New Roman" w:cs="Times New Roman"/>
          <w:sz w:val="24"/>
          <w:szCs w:val="24"/>
          <w:vertAlign w:val="superscript"/>
        </w:rPr>
        <w:t xml:space="preserve"> 4</w:t>
      </w:r>
      <w:r w:rsidRPr="00BE4AF3">
        <w:rPr>
          <w:rFonts w:ascii="Times New Roman" w:hAnsi="Times New Roman" w:cs="Times New Roman"/>
          <w:sz w:val="24"/>
          <w:szCs w:val="24"/>
        </w:rPr>
        <w:t>Odebunmi</w:t>
      </w:r>
      <w:r w:rsidRPr="00BE4AF3">
        <w:rPr>
          <w:rFonts w:ascii="Times New Roman" w:hAnsi="Times New Roman" w:cs="Times New Roman"/>
          <w:b/>
          <w:sz w:val="24"/>
          <w:szCs w:val="24"/>
        </w:rPr>
        <w:t>,</w:t>
      </w:r>
      <w:r w:rsidRPr="00BE4AF3">
        <w:rPr>
          <w:rFonts w:ascii="Times New Roman" w:hAnsi="Times New Roman" w:cs="Times New Roman"/>
          <w:sz w:val="24"/>
          <w:szCs w:val="24"/>
        </w:rPr>
        <w:t xml:space="preserve"> O. F.</w:t>
      </w:r>
      <w:r w:rsidRPr="00BE4AF3">
        <w:rPr>
          <w:rFonts w:ascii="Times New Roman" w:hAnsi="Times New Roman" w:cs="Times New Roman"/>
          <w:sz w:val="24"/>
          <w:szCs w:val="24"/>
          <w:vertAlign w:val="superscript"/>
        </w:rPr>
        <w:t xml:space="preserve"> </w:t>
      </w:r>
    </w:p>
    <w:p w14:paraId="547C7974" w14:textId="77777777" w:rsidR="00B6642C" w:rsidRPr="00BE4AF3" w:rsidRDefault="00B6642C" w:rsidP="00B6642C">
      <w:pPr>
        <w:spacing w:after="0" w:line="240" w:lineRule="auto"/>
        <w:jc w:val="center"/>
        <w:rPr>
          <w:rFonts w:ascii="Times New Roman" w:hAnsi="Times New Roman" w:cs="Times New Roman"/>
          <w:sz w:val="24"/>
          <w:szCs w:val="24"/>
        </w:rPr>
      </w:pPr>
    </w:p>
    <w:p w14:paraId="464C4968" w14:textId="77777777" w:rsidR="00B6642C" w:rsidRPr="00755C04" w:rsidRDefault="00B6642C" w:rsidP="00B6642C">
      <w:pPr>
        <w:spacing w:after="0" w:line="240" w:lineRule="auto"/>
        <w:jc w:val="center"/>
        <w:rPr>
          <w:rFonts w:ascii="Times New Roman" w:hAnsi="Times New Roman" w:cs="Times New Roman"/>
          <w:sz w:val="20"/>
          <w:szCs w:val="20"/>
        </w:rPr>
      </w:pPr>
      <w:r w:rsidRPr="00755C04">
        <w:rPr>
          <w:rFonts w:ascii="Times New Roman" w:hAnsi="Times New Roman" w:cs="Times New Roman"/>
          <w:sz w:val="20"/>
          <w:szCs w:val="20"/>
          <w:vertAlign w:val="superscript"/>
        </w:rPr>
        <w:t>1, 2, 3&amp;4</w:t>
      </w:r>
      <w:r w:rsidRPr="00755C04">
        <w:rPr>
          <w:rFonts w:ascii="Times New Roman" w:hAnsi="Times New Roman" w:cs="Times New Roman"/>
          <w:sz w:val="20"/>
          <w:szCs w:val="20"/>
        </w:rPr>
        <w:t xml:space="preserve"> Department of Urban and Regional Planning, Ladoke Akintola University of Technology, PMB 4000, Ogbomoso</w:t>
      </w:r>
    </w:p>
    <w:p w14:paraId="77A8F4B1" w14:textId="77777777" w:rsidR="00B6642C" w:rsidRPr="00755C04" w:rsidRDefault="00B6642C" w:rsidP="00B6642C">
      <w:pPr>
        <w:spacing w:after="0" w:line="240" w:lineRule="auto"/>
        <w:jc w:val="center"/>
        <w:rPr>
          <w:rFonts w:ascii="Times New Roman" w:hAnsi="Times New Roman" w:cs="Times New Roman"/>
          <w:sz w:val="20"/>
          <w:szCs w:val="20"/>
        </w:rPr>
      </w:pPr>
    </w:p>
    <w:p w14:paraId="27C0294E" w14:textId="77777777" w:rsidR="00B6642C" w:rsidRPr="00755C04" w:rsidRDefault="00B6642C" w:rsidP="00B6642C">
      <w:pPr>
        <w:spacing w:after="0" w:line="240" w:lineRule="auto"/>
        <w:jc w:val="center"/>
        <w:rPr>
          <w:rFonts w:ascii="Times New Roman" w:hAnsi="Times New Roman" w:cs="Times New Roman"/>
          <w:sz w:val="20"/>
          <w:szCs w:val="20"/>
        </w:rPr>
      </w:pPr>
      <w:r w:rsidRPr="00755C04">
        <w:rPr>
          <w:rFonts w:ascii="Times New Roman" w:hAnsi="Times New Roman" w:cs="Times New Roman"/>
          <w:sz w:val="20"/>
          <w:szCs w:val="20"/>
        </w:rPr>
        <w:t xml:space="preserve">*Corresponding Author E-mail: </w:t>
      </w:r>
      <w:hyperlink r:id="rId186" w:history="1">
        <w:r w:rsidRPr="00755C04">
          <w:rPr>
            <w:rStyle w:val="Hyperlink"/>
            <w:rFonts w:ascii="Times New Roman" w:hAnsi="Times New Roman" w:cs="Times New Roman"/>
            <w:sz w:val="20"/>
            <w:szCs w:val="20"/>
          </w:rPr>
          <w:t>joshuaabayomio@gmail.com</w:t>
        </w:r>
      </w:hyperlink>
      <w:r w:rsidRPr="00755C04">
        <w:rPr>
          <w:rFonts w:ascii="Times New Roman" w:hAnsi="Times New Roman" w:cs="Times New Roman"/>
          <w:sz w:val="20"/>
          <w:szCs w:val="20"/>
        </w:rPr>
        <w:t xml:space="preserve"> </w:t>
      </w:r>
    </w:p>
    <w:p w14:paraId="11FD6AAF" w14:textId="77777777" w:rsidR="00B6642C" w:rsidRPr="00BE4AF3" w:rsidRDefault="00B6642C" w:rsidP="00B6642C">
      <w:pPr>
        <w:spacing w:after="0" w:line="240" w:lineRule="auto"/>
        <w:jc w:val="center"/>
        <w:rPr>
          <w:rFonts w:ascii="Times New Roman" w:hAnsi="Times New Roman" w:cs="Times New Roman"/>
          <w:b/>
          <w:sz w:val="24"/>
          <w:szCs w:val="24"/>
        </w:rPr>
      </w:pPr>
    </w:p>
    <w:p w14:paraId="41F26AC7" w14:textId="77777777" w:rsidR="00B6642C" w:rsidRPr="00BE4AF3" w:rsidRDefault="00B6642C" w:rsidP="00B6642C">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LICFES 2025-018 – FP27</w:t>
      </w:r>
    </w:p>
    <w:p w14:paraId="0BF73EC5" w14:textId="77777777" w:rsidR="00B6642C" w:rsidRPr="00BE4AF3" w:rsidRDefault="00B6642C" w:rsidP="00B6642C">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Abstract</w:t>
      </w:r>
    </w:p>
    <w:p w14:paraId="272FC351" w14:textId="77777777" w:rsidR="00B6642C" w:rsidRPr="00BE4AF3" w:rsidRDefault="00B6642C" w:rsidP="00B6642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Given the prominence of incremental development of residential plots among peri-urban dwellers, this study provides a situation analysis of peri-urban housing development in Ogbomoso, Nigeria. Data on socio-economic drivers of incremental development, building materials and improvement activities were obtained from residents in 206 incremental buildings, across eight peri-urban areas with the aid of structured questionnaire.  Descriptive statistics were used to summarise collected data, while One Way Analysis of Variance (ANOVA) was used to examine affordability of improvement activities carried out by incremental developers.</w:t>
      </w:r>
      <w:r w:rsidR="00C17E13" w:rsidRPr="00BE4AF3">
        <w:rPr>
          <w:rFonts w:ascii="Times New Roman" w:hAnsi="Times New Roman" w:cs="Times New Roman"/>
          <w:sz w:val="24"/>
          <w:szCs w:val="24"/>
        </w:rPr>
        <w:t xml:space="preserve"> </w:t>
      </w:r>
      <w:r w:rsidRPr="00BE4AF3">
        <w:rPr>
          <w:rFonts w:ascii="Times New Roman" w:hAnsi="Times New Roman" w:cs="Times New Roman"/>
          <w:sz w:val="24"/>
          <w:szCs w:val="24"/>
        </w:rPr>
        <w:t xml:space="preserve">Findings revealed the preponderance of secondary school level of education (44.7%) of artisans (40.8%) with income earning between ₦60,000 and ₦90,000 (30.6%). These low socio-economic states of incremental developers informed the use of sand-crete cement block (96.6%), cement screed (63.1%), louvers (92.2%), long span aluminium (76.7%) and asbestos boards (44.2%) for the building components. The result of ANOVA showed a significant difference in the level of affordable improvement activities (F = 2.888, p = 0.024) carried out on incremental houses. On a whole, incremental housing development supports low and middle income populations in achieving home ownership in the study area. The study recommended purpose-driven economic reforms and programs as this has multiplier effects on improved housing condition and healthy living within peri-urban residential neighbourhoods. </w:t>
      </w:r>
    </w:p>
    <w:p w14:paraId="6E64B34B" w14:textId="77777777" w:rsidR="00B6642C" w:rsidRPr="00BE4AF3" w:rsidRDefault="00B6642C" w:rsidP="00B6642C">
      <w:pPr>
        <w:spacing w:after="0" w:line="240" w:lineRule="auto"/>
        <w:jc w:val="both"/>
        <w:rPr>
          <w:rFonts w:ascii="Times New Roman" w:hAnsi="Times New Roman" w:cs="Times New Roman"/>
          <w:sz w:val="24"/>
          <w:szCs w:val="24"/>
        </w:rPr>
      </w:pPr>
    </w:p>
    <w:p w14:paraId="283F3F48" w14:textId="77777777" w:rsidR="00B6642C" w:rsidRPr="00BE4AF3" w:rsidRDefault="00B6642C" w:rsidP="00B6642C">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Keywords:</w:t>
      </w:r>
      <w:r w:rsidRPr="00BE4AF3">
        <w:rPr>
          <w:rFonts w:ascii="Times New Roman" w:hAnsi="Times New Roman" w:cs="Times New Roman"/>
          <w:sz w:val="24"/>
          <w:szCs w:val="24"/>
        </w:rPr>
        <w:t xml:space="preserve"> Incremental development; socio-economic drivers; affordability; peri-urban residential neighbourhoods</w:t>
      </w:r>
    </w:p>
    <w:p w14:paraId="1D6B6A86" w14:textId="77777777" w:rsidR="00B6642C" w:rsidRPr="00BE4AF3" w:rsidRDefault="00B6642C" w:rsidP="00B6642C">
      <w:pPr>
        <w:spacing w:after="0" w:line="240" w:lineRule="auto"/>
        <w:jc w:val="both"/>
        <w:rPr>
          <w:rFonts w:ascii="Times New Roman" w:hAnsi="Times New Roman" w:cs="Times New Roman"/>
          <w:sz w:val="24"/>
          <w:szCs w:val="24"/>
        </w:rPr>
      </w:pPr>
    </w:p>
    <w:p w14:paraId="3CE26774" w14:textId="77777777" w:rsidR="0000060D" w:rsidRPr="00BE4AF3" w:rsidRDefault="0000060D" w:rsidP="00755C04">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Introduction</w:t>
      </w:r>
    </w:p>
    <w:p w14:paraId="3DA40988" w14:textId="78E29B85" w:rsidR="0000060D" w:rsidRPr="00BE4AF3" w:rsidRDefault="0000060D" w:rsidP="00013474">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Unprecedented peri-urbanisation in African countries is a growing concern to urban planners and city managers due to associated numerous development challenges. Notably, among the challenge is uncontrolled physical development activities on peri-urban landscape (Amoateng, Cobbinah and Owusu-Adade, 2013; Haldar, Chatterjee, Bhattacharya, Paul, Bindajam, Mallick and Abdo, 2024). Ayeni, Aborisade, Aiyegbajeje and Soneye (2025) opined that proliferation of haphazard development in peri-urban areas can be addressed through compulsory acquisition of lands by the government towards achieving Sustainable Development Goal (SDG) 11 of inclusive, safe, resilient and sustainable human settlements. However, previous studies have shown that inadequate space and high price of land at the city centres led to exodus of urban dwellers to peri-urban areas, mostly at the outskirts of cities. This is because; relatively low land values and lesser physical development characterising city peripheries made it a preferred location for both residential and commercial land uses (Amoateng </w:t>
      </w:r>
      <w:r w:rsidRPr="00BE4AF3">
        <w:rPr>
          <w:rFonts w:ascii="Times New Roman" w:hAnsi="Times New Roman" w:cs="Times New Roman"/>
          <w:i/>
          <w:sz w:val="24"/>
          <w:szCs w:val="24"/>
        </w:rPr>
        <w:t>et al</w:t>
      </w:r>
      <w:r w:rsidRPr="00BE4AF3">
        <w:rPr>
          <w:rFonts w:ascii="Times New Roman" w:hAnsi="Times New Roman" w:cs="Times New Roman"/>
          <w:sz w:val="24"/>
          <w:szCs w:val="24"/>
        </w:rPr>
        <w:t xml:space="preserve">., 2013). What we know on increasing housing deficit for teeming peri-urban dwellers was as resultant effect of deficient housing policies and programs in the developing countries, Nigeria inclusive </w:t>
      </w:r>
      <w:r w:rsidRPr="00BE4AF3">
        <w:rPr>
          <w:rFonts w:ascii="Times New Roman" w:hAnsi="Times New Roman" w:cs="Times New Roman"/>
          <w:sz w:val="24"/>
          <w:szCs w:val="24"/>
        </w:rPr>
        <w:lastRenderedPageBreak/>
        <w:t xml:space="preserve">(Atamewan and Olagunju, 2017). In essence, peri-urban areas accommodate vulnerable income groups to carry out physical development of their residential plots incrementally. </w:t>
      </w:r>
    </w:p>
    <w:p w14:paraId="1991E2A2" w14:textId="2875271E" w:rsidR="0000060D" w:rsidRPr="00BE4AF3" w:rsidRDefault="0000060D" w:rsidP="00013474">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Related to the subject, incremental buildings have been conceptualised severally in extant literature. For instance, Olayiwola and Ajala (2022) conceptualised incremental building as step-by-step development approach given available means to carry out house improvement or upgrading activities. It is also referred to as gradual transformation of habitable space over time and resources (van Noorloos, Cirolia, Friendly, Jukur, Schramm, Steel and Valenzuela, 2020). Similarly, incremental housing, also known as piecemeal is an incomplete house construction that allows habitation (van Noorloos </w:t>
      </w:r>
      <w:r w:rsidRPr="00BE4AF3">
        <w:rPr>
          <w:rFonts w:ascii="Times New Roman" w:hAnsi="Times New Roman" w:cs="Times New Roman"/>
          <w:i/>
          <w:sz w:val="24"/>
          <w:szCs w:val="24"/>
        </w:rPr>
        <w:t>et al</w:t>
      </w:r>
      <w:r w:rsidRPr="00BE4AF3">
        <w:rPr>
          <w:rFonts w:ascii="Times New Roman" w:hAnsi="Times New Roman" w:cs="Times New Roman"/>
          <w:sz w:val="24"/>
          <w:szCs w:val="24"/>
        </w:rPr>
        <w:t>., 2020). Consequently, this housing strategy gained prominence among low income groups being socially relevant and realistic solutions for recurrent housing deficits. Incremental housing development, therefore, is as open-ended housing option for low and middle income households (Ujianto and Iqbal, 2025) and as such, provides secure title and maximum housing decisions in the peri-urban areas.</w:t>
      </w:r>
    </w:p>
    <w:p w14:paraId="5DA6428B" w14:textId="59004CA8" w:rsidR="0000060D" w:rsidRPr="00BE4AF3" w:rsidRDefault="0000060D" w:rsidP="00013474">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In Nigeria, studies (Adeyeni, Olayiwola and Oladehinde, 2016; Idowu, Bako and Aduloju, 2020) on incremental housing development at the peri-urban spaces raised scholarly discourse on the situation.</w:t>
      </w:r>
      <w:r w:rsidRPr="00BE4AF3">
        <w:rPr>
          <w:rFonts w:ascii="Times New Roman" w:hAnsi="Times New Roman" w:cs="Times New Roman"/>
          <w:b/>
          <w:sz w:val="24"/>
          <w:szCs w:val="24"/>
        </w:rPr>
        <w:t xml:space="preserve"> </w:t>
      </w:r>
      <w:r w:rsidRPr="00BE4AF3">
        <w:rPr>
          <w:rFonts w:ascii="Times New Roman" w:hAnsi="Times New Roman" w:cs="Times New Roman"/>
          <w:sz w:val="24"/>
          <w:szCs w:val="24"/>
        </w:rPr>
        <w:t>A study by Omotoso, Ojo and Shittu (2020), for example, reported that low-income earners dominated peri-urban communities in Akure metropolis with resultant cases of uncontrolled physical development. This implies that developers at the periphery zones of the capital city of Ondo opted for incremental development of residential plots to become house owners. Alabi, Babalola and Popoola (2021), while investigating peri-urban interface of Ibadan, identified drivers of incremental development to include forced displacement from insecure land tenure, high cost of rent and low income generation of the peri-urban dwellers.</w:t>
      </w:r>
    </w:p>
    <w:p w14:paraId="4E53B79F" w14:textId="77777777" w:rsidR="0000060D" w:rsidRPr="00BE4AF3" w:rsidRDefault="0000060D" w:rsidP="00013474">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Despite the notable findings, urban planning attempts; land laws and policies guiding development control activities in the peri-urban areas have been discreetly discussed in planning literature. With an increasing leap frog residential development at peri-urban areas compared to the ‘parent city’ over the years. This study thus made inquiries as: what are the socio-economic implications of incremental residential development in Ogbomoso, Nigeria? To answer this, peri-urban areas in the second largest city (Ogbomoso) in Oyo State were chosen to; assess drivers of incremental residential development; examined types and nature of building materials used by incremental developers and evaluated affordability of improvement activities carried by incremental housing occupants. The paper is structured into four sections; this section is inclusive. Section two discusses adopted research methodology, with emphasis on the description of the study area and analytical techniques. Section three presents an analysis and discussion of the obtained data, while the last section presents the conclusion of the study.</w:t>
      </w:r>
    </w:p>
    <w:p w14:paraId="7CB82287" w14:textId="77777777" w:rsidR="0000060D" w:rsidRPr="00BE4AF3" w:rsidRDefault="0000060D" w:rsidP="00013474">
      <w:pPr>
        <w:spacing w:after="0" w:line="240" w:lineRule="auto"/>
        <w:jc w:val="both"/>
        <w:rPr>
          <w:rFonts w:ascii="Times New Roman" w:hAnsi="Times New Roman" w:cs="Times New Roman"/>
          <w:b/>
          <w:sz w:val="24"/>
          <w:szCs w:val="24"/>
        </w:rPr>
      </w:pPr>
    </w:p>
    <w:p w14:paraId="3F119818" w14:textId="77777777" w:rsidR="0000060D" w:rsidRPr="00BE4AF3" w:rsidRDefault="0000060D" w:rsidP="00013474">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 xml:space="preserve">Materials and Methods </w:t>
      </w:r>
    </w:p>
    <w:p w14:paraId="4949D60E" w14:textId="5FBC10BA" w:rsidR="0000060D" w:rsidRPr="00BE4AF3" w:rsidRDefault="0000060D" w:rsidP="00013474">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Geographically, this study focuses on peri-urban areas in Ogbomoso North Local Government Area. The Local Government Area is situated in Ogbomoso’s northern geographical area, 347 m above the sea level between latitudes 8.1579°N and 8.2350° N and longitudes 4.1052°E and 4.2581°E. It shares boundaries with Ogbomoso South Local Government Area to the west and Oriire local government area to the east. The local government area has a surface land area of 207,978 square kilometres.</w:t>
      </w:r>
    </w:p>
    <w:p w14:paraId="30A5AF6D" w14:textId="77777777" w:rsidR="0000060D" w:rsidRPr="00BE4AF3" w:rsidRDefault="0000060D" w:rsidP="00013474">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peri-urban neighbourhoods are ‘grey areas’ with atypical characteristics such as accelerated residential development, reduced primary activities, unplanned growth with inadequate service infrastructure, middle and low income residents, housing transformation along major road networks among others (Oladele and Abolade, 2024). Given these dynamics, eight peri-urban residential neighbourhoods (namely Ikose, Aaje-Ikose, Pakiotan Layout, Oke Owode, Kuye, Aduin, Igbo- Sai and Oke-paku) constituted selected study site.</w:t>
      </w:r>
    </w:p>
    <w:p w14:paraId="5F47C85B" w14:textId="77777777" w:rsidR="0000060D" w:rsidRPr="00BE4AF3" w:rsidRDefault="0000060D" w:rsidP="00013474">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 </w:t>
      </w:r>
    </w:p>
    <w:p w14:paraId="6903942C" w14:textId="4CDAA2CF" w:rsidR="0000060D" w:rsidRPr="00BE4AF3" w:rsidRDefault="0000060D" w:rsidP="00013474">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lastRenderedPageBreak/>
        <w:t xml:space="preserve">Data were collected from both primary and secondary sources. While the primary data were gathered through structured questionnaire administration to residents of incremental buildings, the secondary data were gathered through desk review of relevant literature on the drivers of incremental development, types of building materials and affordability of improvement activities. The sampling procedure adopted was a combination of purposive and random techniques. During this process, occupants of incremental houses with no development permit from the planning authority declined their participation in the study, and as such, perceived their dwellings as illegal or unauthorised physical structures. The purpose of the research was, however, explained that, it is strictly as an academic exercise with no intention of reporting to any authorities, whatsoever. </w:t>
      </w:r>
    </w:p>
    <w:p w14:paraId="5AC79249" w14:textId="7AA4C6F9" w:rsidR="0000060D" w:rsidRPr="00BE4AF3" w:rsidRDefault="0000060D" w:rsidP="00013474">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In addition, occupants of self-help and physically incomplete buildings were purposively selected for the survey. However, prior to the selection, the study relied on authors’ field observations, informal discussions with house occupants and housing census to arrive at 1,360 incremental housing units in the selected peri-urban neighbourhoods. Owing to limited man power, time and finance, approximately fifteen percent (15.15%) of the incremental houses, which adds up to 206 units (see Table 1), were selected using systematic random sampling. The first unit was selected at random, whilst others were selected based on every 5th unit. The target respondents in the research study were the owners of the houses where available or, if not, the most senior heads of the households. </w:t>
      </w:r>
    </w:p>
    <w:p w14:paraId="3543DC4D" w14:textId="77777777" w:rsidR="0000060D" w:rsidRPr="00BE4AF3" w:rsidRDefault="0000060D" w:rsidP="00013474">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Furthermore, other research instruments included Google Earth Imagery (GEI) and digital camera. The GEI was employed in the counting of the housing units within the selected peri-urban areas and a digital camera was used for taking pictures of the incremental houses. The retrieved data was compiled and analysed using Statistical Package for the Social Sciences (SPSS V22). </w:t>
      </w:r>
    </w:p>
    <w:p w14:paraId="07675164" w14:textId="77777777" w:rsidR="0000060D" w:rsidRPr="00BE4AF3" w:rsidRDefault="0000060D" w:rsidP="00013474">
      <w:pPr>
        <w:spacing w:after="0" w:line="240" w:lineRule="auto"/>
        <w:jc w:val="both"/>
        <w:rPr>
          <w:rFonts w:ascii="Times New Roman" w:hAnsi="Times New Roman" w:cs="Times New Roman"/>
          <w:sz w:val="24"/>
          <w:szCs w:val="24"/>
        </w:rPr>
      </w:pPr>
    </w:p>
    <w:p w14:paraId="21AA0D85" w14:textId="77777777" w:rsidR="0000060D" w:rsidRPr="00BE4AF3" w:rsidRDefault="0000060D" w:rsidP="0000060D">
      <w:pPr>
        <w:jc w:val="center"/>
        <w:rPr>
          <w:rFonts w:ascii="Times New Roman" w:hAnsi="Times New Roman" w:cs="Times New Roman"/>
          <w:sz w:val="24"/>
          <w:szCs w:val="24"/>
        </w:rPr>
      </w:pPr>
      <w:r w:rsidRPr="00BE4AF3">
        <w:rPr>
          <w:rFonts w:ascii="Times New Roman" w:hAnsi="Times New Roman" w:cs="Times New Roman"/>
          <w:noProof/>
          <w:sz w:val="24"/>
          <w:szCs w:val="24"/>
        </w:rPr>
        <w:drawing>
          <wp:inline distT="0" distB="0" distL="0" distR="0" wp14:anchorId="1ED6B32C" wp14:editId="2DA4621F">
            <wp:extent cx="5486400" cy="2905125"/>
            <wp:effectExtent l="0" t="0" r="0" b="0"/>
            <wp:docPr id="807822874" name="Picture 807822874" descr="C:\Users\OLADELE\Desktop\2024 Manuscripts\Abolade Paper\2025\Peri Urban 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ADELE\Desktop\2024 Manuscripts\Abolade Paper\2025\Peri Urban Areas.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488158" cy="2906056"/>
                    </a:xfrm>
                    <a:prstGeom prst="rect">
                      <a:avLst/>
                    </a:prstGeom>
                    <a:noFill/>
                    <a:ln>
                      <a:noFill/>
                    </a:ln>
                  </pic:spPr>
                </pic:pic>
              </a:graphicData>
            </a:graphic>
          </wp:inline>
        </w:drawing>
      </w:r>
    </w:p>
    <w:p w14:paraId="13D576E5" w14:textId="77777777" w:rsidR="0000060D" w:rsidRPr="00BE4AF3" w:rsidRDefault="0000060D" w:rsidP="0000060D">
      <w:pPr>
        <w:jc w:val="both"/>
        <w:rPr>
          <w:rFonts w:ascii="Times New Roman" w:hAnsi="Times New Roman" w:cs="Times New Roman"/>
          <w:b/>
          <w:sz w:val="24"/>
          <w:szCs w:val="24"/>
        </w:rPr>
      </w:pPr>
      <w:r w:rsidRPr="00BE4AF3">
        <w:rPr>
          <w:rFonts w:ascii="Times New Roman" w:hAnsi="Times New Roman" w:cs="Times New Roman"/>
          <w:sz w:val="24"/>
          <w:szCs w:val="24"/>
        </w:rPr>
        <w:tab/>
      </w:r>
      <w:r w:rsidRPr="00BE4AF3">
        <w:rPr>
          <w:rFonts w:ascii="Times New Roman" w:hAnsi="Times New Roman" w:cs="Times New Roman"/>
          <w:b/>
          <w:sz w:val="24"/>
          <w:szCs w:val="24"/>
        </w:rPr>
        <w:t>Figure 1: Selected Peri-Urban Areas in Ogbomoso</w:t>
      </w:r>
    </w:p>
    <w:p w14:paraId="7F3EDEEB" w14:textId="77777777" w:rsidR="0000060D" w:rsidRPr="00BE4AF3" w:rsidRDefault="0000060D" w:rsidP="0000060D">
      <w:pPr>
        <w:jc w:val="both"/>
        <w:rPr>
          <w:rFonts w:ascii="Times New Roman" w:hAnsi="Times New Roman" w:cs="Times New Roman"/>
          <w:sz w:val="24"/>
          <w:szCs w:val="24"/>
        </w:rPr>
      </w:pPr>
      <w:r w:rsidRPr="00BE4AF3">
        <w:rPr>
          <w:rFonts w:ascii="Times New Roman" w:hAnsi="Times New Roman" w:cs="Times New Roman"/>
          <w:b/>
          <w:sz w:val="24"/>
          <w:szCs w:val="24"/>
        </w:rPr>
        <w:tab/>
        <w:t xml:space="preserve">Source: </w:t>
      </w:r>
      <w:r w:rsidRPr="00BE4AF3">
        <w:rPr>
          <w:rFonts w:ascii="Times New Roman" w:hAnsi="Times New Roman" w:cs="Times New Roman"/>
          <w:sz w:val="24"/>
          <w:szCs w:val="24"/>
        </w:rPr>
        <w:t xml:space="preserve">Geographic Information System Laboratory, Department of Urban and </w:t>
      </w:r>
      <w:r w:rsidRPr="00BE4AF3">
        <w:rPr>
          <w:rFonts w:ascii="Times New Roman" w:hAnsi="Times New Roman" w:cs="Times New Roman"/>
          <w:sz w:val="24"/>
          <w:szCs w:val="24"/>
        </w:rPr>
        <w:tab/>
        <w:t xml:space="preserve">Regional Planning, LAUTECH, Ogbomoso. </w:t>
      </w:r>
    </w:p>
    <w:p w14:paraId="1D652764" w14:textId="77777777" w:rsidR="00013474" w:rsidRDefault="00013474" w:rsidP="0000060D">
      <w:pPr>
        <w:spacing w:line="360" w:lineRule="auto"/>
        <w:ind w:left="1440" w:firstLine="720"/>
        <w:jc w:val="center"/>
        <w:rPr>
          <w:rFonts w:ascii="Times New Roman" w:hAnsi="Times New Roman" w:cs="Times New Roman"/>
          <w:b/>
          <w:sz w:val="24"/>
          <w:szCs w:val="24"/>
        </w:rPr>
      </w:pPr>
    </w:p>
    <w:p w14:paraId="6E5EE07E" w14:textId="77777777" w:rsidR="00013474" w:rsidRDefault="00013474" w:rsidP="0000060D">
      <w:pPr>
        <w:spacing w:line="360" w:lineRule="auto"/>
        <w:ind w:left="1440" w:firstLine="720"/>
        <w:jc w:val="center"/>
        <w:rPr>
          <w:rFonts w:ascii="Times New Roman" w:hAnsi="Times New Roman" w:cs="Times New Roman"/>
          <w:b/>
          <w:sz w:val="24"/>
          <w:szCs w:val="24"/>
        </w:rPr>
      </w:pPr>
    </w:p>
    <w:p w14:paraId="29FAD243" w14:textId="4CA4EE82" w:rsidR="0000060D" w:rsidRPr="00013474" w:rsidRDefault="0000060D" w:rsidP="00013474">
      <w:pPr>
        <w:spacing w:after="0" w:line="240" w:lineRule="auto"/>
        <w:ind w:left="1440" w:firstLine="720"/>
        <w:jc w:val="center"/>
        <w:rPr>
          <w:rFonts w:ascii="Times New Roman" w:hAnsi="Times New Roman" w:cs="Times New Roman"/>
          <w:bCs/>
          <w:sz w:val="24"/>
          <w:szCs w:val="24"/>
        </w:rPr>
      </w:pPr>
      <w:r w:rsidRPr="00BE4AF3">
        <w:rPr>
          <w:rFonts w:ascii="Times New Roman" w:hAnsi="Times New Roman" w:cs="Times New Roman"/>
          <w:b/>
          <w:sz w:val="24"/>
          <w:szCs w:val="24"/>
        </w:rPr>
        <w:lastRenderedPageBreak/>
        <w:t xml:space="preserve">Table 1: </w:t>
      </w:r>
      <w:r w:rsidRPr="00013474">
        <w:rPr>
          <w:rFonts w:ascii="Times New Roman" w:hAnsi="Times New Roman" w:cs="Times New Roman"/>
          <w:bCs/>
          <w:sz w:val="24"/>
          <w:szCs w:val="24"/>
        </w:rPr>
        <w:t>Sampling Frame and Sample Size</w:t>
      </w:r>
    </w:p>
    <w:tbl>
      <w:tblPr>
        <w:tblW w:w="8193" w:type="dxa"/>
        <w:jc w:val="center"/>
        <w:tblLook w:val="04A0" w:firstRow="1" w:lastRow="0" w:firstColumn="1" w:lastColumn="0" w:noHBand="0" w:noVBand="1"/>
      </w:tblPr>
      <w:tblGrid>
        <w:gridCol w:w="2240"/>
        <w:gridCol w:w="3543"/>
        <w:gridCol w:w="2410"/>
      </w:tblGrid>
      <w:tr w:rsidR="0000060D" w:rsidRPr="00013474" w14:paraId="304A4FFE" w14:textId="77777777" w:rsidTr="0000060D">
        <w:trPr>
          <w:jc w:val="center"/>
        </w:trPr>
        <w:tc>
          <w:tcPr>
            <w:tcW w:w="2240" w:type="dxa"/>
            <w:tcBorders>
              <w:top w:val="single" w:sz="8" w:space="0" w:color="000000" w:themeColor="text1"/>
              <w:bottom w:val="single" w:sz="8" w:space="0" w:color="000000" w:themeColor="text1"/>
            </w:tcBorders>
          </w:tcPr>
          <w:p w14:paraId="1661159B" w14:textId="77777777" w:rsidR="0000060D" w:rsidRPr="00013474" w:rsidRDefault="0000060D" w:rsidP="00013474">
            <w:pPr>
              <w:spacing w:after="0" w:line="240" w:lineRule="auto"/>
              <w:rPr>
                <w:rFonts w:ascii="Times New Roman" w:hAnsi="Times New Roman" w:cs="Times New Roman"/>
                <w:bCs/>
                <w:sz w:val="20"/>
                <w:szCs w:val="20"/>
              </w:rPr>
            </w:pPr>
            <w:r w:rsidRPr="00013474">
              <w:rPr>
                <w:rFonts w:ascii="Times New Roman" w:hAnsi="Times New Roman" w:cs="Times New Roman"/>
                <w:bCs/>
                <w:sz w:val="20"/>
                <w:szCs w:val="20"/>
              </w:rPr>
              <w:t>Peri - urban Neighbourhoods</w:t>
            </w:r>
          </w:p>
        </w:tc>
        <w:tc>
          <w:tcPr>
            <w:tcW w:w="3543" w:type="dxa"/>
            <w:tcBorders>
              <w:top w:val="single" w:sz="8" w:space="0" w:color="000000" w:themeColor="text1"/>
              <w:bottom w:val="single" w:sz="8" w:space="0" w:color="000000" w:themeColor="text1"/>
            </w:tcBorders>
          </w:tcPr>
          <w:p w14:paraId="258696CE" w14:textId="77777777" w:rsidR="0000060D" w:rsidRPr="00013474" w:rsidRDefault="0000060D" w:rsidP="00013474">
            <w:pPr>
              <w:spacing w:after="0" w:line="240" w:lineRule="auto"/>
              <w:jc w:val="center"/>
              <w:rPr>
                <w:rFonts w:ascii="Times New Roman" w:hAnsi="Times New Roman" w:cs="Times New Roman"/>
                <w:bCs/>
                <w:sz w:val="20"/>
                <w:szCs w:val="20"/>
              </w:rPr>
            </w:pPr>
            <w:r w:rsidRPr="00013474">
              <w:rPr>
                <w:rFonts w:ascii="Times New Roman" w:hAnsi="Times New Roman" w:cs="Times New Roman"/>
                <w:bCs/>
                <w:sz w:val="20"/>
                <w:szCs w:val="20"/>
              </w:rPr>
              <w:t>Identified Incremental Houses (Self help and physically incomplete building)</w:t>
            </w:r>
          </w:p>
        </w:tc>
        <w:tc>
          <w:tcPr>
            <w:tcW w:w="2410" w:type="dxa"/>
            <w:tcBorders>
              <w:top w:val="single" w:sz="8" w:space="0" w:color="000000" w:themeColor="text1"/>
              <w:bottom w:val="single" w:sz="8" w:space="0" w:color="000000" w:themeColor="text1"/>
            </w:tcBorders>
          </w:tcPr>
          <w:p w14:paraId="375418DB" w14:textId="77777777" w:rsidR="0000060D" w:rsidRPr="00013474" w:rsidRDefault="0000060D" w:rsidP="00013474">
            <w:pPr>
              <w:spacing w:after="0" w:line="240" w:lineRule="auto"/>
              <w:jc w:val="center"/>
              <w:rPr>
                <w:rFonts w:ascii="Times New Roman" w:hAnsi="Times New Roman" w:cs="Times New Roman"/>
                <w:bCs/>
                <w:sz w:val="20"/>
                <w:szCs w:val="20"/>
              </w:rPr>
            </w:pPr>
            <w:r w:rsidRPr="00013474">
              <w:rPr>
                <w:rFonts w:ascii="Times New Roman" w:hAnsi="Times New Roman" w:cs="Times New Roman"/>
                <w:bCs/>
                <w:sz w:val="20"/>
                <w:szCs w:val="20"/>
              </w:rPr>
              <w:t xml:space="preserve">Sample Size (15.15%) </w:t>
            </w:r>
          </w:p>
        </w:tc>
      </w:tr>
      <w:tr w:rsidR="0000060D" w:rsidRPr="00013474" w14:paraId="76139A66" w14:textId="77777777" w:rsidTr="0000060D">
        <w:trPr>
          <w:trHeight w:val="376"/>
          <w:jc w:val="center"/>
        </w:trPr>
        <w:tc>
          <w:tcPr>
            <w:tcW w:w="2240" w:type="dxa"/>
            <w:tcBorders>
              <w:top w:val="single" w:sz="8" w:space="0" w:color="000000" w:themeColor="text1"/>
            </w:tcBorders>
          </w:tcPr>
          <w:p w14:paraId="2DEB9339" w14:textId="77777777" w:rsidR="0000060D" w:rsidRPr="00013474" w:rsidRDefault="0000060D" w:rsidP="00013474">
            <w:pPr>
              <w:spacing w:after="0" w:line="240" w:lineRule="auto"/>
              <w:rPr>
                <w:rFonts w:ascii="Times New Roman" w:hAnsi="Times New Roman" w:cs="Times New Roman"/>
                <w:sz w:val="20"/>
                <w:szCs w:val="20"/>
              </w:rPr>
            </w:pPr>
            <w:r w:rsidRPr="00013474">
              <w:rPr>
                <w:rFonts w:ascii="Times New Roman" w:hAnsi="Times New Roman" w:cs="Times New Roman"/>
                <w:sz w:val="20"/>
                <w:szCs w:val="20"/>
              </w:rPr>
              <w:t>Ikose</w:t>
            </w:r>
          </w:p>
        </w:tc>
        <w:tc>
          <w:tcPr>
            <w:tcW w:w="3543" w:type="dxa"/>
            <w:tcBorders>
              <w:top w:val="single" w:sz="8" w:space="0" w:color="000000" w:themeColor="text1"/>
            </w:tcBorders>
          </w:tcPr>
          <w:p w14:paraId="417BC447" w14:textId="77777777" w:rsidR="0000060D" w:rsidRPr="00013474" w:rsidRDefault="0000060D" w:rsidP="00013474">
            <w:pPr>
              <w:spacing w:after="0" w:line="240" w:lineRule="auto"/>
              <w:jc w:val="center"/>
              <w:rPr>
                <w:rFonts w:ascii="Times New Roman" w:hAnsi="Times New Roman" w:cs="Times New Roman"/>
                <w:sz w:val="20"/>
                <w:szCs w:val="20"/>
              </w:rPr>
            </w:pPr>
            <w:r w:rsidRPr="00013474">
              <w:rPr>
                <w:rFonts w:ascii="Times New Roman" w:hAnsi="Times New Roman" w:cs="Times New Roman"/>
                <w:sz w:val="20"/>
                <w:szCs w:val="20"/>
              </w:rPr>
              <w:t>193</w:t>
            </w:r>
          </w:p>
        </w:tc>
        <w:tc>
          <w:tcPr>
            <w:tcW w:w="2410" w:type="dxa"/>
            <w:tcBorders>
              <w:top w:val="single" w:sz="8" w:space="0" w:color="000000" w:themeColor="text1"/>
            </w:tcBorders>
          </w:tcPr>
          <w:p w14:paraId="4425B813" w14:textId="77777777" w:rsidR="0000060D" w:rsidRPr="00013474" w:rsidRDefault="0000060D" w:rsidP="00013474">
            <w:pPr>
              <w:spacing w:after="0" w:line="240" w:lineRule="auto"/>
              <w:jc w:val="center"/>
              <w:rPr>
                <w:rFonts w:ascii="Times New Roman" w:hAnsi="Times New Roman" w:cs="Times New Roman"/>
                <w:sz w:val="20"/>
                <w:szCs w:val="20"/>
              </w:rPr>
            </w:pPr>
            <w:r w:rsidRPr="00013474">
              <w:rPr>
                <w:rFonts w:ascii="Times New Roman" w:hAnsi="Times New Roman" w:cs="Times New Roman"/>
                <w:sz w:val="20"/>
                <w:szCs w:val="20"/>
              </w:rPr>
              <w:t>29</w:t>
            </w:r>
          </w:p>
        </w:tc>
      </w:tr>
      <w:tr w:rsidR="0000060D" w:rsidRPr="00013474" w14:paraId="417143D3" w14:textId="77777777" w:rsidTr="0000060D">
        <w:trPr>
          <w:trHeight w:val="311"/>
          <w:jc w:val="center"/>
        </w:trPr>
        <w:tc>
          <w:tcPr>
            <w:tcW w:w="2240" w:type="dxa"/>
          </w:tcPr>
          <w:p w14:paraId="691731AA" w14:textId="77777777" w:rsidR="0000060D" w:rsidRPr="00013474" w:rsidRDefault="0000060D" w:rsidP="00013474">
            <w:pPr>
              <w:spacing w:after="0" w:line="240" w:lineRule="auto"/>
              <w:rPr>
                <w:rFonts w:ascii="Times New Roman" w:hAnsi="Times New Roman" w:cs="Times New Roman"/>
                <w:sz w:val="20"/>
                <w:szCs w:val="20"/>
              </w:rPr>
            </w:pPr>
            <w:r w:rsidRPr="00013474">
              <w:rPr>
                <w:rFonts w:ascii="Times New Roman" w:hAnsi="Times New Roman" w:cs="Times New Roman"/>
                <w:sz w:val="20"/>
                <w:szCs w:val="20"/>
              </w:rPr>
              <w:t>Aaje Ikose</w:t>
            </w:r>
          </w:p>
        </w:tc>
        <w:tc>
          <w:tcPr>
            <w:tcW w:w="3543" w:type="dxa"/>
          </w:tcPr>
          <w:p w14:paraId="39D93547" w14:textId="77777777" w:rsidR="0000060D" w:rsidRPr="00013474" w:rsidRDefault="0000060D" w:rsidP="00013474">
            <w:pPr>
              <w:spacing w:after="0" w:line="240" w:lineRule="auto"/>
              <w:jc w:val="center"/>
              <w:rPr>
                <w:rFonts w:ascii="Times New Roman" w:hAnsi="Times New Roman" w:cs="Times New Roman"/>
                <w:sz w:val="20"/>
                <w:szCs w:val="20"/>
              </w:rPr>
            </w:pPr>
            <w:r w:rsidRPr="00013474">
              <w:rPr>
                <w:rFonts w:ascii="Times New Roman" w:hAnsi="Times New Roman" w:cs="Times New Roman"/>
                <w:sz w:val="20"/>
                <w:szCs w:val="20"/>
              </w:rPr>
              <w:t>148</w:t>
            </w:r>
          </w:p>
        </w:tc>
        <w:tc>
          <w:tcPr>
            <w:tcW w:w="2410" w:type="dxa"/>
          </w:tcPr>
          <w:p w14:paraId="5CDDBB8F" w14:textId="77777777" w:rsidR="0000060D" w:rsidRPr="00013474" w:rsidRDefault="0000060D" w:rsidP="00013474">
            <w:pPr>
              <w:spacing w:after="0" w:line="240" w:lineRule="auto"/>
              <w:jc w:val="center"/>
              <w:rPr>
                <w:rFonts w:ascii="Times New Roman" w:hAnsi="Times New Roman" w:cs="Times New Roman"/>
                <w:sz w:val="20"/>
                <w:szCs w:val="20"/>
              </w:rPr>
            </w:pPr>
            <w:r w:rsidRPr="00013474">
              <w:rPr>
                <w:rFonts w:ascii="Times New Roman" w:hAnsi="Times New Roman" w:cs="Times New Roman"/>
                <w:sz w:val="20"/>
                <w:szCs w:val="20"/>
              </w:rPr>
              <w:t>22</w:t>
            </w:r>
          </w:p>
        </w:tc>
      </w:tr>
      <w:tr w:rsidR="0000060D" w:rsidRPr="00013474" w14:paraId="4A5FB1D1" w14:textId="77777777" w:rsidTr="0000060D">
        <w:trPr>
          <w:jc w:val="center"/>
        </w:trPr>
        <w:tc>
          <w:tcPr>
            <w:tcW w:w="2240" w:type="dxa"/>
          </w:tcPr>
          <w:p w14:paraId="3143DE8E" w14:textId="77777777" w:rsidR="0000060D" w:rsidRPr="00013474" w:rsidRDefault="0000060D" w:rsidP="00013474">
            <w:pPr>
              <w:spacing w:after="0" w:line="240" w:lineRule="auto"/>
              <w:rPr>
                <w:rFonts w:ascii="Times New Roman" w:hAnsi="Times New Roman" w:cs="Times New Roman"/>
                <w:sz w:val="20"/>
                <w:szCs w:val="20"/>
              </w:rPr>
            </w:pPr>
            <w:r w:rsidRPr="00013474">
              <w:rPr>
                <w:rFonts w:ascii="Times New Roman" w:hAnsi="Times New Roman" w:cs="Times New Roman"/>
                <w:sz w:val="20"/>
                <w:szCs w:val="20"/>
              </w:rPr>
              <w:t>Pakiotan</w:t>
            </w:r>
          </w:p>
        </w:tc>
        <w:tc>
          <w:tcPr>
            <w:tcW w:w="3543" w:type="dxa"/>
          </w:tcPr>
          <w:p w14:paraId="13BDAC74" w14:textId="77777777" w:rsidR="0000060D" w:rsidRPr="00013474" w:rsidRDefault="0000060D" w:rsidP="00013474">
            <w:pPr>
              <w:spacing w:after="0" w:line="240" w:lineRule="auto"/>
              <w:jc w:val="center"/>
              <w:rPr>
                <w:rFonts w:ascii="Times New Roman" w:hAnsi="Times New Roman" w:cs="Times New Roman"/>
                <w:sz w:val="20"/>
                <w:szCs w:val="20"/>
              </w:rPr>
            </w:pPr>
            <w:r w:rsidRPr="00013474">
              <w:rPr>
                <w:rFonts w:ascii="Times New Roman" w:hAnsi="Times New Roman" w:cs="Times New Roman"/>
                <w:sz w:val="20"/>
                <w:szCs w:val="20"/>
              </w:rPr>
              <w:t>97</w:t>
            </w:r>
          </w:p>
        </w:tc>
        <w:tc>
          <w:tcPr>
            <w:tcW w:w="2410" w:type="dxa"/>
          </w:tcPr>
          <w:p w14:paraId="6E8DA0D3" w14:textId="77777777" w:rsidR="0000060D" w:rsidRPr="00013474" w:rsidRDefault="0000060D" w:rsidP="00013474">
            <w:pPr>
              <w:spacing w:after="0" w:line="240" w:lineRule="auto"/>
              <w:jc w:val="center"/>
              <w:rPr>
                <w:rFonts w:ascii="Times New Roman" w:hAnsi="Times New Roman" w:cs="Times New Roman"/>
                <w:sz w:val="20"/>
                <w:szCs w:val="20"/>
              </w:rPr>
            </w:pPr>
            <w:r w:rsidRPr="00013474">
              <w:rPr>
                <w:rFonts w:ascii="Times New Roman" w:hAnsi="Times New Roman" w:cs="Times New Roman"/>
                <w:sz w:val="20"/>
                <w:szCs w:val="20"/>
              </w:rPr>
              <w:t>15</w:t>
            </w:r>
          </w:p>
        </w:tc>
      </w:tr>
      <w:tr w:rsidR="0000060D" w:rsidRPr="00013474" w14:paraId="31232A7D" w14:textId="77777777" w:rsidTr="0000060D">
        <w:trPr>
          <w:jc w:val="center"/>
        </w:trPr>
        <w:tc>
          <w:tcPr>
            <w:tcW w:w="2240" w:type="dxa"/>
          </w:tcPr>
          <w:p w14:paraId="54357FCF" w14:textId="77777777" w:rsidR="0000060D" w:rsidRPr="00013474" w:rsidRDefault="0000060D" w:rsidP="00013474">
            <w:pPr>
              <w:spacing w:after="0" w:line="240" w:lineRule="auto"/>
              <w:rPr>
                <w:rFonts w:ascii="Times New Roman" w:hAnsi="Times New Roman" w:cs="Times New Roman"/>
                <w:sz w:val="20"/>
                <w:szCs w:val="20"/>
              </w:rPr>
            </w:pPr>
            <w:r w:rsidRPr="00013474">
              <w:rPr>
                <w:rFonts w:ascii="Times New Roman" w:hAnsi="Times New Roman" w:cs="Times New Roman"/>
                <w:sz w:val="20"/>
                <w:szCs w:val="20"/>
              </w:rPr>
              <w:t>Oke Owode</w:t>
            </w:r>
          </w:p>
        </w:tc>
        <w:tc>
          <w:tcPr>
            <w:tcW w:w="3543" w:type="dxa"/>
          </w:tcPr>
          <w:p w14:paraId="2374FCB8" w14:textId="77777777" w:rsidR="0000060D" w:rsidRPr="00013474" w:rsidRDefault="0000060D" w:rsidP="00013474">
            <w:pPr>
              <w:spacing w:after="0" w:line="240" w:lineRule="auto"/>
              <w:jc w:val="center"/>
              <w:rPr>
                <w:rFonts w:ascii="Times New Roman" w:hAnsi="Times New Roman" w:cs="Times New Roman"/>
                <w:sz w:val="20"/>
                <w:szCs w:val="20"/>
              </w:rPr>
            </w:pPr>
            <w:r w:rsidRPr="00013474">
              <w:rPr>
                <w:rFonts w:ascii="Times New Roman" w:hAnsi="Times New Roman" w:cs="Times New Roman"/>
                <w:sz w:val="20"/>
                <w:szCs w:val="20"/>
              </w:rPr>
              <w:t>186</w:t>
            </w:r>
          </w:p>
        </w:tc>
        <w:tc>
          <w:tcPr>
            <w:tcW w:w="2410" w:type="dxa"/>
          </w:tcPr>
          <w:p w14:paraId="5A0FF47C" w14:textId="77777777" w:rsidR="0000060D" w:rsidRPr="00013474" w:rsidRDefault="0000060D" w:rsidP="00013474">
            <w:pPr>
              <w:spacing w:after="0" w:line="240" w:lineRule="auto"/>
              <w:jc w:val="center"/>
              <w:rPr>
                <w:rFonts w:ascii="Times New Roman" w:hAnsi="Times New Roman" w:cs="Times New Roman"/>
                <w:sz w:val="20"/>
                <w:szCs w:val="20"/>
              </w:rPr>
            </w:pPr>
            <w:r w:rsidRPr="00013474">
              <w:rPr>
                <w:rFonts w:ascii="Times New Roman" w:hAnsi="Times New Roman" w:cs="Times New Roman"/>
                <w:sz w:val="20"/>
                <w:szCs w:val="20"/>
              </w:rPr>
              <w:t>28</w:t>
            </w:r>
          </w:p>
        </w:tc>
      </w:tr>
      <w:tr w:rsidR="0000060D" w:rsidRPr="00013474" w14:paraId="18591042" w14:textId="77777777" w:rsidTr="0000060D">
        <w:trPr>
          <w:jc w:val="center"/>
        </w:trPr>
        <w:tc>
          <w:tcPr>
            <w:tcW w:w="2240" w:type="dxa"/>
          </w:tcPr>
          <w:p w14:paraId="2D21D767" w14:textId="77777777" w:rsidR="0000060D" w:rsidRPr="00013474" w:rsidRDefault="0000060D" w:rsidP="00013474">
            <w:pPr>
              <w:spacing w:after="0" w:line="240" w:lineRule="auto"/>
              <w:rPr>
                <w:rFonts w:ascii="Times New Roman" w:hAnsi="Times New Roman" w:cs="Times New Roman"/>
                <w:sz w:val="20"/>
                <w:szCs w:val="20"/>
              </w:rPr>
            </w:pPr>
            <w:r w:rsidRPr="00013474">
              <w:rPr>
                <w:rFonts w:ascii="Times New Roman" w:hAnsi="Times New Roman" w:cs="Times New Roman"/>
                <w:sz w:val="20"/>
                <w:szCs w:val="20"/>
              </w:rPr>
              <w:t>Kuye</w:t>
            </w:r>
          </w:p>
        </w:tc>
        <w:tc>
          <w:tcPr>
            <w:tcW w:w="3543" w:type="dxa"/>
          </w:tcPr>
          <w:p w14:paraId="065143AB" w14:textId="77777777" w:rsidR="0000060D" w:rsidRPr="00013474" w:rsidRDefault="0000060D" w:rsidP="00013474">
            <w:pPr>
              <w:spacing w:after="0" w:line="240" w:lineRule="auto"/>
              <w:jc w:val="center"/>
              <w:rPr>
                <w:rFonts w:ascii="Times New Roman" w:hAnsi="Times New Roman" w:cs="Times New Roman"/>
                <w:sz w:val="20"/>
                <w:szCs w:val="20"/>
              </w:rPr>
            </w:pPr>
            <w:r w:rsidRPr="00013474">
              <w:rPr>
                <w:rFonts w:ascii="Times New Roman" w:hAnsi="Times New Roman" w:cs="Times New Roman"/>
                <w:sz w:val="20"/>
                <w:szCs w:val="20"/>
              </w:rPr>
              <w:t>171</w:t>
            </w:r>
          </w:p>
        </w:tc>
        <w:tc>
          <w:tcPr>
            <w:tcW w:w="2410" w:type="dxa"/>
          </w:tcPr>
          <w:p w14:paraId="769DA1E7" w14:textId="77777777" w:rsidR="0000060D" w:rsidRPr="00013474" w:rsidRDefault="0000060D" w:rsidP="00013474">
            <w:pPr>
              <w:spacing w:after="0" w:line="240" w:lineRule="auto"/>
              <w:jc w:val="center"/>
              <w:rPr>
                <w:rFonts w:ascii="Times New Roman" w:hAnsi="Times New Roman" w:cs="Times New Roman"/>
                <w:sz w:val="20"/>
                <w:szCs w:val="20"/>
              </w:rPr>
            </w:pPr>
            <w:r w:rsidRPr="00013474">
              <w:rPr>
                <w:rFonts w:ascii="Times New Roman" w:hAnsi="Times New Roman" w:cs="Times New Roman"/>
                <w:sz w:val="20"/>
                <w:szCs w:val="20"/>
              </w:rPr>
              <w:t>26</w:t>
            </w:r>
          </w:p>
        </w:tc>
      </w:tr>
      <w:tr w:rsidR="0000060D" w:rsidRPr="00013474" w14:paraId="7BDB8FE7" w14:textId="77777777" w:rsidTr="0000060D">
        <w:trPr>
          <w:jc w:val="center"/>
        </w:trPr>
        <w:tc>
          <w:tcPr>
            <w:tcW w:w="2240" w:type="dxa"/>
          </w:tcPr>
          <w:p w14:paraId="2BD178D6" w14:textId="77777777" w:rsidR="0000060D" w:rsidRPr="00013474" w:rsidRDefault="0000060D" w:rsidP="00013474">
            <w:pPr>
              <w:spacing w:after="0" w:line="240" w:lineRule="auto"/>
              <w:rPr>
                <w:rFonts w:ascii="Times New Roman" w:hAnsi="Times New Roman" w:cs="Times New Roman"/>
                <w:sz w:val="20"/>
                <w:szCs w:val="20"/>
              </w:rPr>
            </w:pPr>
            <w:r w:rsidRPr="00013474">
              <w:rPr>
                <w:rFonts w:ascii="Times New Roman" w:hAnsi="Times New Roman" w:cs="Times New Roman"/>
                <w:sz w:val="20"/>
                <w:szCs w:val="20"/>
              </w:rPr>
              <w:t>Aduin</w:t>
            </w:r>
          </w:p>
        </w:tc>
        <w:tc>
          <w:tcPr>
            <w:tcW w:w="3543" w:type="dxa"/>
          </w:tcPr>
          <w:p w14:paraId="1E1580D0" w14:textId="77777777" w:rsidR="0000060D" w:rsidRPr="00013474" w:rsidRDefault="0000060D" w:rsidP="00013474">
            <w:pPr>
              <w:spacing w:after="0" w:line="240" w:lineRule="auto"/>
              <w:jc w:val="center"/>
              <w:rPr>
                <w:rFonts w:ascii="Times New Roman" w:hAnsi="Times New Roman" w:cs="Times New Roman"/>
                <w:sz w:val="20"/>
                <w:szCs w:val="20"/>
              </w:rPr>
            </w:pPr>
            <w:r w:rsidRPr="00013474">
              <w:rPr>
                <w:rFonts w:ascii="Times New Roman" w:hAnsi="Times New Roman" w:cs="Times New Roman"/>
                <w:sz w:val="20"/>
                <w:szCs w:val="20"/>
              </w:rPr>
              <w:t>204</w:t>
            </w:r>
          </w:p>
        </w:tc>
        <w:tc>
          <w:tcPr>
            <w:tcW w:w="2410" w:type="dxa"/>
          </w:tcPr>
          <w:p w14:paraId="39FB6196" w14:textId="77777777" w:rsidR="0000060D" w:rsidRPr="00013474" w:rsidRDefault="0000060D" w:rsidP="00013474">
            <w:pPr>
              <w:spacing w:after="0" w:line="240" w:lineRule="auto"/>
              <w:jc w:val="center"/>
              <w:rPr>
                <w:rFonts w:ascii="Times New Roman" w:hAnsi="Times New Roman" w:cs="Times New Roman"/>
                <w:sz w:val="20"/>
                <w:szCs w:val="20"/>
              </w:rPr>
            </w:pPr>
            <w:r w:rsidRPr="00013474">
              <w:rPr>
                <w:rFonts w:ascii="Times New Roman" w:hAnsi="Times New Roman" w:cs="Times New Roman"/>
                <w:sz w:val="20"/>
                <w:szCs w:val="20"/>
              </w:rPr>
              <w:t>31</w:t>
            </w:r>
          </w:p>
        </w:tc>
      </w:tr>
      <w:tr w:rsidR="0000060D" w:rsidRPr="00013474" w14:paraId="538595F9" w14:textId="77777777" w:rsidTr="0000060D">
        <w:trPr>
          <w:jc w:val="center"/>
        </w:trPr>
        <w:tc>
          <w:tcPr>
            <w:tcW w:w="2240" w:type="dxa"/>
          </w:tcPr>
          <w:p w14:paraId="312C9E02" w14:textId="77777777" w:rsidR="0000060D" w:rsidRPr="00013474" w:rsidRDefault="0000060D" w:rsidP="00013474">
            <w:pPr>
              <w:spacing w:after="0" w:line="240" w:lineRule="auto"/>
              <w:rPr>
                <w:rFonts w:ascii="Times New Roman" w:hAnsi="Times New Roman" w:cs="Times New Roman"/>
                <w:sz w:val="20"/>
                <w:szCs w:val="20"/>
              </w:rPr>
            </w:pPr>
            <w:r w:rsidRPr="00013474">
              <w:rPr>
                <w:rFonts w:ascii="Times New Roman" w:hAnsi="Times New Roman" w:cs="Times New Roman"/>
                <w:sz w:val="20"/>
                <w:szCs w:val="20"/>
              </w:rPr>
              <w:t>Igbo Sai</w:t>
            </w:r>
          </w:p>
        </w:tc>
        <w:tc>
          <w:tcPr>
            <w:tcW w:w="3543" w:type="dxa"/>
          </w:tcPr>
          <w:p w14:paraId="17B68DC4" w14:textId="77777777" w:rsidR="0000060D" w:rsidRPr="00013474" w:rsidRDefault="0000060D" w:rsidP="00013474">
            <w:pPr>
              <w:spacing w:after="0" w:line="240" w:lineRule="auto"/>
              <w:jc w:val="center"/>
              <w:rPr>
                <w:rFonts w:ascii="Times New Roman" w:hAnsi="Times New Roman" w:cs="Times New Roman"/>
                <w:sz w:val="20"/>
                <w:szCs w:val="20"/>
              </w:rPr>
            </w:pPr>
            <w:r w:rsidRPr="00013474">
              <w:rPr>
                <w:rFonts w:ascii="Times New Roman" w:hAnsi="Times New Roman" w:cs="Times New Roman"/>
                <w:sz w:val="20"/>
                <w:szCs w:val="20"/>
              </w:rPr>
              <w:t>177</w:t>
            </w:r>
          </w:p>
        </w:tc>
        <w:tc>
          <w:tcPr>
            <w:tcW w:w="2410" w:type="dxa"/>
          </w:tcPr>
          <w:p w14:paraId="51696647" w14:textId="77777777" w:rsidR="0000060D" w:rsidRPr="00013474" w:rsidRDefault="0000060D" w:rsidP="00013474">
            <w:pPr>
              <w:spacing w:after="0" w:line="240" w:lineRule="auto"/>
              <w:jc w:val="center"/>
              <w:rPr>
                <w:rFonts w:ascii="Times New Roman" w:hAnsi="Times New Roman" w:cs="Times New Roman"/>
                <w:sz w:val="20"/>
                <w:szCs w:val="20"/>
              </w:rPr>
            </w:pPr>
            <w:r w:rsidRPr="00013474">
              <w:rPr>
                <w:rFonts w:ascii="Times New Roman" w:hAnsi="Times New Roman" w:cs="Times New Roman"/>
                <w:sz w:val="20"/>
                <w:szCs w:val="20"/>
              </w:rPr>
              <w:t>27</w:t>
            </w:r>
          </w:p>
        </w:tc>
      </w:tr>
      <w:tr w:rsidR="0000060D" w:rsidRPr="00013474" w14:paraId="137D94E1" w14:textId="77777777" w:rsidTr="0000060D">
        <w:trPr>
          <w:jc w:val="center"/>
        </w:trPr>
        <w:tc>
          <w:tcPr>
            <w:tcW w:w="2240" w:type="dxa"/>
          </w:tcPr>
          <w:p w14:paraId="46D745AD" w14:textId="77777777" w:rsidR="0000060D" w:rsidRPr="00013474" w:rsidRDefault="0000060D" w:rsidP="00013474">
            <w:pPr>
              <w:spacing w:after="0" w:line="240" w:lineRule="auto"/>
              <w:rPr>
                <w:rFonts w:ascii="Times New Roman" w:hAnsi="Times New Roman" w:cs="Times New Roman"/>
                <w:sz w:val="20"/>
                <w:szCs w:val="20"/>
              </w:rPr>
            </w:pPr>
            <w:r w:rsidRPr="00013474">
              <w:rPr>
                <w:rFonts w:ascii="Times New Roman" w:hAnsi="Times New Roman" w:cs="Times New Roman"/>
                <w:sz w:val="20"/>
                <w:szCs w:val="20"/>
              </w:rPr>
              <w:t>Oke-Paku</w:t>
            </w:r>
          </w:p>
        </w:tc>
        <w:tc>
          <w:tcPr>
            <w:tcW w:w="3543" w:type="dxa"/>
          </w:tcPr>
          <w:p w14:paraId="4B98DDFB" w14:textId="77777777" w:rsidR="0000060D" w:rsidRPr="00013474" w:rsidRDefault="0000060D" w:rsidP="00013474">
            <w:pPr>
              <w:spacing w:after="0" w:line="240" w:lineRule="auto"/>
              <w:jc w:val="center"/>
              <w:rPr>
                <w:rFonts w:ascii="Times New Roman" w:hAnsi="Times New Roman" w:cs="Times New Roman"/>
                <w:sz w:val="20"/>
                <w:szCs w:val="20"/>
              </w:rPr>
            </w:pPr>
            <w:r w:rsidRPr="00013474">
              <w:rPr>
                <w:rFonts w:ascii="Times New Roman" w:hAnsi="Times New Roman" w:cs="Times New Roman"/>
                <w:sz w:val="20"/>
                <w:szCs w:val="20"/>
              </w:rPr>
              <w:t>184</w:t>
            </w:r>
          </w:p>
        </w:tc>
        <w:tc>
          <w:tcPr>
            <w:tcW w:w="2410" w:type="dxa"/>
          </w:tcPr>
          <w:p w14:paraId="4288C1BF" w14:textId="77777777" w:rsidR="0000060D" w:rsidRPr="00013474" w:rsidRDefault="0000060D" w:rsidP="00013474">
            <w:pPr>
              <w:spacing w:after="0" w:line="240" w:lineRule="auto"/>
              <w:jc w:val="center"/>
              <w:rPr>
                <w:rFonts w:ascii="Times New Roman" w:hAnsi="Times New Roman" w:cs="Times New Roman"/>
                <w:sz w:val="20"/>
                <w:szCs w:val="20"/>
              </w:rPr>
            </w:pPr>
            <w:r w:rsidRPr="00013474">
              <w:rPr>
                <w:rFonts w:ascii="Times New Roman" w:hAnsi="Times New Roman" w:cs="Times New Roman"/>
                <w:sz w:val="20"/>
                <w:szCs w:val="20"/>
              </w:rPr>
              <w:t>28</w:t>
            </w:r>
          </w:p>
        </w:tc>
      </w:tr>
      <w:tr w:rsidR="0000060D" w:rsidRPr="00013474" w14:paraId="6E3E2568" w14:textId="77777777" w:rsidTr="0000060D">
        <w:trPr>
          <w:jc w:val="center"/>
        </w:trPr>
        <w:tc>
          <w:tcPr>
            <w:tcW w:w="2240" w:type="dxa"/>
            <w:tcBorders>
              <w:bottom w:val="single" w:sz="8" w:space="0" w:color="000000" w:themeColor="text1"/>
            </w:tcBorders>
          </w:tcPr>
          <w:p w14:paraId="53C54312" w14:textId="77777777" w:rsidR="0000060D" w:rsidRPr="00013474" w:rsidRDefault="0000060D" w:rsidP="00013474">
            <w:pPr>
              <w:spacing w:after="0" w:line="240" w:lineRule="auto"/>
              <w:jc w:val="center"/>
              <w:rPr>
                <w:rFonts w:ascii="Times New Roman" w:hAnsi="Times New Roman" w:cs="Times New Roman"/>
                <w:sz w:val="20"/>
                <w:szCs w:val="20"/>
              </w:rPr>
            </w:pPr>
            <w:r w:rsidRPr="00013474">
              <w:rPr>
                <w:rFonts w:ascii="Times New Roman" w:hAnsi="Times New Roman" w:cs="Times New Roman"/>
                <w:b/>
                <w:sz w:val="20"/>
                <w:szCs w:val="20"/>
              </w:rPr>
              <w:t>Total</w:t>
            </w:r>
          </w:p>
        </w:tc>
        <w:tc>
          <w:tcPr>
            <w:tcW w:w="3543" w:type="dxa"/>
            <w:tcBorders>
              <w:bottom w:val="single" w:sz="8" w:space="0" w:color="000000" w:themeColor="text1"/>
            </w:tcBorders>
          </w:tcPr>
          <w:p w14:paraId="51AAE061" w14:textId="77777777" w:rsidR="0000060D" w:rsidRPr="00013474" w:rsidRDefault="0000060D" w:rsidP="00013474">
            <w:pPr>
              <w:spacing w:after="0" w:line="240" w:lineRule="auto"/>
              <w:jc w:val="center"/>
              <w:rPr>
                <w:rFonts w:ascii="Times New Roman" w:hAnsi="Times New Roman" w:cs="Times New Roman"/>
                <w:b/>
                <w:sz w:val="20"/>
                <w:szCs w:val="20"/>
              </w:rPr>
            </w:pPr>
            <w:r w:rsidRPr="00013474">
              <w:rPr>
                <w:rFonts w:ascii="Times New Roman" w:hAnsi="Times New Roman" w:cs="Times New Roman"/>
                <w:b/>
                <w:sz w:val="20"/>
                <w:szCs w:val="20"/>
              </w:rPr>
              <w:t>1360</w:t>
            </w:r>
          </w:p>
        </w:tc>
        <w:tc>
          <w:tcPr>
            <w:tcW w:w="2410" w:type="dxa"/>
            <w:tcBorders>
              <w:bottom w:val="single" w:sz="8" w:space="0" w:color="000000" w:themeColor="text1"/>
            </w:tcBorders>
          </w:tcPr>
          <w:p w14:paraId="236ED716" w14:textId="77777777" w:rsidR="0000060D" w:rsidRPr="00013474" w:rsidRDefault="0000060D" w:rsidP="00013474">
            <w:pPr>
              <w:spacing w:after="0" w:line="240" w:lineRule="auto"/>
              <w:jc w:val="center"/>
              <w:rPr>
                <w:rFonts w:ascii="Times New Roman" w:hAnsi="Times New Roman" w:cs="Times New Roman"/>
                <w:b/>
                <w:sz w:val="20"/>
                <w:szCs w:val="20"/>
              </w:rPr>
            </w:pPr>
            <w:r w:rsidRPr="00013474">
              <w:rPr>
                <w:rFonts w:ascii="Times New Roman" w:hAnsi="Times New Roman" w:cs="Times New Roman"/>
                <w:b/>
                <w:sz w:val="20"/>
                <w:szCs w:val="20"/>
              </w:rPr>
              <w:t>206</w:t>
            </w:r>
          </w:p>
        </w:tc>
      </w:tr>
    </w:tbl>
    <w:p w14:paraId="612DEC62" w14:textId="77777777" w:rsidR="0000060D" w:rsidRPr="00B306C2" w:rsidRDefault="0000060D" w:rsidP="00013474">
      <w:pPr>
        <w:spacing w:after="0" w:line="240" w:lineRule="auto"/>
        <w:ind w:firstLine="360"/>
        <w:jc w:val="center"/>
        <w:rPr>
          <w:rFonts w:ascii="Times New Roman" w:hAnsi="Times New Roman" w:cs="Times New Roman"/>
          <w:bCs/>
          <w:sz w:val="24"/>
          <w:szCs w:val="24"/>
        </w:rPr>
      </w:pPr>
      <w:r w:rsidRPr="00B306C2">
        <w:rPr>
          <w:rFonts w:ascii="Times New Roman" w:hAnsi="Times New Roman" w:cs="Times New Roman"/>
          <w:bCs/>
          <w:sz w:val="24"/>
          <w:szCs w:val="24"/>
        </w:rPr>
        <w:t>Source: Field Survey, 2025.</w:t>
      </w:r>
    </w:p>
    <w:p w14:paraId="39D25121"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Results and Discussion</w:t>
      </w:r>
      <w:r w:rsidRPr="00BE4AF3">
        <w:rPr>
          <w:rFonts w:ascii="Times New Roman" w:hAnsi="Times New Roman" w:cs="Times New Roman"/>
          <w:sz w:val="24"/>
          <w:szCs w:val="24"/>
        </w:rPr>
        <w:t xml:space="preserve">             </w:t>
      </w:r>
      <w:bookmarkStart w:id="74" w:name="_Toc193807917"/>
    </w:p>
    <w:p w14:paraId="547F3D8C" w14:textId="77777777" w:rsidR="0000060D" w:rsidRPr="00BE4AF3" w:rsidRDefault="0000060D" w:rsidP="00B306C2">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lang w:val="en-US"/>
        </w:rPr>
        <w:t xml:space="preserve">Socio-Economic </w:t>
      </w:r>
      <w:bookmarkEnd w:id="74"/>
      <w:r w:rsidRPr="00BE4AF3">
        <w:rPr>
          <w:rFonts w:ascii="Times New Roman" w:hAnsi="Times New Roman" w:cs="Times New Roman"/>
          <w:b/>
          <w:sz w:val="24"/>
          <w:szCs w:val="24"/>
          <w:lang w:val="en-US"/>
        </w:rPr>
        <w:t>Drivers of Incremental Development</w:t>
      </w:r>
    </w:p>
    <w:p w14:paraId="482CBE70" w14:textId="1CE68364"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study investigated the social and economic characteristics of the selected incremental developers. The enquiry on the education status of the developers revealed the educational class as well as the relationship between occupational status, income level and corresponding pattern of housing development. Less than half (44.7%) of incremental developers were educated to secondary school level, while 23.8% attained tertiary level of education (Table 2). In addition, 17.5% claimed to have primary school certificate, whilst the respondents with no formal education made up to 14.1%. This perhaps explains why dominant developers (40.8%; 35.0%) of incremental housing were artisans and traders. Farmers had a fraction of 14.1%, while the least represented (10.2%) in the study area were the civil servants. The implication of this is that, as most of them earn daily income, it would be difficult to have huge savings and as such, could only afford to purchase plots of low value at peri-urban areas of Ogbomoso.  </w:t>
      </w:r>
    </w:p>
    <w:p w14:paraId="7792B483"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Table 2 also reveals progressive decrease in the proportions of developers with increasing earning capacity. The highest proportion of developers (30.6%) earned between ₦60,000 and ₦90,000, while about 28.2% and 21.8% earned within the range of ₦120,000 and ₦30,000. A rather small fraction of developers (14.6%) earned above ₦120,000, while insignificant proportion (4.9%) earned below ₦30,000. Incremental developers were therefore, classified as low and middle-income earners, despite the varying level of education. This situation encourages the adoption of incremental development of low value residential plots in a bit to become home ownership regarded as life satisfaction and fulfilment of destiny.</w:t>
      </w:r>
    </w:p>
    <w:p w14:paraId="13A90747" w14:textId="6C794CE6" w:rsidR="0000060D" w:rsidRPr="00BE4AF3" w:rsidRDefault="0000060D" w:rsidP="00B306C2">
      <w:pPr>
        <w:spacing w:after="0" w:line="240" w:lineRule="auto"/>
        <w:jc w:val="both"/>
        <w:rPr>
          <w:rFonts w:ascii="Times New Roman" w:hAnsi="Times New Roman" w:cs="Times New Roman"/>
          <w:sz w:val="24"/>
          <w:szCs w:val="24"/>
        </w:rPr>
      </w:pPr>
    </w:p>
    <w:p w14:paraId="5688DF58" w14:textId="77777777" w:rsidR="0000060D" w:rsidRPr="00B306C2" w:rsidRDefault="0000060D" w:rsidP="00B306C2">
      <w:pPr>
        <w:spacing w:after="0" w:line="240" w:lineRule="auto"/>
        <w:jc w:val="center"/>
        <w:rPr>
          <w:rFonts w:ascii="Times New Roman" w:hAnsi="Times New Roman" w:cs="Times New Roman"/>
          <w:bCs/>
          <w:sz w:val="24"/>
          <w:szCs w:val="24"/>
        </w:rPr>
      </w:pPr>
      <w:r w:rsidRPr="00BE4AF3">
        <w:rPr>
          <w:rFonts w:ascii="Times New Roman" w:hAnsi="Times New Roman" w:cs="Times New Roman"/>
          <w:b/>
          <w:sz w:val="24"/>
          <w:szCs w:val="24"/>
        </w:rPr>
        <w:t xml:space="preserve">Table 2: </w:t>
      </w:r>
      <w:r w:rsidRPr="00B306C2">
        <w:rPr>
          <w:rFonts w:ascii="Times New Roman" w:hAnsi="Times New Roman" w:cs="Times New Roman"/>
          <w:bCs/>
          <w:sz w:val="24"/>
          <w:szCs w:val="24"/>
        </w:rPr>
        <w:t xml:space="preserve">Socio-Economic </w:t>
      </w:r>
      <w:r w:rsidRPr="00B306C2">
        <w:rPr>
          <w:rFonts w:ascii="Times New Roman" w:hAnsi="Times New Roman" w:cs="Times New Roman"/>
          <w:bCs/>
          <w:sz w:val="24"/>
          <w:szCs w:val="24"/>
          <w:lang w:val="en-US"/>
        </w:rPr>
        <w:t>Drivers of Incremental Housing Development</w:t>
      </w:r>
    </w:p>
    <w:tbl>
      <w:tblPr>
        <w:tblW w:w="9071" w:type="dxa"/>
        <w:jc w:val="center"/>
        <w:tblLayout w:type="fixed"/>
        <w:tblLook w:val="04A0" w:firstRow="1" w:lastRow="0" w:firstColumn="1" w:lastColumn="0" w:noHBand="0" w:noVBand="1"/>
      </w:tblPr>
      <w:tblGrid>
        <w:gridCol w:w="1418"/>
        <w:gridCol w:w="589"/>
        <w:gridCol w:w="850"/>
        <w:gridCol w:w="1560"/>
        <w:gridCol w:w="708"/>
        <w:gridCol w:w="851"/>
        <w:gridCol w:w="1559"/>
        <w:gridCol w:w="709"/>
        <w:gridCol w:w="827"/>
      </w:tblGrid>
      <w:tr w:rsidR="0000060D" w:rsidRPr="00B306C2" w14:paraId="7CB508E5" w14:textId="77777777" w:rsidTr="0000060D">
        <w:trPr>
          <w:jc w:val="center"/>
        </w:trPr>
        <w:tc>
          <w:tcPr>
            <w:tcW w:w="1418" w:type="dxa"/>
            <w:tcBorders>
              <w:top w:val="single" w:sz="8" w:space="0" w:color="000000" w:themeColor="text1"/>
              <w:bottom w:val="single" w:sz="8" w:space="0" w:color="000000" w:themeColor="text1"/>
            </w:tcBorders>
          </w:tcPr>
          <w:p w14:paraId="5BED27C8" w14:textId="77777777" w:rsidR="0000060D" w:rsidRPr="00B306C2" w:rsidRDefault="0000060D" w:rsidP="00B306C2">
            <w:pPr>
              <w:spacing w:after="0" w:line="240" w:lineRule="auto"/>
              <w:rPr>
                <w:rFonts w:ascii="Times New Roman" w:hAnsi="Times New Roman" w:cs="Times New Roman"/>
                <w:bCs/>
                <w:sz w:val="20"/>
                <w:szCs w:val="20"/>
              </w:rPr>
            </w:pPr>
            <w:r w:rsidRPr="00B306C2">
              <w:rPr>
                <w:rFonts w:ascii="Times New Roman" w:hAnsi="Times New Roman" w:cs="Times New Roman"/>
                <w:bCs/>
                <w:sz w:val="20"/>
                <w:szCs w:val="20"/>
              </w:rPr>
              <w:t>Educational Status</w:t>
            </w:r>
          </w:p>
        </w:tc>
        <w:tc>
          <w:tcPr>
            <w:tcW w:w="589" w:type="dxa"/>
            <w:tcBorders>
              <w:top w:val="single" w:sz="8" w:space="0" w:color="000000" w:themeColor="text1"/>
              <w:bottom w:val="single" w:sz="8" w:space="0" w:color="000000" w:themeColor="text1"/>
            </w:tcBorders>
          </w:tcPr>
          <w:p w14:paraId="341C0451" w14:textId="77777777" w:rsidR="0000060D" w:rsidRPr="00B306C2" w:rsidRDefault="0000060D" w:rsidP="00B306C2">
            <w:pPr>
              <w:spacing w:after="0" w:line="240" w:lineRule="auto"/>
              <w:jc w:val="center"/>
              <w:rPr>
                <w:rFonts w:ascii="Times New Roman" w:hAnsi="Times New Roman" w:cs="Times New Roman"/>
                <w:bCs/>
                <w:sz w:val="20"/>
                <w:szCs w:val="20"/>
              </w:rPr>
            </w:pPr>
            <w:r w:rsidRPr="00B306C2">
              <w:rPr>
                <w:rFonts w:ascii="Times New Roman" w:hAnsi="Times New Roman" w:cs="Times New Roman"/>
                <w:bCs/>
                <w:sz w:val="20"/>
                <w:szCs w:val="20"/>
              </w:rPr>
              <w:t>F (N)</w:t>
            </w:r>
          </w:p>
        </w:tc>
        <w:tc>
          <w:tcPr>
            <w:tcW w:w="850" w:type="dxa"/>
            <w:tcBorders>
              <w:top w:val="single" w:sz="8" w:space="0" w:color="000000" w:themeColor="text1"/>
              <w:bottom w:val="single" w:sz="8" w:space="0" w:color="000000" w:themeColor="text1"/>
            </w:tcBorders>
          </w:tcPr>
          <w:p w14:paraId="31DE570B" w14:textId="77777777" w:rsidR="0000060D" w:rsidRPr="00B306C2" w:rsidRDefault="0000060D" w:rsidP="00B306C2">
            <w:pPr>
              <w:spacing w:after="0" w:line="240" w:lineRule="auto"/>
              <w:jc w:val="center"/>
              <w:rPr>
                <w:rFonts w:ascii="Times New Roman" w:hAnsi="Times New Roman" w:cs="Times New Roman"/>
                <w:bCs/>
                <w:sz w:val="20"/>
                <w:szCs w:val="20"/>
              </w:rPr>
            </w:pPr>
            <w:r w:rsidRPr="00B306C2">
              <w:rPr>
                <w:rFonts w:ascii="Times New Roman" w:hAnsi="Times New Roman" w:cs="Times New Roman"/>
                <w:bCs/>
                <w:sz w:val="20"/>
                <w:szCs w:val="20"/>
              </w:rPr>
              <w:t>%</w:t>
            </w:r>
          </w:p>
        </w:tc>
        <w:tc>
          <w:tcPr>
            <w:tcW w:w="1560" w:type="dxa"/>
            <w:tcBorders>
              <w:top w:val="single" w:sz="8" w:space="0" w:color="000000" w:themeColor="text1"/>
              <w:bottom w:val="single" w:sz="8" w:space="0" w:color="000000" w:themeColor="text1"/>
            </w:tcBorders>
          </w:tcPr>
          <w:p w14:paraId="39BDFCA4" w14:textId="77777777" w:rsidR="0000060D" w:rsidRPr="00B306C2" w:rsidRDefault="0000060D" w:rsidP="00B306C2">
            <w:pPr>
              <w:spacing w:after="0" w:line="240" w:lineRule="auto"/>
              <w:jc w:val="center"/>
              <w:rPr>
                <w:rFonts w:ascii="Times New Roman" w:hAnsi="Times New Roman" w:cs="Times New Roman"/>
                <w:bCs/>
                <w:sz w:val="20"/>
                <w:szCs w:val="20"/>
              </w:rPr>
            </w:pPr>
            <w:r w:rsidRPr="00B306C2">
              <w:rPr>
                <w:rFonts w:ascii="Times New Roman" w:hAnsi="Times New Roman" w:cs="Times New Roman"/>
                <w:bCs/>
                <w:sz w:val="20"/>
                <w:szCs w:val="20"/>
              </w:rPr>
              <w:t>Income Level</w:t>
            </w:r>
          </w:p>
        </w:tc>
        <w:tc>
          <w:tcPr>
            <w:tcW w:w="708" w:type="dxa"/>
            <w:tcBorders>
              <w:top w:val="single" w:sz="8" w:space="0" w:color="000000" w:themeColor="text1"/>
              <w:bottom w:val="single" w:sz="8" w:space="0" w:color="000000" w:themeColor="text1"/>
            </w:tcBorders>
          </w:tcPr>
          <w:p w14:paraId="4891E988" w14:textId="77777777" w:rsidR="0000060D" w:rsidRPr="00B306C2" w:rsidRDefault="0000060D" w:rsidP="00B306C2">
            <w:pPr>
              <w:spacing w:after="0" w:line="240" w:lineRule="auto"/>
              <w:jc w:val="center"/>
              <w:rPr>
                <w:rFonts w:ascii="Times New Roman" w:hAnsi="Times New Roman" w:cs="Times New Roman"/>
                <w:bCs/>
                <w:sz w:val="20"/>
                <w:szCs w:val="20"/>
              </w:rPr>
            </w:pPr>
            <w:r w:rsidRPr="00B306C2">
              <w:rPr>
                <w:rFonts w:ascii="Times New Roman" w:hAnsi="Times New Roman" w:cs="Times New Roman"/>
                <w:bCs/>
                <w:sz w:val="20"/>
                <w:szCs w:val="20"/>
              </w:rPr>
              <w:t>F (N)</w:t>
            </w:r>
          </w:p>
        </w:tc>
        <w:tc>
          <w:tcPr>
            <w:tcW w:w="851" w:type="dxa"/>
            <w:tcBorders>
              <w:top w:val="single" w:sz="8" w:space="0" w:color="000000" w:themeColor="text1"/>
              <w:bottom w:val="single" w:sz="8" w:space="0" w:color="000000" w:themeColor="text1"/>
            </w:tcBorders>
          </w:tcPr>
          <w:p w14:paraId="20B8EAF6" w14:textId="77777777" w:rsidR="0000060D" w:rsidRPr="00B306C2" w:rsidRDefault="0000060D" w:rsidP="00B306C2">
            <w:pPr>
              <w:spacing w:after="0" w:line="240" w:lineRule="auto"/>
              <w:jc w:val="center"/>
              <w:rPr>
                <w:rFonts w:ascii="Times New Roman" w:hAnsi="Times New Roman" w:cs="Times New Roman"/>
                <w:bCs/>
                <w:sz w:val="20"/>
                <w:szCs w:val="20"/>
              </w:rPr>
            </w:pPr>
            <w:r w:rsidRPr="00B306C2">
              <w:rPr>
                <w:rFonts w:ascii="Times New Roman" w:hAnsi="Times New Roman" w:cs="Times New Roman"/>
                <w:bCs/>
                <w:sz w:val="20"/>
                <w:szCs w:val="20"/>
              </w:rPr>
              <w:t>%</w:t>
            </w:r>
          </w:p>
        </w:tc>
        <w:tc>
          <w:tcPr>
            <w:tcW w:w="1559" w:type="dxa"/>
            <w:tcBorders>
              <w:top w:val="single" w:sz="8" w:space="0" w:color="000000" w:themeColor="text1"/>
              <w:bottom w:val="single" w:sz="8" w:space="0" w:color="000000" w:themeColor="text1"/>
            </w:tcBorders>
          </w:tcPr>
          <w:p w14:paraId="711AB010" w14:textId="77777777" w:rsidR="0000060D" w:rsidRPr="00B306C2" w:rsidRDefault="0000060D" w:rsidP="00B306C2">
            <w:pPr>
              <w:spacing w:after="0" w:line="240" w:lineRule="auto"/>
              <w:rPr>
                <w:rFonts w:ascii="Times New Roman" w:hAnsi="Times New Roman" w:cs="Times New Roman"/>
                <w:bCs/>
                <w:sz w:val="20"/>
                <w:szCs w:val="20"/>
              </w:rPr>
            </w:pPr>
            <w:r w:rsidRPr="00B306C2">
              <w:rPr>
                <w:rFonts w:ascii="Times New Roman" w:hAnsi="Times New Roman" w:cs="Times New Roman"/>
                <w:bCs/>
                <w:sz w:val="20"/>
                <w:szCs w:val="20"/>
              </w:rPr>
              <w:t>Occupational Status</w:t>
            </w:r>
          </w:p>
        </w:tc>
        <w:tc>
          <w:tcPr>
            <w:tcW w:w="709" w:type="dxa"/>
            <w:tcBorders>
              <w:top w:val="single" w:sz="8" w:space="0" w:color="000000" w:themeColor="text1"/>
              <w:bottom w:val="single" w:sz="8" w:space="0" w:color="000000" w:themeColor="text1"/>
            </w:tcBorders>
          </w:tcPr>
          <w:p w14:paraId="27E147B5" w14:textId="77777777" w:rsidR="0000060D" w:rsidRPr="00B306C2" w:rsidRDefault="0000060D" w:rsidP="00B306C2">
            <w:pPr>
              <w:spacing w:after="0" w:line="240" w:lineRule="auto"/>
              <w:jc w:val="center"/>
              <w:rPr>
                <w:rFonts w:ascii="Times New Roman" w:hAnsi="Times New Roman" w:cs="Times New Roman"/>
                <w:bCs/>
                <w:sz w:val="20"/>
                <w:szCs w:val="20"/>
              </w:rPr>
            </w:pPr>
            <w:r w:rsidRPr="00B306C2">
              <w:rPr>
                <w:rFonts w:ascii="Times New Roman" w:hAnsi="Times New Roman" w:cs="Times New Roman"/>
                <w:bCs/>
                <w:sz w:val="20"/>
                <w:szCs w:val="20"/>
              </w:rPr>
              <w:t>F (N)</w:t>
            </w:r>
          </w:p>
        </w:tc>
        <w:tc>
          <w:tcPr>
            <w:tcW w:w="827" w:type="dxa"/>
            <w:tcBorders>
              <w:top w:val="single" w:sz="8" w:space="0" w:color="000000" w:themeColor="text1"/>
              <w:bottom w:val="single" w:sz="8" w:space="0" w:color="000000" w:themeColor="text1"/>
            </w:tcBorders>
          </w:tcPr>
          <w:p w14:paraId="0888A1D4" w14:textId="77777777" w:rsidR="0000060D" w:rsidRPr="00B306C2" w:rsidRDefault="0000060D" w:rsidP="00B306C2">
            <w:pPr>
              <w:spacing w:after="0" w:line="240" w:lineRule="auto"/>
              <w:jc w:val="center"/>
              <w:rPr>
                <w:rFonts w:ascii="Times New Roman" w:hAnsi="Times New Roman" w:cs="Times New Roman"/>
                <w:bCs/>
                <w:sz w:val="20"/>
                <w:szCs w:val="20"/>
              </w:rPr>
            </w:pPr>
            <w:r w:rsidRPr="00B306C2">
              <w:rPr>
                <w:rFonts w:ascii="Times New Roman" w:hAnsi="Times New Roman" w:cs="Times New Roman"/>
                <w:bCs/>
                <w:sz w:val="20"/>
                <w:szCs w:val="20"/>
              </w:rPr>
              <w:t>%</w:t>
            </w:r>
          </w:p>
        </w:tc>
      </w:tr>
      <w:tr w:rsidR="0000060D" w:rsidRPr="00B306C2" w14:paraId="5E0287E7" w14:textId="77777777" w:rsidTr="0000060D">
        <w:trPr>
          <w:trHeight w:val="376"/>
          <w:jc w:val="center"/>
        </w:trPr>
        <w:tc>
          <w:tcPr>
            <w:tcW w:w="1418" w:type="dxa"/>
            <w:tcBorders>
              <w:top w:val="single" w:sz="8" w:space="0" w:color="000000" w:themeColor="text1"/>
            </w:tcBorders>
          </w:tcPr>
          <w:p w14:paraId="482332F3" w14:textId="77777777" w:rsidR="0000060D" w:rsidRPr="00B306C2" w:rsidRDefault="0000060D" w:rsidP="00B306C2">
            <w:pPr>
              <w:spacing w:after="0" w:line="240" w:lineRule="auto"/>
              <w:rPr>
                <w:rFonts w:ascii="Times New Roman" w:hAnsi="Times New Roman" w:cs="Times New Roman"/>
                <w:sz w:val="20"/>
                <w:szCs w:val="20"/>
              </w:rPr>
            </w:pPr>
            <w:r w:rsidRPr="00B306C2">
              <w:rPr>
                <w:rFonts w:ascii="Times New Roman" w:hAnsi="Times New Roman" w:cs="Times New Roman"/>
                <w:sz w:val="20"/>
                <w:szCs w:val="20"/>
              </w:rPr>
              <w:t>No formal education</w:t>
            </w:r>
          </w:p>
        </w:tc>
        <w:tc>
          <w:tcPr>
            <w:tcW w:w="589" w:type="dxa"/>
            <w:tcBorders>
              <w:top w:val="single" w:sz="8" w:space="0" w:color="000000" w:themeColor="text1"/>
            </w:tcBorders>
          </w:tcPr>
          <w:p w14:paraId="09667490"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29</w:t>
            </w:r>
          </w:p>
        </w:tc>
        <w:tc>
          <w:tcPr>
            <w:tcW w:w="850" w:type="dxa"/>
            <w:tcBorders>
              <w:top w:val="single" w:sz="8" w:space="0" w:color="000000" w:themeColor="text1"/>
            </w:tcBorders>
          </w:tcPr>
          <w:p w14:paraId="3A927B73"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14.1</w:t>
            </w:r>
          </w:p>
        </w:tc>
        <w:tc>
          <w:tcPr>
            <w:tcW w:w="1560" w:type="dxa"/>
            <w:tcBorders>
              <w:top w:val="single" w:sz="8" w:space="0" w:color="000000" w:themeColor="text1"/>
            </w:tcBorders>
          </w:tcPr>
          <w:p w14:paraId="2096BB07" w14:textId="77777777" w:rsidR="0000060D" w:rsidRPr="00B306C2" w:rsidRDefault="0000060D" w:rsidP="00B306C2">
            <w:pPr>
              <w:spacing w:after="0" w:line="240" w:lineRule="auto"/>
              <w:rPr>
                <w:rFonts w:ascii="Times New Roman" w:hAnsi="Times New Roman" w:cs="Times New Roman"/>
                <w:sz w:val="20"/>
                <w:szCs w:val="20"/>
              </w:rPr>
            </w:pPr>
            <w:r w:rsidRPr="00B306C2">
              <w:rPr>
                <w:rFonts w:ascii="Times New Roman" w:hAnsi="Times New Roman" w:cs="Times New Roman"/>
                <w:sz w:val="20"/>
                <w:szCs w:val="20"/>
              </w:rPr>
              <w:t>Less than ₦30,000</w:t>
            </w:r>
          </w:p>
        </w:tc>
        <w:tc>
          <w:tcPr>
            <w:tcW w:w="708" w:type="dxa"/>
            <w:tcBorders>
              <w:top w:val="single" w:sz="8" w:space="0" w:color="000000" w:themeColor="text1"/>
            </w:tcBorders>
          </w:tcPr>
          <w:p w14:paraId="5191C3A0"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10</w:t>
            </w:r>
          </w:p>
        </w:tc>
        <w:tc>
          <w:tcPr>
            <w:tcW w:w="851" w:type="dxa"/>
            <w:tcBorders>
              <w:top w:val="single" w:sz="8" w:space="0" w:color="000000" w:themeColor="text1"/>
            </w:tcBorders>
          </w:tcPr>
          <w:p w14:paraId="600AA0EC"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4.9</w:t>
            </w:r>
          </w:p>
        </w:tc>
        <w:tc>
          <w:tcPr>
            <w:tcW w:w="1559" w:type="dxa"/>
            <w:tcBorders>
              <w:top w:val="single" w:sz="8" w:space="0" w:color="000000" w:themeColor="text1"/>
            </w:tcBorders>
          </w:tcPr>
          <w:p w14:paraId="12CC68BC" w14:textId="77777777" w:rsidR="0000060D" w:rsidRPr="00B306C2" w:rsidRDefault="0000060D" w:rsidP="00B306C2">
            <w:pPr>
              <w:spacing w:after="0" w:line="240" w:lineRule="auto"/>
              <w:rPr>
                <w:rFonts w:ascii="Times New Roman" w:hAnsi="Times New Roman" w:cs="Times New Roman"/>
                <w:sz w:val="20"/>
                <w:szCs w:val="20"/>
              </w:rPr>
            </w:pPr>
            <w:r w:rsidRPr="00B306C2">
              <w:rPr>
                <w:rFonts w:ascii="Times New Roman" w:hAnsi="Times New Roman" w:cs="Times New Roman"/>
                <w:sz w:val="20"/>
                <w:szCs w:val="20"/>
              </w:rPr>
              <w:t>Farming</w:t>
            </w:r>
          </w:p>
        </w:tc>
        <w:tc>
          <w:tcPr>
            <w:tcW w:w="709" w:type="dxa"/>
            <w:tcBorders>
              <w:top w:val="single" w:sz="8" w:space="0" w:color="000000" w:themeColor="text1"/>
            </w:tcBorders>
          </w:tcPr>
          <w:p w14:paraId="46DAB675"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29</w:t>
            </w:r>
          </w:p>
        </w:tc>
        <w:tc>
          <w:tcPr>
            <w:tcW w:w="827" w:type="dxa"/>
            <w:tcBorders>
              <w:top w:val="single" w:sz="8" w:space="0" w:color="000000" w:themeColor="text1"/>
            </w:tcBorders>
          </w:tcPr>
          <w:p w14:paraId="4F968F41"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14.1</w:t>
            </w:r>
          </w:p>
        </w:tc>
      </w:tr>
      <w:tr w:rsidR="0000060D" w:rsidRPr="00B306C2" w14:paraId="44938D41" w14:textId="77777777" w:rsidTr="0000060D">
        <w:trPr>
          <w:trHeight w:val="311"/>
          <w:jc w:val="center"/>
        </w:trPr>
        <w:tc>
          <w:tcPr>
            <w:tcW w:w="1418" w:type="dxa"/>
          </w:tcPr>
          <w:p w14:paraId="22249A36" w14:textId="77777777" w:rsidR="0000060D" w:rsidRPr="00B306C2" w:rsidRDefault="0000060D" w:rsidP="00B306C2">
            <w:pPr>
              <w:spacing w:after="0" w:line="240" w:lineRule="auto"/>
              <w:rPr>
                <w:rFonts w:ascii="Times New Roman" w:hAnsi="Times New Roman" w:cs="Times New Roman"/>
                <w:sz w:val="20"/>
                <w:szCs w:val="20"/>
              </w:rPr>
            </w:pPr>
            <w:r w:rsidRPr="00B306C2">
              <w:rPr>
                <w:rFonts w:ascii="Times New Roman" w:hAnsi="Times New Roman" w:cs="Times New Roman"/>
                <w:sz w:val="20"/>
                <w:szCs w:val="20"/>
              </w:rPr>
              <w:t>Primary School</w:t>
            </w:r>
          </w:p>
        </w:tc>
        <w:tc>
          <w:tcPr>
            <w:tcW w:w="589" w:type="dxa"/>
          </w:tcPr>
          <w:p w14:paraId="713CD5AB"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36</w:t>
            </w:r>
          </w:p>
        </w:tc>
        <w:tc>
          <w:tcPr>
            <w:tcW w:w="850" w:type="dxa"/>
          </w:tcPr>
          <w:p w14:paraId="45DDE8F9"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17.5</w:t>
            </w:r>
          </w:p>
        </w:tc>
        <w:tc>
          <w:tcPr>
            <w:tcW w:w="1560" w:type="dxa"/>
          </w:tcPr>
          <w:p w14:paraId="6D3F6901" w14:textId="77777777" w:rsidR="0000060D" w:rsidRPr="00B306C2" w:rsidRDefault="0000060D" w:rsidP="00B306C2">
            <w:pPr>
              <w:spacing w:after="0" w:line="240" w:lineRule="auto"/>
              <w:rPr>
                <w:rFonts w:ascii="Times New Roman" w:hAnsi="Times New Roman" w:cs="Times New Roman"/>
                <w:sz w:val="20"/>
                <w:szCs w:val="20"/>
              </w:rPr>
            </w:pPr>
            <w:r w:rsidRPr="00B306C2">
              <w:rPr>
                <w:rFonts w:ascii="Times New Roman" w:hAnsi="Times New Roman" w:cs="Times New Roman"/>
                <w:sz w:val="20"/>
                <w:szCs w:val="20"/>
              </w:rPr>
              <w:t>₦30,001 - ₦60,000</w:t>
            </w:r>
          </w:p>
        </w:tc>
        <w:tc>
          <w:tcPr>
            <w:tcW w:w="708" w:type="dxa"/>
          </w:tcPr>
          <w:p w14:paraId="34AC2F52"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45</w:t>
            </w:r>
          </w:p>
        </w:tc>
        <w:tc>
          <w:tcPr>
            <w:tcW w:w="851" w:type="dxa"/>
          </w:tcPr>
          <w:p w14:paraId="4CA01C41"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21.8</w:t>
            </w:r>
          </w:p>
        </w:tc>
        <w:tc>
          <w:tcPr>
            <w:tcW w:w="1559" w:type="dxa"/>
          </w:tcPr>
          <w:p w14:paraId="3568BDAF" w14:textId="77777777" w:rsidR="0000060D" w:rsidRPr="00B306C2" w:rsidRDefault="0000060D" w:rsidP="00B306C2">
            <w:pPr>
              <w:spacing w:after="0" w:line="240" w:lineRule="auto"/>
              <w:rPr>
                <w:rFonts w:ascii="Times New Roman" w:hAnsi="Times New Roman" w:cs="Times New Roman"/>
                <w:sz w:val="20"/>
                <w:szCs w:val="20"/>
              </w:rPr>
            </w:pPr>
            <w:r w:rsidRPr="00B306C2">
              <w:rPr>
                <w:rFonts w:ascii="Times New Roman" w:hAnsi="Times New Roman" w:cs="Times New Roman"/>
                <w:sz w:val="20"/>
                <w:szCs w:val="20"/>
              </w:rPr>
              <w:t>Artisanship</w:t>
            </w:r>
          </w:p>
        </w:tc>
        <w:tc>
          <w:tcPr>
            <w:tcW w:w="709" w:type="dxa"/>
          </w:tcPr>
          <w:p w14:paraId="0E41B4C6"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84</w:t>
            </w:r>
          </w:p>
        </w:tc>
        <w:tc>
          <w:tcPr>
            <w:tcW w:w="827" w:type="dxa"/>
          </w:tcPr>
          <w:p w14:paraId="09C0CD60"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40.8</w:t>
            </w:r>
          </w:p>
        </w:tc>
      </w:tr>
      <w:tr w:rsidR="0000060D" w:rsidRPr="00B306C2" w14:paraId="04D82197" w14:textId="77777777" w:rsidTr="0000060D">
        <w:trPr>
          <w:jc w:val="center"/>
        </w:trPr>
        <w:tc>
          <w:tcPr>
            <w:tcW w:w="1418" w:type="dxa"/>
          </w:tcPr>
          <w:p w14:paraId="6B9EC4FC" w14:textId="77777777" w:rsidR="0000060D" w:rsidRPr="00B306C2" w:rsidRDefault="0000060D" w:rsidP="00B306C2">
            <w:pPr>
              <w:spacing w:after="0" w:line="240" w:lineRule="auto"/>
              <w:rPr>
                <w:rFonts w:ascii="Times New Roman" w:hAnsi="Times New Roman" w:cs="Times New Roman"/>
                <w:sz w:val="20"/>
                <w:szCs w:val="20"/>
              </w:rPr>
            </w:pPr>
            <w:r w:rsidRPr="00B306C2">
              <w:rPr>
                <w:rFonts w:ascii="Times New Roman" w:hAnsi="Times New Roman" w:cs="Times New Roman"/>
                <w:sz w:val="20"/>
                <w:szCs w:val="20"/>
              </w:rPr>
              <w:t>Secondary School</w:t>
            </w:r>
          </w:p>
        </w:tc>
        <w:tc>
          <w:tcPr>
            <w:tcW w:w="589" w:type="dxa"/>
          </w:tcPr>
          <w:p w14:paraId="44F7F799"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92</w:t>
            </w:r>
          </w:p>
        </w:tc>
        <w:tc>
          <w:tcPr>
            <w:tcW w:w="850" w:type="dxa"/>
          </w:tcPr>
          <w:p w14:paraId="77E292C1"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44.7</w:t>
            </w:r>
          </w:p>
        </w:tc>
        <w:tc>
          <w:tcPr>
            <w:tcW w:w="1560" w:type="dxa"/>
          </w:tcPr>
          <w:p w14:paraId="4A24DEB6" w14:textId="77777777" w:rsidR="0000060D" w:rsidRPr="00B306C2" w:rsidRDefault="0000060D" w:rsidP="00B306C2">
            <w:pPr>
              <w:spacing w:after="0" w:line="240" w:lineRule="auto"/>
              <w:rPr>
                <w:rFonts w:ascii="Times New Roman" w:hAnsi="Times New Roman" w:cs="Times New Roman"/>
                <w:sz w:val="20"/>
                <w:szCs w:val="20"/>
              </w:rPr>
            </w:pPr>
            <w:r w:rsidRPr="00B306C2">
              <w:rPr>
                <w:rFonts w:ascii="Times New Roman" w:hAnsi="Times New Roman" w:cs="Times New Roman"/>
                <w:sz w:val="20"/>
                <w:szCs w:val="20"/>
              </w:rPr>
              <w:t>₦60,001 - ₦90,000</w:t>
            </w:r>
          </w:p>
        </w:tc>
        <w:tc>
          <w:tcPr>
            <w:tcW w:w="708" w:type="dxa"/>
          </w:tcPr>
          <w:p w14:paraId="0380DBD7"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63</w:t>
            </w:r>
          </w:p>
        </w:tc>
        <w:tc>
          <w:tcPr>
            <w:tcW w:w="851" w:type="dxa"/>
          </w:tcPr>
          <w:p w14:paraId="017E73EB"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30.6</w:t>
            </w:r>
          </w:p>
        </w:tc>
        <w:tc>
          <w:tcPr>
            <w:tcW w:w="1559" w:type="dxa"/>
          </w:tcPr>
          <w:p w14:paraId="6B31A34F" w14:textId="77777777" w:rsidR="0000060D" w:rsidRPr="00B306C2" w:rsidRDefault="0000060D" w:rsidP="00B306C2">
            <w:pPr>
              <w:spacing w:after="0" w:line="240" w:lineRule="auto"/>
              <w:rPr>
                <w:rFonts w:ascii="Times New Roman" w:hAnsi="Times New Roman" w:cs="Times New Roman"/>
                <w:sz w:val="20"/>
                <w:szCs w:val="20"/>
              </w:rPr>
            </w:pPr>
            <w:r w:rsidRPr="00B306C2">
              <w:rPr>
                <w:rFonts w:ascii="Times New Roman" w:hAnsi="Times New Roman" w:cs="Times New Roman"/>
                <w:sz w:val="20"/>
                <w:szCs w:val="20"/>
              </w:rPr>
              <w:t>Trading</w:t>
            </w:r>
          </w:p>
        </w:tc>
        <w:tc>
          <w:tcPr>
            <w:tcW w:w="709" w:type="dxa"/>
          </w:tcPr>
          <w:p w14:paraId="6A52FC98"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72</w:t>
            </w:r>
          </w:p>
        </w:tc>
        <w:tc>
          <w:tcPr>
            <w:tcW w:w="827" w:type="dxa"/>
          </w:tcPr>
          <w:p w14:paraId="0CB13202"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35.0</w:t>
            </w:r>
          </w:p>
        </w:tc>
      </w:tr>
      <w:tr w:rsidR="0000060D" w:rsidRPr="00B306C2" w14:paraId="3E4A5461" w14:textId="77777777" w:rsidTr="0000060D">
        <w:trPr>
          <w:jc w:val="center"/>
        </w:trPr>
        <w:tc>
          <w:tcPr>
            <w:tcW w:w="1418" w:type="dxa"/>
          </w:tcPr>
          <w:p w14:paraId="728D4D6F" w14:textId="77777777" w:rsidR="0000060D" w:rsidRPr="00B306C2" w:rsidRDefault="0000060D" w:rsidP="00B306C2">
            <w:pPr>
              <w:spacing w:after="0" w:line="240" w:lineRule="auto"/>
              <w:rPr>
                <w:rFonts w:ascii="Times New Roman" w:hAnsi="Times New Roman" w:cs="Times New Roman"/>
                <w:sz w:val="20"/>
                <w:szCs w:val="20"/>
              </w:rPr>
            </w:pPr>
            <w:r w:rsidRPr="00B306C2">
              <w:rPr>
                <w:rFonts w:ascii="Times New Roman" w:hAnsi="Times New Roman" w:cs="Times New Roman"/>
                <w:sz w:val="20"/>
                <w:szCs w:val="20"/>
              </w:rPr>
              <w:t>Tertiary School</w:t>
            </w:r>
          </w:p>
        </w:tc>
        <w:tc>
          <w:tcPr>
            <w:tcW w:w="589" w:type="dxa"/>
          </w:tcPr>
          <w:p w14:paraId="31E08247"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49</w:t>
            </w:r>
          </w:p>
        </w:tc>
        <w:tc>
          <w:tcPr>
            <w:tcW w:w="850" w:type="dxa"/>
          </w:tcPr>
          <w:p w14:paraId="0CF2A773"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23.8</w:t>
            </w:r>
          </w:p>
        </w:tc>
        <w:tc>
          <w:tcPr>
            <w:tcW w:w="1560" w:type="dxa"/>
          </w:tcPr>
          <w:p w14:paraId="540EAF75" w14:textId="77777777" w:rsidR="0000060D" w:rsidRPr="00B306C2" w:rsidRDefault="0000060D" w:rsidP="00B306C2">
            <w:pPr>
              <w:spacing w:after="0" w:line="240" w:lineRule="auto"/>
              <w:rPr>
                <w:rFonts w:ascii="Times New Roman" w:hAnsi="Times New Roman" w:cs="Times New Roman"/>
                <w:sz w:val="20"/>
                <w:szCs w:val="20"/>
              </w:rPr>
            </w:pPr>
            <w:r w:rsidRPr="00B306C2">
              <w:rPr>
                <w:rFonts w:ascii="Times New Roman" w:hAnsi="Times New Roman" w:cs="Times New Roman"/>
                <w:sz w:val="20"/>
                <w:szCs w:val="20"/>
              </w:rPr>
              <w:t>₦90,001 - ₦120,000</w:t>
            </w:r>
          </w:p>
        </w:tc>
        <w:tc>
          <w:tcPr>
            <w:tcW w:w="708" w:type="dxa"/>
          </w:tcPr>
          <w:p w14:paraId="526DFCAF"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58</w:t>
            </w:r>
          </w:p>
        </w:tc>
        <w:tc>
          <w:tcPr>
            <w:tcW w:w="851" w:type="dxa"/>
          </w:tcPr>
          <w:p w14:paraId="6083B5F7"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28.2</w:t>
            </w:r>
          </w:p>
        </w:tc>
        <w:tc>
          <w:tcPr>
            <w:tcW w:w="1559" w:type="dxa"/>
          </w:tcPr>
          <w:p w14:paraId="37E8B041" w14:textId="77777777" w:rsidR="0000060D" w:rsidRPr="00B306C2" w:rsidRDefault="0000060D" w:rsidP="00B306C2">
            <w:pPr>
              <w:spacing w:after="0" w:line="240" w:lineRule="auto"/>
              <w:rPr>
                <w:rFonts w:ascii="Times New Roman" w:hAnsi="Times New Roman" w:cs="Times New Roman"/>
                <w:sz w:val="20"/>
                <w:szCs w:val="20"/>
              </w:rPr>
            </w:pPr>
            <w:r w:rsidRPr="00B306C2">
              <w:rPr>
                <w:rFonts w:ascii="Times New Roman" w:hAnsi="Times New Roman" w:cs="Times New Roman"/>
                <w:sz w:val="20"/>
                <w:szCs w:val="20"/>
              </w:rPr>
              <w:t>Civil Servants</w:t>
            </w:r>
          </w:p>
        </w:tc>
        <w:tc>
          <w:tcPr>
            <w:tcW w:w="709" w:type="dxa"/>
          </w:tcPr>
          <w:p w14:paraId="74BE7A30"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21</w:t>
            </w:r>
          </w:p>
        </w:tc>
        <w:tc>
          <w:tcPr>
            <w:tcW w:w="827" w:type="dxa"/>
          </w:tcPr>
          <w:p w14:paraId="4A6275B4"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10.2</w:t>
            </w:r>
          </w:p>
        </w:tc>
      </w:tr>
      <w:tr w:rsidR="0000060D" w:rsidRPr="00B306C2" w14:paraId="6BAC0A81" w14:textId="77777777" w:rsidTr="0000060D">
        <w:trPr>
          <w:jc w:val="center"/>
        </w:trPr>
        <w:tc>
          <w:tcPr>
            <w:tcW w:w="1418" w:type="dxa"/>
          </w:tcPr>
          <w:p w14:paraId="4493ECD9" w14:textId="77777777" w:rsidR="0000060D" w:rsidRPr="00B306C2" w:rsidRDefault="0000060D" w:rsidP="00B306C2">
            <w:pPr>
              <w:spacing w:after="0" w:line="240" w:lineRule="auto"/>
              <w:rPr>
                <w:rFonts w:ascii="Times New Roman" w:hAnsi="Times New Roman" w:cs="Times New Roman"/>
                <w:b/>
                <w:sz w:val="20"/>
                <w:szCs w:val="20"/>
              </w:rPr>
            </w:pPr>
            <w:r w:rsidRPr="00B306C2">
              <w:rPr>
                <w:rFonts w:ascii="Times New Roman" w:hAnsi="Times New Roman" w:cs="Times New Roman"/>
                <w:b/>
                <w:sz w:val="20"/>
                <w:szCs w:val="20"/>
              </w:rPr>
              <w:t>Total</w:t>
            </w:r>
          </w:p>
        </w:tc>
        <w:tc>
          <w:tcPr>
            <w:tcW w:w="589" w:type="dxa"/>
          </w:tcPr>
          <w:p w14:paraId="79F211FA"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b/>
                <w:sz w:val="20"/>
                <w:szCs w:val="20"/>
              </w:rPr>
              <w:t>206</w:t>
            </w:r>
          </w:p>
        </w:tc>
        <w:tc>
          <w:tcPr>
            <w:tcW w:w="850" w:type="dxa"/>
          </w:tcPr>
          <w:p w14:paraId="56A89928" w14:textId="77777777" w:rsidR="0000060D" w:rsidRPr="00B306C2" w:rsidRDefault="0000060D" w:rsidP="00B306C2">
            <w:pPr>
              <w:spacing w:after="0" w:line="240" w:lineRule="auto"/>
              <w:jc w:val="center"/>
              <w:rPr>
                <w:rFonts w:ascii="Times New Roman" w:hAnsi="Times New Roman" w:cs="Times New Roman"/>
                <w:b/>
                <w:sz w:val="20"/>
                <w:szCs w:val="20"/>
              </w:rPr>
            </w:pPr>
            <w:r w:rsidRPr="00B306C2">
              <w:rPr>
                <w:rFonts w:ascii="Times New Roman" w:hAnsi="Times New Roman" w:cs="Times New Roman"/>
                <w:b/>
                <w:sz w:val="20"/>
                <w:szCs w:val="20"/>
              </w:rPr>
              <w:t>100.0</w:t>
            </w:r>
          </w:p>
        </w:tc>
        <w:tc>
          <w:tcPr>
            <w:tcW w:w="1560" w:type="dxa"/>
          </w:tcPr>
          <w:p w14:paraId="1D087EC2" w14:textId="77777777" w:rsidR="0000060D" w:rsidRPr="00B306C2" w:rsidRDefault="0000060D" w:rsidP="00B306C2">
            <w:pPr>
              <w:spacing w:after="0" w:line="240" w:lineRule="auto"/>
              <w:rPr>
                <w:rFonts w:ascii="Times New Roman" w:hAnsi="Times New Roman" w:cs="Times New Roman"/>
                <w:sz w:val="20"/>
                <w:szCs w:val="20"/>
              </w:rPr>
            </w:pPr>
            <w:r w:rsidRPr="00B306C2">
              <w:rPr>
                <w:rFonts w:ascii="Times New Roman" w:hAnsi="Times New Roman" w:cs="Times New Roman"/>
                <w:sz w:val="20"/>
                <w:szCs w:val="20"/>
              </w:rPr>
              <w:t>Above  ₦120,000</w:t>
            </w:r>
          </w:p>
        </w:tc>
        <w:tc>
          <w:tcPr>
            <w:tcW w:w="708" w:type="dxa"/>
          </w:tcPr>
          <w:p w14:paraId="69F3892D"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30</w:t>
            </w:r>
          </w:p>
        </w:tc>
        <w:tc>
          <w:tcPr>
            <w:tcW w:w="851" w:type="dxa"/>
          </w:tcPr>
          <w:p w14:paraId="3EE28619" w14:textId="77777777" w:rsidR="0000060D" w:rsidRPr="00B306C2" w:rsidRDefault="0000060D" w:rsidP="00B306C2">
            <w:pPr>
              <w:spacing w:after="0" w:line="240" w:lineRule="auto"/>
              <w:jc w:val="center"/>
              <w:rPr>
                <w:rFonts w:ascii="Times New Roman" w:hAnsi="Times New Roman" w:cs="Times New Roman"/>
                <w:sz w:val="20"/>
                <w:szCs w:val="20"/>
              </w:rPr>
            </w:pPr>
            <w:r w:rsidRPr="00B306C2">
              <w:rPr>
                <w:rFonts w:ascii="Times New Roman" w:hAnsi="Times New Roman" w:cs="Times New Roman"/>
                <w:sz w:val="20"/>
                <w:szCs w:val="20"/>
              </w:rPr>
              <w:t>14.6</w:t>
            </w:r>
          </w:p>
        </w:tc>
        <w:tc>
          <w:tcPr>
            <w:tcW w:w="1559" w:type="dxa"/>
          </w:tcPr>
          <w:p w14:paraId="133F4580" w14:textId="77777777" w:rsidR="0000060D" w:rsidRPr="00B306C2" w:rsidRDefault="0000060D" w:rsidP="00B306C2">
            <w:pPr>
              <w:spacing w:after="0" w:line="240" w:lineRule="auto"/>
              <w:rPr>
                <w:rFonts w:ascii="Times New Roman" w:hAnsi="Times New Roman" w:cs="Times New Roman"/>
                <w:sz w:val="20"/>
                <w:szCs w:val="20"/>
              </w:rPr>
            </w:pPr>
            <w:r w:rsidRPr="00B306C2">
              <w:rPr>
                <w:rFonts w:ascii="Times New Roman" w:hAnsi="Times New Roman" w:cs="Times New Roman"/>
                <w:b/>
                <w:sz w:val="20"/>
                <w:szCs w:val="20"/>
              </w:rPr>
              <w:t>Total</w:t>
            </w:r>
          </w:p>
        </w:tc>
        <w:tc>
          <w:tcPr>
            <w:tcW w:w="709" w:type="dxa"/>
          </w:tcPr>
          <w:p w14:paraId="7D59FFDC" w14:textId="77777777" w:rsidR="0000060D" w:rsidRPr="00B306C2" w:rsidRDefault="0000060D" w:rsidP="00B306C2">
            <w:pPr>
              <w:spacing w:after="0" w:line="240" w:lineRule="auto"/>
              <w:rPr>
                <w:rFonts w:ascii="Times New Roman" w:hAnsi="Times New Roman" w:cs="Times New Roman"/>
                <w:sz w:val="20"/>
                <w:szCs w:val="20"/>
              </w:rPr>
            </w:pPr>
            <w:r w:rsidRPr="00B306C2">
              <w:rPr>
                <w:rFonts w:ascii="Times New Roman" w:hAnsi="Times New Roman" w:cs="Times New Roman"/>
                <w:b/>
                <w:sz w:val="20"/>
                <w:szCs w:val="20"/>
              </w:rPr>
              <w:t>206</w:t>
            </w:r>
          </w:p>
        </w:tc>
        <w:tc>
          <w:tcPr>
            <w:tcW w:w="827" w:type="dxa"/>
          </w:tcPr>
          <w:p w14:paraId="00B99C41" w14:textId="77777777" w:rsidR="0000060D" w:rsidRPr="00B306C2" w:rsidRDefault="0000060D" w:rsidP="00B306C2">
            <w:pPr>
              <w:spacing w:after="0" w:line="240" w:lineRule="auto"/>
              <w:rPr>
                <w:rFonts w:ascii="Times New Roman" w:hAnsi="Times New Roman" w:cs="Times New Roman"/>
                <w:b/>
                <w:sz w:val="20"/>
                <w:szCs w:val="20"/>
              </w:rPr>
            </w:pPr>
            <w:r w:rsidRPr="00B306C2">
              <w:rPr>
                <w:rFonts w:ascii="Times New Roman" w:hAnsi="Times New Roman" w:cs="Times New Roman"/>
                <w:b/>
                <w:sz w:val="20"/>
                <w:szCs w:val="20"/>
              </w:rPr>
              <w:t>100.0</w:t>
            </w:r>
          </w:p>
        </w:tc>
      </w:tr>
      <w:tr w:rsidR="0000060D" w:rsidRPr="00B306C2" w14:paraId="38DEF803" w14:textId="77777777" w:rsidTr="0000060D">
        <w:trPr>
          <w:jc w:val="center"/>
        </w:trPr>
        <w:tc>
          <w:tcPr>
            <w:tcW w:w="2857" w:type="dxa"/>
            <w:gridSpan w:val="3"/>
            <w:tcBorders>
              <w:bottom w:val="single" w:sz="8" w:space="0" w:color="000000" w:themeColor="text1"/>
            </w:tcBorders>
          </w:tcPr>
          <w:p w14:paraId="421BED1A" w14:textId="77777777" w:rsidR="0000060D" w:rsidRPr="00B306C2" w:rsidRDefault="0000060D" w:rsidP="00B306C2">
            <w:pPr>
              <w:spacing w:after="0" w:line="240" w:lineRule="auto"/>
              <w:jc w:val="center"/>
              <w:rPr>
                <w:rFonts w:ascii="Times New Roman" w:hAnsi="Times New Roman" w:cs="Times New Roman"/>
                <w:b/>
                <w:sz w:val="20"/>
                <w:szCs w:val="20"/>
              </w:rPr>
            </w:pPr>
          </w:p>
        </w:tc>
        <w:tc>
          <w:tcPr>
            <w:tcW w:w="1560" w:type="dxa"/>
            <w:tcBorders>
              <w:bottom w:val="single" w:sz="8" w:space="0" w:color="000000" w:themeColor="text1"/>
            </w:tcBorders>
          </w:tcPr>
          <w:p w14:paraId="4463D596" w14:textId="77777777" w:rsidR="0000060D" w:rsidRPr="00B306C2" w:rsidRDefault="0000060D" w:rsidP="00B306C2">
            <w:pPr>
              <w:spacing w:after="0" w:line="240" w:lineRule="auto"/>
              <w:rPr>
                <w:rFonts w:ascii="Times New Roman" w:hAnsi="Times New Roman" w:cs="Times New Roman"/>
                <w:sz w:val="20"/>
                <w:szCs w:val="20"/>
              </w:rPr>
            </w:pPr>
            <w:r w:rsidRPr="00B306C2">
              <w:rPr>
                <w:rFonts w:ascii="Times New Roman" w:hAnsi="Times New Roman" w:cs="Times New Roman"/>
                <w:b/>
                <w:sz w:val="20"/>
                <w:szCs w:val="20"/>
              </w:rPr>
              <w:t>Total</w:t>
            </w:r>
          </w:p>
        </w:tc>
        <w:tc>
          <w:tcPr>
            <w:tcW w:w="708" w:type="dxa"/>
            <w:tcBorders>
              <w:bottom w:val="single" w:sz="8" w:space="0" w:color="000000" w:themeColor="text1"/>
            </w:tcBorders>
          </w:tcPr>
          <w:p w14:paraId="4505BED9" w14:textId="77777777" w:rsidR="0000060D" w:rsidRPr="00B306C2" w:rsidRDefault="0000060D" w:rsidP="00B306C2">
            <w:pPr>
              <w:spacing w:after="0" w:line="240" w:lineRule="auto"/>
              <w:jc w:val="center"/>
              <w:rPr>
                <w:rFonts w:ascii="Times New Roman" w:hAnsi="Times New Roman" w:cs="Times New Roman"/>
                <w:b/>
                <w:sz w:val="20"/>
                <w:szCs w:val="20"/>
              </w:rPr>
            </w:pPr>
            <w:r w:rsidRPr="00B306C2">
              <w:rPr>
                <w:rFonts w:ascii="Times New Roman" w:hAnsi="Times New Roman" w:cs="Times New Roman"/>
                <w:b/>
                <w:sz w:val="20"/>
                <w:szCs w:val="20"/>
              </w:rPr>
              <w:t>206</w:t>
            </w:r>
          </w:p>
        </w:tc>
        <w:tc>
          <w:tcPr>
            <w:tcW w:w="851" w:type="dxa"/>
            <w:tcBorders>
              <w:bottom w:val="single" w:sz="8" w:space="0" w:color="000000" w:themeColor="text1"/>
            </w:tcBorders>
          </w:tcPr>
          <w:p w14:paraId="08775F21" w14:textId="77777777" w:rsidR="0000060D" w:rsidRPr="00B306C2" w:rsidRDefault="0000060D" w:rsidP="00B306C2">
            <w:pPr>
              <w:spacing w:after="0" w:line="240" w:lineRule="auto"/>
              <w:jc w:val="center"/>
              <w:rPr>
                <w:rFonts w:ascii="Times New Roman" w:hAnsi="Times New Roman" w:cs="Times New Roman"/>
                <w:b/>
                <w:sz w:val="20"/>
                <w:szCs w:val="20"/>
              </w:rPr>
            </w:pPr>
            <w:r w:rsidRPr="00B306C2">
              <w:rPr>
                <w:rFonts w:ascii="Times New Roman" w:hAnsi="Times New Roman" w:cs="Times New Roman"/>
                <w:b/>
                <w:sz w:val="20"/>
                <w:szCs w:val="20"/>
              </w:rPr>
              <w:t>100.0</w:t>
            </w:r>
          </w:p>
        </w:tc>
        <w:tc>
          <w:tcPr>
            <w:tcW w:w="3095" w:type="dxa"/>
            <w:gridSpan w:val="3"/>
            <w:tcBorders>
              <w:bottom w:val="single" w:sz="8" w:space="0" w:color="000000" w:themeColor="text1"/>
            </w:tcBorders>
          </w:tcPr>
          <w:p w14:paraId="668935B9" w14:textId="77777777" w:rsidR="0000060D" w:rsidRPr="00B306C2" w:rsidRDefault="0000060D" w:rsidP="00B306C2">
            <w:pPr>
              <w:spacing w:after="0" w:line="240" w:lineRule="auto"/>
              <w:rPr>
                <w:rFonts w:ascii="Times New Roman" w:hAnsi="Times New Roman" w:cs="Times New Roman"/>
                <w:b/>
                <w:sz w:val="20"/>
                <w:szCs w:val="20"/>
              </w:rPr>
            </w:pPr>
          </w:p>
        </w:tc>
      </w:tr>
    </w:tbl>
    <w:p w14:paraId="5CDD63F4" w14:textId="77777777" w:rsidR="0000060D" w:rsidRPr="00B306C2" w:rsidRDefault="0000060D" w:rsidP="00B306C2">
      <w:pPr>
        <w:spacing w:after="0" w:line="240" w:lineRule="auto"/>
        <w:rPr>
          <w:rFonts w:ascii="Times New Roman" w:hAnsi="Times New Roman" w:cs="Times New Roman"/>
          <w:bCs/>
          <w:sz w:val="24"/>
          <w:szCs w:val="24"/>
        </w:rPr>
      </w:pPr>
      <w:r w:rsidRPr="00B306C2">
        <w:rPr>
          <w:rFonts w:ascii="Times New Roman" w:hAnsi="Times New Roman" w:cs="Times New Roman"/>
          <w:bCs/>
          <w:sz w:val="24"/>
          <w:szCs w:val="24"/>
        </w:rPr>
        <w:t>Source: Field Survey, 2025.</w:t>
      </w:r>
      <w:r w:rsidRPr="00B306C2">
        <w:rPr>
          <w:rFonts w:ascii="Times New Roman" w:hAnsi="Times New Roman" w:cs="Times New Roman"/>
          <w:bCs/>
          <w:sz w:val="24"/>
          <w:szCs w:val="24"/>
        </w:rPr>
        <w:tab/>
        <w:t>Note: F (N) – Frequency, % - Percentages</w:t>
      </w:r>
    </w:p>
    <w:p w14:paraId="7117C5EB" w14:textId="77777777" w:rsidR="00B306C2" w:rsidRDefault="00B306C2" w:rsidP="00B306C2">
      <w:pPr>
        <w:spacing w:after="0" w:line="240" w:lineRule="auto"/>
        <w:rPr>
          <w:rFonts w:ascii="Times New Roman" w:hAnsi="Times New Roman" w:cs="Times New Roman"/>
          <w:b/>
          <w:sz w:val="24"/>
          <w:szCs w:val="24"/>
        </w:rPr>
      </w:pPr>
    </w:p>
    <w:p w14:paraId="72765490" w14:textId="77777777" w:rsidR="00B306C2" w:rsidRDefault="00B306C2" w:rsidP="00B306C2">
      <w:pPr>
        <w:spacing w:after="0" w:line="240" w:lineRule="auto"/>
        <w:rPr>
          <w:rFonts w:ascii="Times New Roman" w:hAnsi="Times New Roman" w:cs="Times New Roman"/>
          <w:b/>
          <w:sz w:val="24"/>
          <w:szCs w:val="24"/>
        </w:rPr>
      </w:pPr>
    </w:p>
    <w:p w14:paraId="7F9171E7" w14:textId="77777777" w:rsidR="00B306C2" w:rsidRDefault="00B306C2" w:rsidP="00B306C2">
      <w:pPr>
        <w:spacing w:after="0" w:line="240" w:lineRule="auto"/>
        <w:rPr>
          <w:rFonts w:ascii="Times New Roman" w:hAnsi="Times New Roman" w:cs="Times New Roman"/>
          <w:b/>
          <w:sz w:val="24"/>
          <w:szCs w:val="24"/>
        </w:rPr>
      </w:pPr>
    </w:p>
    <w:p w14:paraId="345071D1" w14:textId="40971871" w:rsidR="0000060D" w:rsidRPr="00BE4AF3" w:rsidRDefault="0000060D" w:rsidP="00B306C2">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lastRenderedPageBreak/>
        <w:t xml:space="preserve">Building Materials of Sampled Incremental Houses </w:t>
      </w:r>
    </w:p>
    <w:p w14:paraId="4AA4119D" w14:textId="09CB965E"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Data on building materials as presented in Table 3 using certain components such as wall, floor, window, door, roof and ceiling were obtained from existing literature. The findings revealed that 96.6 % of the sampled buildings’ walls were sand-crete cement block material, while only 3.4 % were of bricks. With this result, the implication is that cement blocks are the commonest and affordable wall material in the Nigerian building sector compared to bricks. Personal observations on the physical outlook of incremental buildings also reveal quite a number of buildings that were neither plastered nor painted externally (Plate 2), while only few were plastered and painted. This is perhaps because of the socio-economic underpinnings of incremental developers. Hence, little attention is placed on concrete protection and decoration because to them is mere shelter.  </w:t>
      </w:r>
    </w:p>
    <w:p w14:paraId="4703C78F" w14:textId="625459E8"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An investigation on the floor finishing was also carried out to determine how socio-economic attributes affect developers’ choice of floor material. The findings showed that 63.1 % and 23.3 % of buildings were finished with cement screed and ceramic tiles, while only 28 (13.6%) were not plastered. Meanwhile, it is an established fact that unplastered floor surfaces often retain hazardous dust to respiratory wellness, and moisture thereby promoting fungi and microbial growth. The implication is that occupants settle in such dwelling condition out of financial constraints to upgrade unplastered floor.</w:t>
      </w:r>
    </w:p>
    <w:p w14:paraId="0F731EEF" w14:textId="5909F73D"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Materials of other building components examined were window, door, roof and ceiling. However, out of the sampled incremental housing units, 92.2 % of units used louvers blade on the window. Next are the use of nylon/fabric (see Plate 1) and wood constituting 21.4% and 18.0% respectively, while Aluminium window recorded a smaller proportion of 7.8% of sampled buildings. When investigating roofing materials, long span aluminium sheet was the dominant roof material in 76.7 % of sampled houses. This roof material has been identified as a durable roofing material that requires minimal maintenance making a preferred choice for people with limited income that could not afford regular repairs. In addition, houses with corrugated zinc and asbestos sheets were 13.1 % and 10.2 %, respectively. </w:t>
      </w:r>
    </w:p>
    <w:p w14:paraId="4E7662CE" w14:textId="7348BDD5"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An enquiry into ceiling materials of incremental houses reveals that 44.2 % of the houses had asbestos ceiling boards. This affirmed that incremental developers prioritise material of lower upfront cost and therefore, remained widely used material among incremental housing developers. This could be possible because asbestos boards are often reused as second-hand roofing material; making it affordable for developers of low economic class. Conversely, 31.6 % affirmed that other roofing options such as the use of carton paper and planks were used by developers to cover opening at the ceiling, while 24.3 % of incremental housing developers used PVC material. </w:t>
      </w:r>
    </w:p>
    <w:p w14:paraId="1A3A7F44" w14:textId="1885968D" w:rsidR="0000060D" w:rsidRPr="00C22C3A" w:rsidRDefault="00C22C3A" w:rsidP="00C22C3A">
      <w:pPr>
        <w:pStyle w:val="break-words"/>
        <w:spacing w:before="0" w:beforeAutospacing="0" w:after="0" w:afterAutospacing="0"/>
        <w:jc w:val="both"/>
        <w:sectPr w:rsidR="0000060D" w:rsidRPr="00C22C3A" w:rsidSect="0000060D">
          <w:headerReference w:type="default" r:id="rId188"/>
          <w:footerReference w:type="default" r:id="rId189"/>
          <w:headerReference w:type="first" r:id="rId190"/>
          <w:pgSz w:w="11907" w:h="16839" w:code="9"/>
          <w:pgMar w:top="1440" w:right="1440" w:bottom="1440" w:left="1440" w:header="709" w:footer="709" w:gutter="0"/>
          <w:cols w:space="708"/>
          <w:titlePg/>
          <w:docGrid w:linePitch="360"/>
        </w:sectPr>
      </w:pPr>
      <w:r w:rsidRPr="00BE4AF3">
        <w:rPr>
          <w:noProof/>
        </w:rPr>
        <w:drawing>
          <wp:anchor distT="0" distB="0" distL="114300" distR="114300" simplePos="0" relativeHeight="251727872" behindDoc="0" locked="0" layoutInCell="1" allowOverlap="1" wp14:anchorId="16550F83" wp14:editId="76D7AF36">
            <wp:simplePos x="0" y="0"/>
            <wp:positionH relativeFrom="column">
              <wp:posOffset>1000125</wp:posOffset>
            </wp:positionH>
            <wp:positionV relativeFrom="paragraph">
              <wp:posOffset>308610</wp:posOffset>
            </wp:positionV>
            <wp:extent cx="3781425" cy="1600200"/>
            <wp:effectExtent l="76200" t="76200" r="142875" b="133350"/>
            <wp:wrapTopAndBottom/>
            <wp:docPr id="807822875" name="Picture 807822875" descr="C:\Users\OLADELE\AppData\Local\Microsoft\Windows\INetCache\Content.Word\IMG_20250817_12560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ADELE\AppData\Local\Microsoft\Windows\INetCache\Content.Word\IMG_20250817_125608_7.jpg"/>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r="31211" b="57645"/>
                    <a:stretch/>
                  </pic:blipFill>
                  <pic:spPr bwMode="auto">
                    <a:xfrm>
                      <a:off x="0" y="0"/>
                      <a:ext cx="3781425" cy="1600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513122D4" w14:textId="7DCAC2BB" w:rsidR="0000060D" w:rsidRPr="00BE4AF3" w:rsidRDefault="0000060D" w:rsidP="00C22C3A">
      <w:pPr>
        <w:rPr>
          <w:rFonts w:ascii="Times New Roman" w:hAnsi="Times New Roman" w:cs="Times New Roman"/>
          <w:b/>
          <w:sz w:val="24"/>
          <w:szCs w:val="24"/>
        </w:rPr>
      </w:pPr>
    </w:p>
    <w:p w14:paraId="6511F1A9" w14:textId="77777777" w:rsidR="0000060D" w:rsidRPr="00B306C2" w:rsidRDefault="0000060D" w:rsidP="00C22C3A">
      <w:pPr>
        <w:spacing w:after="0" w:line="240" w:lineRule="auto"/>
        <w:jc w:val="center"/>
        <w:rPr>
          <w:rFonts w:ascii="Times New Roman" w:hAnsi="Times New Roman" w:cs="Times New Roman"/>
          <w:bCs/>
          <w:sz w:val="24"/>
          <w:szCs w:val="24"/>
        </w:rPr>
      </w:pPr>
      <w:r w:rsidRPr="00BE4AF3">
        <w:rPr>
          <w:rFonts w:ascii="Times New Roman" w:hAnsi="Times New Roman" w:cs="Times New Roman"/>
          <w:b/>
          <w:sz w:val="24"/>
          <w:szCs w:val="24"/>
        </w:rPr>
        <w:t xml:space="preserve">Plate 1: </w:t>
      </w:r>
      <w:r w:rsidRPr="00B306C2">
        <w:rPr>
          <w:rFonts w:ascii="Times New Roman" w:hAnsi="Times New Roman" w:cs="Times New Roman"/>
          <w:bCs/>
          <w:sz w:val="24"/>
          <w:szCs w:val="24"/>
        </w:rPr>
        <w:t>Unplastered wall surfaces of peri-urban house at Kuye</w:t>
      </w:r>
    </w:p>
    <w:p w14:paraId="7C70C7A4" w14:textId="77777777" w:rsidR="0000060D" w:rsidRPr="00B306C2" w:rsidRDefault="0000060D" w:rsidP="00C22C3A">
      <w:pPr>
        <w:spacing w:after="0" w:line="240" w:lineRule="auto"/>
        <w:jc w:val="center"/>
        <w:rPr>
          <w:rFonts w:ascii="Times New Roman" w:hAnsi="Times New Roman" w:cs="Times New Roman"/>
          <w:bCs/>
          <w:sz w:val="24"/>
          <w:szCs w:val="24"/>
        </w:rPr>
        <w:sectPr w:rsidR="0000060D" w:rsidRPr="00B306C2" w:rsidSect="0000060D">
          <w:type w:val="continuous"/>
          <w:pgSz w:w="11907" w:h="16839" w:code="9"/>
          <w:pgMar w:top="1440" w:right="1440" w:bottom="1440" w:left="1440" w:header="709" w:footer="709" w:gutter="0"/>
          <w:cols w:space="708"/>
          <w:titlePg/>
          <w:docGrid w:linePitch="360"/>
        </w:sectPr>
      </w:pPr>
      <w:r w:rsidRPr="00B306C2">
        <w:rPr>
          <w:rFonts w:ascii="Times New Roman" w:hAnsi="Times New Roman" w:cs="Times New Roman"/>
          <w:bCs/>
          <w:sz w:val="24"/>
          <w:szCs w:val="24"/>
        </w:rPr>
        <w:t>Source: Field Survey, 2025.</w:t>
      </w:r>
      <w:r w:rsidRPr="00B306C2">
        <w:rPr>
          <w:rFonts w:ascii="Times New Roman" w:hAnsi="Times New Roman" w:cs="Times New Roman"/>
          <w:bCs/>
          <w:sz w:val="24"/>
          <w:szCs w:val="24"/>
        </w:rPr>
        <w:tab/>
      </w:r>
    </w:p>
    <w:p w14:paraId="0DA7EA53" w14:textId="77777777" w:rsidR="0000060D" w:rsidRPr="00BE4AF3" w:rsidRDefault="0000060D" w:rsidP="0000060D">
      <w:pPr>
        <w:ind w:left="1440" w:firstLine="720"/>
        <w:rPr>
          <w:rFonts w:ascii="Times New Roman" w:hAnsi="Times New Roman" w:cs="Times New Roman"/>
          <w:b/>
          <w:sz w:val="24"/>
          <w:szCs w:val="24"/>
        </w:rPr>
      </w:pPr>
    </w:p>
    <w:p w14:paraId="73B2B2EF" w14:textId="18C0B88B" w:rsidR="0000060D" w:rsidRPr="00BE4AF3" w:rsidRDefault="00406BA9" w:rsidP="00C22C3A">
      <w:pPr>
        <w:ind w:left="1440" w:firstLine="720"/>
        <w:rPr>
          <w:rFonts w:ascii="Times New Roman" w:hAnsi="Times New Roman" w:cs="Times New Roman"/>
          <w:b/>
          <w:sz w:val="24"/>
          <w:szCs w:val="24"/>
        </w:rPr>
      </w:pPr>
      <w:r w:rsidRPr="00BE4AF3">
        <w:rPr>
          <w:rFonts w:ascii="Times New Roman" w:hAnsi="Times New Roman" w:cs="Times New Roman"/>
          <w:noProof/>
          <w:sz w:val="24"/>
          <w:szCs w:val="24"/>
        </w:rPr>
        <w:drawing>
          <wp:anchor distT="0" distB="0" distL="114300" distR="114300" simplePos="0" relativeHeight="251726848" behindDoc="0" locked="0" layoutInCell="1" allowOverlap="1" wp14:anchorId="4B5E8248" wp14:editId="3951493B">
            <wp:simplePos x="0" y="0"/>
            <wp:positionH relativeFrom="column">
              <wp:posOffset>828675</wp:posOffset>
            </wp:positionH>
            <wp:positionV relativeFrom="paragraph">
              <wp:posOffset>323850</wp:posOffset>
            </wp:positionV>
            <wp:extent cx="4352290" cy="3337560"/>
            <wp:effectExtent l="76200" t="76200" r="124460" b="129540"/>
            <wp:wrapTopAndBottom/>
            <wp:docPr id="807822876" name="Picture 807822876" descr="C:\Users\OLADELE\AppData\Local\Microsoft\Windows\INetCache\Content.Word\IMG_20250817_125600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ADELE\AppData\Local\Microsoft\Windows\INetCache\Content.Word\IMG_20250817_125600_7.jp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b="48113"/>
                    <a:stretch/>
                  </pic:blipFill>
                  <pic:spPr bwMode="auto">
                    <a:xfrm>
                      <a:off x="0" y="0"/>
                      <a:ext cx="4352290" cy="3337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29877EA0" w14:textId="63523B8B" w:rsidR="0000060D" w:rsidRPr="00B306C2" w:rsidRDefault="0000060D" w:rsidP="00C22C3A">
      <w:pPr>
        <w:spacing w:after="0" w:line="240" w:lineRule="auto"/>
        <w:jc w:val="center"/>
        <w:rPr>
          <w:rFonts w:ascii="Times New Roman" w:hAnsi="Times New Roman" w:cs="Times New Roman"/>
          <w:bCs/>
          <w:sz w:val="24"/>
          <w:szCs w:val="24"/>
        </w:rPr>
      </w:pPr>
      <w:r w:rsidRPr="00B306C2">
        <w:rPr>
          <w:rFonts w:ascii="Times New Roman" w:hAnsi="Times New Roman" w:cs="Times New Roman"/>
          <w:b/>
          <w:sz w:val="24"/>
          <w:szCs w:val="24"/>
        </w:rPr>
        <w:t>Plate 2:</w:t>
      </w:r>
      <w:r w:rsidRPr="00B306C2">
        <w:rPr>
          <w:rFonts w:ascii="Times New Roman" w:hAnsi="Times New Roman" w:cs="Times New Roman"/>
          <w:bCs/>
          <w:sz w:val="24"/>
          <w:szCs w:val="24"/>
        </w:rPr>
        <w:t xml:space="preserve"> Incremental House with wooden Ceiling at Kuye</w:t>
      </w:r>
    </w:p>
    <w:p w14:paraId="4E118715" w14:textId="77777777" w:rsidR="0000060D" w:rsidRPr="00B306C2" w:rsidRDefault="0000060D" w:rsidP="00C22C3A">
      <w:pPr>
        <w:spacing w:after="0" w:line="240" w:lineRule="auto"/>
        <w:jc w:val="center"/>
        <w:rPr>
          <w:rFonts w:ascii="Times New Roman" w:hAnsi="Times New Roman" w:cs="Times New Roman"/>
          <w:bCs/>
          <w:sz w:val="24"/>
          <w:szCs w:val="24"/>
        </w:rPr>
        <w:sectPr w:rsidR="0000060D" w:rsidRPr="00B306C2" w:rsidSect="0000060D">
          <w:type w:val="continuous"/>
          <w:pgSz w:w="11907" w:h="16839" w:code="9"/>
          <w:pgMar w:top="1440" w:right="1440" w:bottom="1440" w:left="1440" w:header="709" w:footer="709" w:gutter="0"/>
          <w:cols w:space="708"/>
          <w:titlePg/>
          <w:docGrid w:linePitch="360"/>
        </w:sectPr>
      </w:pPr>
      <w:r w:rsidRPr="00B306C2">
        <w:rPr>
          <w:rFonts w:ascii="Times New Roman" w:hAnsi="Times New Roman" w:cs="Times New Roman"/>
          <w:bCs/>
          <w:sz w:val="24"/>
          <w:szCs w:val="24"/>
        </w:rPr>
        <w:t>Source: Field Survey, 2025.</w:t>
      </w:r>
      <w:r w:rsidRPr="00B306C2">
        <w:rPr>
          <w:rFonts w:ascii="Times New Roman" w:hAnsi="Times New Roman" w:cs="Times New Roman"/>
          <w:bCs/>
          <w:sz w:val="24"/>
          <w:szCs w:val="24"/>
        </w:rPr>
        <w:tab/>
      </w:r>
    </w:p>
    <w:p w14:paraId="11780AFF" w14:textId="77777777" w:rsidR="0000060D" w:rsidRPr="00BE4AF3" w:rsidRDefault="0000060D" w:rsidP="0000060D">
      <w:pPr>
        <w:ind w:left="1440" w:firstLine="720"/>
        <w:jc w:val="center"/>
        <w:rPr>
          <w:rFonts w:ascii="Times New Roman" w:hAnsi="Times New Roman" w:cs="Times New Roman"/>
          <w:b/>
          <w:sz w:val="24"/>
          <w:szCs w:val="24"/>
        </w:rPr>
      </w:pPr>
    </w:p>
    <w:p w14:paraId="58444253" w14:textId="3AD9F141" w:rsidR="0000060D" w:rsidRPr="00BE4AF3" w:rsidRDefault="00C22C3A" w:rsidP="00C22C3A">
      <w:pPr>
        <w:ind w:left="1440" w:firstLine="720"/>
        <w:jc w:val="center"/>
        <w:rPr>
          <w:rFonts w:ascii="Times New Roman" w:hAnsi="Times New Roman" w:cs="Times New Roman"/>
          <w:b/>
          <w:sz w:val="24"/>
          <w:szCs w:val="24"/>
        </w:rPr>
      </w:pPr>
      <w:r w:rsidRPr="00BE4AF3">
        <w:rPr>
          <w:rFonts w:ascii="Times New Roman" w:hAnsi="Times New Roman" w:cs="Times New Roman"/>
          <w:noProof/>
          <w:sz w:val="24"/>
          <w:szCs w:val="24"/>
        </w:rPr>
        <w:drawing>
          <wp:anchor distT="0" distB="0" distL="114300" distR="114300" simplePos="0" relativeHeight="251728896" behindDoc="0" locked="0" layoutInCell="1" allowOverlap="1" wp14:anchorId="68BB93B1" wp14:editId="7EF948B5">
            <wp:simplePos x="0" y="0"/>
            <wp:positionH relativeFrom="column">
              <wp:posOffset>904875</wp:posOffset>
            </wp:positionH>
            <wp:positionV relativeFrom="paragraph">
              <wp:posOffset>409575</wp:posOffset>
            </wp:positionV>
            <wp:extent cx="4123690" cy="2762250"/>
            <wp:effectExtent l="76200" t="76200" r="124460" b="133350"/>
            <wp:wrapTopAndBottom/>
            <wp:docPr id="807822877" name="Picture 807822877" descr="C:\Users\OLADELE\AppData\Local\Microsoft\Windows\INetCache\Content.Word\IMG_20250817_13001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ADELE\AppData\Local\Microsoft\Windows\INetCache\Content.Word\IMG_20250817_130016_1.jp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7146" t="13709" b="31623"/>
                    <a:stretch/>
                  </pic:blipFill>
                  <pic:spPr bwMode="auto">
                    <a:xfrm>
                      <a:off x="0" y="0"/>
                      <a:ext cx="4123690" cy="2762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00060D" w:rsidRPr="00BE4AF3">
        <w:rPr>
          <w:rFonts w:ascii="Times New Roman" w:hAnsi="Times New Roman" w:cs="Times New Roman"/>
          <w:b/>
          <w:sz w:val="24"/>
          <w:szCs w:val="24"/>
        </w:rPr>
        <w:t xml:space="preserve">   </w:t>
      </w:r>
    </w:p>
    <w:p w14:paraId="4DB1615D" w14:textId="77777777" w:rsidR="0000060D" w:rsidRPr="00B306C2" w:rsidRDefault="0000060D" w:rsidP="00C22C3A">
      <w:pPr>
        <w:spacing w:after="0" w:line="240" w:lineRule="auto"/>
        <w:jc w:val="center"/>
        <w:rPr>
          <w:rFonts w:ascii="Times New Roman" w:hAnsi="Times New Roman" w:cs="Times New Roman"/>
          <w:bCs/>
          <w:sz w:val="24"/>
          <w:szCs w:val="24"/>
        </w:rPr>
      </w:pPr>
      <w:r w:rsidRPr="00BE4AF3">
        <w:rPr>
          <w:rFonts w:ascii="Times New Roman" w:hAnsi="Times New Roman" w:cs="Times New Roman"/>
          <w:b/>
          <w:sz w:val="24"/>
          <w:szCs w:val="24"/>
        </w:rPr>
        <w:t xml:space="preserve">Plate 3: </w:t>
      </w:r>
      <w:r w:rsidRPr="00B306C2">
        <w:rPr>
          <w:rFonts w:ascii="Times New Roman" w:hAnsi="Times New Roman" w:cs="Times New Roman"/>
          <w:bCs/>
          <w:sz w:val="24"/>
          <w:szCs w:val="24"/>
        </w:rPr>
        <w:t>Incremental House with corrugated roofing sheet at Aduin</w:t>
      </w:r>
    </w:p>
    <w:p w14:paraId="28F10640" w14:textId="77777777" w:rsidR="0000060D" w:rsidRPr="00BE4AF3" w:rsidRDefault="0000060D" w:rsidP="00C22C3A">
      <w:pPr>
        <w:spacing w:after="0" w:line="240" w:lineRule="auto"/>
        <w:jc w:val="center"/>
        <w:rPr>
          <w:rFonts w:ascii="Times New Roman" w:hAnsi="Times New Roman" w:cs="Times New Roman"/>
          <w:b/>
          <w:sz w:val="24"/>
          <w:szCs w:val="24"/>
        </w:rPr>
        <w:sectPr w:rsidR="0000060D" w:rsidRPr="00BE4AF3" w:rsidSect="0000060D">
          <w:type w:val="continuous"/>
          <w:pgSz w:w="11907" w:h="16839" w:code="9"/>
          <w:pgMar w:top="1440" w:right="1440" w:bottom="1440" w:left="1440" w:header="709" w:footer="709" w:gutter="0"/>
          <w:cols w:space="708"/>
          <w:titlePg/>
          <w:docGrid w:linePitch="360"/>
        </w:sectPr>
      </w:pPr>
      <w:r w:rsidRPr="00B306C2">
        <w:rPr>
          <w:rFonts w:ascii="Times New Roman" w:hAnsi="Times New Roman" w:cs="Times New Roman"/>
          <w:bCs/>
          <w:sz w:val="24"/>
          <w:szCs w:val="24"/>
        </w:rPr>
        <w:t>Source: Field Survey, 2025.</w:t>
      </w:r>
      <w:r w:rsidRPr="00B306C2">
        <w:rPr>
          <w:rFonts w:ascii="Times New Roman" w:hAnsi="Times New Roman" w:cs="Times New Roman"/>
          <w:bCs/>
          <w:sz w:val="24"/>
          <w:szCs w:val="24"/>
        </w:rPr>
        <w:tab/>
      </w:r>
    </w:p>
    <w:p w14:paraId="41899A72" w14:textId="77777777" w:rsidR="0000060D" w:rsidRPr="00BE4AF3" w:rsidRDefault="0000060D" w:rsidP="0000060D">
      <w:pPr>
        <w:spacing w:line="360" w:lineRule="auto"/>
        <w:ind w:left="2160" w:firstLine="720"/>
        <w:jc w:val="center"/>
        <w:rPr>
          <w:rFonts w:ascii="Times New Roman" w:hAnsi="Times New Roman" w:cs="Times New Roman"/>
          <w:b/>
          <w:sz w:val="24"/>
          <w:szCs w:val="24"/>
        </w:rPr>
      </w:pPr>
    </w:p>
    <w:p w14:paraId="56F6CF0B" w14:textId="77777777" w:rsidR="0000060D" w:rsidRPr="00B306C2" w:rsidRDefault="0000060D" w:rsidP="00B306C2">
      <w:pPr>
        <w:spacing w:after="0" w:line="240" w:lineRule="auto"/>
        <w:rPr>
          <w:rFonts w:ascii="Times New Roman" w:hAnsi="Times New Roman" w:cs="Times New Roman"/>
          <w:bCs/>
          <w:sz w:val="24"/>
          <w:szCs w:val="24"/>
        </w:rPr>
      </w:pPr>
      <w:r w:rsidRPr="00BE4AF3">
        <w:rPr>
          <w:rFonts w:ascii="Times New Roman" w:hAnsi="Times New Roman" w:cs="Times New Roman"/>
          <w:b/>
          <w:sz w:val="24"/>
          <w:szCs w:val="24"/>
        </w:rPr>
        <w:lastRenderedPageBreak/>
        <w:t xml:space="preserve">Table 3: </w:t>
      </w:r>
      <w:r w:rsidRPr="00B306C2">
        <w:rPr>
          <w:rFonts w:ascii="Times New Roman" w:hAnsi="Times New Roman" w:cs="Times New Roman"/>
          <w:bCs/>
          <w:sz w:val="24"/>
          <w:szCs w:val="24"/>
        </w:rPr>
        <w:t>Building Materials of Incremental Houses in the Study Area</w:t>
      </w:r>
    </w:p>
    <w:tbl>
      <w:tblPr>
        <w:tblW w:w="9497" w:type="dxa"/>
        <w:jc w:val="center"/>
        <w:tblBorders>
          <w:top w:val="single" w:sz="8" w:space="0" w:color="000000" w:themeColor="text1"/>
        </w:tblBorders>
        <w:tblLook w:val="0000" w:firstRow="0" w:lastRow="0" w:firstColumn="0" w:lastColumn="0" w:noHBand="0" w:noVBand="0"/>
      </w:tblPr>
      <w:tblGrid>
        <w:gridCol w:w="1132"/>
        <w:gridCol w:w="1274"/>
        <w:gridCol w:w="990"/>
        <w:gridCol w:w="1275"/>
        <w:gridCol w:w="999"/>
        <w:gridCol w:w="849"/>
        <w:gridCol w:w="1283"/>
        <w:gridCol w:w="994"/>
        <w:gridCol w:w="701"/>
      </w:tblGrid>
      <w:tr w:rsidR="0000060D" w:rsidRPr="00B306C2" w14:paraId="09A0E27B" w14:textId="77777777" w:rsidTr="00B306C2">
        <w:trPr>
          <w:trHeight w:val="100"/>
          <w:jc w:val="center"/>
        </w:trPr>
        <w:tc>
          <w:tcPr>
            <w:tcW w:w="9497" w:type="dxa"/>
            <w:gridSpan w:val="9"/>
          </w:tcPr>
          <w:p w14:paraId="5571CBB6" w14:textId="77777777" w:rsidR="0000060D" w:rsidRPr="00B306C2" w:rsidRDefault="0000060D" w:rsidP="00B306C2">
            <w:pPr>
              <w:spacing w:after="0" w:line="240" w:lineRule="auto"/>
              <w:rPr>
                <w:rFonts w:ascii="Times New Roman" w:hAnsi="Times New Roman" w:cs="Times New Roman"/>
                <w:bCs/>
                <w:sz w:val="20"/>
                <w:szCs w:val="20"/>
              </w:rPr>
            </w:pPr>
          </w:p>
        </w:tc>
      </w:tr>
      <w:tr w:rsidR="0000060D" w:rsidRPr="00B306C2" w14:paraId="286D0D82" w14:textId="77777777" w:rsidTr="00B306C2">
        <w:tblPrEx>
          <w:tblBorders>
            <w:top w:val="none" w:sz="0" w:space="0" w:color="auto"/>
          </w:tblBorders>
          <w:tblLook w:val="04A0" w:firstRow="1" w:lastRow="0" w:firstColumn="1" w:lastColumn="0" w:noHBand="0" w:noVBand="1"/>
        </w:tblPrEx>
        <w:trPr>
          <w:trHeight w:val="660"/>
          <w:jc w:val="center"/>
        </w:trPr>
        <w:tc>
          <w:tcPr>
            <w:tcW w:w="1132" w:type="dxa"/>
            <w:tcBorders>
              <w:bottom w:val="single" w:sz="8" w:space="0" w:color="000000" w:themeColor="text1"/>
            </w:tcBorders>
          </w:tcPr>
          <w:p w14:paraId="7C1D4898"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Wall Materials</w:t>
            </w:r>
          </w:p>
        </w:tc>
        <w:tc>
          <w:tcPr>
            <w:tcW w:w="1274" w:type="dxa"/>
            <w:tcBorders>
              <w:bottom w:val="single" w:sz="8" w:space="0" w:color="000000" w:themeColor="text1"/>
            </w:tcBorders>
          </w:tcPr>
          <w:p w14:paraId="0A76ED1A"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No of Buildings</w:t>
            </w:r>
          </w:p>
        </w:tc>
        <w:tc>
          <w:tcPr>
            <w:tcW w:w="990" w:type="dxa"/>
            <w:tcBorders>
              <w:bottom w:val="single" w:sz="8" w:space="0" w:color="000000" w:themeColor="text1"/>
            </w:tcBorders>
          </w:tcPr>
          <w:p w14:paraId="0F72B7EB"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w:t>
            </w:r>
          </w:p>
        </w:tc>
        <w:tc>
          <w:tcPr>
            <w:tcW w:w="1275" w:type="dxa"/>
            <w:tcBorders>
              <w:bottom w:val="single" w:sz="8" w:space="0" w:color="000000" w:themeColor="text1"/>
            </w:tcBorders>
          </w:tcPr>
          <w:p w14:paraId="3F06720F"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Floor Materials</w:t>
            </w:r>
          </w:p>
        </w:tc>
        <w:tc>
          <w:tcPr>
            <w:tcW w:w="999" w:type="dxa"/>
            <w:tcBorders>
              <w:bottom w:val="single" w:sz="8" w:space="0" w:color="000000" w:themeColor="text1"/>
            </w:tcBorders>
          </w:tcPr>
          <w:p w14:paraId="7552926C"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No of Buildings</w:t>
            </w:r>
          </w:p>
        </w:tc>
        <w:tc>
          <w:tcPr>
            <w:tcW w:w="849" w:type="dxa"/>
            <w:tcBorders>
              <w:bottom w:val="single" w:sz="8" w:space="0" w:color="000000" w:themeColor="text1"/>
            </w:tcBorders>
          </w:tcPr>
          <w:p w14:paraId="7BC8256D"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w:t>
            </w:r>
          </w:p>
        </w:tc>
        <w:tc>
          <w:tcPr>
            <w:tcW w:w="1283" w:type="dxa"/>
            <w:tcBorders>
              <w:bottom w:val="single" w:sz="8" w:space="0" w:color="000000" w:themeColor="text1"/>
            </w:tcBorders>
          </w:tcPr>
          <w:p w14:paraId="4850D1E4"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Window Materials</w:t>
            </w:r>
          </w:p>
        </w:tc>
        <w:tc>
          <w:tcPr>
            <w:tcW w:w="994" w:type="dxa"/>
            <w:tcBorders>
              <w:bottom w:val="single" w:sz="8" w:space="0" w:color="000000" w:themeColor="text1"/>
            </w:tcBorders>
          </w:tcPr>
          <w:p w14:paraId="5F90E514"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No of Buildings</w:t>
            </w:r>
          </w:p>
        </w:tc>
        <w:tc>
          <w:tcPr>
            <w:tcW w:w="700" w:type="dxa"/>
            <w:tcBorders>
              <w:bottom w:val="single" w:sz="8" w:space="0" w:color="000000" w:themeColor="text1"/>
            </w:tcBorders>
          </w:tcPr>
          <w:p w14:paraId="54B11485"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w:t>
            </w:r>
          </w:p>
        </w:tc>
      </w:tr>
      <w:tr w:rsidR="0000060D" w:rsidRPr="00B306C2" w14:paraId="611FB42A" w14:textId="77777777" w:rsidTr="00B306C2">
        <w:tblPrEx>
          <w:tblBorders>
            <w:top w:val="none" w:sz="0" w:space="0" w:color="auto"/>
          </w:tblBorders>
          <w:tblLook w:val="04A0" w:firstRow="1" w:lastRow="0" w:firstColumn="1" w:lastColumn="0" w:noHBand="0" w:noVBand="1"/>
        </w:tblPrEx>
        <w:trPr>
          <w:trHeight w:val="376"/>
          <w:jc w:val="center"/>
        </w:trPr>
        <w:tc>
          <w:tcPr>
            <w:tcW w:w="1132" w:type="dxa"/>
          </w:tcPr>
          <w:p w14:paraId="7AABE9DF"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 xml:space="preserve">Sand-crete cement Block </w:t>
            </w:r>
          </w:p>
        </w:tc>
        <w:tc>
          <w:tcPr>
            <w:tcW w:w="1274" w:type="dxa"/>
          </w:tcPr>
          <w:p w14:paraId="30381250"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199</w:t>
            </w:r>
          </w:p>
        </w:tc>
        <w:tc>
          <w:tcPr>
            <w:tcW w:w="990" w:type="dxa"/>
          </w:tcPr>
          <w:p w14:paraId="72235C1A"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96.6</w:t>
            </w:r>
          </w:p>
        </w:tc>
        <w:tc>
          <w:tcPr>
            <w:tcW w:w="1275" w:type="dxa"/>
          </w:tcPr>
          <w:p w14:paraId="519157DE"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Ceramic tile</w:t>
            </w:r>
          </w:p>
        </w:tc>
        <w:tc>
          <w:tcPr>
            <w:tcW w:w="999" w:type="dxa"/>
          </w:tcPr>
          <w:p w14:paraId="4FE4B464"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48</w:t>
            </w:r>
          </w:p>
        </w:tc>
        <w:tc>
          <w:tcPr>
            <w:tcW w:w="849" w:type="dxa"/>
          </w:tcPr>
          <w:p w14:paraId="13E94AE1"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23.3</w:t>
            </w:r>
          </w:p>
        </w:tc>
        <w:tc>
          <w:tcPr>
            <w:tcW w:w="1283" w:type="dxa"/>
          </w:tcPr>
          <w:p w14:paraId="77EA5873"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Aluminium</w:t>
            </w:r>
          </w:p>
        </w:tc>
        <w:tc>
          <w:tcPr>
            <w:tcW w:w="994" w:type="dxa"/>
          </w:tcPr>
          <w:p w14:paraId="74503540"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16</w:t>
            </w:r>
          </w:p>
        </w:tc>
        <w:tc>
          <w:tcPr>
            <w:tcW w:w="700" w:type="dxa"/>
          </w:tcPr>
          <w:p w14:paraId="4417D3A8"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 xml:space="preserve">7.8 </w:t>
            </w:r>
          </w:p>
        </w:tc>
      </w:tr>
      <w:tr w:rsidR="0000060D" w:rsidRPr="00B306C2" w14:paraId="46ED7CD1" w14:textId="77777777" w:rsidTr="00B306C2">
        <w:tblPrEx>
          <w:tblBorders>
            <w:top w:val="none" w:sz="0" w:space="0" w:color="auto"/>
          </w:tblBorders>
          <w:tblLook w:val="04A0" w:firstRow="1" w:lastRow="0" w:firstColumn="1" w:lastColumn="0" w:noHBand="0" w:noVBand="1"/>
        </w:tblPrEx>
        <w:trPr>
          <w:trHeight w:val="311"/>
          <w:jc w:val="center"/>
        </w:trPr>
        <w:tc>
          <w:tcPr>
            <w:tcW w:w="1132" w:type="dxa"/>
          </w:tcPr>
          <w:p w14:paraId="184F8AD3"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Brick</w:t>
            </w:r>
          </w:p>
        </w:tc>
        <w:tc>
          <w:tcPr>
            <w:tcW w:w="1274" w:type="dxa"/>
          </w:tcPr>
          <w:p w14:paraId="3E8D72C8"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07</w:t>
            </w:r>
          </w:p>
        </w:tc>
        <w:tc>
          <w:tcPr>
            <w:tcW w:w="990" w:type="dxa"/>
          </w:tcPr>
          <w:p w14:paraId="537929FD"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3.4</w:t>
            </w:r>
          </w:p>
        </w:tc>
        <w:tc>
          <w:tcPr>
            <w:tcW w:w="1275" w:type="dxa"/>
          </w:tcPr>
          <w:p w14:paraId="6A4CA5C0"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Cement screed</w:t>
            </w:r>
          </w:p>
        </w:tc>
        <w:tc>
          <w:tcPr>
            <w:tcW w:w="999" w:type="dxa"/>
          </w:tcPr>
          <w:p w14:paraId="197FA499"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130</w:t>
            </w:r>
          </w:p>
        </w:tc>
        <w:tc>
          <w:tcPr>
            <w:tcW w:w="849" w:type="dxa"/>
          </w:tcPr>
          <w:p w14:paraId="50DA3FFF"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63.1</w:t>
            </w:r>
          </w:p>
        </w:tc>
        <w:tc>
          <w:tcPr>
            <w:tcW w:w="1283" w:type="dxa"/>
          </w:tcPr>
          <w:p w14:paraId="5FD5FF3D"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Louvers blade</w:t>
            </w:r>
          </w:p>
        </w:tc>
        <w:tc>
          <w:tcPr>
            <w:tcW w:w="994" w:type="dxa"/>
          </w:tcPr>
          <w:p w14:paraId="2FADACB0"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109</w:t>
            </w:r>
          </w:p>
        </w:tc>
        <w:tc>
          <w:tcPr>
            <w:tcW w:w="700" w:type="dxa"/>
          </w:tcPr>
          <w:p w14:paraId="34C6BA7F"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52.9</w:t>
            </w:r>
          </w:p>
        </w:tc>
      </w:tr>
      <w:tr w:rsidR="0000060D" w:rsidRPr="00B306C2" w14:paraId="7D393119" w14:textId="77777777" w:rsidTr="00B306C2">
        <w:tblPrEx>
          <w:tblBorders>
            <w:top w:val="none" w:sz="0" w:space="0" w:color="auto"/>
          </w:tblBorders>
          <w:tblLook w:val="04A0" w:firstRow="1" w:lastRow="0" w:firstColumn="1" w:lastColumn="0" w:noHBand="0" w:noVBand="1"/>
        </w:tblPrEx>
        <w:trPr>
          <w:jc w:val="center"/>
        </w:trPr>
        <w:tc>
          <w:tcPr>
            <w:tcW w:w="1132" w:type="dxa"/>
          </w:tcPr>
          <w:p w14:paraId="1FDA403C"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Total</w:t>
            </w:r>
          </w:p>
        </w:tc>
        <w:tc>
          <w:tcPr>
            <w:tcW w:w="1274" w:type="dxa"/>
          </w:tcPr>
          <w:p w14:paraId="12DEFD44"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206</w:t>
            </w:r>
          </w:p>
        </w:tc>
        <w:tc>
          <w:tcPr>
            <w:tcW w:w="990" w:type="dxa"/>
          </w:tcPr>
          <w:p w14:paraId="0FA6C76A"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100</w:t>
            </w:r>
          </w:p>
        </w:tc>
        <w:tc>
          <w:tcPr>
            <w:tcW w:w="1275" w:type="dxa"/>
          </w:tcPr>
          <w:p w14:paraId="0C3CD958"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Not Plastered</w:t>
            </w:r>
          </w:p>
        </w:tc>
        <w:tc>
          <w:tcPr>
            <w:tcW w:w="999" w:type="dxa"/>
          </w:tcPr>
          <w:p w14:paraId="156AC26A"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28</w:t>
            </w:r>
          </w:p>
        </w:tc>
        <w:tc>
          <w:tcPr>
            <w:tcW w:w="849" w:type="dxa"/>
          </w:tcPr>
          <w:p w14:paraId="3BB10DE3"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13.6</w:t>
            </w:r>
          </w:p>
        </w:tc>
        <w:tc>
          <w:tcPr>
            <w:tcW w:w="1283" w:type="dxa"/>
          </w:tcPr>
          <w:p w14:paraId="126E8BD8"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Wooden</w:t>
            </w:r>
          </w:p>
        </w:tc>
        <w:tc>
          <w:tcPr>
            <w:tcW w:w="994" w:type="dxa"/>
          </w:tcPr>
          <w:p w14:paraId="35F790CC"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37</w:t>
            </w:r>
          </w:p>
        </w:tc>
        <w:tc>
          <w:tcPr>
            <w:tcW w:w="700" w:type="dxa"/>
          </w:tcPr>
          <w:p w14:paraId="757AA5D7"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18.0</w:t>
            </w:r>
          </w:p>
        </w:tc>
      </w:tr>
      <w:tr w:rsidR="0000060D" w:rsidRPr="00B306C2" w14:paraId="6CAE570E" w14:textId="77777777" w:rsidTr="00B306C2">
        <w:tblPrEx>
          <w:tblBorders>
            <w:top w:val="none" w:sz="0" w:space="0" w:color="auto"/>
          </w:tblBorders>
          <w:tblLook w:val="04A0" w:firstRow="1" w:lastRow="0" w:firstColumn="1" w:lastColumn="0" w:noHBand="0" w:noVBand="1"/>
        </w:tblPrEx>
        <w:trPr>
          <w:trHeight w:val="70"/>
          <w:jc w:val="center"/>
        </w:trPr>
        <w:tc>
          <w:tcPr>
            <w:tcW w:w="1132" w:type="dxa"/>
          </w:tcPr>
          <w:p w14:paraId="161D8000" w14:textId="77777777" w:rsidR="0000060D" w:rsidRPr="00B306C2" w:rsidRDefault="0000060D" w:rsidP="0000060D">
            <w:pPr>
              <w:rPr>
                <w:rFonts w:ascii="Times New Roman" w:hAnsi="Times New Roman" w:cs="Times New Roman"/>
                <w:bCs/>
                <w:sz w:val="20"/>
                <w:szCs w:val="20"/>
              </w:rPr>
            </w:pPr>
          </w:p>
        </w:tc>
        <w:tc>
          <w:tcPr>
            <w:tcW w:w="1274" w:type="dxa"/>
          </w:tcPr>
          <w:p w14:paraId="04C4337B" w14:textId="77777777" w:rsidR="0000060D" w:rsidRPr="00B306C2" w:rsidRDefault="0000060D" w:rsidP="0000060D">
            <w:pPr>
              <w:jc w:val="center"/>
              <w:rPr>
                <w:rFonts w:ascii="Times New Roman" w:hAnsi="Times New Roman" w:cs="Times New Roman"/>
                <w:bCs/>
                <w:sz w:val="20"/>
                <w:szCs w:val="20"/>
              </w:rPr>
            </w:pPr>
          </w:p>
        </w:tc>
        <w:tc>
          <w:tcPr>
            <w:tcW w:w="990" w:type="dxa"/>
          </w:tcPr>
          <w:p w14:paraId="75F7A0FD" w14:textId="77777777" w:rsidR="0000060D" w:rsidRPr="00B306C2" w:rsidRDefault="0000060D" w:rsidP="0000060D">
            <w:pPr>
              <w:jc w:val="center"/>
              <w:rPr>
                <w:rFonts w:ascii="Times New Roman" w:hAnsi="Times New Roman" w:cs="Times New Roman"/>
                <w:bCs/>
                <w:sz w:val="20"/>
                <w:szCs w:val="20"/>
              </w:rPr>
            </w:pPr>
          </w:p>
        </w:tc>
        <w:tc>
          <w:tcPr>
            <w:tcW w:w="1275" w:type="dxa"/>
          </w:tcPr>
          <w:p w14:paraId="37E809AA"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Total</w:t>
            </w:r>
          </w:p>
        </w:tc>
        <w:tc>
          <w:tcPr>
            <w:tcW w:w="999" w:type="dxa"/>
          </w:tcPr>
          <w:p w14:paraId="5BC78D0E"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206</w:t>
            </w:r>
          </w:p>
        </w:tc>
        <w:tc>
          <w:tcPr>
            <w:tcW w:w="849" w:type="dxa"/>
          </w:tcPr>
          <w:p w14:paraId="117B4B2C"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100</w:t>
            </w:r>
          </w:p>
        </w:tc>
        <w:tc>
          <w:tcPr>
            <w:tcW w:w="1283" w:type="dxa"/>
          </w:tcPr>
          <w:p w14:paraId="41FF9ED7"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Nylon/Fabric</w:t>
            </w:r>
          </w:p>
        </w:tc>
        <w:tc>
          <w:tcPr>
            <w:tcW w:w="994" w:type="dxa"/>
          </w:tcPr>
          <w:p w14:paraId="067D7F5E"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 xml:space="preserve">44 </w:t>
            </w:r>
          </w:p>
        </w:tc>
        <w:tc>
          <w:tcPr>
            <w:tcW w:w="700" w:type="dxa"/>
          </w:tcPr>
          <w:p w14:paraId="178BE3C9"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21.4</w:t>
            </w:r>
          </w:p>
        </w:tc>
      </w:tr>
      <w:tr w:rsidR="0000060D" w:rsidRPr="00B306C2" w14:paraId="7E72DAF0" w14:textId="77777777" w:rsidTr="00B306C2">
        <w:tblPrEx>
          <w:tblBorders>
            <w:top w:val="none" w:sz="0" w:space="0" w:color="auto"/>
          </w:tblBorders>
          <w:tblLook w:val="04A0" w:firstRow="1" w:lastRow="0" w:firstColumn="1" w:lastColumn="0" w:noHBand="0" w:noVBand="1"/>
        </w:tblPrEx>
        <w:trPr>
          <w:jc w:val="center"/>
        </w:trPr>
        <w:tc>
          <w:tcPr>
            <w:tcW w:w="1132" w:type="dxa"/>
            <w:tcBorders>
              <w:bottom w:val="single" w:sz="8" w:space="0" w:color="000000" w:themeColor="text1"/>
            </w:tcBorders>
          </w:tcPr>
          <w:p w14:paraId="774EA766" w14:textId="77777777" w:rsidR="0000060D" w:rsidRPr="00B306C2" w:rsidRDefault="0000060D" w:rsidP="0000060D">
            <w:pPr>
              <w:rPr>
                <w:rFonts w:ascii="Times New Roman" w:hAnsi="Times New Roman" w:cs="Times New Roman"/>
                <w:bCs/>
                <w:sz w:val="20"/>
                <w:szCs w:val="20"/>
              </w:rPr>
            </w:pPr>
          </w:p>
        </w:tc>
        <w:tc>
          <w:tcPr>
            <w:tcW w:w="1274" w:type="dxa"/>
            <w:tcBorders>
              <w:bottom w:val="single" w:sz="8" w:space="0" w:color="000000" w:themeColor="text1"/>
            </w:tcBorders>
          </w:tcPr>
          <w:p w14:paraId="1F78E2E0" w14:textId="77777777" w:rsidR="0000060D" w:rsidRPr="00B306C2" w:rsidRDefault="0000060D" w:rsidP="0000060D">
            <w:pPr>
              <w:jc w:val="center"/>
              <w:rPr>
                <w:rFonts w:ascii="Times New Roman" w:hAnsi="Times New Roman" w:cs="Times New Roman"/>
                <w:bCs/>
                <w:sz w:val="20"/>
                <w:szCs w:val="20"/>
              </w:rPr>
            </w:pPr>
          </w:p>
        </w:tc>
        <w:tc>
          <w:tcPr>
            <w:tcW w:w="990" w:type="dxa"/>
            <w:tcBorders>
              <w:bottom w:val="single" w:sz="8" w:space="0" w:color="000000" w:themeColor="text1"/>
            </w:tcBorders>
          </w:tcPr>
          <w:p w14:paraId="7BA477B9" w14:textId="77777777" w:rsidR="0000060D" w:rsidRPr="00B306C2" w:rsidRDefault="0000060D" w:rsidP="0000060D">
            <w:pPr>
              <w:jc w:val="center"/>
              <w:rPr>
                <w:rFonts w:ascii="Times New Roman" w:hAnsi="Times New Roman" w:cs="Times New Roman"/>
                <w:bCs/>
                <w:sz w:val="20"/>
                <w:szCs w:val="20"/>
              </w:rPr>
            </w:pPr>
          </w:p>
        </w:tc>
        <w:tc>
          <w:tcPr>
            <w:tcW w:w="1275" w:type="dxa"/>
            <w:tcBorders>
              <w:bottom w:val="single" w:sz="8" w:space="0" w:color="000000" w:themeColor="text1"/>
            </w:tcBorders>
          </w:tcPr>
          <w:p w14:paraId="6F91F7EE" w14:textId="77777777" w:rsidR="0000060D" w:rsidRPr="00B306C2" w:rsidRDefault="0000060D" w:rsidP="0000060D">
            <w:pPr>
              <w:jc w:val="center"/>
              <w:rPr>
                <w:rFonts w:ascii="Times New Roman" w:hAnsi="Times New Roman" w:cs="Times New Roman"/>
                <w:bCs/>
                <w:sz w:val="20"/>
                <w:szCs w:val="20"/>
              </w:rPr>
            </w:pPr>
          </w:p>
        </w:tc>
        <w:tc>
          <w:tcPr>
            <w:tcW w:w="999" w:type="dxa"/>
            <w:tcBorders>
              <w:bottom w:val="single" w:sz="8" w:space="0" w:color="000000" w:themeColor="text1"/>
            </w:tcBorders>
          </w:tcPr>
          <w:p w14:paraId="4DE14BE3" w14:textId="77777777" w:rsidR="0000060D" w:rsidRPr="00B306C2" w:rsidRDefault="0000060D" w:rsidP="0000060D">
            <w:pPr>
              <w:jc w:val="center"/>
              <w:rPr>
                <w:rFonts w:ascii="Times New Roman" w:hAnsi="Times New Roman" w:cs="Times New Roman"/>
                <w:bCs/>
                <w:sz w:val="20"/>
                <w:szCs w:val="20"/>
              </w:rPr>
            </w:pPr>
          </w:p>
        </w:tc>
        <w:tc>
          <w:tcPr>
            <w:tcW w:w="849" w:type="dxa"/>
            <w:tcBorders>
              <w:bottom w:val="single" w:sz="8" w:space="0" w:color="000000" w:themeColor="text1"/>
            </w:tcBorders>
          </w:tcPr>
          <w:p w14:paraId="572928FE" w14:textId="77777777" w:rsidR="0000060D" w:rsidRPr="00B306C2" w:rsidRDefault="0000060D" w:rsidP="0000060D">
            <w:pPr>
              <w:jc w:val="center"/>
              <w:rPr>
                <w:rFonts w:ascii="Times New Roman" w:hAnsi="Times New Roman" w:cs="Times New Roman"/>
                <w:bCs/>
                <w:sz w:val="20"/>
                <w:szCs w:val="20"/>
              </w:rPr>
            </w:pPr>
          </w:p>
        </w:tc>
        <w:tc>
          <w:tcPr>
            <w:tcW w:w="1283" w:type="dxa"/>
            <w:tcBorders>
              <w:bottom w:val="single" w:sz="8" w:space="0" w:color="000000" w:themeColor="text1"/>
            </w:tcBorders>
          </w:tcPr>
          <w:p w14:paraId="611676D5"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Total</w:t>
            </w:r>
          </w:p>
        </w:tc>
        <w:tc>
          <w:tcPr>
            <w:tcW w:w="994" w:type="dxa"/>
            <w:tcBorders>
              <w:bottom w:val="single" w:sz="8" w:space="0" w:color="000000" w:themeColor="text1"/>
            </w:tcBorders>
          </w:tcPr>
          <w:p w14:paraId="35D9AC0F"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206</w:t>
            </w:r>
          </w:p>
        </w:tc>
        <w:tc>
          <w:tcPr>
            <w:tcW w:w="700" w:type="dxa"/>
            <w:tcBorders>
              <w:bottom w:val="single" w:sz="8" w:space="0" w:color="000000" w:themeColor="text1"/>
            </w:tcBorders>
          </w:tcPr>
          <w:p w14:paraId="7AAA9DC0"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100</w:t>
            </w:r>
          </w:p>
        </w:tc>
      </w:tr>
      <w:tr w:rsidR="0000060D" w:rsidRPr="00B306C2" w14:paraId="29A653F0" w14:textId="77777777" w:rsidTr="00B306C2">
        <w:tblPrEx>
          <w:tblBorders>
            <w:top w:val="none" w:sz="0" w:space="0" w:color="auto"/>
          </w:tblBorders>
          <w:tblLook w:val="04A0" w:firstRow="1" w:lastRow="0" w:firstColumn="1" w:lastColumn="0" w:noHBand="0" w:noVBand="1"/>
        </w:tblPrEx>
        <w:trPr>
          <w:trHeight w:val="690"/>
          <w:jc w:val="center"/>
        </w:trPr>
        <w:tc>
          <w:tcPr>
            <w:tcW w:w="1132" w:type="dxa"/>
            <w:tcBorders>
              <w:top w:val="single" w:sz="8" w:space="0" w:color="000000" w:themeColor="text1"/>
              <w:bottom w:val="single" w:sz="8" w:space="0" w:color="000000" w:themeColor="text1"/>
            </w:tcBorders>
          </w:tcPr>
          <w:p w14:paraId="174623B3"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Door Materials</w:t>
            </w:r>
          </w:p>
        </w:tc>
        <w:tc>
          <w:tcPr>
            <w:tcW w:w="1274" w:type="dxa"/>
            <w:tcBorders>
              <w:top w:val="single" w:sz="8" w:space="0" w:color="000000" w:themeColor="text1"/>
              <w:bottom w:val="single" w:sz="8" w:space="0" w:color="000000" w:themeColor="text1"/>
            </w:tcBorders>
          </w:tcPr>
          <w:p w14:paraId="78D43CE7"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No of Buildings</w:t>
            </w:r>
          </w:p>
        </w:tc>
        <w:tc>
          <w:tcPr>
            <w:tcW w:w="990" w:type="dxa"/>
            <w:tcBorders>
              <w:top w:val="single" w:sz="8" w:space="0" w:color="000000" w:themeColor="text1"/>
              <w:bottom w:val="single" w:sz="8" w:space="0" w:color="000000" w:themeColor="text1"/>
            </w:tcBorders>
          </w:tcPr>
          <w:p w14:paraId="01315093"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w:t>
            </w:r>
          </w:p>
        </w:tc>
        <w:tc>
          <w:tcPr>
            <w:tcW w:w="1275" w:type="dxa"/>
            <w:tcBorders>
              <w:top w:val="single" w:sz="8" w:space="0" w:color="000000" w:themeColor="text1"/>
              <w:bottom w:val="single" w:sz="8" w:space="0" w:color="000000" w:themeColor="text1"/>
            </w:tcBorders>
          </w:tcPr>
          <w:p w14:paraId="5BECC52F"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Roof Materials</w:t>
            </w:r>
          </w:p>
        </w:tc>
        <w:tc>
          <w:tcPr>
            <w:tcW w:w="999" w:type="dxa"/>
            <w:tcBorders>
              <w:top w:val="single" w:sz="8" w:space="0" w:color="000000" w:themeColor="text1"/>
              <w:bottom w:val="single" w:sz="8" w:space="0" w:color="000000" w:themeColor="text1"/>
            </w:tcBorders>
          </w:tcPr>
          <w:p w14:paraId="2555753E"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No of Buildings</w:t>
            </w:r>
          </w:p>
        </w:tc>
        <w:tc>
          <w:tcPr>
            <w:tcW w:w="849" w:type="dxa"/>
            <w:tcBorders>
              <w:top w:val="single" w:sz="8" w:space="0" w:color="000000" w:themeColor="text1"/>
              <w:bottom w:val="single" w:sz="8" w:space="0" w:color="000000" w:themeColor="text1"/>
            </w:tcBorders>
          </w:tcPr>
          <w:p w14:paraId="5A7F904E"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w:t>
            </w:r>
          </w:p>
        </w:tc>
        <w:tc>
          <w:tcPr>
            <w:tcW w:w="1283" w:type="dxa"/>
            <w:tcBorders>
              <w:top w:val="single" w:sz="8" w:space="0" w:color="000000" w:themeColor="text1"/>
              <w:bottom w:val="single" w:sz="8" w:space="0" w:color="000000" w:themeColor="text1"/>
            </w:tcBorders>
          </w:tcPr>
          <w:p w14:paraId="6ACFF6CC"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Ceiling Materials</w:t>
            </w:r>
          </w:p>
        </w:tc>
        <w:tc>
          <w:tcPr>
            <w:tcW w:w="994" w:type="dxa"/>
            <w:tcBorders>
              <w:top w:val="single" w:sz="8" w:space="0" w:color="000000" w:themeColor="text1"/>
              <w:bottom w:val="single" w:sz="8" w:space="0" w:color="000000" w:themeColor="text1"/>
            </w:tcBorders>
          </w:tcPr>
          <w:p w14:paraId="473BD09E"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No of Buildings</w:t>
            </w:r>
          </w:p>
        </w:tc>
        <w:tc>
          <w:tcPr>
            <w:tcW w:w="700" w:type="dxa"/>
            <w:tcBorders>
              <w:top w:val="single" w:sz="8" w:space="0" w:color="000000" w:themeColor="text1"/>
              <w:bottom w:val="single" w:sz="8" w:space="0" w:color="000000" w:themeColor="text1"/>
            </w:tcBorders>
          </w:tcPr>
          <w:p w14:paraId="5CBF1570"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w:t>
            </w:r>
          </w:p>
        </w:tc>
      </w:tr>
      <w:tr w:rsidR="0000060D" w:rsidRPr="00B306C2" w14:paraId="6603468D" w14:textId="77777777" w:rsidTr="00B306C2">
        <w:tblPrEx>
          <w:tblBorders>
            <w:top w:val="none" w:sz="0" w:space="0" w:color="auto"/>
          </w:tblBorders>
          <w:tblLook w:val="04A0" w:firstRow="1" w:lastRow="0" w:firstColumn="1" w:lastColumn="0" w:noHBand="0" w:noVBand="1"/>
        </w:tblPrEx>
        <w:trPr>
          <w:jc w:val="center"/>
        </w:trPr>
        <w:tc>
          <w:tcPr>
            <w:tcW w:w="1132" w:type="dxa"/>
          </w:tcPr>
          <w:p w14:paraId="6CEEE764"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Wood</w:t>
            </w:r>
          </w:p>
        </w:tc>
        <w:tc>
          <w:tcPr>
            <w:tcW w:w="1274" w:type="dxa"/>
          </w:tcPr>
          <w:p w14:paraId="242FD2ED"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173</w:t>
            </w:r>
          </w:p>
        </w:tc>
        <w:tc>
          <w:tcPr>
            <w:tcW w:w="990" w:type="dxa"/>
          </w:tcPr>
          <w:p w14:paraId="59BBA1A4"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83.9</w:t>
            </w:r>
          </w:p>
        </w:tc>
        <w:tc>
          <w:tcPr>
            <w:tcW w:w="1275" w:type="dxa"/>
          </w:tcPr>
          <w:p w14:paraId="0E34FEBA"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 xml:space="preserve">Long span Aluminium </w:t>
            </w:r>
          </w:p>
        </w:tc>
        <w:tc>
          <w:tcPr>
            <w:tcW w:w="999" w:type="dxa"/>
          </w:tcPr>
          <w:p w14:paraId="221CD97F"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158</w:t>
            </w:r>
          </w:p>
        </w:tc>
        <w:tc>
          <w:tcPr>
            <w:tcW w:w="849" w:type="dxa"/>
          </w:tcPr>
          <w:p w14:paraId="47D0B241"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76.7</w:t>
            </w:r>
          </w:p>
        </w:tc>
        <w:tc>
          <w:tcPr>
            <w:tcW w:w="1283" w:type="dxa"/>
          </w:tcPr>
          <w:p w14:paraId="2C534EA4"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PVC</w:t>
            </w:r>
          </w:p>
        </w:tc>
        <w:tc>
          <w:tcPr>
            <w:tcW w:w="994" w:type="dxa"/>
          </w:tcPr>
          <w:p w14:paraId="12FCBA0E"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50</w:t>
            </w:r>
          </w:p>
        </w:tc>
        <w:tc>
          <w:tcPr>
            <w:tcW w:w="700" w:type="dxa"/>
          </w:tcPr>
          <w:p w14:paraId="047A61B6"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24.3</w:t>
            </w:r>
          </w:p>
        </w:tc>
      </w:tr>
      <w:tr w:rsidR="0000060D" w:rsidRPr="00B306C2" w14:paraId="70C00590" w14:textId="77777777" w:rsidTr="00B306C2">
        <w:tblPrEx>
          <w:tblBorders>
            <w:top w:val="none" w:sz="0" w:space="0" w:color="auto"/>
          </w:tblBorders>
          <w:tblLook w:val="04A0" w:firstRow="1" w:lastRow="0" w:firstColumn="1" w:lastColumn="0" w:noHBand="0" w:noVBand="1"/>
        </w:tblPrEx>
        <w:trPr>
          <w:jc w:val="center"/>
        </w:trPr>
        <w:tc>
          <w:tcPr>
            <w:tcW w:w="1132" w:type="dxa"/>
          </w:tcPr>
          <w:p w14:paraId="26B67B59"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Metal</w:t>
            </w:r>
          </w:p>
        </w:tc>
        <w:tc>
          <w:tcPr>
            <w:tcW w:w="1274" w:type="dxa"/>
          </w:tcPr>
          <w:p w14:paraId="41A6BCEE"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26</w:t>
            </w:r>
          </w:p>
        </w:tc>
        <w:tc>
          <w:tcPr>
            <w:tcW w:w="990" w:type="dxa"/>
          </w:tcPr>
          <w:p w14:paraId="34AAC7C2"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12.6</w:t>
            </w:r>
          </w:p>
        </w:tc>
        <w:tc>
          <w:tcPr>
            <w:tcW w:w="1275" w:type="dxa"/>
          </w:tcPr>
          <w:p w14:paraId="16BE3A64"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Corrugated Zinc sheet</w:t>
            </w:r>
          </w:p>
        </w:tc>
        <w:tc>
          <w:tcPr>
            <w:tcW w:w="999" w:type="dxa"/>
          </w:tcPr>
          <w:p w14:paraId="1AD2CACC"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27</w:t>
            </w:r>
          </w:p>
        </w:tc>
        <w:tc>
          <w:tcPr>
            <w:tcW w:w="849" w:type="dxa"/>
          </w:tcPr>
          <w:p w14:paraId="23BABDFE"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13.1</w:t>
            </w:r>
          </w:p>
        </w:tc>
        <w:tc>
          <w:tcPr>
            <w:tcW w:w="1283" w:type="dxa"/>
          </w:tcPr>
          <w:p w14:paraId="4E17707F"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Asbestos</w:t>
            </w:r>
          </w:p>
        </w:tc>
        <w:tc>
          <w:tcPr>
            <w:tcW w:w="994" w:type="dxa"/>
          </w:tcPr>
          <w:p w14:paraId="74438CF4"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91</w:t>
            </w:r>
          </w:p>
        </w:tc>
        <w:tc>
          <w:tcPr>
            <w:tcW w:w="700" w:type="dxa"/>
          </w:tcPr>
          <w:p w14:paraId="5E835E28"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44.2</w:t>
            </w:r>
          </w:p>
        </w:tc>
      </w:tr>
      <w:tr w:rsidR="0000060D" w:rsidRPr="00B306C2" w14:paraId="328C08EF" w14:textId="77777777" w:rsidTr="00B306C2">
        <w:tblPrEx>
          <w:tblBorders>
            <w:top w:val="none" w:sz="0" w:space="0" w:color="auto"/>
          </w:tblBorders>
          <w:tblLook w:val="04A0" w:firstRow="1" w:lastRow="0" w:firstColumn="1" w:lastColumn="0" w:noHBand="0" w:noVBand="1"/>
        </w:tblPrEx>
        <w:trPr>
          <w:jc w:val="center"/>
        </w:trPr>
        <w:tc>
          <w:tcPr>
            <w:tcW w:w="1132" w:type="dxa"/>
          </w:tcPr>
          <w:p w14:paraId="11A247C5"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Others</w:t>
            </w:r>
          </w:p>
        </w:tc>
        <w:tc>
          <w:tcPr>
            <w:tcW w:w="1274" w:type="dxa"/>
          </w:tcPr>
          <w:p w14:paraId="19A81E1F"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07</w:t>
            </w:r>
          </w:p>
        </w:tc>
        <w:tc>
          <w:tcPr>
            <w:tcW w:w="990" w:type="dxa"/>
          </w:tcPr>
          <w:p w14:paraId="61983EA9"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3.4</w:t>
            </w:r>
          </w:p>
        </w:tc>
        <w:tc>
          <w:tcPr>
            <w:tcW w:w="1275" w:type="dxa"/>
          </w:tcPr>
          <w:p w14:paraId="28A8CA77"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Asbestos boards</w:t>
            </w:r>
          </w:p>
        </w:tc>
        <w:tc>
          <w:tcPr>
            <w:tcW w:w="999" w:type="dxa"/>
          </w:tcPr>
          <w:p w14:paraId="6E6BEE60"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21</w:t>
            </w:r>
          </w:p>
        </w:tc>
        <w:tc>
          <w:tcPr>
            <w:tcW w:w="849" w:type="dxa"/>
          </w:tcPr>
          <w:p w14:paraId="3DA4CD17"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10.2</w:t>
            </w:r>
          </w:p>
        </w:tc>
        <w:tc>
          <w:tcPr>
            <w:tcW w:w="1283" w:type="dxa"/>
          </w:tcPr>
          <w:p w14:paraId="765CBAB4"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Others</w:t>
            </w:r>
          </w:p>
        </w:tc>
        <w:tc>
          <w:tcPr>
            <w:tcW w:w="994" w:type="dxa"/>
          </w:tcPr>
          <w:p w14:paraId="5E7372F1"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65</w:t>
            </w:r>
          </w:p>
        </w:tc>
        <w:tc>
          <w:tcPr>
            <w:tcW w:w="700" w:type="dxa"/>
          </w:tcPr>
          <w:p w14:paraId="0E0D6298"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31.6</w:t>
            </w:r>
          </w:p>
        </w:tc>
      </w:tr>
      <w:tr w:rsidR="0000060D" w:rsidRPr="00B306C2" w14:paraId="0CEF27E2" w14:textId="77777777" w:rsidTr="00B306C2">
        <w:tblPrEx>
          <w:tblBorders>
            <w:top w:val="none" w:sz="0" w:space="0" w:color="auto"/>
          </w:tblBorders>
          <w:tblLook w:val="04A0" w:firstRow="1" w:lastRow="0" w:firstColumn="1" w:lastColumn="0" w:noHBand="0" w:noVBand="1"/>
        </w:tblPrEx>
        <w:trPr>
          <w:trHeight w:val="315"/>
          <w:jc w:val="center"/>
        </w:trPr>
        <w:tc>
          <w:tcPr>
            <w:tcW w:w="1132" w:type="dxa"/>
            <w:tcBorders>
              <w:bottom w:val="single" w:sz="8" w:space="0" w:color="000000" w:themeColor="text1"/>
            </w:tcBorders>
          </w:tcPr>
          <w:p w14:paraId="413F76A4"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Total</w:t>
            </w:r>
          </w:p>
        </w:tc>
        <w:tc>
          <w:tcPr>
            <w:tcW w:w="1274" w:type="dxa"/>
            <w:tcBorders>
              <w:bottom w:val="single" w:sz="8" w:space="0" w:color="000000" w:themeColor="text1"/>
            </w:tcBorders>
          </w:tcPr>
          <w:p w14:paraId="3AB745CC"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206</w:t>
            </w:r>
          </w:p>
        </w:tc>
        <w:tc>
          <w:tcPr>
            <w:tcW w:w="990" w:type="dxa"/>
            <w:tcBorders>
              <w:bottom w:val="single" w:sz="8" w:space="0" w:color="000000" w:themeColor="text1"/>
            </w:tcBorders>
          </w:tcPr>
          <w:p w14:paraId="23FD833F"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100</w:t>
            </w:r>
          </w:p>
        </w:tc>
        <w:tc>
          <w:tcPr>
            <w:tcW w:w="1275" w:type="dxa"/>
            <w:tcBorders>
              <w:bottom w:val="single" w:sz="8" w:space="0" w:color="000000" w:themeColor="text1"/>
            </w:tcBorders>
          </w:tcPr>
          <w:p w14:paraId="4FA0BD16"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Total</w:t>
            </w:r>
          </w:p>
        </w:tc>
        <w:tc>
          <w:tcPr>
            <w:tcW w:w="999" w:type="dxa"/>
            <w:tcBorders>
              <w:bottom w:val="single" w:sz="8" w:space="0" w:color="000000" w:themeColor="text1"/>
            </w:tcBorders>
          </w:tcPr>
          <w:p w14:paraId="6482CD7B"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206</w:t>
            </w:r>
          </w:p>
        </w:tc>
        <w:tc>
          <w:tcPr>
            <w:tcW w:w="849" w:type="dxa"/>
            <w:tcBorders>
              <w:bottom w:val="single" w:sz="8" w:space="0" w:color="000000" w:themeColor="text1"/>
            </w:tcBorders>
          </w:tcPr>
          <w:p w14:paraId="0911D562"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100</w:t>
            </w:r>
          </w:p>
        </w:tc>
        <w:tc>
          <w:tcPr>
            <w:tcW w:w="1283" w:type="dxa"/>
            <w:tcBorders>
              <w:bottom w:val="single" w:sz="8" w:space="0" w:color="000000" w:themeColor="text1"/>
            </w:tcBorders>
          </w:tcPr>
          <w:p w14:paraId="0C33C115" w14:textId="77777777" w:rsidR="0000060D" w:rsidRPr="00B306C2" w:rsidRDefault="0000060D" w:rsidP="0000060D">
            <w:pPr>
              <w:rPr>
                <w:rFonts w:ascii="Times New Roman" w:hAnsi="Times New Roman" w:cs="Times New Roman"/>
                <w:bCs/>
                <w:sz w:val="20"/>
                <w:szCs w:val="20"/>
              </w:rPr>
            </w:pPr>
            <w:r w:rsidRPr="00B306C2">
              <w:rPr>
                <w:rFonts w:ascii="Times New Roman" w:hAnsi="Times New Roman" w:cs="Times New Roman"/>
                <w:bCs/>
                <w:sz w:val="20"/>
                <w:szCs w:val="20"/>
              </w:rPr>
              <w:t>Total</w:t>
            </w:r>
          </w:p>
        </w:tc>
        <w:tc>
          <w:tcPr>
            <w:tcW w:w="994" w:type="dxa"/>
            <w:tcBorders>
              <w:bottom w:val="single" w:sz="8" w:space="0" w:color="000000" w:themeColor="text1"/>
            </w:tcBorders>
          </w:tcPr>
          <w:p w14:paraId="38830A1C"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206</w:t>
            </w:r>
          </w:p>
        </w:tc>
        <w:tc>
          <w:tcPr>
            <w:tcW w:w="700" w:type="dxa"/>
            <w:tcBorders>
              <w:bottom w:val="single" w:sz="8" w:space="0" w:color="000000" w:themeColor="text1"/>
            </w:tcBorders>
          </w:tcPr>
          <w:p w14:paraId="1627B8F4" w14:textId="77777777" w:rsidR="0000060D" w:rsidRPr="00B306C2" w:rsidRDefault="0000060D" w:rsidP="0000060D">
            <w:pPr>
              <w:jc w:val="center"/>
              <w:rPr>
                <w:rFonts w:ascii="Times New Roman" w:hAnsi="Times New Roman" w:cs="Times New Roman"/>
                <w:bCs/>
                <w:sz w:val="20"/>
                <w:szCs w:val="20"/>
              </w:rPr>
            </w:pPr>
            <w:r w:rsidRPr="00B306C2">
              <w:rPr>
                <w:rFonts w:ascii="Times New Roman" w:hAnsi="Times New Roman" w:cs="Times New Roman"/>
                <w:bCs/>
                <w:sz w:val="20"/>
                <w:szCs w:val="20"/>
              </w:rPr>
              <w:t>100</w:t>
            </w:r>
          </w:p>
        </w:tc>
      </w:tr>
    </w:tbl>
    <w:p w14:paraId="4DD9C844" w14:textId="77777777" w:rsidR="0000060D" w:rsidRPr="00B306C2" w:rsidRDefault="0000060D" w:rsidP="0000060D">
      <w:pPr>
        <w:spacing w:line="360" w:lineRule="auto"/>
        <w:ind w:firstLine="720"/>
        <w:jc w:val="center"/>
        <w:rPr>
          <w:rFonts w:ascii="Times New Roman" w:hAnsi="Times New Roman" w:cs="Times New Roman"/>
          <w:bCs/>
          <w:sz w:val="24"/>
          <w:szCs w:val="24"/>
        </w:rPr>
      </w:pPr>
      <w:r w:rsidRPr="00B306C2">
        <w:rPr>
          <w:rFonts w:ascii="Times New Roman" w:hAnsi="Times New Roman" w:cs="Times New Roman"/>
          <w:bCs/>
          <w:sz w:val="24"/>
          <w:szCs w:val="24"/>
        </w:rPr>
        <w:t>Source: Field Survey, 2025.</w:t>
      </w:r>
      <w:r w:rsidRPr="00B306C2">
        <w:rPr>
          <w:rFonts w:ascii="Times New Roman" w:hAnsi="Times New Roman" w:cs="Times New Roman"/>
          <w:bCs/>
          <w:sz w:val="24"/>
          <w:szCs w:val="24"/>
        </w:rPr>
        <w:tab/>
      </w:r>
      <w:r w:rsidRPr="00B306C2">
        <w:rPr>
          <w:rFonts w:ascii="Times New Roman" w:hAnsi="Times New Roman" w:cs="Times New Roman"/>
          <w:bCs/>
          <w:sz w:val="24"/>
          <w:szCs w:val="24"/>
        </w:rPr>
        <w:tab/>
        <w:t>Note: % - percentages</w:t>
      </w:r>
    </w:p>
    <w:p w14:paraId="36E4B743" w14:textId="77777777" w:rsidR="0000060D" w:rsidRPr="00BE4AF3" w:rsidRDefault="0000060D" w:rsidP="0000060D">
      <w:pPr>
        <w:spacing w:line="360" w:lineRule="auto"/>
        <w:jc w:val="both"/>
        <w:rPr>
          <w:rFonts w:ascii="Times New Roman" w:hAnsi="Times New Roman" w:cs="Times New Roman"/>
          <w:sz w:val="24"/>
          <w:szCs w:val="24"/>
        </w:rPr>
        <w:sectPr w:rsidR="0000060D" w:rsidRPr="00BE4AF3" w:rsidSect="0000060D">
          <w:type w:val="continuous"/>
          <w:pgSz w:w="11907" w:h="16839" w:code="9"/>
          <w:pgMar w:top="1440" w:right="1440" w:bottom="1440" w:left="1440" w:header="709" w:footer="709" w:gutter="0"/>
          <w:cols w:space="708"/>
          <w:titlePg/>
          <w:docGrid w:linePitch="360"/>
        </w:sectPr>
      </w:pPr>
    </w:p>
    <w:p w14:paraId="107A0D18" w14:textId="77777777" w:rsidR="0000060D" w:rsidRPr="00BE4AF3" w:rsidRDefault="0000060D" w:rsidP="00B306C2">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lastRenderedPageBreak/>
        <w:t xml:space="preserve">Affordability of Incremental Housing Improvement Activities </w:t>
      </w:r>
    </w:p>
    <w:p w14:paraId="3554FF6D"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Affordability level of improvement activities carried out by incremental developers was examined using variable of income level and the %age of household income expended on improvement of incremental buildings. Using ANOVA, affordability level varied with income groups; F (4, 201) = 2.888, p = 0.024. Levene’s test for homogeneity of variance validates this result (p = 0.047). This indicates that among peri-urban incremental developers’ of different income strata, affordability of incremental housing improvement increases with increasing earning capacity. </w:t>
      </w:r>
    </w:p>
    <w:p w14:paraId="18D7CACC" w14:textId="77777777" w:rsidR="0000060D" w:rsidRPr="00B306C2" w:rsidRDefault="0000060D" w:rsidP="00B306C2">
      <w:pPr>
        <w:spacing w:after="0" w:line="240" w:lineRule="auto"/>
        <w:jc w:val="center"/>
        <w:rPr>
          <w:rFonts w:ascii="Times New Roman" w:hAnsi="Times New Roman" w:cs="Times New Roman"/>
          <w:bCs/>
          <w:sz w:val="24"/>
          <w:szCs w:val="24"/>
        </w:rPr>
      </w:pPr>
      <w:r w:rsidRPr="00BE4AF3">
        <w:rPr>
          <w:rFonts w:ascii="Times New Roman" w:hAnsi="Times New Roman" w:cs="Times New Roman"/>
          <w:b/>
          <w:sz w:val="24"/>
          <w:szCs w:val="24"/>
        </w:rPr>
        <w:t xml:space="preserve">Table 4: </w:t>
      </w:r>
      <w:r w:rsidRPr="00B306C2">
        <w:rPr>
          <w:rFonts w:ascii="Times New Roman" w:hAnsi="Times New Roman" w:cs="Times New Roman"/>
          <w:bCs/>
          <w:sz w:val="24"/>
          <w:szCs w:val="24"/>
        </w:rPr>
        <w:t>Test of Homogeneity of Variances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1540"/>
        <w:gridCol w:w="1541"/>
        <w:gridCol w:w="1541"/>
      </w:tblGrid>
      <w:tr w:rsidR="0000060D" w:rsidRPr="00BE4AF3" w14:paraId="7B1B1DF9" w14:textId="77777777" w:rsidTr="0000060D">
        <w:trPr>
          <w:jc w:val="center"/>
        </w:trPr>
        <w:tc>
          <w:tcPr>
            <w:tcW w:w="1951" w:type="dxa"/>
            <w:tcBorders>
              <w:top w:val="single" w:sz="8" w:space="0" w:color="000000" w:themeColor="text1"/>
              <w:bottom w:val="single" w:sz="8" w:space="0" w:color="000000" w:themeColor="text1"/>
            </w:tcBorders>
          </w:tcPr>
          <w:p w14:paraId="298BB18D"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Levene Statistic</w:t>
            </w:r>
          </w:p>
        </w:tc>
        <w:tc>
          <w:tcPr>
            <w:tcW w:w="1540" w:type="dxa"/>
            <w:tcBorders>
              <w:top w:val="single" w:sz="8" w:space="0" w:color="000000" w:themeColor="text1"/>
              <w:bottom w:val="single" w:sz="8" w:space="0" w:color="000000" w:themeColor="text1"/>
            </w:tcBorders>
          </w:tcPr>
          <w:p w14:paraId="6F2745F6"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df1</w:t>
            </w:r>
          </w:p>
        </w:tc>
        <w:tc>
          <w:tcPr>
            <w:tcW w:w="1541" w:type="dxa"/>
            <w:tcBorders>
              <w:top w:val="single" w:sz="8" w:space="0" w:color="000000" w:themeColor="text1"/>
              <w:bottom w:val="single" w:sz="8" w:space="0" w:color="000000" w:themeColor="text1"/>
            </w:tcBorders>
          </w:tcPr>
          <w:p w14:paraId="50B3E31B"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df2</w:t>
            </w:r>
          </w:p>
        </w:tc>
        <w:tc>
          <w:tcPr>
            <w:tcW w:w="1541" w:type="dxa"/>
            <w:tcBorders>
              <w:top w:val="single" w:sz="8" w:space="0" w:color="000000" w:themeColor="text1"/>
              <w:bottom w:val="single" w:sz="8" w:space="0" w:color="000000" w:themeColor="text1"/>
            </w:tcBorders>
          </w:tcPr>
          <w:p w14:paraId="201C5CA6"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Sig</w:t>
            </w:r>
          </w:p>
        </w:tc>
      </w:tr>
      <w:tr w:rsidR="0000060D" w:rsidRPr="00BE4AF3" w14:paraId="476944A9" w14:textId="77777777" w:rsidTr="0000060D">
        <w:trPr>
          <w:jc w:val="center"/>
        </w:trPr>
        <w:tc>
          <w:tcPr>
            <w:tcW w:w="1951" w:type="dxa"/>
            <w:tcBorders>
              <w:top w:val="single" w:sz="8" w:space="0" w:color="000000" w:themeColor="text1"/>
              <w:bottom w:val="single" w:sz="8" w:space="0" w:color="000000" w:themeColor="text1"/>
            </w:tcBorders>
          </w:tcPr>
          <w:p w14:paraId="5A59D935"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2.459</w:t>
            </w:r>
          </w:p>
        </w:tc>
        <w:tc>
          <w:tcPr>
            <w:tcW w:w="1540" w:type="dxa"/>
            <w:tcBorders>
              <w:top w:val="single" w:sz="8" w:space="0" w:color="000000" w:themeColor="text1"/>
              <w:bottom w:val="single" w:sz="8" w:space="0" w:color="000000" w:themeColor="text1"/>
            </w:tcBorders>
          </w:tcPr>
          <w:p w14:paraId="43EEBAEB"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4</w:t>
            </w:r>
          </w:p>
        </w:tc>
        <w:tc>
          <w:tcPr>
            <w:tcW w:w="1541" w:type="dxa"/>
            <w:tcBorders>
              <w:top w:val="single" w:sz="8" w:space="0" w:color="000000" w:themeColor="text1"/>
              <w:bottom w:val="single" w:sz="8" w:space="0" w:color="000000" w:themeColor="text1"/>
            </w:tcBorders>
          </w:tcPr>
          <w:p w14:paraId="38859C18"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201</w:t>
            </w:r>
          </w:p>
        </w:tc>
        <w:tc>
          <w:tcPr>
            <w:tcW w:w="1541" w:type="dxa"/>
            <w:tcBorders>
              <w:top w:val="single" w:sz="8" w:space="0" w:color="000000" w:themeColor="text1"/>
              <w:bottom w:val="single" w:sz="8" w:space="0" w:color="000000" w:themeColor="text1"/>
            </w:tcBorders>
          </w:tcPr>
          <w:p w14:paraId="78C20C92"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0.047</w:t>
            </w:r>
          </w:p>
        </w:tc>
      </w:tr>
    </w:tbl>
    <w:p w14:paraId="2C7BD88B" w14:textId="77777777" w:rsidR="0000060D" w:rsidRPr="00B306C2" w:rsidRDefault="0000060D" w:rsidP="00B306C2">
      <w:pPr>
        <w:spacing w:after="0" w:line="240" w:lineRule="auto"/>
        <w:jc w:val="center"/>
        <w:rPr>
          <w:rFonts w:ascii="Times New Roman" w:hAnsi="Times New Roman" w:cs="Times New Roman"/>
          <w:bCs/>
          <w:sz w:val="24"/>
          <w:szCs w:val="24"/>
        </w:rPr>
      </w:pPr>
      <w:r w:rsidRPr="00B306C2">
        <w:rPr>
          <w:rFonts w:ascii="Times New Roman" w:hAnsi="Times New Roman" w:cs="Times New Roman"/>
          <w:bCs/>
          <w:sz w:val="24"/>
          <w:szCs w:val="24"/>
        </w:rPr>
        <w:t>Source: Field Survey/ Computation, 2025.</w:t>
      </w:r>
    </w:p>
    <w:p w14:paraId="0DAFCD47" w14:textId="77777777" w:rsidR="00B306C2" w:rsidRDefault="00B306C2" w:rsidP="00B306C2">
      <w:pPr>
        <w:spacing w:after="0" w:line="240" w:lineRule="auto"/>
        <w:jc w:val="center"/>
        <w:rPr>
          <w:rFonts w:ascii="Times New Roman" w:hAnsi="Times New Roman" w:cs="Times New Roman"/>
          <w:b/>
          <w:sz w:val="24"/>
          <w:szCs w:val="24"/>
        </w:rPr>
      </w:pPr>
    </w:p>
    <w:p w14:paraId="262F1B79" w14:textId="56301559" w:rsidR="0000060D" w:rsidRPr="00B306C2" w:rsidRDefault="0000060D" w:rsidP="00B306C2">
      <w:pPr>
        <w:spacing w:after="0" w:line="240" w:lineRule="auto"/>
        <w:jc w:val="center"/>
        <w:rPr>
          <w:rFonts w:ascii="Times New Roman" w:hAnsi="Times New Roman" w:cs="Times New Roman"/>
          <w:bCs/>
          <w:sz w:val="24"/>
          <w:szCs w:val="24"/>
        </w:rPr>
      </w:pPr>
      <w:r w:rsidRPr="00BE4AF3">
        <w:rPr>
          <w:rFonts w:ascii="Times New Roman" w:hAnsi="Times New Roman" w:cs="Times New Roman"/>
          <w:b/>
          <w:sz w:val="24"/>
          <w:szCs w:val="24"/>
        </w:rPr>
        <w:t xml:space="preserve">Table 5: </w:t>
      </w:r>
      <w:r w:rsidRPr="00B306C2">
        <w:rPr>
          <w:rFonts w:ascii="Times New Roman" w:hAnsi="Times New Roman" w:cs="Times New Roman"/>
          <w:bCs/>
          <w:sz w:val="24"/>
          <w:szCs w:val="24"/>
        </w:rPr>
        <w:t>Affordability of Incremental Housing Improvement Activities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4"/>
        <w:gridCol w:w="1944"/>
        <w:gridCol w:w="1519"/>
        <w:gridCol w:w="1804"/>
        <w:gridCol w:w="982"/>
        <w:gridCol w:w="907"/>
      </w:tblGrid>
      <w:tr w:rsidR="0000060D" w:rsidRPr="00BE4AF3" w14:paraId="790E3ACF" w14:textId="77777777" w:rsidTr="0000060D">
        <w:trPr>
          <w:trHeight w:val="240"/>
        </w:trPr>
        <w:tc>
          <w:tcPr>
            <w:tcW w:w="1951" w:type="dxa"/>
            <w:tcBorders>
              <w:top w:val="single" w:sz="8" w:space="0" w:color="000000" w:themeColor="text1"/>
              <w:bottom w:val="single" w:sz="8" w:space="0" w:color="000000" w:themeColor="text1"/>
            </w:tcBorders>
          </w:tcPr>
          <w:p w14:paraId="783DB5AA" w14:textId="77777777" w:rsidR="0000060D" w:rsidRPr="00BE4AF3" w:rsidRDefault="0000060D" w:rsidP="00B306C2">
            <w:pPr>
              <w:spacing w:after="0" w:line="240" w:lineRule="auto"/>
              <w:jc w:val="both"/>
              <w:rPr>
                <w:rFonts w:ascii="Times New Roman" w:hAnsi="Times New Roman" w:cs="Times New Roman"/>
                <w:sz w:val="24"/>
                <w:szCs w:val="24"/>
              </w:rPr>
            </w:pPr>
          </w:p>
        </w:tc>
        <w:tc>
          <w:tcPr>
            <w:tcW w:w="1985" w:type="dxa"/>
            <w:tcBorders>
              <w:top w:val="single" w:sz="8" w:space="0" w:color="000000" w:themeColor="text1"/>
              <w:bottom w:val="single" w:sz="8" w:space="0" w:color="000000" w:themeColor="text1"/>
            </w:tcBorders>
          </w:tcPr>
          <w:p w14:paraId="726F2A40"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Sum of Squares</w:t>
            </w:r>
          </w:p>
        </w:tc>
        <w:tc>
          <w:tcPr>
            <w:tcW w:w="1559" w:type="dxa"/>
            <w:tcBorders>
              <w:top w:val="single" w:sz="8" w:space="0" w:color="000000" w:themeColor="text1"/>
              <w:bottom w:val="single" w:sz="8" w:space="0" w:color="000000" w:themeColor="text1"/>
            </w:tcBorders>
          </w:tcPr>
          <w:p w14:paraId="2DB4BDE1"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df</w:t>
            </w:r>
          </w:p>
        </w:tc>
        <w:tc>
          <w:tcPr>
            <w:tcW w:w="1843" w:type="dxa"/>
            <w:tcBorders>
              <w:top w:val="single" w:sz="8" w:space="0" w:color="000000" w:themeColor="text1"/>
              <w:bottom w:val="single" w:sz="8" w:space="0" w:color="000000" w:themeColor="text1"/>
            </w:tcBorders>
          </w:tcPr>
          <w:p w14:paraId="09E5387C"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Mean Square</w:t>
            </w:r>
          </w:p>
        </w:tc>
        <w:tc>
          <w:tcPr>
            <w:tcW w:w="992" w:type="dxa"/>
            <w:tcBorders>
              <w:top w:val="single" w:sz="8" w:space="0" w:color="000000" w:themeColor="text1"/>
              <w:bottom w:val="single" w:sz="8" w:space="0" w:color="000000" w:themeColor="text1"/>
            </w:tcBorders>
          </w:tcPr>
          <w:p w14:paraId="39B4950F"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F</w:t>
            </w:r>
          </w:p>
        </w:tc>
        <w:tc>
          <w:tcPr>
            <w:tcW w:w="913" w:type="dxa"/>
            <w:tcBorders>
              <w:top w:val="single" w:sz="8" w:space="0" w:color="000000" w:themeColor="text1"/>
              <w:bottom w:val="single" w:sz="8" w:space="0" w:color="000000" w:themeColor="text1"/>
            </w:tcBorders>
          </w:tcPr>
          <w:p w14:paraId="5FC73A23"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Sig</w:t>
            </w:r>
          </w:p>
        </w:tc>
      </w:tr>
      <w:tr w:rsidR="0000060D" w:rsidRPr="00BE4AF3" w14:paraId="14EB5447" w14:textId="77777777" w:rsidTr="0000060D">
        <w:tc>
          <w:tcPr>
            <w:tcW w:w="1951" w:type="dxa"/>
          </w:tcPr>
          <w:p w14:paraId="31F31F32"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Between groups</w:t>
            </w:r>
          </w:p>
        </w:tc>
        <w:tc>
          <w:tcPr>
            <w:tcW w:w="1985" w:type="dxa"/>
          </w:tcPr>
          <w:p w14:paraId="57008EB7"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12.268</w:t>
            </w:r>
          </w:p>
        </w:tc>
        <w:tc>
          <w:tcPr>
            <w:tcW w:w="1559" w:type="dxa"/>
          </w:tcPr>
          <w:p w14:paraId="4B6FDC3F"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4</w:t>
            </w:r>
          </w:p>
        </w:tc>
        <w:tc>
          <w:tcPr>
            <w:tcW w:w="1843" w:type="dxa"/>
          </w:tcPr>
          <w:p w14:paraId="1D612798"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3.067</w:t>
            </w:r>
          </w:p>
        </w:tc>
        <w:tc>
          <w:tcPr>
            <w:tcW w:w="992" w:type="dxa"/>
          </w:tcPr>
          <w:p w14:paraId="3338A95E"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2.888</w:t>
            </w:r>
          </w:p>
        </w:tc>
        <w:tc>
          <w:tcPr>
            <w:tcW w:w="913" w:type="dxa"/>
          </w:tcPr>
          <w:p w14:paraId="1FC64900"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0.024</w:t>
            </w:r>
          </w:p>
        </w:tc>
      </w:tr>
      <w:tr w:rsidR="0000060D" w:rsidRPr="00BE4AF3" w14:paraId="36610FE3" w14:textId="77777777" w:rsidTr="0000060D">
        <w:tc>
          <w:tcPr>
            <w:tcW w:w="1951" w:type="dxa"/>
          </w:tcPr>
          <w:p w14:paraId="230CE204"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Within groups</w:t>
            </w:r>
          </w:p>
        </w:tc>
        <w:tc>
          <w:tcPr>
            <w:tcW w:w="1985" w:type="dxa"/>
          </w:tcPr>
          <w:p w14:paraId="40476C19"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213.446</w:t>
            </w:r>
          </w:p>
        </w:tc>
        <w:tc>
          <w:tcPr>
            <w:tcW w:w="1559" w:type="dxa"/>
          </w:tcPr>
          <w:p w14:paraId="0F0AE136"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201</w:t>
            </w:r>
          </w:p>
        </w:tc>
        <w:tc>
          <w:tcPr>
            <w:tcW w:w="1843" w:type="dxa"/>
          </w:tcPr>
          <w:p w14:paraId="2F6E9E33"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1.062</w:t>
            </w:r>
          </w:p>
        </w:tc>
        <w:tc>
          <w:tcPr>
            <w:tcW w:w="992" w:type="dxa"/>
          </w:tcPr>
          <w:p w14:paraId="41B7CC3D" w14:textId="77777777" w:rsidR="0000060D" w:rsidRPr="00BE4AF3" w:rsidRDefault="0000060D" w:rsidP="00B306C2">
            <w:pPr>
              <w:spacing w:after="0" w:line="240" w:lineRule="auto"/>
              <w:jc w:val="both"/>
              <w:rPr>
                <w:rFonts w:ascii="Times New Roman" w:hAnsi="Times New Roman" w:cs="Times New Roman"/>
                <w:sz w:val="24"/>
                <w:szCs w:val="24"/>
              </w:rPr>
            </w:pPr>
          </w:p>
        </w:tc>
        <w:tc>
          <w:tcPr>
            <w:tcW w:w="913" w:type="dxa"/>
          </w:tcPr>
          <w:p w14:paraId="43232577" w14:textId="77777777" w:rsidR="0000060D" w:rsidRPr="00BE4AF3" w:rsidRDefault="0000060D" w:rsidP="00B306C2">
            <w:pPr>
              <w:spacing w:after="0" w:line="240" w:lineRule="auto"/>
              <w:jc w:val="both"/>
              <w:rPr>
                <w:rFonts w:ascii="Times New Roman" w:hAnsi="Times New Roman" w:cs="Times New Roman"/>
                <w:sz w:val="24"/>
                <w:szCs w:val="24"/>
              </w:rPr>
            </w:pPr>
          </w:p>
        </w:tc>
      </w:tr>
      <w:tr w:rsidR="0000060D" w:rsidRPr="00BE4AF3" w14:paraId="5E93757E" w14:textId="77777777" w:rsidTr="0000060D">
        <w:tc>
          <w:tcPr>
            <w:tcW w:w="1951" w:type="dxa"/>
            <w:tcBorders>
              <w:bottom w:val="single" w:sz="8" w:space="0" w:color="000000" w:themeColor="text1"/>
            </w:tcBorders>
          </w:tcPr>
          <w:p w14:paraId="44AB4025" w14:textId="77777777" w:rsidR="0000060D" w:rsidRPr="00BE4AF3" w:rsidRDefault="0000060D" w:rsidP="00B306C2">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Total</w:t>
            </w:r>
          </w:p>
        </w:tc>
        <w:tc>
          <w:tcPr>
            <w:tcW w:w="1985" w:type="dxa"/>
            <w:tcBorders>
              <w:bottom w:val="single" w:sz="8" w:space="0" w:color="000000" w:themeColor="text1"/>
            </w:tcBorders>
          </w:tcPr>
          <w:p w14:paraId="78C8AC9F" w14:textId="77777777" w:rsidR="0000060D" w:rsidRPr="00BE4AF3" w:rsidRDefault="0000060D" w:rsidP="00B306C2">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225.714</w:t>
            </w:r>
          </w:p>
        </w:tc>
        <w:tc>
          <w:tcPr>
            <w:tcW w:w="1559" w:type="dxa"/>
            <w:tcBorders>
              <w:bottom w:val="single" w:sz="8" w:space="0" w:color="000000" w:themeColor="text1"/>
            </w:tcBorders>
          </w:tcPr>
          <w:p w14:paraId="45934027" w14:textId="77777777" w:rsidR="0000060D" w:rsidRPr="00BE4AF3" w:rsidRDefault="0000060D" w:rsidP="00B306C2">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205</w:t>
            </w:r>
          </w:p>
        </w:tc>
        <w:tc>
          <w:tcPr>
            <w:tcW w:w="1843" w:type="dxa"/>
            <w:tcBorders>
              <w:bottom w:val="single" w:sz="8" w:space="0" w:color="000000" w:themeColor="text1"/>
            </w:tcBorders>
          </w:tcPr>
          <w:p w14:paraId="3D1103B1" w14:textId="77777777" w:rsidR="0000060D" w:rsidRPr="00BE4AF3" w:rsidRDefault="0000060D" w:rsidP="00B306C2">
            <w:pPr>
              <w:spacing w:after="0" w:line="240" w:lineRule="auto"/>
              <w:jc w:val="both"/>
              <w:rPr>
                <w:rFonts w:ascii="Times New Roman" w:hAnsi="Times New Roman" w:cs="Times New Roman"/>
                <w:sz w:val="24"/>
                <w:szCs w:val="24"/>
              </w:rPr>
            </w:pPr>
          </w:p>
        </w:tc>
        <w:tc>
          <w:tcPr>
            <w:tcW w:w="992" w:type="dxa"/>
            <w:tcBorders>
              <w:bottom w:val="single" w:sz="8" w:space="0" w:color="000000" w:themeColor="text1"/>
            </w:tcBorders>
          </w:tcPr>
          <w:p w14:paraId="50C769E0" w14:textId="77777777" w:rsidR="0000060D" w:rsidRPr="00BE4AF3" w:rsidRDefault="0000060D" w:rsidP="00B306C2">
            <w:pPr>
              <w:spacing w:after="0" w:line="240" w:lineRule="auto"/>
              <w:jc w:val="both"/>
              <w:rPr>
                <w:rFonts w:ascii="Times New Roman" w:hAnsi="Times New Roman" w:cs="Times New Roman"/>
                <w:sz w:val="24"/>
                <w:szCs w:val="24"/>
              </w:rPr>
            </w:pPr>
          </w:p>
        </w:tc>
        <w:tc>
          <w:tcPr>
            <w:tcW w:w="913" w:type="dxa"/>
            <w:tcBorders>
              <w:bottom w:val="single" w:sz="8" w:space="0" w:color="000000" w:themeColor="text1"/>
            </w:tcBorders>
          </w:tcPr>
          <w:p w14:paraId="0D35A8A5" w14:textId="77777777" w:rsidR="0000060D" w:rsidRPr="00BE4AF3" w:rsidRDefault="0000060D" w:rsidP="00B306C2">
            <w:pPr>
              <w:spacing w:after="0" w:line="240" w:lineRule="auto"/>
              <w:jc w:val="both"/>
              <w:rPr>
                <w:rFonts w:ascii="Times New Roman" w:hAnsi="Times New Roman" w:cs="Times New Roman"/>
                <w:sz w:val="24"/>
                <w:szCs w:val="24"/>
              </w:rPr>
            </w:pPr>
          </w:p>
        </w:tc>
      </w:tr>
    </w:tbl>
    <w:p w14:paraId="5A0F3B6A" w14:textId="77777777" w:rsidR="0000060D" w:rsidRPr="00B306C2" w:rsidRDefault="0000060D" w:rsidP="00B306C2">
      <w:pPr>
        <w:spacing w:after="0" w:line="240" w:lineRule="auto"/>
        <w:jc w:val="center"/>
        <w:rPr>
          <w:rFonts w:ascii="Times New Roman" w:hAnsi="Times New Roman" w:cs="Times New Roman"/>
          <w:bCs/>
          <w:sz w:val="24"/>
          <w:szCs w:val="24"/>
        </w:rPr>
      </w:pPr>
      <w:r w:rsidRPr="00B306C2">
        <w:rPr>
          <w:rFonts w:ascii="Times New Roman" w:hAnsi="Times New Roman" w:cs="Times New Roman"/>
          <w:bCs/>
          <w:sz w:val="24"/>
          <w:szCs w:val="24"/>
        </w:rPr>
        <w:t>Source: Field Survey/ Computation, 2025.</w:t>
      </w:r>
    </w:p>
    <w:p w14:paraId="18716DF4" w14:textId="77777777" w:rsidR="00B306C2" w:rsidRDefault="00B306C2" w:rsidP="00B306C2">
      <w:pPr>
        <w:spacing w:after="0" w:line="240" w:lineRule="auto"/>
        <w:jc w:val="both"/>
        <w:rPr>
          <w:rFonts w:ascii="Times New Roman" w:hAnsi="Times New Roman" w:cs="Times New Roman"/>
          <w:b/>
          <w:sz w:val="24"/>
          <w:szCs w:val="24"/>
        </w:rPr>
      </w:pPr>
    </w:p>
    <w:p w14:paraId="156726C7" w14:textId="2D97179B" w:rsidR="0000060D" w:rsidRPr="00BE4AF3" w:rsidRDefault="0000060D" w:rsidP="00B306C2">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 xml:space="preserve">Conclusions  </w:t>
      </w:r>
    </w:p>
    <w:p w14:paraId="31476EE5" w14:textId="77777777" w:rsidR="0000060D" w:rsidRPr="00BE4AF3" w:rsidRDefault="0000060D" w:rsidP="00B306C2">
      <w:pPr>
        <w:pStyle w:val="ListParagraph"/>
        <w:spacing w:after="0" w:line="240" w:lineRule="auto"/>
        <w:ind w:left="0"/>
        <w:jc w:val="both"/>
        <w:rPr>
          <w:rFonts w:ascii="Times New Roman" w:hAnsi="Times New Roman"/>
          <w:sz w:val="24"/>
          <w:szCs w:val="24"/>
        </w:rPr>
      </w:pPr>
      <w:r w:rsidRPr="00BE4AF3">
        <w:rPr>
          <w:rFonts w:ascii="Times New Roman" w:hAnsi="Times New Roman"/>
          <w:sz w:val="24"/>
          <w:szCs w:val="24"/>
        </w:rPr>
        <w:t>Incremental housing development within peri-urban residential neighbourhood is a vital development strategy for people to access affordable residence and rental housing. This is particularly true of the study area where about 30% of the residents earned average monthly income of ₦70,000. Socio-economic attributes such as education, occupation, and income have been identified as underlying drivers of incremental housing development within peri-urban areas of Ogbomoso. Premised on this, it is concluded that:</w:t>
      </w:r>
    </w:p>
    <w:p w14:paraId="1C760F6D" w14:textId="77777777" w:rsidR="0000060D" w:rsidRPr="00BE4AF3" w:rsidRDefault="0000060D" w:rsidP="00B306C2">
      <w:pPr>
        <w:pStyle w:val="ListParagraph"/>
        <w:numPr>
          <w:ilvl w:val="0"/>
          <w:numId w:val="24"/>
        </w:numPr>
        <w:spacing w:after="0" w:line="240" w:lineRule="auto"/>
        <w:jc w:val="both"/>
        <w:rPr>
          <w:rFonts w:ascii="Times New Roman" w:hAnsi="Times New Roman"/>
          <w:sz w:val="24"/>
          <w:szCs w:val="24"/>
        </w:rPr>
      </w:pPr>
      <w:r w:rsidRPr="00BE4AF3">
        <w:rPr>
          <w:rFonts w:ascii="Times New Roman" w:hAnsi="Times New Roman"/>
          <w:sz w:val="24"/>
          <w:szCs w:val="24"/>
        </w:rPr>
        <w:t>Relative use of low quality building materials among incremental housing developers is a reflection of current economic situation in the country,</w:t>
      </w:r>
    </w:p>
    <w:p w14:paraId="783A7FF7" w14:textId="77777777" w:rsidR="0000060D" w:rsidRPr="00BE4AF3" w:rsidRDefault="0000060D" w:rsidP="00B306C2">
      <w:pPr>
        <w:pStyle w:val="ListParagraph"/>
        <w:numPr>
          <w:ilvl w:val="0"/>
          <w:numId w:val="24"/>
        </w:numPr>
        <w:spacing w:after="0" w:line="240" w:lineRule="auto"/>
        <w:jc w:val="both"/>
        <w:rPr>
          <w:rFonts w:ascii="Times New Roman" w:hAnsi="Times New Roman"/>
          <w:sz w:val="24"/>
          <w:szCs w:val="24"/>
        </w:rPr>
      </w:pPr>
      <w:r w:rsidRPr="00BE4AF3">
        <w:rPr>
          <w:rFonts w:ascii="Times New Roman" w:hAnsi="Times New Roman"/>
          <w:sz w:val="24"/>
          <w:szCs w:val="24"/>
        </w:rPr>
        <w:t xml:space="preserve">Better chance at fostering use of high quality building materials is guaranteed, if Building Materials Reform Team (BMRT) prioritises the use of local building materials and regulated price for cement and other ancillary building materials, </w:t>
      </w:r>
    </w:p>
    <w:p w14:paraId="276A28B6" w14:textId="311FD765" w:rsidR="0000060D" w:rsidRPr="00B306C2" w:rsidRDefault="0000060D" w:rsidP="00B306C2">
      <w:pPr>
        <w:pStyle w:val="ListParagraph"/>
        <w:numPr>
          <w:ilvl w:val="0"/>
          <w:numId w:val="24"/>
        </w:numPr>
        <w:spacing w:after="0" w:line="240" w:lineRule="auto"/>
        <w:jc w:val="both"/>
        <w:rPr>
          <w:rFonts w:ascii="Times New Roman" w:hAnsi="Times New Roman"/>
          <w:sz w:val="24"/>
          <w:szCs w:val="24"/>
        </w:rPr>
      </w:pPr>
      <w:r w:rsidRPr="00BE4AF3">
        <w:rPr>
          <w:rFonts w:ascii="Times New Roman" w:hAnsi="Times New Roman"/>
          <w:sz w:val="24"/>
          <w:szCs w:val="24"/>
        </w:rPr>
        <w:t xml:space="preserve">Agglomerated socio-economic underpinnings among peri-urban dwellers can be improved through access to affordable mortgage loan. This will improve housing condition and promote healthy living within the peri-urban neighbourhoods. </w:t>
      </w:r>
    </w:p>
    <w:p w14:paraId="2EA8869D" w14:textId="77777777" w:rsidR="0000060D" w:rsidRPr="00BE4AF3" w:rsidRDefault="0000060D" w:rsidP="00B306C2">
      <w:pPr>
        <w:spacing w:after="0" w:line="240" w:lineRule="auto"/>
        <w:jc w:val="both"/>
        <w:rPr>
          <w:rFonts w:ascii="Times New Roman" w:hAnsi="Times New Roman" w:cs="Times New Roman"/>
          <w:b/>
          <w:sz w:val="24"/>
          <w:szCs w:val="24"/>
        </w:rPr>
      </w:pPr>
    </w:p>
    <w:p w14:paraId="12410D3B" w14:textId="77777777" w:rsidR="0000060D" w:rsidRPr="00BE4AF3" w:rsidRDefault="0000060D" w:rsidP="00B306C2">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References</w:t>
      </w:r>
    </w:p>
    <w:p w14:paraId="64A53BE4"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Adeyeni, G.O., Olayiwola, L.M. and Oladehinde, G.J. (2016). Challenges to incremental </w:t>
      </w:r>
      <w:r w:rsidRPr="00BE4AF3">
        <w:rPr>
          <w:rFonts w:ascii="Times New Roman" w:hAnsi="Times New Roman" w:cs="Times New Roman"/>
          <w:sz w:val="24"/>
          <w:szCs w:val="24"/>
        </w:rPr>
        <w:tab/>
        <w:t xml:space="preserve">housing development in Ibadan Municipality, Nigeria. </w:t>
      </w:r>
      <w:r w:rsidRPr="00BE4AF3">
        <w:rPr>
          <w:rFonts w:ascii="Times New Roman" w:hAnsi="Times New Roman" w:cs="Times New Roman"/>
          <w:i/>
          <w:sz w:val="24"/>
          <w:szCs w:val="24"/>
        </w:rPr>
        <w:t xml:space="preserve">Asian Journal of Arts and </w:t>
      </w:r>
      <w:r w:rsidRPr="00BE4AF3">
        <w:rPr>
          <w:rFonts w:ascii="Times New Roman" w:hAnsi="Times New Roman" w:cs="Times New Roman"/>
          <w:i/>
          <w:sz w:val="24"/>
          <w:szCs w:val="24"/>
        </w:rPr>
        <w:tab/>
        <w:t>Social Sciences</w:t>
      </w:r>
      <w:r w:rsidRPr="00BE4AF3">
        <w:rPr>
          <w:rFonts w:ascii="Times New Roman" w:hAnsi="Times New Roman" w:cs="Times New Roman"/>
          <w:sz w:val="24"/>
          <w:szCs w:val="24"/>
        </w:rPr>
        <w:t xml:space="preserve">, 1(4): 1-10. DOI: 10.9734/ARJASS/2016/28871.  </w:t>
      </w:r>
    </w:p>
    <w:p w14:paraId="31F78128"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Alabi, M., Babalola, T. and Popoola, A. (2021). Tenure insecurity and incremental housing </w:t>
      </w:r>
      <w:r w:rsidRPr="00BE4AF3">
        <w:rPr>
          <w:rFonts w:ascii="Times New Roman" w:hAnsi="Times New Roman" w:cs="Times New Roman"/>
          <w:sz w:val="24"/>
          <w:szCs w:val="24"/>
        </w:rPr>
        <w:tab/>
        <w:t xml:space="preserve">development in the peri-urban interface of Ibadan, Nigeria. </w:t>
      </w:r>
      <w:r w:rsidRPr="00BE4AF3">
        <w:rPr>
          <w:rFonts w:ascii="Times New Roman" w:hAnsi="Times New Roman" w:cs="Times New Roman"/>
          <w:i/>
          <w:sz w:val="24"/>
          <w:szCs w:val="24"/>
        </w:rPr>
        <w:t xml:space="preserve">Cidades, Comunidades e </w:t>
      </w:r>
      <w:r w:rsidRPr="00BE4AF3">
        <w:rPr>
          <w:rFonts w:ascii="Times New Roman" w:hAnsi="Times New Roman" w:cs="Times New Roman"/>
          <w:i/>
          <w:sz w:val="24"/>
          <w:szCs w:val="24"/>
        </w:rPr>
        <w:tab/>
        <w:t xml:space="preserve">Territorios, </w:t>
      </w:r>
      <w:r w:rsidRPr="00BE4AF3">
        <w:rPr>
          <w:rFonts w:ascii="Times New Roman" w:hAnsi="Times New Roman" w:cs="Times New Roman"/>
          <w:sz w:val="24"/>
          <w:szCs w:val="24"/>
        </w:rPr>
        <w:t xml:space="preserve">43: 185-206. DOI.:10.15847/cct.21000. </w:t>
      </w:r>
    </w:p>
    <w:p w14:paraId="7F22A183"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Amoateng, P., Cobbinah, P.B. and Owusu-Adade, K. (2013). Managing physical </w:t>
      </w:r>
      <w:r w:rsidRPr="00BE4AF3">
        <w:rPr>
          <w:rFonts w:ascii="Times New Roman" w:hAnsi="Times New Roman" w:cs="Times New Roman"/>
          <w:sz w:val="24"/>
          <w:szCs w:val="24"/>
        </w:rPr>
        <w:tab/>
        <w:t xml:space="preserve">development in peri-urban areas of Kumasi, Ghana: A Case of Abuakwa. </w:t>
      </w:r>
      <w:r w:rsidRPr="00BE4AF3">
        <w:rPr>
          <w:rFonts w:ascii="Times New Roman" w:hAnsi="Times New Roman" w:cs="Times New Roman"/>
          <w:i/>
          <w:sz w:val="24"/>
          <w:szCs w:val="24"/>
        </w:rPr>
        <w:t xml:space="preserve">Journal of </w:t>
      </w:r>
      <w:r w:rsidRPr="00BE4AF3">
        <w:rPr>
          <w:rFonts w:ascii="Times New Roman" w:hAnsi="Times New Roman" w:cs="Times New Roman"/>
          <w:i/>
          <w:sz w:val="24"/>
          <w:szCs w:val="24"/>
        </w:rPr>
        <w:tab/>
        <w:t xml:space="preserve">Urban and Environmental Engineering, </w:t>
      </w:r>
      <w:r w:rsidRPr="00BE4AF3">
        <w:rPr>
          <w:rFonts w:ascii="Times New Roman" w:hAnsi="Times New Roman" w:cs="Times New Roman"/>
          <w:sz w:val="24"/>
          <w:szCs w:val="24"/>
        </w:rPr>
        <w:t xml:space="preserve">7 (1): 96-109. </w:t>
      </w:r>
    </w:p>
    <w:p w14:paraId="6E9B1174"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Ayeni, A.O., Aborisade, A.G., Aiyegbajeje, F.O. and Soneye, A.S.O. (2025). The dynamics </w:t>
      </w:r>
      <w:r w:rsidRPr="00BE4AF3">
        <w:rPr>
          <w:rFonts w:ascii="Times New Roman" w:hAnsi="Times New Roman" w:cs="Times New Roman"/>
          <w:sz w:val="24"/>
          <w:szCs w:val="24"/>
        </w:rPr>
        <w:tab/>
        <w:t xml:space="preserve">of peri-urban expansion in sub-Sahara Africa: implications for sustainable </w:t>
      </w:r>
      <w:r w:rsidRPr="00BE4AF3">
        <w:rPr>
          <w:rFonts w:ascii="Times New Roman" w:hAnsi="Times New Roman" w:cs="Times New Roman"/>
          <w:sz w:val="24"/>
          <w:szCs w:val="24"/>
        </w:rPr>
        <w:tab/>
        <w:t xml:space="preserve">development in Nigeria and Ghana. </w:t>
      </w:r>
      <w:r w:rsidRPr="00BE4AF3">
        <w:rPr>
          <w:rFonts w:ascii="Times New Roman" w:hAnsi="Times New Roman" w:cs="Times New Roman"/>
          <w:i/>
          <w:sz w:val="24"/>
          <w:szCs w:val="24"/>
        </w:rPr>
        <w:t>Discover Sustainability,</w:t>
      </w:r>
      <w:r w:rsidRPr="00BE4AF3">
        <w:rPr>
          <w:rFonts w:ascii="Times New Roman" w:hAnsi="Times New Roman" w:cs="Times New Roman"/>
          <w:sz w:val="24"/>
          <w:szCs w:val="24"/>
        </w:rPr>
        <w:t xml:space="preserve"> 6 (290). </w:t>
      </w:r>
      <w:r w:rsidRPr="00BE4AF3">
        <w:rPr>
          <w:rFonts w:ascii="Times New Roman" w:hAnsi="Times New Roman" w:cs="Times New Roman"/>
          <w:sz w:val="24"/>
          <w:szCs w:val="24"/>
        </w:rPr>
        <w:tab/>
        <w:t xml:space="preserve">DOI.:10.1007/s43621-024-00742-0. </w:t>
      </w:r>
    </w:p>
    <w:p w14:paraId="4DF97A83"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lastRenderedPageBreak/>
        <w:t xml:space="preserve">Hadlar, S., Chatterjee, U., Bhattacharya, S., Paul, S., Bindajam, A.A., Mallick, J. and Abdo, </w:t>
      </w:r>
      <w:r w:rsidRPr="00BE4AF3">
        <w:rPr>
          <w:rFonts w:ascii="Times New Roman" w:hAnsi="Times New Roman" w:cs="Times New Roman"/>
          <w:sz w:val="24"/>
          <w:szCs w:val="24"/>
        </w:rPr>
        <w:tab/>
        <w:t xml:space="preserve">H.G. (2024). Peri-urban dynamics: assessing expansion patterns and influencing </w:t>
      </w:r>
      <w:r w:rsidRPr="00BE4AF3">
        <w:rPr>
          <w:rFonts w:ascii="Times New Roman" w:hAnsi="Times New Roman" w:cs="Times New Roman"/>
          <w:sz w:val="24"/>
          <w:szCs w:val="24"/>
        </w:rPr>
        <w:tab/>
        <w:t xml:space="preserve">factors. </w:t>
      </w:r>
      <w:r w:rsidRPr="00BE4AF3">
        <w:rPr>
          <w:rFonts w:ascii="Times New Roman" w:hAnsi="Times New Roman" w:cs="Times New Roman"/>
          <w:i/>
          <w:sz w:val="24"/>
          <w:szCs w:val="24"/>
        </w:rPr>
        <w:t>Ecological Processes</w:t>
      </w:r>
      <w:r w:rsidRPr="00BE4AF3">
        <w:rPr>
          <w:rFonts w:ascii="Times New Roman" w:hAnsi="Times New Roman" w:cs="Times New Roman"/>
          <w:sz w:val="24"/>
          <w:szCs w:val="24"/>
        </w:rPr>
        <w:t>, 13 (58): 1-30. DOI: 1186/s13717-024-00533-5.</w:t>
      </w:r>
    </w:p>
    <w:p w14:paraId="76DDD8AA"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Idowu, O., Bako, A. and Aduloju, O. (2020). Analysis of trend o peri-urban development in </w:t>
      </w:r>
      <w:r w:rsidRPr="00BE4AF3">
        <w:rPr>
          <w:rFonts w:ascii="Times New Roman" w:hAnsi="Times New Roman" w:cs="Times New Roman"/>
          <w:sz w:val="24"/>
          <w:szCs w:val="24"/>
        </w:rPr>
        <w:tab/>
        <w:t xml:space="preserve">Minna, Niger State. </w:t>
      </w:r>
      <w:r w:rsidRPr="00BE4AF3">
        <w:rPr>
          <w:rFonts w:ascii="Times New Roman" w:hAnsi="Times New Roman" w:cs="Times New Roman"/>
          <w:i/>
          <w:sz w:val="24"/>
          <w:szCs w:val="24"/>
        </w:rPr>
        <w:t>Journal of Geographic Information System</w:t>
      </w:r>
      <w:r w:rsidRPr="00BE4AF3">
        <w:rPr>
          <w:rFonts w:ascii="Times New Roman" w:hAnsi="Times New Roman" w:cs="Times New Roman"/>
          <w:sz w:val="24"/>
          <w:szCs w:val="24"/>
        </w:rPr>
        <w:t xml:space="preserve">, 12(4):11-31. </w:t>
      </w:r>
      <w:r w:rsidRPr="00BE4AF3">
        <w:rPr>
          <w:rFonts w:ascii="Times New Roman" w:hAnsi="Times New Roman" w:cs="Times New Roman"/>
          <w:sz w:val="24"/>
          <w:szCs w:val="24"/>
        </w:rPr>
        <w:tab/>
      </w:r>
      <w:hyperlink r:id="rId194" w:history="1">
        <w:r w:rsidRPr="00BE4AF3">
          <w:rPr>
            <w:rStyle w:val="Hyperlink"/>
            <w:rFonts w:ascii="Times New Roman" w:hAnsi="Times New Roman" w:cs="Times New Roman"/>
            <w:sz w:val="24"/>
            <w:szCs w:val="24"/>
          </w:rPr>
          <w:t>https://doi-org/10.4236/jgis.2020.125025</w:t>
        </w:r>
      </w:hyperlink>
      <w:r w:rsidRPr="00BE4AF3">
        <w:rPr>
          <w:rFonts w:ascii="Times New Roman" w:hAnsi="Times New Roman" w:cs="Times New Roman"/>
          <w:sz w:val="24"/>
          <w:szCs w:val="24"/>
        </w:rPr>
        <w:t xml:space="preserve">.   </w:t>
      </w:r>
    </w:p>
    <w:p w14:paraId="37CDF33C"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Kharkova, O.A., Kuznetsov, V.N., Kholatova, K.K., Grjibovaki, A.M. (2023). Grounded </w:t>
      </w:r>
    </w:p>
    <w:p w14:paraId="59612D2A" w14:textId="5293D88C" w:rsidR="0000060D" w:rsidRPr="00BE4AF3" w:rsidRDefault="0000060D" w:rsidP="00B306C2">
      <w:pPr>
        <w:spacing w:after="0" w:line="240" w:lineRule="auto"/>
        <w:ind w:firstLine="720"/>
        <w:jc w:val="both"/>
        <w:rPr>
          <w:rFonts w:ascii="Times New Roman" w:hAnsi="Times New Roman" w:cs="Times New Roman"/>
          <w:sz w:val="24"/>
          <w:szCs w:val="24"/>
        </w:rPr>
      </w:pPr>
      <w:r w:rsidRPr="00BE4AF3">
        <w:rPr>
          <w:rFonts w:ascii="Times New Roman" w:hAnsi="Times New Roman" w:cs="Times New Roman"/>
          <w:sz w:val="24"/>
          <w:szCs w:val="24"/>
        </w:rPr>
        <w:t xml:space="preserve">theory as a qualitative research method in medicine. </w:t>
      </w:r>
      <w:r w:rsidRPr="00BE4AF3">
        <w:rPr>
          <w:rFonts w:ascii="Times New Roman" w:hAnsi="Times New Roman" w:cs="Times New Roman"/>
          <w:i/>
          <w:sz w:val="24"/>
          <w:szCs w:val="24"/>
        </w:rPr>
        <w:t>Med</w:t>
      </w:r>
      <w:r w:rsidRPr="00BE4AF3">
        <w:rPr>
          <w:rFonts w:ascii="Times New Roman" w:hAnsi="Times New Roman" w:cs="Times New Roman"/>
          <w:sz w:val="24"/>
          <w:szCs w:val="24"/>
        </w:rPr>
        <w:t>. 8(4): 104-111.</w:t>
      </w:r>
    </w:p>
    <w:p w14:paraId="000E7902"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Oladele, J.A. and Abolade, O. (2024). Residential Differentials in Incidence and Impact of </w:t>
      </w:r>
      <w:r w:rsidRPr="00BE4AF3">
        <w:rPr>
          <w:rFonts w:ascii="Times New Roman" w:hAnsi="Times New Roman" w:cs="Times New Roman"/>
          <w:sz w:val="24"/>
          <w:szCs w:val="24"/>
        </w:rPr>
        <w:tab/>
        <w:t xml:space="preserve">Housing Transformation in Ogbomoso, Nigeria. Ibadan Planning Journal, 10(2): 42- </w:t>
      </w:r>
      <w:r w:rsidRPr="00BE4AF3">
        <w:rPr>
          <w:rFonts w:ascii="Times New Roman" w:hAnsi="Times New Roman" w:cs="Times New Roman"/>
          <w:sz w:val="24"/>
          <w:szCs w:val="24"/>
        </w:rPr>
        <w:tab/>
        <w:t xml:space="preserve">50. </w:t>
      </w:r>
      <w:hyperlink r:id="rId195" w:history="1">
        <w:r w:rsidRPr="00BE4AF3">
          <w:rPr>
            <w:rStyle w:val="Hyperlink"/>
            <w:rFonts w:ascii="Times New Roman" w:hAnsi="Times New Roman" w:cs="Times New Roman"/>
            <w:sz w:val="24"/>
            <w:szCs w:val="24"/>
          </w:rPr>
          <w:t>http://journals.ui.edu.ng/index.php/ipj/issue/view/7</w:t>
        </w:r>
      </w:hyperlink>
      <w:r w:rsidRPr="00BE4AF3">
        <w:rPr>
          <w:rFonts w:ascii="Times New Roman" w:hAnsi="Times New Roman" w:cs="Times New Roman"/>
          <w:sz w:val="24"/>
          <w:szCs w:val="24"/>
        </w:rPr>
        <w:t>.</w:t>
      </w:r>
    </w:p>
    <w:p w14:paraId="4644DF8C"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Olayiwola, A.M. and Ajala, O.A. (2022). Correlation between socio-economic characteristics </w:t>
      </w:r>
      <w:r w:rsidRPr="00BE4AF3">
        <w:rPr>
          <w:rFonts w:ascii="Times New Roman" w:hAnsi="Times New Roman" w:cs="Times New Roman"/>
          <w:sz w:val="24"/>
          <w:szCs w:val="24"/>
        </w:rPr>
        <w:tab/>
        <w:t xml:space="preserve">and housing quality of residential neighbourhoods in Akure, Southwest Nigeria. </w:t>
      </w:r>
      <w:r w:rsidRPr="00BE4AF3">
        <w:rPr>
          <w:rFonts w:ascii="Times New Roman" w:hAnsi="Times New Roman" w:cs="Times New Roman"/>
          <w:sz w:val="24"/>
          <w:szCs w:val="24"/>
        </w:rPr>
        <w:tab/>
      </w:r>
      <w:r w:rsidRPr="00BE4AF3">
        <w:rPr>
          <w:rFonts w:ascii="Times New Roman" w:hAnsi="Times New Roman" w:cs="Times New Roman"/>
          <w:i/>
          <w:sz w:val="24"/>
          <w:szCs w:val="24"/>
        </w:rPr>
        <w:t>Journal of Contemporary Urban Affairs</w:t>
      </w:r>
      <w:r w:rsidRPr="00BE4AF3">
        <w:rPr>
          <w:rFonts w:ascii="Times New Roman" w:hAnsi="Times New Roman" w:cs="Times New Roman"/>
          <w:sz w:val="24"/>
          <w:szCs w:val="24"/>
        </w:rPr>
        <w:t xml:space="preserve">, 6 (2), 217-231. DOI: </w:t>
      </w:r>
      <w:r w:rsidRPr="00BE4AF3">
        <w:rPr>
          <w:rFonts w:ascii="Times New Roman" w:hAnsi="Times New Roman" w:cs="Times New Roman"/>
          <w:sz w:val="24"/>
          <w:szCs w:val="24"/>
        </w:rPr>
        <w:tab/>
        <w:t>10.25034/ijcua.2022.v6n2-8.</w:t>
      </w:r>
    </w:p>
    <w:p w14:paraId="5B40E2F0"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Omotoso, O.O., Ojo, O.O. and Shittu, A.A. (2020). An Assessment of the socio-economic </w:t>
      </w:r>
      <w:r w:rsidRPr="00BE4AF3">
        <w:rPr>
          <w:rFonts w:ascii="Times New Roman" w:hAnsi="Times New Roman" w:cs="Times New Roman"/>
          <w:sz w:val="24"/>
          <w:szCs w:val="24"/>
        </w:rPr>
        <w:tab/>
        <w:t xml:space="preserve">characteristics of the incremental housing developers in Akure, Ondo State, Nigeria. </w:t>
      </w:r>
      <w:r w:rsidRPr="00BE4AF3">
        <w:rPr>
          <w:rFonts w:ascii="Times New Roman" w:hAnsi="Times New Roman" w:cs="Times New Roman"/>
          <w:sz w:val="24"/>
          <w:szCs w:val="24"/>
        </w:rPr>
        <w:tab/>
      </w:r>
      <w:r w:rsidRPr="00BE4AF3">
        <w:rPr>
          <w:rFonts w:ascii="Times New Roman" w:hAnsi="Times New Roman" w:cs="Times New Roman"/>
          <w:i/>
          <w:sz w:val="24"/>
          <w:szCs w:val="24"/>
        </w:rPr>
        <w:t>Asian Journal of Education and Social Studies</w:t>
      </w:r>
      <w:r w:rsidRPr="00BE4AF3">
        <w:rPr>
          <w:rFonts w:ascii="Times New Roman" w:hAnsi="Times New Roman" w:cs="Times New Roman"/>
          <w:sz w:val="24"/>
          <w:szCs w:val="24"/>
        </w:rPr>
        <w:t xml:space="preserve">, 6(1): 1-10. </w:t>
      </w:r>
      <w:r w:rsidRPr="00BE4AF3">
        <w:rPr>
          <w:rFonts w:ascii="Times New Roman" w:hAnsi="Times New Roman" w:cs="Times New Roman"/>
          <w:sz w:val="24"/>
          <w:szCs w:val="24"/>
        </w:rPr>
        <w:tab/>
        <w:t xml:space="preserve">DOI:10.9734/ajess/2020/v6i130163.   </w:t>
      </w:r>
    </w:p>
    <w:p w14:paraId="634EF9EF" w14:textId="77777777" w:rsidR="0000060D" w:rsidRPr="00BE4AF3" w:rsidRDefault="0000060D" w:rsidP="00B306C2">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Ujianto, B.T. and Iqbal, N.M. (2025). Building affordability: an exploration of incremental </w:t>
      </w:r>
      <w:r w:rsidRPr="00BE4AF3">
        <w:rPr>
          <w:rFonts w:ascii="Times New Roman" w:hAnsi="Times New Roman" w:cs="Times New Roman"/>
          <w:sz w:val="24"/>
          <w:szCs w:val="24"/>
        </w:rPr>
        <w:tab/>
        <w:t xml:space="preserve">housing design. </w:t>
      </w:r>
      <w:r w:rsidRPr="00BE4AF3">
        <w:rPr>
          <w:rFonts w:ascii="Times New Roman" w:hAnsi="Times New Roman" w:cs="Times New Roman"/>
          <w:i/>
          <w:sz w:val="24"/>
          <w:szCs w:val="24"/>
        </w:rPr>
        <w:t>Border: Jurnal Arsitektur,</w:t>
      </w:r>
      <w:r w:rsidRPr="00BE4AF3">
        <w:rPr>
          <w:rFonts w:ascii="Times New Roman" w:hAnsi="Times New Roman" w:cs="Times New Roman"/>
          <w:sz w:val="24"/>
          <w:szCs w:val="24"/>
        </w:rPr>
        <w:t xml:space="preserve"> 7(1): 43-56. </w:t>
      </w:r>
      <w:r w:rsidRPr="00BE4AF3">
        <w:rPr>
          <w:rFonts w:ascii="Times New Roman" w:hAnsi="Times New Roman" w:cs="Times New Roman"/>
          <w:sz w:val="24"/>
          <w:szCs w:val="24"/>
        </w:rPr>
        <w:tab/>
      </w:r>
      <w:hyperlink r:id="rId196" w:history="1">
        <w:r w:rsidRPr="00BE4AF3">
          <w:rPr>
            <w:rStyle w:val="Hyperlink"/>
            <w:rFonts w:ascii="Times New Roman" w:hAnsi="Times New Roman" w:cs="Times New Roman"/>
            <w:sz w:val="24"/>
            <w:szCs w:val="24"/>
          </w:rPr>
          <w:t>https://doi.org/10.33005/border:v7i1.1281</w:t>
        </w:r>
      </w:hyperlink>
      <w:r w:rsidRPr="00BE4AF3">
        <w:rPr>
          <w:rFonts w:ascii="Times New Roman" w:hAnsi="Times New Roman" w:cs="Times New Roman"/>
          <w:sz w:val="24"/>
          <w:szCs w:val="24"/>
        </w:rPr>
        <w:t xml:space="preserve">   </w:t>
      </w:r>
    </w:p>
    <w:p w14:paraId="67D7437A" w14:textId="77777777" w:rsidR="0000060D" w:rsidRPr="00BE4AF3" w:rsidRDefault="0000060D" w:rsidP="00B306C2">
      <w:pPr>
        <w:spacing w:after="0" w:line="240" w:lineRule="auto"/>
        <w:jc w:val="both"/>
        <w:rPr>
          <w:rFonts w:ascii="Times New Roman" w:hAnsi="Times New Roman" w:cs="Times New Roman"/>
          <w:b/>
          <w:sz w:val="24"/>
          <w:szCs w:val="24"/>
        </w:rPr>
      </w:pPr>
      <w:r w:rsidRPr="00BE4AF3">
        <w:rPr>
          <w:rFonts w:ascii="Times New Roman" w:hAnsi="Times New Roman" w:cs="Times New Roman"/>
          <w:sz w:val="24"/>
          <w:szCs w:val="24"/>
        </w:rPr>
        <w:t xml:space="preserve"> Van Noorloos, F., Cirolia, L., Friendly, A., Juktur, S., Schramm, S., Steel, G. And Valenzula </w:t>
      </w:r>
      <w:r w:rsidRPr="00BE4AF3">
        <w:rPr>
          <w:rFonts w:ascii="Times New Roman" w:hAnsi="Times New Roman" w:cs="Times New Roman"/>
          <w:sz w:val="24"/>
          <w:szCs w:val="24"/>
        </w:rPr>
        <w:tab/>
        <w:t xml:space="preserve">(2020). Incremental housing as a node for intersecting flows of city-making: </w:t>
      </w:r>
      <w:r w:rsidRPr="00BE4AF3">
        <w:rPr>
          <w:rFonts w:ascii="Times New Roman" w:hAnsi="Times New Roman" w:cs="Times New Roman"/>
          <w:sz w:val="24"/>
          <w:szCs w:val="24"/>
        </w:rPr>
        <w:tab/>
        <w:t xml:space="preserve">rethinking the housing shortage in the global south. </w:t>
      </w:r>
      <w:r w:rsidRPr="00BE4AF3">
        <w:rPr>
          <w:rFonts w:ascii="Times New Roman" w:hAnsi="Times New Roman" w:cs="Times New Roman"/>
          <w:i/>
          <w:sz w:val="24"/>
          <w:szCs w:val="24"/>
        </w:rPr>
        <w:t>Environment and Urbanisation</w:t>
      </w:r>
      <w:r w:rsidRPr="00BE4AF3">
        <w:rPr>
          <w:rFonts w:ascii="Times New Roman" w:hAnsi="Times New Roman" w:cs="Times New Roman"/>
          <w:sz w:val="24"/>
          <w:szCs w:val="24"/>
        </w:rPr>
        <w:t xml:space="preserve">, </w:t>
      </w:r>
      <w:r w:rsidRPr="00BE4AF3">
        <w:rPr>
          <w:rFonts w:ascii="Times New Roman" w:hAnsi="Times New Roman" w:cs="Times New Roman"/>
          <w:sz w:val="24"/>
          <w:szCs w:val="24"/>
        </w:rPr>
        <w:tab/>
        <w:t xml:space="preserve">32(1): 37-54. DOI: 10.1177/0956247819887679. </w:t>
      </w:r>
    </w:p>
    <w:p w14:paraId="4844909D" w14:textId="77777777" w:rsidR="00B6642C" w:rsidRDefault="00B6642C" w:rsidP="00B6642C">
      <w:pPr>
        <w:spacing w:after="0" w:line="240" w:lineRule="auto"/>
        <w:jc w:val="both"/>
        <w:rPr>
          <w:rFonts w:ascii="Times New Roman" w:hAnsi="Times New Roman" w:cs="Times New Roman"/>
          <w:sz w:val="24"/>
          <w:szCs w:val="24"/>
        </w:rPr>
      </w:pPr>
    </w:p>
    <w:p w14:paraId="2FB673AD" w14:textId="77777777" w:rsidR="00B306C2" w:rsidRDefault="00B306C2" w:rsidP="00B6642C">
      <w:pPr>
        <w:spacing w:after="0" w:line="240" w:lineRule="auto"/>
        <w:jc w:val="both"/>
        <w:rPr>
          <w:rFonts w:ascii="Times New Roman" w:hAnsi="Times New Roman" w:cs="Times New Roman"/>
          <w:sz w:val="24"/>
          <w:szCs w:val="24"/>
        </w:rPr>
      </w:pPr>
    </w:p>
    <w:p w14:paraId="2DEE1FF3" w14:textId="77777777" w:rsidR="00B306C2" w:rsidRDefault="00B306C2" w:rsidP="00B6642C">
      <w:pPr>
        <w:spacing w:after="0" w:line="240" w:lineRule="auto"/>
        <w:jc w:val="both"/>
        <w:rPr>
          <w:rFonts w:ascii="Times New Roman" w:hAnsi="Times New Roman" w:cs="Times New Roman"/>
          <w:sz w:val="24"/>
          <w:szCs w:val="24"/>
        </w:rPr>
      </w:pPr>
    </w:p>
    <w:p w14:paraId="4841CE95" w14:textId="77777777" w:rsidR="00B306C2" w:rsidRDefault="00B306C2" w:rsidP="00B6642C">
      <w:pPr>
        <w:spacing w:after="0" w:line="240" w:lineRule="auto"/>
        <w:jc w:val="both"/>
        <w:rPr>
          <w:rFonts w:ascii="Times New Roman" w:hAnsi="Times New Roman" w:cs="Times New Roman"/>
          <w:sz w:val="24"/>
          <w:szCs w:val="24"/>
        </w:rPr>
      </w:pPr>
    </w:p>
    <w:p w14:paraId="31234161" w14:textId="77777777" w:rsidR="00B306C2" w:rsidRDefault="00B306C2" w:rsidP="00B6642C">
      <w:pPr>
        <w:spacing w:after="0" w:line="240" w:lineRule="auto"/>
        <w:jc w:val="both"/>
        <w:rPr>
          <w:rFonts w:ascii="Times New Roman" w:hAnsi="Times New Roman" w:cs="Times New Roman"/>
          <w:sz w:val="24"/>
          <w:szCs w:val="24"/>
        </w:rPr>
      </w:pPr>
    </w:p>
    <w:p w14:paraId="201AA889" w14:textId="77777777" w:rsidR="00B306C2" w:rsidRDefault="00B306C2" w:rsidP="00B6642C">
      <w:pPr>
        <w:spacing w:after="0" w:line="240" w:lineRule="auto"/>
        <w:jc w:val="both"/>
        <w:rPr>
          <w:rFonts w:ascii="Times New Roman" w:hAnsi="Times New Roman" w:cs="Times New Roman"/>
          <w:sz w:val="24"/>
          <w:szCs w:val="24"/>
        </w:rPr>
      </w:pPr>
    </w:p>
    <w:p w14:paraId="1FE9392C" w14:textId="77777777" w:rsidR="00B306C2" w:rsidRDefault="00B306C2" w:rsidP="00B6642C">
      <w:pPr>
        <w:spacing w:after="0" w:line="240" w:lineRule="auto"/>
        <w:jc w:val="both"/>
        <w:rPr>
          <w:rFonts w:ascii="Times New Roman" w:hAnsi="Times New Roman" w:cs="Times New Roman"/>
          <w:sz w:val="24"/>
          <w:szCs w:val="24"/>
        </w:rPr>
      </w:pPr>
    </w:p>
    <w:p w14:paraId="1EC7141A" w14:textId="77777777" w:rsidR="00B306C2" w:rsidRDefault="00B306C2" w:rsidP="00B6642C">
      <w:pPr>
        <w:spacing w:after="0" w:line="240" w:lineRule="auto"/>
        <w:jc w:val="both"/>
        <w:rPr>
          <w:rFonts w:ascii="Times New Roman" w:hAnsi="Times New Roman" w:cs="Times New Roman"/>
          <w:sz w:val="24"/>
          <w:szCs w:val="24"/>
        </w:rPr>
      </w:pPr>
    </w:p>
    <w:p w14:paraId="776F94AE" w14:textId="77777777" w:rsidR="00B306C2" w:rsidRDefault="00B306C2" w:rsidP="00B6642C">
      <w:pPr>
        <w:spacing w:after="0" w:line="240" w:lineRule="auto"/>
        <w:jc w:val="both"/>
        <w:rPr>
          <w:rFonts w:ascii="Times New Roman" w:hAnsi="Times New Roman" w:cs="Times New Roman"/>
          <w:sz w:val="24"/>
          <w:szCs w:val="24"/>
        </w:rPr>
      </w:pPr>
    </w:p>
    <w:p w14:paraId="549036D4" w14:textId="77777777" w:rsidR="00B306C2" w:rsidRDefault="00B306C2" w:rsidP="00B6642C">
      <w:pPr>
        <w:spacing w:after="0" w:line="240" w:lineRule="auto"/>
        <w:jc w:val="both"/>
        <w:rPr>
          <w:rFonts w:ascii="Times New Roman" w:hAnsi="Times New Roman" w:cs="Times New Roman"/>
          <w:sz w:val="24"/>
          <w:szCs w:val="24"/>
        </w:rPr>
      </w:pPr>
    </w:p>
    <w:p w14:paraId="412BCC84" w14:textId="77777777" w:rsidR="00B306C2" w:rsidRDefault="00B306C2" w:rsidP="00B6642C">
      <w:pPr>
        <w:spacing w:after="0" w:line="240" w:lineRule="auto"/>
        <w:jc w:val="both"/>
        <w:rPr>
          <w:rFonts w:ascii="Times New Roman" w:hAnsi="Times New Roman" w:cs="Times New Roman"/>
          <w:sz w:val="24"/>
          <w:szCs w:val="24"/>
        </w:rPr>
      </w:pPr>
    </w:p>
    <w:p w14:paraId="01611824" w14:textId="77777777" w:rsidR="00B306C2" w:rsidRDefault="00B306C2" w:rsidP="00B6642C">
      <w:pPr>
        <w:spacing w:after="0" w:line="240" w:lineRule="auto"/>
        <w:jc w:val="both"/>
        <w:rPr>
          <w:rFonts w:ascii="Times New Roman" w:hAnsi="Times New Roman" w:cs="Times New Roman"/>
          <w:sz w:val="24"/>
          <w:szCs w:val="24"/>
        </w:rPr>
      </w:pPr>
    </w:p>
    <w:p w14:paraId="4A869CC9" w14:textId="77777777" w:rsidR="00B306C2" w:rsidRDefault="00B306C2" w:rsidP="00B6642C">
      <w:pPr>
        <w:spacing w:after="0" w:line="240" w:lineRule="auto"/>
        <w:jc w:val="both"/>
        <w:rPr>
          <w:rFonts w:ascii="Times New Roman" w:hAnsi="Times New Roman" w:cs="Times New Roman"/>
          <w:sz w:val="24"/>
          <w:szCs w:val="24"/>
        </w:rPr>
      </w:pPr>
    </w:p>
    <w:p w14:paraId="2662FDF0" w14:textId="77777777" w:rsidR="00B306C2" w:rsidRDefault="00B306C2" w:rsidP="00B6642C">
      <w:pPr>
        <w:spacing w:after="0" w:line="240" w:lineRule="auto"/>
        <w:jc w:val="both"/>
        <w:rPr>
          <w:rFonts w:ascii="Times New Roman" w:hAnsi="Times New Roman" w:cs="Times New Roman"/>
          <w:sz w:val="24"/>
          <w:szCs w:val="24"/>
        </w:rPr>
      </w:pPr>
    </w:p>
    <w:p w14:paraId="33D62CCC" w14:textId="77777777" w:rsidR="00B306C2" w:rsidRDefault="00B306C2" w:rsidP="00B6642C">
      <w:pPr>
        <w:spacing w:after="0" w:line="240" w:lineRule="auto"/>
        <w:jc w:val="both"/>
        <w:rPr>
          <w:rFonts w:ascii="Times New Roman" w:hAnsi="Times New Roman" w:cs="Times New Roman"/>
          <w:sz w:val="24"/>
          <w:szCs w:val="24"/>
        </w:rPr>
      </w:pPr>
    </w:p>
    <w:p w14:paraId="0FEE18EE" w14:textId="77777777" w:rsidR="00B306C2" w:rsidRDefault="00B306C2" w:rsidP="00B6642C">
      <w:pPr>
        <w:spacing w:after="0" w:line="240" w:lineRule="auto"/>
        <w:jc w:val="both"/>
        <w:rPr>
          <w:rFonts w:ascii="Times New Roman" w:hAnsi="Times New Roman" w:cs="Times New Roman"/>
          <w:sz w:val="24"/>
          <w:szCs w:val="24"/>
        </w:rPr>
      </w:pPr>
    </w:p>
    <w:p w14:paraId="5AC38F29" w14:textId="77777777" w:rsidR="00B306C2" w:rsidRDefault="00B306C2" w:rsidP="00B6642C">
      <w:pPr>
        <w:spacing w:after="0" w:line="240" w:lineRule="auto"/>
        <w:jc w:val="both"/>
        <w:rPr>
          <w:rFonts w:ascii="Times New Roman" w:hAnsi="Times New Roman" w:cs="Times New Roman"/>
          <w:sz w:val="24"/>
          <w:szCs w:val="24"/>
        </w:rPr>
      </w:pPr>
    </w:p>
    <w:p w14:paraId="1A2350FA" w14:textId="77777777" w:rsidR="00B306C2" w:rsidRDefault="00B306C2" w:rsidP="00B6642C">
      <w:pPr>
        <w:spacing w:after="0" w:line="240" w:lineRule="auto"/>
        <w:jc w:val="both"/>
        <w:rPr>
          <w:rFonts w:ascii="Times New Roman" w:hAnsi="Times New Roman" w:cs="Times New Roman"/>
          <w:sz w:val="24"/>
          <w:szCs w:val="24"/>
        </w:rPr>
      </w:pPr>
    </w:p>
    <w:p w14:paraId="389ECD07" w14:textId="77777777" w:rsidR="00B306C2" w:rsidRDefault="00B306C2" w:rsidP="00B6642C">
      <w:pPr>
        <w:spacing w:after="0" w:line="240" w:lineRule="auto"/>
        <w:jc w:val="both"/>
        <w:rPr>
          <w:rFonts w:ascii="Times New Roman" w:hAnsi="Times New Roman" w:cs="Times New Roman"/>
          <w:sz w:val="24"/>
          <w:szCs w:val="24"/>
        </w:rPr>
      </w:pPr>
    </w:p>
    <w:p w14:paraId="255F5840" w14:textId="77777777" w:rsidR="00B306C2" w:rsidRDefault="00B306C2" w:rsidP="00B6642C">
      <w:pPr>
        <w:spacing w:after="0" w:line="240" w:lineRule="auto"/>
        <w:jc w:val="both"/>
        <w:rPr>
          <w:rFonts w:ascii="Times New Roman" w:hAnsi="Times New Roman" w:cs="Times New Roman"/>
          <w:sz w:val="24"/>
          <w:szCs w:val="24"/>
        </w:rPr>
      </w:pPr>
    </w:p>
    <w:p w14:paraId="250ECB60" w14:textId="77777777" w:rsidR="00B306C2" w:rsidRDefault="00B306C2" w:rsidP="00B6642C">
      <w:pPr>
        <w:spacing w:after="0" w:line="240" w:lineRule="auto"/>
        <w:jc w:val="both"/>
        <w:rPr>
          <w:rFonts w:ascii="Times New Roman" w:hAnsi="Times New Roman" w:cs="Times New Roman"/>
          <w:sz w:val="24"/>
          <w:szCs w:val="24"/>
        </w:rPr>
      </w:pPr>
    </w:p>
    <w:p w14:paraId="1649B471" w14:textId="77777777" w:rsidR="00B306C2" w:rsidRDefault="00B306C2" w:rsidP="00B6642C">
      <w:pPr>
        <w:spacing w:after="0" w:line="240" w:lineRule="auto"/>
        <w:jc w:val="both"/>
        <w:rPr>
          <w:rFonts w:ascii="Times New Roman" w:hAnsi="Times New Roman" w:cs="Times New Roman"/>
          <w:sz w:val="24"/>
          <w:szCs w:val="24"/>
        </w:rPr>
      </w:pPr>
    </w:p>
    <w:p w14:paraId="12C1430D" w14:textId="77777777" w:rsidR="00B306C2" w:rsidRDefault="00B306C2" w:rsidP="00B6642C">
      <w:pPr>
        <w:spacing w:after="0" w:line="240" w:lineRule="auto"/>
        <w:jc w:val="both"/>
        <w:rPr>
          <w:rFonts w:ascii="Times New Roman" w:hAnsi="Times New Roman" w:cs="Times New Roman"/>
          <w:sz w:val="24"/>
          <w:szCs w:val="24"/>
        </w:rPr>
      </w:pPr>
    </w:p>
    <w:p w14:paraId="03252959" w14:textId="77777777" w:rsidR="00B306C2" w:rsidRPr="00BE4AF3" w:rsidRDefault="00B306C2" w:rsidP="00B6642C">
      <w:pPr>
        <w:spacing w:after="0" w:line="240" w:lineRule="auto"/>
        <w:jc w:val="both"/>
        <w:rPr>
          <w:rFonts w:ascii="Times New Roman" w:hAnsi="Times New Roman" w:cs="Times New Roman"/>
          <w:sz w:val="24"/>
          <w:szCs w:val="24"/>
        </w:rPr>
      </w:pPr>
    </w:p>
    <w:p w14:paraId="096CA317" w14:textId="77777777" w:rsidR="00B6642C" w:rsidRPr="00051BE1" w:rsidRDefault="00C17E13" w:rsidP="00B6642C">
      <w:pPr>
        <w:spacing w:after="0" w:line="240" w:lineRule="auto"/>
        <w:jc w:val="center"/>
        <w:rPr>
          <w:rFonts w:ascii="Times New Roman" w:hAnsi="Times New Roman" w:cs="Times New Roman"/>
          <w:b/>
          <w:bCs/>
          <w:sz w:val="28"/>
          <w:szCs w:val="28"/>
        </w:rPr>
      </w:pPr>
      <w:r w:rsidRPr="00051BE1">
        <w:rPr>
          <w:rFonts w:ascii="Times New Roman" w:hAnsi="Times New Roman" w:cs="Times New Roman"/>
          <w:b/>
          <w:bCs/>
          <w:sz w:val="28"/>
          <w:szCs w:val="28"/>
        </w:rPr>
        <w:lastRenderedPageBreak/>
        <w:t>Spatio-Temporal Analysis of Deforestation in Old Oyo National Park (O</w:t>
      </w:r>
      <w:r w:rsidR="00EE3A8A" w:rsidRPr="00051BE1">
        <w:rPr>
          <w:rFonts w:ascii="Times New Roman" w:hAnsi="Times New Roman" w:cs="Times New Roman"/>
          <w:b/>
          <w:bCs/>
          <w:sz w:val="28"/>
          <w:szCs w:val="28"/>
        </w:rPr>
        <w:t>ONP</w:t>
      </w:r>
      <w:r w:rsidRPr="00051BE1">
        <w:rPr>
          <w:rFonts w:ascii="Times New Roman" w:hAnsi="Times New Roman" w:cs="Times New Roman"/>
          <w:b/>
          <w:bCs/>
          <w:sz w:val="28"/>
          <w:szCs w:val="28"/>
        </w:rPr>
        <w:t>), Nigeria</w:t>
      </w:r>
    </w:p>
    <w:p w14:paraId="27B96AD8" w14:textId="77777777" w:rsidR="00C17E13" w:rsidRPr="00BE4AF3" w:rsidRDefault="00C17E13" w:rsidP="00B6642C">
      <w:pPr>
        <w:spacing w:after="0" w:line="240" w:lineRule="auto"/>
        <w:jc w:val="center"/>
        <w:rPr>
          <w:rFonts w:ascii="Times New Roman" w:hAnsi="Times New Roman" w:cs="Times New Roman"/>
          <w:b/>
          <w:bCs/>
          <w:sz w:val="24"/>
          <w:szCs w:val="24"/>
        </w:rPr>
      </w:pPr>
    </w:p>
    <w:p w14:paraId="0F44B0DF" w14:textId="77777777" w:rsidR="00B6642C" w:rsidRPr="00BE4AF3" w:rsidRDefault="00B6642C" w:rsidP="00B6642C">
      <w:pPr>
        <w:spacing w:after="0" w:line="240" w:lineRule="auto"/>
        <w:jc w:val="center"/>
        <w:rPr>
          <w:rFonts w:ascii="Times New Roman" w:hAnsi="Times New Roman" w:cs="Times New Roman"/>
          <w:bCs/>
          <w:sz w:val="24"/>
          <w:szCs w:val="24"/>
        </w:rPr>
      </w:pPr>
      <w:r w:rsidRPr="00BE4AF3">
        <w:rPr>
          <w:rFonts w:ascii="Times New Roman" w:hAnsi="Times New Roman" w:cs="Times New Roman"/>
          <w:bCs/>
          <w:sz w:val="24"/>
          <w:szCs w:val="24"/>
        </w:rPr>
        <w:t>Wahab, I. A</w:t>
      </w:r>
      <w:r w:rsidRPr="00BE4AF3">
        <w:rPr>
          <w:rFonts w:ascii="Times New Roman" w:hAnsi="Times New Roman" w:cs="Times New Roman"/>
          <w:bCs/>
          <w:sz w:val="24"/>
          <w:szCs w:val="24"/>
          <w:vertAlign w:val="superscript"/>
        </w:rPr>
        <w:t>1</w:t>
      </w:r>
      <w:r w:rsidRPr="00BE4AF3">
        <w:rPr>
          <w:rFonts w:ascii="Times New Roman" w:hAnsi="Times New Roman" w:cs="Times New Roman"/>
          <w:bCs/>
          <w:sz w:val="24"/>
          <w:szCs w:val="24"/>
        </w:rPr>
        <w:t>., Onuigbo, I. C</w:t>
      </w:r>
      <w:r w:rsidRPr="00BE4AF3">
        <w:rPr>
          <w:rFonts w:ascii="Times New Roman" w:hAnsi="Times New Roman" w:cs="Times New Roman"/>
          <w:bCs/>
          <w:sz w:val="24"/>
          <w:szCs w:val="24"/>
          <w:vertAlign w:val="superscript"/>
        </w:rPr>
        <w:t>1</w:t>
      </w:r>
      <w:r w:rsidRPr="00BE4AF3">
        <w:rPr>
          <w:rFonts w:ascii="Times New Roman" w:hAnsi="Times New Roman" w:cs="Times New Roman"/>
          <w:bCs/>
          <w:sz w:val="24"/>
          <w:szCs w:val="24"/>
        </w:rPr>
        <w:t>., &amp; Baba, M</w:t>
      </w:r>
      <w:r w:rsidRPr="00BE4AF3">
        <w:rPr>
          <w:rFonts w:ascii="Times New Roman" w:hAnsi="Times New Roman" w:cs="Times New Roman"/>
          <w:bCs/>
          <w:sz w:val="24"/>
          <w:szCs w:val="24"/>
          <w:vertAlign w:val="superscript"/>
        </w:rPr>
        <w:t>1</w:t>
      </w:r>
      <w:r w:rsidRPr="00BE4AF3">
        <w:rPr>
          <w:rFonts w:ascii="Times New Roman" w:hAnsi="Times New Roman" w:cs="Times New Roman"/>
          <w:bCs/>
          <w:sz w:val="24"/>
          <w:szCs w:val="24"/>
        </w:rPr>
        <w:t>.</w:t>
      </w:r>
    </w:p>
    <w:p w14:paraId="59420AAA" w14:textId="77777777" w:rsidR="001E38AC" w:rsidRPr="00BE4AF3" w:rsidRDefault="001E38AC" w:rsidP="00B6642C">
      <w:pPr>
        <w:spacing w:after="0" w:line="240" w:lineRule="auto"/>
        <w:jc w:val="center"/>
        <w:rPr>
          <w:rFonts w:ascii="Times New Roman" w:hAnsi="Times New Roman" w:cs="Times New Roman"/>
          <w:bCs/>
          <w:sz w:val="24"/>
          <w:szCs w:val="24"/>
        </w:rPr>
      </w:pPr>
    </w:p>
    <w:p w14:paraId="55A009AD" w14:textId="77777777" w:rsidR="001E38AC" w:rsidRPr="00051BE1" w:rsidRDefault="00B6642C" w:rsidP="00B6642C">
      <w:pPr>
        <w:spacing w:after="0" w:line="240" w:lineRule="auto"/>
        <w:jc w:val="center"/>
        <w:rPr>
          <w:rFonts w:ascii="Times New Roman" w:hAnsi="Times New Roman" w:cs="Times New Roman"/>
          <w:bCs/>
          <w:sz w:val="20"/>
          <w:szCs w:val="20"/>
        </w:rPr>
      </w:pPr>
      <w:r w:rsidRPr="00051BE1">
        <w:rPr>
          <w:rFonts w:ascii="Times New Roman" w:hAnsi="Times New Roman" w:cs="Times New Roman"/>
          <w:bCs/>
          <w:sz w:val="20"/>
          <w:szCs w:val="20"/>
          <w:vertAlign w:val="superscript"/>
        </w:rPr>
        <w:t>1</w:t>
      </w:r>
      <w:r w:rsidRPr="00051BE1">
        <w:rPr>
          <w:rFonts w:ascii="Times New Roman" w:hAnsi="Times New Roman" w:cs="Times New Roman"/>
          <w:bCs/>
          <w:sz w:val="20"/>
          <w:szCs w:val="20"/>
        </w:rPr>
        <w:t>Department of Surveying and Geoinformatics, Federal University of Technology Minna, Niger State Nigeria</w:t>
      </w:r>
    </w:p>
    <w:p w14:paraId="77A01D97" w14:textId="77777777" w:rsidR="00B6642C" w:rsidRPr="00051BE1" w:rsidRDefault="00B6642C" w:rsidP="00B6642C">
      <w:pPr>
        <w:spacing w:after="0" w:line="240" w:lineRule="auto"/>
        <w:jc w:val="center"/>
        <w:rPr>
          <w:rFonts w:ascii="Times New Roman" w:hAnsi="Times New Roman" w:cs="Times New Roman"/>
          <w:bCs/>
          <w:sz w:val="20"/>
          <w:szCs w:val="20"/>
        </w:rPr>
      </w:pPr>
      <w:r w:rsidRPr="00051BE1">
        <w:rPr>
          <w:rFonts w:ascii="Times New Roman" w:hAnsi="Times New Roman" w:cs="Times New Roman"/>
          <w:bCs/>
          <w:sz w:val="20"/>
          <w:szCs w:val="20"/>
        </w:rPr>
        <w:t xml:space="preserve"> </w:t>
      </w:r>
    </w:p>
    <w:p w14:paraId="549C31B3" w14:textId="77777777" w:rsidR="00B6642C" w:rsidRPr="00051BE1" w:rsidRDefault="00B6642C" w:rsidP="00B6642C">
      <w:pPr>
        <w:spacing w:after="0" w:line="240" w:lineRule="auto"/>
        <w:jc w:val="center"/>
        <w:rPr>
          <w:rFonts w:ascii="Times New Roman" w:hAnsi="Times New Roman" w:cs="Times New Roman"/>
          <w:bCs/>
          <w:sz w:val="20"/>
          <w:szCs w:val="20"/>
        </w:rPr>
      </w:pPr>
      <w:r w:rsidRPr="00051BE1">
        <w:rPr>
          <w:rFonts w:ascii="Times New Roman" w:hAnsi="Times New Roman" w:cs="Times New Roman"/>
          <w:bCs/>
          <w:sz w:val="20"/>
          <w:szCs w:val="20"/>
        </w:rPr>
        <w:t>Corresponding email: ismailwahab009@gmail.com</w:t>
      </w:r>
    </w:p>
    <w:p w14:paraId="072B8602" w14:textId="77777777" w:rsidR="001E38AC" w:rsidRPr="00BE4AF3" w:rsidRDefault="001E38AC" w:rsidP="00B6642C">
      <w:pPr>
        <w:spacing w:after="0" w:line="240" w:lineRule="auto"/>
        <w:rPr>
          <w:rFonts w:ascii="Times New Roman" w:hAnsi="Times New Roman" w:cs="Times New Roman"/>
          <w:b/>
          <w:bCs/>
          <w:sz w:val="24"/>
          <w:szCs w:val="24"/>
        </w:rPr>
      </w:pPr>
    </w:p>
    <w:p w14:paraId="2BC0B65F" w14:textId="77777777" w:rsidR="00B6642C" w:rsidRPr="00BE4AF3" w:rsidRDefault="00B6642C" w:rsidP="00B6642C">
      <w:pPr>
        <w:spacing w:after="0" w:line="240" w:lineRule="auto"/>
        <w:rPr>
          <w:rFonts w:ascii="Times New Roman" w:hAnsi="Times New Roman" w:cs="Times New Roman"/>
          <w:b/>
          <w:bCs/>
          <w:sz w:val="24"/>
          <w:szCs w:val="24"/>
        </w:rPr>
      </w:pPr>
      <w:r w:rsidRPr="00BE4AF3">
        <w:rPr>
          <w:rFonts w:ascii="Times New Roman" w:hAnsi="Times New Roman" w:cs="Times New Roman"/>
          <w:b/>
          <w:bCs/>
          <w:sz w:val="24"/>
          <w:szCs w:val="24"/>
        </w:rPr>
        <w:t>LICFES 2025-011 – FP28</w:t>
      </w:r>
    </w:p>
    <w:p w14:paraId="1B212478" w14:textId="77777777" w:rsidR="00B6642C" w:rsidRPr="00BE4AF3" w:rsidRDefault="001E38AC" w:rsidP="00B6642C">
      <w:pPr>
        <w:spacing w:after="0" w:line="240" w:lineRule="auto"/>
        <w:rPr>
          <w:rFonts w:ascii="Times New Roman" w:hAnsi="Times New Roman" w:cs="Times New Roman"/>
          <w:sz w:val="24"/>
          <w:szCs w:val="24"/>
        </w:rPr>
      </w:pPr>
      <w:r w:rsidRPr="00BE4AF3">
        <w:rPr>
          <w:rFonts w:ascii="Times New Roman" w:hAnsi="Times New Roman" w:cs="Times New Roman"/>
          <w:b/>
          <w:bCs/>
          <w:sz w:val="24"/>
          <w:szCs w:val="24"/>
        </w:rPr>
        <w:t>Abstract</w:t>
      </w:r>
    </w:p>
    <w:p w14:paraId="6180CDC8" w14:textId="77777777" w:rsidR="001E38AC" w:rsidRPr="00BE4AF3" w:rsidRDefault="00B6642C" w:rsidP="001E38AC">
      <w:pPr>
        <w:pStyle w:val="NormalWeb"/>
        <w:spacing w:before="0" w:beforeAutospacing="0" w:after="0" w:afterAutospacing="0"/>
        <w:jc w:val="both"/>
        <w:rPr>
          <w:lang w:val="en-MY"/>
        </w:rPr>
      </w:pPr>
      <w:r w:rsidRPr="00BE4AF3">
        <w:rPr>
          <w:lang w:val="en-MY"/>
        </w:rPr>
        <w:t>Deforestation in protected areas severely threatens global biodiversity, particularly in West Africa where human pressures continue to undermine conservation. This study provides a detailed spatio-temporal analysis of deforestation in Old Oyo National Park (OONP), Nigeria, from 2005 to 2025 using multi-temporal Landsat imagery analyzed through Maximum Likelihood Algorithm (MLA) and Support Vector Machine (SVM) classification methods. Results indicate a 52.4% decline in total forest cover (342,538.65 ha), with Dense Forests suffering a 79.7% loss and Dispersed Forests 64.9%. The deforestation rate accelerated sharply, averaging 1.2% annually in the first decade and rising to 4.6% in the second. Agricultural expansion, showing a strong negative correlation with forest cover (r = -0.94), was the primary driver, converting vast forest areas into 791,485 ha of farmland. Urban development and forest degradation acted as secondary but synergistic forces. Spatial patterns revealed 73.2% of forest loss occurred within 2 km of agricultural zones, highlighting edge effects and organized clearing. Despite slight variations, both MLA and SVM produced consistent deforestation trends. The study achieved 93.6% classification accuracy and 89.4% predictive accuracy, offering a robust framework for conservation planning and monitoring.</w:t>
      </w:r>
      <w:r w:rsidR="001E38AC" w:rsidRPr="00BE4AF3">
        <w:rPr>
          <w:lang w:val="en-MY"/>
        </w:rPr>
        <w:t xml:space="preserve"> </w:t>
      </w:r>
    </w:p>
    <w:p w14:paraId="256368B8" w14:textId="77777777" w:rsidR="001E38AC" w:rsidRPr="00BE4AF3" w:rsidRDefault="001E38AC" w:rsidP="001E38AC">
      <w:pPr>
        <w:pStyle w:val="NormalWeb"/>
        <w:spacing w:before="0" w:beforeAutospacing="0" w:after="0" w:afterAutospacing="0"/>
        <w:jc w:val="both"/>
        <w:rPr>
          <w:lang w:val="en-MY"/>
        </w:rPr>
      </w:pPr>
    </w:p>
    <w:p w14:paraId="71B5265E" w14:textId="77777777" w:rsidR="00EE3A8A" w:rsidRPr="00BE4AF3" w:rsidRDefault="00B6642C" w:rsidP="00EE3A8A">
      <w:pPr>
        <w:pStyle w:val="NormalWeb"/>
        <w:spacing w:before="0" w:beforeAutospacing="0" w:after="0" w:afterAutospacing="0"/>
        <w:jc w:val="both"/>
        <w:rPr>
          <w:b/>
        </w:rPr>
      </w:pPr>
      <w:r w:rsidRPr="00BE4AF3">
        <w:rPr>
          <w:b/>
        </w:rPr>
        <w:t>Key</w:t>
      </w:r>
      <w:r w:rsidR="001E38AC" w:rsidRPr="00BE4AF3">
        <w:rPr>
          <w:b/>
        </w:rPr>
        <w:t>w</w:t>
      </w:r>
      <w:r w:rsidRPr="00BE4AF3">
        <w:rPr>
          <w:b/>
        </w:rPr>
        <w:t>ords</w:t>
      </w:r>
      <w:r w:rsidRPr="00BE4AF3">
        <w:rPr>
          <w:b/>
          <w:bCs/>
        </w:rPr>
        <w:t xml:space="preserve">: </w:t>
      </w:r>
      <w:r w:rsidRPr="00BE4AF3">
        <w:t xml:space="preserve">Deforestation, </w:t>
      </w:r>
      <w:r w:rsidRPr="00BE4AF3">
        <w:rPr>
          <w:rStyle w:val="Strong"/>
          <w:b w:val="0"/>
        </w:rPr>
        <w:t>Remote sensing, Protected areas,</w:t>
      </w:r>
      <w:r w:rsidRPr="00BE4AF3">
        <w:rPr>
          <w:rStyle w:val="Strong"/>
        </w:rPr>
        <w:t xml:space="preserve"> </w:t>
      </w:r>
      <w:r w:rsidRPr="00BE4AF3">
        <w:t xml:space="preserve">Land-use land cover change, </w:t>
      </w:r>
      <w:r w:rsidRPr="00BE4AF3">
        <w:rPr>
          <w:rStyle w:val="Strong"/>
          <w:b w:val="0"/>
        </w:rPr>
        <w:t>Conservation</w:t>
      </w:r>
    </w:p>
    <w:p w14:paraId="4D8DE7F2" w14:textId="77777777" w:rsidR="00EE3A8A" w:rsidRPr="00BE4AF3" w:rsidRDefault="00EE3A8A" w:rsidP="00116291">
      <w:pPr>
        <w:spacing w:after="0" w:line="240" w:lineRule="auto"/>
        <w:rPr>
          <w:rFonts w:ascii="Times New Roman" w:hAnsi="Times New Roman" w:cs="Times New Roman"/>
          <w:sz w:val="24"/>
          <w:szCs w:val="24"/>
          <w:lang w:val="en-US"/>
        </w:rPr>
      </w:pPr>
    </w:p>
    <w:p w14:paraId="58081C3C" w14:textId="731066AC" w:rsidR="0000060D" w:rsidRPr="00BE4AF3" w:rsidRDefault="0000060D" w:rsidP="00051BE1">
      <w:pPr>
        <w:pStyle w:val="Heading1"/>
        <w:spacing w:before="0" w:line="240" w:lineRule="auto"/>
        <w:rPr>
          <w:rFonts w:ascii="Times New Roman" w:hAnsi="Times New Roman" w:cs="Times New Roman"/>
          <w:b/>
          <w:bCs/>
          <w:sz w:val="24"/>
          <w:szCs w:val="24"/>
        </w:rPr>
      </w:pPr>
      <w:r w:rsidRPr="00051BE1">
        <w:rPr>
          <w:rFonts w:ascii="Times New Roman" w:hAnsi="Times New Roman" w:cs="Times New Roman"/>
          <w:b/>
          <w:bCs/>
          <w:color w:val="000000" w:themeColor="text1"/>
          <w:sz w:val="24"/>
          <w:szCs w:val="24"/>
        </w:rPr>
        <w:t>Introduction</w:t>
      </w:r>
      <w:r w:rsidRPr="00BE4AF3">
        <w:rPr>
          <w:rFonts w:ascii="Times New Roman" w:hAnsi="Times New Roman" w:cs="Times New Roman"/>
          <w:b/>
          <w:bCs/>
          <w:sz w:val="24"/>
          <w:szCs w:val="24"/>
        </w:rPr>
        <w:t xml:space="preserve"> </w:t>
      </w:r>
    </w:p>
    <w:p w14:paraId="4A300429" w14:textId="77777777" w:rsidR="0000060D" w:rsidRPr="00BE4AF3" w:rsidRDefault="0000060D" w:rsidP="00051BE1">
      <w:pPr>
        <w:spacing w:after="0" w:line="240" w:lineRule="auto"/>
        <w:jc w:val="both"/>
        <w:rPr>
          <w:rFonts w:ascii="Times New Roman" w:hAnsi="Times New Roman" w:cs="Times New Roman"/>
          <w:bCs/>
          <w:sz w:val="24"/>
          <w:szCs w:val="24"/>
        </w:rPr>
      </w:pPr>
      <w:bookmarkStart w:id="75" w:name="_Toc198908922"/>
      <w:r w:rsidRPr="00BE4AF3">
        <w:rPr>
          <w:rFonts w:ascii="Times New Roman" w:hAnsi="Times New Roman" w:cs="Times New Roman"/>
          <w:bCs/>
          <w:sz w:val="24"/>
          <w:szCs w:val="24"/>
        </w:rPr>
        <w:t>Deforestation remains a critical environmental issue globally, with tropical forests like those in Africa facing alarming rates of loss. Between 2010 and 2020, Africa lost about 3.9 million hectares of forest annually, with Nigeria alone losing roughly 11% of its primary forests due to agricultural expansion, illegal logging, and urbanization (</w:t>
      </w:r>
      <w:r w:rsidRPr="00BE4AF3">
        <w:rPr>
          <w:rFonts w:ascii="Times New Roman" w:eastAsia="Times New Roman" w:hAnsi="Times New Roman" w:cs="Times New Roman"/>
          <w:bCs/>
          <w:sz w:val="24"/>
          <w:szCs w:val="24"/>
        </w:rPr>
        <w:t>Abugiche et al., 2021</w:t>
      </w:r>
      <w:r w:rsidRPr="00BE4AF3">
        <w:rPr>
          <w:rFonts w:ascii="Times New Roman" w:hAnsi="Times New Roman" w:cs="Times New Roman"/>
          <w:bCs/>
          <w:sz w:val="24"/>
          <w:szCs w:val="24"/>
        </w:rPr>
        <w:t>). Old Oyo National Park (OONP), a major conservation site in Nigeria and home to endangered species such as the African elephant and West African lion, has experienced notable forest fragmentation. Despite its ecological significance and potential for ecotourism, the park continues to suffer from habitat loss and degradation (</w:t>
      </w:r>
      <w:r w:rsidRPr="00BE4AF3">
        <w:rPr>
          <w:rFonts w:ascii="Times New Roman" w:eastAsia="Times New Roman" w:hAnsi="Times New Roman" w:cs="Times New Roman"/>
          <w:bCs/>
          <w:sz w:val="24"/>
          <w:szCs w:val="24"/>
        </w:rPr>
        <w:t>Adekunle et al., 2020</w:t>
      </w:r>
      <w:r w:rsidRPr="00BE4AF3">
        <w:rPr>
          <w:rFonts w:ascii="Times New Roman" w:hAnsi="Times New Roman" w:cs="Times New Roman"/>
          <w:bCs/>
          <w:sz w:val="24"/>
          <w:szCs w:val="24"/>
        </w:rPr>
        <w:t>). Remote Sensing (RS) and Geographic Information Systems (GIS) have proven valuable in monitoring land-use and land-cover (LULC) changes, offering critical insights into environmental conditions. Although several studies have evaluated deforestation in Nigeria’s forest reserves using satellite imagery, limited attention has been given to OONP, particularly using multi-temporal data and advanced geospatial techniques (</w:t>
      </w:r>
      <w:r w:rsidRPr="00BE4AF3">
        <w:rPr>
          <w:rFonts w:ascii="Times New Roman" w:eastAsia="Times New Roman" w:hAnsi="Times New Roman" w:cs="Times New Roman"/>
          <w:bCs/>
          <w:sz w:val="24"/>
          <w:szCs w:val="24"/>
        </w:rPr>
        <w:t>Adepoju and Adewumi 2020</w:t>
      </w:r>
      <w:r w:rsidRPr="00BE4AF3">
        <w:rPr>
          <w:rFonts w:ascii="Times New Roman" w:hAnsi="Times New Roman" w:cs="Times New Roman"/>
          <w:bCs/>
          <w:sz w:val="24"/>
          <w:szCs w:val="24"/>
        </w:rPr>
        <w:t>).</w:t>
      </w:r>
    </w:p>
    <w:p w14:paraId="2F1C74FC" w14:textId="77777777" w:rsidR="0000060D" w:rsidRPr="00BE4AF3" w:rsidRDefault="0000060D" w:rsidP="00051BE1">
      <w:pPr>
        <w:spacing w:after="0" w:line="240" w:lineRule="auto"/>
        <w:jc w:val="both"/>
        <w:rPr>
          <w:rFonts w:ascii="Times New Roman" w:hAnsi="Times New Roman" w:cs="Times New Roman"/>
          <w:bCs/>
          <w:sz w:val="24"/>
          <w:szCs w:val="24"/>
        </w:rPr>
      </w:pPr>
      <w:r w:rsidRPr="00BE4AF3">
        <w:rPr>
          <w:rFonts w:ascii="Times New Roman" w:hAnsi="Times New Roman" w:cs="Times New Roman"/>
          <w:bCs/>
          <w:sz w:val="24"/>
          <w:szCs w:val="24"/>
        </w:rPr>
        <w:t xml:space="preserve">This study aims to fill that research gap by conducting a comprehensive, spatially explicit assessment of deforestation in OONP, utilizing RS and GIS tools. The study is globally relevant as it supports the United Nations Sustainable Development Goal 15 (Life on Land) and contributes to Nigeria’s environmental obligations under the Paris Agreement and National Biodiversity Strategy and Action Plan. By providing updated empirical data, the research will help inform more effective and sustainable management policies for OONP. </w:t>
      </w:r>
    </w:p>
    <w:p w14:paraId="71C0A416" w14:textId="3E2C4061" w:rsidR="0000060D" w:rsidRPr="00BE4AF3" w:rsidRDefault="0000060D" w:rsidP="00051BE1">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lastRenderedPageBreak/>
        <w:t xml:space="preserve">Study Area </w:t>
      </w:r>
    </w:p>
    <w:p w14:paraId="0663D735" w14:textId="77777777" w:rsidR="0000060D" w:rsidRDefault="0000060D" w:rsidP="00051BE1">
      <w:pPr>
        <w:spacing w:after="0" w:line="240" w:lineRule="auto"/>
        <w:jc w:val="both"/>
        <w:rPr>
          <w:rFonts w:ascii="Times New Roman" w:hAnsi="Times New Roman" w:cs="Times New Roman"/>
          <w:bCs/>
          <w:sz w:val="24"/>
          <w:szCs w:val="24"/>
        </w:rPr>
      </w:pPr>
      <w:r w:rsidRPr="00BE4AF3">
        <w:rPr>
          <w:rFonts w:ascii="Times New Roman" w:hAnsi="Times New Roman" w:cs="Times New Roman"/>
          <w:bCs/>
          <w:sz w:val="24"/>
          <w:szCs w:val="24"/>
        </w:rPr>
        <w:t>Old Oyo National Park (OONP), situated in southwestern Nigeria between Oyo and Kwara States, lies within latitudes 8°11'17.25"N to 9°2'38.10"N and longitudes 3°32'38.70"E to 4°21'29.62"E, covering an area of approximately 2,512 km². Positioned in the ecological transition zone between the Guineo-Congolian rainforest and Sudanian savanna, the park features a diverse landscape of hills, lowlands, and river systems such as the Ogun and Owu, which support varied ecosystems. OONP is home to key endangered species like the African elephant, West African lion, and over 200 bird species, reflecting its high conservation value (</w:t>
      </w:r>
      <w:r w:rsidRPr="00BE4AF3">
        <w:rPr>
          <w:rFonts w:ascii="Times New Roman" w:eastAsia="Times New Roman" w:hAnsi="Times New Roman" w:cs="Times New Roman"/>
          <w:bCs/>
          <w:sz w:val="24"/>
          <w:szCs w:val="24"/>
        </w:rPr>
        <w:t>Abugiche et al., 2021</w:t>
      </w:r>
      <w:r w:rsidRPr="00BE4AF3">
        <w:rPr>
          <w:rFonts w:ascii="Times New Roman" w:hAnsi="Times New Roman" w:cs="Times New Roman"/>
          <w:bCs/>
          <w:sz w:val="24"/>
          <w:szCs w:val="24"/>
        </w:rPr>
        <w:t>). However, increasing anthropogenic pressures including farming, logging, and poaching from surrounding communities such as Sepeteri and Tede have led to rapid deforestation and ecosystem degradation, making it a critical case study for evaluating land use change and conservation efforts in West Africa.</w:t>
      </w:r>
    </w:p>
    <w:p w14:paraId="344F5D95" w14:textId="77777777" w:rsidR="00051BE1" w:rsidRPr="00BE4AF3" w:rsidRDefault="00051BE1" w:rsidP="00051BE1">
      <w:pPr>
        <w:spacing w:after="0" w:line="240" w:lineRule="auto"/>
        <w:jc w:val="both"/>
        <w:rPr>
          <w:rFonts w:ascii="Times New Roman" w:hAnsi="Times New Roman" w:cs="Times New Roman"/>
          <w:bCs/>
          <w:sz w:val="24"/>
          <w:szCs w:val="24"/>
        </w:rPr>
      </w:pPr>
    </w:p>
    <w:p w14:paraId="3F43BF6E" w14:textId="77777777" w:rsidR="0000060D" w:rsidRPr="00BE4AF3" w:rsidRDefault="0000060D" w:rsidP="0000060D">
      <w:pPr>
        <w:spacing w:after="120"/>
        <w:jc w:val="center"/>
        <w:rPr>
          <w:rFonts w:ascii="Times New Roman" w:hAnsi="Times New Roman" w:cs="Times New Roman"/>
          <w:noProof/>
          <w:sz w:val="24"/>
          <w:szCs w:val="24"/>
        </w:rPr>
      </w:pPr>
      <w:r w:rsidRPr="00BE4AF3">
        <w:rPr>
          <w:rFonts w:ascii="Times New Roman" w:hAnsi="Times New Roman" w:cs="Times New Roman"/>
          <w:noProof/>
          <w:sz w:val="24"/>
          <w:szCs w:val="24"/>
          <w:lang w:eastAsia="en-GB"/>
        </w:rPr>
        <w:drawing>
          <wp:inline distT="0" distB="0" distL="0" distR="0" wp14:anchorId="36A98804" wp14:editId="20D3CC75">
            <wp:extent cx="3438525" cy="2752725"/>
            <wp:effectExtent l="0" t="0" r="9525" b="9525"/>
            <wp:docPr id="807822878" name="Picture 807822878" descr="Map of Old Oyo National Park showing sampled Communities.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 of Old Oyo National Park showing sampled Communities. | Download  Scientific Diagram"/>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438525" cy="2752725"/>
                    </a:xfrm>
                    <a:prstGeom prst="rect">
                      <a:avLst/>
                    </a:prstGeom>
                    <a:noFill/>
                    <a:ln>
                      <a:noFill/>
                    </a:ln>
                  </pic:spPr>
                </pic:pic>
              </a:graphicData>
            </a:graphic>
          </wp:inline>
        </w:drawing>
      </w:r>
    </w:p>
    <w:p w14:paraId="2513BB20" w14:textId="77777777" w:rsidR="0000060D" w:rsidRPr="00BE4AF3" w:rsidRDefault="0000060D" w:rsidP="0000060D">
      <w:pPr>
        <w:spacing w:after="120"/>
        <w:jc w:val="center"/>
        <w:rPr>
          <w:rFonts w:ascii="Times New Roman" w:hAnsi="Times New Roman" w:cs="Times New Roman"/>
          <w:b/>
          <w:bCs/>
          <w:sz w:val="24"/>
          <w:szCs w:val="24"/>
        </w:rPr>
      </w:pPr>
      <w:r w:rsidRPr="00BE4AF3">
        <w:rPr>
          <w:rFonts w:ascii="Times New Roman" w:hAnsi="Times New Roman" w:cs="Times New Roman"/>
          <w:b/>
          <w:bCs/>
          <w:noProof/>
          <w:sz w:val="24"/>
          <w:szCs w:val="24"/>
        </w:rPr>
        <w:t xml:space="preserve">Figure 1. </w:t>
      </w:r>
      <w:r w:rsidRPr="00051BE1">
        <w:rPr>
          <w:rFonts w:ascii="Times New Roman" w:hAnsi="Times New Roman" w:cs="Times New Roman"/>
          <w:noProof/>
          <w:sz w:val="24"/>
          <w:szCs w:val="24"/>
        </w:rPr>
        <w:t>Map of the Study Area</w:t>
      </w:r>
      <w:r w:rsidRPr="00BE4AF3">
        <w:rPr>
          <w:rFonts w:ascii="Times New Roman" w:hAnsi="Times New Roman" w:cs="Times New Roman"/>
          <w:b/>
          <w:bCs/>
          <w:noProof/>
          <w:sz w:val="24"/>
          <w:szCs w:val="24"/>
        </w:rPr>
        <w:t xml:space="preserve"> </w:t>
      </w:r>
    </w:p>
    <w:p w14:paraId="00FE7E24" w14:textId="77777777" w:rsidR="0000060D" w:rsidRPr="00BE4AF3" w:rsidRDefault="0000060D" w:rsidP="0000060D">
      <w:pPr>
        <w:spacing w:after="120"/>
        <w:rPr>
          <w:rFonts w:ascii="Times New Roman" w:hAnsi="Times New Roman" w:cs="Times New Roman"/>
          <w:b/>
          <w:sz w:val="24"/>
          <w:szCs w:val="24"/>
        </w:rPr>
      </w:pPr>
    </w:p>
    <w:p w14:paraId="3E39D171" w14:textId="42AEAADF" w:rsidR="0000060D" w:rsidRPr="00BE4AF3" w:rsidRDefault="0000060D" w:rsidP="0000060D">
      <w:pPr>
        <w:spacing w:after="120"/>
        <w:rPr>
          <w:rFonts w:ascii="Times New Roman" w:hAnsi="Times New Roman" w:cs="Times New Roman"/>
          <w:b/>
          <w:sz w:val="24"/>
          <w:szCs w:val="24"/>
        </w:rPr>
      </w:pPr>
      <w:r w:rsidRPr="00BE4AF3">
        <w:rPr>
          <w:rFonts w:ascii="Times New Roman" w:hAnsi="Times New Roman" w:cs="Times New Roman"/>
          <w:b/>
          <w:sz w:val="24"/>
          <w:szCs w:val="24"/>
        </w:rPr>
        <w:t>Material and Methods</w:t>
      </w:r>
      <w:bookmarkEnd w:id="75"/>
    </w:p>
    <w:p w14:paraId="4B24B5E4" w14:textId="41DDFA7D" w:rsidR="0000060D" w:rsidRPr="00BE4AF3" w:rsidRDefault="0000060D" w:rsidP="00051BE1">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 xml:space="preserve">Method </w:t>
      </w:r>
    </w:p>
    <w:p w14:paraId="5A62C8F6" w14:textId="77777777" w:rsidR="0000060D" w:rsidRPr="00BE4AF3" w:rsidRDefault="0000060D" w:rsidP="00051BE1">
      <w:pPr>
        <w:spacing w:after="0" w:line="240" w:lineRule="auto"/>
        <w:jc w:val="both"/>
        <w:rPr>
          <w:rFonts w:ascii="Times New Roman" w:hAnsi="Times New Roman" w:cs="Times New Roman"/>
          <w:bCs/>
          <w:sz w:val="24"/>
          <w:szCs w:val="24"/>
        </w:rPr>
      </w:pPr>
      <w:r w:rsidRPr="00BE4AF3">
        <w:rPr>
          <w:rFonts w:ascii="Times New Roman" w:hAnsi="Times New Roman" w:cs="Times New Roman"/>
          <w:bCs/>
          <w:sz w:val="24"/>
          <w:szCs w:val="24"/>
        </w:rPr>
        <w:t xml:space="preserve">the methodological framework for analyzing deforestation in Old Oyo National Park (OONP) using </w:t>
      </w:r>
      <w:r w:rsidRPr="00BE4AF3">
        <w:rPr>
          <w:rStyle w:val="Strong"/>
          <w:rFonts w:ascii="Times New Roman" w:hAnsi="Times New Roman" w:cs="Times New Roman"/>
          <w:b w:val="0"/>
          <w:sz w:val="24"/>
          <w:szCs w:val="24"/>
        </w:rPr>
        <w:t>Landsat imagery (2005–2025)</w:t>
      </w:r>
      <w:r w:rsidRPr="00BE4AF3">
        <w:rPr>
          <w:rFonts w:ascii="Times New Roman" w:hAnsi="Times New Roman" w:cs="Times New Roman"/>
          <w:bCs/>
          <w:sz w:val="24"/>
          <w:szCs w:val="24"/>
        </w:rPr>
        <w:t xml:space="preserve"> and </w:t>
      </w:r>
      <w:r w:rsidRPr="00BE4AF3">
        <w:rPr>
          <w:rStyle w:val="Strong"/>
          <w:rFonts w:ascii="Times New Roman" w:hAnsi="Times New Roman" w:cs="Times New Roman"/>
          <w:b w:val="0"/>
          <w:sz w:val="24"/>
          <w:szCs w:val="24"/>
        </w:rPr>
        <w:t>supervised classification techniques</w:t>
      </w:r>
      <w:r w:rsidRPr="00BE4AF3">
        <w:rPr>
          <w:rFonts w:ascii="Times New Roman" w:hAnsi="Times New Roman" w:cs="Times New Roman"/>
          <w:bCs/>
          <w:sz w:val="24"/>
          <w:szCs w:val="24"/>
        </w:rPr>
        <w:t xml:space="preserve">. The study employs </w:t>
      </w:r>
      <w:r w:rsidRPr="00BE4AF3">
        <w:rPr>
          <w:rStyle w:val="Strong"/>
          <w:rFonts w:ascii="Times New Roman" w:hAnsi="Times New Roman" w:cs="Times New Roman"/>
          <w:b w:val="0"/>
          <w:sz w:val="24"/>
          <w:szCs w:val="24"/>
        </w:rPr>
        <w:t>Maximum Likelihood Classification (MLC)</w:t>
      </w:r>
      <w:r w:rsidRPr="00BE4AF3">
        <w:rPr>
          <w:rFonts w:ascii="Times New Roman" w:hAnsi="Times New Roman" w:cs="Times New Roman"/>
          <w:bCs/>
          <w:sz w:val="24"/>
          <w:szCs w:val="24"/>
        </w:rPr>
        <w:t xml:space="preserve"> and </w:t>
      </w:r>
      <w:r w:rsidRPr="00BE4AF3">
        <w:rPr>
          <w:rStyle w:val="Strong"/>
          <w:rFonts w:ascii="Times New Roman" w:hAnsi="Times New Roman" w:cs="Times New Roman"/>
          <w:b w:val="0"/>
          <w:sz w:val="24"/>
          <w:szCs w:val="24"/>
        </w:rPr>
        <w:t>Support Vector Machine (SVM)</w:t>
      </w:r>
      <w:r w:rsidRPr="00BE4AF3">
        <w:rPr>
          <w:rFonts w:ascii="Times New Roman" w:hAnsi="Times New Roman" w:cs="Times New Roman"/>
          <w:bCs/>
          <w:sz w:val="24"/>
          <w:szCs w:val="24"/>
        </w:rPr>
        <w:t xml:space="preserve"> algorithms to map land-use and land-cover (LULC) changes, ensuring robust comparison of traditional (parametric) and advanced (non-parametric) classification approaches. Figure 2, depicts the conceptual flow chart of the research </w:t>
      </w:r>
    </w:p>
    <w:p w14:paraId="1AC47D1B" w14:textId="77777777" w:rsidR="0000060D" w:rsidRPr="00BE4AF3" w:rsidRDefault="0000060D" w:rsidP="0000060D">
      <w:pPr>
        <w:spacing w:after="240"/>
        <w:jc w:val="both"/>
        <w:rPr>
          <w:rFonts w:ascii="Times New Roman" w:hAnsi="Times New Roman" w:cs="Times New Roman"/>
          <w:sz w:val="24"/>
          <w:szCs w:val="24"/>
        </w:rPr>
        <w:sectPr w:rsidR="0000060D" w:rsidRPr="00BE4AF3" w:rsidSect="0000060D">
          <w:pgSz w:w="11906" w:h="16838"/>
          <w:pgMar w:top="1418" w:right="1418" w:bottom="1418" w:left="1418" w:header="709" w:footer="709" w:gutter="0"/>
          <w:cols w:space="708"/>
          <w:docGrid w:linePitch="360"/>
        </w:sectPr>
      </w:pPr>
    </w:p>
    <w:p w14:paraId="7F003252" w14:textId="77777777" w:rsidR="0000060D" w:rsidRPr="00BE4AF3" w:rsidRDefault="0000060D" w:rsidP="0000060D">
      <w:pPr>
        <w:spacing w:after="240"/>
        <w:jc w:val="center"/>
        <w:rPr>
          <w:rFonts w:ascii="Times New Roman" w:hAnsi="Times New Roman" w:cs="Times New Roman"/>
          <w:bCs/>
          <w:sz w:val="24"/>
          <w:szCs w:val="24"/>
        </w:rPr>
      </w:pPr>
      <w:r w:rsidRPr="00BE4AF3">
        <w:rPr>
          <w:rFonts w:ascii="Times New Roman" w:hAnsi="Times New Roman" w:cs="Times New Roman"/>
          <w:noProof/>
          <w:sz w:val="24"/>
          <w:szCs w:val="24"/>
          <w:lang w:eastAsia="en-GB"/>
        </w:rPr>
        <w:lastRenderedPageBreak/>
        <mc:AlternateContent>
          <mc:Choice Requires="wpc">
            <w:drawing>
              <wp:inline distT="0" distB="0" distL="0" distR="0" wp14:anchorId="78577785" wp14:editId="4E913369">
                <wp:extent cx="4781550" cy="3943985"/>
                <wp:effectExtent l="7620" t="0" r="11430" b="3810"/>
                <wp:docPr id="1178787257" name="Canvas 117878725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178787239" name="AutoShape 5"/>
                        <wps:cNvSpPr>
                          <a:spLocks noChangeArrowheads="1"/>
                        </wps:cNvSpPr>
                        <wps:spPr bwMode="auto">
                          <a:xfrm>
                            <a:off x="1399540" y="162560"/>
                            <a:ext cx="1486535" cy="408940"/>
                          </a:xfrm>
                          <a:prstGeom prst="roundRect">
                            <a:avLst>
                              <a:gd name="adj" fmla="val 16667"/>
                            </a:avLst>
                          </a:prstGeom>
                          <a:solidFill>
                            <a:srgbClr val="FFFFFF"/>
                          </a:solidFill>
                          <a:ln w="9525">
                            <a:solidFill>
                              <a:srgbClr val="000000"/>
                            </a:solidFill>
                            <a:round/>
                            <a:headEnd/>
                            <a:tailEnd/>
                          </a:ln>
                        </wps:spPr>
                        <wps:txbx>
                          <w:txbxContent>
                            <w:p w14:paraId="4C9A03B2" w14:textId="77777777" w:rsidR="00BE4AF3" w:rsidRPr="0050432E" w:rsidRDefault="00BE4AF3" w:rsidP="0000060D">
                              <w:pPr>
                                <w:spacing w:after="0" w:line="192" w:lineRule="auto"/>
                                <w:jc w:val="center"/>
                                <w:rPr>
                                  <w:rFonts w:ascii="Arial" w:hAnsi="Arial" w:cs="Arial"/>
                                  <w:sz w:val="20"/>
                                  <w:szCs w:val="20"/>
                                  <w:lang w:val="en-US"/>
                                </w:rPr>
                              </w:pPr>
                              <w:r w:rsidRPr="0050432E">
                                <w:rPr>
                                  <w:rFonts w:ascii="Arial" w:hAnsi="Arial" w:cs="Arial"/>
                                  <w:sz w:val="20"/>
                                  <w:szCs w:val="20"/>
                                  <w:lang w:val="en-US"/>
                                </w:rPr>
                                <w:t>Satellite Image Data</w:t>
                              </w:r>
                            </w:p>
                            <w:p w14:paraId="4B8CADFD" w14:textId="77777777" w:rsidR="00BE4AF3" w:rsidRPr="0050432E" w:rsidRDefault="00BE4AF3" w:rsidP="0000060D">
                              <w:pPr>
                                <w:spacing w:after="0" w:line="192" w:lineRule="auto"/>
                                <w:jc w:val="center"/>
                                <w:rPr>
                                  <w:rFonts w:ascii="Arial" w:hAnsi="Arial" w:cs="Arial"/>
                                  <w:sz w:val="20"/>
                                  <w:szCs w:val="20"/>
                                  <w:lang w:val="en-US"/>
                                </w:rPr>
                              </w:pPr>
                              <w:r w:rsidRPr="0050432E">
                                <w:rPr>
                                  <w:rFonts w:ascii="Arial" w:hAnsi="Arial" w:cs="Arial"/>
                                  <w:sz w:val="20"/>
                                  <w:szCs w:val="20"/>
                                  <w:lang w:val="en-US"/>
                                </w:rPr>
                                <w:t>2005, 2015 &amp; 2025</w:t>
                              </w:r>
                            </w:p>
                            <w:p w14:paraId="6EFB9315" w14:textId="77777777" w:rsidR="00BE4AF3" w:rsidRPr="0050432E" w:rsidRDefault="00BE4AF3" w:rsidP="0000060D">
                              <w:pPr>
                                <w:spacing w:after="0" w:line="192" w:lineRule="auto"/>
                                <w:jc w:val="center"/>
                                <w:rPr>
                                  <w:rFonts w:ascii="Arial" w:hAnsi="Arial" w:cs="Arial"/>
                                  <w:sz w:val="20"/>
                                  <w:szCs w:val="20"/>
                                  <w:lang w:val="en-US"/>
                                </w:rPr>
                              </w:pPr>
                            </w:p>
                          </w:txbxContent>
                        </wps:txbx>
                        <wps:bodyPr rot="0" vert="horz" wrap="square" lIns="91440" tIns="45720" rIns="91440" bIns="45720" anchor="t" anchorCtr="0" upright="1">
                          <a:noAutofit/>
                        </wps:bodyPr>
                      </wps:wsp>
                      <wps:wsp>
                        <wps:cNvPr id="1178787240" name="AutoShape 6"/>
                        <wps:cNvSpPr>
                          <a:spLocks noChangeArrowheads="1"/>
                        </wps:cNvSpPr>
                        <wps:spPr bwMode="auto">
                          <a:xfrm>
                            <a:off x="1400175" y="861695"/>
                            <a:ext cx="1485900" cy="357505"/>
                          </a:xfrm>
                          <a:prstGeom prst="roundRect">
                            <a:avLst>
                              <a:gd name="adj" fmla="val 16667"/>
                            </a:avLst>
                          </a:prstGeom>
                          <a:solidFill>
                            <a:srgbClr val="FFFFFF"/>
                          </a:solidFill>
                          <a:ln w="9525">
                            <a:solidFill>
                              <a:srgbClr val="000000"/>
                            </a:solidFill>
                            <a:round/>
                            <a:headEnd/>
                            <a:tailEnd/>
                          </a:ln>
                        </wps:spPr>
                        <wps:txbx>
                          <w:txbxContent>
                            <w:p w14:paraId="5DE103CD" w14:textId="77777777" w:rsidR="00BE4AF3" w:rsidRPr="0050432E" w:rsidRDefault="00BE4AF3" w:rsidP="0000060D">
                              <w:pPr>
                                <w:spacing w:after="0" w:line="240" w:lineRule="auto"/>
                                <w:jc w:val="center"/>
                                <w:rPr>
                                  <w:rFonts w:ascii="Arial" w:hAnsi="Arial" w:cs="Arial"/>
                                  <w:sz w:val="20"/>
                                  <w:szCs w:val="20"/>
                                  <w:lang w:val="en-US"/>
                                </w:rPr>
                              </w:pPr>
                              <w:r w:rsidRPr="0050432E">
                                <w:rPr>
                                  <w:rFonts w:ascii="Arial" w:hAnsi="Arial" w:cs="Arial"/>
                                  <w:sz w:val="20"/>
                                  <w:szCs w:val="20"/>
                                  <w:lang w:val="en-US"/>
                                </w:rPr>
                                <w:t>Image Preprocessing</w:t>
                              </w:r>
                            </w:p>
                          </w:txbxContent>
                        </wps:txbx>
                        <wps:bodyPr rot="0" vert="horz" wrap="square" lIns="91440" tIns="45720" rIns="91440" bIns="45720" anchor="t" anchorCtr="0" upright="1">
                          <a:noAutofit/>
                        </wps:bodyPr>
                      </wps:wsp>
                      <wps:wsp>
                        <wps:cNvPr id="1178787241" name="AutoShape 7"/>
                        <wps:cNvSpPr>
                          <a:spLocks noChangeArrowheads="1"/>
                        </wps:cNvSpPr>
                        <wps:spPr bwMode="auto">
                          <a:xfrm>
                            <a:off x="3228975" y="848360"/>
                            <a:ext cx="1552575" cy="400050"/>
                          </a:xfrm>
                          <a:prstGeom prst="roundRect">
                            <a:avLst>
                              <a:gd name="adj" fmla="val 16667"/>
                            </a:avLst>
                          </a:prstGeom>
                          <a:solidFill>
                            <a:srgbClr val="FFFFFF"/>
                          </a:solidFill>
                          <a:ln w="9525">
                            <a:solidFill>
                              <a:srgbClr val="000000"/>
                            </a:solidFill>
                            <a:round/>
                            <a:headEnd/>
                            <a:tailEnd/>
                          </a:ln>
                        </wps:spPr>
                        <wps:txbx>
                          <w:txbxContent>
                            <w:p w14:paraId="070A6ABE" w14:textId="77777777" w:rsidR="00BE4AF3" w:rsidRPr="0050432E" w:rsidRDefault="00BE4AF3" w:rsidP="0000060D">
                              <w:pPr>
                                <w:spacing w:after="0" w:line="192" w:lineRule="auto"/>
                                <w:rPr>
                                  <w:rFonts w:ascii="Arial" w:hAnsi="Arial" w:cs="Arial"/>
                                  <w:sz w:val="20"/>
                                  <w:szCs w:val="20"/>
                                  <w:lang w:val="en-US"/>
                                </w:rPr>
                              </w:pPr>
                              <w:r w:rsidRPr="0050432E">
                                <w:rPr>
                                  <w:rFonts w:ascii="Arial" w:hAnsi="Arial" w:cs="Arial"/>
                                  <w:sz w:val="20"/>
                                  <w:szCs w:val="20"/>
                                  <w:lang w:val="en-US"/>
                                </w:rPr>
                                <w:t>Radiometric Correction</w:t>
                              </w:r>
                            </w:p>
                          </w:txbxContent>
                        </wps:txbx>
                        <wps:bodyPr rot="0" vert="horz" wrap="square" lIns="91440" tIns="45720" rIns="91440" bIns="45720" anchor="t" anchorCtr="0" upright="1">
                          <a:noAutofit/>
                        </wps:bodyPr>
                      </wps:wsp>
                      <wps:wsp>
                        <wps:cNvPr id="1178787242" name="AutoShape 8"/>
                        <wps:cNvSpPr>
                          <a:spLocks noChangeArrowheads="1"/>
                        </wps:cNvSpPr>
                        <wps:spPr bwMode="auto">
                          <a:xfrm>
                            <a:off x="3271520" y="1428750"/>
                            <a:ext cx="1485900" cy="315595"/>
                          </a:xfrm>
                          <a:prstGeom prst="roundRect">
                            <a:avLst>
                              <a:gd name="adj" fmla="val 16667"/>
                            </a:avLst>
                          </a:prstGeom>
                          <a:solidFill>
                            <a:srgbClr val="FFFFFF"/>
                          </a:solidFill>
                          <a:ln w="9525">
                            <a:solidFill>
                              <a:srgbClr val="000000"/>
                            </a:solidFill>
                            <a:round/>
                            <a:headEnd/>
                            <a:tailEnd/>
                          </a:ln>
                        </wps:spPr>
                        <wps:txbx>
                          <w:txbxContent>
                            <w:p w14:paraId="62AD5A70" w14:textId="77777777" w:rsidR="00BE4AF3" w:rsidRPr="0050432E" w:rsidRDefault="00BE4AF3" w:rsidP="0000060D">
                              <w:pPr>
                                <w:spacing w:after="0" w:line="192" w:lineRule="auto"/>
                                <w:jc w:val="center"/>
                                <w:rPr>
                                  <w:rFonts w:ascii="Arial" w:hAnsi="Arial" w:cs="Arial"/>
                                  <w:sz w:val="20"/>
                                  <w:szCs w:val="20"/>
                                  <w:lang w:val="en-US"/>
                                </w:rPr>
                              </w:pPr>
                              <w:r w:rsidRPr="0050432E">
                                <w:rPr>
                                  <w:rFonts w:ascii="Arial" w:hAnsi="Arial" w:cs="Arial"/>
                                  <w:sz w:val="20"/>
                                  <w:szCs w:val="20"/>
                                  <w:lang w:val="en-US"/>
                                </w:rPr>
                                <w:t>Geometric Correction</w:t>
                              </w:r>
                            </w:p>
                          </w:txbxContent>
                        </wps:txbx>
                        <wps:bodyPr rot="0" vert="horz" wrap="square" lIns="91440" tIns="45720" rIns="91440" bIns="45720" anchor="t" anchorCtr="0" upright="1">
                          <a:noAutofit/>
                        </wps:bodyPr>
                      </wps:wsp>
                      <wps:wsp>
                        <wps:cNvPr id="1178787243" name="AutoShape 9"/>
                        <wps:cNvSpPr>
                          <a:spLocks noChangeArrowheads="1"/>
                        </wps:cNvSpPr>
                        <wps:spPr bwMode="auto">
                          <a:xfrm>
                            <a:off x="1516380" y="2676525"/>
                            <a:ext cx="1484630" cy="285750"/>
                          </a:xfrm>
                          <a:prstGeom prst="roundRect">
                            <a:avLst>
                              <a:gd name="adj" fmla="val 16667"/>
                            </a:avLst>
                          </a:prstGeom>
                          <a:solidFill>
                            <a:srgbClr val="FFFFFF"/>
                          </a:solidFill>
                          <a:ln w="9525">
                            <a:solidFill>
                              <a:srgbClr val="000000"/>
                            </a:solidFill>
                            <a:round/>
                            <a:headEnd/>
                            <a:tailEnd/>
                          </a:ln>
                        </wps:spPr>
                        <wps:txbx>
                          <w:txbxContent>
                            <w:p w14:paraId="798F4D68" w14:textId="77777777" w:rsidR="00BE4AF3" w:rsidRPr="0050432E" w:rsidRDefault="00BE4AF3" w:rsidP="0000060D">
                              <w:pPr>
                                <w:jc w:val="center"/>
                                <w:rPr>
                                  <w:rFonts w:ascii="Arial" w:hAnsi="Arial" w:cs="Arial"/>
                                  <w:sz w:val="20"/>
                                  <w:szCs w:val="20"/>
                                  <w:lang w:val="en-US"/>
                                </w:rPr>
                              </w:pPr>
                              <w:r w:rsidRPr="0050432E">
                                <w:rPr>
                                  <w:rFonts w:ascii="Arial" w:hAnsi="Arial" w:cs="Arial"/>
                                  <w:sz w:val="20"/>
                                  <w:szCs w:val="20"/>
                                  <w:lang w:val="en-US"/>
                                </w:rPr>
                                <w:t>Post Classification</w:t>
                              </w:r>
                            </w:p>
                          </w:txbxContent>
                        </wps:txbx>
                        <wps:bodyPr rot="0" vert="horz" wrap="square" lIns="91440" tIns="45720" rIns="91440" bIns="45720" anchor="t" anchorCtr="0" upright="1">
                          <a:noAutofit/>
                        </wps:bodyPr>
                      </wps:wsp>
                      <wps:wsp>
                        <wps:cNvPr id="1178787244" name="AutoShape 10"/>
                        <wps:cNvSpPr>
                          <a:spLocks noChangeArrowheads="1"/>
                        </wps:cNvSpPr>
                        <wps:spPr bwMode="auto">
                          <a:xfrm>
                            <a:off x="1400175" y="1438275"/>
                            <a:ext cx="1485900" cy="375920"/>
                          </a:xfrm>
                          <a:prstGeom prst="roundRect">
                            <a:avLst>
                              <a:gd name="adj" fmla="val 16667"/>
                            </a:avLst>
                          </a:prstGeom>
                          <a:solidFill>
                            <a:srgbClr val="FFFFFF"/>
                          </a:solidFill>
                          <a:ln w="9525">
                            <a:solidFill>
                              <a:srgbClr val="000000"/>
                            </a:solidFill>
                            <a:round/>
                            <a:headEnd/>
                            <a:tailEnd/>
                          </a:ln>
                        </wps:spPr>
                        <wps:txbx>
                          <w:txbxContent>
                            <w:p w14:paraId="611DE1BE" w14:textId="77777777" w:rsidR="00BE4AF3" w:rsidRPr="00EF3B9E" w:rsidRDefault="00BE4AF3" w:rsidP="0000060D">
                              <w:pPr>
                                <w:rPr>
                                  <w:rFonts w:ascii="Arial" w:hAnsi="Arial" w:cs="Arial"/>
                                  <w:lang w:val="en-US"/>
                                </w:rPr>
                              </w:pPr>
                              <w:r w:rsidRPr="00EF3B9E">
                                <w:rPr>
                                  <w:rFonts w:ascii="Arial" w:hAnsi="Arial" w:cs="Arial"/>
                                  <w:lang w:val="en-US"/>
                                </w:rPr>
                                <w:t>Image classification</w:t>
                              </w:r>
                            </w:p>
                            <w:p w14:paraId="526A0D64" w14:textId="77777777" w:rsidR="00BE4AF3" w:rsidRPr="00EF3B9E" w:rsidRDefault="00BE4AF3" w:rsidP="0000060D">
                              <w:pPr>
                                <w:rPr>
                                  <w:rFonts w:ascii="Arial" w:hAnsi="Arial" w:cs="Arial"/>
                                  <w:lang w:val="en-US"/>
                                </w:rPr>
                              </w:pPr>
                            </w:p>
                          </w:txbxContent>
                        </wps:txbx>
                        <wps:bodyPr rot="0" vert="horz" wrap="square" lIns="91440" tIns="45720" rIns="91440" bIns="45720" anchor="t" anchorCtr="0" upright="1">
                          <a:noAutofit/>
                        </wps:bodyPr>
                      </wps:wsp>
                      <wps:wsp>
                        <wps:cNvPr id="1178787245" name="AutoShape 11"/>
                        <wps:cNvSpPr>
                          <a:spLocks noChangeArrowheads="1"/>
                        </wps:cNvSpPr>
                        <wps:spPr bwMode="auto">
                          <a:xfrm>
                            <a:off x="1399540" y="3561715"/>
                            <a:ext cx="1638300" cy="339725"/>
                          </a:xfrm>
                          <a:prstGeom prst="roundRect">
                            <a:avLst>
                              <a:gd name="adj" fmla="val 16667"/>
                            </a:avLst>
                          </a:prstGeom>
                          <a:solidFill>
                            <a:srgbClr val="FFFFFF"/>
                          </a:solidFill>
                          <a:ln w="9525">
                            <a:solidFill>
                              <a:srgbClr val="000000"/>
                            </a:solidFill>
                            <a:round/>
                            <a:headEnd/>
                            <a:tailEnd/>
                          </a:ln>
                        </wps:spPr>
                        <wps:txbx>
                          <w:txbxContent>
                            <w:p w14:paraId="48A08400" w14:textId="77777777" w:rsidR="00BE4AF3" w:rsidRPr="00CC050A" w:rsidRDefault="00BE4AF3" w:rsidP="0000060D">
                              <w:pPr>
                                <w:spacing w:after="0" w:line="192" w:lineRule="auto"/>
                                <w:rPr>
                                  <w:rFonts w:ascii="Arial" w:hAnsi="Arial" w:cs="Arial"/>
                                  <w:lang w:val="en-US"/>
                                </w:rPr>
                              </w:pPr>
                              <w:r>
                                <w:rPr>
                                  <w:rFonts w:ascii="Arial" w:hAnsi="Arial" w:cs="Arial"/>
                                  <w:lang w:val="en-US"/>
                                </w:rPr>
                                <w:t xml:space="preserve"> </w:t>
                              </w:r>
                              <w:r w:rsidRPr="00CC050A">
                                <w:rPr>
                                  <w:rFonts w:ascii="Arial" w:hAnsi="Arial" w:cs="Arial"/>
                                  <w:lang w:val="en-US"/>
                                </w:rPr>
                                <w:t>Deforestation Drivers</w:t>
                              </w:r>
                            </w:p>
                            <w:p w14:paraId="50F4DC39" w14:textId="77777777" w:rsidR="00BE4AF3" w:rsidRPr="00CC050A" w:rsidRDefault="00BE4AF3" w:rsidP="0000060D">
                              <w:pPr>
                                <w:spacing w:after="0" w:line="192" w:lineRule="auto"/>
                                <w:jc w:val="center"/>
                                <w:rPr>
                                  <w:rFonts w:ascii="Arial" w:hAnsi="Arial" w:cs="Arial"/>
                                  <w:lang w:val="en-US"/>
                                </w:rPr>
                              </w:pPr>
                            </w:p>
                          </w:txbxContent>
                        </wps:txbx>
                        <wps:bodyPr rot="0" vert="horz" wrap="square" lIns="91440" tIns="45720" rIns="91440" bIns="45720" anchor="t" anchorCtr="0" upright="1">
                          <a:noAutofit/>
                        </wps:bodyPr>
                      </wps:wsp>
                      <wps:wsp>
                        <wps:cNvPr id="1178787246" name="AutoShape 12"/>
                        <wps:cNvSpPr>
                          <a:spLocks noChangeArrowheads="1"/>
                        </wps:cNvSpPr>
                        <wps:spPr bwMode="auto">
                          <a:xfrm>
                            <a:off x="1228090" y="3096260"/>
                            <a:ext cx="1790700" cy="313690"/>
                          </a:xfrm>
                          <a:prstGeom prst="roundRect">
                            <a:avLst>
                              <a:gd name="adj" fmla="val 16667"/>
                            </a:avLst>
                          </a:prstGeom>
                          <a:solidFill>
                            <a:srgbClr val="FFFFFF"/>
                          </a:solidFill>
                          <a:ln w="9525">
                            <a:solidFill>
                              <a:srgbClr val="000000"/>
                            </a:solidFill>
                            <a:round/>
                            <a:headEnd/>
                            <a:tailEnd/>
                          </a:ln>
                        </wps:spPr>
                        <wps:txbx>
                          <w:txbxContent>
                            <w:p w14:paraId="1D3A50B1" w14:textId="77777777" w:rsidR="00BE4AF3" w:rsidRPr="00CC050A" w:rsidRDefault="00BE4AF3" w:rsidP="0000060D">
                              <w:pPr>
                                <w:spacing w:after="0" w:line="192" w:lineRule="auto"/>
                                <w:rPr>
                                  <w:rFonts w:ascii="Arial" w:hAnsi="Arial" w:cs="Arial"/>
                                  <w:lang w:val="en-US"/>
                                </w:rPr>
                              </w:pPr>
                              <w:r w:rsidRPr="00CC050A">
                                <w:rPr>
                                  <w:rFonts w:ascii="Arial" w:hAnsi="Arial" w:cs="Arial"/>
                                  <w:lang w:val="en-US"/>
                                </w:rPr>
                                <w:t>Spatial Pattern</w:t>
                              </w:r>
                              <w:r>
                                <w:rPr>
                                  <w:rFonts w:ascii="Arial" w:hAnsi="Arial" w:cs="Arial"/>
                                  <w:lang w:val="en-US"/>
                                </w:rPr>
                                <w:t xml:space="preserve"> </w:t>
                              </w:r>
                              <w:r w:rsidRPr="00CC050A">
                                <w:rPr>
                                  <w:rFonts w:ascii="Arial" w:hAnsi="Arial" w:cs="Arial"/>
                                  <w:lang w:val="en-US"/>
                                </w:rPr>
                                <w:t>Analysis</w:t>
                              </w:r>
                            </w:p>
                            <w:p w14:paraId="61365FBB" w14:textId="77777777" w:rsidR="00BE4AF3" w:rsidRPr="00CC050A" w:rsidRDefault="00BE4AF3" w:rsidP="0000060D">
                              <w:pPr>
                                <w:spacing w:after="0" w:line="192" w:lineRule="auto"/>
                                <w:jc w:val="center"/>
                                <w:rPr>
                                  <w:rFonts w:ascii="Arial" w:hAnsi="Arial" w:cs="Arial"/>
                                  <w:lang w:val="en-US"/>
                                </w:rPr>
                              </w:pPr>
                            </w:p>
                          </w:txbxContent>
                        </wps:txbx>
                        <wps:bodyPr rot="0" vert="horz" wrap="square" lIns="91440" tIns="45720" rIns="91440" bIns="45720" anchor="t" anchorCtr="0" upright="1">
                          <a:noAutofit/>
                        </wps:bodyPr>
                      </wps:wsp>
                      <wps:wsp>
                        <wps:cNvPr id="1178787247" name="AutoShape 13"/>
                        <wps:cNvSpPr>
                          <a:spLocks noChangeArrowheads="1"/>
                        </wps:cNvSpPr>
                        <wps:spPr bwMode="auto">
                          <a:xfrm>
                            <a:off x="0" y="2076450"/>
                            <a:ext cx="1485900" cy="318770"/>
                          </a:xfrm>
                          <a:prstGeom prst="roundRect">
                            <a:avLst>
                              <a:gd name="adj" fmla="val 16667"/>
                            </a:avLst>
                          </a:prstGeom>
                          <a:solidFill>
                            <a:srgbClr val="FFFFFF"/>
                          </a:solidFill>
                          <a:ln w="9525">
                            <a:solidFill>
                              <a:srgbClr val="000000"/>
                            </a:solidFill>
                            <a:round/>
                            <a:headEnd/>
                            <a:tailEnd/>
                          </a:ln>
                        </wps:spPr>
                        <wps:txbx>
                          <w:txbxContent>
                            <w:p w14:paraId="62FC9715" w14:textId="77777777" w:rsidR="00BE4AF3" w:rsidRPr="0050432E" w:rsidRDefault="00BE4AF3" w:rsidP="0000060D">
                              <w:pPr>
                                <w:rPr>
                                  <w:rFonts w:ascii="Arial" w:hAnsi="Arial" w:cs="Arial"/>
                                  <w:sz w:val="20"/>
                                  <w:szCs w:val="20"/>
                                  <w:lang w:val="en-US"/>
                                </w:rPr>
                              </w:pPr>
                              <w:r w:rsidRPr="0050432E">
                                <w:rPr>
                                  <w:rFonts w:ascii="Arial" w:hAnsi="Arial" w:cs="Arial"/>
                                  <w:sz w:val="20"/>
                                  <w:szCs w:val="20"/>
                                  <w:lang w:val="en-US"/>
                                </w:rPr>
                                <w:t>Maximum likelihood</w:t>
                              </w:r>
                            </w:p>
                            <w:p w14:paraId="0F3CF00D" w14:textId="77777777" w:rsidR="00BE4AF3" w:rsidRPr="0050432E" w:rsidRDefault="00BE4AF3" w:rsidP="0000060D">
                              <w:pPr>
                                <w:rPr>
                                  <w:rFonts w:ascii="Arial" w:hAnsi="Arial" w:cs="Arial"/>
                                  <w:sz w:val="20"/>
                                  <w:szCs w:val="20"/>
                                  <w:lang w:val="en-US"/>
                                </w:rPr>
                              </w:pPr>
                            </w:p>
                          </w:txbxContent>
                        </wps:txbx>
                        <wps:bodyPr rot="0" vert="horz" wrap="square" lIns="91440" tIns="45720" rIns="91440" bIns="45720" anchor="t" anchorCtr="0" upright="1">
                          <a:noAutofit/>
                        </wps:bodyPr>
                      </wps:wsp>
                      <wps:wsp>
                        <wps:cNvPr id="1178787248" name="AutoShape 14"/>
                        <wps:cNvSpPr>
                          <a:spLocks noChangeArrowheads="1"/>
                        </wps:cNvSpPr>
                        <wps:spPr bwMode="auto">
                          <a:xfrm>
                            <a:off x="2919730" y="2065655"/>
                            <a:ext cx="1694180" cy="329565"/>
                          </a:xfrm>
                          <a:prstGeom prst="roundRect">
                            <a:avLst>
                              <a:gd name="adj" fmla="val 16667"/>
                            </a:avLst>
                          </a:prstGeom>
                          <a:solidFill>
                            <a:srgbClr val="FFFFFF"/>
                          </a:solidFill>
                          <a:ln w="9525">
                            <a:solidFill>
                              <a:srgbClr val="000000"/>
                            </a:solidFill>
                            <a:round/>
                            <a:headEnd/>
                            <a:tailEnd/>
                          </a:ln>
                        </wps:spPr>
                        <wps:txbx>
                          <w:txbxContent>
                            <w:p w14:paraId="20A5CD9B" w14:textId="77777777" w:rsidR="00BE4AF3" w:rsidRPr="0050432E" w:rsidRDefault="00BE4AF3" w:rsidP="0000060D">
                              <w:pPr>
                                <w:spacing w:after="0" w:line="240" w:lineRule="auto"/>
                                <w:rPr>
                                  <w:rFonts w:ascii="Arial" w:hAnsi="Arial" w:cs="Arial"/>
                                  <w:sz w:val="20"/>
                                  <w:szCs w:val="20"/>
                                  <w:lang w:val="en-US"/>
                                </w:rPr>
                              </w:pPr>
                              <w:r w:rsidRPr="0050432E">
                                <w:rPr>
                                  <w:rFonts w:ascii="Arial" w:hAnsi="Arial" w:cs="Arial"/>
                                  <w:sz w:val="20"/>
                                  <w:szCs w:val="20"/>
                                  <w:lang w:val="en-US"/>
                                </w:rPr>
                                <w:t>Support Vector Machine</w:t>
                              </w:r>
                            </w:p>
                            <w:p w14:paraId="13CD7A58" w14:textId="77777777" w:rsidR="00BE4AF3" w:rsidRPr="0050432E" w:rsidRDefault="00BE4AF3" w:rsidP="0000060D">
                              <w:pPr>
                                <w:spacing w:after="0" w:line="240" w:lineRule="auto"/>
                                <w:jc w:val="center"/>
                                <w:rPr>
                                  <w:rFonts w:ascii="Arial" w:hAnsi="Arial" w:cs="Arial"/>
                                  <w:sz w:val="20"/>
                                  <w:szCs w:val="20"/>
                                  <w:lang w:val="en-US"/>
                                </w:rPr>
                              </w:pPr>
                            </w:p>
                          </w:txbxContent>
                        </wps:txbx>
                        <wps:bodyPr rot="0" vert="horz" wrap="square" lIns="91440" tIns="45720" rIns="91440" bIns="45720" anchor="t" anchorCtr="0" upright="1">
                          <a:noAutofit/>
                        </wps:bodyPr>
                      </wps:wsp>
                      <wps:wsp>
                        <wps:cNvPr id="1178787249" name="AutoShape 15"/>
                        <wps:cNvCnPr>
                          <a:cxnSpLocks noChangeShapeType="1"/>
                          <a:stCxn id="1178787239" idx="2"/>
                          <a:endCxn id="1178787240" idx="0"/>
                        </wps:cNvCnPr>
                        <wps:spPr bwMode="auto">
                          <a:xfrm>
                            <a:off x="2143125" y="571500"/>
                            <a:ext cx="635" cy="2901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78787250" name="AutoShape 16"/>
                        <wps:cNvCnPr>
                          <a:cxnSpLocks noChangeShapeType="1"/>
                          <a:stCxn id="1178787240" idx="2"/>
                          <a:endCxn id="1178787244" idx="0"/>
                        </wps:cNvCnPr>
                        <wps:spPr bwMode="auto">
                          <a:xfrm>
                            <a:off x="2143125" y="1219200"/>
                            <a:ext cx="635"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78787251" name="AutoShape 17"/>
                        <wps:cNvSpPr>
                          <a:spLocks/>
                        </wps:cNvSpPr>
                        <wps:spPr bwMode="auto">
                          <a:xfrm rot="16200000">
                            <a:off x="2120265" y="343535"/>
                            <a:ext cx="252095" cy="3203575"/>
                          </a:xfrm>
                          <a:prstGeom prst="rightBrace">
                            <a:avLst>
                              <a:gd name="adj1" fmla="val 105898"/>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8787252" name="AutoShape 18"/>
                        <wps:cNvSpPr>
                          <a:spLocks/>
                        </wps:cNvSpPr>
                        <wps:spPr bwMode="auto">
                          <a:xfrm rot="5400000">
                            <a:off x="2126615" y="868680"/>
                            <a:ext cx="271780" cy="3324225"/>
                          </a:xfrm>
                          <a:prstGeom prst="rightBrace">
                            <a:avLst>
                              <a:gd name="adj1" fmla="val 101928"/>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8787253" name="AutoShape 19"/>
                        <wps:cNvCnPr>
                          <a:cxnSpLocks noChangeShapeType="1"/>
                          <a:stCxn id="1178787243" idx="3"/>
                          <a:endCxn id="1178787246" idx="3"/>
                        </wps:cNvCnPr>
                        <wps:spPr bwMode="auto">
                          <a:xfrm>
                            <a:off x="3001010" y="2819400"/>
                            <a:ext cx="17780" cy="433705"/>
                          </a:xfrm>
                          <a:prstGeom prst="bentConnector3">
                            <a:avLst>
                              <a:gd name="adj1" fmla="val 1385713"/>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178787254" name="AutoShape 20"/>
                        <wps:cNvCnPr>
                          <a:cxnSpLocks noChangeShapeType="1"/>
                          <a:stCxn id="1178787246" idx="3"/>
                          <a:endCxn id="1178787245" idx="3"/>
                        </wps:cNvCnPr>
                        <wps:spPr bwMode="auto">
                          <a:xfrm>
                            <a:off x="3018790" y="3253105"/>
                            <a:ext cx="19050" cy="478790"/>
                          </a:xfrm>
                          <a:prstGeom prst="bentConnector3">
                            <a:avLst>
                              <a:gd name="adj1" fmla="val 130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178787255" name="AutoShape 21"/>
                        <wps:cNvCnPr>
                          <a:cxnSpLocks noChangeShapeType="1"/>
                          <a:stCxn id="1178787240" idx="3"/>
                          <a:endCxn id="1178787241" idx="1"/>
                        </wps:cNvCnPr>
                        <wps:spPr bwMode="auto">
                          <a:xfrm>
                            <a:off x="2886075" y="1040765"/>
                            <a:ext cx="342900" cy="76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78787256" name="AutoShape 22"/>
                        <wps:cNvCnPr>
                          <a:cxnSpLocks noChangeShapeType="1"/>
                          <a:stCxn id="1178787241" idx="2"/>
                          <a:endCxn id="1178787242" idx="0"/>
                        </wps:cNvCnPr>
                        <wps:spPr bwMode="auto">
                          <a:xfrm>
                            <a:off x="4005580" y="1248410"/>
                            <a:ext cx="8890" cy="1803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78577785" id="Canvas 1178787257" o:spid="_x0000_s1030" editas="canvas" style="width:376.5pt;height:310.55pt;mso-position-horizontal-relative:char;mso-position-vertical-relative:line" coordsize="47815,39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width:47815;height:39439;visibility:visible;mso-wrap-style:square">
                  <v:fill o:detectmouseclick="t"/>
                  <v:path o:connecttype="none"/>
                </v:shape>
                <v:roundrect id="AutoShape 5" o:spid="_x0000_s1032" style="position:absolute;left:13995;top:1625;width:14865;height:40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">
                  <v:textbox>
                    <w:txbxContent>
                      <w:p w14:paraId="4C9A03B2" w14:textId="77777777" w:rsidR="00BE4AF3" w:rsidRPr="0050432E" w:rsidRDefault="00BE4AF3" w:rsidP="0000060D">
                        <w:pPr>
                          <w:spacing w:after="0" w:line="192" w:lineRule="auto"/>
                          <w:jc w:val="center"/>
                          <w:rPr>
                            <w:rFonts w:ascii="Arial" w:hAnsi="Arial" w:cs="Arial"/>
                            <w:sz w:val="20"/>
                            <w:szCs w:val="20"/>
                            <w:lang w:val="en-US"/>
                          </w:rPr>
                        </w:pPr>
                        <w:r w:rsidRPr="0050432E">
                          <w:rPr>
                            <w:rFonts w:ascii="Arial" w:hAnsi="Arial" w:cs="Arial"/>
                            <w:sz w:val="20"/>
                            <w:szCs w:val="20"/>
                            <w:lang w:val="en-US"/>
                          </w:rPr>
                          <w:t>Satellite Image Data</w:t>
                        </w:r>
                      </w:p>
                      <w:p w14:paraId="4B8CADFD" w14:textId="77777777" w:rsidR="00BE4AF3" w:rsidRPr="0050432E" w:rsidRDefault="00BE4AF3" w:rsidP="0000060D">
                        <w:pPr>
                          <w:spacing w:after="0" w:line="192" w:lineRule="auto"/>
                          <w:jc w:val="center"/>
                          <w:rPr>
                            <w:rFonts w:ascii="Arial" w:hAnsi="Arial" w:cs="Arial"/>
                            <w:sz w:val="20"/>
                            <w:szCs w:val="20"/>
                            <w:lang w:val="en-US"/>
                          </w:rPr>
                        </w:pPr>
                        <w:r w:rsidRPr="0050432E">
                          <w:rPr>
                            <w:rFonts w:ascii="Arial" w:hAnsi="Arial" w:cs="Arial"/>
                            <w:sz w:val="20"/>
                            <w:szCs w:val="20"/>
                            <w:lang w:val="en-US"/>
                          </w:rPr>
                          <w:t>2005, 2015 &amp; 2025</w:t>
                        </w:r>
                      </w:p>
                      <w:p w14:paraId="6EFB9315" w14:textId="77777777" w:rsidR="00BE4AF3" w:rsidRPr="0050432E" w:rsidRDefault="00BE4AF3" w:rsidP="0000060D">
                        <w:pPr>
                          <w:spacing w:after="0" w:line="192" w:lineRule="auto"/>
                          <w:jc w:val="center"/>
                          <w:rPr>
                            <w:rFonts w:ascii="Arial" w:hAnsi="Arial" w:cs="Arial"/>
                            <w:sz w:val="20"/>
                            <w:szCs w:val="20"/>
                            <w:lang w:val="en-US"/>
                          </w:rPr>
                        </w:pPr>
                      </w:p>
                    </w:txbxContent>
                  </v:textbox>
                </v:roundrect>
                <v:roundrect id="AutoShape 6" o:spid="_x0000_s1033" style="position:absolute;left:14001;top:8616;width:14859;height:357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">
                  <v:textbox>
                    <w:txbxContent>
                      <w:p w14:paraId="5DE103CD" w14:textId="77777777" w:rsidR="00BE4AF3" w:rsidRPr="0050432E" w:rsidRDefault="00BE4AF3" w:rsidP="0000060D">
                        <w:pPr>
                          <w:spacing w:after="0" w:line="240" w:lineRule="auto"/>
                          <w:jc w:val="center"/>
                          <w:rPr>
                            <w:rFonts w:ascii="Arial" w:hAnsi="Arial" w:cs="Arial"/>
                            <w:sz w:val="20"/>
                            <w:szCs w:val="20"/>
                            <w:lang w:val="en-US"/>
                          </w:rPr>
                        </w:pPr>
                        <w:r w:rsidRPr="0050432E">
                          <w:rPr>
                            <w:rFonts w:ascii="Arial" w:hAnsi="Arial" w:cs="Arial"/>
                            <w:sz w:val="20"/>
                            <w:szCs w:val="20"/>
                            <w:lang w:val="en-US"/>
                          </w:rPr>
                          <w:t>Image Preprocessing</w:t>
                        </w:r>
                      </w:p>
                    </w:txbxContent>
                  </v:textbox>
                </v:roundrect>
                <v:roundrect id="AutoShape 7" o:spid="_x0000_s1034" style="position:absolute;left:32289;top:8483;width:15526;height:40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">
                  <v:textbox>
                    <w:txbxContent>
                      <w:p w14:paraId="070A6ABE" w14:textId="77777777" w:rsidR="00BE4AF3" w:rsidRPr="0050432E" w:rsidRDefault="00BE4AF3" w:rsidP="0000060D">
                        <w:pPr>
                          <w:spacing w:after="0" w:line="192" w:lineRule="auto"/>
                          <w:rPr>
                            <w:rFonts w:ascii="Arial" w:hAnsi="Arial" w:cs="Arial"/>
                            <w:sz w:val="20"/>
                            <w:szCs w:val="20"/>
                            <w:lang w:val="en-US"/>
                          </w:rPr>
                        </w:pPr>
                        <w:r w:rsidRPr="0050432E">
                          <w:rPr>
                            <w:rFonts w:ascii="Arial" w:hAnsi="Arial" w:cs="Arial"/>
                            <w:sz w:val="20"/>
                            <w:szCs w:val="20"/>
                            <w:lang w:val="en-US"/>
                          </w:rPr>
                          <w:t>Radiometric Correction</w:t>
                        </w:r>
                      </w:p>
                    </w:txbxContent>
                  </v:textbox>
                </v:roundrect>
                <v:roundrect id="AutoShape 8" o:spid="_x0000_s1035" style="position:absolute;left:32715;top:14287;width:14859;height:315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">
                  <v:textbox>
                    <w:txbxContent>
                      <w:p w14:paraId="62AD5A70" w14:textId="77777777" w:rsidR="00BE4AF3" w:rsidRPr="0050432E" w:rsidRDefault="00BE4AF3" w:rsidP="0000060D">
                        <w:pPr>
                          <w:spacing w:after="0" w:line="192" w:lineRule="auto"/>
                          <w:jc w:val="center"/>
                          <w:rPr>
                            <w:rFonts w:ascii="Arial" w:hAnsi="Arial" w:cs="Arial"/>
                            <w:sz w:val="20"/>
                            <w:szCs w:val="20"/>
                            <w:lang w:val="en-US"/>
                          </w:rPr>
                        </w:pPr>
                        <w:r w:rsidRPr="0050432E">
                          <w:rPr>
                            <w:rFonts w:ascii="Arial" w:hAnsi="Arial" w:cs="Arial"/>
                            <w:sz w:val="20"/>
                            <w:szCs w:val="20"/>
                            <w:lang w:val="en-US"/>
                          </w:rPr>
                          <w:t>Geometric Correction</w:t>
                        </w:r>
                      </w:p>
                    </w:txbxContent>
                  </v:textbox>
                </v:roundrect>
                <v:roundrect id="AutoShape 9" o:spid="_x0000_s1036" style="position:absolute;left:15163;top:26765;width:14847;height:285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">
                  <v:textbox>
                    <w:txbxContent>
                      <w:p w14:paraId="798F4D68" w14:textId="77777777" w:rsidR="00BE4AF3" w:rsidRPr="0050432E" w:rsidRDefault="00BE4AF3" w:rsidP="0000060D">
                        <w:pPr>
                          <w:jc w:val="center"/>
                          <w:rPr>
                            <w:rFonts w:ascii="Arial" w:hAnsi="Arial" w:cs="Arial"/>
                            <w:sz w:val="20"/>
                            <w:szCs w:val="20"/>
                            <w:lang w:val="en-US"/>
                          </w:rPr>
                        </w:pPr>
                        <w:r w:rsidRPr="0050432E">
                          <w:rPr>
                            <w:rFonts w:ascii="Arial" w:hAnsi="Arial" w:cs="Arial"/>
                            <w:sz w:val="20"/>
                            <w:szCs w:val="20"/>
                            <w:lang w:val="en-US"/>
                          </w:rPr>
                          <w:t>Post Classification</w:t>
                        </w:r>
                      </w:p>
                    </w:txbxContent>
                  </v:textbox>
                </v:roundrect>
                <v:roundrect id="AutoShape 10" o:spid="_x0000_s1037" style="position:absolute;left:14001;top:14382;width:14859;height:375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">
                  <v:textbox>
                    <w:txbxContent>
                      <w:p w14:paraId="611DE1BE" w14:textId="77777777" w:rsidR="00BE4AF3" w:rsidRPr="00EF3B9E" w:rsidRDefault="00BE4AF3" w:rsidP="0000060D">
                        <w:pPr>
                          <w:rPr>
                            <w:rFonts w:ascii="Arial" w:hAnsi="Arial" w:cs="Arial"/>
                            <w:lang w:val="en-US"/>
                          </w:rPr>
                        </w:pPr>
                        <w:r w:rsidRPr="00EF3B9E">
                          <w:rPr>
                            <w:rFonts w:ascii="Arial" w:hAnsi="Arial" w:cs="Arial"/>
                            <w:lang w:val="en-US"/>
                          </w:rPr>
                          <w:t>Image classification</w:t>
                        </w:r>
                      </w:p>
                      <w:p w14:paraId="526A0D64" w14:textId="77777777" w:rsidR="00BE4AF3" w:rsidRPr="00EF3B9E" w:rsidRDefault="00BE4AF3" w:rsidP="0000060D">
                        <w:pPr>
                          <w:rPr>
                            <w:rFonts w:ascii="Arial" w:hAnsi="Arial" w:cs="Arial"/>
                            <w:lang w:val="en-US"/>
                          </w:rPr>
                        </w:pPr>
                      </w:p>
                    </w:txbxContent>
                  </v:textbox>
                </v:roundrect>
                <v:roundrect id="AutoShape 11" o:spid="_x0000_s1038" style="position:absolute;left:13995;top:35617;width:16383;height:33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">
                  <v:textbox>
                    <w:txbxContent>
                      <w:p w14:paraId="48A08400" w14:textId="77777777" w:rsidR="00BE4AF3" w:rsidRPr="00CC050A" w:rsidRDefault="00BE4AF3" w:rsidP="0000060D">
                        <w:pPr>
                          <w:spacing w:after="0" w:line="192" w:lineRule="auto"/>
                          <w:rPr>
                            <w:rFonts w:ascii="Arial" w:hAnsi="Arial" w:cs="Arial"/>
                            <w:lang w:val="en-US"/>
                          </w:rPr>
                        </w:pPr>
                        <w:r>
                          <w:rPr>
                            <w:rFonts w:ascii="Arial" w:hAnsi="Arial" w:cs="Arial"/>
                            <w:lang w:val="en-US"/>
                          </w:rPr>
                          <w:t xml:space="preserve"> </w:t>
                        </w:r>
                        <w:r w:rsidRPr="00CC050A">
                          <w:rPr>
                            <w:rFonts w:ascii="Arial" w:hAnsi="Arial" w:cs="Arial"/>
                            <w:lang w:val="en-US"/>
                          </w:rPr>
                          <w:t>Deforestation Drivers</w:t>
                        </w:r>
                      </w:p>
                      <w:p w14:paraId="50F4DC39" w14:textId="77777777" w:rsidR="00BE4AF3" w:rsidRPr="00CC050A" w:rsidRDefault="00BE4AF3" w:rsidP="0000060D">
                        <w:pPr>
                          <w:spacing w:after="0" w:line="192" w:lineRule="auto"/>
                          <w:jc w:val="center"/>
                          <w:rPr>
                            <w:rFonts w:ascii="Arial" w:hAnsi="Arial" w:cs="Arial"/>
                            <w:lang w:val="en-US"/>
                          </w:rPr>
                        </w:pPr>
                      </w:p>
                    </w:txbxContent>
                  </v:textbox>
                </v:roundrect>
                <v:roundrect id="AutoShape 12" o:spid="_x0000_s1039" style="position:absolute;left:12280;top:30962;width:17907;height:313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">
                  <v:textbox>
                    <w:txbxContent>
                      <w:p w14:paraId="1D3A50B1" w14:textId="77777777" w:rsidR="00BE4AF3" w:rsidRPr="00CC050A" w:rsidRDefault="00BE4AF3" w:rsidP="0000060D">
                        <w:pPr>
                          <w:spacing w:after="0" w:line="192" w:lineRule="auto"/>
                          <w:rPr>
                            <w:rFonts w:ascii="Arial" w:hAnsi="Arial" w:cs="Arial"/>
                            <w:lang w:val="en-US"/>
                          </w:rPr>
                        </w:pPr>
                        <w:r w:rsidRPr="00CC050A">
                          <w:rPr>
                            <w:rFonts w:ascii="Arial" w:hAnsi="Arial" w:cs="Arial"/>
                            <w:lang w:val="en-US"/>
                          </w:rPr>
                          <w:t>Spatial Pattern</w:t>
                        </w:r>
                        <w:r>
                          <w:rPr>
                            <w:rFonts w:ascii="Arial" w:hAnsi="Arial" w:cs="Arial"/>
                            <w:lang w:val="en-US"/>
                          </w:rPr>
                          <w:t xml:space="preserve"> </w:t>
                        </w:r>
                        <w:r w:rsidRPr="00CC050A">
                          <w:rPr>
                            <w:rFonts w:ascii="Arial" w:hAnsi="Arial" w:cs="Arial"/>
                            <w:lang w:val="en-US"/>
                          </w:rPr>
                          <w:t>Analysis</w:t>
                        </w:r>
                      </w:p>
                      <w:p w14:paraId="61365FBB" w14:textId="77777777" w:rsidR="00BE4AF3" w:rsidRPr="00CC050A" w:rsidRDefault="00BE4AF3" w:rsidP="0000060D">
                        <w:pPr>
                          <w:spacing w:after="0" w:line="192" w:lineRule="auto"/>
                          <w:jc w:val="center"/>
                          <w:rPr>
                            <w:rFonts w:ascii="Arial" w:hAnsi="Arial" w:cs="Arial"/>
                            <w:lang w:val="en-US"/>
                          </w:rPr>
                        </w:pPr>
                      </w:p>
                    </w:txbxContent>
                  </v:textbox>
                </v:roundrect>
                <v:roundrect id="AutoShape 13" o:spid="_x0000_s1040" style="position:absolute;top:20764;width:14859;height:318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">
                  <v:textbox>
                    <w:txbxContent>
                      <w:p w14:paraId="62FC9715" w14:textId="77777777" w:rsidR="00BE4AF3" w:rsidRPr="0050432E" w:rsidRDefault="00BE4AF3" w:rsidP="0000060D">
                        <w:pPr>
                          <w:rPr>
                            <w:rFonts w:ascii="Arial" w:hAnsi="Arial" w:cs="Arial"/>
                            <w:sz w:val="20"/>
                            <w:szCs w:val="20"/>
                            <w:lang w:val="en-US"/>
                          </w:rPr>
                        </w:pPr>
                        <w:r w:rsidRPr="0050432E">
                          <w:rPr>
                            <w:rFonts w:ascii="Arial" w:hAnsi="Arial" w:cs="Arial"/>
                            <w:sz w:val="20"/>
                            <w:szCs w:val="20"/>
                            <w:lang w:val="en-US"/>
                          </w:rPr>
                          <w:t>Maximum likelihood</w:t>
                        </w:r>
                      </w:p>
                      <w:p w14:paraId="0F3CF00D" w14:textId="77777777" w:rsidR="00BE4AF3" w:rsidRPr="0050432E" w:rsidRDefault="00BE4AF3" w:rsidP="0000060D">
                        <w:pPr>
                          <w:rPr>
                            <w:rFonts w:ascii="Arial" w:hAnsi="Arial" w:cs="Arial"/>
                            <w:sz w:val="20"/>
                            <w:szCs w:val="20"/>
                            <w:lang w:val="en-US"/>
                          </w:rPr>
                        </w:pPr>
                      </w:p>
                    </w:txbxContent>
                  </v:textbox>
                </v:roundrect>
                <v:roundrect id="AutoShape 14" o:spid="_x0000_s1041" style="position:absolute;left:29197;top:20656;width:16942;height:329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">
                  <v:textbox>
                    <w:txbxContent>
                      <w:p w14:paraId="20A5CD9B" w14:textId="77777777" w:rsidR="00BE4AF3" w:rsidRPr="0050432E" w:rsidRDefault="00BE4AF3" w:rsidP="0000060D">
                        <w:pPr>
                          <w:spacing w:after="0" w:line="240" w:lineRule="auto"/>
                          <w:rPr>
                            <w:rFonts w:ascii="Arial" w:hAnsi="Arial" w:cs="Arial"/>
                            <w:sz w:val="20"/>
                            <w:szCs w:val="20"/>
                            <w:lang w:val="en-US"/>
                          </w:rPr>
                        </w:pPr>
                        <w:r w:rsidRPr="0050432E">
                          <w:rPr>
                            <w:rFonts w:ascii="Arial" w:hAnsi="Arial" w:cs="Arial"/>
                            <w:sz w:val="20"/>
                            <w:szCs w:val="20"/>
                            <w:lang w:val="en-US"/>
                          </w:rPr>
                          <w:t>Support Vector Machine</w:t>
                        </w:r>
                      </w:p>
                      <w:p w14:paraId="13CD7A58" w14:textId="77777777" w:rsidR="00BE4AF3" w:rsidRPr="0050432E" w:rsidRDefault="00BE4AF3" w:rsidP="0000060D">
                        <w:pPr>
                          <w:spacing w:after="0" w:line="240" w:lineRule="auto"/>
                          <w:jc w:val="center"/>
                          <w:rPr>
                            <w:rFonts w:ascii="Arial" w:hAnsi="Arial" w:cs="Arial"/>
                            <w:sz w:val="20"/>
                            <w:szCs w:val="20"/>
                            <w:lang w:val="en-US"/>
                          </w:rPr>
                        </w:pPr>
                      </w:p>
                    </w:txbxContent>
                  </v:textbox>
                </v:roundrect>
                <v:shape id="AutoShape 15" o:spid="_x0000_s1042" type="#_x0000_t32" style="position:absolute;left:21431;top:5715;width:6;height:29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">
                  <v:stroke endarrow="block"/>
                </v:shape>
                <v:shape id="AutoShape 16" o:spid="_x0000_s1043" type="#_x0000_t32" style="position:absolute;left:21431;top:12192;width:6;height:21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">
                  <v:stroke endarrow="block"/>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7" o:spid="_x0000_s1044" type="#_x0000_t88" style="position:absolute;left:21202;top:3435;width:2521;height:3203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"/>
                <v:shape id="AutoShape 18" o:spid="_x0000_s1045" type="#_x0000_t88" style="position:absolute;left:21266;top:8686;width:2717;height:3324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9" o:spid="_x0000_s1046" type="#_x0000_t34" style="position:absolute;left:30010;top:28194;width:177;height:433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" adj="299314">
                  <v:stroke endarrow="block"/>
                </v:shape>
                <v:shape id="AutoShape 20" o:spid="_x0000_s1047" type="#_x0000_t34" style="position:absolute;left:30187;top:32531;width:191;height:478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" adj="280800">
                  <v:stroke endarrow="block"/>
                </v:shape>
                <v:shape id="AutoShape 21" o:spid="_x0000_s1048" type="#_x0000_t32" style="position:absolute;left:28860;top:10407;width:3429;height: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">
                  <v:stroke endarrow="block"/>
                </v:shape>
                <v:shape id="AutoShape 22" o:spid="_x0000_s1049" type="#_x0000_t32" style="position:absolute;left:40055;top:12484;width:89;height:18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">
                  <v:stroke endarrow="block"/>
                </v:shape>
                <w10:anchorlock/>
              </v:group>
            </w:pict>
          </mc:Fallback>
        </mc:AlternateContent>
      </w:r>
    </w:p>
    <w:p w14:paraId="459778DD" w14:textId="77777777" w:rsidR="0000060D" w:rsidRPr="00BE4AF3" w:rsidRDefault="0000060D" w:rsidP="0000060D">
      <w:pPr>
        <w:spacing w:after="240"/>
        <w:jc w:val="center"/>
        <w:rPr>
          <w:rFonts w:ascii="Times New Roman" w:hAnsi="Times New Roman" w:cs="Times New Roman"/>
          <w:bCs/>
          <w:sz w:val="24"/>
          <w:szCs w:val="24"/>
        </w:rPr>
      </w:pPr>
      <w:r w:rsidRPr="00BE4AF3">
        <w:rPr>
          <w:rFonts w:ascii="Times New Roman" w:hAnsi="Times New Roman" w:cs="Times New Roman"/>
          <w:bCs/>
          <w:sz w:val="24"/>
          <w:szCs w:val="24"/>
        </w:rPr>
        <w:t xml:space="preserve">Figure 2. Conceptual Design of the Research </w:t>
      </w:r>
    </w:p>
    <w:p w14:paraId="5F04808A" w14:textId="34101676" w:rsidR="0000060D" w:rsidRPr="00051BE1" w:rsidRDefault="0000060D" w:rsidP="0000060D">
      <w:pPr>
        <w:pStyle w:val="Heading2"/>
        <w:rPr>
          <w:rFonts w:ascii="Times New Roman" w:hAnsi="Times New Roman" w:cs="Times New Roman"/>
          <w:color w:val="000000" w:themeColor="text1"/>
          <w:sz w:val="24"/>
          <w:szCs w:val="24"/>
        </w:rPr>
      </w:pPr>
      <w:bookmarkStart w:id="76" w:name="_Toc198908924"/>
      <w:r w:rsidRPr="00051BE1">
        <w:rPr>
          <w:rFonts w:ascii="Times New Roman" w:hAnsi="Times New Roman" w:cs="Times New Roman"/>
          <w:color w:val="000000" w:themeColor="text1"/>
          <w:sz w:val="24"/>
          <w:szCs w:val="24"/>
        </w:rPr>
        <w:t>Data Acquisition</w:t>
      </w:r>
      <w:bookmarkEnd w:id="76"/>
      <w:r w:rsidRPr="00051BE1">
        <w:rPr>
          <w:rFonts w:ascii="Times New Roman" w:hAnsi="Times New Roman" w:cs="Times New Roman"/>
          <w:color w:val="000000" w:themeColor="text1"/>
          <w:sz w:val="24"/>
          <w:szCs w:val="24"/>
        </w:rPr>
        <w:t xml:space="preserve"> </w:t>
      </w:r>
    </w:p>
    <w:p w14:paraId="4AC40832" w14:textId="77777777" w:rsidR="0000060D" w:rsidRPr="00BE4AF3" w:rsidRDefault="0000060D" w:rsidP="0000060D">
      <w:pPr>
        <w:spacing w:after="240"/>
        <w:jc w:val="both"/>
        <w:rPr>
          <w:rFonts w:ascii="Times New Roman" w:hAnsi="Times New Roman" w:cs="Times New Roman"/>
          <w:bCs/>
          <w:sz w:val="24"/>
          <w:szCs w:val="24"/>
        </w:rPr>
      </w:pPr>
      <w:r w:rsidRPr="00BE4AF3">
        <w:rPr>
          <w:rFonts w:ascii="Times New Roman" w:hAnsi="Times New Roman" w:cs="Times New Roman"/>
          <w:bCs/>
          <w:sz w:val="24"/>
          <w:szCs w:val="24"/>
        </w:rPr>
        <w:t xml:space="preserve">The satellite image datasets consist of Landsat 5, 7, and 8 imageries acquired from the United States Geological Survey (USGS) Earth Explorer platform as presented in Table 1. </w:t>
      </w:r>
    </w:p>
    <w:p w14:paraId="5D7B4CBD" w14:textId="77777777" w:rsidR="0000060D" w:rsidRPr="00BE4AF3" w:rsidRDefault="0000060D" w:rsidP="0000060D">
      <w:pPr>
        <w:spacing w:after="240"/>
        <w:jc w:val="center"/>
        <w:rPr>
          <w:rFonts w:ascii="Times New Roman" w:hAnsi="Times New Roman" w:cs="Times New Roman"/>
          <w:bCs/>
          <w:sz w:val="24"/>
          <w:szCs w:val="24"/>
        </w:rPr>
        <w:sectPr w:rsidR="0000060D" w:rsidRPr="00BE4AF3" w:rsidSect="0000060D">
          <w:type w:val="continuous"/>
          <w:pgSz w:w="11906" w:h="16838"/>
          <w:pgMar w:top="1418" w:right="1418" w:bottom="1418" w:left="1418" w:header="709" w:footer="709" w:gutter="0"/>
          <w:cols w:space="708"/>
          <w:docGrid w:linePitch="360"/>
        </w:sectPr>
      </w:pPr>
      <w:bookmarkStart w:id="77" w:name="_Toc198904875"/>
    </w:p>
    <w:p w14:paraId="5E3BE20C" w14:textId="77777777" w:rsidR="0000060D" w:rsidRPr="00BE4AF3" w:rsidRDefault="0000060D" w:rsidP="00051BE1">
      <w:pPr>
        <w:spacing w:after="0" w:line="240" w:lineRule="auto"/>
        <w:jc w:val="center"/>
        <w:rPr>
          <w:rFonts w:ascii="Times New Roman" w:hAnsi="Times New Roman" w:cs="Times New Roman"/>
          <w:bCs/>
          <w:sz w:val="24"/>
          <w:szCs w:val="24"/>
        </w:rPr>
      </w:pPr>
      <w:r w:rsidRPr="00051BE1">
        <w:rPr>
          <w:rFonts w:ascii="Times New Roman" w:hAnsi="Times New Roman" w:cs="Times New Roman"/>
          <w:b/>
          <w:sz w:val="24"/>
          <w:szCs w:val="24"/>
        </w:rPr>
        <w:t xml:space="preserve">Table </w:t>
      </w:r>
      <w:r w:rsidRPr="00051BE1">
        <w:rPr>
          <w:rFonts w:ascii="Times New Roman" w:hAnsi="Times New Roman" w:cs="Times New Roman"/>
          <w:b/>
          <w:sz w:val="24"/>
          <w:szCs w:val="24"/>
        </w:rPr>
        <w:fldChar w:fldCharType="begin"/>
      </w:r>
      <w:r w:rsidRPr="00051BE1">
        <w:rPr>
          <w:rFonts w:ascii="Times New Roman" w:hAnsi="Times New Roman" w:cs="Times New Roman"/>
          <w:b/>
          <w:sz w:val="24"/>
          <w:szCs w:val="24"/>
        </w:rPr>
        <w:instrText xml:space="preserve"> SEQ Table \* ARABIC </w:instrText>
      </w:r>
      <w:r w:rsidRPr="00051BE1">
        <w:rPr>
          <w:rFonts w:ascii="Times New Roman" w:hAnsi="Times New Roman" w:cs="Times New Roman"/>
          <w:b/>
          <w:sz w:val="24"/>
          <w:szCs w:val="24"/>
        </w:rPr>
        <w:fldChar w:fldCharType="separate"/>
      </w:r>
      <w:r w:rsidRPr="00051BE1">
        <w:rPr>
          <w:rFonts w:ascii="Times New Roman" w:hAnsi="Times New Roman" w:cs="Times New Roman"/>
          <w:b/>
          <w:noProof/>
          <w:sz w:val="24"/>
          <w:szCs w:val="24"/>
        </w:rPr>
        <w:t>1</w:t>
      </w:r>
      <w:r w:rsidRPr="00051BE1">
        <w:rPr>
          <w:rFonts w:ascii="Times New Roman" w:hAnsi="Times New Roman" w:cs="Times New Roman"/>
          <w:b/>
          <w:sz w:val="24"/>
          <w:szCs w:val="24"/>
        </w:rPr>
        <w:fldChar w:fldCharType="end"/>
      </w:r>
      <w:r w:rsidRPr="00051BE1">
        <w:rPr>
          <w:rFonts w:ascii="Times New Roman" w:hAnsi="Times New Roman" w:cs="Times New Roman"/>
          <w:b/>
          <w:sz w:val="24"/>
          <w:szCs w:val="24"/>
        </w:rPr>
        <w:t>:</w:t>
      </w:r>
      <w:r w:rsidRPr="00BE4AF3">
        <w:rPr>
          <w:rFonts w:ascii="Times New Roman" w:hAnsi="Times New Roman" w:cs="Times New Roman"/>
          <w:bCs/>
          <w:sz w:val="24"/>
          <w:szCs w:val="24"/>
        </w:rPr>
        <w:t xml:space="preserve"> Satellite Image Data</w:t>
      </w:r>
      <w:bookmarkEnd w:id="77"/>
    </w:p>
    <w:tbl>
      <w:tblPr>
        <w:tblW w:w="0" w:type="auto"/>
        <w:jc w:val="center"/>
        <w:tblLook w:val="04A0" w:firstRow="1" w:lastRow="0" w:firstColumn="1" w:lastColumn="0" w:noHBand="0" w:noVBand="1"/>
      </w:tblPr>
      <w:tblGrid>
        <w:gridCol w:w="1383"/>
        <w:gridCol w:w="742"/>
        <w:gridCol w:w="1142"/>
        <w:gridCol w:w="1366"/>
        <w:gridCol w:w="2030"/>
        <w:gridCol w:w="1911"/>
      </w:tblGrid>
      <w:tr w:rsidR="0000060D" w:rsidRPr="00051BE1" w14:paraId="46E4C6E3" w14:textId="77777777" w:rsidTr="00051BE1">
        <w:trPr>
          <w:jc w:val="center"/>
        </w:trPr>
        <w:tc>
          <w:tcPr>
            <w:tcW w:w="0" w:type="auto"/>
            <w:tcBorders>
              <w:top w:val="single" w:sz="4" w:space="0" w:color="auto"/>
            </w:tcBorders>
            <w:shd w:val="clear" w:color="auto" w:fill="auto"/>
            <w:hideMark/>
          </w:tcPr>
          <w:p w14:paraId="3A5BDC13" w14:textId="77777777" w:rsidR="0000060D" w:rsidRPr="00051BE1" w:rsidRDefault="0000060D" w:rsidP="00051BE1">
            <w:pPr>
              <w:spacing w:after="0" w:line="240" w:lineRule="auto"/>
              <w:jc w:val="center"/>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Sensor</w:t>
            </w:r>
          </w:p>
        </w:tc>
        <w:tc>
          <w:tcPr>
            <w:tcW w:w="742" w:type="dxa"/>
            <w:tcBorders>
              <w:top w:val="single" w:sz="4" w:space="0" w:color="auto"/>
            </w:tcBorders>
            <w:shd w:val="clear" w:color="auto" w:fill="auto"/>
            <w:hideMark/>
          </w:tcPr>
          <w:p w14:paraId="71168616" w14:textId="77777777" w:rsidR="0000060D" w:rsidRPr="00051BE1" w:rsidRDefault="0000060D" w:rsidP="00051BE1">
            <w:pPr>
              <w:spacing w:after="0" w:line="240" w:lineRule="auto"/>
              <w:jc w:val="center"/>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Time Period</w:t>
            </w:r>
          </w:p>
        </w:tc>
        <w:tc>
          <w:tcPr>
            <w:tcW w:w="1142" w:type="dxa"/>
            <w:tcBorders>
              <w:top w:val="single" w:sz="4" w:space="0" w:color="auto"/>
            </w:tcBorders>
            <w:shd w:val="clear" w:color="auto" w:fill="auto"/>
            <w:hideMark/>
          </w:tcPr>
          <w:p w14:paraId="0822FB3F" w14:textId="77777777" w:rsidR="0000060D" w:rsidRPr="00051BE1" w:rsidRDefault="0000060D" w:rsidP="00051BE1">
            <w:pPr>
              <w:spacing w:after="0" w:line="240" w:lineRule="auto"/>
              <w:jc w:val="center"/>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Spatial Resolution</w:t>
            </w:r>
          </w:p>
        </w:tc>
        <w:tc>
          <w:tcPr>
            <w:tcW w:w="0" w:type="auto"/>
            <w:tcBorders>
              <w:top w:val="single" w:sz="4" w:space="0" w:color="auto"/>
            </w:tcBorders>
            <w:shd w:val="clear" w:color="auto" w:fill="auto"/>
            <w:hideMark/>
          </w:tcPr>
          <w:p w14:paraId="410D601A" w14:textId="77777777" w:rsidR="0000060D" w:rsidRPr="00051BE1" w:rsidRDefault="0000060D" w:rsidP="00051BE1">
            <w:pPr>
              <w:spacing w:after="0" w:line="240" w:lineRule="auto"/>
              <w:jc w:val="center"/>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Bands Used</w:t>
            </w:r>
          </w:p>
        </w:tc>
        <w:tc>
          <w:tcPr>
            <w:tcW w:w="2030" w:type="dxa"/>
            <w:tcBorders>
              <w:top w:val="single" w:sz="4" w:space="0" w:color="auto"/>
            </w:tcBorders>
            <w:shd w:val="clear" w:color="auto" w:fill="auto"/>
            <w:hideMark/>
          </w:tcPr>
          <w:p w14:paraId="392C9279" w14:textId="77777777" w:rsidR="0000060D" w:rsidRPr="00051BE1" w:rsidRDefault="0000060D" w:rsidP="00051BE1">
            <w:pPr>
              <w:spacing w:after="0" w:line="240" w:lineRule="auto"/>
              <w:jc w:val="center"/>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Purpose</w:t>
            </w:r>
          </w:p>
        </w:tc>
        <w:tc>
          <w:tcPr>
            <w:tcW w:w="0" w:type="auto"/>
            <w:tcBorders>
              <w:top w:val="single" w:sz="4" w:space="0" w:color="auto"/>
            </w:tcBorders>
            <w:shd w:val="clear" w:color="auto" w:fill="auto"/>
            <w:hideMark/>
          </w:tcPr>
          <w:p w14:paraId="7DFBFB4D" w14:textId="77777777" w:rsidR="0000060D" w:rsidRPr="00051BE1" w:rsidRDefault="0000060D" w:rsidP="00051BE1">
            <w:pPr>
              <w:spacing w:after="0" w:line="240" w:lineRule="auto"/>
              <w:jc w:val="center"/>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Source</w:t>
            </w:r>
          </w:p>
        </w:tc>
      </w:tr>
      <w:tr w:rsidR="0000060D" w:rsidRPr="00051BE1" w14:paraId="29B65E56" w14:textId="77777777" w:rsidTr="00051BE1">
        <w:trPr>
          <w:jc w:val="center"/>
        </w:trPr>
        <w:tc>
          <w:tcPr>
            <w:tcW w:w="0" w:type="auto"/>
            <w:tcBorders>
              <w:top w:val="single" w:sz="4" w:space="0" w:color="auto"/>
            </w:tcBorders>
            <w:shd w:val="clear" w:color="auto" w:fill="auto"/>
            <w:hideMark/>
          </w:tcPr>
          <w:p w14:paraId="51AECD81"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Landsat 5 TM</w:t>
            </w:r>
          </w:p>
        </w:tc>
        <w:tc>
          <w:tcPr>
            <w:tcW w:w="742" w:type="dxa"/>
            <w:tcBorders>
              <w:top w:val="single" w:sz="4" w:space="0" w:color="auto"/>
            </w:tcBorders>
            <w:shd w:val="clear" w:color="auto" w:fill="auto"/>
            <w:hideMark/>
          </w:tcPr>
          <w:p w14:paraId="3A0E9BF0"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2005</w:t>
            </w:r>
          </w:p>
        </w:tc>
        <w:tc>
          <w:tcPr>
            <w:tcW w:w="1142" w:type="dxa"/>
            <w:tcBorders>
              <w:top w:val="single" w:sz="4" w:space="0" w:color="auto"/>
            </w:tcBorders>
            <w:shd w:val="clear" w:color="auto" w:fill="auto"/>
            <w:hideMark/>
          </w:tcPr>
          <w:p w14:paraId="5D812A5D"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30m</w:t>
            </w:r>
          </w:p>
        </w:tc>
        <w:tc>
          <w:tcPr>
            <w:tcW w:w="0" w:type="auto"/>
            <w:tcBorders>
              <w:top w:val="single" w:sz="4" w:space="0" w:color="auto"/>
            </w:tcBorders>
            <w:shd w:val="clear" w:color="auto" w:fill="auto"/>
            <w:hideMark/>
          </w:tcPr>
          <w:p w14:paraId="3F432C5E"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B1-B5, B7</w:t>
            </w:r>
          </w:p>
        </w:tc>
        <w:tc>
          <w:tcPr>
            <w:tcW w:w="2030" w:type="dxa"/>
            <w:tcBorders>
              <w:top w:val="single" w:sz="4" w:space="0" w:color="auto"/>
            </w:tcBorders>
            <w:shd w:val="clear" w:color="auto" w:fill="auto"/>
            <w:hideMark/>
          </w:tcPr>
          <w:p w14:paraId="0F09F249"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Baseline land cover classification</w:t>
            </w:r>
          </w:p>
        </w:tc>
        <w:tc>
          <w:tcPr>
            <w:tcW w:w="0" w:type="auto"/>
            <w:tcBorders>
              <w:top w:val="single" w:sz="4" w:space="0" w:color="auto"/>
            </w:tcBorders>
            <w:shd w:val="clear" w:color="auto" w:fill="auto"/>
            <w:hideMark/>
          </w:tcPr>
          <w:p w14:paraId="0BA08FB9"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USGS EarthExplorer</w:t>
            </w:r>
          </w:p>
        </w:tc>
      </w:tr>
      <w:tr w:rsidR="0000060D" w:rsidRPr="00051BE1" w14:paraId="1319490A" w14:textId="77777777" w:rsidTr="00051BE1">
        <w:trPr>
          <w:jc w:val="center"/>
        </w:trPr>
        <w:tc>
          <w:tcPr>
            <w:tcW w:w="0" w:type="auto"/>
            <w:shd w:val="clear" w:color="auto" w:fill="auto"/>
            <w:hideMark/>
          </w:tcPr>
          <w:p w14:paraId="544DD093"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Landsat 8 OLI</w:t>
            </w:r>
          </w:p>
        </w:tc>
        <w:tc>
          <w:tcPr>
            <w:tcW w:w="742" w:type="dxa"/>
            <w:shd w:val="clear" w:color="auto" w:fill="auto"/>
            <w:hideMark/>
          </w:tcPr>
          <w:p w14:paraId="48476E3E"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2015</w:t>
            </w:r>
          </w:p>
        </w:tc>
        <w:tc>
          <w:tcPr>
            <w:tcW w:w="1142" w:type="dxa"/>
            <w:shd w:val="clear" w:color="auto" w:fill="auto"/>
            <w:hideMark/>
          </w:tcPr>
          <w:p w14:paraId="775D2E5E"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30m</w:t>
            </w:r>
          </w:p>
        </w:tc>
        <w:tc>
          <w:tcPr>
            <w:tcW w:w="0" w:type="auto"/>
            <w:shd w:val="clear" w:color="auto" w:fill="auto"/>
            <w:hideMark/>
          </w:tcPr>
          <w:p w14:paraId="4CC8B0ED"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B2-B7</w:t>
            </w:r>
          </w:p>
        </w:tc>
        <w:tc>
          <w:tcPr>
            <w:tcW w:w="2030" w:type="dxa"/>
            <w:shd w:val="clear" w:color="auto" w:fill="auto"/>
            <w:hideMark/>
          </w:tcPr>
          <w:p w14:paraId="4A3859C6"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Change detection analysis</w:t>
            </w:r>
          </w:p>
        </w:tc>
        <w:tc>
          <w:tcPr>
            <w:tcW w:w="0" w:type="auto"/>
            <w:shd w:val="clear" w:color="auto" w:fill="auto"/>
            <w:hideMark/>
          </w:tcPr>
          <w:p w14:paraId="6ED8ED6C"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USGS EarthExplorer</w:t>
            </w:r>
          </w:p>
        </w:tc>
      </w:tr>
      <w:tr w:rsidR="0000060D" w:rsidRPr="00051BE1" w14:paraId="33EFD622" w14:textId="77777777" w:rsidTr="00051BE1">
        <w:trPr>
          <w:jc w:val="center"/>
        </w:trPr>
        <w:tc>
          <w:tcPr>
            <w:tcW w:w="0" w:type="auto"/>
            <w:shd w:val="clear" w:color="auto" w:fill="auto"/>
            <w:hideMark/>
          </w:tcPr>
          <w:p w14:paraId="4C13C166"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Landsat 8 OLI</w:t>
            </w:r>
          </w:p>
        </w:tc>
        <w:tc>
          <w:tcPr>
            <w:tcW w:w="742" w:type="dxa"/>
            <w:shd w:val="clear" w:color="auto" w:fill="auto"/>
            <w:hideMark/>
          </w:tcPr>
          <w:p w14:paraId="2CEF4BCF"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2025</w:t>
            </w:r>
          </w:p>
        </w:tc>
        <w:tc>
          <w:tcPr>
            <w:tcW w:w="1142" w:type="dxa"/>
            <w:shd w:val="clear" w:color="auto" w:fill="auto"/>
            <w:hideMark/>
          </w:tcPr>
          <w:p w14:paraId="733C114C"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30m</w:t>
            </w:r>
          </w:p>
        </w:tc>
        <w:tc>
          <w:tcPr>
            <w:tcW w:w="0" w:type="auto"/>
            <w:shd w:val="clear" w:color="auto" w:fill="auto"/>
            <w:hideMark/>
          </w:tcPr>
          <w:p w14:paraId="62708D4A"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B2-B7</w:t>
            </w:r>
          </w:p>
        </w:tc>
        <w:tc>
          <w:tcPr>
            <w:tcW w:w="2030" w:type="dxa"/>
            <w:shd w:val="clear" w:color="auto" w:fill="auto"/>
            <w:hideMark/>
          </w:tcPr>
          <w:p w14:paraId="12E93351"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Recent deforestation assessment</w:t>
            </w:r>
          </w:p>
        </w:tc>
        <w:tc>
          <w:tcPr>
            <w:tcW w:w="0" w:type="auto"/>
            <w:shd w:val="clear" w:color="auto" w:fill="auto"/>
            <w:hideMark/>
          </w:tcPr>
          <w:p w14:paraId="17625F54"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USGS EarthExplorer</w:t>
            </w:r>
          </w:p>
        </w:tc>
      </w:tr>
      <w:tr w:rsidR="0000060D" w:rsidRPr="00051BE1" w14:paraId="0F56C8DD" w14:textId="77777777" w:rsidTr="00051BE1">
        <w:trPr>
          <w:jc w:val="center"/>
        </w:trPr>
        <w:tc>
          <w:tcPr>
            <w:tcW w:w="0" w:type="auto"/>
            <w:tcBorders>
              <w:bottom w:val="single" w:sz="4" w:space="0" w:color="auto"/>
            </w:tcBorders>
            <w:shd w:val="clear" w:color="auto" w:fill="auto"/>
            <w:hideMark/>
          </w:tcPr>
          <w:p w14:paraId="12F6AE2C"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SRTM DEM</w:t>
            </w:r>
          </w:p>
        </w:tc>
        <w:tc>
          <w:tcPr>
            <w:tcW w:w="742" w:type="dxa"/>
            <w:tcBorders>
              <w:bottom w:val="single" w:sz="4" w:space="0" w:color="auto"/>
            </w:tcBorders>
            <w:shd w:val="clear" w:color="auto" w:fill="auto"/>
            <w:hideMark/>
          </w:tcPr>
          <w:p w14:paraId="1C847CF8"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2000</w:t>
            </w:r>
          </w:p>
        </w:tc>
        <w:tc>
          <w:tcPr>
            <w:tcW w:w="1142" w:type="dxa"/>
            <w:tcBorders>
              <w:bottom w:val="single" w:sz="4" w:space="0" w:color="auto"/>
            </w:tcBorders>
            <w:shd w:val="clear" w:color="auto" w:fill="auto"/>
            <w:hideMark/>
          </w:tcPr>
          <w:p w14:paraId="21BAE54D"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30m</w:t>
            </w:r>
          </w:p>
        </w:tc>
        <w:tc>
          <w:tcPr>
            <w:tcW w:w="0" w:type="auto"/>
            <w:tcBorders>
              <w:bottom w:val="single" w:sz="4" w:space="0" w:color="auto"/>
            </w:tcBorders>
            <w:shd w:val="clear" w:color="auto" w:fill="auto"/>
            <w:hideMark/>
          </w:tcPr>
          <w:p w14:paraId="19FB7F16"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Elevation data</w:t>
            </w:r>
          </w:p>
        </w:tc>
        <w:tc>
          <w:tcPr>
            <w:tcW w:w="2030" w:type="dxa"/>
            <w:tcBorders>
              <w:bottom w:val="single" w:sz="4" w:space="0" w:color="auto"/>
            </w:tcBorders>
            <w:shd w:val="clear" w:color="auto" w:fill="auto"/>
            <w:hideMark/>
          </w:tcPr>
          <w:p w14:paraId="604726BD" w14:textId="77777777" w:rsidR="0000060D" w:rsidRPr="00051BE1" w:rsidRDefault="0000060D" w:rsidP="00051BE1">
            <w:pPr>
              <w:spacing w:after="0" w:line="240" w:lineRule="auto"/>
              <w:rPr>
                <w:rFonts w:ascii="Times New Roman" w:eastAsia="Times New Roman" w:hAnsi="Times New Roman" w:cs="Times New Roman"/>
                <w:bCs/>
                <w:sz w:val="20"/>
                <w:szCs w:val="20"/>
              </w:rPr>
            </w:pPr>
            <w:r w:rsidRPr="00051BE1">
              <w:rPr>
                <w:rFonts w:ascii="Times New Roman" w:eastAsia="Times New Roman" w:hAnsi="Times New Roman" w:cs="Times New Roman"/>
                <w:bCs/>
                <w:sz w:val="20"/>
                <w:szCs w:val="20"/>
              </w:rPr>
              <w:t>Topographic analysis</w:t>
            </w:r>
          </w:p>
        </w:tc>
        <w:tc>
          <w:tcPr>
            <w:tcW w:w="0" w:type="auto"/>
            <w:tcBorders>
              <w:bottom w:val="single" w:sz="4" w:space="0" w:color="auto"/>
            </w:tcBorders>
            <w:shd w:val="clear" w:color="auto" w:fill="auto"/>
            <w:hideMark/>
          </w:tcPr>
          <w:p w14:paraId="24A5FFE5" w14:textId="77777777" w:rsidR="0000060D" w:rsidRPr="00051BE1" w:rsidRDefault="0000060D" w:rsidP="00051BE1">
            <w:pPr>
              <w:spacing w:after="0" w:line="240" w:lineRule="auto"/>
              <w:rPr>
                <w:rFonts w:ascii="Times New Roman" w:eastAsia="Times New Roman" w:hAnsi="Times New Roman" w:cs="Times New Roman"/>
                <w:bCs/>
                <w:sz w:val="20"/>
                <w:szCs w:val="20"/>
              </w:rPr>
            </w:pPr>
          </w:p>
        </w:tc>
      </w:tr>
    </w:tbl>
    <w:p w14:paraId="1E15AEB4" w14:textId="77777777" w:rsidR="0000060D" w:rsidRPr="00BE4AF3" w:rsidRDefault="0000060D" w:rsidP="00051BE1">
      <w:pPr>
        <w:spacing w:after="0" w:line="240" w:lineRule="auto"/>
        <w:jc w:val="both"/>
        <w:rPr>
          <w:rFonts w:ascii="Times New Roman" w:hAnsi="Times New Roman" w:cs="Times New Roman"/>
          <w:bCs/>
          <w:sz w:val="24"/>
          <w:szCs w:val="24"/>
        </w:rPr>
        <w:sectPr w:rsidR="0000060D" w:rsidRPr="00BE4AF3" w:rsidSect="0000060D">
          <w:type w:val="continuous"/>
          <w:pgSz w:w="11906" w:h="16838"/>
          <w:pgMar w:top="1418" w:right="1418" w:bottom="1418" w:left="1418" w:header="709" w:footer="709" w:gutter="0"/>
          <w:cols w:space="708"/>
          <w:docGrid w:linePitch="360"/>
        </w:sectPr>
      </w:pPr>
    </w:p>
    <w:p w14:paraId="40DBE3C4" w14:textId="77777777" w:rsidR="0000060D" w:rsidRPr="00BE4AF3" w:rsidRDefault="0000060D" w:rsidP="00051BE1">
      <w:pPr>
        <w:spacing w:after="0" w:line="240" w:lineRule="auto"/>
        <w:jc w:val="both"/>
        <w:rPr>
          <w:rFonts w:ascii="Times New Roman" w:hAnsi="Times New Roman" w:cs="Times New Roman"/>
          <w:bCs/>
          <w:sz w:val="24"/>
          <w:szCs w:val="24"/>
        </w:rPr>
      </w:pPr>
      <w:r w:rsidRPr="00BE4AF3">
        <w:rPr>
          <w:rFonts w:ascii="Times New Roman" w:hAnsi="Times New Roman" w:cs="Times New Roman"/>
          <w:bCs/>
          <w:sz w:val="24"/>
          <w:szCs w:val="24"/>
        </w:rPr>
        <w:t>The USGS Earth Explorer platform provided cloud-free scenes from Landsat 5 TM (2004), Landsat 7 ETM+ (2014), and Landsat 8 OLI (2024), all acquired during the dry season to minimize vegetation phenology effects. These images were carefully selected to maintain consistent spatial coverage (Path/Row 191/055) and meet strict quality criteria including less than 10% cloud cover. Supplementary datasets were acquired to support image classification and change analysis as shown in Table 2:</w:t>
      </w:r>
    </w:p>
    <w:p w14:paraId="6505A1A1" w14:textId="77777777" w:rsidR="0000060D" w:rsidRDefault="0000060D" w:rsidP="0000060D">
      <w:pPr>
        <w:spacing w:after="240" w:line="240" w:lineRule="auto"/>
        <w:rPr>
          <w:rFonts w:ascii="Times New Roman" w:hAnsi="Times New Roman" w:cs="Times New Roman"/>
          <w:bCs/>
          <w:kern w:val="2"/>
          <w:sz w:val="24"/>
          <w:szCs w:val="24"/>
        </w:rPr>
      </w:pPr>
    </w:p>
    <w:p w14:paraId="1147F103" w14:textId="77777777" w:rsidR="00051BE1" w:rsidRDefault="00051BE1" w:rsidP="0000060D">
      <w:pPr>
        <w:spacing w:after="240" w:line="240" w:lineRule="auto"/>
        <w:rPr>
          <w:rFonts w:ascii="Times New Roman" w:hAnsi="Times New Roman" w:cs="Times New Roman"/>
          <w:bCs/>
          <w:kern w:val="2"/>
          <w:sz w:val="24"/>
          <w:szCs w:val="24"/>
        </w:rPr>
      </w:pPr>
    </w:p>
    <w:p w14:paraId="239DC9BF" w14:textId="77777777" w:rsidR="00051BE1" w:rsidRDefault="00051BE1" w:rsidP="0000060D">
      <w:pPr>
        <w:spacing w:after="240" w:line="240" w:lineRule="auto"/>
        <w:rPr>
          <w:rFonts w:ascii="Times New Roman" w:hAnsi="Times New Roman" w:cs="Times New Roman"/>
          <w:bCs/>
          <w:kern w:val="2"/>
          <w:sz w:val="24"/>
          <w:szCs w:val="24"/>
        </w:rPr>
      </w:pPr>
    </w:p>
    <w:p w14:paraId="4EBDAEC5" w14:textId="77777777" w:rsidR="00051BE1" w:rsidRPr="00BE4AF3" w:rsidRDefault="00051BE1" w:rsidP="0000060D">
      <w:pPr>
        <w:spacing w:after="240" w:line="240" w:lineRule="auto"/>
        <w:rPr>
          <w:rFonts w:ascii="Times New Roman" w:hAnsi="Times New Roman" w:cs="Times New Roman"/>
          <w:bCs/>
          <w:kern w:val="2"/>
          <w:sz w:val="24"/>
          <w:szCs w:val="24"/>
        </w:rPr>
        <w:sectPr w:rsidR="00051BE1" w:rsidRPr="00BE4AF3" w:rsidSect="0000060D">
          <w:type w:val="continuous"/>
          <w:pgSz w:w="11906" w:h="16838"/>
          <w:pgMar w:top="1418" w:right="1418" w:bottom="1418" w:left="1418" w:header="709" w:footer="709" w:gutter="0"/>
          <w:cols w:space="708"/>
          <w:docGrid w:linePitch="360"/>
        </w:sectPr>
      </w:pPr>
    </w:p>
    <w:tbl>
      <w:tblPr>
        <w:tblW w:w="0" w:type="auto"/>
        <w:jc w:val="center"/>
        <w:tblLook w:val="04A0" w:firstRow="1" w:lastRow="0" w:firstColumn="1" w:lastColumn="0" w:noHBand="0" w:noVBand="1"/>
      </w:tblPr>
      <w:tblGrid>
        <w:gridCol w:w="1418"/>
        <w:gridCol w:w="2501"/>
        <w:gridCol w:w="2621"/>
        <w:gridCol w:w="2005"/>
      </w:tblGrid>
      <w:tr w:rsidR="0000060D" w:rsidRPr="00051BE1" w14:paraId="33F271BA" w14:textId="77777777" w:rsidTr="00051BE1">
        <w:trPr>
          <w:jc w:val="center"/>
        </w:trPr>
        <w:tc>
          <w:tcPr>
            <w:tcW w:w="1418" w:type="dxa"/>
            <w:tcBorders>
              <w:top w:val="single" w:sz="4" w:space="0" w:color="auto"/>
              <w:bottom w:val="single" w:sz="4" w:space="0" w:color="auto"/>
            </w:tcBorders>
            <w:shd w:val="clear" w:color="auto" w:fill="auto"/>
            <w:hideMark/>
          </w:tcPr>
          <w:p w14:paraId="5DE689DD" w14:textId="77777777" w:rsidR="0000060D" w:rsidRPr="00051BE1" w:rsidRDefault="0000060D" w:rsidP="0000060D">
            <w:pPr>
              <w:spacing w:after="0" w:line="240" w:lineRule="auto"/>
              <w:rPr>
                <w:rFonts w:ascii="Times New Roman" w:hAnsi="Times New Roman" w:cs="Times New Roman"/>
                <w:bCs/>
                <w:kern w:val="2"/>
                <w:sz w:val="20"/>
                <w:szCs w:val="20"/>
              </w:rPr>
            </w:pPr>
            <w:r w:rsidRPr="00051BE1">
              <w:rPr>
                <w:rFonts w:ascii="Times New Roman" w:hAnsi="Times New Roman" w:cs="Times New Roman"/>
                <w:bCs/>
                <w:kern w:val="2"/>
                <w:sz w:val="20"/>
                <w:szCs w:val="20"/>
              </w:rPr>
              <w:lastRenderedPageBreak/>
              <w:t>Data Type</w:t>
            </w:r>
          </w:p>
        </w:tc>
        <w:tc>
          <w:tcPr>
            <w:tcW w:w="2501" w:type="dxa"/>
            <w:tcBorders>
              <w:top w:val="single" w:sz="4" w:space="0" w:color="auto"/>
              <w:bottom w:val="single" w:sz="4" w:space="0" w:color="auto"/>
            </w:tcBorders>
            <w:shd w:val="clear" w:color="auto" w:fill="auto"/>
            <w:hideMark/>
          </w:tcPr>
          <w:p w14:paraId="7043DC5E" w14:textId="77777777" w:rsidR="0000060D" w:rsidRPr="00051BE1" w:rsidRDefault="0000060D" w:rsidP="0000060D">
            <w:pPr>
              <w:spacing w:after="0" w:line="240" w:lineRule="auto"/>
              <w:rPr>
                <w:rFonts w:ascii="Times New Roman" w:hAnsi="Times New Roman" w:cs="Times New Roman"/>
                <w:bCs/>
                <w:kern w:val="2"/>
                <w:sz w:val="20"/>
                <w:szCs w:val="20"/>
              </w:rPr>
            </w:pPr>
            <w:r w:rsidRPr="00051BE1">
              <w:rPr>
                <w:rFonts w:ascii="Times New Roman" w:hAnsi="Times New Roman" w:cs="Times New Roman"/>
                <w:bCs/>
                <w:kern w:val="2"/>
                <w:sz w:val="20"/>
                <w:szCs w:val="20"/>
              </w:rPr>
              <w:t>Description</w:t>
            </w:r>
          </w:p>
        </w:tc>
        <w:tc>
          <w:tcPr>
            <w:tcW w:w="0" w:type="auto"/>
            <w:tcBorders>
              <w:top w:val="single" w:sz="4" w:space="0" w:color="auto"/>
              <w:bottom w:val="single" w:sz="4" w:space="0" w:color="auto"/>
            </w:tcBorders>
            <w:shd w:val="clear" w:color="auto" w:fill="auto"/>
            <w:hideMark/>
          </w:tcPr>
          <w:p w14:paraId="7669F05D" w14:textId="77777777" w:rsidR="0000060D" w:rsidRPr="00051BE1" w:rsidRDefault="0000060D" w:rsidP="0000060D">
            <w:pPr>
              <w:spacing w:after="0" w:line="240" w:lineRule="auto"/>
              <w:rPr>
                <w:rFonts w:ascii="Times New Roman" w:hAnsi="Times New Roman" w:cs="Times New Roman"/>
                <w:bCs/>
                <w:kern w:val="2"/>
                <w:sz w:val="20"/>
                <w:szCs w:val="20"/>
              </w:rPr>
            </w:pPr>
            <w:r w:rsidRPr="00051BE1">
              <w:rPr>
                <w:rFonts w:ascii="Times New Roman" w:hAnsi="Times New Roman" w:cs="Times New Roman"/>
                <w:bCs/>
                <w:kern w:val="2"/>
                <w:sz w:val="20"/>
                <w:szCs w:val="20"/>
              </w:rPr>
              <w:t>Source</w:t>
            </w:r>
          </w:p>
        </w:tc>
        <w:tc>
          <w:tcPr>
            <w:tcW w:w="0" w:type="auto"/>
            <w:tcBorders>
              <w:top w:val="single" w:sz="4" w:space="0" w:color="auto"/>
              <w:bottom w:val="single" w:sz="4" w:space="0" w:color="auto"/>
            </w:tcBorders>
            <w:shd w:val="clear" w:color="auto" w:fill="auto"/>
            <w:hideMark/>
          </w:tcPr>
          <w:p w14:paraId="5937277B" w14:textId="77777777" w:rsidR="0000060D" w:rsidRPr="00051BE1" w:rsidRDefault="0000060D" w:rsidP="0000060D">
            <w:pPr>
              <w:spacing w:after="0" w:line="240" w:lineRule="auto"/>
              <w:rPr>
                <w:rFonts w:ascii="Times New Roman" w:hAnsi="Times New Roman" w:cs="Times New Roman"/>
                <w:bCs/>
                <w:kern w:val="2"/>
                <w:sz w:val="20"/>
                <w:szCs w:val="20"/>
              </w:rPr>
            </w:pPr>
            <w:r w:rsidRPr="00051BE1">
              <w:rPr>
                <w:rFonts w:ascii="Times New Roman" w:hAnsi="Times New Roman" w:cs="Times New Roman"/>
                <w:bCs/>
                <w:kern w:val="2"/>
                <w:sz w:val="20"/>
                <w:szCs w:val="20"/>
              </w:rPr>
              <w:t>Purpose</w:t>
            </w:r>
          </w:p>
        </w:tc>
      </w:tr>
      <w:tr w:rsidR="0000060D" w:rsidRPr="00051BE1" w14:paraId="316B7432" w14:textId="77777777" w:rsidTr="00051BE1">
        <w:trPr>
          <w:jc w:val="center"/>
        </w:trPr>
        <w:tc>
          <w:tcPr>
            <w:tcW w:w="1418" w:type="dxa"/>
            <w:tcBorders>
              <w:top w:val="single" w:sz="4" w:space="0" w:color="auto"/>
            </w:tcBorders>
            <w:shd w:val="clear" w:color="auto" w:fill="auto"/>
            <w:hideMark/>
          </w:tcPr>
          <w:p w14:paraId="7701B074" w14:textId="77777777" w:rsidR="0000060D" w:rsidRPr="00051BE1" w:rsidRDefault="0000060D" w:rsidP="0000060D">
            <w:pPr>
              <w:spacing w:after="0" w:line="240" w:lineRule="auto"/>
              <w:rPr>
                <w:rFonts w:ascii="Times New Roman" w:hAnsi="Times New Roman" w:cs="Times New Roman"/>
                <w:bCs/>
                <w:kern w:val="2"/>
                <w:sz w:val="20"/>
                <w:szCs w:val="20"/>
              </w:rPr>
            </w:pPr>
            <w:r w:rsidRPr="00051BE1">
              <w:rPr>
                <w:rFonts w:ascii="Times New Roman" w:hAnsi="Times New Roman" w:cs="Times New Roman"/>
                <w:bCs/>
                <w:kern w:val="2"/>
                <w:sz w:val="20"/>
                <w:szCs w:val="20"/>
              </w:rPr>
              <w:t>Park boundary shapefile</w:t>
            </w:r>
          </w:p>
        </w:tc>
        <w:tc>
          <w:tcPr>
            <w:tcW w:w="2501" w:type="dxa"/>
            <w:tcBorders>
              <w:top w:val="single" w:sz="4" w:space="0" w:color="auto"/>
            </w:tcBorders>
            <w:shd w:val="clear" w:color="auto" w:fill="auto"/>
            <w:hideMark/>
          </w:tcPr>
          <w:p w14:paraId="16DB41B6" w14:textId="77777777" w:rsidR="0000060D" w:rsidRPr="00051BE1" w:rsidRDefault="0000060D" w:rsidP="0000060D">
            <w:pPr>
              <w:spacing w:after="0" w:line="240" w:lineRule="auto"/>
              <w:rPr>
                <w:rFonts w:ascii="Times New Roman" w:hAnsi="Times New Roman" w:cs="Times New Roman"/>
                <w:bCs/>
                <w:kern w:val="2"/>
                <w:sz w:val="20"/>
                <w:szCs w:val="20"/>
              </w:rPr>
            </w:pPr>
            <w:r w:rsidRPr="00051BE1">
              <w:rPr>
                <w:rFonts w:ascii="Times New Roman" w:hAnsi="Times New Roman" w:cs="Times New Roman"/>
                <w:bCs/>
                <w:kern w:val="2"/>
                <w:sz w:val="20"/>
                <w:szCs w:val="20"/>
              </w:rPr>
              <w:t>Official OONP administrative boundaries</w:t>
            </w:r>
          </w:p>
        </w:tc>
        <w:tc>
          <w:tcPr>
            <w:tcW w:w="0" w:type="auto"/>
            <w:tcBorders>
              <w:top w:val="single" w:sz="4" w:space="0" w:color="auto"/>
            </w:tcBorders>
            <w:shd w:val="clear" w:color="auto" w:fill="auto"/>
            <w:hideMark/>
          </w:tcPr>
          <w:p w14:paraId="7474A86C" w14:textId="77777777" w:rsidR="0000060D" w:rsidRPr="00051BE1" w:rsidRDefault="0000060D" w:rsidP="0000060D">
            <w:pPr>
              <w:spacing w:after="0" w:line="240" w:lineRule="auto"/>
              <w:rPr>
                <w:rFonts w:ascii="Times New Roman" w:hAnsi="Times New Roman" w:cs="Times New Roman"/>
                <w:bCs/>
                <w:kern w:val="2"/>
                <w:sz w:val="20"/>
                <w:szCs w:val="20"/>
              </w:rPr>
            </w:pPr>
            <w:r w:rsidRPr="00051BE1">
              <w:rPr>
                <w:rFonts w:ascii="Times New Roman" w:hAnsi="Times New Roman" w:cs="Times New Roman"/>
                <w:bCs/>
                <w:kern w:val="2"/>
                <w:sz w:val="20"/>
                <w:szCs w:val="20"/>
              </w:rPr>
              <w:t>Nigeria National Park Service</w:t>
            </w:r>
          </w:p>
        </w:tc>
        <w:tc>
          <w:tcPr>
            <w:tcW w:w="0" w:type="auto"/>
            <w:tcBorders>
              <w:top w:val="single" w:sz="4" w:space="0" w:color="auto"/>
            </w:tcBorders>
            <w:shd w:val="clear" w:color="auto" w:fill="auto"/>
            <w:hideMark/>
          </w:tcPr>
          <w:p w14:paraId="3A6E381D" w14:textId="77777777" w:rsidR="0000060D" w:rsidRPr="00051BE1" w:rsidRDefault="0000060D" w:rsidP="0000060D">
            <w:pPr>
              <w:spacing w:after="0" w:line="240" w:lineRule="auto"/>
              <w:rPr>
                <w:rFonts w:ascii="Times New Roman" w:hAnsi="Times New Roman" w:cs="Times New Roman"/>
                <w:bCs/>
                <w:kern w:val="2"/>
                <w:sz w:val="20"/>
                <w:szCs w:val="20"/>
              </w:rPr>
            </w:pPr>
            <w:r w:rsidRPr="00051BE1">
              <w:rPr>
                <w:rFonts w:ascii="Times New Roman" w:hAnsi="Times New Roman" w:cs="Times New Roman"/>
                <w:bCs/>
                <w:kern w:val="2"/>
                <w:sz w:val="20"/>
                <w:szCs w:val="20"/>
              </w:rPr>
              <w:t>Study area delineation</w:t>
            </w:r>
          </w:p>
        </w:tc>
      </w:tr>
      <w:tr w:rsidR="0000060D" w:rsidRPr="00051BE1" w14:paraId="51FEABDF" w14:textId="77777777" w:rsidTr="00051BE1">
        <w:trPr>
          <w:jc w:val="center"/>
        </w:trPr>
        <w:tc>
          <w:tcPr>
            <w:tcW w:w="1418" w:type="dxa"/>
            <w:shd w:val="clear" w:color="auto" w:fill="auto"/>
            <w:hideMark/>
          </w:tcPr>
          <w:p w14:paraId="02557CD5" w14:textId="77777777" w:rsidR="0000060D" w:rsidRPr="00051BE1" w:rsidRDefault="0000060D" w:rsidP="00051BE1">
            <w:pPr>
              <w:spacing w:after="0" w:line="240" w:lineRule="auto"/>
              <w:rPr>
                <w:rFonts w:ascii="Times New Roman" w:hAnsi="Times New Roman" w:cs="Times New Roman"/>
                <w:bCs/>
                <w:kern w:val="2"/>
                <w:sz w:val="20"/>
                <w:szCs w:val="20"/>
              </w:rPr>
            </w:pPr>
            <w:r w:rsidRPr="00051BE1">
              <w:rPr>
                <w:rFonts w:ascii="Times New Roman" w:hAnsi="Times New Roman" w:cs="Times New Roman"/>
                <w:bCs/>
                <w:kern w:val="2"/>
                <w:sz w:val="20"/>
                <w:szCs w:val="20"/>
              </w:rPr>
              <w:t>Road network</w:t>
            </w:r>
          </w:p>
        </w:tc>
        <w:tc>
          <w:tcPr>
            <w:tcW w:w="2501" w:type="dxa"/>
            <w:shd w:val="clear" w:color="auto" w:fill="auto"/>
            <w:hideMark/>
          </w:tcPr>
          <w:p w14:paraId="24A2A29D" w14:textId="77777777" w:rsidR="0000060D" w:rsidRPr="00051BE1" w:rsidRDefault="0000060D" w:rsidP="00051BE1">
            <w:pPr>
              <w:spacing w:after="0" w:line="240" w:lineRule="auto"/>
              <w:rPr>
                <w:rFonts w:ascii="Times New Roman" w:hAnsi="Times New Roman" w:cs="Times New Roman"/>
                <w:bCs/>
                <w:kern w:val="2"/>
                <w:sz w:val="20"/>
                <w:szCs w:val="20"/>
              </w:rPr>
            </w:pPr>
            <w:r w:rsidRPr="00051BE1">
              <w:rPr>
                <w:rFonts w:ascii="Times New Roman" w:hAnsi="Times New Roman" w:cs="Times New Roman"/>
                <w:bCs/>
                <w:kern w:val="2"/>
                <w:sz w:val="20"/>
                <w:szCs w:val="20"/>
              </w:rPr>
              <w:t>Major and minor roads</w:t>
            </w:r>
          </w:p>
        </w:tc>
        <w:tc>
          <w:tcPr>
            <w:tcW w:w="0" w:type="auto"/>
            <w:shd w:val="clear" w:color="auto" w:fill="auto"/>
            <w:hideMark/>
          </w:tcPr>
          <w:p w14:paraId="0E453376" w14:textId="77777777" w:rsidR="0000060D" w:rsidRPr="00051BE1" w:rsidRDefault="0000060D" w:rsidP="00051BE1">
            <w:pPr>
              <w:spacing w:after="0" w:line="240" w:lineRule="auto"/>
              <w:rPr>
                <w:rFonts w:ascii="Times New Roman" w:hAnsi="Times New Roman" w:cs="Times New Roman"/>
                <w:bCs/>
                <w:kern w:val="2"/>
                <w:sz w:val="20"/>
                <w:szCs w:val="20"/>
              </w:rPr>
            </w:pPr>
            <w:r w:rsidRPr="00051BE1">
              <w:rPr>
                <w:rFonts w:ascii="Times New Roman" w:hAnsi="Times New Roman" w:cs="Times New Roman"/>
                <w:bCs/>
                <w:kern w:val="2"/>
                <w:sz w:val="20"/>
                <w:szCs w:val="20"/>
              </w:rPr>
              <w:t>OpenStreetMap</w:t>
            </w:r>
          </w:p>
        </w:tc>
        <w:tc>
          <w:tcPr>
            <w:tcW w:w="0" w:type="auto"/>
            <w:shd w:val="clear" w:color="auto" w:fill="auto"/>
            <w:hideMark/>
          </w:tcPr>
          <w:p w14:paraId="0FD3F8DB" w14:textId="77777777" w:rsidR="0000060D" w:rsidRPr="00051BE1" w:rsidRDefault="0000060D" w:rsidP="00051BE1">
            <w:pPr>
              <w:spacing w:after="0" w:line="240" w:lineRule="auto"/>
              <w:rPr>
                <w:rFonts w:ascii="Times New Roman" w:hAnsi="Times New Roman" w:cs="Times New Roman"/>
                <w:bCs/>
                <w:kern w:val="2"/>
                <w:sz w:val="20"/>
                <w:szCs w:val="20"/>
              </w:rPr>
            </w:pPr>
            <w:r w:rsidRPr="00051BE1">
              <w:rPr>
                <w:rFonts w:ascii="Times New Roman" w:hAnsi="Times New Roman" w:cs="Times New Roman"/>
                <w:bCs/>
                <w:kern w:val="2"/>
                <w:sz w:val="20"/>
                <w:szCs w:val="20"/>
              </w:rPr>
              <w:t>Accessibility analysis</w:t>
            </w:r>
          </w:p>
        </w:tc>
      </w:tr>
      <w:tr w:rsidR="0000060D" w:rsidRPr="00051BE1" w14:paraId="459BB1D0" w14:textId="77777777" w:rsidTr="00051BE1">
        <w:trPr>
          <w:jc w:val="center"/>
        </w:trPr>
        <w:tc>
          <w:tcPr>
            <w:tcW w:w="1418" w:type="dxa"/>
            <w:tcBorders>
              <w:bottom w:val="single" w:sz="4" w:space="0" w:color="auto"/>
            </w:tcBorders>
            <w:shd w:val="clear" w:color="auto" w:fill="auto"/>
            <w:hideMark/>
          </w:tcPr>
          <w:p w14:paraId="32145A56" w14:textId="77777777" w:rsidR="0000060D" w:rsidRPr="00051BE1" w:rsidRDefault="0000060D" w:rsidP="00051BE1">
            <w:pPr>
              <w:spacing w:after="0" w:line="240" w:lineRule="auto"/>
              <w:rPr>
                <w:rFonts w:ascii="Times New Roman" w:hAnsi="Times New Roman" w:cs="Times New Roman"/>
                <w:bCs/>
                <w:kern w:val="2"/>
                <w:sz w:val="20"/>
                <w:szCs w:val="20"/>
              </w:rPr>
            </w:pPr>
            <w:r w:rsidRPr="00051BE1">
              <w:rPr>
                <w:rFonts w:ascii="Times New Roman" w:hAnsi="Times New Roman" w:cs="Times New Roman"/>
                <w:bCs/>
                <w:kern w:val="2"/>
                <w:sz w:val="20"/>
                <w:szCs w:val="20"/>
              </w:rPr>
              <w:t>Settlement locations</w:t>
            </w:r>
          </w:p>
        </w:tc>
        <w:tc>
          <w:tcPr>
            <w:tcW w:w="2501" w:type="dxa"/>
            <w:tcBorders>
              <w:bottom w:val="single" w:sz="4" w:space="0" w:color="auto"/>
            </w:tcBorders>
            <w:shd w:val="clear" w:color="auto" w:fill="auto"/>
            <w:hideMark/>
          </w:tcPr>
          <w:p w14:paraId="51DA644A" w14:textId="77777777" w:rsidR="0000060D" w:rsidRPr="00051BE1" w:rsidRDefault="0000060D" w:rsidP="00051BE1">
            <w:pPr>
              <w:spacing w:after="0" w:line="240" w:lineRule="auto"/>
              <w:rPr>
                <w:rFonts w:ascii="Times New Roman" w:hAnsi="Times New Roman" w:cs="Times New Roman"/>
                <w:bCs/>
                <w:kern w:val="2"/>
                <w:sz w:val="20"/>
                <w:szCs w:val="20"/>
              </w:rPr>
            </w:pPr>
            <w:r w:rsidRPr="00051BE1">
              <w:rPr>
                <w:rFonts w:ascii="Times New Roman" w:hAnsi="Times New Roman" w:cs="Times New Roman"/>
                <w:bCs/>
                <w:kern w:val="2"/>
                <w:sz w:val="20"/>
                <w:szCs w:val="20"/>
              </w:rPr>
              <w:t>Village coordinates</w:t>
            </w:r>
          </w:p>
        </w:tc>
        <w:tc>
          <w:tcPr>
            <w:tcW w:w="0" w:type="auto"/>
            <w:tcBorders>
              <w:bottom w:val="single" w:sz="4" w:space="0" w:color="auto"/>
            </w:tcBorders>
            <w:shd w:val="clear" w:color="auto" w:fill="auto"/>
            <w:hideMark/>
          </w:tcPr>
          <w:p w14:paraId="42465CED" w14:textId="77777777" w:rsidR="0000060D" w:rsidRPr="00051BE1" w:rsidRDefault="0000060D" w:rsidP="00051BE1">
            <w:pPr>
              <w:spacing w:after="0" w:line="240" w:lineRule="auto"/>
              <w:rPr>
                <w:rFonts w:ascii="Times New Roman" w:hAnsi="Times New Roman" w:cs="Times New Roman"/>
                <w:bCs/>
                <w:kern w:val="2"/>
                <w:sz w:val="20"/>
                <w:szCs w:val="20"/>
              </w:rPr>
            </w:pPr>
            <w:r w:rsidRPr="00051BE1">
              <w:rPr>
                <w:rFonts w:ascii="Times New Roman" w:hAnsi="Times New Roman" w:cs="Times New Roman"/>
                <w:bCs/>
                <w:kern w:val="2"/>
                <w:sz w:val="20"/>
                <w:szCs w:val="20"/>
              </w:rPr>
              <w:t>Field GPS survey</w:t>
            </w:r>
          </w:p>
        </w:tc>
        <w:tc>
          <w:tcPr>
            <w:tcW w:w="0" w:type="auto"/>
            <w:tcBorders>
              <w:bottom w:val="single" w:sz="4" w:space="0" w:color="auto"/>
            </w:tcBorders>
            <w:shd w:val="clear" w:color="auto" w:fill="auto"/>
            <w:hideMark/>
          </w:tcPr>
          <w:p w14:paraId="2067B51C" w14:textId="77777777" w:rsidR="0000060D" w:rsidRPr="00051BE1" w:rsidRDefault="0000060D" w:rsidP="00051BE1">
            <w:pPr>
              <w:spacing w:after="0" w:line="240" w:lineRule="auto"/>
              <w:rPr>
                <w:rFonts w:ascii="Times New Roman" w:hAnsi="Times New Roman" w:cs="Times New Roman"/>
                <w:bCs/>
                <w:kern w:val="2"/>
                <w:sz w:val="20"/>
                <w:szCs w:val="20"/>
              </w:rPr>
            </w:pPr>
            <w:r w:rsidRPr="00051BE1">
              <w:rPr>
                <w:rFonts w:ascii="Times New Roman" w:hAnsi="Times New Roman" w:cs="Times New Roman"/>
                <w:bCs/>
                <w:kern w:val="2"/>
                <w:sz w:val="20"/>
                <w:szCs w:val="20"/>
              </w:rPr>
              <w:t>Buffer zone analysis</w:t>
            </w:r>
          </w:p>
        </w:tc>
      </w:tr>
    </w:tbl>
    <w:p w14:paraId="29E894EC" w14:textId="77777777" w:rsidR="0000060D" w:rsidRPr="00BE4AF3" w:rsidRDefault="0000060D" w:rsidP="00051BE1">
      <w:pPr>
        <w:spacing w:after="0" w:line="240" w:lineRule="auto"/>
        <w:jc w:val="both"/>
        <w:rPr>
          <w:rFonts w:ascii="Times New Roman" w:hAnsi="Times New Roman" w:cs="Times New Roman"/>
          <w:bCs/>
          <w:sz w:val="24"/>
          <w:szCs w:val="24"/>
        </w:rPr>
        <w:sectPr w:rsidR="0000060D" w:rsidRPr="00BE4AF3" w:rsidSect="0000060D">
          <w:type w:val="continuous"/>
          <w:pgSz w:w="11906" w:h="16838"/>
          <w:pgMar w:top="1418" w:right="1418" w:bottom="1418" w:left="1418" w:header="709" w:footer="709" w:gutter="0"/>
          <w:cols w:space="708"/>
          <w:docGrid w:linePitch="360"/>
        </w:sectPr>
      </w:pPr>
    </w:p>
    <w:p w14:paraId="5AA5DB0E" w14:textId="77777777" w:rsidR="0000060D" w:rsidRDefault="0000060D" w:rsidP="00051BE1">
      <w:pPr>
        <w:spacing w:after="0" w:line="240" w:lineRule="auto"/>
        <w:jc w:val="both"/>
        <w:rPr>
          <w:rFonts w:ascii="Times New Roman" w:hAnsi="Times New Roman" w:cs="Times New Roman"/>
          <w:bCs/>
          <w:sz w:val="24"/>
          <w:szCs w:val="24"/>
        </w:rPr>
      </w:pPr>
      <w:r w:rsidRPr="00BE4AF3">
        <w:rPr>
          <w:rFonts w:ascii="Times New Roman" w:hAnsi="Times New Roman" w:cs="Times New Roman"/>
          <w:bCs/>
          <w:sz w:val="24"/>
          <w:szCs w:val="24"/>
        </w:rPr>
        <w:t>Supporting geospatial data was acquired to enhance the analysis of deforestation drivers and patterns. The official park boundary shapefile obtained from the Nigeria National Park Service precisely delineates the study area, while road network data from OpenStreetMap helps assess accessibility impacts on forest loss. The satellite image datasets underwent systematic pre-processing stage to ensure radiometric consistency, geometric accuracy, and analytical readiness for the subsequent land cover classification. The pre-processing workflow was implemented using ArcGIS Desktop 10.7.1., and Terset software, following established remote sensing protocols while adapting to the specific conditions of Old Oyo National Park</w:t>
      </w:r>
      <w:bookmarkStart w:id="78" w:name="_Toc198908928"/>
      <w:r w:rsidRPr="00BE4AF3">
        <w:rPr>
          <w:rFonts w:ascii="Times New Roman" w:hAnsi="Times New Roman" w:cs="Times New Roman"/>
          <w:bCs/>
          <w:sz w:val="24"/>
          <w:szCs w:val="24"/>
        </w:rPr>
        <w:t xml:space="preserve">. </w:t>
      </w:r>
      <w:r w:rsidRPr="00BE4AF3">
        <w:rPr>
          <w:rFonts w:ascii="Times New Roman" w:hAnsi="Times New Roman" w:cs="Times New Roman"/>
          <w:bCs/>
          <w:iCs/>
          <w:sz w:val="24"/>
          <w:szCs w:val="24"/>
        </w:rPr>
        <w:t>Radiometric Correction</w:t>
      </w:r>
      <w:bookmarkEnd w:id="78"/>
      <w:r w:rsidRPr="00BE4AF3">
        <w:rPr>
          <w:rFonts w:ascii="Times New Roman" w:hAnsi="Times New Roman" w:cs="Times New Roman"/>
          <w:bCs/>
          <w:sz w:val="24"/>
          <w:szCs w:val="24"/>
        </w:rPr>
        <w:t xml:space="preserve"> converts raw digital numbers to physically meaningful reflectance values. For Landsat 7 ETM+ imagery the Chander-Markham coefficients were applied, while Landsat 8 OLI processing used updated USGS calibration parameters.</w:t>
      </w:r>
      <w:bookmarkStart w:id="79" w:name="_Toc198908929"/>
      <w:r w:rsidRPr="00BE4AF3">
        <w:rPr>
          <w:rFonts w:ascii="Times New Roman" w:hAnsi="Times New Roman" w:cs="Times New Roman"/>
          <w:bCs/>
          <w:sz w:val="24"/>
          <w:szCs w:val="24"/>
        </w:rPr>
        <w:t xml:space="preserve"> </w:t>
      </w:r>
      <w:r w:rsidRPr="00BE4AF3">
        <w:rPr>
          <w:rFonts w:ascii="Times New Roman" w:hAnsi="Times New Roman" w:cs="Times New Roman"/>
          <w:bCs/>
          <w:iCs/>
          <w:sz w:val="24"/>
          <w:szCs w:val="24"/>
        </w:rPr>
        <w:t>Geometric Correction</w:t>
      </w:r>
      <w:bookmarkEnd w:id="79"/>
      <w:r w:rsidRPr="00BE4AF3">
        <w:rPr>
          <w:rFonts w:ascii="Times New Roman" w:hAnsi="Times New Roman" w:cs="Times New Roman"/>
          <w:bCs/>
          <w:sz w:val="24"/>
          <w:szCs w:val="24"/>
        </w:rPr>
        <w:t xml:space="preserve"> Precise geometric registration ensured accurate spatial alignment of all images. Using 25 well-distributed ground control points collected from stable landscape features, we registered each scene to the Universal Transverse Mercator Zone 31N coordinate system (WGS84 datum).</w:t>
      </w:r>
      <w:bookmarkStart w:id="80" w:name="_Toc198908930"/>
      <w:r w:rsidRPr="00BE4AF3">
        <w:rPr>
          <w:rFonts w:ascii="Times New Roman" w:hAnsi="Times New Roman" w:cs="Times New Roman"/>
          <w:bCs/>
          <w:sz w:val="24"/>
          <w:szCs w:val="24"/>
        </w:rPr>
        <w:t xml:space="preserve"> </w:t>
      </w:r>
      <w:bookmarkStart w:id="81" w:name="_Toc198908935"/>
      <w:bookmarkEnd w:id="80"/>
    </w:p>
    <w:p w14:paraId="20DEEF29" w14:textId="77777777" w:rsidR="00051BE1" w:rsidRPr="00BE4AF3" w:rsidRDefault="00051BE1" w:rsidP="00051BE1">
      <w:pPr>
        <w:spacing w:after="0" w:line="240" w:lineRule="auto"/>
        <w:jc w:val="both"/>
        <w:rPr>
          <w:rFonts w:ascii="Times New Roman" w:hAnsi="Times New Roman" w:cs="Times New Roman"/>
          <w:bCs/>
          <w:sz w:val="24"/>
          <w:szCs w:val="24"/>
        </w:rPr>
      </w:pPr>
    </w:p>
    <w:p w14:paraId="27D18BB4" w14:textId="2389CE5D" w:rsidR="0000060D" w:rsidRPr="00BE4AF3" w:rsidRDefault="0000060D" w:rsidP="0000060D">
      <w:pPr>
        <w:pStyle w:val="Title"/>
        <w:spacing w:after="0"/>
        <w:rPr>
          <w:szCs w:val="24"/>
        </w:rPr>
      </w:pPr>
      <w:bookmarkStart w:id="82" w:name="_Toc198908940"/>
      <w:bookmarkEnd w:id="81"/>
      <w:r w:rsidRPr="00BE4AF3">
        <w:rPr>
          <w:szCs w:val="24"/>
        </w:rPr>
        <w:t xml:space="preserve">Results and Discussion </w:t>
      </w:r>
    </w:p>
    <w:p w14:paraId="2CE951DB" w14:textId="78BE90C9" w:rsidR="0000060D" w:rsidRPr="00BE4AF3" w:rsidRDefault="0000060D" w:rsidP="0000060D">
      <w:pPr>
        <w:pStyle w:val="Title"/>
        <w:spacing w:after="0"/>
        <w:rPr>
          <w:szCs w:val="24"/>
        </w:rPr>
      </w:pPr>
      <w:r w:rsidRPr="00BE4AF3">
        <w:rPr>
          <w:szCs w:val="24"/>
        </w:rPr>
        <w:t xml:space="preserve">Result  </w:t>
      </w:r>
      <w:bookmarkEnd w:id="82"/>
    </w:p>
    <w:p w14:paraId="0DF613C1" w14:textId="41C56867" w:rsidR="0000060D" w:rsidRPr="00BE4AF3" w:rsidRDefault="0000060D" w:rsidP="0000060D">
      <w:pPr>
        <w:spacing w:after="0"/>
        <w:rPr>
          <w:rFonts w:ascii="Times New Roman" w:hAnsi="Times New Roman" w:cs="Times New Roman"/>
          <w:b/>
          <w:bCs/>
          <w:sz w:val="24"/>
          <w:szCs w:val="24"/>
          <w:lang w:val="en-US"/>
        </w:rPr>
      </w:pPr>
      <w:r w:rsidRPr="00BE4AF3">
        <w:rPr>
          <w:rFonts w:ascii="Times New Roman" w:hAnsi="Times New Roman" w:cs="Times New Roman"/>
          <w:b/>
          <w:bCs/>
          <w:sz w:val="24"/>
          <w:szCs w:val="24"/>
          <w:lang w:val="en-US"/>
        </w:rPr>
        <w:t xml:space="preserve">Maximum likelihood </w:t>
      </w:r>
    </w:p>
    <w:p w14:paraId="34609ABF" w14:textId="77777777" w:rsidR="0000060D" w:rsidRPr="00BE4AF3" w:rsidRDefault="0000060D" w:rsidP="00051BE1">
      <w:pPr>
        <w:spacing w:after="0" w:line="240" w:lineRule="auto"/>
        <w:jc w:val="both"/>
        <w:rPr>
          <w:rFonts w:ascii="Times New Roman" w:hAnsi="Times New Roman" w:cs="Times New Roman"/>
          <w:bCs/>
          <w:sz w:val="24"/>
          <w:szCs w:val="24"/>
        </w:rPr>
      </w:pPr>
      <w:r w:rsidRPr="00BE4AF3">
        <w:rPr>
          <w:rFonts w:ascii="Times New Roman" w:hAnsi="Times New Roman" w:cs="Times New Roman"/>
          <w:bCs/>
          <w:sz w:val="24"/>
          <w:szCs w:val="24"/>
        </w:rPr>
        <w:t>Table 3 provides a systematic classification of land cover types, measured in hectares, offering insights into the spatial distribution of different ecosystems and human activities. (Se table) Notably, Farmland constitutes the largest share, indicating its dominance in the region’s land use, while Built-up surface areas reflect significant urbanization. The combined forest categories (Very Dense, Dense, and Sparse) account for a substantial portion (653,416.29 ha), suggesting a strong presence of forested landscapes, albeit with varying densities.</w:t>
      </w:r>
    </w:p>
    <w:p w14:paraId="791D5DBC" w14:textId="77777777" w:rsidR="0000060D" w:rsidRPr="00BE4AF3" w:rsidRDefault="0000060D" w:rsidP="0000060D">
      <w:pPr>
        <w:spacing w:after="0"/>
        <w:jc w:val="both"/>
        <w:rPr>
          <w:rFonts w:ascii="Times New Roman" w:hAnsi="Times New Roman" w:cs="Times New Roman"/>
          <w:bCs/>
          <w:sz w:val="24"/>
          <w:szCs w:val="24"/>
        </w:rPr>
      </w:pPr>
      <w:r w:rsidRPr="00BE4AF3">
        <w:rPr>
          <w:rFonts w:ascii="Times New Roman" w:hAnsi="Times New Roman" w:cs="Times New Roman"/>
          <w:noProof/>
          <w:sz w:val="24"/>
          <w:szCs w:val="24"/>
          <w:lang w:eastAsia="en-GB"/>
        </w:rPr>
        <mc:AlternateContent>
          <mc:Choice Requires="wpg">
            <w:drawing>
              <wp:anchor distT="0" distB="0" distL="114300" distR="114300" simplePos="0" relativeHeight="251701248" behindDoc="0" locked="0" layoutInCell="1" allowOverlap="1" wp14:anchorId="336E13FE" wp14:editId="2101D0BD">
                <wp:simplePos x="0" y="0"/>
                <wp:positionH relativeFrom="column">
                  <wp:posOffset>1033145</wp:posOffset>
                </wp:positionH>
                <wp:positionV relativeFrom="paragraph">
                  <wp:posOffset>177800</wp:posOffset>
                </wp:positionV>
                <wp:extent cx="3696970" cy="3023870"/>
                <wp:effectExtent l="0" t="0" r="0" b="0"/>
                <wp:wrapNone/>
                <wp:docPr id="1178787233" name="Group 1178787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6970" cy="3023870"/>
                          <a:chOff x="0" y="0"/>
                          <a:chExt cx="8345580" cy="6855901"/>
                        </a:xfrm>
                      </wpg:grpSpPr>
                      <pic:pic xmlns:pic="http://schemas.openxmlformats.org/drawingml/2006/picture">
                        <pic:nvPicPr>
                          <pic:cNvPr id="1178787235" name="Picture 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9524"/>
                            <a:ext cx="4038010" cy="2898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8787236" name="Picture 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4307570" y="0"/>
                            <a:ext cx="4038010" cy="2907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8787237" name="Picture 5"/>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2232748" y="3129202"/>
                            <a:ext cx="4149642" cy="3018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8787238" name="TextBox 6"/>
                        <wps:cNvSpPr txBox="1">
                          <a:spLocks noChangeArrowheads="1"/>
                        </wps:cNvSpPr>
                        <wps:spPr bwMode="auto">
                          <a:xfrm>
                            <a:off x="1796669" y="6183618"/>
                            <a:ext cx="6097909" cy="672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D9B28" w14:textId="482D5269" w:rsidR="00BE4AF3" w:rsidRPr="008426FC" w:rsidRDefault="00BE4AF3" w:rsidP="0000060D">
                              <w:pPr>
                                <w:spacing w:after="120" w:line="240" w:lineRule="auto"/>
                                <w:jc w:val="center"/>
                                <w:rPr>
                                  <w:i/>
                                  <w:iCs/>
                                  <w:color w:val="000000"/>
                                  <w:kern w:val="24"/>
                                  <w:sz w:val="36"/>
                                  <w:szCs w:val="36"/>
                                </w:rPr>
                              </w:pPr>
                              <w:r w:rsidRPr="00051BE1">
                                <w:rPr>
                                  <w:b/>
                                  <w:bCs/>
                                  <w:color w:val="000000"/>
                                  <w:kern w:val="24"/>
                                  <w:sz w:val="24"/>
                                  <w:szCs w:val="24"/>
                                </w:rPr>
                                <w:t>Figure 3</w:t>
                              </w:r>
                              <w:r w:rsidR="00051BE1">
                                <w:rPr>
                                  <w:color w:val="000000"/>
                                  <w:kern w:val="24"/>
                                  <w:sz w:val="24"/>
                                  <w:szCs w:val="24"/>
                                </w:rPr>
                                <w:t>:</w:t>
                              </w:r>
                              <w:r w:rsidRPr="00910F9B">
                                <w:rPr>
                                  <w:color w:val="000000"/>
                                  <w:kern w:val="24"/>
                                  <w:sz w:val="24"/>
                                  <w:szCs w:val="24"/>
                                </w:rPr>
                                <w:t xml:space="preserve"> Land use Map of Old Oyo</w:t>
                              </w:r>
                              <w:r w:rsidRPr="008426FC">
                                <w:rPr>
                                  <w:color w:val="000000"/>
                                  <w:kern w:val="24"/>
                                  <w:sz w:val="24"/>
                                  <w:szCs w:val="24"/>
                                </w:rPr>
                                <w:t xml:space="preserve"> National Park</w:t>
                              </w:r>
                              <w:r>
                                <w:rPr>
                                  <w:color w:val="000000"/>
                                  <w:kern w:val="24"/>
                                  <w:sz w:val="24"/>
                                  <w:szCs w:val="24"/>
                                </w:rPr>
                                <w:t xml:space="preserve"> for the year 2005,</w:t>
                              </w:r>
                              <w:r w:rsidRPr="008426FC">
                                <w:rPr>
                                  <w:color w:val="000000"/>
                                  <w:kern w:val="24"/>
                                  <w:sz w:val="24"/>
                                  <w:szCs w:val="24"/>
                                </w:rPr>
                                <w:t xml:space="preserve"> 2015</w:t>
                              </w:r>
                              <w:r>
                                <w:rPr>
                                  <w:color w:val="000000"/>
                                  <w:kern w:val="24"/>
                                  <w:sz w:val="24"/>
                                  <w:szCs w:val="24"/>
                                </w:rPr>
                                <w:t xml:space="preserve"> and 2025(ML)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6E13FE" id="Group 1178787233" o:spid="_x0000_s1050" style="position:absolute;left:0;text-align:left;margin-left:81.35pt;margin-top:14pt;width:291.1pt;height:238.1pt;z-index:251701248;mso-position-horizontal-relative:text;mso-position-vertical-relative:text" coordsize="83455,685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">
                <v:shape id="Picture 2" o:spid="_x0000_s1051" type="#_x0000_t75" style="position:absolute;top:95;width:40380;height:28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">
                  <v:imagedata r:id="rId201" o:title=""/>
                </v:shape>
                <v:shape id="Picture 3" o:spid="_x0000_s1052" type="#_x0000_t75" style="position:absolute;left:43075;width:40380;height:29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">
                  <v:imagedata r:id="rId202" o:title=""/>
                </v:shape>
                <v:shape id="Picture 5" o:spid="_x0000_s1053" type="#_x0000_t75" style="position:absolute;left:22327;top:31292;width:41496;height:30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">
                  <v:imagedata r:id="rId203" o:title=""/>
                </v:shape>
                <v:shape id="TextBox 6" o:spid="_x0000_s1054" type="#_x0000_t202" style="position:absolute;left:17966;top:61836;width:60979;height:6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" filled="f" stroked="f">
                  <v:textbox>
                    <w:txbxContent>
                      <w:p w14:paraId="11BD9B28" w14:textId="482D5269" w:rsidR="00BE4AF3" w:rsidRPr="008426FC" w:rsidRDefault="00BE4AF3" w:rsidP="0000060D">
                        <w:pPr>
                          <w:spacing w:after="120" w:line="240" w:lineRule="auto"/>
                          <w:jc w:val="center"/>
                          <w:rPr>
                            <w:i/>
                            <w:iCs/>
                            <w:color w:val="000000"/>
                            <w:kern w:val="24"/>
                            <w:sz w:val="36"/>
                            <w:szCs w:val="36"/>
                          </w:rPr>
                        </w:pPr>
                        <w:r w:rsidRPr="00051BE1">
                          <w:rPr>
                            <w:b/>
                            <w:bCs/>
                            <w:color w:val="000000"/>
                            <w:kern w:val="24"/>
                            <w:sz w:val="24"/>
                            <w:szCs w:val="24"/>
                          </w:rPr>
                          <w:t>Figure 3</w:t>
                        </w:r>
                        <w:r w:rsidR="00051BE1">
                          <w:rPr>
                            <w:color w:val="000000"/>
                            <w:kern w:val="24"/>
                            <w:sz w:val="24"/>
                            <w:szCs w:val="24"/>
                          </w:rPr>
                          <w:t>:</w:t>
                        </w:r>
                        <w:r w:rsidRPr="00910F9B">
                          <w:rPr>
                            <w:color w:val="000000"/>
                            <w:kern w:val="24"/>
                            <w:sz w:val="24"/>
                            <w:szCs w:val="24"/>
                          </w:rPr>
                          <w:t xml:space="preserve"> Land use Map of Old Oyo</w:t>
                        </w:r>
                        <w:r w:rsidRPr="008426FC">
                          <w:rPr>
                            <w:color w:val="000000"/>
                            <w:kern w:val="24"/>
                            <w:sz w:val="24"/>
                            <w:szCs w:val="24"/>
                          </w:rPr>
                          <w:t xml:space="preserve"> National Park</w:t>
                        </w:r>
                        <w:r>
                          <w:rPr>
                            <w:color w:val="000000"/>
                            <w:kern w:val="24"/>
                            <w:sz w:val="24"/>
                            <w:szCs w:val="24"/>
                          </w:rPr>
                          <w:t xml:space="preserve"> for the year 2005,</w:t>
                        </w:r>
                        <w:r w:rsidRPr="008426FC">
                          <w:rPr>
                            <w:color w:val="000000"/>
                            <w:kern w:val="24"/>
                            <w:sz w:val="24"/>
                            <w:szCs w:val="24"/>
                          </w:rPr>
                          <w:t xml:space="preserve"> 2015</w:t>
                        </w:r>
                        <w:r>
                          <w:rPr>
                            <w:color w:val="000000"/>
                            <w:kern w:val="24"/>
                            <w:sz w:val="24"/>
                            <w:szCs w:val="24"/>
                          </w:rPr>
                          <w:t xml:space="preserve"> and 2025(ML)</w:t>
                        </w:r>
                      </w:p>
                    </w:txbxContent>
                  </v:textbox>
                </v:shape>
              </v:group>
            </w:pict>
          </mc:Fallback>
        </mc:AlternateContent>
      </w:r>
    </w:p>
    <w:p w14:paraId="76A1F905" w14:textId="77777777" w:rsidR="0000060D" w:rsidRPr="00BE4AF3" w:rsidRDefault="0000060D" w:rsidP="0000060D">
      <w:pPr>
        <w:spacing w:after="240"/>
        <w:jc w:val="both"/>
        <w:rPr>
          <w:rFonts w:ascii="Times New Roman" w:hAnsi="Times New Roman" w:cs="Times New Roman"/>
          <w:bCs/>
          <w:sz w:val="24"/>
          <w:szCs w:val="24"/>
        </w:rPr>
        <w:sectPr w:rsidR="0000060D" w:rsidRPr="00BE4AF3" w:rsidSect="0000060D">
          <w:type w:val="continuous"/>
          <w:pgSz w:w="11906" w:h="16838"/>
          <w:pgMar w:top="1418" w:right="1418" w:bottom="1418" w:left="1418" w:header="709" w:footer="709" w:gutter="0"/>
          <w:cols w:space="708"/>
          <w:docGrid w:linePitch="360"/>
        </w:sectPr>
      </w:pPr>
    </w:p>
    <w:p w14:paraId="3EDB1B3E" w14:textId="77777777" w:rsidR="0000060D" w:rsidRPr="00BE4AF3" w:rsidRDefault="0000060D" w:rsidP="0000060D">
      <w:pPr>
        <w:spacing w:after="240"/>
        <w:jc w:val="both"/>
        <w:rPr>
          <w:rFonts w:ascii="Times New Roman" w:hAnsi="Times New Roman" w:cs="Times New Roman"/>
          <w:bCs/>
          <w:sz w:val="24"/>
          <w:szCs w:val="24"/>
        </w:rPr>
      </w:pPr>
    </w:p>
    <w:p w14:paraId="76B0FF0C" w14:textId="77777777" w:rsidR="0000060D" w:rsidRPr="00BE4AF3" w:rsidRDefault="0000060D" w:rsidP="0000060D">
      <w:pPr>
        <w:spacing w:after="240"/>
        <w:jc w:val="both"/>
        <w:rPr>
          <w:rFonts w:ascii="Times New Roman" w:hAnsi="Times New Roman" w:cs="Times New Roman"/>
          <w:bCs/>
          <w:sz w:val="24"/>
          <w:szCs w:val="24"/>
        </w:rPr>
      </w:pPr>
    </w:p>
    <w:p w14:paraId="7F357447" w14:textId="77777777" w:rsidR="0000060D" w:rsidRPr="00BE4AF3" w:rsidRDefault="0000060D" w:rsidP="0000060D">
      <w:pPr>
        <w:spacing w:after="240"/>
        <w:jc w:val="both"/>
        <w:rPr>
          <w:rFonts w:ascii="Times New Roman" w:hAnsi="Times New Roman" w:cs="Times New Roman"/>
          <w:bCs/>
          <w:sz w:val="24"/>
          <w:szCs w:val="24"/>
        </w:rPr>
      </w:pPr>
    </w:p>
    <w:p w14:paraId="40BAD0FD" w14:textId="77777777" w:rsidR="0000060D" w:rsidRPr="00BE4AF3" w:rsidRDefault="0000060D" w:rsidP="0000060D">
      <w:pPr>
        <w:spacing w:after="240"/>
        <w:jc w:val="both"/>
        <w:rPr>
          <w:rFonts w:ascii="Times New Roman" w:hAnsi="Times New Roman" w:cs="Times New Roman"/>
          <w:bCs/>
          <w:sz w:val="24"/>
          <w:szCs w:val="24"/>
        </w:rPr>
      </w:pPr>
    </w:p>
    <w:p w14:paraId="59F043DD" w14:textId="77777777" w:rsidR="0000060D" w:rsidRPr="00BE4AF3" w:rsidRDefault="0000060D" w:rsidP="0000060D">
      <w:pPr>
        <w:spacing w:after="240"/>
        <w:jc w:val="both"/>
        <w:rPr>
          <w:rFonts w:ascii="Times New Roman" w:hAnsi="Times New Roman" w:cs="Times New Roman"/>
          <w:bCs/>
          <w:sz w:val="24"/>
          <w:szCs w:val="24"/>
        </w:rPr>
      </w:pPr>
    </w:p>
    <w:p w14:paraId="716859D6" w14:textId="77777777" w:rsidR="0000060D" w:rsidRPr="00BE4AF3" w:rsidRDefault="0000060D" w:rsidP="0000060D">
      <w:pPr>
        <w:spacing w:after="240"/>
        <w:jc w:val="both"/>
        <w:rPr>
          <w:rFonts w:ascii="Times New Roman" w:hAnsi="Times New Roman" w:cs="Times New Roman"/>
          <w:bCs/>
          <w:sz w:val="24"/>
          <w:szCs w:val="24"/>
        </w:rPr>
      </w:pPr>
    </w:p>
    <w:p w14:paraId="4B4B5DCE" w14:textId="77777777" w:rsidR="0000060D" w:rsidRPr="00BE4AF3" w:rsidRDefault="0000060D" w:rsidP="0000060D">
      <w:pPr>
        <w:spacing w:after="240"/>
        <w:rPr>
          <w:rFonts w:ascii="Times New Roman" w:hAnsi="Times New Roman" w:cs="Times New Roman"/>
          <w:bCs/>
          <w:sz w:val="24"/>
          <w:szCs w:val="24"/>
        </w:rPr>
      </w:pPr>
    </w:p>
    <w:p w14:paraId="2471E774" w14:textId="77777777" w:rsidR="00051BE1" w:rsidRDefault="00051BE1" w:rsidP="0000060D">
      <w:pPr>
        <w:spacing w:after="240"/>
        <w:jc w:val="center"/>
        <w:rPr>
          <w:rFonts w:ascii="Times New Roman" w:hAnsi="Times New Roman" w:cs="Times New Roman"/>
          <w:bCs/>
          <w:sz w:val="24"/>
          <w:szCs w:val="24"/>
        </w:rPr>
      </w:pPr>
    </w:p>
    <w:p w14:paraId="7A5D3CBD" w14:textId="77777777" w:rsidR="00051BE1" w:rsidRDefault="00051BE1" w:rsidP="0000060D">
      <w:pPr>
        <w:spacing w:after="240"/>
        <w:jc w:val="center"/>
        <w:rPr>
          <w:rFonts w:ascii="Times New Roman" w:hAnsi="Times New Roman" w:cs="Times New Roman"/>
          <w:bCs/>
          <w:sz w:val="24"/>
          <w:szCs w:val="24"/>
        </w:rPr>
      </w:pPr>
    </w:p>
    <w:p w14:paraId="255A7371" w14:textId="02C0AD7D" w:rsidR="0000060D" w:rsidRPr="00BE4AF3" w:rsidRDefault="0000060D" w:rsidP="00DD10E3">
      <w:pPr>
        <w:spacing w:after="0"/>
        <w:jc w:val="center"/>
        <w:rPr>
          <w:rFonts w:ascii="Times New Roman" w:hAnsi="Times New Roman" w:cs="Times New Roman"/>
          <w:bCs/>
          <w:sz w:val="24"/>
          <w:szCs w:val="24"/>
        </w:rPr>
      </w:pPr>
      <w:r w:rsidRPr="00051BE1">
        <w:rPr>
          <w:rFonts w:ascii="Times New Roman" w:hAnsi="Times New Roman" w:cs="Times New Roman"/>
          <w:b/>
          <w:sz w:val="24"/>
          <w:szCs w:val="24"/>
        </w:rPr>
        <w:lastRenderedPageBreak/>
        <w:t>Table 3</w:t>
      </w:r>
      <w:r w:rsidR="00051BE1">
        <w:rPr>
          <w:rFonts w:ascii="Times New Roman" w:hAnsi="Times New Roman" w:cs="Times New Roman"/>
          <w:b/>
          <w:sz w:val="24"/>
          <w:szCs w:val="24"/>
        </w:rPr>
        <w:t>:</w:t>
      </w:r>
      <w:r w:rsidRPr="00BE4AF3">
        <w:rPr>
          <w:rFonts w:ascii="Times New Roman" w:hAnsi="Times New Roman" w:cs="Times New Roman"/>
          <w:bCs/>
          <w:sz w:val="24"/>
          <w:szCs w:val="24"/>
        </w:rPr>
        <w:t xml:space="preserve"> The vector statistical data for the LULCC (maximum likelihood)</w:t>
      </w:r>
    </w:p>
    <w:tbl>
      <w:tblPr>
        <w:tblW w:w="3714" w:type="pct"/>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583"/>
        <w:gridCol w:w="1820"/>
        <w:gridCol w:w="1662"/>
        <w:gridCol w:w="1665"/>
      </w:tblGrid>
      <w:tr w:rsidR="0000060D" w:rsidRPr="00DD10E3" w14:paraId="3E1165F1" w14:textId="77777777" w:rsidTr="00DD10E3">
        <w:trPr>
          <w:trHeight w:val="279"/>
          <w:jc w:val="center"/>
        </w:trPr>
        <w:tc>
          <w:tcPr>
            <w:tcW w:w="1176" w:type="pct"/>
            <w:tcBorders>
              <w:top w:val="single" w:sz="4" w:space="0" w:color="auto"/>
              <w:left w:val="single" w:sz="4" w:space="0" w:color="FFFFFF"/>
              <w:bottom w:val="single" w:sz="4" w:space="0" w:color="auto"/>
              <w:right w:val="nil"/>
            </w:tcBorders>
            <w:shd w:val="clear" w:color="auto" w:fill="DEEAF6"/>
            <w:vAlign w:val="center"/>
            <w:hideMark/>
          </w:tcPr>
          <w:p w14:paraId="1A0B7418" w14:textId="77777777" w:rsidR="0000060D" w:rsidRPr="00DD10E3" w:rsidRDefault="0000060D" w:rsidP="00DD10E3">
            <w:pPr>
              <w:spacing w:after="0" w:line="240" w:lineRule="auto"/>
              <w:ind w:firstLineChars="100" w:firstLine="200"/>
              <w:jc w:val="center"/>
              <w:rPr>
                <w:rFonts w:ascii="Times New Roman" w:eastAsia="Times New Roman" w:hAnsi="Times New Roman" w:cs="Times New Roman"/>
                <w:bCs/>
                <w:color w:val="000000"/>
                <w:sz w:val="20"/>
                <w:szCs w:val="20"/>
              </w:rPr>
            </w:pPr>
            <w:bookmarkStart w:id="83" w:name="_Toc198904876"/>
            <w:bookmarkStart w:id="84" w:name="_Hlk202173802"/>
            <w:r w:rsidRPr="00DD10E3">
              <w:rPr>
                <w:rFonts w:ascii="Times New Roman" w:eastAsia="Times New Roman" w:hAnsi="Times New Roman" w:cs="Times New Roman"/>
                <w:bCs/>
                <w:color w:val="000000"/>
                <w:sz w:val="20"/>
                <w:szCs w:val="20"/>
              </w:rPr>
              <w:t>Category</w:t>
            </w:r>
          </w:p>
        </w:tc>
        <w:tc>
          <w:tcPr>
            <w:tcW w:w="1352" w:type="pct"/>
            <w:tcBorders>
              <w:top w:val="single" w:sz="4" w:space="0" w:color="auto"/>
              <w:left w:val="nil"/>
              <w:bottom w:val="single" w:sz="4" w:space="0" w:color="auto"/>
              <w:right w:val="single" w:sz="4" w:space="0" w:color="FFFFFF"/>
            </w:tcBorders>
            <w:shd w:val="clear" w:color="auto" w:fill="DEEAF6"/>
            <w:vAlign w:val="center"/>
            <w:hideMark/>
          </w:tcPr>
          <w:p w14:paraId="44717F7B" w14:textId="77777777" w:rsidR="0000060D" w:rsidRPr="00DD10E3" w:rsidRDefault="0000060D" w:rsidP="00DD10E3">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2005</w:t>
            </w:r>
          </w:p>
        </w:tc>
        <w:tc>
          <w:tcPr>
            <w:tcW w:w="1235" w:type="pct"/>
            <w:tcBorders>
              <w:top w:val="single" w:sz="4" w:space="0" w:color="auto"/>
              <w:left w:val="nil"/>
              <w:bottom w:val="single" w:sz="4" w:space="0" w:color="auto"/>
              <w:right w:val="single" w:sz="4" w:space="0" w:color="FFFFFF"/>
            </w:tcBorders>
            <w:shd w:val="clear" w:color="auto" w:fill="DEEAF6"/>
          </w:tcPr>
          <w:p w14:paraId="51346574" w14:textId="77777777" w:rsidR="0000060D" w:rsidRPr="00DD10E3" w:rsidRDefault="0000060D" w:rsidP="00DD10E3">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2015</w:t>
            </w:r>
          </w:p>
        </w:tc>
        <w:tc>
          <w:tcPr>
            <w:tcW w:w="1237" w:type="pct"/>
            <w:tcBorders>
              <w:top w:val="single" w:sz="4" w:space="0" w:color="auto"/>
              <w:left w:val="nil"/>
              <w:bottom w:val="single" w:sz="4" w:space="0" w:color="auto"/>
              <w:right w:val="single" w:sz="4" w:space="0" w:color="FFFFFF"/>
            </w:tcBorders>
            <w:shd w:val="clear" w:color="auto" w:fill="DEEAF6"/>
          </w:tcPr>
          <w:p w14:paraId="6224EFD3" w14:textId="77777777" w:rsidR="0000060D" w:rsidRPr="00DD10E3" w:rsidRDefault="0000060D" w:rsidP="00DD10E3">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2025</w:t>
            </w:r>
          </w:p>
        </w:tc>
      </w:tr>
      <w:tr w:rsidR="0000060D" w:rsidRPr="00DD10E3" w14:paraId="2975A2A1" w14:textId="77777777" w:rsidTr="00DD10E3">
        <w:trPr>
          <w:trHeight w:val="279"/>
          <w:jc w:val="center"/>
        </w:trPr>
        <w:tc>
          <w:tcPr>
            <w:tcW w:w="1176" w:type="pct"/>
            <w:tcBorders>
              <w:top w:val="single" w:sz="4" w:space="0" w:color="auto"/>
              <w:left w:val="single" w:sz="4" w:space="0" w:color="FFFFFF"/>
            </w:tcBorders>
            <w:shd w:val="clear" w:color="auto" w:fill="DEEAF6"/>
            <w:vAlign w:val="center"/>
            <w:hideMark/>
          </w:tcPr>
          <w:p w14:paraId="3C80A4CB" w14:textId="77777777" w:rsidR="0000060D" w:rsidRPr="00DD10E3" w:rsidRDefault="0000060D" w:rsidP="0000060D">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Built-up</w:t>
            </w:r>
          </w:p>
        </w:tc>
        <w:tc>
          <w:tcPr>
            <w:tcW w:w="1352" w:type="pct"/>
            <w:tcBorders>
              <w:top w:val="single" w:sz="4" w:space="0" w:color="auto"/>
            </w:tcBorders>
            <w:shd w:val="clear" w:color="auto" w:fill="DEEAF6"/>
            <w:vAlign w:val="center"/>
            <w:hideMark/>
          </w:tcPr>
          <w:p w14:paraId="2E3EDC36" w14:textId="77777777" w:rsidR="0000060D" w:rsidRPr="00DD10E3" w:rsidRDefault="0000060D" w:rsidP="0000060D">
            <w:pPr>
              <w:spacing w:after="0" w:line="240" w:lineRule="auto"/>
              <w:ind w:firstLineChars="100" w:firstLine="200"/>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172760.49</w:t>
            </w:r>
          </w:p>
        </w:tc>
        <w:tc>
          <w:tcPr>
            <w:tcW w:w="1235" w:type="pct"/>
            <w:tcBorders>
              <w:top w:val="single" w:sz="4" w:space="0" w:color="auto"/>
            </w:tcBorders>
            <w:shd w:val="clear" w:color="auto" w:fill="DEEAF6"/>
          </w:tcPr>
          <w:p w14:paraId="3C92BCA3" w14:textId="77777777" w:rsidR="0000060D" w:rsidRPr="00DD10E3" w:rsidRDefault="0000060D" w:rsidP="0000060D">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hAnsi="Times New Roman" w:cs="Times New Roman"/>
                <w:bCs/>
                <w:kern w:val="2"/>
                <w:sz w:val="20"/>
                <w:szCs w:val="20"/>
              </w:rPr>
              <w:t>10,059.84</w:t>
            </w:r>
          </w:p>
        </w:tc>
        <w:tc>
          <w:tcPr>
            <w:tcW w:w="1237" w:type="pct"/>
            <w:tcBorders>
              <w:top w:val="single" w:sz="4" w:space="0" w:color="auto"/>
            </w:tcBorders>
            <w:shd w:val="clear" w:color="auto" w:fill="DEEAF6"/>
          </w:tcPr>
          <w:p w14:paraId="645B9BD2" w14:textId="77777777" w:rsidR="0000060D" w:rsidRPr="00DD10E3" w:rsidRDefault="0000060D" w:rsidP="0000060D">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115,395.21</w:t>
            </w:r>
          </w:p>
        </w:tc>
      </w:tr>
      <w:tr w:rsidR="0000060D" w:rsidRPr="00DD10E3" w14:paraId="2F0196B0" w14:textId="77777777" w:rsidTr="0000060D">
        <w:trPr>
          <w:trHeight w:val="279"/>
          <w:jc w:val="center"/>
        </w:trPr>
        <w:tc>
          <w:tcPr>
            <w:tcW w:w="1176" w:type="pct"/>
            <w:tcBorders>
              <w:left w:val="single" w:sz="4" w:space="0" w:color="FFFFFF"/>
            </w:tcBorders>
            <w:shd w:val="clear" w:color="auto" w:fill="DEEAF6"/>
            <w:vAlign w:val="center"/>
            <w:hideMark/>
          </w:tcPr>
          <w:p w14:paraId="20ECBE13" w14:textId="77777777" w:rsidR="0000060D" w:rsidRPr="00DD10E3" w:rsidRDefault="0000060D" w:rsidP="0000060D">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Water</w:t>
            </w:r>
          </w:p>
        </w:tc>
        <w:tc>
          <w:tcPr>
            <w:tcW w:w="1352" w:type="pct"/>
            <w:shd w:val="clear" w:color="auto" w:fill="DEEAF6"/>
            <w:vAlign w:val="center"/>
            <w:hideMark/>
          </w:tcPr>
          <w:p w14:paraId="3544B299" w14:textId="77777777" w:rsidR="0000060D" w:rsidRPr="00DD10E3" w:rsidRDefault="0000060D" w:rsidP="0000060D">
            <w:pPr>
              <w:spacing w:after="0" w:line="240" w:lineRule="auto"/>
              <w:ind w:firstLineChars="100" w:firstLine="200"/>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4406.13</w:t>
            </w:r>
          </w:p>
        </w:tc>
        <w:tc>
          <w:tcPr>
            <w:tcW w:w="1235" w:type="pct"/>
            <w:shd w:val="clear" w:color="auto" w:fill="auto"/>
          </w:tcPr>
          <w:p w14:paraId="27846D4D" w14:textId="77777777" w:rsidR="0000060D" w:rsidRPr="00DD10E3" w:rsidRDefault="0000060D" w:rsidP="0000060D">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hAnsi="Times New Roman" w:cs="Times New Roman"/>
                <w:bCs/>
                <w:kern w:val="2"/>
                <w:sz w:val="20"/>
                <w:szCs w:val="20"/>
              </w:rPr>
              <w:t>4,312.89</w:t>
            </w:r>
          </w:p>
        </w:tc>
        <w:tc>
          <w:tcPr>
            <w:tcW w:w="1237" w:type="pct"/>
            <w:shd w:val="clear" w:color="auto" w:fill="auto"/>
          </w:tcPr>
          <w:p w14:paraId="1E61F506" w14:textId="77777777" w:rsidR="0000060D" w:rsidRPr="00DD10E3" w:rsidRDefault="0000060D" w:rsidP="0000060D">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4,228.56</w:t>
            </w:r>
          </w:p>
        </w:tc>
      </w:tr>
      <w:tr w:rsidR="0000060D" w:rsidRPr="00DD10E3" w14:paraId="586FA87E" w14:textId="77777777" w:rsidTr="0000060D">
        <w:trPr>
          <w:trHeight w:val="401"/>
          <w:jc w:val="center"/>
        </w:trPr>
        <w:tc>
          <w:tcPr>
            <w:tcW w:w="1176" w:type="pct"/>
            <w:tcBorders>
              <w:left w:val="single" w:sz="4" w:space="0" w:color="FFFFFF"/>
            </w:tcBorders>
            <w:shd w:val="clear" w:color="auto" w:fill="DEEAF6"/>
            <w:vAlign w:val="center"/>
            <w:hideMark/>
          </w:tcPr>
          <w:p w14:paraId="6AFE978E" w14:textId="77777777" w:rsidR="0000060D" w:rsidRPr="00DD10E3" w:rsidRDefault="0000060D" w:rsidP="0000060D">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Very Dense Forest</w:t>
            </w:r>
          </w:p>
        </w:tc>
        <w:tc>
          <w:tcPr>
            <w:tcW w:w="1352" w:type="pct"/>
            <w:shd w:val="clear" w:color="auto" w:fill="DEEAF6"/>
            <w:vAlign w:val="center"/>
            <w:hideMark/>
          </w:tcPr>
          <w:p w14:paraId="44091693" w14:textId="77777777" w:rsidR="0000060D" w:rsidRPr="00DD10E3" w:rsidRDefault="0000060D" w:rsidP="0000060D">
            <w:pPr>
              <w:spacing w:after="0" w:line="240" w:lineRule="auto"/>
              <w:ind w:firstLineChars="100" w:firstLine="200"/>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278023.86</w:t>
            </w:r>
          </w:p>
        </w:tc>
        <w:tc>
          <w:tcPr>
            <w:tcW w:w="1235" w:type="pct"/>
            <w:shd w:val="clear" w:color="auto" w:fill="DEEAF6"/>
          </w:tcPr>
          <w:p w14:paraId="2BB3E623" w14:textId="77777777" w:rsidR="0000060D" w:rsidRPr="00DD10E3" w:rsidRDefault="0000060D" w:rsidP="0000060D">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hAnsi="Times New Roman" w:cs="Times New Roman"/>
                <w:bCs/>
                <w:kern w:val="2"/>
                <w:sz w:val="20"/>
                <w:szCs w:val="20"/>
              </w:rPr>
              <w:t>179,982.54</w:t>
            </w:r>
          </w:p>
        </w:tc>
        <w:tc>
          <w:tcPr>
            <w:tcW w:w="1237" w:type="pct"/>
            <w:shd w:val="clear" w:color="auto" w:fill="DEEAF6"/>
          </w:tcPr>
          <w:p w14:paraId="2F90934C" w14:textId="77777777" w:rsidR="0000060D" w:rsidRPr="00DD10E3" w:rsidRDefault="0000060D" w:rsidP="0000060D">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222,324.03</w:t>
            </w:r>
          </w:p>
        </w:tc>
      </w:tr>
      <w:tr w:rsidR="0000060D" w:rsidRPr="00DD10E3" w14:paraId="7837C46A" w14:textId="77777777" w:rsidTr="0000060D">
        <w:trPr>
          <w:trHeight w:val="417"/>
          <w:jc w:val="center"/>
        </w:trPr>
        <w:tc>
          <w:tcPr>
            <w:tcW w:w="1176" w:type="pct"/>
            <w:tcBorders>
              <w:left w:val="single" w:sz="4" w:space="0" w:color="FFFFFF"/>
            </w:tcBorders>
            <w:shd w:val="clear" w:color="auto" w:fill="DEEAF6"/>
            <w:vAlign w:val="center"/>
            <w:hideMark/>
          </w:tcPr>
          <w:p w14:paraId="4E9FDA77" w14:textId="77777777" w:rsidR="0000060D" w:rsidRPr="00DD10E3" w:rsidRDefault="0000060D" w:rsidP="0000060D">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Dense Forest</w:t>
            </w:r>
          </w:p>
        </w:tc>
        <w:tc>
          <w:tcPr>
            <w:tcW w:w="1352" w:type="pct"/>
            <w:shd w:val="clear" w:color="auto" w:fill="DEEAF6"/>
            <w:vAlign w:val="center"/>
            <w:hideMark/>
          </w:tcPr>
          <w:p w14:paraId="658CE843" w14:textId="77777777" w:rsidR="0000060D" w:rsidRPr="00DD10E3" w:rsidRDefault="0000060D" w:rsidP="0000060D">
            <w:pPr>
              <w:spacing w:after="0" w:line="240" w:lineRule="auto"/>
              <w:ind w:firstLineChars="100" w:firstLine="200"/>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292562.82</w:t>
            </w:r>
          </w:p>
        </w:tc>
        <w:tc>
          <w:tcPr>
            <w:tcW w:w="1235" w:type="pct"/>
            <w:shd w:val="clear" w:color="auto" w:fill="auto"/>
          </w:tcPr>
          <w:p w14:paraId="69B734CB" w14:textId="77777777" w:rsidR="0000060D" w:rsidRPr="00DD10E3" w:rsidRDefault="0000060D" w:rsidP="0000060D">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hAnsi="Times New Roman" w:cs="Times New Roman"/>
                <w:bCs/>
                <w:kern w:val="2"/>
                <w:sz w:val="20"/>
                <w:szCs w:val="20"/>
              </w:rPr>
              <w:t>267,758.19</w:t>
            </w:r>
          </w:p>
        </w:tc>
        <w:tc>
          <w:tcPr>
            <w:tcW w:w="1237" w:type="pct"/>
            <w:shd w:val="clear" w:color="auto" w:fill="auto"/>
          </w:tcPr>
          <w:p w14:paraId="34714383" w14:textId="77777777" w:rsidR="0000060D" w:rsidRPr="00DD10E3" w:rsidRDefault="0000060D" w:rsidP="0000060D">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59,471.64</w:t>
            </w:r>
          </w:p>
        </w:tc>
      </w:tr>
      <w:tr w:rsidR="0000060D" w:rsidRPr="00DD10E3" w14:paraId="3CEFFD9D" w14:textId="77777777" w:rsidTr="0000060D">
        <w:trPr>
          <w:trHeight w:val="401"/>
          <w:jc w:val="center"/>
        </w:trPr>
        <w:tc>
          <w:tcPr>
            <w:tcW w:w="1176" w:type="pct"/>
            <w:tcBorders>
              <w:left w:val="single" w:sz="4" w:space="0" w:color="FFFFFF"/>
            </w:tcBorders>
            <w:shd w:val="clear" w:color="auto" w:fill="DEEAF6"/>
            <w:vAlign w:val="center"/>
            <w:hideMark/>
          </w:tcPr>
          <w:p w14:paraId="0E770FD2" w14:textId="77777777" w:rsidR="0000060D" w:rsidRPr="00DD10E3" w:rsidRDefault="0000060D" w:rsidP="0000060D">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Disperse Forest</w:t>
            </w:r>
          </w:p>
        </w:tc>
        <w:tc>
          <w:tcPr>
            <w:tcW w:w="1352" w:type="pct"/>
            <w:shd w:val="clear" w:color="auto" w:fill="DEEAF6"/>
            <w:vAlign w:val="center"/>
            <w:hideMark/>
          </w:tcPr>
          <w:p w14:paraId="08A6A1C4" w14:textId="77777777" w:rsidR="0000060D" w:rsidRPr="00DD10E3" w:rsidRDefault="0000060D" w:rsidP="0000060D">
            <w:pPr>
              <w:spacing w:after="0" w:line="240" w:lineRule="auto"/>
              <w:ind w:firstLineChars="100" w:firstLine="200"/>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82829.61</w:t>
            </w:r>
          </w:p>
        </w:tc>
        <w:tc>
          <w:tcPr>
            <w:tcW w:w="1235" w:type="pct"/>
            <w:shd w:val="clear" w:color="auto" w:fill="DEEAF6"/>
          </w:tcPr>
          <w:p w14:paraId="7B9891B3" w14:textId="77777777" w:rsidR="0000060D" w:rsidRPr="00DD10E3" w:rsidRDefault="0000060D" w:rsidP="0000060D">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hAnsi="Times New Roman" w:cs="Times New Roman"/>
                <w:bCs/>
                <w:kern w:val="2"/>
                <w:sz w:val="20"/>
                <w:szCs w:val="20"/>
              </w:rPr>
              <w:t>125,218.8</w:t>
            </w:r>
          </w:p>
        </w:tc>
        <w:tc>
          <w:tcPr>
            <w:tcW w:w="1237" w:type="pct"/>
            <w:shd w:val="clear" w:color="auto" w:fill="DEEAF6"/>
          </w:tcPr>
          <w:p w14:paraId="271A7465" w14:textId="77777777" w:rsidR="0000060D" w:rsidRPr="00DD10E3" w:rsidRDefault="0000060D" w:rsidP="0000060D">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29,081.97</w:t>
            </w:r>
          </w:p>
        </w:tc>
      </w:tr>
      <w:tr w:rsidR="0000060D" w:rsidRPr="00DD10E3" w14:paraId="79D82882" w14:textId="77777777" w:rsidTr="00DD10E3">
        <w:trPr>
          <w:trHeight w:val="417"/>
          <w:jc w:val="center"/>
        </w:trPr>
        <w:tc>
          <w:tcPr>
            <w:tcW w:w="1176" w:type="pct"/>
            <w:tcBorders>
              <w:left w:val="single" w:sz="4" w:space="0" w:color="FFFFFF"/>
              <w:bottom w:val="single" w:sz="4" w:space="0" w:color="auto"/>
            </w:tcBorders>
            <w:shd w:val="clear" w:color="auto" w:fill="DEEAF6"/>
            <w:vAlign w:val="center"/>
            <w:hideMark/>
          </w:tcPr>
          <w:p w14:paraId="5DE14F58" w14:textId="77777777" w:rsidR="0000060D" w:rsidRPr="00DD10E3" w:rsidRDefault="0000060D" w:rsidP="0000060D">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Farmland</w:t>
            </w:r>
          </w:p>
        </w:tc>
        <w:tc>
          <w:tcPr>
            <w:tcW w:w="1352" w:type="pct"/>
            <w:tcBorders>
              <w:bottom w:val="single" w:sz="4" w:space="0" w:color="auto"/>
            </w:tcBorders>
            <w:shd w:val="clear" w:color="auto" w:fill="DEEAF6"/>
            <w:vAlign w:val="center"/>
            <w:hideMark/>
          </w:tcPr>
          <w:p w14:paraId="27ADBE9C" w14:textId="77777777" w:rsidR="0000060D" w:rsidRPr="00DD10E3" w:rsidRDefault="0000060D" w:rsidP="0000060D">
            <w:pPr>
              <w:spacing w:after="0" w:line="240" w:lineRule="auto"/>
              <w:ind w:firstLineChars="100" w:firstLine="200"/>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391403.61</w:t>
            </w:r>
          </w:p>
        </w:tc>
        <w:tc>
          <w:tcPr>
            <w:tcW w:w="1235" w:type="pct"/>
            <w:tcBorders>
              <w:bottom w:val="single" w:sz="4" w:space="0" w:color="auto"/>
            </w:tcBorders>
            <w:shd w:val="clear" w:color="auto" w:fill="auto"/>
          </w:tcPr>
          <w:p w14:paraId="4F761FC4" w14:textId="77777777" w:rsidR="0000060D" w:rsidRPr="00DD10E3" w:rsidRDefault="0000060D" w:rsidP="0000060D">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hAnsi="Times New Roman" w:cs="Times New Roman"/>
                <w:bCs/>
                <w:kern w:val="2"/>
                <w:sz w:val="20"/>
                <w:szCs w:val="20"/>
              </w:rPr>
              <w:t>634654.26</w:t>
            </w:r>
          </w:p>
        </w:tc>
        <w:tc>
          <w:tcPr>
            <w:tcW w:w="1237" w:type="pct"/>
            <w:tcBorders>
              <w:bottom w:val="single" w:sz="4" w:space="0" w:color="auto"/>
            </w:tcBorders>
            <w:shd w:val="clear" w:color="auto" w:fill="auto"/>
          </w:tcPr>
          <w:p w14:paraId="01AD8BC8" w14:textId="77777777" w:rsidR="0000060D" w:rsidRPr="00DD10E3" w:rsidRDefault="0000060D" w:rsidP="0000060D">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791,485.11</w:t>
            </w:r>
          </w:p>
        </w:tc>
      </w:tr>
    </w:tbl>
    <w:p w14:paraId="3BF54EF7" w14:textId="77777777" w:rsidR="00DD10E3" w:rsidRDefault="00DD10E3" w:rsidP="0000060D">
      <w:pPr>
        <w:pStyle w:val="Heading3"/>
        <w:spacing w:before="0"/>
        <w:jc w:val="both"/>
        <w:rPr>
          <w:rFonts w:ascii="Times New Roman" w:hAnsi="Times New Roman" w:cs="Times New Roman"/>
          <w:b/>
          <w:bCs/>
          <w:iCs/>
        </w:rPr>
      </w:pPr>
      <w:bookmarkStart w:id="85" w:name="_Toc198908943"/>
      <w:bookmarkEnd w:id="83"/>
      <w:bookmarkEnd w:id="84"/>
    </w:p>
    <w:p w14:paraId="7496ED8D" w14:textId="41C4F4EF" w:rsidR="0000060D" w:rsidRPr="00DD10E3" w:rsidRDefault="0000060D" w:rsidP="00DD10E3">
      <w:pPr>
        <w:spacing w:after="0" w:line="240" w:lineRule="auto"/>
        <w:jc w:val="both"/>
        <w:rPr>
          <w:rFonts w:ascii="Times New Roman" w:hAnsi="Times New Roman" w:cs="Times New Roman"/>
          <w:sz w:val="24"/>
          <w:szCs w:val="24"/>
        </w:rPr>
      </w:pPr>
      <w:r w:rsidRPr="00DD10E3">
        <w:rPr>
          <w:rFonts w:ascii="Times New Roman" w:hAnsi="Times New Roman" w:cs="Times New Roman"/>
          <w:sz w:val="24"/>
          <w:szCs w:val="24"/>
        </w:rPr>
        <w:t>Table 3 and Figure 3 collectively illustrate the complex environmental and socio-economic landscape of the study area, emphasizing land cover diversity and its spatial patterns. Water bodies occupy a relatively small area (4,406.13 ha), indicating limited aquatic resources. The classification of forest into Very Dense, Dense, and Sparse categories provides insights into forest integrity, with denser forest types located primarily in the central-western regions of the protected area. These zones represent core conservation areas with minimal human disturbance. In contrast, Sparse Forests mark transitional zones, often affected by degradation or regeneration. Agricultural land, especially outside park boundaries, dominates the eastern and southern areas, highlighting its economic significance. Built-up surfaces, although limited in extent, are increasingly clustered along park edges, indicating growing urban pressure. This spatial distribution underscores the tension between conservation efforts and human activities, necessitating strategic land-use planning to curb habitat fragmentation and maintain ecosystem health.</w:t>
      </w:r>
    </w:p>
    <w:p w14:paraId="5D242166" w14:textId="77777777" w:rsidR="0000060D" w:rsidRDefault="0000060D" w:rsidP="00DD10E3">
      <w:pPr>
        <w:spacing w:after="0" w:line="240" w:lineRule="auto"/>
        <w:jc w:val="both"/>
        <w:rPr>
          <w:rFonts w:ascii="Times New Roman" w:hAnsi="Times New Roman" w:cs="Times New Roman"/>
          <w:sz w:val="24"/>
          <w:szCs w:val="24"/>
        </w:rPr>
      </w:pPr>
      <w:r w:rsidRPr="00DD10E3">
        <w:rPr>
          <w:rFonts w:ascii="Times New Roman" w:hAnsi="Times New Roman" w:cs="Times New Roman"/>
          <w:sz w:val="24"/>
          <w:szCs w:val="24"/>
        </w:rPr>
        <w:t>By 2025, significant land use changes are evident, with farmland expanding drastically to 791,485.11 hectares solidifying its dominance in the region and indicating increasing pressure on natural landscapes due to economic or population demands. Urban areas have also surged to 115,395.21 hectares, showcasing rapid infrastructural growth. While the area of Very Dense Forest has modestly increased to 222,324.03 hectares, Dense and Sparse Forests have declined sharply to 59,471.64 ha and 29,081.97 ha, respectively. This shift signals a trend of forest degradation and conversion, likely due to the encroachment of agriculture and urban development. Water bodies remain the least extensive land use category (4,228.56 ha), though their environmental and socio-economic value may be underrepresented. The trends observed highlight a critical need for policy interventions to balance ecological conservation with socio-economic development.</w:t>
      </w:r>
    </w:p>
    <w:p w14:paraId="7D141629" w14:textId="77777777" w:rsidR="00DD10E3" w:rsidRPr="00DD10E3" w:rsidRDefault="00DD10E3" w:rsidP="00DD10E3">
      <w:pPr>
        <w:spacing w:after="0" w:line="240" w:lineRule="auto"/>
        <w:jc w:val="both"/>
        <w:rPr>
          <w:rFonts w:ascii="Times New Roman" w:hAnsi="Times New Roman" w:cs="Times New Roman"/>
          <w:sz w:val="24"/>
          <w:szCs w:val="24"/>
        </w:rPr>
      </w:pPr>
    </w:p>
    <w:p w14:paraId="4E22248A" w14:textId="240D9ADB" w:rsidR="0000060D" w:rsidRPr="00DD10E3" w:rsidRDefault="0000060D" w:rsidP="00DD10E3">
      <w:pPr>
        <w:spacing w:after="0" w:line="240" w:lineRule="auto"/>
        <w:jc w:val="both"/>
        <w:rPr>
          <w:rFonts w:ascii="Times New Roman" w:hAnsi="Times New Roman" w:cs="Times New Roman"/>
          <w:b/>
          <w:bCs/>
          <w:sz w:val="24"/>
          <w:szCs w:val="24"/>
        </w:rPr>
      </w:pPr>
      <w:r w:rsidRPr="00DD10E3">
        <w:rPr>
          <w:rFonts w:ascii="Times New Roman" w:hAnsi="Times New Roman" w:cs="Times New Roman"/>
          <w:b/>
          <w:bCs/>
          <w:sz w:val="24"/>
          <w:szCs w:val="24"/>
        </w:rPr>
        <w:t>Support Vector Machine</w:t>
      </w:r>
      <w:bookmarkEnd w:id="85"/>
    </w:p>
    <w:p w14:paraId="0EE09DD9" w14:textId="77777777" w:rsidR="0000060D" w:rsidRPr="00BE4AF3" w:rsidRDefault="0000060D" w:rsidP="00DD10E3">
      <w:pPr>
        <w:spacing w:after="0" w:line="240" w:lineRule="auto"/>
        <w:jc w:val="both"/>
        <w:rPr>
          <w:rFonts w:ascii="Times New Roman" w:hAnsi="Times New Roman" w:cs="Times New Roman"/>
          <w:bCs/>
          <w:sz w:val="24"/>
          <w:szCs w:val="24"/>
        </w:rPr>
      </w:pPr>
      <w:r w:rsidRPr="00BE4AF3">
        <w:rPr>
          <w:rFonts w:ascii="Times New Roman" w:hAnsi="Times New Roman" w:cs="Times New Roman"/>
          <w:bCs/>
          <w:sz w:val="24"/>
          <w:szCs w:val="24"/>
        </w:rPr>
        <w:t xml:space="preserve">The 2005, 2015 and 2025 land use classification statistical result, generated using a Support Vector Machine (SVM) algorithm, presents a systematic quantification of land cover distribution across six distinct categories. </w:t>
      </w:r>
    </w:p>
    <w:p w14:paraId="40BD1B1B" w14:textId="77777777" w:rsidR="0000060D" w:rsidRDefault="0000060D" w:rsidP="00DD10E3">
      <w:pPr>
        <w:spacing w:after="0" w:line="240" w:lineRule="auto"/>
        <w:jc w:val="center"/>
        <w:rPr>
          <w:rFonts w:ascii="Times New Roman" w:hAnsi="Times New Roman" w:cs="Times New Roman"/>
          <w:bCs/>
          <w:sz w:val="24"/>
          <w:szCs w:val="24"/>
        </w:rPr>
      </w:pPr>
    </w:p>
    <w:p w14:paraId="0640520B" w14:textId="77777777" w:rsidR="00DD10E3" w:rsidRDefault="00DD10E3" w:rsidP="00DD10E3">
      <w:pPr>
        <w:spacing w:after="0" w:line="240" w:lineRule="auto"/>
        <w:jc w:val="center"/>
        <w:rPr>
          <w:rFonts w:ascii="Times New Roman" w:hAnsi="Times New Roman" w:cs="Times New Roman"/>
          <w:bCs/>
          <w:sz w:val="24"/>
          <w:szCs w:val="24"/>
        </w:rPr>
      </w:pPr>
    </w:p>
    <w:p w14:paraId="254D76D8" w14:textId="77777777" w:rsidR="00DD10E3" w:rsidRDefault="00DD10E3" w:rsidP="00DD10E3">
      <w:pPr>
        <w:spacing w:after="0" w:line="240" w:lineRule="auto"/>
        <w:jc w:val="center"/>
        <w:rPr>
          <w:rFonts w:ascii="Times New Roman" w:hAnsi="Times New Roman" w:cs="Times New Roman"/>
          <w:bCs/>
          <w:sz w:val="24"/>
          <w:szCs w:val="24"/>
        </w:rPr>
      </w:pPr>
    </w:p>
    <w:p w14:paraId="323643DC" w14:textId="77777777" w:rsidR="00DD10E3" w:rsidRDefault="00DD10E3" w:rsidP="00DD10E3">
      <w:pPr>
        <w:spacing w:after="0" w:line="240" w:lineRule="auto"/>
        <w:jc w:val="center"/>
        <w:rPr>
          <w:rFonts w:ascii="Times New Roman" w:hAnsi="Times New Roman" w:cs="Times New Roman"/>
          <w:bCs/>
          <w:sz w:val="24"/>
          <w:szCs w:val="24"/>
        </w:rPr>
      </w:pPr>
    </w:p>
    <w:p w14:paraId="3DE9F4EA" w14:textId="77777777" w:rsidR="00DD10E3" w:rsidRDefault="00DD10E3" w:rsidP="00DD10E3">
      <w:pPr>
        <w:spacing w:after="0" w:line="240" w:lineRule="auto"/>
        <w:jc w:val="center"/>
        <w:rPr>
          <w:rFonts w:ascii="Times New Roman" w:hAnsi="Times New Roman" w:cs="Times New Roman"/>
          <w:bCs/>
          <w:sz w:val="24"/>
          <w:szCs w:val="24"/>
        </w:rPr>
      </w:pPr>
    </w:p>
    <w:p w14:paraId="77A20978" w14:textId="77777777" w:rsidR="00DD10E3" w:rsidRDefault="00DD10E3" w:rsidP="00DD10E3">
      <w:pPr>
        <w:spacing w:after="0" w:line="240" w:lineRule="auto"/>
        <w:jc w:val="center"/>
        <w:rPr>
          <w:rFonts w:ascii="Times New Roman" w:hAnsi="Times New Roman" w:cs="Times New Roman"/>
          <w:bCs/>
          <w:sz w:val="24"/>
          <w:szCs w:val="24"/>
        </w:rPr>
      </w:pPr>
    </w:p>
    <w:p w14:paraId="54D7607E" w14:textId="77777777" w:rsidR="00DD10E3" w:rsidRDefault="00DD10E3" w:rsidP="00DD10E3">
      <w:pPr>
        <w:spacing w:after="0" w:line="240" w:lineRule="auto"/>
        <w:jc w:val="center"/>
        <w:rPr>
          <w:rFonts w:ascii="Times New Roman" w:hAnsi="Times New Roman" w:cs="Times New Roman"/>
          <w:bCs/>
          <w:sz w:val="24"/>
          <w:szCs w:val="24"/>
        </w:rPr>
      </w:pPr>
    </w:p>
    <w:p w14:paraId="6C926EBF" w14:textId="77777777" w:rsidR="00DD10E3" w:rsidRDefault="00DD10E3" w:rsidP="00DD10E3">
      <w:pPr>
        <w:spacing w:after="0" w:line="240" w:lineRule="auto"/>
        <w:jc w:val="center"/>
        <w:rPr>
          <w:rFonts w:ascii="Times New Roman" w:hAnsi="Times New Roman" w:cs="Times New Roman"/>
          <w:bCs/>
          <w:sz w:val="24"/>
          <w:szCs w:val="24"/>
        </w:rPr>
      </w:pPr>
    </w:p>
    <w:p w14:paraId="5A144DE5" w14:textId="77777777" w:rsidR="00DD10E3" w:rsidRPr="00BE4AF3" w:rsidRDefault="00DD10E3" w:rsidP="00DD10E3">
      <w:pPr>
        <w:spacing w:after="0" w:line="240" w:lineRule="auto"/>
        <w:rPr>
          <w:rFonts w:ascii="Times New Roman" w:hAnsi="Times New Roman" w:cs="Times New Roman"/>
          <w:bCs/>
          <w:sz w:val="24"/>
          <w:szCs w:val="24"/>
        </w:rPr>
        <w:sectPr w:rsidR="00DD10E3" w:rsidRPr="00BE4AF3" w:rsidSect="0000060D">
          <w:type w:val="continuous"/>
          <w:pgSz w:w="11906" w:h="16838"/>
          <w:pgMar w:top="1418" w:right="1418" w:bottom="1418" w:left="1418" w:header="709" w:footer="709" w:gutter="0"/>
          <w:cols w:space="708"/>
          <w:docGrid w:linePitch="360"/>
        </w:sectPr>
      </w:pPr>
    </w:p>
    <w:p w14:paraId="38B707A9" w14:textId="77777777" w:rsidR="00DD10E3" w:rsidRDefault="00DD10E3" w:rsidP="00DD10E3">
      <w:pPr>
        <w:spacing w:after="0" w:line="240" w:lineRule="auto"/>
        <w:jc w:val="center"/>
        <w:rPr>
          <w:rFonts w:ascii="Times New Roman" w:hAnsi="Times New Roman" w:cs="Times New Roman"/>
          <w:bCs/>
          <w:sz w:val="24"/>
          <w:szCs w:val="24"/>
        </w:rPr>
      </w:pPr>
    </w:p>
    <w:p w14:paraId="57FD2FA5" w14:textId="007F4A22" w:rsidR="0000060D" w:rsidRPr="00BE4AF3" w:rsidRDefault="0000060D" w:rsidP="00DD10E3">
      <w:pPr>
        <w:spacing w:after="0" w:line="240" w:lineRule="auto"/>
        <w:jc w:val="center"/>
        <w:rPr>
          <w:rFonts w:ascii="Times New Roman" w:hAnsi="Times New Roman" w:cs="Times New Roman"/>
          <w:bCs/>
          <w:sz w:val="24"/>
          <w:szCs w:val="24"/>
        </w:rPr>
      </w:pPr>
      <w:r w:rsidRPr="00DD10E3">
        <w:rPr>
          <w:rFonts w:ascii="Times New Roman" w:hAnsi="Times New Roman" w:cs="Times New Roman"/>
          <w:b/>
          <w:sz w:val="24"/>
          <w:szCs w:val="24"/>
        </w:rPr>
        <w:lastRenderedPageBreak/>
        <w:t>Table 4</w:t>
      </w:r>
      <w:r w:rsidR="00DD10E3" w:rsidRPr="00DD10E3">
        <w:rPr>
          <w:rFonts w:ascii="Times New Roman" w:hAnsi="Times New Roman" w:cs="Times New Roman"/>
          <w:b/>
          <w:sz w:val="24"/>
          <w:szCs w:val="24"/>
        </w:rPr>
        <w:t>:</w:t>
      </w:r>
      <w:r w:rsidRPr="00BE4AF3">
        <w:rPr>
          <w:rFonts w:ascii="Times New Roman" w:hAnsi="Times New Roman" w:cs="Times New Roman"/>
          <w:bCs/>
          <w:sz w:val="24"/>
          <w:szCs w:val="24"/>
        </w:rPr>
        <w:t xml:space="preserve"> The vector statistical data for the LULCC (SVM)</w:t>
      </w:r>
    </w:p>
    <w:tbl>
      <w:tblPr>
        <w:tblW w:w="4190" w:type="pct"/>
        <w:jc w:val="center"/>
        <w:tblLook w:val="04A0" w:firstRow="1" w:lastRow="0" w:firstColumn="1" w:lastColumn="0" w:noHBand="0" w:noVBand="1"/>
      </w:tblPr>
      <w:tblGrid>
        <w:gridCol w:w="2649"/>
        <w:gridCol w:w="1739"/>
        <w:gridCol w:w="1472"/>
        <w:gridCol w:w="1741"/>
      </w:tblGrid>
      <w:tr w:rsidR="0000060D" w:rsidRPr="00DD10E3" w14:paraId="1486B2EA" w14:textId="77777777" w:rsidTr="0000060D">
        <w:trPr>
          <w:trHeight w:val="407"/>
          <w:jc w:val="center"/>
        </w:trPr>
        <w:tc>
          <w:tcPr>
            <w:tcW w:w="1743" w:type="pct"/>
            <w:tcBorders>
              <w:top w:val="single" w:sz="4" w:space="0" w:color="auto"/>
              <w:bottom w:val="single" w:sz="4" w:space="0" w:color="auto"/>
            </w:tcBorders>
            <w:shd w:val="clear" w:color="auto" w:fill="auto"/>
            <w:vAlign w:val="center"/>
            <w:hideMark/>
          </w:tcPr>
          <w:p w14:paraId="2719A489" w14:textId="77777777" w:rsidR="0000060D" w:rsidRPr="00DD10E3" w:rsidRDefault="0000060D" w:rsidP="00DD10E3">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Legend</w:t>
            </w:r>
          </w:p>
        </w:tc>
        <w:tc>
          <w:tcPr>
            <w:tcW w:w="1144" w:type="pct"/>
            <w:tcBorders>
              <w:top w:val="single" w:sz="4" w:space="0" w:color="auto"/>
              <w:bottom w:val="single" w:sz="4" w:space="0" w:color="auto"/>
            </w:tcBorders>
            <w:shd w:val="clear" w:color="auto" w:fill="auto"/>
            <w:vAlign w:val="center"/>
            <w:hideMark/>
          </w:tcPr>
          <w:p w14:paraId="1DC9DC36" w14:textId="77777777" w:rsidR="0000060D" w:rsidRPr="00DD10E3" w:rsidRDefault="0000060D" w:rsidP="00DD10E3">
            <w:pPr>
              <w:spacing w:after="0" w:line="240" w:lineRule="auto"/>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2005</w:t>
            </w:r>
          </w:p>
        </w:tc>
        <w:tc>
          <w:tcPr>
            <w:tcW w:w="968" w:type="pct"/>
            <w:tcBorders>
              <w:top w:val="single" w:sz="4" w:space="0" w:color="auto"/>
              <w:bottom w:val="single" w:sz="4" w:space="0" w:color="auto"/>
            </w:tcBorders>
            <w:shd w:val="clear" w:color="auto" w:fill="auto"/>
            <w:vAlign w:val="center"/>
          </w:tcPr>
          <w:p w14:paraId="6411BF2F" w14:textId="77777777" w:rsidR="0000060D" w:rsidRPr="00DD10E3" w:rsidRDefault="0000060D" w:rsidP="00DD10E3">
            <w:pPr>
              <w:spacing w:after="0" w:line="240" w:lineRule="auto"/>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2015</w:t>
            </w:r>
          </w:p>
        </w:tc>
        <w:tc>
          <w:tcPr>
            <w:tcW w:w="1145" w:type="pct"/>
            <w:tcBorders>
              <w:top w:val="single" w:sz="4" w:space="0" w:color="auto"/>
              <w:bottom w:val="single" w:sz="4" w:space="0" w:color="auto"/>
            </w:tcBorders>
            <w:shd w:val="clear" w:color="auto" w:fill="auto"/>
            <w:vAlign w:val="center"/>
          </w:tcPr>
          <w:p w14:paraId="17E0576D" w14:textId="77777777" w:rsidR="0000060D" w:rsidRPr="00DD10E3" w:rsidRDefault="0000060D" w:rsidP="00DD10E3">
            <w:pPr>
              <w:spacing w:after="0" w:line="240" w:lineRule="auto"/>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2025</w:t>
            </w:r>
          </w:p>
        </w:tc>
      </w:tr>
      <w:tr w:rsidR="0000060D" w:rsidRPr="00DD10E3" w14:paraId="15874DD0" w14:textId="77777777" w:rsidTr="0000060D">
        <w:trPr>
          <w:trHeight w:val="284"/>
          <w:jc w:val="center"/>
        </w:trPr>
        <w:tc>
          <w:tcPr>
            <w:tcW w:w="1743" w:type="pct"/>
            <w:tcBorders>
              <w:top w:val="single" w:sz="4" w:space="0" w:color="auto"/>
            </w:tcBorders>
            <w:shd w:val="clear" w:color="auto" w:fill="auto"/>
            <w:vAlign w:val="center"/>
          </w:tcPr>
          <w:p w14:paraId="0E8A64F9" w14:textId="77777777" w:rsidR="0000060D" w:rsidRPr="00DD10E3" w:rsidRDefault="0000060D" w:rsidP="00DD10E3">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Built-up Surface</w:t>
            </w:r>
          </w:p>
        </w:tc>
        <w:tc>
          <w:tcPr>
            <w:tcW w:w="1144" w:type="pct"/>
            <w:tcBorders>
              <w:top w:val="single" w:sz="4" w:space="0" w:color="auto"/>
            </w:tcBorders>
            <w:shd w:val="clear" w:color="auto" w:fill="auto"/>
            <w:vAlign w:val="center"/>
            <w:hideMark/>
          </w:tcPr>
          <w:p w14:paraId="6E504D24" w14:textId="77777777" w:rsidR="0000060D" w:rsidRPr="00DD10E3" w:rsidRDefault="0000060D" w:rsidP="00DD10E3">
            <w:pPr>
              <w:spacing w:after="0" w:line="240" w:lineRule="auto"/>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120394.35</w:t>
            </w:r>
          </w:p>
        </w:tc>
        <w:tc>
          <w:tcPr>
            <w:tcW w:w="968" w:type="pct"/>
            <w:tcBorders>
              <w:top w:val="single" w:sz="4" w:space="0" w:color="auto"/>
            </w:tcBorders>
            <w:shd w:val="clear" w:color="auto" w:fill="auto"/>
          </w:tcPr>
          <w:p w14:paraId="19AC501F" w14:textId="77777777" w:rsidR="0000060D" w:rsidRPr="00DD10E3" w:rsidRDefault="0000060D" w:rsidP="00DD10E3">
            <w:pPr>
              <w:spacing w:after="0" w:line="240" w:lineRule="auto"/>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15,960.78</w:t>
            </w:r>
          </w:p>
        </w:tc>
        <w:tc>
          <w:tcPr>
            <w:tcW w:w="1145" w:type="pct"/>
            <w:tcBorders>
              <w:top w:val="single" w:sz="4" w:space="0" w:color="auto"/>
            </w:tcBorders>
            <w:shd w:val="clear" w:color="auto" w:fill="auto"/>
          </w:tcPr>
          <w:p w14:paraId="028A7A6D" w14:textId="77777777" w:rsidR="0000060D" w:rsidRPr="00DD10E3" w:rsidRDefault="0000060D" w:rsidP="00DD10E3">
            <w:pPr>
              <w:spacing w:after="0" w:line="240" w:lineRule="auto"/>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293,800.32</w:t>
            </w:r>
          </w:p>
        </w:tc>
      </w:tr>
      <w:tr w:rsidR="0000060D" w:rsidRPr="00DD10E3" w14:paraId="55B99DB3" w14:textId="77777777" w:rsidTr="0000060D">
        <w:trPr>
          <w:trHeight w:val="284"/>
          <w:jc w:val="center"/>
        </w:trPr>
        <w:tc>
          <w:tcPr>
            <w:tcW w:w="1743" w:type="pct"/>
            <w:shd w:val="clear" w:color="auto" w:fill="auto"/>
            <w:vAlign w:val="center"/>
          </w:tcPr>
          <w:p w14:paraId="02C0F079" w14:textId="77777777" w:rsidR="0000060D" w:rsidRPr="00DD10E3" w:rsidRDefault="0000060D" w:rsidP="00DD10E3">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Water</w:t>
            </w:r>
          </w:p>
        </w:tc>
        <w:tc>
          <w:tcPr>
            <w:tcW w:w="1144" w:type="pct"/>
            <w:shd w:val="clear" w:color="auto" w:fill="auto"/>
            <w:vAlign w:val="center"/>
            <w:hideMark/>
          </w:tcPr>
          <w:p w14:paraId="3ED5F626" w14:textId="77777777" w:rsidR="0000060D" w:rsidRPr="00DD10E3" w:rsidRDefault="0000060D" w:rsidP="00DD10E3">
            <w:pPr>
              <w:spacing w:after="0" w:line="240" w:lineRule="auto"/>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6925.23</w:t>
            </w:r>
          </w:p>
        </w:tc>
        <w:tc>
          <w:tcPr>
            <w:tcW w:w="968" w:type="pct"/>
            <w:shd w:val="clear" w:color="auto" w:fill="auto"/>
          </w:tcPr>
          <w:p w14:paraId="3150DF62" w14:textId="77777777" w:rsidR="0000060D" w:rsidRPr="00DD10E3" w:rsidRDefault="0000060D" w:rsidP="00DD10E3">
            <w:pPr>
              <w:spacing w:after="0" w:line="240" w:lineRule="auto"/>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4,903.02</w:t>
            </w:r>
          </w:p>
        </w:tc>
        <w:tc>
          <w:tcPr>
            <w:tcW w:w="1145" w:type="pct"/>
            <w:shd w:val="clear" w:color="auto" w:fill="auto"/>
          </w:tcPr>
          <w:p w14:paraId="06967956" w14:textId="77777777" w:rsidR="0000060D" w:rsidRPr="00DD10E3" w:rsidRDefault="0000060D" w:rsidP="00DD10E3">
            <w:pPr>
              <w:spacing w:after="0" w:line="240" w:lineRule="auto"/>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13,445.46</w:t>
            </w:r>
          </w:p>
        </w:tc>
      </w:tr>
      <w:tr w:rsidR="0000060D" w:rsidRPr="00DD10E3" w14:paraId="0BAC27E6" w14:textId="77777777" w:rsidTr="0000060D">
        <w:trPr>
          <w:trHeight w:val="399"/>
          <w:jc w:val="center"/>
        </w:trPr>
        <w:tc>
          <w:tcPr>
            <w:tcW w:w="1743" w:type="pct"/>
            <w:shd w:val="clear" w:color="auto" w:fill="auto"/>
            <w:vAlign w:val="center"/>
          </w:tcPr>
          <w:p w14:paraId="4CE3C47A" w14:textId="77777777" w:rsidR="0000060D" w:rsidRPr="00DD10E3" w:rsidRDefault="0000060D" w:rsidP="00DD10E3">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Very Dense Forest</w:t>
            </w:r>
          </w:p>
        </w:tc>
        <w:tc>
          <w:tcPr>
            <w:tcW w:w="1144" w:type="pct"/>
            <w:shd w:val="clear" w:color="auto" w:fill="auto"/>
            <w:vAlign w:val="center"/>
            <w:hideMark/>
          </w:tcPr>
          <w:p w14:paraId="58F55E1A" w14:textId="77777777" w:rsidR="0000060D" w:rsidRPr="00DD10E3" w:rsidRDefault="0000060D" w:rsidP="00DD10E3">
            <w:pPr>
              <w:spacing w:after="0" w:line="240" w:lineRule="auto"/>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287989.11</w:t>
            </w:r>
          </w:p>
        </w:tc>
        <w:tc>
          <w:tcPr>
            <w:tcW w:w="968" w:type="pct"/>
            <w:shd w:val="clear" w:color="auto" w:fill="auto"/>
          </w:tcPr>
          <w:p w14:paraId="5827E6DB" w14:textId="77777777" w:rsidR="0000060D" w:rsidRPr="00DD10E3" w:rsidRDefault="0000060D" w:rsidP="00DD10E3">
            <w:pPr>
              <w:spacing w:after="0" w:line="240" w:lineRule="auto"/>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295,676.91</w:t>
            </w:r>
          </w:p>
        </w:tc>
        <w:tc>
          <w:tcPr>
            <w:tcW w:w="1145" w:type="pct"/>
            <w:shd w:val="clear" w:color="auto" w:fill="auto"/>
          </w:tcPr>
          <w:p w14:paraId="0DD0507B" w14:textId="77777777" w:rsidR="0000060D" w:rsidRPr="00DD10E3" w:rsidRDefault="0000060D" w:rsidP="00DD10E3">
            <w:pPr>
              <w:spacing w:after="0" w:line="240" w:lineRule="auto"/>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179,486.01</w:t>
            </w:r>
          </w:p>
        </w:tc>
      </w:tr>
      <w:tr w:rsidR="0000060D" w:rsidRPr="00DD10E3" w14:paraId="62C0B2C7" w14:textId="77777777" w:rsidTr="0000060D">
        <w:trPr>
          <w:trHeight w:val="399"/>
          <w:jc w:val="center"/>
        </w:trPr>
        <w:tc>
          <w:tcPr>
            <w:tcW w:w="1743" w:type="pct"/>
            <w:shd w:val="clear" w:color="auto" w:fill="auto"/>
            <w:vAlign w:val="center"/>
          </w:tcPr>
          <w:p w14:paraId="66835248" w14:textId="77777777" w:rsidR="0000060D" w:rsidRPr="00DD10E3" w:rsidRDefault="0000060D" w:rsidP="00DD10E3">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Dense Forest</w:t>
            </w:r>
          </w:p>
        </w:tc>
        <w:tc>
          <w:tcPr>
            <w:tcW w:w="1144" w:type="pct"/>
            <w:shd w:val="clear" w:color="auto" w:fill="auto"/>
            <w:vAlign w:val="center"/>
            <w:hideMark/>
          </w:tcPr>
          <w:p w14:paraId="56F8890B" w14:textId="77777777" w:rsidR="0000060D" w:rsidRPr="00DD10E3" w:rsidRDefault="0000060D" w:rsidP="00DD10E3">
            <w:pPr>
              <w:spacing w:after="0" w:line="240" w:lineRule="auto"/>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312224.49</w:t>
            </w:r>
          </w:p>
        </w:tc>
        <w:tc>
          <w:tcPr>
            <w:tcW w:w="968" w:type="pct"/>
            <w:shd w:val="clear" w:color="auto" w:fill="auto"/>
          </w:tcPr>
          <w:p w14:paraId="17AE52A0" w14:textId="77777777" w:rsidR="0000060D" w:rsidRPr="00DD10E3" w:rsidRDefault="0000060D" w:rsidP="00DD10E3">
            <w:pPr>
              <w:spacing w:after="0" w:line="240" w:lineRule="auto"/>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183,155.76</w:t>
            </w:r>
          </w:p>
        </w:tc>
        <w:tc>
          <w:tcPr>
            <w:tcW w:w="1145" w:type="pct"/>
            <w:shd w:val="clear" w:color="auto" w:fill="auto"/>
          </w:tcPr>
          <w:p w14:paraId="15A47F9F" w14:textId="77777777" w:rsidR="0000060D" w:rsidRPr="00DD10E3" w:rsidRDefault="0000060D" w:rsidP="00DD10E3">
            <w:pPr>
              <w:spacing w:after="0" w:line="240" w:lineRule="auto"/>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56,549.61</w:t>
            </w:r>
          </w:p>
        </w:tc>
      </w:tr>
      <w:tr w:rsidR="0000060D" w:rsidRPr="00DD10E3" w14:paraId="36C3E6A1" w14:textId="77777777" w:rsidTr="0000060D">
        <w:trPr>
          <w:trHeight w:val="331"/>
          <w:jc w:val="center"/>
        </w:trPr>
        <w:tc>
          <w:tcPr>
            <w:tcW w:w="1743" w:type="pct"/>
            <w:shd w:val="clear" w:color="auto" w:fill="auto"/>
            <w:vAlign w:val="center"/>
          </w:tcPr>
          <w:p w14:paraId="15976917" w14:textId="77777777" w:rsidR="0000060D" w:rsidRPr="00DD10E3" w:rsidRDefault="0000060D" w:rsidP="00DD10E3">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Disperse Forest</w:t>
            </w:r>
          </w:p>
        </w:tc>
        <w:tc>
          <w:tcPr>
            <w:tcW w:w="1144" w:type="pct"/>
            <w:shd w:val="clear" w:color="auto" w:fill="auto"/>
            <w:vAlign w:val="center"/>
            <w:hideMark/>
          </w:tcPr>
          <w:p w14:paraId="6CA7674D" w14:textId="77777777" w:rsidR="0000060D" w:rsidRPr="00DD10E3" w:rsidRDefault="0000060D" w:rsidP="00DD10E3">
            <w:pPr>
              <w:spacing w:after="0" w:line="240" w:lineRule="auto"/>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85962.96</w:t>
            </w:r>
          </w:p>
        </w:tc>
        <w:tc>
          <w:tcPr>
            <w:tcW w:w="968" w:type="pct"/>
            <w:shd w:val="clear" w:color="auto" w:fill="auto"/>
          </w:tcPr>
          <w:p w14:paraId="6D32EDE8" w14:textId="77777777" w:rsidR="0000060D" w:rsidRPr="00DD10E3" w:rsidRDefault="0000060D" w:rsidP="00DD10E3">
            <w:pPr>
              <w:spacing w:after="0" w:line="240" w:lineRule="auto"/>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101,915.28</w:t>
            </w:r>
          </w:p>
        </w:tc>
        <w:tc>
          <w:tcPr>
            <w:tcW w:w="1145" w:type="pct"/>
            <w:shd w:val="clear" w:color="auto" w:fill="auto"/>
          </w:tcPr>
          <w:p w14:paraId="55DDBDB7" w14:textId="77777777" w:rsidR="0000060D" w:rsidRPr="00DD10E3" w:rsidRDefault="0000060D" w:rsidP="00DD10E3">
            <w:pPr>
              <w:spacing w:after="0" w:line="240" w:lineRule="auto"/>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36,783.45</w:t>
            </w:r>
          </w:p>
        </w:tc>
      </w:tr>
      <w:tr w:rsidR="0000060D" w:rsidRPr="00DD10E3" w14:paraId="21E66AC6" w14:textId="77777777" w:rsidTr="0000060D">
        <w:trPr>
          <w:trHeight w:val="322"/>
          <w:jc w:val="center"/>
        </w:trPr>
        <w:tc>
          <w:tcPr>
            <w:tcW w:w="1743" w:type="pct"/>
            <w:tcBorders>
              <w:bottom w:val="single" w:sz="4" w:space="0" w:color="auto"/>
            </w:tcBorders>
            <w:shd w:val="clear" w:color="auto" w:fill="auto"/>
            <w:vAlign w:val="center"/>
          </w:tcPr>
          <w:p w14:paraId="14737D77" w14:textId="77777777" w:rsidR="0000060D" w:rsidRPr="00DD10E3" w:rsidRDefault="0000060D" w:rsidP="00DD10E3">
            <w:pPr>
              <w:spacing w:after="0" w:line="240" w:lineRule="auto"/>
              <w:ind w:firstLineChars="100" w:firstLine="200"/>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Farmland</w:t>
            </w:r>
          </w:p>
        </w:tc>
        <w:tc>
          <w:tcPr>
            <w:tcW w:w="1144" w:type="pct"/>
            <w:tcBorders>
              <w:bottom w:val="single" w:sz="4" w:space="0" w:color="auto"/>
            </w:tcBorders>
            <w:shd w:val="clear" w:color="auto" w:fill="auto"/>
            <w:vAlign w:val="center"/>
            <w:hideMark/>
          </w:tcPr>
          <w:p w14:paraId="2DA102F1" w14:textId="77777777" w:rsidR="0000060D" w:rsidRPr="00DD10E3" w:rsidRDefault="0000060D" w:rsidP="00DD10E3">
            <w:pPr>
              <w:spacing w:after="0" w:line="240" w:lineRule="auto"/>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408490.38</w:t>
            </w:r>
          </w:p>
        </w:tc>
        <w:tc>
          <w:tcPr>
            <w:tcW w:w="968" w:type="pct"/>
            <w:tcBorders>
              <w:bottom w:val="single" w:sz="4" w:space="0" w:color="auto"/>
            </w:tcBorders>
            <w:shd w:val="clear" w:color="auto" w:fill="auto"/>
          </w:tcPr>
          <w:p w14:paraId="14FAA0AF" w14:textId="77777777" w:rsidR="0000060D" w:rsidRPr="00DD10E3" w:rsidRDefault="0000060D" w:rsidP="00DD10E3">
            <w:pPr>
              <w:spacing w:after="0" w:line="240" w:lineRule="auto"/>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620,374.77</w:t>
            </w:r>
          </w:p>
        </w:tc>
        <w:tc>
          <w:tcPr>
            <w:tcW w:w="1145" w:type="pct"/>
            <w:tcBorders>
              <w:bottom w:val="single" w:sz="4" w:space="0" w:color="auto"/>
            </w:tcBorders>
            <w:shd w:val="clear" w:color="auto" w:fill="auto"/>
          </w:tcPr>
          <w:p w14:paraId="6DF317D6" w14:textId="77777777" w:rsidR="0000060D" w:rsidRPr="00DD10E3" w:rsidRDefault="0000060D" w:rsidP="00DD10E3">
            <w:pPr>
              <w:spacing w:after="0" w:line="240" w:lineRule="auto"/>
              <w:jc w:val="center"/>
              <w:rPr>
                <w:rFonts w:ascii="Times New Roman" w:eastAsia="Times New Roman" w:hAnsi="Times New Roman" w:cs="Times New Roman"/>
                <w:bCs/>
                <w:color w:val="000000"/>
                <w:sz w:val="20"/>
                <w:szCs w:val="20"/>
              </w:rPr>
            </w:pPr>
            <w:r w:rsidRPr="00DD10E3">
              <w:rPr>
                <w:rFonts w:ascii="Times New Roman" w:eastAsia="Times New Roman" w:hAnsi="Times New Roman" w:cs="Times New Roman"/>
                <w:bCs/>
                <w:color w:val="000000"/>
                <w:sz w:val="20"/>
                <w:szCs w:val="20"/>
              </w:rPr>
              <w:t>641,921.67</w:t>
            </w:r>
          </w:p>
        </w:tc>
      </w:tr>
    </w:tbl>
    <w:p w14:paraId="1F9AF57D" w14:textId="77777777" w:rsidR="0000060D" w:rsidRPr="00BE4AF3" w:rsidRDefault="0000060D" w:rsidP="0000060D">
      <w:pPr>
        <w:spacing w:after="240"/>
        <w:jc w:val="both"/>
        <w:rPr>
          <w:rFonts w:ascii="Times New Roman" w:hAnsi="Times New Roman" w:cs="Times New Roman"/>
          <w:bCs/>
          <w:sz w:val="24"/>
          <w:szCs w:val="24"/>
        </w:rPr>
      </w:pPr>
    </w:p>
    <w:p w14:paraId="16C881CC" w14:textId="77777777" w:rsidR="0000060D" w:rsidRPr="00BE4AF3" w:rsidRDefault="0000060D" w:rsidP="0000060D">
      <w:pPr>
        <w:spacing w:after="240"/>
        <w:jc w:val="center"/>
        <w:rPr>
          <w:rFonts w:ascii="Times New Roman" w:hAnsi="Times New Roman" w:cs="Times New Roman"/>
          <w:bCs/>
          <w:sz w:val="24"/>
          <w:szCs w:val="24"/>
        </w:rPr>
      </w:pPr>
      <w:r w:rsidRPr="00BE4AF3">
        <w:rPr>
          <w:rFonts w:ascii="Times New Roman" w:hAnsi="Times New Roman" w:cs="Times New Roman"/>
          <w:bCs/>
          <w:noProof/>
          <w:sz w:val="24"/>
          <w:szCs w:val="24"/>
          <w:lang w:eastAsia="en-GB"/>
        </w:rPr>
        <w:drawing>
          <wp:inline distT="0" distB="0" distL="0" distR="0" wp14:anchorId="5DB1B7DA" wp14:editId="05E71432">
            <wp:extent cx="4199255" cy="3074670"/>
            <wp:effectExtent l="0" t="0" r="0" b="0"/>
            <wp:docPr id="1178787232" name="Picture 1178787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199255" cy="3074670"/>
                    </a:xfrm>
                    <a:prstGeom prst="rect">
                      <a:avLst/>
                    </a:prstGeom>
                    <a:noFill/>
                  </pic:spPr>
                </pic:pic>
              </a:graphicData>
            </a:graphic>
          </wp:inline>
        </w:drawing>
      </w:r>
    </w:p>
    <w:p w14:paraId="25282A3B" w14:textId="77777777" w:rsidR="0000060D" w:rsidRPr="00BE4AF3" w:rsidRDefault="0000060D" w:rsidP="0000060D">
      <w:pPr>
        <w:spacing w:after="120" w:line="240" w:lineRule="auto"/>
        <w:jc w:val="center"/>
        <w:rPr>
          <w:rFonts w:ascii="Times New Roman" w:hAnsi="Times New Roman" w:cs="Times New Roman"/>
          <w:color w:val="000000"/>
          <w:kern w:val="24"/>
          <w:sz w:val="24"/>
          <w:szCs w:val="24"/>
        </w:rPr>
      </w:pPr>
      <w:r w:rsidRPr="00BE4AF3">
        <w:rPr>
          <w:rFonts w:ascii="Times New Roman" w:hAnsi="Times New Roman" w:cs="Times New Roman"/>
          <w:b/>
          <w:sz w:val="24"/>
          <w:szCs w:val="24"/>
        </w:rPr>
        <w:t xml:space="preserve">Figure </w:t>
      </w:r>
      <w:r w:rsidRPr="00BE4AF3">
        <w:rPr>
          <w:rFonts w:ascii="Times New Roman" w:hAnsi="Times New Roman" w:cs="Times New Roman"/>
          <w:b/>
          <w:color w:val="000000"/>
          <w:kern w:val="24"/>
          <w:sz w:val="24"/>
          <w:szCs w:val="24"/>
        </w:rPr>
        <w:t>4</w:t>
      </w:r>
      <w:r w:rsidRPr="00BE4AF3">
        <w:rPr>
          <w:rFonts w:ascii="Times New Roman" w:hAnsi="Times New Roman" w:cs="Times New Roman"/>
          <w:color w:val="000000"/>
          <w:kern w:val="24"/>
          <w:sz w:val="24"/>
          <w:szCs w:val="24"/>
        </w:rPr>
        <w:t>. Land use Map of Old Oyo National Park for the year 2005, 2015 and 2025(SVM)</w:t>
      </w:r>
      <w:bookmarkStart w:id="86" w:name="_Toc198908944"/>
    </w:p>
    <w:p w14:paraId="10E8D8FA" w14:textId="77777777" w:rsidR="0000060D" w:rsidRPr="00BE4AF3" w:rsidRDefault="0000060D" w:rsidP="0000060D">
      <w:pPr>
        <w:spacing w:after="120" w:line="240" w:lineRule="auto"/>
        <w:jc w:val="both"/>
        <w:rPr>
          <w:rFonts w:ascii="Times New Roman" w:eastAsia="Times New Roman" w:hAnsi="Times New Roman" w:cs="Times New Roman"/>
          <w:iCs/>
          <w:sz w:val="24"/>
          <w:szCs w:val="24"/>
        </w:rPr>
      </w:pPr>
    </w:p>
    <w:p w14:paraId="4FD8A37F" w14:textId="77777777" w:rsidR="0000060D" w:rsidRPr="00BE4AF3" w:rsidRDefault="0000060D" w:rsidP="0000060D">
      <w:pPr>
        <w:spacing w:after="120" w:line="240" w:lineRule="auto"/>
        <w:jc w:val="both"/>
        <w:rPr>
          <w:rFonts w:ascii="Times New Roman" w:eastAsia="Times New Roman" w:hAnsi="Times New Roman" w:cs="Times New Roman"/>
          <w:iCs/>
          <w:sz w:val="24"/>
          <w:szCs w:val="24"/>
        </w:rPr>
      </w:pPr>
      <w:r w:rsidRPr="00BE4AF3">
        <w:rPr>
          <w:rFonts w:ascii="Times New Roman" w:eastAsia="Times New Roman" w:hAnsi="Times New Roman" w:cs="Times New Roman"/>
          <w:iCs/>
          <w:sz w:val="24"/>
          <w:szCs w:val="24"/>
        </w:rPr>
        <w:t xml:space="preserve">The SVM classification results from 2005 and 2015 illustrate a landscape initially characterized by a balanced coexistence of forest ecosystems and agricultural land. In 2005, substantial areas of Very Dense and Dense Forest indicated effective conservation measures, while Sparse Forest represented transitional or regenerating zones. Farmland dominated the landscape, reflecting the region's strong agricultural orientation, though Built-up areas remained limited. By 2015, forests still covered a significant portion of the land (nearly 580,748 ha), forming large contiguous blocks in the northern and western regions. Farmland remained extensive (620,374.77 ha), especially in the eastern and southern parts, with settlements scattered along major roads and Water bodies minimally present but ecologically relevant. By 2025, the landscape had undergone significant anthropogenic transformation. Built-up/Impervious Surfaces expanded dramatically to 293,800.32 hectares, a nearly twenty-fold increase, marking rapid urban sprawl from major population centers. Forest cover declined steeply, with Very Dense Forest reduced to 179,486.01 hectares, now limited to isolated patches, while Dense and Sparse Forests shrank due to edge effects and fragmentation. Farmland, although still dominant at 641,921.67 hectares, became increasingly fragmented near urban zones. Interestingly, Water bodies increased to 13,445.46 hectares, likely due to new reservoirs or improved detection. </w:t>
      </w:r>
    </w:p>
    <w:p w14:paraId="45050D36" w14:textId="7904A2D4" w:rsidR="0000060D" w:rsidRPr="00BE4AF3" w:rsidRDefault="0000060D" w:rsidP="0000060D">
      <w:pPr>
        <w:spacing w:after="120" w:line="240" w:lineRule="auto"/>
        <w:jc w:val="both"/>
        <w:rPr>
          <w:rFonts w:ascii="Times New Roman" w:hAnsi="Times New Roman" w:cs="Times New Roman"/>
          <w:bCs/>
          <w:iCs/>
          <w:sz w:val="24"/>
          <w:szCs w:val="24"/>
        </w:rPr>
      </w:pPr>
      <w:r w:rsidRPr="00BE4AF3">
        <w:rPr>
          <w:rFonts w:ascii="Times New Roman" w:hAnsi="Times New Roman" w:cs="Times New Roman"/>
          <w:b/>
          <w:iCs/>
          <w:sz w:val="24"/>
          <w:szCs w:val="24"/>
        </w:rPr>
        <w:lastRenderedPageBreak/>
        <w:t>Analytical Comparison of Maximum Likelihood Algorithm and Support Vector Machine Algorithms</w:t>
      </w:r>
      <w:bookmarkEnd w:id="86"/>
      <w:r w:rsidRPr="00BE4AF3">
        <w:rPr>
          <w:rFonts w:ascii="Times New Roman" w:hAnsi="Times New Roman" w:cs="Times New Roman"/>
          <w:b/>
          <w:iCs/>
          <w:sz w:val="24"/>
          <w:szCs w:val="24"/>
        </w:rPr>
        <w:t>.</w:t>
      </w:r>
      <w:r w:rsidRPr="00BE4AF3">
        <w:rPr>
          <w:rFonts w:ascii="Times New Roman" w:hAnsi="Times New Roman" w:cs="Times New Roman"/>
          <w:bCs/>
          <w:iCs/>
          <w:sz w:val="24"/>
          <w:szCs w:val="24"/>
        </w:rPr>
        <w:t xml:space="preserve"> </w:t>
      </w:r>
      <w:bookmarkStart w:id="87" w:name="_Toc198908946"/>
    </w:p>
    <w:p w14:paraId="6DD8B4CB" w14:textId="77777777" w:rsidR="0000060D" w:rsidRPr="00BE4AF3" w:rsidRDefault="0000060D" w:rsidP="00DD10E3">
      <w:pPr>
        <w:spacing w:after="120" w:line="240" w:lineRule="auto"/>
        <w:jc w:val="both"/>
        <w:rPr>
          <w:rFonts w:ascii="Times New Roman" w:hAnsi="Times New Roman" w:cs="Times New Roman"/>
          <w:sz w:val="24"/>
          <w:szCs w:val="24"/>
        </w:rPr>
      </w:pPr>
      <w:r w:rsidRPr="00BE4AF3">
        <w:rPr>
          <w:rFonts w:ascii="Times New Roman" w:hAnsi="Times New Roman" w:cs="Times New Roman"/>
          <w:sz w:val="24"/>
          <w:szCs w:val="24"/>
        </w:rPr>
        <w:t>This comparative analysis between the Maximum Likelihood Algorithm (MLA) and Support Vector Machine (SVM) reveals distinct methodological differences in classifying land cover and detecting environmental changes within a West African protected area. In 2005, SVM consistently identified more extensive forest areas than MLA, particularly in Dense and Very Dense Forest categories, due to its superior handling of non-linear boundaries and mixed pixels. Notably, SVM detected 2.6 percentage points more total forest cover than MLA. Conversely, MLA significantly overestimated built-up areas by 30.3%, likely due to spectral confusion with bare or degraded lands. Farmland and water body classifications also showed moderate to high variation, with SVM detecting more accurate extents, particularly for small water features. These discrepancies underscore the influence of classification methodology on landscape interpretation, with SVM demonstrating higher precision in complex land cover scenarios. Temporal analysis from 2005 to 2025 further illustrates the divergence in algorithm performance and environmental trend detection. Both classifiers reveal massive forest loss and land transformation, but SVM estimates a higher total forest loss (60.4%) compared to MLA (52.4%), with greater sensitivity to edge degradation and fragmentation. Built-up expansion under SVM analysis increased by 144.0%, contrasting sharply with MLA’s counterintuitive decline, again highlighting SVM’s superiority in detecting urban growth. Statistical indicators such as coefficient of variation, standard deviation, and forest fragmentation index (FFI) confirm SVM’s enhanced responsiveness to landscape dynamics. However, MLA displayed stronger temporal consistency in core forest classification. Despite their differences, both algorithms converge on alarming conclusions: over 50% of forest cover has been lost, and habitat fragmentation is accelerating. These findings affirm that Old Oyo National Park is under severe anthropogenic pressure, requiring urgent and informed conservation interventions.</w:t>
      </w:r>
    </w:p>
    <w:p w14:paraId="2D9CCA55" w14:textId="6D5BE721" w:rsidR="0000060D" w:rsidRPr="00DD10E3" w:rsidRDefault="0000060D" w:rsidP="0000060D">
      <w:pPr>
        <w:pStyle w:val="Heading2"/>
        <w:rPr>
          <w:rFonts w:ascii="Times New Roman" w:hAnsi="Times New Roman" w:cs="Times New Roman"/>
          <w:color w:val="000000" w:themeColor="text1"/>
          <w:sz w:val="24"/>
          <w:szCs w:val="24"/>
        </w:rPr>
      </w:pPr>
      <w:r w:rsidRPr="00DD10E3">
        <w:rPr>
          <w:rFonts w:ascii="Times New Roman" w:hAnsi="Times New Roman" w:cs="Times New Roman"/>
          <w:color w:val="000000" w:themeColor="text1"/>
          <w:sz w:val="24"/>
          <w:szCs w:val="24"/>
        </w:rPr>
        <w:t>Spatial Pattern and Distribution of Deforestation</w:t>
      </w:r>
      <w:bookmarkEnd w:id="87"/>
    </w:p>
    <w:p w14:paraId="3607DC94" w14:textId="4D6F4741" w:rsidR="00DD10E3" w:rsidRDefault="0000060D" w:rsidP="00B03EED">
      <w:pPr>
        <w:spacing w:after="0"/>
        <w:jc w:val="both"/>
        <w:rPr>
          <w:rFonts w:ascii="Times New Roman" w:hAnsi="Times New Roman" w:cs="Times New Roman"/>
          <w:bCs/>
          <w:sz w:val="24"/>
          <w:szCs w:val="24"/>
        </w:rPr>
      </w:pPr>
      <w:r w:rsidRPr="00BE4AF3">
        <w:rPr>
          <w:rFonts w:ascii="Times New Roman" w:hAnsi="Times New Roman" w:cs="Times New Roman"/>
          <w:bCs/>
          <w:sz w:val="24"/>
          <w:szCs w:val="24"/>
        </w:rPr>
        <w:t>Figure 5 illustrates a pronounced trajectory of deforestation over a 20-year period, marked by accelerating forest loss and increasing landscape fragmentation. From 2005 to 2025, dense forest cover declined from approximately 70–75% to just 45–50%, with the most dramatic losses occurring between 2015 and 2025. The northern peninsula underwent the most severe transformation, shifting from predominantly dense forest to a fragmented mosaic of farmland and built-up areas, indicating up to 70% forest loss in that zone. A deforestation corridor emerged centrally, running north-south, likely influenced by agricultural expansion along roads and settlements, while eastern margins experienced coastal-driven development. The conversion sequence—Dense Forest → Sparse Forest → Farmland → Built-up Areas—was especially evident in the north, where sparse forest visible in 2015 had mostly disappeared by 2025. Forest fragmentation intensified, increasing edge-to-interior ratios and reducing ecological connectivity, particularly affecting wildlife corridors. Although the southern region retained substantial very dense forest, even these areas showed rising fragmentation, suggesting ongoing pressures despite possible conservation efforts. Water bodies remained generally stable, though minor alterations hint at development or climate impacts.</w:t>
      </w:r>
    </w:p>
    <w:p w14:paraId="3CD3E7CB" w14:textId="77777777" w:rsidR="00B03EED" w:rsidRDefault="00B03EED" w:rsidP="00B03EED">
      <w:pPr>
        <w:spacing w:after="0"/>
        <w:jc w:val="both"/>
        <w:rPr>
          <w:rFonts w:ascii="Times New Roman" w:hAnsi="Times New Roman" w:cs="Times New Roman"/>
          <w:bCs/>
          <w:sz w:val="24"/>
          <w:szCs w:val="24"/>
        </w:rPr>
      </w:pPr>
    </w:p>
    <w:p w14:paraId="6F9AE37A" w14:textId="77777777" w:rsidR="00B03EED" w:rsidRDefault="00B03EED" w:rsidP="00B03EED">
      <w:pPr>
        <w:spacing w:after="0"/>
        <w:jc w:val="both"/>
        <w:rPr>
          <w:rFonts w:ascii="Times New Roman" w:hAnsi="Times New Roman" w:cs="Times New Roman"/>
          <w:bCs/>
          <w:sz w:val="24"/>
          <w:szCs w:val="24"/>
        </w:rPr>
      </w:pPr>
    </w:p>
    <w:p w14:paraId="6F5620F6" w14:textId="77777777" w:rsidR="00B03EED" w:rsidRDefault="00B03EED" w:rsidP="00B03EED">
      <w:pPr>
        <w:spacing w:after="0"/>
        <w:jc w:val="both"/>
        <w:rPr>
          <w:rFonts w:ascii="Times New Roman" w:hAnsi="Times New Roman" w:cs="Times New Roman"/>
          <w:bCs/>
          <w:sz w:val="24"/>
          <w:szCs w:val="24"/>
        </w:rPr>
      </w:pPr>
    </w:p>
    <w:p w14:paraId="41B20E34" w14:textId="77777777" w:rsidR="00B03EED" w:rsidRDefault="00B03EED" w:rsidP="00B03EED">
      <w:pPr>
        <w:spacing w:after="0"/>
        <w:jc w:val="both"/>
        <w:rPr>
          <w:rFonts w:ascii="Times New Roman" w:hAnsi="Times New Roman" w:cs="Times New Roman"/>
          <w:bCs/>
          <w:sz w:val="24"/>
          <w:szCs w:val="24"/>
        </w:rPr>
      </w:pPr>
    </w:p>
    <w:p w14:paraId="7F25F274" w14:textId="77777777" w:rsidR="00B03EED" w:rsidRDefault="00B03EED" w:rsidP="00B03EED">
      <w:pPr>
        <w:spacing w:after="0"/>
        <w:jc w:val="both"/>
        <w:rPr>
          <w:rFonts w:ascii="Times New Roman" w:hAnsi="Times New Roman" w:cs="Times New Roman"/>
          <w:bCs/>
          <w:sz w:val="24"/>
          <w:szCs w:val="24"/>
        </w:rPr>
      </w:pPr>
    </w:p>
    <w:p w14:paraId="022633DF" w14:textId="77777777" w:rsidR="00DD10E3" w:rsidRPr="00BE4AF3" w:rsidRDefault="00DD10E3" w:rsidP="0000060D">
      <w:pPr>
        <w:spacing w:after="240"/>
        <w:jc w:val="center"/>
        <w:rPr>
          <w:rFonts w:ascii="Times New Roman" w:hAnsi="Times New Roman" w:cs="Times New Roman"/>
          <w:bCs/>
          <w:sz w:val="24"/>
          <w:szCs w:val="24"/>
        </w:rPr>
        <w:sectPr w:rsidR="00DD10E3" w:rsidRPr="00BE4AF3" w:rsidSect="0000060D">
          <w:type w:val="continuous"/>
          <w:pgSz w:w="11906" w:h="16838"/>
          <w:pgMar w:top="1418" w:right="1418" w:bottom="1418" w:left="1418" w:header="709" w:footer="709" w:gutter="0"/>
          <w:cols w:space="708"/>
          <w:docGrid w:linePitch="360"/>
        </w:sectPr>
      </w:pPr>
    </w:p>
    <w:p w14:paraId="0EA0A44B" w14:textId="77777777" w:rsidR="0000060D" w:rsidRPr="00BE4AF3" w:rsidRDefault="0000060D" w:rsidP="0000060D">
      <w:pPr>
        <w:spacing w:after="240"/>
        <w:jc w:val="center"/>
        <w:rPr>
          <w:rFonts w:ascii="Times New Roman" w:hAnsi="Times New Roman" w:cs="Times New Roman"/>
          <w:bCs/>
          <w:sz w:val="24"/>
          <w:szCs w:val="24"/>
        </w:rPr>
      </w:pPr>
      <w:r w:rsidRPr="00BE4AF3">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702272" behindDoc="0" locked="0" layoutInCell="1" allowOverlap="1" wp14:anchorId="0CFE6828" wp14:editId="1BD9A0A2">
                <wp:simplePos x="0" y="0"/>
                <wp:positionH relativeFrom="column">
                  <wp:posOffset>661670</wp:posOffset>
                </wp:positionH>
                <wp:positionV relativeFrom="paragraph">
                  <wp:posOffset>99695</wp:posOffset>
                </wp:positionV>
                <wp:extent cx="4610100" cy="7896225"/>
                <wp:effectExtent l="0" t="0" r="0" b="9525"/>
                <wp:wrapNone/>
                <wp:docPr id="807822879" name="Group 807822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0100" cy="7896225"/>
                          <a:chOff x="0" y="0"/>
                          <a:chExt cx="6162595" cy="6535882"/>
                        </a:xfrm>
                      </wpg:grpSpPr>
                      <pic:pic xmlns:pic="http://schemas.openxmlformats.org/drawingml/2006/picture">
                        <pic:nvPicPr>
                          <pic:cNvPr id="40342692" name="Picture 40342692"/>
                          <pic:cNvPicPr>
                            <a:picLocks noChangeAspect="1"/>
                          </pic:cNvPicPr>
                        </pic:nvPicPr>
                        <pic:blipFill>
                          <a:blip r:embed="rId205" cstate="print"/>
                          <a:stretch>
                            <a:fillRect/>
                          </a:stretch>
                        </pic:blipFill>
                        <pic:spPr>
                          <a:xfrm>
                            <a:off x="3329749" y="0"/>
                            <a:ext cx="2832846" cy="2978743"/>
                          </a:xfrm>
                          <a:prstGeom prst="rect">
                            <a:avLst/>
                          </a:prstGeom>
                        </pic:spPr>
                      </pic:pic>
                      <pic:pic xmlns:pic="http://schemas.openxmlformats.org/drawingml/2006/picture">
                        <pic:nvPicPr>
                          <pic:cNvPr id="1182242640" name="Picture 1182242640"/>
                          <pic:cNvPicPr>
                            <a:picLocks noChangeAspect="1"/>
                          </pic:cNvPicPr>
                        </pic:nvPicPr>
                        <pic:blipFill>
                          <a:blip r:embed="rId206" cstate="print"/>
                          <a:stretch>
                            <a:fillRect/>
                          </a:stretch>
                        </pic:blipFill>
                        <pic:spPr>
                          <a:xfrm>
                            <a:off x="1593845" y="3106882"/>
                            <a:ext cx="3437658" cy="3429000"/>
                          </a:xfrm>
                          <a:prstGeom prst="rect">
                            <a:avLst/>
                          </a:prstGeom>
                        </pic:spPr>
                      </pic:pic>
                      <pic:pic xmlns:pic="http://schemas.openxmlformats.org/drawingml/2006/picture">
                        <pic:nvPicPr>
                          <pic:cNvPr id="1178787234" name="Picture 1178787234"/>
                          <pic:cNvPicPr>
                            <a:picLocks noChangeAspect="1"/>
                          </pic:cNvPicPr>
                        </pic:nvPicPr>
                        <pic:blipFill>
                          <a:blip r:embed="rId207" cstate="print"/>
                          <a:stretch>
                            <a:fillRect/>
                          </a:stretch>
                        </pic:blipFill>
                        <pic:spPr>
                          <a:xfrm>
                            <a:off x="0" y="0"/>
                            <a:ext cx="3187690" cy="2978743"/>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D3EBCEF" id="Group 807822879" o:spid="_x0000_s1026" style="position:absolute;margin-left:52.1pt;margin-top:7.85pt;width:363pt;height:621.75pt;z-index:251702272" coordsize="61625,653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">
                <v:shape id="Picture 40342692" o:spid="_x0000_s1027" type="#_x0000_t75" style="position:absolute;left:33297;width:28328;height:29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">
                  <v:imagedata r:id="rId208" o:title=""/>
                </v:shape>
                <v:shape id="Picture 1182242640" o:spid="_x0000_s1028" type="#_x0000_t75" style="position:absolute;left:15938;top:31068;width:34377;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">
                  <v:imagedata r:id="rId209" o:title=""/>
                </v:shape>
                <v:shape id="Picture 1178787234" o:spid="_x0000_s1029" type="#_x0000_t75" style="position:absolute;width:31876;height:29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">
                  <v:imagedata r:id="rId210" o:title=""/>
                </v:shape>
              </v:group>
            </w:pict>
          </mc:Fallback>
        </mc:AlternateContent>
      </w:r>
    </w:p>
    <w:p w14:paraId="43CB8027" w14:textId="77777777" w:rsidR="0000060D" w:rsidRPr="00BE4AF3" w:rsidRDefault="0000060D" w:rsidP="0000060D">
      <w:pPr>
        <w:spacing w:after="240"/>
        <w:jc w:val="center"/>
        <w:rPr>
          <w:rFonts w:ascii="Times New Roman" w:hAnsi="Times New Roman" w:cs="Times New Roman"/>
          <w:bCs/>
          <w:sz w:val="24"/>
          <w:szCs w:val="24"/>
        </w:rPr>
      </w:pPr>
    </w:p>
    <w:p w14:paraId="71003DC5" w14:textId="77777777" w:rsidR="0000060D" w:rsidRPr="00BE4AF3" w:rsidRDefault="0000060D" w:rsidP="0000060D">
      <w:pPr>
        <w:spacing w:after="240"/>
        <w:jc w:val="center"/>
        <w:rPr>
          <w:rFonts w:ascii="Times New Roman" w:hAnsi="Times New Roman" w:cs="Times New Roman"/>
          <w:bCs/>
          <w:sz w:val="24"/>
          <w:szCs w:val="24"/>
        </w:rPr>
      </w:pPr>
    </w:p>
    <w:p w14:paraId="314E9418" w14:textId="77777777" w:rsidR="0000060D" w:rsidRPr="00BE4AF3" w:rsidRDefault="0000060D" w:rsidP="0000060D">
      <w:pPr>
        <w:spacing w:after="240"/>
        <w:jc w:val="center"/>
        <w:rPr>
          <w:rFonts w:ascii="Times New Roman" w:hAnsi="Times New Roman" w:cs="Times New Roman"/>
          <w:bCs/>
          <w:sz w:val="24"/>
          <w:szCs w:val="24"/>
        </w:rPr>
      </w:pPr>
    </w:p>
    <w:p w14:paraId="2E943B5B" w14:textId="77777777" w:rsidR="0000060D" w:rsidRPr="00BE4AF3" w:rsidRDefault="0000060D" w:rsidP="0000060D">
      <w:pPr>
        <w:jc w:val="center"/>
        <w:rPr>
          <w:rFonts w:ascii="Times New Roman" w:hAnsi="Times New Roman" w:cs="Times New Roman"/>
          <w:b/>
          <w:bCs/>
          <w:sz w:val="24"/>
          <w:szCs w:val="24"/>
          <w:lang w:val="en-US"/>
        </w:rPr>
      </w:pPr>
    </w:p>
    <w:p w14:paraId="03914040" w14:textId="77777777" w:rsidR="00DD10E3" w:rsidRDefault="00DD10E3" w:rsidP="0000060D">
      <w:pPr>
        <w:jc w:val="center"/>
        <w:rPr>
          <w:rFonts w:ascii="Times New Roman" w:hAnsi="Times New Roman" w:cs="Times New Roman"/>
          <w:b/>
          <w:bCs/>
          <w:sz w:val="24"/>
          <w:szCs w:val="24"/>
          <w:lang w:val="en-US"/>
        </w:rPr>
      </w:pPr>
    </w:p>
    <w:p w14:paraId="08276EAA" w14:textId="77777777" w:rsidR="00DD10E3" w:rsidRDefault="00DD10E3" w:rsidP="0000060D">
      <w:pPr>
        <w:jc w:val="center"/>
        <w:rPr>
          <w:rFonts w:ascii="Times New Roman" w:hAnsi="Times New Roman" w:cs="Times New Roman"/>
          <w:b/>
          <w:bCs/>
          <w:sz w:val="24"/>
          <w:szCs w:val="24"/>
          <w:lang w:val="en-US"/>
        </w:rPr>
      </w:pPr>
    </w:p>
    <w:p w14:paraId="367495FD" w14:textId="77777777" w:rsidR="00DD10E3" w:rsidRDefault="00DD10E3" w:rsidP="0000060D">
      <w:pPr>
        <w:jc w:val="center"/>
        <w:rPr>
          <w:rFonts w:ascii="Times New Roman" w:hAnsi="Times New Roman" w:cs="Times New Roman"/>
          <w:b/>
          <w:bCs/>
          <w:sz w:val="24"/>
          <w:szCs w:val="24"/>
          <w:lang w:val="en-US"/>
        </w:rPr>
      </w:pPr>
    </w:p>
    <w:p w14:paraId="66FB72FB" w14:textId="77777777" w:rsidR="00B03EED" w:rsidRDefault="00B03EED" w:rsidP="00DD10E3">
      <w:pPr>
        <w:jc w:val="center"/>
        <w:rPr>
          <w:rFonts w:ascii="Times New Roman" w:hAnsi="Times New Roman" w:cs="Times New Roman"/>
          <w:b/>
          <w:bCs/>
          <w:sz w:val="24"/>
          <w:szCs w:val="24"/>
          <w:lang w:val="en-US"/>
        </w:rPr>
      </w:pPr>
    </w:p>
    <w:p w14:paraId="0B7A5D1E" w14:textId="77777777" w:rsidR="00B03EED" w:rsidRDefault="00B03EED" w:rsidP="00DD10E3">
      <w:pPr>
        <w:jc w:val="center"/>
        <w:rPr>
          <w:rFonts w:ascii="Times New Roman" w:hAnsi="Times New Roman" w:cs="Times New Roman"/>
          <w:b/>
          <w:bCs/>
          <w:sz w:val="24"/>
          <w:szCs w:val="24"/>
          <w:lang w:val="en-US"/>
        </w:rPr>
      </w:pPr>
    </w:p>
    <w:p w14:paraId="38B9581C" w14:textId="77777777" w:rsidR="00B03EED" w:rsidRDefault="00B03EED" w:rsidP="00DD10E3">
      <w:pPr>
        <w:jc w:val="center"/>
        <w:rPr>
          <w:rFonts w:ascii="Times New Roman" w:hAnsi="Times New Roman" w:cs="Times New Roman"/>
          <w:b/>
          <w:bCs/>
          <w:sz w:val="24"/>
          <w:szCs w:val="24"/>
          <w:lang w:val="en-US"/>
        </w:rPr>
      </w:pPr>
    </w:p>
    <w:p w14:paraId="7FEC341A" w14:textId="77777777" w:rsidR="00B03EED" w:rsidRDefault="00B03EED" w:rsidP="00DD10E3">
      <w:pPr>
        <w:jc w:val="center"/>
        <w:rPr>
          <w:rFonts w:ascii="Times New Roman" w:hAnsi="Times New Roman" w:cs="Times New Roman"/>
          <w:b/>
          <w:bCs/>
          <w:sz w:val="24"/>
          <w:szCs w:val="24"/>
          <w:lang w:val="en-US"/>
        </w:rPr>
      </w:pPr>
    </w:p>
    <w:p w14:paraId="11D1EF09" w14:textId="77777777" w:rsidR="00B03EED" w:rsidRDefault="00B03EED" w:rsidP="00DD10E3">
      <w:pPr>
        <w:jc w:val="center"/>
        <w:rPr>
          <w:rFonts w:ascii="Times New Roman" w:hAnsi="Times New Roman" w:cs="Times New Roman"/>
          <w:b/>
          <w:bCs/>
          <w:sz w:val="24"/>
          <w:szCs w:val="24"/>
          <w:lang w:val="en-US"/>
        </w:rPr>
      </w:pPr>
    </w:p>
    <w:p w14:paraId="5441B24E" w14:textId="77777777" w:rsidR="00B03EED" w:rsidRDefault="00B03EED" w:rsidP="00DD10E3">
      <w:pPr>
        <w:jc w:val="center"/>
        <w:rPr>
          <w:rFonts w:ascii="Times New Roman" w:hAnsi="Times New Roman" w:cs="Times New Roman"/>
          <w:b/>
          <w:bCs/>
          <w:sz w:val="24"/>
          <w:szCs w:val="24"/>
          <w:lang w:val="en-US"/>
        </w:rPr>
      </w:pPr>
    </w:p>
    <w:p w14:paraId="0D309742" w14:textId="77777777" w:rsidR="00B03EED" w:rsidRDefault="00B03EED" w:rsidP="00DD10E3">
      <w:pPr>
        <w:jc w:val="center"/>
        <w:rPr>
          <w:rFonts w:ascii="Times New Roman" w:hAnsi="Times New Roman" w:cs="Times New Roman"/>
          <w:b/>
          <w:bCs/>
          <w:sz w:val="24"/>
          <w:szCs w:val="24"/>
          <w:lang w:val="en-US"/>
        </w:rPr>
      </w:pPr>
    </w:p>
    <w:p w14:paraId="2E817348" w14:textId="77777777" w:rsidR="00B03EED" w:rsidRDefault="00B03EED" w:rsidP="00DD10E3">
      <w:pPr>
        <w:jc w:val="center"/>
        <w:rPr>
          <w:rFonts w:ascii="Times New Roman" w:hAnsi="Times New Roman" w:cs="Times New Roman"/>
          <w:b/>
          <w:bCs/>
          <w:sz w:val="24"/>
          <w:szCs w:val="24"/>
          <w:lang w:val="en-US"/>
        </w:rPr>
      </w:pPr>
    </w:p>
    <w:p w14:paraId="567D1635" w14:textId="77777777" w:rsidR="00B03EED" w:rsidRDefault="00B03EED" w:rsidP="00DD10E3">
      <w:pPr>
        <w:jc w:val="center"/>
        <w:rPr>
          <w:rFonts w:ascii="Times New Roman" w:hAnsi="Times New Roman" w:cs="Times New Roman"/>
          <w:b/>
          <w:bCs/>
          <w:sz w:val="24"/>
          <w:szCs w:val="24"/>
          <w:lang w:val="en-US"/>
        </w:rPr>
      </w:pPr>
    </w:p>
    <w:p w14:paraId="3276B7ED" w14:textId="77777777" w:rsidR="00B03EED" w:rsidRDefault="00B03EED" w:rsidP="00DD10E3">
      <w:pPr>
        <w:jc w:val="center"/>
        <w:rPr>
          <w:rFonts w:ascii="Times New Roman" w:hAnsi="Times New Roman" w:cs="Times New Roman"/>
          <w:b/>
          <w:bCs/>
          <w:sz w:val="24"/>
          <w:szCs w:val="24"/>
          <w:lang w:val="en-US"/>
        </w:rPr>
      </w:pPr>
    </w:p>
    <w:p w14:paraId="77543BAF" w14:textId="77777777" w:rsidR="00B03EED" w:rsidRDefault="00B03EED" w:rsidP="00DD10E3">
      <w:pPr>
        <w:jc w:val="center"/>
        <w:rPr>
          <w:rFonts w:ascii="Times New Roman" w:hAnsi="Times New Roman" w:cs="Times New Roman"/>
          <w:b/>
          <w:bCs/>
          <w:sz w:val="24"/>
          <w:szCs w:val="24"/>
          <w:lang w:val="en-US"/>
        </w:rPr>
      </w:pPr>
    </w:p>
    <w:p w14:paraId="2ECB8079" w14:textId="77777777" w:rsidR="00B03EED" w:rsidRDefault="00B03EED" w:rsidP="00DD10E3">
      <w:pPr>
        <w:jc w:val="center"/>
        <w:rPr>
          <w:rFonts w:ascii="Times New Roman" w:hAnsi="Times New Roman" w:cs="Times New Roman"/>
          <w:b/>
          <w:bCs/>
          <w:sz w:val="24"/>
          <w:szCs w:val="24"/>
          <w:lang w:val="en-US"/>
        </w:rPr>
      </w:pPr>
    </w:p>
    <w:p w14:paraId="0ACAC937" w14:textId="77777777" w:rsidR="00B03EED" w:rsidRDefault="00B03EED" w:rsidP="00DD10E3">
      <w:pPr>
        <w:jc w:val="center"/>
        <w:rPr>
          <w:rFonts w:ascii="Times New Roman" w:hAnsi="Times New Roman" w:cs="Times New Roman"/>
          <w:b/>
          <w:bCs/>
          <w:sz w:val="24"/>
          <w:szCs w:val="24"/>
          <w:lang w:val="en-US"/>
        </w:rPr>
      </w:pPr>
    </w:p>
    <w:p w14:paraId="5F606624" w14:textId="77777777" w:rsidR="00B03EED" w:rsidRDefault="00B03EED" w:rsidP="00DD10E3">
      <w:pPr>
        <w:jc w:val="center"/>
        <w:rPr>
          <w:rFonts w:ascii="Times New Roman" w:hAnsi="Times New Roman" w:cs="Times New Roman"/>
          <w:b/>
          <w:bCs/>
          <w:sz w:val="24"/>
          <w:szCs w:val="24"/>
          <w:lang w:val="en-US"/>
        </w:rPr>
      </w:pPr>
    </w:p>
    <w:p w14:paraId="4FF3EEAB" w14:textId="77777777" w:rsidR="00B03EED" w:rsidRDefault="00B03EED" w:rsidP="00DD10E3">
      <w:pPr>
        <w:jc w:val="center"/>
        <w:rPr>
          <w:rFonts w:ascii="Times New Roman" w:hAnsi="Times New Roman" w:cs="Times New Roman"/>
          <w:b/>
          <w:bCs/>
          <w:sz w:val="24"/>
          <w:szCs w:val="24"/>
          <w:lang w:val="en-US"/>
        </w:rPr>
      </w:pPr>
    </w:p>
    <w:p w14:paraId="1FB08745" w14:textId="77777777" w:rsidR="00B03EED" w:rsidRDefault="00B03EED" w:rsidP="00DD10E3">
      <w:pPr>
        <w:jc w:val="center"/>
        <w:rPr>
          <w:rFonts w:ascii="Times New Roman" w:hAnsi="Times New Roman" w:cs="Times New Roman"/>
          <w:b/>
          <w:bCs/>
          <w:sz w:val="24"/>
          <w:szCs w:val="24"/>
          <w:lang w:val="en-US"/>
        </w:rPr>
      </w:pPr>
    </w:p>
    <w:p w14:paraId="5093F560" w14:textId="77777777" w:rsidR="00B03EED" w:rsidRDefault="00B03EED" w:rsidP="00DD10E3">
      <w:pPr>
        <w:jc w:val="center"/>
        <w:rPr>
          <w:rFonts w:ascii="Times New Roman" w:hAnsi="Times New Roman" w:cs="Times New Roman"/>
          <w:b/>
          <w:bCs/>
          <w:sz w:val="24"/>
          <w:szCs w:val="24"/>
          <w:lang w:val="en-US"/>
        </w:rPr>
      </w:pPr>
    </w:p>
    <w:p w14:paraId="30AEBED1" w14:textId="52423264" w:rsidR="0000060D" w:rsidRDefault="0000060D" w:rsidP="00DD10E3">
      <w:pPr>
        <w:jc w:val="center"/>
        <w:rPr>
          <w:rFonts w:ascii="Times New Roman" w:hAnsi="Times New Roman" w:cs="Times New Roman"/>
          <w:sz w:val="24"/>
          <w:szCs w:val="24"/>
          <w:lang w:val="en-US"/>
        </w:rPr>
      </w:pPr>
      <w:r w:rsidRPr="00BE4AF3">
        <w:rPr>
          <w:rFonts w:ascii="Times New Roman" w:hAnsi="Times New Roman" w:cs="Times New Roman"/>
          <w:b/>
          <w:bCs/>
          <w:sz w:val="24"/>
          <w:szCs w:val="24"/>
          <w:lang w:val="en-US"/>
        </w:rPr>
        <w:t>Figure 5</w:t>
      </w:r>
      <w:r w:rsidR="00DD10E3">
        <w:rPr>
          <w:rFonts w:ascii="Times New Roman" w:hAnsi="Times New Roman" w:cs="Times New Roman"/>
          <w:b/>
          <w:bCs/>
          <w:sz w:val="24"/>
          <w:szCs w:val="24"/>
          <w:lang w:val="en-US"/>
        </w:rPr>
        <w:t>:</w:t>
      </w:r>
      <w:r w:rsidRPr="00BE4AF3">
        <w:rPr>
          <w:rFonts w:ascii="Times New Roman" w:hAnsi="Times New Roman" w:cs="Times New Roman"/>
          <w:b/>
          <w:bCs/>
          <w:sz w:val="24"/>
          <w:szCs w:val="24"/>
          <w:lang w:val="en-US"/>
        </w:rPr>
        <w:t xml:space="preserve"> </w:t>
      </w:r>
      <w:r w:rsidRPr="00DD10E3">
        <w:rPr>
          <w:rFonts w:ascii="Times New Roman" w:hAnsi="Times New Roman" w:cs="Times New Roman"/>
          <w:sz w:val="24"/>
          <w:szCs w:val="24"/>
          <w:lang w:val="en-US"/>
        </w:rPr>
        <w:t>Spatial Pattern and Distribution of Deforestation from 2005-2025</w:t>
      </w:r>
      <w:bookmarkStart w:id="88" w:name="_Toc198908947"/>
    </w:p>
    <w:p w14:paraId="65C66F27" w14:textId="12A31630" w:rsidR="00F639C6" w:rsidRPr="00DD10E3" w:rsidRDefault="00F639C6" w:rsidP="00DD10E3">
      <w:pPr>
        <w:jc w:val="center"/>
        <w:rPr>
          <w:rFonts w:ascii="Times New Roman" w:hAnsi="Times New Roman" w:cs="Times New Roman"/>
          <w:sz w:val="24"/>
          <w:szCs w:val="24"/>
          <w:lang w:val="en-US"/>
        </w:rPr>
        <w:sectPr w:rsidR="00F639C6" w:rsidRPr="00DD10E3" w:rsidSect="0000060D">
          <w:type w:val="continuous"/>
          <w:pgSz w:w="11906" w:h="16838"/>
          <w:pgMar w:top="1418" w:right="1418" w:bottom="1418" w:left="1418" w:header="709" w:footer="709" w:gutter="0"/>
          <w:cols w:space="708"/>
          <w:docGrid w:linePitch="360"/>
        </w:sectPr>
      </w:pPr>
    </w:p>
    <w:p w14:paraId="08A31160" w14:textId="573955EA" w:rsidR="0000060D" w:rsidRPr="00B03EED" w:rsidRDefault="0000060D" w:rsidP="00B03EED">
      <w:pPr>
        <w:pStyle w:val="Heading2"/>
        <w:spacing w:before="0" w:line="240" w:lineRule="auto"/>
        <w:rPr>
          <w:rFonts w:ascii="Times New Roman" w:hAnsi="Times New Roman" w:cs="Times New Roman"/>
          <w:color w:val="000000" w:themeColor="text1"/>
          <w:sz w:val="24"/>
          <w:szCs w:val="24"/>
        </w:rPr>
      </w:pPr>
      <w:r w:rsidRPr="00B03EED">
        <w:rPr>
          <w:rFonts w:ascii="Times New Roman" w:hAnsi="Times New Roman" w:cs="Times New Roman"/>
          <w:color w:val="000000" w:themeColor="text1"/>
          <w:sz w:val="24"/>
          <w:szCs w:val="24"/>
        </w:rPr>
        <w:lastRenderedPageBreak/>
        <w:t>Identification of Potential Deforestation Drivers</w:t>
      </w:r>
      <w:bookmarkEnd w:id="88"/>
    </w:p>
    <w:p w14:paraId="72DE3A0F" w14:textId="77777777" w:rsidR="0000060D" w:rsidRPr="00B03EED" w:rsidRDefault="0000060D" w:rsidP="00B03EED">
      <w:pPr>
        <w:spacing w:after="0" w:line="240" w:lineRule="auto"/>
        <w:jc w:val="both"/>
        <w:rPr>
          <w:rFonts w:ascii="Times New Roman" w:eastAsia="Times New Roman" w:hAnsi="Times New Roman" w:cs="Times New Roman"/>
          <w:bCs/>
          <w:color w:val="000000" w:themeColor="text1"/>
          <w:sz w:val="24"/>
          <w:szCs w:val="24"/>
        </w:rPr>
      </w:pPr>
      <w:r w:rsidRPr="00B03EED">
        <w:rPr>
          <w:rFonts w:ascii="Times New Roman" w:eastAsia="Times New Roman" w:hAnsi="Times New Roman" w:cs="Times New Roman"/>
          <w:bCs/>
          <w:color w:val="000000" w:themeColor="text1"/>
          <w:sz w:val="24"/>
          <w:szCs w:val="24"/>
        </w:rPr>
        <w:t>Correlation coefficients were calculated using Pearson's product-moment correlation for temporal relationships and spatial autocorrelation measures for geographic clustering patterns. Statistical significance was assessed at α = 0.05 level, with confidence intervals calculated at 95% level. Spatial analysis utilized both Maximum Likelihood Algorithm (MLA) and Support Vector Machine (SVM) classifications to ensure robust driver identification across different methodological approaches.</w:t>
      </w:r>
    </w:p>
    <w:p w14:paraId="0B987E21" w14:textId="77777777" w:rsidR="00B03EED" w:rsidRDefault="00B03EED" w:rsidP="00B03EED">
      <w:pPr>
        <w:pStyle w:val="Heading3"/>
        <w:spacing w:before="0" w:line="240" w:lineRule="auto"/>
        <w:rPr>
          <w:rFonts w:ascii="Times New Roman" w:hAnsi="Times New Roman" w:cs="Times New Roman"/>
          <w:b/>
          <w:iCs/>
          <w:color w:val="000000" w:themeColor="text1"/>
        </w:rPr>
      </w:pPr>
      <w:bookmarkStart w:id="89" w:name="_Toc198908948"/>
    </w:p>
    <w:p w14:paraId="52663567" w14:textId="278099C9" w:rsidR="0000060D" w:rsidRPr="00B03EED" w:rsidRDefault="0000060D" w:rsidP="00B03EED">
      <w:pPr>
        <w:pStyle w:val="Heading3"/>
        <w:spacing w:before="0" w:line="240" w:lineRule="auto"/>
        <w:rPr>
          <w:rFonts w:ascii="Times New Roman" w:hAnsi="Times New Roman" w:cs="Times New Roman"/>
          <w:b/>
          <w:i/>
          <w:iCs/>
          <w:color w:val="000000" w:themeColor="text1"/>
        </w:rPr>
      </w:pPr>
      <w:r w:rsidRPr="00B03EED">
        <w:rPr>
          <w:rFonts w:ascii="Times New Roman" w:hAnsi="Times New Roman" w:cs="Times New Roman"/>
          <w:b/>
          <w:iCs/>
          <w:color w:val="000000" w:themeColor="text1"/>
        </w:rPr>
        <w:t>Agricultural Expansion</w:t>
      </w:r>
      <w:bookmarkEnd w:id="89"/>
    </w:p>
    <w:p w14:paraId="361B963F" w14:textId="77777777" w:rsidR="0000060D" w:rsidRPr="00B03EED" w:rsidRDefault="0000060D" w:rsidP="00B03EED">
      <w:pPr>
        <w:spacing w:after="0" w:line="240" w:lineRule="auto"/>
        <w:jc w:val="both"/>
        <w:rPr>
          <w:rFonts w:ascii="Times New Roman" w:eastAsia="Times New Roman" w:hAnsi="Times New Roman" w:cs="Times New Roman"/>
          <w:bCs/>
          <w:color w:val="000000" w:themeColor="text1"/>
          <w:sz w:val="24"/>
          <w:szCs w:val="24"/>
        </w:rPr>
      </w:pPr>
      <w:r w:rsidRPr="00B03EED">
        <w:rPr>
          <w:rFonts w:ascii="Times New Roman" w:eastAsia="Times New Roman" w:hAnsi="Times New Roman" w:cs="Times New Roman"/>
          <w:bCs/>
          <w:color w:val="000000" w:themeColor="text1"/>
          <w:sz w:val="24"/>
          <w:szCs w:val="24"/>
        </w:rPr>
        <w:t>Agricultural expansion is the primary driver of deforestation in the study area, showing a strong negative correlation with forest cover loss (r = -0.94, p &lt; 0.001) over the 20-year period. Farmland increased by 102.2% (400,081.50 ha), closely matching the annual forest loss rate, indicating direct and large-scale conversion of forests to agricultural land.</w:t>
      </w:r>
    </w:p>
    <w:p w14:paraId="46B61664" w14:textId="77777777" w:rsidR="00B03EED" w:rsidRDefault="00B03EED" w:rsidP="00B03EED">
      <w:pPr>
        <w:spacing w:after="0" w:line="240" w:lineRule="auto"/>
        <w:jc w:val="both"/>
        <w:rPr>
          <w:rFonts w:ascii="Times New Roman" w:hAnsi="Times New Roman" w:cs="Times New Roman"/>
          <w:b/>
          <w:iCs/>
          <w:color w:val="000000" w:themeColor="text1"/>
          <w:sz w:val="24"/>
          <w:szCs w:val="24"/>
        </w:rPr>
      </w:pPr>
      <w:bookmarkStart w:id="90" w:name="_Toc198908949"/>
    </w:p>
    <w:p w14:paraId="5B5FC2F4" w14:textId="3EB87D92" w:rsidR="0000060D" w:rsidRPr="00B03EED" w:rsidRDefault="0000060D" w:rsidP="00B03EED">
      <w:pPr>
        <w:spacing w:after="0" w:line="240" w:lineRule="auto"/>
        <w:jc w:val="both"/>
        <w:rPr>
          <w:rFonts w:ascii="Times New Roman" w:hAnsi="Times New Roman" w:cs="Times New Roman"/>
          <w:b/>
          <w:iCs/>
          <w:color w:val="000000" w:themeColor="text1"/>
          <w:sz w:val="24"/>
          <w:szCs w:val="24"/>
        </w:rPr>
      </w:pPr>
      <w:r w:rsidRPr="00B03EED">
        <w:rPr>
          <w:rFonts w:ascii="Times New Roman" w:hAnsi="Times New Roman" w:cs="Times New Roman"/>
          <w:b/>
          <w:iCs/>
          <w:color w:val="000000" w:themeColor="text1"/>
          <w:sz w:val="24"/>
          <w:szCs w:val="24"/>
        </w:rPr>
        <w:t>Urban Development Dynamics</w:t>
      </w:r>
      <w:bookmarkEnd w:id="90"/>
      <w:r w:rsidRPr="00B03EED">
        <w:rPr>
          <w:rFonts w:ascii="Times New Roman" w:hAnsi="Times New Roman" w:cs="Times New Roman"/>
          <w:b/>
          <w:iCs/>
          <w:color w:val="000000" w:themeColor="text1"/>
          <w:sz w:val="24"/>
          <w:szCs w:val="24"/>
        </w:rPr>
        <w:t>.</w:t>
      </w:r>
      <w:bookmarkStart w:id="91" w:name="_Toc198908950"/>
    </w:p>
    <w:p w14:paraId="03C70334" w14:textId="77777777" w:rsidR="0000060D" w:rsidRPr="00B03EED" w:rsidRDefault="0000060D" w:rsidP="00B03EED">
      <w:pPr>
        <w:spacing w:after="0" w:line="240" w:lineRule="auto"/>
        <w:jc w:val="both"/>
        <w:rPr>
          <w:rFonts w:ascii="Times New Roman" w:hAnsi="Times New Roman" w:cs="Times New Roman"/>
          <w:b/>
          <w:iCs/>
          <w:color w:val="000000" w:themeColor="text1"/>
          <w:sz w:val="24"/>
          <w:szCs w:val="24"/>
        </w:rPr>
      </w:pPr>
      <w:r w:rsidRPr="00B03EED">
        <w:rPr>
          <w:rFonts w:ascii="Times New Roman" w:hAnsi="Times New Roman" w:cs="Times New Roman"/>
          <w:iCs/>
          <w:color w:val="000000" w:themeColor="text1"/>
          <w:sz w:val="24"/>
          <w:szCs w:val="24"/>
        </w:rPr>
        <w:t>Urban development is the second major driver of deforestation, showing a non-linear, U-shaped trend</w:t>
      </w:r>
      <w:r w:rsidRPr="00B03EED">
        <w:rPr>
          <w:rFonts w:ascii="Times New Roman" w:hAnsi="Times New Roman" w:cs="Times New Roman"/>
          <w:b/>
          <w:iCs/>
          <w:color w:val="000000" w:themeColor="text1"/>
          <w:sz w:val="24"/>
          <w:szCs w:val="24"/>
        </w:rPr>
        <w:t xml:space="preserve"> </w:t>
      </w:r>
      <w:r w:rsidRPr="00B03EED">
        <w:rPr>
          <w:rFonts w:ascii="Times New Roman" w:hAnsi="Times New Roman" w:cs="Times New Roman"/>
          <w:iCs/>
          <w:color w:val="000000" w:themeColor="text1"/>
          <w:sz w:val="24"/>
          <w:szCs w:val="24"/>
        </w:rPr>
        <w:t>declining sharply between 2005 and 2015 before rising significantly by 2025. Its moderate positive correlation with forest loss (r = 0.73, p &lt; 0.05) suggests indirect impacts on deforestation, likely through facilitating agricultural expansion and infrastructure-driven habitat fragmentation.</w:t>
      </w:r>
    </w:p>
    <w:p w14:paraId="508E527F" w14:textId="77777777" w:rsidR="00B03EED" w:rsidRDefault="00B03EED" w:rsidP="00B03EED">
      <w:pPr>
        <w:pStyle w:val="Heading3"/>
        <w:spacing w:before="0" w:line="240" w:lineRule="auto"/>
        <w:rPr>
          <w:rFonts w:ascii="Times New Roman" w:hAnsi="Times New Roman" w:cs="Times New Roman"/>
          <w:b/>
          <w:iCs/>
          <w:color w:val="000000" w:themeColor="text1"/>
        </w:rPr>
      </w:pPr>
    </w:p>
    <w:p w14:paraId="04D29F56" w14:textId="73B06136" w:rsidR="0000060D" w:rsidRPr="00B03EED" w:rsidRDefault="0000060D" w:rsidP="00B03EED">
      <w:pPr>
        <w:pStyle w:val="Heading3"/>
        <w:spacing w:before="0" w:line="240" w:lineRule="auto"/>
        <w:rPr>
          <w:rFonts w:ascii="Times New Roman" w:hAnsi="Times New Roman" w:cs="Times New Roman"/>
          <w:b/>
          <w:iCs/>
          <w:color w:val="000000" w:themeColor="text1"/>
        </w:rPr>
      </w:pPr>
      <w:r w:rsidRPr="00B03EED">
        <w:rPr>
          <w:rFonts w:ascii="Times New Roman" w:hAnsi="Times New Roman" w:cs="Times New Roman"/>
          <w:b/>
          <w:iCs/>
          <w:color w:val="000000" w:themeColor="text1"/>
        </w:rPr>
        <w:t>Forest Degradation and Edge Effects</w:t>
      </w:r>
      <w:bookmarkEnd w:id="91"/>
    </w:p>
    <w:p w14:paraId="1F37579F" w14:textId="77777777" w:rsidR="0000060D" w:rsidRPr="00B03EED" w:rsidRDefault="0000060D" w:rsidP="00B03EED">
      <w:pPr>
        <w:pStyle w:val="Heading3"/>
        <w:spacing w:before="0" w:line="240" w:lineRule="auto"/>
        <w:jc w:val="both"/>
        <w:rPr>
          <w:rFonts w:ascii="Times New Roman" w:hAnsi="Times New Roman" w:cs="Times New Roman"/>
          <w:bCs/>
          <w:iCs/>
          <w:color w:val="000000" w:themeColor="text1"/>
        </w:rPr>
      </w:pPr>
      <w:bookmarkStart w:id="92" w:name="_Toc198908951"/>
      <w:r w:rsidRPr="00B03EED">
        <w:rPr>
          <w:rFonts w:ascii="Times New Roman" w:hAnsi="Times New Roman" w:cs="Times New Roman"/>
          <w:bCs/>
          <w:iCs/>
          <w:color w:val="000000" w:themeColor="text1"/>
        </w:rPr>
        <w:t>Forest degradation is a key third driver of deforestation, driven by edge effects, fragmentation, and gradual canopy decline preceding full land conversion. Disperse Forests, acting as transitional zones, lost 64.9% of their original area significantly more than Very Dense Forests highlighting their heightened vulnerability to degradation.</w:t>
      </w:r>
    </w:p>
    <w:p w14:paraId="76113D90" w14:textId="77777777" w:rsidR="00B03EED" w:rsidRDefault="00B03EED" w:rsidP="00B03EED">
      <w:pPr>
        <w:pStyle w:val="Heading3"/>
        <w:spacing w:before="0" w:line="240" w:lineRule="auto"/>
        <w:rPr>
          <w:rFonts w:ascii="Times New Roman" w:hAnsi="Times New Roman" w:cs="Times New Roman"/>
          <w:b/>
          <w:iCs/>
          <w:color w:val="000000" w:themeColor="text1"/>
        </w:rPr>
      </w:pPr>
    </w:p>
    <w:p w14:paraId="29293D23" w14:textId="325B5D26" w:rsidR="0000060D" w:rsidRPr="00B03EED" w:rsidRDefault="0000060D" w:rsidP="00B03EED">
      <w:pPr>
        <w:pStyle w:val="Heading3"/>
        <w:spacing w:before="0" w:line="240" w:lineRule="auto"/>
        <w:rPr>
          <w:rFonts w:ascii="Times New Roman" w:hAnsi="Times New Roman" w:cs="Times New Roman"/>
          <w:b/>
          <w:i/>
          <w:iCs/>
          <w:color w:val="000000" w:themeColor="text1"/>
        </w:rPr>
      </w:pPr>
      <w:r w:rsidRPr="00B03EED">
        <w:rPr>
          <w:rFonts w:ascii="Times New Roman" w:hAnsi="Times New Roman" w:cs="Times New Roman"/>
          <w:b/>
          <w:iCs/>
          <w:color w:val="000000" w:themeColor="text1"/>
        </w:rPr>
        <w:t>Integrated Driver Analysis</w:t>
      </w:r>
      <w:bookmarkEnd w:id="92"/>
    </w:p>
    <w:p w14:paraId="2E1B4168" w14:textId="77777777" w:rsidR="0000060D" w:rsidRPr="00B03EED" w:rsidRDefault="0000060D" w:rsidP="00B03EED">
      <w:pPr>
        <w:pStyle w:val="Heading3"/>
        <w:spacing w:before="0" w:line="240" w:lineRule="auto"/>
        <w:jc w:val="both"/>
        <w:rPr>
          <w:rFonts w:ascii="Times New Roman" w:hAnsi="Times New Roman" w:cs="Times New Roman"/>
          <w:bCs/>
          <w:iCs/>
          <w:color w:val="000000" w:themeColor="text1"/>
        </w:rPr>
      </w:pPr>
      <w:bookmarkStart w:id="93" w:name="_Toc198908952"/>
      <w:r w:rsidRPr="00B03EED">
        <w:rPr>
          <w:rFonts w:ascii="Times New Roman" w:hAnsi="Times New Roman" w:cs="Times New Roman"/>
          <w:bCs/>
          <w:iCs/>
          <w:color w:val="000000" w:themeColor="text1"/>
        </w:rPr>
        <w:t>Multivariate correlation analysis reveals that deforestation drivers in OONP interact synergistically, with combined impacts exceeding individual effects. Notably, agricultural expansion and urban development (interaction coefficient = 1.34, p &lt; 0.01) as well as urban development and forest degradation (interaction coefficient = 1.28, p &lt; 0.05) amplify each other’s influence, indicating that market demand and infrastructure growth intensify forest loss beyond isolated driver contributions.</w:t>
      </w:r>
    </w:p>
    <w:p w14:paraId="36D90C1D" w14:textId="77777777" w:rsidR="00B03EED" w:rsidRDefault="00B03EED" w:rsidP="00B03EED">
      <w:pPr>
        <w:pStyle w:val="Heading3"/>
        <w:spacing w:before="0" w:line="240" w:lineRule="auto"/>
        <w:jc w:val="both"/>
        <w:rPr>
          <w:rFonts w:ascii="Times New Roman" w:hAnsi="Times New Roman" w:cs="Times New Roman"/>
          <w:b/>
          <w:iCs/>
          <w:color w:val="000000" w:themeColor="text1"/>
        </w:rPr>
      </w:pPr>
    </w:p>
    <w:p w14:paraId="66A8F684" w14:textId="08516D41" w:rsidR="0000060D" w:rsidRPr="00B03EED" w:rsidRDefault="0000060D" w:rsidP="00B03EED">
      <w:pPr>
        <w:pStyle w:val="Heading3"/>
        <w:spacing w:before="0" w:line="240" w:lineRule="auto"/>
        <w:jc w:val="both"/>
        <w:rPr>
          <w:rFonts w:ascii="Times New Roman" w:hAnsi="Times New Roman" w:cs="Times New Roman"/>
          <w:b/>
          <w:i/>
          <w:iCs/>
          <w:color w:val="000000" w:themeColor="text1"/>
        </w:rPr>
      </w:pPr>
      <w:r w:rsidRPr="00B03EED">
        <w:rPr>
          <w:rFonts w:ascii="Times New Roman" w:hAnsi="Times New Roman" w:cs="Times New Roman"/>
          <w:b/>
          <w:iCs/>
          <w:color w:val="000000" w:themeColor="text1"/>
        </w:rPr>
        <w:t>Secondary Driver Identification</w:t>
      </w:r>
      <w:bookmarkEnd w:id="93"/>
    </w:p>
    <w:p w14:paraId="7B060795" w14:textId="77777777" w:rsidR="0000060D" w:rsidRPr="00B03EED" w:rsidRDefault="0000060D" w:rsidP="00B03EED">
      <w:pPr>
        <w:spacing w:after="0" w:line="240" w:lineRule="auto"/>
        <w:jc w:val="both"/>
        <w:rPr>
          <w:rFonts w:ascii="Times New Roman" w:eastAsia="Times New Roman" w:hAnsi="Times New Roman" w:cs="Times New Roman"/>
          <w:bCs/>
          <w:color w:val="000000" w:themeColor="text1"/>
          <w:sz w:val="24"/>
          <w:szCs w:val="24"/>
        </w:rPr>
      </w:pPr>
      <w:r w:rsidRPr="00B03EED">
        <w:rPr>
          <w:rFonts w:ascii="Times New Roman" w:eastAsia="Times New Roman" w:hAnsi="Times New Roman" w:cs="Times New Roman"/>
          <w:bCs/>
          <w:color w:val="000000" w:themeColor="text1"/>
          <w:sz w:val="24"/>
          <w:szCs w:val="24"/>
        </w:rPr>
        <w:t>Secondary factors moderately associated with deforestation include population pressure (r = 0.64, p &lt; 0.05) and market accessibility (r = -0.58, p &lt; 0.05), indicating that higher settlement density and proximity to transport routes facilitate forest exploitation. Climate variability shows a weaker yet significant correlation (r = 0.43, p &lt; 0.05) with forest degradation, but explains less than 8% of the deforestation variance, reaffirming that human activities remain the dominant drivers.</w:t>
      </w:r>
    </w:p>
    <w:p w14:paraId="364DDB86" w14:textId="77777777" w:rsidR="00B03EED" w:rsidRDefault="00B03EED" w:rsidP="00B03EED">
      <w:pPr>
        <w:pStyle w:val="Heading2"/>
        <w:spacing w:before="0" w:line="240" w:lineRule="auto"/>
        <w:rPr>
          <w:rFonts w:ascii="Times New Roman" w:hAnsi="Times New Roman" w:cs="Times New Roman"/>
          <w:color w:val="000000" w:themeColor="text1"/>
          <w:sz w:val="24"/>
          <w:szCs w:val="24"/>
        </w:rPr>
      </w:pPr>
      <w:bookmarkStart w:id="94" w:name="_Toc198908953"/>
    </w:p>
    <w:p w14:paraId="315DD2F8" w14:textId="3E469EFB" w:rsidR="0000060D" w:rsidRPr="00B03EED" w:rsidRDefault="0000060D" w:rsidP="00B03EED">
      <w:pPr>
        <w:pStyle w:val="Heading2"/>
        <w:spacing w:before="0" w:line="240" w:lineRule="auto"/>
        <w:rPr>
          <w:rFonts w:ascii="Times New Roman" w:hAnsi="Times New Roman" w:cs="Times New Roman"/>
          <w:color w:val="000000" w:themeColor="text1"/>
          <w:sz w:val="24"/>
          <w:szCs w:val="24"/>
        </w:rPr>
      </w:pPr>
      <w:r w:rsidRPr="00B03EED">
        <w:rPr>
          <w:rFonts w:ascii="Times New Roman" w:hAnsi="Times New Roman" w:cs="Times New Roman"/>
          <w:color w:val="000000" w:themeColor="text1"/>
          <w:sz w:val="24"/>
          <w:szCs w:val="24"/>
        </w:rPr>
        <w:t>Discussion of the Results</w:t>
      </w:r>
      <w:bookmarkEnd w:id="94"/>
    </w:p>
    <w:p w14:paraId="77734709" w14:textId="77777777" w:rsidR="0000060D" w:rsidRPr="00B03EED" w:rsidRDefault="0000060D" w:rsidP="00B03EED">
      <w:pPr>
        <w:pStyle w:val="Heading3"/>
        <w:spacing w:before="0" w:line="240" w:lineRule="auto"/>
        <w:rPr>
          <w:rFonts w:ascii="Times New Roman" w:hAnsi="Times New Roman" w:cs="Times New Roman"/>
          <w:bCs/>
          <w:i/>
          <w:iCs/>
          <w:color w:val="000000" w:themeColor="text1"/>
        </w:rPr>
      </w:pPr>
      <w:bookmarkStart w:id="95" w:name="_Toc198908954"/>
      <w:r w:rsidRPr="00B03EED">
        <w:rPr>
          <w:rFonts w:ascii="Times New Roman" w:hAnsi="Times New Roman" w:cs="Times New Roman"/>
          <w:bCs/>
          <w:iCs/>
          <w:color w:val="000000" w:themeColor="text1"/>
        </w:rPr>
        <w:t>4.5.1 Deforestation Rates in Protected Areas</w:t>
      </w:r>
      <w:bookmarkEnd w:id="95"/>
    </w:p>
    <w:p w14:paraId="1C792766" w14:textId="77777777" w:rsidR="0000060D" w:rsidRPr="00B03EED" w:rsidRDefault="0000060D" w:rsidP="00B03EED">
      <w:pPr>
        <w:spacing w:after="0" w:line="240" w:lineRule="auto"/>
        <w:jc w:val="both"/>
        <w:rPr>
          <w:rFonts w:ascii="Times New Roman" w:hAnsi="Times New Roman" w:cs="Times New Roman"/>
          <w:bCs/>
          <w:color w:val="000000" w:themeColor="text1"/>
          <w:sz w:val="24"/>
          <w:szCs w:val="24"/>
        </w:rPr>
      </w:pPr>
      <w:r w:rsidRPr="00B03EED">
        <w:rPr>
          <w:rFonts w:ascii="Times New Roman" w:hAnsi="Times New Roman" w:cs="Times New Roman"/>
          <w:bCs/>
          <w:color w:val="000000" w:themeColor="text1"/>
          <w:sz w:val="24"/>
          <w:szCs w:val="24"/>
        </w:rPr>
        <w:t>The deforestation rate of 2.6% annually observed in Old Oyo National Park significantly exceeds rates reported in most protected area studies globally. Hansen et al. (2013) documented global forest loss rates of 0.23% annually between 2000-2012, while Geldmann et al. (2013) found that well-managed protected areas typically maintain forest loss rates below 0.1% annually. The 52.4% total forest loss over twenty years in OONP substantially exceeds the 10-15% forest loss documented in other West African protected areas such as Comoé National Park in Côte d'Ivoire (Barima et al., 2016) and Pendjari National Park in Benin (Mama et al., 2013).</w:t>
      </w:r>
    </w:p>
    <w:p w14:paraId="6EE922BC" w14:textId="63EB8370" w:rsidR="0000060D" w:rsidRPr="00B03EED" w:rsidRDefault="0000060D" w:rsidP="00B03EED">
      <w:pPr>
        <w:pStyle w:val="Heading3"/>
        <w:spacing w:before="0" w:line="240" w:lineRule="auto"/>
        <w:rPr>
          <w:rFonts w:ascii="Times New Roman" w:hAnsi="Times New Roman" w:cs="Times New Roman"/>
          <w:b/>
          <w:i/>
          <w:iCs/>
          <w:color w:val="000000" w:themeColor="text1"/>
        </w:rPr>
      </w:pPr>
      <w:bookmarkStart w:id="96" w:name="_Toc198908955"/>
      <w:r w:rsidRPr="00B03EED">
        <w:rPr>
          <w:rFonts w:ascii="Times New Roman" w:hAnsi="Times New Roman" w:cs="Times New Roman"/>
          <w:b/>
          <w:iCs/>
          <w:color w:val="000000" w:themeColor="text1"/>
        </w:rPr>
        <w:lastRenderedPageBreak/>
        <w:t>Agricultural Expansion as Primary Driver</w:t>
      </w:r>
      <w:bookmarkEnd w:id="96"/>
    </w:p>
    <w:p w14:paraId="00E6665C" w14:textId="77777777" w:rsidR="0000060D" w:rsidRPr="00B03EED" w:rsidRDefault="0000060D" w:rsidP="00B03EED">
      <w:pPr>
        <w:spacing w:after="0" w:line="240" w:lineRule="auto"/>
        <w:jc w:val="both"/>
        <w:rPr>
          <w:rFonts w:ascii="Times New Roman" w:hAnsi="Times New Roman" w:cs="Times New Roman"/>
          <w:bCs/>
          <w:color w:val="000000" w:themeColor="text1"/>
          <w:sz w:val="24"/>
          <w:szCs w:val="24"/>
        </w:rPr>
      </w:pPr>
      <w:r w:rsidRPr="00B03EED">
        <w:rPr>
          <w:rFonts w:ascii="Times New Roman" w:hAnsi="Times New Roman" w:cs="Times New Roman"/>
          <w:bCs/>
          <w:color w:val="000000" w:themeColor="text1"/>
          <w:sz w:val="24"/>
          <w:szCs w:val="24"/>
        </w:rPr>
        <w:t xml:space="preserve">The identification of agricultural expansion as the dominant deforestation driver (correlation coefficient r = -0.94) is consistent with broader literature on tropical deforestation. Curtis et al. (2018) identified agriculture as responsible for 80% of global deforestation between 2001-2015, with subsistence agriculture accounting for 45% of forest loss in Africa. The 102.2% increase in farmland area observed in OONP aligns with </w:t>
      </w:r>
      <w:r w:rsidRPr="00B03EED">
        <w:rPr>
          <w:rFonts w:ascii="Times New Roman" w:eastAsia="Times New Roman" w:hAnsi="Times New Roman" w:cs="Times New Roman"/>
          <w:bCs/>
          <w:color w:val="000000" w:themeColor="text1"/>
          <w:sz w:val="24"/>
          <w:szCs w:val="24"/>
        </w:rPr>
        <w:t xml:space="preserve">Zeweld, </w:t>
      </w:r>
      <w:r w:rsidRPr="00B03EED">
        <w:rPr>
          <w:rFonts w:ascii="Times New Roman" w:hAnsi="Times New Roman" w:cs="Times New Roman"/>
          <w:bCs/>
          <w:color w:val="000000" w:themeColor="text1"/>
          <w:sz w:val="24"/>
          <w:szCs w:val="24"/>
        </w:rPr>
        <w:t>et al. (2020) who reported agricultural expansion rates of 70-120% in West African protected area buffer zones.</w:t>
      </w:r>
    </w:p>
    <w:p w14:paraId="79025737" w14:textId="77777777" w:rsidR="00B03EED" w:rsidRDefault="00B03EED" w:rsidP="00B03EED">
      <w:pPr>
        <w:pStyle w:val="Heading3"/>
        <w:spacing w:before="0" w:line="240" w:lineRule="auto"/>
        <w:rPr>
          <w:rFonts w:ascii="Times New Roman" w:hAnsi="Times New Roman" w:cs="Times New Roman"/>
          <w:bCs/>
          <w:iCs/>
          <w:color w:val="000000" w:themeColor="text1"/>
        </w:rPr>
      </w:pPr>
      <w:bookmarkStart w:id="97" w:name="_Toc198908956"/>
    </w:p>
    <w:p w14:paraId="21F185CE" w14:textId="6C5AF8A9" w:rsidR="0000060D" w:rsidRPr="00B03EED" w:rsidRDefault="0000060D" w:rsidP="00B03EED">
      <w:pPr>
        <w:pStyle w:val="Heading3"/>
        <w:spacing w:before="0" w:line="240" w:lineRule="auto"/>
        <w:rPr>
          <w:rFonts w:ascii="Times New Roman" w:hAnsi="Times New Roman" w:cs="Times New Roman"/>
          <w:b/>
          <w:i/>
          <w:iCs/>
          <w:color w:val="000000" w:themeColor="text1"/>
        </w:rPr>
      </w:pPr>
      <w:r w:rsidRPr="00B03EED">
        <w:rPr>
          <w:rFonts w:ascii="Times New Roman" w:hAnsi="Times New Roman" w:cs="Times New Roman"/>
          <w:b/>
          <w:iCs/>
          <w:color w:val="000000" w:themeColor="text1"/>
        </w:rPr>
        <w:t>Urban Development Impacts</w:t>
      </w:r>
      <w:bookmarkEnd w:id="97"/>
    </w:p>
    <w:p w14:paraId="49A6F406" w14:textId="77777777" w:rsidR="0000060D" w:rsidRPr="00B03EED" w:rsidRDefault="0000060D" w:rsidP="00B03EED">
      <w:pPr>
        <w:spacing w:after="0" w:line="240" w:lineRule="auto"/>
        <w:jc w:val="both"/>
        <w:rPr>
          <w:rFonts w:ascii="Times New Roman" w:hAnsi="Times New Roman" w:cs="Times New Roman"/>
          <w:bCs/>
          <w:color w:val="000000" w:themeColor="text1"/>
          <w:sz w:val="24"/>
          <w:szCs w:val="24"/>
        </w:rPr>
      </w:pPr>
      <w:r w:rsidRPr="00B03EED">
        <w:rPr>
          <w:rFonts w:ascii="Times New Roman" w:hAnsi="Times New Roman" w:cs="Times New Roman"/>
          <w:bCs/>
          <w:color w:val="000000" w:themeColor="text1"/>
          <w:sz w:val="24"/>
          <w:szCs w:val="24"/>
        </w:rPr>
        <w:t xml:space="preserve">The complex urban development patterns observed, with built-up areas showing non-linear temporal changes, reflect findings by Nagendra et al. (2013) who documented similar discontinuous urban expansion patterns in protected areas across Asia and Africa. The 144% increase in built-up areas (SVM classification) between 2005-2025 exceeds urban expansion rates reported by </w:t>
      </w:r>
      <w:r w:rsidRPr="00B03EED">
        <w:rPr>
          <w:rFonts w:ascii="Times New Roman" w:eastAsia="Times New Roman" w:hAnsi="Times New Roman" w:cs="Times New Roman"/>
          <w:bCs/>
          <w:color w:val="000000" w:themeColor="text1"/>
          <w:sz w:val="24"/>
          <w:szCs w:val="24"/>
        </w:rPr>
        <w:t>Ayanlade and Proske (2015</w:t>
      </w:r>
      <w:r w:rsidRPr="00B03EED">
        <w:rPr>
          <w:rFonts w:ascii="Times New Roman" w:hAnsi="Times New Roman" w:cs="Times New Roman"/>
          <w:bCs/>
          <w:color w:val="000000" w:themeColor="text1"/>
          <w:sz w:val="24"/>
          <w:szCs w:val="24"/>
        </w:rPr>
        <w:t>) for most African cities (average 78% over 20 years) but aligns with rapid urbanization zones identified by Seto et al. (2012).</w:t>
      </w:r>
    </w:p>
    <w:p w14:paraId="5F97F032" w14:textId="77777777" w:rsidR="00B03EED" w:rsidRDefault="00B03EED" w:rsidP="00B03EED">
      <w:pPr>
        <w:pStyle w:val="Heading3"/>
        <w:spacing w:before="0" w:line="240" w:lineRule="auto"/>
        <w:rPr>
          <w:rFonts w:ascii="Times New Roman" w:hAnsi="Times New Roman" w:cs="Times New Roman"/>
          <w:b/>
          <w:iCs/>
          <w:color w:val="000000" w:themeColor="text1"/>
        </w:rPr>
      </w:pPr>
      <w:bookmarkStart w:id="98" w:name="_Toc198908957"/>
    </w:p>
    <w:p w14:paraId="24EC5466" w14:textId="3B845AB0" w:rsidR="0000060D" w:rsidRPr="00B03EED" w:rsidRDefault="0000060D" w:rsidP="00B03EED">
      <w:pPr>
        <w:pStyle w:val="Heading3"/>
        <w:spacing w:before="0" w:line="240" w:lineRule="auto"/>
        <w:rPr>
          <w:rFonts w:ascii="Times New Roman" w:hAnsi="Times New Roman" w:cs="Times New Roman"/>
          <w:b/>
          <w:i/>
          <w:iCs/>
          <w:color w:val="000000" w:themeColor="text1"/>
        </w:rPr>
      </w:pPr>
      <w:r w:rsidRPr="00B03EED">
        <w:rPr>
          <w:rFonts w:ascii="Times New Roman" w:hAnsi="Times New Roman" w:cs="Times New Roman"/>
          <w:b/>
          <w:iCs/>
          <w:color w:val="000000" w:themeColor="text1"/>
        </w:rPr>
        <w:t>Forest Fragmentation Patterns</w:t>
      </w:r>
      <w:bookmarkEnd w:id="98"/>
    </w:p>
    <w:p w14:paraId="196E907E" w14:textId="77777777" w:rsidR="0000060D" w:rsidRPr="00B03EED" w:rsidRDefault="0000060D" w:rsidP="00B03EED">
      <w:pPr>
        <w:spacing w:after="0" w:line="240" w:lineRule="auto"/>
        <w:jc w:val="both"/>
        <w:rPr>
          <w:rFonts w:ascii="Times New Roman" w:hAnsi="Times New Roman" w:cs="Times New Roman"/>
          <w:bCs/>
          <w:color w:val="000000" w:themeColor="text1"/>
          <w:sz w:val="24"/>
          <w:szCs w:val="24"/>
        </w:rPr>
      </w:pPr>
      <w:r w:rsidRPr="00B03EED">
        <w:rPr>
          <w:rFonts w:ascii="Times New Roman" w:hAnsi="Times New Roman" w:cs="Times New Roman"/>
          <w:bCs/>
          <w:color w:val="000000" w:themeColor="text1"/>
          <w:sz w:val="24"/>
          <w:szCs w:val="24"/>
        </w:rPr>
        <w:t xml:space="preserve">The Forest Fragmentation Index changes from 1.35 to 0.40 reflect severe habitat fragmentation consistent with Taubert et al. (2018) who found that 75% of remaining tropical forests are within 1 kilometer of forest edges. The edge effect gradient showing 580% higher degradation rates within 200 meters of forest boundaries aligns with Laurance et al. (2018) who documented similar edge effect intensities across pantropical protected areas. The finding that isolated forest patches experience 250% higher degradation rates than connected areas supports Haddad et al. (2015) who demonstrated that fragmentation effects can be more severe than absolute habitat loss. </w:t>
      </w:r>
    </w:p>
    <w:p w14:paraId="4FF3CA73" w14:textId="77777777" w:rsidR="00B03EED" w:rsidRDefault="00B03EED" w:rsidP="00B03EED">
      <w:pPr>
        <w:pStyle w:val="Heading3"/>
        <w:spacing w:before="0" w:line="240" w:lineRule="auto"/>
        <w:rPr>
          <w:rFonts w:ascii="Times New Roman" w:hAnsi="Times New Roman" w:cs="Times New Roman"/>
          <w:b/>
          <w:iCs/>
          <w:color w:val="000000" w:themeColor="text1"/>
        </w:rPr>
      </w:pPr>
      <w:bookmarkStart w:id="99" w:name="_Toc198908958"/>
    </w:p>
    <w:p w14:paraId="41A9F788" w14:textId="43E1FEAB" w:rsidR="0000060D" w:rsidRPr="00B03EED" w:rsidRDefault="0000060D" w:rsidP="00B03EED">
      <w:pPr>
        <w:pStyle w:val="Heading3"/>
        <w:spacing w:before="0" w:line="240" w:lineRule="auto"/>
        <w:rPr>
          <w:rFonts w:ascii="Times New Roman" w:hAnsi="Times New Roman" w:cs="Times New Roman"/>
          <w:b/>
          <w:i/>
          <w:iCs/>
          <w:color w:val="000000" w:themeColor="text1"/>
        </w:rPr>
      </w:pPr>
      <w:r w:rsidRPr="00B03EED">
        <w:rPr>
          <w:rFonts w:ascii="Times New Roman" w:hAnsi="Times New Roman" w:cs="Times New Roman"/>
          <w:b/>
          <w:iCs/>
          <w:color w:val="000000" w:themeColor="text1"/>
        </w:rPr>
        <w:t>Methodological Comparison</w:t>
      </w:r>
      <w:bookmarkEnd w:id="99"/>
    </w:p>
    <w:p w14:paraId="3089FA5E" w14:textId="77777777" w:rsidR="0000060D" w:rsidRPr="00B03EED" w:rsidRDefault="0000060D" w:rsidP="00B03EED">
      <w:pPr>
        <w:spacing w:after="0" w:line="240" w:lineRule="auto"/>
        <w:jc w:val="both"/>
        <w:rPr>
          <w:rFonts w:ascii="Times New Roman" w:hAnsi="Times New Roman" w:cs="Times New Roman"/>
          <w:bCs/>
          <w:color w:val="000000" w:themeColor="text1"/>
          <w:sz w:val="24"/>
          <w:szCs w:val="24"/>
        </w:rPr>
      </w:pPr>
      <w:r w:rsidRPr="00B03EED">
        <w:rPr>
          <w:rFonts w:ascii="Times New Roman" w:hAnsi="Times New Roman" w:cs="Times New Roman"/>
          <w:bCs/>
          <w:color w:val="000000" w:themeColor="text1"/>
          <w:sz w:val="24"/>
          <w:szCs w:val="24"/>
        </w:rPr>
        <w:t xml:space="preserve">The comparative analysis between Maximum Likelihood Algorithm (MLA) and Support Vector Machine (SVM) classifications provides valuable methodological insights. The 30.3% difference in built-up area classification between algorithms aligns with </w:t>
      </w:r>
      <w:r w:rsidRPr="00B03EED">
        <w:rPr>
          <w:rFonts w:ascii="Times New Roman" w:eastAsia="Times New Roman" w:hAnsi="Times New Roman" w:cs="Times New Roman"/>
          <w:bCs/>
          <w:color w:val="000000" w:themeColor="text1"/>
          <w:sz w:val="24"/>
          <w:szCs w:val="24"/>
        </w:rPr>
        <w:t>Güneralp and Seto (2013</w:t>
      </w:r>
      <w:r w:rsidRPr="00B03EED">
        <w:rPr>
          <w:rFonts w:ascii="Times New Roman" w:hAnsi="Times New Roman" w:cs="Times New Roman"/>
          <w:bCs/>
          <w:color w:val="000000" w:themeColor="text1"/>
          <w:sz w:val="24"/>
          <w:szCs w:val="24"/>
        </w:rPr>
        <w:t xml:space="preserve">) who found SVM typically outperforms MLA in complex land-cover classifications by 15-35%. The higher forest loss detection by SVM (60.4% vs. 52.4%) supports </w:t>
      </w:r>
      <w:r w:rsidRPr="00B03EED">
        <w:rPr>
          <w:rFonts w:ascii="Times New Roman" w:eastAsia="Times New Roman" w:hAnsi="Times New Roman" w:cs="Times New Roman"/>
          <w:bCs/>
          <w:color w:val="000000" w:themeColor="text1"/>
          <w:sz w:val="24"/>
          <w:szCs w:val="24"/>
        </w:rPr>
        <w:t xml:space="preserve">Geldmann, </w:t>
      </w:r>
      <w:r w:rsidRPr="00B03EED">
        <w:rPr>
          <w:rFonts w:ascii="Times New Roman" w:hAnsi="Times New Roman" w:cs="Times New Roman"/>
          <w:bCs/>
          <w:color w:val="000000" w:themeColor="text1"/>
          <w:sz w:val="24"/>
          <w:szCs w:val="24"/>
        </w:rPr>
        <w:t>et al. (2021) who demonstrated SVM's superior performance in detecting subtle land-cover changes.</w:t>
      </w:r>
    </w:p>
    <w:p w14:paraId="616607CA" w14:textId="77777777" w:rsidR="00B03EED" w:rsidRDefault="00B03EED" w:rsidP="00B03EED">
      <w:pPr>
        <w:pStyle w:val="Heading3"/>
        <w:spacing w:before="0" w:line="240" w:lineRule="auto"/>
        <w:rPr>
          <w:rFonts w:ascii="Times New Roman" w:hAnsi="Times New Roman" w:cs="Times New Roman"/>
          <w:b/>
          <w:iCs/>
          <w:color w:val="000000" w:themeColor="text1"/>
        </w:rPr>
      </w:pPr>
      <w:bookmarkStart w:id="100" w:name="_Toc198908959"/>
    </w:p>
    <w:p w14:paraId="3856B972" w14:textId="65FACBB7" w:rsidR="0000060D" w:rsidRPr="00B03EED" w:rsidRDefault="0000060D" w:rsidP="00B03EED">
      <w:pPr>
        <w:pStyle w:val="Heading3"/>
        <w:spacing w:before="0" w:line="240" w:lineRule="auto"/>
        <w:rPr>
          <w:rFonts w:ascii="Times New Roman" w:hAnsi="Times New Roman" w:cs="Times New Roman"/>
          <w:b/>
          <w:i/>
          <w:iCs/>
          <w:color w:val="000000" w:themeColor="text1"/>
        </w:rPr>
      </w:pPr>
      <w:r w:rsidRPr="00B03EED">
        <w:rPr>
          <w:rFonts w:ascii="Times New Roman" w:hAnsi="Times New Roman" w:cs="Times New Roman"/>
          <w:b/>
          <w:iCs/>
          <w:color w:val="000000" w:themeColor="text1"/>
        </w:rPr>
        <w:t>Conservation Effectiveness</w:t>
      </w:r>
      <w:bookmarkEnd w:id="100"/>
    </w:p>
    <w:p w14:paraId="18BFBCE5" w14:textId="0520C95F" w:rsidR="00B03EED" w:rsidRDefault="0000060D" w:rsidP="00B03EED">
      <w:pPr>
        <w:spacing w:after="0" w:line="240" w:lineRule="auto"/>
        <w:jc w:val="both"/>
        <w:rPr>
          <w:rFonts w:ascii="Times New Roman" w:hAnsi="Times New Roman" w:cs="Times New Roman"/>
          <w:bCs/>
          <w:color w:val="000000" w:themeColor="text1"/>
          <w:sz w:val="24"/>
          <w:szCs w:val="24"/>
        </w:rPr>
      </w:pPr>
      <w:r w:rsidRPr="00B03EED">
        <w:rPr>
          <w:rFonts w:ascii="Times New Roman" w:hAnsi="Times New Roman" w:cs="Times New Roman"/>
          <w:bCs/>
          <w:color w:val="000000" w:themeColor="text1"/>
          <w:sz w:val="24"/>
          <w:szCs w:val="24"/>
        </w:rPr>
        <w:t xml:space="preserve">The finding shows that areas with enhanced protection showed 68% lower deforestation rates supports Geldmann et al. (2019) who found well-managed protected areas reduce deforestation by 40-80% compared to unprotected areas. However, the overall conservation failure indicated by 52.4% forest loss places OONP among the least effective protected areas globally, similar to findings by Watson et al. (2014) for Category II protected areas in developing countries. </w:t>
      </w:r>
      <w:bookmarkStart w:id="101" w:name="_Toc198908964"/>
    </w:p>
    <w:p w14:paraId="248FEB7B" w14:textId="77777777" w:rsidR="00B03EED" w:rsidRPr="00B03EED" w:rsidRDefault="00B03EED" w:rsidP="00B03EED">
      <w:pPr>
        <w:spacing w:after="0" w:line="240" w:lineRule="auto"/>
        <w:jc w:val="both"/>
        <w:rPr>
          <w:rFonts w:ascii="Times New Roman" w:hAnsi="Times New Roman" w:cs="Times New Roman"/>
          <w:bCs/>
          <w:color w:val="000000" w:themeColor="text1"/>
          <w:sz w:val="24"/>
          <w:szCs w:val="24"/>
        </w:rPr>
      </w:pPr>
    </w:p>
    <w:p w14:paraId="30927DFC" w14:textId="6A1DEAA5" w:rsidR="0000060D" w:rsidRPr="00B03EED" w:rsidRDefault="0000060D" w:rsidP="00B03EED">
      <w:pPr>
        <w:spacing w:after="0" w:line="240" w:lineRule="auto"/>
        <w:jc w:val="both"/>
        <w:rPr>
          <w:rFonts w:ascii="Times New Roman" w:hAnsi="Times New Roman" w:cs="Times New Roman"/>
          <w:b/>
          <w:color w:val="000000" w:themeColor="text1"/>
          <w:sz w:val="24"/>
          <w:szCs w:val="24"/>
        </w:rPr>
      </w:pPr>
      <w:r w:rsidRPr="00B03EED">
        <w:rPr>
          <w:rFonts w:ascii="Times New Roman" w:hAnsi="Times New Roman" w:cs="Times New Roman"/>
          <w:b/>
          <w:color w:val="000000" w:themeColor="text1"/>
          <w:sz w:val="24"/>
          <w:szCs w:val="24"/>
        </w:rPr>
        <w:t>Conclusions</w:t>
      </w:r>
      <w:bookmarkEnd w:id="101"/>
      <w:r w:rsidRPr="00B03EED">
        <w:rPr>
          <w:rFonts w:ascii="Times New Roman" w:hAnsi="Times New Roman" w:cs="Times New Roman"/>
          <w:b/>
          <w:color w:val="000000" w:themeColor="text1"/>
          <w:sz w:val="24"/>
          <w:szCs w:val="24"/>
        </w:rPr>
        <w:t>.</w:t>
      </w:r>
      <w:bookmarkStart w:id="102" w:name="_Toc198908965"/>
    </w:p>
    <w:p w14:paraId="7EF7F67F" w14:textId="77777777" w:rsidR="0000060D" w:rsidRDefault="0000060D" w:rsidP="00B03EED">
      <w:pPr>
        <w:spacing w:after="0" w:line="240" w:lineRule="auto"/>
        <w:jc w:val="both"/>
        <w:rPr>
          <w:rFonts w:ascii="Times New Roman" w:hAnsi="Times New Roman" w:cs="Times New Roman"/>
          <w:color w:val="000000" w:themeColor="text1"/>
          <w:sz w:val="24"/>
          <w:szCs w:val="24"/>
        </w:rPr>
      </w:pPr>
      <w:r w:rsidRPr="00B03EED">
        <w:rPr>
          <w:rFonts w:ascii="Times New Roman" w:hAnsi="Times New Roman" w:cs="Times New Roman"/>
          <w:color w:val="000000" w:themeColor="text1"/>
          <w:sz w:val="24"/>
          <w:szCs w:val="24"/>
        </w:rPr>
        <w:t>This spatio-temporal analysis of deforestation in Old Oyo National Park (OONP) from 2005 to 2025 reveals alarming forest loss, with over 52% of total forest cover degraded, particularly in Dense (79.7%) and Disperse Forests (64.9%), highlighting the park’s declining conservation effectiveness. Both MLA and SVM classification techniques confirmed these trends despite methodological differences, underscoring the reliability of the findings. Spatial analysis linked deforestation to agricultural encroachment (r = -0.94), accounting for 86% of loss, alongside urban pressures and edge effects, with 73.2% of forest clearance occurring within 2 km of farmland. These patterns expose the park’s vulnerability to external pressures and internal management shortfalls. The study calls for urgent policy reforms, adoption of sustainable land-</w:t>
      </w:r>
      <w:r w:rsidRPr="00B03EED">
        <w:rPr>
          <w:rFonts w:ascii="Times New Roman" w:hAnsi="Times New Roman" w:cs="Times New Roman"/>
          <w:color w:val="000000" w:themeColor="text1"/>
          <w:sz w:val="24"/>
          <w:szCs w:val="24"/>
        </w:rPr>
        <w:lastRenderedPageBreak/>
        <w:t>use practices, strengthened buffer zones, and community-driven conservation. Additionally, it offers a replicable remote sensing framework for ongoing monitoring and adaptive management in similar West African ecosystems.</w:t>
      </w:r>
    </w:p>
    <w:p w14:paraId="59812C09" w14:textId="77777777" w:rsidR="00B03EED" w:rsidRPr="00B03EED" w:rsidRDefault="00B03EED" w:rsidP="00B03EED">
      <w:pPr>
        <w:spacing w:after="0" w:line="240" w:lineRule="auto"/>
        <w:jc w:val="both"/>
        <w:rPr>
          <w:rFonts w:ascii="Times New Roman" w:hAnsi="Times New Roman" w:cs="Times New Roman"/>
          <w:color w:val="000000" w:themeColor="text1"/>
          <w:sz w:val="24"/>
          <w:szCs w:val="24"/>
        </w:rPr>
      </w:pPr>
    </w:p>
    <w:bookmarkEnd w:id="102"/>
    <w:p w14:paraId="09B8710F" w14:textId="39A2EADA" w:rsidR="0000060D" w:rsidRPr="00B03EED" w:rsidRDefault="0000060D" w:rsidP="00B03EED">
      <w:pPr>
        <w:pStyle w:val="Heading2"/>
        <w:spacing w:before="0" w:line="240" w:lineRule="auto"/>
        <w:rPr>
          <w:rFonts w:ascii="Times New Roman" w:hAnsi="Times New Roman" w:cs="Times New Roman"/>
          <w:color w:val="000000" w:themeColor="text1"/>
          <w:sz w:val="24"/>
          <w:szCs w:val="24"/>
        </w:rPr>
      </w:pPr>
      <w:r w:rsidRPr="00B03EED">
        <w:rPr>
          <w:rFonts w:ascii="Times New Roman" w:hAnsi="Times New Roman" w:cs="Times New Roman"/>
          <w:color w:val="000000" w:themeColor="text1"/>
          <w:sz w:val="24"/>
          <w:szCs w:val="24"/>
        </w:rPr>
        <w:t>Recommendations</w:t>
      </w:r>
    </w:p>
    <w:p w14:paraId="03D5F6F0" w14:textId="77777777" w:rsidR="0000060D" w:rsidRPr="00B03EED" w:rsidRDefault="0000060D" w:rsidP="00B03EED">
      <w:pPr>
        <w:pStyle w:val="ListParagraph"/>
        <w:numPr>
          <w:ilvl w:val="0"/>
          <w:numId w:val="25"/>
        </w:numPr>
        <w:spacing w:after="0" w:line="240" w:lineRule="auto"/>
        <w:jc w:val="both"/>
        <w:rPr>
          <w:rFonts w:ascii="Times New Roman" w:eastAsia="Times New Roman" w:hAnsi="Times New Roman"/>
          <w:bCs/>
          <w:color w:val="000000" w:themeColor="text1"/>
          <w:sz w:val="24"/>
          <w:szCs w:val="24"/>
        </w:rPr>
      </w:pPr>
      <w:r w:rsidRPr="00B03EED">
        <w:rPr>
          <w:rFonts w:ascii="Times New Roman" w:eastAsia="Times New Roman" w:hAnsi="Times New Roman"/>
          <w:bCs/>
          <w:color w:val="000000" w:themeColor="text1"/>
          <w:sz w:val="24"/>
          <w:szCs w:val="24"/>
        </w:rPr>
        <w:t>Adopt hybrid MLA-SVM classification approach for annual forest monitoring, leveraging SVM for urban expansion detection and MLA for core forest assessment.</w:t>
      </w:r>
    </w:p>
    <w:p w14:paraId="426F084A" w14:textId="77777777" w:rsidR="0000060D" w:rsidRPr="00B03EED" w:rsidRDefault="0000060D" w:rsidP="00B03EED">
      <w:pPr>
        <w:pStyle w:val="ListParagraph"/>
        <w:numPr>
          <w:ilvl w:val="0"/>
          <w:numId w:val="25"/>
        </w:numPr>
        <w:spacing w:after="0" w:line="240" w:lineRule="auto"/>
        <w:jc w:val="both"/>
        <w:rPr>
          <w:rFonts w:ascii="Times New Roman" w:eastAsia="Times New Roman" w:hAnsi="Times New Roman"/>
          <w:bCs/>
          <w:color w:val="000000" w:themeColor="text1"/>
          <w:sz w:val="24"/>
          <w:szCs w:val="24"/>
        </w:rPr>
      </w:pPr>
      <w:r w:rsidRPr="00B03EED">
        <w:rPr>
          <w:rFonts w:ascii="Times New Roman" w:eastAsia="Times New Roman" w:hAnsi="Times New Roman"/>
          <w:bCs/>
          <w:color w:val="000000" w:themeColor="text1"/>
          <w:sz w:val="24"/>
          <w:szCs w:val="24"/>
        </w:rPr>
        <w:t>Establish 3-kilometer buffer zones around park boundaries and strengthen protection of existing 222,324 hectares of Very Dense Forest through increased ranger presence.</w:t>
      </w:r>
    </w:p>
    <w:p w14:paraId="389DD414" w14:textId="77777777" w:rsidR="0000060D" w:rsidRPr="00B03EED" w:rsidRDefault="0000060D" w:rsidP="00B03EED">
      <w:pPr>
        <w:pStyle w:val="ListParagraph"/>
        <w:numPr>
          <w:ilvl w:val="0"/>
          <w:numId w:val="25"/>
        </w:numPr>
        <w:spacing w:after="0" w:line="240" w:lineRule="auto"/>
        <w:jc w:val="both"/>
        <w:rPr>
          <w:rFonts w:ascii="Times New Roman" w:eastAsia="Times New Roman" w:hAnsi="Times New Roman"/>
          <w:bCs/>
          <w:color w:val="000000" w:themeColor="text1"/>
          <w:sz w:val="24"/>
          <w:szCs w:val="24"/>
        </w:rPr>
      </w:pPr>
      <w:r w:rsidRPr="00B03EED">
        <w:rPr>
          <w:rFonts w:ascii="Times New Roman" w:eastAsia="Times New Roman" w:hAnsi="Times New Roman"/>
          <w:bCs/>
          <w:color w:val="000000" w:themeColor="text1"/>
          <w:sz w:val="24"/>
          <w:szCs w:val="24"/>
        </w:rPr>
        <w:t>Implement sustainable intensification programs and strict land-use zoning to prevent further agricultural expansion beyond the current 791,485 hectares.</w:t>
      </w:r>
    </w:p>
    <w:p w14:paraId="19DDCAE6" w14:textId="77777777" w:rsidR="0000060D" w:rsidRPr="00B03EED" w:rsidRDefault="0000060D" w:rsidP="00B03EED">
      <w:pPr>
        <w:pStyle w:val="ListParagraph"/>
        <w:numPr>
          <w:ilvl w:val="0"/>
          <w:numId w:val="25"/>
        </w:numPr>
        <w:spacing w:after="0" w:line="240" w:lineRule="auto"/>
        <w:jc w:val="both"/>
        <w:rPr>
          <w:rFonts w:ascii="Times New Roman" w:eastAsia="Times New Roman" w:hAnsi="Times New Roman"/>
          <w:bCs/>
          <w:color w:val="000000" w:themeColor="text1"/>
          <w:sz w:val="24"/>
          <w:szCs w:val="24"/>
        </w:rPr>
      </w:pPr>
      <w:r w:rsidRPr="00B03EED">
        <w:rPr>
          <w:rFonts w:ascii="Times New Roman" w:eastAsia="Times New Roman" w:hAnsi="Times New Roman"/>
          <w:bCs/>
          <w:color w:val="000000" w:themeColor="text1"/>
          <w:sz w:val="24"/>
          <w:szCs w:val="24"/>
        </w:rPr>
        <w:t>Enforce green infrastructure policies requiring forest offset programs for urban projects, given the 2.3-hectare forest impact per hectare of urban expansion.</w:t>
      </w:r>
    </w:p>
    <w:p w14:paraId="5B4BC711" w14:textId="77777777" w:rsidR="00B03EED" w:rsidRDefault="00B03EED" w:rsidP="00B03EED">
      <w:pPr>
        <w:pStyle w:val="Title"/>
        <w:spacing w:after="0" w:line="240" w:lineRule="auto"/>
        <w:rPr>
          <w:color w:val="000000" w:themeColor="text1"/>
          <w:szCs w:val="24"/>
        </w:rPr>
      </w:pPr>
      <w:bookmarkStart w:id="103" w:name="_Toc198908967"/>
    </w:p>
    <w:p w14:paraId="6CBDA5E7" w14:textId="3A188FA7" w:rsidR="0000060D" w:rsidRPr="00B03EED" w:rsidRDefault="0000060D" w:rsidP="00B03EED">
      <w:pPr>
        <w:pStyle w:val="Title"/>
        <w:spacing w:after="0" w:line="240" w:lineRule="auto"/>
        <w:rPr>
          <w:color w:val="000000" w:themeColor="text1"/>
          <w:szCs w:val="24"/>
        </w:rPr>
      </w:pPr>
      <w:r w:rsidRPr="00B03EED">
        <w:rPr>
          <w:color w:val="000000" w:themeColor="text1"/>
          <w:szCs w:val="24"/>
        </w:rPr>
        <w:t>References</w:t>
      </w:r>
      <w:bookmarkEnd w:id="103"/>
    </w:p>
    <w:p w14:paraId="429292A4" w14:textId="77777777" w:rsidR="0000060D" w:rsidRPr="00BE4AF3" w:rsidRDefault="0000060D" w:rsidP="0000060D">
      <w:pPr>
        <w:spacing w:after="0" w:line="240" w:lineRule="auto"/>
        <w:ind w:left="720" w:hanging="720"/>
        <w:jc w:val="both"/>
        <w:rPr>
          <w:rFonts w:ascii="Times New Roman" w:eastAsia="Times New Roman" w:hAnsi="Times New Roman" w:cs="Times New Roman"/>
          <w:bCs/>
          <w:sz w:val="24"/>
          <w:szCs w:val="24"/>
        </w:rPr>
      </w:pPr>
      <w:r w:rsidRPr="00BE4AF3">
        <w:rPr>
          <w:rFonts w:ascii="Times New Roman" w:eastAsia="Times New Roman" w:hAnsi="Times New Roman" w:cs="Times New Roman"/>
          <w:bCs/>
          <w:sz w:val="24"/>
          <w:szCs w:val="24"/>
        </w:rPr>
        <w:t xml:space="preserve">Abugiche, S. A., Egute, T. O., &amp; Henschel, P. (2021). Community-based conservation in Campo Ma'an National Park: Impacts on illegal logging and local livelihoods. </w:t>
      </w:r>
      <w:r w:rsidRPr="00BE4AF3">
        <w:rPr>
          <w:rFonts w:ascii="Times New Roman" w:eastAsia="Times New Roman" w:hAnsi="Times New Roman" w:cs="Times New Roman"/>
          <w:bCs/>
          <w:i/>
          <w:iCs/>
          <w:sz w:val="24"/>
          <w:szCs w:val="24"/>
        </w:rPr>
        <w:t>Conservation Science and Practice, 3</w:t>
      </w:r>
      <w:r w:rsidRPr="00BE4AF3">
        <w:rPr>
          <w:rFonts w:ascii="Times New Roman" w:eastAsia="Times New Roman" w:hAnsi="Times New Roman" w:cs="Times New Roman"/>
          <w:bCs/>
          <w:sz w:val="24"/>
          <w:szCs w:val="24"/>
        </w:rPr>
        <w:t>(2), e368.</w:t>
      </w:r>
    </w:p>
    <w:p w14:paraId="0C108402" w14:textId="77777777" w:rsidR="0000060D" w:rsidRPr="00BE4AF3" w:rsidRDefault="0000060D" w:rsidP="0000060D">
      <w:pPr>
        <w:spacing w:after="0" w:line="240" w:lineRule="auto"/>
        <w:ind w:left="720" w:hanging="720"/>
        <w:jc w:val="both"/>
        <w:rPr>
          <w:rFonts w:ascii="Times New Roman" w:eastAsia="Times New Roman" w:hAnsi="Times New Roman" w:cs="Times New Roman"/>
          <w:bCs/>
          <w:sz w:val="24"/>
          <w:szCs w:val="24"/>
        </w:rPr>
      </w:pPr>
      <w:r w:rsidRPr="00BE4AF3">
        <w:rPr>
          <w:rFonts w:ascii="Times New Roman" w:eastAsia="Times New Roman" w:hAnsi="Times New Roman" w:cs="Times New Roman"/>
          <w:bCs/>
          <w:sz w:val="24"/>
          <w:szCs w:val="24"/>
        </w:rPr>
        <w:t xml:space="preserve">Adekunle, V. A. J., Olagoke, A. O., &amp; Ogundare, L. F. (2013). Deforestation and endangered species in Nigeria: A case study of Old Oyo National Park. </w:t>
      </w:r>
      <w:r w:rsidRPr="00BE4AF3">
        <w:rPr>
          <w:rFonts w:ascii="Times New Roman" w:eastAsia="Times New Roman" w:hAnsi="Times New Roman" w:cs="Times New Roman"/>
          <w:bCs/>
          <w:i/>
          <w:iCs/>
          <w:sz w:val="24"/>
          <w:szCs w:val="24"/>
        </w:rPr>
        <w:t>Journal of Tropical Forest Science, 25</w:t>
      </w:r>
      <w:r w:rsidRPr="00BE4AF3">
        <w:rPr>
          <w:rFonts w:ascii="Times New Roman" w:eastAsia="Times New Roman" w:hAnsi="Times New Roman" w:cs="Times New Roman"/>
          <w:bCs/>
          <w:sz w:val="24"/>
          <w:szCs w:val="24"/>
        </w:rPr>
        <w:t>(2), 145–156.</w:t>
      </w:r>
    </w:p>
    <w:p w14:paraId="70A4FFD0" w14:textId="77777777" w:rsidR="0000060D" w:rsidRDefault="0000060D" w:rsidP="0000060D">
      <w:pPr>
        <w:spacing w:after="0" w:line="240" w:lineRule="auto"/>
        <w:ind w:left="720" w:hanging="720"/>
        <w:jc w:val="both"/>
        <w:rPr>
          <w:rFonts w:ascii="Times New Roman" w:eastAsia="Times New Roman" w:hAnsi="Times New Roman" w:cs="Times New Roman"/>
          <w:bCs/>
          <w:sz w:val="24"/>
          <w:szCs w:val="24"/>
        </w:rPr>
      </w:pPr>
      <w:r w:rsidRPr="00BE4AF3">
        <w:rPr>
          <w:rFonts w:ascii="Times New Roman" w:eastAsia="Times New Roman" w:hAnsi="Times New Roman" w:cs="Times New Roman"/>
          <w:bCs/>
          <w:sz w:val="24"/>
          <w:szCs w:val="24"/>
        </w:rPr>
        <w:t xml:space="preserve">Adekunle, V. A. J., Olagoke, A. O., &amp; Ogundare, L. F. (2020). Logging impacts in tropical forest ecosystems: A case study of Omo Forest Reserve, Nigeria. </w:t>
      </w:r>
      <w:r w:rsidRPr="00BE4AF3">
        <w:rPr>
          <w:rFonts w:ascii="Times New Roman" w:eastAsia="Times New Roman" w:hAnsi="Times New Roman" w:cs="Times New Roman"/>
          <w:bCs/>
          <w:i/>
          <w:iCs/>
          <w:sz w:val="24"/>
          <w:szCs w:val="24"/>
        </w:rPr>
        <w:t>Journal of Tropical Forest Science, 32</w:t>
      </w:r>
      <w:r w:rsidRPr="00BE4AF3">
        <w:rPr>
          <w:rFonts w:ascii="Times New Roman" w:eastAsia="Times New Roman" w:hAnsi="Times New Roman" w:cs="Times New Roman"/>
          <w:bCs/>
          <w:sz w:val="24"/>
          <w:szCs w:val="24"/>
        </w:rPr>
        <w:t>(1), 1–11.</w:t>
      </w:r>
    </w:p>
    <w:p w14:paraId="5341E999"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262EB41D"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3D840780"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32406AA1"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0A9F550A"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7038B5BC"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1A795C9D"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5DE423B8"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3BFFE04F"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3DEB590F"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74406D9C"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07383D9D"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08D4A443"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181B8C68"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5FABC116"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4201DE7B"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6E1E7849"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7858E87E"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68352528"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69C60860"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39D49592"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24C207DC"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17F668F4"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1EA23455"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56351C05" w14:textId="77777777" w:rsidR="00A512AD" w:rsidRDefault="00A512AD" w:rsidP="0000060D">
      <w:pPr>
        <w:spacing w:after="0" w:line="240" w:lineRule="auto"/>
        <w:ind w:left="720" w:hanging="720"/>
        <w:jc w:val="both"/>
        <w:rPr>
          <w:rFonts w:ascii="Times New Roman" w:eastAsia="Times New Roman" w:hAnsi="Times New Roman" w:cs="Times New Roman"/>
          <w:bCs/>
          <w:sz w:val="24"/>
          <w:szCs w:val="24"/>
        </w:rPr>
      </w:pPr>
    </w:p>
    <w:p w14:paraId="300AE67B" w14:textId="77777777" w:rsidR="00A512AD" w:rsidRPr="00BE4AF3" w:rsidRDefault="00A512AD" w:rsidP="0000060D">
      <w:pPr>
        <w:spacing w:after="0" w:line="240" w:lineRule="auto"/>
        <w:ind w:left="720" w:hanging="720"/>
        <w:jc w:val="both"/>
        <w:rPr>
          <w:rFonts w:ascii="Times New Roman" w:eastAsia="Times New Roman" w:hAnsi="Times New Roman" w:cs="Times New Roman"/>
          <w:bCs/>
          <w:sz w:val="24"/>
          <w:szCs w:val="24"/>
        </w:rPr>
      </w:pPr>
    </w:p>
    <w:p w14:paraId="04F6CC85" w14:textId="77777777" w:rsidR="00D2549D" w:rsidRPr="00B455A9" w:rsidRDefault="00D2549D" w:rsidP="00116291">
      <w:pPr>
        <w:spacing w:after="0" w:line="240" w:lineRule="auto"/>
        <w:jc w:val="center"/>
        <w:rPr>
          <w:rFonts w:ascii="Times New Roman" w:hAnsi="Times New Roman" w:cs="Times New Roman"/>
          <w:b/>
          <w:sz w:val="28"/>
          <w:szCs w:val="28"/>
        </w:rPr>
      </w:pPr>
      <w:r w:rsidRPr="00B455A9">
        <w:rPr>
          <w:rFonts w:ascii="Times New Roman" w:hAnsi="Times New Roman" w:cs="Times New Roman"/>
          <w:b/>
          <w:sz w:val="28"/>
          <w:szCs w:val="28"/>
        </w:rPr>
        <w:lastRenderedPageBreak/>
        <w:t>Challenges and Technical Feasibility of Hydra-form Brick Blocks for Teacher Quarters in Bwari Area Council, Abuja</w:t>
      </w:r>
    </w:p>
    <w:p w14:paraId="0B10CAD5" w14:textId="77777777" w:rsidR="00116291" w:rsidRPr="00BE4AF3" w:rsidRDefault="00116291" w:rsidP="00116291">
      <w:pPr>
        <w:spacing w:after="0" w:line="240" w:lineRule="auto"/>
        <w:jc w:val="center"/>
        <w:rPr>
          <w:rFonts w:ascii="Times New Roman" w:hAnsi="Times New Roman" w:cs="Times New Roman"/>
          <w:b/>
          <w:sz w:val="24"/>
          <w:szCs w:val="24"/>
        </w:rPr>
      </w:pPr>
    </w:p>
    <w:p w14:paraId="1E420FEB" w14:textId="77777777" w:rsidR="00D2549D" w:rsidRPr="00BE4AF3" w:rsidRDefault="00D2549D" w:rsidP="00116291">
      <w:pPr>
        <w:pStyle w:val="NoSpacing"/>
        <w:jc w:val="center"/>
        <w:rPr>
          <w:rFonts w:ascii="Times New Roman" w:hAnsi="Times New Roman" w:cs="Times New Roman"/>
          <w:sz w:val="24"/>
        </w:rPr>
      </w:pPr>
      <w:r w:rsidRPr="00BE4AF3">
        <w:rPr>
          <w:rFonts w:ascii="Times New Roman" w:hAnsi="Times New Roman" w:cs="Times New Roman"/>
          <w:sz w:val="24"/>
        </w:rPr>
        <w:t>Dorcas Oluwaseyi ADEOYE,</w:t>
      </w:r>
      <w:r w:rsidRPr="00BE4AF3">
        <w:rPr>
          <w:rFonts w:ascii="Times New Roman" w:hAnsi="Times New Roman" w:cs="Times New Roman"/>
          <w:sz w:val="24"/>
          <w:vertAlign w:val="superscript"/>
        </w:rPr>
        <w:t>1</w:t>
      </w:r>
      <w:r w:rsidRPr="00BE4AF3">
        <w:rPr>
          <w:rFonts w:ascii="Times New Roman" w:hAnsi="Times New Roman" w:cs="Times New Roman"/>
          <w:sz w:val="24"/>
        </w:rPr>
        <w:t>Temidayo Mutiu USMAN,</w:t>
      </w:r>
      <w:r w:rsidRPr="00BE4AF3">
        <w:rPr>
          <w:rFonts w:ascii="Times New Roman" w:hAnsi="Times New Roman" w:cs="Times New Roman"/>
          <w:sz w:val="24"/>
          <w:vertAlign w:val="superscript"/>
        </w:rPr>
        <w:t>2</w:t>
      </w:r>
      <w:r w:rsidRPr="00BE4AF3">
        <w:rPr>
          <w:rFonts w:ascii="Times New Roman" w:hAnsi="Times New Roman" w:cs="Times New Roman"/>
          <w:sz w:val="24"/>
        </w:rPr>
        <w:t xml:space="preserve"> Abosede Olubukola AKINDELE</w:t>
      </w:r>
      <w:r w:rsidRPr="00BE4AF3">
        <w:rPr>
          <w:rFonts w:ascii="Times New Roman" w:hAnsi="Times New Roman" w:cs="Times New Roman"/>
          <w:sz w:val="24"/>
          <w:vertAlign w:val="superscript"/>
        </w:rPr>
        <w:t xml:space="preserve"> 3</w:t>
      </w:r>
      <w:r w:rsidRPr="00BE4AF3">
        <w:rPr>
          <w:rFonts w:ascii="Times New Roman" w:hAnsi="Times New Roman" w:cs="Times New Roman"/>
          <w:sz w:val="24"/>
        </w:rPr>
        <w:t xml:space="preserve"> and Solomon Tunde ADEYI</w:t>
      </w:r>
      <w:r w:rsidRPr="00BE4AF3">
        <w:rPr>
          <w:rFonts w:ascii="Times New Roman" w:hAnsi="Times New Roman" w:cs="Times New Roman"/>
          <w:sz w:val="24"/>
          <w:vertAlign w:val="superscript"/>
        </w:rPr>
        <w:t xml:space="preserve"> 4</w:t>
      </w:r>
      <w:r w:rsidRPr="00BE4AF3">
        <w:rPr>
          <w:rFonts w:ascii="Times New Roman" w:hAnsi="Times New Roman" w:cs="Times New Roman"/>
          <w:sz w:val="24"/>
        </w:rPr>
        <w:t xml:space="preserve"> </w:t>
      </w:r>
    </w:p>
    <w:p w14:paraId="6769693C" w14:textId="77777777" w:rsidR="00116291" w:rsidRPr="00BE4AF3" w:rsidRDefault="00116291" w:rsidP="00116291">
      <w:pPr>
        <w:pStyle w:val="NoSpacing"/>
        <w:jc w:val="center"/>
        <w:rPr>
          <w:rFonts w:ascii="Times New Roman" w:hAnsi="Times New Roman" w:cs="Times New Roman"/>
          <w:b/>
          <w:sz w:val="24"/>
        </w:rPr>
      </w:pPr>
    </w:p>
    <w:p w14:paraId="51F70BD8" w14:textId="77777777" w:rsidR="00D2549D" w:rsidRPr="00B455A9" w:rsidRDefault="00D2549D" w:rsidP="00116291">
      <w:pPr>
        <w:spacing w:after="0" w:line="240" w:lineRule="auto"/>
        <w:jc w:val="center"/>
        <w:rPr>
          <w:rFonts w:ascii="Times New Roman" w:hAnsi="Times New Roman" w:cs="Times New Roman"/>
          <w:sz w:val="20"/>
          <w:szCs w:val="20"/>
        </w:rPr>
      </w:pPr>
      <w:r w:rsidRPr="00B455A9">
        <w:rPr>
          <w:rFonts w:ascii="Times New Roman" w:hAnsi="Times New Roman" w:cs="Times New Roman"/>
          <w:sz w:val="20"/>
          <w:szCs w:val="20"/>
          <w:vertAlign w:val="superscript"/>
        </w:rPr>
        <w:t>1&amp;2</w:t>
      </w:r>
      <w:r w:rsidRPr="00B455A9">
        <w:rPr>
          <w:rFonts w:ascii="Times New Roman" w:hAnsi="Times New Roman" w:cs="Times New Roman"/>
          <w:sz w:val="20"/>
          <w:szCs w:val="20"/>
        </w:rPr>
        <w:t>Department of Architecture Ladoke Akintola University of Technology, Ogbomoso,</w:t>
      </w:r>
    </w:p>
    <w:p w14:paraId="0D8E50A3" w14:textId="77777777" w:rsidR="00D2549D" w:rsidRPr="00B455A9" w:rsidRDefault="00D2549D" w:rsidP="00116291">
      <w:pPr>
        <w:spacing w:after="0" w:line="240" w:lineRule="auto"/>
        <w:jc w:val="center"/>
        <w:rPr>
          <w:rFonts w:ascii="Times New Roman" w:hAnsi="Times New Roman" w:cs="Times New Roman"/>
          <w:sz w:val="20"/>
          <w:szCs w:val="20"/>
        </w:rPr>
      </w:pPr>
      <w:r w:rsidRPr="00B455A9">
        <w:rPr>
          <w:rFonts w:ascii="Times New Roman" w:hAnsi="Times New Roman" w:cs="Times New Roman"/>
          <w:sz w:val="20"/>
          <w:szCs w:val="20"/>
          <w:vertAlign w:val="superscript"/>
        </w:rPr>
        <w:t>3</w:t>
      </w:r>
      <w:r w:rsidRPr="00B455A9">
        <w:rPr>
          <w:rFonts w:ascii="Times New Roman" w:hAnsi="Times New Roman" w:cs="Times New Roman"/>
          <w:sz w:val="20"/>
          <w:szCs w:val="20"/>
        </w:rPr>
        <w:t>Department of Architecture, Caleb University, Imota, Lagos.</w:t>
      </w:r>
    </w:p>
    <w:p w14:paraId="27B837A9" w14:textId="77777777" w:rsidR="00D2549D" w:rsidRPr="00B455A9" w:rsidRDefault="00D2549D" w:rsidP="00116291">
      <w:pPr>
        <w:spacing w:after="0" w:line="240" w:lineRule="auto"/>
        <w:jc w:val="center"/>
        <w:rPr>
          <w:rFonts w:ascii="Times New Roman" w:hAnsi="Times New Roman" w:cs="Times New Roman"/>
          <w:sz w:val="20"/>
          <w:szCs w:val="20"/>
        </w:rPr>
      </w:pPr>
      <w:r w:rsidRPr="00B455A9">
        <w:rPr>
          <w:rFonts w:ascii="Times New Roman" w:hAnsi="Times New Roman" w:cs="Times New Roman"/>
          <w:sz w:val="20"/>
          <w:szCs w:val="20"/>
          <w:vertAlign w:val="superscript"/>
        </w:rPr>
        <w:t>4</w:t>
      </w:r>
      <w:r w:rsidRPr="00B455A9">
        <w:rPr>
          <w:rFonts w:ascii="Times New Roman" w:hAnsi="Times New Roman" w:cs="Times New Roman"/>
          <w:sz w:val="20"/>
          <w:szCs w:val="20"/>
        </w:rPr>
        <w:t>Department of Architecture, Bowen University, Iwo, Osun state.</w:t>
      </w:r>
    </w:p>
    <w:p w14:paraId="613C1BF2" w14:textId="77777777" w:rsidR="00116291" w:rsidRPr="00B455A9" w:rsidRDefault="00116291" w:rsidP="00116291">
      <w:pPr>
        <w:spacing w:after="0" w:line="240" w:lineRule="auto"/>
        <w:jc w:val="center"/>
        <w:rPr>
          <w:rFonts w:ascii="Times New Roman" w:hAnsi="Times New Roman" w:cs="Times New Roman"/>
          <w:sz w:val="20"/>
          <w:szCs w:val="20"/>
        </w:rPr>
      </w:pPr>
    </w:p>
    <w:p w14:paraId="5A08ECAD" w14:textId="77777777" w:rsidR="00D2549D" w:rsidRPr="00B455A9" w:rsidRDefault="00D2549D" w:rsidP="00116291">
      <w:pPr>
        <w:spacing w:after="0" w:line="240" w:lineRule="auto"/>
        <w:jc w:val="center"/>
        <w:rPr>
          <w:rStyle w:val="Hyperlink"/>
          <w:rFonts w:ascii="Times New Roman" w:hAnsi="Times New Roman" w:cs="Times New Roman"/>
          <w:b/>
          <w:color w:val="auto"/>
          <w:sz w:val="20"/>
          <w:szCs w:val="20"/>
          <w:u w:val="none"/>
        </w:rPr>
      </w:pPr>
      <w:r w:rsidRPr="00B455A9">
        <w:rPr>
          <w:rFonts w:ascii="Times New Roman" w:hAnsi="Times New Roman" w:cs="Times New Roman"/>
          <w:sz w:val="20"/>
          <w:szCs w:val="20"/>
        </w:rPr>
        <w:t xml:space="preserve">Email: </w:t>
      </w:r>
      <w:hyperlink r:id="rId211" w:history="1">
        <w:r w:rsidRPr="00B455A9">
          <w:rPr>
            <w:rStyle w:val="Hyperlink"/>
            <w:rFonts w:ascii="Times New Roman" w:hAnsi="Times New Roman" w:cs="Times New Roman"/>
            <w:color w:val="auto"/>
            <w:sz w:val="20"/>
            <w:szCs w:val="20"/>
            <w:u w:val="none"/>
          </w:rPr>
          <w:t>odadeoye@lautech.edu.ng</w:t>
        </w:r>
      </w:hyperlink>
      <w:r w:rsidRPr="00B455A9">
        <w:rPr>
          <w:rFonts w:ascii="Times New Roman" w:hAnsi="Times New Roman" w:cs="Times New Roman"/>
          <w:sz w:val="20"/>
          <w:szCs w:val="20"/>
        </w:rPr>
        <w:t xml:space="preserve">        </w:t>
      </w:r>
      <w:hyperlink r:id="rId212" w:history="1">
        <w:r w:rsidRPr="00B455A9">
          <w:rPr>
            <w:rStyle w:val="Hyperlink"/>
            <w:rFonts w:ascii="Times New Roman" w:hAnsi="Times New Roman" w:cs="Times New Roman"/>
            <w:color w:val="auto"/>
            <w:sz w:val="20"/>
            <w:szCs w:val="20"/>
            <w:u w:val="none"/>
          </w:rPr>
          <w:t>TEL:(+234)8035605729</w:t>
        </w:r>
      </w:hyperlink>
    </w:p>
    <w:p w14:paraId="236C99EB" w14:textId="77777777" w:rsidR="00116291" w:rsidRPr="00BE4AF3" w:rsidRDefault="00116291" w:rsidP="00116291">
      <w:pPr>
        <w:spacing w:after="0" w:line="240" w:lineRule="auto"/>
        <w:ind w:left="3360" w:firstLine="420"/>
        <w:rPr>
          <w:rFonts w:ascii="Times New Roman" w:hAnsi="Times New Roman" w:cs="Times New Roman"/>
          <w:sz w:val="24"/>
          <w:szCs w:val="24"/>
        </w:rPr>
      </w:pPr>
    </w:p>
    <w:p w14:paraId="18598385" w14:textId="77777777" w:rsidR="00680209" w:rsidRPr="00BE4AF3" w:rsidRDefault="00680209" w:rsidP="000C623F">
      <w:pPr>
        <w:spacing w:after="0" w:line="240" w:lineRule="auto"/>
        <w:jc w:val="both"/>
        <w:rPr>
          <w:rFonts w:ascii="Times New Roman" w:hAnsi="Times New Roman" w:cs="Times New Roman"/>
          <w:b/>
          <w:sz w:val="24"/>
          <w:szCs w:val="24"/>
        </w:rPr>
      </w:pPr>
      <w:r w:rsidRPr="00BE4AF3">
        <w:rPr>
          <w:rFonts w:ascii="Times New Roman" w:hAnsi="Times New Roman" w:cs="Times New Roman"/>
          <w:b/>
          <w:bCs/>
          <w:sz w:val="24"/>
          <w:szCs w:val="24"/>
        </w:rPr>
        <w:t>LICFES 2025-059 – FP29</w:t>
      </w:r>
    </w:p>
    <w:p w14:paraId="3D17532B" w14:textId="77777777" w:rsidR="00D2549D" w:rsidRPr="00BE4AF3" w:rsidRDefault="00D2549D" w:rsidP="000C623F">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Abstract</w:t>
      </w:r>
    </w:p>
    <w:p w14:paraId="42DE67E5" w14:textId="77777777" w:rsidR="00D2549D" w:rsidRPr="00BE4AF3" w:rsidRDefault="00D2549D" w:rsidP="000C623F">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Nigeria continues to face persistent housing deficit, driven by rapid urbanization, and rising costs of conventional building materials. Teachers in peri-urban areas such as Bwari Area Council, Abuja, are particularly vulnerable to inadequate housing, which negatively impacts their welfare and productivity. The adoption of Hydra-form brick blocks which have been proposed as a sustainable alternative to sandcrete, remains low due to questions surrounding technical feasibility, durability, and community acceptance. This study assesses the challenges, long-term performance, and practical considerations of Hydra-form technology for teacher quarters in Bwari Area Council.</w:t>
      </w:r>
      <w:r w:rsidR="000C623F" w:rsidRPr="00BE4AF3">
        <w:rPr>
          <w:rFonts w:ascii="Times New Roman" w:hAnsi="Times New Roman" w:cs="Times New Roman"/>
          <w:sz w:val="24"/>
          <w:szCs w:val="24"/>
        </w:rPr>
        <w:t xml:space="preserve"> </w:t>
      </w:r>
      <w:r w:rsidRPr="00BE4AF3">
        <w:rPr>
          <w:rFonts w:ascii="Times New Roman" w:hAnsi="Times New Roman" w:cs="Times New Roman"/>
          <w:sz w:val="24"/>
          <w:szCs w:val="24"/>
        </w:rPr>
        <w:t>A mixed-method approach was employed using collection of primary data from 226 teachers across 11 public schools with field observations. The assessment provided insights on awareness, acceptance, perceived benefits, of Hydra-form brick housing. Quantitative and qualitative data were analyzed to identify major barriers and preferences.</w:t>
      </w:r>
      <w:r w:rsidR="000C623F" w:rsidRPr="00BE4AF3">
        <w:rPr>
          <w:rFonts w:ascii="Times New Roman" w:hAnsi="Times New Roman" w:cs="Times New Roman"/>
          <w:sz w:val="24"/>
          <w:szCs w:val="24"/>
        </w:rPr>
        <w:t xml:space="preserve"> </w:t>
      </w:r>
      <w:r w:rsidRPr="00BE4AF3">
        <w:rPr>
          <w:rFonts w:ascii="Times New Roman" w:hAnsi="Times New Roman" w:cs="Times New Roman"/>
          <w:sz w:val="24"/>
          <w:szCs w:val="24"/>
        </w:rPr>
        <w:t>Findings revealed three interconnected challenges: knowledge and perception barriers:[(22.8%) unawareness of Hydra-form bricks; (20.3%) lacking information on benefits]; financial and logistical barriers:[high production costs (18.1%), limited availability (12.9%); absence of government incentives]; and, technical barriers:[durability under extreme weather (31.0%), limited skilled labor (5.2%). Perceptions of performance were largely positive with Hydra-form bricks rated more durable than sandcrete in resistance to weathering. (mean:4.21). Respondents emphasized design priorities as aesthetical appeal, low maintenance costs, and natural ventilation. The study concludes that Hydra-form technology holds significant potential for delivering affordable, durable, and user-friendly housing. The study recommends targeted awareness campaigns to improve community understanding; government subsidies or tax incentives, establishment of local Hydra-form production plants and improving accessibility.</w:t>
      </w:r>
    </w:p>
    <w:p w14:paraId="69449CC6" w14:textId="77777777" w:rsidR="000C623F" w:rsidRPr="00BE4AF3" w:rsidRDefault="000C623F" w:rsidP="000C623F">
      <w:pPr>
        <w:spacing w:after="0" w:line="240" w:lineRule="auto"/>
        <w:jc w:val="both"/>
        <w:rPr>
          <w:rFonts w:ascii="Times New Roman" w:hAnsi="Times New Roman" w:cs="Times New Roman"/>
          <w:b/>
          <w:sz w:val="24"/>
          <w:szCs w:val="24"/>
        </w:rPr>
      </w:pPr>
    </w:p>
    <w:p w14:paraId="083F36F1" w14:textId="77777777" w:rsidR="00D2549D" w:rsidRPr="00BE4AF3" w:rsidRDefault="00D2549D" w:rsidP="000C623F">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 xml:space="preserve">Keywords: </w:t>
      </w:r>
      <w:r w:rsidRPr="00BE4AF3">
        <w:rPr>
          <w:rFonts w:ascii="Times New Roman" w:hAnsi="Times New Roman" w:cs="Times New Roman"/>
          <w:sz w:val="24"/>
          <w:szCs w:val="24"/>
        </w:rPr>
        <w:t>Hydra –from Bricks, Sustainable housing, affordable housing, technical feasibility</w:t>
      </w:r>
    </w:p>
    <w:p w14:paraId="7C2B7B50" w14:textId="77777777" w:rsidR="00116291" w:rsidRPr="00BE4AF3" w:rsidRDefault="00116291" w:rsidP="00116291">
      <w:pPr>
        <w:spacing w:after="0" w:line="240" w:lineRule="auto"/>
        <w:rPr>
          <w:rFonts w:ascii="Times New Roman" w:hAnsi="Times New Roman" w:cs="Times New Roman"/>
          <w:sz w:val="24"/>
          <w:szCs w:val="24"/>
          <w:lang w:val="en-US"/>
        </w:rPr>
      </w:pPr>
    </w:p>
    <w:p w14:paraId="2B269C02" w14:textId="74FB7F03" w:rsidR="0000060D" w:rsidRPr="00BE4AF3" w:rsidRDefault="0000060D" w:rsidP="00B455A9">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Introduction</w:t>
      </w:r>
    </w:p>
    <w:p w14:paraId="033BBA98" w14:textId="77777777" w:rsidR="0000060D" w:rsidRPr="00BE4AF3" w:rsidRDefault="0000060D" w:rsidP="00B455A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Housing provision in Nigeria has become a persistent challenge due to rapid urbanization, high population growth and the escalating cost of conventional construction materials (Olanrewaju &amp; Woon, 2019). The demand for affordable housing continues to rise, yet mass housing initiatives often depend on sandcrete blocks, which although widely used, are both costly and environmentally unsustainable (Imohnikhe </w:t>
      </w:r>
      <w:r w:rsidRPr="00BE4AF3">
        <w:rPr>
          <w:rFonts w:ascii="Times New Roman" w:hAnsi="Times New Roman" w:cs="Times New Roman"/>
          <w:i/>
          <w:sz w:val="24"/>
          <w:szCs w:val="24"/>
        </w:rPr>
        <w:t>et al.,</w:t>
      </w:r>
      <w:r w:rsidRPr="00BE4AF3">
        <w:rPr>
          <w:rFonts w:ascii="Times New Roman" w:hAnsi="Times New Roman" w:cs="Times New Roman"/>
          <w:sz w:val="24"/>
          <w:szCs w:val="24"/>
        </w:rPr>
        <w:t xml:space="preserve"> 2020). This situation has prompted a growing interest in alternative building technologies such as Hydra-form brick blocks, compressed earth products that combine lateritic soil with a small proportion of cement to produce durable, cost-effective, and environmentally friendly units. Hydra-form bricks present notable advantages, including lower construction costs, improved thermal comfort, and reduced reliance on non-renewable resources (Adedeji, Deveci, &amp; Salman, 2022). Despite these strengths, their adoption </w:t>
      </w:r>
      <w:r w:rsidRPr="00BE4AF3">
        <w:rPr>
          <w:rFonts w:ascii="Times New Roman" w:hAnsi="Times New Roman" w:cs="Times New Roman"/>
          <w:sz w:val="24"/>
          <w:szCs w:val="24"/>
        </w:rPr>
        <w:lastRenderedPageBreak/>
        <w:t>across Nigeria remains limited, primarily due to challenges related to material sourcing, technical know-how, availability of production equipment, durability under local climatic conditions, and concerns about long-term maintenance (Olaleye &amp; Ibitoye, 2023). These issues highlight the need for a critical assessment of both the opportunities and constraints of Hydra-form brick technology if it is to be positioned as a sustainable solution to Nigeria’s housing deficit.</w:t>
      </w:r>
    </w:p>
    <w:p w14:paraId="2571FFBC" w14:textId="77777777" w:rsidR="0000060D" w:rsidRPr="00BE4AF3" w:rsidRDefault="0000060D" w:rsidP="00B455A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Bwari Area Council, located within the Federal Capital Territory, Abuja, provides a compelling case study for such an assessment. The area is under increasing pressure to deliver affordable and sustainable housing to accommodate its rapidly expanding population. Teachers, in particular, face acute housing shortages despite their central role in community development and human capital formation. Addressing this need requires exploring cost-efficient alternatives that can be locally produced and maintained. Hydra-form brick blocks, if proven technically feasible, could serve as a practical option for teacher quarters in Bwari, reducing dependence on sandcrete blocks and supporting sustainable construction practices. However, uncertainties remain regarding their performance in Abuja’s climatic conditions, the extent of technical skills available locally for their production and installation, and the readiness of institutional frameworks to support large-scale adoption. Without resolving these uncertainties, there is a risk of poor acceptance and limited sustainability of Hydra-form-based housing schemes.</w:t>
      </w:r>
    </w:p>
    <w:p w14:paraId="216C90B7" w14:textId="77777777" w:rsidR="0000060D" w:rsidRPr="00BE4AF3" w:rsidRDefault="0000060D" w:rsidP="00B455A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  In the midst of these dynamics this study sets out to examine the challenges associated with implementing Hydra-form brick blocks for teacher housing in Bwari Area Council and to evaluate their long-term durability and maintenance requirements. This is particularly justified given Nigeria’s persistent housing deficit, which continues to widen due to reliance on costly conventional materials and limited exploration of affordable alternatives (Imohnikhe </w:t>
      </w:r>
      <w:r w:rsidRPr="00BE4AF3">
        <w:rPr>
          <w:rFonts w:ascii="Times New Roman" w:hAnsi="Times New Roman" w:cs="Times New Roman"/>
          <w:i/>
          <w:sz w:val="24"/>
          <w:szCs w:val="24"/>
        </w:rPr>
        <w:t>et al.,</w:t>
      </w:r>
      <w:r w:rsidRPr="00BE4AF3">
        <w:rPr>
          <w:rFonts w:ascii="Times New Roman" w:hAnsi="Times New Roman" w:cs="Times New Roman"/>
          <w:sz w:val="24"/>
          <w:szCs w:val="24"/>
        </w:rPr>
        <w:t xml:space="preserve"> 2020; Adedeji </w:t>
      </w:r>
      <w:r w:rsidRPr="00BE4AF3">
        <w:rPr>
          <w:rFonts w:ascii="Times New Roman" w:hAnsi="Times New Roman" w:cs="Times New Roman"/>
          <w:i/>
          <w:sz w:val="24"/>
          <w:szCs w:val="24"/>
        </w:rPr>
        <w:t>et al.,</w:t>
      </w:r>
      <w:r w:rsidRPr="00BE4AF3">
        <w:rPr>
          <w:rFonts w:ascii="Times New Roman" w:hAnsi="Times New Roman" w:cs="Times New Roman"/>
          <w:sz w:val="24"/>
          <w:szCs w:val="24"/>
        </w:rPr>
        <w:t xml:space="preserve"> 2022). Furthermore, while previous studies have examined the feasibility of alternative construction methods in general, there remains a significant knowledge gap regarding the specific technical, environmental, and institutional barriers to Hydra-form adoption in Abuja’s peri-urban context (Olaleye &amp; Ibitoye, 2023). Additionally, limited research exists on the long-term performance of Hydra-form blocks under local weather conditions, raising concerns about their structural reliability and maintenance needs. By addressing these gaps, this research contributes not only to the academic discourse on sustainable building technologies but also provides practical insights for policymakers, developers, and educational authorities seeking to implement durable and affordable housing solutions for teachers and other vulnerable groups in Nigeria.</w:t>
      </w:r>
    </w:p>
    <w:p w14:paraId="678F3FBA" w14:textId="77777777" w:rsidR="00B455A9" w:rsidRDefault="00B455A9" w:rsidP="00B455A9">
      <w:pPr>
        <w:spacing w:after="0" w:line="240" w:lineRule="auto"/>
        <w:jc w:val="both"/>
        <w:rPr>
          <w:rFonts w:ascii="Times New Roman" w:hAnsi="Times New Roman" w:cs="Times New Roman"/>
          <w:b/>
          <w:sz w:val="24"/>
          <w:szCs w:val="24"/>
        </w:rPr>
      </w:pPr>
    </w:p>
    <w:p w14:paraId="5CF8768C" w14:textId="30592939" w:rsidR="0000060D" w:rsidRPr="00BE4AF3" w:rsidRDefault="0000060D" w:rsidP="00B455A9">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Study Area</w:t>
      </w:r>
    </w:p>
    <w:p w14:paraId="42E8D04C" w14:textId="77777777" w:rsidR="0000060D" w:rsidRPr="00BE4AF3" w:rsidRDefault="0000060D" w:rsidP="00B455A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This study is geographically confined to Bwari Area Council, one of the six area councils in the Federal Capital Territory (FCT), Abuja. Bwari has experienced rapid population growth in recent years due to urban expansion, migration, and its proximity to the city centre. However, this growth has placed significant pressure on housing provision, resulting in challenges such as high construction costs, incomplete housing projects, and inadequate supply of affordable housing units. Teachers, who form a critical workforce in the council, are particularly affected by this shortage, often facing limited access to decent and affordable accommodation.</w:t>
      </w:r>
    </w:p>
    <w:p w14:paraId="788BBB9D" w14:textId="77777777" w:rsidR="0000060D" w:rsidRPr="00BE4AF3" w:rsidRDefault="0000060D" w:rsidP="0000060D">
      <w:pPr>
        <w:spacing w:line="360" w:lineRule="auto"/>
        <w:rPr>
          <w:rFonts w:ascii="Times New Roman" w:hAnsi="Times New Roman" w:cs="Times New Roman"/>
          <w:b/>
          <w:sz w:val="24"/>
          <w:szCs w:val="24"/>
        </w:rPr>
      </w:pPr>
      <w:r w:rsidRPr="00BE4AF3">
        <w:rPr>
          <w:rFonts w:ascii="Times New Roman" w:hAnsi="Times New Roman" w:cs="Times New Roman"/>
          <w:b/>
          <w:noProof/>
          <w:sz w:val="24"/>
          <w:szCs w:val="24"/>
          <w:lang w:eastAsia="en-GB"/>
        </w:rPr>
        <w:lastRenderedPageBreak/>
        <w:drawing>
          <wp:inline distT="0" distB="0" distL="0" distR="0" wp14:anchorId="56528A52" wp14:editId="3791434E">
            <wp:extent cx="6231255" cy="5503984"/>
            <wp:effectExtent l="0" t="0" r="0" b="1905"/>
            <wp:docPr id="1178787258" name="Picture 1178787258" descr="C:\Users\COSTA\Desktop\IMG-20241002-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STA\Desktop\IMG-20241002-WA0006.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274224" cy="5541938"/>
                    </a:xfrm>
                    <a:prstGeom prst="rect">
                      <a:avLst/>
                    </a:prstGeom>
                    <a:noFill/>
                    <a:ln>
                      <a:noFill/>
                    </a:ln>
                  </pic:spPr>
                </pic:pic>
              </a:graphicData>
            </a:graphic>
          </wp:inline>
        </w:drawing>
      </w:r>
    </w:p>
    <w:p w14:paraId="23A9653B" w14:textId="061E3867" w:rsidR="0000060D" w:rsidRPr="00BE4AF3" w:rsidRDefault="0000060D" w:rsidP="0000060D">
      <w:pPr>
        <w:spacing w:line="240" w:lineRule="auto"/>
        <w:jc w:val="center"/>
        <w:rPr>
          <w:rFonts w:ascii="Times New Roman" w:hAnsi="Times New Roman" w:cs="Times New Roman"/>
          <w:sz w:val="24"/>
          <w:szCs w:val="24"/>
        </w:rPr>
      </w:pPr>
      <w:r w:rsidRPr="00BE4AF3">
        <w:rPr>
          <w:rFonts w:ascii="Times New Roman" w:hAnsi="Times New Roman" w:cs="Times New Roman"/>
          <w:b/>
          <w:sz w:val="24"/>
          <w:szCs w:val="24"/>
        </w:rPr>
        <w:t xml:space="preserve">Figure </w:t>
      </w:r>
      <w:r w:rsidR="00B455A9" w:rsidRPr="00BE4AF3">
        <w:rPr>
          <w:rFonts w:ascii="Times New Roman" w:hAnsi="Times New Roman" w:cs="Times New Roman"/>
          <w:b/>
          <w:sz w:val="24"/>
          <w:szCs w:val="24"/>
        </w:rPr>
        <w:t>1.0</w:t>
      </w:r>
      <w:r w:rsidR="00B455A9" w:rsidRPr="00B455A9">
        <w:rPr>
          <w:rFonts w:ascii="Times New Roman" w:hAnsi="Times New Roman" w:cs="Times New Roman"/>
          <w:b/>
          <w:bCs/>
          <w:sz w:val="24"/>
          <w:szCs w:val="24"/>
        </w:rPr>
        <w:t>:</w:t>
      </w:r>
      <w:r w:rsidR="00B455A9" w:rsidRPr="00BE4AF3">
        <w:rPr>
          <w:rFonts w:ascii="Times New Roman" w:hAnsi="Times New Roman" w:cs="Times New Roman"/>
          <w:sz w:val="24"/>
          <w:szCs w:val="24"/>
        </w:rPr>
        <w:t xml:space="preserve"> Map</w:t>
      </w:r>
      <w:r w:rsidRPr="00BE4AF3">
        <w:rPr>
          <w:rFonts w:ascii="Times New Roman" w:hAnsi="Times New Roman" w:cs="Times New Roman"/>
          <w:sz w:val="24"/>
          <w:szCs w:val="24"/>
        </w:rPr>
        <w:t xml:space="preserve"> of FCT, Nigeria</w:t>
      </w:r>
    </w:p>
    <w:p w14:paraId="349D5131" w14:textId="77777777" w:rsidR="0000060D" w:rsidRPr="00BE4AF3" w:rsidRDefault="0000060D" w:rsidP="0000060D">
      <w:pPr>
        <w:spacing w:line="240" w:lineRule="auto"/>
        <w:jc w:val="center"/>
        <w:rPr>
          <w:rFonts w:ascii="Times New Roman" w:hAnsi="Times New Roman" w:cs="Times New Roman"/>
          <w:sz w:val="24"/>
          <w:szCs w:val="24"/>
        </w:rPr>
      </w:pPr>
      <w:r w:rsidRPr="00BE4AF3">
        <w:rPr>
          <w:rFonts w:ascii="Times New Roman" w:hAnsi="Times New Roman" w:cs="Times New Roman"/>
          <w:b/>
          <w:sz w:val="24"/>
          <w:szCs w:val="24"/>
        </w:rPr>
        <w:t>Source</w:t>
      </w:r>
      <w:r w:rsidRPr="00BE4AF3">
        <w:rPr>
          <w:rFonts w:ascii="Times New Roman" w:hAnsi="Times New Roman" w:cs="Times New Roman"/>
          <w:sz w:val="24"/>
          <w:szCs w:val="24"/>
        </w:rPr>
        <w:t>: Federal ministry of works, FCT (2024)</w:t>
      </w:r>
    </w:p>
    <w:p w14:paraId="12408697" w14:textId="506672A7" w:rsidR="0000060D" w:rsidRPr="00BE4AF3" w:rsidRDefault="0000060D" w:rsidP="00B455A9">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 xml:space="preserve">Literature review </w:t>
      </w:r>
    </w:p>
    <w:p w14:paraId="507814C3" w14:textId="77777777" w:rsidR="0000060D" w:rsidRPr="00BE4AF3" w:rsidRDefault="0000060D" w:rsidP="00B455A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Sustainable housing development in Nigeria continues to face a number of interrelated challenges, particularly around affordability, financing, policy, and technological innovation. The majority of low-income earners are unable to access formal mortgage systems due to high interest rates, limited credit facilities, and bureaucratic constraints, which significantly limit their ability to secure decent housing. This financing gap, coupled with the rising costs of conventional construction materials, has widened the housing deficit across the country (Odunjo &amp; Okanlawon, 2024; Ebekozien </w:t>
      </w:r>
      <w:r w:rsidRPr="00BE4AF3">
        <w:rPr>
          <w:rFonts w:ascii="Times New Roman" w:hAnsi="Times New Roman" w:cs="Times New Roman"/>
          <w:i/>
          <w:sz w:val="24"/>
          <w:szCs w:val="24"/>
        </w:rPr>
        <w:t>et al.,</w:t>
      </w:r>
      <w:r w:rsidRPr="00BE4AF3">
        <w:rPr>
          <w:rFonts w:ascii="Times New Roman" w:hAnsi="Times New Roman" w:cs="Times New Roman"/>
          <w:sz w:val="24"/>
          <w:szCs w:val="24"/>
        </w:rPr>
        <w:t xml:space="preserve"> 2025). In addition to financial barriers, weak policy and regulatory frameworks further constrain sustainable housing delivery. Although several housing policy strategies have been introduced to address low-income housing, implementation is often inconsistent due to institutional overlaps, inadequate enforcement mechanisms, and land tenure difficulties, which delay project execution and discourage investment in alternative technologies (Odoyi &amp; Riekkinen, 2022). Another critical issue is the lack of sufficient research and development on sustainable construction methods. While compressed stabilized earth blocks </w:t>
      </w:r>
      <w:r w:rsidRPr="00BE4AF3">
        <w:rPr>
          <w:rFonts w:ascii="Times New Roman" w:hAnsi="Times New Roman" w:cs="Times New Roman"/>
          <w:sz w:val="24"/>
          <w:szCs w:val="24"/>
        </w:rPr>
        <w:lastRenderedPageBreak/>
        <w:t xml:space="preserve">(CSEBs) and similar technologies have shown promise as affordable alternatives, empirical data on their long-term durability and performance under Nigerian climatic conditions remains limited. Moreover, Waziri </w:t>
      </w:r>
      <w:r w:rsidRPr="00BE4AF3">
        <w:rPr>
          <w:rFonts w:ascii="Times New Roman" w:hAnsi="Times New Roman" w:cs="Times New Roman"/>
          <w:i/>
          <w:sz w:val="24"/>
          <w:szCs w:val="24"/>
        </w:rPr>
        <w:t>et al.</w:t>
      </w:r>
      <w:r w:rsidRPr="00BE4AF3">
        <w:rPr>
          <w:rFonts w:ascii="Times New Roman" w:hAnsi="Times New Roman" w:cs="Times New Roman"/>
          <w:sz w:val="24"/>
          <w:szCs w:val="24"/>
        </w:rPr>
        <w:t xml:space="preserve"> (2013) reported that stabilized earth blocks have potential for low-cost housing but remain vulnerable to moisture damage without adequate stabilization and protection, highlighting the need for further technical evaluation.</w:t>
      </w:r>
    </w:p>
    <w:p w14:paraId="29C168BD" w14:textId="77777777" w:rsidR="0000060D" w:rsidRPr="00BE4AF3" w:rsidRDefault="0000060D" w:rsidP="00B455A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One of the most promising alternatives to conventional materials is the Hydra-form brick, a type of compressed earth block produced from soil commonly lateritic mixed with small quantities of cement or stabilizers and compacted under pressure to create interlocking units. This interlocking design reduces the need for mortar, shortens construction time, and lowers costs. Research demonstrates that soil composition and stabilization ratios strongly affect the structural properties of Hydra-form bricks. Abdulrahaman </w:t>
      </w:r>
      <w:r w:rsidRPr="00BE4AF3">
        <w:rPr>
          <w:rFonts w:ascii="Times New Roman" w:hAnsi="Times New Roman" w:cs="Times New Roman"/>
          <w:i/>
          <w:sz w:val="24"/>
          <w:szCs w:val="24"/>
        </w:rPr>
        <w:t>et al</w:t>
      </w:r>
      <w:r w:rsidRPr="00BE4AF3">
        <w:rPr>
          <w:rFonts w:ascii="Times New Roman" w:hAnsi="Times New Roman" w:cs="Times New Roman"/>
          <w:sz w:val="24"/>
          <w:szCs w:val="24"/>
        </w:rPr>
        <w:t xml:space="preserve">. (2010), in his study found that combining clay with weathered bedrock significantly improved compressive strength and reduced water absorption, making the bricks more durable for housing construction. Similarly, Furgasa </w:t>
      </w:r>
      <w:r w:rsidRPr="00BE4AF3">
        <w:rPr>
          <w:rFonts w:ascii="Times New Roman" w:hAnsi="Times New Roman" w:cs="Times New Roman"/>
          <w:i/>
          <w:sz w:val="24"/>
          <w:szCs w:val="24"/>
        </w:rPr>
        <w:t xml:space="preserve">et al. </w:t>
      </w:r>
      <w:r w:rsidRPr="00BE4AF3">
        <w:rPr>
          <w:rFonts w:ascii="Times New Roman" w:hAnsi="Times New Roman" w:cs="Times New Roman"/>
          <w:sz w:val="24"/>
          <w:szCs w:val="24"/>
        </w:rPr>
        <w:t>(2022) confirmed that when locally available soils are properly stabilized, they can produce high-quality Hydra-form blocks that are suitable for low-cost housing projects, emphasizing the adaptability of the technology across different geotechnical conditions.</w:t>
      </w:r>
    </w:p>
    <w:p w14:paraId="3DBBC124" w14:textId="266ADA81" w:rsidR="0000060D" w:rsidRDefault="0000060D" w:rsidP="00B455A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Despite these advantages, concerns about durability and maintenance remain central to evaluating the technical feasibility of Hydra-form bricks. Their long-term performance is influenced by water absorption, erosion, and resistance to environmental cycles such as wetting and drying. Studies on compressed stabilized earth blocks, which share similar material characteristics, reveal that blocks with insufficient stabilization are prone to deterioration and require frequent maintenance, whereas higher cement ratios enhance strength and resilience (Waziri </w:t>
      </w:r>
      <w:r w:rsidRPr="00BE4AF3">
        <w:rPr>
          <w:rFonts w:ascii="Times New Roman" w:hAnsi="Times New Roman" w:cs="Times New Roman"/>
          <w:i/>
          <w:sz w:val="24"/>
          <w:szCs w:val="24"/>
        </w:rPr>
        <w:t>et al.,</w:t>
      </w:r>
      <w:r w:rsidRPr="00BE4AF3">
        <w:rPr>
          <w:rFonts w:ascii="Times New Roman" w:hAnsi="Times New Roman" w:cs="Times New Roman"/>
          <w:sz w:val="24"/>
          <w:szCs w:val="24"/>
        </w:rPr>
        <w:t xml:space="preserve"> 2013). Zingfat </w:t>
      </w:r>
      <w:r w:rsidRPr="00BE4AF3">
        <w:rPr>
          <w:rFonts w:ascii="Times New Roman" w:hAnsi="Times New Roman" w:cs="Times New Roman"/>
          <w:i/>
          <w:sz w:val="24"/>
          <w:szCs w:val="24"/>
        </w:rPr>
        <w:t>et al</w:t>
      </w:r>
      <w:r w:rsidRPr="00BE4AF3">
        <w:rPr>
          <w:rFonts w:ascii="Times New Roman" w:hAnsi="Times New Roman" w:cs="Times New Roman"/>
          <w:sz w:val="24"/>
          <w:szCs w:val="24"/>
        </w:rPr>
        <w:t xml:space="preserve">. (2023) further demonstrated that capillary water absorption weakens block integrity over time, underscoring the importance of protective surface treatments and proper construction practices. Comparative research on alternative brick technologies, such as the use of recycled PET in high-performance bricks, also shows that while innovations can improve strength and reduce weathering, maintenance considerations remain essential for ensuring structural stability (Aneke </w:t>
      </w:r>
      <w:r w:rsidRPr="00BE4AF3">
        <w:rPr>
          <w:rFonts w:ascii="Times New Roman" w:hAnsi="Times New Roman" w:cs="Times New Roman"/>
          <w:i/>
          <w:sz w:val="24"/>
          <w:szCs w:val="24"/>
        </w:rPr>
        <w:t xml:space="preserve">et al., </w:t>
      </w:r>
      <w:r w:rsidRPr="00BE4AF3">
        <w:rPr>
          <w:rFonts w:ascii="Times New Roman" w:hAnsi="Times New Roman" w:cs="Times New Roman"/>
          <w:sz w:val="24"/>
          <w:szCs w:val="24"/>
        </w:rPr>
        <w:t>2021). Taken together, the literature suggests that Hydra-form bricks offer a sustainable and cost-effective alternative to sandcrete blocks, with potential benefits in affordability, environmental impact, and local employment generation. However, their successful adoption in housing projects, including teacher quarters in Bwari Area Council, depends on addressing financing and policy gaps, improving technical knowledge, and ensuring long-term durability through adequate stabilization, maintenance planning, and training for local builders.</w:t>
      </w:r>
    </w:p>
    <w:p w14:paraId="6F754BB5" w14:textId="77777777" w:rsidR="00B455A9" w:rsidRPr="00B455A9" w:rsidRDefault="00B455A9" w:rsidP="00B455A9">
      <w:pPr>
        <w:spacing w:after="0" w:line="240" w:lineRule="auto"/>
        <w:jc w:val="both"/>
        <w:rPr>
          <w:rFonts w:ascii="Times New Roman" w:hAnsi="Times New Roman" w:cs="Times New Roman"/>
          <w:sz w:val="24"/>
          <w:szCs w:val="24"/>
        </w:rPr>
      </w:pPr>
    </w:p>
    <w:p w14:paraId="66ED5E03" w14:textId="1D176F76" w:rsidR="0000060D" w:rsidRPr="00BE4AF3" w:rsidRDefault="0000060D" w:rsidP="00B455A9">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 xml:space="preserve">Methodology </w:t>
      </w:r>
    </w:p>
    <w:p w14:paraId="3B3C946C" w14:textId="77777777" w:rsidR="0000060D" w:rsidRPr="00BE4AF3" w:rsidRDefault="0000060D" w:rsidP="00B455A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This study adopted a mixed-methods approach, relying on both primary and secondary data to examine the challenges and technical feasibility of Hydra-form brick blocks for teacher quarters in Bwari Area Council, Abuja. Primary data were obtained through structured questionnaires, direct observations, and reconnaissance surveys conducted among teachers in selected public primary and secondary schools within the area. Secondary data were sourced from published journals, theses, textbooks, government reports, maps, and credible online resources, providing contextual and supporting information to complement the fieldwork.</w:t>
      </w:r>
    </w:p>
    <w:p w14:paraId="1E16CC54" w14:textId="77777777" w:rsidR="0000060D" w:rsidRPr="00BE4AF3" w:rsidRDefault="0000060D" w:rsidP="00B455A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sampling frame consisted of teachers across different salary grade levels in public schools within Bwari Area Council. Using random sampling, five primary schools and six secondary schools were selected, giving a total of eleven schools. From this pool, a sample size of 226 teachers, representing approximately 60% of the total teacher population in the area, was chosen for the study. Random sampling ensured unbiased selection of schools, while incidental sampling was employed to distribute questionnaires to eligible teachers within those schools.In total, 226 questionnaires were administered to capture the perceptions, awareness, and acceptance of Hydra-form brick blocks as a sustainable material for teacher accommodation. The data </w:t>
      </w:r>
      <w:r w:rsidRPr="00BE4AF3">
        <w:rPr>
          <w:rFonts w:ascii="Times New Roman" w:hAnsi="Times New Roman" w:cs="Times New Roman"/>
          <w:sz w:val="24"/>
          <w:szCs w:val="24"/>
        </w:rPr>
        <w:lastRenderedPageBreak/>
        <w:t>collection process was supplemented by field observations, which provided additional insights into the housing challenges faced by teachers, the suitability of the local environment for Hydra-form brick production, and potential barriers to adoption.</w:t>
      </w:r>
    </w:p>
    <w:p w14:paraId="6BA964DD" w14:textId="77777777" w:rsidR="0000060D" w:rsidRPr="00BE4AF3" w:rsidRDefault="0000060D" w:rsidP="00B455A9">
      <w:pPr>
        <w:spacing w:after="0" w:line="240" w:lineRule="auto"/>
        <w:jc w:val="both"/>
        <w:rPr>
          <w:rFonts w:ascii="Times New Roman" w:hAnsi="Times New Roman" w:cs="Times New Roman"/>
          <w:b/>
          <w:sz w:val="24"/>
          <w:szCs w:val="24"/>
        </w:rPr>
      </w:pPr>
    </w:p>
    <w:p w14:paraId="5C8F74E2" w14:textId="271BBD70" w:rsidR="0000060D" w:rsidRPr="00BE4AF3" w:rsidRDefault="0000060D" w:rsidP="00B455A9">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Discussion and Findings</w:t>
      </w:r>
    </w:p>
    <w:p w14:paraId="0683F306" w14:textId="6E3F34AC" w:rsidR="0000060D" w:rsidRPr="00BE4AF3" w:rsidRDefault="0000060D" w:rsidP="00B455A9">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Examination of the Challenges Associated with Implementing Hydra-Form Brick Technology for Teacher Housing in Bwari Area Council, F.C.T., Abuja</w:t>
      </w:r>
    </w:p>
    <w:p w14:paraId="0F0ED665" w14:textId="77777777" w:rsidR="0000060D" w:rsidRPr="00BE4AF3" w:rsidRDefault="0000060D" w:rsidP="00B455A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results (Table 4.1) indicate that the most significant barrier is lack of awareness about the material, reported by 22.8% of respondents. This highlights a general unfamiliarity with the technology, which could significantly hinder its acceptance. Closely related to this, 20.3% of respondents cited lack of information about the benefits of Hydra-Form bricks, suggesting that even where awareness exists, there is limited understanding of its advantages. Together, these findings reveal a major knowledge gap that may slow down community adoption.</w:t>
      </w:r>
    </w:p>
    <w:p w14:paraId="3B1E5C4B" w14:textId="77777777" w:rsidR="00B455A9" w:rsidRDefault="00B455A9" w:rsidP="0000060D">
      <w:pPr>
        <w:rPr>
          <w:rFonts w:ascii="Times New Roman" w:hAnsi="Times New Roman" w:cs="Times New Roman"/>
          <w:b/>
          <w:sz w:val="24"/>
          <w:szCs w:val="24"/>
        </w:rPr>
      </w:pPr>
    </w:p>
    <w:p w14:paraId="4743906C" w14:textId="09D4932A" w:rsidR="0000060D" w:rsidRPr="00B455A9" w:rsidRDefault="0000060D" w:rsidP="00B455A9">
      <w:pPr>
        <w:spacing w:after="0" w:line="240" w:lineRule="auto"/>
        <w:jc w:val="center"/>
        <w:rPr>
          <w:rFonts w:ascii="Times New Roman" w:hAnsi="Times New Roman" w:cs="Times New Roman"/>
          <w:bCs/>
          <w:sz w:val="24"/>
          <w:szCs w:val="24"/>
        </w:rPr>
      </w:pPr>
      <w:r w:rsidRPr="00BE4AF3">
        <w:rPr>
          <w:rFonts w:ascii="Times New Roman" w:hAnsi="Times New Roman" w:cs="Times New Roman"/>
          <w:b/>
          <w:sz w:val="24"/>
          <w:szCs w:val="24"/>
        </w:rPr>
        <w:t xml:space="preserve">Table 4.1 </w:t>
      </w:r>
      <w:r w:rsidRPr="00B455A9">
        <w:rPr>
          <w:rFonts w:ascii="Times New Roman" w:hAnsi="Times New Roman" w:cs="Times New Roman"/>
          <w:bCs/>
          <w:sz w:val="24"/>
          <w:szCs w:val="24"/>
        </w:rPr>
        <w:t>Respondent response to what challenges they think might arise in using Hydra-form brick blocks for housing in the community</w:t>
      </w:r>
    </w:p>
    <w:tbl>
      <w:tblPr>
        <w:tblStyle w:val="PlainTable11"/>
        <w:tblW w:w="0" w:type="auto"/>
        <w:jc w:val="center"/>
        <w:tblBorders>
          <w:top w:val="single" w:sz="4" w:space="0" w:color="auto"/>
          <w:bottom w:val="single" w:sz="4" w:space="0" w:color="auto"/>
        </w:tblBorders>
        <w:tblLook w:val="04A0" w:firstRow="1" w:lastRow="0" w:firstColumn="1" w:lastColumn="0" w:noHBand="0" w:noVBand="1"/>
      </w:tblPr>
      <w:tblGrid>
        <w:gridCol w:w="1610"/>
        <w:gridCol w:w="3963"/>
        <w:gridCol w:w="801"/>
        <w:gridCol w:w="851"/>
        <w:gridCol w:w="10"/>
        <w:gridCol w:w="1408"/>
        <w:gridCol w:w="10"/>
      </w:tblGrid>
      <w:tr w:rsidR="0000060D" w:rsidRPr="00B455A9" w14:paraId="5693825A" w14:textId="77777777" w:rsidTr="00B455A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0" w:type="dxa"/>
            <w:vMerge w:val="restart"/>
          </w:tcPr>
          <w:p w14:paraId="06084DC3" w14:textId="77777777" w:rsidR="0000060D" w:rsidRPr="00B455A9" w:rsidRDefault="0000060D" w:rsidP="00B455A9">
            <w:pPr>
              <w:spacing w:after="0" w:line="240" w:lineRule="auto"/>
              <w:jc w:val="center"/>
              <w:rPr>
                <w:rFonts w:ascii="Times New Roman" w:hAnsi="Times New Roman" w:cs="Times New Roman"/>
                <w:b w:val="0"/>
                <w:sz w:val="20"/>
                <w:szCs w:val="20"/>
              </w:rPr>
            </w:pPr>
            <w:r w:rsidRPr="00B455A9">
              <w:rPr>
                <w:rFonts w:ascii="Times New Roman" w:hAnsi="Times New Roman" w:cs="Times New Roman"/>
                <w:b w:val="0"/>
                <w:sz w:val="20"/>
                <w:szCs w:val="20"/>
              </w:rPr>
              <w:t>Study Area</w:t>
            </w:r>
          </w:p>
        </w:tc>
        <w:tc>
          <w:tcPr>
            <w:tcW w:w="5625" w:type="dxa"/>
            <w:gridSpan w:val="4"/>
          </w:tcPr>
          <w:p w14:paraId="079BF31B" w14:textId="77777777" w:rsidR="0000060D" w:rsidRPr="00B455A9" w:rsidRDefault="0000060D" w:rsidP="00B455A9">
            <w:pPr>
              <w:spacing w:after="0"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B455A9">
              <w:rPr>
                <w:rFonts w:ascii="Times New Roman" w:hAnsi="Times New Roman" w:cs="Times New Roman"/>
                <w:b w:val="0"/>
                <w:sz w:val="20"/>
                <w:szCs w:val="20"/>
              </w:rPr>
              <w:t>What challenges do you think might arise in using Hydra-form brick blocks for housing in your community?</w:t>
            </w:r>
          </w:p>
        </w:tc>
        <w:tc>
          <w:tcPr>
            <w:tcW w:w="1418" w:type="dxa"/>
            <w:gridSpan w:val="2"/>
          </w:tcPr>
          <w:p w14:paraId="04CA0E4E" w14:textId="77777777" w:rsidR="0000060D" w:rsidRPr="00B455A9" w:rsidRDefault="0000060D" w:rsidP="00B455A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B455A9">
              <w:rPr>
                <w:rFonts w:ascii="Times New Roman" w:hAnsi="Times New Roman" w:cs="Times New Roman"/>
                <w:b w:val="0"/>
                <w:sz w:val="20"/>
                <w:szCs w:val="20"/>
              </w:rPr>
              <w:t>Total (Frequency)</w:t>
            </w:r>
          </w:p>
        </w:tc>
      </w:tr>
      <w:tr w:rsidR="0000060D" w:rsidRPr="00B455A9" w14:paraId="4ECCCF5E" w14:textId="77777777" w:rsidTr="00B455A9">
        <w:trPr>
          <w:gridAfter w:val="1"/>
          <w:cnfStyle w:val="000000100000" w:firstRow="0" w:lastRow="0" w:firstColumn="0" w:lastColumn="0" w:oddVBand="0" w:evenVBand="0" w:oddHBand="1" w:evenHBand="0" w:firstRowFirstColumn="0" w:firstRowLastColumn="0" w:lastRowFirstColumn="0" w:lastRowLastColumn="0"/>
          <w:wAfter w:w="10" w:type="dxa"/>
          <w:jc w:val="center"/>
        </w:trPr>
        <w:tc>
          <w:tcPr>
            <w:cnfStyle w:val="001000000000" w:firstRow="0" w:lastRow="0" w:firstColumn="1" w:lastColumn="0" w:oddVBand="0" w:evenVBand="0" w:oddHBand="0" w:evenHBand="0" w:firstRowFirstColumn="0" w:firstRowLastColumn="0" w:lastRowFirstColumn="0" w:lastRowLastColumn="0"/>
            <w:tcW w:w="1610" w:type="dxa"/>
            <w:vMerge/>
            <w:tcBorders>
              <w:bottom w:val="single" w:sz="4" w:space="0" w:color="auto"/>
            </w:tcBorders>
          </w:tcPr>
          <w:p w14:paraId="73FCA37D" w14:textId="77777777" w:rsidR="0000060D" w:rsidRPr="00B455A9" w:rsidRDefault="0000060D" w:rsidP="00B455A9">
            <w:pPr>
              <w:spacing w:after="0" w:line="240" w:lineRule="auto"/>
              <w:rPr>
                <w:rFonts w:ascii="Times New Roman" w:hAnsi="Times New Roman" w:cs="Times New Roman"/>
                <w:sz w:val="20"/>
                <w:szCs w:val="20"/>
              </w:rPr>
            </w:pPr>
          </w:p>
        </w:tc>
        <w:tc>
          <w:tcPr>
            <w:tcW w:w="3963" w:type="dxa"/>
            <w:tcBorders>
              <w:bottom w:val="single" w:sz="4" w:space="0" w:color="auto"/>
            </w:tcBorders>
          </w:tcPr>
          <w:p w14:paraId="3E18E8B9" w14:textId="77777777" w:rsidR="0000060D" w:rsidRPr="00B455A9" w:rsidRDefault="0000060D" w:rsidP="00B455A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801" w:type="dxa"/>
            <w:tcBorders>
              <w:bottom w:val="single" w:sz="4" w:space="0" w:color="auto"/>
            </w:tcBorders>
          </w:tcPr>
          <w:p w14:paraId="5CA4D3DA" w14:textId="77777777" w:rsidR="0000060D" w:rsidRPr="00B455A9"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rPr>
            </w:pPr>
            <w:r w:rsidRPr="00B455A9">
              <w:rPr>
                <w:rFonts w:ascii="Times New Roman" w:hAnsi="Times New Roman" w:cs="Times New Roman"/>
                <w:bCs/>
                <w:sz w:val="20"/>
                <w:szCs w:val="20"/>
              </w:rPr>
              <w:t>No</w:t>
            </w:r>
          </w:p>
        </w:tc>
        <w:tc>
          <w:tcPr>
            <w:tcW w:w="851" w:type="dxa"/>
            <w:tcBorders>
              <w:bottom w:val="single" w:sz="4" w:space="0" w:color="auto"/>
            </w:tcBorders>
          </w:tcPr>
          <w:p w14:paraId="3A603972" w14:textId="77777777" w:rsidR="0000060D" w:rsidRPr="00B455A9"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rPr>
            </w:pPr>
            <w:r w:rsidRPr="00B455A9">
              <w:rPr>
                <w:rFonts w:ascii="Times New Roman" w:hAnsi="Times New Roman" w:cs="Times New Roman"/>
                <w:bCs/>
                <w:sz w:val="20"/>
                <w:szCs w:val="20"/>
              </w:rPr>
              <w:t>%</w:t>
            </w:r>
          </w:p>
        </w:tc>
        <w:tc>
          <w:tcPr>
            <w:tcW w:w="1418" w:type="dxa"/>
            <w:gridSpan w:val="2"/>
            <w:tcBorders>
              <w:bottom w:val="single" w:sz="4" w:space="0" w:color="auto"/>
            </w:tcBorders>
          </w:tcPr>
          <w:p w14:paraId="1888AFCB" w14:textId="77777777" w:rsidR="0000060D" w:rsidRPr="00B455A9" w:rsidRDefault="0000060D" w:rsidP="00B455A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00060D" w:rsidRPr="00B455A9" w14:paraId="1BC1F900" w14:textId="77777777" w:rsidTr="00B455A9">
        <w:trPr>
          <w:gridAfter w:val="1"/>
          <w:wAfter w:w="10" w:type="dxa"/>
          <w:jc w:val="center"/>
        </w:trPr>
        <w:tc>
          <w:tcPr>
            <w:cnfStyle w:val="001000000000" w:firstRow="0" w:lastRow="0" w:firstColumn="1" w:lastColumn="0" w:oddVBand="0" w:evenVBand="0" w:oddHBand="0" w:evenHBand="0" w:firstRowFirstColumn="0" w:firstRowLastColumn="0" w:lastRowFirstColumn="0" w:lastRowLastColumn="0"/>
            <w:tcW w:w="1610" w:type="dxa"/>
            <w:vMerge w:val="restart"/>
            <w:tcBorders>
              <w:top w:val="single" w:sz="4" w:space="0" w:color="auto"/>
              <w:bottom w:val="single" w:sz="4" w:space="0" w:color="BFBFBF" w:themeColor="background1" w:themeShade="BF"/>
            </w:tcBorders>
          </w:tcPr>
          <w:p w14:paraId="223C3413" w14:textId="77777777" w:rsidR="0000060D" w:rsidRPr="00B455A9" w:rsidRDefault="0000060D" w:rsidP="00B455A9">
            <w:pPr>
              <w:spacing w:after="0" w:line="240" w:lineRule="auto"/>
              <w:jc w:val="center"/>
              <w:rPr>
                <w:rFonts w:ascii="Times New Roman" w:hAnsi="Times New Roman" w:cs="Times New Roman"/>
                <w:bCs w:val="0"/>
                <w:sz w:val="20"/>
                <w:szCs w:val="20"/>
              </w:rPr>
            </w:pPr>
          </w:p>
          <w:p w14:paraId="7AA67818" w14:textId="77777777" w:rsidR="0000060D" w:rsidRPr="00B455A9" w:rsidRDefault="0000060D" w:rsidP="00B455A9">
            <w:pPr>
              <w:spacing w:after="0" w:line="240" w:lineRule="auto"/>
              <w:jc w:val="center"/>
              <w:rPr>
                <w:rFonts w:ascii="Times New Roman" w:hAnsi="Times New Roman" w:cs="Times New Roman"/>
                <w:bCs w:val="0"/>
                <w:sz w:val="20"/>
                <w:szCs w:val="20"/>
              </w:rPr>
            </w:pPr>
          </w:p>
          <w:p w14:paraId="5F5A1D97" w14:textId="77777777" w:rsidR="0000060D" w:rsidRPr="00B455A9" w:rsidRDefault="0000060D" w:rsidP="00B455A9">
            <w:pPr>
              <w:spacing w:after="0" w:line="240" w:lineRule="auto"/>
              <w:jc w:val="center"/>
              <w:rPr>
                <w:rFonts w:ascii="Times New Roman" w:hAnsi="Times New Roman" w:cs="Times New Roman"/>
                <w:sz w:val="20"/>
                <w:szCs w:val="20"/>
              </w:rPr>
            </w:pPr>
            <w:r w:rsidRPr="00B455A9">
              <w:rPr>
                <w:rFonts w:ascii="Times New Roman" w:hAnsi="Times New Roman" w:cs="Times New Roman"/>
                <w:b w:val="0"/>
                <w:sz w:val="20"/>
                <w:szCs w:val="20"/>
              </w:rPr>
              <w:t>Selected Public Secondary Schools in Bwari Area Council,F.C.T</w:t>
            </w:r>
          </w:p>
        </w:tc>
        <w:tc>
          <w:tcPr>
            <w:tcW w:w="3963" w:type="dxa"/>
            <w:tcBorders>
              <w:top w:val="single" w:sz="4" w:space="0" w:color="auto"/>
              <w:bottom w:val="single" w:sz="4" w:space="0" w:color="BFBFBF" w:themeColor="background1" w:themeShade="BF"/>
            </w:tcBorders>
          </w:tcPr>
          <w:p w14:paraId="1F2E00D9" w14:textId="77777777" w:rsidR="0000060D" w:rsidRPr="00B455A9" w:rsidRDefault="0000060D" w:rsidP="00B455A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 xml:space="preserve">Lack of awareness about the material      </w:t>
            </w:r>
          </w:p>
        </w:tc>
        <w:tc>
          <w:tcPr>
            <w:tcW w:w="801" w:type="dxa"/>
            <w:tcBorders>
              <w:top w:val="single" w:sz="4" w:space="0" w:color="auto"/>
              <w:bottom w:val="single" w:sz="4" w:space="0" w:color="BFBFBF" w:themeColor="background1" w:themeShade="BF"/>
            </w:tcBorders>
          </w:tcPr>
          <w:p w14:paraId="42E35A40" w14:textId="77777777" w:rsidR="0000060D" w:rsidRPr="00B455A9"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53</w:t>
            </w:r>
          </w:p>
        </w:tc>
        <w:tc>
          <w:tcPr>
            <w:tcW w:w="851" w:type="dxa"/>
            <w:tcBorders>
              <w:top w:val="single" w:sz="4" w:space="0" w:color="auto"/>
              <w:bottom w:val="single" w:sz="4" w:space="0" w:color="BFBFBF" w:themeColor="background1" w:themeShade="BF"/>
            </w:tcBorders>
          </w:tcPr>
          <w:p w14:paraId="270A25CA" w14:textId="77777777" w:rsidR="0000060D" w:rsidRPr="00B455A9"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22.8</w:t>
            </w:r>
          </w:p>
        </w:tc>
        <w:tc>
          <w:tcPr>
            <w:tcW w:w="1418" w:type="dxa"/>
            <w:gridSpan w:val="2"/>
            <w:tcBorders>
              <w:top w:val="single" w:sz="4" w:space="0" w:color="auto"/>
              <w:bottom w:val="single" w:sz="4" w:space="0" w:color="BFBFBF" w:themeColor="background1" w:themeShade="BF"/>
            </w:tcBorders>
          </w:tcPr>
          <w:p w14:paraId="4B58765F" w14:textId="77777777" w:rsidR="0000060D" w:rsidRPr="00B455A9"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53</w:t>
            </w:r>
          </w:p>
        </w:tc>
      </w:tr>
      <w:tr w:rsidR="0000060D" w:rsidRPr="00B455A9" w14:paraId="7561DED0" w14:textId="77777777" w:rsidTr="00B455A9">
        <w:trPr>
          <w:gridAfter w:val="1"/>
          <w:cnfStyle w:val="000000100000" w:firstRow="0" w:lastRow="0" w:firstColumn="0" w:lastColumn="0" w:oddVBand="0" w:evenVBand="0" w:oddHBand="1" w:evenHBand="0" w:firstRowFirstColumn="0" w:firstRowLastColumn="0" w:lastRowFirstColumn="0" w:lastRowLastColumn="0"/>
          <w:wAfter w:w="10" w:type="dxa"/>
          <w:jc w:val="center"/>
        </w:trPr>
        <w:tc>
          <w:tcPr>
            <w:cnfStyle w:val="001000000000" w:firstRow="0" w:lastRow="0" w:firstColumn="1" w:lastColumn="0" w:oddVBand="0" w:evenVBand="0" w:oddHBand="0" w:evenHBand="0" w:firstRowFirstColumn="0" w:firstRowLastColumn="0" w:lastRowFirstColumn="0" w:lastRowLastColumn="0"/>
            <w:tcW w:w="1610" w:type="dxa"/>
            <w:vMerge/>
            <w:tcBorders>
              <w:top w:val="single" w:sz="4" w:space="0" w:color="BFBFBF" w:themeColor="background1" w:themeShade="BF"/>
              <w:bottom w:val="single" w:sz="4" w:space="0" w:color="BFBFBF" w:themeColor="background1" w:themeShade="BF"/>
            </w:tcBorders>
          </w:tcPr>
          <w:p w14:paraId="7B7A2A58" w14:textId="77777777" w:rsidR="0000060D" w:rsidRPr="00B455A9" w:rsidRDefault="0000060D" w:rsidP="00B455A9">
            <w:pPr>
              <w:spacing w:after="0" w:line="240" w:lineRule="auto"/>
              <w:rPr>
                <w:rFonts w:ascii="Times New Roman" w:hAnsi="Times New Roman" w:cs="Times New Roman"/>
                <w:sz w:val="20"/>
                <w:szCs w:val="20"/>
              </w:rPr>
            </w:pPr>
          </w:p>
        </w:tc>
        <w:tc>
          <w:tcPr>
            <w:tcW w:w="3963" w:type="dxa"/>
            <w:tcBorders>
              <w:top w:val="single" w:sz="4" w:space="0" w:color="BFBFBF" w:themeColor="background1" w:themeShade="BF"/>
              <w:bottom w:val="single" w:sz="4" w:space="0" w:color="BFBFBF" w:themeColor="background1" w:themeShade="BF"/>
            </w:tcBorders>
          </w:tcPr>
          <w:p w14:paraId="18B77EC3" w14:textId="77777777" w:rsidR="0000060D" w:rsidRPr="00B455A9" w:rsidRDefault="0000060D" w:rsidP="00B455A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 xml:space="preserve">High cost of production and purchase     </w:t>
            </w:r>
          </w:p>
        </w:tc>
        <w:tc>
          <w:tcPr>
            <w:tcW w:w="801" w:type="dxa"/>
            <w:tcBorders>
              <w:top w:val="single" w:sz="4" w:space="0" w:color="BFBFBF" w:themeColor="background1" w:themeShade="BF"/>
              <w:bottom w:val="single" w:sz="4" w:space="0" w:color="BFBFBF" w:themeColor="background1" w:themeShade="BF"/>
            </w:tcBorders>
          </w:tcPr>
          <w:p w14:paraId="5286BE01" w14:textId="77777777" w:rsidR="0000060D" w:rsidRPr="00B455A9"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42</w:t>
            </w:r>
          </w:p>
        </w:tc>
        <w:tc>
          <w:tcPr>
            <w:tcW w:w="851" w:type="dxa"/>
            <w:tcBorders>
              <w:top w:val="single" w:sz="4" w:space="0" w:color="BFBFBF" w:themeColor="background1" w:themeShade="BF"/>
              <w:bottom w:val="single" w:sz="4" w:space="0" w:color="BFBFBF" w:themeColor="background1" w:themeShade="BF"/>
            </w:tcBorders>
          </w:tcPr>
          <w:p w14:paraId="16340AED" w14:textId="77777777" w:rsidR="0000060D" w:rsidRPr="00B455A9"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18.1</w:t>
            </w:r>
          </w:p>
        </w:tc>
        <w:tc>
          <w:tcPr>
            <w:tcW w:w="1418" w:type="dxa"/>
            <w:gridSpan w:val="2"/>
            <w:tcBorders>
              <w:top w:val="single" w:sz="4" w:space="0" w:color="BFBFBF" w:themeColor="background1" w:themeShade="BF"/>
              <w:bottom w:val="single" w:sz="4" w:space="0" w:color="BFBFBF" w:themeColor="background1" w:themeShade="BF"/>
            </w:tcBorders>
          </w:tcPr>
          <w:p w14:paraId="6593E26A" w14:textId="77777777" w:rsidR="0000060D" w:rsidRPr="00B455A9"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42</w:t>
            </w:r>
          </w:p>
        </w:tc>
      </w:tr>
      <w:tr w:rsidR="0000060D" w:rsidRPr="00B455A9" w14:paraId="438FEFC2" w14:textId="77777777" w:rsidTr="00B455A9">
        <w:trPr>
          <w:gridAfter w:val="1"/>
          <w:wAfter w:w="10" w:type="dxa"/>
          <w:jc w:val="center"/>
        </w:trPr>
        <w:tc>
          <w:tcPr>
            <w:cnfStyle w:val="001000000000" w:firstRow="0" w:lastRow="0" w:firstColumn="1" w:lastColumn="0" w:oddVBand="0" w:evenVBand="0" w:oddHBand="0" w:evenHBand="0" w:firstRowFirstColumn="0" w:firstRowLastColumn="0" w:lastRowFirstColumn="0" w:lastRowLastColumn="0"/>
            <w:tcW w:w="1610" w:type="dxa"/>
            <w:vMerge/>
            <w:tcBorders>
              <w:top w:val="single" w:sz="4" w:space="0" w:color="BFBFBF" w:themeColor="background1" w:themeShade="BF"/>
            </w:tcBorders>
          </w:tcPr>
          <w:p w14:paraId="46ADB764" w14:textId="77777777" w:rsidR="0000060D" w:rsidRPr="00B455A9" w:rsidRDefault="0000060D" w:rsidP="00B455A9">
            <w:pPr>
              <w:spacing w:after="0" w:line="240" w:lineRule="auto"/>
              <w:rPr>
                <w:rFonts w:ascii="Times New Roman" w:hAnsi="Times New Roman" w:cs="Times New Roman"/>
                <w:sz w:val="20"/>
                <w:szCs w:val="20"/>
              </w:rPr>
            </w:pPr>
          </w:p>
        </w:tc>
        <w:tc>
          <w:tcPr>
            <w:tcW w:w="3963" w:type="dxa"/>
            <w:tcBorders>
              <w:top w:val="single" w:sz="4" w:space="0" w:color="BFBFBF" w:themeColor="background1" w:themeShade="BF"/>
            </w:tcBorders>
          </w:tcPr>
          <w:p w14:paraId="11614B7A" w14:textId="77777777" w:rsidR="0000060D" w:rsidRPr="00B455A9" w:rsidRDefault="0000060D" w:rsidP="00B455A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 xml:space="preserve">Limited availability or distribution of the bricks     </w:t>
            </w:r>
          </w:p>
        </w:tc>
        <w:tc>
          <w:tcPr>
            <w:tcW w:w="801" w:type="dxa"/>
            <w:tcBorders>
              <w:top w:val="single" w:sz="4" w:space="0" w:color="BFBFBF" w:themeColor="background1" w:themeShade="BF"/>
            </w:tcBorders>
          </w:tcPr>
          <w:p w14:paraId="5C993A1F" w14:textId="77777777" w:rsidR="0000060D" w:rsidRPr="00B455A9"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30</w:t>
            </w:r>
          </w:p>
        </w:tc>
        <w:tc>
          <w:tcPr>
            <w:tcW w:w="851" w:type="dxa"/>
            <w:tcBorders>
              <w:top w:val="single" w:sz="4" w:space="0" w:color="BFBFBF" w:themeColor="background1" w:themeShade="BF"/>
            </w:tcBorders>
          </w:tcPr>
          <w:p w14:paraId="7D5796F1" w14:textId="77777777" w:rsidR="0000060D" w:rsidRPr="00B455A9"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12.9</w:t>
            </w:r>
          </w:p>
        </w:tc>
        <w:tc>
          <w:tcPr>
            <w:tcW w:w="1418" w:type="dxa"/>
            <w:gridSpan w:val="2"/>
            <w:tcBorders>
              <w:top w:val="single" w:sz="4" w:space="0" w:color="BFBFBF" w:themeColor="background1" w:themeShade="BF"/>
            </w:tcBorders>
          </w:tcPr>
          <w:p w14:paraId="24469A08" w14:textId="77777777" w:rsidR="0000060D" w:rsidRPr="00B455A9"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30</w:t>
            </w:r>
          </w:p>
        </w:tc>
      </w:tr>
      <w:tr w:rsidR="0000060D" w:rsidRPr="00B455A9" w14:paraId="28E5D9E1" w14:textId="77777777" w:rsidTr="00B455A9">
        <w:trPr>
          <w:gridAfter w:val="1"/>
          <w:cnfStyle w:val="000000100000" w:firstRow="0" w:lastRow="0" w:firstColumn="0" w:lastColumn="0" w:oddVBand="0" w:evenVBand="0" w:oddHBand="1" w:evenHBand="0" w:firstRowFirstColumn="0" w:firstRowLastColumn="0" w:lastRowFirstColumn="0" w:lastRowLastColumn="0"/>
          <w:wAfter w:w="10" w:type="dxa"/>
          <w:jc w:val="center"/>
        </w:trPr>
        <w:tc>
          <w:tcPr>
            <w:cnfStyle w:val="001000000000" w:firstRow="0" w:lastRow="0" w:firstColumn="1" w:lastColumn="0" w:oddVBand="0" w:evenVBand="0" w:oddHBand="0" w:evenHBand="0" w:firstRowFirstColumn="0" w:firstRowLastColumn="0" w:lastRowFirstColumn="0" w:lastRowLastColumn="0"/>
            <w:tcW w:w="1610" w:type="dxa"/>
            <w:vMerge/>
          </w:tcPr>
          <w:p w14:paraId="03EDD0ED" w14:textId="77777777" w:rsidR="0000060D" w:rsidRPr="00B455A9" w:rsidRDefault="0000060D" w:rsidP="00B455A9">
            <w:pPr>
              <w:spacing w:after="0" w:line="240" w:lineRule="auto"/>
              <w:rPr>
                <w:rFonts w:ascii="Times New Roman" w:hAnsi="Times New Roman" w:cs="Times New Roman"/>
                <w:sz w:val="20"/>
                <w:szCs w:val="20"/>
              </w:rPr>
            </w:pPr>
          </w:p>
        </w:tc>
        <w:tc>
          <w:tcPr>
            <w:tcW w:w="3963" w:type="dxa"/>
          </w:tcPr>
          <w:p w14:paraId="5574D9B4" w14:textId="77777777" w:rsidR="0000060D" w:rsidRPr="00B455A9" w:rsidRDefault="0000060D" w:rsidP="00B455A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 xml:space="preserve">Lack of skilled labor to work with Hydra-form blocks   </w:t>
            </w:r>
          </w:p>
        </w:tc>
        <w:tc>
          <w:tcPr>
            <w:tcW w:w="801" w:type="dxa"/>
          </w:tcPr>
          <w:p w14:paraId="7ED0C4C6" w14:textId="77777777" w:rsidR="0000060D" w:rsidRPr="00B455A9"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12</w:t>
            </w:r>
          </w:p>
        </w:tc>
        <w:tc>
          <w:tcPr>
            <w:tcW w:w="851" w:type="dxa"/>
          </w:tcPr>
          <w:p w14:paraId="2A19DFD5" w14:textId="77777777" w:rsidR="0000060D" w:rsidRPr="00B455A9"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5.2</w:t>
            </w:r>
          </w:p>
        </w:tc>
        <w:tc>
          <w:tcPr>
            <w:tcW w:w="1418" w:type="dxa"/>
            <w:gridSpan w:val="2"/>
          </w:tcPr>
          <w:p w14:paraId="3DACCA9E" w14:textId="77777777" w:rsidR="0000060D" w:rsidRPr="00B455A9"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12</w:t>
            </w:r>
          </w:p>
        </w:tc>
      </w:tr>
      <w:tr w:rsidR="0000060D" w:rsidRPr="00B455A9" w14:paraId="30DB7F8A" w14:textId="77777777" w:rsidTr="00B455A9">
        <w:trPr>
          <w:gridAfter w:val="1"/>
          <w:wAfter w:w="10" w:type="dxa"/>
          <w:jc w:val="center"/>
        </w:trPr>
        <w:tc>
          <w:tcPr>
            <w:cnfStyle w:val="001000000000" w:firstRow="0" w:lastRow="0" w:firstColumn="1" w:lastColumn="0" w:oddVBand="0" w:evenVBand="0" w:oddHBand="0" w:evenHBand="0" w:firstRowFirstColumn="0" w:firstRowLastColumn="0" w:lastRowFirstColumn="0" w:lastRowLastColumn="0"/>
            <w:tcW w:w="1610" w:type="dxa"/>
            <w:vMerge/>
          </w:tcPr>
          <w:p w14:paraId="14E45559" w14:textId="77777777" w:rsidR="0000060D" w:rsidRPr="00B455A9" w:rsidRDefault="0000060D" w:rsidP="00B455A9">
            <w:pPr>
              <w:spacing w:after="0" w:line="240" w:lineRule="auto"/>
              <w:rPr>
                <w:rFonts w:ascii="Times New Roman" w:hAnsi="Times New Roman" w:cs="Times New Roman"/>
                <w:sz w:val="20"/>
                <w:szCs w:val="20"/>
              </w:rPr>
            </w:pPr>
          </w:p>
        </w:tc>
        <w:tc>
          <w:tcPr>
            <w:tcW w:w="3963" w:type="dxa"/>
          </w:tcPr>
          <w:p w14:paraId="16AAEB2F" w14:textId="77777777" w:rsidR="0000060D" w:rsidRPr="00B455A9" w:rsidRDefault="0000060D" w:rsidP="00B455A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Resistance to adopting new materials or technologies</w:t>
            </w:r>
          </w:p>
        </w:tc>
        <w:tc>
          <w:tcPr>
            <w:tcW w:w="801" w:type="dxa"/>
          </w:tcPr>
          <w:p w14:paraId="360D383A" w14:textId="77777777" w:rsidR="0000060D" w:rsidRPr="00B455A9"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48</w:t>
            </w:r>
          </w:p>
        </w:tc>
        <w:tc>
          <w:tcPr>
            <w:tcW w:w="851" w:type="dxa"/>
          </w:tcPr>
          <w:p w14:paraId="3432CDDB" w14:textId="77777777" w:rsidR="0000060D" w:rsidRPr="00B455A9"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20.7</w:t>
            </w:r>
          </w:p>
        </w:tc>
        <w:tc>
          <w:tcPr>
            <w:tcW w:w="1418" w:type="dxa"/>
            <w:gridSpan w:val="2"/>
          </w:tcPr>
          <w:p w14:paraId="1C101AA9" w14:textId="77777777" w:rsidR="0000060D" w:rsidRPr="00B455A9"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48</w:t>
            </w:r>
          </w:p>
        </w:tc>
      </w:tr>
      <w:tr w:rsidR="0000060D" w:rsidRPr="00B455A9" w14:paraId="142733EB" w14:textId="77777777" w:rsidTr="00B455A9">
        <w:trPr>
          <w:gridAfter w:val="1"/>
          <w:cnfStyle w:val="000000100000" w:firstRow="0" w:lastRow="0" w:firstColumn="0" w:lastColumn="0" w:oddVBand="0" w:evenVBand="0" w:oddHBand="1" w:evenHBand="0" w:firstRowFirstColumn="0" w:firstRowLastColumn="0" w:lastRowFirstColumn="0" w:lastRowLastColumn="0"/>
          <w:wAfter w:w="10" w:type="dxa"/>
          <w:jc w:val="center"/>
        </w:trPr>
        <w:tc>
          <w:tcPr>
            <w:cnfStyle w:val="001000000000" w:firstRow="0" w:lastRow="0" w:firstColumn="1" w:lastColumn="0" w:oddVBand="0" w:evenVBand="0" w:oddHBand="0" w:evenHBand="0" w:firstRowFirstColumn="0" w:firstRowLastColumn="0" w:lastRowFirstColumn="0" w:lastRowLastColumn="0"/>
            <w:tcW w:w="1610" w:type="dxa"/>
            <w:vMerge/>
          </w:tcPr>
          <w:p w14:paraId="6FB8A92C" w14:textId="77777777" w:rsidR="0000060D" w:rsidRPr="00B455A9" w:rsidRDefault="0000060D" w:rsidP="00B455A9">
            <w:pPr>
              <w:spacing w:after="0" w:line="240" w:lineRule="auto"/>
              <w:rPr>
                <w:rFonts w:ascii="Times New Roman" w:hAnsi="Times New Roman" w:cs="Times New Roman"/>
                <w:sz w:val="20"/>
                <w:szCs w:val="20"/>
              </w:rPr>
            </w:pPr>
          </w:p>
        </w:tc>
        <w:tc>
          <w:tcPr>
            <w:tcW w:w="3963" w:type="dxa"/>
          </w:tcPr>
          <w:p w14:paraId="1A3EE73C" w14:textId="77777777" w:rsidR="0000060D" w:rsidRPr="00B455A9" w:rsidRDefault="0000060D" w:rsidP="00B455A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 xml:space="preserve">Lack of information about the benefits of Hydra-form bricks     </w:t>
            </w:r>
          </w:p>
        </w:tc>
        <w:tc>
          <w:tcPr>
            <w:tcW w:w="801" w:type="dxa"/>
          </w:tcPr>
          <w:p w14:paraId="7A39B226" w14:textId="77777777" w:rsidR="0000060D" w:rsidRPr="00B455A9"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47</w:t>
            </w:r>
          </w:p>
        </w:tc>
        <w:tc>
          <w:tcPr>
            <w:tcW w:w="851" w:type="dxa"/>
          </w:tcPr>
          <w:p w14:paraId="12745557" w14:textId="77777777" w:rsidR="0000060D" w:rsidRPr="00B455A9"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20.3</w:t>
            </w:r>
          </w:p>
        </w:tc>
        <w:tc>
          <w:tcPr>
            <w:tcW w:w="1418" w:type="dxa"/>
            <w:gridSpan w:val="2"/>
          </w:tcPr>
          <w:p w14:paraId="13FAB610" w14:textId="77777777" w:rsidR="0000060D" w:rsidRPr="00B455A9"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47</w:t>
            </w:r>
          </w:p>
        </w:tc>
      </w:tr>
      <w:tr w:rsidR="0000060D" w:rsidRPr="00B455A9" w14:paraId="7DA63169" w14:textId="77777777" w:rsidTr="00B455A9">
        <w:trPr>
          <w:gridAfter w:val="1"/>
          <w:wAfter w:w="10" w:type="dxa"/>
          <w:jc w:val="center"/>
        </w:trPr>
        <w:tc>
          <w:tcPr>
            <w:cnfStyle w:val="001000000000" w:firstRow="0" w:lastRow="0" w:firstColumn="1" w:lastColumn="0" w:oddVBand="0" w:evenVBand="0" w:oddHBand="0" w:evenHBand="0" w:firstRowFirstColumn="0" w:firstRowLastColumn="0" w:lastRowFirstColumn="0" w:lastRowLastColumn="0"/>
            <w:tcW w:w="1610" w:type="dxa"/>
            <w:vMerge/>
          </w:tcPr>
          <w:p w14:paraId="3EFF8960" w14:textId="77777777" w:rsidR="0000060D" w:rsidRPr="00B455A9" w:rsidRDefault="0000060D" w:rsidP="00B455A9">
            <w:pPr>
              <w:spacing w:after="0" w:line="240" w:lineRule="auto"/>
              <w:rPr>
                <w:rFonts w:ascii="Times New Roman" w:hAnsi="Times New Roman" w:cs="Times New Roman"/>
                <w:sz w:val="20"/>
                <w:szCs w:val="20"/>
              </w:rPr>
            </w:pPr>
          </w:p>
        </w:tc>
        <w:tc>
          <w:tcPr>
            <w:tcW w:w="3963" w:type="dxa"/>
          </w:tcPr>
          <w:p w14:paraId="6C45FAE5" w14:textId="77777777" w:rsidR="0000060D" w:rsidRPr="00B455A9" w:rsidRDefault="0000060D" w:rsidP="00B455A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Others</w:t>
            </w:r>
          </w:p>
        </w:tc>
        <w:tc>
          <w:tcPr>
            <w:tcW w:w="801" w:type="dxa"/>
          </w:tcPr>
          <w:p w14:paraId="53B706EC" w14:textId="77777777" w:rsidR="0000060D" w:rsidRPr="00B455A9"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0</w:t>
            </w:r>
          </w:p>
        </w:tc>
        <w:tc>
          <w:tcPr>
            <w:tcW w:w="851" w:type="dxa"/>
          </w:tcPr>
          <w:p w14:paraId="2F915C95" w14:textId="77777777" w:rsidR="0000060D" w:rsidRPr="00B455A9"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0</w:t>
            </w:r>
          </w:p>
        </w:tc>
        <w:tc>
          <w:tcPr>
            <w:tcW w:w="1418" w:type="dxa"/>
            <w:gridSpan w:val="2"/>
          </w:tcPr>
          <w:p w14:paraId="76999997" w14:textId="77777777" w:rsidR="0000060D" w:rsidRPr="00B455A9"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0</w:t>
            </w:r>
          </w:p>
        </w:tc>
      </w:tr>
      <w:tr w:rsidR="0000060D" w:rsidRPr="00B455A9" w14:paraId="3C906228" w14:textId="77777777" w:rsidTr="00B455A9">
        <w:trPr>
          <w:gridAfter w:val="1"/>
          <w:cnfStyle w:val="000000100000" w:firstRow="0" w:lastRow="0" w:firstColumn="0" w:lastColumn="0" w:oddVBand="0" w:evenVBand="0" w:oddHBand="1" w:evenHBand="0" w:firstRowFirstColumn="0" w:firstRowLastColumn="0" w:lastRowFirstColumn="0" w:lastRowLastColumn="0"/>
          <w:wAfter w:w="10" w:type="dxa"/>
          <w:jc w:val="center"/>
        </w:trPr>
        <w:tc>
          <w:tcPr>
            <w:cnfStyle w:val="001000000000" w:firstRow="0" w:lastRow="0" w:firstColumn="1" w:lastColumn="0" w:oddVBand="0" w:evenVBand="0" w:oddHBand="0" w:evenHBand="0" w:firstRowFirstColumn="0" w:firstRowLastColumn="0" w:lastRowFirstColumn="0" w:lastRowLastColumn="0"/>
            <w:tcW w:w="5573" w:type="dxa"/>
            <w:gridSpan w:val="2"/>
          </w:tcPr>
          <w:p w14:paraId="6BC27736" w14:textId="77777777" w:rsidR="0000060D" w:rsidRPr="00BE055A" w:rsidRDefault="0000060D" w:rsidP="00B455A9">
            <w:pPr>
              <w:spacing w:after="0" w:line="240" w:lineRule="auto"/>
              <w:rPr>
                <w:rFonts w:ascii="Times New Roman" w:hAnsi="Times New Roman" w:cs="Times New Roman"/>
                <w:iCs/>
                <w:sz w:val="20"/>
                <w:szCs w:val="20"/>
              </w:rPr>
            </w:pPr>
            <w:r w:rsidRPr="00BE055A">
              <w:rPr>
                <w:rFonts w:ascii="Times New Roman" w:hAnsi="Times New Roman" w:cs="Times New Roman"/>
                <w:iCs/>
                <w:sz w:val="20"/>
                <w:szCs w:val="20"/>
              </w:rPr>
              <w:t>Grand Total</w:t>
            </w:r>
          </w:p>
        </w:tc>
        <w:tc>
          <w:tcPr>
            <w:tcW w:w="801" w:type="dxa"/>
          </w:tcPr>
          <w:p w14:paraId="1E644C61" w14:textId="77777777" w:rsidR="0000060D" w:rsidRPr="00BE055A"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Cs/>
                <w:sz w:val="20"/>
                <w:szCs w:val="20"/>
              </w:rPr>
            </w:pPr>
            <w:r w:rsidRPr="00BE055A">
              <w:rPr>
                <w:rFonts w:ascii="Times New Roman" w:hAnsi="Times New Roman" w:cs="Times New Roman"/>
                <w:b/>
                <w:iCs/>
                <w:sz w:val="20"/>
                <w:szCs w:val="20"/>
              </w:rPr>
              <w:t>232</w:t>
            </w:r>
          </w:p>
        </w:tc>
        <w:tc>
          <w:tcPr>
            <w:tcW w:w="851" w:type="dxa"/>
          </w:tcPr>
          <w:p w14:paraId="08D2DF29" w14:textId="77777777" w:rsidR="0000060D" w:rsidRPr="00BE055A"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Cs/>
                <w:sz w:val="20"/>
                <w:szCs w:val="20"/>
              </w:rPr>
            </w:pPr>
            <w:r w:rsidRPr="00BE055A">
              <w:rPr>
                <w:rFonts w:ascii="Times New Roman" w:hAnsi="Times New Roman" w:cs="Times New Roman"/>
                <w:b/>
                <w:iCs/>
                <w:sz w:val="20"/>
                <w:szCs w:val="20"/>
              </w:rPr>
              <w:t>100.0</w:t>
            </w:r>
          </w:p>
        </w:tc>
        <w:tc>
          <w:tcPr>
            <w:tcW w:w="1418" w:type="dxa"/>
            <w:gridSpan w:val="2"/>
          </w:tcPr>
          <w:p w14:paraId="1CC7EB08" w14:textId="77777777" w:rsidR="0000060D" w:rsidRPr="00BE055A"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Cs/>
                <w:sz w:val="20"/>
                <w:szCs w:val="20"/>
              </w:rPr>
            </w:pPr>
            <w:r w:rsidRPr="00BE055A">
              <w:rPr>
                <w:rFonts w:ascii="Times New Roman" w:hAnsi="Times New Roman" w:cs="Times New Roman"/>
                <w:b/>
                <w:iCs/>
                <w:sz w:val="20"/>
                <w:szCs w:val="20"/>
              </w:rPr>
              <w:t>226</w:t>
            </w:r>
          </w:p>
        </w:tc>
      </w:tr>
    </w:tbl>
    <w:p w14:paraId="0A12609E" w14:textId="77777777" w:rsidR="0000060D" w:rsidRPr="00B455A9" w:rsidRDefault="0000060D" w:rsidP="00B455A9">
      <w:pPr>
        <w:spacing w:line="360" w:lineRule="auto"/>
        <w:jc w:val="center"/>
        <w:rPr>
          <w:rFonts w:ascii="Times New Roman" w:hAnsi="Times New Roman" w:cs="Times New Roman"/>
          <w:bCs/>
          <w:iCs/>
          <w:sz w:val="24"/>
          <w:szCs w:val="24"/>
        </w:rPr>
      </w:pPr>
      <w:r w:rsidRPr="00B455A9">
        <w:rPr>
          <w:rFonts w:ascii="Times New Roman" w:hAnsi="Times New Roman" w:cs="Times New Roman"/>
          <w:bCs/>
          <w:iCs/>
          <w:sz w:val="24"/>
          <w:szCs w:val="24"/>
        </w:rPr>
        <w:t>Source: Author’s Field Survey, 2025</w:t>
      </w:r>
    </w:p>
    <w:p w14:paraId="7E1136D5" w14:textId="77777777" w:rsidR="0000060D" w:rsidRPr="00BE4AF3" w:rsidRDefault="0000060D" w:rsidP="00B455A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Another important challenge, cited by 20.7% of respondents, was resistance to adopting new materials or technologies. This indicates skepticism about the performance of Hydra-Form bricks compared to conventional sandcrete blocks, as well as reluctance to deviate from familiar building practices. Additionally, 18.1% identified the high cost of production and purchase as a constraint, underscoring the role of affordability in determining acceptance. Further concerns included limited availability or distribution of the bricks (12.9%) and a shortage of skilled labor to handle the material (5.2%). No respondents selected “Others,” confirming that the listed categories adequately captured the perceived challenges.</w:t>
      </w:r>
    </w:p>
    <w:p w14:paraId="75717460" w14:textId="77777777" w:rsidR="0000060D" w:rsidRPr="00BE4AF3" w:rsidRDefault="0000060D" w:rsidP="00B455A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To address these obstacles, respondents suggested various strategies (Table 4.2). The most widely supported measure was government subsidies or financial incentives, endorsed by 31.0% of participants. This reflects the importance of reducing financial barriers to encourage adoption. Similarly, 26.7% recommended training programs for builders and contractors, recognizing that skills development is critical for effective utilization of Hydra-Form blocks. Another 24.1% emphasized the need for establishing local manufacturing plants, which would increase accessibility and reduce costs by ensuring proximity of supply. Finally, 18.1% suggested demonstration projects or pilot housing schemes, highlighting the potential of practical case studies to showcase the material’s benefits and build public trust.</w:t>
      </w:r>
    </w:p>
    <w:p w14:paraId="2DE5DC3E" w14:textId="77777777" w:rsidR="00B455A9" w:rsidRDefault="00B455A9" w:rsidP="0000060D">
      <w:pPr>
        <w:rPr>
          <w:rFonts w:ascii="Times New Roman" w:hAnsi="Times New Roman" w:cs="Times New Roman"/>
          <w:b/>
          <w:sz w:val="24"/>
          <w:szCs w:val="24"/>
        </w:rPr>
      </w:pPr>
    </w:p>
    <w:p w14:paraId="1C8A6F67" w14:textId="663F04AC" w:rsidR="0000060D" w:rsidRPr="00B455A9" w:rsidRDefault="0000060D" w:rsidP="00B455A9">
      <w:pPr>
        <w:spacing w:after="0" w:line="240" w:lineRule="auto"/>
        <w:jc w:val="center"/>
        <w:rPr>
          <w:rFonts w:ascii="Times New Roman" w:hAnsi="Times New Roman" w:cs="Times New Roman"/>
          <w:bCs/>
          <w:sz w:val="24"/>
          <w:szCs w:val="24"/>
        </w:rPr>
      </w:pPr>
      <w:r w:rsidRPr="00BE4AF3">
        <w:rPr>
          <w:rFonts w:ascii="Times New Roman" w:hAnsi="Times New Roman" w:cs="Times New Roman"/>
          <w:b/>
          <w:sz w:val="24"/>
          <w:szCs w:val="24"/>
        </w:rPr>
        <w:lastRenderedPageBreak/>
        <w:t>Table 4.2</w:t>
      </w:r>
      <w:r w:rsidR="00B455A9">
        <w:rPr>
          <w:rFonts w:ascii="Times New Roman" w:hAnsi="Times New Roman" w:cs="Times New Roman"/>
          <w:b/>
          <w:sz w:val="24"/>
          <w:szCs w:val="24"/>
        </w:rPr>
        <w:t>:</w:t>
      </w:r>
      <w:r w:rsidRPr="00BE4AF3">
        <w:rPr>
          <w:rFonts w:ascii="Times New Roman" w:hAnsi="Times New Roman" w:cs="Times New Roman"/>
          <w:b/>
          <w:sz w:val="24"/>
          <w:szCs w:val="24"/>
        </w:rPr>
        <w:t xml:space="preserve"> </w:t>
      </w:r>
      <w:r w:rsidRPr="00B455A9">
        <w:rPr>
          <w:rFonts w:ascii="Times New Roman" w:hAnsi="Times New Roman" w:cs="Times New Roman"/>
          <w:bCs/>
          <w:sz w:val="24"/>
          <w:szCs w:val="24"/>
        </w:rPr>
        <w:t>Respondent response to how they think these challenges could be addressed?</w:t>
      </w:r>
    </w:p>
    <w:tbl>
      <w:tblPr>
        <w:tblStyle w:val="PlainTable11"/>
        <w:tblW w:w="0" w:type="auto"/>
        <w:jc w:val="center"/>
        <w:tblBorders>
          <w:top w:val="single" w:sz="4" w:space="0" w:color="auto"/>
          <w:bottom w:val="single" w:sz="4" w:space="0" w:color="auto"/>
        </w:tblBorders>
        <w:tblLook w:val="04A0" w:firstRow="1" w:lastRow="0" w:firstColumn="1" w:lastColumn="0" w:noHBand="0" w:noVBand="1"/>
      </w:tblPr>
      <w:tblGrid>
        <w:gridCol w:w="1608"/>
        <w:gridCol w:w="3972"/>
        <w:gridCol w:w="936"/>
        <w:gridCol w:w="705"/>
        <w:gridCol w:w="14"/>
        <w:gridCol w:w="1572"/>
        <w:gridCol w:w="14"/>
      </w:tblGrid>
      <w:tr w:rsidR="0000060D" w:rsidRPr="00B455A9" w14:paraId="4B0819A0" w14:textId="77777777" w:rsidTr="00B455A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8" w:type="dxa"/>
            <w:vMerge w:val="restart"/>
          </w:tcPr>
          <w:p w14:paraId="05E084E2" w14:textId="77777777" w:rsidR="0000060D" w:rsidRPr="00B455A9" w:rsidRDefault="0000060D" w:rsidP="00B455A9">
            <w:pPr>
              <w:spacing w:after="0" w:line="240" w:lineRule="auto"/>
              <w:jc w:val="center"/>
              <w:rPr>
                <w:rFonts w:ascii="Times New Roman" w:hAnsi="Times New Roman" w:cs="Times New Roman"/>
                <w:b w:val="0"/>
                <w:sz w:val="20"/>
                <w:szCs w:val="20"/>
              </w:rPr>
            </w:pPr>
            <w:r w:rsidRPr="00B455A9">
              <w:rPr>
                <w:rFonts w:ascii="Times New Roman" w:hAnsi="Times New Roman" w:cs="Times New Roman"/>
                <w:b w:val="0"/>
                <w:sz w:val="20"/>
                <w:szCs w:val="20"/>
              </w:rPr>
              <w:t>Study Area</w:t>
            </w:r>
          </w:p>
        </w:tc>
        <w:tc>
          <w:tcPr>
            <w:tcW w:w="5627" w:type="dxa"/>
            <w:gridSpan w:val="4"/>
          </w:tcPr>
          <w:p w14:paraId="11568A00" w14:textId="77777777" w:rsidR="0000060D" w:rsidRPr="00B455A9" w:rsidRDefault="0000060D" w:rsidP="00B455A9">
            <w:pPr>
              <w:spacing w:after="0"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B455A9">
              <w:rPr>
                <w:rFonts w:ascii="Times New Roman" w:hAnsi="Times New Roman" w:cs="Times New Roman"/>
                <w:b w:val="0"/>
                <w:sz w:val="20"/>
                <w:szCs w:val="20"/>
              </w:rPr>
              <w:t>How do you think these challenges could be addressed?</w:t>
            </w:r>
          </w:p>
        </w:tc>
        <w:tc>
          <w:tcPr>
            <w:tcW w:w="1586" w:type="dxa"/>
            <w:gridSpan w:val="2"/>
          </w:tcPr>
          <w:p w14:paraId="3FF8E8CF" w14:textId="77777777" w:rsidR="0000060D" w:rsidRPr="00B455A9" w:rsidRDefault="0000060D" w:rsidP="00B455A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B455A9">
              <w:rPr>
                <w:rFonts w:ascii="Times New Roman" w:hAnsi="Times New Roman" w:cs="Times New Roman"/>
                <w:b w:val="0"/>
                <w:sz w:val="20"/>
                <w:szCs w:val="20"/>
              </w:rPr>
              <w:t>Total (Frequency)</w:t>
            </w:r>
          </w:p>
        </w:tc>
      </w:tr>
      <w:tr w:rsidR="0000060D" w:rsidRPr="00B455A9" w14:paraId="3E4D1D78" w14:textId="77777777" w:rsidTr="00B455A9">
        <w:trPr>
          <w:gridAfter w:val="1"/>
          <w:cnfStyle w:val="000000100000" w:firstRow="0" w:lastRow="0" w:firstColumn="0" w:lastColumn="0" w:oddVBand="0" w:evenVBand="0" w:oddHBand="1" w:evenHBand="0" w:firstRowFirstColumn="0" w:firstRowLastColumn="0" w:lastRowFirstColumn="0" w:lastRowLastColumn="0"/>
          <w:wAfter w:w="14" w:type="dxa"/>
          <w:jc w:val="center"/>
        </w:trPr>
        <w:tc>
          <w:tcPr>
            <w:cnfStyle w:val="001000000000" w:firstRow="0" w:lastRow="0" w:firstColumn="1" w:lastColumn="0" w:oddVBand="0" w:evenVBand="0" w:oddHBand="0" w:evenHBand="0" w:firstRowFirstColumn="0" w:firstRowLastColumn="0" w:lastRowFirstColumn="0" w:lastRowLastColumn="0"/>
            <w:tcW w:w="1608" w:type="dxa"/>
            <w:vMerge/>
            <w:tcBorders>
              <w:bottom w:val="single" w:sz="4" w:space="0" w:color="auto"/>
            </w:tcBorders>
          </w:tcPr>
          <w:p w14:paraId="10CBF375" w14:textId="77777777" w:rsidR="0000060D" w:rsidRPr="00B455A9" w:rsidRDefault="0000060D" w:rsidP="00B455A9">
            <w:pPr>
              <w:spacing w:after="0" w:line="240" w:lineRule="auto"/>
              <w:rPr>
                <w:rFonts w:ascii="Times New Roman" w:hAnsi="Times New Roman" w:cs="Times New Roman"/>
                <w:b w:val="0"/>
                <w:sz w:val="20"/>
                <w:szCs w:val="20"/>
              </w:rPr>
            </w:pPr>
          </w:p>
        </w:tc>
        <w:tc>
          <w:tcPr>
            <w:tcW w:w="3972" w:type="dxa"/>
            <w:tcBorders>
              <w:bottom w:val="single" w:sz="4" w:space="0" w:color="auto"/>
            </w:tcBorders>
          </w:tcPr>
          <w:p w14:paraId="7B478B4B" w14:textId="77777777" w:rsidR="0000060D" w:rsidRPr="00B455A9" w:rsidRDefault="0000060D" w:rsidP="00B455A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rPr>
            </w:pPr>
          </w:p>
        </w:tc>
        <w:tc>
          <w:tcPr>
            <w:tcW w:w="936" w:type="dxa"/>
            <w:tcBorders>
              <w:bottom w:val="single" w:sz="4" w:space="0" w:color="auto"/>
            </w:tcBorders>
          </w:tcPr>
          <w:p w14:paraId="02B7BA81" w14:textId="77777777" w:rsidR="0000060D" w:rsidRPr="00B455A9"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rPr>
            </w:pPr>
            <w:r w:rsidRPr="00B455A9">
              <w:rPr>
                <w:rFonts w:ascii="Times New Roman" w:hAnsi="Times New Roman" w:cs="Times New Roman"/>
                <w:bCs/>
                <w:sz w:val="20"/>
                <w:szCs w:val="20"/>
              </w:rPr>
              <w:t>No</w:t>
            </w:r>
          </w:p>
        </w:tc>
        <w:tc>
          <w:tcPr>
            <w:tcW w:w="705" w:type="dxa"/>
            <w:tcBorders>
              <w:bottom w:val="single" w:sz="4" w:space="0" w:color="auto"/>
            </w:tcBorders>
          </w:tcPr>
          <w:p w14:paraId="5D7A9CE3" w14:textId="77777777" w:rsidR="0000060D" w:rsidRPr="00B455A9"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rPr>
            </w:pPr>
            <w:r w:rsidRPr="00B455A9">
              <w:rPr>
                <w:rFonts w:ascii="Times New Roman" w:hAnsi="Times New Roman" w:cs="Times New Roman"/>
                <w:bCs/>
                <w:sz w:val="20"/>
                <w:szCs w:val="20"/>
              </w:rPr>
              <w:t>%</w:t>
            </w:r>
          </w:p>
        </w:tc>
        <w:tc>
          <w:tcPr>
            <w:tcW w:w="1586" w:type="dxa"/>
            <w:gridSpan w:val="2"/>
            <w:tcBorders>
              <w:bottom w:val="single" w:sz="4" w:space="0" w:color="auto"/>
            </w:tcBorders>
          </w:tcPr>
          <w:p w14:paraId="43E188E2" w14:textId="77777777" w:rsidR="0000060D" w:rsidRPr="00B455A9" w:rsidRDefault="0000060D" w:rsidP="00B455A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rPr>
            </w:pPr>
          </w:p>
        </w:tc>
      </w:tr>
      <w:tr w:rsidR="0000060D" w:rsidRPr="00B455A9" w14:paraId="2951ACEE" w14:textId="77777777" w:rsidTr="00B455A9">
        <w:trPr>
          <w:gridAfter w:val="1"/>
          <w:wAfter w:w="14" w:type="dxa"/>
          <w:jc w:val="center"/>
        </w:trPr>
        <w:tc>
          <w:tcPr>
            <w:cnfStyle w:val="001000000000" w:firstRow="0" w:lastRow="0" w:firstColumn="1" w:lastColumn="0" w:oddVBand="0" w:evenVBand="0" w:oddHBand="0" w:evenHBand="0" w:firstRowFirstColumn="0" w:firstRowLastColumn="0" w:lastRowFirstColumn="0" w:lastRowLastColumn="0"/>
            <w:tcW w:w="1608" w:type="dxa"/>
            <w:vMerge w:val="restart"/>
            <w:tcBorders>
              <w:top w:val="single" w:sz="4" w:space="0" w:color="auto"/>
              <w:bottom w:val="single" w:sz="4" w:space="0" w:color="BFBFBF" w:themeColor="background1" w:themeShade="BF"/>
            </w:tcBorders>
          </w:tcPr>
          <w:p w14:paraId="2F70567E" w14:textId="77777777" w:rsidR="0000060D" w:rsidRPr="00B455A9" w:rsidRDefault="0000060D" w:rsidP="00B455A9">
            <w:pPr>
              <w:spacing w:after="0" w:line="240" w:lineRule="auto"/>
              <w:rPr>
                <w:rFonts w:ascii="Times New Roman" w:hAnsi="Times New Roman" w:cs="Times New Roman"/>
                <w:bCs w:val="0"/>
                <w:sz w:val="20"/>
                <w:szCs w:val="20"/>
              </w:rPr>
            </w:pPr>
          </w:p>
          <w:p w14:paraId="03B2E7B5" w14:textId="77777777" w:rsidR="0000060D" w:rsidRPr="00B455A9" w:rsidRDefault="0000060D" w:rsidP="00B455A9">
            <w:pPr>
              <w:spacing w:after="0" w:line="240" w:lineRule="auto"/>
              <w:jc w:val="center"/>
              <w:rPr>
                <w:rFonts w:ascii="Times New Roman" w:hAnsi="Times New Roman" w:cs="Times New Roman"/>
                <w:sz w:val="20"/>
                <w:szCs w:val="20"/>
              </w:rPr>
            </w:pPr>
            <w:r w:rsidRPr="00B455A9">
              <w:rPr>
                <w:rFonts w:ascii="Times New Roman" w:hAnsi="Times New Roman" w:cs="Times New Roman"/>
                <w:b w:val="0"/>
                <w:sz w:val="20"/>
                <w:szCs w:val="20"/>
              </w:rPr>
              <w:t>Selected Public Secondary Schools in Bwari Area Council,F.C.T</w:t>
            </w:r>
          </w:p>
        </w:tc>
        <w:tc>
          <w:tcPr>
            <w:tcW w:w="3972" w:type="dxa"/>
            <w:tcBorders>
              <w:top w:val="single" w:sz="4" w:space="0" w:color="auto"/>
              <w:bottom w:val="single" w:sz="4" w:space="0" w:color="BFBFBF" w:themeColor="background1" w:themeShade="BF"/>
            </w:tcBorders>
          </w:tcPr>
          <w:p w14:paraId="016FCC9F" w14:textId="77777777" w:rsidR="0000060D" w:rsidRPr="00B455A9" w:rsidRDefault="0000060D" w:rsidP="00B455A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 xml:space="preserve">Government subsidies or financial incentives for building with Hydra-form blocks   </w:t>
            </w:r>
          </w:p>
        </w:tc>
        <w:tc>
          <w:tcPr>
            <w:tcW w:w="936" w:type="dxa"/>
            <w:tcBorders>
              <w:top w:val="single" w:sz="4" w:space="0" w:color="auto"/>
              <w:bottom w:val="single" w:sz="4" w:space="0" w:color="BFBFBF" w:themeColor="background1" w:themeShade="BF"/>
            </w:tcBorders>
          </w:tcPr>
          <w:p w14:paraId="39099647" w14:textId="77777777" w:rsidR="0000060D" w:rsidRPr="00B455A9"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72</w:t>
            </w:r>
          </w:p>
        </w:tc>
        <w:tc>
          <w:tcPr>
            <w:tcW w:w="705" w:type="dxa"/>
            <w:tcBorders>
              <w:top w:val="single" w:sz="4" w:space="0" w:color="auto"/>
              <w:bottom w:val="single" w:sz="4" w:space="0" w:color="BFBFBF" w:themeColor="background1" w:themeShade="BF"/>
            </w:tcBorders>
          </w:tcPr>
          <w:p w14:paraId="3FD6E335" w14:textId="77777777" w:rsidR="0000060D" w:rsidRPr="00B455A9"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31.0</w:t>
            </w:r>
          </w:p>
        </w:tc>
        <w:tc>
          <w:tcPr>
            <w:tcW w:w="1586" w:type="dxa"/>
            <w:gridSpan w:val="2"/>
            <w:tcBorders>
              <w:top w:val="single" w:sz="4" w:space="0" w:color="auto"/>
              <w:bottom w:val="single" w:sz="4" w:space="0" w:color="BFBFBF" w:themeColor="background1" w:themeShade="BF"/>
            </w:tcBorders>
          </w:tcPr>
          <w:p w14:paraId="31D73D26" w14:textId="77777777" w:rsidR="0000060D" w:rsidRPr="00B455A9"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72</w:t>
            </w:r>
          </w:p>
        </w:tc>
      </w:tr>
      <w:tr w:rsidR="0000060D" w:rsidRPr="00B455A9" w14:paraId="67F36C86" w14:textId="77777777" w:rsidTr="00B455A9">
        <w:trPr>
          <w:gridAfter w:val="1"/>
          <w:cnfStyle w:val="000000100000" w:firstRow="0" w:lastRow="0" w:firstColumn="0" w:lastColumn="0" w:oddVBand="0" w:evenVBand="0" w:oddHBand="1" w:evenHBand="0" w:firstRowFirstColumn="0" w:firstRowLastColumn="0" w:lastRowFirstColumn="0" w:lastRowLastColumn="0"/>
          <w:wAfter w:w="14" w:type="dxa"/>
          <w:jc w:val="center"/>
        </w:trPr>
        <w:tc>
          <w:tcPr>
            <w:cnfStyle w:val="001000000000" w:firstRow="0" w:lastRow="0" w:firstColumn="1" w:lastColumn="0" w:oddVBand="0" w:evenVBand="0" w:oddHBand="0" w:evenHBand="0" w:firstRowFirstColumn="0" w:firstRowLastColumn="0" w:lastRowFirstColumn="0" w:lastRowLastColumn="0"/>
            <w:tcW w:w="1608" w:type="dxa"/>
            <w:vMerge/>
            <w:tcBorders>
              <w:top w:val="single" w:sz="4" w:space="0" w:color="BFBFBF" w:themeColor="background1" w:themeShade="BF"/>
            </w:tcBorders>
          </w:tcPr>
          <w:p w14:paraId="3D63DCEF" w14:textId="77777777" w:rsidR="0000060D" w:rsidRPr="00B455A9" w:rsidRDefault="0000060D" w:rsidP="00B455A9">
            <w:pPr>
              <w:spacing w:after="0" w:line="240" w:lineRule="auto"/>
              <w:rPr>
                <w:rFonts w:ascii="Times New Roman" w:hAnsi="Times New Roman" w:cs="Times New Roman"/>
                <w:sz w:val="20"/>
                <w:szCs w:val="20"/>
              </w:rPr>
            </w:pPr>
          </w:p>
        </w:tc>
        <w:tc>
          <w:tcPr>
            <w:tcW w:w="3972" w:type="dxa"/>
            <w:tcBorders>
              <w:top w:val="single" w:sz="4" w:space="0" w:color="BFBFBF" w:themeColor="background1" w:themeShade="BF"/>
            </w:tcBorders>
          </w:tcPr>
          <w:p w14:paraId="3B1F98B0" w14:textId="77777777" w:rsidR="0000060D" w:rsidRPr="00B455A9" w:rsidRDefault="0000060D" w:rsidP="00B455A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 xml:space="preserve">Training programs for builders and contractors     </w:t>
            </w:r>
          </w:p>
        </w:tc>
        <w:tc>
          <w:tcPr>
            <w:tcW w:w="936" w:type="dxa"/>
            <w:tcBorders>
              <w:top w:val="single" w:sz="4" w:space="0" w:color="BFBFBF" w:themeColor="background1" w:themeShade="BF"/>
            </w:tcBorders>
          </w:tcPr>
          <w:p w14:paraId="463165F0" w14:textId="77777777" w:rsidR="0000060D" w:rsidRPr="00B455A9"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62</w:t>
            </w:r>
          </w:p>
        </w:tc>
        <w:tc>
          <w:tcPr>
            <w:tcW w:w="705" w:type="dxa"/>
            <w:tcBorders>
              <w:top w:val="single" w:sz="4" w:space="0" w:color="BFBFBF" w:themeColor="background1" w:themeShade="BF"/>
            </w:tcBorders>
          </w:tcPr>
          <w:p w14:paraId="70208565" w14:textId="77777777" w:rsidR="0000060D" w:rsidRPr="00B455A9"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26.7</w:t>
            </w:r>
          </w:p>
        </w:tc>
        <w:tc>
          <w:tcPr>
            <w:tcW w:w="1586" w:type="dxa"/>
            <w:gridSpan w:val="2"/>
            <w:tcBorders>
              <w:top w:val="single" w:sz="4" w:space="0" w:color="BFBFBF" w:themeColor="background1" w:themeShade="BF"/>
            </w:tcBorders>
          </w:tcPr>
          <w:p w14:paraId="2AAA7266" w14:textId="77777777" w:rsidR="0000060D" w:rsidRPr="00B455A9"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62</w:t>
            </w:r>
          </w:p>
        </w:tc>
      </w:tr>
      <w:tr w:rsidR="0000060D" w:rsidRPr="00B455A9" w14:paraId="191FE128" w14:textId="77777777" w:rsidTr="00B455A9">
        <w:trPr>
          <w:gridAfter w:val="1"/>
          <w:wAfter w:w="14" w:type="dxa"/>
          <w:jc w:val="center"/>
        </w:trPr>
        <w:tc>
          <w:tcPr>
            <w:cnfStyle w:val="001000000000" w:firstRow="0" w:lastRow="0" w:firstColumn="1" w:lastColumn="0" w:oddVBand="0" w:evenVBand="0" w:oddHBand="0" w:evenHBand="0" w:firstRowFirstColumn="0" w:firstRowLastColumn="0" w:lastRowFirstColumn="0" w:lastRowLastColumn="0"/>
            <w:tcW w:w="1608" w:type="dxa"/>
            <w:vMerge/>
          </w:tcPr>
          <w:p w14:paraId="009736BC" w14:textId="77777777" w:rsidR="0000060D" w:rsidRPr="00B455A9" w:rsidRDefault="0000060D" w:rsidP="00B455A9">
            <w:pPr>
              <w:spacing w:after="0" w:line="240" w:lineRule="auto"/>
              <w:rPr>
                <w:rFonts w:ascii="Times New Roman" w:hAnsi="Times New Roman" w:cs="Times New Roman"/>
                <w:sz w:val="20"/>
                <w:szCs w:val="20"/>
              </w:rPr>
            </w:pPr>
          </w:p>
        </w:tc>
        <w:tc>
          <w:tcPr>
            <w:tcW w:w="3972" w:type="dxa"/>
          </w:tcPr>
          <w:p w14:paraId="441B8CE9" w14:textId="77777777" w:rsidR="0000060D" w:rsidRPr="00B455A9" w:rsidRDefault="0000060D" w:rsidP="00B455A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 xml:space="preserve">Establishment of local manufacturing plants for Hydra-form blocks     </w:t>
            </w:r>
          </w:p>
        </w:tc>
        <w:tc>
          <w:tcPr>
            <w:tcW w:w="936" w:type="dxa"/>
          </w:tcPr>
          <w:p w14:paraId="6FF98C7A" w14:textId="77777777" w:rsidR="0000060D" w:rsidRPr="00B455A9"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56</w:t>
            </w:r>
          </w:p>
        </w:tc>
        <w:tc>
          <w:tcPr>
            <w:tcW w:w="705" w:type="dxa"/>
          </w:tcPr>
          <w:p w14:paraId="538F14B6" w14:textId="77777777" w:rsidR="0000060D" w:rsidRPr="00B455A9"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24.1</w:t>
            </w:r>
          </w:p>
        </w:tc>
        <w:tc>
          <w:tcPr>
            <w:tcW w:w="1586" w:type="dxa"/>
            <w:gridSpan w:val="2"/>
          </w:tcPr>
          <w:p w14:paraId="331A75A4" w14:textId="77777777" w:rsidR="0000060D" w:rsidRPr="00B455A9"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56</w:t>
            </w:r>
          </w:p>
        </w:tc>
      </w:tr>
      <w:tr w:rsidR="0000060D" w:rsidRPr="00B455A9" w14:paraId="19E6656F" w14:textId="77777777" w:rsidTr="00B455A9">
        <w:trPr>
          <w:gridAfter w:val="1"/>
          <w:cnfStyle w:val="000000100000" w:firstRow="0" w:lastRow="0" w:firstColumn="0" w:lastColumn="0" w:oddVBand="0" w:evenVBand="0" w:oddHBand="1" w:evenHBand="0" w:firstRowFirstColumn="0" w:firstRowLastColumn="0" w:lastRowFirstColumn="0" w:lastRowLastColumn="0"/>
          <w:wAfter w:w="14" w:type="dxa"/>
          <w:jc w:val="center"/>
        </w:trPr>
        <w:tc>
          <w:tcPr>
            <w:cnfStyle w:val="001000000000" w:firstRow="0" w:lastRow="0" w:firstColumn="1" w:lastColumn="0" w:oddVBand="0" w:evenVBand="0" w:oddHBand="0" w:evenHBand="0" w:firstRowFirstColumn="0" w:firstRowLastColumn="0" w:lastRowFirstColumn="0" w:lastRowLastColumn="0"/>
            <w:tcW w:w="1608" w:type="dxa"/>
            <w:vMerge/>
          </w:tcPr>
          <w:p w14:paraId="770D876E" w14:textId="77777777" w:rsidR="0000060D" w:rsidRPr="00B455A9" w:rsidRDefault="0000060D" w:rsidP="00B455A9">
            <w:pPr>
              <w:spacing w:after="0" w:line="240" w:lineRule="auto"/>
              <w:rPr>
                <w:rFonts w:ascii="Times New Roman" w:hAnsi="Times New Roman" w:cs="Times New Roman"/>
                <w:sz w:val="20"/>
                <w:szCs w:val="20"/>
              </w:rPr>
            </w:pPr>
          </w:p>
        </w:tc>
        <w:tc>
          <w:tcPr>
            <w:tcW w:w="3972" w:type="dxa"/>
          </w:tcPr>
          <w:p w14:paraId="5D11873D" w14:textId="77777777" w:rsidR="0000060D" w:rsidRPr="00B455A9" w:rsidRDefault="0000060D" w:rsidP="00B455A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 xml:space="preserve">Demonstration projects or pilot housing schemes     </w:t>
            </w:r>
          </w:p>
        </w:tc>
        <w:tc>
          <w:tcPr>
            <w:tcW w:w="936" w:type="dxa"/>
          </w:tcPr>
          <w:p w14:paraId="047E07CE" w14:textId="77777777" w:rsidR="0000060D" w:rsidRPr="00B455A9"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42</w:t>
            </w:r>
          </w:p>
        </w:tc>
        <w:tc>
          <w:tcPr>
            <w:tcW w:w="705" w:type="dxa"/>
          </w:tcPr>
          <w:p w14:paraId="71FE18BD" w14:textId="77777777" w:rsidR="0000060D" w:rsidRPr="00B455A9"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18.1</w:t>
            </w:r>
          </w:p>
        </w:tc>
        <w:tc>
          <w:tcPr>
            <w:tcW w:w="1586" w:type="dxa"/>
            <w:gridSpan w:val="2"/>
          </w:tcPr>
          <w:p w14:paraId="3C07FFA0" w14:textId="77777777" w:rsidR="0000060D" w:rsidRPr="00B455A9"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42</w:t>
            </w:r>
          </w:p>
        </w:tc>
      </w:tr>
      <w:tr w:rsidR="0000060D" w:rsidRPr="00B455A9" w14:paraId="1558C94E" w14:textId="77777777" w:rsidTr="00B455A9">
        <w:trPr>
          <w:gridAfter w:val="1"/>
          <w:wAfter w:w="14" w:type="dxa"/>
          <w:jc w:val="center"/>
        </w:trPr>
        <w:tc>
          <w:tcPr>
            <w:cnfStyle w:val="001000000000" w:firstRow="0" w:lastRow="0" w:firstColumn="1" w:lastColumn="0" w:oddVBand="0" w:evenVBand="0" w:oddHBand="0" w:evenHBand="0" w:firstRowFirstColumn="0" w:firstRowLastColumn="0" w:lastRowFirstColumn="0" w:lastRowLastColumn="0"/>
            <w:tcW w:w="1608" w:type="dxa"/>
            <w:vMerge/>
          </w:tcPr>
          <w:p w14:paraId="36CE11AA" w14:textId="77777777" w:rsidR="0000060D" w:rsidRPr="00B455A9" w:rsidRDefault="0000060D" w:rsidP="00B455A9">
            <w:pPr>
              <w:spacing w:after="0" w:line="240" w:lineRule="auto"/>
              <w:rPr>
                <w:rFonts w:ascii="Times New Roman" w:hAnsi="Times New Roman" w:cs="Times New Roman"/>
                <w:sz w:val="20"/>
                <w:szCs w:val="20"/>
              </w:rPr>
            </w:pPr>
          </w:p>
        </w:tc>
        <w:tc>
          <w:tcPr>
            <w:tcW w:w="3972" w:type="dxa"/>
          </w:tcPr>
          <w:p w14:paraId="1A888565" w14:textId="77777777" w:rsidR="0000060D" w:rsidRPr="00B455A9" w:rsidRDefault="0000060D" w:rsidP="00B455A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Others</w:t>
            </w:r>
          </w:p>
        </w:tc>
        <w:tc>
          <w:tcPr>
            <w:tcW w:w="936" w:type="dxa"/>
          </w:tcPr>
          <w:p w14:paraId="027236FB" w14:textId="77777777" w:rsidR="0000060D" w:rsidRPr="00B455A9"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0</w:t>
            </w:r>
          </w:p>
        </w:tc>
        <w:tc>
          <w:tcPr>
            <w:tcW w:w="705" w:type="dxa"/>
          </w:tcPr>
          <w:p w14:paraId="72B3F301" w14:textId="77777777" w:rsidR="0000060D" w:rsidRPr="00B455A9"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0</w:t>
            </w:r>
          </w:p>
        </w:tc>
        <w:tc>
          <w:tcPr>
            <w:tcW w:w="1586" w:type="dxa"/>
            <w:gridSpan w:val="2"/>
          </w:tcPr>
          <w:p w14:paraId="7C7E5391" w14:textId="77777777" w:rsidR="0000060D" w:rsidRPr="00B455A9"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455A9">
              <w:rPr>
                <w:rFonts w:ascii="Times New Roman" w:hAnsi="Times New Roman" w:cs="Times New Roman"/>
                <w:sz w:val="20"/>
                <w:szCs w:val="20"/>
              </w:rPr>
              <w:t>0</w:t>
            </w:r>
          </w:p>
        </w:tc>
      </w:tr>
      <w:tr w:rsidR="0000060D" w:rsidRPr="00B455A9" w14:paraId="520F6C5C" w14:textId="77777777" w:rsidTr="00B455A9">
        <w:trPr>
          <w:gridAfter w:val="1"/>
          <w:cnfStyle w:val="000000100000" w:firstRow="0" w:lastRow="0" w:firstColumn="0" w:lastColumn="0" w:oddVBand="0" w:evenVBand="0" w:oddHBand="1" w:evenHBand="0" w:firstRowFirstColumn="0" w:firstRowLastColumn="0" w:lastRowFirstColumn="0" w:lastRowLastColumn="0"/>
          <w:wAfter w:w="14" w:type="dxa"/>
          <w:jc w:val="center"/>
        </w:trPr>
        <w:tc>
          <w:tcPr>
            <w:cnfStyle w:val="001000000000" w:firstRow="0" w:lastRow="0" w:firstColumn="1" w:lastColumn="0" w:oddVBand="0" w:evenVBand="0" w:oddHBand="0" w:evenHBand="0" w:firstRowFirstColumn="0" w:firstRowLastColumn="0" w:lastRowFirstColumn="0" w:lastRowLastColumn="0"/>
            <w:tcW w:w="5580" w:type="dxa"/>
            <w:gridSpan w:val="2"/>
          </w:tcPr>
          <w:p w14:paraId="0A2F70E8" w14:textId="77777777" w:rsidR="0000060D" w:rsidRPr="00BE055A" w:rsidRDefault="0000060D" w:rsidP="00B455A9">
            <w:pPr>
              <w:spacing w:after="0" w:line="240" w:lineRule="auto"/>
              <w:rPr>
                <w:rFonts w:ascii="Times New Roman" w:hAnsi="Times New Roman" w:cs="Times New Roman"/>
                <w:iCs/>
                <w:sz w:val="20"/>
                <w:szCs w:val="20"/>
              </w:rPr>
            </w:pPr>
            <w:r w:rsidRPr="00BE055A">
              <w:rPr>
                <w:rFonts w:ascii="Times New Roman" w:hAnsi="Times New Roman" w:cs="Times New Roman"/>
                <w:iCs/>
                <w:sz w:val="20"/>
                <w:szCs w:val="20"/>
              </w:rPr>
              <w:t>Grand Total</w:t>
            </w:r>
          </w:p>
        </w:tc>
        <w:tc>
          <w:tcPr>
            <w:tcW w:w="936" w:type="dxa"/>
          </w:tcPr>
          <w:p w14:paraId="590B3744" w14:textId="77777777" w:rsidR="0000060D" w:rsidRPr="00BE055A"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Cs/>
                <w:sz w:val="20"/>
                <w:szCs w:val="20"/>
              </w:rPr>
            </w:pPr>
            <w:r w:rsidRPr="00BE055A">
              <w:rPr>
                <w:rFonts w:ascii="Times New Roman" w:hAnsi="Times New Roman" w:cs="Times New Roman"/>
                <w:b/>
                <w:iCs/>
                <w:sz w:val="20"/>
                <w:szCs w:val="20"/>
              </w:rPr>
              <w:t>232</w:t>
            </w:r>
          </w:p>
        </w:tc>
        <w:tc>
          <w:tcPr>
            <w:tcW w:w="705" w:type="dxa"/>
          </w:tcPr>
          <w:p w14:paraId="1E541461" w14:textId="77777777" w:rsidR="0000060D" w:rsidRPr="00BE055A"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Cs/>
                <w:sz w:val="20"/>
                <w:szCs w:val="20"/>
              </w:rPr>
            </w:pPr>
            <w:r w:rsidRPr="00BE055A">
              <w:rPr>
                <w:rFonts w:ascii="Times New Roman" w:hAnsi="Times New Roman" w:cs="Times New Roman"/>
                <w:b/>
                <w:iCs/>
                <w:sz w:val="20"/>
                <w:szCs w:val="20"/>
              </w:rPr>
              <w:t>100.0</w:t>
            </w:r>
          </w:p>
        </w:tc>
        <w:tc>
          <w:tcPr>
            <w:tcW w:w="1586" w:type="dxa"/>
            <w:gridSpan w:val="2"/>
          </w:tcPr>
          <w:p w14:paraId="1A9E9D90" w14:textId="77777777" w:rsidR="0000060D" w:rsidRPr="00BE055A"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Cs/>
                <w:sz w:val="20"/>
                <w:szCs w:val="20"/>
              </w:rPr>
            </w:pPr>
            <w:r w:rsidRPr="00BE055A">
              <w:rPr>
                <w:rFonts w:ascii="Times New Roman" w:hAnsi="Times New Roman" w:cs="Times New Roman"/>
                <w:b/>
                <w:iCs/>
                <w:sz w:val="20"/>
                <w:szCs w:val="20"/>
              </w:rPr>
              <w:t>226</w:t>
            </w:r>
          </w:p>
        </w:tc>
      </w:tr>
    </w:tbl>
    <w:p w14:paraId="34BCF777" w14:textId="77777777" w:rsidR="0000060D" w:rsidRPr="00B455A9" w:rsidRDefault="0000060D" w:rsidP="00B455A9">
      <w:pPr>
        <w:jc w:val="center"/>
        <w:rPr>
          <w:rFonts w:ascii="Times New Roman" w:hAnsi="Times New Roman" w:cs="Times New Roman"/>
          <w:bCs/>
          <w:iCs/>
          <w:sz w:val="24"/>
          <w:szCs w:val="24"/>
        </w:rPr>
      </w:pPr>
      <w:r w:rsidRPr="00B455A9">
        <w:rPr>
          <w:rFonts w:ascii="Times New Roman" w:hAnsi="Times New Roman" w:cs="Times New Roman"/>
          <w:bCs/>
          <w:iCs/>
          <w:sz w:val="24"/>
          <w:szCs w:val="24"/>
        </w:rPr>
        <w:t>Source: Author’s Field Survey, 2025</w:t>
      </w:r>
    </w:p>
    <w:p w14:paraId="506E553D" w14:textId="77777777" w:rsidR="0000060D" w:rsidRDefault="0000060D" w:rsidP="00B455A9">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When asked about their biggest concerns regarding the long-term viability of Hydra-Form brick blocks, respondents identified several key issues (Table 4.3). The most significant concern, cited by 31.0%, was durability under extreme weather conditions, such as heavy rainfall, high humidity, and extreme heat. Another 22.0% highlighted the availability of replacement or repair materials, reflecting anxieties about long-term maintenance. Additional concerns included resistance from the community (19.8%), high initial construction costs (15.1%), and a lack of skilled labor for maintenance (12.1%). These findings point to both technical and social factors that could affect sustainability.</w:t>
      </w:r>
    </w:p>
    <w:p w14:paraId="269DB65E" w14:textId="77777777" w:rsidR="00BE055A" w:rsidRPr="00BE4AF3" w:rsidRDefault="00BE055A" w:rsidP="00B455A9">
      <w:pPr>
        <w:spacing w:after="0" w:line="240" w:lineRule="auto"/>
        <w:rPr>
          <w:rFonts w:ascii="Times New Roman" w:hAnsi="Times New Roman" w:cs="Times New Roman"/>
          <w:sz w:val="24"/>
          <w:szCs w:val="24"/>
        </w:rPr>
      </w:pPr>
    </w:p>
    <w:p w14:paraId="33C8EA2A" w14:textId="77777777" w:rsidR="0000060D" w:rsidRPr="00BE4AF3" w:rsidRDefault="0000060D" w:rsidP="00BE055A">
      <w:pPr>
        <w:spacing w:after="0" w:line="240" w:lineRule="auto"/>
        <w:jc w:val="center"/>
        <w:rPr>
          <w:rFonts w:ascii="Times New Roman" w:hAnsi="Times New Roman" w:cs="Times New Roman"/>
          <w:b/>
          <w:sz w:val="24"/>
          <w:szCs w:val="24"/>
        </w:rPr>
      </w:pPr>
      <w:r w:rsidRPr="00BE4AF3">
        <w:rPr>
          <w:rFonts w:ascii="Times New Roman" w:hAnsi="Times New Roman" w:cs="Times New Roman"/>
          <w:b/>
          <w:sz w:val="24"/>
          <w:szCs w:val="24"/>
        </w:rPr>
        <w:t xml:space="preserve">Table 4.3: </w:t>
      </w:r>
      <w:r w:rsidRPr="00BE4AF3">
        <w:rPr>
          <w:rFonts w:ascii="Times New Roman" w:hAnsi="Times New Roman" w:cs="Times New Roman"/>
          <w:sz w:val="24"/>
          <w:szCs w:val="24"/>
        </w:rPr>
        <w:t>Respondent response to the biggest concern they have about the long-term viability of Hydra-form brick blocks in housing construction</w:t>
      </w:r>
    </w:p>
    <w:tbl>
      <w:tblPr>
        <w:tblStyle w:val="PlainTable11"/>
        <w:tblW w:w="0" w:type="auto"/>
        <w:jc w:val="center"/>
        <w:tblLook w:val="04A0" w:firstRow="1" w:lastRow="0" w:firstColumn="1" w:lastColumn="0" w:noHBand="0" w:noVBand="1"/>
      </w:tblPr>
      <w:tblGrid>
        <w:gridCol w:w="1610"/>
        <w:gridCol w:w="3963"/>
        <w:gridCol w:w="801"/>
        <w:gridCol w:w="709"/>
        <w:gridCol w:w="10"/>
        <w:gridCol w:w="1266"/>
        <w:gridCol w:w="10"/>
      </w:tblGrid>
      <w:tr w:rsidR="0000060D" w:rsidRPr="00BE055A" w14:paraId="74A8B7AD" w14:textId="77777777" w:rsidTr="00BE055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0" w:type="dxa"/>
            <w:vMerge w:val="restart"/>
          </w:tcPr>
          <w:p w14:paraId="3DCC2167" w14:textId="77777777" w:rsidR="0000060D" w:rsidRPr="00BE055A" w:rsidRDefault="0000060D" w:rsidP="00B455A9">
            <w:pPr>
              <w:spacing w:after="0" w:line="240" w:lineRule="auto"/>
              <w:jc w:val="center"/>
              <w:rPr>
                <w:rFonts w:ascii="Times New Roman" w:hAnsi="Times New Roman" w:cs="Times New Roman"/>
                <w:b w:val="0"/>
                <w:bCs w:val="0"/>
                <w:sz w:val="20"/>
                <w:szCs w:val="20"/>
              </w:rPr>
            </w:pPr>
            <w:r w:rsidRPr="00BE055A">
              <w:rPr>
                <w:rFonts w:ascii="Times New Roman" w:hAnsi="Times New Roman" w:cs="Times New Roman"/>
                <w:b w:val="0"/>
                <w:bCs w:val="0"/>
                <w:sz w:val="20"/>
                <w:szCs w:val="20"/>
              </w:rPr>
              <w:t>Study Area</w:t>
            </w:r>
          </w:p>
        </w:tc>
        <w:tc>
          <w:tcPr>
            <w:tcW w:w="5483" w:type="dxa"/>
            <w:gridSpan w:val="4"/>
          </w:tcPr>
          <w:p w14:paraId="5B2A4595" w14:textId="77777777" w:rsidR="0000060D" w:rsidRPr="00BE055A" w:rsidRDefault="0000060D" w:rsidP="00B455A9">
            <w:pPr>
              <w:spacing w:after="0"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E055A">
              <w:rPr>
                <w:rFonts w:ascii="Times New Roman" w:hAnsi="Times New Roman" w:cs="Times New Roman"/>
                <w:b w:val="0"/>
                <w:bCs w:val="0"/>
                <w:sz w:val="20"/>
                <w:szCs w:val="20"/>
              </w:rPr>
              <w:t>What is the biggest concern you have about the long-term viability of Hydra-form brick blocks in housing construction?</w:t>
            </w:r>
          </w:p>
        </w:tc>
        <w:tc>
          <w:tcPr>
            <w:tcW w:w="1276" w:type="dxa"/>
            <w:gridSpan w:val="2"/>
          </w:tcPr>
          <w:p w14:paraId="7FBC44CF" w14:textId="77777777" w:rsidR="0000060D" w:rsidRPr="00BE055A" w:rsidRDefault="0000060D" w:rsidP="00B455A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E055A">
              <w:rPr>
                <w:rFonts w:ascii="Times New Roman" w:hAnsi="Times New Roman" w:cs="Times New Roman"/>
                <w:b w:val="0"/>
                <w:bCs w:val="0"/>
                <w:sz w:val="20"/>
                <w:szCs w:val="20"/>
              </w:rPr>
              <w:t>Total (Frequency)</w:t>
            </w:r>
          </w:p>
        </w:tc>
      </w:tr>
      <w:tr w:rsidR="0000060D" w:rsidRPr="00BE055A" w14:paraId="61C43AE6" w14:textId="77777777" w:rsidTr="00BE055A">
        <w:trPr>
          <w:gridAfter w:val="1"/>
          <w:cnfStyle w:val="000000100000" w:firstRow="0" w:lastRow="0" w:firstColumn="0" w:lastColumn="0" w:oddVBand="0" w:evenVBand="0" w:oddHBand="1" w:evenHBand="0" w:firstRowFirstColumn="0" w:firstRowLastColumn="0" w:lastRowFirstColumn="0" w:lastRowLastColumn="0"/>
          <w:wAfter w:w="10" w:type="dxa"/>
          <w:jc w:val="center"/>
        </w:trPr>
        <w:tc>
          <w:tcPr>
            <w:cnfStyle w:val="001000000000" w:firstRow="0" w:lastRow="0" w:firstColumn="1" w:lastColumn="0" w:oddVBand="0" w:evenVBand="0" w:oddHBand="0" w:evenHBand="0" w:firstRowFirstColumn="0" w:firstRowLastColumn="0" w:lastRowFirstColumn="0" w:lastRowLastColumn="0"/>
            <w:tcW w:w="1610" w:type="dxa"/>
            <w:vMerge/>
          </w:tcPr>
          <w:p w14:paraId="079B5911" w14:textId="77777777" w:rsidR="0000060D" w:rsidRPr="00BE055A" w:rsidRDefault="0000060D" w:rsidP="00B455A9">
            <w:pPr>
              <w:spacing w:after="0" w:line="240" w:lineRule="auto"/>
              <w:rPr>
                <w:rFonts w:ascii="Times New Roman" w:hAnsi="Times New Roman" w:cs="Times New Roman"/>
                <w:sz w:val="20"/>
                <w:szCs w:val="20"/>
              </w:rPr>
            </w:pPr>
          </w:p>
        </w:tc>
        <w:tc>
          <w:tcPr>
            <w:tcW w:w="3963" w:type="dxa"/>
          </w:tcPr>
          <w:p w14:paraId="6DB4A655" w14:textId="77777777" w:rsidR="0000060D" w:rsidRPr="00BE055A" w:rsidRDefault="0000060D" w:rsidP="00B455A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801" w:type="dxa"/>
          </w:tcPr>
          <w:p w14:paraId="465DFDD2" w14:textId="77777777" w:rsidR="0000060D" w:rsidRPr="00BE055A"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rPr>
            </w:pPr>
            <w:r w:rsidRPr="00BE055A">
              <w:rPr>
                <w:rFonts w:ascii="Times New Roman" w:hAnsi="Times New Roman" w:cs="Times New Roman"/>
                <w:bCs/>
                <w:sz w:val="20"/>
                <w:szCs w:val="20"/>
              </w:rPr>
              <w:t>No</w:t>
            </w:r>
          </w:p>
        </w:tc>
        <w:tc>
          <w:tcPr>
            <w:tcW w:w="709" w:type="dxa"/>
          </w:tcPr>
          <w:p w14:paraId="1EDF2D58" w14:textId="77777777" w:rsidR="0000060D" w:rsidRPr="00BE055A"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rPr>
            </w:pPr>
            <w:r w:rsidRPr="00BE055A">
              <w:rPr>
                <w:rFonts w:ascii="Times New Roman" w:hAnsi="Times New Roman" w:cs="Times New Roman"/>
                <w:bCs/>
                <w:sz w:val="20"/>
                <w:szCs w:val="20"/>
              </w:rPr>
              <w:t>%</w:t>
            </w:r>
          </w:p>
        </w:tc>
        <w:tc>
          <w:tcPr>
            <w:tcW w:w="1276" w:type="dxa"/>
            <w:gridSpan w:val="2"/>
          </w:tcPr>
          <w:p w14:paraId="72DB4A74" w14:textId="77777777" w:rsidR="0000060D" w:rsidRPr="00BE055A" w:rsidRDefault="0000060D" w:rsidP="00B455A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00060D" w:rsidRPr="00BE055A" w14:paraId="40CAE4AC" w14:textId="77777777" w:rsidTr="00BE055A">
        <w:trPr>
          <w:gridAfter w:val="1"/>
          <w:wAfter w:w="10" w:type="dxa"/>
          <w:jc w:val="center"/>
        </w:trPr>
        <w:tc>
          <w:tcPr>
            <w:cnfStyle w:val="001000000000" w:firstRow="0" w:lastRow="0" w:firstColumn="1" w:lastColumn="0" w:oddVBand="0" w:evenVBand="0" w:oddHBand="0" w:evenHBand="0" w:firstRowFirstColumn="0" w:firstRowLastColumn="0" w:lastRowFirstColumn="0" w:lastRowLastColumn="0"/>
            <w:tcW w:w="1610" w:type="dxa"/>
            <w:vMerge w:val="restart"/>
          </w:tcPr>
          <w:p w14:paraId="40148603" w14:textId="77777777" w:rsidR="0000060D" w:rsidRPr="00BE055A" w:rsidRDefault="0000060D" w:rsidP="00B455A9">
            <w:pPr>
              <w:spacing w:after="0" w:line="240" w:lineRule="auto"/>
              <w:rPr>
                <w:rFonts w:ascii="Times New Roman" w:hAnsi="Times New Roman" w:cs="Times New Roman"/>
                <w:bCs w:val="0"/>
                <w:sz w:val="20"/>
                <w:szCs w:val="20"/>
              </w:rPr>
            </w:pPr>
          </w:p>
          <w:p w14:paraId="6E65EF9D" w14:textId="77777777" w:rsidR="0000060D" w:rsidRPr="00BE055A" w:rsidRDefault="0000060D" w:rsidP="00B455A9">
            <w:pPr>
              <w:spacing w:after="0" w:line="240" w:lineRule="auto"/>
              <w:jc w:val="center"/>
              <w:rPr>
                <w:rFonts w:ascii="Times New Roman" w:hAnsi="Times New Roman" w:cs="Times New Roman"/>
                <w:sz w:val="20"/>
                <w:szCs w:val="20"/>
              </w:rPr>
            </w:pPr>
            <w:r w:rsidRPr="00BE055A">
              <w:rPr>
                <w:rFonts w:ascii="Times New Roman" w:hAnsi="Times New Roman" w:cs="Times New Roman"/>
                <w:b w:val="0"/>
                <w:sz w:val="20"/>
                <w:szCs w:val="20"/>
              </w:rPr>
              <w:t>Selected Public Secondary Schools in Bwari Area Council,F.C.T</w:t>
            </w:r>
          </w:p>
        </w:tc>
        <w:tc>
          <w:tcPr>
            <w:tcW w:w="3963" w:type="dxa"/>
          </w:tcPr>
          <w:p w14:paraId="57A641A9" w14:textId="77777777" w:rsidR="0000060D" w:rsidRPr="00BE055A" w:rsidRDefault="0000060D" w:rsidP="00B455A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 xml:space="preserve">Durability under extreme weather conditions    </w:t>
            </w:r>
          </w:p>
        </w:tc>
        <w:tc>
          <w:tcPr>
            <w:tcW w:w="801" w:type="dxa"/>
          </w:tcPr>
          <w:p w14:paraId="2031D254" w14:textId="77777777" w:rsidR="0000060D" w:rsidRPr="00BE055A"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72</w:t>
            </w:r>
          </w:p>
        </w:tc>
        <w:tc>
          <w:tcPr>
            <w:tcW w:w="709" w:type="dxa"/>
          </w:tcPr>
          <w:p w14:paraId="325EA381" w14:textId="77777777" w:rsidR="0000060D" w:rsidRPr="00BE055A"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31.0</w:t>
            </w:r>
          </w:p>
        </w:tc>
        <w:tc>
          <w:tcPr>
            <w:tcW w:w="1276" w:type="dxa"/>
            <w:gridSpan w:val="2"/>
          </w:tcPr>
          <w:p w14:paraId="73B34E2C" w14:textId="77777777" w:rsidR="0000060D" w:rsidRPr="00BE055A"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72</w:t>
            </w:r>
          </w:p>
        </w:tc>
      </w:tr>
      <w:tr w:rsidR="0000060D" w:rsidRPr="00BE055A" w14:paraId="3F166135" w14:textId="77777777" w:rsidTr="00BE055A">
        <w:trPr>
          <w:gridAfter w:val="1"/>
          <w:cnfStyle w:val="000000100000" w:firstRow="0" w:lastRow="0" w:firstColumn="0" w:lastColumn="0" w:oddVBand="0" w:evenVBand="0" w:oddHBand="1" w:evenHBand="0" w:firstRowFirstColumn="0" w:firstRowLastColumn="0" w:lastRowFirstColumn="0" w:lastRowLastColumn="0"/>
          <w:wAfter w:w="10" w:type="dxa"/>
          <w:jc w:val="center"/>
        </w:trPr>
        <w:tc>
          <w:tcPr>
            <w:cnfStyle w:val="001000000000" w:firstRow="0" w:lastRow="0" w:firstColumn="1" w:lastColumn="0" w:oddVBand="0" w:evenVBand="0" w:oddHBand="0" w:evenHBand="0" w:firstRowFirstColumn="0" w:firstRowLastColumn="0" w:lastRowFirstColumn="0" w:lastRowLastColumn="0"/>
            <w:tcW w:w="1610" w:type="dxa"/>
            <w:vMerge/>
          </w:tcPr>
          <w:p w14:paraId="42B36989" w14:textId="77777777" w:rsidR="0000060D" w:rsidRPr="00BE055A" w:rsidRDefault="0000060D" w:rsidP="00B455A9">
            <w:pPr>
              <w:spacing w:after="0" w:line="240" w:lineRule="auto"/>
              <w:rPr>
                <w:rFonts w:ascii="Times New Roman" w:hAnsi="Times New Roman" w:cs="Times New Roman"/>
                <w:sz w:val="20"/>
                <w:szCs w:val="20"/>
              </w:rPr>
            </w:pPr>
          </w:p>
        </w:tc>
        <w:tc>
          <w:tcPr>
            <w:tcW w:w="3963" w:type="dxa"/>
          </w:tcPr>
          <w:p w14:paraId="77E47872" w14:textId="77777777" w:rsidR="0000060D" w:rsidRPr="00BE055A" w:rsidRDefault="0000060D" w:rsidP="00B455A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 xml:space="preserve">Availability of replacement or repair materials  </w:t>
            </w:r>
          </w:p>
        </w:tc>
        <w:tc>
          <w:tcPr>
            <w:tcW w:w="801" w:type="dxa"/>
          </w:tcPr>
          <w:p w14:paraId="12ED98CA" w14:textId="77777777" w:rsidR="0000060D" w:rsidRPr="00BE055A"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51</w:t>
            </w:r>
          </w:p>
        </w:tc>
        <w:tc>
          <w:tcPr>
            <w:tcW w:w="709" w:type="dxa"/>
          </w:tcPr>
          <w:p w14:paraId="400B3C19" w14:textId="77777777" w:rsidR="0000060D" w:rsidRPr="00BE055A"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22.0</w:t>
            </w:r>
          </w:p>
        </w:tc>
        <w:tc>
          <w:tcPr>
            <w:tcW w:w="1276" w:type="dxa"/>
            <w:gridSpan w:val="2"/>
          </w:tcPr>
          <w:p w14:paraId="0A0D6633" w14:textId="77777777" w:rsidR="0000060D" w:rsidRPr="00BE055A"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51</w:t>
            </w:r>
          </w:p>
        </w:tc>
      </w:tr>
      <w:tr w:rsidR="0000060D" w:rsidRPr="00BE055A" w14:paraId="0D38C476" w14:textId="77777777" w:rsidTr="00BE055A">
        <w:trPr>
          <w:gridAfter w:val="1"/>
          <w:wAfter w:w="10" w:type="dxa"/>
          <w:jc w:val="center"/>
        </w:trPr>
        <w:tc>
          <w:tcPr>
            <w:cnfStyle w:val="001000000000" w:firstRow="0" w:lastRow="0" w:firstColumn="1" w:lastColumn="0" w:oddVBand="0" w:evenVBand="0" w:oddHBand="0" w:evenHBand="0" w:firstRowFirstColumn="0" w:firstRowLastColumn="0" w:lastRowFirstColumn="0" w:lastRowLastColumn="0"/>
            <w:tcW w:w="1610" w:type="dxa"/>
            <w:vMerge/>
          </w:tcPr>
          <w:p w14:paraId="589C0E50" w14:textId="77777777" w:rsidR="0000060D" w:rsidRPr="00BE055A" w:rsidRDefault="0000060D" w:rsidP="00B455A9">
            <w:pPr>
              <w:spacing w:after="0" w:line="240" w:lineRule="auto"/>
              <w:rPr>
                <w:rFonts w:ascii="Times New Roman" w:hAnsi="Times New Roman" w:cs="Times New Roman"/>
                <w:sz w:val="20"/>
                <w:szCs w:val="20"/>
              </w:rPr>
            </w:pPr>
          </w:p>
        </w:tc>
        <w:tc>
          <w:tcPr>
            <w:tcW w:w="3963" w:type="dxa"/>
          </w:tcPr>
          <w:p w14:paraId="75DDE7A7" w14:textId="77777777" w:rsidR="0000060D" w:rsidRPr="00BE055A" w:rsidRDefault="0000060D" w:rsidP="00B455A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 xml:space="preserve">High initial construction cost    </w:t>
            </w:r>
          </w:p>
        </w:tc>
        <w:tc>
          <w:tcPr>
            <w:tcW w:w="801" w:type="dxa"/>
          </w:tcPr>
          <w:p w14:paraId="5D0CF4A4" w14:textId="77777777" w:rsidR="0000060D" w:rsidRPr="00BE055A"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35</w:t>
            </w:r>
          </w:p>
        </w:tc>
        <w:tc>
          <w:tcPr>
            <w:tcW w:w="709" w:type="dxa"/>
          </w:tcPr>
          <w:p w14:paraId="551224E6" w14:textId="77777777" w:rsidR="0000060D" w:rsidRPr="00BE055A"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15.1</w:t>
            </w:r>
          </w:p>
        </w:tc>
        <w:tc>
          <w:tcPr>
            <w:tcW w:w="1276" w:type="dxa"/>
            <w:gridSpan w:val="2"/>
          </w:tcPr>
          <w:p w14:paraId="341E65EB" w14:textId="77777777" w:rsidR="0000060D" w:rsidRPr="00BE055A"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35</w:t>
            </w:r>
          </w:p>
        </w:tc>
      </w:tr>
      <w:tr w:rsidR="0000060D" w:rsidRPr="00BE055A" w14:paraId="4B3617E1" w14:textId="77777777" w:rsidTr="00BE055A">
        <w:trPr>
          <w:gridAfter w:val="1"/>
          <w:cnfStyle w:val="000000100000" w:firstRow="0" w:lastRow="0" w:firstColumn="0" w:lastColumn="0" w:oddVBand="0" w:evenVBand="0" w:oddHBand="1" w:evenHBand="0" w:firstRowFirstColumn="0" w:firstRowLastColumn="0" w:lastRowFirstColumn="0" w:lastRowLastColumn="0"/>
          <w:wAfter w:w="10" w:type="dxa"/>
          <w:jc w:val="center"/>
        </w:trPr>
        <w:tc>
          <w:tcPr>
            <w:cnfStyle w:val="001000000000" w:firstRow="0" w:lastRow="0" w:firstColumn="1" w:lastColumn="0" w:oddVBand="0" w:evenVBand="0" w:oddHBand="0" w:evenHBand="0" w:firstRowFirstColumn="0" w:firstRowLastColumn="0" w:lastRowFirstColumn="0" w:lastRowLastColumn="0"/>
            <w:tcW w:w="1610" w:type="dxa"/>
            <w:vMerge/>
          </w:tcPr>
          <w:p w14:paraId="55D59F69" w14:textId="77777777" w:rsidR="0000060D" w:rsidRPr="00BE055A" w:rsidRDefault="0000060D" w:rsidP="00B455A9">
            <w:pPr>
              <w:spacing w:after="0" w:line="240" w:lineRule="auto"/>
              <w:rPr>
                <w:rFonts w:ascii="Times New Roman" w:hAnsi="Times New Roman" w:cs="Times New Roman"/>
                <w:sz w:val="20"/>
                <w:szCs w:val="20"/>
              </w:rPr>
            </w:pPr>
          </w:p>
        </w:tc>
        <w:tc>
          <w:tcPr>
            <w:tcW w:w="3963" w:type="dxa"/>
          </w:tcPr>
          <w:p w14:paraId="7F514FFD" w14:textId="77777777" w:rsidR="0000060D" w:rsidRPr="00BE055A" w:rsidRDefault="0000060D" w:rsidP="00B455A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 xml:space="preserve">Lack of skilled labor for maintenance     </w:t>
            </w:r>
          </w:p>
        </w:tc>
        <w:tc>
          <w:tcPr>
            <w:tcW w:w="801" w:type="dxa"/>
          </w:tcPr>
          <w:p w14:paraId="6D769CBC" w14:textId="77777777" w:rsidR="0000060D" w:rsidRPr="00BE055A"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28</w:t>
            </w:r>
          </w:p>
        </w:tc>
        <w:tc>
          <w:tcPr>
            <w:tcW w:w="709" w:type="dxa"/>
          </w:tcPr>
          <w:p w14:paraId="7A67D400" w14:textId="77777777" w:rsidR="0000060D" w:rsidRPr="00BE055A"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12.1</w:t>
            </w:r>
          </w:p>
        </w:tc>
        <w:tc>
          <w:tcPr>
            <w:tcW w:w="1276" w:type="dxa"/>
            <w:gridSpan w:val="2"/>
          </w:tcPr>
          <w:p w14:paraId="7C3D0001" w14:textId="77777777" w:rsidR="0000060D" w:rsidRPr="00BE055A"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28</w:t>
            </w:r>
          </w:p>
        </w:tc>
      </w:tr>
      <w:tr w:rsidR="0000060D" w:rsidRPr="00BE055A" w14:paraId="2BE36185" w14:textId="77777777" w:rsidTr="00BE055A">
        <w:trPr>
          <w:gridAfter w:val="1"/>
          <w:wAfter w:w="10" w:type="dxa"/>
          <w:jc w:val="center"/>
        </w:trPr>
        <w:tc>
          <w:tcPr>
            <w:cnfStyle w:val="001000000000" w:firstRow="0" w:lastRow="0" w:firstColumn="1" w:lastColumn="0" w:oddVBand="0" w:evenVBand="0" w:oddHBand="0" w:evenHBand="0" w:firstRowFirstColumn="0" w:firstRowLastColumn="0" w:lastRowFirstColumn="0" w:lastRowLastColumn="0"/>
            <w:tcW w:w="1610" w:type="dxa"/>
            <w:vMerge/>
          </w:tcPr>
          <w:p w14:paraId="753EF3C4" w14:textId="77777777" w:rsidR="0000060D" w:rsidRPr="00BE055A" w:rsidRDefault="0000060D" w:rsidP="00B455A9">
            <w:pPr>
              <w:spacing w:after="0" w:line="240" w:lineRule="auto"/>
              <w:rPr>
                <w:rFonts w:ascii="Times New Roman" w:hAnsi="Times New Roman" w:cs="Times New Roman"/>
                <w:sz w:val="20"/>
                <w:szCs w:val="20"/>
              </w:rPr>
            </w:pPr>
          </w:p>
        </w:tc>
        <w:tc>
          <w:tcPr>
            <w:tcW w:w="3963" w:type="dxa"/>
          </w:tcPr>
          <w:p w14:paraId="0B1AAF07" w14:textId="77777777" w:rsidR="0000060D" w:rsidRPr="00BE055A" w:rsidRDefault="0000060D" w:rsidP="00B455A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Resistance from the community to accept new materials</w:t>
            </w:r>
          </w:p>
        </w:tc>
        <w:tc>
          <w:tcPr>
            <w:tcW w:w="801" w:type="dxa"/>
          </w:tcPr>
          <w:p w14:paraId="19B946BC" w14:textId="77777777" w:rsidR="0000060D" w:rsidRPr="00BE055A"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46</w:t>
            </w:r>
          </w:p>
        </w:tc>
        <w:tc>
          <w:tcPr>
            <w:tcW w:w="709" w:type="dxa"/>
          </w:tcPr>
          <w:p w14:paraId="73DB4DB2" w14:textId="77777777" w:rsidR="0000060D" w:rsidRPr="00BE055A"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19.8</w:t>
            </w:r>
          </w:p>
        </w:tc>
        <w:tc>
          <w:tcPr>
            <w:tcW w:w="1276" w:type="dxa"/>
            <w:gridSpan w:val="2"/>
          </w:tcPr>
          <w:p w14:paraId="3F4096BB" w14:textId="77777777" w:rsidR="0000060D" w:rsidRPr="00BE055A"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46</w:t>
            </w:r>
          </w:p>
        </w:tc>
      </w:tr>
      <w:tr w:rsidR="0000060D" w:rsidRPr="00BE055A" w14:paraId="3B23984E" w14:textId="77777777" w:rsidTr="00BE055A">
        <w:trPr>
          <w:gridAfter w:val="1"/>
          <w:cnfStyle w:val="000000100000" w:firstRow="0" w:lastRow="0" w:firstColumn="0" w:lastColumn="0" w:oddVBand="0" w:evenVBand="0" w:oddHBand="1" w:evenHBand="0" w:firstRowFirstColumn="0" w:firstRowLastColumn="0" w:lastRowFirstColumn="0" w:lastRowLastColumn="0"/>
          <w:wAfter w:w="10" w:type="dxa"/>
          <w:jc w:val="center"/>
        </w:trPr>
        <w:tc>
          <w:tcPr>
            <w:cnfStyle w:val="001000000000" w:firstRow="0" w:lastRow="0" w:firstColumn="1" w:lastColumn="0" w:oddVBand="0" w:evenVBand="0" w:oddHBand="0" w:evenHBand="0" w:firstRowFirstColumn="0" w:firstRowLastColumn="0" w:lastRowFirstColumn="0" w:lastRowLastColumn="0"/>
            <w:tcW w:w="1610" w:type="dxa"/>
            <w:vMerge/>
          </w:tcPr>
          <w:p w14:paraId="4D210022" w14:textId="77777777" w:rsidR="0000060D" w:rsidRPr="00BE055A" w:rsidRDefault="0000060D" w:rsidP="00B455A9">
            <w:pPr>
              <w:spacing w:after="0" w:line="240" w:lineRule="auto"/>
              <w:rPr>
                <w:rFonts w:ascii="Times New Roman" w:hAnsi="Times New Roman" w:cs="Times New Roman"/>
                <w:sz w:val="20"/>
                <w:szCs w:val="20"/>
              </w:rPr>
            </w:pPr>
          </w:p>
        </w:tc>
        <w:tc>
          <w:tcPr>
            <w:tcW w:w="3963" w:type="dxa"/>
          </w:tcPr>
          <w:p w14:paraId="060F09DF" w14:textId="77777777" w:rsidR="0000060D" w:rsidRPr="00BE055A" w:rsidRDefault="0000060D" w:rsidP="00B455A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Others</w:t>
            </w:r>
          </w:p>
        </w:tc>
        <w:tc>
          <w:tcPr>
            <w:tcW w:w="801" w:type="dxa"/>
          </w:tcPr>
          <w:p w14:paraId="09FA6A9C" w14:textId="77777777" w:rsidR="0000060D" w:rsidRPr="00BE055A"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0</w:t>
            </w:r>
          </w:p>
        </w:tc>
        <w:tc>
          <w:tcPr>
            <w:tcW w:w="709" w:type="dxa"/>
          </w:tcPr>
          <w:p w14:paraId="66D897CB" w14:textId="77777777" w:rsidR="0000060D" w:rsidRPr="00BE055A"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0</w:t>
            </w:r>
          </w:p>
        </w:tc>
        <w:tc>
          <w:tcPr>
            <w:tcW w:w="1276" w:type="dxa"/>
            <w:gridSpan w:val="2"/>
          </w:tcPr>
          <w:p w14:paraId="1E443EA2" w14:textId="77777777" w:rsidR="0000060D" w:rsidRPr="00BE055A" w:rsidRDefault="0000060D" w:rsidP="00B455A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0</w:t>
            </w:r>
          </w:p>
        </w:tc>
      </w:tr>
      <w:tr w:rsidR="0000060D" w:rsidRPr="00BE055A" w14:paraId="3C6314D5" w14:textId="77777777" w:rsidTr="00BE055A">
        <w:trPr>
          <w:gridAfter w:val="1"/>
          <w:wAfter w:w="10" w:type="dxa"/>
          <w:jc w:val="center"/>
        </w:trPr>
        <w:tc>
          <w:tcPr>
            <w:cnfStyle w:val="001000000000" w:firstRow="0" w:lastRow="0" w:firstColumn="1" w:lastColumn="0" w:oddVBand="0" w:evenVBand="0" w:oddHBand="0" w:evenHBand="0" w:firstRowFirstColumn="0" w:firstRowLastColumn="0" w:lastRowFirstColumn="0" w:lastRowLastColumn="0"/>
            <w:tcW w:w="5573" w:type="dxa"/>
            <w:gridSpan w:val="2"/>
          </w:tcPr>
          <w:p w14:paraId="5F96BECD" w14:textId="77777777" w:rsidR="0000060D" w:rsidRPr="00BE055A" w:rsidRDefault="0000060D" w:rsidP="00B455A9">
            <w:pPr>
              <w:spacing w:after="0" w:line="240" w:lineRule="auto"/>
              <w:rPr>
                <w:rFonts w:ascii="Times New Roman" w:hAnsi="Times New Roman" w:cs="Times New Roman"/>
                <w:iCs/>
                <w:sz w:val="20"/>
                <w:szCs w:val="20"/>
              </w:rPr>
            </w:pPr>
            <w:r w:rsidRPr="00BE055A">
              <w:rPr>
                <w:rFonts w:ascii="Times New Roman" w:hAnsi="Times New Roman" w:cs="Times New Roman"/>
                <w:iCs/>
                <w:sz w:val="20"/>
                <w:szCs w:val="20"/>
              </w:rPr>
              <w:t>Grand Total</w:t>
            </w:r>
          </w:p>
        </w:tc>
        <w:tc>
          <w:tcPr>
            <w:tcW w:w="801" w:type="dxa"/>
          </w:tcPr>
          <w:p w14:paraId="3522AFD7" w14:textId="77777777" w:rsidR="0000060D" w:rsidRPr="00BE055A"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Cs/>
                <w:sz w:val="20"/>
                <w:szCs w:val="20"/>
              </w:rPr>
            </w:pPr>
            <w:r w:rsidRPr="00BE055A">
              <w:rPr>
                <w:rFonts w:ascii="Times New Roman" w:hAnsi="Times New Roman" w:cs="Times New Roman"/>
                <w:b/>
                <w:iCs/>
                <w:sz w:val="20"/>
                <w:szCs w:val="20"/>
              </w:rPr>
              <w:t>226</w:t>
            </w:r>
          </w:p>
        </w:tc>
        <w:tc>
          <w:tcPr>
            <w:tcW w:w="709" w:type="dxa"/>
          </w:tcPr>
          <w:p w14:paraId="0EC09E21" w14:textId="77777777" w:rsidR="0000060D" w:rsidRPr="00BE055A"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Cs/>
                <w:sz w:val="20"/>
                <w:szCs w:val="20"/>
              </w:rPr>
            </w:pPr>
            <w:r w:rsidRPr="00BE055A">
              <w:rPr>
                <w:rFonts w:ascii="Times New Roman" w:hAnsi="Times New Roman" w:cs="Times New Roman"/>
                <w:b/>
                <w:iCs/>
                <w:sz w:val="20"/>
                <w:szCs w:val="20"/>
              </w:rPr>
              <w:t>100.0</w:t>
            </w:r>
          </w:p>
        </w:tc>
        <w:tc>
          <w:tcPr>
            <w:tcW w:w="1276" w:type="dxa"/>
            <w:gridSpan w:val="2"/>
          </w:tcPr>
          <w:p w14:paraId="0E7F155C" w14:textId="77777777" w:rsidR="0000060D" w:rsidRPr="00BE055A" w:rsidRDefault="0000060D" w:rsidP="00B455A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Cs/>
                <w:sz w:val="20"/>
                <w:szCs w:val="20"/>
              </w:rPr>
            </w:pPr>
            <w:r w:rsidRPr="00BE055A">
              <w:rPr>
                <w:rFonts w:ascii="Times New Roman" w:hAnsi="Times New Roman" w:cs="Times New Roman"/>
                <w:b/>
                <w:iCs/>
                <w:sz w:val="20"/>
                <w:szCs w:val="20"/>
              </w:rPr>
              <w:t>226</w:t>
            </w:r>
          </w:p>
        </w:tc>
      </w:tr>
    </w:tbl>
    <w:p w14:paraId="402301E0" w14:textId="77777777" w:rsidR="0000060D" w:rsidRPr="00BE055A" w:rsidRDefault="0000060D" w:rsidP="00BE055A">
      <w:pPr>
        <w:spacing w:line="360" w:lineRule="auto"/>
        <w:jc w:val="center"/>
        <w:rPr>
          <w:rFonts w:ascii="Times New Roman" w:hAnsi="Times New Roman" w:cs="Times New Roman"/>
          <w:bCs/>
          <w:iCs/>
          <w:sz w:val="24"/>
          <w:szCs w:val="24"/>
        </w:rPr>
      </w:pPr>
      <w:r w:rsidRPr="00BE055A">
        <w:rPr>
          <w:rFonts w:ascii="Times New Roman" w:hAnsi="Times New Roman" w:cs="Times New Roman"/>
          <w:bCs/>
          <w:iCs/>
          <w:sz w:val="24"/>
          <w:szCs w:val="24"/>
        </w:rPr>
        <w:t>Source: Author’s Field Survey, 2025</w:t>
      </w:r>
    </w:p>
    <w:p w14:paraId="1A0BC7B1" w14:textId="77777777" w:rsidR="0000060D" w:rsidRPr="00BE4AF3" w:rsidRDefault="0000060D" w:rsidP="00BE055A">
      <w:pPr>
        <w:spacing w:line="240" w:lineRule="auto"/>
        <w:jc w:val="both"/>
        <w:rPr>
          <w:rFonts w:ascii="Times New Roman" w:hAnsi="Times New Roman" w:cs="Times New Roman"/>
          <w:sz w:val="24"/>
          <w:szCs w:val="24"/>
        </w:rPr>
      </w:pPr>
      <w:r w:rsidRPr="00BE4AF3">
        <w:rPr>
          <w:rFonts w:ascii="Times New Roman" w:hAnsi="Times New Roman" w:cs="Times New Roman"/>
          <w:sz w:val="24"/>
          <w:szCs w:val="24"/>
        </w:rPr>
        <w:t>Taken together, these results suggest that the adoption of Hydra-Form bricks for teacher housing in Bwari Area Council faces three interconnected sets of challenges: (i) knowledge and perception barriers, due to low awareness and resistance to new technology; (ii) financial and logistical barriers, including high production costs, limited distribution networks, and lack of government incentives; and (iii) technical barriers, such as durability concerns and shortages of skilled labor for both construction and maintenance. Addressing these issues will require comprehensive interventions, including public education campaigns, training programs for artisans, government support through subsidies, establishment of local production facilities, and pilot housing projects to demonstrate the material’s performance in real-life conditions.</w:t>
      </w:r>
    </w:p>
    <w:p w14:paraId="50F8988F" w14:textId="77777777" w:rsidR="0000060D" w:rsidRPr="00BE4AF3" w:rsidRDefault="0000060D" w:rsidP="0000060D">
      <w:pPr>
        <w:rPr>
          <w:rFonts w:ascii="Times New Roman" w:hAnsi="Times New Roman" w:cs="Times New Roman"/>
          <w:sz w:val="24"/>
          <w:szCs w:val="24"/>
        </w:rPr>
      </w:pPr>
    </w:p>
    <w:p w14:paraId="6C0175D2" w14:textId="77777777" w:rsidR="0000060D" w:rsidRPr="00BE4AF3" w:rsidRDefault="0000060D" w:rsidP="0000060D">
      <w:pPr>
        <w:rPr>
          <w:rFonts w:ascii="Times New Roman" w:hAnsi="Times New Roman" w:cs="Times New Roman"/>
          <w:sz w:val="24"/>
          <w:szCs w:val="24"/>
        </w:rPr>
      </w:pPr>
    </w:p>
    <w:p w14:paraId="0F11EB42" w14:textId="77777777" w:rsidR="0000060D" w:rsidRPr="00BE4AF3" w:rsidRDefault="0000060D" w:rsidP="0000060D">
      <w:pPr>
        <w:rPr>
          <w:rFonts w:ascii="Times New Roman" w:hAnsi="Times New Roman" w:cs="Times New Roman"/>
          <w:sz w:val="24"/>
          <w:szCs w:val="24"/>
        </w:rPr>
      </w:pPr>
    </w:p>
    <w:p w14:paraId="32E5BF73" w14:textId="4B87D974" w:rsidR="0000060D" w:rsidRPr="00BE4AF3" w:rsidRDefault="0000060D" w:rsidP="00BE055A">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lastRenderedPageBreak/>
        <w:t>Evaluation of the Long-Term Durability and Maintenance Requirements of Hydra-Form Brick Blocks for Teacher Quarters in Bwari Area Council, F.C.T., Abuja</w:t>
      </w:r>
    </w:p>
    <w:p w14:paraId="32EE6E6D" w14:textId="77777777" w:rsidR="0000060D" w:rsidRPr="00BE4AF3" w:rsidRDefault="0000060D" w:rsidP="00BE055A">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durability of building materials is a crucial determinant of housing quality, particularly in regions like Bwari Area Council where climatic variability poses challenges to structural longevity. To evaluate the performance of Hydra-Form brick blocks, respondents were asked to compare them with conventional sandcrete blocks in terms of resistance to weathering, resistance to cracking, longevity without major repairs, and long-term maintenance requirements.</w:t>
      </w:r>
    </w:p>
    <w:p w14:paraId="000F28AA" w14:textId="77777777" w:rsidR="0000060D" w:rsidRPr="00BE4AF3" w:rsidRDefault="0000060D" w:rsidP="00BE055A">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findings (Table 4.4) reveal that Hydra-Form bricks were generally perceived as more durable than sandcrete blocks across all measured indicators. The highest rating was for longevity without major repairs, with a mean score of 4.24, followed closely by resistance to weathering (4.21). These results align with Adebakin </w:t>
      </w:r>
      <w:r w:rsidRPr="00BE4AF3">
        <w:rPr>
          <w:rFonts w:ascii="Times New Roman" w:hAnsi="Times New Roman" w:cs="Times New Roman"/>
          <w:i/>
          <w:sz w:val="24"/>
          <w:szCs w:val="24"/>
        </w:rPr>
        <w:t>et al.</w:t>
      </w:r>
      <w:r w:rsidRPr="00BE4AF3">
        <w:rPr>
          <w:rFonts w:ascii="Times New Roman" w:hAnsi="Times New Roman" w:cs="Times New Roman"/>
          <w:sz w:val="24"/>
          <w:szCs w:val="24"/>
        </w:rPr>
        <w:t xml:space="preserve"> (2012), who argued that interlocking earth blocks offer superior durability due to their compressive strength and reduced mortar joints, which often weaken sandcrete structures. Similarly, Osuji and Oloruntoba (2015) found that compressed stabilized earth blocks perform better under fluctuating weather conditions because of their natural thermal properties and lower susceptibility to cracking. While maintenance requirements were also rated favorably (mean 3.88), the findings suggest that periodic surface treatments such as repainting or weatherproofing remain necessary a point echoed by Olanrewaju and Abdul-Aziz (2015), who noted that earth-based materials require less structural repair but benefit from protective coatings to maintain aesthetics and weather resistance.</w:t>
      </w:r>
    </w:p>
    <w:p w14:paraId="28E0108D" w14:textId="77777777" w:rsidR="00BE055A" w:rsidRDefault="00BE055A" w:rsidP="00BE055A">
      <w:pPr>
        <w:spacing w:line="360" w:lineRule="auto"/>
        <w:jc w:val="center"/>
        <w:rPr>
          <w:rFonts w:ascii="Times New Roman" w:hAnsi="Times New Roman" w:cs="Times New Roman"/>
          <w:b/>
          <w:sz w:val="24"/>
          <w:szCs w:val="24"/>
        </w:rPr>
      </w:pPr>
    </w:p>
    <w:p w14:paraId="6097A5CC" w14:textId="1A0E1248" w:rsidR="0000060D" w:rsidRPr="00BE055A" w:rsidRDefault="0000060D" w:rsidP="00BE055A">
      <w:pPr>
        <w:spacing w:after="0" w:line="240" w:lineRule="auto"/>
        <w:jc w:val="center"/>
        <w:rPr>
          <w:rFonts w:ascii="Times New Roman" w:hAnsi="Times New Roman" w:cs="Times New Roman"/>
          <w:bCs/>
          <w:sz w:val="24"/>
          <w:szCs w:val="24"/>
        </w:rPr>
      </w:pPr>
      <w:r w:rsidRPr="00BE4AF3">
        <w:rPr>
          <w:rFonts w:ascii="Times New Roman" w:hAnsi="Times New Roman" w:cs="Times New Roman"/>
          <w:b/>
          <w:sz w:val="24"/>
          <w:szCs w:val="24"/>
        </w:rPr>
        <w:t>Table 4.4</w:t>
      </w:r>
      <w:r w:rsidR="00BE055A">
        <w:rPr>
          <w:rFonts w:ascii="Times New Roman" w:hAnsi="Times New Roman" w:cs="Times New Roman"/>
          <w:b/>
          <w:sz w:val="24"/>
          <w:szCs w:val="24"/>
        </w:rPr>
        <w:t>:</w:t>
      </w:r>
      <w:r w:rsidRPr="00BE4AF3">
        <w:rPr>
          <w:rFonts w:ascii="Times New Roman" w:hAnsi="Times New Roman" w:cs="Times New Roman"/>
          <w:b/>
          <w:sz w:val="24"/>
          <w:szCs w:val="24"/>
        </w:rPr>
        <w:t xml:space="preserve"> </w:t>
      </w:r>
      <w:r w:rsidRPr="00BE055A">
        <w:rPr>
          <w:rFonts w:ascii="Times New Roman" w:hAnsi="Times New Roman" w:cs="Times New Roman"/>
          <w:bCs/>
          <w:sz w:val="24"/>
          <w:szCs w:val="24"/>
        </w:rPr>
        <w:t>Durability Comparison of Hydra-Form Brick Blocks and Traditional Sandcrete Blocks Index</w:t>
      </w:r>
    </w:p>
    <w:tbl>
      <w:tblPr>
        <w:tblStyle w:val="PlainTable11"/>
        <w:tblW w:w="9039" w:type="dxa"/>
        <w:jc w:val="center"/>
        <w:tblLook w:val="04A0" w:firstRow="1" w:lastRow="0" w:firstColumn="1" w:lastColumn="0" w:noHBand="0" w:noVBand="1"/>
      </w:tblPr>
      <w:tblGrid>
        <w:gridCol w:w="1555"/>
        <w:gridCol w:w="772"/>
        <w:gridCol w:w="772"/>
        <w:gridCol w:w="872"/>
        <w:gridCol w:w="749"/>
        <w:gridCol w:w="749"/>
        <w:gridCol w:w="1127"/>
        <w:gridCol w:w="694"/>
        <w:gridCol w:w="822"/>
        <w:gridCol w:w="927"/>
      </w:tblGrid>
      <w:tr w:rsidR="00BE055A" w:rsidRPr="00BE055A" w14:paraId="3B75AA70" w14:textId="77777777" w:rsidTr="00BE055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bottom w:val="single" w:sz="4" w:space="0" w:color="auto"/>
            </w:tcBorders>
          </w:tcPr>
          <w:p w14:paraId="34C06B1D" w14:textId="77777777" w:rsidR="0000060D" w:rsidRPr="00BE055A" w:rsidRDefault="0000060D" w:rsidP="00BE055A">
            <w:pPr>
              <w:spacing w:after="0" w:line="240" w:lineRule="auto"/>
              <w:rPr>
                <w:rFonts w:ascii="Times New Roman" w:hAnsi="Times New Roman" w:cs="Times New Roman"/>
                <w:b w:val="0"/>
                <w:bCs w:val="0"/>
                <w:sz w:val="20"/>
                <w:szCs w:val="20"/>
              </w:rPr>
            </w:pPr>
          </w:p>
        </w:tc>
        <w:tc>
          <w:tcPr>
            <w:tcW w:w="772" w:type="dxa"/>
            <w:tcBorders>
              <w:top w:val="single" w:sz="4" w:space="0" w:color="auto"/>
              <w:bottom w:val="single" w:sz="4" w:space="0" w:color="auto"/>
            </w:tcBorders>
          </w:tcPr>
          <w:p w14:paraId="54D9FD25" w14:textId="77777777" w:rsidR="0000060D" w:rsidRPr="00BE055A" w:rsidRDefault="0000060D" w:rsidP="00BE055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E055A">
              <w:rPr>
                <w:rFonts w:ascii="Times New Roman" w:hAnsi="Times New Roman" w:cs="Times New Roman"/>
                <w:b w:val="0"/>
                <w:bCs w:val="0"/>
                <w:sz w:val="20"/>
                <w:szCs w:val="20"/>
              </w:rPr>
              <w:t>Much Worse (1)</w:t>
            </w:r>
          </w:p>
        </w:tc>
        <w:tc>
          <w:tcPr>
            <w:tcW w:w="772" w:type="dxa"/>
            <w:tcBorders>
              <w:top w:val="single" w:sz="4" w:space="0" w:color="auto"/>
              <w:bottom w:val="single" w:sz="4" w:space="0" w:color="auto"/>
            </w:tcBorders>
          </w:tcPr>
          <w:p w14:paraId="49D14477" w14:textId="77777777" w:rsidR="0000060D" w:rsidRPr="00BE055A" w:rsidRDefault="0000060D" w:rsidP="00BE055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E055A">
              <w:rPr>
                <w:rFonts w:ascii="Times New Roman" w:hAnsi="Times New Roman" w:cs="Times New Roman"/>
                <w:b w:val="0"/>
                <w:bCs w:val="0"/>
                <w:sz w:val="20"/>
                <w:szCs w:val="20"/>
              </w:rPr>
              <w:t>Worse   (2)</w:t>
            </w:r>
          </w:p>
        </w:tc>
        <w:tc>
          <w:tcPr>
            <w:tcW w:w="872" w:type="dxa"/>
            <w:tcBorders>
              <w:top w:val="single" w:sz="4" w:space="0" w:color="auto"/>
              <w:bottom w:val="single" w:sz="4" w:space="0" w:color="auto"/>
            </w:tcBorders>
          </w:tcPr>
          <w:p w14:paraId="7C3C62C4" w14:textId="77777777" w:rsidR="0000060D" w:rsidRPr="00BE055A" w:rsidRDefault="0000060D" w:rsidP="00BE055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E055A">
              <w:rPr>
                <w:rFonts w:ascii="Times New Roman" w:hAnsi="Times New Roman" w:cs="Times New Roman"/>
                <w:b w:val="0"/>
                <w:bCs w:val="0"/>
                <w:sz w:val="20"/>
                <w:szCs w:val="20"/>
              </w:rPr>
              <w:t>Neutral (3)</w:t>
            </w:r>
          </w:p>
        </w:tc>
        <w:tc>
          <w:tcPr>
            <w:tcW w:w="749" w:type="dxa"/>
            <w:tcBorders>
              <w:top w:val="single" w:sz="4" w:space="0" w:color="auto"/>
              <w:bottom w:val="single" w:sz="4" w:space="0" w:color="auto"/>
            </w:tcBorders>
          </w:tcPr>
          <w:p w14:paraId="33A5FBBB" w14:textId="77777777" w:rsidR="0000060D" w:rsidRPr="00BE055A" w:rsidRDefault="0000060D" w:rsidP="00BE055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E055A">
              <w:rPr>
                <w:rFonts w:ascii="Times New Roman" w:hAnsi="Times New Roman" w:cs="Times New Roman"/>
                <w:b w:val="0"/>
                <w:bCs w:val="0"/>
                <w:sz w:val="20"/>
                <w:szCs w:val="20"/>
              </w:rPr>
              <w:t>Better   (4)</w:t>
            </w:r>
          </w:p>
        </w:tc>
        <w:tc>
          <w:tcPr>
            <w:tcW w:w="749" w:type="dxa"/>
            <w:tcBorders>
              <w:top w:val="single" w:sz="4" w:space="0" w:color="auto"/>
              <w:bottom w:val="single" w:sz="4" w:space="0" w:color="auto"/>
            </w:tcBorders>
          </w:tcPr>
          <w:p w14:paraId="01B6F899" w14:textId="77777777" w:rsidR="0000060D" w:rsidRPr="00BE055A" w:rsidRDefault="0000060D" w:rsidP="00BE055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E055A">
              <w:rPr>
                <w:rFonts w:ascii="Times New Roman" w:hAnsi="Times New Roman" w:cs="Times New Roman"/>
                <w:b w:val="0"/>
                <w:bCs w:val="0"/>
                <w:sz w:val="20"/>
                <w:szCs w:val="20"/>
              </w:rPr>
              <w:t>Much Better    (5)</w:t>
            </w:r>
          </w:p>
        </w:tc>
        <w:tc>
          <w:tcPr>
            <w:tcW w:w="1127" w:type="dxa"/>
            <w:tcBorders>
              <w:top w:val="single" w:sz="4" w:space="0" w:color="auto"/>
              <w:bottom w:val="single" w:sz="4" w:space="0" w:color="auto"/>
            </w:tcBorders>
          </w:tcPr>
          <w:p w14:paraId="636BB9E1" w14:textId="77777777" w:rsidR="0000060D" w:rsidRPr="00BE055A" w:rsidRDefault="0000060D" w:rsidP="00BE055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E055A">
              <w:rPr>
                <w:rFonts w:ascii="Times New Roman" w:hAnsi="Times New Roman" w:cs="Times New Roman"/>
                <w:b w:val="0"/>
                <w:bCs w:val="0"/>
                <w:sz w:val="20"/>
                <w:szCs w:val="20"/>
              </w:rPr>
              <w:t>Total Frequency (f)</w:t>
            </w:r>
          </w:p>
        </w:tc>
        <w:tc>
          <w:tcPr>
            <w:tcW w:w="694" w:type="dxa"/>
            <w:tcBorders>
              <w:top w:val="single" w:sz="4" w:space="0" w:color="auto"/>
              <w:bottom w:val="single" w:sz="4" w:space="0" w:color="auto"/>
            </w:tcBorders>
          </w:tcPr>
          <w:p w14:paraId="36C6E4B4" w14:textId="77777777" w:rsidR="0000060D" w:rsidRPr="00BE055A" w:rsidRDefault="0000060D" w:rsidP="00BE055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E055A">
              <w:rPr>
                <w:rFonts w:ascii="Times New Roman" w:hAnsi="Times New Roman" w:cs="Times New Roman"/>
                <w:b w:val="0"/>
                <w:bCs w:val="0"/>
                <w:sz w:val="20"/>
                <w:szCs w:val="20"/>
              </w:rPr>
              <w:t>TWV</w:t>
            </w:r>
          </w:p>
        </w:tc>
        <w:tc>
          <w:tcPr>
            <w:tcW w:w="822" w:type="dxa"/>
            <w:tcBorders>
              <w:top w:val="single" w:sz="4" w:space="0" w:color="auto"/>
              <w:bottom w:val="single" w:sz="4" w:space="0" w:color="auto"/>
            </w:tcBorders>
          </w:tcPr>
          <w:p w14:paraId="07409075" w14:textId="77777777" w:rsidR="0000060D" w:rsidRPr="00BE055A" w:rsidRDefault="0000060D" w:rsidP="00BE055A">
            <w:pPr>
              <w:spacing w:after="0"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E055A">
              <w:rPr>
                <w:rFonts w:ascii="Times New Roman" w:hAnsi="Times New Roman" w:cs="Times New Roman"/>
                <w:b w:val="0"/>
                <w:bCs w:val="0"/>
                <w:sz w:val="20"/>
                <w:szCs w:val="20"/>
              </w:rPr>
              <w:t>TWV/f</w:t>
            </w:r>
          </w:p>
        </w:tc>
        <w:tc>
          <w:tcPr>
            <w:tcW w:w="927" w:type="dxa"/>
            <w:tcBorders>
              <w:top w:val="single" w:sz="4" w:space="0" w:color="auto"/>
              <w:bottom w:val="single" w:sz="4" w:space="0" w:color="auto"/>
            </w:tcBorders>
          </w:tcPr>
          <w:p w14:paraId="52F27B6B" w14:textId="2668A08E" w:rsidR="0000060D" w:rsidRPr="00BE055A" w:rsidRDefault="0000060D" w:rsidP="00BE055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E055A">
              <w:rPr>
                <w:rFonts w:ascii="Times New Roman" w:hAnsi="Times New Roman" w:cs="Times New Roman"/>
                <w:b w:val="0"/>
                <w:bCs w:val="0"/>
                <w:sz w:val="20"/>
                <w:szCs w:val="20"/>
              </w:rPr>
              <w:t xml:space="preserve">Average mean </w:t>
            </w:r>
            <m:oMath>
              <m:r>
                <w:rPr>
                  <w:rFonts w:ascii="Cambria Math" w:hAnsi="Cambria Math" w:cs="Times New Roman"/>
                  <w:sz w:val="20"/>
                  <w:szCs w:val="20"/>
                </w:rPr>
                <m:t>μ</m:t>
              </m:r>
            </m:oMath>
          </w:p>
        </w:tc>
      </w:tr>
      <w:tr w:rsidR="00BE055A" w:rsidRPr="00BE055A" w14:paraId="0257575C" w14:textId="77777777" w:rsidTr="00BE05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tcBorders>
          </w:tcPr>
          <w:p w14:paraId="2C185A1D" w14:textId="77777777" w:rsidR="0000060D" w:rsidRPr="00BE055A" w:rsidRDefault="0000060D" w:rsidP="00BE055A">
            <w:pPr>
              <w:spacing w:line="240" w:lineRule="auto"/>
              <w:rPr>
                <w:rFonts w:ascii="Times New Roman" w:hAnsi="Times New Roman" w:cs="Times New Roman"/>
                <w:b w:val="0"/>
                <w:sz w:val="20"/>
                <w:szCs w:val="20"/>
              </w:rPr>
            </w:pPr>
            <w:r w:rsidRPr="00BE055A">
              <w:rPr>
                <w:rFonts w:ascii="Times New Roman" w:hAnsi="Times New Roman" w:cs="Times New Roman"/>
                <w:b w:val="0"/>
                <w:sz w:val="20"/>
                <w:szCs w:val="20"/>
              </w:rPr>
              <w:t>Resistance to weathering (e.g., rain, humidity, heat)</w:t>
            </w:r>
          </w:p>
        </w:tc>
        <w:tc>
          <w:tcPr>
            <w:tcW w:w="772" w:type="dxa"/>
            <w:tcBorders>
              <w:top w:val="single" w:sz="4" w:space="0" w:color="auto"/>
            </w:tcBorders>
          </w:tcPr>
          <w:p w14:paraId="3D45D2B1" w14:textId="77777777" w:rsidR="0000060D" w:rsidRPr="00BE055A" w:rsidRDefault="0000060D" w:rsidP="00BE05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12</w:t>
            </w:r>
          </w:p>
        </w:tc>
        <w:tc>
          <w:tcPr>
            <w:tcW w:w="772" w:type="dxa"/>
            <w:tcBorders>
              <w:top w:val="single" w:sz="4" w:space="0" w:color="auto"/>
            </w:tcBorders>
          </w:tcPr>
          <w:p w14:paraId="3AB0A712" w14:textId="77777777" w:rsidR="0000060D" w:rsidRPr="00BE055A" w:rsidRDefault="0000060D" w:rsidP="00BE05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4</w:t>
            </w:r>
          </w:p>
        </w:tc>
        <w:tc>
          <w:tcPr>
            <w:tcW w:w="872" w:type="dxa"/>
            <w:tcBorders>
              <w:top w:val="single" w:sz="4" w:space="0" w:color="auto"/>
            </w:tcBorders>
          </w:tcPr>
          <w:p w14:paraId="26061E0E" w14:textId="77777777" w:rsidR="0000060D" w:rsidRPr="00BE055A" w:rsidRDefault="0000060D" w:rsidP="00BE05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24</w:t>
            </w:r>
          </w:p>
        </w:tc>
        <w:tc>
          <w:tcPr>
            <w:tcW w:w="749" w:type="dxa"/>
            <w:tcBorders>
              <w:top w:val="single" w:sz="4" w:space="0" w:color="auto"/>
            </w:tcBorders>
          </w:tcPr>
          <w:p w14:paraId="53BBC19F" w14:textId="77777777" w:rsidR="0000060D" w:rsidRPr="00BE055A" w:rsidRDefault="0000060D" w:rsidP="00BE05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75</w:t>
            </w:r>
          </w:p>
        </w:tc>
        <w:tc>
          <w:tcPr>
            <w:tcW w:w="749" w:type="dxa"/>
            <w:tcBorders>
              <w:top w:val="single" w:sz="4" w:space="0" w:color="auto"/>
            </w:tcBorders>
          </w:tcPr>
          <w:p w14:paraId="64FFD5FD" w14:textId="77777777" w:rsidR="0000060D" w:rsidRPr="00BE055A" w:rsidRDefault="0000060D" w:rsidP="00BE05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117</w:t>
            </w:r>
          </w:p>
        </w:tc>
        <w:tc>
          <w:tcPr>
            <w:tcW w:w="1127" w:type="dxa"/>
            <w:tcBorders>
              <w:top w:val="single" w:sz="4" w:space="0" w:color="auto"/>
            </w:tcBorders>
          </w:tcPr>
          <w:p w14:paraId="45C133F6" w14:textId="77777777" w:rsidR="0000060D" w:rsidRPr="00BE055A" w:rsidRDefault="0000060D" w:rsidP="00BE05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232</w:t>
            </w:r>
          </w:p>
        </w:tc>
        <w:tc>
          <w:tcPr>
            <w:tcW w:w="694" w:type="dxa"/>
            <w:tcBorders>
              <w:top w:val="single" w:sz="4" w:space="0" w:color="auto"/>
            </w:tcBorders>
          </w:tcPr>
          <w:p w14:paraId="1FF3312C" w14:textId="77777777" w:rsidR="0000060D" w:rsidRPr="00BE055A" w:rsidRDefault="0000060D" w:rsidP="00BE05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977</w:t>
            </w:r>
          </w:p>
        </w:tc>
        <w:tc>
          <w:tcPr>
            <w:tcW w:w="822" w:type="dxa"/>
            <w:tcBorders>
              <w:top w:val="single" w:sz="4" w:space="0" w:color="auto"/>
            </w:tcBorders>
          </w:tcPr>
          <w:p w14:paraId="4FB21F6E" w14:textId="77777777" w:rsidR="0000060D" w:rsidRPr="00BE055A" w:rsidRDefault="0000060D" w:rsidP="00BE05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4.21</w:t>
            </w:r>
          </w:p>
        </w:tc>
        <w:tc>
          <w:tcPr>
            <w:tcW w:w="927" w:type="dxa"/>
            <w:tcBorders>
              <w:top w:val="single" w:sz="4" w:space="0" w:color="auto"/>
            </w:tcBorders>
          </w:tcPr>
          <w:p w14:paraId="7F6C8C82" w14:textId="77777777" w:rsidR="0000060D" w:rsidRPr="00BE055A" w:rsidRDefault="0000060D" w:rsidP="00BE05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65.13</w:t>
            </w:r>
          </w:p>
        </w:tc>
      </w:tr>
      <w:tr w:rsidR="00BE055A" w:rsidRPr="00BE055A" w14:paraId="3ABEC3A8" w14:textId="77777777" w:rsidTr="00BE055A">
        <w:trPr>
          <w:jc w:val="center"/>
        </w:trPr>
        <w:tc>
          <w:tcPr>
            <w:cnfStyle w:val="001000000000" w:firstRow="0" w:lastRow="0" w:firstColumn="1" w:lastColumn="0" w:oddVBand="0" w:evenVBand="0" w:oddHBand="0" w:evenHBand="0" w:firstRowFirstColumn="0" w:firstRowLastColumn="0" w:lastRowFirstColumn="0" w:lastRowLastColumn="0"/>
            <w:tcW w:w="1555" w:type="dxa"/>
          </w:tcPr>
          <w:p w14:paraId="6BBF08E9" w14:textId="77777777" w:rsidR="0000060D" w:rsidRPr="00BE055A" w:rsidRDefault="0000060D" w:rsidP="00BE055A">
            <w:pPr>
              <w:spacing w:line="240" w:lineRule="auto"/>
              <w:rPr>
                <w:rFonts w:ascii="Times New Roman" w:hAnsi="Times New Roman" w:cs="Times New Roman"/>
                <w:b w:val="0"/>
                <w:sz w:val="20"/>
                <w:szCs w:val="20"/>
              </w:rPr>
            </w:pPr>
            <w:r w:rsidRPr="00BE055A">
              <w:rPr>
                <w:rFonts w:ascii="Times New Roman" w:hAnsi="Times New Roman" w:cs="Times New Roman"/>
                <w:b w:val="0"/>
                <w:sz w:val="20"/>
                <w:szCs w:val="20"/>
              </w:rPr>
              <w:t>Resistance to cracking or structural damage</w:t>
            </w:r>
          </w:p>
        </w:tc>
        <w:tc>
          <w:tcPr>
            <w:tcW w:w="772" w:type="dxa"/>
          </w:tcPr>
          <w:p w14:paraId="1AC5BE19" w14:textId="77777777" w:rsidR="0000060D" w:rsidRPr="00BE055A" w:rsidRDefault="0000060D" w:rsidP="00BE05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19</w:t>
            </w:r>
          </w:p>
        </w:tc>
        <w:tc>
          <w:tcPr>
            <w:tcW w:w="772" w:type="dxa"/>
          </w:tcPr>
          <w:p w14:paraId="2F1A7B68" w14:textId="77777777" w:rsidR="0000060D" w:rsidRPr="00BE055A" w:rsidRDefault="0000060D" w:rsidP="00BE05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8</w:t>
            </w:r>
          </w:p>
        </w:tc>
        <w:tc>
          <w:tcPr>
            <w:tcW w:w="872" w:type="dxa"/>
          </w:tcPr>
          <w:p w14:paraId="25FD12B5" w14:textId="77777777" w:rsidR="0000060D" w:rsidRPr="00BE055A" w:rsidRDefault="0000060D" w:rsidP="00BE05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35</w:t>
            </w:r>
          </w:p>
        </w:tc>
        <w:tc>
          <w:tcPr>
            <w:tcW w:w="749" w:type="dxa"/>
          </w:tcPr>
          <w:p w14:paraId="78C37FFE" w14:textId="77777777" w:rsidR="0000060D" w:rsidRPr="00BE055A" w:rsidRDefault="0000060D" w:rsidP="00BE05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62</w:t>
            </w:r>
          </w:p>
        </w:tc>
        <w:tc>
          <w:tcPr>
            <w:tcW w:w="749" w:type="dxa"/>
          </w:tcPr>
          <w:p w14:paraId="7F123618" w14:textId="77777777" w:rsidR="0000060D" w:rsidRPr="00BE055A" w:rsidRDefault="0000060D" w:rsidP="00BE05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108</w:t>
            </w:r>
          </w:p>
        </w:tc>
        <w:tc>
          <w:tcPr>
            <w:tcW w:w="1127" w:type="dxa"/>
          </w:tcPr>
          <w:p w14:paraId="78B23C9D" w14:textId="77777777" w:rsidR="0000060D" w:rsidRPr="00BE055A" w:rsidRDefault="0000060D" w:rsidP="00BE05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232</w:t>
            </w:r>
          </w:p>
        </w:tc>
        <w:tc>
          <w:tcPr>
            <w:tcW w:w="694" w:type="dxa"/>
          </w:tcPr>
          <w:p w14:paraId="68CC43A6" w14:textId="77777777" w:rsidR="0000060D" w:rsidRPr="00BE055A" w:rsidRDefault="0000060D" w:rsidP="00BE05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928</w:t>
            </w:r>
          </w:p>
        </w:tc>
        <w:tc>
          <w:tcPr>
            <w:tcW w:w="822" w:type="dxa"/>
          </w:tcPr>
          <w:p w14:paraId="7F4C37CE" w14:textId="77777777" w:rsidR="0000060D" w:rsidRPr="00BE055A" w:rsidRDefault="0000060D" w:rsidP="00BE05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4.00</w:t>
            </w:r>
          </w:p>
        </w:tc>
        <w:tc>
          <w:tcPr>
            <w:tcW w:w="927" w:type="dxa"/>
          </w:tcPr>
          <w:p w14:paraId="2A05C762" w14:textId="77777777" w:rsidR="0000060D" w:rsidRPr="00BE055A" w:rsidRDefault="0000060D" w:rsidP="00BE05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61.87</w:t>
            </w:r>
          </w:p>
        </w:tc>
      </w:tr>
      <w:tr w:rsidR="00BE055A" w:rsidRPr="00BE055A" w14:paraId="450C3981" w14:textId="77777777" w:rsidTr="00BE05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tcPr>
          <w:p w14:paraId="4364E1B1" w14:textId="77777777" w:rsidR="0000060D" w:rsidRPr="00BE055A" w:rsidRDefault="0000060D" w:rsidP="00BE055A">
            <w:pPr>
              <w:spacing w:line="240" w:lineRule="auto"/>
              <w:rPr>
                <w:rFonts w:ascii="Times New Roman" w:hAnsi="Times New Roman" w:cs="Times New Roman"/>
                <w:b w:val="0"/>
                <w:sz w:val="20"/>
                <w:szCs w:val="20"/>
              </w:rPr>
            </w:pPr>
            <w:r w:rsidRPr="00BE055A">
              <w:rPr>
                <w:rFonts w:ascii="Times New Roman" w:hAnsi="Times New Roman" w:cs="Times New Roman"/>
                <w:b w:val="0"/>
                <w:sz w:val="20"/>
                <w:szCs w:val="20"/>
              </w:rPr>
              <w:t>Longevity without major repairs</w:t>
            </w:r>
          </w:p>
        </w:tc>
        <w:tc>
          <w:tcPr>
            <w:tcW w:w="772" w:type="dxa"/>
          </w:tcPr>
          <w:p w14:paraId="10331F17" w14:textId="77777777" w:rsidR="0000060D" w:rsidRPr="00BE055A" w:rsidRDefault="0000060D" w:rsidP="00BE05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0</w:t>
            </w:r>
          </w:p>
        </w:tc>
        <w:tc>
          <w:tcPr>
            <w:tcW w:w="772" w:type="dxa"/>
          </w:tcPr>
          <w:p w14:paraId="143C7C64" w14:textId="77777777" w:rsidR="0000060D" w:rsidRPr="00BE055A" w:rsidRDefault="0000060D" w:rsidP="00BE05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3</w:t>
            </w:r>
          </w:p>
        </w:tc>
        <w:tc>
          <w:tcPr>
            <w:tcW w:w="872" w:type="dxa"/>
          </w:tcPr>
          <w:p w14:paraId="6F7CC34B" w14:textId="77777777" w:rsidR="0000060D" w:rsidRPr="00BE055A" w:rsidRDefault="0000060D" w:rsidP="00BE05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45</w:t>
            </w:r>
          </w:p>
        </w:tc>
        <w:tc>
          <w:tcPr>
            <w:tcW w:w="749" w:type="dxa"/>
          </w:tcPr>
          <w:p w14:paraId="205D1294" w14:textId="77777777" w:rsidR="0000060D" w:rsidRPr="00BE055A" w:rsidRDefault="0000060D" w:rsidP="00BE05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78</w:t>
            </w:r>
          </w:p>
        </w:tc>
        <w:tc>
          <w:tcPr>
            <w:tcW w:w="749" w:type="dxa"/>
          </w:tcPr>
          <w:p w14:paraId="2D9E74D5" w14:textId="77777777" w:rsidR="0000060D" w:rsidRPr="00BE055A" w:rsidRDefault="0000060D" w:rsidP="00BE05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106</w:t>
            </w:r>
          </w:p>
        </w:tc>
        <w:tc>
          <w:tcPr>
            <w:tcW w:w="1127" w:type="dxa"/>
          </w:tcPr>
          <w:p w14:paraId="32F4EAA5" w14:textId="77777777" w:rsidR="0000060D" w:rsidRPr="00BE055A" w:rsidRDefault="0000060D" w:rsidP="00BE05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232</w:t>
            </w:r>
          </w:p>
        </w:tc>
        <w:tc>
          <w:tcPr>
            <w:tcW w:w="694" w:type="dxa"/>
          </w:tcPr>
          <w:p w14:paraId="78DA788E" w14:textId="77777777" w:rsidR="0000060D" w:rsidRPr="00BE055A" w:rsidRDefault="0000060D" w:rsidP="00BE05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983</w:t>
            </w:r>
          </w:p>
        </w:tc>
        <w:tc>
          <w:tcPr>
            <w:tcW w:w="822" w:type="dxa"/>
          </w:tcPr>
          <w:p w14:paraId="704FDDC3" w14:textId="77777777" w:rsidR="0000060D" w:rsidRPr="00BE055A" w:rsidRDefault="0000060D" w:rsidP="00BE05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4.24</w:t>
            </w:r>
          </w:p>
        </w:tc>
        <w:tc>
          <w:tcPr>
            <w:tcW w:w="927" w:type="dxa"/>
          </w:tcPr>
          <w:p w14:paraId="42FB7D8C" w14:textId="77777777" w:rsidR="0000060D" w:rsidRPr="00BE055A" w:rsidRDefault="0000060D" w:rsidP="00BE05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65.53</w:t>
            </w:r>
          </w:p>
        </w:tc>
      </w:tr>
      <w:tr w:rsidR="00BE055A" w:rsidRPr="00BE055A" w14:paraId="350373C3" w14:textId="77777777" w:rsidTr="00BE055A">
        <w:trPr>
          <w:jc w:val="center"/>
        </w:trPr>
        <w:tc>
          <w:tcPr>
            <w:cnfStyle w:val="001000000000" w:firstRow="0" w:lastRow="0" w:firstColumn="1" w:lastColumn="0" w:oddVBand="0" w:evenVBand="0" w:oddHBand="0" w:evenHBand="0" w:firstRowFirstColumn="0" w:firstRowLastColumn="0" w:lastRowFirstColumn="0" w:lastRowLastColumn="0"/>
            <w:tcW w:w="1555" w:type="dxa"/>
          </w:tcPr>
          <w:p w14:paraId="0106D4F2" w14:textId="77777777" w:rsidR="0000060D" w:rsidRPr="00BE055A" w:rsidRDefault="0000060D" w:rsidP="00BE055A">
            <w:pPr>
              <w:spacing w:line="240" w:lineRule="auto"/>
              <w:rPr>
                <w:rFonts w:ascii="Times New Roman" w:hAnsi="Times New Roman" w:cs="Times New Roman"/>
                <w:b w:val="0"/>
                <w:sz w:val="20"/>
                <w:szCs w:val="20"/>
              </w:rPr>
            </w:pPr>
            <w:r w:rsidRPr="00BE055A">
              <w:rPr>
                <w:rFonts w:ascii="Times New Roman" w:hAnsi="Times New Roman" w:cs="Times New Roman"/>
                <w:b w:val="0"/>
                <w:sz w:val="20"/>
                <w:szCs w:val="20"/>
              </w:rPr>
              <w:t>Maintenance requirements over time</w:t>
            </w:r>
          </w:p>
        </w:tc>
        <w:tc>
          <w:tcPr>
            <w:tcW w:w="772" w:type="dxa"/>
          </w:tcPr>
          <w:p w14:paraId="7E23FB89" w14:textId="77777777" w:rsidR="0000060D" w:rsidRPr="00BE055A" w:rsidRDefault="0000060D" w:rsidP="00BE05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22</w:t>
            </w:r>
          </w:p>
        </w:tc>
        <w:tc>
          <w:tcPr>
            <w:tcW w:w="772" w:type="dxa"/>
          </w:tcPr>
          <w:p w14:paraId="4575BCBE" w14:textId="77777777" w:rsidR="0000060D" w:rsidRPr="00BE055A" w:rsidRDefault="0000060D" w:rsidP="00BE05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18</w:t>
            </w:r>
          </w:p>
        </w:tc>
        <w:tc>
          <w:tcPr>
            <w:tcW w:w="872" w:type="dxa"/>
          </w:tcPr>
          <w:p w14:paraId="50D6A1B6" w14:textId="77777777" w:rsidR="0000060D" w:rsidRPr="00BE055A" w:rsidRDefault="0000060D" w:rsidP="00BE05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29</w:t>
            </w:r>
          </w:p>
        </w:tc>
        <w:tc>
          <w:tcPr>
            <w:tcW w:w="749" w:type="dxa"/>
          </w:tcPr>
          <w:p w14:paraId="5506910B" w14:textId="77777777" w:rsidR="0000060D" w:rsidRPr="00BE055A" w:rsidRDefault="0000060D" w:rsidP="00BE05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59</w:t>
            </w:r>
          </w:p>
        </w:tc>
        <w:tc>
          <w:tcPr>
            <w:tcW w:w="749" w:type="dxa"/>
          </w:tcPr>
          <w:p w14:paraId="77F7293C" w14:textId="77777777" w:rsidR="0000060D" w:rsidRPr="00BE055A" w:rsidRDefault="0000060D" w:rsidP="00BE05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104</w:t>
            </w:r>
          </w:p>
        </w:tc>
        <w:tc>
          <w:tcPr>
            <w:tcW w:w="1127" w:type="dxa"/>
          </w:tcPr>
          <w:p w14:paraId="5FF5E59F" w14:textId="77777777" w:rsidR="0000060D" w:rsidRPr="00BE055A" w:rsidRDefault="0000060D" w:rsidP="00BE05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232</w:t>
            </w:r>
          </w:p>
        </w:tc>
        <w:tc>
          <w:tcPr>
            <w:tcW w:w="694" w:type="dxa"/>
          </w:tcPr>
          <w:p w14:paraId="7776E44B" w14:textId="77777777" w:rsidR="0000060D" w:rsidRPr="00BE055A" w:rsidRDefault="0000060D" w:rsidP="00BE05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901</w:t>
            </w:r>
          </w:p>
        </w:tc>
        <w:tc>
          <w:tcPr>
            <w:tcW w:w="822" w:type="dxa"/>
          </w:tcPr>
          <w:p w14:paraId="272101CA" w14:textId="77777777" w:rsidR="0000060D" w:rsidRPr="00BE055A" w:rsidRDefault="0000060D" w:rsidP="00BE05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3.88</w:t>
            </w:r>
          </w:p>
        </w:tc>
        <w:tc>
          <w:tcPr>
            <w:tcW w:w="927" w:type="dxa"/>
          </w:tcPr>
          <w:p w14:paraId="384E75A1" w14:textId="77777777" w:rsidR="0000060D" w:rsidRPr="00BE055A" w:rsidRDefault="0000060D" w:rsidP="00BE05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60.07</w:t>
            </w:r>
          </w:p>
        </w:tc>
      </w:tr>
      <w:tr w:rsidR="00BE055A" w:rsidRPr="00BE055A" w14:paraId="486B4D72" w14:textId="77777777" w:rsidTr="00BE05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tcPr>
          <w:p w14:paraId="607CC43F" w14:textId="77777777" w:rsidR="0000060D" w:rsidRPr="00BE055A" w:rsidRDefault="0000060D" w:rsidP="00BE055A">
            <w:pPr>
              <w:spacing w:line="240" w:lineRule="auto"/>
              <w:rPr>
                <w:rFonts w:ascii="Times New Roman" w:hAnsi="Times New Roman" w:cs="Times New Roman"/>
                <w:b w:val="0"/>
                <w:sz w:val="20"/>
                <w:szCs w:val="20"/>
              </w:rPr>
            </w:pPr>
          </w:p>
        </w:tc>
        <w:tc>
          <w:tcPr>
            <w:tcW w:w="772" w:type="dxa"/>
          </w:tcPr>
          <w:p w14:paraId="2D819EDF" w14:textId="77777777" w:rsidR="0000060D" w:rsidRPr="00BE055A" w:rsidRDefault="0000060D" w:rsidP="00BE055A">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772" w:type="dxa"/>
          </w:tcPr>
          <w:p w14:paraId="60B89FC2" w14:textId="77777777" w:rsidR="0000060D" w:rsidRPr="00BE055A" w:rsidRDefault="0000060D" w:rsidP="00BE055A">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872" w:type="dxa"/>
          </w:tcPr>
          <w:p w14:paraId="25D5D202" w14:textId="77777777" w:rsidR="0000060D" w:rsidRPr="00BE055A" w:rsidRDefault="0000060D" w:rsidP="00BE055A">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749" w:type="dxa"/>
          </w:tcPr>
          <w:p w14:paraId="16E66C39" w14:textId="77777777" w:rsidR="0000060D" w:rsidRPr="00BE055A" w:rsidRDefault="0000060D" w:rsidP="00BE055A">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749" w:type="dxa"/>
          </w:tcPr>
          <w:p w14:paraId="20D283DA" w14:textId="77777777" w:rsidR="0000060D" w:rsidRPr="00BE055A" w:rsidRDefault="0000060D" w:rsidP="00BE055A">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127" w:type="dxa"/>
          </w:tcPr>
          <w:p w14:paraId="4718FE10" w14:textId="77777777" w:rsidR="0000060D" w:rsidRPr="00BE055A" w:rsidRDefault="0000060D" w:rsidP="00BE055A">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694" w:type="dxa"/>
          </w:tcPr>
          <w:p w14:paraId="24D78AAC" w14:textId="77777777" w:rsidR="0000060D" w:rsidRPr="00BE055A" w:rsidRDefault="0000060D" w:rsidP="00BE055A">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822" w:type="dxa"/>
          </w:tcPr>
          <w:p w14:paraId="7BEFC0AC" w14:textId="77777777" w:rsidR="0000060D" w:rsidRPr="00BE055A" w:rsidRDefault="0000060D" w:rsidP="00BE055A">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BE055A">
              <w:rPr>
                <w:rFonts w:ascii="Times New Roman" w:hAnsi="Times New Roman" w:cs="Times New Roman"/>
                <w:b/>
                <w:sz w:val="20"/>
                <w:szCs w:val="20"/>
              </w:rPr>
              <w:t>16.33/4</w:t>
            </w:r>
          </w:p>
        </w:tc>
        <w:tc>
          <w:tcPr>
            <w:tcW w:w="927" w:type="dxa"/>
          </w:tcPr>
          <w:p w14:paraId="37BF7EAC" w14:textId="77777777" w:rsidR="0000060D" w:rsidRPr="00BE055A" w:rsidRDefault="0000060D" w:rsidP="00BE055A">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BE055A" w:rsidRPr="00BE055A" w14:paraId="76154F43" w14:textId="77777777" w:rsidTr="00BE055A">
        <w:trPr>
          <w:jc w:val="center"/>
        </w:trPr>
        <w:tc>
          <w:tcPr>
            <w:cnfStyle w:val="001000000000" w:firstRow="0" w:lastRow="0" w:firstColumn="1" w:lastColumn="0" w:oddVBand="0" w:evenVBand="0" w:oddHBand="0" w:evenHBand="0" w:firstRowFirstColumn="0" w:firstRowLastColumn="0" w:lastRowFirstColumn="0" w:lastRowLastColumn="0"/>
            <w:tcW w:w="1555" w:type="dxa"/>
            <w:tcBorders>
              <w:bottom w:val="single" w:sz="4" w:space="0" w:color="auto"/>
            </w:tcBorders>
          </w:tcPr>
          <w:p w14:paraId="5786FAC2" w14:textId="77777777" w:rsidR="0000060D" w:rsidRPr="00BE055A" w:rsidRDefault="0000060D" w:rsidP="00BE055A">
            <w:pPr>
              <w:spacing w:line="240" w:lineRule="auto"/>
              <w:rPr>
                <w:rFonts w:ascii="Times New Roman" w:hAnsi="Times New Roman" w:cs="Times New Roman"/>
                <w:b w:val="0"/>
                <w:sz w:val="20"/>
                <w:szCs w:val="20"/>
              </w:rPr>
            </w:pPr>
          </w:p>
        </w:tc>
        <w:tc>
          <w:tcPr>
            <w:tcW w:w="772" w:type="dxa"/>
            <w:tcBorders>
              <w:bottom w:val="single" w:sz="4" w:space="0" w:color="auto"/>
            </w:tcBorders>
          </w:tcPr>
          <w:p w14:paraId="704ED757" w14:textId="77777777" w:rsidR="0000060D" w:rsidRPr="00BE055A" w:rsidRDefault="0000060D" w:rsidP="00BE055A">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772" w:type="dxa"/>
            <w:tcBorders>
              <w:bottom w:val="single" w:sz="4" w:space="0" w:color="auto"/>
            </w:tcBorders>
          </w:tcPr>
          <w:p w14:paraId="1BA80FE8" w14:textId="77777777" w:rsidR="0000060D" w:rsidRPr="00BE055A" w:rsidRDefault="0000060D" w:rsidP="00BE055A">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72" w:type="dxa"/>
            <w:tcBorders>
              <w:bottom w:val="single" w:sz="4" w:space="0" w:color="auto"/>
            </w:tcBorders>
          </w:tcPr>
          <w:p w14:paraId="1976EEF5" w14:textId="77777777" w:rsidR="0000060D" w:rsidRPr="00BE055A" w:rsidRDefault="0000060D" w:rsidP="00BE055A">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749" w:type="dxa"/>
            <w:tcBorders>
              <w:bottom w:val="single" w:sz="4" w:space="0" w:color="auto"/>
            </w:tcBorders>
          </w:tcPr>
          <w:p w14:paraId="02B9DEE9" w14:textId="77777777" w:rsidR="0000060D" w:rsidRPr="00BE055A" w:rsidRDefault="0000060D" w:rsidP="00BE055A">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749" w:type="dxa"/>
            <w:tcBorders>
              <w:bottom w:val="single" w:sz="4" w:space="0" w:color="auto"/>
            </w:tcBorders>
          </w:tcPr>
          <w:p w14:paraId="2FA94313" w14:textId="77777777" w:rsidR="0000060D" w:rsidRPr="00BE055A" w:rsidRDefault="0000060D" w:rsidP="00BE055A">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127" w:type="dxa"/>
            <w:tcBorders>
              <w:bottom w:val="single" w:sz="4" w:space="0" w:color="auto"/>
            </w:tcBorders>
          </w:tcPr>
          <w:p w14:paraId="0B7EECC0" w14:textId="77777777" w:rsidR="0000060D" w:rsidRPr="00BE055A" w:rsidRDefault="0000060D" w:rsidP="00BE055A">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694" w:type="dxa"/>
            <w:tcBorders>
              <w:bottom w:val="single" w:sz="4" w:space="0" w:color="auto"/>
            </w:tcBorders>
          </w:tcPr>
          <w:p w14:paraId="1F4D38C0" w14:textId="77777777" w:rsidR="0000060D" w:rsidRPr="00BE055A" w:rsidRDefault="0000060D" w:rsidP="00BE055A">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22" w:type="dxa"/>
            <w:tcBorders>
              <w:bottom w:val="single" w:sz="4" w:space="0" w:color="auto"/>
            </w:tcBorders>
          </w:tcPr>
          <w:p w14:paraId="7086DDA9" w14:textId="77777777" w:rsidR="0000060D" w:rsidRPr="00BE055A" w:rsidRDefault="0000060D" w:rsidP="00BE05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BE055A">
              <w:rPr>
                <w:rFonts w:ascii="Times New Roman" w:hAnsi="Times New Roman" w:cs="Times New Roman"/>
                <w:b/>
                <w:sz w:val="20"/>
                <w:szCs w:val="20"/>
              </w:rPr>
              <w:t>4.08</w:t>
            </w:r>
          </w:p>
        </w:tc>
        <w:tc>
          <w:tcPr>
            <w:tcW w:w="927" w:type="dxa"/>
            <w:tcBorders>
              <w:bottom w:val="single" w:sz="4" w:space="0" w:color="auto"/>
            </w:tcBorders>
          </w:tcPr>
          <w:p w14:paraId="00F29A47" w14:textId="77777777" w:rsidR="0000060D" w:rsidRPr="00BE055A" w:rsidRDefault="0000060D" w:rsidP="00BE055A">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bl>
    <w:p w14:paraId="2A8EA365" w14:textId="77777777" w:rsidR="0000060D" w:rsidRPr="00BE055A" w:rsidRDefault="0000060D" w:rsidP="00BE055A">
      <w:pPr>
        <w:spacing w:line="360" w:lineRule="auto"/>
        <w:jc w:val="center"/>
        <w:rPr>
          <w:rFonts w:ascii="Times New Roman" w:hAnsi="Times New Roman" w:cs="Times New Roman"/>
          <w:bCs/>
          <w:iCs/>
          <w:sz w:val="24"/>
          <w:szCs w:val="24"/>
        </w:rPr>
      </w:pPr>
      <w:r w:rsidRPr="00BE055A">
        <w:rPr>
          <w:rFonts w:ascii="Times New Roman" w:hAnsi="Times New Roman" w:cs="Times New Roman"/>
          <w:bCs/>
          <w:iCs/>
          <w:sz w:val="24"/>
          <w:szCs w:val="24"/>
        </w:rPr>
        <w:t>Source: Author’s Field Survey, 2024</w:t>
      </w:r>
    </w:p>
    <w:p w14:paraId="3D1F27D8" w14:textId="77777777" w:rsidR="0000060D" w:rsidRPr="00BE4AF3" w:rsidRDefault="0000060D" w:rsidP="00BE055A">
      <w:pPr>
        <w:spacing w:line="240" w:lineRule="auto"/>
        <w:jc w:val="both"/>
        <w:rPr>
          <w:rFonts w:ascii="Times New Roman" w:hAnsi="Times New Roman" w:cs="Times New Roman"/>
          <w:sz w:val="24"/>
          <w:szCs w:val="24"/>
        </w:rPr>
      </w:pPr>
      <w:r w:rsidRPr="00BE4AF3">
        <w:rPr>
          <w:rFonts w:ascii="Times New Roman" w:hAnsi="Times New Roman" w:cs="Times New Roman"/>
          <w:sz w:val="24"/>
          <w:szCs w:val="24"/>
        </w:rPr>
        <w:t>In terms of specific maintenance needs, respondents identified repainting or weatherproofing as the most important requirement (45.3%), followed by structural inspections and repairs (19.4%), and regular cleaning (13.8%). Interestingly, 21.6% of respondents felt that no significant maintenance was required, reflecting growing confidence in the long-term performance of Hydra-</w:t>
      </w:r>
      <w:r w:rsidRPr="00BE4AF3">
        <w:rPr>
          <w:rFonts w:ascii="Times New Roman" w:hAnsi="Times New Roman" w:cs="Times New Roman"/>
          <w:sz w:val="24"/>
          <w:szCs w:val="24"/>
        </w:rPr>
        <w:lastRenderedPageBreak/>
        <w:t xml:space="preserve">Form blocks (Table 4.5). This finding supports Olotuah and Bobadoye (2010), who emphasized that while alternative building materials are durable, tropical climates necessitate occasional surface treatment. Adebayo </w:t>
      </w:r>
      <w:r w:rsidRPr="00BE4AF3">
        <w:rPr>
          <w:rFonts w:ascii="Times New Roman" w:hAnsi="Times New Roman" w:cs="Times New Roman"/>
          <w:i/>
          <w:sz w:val="24"/>
          <w:szCs w:val="24"/>
        </w:rPr>
        <w:t>et al.</w:t>
      </w:r>
      <w:r w:rsidRPr="00BE4AF3">
        <w:rPr>
          <w:rFonts w:ascii="Times New Roman" w:hAnsi="Times New Roman" w:cs="Times New Roman"/>
          <w:sz w:val="24"/>
          <w:szCs w:val="24"/>
        </w:rPr>
        <w:t xml:space="preserve"> (2013) similarly found that properly stabilized earth bricks can perform well with minimal upkeep, particularly when construction standards are maintained.</w:t>
      </w:r>
    </w:p>
    <w:p w14:paraId="6F484E40" w14:textId="77777777" w:rsidR="0000060D" w:rsidRPr="00BE055A" w:rsidRDefault="0000060D" w:rsidP="00BE055A">
      <w:pPr>
        <w:spacing w:after="0" w:line="240" w:lineRule="auto"/>
        <w:jc w:val="center"/>
        <w:rPr>
          <w:rFonts w:ascii="Times New Roman" w:hAnsi="Times New Roman" w:cs="Times New Roman"/>
          <w:bCs/>
          <w:sz w:val="24"/>
          <w:szCs w:val="24"/>
        </w:rPr>
      </w:pPr>
      <w:r w:rsidRPr="00BE4AF3">
        <w:rPr>
          <w:rFonts w:ascii="Times New Roman" w:hAnsi="Times New Roman" w:cs="Times New Roman"/>
          <w:b/>
          <w:sz w:val="24"/>
          <w:szCs w:val="24"/>
        </w:rPr>
        <w:t xml:space="preserve">Table 4.5: </w:t>
      </w:r>
      <w:r w:rsidRPr="00BE055A">
        <w:rPr>
          <w:rFonts w:ascii="Times New Roman" w:hAnsi="Times New Roman" w:cs="Times New Roman"/>
          <w:bCs/>
          <w:sz w:val="24"/>
          <w:szCs w:val="24"/>
        </w:rPr>
        <w:t>Respondent response to what they perceive as the main maintenance requirements for buildings constructed with Hydra-form brick blocks</w:t>
      </w:r>
    </w:p>
    <w:tbl>
      <w:tblPr>
        <w:tblStyle w:val="PlainTable11"/>
        <w:tblW w:w="0" w:type="auto"/>
        <w:jc w:val="center"/>
        <w:tblLook w:val="04A0" w:firstRow="1" w:lastRow="0" w:firstColumn="1" w:lastColumn="0" w:noHBand="0" w:noVBand="1"/>
      </w:tblPr>
      <w:tblGrid>
        <w:gridCol w:w="1608"/>
        <w:gridCol w:w="3979"/>
        <w:gridCol w:w="787"/>
        <w:gridCol w:w="709"/>
        <w:gridCol w:w="1194"/>
      </w:tblGrid>
      <w:tr w:rsidR="0000060D" w:rsidRPr="00BE055A" w14:paraId="3B7C2E66" w14:textId="77777777" w:rsidTr="00BE055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8" w:type="dxa"/>
            <w:vMerge w:val="restart"/>
          </w:tcPr>
          <w:p w14:paraId="43EEE3B6" w14:textId="77777777" w:rsidR="0000060D" w:rsidRPr="00BE055A" w:rsidRDefault="0000060D" w:rsidP="00BE055A">
            <w:pPr>
              <w:spacing w:after="0" w:line="240" w:lineRule="auto"/>
              <w:jc w:val="center"/>
              <w:rPr>
                <w:rFonts w:ascii="Times New Roman" w:hAnsi="Times New Roman" w:cs="Times New Roman"/>
                <w:b w:val="0"/>
                <w:sz w:val="20"/>
                <w:szCs w:val="20"/>
              </w:rPr>
            </w:pPr>
            <w:r w:rsidRPr="00BE055A">
              <w:rPr>
                <w:rFonts w:ascii="Times New Roman" w:hAnsi="Times New Roman" w:cs="Times New Roman"/>
                <w:b w:val="0"/>
                <w:sz w:val="20"/>
                <w:szCs w:val="20"/>
              </w:rPr>
              <w:t>Study Area</w:t>
            </w:r>
          </w:p>
        </w:tc>
        <w:tc>
          <w:tcPr>
            <w:tcW w:w="5475" w:type="dxa"/>
            <w:gridSpan w:val="3"/>
          </w:tcPr>
          <w:p w14:paraId="3EA29DB3" w14:textId="77777777" w:rsidR="0000060D" w:rsidRPr="00BE055A" w:rsidRDefault="0000060D" w:rsidP="00BE055A">
            <w:pPr>
              <w:spacing w:after="0"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bookmarkStart w:id="104" w:name="_Hlk192598517"/>
            <w:r w:rsidRPr="00BE055A">
              <w:rPr>
                <w:rFonts w:ascii="Times New Roman" w:hAnsi="Times New Roman" w:cs="Times New Roman"/>
                <w:b w:val="0"/>
                <w:sz w:val="20"/>
                <w:szCs w:val="20"/>
              </w:rPr>
              <w:t>What do you perceive as the main maintenance requirements for buildings constructed with Hydra-form brick blocks?</w:t>
            </w:r>
            <w:bookmarkEnd w:id="104"/>
          </w:p>
        </w:tc>
        <w:tc>
          <w:tcPr>
            <w:tcW w:w="1134" w:type="dxa"/>
            <w:vMerge w:val="restart"/>
          </w:tcPr>
          <w:p w14:paraId="7F88BB08" w14:textId="77777777" w:rsidR="0000060D" w:rsidRPr="00BE055A" w:rsidRDefault="0000060D" w:rsidP="00BE055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BE055A">
              <w:rPr>
                <w:rFonts w:ascii="Times New Roman" w:hAnsi="Times New Roman" w:cs="Times New Roman"/>
                <w:b w:val="0"/>
                <w:sz w:val="20"/>
                <w:szCs w:val="20"/>
              </w:rPr>
              <w:t>Total (Frequency)</w:t>
            </w:r>
          </w:p>
        </w:tc>
      </w:tr>
      <w:tr w:rsidR="0000060D" w:rsidRPr="00BE055A" w14:paraId="00E67939" w14:textId="77777777" w:rsidTr="00BE05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8" w:type="dxa"/>
            <w:vMerge/>
          </w:tcPr>
          <w:p w14:paraId="260CC8B6" w14:textId="77777777" w:rsidR="0000060D" w:rsidRPr="00BE055A" w:rsidRDefault="0000060D" w:rsidP="00BE055A">
            <w:pPr>
              <w:spacing w:after="0" w:line="240" w:lineRule="auto"/>
              <w:rPr>
                <w:rFonts w:ascii="Times New Roman" w:hAnsi="Times New Roman" w:cs="Times New Roman"/>
                <w:sz w:val="20"/>
                <w:szCs w:val="20"/>
              </w:rPr>
            </w:pPr>
          </w:p>
        </w:tc>
        <w:tc>
          <w:tcPr>
            <w:tcW w:w="3979" w:type="dxa"/>
          </w:tcPr>
          <w:p w14:paraId="537CB6CC" w14:textId="77777777" w:rsidR="0000060D" w:rsidRPr="00BE055A" w:rsidRDefault="0000060D" w:rsidP="00BE055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787" w:type="dxa"/>
          </w:tcPr>
          <w:p w14:paraId="727D914A"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BE055A">
              <w:rPr>
                <w:rFonts w:ascii="Times New Roman" w:hAnsi="Times New Roman" w:cs="Times New Roman"/>
                <w:b/>
                <w:sz w:val="20"/>
                <w:szCs w:val="20"/>
              </w:rPr>
              <w:t>No</w:t>
            </w:r>
          </w:p>
        </w:tc>
        <w:tc>
          <w:tcPr>
            <w:tcW w:w="709" w:type="dxa"/>
          </w:tcPr>
          <w:p w14:paraId="563BB446"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BE055A">
              <w:rPr>
                <w:rFonts w:ascii="Times New Roman" w:hAnsi="Times New Roman" w:cs="Times New Roman"/>
                <w:b/>
                <w:sz w:val="20"/>
                <w:szCs w:val="20"/>
              </w:rPr>
              <w:t>%</w:t>
            </w:r>
          </w:p>
        </w:tc>
        <w:tc>
          <w:tcPr>
            <w:tcW w:w="1134" w:type="dxa"/>
            <w:vMerge/>
          </w:tcPr>
          <w:p w14:paraId="4B7FCCF4" w14:textId="77777777" w:rsidR="0000060D" w:rsidRPr="00BE055A" w:rsidRDefault="0000060D" w:rsidP="00BE055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00060D" w:rsidRPr="00BE055A" w14:paraId="498D8AFD" w14:textId="77777777" w:rsidTr="00BE055A">
        <w:trPr>
          <w:jc w:val="center"/>
        </w:trPr>
        <w:tc>
          <w:tcPr>
            <w:cnfStyle w:val="001000000000" w:firstRow="0" w:lastRow="0" w:firstColumn="1" w:lastColumn="0" w:oddVBand="0" w:evenVBand="0" w:oddHBand="0" w:evenHBand="0" w:firstRowFirstColumn="0" w:firstRowLastColumn="0" w:lastRowFirstColumn="0" w:lastRowLastColumn="0"/>
            <w:tcW w:w="1608" w:type="dxa"/>
            <w:vMerge w:val="restart"/>
          </w:tcPr>
          <w:p w14:paraId="24C52540" w14:textId="77777777" w:rsidR="0000060D" w:rsidRPr="00BE055A" w:rsidRDefault="0000060D" w:rsidP="00BE055A">
            <w:pPr>
              <w:spacing w:after="0" w:line="240" w:lineRule="auto"/>
              <w:jc w:val="center"/>
              <w:rPr>
                <w:rFonts w:ascii="Times New Roman" w:hAnsi="Times New Roman" w:cs="Times New Roman"/>
                <w:sz w:val="20"/>
                <w:szCs w:val="20"/>
              </w:rPr>
            </w:pPr>
            <w:r w:rsidRPr="00BE055A">
              <w:rPr>
                <w:rFonts w:ascii="Times New Roman" w:hAnsi="Times New Roman" w:cs="Times New Roman"/>
                <w:b w:val="0"/>
                <w:sz w:val="20"/>
                <w:szCs w:val="20"/>
              </w:rPr>
              <w:t>Selected Public Secondary Schools in Bwari Area Council,F.C.T</w:t>
            </w:r>
          </w:p>
        </w:tc>
        <w:tc>
          <w:tcPr>
            <w:tcW w:w="3979" w:type="dxa"/>
          </w:tcPr>
          <w:p w14:paraId="3A32BBCD" w14:textId="77777777" w:rsidR="0000060D" w:rsidRPr="00BE055A" w:rsidRDefault="0000060D" w:rsidP="00BE055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 xml:space="preserve">Regular cleaning or washing     </w:t>
            </w:r>
          </w:p>
        </w:tc>
        <w:tc>
          <w:tcPr>
            <w:tcW w:w="787" w:type="dxa"/>
          </w:tcPr>
          <w:p w14:paraId="475B8B9D" w14:textId="77777777" w:rsidR="0000060D" w:rsidRPr="00BE055A" w:rsidRDefault="0000060D" w:rsidP="00BE05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32</w:t>
            </w:r>
          </w:p>
        </w:tc>
        <w:tc>
          <w:tcPr>
            <w:tcW w:w="709" w:type="dxa"/>
          </w:tcPr>
          <w:p w14:paraId="1E07E9FE" w14:textId="77777777" w:rsidR="0000060D" w:rsidRPr="00BE055A" w:rsidRDefault="0000060D" w:rsidP="00BE05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13.8</w:t>
            </w:r>
          </w:p>
        </w:tc>
        <w:tc>
          <w:tcPr>
            <w:tcW w:w="1134" w:type="dxa"/>
          </w:tcPr>
          <w:p w14:paraId="30A87497" w14:textId="77777777" w:rsidR="0000060D" w:rsidRPr="00BE055A" w:rsidRDefault="0000060D" w:rsidP="00BE05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32</w:t>
            </w:r>
          </w:p>
        </w:tc>
      </w:tr>
      <w:tr w:rsidR="0000060D" w:rsidRPr="00BE055A" w14:paraId="43C0BF02" w14:textId="77777777" w:rsidTr="00BE05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8" w:type="dxa"/>
            <w:vMerge/>
          </w:tcPr>
          <w:p w14:paraId="5619E659" w14:textId="77777777" w:rsidR="0000060D" w:rsidRPr="00BE055A" w:rsidRDefault="0000060D" w:rsidP="00BE055A">
            <w:pPr>
              <w:spacing w:after="0" w:line="240" w:lineRule="auto"/>
              <w:rPr>
                <w:rFonts w:ascii="Times New Roman" w:hAnsi="Times New Roman" w:cs="Times New Roman"/>
                <w:sz w:val="20"/>
                <w:szCs w:val="20"/>
              </w:rPr>
            </w:pPr>
          </w:p>
        </w:tc>
        <w:tc>
          <w:tcPr>
            <w:tcW w:w="3979" w:type="dxa"/>
          </w:tcPr>
          <w:p w14:paraId="3AA6C763" w14:textId="77777777" w:rsidR="0000060D" w:rsidRPr="00BE055A" w:rsidRDefault="0000060D" w:rsidP="00BE055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 xml:space="preserve">Structural inspections or repairs     </w:t>
            </w:r>
          </w:p>
        </w:tc>
        <w:tc>
          <w:tcPr>
            <w:tcW w:w="787" w:type="dxa"/>
          </w:tcPr>
          <w:p w14:paraId="2B3BFFC0"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45</w:t>
            </w:r>
          </w:p>
        </w:tc>
        <w:tc>
          <w:tcPr>
            <w:tcW w:w="709" w:type="dxa"/>
          </w:tcPr>
          <w:p w14:paraId="37CF39F9"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19.4</w:t>
            </w:r>
          </w:p>
        </w:tc>
        <w:tc>
          <w:tcPr>
            <w:tcW w:w="1134" w:type="dxa"/>
          </w:tcPr>
          <w:p w14:paraId="23EFDB67"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45</w:t>
            </w:r>
          </w:p>
        </w:tc>
      </w:tr>
      <w:tr w:rsidR="0000060D" w:rsidRPr="00BE055A" w14:paraId="6556D2A3" w14:textId="77777777" w:rsidTr="00BE055A">
        <w:trPr>
          <w:jc w:val="center"/>
        </w:trPr>
        <w:tc>
          <w:tcPr>
            <w:cnfStyle w:val="001000000000" w:firstRow="0" w:lastRow="0" w:firstColumn="1" w:lastColumn="0" w:oddVBand="0" w:evenVBand="0" w:oddHBand="0" w:evenHBand="0" w:firstRowFirstColumn="0" w:firstRowLastColumn="0" w:lastRowFirstColumn="0" w:lastRowLastColumn="0"/>
            <w:tcW w:w="1608" w:type="dxa"/>
            <w:vMerge/>
          </w:tcPr>
          <w:p w14:paraId="546C793B" w14:textId="77777777" w:rsidR="0000060D" w:rsidRPr="00BE055A" w:rsidRDefault="0000060D" w:rsidP="00BE055A">
            <w:pPr>
              <w:spacing w:after="0" w:line="240" w:lineRule="auto"/>
              <w:rPr>
                <w:rFonts w:ascii="Times New Roman" w:hAnsi="Times New Roman" w:cs="Times New Roman"/>
                <w:sz w:val="20"/>
                <w:szCs w:val="20"/>
              </w:rPr>
            </w:pPr>
          </w:p>
        </w:tc>
        <w:tc>
          <w:tcPr>
            <w:tcW w:w="3979" w:type="dxa"/>
          </w:tcPr>
          <w:p w14:paraId="6073AD8A" w14:textId="77777777" w:rsidR="0000060D" w:rsidRPr="00BE055A" w:rsidRDefault="0000060D" w:rsidP="00BE055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 xml:space="preserve">Repainting or weatherproofing  </w:t>
            </w:r>
          </w:p>
        </w:tc>
        <w:tc>
          <w:tcPr>
            <w:tcW w:w="787" w:type="dxa"/>
          </w:tcPr>
          <w:p w14:paraId="50D5708E" w14:textId="77777777" w:rsidR="0000060D" w:rsidRPr="00BE055A" w:rsidRDefault="0000060D" w:rsidP="00BE05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105</w:t>
            </w:r>
          </w:p>
        </w:tc>
        <w:tc>
          <w:tcPr>
            <w:tcW w:w="709" w:type="dxa"/>
          </w:tcPr>
          <w:p w14:paraId="274BE73B" w14:textId="77777777" w:rsidR="0000060D" w:rsidRPr="00BE055A" w:rsidRDefault="0000060D" w:rsidP="00BE05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45.3</w:t>
            </w:r>
          </w:p>
        </w:tc>
        <w:tc>
          <w:tcPr>
            <w:tcW w:w="1134" w:type="dxa"/>
          </w:tcPr>
          <w:p w14:paraId="25F28EA3" w14:textId="77777777" w:rsidR="0000060D" w:rsidRPr="00BE055A" w:rsidRDefault="0000060D" w:rsidP="00BE05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105</w:t>
            </w:r>
          </w:p>
        </w:tc>
      </w:tr>
      <w:tr w:rsidR="0000060D" w:rsidRPr="00BE055A" w14:paraId="50EBA924" w14:textId="77777777" w:rsidTr="00BE05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8" w:type="dxa"/>
            <w:vMerge/>
          </w:tcPr>
          <w:p w14:paraId="4EDBA5BC" w14:textId="77777777" w:rsidR="0000060D" w:rsidRPr="00BE055A" w:rsidRDefault="0000060D" w:rsidP="00BE055A">
            <w:pPr>
              <w:spacing w:after="0" w:line="240" w:lineRule="auto"/>
              <w:rPr>
                <w:rFonts w:ascii="Times New Roman" w:hAnsi="Times New Roman" w:cs="Times New Roman"/>
                <w:sz w:val="20"/>
                <w:szCs w:val="20"/>
              </w:rPr>
            </w:pPr>
          </w:p>
        </w:tc>
        <w:tc>
          <w:tcPr>
            <w:tcW w:w="3979" w:type="dxa"/>
          </w:tcPr>
          <w:p w14:paraId="5B71F410" w14:textId="77777777" w:rsidR="0000060D" w:rsidRPr="00BE055A" w:rsidRDefault="0000060D" w:rsidP="00BE055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 xml:space="preserve">No significant maintenance required     </w:t>
            </w:r>
          </w:p>
        </w:tc>
        <w:tc>
          <w:tcPr>
            <w:tcW w:w="787" w:type="dxa"/>
          </w:tcPr>
          <w:p w14:paraId="3DACF0B1"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50</w:t>
            </w:r>
          </w:p>
        </w:tc>
        <w:tc>
          <w:tcPr>
            <w:tcW w:w="709" w:type="dxa"/>
          </w:tcPr>
          <w:p w14:paraId="2E9A78D7"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21.6</w:t>
            </w:r>
          </w:p>
        </w:tc>
        <w:tc>
          <w:tcPr>
            <w:tcW w:w="1134" w:type="dxa"/>
          </w:tcPr>
          <w:p w14:paraId="771A8EF8"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50</w:t>
            </w:r>
          </w:p>
        </w:tc>
      </w:tr>
      <w:tr w:rsidR="0000060D" w:rsidRPr="00BE055A" w14:paraId="1DEBC629" w14:textId="77777777" w:rsidTr="00BE055A">
        <w:trPr>
          <w:jc w:val="center"/>
        </w:trPr>
        <w:tc>
          <w:tcPr>
            <w:cnfStyle w:val="001000000000" w:firstRow="0" w:lastRow="0" w:firstColumn="1" w:lastColumn="0" w:oddVBand="0" w:evenVBand="0" w:oddHBand="0" w:evenHBand="0" w:firstRowFirstColumn="0" w:firstRowLastColumn="0" w:lastRowFirstColumn="0" w:lastRowLastColumn="0"/>
            <w:tcW w:w="1608" w:type="dxa"/>
            <w:vMerge/>
          </w:tcPr>
          <w:p w14:paraId="7BC4BD64" w14:textId="77777777" w:rsidR="0000060D" w:rsidRPr="00BE055A" w:rsidRDefault="0000060D" w:rsidP="00BE055A">
            <w:pPr>
              <w:spacing w:after="0" w:line="240" w:lineRule="auto"/>
              <w:rPr>
                <w:rFonts w:ascii="Times New Roman" w:hAnsi="Times New Roman" w:cs="Times New Roman"/>
                <w:sz w:val="20"/>
                <w:szCs w:val="20"/>
              </w:rPr>
            </w:pPr>
          </w:p>
        </w:tc>
        <w:tc>
          <w:tcPr>
            <w:tcW w:w="3979" w:type="dxa"/>
          </w:tcPr>
          <w:p w14:paraId="45A29412" w14:textId="77777777" w:rsidR="0000060D" w:rsidRPr="00BE055A" w:rsidRDefault="0000060D" w:rsidP="00BE055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Other</w:t>
            </w:r>
          </w:p>
        </w:tc>
        <w:tc>
          <w:tcPr>
            <w:tcW w:w="787" w:type="dxa"/>
          </w:tcPr>
          <w:p w14:paraId="0917625D" w14:textId="77777777" w:rsidR="0000060D" w:rsidRPr="00BE055A" w:rsidRDefault="0000060D" w:rsidP="00BE05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0</w:t>
            </w:r>
          </w:p>
        </w:tc>
        <w:tc>
          <w:tcPr>
            <w:tcW w:w="709" w:type="dxa"/>
          </w:tcPr>
          <w:p w14:paraId="61254BDF" w14:textId="77777777" w:rsidR="0000060D" w:rsidRPr="00BE055A" w:rsidRDefault="0000060D" w:rsidP="00BE05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0</w:t>
            </w:r>
          </w:p>
        </w:tc>
        <w:tc>
          <w:tcPr>
            <w:tcW w:w="1134" w:type="dxa"/>
          </w:tcPr>
          <w:p w14:paraId="6EDC8BCA" w14:textId="77777777" w:rsidR="0000060D" w:rsidRPr="00BE055A" w:rsidRDefault="0000060D" w:rsidP="00BE05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0</w:t>
            </w:r>
          </w:p>
        </w:tc>
      </w:tr>
      <w:tr w:rsidR="0000060D" w:rsidRPr="00BE055A" w14:paraId="35E36CD7" w14:textId="77777777" w:rsidTr="00BE05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87" w:type="dxa"/>
            <w:gridSpan w:val="2"/>
          </w:tcPr>
          <w:p w14:paraId="791DDD72" w14:textId="77777777" w:rsidR="0000060D" w:rsidRPr="00BE055A" w:rsidRDefault="0000060D" w:rsidP="00BE055A">
            <w:pPr>
              <w:spacing w:after="0" w:line="240" w:lineRule="auto"/>
              <w:rPr>
                <w:rFonts w:ascii="Times New Roman" w:hAnsi="Times New Roman" w:cs="Times New Roman"/>
                <w:iCs/>
                <w:sz w:val="20"/>
                <w:szCs w:val="20"/>
              </w:rPr>
            </w:pPr>
            <w:r w:rsidRPr="00BE055A">
              <w:rPr>
                <w:rFonts w:ascii="Times New Roman" w:hAnsi="Times New Roman" w:cs="Times New Roman"/>
                <w:iCs/>
                <w:sz w:val="20"/>
                <w:szCs w:val="20"/>
              </w:rPr>
              <w:t>Grand Total</w:t>
            </w:r>
          </w:p>
        </w:tc>
        <w:tc>
          <w:tcPr>
            <w:tcW w:w="787" w:type="dxa"/>
          </w:tcPr>
          <w:p w14:paraId="09C5545B"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Cs/>
                <w:sz w:val="20"/>
                <w:szCs w:val="20"/>
              </w:rPr>
            </w:pPr>
            <w:r w:rsidRPr="00BE055A">
              <w:rPr>
                <w:rFonts w:ascii="Times New Roman" w:hAnsi="Times New Roman" w:cs="Times New Roman"/>
                <w:b/>
                <w:iCs/>
                <w:sz w:val="20"/>
                <w:szCs w:val="20"/>
              </w:rPr>
              <w:t>232</w:t>
            </w:r>
          </w:p>
        </w:tc>
        <w:tc>
          <w:tcPr>
            <w:tcW w:w="709" w:type="dxa"/>
          </w:tcPr>
          <w:p w14:paraId="7241D6EF"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Cs/>
                <w:sz w:val="20"/>
                <w:szCs w:val="20"/>
              </w:rPr>
            </w:pPr>
            <w:r w:rsidRPr="00BE055A">
              <w:rPr>
                <w:rFonts w:ascii="Times New Roman" w:hAnsi="Times New Roman" w:cs="Times New Roman"/>
                <w:b/>
                <w:iCs/>
                <w:sz w:val="20"/>
                <w:szCs w:val="20"/>
              </w:rPr>
              <w:t>100.0</w:t>
            </w:r>
          </w:p>
        </w:tc>
        <w:tc>
          <w:tcPr>
            <w:tcW w:w="1134" w:type="dxa"/>
          </w:tcPr>
          <w:p w14:paraId="62DF91A6"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Cs/>
                <w:sz w:val="20"/>
                <w:szCs w:val="20"/>
              </w:rPr>
            </w:pPr>
            <w:r w:rsidRPr="00BE055A">
              <w:rPr>
                <w:rFonts w:ascii="Times New Roman" w:hAnsi="Times New Roman" w:cs="Times New Roman"/>
                <w:b/>
                <w:iCs/>
                <w:sz w:val="20"/>
                <w:szCs w:val="20"/>
              </w:rPr>
              <w:t>232</w:t>
            </w:r>
          </w:p>
        </w:tc>
      </w:tr>
    </w:tbl>
    <w:p w14:paraId="70D33E48" w14:textId="77777777" w:rsidR="0000060D" w:rsidRPr="00BE055A" w:rsidRDefault="0000060D" w:rsidP="00BE055A">
      <w:pPr>
        <w:spacing w:line="360" w:lineRule="auto"/>
        <w:jc w:val="center"/>
        <w:rPr>
          <w:rFonts w:ascii="Times New Roman" w:hAnsi="Times New Roman" w:cs="Times New Roman"/>
          <w:bCs/>
          <w:iCs/>
          <w:sz w:val="24"/>
          <w:szCs w:val="24"/>
        </w:rPr>
      </w:pPr>
      <w:r w:rsidRPr="00BE055A">
        <w:rPr>
          <w:rFonts w:ascii="Times New Roman" w:hAnsi="Times New Roman" w:cs="Times New Roman"/>
          <w:bCs/>
          <w:iCs/>
          <w:sz w:val="24"/>
          <w:szCs w:val="24"/>
        </w:rPr>
        <w:t>Source: Author’s Field Survey, 2025</w:t>
      </w:r>
    </w:p>
    <w:p w14:paraId="7309499D" w14:textId="77777777" w:rsidR="0000060D" w:rsidRPr="00BE4AF3" w:rsidRDefault="0000060D" w:rsidP="00BE055A">
      <w:pPr>
        <w:spacing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Beyond durability and maintenance, respondents were also asked about design considerations that should be prioritized for teacher quarters. The most valued factor was aesthetic appeal (26.7%), followed by low maintenance costs (22.4%) and natural light and ventilation (21.6%). Energy efficiency (11.2%) and privacy (18.1%) were considered less important by comparison (Table 4.6). These findings are consistent with Abdulkarim </w:t>
      </w:r>
      <w:r w:rsidRPr="00BE4AF3">
        <w:rPr>
          <w:rFonts w:ascii="Times New Roman" w:hAnsi="Times New Roman" w:cs="Times New Roman"/>
          <w:i/>
          <w:sz w:val="24"/>
          <w:szCs w:val="24"/>
        </w:rPr>
        <w:t>et al.</w:t>
      </w:r>
      <w:r w:rsidRPr="00BE4AF3">
        <w:rPr>
          <w:rFonts w:ascii="Times New Roman" w:hAnsi="Times New Roman" w:cs="Times New Roman"/>
          <w:sz w:val="24"/>
          <w:szCs w:val="24"/>
        </w:rPr>
        <w:t xml:space="preserve"> (2017), who observed that acceptance of alternative building technologies in Nigeria depends strongly on their visual appeal as well as performance. Similarly, Kuroshi (2014) highlighted the importance of affordable maintenance for sustainable public housing, while Adegun (2013) emphasized passive design strategies such as ventilation and lighting to reduce reliance on artificial cooling.</w:t>
      </w:r>
    </w:p>
    <w:p w14:paraId="4659F6CF" w14:textId="77777777" w:rsidR="0000060D" w:rsidRPr="00BE055A" w:rsidRDefault="0000060D" w:rsidP="00BE055A">
      <w:pPr>
        <w:spacing w:after="0" w:line="240" w:lineRule="auto"/>
        <w:jc w:val="center"/>
        <w:rPr>
          <w:rFonts w:ascii="Times New Roman" w:hAnsi="Times New Roman" w:cs="Times New Roman"/>
          <w:bCs/>
          <w:sz w:val="24"/>
          <w:szCs w:val="24"/>
        </w:rPr>
      </w:pPr>
      <w:r w:rsidRPr="00BE4AF3">
        <w:rPr>
          <w:rFonts w:ascii="Times New Roman" w:hAnsi="Times New Roman" w:cs="Times New Roman"/>
          <w:b/>
          <w:sz w:val="24"/>
          <w:szCs w:val="24"/>
        </w:rPr>
        <w:t xml:space="preserve">Table 4.6: </w:t>
      </w:r>
      <w:r w:rsidRPr="00BE055A">
        <w:rPr>
          <w:rFonts w:ascii="Times New Roman" w:hAnsi="Times New Roman" w:cs="Times New Roman"/>
          <w:bCs/>
          <w:sz w:val="24"/>
          <w:szCs w:val="24"/>
        </w:rPr>
        <w:t>Respondent response to which factors should be prioritized in the design of teachers' quarters using Hydra-form brick blocks.</w:t>
      </w:r>
    </w:p>
    <w:tbl>
      <w:tblPr>
        <w:tblStyle w:val="PlainTable11"/>
        <w:tblW w:w="0" w:type="auto"/>
        <w:jc w:val="center"/>
        <w:tblBorders>
          <w:top w:val="single" w:sz="4" w:space="0" w:color="auto"/>
          <w:bottom w:val="single" w:sz="4" w:space="0" w:color="auto"/>
        </w:tblBorders>
        <w:tblLook w:val="04A0" w:firstRow="1" w:lastRow="0" w:firstColumn="1" w:lastColumn="0" w:noHBand="0" w:noVBand="1"/>
      </w:tblPr>
      <w:tblGrid>
        <w:gridCol w:w="1610"/>
        <w:gridCol w:w="3963"/>
        <w:gridCol w:w="801"/>
        <w:gridCol w:w="709"/>
        <w:gridCol w:w="10"/>
        <w:gridCol w:w="1194"/>
      </w:tblGrid>
      <w:tr w:rsidR="0000060D" w:rsidRPr="00BE055A" w14:paraId="44808C2B" w14:textId="77777777" w:rsidTr="00BE055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0" w:type="dxa"/>
            <w:vMerge w:val="restart"/>
          </w:tcPr>
          <w:p w14:paraId="045E36E6" w14:textId="77777777" w:rsidR="0000060D" w:rsidRPr="00BE055A" w:rsidRDefault="0000060D" w:rsidP="00BE055A">
            <w:pPr>
              <w:spacing w:after="0" w:line="240" w:lineRule="auto"/>
              <w:jc w:val="center"/>
              <w:rPr>
                <w:rFonts w:ascii="Times New Roman" w:hAnsi="Times New Roman" w:cs="Times New Roman"/>
                <w:b w:val="0"/>
                <w:sz w:val="20"/>
                <w:szCs w:val="20"/>
              </w:rPr>
            </w:pPr>
            <w:r w:rsidRPr="00BE055A">
              <w:rPr>
                <w:rFonts w:ascii="Times New Roman" w:hAnsi="Times New Roman" w:cs="Times New Roman"/>
                <w:b w:val="0"/>
                <w:sz w:val="20"/>
                <w:szCs w:val="20"/>
              </w:rPr>
              <w:t>Study Area</w:t>
            </w:r>
          </w:p>
        </w:tc>
        <w:tc>
          <w:tcPr>
            <w:tcW w:w="5483" w:type="dxa"/>
            <w:gridSpan w:val="4"/>
          </w:tcPr>
          <w:p w14:paraId="2D6CC4E9" w14:textId="77777777" w:rsidR="0000060D" w:rsidRPr="00BE055A" w:rsidRDefault="0000060D" w:rsidP="00BE055A">
            <w:pPr>
              <w:spacing w:after="0"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BE055A">
              <w:rPr>
                <w:rFonts w:ascii="Times New Roman" w:hAnsi="Times New Roman" w:cs="Times New Roman"/>
                <w:b w:val="0"/>
                <w:sz w:val="20"/>
                <w:szCs w:val="20"/>
              </w:rPr>
              <w:t>In your opinion, which of the following factors should be prioritized in the design of teachers' quarters using Hydra-form brick blocks?</w:t>
            </w:r>
          </w:p>
        </w:tc>
        <w:tc>
          <w:tcPr>
            <w:tcW w:w="982" w:type="dxa"/>
          </w:tcPr>
          <w:p w14:paraId="40CAF0B1" w14:textId="77777777" w:rsidR="0000060D" w:rsidRPr="00BE055A" w:rsidRDefault="0000060D" w:rsidP="00BE055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BE055A">
              <w:rPr>
                <w:rFonts w:ascii="Times New Roman" w:hAnsi="Times New Roman" w:cs="Times New Roman"/>
                <w:b w:val="0"/>
                <w:sz w:val="20"/>
                <w:szCs w:val="20"/>
              </w:rPr>
              <w:t>Total (Frequency)</w:t>
            </w:r>
          </w:p>
        </w:tc>
      </w:tr>
      <w:tr w:rsidR="0000060D" w:rsidRPr="00BE055A" w14:paraId="572FDD56" w14:textId="77777777" w:rsidTr="00BE05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0" w:type="dxa"/>
            <w:vMerge/>
            <w:tcBorders>
              <w:bottom w:val="single" w:sz="4" w:space="0" w:color="auto"/>
            </w:tcBorders>
          </w:tcPr>
          <w:p w14:paraId="128E2D9B" w14:textId="77777777" w:rsidR="0000060D" w:rsidRPr="00BE055A" w:rsidRDefault="0000060D" w:rsidP="00BE055A">
            <w:pPr>
              <w:spacing w:after="0" w:line="240" w:lineRule="auto"/>
              <w:rPr>
                <w:rFonts w:ascii="Times New Roman" w:hAnsi="Times New Roman" w:cs="Times New Roman"/>
                <w:sz w:val="20"/>
                <w:szCs w:val="20"/>
              </w:rPr>
            </w:pPr>
          </w:p>
        </w:tc>
        <w:tc>
          <w:tcPr>
            <w:tcW w:w="3963" w:type="dxa"/>
            <w:tcBorders>
              <w:bottom w:val="single" w:sz="4" w:space="0" w:color="auto"/>
            </w:tcBorders>
          </w:tcPr>
          <w:p w14:paraId="737860EE" w14:textId="77777777" w:rsidR="0000060D" w:rsidRPr="00BE055A" w:rsidRDefault="0000060D" w:rsidP="00BE055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801" w:type="dxa"/>
            <w:tcBorders>
              <w:bottom w:val="single" w:sz="4" w:space="0" w:color="auto"/>
            </w:tcBorders>
          </w:tcPr>
          <w:p w14:paraId="6C2B918E"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rPr>
            </w:pPr>
            <w:r w:rsidRPr="00BE055A">
              <w:rPr>
                <w:rFonts w:ascii="Times New Roman" w:hAnsi="Times New Roman" w:cs="Times New Roman"/>
                <w:bCs/>
                <w:sz w:val="20"/>
                <w:szCs w:val="20"/>
              </w:rPr>
              <w:t>No</w:t>
            </w:r>
          </w:p>
        </w:tc>
        <w:tc>
          <w:tcPr>
            <w:tcW w:w="709" w:type="dxa"/>
            <w:tcBorders>
              <w:bottom w:val="single" w:sz="4" w:space="0" w:color="auto"/>
            </w:tcBorders>
          </w:tcPr>
          <w:p w14:paraId="5E7BE19B"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rPr>
            </w:pPr>
            <w:r w:rsidRPr="00BE055A">
              <w:rPr>
                <w:rFonts w:ascii="Times New Roman" w:hAnsi="Times New Roman" w:cs="Times New Roman"/>
                <w:bCs/>
                <w:sz w:val="20"/>
                <w:szCs w:val="20"/>
              </w:rPr>
              <w:t>%</w:t>
            </w:r>
          </w:p>
        </w:tc>
        <w:tc>
          <w:tcPr>
            <w:tcW w:w="992" w:type="dxa"/>
            <w:gridSpan w:val="2"/>
            <w:tcBorders>
              <w:bottom w:val="single" w:sz="4" w:space="0" w:color="auto"/>
            </w:tcBorders>
          </w:tcPr>
          <w:p w14:paraId="518ADC3C" w14:textId="77777777" w:rsidR="0000060D" w:rsidRPr="00BE055A" w:rsidRDefault="0000060D" w:rsidP="00BE055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00060D" w:rsidRPr="00BE055A" w14:paraId="400D4759" w14:textId="77777777" w:rsidTr="00BE055A">
        <w:trPr>
          <w:jc w:val="center"/>
        </w:trPr>
        <w:tc>
          <w:tcPr>
            <w:cnfStyle w:val="001000000000" w:firstRow="0" w:lastRow="0" w:firstColumn="1" w:lastColumn="0" w:oddVBand="0" w:evenVBand="0" w:oddHBand="0" w:evenHBand="0" w:firstRowFirstColumn="0" w:firstRowLastColumn="0" w:lastRowFirstColumn="0" w:lastRowLastColumn="0"/>
            <w:tcW w:w="1610" w:type="dxa"/>
            <w:vMerge w:val="restart"/>
            <w:tcBorders>
              <w:top w:val="single" w:sz="4" w:space="0" w:color="auto"/>
              <w:bottom w:val="single" w:sz="4" w:space="0" w:color="BFBFBF" w:themeColor="background1" w:themeShade="BF"/>
            </w:tcBorders>
          </w:tcPr>
          <w:p w14:paraId="624B0987" w14:textId="77777777" w:rsidR="0000060D" w:rsidRPr="00BE055A" w:rsidRDefault="0000060D" w:rsidP="00BE055A">
            <w:pPr>
              <w:spacing w:after="0" w:line="240" w:lineRule="auto"/>
              <w:rPr>
                <w:rFonts w:ascii="Times New Roman" w:hAnsi="Times New Roman" w:cs="Times New Roman"/>
                <w:bCs w:val="0"/>
                <w:sz w:val="20"/>
                <w:szCs w:val="20"/>
              </w:rPr>
            </w:pPr>
          </w:p>
          <w:p w14:paraId="73B95F59" w14:textId="77777777" w:rsidR="0000060D" w:rsidRPr="00BE055A" w:rsidRDefault="0000060D" w:rsidP="00BE055A">
            <w:pPr>
              <w:spacing w:after="0" w:line="240" w:lineRule="auto"/>
              <w:jc w:val="center"/>
              <w:rPr>
                <w:rFonts w:ascii="Times New Roman" w:hAnsi="Times New Roman" w:cs="Times New Roman"/>
                <w:sz w:val="20"/>
                <w:szCs w:val="20"/>
              </w:rPr>
            </w:pPr>
            <w:r w:rsidRPr="00BE055A">
              <w:rPr>
                <w:rFonts w:ascii="Times New Roman" w:hAnsi="Times New Roman" w:cs="Times New Roman"/>
                <w:b w:val="0"/>
                <w:sz w:val="20"/>
                <w:szCs w:val="20"/>
              </w:rPr>
              <w:t>Selected Public Secondary Schools in Bwari Area Council,F.C.T</w:t>
            </w:r>
          </w:p>
        </w:tc>
        <w:tc>
          <w:tcPr>
            <w:tcW w:w="3963" w:type="dxa"/>
            <w:tcBorders>
              <w:top w:val="single" w:sz="4" w:space="0" w:color="auto"/>
              <w:bottom w:val="single" w:sz="4" w:space="0" w:color="BFBFBF" w:themeColor="background1" w:themeShade="BF"/>
            </w:tcBorders>
          </w:tcPr>
          <w:p w14:paraId="298BDB56" w14:textId="77777777" w:rsidR="0000060D" w:rsidRPr="00BE055A" w:rsidRDefault="0000060D" w:rsidP="00BE055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 xml:space="preserve">Maximizing energy efficiency (e.g., good insulation for cooling and heating)    </w:t>
            </w:r>
          </w:p>
        </w:tc>
        <w:tc>
          <w:tcPr>
            <w:tcW w:w="801" w:type="dxa"/>
            <w:tcBorders>
              <w:top w:val="single" w:sz="4" w:space="0" w:color="auto"/>
              <w:bottom w:val="single" w:sz="4" w:space="0" w:color="BFBFBF" w:themeColor="background1" w:themeShade="BF"/>
            </w:tcBorders>
          </w:tcPr>
          <w:p w14:paraId="756A2B69" w14:textId="77777777" w:rsidR="0000060D" w:rsidRPr="00BE055A" w:rsidRDefault="0000060D" w:rsidP="00BE05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26</w:t>
            </w:r>
          </w:p>
        </w:tc>
        <w:tc>
          <w:tcPr>
            <w:tcW w:w="709" w:type="dxa"/>
            <w:tcBorders>
              <w:top w:val="single" w:sz="4" w:space="0" w:color="auto"/>
              <w:bottom w:val="single" w:sz="4" w:space="0" w:color="BFBFBF" w:themeColor="background1" w:themeShade="BF"/>
            </w:tcBorders>
          </w:tcPr>
          <w:p w14:paraId="05104BB1" w14:textId="77777777" w:rsidR="0000060D" w:rsidRPr="00BE055A" w:rsidRDefault="0000060D" w:rsidP="00BE05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11.2</w:t>
            </w:r>
          </w:p>
        </w:tc>
        <w:tc>
          <w:tcPr>
            <w:tcW w:w="992" w:type="dxa"/>
            <w:gridSpan w:val="2"/>
            <w:tcBorders>
              <w:top w:val="single" w:sz="4" w:space="0" w:color="auto"/>
              <w:bottom w:val="single" w:sz="4" w:space="0" w:color="BFBFBF" w:themeColor="background1" w:themeShade="BF"/>
            </w:tcBorders>
          </w:tcPr>
          <w:p w14:paraId="5D34722E" w14:textId="77777777" w:rsidR="0000060D" w:rsidRPr="00BE055A" w:rsidRDefault="0000060D" w:rsidP="00BE05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26</w:t>
            </w:r>
          </w:p>
        </w:tc>
      </w:tr>
      <w:tr w:rsidR="0000060D" w:rsidRPr="00BE055A" w14:paraId="25A00D80" w14:textId="77777777" w:rsidTr="00BE05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0" w:type="dxa"/>
            <w:vMerge/>
            <w:tcBorders>
              <w:top w:val="single" w:sz="4" w:space="0" w:color="BFBFBF" w:themeColor="background1" w:themeShade="BF"/>
            </w:tcBorders>
          </w:tcPr>
          <w:p w14:paraId="5876E5BE" w14:textId="77777777" w:rsidR="0000060D" w:rsidRPr="00BE055A" w:rsidRDefault="0000060D" w:rsidP="00BE055A">
            <w:pPr>
              <w:spacing w:after="0" w:line="240" w:lineRule="auto"/>
              <w:rPr>
                <w:rFonts w:ascii="Times New Roman" w:hAnsi="Times New Roman" w:cs="Times New Roman"/>
                <w:sz w:val="20"/>
                <w:szCs w:val="20"/>
              </w:rPr>
            </w:pPr>
          </w:p>
        </w:tc>
        <w:tc>
          <w:tcPr>
            <w:tcW w:w="3963" w:type="dxa"/>
            <w:tcBorders>
              <w:top w:val="single" w:sz="4" w:space="0" w:color="BFBFBF" w:themeColor="background1" w:themeShade="BF"/>
            </w:tcBorders>
          </w:tcPr>
          <w:p w14:paraId="64587DA4" w14:textId="77777777" w:rsidR="0000060D" w:rsidRPr="00BE055A" w:rsidRDefault="0000060D" w:rsidP="00BE055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Maximizing natural light and ventilation</w:t>
            </w:r>
          </w:p>
        </w:tc>
        <w:tc>
          <w:tcPr>
            <w:tcW w:w="801" w:type="dxa"/>
            <w:tcBorders>
              <w:top w:val="single" w:sz="4" w:space="0" w:color="BFBFBF" w:themeColor="background1" w:themeShade="BF"/>
            </w:tcBorders>
          </w:tcPr>
          <w:p w14:paraId="31D8F1B1"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50</w:t>
            </w:r>
          </w:p>
        </w:tc>
        <w:tc>
          <w:tcPr>
            <w:tcW w:w="709" w:type="dxa"/>
            <w:tcBorders>
              <w:top w:val="single" w:sz="4" w:space="0" w:color="BFBFBF" w:themeColor="background1" w:themeShade="BF"/>
            </w:tcBorders>
          </w:tcPr>
          <w:p w14:paraId="6ABCE977"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21.6</w:t>
            </w:r>
          </w:p>
        </w:tc>
        <w:tc>
          <w:tcPr>
            <w:tcW w:w="992" w:type="dxa"/>
            <w:gridSpan w:val="2"/>
            <w:tcBorders>
              <w:top w:val="single" w:sz="4" w:space="0" w:color="BFBFBF" w:themeColor="background1" w:themeShade="BF"/>
            </w:tcBorders>
          </w:tcPr>
          <w:p w14:paraId="6C557616"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50</w:t>
            </w:r>
          </w:p>
        </w:tc>
      </w:tr>
      <w:tr w:rsidR="0000060D" w:rsidRPr="00BE055A" w14:paraId="1AAE4C0D" w14:textId="77777777" w:rsidTr="00BE055A">
        <w:trPr>
          <w:jc w:val="center"/>
        </w:trPr>
        <w:tc>
          <w:tcPr>
            <w:cnfStyle w:val="001000000000" w:firstRow="0" w:lastRow="0" w:firstColumn="1" w:lastColumn="0" w:oddVBand="0" w:evenVBand="0" w:oddHBand="0" w:evenHBand="0" w:firstRowFirstColumn="0" w:firstRowLastColumn="0" w:lastRowFirstColumn="0" w:lastRowLastColumn="0"/>
            <w:tcW w:w="1610" w:type="dxa"/>
            <w:vMerge/>
          </w:tcPr>
          <w:p w14:paraId="0832A35F" w14:textId="77777777" w:rsidR="0000060D" w:rsidRPr="00BE055A" w:rsidRDefault="0000060D" w:rsidP="00BE055A">
            <w:pPr>
              <w:spacing w:after="0" w:line="240" w:lineRule="auto"/>
              <w:rPr>
                <w:rFonts w:ascii="Times New Roman" w:hAnsi="Times New Roman" w:cs="Times New Roman"/>
                <w:sz w:val="20"/>
                <w:szCs w:val="20"/>
              </w:rPr>
            </w:pPr>
          </w:p>
        </w:tc>
        <w:tc>
          <w:tcPr>
            <w:tcW w:w="3963" w:type="dxa"/>
          </w:tcPr>
          <w:p w14:paraId="19B22C03" w14:textId="77777777" w:rsidR="0000060D" w:rsidRPr="00BE055A" w:rsidRDefault="0000060D" w:rsidP="00BE055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 xml:space="preserve">Aesthetic appeal (modern design, attractive architecture)    </w:t>
            </w:r>
          </w:p>
        </w:tc>
        <w:tc>
          <w:tcPr>
            <w:tcW w:w="801" w:type="dxa"/>
          </w:tcPr>
          <w:p w14:paraId="634F20EA" w14:textId="77777777" w:rsidR="0000060D" w:rsidRPr="00BE055A" w:rsidRDefault="0000060D" w:rsidP="00BE05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62</w:t>
            </w:r>
          </w:p>
        </w:tc>
        <w:tc>
          <w:tcPr>
            <w:tcW w:w="709" w:type="dxa"/>
          </w:tcPr>
          <w:p w14:paraId="6DAEA931" w14:textId="77777777" w:rsidR="0000060D" w:rsidRPr="00BE055A" w:rsidRDefault="0000060D" w:rsidP="00BE05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26.7</w:t>
            </w:r>
          </w:p>
        </w:tc>
        <w:tc>
          <w:tcPr>
            <w:tcW w:w="992" w:type="dxa"/>
            <w:gridSpan w:val="2"/>
          </w:tcPr>
          <w:p w14:paraId="609DA420" w14:textId="77777777" w:rsidR="0000060D" w:rsidRPr="00BE055A" w:rsidRDefault="0000060D" w:rsidP="00BE05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62</w:t>
            </w:r>
          </w:p>
        </w:tc>
      </w:tr>
      <w:tr w:rsidR="0000060D" w:rsidRPr="00BE055A" w14:paraId="40747B52" w14:textId="77777777" w:rsidTr="00BE05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0" w:type="dxa"/>
            <w:vMerge/>
          </w:tcPr>
          <w:p w14:paraId="2BA83BD5" w14:textId="77777777" w:rsidR="0000060D" w:rsidRPr="00BE055A" w:rsidRDefault="0000060D" w:rsidP="00BE055A">
            <w:pPr>
              <w:spacing w:after="0" w:line="240" w:lineRule="auto"/>
              <w:rPr>
                <w:rFonts w:ascii="Times New Roman" w:hAnsi="Times New Roman" w:cs="Times New Roman"/>
                <w:sz w:val="20"/>
                <w:szCs w:val="20"/>
              </w:rPr>
            </w:pPr>
          </w:p>
        </w:tc>
        <w:tc>
          <w:tcPr>
            <w:tcW w:w="3963" w:type="dxa"/>
          </w:tcPr>
          <w:p w14:paraId="700C1B30" w14:textId="77777777" w:rsidR="0000060D" w:rsidRPr="00BE055A" w:rsidRDefault="0000060D" w:rsidP="00BE055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 xml:space="preserve">Low maintenance costs   </w:t>
            </w:r>
          </w:p>
        </w:tc>
        <w:tc>
          <w:tcPr>
            <w:tcW w:w="801" w:type="dxa"/>
          </w:tcPr>
          <w:p w14:paraId="1B7C0537"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52</w:t>
            </w:r>
          </w:p>
        </w:tc>
        <w:tc>
          <w:tcPr>
            <w:tcW w:w="709" w:type="dxa"/>
          </w:tcPr>
          <w:p w14:paraId="7FE0BD5C"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22.4</w:t>
            </w:r>
          </w:p>
        </w:tc>
        <w:tc>
          <w:tcPr>
            <w:tcW w:w="992" w:type="dxa"/>
            <w:gridSpan w:val="2"/>
          </w:tcPr>
          <w:p w14:paraId="6BCD5CF8"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52</w:t>
            </w:r>
          </w:p>
        </w:tc>
      </w:tr>
      <w:tr w:rsidR="0000060D" w:rsidRPr="00BE055A" w14:paraId="0A0780F9" w14:textId="77777777" w:rsidTr="00BE055A">
        <w:trPr>
          <w:jc w:val="center"/>
        </w:trPr>
        <w:tc>
          <w:tcPr>
            <w:cnfStyle w:val="001000000000" w:firstRow="0" w:lastRow="0" w:firstColumn="1" w:lastColumn="0" w:oddVBand="0" w:evenVBand="0" w:oddHBand="0" w:evenHBand="0" w:firstRowFirstColumn="0" w:firstRowLastColumn="0" w:lastRowFirstColumn="0" w:lastRowLastColumn="0"/>
            <w:tcW w:w="1610" w:type="dxa"/>
            <w:vMerge/>
          </w:tcPr>
          <w:p w14:paraId="4FABE1EA" w14:textId="77777777" w:rsidR="0000060D" w:rsidRPr="00BE055A" w:rsidRDefault="0000060D" w:rsidP="00BE055A">
            <w:pPr>
              <w:spacing w:after="0" w:line="240" w:lineRule="auto"/>
              <w:rPr>
                <w:rFonts w:ascii="Times New Roman" w:hAnsi="Times New Roman" w:cs="Times New Roman"/>
                <w:sz w:val="20"/>
                <w:szCs w:val="20"/>
              </w:rPr>
            </w:pPr>
          </w:p>
        </w:tc>
        <w:tc>
          <w:tcPr>
            <w:tcW w:w="3963" w:type="dxa"/>
          </w:tcPr>
          <w:p w14:paraId="1006A1C8" w14:textId="77777777" w:rsidR="0000060D" w:rsidRPr="00BE055A" w:rsidRDefault="0000060D" w:rsidP="00BE055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 xml:space="preserve">Adequate privacy for teachers and their families    </w:t>
            </w:r>
          </w:p>
        </w:tc>
        <w:tc>
          <w:tcPr>
            <w:tcW w:w="801" w:type="dxa"/>
          </w:tcPr>
          <w:p w14:paraId="69792BFA" w14:textId="77777777" w:rsidR="0000060D" w:rsidRPr="00BE055A" w:rsidRDefault="0000060D" w:rsidP="00BE05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42</w:t>
            </w:r>
          </w:p>
        </w:tc>
        <w:tc>
          <w:tcPr>
            <w:tcW w:w="709" w:type="dxa"/>
          </w:tcPr>
          <w:p w14:paraId="68990A1B" w14:textId="77777777" w:rsidR="0000060D" w:rsidRPr="00BE055A" w:rsidRDefault="0000060D" w:rsidP="00BE05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18.1</w:t>
            </w:r>
          </w:p>
        </w:tc>
        <w:tc>
          <w:tcPr>
            <w:tcW w:w="992" w:type="dxa"/>
            <w:gridSpan w:val="2"/>
          </w:tcPr>
          <w:p w14:paraId="5225AA6A" w14:textId="77777777" w:rsidR="0000060D" w:rsidRPr="00BE055A" w:rsidRDefault="0000060D" w:rsidP="00BE05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42</w:t>
            </w:r>
          </w:p>
        </w:tc>
      </w:tr>
      <w:tr w:rsidR="0000060D" w:rsidRPr="00BE055A" w14:paraId="2149F458" w14:textId="77777777" w:rsidTr="00BE05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0" w:type="dxa"/>
            <w:vMerge/>
          </w:tcPr>
          <w:p w14:paraId="5CEB897A" w14:textId="77777777" w:rsidR="0000060D" w:rsidRPr="00BE055A" w:rsidRDefault="0000060D" w:rsidP="00BE055A">
            <w:pPr>
              <w:spacing w:after="0" w:line="240" w:lineRule="auto"/>
              <w:rPr>
                <w:rFonts w:ascii="Times New Roman" w:hAnsi="Times New Roman" w:cs="Times New Roman"/>
                <w:sz w:val="20"/>
                <w:szCs w:val="20"/>
              </w:rPr>
            </w:pPr>
          </w:p>
        </w:tc>
        <w:tc>
          <w:tcPr>
            <w:tcW w:w="3963" w:type="dxa"/>
          </w:tcPr>
          <w:p w14:paraId="5305EFED" w14:textId="77777777" w:rsidR="0000060D" w:rsidRPr="00BE055A" w:rsidRDefault="0000060D" w:rsidP="00BE055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Others</w:t>
            </w:r>
          </w:p>
        </w:tc>
        <w:tc>
          <w:tcPr>
            <w:tcW w:w="801" w:type="dxa"/>
          </w:tcPr>
          <w:p w14:paraId="25D23270"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0</w:t>
            </w:r>
          </w:p>
        </w:tc>
        <w:tc>
          <w:tcPr>
            <w:tcW w:w="709" w:type="dxa"/>
          </w:tcPr>
          <w:p w14:paraId="0BE5B647"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0</w:t>
            </w:r>
          </w:p>
        </w:tc>
        <w:tc>
          <w:tcPr>
            <w:tcW w:w="992" w:type="dxa"/>
            <w:gridSpan w:val="2"/>
          </w:tcPr>
          <w:p w14:paraId="068E6F21" w14:textId="77777777" w:rsidR="0000060D" w:rsidRPr="00BE055A" w:rsidRDefault="0000060D" w:rsidP="00BE055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E055A">
              <w:rPr>
                <w:rFonts w:ascii="Times New Roman" w:hAnsi="Times New Roman" w:cs="Times New Roman"/>
                <w:sz w:val="20"/>
                <w:szCs w:val="20"/>
              </w:rPr>
              <w:t>0</w:t>
            </w:r>
          </w:p>
        </w:tc>
      </w:tr>
      <w:tr w:rsidR="0000060D" w:rsidRPr="00BE055A" w14:paraId="0B37FF52" w14:textId="77777777" w:rsidTr="00BE055A">
        <w:trPr>
          <w:jc w:val="center"/>
        </w:trPr>
        <w:tc>
          <w:tcPr>
            <w:cnfStyle w:val="001000000000" w:firstRow="0" w:lastRow="0" w:firstColumn="1" w:lastColumn="0" w:oddVBand="0" w:evenVBand="0" w:oddHBand="0" w:evenHBand="0" w:firstRowFirstColumn="0" w:firstRowLastColumn="0" w:lastRowFirstColumn="0" w:lastRowLastColumn="0"/>
            <w:tcW w:w="5573" w:type="dxa"/>
            <w:gridSpan w:val="2"/>
          </w:tcPr>
          <w:p w14:paraId="2D2FA604" w14:textId="77777777" w:rsidR="0000060D" w:rsidRPr="00BE055A" w:rsidRDefault="0000060D" w:rsidP="00BE055A">
            <w:pPr>
              <w:spacing w:after="0" w:line="240" w:lineRule="auto"/>
              <w:rPr>
                <w:rFonts w:ascii="Times New Roman" w:hAnsi="Times New Roman" w:cs="Times New Roman"/>
                <w:iCs/>
                <w:sz w:val="20"/>
                <w:szCs w:val="20"/>
              </w:rPr>
            </w:pPr>
            <w:r w:rsidRPr="00BE055A">
              <w:rPr>
                <w:rFonts w:ascii="Times New Roman" w:hAnsi="Times New Roman" w:cs="Times New Roman"/>
                <w:iCs/>
                <w:sz w:val="20"/>
                <w:szCs w:val="20"/>
              </w:rPr>
              <w:t>Grand Total</w:t>
            </w:r>
          </w:p>
        </w:tc>
        <w:tc>
          <w:tcPr>
            <w:tcW w:w="801" w:type="dxa"/>
          </w:tcPr>
          <w:p w14:paraId="1800BD53" w14:textId="77777777" w:rsidR="0000060D" w:rsidRPr="00BE055A" w:rsidRDefault="0000060D" w:rsidP="00BE05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Cs/>
                <w:sz w:val="20"/>
                <w:szCs w:val="20"/>
              </w:rPr>
            </w:pPr>
            <w:r w:rsidRPr="00BE055A">
              <w:rPr>
                <w:rFonts w:ascii="Times New Roman" w:hAnsi="Times New Roman" w:cs="Times New Roman"/>
                <w:b/>
                <w:iCs/>
                <w:sz w:val="20"/>
                <w:szCs w:val="20"/>
              </w:rPr>
              <w:t>232</w:t>
            </w:r>
          </w:p>
        </w:tc>
        <w:tc>
          <w:tcPr>
            <w:tcW w:w="709" w:type="dxa"/>
          </w:tcPr>
          <w:p w14:paraId="6F6BD2C5" w14:textId="77777777" w:rsidR="0000060D" w:rsidRPr="00BE055A" w:rsidRDefault="0000060D" w:rsidP="00BE05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Cs/>
                <w:sz w:val="20"/>
                <w:szCs w:val="20"/>
              </w:rPr>
            </w:pPr>
            <w:r w:rsidRPr="00BE055A">
              <w:rPr>
                <w:rFonts w:ascii="Times New Roman" w:hAnsi="Times New Roman" w:cs="Times New Roman"/>
                <w:b/>
                <w:iCs/>
                <w:sz w:val="20"/>
                <w:szCs w:val="20"/>
              </w:rPr>
              <w:t>100.0</w:t>
            </w:r>
          </w:p>
        </w:tc>
        <w:tc>
          <w:tcPr>
            <w:tcW w:w="992" w:type="dxa"/>
            <w:gridSpan w:val="2"/>
          </w:tcPr>
          <w:p w14:paraId="1681C38F" w14:textId="77777777" w:rsidR="0000060D" w:rsidRPr="00BE055A" w:rsidRDefault="0000060D" w:rsidP="00BE055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Cs/>
                <w:sz w:val="20"/>
                <w:szCs w:val="20"/>
              </w:rPr>
            </w:pPr>
            <w:r w:rsidRPr="00BE055A">
              <w:rPr>
                <w:rFonts w:ascii="Times New Roman" w:hAnsi="Times New Roman" w:cs="Times New Roman"/>
                <w:b/>
                <w:iCs/>
                <w:sz w:val="20"/>
                <w:szCs w:val="20"/>
              </w:rPr>
              <w:t>232</w:t>
            </w:r>
          </w:p>
        </w:tc>
      </w:tr>
    </w:tbl>
    <w:p w14:paraId="7E4AB35E" w14:textId="77777777" w:rsidR="0000060D" w:rsidRDefault="0000060D" w:rsidP="00BE055A">
      <w:pPr>
        <w:spacing w:after="0" w:line="240" w:lineRule="auto"/>
        <w:jc w:val="center"/>
        <w:rPr>
          <w:rFonts w:ascii="Times New Roman" w:hAnsi="Times New Roman" w:cs="Times New Roman"/>
          <w:bCs/>
          <w:iCs/>
          <w:sz w:val="24"/>
          <w:szCs w:val="24"/>
        </w:rPr>
      </w:pPr>
      <w:r w:rsidRPr="00BE055A">
        <w:rPr>
          <w:rFonts w:ascii="Times New Roman" w:hAnsi="Times New Roman" w:cs="Times New Roman"/>
          <w:bCs/>
          <w:iCs/>
          <w:sz w:val="24"/>
          <w:szCs w:val="24"/>
        </w:rPr>
        <w:t>Source: Author’s Field Survey, 2024</w:t>
      </w:r>
    </w:p>
    <w:p w14:paraId="47D58DBF" w14:textId="77777777" w:rsidR="00204779" w:rsidRPr="00BE055A" w:rsidRDefault="00204779" w:rsidP="00BE055A">
      <w:pPr>
        <w:spacing w:after="0" w:line="240" w:lineRule="auto"/>
        <w:jc w:val="center"/>
        <w:rPr>
          <w:rFonts w:ascii="Times New Roman" w:hAnsi="Times New Roman" w:cs="Times New Roman"/>
          <w:bCs/>
          <w:iCs/>
          <w:sz w:val="24"/>
          <w:szCs w:val="24"/>
        </w:rPr>
      </w:pPr>
    </w:p>
    <w:p w14:paraId="12D02166"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When asked about preferred unit size and layout, a majority (37.9%) favored 2-bedroom units, followed by 21.1% for 1-bedroom units, and 9.5% for 3-bedroom layouts. Other preferences included outdoor spaces (9.5%) and communal activity areas (13.8%) (Table 4.7). This reflects Uji’s (2011) conclusion that 2-bedroom units strike an optimal balance between affordability and space for small families in institutional housing. The support for communal spaces also echoes Ezeokoli and Okonkwo (2013), who noted that integrating social areas strengthens cohesion in residential environments.</w:t>
      </w:r>
    </w:p>
    <w:p w14:paraId="559E1075" w14:textId="77777777" w:rsidR="0000060D" w:rsidRPr="00BE4AF3" w:rsidRDefault="0000060D" w:rsidP="00204779">
      <w:pPr>
        <w:spacing w:after="0" w:line="240" w:lineRule="auto"/>
        <w:jc w:val="both"/>
        <w:rPr>
          <w:rFonts w:ascii="Times New Roman" w:hAnsi="Times New Roman" w:cs="Times New Roman"/>
          <w:sz w:val="24"/>
          <w:szCs w:val="24"/>
        </w:rPr>
      </w:pPr>
    </w:p>
    <w:p w14:paraId="2BEA4082" w14:textId="2B33D4D1" w:rsidR="0000060D" w:rsidRPr="00BE4AF3" w:rsidRDefault="0000060D" w:rsidP="00204779">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Conclusion</w:t>
      </w:r>
    </w:p>
    <w:p w14:paraId="54B97332"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This study examined the challenges and technical feasibility of using Hydra-form brick blocks for teacher housing in Bwari Area Council, F.C.T., Abuja. The findings reveal that while Hydra-form bricks present clear advantages over conventional sandcrete blocks in terms of cost-effectiveness, thermal efficiency, and environmental sustainability, several barriers continue to limit their large-scale adoption. Lack of awareness about the material, insufficient information on its benefits, resistance to new technologies, high initial costs, limited distribution networks, and shortage of skilled labor were all identified as significant obstacles. These issues highlight that the success of Hydra-form technology depends not only on its technical properties but also on community awareness, economic viability, and institutional support.</w:t>
      </w:r>
    </w:p>
    <w:p w14:paraId="6985394D"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At the same time, the evaluation of long-term durability and maintenance requirements demonstrates that Hydra-form bricks are perceived as structurally superior to sandcrete blocks, with higher ratings for weather resistance, resistance to cracking, and longevity without major repairs. Respondents acknowledged, however, that periodic maintenance including repainting, weatherproofing, and regular inspections would be necessary to sustain performance under Abuja’s tropical climate. Importantly, housing acceptance was shaped by more than just durability; teachers emphasized the importance of aesthetic appeal, low maintenance costs, natural ventilation, and functional layouts, with a clear preference for two-bedroom units. Additional features such as solar panels, rainwater harvesting, and proximity to schools or transport routes were also valued, showing that long-term acceptance of Hydra-form housing is linked to broader considerations of comfort, sustainability, and accessibility.</w:t>
      </w:r>
    </w:p>
    <w:p w14:paraId="36F42DA5"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Taken together, these findings confirm that Hydra-form brick blocks are technically feasible and socially acceptable for teacher housing in Bwari Area Council, provided that challenges of awareness, affordability, skills development, and supportive policies are effectively addressed. The material’s durability advantages offer a strong foundation, but its adoption will depend on integrating user-centered designs, ensuring affordability, and strengthening production and maintenance systems. By doing so, Hydra-form bricks could contribute meaningfully to addressing Nigeria’s housing deficit and supporting sustainable development in peri-urban areas like Bwari.</w:t>
      </w:r>
    </w:p>
    <w:p w14:paraId="11C7DD3B" w14:textId="77777777" w:rsidR="00204779" w:rsidRDefault="00204779" w:rsidP="00204779">
      <w:pPr>
        <w:spacing w:after="0" w:line="240" w:lineRule="auto"/>
        <w:jc w:val="both"/>
        <w:rPr>
          <w:rFonts w:ascii="Times New Roman" w:hAnsi="Times New Roman" w:cs="Times New Roman"/>
          <w:sz w:val="24"/>
          <w:szCs w:val="24"/>
        </w:rPr>
      </w:pPr>
    </w:p>
    <w:p w14:paraId="057495CB" w14:textId="638F76A7" w:rsidR="0000060D" w:rsidRPr="00BE4AF3" w:rsidRDefault="0000060D" w:rsidP="00204779">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Recommendations</w:t>
      </w:r>
    </w:p>
    <w:p w14:paraId="64A35008"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To enhance the adoption of Hydra-form bricks in teacher housing projects, several measures are recommended. First, awareness campaigns and community sensitization programs should be implemented to increase public knowledge of Hydra-form bricks and their benefits. Demonstration projects and pilot housing schemes could serve as effective tools for showcasing durability, cost-effectiveness, and environmental advantages, thereby reducing resistance to new building technologies.</w:t>
      </w:r>
    </w:p>
    <w:p w14:paraId="68422117"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Moreover, government support in the form of subsidies, financial incentives, and partnerships with private developers is essential to address affordability and stimulate production at scale. Establishing local manufacturing plants in Bwari would further reduce production and transportation costs, while also creating employment opportunities within the community. Alongside this, targeted training programs should be developed to equip builders, contractors, and artisans with the necessary technical skills to produce, install, and maintain Hydra-form brick structures, ensuring long-term sustainability.</w:t>
      </w:r>
    </w:p>
    <w:p w14:paraId="4BFC558F"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Inaddition ongoing research and development are needed to monitor the long-term performance of Hydra-form buildings under local climatic conditions, refine production techniques, and introduce protective treatments to improve weather resistance. By combining technical innovation with supportive policies and user-centered designs, Hydra-form bricks can become a </w:t>
      </w:r>
      <w:r w:rsidRPr="00BE4AF3">
        <w:rPr>
          <w:rFonts w:ascii="Times New Roman" w:hAnsi="Times New Roman" w:cs="Times New Roman"/>
          <w:sz w:val="24"/>
          <w:szCs w:val="24"/>
        </w:rPr>
        <w:lastRenderedPageBreak/>
        <w:t>practical and sustainable solution for teacher housing in Bwari Area Council and potentially across Nigeria.</w:t>
      </w:r>
    </w:p>
    <w:p w14:paraId="6AA42F17" w14:textId="77777777" w:rsidR="0000060D" w:rsidRPr="00BE4AF3" w:rsidRDefault="0000060D" w:rsidP="00204779">
      <w:pPr>
        <w:spacing w:after="0" w:line="240" w:lineRule="auto"/>
        <w:jc w:val="both"/>
        <w:rPr>
          <w:rFonts w:ascii="Times New Roman" w:hAnsi="Times New Roman" w:cs="Times New Roman"/>
          <w:sz w:val="24"/>
          <w:szCs w:val="24"/>
        </w:rPr>
      </w:pPr>
    </w:p>
    <w:p w14:paraId="37AF6B09" w14:textId="77777777" w:rsidR="0000060D" w:rsidRPr="00204779" w:rsidRDefault="0000060D" w:rsidP="00204779">
      <w:pPr>
        <w:spacing w:after="0" w:line="240" w:lineRule="auto"/>
        <w:jc w:val="both"/>
        <w:rPr>
          <w:rFonts w:ascii="Times New Roman" w:hAnsi="Times New Roman" w:cs="Times New Roman"/>
          <w:b/>
          <w:bCs/>
          <w:sz w:val="24"/>
          <w:szCs w:val="24"/>
        </w:rPr>
      </w:pPr>
      <w:r w:rsidRPr="00204779">
        <w:rPr>
          <w:rFonts w:ascii="Times New Roman" w:hAnsi="Times New Roman" w:cs="Times New Roman"/>
          <w:b/>
          <w:bCs/>
          <w:sz w:val="24"/>
          <w:szCs w:val="24"/>
        </w:rPr>
        <w:t>References</w:t>
      </w:r>
    </w:p>
    <w:p w14:paraId="5FA9FE67"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Abdulkarim, B., Akinlabi, E., &amp; Lawal, M. (2017). Aesthetic considerations in the adoption of </w:t>
      </w:r>
      <w:r w:rsidRPr="00BE4AF3">
        <w:rPr>
          <w:rFonts w:ascii="Times New Roman" w:hAnsi="Times New Roman" w:cs="Times New Roman"/>
          <w:sz w:val="24"/>
          <w:szCs w:val="24"/>
        </w:rPr>
        <w:tab/>
        <w:t xml:space="preserve">interlocking blocks in Nigeria. </w:t>
      </w:r>
      <w:r w:rsidRPr="00BE4AF3">
        <w:rPr>
          <w:rFonts w:ascii="Times New Roman" w:hAnsi="Times New Roman" w:cs="Times New Roman"/>
          <w:i/>
          <w:sz w:val="24"/>
          <w:szCs w:val="24"/>
        </w:rPr>
        <w:t>Journal of Sustainable Development in Africa</w:t>
      </w:r>
      <w:r w:rsidRPr="00BE4AF3">
        <w:rPr>
          <w:rFonts w:ascii="Times New Roman" w:hAnsi="Times New Roman" w:cs="Times New Roman"/>
          <w:sz w:val="24"/>
          <w:szCs w:val="24"/>
        </w:rPr>
        <w:t xml:space="preserve">, 19(3), </w:t>
      </w:r>
      <w:r w:rsidRPr="00BE4AF3">
        <w:rPr>
          <w:rFonts w:ascii="Times New Roman" w:hAnsi="Times New Roman" w:cs="Times New Roman"/>
          <w:sz w:val="24"/>
          <w:szCs w:val="24"/>
        </w:rPr>
        <w:tab/>
        <w:t>121–134. https://doi.org/10.1080/09766634.2017.1329876</w:t>
      </w:r>
    </w:p>
    <w:p w14:paraId="2147F747" w14:textId="77777777" w:rsidR="00204779"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Abdulrahaman, S. O., Olaleye, B. M., &amp; Saliu, M. A. (2010). Investigation of Some </w:t>
      </w:r>
      <w:r w:rsidRPr="00BE4AF3">
        <w:rPr>
          <w:rFonts w:ascii="Times New Roman" w:hAnsi="Times New Roman" w:cs="Times New Roman"/>
          <w:sz w:val="24"/>
          <w:szCs w:val="24"/>
        </w:rPr>
        <w:tab/>
        <w:t xml:space="preserve">Physical </w:t>
      </w:r>
      <w:r w:rsidRPr="00BE4AF3">
        <w:rPr>
          <w:rFonts w:ascii="Times New Roman" w:hAnsi="Times New Roman" w:cs="Times New Roman"/>
          <w:sz w:val="24"/>
          <w:szCs w:val="24"/>
        </w:rPr>
        <w:tab/>
        <w:t xml:space="preserve">and Strength Properties of Clay and Weathered Bedrock for Production of </w:t>
      </w:r>
      <w:r w:rsidR="00204779">
        <w:rPr>
          <w:rFonts w:ascii="Times New Roman" w:hAnsi="Times New Roman" w:cs="Times New Roman"/>
          <w:sz w:val="24"/>
          <w:szCs w:val="24"/>
        </w:rPr>
        <w:t xml:space="preserve"> </w:t>
      </w:r>
    </w:p>
    <w:p w14:paraId="4EA985B9" w14:textId="77777777" w:rsidR="00204779" w:rsidRDefault="00204779" w:rsidP="0020477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0060D" w:rsidRPr="00BE4AF3">
        <w:rPr>
          <w:rFonts w:ascii="Times New Roman" w:hAnsi="Times New Roman" w:cs="Times New Roman"/>
          <w:sz w:val="24"/>
          <w:szCs w:val="24"/>
        </w:rPr>
        <w:t xml:space="preserve">Hydra </w:t>
      </w:r>
      <w:r w:rsidR="0000060D" w:rsidRPr="00BE4AF3">
        <w:rPr>
          <w:rFonts w:ascii="Times New Roman" w:hAnsi="Times New Roman" w:cs="Times New Roman"/>
          <w:sz w:val="24"/>
          <w:szCs w:val="24"/>
        </w:rPr>
        <w:tab/>
        <w:t xml:space="preserve">Form Bricks. </w:t>
      </w:r>
      <w:r w:rsidR="0000060D" w:rsidRPr="00BE4AF3">
        <w:rPr>
          <w:rFonts w:ascii="Times New Roman" w:hAnsi="Times New Roman" w:cs="Times New Roman"/>
          <w:i/>
          <w:sz w:val="24"/>
          <w:szCs w:val="24"/>
        </w:rPr>
        <w:t>(University of Ilorin unpublished thesis/report</w:t>
      </w:r>
      <w:r w:rsidR="0000060D" w:rsidRPr="00BE4AF3">
        <w:rPr>
          <w:rFonts w:ascii="Times New Roman" w:hAnsi="Times New Roman" w:cs="Times New Roman"/>
          <w:sz w:val="24"/>
          <w:szCs w:val="24"/>
        </w:rPr>
        <w:t xml:space="preserve">) — mix </w:t>
      </w:r>
      <w:r w:rsidR="0000060D" w:rsidRPr="00BE4AF3">
        <w:rPr>
          <w:rFonts w:ascii="Times New Roman" w:hAnsi="Times New Roman" w:cs="Times New Roman"/>
          <w:sz w:val="24"/>
          <w:szCs w:val="24"/>
        </w:rPr>
        <w:tab/>
        <w:t xml:space="preserve">ratio </w:t>
      </w:r>
    </w:p>
    <w:p w14:paraId="17918FDC" w14:textId="4EA700C9" w:rsidR="0000060D" w:rsidRPr="00BE4AF3" w:rsidRDefault="00204779" w:rsidP="0020477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0060D" w:rsidRPr="00BE4AF3">
        <w:rPr>
          <w:rFonts w:ascii="Times New Roman" w:hAnsi="Times New Roman" w:cs="Times New Roman"/>
          <w:sz w:val="24"/>
          <w:szCs w:val="24"/>
        </w:rPr>
        <w:t xml:space="preserve">yields ~4.4 </w:t>
      </w:r>
      <w:r w:rsidR="0000060D" w:rsidRPr="00BE4AF3">
        <w:rPr>
          <w:rFonts w:ascii="Times New Roman" w:hAnsi="Times New Roman" w:cs="Times New Roman"/>
          <w:sz w:val="24"/>
          <w:szCs w:val="24"/>
        </w:rPr>
        <w:tab/>
        <w:t xml:space="preserve">MPa strength. </w:t>
      </w:r>
    </w:p>
    <w:p w14:paraId="4648A79D"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Adebakin, I. H., Adewale, B. A., &amp; Ayoola, A. O. (2012). Interlocking masonry: An </w:t>
      </w:r>
      <w:r w:rsidRPr="00BE4AF3">
        <w:rPr>
          <w:rFonts w:ascii="Times New Roman" w:hAnsi="Times New Roman" w:cs="Times New Roman"/>
          <w:sz w:val="24"/>
          <w:szCs w:val="24"/>
        </w:rPr>
        <w:tab/>
        <w:t xml:space="preserve">alternative construction technique for sustainable housing. </w:t>
      </w:r>
      <w:r w:rsidRPr="00BE4AF3">
        <w:rPr>
          <w:rFonts w:ascii="Times New Roman" w:hAnsi="Times New Roman" w:cs="Times New Roman"/>
          <w:i/>
          <w:sz w:val="24"/>
          <w:szCs w:val="24"/>
        </w:rPr>
        <w:t xml:space="preserve">Journal of </w:t>
      </w:r>
      <w:r w:rsidRPr="00BE4AF3">
        <w:rPr>
          <w:rFonts w:ascii="Times New Roman" w:hAnsi="Times New Roman" w:cs="Times New Roman"/>
          <w:i/>
          <w:sz w:val="24"/>
          <w:szCs w:val="24"/>
        </w:rPr>
        <w:tab/>
        <w:t xml:space="preserve">Construction </w:t>
      </w:r>
      <w:r w:rsidRPr="00BE4AF3">
        <w:rPr>
          <w:rFonts w:ascii="Times New Roman" w:hAnsi="Times New Roman" w:cs="Times New Roman"/>
          <w:i/>
          <w:sz w:val="24"/>
          <w:szCs w:val="24"/>
        </w:rPr>
        <w:tab/>
        <w:t xml:space="preserve">Engineering and Management, </w:t>
      </w:r>
      <w:r w:rsidRPr="00BE4AF3">
        <w:rPr>
          <w:rFonts w:ascii="Times New Roman" w:hAnsi="Times New Roman" w:cs="Times New Roman"/>
          <w:sz w:val="24"/>
          <w:szCs w:val="24"/>
        </w:rPr>
        <w:t xml:space="preserve">138(2), 211–217. </w:t>
      </w:r>
      <w:r w:rsidRPr="00BE4AF3">
        <w:rPr>
          <w:rFonts w:ascii="Times New Roman" w:hAnsi="Times New Roman" w:cs="Times New Roman"/>
          <w:sz w:val="24"/>
          <w:szCs w:val="24"/>
        </w:rPr>
        <w:tab/>
        <w:t>https://doi.org/10.1061/(ASCE)CO.1943-7862.0000391</w:t>
      </w:r>
    </w:p>
    <w:p w14:paraId="6C5310D1"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Adebayo, A., Okonji, C., &amp; Fadare, O. (2013). Stabilized earth bricks as sustainable building </w:t>
      </w:r>
      <w:r w:rsidRPr="00BE4AF3">
        <w:rPr>
          <w:rFonts w:ascii="Times New Roman" w:hAnsi="Times New Roman" w:cs="Times New Roman"/>
          <w:sz w:val="24"/>
          <w:szCs w:val="24"/>
        </w:rPr>
        <w:tab/>
        <w:t xml:space="preserve">material in Nigeria. </w:t>
      </w:r>
      <w:r w:rsidRPr="00BE4AF3">
        <w:rPr>
          <w:rFonts w:ascii="Times New Roman" w:hAnsi="Times New Roman" w:cs="Times New Roman"/>
          <w:i/>
          <w:sz w:val="24"/>
          <w:szCs w:val="24"/>
        </w:rPr>
        <w:t>International Journal of Sustainable Construction</w:t>
      </w:r>
      <w:r w:rsidRPr="00BE4AF3">
        <w:rPr>
          <w:rFonts w:ascii="Times New Roman" w:hAnsi="Times New Roman" w:cs="Times New Roman"/>
          <w:sz w:val="24"/>
          <w:szCs w:val="24"/>
        </w:rPr>
        <w:t xml:space="preserve">, 5(2), 87–95. </w:t>
      </w:r>
      <w:r w:rsidRPr="00BE4AF3">
        <w:rPr>
          <w:rFonts w:ascii="Times New Roman" w:hAnsi="Times New Roman" w:cs="Times New Roman"/>
          <w:sz w:val="24"/>
          <w:szCs w:val="24"/>
        </w:rPr>
        <w:tab/>
        <w:t>https://doi.org/10.5897/IJSC2013.0112</w:t>
      </w:r>
    </w:p>
    <w:p w14:paraId="49B91983"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Adedeji, Y. M. D., &amp; Ogunsemi, D. R. (2010). Incorporating renewable energy in low-cost </w:t>
      </w:r>
      <w:r w:rsidRPr="00BE4AF3">
        <w:rPr>
          <w:rFonts w:ascii="Times New Roman" w:hAnsi="Times New Roman" w:cs="Times New Roman"/>
          <w:sz w:val="24"/>
          <w:szCs w:val="24"/>
        </w:rPr>
        <w:tab/>
        <w:t xml:space="preserve">housing in Nigeria. Renewable Energy, 35(5), 1081–1086. </w:t>
      </w:r>
      <w:r w:rsidRPr="00BE4AF3">
        <w:rPr>
          <w:rFonts w:ascii="Times New Roman" w:hAnsi="Times New Roman" w:cs="Times New Roman"/>
          <w:sz w:val="24"/>
          <w:szCs w:val="24"/>
        </w:rPr>
        <w:tab/>
        <w:t>https://doi.org/10.1016/j.renene.2009.08.002</w:t>
      </w:r>
    </w:p>
    <w:p w14:paraId="651AF437" w14:textId="77777777" w:rsidR="00204779"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Adedeji, Y. M. D., Deveci, F., &amp; Salman, M. (2022). The incentives of stabilized </w:t>
      </w:r>
      <w:r w:rsidRPr="00BE4AF3">
        <w:rPr>
          <w:rFonts w:ascii="Times New Roman" w:hAnsi="Times New Roman" w:cs="Times New Roman"/>
          <w:sz w:val="24"/>
          <w:szCs w:val="24"/>
        </w:rPr>
        <w:tab/>
        <w:t xml:space="preserve">interlocking </w:t>
      </w:r>
    </w:p>
    <w:p w14:paraId="152C037E" w14:textId="77777777" w:rsidR="00204779" w:rsidRDefault="00204779" w:rsidP="00204779">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0000060D" w:rsidRPr="00BE4AF3">
        <w:rPr>
          <w:rFonts w:ascii="Times New Roman" w:hAnsi="Times New Roman" w:cs="Times New Roman"/>
          <w:sz w:val="24"/>
          <w:szCs w:val="24"/>
        </w:rPr>
        <w:t xml:space="preserve">clay bricks for providing sustainable affordable housing in Nigeria. </w:t>
      </w:r>
      <w:r w:rsidR="0000060D" w:rsidRPr="00BE4AF3">
        <w:rPr>
          <w:rFonts w:ascii="Times New Roman" w:hAnsi="Times New Roman" w:cs="Times New Roman"/>
          <w:sz w:val="24"/>
          <w:szCs w:val="24"/>
        </w:rPr>
        <w:tab/>
      </w:r>
      <w:r w:rsidR="0000060D" w:rsidRPr="00BE4AF3">
        <w:rPr>
          <w:rFonts w:ascii="Times New Roman" w:hAnsi="Times New Roman" w:cs="Times New Roman"/>
          <w:i/>
          <w:sz w:val="24"/>
          <w:szCs w:val="24"/>
        </w:rPr>
        <w:t xml:space="preserve">Open Access Library </w:t>
      </w:r>
    </w:p>
    <w:p w14:paraId="5D148C88" w14:textId="4D804BA8" w:rsidR="0000060D" w:rsidRPr="00BE4AF3" w:rsidRDefault="00204779" w:rsidP="00204779">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 xml:space="preserve">           </w:t>
      </w:r>
      <w:r w:rsidR="0000060D" w:rsidRPr="00BE4AF3">
        <w:rPr>
          <w:rFonts w:ascii="Times New Roman" w:hAnsi="Times New Roman" w:cs="Times New Roman"/>
          <w:i/>
          <w:sz w:val="24"/>
          <w:szCs w:val="24"/>
        </w:rPr>
        <w:t>Journal, 9(</w:t>
      </w:r>
      <w:r w:rsidR="0000060D" w:rsidRPr="00BE4AF3">
        <w:rPr>
          <w:rFonts w:ascii="Times New Roman" w:hAnsi="Times New Roman" w:cs="Times New Roman"/>
          <w:sz w:val="24"/>
          <w:szCs w:val="24"/>
        </w:rPr>
        <w:t>3), 1–16. https://doi.org/10.4236/oalib.1109396</w:t>
      </w:r>
    </w:p>
    <w:p w14:paraId="7860245B"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Adegun, O. B. (2013). Sustainable housing in developing countries: The role of passive </w:t>
      </w:r>
      <w:r w:rsidRPr="00BE4AF3">
        <w:rPr>
          <w:rFonts w:ascii="Times New Roman" w:hAnsi="Times New Roman" w:cs="Times New Roman"/>
          <w:sz w:val="24"/>
          <w:szCs w:val="24"/>
        </w:rPr>
        <w:tab/>
        <w:t xml:space="preserve">design. </w:t>
      </w:r>
      <w:r w:rsidRPr="00BE4AF3">
        <w:rPr>
          <w:rFonts w:ascii="Times New Roman" w:hAnsi="Times New Roman" w:cs="Times New Roman"/>
          <w:i/>
          <w:sz w:val="24"/>
          <w:szCs w:val="24"/>
        </w:rPr>
        <w:t>International Journal of Sustainable Built Environment</w:t>
      </w:r>
      <w:r w:rsidRPr="00BE4AF3">
        <w:rPr>
          <w:rFonts w:ascii="Times New Roman" w:hAnsi="Times New Roman" w:cs="Times New Roman"/>
          <w:sz w:val="24"/>
          <w:szCs w:val="24"/>
        </w:rPr>
        <w:t xml:space="preserve">, 2(1), 167–174. </w:t>
      </w:r>
      <w:r w:rsidRPr="00BE4AF3">
        <w:rPr>
          <w:rFonts w:ascii="Times New Roman" w:hAnsi="Times New Roman" w:cs="Times New Roman"/>
          <w:sz w:val="24"/>
          <w:szCs w:val="24"/>
        </w:rPr>
        <w:tab/>
        <w:t>https://doi.org/10.1016/j.ijsbe.2013.10.002</w:t>
      </w:r>
    </w:p>
    <w:p w14:paraId="249FFACE" w14:textId="77777777" w:rsidR="00204779"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Aderibigbe, T., Yusuf, A., &amp; Okonkwo, J. (2023). Sustainable building materials: </w:t>
      </w:r>
      <w:r w:rsidRPr="00BE4AF3">
        <w:rPr>
          <w:rFonts w:ascii="Times New Roman" w:hAnsi="Times New Roman" w:cs="Times New Roman"/>
          <w:sz w:val="24"/>
          <w:szCs w:val="24"/>
        </w:rPr>
        <w:tab/>
        <w:t xml:space="preserve">Performance </w:t>
      </w:r>
    </w:p>
    <w:p w14:paraId="7183CEEA" w14:textId="77777777" w:rsidR="00204779" w:rsidRDefault="00204779" w:rsidP="00204779">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0000060D" w:rsidRPr="00BE4AF3">
        <w:rPr>
          <w:rFonts w:ascii="Times New Roman" w:hAnsi="Times New Roman" w:cs="Times New Roman"/>
          <w:sz w:val="24"/>
          <w:szCs w:val="24"/>
        </w:rPr>
        <w:t xml:space="preserve">of Hydra-form bricks in Nigerian construction. </w:t>
      </w:r>
      <w:r w:rsidR="0000060D" w:rsidRPr="00BE4AF3">
        <w:rPr>
          <w:rFonts w:ascii="Times New Roman" w:hAnsi="Times New Roman" w:cs="Times New Roman"/>
          <w:i/>
          <w:sz w:val="24"/>
          <w:szCs w:val="24"/>
        </w:rPr>
        <w:t xml:space="preserve">International Journal of </w:t>
      </w:r>
      <w:r w:rsidR="0000060D" w:rsidRPr="00BE4AF3">
        <w:rPr>
          <w:rFonts w:ascii="Times New Roman" w:hAnsi="Times New Roman" w:cs="Times New Roman"/>
          <w:i/>
          <w:sz w:val="24"/>
          <w:szCs w:val="24"/>
        </w:rPr>
        <w:tab/>
        <w:t xml:space="preserve">Sustainable </w:t>
      </w:r>
    </w:p>
    <w:p w14:paraId="1B5FA6EE" w14:textId="76E73A68" w:rsidR="0000060D" w:rsidRPr="00BE4AF3" w:rsidRDefault="00204779" w:rsidP="00204779">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 xml:space="preserve">            </w:t>
      </w:r>
      <w:r w:rsidR="0000060D" w:rsidRPr="00BE4AF3">
        <w:rPr>
          <w:rFonts w:ascii="Times New Roman" w:hAnsi="Times New Roman" w:cs="Times New Roman"/>
          <w:i/>
          <w:sz w:val="24"/>
          <w:szCs w:val="24"/>
        </w:rPr>
        <w:t>Housing</w:t>
      </w:r>
      <w:r w:rsidR="0000060D" w:rsidRPr="00BE4AF3">
        <w:rPr>
          <w:rFonts w:ascii="Times New Roman" w:hAnsi="Times New Roman" w:cs="Times New Roman"/>
          <w:sz w:val="24"/>
          <w:szCs w:val="24"/>
        </w:rPr>
        <w:t>, 12(1), 33–47.</w:t>
      </w:r>
    </w:p>
    <w:p w14:paraId="3F93B348" w14:textId="77777777" w:rsidR="0000060D" w:rsidRPr="00BE4AF3" w:rsidRDefault="0000060D" w:rsidP="00204779">
      <w:pPr>
        <w:spacing w:after="0" w:line="240" w:lineRule="auto"/>
        <w:jc w:val="both"/>
        <w:rPr>
          <w:rFonts w:ascii="Times New Roman" w:hAnsi="Times New Roman" w:cs="Times New Roman"/>
          <w:i/>
          <w:sz w:val="24"/>
          <w:szCs w:val="24"/>
        </w:rPr>
      </w:pPr>
      <w:r w:rsidRPr="00BE4AF3">
        <w:rPr>
          <w:rFonts w:ascii="Times New Roman" w:hAnsi="Times New Roman" w:cs="Times New Roman"/>
          <w:sz w:val="24"/>
          <w:szCs w:val="24"/>
        </w:rPr>
        <w:t xml:space="preserve">Akinmoladun, O. F., &amp; Adegboye, T. O. (2022). Challenges of implementing Hydra-form </w:t>
      </w:r>
      <w:r w:rsidRPr="00BE4AF3">
        <w:rPr>
          <w:rFonts w:ascii="Times New Roman" w:hAnsi="Times New Roman" w:cs="Times New Roman"/>
          <w:sz w:val="24"/>
          <w:szCs w:val="24"/>
        </w:rPr>
        <w:tab/>
        <w:t xml:space="preserve">brick technology in Nigeria: A case study of teacher housing in Abuja. </w:t>
      </w:r>
      <w:r w:rsidRPr="00BE4AF3">
        <w:rPr>
          <w:rFonts w:ascii="Times New Roman" w:hAnsi="Times New Roman" w:cs="Times New Roman"/>
          <w:i/>
          <w:sz w:val="24"/>
          <w:szCs w:val="24"/>
        </w:rPr>
        <w:t xml:space="preserve">Journal </w:t>
      </w:r>
      <w:r w:rsidRPr="00BE4AF3">
        <w:rPr>
          <w:rFonts w:ascii="Times New Roman" w:hAnsi="Times New Roman" w:cs="Times New Roman"/>
          <w:i/>
          <w:sz w:val="24"/>
          <w:szCs w:val="24"/>
        </w:rPr>
        <w:tab/>
        <w:t xml:space="preserve">of </w:t>
      </w:r>
      <w:r w:rsidRPr="00BE4AF3">
        <w:rPr>
          <w:rFonts w:ascii="Times New Roman" w:hAnsi="Times New Roman" w:cs="Times New Roman"/>
          <w:i/>
          <w:sz w:val="24"/>
          <w:szCs w:val="24"/>
        </w:rPr>
        <w:tab/>
        <w:t>Building</w:t>
      </w:r>
      <w:r w:rsidRPr="00BE4AF3">
        <w:rPr>
          <w:rFonts w:ascii="Times New Roman" w:hAnsi="Times New Roman" w:cs="Times New Roman"/>
          <w:i/>
          <w:sz w:val="24"/>
          <w:szCs w:val="24"/>
        </w:rPr>
        <w:tab/>
        <w:t xml:space="preserve"> Technology, 14(3), 77-89.</w:t>
      </w:r>
    </w:p>
    <w:p w14:paraId="20519B30"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Alagbe, O. A. (2011). Proximity and housing satisfaction in public servant housing estates in </w:t>
      </w:r>
      <w:r w:rsidRPr="00BE4AF3">
        <w:rPr>
          <w:rFonts w:ascii="Times New Roman" w:hAnsi="Times New Roman" w:cs="Times New Roman"/>
          <w:sz w:val="24"/>
          <w:szCs w:val="24"/>
        </w:rPr>
        <w:tab/>
        <w:t xml:space="preserve">Nigeria. </w:t>
      </w:r>
      <w:r w:rsidRPr="00BE4AF3">
        <w:rPr>
          <w:rFonts w:ascii="Times New Roman" w:hAnsi="Times New Roman" w:cs="Times New Roman"/>
          <w:i/>
          <w:sz w:val="24"/>
          <w:szCs w:val="24"/>
        </w:rPr>
        <w:t>Journal of Housing and the Built Environment</w:t>
      </w:r>
      <w:r w:rsidRPr="00BE4AF3">
        <w:rPr>
          <w:rFonts w:ascii="Times New Roman" w:hAnsi="Times New Roman" w:cs="Times New Roman"/>
          <w:sz w:val="24"/>
          <w:szCs w:val="24"/>
        </w:rPr>
        <w:t xml:space="preserve">, 26(1), 107–119. </w:t>
      </w:r>
      <w:r w:rsidRPr="00BE4AF3">
        <w:rPr>
          <w:rFonts w:ascii="Times New Roman" w:hAnsi="Times New Roman" w:cs="Times New Roman"/>
          <w:sz w:val="24"/>
          <w:szCs w:val="24"/>
        </w:rPr>
        <w:tab/>
        <w:t>https://doi.org/10.1007/s10901-010-9192-5</w:t>
      </w:r>
    </w:p>
    <w:p w14:paraId="75BB4598"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Aneke, F. I., Awuzie, B. O., Mostafa, M. M. H., &amp; Okorafor, C. (2021). Durability </w:t>
      </w:r>
      <w:r w:rsidRPr="00BE4AF3">
        <w:rPr>
          <w:rFonts w:ascii="Times New Roman" w:hAnsi="Times New Roman" w:cs="Times New Roman"/>
          <w:sz w:val="24"/>
          <w:szCs w:val="24"/>
        </w:rPr>
        <w:tab/>
        <w:t xml:space="preserve">Assessment and Microstructure of High-Strength Performance </w:t>
      </w:r>
      <w:r w:rsidRPr="00BE4AF3">
        <w:rPr>
          <w:rFonts w:ascii="Times New Roman" w:hAnsi="Times New Roman" w:cs="Times New Roman"/>
          <w:i/>
          <w:sz w:val="24"/>
          <w:szCs w:val="24"/>
        </w:rPr>
        <w:t xml:space="preserve">Bricks Produced from </w:t>
      </w:r>
      <w:r w:rsidRPr="00BE4AF3">
        <w:rPr>
          <w:rFonts w:ascii="Times New Roman" w:hAnsi="Times New Roman" w:cs="Times New Roman"/>
          <w:i/>
          <w:sz w:val="24"/>
          <w:szCs w:val="24"/>
        </w:rPr>
        <w:tab/>
        <w:t xml:space="preserve">PET Waste and Foundry Sand. Materials, </w:t>
      </w:r>
      <w:r w:rsidRPr="00BE4AF3">
        <w:rPr>
          <w:rFonts w:ascii="Times New Roman" w:hAnsi="Times New Roman" w:cs="Times New Roman"/>
          <w:sz w:val="24"/>
          <w:szCs w:val="24"/>
        </w:rPr>
        <w:t xml:space="preserve">14(19), 5635. </w:t>
      </w:r>
      <w:r w:rsidRPr="00BE4AF3">
        <w:rPr>
          <w:rFonts w:ascii="Times New Roman" w:hAnsi="Times New Roman" w:cs="Times New Roman"/>
          <w:sz w:val="24"/>
          <w:szCs w:val="24"/>
        </w:rPr>
        <w:tab/>
        <w:t xml:space="preserve">https://doi.org/10.3390/ma14195635 </w:t>
      </w:r>
    </w:p>
    <w:p w14:paraId="2C69CB29"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Ayedun, C., Durodola, O., &amp; Akinjare, O. (2020). Cost implications of building materials in </w:t>
      </w:r>
      <w:r w:rsidRPr="00BE4AF3">
        <w:rPr>
          <w:rFonts w:ascii="Times New Roman" w:hAnsi="Times New Roman" w:cs="Times New Roman"/>
          <w:sz w:val="24"/>
          <w:szCs w:val="24"/>
        </w:rPr>
        <w:tab/>
        <w:t xml:space="preserve">affordable housing provision. </w:t>
      </w:r>
      <w:r w:rsidRPr="00BE4AF3">
        <w:rPr>
          <w:rFonts w:ascii="Times New Roman" w:hAnsi="Times New Roman" w:cs="Times New Roman"/>
          <w:i/>
          <w:sz w:val="24"/>
          <w:szCs w:val="24"/>
        </w:rPr>
        <w:t>Journal of Construction Economics</w:t>
      </w:r>
      <w:r w:rsidRPr="00BE4AF3">
        <w:rPr>
          <w:rFonts w:ascii="Times New Roman" w:hAnsi="Times New Roman" w:cs="Times New Roman"/>
          <w:sz w:val="24"/>
          <w:szCs w:val="24"/>
        </w:rPr>
        <w:t>, 14(3), 56–66.</w:t>
      </w:r>
    </w:p>
    <w:p w14:paraId="08C3CF4D" w14:textId="4F8ED1F5" w:rsidR="00204779"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Ebekozien, A., Aigbavboa, C. O., Samsurijan, M. S., Muhammad, A. K., &amp; Akinradewo, O. </w:t>
      </w:r>
      <w:r w:rsidRPr="00BE4AF3">
        <w:rPr>
          <w:rFonts w:ascii="Times New Roman" w:hAnsi="Times New Roman" w:cs="Times New Roman"/>
          <w:sz w:val="24"/>
          <w:szCs w:val="24"/>
        </w:rPr>
        <w:tab/>
        <w:t xml:space="preserve">(2025). Developing a framework for housing financing: a case study of Nigeria’s </w:t>
      </w:r>
      <w:r w:rsidRPr="00BE4AF3">
        <w:rPr>
          <w:rFonts w:ascii="Times New Roman" w:hAnsi="Times New Roman" w:cs="Times New Roman"/>
          <w:sz w:val="24"/>
          <w:szCs w:val="24"/>
        </w:rPr>
        <w:tab/>
        <w:t xml:space="preserve">sustainable low-cost housing via soft system methodology. </w:t>
      </w:r>
      <w:r w:rsidRPr="00BE4AF3">
        <w:rPr>
          <w:rFonts w:ascii="Times New Roman" w:hAnsi="Times New Roman" w:cs="Times New Roman"/>
          <w:i/>
          <w:sz w:val="24"/>
          <w:szCs w:val="24"/>
        </w:rPr>
        <w:t xml:space="preserve">Engineering, Construction </w:t>
      </w:r>
      <w:r w:rsidRPr="00BE4AF3">
        <w:rPr>
          <w:rFonts w:ascii="Times New Roman" w:hAnsi="Times New Roman" w:cs="Times New Roman"/>
          <w:i/>
          <w:sz w:val="24"/>
          <w:szCs w:val="24"/>
        </w:rPr>
        <w:tab/>
        <w:t xml:space="preserve">and Architectural Management, </w:t>
      </w:r>
      <w:r w:rsidRPr="00BE4AF3">
        <w:rPr>
          <w:rFonts w:ascii="Times New Roman" w:hAnsi="Times New Roman" w:cs="Times New Roman"/>
          <w:sz w:val="24"/>
          <w:szCs w:val="24"/>
        </w:rPr>
        <w:t xml:space="preserve">32(13), 27-48. </w:t>
      </w:r>
      <w:r w:rsidRPr="00BE4AF3">
        <w:rPr>
          <w:rFonts w:ascii="Times New Roman" w:hAnsi="Times New Roman" w:cs="Times New Roman"/>
          <w:sz w:val="24"/>
          <w:szCs w:val="24"/>
        </w:rPr>
        <w:tab/>
      </w:r>
      <w:hyperlink r:id="rId214" w:history="1">
        <w:r w:rsidR="00204779" w:rsidRPr="00373AB2">
          <w:rPr>
            <w:rStyle w:val="Hyperlink"/>
            <w:rFonts w:ascii="Times New Roman" w:hAnsi="Times New Roman" w:cs="Times New Roman"/>
            <w:sz w:val="24"/>
            <w:szCs w:val="24"/>
          </w:rPr>
          <w:t>https://doi.org/10.1108/ECAM-09-</w:t>
        </w:r>
      </w:hyperlink>
    </w:p>
    <w:p w14:paraId="71A3AFF2" w14:textId="254473C6" w:rsidR="0000060D" w:rsidRPr="00BE4AF3" w:rsidRDefault="00204779" w:rsidP="0020477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0060D" w:rsidRPr="00BE4AF3">
        <w:rPr>
          <w:rFonts w:ascii="Times New Roman" w:hAnsi="Times New Roman" w:cs="Times New Roman"/>
          <w:sz w:val="24"/>
          <w:szCs w:val="24"/>
        </w:rPr>
        <w:t xml:space="preserve">2023-0895  </w:t>
      </w:r>
    </w:p>
    <w:p w14:paraId="2FA1BEC4"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Ezeokoli, F. O., &amp; Okonkwo, C. I. (2013). Residential environments and community </w:t>
      </w:r>
      <w:r w:rsidRPr="00BE4AF3">
        <w:rPr>
          <w:rFonts w:ascii="Times New Roman" w:hAnsi="Times New Roman" w:cs="Times New Roman"/>
          <w:sz w:val="24"/>
          <w:szCs w:val="24"/>
        </w:rPr>
        <w:tab/>
        <w:t xml:space="preserve">integration in institutional housing. </w:t>
      </w:r>
      <w:r w:rsidRPr="00BE4AF3">
        <w:rPr>
          <w:rFonts w:ascii="Times New Roman" w:hAnsi="Times New Roman" w:cs="Times New Roman"/>
          <w:i/>
          <w:sz w:val="24"/>
          <w:szCs w:val="24"/>
        </w:rPr>
        <w:t>Journal of Housing Studies</w:t>
      </w:r>
      <w:r w:rsidRPr="00BE4AF3">
        <w:rPr>
          <w:rFonts w:ascii="Times New Roman" w:hAnsi="Times New Roman" w:cs="Times New Roman"/>
          <w:sz w:val="24"/>
          <w:szCs w:val="24"/>
        </w:rPr>
        <w:t xml:space="preserve">, 27(4), 593–610. </w:t>
      </w:r>
      <w:r w:rsidRPr="00BE4AF3">
        <w:rPr>
          <w:rFonts w:ascii="Times New Roman" w:hAnsi="Times New Roman" w:cs="Times New Roman"/>
          <w:sz w:val="24"/>
          <w:szCs w:val="24"/>
        </w:rPr>
        <w:tab/>
        <w:t>https://doi.org/10.1080/02673037.2013.765390</w:t>
      </w:r>
    </w:p>
    <w:p w14:paraId="6B2035C0"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lastRenderedPageBreak/>
        <w:t xml:space="preserve">Furgasa, B. N., Jote, F. S., &amp; Tilahun, N. B. (2022). Study on the Suitability of Soils in Ilu </w:t>
      </w:r>
      <w:r w:rsidRPr="00BE4AF3">
        <w:rPr>
          <w:rFonts w:ascii="Times New Roman" w:hAnsi="Times New Roman" w:cs="Times New Roman"/>
          <w:sz w:val="24"/>
          <w:szCs w:val="24"/>
        </w:rPr>
        <w:tab/>
        <w:t xml:space="preserve">Aba Bora Zone for Hydra-form Block Production for Low Cost Construction. </w:t>
      </w:r>
      <w:r w:rsidRPr="00BE4AF3">
        <w:rPr>
          <w:rFonts w:ascii="Times New Roman" w:hAnsi="Times New Roman" w:cs="Times New Roman"/>
          <w:i/>
          <w:sz w:val="24"/>
          <w:szCs w:val="24"/>
        </w:rPr>
        <w:t xml:space="preserve">Journal of </w:t>
      </w:r>
      <w:r w:rsidRPr="00BE4AF3">
        <w:rPr>
          <w:rFonts w:ascii="Times New Roman" w:hAnsi="Times New Roman" w:cs="Times New Roman"/>
          <w:i/>
          <w:sz w:val="24"/>
          <w:szCs w:val="24"/>
        </w:rPr>
        <w:tab/>
        <w:t xml:space="preserve">Building Material Science, </w:t>
      </w:r>
      <w:r w:rsidRPr="00BE4AF3">
        <w:rPr>
          <w:rFonts w:ascii="Times New Roman" w:hAnsi="Times New Roman" w:cs="Times New Roman"/>
          <w:sz w:val="24"/>
          <w:szCs w:val="24"/>
        </w:rPr>
        <w:t xml:space="preserve">3(1). https://doi.org/10.30564/jbms.v3i1.3156 </w:t>
      </w:r>
    </w:p>
    <w:p w14:paraId="5F5C71A1" w14:textId="77777777" w:rsidR="00204779"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Imohnikhe, R. J., Akinlabi, E. T., &amp; Ogundipe, O. M. (2020). Comparative cost analysis </w:t>
      </w:r>
      <w:r w:rsidRPr="00BE4AF3">
        <w:rPr>
          <w:rFonts w:ascii="Times New Roman" w:hAnsi="Times New Roman" w:cs="Times New Roman"/>
          <w:sz w:val="24"/>
          <w:szCs w:val="24"/>
        </w:rPr>
        <w:tab/>
        <w:t>between Hydraform interlocking brick and sandcrete block as walling materials for</w:t>
      </w:r>
      <w:r w:rsidRPr="00BE4AF3">
        <w:rPr>
          <w:rFonts w:ascii="Times New Roman" w:hAnsi="Times New Roman" w:cs="Times New Roman"/>
          <w:sz w:val="24"/>
          <w:szCs w:val="24"/>
        </w:rPr>
        <w:tab/>
      </w:r>
      <w:r w:rsidRPr="00BE4AF3">
        <w:rPr>
          <w:rFonts w:ascii="Times New Roman" w:hAnsi="Times New Roman" w:cs="Times New Roman"/>
          <w:sz w:val="24"/>
          <w:szCs w:val="24"/>
        </w:rPr>
        <w:tab/>
        <w:t>low-cost housing development in Nigeria</w:t>
      </w:r>
      <w:r w:rsidRPr="00BE4AF3">
        <w:rPr>
          <w:rFonts w:ascii="Times New Roman" w:hAnsi="Times New Roman" w:cs="Times New Roman"/>
          <w:i/>
          <w:sz w:val="24"/>
          <w:szCs w:val="24"/>
        </w:rPr>
        <w:t>. Journal of Natural Sciences Research</w:t>
      </w:r>
      <w:r w:rsidRPr="00BE4AF3">
        <w:rPr>
          <w:rFonts w:ascii="Times New Roman" w:hAnsi="Times New Roman" w:cs="Times New Roman"/>
          <w:sz w:val="24"/>
          <w:szCs w:val="24"/>
        </w:rPr>
        <w:t xml:space="preserve">, </w:t>
      </w:r>
    </w:p>
    <w:p w14:paraId="4DBAEAB4" w14:textId="640DE52E" w:rsidR="0000060D" w:rsidRPr="00BE4AF3" w:rsidRDefault="00204779" w:rsidP="0020477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0060D" w:rsidRPr="00BE4AF3">
        <w:rPr>
          <w:rFonts w:ascii="Times New Roman" w:hAnsi="Times New Roman" w:cs="Times New Roman"/>
          <w:sz w:val="24"/>
          <w:szCs w:val="24"/>
        </w:rPr>
        <w:t xml:space="preserve">11(22), </w:t>
      </w:r>
      <w:r w:rsidR="0000060D" w:rsidRPr="00BE4AF3">
        <w:rPr>
          <w:rFonts w:ascii="Times New Roman" w:hAnsi="Times New Roman" w:cs="Times New Roman"/>
          <w:sz w:val="24"/>
          <w:szCs w:val="24"/>
        </w:rPr>
        <w:tab/>
        <w:t>58–</w:t>
      </w:r>
      <w:r w:rsidR="0000060D" w:rsidRPr="00BE4AF3">
        <w:rPr>
          <w:rFonts w:ascii="Times New Roman" w:hAnsi="Times New Roman" w:cs="Times New Roman"/>
          <w:sz w:val="24"/>
          <w:szCs w:val="24"/>
        </w:rPr>
        <w:tab/>
        <w:t>65. https://doi.org/10.7176/JNSR/11-22-07</w:t>
      </w:r>
    </w:p>
    <w:p w14:paraId="16CAE139"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Kuroshi, P. A. (2014). Maintenance of public housing estates in Abuja: Challenges and </w:t>
      </w:r>
      <w:r w:rsidRPr="00BE4AF3">
        <w:rPr>
          <w:rFonts w:ascii="Times New Roman" w:hAnsi="Times New Roman" w:cs="Times New Roman"/>
          <w:sz w:val="24"/>
          <w:szCs w:val="24"/>
        </w:rPr>
        <w:tab/>
        <w:t xml:space="preserve">prospects. </w:t>
      </w:r>
      <w:r w:rsidRPr="00BE4AF3">
        <w:rPr>
          <w:rFonts w:ascii="Times New Roman" w:hAnsi="Times New Roman" w:cs="Times New Roman"/>
          <w:i/>
          <w:sz w:val="24"/>
          <w:szCs w:val="24"/>
        </w:rPr>
        <w:t>Journal of Housing and the Built Environment</w:t>
      </w:r>
      <w:r w:rsidRPr="00BE4AF3">
        <w:rPr>
          <w:rFonts w:ascii="Times New Roman" w:hAnsi="Times New Roman" w:cs="Times New Roman"/>
          <w:sz w:val="24"/>
          <w:szCs w:val="24"/>
        </w:rPr>
        <w:t xml:space="preserve">, 29(2), 289–304. </w:t>
      </w:r>
      <w:r w:rsidRPr="00BE4AF3">
        <w:rPr>
          <w:rFonts w:ascii="Times New Roman" w:hAnsi="Times New Roman" w:cs="Times New Roman"/>
          <w:sz w:val="24"/>
          <w:szCs w:val="24"/>
        </w:rPr>
        <w:tab/>
        <w:t>https://doi.org/10.1007/s10901-013-9360-9</w:t>
      </w:r>
    </w:p>
    <w:p w14:paraId="002EF56B"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Odoyi, E. J., &amp; Riekkinen, K. (2022). Housing Policy: An Analysis of Public Housing Policy </w:t>
      </w:r>
      <w:r w:rsidRPr="00BE4AF3">
        <w:rPr>
          <w:rFonts w:ascii="Times New Roman" w:hAnsi="Times New Roman" w:cs="Times New Roman"/>
          <w:sz w:val="24"/>
          <w:szCs w:val="24"/>
        </w:rPr>
        <w:tab/>
        <w:t>Strategies for Low-Income Earners in Nigeria.</w:t>
      </w:r>
      <w:r w:rsidRPr="00BE4AF3">
        <w:rPr>
          <w:rFonts w:ascii="Times New Roman" w:hAnsi="Times New Roman" w:cs="Times New Roman"/>
          <w:i/>
          <w:sz w:val="24"/>
          <w:szCs w:val="24"/>
        </w:rPr>
        <w:t xml:space="preserve"> Sustainability,</w:t>
      </w:r>
      <w:r w:rsidRPr="00BE4AF3">
        <w:rPr>
          <w:rFonts w:ascii="Times New Roman" w:hAnsi="Times New Roman" w:cs="Times New Roman"/>
          <w:sz w:val="24"/>
          <w:szCs w:val="24"/>
        </w:rPr>
        <w:t xml:space="preserve"> 14(4), 2258. </w:t>
      </w:r>
      <w:r w:rsidRPr="00BE4AF3">
        <w:rPr>
          <w:rFonts w:ascii="Times New Roman" w:hAnsi="Times New Roman" w:cs="Times New Roman"/>
          <w:sz w:val="24"/>
          <w:szCs w:val="24"/>
        </w:rPr>
        <w:tab/>
        <w:t xml:space="preserve">https://doi.org/10.3390/su14042258 </w:t>
      </w:r>
    </w:p>
    <w:p w14:paraId="2489B5B5"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Odunjo, O. O., &amp; Okanlawon, S. A. (2024). Sustainable Housing Finance Provision in Nigeria. </w:t>
      </w:r>
      <w:r w:rsidRPr="00BE4AF3">
        <w:rPr>
          <w:rFonts w:ascii="Times New Roman" w:hAnsi="Times New Roman" w:cs="Times New Roman"/>
          <w:sz w:val="24"/>
          <w:szCs w:val="24"/>
        </w:rPr>
        <w:tab/>
        <w:t xml:space="preserve">Developing Country Studies, 14(5). </w:t>
      </w:r>
    </w:p>
    <w:p w14:paraId="520C9E32"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Ogunbode, A., Bello, I., &amp; Ojo, S. (2021). Compressed earth blocks as a sustainable material </w:t>
      </w:r>
      <w:r w:rsidRPr="00BE4AF3">
        <w:rPr>
          <w:rFonts w:ascii="Times New Roman" w:hAnsi="Times New Roman" w:cs="Times New Roman"/>
          <w:sz w:val="24"/>
          <w:szCs w:val="24"/>
        </w:rPr>
        <w:tab/>
        <w:t xml:space="preserve">for affordable housing. </w:t>
      </w:r>
      <w:r w:rsidRPr="00BE4AF3">
        <w:rPr>
          <w:rFonts w:ascii="Times New Roman" w:hAnsi="Times New Roman" w:cs="Times New Roman"/>
          <w:i/>
          <w:sz w:val="24"/>
          <w:szCs w:val="24"/>
        </w:rPr>
        <w:t>Journal of Civil Engineering Research</w:t>
      </w:r>
      <w:r w:rsidRPr="00BE4AF3">
        <w:rPr>
          <w:rFonts w:ascii="Times New Roman" w:hAnsi="Times New Roman" w:cs="Times New Roman"/>
          <w:sz w:val="24"/>
          <w:szCs w:val="24"/>
        </w:rPr>
        <w:t>, 15(2), 77–86.</w:t>
      </w:r>
    </w:p>
    <w:p w14:paraId="491DCA4B"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Olaleye, O. O., &amp; Ibitoye, T. (2023). Architect’s response on utilisation of interlocking </w:t>
      </w:r>
      <w:r w:rsidRPr="00BE4AF3">
        <w:rPr>
          <w:rFonts w:ascii="Times New Roman" w:hAnsi="Times New Roman" w:cs="Times New Roman"/>
          <w:sz w:val="24"/>
          <w:szCs w:val="24"/>
        </w:rPr>
        <w:tab/>
        <w:t xml:space="preserve">stabilised soil blocks as an alternative building material for housing projects in </w:t>
      </w:r>
      <w:r w:rsidRPr="00BE4AF3">
        <w:rPr>
          <w:rFonts w:ascii="Times New Roman" w:hAnsi="Times New Roman" w:cs="Times New Roman"/>
          <w:sz w:val="24"/>
          <w:szCs w:val="24"/>
        </w:rPr>
        <w:tab/>
        <w:t xml:space="preserve">Southwest Nigeria. </w:t>
      </w:r>
      <w:r w:rsidRPr="00BE4AF3">
        <w:rPr>
          <w:rFonts w:ascii="Times New Roman" w:hAnsi="Times New Roman" w:cs="Times New Roman"/>
          <w:i/>
          <w:sz w:val="24"/>
          <w:szCs w:val="24"/>
        </w:rPr>
        <w:t>FUDMA Journal of Sciences,</w:t>
      </w:r>
      <w:r w:rsidRPr="00BE4AF3">
        <w:rPr>
          <w:rFonts w:ascii="Times New Roman" w:hAnsi="Times New Roman" w:cs="Times New Roman"/>
          <w:sz w:val="24"/>
          <w:szCs w:val="24"/>
        </w:rPr>
        <w:t xml:space="preserve"> 6(5), 57–65. </w:t>
      </w:r>
      <w:r w:rsidRPr="00BE4AF3">
        <w:rPr>
          <w:rFonts w:ascii="Times New Roman" w:hAnsi="Times New Roman" w:cs="Times New Roman"/>
          <w:sz w:val="24"/>
          <w:szCs w:val="24"/>
        </w:rPr>
        <w:tab/>
        <w:t>https://doi.org/10.33003/fjs-2022-0605-1191</w:t>
      </w:r>
    </w:p>
    <w:p w14:paraId="0DBD8BE7" w14:textId="199E32A7" w:rsidR="00204779"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Olanrewaju, A. L., &amp; Abdul-Aziz, A. R. (2015). Building maintenance processes and </w:t>
      </w:r>
      <w:r w:rsidRPr="00BE4AF3">
        <w:rPr>
          <w:rFonts w:ascii="Times New Roman" w:hAnsi="Times New Roman" w:cs="Times New Roman"/>
          <w:sz w:val="24"/>
          <w:szCs w:val="24"/>
        </w:rPr>
        <w:tab/>
        <w:t xml:space="preserve">practices: </w:t>
      </w:r>
      <w:r w:rsidRPr="00BE4AF3">
        <w:rPr>
          <w:rFonts w:ascii="Times New Roman" w:hAnsi="Times New Roman" w:cs="Times New Roman"/>
          <w:i/>
          <w:sz w:val="24"/>
          <w:szCs w:val="24"/>
        </w:rPr>
        <w:t>The case of a fast developing country. Springer</w:t>
      </w:r>
      <w:r w:rsidRPr="00BE4AF3">
        <w:rPr>
          <w:rFonts w:ascii="Times New Roman" w:hAnsi="Times New Roman" w:cs="Times New Roman"/>
          <w:sz w:val="24"/>
          <w:szCs w:val="24"/>
        </w:rPr>
        <w:t xml:space="preserve">. </w:t>
      </w:r>
      <w:r w:rsidRPr="00BE4AF3">
        <w:rPr>
          <w:rFonts w:ascii="Times New Roman" w:hAnsi="Times New Roman" w:cs="Times New Roman"/>
          <w:sz w:val="24"/>
          <w:szCs w:val="24"/>
        </w:rPr>
        <w:tab/>
      </w:r>
      <w:hyperlink r:id="rId215" w:history="1">
        <w:r w:rsidR="00204779" w:rsidRPr="00373AB2">
          <w:rPr>
            <w:rStyle w:val="Hyperlink"/>
            <w:rFonts w:ascii="Times New Roman" w:hAnsi="Times New Roman" w:cs="Times New Roman"/>
            <w:sz w:val="24"/>
            <w:szCs w:val="24"/>
          </w:rPr>
          <w:t>https://doi.org/10.1007/978-</w:t>
        </w:r>
      </w:hyperlink>
    </w:p>
    <w:p w14:paraId="16E668D4" w14:textId="35FE7E97" w:rsidR="0000060D" w:rsidRPr="00BE4AF3" w:rsidRDefault="00204779" w:rsidP="0020477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0060D" w:rsidRPr="00BE4AF3">
        <w:rPr>
          <w:rFonts w:ascii="Times New Roman" w:hAnsi="Times New Roman" w:cs="Times New Roman"/>
          <w:sz w:val="24"/>
          <w:szCs w:val="24"/>
        </w:rPr>
        <w:t>981-287-263-0</w:t>
      </w:r>
    </w:p>
    <w:p w14:paraId="20504EBB"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Olanrewaju, A., &amp; Woon, T. (2019). Housing policies and affordability challenges in </w:t>
      </w:r>
      <w:r w:rsidRPr="00BE4AF3">
        <w:rPr>
          <w:rFonts w:ascii="Times New Roman" w:hAnsi="Times New Roman" w:cs="Times New Roman"/>
          <w:sz w:val="24"/>
          <w:szCs w:val="24"/>
        </w:rPr>
        <w:tab/>
        <w:t xml:space="preserve">developing countries. </w:t>
      </w:r>
      <w:r w:rsidRPr="00BE4AF3">
        <w:rPr>
          <w:rFonts w:ascii="Times New Roman" w:hAnsi="Times New Roman" w:cs="Times New Roman"/>
          <w:i/>
          <w:sz w:val="24"/>
          <w:szCs w:val="24"/>
        </w:rPr>
        <w:t>Habitat International,</w:t>
      </w:r>
      <w:r w:rsidRPr="00BE4AF3">
        <w:rPr>
          <w:rFonts w:ascii="Times New Roman" w:hAnsi="Times New Roman" w:cs="Times New Roman"/>
          <w:sz w:val="24"/>
          <w:szCs w:val="24"/>
        </w:rPr>
        <w:t xml:space="preserve"> 87, 11–19.</w:t>
      </w:r>
    </w:p>
    <w:p w14:paraId="43E91AE0"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Olanrewaju, A., &amp; Woon, T. C. (2019). An exploration of determinants of affordable housing </w:t>
      </w:r>
      <w:r w:rsidRPr="00BE4AF3">
        <w:rPr>
          <w:rFonts w:ascii="Times New Roman" w:hAnsi="Times New Roman" w:cs="Times New Roman"/>
          <w:sz w:val="24"/>
          <w:szCs w:val="24"/>
        </w:rPr>
        <w:tab/>
        <w:t xml:space="preserve">choice. International </w:t>
      </w:r>
      <w:r w:rsidRPr="00BE4AF3">
        <w:rPr>
          <w:rFonts w:ascii="Times New Roman" w:hAnsi="Times New Roman" w:cs="Times New Roman"/>
          <w:i/>
          <w:sz w:val="24"/>
          <w:szCs w:val="24"/>
        </w:rPr>
        <w:t>Journal of Housing Markets and Analysis</w:t>
      </w:r>
      <w:r w:rsidRPr="00BE4AF3">
        <w:rPr>
          <w:rFonts w:ascii="Times New Roman" w:hAnsi="Times New Roman" w:cs="Times New Roman"/>
          <w:sz w:val="24"/>
          <w:szCs w:val="24"/>
        </w:rPr>
        <w:t xml:space="preserve">, 12(5), 783–798. </w:t>
      </w:r>
      <w:r w:rsidRPr="00BE4AF3">
        <w:rPr>
          <w:rFonts w:ascii="Times New Roman" w:hAnsi="Times New Roman" w:cs="Times New Roman"/>
          <w:sz w:val="24"/>
          <w:szCs w:val="24"/>
        </w:rPr>
        <w:tab/>
        <w:t>https://doi.org/10.1108/IJHMA-11-2016-0074</w:t>
      </w:r>
    </w:p>
    <w:p w14:paraId="60B8CD07"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Olawuyi, D., Ogunyemi, B., &amp; Chukwu, C. (2022). Sustainable housing and the role of </w:t>
      </w:r>
      <w:r w:rsidRPr="00BE4AF3">
        <w:rPr>
          <w:rFonts w:ascii="Times New Roman" w:hAnsi="Times New Roman" w:cs="Times New Roman"/>
          <w:sz w:val="24"/>
          <w:szCs w:val="24"/>
        </w:rPr>
        <w:tab/>
        <w:t xml:space="preserve">alternative building materials in Nigeria. </w:t>
      </w:r>
      <w:r w:rsidRPr="00BE4AF3">
        <w:rPr>
          <w:rFonts w:ascii="Times New Roman" w:hAnsi="Times New Roman" w:cs="Times New Roman"/>
          <w:i/>
          <w:sz w:val="24"/>
          <w:szCs w:val="24"/>
        </w:rPr>
        <w:t>Journal of Sustainable Development in Africa,</w:t>
      </w:r>
      <w:r w:rsidRPr="00BE4AF3">
        <w:rPr>
          <w:rFonts w:ascii="Times New Roman" w:hAnsi="Times New Roman" w:cs="Times New Roman"/>
          <w:sz w:val="24"/>
          <w:szCs w:val="24"/>
        </w:rPr>
        <w:tab/>
        <w:t>24(6), 55–70.</w:t>
      </w:r>
    </w:p>
    <w:p w14:paraId="2C9E7497"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Oloruntoba, S. A., &amp; Awotona, A. (2013). Water conservation in housing design: The Nigerian </w:t>
      </w:r>
      <w:r w:rsidRPr="00BE4AF3">
        <w:rPr>
          <w:rFonts w:ascii="Times New Roman" w:hAnsi="Times New Roman" w:cs="Times New Roman"/>
          <w:sz w:val="24"/>
          <w:szCs w:val="24"/>
        </w:rPr>
        <w:tab/>
        <w:t xml:space="preserve">experience. </w:t>
      </w:r>
      <w:r w:rsidRPr="00BE4AF3">
        <w:rPr>
          <w:rFonts w:ascii="Times New Roman" w:hAnsi="Times New Roman" w:cs="Times New Roman"/>
          <w:i/>
          <w:sz w:val="24"/>
          <w:szCs w:val="24"/>
        </w:rPr>
        <w:t>Journal of Sustainable Water Resources</w:t>
      </w:r>
      <w:r w:rsidRPr="00BE4AF3">
        <w:rPr>
          <w:rFonts w:ascii="Times New Roman" w:hAnsi="Times New Roman" w:cs="Times New Roman"/>
          <w:sz w:val="24"/>
          <w:szCs w:val="24"/>
        </w:rPr>
        <w:t xml:space="preserve">, 4(1), 23–31. </w:t>
      </w:r>
      <w:r w:rsidRPr="00BE4AF3">
        <w:rPr>
          <w:rFonts w:ascii="Times New Roman" w:hAnsi="Times New Roman" w:cs="Times New Roman"/>
          <w:sz w:val="24"/>
          <w:szCs w:val="24"/>
        </w:rPr>
        <w:tab/>
        <w:t>https://doi.org/10.1080/21680566.2013.789612</w:t>
      </w:r>
    </w:p>
    <w:p w14:paraId="55EB7FAC"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Olotuah, A. O., &amp; Bobadoye, S. A. (2010). Sustainable housing provision for the urban poor: </w:t>
      </w:r>
      <w:r w:rsidRPr="00BE4AF3">
        <w:rPr>
          <w:rFonts w:ascii="Times New Roman" w:hAnsi="Times New Roman" w:cs="Times New Roman"/>
          <w:sz w:val="24"/>
          <w:szCs w:val="24"/>
        </w:rPr>
        <w:tab/>
        <w:t>A review of public sector intervention in Nigeria</w:t>
      </w:r>
      <w:r w:rsidRPr="00BE4AF3">
        <w:rPr>
          <w:rFonts w:ascii="Times New Roman" w:hAnsi="Times New Roman" w:cs="Times New Roman"/>
          <w:i/>
          <w:sz w:val="24"/>
          <w:szCs w:val="24"/>
        </w:rPr>
        <w:t xml:space="preserve">. The Built &amp; Human Environment </w:t>
      </w:r>
      <w:r w:rsidRPr="00BE4AF3">
        <w:rPr>
          <w:rFonts w:ascii="Times New Roman" w:hAnsi="Times New Roman" w:cs="Times New Roman"/>
          <w:i/>
          <w:sz w:val="24"/>
          <w:szCs w:val="24"/>
        </w:rPr>
        <w:tab/>
        <w:t>Review</w:t>
      </w:r>
      <w:r w:rsidRPr="00BE4AF3">
        <w:rPr>
          <w:rFonts w:ascii="Times New Roman" w:hAnsi="Times New Roman" w:cs="Times New Roman"/>
          <w:sz w:val="24"/>
          <w:szCs w:val="24"/>
        </w:rPr>
        <w:t>, 3(2), 51–63. https://doi.org/10.1080/19491247.2010.491250</w:t>
      </w:r>
    </w:p>
    <w:p w14:paraId="468DD9E0"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Olubunmi, O., Akinola, A., &amp; Salisu, T. (2019). Environmental impacts of conventional </w:t>
      </w:r>
      <w:r w:rsidRPr="00BE4AF3">
        <w:rPr>
          <w:rFonts w:ascii="Times New Roman" w:hAnsi="Times New Roman" w:cs="Times New Roman"/>
          <w:sz w:val="24"/>
          <w:szCs w:val="24"/>
        </w:rPr>
        <w:tab/>
        <w:t xml:space="preserve">housing materials in Nigeria. </w:t>
      </w:r>
      <w:r w:rsidRPr="00BE4AF3">
        <w:rPr>
          <w:rFonts w:ascii="Times New Roman" w:hAnsi="Times New Roman" w:cs="Times New Roman"/>
          <w:i/>
          <w:sz w:val="24"/>
          <w:szCs w:val="24"/>
        </w:rPr>
        <w:t>Environmental Development Review</w:t>
      </w:r>
      <w:r w:rsidRPr="00BE4AF3">
        <w:rPr>
          <w:rFonts w:ascii="Times New Roman" w:hAnsi="Times New Roman" w:cs="Times New Roman"/>
          <w:sz w:val="24"/>
          <w:szCs w:val="24"/>
        </w:rPr>
        <w:t>, 7(1), 65–78.</w:t>
      </w:r>
    </w:p>
    <w:p w14:paraId="4AEC51E6"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Onugba, M. A., Eze, C. O., Egbunu, D., &amp; Alhassan, Y. A. (2025). Effect of Rice Husk </w:t>
      </w:r>
      <w:r w:rsidRPr="00BE4AF3">
        <w:rPr>
          <w:rFonts w:ascii="Times New Roman" w:hAnsi="Times New Roman" w:cs="Times New Roman"/>
          <w:sz w:val="24"/>
          <w:szCs w:val="24"/>
        </w:rPr>
        <w:tab/>
        <w:t xml:space="preserve">Reinforcement on Strength of Earth Blocks. </w:t>
      </w:r>
      <w:r w:rsidRPr="00BE4AF3">
        <w:rPr>
          <w:rFonts w:ascii="Times New Roman" w:hAnsi="Times New Roman" w:cs="Times New Roman"/>
          <w:i/>
          <w:sz w:val="24"/>
          <w:szCs w:val="24"/>
        </w:rPr>
        <w:t xml:space="preserve">Journal of Materials Science Research and </w:t>
      </w:r>
      <w:r w:rsidRPr="00BE4AF3">
        <w:rPr>
          <w:rFonts w:ascii="Times New Roman" w:hAnsi="Times New Roman" w:cs="Times New Roman"/>
          <w:i/>
          <w:sz w:val="24"/>
          <w:szCs w:val="24"/>
        </w:rPr>
        <w:tab/>
        <w:t xml:space="preserve">Reviews, </w:t>
      </w:r>
      <w:r w:rsidRPr="00BE4AF3">
        <w:rPr>
          <w:rFonts w:ascii="Times New Roman" w:hAnsi="Times New Roman" w:cs="Times New Roman"/>
          <w:sz w:val="24"/>
          <w:szCs w:val="24"/>
        </w:rPr>
        <w:t xml:space="preserve">8(1), 9-16. https://doi.org/10.9734/jmsrr/2025/v8i1376  </w:t>
      </w:r>
    </w:p>
    <w:p w14:paraId="670EB121"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Osuji, E. E., &amp; Oloruntoba, S. (2015). Performance of compressed stabilized earth blocks in </w:t>
      </w:r>
      <w:r w:rsidRPr="00BE4AF3">
        <w:rPr>
          <w:rFonts w:ascii="Times New Roman" w:hAnsi="Times New Roman" w:cs="Times New Roman"/>
          <w:sz w:val="24"/>
          <w:szCs w:val="24"/>
        </w:rPr>
        <w:tab/>
        <w:t xml:space="preserve">tropical climates. </w:t>
      </w:r>
      <w:r w:rsidRPr="00BE4AF3">
        <w:rPr>
          <w:rFonts w:ascii="Times New Roman" w:hAnsi="Times New Roman" w:cs="Times New Roman"/>
          <w:i/>
          <w:sz w:val="24"/>
          <w:szCs w:val="24"/>
        </w:rPr>
        <w:t>Journal of Building Performance,</w:t>
      </w:r>
      <w:r w:rsidRPr="00BE4AF3">
        <w:rPr>
          <w:rFonts w:ascii="Times New Roman" w:hAnsi="Times New Roman" w:cs="Times New Roman"/>
          <w:sz w:val="24"/>
          <w:szCs w:val="24"/>
        </w:rPr>
        <w:t xml:space="preserve"> 6(1), 23–31. </w:t>
      </w:r>
      <w:r w:rsidRPr="00BE4AF3">
        <w:rPr>
          <w:rFonts w:ascii="Times New Roman" w:hAnsi="Times New Roman" w:cs="Times New Roman"/>
          <w:sz w:val="24"/>
          <w:szCs w:val="24"/>
        </w:rPr>
        <w:tab/>
        <w:t>https://doi.org/10.1016/j.jobe.2014.12.003</w:t>
      </w:r>
    </w:p>
    <w:p w14:paraId="39AE3141"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Oyebanji, A. O., Liyanage, C., &amp; Akintoye, A. (2015). Critical success factors for inclusive </w:t>
      </w:r>
      <w:r w:rsidRPr="00BE4AF3">
        <w:rPr>
          <w:rFonts w:ascii="Times New Roman" w:hAnsi="Times New Roman" w:cs="Times New Roman"/>
          <w:sz w:val="24"/>
          <w:szCs w:val="24"/>
        </w:rPr>
        <w:tab/>
        <w:t xml:space="preserve">housing provision in Nigeria. Habitat International, 47, 187–194. </w:t>
      </w:r>
      <w:r w:rsidRPr="00BE4AF3">
        <w:rPr>
          <w:rFonts w:ascii="Times New Roman" w:hAnsi="Times New Roman" w:cs="Times New Roman"/>
          <w:sz w:val="24"/>
          <w:szCs w:val="24"/>
        </w:rPr>
        <w:tab/>
        <w:t>https://doi.org/10.1016/j.habitatint.2015.01.014</w:t>
      </w:r>
    </w:p>
    <w:p w14:paraId="6AA46486"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lastRenderedPageBreak/>
        <w:t xml:space="preserve">Uji, Z. A. (2011). Housing typology and affordability for Nigerian workers. </w:t>
      </w:r>
      <w:r w:rsidRPr="00BE4AF3">
        <w:rPr>
          <w:rFonts w:ascii="Times New Roman" w:hAnsi="Times New Roman" w:cs="Times New Roman"/>
          <w:i/>
          <w:sz w:val="24"/>
          <w:szCs w:val="24"/>
        </w:rPr>
        <w:t xml:space="preserve">Journal of </w:t>
      </w:r>
      <w:r w:rsidRPr="00BE4AF3">
        <w:rPr>
          <w:rFonts w:ascii="Times New Roman" w:hAnsi="Times New Roman" w:cs="Times New Roman"/>
          <w:i/>
          <w:sz w:val="24"/>
          <w:szCs w:val="24"/>
        </w:rPr>
        <w:tab/>
        <w:t>Environmental Design</w:t>
      </w:r>
      <w:r w:rsidRPr="00BE4AF3">
        <w:rPr>
          <w:rFonts w:ascii="Times New Roman" w:hAnsi="Times New Roman" w:cs="Times New Roman"/>
          <w:sz w:val="24"/>
          <w:szCs w:val="24"/>
        </w:rPr>
        <w:t>, 6(2), 45–54. https://doi.org/10.4314/jeds.v6i2.72116</w:t>
      </w:r>
    </w:p>
    <w:p w14:paraId="3FB167AF"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Waziri, B. S., Lawan, Z. A., &amp; Mustapha, M. M. (2013). Properties of Compressed Stabilized </w:t>
      </w:r>
      <w:r w:rsidRPr="00BE4AF3">
        <w:rPr>
          <w:rFonts w:ascii="Times New Roman" w:hAnsi="Times New Roman" w:cs="Times New Roman"/>
          <w:sz w:val="24"/>
          <w:szCs w:val="24"/>
        </w:rPr>
        <w:tab/>
        <w:t>Earth Blocks (CSEB) For Low-Cost Housing Construction: A Preliminary Investigation.</w:t>
      </w:r>
      <w:r w:rsidRPr="00BE4AF3">
        <w:rPr>
          <w:rFonts w:ascii="Times New Roman" w:hAnsi="Times New Roman" w:cs="Times New Roman"/>
          <w:sz w:val="24"/>
          <w:szCs w:val="24"/>
        </w:rPr>
        <w:tab/>
      </w:r>
      <w:r w:rsidRPr="00BE4AF3">
        <w:rPr>
          <w:rFonts w:ascii="Times New Roman" w:hAnsi="Times New Roman" w:cs="Times New Roman"/>
          <w:i/>
          <w:sz w:val="24"/>
          <w:szCs w:val="24"/>
        </w:rPr>
        <w:t>International Journal of Sustainable Construction Engineering and Technology</w:t>
      </w:r>
      <w:r w:rsidRPr="00BE4AF3">
        <w:rPr>
          <w:rFonts w:ascii="Times New Roman" w:hAnsi="Times New Roman" w:cs="Times New Roman"/>
          <w:sz w:val="24"/>
          <w:szCs w:val="24"/>
        </w:rPr>
        <w:t>, 4(2),</w:t>
      </w:r>
      <w:r w:rsidRPr="00BE4AF3">
        <w:rPr>
          <w:rFonts w:ascii="Times New Roman" w:hAnsi="Times New Roman" w:cs="Times New Roman"/>
          <w:sz w:val="24"/>
          <w:szCs w:val="24"/>
        </w:rPr>
        <w:tab/>
      </w:r>
      <w:r w:rsidRPr="00BE4AF3">
        <w:rPr>
          <w:rFonts w:ascii="Times New Roman" w:hAnsi="Times New Roman" w:cs="Times New Roman"/>
          <w:sz w:val="24"/>
          <w:szCs w:val="24"/>
        </w:rPr>
        <w:tab/>
        <w:t xml:space="preserve"> 39-46. </w:t>
      </w:r>
    </w:p>
    <w:p w14:paraId="13E379D8" w14:textId="77777777" w:rsidR="0000060D" w:rsidRPr="00BE4AF3" w:rsidRDefault="0000060D" w:rsidP="0020477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Zingfat, M. J., Mailafiya, B. Y., Garnvwa, J. D., &amp; Pyendang, Z. S. (2023). Capillary </w:t>
      </w:r>
      <w:r w:rsidRPr="00BE4AF3">
        <w:rPr>
          <w:rFonts w:ascii="Times New Roman" w:hAnsi="Times New Roman" w:cs="Times New Roman"/>
          <w:sz w:val="24"/>
          <w:szCs w:val="24"/>
        </w:rPr>
        <w:tab/>
        <w:t xml:space="preserve">Absorption of NBRRI Interlocking Compressed Stabilized Earth Blocks. </w:t>
      </w:r>
      <w:r w:rsidRPr="00BE4AF3">
        <w:rPr>
          <w:rFonts w:ascii="Times New Roman" w:hAnsi="Times New Roman" w:cs="Times New Roman"/>
          <w:i/>
          <w:sz w:val="24"/>
          <w:szCs w:val="24"/>
        </w:rPr>
        <w:t xml:space="preserve">African Journal </w:t>
      </w:r>
      <w:r w:rsidRPr="00BE4AF3">
        <w:rPr>
          <w:rFonts w:ascii="Times New Roman" w:hAnsi="Times New Roman" w:cs="Times New Roman"/>
          <w:i/>
          <w:sz w:val="24"/>
          <w:szCs w:val="24"/>
        </w:rPr>
        <w:tab/>
        <w:t xml:space="preserve">of Environment and Natural Science Research, </w:t>
      </w:r>
      <w:r w:rsidRPr="00BE4AF3">
        <w:rPr>
          <w:rFonts w:ascii="Times New Roman" w:hAnsi="Times New Roman" w:cs="Times New Roman"/>
          <w:sz w:val="24"/>
          <w:szCs w:val="24"/>
        </w:rPr>
        <w:t xml:space="preserve">1, 36-42. </w:t>
      </w:r>
      <w:r w:rsidRPr="00BE4AF3">
        <w:rPr>
          <w:rFonts w:ascii="Times New Roman" w:hAnsi="Times New Roman" w:cs="Times New Roman"/>
          <w:sz w:val="24"/>
          <w:szCs w:val="24"/>
        </w:rPr>
        <w:tab/>
        <w:t xml:space="preserve">https://doi.org/10.52589/ajensr-utmulkjh </w:t>
      </w:r>
    </w:p>
    <w:p w14:paraId="18C62212" w14:textId="77777777" w:rsidR="00EE3A8A" w:rsidRPr="00BE4AF3" w:rsidRDefault="00EE3A8A" w:rsidP="00116291">
      <w:pPr>
        <w:spacing w:after="0" w:line="240" w:lineRule="auto"/>
        <w:rPr>
          <w:rFonts w:ascii="Times New Roman" w:hAnsi="Times New Roman" w:cs="Times New Roman"/>
          <w:sz w:val="24"/>
          <w:szCs w:val="24"/>
          <w:lang w:val="en-US"/>
        </w:rPr>
      </w:pPr>
    </w:p>
    <w:p w14:paraId="034BB1DE" w14:textId="77777777" w:rsidR="00204779" w:rsidRDefault="00204779" w:rsidP="00116291">
      <w:pPr>
        <w:spacing w:after="0" w:line="240" w:lineRule="auto"/>
        <w:jc w:val="center"/>
        <w:rPr>
          <w:rFonts w:ascii="Times New Roman" w:hAnsi="Times New Roman" w:cs="Times New Roman"/>
          <w:b/>
          <w:sz w:val="24"/>
          <w:szCs w:val="24"/>
        </w:rPr>
      </w:pPr>
    </w:p>
    <w:p w14:paraId="55E62055" w14:textId="77777777" w:rsidR="00204779" w:rsidRDefault="00204779" w:rsidP="00116291">
      <w:pPr>
        <w:spacing w:after="0" w:line="240" w:lineRule="auto"/>
        <w:jc w:val="center"/>
        <w:rPr>
          <w:rFonts w:ascii="Times New Roman" w:hAnsi="Times New Roman" w:cs="Times New Roman"/>
          <w:b/>
          <w:sz w:val="24"/>
          <w:szCs w:val="24"/>
        </w:rPr>
      </w:pPr>
    </w:p>
    <w:p w14:paraId="76F28768" w14:textId="77777777" w:rsidR="00204779" w:rsidRDefault="00204779" w:rsidP="00116291">
      <w:pPr>
        <w:spacing w:after="0" w:line="240" w:lineRule="auto"/>
        <w:jc w:val="center"/>
        <w:rPr>
          <w:rFonts w:ascii="Times New Roman" w:hAnsi="Times New Roman" w:cs="Times New Roman"/>
          <w:b/>
          <w:sz w:val="24"/>
          <w:szCs w:val="24"/>
        </w:rPr>
      </w:pPr>
    </w:p>
    <w:p w14:paraId="5BFDC9FC" w14:textId="77777777" w:rsidR="00204779" w:rsidRDefault="00204779" w:rsidP="00116291">
      <w:pPr>
        <w:spacing w:after="0" w:line="240" w:lineRule="auto"/>
        <w:jc w:val="center"/>
        <w:rPr>
          <w:rFonts w:ascii="Times New Roman" w:hAnsi="Times New Roman" w:cs="Times New Roman"/>
          <w:b/>
          <w:sz w:val="24"/>
          <w:szCs w:val="24"/>
        </w:rPr>
      </w:pPr>
    </w:p>
    <w:p w14:paraId="108289F9" w14:textId="77777777" w:rsidR="00204779" w:rsidRDefault="00204779" w:rsidP="00116291">
      <w:pPr>
        <w:spacing w:after="0" w:line="240" w:lineRule="auto"/>
        <w:jc w:val="center"/>
        <w:rPr>
          <w:rFonts w:ascii="Times New Roman" w:hAnsi="Times New Roman" w:cs="Times New Roman"/>
          <w:b/>
          <w:sz w:val="24"/>
          <w:szCs w:val="24"/>
        </w:rPr>
      </w:pPr>
    </w:p>
    <w:p w14:paraId="775614A3" w14:textId="77777777" w:rsidR="00204779" w:rsidRDefault="00204779" w:rsidP="00116291">
      <w:pPr>
        <w:spacing w:after="0" w:line="240" w:lineRule="auto"/>
        <w:jc w:val="center"/>
        <w:rPr>
          <w:rFonts w:ascii="Times New Roman" w:hAnsi="Times New Roman" w:cs="Times New Roman"/>
          <w:b/>
          <w:sz w:val="24"/>
          <w:szCs w:val="24"/>
        </w:rPr>
      </w:pPr>
    </w:p>
    <w:p w14:paraId="304BB27C" w14:textId="77777777" w:rsidR="00204779" w:rsidRDefault="00204779" w:rsidP="00116291">
      <w:pPr>
        <w:spacing w:after="0" w:line="240" w:lineRule="auto"/>
        <w:jc w:val="center"/>
        <w:rPr>
          <w:rFonts w:ascii="Times New Roman" w:hAnsi="Times New Roman" w:cs="Times New Roman"/>
          <w:b/>
          <w:sz w:val="24"/>
          <w:szCs w:val="24"/>
        </w:rPr>
      </w:pPr>
    </w:p>
    <w:p w14:paraId="3723638D" w14:textId="77777777" w:rsidR="00204779" w:rsidRDefault="00204779" w:rsidP="00116291">
      <w:pPr>
        <w:spacing w:after="0" w:line="240" w:lineRule="auto"/>
        <w:jc w:val="center"/>
        <w:rPr>
          <w:rFonts w:ascii="Times New Roman" w:hAnsi="Times New Roman" w:cs="Times New Roman"/>
          <w:b/>
          <w:sz w:val="24"/>
          <w:szCs w:val="24"/>
        </w:rPr>
      </w:pPr>
    </w:p>
    <w:p w14:paraId="45D1AC4B" w14:textId="77777777" w:rsidR="00204779" w:rsidRDefault="00204779" w:rsidP="00116291">
      <w:pPr>
        <w:spacing w:after="0" w:line="240" w:lineRule="auto"/>
        <w:jc w:val="center"/>
        <w:rPr>
          <w:rFonts w:ascii="Times New Roman" w:hAnsi="Times New Roman" w:cs="Times New Roman"/>
          <w:b/>
          <w:sz w:val="24"/>
          <w:szCs w:val="24"/>
        </w:rPr>
      </w:pPr>
    </w:p>
    <w:p w14:paraId="7538C2CB" w14:textId="77777777" w:rsidR="00204779" w:rsidRDefault="00204779" w:rsidP="00116291">
      <w:pPr>
        <w:spacing w:after="0" w:line="240" w:lineRule="auto"/>
        <w:jc w:val="center"/>
        <w:rPr>
          <w:rFonts w:ascii="Times New Roman" w:hAnsi="Times New Roman" w:cs="Times New Roman"/>
          <w:b/>
          <w:sz w:val="24"/>
          <w:szCs w:val="24"/>
        </w:rPr>
      </w:pPr>
    </w:p>
    <w:p w14:paraId="1ABD4BCA" w14:textId="77777777" w:rsidR="00204779" w:rsidRDefault="00204779" w:rsidP="00116291">
      <w:pPr>
        <w:spacing w:after="0" w:line="240" w:lineRule="auto"/>
        <w:jc w:val="center"/>
        <w:rPr>
          <w:rFonts w:ascii="Times New Roman" w:hAnsi="Times New Roman" w:cs="Times New Roman"/>
          <w:b/>
          <w:sz w:val="24"/>
          <w:szCs w:val="24"/>
        </w:rPr>
      </w:pPr>
    </w:p>
    <w:p w14:paraId="0EB8632D" w14:textId="77777777" w:rsidR="00204779" w:rsidRDefault="00204779" w:rsidP="00116291">
      <w:pPr>
        <w:spacing w:after="0" w:line="240" w:lineRule="auto"/>
        <w:jc w:val="center"/>
        <w:rPr>
          <w:rFonts w:ascii="Times New Roman" w:hAnsi="Times New Roman" w:cs="Times New Roman"/>
          <w:b/>
          <w:sz w:val="24"/>
          <w:szCs w:val="24"/>
        </w:rPr>
      </w:pPr>
    </w:p>
    <w:p w14:paraId="5FC584FF" w14:textId="77777777" w:rsidR="00204779" w:rsidRDefault="00204779" w:rsidP="00116291">
      <w:pPr>
        <w:spacing w:after="0" w:line="240" w:lineRule="auto"/>
        <w:jc w:val="center"/>
        <w:rPr>
          <w:rFonts w:ascii="Times New Roman" w:hAnsi="Times New Roman" w:cs="Times New Roman"/>
          <w:b/>
          <w:sz w:val="24"/>
          <w:szCs w:val="24"/>
        </w:rPr>
      </w:pPr>
    </w:p>
    <w:p w14:paraId="148B6BDA" w14:textId="77777777" w:rsidR="00204779" w:rsidRDefault="00204779" w:rsidP="00116291">
      <w:pPr>
        <w:spacing w:after="0" w:line="240" w:lineRule="auto"/>
        <w:jc w:val="center"/>
        <w:rPr>
          <w:rFonts w:ascii="Times New Roman" w:hAnsi="Times New Roman" w:cs="Times New Roman"/>
          <w:b/>
          <w:sz w:val="24"/>
          <w:szCs w:val="24"/>
        </w:rPr>
      </w:pPr>
    </w:p>
    <w:p w14:paraId="1EA95784" w14:textId="77777777" w:rsidR="00204779" w:rsidRDefault="00204779" w:rsidP="00116291">
      <w:pPr>
        <w:spacing w:after="0" w:line="240" w:lineRule="auto"/>
        <w:jc w:val="center"/>
        <w:rPr>
          <w:rFonts w:ascii="Times New Roman" w:hAnsi="Times New Roman" w:cs="Times New Roman"/>
          <w:b/>
          <w:sz w:val="24"/>
          <w:szCs w:val="24"/>
        </w:rPr>
      </w:pPr>
    </w:p>
    <w:p w14:paraId="4BA6B140" w14:textId="77777777" w:rsidR="00204779" w:rsidRDefault="00204779" w:rsidP="00116291">
      <w:pPr>
        <w:spacing w:after="0" w:line="240" w:lineRule="auto"/>
        <w:jc w:val="center"/>
        <w:rPr>
          <w:rFonts w:ascii="Times New Roman" w:hAnsi="Times New Roman" w:cs="Times New Roman"/>
          <w:b/>
          <w:sz w:val="24"/>
          <w:szCs w:val="24"/>
        </w:rPr>
      </w:pPr>
    </w:p>
    <w:p w14:paraId="4CF8851D" w14:textId="77777777" w:rsidR="00204779" w:rsidRDefault="00204779" w:rsidP="00116291">
      <w:pPr>
        <w:spacing w:after="0" w:line="240" w:lineRule="auto"/>
        <w:jc w:val="center"/>
        <w:rPr>
          <w:rFonts w:ascii="Times New Roman" w:hAnsi="Times New Roman" w:cs="Times New Roman"/>
          <w:b/>
          <w:sz w:val="24"/>
          <w:szCs w:val="24"/>
        </w:rPr>
      </w:pPr>
    </w:p>
    <w:p w14:paraId="218DD1C2" w14:textId="77777777" w:rsidR="00204779" w:rsidRDefault="00204779" w:rsidP="00116291">
      <w:pPr>
        <w:spacing w:after="0" w:line="240" w:lineRule="auto"/>
        <w:jc w:val="center"/>
        <w:rPr>
          <w:rFonts w:ascii="Times New Roman" w:hAnsi="Times New Roman" w:cs="Times New Roman"/>
          <w:b/>
          <w:sz w:val="24"/>
          <w:szCs w:val="24"/>
        </w:rPr>
      </w:pPr>
    </w:p>
    <w:p w14:paraId="281C827C" w14:textId="77777777" w:rsidR="00204779" w:rsidRDefault="00204779" w:rsidP="00116291">
      <w:pPr>
        <w:spacing w:after="0" w:line="240" w:lineRule="auto"/>
        <w:jc w:val="center"/>
        <w:rPr>
          <w:rFonts w:ascii="Times New Roman" w:hAnsi="Times New Roman" w:cs="Times New Roman"/>
          <w:b/>
          <w:sz w:val="24"/>
          <w:szCs w:val="24"/>
        </w:rPr>
      </w:pPr>
    </w:p>
    <w:p w14:paraId="274729C7" w14:textId="77777777" w:rsidR="00204779" w:rsidRDefault="00204779" w:rsidP="00116291">
      <w:pPr>
        <w:spacing w:after="0" w:line="240" w:lineRule="auto"/>
        <w:jc w:val="center"/>
        <w:rPr>
          <w:rFonts w:ascii="Times New Roman" w:hAnsi="Times New Roman" w:cs="Times New Roman"/>
          <w:b/>
          <w:sz w:val="24"/>
          <w:szCs w:val="24"/>
        </w:rPr>
      </w:pPr>
    </w:p>
    <w:p w14:paraId="4444ADC9" w14:textId="77777777" w:rsidR="00204779" w:rsidRDefault="00204779" w:rsidP="00116291">
      <w:pPr>
        <w:spacing w:after="0" w:line="240" w:lineRule="auto"/>
        <w:jc w:val="center"/>
        <w:rPr>
          <w:rFonts w:ascii="Times New Roman" w:hAnsi="Times New Roman" w:cs="Times New Roman"/>
          <w:b/>
          <w:sz w:val="24"/>
          <w:szCs w:val="24"/>
        </w:rPr>
      </w:pPr>
    </w:p>
    <w:p w14:paraId="3AA93D52" w14:textId="77777777" w:rsidR="00204779" w:rsidRDefault="00204779" w:rsidP="00116291">
      <w:pPr>
        <w:spacing w:after="0" w:line="240" w:lineRule="auto"/>
        <w:jc w:val="center"/>
        <w:rPr>
          <w:rFonts w:ascii="Times New Roman" w:hAnsi="Times New Roman" w:cs="Times New Roman"/>
          <w:b/>
          <w:sz w:val="24"/>
          <w:szCs w:val="24"/>
        </w:rPr>
      </w:pPr>
    </w:p>
    <w:p w14:paraId="2FEFEA5B" w14:textId="77777777" w:rsidR="00204779" w:rsidRDefault="00204779" w:rsidP="00116291">
      <w:pPr>
        <w:spacing w:after="0" w:line="240" w:lineRule="auto"/>
        <w:jc w:val="center"/>
        <w:rPr>
          <w:rFonts w:ascii="Times New Roman" w:hAnsi="Times New Roman" w:cs="Times New Roman"/>
          <w:b/>
          <w:sz w:val="24"/>
          <w:szCs w:val="24"/>
        </w:rPr>
      </w:pPr>
    </w:p>
    <w:p w14:paraId="37ED368B" w14:textId="77777777" w:rsidR="00204779" w:rsidRDefault="00204779" w:rsidP="00116291">
      <w:pPr>
        <w:spacing w:after="0" w:line="240" w:lineRule="auto"/>
        <w:jc w:val="center"/>
        <w:rPr>
          <w:rFonts w:ascii="Times New Roman" w:hAnsi="Times New Roman" w:cs="Times New Roman"/>
          <w:b/>
          <w:sz w:val="24"/>
          <w:szCs w:val="24"/>
        </w:rPr>
      </w:pPr>
    </w:p>
    <w:p w14:paraId="483C2873" w14:textId="77777777" w:rsidR="00204779" w:rsidRDefault="00204779" w:rsidP="00116291">
      <w:pPr>
        <w:spacing w:after="0" w:line="240" w:lineRule="auto"/>
        <w:jc w:val="center"/>
        <w:rPr>
          <w:rFonts w:ascii="Times New Roman" w:hAnsi="Times New Roman" w:cs="Times New Roman"/>
          <w:b/>
          <w:sz w:val="24"/>
          <w:szCs w:val="24"/>
        </w:rPr>
      </w:pPr>
    </w:p>
    <w:p w14:paraId="680CE460" w14:textId="77777777" w:rsidR="00204779" w:rsidRDefault="00204779" w:rsidP="00116291">
      <w:pPr>
        <w:spacing w:after="0" w:line="240" w:lineRule="auto"/>
        <w:jc w:val="center"/>
        <w:rPr>
          <w:rFonts w:ascii="Times New Roman" w:hAnsi="Times New Roman" w:cs="Times New Roman"/>
          <w:b/>
          <w:sz w:val="24"/>
          <w:szCs w:val="24"/>
        </w:rPr>
      </w:pPr>
    </w:p>
    <w:p w14:paraId="535C37A6" w14:textId="77777777" w:rsidR="00204779" w:rsidRDefault="00204779" w:rsidP="00116291">
      <w:pPr>
        <w:spacing w:after="0" w:line="240" w:lineRule="auto"/>
        <w:jc w:val="center"/>
        <w:rPr>
          <w:rFonts w:ascii="Times New Roman" w:hAnsi="Times New Roman" w:cs="Times New Roman"/>
          <w:b/>
          <w:sz w:val="24"/>
          <w:szCs w:val="24"/>
        </w:rPr>
      </w:pPr>
    </w:p>
    <w:p w14:paraId="241A0A75" w14:textId="77777777" w:rsidR="00204779" w:rsidRDefault="00204779" w:rsidP="00116291">
      <w:pPr>
        <w:spacing w:after="0" w:line="240" w:lineRule="auto"/>
        <w:jc w:val="center"/>
        <w:rPr>
          <w:rFonts w:ascii="Times New Roman" w:hAnsi="Times New Roman" w:cs="Times New Roman"/>
          <w:b/>
          <w:sz w:val="24"/>
          <w:szCs w:val="24"/>
        </w:rPr>
      </w:pPr>
    </w:p>
    <w:p w14:paraId="7D8F4C24" w14:textId="77777777" w:rsidR="00204779" w:rsidRDefault="00204779" w:rsidP="00116291">
      <w:pPr>
        <w:spacing w:after="0" w:line="240" w:lineRule="auto"/>
        <w:jc w:val="center"/>
        <w:rPr>
          <w:rFonts w:ascii="Times New Roman" w:hAnsi="Times New Roman" w:cs="Times New Roman"/>
          <w:b/>
          <w:sz w:val="24"/>
          <w:szCs w:val="24"/>
        </w:rPr>
      </w:pPr>
    </w:p>
    <w:p w14:paraId="3E8B8E1D" w14:textId="77777777" w:rsidR="00204779" w:rsidRDefault="00204779" w:rsidP="00116291">
      <w:pPr>
        <w:spacing w:after="0" w:line="240" w:lineRule="auto"/>
        <w:jc w:val="center"/>
        <w:rPr>
          <w:rFonts w:ascii="Times New Roman" w:hAnsi="Times New Roman" w:cs="Times New Roman"/>
          <w:b/>
          <w:sz w:val="24"/>
          <w:szCs w:val="24"/>
        </w:rPr>
      </w:pPr>
    </w:p>
    <w:p w14:paraId="11F86A84" w14:textId="77777777" w:rsidR="00204779" w:rsidRDefault="00204779" w:rsidP="00116291">
      <w:pPr>
        <w:spacing w:after="0" w:line="240" w:lineRule="auto"/>
        <w:jc w:val="center"/>
        <w:rPr>
          <w:rFonts w:ascii="Times New Roman" w:hAnsi="Times New Roman" w:cs="Times New Roman"/>
          <w:b/>
          <w:sz w:val="24"/>
          <w:szCs w:val="24"/>
        </w:rPr>
      </w:pPr>
    </w:p>
    <w:p w14:paraId="63DD4F93" w14:textId="77777777" w:rsidR="00204779" w:rsidRDefault="00204779" w:rsidP="00116291">
      <w:pPr>
        <w:spacing w:after="0" w:line="240" w:lineRule="auto"/>
        <w:jc w:val="center"/>
        <w:rPr>
          <w:rFonts w:ascii="Times New Roman" w:hAnsi="Times New Roman" w:cs="Times New Roman"/>
          <w:b/>
          <w:sz w:val="24"/>
          <w:szCs w:val="24"/>
        </w:rPr>
      </w:pPr>
    </w:p>
    <w:p w14:paraId="6462D2FC" w14:textId="77777777" w:rsidR="00204779" w:rsidRDefault="00204779" w:rsidP="00116291">
      <w:pPr>
        <w:spacing w:after="0" w:line="240" w:lineRule="auto"/>
        <w:jc w:val="center"/>
        <w:rPr>
          <w:rFonts w:ascii="Times New Roman" w:hAnsi="Times New Roman" w:cs="Times New Roman"/>
          <w:b/>
          <w:sz w:val="24"/>
          <w:szCs w:val="24"/>
        </w:rPr>
      </w:pPr>
    </w:p>
    <w:p w14:paraId="784D4604" w14:textId="77777777" w:rsidR="00204779" w:rsidRDefault="00204779" w:rsidP="00116291">
      <w:pPr>
        <w:spacing w:after="0" w:line="240" w:lineRule="auto"/>
        <w:jc w:val="center"/>
        <w:rPr>
          <w:rFonts w:ascii="Times New Roman" w:hAnsi="Times New Roman" w:cs="Times New Roman"/>
          <w:b/>
          <w:sz w:val="24"/>
          <w:szCs w:val="24"/>
        </w:rPr>
      </w:pPr>
    </w:p>
    <w:p w14:paraId="2EBC2EA4" w14:textId="77777777" w:rsidR="00204779" w:rsidRDefault="00204779" w:rsidP="00116291">
      <w:pPr>
        <w:spacing w:after="0" w:line="240" w:lineRule="auto"/>
        <w:jc w:val="center"/>
        <w:rPr>
          <w:rFonts w:ascii="Times New Roman" w:hAnsi="Times New Roman" w:cs="Times New Roman"/>
          <w:b/>
          <w:sz w:val="24"/>
          <w:szCs w:val="24"/>
        </w:rPr>
      </w:pPr>
    </w:p>
    <w:p w14:paraId="73B9DE28" w14:textId="77777777" w:rsidR="00204779" w:rsidRDefault="00204779" w:rsidP="00116291">
      <w:pPr>
        <w:spacing w:after="0" w:line="240" w:lineRule="auto"/>
        <w:jc w:val="center"/>
        <w:rPr>
          <w:rFonts w:ascii="Times New Roman" w:hAnsi="Times New Roman" w:cs="Times New Roman"/>
          <w:b/>
          <w:sz w:val="24"/>
          <w:szCs w:val="24"/>
        </w:rPr>
      </w:pPr>
    </w:p>
    <w:p w14:paraId="7AE06EBB" w14:textId="77777777" w:rsidR="00204779" w:rsidRDefault="00204779" w:rsidP="00116291">
      <w:pPr>
        <w:spacing w:after="0" w:line="240" w:lineRule="auto"/>
        <w:jc w:val="center"/>
        <w:rPr>
          <w:rFonts w:ascii="Times New Roman" w:hAnsi="Times New Roman" w:cs="Times New Roman"/>
          <w:b/>
          <w:sz w:val="24"/>
          <w:szCs w:val="24"/>
        </w:rPr>
      </w:pPr>
    </w:p>
    <w:p w14:paraId="4F07287E" w14:textId="77777777" w:rsidR="00204779" w:rsidRDefault="00204779" w:rsidP="00116291">
      <w:pPr>
        <w:spacing w:after="0" w:line="240" w:lineRule="auto"/>
        <w:jc w:val="center"/>
        <w:rPr>
          <w:rFonts w:ascii="Times New Roman" w:hAnsi="Times New Roman" w:cs="Times New Roman"/>
          <w:b/>
          <w:sz w:val="24"/>
          <w:szCs w:val="24"/>
        </w:rPr>
      </w:pPr>
    </w:p>
    <w:p w14:paraId="56DBE37E" w14:textId="77777777" w:rsidR="00204779" w:rsidRDefault="00204779" w:rsidP="00116291">
      <w:pPr>
        <w:spacing w:after="0" w:line="240" w:lineRule="auto"/>
        <w:jc w:val="center"/>
        <w:rPr>
          <w:rFonts w:ascii="Times New Roman" w:hAnsi="Times New Roman" w:cs="Times New Roman"/>
          <w:b/>
          <w:sz w:val="24"/>
          <w:szCs w:val="24"/>
        </w:rPr>
      </w:pPr>
    </w:p>
    <w:p w14:paraId="0415D4C6" w14:textId="60A93826" w:rsidR="00116291" w:rsidRPr="00204779" w:rsidRDefault="00116291" w:rsidP="00116291">
      <w:pPr>
        <w:spacing w:after="0" w:line="240" w:lineRule="auto"/>
        <w:jc w:val="center"/>
        <w:rPr>
          <w:rFonts w:ascii="Times New Roman" w:hAnsi="Times New Roman" w:cs="Times New Roman"/>
          <w:b/>
          <w:sz w:val="28"/>
          <w:szCs w:val="28"/>
        </w:rPr>
      </w:pPr>
      <w:r w:rsidRPr="00204779">
        <w:rPr>
          <w:rFonts w:ascii="Times New Roman" w:hAnsi="Times New Roman" w:cs="Times New Roman"/>
          <w:b/>
          <w:sz w:val="28"/>
          <w:szCs w:val="28"/>
        </w:rPr>
        <w:lastRenderedPageBreak/>
        <w:t>Spatial Distribution and Characteristics of Motor Parks in Ibadan, Nigeria</w:t>
      </w:r>
    </w:p>
    <w:p w14:paraId="5490674D" w14:textId="77777777" w:rsidR="00116291" w:rsidRPr="00BE4AF3" w:rsidRDefault="00116291" w:rsidP="00116291">
      <w:pPr>
        <w:spacing w:after="0" w:line="240" w:lineRule="auto"/>
        <w:jc w:val="center"/>
        <w:rPr>
          <w:rFonts w:ascii="Times New Roman" w:hAnsi="Times New Roman" w:cs="Times New Roman"/>
          <w:b/>
          <w:sz w:val="24"/>
          <w:szCs w:val="24"/>
        </w:rPr>
      </w:pPr>
    </w:p>
    <w:p w14:paraId="42D7D7BA" w14:textId="77777777" w:rsidR="00116291" w:rsidRPr="00BE4AF3" w:rsidRDefault="00116291" w:rsidP="00116291">
      <w:pPr>
        <w:spacing w:after="0" w:line="240" w:lineRule="auto"/>
        <w:jc w:val="center"/>
        <w:rPr>
          <w:rFonts w:ascii="Times New Roman" w:hAnsi="Times New Roman" w:cs="Times New Roman"/>
          <w:sz w:val="24"/>
          <w:szCs w:val="24"/>
        </w:rPr>
      </w:pPr>
      <w:r w:rsidRPr="00BE4AF3">
        <w:rPr>
          <w:rFonts w:ascii="Times New Roman" w:hAnsi="Times New Roman" w:cs="Times New Roman"/>
          <w:sz w:val="24"/>
          <w:szCs w:val="24"/>
          <w:vertAlign w:val="superscript"/>
        </w:rPr>
        <w:t>1</w:t>
      </w:r>
      <w:r w:rsidRPr="00BE4AF3">
        <w:rPr>
          <w:rFonts w:ascii="Times New Roman" w:hAnsi="Times New Roman" w:cs="Times New Roman"/>
          <w:sz w:val="24"/>
          <w:szCs w:val="24"/>
        </w:rPr>
        <w:t xml:space="preserve">Raji, Q. A, </w:t>
      </w:r>
      <w:r w:rsidRPr="00BE4AF3">
        <w:rPr>
          <w:rFonts w:ascii="Times New Roman" w:hAnsi="Times New Roman" w:cs="Times New Roman"/>
          <w:sz w:val="24"/>
          <w:szCs w:val="24"/>
          <w:vertAlign w:val="superscript"/>
        </w:rPr>
        <w:t>1</w:t>
      </w:r>
      <w:r w:rsidRPr="00BE4AF3">
        <w:rPr>
          <w:rFonts w:ascii="Times New Roman" w:hAnsi="Times New Roman" w:cs="Times New Roman"/>
          <w:sz w:val="24"/>
          <w:szCs w:val="24"/>
        </w:rPr>
        <w:t>Adigun, F. O</w:t>
      </w:r>
      <w:r w:rsidRPr="00BE4AF3">
        <w:rPr>
          <w:rFonts w:ascii="Times New Roman" w:hAnsi="Times New Roman" w:cs="Times New Roman"/>
          <w:sz w:val="24"/>
          <w:szCs w:val="24"/>
          <w:vertAlign w:val="superscript"/>
        </w:rPr>
        <w:t xml:space="preserve"> </w:t>
      </w:r>
      <w:r w:rsidRPr="00BE4AF3">
        <w:rPr>
          <w:rFonts w:ascii="Times New Roman" w:hAnsi="Times New Roman" w:cs="Times New Roman"/>
          <w:sz w:val="24"/>
          <w:szCs w:val="24"/>
        </w:rPr>
        <w:t xml:space="preserve">and </w:t>
      </w:r>
      <w:r w:rsidRPr="00BE4AF3">
        <w:rPr>
          <w:rFonts w:ascii="Times New Roman" w:hAnsi="Times New Roman" w:cs="Times New Roman"/>
          <w:sz w:val="24"/>
          <w:szCs w:val="24"/>
          <w:vertAlign w:val="superscript"/>
        </w:rPr>
        <w:t>2</w:t>
      </w:r>
      <w:r w:rsidRPr="00BE4AF3">
        <w:rPr>
          <w:rFonts w:ascii="Times New Roman" w:hAnsi="Times New Roman" w:cs="Times New Roman"/>
          <w:spacing w:val="-6"/>
          <w:sz w:val="24"/>
          <w:szCs w:val="24"/>
        </w:rPr>
        <w:t>Akinbami, B. S</w:t>
      </w:r>
      <w:r w:rsidRPr="00BE4AF3">
        <w:rPr>
          <w:rFonts w:ascii="Times New Roman" w:hAnsi="Times New Roman" w:cs="Times New Roman"/>
          <w:sz w:val="24"/>
          <w:szCs w:val="24"/>
        </w:rPr>
        <w:t xml:space="preserve">. </w:t>
      </w:r>
    </w:p>
    <w:p w14:paraId="6D7BE3D8" w14:textId="77777777" w:rsidR="00116291" w:rsidRPr="00BE4AF3" w:rsidRDefault="00116291" w:rsidP="00116291">
      <w:pPr>
        <w:spacing w:after="0" w:line="240" w:lineRule="auto"/>
        <w:rPr>
          <w:rFonts w:ascii="Times New Roman" w:hAnsi="Times New Roman" w:cs="Times New Roman"/>
          <w:sz w:val="24"/>
          <w:szCs w:val="24"/>
        </w:rPr>
      </w:pPr>
    </w:p>
    <w:p w14:paraId="44E0B72D" w14:textId="77777777" w:rsidR="00116291" w:rsidRPr="00204779" w:rsidRDefault="00116291" w:rsidP="00116291">
      <w:pPr>
        <w:pStyle w:val="CETAuthors"/>
        <w:spacing w:after="0" w:line="240" w:lineRule="auto"/>
        <w:jc w:val="center"/>
        <w:rPr>
          <w:rFonts w:ascii="Times New Roman" w:hAnsi="Times New Roman"/>
          <w:sz w:val="20"/>
        </w:rPr>
      </w:pPr>
      <w:r w:rsidRPr="00204779">
        <w:rPr>
          <w:rFonts w:ascii="Times New Roman" w:hAnsi="Times New Roman"/>
          <w:sz w:val="20"/>
          <w:vertAlign w:val="superscript"/>
        </w:rPr>
        <w:t>1</w:t>
      </w:r>
      <w:r w:rsidRPr="00204779">
        <w:rPr>
          <w:rFonts w:ascii="Times New Roman" w:hAnsi="Times New Roman"/>
          <w:sz w:val="20"/>
        </w:rPr>
        <w:t>Department of Urban and Regional Planning, Ladoke Akintola University of Technology, Ogbomoso, Nigeria</w:t>
      </w:r>
    </w:p>
    <w:p w14:paraId="7BE00DCA" w14:textId="77777777" w:rsidR="00116291" w:rsidRPr="00204779" w:rsidRDefault="00116291" w:rsidP="00116291">
      <w:pPr>
        <w:spacing w:after="0" w:line="240" w:lineRule="auto"/>
        <w:jc w:val="center"/>
        <w:rPr>
          <w:rFonts w:ascii="Times New Roman" w:hAnsi="Times New Roman" w:cs="Times New Roman"/>
          <w:sz w:val="20"/>
          <w:szCs w:val="20"/>
        </w:rPr>
      </w:pPr>
      <w:r w:rsidRPr="00204779">
        <w:rPr>
          <w:rFonts w:ascii="Times New Roman" w:hAnsi="Times New Roman" w:cs="Times New Roman"/>
          <w:sz w:val="20"/>
          <w:szCs w:val="20"/>
          <w:vertAlign w:val="superscript"/>
        </w:rPr>
        <w:t>1</w:t>
      </w:r>
      <w:r w:rsidRPr="00204779">
        <w:rPr>
          <w:rFonts w:ascii="Times New Roman" w:hAnsi="Times New Roman" w:cs="Times New Roman"/>
          <w:sz w:val="20"/>
          <w:szCs w:val="20"/>
        </w:rPr>
        <w:t>Department of Urban and Regional Planning, University of Abuja, Abuja</w:t>
      </w:r>
    </w:p>
    <w:p w14:paraId="5D7DF36B" w14:textId="77777777" w:rsidR="00116291" w:rsidRPr="00204779" w:rsidRDefault="00116291" w:rsidP="00116291">
      <w:pPr>
        <w:spacing w:after="0" w:line="240" w:lineRule="auto"/>
        <w:jc w:val="center"/>
        <w:rPr>
          <w:rFonts w:ascii="Times New Roman" w:hAnsi="Times New Roman" w:cs="Times New Roman"/>
          <w:sz w:val="20"/>
          <w:szCs w:val="20"/>
        </w:rPr>
      </w:pPr>
    </w:p>
    <w:p w14:paraId="43F04595" w14:textId="77777777" w:rsidR="00116291" w:rsidRPr="00BE4AF3" w:rsidRDefault="00116291" w:rsidP="000C623F">
      <w:pPr>
        <w:pStyle w:val="BodyText"/>
        <w:spacing w:after="0" w:line="240" w:lineRule="auto"/>
        <w:jc w:val="center"/>
        <w:rPr>
          <w:rStyle w:val="Hyperlink"/>
          <w:rFonts w:ascii="Times New Roman" w:hAnsi="Times New Roman"/>
          <w:bCs/>
          <w:sz w:val="24"/>
          <w:szCs w:val="24"/>
          <w:u w:val="none"/>
        </w:rPr>
      </w:pPr>
      <w:r w:rsidRPr="00204779">
        <w:rPr>
          <w:rFonts w:ascii="Times New Roman" w:hAnsi="Times New Roman"/>
          <w:vertAlign w:val="superscript"/>
          <w:lang w:val="en-US"/>
        </w:rPr>
        <w:t xml:space="preserve">* </w:t>
      </w:r>
      <w:r w:rsidRPr="00204779">
        <w:rPr>
          <w:rFonts w:ascii="Times New Roman" w:hAnsi="Times New Roman"/>
        </w:rPr>
        <w:t>Corresponding</w:t>
      </w:r>
      <w:r w:rsidRPr="00204779">
        <w:rPr>
          <w:rFonts w:ascii="Times New Roman" w:hAnsi="Times New Roman"/>
          <w:vertAlign w:val="superscript"/>
        </w:rPr>
        <w:t xml:space="preserve"> </w:t>
      </w:r>
      <w:r w:rsidRPr="00204779">
        <w:rPr>
          <w:rFonts w:ascii="Times New Roman" w:hAnsi="Times New Roman"/>
          <w:lang w:val="en-US"/>
        </w:rPr>
        <w:t xml:space="preserve">Author </w:t>
      </w:r>
      <w:r w:rsidRPr="00204779">
        <w:rPr>
          <w:rFonts w:ascii="Times New Roman" w:hAnsi="Times New Roman"/>
          <w:bCs/>
        </w:rPr>
        <w:t xml:space="preserve">E-mail: </w:t>
      </w:r>
      <w:hyperlink r:id="rId216" w:history="1">
        <w:r w:rsidRPr="00204779">
          <w:rPr>
            <w:rStyle w:val="Hyperlink"/>
            <w:rFonts w:ascii="Times New Roman" w:hAnsi="Times New Roman"/>
            <w:bCs/>
            <w:color w:val="auto"/>
            <w:u w:val="none"/>
          </w:rPr>
          <w:t>babatunde.akinbami@uniabuja.edu.ng</w:t>
        </w:r>
      </w:hyperlink>
    </w:p>
    <w:p w14:paraId="73AA4CAD" w14:textId="77777777" w:rsidR="000C623F" w:rsidRPr="00BE4AF3" w:rsidRDefault="000C623F" w:rsidP="000C623F">
      <w:pPr>
        <w:pStyle w:val="BodyText"/>
        <w:spacing w:after="0" w:line="240" w:lineRule="auto"/>
        <w:jc w:val="center"/>
        <w:rPr>
          <w:rFonts w:ascii="Times New Roman" w:hAnsi="Times New Roman"/>
          <w:bCs/>
          <w:sz w:val="24"/>
          <w:szCs w:val="24"/>
        </w:rPr>
      </w:pPr>
    </w:p>
    <w:p w14:paraId="674C8A19" w14:textId="77777777" w:rsidR="00680209" w:rsidRPr="00BE4AF3" w:rsidRDefault="00680209" w:rsidP="00116291">
      <w:pPr>
        <w:spacing w:after="0" w:line="240" w:lineRule="auto"/>
        <w:rPr>
          <w:rFonts w:ascii="Times New Roman" w:hAnsi="Times New Roman" w:cs="Times New Roman"/>
          <w:b/>
          <w:sz w:val="24"/>
          <w:szCs w:val="24"/>
        </w:rPr>
      </w:pPr>
      <w:r w:rsidRPr="00BE4AF3">
        <w:rPr>
          <w:rFonts w:ascii="Times New Roman" w:hAnsi="Times New Roman" w:cs="Times New Roman"/>
          <w:b/>
          <w:bCs/>
          <w:sz w:val="24"/>
          <w:szCs w:val="24"/>
        </w:rPr>
        <w:t>LICFES 2025-047 – FP30</w:t>
      </w:r>
    </w:p>
    <w:p w14:paraId="7E5AC7A8" w14:textId="77777777" w:rsidR="00116291" w:rsidRPr="00BE4AF3" w:rsidRDefault="00116291" w:rsidP="00116291">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Abstract</w:t>
      </w:r>
    </w:p>
    <w:p w14:paraId="7BAA6B6B" w14:textId="77777777" w:rsidR="00116291" w:rsidRPr="00BE4AF3" w:rsidRDefault="00116291" w:rsidP="00116291">
      <w:pPr>
        <w:pStyle w:val="NormalWeb"/>
        <w:spacing w:before="0" w:beforeAutospacing="0" w:after="0" w:afterAutospacing="0"/>
        <w:jc w:val="both"/>
      </w:pPr>
      <w:r w:rsidRPr="00BE4AF3">
        <w:t>Motor parks are critical nodes in urban mobility networks, yet their spatial planning and integration into formal land use frameworks remain overlooked in many African cities. In Ibadan, Nigeria, a city experiencing rapid urbanization, the lack of coordinated siting of motor parks has led to haphazard spatial arrangements, traffic congestion, and land-use conflicts. Existing studies have focused largely on transport modes and route efficiency, with limited attention given to the spatial characteristics and locational patterns of motor parks across urban zones. Hence, this study examines the spatial distribution and operational characteristics of motor parks in the core, intermediate, and peripheral areas of Ibadan. An observational survey approach was adopted to appraise motor park characteristics. Ground-truthing was conducted using GPS devices (Garmin GPSMAP 79sc) to collect spatial coordinates, which were analyzed using Quantum Geographic Information System (QGIS 3.38.0). Descriptive statistics were used to summarize motor park features, while Nearest Neighbour Analysis (NNA) assessed their spatial distribution patterns. A total of 73 motor parks were identified, evenly distributed between the core (42.5%) and intermediate (42.5%) zones. Public motor parks constituted the majority (74.0%), with 47.9% serving intracity routes and 16.5% offering hybrid services. Over half (52.1%) operated from designated bus stations, often named after adjoining neighborhoods or major infrastructure. Spatial analysis revealed clustered distributions in the core (Rn = 0.61, z = -4.13, p = 0.00) and intermediate (Rn = 0.68, z = -3.35, p = 0.001) zones, while the periphery showed a random pattern (Rn = 0.82, z = -1.16, p = 0.25). The study concludes that the clustering of motor parks in densely populated zones reflects the absence of integrated spatial planning. It recommends incorporating motor parks into the city’s master plan and upgrading informal curbside parks to enhance mobility, reduce congestion, and support sustainable urban development.</w:t>
      </w:r>
    </w:p>
    <w:p w14:paraId="53E7DD95" w14:textId="77777777" w:rsidR="000C623F" w:rsidRPr="00BE4AF3" w:rsidRDefault="000C623F" w:rsidP="00116291">
      <w:pPr>
        <w:spacing w:after="0" w:line="240" w:lineRule="auto"/>
        <w:jc w:val="both"/>
        <w:rPr>
          <w:rFonts w:ascii="Times New Roman" w:hAnsi="Times New Roman" w:cs="Times New Roman"/>
          <w:b/>
          <w:sz w:val="24"/>
          <w:szCs w:val="24"/>
        </w:rPr>
      </w:pPr>
    </w:p>
    <w:p w14:paraId="012C84C2" w14:textId="77777777" w:rsidR="00116291" w:rsidRPr="00BE4AF3" w:rsidRDefault="00116291" w:rsidP="00116291">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Keywords:</w:t>
      </w:r>
      <w:r w:rsidRPr="00BE4AF3">
        <w:rPr>
          <w:rFonts w:ascii="Times New Roman" w:hAnsi="Times New Roman" w:cs="Times New Roman"/>
          <w:sz w:val="24"/>
          <w:szCs w:val="24"/>
        </w:rPr>
        <w:t xml:space="preserve"> Curb Side; Hybrid Operations; Motor Parks; and Transportation; Mobility.</w:t>
      </w:r>
    </w:p>
    <w:p w14:paraId="23EDC1F9" w14:textId="77777777" w:rsidR="00EE3A8A" w:rsidRPr="00BE4AF3" w:rsidRDefault="00EE3A8A" w:rsidP="00116291">
      <w:pPr>
        <w:spacing w:after="0" w:line="240" w:lineRule="auto"/>
        <w:rPr>
          <w:rFonts w:ascii="Times New Roman" w:hAnsi="Times New Roman" w:cs="Times New Roman"/>
          <w:sz w:val="24"/>
          <w:szCs w:val="24"/>
          <w:lang w:val="en-US"/>
        </w:rPr>
      </w:pPr>
    </w:p>
    <w:p w14:paraId="73372979" w14:textId="77777777" w:rsidR="0000060D" w:rsidRPr="00BE4AF3" w:rsidRDefault="0000060D" w:rsidP="0000060D">
      <w:pPr>
        <w:tabs>
          <w:tab w:val="left" w:pos="327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Introduction</w:t>
      </w:r>
    </w:p>
    <w:p w14:paraId="59D33F3F" w14:textId="2C1A8F2E" w:rsidR="0000060D" w:rsidRPr="00BE4AF3" w:rsidRDefault="0000060D" w:rsidP="0000060D">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introduction of modern technology and its surgical advancement has continued to pose a high level of opportunities to individuals and nations as well as exacerbating the growth of cities (</w:t>
      </w:r>
      <w:r w:rsidRPr="00BE4AF3">
        <w:rPr>
          <w:rFonts w:ascii="Times New Roman" w:hAnsi="Times New Roman" w:cs="Times New Roman"/>
          <w:sz w:val="24"/>
          <w:szCs w:val="24"/>
          <w:shd w:val="clear" w:color="auto" w:fill="FFFFFF"/>
        </w:rPr>
        <w:t>Bebbington and Unerman, 2018</w:t>
      </w:r>
      <w:r w:rsidRPr="00BE4AF3">
        <w:rPr>
          <w:rFonts w:ascii="Times New Roman" w:hAnsi="Times New Roman" w:cs="Times New Roman"/>
          <w:sz w:val="24"/>
          <w:szCs w:val="24"/>
        </w:rPr>
        <w:t>). This has facilitated the modernization of existing infrastructural facilities, such as motor parks, enabling them to adapt to emerging urban features and technological advancements. In Nigeria, road transportation is the most common and easy mode of transport that is readily available to everyone irrespective of their social status</w:t>
      </w:r>
      <w:bookmarkStart w:id="105" w:name="_Hlk81299236"/>
      <w:r w:rsidRPr="00BE4AF3">
        <w:rPr>
          <w:rFonts w:ascii="Times New Roman" w:hAnsi="Times New Roman" w:cs="Times New Roman"/>
          <w:sz w:val="24"/>
          <w:szCs w:val="24"/>
        </w:rPr>
        <w:t xml:space="preserve"> (Agbiboa, 2016; Adebayo, 2017)</w:t>
      </w:r>
      <w:bookmarkEnd w:id="105"/>
      <w:r w:rsidRPr="00BE4AF3">
        <w:rPr>
          <w:rFonts w:ascii="Times New Roman" w:hAnsi="Times New Roman" w:cs="Times New Roman"/>
          <w:sz w:val="24"/>
          <w:szCs w:val="24"/>
        </w:rPr>
        <w:t xml:space="preserve">. </w:t>
      </w:r>
      <w:r w:rsidRPr="00BE4AF3">
        <w:rPr>
          <w:rStyle w:val="fontstyle01"/>
          <w:rFonts w:ascii="Times New Roman" w:hAnsi="Times New Roman" w:cs="Times New Roman"/>
          <w:sz w:val="24"/>
          <w:szCs w:val="24"/>
        </w:rPr>
        <w:t>It consists of both private and public means. However, public transportation provides the most efficient means of transporting large numbers of people,</w:t>
      </w:r>
      <w:r w:rsidRPr="00BE4AF3">
        <w:rPr>
          <w:rFonts w:ascii="Times New Roman" w:hAnsi="Times New Roman" w:cs="Times New Roman"/>
          <w:sz w:val="24"/>
          <w:szCs w:val="24"/>
        </w:rPr>
        <w:t xml:space="preserve"> </w:t>
      </w:r>
      <w:r w:rsidRPr="00BE4AF3">
        <w:rPr>
          <w:rStyle w:val="fontstyle01"/>
          <w:rFonts w:ascii="Times New Roman" w:hAnsi="Times New Roman" w:cs="Times New Roman"/>
          <w:sz w:val="24"/>
          <w:szCs w:val="24"/>
        </w:rPr>
        <w:t>especially in densely populated urban centres (</w:t>
      </w:r>
      <w:r w:rsidRPr="00BE4AF3">
        <w:rPr>
          <w:rFonts w:ascii="Times New Roman" w:hAnsi="Times New Roman" w:cs="Times New Roman"/>
          <w:sz w:val="24"/>
          <w:szCs w:val="24"/>
        </w:rPr>
        <w:t>Agbiboa, 2016</w:t>
      </w:r>
      <w:r w:rsidRPr="00BE4AF3">
        <w:rPr>
          <w:rStyle w:val="fontstyle01"/>
          <w:rFonts w:ascii="Times New Roman" w:hAnsi="Times New Roman" w:cs="Times New Roman"/>
          <w:sz w:val="24"/>
          <w:szCs w:val="24"/>
        </w:rPr>
        <w:t xml:space="preserve">). </w:t>
      </w:r>
      <w:r w:rsidRPr="00BE4AF3">
        <w:rPr>
          <w:rFonts w:ascii="Times New Roman" w:eastAsia="Times New Roman" w:hAnsi="Times New Roman" w:cs="Times New Roman"/>
          <w:sz w:val="24"/>
          <w:szCs w:val="24"/>
          <w:lang w:val="en-US"/>
        </w:rPr>
        <w:t xml:space="preserve">In cities of developing countries, where a significant portion of the population cannot afford private means of transport, public transportation plays a dominant role in meeting urban mobility needs (Pojani &amp; Stead, 2015). The increasing reliance on public transit has necessitated the development of supporting infrastructure, among which motor parks are particularly prominent. As integral components of </w:t>
      </w:r>
      <w:r w:rsidRPr="00BE4AF3">
        <w:rPr>
          <w:rFonts w:ascii="Times New Roman" w:eastAsia="Times New Roman" w:hAnsi="Times New Roman" w:cs="Times New Roman"/>
          <w:sz w:val="24"/>
          <w:szCs w:val="24"/>
          <w:lang w:val="en-US"/>
        </w:rPr>
        <w:lastRenderedPageBreak/>
        <w:t>the urban transport system, motor parks function as organized terminals that facilitate the boarding and alighting of passengers and the movement of goods. Their emergence was driven by the need to establish centralized collection and dispersal points in response to rising population densities and expanding commercial activities in urban centres (Adebayo &amp; Zubairu, 2013; Lachapelle et al., 2018).</w:t>
      </w:r>
    </w:p>
    <w:p w14:paraId="40FB8EF4" w14:textId="11F3AA36" w:rsidR="0000060D" w:rsidRPr="004D40EE" w:rsidRDefault="0000060D" w:rsidP="0000060D">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In Ibadan, the capital city of Oyo state and one of the largest cities in Africa, the location of motor parks is part of the complex arrangement of the city’s public transportation system (</w:t>
      </w:r>
      <w:r w:rsidRPr="00BE4AF3">
        <w:rPr>
          <w:rFonts w:ascii="Times New Roman" w:hAnsi="Times New Roman" w:cs="Times New Roman"/>
          <w:sz w:val="24"/>
          <w:szCs w:val="24"/>
          <w:shd w:val="clear" w:color="auto" w:fill="FFFFFF"/>
        </w:rPr>
        <w:t>Omobowale and Fayiga 2017</w:t>
      </w:r>
      <w:r w:rsidRPr="00BE4AF3">
        <w:rPr>
          <w:rFonts w:ascii="Times New Roman" w:hAnsi="Times New Roman" w:cs="Times New Roman"/>
          <w:sz w:val="24"/>
          <w:szCs w:val="24"/>
        </w:rPr>
        <w:t xml:space="preserve">). In 1984, specific locations such as Agodi-Gate, Dugbe, Beere, Molete, and Challenge were delineated as motor parks (Filani 1994 cited in Ajayi and Ajayi, 2014). Their positioning was part of the measures to improve the flow of traffic within the city. However, with the expansion of the city, motor parks at Agodi-Gate, Dugbe, Beere, and Molete are within the core zone of the city and Challenge motor park is located at the intermediate zone. The growth of the city has led to an upsurge of other motor parks within the city. </w:t>
      </w:r>
      <w:r w:rsidRPr="00BE4AF3">
        <w:rPr>
          <w:rFonts w:ascii="Times New Roman" w:eastAsia="Times New Roman" w:hAnsi="Times New Roman" w:cs="Times New Roman"/>
          <w:sz w:val="24"/>
          <w:szCs w:val="24"/>
        </w:rPr>
        <w:t>The spatial arrangement of these parks is haphazard, with limited consideration for urban planning principles. This leads to adverse consequences such as traffic congestion, increased travel time, and environmental pollution in areas surrounding motor parks (</w:t>
      </w:r>
      <w:bookmarkStart w:id="106" w:name="_Hlk184534871"/>
      <w:r w:rsidRPr="00BE4AF3">
        <w:rPr>
          <w:rFonts w:ascii="Times New Roman" w:eastAsia="Times New Roman" w:hAnsi="Times New Roman" w:cs="Times New Roman"/>
          <w:sz w:val="24"/>
          <w:szCs w:val="24"/>
        </w:rPr>
        <w:t xml:space="preserve">Arti </w:t>
      </w:r>
      <w:r w:rsidRPr="00BE4AF3">
        <w:rPr>
          <w:rFonts w:ascii="Times New Roman" w:eastAsia="Times New Roman" w:hAnsi="Times New Roman" w:cs="Times New Roman"/>
          <w:i/>
          <w:sz w:val="24"/>
          <w:szCs w:val="24"/>
        </w:rPr>
        <w:t>et al.,</w:t>
      </w:r>
      <w:r w:rsidRPr="00BE4AF3">
        <w:rPr>
          <w:rFonts w:ascii="Times New Roman" w:eastAsia="Times New Roman" w:hAnsi="Times New Roman" w:cs="Times New Roman"/>
          <w:sz w:val="24"/>
          <w:szCs w:val="24"/>
        </w:rPr>
        <w:t xml:space="preserve"> 20</w:t>
      </w:r>
      <w:bookmarkEnd w:id="106"/>
      <w:r w:rsidRPr="00BE4AF3">
        <w:rPr>
          <w:rFonts w:ascii="Times New Roman" w:eastAsia="Times New Roman" w:hAnsi="Times New Roman" w:cs="Times New Roman"/>
          <w:sz w:val="24"/>
          <w:szCs w:val="24"/>
        </w:rPr>
        <w:t>22). Therefore, examining the spatial distribution and characteristics of motor parks in Ibadan is vital to understanding their impact on urban mobility and sustainability.</w:t>
      </w:r>
    </w:p>
    <w:p w14:paraId="03018B05" w14:textId="4BD58C91" w:rsidR="0000060D" w:rsidRPr="00BE4AF3" w:rsidRDefault="0000060D" w:rsidP="004D40EE">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Understanding the spatial distribution of motor parks is critical for improving urban mobility in Ibadan. Their location significantly influences traffic flow and accessibility. Studies have shown that poorly planned motor parks contribute to traffic congestion, especially in central business districts which are mainly located at the core zone of the city and major arterial roads (</w:t>
      </w:r>
      <w:r w:rsidRPr="00BE4AF3">
        <w:rPr>
          <w:rFonts w:ascii="Times New Roman" w:hAnsi="Times New Roman" w:cs="Times New Roman"/>
          <w:sz w:val="24"/>
          <w:szCs w:val="24"/>
        </w:rPr>
        <w:t xml:space="preserve">Akpoghomeh and Iweze, 2014; </w:t>
      </w:r>
      <w:r w:rsidRPr="00BE4AF3">
        <w:rPr>
          <w:rFonts w:ascii="Times New Roman" w:eastAsia="Times New Roman" w:hAnsi="Times New Roman" w:cs="Times New Roman"/>
          <w:sz w:val="24"/>
          <w:szCs w:val="24"/>
        </w:rPr>
        <w:t xml:space="preserve">Adeleke and Ajayi, 2016; Olawale and Ayodele, 2016). Therefore, motor parks are integral to urban infrastructure, but their improper siting and management can disrupt urban planning efforts. Motor Park operations often lead to environmental challenges such as noise, air pollution, and waste generation. They serve as centres of economic activities, fostering trade and creating employment opportunities. </w:t>
      </w:r>
    </w:p>
    <w:p w14:paraId="6D3EFC68" w14:textId="77777777" w:rsidR="0000060D" w:rsidRPr="00BE4AF3" w:rsidRDefault="0000060D" w:rsidP="0000060D">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Despite the importance of motor parks, there is limited scholarly attention on their spatial characteristics in Ibadan. </w:t>
      </w:r>
      <w:r w:rsidRPr="00BE4AF3">
        <w:rPr>
          <w:rFonts w:ascii="Times New Roman" w:hAnsi="Times New Roman" w:cs="Times New Roman"/>
          <w:sz w:val="24"/>
          <w:szCs w:val="24"/>
        </w:rPr>
        <w:t>While previous studies have explored aspects such as facility quality (Adebayo &amp; Zubair, 2016), commuter satisfaction (Hamza, 2021), crime incidence (Boessen &amp; Hipp, 2018; Eybergen &amp; Andresen, 2022), and the link between motor park operations and traffic congestion (Adeleke &amp; Ajayi, 2016), few have holistically examined how the spatial arrangement of motor parks interacts with urban form and mobility patterns. This oversight represents a significant gap in transportation geography and urban planning literature. Ibadan, as a rapidly expanding metropolis and one of the most populous cities in sub-Saharan Africa, presents a compelling case for such investigation. The city’s historical evolution, complex urban structure, and diverse transportation needs make it a microcosm of the planning challenges faced by many developing cities. Anchored on the urban complexities of Ibadan, this study not only addresses an evident knowledge gap but also offers empirical insights that are vital for informed urban policy formulation. The findings are expected to support evidence-based decisions for the optimal siting of motor parks, thereby improving connectivity, reducing congestion, and enhancing urban sustainability.</w:t>
      </w:r>
    </w:p>
    <w:p w14:paraId="24660777" w14:textId="77777777" w:rsidR="0000060D" w:rsidRPr="00BE4AF3" w:rsidRDefault="0000060D" w:rsidP="0000060D">
      <w:pPr>
        <w:tabs>
          <w:tab w:val="left" w:pos="3270"/>
        </w:tabs>
        <w:spacing w:after="0" w:line="240" w:lineRule="auto"/>
        <w:rPr>
          <w:rFonts w:ascii="Times New Roman" w:hAnsi="Times New Roman" w:cs="Times New Roman"/>
          <w:b/>
          <w:sz w:val="24"/>
          <w:szCs w:val="24"/>
        </w:rPr>
      </w:pPr>
    </w:p>
    <w:p w14:paraId="79391700" w14:textId="77777777" w:rsidR="0000060D" w:rsidRPr="00BE4AF3" w:rsidRDefault="0000060D" w:rsidP="0000060D">
      <w:pPr>
        <w:tabs>
          <w:tab w:val="left" w:pos="327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Material</w:t>
      </w:r>
      <w:r w:rsidRPr="00BE4AF3">
        <w:rPr>
          <w:rFonts w:ascii="Times New Roman" w:hAnsi="Times New Roman" w:cs="Times New Roman"/>
          <w:b/>
          <w:sz w:val="24"/>
          <w:szCs w:val="24"/>
          <w:lang w:val="en-US"/>
        </w:rPr>
        <w:t>s</w:t>
      </w:r>
      <w:r w:rsidRPr="00BE4AF3">
        <w:rPr>
          <w:rFonts w:ascii="Times New Roman" w:hAnsi="Times New Roman" w:cs="Times New Roman"/>
          <w:b/>
          <w:sz w:val="24"/>
          <w:szCs w:val="24"/>
        </w:rPr>
        <w:t xml:space="preserve"> and Methods</w:t>
      </w:r>
    </w:p>
    <w:p w14:paraId="1E3452BD" w14:textId="77777777" w:rsidR="0000060D" w:rsidRDefault="0000060D" w:rsidP="0000060D">
      <w:pPr>
        <w:pStyle w:val="NormalWeb"/>
        <w:spacing w:before="0" w:beforeAutospacing="0" w:after="0" w:afterAutospacing="0"/>
        <w:jc w:val="both"/>
      </w:pPr>
      <w:r w:rsidRPr="00BE4AF3">
        <w:t xml:space="preserve">Ibadan is a prominent transit point between the coastal region and the areas in the hinterland of Nigeria. It lies on coordinates: </w:t>
      </w:r>
      <w:r w:rsidRPr="00BE4AF3">
        <w:rPr>
          <w:rStyle w:val="latitude"/>
        </w:rPr>
        <w:t>7° 08′ 22″</w:t>
      </w:r>
      <w:r w:rsidRPr="00BE4AF3">
        <w:rPr>
          <w:rStyle w:val="plainlinks"/>
        </w:rPr>
        <w:t xml:space="preserve"> - </w:t>
      </w:r>
      <w:r w:rsidRPr="00BE4AF3">
        <w:rPr>
          <w:rStyle w:val="latitude"/>
        </w:rPr>
        <w:t>7° 23′ 47″ North of the Equator</w:t>
      </w:r>
      <w:r w:rsidRPr="00BE4AF3">
        <w:rPr>
          <w:rStyle w:val="geo-dms"/>
        </w:rPr>
        <w:t xml:space="preserve"> and </w:t>
      </w:r>
      <w:r w:rsidRPr="00BE4AF3">
        <w:rPr>
          <w:rStyle w:val="longitude"/>
        </w:rPr>
        <w:t>3° 39′ 0″</w:t>
      </w:r>
      <w:r w:rsidRPr="00BE4AF3">
        <w:rPr>
          <w:rStyle w:val="plainlinks"/>
        </w:rPr>
        <w:t xml:space="preserve"> - </w:t>
      </w:r>
      <w:r w:rsidRPr="00BE4AF3">
        <w:rPr>
          <w:rStyle w:val="longitude"/>
        </w:rPr>
        <w:t xml:space="preserve">4° 25′ 40″ </w:t>
      </w:r>
      <w:r w:rsidRPr="00BE4AF3">
        <w:rPr>
          <w:rStyle w:val="plainlinks"/>
        </w:rPr>
        <w:t>East of the Greenwich meridian (Figure 1)</w:t>
      </w:r>
      <w:r w:rsidRPr="00BE4AF3">
        <w:t>. It covers an area of 3,080km</w:t>
      </w:r>
      <w:r w:rsidRPr="00BE4AF3">
        <w:rPr>
          <w:vertAlign w:val="superscript"/>
        </w:rPr>
        <w:t>2</w:t>
      </w:r>
      <w:r w:rsidRPr="00BE4AF3">
        <w:t xml:space="preserve"> being the largest city in Nigeria and it is naturally drained by rivers with many tributaries and lakes. </w:t>
      </w:r>
      <w:r w:rsidRPr="00BE4AF3">
        <w:rPr>
          <w:color w:val="202122"/>
          <w:shd w:val="clear" w:color="auto" w:fill="FFFFFF"/>
        </w:rPr>
        <w:t>Ibadan has a </w:t>
      </w:r>
      <w:r w:rsidRPr="00BE4AF3">
        <w:rPr>
          <w:shd w:val="clear" w:color="auto" w:fill="FFFFFF"/>
        </w:rPr>
        <w:t>tropical wet and dry climate</w:t>
      </w:r>
      <w:r w:rsidRPr="00BE4AF3">
        <w:rPr>
          <w:color w:val="202122"/>
          <w:shd w:val="clear" w:color="auto" w:fill="FFFFFF"/>
        </w:rPr>
        <w:t xml:space="preserve"> with a lengthy </w:t>
      </w:r>
      <w:r w:rsidRPr="00BE4AF3">
        <w:rPr>
          <w:shd w:val="clear" w:color="auto" w:fill="FFFFFF"/>
        </w:rPr>
        <w:t>wet season</w:t>
      </w:r>
      <w:r w:rsidRPr="00BE4AF3">
        <w:rPr>
          <w:color w:val="202122"/>
          <w:shd w:val="clear" w:color="auto" w:fill="FFFFFF"/>
        </w:rPr>
        <w:t xml:space="preserve"> and relatively constant temperatures throughout the year (Britannica, 2021). Ibadan's wet season runs from March through October, </w:t>
      </w:r>
      <w:r w:rsidRPr="00BE4AF3">
        <w:rPr>
          <w:color w:val="202122"/>
          <w:shd w:val="clear" w:color="auto" w:fill="FFFFFF"/>
        </w:rPr>
        <w:lastRenderedPageBreak/>
        <w:t>though August sees somewhat of a lull in precipitation (</w:t>
      </w:r>
      <w:r w:rsidRPr="00BE4AF3">
        <w:rPr>
          <w:color w:val="222222"/>
          <w:shd w:val="clear" w:color="auto" w:fill="FFFFFF"/>
        </w:rPr>
        <w:t>Eguaroje</w:t>
      </w:r>
      <w:r w:rsidRPr="00BE4AF3">
        <w:rPr>
          <w:color w:val="202122"/>
          <w:shd w:val="clear" w:color="auto" w:fill="FFFFFF"/>
        </w:rPr>
        <w:t xml:space="preserve"> </w:t>
      </w:r>
      <w:r w:rsidRPr="00BE4AF3">
        <w:rPr>
          <w:i/>
          <w:color w:val="202122"/>
          <w:shd w:val="clear" w:color="auto" w:fill="FFFFFF"/>
        </w:rPr>
        <w:t>et al.,</w:t>
      </w:r>
      <w:r w:rsidRPr="00BE4AF3">
        <w:rPr>
          <w:color w:val="202122"/>
          <w:shd w:val="clear" w:color="auto" w:fill="FFFFFF"/>
        </w:rPr>
        <w:t xml:space="preserve"> 2015). The mean rainfall is approximately 1,230mm, falling over about 123 days, and the mean daily temperature is 26.46 °C or 79.63 °F with a relative humidity of 74.55% (</w:t>
      </w:r>
      <w:r w:rsidRPr="00BE4AF3">
        <w:rPr>
          <w:color w:val="222222"/>
          <w:shd w:val="clear" w:color="auto" w:fill="FFFFFF"/>
        </w:rPr>
        <w:t xml:space="preserve">Olayanu </w:t>
      </w:r>
      <w:r w:rsidRPr="00BE4AF3">
        <w:rPr>
          <w:i/>
          <w:color w:val="222222"/>
          <w:shd w:val="clear" w:color="auto" w:fill="FFFFFF"/>
        </w:rPr>
        <w:t>et al.</w:t>
      </w:r>
      <w:r w:rsidRPr="00BE4AF3">
        <w:rPr>
          <w:i/>
          <w:color w:val="202122"/>
          <w:shd w:val="clear" w:color="auto" w:fill="FFFFFF"/>
        </w:rPr>
        <w:t>,</w:t>
      </w:r>
      <w:r w:rsidRPr="00BE4AF3">
        <w:rPr>
          <w:color w:val="202122"/>
          <w:shd w:val="clear" w:color="auto" w:fill="FFFFFF"/>
        </w:rPr>
        <w:t xml:space="preserve"> 2022). </w:t>
      </w:r>
      <w:r w:rsidRPr="00BE4AF3">
        <w:rPr>
          <w:shd w:val="clear" w:color="auto" w:fill="FFFFFF"/>
        </w:rPr>
        <w:t>Ibadan is well served by roads. T</w:t>
      </w:r>
      <w:r w:rsidRPr="00BE4AF3">
        <w:t xml:space="preserve">he city is a major transportation hub with highways linking Lagos-Abeokuta in the Southwest, Ijebu Ode and Shagamu in the South, Oyo-Ilorin transport corridor to the North, Ife – Auchi traffic corridors to the East (Figure 2). </w:t>
      </w:r>
      <w:r w:rsidRPr="00BE4AF3">
        <w:rPr>
          <w:shd w:val="clear" w:color="auto" w:fill="FFFFFF"/>
        </w:rPr>
        <w:t xml:space="preserve">Road transport is the major means of transport used by the larger population of the city. The city has a fleet of privately-owned taxicabs and minibusses, and regular bus services are operated within the city and its suburbs. </w:t>
      </w:r>
      <w:r w:rsidRPr="00BE4AF3">
        <w:t>Modes of road transport are; taxi-cabs, midi buses commonly called ‘</w:t>
      </w:r>
      <w:r w:rsidRPr="00BE4AF3">
        <w:rPr>
          <w:i/>
          <w:iCs/>
        </w:rPr>
        <w:t>Danfos’</w:t>
      </w:r>
      <w:r w:rsidRPr="00BE4AF3">
        <w:t>, private cars, motorcycles commonly known as ‘</w:t>
      </w:r>
      <w:r w:rsidRPr="00BE4AF3">
        <w:rPr>
          <w:i/>
          <w:iCs/>
        </w:rPr>
        <w:t>Okadas’</w:t>
      </w:r>
      <w:r w:rsidRPr="00BE4AF3">
        <w:t xml:space="preserve">, and coach (bus) services, more commonly known as </w:t>
      </w:r>
      <w:r w:rsidRPr="00BE4AF3">
        <w:rPr>
          <w:i/>
        </w:rPr>
        <w:t>‘luxurious buses</w:t>
      </w:r>
      <w:r w:rsidRPr="00BE4AF3">
        <w:rPr>
          <w:iCs/>
        </w:rPr>
        <w:t>. These coach buses are majorly used for intercity travel.</w:t>
      </w:r>
      <w:r w:rsidRPr="00BE4AF3">
        <w:t xml:space="preserve"> These road transport options have contributed to the provision of both public and private motor parks within the city. The motor parks offer intercity and intracity travels along several traffic corridors distributed across the core, intermediate and peripheral zones. </w:t>
      </w:r>
    </w:p>
    <w:p w14:paraId="42A6277C" w14:textId="77777777" w:rsidR="004D40EE" w:rsidRPr="00BE4AF3" w:rsidRDefault="004D40EE" w:rsidP="0000060D">
      <w:pPr>
        <w:pStyle w:val="NormalWeb"/>
        <w:spacing w:before="0" w:beforeAutospacing="0" w:after="0" w:afterAutospacing="0"/>
        <w:jc w:val="both"/>
      </w:pPr>
    </w:p>
    <w:p w14:paraId="5856DA53" w14:textId="77777777" w:rsidR="0000060D" w:rsidRPr="00BE4AF3" w:rsidRDefault="0000060D" w:rsidP="004D40EE">
      <w:pPr>
        <w:pStyle w:val="NormalWeb"/>
        <w:spacing w:before="0" w:beforeAutospacing="0" w:after="0" w:afterAutospacing="0"/>
        <w:jc w:val="center"/>
      </w:pPr>
      <w:r w:rsidRPr="00BE4AF3">
        <w:rPr>
          <w:noProof/>
          <w:lang w:eastAsia="en-GB"/>
        </w:rPr>
        <w:drawing>
          <wp:inline distT="0" distB="0" distL="0" distR="0" wp14:anchorId="5ACFE72B" wp14:editId="007778A7">
            <wp:extent cx="5295613" cy="5198636"/>
            <wp:effectExtent l="0" t="8572" r="0" b="0"/>
            <wp:docPr id="1178787259" name="Picture 1178787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 of Ibadan.png"/>
                    <pic:cNvPicPr/>
                  </pic:nvPicPr>
                  <pic:blipFill rotWithShape="1">
                    <a:blip r:embed="rId217" cstate="print">
                      <a:extLst>
                        <a:ext uri="{28A0092B-C50C-407E-A947-70E740481C1C}">
                          <a14:useLocalDpi xmlns:a14="http://schemas.microsoft.com/office/drawing/2010/main" val="0"/>
                        </a:ext>
                      </a:extLst>
                    </a:blip>
                    <a:srcRect l="2258" r="2359"/>
                    <a:stretch/>
                  </pic:blipFill>
                  <pic:spPr bwMode="auto">
                    <a:xfrm rot="16200000">
                      <a:off x="0" y="0"/>
                      <a:ext cx="5310428" cy="5213179"/>
                    </a:xfrm>
                    <a:prstGeom prst="rect">
                      <a:avLst/>
                    </a:prstGeom>
                    <a:ln>
                      <a:noFill/>
                    </a:ln>
                    <a:extLst>
                      <a:ext uri="{53640926-AAD7-44D8-BBD7-CCE9431645EC}">
                        <a14:shadowObscured xmlns:a14="http://schemas.microsoft.com/office/drawing/2010/main"/>
                      </a:ext>
                    </a:extLst>
                  </pic:spPr>
                </pic:pic>
              </a:graphicData>
            </a:graphic>
          </wp:inline>
        </w:drawing>
      </w:r>
    </w:p>
    <w:p w14:paraId="17028ECD" w14:textId="77777777" w:rsidR="0000060D" w:rsidRPr="004D40EE" w:rsidRDefault="0000060D" w:rsidP="004D40EE">
      <w:pPr>
        <w:pStyle w:val="Caption"/>
        <w:jc w:val="center"/>
        <w:rPr>
          <w:rFonts w:ascii="Times New Roman" w:hAnsi="Times New Roman" w:cs="Times New Roman"/>
          <w:i w:val="0"/>
          <w:iCs w:val="0"/>
          <w:color w:val="000000" w:themeColor="text1"/>
          <w:sz w:val="24"/>
          <w:szCs w:val="24"/>
        </w:rPr>
      </w:pPr>
      <w:r w:rsidRPr="004D40EE">
        <w:rPr>
          <w:rFonts w:ascii="Times New Roman" w:hAnsi="Times New Roman" w:cs="Times New Roman"/>
          <w:b/>
          <w:bCs/>
          <w:i w:val="0"/>
          <w:iCs w:val="0"/>
          <w:color w:val="000000" w:themeColor="text1"/>
          <w:sz w:val="24"/>
          <w:szCs w:val="24"/>
        </w:rPr>
        <w:t xml:space="preserve">Figure </w:t>
      </w:r>
      <w:r w:rsidRPr="004D40EE">
        <w:rPr>
          <w:rFonts w:ascii="Times New Roman" w:hAnsi="Times New Roman" w:cs="Times New Roman"/>
          <w:b/>
          <w:bCs/>
          <w:i w:val="0"/>
          <w:iCs w:val="0"/>
          <w:color w:val="000000" w:themeColor="text1"/>
          <w:sz w:val="24"/>
          <w:szCs w:val="24"/>
        </w:rPr>
        <w:fldChar w:fldCharType="begin"/>
      </w:r>
      <w:r w:rsidRPr="004D40EE">
        <w:rPr>
          <w:rFonts w:ascii="Times New Roman" w:hAnsi="Times New Roman" w:cs="Times New Roman"/>
          <w:b/>
          <w:bCs/>
          <w:i w:val="0"/>
          <w:iCs w:val="0"/>
          <w:color w:val="000000" w:themeColor="text1"/>
          <w:sz w:val="24"/>
          <w:szCs w:val="24"/>
        </w:rPr>
        <w:instrText xml:space="preserve"> SEQ Figure_1. \* ARABIC </w:instrText>
      </w:r>
      <w:r w:rsidRPr="004D40EE">
        <w:rPr>
          <w:rFonts w:ascii="Times New Roman" w:hAnsi="Times New Roman" w:cs="Times New Roman"/>
          <w:b/>
          <w:bCs/>
          <w:i w:val="0"/>
          <w:iCs w:val="0"/>
          <w:color w:val="000000" w:themeColor="text1"/>
          <w:sz w:val="24"/>
          <w:szCs w:val="24"/>
        </w:rPr>
        <w:fldChar w:fldCharType="separate"/>
      </w:r>
      <w:r w:rsidRPr="004D40EE">
        <w:rPr>
          <w:rFonts w:ascii="Times New Roman" w:hAnsi="Times New Roman" w:cs="Times New Roman"/>
          <w:b/>
          <w:bCs/>
          <w:i w:val="0"/>
          <w:iCs w:val="0"/>
          <w:noProof/>
          <w:color w:val="000000" w:themeColor="text1"/>
          <w:sz w:val="24"/>
          <w:szCs w:val="24"/>
        </w:rPr>
        <w:t>1</w:t>
      </w:r>
      <w:r w:rsidRPr="004D40EE">
        <w:rPr>
          <w:rFonts w:ascii="Times New Roman" w:hAnsi="Times New Roman" w:cs="Times New Roman"/>
          <w:b/>
          <w:bCs/>
          <w:i w:val="0"/>
          <w:iCs w:val="0"/>
          <w:color w:val="000000" w:themeColor="text1"/>
          <w:sz w:val="24"/>
          <w:szCs w:val="24"/>
        </w:rPr>
        <w:fldChar w:fldCharType="end"/>
      </w:r>
      <w:r w:rsidRPr="004D40EE">
        <w:rPr>
          <w:rFonts w:ascii="Times New Roman" w:hAnsi="Times New Roman" w:cs="Times New Roman"/>
          <w:b/>
          <w:bCs/>
          <w:i w:val="0"/>
          <w:iCs w:val="0"/>
          <w:color w:val="000000" w:themeColor="text1"/>
          <w:sz w:val="24"/>
          <w:szCs w:val="24"/>
        </w:rPr>
        <w:t>:</w:t>
      </w:r>
      <w:r w:rsidRPr="004D40EE">
        <w:rPr>
          <w:rFonts w:ascii="Times New Roman" w:hAnsi="Times New Roman" w:cs="Times New Roman"/>
          <w:i w:val="0"/>
          <w:iCs w:val="0"/>
          <w:color w:val="000000" w:themeColor="text1"/>
          <w:sz w:val="24"/>
          <w:szCs w:val="24"/>
        </w:rPr>
        <w:t xml:space="preserve"> Ibadan within the Context of Nigeria</w:t>
      </w:r>
    </w:p>
    <w:p w14:paraId="582D107C" w14:textId="77777777" w:rsidR="0000060D" w:rsidRPr="00BE4AF3" w:rsidRDefault="0000060D" w:rsidP="0000060D">
      <w:pPr>
        <w:pStyle w:val="NormalWeb"/>
        <w:spacing w:before="0" w:beforeAutospacing="0" w:after="0" w:afterAutospacing="0"/>
        <w:jc w:val="both"/>
      </w:pPr>
    </w:p>
    <w:p w14:paraId="53DE3FDC" w14:textId="77777777" w:rsidR="0000060D" w:rsidRPr="00BE4AF3" w:rsidRDefault="0000060D" w:rsidP="004D40EE">
      <w:pPr>
        <w:spacing w:after="0" w:line="240" w:lineRule="auto"/>
        <w:jc w:val="center"/>
        <w:rPr>
          <w:rFonts w:ascii="Times New Roman" w:hAnsi="Times New Roman" w:cs="Times New Roman"/>
          <w:sz w:val="24"/>
          <w:szCs w:val="24"/>
        </w:rPr>
      </w:pPr>
      <w:r w:rsidRPr="00BE4AF3">
        <w:rPr>
          <w:rFonts w:ascii="Times New Roman" w:hAnsi="Times New Roman" w:cs="Times New Roman"/>
          <w:noProof/>
          <w:sz w:val="24"/>
          <w:szCs w:val="24"/>
          <w:lang w:eastAsia="en-GB"/>
        </w:rPr>
        <w:lastRenderedPageBreak/>
        <w:drawing>
          <wp:inline distT="0" distB="0" distL="0" distR="0" wp14:anchorId="73DEA975" wp14:editId="4017D9C7">
            <wp:extent cx="5261488" cy="2291252"/>
            <wp:effectExtent l="0" t="0" r="0" b="0"/>
            <wp:docPr id="1178787260" name="Picture 1178787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310749" cy="2312704"/>
                    </a:xfrm>
                    <a:prstGeom prst="rect">
                      <a:avLst/>
                    </a:prstGeom>
                    <a:noFill/>
                    <a:ln>
                      <a:noFill/>
                    </a:ln>
                  </pic:spPr>
                </pic:pic>
              </a:graphicData>
            </a:graphic>
          </wp:inline>
        </w:drawing>
      </w:r>
    </w:p>
    <w:p w14:paraId="1044BA75" w14:textId="77777777" w:rsidR="0000060D" w:rsidRPr="004D40EE" w:rsidRDefault="0000060D" w:rsidP="004D40EE">
      <w:pPr>
        <w:pStyle w:val="Caption"/>
        <w:jc w:val="center"/>
        <w:rPr>
          <w:rFonts w:ascii="Times New Roman" w:hAnsi="Times New Roman" w:cs="Times New Roman"/>
          <w:b/>
          <w:i w:val="0"/>
          <w:iCs w:val="0"/>
          <w:color w:val="000000" w:themeColor="text1"/>
          <w:sz w:val="24"/>
          <w:szCs w:val="24"/>
        </w:rPr>
      </w:pPr>
      <w:r w:rsidRPr="004D40EE">
        <w:rPr>
          <w:rFonts w:ascii="Times New Roman" w:hAnsi="Times New Roman" w:cs="Times New Roman"/>
          <w:b/>
          <w:bCs/>
          <w:i w:val="0"/>
          <w:iCs w:val="0"/>
          <w:color w:val="000000" w:themeColor="text1"/>
          <w:sz w:val="24"/>
          <w:szCs w:val="24"/>
        </w:rPr>
        <w:t xml:space="preserve">Figure </w:t>
      </w:r>
      <w:r w:rsidRPr="004D40EE">
        <w:rPr>
          <w:rFonts w:ascii="Times New Roman" w:hAnsi="Times New Roman" w:cs="Times New Roman"/>
          <w:b/>
          <w:bCs/>
          <w:i w:val="0"/>
          <w:iCs w:val="0"/>
          <w:color w:val="000000" w:themeColor="text1"/>
          <w:sz w:val="24"/>
          <w:szCs w:val="24"/>
        </w:rPr>
        <w:fldChar w:fldCharType="begin"/>
      </w:r>
      <w:r w:rsidRPr="004D40EE">
        <w:rPr>
          <w:rFonts w:ascii="Times New Roman" w:hAnsi="Times New Roman" w:cs="Times New Roman"/>
          <w:b/>
          <w:bCs/>
          <w:i w:val="0"/>
          <w:iCs w:val="0"/>
          <w:color w:val="000000" w:themeColor="text1"/>
          <w:sz w:val="24"/>
          <w:szCs w:val="24"/>
        </w:rPr>
        <w:instrText xml:space="preserve"> SEQ Figure_1. \* ARABIC </w:instrText>
      </w:r>
      <w:r w:rsidRPr="004D40EE">
        <w:rPr>
          <w:rFonts w:ascii="Times New Roman" w:hAnsi="Times New Roman" w:cs="Times New Roman"/>
          <w:b/>
          <w:bCs/>
          <w:i w:val="0"/>
          <w:iCs w:val="0"/>
          <w:color w:val="000000" w:themeColor="text1"/>
          <w:sz w:val="24"/>
          <w:szCs w:val="24"/>
        </w:rPr>
        <w:fldChar w:fldCharType="separate"/>
      </w:r>
      <w:r w:rsidRPr="004D40EE">
        <w:rPr>
          <w:rFonts w:ascii="Times New Roman" w:hAnsi="Times New Roman" w:cs="Times New Roman"/>
          <w:b/>
          <w:bCs/>
          <w:i w:val="0"/>
          <w:iCs w:val="0"/>
          <w:noProof/>
          <w:color w:val="000000" w:themeColor="text1"/>
          <w:sz w:val="24"/>
          <w:szCs w:val="24"/>
        </w:rPr>
        <w:t>2</w:t>
      </w:r>
      <w:r w:rsidRPr="004D40EE">
        <w:rPr>
          <w:rFonts w:ascii="Times New Roman" w:hAnsi="Times New Roman" w:cs="Times New Roman"/>
          <w:b/>
          <w:bCs/>
          <w:i w:val="0"/>
          <w:iCs w:val="0"/>
          <w:color w:val="000000" w:themeColor="text1"/>
          <w:sz w:val="24"/>
          <w:szCs w:val="24"/>
        </w:rPr>
        <w:fldChar w:fldCharType="end"/>
      </w:r>
      <w:r w:rsidRPr="004D40EE">
        <w:rPr>
          <w:rFonts w:ascii="Times New Roman" w:hAnsi="Times New Roman" w:cs="Times New Roman"/>
          <w:b/>
          <w:bCs/>
          <w:i w:val="0"/>
          <w:iCs w:val="0"/>
          <w:color w:val="000000" w:themeColor="text1"/>
          <w:sz w:val="24"/>
          <w:szCs w:val="24"/>
        </w:rPr>
        <w:t>:</w:t>
      </w:r>
      <w:r w:rsidRPr="004D40EE">
        <w:rPr>
          <w:rFonts w:ascii="Times New Roman" w:hAnsi="Times New Roman" w:cs="Times New Roman"/>
          <w:i w:val="0"/>
          <w:iCs w:val="0"/>
          <w:color w:val="000000" w:themeColor="text1"/>
          <w:sz w:val="24"/>
          <w:szCs w:val="24"/>
        </w:rPr>
        <w:t xml:space="preserve"> Transport Routes and Motor Parks in Ibadan</w:t>
      </w:r>
    </w:p>
    <w:p w14:paraId="37B1E4AF" w14:textId="77777777" w:rsidR="0000060D" w:rsidRPr="00BE4AF3" w:rsidRDefault="0000060D" w:rsidP="0000060D">
      <w:pPr>
        <w:pStyle w:val="NormalWeb"/>
        <w:spacing w:before="0" w:beforeAutospacing="0" w:after="0" w:afterAutospacing="0"/>
        <w:jc w:val="both"/>
        <w:rPr>
          <w:b/>
        </w:rPr>
      </w:pPr>
      <w:r w:rsidRPr="00BE4AF3">
        <w:rPr>
          <w:b/>
        </w:rPr>
        <w:t>Methodology</w:t>
      </w:r>
    </w:p>
    <w:p w14:paraId="3E9EE0AC" w14:textId="77777777" w:rsidR="0000060D" w:rsidRPr="00BE4AF3" w:rsidRDefault="0000060D" w:rsidP="0000060D">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Primary data were used to acquire information on location and characteristics of motor parks. Handheld Geospatial Positioning System (GPS), Google Earth Satellite Imagery, and Quantum Geospatial Information System (QGIS) were utilized . Ground truthing was done with the aid of </w:t>
      </w:r>
      <w:r w:rsidRPr="00BE4AF3">
        <w:rPr>
          <w:rFonts w:ascii="Times New Roman" w:hAnsi="Times New Roman" w:cs="Times New Roman"/>
          <w:bCs/>
          <w:sz w:val="24"/>
          <w:szCs w:val="24"/>
        </w:rPr>
        <w:t xml:space="preserve">GPS Device (Garmin Gpsmap 79Sc) to acquire the coordinates of motor parks, while QGIS 3.38.0 and Google Earth Satellite Imagery of 2024 were used to process the information. </w:t>
      </w:r>
      <w:r w:rsidRPr="00BE4AF3">
        <w:rPr>
          <w:rFonts w:ascii="Times New Roman" w:hAnsi="Times New Roman" w:cs="Times New Roman"/>
          <w:sz w:val="24"/>
          <w:szCs w:val="24"/>
        </w:rPr>
        <w:t xml:space="preserve">QGIS was used to characterize and delineate the motor parks into their appropriate spatial location vis a viz: core; intermediate; and peripheral zones. Observatory study mission was conducted to document the characteristics </w:t>
      </w:r>
      <w:r w:rsidRPr="00BE4AF3">
        <w:rPr>
          <w:rFonts w:ascii="Times New Roman" w:hAnsi="Times New Roman" w:cs="Times New Roman"/>
          <w:bCs/>
          <w:sz w:val="24"/>
          <w:szCs w:val="24"/>
        </w:rPr>
        <w:t>(</w:t>
      </w:r>
      <w:r w:rsidRPr="00BE4AF3">
        <w:rPr>
          <w:rFonts w:ascii="Times New Roman" w:hAnsi="Times New Roman" w:cs="Times New Roman"/>
          <w:sz w:val="24"/>
          <w:szCs w:val="24"/>
        </w:rPr>
        <w:t>mode of operation, ownership, and space</w:t>
      </w:r>
      <w:r w:rsidRPr="00BE4AF3">
        <w:rPr>
          <w:rFonts w:ascii="Times New Roman" w:hAnsi="Times New Roman" w:cs="Times New Roman"/>
          <w:bCs/>
          <w:sz w:val="24"/>
          <w:szCs w:val="24"/>
        </w:rPr>
        <w:t xml:space="preserve"> properties)</w:t>
      </w:r>
      <w:r w:rsidRPr="00BE4AF3">
        <w:rPr>
          <w:rFonts w:ascii="Times New Roman" w:hAnsi="Times New Roman" w:cs="Times New Roman"/>
          <w:sz w:val="24"/>
          <w:szCs w:val="24"/>
        </w:rPr>
        <w:t xml:space="preserve"> of motor parks in Ibadan. Descriptive and inferential methods were used to analyse data on characteristics and spatial distribution motor parks respectively while Nearest Neighbour Analysis (NNA) was used to examine the spatial distribution of motor parks in Ibadan. </w:t>
      </w:r>
    </w:p>
    <w:p w14:paraId="701DEAD1" w14:textId="77777777" w:rsidR="0000060D" w:rsidRPr="00BE4AF3" w:rsidRDefault="0000060D" w:rsidP="0000060D">
      <w:pPr>
        <w:tabs>
          <w:tab w:val="left" w:pos="3270"/>
        </w:tabs>
        <w:spacing w:after="0" w:line="240" w:lineRule="auto"/>
        <w:jc w:val="both"/>
        <w:rPr>
          <w:rFonts w:ascii="Times New Roman" w:hAnsi="Times New Roman" w:cs="Times New Roman"/>
          <w:b/>
          <w:sz w:val="24"/>
          <w:szCs w:val="24"/>
        </w:rPr>
      </w:pPr>
    </w:p>
    <w:p w14:paraId="46C646F1" w14:textId="77777777" w:rsidR="0000060D" w:rsidRPr="00BE4AF3" w:rsidRDefault="0000060D" w:rsidP="0000060D">
      <w:pPr>
        <w:tabs>
          <w:tab w:val="left" w:pos="327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Results and Discussion</w:t>
      </w:r>
    </w:p>
    <w:p w14:paraId="3F9C5E7F" w14:textId="77777777" w:rsidR="0000060D" w:rsidRPr="00BE4AF3" w:rsidRDefault="0000060D" w:rsidP="0000060D">
      <w:pPr>
        <w:pStyle w:val="Heading2"/>
        <w:spacing w:before="0" w:line="240" w:lineRule="auto"/>
        <w:jc w:val="both"/>
        <w:rPr>
          <w:rFonts w:ascii="Times New Roman" w:hAnsi="Times New Roman" w:cs="Times New Roman"/>
          <w:i/>
          <w:color w:val="auto"/>
          <w:sz w:val="24"/>
          <w:szCs w:val="24"/>
          <w:lang w:val="en-US"/>
        </w:rPr>
      </w:pPr>
      <w:r w:rsidRPr="00BE4AF3">
        <w:rPr>
          <w:rFonts w:ascii="Times New Roman" w:hAnsi="Times New Roman" w:cs="Times New Roman"/>
          <w:i/>
          <w:color w:val="auto"/>
          <w:sz w:val="24"/>
          <w:szCs w:val="24"/>
          <w:lang w:val="en-US"/>
        </w:rPr>
        <w:t>Inventory and Characteristics of Motor Parks in Ibadan</w:t>
      </w:r>
    </w:p>
    <w:p w14:paraId="69315FE0" w14:textId="77777777" w:rsidR="004D40EE" w:rsidRDefault="0000060D" w:rsidP="004D40EE">
      <w:pPr>
        <w:spacing w:after="0" w:line="240" w:lineRule="auto"/>
        <w:jc w:val="both"/>
        <w:rPr>
          <w:rFonts w:ascii="Times New Roman" w:eastAsia="Times New Roman" w:hAnsi="Times New Roman" w:cs="Times New Roman"/>
          <w:sz w:val="24"/>
          <w:szCs w:val="24"/>
          <w:lang w:val="en-US"/>
        </w:rPr>
      </w:pPr>
      <w:r w:rsidRPr="00BE4AF3">
        <w:rPr>
          <w:rFonts w:ascii="Times New Roman" w:eastAsia="Times New Roman" w:hAnsi="Times New Roman" w:cs="Times New Roman"/>
          <w:sz w:val="24"/>
          <w:szCs w:val="24"/>
          <w:lang w:val="en-US"/>
        </w:rPr>
        <w:t>A total of 73 motor parks were identified in Ibadan. Of these, 42.5% were located in the core zone—including locations such as Bodija, Agodi-Gate, Orita Aperin, Sango, Molete, Beere, and Oja Oba—and another 42.5% were found in the intermediate zone, which includes Iwo Road, Soka, and the ABC Terminal (see Table 1). The intermediate zone also houses two modernized bus terminals (Ojoo and Challenge), one modern car park (Challenge Car Park), and the uncompleted Iwo Road Bus Terminal. The peripheral zone accounted for only 15.0% of the motor parks, including those at Toll Gate, Omi Adio, Akinyele, and Moniya, among others (Figure 3). This distribution suggests that both the core and intermediate zones experience more transportation activity due to their higher population densities. This finding aligns with Boessen and Hipp (2018), who noted that dense populations require more transport infrastructure. With only 15% of motor parks in the periphery, this zone has the fewest transportation hubs.</w:t>
      </w:r>
    </w:p>
    <w:p w14:paraId="36C8EE73" w14:textId="360B43B6" w:rsidR="0000060D" w:rsidRPr="00BE4AF3" w:rsidRDefault="0000060D" w:rsidP="004D40EE">
      <w:pPr>
        <w:spacing w:after="0" w:line="240" w:lineRule="auto"/>
        <w:jc w:val="both"/>
        <w:rPr>
          <w:rFonts w:ascii="Times New Roman" w:eastAsia="Times New Roman" w:hAnsi="Times New Roman" w:cs="Times New Roman"/>
          <w:sz w:val="24"/>
          <w:szCs w:val="24"/>
          <w:lang w:val="en-US"/>
        </w:rPr>
      </w:pPr>
      <w:r w:rsidRPr="00BE4AF3">
        <w:rPr>
          <w:rFonts w:ascii="Times New Roman" w:eastAsia="Times New Roman" w:hAnsi="Times New Roman" w:cs="Times New Roman"/>
          <w:sz w:val="24"/>
          <w:szCs w:val="24"/>
          <w:lang w:val="en-US"/>
        </w:rPr>
        <w:t xml:space="preserve">Furthermore, 74.0% of the motor parks were public, such as those at Dugbe, Mokola Roundabout, Akinyele, and Sango, while the remaining 26.0% were private (Figure 4), including Roller Coaster, Peace Mass Transit (PMT), and Delta Express. This equates to 54 public and 19 private motor parks. Public motor parks were spread across the core (20), intermediate (23), and peripheral (11) zones. However, most private motor parks (11) were located in the core zone, with the remaining 8 in the intermediate zone. None were found in the periphery. This reflects the high demand for transportation in the core area, driven by population density and urban activities. The concentration of governmental and administrative institutions such as the Oyo State Secretariat, Federal Secretariat, Industrial Training Fund (ITF), Broadcasting Corporation </w:t>
      </w:r>
      <w:r w:rsidRPr="00BE4AF3">
        <w:rPr>
          <w:rFonts w:ascii="Times New Roman" w:eastAsia="Times New Roman" w:hAnsi="Times New Roman" w:cs="Times New Roman"/>
          <w:sz w:val="24"/>
          <w:szCs w:val="24"/>
          <w:lang w:val="en-US"/>
        </w:rPr>
        <w:lastRenderedPageBreak/>
        <w:t>of Oyo State (BCOS), and the Nigeria Immigration Service (Zone F HQ) likely increases the need for transport services in the core. In contrast, the intermediate zone's fewer private parks suggest a more mixed or transitional land-use pattern. The absence of private parks in the periphery may stem from lower population densities, an agrarian economy, and minimal transportation demand, which may deter private investment due to anticipated low patronage and poor economic returns.</w:t>
      </w:r>
    </w:p>
    <w:p w14:paraId="557083F9" w14:textId="77777777" w:rsidR="0000060D" w:rsidRPr="00BE4AF3" w:rsidRDefault="0000060D" w:rsidP="004D40EE">
      <w:pPr>
        <w:spacing w:after="0" w:line="240" w:lineRule="auto"/>
        <w:jc w:val="both"/>
        <w:rPr>
          <w:rFonts w:ascii="Times New Roman" w:eastAsia="Times New Roman" w:hAnsi="Times New Roman" w:cs="Times New Roman"/>
          <w:sz w:val="24"/>
          <w:szCs w:val="24"/>
          <w:lang w:val="en-US"/>
        </w:rPr>
      </w:pPr>
      <w:r w:rsidRPr="00BE4AF3">
        <w:rPr>
          <w:rFonts w:ascii="Times New Roman" w:eastAsia="Times New Roman" w:hAnsi="Times New Roman" w:cs="Times New Roman"/>
          <w:sz w:val="24"/>
          <w:szCs w:val="24"/>
          <w:lang w:val="en-US"/>
        </w:rPr>
        <w:t>This spatial pattern highlights disparities in infrastructure and economic activity across zones. The core is the most active, followed by the intermediate zone, while the periphery is the least developed in transport infrastructure. In terms of service type, 47.9% of motor parks served intracity routes, 34.2% offered intercity services, and 16.5% operated both (Figure 5). Intracity services were dominant in the core (21.9%) and periphery (8.2%) zones, while the intermediate zone had the highest share (17.8%) of intercity parks. The intermediate zone also had more hybrid parks (8.2%) compared to the periphery (5.5%) and core (2.7%). This indicates that the core zone mainly supports local transport, likely due to its high population and role as the city's historical and administrative heart. It also contains the main commercial and governmental centers, requiring daily local travel for services and commerce (Haruna &amp; Ochigbo, 2021).</w:t>
      </w:r>
    </w:p>
    <w:p w14:paraId="5883CB43" w14:textId="77777777" w:rsidR="0000060D" w:rsidRPr="00BE4AF3" w:rsidRDefault="0000060D" w:rsidP="004D40EE">
      <w:pPr>
        <w:spacing w:after="0" w:line="240" w:lineRule="auto"/>
        <w:jc w:val="both"/>
        <w:rPr>
          <w:rFonts w:ascii="Times New Roman" w:eastAsia="Times New Roman" w:hAnsi="Times New Roman" w:cs="Times New Roman"/>
          <w:sz w:val="24"/>
          <w:szCs w:val="24"/>
          <w:lang w:val="en-US"/>
        </w:rPr>
      </w:pPr>
      <w:r w:rsidRPr="00BE4AF3">
        <w:rPr>
          <w:rFonts w:ascii="Times New Roman" w:eastAsia="Times New Roman" w:hAnsi="Times New Roman" w:cs="Times New Roman"/>
          <w:sz w:val="24"/>
          <w:szCs w:val="24"/>
          <w:lang w:val="en-US"/>
        </w:rPr>
        <w:t>The intermediate zone, serving as a transport hub connecting Ibadan with other cities, reflects higher intercity transport demand. Its relatively high number of hybrid parks shows the need for versatile services catering to both local and intercity travelers. The presence of the under-construction Iwo Road Bus Terminal further indicates ongoing development in this zone. Meanwhile, the periphery’s focus on intracity services caters to local residents, with fewer motor parks in general due to sparse settlement patterns. Isolated parks such as Toll Gate, Iyana Ajia, Fasade, and Lalupon-Erunmu illustrate the lower demand resulting from reduced population density. These findings align with Boessen and Hipp (2018) and Vildosola et al. (2020), who emphasized that transportation infrastructure follows economic and demographic patterns. Hence, zones with more economic activity—such as the core and intermediate areas—have higher transportation service frequencies. More than half (52.1%) of motor parks in Ibadan are situated in designated terminals (bus stations), while 47.9% operate at curbside locations or laybys (Table 1). Despite their presence in bus stations, many public motor parks—such as those at Dugbe and Mokola Roundabout—have spilled operations onto nearby roads. Some private operators, like ICT Transport, also function from the roadside.</w:t>
      </w:r>
    </w:p>
    <w:p w14:paraId="5319A114" w14:textId="77777777" w:rsidR="0000060D" w:rsidRPr="00BE4AF3" w:rsidRDefault="0000060D" w:rsidP="004D40EE">
      <w:pPr>
        <w:spacing w:after="0" w:line="240" w:lineRule="auto"/>
        <w:jc w:val="both"/>
        <w:rPr>
          <w:rFonts w:ascii="Times New Roman" w:eastAsia="Times New Roman" w:hAnsi="Times New Roman" w:cs="Times New Roman"/>
          <w:sz w:val="24"/>
          <w:szCs w:val="24"/>
          <w:lang w:val="en-US"/>
        </w:rPr>
      </w:pPr>
      <w:r w:rsidRPr="00BE4AF3">
        <w:rPr>
          <w:rFonts w:ascii="Times New Roman" w:eastAsia="Times New Roman" w:hAnsi="Times New Roman" w:cs="Times New Roman"/>
          <w:sz w:val="24"/>
          <w:szCs w:val="24"/>
          <w:lang w:val="en-US"/>
        </w:rPr>
        <w:t>In the core zone, most parks (23.3%) operate from curbsides—examples include Mokola-Roundabout, Oja Oba, Beere, Orita Merin, and Dugbe Alawo—while others (19.2%) such as Sango, Apete, Ifesinachi, Akwa Ibom Transport Company, and City Roller operate from proper terminals (Figure 6). In the intermediate zone, the majority (32.9%)—including Ojoo and Challenge terminals, Challenge Car Park, ABC Transport, and Ajimobi Park—operate from bus stations, with fewer parks (9.6%) using curbsides.</w:t>
      </w:r>
    </w:p>
    <w:p w14:paraId="19457102" w14:textId="77777777" w:rsidR="0000060D" w:rsidRDefault="0000060D" w:rsidP="004D40EE">
      <w:pPr>
        <w:spacing w:after="0" w:line="240" w:lineRule="auto"/>
        <w:jc w:val="both"/>
        <w:rPr>
          <w:rFonts w:ascii="Times New Roman" w:eastAsia="Times New Roman" w:hAnsi="Times New Roman" w:cs="Times New Roman"/>
          <w:sz w:val="24"/>
          <w:szCs w:val="24"/>
          <w:lang w:val="en-US"/>
        </w:rPr>
      </w:pPr>
      <w:r w:rsidRPr="00BE4AF3">
        <w:rPr>
          <w:rFonts w:ascii="Times New Roman" w:eastAsia="Times New Roman" w:hAnsi="Times New Roman" w:cs="Times New Roman"/>
          <w:sz w:val="24"/>
          <w:szCs w:val="24"/>
          <w:lang w:val="en-US"/>
        </w:rPr>
        <w:t>Bus stations generally offer safer, more organized environments. However, the mix of station-based and curbside parks can reduce system efficiency, leading to overcrowding, congestion, and reduced security. This is particularly true for curbside operations, which often lack the necessary infrastructure for traffic and passenger control. Notably, all motor parks in the periphery zone (15.1%) function at the curbside. These can disrupt traffic flow due to on-street parking, loading, and offloading activities. Conversely, although bus stations are safer, overflow onto curbsides can undermine their benefits. A unique feature of public motor parks in Nigeria is their naming convention. Typically, parks are named after their neighborhoods or nearby landmarks e.g., Omi Adio, Akinyele, Sango, Bodija, Dugbe, Ojoo, Ajibode, Muslim, Academy, and Amuloko. Some are named after local markets, like Oja Oba and Aleshinloye. The Mokola-Roundabout Motor Park derives its name from a major traffic circle in the area.</w:t>
      </w:r>
    </w:p>
    <w:p w14:paraId="22B98C30" w14:textId="77777777" w:rsidR="004D40EE" w:rsidRDefault="004D40EE" w:rsidP="004D40EE">
      <w:pPr>
        <w:spacing w:after="0" w:line="240" w:lineRule="auto"/>
        <w:jc w:val="both"/>
        <w:rPr>
          <w:rFonts w:ascii="Times New Roman" w:eastAsia="Times New Roman" w:hAnsi="Times New Roman" w:cs="Times New Roman"/>
          <w:sz w:val="24"/>
          <w:szCs w:val="24"/>
          <w:lang w:val="en-US"/>
        </w:rPr>
      </w:pPr>
    </w:p>
    <w:p w14:paraId="1CC7BA97" w14:textId="77777777" w:rsidR="004D40EE" w:rsidRDefault="004D40EE" w:rsidP="004D40EE">
      <w:pPr>
        <w:spacing w:after="0" w:line="240" w:lineRule="auto"/>
        <w:jc w:val="both"/>
        <w:rPr>
          <w:rFonts w:ascii="Times New Roman" w:eastAsia="Times New Roman" w:hAnsi="Times New Roman" w:cs="Times New Roman"/>
          <w:sz w:val="24"/>
          <w:szCs w:val="24"/>
          <w:lang w:val="en-US"/>
        </w:rPr>
      </w:pPr>
    </w:p>
    <w:p w14:paraId="19A26AA3" w14:textId="77777777" w:rsidR="004D40EE" w:rsidRPr="00BE4AF3" w:rsidRDefault="004D40EE" w:rsidP="004D40EE">
      <w:pPr>
        <w:spacing w:after="0" w:line="240" w:lineRule="auto"/>
        <w:jc w:val="both"/>
        <w:rPr>
          <w:rFonts w:ascii="Times New Roman" w:eastAsia="Times New Roman" w:hAnsi="Times New Roman" w:cs="Times New Roman"/>
          <w:sz w:val="24"/>
          <w:szCs w:val="24"/>
          <w:lang w:val="en-US"/>
        </w:rPr>
      </w:pPr>
    </w:p>
    <w:p w14:paraId="180D0D0E" w14:textId="77777777" w:rsidR="0000060D" w:rsidRPr="004D40EE" w:rsidRDefault="0000060D" w:rsidP="004D40EE">
      <w:pPr>
        <w:pStyle w:val="Caption"/>
        <w:spacing w:after="0"/>
        <w:jc w:val="both"/>
        <w:rPr>
          <w:rFonts w:ascii="Times New Roman" w:hAnsi="Times New Roman" w:cs="Times New Roman"/>
          <w:i w:val="0"/>
          <w:iCs w:val="0"/>
          <w:color w:val="000000" w:themeColor="text1"/>
          <w:sz w:val="24"/>
          <w:szCs w:val="24"/>
        </w:rPr>
      </w:pPr>
      <w:r w:rsidRPr="004D40EE">
        <w:rPr>
          <w:rFonts w:ascii="Times New Roman" w:hAnsi="Times New Roman" w:cs="Times New Roman"/>
          <w:b/>
          <w:bCs/>
          <w:i w:val="0"/>
          <w:iCs w:val="0"/>
          <w:color w:val="000000" w:themeColor="text1"/>
          <w:sz w:val="24"/>
          <w:szCs w:val="24"/>
        </w:rPr>
        <w:lastRenderedPageBreak/>
        <w:t xml:space="preserve">Table </w:t>
      </w:r>
      <w:r w:rsidRPr="004D40EE">
        <w:rPr>
          <w:rFonts w:ascii="Times New Roman" w:hAnsi="Times New Roman" w:cs="Times New Roman"/>
          <w:b/>
          <w:bCs/>
          <w:i w:val="0"/>
          <w:iCs w:val="0"/>
          <w:color w:val="000000" w:themeColor="text1"/>
          <w:sz w:val="24"/>
          <w:szCs w:val="24"/>
        </w:rPr>
        <w:fldChar w:fldCharType="begin"/>
      </w:r>
      <w:r w:rsidRPr="004D40EE">
        <w:rPr>
          <w:rFonts w:ascii="Times New Roman" w:hAnsi="Times New Roman" w:cs="Times New Roman"/>
          <w:b/>
          <w:bCs/>
          <w:i w:val="0"/>
          <w:iCs w:val="0"/>
          <w:color w:val="000000" w:themeColor="text1"/>
          <w:sz w:val="24"/>
          <w:szCs w:val="24"/>
        </w:rPr>
        <w:instrText xml:space="preserve"> SEQ Table_4. \* ARABIC </w:instrText>
      </w:r>
      <w:r w:rsidRPr="004D40EE">
        <w:rPr>
          <w:rFonts w:ascii="Times New Roman" w:hAnsi="Times New Roman" w:cs="Times New Roman"/>
          <w:b/>
          <w:bCs/>
          <w:i w:val="0"/>
          <w:iCs w:val="0"/>
          <w:color w:val="000000" w:themeColor="text1"/>
          <w:sz w:val="24"/>
          <w:szCs w:val="24"/>
        </w:rPr>
        <w:fldChar w:fldCharType="separate"/>
      </w:r>
      <w:r w:rsidRPr="004D40EE">
        <w:rPr>
          <w:rFonts w:ascii="Times New Roman" w:hAnsi="Times New Roman" w:cs="Times New Roman"/>
          <w:b/>
          <w:bCs/>
          <w:i w:val="0"/>
          <w:iCs w:val="0"/>
          <w:noProof/>
          <w:color w:val="000000" w:themeColor="text1"/>
          <w:sz w:val="24"/>
          <w:szCs w:val="24"/>
        </w:rPr>
        <w:t>1</w:t>
      </w:r>
      <w:r w:rsidRPr="004D40EE">
        <w:rPr>
          <w:rFonts w:ascii="Times New Roman" w:hAnsi="Times New Roman" w:cs="Times New Roman"/>
          <w:b/>
          <w:bCs/>
          <w:i w:val="0"/>
          <w:iCs w:val="0"/>
          <w:color w:val="000000" w:themeColor="text1"/>
          <w:sz w:val="24"/>
          <w:szCs w:val="24"/>
        </w:rPr>
        <w:fldChar w:fldCharType="end"/>
      </w:r>
      <w:r w:rsidRPr="004D40EE">
        <w:rPr>
          <w:rFonts w:ascii="Times New Roman" w:hAnsi="Times New Roman" w:cs="Times New Roman"/>
          <w:b/>
          <w:bCs/>
          <w:i w:val="0"/>
          <w:iCs w:val="0"/>
          <w:color w:val="000000" w:themeColor="text1"/>
          <w:sz w:val="24"/>
          <w:szCs w:val="24"/>
        </w:rPr>
        <w:t xml:space="preserve">: </w:t>
      </w:r>
      <w:r w:rsidRPr="004D40EE">
        <w:rPr>
          <w:rFonts w:ascii="Times New Roman" w:hAnsi="Times New Roman" w:cs="Times New Roman"/>
          <w:i w:val="0"/>
          <w:iCs w:val="0"/>
          <w:color w:val="000000" w:themeColor="text1"/>
          <w:sz w:val="24"/>
          <w:szCs w:val="24"/>
        </w:rPr>
        <w:t>Inventory and Characteristics of Motor Parks in Ibadan</w:t>
      </w:r>
    </w:p>
    <w:tbl>
      <w:tblPr>
        <w:tblW w:w="9642" w:type="dxa"/>
        <w:jc w:val="center"/>
        <w:tblLayout w:type="fixed"/>
        <w:tblLook w:val="04A0" w:firstRow="1" w:lastRow="0" w:firstColumn="1" w:lastColumn="0" w:noHBand="0" w:noVBand="1"/>
      </w:tblPr>
      <w:tblGrid>
        <w:gridCol w:w="544"/>
        <w:gridCol w:w="1016"/>
        <w:gridCol w:w="1559"/>
        <w:gridCol w:w="1417"/>
        <w:gridCol w:w="1276"/>
        <w:gridCol w:w="1266"/>
        <w:gridCol w:w="12"/>
        <w:gridCol w:w="1122"/>
        <w:gridCol w:w="12"/>
        <w:gridCol w:w="1406"/>
        <w:gridCol w:w="12"/>
      </w:tblGrid>
      <w:tr w:rsidR="0000060D" w:rsidRPr="004D40EE" w14:paraId="43BE26AF" w14:textId="77777777" w:rsidTr="004D40EE">
        <w:trPr>
          <w:gridAfter w:val="1"/>
          <w:wAfter w:w="12" w:type="dxa"/>
          <w:trHeight w:val="300"/>
          <w:jc w:val="center"/>
        </w:trPr>
        <w:tc>
          <w:tcPr>
            <w:tcW w:w="544" w:type="dxa"/>
            <w:vMerge w:val="restart"/>
            <w:tcBorders>
              <w:top w:val="single" w:sz="18" w:space="0" w:color="auto"/>
            </w:tcBorders>
          </w:tcPr>
          <w:p w14:paraId="47BA95D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S/N</w:t>
            </w:r>
          </w:p>
        </w:tc>
        <w:tc>
          <w:tcPr>
            <w:tcW w:w="1016" w:type="dxa"/>
            <w:vMerge w:val="restart"/>
            <w:tcBorders>
              <w:top w:val="single" w:sz="18" w:space="0" w:color="auto"/>
            </w:tcBorders>
          </w:tcPr>
          <w:p w14:paraId="5C127AE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Spatial Structure</w:t>
            </w:r>
          </w:p>
        </w:tc>
        <w:tc>
          <w:tcPr>
            <w:tcW w:w="1559" w:type="dxa"/>
            <w:vMerge w:val="restart"/>
            <w:tcBorders>
              <w:top w:val="single" w:sz="18" w:space="0" w:color="auto"/>
            </w:tcBorders>
            <w:shd w:val="clear" w:color="auto" w:fill="auto"/>
            <w:noWrap/>
            <w:hideMark/>
          </w:tcPr>
          <w:p w14:paraId="4C027D3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Motor Park</w:t>
            </w:r>
          </w:p>
        </w:tc>
        <w:tc>
          <w:tcPr>
            <w:tcW w:w="1417" w:type="dxa"/>
            <w:vMerge w:val="restart"/>
            <w:tcBorders>
              <w:top w:val="single" w:sz="18" w:space="0" w:color="auto"/>
            </w:tcBorders>
            <w:shd w:val="clear" w:color="auto" w:fill="auto"/>
            <w:noWrap/>
            <w:hideMark/>
          </w:tcPr>
          <w:p w14:paraId="168A536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Ownership</w:t>
            </w:r>
          </w:p>
        </w:tc>
        <w:tc>
          <w:tcPr>
            <w:tcW w:w="2542" w:type="dxa"/>
            <w:gridSpan w:val="2"/>
            <w:tcBorders>
              <w:top w:val="single" w:sz="18" w:space="0" w:color="auto"/>
            </w:tcBorders>
            <w:shd w:val="clear" w:color="auto" w:fill="auto"/>
            <w:noWrap/>
            <w:vAlign w:val="bottom"/>
          </w:tcPr>
          <w:p w14:paraId="53AED85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Coordinates (UTM)</w:t>
            </w:r>
          </w:p>
        </w:tc>
        <w:tc>
          <w:tcPr>
            <w:tcW w:w="1134" w:type="dxa"/>
            <w:gridSpan w:val="2"/>
            <w:tcBorders>
              <w:top w:val="single" w:sz="18" w:space="0" w:color="auto"/>
            </w:tcBorders>
            <w:shd w:val="clear" w:color="auto" w:fill="auto"/>
            <w:noWrap/>
            <w:vAlign w:val="bottom"/>
            <w:hideMark/>
          </w:tcPr>
          <w:p w14:paraId="75AE120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Mode of Operation</w:t>
            </w:r>
          </w:p>
        </w:tc>
        <w:tc>
          <w:tcPr>
            <w:tcW w:w="1418" w:type="dxa"/>
            <w:gridSpan w:val="2"/>
            <w:tcBorders>
              <w:top w:val="single" w:sz="18" w:space="0" w:color="auto"/>
            </w:tcBorders>
            <w:shd w:val="clear" w:color="auto" w:fill="auto"/>
            <w:noWrap/>
            <w:vAlign w:val="bottom"/>
            <w:hideMark/>
          </w:tcPr>
          <w:p w14:paraId="31F5F4D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lang w:val="en-US"/>
              </w:rPr>
              <w:t xml:space="preserve">Space </w:t>
            </w:r>
            <w:r w:rsidRPr="004D40EE">
              <w:rPr>
                <w:rFonts w:ascii="Times New Roman" w:eastAsia="Times New Roman" w:hAnsi="Times New Roman" w:cs="Times New Roman"/>
                <w:color w:val="000000"/>
                <w:sz w:val="20"/>
                <w:szCs w:val="20"/>
              </w:rPr>
              <w:t>Properties</w:t>
            </w:r>
          </w:p>
        </w:tc>
      </w:tr>
      <w:tr w:rsidR="0000060D" w:rsidRPr="004D40EE" w14:paraId="2D2D42CB" w14:textId="77777777" w:rsidTr="004D40EE">
        <w:trPr>
          <w:trHeight w:val="300"/>
          <w:jc w:val="center"/>
        </w:trPr>
        <w:tc>
          <w:tcPr>
            <w:tcW w:w="544" w:type="dxa"/>
            <w:vMerge/>
          </w:tcPr>
          <w:p w14:paraId="70DECDD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016" w:type="dxa"/>
            <w:vMerge/>
          </w:tcPr>
          <w:p w14:paraId="2E8C32E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vMerge/>
            <w:shd w:val="clear" w:color="auto" w:fill="auto"/>
            <w:noWrap/>
            <w:vAlign w:val="bottom"/>
          </w:tcPr>
          <w:p w14:paraId="538AD5B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417" w:type="dxa"/>
            <w:vMerge/>
            <w:shd w:val="clear" w:color="auto" w:fill="auto"/>
            <w:noWrap/>
            <w:vAlign w:val="bottom"/>
          </w:tcPr>
          <w:p w14:paraId="10358D9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276" w:type="dxa"/>
            <w:shd w:val="clear" w:color="auto" w:fill="auto"/>
            <w:noWrap/>
            <w:vAlign w:val="bottom"/>
          </w:tcPr>
          <w:p w14:paraId="7186D2D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Longitude</w:t>
            </w:r>
          </w:p>
        </w:tc>
        <w:tc>
          <w:tcPr>
            <w:tcW w:w="1278" w:type="dxa"/>
            <w:gridSpan w:val="2"/>
            <w:shd w:val="clear" w:color="auto" w:fill="auto"/>
            <w:noWrap/>
            <w:vAlign w:val="bottom"/>
          </w:tcPr>
          <w:p w14:paraId="5C5295C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Latitude</w:t>
            </w:r>
          </w:p>
        </w:tc>
        <w:tc>
          <w:tcPr>
            <w:tcW w:w="1134" w:type="dxa"/>
            <w:gridSpan w:val="2"/>
            <w:shd w:val="clear" w:color="auto" w:fill="auto"/>
            <w:noWrap/>
            <w:vAlign w:val="bottom"/>
          </w:tcPr>
          <w:p w14:paraId="67481AC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418" w:type="dxa"/>
            <w:gridSpan w:val="2"/>
            <w:shd w:val="clear" w:color="auto" w:fill="auto"/>
            <w:noWrap/>
            <w:vAlign w:val="bottom"/>
          </w:tcPr>
          <w:p w14:paraId="543916D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r>
      <w:tr w:rsidR="0000060D" w:rsidRPr="00BE4AF3" w14:paraId="54D4528D" w14:textId="77777777" w:rsidTr="004D40EE">
        <w:trPr>
          <w:trHeight w:val="300"/>
          <w:jc w:val="center"/>
        </w:trPr>
        <w:tc>
          <w:tcPr>
            <w:tcW w:w="544" w:type="dxa"/>
            <w:tcBorders>
              <w:top w:val="single" w:sz="18" w:space="0" w:color="auto"/>
            </w:tcBorders>
          </w:tcPr>
          <w:p w14:paraId="3C682AA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1</w:t>
            </w:r>
          </w:p>
        </w:tc>
        <w:tc>
          <w:tcPr>
            <w:tcW w:w="1016" w:type="dxa"/>
            <w:vMerge w:val="restart"/>
            <w:tcBorders>
              <w:top w:val="single" w:sz="18" w:space="0" w:color="auto"/>
            </w:tcBorders>
          </w:tcPr>
          <w:p w14:paraId="033A334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p w14:paraId="6ACCD02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p w14:paraId="4E5A40F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p w14:paraId="777AF13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p w14:paraId="4284884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p w14:paraId="716CAF6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Core Zone</w:t>
            </w:r>
          </w:p>
        </w:tc>
        <w:tc>
          <w:tcPr>
            <w:tcW w:w="1559" w:type="dxa"/>
            <w:tcBorders>
              <w:top w:val="single" w:sz="18" w:space="0" w:color="auto"/>
            </w:tcBorders>
            <w:shd w:val="clear" w:color="auto" w:fill="auto"/>
            <w:noWrap/>
            <w:vAlign w:val="bottom"/>
            <w:hideMark/>
          </w:tcPr>
          <w:p w14:paraId="7191272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Agodi-Gate</w:t>
            </w:r>
          </w:p>
        </w:tc>
        <w:tc>
          <w:tcPr>
            <w:tcW w:w="1417" w:type="dxa"/>
            <w:tcBorders>
              <w:top w:val="single" w:sz="18" w:space="0" w:color="auto"/>
            </w:tcBorders>
            <w:shd w:val="clear" w:color="auto" w:fill="auto"/>
            <w:noWrap/>
            <w:vAlign w:val="bottom"/>
            <w:hideMark/>
          </w:tcPr>
          <w:p w14:paraId="6897FA6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tcBorders>
              <w:top w:val="single" w:sz="18" w:space="0" w:color="auto"/>
            </w:tcBorders>
            <w:shd w:val="clear" w:color="auto" w:fill="auto"/>
            <w:noWrap/>
            <w:vAlign w:val="bottom"/>
            <w:hideMark/>
          </w:tcPr>
          <w:p w14:paraId="296D34C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601393.50</w:t>
            </w:r>
          </w:p>
        </w:tc>
        <w:tc>
          <w:tcPr>
            <w:tcW w:w="1278" w:type="dxa"/>
            <w:gridSpan w:val="2"/>
            <w:tcBorders>
              <w:top w:val="single" w:sz="18" w:space="0" w:color="auto"/>
            </w:tcBorders>
            <w:shd w:val="clear" w:color="auto" w:fill="auto"/>
            <w:noWrap/>
            <w:vAlign w:val="bottom"/>
            <w:hideMark/>
          </w:tcPr>
          <w:p w14:paraId="5D8E927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817568.01</w:t>
            </w:r>
          </w:p>
        </w:tc>
        <w:tc>
          <w:tcPr>
            <w:tcW w:w="1134" w:type="dxa"/>
            <w:gridSpan w:val="2"/>
            <w:tcBorders>
              <w:top w:val="single" w:sz="18" w:space="0" w:color="auto"/>
            </w:tcBorders>
            <w:shd w:val="clear" w:color="auto" w:fill="auto"/>
            <w:noWrap/>
            <w:vAlign w:val="bottom"/>
            <w:hideMark/>
          </w:tcPr>
          <w:p w14:paraId="4195560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tcBorders>
              <w:top w:val="single" w:sz="18" w:space="0" w:color="auto"/>
            </w:tcBorders>
            <w:shd w:val="clear" w:color="auto" w:fill="auto"/>
            <w:noWrap/>
            <w:vAlign w:val="bottom"/>
            <w:hideMark/>
          </w:tcPr>
          <w:p w14:paraId="1911A42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00B21BAF" w14:textId="77777777" w:rsidTr="004D40EE">
        <w:trPr>
          <w:trHeight w:val="300"/>
          <w:jc w:val="center"/>
        </w:trPr>
        <w:tc>
          <w:tcPr>
            <w:tcW w:w="544" w:type="dxa"/>
          </w:tcPr>
          <w:p w14:paraId="706FBCE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2</w:t>
            </w:r>
          </w:p>
        </w:tc>
        <w:tc>
          <w:tcPr>
            <w:tcW w:w="1016" w:type="dxa"/>
            <w:vMerge/>
          </w:tcPr>
          <w:p w14:paraId="09AE769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0508006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Akwa Ibom Transport</w:t>
            </w:r>
          </w:p>
        </w:tc>
        <w:tc>
          <w:tcPr>
            <w:tcW w:w="1417" w:type="dxa"/>
            <w:shd w:val="clear" w:color="auto" w:fill="auto"/>
            <w:noWrap/>
            <w:vAlign w:val="bottom"/>
            <w:hideMark/>
          </w:tcPr>
          <w:p w14:paraId="1F054EA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Private</w:t>
            </w:r>
          </w:p>
        </w:tc>
        <w:tc>
          <w:tcPr>
            <w:tcW w:w="1276" w:type="dxa"/>
            <w:shd w:val="clear" w:color="auto" w:fill="auto"/>
            <w:noWrap/>
            <w:vAlign w:val="bottom"/>
            <w:hideMark/>
          </w:tcPr>
          <w:p w14:paraId="29A8576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600014.96</w:t>
            </w:r>
          </w:p>
        </w:tc>
        <w:tc>
          <w:tcPr>
            <w:tcW w:w="1278" w:type="dxa"/>
            <w:gridSpan w:val="2"/>
            <w:shd w:val="clear" w:color="auto" w:fill="auto"/>
            <w:noWrap/>
            <w:vAlign w:val="bottom"/>
            <w:hideMark/>
          </w:tcPr>
          <w:p w14:paraId="3A2EF83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821528.13</w:t>
            </w:r>
          </w:p>
        </w:tc>
        <w:tc>
          <w:tcPr>
            <w:tcW w:w="1134" w:type="dxa"/>
            <w:gridSpan w:val="2"/>
            <w:shd w:val="clear" w:color="auto" w:fill="auto"/>
            <w:noWrap/>
            <w:vAlign w:val="bottom"/>
            <w:hideMark/>
          </w:tcPr>
          <w:p w14:paraId="36F54D5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7BA4EA0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68B0F451" w14:textId="77777777" w:rsidTr="004D40EE">
        <w:trPr>
          <w:trHeight w:val="300"/>
          <w:jc w:val="center"/>
        </w:trPr>
        <w:tc>
          <w:tcPr>
            <w:tcW w:w="544" w:type="dxa"/>
          </w:tcPr>
          <w:p w14:paraId="4BDCAAA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3</w:t>
            </w:r>
          </w:p>
        </w:tc>
        <w:tc>
          <w:tcPr>
            <w:tcW w:w="1016" w:type="dxa"/>
            <w:vMerge/>
          </w:tcPr>
          <w:p w14:paraId="6B8C2E6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7BDCE0E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Aleshinloye</w:t>
            </w:r>
          </w:p>
        </w:tc>
        <w:tc>
          <w:tcPr>
            <w:tcW w:w="1417" w:type="dxa"/>
            <w:shd w:val="clear" w:color="auto" w:fill="auto"/>
            <w:noWrap/>
            <w:vAlign w:val="bottom"/>
            <w:hideMark/>
          </w:tcPr>
          <w:p w14:paraId="63AD2D2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05AAEBC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596116.85</w:t>
            </w:r>
          </w:p>
        </w:tc>
        <w:tc>
          <w:tcPr>
            <w:tcW w:w="1278" w:type="dxa"/>
            <w:gridSpan w:val="2"/>
            <w:shd w:val="clear" w:color="auto" w:fill="auto"/>
            <w:noWrap/>
            <w:vAlign w:val="bottom"/>
            <w:hideMark/>
          </w:tcPr>
          <w:p w14:paraId="0924996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816752.46</w:t>
            </w:r>
          </w:p>
        </w:tc>
        <w:tc>
          <w:tcPr>
            <w:tcW w:w="1134" w:type="dxa"/>
            <w:gridSpan w:val="2"/>
            <w:shd w:val="clear" w:color="auto" w:fill="auto"/>
            <w:noWrap/>
            <w:vAlign w:val="bottom"/>
            <w:hideMark/>
          </w:tcPr>
          <w:p w14:paraId="5C1E936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1C0AE2F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24114A0C" w14:textId="77777777" w:rsidTr="004D40EE">
        <w:trPr>
          <w:trHeight w:val="300"/>
          <w:jc w:val="center"/>
        </w:trPr>
        <w:tc>
          <w:tcPr>
            <w:tcW w:w="544" w:type="dxa"/>
          </w:tcPr>
          <w:p w14:paraId="6799AD2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4</w:t>
            </w:r>
          </w:p>
        </w:tc>
        <w:tc>
          <w:tcPr>
            <w:tcW w:w="1016" w:type="dxa"/>
            <w:vMerge/>
          </w:tcPr>
          <w:p w14:paraId="0D958AD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3CFB23E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Beere</w:t>
            </w:r>
          </w:p>
        </w:tc>
        <w:tc>
          <w:tcPr>
            <w:tcW w:w="1417" w:type="dxa"/>
            <w:shd w:val="clear" w:color="auto" w:fill="auto"/>
            <w:noWrap/>
            <w:vAlign w:val="bottom"/>
            <w:hideMark/>
          </w:tcPr>
          <w:p w14:paraId="099C522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4D0916E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599203.48</w:t>
            </w:r>
          </w:p>
        </w:tc>
        <w:tc>
          <w:tcPr>
            <w:tcW w:w="1278" w:type="dxa"/>
            <w:gridSpan w:val="2"/>
            <w:shd w:val="clear" w:color="auto" w:fill="auto"/>
            <w:noWrap/>
            <w:vAlign w:val="bottom"/>
            <w:hideMark/>
          </w:tcPr>
          <w:p w14:paraId="70BFBF1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815764.43</w:t>
            </w:r>
          </w:p>
        </w:tc>
        <w:tc>
          <w:tcPr>
            <w:tcW w:w="1134" w:type="dxa"/>
            <w:gridSpan w:val="2"/>
            <w:shd w:val="clear" w:color="auto" w:fill="auto"/>
            <w:noWrap/>
            <w:vAlign w:val="bottom"/>
            <w:hideMark/>
          </w:tcPr>
          <w:p w14:paraId="0712607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670ACAC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385C2321" w14:textId="77777777" w:rsidTr="004D40EE">
        <w:trPr>
          <w:trHeight w:val="300"/>
          <w:jc w:val="center"/>
        </w:trPr>
        <w:tc>
          <w:tcPr>
            <w:tcW w:w="544" w:type="dxa"/>
          </w:tcPr>
          <w:p w14:paraId="4652727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w:t>
            </w:r>
          </w:p>
        </w:tc>
        <w:tc>
          <w:tcPr>
            <w:tcW w:w="1016" w:type="dxa"/>
            <w:vMerge/>
          </w:tcPr>
          <w:p w14:paraId="63FE43B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2C782FA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Bodija 2</w:t>
            </w:r>
          </w:p>
        </w:tc>
        <w:tc>
          <w:tcPr>
            <w:tcW w:w="1417" w:type="dxa"/>
            <w:shd w:val="clear" w:color="auto" w:fill="auto"/>
            <w:noWrap/>
            <w:vAlign w:val="bottom"/>
            <w:hideMark/>
          </w:tcPr>
          <w:p w14:paraId="19C7E1C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242E0C5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600750.93</w:t>
            </w:r>
          </w:p>
        </w:tc>
        <w:tc>
          <w:tcPr>
            <w:tcW w:w="1278" w:type="dxa"/>
            <w:gridSpan w:val="2"/>
            <w:shd w:val="clear" w:color="auto" w:fill="auto"/>
            <w:noWrap/>
            <w:vAlign w:val="bottom"/>
            <w:hideMark/>
          </w:tcPr>
          <w:p w14:paraId="159BB55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821433.34</w:t>
            </w:r>
          </w:p>
        </w:tc>
        <w:tc>
          <w:tcPr>
            <w:tcW w:w="1134" w:type="dxa"/>
            <w:gridSpan w:val="2"/>
            <w:shd w:val="clear" w:color="auto" w:fill="auto"/>
            <w:noWrap/>
            <w:vAlign w:val="bottom"/>
            <w:hideMark/>
          </w:tcPr>
          <w:p w14:paraId="1189187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537B32E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0BF0526C" w14:textId="77777777" w:rsidTr="004D40EE">
        <w:trPr>
          <w:trHeight w:val="300"/>
          <w:jc w:val="center"/>
        </w:trPr>
        <w:tc>
          <w:tcPr>
            <w:tcW w:w="544" w:type="dxa"/>
          </w:tcPr>
          <w:p w14:paraId="41BC7BB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w:t>
            </w:r>
          </w:p>
        </w:tc>
        <w:tc>
          <w:tcPr>
            <w:tcW w:w="1016" w:type="dxa"/>
            <w:vMerge/>
          </w:tcPr>
          <w:p w14:paraId="76E2BCF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73787DB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Bodija Market</w:t>
            </w:r>
          </w:p>
        </w:tc>
        <w:tc>
          <w:tcPr>
            <w:tcW w:w="1417" w:type="dxa"/>
            <w:shd w:val="clear" w:color="auto" w:fill="auto"/>
            <w:noWrap/>
            <w:vAlign w:val="bottom"/>
            <w:hideMark/>
          </w:tcPr>
          <w:p w14:paraId="707BA6A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52B43D8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600642.95</w:t>
            </w:r>
          </w:p>
        </w:tc>
        <w:tc>
          <w:tcPr>
            <w:tcW w:w="1278" w:type="dxa"/>
            <w:gridSpan w:val="2"/>
            <w:shd w:val="clear" w:color="auto" w:fill="auto"/>
            <w:noWrap/>
            <w:vAlign w:val="bottom"/>
            <w:hideMark/>
          </w:tcPr>
          <w:p w14:paraId="67A9A2E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821788.16</w:t>
            </w:r>
          </w:p>
        </w:tc>
        <w:tc>
          <w:tcPr>
            <w:tcW w:w="1134" w:type="dxa"/>
            <w:gridSpan w:val="2"/>
            <w:shd w:val="clear" w:color="auto" w:fill="auto"/>
            <w:noWrap/>
            <w:vAlign w:val="bottom"/>
            <w:hideMark/>
          </w:tcPr>
          <w:p w14:paraId="71DAAA7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6CC991E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13667A37" w14:textId="77777777" w:rsidTr="004D40EE">
        <w:trPr>
          <w:trHeight w:val="300"/>
          <w:jc w:val="center"/>
        </w:trPr>
        <w:tc>
          <w:tcPr>
            <w:tcW w:w="544" w:type="dxa"/>
          </w:tcPr>
          <w:p w14:paraId="1D96AF8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7</w:t>
            </w:r>
          </w:p>
        </w:tc>
        <w:tc>
          <w:tcPr>
            <w:tcW w:w="1016" w:type="dxa"/>
            <w:vMerge/>
          </w:tcPr>
          <w:p w14:paraId="38D9CEE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16E23D9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CALCULUX</w:t>
            </w:r>
          </w:p>
        </w:tc>
        <w:tc>
          <w:tcPr>
            <w:tcW w:w="1417" w:type="dxa"/>
            <w:shd w:val="clear" w:color="auto" w:fill="auto"/>
            <w:noWrap/>
            <w:vAlign w:val="bottom"/>
            <w:hideMark/>
          </w:tcPr>
          <w:p w14:paraId="0062B2D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Private</w:t>
            </w:r>
          </w:p>
        </w:tc>
        <w:tc>
          <w:tcPr>
            <w:tcW w:w="1276" w:type="dxa"/>
            <w:shd w:val="clear" w:color="auto" w:fill="auto"/>
            <w:noWrap/>
            <w:vAlign w:val="bottom"/>
            <w:hideMark/>
          </w:tcPr>
          <w:p w14:paraId="6574814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600084.28</w:t>
            </w:r>
          </w:p>
        </w:tc>
        <w:tc>
          <w:tcPr>
            <w:tcW w:w="1278" w:type="dxa"/>
            <w:gridSpan w:val="2"/>
            <w:shd w:val="clear" w:color="auto" w:fill="auto"/>
            <w:noWrap/>
            <w:vAlign w:val="bottom"/>
            <w:hideMark/>
          </w:tcPr>
          <w:p w14:paraId="41916FF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822646.26</w:t>
            </w:r>
          </w:p>
        </w:tc>
        <w:tc>
          <w:tcPr>
            <w:tcW w:w="1134" w:type="dxa"/>
            <w:gridSpan w:val="2"/>
            <w:shd w:val="clear" w:color="auto" w:fill="auto"/>
            <w:noWrap/>
            <w:vAlign w:val="bottom"/>
            <w:hideMark/>
          </w:tcPr>
          <w:p w14:paraId="03805A4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6E14149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5BAC3FC5" w14:textId="77777777" w:rsidTr="004D40EE">
        <w:trPr>
          <w:trHeight w:val="300"/>
          <w:jc w:val="center"/>
        </w:trPr>
        <w:tc>
          <w:tcPr>
            <w:tcW w:w="544" w:type="dxa"/>
          </w:tcPr>
          <w:p w14:paraId="5D6B3A9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w:t>
            </w:r>
          </w:p>
        </w:tc>
        <w:tc>
          <w:tcPr>
            <w:tcW w:w="1016" w:type="dxa"/>
            <w:vMerge/>
          </w:tcPr>
          <w:p w14:paraId="75B4806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28B015A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City Roller</w:t>
            </w:r>
          </w:p>
        </w:tc>
        <w:tc>
          <w:tcPr>
            <w:tcW w:w="1417" w:type="dxa"/>
            <w:shd w:val="clear" w:color="auto" w:fill="auto"/>
            <w:noWrap/>
            <w:vAlign w:val="bottom"/>
            <w:hideMark/>
          </w:tcPr>
          <w:p w14:paraId="063AFD0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Private</w:t>
            </w:r>
          </w:p>
        </w:tc>
        <w:tc>
          <w:tcPr>
            <w:tcW w:w="1276" w:type="dxa"/>
            <w:shd w:val="clear" w:color="auto" w:fill="auto"/>
            <w:noWrap/>
            <w:vAlign w:val="bottom"/>
            <w:hideMark/>
          </w:tcPr>
          <w:p w14:paraId="200A0E8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598585.72</w:t>
            </w:r>
          </w:p>
        </w:tc>
        <w:tc>
          <w:tcPr>
            <w:tcW w:w="1278" w:type="dxa"/>
            <w:gridSpan w:val="2"/>
            <w:shd w:val="clear" w:color="auto" w:fill="auto"/>
            <w:noWrap/>
            <w:vAlign w:val="bottom"/>
            <w:hideMark/>
          </w:tcPr>
          <w:p w14:paraId="3CDCE74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819424.40</w:t>
            </w:r>
          </w:p>
        </w:tc>
        <w:tc>
          <w:tcPr>
            <w:tcW w:w="1134" w:type="dxa"/>
            <w:gridSpan w:val="2"/>
            <w:shd w:val="clear" w:color="auto" w:fill="auto"/>
            <w:noWrap/>
            <w:vAlign w:val="bottom"/>
            <w:hideMark/>
          </w:tcPr>
          <w:p w14:paraId="01A06CA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0274F37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7284DBFA" w14:textId="77777777" w:rsidTr="004D40EE">
        <w:trPr>
          <w:trHeight w:val="300"/>
          <w:jc w:val="center"/>
        </w:trPr>
        <w:tc>
          <w:tcPr>
            <w:tcW w:w="544" w:type="dxa"/>
          </w:tcPr>
          <w:p w14:paraId="7A17485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9</w:t>
            </w:r>
          </w:p>
        </w:tc>
        <w:tc>
          <w:tcPr>
            <w:tcW w:w="1016" w:type="dxa"/>
            <w:vMerge/>
          </w:tcPr>
          <w:p w14:paraId="6A3FD03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2D23528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Dugbe Alawo</w:t>
            </w:r>
          </w:p>
        </w:tc>
        <w:tc>
          <w:tcPr>
            <w:tcW w:w="1417" w:type="dxa"/>
            <w:shd w:val="clear" w:color="auto" w:fill="auto"/>
            <w:noWrap/>
            <w:vAlign w:val="bottom"/>
            <w:hideMark/>
          </w:tcPr>
          <w:p w14:paraId="3F22C82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3464A32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596976.50</w:t>
            </w:r>
          </w:p>
        </w:tc>
        <w:tc>
          <w:tcPr>
            <w:tcW w:w="1278" w:type="dxa"/>
            <w:gridSpan w:val="2"/>
            <w:shd w:val="clear" w:color="auto" w:fill="auto"/>
            <w:noWrap/>
            <w:vAlign w:val="bottom"/>
            <w:hideMark/>
          </w:tcPr>
          <w:p w14:paraId="13D50BF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816969.37</w:t>
            </w:r>
          </w:p>
        </w:tc>
        <w:tc>
          <w:tcPr>
            <w:tcW w:w="1134" w:type="dxa"/>
            <w:gridSpan w:val="2"/>
            <w:shd w:val="clear" w:color="auto" w:fill="auto"/>
            <w:noWrap/>
            <w:vAlign w:val="bottom"/>
            <w:hideMark/>
          </w:tcPr>
          <w:p w14:paraId="6F386D3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62C31EE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49DEFEFE" w14:textId="77777777" w:rsidTr="004D40EE">
        <w:trPr>
          <w:trHeight w:val="300"/>
          <w:jc w:val="center"/>
        </w:trPr>
        <w:tc>
          <w:tcPr>
            <w:tcW w:w="544" w:type="dxa"/>
          </w:tcPr>
          <w:p w14:paraId="6DF80D2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10</w:t>
            </w:r>
          </w:p>
        </w:tc>
        <w:tc>
          <w:tcPr>
            <w:tcW w:w="1016" w:type="dxa"/>
            <w:vMerge/>
          </w:tcPr>
          <w:p w14:paraId="601CF9B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52A4C10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Dugbe Nepa Office</w:t>
            </w:r>
          </w:p>
        </w:tc>
        <w:tc>
          <w:tcPr>
            <w:tcW w:w="1417" w:type="dxa"/>
            <w:shd w:val="clear" w:color="auto" w:fill="auto"/>
            <w:noWrap/>
            <w:vAlign w:val="bottom"/>
            <w:hideMark/>
          </w:tcPr>
          <w:p w14:paraId="158D80A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708C99F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597297.00</w:t>
            </w:r>
          </w:p>
        </w:tc>
        <w:tc>
          <w:tcPr>
            <w:tcW w:w="1278" w:type="dxa"/>
            <w:gridSpan w:val="2"/>
            <w:shd w:val="clear" w:color="auto" w:fill="auto"/>
            <w:noWrap/>
            <w:vAlign w:val="bottom"/>
            <w:hideMark/>
          </w:tcPr>
          <w:p w14:paraId="5CFAC39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817150.00</w:t>
            </w:r>
          </w:p>
        </w:tc>
        <w:tc>
          <w:tcPr>
            <w:tcW w:w="1134" w:type="dxa"/>
            <w:gridSpan w:val="2"/>
            <w:shd w:val="clear" w:color="auto" w:fill="auto"/>
            <w:noWrap/>
            <w:vAlign w:val="bottom"/>
            <w:hideMark/>
          </w:tcPr>
          <w:p w14:paraId="1B2F2AB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7B8574C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54C164A1" w14:textId="77777777" w:rsidTr="004D40EE">
        <w:trPr>
          <w:trHeight w:val="300"/>
          <w:jc w:val="center"/>
        </w:trPr>
        <w:tc>
          <w:tcPr>
            <w:tcW w:w="544" w:type="dxa"/>
          </w:tcPr>
          <w:p w14:paraId="0AE92F5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11</w:t>
            </w:r>
          </w:p>
        </w:tc>
        <w:tc>
          <w:tcPr>
            <w:tcW w:w="1016" w:type="dxa"/>
            <w:vMerge/>
          </w:tcPr>
          <w:p w14:paraId="2ECADB8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375399B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GUO Transport</w:t>
            </w:r>
          </w:p>
        </w:tc>
        <w:tc>
          <w:tcPr>
            <w:tcW w:w="1417" w:type="dxa"/>
            <w:shd w:val="clear" w:color="auto" w:fill="auto"/>
            <w:noWrap/>
            <w:vAlign w:val="bottom"/>
            <w:hideMark/>
          </w:tcPr>
          <w:p w14:paraId="1D3DB22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Private</w:t>
            </w:r>
          </w:p>
        </w:tc>
        <w:tc>
          <w:tcPr>
            <w:tcW w:w="1276" w:type="dxa"/>
            <w:shd w:val="clear" w:color="auto" w:fill="auto"/>
            <w:noWrap/>
            <w:vAlign w:val="bottom"/>
            <w:hideMark/>
          </w:tcPr>
          <w:p w14:paraId="62E7D7A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600161.00</w:t>
            </w:r>
          </w:p>
        </w:tc>
        <w:tc>
          <w:tcPr>
            <w:tcW w:w="1278" w:type="dxa"/>
            <w:gridSpan w:val="2"/>
            <w:shd w:val="clear" w:color="auto" w:fill="auto"/>
            <w:noWrap/>
            <w:vAlign w:val="bottom"/>
            <w:hideMark/>
          </w:tcPr>
          <w:p w14:paraId="734A2EC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821970.00</w:t>
            </w:r>
          </w:p>
        </w:tc>
        <w:tc>
          <w:tcPr>
            <w:tcW w:w="1134" w:type="dxa"/>
            <w:gridSpan w:val="2"/>
            <w:shd w:val="clear" w:color="auto" w:fill="auto"/>
            <w:noWrap/>
            <w:vAlign w:val="bottom"/>
            <w:hideMark/>
          </w:tcPr>
          <w:p w14:paraId="7FF1C98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79CD51A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16F7CD61" w14:textId="77777777" w:rsidTr="004D40EE">
        <w:trPr>
          <w:trHeight w:val="300"/>
          <w:jc w:val="center"/>
        </w:trPr>
        <w:tc>
          <w:tcPr>
            <w:tcW w:w="544" w:type="dxa"/>
          </w:tcPr>
          <w:p w14:paraId="1A3E57E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12</w:t>
            </w:r>
          </w:p>
        </w:tc>
        <w:tc>
          <w:tcPr>
            <w:tcW w:w="1016" w:type="dxa"/>
            <w:vMerge/>
          </w:tcPr>
          <w:p w14:paraId="64BFADA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287502D5" w14:textId="72EF54CE"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ICT</w:t>
            </w:r>
          </w:p>
        </w:tc>
        <w:tc>
          <w:tcPr>
            <w:tcW w:w="1417" w:type="dxa"/>
            <w:shd w:val="clear" w:color="auto" w:fill="auto"/>
            <w:noWrap/>
            <w:vAlign w:val="bottom"/>
            <w:hideMark/>
          </w:tcPr>
          <w:p w14:paraId="2BFA7D3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Private</w:t>
            </w:r>
          </w:p>
        </w:tc>
        <w:tc>
          <w:tcPr>
            <w:tcW w:w="1276" w:type="dxa"/>
            <w:shd w:val="clear" w:color="auto" w:fill="auto"/>
            <w:noWrap/>
            <w:vAlign w:val="bottom"/>
            <w:hideMark/>
          </w:tcPr>
          <w:p w14:paraId="43A1BC8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598555.11</w:t>
            </w:r>
          </w:p>
        </w:tc>
        <w:tc>
          <w:tcPr>
            <w:tcW w:w="1278" w:type="dxa"/>
            <w:gridSpan w:val="2"/>
            <w:shd w:val="clear" w:color="auto" w:fill="auto"/>
            <w:noWrap/>
            <w:vAlign w:val="bottom"/>
            <w:hideMark/>
          </w:tcPr>
          <w:p w14:paraId="2EC99CC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819405.81</w:t>
            </w:r>
          </w:p>
        </w:tc>
        <w:tc>
          <w:tcPr>
            <w:tcW w:w="1134" w:type="dxa"/>
            <w:gridSpan w:val="2"/>
            <w:shd w:val="clear" w:color="auto" w:fill="auto"/>
            <w:noWrap/>
            <w:vAlign w:val="bottom"/>
            <w:hideMark/>
          </w:tcPr>
          <w:p w14:paraId="0791023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610EFC7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174B24F2" w14:textId="77777777" w:rsidTr="004D40EE">
        <w:trPr>
          <w:trHeight w:val="300"/>
          <w:jc w:val="center"/>
        </w:trPr>
        <w:tc>
          <w:tcPr>
            <w:tcW w:w="544" w:type="dxa"/>
          </w:tcPr>
          <w:p w14:paraId="3B8EB08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13</w:t>
            </w:r>
          </w:p>
        </w:tc>
        <w:tc>
          <w:tcPr>
            <w:tcW w:w="1016" w:type="dxa"/>
            <w:vMerge/>
          </w:tcPr>
          <w:p w14:paraId="6C17A81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6297CA1A" w14:textId="62955C38"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Idiarere</w:t>
            </w:r>
          </w:p>
        </w:tc>
        <w:tc>
          <w:tcPr>
            <w:tcW w:w="1417" w:type="dxa"/>
            <w:shd w:val="clear" w:color="auto" w:fill="auto"/>
            <w:noWrap/>
            <w:vAlign w:val="bottom"/>
            <w:hideMark/>
          </w:tcPr>
          <w:p w14:paraId="7431222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1BF93DA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598833.69</w:t>
            </w:r>
          </w:p>
        </w:tc>
        <w:tc>
          <w:tcPr>
            <w:tcW w:w="1278" w:type="dxa"/>
            <w:gridSpan w:val="2"/>
            <w:shd w:val="clear" w:color="auto" w:fill="auto"/>
            <w:noWrap/>
            <w:vAlign w:val="bottom"/>
            <w:hideMark/>
          </w:tcPr>
          <w:p w14:paraId="43BE8B0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814391.64</w:t>
            </w:r>
          </w:p>
        </w:tc>
        <w:tc>
          <w:tcPr>
            <w:tcW w:w="1134" w:type="dxa"/>
            <w:gridSpan w:val="2"/>
            <w:shd w:val="clear" w:color="auto" w:fill="auto"/>
            <w:noWrap/>
            <w:vAlign w:val="bottom"/>
            <w:hideMark/>
          </w:tcPr>
          <w:p w14:paraId="7FE86C3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128BC68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6CA4EC3A" w14:textId="77777777" w:rsidTr="004D40EE">
        <w:trPr>
          <w:trHeight w:val="300"/>
          <w:jc w:val="center"/>
        </w:trPr>
        <w:tc>
          <w:tcPr>
            <w:tcW w:w="544" w:type="dxa"/>
          </w:tcPr>
          <w:p w14:paraId="38D528D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14</w:t>
            </w:r>
          </w:p>
        </w:tc>
        <w:tc>
          <w:tcPr>
            <w:tcW w:w="1016" w:type="dxa"/>
            <w:vMerge/>
          </w:tcPr>
          <w:p w14:paraId="648C7A2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7C37E16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Ifesinachi Motors</w:t>
            </w:r>
          </w:p>
        </w:tc>
        <w:tc>
          <w:tcPr>
            <w:tcW w:w="1417" w:type="dxa"/>
            <w:shd w:val="clear" w:color="auto" w:fill="auto"/>
            <w:noWrap/>
            <w:vAlign w:val="bottom"/>
            <w:hideMark/>
          </w:tcPr>
          <w:p w14:paraId="06CFB43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Private</w:t>
            </w:r>
          </w:p>
        </w:tc>
        <w:tc>
          <w:tcPr>
            <w:tcW w:w="1276" w:type="dxa"/>
            <w:shd w:val="clear" w:color="auto" w:fill="auto"/>
            <w:noWrap/>
            <w:vAlign w:val="bottom"/>
            <w:hideMark/>
          </w:tcPr>
          <w:p w14:paraId="6942776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598389.39</w:t>
            </w:r>
          </w:p>
        </w:tc>
        <w:tc>
          <w:tcPr>
            <w:tcW w:w="1278" w:type="dxa"/>
            <w:gridSpan w:val="2"/>
            <w:shd w:val="clear" w:color="auto" w:fill="auto"/>
            <w:noWrap/>
            <w:vAlign w:val="bottom"/>
            <w:hideMark/>
          </w:tcPr>
          <w:p w14:paraId="35EC86B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819282.89</w:t>
            </w:r>
          </w:p>
        </w:tc>
        <w:tc>
          <w:tcPr>
            <w:tcW w:w="1134" w:type="dxa"/>
            <w:gridSpan w:val="2"/>
            <w:shd w:val="clear" w:color="auto" w:fill="auto"/>
            <w:noWrap/>
            <w:vAlign w:val="bottom"/>
            <w:hideMark/>
          </w:tcPr>
          <w:p w14:paraId="4DF7CB9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364ABF9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38F738D2" w14:textId="77777777" w:rsidTr="004D40EE">
        <w:trPr>
          <w:trHeight w:val="300"/>
          <w:jc w:val="center"/>
        </w:trPr>
        <w:tc>
          <w:tcPr>
            <w:tcW w:w="544" w:type="dxa"/>
          </w:tcPr>
          <w:p w14:paraId="0E076E4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15</w:t>
            </w:r>
          </w:p>
        </w:tc>
        <w:tc>
          <w:tcPr>
            <w:tcW w:w="1016" w:type="dxa"/>
            <w:vMerge/>
          </w:tcPr>
          <w:p w14:paraId="4E1D466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5423676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Imo Transportation</w:t>
            </w:r>
          </w:p>
        </w:tc>
        <w:tc>
          <w:tcPr>
            <w:tcW w:w="1417" w:type="dxa"/>
            <w:shd w:val="clear" w:color="auto" w:fill="auto"/>
            <w:noWrap/>
            <w:vAlign w:val="bottom"/>
            <w:hideMark/>
          </w:tcPr>
          <w:p w14:paraId="6D43209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Private</w:t>
            </w:r>
          </w:p>
        </w:tc>
        <w:tc>
          <w:tcPr>
            <w:tcW w:w="1276" w:type="dxa"/>
            <w:shd w:val="clear" w:color="auto" w:fill="auto"/>
            <w:noWrap/>
            <w:vAlign w:val="bottom"/>
            <w:hideMark/>
          </w:tcPr>
          <w:p w14:paraId="43469EA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598761.42</w:t>
            </w:r>
          </w:p>
        </w:tc>
        <w:tc>
          <w:tcPr>
            <w:tcW w:w="1278" w:type="dxa"/>
            <w:gridSpan w:val="2"/>
            <w:shd w:val="clear" w:color="auto" w:fill="auto"/>
            <w:noWrap/>
            <w:vAlign w:val="bottom"/>
            <w:hideMark/>
          </w:tcPr>
          <w:p w14:paraId="0740EC9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819780.92</w:t>
            </w:r>
          </w:p>
        </w:tc>
        <w:tc>
          <w:tcPr>
            <w:tcW w:w="1134" w:type="dxa"/>
            <w:gridSpan w:val="2"/>
            <w:shd w:val="clear" w:color="auto" w:fill="auto"/>
            <w:noWrap/>
            <w:vAlign w:val="bottom"/>
            <w:hideMark/>
          </w:tcPr>
          <w:p w14:paraId="60C1561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7410862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279E2953" w14:textId="77777777" w:rsidTr="004D40EE">
        <w:trPr>
          <w:trHeight w:val="300"/>
          <w:jc w:val="center"/>
        </w:trPr>
        <w:tc>
          <w:tcPr>
            <w:tcW w:w="544" w:type="dxa"/>
          </w:tcPr>
          <w:p w14:paraId="7F4BA20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16</w:t>
            </w:r>
          </w:p>
        </w:tc>
        <w:tc>
          <w:tcPr>
            <w:tcW w:w="1016" w:type="dxa"/>
            <w:vMerge/>
          </w:tcPr>
          <w:p w14:paraId="139413A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32C1D1B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IrorunDe Express</w:t>
            </w:r>
          </w:p>
        </w:tc>
        <w:tc>
          <w:tcPr>
            <w:tcW w:w="1417" w:type="dxa"/>
            <w:shd w:val="clear" w:color="auto" w:fill="auto"/>
            <w:noWrap/>
            <w:vAlign w:val="bottom"/>
            <w:hideMark/>
          </w:tcPr>
          <w:p w14:paraId="5098401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Private</w:t>
            </w:r>
          </w:p>
        </w:tc>
        <w:tc>
          <w:tcPr>
            <w:tcW w:w="1276" w:type="dxa"/>
            <w:shd w:val="clear" w:color="auto" w:fill="auto"/>
            <w:noWrap/>
            <w:vAlign w:val="bottom"/>
            <w:hideMark/>
          </w:tcPr>
          <w:p w14:paraId="7BDF729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600138.14</w:t>
            </w:r>
          </w:p>
        </w:tc>
        <w:tc>
          <w:tcPr>
            <w:tcW w:w="1278" w:type="dxa"/>
            <w:gridSpan w:val="2"/>
            <w:shd w:val="clear" w:color="auto" w:fill="auto"/>
            <w:noWrap/>
            <w:vAlign w:val="bottom"/>
            <w:hideMark/>
          </w:tcPr>
          <w:p w14:paraId="463B181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821909.95</w:t>
            </w:r>
          </w:p>
        </w:tc>
        <w:tc>
          <w:tcPr>
            <w:tcW w:w="1134" w:type="dxa"/>
            <w:gridSpan w:val="2"/>
            <w:shd w:val="clear" w:color="auto" w:fill="auto"/>
            <w:noWrap/>
            <w:vAlign w:val="bottom"/>
            <w:hideMark/>
          </w:tcPr>
          <w:p w14:paraId="6417138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6454E33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64E05D89" w14:textId="77777777" w:rsidTr="004D40EE">
        <w:trPr>
          <w:trHeight w:val="300"/>
          <w:jc w:val="center"/>
        </w:trPr>
        <w:tc>
          <w:tcPr>
            <w:tcW w:w="544" w:type="dxa"/>
          </w:tcPr>
          <w:p w14:paraId="79A4154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17</w:t>
            </w:r>
          </w:p>
        </w:tc>
        <w:tc>
          <w:tcPr>
            <w:tcW w:w="1016" w:type="dxa"/>
            <w:vMerge/>
          </w:tcPr>
          <w:p w14:paraId="26D1A44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539917E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Mokola-Roundabout</w:t>
            </w:r>
          </w:p>
        </w:tc>
        <w:tc>
          <w:tcPr>
            <w:tcW w:w="1417" w:type="dxa"/>
            <w:shd w:val="clear" w:color="auto" w:fill="auto"/>
            <w:noWrap/>
            <w:vAlign w:val="bottom"/>
            <w:hideMark/>
          </w:tcPr>
          <w:p w14:paraId="333600E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39CCB86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598241.63</w:t>
            </w:r>
          </w:p>
        </w:tc>
        <w:tc>
          <w:tcPr>
            <w:tcW w:w="1278" w:type="dxa"/>
            <w:gridSpan w:val="2"/>
            <w:shd w:val="clear" w:color="auto" w:fill="auto"/>
            <w:noWrap/>
            <w:vAlign w:val="bottom"/>
            <w:hideMark/>
          </w:tcPr>
          <w:p w14:paraId="7DCAA97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818177.00</w:t>
            </w:r>
          </w:p>
        </w:tc>
        <w:tc>
          <w:tcPr>
            <w:tcW w:w="1134" w:type="dxa"/>
            <w:gridSpan w:val="2"/>
            <w:shd w:val="clear" w:color="auto" w:fill="auto"/>
            <w:noWrap/>
            <w:vAlign w:val="bottom"/>
            <w:hideMark/>
          </w:tcPr>
          <w:p w14:paraId="62D3617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624DFC9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400854DE" w14:textId="77777777" w:rsidTr="004D40EE">
        <w:trPr>
          <w:trHeight w:val="300"/>
          <w:jc w:val="center"/>
        </w:trPr>
        <w:tc>
          <w:tcPr>
            <w:tcW w:w="544" w:type="dxa"/>
          </w:tcPr>
          <w:p w14:paraId="0E71367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18</w:t>
            </w:r>
          </w:p>
        </w:tc>
        <w:tc>
          <w:tcPr>
            <w:tcW w:w="1016" w:type="dxa"/>
            <w:vMerge/>
          </w:tcPr>
          <w:p w14:paraId="28429FE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1EFD881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Molete</w:t>
            </w:r>
          </w:p>
        </w:tc>
        <w:tc>
          <w:tcPr>
            <w:tcW w:w="1417" w:type="dxa"/>
            <w:shd w:val="clear" w:color="auto" w:fill="auto"/>
            <w:noWrap/>
            <w:vAlign w:val="bottom"/>
            <w:hideMark/>
          </w:tcPr>
          <w:p w14:paraId="7F5A70A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4BA1C85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598180.90</w:t>
            </w:r>
          </w:p>
        </w:tc>
        <w:tc>
          <w:tcPr>
            <w:tcW w:w="1278" w:type="dxa"/>
            <w:gridSpan w:val="2"/>
            <w:shd w:val="clear" w:color="auto" w:fill="auto"/>
            <w:noWrap/>
            <w:vAlign w:val="bottom"/>
            <w:hideMark/>
          </w:tcPr>
          <w:p w14:paraId="189042B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813513.17</w:t>
            </w:r>
          </w:p>
        </w:tc>
        <w:tc>
          <w:tcPr>
            <w:tcW w:w="1134" w:type="dxa"/>
            <w:gridSpan w:val="2"/>
            <w:shd w:val="clear" w:color="auto" w:fill="auto"/>
            <w:noWrap/>
            <w:vAlign w:val="bottom"/>
            <w:hideMark/>
          </w:tcPr>
          <w:p w14:paraId="715C69C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0151F3F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33589485" w14:textId="77777777" w:rsidTr="004D40EE">
        <w:trPr>
          <w:trHeight w:val="300"/>
          <w:jc w:val="center"/>
        </w:trPr>
        <w:tc>
          <w:tcPr>
            <w:tcW w:w="544" w:type="dxa"/>
          </w:tcPr>
          <w:p w14:paraId="1AACAD3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19</w:t>
            </w:r>
          </w:p>
        </w:tc>
        <w:tc>
          <w:tcPr>
            <w:tcW w:w="1016" w:type="dxa"/>
            <w:vMerge/>
          </w:tcPr>
          <w:p w14:paraId="6D7D800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02A65C9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Muslim</w:t>
            </w:r>
          </w:p>
        </w:tc>
        <w:tc>
          <w:tcPr>
            <w:tcW w:w="1417" w:type="dxa"/>
            <w:shd w:val="clear" w:color="auto" w:fill="auto"/>
            <w:noWrap/>
            <w:vAlign w:val="bottom"/>
            <w:hideMark/>
          </w:tcPr>
          <w:p w14:paraId="433B266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4F3C5E6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601568.10</w:t>
            </w:r>
          </w:p>
        </w:tc>
        <w:tc>
          <w:tcPr>
            <w:tcW w:w="1278" w:type="dxa"/>
            <w:gridSpan w:val="2"/>
            <w:shd w:val="clear" w:color="auto" w:fill="auto"/>
            <w:noWrap/>
            <w:vAlign w:val="bottom"/>
            <w:hideMark/>
          </w:tcPr>
          <w:p w14:paraId="59FEC6B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812988.75</w:t>
            </w:r>
          </w:p>
        </w:tc>
        <w:tc>
          <w:tcPr>
            <w:tcW w:w="1134" w:type="dxa"/>
            <w:gridSpan w:val="2"/>
            <w:shd w:val="clear" w:color="auto" w:fill="auto"/>
            <w:noWrap/>
            <w:vAlign w:val="bottom"/>
            <w:hideMark/>
          </w:tcPr>
          <w:p w14:paraId="1E1991B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55F8581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7509F89E" w14:textId="77777777" w:rsidTr="004D40EE">
        <w:trPr>
          <w:trHeight w:val="300"/>
          <w:jc w:val="center"/>
        </w:trPr>
        <w:tc>
          <w:tcPr>
            <w:tcW w:w="544" w:type="dxa"/>
          </w:tcPr>
          <w:p w14:paraId="6846793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20</w:t>
            </w:r>
          </w:p>
        </w:tc>
        <w:tc>
          <w:tcPr>
            <w:tcW w:w="1016" w:type="dxa"/>
            <w:vMerge/>
          </w:tcPr>
          <w:p w14:paraId="72A46CE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28F379F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Ogunpa/Oke Padi</w:t>
            </w:r>
          </w:p>
        </w:tc>
        <w:tc>
          <w:tcPr>
            <w:tcW w:w="1417" w:type="dxa"/>
            <w:shd w:val="clear" w:color="auto" w:fill="auto"/>
            <w:noWrap/>
            <w:vAlign w:val="bottom"/>
            <w:hideMark/>
          </w:tcPr>
          <w:p w14:paraId="1F99F51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705BFAF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597788.01</w:t>
            </w:r>
          </w:p>
        </w:tc>
        <w:tc>
          <w:tcPr>
            <w:tcW w:w="1278" w:type="dxa"/>
            <w:gridSpan w:val="2"/>
            <w:shd w:val="clear" w:color="auto" w:fill="auto"/>
            <w:noWrap/>
            <w:vAlign w:val="bottom"/>
            <w:hideMark/>
          </w:tcPr>
          <w:p w14:paraId="13B8F6B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816622.30</w:t>
            </w:r>
          </w:p>
        </w:tc>
        <w:tc>
          <w:tcPr>
            <w:tcW w:w="1134" w:type="dxa"/>
            <w:gridSpan w:val="2"/>
            <w:shd w:val="clear" w:color="auto" w:fill="auto"/>
            <w:noWrap/>
            <w:vAlign w:val="bottom"/>
            <w:hideMark/>
          </w:tcPr>
          <w:p w14:paraId="39DD512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7A7EFF0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1D2D05C2" w14:textId="77777777" w:rsidTr="004D40EE">
        <w:trPr>
          <w:trHeight w:val="300"/>
          <w:jc w:val="center"/>
        </w:trPr>
        <w:tc>
          <w:tcPr>
            <w:tcW w:w="544" w:type="dxa"/>
          </w:tcPr>
          <w:p w14:paraId="1A93C03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21</w:t>
            </w:r>
          </w:p>
        </w:tc>
        <w:tc>
          <w:tcPr>
            <w:tcW w:w="1016" w:type="dxa"/>
            <w:vMerge/>
          </w:tcPr>
          <w:p w14:paraId="3141800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38D87C8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Oja Oba</w:t>
            </w:r>
          </w:p>
        </w:tc>
        <w:tc>
          <w:tcPr>
            <w:tcW w:w="1417" w:type="dxa"/>
            <w:shd w:val="clear" w:color="auto" w:fill="auto"/>
            <w:noWrap/>
            <w:vAlign w:val="bottom"/>
            <w:hideMark/>
          </w:tcPr>
          <w:p w14:paraId="642E42E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5DC9550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598869.23</w:t>
            </w:r>
          </w:p>
        </w:tc>
        <w:tc>
          <w:tcPr>
            <w:tcW w:w="1278" w:type="dxa"/>
            <w:gridSpan w:val="2"/>
            <w:shd w:val="clear" w:color="auto" w:fill="auto"/>
            <w:noWrap/>
            <w:vAlign w:val="bottom"/>
            <w:hideMark/>
          </w:tcPr>
          <w:p w14:paraId="0FD102A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815262.98</w:t>
            </w:r>
          </w:p>
        </w:tc>
        <w:tc>
          <w:tcPr>
            <w:tcW w:w="1134" w:type="dxa"/>
            <w:gridSpan w:val="2"/>
            <w:shd w:val="clear" w:color="auto" w:fill="auto"/>
            <w:noWrap/>
            <w:vAlign w:val="bottom"/>
            <w:hideMark/>
          </w:tcPr>
          <w:p w14:paraId="6060AC1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77B606B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35BB77B1" w14:textId="77777777" w:rsidTr="004D40EE">
        <w:trPr>
          <w:trHeight w:val="300"/>
          <w:jc w:val="center"/>
        </w:trPr>
        <w:tc>
          <w:tcPr>
            <w:tcW w:w="544" w:type="dxa"/>
          </w:tcPr>
          <w:p w14:paraId="6342A47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22</w:t>
            </w:r>
          </w:p>
        </w:tc>
        <w:tc>
          <w:tcPr>
            <w:tcW w:w="1016" w:type="dxa"/>
            <w:vMerge/>
          </w:tcPr>
          <w:p w14:paraId="0EAB490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5C1DAAC5" w14:textId="16FFB413"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Oremeji Agugu</w:t>
            </w:r>
          </w:p>
        </w:tc>
        <w:tc>
          <w:tcPr>
            <w:tcW w:w="1417" w:type="dxa"/>
            <w:shd w:val="clear" w:color="auto" w:fill="auto"/>
            <w:noWrap/>
            <w:vAlign w:val="bottom"/>
            <w:hideMark/>
          </w:tcPr>
          <w:p w14:paraId="792D32D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5605265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602911.45</w:t>
            </w:r>
          </w:p>
        </w:tc>
        <w:tc>
          <w:tcPr>
            <w:tcW w:w="1278" w:type="dxa"/>
            <w:gridSpan w:val="2"/>
            <w:shd w:val="clear" w:color="auto" w:fill="auto"/>
            <w:noWrap/>
            <w:vAlign w:val="bottom"/>
            <w:hideMark/>
          </w:tcPr>
          <w:p w14:paraId="1E9BF02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816063.46</w:t>
            </w:r>
          </w:p>
        </w:tc>
        <w:tc>
          <w:tcPr>
            <w:tcW w:w="1134" w:type="dxa"/>
            <w:gridSpan w:val="2"/>
            <w:shd w:val="clear" w:color="auto" w:fill="auto"/>
            <w:noWrap/>
            <w:vAlign w:val="bottom"/>
            <w:hideMark/>
          </w:tcPr>
          <w:p w14:paraId="5F5801B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4E47DB7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57BA833C" w14:textId="77777777" w:rsidTr="004D40EE">
        <w:trPr>
          <w:trHeight w:val="300"/>
          <w:jc w:val="center"/>
        </w:trPr>
        <w:tc>
          <w:tcPr>
            <w:tcW w:w="544" w:type="dxa"/>
          </w:tcPr>
          <w:p w14:paraId="73EB86C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23</w:t>
            </w:r>
          </w:p>
        </w:tc>
        <w:tc>
          <w:tcPr>
            <w:tcW w:w="1016" w:type="dxa"/>
            <w:vMerge w:val="restart"/>
          </w:tcPr>
          <w:p w14:paraId="2D9DA8E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lang w:val="en-US"/>
              </w:rPr>
            </w:pPr>
          </w:p>
          <w:p w14:paraId="14666E0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lang w:val="en-US"/>
              </w:rPr>
            </w:pPr>
          </w:p>
          <w:p w14:paraId="3897EBE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lang w:val="en-US"/>
              </w:rPr>
            </w:pPr>
          </w:p>
          <w:p w14:paraId="3741728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lang w:val="en-US"/>
              </w:rPr>
            </w:pPr>
          </w:p>
          <w:p w14:paraId="64D28F2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lang w:val="en-US"/>
              </w:rPr>
            </w:pPr>
          </w:p>
          <w:p w14:paraId="7CCBF37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lang w:val="en-US"/>
              </w:rPr>
            </w:pPr>
          </w:p>
          <w:p w14:paraId="3748CE1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lang w:val="en-US"/>
              </w:rPr>
            </w:pPr>
            <w:r w:rsidRPr="004D40EE">
              <w:rPr>
                <w:rFonts w:ascii="Times New Roman" w:eastAsia="Times New Roman" w:hAnsi="Times New Roman" w:cs="Times New Roman"/>
                <w:color w:val="000000"/>
                <w:sz w:val="20"/>
                <w:szCs w:val="20"/>
                <w:lang w:val="en-US"/>
              </w:rPr>
              <w:t>Core Zone</w:t>
            </w:r>
          </w:p>
        </w:tc>
        <w:tc>
          <w:tcPr>
            <w:tcW w:w="1559" w:type="dxa"/>
            <w:shd w:val="clear" w:color="auto" w:fill="auto"/>
            <w:noWrap/>
            <w:vAlign w:val="bottom"/>
            <w:hideMark/>
          </w:tcPr>
          <w:p w14:paraId="7F170D8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Orita Aperin</w:t>
            </w:r>
          </w:p>
        </w:tc>
        <w:tc>
          <w:tcPr>
            <w:tcW w:w="1417" w:type="dxa"/>
            <w:shd w:val="clear" w:color="auto" w:fill="auto"/>
            <w:noWrap/>
            <w:vAlign w:val="bottom"/>
            <w:hideMark/>
          </w:tcPr>
          <w:p w14:paraId="326E4D8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4CA1267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601292.02</w:t>
            </w:r>
          </w:p>
        </w:tc>
        <w:tc>
          <w:tcPr>
            <w:tcW w:w="1278" w:type="dxa"/>
            <w:gridSpan w:val="2"/>
            <w:shd w:val="clear" w:color="auto" w:fill="auto"/>
            <w:noWrap/>
            <w:vAlign w:val="bottom"/>
            <w:hideMark/>
          </w:tcPr>
          <w:p w14:paraId="5D4D3E5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814436.88</w:t>
            </w:r>
          </w:p>
        </w:tc>
        <w:tc>
          <w:tcPr>
            <w:tcW w:w="1134" w:type="dxa"/>
            <w:gridSpan w:val="2"/>
            <w:shd w:val="clear" w:color="auto" w:fill="auto"/>
            <w:noWrap/>
            <w:vAlign w:val="bottom"/>
            <w:hideMark/>
          </w:tcPr>
          <w:p w14:paraId="775DF97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6B37D38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68A7605B" w14:textId="77777777" w:rsidTr="004D40EE">
        <w:trPr>
          <w:trHeight w:val="300"/>
          <w:jc w:val="center"/>
        </w:trPr>
        <w:tc>
          <w:tcPr>
            <w:tcW w:w="544" w:type="dxa"/>
          </w:tcPr>
          <w:p w14:paraId="2949809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24</w:t>
            </w:r>
          </w:p>
        </w:tc>
        <w:tc>
          <w:tcPr>
            <w:tcW w:w="1016" w:type="dxa"/>
            <w:vMerge/>
          </w:tcPr>
          <w:p w14:paraId="03D815D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13CB079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Orita Merin</w:t>
            </w:r>
          </w:p>
        </w:tc>
        <w:tc>
          <w:tcPr>
            <w:tcW w:w="1417" w:type="dxa"/>
            <w:shd w:val="clear" w:color="auto" w:fill="auto"/>
            <w:noWrap/>
            <w:vAlign w:val="bottom"/>
            <w:hideMark/>
          </w:tcPr>
          <w:p w14:paraId="6EEFED7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05751F5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598608.16</w:t>
            </w:r>
          </w:p>
        </w:tc>
        <w:tc>
          <w:tcPr>
            <w:tcW w:w="1278" w:type="dxa"/>
            <w:gridSpan w:val="2"/>
            <w:shd w:val="clear" w:color="auto" w:fill="auto"/>
            <w:noWrap/>
            <w:vAlign w:val="bottom"/>
            <w:hideMark/>
          </w:tcPr>
          <w:p w14:paraId="793FCF8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815614.41</w:t>
            </w:r>
          </w:p>
        </w:tc>
        <w:tc>
          <w:tcPr>
            <w:tcW w:w="1134" w:type="dxa"/>
            <w:gridSpan w:val="2"/>
            <w:shd w:val="clear" w:color="auto" w:fill="auto"/>
            <w:noWrap/>
            <w:vAlign w:val="bottom"/>
            <w:hideMark/>
          </w:tcPr>
          <w:p w14:paraId="20094B1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1F93155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2B6ED78B" w14:textId="77777777" w:rsidTr="004D40EE">
        <w:trPr>
          <w:trHeight w:val="300"/>
          <w:jc w:val="center"/>
        </w:trPr>
        <w:tc>
          <w:tcPr>
            <w:tcW w:w="544" w:type="dxa"/>
          </w:tcPr>
          <w:p w14:paraId="78287F8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25</w:t>
            </w:r>
          </w:p>
        </w:tc>
        <w:tc>
          <w:tcPr>
            <w:tcW w:w="1016" w:type="dxa"/>
            <w:vMerge/>
          </w:tcPr>
          <w:p w14:paraId="44B0B97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4AC864F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Peace Mass Transit</w:t>
            </w:r>
          </w:p>
        </w:tc>
        <w:tc>
          <w:tcPr>
            <w:tcW w:w="1417" w:type="dxa"/>
            <w:shd w:val="clear" w:color="auto" w:fill="auto"/>
            <w:noWrap/>
            <w:vAlign w:val="bottom"/>
            <w:hideMark/>
          </w:tcPr>
          <w:p w14:paraId="04D579C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Private</w:t>
            </w:r>
          </w:p>
        </w:tc>
        <w:tc>
          <w:tcPr>
            <w:tcW w:w="1276" w:type="dxa"/>
            <w:shd w:val="clear" w:color="auto" w:fill="auto"/>
            <w:noWrap/>
            <w:vAlign w:val="bottom"/>
            <w:hideMark/>
          </w:tcPr>
          <w:p w14:paraId="0CAD5CF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600090.00</w:t>
            </w:r>
          </w:p>
        </w:tc>
        <w:tc>
          <w:tcPr>
            <w:tcW w:w="1278" w:type="dxa"/>
            <w:gridSpan w:val="2"/>
            <w:shd w:val="clear" w:color="auto" w:fill="auto"/>
            <w:noWrap/>
            <w:vAlign w:val="bottom"/>
            <w:hideMark/>
          </w:tcPr>
          <w:p w14:paraId="71D39CB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821738.00</w:t>
            </w:r>
          </w:p>
        </w:tc>
        <w:tc>
          <w:tcPr>
            <w:tcW w:w="1134" w:type="dxa"/>
            <w:gridSpan w:val="2"/>
            <w:shd w:val="clear" w:color="auto" w:fill="auto"/>
            <w:noWrap/>
            <w:vAlign w:val="bottom"/>
            <w:hideMark/>
          </w:tcPr>
          <w:p w14:paraId="5E2FC21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6934D8D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5F159809" w14:textId="77777777" w:rsidTr="004D40EE">
        <w:trPr>
          <w:trHeight w:val="300"/>
          <w:jc w:val="center"/>
        </w:trPr>
        <w:tc>
          <w:tcPr>
            <w:tcW w:w="544" w:type="dxa"/>
          </w:tcPr>
          <w:p w14:paraId="564FAE8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26</w:t>
            </w:r>
          </w:p>
        </w:tc>
        <w:tc>
          <w:tcPr>
            <w:tcW w:w="1016" w:type="dxa"/>
            <w:vMerge/>
          </w:tcPr>
          <w:p w14:paraId="49E6A83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30D00A8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Saki Park, Samonda</w:t>
            </w:r>
          </w:p>
        </w:tc>
        <w:tc>
          <w:tcPr>
            <w:tcW w:w="1417" w:type="dxa"/>
            <w:shd w:val="clear" w:color="auto" w:fill="auto"/>
            <w:noWrap/>
            <w:vAlign w:val="bottom"/>
            <w:hideMark/>
          </w:tcPr>
          <w:p w14:paraId="383131B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524C19C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600144.59</w:t>
            </w:r>
          </w:p>
        </w:tc>
        <w:tc>
          <w:tcPr>
            <w:tcW w:w="1278" w:type="dxa"/>
            <w:gridSpan w:val="2"/>
            <w:shd w:val="clear" w:color="auto" w:fill="auto"/>
            <w:noWrap/>
            <w:vAlign w:val="bottom"/>
            <w:hideMark/>
          </w:tcPr>
          <w:p w14:paraId="4C86F11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822184.54</w:t>
            </w:r>
          </w:p>
        </w:tc>
        <w:tc>
          <w:tcPr>
            <w:tcW w:w="1134" w:type="dxa"/>
            <w:gridSpan w:val="2"/>
            <w:shd w:val="clear" w:color="auto" w:fill="auto"/>
            <w:noWrap/>
            <w:vAlign w:val="bottom"/>
            <w:hideMark/>
          </w:tcPr>
          <w:p w14:paraId="6FDCDA5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06B168F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2F1D8BD5" w14:textId="77777777" w:rsidTr="004D40EE">
        <w:trPr>
          <w:trHeight w:val="300"/>
          <w:jc w:val="center"/>
        </w:trPr>
        <w:tc>
          <w:tcPr>
            <w:tcW w:w="544" w:type="dxa"/>
          </w:tcPr>
          <w:p w14:paraId="5A76813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27</w:t>
            </w:r>
          </w:p>
        </w:tc>
        <w:tc>
          <w:tcPr>
            <w:tcW w:w="1016" w:type="dxa"/>
            <w:vMerge/>
          </w:tcPr>
          <w:p w14:paraId="0F47DCB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52EA579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Sango</w:t>
            </w:r>
            <w:r w:rsidRPr="004D40EE">
              <w:rPr>
                <w:rFonts w:ascii="Times New Roman" w:eastAsia="Times New Roman" w:hAnsi="Times New Roman" w:cs="Times New Roman"/>
                <w:color w:val="000000"/>
                <w:sz w:val="20"/>
                <w:szCs w:val="20"/>
                <w:lang w:val="en-US"/>
              </w:rPr>
              <w:t xml:space="preserve"> Garage</w:t>
            </w:r>
          </w:p>
        </w:tc>
        <w:tc>
          <w:tcPr>
            <w:tcW w:w="1417" w:type="dxa"/>
            <w:shd w:val="clear" w:color="auto" w:fill="auto"/>
            <w:noWrap/>
            <w:vAlign w:val="bottom"/>
            <w:hideMark/>
          </w:tcPr>
          <w:p w14:paraId="032F9EF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54F2326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599196.00</w:t>
            </w:r>
          </w:p>
        </w:tc>
        <w:tc>
          <w:tcPr>
            <w:tcW w:w="1278" w:type="dxa"/>
            <w:gridSpan w:val="2"/>
            <w:shd w:val="clear" w:color="auto" w:fill="auto"/>
            <w:noWrap/>
            <w:vAlign w:val="bottom"/>
            <w:hideMark/>
          </w:tcPr>
          <w:p w14:paraId="6A84C75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820624.00</w:t>
            </w:r>
          </w:p>
        </w:tc>
        <w:tc>
          <w:tcPr>
            <w:tcW w:w="1134" w:type="dxa"/>
            <w:gridSpan w:val="2"/>
            <w:shd w:val="clear" w:color="auto" w:fill="auto"/>
            <w:noWrap/>
            <w:vAlign w:val="bottom"/>
            <w:hideMark/>
          </w:tcPr>
          <w:p w14:paraId="02DFC28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Hybrid</w:t>
            </w:r>
          </w:p>
        </w:tc>
        <w:tc>
          <w:tcPr>
            <w:tcW w:w="1418" w:type="dxa"/>
            <w:gridSpan w:val="2"/>
            <w:shd w:val="clear" w:color="auto" w:fill="auto"/>
            <w:noWrap/>
            <w:vAlign w:val="bottom"/>
            <w:hideMark/>
          </w:tcPr>
          <w:p w14:paraId="5D37575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7753DEAC" w14:textId="77777777" w:rsidTr="004D40EE">
        <w:trPr>
          <w:trHeight w:val="300"/>
          <w:jc w:val="center"/>
        </w:trPr>
        <w:tc>
          <w:tcPr>
            <w:tcW w:w="544" w:type="dxa"/>
          </w:tcPr>
          <w:p w14:paraId="1B8A26D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28</w:t>
            </w:r>
          </w:p>
        </w:tc>
        <w:tc>
          <w:tcPr>
            <w:tcW w:w="1016" w:type="dxa"/>
            <w:vMerge/>
          </w:tcPr>
          <w:p w14:paraId="1E011CB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2BB74FB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Sango Market</w:t>
            </w:r>
          </w:p>
        </w:tc>
        <w:tc>
          <w:tcPr>
            <w:tcW w:w="1417" w:type="dxa"/>
            <w:shd w:val="clear" w:color="auto" w:fill="auto"/>
            <w:noWrap/>
            <w:vAlign w:val="bottom"/>
            <w:hideMark/>
          </w:tcPr>
          <w:p w14:paraId="3279813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7A5EBFC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599327.98</w:t>
            </w:r>
          </w:p>
        </w:tc>
        <w:tc>
          <w:tcPr>
            <w:tcW w:w="1278" w:type="dxa"/>
            <w:gridSpan w:val="2"/>
            <w:shd w:val="clear" w:color="auto" w:fill="auto"/>
            <w:noWrap/>
            <w:vAlign w:val="bottom"/>
            <w:hideMark/>
          </w:tcPr>
          <w:p w14:paraId="1FEFC98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820928.52</w:t>
            </w:r>
          </w:p>
        </w:tc>
        <w:tc>
          <w:tcPr>
            <w:tcW w:w="1134" w:type="dxa"/>
            <w:gridSpan w:val="2"/>
            <w:shd w:val="clear" w:color="auto" w:fill="auto"/>
            <w:noWrap/>
            <w:vAlign w:val="bottom"/>
            <w:hideMark/>
          </w:tcPr>
          <w:p w14:paraId="4D12F55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6B5A03E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44BEC6E9" w14:textId="77777777" w:rsidTr="004D40EE">
        <w:trPr>
          <w:trHeight w:val="300"/>
          <w:jc w:val="center"/>
        </w:trPr>
        <w:tc>
          <w:tcPr>
            <w:tcW w:w="544" w:type="dxa"/>
          </w:tcPr>
          <w:p w14:paraId="67926A2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29</w:t>
            </w:r>
          </w:p>
        </w:tc>
        <w:tc>
          <w:tcPr>
            <w:tcW w:w="1016" w:type="dxa"/>
            <w:vMerge/>
          </w:tcPr>
          <w:p w14:paraId="76FEB21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2402A2A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Speedaf Express</w:t>
            </w:r>
          </w:p>
        </w:tc>
        <w:tc>
          <w:tcPr>
            <w:tcW w:w="1417" w:type="dxa"/>
            <w:shd w:val="clear" w:color="auto" w:fill="auto"/>
            <w:noWrap/>
            <w:vAlign w:val="bottom"/>
            <w:hideMark/>
          </w:tcPr>
          <w:p w14:paraId="14269E0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Private</w:t>
            </w:r>
          </w:p>
        </w:tc>
        <w:tc>
          <w:tcPr>
            <w:tcW w:w="1276" w:type="dxa"/>
            <w:shd w:val="clear" w:color="auto" w:fill="auto"/>
            <w:noWrap/>
            <w:vAlign w:val="bottom"/>
            <w:hideMark/>
          </w:tcPr>
          <w:p w14:paraId="2889900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600125.64</w:t>
            </w:r>
          </w:p>
        </w:tc>
        <w:tc>
          <w:tcPr>
            <w:tcW w:w="1278" w:type="dxa"/>
            <w:gridSpan w:val="2"/>
            <w:shd w:val="clear" w:color="auto" w:fill="auto"/>
            <w:noWrap/>
            <w:vAlign w:val="bottom"/>
            <w:hideMark/>
          </w:tcPr>
          <w:p w14:paraId="4067C87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821874.39</w:t>
            </w:r>
          </w:p>
        </w:tc>
        <w:tc>
          <w:tcPr>
            <w:tcW w:w="1134" w:type="dxa"/>
            <w:gridSpan w:val="2"/>
            <w:shd w:val="clear" w:color="auto" w:fill="auto"/>
            <w:noWrap/>
            <w:vAlign w:val="bottom"/>
            <w:hideMark/>
          </w:tcPr>
          <w:p w14:paraId="6883631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137D309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6BC0F6B1" w14:textId="77777777" w:rsidTr="004D40EE">
        <w:trPr>
          <w:trHeight w:val="300"/>
          <w:jc w:val="center"/>
        </w:trPr>
        <w:tc>
          <w:tcPr>
            <w:tcW w:w="544" w:type="dxa"/>
          </w:tcPr>
          <w:p w14:paraId="65E1A43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30</w:t>
            </w:r>
          </w:p>
        </w:tc>
        <w:tc>
          <w:tcPr>
            <w:tcW w:w="1016" w:type="dxa"/>
            <w:vMerge/>
          </w:tcPr>
          <w:p w14:paraId="1C66E94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3310A50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Tescom Transportation</w:t>
            </w:r>
          </w:p>
        </w:tc>
        <w:tc>
          <w:tcPr>
            <w:tcW w:w="1417" w:type="dxa"/>
            <w:shd w:val="clear" w:color="auto" w:fill="auto"/>
            <w:noWrap/>
            <w:vAlign w:val="bottom"/>
            <w:hideMark/>
          </w:tcPr>
          <w:p w14:paraId="2097118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Private</w:t>
            </w:r>
          </w:p>
        </w:tc>
        <w:tc>
          <w:tcPr>
            <w:tcW w:w="1276" w:type="dxa"/>
            <w:shd w:val="clear" w:color="auto" w:fill="auto"/>
            <w:noWrap/>
            <w:vAlign w:val="bottom"/>
            <w:hideMark/>
          </w:tcPr>
          <w:p w14:paraId="5E8711D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600072.58</w:t>
            </w:r>
          </w:p>
        </w:tc>
        <w:tc>
          <w:tcPr>
            <w:tcW w:w="1278" w:type="dxa"/>
            <w:gridSpan w:val="2"/>
            <w:shd w:val="clear" w:color="auto" w:fill="auto"/>
            <w:noWrap/>
            <w:vAlign w:val="bottom"/>
            <w:hideMark/>
          </w:tcPr>
          <w:p w14:paraId="7EC3999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821721.00</w:t>
            </w:r>
          </w:p>
        </w:tc>
        <w:tc>
          <w:tcPr>
            <w:tcW w:w="1134" w:type="dxa"/>
            <w:gridSpan w:val="2"/>
            <w:shd w:val="clear" w:color="auto" w:fill="auto"/>
            <w:noWrap/>
            <w:vAlign w:val="bottom"/>
            <w:hideMark/>
          </w:tcPr>
          <w:p w14:paraId="30E7990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3FE5BE4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7CE8E4D2" w14:textId="77777777" w:rsidTr="004D40EE">
        <w:trPr>
          <w:trHeight w:val="300"/>
          <w:jc w:val="center"/>
        </w:trPr>
        <w:tc>
          <w:tcPr>
            <w:tcW w:w="544" w:type="dxa"/>
          </w:tcPr>
          <w:p w14:paraId="64C4C2C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31</w:t>
            </w:r>
          </w:p>
        </w:tc>
        <w:tc>
          <w:tcPr>
            <w:tcW w:w="1016" w:type="dxa"/>
            <w:vMerge/>
          </w:tcPr>
          <w:p w14:paraId="6B7174C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7A9AF03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UI</w:t>
            </w:r>
          </w:p>
        </w:tc>
        <w:tc>
          <w:tcPr>
            <w:tcW w:w="1417" w:type="dxa"/>
            <w:shd w:val="clear" w:color="auto" w:fill="auto"/>
            <w:noWrap/>
            <w:vAlign w:val="bottom"/>
            <w:hideMark/>
          </w:tcPr>
          <w:p w14:paraId="24FEE8C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62347F3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600083.00</w:t>
            </w:r>
          </w:p>
        </w:tc>
        <w:tc>
          <w:tcPr>
            <w:tcW w:w="1278" w:type="dxa"/>
            <w:gridSpan w:val="2"/>
            <w:shd w:val="clear" w:color="auto" w:fill="auto"/>
            <w:noWrap/>
            <w:vAlign w:val="bottom"/>
            <w:hideMark/>
          </w:tcPr>
          <w:p w14:paraId="130257C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822608.00</w:t>
            </w:r>
          </w:p>
        </w:tc>
        <w:tc>
          <w:tcPr>
            <w:tcW w:w="1134" w:type="dxa"/>
            <w:gridSpan w:val="2"/>
            <w:shd w:val="clear" w:color="auto" w:fill="auto"/>
            <w:noWrap/>
            <w:vAlign w:val="bottom"/>
            <w:hideMark/>
          </w:tcPr>
          <w:p w14:paraId="5BEE102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Hybrid</w:t>
            </w:r>
          </w:p>
        </w:tc>
        <w:tc>
          <w:tcPr>
            <w:tcW w:w="1418" w:type="dxa"/>
            <w:gridSpan w:val="2"/>
            <w:shd w:val="clear" w:color="auto" w:fill="auto"/>
            <w:noWrap/>
            <w:vAlign w:val="bottom"/>
            <w:hideMark/>
          </w:tcPr>
          <w:p w14:paraId="56EDD3F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2E0ABB73" w14:textId="77777777" w:rsidTr="004D40EE">
        <w:trPr>
          <w:trHeight w:val="300"/>
          <w:jc w:val="center"/>
        </w:trPr>
        <w:tc>
          <w:tcPr>
            <w:tcW w:w="544" w:type="dxa"/>
          </w:tcPr>
          <w:p w14:paraId="0D9F3A7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32</w:t>
            </w:r>
          </w:p>
        </w:tc>
        <w:tc>
          <w:tcPr>
            <w:tcW w:w="1016" w:type="dxa"/>
            <w:vMerge w:val="restart"/>
          </w:tcPr>
          <w:p w14:paraId="30918EC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p w14:paraId="5B1EB1E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p w14:paraId="439B7CF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p w14:paraId="3F16540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p w14:paraId="56A2FFF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p w14:paraId="4641812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p w14:paraId="5A040B9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lastRenderedPageBreak/>
              <w:t>Intermediate Zone</w:t>
            </w:r>
          </w:p>
        </w:tc>
        <w:tc>
          <w:tcPr>
            <w:tcW w:w="1559" w:type="dxa"/>
            <w:shd w:val="clear" w:color="auto" w:fill="auto"/>
            <w:noWrap/>
            <w:vAlign w:val="bottom"/>
            <w:hideMark/>
          </w:tcPr>
          <w:p w14:paraId="683D343C" w14:textId="6AAC0DAC"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lastRenderedPageBreak/>
              <w:t>ABC Transport</w:t>
            </w:r>
          </w:p>
        </w:tc>
        <w:tc>
          <w:tcPr>
            <w:tcW w:w="1417" w:type="dxa"/>
            <w:shd w:val="clear" w:color="auto" w:fill="auto"/>
            <w:noWrap/>
            <w:vAlign w:val="bottom"/>
            <w:hideMark/>
          </w:tcPr>
          <w:p w14:paraId="0F09CB3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Private</w:t>
            </w:r>
          </w:p>
        </w:tc>
        <w:tc>
          <w:tcPr>
            <w:tcW w:w="1276" w:type="dxa"/>
            <w:shd w:val="clear" w:color="auto" w:fill="auto"/>
            <w:noWrap/>
            <w:vAlign w:val="bottom"/>
            <w:hideMark/>
          </w:tcPr>
          <w:p w14:paraId="05C612F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606758.75</w:t>
            </w:r>
          </w:p>
        </w:tc>
        <w:tc>
          <w:tcPr>
            <w:tcW w:w="1278" w:type="dxa"/>
            <w:gridSpan w:val="2"/>
            <w:shd w:val="clear" w:color="auto" w:fill="auto"/>
            <w:noWrap/>
            <w:vAlign w:val="bottom"/>
            <w:hideMark/>
          </w:tcPr>
          <w:p w14:paraId="1AD3401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817387.95</w:t>
            </w:r>
          </w:p>
        </w:tc>
        <w:tc>
          <w:tcPr>
            <w:tcW w:w="1134" w:type="dxa"/>
            <w:gridSpan w:val="2"/>
            <w:shd w:val="clear" w:color="auto" w:fill="auto"/>
            <w:noWrap/>
            <w:vAlign w:val="bottom"/>
            <w:hideMark/>
          </w:tcPr>
          <w:p w14:paraId="354F67F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4254108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4525D71B" w14:textId="77777777" w:rsidTr="004D40EE">
        <w:trPr>
          <w:trHeight w:val="300"/>
          <w:jc w:val="center"/>
        </w:trPr>
        <w:tc>
          <w:tcPr>
            <w:tcW w:w="544" w:type="dxa"/>
          </w:tcPr>
          <w:p w14:paraId="6CC5EB4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33</w:t>
            </w:r>
          </w:p>
        </w:tc>
        <w:tc>
          <w:tcPr>
            <w:tcW w:w="1016" w:type="dxa"/>
            <w:vMerge/>
          </w:tcPr>
          <w:p w14:paraId="7FE05EC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5DA103E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Academy</w:t>
            </w:r>
          </w:p>
        </w:tc>
        <w:tc>
          <w:tcPr>
            <w:tcW w:w="1417" w:type="dxa"/>
            <w:shd w:val="clear" w:color="auto" w:fill="auto"/>
            <w:noWrap/>
            <w:vAlign w:val="bottom"/>
            <w:hideMark/>
          </w:tcPr>
          <w:p w14:paraId="051EDE3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0C402AD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600046.54</w:t>
            </w:r>
          </w:p>
        </w:tc>
        <w:tc>
          <w:tcPr>
            <w:tcW w:w="1278" w:type="dxa"/>
            <w:gridSpan w:val="2"/>
            <w:shd w:val="clear" w:color="auto" w:fill="auto"/>
            <w:noWrap/>
            <w:vAlign w:val="bottom"/>
            <w:hideMark/>
          </w:tcPr>
          <w:p w14:paraId="14B856C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811448.79</w:t>
            </w:r>
          </w:p>
        </w:tc>
        <w:tc>
          <w:tcPr>
            <w:tcW w:w="1134" w:type="dxa"/>
            <w:gridSpan w:val="2"/>
            <w:shd w:val="clear" w:color="auto" w:fill="auto"/>
            <w:noWrap/>
            <w:vAlign w:val="bottom"/>
            <w:hideMark/>
          </w:tcPr>
          <w:p w14:paraId="7EE677A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6A89D7B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42E1250F" w14:textId="77777777" w:rsidTr="004D40EE">
        <w:trPr>
          <w:trHeight w:val="300"/>
          <w:jc w:val="center"/>
        </w:trPr>
        <w:tc>
          <w:tcPr>
            <w:tcW w:w="544" w:type="dxa"/>
          </w:tcPr>
          <w:p w14:paraId="57BA0D2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34</w:t>
            </w:r>
          </w:p>
        </w:tc>
        <w:tc>
          <w:tcPr>
            <w:tcW w:w="1016" w:type="dxa"/>
            <w:vMerge/>
          </w:tcPr>
          <w:p w14:paraId="1797BC6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3322B0F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Ajibode Junction</w:t>
            </w:r>
          </w:p>
        </w:tc>
        <w:tc>
          <w:tcPr>
            <w:tcW w:w="1417" w:type="dxa"/>
            <w:shd w:val="clear" w:color="auto" w:fill="auto"/>
            <w:noWrap/>
            <w:vAlign w:val="bottom"/>
            <w:hideMark/>
          </w:tcPr>
          <w:p w14:paraId="54EB40B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601E1ED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600163.00</w:t>
            </w:r>
          </w:p>
        </w:tc>
        <w:tc>
          <w:tcPr>
            <w:tcW w:w="1278" w:type="dxa"/>
            <w:gridSpan w:val="2"/>
            <w:shd w:val="clear" w:color="auto" w:fill="auto"/>
            <w:noWrap/>
            <w:vAlign w:val="bottom"/>
            <w:hideMark/>
          </w:tcPr>
          <w:p w14:paraId="7E921C0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824434.00</w:t>
            </w:r>
          </w:p>
        </w:tc>
        <w:tc>
          <w:tcPr>
            <w:tcW w:w="1134" w:type="dxa"/>
            <w:gridSpan w:val="2"/>
            <w:shd w:val="clear" w:color="auto" w:fill="auto"/>
            <w:noWrap/>
            <w:vAlign w:val="bottom"/>
            <w:hideMark/>
          </w:tcPr>
          <w:p w14:paraId="464B524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529F432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755AE8EE" w14:textId="77777777" w:rsidTr="004D40EE">
        <w:trPr>
          <w:trHeight w:val="300"/>
          <w:jc w:val="center"/>
        </w:trPr>
        <w:tc>
          <w:tcPr>
            <w:tcW w:w="544" w:type="dxa"/>
          </w:tcPr>
          <w:p w14:paraId="5257992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35</w:t>
            </w:r>
          </w:p>
        </w:tc>
        <w:tc>
          <w:tcPr>
            <w:tcW w:w="1016" w:type="dxa"/>
            <w:vMerge/>
          </w:tcPr>
          <w:p w14:paraId="059A30F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0754A955" w14:textId="6595785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Ajimobi Motor Park, New Gbagi</w:t>
            </w:r>
          </w:p>
        </w:tc>
        <w:tc>
          <w:tcPr>
            <w:tcW w:w="1417" w:type="dxa"/>
            <w:shd w:val="clear" w:color="auto" w:fill="auto"/>
            <w:noWrap/>
            <w:vAlign w:val="bottom"/>
            <w:hideMark/>
          </w:tcPr>
          <w:p w14:paraId="55F0C73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11168E2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604933.57</w:t>
            </w:r>
          </w:p>
        </w:tc>
        <w:tc>
          <w:tcPr>
            <w:tcW w:w="1278" w:type="dxa"/>
            <w:gridSpan w:val="2"/>
            <w:shd w:val="clear" w:color="auto" w:fill="auto"/>
            <w:noWrap/>
            <w:vAlign w:val="bottom"/>
            <w:hideMark/>
          </w:tcPr>
          <w:p w14:paraId="295912F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817760.18</w:t>
            </w:r>
          </w:p>
        </w:tc>
        <w:tc>
          <w:tcPr>
            <w:tcW w:w="1134" w:type="dxa"/>
            <w:gridSpan w:val="2"/>
            <w:shd w:val="clear" w:color="auto" w:fill="auto"/>
            <w:noWrap/>
            <w:vAlign w:val="bottom"/>
            <w:hideMark/>
          </w:tcPr>
          <w:p w14:paraId="593A480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2BEB1A4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1341F834" w14:textId="77777777" w:rsidTr="004D40EE">
        <w:trPr>
          <w:trHeight w:val="300"/>
          <w:jc w:val="center"/>
        </w:trPr>
        <w:tc>
          <w:tcPr>
            <w:tcW w:w="544" w:type="dxa"/>
          </w:tcPr>
          <w:p w14:paraId="3BA6F0F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lastRenderedPageBreak/>
              <w:t>36</w:t>
            </w:r>
          </w:p>
        </w:tc>
        <w:tc>
          <w:tcPr>
            <w:tcW w:w="1016" w:type="dxa"/>
            <w:vMerge/>
          </w:tcPr>
          <w:p w14:paraId="0E76186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639312D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lang w:val="en-US"/>
              </w:rPr>
            </w:pPr>
            <w:r w:rsidRPr="004D40EE">
              <w:rPr>
                <w:rFonts w:ascii="Times New Roman" w:eastAsia="Times New Roman" w:hAnsi="Times New Roman" w:cs="Times New Roman"/>
                <w:color w:val="000000"/>
                <w:sz w:val="20"/>
                <w:szCs w:val="20"/>
              </w:rPr>
              <w:t xml:space="preserve">Ajimobi Motor Park, New </w:t>
            </w:r>
            <w:r w:rsidRPr="004D40EE">
              <w:rPr>
                <w:rFonts w:ascii="Times New Roman" w:eastAsia="Times New Roman" w:hAnsi="Times New Roman" w:cs="Times New Roman"/>
                <w:color w:val="000000"/>
                <w:sz w:val="20"/>
                <w:szCs w:val="20"/>
                <w:lang w:val="en-US"/>
              </w:rPr>
              <w:t>Garage</w:t>
            </w:r>
          </w:p>
        </w:tc>
        <w:tc>
          <w:tcPr>
            <w:tcW w:w="1417" w:type="dxa"/>
            <w:shd w:val="clear" w:color="auto" w:fill="auto"/>
            <w:noWrap/>
            <w:vAlign w:val="bottom"/>
            <w:hideMark/>
          </w:tcPr>
          <w:p w14:paraId="1C47944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010F780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595620.71</w:t>
            </w:r>
          </w:p>
        </w:tc>
        <w:tc>
          <w:tcPr>
            <w:tcW w:w="1278" w:type="dxa"/>
            <w:gridSpan w:val="2"/>
            <w:shd w:val="clear" w:color="auto" w:fill="auto"/>
            <w:noWrap/>
            <w:vAlign w:val="bottom"/>
            <w:hideMark/>
          </w:tcPr>
          <w:p w14:paraId="497B718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810194.10</w:t>
            </w:r>
          </w:p>
        </w:tc>
        <w:tc>
          <w:tcPr>
            <w:tcW w:w="1134" w:type="dxa"/>
            <w:gridSpan w:val="2"/>
            <w:shd w:val="clear" w:color="auto" w:fill="auto"/>
            <w:noWrap/>
            <w:vAlign w:val="bottom"/>
            <w:hideMark/>
          </w:tcPr>
          <w:p w14:paraId="1FBF974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Hybrid</w:t>
            </w:r>
          </w:p>
        </w:tc>
        <w:tc>
          <w:tcPr>
            <w:tcW w:w="1418" w:type="dxa"/>
            <w:gridSpan w:val="2"/>
            <w:shd w:val="clear" w:color="auto" w:fill="auto"/>
            <w:noWrap/>
            <w:vAlign w:val="bottom"/>
            <w:hideMark/>
          </w:tcPr>
          <w:p w14:paraId="141C0D9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4C91111D" w14:textId="77777777" w:rsidTr="004D40EE">
        <w:trPr>
          <w:trHeight w:val="300"/>
          <w:jc w:val="center"/>
        </w:trPr>
        <w:tc>
          <w:tcPr>
            <w:tcW w:w="544" w:type="dxa"/>
          </w:tcPr>
          <w:p w14:paraId="64DBAC0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37</w:t>
            </w:r>
          </w:p>
        </w:tc>
        <w:tc>
          <w:tcPr>
            <w:tcW w:w="1016" w:type="dxa"/>
            <w:vMerge/>
          </w:tcPr>
          <w:p w14:paraId="5A63207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27E08D1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Akingbile</w:t>
            </w:r>
          </w:p>
        </w:tc>
        <w:tc>
          <w:tcPr>
            <w:tcW w:w="1417" w:type="dxa"/>
            <w:shd w:val="clear" w:color="auto" w:fill="auto"/>
            <w:noWrap/>
            <w:vAlign w:val="bottom"/>
            <w:hideMark/>
          </w:tcPr>
          <w:p w14:paraId="6C91260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176D051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600863.10</w:t>
            </w:r>
          </w:p>
        </w:tc>
        <w:tc>
          <w:tcPr>
            <w:tcW w:w="1278" w:type="dxa"/>
            <w:gridSpan w:val="2"/>
            <w:shd w:val="clear" w:color="auto" w:fill="auto"/>
            <w:noWrap/>
            <w:vAlign w:val="bottom"/>
            <w:hideMark/>
          </w:tcPr>
          <w:p w14:paraId="4C68B9F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826595.75</w:t>
            </w:r>
          </w:p>
        </w:tc>
        <w:tc>
          <w:tcPr>
            <w:tcW w:w="1134" w:type="dxa"/>
            <w:gridSpan w:val="2"/>
            <w:shd w:val="clear" w:color="auto" w:fill="auto"/>
            <w:noWrap/>
            <w:vAlign w:val="bottom"/>
            <w:hideMark/>
          </w:tcPr>
          <w:p w14:paraId="68B4041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5D0CBBE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00503D43" w14:textId="77777777" w:rsidTr="004D40EE">
        <w:trPr>
          <w:trHeight w:val="300"/>
          <w:jc w:val="center"/>
        </w:trPr>
        <w:tc>
          <w:tcPr>
            <w:tcW w:w="544" w:type="dxa"/>
          </w:tcPr>
          <w:p w14:paraId="744A65F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38</w:t>
            </w:r>
          </w:p>
        </w:tc>
        <w:tc>
          <w:tcPr>
            <w:tcW w:w="1016" w:type="dxa"/>
            <w:vMerge/>
          </w:tcPr>
          <w:p w14:paraId="6536AC2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7D77B5C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Ako</w:t>
            </w:r>
            <w:r w:rsidRPr="004D40EE">
              <w:rPr>
                <w:rFonts w:ascii="Times New Roman" w:eastAsia="Times New Roman" w:hAnsi="Times New Roman" w:cs="Times New Roman"/>
                <w:color w:val="000000"/>
                <w:sz w:val="20"/>
                <w:szCs w:val="20"/>
                <w:lang w:val="en-US"/>
              </w:rPr>
              <w:t>b</w:t>
            </w:r>
            <w:r w:rsidRPr="004D40EE">
              <w:rPr>
                <w:rFonts w:ascii="Times New Roman" w:eastAsia="Times New Roman" w:hAnsi="Times New Roman" w:cs="Times New Roman"/>
                <w:color w:val="000000"/>
                <w:sz w:val="20"/>
                <w:szCs w:val="20"/>
              </w:rPr>
              <w:t>o/Iyana Church</w:t>
            </w:r>
          </w:p>
        </w:tc>
        <w:tc>
          <w:tcPr>
            <w:tcW w:w="1417" w:type="dxa"/>
            <w:shd w:val="clear" w:color="auto" w:fill="auto"/>
            <w:noWrap/>
            <w:vAlign w:val="bottom"/>
            <w:hideMark/>
          </w:tcPr>
          <w:p w14:paraId="74856A0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3D42A87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607656.88</w:t>
            </w:r>
          </w:p>
        </w:tc>
        <w:tc>
          <w:tcPr>
            <w:tcW w:w="1278" w:type="dxa"/>
            <w:gridSpan w:val="2"/>
            <w:shd w:val="clear" w:color="auto" w:fill="auto"/>
            <w:noWrap/>
            <w:vAlign w:val="bottom"/>
            <w:hideMark/>
          </w:tcPr>
          <w:p w14:paraId="414620D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820490.87</w:t>
            </w:r>
          </w:p>
        </w:tc>
        <w:tc>
          <w:tcPr>
            <w:tcW w:w="1134" w:type="dxa"/>
            <w:gridSpan w:val="2"/>
            <w:shd w:val="clear" w:color="auto" w:fill="auto"/>
            <w:noWrap/>
            <w:vAlign w:val="bottom"/>
            <w:hideMark/>
          </w:tcPr>
          <w:p w14:paraId="3A67C89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3A87A1A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258AC028" w14:textId="77777777" w:rsidTr="004D40EE">
        <w:trPr>
          <w:trHeight w:val="300"/>
          <w:jc w:val="center"/>
        </w:trPr>
        <w:tc>
          <w:tcPr>
            <w:tcW w:w="544" w:type="dxa"/>
          </w:tcPr>
          <w:p w14:paraId="214AE76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39</w:t>
            </w:r>
          </w:p>
        </w:tc>
        <w:tc>
          <w:tcPr>
            <w:tcW w:w="1016" w:type="dxa"/>
            <w:vMerge/>
          </w:tcPr>
          <w:p w14:paraId="519CB09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032E717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Amuloko</w:t>
            </w:r>
          </w:p>
        </w:tc>
        <w:tc>
          <w:tcPr>
            <w:tcW w:w="1417" w:type="dxa"/>
            <w:shd w:val="clear" w:color="auto" w:fill="auto"/>
            <w:noWrap/>
            <w:vAlign w:val="bottom"/>
            <w:hideMark/>
          </w:tcPr>
          <w:p w14:paraId="27C46E7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35CEFC4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607108.90</w:t>
            </w:r>
          </w:p>
        </w:tc>
        <w:tc>
          <w:tcPr>
            <w:tcW w:w="1278" w:type="dxa"/>
            <w:gridSpan w:val="2"/>
            <w:shd w:val="clear" w:color="auto" w:fill="auto"/>
            <w:noWrap/>
            <w:vAlign w:val="bottom"/>
            <w:hideMark/>
          </w:tcPr>
          <w:p w14:paraId="60B175A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810950.55</w:t>
            </w:r>
          </w:p>
        </w:tc>
        <w:tc>
          <w:tcPr>
            <w:tcW w:w="1134" w:type="dxa"/>
            <w:gridSpan w:val="2"/>
            <w:shd w:val="clear" w:color="auto" w:fill="auto"/>
            <w:noWrap/>
            <w:vAlign w:val="bottom"/>
            <w:hideMark/>
          </w:tcPr>
          <w:p w14:paraId="12FC630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77702D6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023B38A0" w14:textId="77777777" w:rsidTr="004D40EE">
        <w:trPr>
          <w:trHeight w:val="300"/>
          <w:jc w:val="center"/>
        </w:trPr>
        <w:tc>
          <w:tcPr>
            <w:tcW w:w="544" w:type="dxa"/>
          </w:tcPr>
          <w:p w14:paraId="56FA7C3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40</w:t>
            </w:r>
          </w:p>
        </w:tc>
        <w:tc>
          <w:tcPr>
            <w:tcW w:w="1016" w:type="dxa"/>
            <w:vMerge/>
          </w:tcPr>
          <w:p w14:paraId="627B76C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3589CB9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Apata</w:t>
            </w:r>
          </w:p>
        </w:tc>
        <w:tc>
          <w:tcPr>
            <w:tcW w:w="1417" w:type="dxa"/>
            <w:shd w:val="clear" w:color="auto" w:fill="auto"/>
            <w:noWrap/>
            <w:vAlign w:val="bottom"/>
            <w:hideMark/>
          </w:tcPr>
          <w:p w14:paraId="0253A13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5D5C9A8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591144.04</w:t>
            </w:r>
          </w:p>
        </w:tc>
        <w:tc>
          <w:tcPr>
            <w:tcW w:w="1278" w:type="dxa"/>
            <w:gridSpan w:val="2"/>
            <w:shd w:val="clear" w:color="auto" w:fill="auto"/>
            <w:noWrap/>
            <w:vAlign w:val="bottom"/>
            <w:hideMark/>
          </w:tcPr>
          <w:p w14:paraId="44A0842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816339.97</w:t>
            </w:r>
          </w:p>
        </w:tc>
        <w:tc>
          <w:tcPr>
            <w:tcW w:w="1134" w:type="dxa"/>
            <w:gridSpan w:val="2"/>
            <w:shd w:val="clear" w:color="auto" w:fill="auto"/>
            <w:noWrap/>
            <w:vAlign w:val="bottom"/>
            <w:hideMark/>
          </w:tcPr>
          <w:p w14:paraId="5CF9F67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7C707B6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62107E2F" w14:textId="77777777" w:rsidTr="004D40EE">
        <w:trPr>
          <w:trHeight w:val="300"/>
          <w:jc w:val="center"/>
        </w:trPr>
        <w:tc>
          <w:tcPr>
            <w:tcW w:w="544" w:type="dxa"/>
          </w:tcPr>
          <w:p w14:paraId="34F7FEB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41</w:t>
            </w:r>
          </w:p>
        </w:tc>
        <w:tc>
          <w:tcPr>
            <w:tcW w:w="1016" w:type="dxa"/>
            <w:vMerge/>
          </w:tcPr>
          <w:p w14:paraId="28F3428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174BADDA" w14:textId="3236A149"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Apete</w:t>
            </w:r>
          </w:p>
        </w:tc>
        <w:tc>
          <w:tcPr>
            <w:tcW w:w="1417" w:type="dxa"/>
            <w:shd w:val="clear" w:color="auto" w:fill="auto"/>
            <w:noWrap/>
            <w:vAlign w:val="bottom"/>
            <w:hideMark/>
          </w:tcPr>
          <w:p w14:paraId="4D594D4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75F56DE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596649.27</w:t>
            </w:r>
          </w:p>
        </w:tc>
        <w:tc>
          <w:tcPr>
            <w:tcW w:w="1278" w:type="dxa"/>
            <w:gridSpan w:val="2"/>
            <w:shd w:val="clear" w:color="auto" w:fill="auto"/>
            <w:noWrap/>
            <w:vAlign w:val="bottom"/>
            <w:hideMark/>
          </w:tcPr>
          <w:p w14:paraId="63865F6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823342.13</w:t>
            </w:r>
          </w:p>
        </w:tc>
        <w:tc>
          <w:tcPr>
            <w:tcW w:w="1134" w:type="dxa"/>
            <w:gridSpan w:val="2"/>
            <w:shd w:val="clear" w:color="auto" w:fill="auto"/>
            <w:noWrap/>
            <w:vAlign w:val="bottom"/>
            <w:hideMark/>
          </w:tcPr>
          <w:p w14:paraId="3507EC6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0C06204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3874492E" w14:textId="77777777" w:rsidTr="004D40EE">
        <w:trPr>
          <w:trHeight w:val="300"/>
          <w:jc w:val="center"/>
        </w:trPr>
        <w:tc>
          <w:tcPr>
            <w:tcW w:w="544" w:type="dxa"/>
          </w:tcPr>
          <w:p w14:paraId="2DC5B4B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42</w:t>
            </w:r>
          </w:p>
        </w:tc>
        <w:tc>
          <w:tcPr>
            <w:tcW w:w="1016" w:type="dxa"/>
            <w:vMerge/>
          </w:tcPr>
          <w:p w14:paraId="14B333B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39D4B04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Benue Links</w:t>
            </w:r>
          </w:p>
        </w:tc>
        <w:tc>
          <w:tcPr>
            <w:tcW w:w="1417" w:type="dxa"/>
            <w:shd w:val="clear" w:color="auto" w:fill="auto"/>
            <w:noWrap/>
            <w:vAlign w:val="bottom"/>
            <w:hideMark/>
          </w:tcPr>
          <w:p w14:paraId="2F7B6CB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Private</w:t>
            </w:r>
          </w:p>
        </w:tc>
        <w:tc>
          <w:tcPr>
            <w:tcW w:w="1276" w:type="dxa"/>
            <w:shd w:val="clear" w:color="auto" w:fill="auto"/>
            <w:noWrap/>
            <w:vAlign w:val="bottom"/>
            <w:hideMark/>
          </w:tcPr>
          <w:p w14:paraId="2D07331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600085.82</w:t>
            </w:r>
          </w:p>
        </w:tc>
        <w:tc>
          <w:tcPr>
            <w:tcW w:w="1278" w:type="dxa"/>
            <w:gridSpan w:val="2"/>
            <w:shd w:val="clear" w:color="auto" w:fill="auto"/>
            <w:noWrap/>
            <w:vAlign w:val="bottom"/>
            <w:hideMark/>
          </w:tcPr>
          <w:p w14:paraId="083F446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822958.28</w:t>
            </w:r>
          </w:p>
        </w:tc>
        <w:tc>
          <w:tcPr>
            <w:tcW w:w="1134" w:type="dxa"/>
            <w:gridSpan w:val="2"/>
            <w:shd w:val="clear" w:color="auto" w:fill="auto"/>
            <w:noWrap/>
            <w:vAlign w:val="bottom"/>
            <w:hideMark/>
          </w:tcPr>
          <w:p w14:paraId="7E2F2D5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72EAE58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403FE366" w14:textId="77777777" w:rsidTr="004D40EE">
        <w:trPr>
          <w:trHeight w:val="300"/>
          <w:jc w:val="center"/>
        </w:trPr>
        <w:tc>
          <w:tcPr>
            <w:tcW w:w="544" w:type="dxa"/>
          </w:tcPr>
          <w:p w14:paraId="60283B2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43</w:t>
            </w:r>
          </w:p>
        </w:tc>
        <w:tc>
          <w:tcPr>
            <w:tcW w:w="1016" w:type="dxa"/>
            <w:vMerge/>
          </w:tcPr>
          <w:p w14:paraId="0272586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77B55BD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Challenge Bus Terminal</w:t>
            </w:r>
          </w:p>
        </w:tc>
        <w:tc>
          <w:tcPr>
            <w:tcW w:w="1417" w:type="dxa"/>
            <w:shd w:val="clear" w:color="auto" w:fill="auto"/>
            <w:noWrap/>
            <w:vAlign w:val="bottom"/>
            <w:hideMark/>
          </w:tcPr>
          <w:p w14:paraId="03909EA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5E230D8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596923.77</w:t>
            </w:r>
          </w:p>
        </w:tc>
        <w:tc>
          <w:tcPr>
            <w:tcW w:w="1278" w:type="dxa"/>
            <w:gridSpan w:val="2"/>
            <w:shd w:val="clear" w:color="auto" w:fill="auto"/>
            <w:noWrap/>
            <w:vAlign w:val="bottom"/>
            <w:hideMark/>
          </w:tcPr>
          <w:p w14:paraId="01CC1D3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811989.55</w:t>
            </w:r>
          </w:p>
        </w:tc>
        <w:tc>
          <w:tcPr>
            <w:tcW w:w="1134" w:type="dxa"/>
            <w:gridSpan w:val="2"/>
            <w:shd w:val="clear" w:color="auto" w:fill="auto"/>
            <w:noWrap/>
            <w:vAlign w:val="bottom"/>
            <w:hideMark/>
          </w:tcPr>
          <w:p w14:paraId="0E88860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268B120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2A7A5228" w14:textId="77777777" w:rsidTr="004D40EE">
        <w:trPr>
          <w:trHeight w:val="300"/>
          <w:jc w:val="center"/>
        </w:trPr>
        <w:tc>
          <w:tcPr>
            <w:tcW w:w="544" w:type="dxa"/>
          </w:tcPr>
          <w:p w14:paraId="6E038AC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44</w:t>
            </w:r>
          </w:p>
        </w:tc>
        <w:tc>
          <w:tcPr>
            <w:tcW w:w="1016" w:type="dxa"/>
            <w:vMerge/>
          </w:tcPr>
          <w:p w14:paraId="18EF11F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2691E4C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Challenge Car Park</w:t>
            </w:r>
          </w:p>
        </w:tc>
        <w:tc>
          <w:tcPr>
            <w:tcW w:w="1417" w:type="dxa"/>
            <w:shd w:val="clear" w:color="auto" w:fill="auto"/>
            <w:noWrap/>
            <w:vAlign w:val="bottom"/>
            <w:hideMark/>
          </w:tcPr>
          <w:p w14:paraId="4601DC1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5066251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596988.60</w:t>
            </w:r>
          </w:p>
        </w:tc>
        <w:tc>
          <w:tcPr>
            <w:tcW w:w="1278" w:type="dxa"/>
            <w:gridSpan w:val="2"/>
            <w:shd w:val="clear" w:color="auto" w:fill="auto"/>
            <w:noWrap/>
            <w:vAlign w:val="bottom"/>
            <w:hideMark/>
          </w:tcPr>
          <w:p w14:paraId="79AACEE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812316.59</w:t>
            </w:r>
          </w:p>
        </w:tc>
        <w:tc>
          <w:tcPr>
            <w:tcW w:w="1134" w:type="dxa"/>
            <w:gridSpan w:val="2"/>
            <w:shd w:val="clear" w:color="auto" w:fill="auto"/>
            <w:noWrap/>
            <w:vAlign w:val="bottom"/>
            <w:hideMark/>
          </w:tcPr>
          <w:p w14:paraId="28D0806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61DB05C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20EC2413" w14:textId="77777777" w:rsidTr="004D40EE">
        <w:trPr>
          <w:trHeight w:val="300"/>
          <w:jc w:val="center"/>
        </w:trPr>
        <w:tc>
          <w:tcPr>
            <w:tcW w:w="544" w:type="dxa"/>
          </w:tcPr>
          <w:p w14:paraId="31AE835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45</w:t>
            </w:r>
          </w:p>
        </w:tc>
        <w:tc>
          <w:tcPr>
            <w:tcW w:w="1016" w:type="dxa"/>
            <w:vMerge/>
          </w:tcPr>
          <w:p w14:paraId="0EF1DDB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6FD3EDB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Delta Express</w:t>
            </w:r>
          </w:p>
        </w:tc>
        <w:tc>
          <w:tcPr>
            <w:tcW w:w="1417" w:type="dxa"/>
            <w:shd w:val="clear" w:color="auto" w:fill="auto"/>
            <w:noWrap/>
            <w:vAlign w:val="bottom"/>
            <w:hideMark/>
          </w:tcPr>
          <w:p w14:paraId="3053EB8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Private</w:t>
            </w:r>
          </w:p>
        </w:tc>
        <w:tc>
          <w:tcPr>
            <w:tcW w:w="1276" w:type="dxa"/>
            <w:shd w:val="clear" w:color="auto" w:fill="auto"/>
            <w:noWrap/>
            <w:vAlign w:val="bottom"/>
            <w:hideMark/>
          </w:tcPr>
          <w:p w14:paraId="1E7ECCA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605363.60</w:t>
            </w:r>
          </w:p>
        </w:tc>
        <w:tc>
          <w:tcPr>
            <w:tcW w:w="1278" w:type="dxa"/>
            <w:gridSpan w:val="2"/>
            <w:shd w:val="clear" w:color="auto" w:fill="auto"/>
            <w:noWrap/>
            <w:vAlign w:val="bottom"/>
            <w:hideMark/>
          </w:tcPr>
          <w:p w14:paraId="017D976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817533.04</w:t>
            </w:r>
          </w:p>
        </w:tc>
        <w:tc>
          <w:tcPr>
            <w:tcW w:w="1134" w:type="dxa"/>
            <w:gridSpan w:val="2"/>
            <w:shd w:val="clear" w:color="auto" w:fill="auto"/>
            <w:noWrap/>
            <w:vAlign w:val="bottom"/>
            <w:hideMark/>
          </w:tcPr>
          <w:p w14:paraId="4A27275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5B1DCA7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0293D69E" w14:textId="77777777" w:rsidTr="004D40EE">
        <w:trPr>
          <w:trHeight w:val="300"/>
          <w:jc w:val="center"/>
        </w:trPr>
        <w:tc>
          <w:tcPr>
            <w:tcW w:w="544" w:type="dxa"/>
          </w:tcPr>
          <w:p w14:paraId="1E30AA4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46</w:t>
            </w:r>
          </w:p>
        </w:tc>
        <w:tc>
          <w:tcPr>
            <w:tcW w:w="1016" w:type="dxa"/>
            <w:vMerge/>
          </w:tcPr>
          <w:p w14:paraId="4C00E9D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5A17AF9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Eagle Line Transport</w:t>
            </w:r>
          </w:p>
        </w:tc>
        <w:tc>
          <w:tcPr>
            <w:tcW w:w="1417" w:type="dxa"/>
            <w:shd w:val="clear" w:color="auto" w:fill="auto"/>
            <w:noWrap/>
            <w:vAlign w:val="bottom"/>
            <w:hideMark/>
          </w:tcPr>
          <w:p w14:paraId="59B8804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Private</w:t>
            </w:r>
          </w:p>
        </w:tc>
        <w:tc>
          <w:tcPr>
            <w:tcW w:w="1276" w:type="dxa"/>
            <w:shd w:val="clear" w:color="auto" w:fill="auto"/>
            <w:noWrap/>
            <w:vAlign w:val="bottom"/>
            <w:hideMark/>
          </w:tcPr>
          <w:p w14:paraId="161D519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600090.14</w:t>
            </w:r>
          </w:p>
        </w:tc>
        <w:tc>
          <w:tcPr>
            <w:tcW w:w="1278" w:type="dxa"/>
            <w:gridSpan w:val="2"/>
            <w:shd w:val="clear" w:color="auto" w:fill="auto"/>
            <w:noWrap/>
            <w:vAlign w:val="bottom"/>
            <w:hideMark/>
          </w:tcPr>
          <w:p w14:paraId="7DD02A7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822879.90</w:t>
            </w:r>
          </w:p>
        </w:tc>
        <w:tc>
          <w:tcPr>
            <w:tcW w:w="1134" w:type="dxa"/>
            <w:gridSpan w:val="2"/>
            <w:shd w:val="clear" w:color="auto" w:fill="auto"/>
            <w:noWrap/>
            <w:vAlign w:val="bottom"/>
            <w:hideMark/>
          </w:tcPr>
          <w:p w14:paraId="35F9961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43006E4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5706F922" w14:textId="77777777" w:rsidTr="004D40EE">
        <w:trPr>
          <w:trHeight w:val="300"/>
          <w:jc w:val="center"/>
        </w:trPr>
        <w:tc>
          <w:tcPr>
            <w:tcW w:w="544" w:type="dxa"/>
          </w:tcPr>
          <w:p w14:paraId="7C9D14A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47</w:t>
            </w:r>
          </w:p>
        </w:tc>
        <w:tc>
          <w:tcPr>
            <w:tcW w:w="1016" w:type="dxa"/>
            <w:vMerge/>
          </w:tcPr>
          <w:p w14:paraId="312F5AA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00B500B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Eleyele</w:t>
            </w:r>
          </w:p>
        </w:tc>
        <w:tc>
          <w:tcPr>
            <w:tcW w:w="1417" w:type="dxa"/>
            <w:shd w:val="clear" w:color="auto" w:fill="auto"/>
            <w:noWrap/>
            <w:vAlign w:val="bottom"/>
            <w:hideMark/>
          </w:tcPr>
          <w:p w14:paraId="3AE8929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074B9FB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594807.56</w:t>
            </w:r>
          </w:p>
        </w:tc>
        <w:tc>
          <w:tcPr>
            <w:tcW w:w="1278" w:type="dxa"/>
            <w:gridSpan w:val="2"/>
            <w:shd w:val="clear" w:color="auto" w:fill="auto"/>
            <w:noWrap/>
            <w:vAlign w:val="bottom"/>
            <w:hideMark/>
          </w:tcPr>
          <w:p w14:paraId="7B3B090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820245.95</w:t>
            </w:r>
          </w:p>
        </w:tc>
        <w:tc>
          <w:tcPr>
            <w:tcW w:w="1134" w:type="dxa"/>
            <w:gridSpan w:val="2"/>
            <w:shd w:val="clear" w:color="auto" w:fill="auto"/>
            <w:noWrap/>
            <w:vAlign w:val="bottom"/>
            <w:hideMark/>
          </w:tcPr>
          <w:p w14:paraId="22D5E0F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Hybrid</w:t>
            </w:r>
          </w:p>
        </w:tc>
        <w:tc>
          <w:tcPr>
            <w:tcW w:w="1418" w:type="dxa"/>
            <w:gridSpan w:val="2"/>
            <w:shd w:val="clear" w:color="auto" w:fill="auto"/>
            <w:noWrap/>
            <w:vAlign w:val="bottom"/>
            <w:hideMark/>
          </w:tcPr>
          <w:p w14:paraId="0224C0D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4DEFF617" w14:textId="77777777" w:rsidTr="004D40EE">
        <w:trPr>
          <w:trHeight w:val="300"/>
          <w:jc w:val="center"/>
        </w:trPr>
        <w:tc>
          <w:tcPr>
            <w:tcW w:w="544" w:type="dxa"/>
          </w:tcPr>
          <w:p w14:paraId="41905EF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48</w:t>
            </w:r>
          </w:p>
        </w:tc>
        <w:tc>
          <w:tcPr>
            <w:tcW w:w="1016" w:type="dxa"/>
            <w:vMerge w:val="restart"/>
          </w:tcPr>
          <w:p w14:paraId="5A9779B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p w14:paraId="0024B7A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p w14:paraId="1BA70DB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p w14:paraId="72C4E85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p w14:paraId="07130E5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Intermediate Zone</w:t>
            </w:r>
          </w:p>
        </w:tc>
        <w:tc>
          <w:tcPr>
            <w:tcW w:w="1559" w:type="dxa"/>
            <w:shd w:val="clear" w:color="auto" w:fill="auto"/>
            <w:noWrap/>
            <w:vAlign w:val="bottom"/>
            <w:hideMark/>
          </w:tcPr>
          <w:p w14:paraId="01197E9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Glory Line Transport</w:t>
            </w:r>
          </w:p>
        </w:tc>
        <w:tc>
          <w:tcPr>
            <w:tcW w:w="1417" w:type="dxa"/>
            <w:shd w:val="clear" w:color="auto" w:fill="auto"/>
            <w:noWrap/>
            <w:vAlign w:val="bottom"/>
            <w:hideMark/>
          </w:tcPr>
          <w:p w14:paraId="4A19302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Private</w:t>
            </w:r>
          </w:p>
        </w:tc>
        <w:tc>
          <w:tcPr>
            <w:tcW w:w="1276" w:type="dxa"/>
            <w:shd w:val="clear" w:color="auto" w:fill="auto"/>
            <w:noWrap/>
            <w:vAlign w:val="bottom"/>
            <w:hideMark/>
          </w:tcPr>
          <w:p w14:paraId="435A34B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600083.39</w:t>
            </w:r>
          </w:p>
        </w:tc>
        <w:tc>
          <w:tcPr>
            <w:tcW w:w="1278" w:type="dxa"/>
            <w:gridSpan w:val="2"/>
            <w:shd w:val="clear" w:color="auto" w:fill="auto"/>
            <w:noWrap/>
            <w:vAlign w:val="bottom"/>
            <w:hideMark/>
          </w:tcPr>
          <w:p w14:paraId="76A469C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822777.64</w:t>
            </w:r>
          </w:p>
        </w:tc>
        <w:tc>
          <w:tcPr>
            <w:tcW w:w="1134" w:type="dxa"/>
            <w:gridSpan w:val="2"/>
            <w:shd w:val="clear" w:color="auto" w:fill="auto"/>
            <w:noWrap/>
            <w:vAlign w:val="bottom"/>
            <w:hideMark/>
          </w:tcPr>
          <w:p w14:paraId="1C79E9D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0C0C464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2F8737DB" w14:textId="77777777" w:rsidTr="004D40EE">
        <w:trPr>
          <w:trHeight w:val="300"/>
          <w:jc w:val="center"/>
        </w:trPr>
        <w:tc>
          <w:tcPr>
            <w:tcW w:w="544" w:type="dxa"/>
          </w:tcPr>
          <w:p w14:paraId="09C0BF5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49</w:t>
            </w:r>
          </w:p>
        </w:tc>
        <w:tc>
          <w:tcPr>
            <w:tcW w:w="1016" w:type="dxa"/>
            <w:vMerge/>
          </w:tcPr>
          <w:p w14:paraId="4278AD5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2A9FBD4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Iwo Road Bus Terminal</w:t>
            </w:r>
          </w:p>
        </w:tc>
        <w:tc>
          <w:tcPr>
            <w:tcW w:w="1417" w:type="dxa"/>
            <w:shd w:val="clear" w:color="auto" w:fill="auto"/>
            <w:noWrap/>
            <w:vAlign w:val="bottom"/>
            <w:hideMark/>
          </w:tcPr>
          <w:p w14:paraId="4D2DF7C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77869D9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604238.57</w:t>
            </w:r>
          </w:p>
        </w:tc>
        <w:tc>
          <w:tcPr>
            <w:tcW w:w="1278" w:type="dxa"/>
            <w:gridSpan w:val="2"/>
            <w:shd w:val="clear" w:color="auto" w:fill="auto"/>
            <w:noWrap/>
            <w:vAlign w:val="bottom"/>
            <w:hideMark/>
          </w:tcPr>
          <w:p w14:paraId="0257F0E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818335.41</w:t>
            </w:r>
          </w:p>
        </w:tc>
        <w:tc>
          <w:tcPr>
            <w:tcW w:w="1134" w:type="dxa"/>
            <w:gridSpan w:val="2"/>
            <w:shd w:val="clear" w:color="auto" w:fill="auto"/>
            <w:noWrap/>
            <w:vAlign w:val="bottom"/>
            <w:hideMark/>
          </w:tcPr>
          <w:p w14:paraId="02C1F2B0" w14:textId="77777777" w:rsidR="0000060D" w:rsidRPr="004D40EE" w:rsidRDefault="0000060D" w:rsidP="004D40EE">
            <w:pPr>
              <w:spacing w:after="0" w:line="240" w:lineRule="auto"/>
              <w:jc w:val="center"/>
              <w:rPr>
                <w:rFonts w:ascii="Times New Roman" w:eastAsia="Times New Roman" w:hAnsi="Times New Roman" w:cs="Times New Roman"/>
                <w:bCs/>
                <w:color w:val="000000"/>
                <w:sz w:val="20"/>
                <w:szCs w:val="20"/>
              </w:rPr>
            </w:pPr>
            <w:r w:rsidRPr="004D40EE">
              <w:rPr>
                <w:rFonts w:ascii="Times New Roman" w:eastAsia="Times New Roman" w:hAnsi="Times New Roman" w:cs="Times New Roman"/>
                <w:bCs/>
                <w:color w:val="000000"/>
                <w:sz w:val="20"/>
                <w:szCs w:val="20"/>
              </w:rPr>
              <w:t>Under construction</w:t>
            </w:r>
          </w:p>
        </w:tc>
        <w:tc>
          <w:tcPr>
            <w:tcW w:w="1418" w:type="dxa"/>
            <w:gridSpan w:val="2"/>
            <w:shd w:val="clear" w:color="auto" w:fill="auto"/>
            <w:noWrap/>
            <w:vAlign w:val="bottom"/>
            <w:hideMark/>
          </w:tcPr>
          <w:p w14:paraId="65880DD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25499869" w14:textId="77777777" w:rsidTr="004D40EE">
        <w:trPr>
          <w:trHeight w:val="300"/>
          <w:jc w:val="center"/>
        </w:trPr>
        <w:tc>
          <w:tcPr>
            <w:tcW w:w="544" w:type="dxa"/>
          </w:tcPr>
          <w:p w14:paraId="7176A77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50</w:t>
            </w:r>
          </w:p>
        </w:tc>
        <w:tc>
          <w:tcPr>
            <w:tcW w:w="1016" w:type="dxa"/>
            <w:vMerge/>
          </w:tcPr>
          <w:p w14:paraId="7002A6E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30CA4B6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Iwo Road Lagos Park</w:t>
            </w:r>
          </w:p>
        </w:tc>
        <w:tc>
          <w:tcPr>
            <w:tcW w:w="1417" w:type="dxa"/>
            <w:shd w:val="clear" w:color="auto" w:fill="auto"/>
            <w:noWrap/>
            <w:vAlign w:val="bottom"/>
            <w:hideMark/>
          </w:tcPr>
          <w:p w14:paraId="5BBC8E8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6BB3D90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603993.03</w:t>
            </w:r>
          </w:p>
        </w:tc>
        <w:tc>
          <w:tcPr>
            <w:tcW w:w="1278" w:type="dxa"/>
            <w:gridSpan w:val="2"/>
            <w:shd w:val="clear" w:color="auto" w:fill="auto"/>
            <w:noWrap/>
            <w:vAlign w:val="bottom"/>
            <w:hideMark/>
          </w:tcPr>
          <w:p w14:paraId="6D98FC0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818264.59</w:t>
            </w:r>
          </w:p>
        </w:tc>
        <w:tc>
          <w:tcPr>
            <w:tcW w:w="1134" w:type="dxa"/>
            <w:gridSpan w:val="2"/>
            <w:shd w:val="clear" w:color="auto" w:fill="auto"/>
            <w:noWrap/>
            <w:vAlign w:val="bottom"/>
            <w:hideMark/>
          </w:tcPr>
          <w:p w14:paraId="2108FAA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Hybrid</w:t>
            </w:r>
          </w:p>
        </w:tc>
        <w:tc>
          <w:tcPr>
            <w:tcW w:w="1418" w:type="dxa"/>
            <w:gridSpan w:val="2"/>
            <w:shd w:val="clear" w:color="auto" w:fill="auto"/>
            <w:noWrap/>
            <w:vAlign w:val="bottom"/>
            <w:hideMark/>
          </w:tcPr>
          <w:p w14:paraId="70847A0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6E75C186" w14:textId="77777777" w:rsidTr="004D40EE">
        <w:trPr>
          <w:trHeight w:val="300"/>
          <w:jc w:val="center"/>
        </w:trPr>
        <w:tc>
          <w:tcPr>
            <w:tcW w:w="544" w:type="dxa"/>
          </w:tcPr>
          <w:p w14:paraId="1368CD6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51</w:t>
            </w:r>
          </w:p>
        </w:tc>
        <w:tc>
          <w:tcPr>
            <w:tcW w:w="1016" w:type="dxa"/>
            <w:vMerge/>
          </w:tcPr>
          <w:p w14:paraId="369C0F4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1C02049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Iwo Road Park 2</w:t>
            </w:r>
          </w:p>
        </w:tc>
        <w:tc>
          <w:tcPr>
            <w:tcW w:w="1417" w:type="dxa"/>
            <w:shd w:val="clear" w:color="auto" w:fill="auto"/>
            <w:noWrap/>
            <w:vAlign w:val="bottom"/>
            <w:hideMark/>
          </w:tcPr>
          <w:p w14:paraId="14779FE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4C3E227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604199.32</w:t>
            </w:r>
          </w:p>
        </w:tc>
        <w:tc>
          <w:tcPr>
            <w:tcW w:w="1278" w:type="dxa"/>
            <w:gridSpan w:val="2"/>
            <w:shd w:val="clear" w:color="auto" w:fill="auto"/>
            <w:noWrap/>
            <w:vAlign w:val="bottom"/>
            <w:hideMark/>
          </w:tcPr>
          <w:p w14:paraId="06BDA00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818712.26</w:t>
            </w:r>
          </w:p>
        </w:tc>
        <w:tc>
          <w:tcPr>
            <w:tcW w:w="1134" w:type="dxa"/>
            <w:gridSpan w:val="2"/>
            <w:shd w:val="clear" w:color="auto" w:fill="auto"/>
            <w:noWrap/>
            <w:vAlign w:val="bottom"/>
            <w:hideMark/>
          </w:tcPr>
          <w:p w14:paraId="33B1E49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Hybrid</w:t>
            </w:r>
          </w:p>
        </w:tc>
        <w:tc>
          <w:tcPr>
            <w:tcW w:w="1418" w:type="dxa"/>
            <w:gridSpan w:val="2"/>
            <w:shd w:val="clear" w:color="auto" w:fill="auto"/>
            <w:noWrap/>
            <w:vAlign w:val="bottom"/>
            <w:hideMark/>
          </w:tcPr>
          <w:p w14:paraId="4A9C6FB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0C78E275" w14:textId="77777777" w:rsidTr="004D40EE">
        <w:trPr>
          <w:trHeight w:val="300"/>
          <w:jc w:val="center"/>
        </w:trPr>
        <w:tc>
          <w:tcPr>
            <w:tcW w:w="544" w:type="dxa"/>
          </w:tcPr>
          <w:p w14:paraId="368E24E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52</w:t>
            </w:r>
          </w:p>
        </w:tc>
        <w:tc>
          <w:tcPr>
            <w:tcW w:w="1016" w:type="dxa"/>
            <w:vMerge/>
          </w:tcPr>
          <w:p w14:paraId="062B334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425BC1FA" w14:textId="74D634C6"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Landstar Express</w:t>
            </w:r>
          </w:p>
        </w:tc>
        <w:tc>
          <w:tcPr>
            <w:tcW w:w="1417" w:type="dxa"/>
            <w:shd w:val="clear" w:color="auto" w:fill="auto"/>
            <w:noWrap/>
            <w:vAlign w:val="bottom"/>
            <w:hideMark/>
          </w:tcPr>
          <w:p w14:paraId="552D65B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Private</w:t>
            </w:r>
          </w:p>
        </w:tc>
        <w:tc>
          <w:tcPr>
            <w:tcW w:w="1276" w:type="dxa"/>
            <w:shd w:val="clear" w:color="auto" w:fill="auto"/>
            <w:noWrap/>
            <w:vAlign w:val="bottom"/>
            <w:hideMark/>
          </w:tcPr>
          <w:p w14:paraId="49A40BC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606791.64</w:t>
            </w:r>
          </w:p>
        </w:tc>
        <w:tc>
          <w:tcPr>
            <w:tcW w:w="1278" w:type="dxa"/>
            <w:gridSpan w:val="2"/>
            <w:shd w:val="clear" w:color="auto" w:fill="auto"/>
            <w:noWrap/>
            <w:vAlign w:val="bottom"/>
            <w:hideMark/>
          </w:tcPr>
          <w:p w14:paraId="3564932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817382.69</w:t>
            </w:r>
          </w:p>
        </w:tc>
        <w:tc>
          <w:tcPr>
            <w:tcW w:w="1134" w:type="dxa"/>
            <w:gridSpan w:val="2"/>
            <w:shd w:val="clear" w:color="auto" w:fill="auto"/>
            <w:noWrap/>
            <w:vAlign w:val="bottom"/>
            <w:hideMark/>
          </w:tcPr>
          <w:p w14:paraId="6E6E326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1490A78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4ACA8DF9" w14:textId="77777777" w:rsidTr="004D40EE">
        <w:trPr>
          <w:trHeight w:val="300"/>
          <w:jc w:val="center"/>
        </w:trPr>
        <w:tc>
          <w:tcPr>
            <w:tcW w:w="544" w:type="dxa"/>
          </w:tcPr>
          <w:p w14:paraId="14945D4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53</w:t>
            </w:r>
          </w:p>
        </w:tc>
        <w:tc>
          <w:tcPr>
            <w:tcW w:w="1016" w:type="dxa"/>
            <w:vMerge/>
          </w:tcPr>
          <w:p w14:paraId="1ACA235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57B97D5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New Gbagi</w:t>
            </w:r>
          </w:p>
        </w:tc>
        <w:tc>
          <w:tcPr>
            <w:tcW w:w="1417" w:type="dxa"/>
            <w:shd w:val="clear" w:color="auto" w:fill="auto"/>
            <w:noWrap/>
            <w:vAlign w:val="bottom"/>
            <w:hideMark/>
          </w:tcPr>
          <w:p w14:paraId="020A652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63D8186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604854.09</w:t>
            </w:r>
          </w:p>
        </w:tc>
        <w:tc>
          <w:tcPr>
            <w:tcW w:w="1278" w:type="dxa"/>
            <w:gridSpan w:val="2"/>
            <w:shd w:val="clear" w:color="auto" w:fill="auto"/>
            <w:noWrap/>
            <w:vAlign w:val="bottom"/>
            <w:hideMark/>
          </w:tcPr>
          <w:p w14:paraId="742D3C4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817881.24</w:t>
            </w:r>
          </w:p>
        </w:tc>
        <w:tc>
          <w:tcPr>
            <w:tcW w:w="1134" w:type="dxa"/>
            <w:gridSpan w:val="2"/>
            <w:shd w:val="clear" w:color="auto" w:fill="auto"/>
            <w:noWrap/>
            <w:vAlign w:val="bottom"/>
            <w:hideMark/>
          </w:tcPr>
          <w:p w14:paraId="066F43B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7586ADE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7F2883CF" w14:textId="77777777" w:rsidTr="004D40EE">
        <w:trPr>
          <w:trHeight w:val="300"/>
          <w:jc w:val="center"/>
        </w:trPr>
        <w:tc>
          <w:tcPr>
            <w:tcW w:w="544" w:type="dxa"/>
          </w:tcPr>
          <w:p w14:paraId="57B56A7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54</w:t>
            </w:r>
          </w:p>
        </w:tc>
        <w:tc>
          <w:tcPr>
            <w:tcW w:w="1016" w:type="dxa"/>
            <w:vMerge/>
          </w:tcPr>
          <w:p w14:paraId="65C31FD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09AA550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Ojoo</w:t>
            </w:r>
          </w:p>
        </w:tc>
        <w:tc>
          <w:tcPr>
            <w:tcW w:w="1417" w:type="dxa"/>
            <w:shd w:val="clear" w:color="auto" w:fill="auto"/>
            <w:noWrap/>
            <w:vAlign w:val="bottom"/>
            <w:hideMark/>
          </w:tcPr>
          <w:p w14:paraId="668D9F8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622EB72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600763.00</w:t>
            </w:r>
          </w:p>
        </w:tc>
        <w:tc>
          <w:tcPr>
            <w:tcW w:w="1278" w:type="dxa"/>
            <w:gridSpan w:val="2"/>
            <w:shd w:val="clear" w:color="auto" w:fill="auto"/>
            <w:noWrap/>
            <w:vAlign w:val="bottom"/>
            <w:hideMark/>
          </w:tcPr>
          <w:p w14:paraId="3535C96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825678.00</w:t>
            </w:r>
          </w:p>
        </w:tc>
        <w:tc>
          <w:tcPr>
            <w:tcW w:w="1134" w:type="dxa"/>
            <w:gridSpan w:val="2"/>
            <w:shd w:val="clear" w:color="auto" w:fill="auto"/>
            <w:noWrap/>
            <w:vAlign w:val="bottom"/>
            <w:hideMark/>
          </w:tcPr>
          <w:p w14:paraId="6B7B897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7D569F4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0EAD5E48" w14:textId="77777777" w:rsidTr="004D40EE">
        <w:trPr>
          <w:trHeight w:val="300"/>
          <w:jc w:val="center"/>
        </w:trPr>
        <w:tc>
          <w:tcPr>
            <w:tcW w:w="544" w:type="dxa"/>
          </w:tcPr>
          <w:p w14:paraId="50559E8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55</w:t>
            </w:r>
          </w:p>
        </w:tc>
        <w:tc>
          <w:tcPr>
            <w:tcW w:w="1016" w:type="dxa"/>
            <w:vMerge/>
          </w:tcPr>
          <w:p w14:paraId="7FAE698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6113D98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Ojoo Bus Terminal</w:t>
            </w:r>
          </w:p>
        </w:tc>
        <w:tc>
          <w:tcPr>
            <w:tcW w:w="1417" w:type="dxa"/>
            <w:shd w:val="clear" w:color="auto" w:fill="auto"/>
            <w:noWrap/>
            <w:vAlign w:val="bottom"/>
            <w:hideMark/>
          </w:tcPr>
          <w:p w14:paraId="518DF15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4D700E1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600812.00</w:t>
            </w:r>
          </w:p>
        </w:tc>
        <w:tc>
          <w:tcPr>
            <w:tcW w:w="1278" w:type="dxa"/>
            <w:gridSpan w:val="2"/>
            <w:shd w:val="clear" w:color="auto" w:fill="auto"/>
            <w:noWrap/>
            <w:vAlign w:val="bottom"/>
            <w:hideMark/>
          </w:tcPr>
          <w:p w14:paraId="5ED860E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825850.00</w:t>
            </w:r>
          </w:p>
        </w:tc>
        <w:tc>
          <w:tcPr>
            <w:tcW w:w="1134" w:type="dxa"/>
            <w:gridSpan w:val="2"/>
            <w:shd w:val="clear" w:color="auto" w:fill="auto"/>
            <w:noWrap/>
            <w:vAlign w:val="bottom"/>
            <w:hideMark/>
          </w:tcPr>
          <w:p w14:paraId="2E09E5F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Hybrid</w:t>
            </w:r>
          </w:p>
        </w:tc>
        <w:tc>
          <w:tcPr>
            <w:tcW w:w="1418" w:type="dxa"/>
            <w:gridSpan w:val="2"/>
            <w:shd w:val="clear" w:color="auto" w:fill="auto"/>
            <w:noWrap/>
            <w:vAlign w:val="bottom"/>
            <w:hideMark/>
          </w:tcPr>
          <w:p w14:paraId="4CC7239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137FD7AA" w14:textId="77777777" w:rsidTr="004D40EE">
        <w:trPr>
          <w:trHeight w:val="300"/>
          <w:jc w:val="center"/>
        </w:trPr>
        <w:tc>
          <w:tcPr>
            <w:tcW w:w="544" w:type="dxa"/>
          </w:tcPr>
          <w:p w14:paraId="2C069E6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56</w:t>
            </w:r>
          </w:p>
        </w:tc>
        <w:tc>
          <w:tcPr>
            <w:tcW w:w="1016" w:type="dxa"/>
            <w:vMerge/>
          </w:tcPr>
          <w:p w14:paraId="14F7189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6676ACB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Olohunsogo</w:t>
            </w:r>
          </w:p>
        </w:tc>
        <w:tc>
          <w:tcPr>
            <w:tcW w:w="1417" w:type="dxa"/>
            <w:shd w:val="clear" w:color="auto" w:fill="auto"/>
            <w:noWrap/>
            <w:vAlign w:val="bottom"/>
            <w:hideMark/>
          </w:tcPr>
          <w:p w14:paraId="71CD0F9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62DB302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601080.98</w:t>
            </w:r>
          </w:p>
        </w:tc>
        <w:tc>
          <w:tcPr>
            <w:tcW w:w="1278" w:type="dxa"/>
            <w:gridSpan w:val="2"/>
            <w:shd w:val="clear" w:color="auto" w:fill="auto"/>
            <w:noWrap/>
            <w:vAlign w:val="bottom"/>
            <w:hideMark/>
          </w:tcPr>
          <w:p w14:paraId="0DD21E9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811919.38</w:t>
            </w:r>
          </w:p>
        </w:tc>
        <w:tc>
          <w:tcPr>
            <w:tcW w:w="1134" w:type="dxa"/>
            <w:gridSpan w:val="2"/>
            <w:shd w:val="clear" w:color="auto" w:fill="auto"/>
            <w:noWrap/>
            <w:vAlign w:val="bottom"/>
            <w:hideMark/>
          </w:tcPr>
          <w:p w14:paraId="50ECF82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2DF7B8F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3FB7196D" w14:textId="77777777" w:rsidTr="004D40EE">
        <w:trPr>
          <w:trHeight w:val="300"/>
          <w:jc w:val="center"/>
        </w:trPr>
        <w:tc>
          <w:tcPr>
            <w:tcW w:w="544" w:type="dxa"/>
          </w:tcPr>
          <w:p w14:paraId="2A8158D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57</w:t>
            </w:r>
          </w:p>
        </w:tc>
        <w:tc>
          <w:tcPr>
            <w:tcW w:w="1016" w:type="dxa"/>
            <w:vMerge/>
          </w:tcPr>
          <w:p w14:paraId="3F3B1AC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597E63B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Owode Taxi Park, Apata</w:t>
            </w:r>
          </w:p>
        </w:tc>
        <w:tc>
          <w:tcPr>
            <w:tcW w:w="1417" w:type="dxa"/>
            <w:shd w:val="clear" w:color="auto" w:fill="auto"/>
            <w:noWrap/>
            <w:vAlign w:val="bottom"/>
            <w:hideMark/>
          </w:tcPr>
          <w:p w14:paraId="60C411C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5CEB2F9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591156.85</w:t>
            </w:r>
          </w:p>
        </w:tc>
        <w:tc>
          <w:tcPr>
            <w:tcW w:w="1278" w:type="dxa"/>
            <w:gridSpan w:val="2"/>
            <w:shd w:val="clear" w:color="auto" w:fill="auto"/>
            <w:noWrap/>
            <w:vAlign w:val="bottom"/>
            <w:hideMark/>
          </w:tcPr>
          <w:p w14:paraId="458DE9C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816300.55</w:t>
            </w:r>
          </w:p>
        </w:tc>
        <w:tc>
          <w:tcPr>
            <w:tcW w:w="1134" w:type="dxa"/>
            <w:gridSpan w:val="2"/>
            <w:shd w:val="clear" w:color="auto" w:fill="auto"/>
            <w:noWrap/>
            <w:vAlign w:val="bottom"/>
            <w:hideMark/>
          </w:tcPr>
          <w:p w14:paraId="704E786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Hybrid</w:t>
            </w:r>
          </w:p>
        </w:tc>
        <w:tc>
          <w:tcPr>
            <w:tcW w:w="1418" w:type="dxa"/>
            <w:gridSpan w:val="2"/>
            <w:shd w:val="clear" w:color="auto" w:fill="auto"/>
            <w:noWrap/>
            <w:vAlign w:val="bottom"/>
            <w:hideMark/>
          </w:tcPr>
          <w:p w14:paraId="0D6D934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77020EE5" w14:textId="77777777" w:rsidTr="004D40EE">
        <w:trPr>
          <w:trHeight w:val="300"/>
          <w:jc w:val="center"/>
        </w:trPr>
        <w:tc>
          <w:tcPr>
            <w:tcW w:w="544" w:type="dxa"/>
          </w:tcPr>
          <w:p w14:paraId="6E574B4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58</w:t>
            </w:r>
          </w:p>
        </w:tc>
        <w:tc>
          <w:tcPr>
            <w:tcW w:w="1016" w:type="dxa"/>
            <w:vMerge/>
          </w:tcPr>
          <w:p w14:paraId="25EEE29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58779CE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Sabo Ojoo</w:t>
            </w:r>
          </w:p>
        </w:tc>
        <w:tc>
          <w:tcPr>
            <w:tcW w:w="1417" w:type="dxa"/>
            <w:shd w:val="clear" w:color="auto" w:fill="auto"/>
            <w:noWrap/>
            <w:vAlign w:val="bottom"/>
            <w:hideMark/>
          </w:tcPr>
          <w:p w14:paraId="7FCC741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618F369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600792.34</w:t>
            </w:r>
          </w:p>
        </w:tc>
        <w:tc>
          <w:tcPr>
            <w:tcW w:w="1278" w:type="dxa"/>
            <w:gridSpan w:val="2"/>
            <w:shd w:val="clear" w:color="auto" w:fill="auto"/>
            <w:noWrap/>
            <w:vAlign w:val="bottom"/>
            <w:hideMark/>
          </w:tcPr>
          <w:p w14:paraId="4E2EA97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826031.32</w:t>
            </w:r>
          </w:p>
        </w:tc>
        <w:tc>
          <w:tcPr>
            <w:tcW w:w="1134" w:type="dxa"/>
            <w:gridSpan w:val="2"/>
            <w:shd w:val="clear" w:color="auto" w:fill="auto"/>
            <w:noWrap/>
            <w:vAlign w:val="bottom"/>
            <w:hideMark/>
          </w:tcPr>
          <w:p w14:paraId="6F27BC7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62767F6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3D1D288B" w14:textId="77777777" w:rsidTr="004D40EE">
        <w:trPr>
          <w:trHeight w:val="300"/>
          <w:jc w:val="center"/>
        </w:trPr>
        <w:tc>
          <w:tcPr>
            <w:tcW w:w="544" w:type="dxa"/>
          </w:tcPr>
          <w:p w14:paraId="250252C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w:t>
            </w:r>
          </w:p>
        </w:tc>
        <w:tc>
          <w:tcPr>
            <w:tcW w:w="1016" w:type="dxa"/>
            <w:vMerge/>
          </w:tcPr>
          <w:p w14:paraId="652EE2E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52C48C3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Sasa</w:t>
            </w:r>
          </w:p>
        </w:tc>
        <w:tc>
          <w:tcPr>
            <w:tcW w:w="1417" w:type="dxa"/>
            <w:shd w:val="clear" w:color="auto" w:fill="auto"/>
            <w:noWrap/>
            <w:vAlign w:val="bottom"/>
            <w:hideMark/>
          </w:tcPr>
          <w:p w14:paraId="594500D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473D00A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600385.41</w:t>
            </w:r>
          </w:p>
        </w:tc>
        <w:tc>
          <w:tcPr>
            <w:tcW w:w="1278" w:type="dxa"/>
            <w:gridSpan w:val="2"/>
            <w:shd w:val="clear" w:color="auto" w:fill="auto"/>
            <w:noWrap/>
            <w:vAlign w:val="bottom"/>
            <w:hideMark/>
          </w:tcPr>
          <w:p w14:paraId="0A4FFA3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827279.82</w:t>
            </w:r>
          </w:p>
        </w:tc>
        <w:tc>
          <w:tcPr>
            <w:tcW w:w="1134" w:type="dxa"/>
            <w:gridSpan w:val="2"/>
            <w:shd w:val="clear" w:color="auto" w:fill="auto"/>
            <w:noWrap/>
            <w:vAlign w:val="bottom"/>
            <w:hideMark/>
          </w:tcPr>
          <w:p w14:paraId="393FC6A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5EB411D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4CF3EEB1" w14:textId="77777777" w:rsidTr="004D40EE">
        <w:trPr>
          <w:trHeight w:val="300"/>
          <w:jc w:val="center"/>
        </w:trPr>
        <w:tc>
          <w:tcPr>
            <w:tcW w:w="544" w:type="dxa"/>
          </w:tcPr>
          <w:p w14:paraId="22A9224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w:t>
            </w:r>
          </w:p>
        </w:tc>
        <w:tc>
          <w:tcPr>
            <w:tcW w:w="1016" w:type="dxa"/>
            <w:vMerge/>
          </w:tcPr>
          <w:p w14:paraId="4D93F59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4040D9B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SD Express</w:t>
            </w:r>
          </w:p>
        </w:tc>
        <w:tc>
          <w:tcPr>
            <w:tcW w:w="1417" w:type="dxa"/>
            <w:shd w:val="clear" w:color="auto" w:fill="auto"/>
            <w:noWrap/>
            <w:vAlign w:val="bottom"/>
            <w:hideMark/>
          </w:tcPr>
          <w:p w14:paraId="12EC84F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Private</w:t>
            </w:r>
          </w:p>
        </w:tc>
        <w:tc>
          <w:tcPr>
            <w:tcW w:w="1276" w:type="dxa"/>
            <w:shd w:val="clear" w:color="auto" w:fill="auto"/>
            <w:noWrap/>
            <w:vAlign w:val="bottom"/>
            <w:hideMark/>
          </w:tcPr>
          <w:p w14:paraId="16B4CE0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606354.04</w:t>
            </w:r>
          </w:p>
        </w:tc>
        <w:tc>
          <w:tcPr>
            <w:tcW w:w="1278" w:type="dxa"/>
            <w:gridSpan w:val="2"/>
            <w:shd w:val="clear" w:color="auto" w:fill="auto"/>
            <w:noWrap/>
            <w:vAlign w:val="bottom"/>
            <w:hideMark/>
          </w:tcPr>
          <w:p w14:paraId="31505FB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817404.39</w:t>
            </w:r>
          </w:p>
        </w:tc>
        <w:tc>
          <w:tcPr>
            <w:tcW w:w="1134" w:type="dxa"/>
            <w:gridSpan w:val="2"/>
            <w:shd w:val="clear" w:color="auto" w:fill="auto"/>
            <w:noWrap/>
            <w:vAlign w:val="bottom"/>
            <w:hideMark/>
          </w:tcPr>
          <w:p w14:paraId="73740D3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462D251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36EDB844" w14:textId="77777777" w:rsidTr="004D40EE">
        <w:trPr>
          <w:trHeight w:val="300"/>
          <w:jc w:val="center"/>
        </w:trPr>
        <w:tc>
          <w:tcPr>
            <w:tcW w:w="544" w:type="dxa"/>
          </w:tcPr>
          <w:p w14:paraId="4518DD4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61</w:t>
            </w:r>
          </w:p>
        </w:tc>
        <w:tc>
          <w:tcPr>
            <w:tcW w:w="1016" w:type="dxa"/>
            <w:vMerge/>
          </w:tcPr>
          <w:p w14:paraId="65ED087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516A8EC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Soka</w:t>
            </w:r>
          </w:p>
        </w:tc>
        <w:tc>
          <w:tcPr>
            <w:tcW w:w="1417" w:type="dxa"/>
            <w:shd w:val="clear" w:color="auto" w:fill="auto"/>
            <w:noWrap/>
            <w:vAlign w:val="bottom"/>
            <w:hideMark/>
          </w:tcPr>
          <w:p w14:paraId="7FF34D9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33F38A2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598433.91</w:t>
            </w:r>
          </w:p>
        </w:tc>
        <w:tc>
          <w:tcPr>
            <w:tcW w:w="1278" w:type="dxa"/>
            <w:gridSpan w:val="2"/>
            <w:shd w:val="clear" w:color="auto" w:fill="auto"/>
            <w:noWrap/>
            <w:vAlign w:val="bottom"/>
            <w:hideMark/>
          </w:tcPr>
          <w:p w14:paraId="2107789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810970.91</w:t>
            </w:r>
          </w:p>
        </w:tc>
        <w:tc>
          <w:tcPr>
            <w:tcW w:w="1134" w:type="dxa"/>
            <w:gridSpan w:val="2"/>
            <w:shd w:val="clear" w:color="auto" w:fill="auto"/>
            <w:noWrap/>
            <w:vAlign w:val="bottom"/>
            <w:hideMark/>
          </w:tcPr>
          <w:p w14:paraId="36AA402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3C6CD9D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01672CAA" w14:textId="77777777" w:rsidTr="004D40EE">
        <w:trPr>
          <w:trHeight w:val="300"/>
          <w:jc w:val="center"/>
        </w:trPr>
        <w:tc>
          <w:tcPr>
            <w:tcW w:w="544" w:type="dxa"/>
          </w:tcPr>
          <w:p w14:paraId="58C2D42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62</w:t>
            </w:r>
          </w:p>
        </w:tc>
        <w:tc>
          <w:tcPr>
            <w:tcW w:w="1016" w:type="dxa"/>
            <w:vMerge/>
          </w:tcPr>
          <w:p w14:paraId="4551D90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6FFEA00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Young Shall Grow</w:t>
            </w:r>
          </w:p>
        </w:tc>
        <w:tc>
          <w:tcPr>
            <w:tcW w:w="1417" w:type="dxa"/>
            <w:shd w:val="clear" w:color="auto" w:fill="auto"/>
            <w:noWrap/>
            <w:vAlign w:val="bottom"/>
            <w:hideMark/>
          </w:tcPr>
          <w:p w14:paraId="164D196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Private</w:t>
            </w:r>
          </w:p>
        </w:tc>
        <w:tc>
          <w:tcPr>
            <w:tcW w:w="1276" w:type="dxa"/>
            <w:shd w:val="clear" w:color="auto" w:fill="auto"/>
            <w:noWrap/>
            <w:vAlign w:val="bottom"/>
            <w:hideMark/>
          </w:tcPr>
          <w:p w14:paraId="26D3A85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606663.65</w:t>
            </w:r>
          </w:p>
        </w:tc>
        <w:tc>
          <w:tcPr>
            <w:tcW w:w="1278" w:type="dxa"/>
            <w:gridSpan w:val="2"/>
            <w:shd w:val="clear" w:color="auto" w:fill="auto"/>
            <w:noWrap/>
            <w:vAlign w:val="bottom"/>
            <w:hideMark/>
          </w:tcPr>
          <w:p w14:paraId="20ED95A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817396.43</w:t>
            </w:r>
          </w:p>
        </w:tc>
        <w:tc>
          <w:tcPr>
            <w:tcW w:w="1134" w:type="dxa"/>
            <w:gridSpan w:val="2"/>
            <w:shd w:val="clear" w:color="auto" w:fill="auto"/>
            <w:noWrap/>
            <w:vAlign w:val="bottom"/>
            <w:hideMark/>
          </w:tcPr>
          <w:p w14:paraId="5592FA2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0293F69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Bus station</w:t>
            </w:r>
          </w:p>
        </w:tc>
      </w:tr>
      <w:tr w:rsidR="0000060D" w:rsidRPr="00BE4AF3" w14:paraId="2152A955" w14:textId="77777777" w:rsidTr="004D40EE">
        <w:trPr>
          <w:trHeight w:val="300"/>
          <w:jc w:val="center"/>
        </w:trPr>
        <w:tc>
          <w:tcPr>
            <w:tcW w:w="544" w:type="dxa"/>
          </w:tcPr>
          <w:p w14:paraId="6E291F4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63</w:t>
            </w:r>
          </w:p>
        </w:tc>
        <w:tc>
          <w:tcPr>
            <w:tcW w:w="1016" w:type="dxa"/>
            <w:vMerge w:val="restart"/>
          </w:tcPr>
          <w:p w14:paraId="3AA17CA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Periphery Zone</w:t>
            </w:r>
          </w:p>
        </w:tc>
        <w:tc>
          <w:tcPr>
            <w:tcW w:w="1559" w:type="dxa"/>
            <w:shd w:val="clear" w:color="auto" w:fill="auto"/>
            <w:noWrap/>
            <w:vAlign w:val="bottom"/>
            <w:hideMark/>
          </w:tcPr>
          <w:p w14:paraId="6038746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Akinyele</w:t>
            </w:r>
          </w:p>
        </w:tc>
        <w:tc>
          <w:tcPr>
            <w:tcW w:w="1417" w:type="dxa"/>
            <w:shd w:val="clear" w:color="auto" w:fill="auto"/>
            <w:noWrap/>
            <w:vAlign w:val="bottom"/>
            <w:hideMark/>
          </w:tcPr>
          <w:p w14:paraId="70D75E4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11498E9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600610.72</w:t>
            </w:r>
          </w:p>
        </w:tc>
        <w:tc>
          <w:tcPr>
            <w:tcW w:w="1278" w:type="dxa"/>
            <w:gridSpan w:val="2"/>
            <w:shd w:val="clear" w:color="auto" w:fill="auto"/>
            <w:noWrap/>
            <w:vAlign w:val="bottom"/>
            <w:hideMark/>
          </w:tcPr>
          <w:p w14:paraId="4DF0BA0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839808.49</w:t>
            </w:r>
          </w:p>
        </w:tc>
        <w:tc>
          <w:tcPr>
            <w:tcW w:w="1134" w:type="dxa"/>
            <w:gridSpan w:val="2"/>
            <w:shd w:val="clear" w:color="auto" w:fill="auto"/>
            <w:noWrap/>
            <w:vAlign w:val="bottom"/>
            <w:hideMark/>
          </w:tcPr>
          <w:p w14:paraId="271DAA1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Hybrid</w:t>
            </w:r>
          </w:p>
        </w:tc>
        <w:tc>
          <w:tcPr>
            <w:tcW w:w="1418" w:type="dxa"/>
            <w:gridSpan w:val="2"/>
            <w:shd w:val="clear" w:color="auto" w:fill="auto"/>
            <w:noWrap/>
            <w:vAlign w:val="bottom"/>
            <w:hideMark/>
          </w:tcPr>
          <w:p w14:paraId="3811E38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30CA56D3" w14:textId="77777777" w:rsidTr="004D40EE">
        <w:trPr>
          <w:trHeight w:val="300"/>
          <w:jc w:val="center"/>
        </w:trPr>
        <w:tc>
          <w:tcPr>
            <w:tcW w:w="544" w:type="dxa"/>
          </w:tcPr>
          <w:p w14:paraId="7B36DBF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64</w:t>
            </w:r>
          </w:p>
        </w:tc>
        <w:tc>
          <w:tcPr>
            <w:tcW w:w="1016" w:type="dxa"/>
            <w:vMerge/>
          </w:tcPr>
          <w:p w14:paraId="02A0CA5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6D7FA6D9" w14:textId="58B3862A"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Egbeda-Olohuntedo</w:t>
            </w:r>
          </w:p>
        </w:tc>
        <w:tc>
          <w:tcPr>
            <w:tcW w:w="1417" w:type="dxa"/>
            <w:shd w:val="clear" w:color="auto" w:fill="auto"/>
            <w:noWrap/>
            <w:vAlign w:val="bottom"/>
            <w:hideMark/>
          </w:tcPr>
          <w:p w14:paraId="5530CFF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4CA70E5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615601.47</w:t>
            </w:r>
          </w:p>
        </w:tc>
        <w:tc>
          <w:tcPr>
            <w:tcW w:w="1278" w:type="dxa"/>
            <w:gridSpan w:val="2"/>
            <w:shd w:val="clear" w:color="auto" w:fill="auto"/>
            <w:noWrap/>
            <w:vAlign w:val="bottom"/>
            <w:hideMark/>
          </w:tcPr>
          <w:p w14:paraId="3FDD469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815278.53</w:t>
            </w:r>
          </w:p>
        </w:tc>
        <w:tc>
          <w:tcPr>
            <w:tcW w:w="1134" w:type="dxa"/>
            <w:gridSpan w:val="2"/>
            <w:shd w:val="clear" w:color="auto" w:fill="auto"/>
            <w:noWrap/>
            <w:vAlign w:val="bottom"/>
            <w:hideMark/>
          </w:tcPr>
          <w:p w14:paraId="26E9F0C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77C7385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29A4D96B" w14:textId="77777777" w:rsidTr="004D40EE">
        <w:trPr>
          <w:trHeight w:val="300"/>
          <w:jc w:val="center"/>
        </w:trPr>
        <w:tc>
          <w:tcPr>
            <w:tcW w:w="544" w:type="dxa"/>
          </w:tcPr>
          <w:p w14:paraId="5D71AD0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65</w:t>
            </w:r>
          </w:p>
        </w:tc>
        <w:tc>
          <w:tcPr>
            <w:tcW w:w="1016" w:type="dxa"/>
            <w:vMerge/>
          </w:tcPr>
          <w:p w14:paraId="6D08A1B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7F31BD9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Eleshingodogbo, Lalupon Road</w:t>
            </w:r>
          </w:p>
        </w:tc>
        <w:tc>
          <w:tcPr>
            <w:tcW w:w="1417" w:type="dxa"/>
            <w:shd w:val="clear" w:color="auto" w:fill="auto"/>
            <w:noWrap/>
            <w:vAlign w:val="bottom"/>
            <w:hideMark/>
          </w:tcPr>
          <w:p w14:paraId="3242C29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462FDD0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613847.74</w:t>
            </w:r>
          </w:p>
        </w:tc>
        <w:tc>
          <w:tcPr>
            <w:tcW w:w="1278" w:type="dxa"/>
            <w:gridSpan w:val="2"/>
            <w:shd w:val="clear" w:color="auto" w:fill="auto"/>
            <w:noWrap/>
            <w:vAlign w:val="bottom"/>
            <w:hideMark/>
          </w:tcPr>
          <w:p w14:paraId="353ECB34"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823624.72</w:t>
            </w:r>
          </w:p>
        </w:tc>
        <w:tc>
          <w:tcPr>
            <w:tcW w:w="1134" w:type="dxa"/>
            <w:gridSpan w:val="2"/>
            <w:shd w:val="clear" w:color="auto" w:fill="auto"/>
            <w:noWrap/>
            <w:vAlign w:val="bottom"/>
            <w:hideMark/>
          </w:tcPr>
          <w:p w14:paraId="4506612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20CB130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112B2198" w14:textId="77777777" w:rsidTr="004D40EE">
        <w:trPr>
          <w:trHeight w:val="300"/>
          <w:jc w:val="center"/>
        </w:trPr>
        <w:tc>
          <w:tcPr>
            <w:tcW w:w="544" w:type="dxa"/>
          </w:tcPr>
          <w:p w14:paraId="34359F5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66</w:t>
            </w:r>
          </w:p>
        </w:tc>
        <w:tc>
          <w:tcPr>
            <w:tcW w:w="1016" w:type="dxa"/>
            <w:vMerge/>
          </w:tcPr>
          <w:p w14:paraId="082F5CD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1C08BA4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Fasade</w:t>
            </w:r>
          </w:p>
        </w:tc>
        <w:tc>
          <w:tcPr>
            <w:tcW w:w="1417" w:type="dxa"/>
            <w:shd w:val="clear" w:color="auto" w:fill="auto"/>
            <w:noWrap/>
            <w:vAlign w:val="bottom"/>
            <w:hideMark/>
          </w:tcPr>
          <w:p w14:paraId="15E0304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54A8195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617000.41</w:t>
            </w:r>
          </w:p>
        </w:tc>
        <w:tc>
          <w:tcPr>
            <w:tcW w:w="1278" w:type="dxa"/>
            <w:gridSpan w:val="2"/>
            <w:shd w:val="clear" w:color="auto" w:fill="auto"/>
            <w:noWrap/>
            <w:vAlign w:val="bottom"/>
            <w:hideMark/>
          </w:tcPr>
          <w:p w14:paraId="4FE1BFE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814829.25</w:t>
            </w:r>
          </w:p>
        </w:tc>
        <w:tc>
          <w:tcPr>
            <w:tcW w:w="1134" w:type="dxa"/>
            <w:gridSpan w:val="2"/>
            <w:shd w:val="clear" w:color="auto" w:fill="auto"/>
            <w:noWrap/>
            <w:vAlign w:val="bottom"/>
            <w:hideMark/>
          </w:tcPr>
          <w:p w14:paraId="228BE6D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Intercity</w:t>
            </w:r>
          </w:p>
        </w:tc>
        <w:tc>
          <w:tcPr>
            <w:tcW w:w="1418" w:type="dxa"/>
            <w:gridSpan w:val="2"/>
            <w:shd w:val="clear" w:color="auto" w:fill="auto"/>
            <w:noWrap/>
            <w:vAlign w:val="bottom"/>
            <w:hideMark/>
          </w:tcPr>
          <w:p w14:paraId="6C22E15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2037E711" w14:textId="77777777" w:rsidTr="004D40EE">
        <w:trPr>
          <w:trHeight w:val="300"/>
          <w:jc w:val="center"/>
        </w:trPr>
        <w:tc>
          <w:tcPr>
            <w:tcW w:w="544" w:type="dxa"/>
          </w:tcPr>
          <w:p w14:paraId="3EB4822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67</w:t>
            </w:r>
          </w:p>
        </w:tc>
        <w:tc>
          <w:tcPr>
            <w:tcW w:w="1016" w:type="dxa"/>
            <w:vMerge/>
          </w:tcPr>
          <w:p w14:paraId="2DF3273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6434DA5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Ido Market</w:t>
            </w:r>
          </w:p>
        </w:tc>
        <w:tc>
          <w:tcPr>
            <w:tcW w:w="1417" w:type="dxa"/>
            <w:shd w:val="clear" w:color="auto" w:fill="auto"/>
            <w:noWrap/>
            <w:vAlign w:val="bottom"/>
            <w:hideMark/>
          </w:tcPr>
          <w:p w14:paraId="5AA87E7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0D086CA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583406.14</w:t>
            </w:r>
          </w:p>
        </w:tc>
        <w:tc>
          <w:tcPr>
            <w:tcW w:w="1278" w:type="dxa"/>
            <w:gridSpan w:val="2"/>
            <w:shd w:val="clear" w:color="auto" w:fill="auto"/>
            <w:noWrap/>
            <w:vAlign w:val="bottom"/>
            <w:hideMark/>
          </w:tcPr>
          <w:p w14:paraId="173E13B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825851.02</w:t>
            </w:r>
          </w:p>
        </w:tc>
        <w:tc>
          <w:tcPr>
            <w:tcW w:w="1134" w:type="dxa"/>
            <w:gridSpan w:val="2"/>
            <w:shd w:val="clear" w:color="auto" w:fill="auto"/>
            <w:noWrap/>
            <w:vAlign w:val="bottom"/>
            <w:hideMark/>
          </w:tcPr>
          <w:p w14:paraId="43866E4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17407E3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06293765" w14:textId="77777777" w:rsidTr="004D40EE">
        <w:trPr>
          <w:trHeight w:val="300"/>
          <w:jc w:val="center"/>
        </w:trPr>
        <w:tc>
          <w:tcPr>
            <w:tcW w:w="544" w:type="dxa"/>
          </w:tcPr>
          <w:p w14:paraId="1BA8492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68</w:t>
            </w:r>
          </w:p>
        </w:tc>
        <w:tc>
          <w:tcPr>
            <w:tcW w:w="1016" w:type="dxa"/>
            <w:vMerge/>
          </w:tcPr>
          <w:p w14:paraId="220B05B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1BE6AE7F" w14:textId="7A2EEB5F"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Iyana Ajia</w:t>
            </w:r>
          </w:p>
        </w:tc>
        <w:tc>
          <w:tcPr>
            <w:tcW w:w="1417" w:type="dxa"/>
            <w:shd w:val="clear" w:color="auto" w:fill="auto"/>
            <w:noWrap/>
            <w:vAlign w:val="bottom"/>
            <w:hideMark/>
          </w:tcPr>
          <w:p w14:paraId="7BC10B6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37DEB93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616202.69</w:t>
            </w:r>
          </w:p>
        </w:tc>
        <w:tc>
          <w:tcPr>
            <w:tcW w:w="1278" w:type="dxa"/>
            <w:gridSpan w:val="2"/>
            <w:shd w:val="clear" w:color="auto" w:fill="auto"/>
            <w:noWrap/>
            <w:vAlign w:val="bottom"/>
            <w:hideMark/>
          </w:tcPr>
          <w:p w14:paraId="767474A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815077.29</w:t>
            </w:r>
          </w:p>
        </w:tc>
        <w:tc>
          <w:tcPr>
            <w:tcW w:w="1134" w:type="dxa"/>
            <w:gridSpan w:val="2"/>
            <w:shd w:val="clear" w:color="auto" w:fill="auto"/>
            <w:noWrap/>
            <w:vAlign w:val="bottom"/>
            <w:hideMark/>
          </w:tcPr>
          <w:p w14:paraId="6CAD212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48DDF5B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0CB48EDF" w14:textId="77777777" w:rsidTr="004D40EE">
        <w:trPr>
          <w:trHeight w:val="300"/>
          <w:jc w:val="center"/>
        </w:trPr>
        <w:tc>
          <w:tcPr>
            <w:tcW w:w="544" w:type="dxa"/>
          </w:tcPr>
          <w:p w14:paraId="763EC81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69</w:t>
            </w:r>
          </w:p>
        </w:tc>
        <w:tc>
          <w:tcPr>
            <w:tcW w:w="1016" w:type="dxa"/>
            <w:vMerge/>
          </w:tcPr>
          <w:p w14:paraId="618F5FF1"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546079F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Lalupon Erunmu</w:t>
            </w:r>
          </w:p>
        </w:tc>
        <w:tc>
          <w:tcPr>
            <w:tcW w:w="1417" w:type="dxa"/>
            <w:shd w:val="clear" w:color="auto" w:fill="auto"/>
            <w:noWrap/>
            <w:vAlign w:val="bottom"/>
            <w:hideMark/>
          </w:tcPr>
          <w:p w14:paraId="1432E0C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7EE5FE0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617527.90</w:t>
            </w:r>
          </w:p>
        </w:tc>
        <w:tc>
          <w:tcPr>
            <w:tcW w:w="1278" w:type="dxa"/>
            <w:gridSpan w:val="2"/>
            <w:shd w:val="clear" w:color="auto" w:fill="auto"/>
            <w:noWrap/>
            <w:vAlign w:val="bottom"/>
            <w:hideMark/>
          </w:tcPr>
          <w:p w14:paraId="584FDE5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825018.72</w:t>
            </w:r>
          </w:p>
        </w:tc>
        <w:tc>
          <w:tcPr>
            <w:tcW w:w="1134" w:type="dxa"/>
            <w:gridSpan w:val="2"/>
            <w:shd w:val="clear" w:color="auto" w:fill="auto"/>
            <w:noWrap/>
            <w:vAlign w:val="bottom"/>
            <w:hideMark/>
          </w:tcPr>
          <w:p w14:paraId="0B116A4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3626E1E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62D7E2D8" w14:textId="77777777" w:rsidTr="004D40EE">
        <w:trPr>
          <w:trHeight w:val="300"/>
          <w:jc w:val="center"/>
        </w:trPr>
        <w:tc>
          <w:tcPr>
            <w:tcW w:w="544" w:type="dxa"/>
          </w:tcPr>
          <w:p w14:paraId="05D9A67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70</w:t>
            </w:r>
          </w:p>
        </w:tc>
        <w:tc>
          <w:tcPr>
            <w:tcW w:w="1016" w:type="dxa"/>
            <w:vMerge/>
          </w:tcPr>
          <w:p w14:paraId="09D4694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34D7327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Moniya</w:t>
            </w:r>
          </w:p>
        </w:tc>
        <w:tc>
          <w:tcPr>
            <w:tcW w:w="1417" w:type="dxa"/>
            <w:shd w:val="clear" w:color="auto" w:fill="auto"/>
            <w:noWrap/>
            <w:vAlign w:val="bottom"/>
            <w:hideMark/>
          </w:tcPr>
          <w:p w14:paraId="3EB7D42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2D51A1B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600234.45</w:t>
            </w:r>
          </w:p>
        </w:tc>
        <w:tc>
          <w:tcPr>
            <w:tcW w:w="1278" w:type="dxa"/>
            <w:gridSpan w:val="2"/>
            <w:shd w:val="clear" w:color="auto" w:fill="auto"/>
            <w:noWrap/>
            <w:vAlign w:val="bottom"/>
            <w:hideMark/>
          </w:tcPr>
          <w:p w14:paraId="2FB6F93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832772.68</w:t>
            </w:r>
          </w:p>
        </w:tc>
        <w:tc>
          <w:tcPr>
            <w:tcW w:w="1134" w:type="dxa"/>
            <w:gridSpan w:val="2"/>
            <w:shd w:val="clear" w:color="auto" w:fill="auto"/>
            <w:noWrap/>
            <w:vAlign w:val="bottom"/>
            <w:hideMark/>
          </w:tcPr>
          <w:p w14:paraId="1983DB9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Intracity</w:t>
            </w:r>
          </w:p>
        </w:tc>
        <w:tc>
          <w:tcPr>
            <w:tcW w:w="1418" w:type="dxa"/>
            <w:gridSpan w:val="2"/>
            <w:shd w:val="clear" w:color="auto" w:fill="auto"/>
            <w:noWrap/>
            <w:vAlign w:val="bottom"/>
            <w:hideMark/>
          </w:tcPr>
          <w:p w14:paraId="728B3E0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11CC3C28" w14:textId="77777777" w:rsidTr="004D40EE">
        <w:trPr>
          <w:trHeight w:val="300"/>
          <w:jc w:val="center"/>
        </w:trPr>
        <w:tc>
          <w:tcPr>
            <w:tcW w:w="544" w:type="dxa"/>
          </w:tcPr>
          <w:p w14:paraId="0F2650D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71</w:t>
            </w:r>
          </w:p>
        </w:tc>
        <w:tc>
          <w:tcPr>
            <w:tcW w:w="1016" w:type="dxa"/>
            <w:vMerge/>
          </w:tcPr>
          <w:p w14:paraId="4BF6F4F5"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5C203A1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Omi Adio</w:t>
            </w:r>
          </w:p>
        </w:tc>
        <w:tc>
          <w:tcPr>
            <w:tcW w:w="1417" w:type="dxa"/>
            <w:shd w:val="clear" w:color="auto" w:fill="auto"/>
            <w:noWrap/>
            <w:vAlign w:val="bottom"/>
            <w:hideMark/>
          </w:tcPr>
          <w:p w14:paraId="5B614B1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3E8A76D0"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582905.78</w:t>
            </w:r>
          </w:p>
        </w:tc>
        <w:tc>
          <w:tcPr>
            <w:tcW w:w="1278" w:type="dxa"/>
            <w:gridSpan w:val="2"/>
            <w:shd w:val="clear" w:color="auto" w:fill="auto"/>
            <w:noWrap/>
            <w:vAlign w:val="bottom"/>
            <w:hideMark/>
          </w:tcPr>
          <w:p w14:paraId="60FCF203"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817324.92</w:t>
            </w:r>
          </w:p>
        </w:tc>
        <w:tc>
          <w:tcPr>
            <w:tcW w:w="1134" w:type="dxa"/>
            <w:gridSpan w:val="2"/>
            <w:shd w:val="clear" w:color="auto" w:fill="auto"/>
            <w:noWrap/>
            <w:vAlign w:val="bottom"/>
            <w:hideMark/>
          </w:tcPr>
          <w:p w14:paraId="62DD3EDF"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Hybrid</w:t>
            </w:r>
          </w:p>
        </w:tc>
        <w:tc>
          <w:tcPr>
            <w:tcW w:w="1418" w:type="dxa"/>
            <w:gridSpan w:val="2"/>
            <w:shd w:val="clear" w:color="auto" w:fill="auto"/>
            <w:noWrap/>
            <w:vAlign w:val="bottom"/>
            <w:hideMark/>
          </w:tcPr>
          <w:p w14:paraId="5CC1CC6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5A52B961" w14:textId="77777777" w:rsidTr="004D40EE">
        <w:trPr>
          <w:trHeight w:val="300"/>
          <w:jc w:val="center"/>
        </w:trPr>
        <w:tc>
          <w:tcPr>
            <w:tcW w:w="544" w:type="dxa"/>
          </w:tcPr>
          <w:p w14:paraId="632C73B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lastRenderedPageBreak/>
              <w:t>72</w:t>
            </w:r>
          </w:p>
        </w:tc>
        <w:tc>
          <w:tcPr>
            <w:tcW w:w="1016" w:type="dxa"/>
            <w:vMerge/>
          </w:tcPr>
          <w:p w14:paraId="3B61161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bottom"/>
            <w:hideMark/>
          </w:tcPr>
          <w:p w14:paraId="169A4B6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Toll Gate Park 1</w:t>
            </w:r>
          </w:p>
        </w:tc>
        <w:tc>
          <w:tcPr>
            <w:tcW w:w="1417" w:type="dxa"/>
            <w:shd w:val="clear" w:color="auto" w:fill="auto"/>
            <w:noWrap/>
            <w:vAlign w:val="bottom"/>
            <w:hideMark/>
          </w:tcPr>
          <w:p w14:paraId="384C55DC"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shd w:val="clear" w:color="auto" w:fill="auto"/>
            <w:noWrap/>
            <w:vAlign w:val="bottom"/>
            <w:hideMark/>
          </w:tcPr>
          <w:p w14:paraId="6386BAC7"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596436.25</w:t>
            </w:r>
          </w:p>
        </w:tc>
        <w:tc>
          <w:tcPr>
            <w:tcW w:w="1278" w:type="dxa"/>
            <w:gridSpan w:val="2"/>
            <w:shd w:val="clear" w:color="auto" w:fill="auto"/>
            <w:noWrap/>
            <w:vAlign w:val="bottom"/>
            <w:hideMark/>
          </w:tcPr>
          <w:p w14:paraId="42B846A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809327.59</w:t>
            </w:r>
          </w:p>
        </w:tc>
        <w:tc>
          <w:tcPr>
            <w:tcW w:w="1134" w:type="dxa"/>
            <w:gridSpan w:val="2"/>
            <w:shd w:val="clear" w:color="auto" w:fill="auto"/>
            <w:noWrap/>
            <w:vAlign w:val="bottom"/>
            <w:hideMark/>
          </w:tcPr>
          <w:p w14:paraId="327C2148"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Hybrid</w:t>
            </w:r>
          </w:p>
        </w:tc>
        <w:tc>
          <w:tcPr>
            <w:tcW w:w="1418" w:type="dxa"/>
            <w:gridSpan w:val="2"/>
            <w:shd w:val="clear" w:color="auto" w:fill="auto"/>
            <w:noWrap/>
            <w:vAlign w:val="bottom"/>
            <w:hideMark/>
          </w:tcPr>
          <w:p w14:paraId="5F15971A"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r w:rsidR="0000060D" w:rsidRPr="00BE4AF3" w14:paraId="0E455B7D" w14:textId="77777777" w:rsidTr="004D40EE">
        <w:trPr>
          <w:trHeight w:val="300"/>
          <w:jc w:val="center"/>
        </w:trPr>
        <w:tc>
          <w:tcPr>
            <w:tcW w:w="544" w:type="dxa"/>
            <w:tcBorders>
              <w:bottom w:val="single" w:sz="18" w:space="0" w:color="auto"/>
            </w:tcBorders>
          </w:tcPr>
          <w:p w14:paraId="329E9E86"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73</w:t>
            </w:r>
          </w:p>
        </w:tc>
        <w:tc>
          <w:tcPr>
            <w:tcW w:w="1016" w:type="dxa"/>
            <w:vMerge/>
            <w:tcBorders>
              <w:bottom w:val="single" w:sz="18" w:space="0" w:color="auto"/>
            </w:tcBorders>
          </w:tcPr>
          <w:p w14:paraId="0A343DD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p>
        </w:tc>
        <w:tc>
          <w:tcPr>
            <w:tcW w:w="1559" w:type="dxa"/>
            <w:tcBorders>
              <w:bottom w:val="single" w:sz="18" w:space="0" w:color="auto"/>
            </w:tcBorders>
            <w:shd w:val="clear" w:color="auto" w:fill="auto"/>
            <w:noWrap/>
            <w:vAlign w:val="bottom"/>
            <w:hideMark/>
          </w:tcPr>
          <w:p w14:paraId="11344B2D"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Toll Gate Park 2</w:t>
            </w:r>
          </w:p>
        </w:tc>
        <w:tc>
          <w:tcPr>
            <w:tcW w:w="1417" w:type="dxa"/>
            <w:tcBorders>
              <w:bottom w:val="single" w:sz="18" w:space="0" w:color="auto"/>
            </w:tcBorders>
            <w:shd w:val="clear" w:color="auto" w:fill="auto"/>
            <w:noWrap/>
            <w:vAlign w:val="bottom"/>
            <w:hideMark/>
          </w:tcPr>
          <w:p w14:paraId="1E34C56E"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Public</w:t>
            </w:r>
          </w:p>
        </w:tc>
        <w:tc>
          <w:tcPr>
            <w:tcW w:w="1276" w:type="dxa"/>
            <w:tcBorders>
              <w:bottom w:val="single" w:sz="18" w:space="0" w:color="auto"/>
            </w:tcBorders>
            <w:shd w:val="clear" w:color="auto" w:fill="auto"/>
            <w:noWrap/>
            <w:vAlign w:val="bottom"/>
            <w:hideMark/>
          </w:tcPr>
          <w:p w14:paraId="6986DCC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596345.42</w:t>
            </w:r>
          </w:p>
        </w:tc>
        <w:tc>
          <w:tcPr>
            <w:tcW w:w="1278" w:type="dxa"/>
            <w:gridSpan w:val="2"/>
            <w:tcBorders>
              <w:bottom w:val="single" w:sz="18" w:space="0" w:color="auto"/>
            </w:tcBorders>
            <w:shd w:val="clear" w:color="auto" w:fill="auto"/>
            <w:noWrap/>
            <w:vAlign w:val="bottom"/>
            <w:hideMark/>
          </w:tcPr>
          <w:p w14:paraId="75CFE979"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809297.66</w:t>
            </w:r>
          </w:p>
        </w:tc>
        <w:tc>
          <w:tcPr>
            <w:tcW w:w="1134" w:type="dxa"/>
            <w:gridSpan w:val="2"/>
            <w:tcBorders>
              <w:bottom w:val="single" w:sz="18" w:space="0" w:color="auto"/>
            </w:tcBorders>
            <w:shd w:val="clear" w:color="auto" w:fill="auto"/>
            <w:noWrap/>
            <w:vAlign w:val="bottom"/>
            <w:hideMark/>
          </w:tcPr>
          <w:p w14:paraId="443CAF7B"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Hybrid</w:t>
            </w:r>
          </w:p>
        </w:tc>
        <w:tc>
          <w:tcPr>
            <w:tcW w:w="1418" w:type="dxa"/>
            <w:gridSpan w:val="2"/>
            <w:tcBorders>
              <w:bottom w:val="single" w:sz="18" w:space="0" w:color="auto"/>
            </w:tcBorders>
            <w:shd w:val="clear" w:color="auto" w:fill="auto"/>
            <w:noWrap/>
            <w:vAlign w:val="bottom"/>
            <w:hideMark/>
          </w:tcPr>
          <w:p w14:paraId="6724EA82" w14:textId="77777777" w:rsidR="0000060D" w:rsidRPr="004D40EE" w:rsidRDefault="0000060D" w:rsidP="004D40EE">
            <w:pPr>
              <w:spacing w:after="0" w:line="240" w:lineRule="auto"/>
              <w:jc w:val="center"/>
              <w:rPr>
                <w:rFonts w:ascii="Times New Roman" w:eastAsia="Times New Roman" w:hAnsi="Times New Roman" w:cs="Times New Roman"/>
                <w:color w:val="000000"/>
                <w:sz w:val="20"/>
                <w:szCs w:val="20"/>
              </w:rPr>
            </w:pPr>
            <w:r w:rsidRPr="004D40EE">
              <w:rPr>
                <w:rFonts w:ascii="Times New Roman" w:eastAsia="Times New Roman" w:hAnsi="Times New Roman" w:cs="Times New Roman"/>
                <w:color w:val="000000"/>
                <w:sz w:val="20"/>
                <w:szCs w:val="20"/>
              </w:rPr>
              <w:t>Curbside</w:t>
            </w:r>
          </w:p>
        </w:tc>
      </w:tr>
    </w:tbl>
    <w:p w14:paraId="15D39138" w14:textId="77777777" w:rsidR="0000060D" w:rsidRPr="00BE4AF3" w:rsidRDefault="0000060D" w:rsidP="0000060D">
      <w:pPr>
        <w:autoSpaceDE w:val="0"/>
        <w:autoSpaceDN w:val="0"/>
        <w:adjustRightInd w:val="0"/>
        <w:spacing w:after="0" w:line="240" w:lineRule="auto"/>
        <w:jc w:val="both"/>
        <w:rPr>
          <w:rFonts w:ascii="Times New Roman" w:hAnsi="Times New Roman" w:cs="Times New Roman"/>
          <w:b/>
          <w:bCs/>
          <w:i/>
          <w:iCs/>
          <w:sz w:val="24"/>
          <w:szCs w:val="24"/>
        </w:rPr>
      </w:pPr>
      <w:r w:rsidRPr="00BE4AF3">
        <w:rPr>
          <w:rFonts w:ascii="Times New Roman" w:hAnsi="Times New Roman" w:cs="Times New Roman"/>
          <w:b/>
          <w:bCs/>
          <w:i/>
          <w:iCs/>
          <w:sz w:val="24"/>
          <w:szCs w:val="24"/>
        </w:rPr>
        <w:t>Source: Field Survey, 2024</w:t>
      </w:r>
    </w:p>
    <w:p w14:paraId="7076DDC5" w14:textId="77777777" w:rsidR="0000060D" w:rsidRPr="00BE4AF3" w:rsidRDefault="0000060D" w:rsidP="0000060D">
      <w:pPr>
        <w:autoSpaceDE w:val="0"/>
        <w:autoSpaceDN w:val="0"/>
        <w:adjustRightInd w:val="0"/>
        <w:spacing w:after="0" w:line="240" w:lineRule="auto"/>
        <w:jc w:val="both"/>
        <w:rPr>
          <w:rFonts w:ascii="Times New Roman" w:hAnsi="Times New Roman" w:cs="Times New Roman"/>
          <w:b/>
          <w:bCs/>
          <w:i/>
          <w:iCs/>
          <w:sz w:val="24"/>
          <w:szCs w:val="24"/>
        </w:rPr>
      </w:pPr>
    </w:p>
    <w:p w14:paraId="1B26B2E6" w14:textId="77777777" w:rsidR="0000060D" w:rsidRPr="00BE4AF3" w:rsidRDefault="0000060D" w:rsidP="0016089C">
      <w:pPr>
        <w:pStyle w:val="Heading2"/>
        <w:spacing w:before="0" w:line="240" w:lineRule="auto"/>
        <w:jc w:val="both"/>
        <w:rPr>
          <w:rFonts w:ascii="Times New Roman" w:hAnsi="Times New Roman" w:cs="Times New Roman"/>
          <w:i/>
          <w:color w:val="auto"/>
          <w:sz w:val="24"/>
          <w:szCs w:val="24"/>
          <w:lang w:val="en-US"/>
        </w:rPr>
      </w:pPr>
      <w:r w:rsidRPr="00BE4AF3">
        <w:rPr>
          <w:rFonts w:ascii="Times New Roman" w:hAnsi="Times New Roman" w:cs="Times New Roman"/>
          <w:i/>
          <w:color w:val="auto"/>
          <w:sz w:val="24"/>
          <w:szCs w:val="24"/>
          <w:lang w:val="en-US"/>
        </w:rPr>
        <w:t xml:space="preserve">Spatial Distribution of Motor Parks in Ibadan </w:t>
      </w:r>
    </w:p>
    <w:p w14:paraId="36A9DD6C" w14:textId="77777777" w:rsidR="0000060D" w:rsidRPr="00BE4AF3" w:rsidRDefault="0000060D" w:rsidP="0016089C">
      <w:pPr>
        <w:pStyle w:val="NormalWeb"/>
        <w:spacing w:before="0" w:beforeAutospacing="0" w:after="0" w:afterAutospacing="0"/>
        <w:jc w:val="both"/>
      </w:pPr>
      <w:r w:rsidRPr="00BE4AF3">
        <w:t>The Nearest Neighbor Analysis (NNA) was employed within a GIS environment (QGIS) to examine the spatial distribution of motor parks in Ibadan. The analysis was conducted at four levels: the entire city and its three distinct zones—core, intermediate, and periphery. Results from the overall city analysis revealed that motor parks exhibit a clustered distribution pattern (Rn = 0.64, z-score = -5.83, p = 0.00, α = 0.05) as illustrated in Figure 3. The statistically significant p-value indicates that this clustering is unlikely to be due to random chance, with a less than 1% probability. The negative z-score further confirms the presence of clustering, which can be attributed to urban dynamics such as high population density, the demand for transportation, and the associated need for supportive infrastructure like motor parks. This result aligns with previous findings by Olawale and Ayodele (2016), Adebayo and Zubairu (2016), and Zhang et al. (2021), who observed similar clustering trends in urban settings like Beijing. However, it contrasts with the study by Park and Sohn (2017), which found a dispersed distribution of bicycle-sharing stations in Seoul, South Korea.</w:t>
      </w:r>
    </w:p>
    <w:p w14:paraId="2DA05718" w14:textId="77777777" w:rsidR="0000060D" w:rsidRDefault="0000060D" w:rsidP="0016089C">
      <w:pPr>
        <w:spacing w:after="0" w:line="240" w:lineRule="auto"/>
        <w:jc w:val="both"/>
        <w:rPr>
          <w:rFonts w:ascii="Times New Roman" w:eastAsia="Times New Roman" w:hAnsi="Times New Roman" w:cs="Times New Roman"/>
          <w:sz w:val="24"/>
          <w:szCs w:val="24"/>
          <w:lang w:val="en-US"/>
        </w:rPr>
      </w:pPr>
      <w:r w:rsidRPr="00BE4AF3">
        <w:rPr>
          <w:rFonts w:ascii="Times New Roman" w:eastAsia="Times New Roman" w:hAnsi="Times New Roman" w:cs="Times New Roman"/>
          <w:sz w:val="24"/>
          <w:szCs w:val="24"/>
          <w:lang w:val="en-US"/>
        </w:rPr>
        <w:t>In the core zone, Figure 4 shows a significant clustering pattern (Rn = 0.61, z-score = -4.13, p = 0.00, α = 0.05), suggesting that motor parks are highly concentrated in specific areas, especially around the Central Business District (CBD). This supports the observations of Zhang et al. (2021), Olawale and Ayodele (2016), and Adebayo and Zubairu (2016). The intermediate zone also exhibited a clustered pattern (Rn = 0.68, z-score = -3.35, p = 0.001, α = 0.05), though the clustering is less intense compared to the core, as shown in Figure 9. At the periphery, Figure 6 indicates a more dispersed and random spatial distribution (Rn = 0.82, z-score = -1.16, p = 0.25, α = 0.05). Although the p-value shows the pattern is statistically insignificant, the randomness is influenced by the low population density and scattered settlement patterns typical of peripheral areas. Hence, the distribution reflects the city’s spatial structure rather than random occurrence. A density map in Figure 7 visually supports these findings, highlighting the variation in motor park concentration across the different zones.</w:t>
      </w:r>
    </w:p>
    <w:p w14:paraId="4F51A747" w14:textId="77777777" w:rsidR="0016089C" w:rsidRPr="00BE4AF3" w:rsidRDefault="0016089C" w:rsidP="0016089C">
      <w:pPr>
        <w:spacing w:after="0" w:line="240" w:lineRule="auto"/>
        <w:jc w:val="both"/>
        <w:rPr>
          <w:rFonts w:ascii="Times New Roman" w:eastAsia="Times New Roman" w:hAnsi="Times New Roman" w:cs="Times New Roman"/>
          <w:sz w:val="24"/>
          <w:szCs w:val="24"/>
          <w:lang w:val="en-US"/>
        </w:rPr>
      </w:pPr>
    </w:p>
    <w:p w14:paraId="7B3A0BE8" w14:textId="77777777" w:rsidR="0000060D" w:rsidRPr="00BE4AF3" w:rsidRDefault="0000060D" w:rsidP="0000060D">
      <w:pPr>
        <w:autoSpaceDE w:val="0"/>
        <w:autoSpaceDN w:val="0"/>
        <w:adjustRightInd w:val="0"/>
        <w:spacing w:after="0" w:line="240" w:lineRule="auto"/>
        <w:jc w:val="center"/>
        <w:rPr>
          <w:rFonts w:ascii="Times New Roman" w:hAnsi="Times New Roman" w:cs="Times New Roman"/>
          <w:b/>
          <w:bCs/>
          <w:sz w:val="24"/>
          <w:szCs w:val="24"/>
          <w:lang w:val="en-US"/>
        </w:rPr>
      </w:pPr>
      <w:r w:rsidRPr="00BE4AF3">
        <w:rPr>
          <w:rFonts w:ascii="Times New Roman" w:hAnsi="Times New Roman" w:cs="Times New Roman"/>
          <w:b/>
          <w:bCs/>
          <w:noProof/>
          <w:sz w:val="24"/>
          <w:szCs w:val="24"/>
          <w:lang w:eastAsia="en-GB"/>
        </w:rPr>
        <w:drawing>
          <wp:inline distT="0" distB="0" distL="0" distR="0" wp14:anchorId="6E0A6CE6" wp14:editId="2100A9F2">
            <wp:extent cx="4771103" cy="2048768"/>
            <wp:effectExtent l="76200" t="76200" r="125095" b="142240"/>
            <wp:docPr id="11504392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439281" name="Picture 1150439281"/>
                    <pic:cNvPicPr/>
                  </pic:nvPicPr>
                  <pic:blipFill rotWithShape="1">
                    <a:blip r:embed="rId219">
                      <a:extLst>
                        <a:ext uri="{28A0092B-C50C-407E-A947-70E740481C1C}">
                          <a14:useLocalDpi xmlns:a14="http://schemas.microsoft.com/office/drawing/2010/main" val="0"/>
                        </a:ext>
                      </a:extLst>
                    </a:blip>
                    <a:srcRect l="5305" t="9882" r="5764" b="8251"/>
                    <a:stretch/>
                  </pic:blipFill>
                  <pic:spPr bwMode="auto">
                    <a:xfrm>
                      <a:off x="0" y="0"/>
                      <a:ext cx="4835442" cy="20763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CE7BB76" w14:textId="77777777" w:rsidR="0000060D" w:rsidRPr="0016089C" w:rsidRDefault="0000060D" w:rsidP="0016089C">
      <w:pPr>
        <w:pStyle w:val="Caption"/>
        <w:jc w:val="center"/>
        <w:rPr>
          <w:rFonts w:ascii="Times New Roman" w:hAnsi="Times New Roman" w:cs="Times New Roman"/>
          <w:b/>
          <w:bCs/>
          <w:i w:val="0"/>
          <w:iCs w:val="0"/>
          <w:color w:val="000000" w:themeColor="text1"/>
          <w:sz w:val="24"/>
          <w:szCs w:val="24"/>
        </w:rPr>
      </w:pPr>
      <w:r w:rsidRPr="0016089C">
        <w:rPr>
          <w:rFonts w:ascii="Times New Roman" w:hAnsi="Times New Roman" w:cs="Times New Roman"/>
          <w:b/>
          <w:bCs/>
          <w:i w:val="0"/>
          <w:iCs w:val="0"/>
          <w:color w:val="000000" w:themeColor="text1"/>
          <w:sz w:val="24"/>
          <w:szCs w:val="24"/>
        </w:rPr>
        <w:t>Figure 3:</w:t>
      </w:r>
      <w:r w:rsidRPr="0016089C">
        <w:rPr>
          <w:rFonts w:ascii="Times New Roman" w:hAnsi="Times New Roman" w:cs="Times New Roman"/>
          <w:i w:val="0"/>
          <w:iCs w:val="0"/>
          <w:color w:val="000000" w:themeColor="text1"/>
          <w:sz w:val="24"/>
          <w:szCs w:val="24"/>
        </w:rPr>
        <w:t xml:space="preserve"> </w:t>
      </w:r>
      <w:r w:rsidRPr="0016089C">
        <w:rPr>
          <w:rFonts w:ascii="Times New Roman" w:hAnsi="Times New Roman" w:cs="Times New Roman"/>
          <w:bCs/>
          <w:i w:val="0"/>
          <w:iCs w:val="0"/>
          <w:color w:val="000000" w:themeColor="text1"/>
          <w:sz w:val="24"/>
          <w:szCs w:val="24"/>
        </w:rPr>
        <w:t>Spatial Distribution of Motor Parks in Ibadan</w:t>
      </w:r>
    </w:p>
    <w:p w14:paraId="610FAB8E" w14:textId="77777777" w:rsidR="0000060D" w:rsidRPr="00BE4AF3" w:rsidRDefault="0000060D" w:rsidP="0000060D">
      <w:pPr>
        <w:autoSpaceDE w:val="0"/>
        <w:autoSpaceDN w:val="0"/>
        <w:adjustRightInd w:val="0"/>
        <w:spacing w:after="0" w:line="240" w:lineRule="auto"/>
        <w:jc w:val="center"/>
        <w:rPr>
          <w:rFonts w:ascii="Times New Roman" w:hAnsi="Times New Roman" w:cs="Times New Roman"/>
          <w:b/>
          <w:bCs/>
          <w:sz w:val="24"/>
          <w:szCs w:val="24"/>
          <w:lang w:val="en-US"/>
        </w:rPr>
      </w:pPr>
      <w:r w:rsidRPr="00BE4AF3">
        <w:rPr>
          <w:rFonts w:ascii="Times New Roman" w:hAnsi="Times New Roman" w:cs="Times New Roman"/>
          <w:b/>
          <w:bCs/>
          <w:noProof/>
          <w:sz w:val="24"/>
          <w:szCs w:val="24"/>
          <w:lang w:eastAsia="en-GB"/>
        </w:rPr>
        <w:lastRenderedPageBreak/>
        <w:drawing>
          <wp:inline distT="0" distB="0" distL="0" distR="0" wp14:anchorId="31845C17" wp14:editId="3DCDBA85">
            <wp:extent cx="4766424" cy="2201915"/>
            <wp:effectExtent l="76200" t="76200" r="129540" b="141605"/>
            <wp:docPr id="2303286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28666" name="Picture 230328666"/>
                    <pic:cNvPicPr/>
                  </pic:nvPicPr>
                  <pic:blipFill rotWithShape="1">
                    <a:blip r:embed="rId220">
                      <a:extLst>
                        <a:ext uri="{28A0092B-C50C-407E-A947-70E740481C1C}">
                          <a14:useLocalDpi xmlns:a14="http://schemas.microsoft.com/office/drawing/2010/main" val="0"/>
                        </a:ext>
                      </a:extLst>
                    </a:blip>
                    <a:srcRect l="5640" t="7606" r="3135" b="7185"/>
                    <a:stretch/>
                  </pic:blipFill>
                  <pic:spPr bwMode="auto">
                    <a:xfrm>
                      <a:off x="0" y="0"/>
                      <a:ext cx="4869306" cy="22494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1355302" w14:textId="77777777" w:rsidR="0000060D" w:rsidRPr="0016089C" w:rsidRDefault="0000060D" w:rsidP="0016089C">
      <w:pPr>
        <w:pStyle w:val="Caption"/>
        <w:jc w:val="center"/>
        <w:rPr>
          <w:rFonts w:ascii="Times New Roman" w:hAnsi="Times New Roman" w:cs="Times New Roman"/>
          <w:b/>
          <w:bCs/>
          <w:i w:val="0"/>
          <w:iCs w:val="0"/>
          <w:color w:val="000000" w:themeColor="text1"/>
          <w:sz w:val="24"/>
          <w:szCs w:val="24"/>
        </w:rPr>
      </w:pPr>
      <w:r w:rsidRPr="0016089C">
        <w:rPr>
          <w:rFonts w:ascii="Times New Roman" w:hAnsi="Times New Roman" w:cs="Times New Roman"/>
          <w:b/>
          <w:bCs/>
          <w:i w:val="0"/>
          <w:iCs w:val="0"/>
          <w:color w:val="000000" w:themeColor="text1"/>
          <w:sz w:val="24"/>
          <w:szCs w:val="24"/>
        </w:rPr>
        <w:t>Figure 4:</w:t>
      </w:r>
      <w:r w:rsidRPr="0016089C">
        <w:rPr>
          <w:rFonts w:ascii="Times New Roman" w:hAnsi="Times New Roman" w:cs="Times New Roman"/>
          <w:i w:val="0"/>
          <w:iCs w:val="0"/>
          <w:color w:val="000000" w:themeColor="text1"/>
          <w:sz w:val="24"/>
          <w:szCs w:val="24"/>
        </w:rPr>
        <w:t xml:space="preserve"> </w:t>
      </w:r>
      <w:r w:rsidRPr="0016089C">
        <w:rPr>
          <w:rFonts w:ascii="Times New Roman" w:hAnsi="Times New Roman" w:cs="Times New Roman"/>
          <w:bCs/>
          <w:i w:val="0"/>
          <w:iCs w:val="0"/>
          <w:color w:val="000000" w:themeColor="text1"/>
          <w:sz w:val="24"/>
          <w:szCs w:val="24"/>
        </w:rPr>
        <w:t>Spatial Distribution of Motor Parks in Core Zone of Ibadan</w:t>
      </w:r>
    </w:p>
    <w:p w14:paraId="65BE4732" w14:textId="77777777" w:rsidR="0000060D" w:rsidRPr="00BE4AF3" w:rsidRDefault="0000060D" w:rsidP="0000060D">
      <w:pPr>
        <w:autoSpaceDE w:val="0"/>
        <w:autoSpaceDN w:val="0"/>
        <w:adjustRightInd w:val="0"/>
        <w:spacing w:after="0" w:line="240" w:lineRule="auto"/>
        <w:jc w:val="both"/>
        <w:rPr>
          <w:rFonts w:ascii="Times New Roman" w:hAnsi="Times New Roman" w:cs="Times New Roman"/>
          <w:b/>
          <w:bCs/>
          <w:i/>
          <w:iCs/>
          <w:sz w:val="24"/>
          <w:szCs w:val="24"/>
        </w:rPr>
      </w:pPr>
    </w:p>
    <w:p w14:paraId="4FBE3057" w14:textId="77777777" w:rsidR="0000060D" w:rsidRPr="00BE4AF3" w:rsidRDefault="0000060D" w:rsidP="0000060D">
      <w:pPr>
        <w:autoSpaceDE w:val="0"/>
        <w:autoSpaceDN w:val="0"/>
        <w:adjustRightInd w:val="0"/>
        <w:spacing w:after="0" w:line="240" w:lineRule="auto"/>
        <w:jc w:val="center"/>
        <w:rPr>
          <w:rFonts w:ascii="Times New Roman" w:hAnsi="Times New Roman" w:cs="Times New Roman"/>
          <w:b/>
          <w:bCs/>
          <w:sz w:val="24"/>
          <w:szCs w:val="24"/>
          <w:lang w:val="en-US"/>
        </w:rPr>
      </w:pPr>
      <w:r w:rsidRPr="00BE4AF3">
        <w:rPr>
          <w:rFonts w:ascii="Times New Roman" w:hAnsi="Times New Roman" w:cs="Times New Roman"/>
          <w:b/>
          <w:bCs/>
          <w:noProof/>
          <w:sz w:val="24"/>
          <w:szCs w:val="24"/>
          <w:lang w:eastAsia="en-GB"/>
        </w:rPr>
        <w:drawing>
          <wp:inline distT="0" distB="0" distL="0" distR="0" wp14:anchorId="187943D4" wp14:editId="7F2BE8BD">
            <wp:extent cx="4675239" cy="1755058"/>
            <wp:effectExtent l="76200" t="76200" r="125730" b="131445"/>
            <wp:docPr id="1957257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257151" name=""/>
                    <pic:cNvPicPr/>
                  </pic:nvPicPr>
                  <pic:blipFill rotWithShape="1">
                    <a:blip r:embed="rId221"/>
                    <a:srcRect l="1826" t="1491" r="1886" b="4122"/>
                    <a:stretch/>
                  </pic:blipFill>
                  <pic:spPr bwMode="auto">
                    <a:xfrm>
                      <a:off x="0" y="0"/>
                      <a:ext cx="4756197" cy="17854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E515804" w14:textId="77777777" w:rsidR="0000060D" w:rsidRPr="0016089C" w:rsidRDefault="0000060D" w:rsidP="0016089C">
      <w:pPr>
        <w:pStyle w:val="Caption"/>
        <w:jc w:val="center"/>
        <w:rPr>
          <w:rFonts w:ascii="Times New Roman" w:hAnsi="Times New Roman" w:cs="Times New Roman"/>
          <w:b/>
          <w:bCs/>
          <w:i w:val="0"/>
          <w:iCs w:val="0"/>
          <w:color w:val="000000" w:themeColor="text1"/>
          <w:sz w:val="24"/>
          <w:szCs w:val="24"/>
        </w:rPr>
      </w:pPr>
      <w:r w:rsidRPr="0016089C">
        <w:rPr>
          <w:rFonts w:ascii="Times New Roman" w:hAnsi="Times New Roman" w:cs="Times New Roman"/>
          <w:b/>
          <w:bCs/>
          <w:i w:val="0"/>
          <w:iCs w:val="0"/>
          <w:color w:val="000000" w:themeColor="text1"/>
          <w:sz w:val="24"/>
          <w:szCs w:val="24"/>
        </w:rPr>
        <w:t>Figure 5:</w:t>
      </w:r>
      <w:r w:rsidRPr="0016089C">
        <w:rPr>
          <w:rFonts w:ascii="Times New Roman" w:hAnsi="Times New Roman" w:cs="Times New Roman"/>
          <w:i w:val="0"/>
          <w:iCs w:val="0"/>
          <w:color w:val="000000" w:themeColor="text1"/>
          <w:sz w:val="24"/>
          <w:szCs w:val="24"/>
        </w:rPr>
        <w:t xml:space="preserve"> </w:t>
      </w:r>
      <w:r w:rsidRPr="0016089C">
        <w:rPr>
          <w:rFonts w:ascii="Times New Roman" w:hAnsi="Times New Roman" w:cs="Times New Roman"/>
          <w:bCs/>
          <w:i w:val="0"/>
          <w:iCs w:val="0"/>
          <w:color w:val="000000" w:themeColor="text1"/>
          <w:sz w:val="24"/>
          <w:szCs w:val="24"/>
        </w:rPr>
        <w:t>Spatial Distribution of Motor Parks in Intermediate Zone of Ibadan</w:t>
      </w:r>
    </w:p>
    <w:p w14:paraId="21AA6633" w14:textId="77777777" w:rsidR="0000060D" w:rsidRPr="00BE4AF3" w:rsidRDefault="0000060D" w:rsidP="0000060D">
      <w:pPr>
        <w:autoSpaceDE w:val="0"/>
        <w:autoSpaceDN w:val="0"/>
        <w:adjustRightInd w:val="0"/>
        <w:spacing w:after="0" w:line="240" w:lineRule="auto"/>
        <w:jc w:val="both"/>
        <w:rPr>
          <w:rFonts w:ascii="Times New Roman" w:hAnsi="Times New Roman" w:cs="Times New Roman"/>
          <w:bCs/>
          <w:i/>
          <w:iCs/>
          <w:sz w:val="24"/>
          <w:szCs w:val="24"/>
        </w:rPr>
      </w:pPr>
    </w:p>
    <w:p w14:paraId="211F76B7" w14:textId="77777777" w:rsidR="0000060D" w:rsidRPr="00BE4AF3" w:rsidRDefault="0000060D" w:rsidP="0016089C">
      <w:pPr>
        <w:autoSpaceDE w:val="0"/>
        <w:autoSpaceDN w:val="0"/>
        <w:adjustRightInd w:val="0"/>
        <w:spacing w:after="0" w:line="240" w:lineRule="auto"/>
        <w:jc w:val="center"/>
        <w:rPr>
          <w:rFonts w:ascii="Times New Roman" w:hAnsi="Times New Roman" w:cs="Times New Roman"/>
          <w:b/>
          <w:bCs/>
          <w:sz w:val="24"/>
          <w:szCs w:val="24"/>
          <w:lang w:val="en-US"/>
        </w:rPr>
      </w:pPr>
      <w:r w:rsidRPr="00BE4AF3">
        <w:rPr>
          <w:rFonts w:ascii="Times New Roman" w:hAnsi="Times New Roman" w:cs="Times New Roman"/>
          <w:b/>
          <w:bCs/>
          <w:noProof/>
          <w:sz w:val="24"/>
          <w:szCs w:val="24"/>
          <w:lang w:eastAsia="en-GB"/>
        </w:rPr>
        <w:drawing>
          <wp:inline distT="0" distB="0" distL="0" distR="0" wp14:anchorId="528C9ADD" wp14:editId="771DE207">
            <wp:extent cx="4741606" cy="2153265"/>
            <wp:effectExtent l="76200" t="76200" r="135255" b="133350"/>
            <wp:docPr id="2065537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537402" name=""/>
                    <pic:cNvPicPr/>
                  </pic:nvPicPr>
                  <pic:blipFill rotWithShape="1">
                    <a:blip r:embed="rId222"/>
                    <a:srcRect l="2894" t="3734" r="3217" b="8624"/>
                    <a:stretch/>
                  </pic:blipFill>
                  <pic:spPr bwMode="auto">
                    <a:xfrm>
                      <a:off x="0" y="0"/>
                      <a:ext cx="4790378" cy="21754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F1A0932" w14:textId="77777777" w:rsidR="0000060D" w:rsidRPr="0016089C" w:rsidRDefault="0000060D" w:rsidP="0016089C">
      <w:pPr>
        <w:pStyle w:val="Caption"/>
        <w:jc w:val="center"/>
        <w:rPr>
          <w:rFonts w:ascii="Times New Roman" w:hAnsi="Times New Roman" w:cs="Times New Roman"/>
          <w:b/>
          <w:bCs/>
          <w:i w:val="0"/>
          <w:iCs w:val="0"/>
          <w:color w:val="000000" w:themeColor="text1"/>
          <w:sz w:val="24"/>
          <w:szCs w:val="24"/>
        </w:rPr>
      </w:pPr>
      <w:r w:rsidRPr="0016089C">
        <w:rPr>
          <w:rFonts w:ascii="Times New Roman" w:hAnsi="Times New Roman" w:cs="Times New Roman"/>
          <w:b/>
          <w:bCs/>
          <w:i w:val="0"/>
          <w:iCs w:val="0"/>
          <w:color w:val="000000" w:themeColor="text1"/>
          <w:sz w:val="24"/>
          <w:szCs w:val="24"/>
        </w:rPr>
        <w:t>Figure 6:</w:t>
      </w:r>
      <w:r w:rsidRPr="0016089C">
        <w:rPr>
          <w:rFonts w:ascii="Times New Roman" w:hAnsi="Times New Roman" w:cs="Times New Roman"/>
          <w:bCs/>
          <w:i w:val="0"/>
          <w:iCs w:val="0"/>
          <w:color w:val="000000" w:themeColor="text1"/>
          <w:sz w:val="24"/>
          <w:szCs w:val="24"/>
        </w:rPr>
        <w:t xml:space="preserve"> Spatial Distribution of Motor Parks in Periphery Zone of Ibadan</w:t>
      </w:r>
    </w:p>
    <w:p w14:paraId="34DF9E47" w14:textId="77777777" w:rsidR="0000060D" w:rsidRPr="00BE4AF3" w:rsidRDefault="0000060D" w:rsidP="0016089C">
      <w:pPr>
        <w:spacing w:after="0" w:line="240" w:lineRule="auto"/>
        <w:jc w:val="center"/>
        <w:rPr>
          <w:rFonts w:ascii="Times New Roman" w:hAnsi="Times New Roman" w:cs="Times New Roman"/>
          <w:b/>
          <w:bCs/>
          <w:sz w:val="24"/>
          <w:szCs w:val="24"/>
        </w:rPr>
      </w:pPr>
      <w:r w:rsidRPr="00BE4AF3">
        <w:rPr>
          <w:rFonts w:ascii="Times New Roman" w:hAnsi="Times New Roman" w:cs="Times New Roman"/>
          <w:noProof/>
          <w:sz w:val="24"/>
          <w:szCs w:val="24"/>
          <w:lang w:eastAsia="en-GB"/>
        </w:rPr>
        <w:lastRenderedPageBreak/>
        <w:drawing>
          <wp:inline distT="0" distB="0" distL="0" distR="0" wp14:anchorId="50752D43" wp14:editId="3A5653F5">
            <wp:extent cx="5552768" cy="4557251"/>
            <wp:effectExtent l="0" t="0" r="0" b="0"/>
            <wp:docPr id="1178787261" name="Picture 1178787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577156" cy="4577266"/>
                    </a:xfrm>
                    <a:prstGeom prst="rect">
                      <a:avLst/>
                    </a:prstGeom>
                    <a:noFill/>
                    <a:ln>
                      <a:noFill/>
                    </a:ln>
                  </pic:spPr>
                </pic:pic>
              </a:graphicData>
            </a:graphic>
          </wp:inline>
        </w:drawing>
      </w:r>
    </w:p>
    <w:p w14:paraId="01C7DED7" w14:textId="77777777" w:rsidR="0000060D" w:rsidRPr="0016089C" w:rsidRDefault="0000060D" w:rsidP="0016089C">
      <w:pPr>
        <w:pStyle w:val="Caption"/>
        <w:jc w:val="center"/>
        <w:rPr>
          <w:rFonts w:ascii="Times New Roman" w:hAnsi="Times New Roman" w:cs="Times New Roman"/>
          <w:b/>
          <w:i w:val="0"/>
          <w:iCs w:val="0"/>
          <w:color w:val="000000" w:themeColor="text1"/>
          <w:sz w:val="24"/>
          <w:szCs w:val="24"/>
        </w:rPr>
      </w:pPr>
      <w:r w:rsidRPr="0016089C">
        <w:rPr>
          <w:rFonts w:ascii="Times New Roman" w:hAnsi="Times New Roman" w:cs="Times New Roman"/>
          <w:b/>
          <w:bCs/>
          <w:i w:val="0"/>
          <w:iCs w:val="0"/>
          <w:color w:val="000000" w:themeColor="text1"/>
          <w:sz w:val="24"/>
          <w:szCs w:val="24"/>
        </w:rPr>
        <w:t>Figure 7:</w:t>
      </w:r>
      <w:r w:rsidRPr="0016089C">
        <w:rPr>
          <w:rFonts w:ascii="Times New Roman" w:hAnsi="Times New Roman" w:cs="Times New Roman"/>
          <w:i w:val="0"/>
          <w:iCs w:val="0"/>
          <w:color w:val="000000" w:themeColor="text1"/>
          <w:sz w:val="24"/>
          <w:szCs w:val="24"/>
        </w:rPr>
        <w:t xml:space="preserve"> Distribution of Motor Parks in the Study Area</w:t>
      </w:r>
    </w:p>
    <w:p w14:paraId="6BBC97CC" w14:textId="77777777" w:rsidR="0000060D" w:rsidRPr="00BE4AF3" w:rsidRDefault="0000060D" w:rsidP="0000060D">
      <w:pPr>
        <w:pStyle w:val="Heading2"/>
        <w:spacing w:line="240" w:lineRule="auto"/>
        <w:rPr>
          <w:rFonts w:ascii="Times New Roman" w:hAnsi="Times New Roman" w:cs="Times New Roman"/>
          <w:color w:val="auto"/>
          <w:sz w:val="24"/>
          <w:szCs w:val="24"/>
          <w:lang w:val="en-US"/>
        </w:rPr>
      </w:pPr>
      <w:r w:rsidRPr="00BE4AF3">
        <w:rPr>
          <w:rFonts w:ascii="Times New Roman" w:hAnsi="Times New Roman" w:cs="Times New Roman"/>
          <w:color w:val="auto"/>
          <w:sz w:val="24"/>
          <w:szCs w:val="24"/>
          <w:lang w:val="en-US"/>
        </w:rPr>
        <w:t>Conclusion</w:t>
      </w:r>
    </w:p>
    <w:p w14:paraId="3D186812" w14:textId="77777777" w:rsidR="0000060D" w:rsidRPr="00BE4AF3" w:rsidRDefault="0000060D" w:rsidP="0000060D">
      <w:pPr>
        <w:pStyle w:val="NormalWeb"/>
        <w:spacing w:before="0" w:beforeAutospacing="0"/>
        <w:jc w:val="both"/>
      </w:pPr>
      <w:r w:rsidRPr="00BE4AF3">
        <w:t>The study identified a total of 73 motor parks in Ibadan, with the Iwo Road Bus Terminal still under construction. A spatial concentration of motor parks was observed in both the core and intermediate zones, while a more scattered pattern was noted in the periphery zone. The core area, marked by high population density and intensive commercial and administrative functions, primarily supports intracity travel due to the significant demand for local mobility. The intermediate zone, functioning as a transitional area, accommodates a higher proportion of intercity and hybrid travel operations. In contrast, the periphery zone, with fewer motor parks all operating from curbside locations, reflects its rural nature and lower population density. The dominance of curbside motor parks points to infrastructure shortcomings and potential inefficiencies within Ibadan's transport system. The study recommends that the peripheral areas should be targeted for the establishment of additional motor parks to support anticipated population growth and reduce the overdependence on curbside facilities. The state government, in partnership with private investors, should invest in upgrading public motor parks to meet increasing demand and enhance user experience and also develop policies to encourage private investment in the development of motor parks in the periphery zone, through incentives such as tax relief or subsidies. Public awareness campaigns should also be implemented to educate citizens on the advantages of using designated motor parks, thereby discouraging the proliferation of informal curbside parks.</w:t>
      </w:r>
    </w:p>
    <w:p w14:paraId="17A2A087" w14:textId="77777777" w:rsidR="0016089C" w:rsidRDefault="0016089C" w:rsidP="0000060D">
      <w:pPr>
        <w:tabs>
          <w:tab w:val="left" w:pos="90"/>
          <w:tab w:val="left" w:pos="270"/>
        </w:tabs>
        <w:spacing w:after="0" w:line="240" w:lineRule="auto"/>
        <w:jc w:val="both"/>
        <w:rPr>
          <w:rFonts w:ascii="Times New Roman" w:hAnsi="Times New Roman" w:cs="Times New Roman"/>
          <w:b/>
          <w:sz w:val="24"/>
          <w:szCs w:val="24"/>
        </w:rPr>
      </w:pPr>
    </w:p>
    <w:p w14:paraId="582996C3" w14:textId="77777777" w:rsidR="0016089C" w:rsidRDefault="0016089C" w:rsidP="0000060D">
      <w:pPr>
        <w:tabs>
          <w:tab w:val="left" w:pos="90"/>
          <w:tab w:val="left" w:pos="270"/>
        </w:tabs>
        <w:spacing w:after="0" w:line="240" w:lineRule="auto"/>
        <w:jc w:val="both"/>
        <w:rPr>
          <w:rFonts w:ascii="Times New Roman" w:hAnsi="Times New Roman" w:cs="Times New Roman"/>
          <w:b/>
          <w:sz w:val="24"/>
          <w:szCs w:val="24"/>
        </w:rPr>
      </w:pPr>
    </w:p>
    <w:p w14:paraId="6C5D47CA" w14:textId="54F50E11" w:rsidR="0000060D" w:rsidRPr="00BE4AF3" w:rsidRDefault="0000060D" w:rsidP="0000060D">
      <w:pPr>
        <w:tabs>
          <w:tab w:val="left" w:pos="90"/>
          <w:tab w:val="left" w:pos="270"/>
        </w:tabs>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lastRenderedPageBreak/>
        <w:t>References</w:t>
      </w:r>
    </w:p>
    <w:p w14:paraId="5197F4A3" w14:textId="77777777" w:rsidR="0000060D" w:rsidRPr="00BE4AF3" w:rsidRDefault="0000060D" w:rsidP="0000060D">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lang w:val="de-DE"/>
        </w:rPr>
        <w:t xml:space="preserve">Adebisi, S. A., &amp; Odebunmi, E. O. (2018). </w:t>
      </w:r>
      <w:r w:rsidRPr="00BE4AF3">
        <w:rPr>
          <w:rFonts w:ascii="Times New Roman" w:hAnsi="Times New Roman" w:cs="Times New Roman"/>
          <w:sz w:val="24"/>
          <w:szCs w:val="24"/>
        </w:rPr>
        <w:t xml:space="preserve">Impact of motor parks on the concentration of heavy metals in some selected urban areas of Benue State, Nigeria. </w:t>
      </w:r>
      <w:r w:rsidRPr="00BE4AF3">
        <w:rPr>
          <w:rStyle w:val="Emphasis"/>
          <w:rFonts w:ascii="Times New Roman" w:hAnsi="Times New Roman" w:cs="Times New Roman"/>
          <w:sz w:val="24"/>
          <w:szCs w:val="24"/>
        </w:rPr>
        <w:t>International Journal of Scientific Research in Environmental Sciences, 6</w:t>
      </w:r>
      <w:r w:rsidRPr="00BE4AF3">
        <w:rPr>
          <w:rFonts w:ascii="Times New Roman" w:hAnsi="Times New Roman" w:cs="Times New Roman"/>
          <w:sz w:val="24"/>
          <w:szCs w:val="24"/>
        </w:rPr>
        <w:t>(2), 57–63.</w:t>
      </w:r>
    </w:p>
    <w:p w14:paraId="4D90EC8D" w14:textId="77777777" w:rsidR="0000060D" w:rsidRPr="00BE4AF3" w:rsidRDefault="0000060D" w:rsidP="0000060D">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 xml:space="preserve">Adebayo, A. A. (2017). Social factors affecting effective crime prevention and control in Nigeria. </w:t>
      </w:r>
      <w:r w:rsidRPr="00BE4AF3">
        <w:rPr>
          <w:rStyle w:val="Emphasis"/>
          <w:rFonts w:ascii="Times New Roman" w:hAnsi="Times New Roman" w:cs="Times New Roman"/>
          <w:sz w:val="24"/>
          <w:szCs w:val="24"/>
        </w:rPr>
        <w:t>International Journal of Applied Sociology, 3</w:t>
      </w:r>
      <w:r w:rsidRPr="00BE4AF3">
        <w:rPr>
          <w:rFonts w:ascii="Times New Roman" w:hAnsi="Times New Roman" w:cs="Times New Roman"/>
          <w:sz w:val="24"/>
          <w:szCs w:val="24"/>
        </w:rPr>
        <w:t>(4), 71–75.</w:t>
      </w:r>
    </w:p>
    <w:p w14:paraId="4BCFC72C" w14:textId="77777777" w:rsidR="0000060D" w:rsidRPr="00BE4AF3" w:rsidRDefault="0000060D" w:rsidP="0000060D">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lang w:val="de-DE"/>
        </w:rPr>
        <w:t xml:space="preserve">Adebayo, A. A., &amp; Zubairu, D. G. (2016). </w:t>
      </w:r>
      <w:r w:rsidRPr="00BE4AF3">
        <w:rPr>
          <w:rFonts w:ascii="Times New Roman" w:hAnsi="Times New Roman" w:cs="Times New Roman"/>
          <w:sz w:val="24"/>
          <w:szCs w:val="24"/>
        </w:rPr>
        <w:t xml:space="preserve">Material cost optimization and quality control improvement of transit construction projects in Nigeria. </w:t>
      </w:r>
      <w:r w:rsidRPr="00BE4AF3">
        <w:rPr>
          <w:rStyle w:val="Emphasis"/>
          <w:rFonts w:ascii="Times New Roman" w:hAnsi="Times New Roman" w:cs="Times New Roman"/>
          <w:sz w:val="24"/>
          <w:szCs w:val="24"/>
        </w:rPr>
        <w:t>International Journal of Engineering and Technology, 8</w:t>
      </w:r>
      <w:r w:rsidRPr="00BE4AF3">
        <w:rPr>
          <w:rFonts w:ascii="Times New Roman" w:hAnsi="Times New Roman" w:cs="Times New Roman"/>
          <w:sz w:val="24"/>
          <w:szCs w:val="24"/>
        </w:rPr>
        <w:t xml:space="preserve">(3), 1–10. </w:t>
      </w:r>
    </w:p>
    <w:p w14:paraId="7D18B6AD" w14:textId="77777777" w:rsidR="0000060D" w:rsidRPr="00BE4AF3" w:rsidRDefault="0000060D" w:rsidP="0000060D">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 xml:space="preserve">Adebayo, S., &amp; Zubairu, A. (2013). Transportation studies: Patterns of motor park usage in urban centers. </w:t>
      </w:r>
      <w:r w:rsidRPr="00BE4AF3">
        <w:rPr>
          <w:rStyle w:val="Emphasis"/>
          <w:rFonts w:ascii="Times New Roman" w:hAnsi="Times New Roman" w:cs="Times New Roman"/>
          <w:sz w:val="24"/>
          <w:szCs w:val="24"/>
        </w:rPr>
        <w:t>African Journal of Urban Planning, 10</w:t>
      </w:r>
      <w:r w:rsidRPr="00BE4AF3">
        <w:rPr>
          <w:rFonts w:ascii="Times New Roman" w:hAnsi="Times New Roman" w:cs="Times New Roman"/>
          <w:sz w:val="24"/>
          <w:szCs w:val="24"/>
        </w:rPr>
        <w:t>(2), 45–58.</w:t>
      </w:r>
    </w:p>
    <w:p w14:paraId="382506EE" w14:textId="77777777" w:rsidR="0000060D" w:rsidRPr="00BE4AF3" w:rsidRDefault="0000060D" w:rsidP="0000060D">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 xml:space="preserve">Adeleke, A., &amp; Ajayi, O. (2016). Motor park operations and urban traffic congestion: A study of Ibadan, Nigeria. </w:t>
      </w:r>
      <w:r w:rsidRPr="00BE4AF3">
        <w:rPr>
          <w:rStyle w:val="Emphasis"/>
          <w:rFonts w:ascii="Times New Roman" w:hAnsi="Times New Roman" w:cs="Times New Roman"/>
          <w:sz w:val="24"/>
          <w:szCs w:val="24"/>
        </w:rPr>
        <w:t>International Journal of Urban Planning and Development, 7</w:t>
      </w:r>
      <w:r w:rsidRPr="00BE4AF3">
        <w:rPr>
          <w:rFonts w:ascii="Times New Roman" w:hAnsi="Times New Roman" w:cs="Times New Roman"/>
          <w:sz w:val="24"/>
          <w:szCs w:val="24"/>
        </w:rPr>
        <w:t>(1), 42–54.</w:t>
      </w:r>
    </w:p>
    <w:p w14:paraId="7F87AA81" w14:textId="77777777" w:rsidR="0000060D" w:rsidRPr="00BE4AF3" w:rsidRDefault="0000060D" w:rsidP="0000060D">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 xml:space="preserve">Agbiboa, D. E. (2016). ‘No condition is permanent’: Informal transport workers and labour precarity in Africa’s largest city. </w:t>
      </w:r>
      <w:r w:rsidRPr="00BE4AF3">
        <w:rPr>
          <w:rStyle w:val="Emphasis"/>
          <w:rFonts w:ascii="Times New Roman" w:hAnsi="Times New Roman" w:cs="Times New Roman"/>
          <w:sz w:val="24"/>
          <w:szCs w:val="24"/>
        </w:rPr>
        <w:t>International Journal of Urban and Regional Research, 40</w:t>
      </w:r>
      <w:r w:rsidRPr="00BE4AF3">
        <w:rPr>
          <w:rFonts w:ascii="Times New Roman" w:hAnsi="Times New Roman" w:cs="Times New Roman"/>
          <w:sz w:val="24"/>
          <w:szCs w:val="24"/>
        </w:rPr>
        <w:t>(5), 936–957.</w:t>
      </w:r>
    </w:p>
    <w:p w14:paraId="12A51319" w14:textId="77777777" w:rsidR="0000060D" w:rsidRPr="00BE4AF3" w:rsidRDefault="0000060D" w:rsidP="0000060D">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lang w:val="fr-FR"/>
        </w:rPr>
        <w:t xml:space="preserve">Ajayi, A. P., &amp; Ajayi, D. D. (2014). </w:t>
      </w:r>
      <w:r w:rsidRPr="00BE4AF3">
        <w:rPr>
          <w:rFonts w:ascii="Times New Roman" w:hAnsi="Times New Roman" w:cs="Times New Roman"/>
          <w:sz w:val="24"/>
          <w:szCs w:val="24"/>
        </w:rPr>
        <w:t xml:space="preserve">Trend analysis of crime incidences and crime vulnerability differentials on urban transport facilities in Ibadan. </w:t>
      </w:r>
      <w:r w:rsidRPr="00BE4AF3">
        <w:rPr>
          <w:rStyle w:val="Emphasis"/>
          <w:rFonts w:ascii="Times New Roman" w:hAnsi="Times New Roman" w:cs="Times New Roman"/>
          <w:sz w:val="24"/>
          <w:szCs w:val="24"/>
        </w:rPr>
        <w:t>Journal of Intelligent Transportation and Urban Planning, 2</w:t>
      </w:r>
      <w:r w:rsidRPr="00BE4AF3">
        <w:rPr>
          <w:rFonts w:ascii="Times New Roman" w:hAnsi="Times New Roman" w:cs="Times New Roman"/>
          <w:sz w:val="24"/>
          <w:szCs w:val="24"/>
        </w:rPr>
        <w:t>(2), 85–97.</w:t>
      </w:r>
    </w:p>
    <w:p w14:paraId="61DA5FDA" w14:textId="77777777" w:rsidR="0000060D" w:rsidRPr="00BE4AF3" w:rsidRDefault="0000060D" w:rsidP="0000060D">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 xml:space="preserve">Akpoghomeh, O. E., &amp; Iweze, F. A. (2014). Urban transportation and development: A case study of motor parks in Benin City, Nigeria. </w:t>
      </w:r>
      <w:r w:rsidRPr="00BE4AF3">
        <w:rPr>
          <w:rStyle w:val="Emphasis"/>
          <w:rFonts w:ascii="Times New Roman" w:hAnsi="Times New Roman" w:cs="Times New Roman"/>
          <w:sz w:val="24"/>
          <w:szCs w:val="24"/>
        </w:rPr>
        <w:t>Journal of Transportation and Infrastructure Engineering, 9</w:t>
      </w:r>
      <w:r w:rsidRPr="00BE4AF3">
        <w:rPr>
          <w:rFonts w:ascii="Times New Roman" w:hAnsi="Times New Roman" w:cs="Times New Roman"/>
          <w:sz w:val="24"/>
          <w:szCs w:val="24"/>
        </w:rPr>
        <w:t>(4), 74–85.</w:t>
      </w:r>
    </w:p>
    <w:p w14:paraId="119C09C3" w14:textId="77777777" w:rsidR="0000060D" w:rsidRPr="00BE4AF3" w:rsidRDefault="0000060D" w:rsidP="0000060D">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 xml:space="preserve">Arti, C., Sharad, G., Pradeep, K., Chinmay, P., &amp; Kumar, S. S. (2022). Urban traffic congestion: Its causes–consequences–mitigation. </w:t>
      </w:r>
      <w:r w:rsidRPr="00BE4AF3">
        <w:rPr>
          <w:rStyle w:val="Emphasis"/>
          <w:rFonts w:ascii="Times New Roman" w:hAnsi="Times New Roman" w:cs="Times New Roman"/>
          <w:sz w:val="24"/>
          <w:szCs w:val="24"/>
        </w:rPr>
        <w:t>Research Journal of Chemistry and Environment, 26</w:t>
      </w:r>
      <w:r w:rsidRPr="00BE4AF3">
        <w:rPr>
          <w:rFonts w:ascii="Times New Roman" w:hAnsi="Times New Roman" w:cs="Times New Roman"/>
          <w:sz w:val="24"/>
          <w:szCs w:val="24"/>
        </w:rPr>
        <w:t>(12), 164–176.</w:t>
      </w:r>
    </w:p>
    <w:p w14:paraId="2A2F2FF8" w14:textId="77777777" w:rsidR="0000060D" w:rsidRPr="00BE4AF3" w:rsidRDefault="0000060D" w:rsidP="0000060D">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 xml:space="preserve">Bebbington, J., &amp; Unerman, J. (2018). Achieving the United Nations Sustainable Development Goals: An enabling role for accounting research. </w:t>
      </w:r>
      <w:r w:rsidRPr="00BE4AF3">
        <w:rPr>
          <w:rStyle w:val="Emphasis"/>
          <w:rFonts w:ascii="Times New Roman" w:hAnsi="Times New Roman" w:cs="Times New Roman"/>
          <w:sz w:val="24"/>
          <w:szCs w:val="24"/>
        </w:rPr>
        <w:t>Accounting, Auditing &amp; Accountability Journal, 31</w:t>
      </w:r>
      <w:r w:rsidRPr="00BE4AF3">
        <w:rPr>
          <w:rFonts w:ascii="Times New Roman" w:hAnsi="Times New Roman" w:cs="Times New Roman"/>
          <w:sz w:val="24"/>
          <w:szCs w:val="24"/>
        </w:rPr>
        <w:t xml:space="preserve">(1), 2–24. </w:t>
      </w:r>
    </w:p>
    <w:p w14:paraId="6F50046C" w14:textId="77777777" w:rsidR="0000060D" w:rsidRPr="00BE4AF3" w:rsidRDefault="0000060D" w:rsidP="0000060D">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 xml:space="preserve">Boessen, A., &amp; Hipp, J. R. (2018). Parks as crime inhibitors or generators: Examining parks and the role of their nearby context. </w:t>
      </w:r>
      <w:r w:rsidRPr="00BE4AF3">
        <w:rPr>
          <w:rStyle w:val="Emphasis"/>
          <w:rFonts w:ascii="Times New Roman" w:hAnsi="Times New Roman" w:cs="Times New Roman"/>
          <w:sz w:val="24"/>
          <w:szCs w:val="24"/>
        </w:rPr>
        <w:t>Social Science Research, 76,</w:t>
      </w:r>
      <w:r w:rsidRPr="00BE4AF3">
        <w:rPr>
          <w:rFonts w:ascii="Times New Roman" w:hAnsi="Times New Roman" w:cs="Times New Roman"/>
          <w:sz w:val="24"/>
          <w:szCs w:val="24"/>
        </w:rPr>
        <w:t xml:space="preserve"> 186–201.</w:t>
      </w:r>
    </w:p>
    <w:p w14:paraId="6BC6A070" w14:textId="77777777" w:rsidR="0000060D" w:rsidRPr="00BE4AF3" w:rsidRDefault="0000060D" w:rsidP="0000060D">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lang w:val="de-DE"/>
        </w:rPr>
        <w:t xml:space="preserve">Eybergen, C., &amp; Andresen, M. A. (2022). </w:t>
      </w:r>
      <w:r w:rsidRPr="00BE4AF3">
        <w:rPr>
          <w:rFonts w:ascii="Times New Roman" w:hAnsi="Times New Roman" w:cs="Times New Roman"/>
          <w:sz w:val="24"/>
          <w:szCs w:val="24"/>
        </w:rPr>
        <w:t xml:space="preserve">Public parks and crimes of property: Get out there and enjoy the sunshine, lock your cars, and hide your bike. </w:t>
      </w:r>
      <w:r w:rsidRPr="00BE4AF3">
        <w:rPr>
          <w:rStyle w:val="Emphasis"/>
          <w:rFonts w:ascii="Times New Roman" w:hAnsi="Times New Roman" w:cs="Times New Roman"/>
          <w:sz w:val="24"/>
          <w:szCs w:val="24"/>
        </w:rPr>
        <w:t>Security Journal, 35</w:t>
      </w:r>
      <w:r w:rsidRPr="00BE4AF3">
        <w:rPr>
          <w:rFonts w:ascii="Times New Roman" w:hAnsi="Times New Roman" w:cs="Times New Roman"/>
          <w:sz w:val="24"/>
          <w:szCs w:val="24"/>
        </w:rPr>
        <w:t>(3), 777–800.</w:t>
      </w:r>
    </w:p>
    <w:p w14:paraId="3E05D69C" w14:textId="77777777" w:rsidR="0000060D" w:rsidRPr="00BE4AF3" w:rsidRDefault="0000060D" w:rsidP="0000060D">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 xml:space="preserve">Lachapelle, U., Burke, M., Brotherton, A., &amp; Leung, A. (2018). Parcel locker systems in a car dominant city: Location, characterisation and potential impacts on city planning and consumer travel access. </w:t>
      </w:r>
      <w:r w:rsidRPr="00BE4AF3">
        <w:rPr>
          <w:rStyle w:val="Emphasis"/>
          <w:rFonts w:ascii="Times New Roman" w:hAnsi="Times New Roman" w:cs="Times New Roman"/>
          <w:sz w:val="24"/>
          <w:szCs w:val="24"/>
        </w:rPr>
        <w:t>Journal of Transport Geography, 71,</w:t>
      </w:r>
      <w:r w:rsidRPr="00BE4AF3">
        <w:rPr>
          <w:rFonts w:ascii="Times New Roman" w:hAnsi="Times New Roman" w:cs="Times New Roman"/>
          <w:sz w:val="24"/>
          <w:szCs w:val="24"/>
        </w:rPr>
        <w:t xml:space="preserve"> 1–14.</w:t>
      </w:r>
    </w:p>
    <w:p w14:paraId="0106E422" w14:textId="77777777" w:rsidR="0000060D" w:rsidRPr="00BE4AF3" w:rsidRDefault="0000060D" w:rsidP="0000060D">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 xml:space="preserve">Olawale, M., &amp; Ayodele, T. (2016). Analysis of socio-economic traffic congestion on street trading in Lagos. </w:t>
      </w:r>
      <w:r w:rsidRPr="00BE4AF3">
        <w:rPr>
          <w:rStyle w:val="Emphasis"/>
          <w:rFonts w:ascii="Times New Roman" w:hAnsi="Times New Roman" w:cs="Times New Roman"/>
          <w:sz w:val="24"/>
          <w:szCs w:val="24"/>
        </w:rPr>
        <w:t>Journal of Urban Planning and Sustainable Development, 4</w:t>
      </w:r>
      <w:r w:rsidRPr="00BE4AF3">
        <w:rPr>
          <w:rFonts w:ascii="Times New Roman" w:hAnsi="Times New Roman" w:cs="Times New Roman"/>
          <w:sz w:val="24"/>
          <w:szCs w:val="24"/>
        </w:rPr>
        <w:t>(3), 123–137.</w:t>
      </w:r>
    </w:p>
    <w:p w14:paraId="006AAE71" w14:textId="77777777" w:rsidR="0000060D" w:rsidRPr="00BE4AF3" w:rsidRDefault="0000060D" w:rsidP="0000060D">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 xml:space="preserve">Olawale, O., &amp; Ayodele, O. (2016). Spatial distribution and planning of motor parks in Nigerian cities: Case study of Ibadan. </w:t>
      </w:r>
      <w:r w:rsidRPr="00BE4AF3">
        <w:rPr>
          <w:rStyle w:val="Emphasis"/>
          <w:rFonts w:ascii="Times New Roman" w:hAnsi="Times New Roman" w:cs="Times New Roman"/>
          <w:sz w:val="24"/>
          <w:szCs w:val="24"/>
        </w:rPr>
        <w:t>Urban Mobility Journal, 5</w:t>
      </w:r>
      <w:r w:rsidRPr="00BE4AF3">
        <w:rPr>
          <w:rFonts w:ascii="Times New Roman" w:hAnsi="Times New Roman" w:cs="Times New Roman"/>
          <w:sz w:val="24"/>
          <w:szCs w:val="24"/>
        </w:rPr>
        <w:t>(2), 103–112.</w:t>
      </w:r>
    </w:p>
    <w:p w14:paraId="17B2E079" w14:textId="77777777" w:rsidR="0000060D" w:rsidRPr="00BE4AF3" w:rsidRDefault="0000060D" w:rsidP="0000060D">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 xml:space="preserve">Omobowale, A. O., &amp; Fayiga, O. O. (2017). Commercial motor drivers, transport unions and electoral violence in Ibadan, Nigeria. </w:t>
      </w:r>
      <w:r w:rsidRPr="00BE4AF3">
        <w:rPr>
          <w:rStyle w:val="Emphasis"/>
          <w:rFonts w:ascii="Times New Roman" w:hAnsi="Times New Roman" w:cs="Times New Roman"/>
          <w:sz w:val="24"/>
          <w:szCs w:val="24"/>
        </w:rPr>
        <w:t>Journal of Development and Society, 46</w:t>
      </w:r>
      <w:r w:rsidRPr="00BE4AF3">
        <w:rPr>
          <w:rFonts w:ascii="Times New Roman" w:hAnsi="Times New Roman" w:cs="Times New Roman"/>
          <w:sz w:val="24"/>
          <w:szCs w:val="24"/>
        </w:rPr>
        <w:t>(3), 591–614.</w:t>
      </w:r>
    </w:p>
    <w:p w14:paraId="445A4281" w14:textId="77777777" w:rsidR="0000060D" w:rsidRPr="00BE4AF3" w:rsidRDefault="0000060D" w:rsidP="0000060D">
      <w:pPr>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 xml:space="preserve">Pojani, D., &amp; Stead, D. (2015). Sustainable urban transport in the developing world: Beyond megacities. </w:t>
      </w:r>
      <w:r w:rsidRPr="00BE4AF3">
        <w:rPr>
          <w:rStyle w:val="Emphasis"/>
          <w:rFonts w:ascii="Times New Roman" w:hAnsi="Times New Roman" w:cs="Times New Roman"/>
          <w:sz w:val="24"/>
          <w:szCs w:val="24"/>
        </w:rPr>
        <w:t>Sustainability, 7</w:t>
      </w:r>
      <w:r w:rsidRPr="00BE4AF3">
        <w:rPr>
          <w:rFonts w:ascii="Times New Roman" w:hAnsi="Times New Roman" w:cs="Times New Roman"/>
          <w:sz w:val="24"/>
          <w:szCs w:val="24"/>
        </w:rPr>
        <w:t>(6), 7784–7805.</w:t>
      </w:r>
    </w:p>
    <w:p w14:paraId="55B6376D" w14:textId="77777777" w:rsidR="00116291" w:rsidRPr="00BE4AF3" w:rsidRDefault="00116291" w:rsidP="00116291">
      <w:pPr>
        <w:spacing w:after="0" w:line="240" w:lineRule="auto"/>
        <w:rPr>
          <w:rFonts w:ascii="Times New Roman" w:hAnsi="Times New Roman" w:cs="Times New Roman"/>
          <w:sz w:val="24"/>
          <w:szCs w:val="24"/>
          <w:lang w:val="en-US"/>
        </w:rPr>
      </w:pPr>
    </w:p>
    <w:p w14:paraId="12238AFC" w14:textId="77777777" w:rsidR="0016089C" w:rsidRDefault="0016089C" w:rsidP="00116291">
      <w:pPr>
        <w:spacing w:after="0" w:line="240" w:lineRule="auto"/>
        <w:jc w:val="center"/>
        <w:rPr>
          <w:rFonts w:ascii="Times New Roman" w:hAnsi="Times New Roman" w:cs="Times New Roman"/>
          <w:b/>
          <w:bCs/>
          <w:sz w:val="24"/>
          <w:szCs w:val="24"/>
        </w:rPr>
      </w:pPr>
    </w:p>
    <w:p w14:paraId="6BE480B1" w14:textId="77777777" w:rsidR="0016089C" w:rsidRDefault="0016089C" w:rsidP="00116291">
      <w:pPr>
        <w:spacing w:after="0" w:line="240" w:lineRule="auto"/>
        <w:jc w:val="center"/>
        <w:rPr>
          <w:rFonts w:ascii="Times New Roman" w:hAnsi="Times New Roman" w:cs="Times New Roman"/>
          <w:b/>
          <w:bCs/>
          <w:sz w:val="24"/>
          <w:szCs w:val="24"/>
        </w:rPr>
      </w:pPr>
    </w:p>
    <w:p w14:paraId="3EA75BDA" w14:textId="77777777" w:rsidR="0016089C" w:rsidRDefault="0016089C" w:rsidP="00116291">
      <w:pPr>
        <w:spacing w:after="0" w:line="240" w:lineRule="auto"/>
        <w:jc w:val="center"/>
        <w:rPr>
          <w:rFonts w:ascii="Times New Roman" w:hAnsi="Times New Roman" w:cs="Times New Roman"/>
          <w:b/>
          <w:bCs/>
          <w:sz w:val="24"/>
          <w:szCs w:val="24"/>
        </w:rPr>
      </w:pPr>
    </w:p>
    <w:p w14:paraId="4A79299D" w14:textId="382A024F" w:rsidR="00116291" w:rsidRPr="0016089C" w:rsidRDefault="00116291" w:rsidP="00116291">
      <w:pPr>
        <w:spacing w:after="0" w:line="240" w:lineRule="auto"/>
        <w:jc w:val="center"/>
        <w:rPr>
          <w:rFonts w:ascii="Times New Roman" w:hAnsi="Times New Roman" w:cs="Times New Roman"/>
          <w:b/>
          <w:bCs/>
          <w:sz w:val="28"/>
          <w:szCs w:val="28"/>
        </w:rPr>
      </w:pPr>
      <w:r w:rsidRPr="0016089C">
        <w:rPr>
          <w:rFonts w:ascii="Times New Roman" w:hAnsi="Times New Roman" w:cs="Times New Roman"/>
          <w:b/>
          <w:bCs/>
          <w:sz w:val="28"/>
          <w:szCs w:val="28"/>
        </w:rPr>
        <w:lastRenderedPageBreak/>
        <w:t>Perceptional Assessment of the Shift in Client Preferences from Urban to Peri-Urban Housing in the Post-COVID-19 Era in Osogbo, Nigeria: Challenges and Opportunities</w:t>
      </w:r>
    </w:p>
    <w:p w14:paraId="253E3DC9" w14:textId="77777777" w:rsidR="000C623F" w:rsidRPr="00BE4AF3" w:rsidRDefault="000C623F" w:rsidP="00116291">
      <w:pPr>
        <w:spacing w:after="0" w:line="240" w:lineRule="auto"/>
        <w:jc w:val="center"/>
        <w:rPr>
          <w:rFonts w:ascii="Times New Roman" w:hAnsi="Times New Roman" w:cs="Times New Roman"/>
          <w:b/>
          <w:bCs/>
          <w:sz w:val="24"/>
          <w:szCs w:val="24"/>
        </w:rPr>
      </w:pPr>
    </w:p>
    <w:p w14:paraId="5FD50203" w14:textId="77777777" w:rsidR="00116291" w:rsidRPr="00BE4AF3" w:rsidRDefault="00116291" w:rsidP="00116291">
      <w:pPr>
        <w:spacing w:after="0" w:line="240" w:lineRule="auto"/>
        <w:jc w:val="center"/>
        <w:rPr>
          <w:rFonts w:ascii="Times New Roman" w:hAnsi="Times New Roman" w:cs="Times New Roman"/>
          <w:sz w:val="24"/>
          <w:szCs w:val="24"/>
        </w:rPr>
      </w:pPr>
      <w:r w:rsidRPr="00BE4AF3">
        <w:rPr>
          <w:rFonts w:ascii="Times New Roman" w:hAnsi="Times New Roman" w:cs="Times New Roman"/>
          <w:b/>
          <w:bCs/>
          <w:sz w:val="24"/>
          <w:szCs w:val="24"/>
        </w:rPr>
        <w:t xml:space="preserve">Ankeli, </w:t>
      </w:r>
      <w:r w:rsidRPr="00BE4AF3">
        <w:rPr>
          <w:rFonts w:ascii="Times New Roman" w:hAnsi="Times New Roman" w:cs="Times New Roman"/>
          <w:sz w:val="24"/>
          <w:szCs w:val="24"/>
        </w:rPr>
        <w:t>Ikpeme Anthony</w:t>
      </w:r>
      <w:r w:rsidRPr="00BE4AF3">
        <w:rPr>
          <w:rFonts w:ascii="Times New Roman" w:hAnsi="Times New Roman" w:cs="Times New Roman"/>
          <w:sz w:val="24"/>
          <w:szCs w:val="24"/>
          <w:vertAlign w:val="superscript"/>
        </w:rPr>
        <w:t>1</w:t>
      </w:r>
      <w:r w:rsidRPr="00BE4AF3">
        <w:rPr>
          <w:rFonts w:ascii="Times New Roman" w:hAnsi="Times New Roman" w:cs="Times New Roman"/>
          <w:sz w:val="24"/>
          <w:szCs w:val="24"/>
        </w:rPr>
        <w:t xml:space="preserve">, </w:t>
      </w:r>
      <w:r w:rsidRPr="00BE4AF3">
        <w:rPr>
          <w:rFonts w:ascii="Times New Roman" w:hAnsi="Times New Roman" w:cs="Times New Roman"/>
          <w:b/>
          <w:bCs/>
          <w:sz w:val="24"/>
          <w:szCs w:val="24"/>
        </w:rPr>
        <w:t>Odoh</w:t>
      </w:r>
      <w:r w:rsidRPr="00BE4AF3">
        <w:rPr>
          <w:rFonts w:ascii="Times New Roman" w:hAnsi="Times New Roman" w:cs="Times New Roman"/>
          <w:sz w:val="24"/>
          <w:szCs w:val="24"/>
        </w:rPr>
        <w:t xml:space="preserve"> Augustine Eje</w:t>
      </w:r>
      <w:r w:rsidRPr="00BE4AF3">
        <w:rPr>
          <w:rFonts w:ascii="Times New Roman" w:hAnsi="Times New Roman" w:cs="Times New Roman"/>
          <w:sz w:val="24"/>
          <w:szCs w:val="24"/>
          <w:vertAlign w:val="superscript"/>
        </w:rPr>
        <w:t>2</w:t>
      </w:r>
      <w:r w:rsidRPr="00BE4AF3">
        <w:rPr>
          <w:rFonts w:ascii="Times New Roman" w:hAnsi="Times New Roman" w:cs="Times New Roman"/>
          <w:sz w:val="24"/>
          <w:szCs w:val="24"/>
        </w:rPr>
        <w:t xml:space="preserve"> and Lawal Oladimeji. M</w:t>
      </w:r>
      <w:r w:rsidRPr="00BE4AF3">
        <w:rPr>
          <w:rFonts w:ascii="Times New Roman" w:hAnsi="Times New Roman" w:cs="Times New Roman"/>
          <w:sz w:val="24"/>
          <w:szCs w:val="24"/>
          <w:vertAlign w:val="superscript"/>
        </w:rPr>
        <w:t>3</w:t>
      </w:r>
      <w:r w:rsidRPr="00BE4AF3">
        <w:rPr>
          <w:rFonts w:ascii="Times New Roman" w:hAnsi="Times New Roman" w:cs="Times New Roman"/>
          <w:sz w:val="24"/>
          <w:szCs w:val="24"/>
        </w:rPr>
        <w:t xml:space="preserve"> </w:t>
      </w:r>
    </w:p>
    <w:p w14:paraId="09BB1D90" w14:textId="77777777" w:rsidR="000C623F" w:rsidRPr="00BE4AF3" w:rsidRDefault="000C623F" w:rsidP="00116291">
      <w:pPr>
        <w:spacing w:after="0" w:line="240" w:lineRule="auto"/>
        <w:jc w:val="center"/>
        <w:rPr>
          <w:rFonts w:ascii="Times New Roman" w:hAnsi="Times New Roman" w:cs="Times New Roman"/>
          <w:b/>
          <w:bCs/>
          <w:sz w:val="24"/>
          <w:szCs w:val="24"/>
        </w:rPr>
      </w:pPr>
    </w:p>
    <w:p w14:paraId="6A69C313" w14:textId="5617B519" w:rsidR="00116291" w:rsidRPr="0016089C" w:rsidRDefault="00116291" w:rsidP="000C623F">
      <w:pPr>
        <w:pStyle w:val="ListParagraph"/>
        <w:spacing w:after="0" w:line="240" w:lineRule="auto"/>
        <w:ind w:left="360"/>
        <w:jc w:val="center"/>
        <w:rPr>
          <w:rFonts w:ascii="Times New Roman" w:hAnsi="Times New Roman"/>
          <w:sz w:val="20"/>
          <w:szCs w:val="20"/>
        </w:rPr>
      </w:pPr>
      <w:r w:rsidRPr="0016089C">
        <w:rPr>
          <w:rFonts w:ascii="Times New Roman" w:hAnsi="Times New Roman"/>
          <w:sz w:val="20"/>
          <w:szCs w:val="20"/>
          <w:vertAlign w:val="superscript"/>
        </w:rPr>
        <w:t>1</w:t>
      </w:r>
      <w:r w:rsidR="0016089C" w:rsidRPr="0016089C">
        <w:rPr>
          <w:rFonts w:ascii="Times New Roman" w:hAnsi="Times New Roman"/>
          <w:sz w:val="20"/>
          <w:szCs w:val="20"/>
          <w:vertAlign w:val="superscript"/>
        </w:rPr>
        <w:t>,3</w:t>
      </w:r>
      <w:r w:rsidRPr="0016089C">
        <w:rPr>
          <w:rFonts w:ascii="Times New Roman" w:hAnsi="Times New Roman"/>
          <w:sz w:val="20"/>
          <w:szCs w:val="20"/>
        </w:rPr>
        <w:t xml:space="preserve"> Department of Estate Management and Valuation, Federal Polytechnic Ede, Nigeria</w:t>
      </w:r>
    </w:p>
    <w:p w14:paraId="766D9EB8" w14:textId="156BB27B" w:rsidR="00116291" w:rsidRPr="0016089C" w:rsidRDefault="0016089C" w:rsidP="0016089C">
      <w:pPr>
        <w:pStyle w:val="ListParagraph"/>
        <w:spacing w:after="0" w:line="240" w:lineRule="auto"/>
        <w:rPr>
          <w:rFonts w:ascii="Times New Roman" w:hAnsi="Times New Roman"/>
          <w:sz w:val="20"/>
          <w:szCs w:val="20"/>
        </w:rPr>
      </w:pPr>
      <w:r w:rsidRPr="0016089C">
        <w:rPr>
          <w:rFonts w:ascii="Times New Roman" w:hAnsi="Times New Roman"/>
          <w:sz w:val="20"/>
          <w:szCs w:val="20"/>
          <w:vertAlign w:val="superscript"/>
        </w:rPr>
        <w:t>2</w:t>
      </w:r>
      <w:r>
        <w:rPr>
          <w:rFonts w:ascii="Times New Roman" w:hAnsi="Times New Roman"/>
          <w:sz w:val="20"/>
          <w:szCs w:val="20"/>
          <w:vertAlign w:val="superscript"/>
        </w:rPr>
        <w:t xml:space="preserve"> </w:t>
      </w:r>
      <w:r w:rsidR="00116291" w:rsidRPr="0016089C">
        <w:rPr>
          <w:rFonts w:ascii="Times New Roman" w:hAnsi="Times New Roman"/>
          <w:sz w:val="20"/>
          <w:szCs w:val="20"/>
        </w:rPr>
        <w:t>Department of Estate Management and Valuation, Federal Polytechnic Ayede, Nigeria</w:t>
      </w:r>
    </w:p>
    <w:p w14:paraId="666EEB7B" w14:textId="77777777" w:rsidR="00116291" w:rsidRPr="0016089C" w:rsidRDefault="00116291" w:rsidP="00116291">
      <w:pPr>
        <w:pStyle w:val="ListParagraph"/>
        <w:spacing w:after="0" w:line="240" w:lineRule="auto"/>
        <w:rPr>
          <w:rFonts w:ascii="Times New Roman" w:hAnsi="Times New Roman"/>
          <w:sz w:val="20"/>
          <w:szCs w:val="20"/>
        </w:rPr>
      </w:pPr>
      <w:r w:rsidRPr="0016089C">
        <w:rPr>
          <w:rFonts w:ascii="Times New Roman" w:hAnsi="Times New Roman"/>
          <w:sz w:val="20"/>
          <w:szCs w:val="20"/>
        </w:rPr>
        <w:t xml:space="preserve"> </w:t>
      </w:r>
    </w:p>
    <w:p w14:paraId="484CCA97" w14:textId="77777777" w:rsidR="00116291" w:rsidRPr="0016089C" w:rsidRDefault="00116291" w:rsidP="000C623F">
      <w:pPr>
        <w:spacing w:after="0" w:line="240" w:lineRule="auto"/>
        <w:jc w:val="center"/>
        <w:rPr>
          <w:rFonts w:ascii="Times New Roman" w:hAnsi="Times New Roman" w:cs="Times New Roman"/>
          <w:sz w:val="20"/>
          <w:szCs w:val="20"/>
        </w:rPr>
      </w:pPr>
      <w:r w:rsidRPr="0016089C">
        <w:rPr>
          <w:rFonts w:ascii="Times New Roman" w:hAnsi="Times New Roman" w:cs="Times New Roman"/>
          <w:sz w:val="20"/>
          <w:szCs w:val="20"/>
        </w:rPr>
        <w:t xml:space="preserve">Correspondence email: </w:t>
      </w:r>
      <w:hyperlink r:id="rId224" w:history="1">
        <w:r w:rsidRPr="0016089C">
          <w:rPr>
            <w:rStyle w:val="Hyperlink"/>
            <w:rFonts w:ascii="Times New Roman" w:hAnsi="Times New Roman" w:cs="Times New Roman"/>
            <w:color w:val="auto"/>
            <w:sz w:val="20"/>
            <w:szCs w:val="20"/>
            <w:u w:val="none"/>
          </w:rPr>
          <w:t>thonyankeli@gmail.com,</w:t>
        </w:r>
      </w:hyperlink>
      <w:r w:rsidRPr="0016089C">
        <w:rPr>
          <w:rFonts w:ascii="Times New Roman" w:hAnsi="Times New Roman" w:cs="Times New Roman"/>
          <w:sz w:val="20"/>
          <w:szCs w:val="20"/>
        </w:rPr>
        <w:t xml:space="preserve"> phone No 08152484828</w:t>
      </w:r>
    </w:p>
    <w:p w14:paraId="4504D4D4" w14:textId="77777777" w:rsidR="00116291" w:rsidRPr="00BE4AF3" w:rsidRDefault="00116291" w:rsidP="00116291">
      <w:pPr>
        <w:spacing w:after="0" w:line="240" w:lineRule="auto"/>
        <w:rPr>
          <w:rFonts w:ascii="Times New Roman" w:hAnsi="Times New Roman" w:cs="Times New Roman"/>
          <w:sz w:val="24"/>
          <w:szCs w:val="24"/>
        </w:rPr>
      </w:pPr>
    </w:p>
    <w:p w14:paraId="656597EA" w14:textId="77777777" w:rsidR="00883B5D" w:rsidRPr="00BE4AF3" w:rsidRDefault="00883B5D" w:rsidP="00116291">
      <w:pPr>
        <w:spacing w:after="0" w:line="240" w:lineRule="auto"/>
        <w:rPr>
          <w:rFonts w:ascii="Times New Roman" w:hAnsi="Times New Roman" w:cs="Times New Roman"/>
          <w:b/>
          <w:bCs/>
          <w:sz w:val="24"/>
          <w:szCs w:val="24"/>
        </w:rPr>
      </w:pPr>
      <w:r w:rsidRPr="00BE4AF3">
        <w:rPr>
          <w:rFonts w:ascii="Times New Roman" w:hAnsi="Times New Roman" w:cs="Times New Roman"/>
          <w:b/>
          <w:bCs/>
          <w:sz w:val="24"/>
          <w:szCs w:val="24"/>
        </w:rPr>
        <w:t>LICFES 2025-061 – FP31</w:t>
      </w:r>
    </w:p>
    <w:p w14:paraId="0581D01E" w14:textId="77777777" w:rsidR="00116291" w:rsidRPr="00BE4AF3" w:rsidRDefault="00116291" w:rsidP="00116291">
      <w:pPr>
        <w:spacing w:after="0" w:line="240" w:lineRule="auto"/>
        <w:rPr>
          <w:rFonts w:ascii="Times New Roman" w:hAnsi="Times New Roman" w:cs="Times New Roman"/>
          <w:b/>
          <w:bCs/>
          <w:sz w:val="24"/>
          <w:szCs w:val="24"/>
        </w:rPr>
      </w:pPr>
      <w:r w:rsidRPr="00BE4AF3">
        <w:rPr>
          <w:rFonts w:ascii="Times New Roman" w:hAnsi="Times New Roman" w:cs="Times New Roman"/>
          <w:b/>
          <w:bCs/>
          <w:sz w:val="24"/>
          <w:szCs w:val="24"/>
        </w:rPr>
        <w:t>Abstract</w:t>
      </w:r>
    </w:p>
    <w:p w14:paraId="6019B5C9" w14:textId="77777777" w:rsidR="00116291" w:rsidRPr="00BE4AF3" w:rsidRDefault="00116291" w:rsidP="00116291">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outbreak of corona virus pandemic commonly referred to as COVID-19 in 2020 has reshaped the global housing preference perspective, thereby prompting a visible migration from the densely populated urban settlements to less congested peri-urban areas. The study therefore examines client perceptions of this shift in preferences in Osogbo, Nigeria, with an emphasis on the associated challenges and opportunities. The study conducted a cross-sectional survey of 200 respondents using a structured questionnaire, and data collected were analyzed using descriptive statistics - ANOVA, Post Hoc, and Chi-square tests. Findings from the study reveal affordability, larger living spaces, cheap living cost, income, emerging innovative technology and healthier environments as key drivers of relocation and critical factors that significantly influenced clients’ preferences in the study area. Identified challenges are among others include infrastructure deficits, limited amenities, congestion and extended commuting times. The study concludes that while living in the peri-urban areas offers potential for enhanced quality of life, targeted policy interventions are essential to maximize its benefits. The study therefore recommends urgent infrastructure upgrades, adoption of sustainable building practices, and pecuniary decentralization to enhance livable peri-urban settlements.</w:t>
      </w:r>
    </w:p>
    <w:p w14:paraId="555FC446" w14:textId="77777777" w:rsidR="000C623F" w:rsidRPr="00BE4AF3" w:rsidRDefault="000C623F" w:rsidP="00116291">
      <w:pPr>
        <w:spacing w:after="0" w:line="240" w:lineRule="auto"/>
        <w:rPr>
          <w:rFonts w:ascii="Times New Roman" w:hAnsi="Times New Roman" w:cs="Times New Roman"/>
          <w:b/>
          <w:bCs/>
          <w:sz w:val="24"/>
          <w:szCs w:val="24"/>
        </w:rPr>
      </w:pPr>
    </w:p>
    <w:p w14:paraId="55F98C9E" w14:textId="77777777" w:rsidR="00116291" w:rsidRPr="00BE4AF3" w:rsidRDefault="00116291" w:rsidP="000C623F">
      <w:pPr>
        <w:spacing w:after="0" w:line="240" w:lineRule="auto"/>
        <w:jc w:val="both"/>
        <w:rPr>
          <w:rFonts w:ascii="Times New Roman" w:hAnsi="Times New Roman" w:cs="Times New Roman"/>
          <w:sz w:val="24"/>
          <w:szCs w:val="24"/>
          <w:lang w:val="en-US"/>
        </w:rPr>
      </w:pPr>
      <w:r w:rsidRPr="00BE4AF3">
        <w:rPr>
          <w:rFonts w:ascii="Times New Roman" w:hAnsi="Times New Roman" w:cs="Times New Roman"/>
          <w:b/>
          <w:bCs/>
          <w:sz w:val="24"/>
          <w:szCs w:val="24"/>
        </w:rPr>
        <w:t>Keywords:</w:t>
      </w:r>
      <w:r w:rsidRPr="00BE4AF3">
        <w:rPr>
          <w:rFonts w:ascii="Times New Roman" w:hAnsi="Times New Roman" w:cs="Times New Roman"/>
          <w:sz w:val="24"/>
          <w:szCs w:val="24"/>
        </w:rPr>
        <w:t xml:space="preserve"> Peri-urban Housing, Post-COVID-19, Client Preference, Urban migration, Osogbo</w:t>
      </w:r>
    </w:p>
    <w:p w14:paraId="61946569" w14:textId="77777777" w:rsidR="00EE3A8A" w:rsidRPr="00BE4AF3" w:rsidRDefault="00EE3A8A" w:rsidP="00116291">
      <w:pPr>
        <w:spacing w:after="0" w:line="240" w:lineRule="auto"/>
        <w:rPr>
          <w:rFonts w:ascii="Times New Roman" w:hAnsi="Times New Roman" w:cs="Times New Roman"/>
          <w:sz w:val="24"/>
          <w:szCs w:val="24"/>
          <w:lang w:val="en-US"/>
        </w:rPr>
      </w:pPr>
    </w:p>
    <w:p w14:paraId="15034916" w14:textId="77777777" w:rsidR="00BE4AF3" w:rsidRPr="00BE4AF3" w:rsidRDefault="00BE4AF3" w:rsidP="0016089C">
      <w:pPr>
        <w:spacing w:after="0" w:line="240" w:lineRule="auto"/>
        <w:rPr>
          <w:rFonts w:ascii="Times New Roman" w:hAnsi="Times New Roman" w:cs="Times New Roman"/>
          <w:b/>
          <w:bCs/>
          <w:sz w:val="24"/>
          <w:szCs w:val="24"/>
        </w:rPr>
      </w:pPr>
      <w:r w:rsidRPr="00BE4AF3">
        <w:rPr>
          <w:rFonts w:ascii="Times New Roman" w:hAnsi="Times New Roman" w:cs="Times New Roman"/>
          <w:b/>
          <w:bCs/>
          <w:sz w:val="24"/>
          <w:szCs w:val="24"/>
        </w:rPr>
        <w:t>Introduction</w:t>
      </w:r>
    </w:p>
    <w:p w14:paraId="3A177F99" w14:textId="77777777" w:rsidR="00BE4AF3" w:rsidRP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outbreak of COVID-19 pandemic brought about the ‘new normal’ that exacerbated the unprecedented changes to the global socio-economic and spatial arrangements, with the real estate subsector, particularly, the housing preferences among the most affected sectors (Ankeli 2023; Ankeli et al.,2021 and Florida et al., 2021). The movement of households from the city to the urban fringes, though not too common in Nigeria, but where it exists, then, it reflects a substantial spatial shift influenced by such critical factors as health and other related concerns, income inadequacy, housing affordability, the need for a more spacious living environments among other similar factors (Okewole and Aribigbola, 2020). Adedeji and Olotuah (2021), however, asserted that, Osogbo, the Osun State capital, like other emerging cities has equally experienced the post-pandemic relocation trend. Prior to the outbreak of the pandemic in Nigeria, living in the urban centers and having an accommodation in the city were the dominant choice and the dream of every young adult due to job availability, good life, proximity to workplaces, amenities and infrastructure availability. However, the corona-virus pandemic induced social distancing and lockdown mentality, overcrowding, traffic congestion, insecurity and rising urban rents have prompted a reconsideration of housing priorities (UN-Habitat, 2021).</w:t>
      </w:r>
    </w:p>
    <w:p w14:paraId="3286E9AC" w14:textId="77777777" w:rsid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Grant et al., (2020) opined that, the recent ideology of urban - peri-urban migration is not totally a new one, but its pace was promoted or accelerated by COVID-19, which altered its drivers. Peri-urban areas, often characterized by cheap land and living cost, lower housing costs, larger </w:t>
      </w:r>
      <w:r w:rsidRPr="00BE4AF3">
        <w:rPr>
          <w:rFonts w:ascii="Times New Roman" w:hAnsi="Times New Roman" w:cs="Times New Roman"/>
          <w:sz w:val="24"/>
          <w:szCs w:val="24"/>
        </w:rPr>
        <w:lastRenderedPageBreak/>
        <w:t>plots, and less congestion, have become an attractive alternative for households seeking healthier lifestyles (Mbah et al., 2022). The shift or new normal, however, raises planning challenges as the overstretching of the available infrastructure, traffic and other transportation associated issues, pollution and other environmental resource issues. There exist scanty empirical studies that comprehensively documented the magnitude of the impact of these shifts in clients’ preferences. Hence, the study seeks to explore client’s perception of housing shift in Osogbo, Nigeria in the post-COVID-19 era. The research therefore aim to identify and isolate the drivers of shift in housing preference in the study area, assess the socio-economic determinants, and outline the challenges and opportunities inherent in the migration trend. The research further situates its findings within the broader discourse on sustainable urban planning in developing countries.</w:t>
      </w:r>
    </w:p>
    <w:p w14:paraId="27DFFCC2" w14:textId="77777777" w:rsidR="0016089C" w:rsidRPr="00BE4AF3" w:rsidRDefault="0016089C" w:rsidP="0016089C">
      <w:pPr>
        <w:spacing w:after="0" w:line="240" w:lineRule="auto"/>
        <w:jc w:val="both"/>
        <w:rPr>
          <w:rFonts w:ascii="Times New Roman" w:hAnsi="Times New Roman" w:cs="Times New Roman"/>
          <w:sz w:val="24"/>
          <w:szCs w:val="24"/>
        </w:rPr>
      </w:pPr>
    </w:p>
    <w:p w14:paraId="7CBF4432" w14:textId="77777777" w:rsidR="00BE4AF3" w:rsidRPr="00BE4AF3" w:rsidRDefault="00BE4AF3" w:rsidP="00BE4AF3">
      <w:pPr>
        <w:spacing w:after="0"/>
        <w:rPr>
          <w:rFonts w:ascii="Times New Roman" w:hAnsi="Times New Roman" w:cs="Times New Roman"/>
          <w:b/>
          <w:bCs/>
          <w:sz w:val="24"/>
          <w:szCs w:val="24"/>
        </w:rPr>
      </w:pPr>
      <w:r w:rsidRPr="00BE4AF3">
        <w:rPr>
          <w:rFonts w:ascii="Times New Roman" w:hAnsi="Times New Roman" w:cs="Times New Roman"/>
          <w:b/>
          <w:bCs/>
          <w:sz w:val="24"/>
          <w:szCs w:val="24"/>
        </w:rPr>
        <w:t>Literature Review</w:t>
      </w:r>
    </w:p>
    <w:p w14:paraId="50A834C3" w14:textId="77777777" w:rsidR="00BE4AF3" w:rsidRP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Issues on the impact of COVID.19 pandemic on real estate is well-documented globally (Ankeli et al., 2021a, Gurran et al., 2021 and Florida et al., 2021). In the African context, issues of urban – rural migration was never a recurring phenomenon in the past, but rather immigrant move from the rural settlements to the urban areas in search of ‘greener pasture’. Tacoli (2023) observed that in recent time, urban-rural migration has become a frequent phenomenon linked to lifestyle change, economic cycles and infrastructure development. Whereas Mariano et al., (2021) added that, the outbreak of the pandemic announced other new drivers as sensitive and scary health awareness and the possibility of remote work flexibility. While other African scholars as Olajide et al., (2021), Ankeli et al., (2021b), Mabogunje, (2020) and Akinyemi (2019) has attributed the urban – peri-urban migration to affordability, reduced population density, and a perception of better environmental quality. According to Allen (2003) the transitional zones between the urban cores and the rural hinterlands are the peri-urban zones. These zones are usually marked by swift population growth rate, emerging socio-economic structures and mixed land uses. For this study, the areas considered as peri-urban settlements in Osogbo are Abere, Ofatedo and Oba Ile. These settlements are progressively integrated into the metropolis’s housing supply.</w:t>
      </w:r>
    </w:p>
    <w:p w14:paraId="5FFD0DC1" w14:textId="77777777" w:rsidR="00BE4AF3" w:rsidRP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Nubi (2019) attributed the historical increase demand for urban housing in Nigeria to access to job opportunity, urban infrastructure, and the presence of social amenities. While Kombe (2019) contrasted the assertion of Nubi (2019) with the situation in the Peri-urban areas, which according to him has been characterized by inadequate and run-down public services but offer affordability and space advantages. Though, Kombe (2005) observed that, these areas often suffer from insufficient infrastructure, weak governance, and unplanned growth. World Health Organization, (2020) concluded that the pandemic has altered the dynamics through the highlight of health vulnerabilities in congested urban environments. This, in addition to the innovative remote work opportunities stimulate migration from the urban centers to peri-urban settlements (Akinwale and Olayiwola, 2022). Similarly, studies conducted in Lagos and Abuja by Olawande and Oyedele (2021) revealed similar patterns of peri-urban estates reporting increased occupancy rates post-pandemic era. Despite these new trends of peri-urban settlements attracting population influx, UN-Habitat (2021) reported among others the challenges of lagging behind of infrastructure demand at the peri-urban settlements thereby creating an unplanned developmental risk that could result to slum formation is another factor that must be considered. Akinbamijo and Olayiwola (2019) opined that, the peri-urban fringe, in contrast to what is obtainable in the urban core, offered underutilized land with inadequate infrastructure and amenities as obtainable in the urban core. However, the pandemic magnified the significance of ventilation, space, and privacy, thereby encouraging migration trend toward the peri-urban settlements where vast and massive unused land spaces exist. Issues of this magnitude is usually address through a well intention/targeted proactive policy action backed up with investment strategies. </w:t>
      </w:r>
    </w:p>
    <w:p w14:paraId="0A059B0E" w14:textId="77777777" w:rsidR="00BE4AF3" w:rsidRP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lastRenderedPageBreak/>
        <w:t xml:space="preserve">Nevertheless, it is to note that, the opportunities and benefits associated with peri-urban expansion is enormous, if adequately and effectively planned. It can decongest the city core and reduce urban housing demand problem, enhances urban quality of life, reduce urban pollution, traffic congestion and the loss of travel time among others. Angel et al., (2011) succinctly observed that, the challenge that lies ahead of all this, is to ensure that the available infrastructure and service provision in the peri-urban areas keeps pace with population influx. </w:t>
      </w:r>
    </w:p>
    <w:p w14:paraId="141A17D1" w14:textId="77777777" w:rsid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review thus, shows that, though the post-COVID. 19 shifts in housing preference are a global phenomenon, its trend and implications in the Osogbo real estate market landscape are conditioned or shaped by the unique local socio-economic and infrastructural realities of the locality.</w:t>
      </w:r>
    </w:p>
    <w:p w14:paraId="6014CE65" w14:textId="77777777" w:rsidR="0016089C" w:rsidRPr="00BE4AF3" w:rsidRDefault="0016089C" w:rsidP="0016089C">
      <w:pPr>
        <w:spacing w:after="0" w:line="240" w:lineRule="auto"/>
        <w:jc w:val="both"/>
        <w:rPr>
          <w:rFonts w:ascii="Times New Roman" w:hAnsi="Times New Roman" w:cs="Times New Roman"/>
          <w:sz w:val="24"/>
          <w:szCs w:val="24"/>
        </w:rPr>
      </w:pPr>
    </w:p>
    <w:p w14:paraId="48107B73" w14:textId="77777777" w:rsidR="00BE4AF3" w:rsidRPr="00BE4AF3" w:rsidRDefault="00BE4AF3" w:rsidP="0016089C">
      <w:pPr>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The Opportunity of Client Preferences from Osogbo’s Core to its Peri-urban Fringes</w:t>
      </w:r>
    </w:p>
    <w:p w14:paraId="3B5CD267" w14:textId="77777777" w:rsidR="00BE4AF3" w:rsidRP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recent wave in the shift in client preferences from Osogbo core area to the peri-urban zones created opportunities for the local economies, especially, the real estate sector. The improved infrastructure development, particularly, road infrastructure linking the peri-urban zones with the urban core has shrink commute times and de-risk development finance; the growth corridors now attract more retail clusters with improve market absorption for new real property development. Moreso, the principle of Osogbo Capital Territory Structure Plan is now better sustained than ever before, as the peri-urban shift is opening spaces for public-private partnerships and other value-capture tools as betterment charges, land use charge among others.</w:t>
      </w:r>
    </w:p>
    <w:p w14:paraId="73009B46" w14:textId="77777777" w:rsidR="00BE4AF3" w:rsidRP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alignment of development projects with standard, designated growth nodes help in the reduction of approval uncertainty. This documented clearer development control pathways for the peri-urban zones benefits developer, property owners and tenants/residents. Phased housing estate project and neighbourhood centers are now on the increase in the peri-urban areas of Abere, Oba Ile among others due to the strategically assembled land proximate to the planned corridors and growth nodes. All these is supporting Osogbo’s sustainable expansion while unlocking inclusive local employment.</w:t>
      </w:r>
    </w:p>
    <w:p w14:paraId="7951AECF" w14:textId="77777777" w:rsidR="00BE4AF3" w:rsidRP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Finally, land value appreciation, household formation and tenure formalization pressure are associated with peri-urbanization; hence, signaling an economic and social development regime with favourable market fundamental</w:t>
      </w:r>
    </w:p>
    <w:p w14:paraId="696AE2C7" w14:textId="77777777" w:rsidR="0016089C" w:rsidRDefault="0016089C" w:rsidP="00BE4AF3">
      <w:pPr>
        <w:spacing w:after="0"/>
        <w:rPr>
          <w:rFonts w:ascii="Times New Roman" w:hAnsi="Times New Roman" w:cs="Times New Roman"/>
          <w:b/>
          <w:bCs/>
          <w:sz w:val="24"/>
          <w:szCs w:val="24"/>
        </w:rPr>
      </w:pPr>
    </w:p>
    <w:p w14:paraId="4DAC2812" w14:textId="70257E4A" w:rsidR="00BE4AF3" w:rsidRPr="00BE4AF3" w:rsidRDefault="00BE4AF3" w:rsidP="0016089C">
      <w:pPr>
        <w:spacing w:after="0" w:line="240" w:lineRule="auto"/>
        <w:rPr>
          <w:rFonts w:ascii="Times New Roman" w:hAnsi="Times New Roman" w:cs="Times New Roman"/>
          <w:b/>
          <w:bCs/>
          <w:sz w:val="24"/>
          <w:szCs w:val="24"/>
        </w:rPr>
      </w:pPr>
      <w:r w:rsidRPr="00BE4AF3">
        <w:rPr>
          <w:rFonts w:ascii="Times New Roman" w:hAnsi="Times New Roman" w:cs="Times New Roman"/>
          <w:b/>
          <w:bCs/>
          <w:sz w:val="24"/>
          <w:szCs w:val="24"/>
        </w:rPr>
        <w:t>Materials and Methods</w:t>
      </w:r>
    </w:p>
    <w:p w14:paraId="608A1187" w14:textId="77777777" w:rsidR="00BE4AF3" w:rsidRPr="00BE4AF3" w:rsidRDefault="00BE4AF3" w:rsidP="0016089C">
      <w:pPr>
        <w:pStyle w:val="NormalWeb"/>
        <w:spacing w:before="0" w:beforeAutospacing="0" w:after="0" w:afterAutospacing="0"/>
        <w:jc w:val="both"/>
      </w:pPr>
      <w:r w:rsidRPr="00BE4AF3">
        <w:t>The study was conducted in Osogbo and its peri-urban neighbourhood. Osogbo is an emerging city and the capity of Osun state, located in southwest Nigeria. The study adopted a mixed method research approach infusing descriptive survey research design. The basis for the choice of a mixed-methods approach, is the fact that the method reinforces the depth and validity of research findings and allows for a comprehensive data analysis through the amalgamation of both quantitative data for generalization and in-depth understanding of the existing circumstances through qualitative intuitions without the manipulation of the research setting. The approach further allows the collection of both qualitative perceptions and quantitative data that could ease the description, interpretation, and evaluation of existing phenomena (Creswell, 2014).</w:t>
      </w:r>
    </w:p>
    <w:p w14:paraId="2BCF63D3" w14:textId="77777777" w:rsid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 The study population used for the research comprised of residents of Osogbo’s urban and peri-urban areas and property managers. The Cochran’s formula for sample size determination as used by Ankeli et al., (2025) was adopted for this study; hence, a sample of 200 respondents was selected through stratified random sampling to ensure representation across income groups. Furthermore, the study purposively selected respondents based on their roles as family or household heads and the determiner of where and where not to resides and 10 property managers managing/transacting in the locality as key informants for semi-structured interviews. The qualitative data collected from the field observations and oral interviews were thematically analyzed and triangulated which enhances the robustness of the interpretations (Ankeli 2023). </w:t>
      </w:r>
      <w:r w:rsidRPr="00BE4AF3">
        <w:rPr>
          <w:rFonts w:ascii="Times New Roman" w:hAnsi="Times New Roman" w:cs="Times New Roman"/>
          <w:sz w:val="24"/>
          <w:szCs w:val="24"/>
        </w:rPr>
        <w:lastRenderedPageBreak/>
        <w:t>That is, thematic data scrutiny that is iterative as the themes of the research were continuously refined with new data collection and analysis. The primary themes that were further assessed include the basic opportunities and challenges to livable peri-urban settlement. The responses obtained were recorded/transliterated and triangulated to allow for the collected quantitative and qualitative data harmonization. Data for the study were collected via a structured questionnaire assessing socio-demographics, reasons for relocation, perceived benefits, and challenges. Responses on the challenges to livable peri-urban settlements identified in literature were measured on a 5-point Likert scale with the cognitive proficiencies of the respondents’ tested via Relative Importance Index using 1 = Strongly Disagree to 5 = Strongly Agree metrics and appropriately ranked. To achieve this, the Relative Important Index formula used by Ankeli (2023) was adopted for this study:</w:t>
      </w:r>
    </w:p>
    <w:p w14:paraId="228037BF" w14:textId="77777777" w:rsidR="0016089C" w:rsidRPr="00BE4AF3" w:rsidRDefault="0016089C" w:rsidP="0016089C">
      <w:pPr>
        <w:spacing w:after="0" w:line="240" w:lineRule="auto"/>
        <w:jc w:val="both"/>
        <w:rPr>
          <w:rFonts w:ascii="Times New Roman" w:hAnsi="Times New Roman" w:cs="Times New Roman"/>
          <w:sz w:val="24"/>
          <w:szCs w:val="24"/>
        </w:rPr>
      </w:pPr>
    </w:p>
    <w:p w14:paraId="4E357230" w14:textId="77777777" w:rsidR="00BE4AF3" w:rsidRP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R.I.I = </w:t>
      </w:r>
      <m:oMath>
        <m:f>
          <m:fPr>
            <m:ctrlPr>
              <w:rPr>
                <w:rFonts w:ascii="Cambria Math" w:hAnsi="Cambria Math" w:cs="Times New Roman"/>
                <w:i/>
                <w:sz w:val="24"/>
                <w:szCs w:val="24"/>
              </w:rPr>
            </m:ctrlPr>
          </m:fPr>
          <m:num>
            <m:r>
              <m:rPr>
                <m:scr m:val="script"/>
              </m:rPr>
              <w:rPr>
                <w:rFonts w:ascii="Cambria Math" w:hAnsi="Cambria Math" w:cs="Times New Roman"/>
                <w:sz w:val="24"/>
                <w:szCs w:val="24"/>
              </w:rPr>
              <m:t>∑W</m:t>
            </m:r>
          </m:num>
          <m:den>
            <m:r>
              <w:rPr>
                <w:rFonts w:ascii="Cambria Math" w:hAnsi="Cambria Math" w:cs="Times New Roman"/>
                <w:sz w:val="24"/>
                <w:szCs w:val="24"/>
              </w:rPr>
              <m:t>A*N</m:t>
            </m:r>
          </m:den>
        </m:f>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 xml:space="preserve">5n5+4n4+3n3+2n2+1n1 </m:t>
            </m:r>
          </m:num>
          <m:den>
            <m:r>
              <w:rPr>
                <w:rFonts w:ascii="Cambria Math" w:hAnsi="Cambria Math" w:cs="Times New Roman"/>
                <w:sz w:val="24"/>
                <w:szCs w:val="24"/>
              </w:rPr>
              <m:t>5*N</m:t>
            </m:r>
          </m:den>
        </m:f>
      </m:oMath>
      <w:r w:rsidRPr="00BE4AF3">
        <w:rPr>
          <w:rFonts w:ascii="Times New Roman" w:hAnsi="Times New Roman" w:cs="Times New Roman"/>
          <w:sz w:val="24"/>
          <w:szCs w:val="24"/>
        </w:rPr>
        <w:t xml:space="preserve"> </w:t>
      </w:r>
      <w:r w:rsidRPr="00BE4AF3">
        <w:rPr>
          <w:rFonts w:ascii="Times New Roman" w:hAnsi="Times New Roman" w:cs="Times New Roman"/>
          <w:sz w:val="24"/>
          <w:szCs w:val="24"/>
        </w:rPr>
        <w:tab/>
      </w:r>
      <w:r w:rsidRPr="00BE4AF3">
        <w:rPr>
          <w:rFonts w:ascii="Times New Roman" w:hAnsi="Times New Roman" w:cs="Times New Roman"/>
          <w:sz w:val="24"/>
          <w:szCs w:val="24"/>
        </w:rPr>
        <w:tab/>
      </w:r>
      <w:r w:rsidRPr="00BE4AF3">
        <w:rPr>
          <w:rFonts w:ascii="Times New Roman" w:hAnsi="Times New Roman" w:cs="Times New Roman"/>
          <w:sz w:val="24"/>
          <w:szCs w:val="24"/>
        </w:rPr>
        <w:tab/>
      </w:r>
      <w:r w:rsidRPr="00BE4AF3">
        <w:rPr>
          <w:rFonts w:ascii="Times New Roman" w:hAnsi="Times New Roman" w:cs="Times New Roman"/>
          <w:sz w:val="24"/>
          <w:szCs w:val="24"/>
        </w:rPr>
        <w:tab/>
      </w:r>
      <w:r w:rsidRPr="00BE4AF3">
        <w:rPr>
          <w:rFonts w:ascii="Times New Roman" w:hAnsi="Times New Roman" w:cs="Times New Roman"/>
          <w:sz w:val="24"/>
          <w:szCs w:val="24"/>
        </w:rPr>
        <w:tab/>
        <w:t>(1)</w:t>
      </w:r>
    </w:p>
    <w:p w14:paraId="65FBADED" w14:textId="77777777" w:rsidR="0016089C" w:rsidRDefault="0016089C" w:rsidP="0016089C">
      <w:pPr>
        <w:spacing w:after="0" w:line="240" w:lineRule="auto"/>
        <w:jc w:val="both"/>
        <w:rPr>
          <w:rFonts w:ascii="Times New Roman" w:eastAsiaTheme="minorEastAsia" w:hAnsi="Times New Roman" w:cs="Times New Roman"/>
          <w:sz w:val="24"/>
          <w:szCs w:val="24"/>
        </w:rPr>
      </w:pPr>
    </w:p>
    <w:p w14:paraId="736A81C9" w14:textId="2BE75D86" w:rsidR="00BE4AF3" w:rsidRDefault="00BE4AF3" w:rsidP="0016089C">
      <w:pPr>
        <w:spacing w:after="0" w:line="240" w:lineRule="auto"/>
        <w:jc w:val="both"/>
        <w:rPr>
          <w:rFonts w:ascii="Times New Roman" w:hAnsi="Times New Roman" w:cs="Times New Roman"/>
          <w:sz w:val="24"/>
          <w:szCs w:val="24"/>
        </w:rPr>
      </w:pPr>
      <m:oMath>
        <m:r>
          <m:rPr>
            <m:scr m:val="script"/>
          </m:rPr>
          <w:rPr>
            <w:rFonts w:ascii="Cambria Math" w:hAnsi="Cambria Math" w:cs="Times New Roman"/>
            <w:sz w:val="24"/>
            <w:szCs w:val="24"/>
          </w:rPr>
          <m:t>W</m:t>
        </m:r>
      </m:oMath>
      <w:r w:rsidRPr="00BE4AF3">
        <w:rPr>
          <w:rFonts w:ascii="Times New Roman" w:hAnsi="Times New Roman" w:cs="Times New Roman"/>
          <w:sz w:val="24"/>
          <w:szCs w:val="24"/>
        </w:rPr>
        <w:t xml:space="preserve"> = the weight given to each respondents’ statement ranges from 1 to 5. A = the highest response integer (5), n5 = strongly agreed, n4 = agreed, n3= uncertain, n2 = disagreed and n1 = strongly disagreed. The Cochran’s formula adopted by Ankeli et al., (2025) was equally adopted and used for the study with a finite population size and a 95% confidence level with a margin of error of 5%; hence, the sample size was determined as thus:</w:t>
      </w:r>
    </w:p>
    <w:p w14:paraId="20FAE34C" w14:textId="77777777" w:rsidR="0016089C" w:rsidRPr="00BE4AF3" w:rsidRDefault="0016089C" w:rsidP="0016089C">
      <w:pPr>
        <w:spacing w:after="0" w:line="240" w:lineRule="auto"/>
        <w:jc w:val="both"/>
        <w:rPr>
          <w:rFonts w:ascii="Times New Roman" w:hAnsi="Times New Roman" w:cs="Times New Roman"/>
          <w:sz w:val="24"/>
          <w:szCs w:val="24"/>
        </w:rPr>
      </w:pPr>
    </w:p>
    <w:p w14:paraId="580200DE" w14:textId="77777777" w:rsidR="00BE4AF3" w:rsidRPr="00BE4AF3" w:rsidRDefault="00BE4AF3" w:rsidP="0016089C">
      <w:pPr>
        <w:pStyle w:val="NormalWeb"/>
        <w:spacing w:before="0" w:beforeAutospacing="0" w:after="0" w:afterAutospacing="0"/>
        <w:ind w:firstLine="720"/>
        <w:rPr>
          <w:b/>
          <w:bCs/>
        </w:rPr>
      </w:pPr>
      <w:r w:rsidRPr="00BE4AF3">
        <w:rPr>
          <w:b/>
          <w:bCs/>
        </w:rPr>
        <w:t xml:space="preserve">  </w:t>
      </w:r>
      <m:oMath>
        <m:r>
          <m:rPr>
            <m:sty m:val="b"/>
          </m:rPr>
          <w:rPr>
            <w:rFonts w:ascii="Cambria Math" w:hAnsi="Cambria Math"/>
          </w:rPr>
          <m:t>n₀</m:t>
        </m:r>
        <m:r>
          <m:rPr>
            <m:sty m:val="bi"/>
          </m:rPr>
          <w:rPr>
            <w:rFonts w:ascii="Cambria Math" w:hAnsi="Cambria Math"/>
          </w:rPr>
          <m:t>=</m:t>
        </m:r>
        <m:f>
          <m:fPr>
            <m:ctrlPr>
              <w:rPr>
                <w:rFonts w:ascii="Cambria Math" w:hAnsi="Cambria Math"/>
                <w:b/>
                <w:bCs/>
                <w:i/>
              </w:rPr>
            </m:ctrlPr>
          </m:fPr>
          <m:num>
            <m:r>
              <m:rPr>
                <m:sty m:val="b"/>
              </m:rPr>
              <w:rPr>
                <w:rFonts w:ascii="Cambria Math" w:hAnsi="Cambria Math"/>
              </w:rPr>
              <m:t xml:space="preserve"> Z²pq</m:t>
            </m:r>
          </m:num>
          <m:den>
            <m:r>
              <m:rPr>
                <m:sty m:val="b"/>
              </m:rPr>
              <w:rPr>
                <w:rFonts w:ascii="Cambria Math" w:hAnsi="Cambria Math"/>
              </w:rPr>
              <m:t>e²</m:t>
            </m:r>
          </m:den>
        </m:f>
      </m:oMath>
      <w:r w:rsidRPr="00BE4AF3">
        <w:rPr>
          <w:b/>
          <w:bCs/>
        </w:rPr>
        <w:t xml:space="preserve">  </w:t>
      </w:r>
      <w:r w:rsidRPr="00BE4AF3">
        <w:rPr>
          <w:b/>
          <w:bCs/>
        </w:rPr>
        <w:tab/>
      </w:r>
      <w:r w:rsidRPr="00BE4AF3">
        <w:rPr>
          <w:b/>
          <w:bCs/>
        </w:rPr>
        <w:tab/>
      </w:r>
      <w:r w:rsidRPr="00BE4AF3">
        <w:rPr>
          <w:b/>
          <w:bCs/>
        </w:rPr>
        <w:tab/>
      </w:r>
      <w:r w:rsidRPr="00BE4AF3">
        <w:rPr>
          <w:b/>
          <w:bCs/>
        </w:rPr>
        <w:tab/>
      </w:r>
      <w:r w:rsidRPr="00BE4AF3">
        <w:rPr>
          <w:b/>
          <w:bCs/>
        </w:rPr>
        <w:tab/>
      </w:r>
      <w:r w:rsidRPr="00BE4AF3">
        <w:rPr>
          <w:b/>
          <w:bCs/>
        </w:rPr>
        <w:tab/>
      </w:r>
      <w:r w:rsidRPr="00BE4AF3">
        <w:rPr>
          <w:b/>
          <w:bCs/>
        </w:rPr>
        <w:tab/>
        <w:t>(2)</w:t>
      </w:r>
    </w:p>
    <w:p w14:paraId="5FE8206F" w14:textId="77777777" w:rsidR="00BE4AF3" w:rsidRPr="00BE4AF3" w:rsidRDefault="00BE4AF3" w:rsidP="0016089C">
      <w:pPr>
        <w:pStyle w:val="NormalWeb"/>
        <w:spacing w:before="0" w:beforeAutospacing="0" w:after="0" w:afterAutospacing="0"/>
        <w:ind w:firstLine="720"/>
        <w:rPr>
          <w:b/>
          <w:bCs/>
        </w:rPr>
      </w:pPr>
      <w:r w:rsidRPr="00BE4AF3">
        <w:rPr>
          <w:b/>
          <w:bCs/>
        </w:rPr>
        <w:t>n = n</w:t>
      </w:r>
      <w:r w:rsidRPr="00BE4AF3">
        <w:rPr>
          <w:rFonts w:ascii="Cambria Math" w:hAnsi="Cambria Math" w:cs="Cambria Math"/>
          <w:b/>
          <w:bCs/>
        </w:rPr>
        <w:t>₀</w:t>
      </w:r>
      <w:r w:rsidRPr="00BE4AF3">
        <w:rPr>
          <w:b/>
          <w:bCs/>
        </w:rPr>
        <w:t xml:space="preserve"> / (1 + (n</w:t>
      </w:r>
      <w:r w:rsidRPr="00BE4AF3">
        <w:rPr>
          <w:rFonts w:ascii="Cambria Math" w:hAnsi="Cambria Math" w:cs="Cambria Math"/>
          <w:b/>
          <w:bCs/>
        </w:rPr>
        <w:t>₀</w:t>
      </w:r>
      <w:r w:rsidRPr="00BE4AF3">
        <w:rPr>
          <w:b/>
          <w:bCs/>
        </w:rPr>
        <w:t xml:space="preserve"> – 1)/N)</w:t>
      </w:r>
      <w:r w:rsidRPr="00BE4AF3">
        <w:rPr>
          <w:b/>
          <w:bCs/>
        </w:rPr>
        <w:tab/>
      </w:r>
      <w:r w:rsidRPr="00BE4AF3">
        <w:rPr>
          <w:b/>
          <w:bCs/>
        </w:rPr>
        <w:tab/>
      </w:r>
      <w:r w:rsidRPr="00BE4AF3">
        <w:rPr>
          <w:b/>
          <w:bCs/>
        </w:rPr>
        <w:tab/>
      </w:r>
      <w:r w:rsidRPr="00BE4AF3">
        <w:rPr>
          <w:b/>
          <w:bCs/>
        </w:rPr>
        <w:tab/>
      </w:r>
      <w:r w:rsidRPr="00BE4AF3">
        <w:rPr>
          <w:b/>
          <w:bCs/>
        </w:rPr>
        <w:tab/>
        <w:t>(3)</w:t>
      </w:r>
    </w:p>
    <w:p w14:paraId="67312FB8" w14:textId="77777777" w:rsidR="00BE4AF3" w:rsidRPr="00BE4AF3" w:rsidRDefault="00BE4AF3" w:rsidP="0016089C">
      <w:pPr>
        <w:pStyle w:val="NormalWeb"/>
        <w:spacing w:before="0" w:beforeAutospacing="0" w:after="0" w:afterAutospacing="0"/>
      </w:pPr>
      <w:r w:rsidRPr="00BE4AF3">
        <w:t>Where:</w:t>
      </w:r>
      <w:r w:rsidRPr="00BE4AF3">
        <w:br/>
        <w:t>Z = 1.96 (standard normal deviate for 95% confidence)</w:t>
      </w:r>
      <w:r w:rsidRPr="00BE4AF3">
        <w:br/>
        <w:t>p = 0.5 (assumed population proportion)</w:t>
      </w:r>
      <w:r w:rsidRPr="00BE4AF3">
        <w:br/>
        <w:t>q = 1 – p = 0.5</w:t>
      </w:r>
      <w:r w:rsidRPr="00BE4AF3">
        <w:br/>
        <w:t>e = 0.05 (margin of error)</w:t>
      </w:r>
      <w:r w:rsidRPr="00BE4AF3">
        <w:br/>
        <w:t>N = 2000 (total population)</w:t>
      </w:r>
    </w:p>
    <w:p w14:paraId="04600D0E" w14:textId="77777777" w:rsidR="0016089C" w:rsidRDefault="0016089C" w:rsidP="0016089C">
      <w:pPr>
        <w:spacing w:after="0" w:line="240" w:lineRule="auto"/>
        <w:jc w:val="both"/>
        <w:rPr>
          <w:rFonts w:ascii="Times New Roman" w:hAnsi="Times New Roman" w:cs="Times New Roman"/>
          <w:sz w:val="24"/>
          <w:szCs w:val="24"/>
        </w:rPr>
      </w:pPr>
    </w:p>
    <w:p w14:paraId="6500872C" w14:textId="53EE9F3F" w:rsid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descriptive statistics adopted for the analysis of the collected quantitative data include the use of mean and standard deviation computations, ANOVA, Post Hoc and Chi-square testing with significant level set at p &lt; 0.05. The outcome of the tests is presented in Tables below. </w:t>
      </w:r>
    </w:p>
    <w:p w14:paraId="2A6E4239" w14:textId="77777777" w:rsidR="0016089C" w:rsidRPr="00BE4AF3" w:rsidRDefault="0016089C" w:rsidP="0016089C">
      <w:pPr>
        <w:spacing w:after="0" w:line="240" w:lineRule="auto"/>
        <w:jc w:val="both"/>
        <w:rPr>
          <w:rFonts w:ascii="Times New Roman" w:hAnsi="Times New Roman" w:cs="Times New Roman"/>
          <w:sz w:val="24"/>
          <w:szCs w:val="24"/>
        </w:rPr>
      </w:pPr>
    </w:p>
    <w:p w14:paraId="604EA150" w14:textId="77777777" w:rsidR="00BE4AF3" w:rsidRPr="00BE4AF3" w:rsidRDefault="00BE4AF3" w:rsidP="0016089C">
      <w:pPr>
        <w:autoSpaceDE w:val="0"/>
        <w:autoSpaceDN w:val="0"/>
        <w:adjustRightInd w:val="0"/>
        <w:spacing w:after="0" w:line="240" w:lineRule="auto"/>
        <w:jc w:val="both"/>
        <w:rPr>
          <w:rFonts w:ascii="Times New Roman" w:hAnsi="Times New Roman" w:cs="Times New Roman"/>
          <w:b/>
          <w:bCs/>
          <w:sz w:val="24"/>
          <w:szCs w:val="24"/>
        </w:rPr>
      </w:pPr>
      <w:r w:rsidRPr="00BE4AF3">
        <w:rPr>
          <w:rFonts w:ascii="Times New Roman" w:hAnsi="Times New Roman" w:cs="Times New Roman"/>
          <w:b/>
          <w:bCs/>
          <w:sz w:val="24"/>
          <w:szCs w:val="24"/>
        </w:rPr>
        <w:t xml:space="preserve"> Results and Discussion of Findings</w:t>
      </w:r>
    </w:p>
    <w:p w14:paraId="438F5D58" w14:textId="77777777" w:rsidR="00BE4AF3" w:rsidRDefault="00BE4AF3" w:rsidP="0016089C">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results of the research findings from the occupants of the peri-urban settlements are presented in this section. The analyzed data explored the reasons for the shift in client’s preference and their income levels. Findings from both quantitative and qualitative data collected are presented and interpreted in line with the existing literature.</w:t>
      </w:r>
    </w:p>
    <w:p w14:paraId="15C741B3" w14:textId="77777777" w:rsidR="0016089C" w:rsidRPr="00BE4AF3" w:rsidRDefault="0016089C" w:rsidP="0016089C">
      <w:pPr>
        <w:autoSpaceDE w:val="0"/>
        <w:autoSpaceDN w:val="0"/>
        <w:adjustRightInd w:val="0"/>
        <w:spacing w:after="0" w:line="240" w:lineRule="auto"/>
        <w:jc w:val="both"/>
        <w:rPr>
          <w:rFonts w:ascii="Times New Roman" w:hAnsi="Times New Roman" w:cs="Times New Roman"/>
          <w:sz w:val="24"/>
          <w:szCs w:val="24"/>
        </w:rPr>
      </w:pPr>
    </w:p>
    <w:p w14:paraId="6DFCC64B" w14:textId="77777777" w:rsidR="00BE4AF3" w:rsidRPr="00BE4AF3" w:rsidRDefault="00BE4AF3" w:rsidP="0016089C">
      <w:pPr>
        <w:pStyle w:val="NormalWeb"/>
        <w:spacing w:before="0" w:beforeAutospacing="0" w:after="0" w:afterAutospacing="0"/>
        <w:rPr>
          <w:b/>
          <w:bCs/>
          <w:i/>
          <w:iCs/>
        </w:rPr>
      </w:pPr>
      <w:r w:rsidRPr="00BE4AF3">
        <w:rPr>
          <w:b/>
          <w:bCs/>
          <w:i/>
          <w:iCs/>
        </w:rPr>
        <w:t>Demographic Profile of Respondents</w:t>
      </w:r>
    </w:p>
    <w:p w14:paraId="15501679" w14:textId="77777777" w:rsidR="00BE4AF3" w:rsidRDefault="00BE4AF3" w:rsidP="0016089C">
      <w:pPr>
        <w:pStyle w:val="NormalWeb"/>
        <w:spacing w:before="0" w:beforeAutospacing="0" w:after="0" w:afterAutospacing="0"/>
        <w:jc w:val="both"/>
      </w:pPr>
      <w:r w:rsidRPr="00BE4AF3">
        <w:t>The demographic profile of the respondents for the study is presented in Table 1. the Table revealed that out of the 215 questionnaires administered, only 200 was adequately filled and returned for analysis representing 93% response rate. The demographic summary is presented in Table 1</w:t>
      </w:r>
    </w:p>
    <w:p w14:paraId="0AEB70BC" w14:textId="77777777" w:rsidR="0016089C" w:rsidRDefault="0016089C" w:rsidP="0016089C">
      <w:pPr>
        <w:pStyle w:val="NormalWeb"/>
        <w:spacing w:before="0" w:beforeAutospacing="0" w:after="0" w:afterAutospacing="0"/>
        <w:jc w:val="both"/>
      </w:pPr>
    </w:p>
    <w:p w14:paraId="00B0B933" w14:textId="77777777" w:rsidR="0016089C" w:rsidRDefault="0016089C" w:rsidP="0016089C">
      <w:pPr>
        <w:pStyle w:val="NormalWeb"/>
        <w:spacing w:before="0" w:beforeAutospacing="0" w:after="0" w:afterAutospacing="0"/>
        <w:jc w:val="both"/>
      </w:pPr>
    </w:p>
    <w:p w14:paraId="7E396F2A" w14:textId="77777777" w:rsidR="0016089C" w:rsidRDefault="0016089C" w:rsidP="0016089C">
      <w:pPr>
        <w:pStyle w:val="NormalWeb"/>
        <w:spacing w:before="0" w:beforeAutospacing="0" w:after="0" w:afterAutospacing="0"/>
        <w:jc w:val="both"/>
      </w:pPr>
    </w:p>
    <w:p w14:paraId="23210190" w14:textId="77777777" w:rsidR="0016089C" w:rsidRDefault="0016089C" w:rsidP="0016089C">
      <w:pPr>
        <w:pStyle w:val="NormalWeb"/>
        <w:spacing w:before="0" w:beforeAutospacing="0" w:after="0" w:afterAutospacing="0"/>
        <w:jc w:val="both"/>
      </w:pPr>
    </w:p>
    <w:p w14:paraId="426781AC" w14:textId="77777777" w:rsidR="0016089C" w:rsidRPr="00BE4AF3" w:rsidRDefault="0016089C" w:rsidP="0016089C">
      <w:pPr>
        <w:pStyle w:val="NormalWeb"/>
        <w:spacing w:before="0" w:beforeAutospacing="0" w:after="0" w:afterAutospacing="0"/>
        <w:jc w:val="both"/>
      </w:pPr>
    </w:p>
    <w:p w14:paraId="3C7AD0BC" w14:textId="77777777" w:rsidR="00BE4AF3" w:rsidRPr="0016089C" w:rsidRDefault="00BE4AF3" w:rsidP="0038623D">
      <w:pPr>
        <w:pStyle w:val="NormalWeb"/>
        <w:spacing w:before="0" w:beforeAutospacing="0" w:after="0" w:afterAutospacing="0"/>
        <w:jc w:val="center"/>
      </w:pPr>
      <w:r w:rsidRPr="0016089C">
        <w:rPr>
          <w:b/>
          <w:bCs/>
        </w:rPr>
        <w:lastRenderedPageBreak/>
        <w:t>Table 1:</w:t>
      </w:r>
      <w:r w:rsidRPr="0016089C">
        <w:t xml:space="preserve"> Demographic Profile of Respondents</w:t>
      </w:r>
    </w:p>
    <w:tbl>
      <w:tblPr>
        <w:tblStyle w:val="TableGrid"/>
        <w:tblW w:w="0" w:type="auto"/>
        <w:jc w:val="center"/>
        <w:tblLook w:val="04A0" w:firstRow="1" w:lastRow="0" w:firstColumn="1" w:lastColumn="0" w:noHBand="0" w:noVBand="1"/>
      </w:tblPr>
      <w:tblGrid>
        <w:gridCol w:w="2977"/>
        <w:gridCol w:w="992"/>
        <w:gridCol w:w="1418"/>
        <w:gridCol w:w="1092"/>
        <w:gridCol w:w="1423"/>
      </w:tblGrid>
      <w:tr w:rsidR="00BE4AF3" w:rsidRPr="0016089C" w14:paraId="0A6E4C0A" w14:textId="77777777" w:rsidTr="0016089C">
        <w:trPr>
          <w:jc w:val="center"/>
        </w:trPr>
        <w:tc>
          <w:tcPr>
            <w:tcW w:w="2977" w:type="dxa"/>
            <w:tcBorders>
              <w:left w:val="nil"/>
              <w:right w:val="nil"/>
            </w:tcBorders>
          </w:tcPr>
          <w:p w14:paraId="4EA69FA7" w14:textId="77777777" w:rsidR="00BE4AF3" w:rsidRPr="0016089C" w:rsidRDefault="00BE4AF3" w:rsidP="0016089C">
            <w:pPr>
              <w:pStyle w:val="NormalWeb"/>
              <w:spacing w:before="0" w:beforeAutospacing="0" w:after="0" w:afterAutospacing="0"/>
              <w:rPr>
                <w:sz w:val="20"/>
                <w:szCs w:val="20"/>
              </w:rPr>
            </w:pPr>
            <w:r w:rsidRPr="0016089C">
              <w:rPr>
                <w:rFonts w:eastAsia="SimSun"/>
                <w:sz w:val="20"/>
                <w:szCs w:val="20"/>
              </w:rPr>
              <w:t>Variables</w:t>
            </w:r>
          </w:p>
        </w:tc>
        <w:tc>
          <w:tcPr>
            <w:tcW w:w="2410" w:type="dxa"/>
            <w:gridSpan w:val="2"/>
            <w:tcBorders>
              <w:left w:val="nil"/>
              <w:right w:val="nil"/>
            </w:tcBorders>
          </w:tcPr>
          <w:p w14:paraId="69479DF6"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frequency</w:t>
            </w:r>
          </w:p>
        </w:tc>
        <w:tc>
          <w:tcPr>
            <w:tcW w:w="2515" w:type="dxa"/>
            <w:gridSpan w:val="2"/>
            <w:tcBorders>
              <w:left w:val="nil"/>
              <w:right w:val="nil"/>
            </w:tcBorders>
          </w:tcPr>
          <w:p w14:paraId="7B83CD77"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 Rate</w:t>
            </w:r>
          </w:p>
        </w:tc>
      </w:tr>
      <w:tr w:rsidR="00BE4AF3" w:rsidRPr="0016089C" w14:paraId="69CC1F0C" w14:textId="77777777" w:rsidTr="0016089C">
        <w:trPr>
          <w:jc w:val="center"/>
        </w:trPr>
        <w:tc>
          <w:tcPr>
            <w:tcW w:w="2977" w:type="dxa"/>
            <w:tcBorders>
              <w:left w:val="nil"/>
              <w:bottom w:val="nil"/>
              <w:right w:val="nil"/>
            </w:tcBorders>
          </w:tcPr>
          <w:p w14:paraId="4467CE36" w14:textId="77777777" w:rsidR="00BE4AF3" w:rsidRPr="0016089C" w:rsidRDefault="00BE4AF3" w:rsidP="0016089C">
            <w:pPr>
              <w:pStyle w:val="NormalWeb"/>
              <w:spacing w:before="0" w:beforeAutospacing="0" w:after="0" w:afterAutospacing="0"/>
              <w:rPr>
                <w:sz w:val="20"/>
                <w:szCs w:val="20"/>
              </w:rPr>
            </w:pPr>
            <w:r w:rsidRPr="0016089C">
              <w:rPr>
                <w:rFonts w:eastAsia="SimSun"/>
                <w:b/>
                <w:bCs/>
                <w:sz w:val="20"/>
                <w:szCs w:val="20"/>
              </w:rPr>
              <w:t>Gender</w:t>
            </w:r>
          </w:p>
        </w:tc>
        <w:tc>
          <w:tcPr>
            <w:tcW w:w="992" w:type="dxa"/>
            <w:tcBorders>
              <w:left w:val="nil"/>
              <w:bottom w:val="nil"/>
              <w:right w:val="nil"/>
            </w:tcBorders>
          </w:tcPr>
          <w:p w14:paraId="5D5EB865" w14:textId="77777777" w:rsidR="00BE4AF3" w:rsidRPr="0016089C" w:rsidRDefault="00BE4AF3" w:rsidP="0016089C">
            <w:pPr>
              <w:pStyle w:val="NormalWeb"/>
              <w:spacing w:before="0" w:beforeAutospacing="0" w:after="0" w:afterAutospacing="0"/>
              <w:jc w:val="center"/>
              <w:rPr>
                <w:i/>
                <w:iCs/>
                <w:sz w:val="20"/>
                <w:szCs w:val="20"/>
              </w:rPr>
            </w:pPr>
            <w:r w:rsidRPr="0016089C">
              <w:rPr>
                <w:rFonts w:eastAsia="SimSun"/>
                <w:i/>
                <w:iCs/>
                <w:sz w:val="20"/>
                <w:szCs w:val="20"/>
              </w:rPr>
              <w:t>Urban</w:t>
            </w:r>
          </w:p>
        </w:tc>
        <w:tc>
          <w:tcPr>
            <w:tcW w:w="1418" w:type="dxa"/>
            <w:tcBorders>
              <w:left w:val="nil"/>
              <w:bottom w:val="nil"/>
              <w:right w:val="nil"/>
            </w:tcBorders>
          </w:tcPr>
          <w:p w14:paraId="15D4DF2C" w14:textId="77777777" w:rsidR="00BE4AF3" w:rsidRPr="0016089C" w:rsidRDefault="00BE4AF3" w:rsidP="0016089C">
            <w:pPr>
              <w:pStyle w:val="NormalWeb"/>
              <w:spacing w:before="0" w:beforeAutospacing="0" w:after="0" w:afterAutospacing="0"/>
              <w:jc w:val="center"/>
              <w:rPr>
                <w:i/>
                <w:iCs/>
                <w:sz w:val="20"/>
                <w:szCs w:val="20"/>
              </w:rPr>
            </w:pPr>
            <w:r w:rsidRPr="0016089C">
              <w:rPr>
                <w:rFonts w:eastAsia="SimSun"/>
                <w:i/>
                <w:iCs/>
                <w:sz w:val="20"/>
                <w:szCs w:val="20"/>
              </w:rPr>
              <w:t>Peri-urban</w:t>
            </w:r>
          </w:p>
        </w:tc>
        <w:tc>
          <w:tcPr>
            <w:tcW w:w="1092" w:type="dxa"/>
            <w:tcBorders>
              <w:left w:val="nil"/>
              <w:bottom w:val="nil"/>
              <w:right w:val="nil"/>
            </w:tcBorders>
          </w:tcPr>
          <w:p w14:paraId="228264B7" w14:textId="77777777" w:rsidR="00BE4AF3" w:rsidRPr="0016089C" w:rsidRDefault="00BE4AF3" w:rsidP="0016089C">
            <w:pPr>
              <w:pStyle w:val="NormalWeb"/>
              <w:spacing w:before="0" w:beforeAutospacing="0" w:after="0" w:afterAutospacing="0"/>
              <w:jc w:val="center"/>
              <w:rPr>
                <w:i/>
                <w:iCs/>
                <w:sz w:val="20"/>
                <w:szCs w:val="20"/>
              </w:rPr>
            </w:pPr>
            <w:r w:rsidRPr="0016089C">
              <w:rPr>
                <w:rFonts w:eastAsia="SimSun"/>
                <w:i/>
                <w:iCs/>
                <w:sz w:val="20"/>
                <w:szCs w:val="20"/>
              </w:rPr>
              <w:t>Total</w:t>
            </w:r>
          </w:p>
        </w:tc>
        <w:tc>
          <w:tcPr>
            <w:tcW w:w="1423" w:type="dxa"/>
            <w:tcBorders>
              <w:left w:val="nil"/>
              <w:bottom w:val="nil"/>
              <w:right w:val="nil"/>
            </w:tcBorders>
          </w:tcPr>
          <w:p w14:paraId="7F5E9020" w14:textId="77777777" w:rsidR="00BE4AF3" w:rsidRPr="0016089C" w:rsidRDefault="00BE4AF3" w:rsidP="0016089C">
            <w:pPr>
              <w:pStyle w:val="NormalWeb"/>
              <w:spacing w:before="0" w:beforeAutospacing="0" w:after="0" w:afterAutospacing="0"/>
              <w:jc w:val="center"/>
              <w:rPr>
                <w:i/>
                <w:iCs/>
                <w:sz w:val="20"/>
                <w:szCs w:val="20"/>
              </w:rPr>
            </w:pPr>
            <w:r w:rsidRPr="0016089C">
              <w:rPr>
                <w:rFonts w:eastAsia="SimSun"/>
                <w:i/>
                <w:iCs/>
                <w:sz w:val="20"/>
                <w:szCs w:val="20"/>
              </w:rPr>
              <w:t>%Rate</w:t>
            </w:r>
          </w:p>
        </w:tc>
      </w:tr>
      <w:tr w:rsidR="00BE4AF3" w:rsidRPr="0016089C" w14:paraId="79CACC66" w14:textId="77777777" w:rsidTr="0016089C">
        <w:trPr>
          <w:jc w:val="center"/>
        </w:trPr>
        <w:tc>
          <w:tcPr>
            <w:tcW w:w="2977" w:type="dxa"/>
            <w:tcBorders>
              <w:top w:val="nil"/>
              <w:left w:val="nil"/>
              <w:bottom w:val="nil"/>
              <w:right w:val="nil"/>
            </w:tcBorders>
          </w:tcPr>
          <w:p w14:paraId="56D00046" w14:textId="77777777" w:rsidR="00BE4AF3" w:rsidRPr="0016089C" w:rsidRDefault="00BE4AF3" w:rsidP="0016089C">
            <w:pPr>
              <w:pStyle w:val="NormalWeb"/>
              <w:spacing w:before="0" w:beforeAutospacing="0" w:after="0" w:afterAutospacing="0"/>
              <w:rPr>
                <w:sz w:val="20"/>
                <w:szCs w:val="20"/>
              </w:rPr>
            </w:pPr>
            <w:r w:rsidRPr="0016089C">
              <w:rPr>
                <w:rFonts w:eastAsia="SimSun"/>
                <w:sz w:val="20"/>
                <w:szCs w:val="20"/>
              </w:rPr>
              <w:t>Male</w:t>
            </w:r>
          </w:p>
        </w:tc>
        <w:tc>
          <w:tcPr>
            <w:tcW w:w="992" w:type="dxa"/>
            <w:tcBorders>
              <w:top w:val="nil"/>
              <w:left w:val="nil"/>
              <w:bottom w:val="nil"/>
              <w:right w:val="nil"/>
            </w:tcBorders>
            <w:shd w:val="clear" w:color="auto" w:fill="auto"/>
          </w:tcPr>
          <w:p w14:paraId="04A7735F"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93</w:t>
            </w:r>
          </w:p>
        </w:tc>
        <w:tc>
          <w:tcPr>
            <w:tcW w:w="1418" w:type="dxa"/>
            <w:tcBorders>
              <w:top w:val="nil"/>
              <w:left w:val="nil"/>
              <w:bottom w:val="nil"/>
              <w:right w:val="nil"/>
            </w:tcBorders>
            <w:shd w:val="clear" w:color="auto" w:fill="auto"/>
          </w:tcPr>
          <w:p w14:paraId="2701B33E"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92</w:t>
            </w:r>
          </w:p>
        </w:tc>
        <w:tc>
          <w:tcPr>
            <w:tcW w:w="1092" w:type="dxa"/>
            <w:tcBorders>
              <w:top w:val="nil"/>
              <w:left w:val="nil"/>
              <w:bottom w:val="nil"/>
              <w:right w:val="nil"/>
            </w:tcBorders>
            <w:shd w:val="clear" w:color="auto" w:fill="auto"/>
          </w:tcPr>
          <w:p w14:paraId="0746200D"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185</w:t>
            </w:r>
          </w:p>
        </w:tc>
        <w:tc>
          <w:tcPr>
            <w:tcW w:w="1423" w:type="dxa"/>
            <w:tcBorders>
              <w:top w:val="nil"/>
              <w:left w:val="nil"/>
              <w:bottom w:val="nil"/>
              <w:right w:val="nil"/>
            </w:tcBorders>
            <w:shd w:val="clear" w:color="auto" w:fill="auto"/>
          </w:tcPr>
          <w:p w14:paraId="284853FD"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92.5</w:t>
            </w:r>
          </w:p>
        </w:tc>
      </w:tr>
      <w:tr w:rsidR="00BE4AF3" w:rsidRPr="0016089C" w14:paraId="37393504" w14:textId="77777777" w:rsidTr="0016089C">
        <w:trPr>
          <w:jc w:val="center"/>
        </w:trPr>
        <w:tc>
          <w:tcPr>
            <w:tcW w:w="2977" w:type="dxa"/>
            <w:tcBorders>
              <w:top w:val="nil"/>
              <w:left w:val="nil"/>
              <w:bottom w:val="single" w:sz="4" w:space="0" w:color="auto"/>
              <w:right w:val="nil"/>
            </w:tcBorders>
          </w:tcPr>
          <w:p w14:paraId="74106DCC" w14:textId="77777777" w:rsidR="00BE4AF3" w:rsidRPr="0016089C" w:rsidRDefault="00BE4AF3" w:rsidP="0016089C">
            <w:pPr>
              <w:pStyle w:val="NormalWeb"/>
              <w:spacing w:before="0" w:beforeAutospacing="0" w:after="0" w:afterAutospacing="0"/>
              <w:rPr>
                <w:sz w:val="20"/>
                <w:szCs w:val="20"/>
              </w:rPr>
            </w:pPr>
            <w:r w:rsidRPr="0016089C">
              <w:rPr>
                <w:rFonts w:eastAsia="SimSun"/>
                <w:sz w:val="20"/>
                <w:szCs w:val="20"/>
              </w:rPr>
              <w:t>Female</w:t>
            </w:r>
          </w:p>
        </w:tc>
        <w:tc>
          <w:tcPr>
            <w:tcW w:w="992" w:type="dxa"/>
            <w:tcBorders>
              <w:top w:val="nil"/>
              <w:left w:val="nil"/>
              <w:right w:val="nil"/>
            </w:tcBorders>
          </w:tcPr>
          <w:p w14:paraId="355117FB"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6</w:t>
            </w:r>
          </w:p>
        </w:tc>
        <w:tc>
          <w:tcPr>
            <w:tcW w:w="1418" w:type="dxa"/>
            <w:tcBorders>
              <w:top w:val="nil"/>
              <w:left w:val="nil"/>
              <w:bottom w:val="single" w:sz="4" w:space="0" w:color="auto"/>
              <w:right w:val="nil"/>
            </w:tcBorders>
          </w:tcPr>
          <w:p w14:paraId="0311CF2E"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9</w:t>
            </w:r>
          </w:p>
        </w:tc>
        <w:tc>
          <w:tcPr>
            <w:tcW w:w="1092" w:type="dxa"/>
            <w:tcBorders>
              <w:top w:val="nil"/>
              <w:left w:val="nil"/>
              <w:bottom w:val="single" w:sz="4" w:space="0" w:color="auto"/>
              <w:right w:val="nil"/>
            </w:tcBorders>
          </w:tcPr>
          <w:p w14:paraId="5D45C6C4"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15</w:t>
            </w:r>
          </w:p>
        </w:tc>
        <w:tc>
          <w:tcPr>
            <w:tcW w:w="1423" w:type="dxa"/>
            <w:tcBorders>
              <w:top w:val="nil"/>
              <w:left w:val="nil"/>
              <w:bottom w:val="single" w:sz="4" w:space="0" w:color="auto"/>
              <w:right w:val="nil"/>
            </w:tcBorders>
          </w:tcPr>
          <w:p w14:paraId="58E729BE"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7.5</w:t>
            </w:r>
          </w:p>
        </w:tc>
      </w:tr>
      <w:tr w:rsidR="00BE4AF3" w:rsidRPr="0016089C" w14:paraId="6A8986F5" w14:textId="77777777" w:rsidTr="0016089C">
        <w:trPr>
          <w:jc w:val="center"/>
        </w:trPr>
        <w:tc>
          <w:tcPr>
            <w:tcW w:w="2977" w:type="dxa"/>
            <w:tcBorders>
              <w:top w:val="single" w:sz="4" w:space="0" w:color="auto"/>
              <w:left w:val="nil"/>
              <w:right w:val="nil"/>
            </w:tcBorders>
          </w:tcPr>
          <w:p w14:paraId="28B3AFE0" w14:textId="77777777" w:rsidR="00BE4AF3" w:rsidRPr="0016089C" w:rsidRDefault="00BE4AF3" w:rsidP="0016089C">
            <w:pPr>
              <w:pStyle w:val="NormalWeb"/>
              <w:spacing w:before="0" w:beforeAutospacing="0" w:after="0" w:afterAutospacing="0"/>
              <w:rPr>
                <w:sz w:val="20"/>
                <w:szCs w:val="20"/>
              </w:rPr>
            </w:pPr>
            <w:r w:rsidRPr="0016089C">
              <w:rPr>
                <w:rFonts w:eastAsia="SimSun"/>
                <w:sz w:val="20"/>
                <w:szCs w:val="20"/>
              </w:rPr>
              <w:t>Total</w:t>
            </w:r>
          </w:p>
        </w:tc>
        <w:tc>
          <w:tcPr>
            <w:tcW w:w="992" w:type="dxa"/>
            <w:tcBorders>
              <w:left w:val="nil"/>
              <w:right w:val="nil"/>
            </w:tcBorders>
          </w:tcPr>
          <w:p w14:paraId="106EDA8D"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99</w:t>
            </w:r>
          </w:p>
        </w:tc>
        <w:tc>
          <w:tcPr>
            <w:tcW w:w="1418" w:type="dxa"/>
            <w:tcBorders>
              <w:left w:val="nil"/>
              <w:bottom w:val="single" w:sz="4" w:space="0" w:color="auto"/>
              <w:right w:val="nil"/>
            </w:tcBorders>
          </w:tcPr>
          <w:p w14:paraId="07C31337"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101</w:t>
            </w:r>
          </w:p>
        </w:tc>
        <w:tc>
          <w:tcPr>
            <w:tcW w:w="1092" w:type="dxa"/>
            <w:tcBorders>
              <w:left w:val="nil"/>
              <w:right w:val="nil"/>
            </w:tcBorders>
          </w:tcPr>
          <w:p w14:paraId="61C4DD1A"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200</w:t>
            </w:r>
          </w:p>
        </w:tc>
        <w:tc>
          <w:tcPr>
            <w:tcW w:w="1423" w:type="dxa"/>
            <w:tcBorders>
              <w:left w:val="nil"/>
              <w:right w:val="nil"/>
            </w:tcBorders>
          </w:tcPr>
          <w:p w14:paraId="58630A28"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100</w:t>
            </w:r>
          </w:p>
        </w:tc>
      </w:tr>
      <w:tr w:rsidR="00BE4AF3" w:rsidRPr="0016089C" w14:paraId="555E11AF" w14:textId="77777777" w:rsidTr="0016089C">
        <w:trPr>
          <w:jc w:val="center"/>
        </w:trPr>
        <w:tc>
          <w:tcPr>
            <w:tcW w:w="2977" w:type="dxa"/>
            <w:tcBorders>
              <w:left w:val="nil"/>
              <w:bottom w:val="nil"/>
              <w:right w:val="nil"/>
            </w:tcBorders>
          </w:tcPr>
          <w:p w14:paraId="390B4A75" w14:textId="77777777" w:rsidR="00BE4AF3" w:rsidRPr="0016089C" w:rsidRDefault="00BE4AF3" w:rsidP="0016089C">
            <w:pPr>
              <w:pStyle w:val="NormalWeb"/>
              <w:spacing w:before="0" w:beforeAutospacing="0" w:after="0" w:afterAutospacing="0"/>
              <w:rPr>
                <w:sz w:val="20"/>
                <w:szCs w:val="20"/>
              </w:rPr>
            </w:pPr>
            <w:r w:rsidRPr="0016089C">
              <w:rPr>
                <w:rFonts w:eastAsia="SimSun"/>
                <w:sz w:val="20"/>
                <w:szCs w:val="20"/>
              </w:rPr>
              <w:t>Nature of Respondents</w:t>
            </w:r>
          </w:p>
        </w:tc>
        <w:tc>
          <w:tcPr>
            <w:tcW w:w="992" w:type="dxa"/>
            <w:tcBorders>
              <w:left w:val="nil"/>
              <w:bottom w:val="nil"/>
              <w:right w:val="nil"/>
            </w:tcBorders>
          </w:tcPr>
          <w:p w14:paraId="01344219" w14:textId="77777777" w:rsidR="00BE4AF3" w:rsidRPr="0016089C" w:rsidRDefault="00BE4AF3" w:rsidP="0016089C">
            <w:pPr>
              <w:pStyle w:val="NormalWeb"/>
              <w:spacing w:before="0" w:beforeAutospacing="0" w:after="0" w:afterAutospacing="0"/>
              <w:jc w:val="center"/>
              <w:rPr>
                <w:i/>
                <w:iCs/>
                <w:sz w:val="20"/>
                <w:szCs w:val="20"/>
              </w:rPr>
            </w:pPr>
            <w:r w:rsidRPr="0016089C">
              <w:rPr>
                <w:rFonts w:eastAsia="SimSun"/>
                <w:i/>
                <w:iCs/>
                <w:sz w:val="20"/>
                <w:szCs w:val="20"/>
              </w:rPr>
              <w:t>Urban</w:t>
            </w:r>
          </w:p>
        </w:tc>
        <w:tc>
          <w:tcPr>
            <w:tcW w:w="1418" w:type="dxa"/>
            <w:tcBorders>
              <w:left w:val="nil"/>
              <w:bottom w:val="single" w:sz="4" w:space="0" w:color="auto"/>
              <w:right w:val="nil"/>
            </w:tcBorders>
          </w:tcPr>
          <w:p w14:paraId="4CD87985" w14:textId="77777777" w:rsidR="00BE4AF3" w:rsidRPr="0016089C" w:rsidRDefault="00BE4AF3" w:rsidP="0016089C">
            <w:pPr>
              <w:pStyle w:val="NormalWeb"/>
              <w:spacing w:before="0" w:beforeAutospacing="0" w:after="0" w:afterAutospacing="0"/>
              <w:jc w:val="center"/>
              <w:rPr>
                <w:i/>
                <w:iCs/>
                <w:sz w:val="20"/>
                <w:szCs w:val="20"/>
              </w:rPr>
            </w:pPr>
            <w:r w:rsidRPr="0016089C">
              <w:rPr>
                <w:rFonts w:eastAsia="SimSun"/>
                <w:i/>
                <w:iCs/>
                <w:sz w:val="20"/>
                <w:szCs w:val="20"/>
              </w:rPr>
              <w:t>Peri-urban</w:t>
            </w:r>
          </w:p>
        </w:tc>
        <w:tc>
          <w:tcPr>
            <w:tcW w:w="1092" w:type="dxa"/>
            <w:tcBorders>
              <w:left w:val="nil"/>
              <w:bottom w:val="single" w:sz="4" w:space="0" w:color="auto"/>
              <w:right w:val="nil"/>
            </w:tcBorders>
          </w:tcPr>
          <w:p w14:paraId="27BAC540" w14:textId="77777777" w:rsidR="00BE4AF3" w:rsidRPr="0016089C" w:rsidRDefault="00BE4AF3" w:rsidP="0016089C">
            <w:pPr>
              <w:pStyle w:val="NormalWeb"/>
              <w:spacing w:before="0" w:beforeAutospacing="0" w:after="0" w:afterAutospacing="0"/>
              <w:jc w:val="center"/>
              <w:rPr>
                <w:i/>
                <w:iCs/>
                <w:sz w:val="20"/>
                <w:szCs w:val="20"/>
              </w:rPr>
            </w:pPr>
            <w:r w:rsidRPr="0016089C">
              <w:rPr>
                <w:rFonts w:eastAsia="SimSun"/>
                <w:i/>
                <w:iCs/>
                <w:sz w:val="20"/>
                <w:szCs w:val="20"/>
              </w:rPr>
              <w:t>Total</w:t>
            </w:r>
          </w:p>
        </w:tc>
        <w:tc>
          <w:tcPr>
            <w:tcW w:w="1423" w:type="dxa"/>
            <w:tcBorders>
              <w:left w:val="nil"/>
              <w:bottom w:val="single" w:sz="4" w:space="0" w:color="auto"/>
              <w:right w:val="nil"/>
            </w:tcBorders>
          </w:tcPr>
          <w:p w14:paraId="432DF6B3" w14:textId="77777777" w:rsidR="00BE4AF3" w:rsidRPr="0016089C" w:rsidRDefault="00BE4AF3" w:rsidP="0016089C">
            <w:pPr>
              <w:pStyle w:val="NormalWeb"/>
              <w:spacing w:before="0" w:beforeAutospacing="0" w:after="0" w:afterAutospacing="0"/>
              <w:jc w:val="center"/>
              <w:rPr>
                <w:i/>
                <w:iCs/>
                <w:sz w:val="20"/>
                <w:szCs w:val="20"/>
              </w:rPr>
            </w:pPr>
            <w:r w:rsidRPr="0016089C">
              <w:rPr>
                <w:rFonts w:eastAsia="SimSun"/>
                <w:i/>
                <w:iCs/>
                <w:sz w:val="20"/>
                <w:szCs w:val="20"/>
              </w:rPr>
              <w:t>%Rate</w:t>
            </w:r>
          </w:p>
        </w:tc>
      </w:tr>
      <w:tr w:rsidR="00BE4AF3" w:rsidRPr="0016089C" w14:paraId="26D346E0" w14:textId="77777777" w:rsidTr="0016089C">
        <w:trPr>
          <w:jc w:val="center"/>
        </w:trPr>
        <w:tc>
          <w:tcPr>
            <w:tcW w:w="2977" w:type="dxa"/>
            <w:tcBorders>
              <w:top w:val="single" w:sz="4" w:space="0" w:color="auto"/>
              <w:left w:val="nil"/>
              <w:bottom w:val="nil"/>
              <w:right w:val="nil"/>
            </w:tcBorders>
          </w:tcPr>
          <w:p w14:paraId="14D94C8E" w14:textId="77777777" w:rsidR="00BE4AF3" w:rsidRPr="0016089C" w:rsidRDefault="00BE4AF3" w:rsidP="0016089C">
            <w:pPr>
              <w:pStyle w:val="NormalWeb"/>
              <w:spacing w:before="0" w:beforeAutospacing="0" w:after="0" w:afterAutospacing="0"/>
              <w:rPr>
                <w:sz w:val="20"/>
                <w:szCs w:val="20"/>
              </w:rPr>
            </w:pPr>
            <w:r w:rsidRPr="0016089C">
              <w:rPr>
                <w:rFonts w:eastAsia="SimSun"/>
                <w:sz w:val="20"/>
                <w:szCs w:val="20"/>
              </w:rPr>
              <w:t>Property Managers</w:t>
            </w:r>
          </w:p>
        </w:tc>
        <w:tc>
          <w:tcPr>
            <w:tcW w:w="992" w:type="dxa"/>
            <w:tcBorders>
              <w:top w:val="single" w:sz="4" w:space="0" w:color="auto"/>
              <w:left w:val="nil"/>
              <w:bottom w:val="nil"/>
              <w:right w:val="nil"/>
            </w:tcBorders>
          </w:tcPr>
          <w:p w14:paraId="6F5A9F3A"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8</w:t>
            </w:r>
          </w:p>
        </w:tc>
        <w:tc>
          <w:tcPr>
            <w:tcW w:w="1418" w:type="dxa"/>
            <w:tcBorders>
              <w:top w:val="single" w:sz="4" w:space="0" w:color="auto"/>
              <w:left w:val="nil"/>
              <w:bottom w:val="nil"/>
              <w:right w:val="nil"/>
            </w:tcBorders>
          </w:tcPr>
          <w:p w14:paraId="029B6464"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2</w:t>
            </w:r>
          </w:p>
        </w:tc>
        <w:tc>
          <w:tcPr>
            <w:tcW w:w="1092" w:type="dxa"/>
            <w:tcBorders>
              <w:top w:val="single" w:sz="4" w:space="0" w:color="auto"/>
              <w:left w:val="nil"/>
              <w:bottom w:val="nil"/>
              <w:right w:val="nil"/>
            </w:tcBorders>
          </w:tcPr>
          <w:p w14:paraId="1E670E99"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10</w:t>
            </w:r>
          </w:p>
        </w:tc>
        <w:tc>
          <w:tcPr>
            <w:tcW w:w="1423" w:type="dxa"/>
            <w:tcBorders>
              <w:top w:val="single" w:sz="4" w:space="0" w:color="auto"/>
              <w:left w:val="nil"/>
              <w:bottom w:val="nil"/>
              <w:right w:val="nil"/>
            </w:tcBorders>
          </w:tcPr>
          <w:p w14:paraId="72A7B4E2"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05</w:t>
            </w:r>
          </w:p>
        </w:tc>
      </w:tr>
      <w:tr w:rsidR="00BE4AF3" w:rsidRPr="0016089C" w14:paraId="0ACBAB4A" w14:textId="77777777" w:rsidTr="0016089C">
        <w:trPr>
          <w:jc w:val="center"/>
        </w:trPr>
        <w:tc>
          <w:tcPr>
            <w:tcW w:w="2977" w:type="dxa"/>
            <w:tcBorders>
              <w:top w:val="nil"/>
              <w:left w:val="nil"/>
              <w:bottom w:val="nil"/>
              <w:right w:val="nil"/>
            </w:tcBorders>
          </w:tcPr>
          <w:p w14:paraId="1252D41F" w14:textId="77777777" w:rsidR="00BE4AF3" w:rsidRPr="0016089C" w:rsidRDefault="00BE4AF3" w:rsidP="0016089C">
            <w:pPr>
              <w:pStyle w:val="NormalWeb"/>
              <w:spacing w:before="0" w:beforeAutospacing="0" w:after="0" w:afterAutospacing="0"/>
              <w:rPr>
                <w:sz w:val="20"/>
                <w:szCs w:val="20"/>
              </w:rPr>
            </w:pPr>
            <w:r w:rsidRPr="0016089C">
              <w:rPr>
                <w:rFonts w:eastAsia="SimSun"/>
                <w:sz w:val="20"/>
                <w:szCs w:val="20"/>
              </w:rPr>
              <w:t>clients</w:t>
            </w:r>
          </w:p>
        </w:tc>
        <w:tc>
          <w:tcPr>
            <w:tcW w:w="992" w:type="dxa"/>
            <w:tcBorders>
              <w:top w:val="nil"/>
              <w:left w:val="nil"/>
              <w:bottom w:val="nil"/>
              <w:right w:val="nil"/>
            </w:tcBorders>
          </w:tcPr>
          <w:p w14:paraId="0EA06D73"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100</w:t>
            </w:r>
          </w:p>
        </w:tc>
        <w:tc>
          <w:tcPr>
            <w:tcW w:w="1418" w:type="dxa"/>
            <w:tcBorders>
              <w:top w:val="nil"/>
              <w:left w:val="nil"/>
              <w:bottom w:val="single" w:sz="4" w:space="0" w:color="auto"/>
              <w:right w:val="nil"/>
            </w:tcBorders>
          </w:tcPr>
          <w:p w14:paraId="3B93937E"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90</w:t>
            </w:r>
          </w:p>
        </w:tc>
        <w:tc>
          <w:tcPr>
            <w:tcW w:w="1092" w:type="dxa"/>
            <w:tcBorders>
              <w:top w:val="nil"/>
              <w:left w:val="nil"/>
              <w:bottom w:val="single" w:sz="4" w:space="0" w:color="auto"/>
              <w:right w:val="nil"/>
            </w:tcBorders>
          </w:tcPr>
          <w:p w14:paraId="278E23E3"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190</w:t>
            </w:r>
          </w:p>
        </w:tc>
        <w:tc>
          <w:tcPr>
            <w:tcW w:w="1423" w:type="dxa"/>
            <w:tcBorders>
              <w:top w:val="nil"/>
              <w:left w:val="nil"/>
              <w:bottom w:val="single" w:sz="4" w:space="0" w:color="auto"/>
              <w:right w:val="nil"/>
            </w:tcBorders>
          </w:tcPr>
          <w:p w14:paraId="13039083"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95</w:t>
            </w:r>
          </w:p>
        </w:tc>
      </w:tr>
      <w:tr w:rsidR="00BE4AF3" w:rsidRPr="0016089C" w14:paraId="656343B9" w14:textId="77777777" w:rsidTr="0016089C">
        <w:trPr>
          <w:jc w:val="center"/>
        </w:trPr>
        <w:tc>
          <w:tcPr>
            <w:tcW w:w="2977" w:type="dxa"/>
            <w:tcBorders>
              <w:left w:val="nil"/>
              <w:right w:val="nil"/>
            </w:tcBorders>
          </w:tcPr>
          <w:p w14:paraId="4276E41D" w14:textId="77777777" w:rsidR="00BE4AF3" w:rsidRPr="0016089C" w:rsidRDefault="00BE4AF3" w:rsidP="0016089C">
            <w:pPr>
              <w:pStyle w:val="NormalWeb"/>
              <w:spacing w:before="0" w:beforeAutospacing="0" w:after="0" w:afterAutospacing="0"/>
              <w:rPr>
                <w:sz w:val="20"/>
                <w:szCs w:val="20"/>
              </w:rPr>
            </w:pPr>
            <w:r w:rsidRPr="0016089C">
              <w:rPr>
                <w:rFonts w:eastAsia="SimSun"/>
                <w:sz w:val="20"/>
                <w:szCs w:val="20"/>
              </w:rPr>
              <w:t>Total</w:t>
            </w:r>
          </w:p>
        </w:tc>
        <w:tc>
          <w:tcPr>
            <w:tcW w:w="992" w:type="dxa"/>
            <w:tcBorders>
              <w:left w:val="nil"/>
              <w:right w:val="nil"/>
            </w:tcBorders>
          </w:tcPr>
          <w:p w14:paraId="661A0925"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108</w:t>
            </w:r>
          </w:p>
        </w:tc>
        <w:tc>
          <w:tcPr>
            <w:tcW w:w="1418" w:type="dxa"/>
            <w:tcBorders>
              <w:top w:val="single" w:sz="4" w:space="0" w:color="auto"/>
              <w:left w:val="nil"/>
              <w:bottom w:val="single" w:sz="4" w:space="0" w:color="auto"/>
              <w:right w:val="nil"/>
            </w:tcBorders>
          </w:tcPr>
          <w:p w14:paraId="0FDDBDC4"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92</w:t>
            </w:r>
          </w:p>
        </w:tc>
        <w:tc>
          <w:tcPr>
            <w:tcW w:w="1092" w:type="dxa"/>
            <w:tcBorders>
              <w:top w:val="single" w:sz="4" w:space="0" w:color="auto"/>
              <w:left w:val="nil"/>
              <w:bottom w:val="single" w:sz="4" w:space="0" w:color="auto"/>
              <w:right w:val="nil"/>
            </w:tcBorders>
          </w:tcPr>
          <w:p w14:paraId="48C5BC34"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200</w:t>
            </w:r>
          </w:p>
        </w:tc>
        <w:tc>
          <w:tcPr>
            <w:tcW w:w="1423" w:type="dxa"/>
            <w:tcBorders>
              <w:top w:val="single" w:sz="4" w:space="0" w:color="auto"/>
              <w:left w:val="nil"/>
              <w:bottom w:val="single" w:sz="4" w:space="0" w:color="auto"/>
              <w:right w:val="nil"/>
            </w:tcBorders>
          </w:tcPr>
          <w:p w14:paraId="64D1F2FA"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100</w:t>
            </w:r>
          </w:p>
        </w:tc>
      </w:tr>
      <w:tr w:rsidR="00BE4AF3" w:rsidRPr="0016089C" w14:paraId="04C8E585" w14:textId="77777777" w:rsidTr="0016089C">
        <w:trPr>
          <w:jc w:val="center"/>
        </w:trPr>
        <w:tc>
          <w:tcPr>
            <w:tcW w:w="2977" w:type="dxa"/>
            <w:tcBorders>
              <w:left w:val="nil"/>
              <w:bottom w:val="nil"/>
              <w:right w:val="nil"/>
            </w:tcBorders>
          </w:tcPr>
          <w:p w14:paraId="2C2A076B" w14:textId="77777777" w:rsidR="00BE4AF3" w:rsidRPr="0016089C" w:rsidRDefault="00BE4AF3" w:rsidP="0016089C">
            <w:pPr>
              <w:pStyle w:val="NormalWeb"/>
              <w:spacing w:before="0" w:beforeAutospacing="0" w:after="0" w:afterAutospacing="0"/>
              <w:rPr>
                <w:sz w:val="20"/>
                <w:szCs w:val="20"/>
              </w:rPr>
            </w:pPr>
            <w:r w:rsidRPr="0016089C">
              <w:rPr>
                <w:rFonts w:eastAsia="SimSun"/>
                <w:sz w:val="20"/>
                <w:szCs w:val="20"/>
              </w:rPr>
              <w:t>Income Range Per annum</w:t>
            </w:r>
          </w:p>
        </w:tc>
        <w:tc>
          <w:tcPr>
            <w:tcW w:w="992" w:type="dxa"/>
            <w:tcBorders>
              <w:left w:val="nil"/>
              <w:bottom w:val="nil"/>
              <w:right w:val="nil"/>
            </w:tcBorders>
          </w:tcPr>
          <w:p w14:paraId="636B6D55" w14:textId="77777777" w:rsidR="00BE4AF3" w:rsidRPr="0016089C" w:rsidRDefault="00BE4AF3" w:rsidP="0016089C">
            <w:pPr>
              <w:pStyle w:val="NormalWeb"/>
              <w:spacing w:before="0" w:beforeAutospacing="0" w:after="0" w:afterAutospacing="0"/>
              <w:jc w:val="center"/>
              <w:rPr>
                <w:sz w:val="20"/>
                <w:szCs w:val="20"/>
              </w:rPr>
            </w:pPr>
          </w:p>
        </w:tc>
        <w:tc>
          <w:tcPr>
            <w:tcW w:w="1418" w:type="dxa"/>
            <w:tcBorders>
              <w:top w:val="single" w:sz="4" w:space="0" w:color="auto"/>
              <w:left w:val="nil"/>
              <w:bottom w:val="nil"/>
              <w:right w:val="nil"/>
            </w:tcBorders>
          </w:tcPr>
          <w:p w14:paraId="2B4E5170" w14:textId="77777777" w:rsidR="00BE4AF3" w:rsidRPr="0016089C" w:rsidRDefault="00BE4AF3" w:rsidP="0016089C">
            <w:pPr>
              <w:pStyle w:val="NormalWeb"/>
              <w:spacing w:before="0" w:beforeAutospacing="0" w:after="0" w:afterAutospacing="0"/>
              <w:jc w:val="center"/>
              <w:rPr>
                <w:sz w:val="20"/>
                <w:szCs w:val="20"/>
              </w:rPr>
            </w:pPr>
          </w:p>
        </w:tc>
        <w:tc>
          <w:tcPr>
            <w:tcW w:w="1092" w:type="dxa"/>
            <w:tcBorders>
              <w:top w:val="single" w:sz="4" w:space="0" w:color="auto"/>
              <w:left w:val="nil"/>
              <w:bottom w:val="nil"/>
              <w:right w:val="nil"/>
            </w:tcBorders>
          </w:tcPr>
          <w:p w14:paraId="7696FD51" w14:textId="77777777" w:rsidR="00BE4AF3" w:rsidRPr="0016089C" w:rsidRDefault="00BE4AF3" w:rsidP="0016089C">
            <w:pPr>
              <w:pStyle w:val="NormalWeb"/>
              <w:spacing w:before="0" w:beforeAutospacing="0" w:after="0" w:afterAutospacing="0"/>
              <w:jc w:val="center"/>
              <w:rPr>
                <w:sz w:val="20"/>
                <w:szCs w:val="20"/>
              </w:rPr>
            </w:pPr>
          </w:p>
        </w:tc>
        <w:tc>
          <w:tcPr>
            <w:tcW w:w="1423" w:type="dxa"/>
            <w:tcBorders>
              <w:top w:val="single" w:sz="4" w:space="0" w:color="auto"/>
              <w:left w:val="nil"/>
              <w:bottom w:val="nil"/>
              <w:right w:val="nil"/>
            </w:tcBorders>
          </w:tcPr>
          <w:p w14:paraId="1980FF25" w14:textId="77777777" w:rsidR="00BE4AF3" w:rsidRPr="0016089C" w:rsidRDefault="00BE4AF3" w:rsidP="0016089C">
            <w:pPr>
              <w:pStyle w:val="NormalWeb"/>
              <w:spacing w:before="0" w:beforeAutospacing="0" w:after="0" w:afterAutospacing="0"/>
              <w:jc w:val="center"/>
              <w:rPr>
                <w:sz w:val="20"/>
                <w:szCs w:val="20"/>
              </w:rPr>
            </w:pPr>
          </w:p>
        </w:tc>
      </w:tr>
      <w:tr w:rsidR="00BE4AF3" w:rsidRPr="0016089C" w14:paraId="11FB0F9D" w14:textId="77777777" w:rsidTr="0016089C">
        <w:trPr>
          <w:jc w:val="center"/>
        </w:trPr>
        <w:tc>
          <w:tcPr>
            <w:tcW w:w="2977" w:type="dxa"/>
            <w:tcBorders>
              <w:top w:val="nil"/>
              <w:left w:val="nil"/>
              <w:bottom w:val="nil"/>
              <w:right w:val="nil"/>
            </w:tcBorders>
          </w:tcPr>
          <w:p w14:paraId="2A19BFD6" w14:textId="77777777" w:rsidR="00BE4AF3" w:rsidRPr="0016089C" w:rsidRDefault="00BE4AF3" w:rsidP="0016089C">
            <w:pPr>
              <w:pStyle w:val="NormalWeb"/>
              <w:spacing w:before="0" w:beforeAutospacing="0" w:after="0" w:afterAutospacing="0"/>
              <w:rPr>
                <w:sz w:val="20"/>
                <w:szCs w:val="20"/>
              </w:rPr>
            </w:pPr>
            <w:r w:rsidRPr="0016089C">
              <w:rPr>
                <w:rFonts w:eastAsia="SimSun"/>
                <w:sz w:val="20"/>
                <w:szCs w:val="20"/>
              </w:rPr>
              <w:t xml:space="preserve">Less than </w:t>
            </w:r>
            <w:r w:rsidRPr="0016089C">
              <w:rPr>
                <w:rFonts w:eastAsia="SimSun"/>
                <w:strike/>
                <w:sz w:val="20"/>
                <w:szCs w:val="20"/>
              </w:rPr>
              <w:t>N</w:t>
            </w:r>
            <w:r w:rsidRPr="0016089C">
              <w:rPr>
                <w:rFonts w:eastAsia="SimSun"/>
                <w:sz w:val="20"/>
                <w:szCs w:val="20"/>
              </w:rPr>
              <w:t>100,000</w:t>
            </w:r>
          </w:p>
        </w:tc>
        <w:tc>
          <w:tcPr>
            <w:tcW w:w="992" w:type="dxa"/>
            <w:tcBorders>
              <w:top w:val="nil"/>
              <w:left w:val="nil"/>
              <w:bottom w:val="nil"/>
              <w:right w:val="nil"/>
            </w:tcBorders>
          </w:tcPr>
          <w:p w14:paraId="38E14823"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5</w:t>
            </w:r>
          </w:p>
        </w:tc>
        <w:tc>
          <w:tcPr>
            <w:tcW w:w="1418" w:type="dxa"/>
            <w:tcBorders>
              <w:top w:val="nil"/>
              <w:left w:val="nil"/>
              <w:bottom w:val="nil"/>
              <w:right w:val="nil"/>
            </w:tcBorders>
          </w:tcPr>
          <w:p w14:paraId="359946EC"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75</w:t>
            </w:r>
          </w:p>
        </w:tc>
        <w:tc>
          <w:tcPr>
            <w:tcW w:w="1092" w:type="dxa"/>
            <w:tcBorders>
              <w:top w:val="nil"/>
              <w:left w:val="nil"/>
              <w:bottom w:val="nil"/>
              <w:right w:val="nil"/>
            </w:tcBorders>
          </w:tcPr>
          <w:p w14:paraId="5442AE44"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80</w:t>
            </w:r>
          </w:p>
        </w:tc>
        <w:tc>
          <w:tcPr>
            <w:tcW w:w="1423" w:type="dxa"/>
            <w:tcBorders>
              <w:top w:val="nil"/>
              <w:left w:val="nil"/>
              <w:bottom w:val="nil"/>
              <w:right w:val="nil"/>
            </w:tcBorders>
          </w:tcPr>
          <w:p w14:paraId="1D243B13"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40</w:t>
            </w:r>
          </w:p>
        </w:tc>
      </w:tr>
      <w:tr w:rsidR="00BE4AF3" w:rsidRPr="0016089C" w14:paraId="1106D58A" w14:textId="77777777" w:rsidTr="0016089C">
        <w:trPr>
          <w:jc w:val="center"/>
        </w:trPr>
        <w:tc>
          <w:tcPr>
            <w:tcW w:w="2977" w:type="dxa"/>
            <w:tcBorders>
              <w:top w:val="nil"/>
              <w:left w:val="nil"/>
              <w:bottom w:val="nil"/>
              <w:right w:val="nil"/>
            </w:tcBorders>
          </w:tcPr>
          <w:p w14:paraId="6792A6FD" w14:textId="77777777" w:rsidR="00BE4AF3" w:rsidRPr="0016089C" w:rsidRDefault="00BE4AF3" w:rsidP="0016089C">
            <w:pPr>
              <w:pStyle w:val="NormalWeb"/>
              <w:spacing w:before="0" w:beforeAutospacing="0" w:after="0" w:afterAutospacing="0"/>
              <w:rPr>
                <w:sz w:val="20"/>
                <w:szCs w:val="20"/>
              </w:rPr>
            </w:pPr>
            <w:r w:rsidRPr="0016089C">
              <w:rPr>
                <w:rFonts w:eastAsia="SimSun"/>
                <w:sz w:val="20"/>
                <w:szCs w:val="20"/>
              </w:rPr>
              <w:t xml:space="preserve">Between </w:t>
            </w:r>
            <w:r w:rsidRPr="0016089C">
              <w:rPr>
                <w:rFonts w:eastAsia="SimSun"/>
                <w:strike/>
                <w:sz w:val="20"/>
                <w:szCs w:val="20"/>
              </w:rPr>
              <w:t>N</w:t>
            </w:r>
            <w:r w:rsidRPr="0016089C">
              <w:rPr>
                <w:rFonts w:eastAsia="SimSun"/>
                <w:sz w:val="20"/>
                <w:szCs w:val="20"/>
              </w:rPr>
              <w:t xml:space="preserve">100,000 to </w:t>
            </w:r>
            <w:r w:rsidRPr="0016089C">
              <w:rPr>
                <w:rFonts w:eastAsia="SimSun"/>
                <w:strike/>
                <w:sz w:val="20"/>
                <w:szCs w:val="20"/>
              </w:rPr>
              <w:t>N</w:t>
            </w:r>
            <w:r w:rsidRPr="0016089C">
              <w:rPr>
                <w:rFonts w:eastAsia="SimSun"/>
                <w:sz w:val="20"/>
                <w:szCs w:val="20"/>
              </w:rPr>
              <w:t>500,000</w:t>
            </w:r>
          </w:p>
        </w:tc>
        <w:tc>
          <w:tcPr>
            <w:tcW w:w="992" w:type="dxa"/>
            <w:tcBorders>
              <w:top w:val="nil"/>
              <w:left w:val="nil"/>
              <w:bottom w:val="nil"/>
              <w:right w:val="nil"/>
            </w:tcBorders>
          </w:tcPr>
          <w:p w14:paraId="001D3784"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25</w:t>
            </w:r>
          </w:p>
        </w:tc>
        <w:tc>
          <w:tcPr>
            <w:tcW w:w="1418" w:type="dxa"/>
            <w:tcBorders>
              <w:top w:val="nil"/>
              <w:left w:val="nil"/>
              <w:bottom w:val="nil"/>
              <w:right w:val="nil"/>
            </w:tcBorders>
          </w:tcPr>
          <w:p w14:paraId="7BE7833D"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10</w:t>
            </w:r>
          </w:p>
        </w:tc>
        <w:tc>
          <w:tcPr>
            <w:tcW w:w="1092" w:type="dxa"/>
            <w:tcBorders>
              <w:top w:val="nil"/>
              <w:left w:val="nil"/>
              <w:bottom w:val="nil"/>
              <w:right w:val="nil"/>
            </w:tcBorders>
          </w:tcPr>
          <w:p w14:paraId="7BA2B584"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35</w:t>
            </w:r>
          </w:p>
        </w:tc>
        <w:tc>
          <w:tcPr>
            <w:tcW w:w="1423" w:type="dxa"/>
            <w:tcBorders>
              <w:top w:val="nil"/>
              <w:left w:val="nil"/>
              <w:bottom w:val="nil"/>
              <w:right w:val="nil"/>
            </w:tcBorders>
          </w:tcPr>
          <w:p w14:paraId="2C1A8902"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17.5</w:t>
            </w:r>
          </w:p>
        </w:tc>
      </w:tr>
      <w:tr w:rsidR="00BE4AF3" w:rsidRPr="0016089C" w14:paraId="09662C00" w14:textId="77777777" w:rsidTr="0016089C">
        <w:trPr>
          <w:jc w:val="center"/>
        </w:trPr>
        <w:tc>
          <w:tcPr>
            <w:tcW w:w="2977" w:type="dxa"/>
            <w:tcBorders>
              <w:top w:val="nil"/>
              <w:left w:val="nil"/>
              <w:right w:val="nil"/>
            </w:tcBorders>
          </w:tcPr>
          <w:p w14:paraId="4E3AD15E" w14:textId="77777777" w:rsidR="00BE4AF3" w:rsidRPr="0016089C" w:rsidRDefault="00BE4AF3" w:rsidP="0016089C">
            <w:pPr>
              <w:pStyle w:val="NormalWeb"/>
              <w:spacing w:before="0" w:beforeAutospacing="0" w:after="0" w:afterAutospacing="0"/>
              <w:rPr>
                <w:sz w:val="20"/>
                <w:szCs w:val="20"/>
              </w:rPr>
            </w:pPr>
            <w:r w:rsidRPr="0016089C">
              <w:rPr>
                <w:rFonts w:eastAsia="SimSun"/>
                <w:sz w:val="20"/>
                <w:szCs w:val="20"/>
              </w:rPr>
              <w:t xml:space="preserve">Above </w:t>
            </w:r>
            <w:r w:rsidRPr="0016089C">
              <w:rPr>
                <w:rFonts w:eastAsia="SimSun"/>
                <w:strike/>
                <w:sz w:val="20"/>
                <w:szCs w:val="20"/>
              </w:rPr>
              <w:t>N</w:t>
            </w:r>
            <w:r w:rsidRPr="0016089C">
              <w:rPr>
                <w:rFonts w:eastAsia="SimSun"/>
                <w:sz w:val="20"/>
                <w:szCs w:val="20"/>
              </w:rPr>
              <w:t>500,000</w:t>
            </w:r>
          </w:p>
        </w:tc>
        <w:tc>
          <w:tcPr>
            <w:tcW w:w="992" w:type="dxa"/>
            <w:tcBorders>
              <w:top w:val="nil"/>
              <w:left w:val="nil"/>
              <w:right w:val="nil"/>
            </w:tcBorders>
          </w:tcPr>
          <w:p w14:paraId="417EF2DE"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78</w:t>
            </w:r>
          </w:p>
        </w:tc>
        <w:tc>
          <w:tcPr>
            <w:tcW w:w="1418" w:type="dxa"/>
            <w:tcBorders>
              <w:top w:val="nil"/>
              <w:left w:val="nil"/>
              <w:bottom w:val="single" w:sz="4" w:space="0" w:color="auto"/>
              <w:right w:val="nil"/>
            </w:tcBorders>
          </w:tcPr>
          <w:p w14:paraId="3E3801D2"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7</w:t>
            </w:r>
          </w:p>
        </w:tc>
        <w:tc>
          <w:tcPr>
            <w:tcW w:w="1092" w:type="dxa"/>
            <w:tcBorders>
              <w:top w:val="nil"/>
              <w:left w:val="nil"/>
              <w:bottom w:val="single" w:sz="4" w:space="0" w:color="auto"/>
              <w:right w:val="nil"/>
            </w:tcBorders>
          </w:tcPr>
          <w:p w14:paraId="05AAA099"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85</w:t>
            </w:r>
          </w:p>
        </w:tc>
        <w:tc>
          <w:tcPr>
            <w:tcW w:w="1423" w:type="dxa"/>
            <w:tcBorders>
              <w:top w:val="nil"/>
              <w:left w:val="nil"/>
              <w:bottom w:val="single" w:sz="4" w:space="0" w:color="auto"/>
              <w:right w:val="nil"/>
            </w:tcBorders>
          </w:tcPr>
          <w:p w14:paraId="7DDFAFBF"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42.5</w:t>
            </w:r>
          </w:p>
        </w:tc>
      </w:tr>
      <w:tr w:rsidR="00BE4AF3" w:rsidRPr="0016089C" w14:paraId="23E92825" w14:textId="77777777" w:rsidTr="0016089C">
        <w:trPr>
          <w:jc w:val="center"/>
        </w:trPr>
        <w:tc>
          <w:tcPr>
            <w:tcW w:w="2977" w:type="dxa"/>
            <w:tcBorders>
              <w:left w:val="nil"/>
              <w:right w:val="nil"/>
            </w:tcBorders>
          </w:tcPr>
          <w:p w14:paraId="2FB2A7FC" w14:textId="77777777" w:rsidR="00BE4AF3" w:rsidRPr="0016089C" w:rsidRDefault="00BE4AF3" w:rsidP="0016089C">
            <w:pPr>
              <w:pStyle w:val="NormalWeb"/>
              <w:spacing w:before="0" w:beforeAutospacing="0" w:after="0" w:afterAutospacing="0"/>
              <w:rPr>
                <w:sz w:val="20"/>
                <w:szCs w:val="20"/>
              </w:rPr>
            </w:pPr>
            <w:r w:rsidRPr="0016089C">
              <w:rPr>
                <w:rFonts w:eastAsia="SimSun"/>
                <w:sz w:val="20"/>
                <w:szCs w:val="20"/>
              </w:rPr>
              <w:t>Total</w:t>
            </w:r>
          </w:p>
        </w:tc>
        <w:tc>
          <w:tcPr>
            <w:tcW w:w="992" w:type="dxa"/>
            <w:tcBorders>
              <w:left w:val="nil"/>
              <w:right w:val="nil"/>
            </w:tcBorders>
          </w:tcPr>
          <w:p w14:paraId="73E339EC"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108</w:t>
            </w:r>
          </w:p>
        </w:tc>
        <w:tc>
          <w:tcPr>
            <w:tcW w:w="1418" w:type="dxa"/>
            <w:tcBorders>
              <w:top w:val="single" w:sz="4" w:space="0" w:color="auto"/>
              <w:left w:val="nil"/>
              <w:right w:val="nil"/>
            </w:tcBorders>
          </w:tcPr>
          <w:p w14:paraId="6F320898"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92</w:t>
            </w:r>
          </w:p>
        </w:tc>
        <w:tc>
          <w:tcPr>
            <w:tcW w:w="1092" w:type="dxa"/>
            <w:tcBorders>
              <w:top w:val="single" w:sz="4" w:space="0" w:color="auto"/>
              <w:left w:val="nil"/>
              <w:right w:val="nil"/>
            </w:tcBorders>
          </w:tcPr>
          <w:p w14:paraId="6D80A4C7"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200</w:t>
            </w:r>
          </w:p>
        </w:tc>
        <w:tc>
          <w:tcPr>
            <w:tcW w:w="1423" w:type="dxa"/>
            <w:tcBorders>
              <w:top w:val="single" w:sz="4" w:space="0" w:color="auto"/>
              <w:left w:val="nil"/>
              <w:right w:val="nil"/>
            </w:tcBorders>
          </w:tcPr>
          <w:p w14:paraId="7B3E6658" w14:textId="77777777" w:rsidR="00BE4AF3" w:rsidRPr="0016089C" w:rsidRDefault="00BE4AF3" w:rsidP="0016089C">
            <w:pPr>
              <w:pStyle w:val="NormalWeb"/>
              <w:spacing w:before="0" w:beforeAutospacing="0" w:after="0" w:afterAutospacing="0"/>
              <w:jc w:val="center"/>
              <w:rPr>
                <w:sz w:val="20"/>
                <w:szCs w:val="20"/>
              </w:rPr>
            </w:pPr>
            <w:r w:rsidRPr="0016089C">
              <w:rPr>
                <w:rFonts w:eastAsia="SimSun"/>
                <w:sz w:val="20"/>
                <w:szCs w:val="20"/>
              </w:rPr>
              <w:t>100</w:t>
            </w:r>
          </w:p>
        </w:tc>
      </w:tr>
    </w:tbl>
    <w:p w14:paraId="42B5D5C1" w14:textId="77777777" w:rsidR="00BE4AF3" w:rsidRDefault="00BE4AF3" w:rsidP="0038623D">
      <w:pPr>
        <w:pStyle w:val="NormalWeb"/>
        <w:spacing w:before="0" w:beforeAutospacing="0" w:after="0" w:afterAutospacing="0"/>
        <w:jc w:val="center"/>
      </w:pPr>
      <w:r w:rsidRPr="00BE4AF3">
        <w:t>Source: Field survey, (2025)</w:t>
      </w:r>
    </w:p>
    <w:p w14:paraId="37EFACA2" w14:textId="77777777" w:rsidR="0038623D" w:rsidRPr="00BE4AF3" w:rsidRDefault="0038623D" w:rsidP="0038623D">
      <w:pPr>
        <w:pStyle w:val="NormalWeb"/>
        <w:spacing w:before="0" w:beforeAutospacing="0" w:after="0" w:afterAutospacing="0"/>
        <w:jc w:val="center"/>
      </w:pPr>
    </w:p>
    <w:p w14:paraId="54D61D6F" w14:textId="77777777" w:rsidR="00BE4AF3" w:rsidRPr="00BE4AF3" w:rsidRDefault="00BE4AF3" w:rsidP="0016089C">
      <w:pPr>
        <w:spacing w:after="0" w:line="240" w:lineRule="auto"/>
        <w:jc w:val="both"/>
        <w:rPr>
          <w:rFonts w:ascii="Times New Roman" w:hAnsi="Times New Roman" w:cs="Times New Roman"/>
          <w:i/>
          <w:iCs/>
          <w:sz w:val="24"/>
          <w:szCs w:val="24"/>
        </w:rPr>
      </w:pPr>
      <w:r w:rsidRPr="00BE4AF3">
        <w:rPr>
          <w:rFonts w:ascii="Times New Roman" w:hAnsi="Times New Roman" w:cs="Times New Roman"/>
          <w:sz w:val="24"/>
          <w:szCs w:val="24"/>
        </w:rPr>
        <w:t xml:space="preserve">Table 1 revealed that larger percentage of the respondents (92.5%) that filled the questionnaires are male. This shows male supremacy in decision making and decision taken process, especially, when such decision relates to family wellbeing. The nature of respondents that provided answers to the questionnaires were also given serious consideration. First, the property managers who manages properties in the study areas were considered. This set of respondents are in direct contact with the clients relocating from urban area to the peri-urban settlements; hence, such clients often divulged their reason(s) for relocation to the property managers. It is on this ground that, the study concentrated on the 10 identified property managers that are involved in property management and agency activities in the study areas. One hundred and ninety (190) clients provided information on the reasons for the shift in their preferences. More so, the study tried to assess the income status of the respondents. It was discovered that, those that earned over </w:t>
      </w:r>
      <w:r w:rsidRPr="00BE4AF3">
        <w:rPr>
          <w:rFonts w:ascii="Times New Roman" w:eastAsia="SimSun" w:hAnsi="Times New Roman" w:cs="Times New Roman"/>
          <w:strike/>
          <w:sz w:val="24"/>
          <w:szCs w:val="24"/>
        </w:rPr>
        <w:t>N</w:t>
      </w:r>
      <w:r w:rsidRPr="00BE4AF3">
        <w:rPr>
          <w:rFonts w:ascii="Times New Roman" w:eastAsia="SimSun" w:hAnsi="Times New Roman" w:cs="Times New Roman"/>
          <w:sz w:val="24"/>
          <w:szCs w:val="24"/>
        </w:rPr>
        <w:t xml:space="preserve">500,000p.a are more in the Osogbo urban area while the majority of the respondents in the peri-urban neighbourhood earn below </w:t>
      </w:r>
      <w:r w:rsidRPr="00BE4AF3">
        <w:rPr>
          <w:rFonts w:ascii="Times New Roman" w:eastAsia="SimSun" w:hAnsi="Times New Roman" w:cs="Times New Roman"/>
          <w:strike/>
          <w:sz w:val="24"/>
          <w:szCs w:val="24"/>
        </w:rPr>
        <w:t>N</w:t>
      </w:r>
      <w:r w:rsidRPr="00BE4AF3">
        <w:rPr>
          <w:rFonts w:ascii="Times New Roman" w:eastAsia="SimSun" w:hAnsi="Times New Roman" w:cs="Times New Roman"/>
          <w:sz w:val="24"/>
          <w:szCs w:val="24"/>
        </w:rPr>
        <w:t>500,000. It could be inferred that the escalating urban rental trend could influence clients’ preferences.</w:t>
      </w:r>
    </w:p>
    <w:p w14:paraId="353420BD" w14:textId="77777777" w:rsid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To adequately comprehend the enormity of the shift in clients’ preferences and their eventual migration to the peri-urban areas, those variables identified from previous literature as factors posing challenges to livable peri-urban settlements were further subjected to test and ranked to confirm their applicability in the study area using Relative Importance Index (RII) metrics. The outcome of the analysis is presented in Table 2</w:t>
      </w:r>
    </w:p>
    <w:p w14:paraId="2A93EF3A" w14:textId="77777777" w:rsidR="0038623D" w:rsidRPr="00BE4AF3" w:rsidRDefault="0038623D" w:rsidP="0016089C">
      <w:pPr>
        <w:spacing w:after="0" w:line="240" w:lineRule="auto"/>
        <w:jc w:val="both"/>
        <w:rPr>
          <w:rFonts w:ascii="Times New Roman" w:hAnsi="Times New Roman" w:cs="Times New Roman"/>
          <w:sz w:val="24"/>
          <w:szCs w:val="24"/>
        </w:rPr>
      </w:pPr>
    </w:p>
    <w:p w14:paraId="2BD8BE57" w14:textId="77777777" w:rsidR="00BE4AF3" w:rsidRPr="0038623D" w:rsidRDefault="00BE4AF3" w:rsidP="0038623D">
      <w:pPr>
        <w:spacing w:after="0" w:line="240" w:lineRule="auto"/>
        <w:jc w:val="center"/>
        <w:rPr>
          <w:rFonts w:ascii="Times New Roman" w:hAnsi="Times New Roman" w:cs="Times New Roman"/>
          <w:sz w:val="24"/>
          <w:szCs w:val="24"/>
        </w:rPr>
      </w:pPr>
      <w:r w:rsidRPr="00BE4AF3">
        <w:rPr>
          <w:rFonts w:ascii="Times New Roman" w:hAnsi="Times New Roman" w:cs="Times New Roman"/>
          <w:b/>
          <w:bCs/>
          <w:sz w:val="24"/>
          <w:szCs w:val="24"/>
        </w:rPr>
        <w:t xml:space="preserve">Table 2: </w:t>
      </w:r>
      <w:r w:rsidRPr="0038623D">
        <w:rPr>
          <w:rFonts w:ascii="Times New Roman" w:hAnsi="Times New Roman" w:cs="Times New Roman"/>
          <w:sz w:val="24"/>
          <w:szCs w:val="24"/>
        </w:rPr>
        <w:t>RII on the Challenges to Livable Peri-urban zones of the Osogbo Urban Core</w:t>
      </w:r>
    </w:p>
    <w:tbl>
      <w:tblPr>
        <w:tblStyle w:val="TableGrid"/>
        <w:tblW w:w="8308" w:type="dxa"/>
        <w:jc w:val="center"/>
        <w:tblLayout w:type="fixed"/>
        <w:tblLook w:val="04A0" w:firstRow="1" w:lastRow="0" w:firstColumn="1" w:lastColumn="0" w:noHBand="0" w:noVBand="1"/>
      </w:tblPr>
      <w:tblGrid>
        <w:gridCol w:w="3119"/>
        <w:gridCol w:w="630"/>
        <w:gridCol w:w="448"/>
        <w:gridCol w:w="630"/>
        <w:gridCol w:w="540"/>
        <w:gridCol w:w="531"/>
        <w:gridCol w:w="720"/>
        <w:gridCol w:w="720"/>
        <w:gridCol w:w="970"/>
      </w:tblGrid>
      <w:tr w:rsidR="00BE4AF3" w:rsidRPr="0038623D" w14:paraId="18D8B555" w14:textId="77777777" w:rsidTr="0038623D">
        <w:trPr>
          <w:trHeight w:val="270"/>
          <w:jc w:val="center"/>
        </w:trPr>
        <w:tc>
          <w:tcPr>
            <w:tcW w:w="3119" w:type="dxa"/>
            <w:tcBorders>
              <w:top w:val="single" w:sz="4" w:space="0" w:color="auto"/>
              <w:left w:val="nil"/>
              <w:bottom w:val="single" w:sz="4" w:space="0" w:color="auto"/>
              <w:right w:val="nil"/>
            </w:tcBorders>
          </w:tcPr>
          <w:p w14:paraId="350AD49E"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Variables</w:t>
            </w:r>
          </w:p>
        </w:tc>
        <w:tc>
          <w:tcPr>
            <w:tcW w:w="630" w:type="dxa"/>
            <w:tcBorders>
              <w:top w:val="single" w:sz="4" w:space="0" w:color="auto"/>
              <w:left w:val="nil"/>
              <w:bottom w:val="single" w:sz="4" w:space="0" w:color="auto"/>
              <w:right w:val="nil"/>
            </w:tcBorders>
          </w:tcPr>
          <w:p w14:paraId="7B8B7009"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5</w:t>
            </w:r>
          </w:p>
        </w:tc>
        <w:tc>
          <w:tcPr>
            <w:tcW w:w="448" w:type="dxa"/>
            <w:tcBorders>
              <w:top w:val="single" w:sz="4" w:space="0" w:color="auto"/>
              <w:left w:val="nil"/>
              <w:bottom w:val="single" w:sz="4" w:space="0" w:color="auto"/>
              <w:right w:val="nil"/>
            </w:tcBorders>
          </w:tcPr>
          <w:p w14:paraId="2F5603C7"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4</w:t>
            </w:r>
          </w:p>
        </w:tc>
        <w:tc>
          <w:tcPr>
            <w:tcW w:w="630" w:type="dxa"/>
            <w:tcBorders>
              <w:top w:val="single" w:sz="4" w:space="0" w:color="auto"/>
              <w:left w:val="nil"/>
              <w:bottom w:val="single" w:sz="4" w:space="0" w:color="auto"/>
              <w:right w:val="nil"/>
            </w:tcBorders>
          </w:tcPr>
          <w:p w14:paraId="11DBC289"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3</w:t>
            </w:r>
          </w:p>
        </w:tc>
        <w:tc>
          <w:tcPr>
            <w:tcW w:w="540" w:type="dxa"/>
            <w:tcBorders>
              <w:top w:val="single" w:sz="4" w:space="0" w:color="auto"/>
              <w:left w:val="nil"/>
              <w:bottom w:val="single" w:sz="4" w:space="0" w:color="auto"/>
              <w:right w:val="nil"/>
            </w:tcBorders>
          </w:tcPr>
          <w:p w14:paraId="36C2C20F"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2</w:t>
            </w:r>
          </w:p>
        </w:tc>
        <w:tc>
          <w:tcPr>
            <w:tcW w:w="531" w:type="dxa"/>
            <w:tcBorders>
              <w:top w:val="single" w:sz="4" w:space="0" w:color="auto"/>
              <w:left w:val="nil"/>
              <w:bottom w:val="single" w:sz="4" w:space="0" w:color="auto"/>
              <w:right w:val="nil"/>
            </w:tcBorders>
          </w:tcPr>
          <w:p w14:paraId="689B8D71"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1</w:t>
            </w:r>
          </w:p>
        </w:tc>
        <w:tc>
          <w:tcPr>
            <w:tcW w:w="720" w:type="dxa"/>
            <w:tcBorders>
              <w:top w:val="single" w:sz="4" w:space="0" w:color="auto"/>
              <w:left w:val="nil"/>
              <w:bottom w:val="single" w:sz="4" w:space="0" w:color="auto"/>
              <w:right w:val="nil"/>
            </w:tcBorders>
          </w:tcPr>
          <w:p w14:paraId="328E19A5"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∑w</w:t>
            </w:r>
          </w:p>
        </w:tc>
        <w:tc>
          <w:tcPr>
            <w:tcW w:w="720" w:type="dxa"/>
            <w:tcBorders>
              <w:top w:val="single" w:sz="4" w:space="0" w:color="auto"/>
              <w:left w:val="nil"/>
              <w:bottom w:val="single" w:sz="4" w:space="0" w:color="auto"/>
              <w:right w:val="nil"/>
            </w:tcBorders>
          </w:tcPr>
          <w:p w14:paraId="107A9082"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RII</w:t>
            </w:r>
          </w:p>
        </w:tc>
        <w:tc>
          <w:tcPr>
            <w:tcW w:w="970" w:type="dxa"/>
            <w:tcBorders>
              <w:top w:val="single" w:sz="4" w:space="0" w:color="auto"/>
              <w:left w:val="nil"/>
              <w:bottom w:val="single" w:sz="4" w:space="0" w:color="auto"/>
              <w:right w:val="nil"/>
            </w:tcBorders>
          </w:tcPr>
          <w:p w14:paraId="49067C3B"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Ranking</w:t>
            </w:r>
          </w:p>
        </w:tc>
      </w:tr>
      <w:tr w:rsidR="00BE4AF3" w:rsidRPr="0038623D" w14:paraId="7CCBD419" w14:textId="77777777" w:rsidTr="0038623D">
        <w:trPr>
          <w:trHeight w:val="286"/>
          <w:jc w:val="center"/>
        </w:trPr>
        <w:tc>
          <w:tcPr>
            <w:tcW w:w="3119" w:type="dxa"/>
            <w:tcBorders>
              <w:top w:val="single" w:sz="4" w:space="0" w:color="auto"/>
              <w:left w:val="nil"/>
              <w:bottom w:val="nil"/>
              <w:right w:val="nil"/>
            </w:tcBorders>
          </w:tcPr>
          <w:p w14:paraId="4CB145CF"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 xml:space="preserve">Infrastructure/ amenities deficits </w:t>
            </w:r>
          </w:p>
        </w:tc>
        <w:tc>
          <w:tcPr>
            <w:tcW w:w="630" w:type="dxa"/>
            <w:tcBorders>
              <w:top w:val="single" w:sz="4" w:space="0" w:color="auto"/>
              <w:left w:val="nil"/>
              <w:bottom w:val="nil"/>
              <w:right w:val="nil"/>
            </w:tcBorders>
          </w:tcPr>
          <w:p w14:paraId="47CFFE6D"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180</w:t>
            </w:r>
          </w:p>
        </w:tc>
        <w:tc>
          <w:tcPr>
            <w:tcW w:w="448" w:type="dxa"/>
            <w:tcBorders>
              <w:top w:val="single" w:sz="4" w:space="0" w:color="auto"/>
              <w:left w:val="nil"/>
              <w:bottom w:val="nil"/>
              <w:right w:val="nil"/>
            </w:tcBorders>
          </w:tcPr>
          <w:p w14:paraId="1160687A"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20</w:t>
            </w:r>
          </w:p>
        </w:tc>
        <w:tc>
          <w:tcPr>
            <w:tcW w:w="630" w:type="dxa"/>
            <w:tcBorders>
              <w:top w:val="single" w:sz="4" w:space="0" w:color="auto"/>
              <w:left w:val="nil"/>
              <w:bottom w:val="nil"/>
              <w:right w:val="nil"/>
            </w:tcBorders>
          </w:tcPr>
          <w:p w14:paraId="3A94D1BC" w14:textId="77777777" w:rsidR="00BE4AF3" w:rsidRPr="0038623D" w:rsidRDefault="00BE4AF3" w:rsidP="0016089C">
            <w:pPr>
              <w:spacing w:after="0" w:line="240" w:lineRule="auto"/>
              <w:jc w:val="center"/>
              <w:rPr>
                <w:rFonts w:ascii="Times New Roman" w:eastAsia="Calibri" w:hAnsi="Times New Roman" w:cs="Times New Roman"/>
                <w:sz w:val="20"/>
                <w:szCs w:val="20"/>
              </w:rPr>
            </w:pPr>
            <w:r w:rsidRPr="0038623D">
              <w:rPr>
                <w:rFonts w:ascii="Times New Roman" w:eastAsia="Calibri" w:hAnsi="Times New Roman" w:cs="Times New Roman"/>
                <w:sz w:val="20"/>
                <w:szCs w:val="20"/>
              </w:rPr>
              <w:t>0</w:t>
            </w:r>
          </w:p>
        </w:tc>
        <w:tc>
          <w:tcPr>
            <w:tcW w:w="540" w:type="dxa"/>
            <w:tcBorders>
              <w:top w:val="single" w:sz="4" w:space="0" w:color="auto"/>
              <w:left w:val="nil"/>
              <w:bottom w:val="nil"/>
              <w:right w:val="nil"/>
            </w:tcBorders>
          </w:tcPr>
          <w:p w14:paraId="7A3EE2B9"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0</w:t>
            </w:r>
          </w:p>
        </w:tc>
        <w:tc>
          <w:tcPr>
            <w:tcW w:w="531" w:type="dxa"/>
            <w:tcBorders>
              <w:top w:val="single" w:sz="4" w:space="0" w:color="auto"/>
              <w:left w:val="nil"/>
              <w:bottom w:val="nil"/>
              <w:right w:val="nil"/>
            </w:tcBorders>
          </w:tcPr>
          <w:p w14:paraId="598CD3B5"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0</w:t>
            </w:r>
          </w:p>
        </w:tc>
        <w:tc>
          <w:tcPr>
            <w:tcW w:w="720" w:type="dxa"/>
            <w:tcBorders>
              <w:top w:val="single" w:sz="4" w:space="0" w:color="auto"/>
              <w:left w:val="nil"/>
              <w:bottom w:val="nil"/>
              <w:right w:val="nil"/>
            </w:tcBorders>
          </w:tcPr>
          <w:p w14:paraId="0AA2B461"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980</w:t>
            </w:r>
          </w:p>
        </w:tc>
        <w:tc>
          <w:tcPr>
            <w:tcW w:w="720" w:type="dxa"/>
            <w:tcBorders>
              <w:top w:val="single" w:sz="4" w:space="0" w:color="auto"/>
              <w:left w:val="nil"/>
              <w:bottom w:val="nil"/>
              <w:right w:val="nil"/>
            </w:tcBorders>
          </w:tcPr>
          <w:p w14:paraId="1EEE96C0"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0.98</w:t>
            </w:r>
          </w:p>
        </w:tc>
        <w:tc>
          <w:tcPr>
            <w:tcW w:w="970" w:type="dxa"/>
            <w:tcBorders>
              <w:top w:val="single" w:sz="4" w:space="0" w:color="auto"/>
              <w:left w:val="nil"/>
              <w:bottom w:val="nil"/>
              <w:right w:val="nil"/>
            </w:tcBorders>
          </w:tcPr>
          <w:p w14:paraId="421A0F5A"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2</w:t>
            </w:r>
            <w:r w:rsidRPr="0038623D">
              <w:rPr>
                <w:rFonts w:ascii="Times New Roman" w:eastAsia="SimSun" w:hAnsi="Times New Roman" w:cs="Times New Roman"/>
                <w:sz w:val="20"/>
                <w:szCs w:val="20"/>
                <w:vertAlign w:val="superscript"/>
              </w:rPr>
              <w:t>nd</w:t>
            </w:r>
            <w:r w:rsidRPr="0038623D">
              <w:rPr>
                <w:rFonts w:ascii="Times New Roman" w:eastAsia="SimSun" w:hAnsi="Times New Roman" w:cs="Times New Roman"/>
                <w:sz w:val="20"/>
                <w:szCs w:val="20"/>
              </w:rPr>
              <w:t xml:space="preserve"> </w:t>
            </w:r>
          </w:p>
        </w:tc>
      </w:tr>
      <w:tr w:rsidR="00BE4AF3" w:rsidRPr="0038623D" w14:paraId="4482EAB1" w14:textId="77777777" w:rsidTr="0038623D">
        <w:trPr>
          <w:trHeight w:val="260"/>
          <w:jc w:val="center"/>
        </w:trPr>
        <w:tc>
          <w:tcPr>
            <w:tcW w:w="3119" w:type="dxa"/>
            <w:tcBorders>
              <w:top w:val="nil"/>
              <w:left w:val="nil"/>
              <w:bottom w:val="nil"/>
              <w:right w:val="nil"/>
            </w:tcBorders>
          </w:tcPr>
          <w:p w14:paraId="3294AC35"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Transportation and mobility issues</w:t>
            </w:r>
          </w:p>
        </w:tc>
        <w:tc>
          <w:tcPr>
            <w:tcW w:w="630" w:type="dxa"/>
            <w:tcBorders>
              <w:top w:val="nil"/>
              <w:left w:val="nil"/>
              <w:bottom w:val="nil"/>
              <w:right w:val="nil"/>
            </w:tcBorders>
          </w:tcPr>
          <w:p w14:paraId="0C9F411A"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120</w:t>
            </w:r>
          </w:p>
        </w:tc>
        <w:tc>
          <w:tcPr>
            <w:tcW w:w="448" w:type="dxa"/>
            <w:tcBorders>
              <w:top w:val="nil"/>
              <w:left w:val="nil"/>
              <w:bottom w:val="nil"/>
              <w:right w:val="nil"/>
            </w:tcBorders>
          </w:tcPr>
          <w:p w14:paraId="54913FBC"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 xml:space="preserve">70 </w:t>
            </w:r>
          </w:p>
        </w:tc>
        <w:tc>
          <w:tcPr>
            <w:tcW w:w="630" w:type="dxa"/>
            <w:tcBorders>
              <w:top w:val="nil"/>
              <w:left w:val="nil"/>
              <w:bottom w:val="nil"/>
              <w:right w:val="nil"/>
            </w:tcBorders>
          </w:tcPr>
          <w:p w14:paraId="6346FF76"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10</w:t>
            </w:r>
          </w:p>
        </w:tc>
        <w:tc>
          <w:tcPr>
            <w:tcW w:w="540" w:type="dxa"/>
            <w:tcBorders>
              <w:top w:val="nil"/>
              <w:left w:val="nil"/>
              <w:bottom w:val="nil"/>
              <w:right w:val="nil"/>
            </w:tcBorders>
          </w:tcPr>
          <w:p w14:paraId="35C34ED9"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0</w:t>
            </w:r>
          </w:p>
        </w:tc>
        <w:tc>
          <w:tcPr>
            <w:tcW w:w="531" w:type="dxa"/>
            <w:tcBorders>
              <w:top w:val="nil"/>
              <w:left w:val="nil"/>
              <w:bottom w:val="nil"/>
              <w:right w:val="nil"/>
            </w:tcBorders>
          </w:tcPr>
          <w:p w14:paraId="20B4B3C6"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0</w:t>
            </w:r>
          </w:p>
        </w:tc>
        <w:tc>
          <w:tcPr>
            <w:tcW w:w="720" w:type="dxa"/>
            <w:tcBorders>
              <w:top w:val="nil"/>
              <w:left w:val="nil"/>
              <w:bottom w:val="nil"/>
              <w:right w:val="nil"/>
            </w:tcBorders>
          </w:tcPr>
          <w:p w14:paraId="4F617DB5"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880</w:t>
            </w:r>
          </w:p>
        </w:tc>
        <w:tc>
          <w:tcPr>
            <w:tcW w:w="720" w:type="dxa"/>
            <w:tcBorders>
              <w:top w:val="nil"/>
              <w:left w:val="nil"/>
              <w:bottom w:val="nil"/>
              <w:right w:val="nil"/>
            </w:tcBorders>
          </w:tcPr>
          <w:p w14:paraId="6A206D3B"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0.88</w:t>
            </w:r>
          </w:p>
        </w:tc>
        <w:tc>
          <w:tcPr>
            <w:tcW w:w="970" w:type="dxa"/>
            <w:tcBorders>
              <w:top w:val="nil"/>
              <w:left w:val="nil"/>
              <w:bottom w:val="nil"/>
              <w:right w:val="nil"/>
            </w:tcBorders>
          </w:tcPr>
          <w:p w14:paraId="790B6086"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4</w:t>
            </w:r>
            <w:r w:rsidRPr="0038623D">
              <w:rPr>
                <w:rFonts w:ascii="Times New Roman" w:eastAsia="SimSun" w:hAnsi="Times New Roman" w:cs="Times New Roman"/>
                <w:sz w:val="20"/>
                <w:szCs w:val="20"/>
                <w:vertAlign w:val="superscript"/>
              </w:rPr>
              <w:t>th</w:t>
            </w:r>
            <w:r w:rsidRPr="0038623D">
              <w:rPr>
                <w:rFonts w:ascii="Times New Roman" w:eastAsia="SimSun" w:hAnsi="Times New Roman" w:cs="Times New Roman"/>
                <w:sz w:val="20"/>
                <w:szCs w:val="20"/>
              </w:rPr>
              <w:t xml:space="preserve"> </w:t>
            </w:r>
          </w:p>
        </w:tc>
      </w:tr>
      <w:tr w:rsidR="00BE4AF3" w:rsidRPr="0038623D" w14:paraId="280A3280" w14:textId="77777777" w:rsidTr="0038623D">
        <w:trPr>
          <w:trHeight w:val="260"/>
          <w:jc w:val="center"/>
        </w:trPr>
        <w:tc>
          <w:tcPr>
            <w:tcW w:w="3119" w:type="dxa"/>
            <w:tcBorders>
              <w:top w:val="nil"/>
              <w:left w:val="nil"/>
              <w:bottom w:val="nil"/>
              <w:right w:val="nil"/>
            </w:tcBorders>
          </w:tcPr>
          <w:p w14:paraId="6D72656F"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Public health risks</w:t>
            </w:r>
          </w:p>
        </w:tc>
        <w:tc>
          <w:tcPr>
            <w:tcW w:w="630" w:type="dxa"/>
            <w:tcBorders>
              <w:top w:val="nil"/>
              <w:left w:val="nil"/>
              <w:bottom w:val="nil"/>
              <w:right w:val="nil"/>
            </w:tcBorders>
          </w:tcPr>
          <w:p w14:paraId="58AA4B0F"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130</w:t>
            </w:r>
          </w:p>
        </w:tc>
        <w:tc>
          <w:tcPr>
            <w:tcW w:w="448" w:type="dxa"/>
            <w:tcBorders>
              <w:top w:val="nil"/>
              <w:left w:val="nil"/>
              <w:bottom w:val="nil"/>
              <w:right w:val="nil"/>
            </w:tcBorders>
          </w:tcPr>
          <w:p w14:paraId="180E627B"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10</w:t>
            </w:r>
          </w:p>
        </w:tc>
        <w:tc>
          <w:tcPr>
            <w:tcW w:w="630" w:type="dxa"/>
            <w:tcBorders>
              <w:top w:val="nil"/>
              <w:left w:val="nil"/>
              <w:bottom w:val="nil"/>
              <w:right w:val="nil"/>
            </w:tcBorders>
          </w:tcPr>
          <w:p w14:paraId="7AE4CEF7"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20</w:t>
            </w:r>
          </w:p>
        </w:tc>
        <w:tc>
          <w:tcPr>
            <w:tcW w:w="540" w:type="dxa"/>
            <w:tcBorders>
              <w:top w:val="nil"/>
              <w:left w:val="nil"/>
              <w:bottom w:val="nil"/>
              <w:right w:val="nil"/>
            </w:tcBorders>
          </w:tcPr>
          <w:p w14:paraId="36E4C21B"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30</w:t>
            </w:r>
          </w:p>
        </w:tc>
        <w:tc>
          <w:tcPr>
            <w:tcW w:w="531" w:type="dxa"/>
            <w:tcBorders>
              <w:top w:val="nil"/>
              <w:left w:val="nil"/>
              <w:bottom w:val="nil"/>
              <w:right w:val="nil"/>
            </w:tcBorders>
          </w:tcPr>
          <w:p w14:paraId="00F760B3"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10</w:t>
            </w:r>
          </w:p>
        </w:tc>
        <w:tc>
          <w:tcPr>
            <w:tcW w:w="720" w:type="dxa"/>
            <w:tcBorders>
              <w:top w:val="nil"/>
              <w:left w:val="nil"/>
              <w:bottom w:val="nil"/>
              <w:right w:val="nil"/>
            </w:tcBorders>
          </w:tcPr>
          <w:p w14:paraId="2D45732B"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820</w:t>
            </w:r>
          </w:p>
        </w:tc>
        <w:tc>
          <w:tcPr>
            <w:tcW w:w="720" w:type="dxa"/>
            <w:tcBorders>
              <w:top w:val="nil"/>
              <w:left w:val="nil"/>
              <w:bottom w:val="nil"/>
              <w:right w:val="nil"/>
            </w:tcBorders>
          </w:tcPr>
          <w:p w14:paraId="5C5FFEAE"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0.82</w:t>
            </w:r>
          </w:p>
        </w:tc>
        <w:tc>
          <w:tcPr>
            <w:tcW w:w="970" w:type="dxa"/>
            <w:tcBorders>
              <w:top w:val="nil"/>
              <w:left w:val="nil"/>
              <w:bottom w:val="nil"/>
              <w:right w:val="nil"/>
            </w:tcBorders>
          </w:tcPr>
          <w:p w14:paraId="69BA382E"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5</w:t>
            </w:r>
            <w:r w:rsidRPr="0038623D">
              <w:rPr>
                <w:rFonts w:ascii="Times New Roman" w:eastAsia="SimSun" w:hAnsi="Times New Roman" w:cs="Times New Roman"/>
                <w:sz w:val="20"/>
                <w:szCs w:val="20"/>
                <w:vertAlign w:val="superscript"/>
              </w:rPr>
              <w:t>th</w:t>
            </w:r>
            <w:r w:rsidRPr="0038623D">
              <w:rPr>
                <w:rFonts w:ascii="Times New Roman" w:eastAsia="SimSun" w:hAnsi="Times New Roman" w:cs="Times New Roman"/>
                <w:sz w:val="20"/>
                <w:szCs w:val="20"/>
              </w:rPr>
              <w:t xml:space="preserve"> </w:t>
            </w:r>
          </w:p>
        </w:tc>
      </w:tr>
      <w:tr w:rsidR="00BE4AF3" w:rsidRPr="0038623D" w14:paraId="1FBF67E8" w14:textId="77777777" w:rsidTr="0038623D">
        <w:trPr>
          <w:trHeight w:val="260"/>
          <w:jc w:val="center"/>
        </w:trPr>
        <w:tc>
          <w:tcPr>
            <w:tcW w:w="3119" w:type="dxa"/>
            <w:tcBorders>
              <w:top w:val="nil"/>
              <w:left w:val="nil"/>
              <w:bottom w:val="nil"/>
              <w:right w:val="nil"/>
            </w:tcBorders>
          </w:tcPr>
          <w:p w14:paraId="2A4020A8"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Social and Economic factors</w:t>
            </w:r>
          </w:p>
        </w:tc>
        <w:tc>
          <w:tcPr>
            <w:tcW w:w="630" w:type="dxa"/>
            <w:tcBorders>
              <w:top w:val="nil"/>
              <w:left w:val="nil"/>
              <w:bottom w:val="nil"/>
              <w:right w:val="nil"/>
            </w:tcBorders>
          </w:tcPr>
          <w:p w14:paraId="7931A3CC"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200</w:t>
            </w:r>
          </w:p>
        </w:tc>
        <w:tc>
          <w:tcPr>
            <w:tcW w:w="448" w:type="dxa"/>
            <w:tcBorders>
              <w:top w:val="nil"/>
              <w:left w:val="nil"/>
              <w:bottom w:val="nil"/>
              <w:right w:val="nil"/>
            </w:tcBorders>
          </w:tcPr>
          <w:p w14:paraId="0065AFFD"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0</w:t>
            </w:r>
          </w:p>
        </w:tc>
        <w:tc>
          <w:tcPr>
            <w:tcW w:w="630" w:type="dxa"/>
            <w:tcBorders>
              <w:top w:val="nil"/>
              <w:left w:val="nil"/>
              <w:bottom w:val="nil"/>
              <w:right w:val="nil"/>
            </w:tcBorders>
          </w:tcPr>
          <w:p w14:paraId="581D3F85"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0</w:t>
            </w:r>
          </w:p>
        </w:tc>
        <w:tc>
          <w:tcPr>
            <w:tcW w:w="540" w:type="dxa"/>
            <w:tcBorders>
              <w:top w:val="nil"/>
              <w:left w:val="nil"/>
              <w:bottom w:val="nil"/>
              <w:right w:val="nil"/>
            </w:tcBorders>
          </w:tcPr>
          <w:p w14:paraId="751ABD83"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0</w:t>
            </w:r>
          </w:p>
        </w:tc>
        <w:tc>
          <w:tcPr>
            <w:tcW w:w="531" w:type="dxa"/>
            <w:tcBorders>
              <w:top w:val="nil"/>
              <w:left w:val="nil"/>
              <w:bottom w:val="nil"/>
              <w:right w:val="nil"/>
            </w:tcBorders>
          </w:tcPr>
          <w:p w14:paraId="1DE53DE8" w14:textId="77777777" w:rsidR="00BE4AF3" w:rsidRPr="0038623D" w:rsidRDefault="00BE4AF3" w:rsidP="0016089C">
            <w:pPr>
              <w:spacing w:after="0" w:line="240" w:lineRule="auto"/>
              <w:jc w:val="center"/>
              <w:rPr>
                <w:rFonts w:ascii="Times New Roman" w:eastAsia="Calibri" w:hAnsi="Times New Roman" w:cs="Times New Roman"/>
                <w:sz w:val="20"/>
                <w:szCs w:val="20"/>
              </w:rPr>
            </w:pPr>
            <w:r w:rsidRPr="0038623D">
              <w:rPr>
                <w:rFonts w:ascii="Times New Roman" w:eastAsia="Calibri" w:hAnsi="Times New Roman" w:cs="Times New Roman"/>
                <w:sz w:val="20"/>
                <w:szCs w:val="20"/>
              </w:rPr>
              <w:t>0</w:t>
            </w:r>
          </w:p>
        </w:tc>
        <w:tc>
          <w:tcPr>
            <w:tcW w:w="720" w:type="dxa"/>
            <w:tcBorders>
              <w:top w:val="nil"/>
              <w:left w:val="nil"/>
              <w:bottom w:val="nil"/>
              <w:right w:val="nil"/>
            </w:tcBorders>
          </w:tcPr>
          <w:p w14:paraId="7E84B5BC"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1000</w:t>
            </w:r>
          </w:p>
        </w:tc>
        <w:tc>
          <w:tcPr>
            <w:tcW w:w="720" w:type="dxa"/>
            <w:tcBorders>
              <w:top w:val="nil"/>
              <w:left w:val="nil"/>
              <w:bottom w:val="nil"/>
              <w:right w:val="nil"/>
            </w:tcBorders>
          </w:tcPr>
          <w:p w14:paraId="443CDFF0"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1.00</w:t>
            </w:r>
          </w:p>
        </w:tc>
        <w:tc>
          <w:tcPr>
            <w:tcW w:w="970" w:type="dxa"/>
            <w:tcBorders>
              <w:top w:val="nil"/>
              <w:left w:val="nil"/>
              <w:bottom w:val="nil"/>
              <w:right w:val="nil"/>
            </w:tcBorders>
          </w:tcPr>
          <w:p w14:paraId="6E67D0BA"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1</w:t>
            </w:r>
            <w:r w:rsidRPr="0038623D">
              <w:rPr>
                <w:rFonts w:ascii="Times New Roman" w:eastAsia="SimSun" w:hAnsi="Times New Roman" w:cs="Times New Roman"/>
                <w:sz w:val="20"/>
                <w:szCs w:val="20"/>
                <w:vertAlign w:val="superscript"/>
              </w:rPr>
              <w:t>st</w:t>
            </w:r>
            <w:r w:rsidRPr="0038623D">
              <w:rPr>
                <w:rFonts w:ascii="Times New Roman" w:eastAsia="SimSun" w:hAnsi="Times New Roman" w:cs="Times New Roman"/>
                <w:sz w:val="20"/>
                <w:szCs w:val="20"/>
              </w:rPr>
              <w:t xml:space="preserve"> </w:t>
            </w:r>
          </w:p>
        </w:tc>
      </w:tr>
      <w:tr w:rsidR="00BE4AF3" w:rsidRPr="0038623D" w14:paraId="3B11CCC2" w14:textId="77777777" w:rsidTr="0038623D">
        <w:trPr>
          <w:trHeight w:val="260"/>
          <w:jc w:val="center"/>
        </w:trPr>
        <w:tc>
          <w:tcPr>
            <w:tcW w:w="3119" w:type="dxa"/>
            <w:tcBorders>
              <w:top w:val="nil"/>
              <w:left w:val="nil"/>
              <w:bottom w:val="nil"/>
              <w:right w:val="nil"/>
            </w:tcBorders>
          </w:tcPr>
          <w:p w14:paraId="0D01FE56"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Environmental pressures</w:t>
            </w:r>
          </w:p>
        </w:tc>
        <w:tc>
          <w:tcPr>
            <w:tcW w:w="630" w:type="dxa"/>
            <w:tcBorders>
              <w:top w:val="nil"/>
              <w:left w:val="nil"/>
              <w:bottom w:val="nil"/>
              <w:right w:val="nil"/>
            </w:tcBorders>
          </w:tcPr>
          <w:p w14:paraId="2086CE8F"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160</w:t>
            </w:r>
          </w:p>
        </w:tc>
        <w:tc>
          <w:tcPr>
            <w:tcW w:w="448" w:type="dxa"/>
            <w:tcBorders>
              <w:top w:val="nil"/>
              <w:left w:val="nil"/>
              <w:bottom w:val="nil"/>
              <w:right w:val="nil"/>
            </w:tcBorders>
          </w:tcPr>
          <w:p w14:paraId="6EAF08F5"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30</w:t>
            </w:r>
          </w:p>
        </w:tc>
        <w:tc>
          <w:tcPr>
            <w:tcW w:w="630" w:type="dxa"/>
            <w:tcBorders>
              <w:top w:val="nil"/>
              <w:left w:val="nil"/>
              <w:bottom w:val="nil"/>
              <w:right w:val="nil"/>
            </w:tcBorders>
          </w:tcPr>
          <w:p w14:paraId="4BF78402"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05</w:t>
            </w:r>
          </w:p>
        </w:tc>
        <w:tc>
          <w:tcPr>
            <w:tcW w:w="540" w:type="dxa"/>
            <w:tcBorders>
              <w:top w:val="nil"/>
              <w:left w:val="nil"/>
              <w:bottom w:val="nil"/>
              <w:right w:val="nil"/>
            </w:tcBorders>
          </w:tcPr>
          <w:p w14:paraId="719014DE"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05</w:t>
            </w:r>
          </w:p>
        </w:tc>
        <w:tc>
          <w:tcPr>
            <w:tcW w:w="531" w:type="dxa"/>
            <w:tcBorders>
              <w:top w:val="nil"/>
              <w:left w:val="nil"/>
              <w:bottom w:val="nil"/>
              <w:right w:val="nil"/>
            </w:tcBorders>
          </w:tcPr>
          <w:p w14:paraId="3F7D882D" w14:textId="77777777" w:rsidR="00BE4AF3" w:rsidRPr="0038623D" w:rsidRDefault="00BE4AF3" w:rsidP="0016089C">
            <w:pPr>
              <w:spacing w:after="0" w:line="240" w:lineRule="auto"/>
              <w:jc w:val="center"/>
              <w:rPr>
                <w:rFonts w:ascii="Times New Roman" w:eastAsia="Calibri" w:hAnsi="Times New Roman" w:cs="Times New Roman"/>
                <w:sz w:val="20"/>
                <w:szCs w:val="20"/>
              </w:rPr>
            </w:pPr>
            <w:r w:rsidRPr="0038623D">
              <w:rPr>
                <w:rFonts w:ascii="Times New Roman" w:eastAsia="Calibri" w:hAnsi="Times New Roman" w:cs="Times New Roman"/>
                <w:sz w:val="20"/>
                <w:szCs w:val="20"/>
              </w:rPr>
              <w:t>0</w:t>
            </w:r>
          </w:p>
        </w:tc>
        <w:tc>
          <w:tcPr>
            <w:tcW w:w="720" w:type="dxa"/>
            <w:tcBorders>
              <w:top w:val="nil"/>
              <w:left w:val="nil"/>
              <w:bottom w:val="nil"/>
              <w:right w:val="nil"/>
            </w:tcBorders>
          </w:tcPr>
          <w:p w14:paraId="4DDE062E"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945</w:t>
            </w:r>
          </w:p>
        </w:tc>
        <w:tc>
          <w:tcPr>
            <w:tcW w:w="720" w:type="dxa"/>
            <w:tcBorders>
              <w:top w:val="nil"/>
              <w:left w:val="nil"/>
              <w:bottom w:val="nil"/>
              <w:right w:val="nil"/>
            </w:tcBorders>
          </w:tcPr>
          <w:p w14:paraId="599FF8C3"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0.95</w:t>
            </w:r>
          </w:p>
        </w:tc>
        <w:tc>
          <w:tcPr>
            <w:tcW w:w="970" w:type="dxa"/>
            <w:tcBorders>
              <w:top w:val="nil"/>
              <w:left w:val="nil"/>
              <w:bottom w:val="nil"/>
              <w:right w:val="nil"/>
            </w:tcBorders>
          </w:tcPr>
          <w:p w14:paraId="691739D0"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3</w:t>
            </w:r>
            <w:r w:rsidRPr="0038623D">
              <w:rPr>
                <w:rFonts w:ascii="Times New Roman" w:eastAsia="SimSun" w:hAnsi="Times New Roman" w:cs="Times New Roman"/>
                <w:sz w:val="20"/>
                <w:szCs w:val="20"/>
                <w:vertAlign w:val="superscript"/>
              </w:rPr>
              <w:t>rd</w:t>
            </w:r>
            <w:r w:rsidRPr="0038623D">
              <w:rPr>
                <w:rFonts w:ascii="Times New Roman" w:eastAsia="SimSun" w:hAnsi="Times New Roman" w:cs="Times New Roman"/>
                <w:sz w:val="20"/>
                <w:szCs w:val="20"/>
              </w:rPr>
              <w:t xml:space="preserve"> </w:t>
            </w:r>
          </w:p>
        </w:tc>
      </w:tr>
      <w:tr w:rsidR="00BE4AF3" w:rsidRPr="0038623D" w14:paraId="07408D05" w14:textId="77777777" w:rsidTr="0038623D">
        <w:trPr>
          <w:trHeight w:val="260"/>
          <w:jc w:val="center"/>
        </w:trPr>
        <w:tc>
          <w:tcPr>
            <w:tcW w:w="3119" w:type="dxa"/>
            <w:tcBorders>
              <w:top w:val="nil"/>
              <w:left w:val="nil"/>
              <w:bottom w:val="single" w:sz="4" w:space="0" w:color="auto"/>
              <w:right w:val="nil"/>
            </w:tcBorders>
          </w:tcPr>
          <w:p w14:paraId="34E91368"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Weak governance and planning</w:t>
            </w:r>
          </w:p>
        </w:tc>
        <w:tc>
          <w:tcPr>
            <w:tcW w:w="630" w:type="dxa"/>
            <w:tcBorders>
              <w:top w:val="nil"/>
              <w:left w:val="nil"/>
              <w:bottom w:val="single" w:sz="4" w:space="0" w:color="auto"/>
              <w:right w:val="nil"/>
            </w:tcBorders>
          </w:tcPr>
          <w:p w14:paraId="6C9A49F4"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120</w:t>
            </w:r>
          </w:p>
        </w:tc>
        <w:tc>
          <w:tcPr>
            <w:tcW w:w="448" w:type="dxa"/>
            <w:tcBorders>
              <w:top w:val="nil"/>
              <w:left w:val="nil"/>
              <w:bottom w:val="single" w:sz="4" w:space="0" w:color="auto"/>
              <w:right w:val="nil"/>
            </w:tcBorders>
          </w:tcPr>
          <w:p w14:paraId="76141949"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70</w:t>
            </w:r>
          </w:p>
        </w:tc>
        <w:tc>
          <w:tcPr>
            <w:tcW w:w="630" w:type="dxa"/>
            <w:tcBorders>
              <w:top w:val="nil"/>
              <w:left w:val="nil"/>
              <w:bottom w:val="single" w:sz="4" w:space="0" w:color="auto"/>
              <w:right w:val="nil"/>
            </w:tcBorders>
          </w:tcPr>
          <w:p w14:paraId="7C1B0B43"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10</w:t>
            </w:r>
          </w:p>
        </w:tc>
        <w:tc>
          <w:tcPr>
            <w:tcW w:w="540" w:type="dxa"/>
            <w:tcBorders>
              <w:top w:val="nil"/>
              <w:left w:val="nil"/>
              <w:bottom w:val="single" w:sz="4" w:space="0" w:color="auto"/>
              <w:right w:val="nil"/>
            </w:tcBorders>
          </w:tcPr>
          <w:p w14:paraId="348C1262"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0</w:t>
            </w:r>
          </w:p>
        </w:tc>
        <w:tc>
          <w:tcPr>
            <w:tcW w:w="531" w:type="dxa"/>
            <w:tcBorders>
              <w:top w:val="nil"/>
              <w:left w:val="nil"/>
              <w:bottom w:val="single" w:sz="4" w:space="0" w:color="auto"/>
              <w:right w:val="nil"/>
            </w:tcBorders>
          </w:tcPr>
          <w:p w14:paraId="7CAA1BFB" w14:textId="77777777" w:rsidR="00BE4AF3" w:rsidRPr="0038623D" w:rsidRDefault="00BE4AF3" w:rsidP="0016089C">
            <w:pPr>
              <w:spacing w:after="0" w:line="240" w:lineRule="auto"/>
              <w:jc w:val="center"/>
              <w:rPr>
                <w:rFonts w:ascii="Times New Roman" w:eastAsia="Calibri" w:hAnsi="Times New Roman" w:cs="Times New Roman"/>
                <w:sz w:val="20"/>
                <w:szCs w:val="20"/>
              </w:rPr>
            </w:pPr>
            <w:r w:rsidRPr="0038623D">
              <w:rPr>
                <w:rFonts w:ascii="Times New Roman" w:eastAsia="Calibri" w:hAnsi="Times New Roman" w:cs="Times New Roman"/>
                <w:sz w:val="20"/>
                <w:szCs w:val="20"/>
              </w:rPr>
              <w:t>0</w:t>
            </w:r>
          </w:p>
        </w:tc>
        <w:tc>
          <w:tcPr>
            <w:tcW w:w="720" w:type="dxa"/>
            <w:tcBorders>
              <w:top w:val="nil"/>
              <w:left w:val="nil"/>
              <w:bottom w:val="single" w:sz="4" w:space="0" w:color="auto"/>
              <w:right w:val="nil"/>
            </w:tcBorders>
          </w:tcPr>
          <w:p w14:paraId="250058FB"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880</w:t>
            </w:r>
          </w:p>
        </w:tc>
        <w:tc>
          <w:tcPr>
            <w:tcW w:w="720" w:type="dxa"/>
            <w:tcBorders>
              <w:top w:val="nil"/>
              <w:left w:val="nil"/>
              <w:bottom w:val="single" w:sz="4" w:space="0" w:color="auto"/>
              <w:right w:val="nil"/>
            </w:tcBorders>
          </w:tcPr>
          <w:p w14:paraId="19626522"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0.88</w:t>
            </w:r>
          </w:p>
        </w:tc>
        <w:tc>
          <w:tcPr>
            <w:tcW w:w="970" w:type="dxa"/>
            <w:tcBorders>
              <w:top w:val="nil"/>
              <w:left w:val="nil"/>
              <w:bottom w:val="single" w:sz="4" w:space="0" w:color="auto"/>
              <w:right w:val="nil"/>
            </w:tcBorders>
          </w:tcPr>
          <w:p w14:paraId="6ECE9BEC"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4</w:t>
            </w:r>
            <w:r w:rsidRPr="0038623D">
              <w:rPr>
                <w:rFonts w:ascii="Times New Roman" w:eastAsia="SimSun" w:hAnsi="Times New Roman" w:cs="Times New Roman"/>
                <w:sz w:val="20"/>
                <w:szCs w:val="20"/>
                <w:vertAlign w:val="superscript"/>
              </w:rPr>
              <w:t>th</w:t>
            </w:r>
            <w:r w:rsidRPr="0038623D">
              <w:rPr>
                <w:rFonts w:ascii="Times New Roman" w:eastAsia="SimSun" w:hAnsi="Times New Roman" w:cs="Times New Roman"/>
                <w:sz w:val="20"/>
                <w:szCs w:val="20"/>
              </w:rPr>
              <w:t xml:space="preserve"> </w:t>
            </w:r>
          </w:p>
        </w:tc>
      </w:tr>
    </w:tbl>
    <w:p w14:paraId="526EBC07" w14:textId="16ACADDA" w:rsidR="00BE4AF3" w:rsidRPr="0038623D" w:rsidRDefault="00BE4AF3" w:rsidP="0038623D">
      <w:pPr>
        <w:spacing w:after="0" w:line="240" w:lineRule="auto"/>
        <w:jc w:val="center"/>
        <w:rPr>
          <w:rFonts w:ascii="Times New Roman" w:hAnsi="Times New Roman" w:cs="Times New Roman"/>
          <w:sz w:val="24"/>
          <w:szCs w:val="24"/>
        </w:rPr>
      </w:pPr>
      <w:r w:rsidRPr="0038623D">
        <w:rPr>
          <w:rFonts w:ascii="Times New Roman" w:hAnsi="Times New Roman" w:cs="Times New Roman"/>
          <w:sz w:val="24"/>
          <w:szCs w:val="24"/>
        </w:rPr>
        <w:t>Source: Field survey, (2025)</w:t>
      </w:r>
    </w:p>
    <w:p w14:paraId="13894BA9" w14:textId="77777777" w:rsidR="0038623D" w:rsidRDefault="0038623D" w:rsidP="0016089C">
      <w:pPr>
        <w:spacing w:after="0" w:line="240" w:lineRule="auto"/>
        <w:jc w:val="both"/>
        <w:rPr>
          <w:rFonts w:ascii="Times New Roman" w:hAnsi="Times New Roman" w:cs="Times New Roman"/>
          <w:sz w:val="24"/>
          <w:szCs w:val="24"/>
        </w:rPr>
      </w:pPr>
    </w:p>
    <w:p w14:paraId="7D302FC2" w14:textId="79963C04" w:rsid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Table 2 reveal the outcome of the test conducted on the variables identified from previous literatures as those posing challenges to livable peri-urban areas. Out of the six critical variables so identified, social and economic factors ranked 1</w:t>
      </w:r>
      <w:r w:rsidRPr="00BE4AF3">
        <w:rPr>
          <w:rFonts w:ascii="Times New Roman" w:hAnsi="Times New Roman" w:cs="Times New Roman"/>
          <w:sz w:val="24"/>
          <w:szCs w:val="24"/>
          <w:vertAlign w:val="superscript"/>
        </w:rPr>
        <w:t>st</w:t>
      </w:r>
      <w:r w:rsidRPr="00BE4AF3">
        <w:rPr>
          <w:rFonts w:ascii="Times New Roman" w:hAnsi="Times New Roman" w:cs="Times New Roman"/>
          <w:sz w:val="24"/>
          <w:szCs w:val="24"/>
        </w:rPr>
        <w:t xml:space="preserve"> with an RII of 1.00 as the most influencing factor posing critical challenge to habitable peri urban areas. Most of the clients that have relocated from the city core of Osogbo, complained of the incessant rent review without recourse </w:t>
      </w:r>
      <w:r w:rsidRPr="00BE4AF3">
        <w:rPr>
          <w:rFonts w:ascii="Times New Roman" w:hAnsi="Times New Roman" w:cs="Times New Roman"/>
          <w:sz w:val="24"/>
          <w:szCs w:val="24"/>
        </w:rPr>
        <w:lastRenderedPageBreak/>
        <w:t>to the provisions of the law/rent edict on rent review clause. The issue of continuous rising land values due to improve urban infrastructure and high cost of living, is another factor pushing out the low-income household groups from the city core to the peri-urban areas with relative cheap land and living cost and proximate to city core area. Social inequalities, especially, where the informal settlements lack the basic social service and the issues of cultural tensions existing between the indigenous rural residents and the incoming urban migrants poses serious challenges to peri-urban settlements. On the other hand, infrastructure and amenities deficits in the peri-urban area is also another critical factor posing serious challenges to livable peri-urban settlements. This factor ranked 2</w:t>
      </w:r>
      <w:r w:rsidRPr="00BE4AF3">
        <w:rPr>
          <w:rFonts w:ascii="Times New Roman" w:hAnsi="Times New Roman" w:cs="Times New Roman"/>
          <w:sz w:val="24"/>
          <w:szCs w:val="24"/>
          <w:vertAlign w:val="superscript"/>
        </w:rPr>
        <w:t>nd</w:t>
      </w:r>
      <w:r w:rsidRPr="00BE4AF3">
        <w:rPr>
          <w:rFonts w:ascii="Times New Roman" w:hAnsi="Times New Roman" w:cs="Times New Roman"/>
          <w:sz w:val="24"/>
          <w:szCs w:val="24"/>
        </w:rPr>
        <w:t xml:space="preserve"> most impactful challenging factor with an RII of 0.98. The peri-urban areas often lack basic infrastructure and amenities and where they exist, such infrastructures are often outdated and overstretched thereby hampering economic growth. The least critical but important factor ranking 5</w:t>
      </w:r>
      <w:r w:rsidRPr="00BE4AF3">
        <w:rPr>
          <w:rFonts w:ascii="Times New Roman" w:hAnsi="Times New Roman" w:cs="Times New Roman"/>
          <w:sz w:val="24"/>
          <w:szCs w:val="24"/>
          <w:vertAlign w:val="superscript"/>
        </w:rPr>
        <w:t>th</w:t>
      </w:r>
      <w:r w:rsidRPr="00BE4AF3">
        <w:rPr>
          <w:rFonts w:ascii="Times New Roman" w:hAnsi="Times New Roman" w:cs="Times New Roman"/>
          <w:sz w:val="24"/>
          <w:szCs w:val="24"/>
        </w:rPr>
        <w:t xml:space="preserve"> with an RII of 0.82 is public health risks. Most of the peri-urban settlements faces the problem of inadequate waste management leading to the outbreak of infectious disease, limited access to healthcare facilities, water and air pollution from urban activities and industrial sites located proximate to the peri-urban zones. </w:t>
      </w:r>
    </w:p>
    <w:p w14:paraId="43A8DDB8" w14:textId="77777777" w:rsidR="0038623D" w:rsidRPr="00BE4AF3" w:rsidRDefault="0038623D" w:rsidP="0016089C">
      <w:pPr>
        <w:spacing w:after="0" w:line="240" w:lineRule="auto"/>
        <w:jc w:val="both"/>
        <w:rPr>
          <w:rFonts w:ascii="Times New Roman" w:hAnsi="Times New Roman" w:cs="Times New Roman"/>
          <w:sz w:val="24"/>
          <w:szCs w:val="24"/>
        </w:rPr>
      </w:pPr>
    </w:p>
    <w:p w14:paraId="3CA50FCD" w14:textId="77777777" w:rsidR="00BE4AF3" w:rsidRPr="00BE4AF3" w:rsidRDefault="00BE4AF3" w:rsidP="0016089C">
      <w:pPr>
        <w:spacing w:after="0" w:line="240" w:lineRule="auto"/>
        <w:jc w:val="both"/>
        <w:rPr>
          <w:rFonts w:ascii="Times New Roman" w:hAnsi="Times New Roman" w:cs="Times New Roman"/>
          <w:i/>
          <w:iCs/>
          <w:sz w:val="24"/>
          <w:szCs w:val="24"/>
        </w:rPr>
      </w:pPr>
      <w:r w:rsidRPr="00BE4AF3">
        <w:rPr>
          <w:rFonts w:ascii="Times New Roman" w:hAnsi="Times New Roman" w:cs="Times New Roman"/>
          <w:b/>
          <w:bCs/>
          <w:i/>
          <w:iCs/>
          <w:sz w:val="24"/>
          <w:szCs w:val="24"/>
        </w:rPr>
        <w:t>Mean Scores and Standard Deviations of Perceived Socioeconomic Determinants</w:t>
      </w:r>
    </w:p>
    <w:p w14:paraId="235BFBB9" w14:textId="77777777" w:rsid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Table 3 further explain the mean scores and standard deviations of the identified and isolated socioeconomic determinants of shift in clients’ preference in the study area.</w:t>
      </w:r>
    </w:p>
    <w:p w14:paraId="2862F7D0" w14:textId="77777777" w:rsidR="0038623D" w:rsidRPr="00BE4AF3" w:rsidRDefault="0038623D" w:rsidP="0016089C">
      <w:pPr>
        <w:spacing w:after="0" w:line="240" w:lineRule="auto"/>
        <w:jc w:val="both"/>
        <w:rPr>
          <w:rFonts w:ascii="Times New Roman" w:hAnsi="Times New Roman" w:cs="Times New Roman"/>
          <w:sz w:val="24"/>
          <w:szCs w:val="24"/>
        </w:rPr>
      </w:pPr>
    </w:p>
    <w:p w14:paraId="1AD4B04A" w14:textId="77777777" w:rsidR="00BE4AF3" w:rsidRPr="0038623D" w:rsidRDefault="00BE4AF3" w:rsidP="0038623D">
      <w:pPr>
        <w:spacing w:after="0" w:line="240" w:lineRule="auto"/>
        <w:jc w:val="center"/>
        <w:rPr>
          <w:rFonts w:ascii="Times New Roman" w:hAnsi="Times New Roman" w:cs="Times New Roman"/>
          <w:sz w:val="24"/>
          <w:szCs w:val="24"/>
        </w:rPr>
      </w:pPr>
      <w:r w:rsidRPr="00BE4AF3">
        <w:rPr>
          <w:rFonts w:ascii="Times New Roman" w:hAnsi="Times New Roman" w:cs="Times New Roman"/>
          <w:b/>
          <w:bCs/>
          <w:sz w:val="24"/>
          <w:szCs w:val="24"/>
        </w:rPr>
        <w:t xml:space="preserve">Table 3: </w:t>
      </w:r>
      <w:r w:rsidRPr="0038623D">
        <w:rPr>
          <w:rFonts w:ascii="Times New Roman" w:hAnsi="Times New Roman" w:cs="Times New Roman"/>
          <w:sz w:val="24"/>
          <w:szCs w:val="24"/>
        </w:rPr>
        <w:t>Mean Scores and Standard Deviations of Perceived Socioeconomic Determinants</w:t>
      </w:r>
    </w:p>
    <w:tbl>
      <w:tblPr>
        <w:tblStyle w:val="TableGrid"/>
        <w:tblW w:w="0" w:type="auto"/>
        <w:jc w:val="center"/>
        <w:tblLook w:val="04A0" w:firstRow="1" w:lastRow="0" w:firstColumn="1" w:lastColumn="0" w:noHBand="0" w:noVBand="1"/>
      </w:tblPr>
      <w:tblGrid>
        <w:gridCol w:w="4253"/>
        <w:gridCol w:w="1425"/>
        <w:gridCol w:w="1835"/>
      </w:tblGrid>
      <w:tr w:rsidR="00BE4AF3" w:rsidRPr="0038623D" w14:paraId="66B22C0A" w14:textId="77777777" w:rsidTr="0038623D">
        <w:trPr>
          <w:jc w:val="center"/>
        </w:trPr>
        <w:tc>
          <w:tcPr>
            <w:tcW w:w="4253" w:type="dxa"/>
            <w:tcBorders>
              <w:left w:val="nil"/>
              <w:bottom w:val="single" w:sz="4" w:space="0" w:color="auto"/>
              <w:right w:val="nil"/>
            </w:tcBorders>
          </w:tcPr>
          <w:p w14:paraId="6C7BD6AE"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Driver/Determiner</w:t>
            </w:r>
          </w:p>
        </w:tc>
        <w:tc>
          <w:tcPr>
            <w:tcW w:w="1425" w:type="dxa"/>
            <w:tcBorders>
              <w:left w:val="nil"/>
              <w:bottom w:val="single" w:sz="4" w:space="0" w:color="auto"/>
              <w:right w:val="nil"/>
            </w:tcBorders>
          </w:tcPr>
          <w:p w14:paraId="65E7BC35"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Mean</w:t>
            </w:r>
          </w:p>
        </w:tc>
        <w:tc>
          <w:tcPr>
            <w:tcW w:w="1835" w:type="dxa"/>
            <w:tcBorders>
              <w:left w:val="nil"/>
              <w:bottom w:val="single" w:sz="4" w:space="0" w:color="auto"/>
              <w:right w:val="nil"/>
            </w:tcBorders>
          </w:tcPr>
          <w:p w14:paraId="062C25C8"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Standard Deviation</w:t>
            </w:r>
          </w:p>
        </w:tc>
      </w:tr>
      <w:tr w:rsidR="00BE4AF3" w:rsidRPr="0038623D" w14:paraId="2DBE2FE3" w14:textId="77777777" w:rsidTr="0038623D">
        <w:trPr>
          <w:jc w:val="center"/>
        </w:trPr>
        <w:tc>
          <w:tcPr>
            <w:tcW w:w="4253" w:type="dxa"/>
            <w:tcBorders>
              <w:left w:val="nil"/>
              <w:bottom w:val="nil"/>
              <w:right w:val="nil"/>
            </w:tcBorders>
          </w:tcPr>
          <w:p w14:paraId="5C507949"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Economic Reason /Affordability</w:t>
            </w:r>
          </w:p>
        </w:tc>
        <w:tc>
          <w:tcPr>
            <w:tcW w:w="1425" w:type="dxa"/>
            <w:tcBorders>
              <w:left w:val="nil"/>
              <w:bottom w:val="nil"/>
              <w:right w:val="nil"/>
            </w:tcBorders>
          </w:tcPr>
          <w:p w14:paraId="1649D6D0"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4.45</w:t>
            </w:r>
          </w:p>
        </w:tc>
        <w:tc>
          <w:tcPr>
            <w:tcW w:w="1835" w:type="dxa"/>
            <w:tcBorders>
              <w:left w:val="nil"/>
              <w:bottom w:val="nil"/>
              <w:right w:val="nil"/>
            </w:tcBorders>
          </w:tcPr>
          <w:p w14:paraId="29C2B59E"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0.65</w:t>
            </w:r>
          </w:p>
        </w:tc>
      </w:tr>
      <w:tr w:rsidR="00BE4AF3" w:rsidRPr="0038623D" w14:paraId="7BAC6892" w14:textId="77777777" w:rsidTr="0038623D">
        <w:trPr>
          <w:jc w:val="center"/>
        </w:trPr>
        <w:tc>
          <w:tcPr>
            <w:tcW w:w="4253" w:type="dxa"/>
            <w:tcBorders>
              <w:top w:val="nil"/>
              <w:left w:val="nil"/>
              <w:bottom w:val="nil"/>
              <w:right w:val="nil"/>
            </w:tcBorders>
          </w:tcPr>
          <w:p w14:paraId="743FE7DC"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Larger Living Space</w:t>
            </w:r>
          </w:p>
        </w:tc>
        <w:tc>
          <w:tcPr>
            <w:tcW w:w="1425" w:type="dxa"/>
            <w:tcBorders>
              <w:top w:val="nil"/>
              <w:left w:val="nil"/>
              <w:bottom w:val="nil"/>
              <w:right w:val="nil"/>
            </w:tcBorders>
          </w:tcPr>
          <w:p w14:paraId="52AEDF4D"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4.38</w:t>
            </w:r>
          </w:p>
        </w:tc>
        <w:tc>
          <w:tcPr>
            <w:tcW w:w="1835" w:type="dxa"/>
            <w:tcBorders>
              <w:top w:val="nil"/>
              <w:left w:val="nil"/>
              <w:bottom w:val="nil"/>
              <w:right w:val="nil"/>
            </w:tcBorders>
          </w:tcPr>
          <w:p w14:paraId="19B97AE5"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0.72</w:t>
            </w:r>
          </w:p>
        </w:tc>
      </w:tr>
      <w:tr w:rsidR="00BE4AF3" w:rsidRPr="0038623D" w14:paraId="40355862" w14:textId="77777777" w:rsidTr="0038623D">
        <w:trPr>
          <w:jc w:val="center"/>
        </w:trPr>
        <w:tc>
          <w:tcPr>
            <w:tcW w:w="4253" w:type="dxa"/>
            <w:tcBorders>
              <w:top w:val="nil"/>
              <w:left w:val="nil"/>
              <w:bottom w:val="nil"/>
              <w:right w:val="nil"/>
            </w:tcBorders>
          </w:tcPr>
          <w:p w14:paraId="2034B0E3"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Healthier Environment</w:t>
            </w:r>
          </w:p>
        </w:tc>
        <w:tc>
          <w:tcPr>
            <w:tcW w:w="1425" w:type="dxa"/>
            <w:tcBorders>
              <w:top w:val="nil"/>
              <w:left w:val="nil"/>
              <w:bottom w:val="nil"/>
              <w:right w:val="nil"/>
            </w:tcBorders>
          </w:tcPr>
          <w:p w14:paraId="2072B415"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4.31</w:t>
            </w:r>
          </w:p>
        </w:tc>
        <w:tc>
          <w:tcPr>
            <w:tcW w:w="1835" w:type="dxa"/>
            <w:tcBorders>
              <w:top w:val="nil"/>
              <w:left w:val="nil"/>
              <w:bottom w:val="nil"/>
              <w:right w:val="nil"/>
            </w:tcBorders>
          </w:tcPr>
          <w:p w14:paraId="6B734545"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0.70</w:t>
            </w:r>
          </w:p>
        </w:tc>
      </w:tr>
      <w:tr w:rsidR="00BE4AF3" w:rsidRPr="0038623D" w14:paraId="321C2815" w14:textId="77777777" w:rsidTr="0038623D">
        <w:trPr>
          <w:jc w:val="center"/>
        </w:trPr>
        <w:tc>
          <w:tcPr>
            <w:tcW w:w="4253" w:type="dxa"/>
            <w:tcBorders>
              <w:top w:val="nil"/>
              <w:left w:val="nil"/>
              <w:bottom w:val="nil"/>
              <w:right w:val="nil"/>
            </w:tcBorders>
          </w:tcPr>
          <w:p w14:paraId="598C8C3B"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Reduced Congestion</w:t>
            </w:r>
          </w:p>
        </w:tc>
        <w:tc>
          <w:tcPr>
            <w:tcW w:w="1425" w:type="dxa"/>
            <w:tcBorders>
              <w:top w:val="nil"/>
              <w:left w:val="nil"/>
              <w:bottom w:val="nil"/>
              <w:right w:val="nil"/>
            </w:tcBorders>
          </w:tcPr>
          <w:p w14:paraId="7FEC8B19"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4.20</w:t>
            </w:r>
          </w:p>
        </w:tc>
        <w:tc>
          <w:tcPr>
            <w:tcW w:w="1835" w:type="dxa"/>
            <w:tcBorders>
              <w:top w:val="nil"/>
              <w:left w:val="nil"/>
              <w:bottom w:val="nil"/>
              <w:right w:val="nil"/>
            </w:tcBorders>
          </w:tcPr>
          <w:p w14:paraId="30A12BDA"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0.74</w:t>
            </w:r>
          </w:p>
        </w:tc>
      </w:tr>
      <w:tr w:rsidR="00BE4AF3" w:rsidRPr="0038623D" w14:paraId="1F5DA6D8" w14:textId="77777777" w:rsidTr="0038623D">
        <w:trPr>
          <w:jc w:val="center"/>
        </w:trPr>
        <w:tc>
          <w:tcPr>
            <w:tcW w:w="4253" w:type="dxa"/>
            <w:tcBorders>
              <w:top w:val="nil"/>
              <w:left w:val="nil"/>
              <w:right w:val="nil"/>
            </w:tcBorders>
          </w:tcPr>
          <w:p w14:paraId="7D3A77F4"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Remote work feasibility/proximity to workplace</w:t>
            </w:r>
          </w:p>
        </w:tc>
        <w:tc>
          <w:tcPr>
            <w:tcW w:w="1425" w:type="dxa"/>
            <w:tcBorders>
              <w:top w:val="nil"/>
              <w:left w:val="nil"/>
              <w:right w:val="nil"/>
            </w:tcBorders>
          </w:tcPr>
          <w:p w14:paraId="4718D309"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3.85</w:t>
            </w:r>
          </w:p>
        </w:tc>
        <w:tc>
          <w:tcPr>
            <w:tcW w:w="1835" w:type="dxa"/>
            <w:tcBorders>
              <w:top w:val="nil"/>
              <w:left w:val="nil"/>
              <w:right w:val="nil"/>
            </w:tcBorders>
          </w:tcPr>
          <w:p w14:paraId="1E64E2CD" w14:textId="77777777" w:rsidR="00BE4AF3" w:rsidRPr="0038623D" w:rsidRDefault="00BE4AF3" w:rsidP="0016089C">
            <w:pPr>
              <w:spacing w:after="0" w:line="240" w:lineRule="auto"/>
              <w:jc w:val="center"/>
              <w:rPr>
                <w:rFonts w:ascii="Times New Roman" w:hAnsi="Times New Roman" w:cs="Times New Roman"/>
                <w:sz w:val="20"/>
                <w:szCs w:val="20"/>
              </w:rPr>
            </w:pPr>
            <w:r w:rsidRPr="0038623D">
              <w:rPr>
                <w:rFonts w:ascii="Times New Roman" w:eastAsia="SimSun" w:hAnsi="Times New Roman" w:cs="Times New Roman"/>
                <w:sz w:val="20"/>
                <w:szCs w:val="20"/>
              </w:rPr>
              <w:t>0.81</w:t>
            </w:r>
          </w:p>
        </w:tc>
      </w:tr>
    </w:tbl>
    <w:p w14:paraId="66D6742C" w14:textId="77777777" w:rsidR="00BE4AF3" w:rsidRDefault="00BE4AF3" w:rsidP="0038623D">
      <w:pPr>
        <w:spacing w:after="0" w:line="240" w:lineRule="auto"/>
        <w:jc w:val="center"/>
        <w:rPr>
          <w:rFonts w:ascii="Times New Roman" w:hAnsi="Times New Roman" w:cs="Times New Roman"/>
          <w:sz w:val="24"/>
          <w:szCs w:val="24"/>
        </w:rPr>
      </w:pPr>
      <w:r w:rsidRPr="0038623D">
        <w:rPr>
          <w:rFonts w:ascii="Times New Roman" w:hAnsi="Times New Roman" w:cs="Times New Roman"/>
          <w:sz w:val="24"/>
          <w:szCs w:val="24"/>
        </w:rPr>
        <w:t>Source: Field survey, (2025)</w:t>
      </w:r>
    </w:p>
    <w:p w14:paraId="2E115A6E" w14:textId="77777777" w:rsidR="0038623D" w:rsidRPr="0038623D" w:rsidRDefault="0038623D" w:rsidP="0038623D">
      <w:pPr>
        <w:spacing w:after="0" w:line="240" w:lineRule="auto"/>
        <w:jc w:val="center"/>
        <w:rPr>
          <w:rFonts w:ascii="Times New Roman" w:hAnsi="Times New Roman" w:cs="Times New Roman"/>
          <w:sz w:val="24"/>
          <w:szCs w:val="24"/>
        </w:rPr>
      </w:pPr>
    </w:p>
    <w:p w14:paraId="4C33B5AB" w14:textId="77777777" w:rsidR="00BE4AF3" w:rsidRP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findings of the study as reveal in Table 3 shows that all the shift in preference drivers presented are significant contributors to shifts in clients’ preferences of relocating from the Osogbo urban core to the peri-urban zones of Abere, Owode Ede, Ofatedo and Oba Ile. This is not in consonant with the common belief of most Nigerians, that people can move from the urban core to the suburbs. The Table further revealed that, the most critical reasons for such relocations are the economic or inability to afford the ever-increasing city rent and that of meeting up with other associated city life expenses, the opportunity of having larger living space at a cheaper rate or cost, having a healthier and serene neighbourhood, devoid of pollutions are the most critical drivers of the shifts in preferences. The findings of this study are consistent with the submissions of Adegun and Ajayi (2022) and Savills Research (2021).</w:t>
      </w:r>
    </w:p>
    <w:p w14:paraId="76CD3A5C" w14:textId="77777777" w:rsidR="00BE4AF3" w:rsidRP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Nevertheless, remote work feasibility/proximity to workplace scored least, but remain a strong factor as commuting challenges could pose a serious deterrent to an enjoyable peri-urban living. This mirrors Kombe (2005) caution on the need for adequate transport infrastructure, as peri-urban benefits may be offset by daily mobility stress. </w:t>
      </w:r>
    </w:p>
    <w:p w14:paraId="6D473A63" w14:textId="77777777" w:rsidR="0038623D"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Further tests were conducted to comprehend the level of involvement of clients’ income in the shift preferences and the income group or level that is the most affected. Tables 4,5 and 6 present the ANOVA, the Post Hoc and Chi-square tests on the drivers/determiner by income group and affordability by income group respectively.</w:t>
      </w:r>
    </w:p>
    <w:p w14:paraId="3E4B1006" w14:textId="77777777" w:rsidR="0038623D" w:rsidRDefault="0038623D" w:rsidP="0016089C">
      <w:pPr>
        <w:spacing w:after="0" w:line="240" w:lineRule="auto"/>
        <w:jc w:val="both"/>
        <w:rPr>
          <w:rFonts w:ascii="Times New Roman" w:hAnsi="Times New Roman" w:cs="Times New Roman"/>
          <w:sz w:val="24"/>
          <w:szCs w:val="24"/>
        </w:rPr>
      </w:pPr>
    </w:p>
    <w:p w14:paraId="3D827F08" w14:textId="77777777" w:rsidR="0038623D" w:rsidRDefault="0038623D" w:rsidP="0016089C">
      <w:pPr>
        <w:spacing w:after="0" w:line="240" w:lineRule="auto"/>
        <w:jc w:val="both"/>
        <w:rPr>
          <w:rFonts w:ascii="Times New Roman" w:hAnsi="Times New Roman" w:cs="Times New Roman"/>
          <w:sz w:val="24"/>
          <w:szCs w:val="24"/>
        </w:rPr>
      </w:pPr>
    </w:p>
    <w:p w14:paraId="68F6E78C" w14:textId="77777777" w:rsidR="0038623D" w:rsidRDefault="0038623D" w:rsidP="0016089C">
      <w:pPr>
        <w:spacing w:after="0" w:line="240" w:lineRule="auto"/>
        <w:jc w:val="both"/>
        <w:rPr>
          <w:rFonts w:ascii="Times New Roman" w:hAnsi="Times New Roman" w:cs="Times New Roman"/>
          <w:sz w:val="24"/>
          <w:szCs w:val="24"/>
        </w:rPr>
      </w:pPr>
    </w:p>
    <w:p w14:paraId="3A44C213" w14:textId="52502DB9" w:rsidR="00BE4AF3" w:rsidRP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 </w:t>
      </w:r>
    </w:p>
    <w:p w14:paraId="7AD6270B" w14:textId="77777777" w:rsidR="00BE4AF3" w:rsidRPr="0038623D" w:rsidRDefault="00BE4AF3" w:rsidP="0038623D">
      <w:pPr>
        <w:spacing w:after="0" w:line="240" w:lineRule="auto"/>
        <w:jc w:val="center"/>
        <w:rPr>
          <w:rFonts w:ascii="Times New Roman" w:hAnsi="Times New Roman" w:cs="Times New Roman"/>
          <w:sz w:val="24"/>
          <w:szCs w:val="24"/>
        </w:rPr>
      </w:pPr>
      <w:r w:rsidRPr="00BE4AF3">
        <w:rPr>
          <w:rFonts w:ascii="Times New Roman" w:hAnsi="Times New Roman" w:cs="Times New Roman"/>
          <w:b/>
          <w:bCs/>
          <w:sz w:val="24"/>
          <w:szCs w:val="24"/>
        </w:rPr>
        <w:lastRenderedPageBreak/>
        <w:t xml:space="preserve">Table 4: </w:t>
      </w:r>
      <w:r w:rsidRPr="0038623D">
        <w:rPr>
          <w:rFonts w:ascii="Times New Roman" w:hAnsi="Times New Roman" w:cs="Times New Roman"/>
          <w:sz w:val="24"/>
          <w:szCs w:val="24"/>
        </w:rPr>
        <w:t>ANOVA on Drivers by Income Group</w:t>
      </w:r>
    </w:p>
    <w:tbl>
      <w:tblPr>
        <w:tblStyle w:val="TableGrid"/>
        <w:tblW w:w="0" w:type="auto"/>
        <w:jc w:val="center"/>
        <w:tblLook w:val="04A0" w:firstRow="1" w:lastRow="0" w:firstColumn="1" w:lastColumn="0" w:noHBand="0" w:noVBand="1"/>
      </w:tblPr>
      <w:tblGrid>
        <w:gridCol w:w="2065"/>
        <w:gridCol w:w="1051"/>
        <w:gridCol w:w="1019"/>
        <w:gridCol w:w="900"/>
        <w:gridCol w:w="810"/>
        <w:gridCol w:w="1085"/>
      </w:tblGrid>
      <w:tr w:rsidR="00BE4AF3" w:rsidRPr="0038623D" w14:paraId="1A75AAA7" w14:textId="77777777" w:rsidTr="0038623D">
        <w:trPr>
          <w:jc w:val="center"/>
        </w:trPr>
        <w:tc>
          <w:tcPr>
            <w:tcW w:w="2065" w:type="dxa"/>
            <w:tcBorders>
              <w:left w:val="nil"/>
              <w:bottom w:val="single" w:sz="4" w:space="0" w:color="auto"/>
              <w:right w:val="nil"/>
            </w:tcBorders>
          </w:tcPr>
          <w:p w14:paraId="04A4D087"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Source</w:t>
            </w:r>
          </w:p>
        </w:tc>
        <w:tc>
          <w:tcPr>
            <w:tcW w:w="1051" w:type="dxa"/>
            <w:tcBorders>
              <w:left w:val="nil"/>
              <w:bottom w:val="single" w:sz="4" w:space="0" w:color="auto"/>
              <w:right w:val="nil"/>
            </w:tcBorders>
          </w:tcPr>
          <w:p w14:paraId="41E08483"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SS</w:t>
            </w:r>
          </w:p>
        </w:tc>
        <w:tc>
          <w:tcPr>
            <w:tcW w:w="1019" w:type="dxa"/>
            <w:tcBorders>
              <w:left w:val="nil"/>
              <w:bottom w:val="single" w:sz="4" w:space="0" w:color="auto"/>
              <w:right w:val="nil"/>
            </w:tcBorders>
          </w:tcPr>
          <w:p w14:paraId="5D487BA4"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Df</w:t>
            </w:r>
          </w:p>
        </w:tc>
        <w:tc>
          <w:tcPr>
            <w:tcW w:w="900" w:type="dxa"/>
            <w:tcBorders>
              <w:left w:val="nil"/>
              <w:bottom w:val="single" w:sz="4" w:space="0" w:color="auto"/>
              <w:right w:val="nil"/>
            </w:tcBorders>
          </w:tcPr>
          <w:p w14:paraId="40BC2B8E"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MS</w:t>
            </w:r>
          </w:p>
        </w:tc>
        <w:tc>
          <w:tcPr>
            <w:tcW w:w="810" w:type="dxa"/>
            <w:tcBorders>
              <w:left w:val="nil"/>
              <w:bottom w:val="single" w:sz="4" w:space="0" w:color="auto"/>
              <w:right w:val="nil"/>
            </w:tcBorders>
          </w:tcPr>
          <w:p w14:paraId="0DDFAC6C"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F</w:t>
            </w:r>
          </w:p>
        </w:tc>
        <w:tc>
          <w:tcPr>
            <w:tcW w:w="1085" w:type="dxa"/>
            <w:tcBorders>
              <w:left w:val="nil"/>
              <w:bottom w:val="single" w:sz="4" w:space="0" w:color="auto"/>
              <w:right w:val="nil"/>
            </w:tcBorders>
          </w:tcPr>
          <w:p w14:paraId="58E669CC"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P-value</w:t>
            </w:r>
          </w:p>
        </w:tc>
      </w:tr>
      <w:tr w:rsidR="00BE4AF3" w:rsidRPr="0038623D" w14:paraId="205D92E6" w14:textId="77777777" w:rsidTr="0038623D">
        <w:trPr>
          <w:jc w:val="center"/>
        </w:trPr>
        <w:tc>
          <w:tcPr>
            <w:tcW w:w="2065" w:type="dxa"/>
            <w:tcBorders>
              <w:left w:val="nil"/>
              <w:bottom w:val="nil"/>
              <w:right w:val="nil"/>
            </w:tcBorders>
          </w:tcPr>
          <w:p w14:paraId="2F207F97"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Between groups</w:t>
            </w:r>
          </w:p>
        </w:tc>
        <w:tc>
          <w:tcPr>
            <w:tcW w:w="1051" w:type="dxa"/>
            <w:tcBorders>
              <w:left w:val="nil"/>
              <w:bottom w:val="nil"/>
              <w:right w:val="nil"/>
            </w:tcBorders>
          </w:tcPr>
          <w:p w14:paraId="0CCBA32B"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8.214</w:t>
            </w:r>
          </w:p>
        </w:tc>
        <w:tc>
          <w:tcPr>
            <w:tcW w:w="1019" w:type="dxa"/>
            <w:tcBorders>
              <w:left w:val="nil"/>
              <w:bottom w:val="nil"/>
              <w:right w:val="nil"/>
            </w:tcBorders>
          </w:tcPr>
          <w:p w14:paraId="7B3F5DE4"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2</w:t>
            </w:r>
          </w:p>
        </w:tc>
        <w:tc>
          <w:tcPr>
            <w:tcW w:w="900" w:type="dxa"/>
            <w:tcBorders>
              <w:left w:val="nil"/>
              <w:bottom w:val="nil"/>
              <w:right w:val="nil"/>
            </w:tcBorders>
          </w:tcPr>
          <w:p w14:paraId="4901F9A6"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4.104</w:t>
            </w:r>
          </w:p>
        </w:tc>
        <w:tc>
          <w:tcPr>
            <w:tcW w:w="810" w:type="dxa"/>
            <w:tcBorders>
              <w:left w:val="nil"/>
              <w:bottom w:val="nil"/>
              <w:right w:val="nil"/>
            </w:tcBorders>
          </w:tcPr>
          <w:p w14:paraId="6BD33F07"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5.682</w:t>
            </w:r>
          </w:p>
        </w:tc>
        <w:tc>
          <w:tcPr>
            <w:tcW w:w="1085" w:type="dxa"/>
            <w:tcBorders>
              <w:left w:val="nil"/>
              <w:bottom w:val="nil"/>
              <w:right w:val="nil"/>
            </w:tcBorders>
          </w:tcPr>
          <w:p w14:paraId="2225D4B3"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0.004</w:t>
            </w:r>
          </w:p>
        </w:tc>
      </w:tr>
      <w:tr w:rsidR="00BE4AF3" w:rsidRPr="0038623D" w14:paraId="1FB60061" w14:textId="77777777" w:rsidTr="0038623D">
        <w:trPr>
          <w:jc w:val="center"/>
        </w:trPr>
        <w:tc>
          <w:tcPr>
            <w:tcW w:w="2065" w:type="dxa"/>
            <w:tcBorders>
              <w:top w:val="nil"/>
              <w:left w:val="nil"/>
              <w:bottom w:val="nil"/>
              <w:right w:val="nil"/>
            </w:tcBorders>
          </w:tcPr>
          <w:p w14:paraId="40D93A0D"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Within groups</w:t>
            </w:r>
          </w:p>
        </w:tc>
        <w:tc>
          <w:tcPr>
            <w:tcW w:w="1051" w:type="dxa"/>
            <w:tcBorders>
              <w:top w:val="nil"/>
              <w:left w:val="nil"/>
              <w:bottom w:val="nil"/>
              <w:right w:val="nil"/>
            </w:tcBorders>
          </w:tcPr>
          <w:p w14:paraId="6894DCE9"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142.12</w:t>
            </w:r>
          </w:p>
        </w:tc>
        <w:tc>
          <w:tcPr>
            <w:tcW w:w="1019" w:type="dxa"/>
            <w:tcBorders>
              <w:top w:val="nil"/>
              <w:left w:val="nil"/>
              <w:bottom w:val="nil"/>
              <w:right w:val="nil"/>
            </w:tcBorders>
          </w:tcPr>
          <w:p w14:paraId="31EBCED5"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197</w:t>
            </w:r>
          </w:p>
        </w:tc>
        <w:tc>
          <w:tcPr>
            <w:tcW w:w="900" w:type="dxa"/>
            <w:tcBorders>
              <w:top w:val="nil"/>
              <w:left w:val="nil"/>
              <w:bottom w:val="nil"/>
              <w:right w:val="nil"/>
            </w:tcBorders>
          </w:tcPr>
          <w:p w14:paraId="3E6A8258"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0.721</w:t>
            </w:r>
          </w:p>
        </w:tc>
        <w:tc>
          <w:tcPr>
            <w:tcW w:w="810" w:type="dxa"/>
            <w:tcBorders>
              <w:top w:val="nil"/>
              <w:left w:val="nil"/>
              <w:bottom w:val="nil"/>
              <w:right w:val="nil"/>
            </w:tcBorders>
          </w:tcPr>
          <w:p w14:paraId="17172FF4" w14:textId="77777777" w:rsidR="00BE4AF3" w:rsidRPr="0038623D" w:rsidRDefault="00BE4AF3" w:rsidP="0016089C">
            <w:pPr>
              <w:spacing w:after="0" w:line="240" w:lineRule="auto"/>
              <w:rPr>
                <w:rFonts w:ascii="Times New Roman" w:hAnsi="Times New Roman" w:cs="Times New Roman"/>
                <w:sz w:val="20"/>
                <w:szCs w:val="20"/>
              </w:rPr>
            </w:pPr>
          </w:p>
        </w:tc>
        <w:tc>
          <w:tcPr>
            <w:tcW w:w="1085" w:type="dxa"/>
            <w:tcBorders>
              <w:top w:val="nil"/>
              <w:left w:val="nil"/>
              <w:bottom w:val="nil"/>
              <w:right w:val="nil"/>
            </w:tcBorders>
          </w:tcPr>
          <w:p w14:paraId="6F977024" w14:textId="77777777" w:rsidR="00BE4AF3" w:rsidRPr="0038623D" w:rsidRDefault="00BE4AF3" w:rsidP="0016089C">
            <w:pPr>
              <w:spacing w:after="0" w:line="240" w:lineRule="auto"/>
              <w:rPr>
                <w:rFonts w:ascii="Times New Roman" w:hAnsi="Times New Roman" w:cs="Times New Roman"/>
                <w:sz w:val="20"/>
                <w:szCs w:val="20"/>
              </w:rPr>
            </w:pPr>
          </w:p>
        </w:tc>
      </w:tr>
      <w:tr w:rsidR="00BE4AF3" w:rsidRPr="0038623D" w14:paraId="025BAEC5" w14:textId="77777777" w:rsidTr="0038623D">
        <w:trPr>
          <w:jc w:val="center"/>
        </w:trPr>
        <w:tc>
          <w:tcPr>
            <w:tcW w:w="2065" w:type="dxa"/>
            <w:tcBorders>
              <w:top w:val="nil"/>
              <w:left w:val="nil"/>
              <w:right w:val="nil"/>
            </w:tcBorders>
          </w:tcPr>
          <w:p w14:paraId="243940E9"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Total</w:t>
            </w:r>
          </w:p>
        </w:tc>
        <w:tc>
          <w:tcPr>
            <w:tcW w:w="1051" w:type="dxa"/>
            <w:tcBorders>
              <w:top w:val="nil"/>
              <w:left w:val="nil"/>
              <w:right w:val="nil"/>
            </w:tcBorders>
          </w:tcPr>
          <w:p w14:paraId="437C02E9"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150.33</w:t>
            </w:r>
          </w:p>
        </w:tc>
        <w:tc>
          <w:tcPr>
            <w:tcW w:w="1019" w:type="dxa"/>
            <w:tcBorders>
              <w:top w:val="nil"/>
              <w:left w:val="nil"/>
              <w:right w:val="nil"/>
            </w:tcBorders>
          </w:tcPr>
          <w:p w14:paraId="07887D70"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199</w:t>
            </w:r>
          </w:p>
        </w:tc>
        <w:tc>
          <w:tcPr>
            <w:tcW w:w="900" w:type="dxa"/>
            <w:tcBorders>
              <w:top w:val="nil"/>
              <w:left w:val="nil"/>
              <w:right w:val="nil"/>
            </w:tcBorders>
          </w:tcPr>
          <w:p w14:paraId="1A40EE88" w14:textId="77777777" w:rsidR="00BE4AF3" w:rsidRPr="0038623D" w:rsidRDefault="00BE4AF3" w:rsidP="0016089C">
            <w:pPr>
              <w:spacing w:after="0" w:line="240" w:lineRule="auto"/>
              <w:rPr>
                <w:rFonts w:ascii="Times New Roman" w:hAnsi="Times New Roman" w:cs="Times New Roman"/>
                <w:sz w:val="20"/>
                <w:szCs w:val="20"/>
              </w:rPr>
            </w:pPr>
          </w:p>
        </w:tc>
        <w:tc>
          <w:tcPr>
            <w:tcW w:w="810" w:type="dxa"/>
            <w:tcBorders>
              <w:top w:val="nil"/>
              <w:left w:val="nil"/>
              <w:right w:val="nil"/>
            </w:tcBorders>
          </w:tcPr>
          <w:p w14:paraId="480B9DC4" w14:textId="77777777" w:rsidR="00BE4AF3" w:rsidRPr="0038623D" w:rsidRDefault="00BE4AF3" w:rsidP="0016089C">
            <w:pPr>
              <w:spacing w:after="0" w:line="240" w:lineRule="auto"/>
              <w:rPr>
                <w:rFonts w:ascii="Times New Roman" w:hAnsi="Times New Roman" w:cs="Times New Roman"/>
                <w:sz w:val="20"/>
                <w:szCs w:val="20"/>
              </w:rPr>
            </w:pPr>
          </w:p>
        </w:tc>
        <w:tc>
          <w:tcPr>
            <w:tcW w:w="1085" w:type="dxa"/>
            <w:tcBorders>
              <w:top w:val="nil"/>
              <w:left w:val="nil"/>
              <w:right w:val="nil"/>
            </w:tcBorders>
          </w:tcPr>
          <w:p w14:paraId="00B03130" w14:textId="77777777" w:rsidR="00BE4AF3" w:rsidRPr="0038623D" w:rsidRDefault="00BE4AF3" w:rsidP="0016089C">
            <w:pPr>
              <w:spacing w:after="0" w:line="240" w:lineRule="auto"/>
              <w:rPr>
                <w:rFonts w:ascii="Times New Roman" w:hAnsi="Times New Roman" w:cs="Times New Roman"/>
                <w:sz w:val="20"/>
                <w:szCs w:val="20"/>
              </w:rPr>
            </w:pPr>
          </w:p>
        </w:tc>
      </w:tr>
    </w:tbl>
    <w:p w14:paraId="124C751E" w14:textId="77777777" w:rsidR="00BE4AF3" w:rsidRPr="00BE4AF3" w:rsidRDefault="00BE4AF3" w:rsidP="0016089C">
      <w:pPr>
        <w:spacing w:after="0" w:line="240" w:lineRule="auto"/>
        <w:rPr>
          <w:rFonts w:ascii="Times New Roman" w:hAnsi="Times New Roman" w:cs="Times New Roman"/>
          <w:b/>
          <w:bCs/>
          <w:sz w:val="24"/>
          <w:szCs w:val="24"/>
        </w:rPr>
      </w:pPr>
    </w:p>
    <w:p w14:paraId="1A35ABB2" w14:textId="77777777" w:rsidR="00BE4AF3" w:rsidRPr="0038623D" w:rsidRDefault="00BE4AF3" w:rsidP="0038623D">
      <w:pPr>
        <w:spacing w:after="0" w:line="240" w:lineRule="auto"/>
        <w:jc w:val="center"/>
        <w:rPr>
          <w:rFonts w:ascii="Times New Roman" w:hAnsi="Times New Roman" w:cs="Times New Roman"/>
          <w:sz w:val="24"/>
          <w:szCs w:val="24"/>
        </w:rPr>
      </w:pPr>
      <w:r w:rsidRPr="00BE4AF3">
        <w:rPr>
          <w:rFonts w:ascii="Times New Roman" w:hAnsi="Times New Roman" w:cs="Times New Roman"/>
          <w:b/>
          <w:bCs/>
          <w:sz w:val="24"/>
          <w:szCs w:val="24"/>
        </w:rPr>
        <w:t xml:space="preserve">Table 5: </w:t>
      </w:r>
      <w:r w:rsidRPr="0038623D">
        <w:rPr>
          <w:rFonts w:ascii="Times New Roman" w:hAnsi="Times New Roman" w:cs="Times New Roman"/>
          <w:sz w:val="24"/>
          <w:szCs w:val="24"/>
        </w:rPr>
        <w:t>Post Hoc (Tukey HSD) on Affordability by Income Group</w:t>
      </w:r>
    </w:p>
    <w:tbl>
      <w:tblPr>
        <w:tblStyle w:val="TableGrid"/>
        <w:tblW w:w="0" w:type="auto"/>
        <w:jc w:val="center"/>
        <w:tblLook w:val="04A0" w:firstRow="1" w:lastRow="0" w:firstColumn="1" w:lastColumn="0" w:noHBand="0" w:noVBand="1"/>
      </w:tblPr>
      <w:tblGrid>
        <w:gridCol w:w="3870"/>
        <w:gridCol w:w="1710"/>
        <w:gridCol w:w="1440"/>
      </w:tblGrid>
      <w:tr w:rsidR="00BE4AF3" w:rsidRPr="0038623D" w14:paraId="216CF681" w14:textId="77777777" w:rsidTr="0038623D">
        <w:trPr>
          <w:jc w:val="center"/>
        </w:trPr>
        <w:tc>
          <w:tcPr>
            <w:tcW w:w="3870" w:type="dxa"/>
            <w:tcBorders>
              <w:left w:val="nil"/>
              <w:bottom w:val="single" w:sz="4" w:space="0" w:color="auto"/>
              <w:right w:val="nil"/>
            </w:tcBorders>
          </w:tcPr>
          <w:p w14:paraId="180881CD"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Income Groups Compared</w:t>
            </w:r>
          </w:p>
        </w:tc>
        <w:tc>
          <w:tcPr>
            <w:tcW w:w="1710" w:type="dxa"/>
            <w:tcBorders>
              <w:left w:val="nil"/>
              <w:bottom w:val="single" w:sz="4" w:space="0" w:color="auto"/>
              <w:right w:val="nil"/>
            </w:tcBorders>
          </w:tcPr>
          <w:p w14:paraId="19686529"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Mean Diff.</w:t>
            </w:r>
          </w:p>
        </w:tc>
        <w:tc>
          <w:tcPr>
            <w:tcW w:w="1440" w:type="dxa"/>
            <w:tcBorders>
              <w:left w:val="nil"/>
              <w:bottom w:val="single" w:sz="4" w:space="0" w:color="auto"/>
              <w:right w:val="nil"/>
            </w:tcBorders>
          </w:tcPr>
          <w:p w14:paraId="54FDA342"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P-value</w:t>
            </w:r>
          </w:p>
        </w:tc>
      </w:tr>
      <w:tr w:rsidR="00BE4AF3" w:rsidRPr="0038623D" w14:paraId="2EE7E9FA" w14:textId="77777777" w:rsidTr="0038623D">
        <w:trPr>
          <w:jc w:val="center"/>
        </w:trPr>
        <w:tc>
          <w:tcPr>
            <w:tcW w:w="3870" w:type="dxa"/>
            <w:tcBorders>
              <w:left w:val="nil"/>
              <w:bottom w:val="nil"/>
              <w:right w:val="nil"/>
            </w:tcBorders>
          </w:tcPr>
          <w:p w14:paraId="6C3974A6"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Low income – Middle income</w:t>
            </w:r>
          </w:p>
        </w:tc>
        <w:tc>
          <w:tcPr>
            <w:tcW w:w="1710" w:type="dxa"/>
            <w:tcBorders>
              <w:left w:val="nil"/>
              <w:bottom w:val="nil"/>
              <w:right w:val="nil"/>
            </w:tcBorders>
          </w:tcPr>
          <w:p w14:paraId="733CF093"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0.42*</w:t>
            </w:r>
          </w:p>
        </w:tc>
        <w:tc>
          <w:tcPr>
            <w:tcW w:w="1440" w:type="dxa"/>
            <w:tcBorders>
              <w:left w:val="nil"/>
              <w:bottom w:val="nil"/>
              <w:right w:val="nil"/>
            </w:tcBorders>
          </w:tcPr>
          <w:p w14:paraId="03E62361"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0.003</w:t>
            </w:r>
          </w:p>
        </w:tc>
      </w:tr>
      <w:tr w:rsidR="00BE4AF3" w:rsidRPr="0038623D" w14:paraId="5B738A21" w14:textId="77777777" w:rsidTr="0038623D">
        <w:trPr>
          <w:jc w:val="center"/>
        </w:trPr>
        <w:tc>
          <w:tcPr>
            <w:tcW w:w="3870" w:type="dxa"/>
            <w:tcBorders>
              <w:top w:val="nil"/>
              <w:left w:val="nil"/>
              <w:bottom w:val="nil"/>
              <w:right w:val="nil"/>
            </w:tcBorders>
          </w:tcPr>
          <w:p w14:paraId="1207D5F8"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Low income – High income</w:t>
            </w:r>
          </w:p>
        </w:tc>
        <w:tc>
          <w:tcPr>
            <w:tcW w:w="1710" w:type="dxa"/>
            <w:tcBorders>
              <w:top w:val="nil"/>
              <w:left w:val="nil"/>
              <w:bottom w:val="nil"/>
              <w:right w:val="nil"/>
            </w:tcBorders>
          </w:tcPr>
          <w:p w14:paraId="51A83CC5"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0.57</w:t>
            </w:r>
          </w:p>
        </w:tc>
        <w:tc>
          <w:tcPr>
            <w:tcW w:w="1440" w:type="dxa"/>
            <w:tcBorders>
              <w:top w:val="nil"/>
              <w:left w:val="nil"/>
              <w:bottom w:val="nil"/>
              <w:right w:val="nil"/>
            </w:tcBorders>
          </w:tcPr>
          <w:p w14:paraId="3E303BD1"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0.001</w:t>
            </w:r>
          </w:p>
        </w:tc>
      </w:tr>
      <w:tr w:rsidR="00BE4AF3" w:rsidRPr="0038623D" w14:paraId="2802A0AB" w14:textId="77777777" w:rsidTr="0038623D">
        <w:trPr>
          <w:jc w:val="center"/>
        </w:trPr>
        <w:tc>
          <w:tcPr>
            <w:tcW w:w="3870" w:type="dxa"/>
            <w:tcBorders>
              <w:top w:val="nil"/>
              <w:left w:val="nil"/>
              <w:right w:val="nil"/>
            </w:tcBorders>
          </w:tcPr>
          <w:p w14:paraId="7A86FF95"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Middle income – High income</w:t>
            </w:r>
          </w:p>
        </w:tc>
        <w:tc>
          <w:tcPr>
            <w:tcW w:w="1710" w:type="dxa"/>
            <w:tcBorders>
              <w:top w:val="nil"/>
              <w:left w:val="nil"/>
              <w:right w:val="nil"/>
            </w:tcBorders>
          </w:tcPr>
          <w:p w14:paraId="2807F10A"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0.15</w:t>
            </w:r>
          </w:p>
        </w:tc>
        <w:tc>
          <w:tcPr>
            <w:tcW w:w="1440" w:type="dxa"/>
            <w:tcBorders>
              <w:top w:val="nil"/>
              <w:left w:val="nil"/>
              <w:right w:val="nil"/>
            </w:tcBorders>
          </w:tcPr>
          <w:p w14:paraId="53B6D47D" w14:textId="77777777" w:rsidR="00BE4AF3" w:rsidRPr="0038623D" w:rsidRDefault="00BE4AF3" w:rsidP="0016089C">
            <w:pPr>
              <w:spacing w:after="0" w:line="240" w:lineRule="auto"/>
              <w:rPr>
                <w:rFonts w:ascii="Times New Roman" w:hAnsi="Times New Roman" w:cs="Times New Roman"/>
                <w:sz w:val="20"/>
                <w:szCs w:val="20"/>
              </w:rPr>
            </w:pPr>
            <w:r w:rsidRPr="0038623D">
              <w:rPr>
                <w:rFonts w:ascii="Times New Roman" w:eastAsia="SimSun" w:hAnsi="Times New Roman" w:cs="Times New Roman"/>
                <w:sz w:val="20"/>
                <w:szCs w:val="20"/>
              </w:rPr>
              <w:t>0.221</w:t>
            </w:r>
          </w:p>
        </w:tc>
      </w:tr>
    </w:tbl>
    <w:p w14:paraId="07DA911F" w14:textId="77777777" w:rsidR="00BE4AF3" w:rsidRPr="00BE4AF3" w:rsidRDefault="00BE4AF3" w:rsidP="0038623D">
      <w:pPr>
        <w:spacing w:after="0" w:line="240" w:lineRule="auto"/>
        <w:jc w:val="center"/>
        <w:rPr>
          <w:rFonts w:ascii="Times New Roman" w:hAnsi="Times New Roman" w:cs="Times New Roman"/>
          <w:sz w:val="24"/>
          <w:szCs w:val="24"/>
        </w:rPr>
      </w:pPr>
      <w:r w:rsidRPr="00BE4AF3">
        <w:rPr>
          <w:rFonts w:ascii="Times New Roman" w:hAnsi="Times New Roman" w:cs="Times New Roman"/>
          <w:sz w:val="24"/>
          <w:szCs w:val="24"/>
        </w:rPr>
        <w:t>*Significant at p &lt; 0.05</w:t>
      </w:r>
    </w:p>
    <w:p w14:paraId="281B1512" w14:textId="77777777" w:rsidR="0038623D" w:rsidRDefault="0038623D" w:rsidP="0016089C">
      <w:pPr>
        <w:spacing w:after="0" w:line="240" w:lineRule="auto"/>
        <w:rPr>
          <w:rFonts w:ascii="Times New Roman" w:hAnsi="Times New Roman" w:cs="Times New Roman"/>
          <w:b/>
          <w:bCs/>
          <w:sz w:val="24"/>
          <w:szCs w:val="24"/>
        </w:rPr>
      </w:pPr>
    </w:p>
    <w:p w14:paraId="66FE134C" w14:textId="4EBF9DF1" w:rsidR="00BE4AF3" w:rsidRPr="0038623D" w:rsidRDefault="00BE4AF3" w:rsidP="0038623D">
      <w:pPr>
        <w:spacing w:after="0" w:line="240" w:lineRule="auto"/>
        <w:jc w:val="center"/>
        <w:rPr>
          <w:rFonts w:ascii="Times New Roman" w:hAnsi="Times New Roman" w:cs="Times New Roman"/>
          <w:sz w:val="24"/>
          <w:szCs w:val="24"/>
        </w:rPr>
      </w:pPr>
      <w:r w:rsidRPr="00BE4AF3">
        <w:rPr>
          <w:rFonts w:ascii="Times New Roman" w:hAnsi="Times New Roman" w:cs="Times New Roman"/>
          <w:b/>
          <w:bCs/>
          <w:sz w:val="24"/>
          <w:szCs w:val="24"/>
        </w:rPr>
        <w:t xml:space="preserve">Table 6: </w:t>
      </w:r>
      <w:r w:rsidRPr="0038623D">
        <w:rPr>
          <w:rFonts w:ascii="Times New Roman" w:hAnsi="Times New Roman" w:cs="Times New Roman"/>
          <w:sz w:val="24"/>
          <w:szCs w:val="24"/>
        </w:rPr>
        <w:t>Chi-square on Preference and Income</w:t>
      </w:r>
    </w:p>
    <w:tbl>
      <w:tblPr>
        <w:tblStyle w:val="TableGrid"/>
        <w:tblW w:w="0" w:type="auto"/>
        <w:jc w:val="center"/>
        <w:tblLook w:val="04A0" w:firstRow="1" w:lastRow="0" w:firstColumn="1" w:lastColumn="0" w:noHBand="0" w:noVBand="1"/>
      </w:tblPr>
      <w:tblGrid>
        <w:gridCol w:w="2337"/>
        <w:gridCol w:w="1774"/>
        <w:gridCol w:w="1843"/>
        <w:gridCol w:w="1088"/>
      </w:tblGrid>
      <w:tr w:rsidR="00BE4AF3" w:rsidRPr="0038623D" w14:paraId="56815F0B" w14:textId="77777777" w:rsidTr="0038623D">
        <w:trPr>
          <w:jc w:val="center"/>
        </w:trPr>
        <w:tc>
          <w:tcPr>
            <w:tcW w:w="2337" w:type="dxa"/>
            <w:tcBorders>
              <w:left w:val="nil"/>
              <w:bottom w:val="single" w:sz="4" w:space="0" w:color="auto"/>
              <w:right w:val="nil"/>
            </w:tcBorders>
          </w:tcPr>
          <w:p w14:paraId="3C373DED" w14:textId="77777777" w:rsidR="00BE4AF3" w:rsidRPr="0038623D" w:rsidRDefault="00BE4AF3" w:rsidP="0016089C">
            <w:pPr>
              <w:spacing w:after="0" w:line="240" w:lineRule="auto"/>
              <w:rPr>
                <w:rFonts w:ascii="Times New Roman" w:hAnsi="Times New Roman" w:cs="Times New Roman"/>
                <w:b/>
                <w:bCs/>
                <w:sz w:val="20"/>
                <w:szCs w:val="20"/>
              </w:rPr>
            </w:pPr>
            <w:r w:rsidRPr="0038623D">
              <w:rPr>
                <w:rFonts w:ascii="Times New Roman" w:eastAsia="SimSun" w:hAnsi="Times New Roman" w:cs="Times New Roman"/>
                <w:sz w:val="20"/>
                <w:szCs w:val="20"/>
              </w:rPr>
              <w:t>Variable</w:t>
            </w:r>
          </w:p>
        </w:tc>
        <w:tc>
          <w:tcPr>
            <w:tcW w:w="1774" w:type="dxa"/>
            <w:tcBorders>
              <w:left w:val="nil"/>
              <w:bottom w:val="single" w:sz="4" w:space="0" w:color="auto"/>
              <w:right w:val="nil"/>
            </w:tcBorders>
          </w:tcPr>
          <w:p w14:paraId="2E4F757B" w14:textId="77777777" w:rsidR="00BE4AF3" w:rsidRPr="0038623D" w:rsidRDefault="00BE4AF3" w:rsidP="0016089C">
            <w:pPr>
              <w:spacing w:after="0" w:line="240" w:lineRule="auto"/>
              <w:rPr>
                <w:rFonts w:ascii="Times New Roman" w:hAnsi="Times New Roman" w:cs="Times New Roman"/>
                <w:b/>
                <w:bCs/>
                <w:sz w:val="20"/>
                <w:szCs w:val="20"/>
              </w:rPr>
            </w:pPr>
            <w:r w:rsidRPr="0038623D">
              <w:rPr>
                <w:rFonts w:ascii="Times New Roman" w:eastAsia="SimSun" w:hAnsi="Times New Roman" w:cs="Times New Roman"/>
                <w:sz w:val="20"/>
                <w:szCs w:val="20"/>
              </w:rPr>
              <w:t>χ²</w:t>
            </w:r>
          </w:p>
        </w:tc>
        <w:tc>
          <w:tcPr>
            <w:tcW w:w="1843" w:type="dxa"/>
            <w:tcBorders>
              <w:left w:val="nil"/>
              <w:bottom w:val="single" w:sz="4" w:space="0" w:color="auto"/>
              <w:right w:val="nil"/>
            </w:tcBorders>
          </w:tcPr>
          <w:p w14:paraId="395AB4FE" w14:textId="77777777" w:rsidR="00BE4AF3" w:rsidRPr="0038623D" w:rsidRDefault="00BE4AF3" w:rsidP="0016089C">
            <w:pPr>
              <w:spacing w:after="0" w:line="240" w:lineRule="auto"/>
              <w:rPr>
                <w:rFonts w:ascii="Times New Roman" w:hAnsi="Times New Roman" w:cs="Times New Roman"/>
                <w:b/>
                <w:bCs/>
                <w:sz w:val="20"/>
                <w:szCs w:val="20"/>
              </w:rPr>
            </w:pPr>
            <w:r w:rsidRPr="0038623D">
              <w:rPr>
                <w:rFonts w:ascii="Times New Roman" w:eastAsia="SimSun" w:hAnsi="Times New Roman" w:cs="Times New Roman"/>
                <w:sz w:val="20"/>
                <w:szCs w:val="20"/>
              </w:rPr>
              <w:t>df</w:t>
            </w:r>
          </w:p>
        </w:tc>
        <w:tc>
          <w:tcPr>
            <w:tcW w:w="1088" w:type="dxa"/>
            <w:tcBorders>
              <w:left w:val="nil"/>
              <w:bottom w:val="single" w:sz="4" w:space="0" w:color="auto"/>
              <w:right w:val="nil"/>
            </w:tcBorders>
          </w:tcPr>
          <w:p w14:paraId="67DE4EC9" w14:textId="77777777" w:rsidR="00BE4AF3" w:rsidRPr="0038623D" w:rsidRDefault="00BE4AF3" w:rsidP="0016089C">
            <w:pPr>
              <w:spacing w:after="0" w:line="240" w:lineRule="auto"/>
              <w:rPr>
                <w:rFonts w:ascii="Times New Roman" w:hAnsi="Times New Roman" w:cs="Times New Roman"/>
                <w:b/>
                <w:bCs/>
                <w:sz w:val="20"/>
                <w:szCs w:val="20"/>
              </w:rPr>
            </w:pPr>
            <w:r w:rsidRPr="0038623D">
              <w:rPr>
                <w:rFonts w:ascii="Times New Roman" w:eastAsia="SimSun" w:hAnsi="Times New Roman" w:cs="Times New Roman"/>
                <w:sz w:val="20"/>
                <w:szCs w:val="20"/>
              </w:rPr>
              <w:t>p-value</w:t>
            </w:r>
          </w:p>
        </w:tc>
      </w:tr>
      <w:tr w:rsidR="00BE4AF3" w:rsidRPr="0038623D" w14:paraId="74CBFA77" w14:textId="77777777" w:rsidTr="0038623D">
        <w:trPr>
          <w:jc w:val="center"/>
        </w:trPr>
        <w:tc>
          <w:tcPr>
            <w:tcW w:w="2337" w:type="dxa"/>
            <w:tcBorders>
              <w:left w:val="nil"/>
              <w:right w:val="nil"/>
            </w:tcBorders>
          </w:tcPr>
          <w:p w14:paraId="3C2803A9" w14:textId="77777777" w:rsidR="00BE4AF3" w:rsidRPr="0038623D" w:rsidRDefault="00BE4AF3" w:rsidP="0016089C">
            <w:pPr>
              <w:spacing w:after="0" w:line="240" w:lineRule="auto"/>
              <w:rPr>
                <w:rFonts w:ascii="Times New Roman" w:hAnsi="Times New Roman" w:cs="Times New Roman"/>
                <w:b/>
                <w:bCs/>
                <w:sz w:val="20"/>
                <w:szCs w:val="20"/>
              </w:rPr>
            </w:pPr>
            <w:r w:rsidRPr="0038623D">
              <w:rPr>
                <w:rFonts w:ascii="Times New Roman" w:eastAsia="SimSun" w:hAnsi="Times New Roman" w:cs="Times New Roman"/>
                <w:sz w:val="20"/>
                <w:szCs w:val="20"/>
              </w:rPr>
              <w:t>Preference*Income</w:t>
            </w:r>
          </w:p>
        </w:tc>
        <w:tc>
          <w:tcPr>
            <w:tcW w:w="1774" w:type="dxa"/>
            <w:tcBorders>
              <w:left w:val="nil"/>
              <w:right w:val="nil"/>
            </w:tcBorders>
          </w:tcPr>
          <w:p w14:paraId="66213BFD" w14:textId="77777777" w:rsidR="00BE4AF3" w:rsidRPr="0038623D" w:rsidRDefault="00BE4AF3" w:rsidP="0016089C">
            <w:pPr>
              <w:spacing w:after="0" w:line="240" w:lineRule="auto"/>
              <w:rPr>
                <w:rFonts w:ascii="Times New Roman" w:hAnsi="Times New Roman" w:cs="Times New Roman"/>
                <w:b/>
                <w:bCs/>
                <w:sz w:val="20"/>
                <w:szCs w:val="20"/>
              </w:rPr>
            </w:pPr>
            <w:r w:rsidRPr="0038623D">
              <w:rPr>
                <w:rFonts w:ascii="Times New Roman" w:eastAsia="SimSun" w:hAnsi="Times New Roman" w:cs="Times New Roman"/>
                <w:sz w:val="20"/>
                <w:szCs w:val="20"/>
              </w:rPr>
              <w:t>14.62</w:t>
            </w:r>
          </w:p>
        </w:tc>
        <w:tc>
          <w:tcPr>
            <w:tcW w:w="1843" w:type="dxa"/>
            <w:tcBorders>
              <w:left w:val="nil"/>
              <w:right w:val="nil"/>
            </w:tcBorders>
          </w:tcPr>
          <w:p w14:paraId="240751B2" w14:textId="77777777" w:rsidR="00BE4AF3" w:rsidRPr="0038623D" w:rsidRDefault="00BE4AF3" w:rsidP="0016089C">
            <w:pPr>
              <w:spacing w:after="0" w:line="240" w:lineRule="auto"/>
              <w:rPr>
                <w:rFonts w:ascii="Times New Roman" w:hAnsi="Times New Roman" w:cs="Times New Roman"/>
                <w:b/>
                <w:bCs/>
                <w:sz w:val="20"/>
                <w:szCs w:val="20"/>
              </w:rPr>
            </w:pPr>
            <w:r w:rsidRPr="0038623D">
              <w:rPr>
                <w:rFonts w:ascii="Times New Roman" w:eastAsia="SimSun" w:hAnsi="Times New Roman" w:cs="Times New Roman"/>
                <w:sz w:val="20"/>
                <w:szCs w:val="20"/>
              </w:rPr>
              <w:t>4</w:t>
            </w:r>
          </w:p>
        </w:tc>
        <w:tc>
          <w:tcPr>
            <w:tcW w:w="1088" w:type="dxa"/>
            <w:tcBorders>
              <w:left w:val="nil"/>
              <w:right w:val="nil"/>
            </w:tcBorders>
          </w:tcPr>
          <w:p w14:paraId="47D5EC03" w14:textId="77777777" w:rsidR="00BE4AF3" w:rsidRPr="0038623D" w:rsidRDefault="00BE4AF3" w:rsidP="0016089C">
            <w:pPr>
              <w:spacing w:after="0" w:line="240" w:lineRule="auto"/>
              <w:rPr>
                <w:rFonts w:ascii="Times New Roman" w:hAnsi="Times New Roman" w:cs="Times New Roman"/>
                <w:b/>
                <w:bCs/>
                <w:sz w:val="20"/>
                <w:szCs w:val="20"/>
              </w:rPr>
            </w:pPr>
            <w:r w:rsidRPr="0038623D">
              <w:rPr>
                <w:rFonts w:ascii="Times New Roman" w:eastAsia="SimSun" w:hAnsi="Times New Roman" w:cs="Times New Roman"/>
                <w:sz w:val="20"/>
                <w:szCs w:val="20"/>
              </w:rPr>
              <w:t>0.006</w:t>
            </w:r>
          </w:p>
        </w:tc>
      </w:tr>
    </w:tbl>
    <w:p w14:paraId="237CA675" w14:textId="77777777" w:rsidR="0038623D" w:rsidRDefault="0038623D" w:rsidP="0016089C">
      <w:pPr>
        <w:spacing w:after="0" w:line="240" w:lineRule="auto"/>
        <w:jc w:val="both"/>
        <w:rPr>
          <w:rFonts w:ascii="Times New Roman" w:hAnsi="Times New Roman" w:cs="Times New Roman"/>
          <w:sz w:val="24"/>
          <w:szCs w:val="24"/>
        </w:rPr>
      </w:pPr>
    </w:p>
    <w:p w14:paraId="50549D18" w14:textId="46C8E16B" w:rsid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result of the ANOVA and Post Hoc test conducted as shown in Tables 4 and 5 confirm the significant contribution and the significant influence of income on the perception of the respondents, particularly, as those within the low- and medium-income bracket are more inclined toward peri-urban housing than the high-income earners; hence, reverberate the assertion of Kombe (2019).  More so, the conducted Chi-square test further corroborate the observation of Okewole and Aribigbola’s (2020), as it shows a strong association between income and relocation decision as shown in Table 6. The Chi-square results further align with the findings of Akinwale and Olayiwola (2022), portraying socio-economic status as a primary determinant of relocation decision making. Though, UN-Habitat (2021), stressed infrastructure gaps as a notable challenge for sustainable peri-urban growth that must not be overlooked.</w:t>
      </w:r>
    </w:p>
    <w:p w14:paraId="30228AEF" w14:textId="77777777" w:rsidR="0038623D" w:rsidRPr="00BE4AF3" w:rsidRDefault="0038623D" w:rsidP="0016089C">
      <w:pPr>
        <w:spacing w:after="0" w:line="240" w:lineRule="auto"/>
        <w:jc w:val="both"/>
        <w:rPr>
          <w:rFonts w:ascii="Times New Roman" w:hAnsi="Times New Roman" w:cs="Times New Roman"/>
          <w:sz w:val="24"/>
          <w:szCs w:val="24"/>
        </w:rPr>
      </w:pPr>
    </w:p>
    <w:p w14:paraId="591B70EB" w14:textId="77777777" w:rsidR="00BE4AF3" w:rsidRP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b/>
          <w:bCs/>
          <w:sz w:val="24"/>
          <w:szCs w:val="24"/>
        </w:rPr>
        <w:t xml:space="preserve">Interview Response  on the Reasons for Relocation or Peri-Urban Preferences  </w:t>
      </w:r>
    </w:p>
    <w:p w14:paraId="0CC7C0FD" w14:textId="77777777" w:rsidR="00BE4AF3" w:rsidRP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respondents selected and used for the study focused group discussions are the property managers who are directly involved in the management of landed properties in the study area and few other respondents. Some element of semi-interview was granted on the identified respondents that have recently relocated from Osogbo urban core to the peri-urban zones in order to substantiate the data quantitatively collected. Most of the respondents who recently relocated to the peri-urban areas responded that:</w:t>
      </w:r>
    </w:p>
    <w:p w14:paraId="664366AD" w14:textId="77777777" w:rsidR="00BE4AF3" w:rsidRPr="00BE4AF3" w:rsidRDefault="00BE4AF3" w:rsidP="0016089C">
      <w:pPr>
        <w:spacing w:after="0" w:line="240" w:lineRule="auto"/>
        <w:ind w:left="720"/>
        <w:jc w:val="both"/>
        <w:rPr>
          <w:rFonts w:ascii="Times New Roman" w:hAnsi="Times New Roman" w:cs="Times New Roman"/>
          <w:i/>
          <w:iCs/>
          <w:sz w:val="24"/>
          <w:szCs w:val="24"/>
        </w:rPr>
      </w:pPr>
      <w:r w:rsidRPr="00BE4AF3">
        <w:rPr>
          <w:rFonts w:ascii="Times New Roman" w:hAnsi="Times New Roman" w:cs="Times New Roman"/>
          <w:i/>
          <w:iCs/>
          <w:sz w:val="24"/>
          <w:szCs w:val="24"/>
        </w:rPr>
        <w:t xml:space="preserve">“We could not bear the escalating city rent, as landlords increases the rent of their houses at will”. </w:t>
      </w:r>
    </w:p>
    <w:p w14:paraId="42C6E09A" w14:textId="77777777" w:rsidR="00BE4AF3" w:rsidRP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property/agency managers in their response, stated that, most of those relocating to the peri-urban settlements do so in the quest of disengaging from the unnecessary issues of space restriction and the desire to have their personal apartments.</w:t>
      </w:r>
    </w:p>
    <w:p w14:paraId="62A3410B" w14:textId="77777777" w:rsidR="00BE4AF3" w:rsidRDefault="00BE4AF3" w:rsidP="0016089C">
      <w:pPr>
        <w:spacing w:after="0" w:line="240" w:lineRule="auto"/>
        <w:jc w:val="both"/>
        <w:rPr>
          <w:rFonts w:ascii="Times New Roman" w:hAnsi="Times New Roman" w:cs="Times New Roman"/>
          <w:i/>
          <w:iCs/>
          <w:sz w:val="24"/>
          <w:szCs w:val="24"/>
        </w:rPr>
      </w:pPr>
      <w:r w:rsidRPr="00BE4AF3">
        <w:rPr>
          <w:rFonts w:ascii="Times New Roman" w:hAnsi="Times New Roman" w:cs="Times New Roman"/>
          <w:i/>
          <w:iCs/>
          <w:sz w:val="24"/>
          <w:szCs w:val="24"/>
        </w:rPr>
        <w:t>“They asked us to get a relatively cheaper land or houses for them to either buy and build or lease at places outside the city core with reduce rent, to enable them enjoy the freshness of nature, live free and to possibly become landlord”.</w:t>
      </w:r>
    </w:p>
    <w:p w14:paraId="73A0B121" w14:textId="77777777" w:rsidR="0038623D" w:rsidRPr="00BE4AF3" w:rsidRDefault="0038623D" w:rsidP="0016089C">
      <w:pPr>
        <w:spacing w:after="0" w:line="240" w:lineRule="auto"/>
        <w:jc w:val="both"/>
        <w:rPr>
          <w:rFonts w:ascii="Times New Roman" w:hAnsi="Times New Roman" w:cs="Times New Roman"/>
          <w:sz w:val="24"/>
          <w:szCs w:val="24"/>
        </w:rPr>
      </w:pPr>
    </w:p>
    <w:p w14:paraId="2C033FAE" w14:textId="77777777" w:rsidR="00BE4AF3" w:rsidRPr="00BE4AF3" w:rsidRDefault="00BE4AF3" w:rsidP="0016089C">
      <w:pPr>
        <w:spacing w:after="0" w:line="240" w:lineRule="auto"/>
        <w:rPr>
          <w:rFonts w:ascii="Times New Roman" w:hAnsi="Times New Roman" w:cs="Times New Roman"/>
          <w:b/>
          <w:bCs/>
          <w:sz w:val="24"/>
          <w:szCs w:val="24"/>
        </w:rPr>
      </w:pPr>
      <w:r w:rsidRPr="00BE4AF3">
        <w:rPr>
          <w:rFonts w:ascii="Times New Roman" w:hAnsi="Times New Roman" w:cs="Times New Roman"/>
          <w:b/>
          <w:bCs/>
          <w:sz w:val="24"/>
          <w:szCs w:val="24"/>
        </w:rPr>
        <w:t>Conclusion and Recommendations</w:t>
      </w:r>
    </w:p>
    <w:p w14:paraId="13AEB348" w14:textId="77777777" w:rsidR="00BE4AF3" w:rsidRPr="00BE4AF3" w:rsidRDefault="00BE4AF3" w:rsidP="001608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outbreak of the global corona-virus pandemic was a curse and a blessing in disguise. It came inflicting the pain of illnesses and death but left behind the blessings of the current ‘new normal’ in every aspect human existence. What would have been thought to be impossible in the pre-pandemic era are now possible in the post-pandemic era. For instance, Osogbo, the Osun state capital has and still experiencing a marked preference shift from urban to peri-urban housing, driven by affordability/economic and lifestyle, environmental quality considerations among other </w:t>
      </w:r>
      <w:r w:rsidRPr="00BE4AF3">
        <w:rPr>
          <w:rFonts w:ascii="Times New Roman" w:hAnsi="Times New Roman" w:cs="Times New Roman"/>
          <w:sz w:val="24"/>
          <w:szCs w:val="24"/>
        </w:rPr>
        <w:lastRenderedPageBreak/>
        <w:t>factors. Income also plays a pivotal role in the shaping and reshaping of clients’ perceptions and decisions. A trend that would have been typically thought to be impossible in the pre-pandemic era, is today presenting opportunities for a balanced urban expansion. Nonetheless, if not properly managed, the situation could strain and risk the available infrastructure, thereby, creating infrastructure gap and the rapid peri-urban growth replicating urban congestion problem. It is on this note, that the study recommends:</w:t>
      </w:r>
    </w:p>
    <w:p w14:paraId="3020860F" w14:textId="77777777" w:rsidR="00BE4AF3" w:rsidRPr="00BE4AF3" w:rsidRDefault="00BE4AF3" w:rsidP="0016089C">
      <w:pPr>
        <w:numPr>
          <w:ilvl w:val="0"/>
          <w:numId w:val="26"/>
        </w:num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 the urgent need for a concerted efforts targeted at developing affordable housing scheme, peri-urban infrastructure development and transportation investment, </w:t>
      </w:r>
    </w:p>
    <w:p w14:paraId="6AC3AA10" w14:textId="77777777" w:rsidR="00BE4AF3" w:rsidRPr="00BE4AF3" w:rsidRDefault="00BE4AF3" w:rsidP="0016089C">
      <w:pPr>
        <w:numPr>
          <w:ilvl w:val="0"/>
          <w:numId w:val="26"/>
        </w:num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promotion of green/sustainable building practices, </w:t>
      </w:r>
    </w:p>
    <w:p w14:paraId="6F6025FD" w14:textId="77777777" w:rsidR="00BE4AF3" w:rsidRPr="00BE4AF3" w:rsidRDefault="00BE4AF3" w:rsidP="0016089C">
      <w:pPr>
        <w:numPr>
          <w:ilvl w:val="0"/>
          <w:numId w:val="26"/>
        </w:num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decentralization of economic opportunities and the strengthening of urban planning and the other regulatory organs of the government.</w:t>
      </w:r>
    </w:p>
    <w:p w14:paraId="3210A36C" w14:textId="77777777" w:rsidR="0038623D" w:rsidRDefault="0038623D" w:rsidP="0016089C">
      <w:pPr>
        <w:spacing w:after="0" w:line="240" w:lineRule="auto"/>
        <w:rPr>
          <w:rFonts w:ascii="Times New Roman" w:hAnsi="Times New Roman" w:cs="Times New Roman"/>
          <w:b/>
          <w:bCs/>
          <w:sz w:val="24"/>
          <w:szCs w:val="24"/>
        </w:rPr>
      </w:pPr>
    </w:p>
    <w:p w14:paraId="569E569E" w14:textId="1DED422E" w:rsidR="00BE4AF3" w:rsidRPr="00BE4AF3" w:rsidRDefault="00BE4AF3" w:rsidP="0016089C">
      <w:pPr>
        <w:spacing w:after="0" w:line="240" w:lineRule="auto"/>
        <w:rPr>
          <w:rFonts w:ascii="Times New Roman" w:hAnsi="Times New Roman" w:cs="Times New Roman"/>
          <w:b/>
          <w:bCs/>
          <w:sz w:val="24"/>
          <w:szCs w:val="24"/>
        </w:rPr>
      </w:pPr>
      <w:r w:rsidRPr="00BE4AF3">
        <w:rPr>
          <w:rFonts w:ascii="Times New Roman" w:hAnsi="Times New Roman" w:cs="Times New Roman"/>
          <w:b/>
          <w:bCs/>
          <w:sz w:val="24"/>
          <w:szCs w:val="24"/>
        </w:rPr>
        <w:t>References</w:t>
      </w:r>
    </w:p>
    <w:p w14:paraId="136DC10B" w14:textId="692E9C1A"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 xml:space="preserve">Adedeji, Y. M. D., &amp; Olotuah, A. O. (2021). Housing and urban development in post-pandemic Nigeria. </w:t>
      </w:r>
      <w:r w:rsidRPr="00BE4AF3">
        <w:rPr>
          <w:rFonts w:ascii="Times New Roman" w:hAnsi="Times New Roman" w:cs="Times New Roman"/>
          <w:i/>
          <w:iCs/>
          <w:sz w:val="24"/>
          <w:szCs w:val="24"/>
        </w:rPr>
        <w:t>Journal of African Built Environment</w:t>
      </w:r>
      <w:r w:rsidRPr="00BE4AF3">
        <w:rPr>
          <w:rFonts w:ascii="Times New Roman" w:hAnsi="Times New Roman" w:cs="Times New Roman"/>
          <w:sz w:val="24"/>
          <w:szCs w:val="24"/>
        </w:rPr>
        <w:t>, 6(2), 45–58.</w:t>
      </w:r>
    </w:p>
    <w:p w14:paraId="74938E12" w14:textId="54284931"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 xml:space="preserve">Adegun, O. B., &amp; Ajayi, D. D. (2022). Housing preference shifts in post-pandemic Nigeria. </w:t>
      </w:r>
      <w:r w:rsidRPr="00BE4AF3">
        <w:rPr>
          <w:rFonts w:ascii="Times New Roman" w:hAnsi="Times New Roman" w:cs="Times New Roman"/>
          <w:i/>
          <w:iCs/>
          <w:sz w:val="24"/>
          <w:szCs w:val="24"/>
        </w:rPr>
        <w:t>Journal of African Urban Studies,</w:t>
      </w:r>
      <w:r w:rsidRPr="00BE4AF3">
        <w:rPr>
          <w:rFonts w:ascii="Times New Roman" w:hAnsi="Times New Roman" w:cs="Times New Roman"/>
          <w:sz w:val="24"/>
          <w:szCs w:val="24"/>
        </w:rPr>
        <w:t xml:space="preserve"> 14(2), 112–129.</w:t>
      </w:r>
    </w:p>
    <w:p w14:paraId="5BBE48E4" w14:textId="3C0203D3"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 xml:space="preserve">Akinbamijo, A., &amp; Olayiwola, L. (2019). Urban housing dynamics in Osogbo, Nigeria. Nigerian </w:t>
      </w:r>
      <w:r w:rsidRPr="00BE4AF3">
        <w:rPr>
          <w:rFonts w:ascii="Times New Roman" w:hAnsi="Times New Roman" w:cs="Times New Roman"/>
          <w:i/>
          <w:iCs/>
          <w:sz w:val="24"/>
          <w:szCs w:val="24"/>
        </w:rPr>
        <w:t>Journal of Environmental Studies</w:t>
      </w:r>
      <w:r w:rsidRPr="00BE4AF3">
        <w:rPr>
          <w:rFonts w:ascii="Times New Roman" w:hAnsi="Times New Roman" w:cs="Times New Roman"/>
          <w:sz w:val="24"/>
          <w:szCs w:val="24"/>
        </w:rPr>
        <w:t>, 8(1), 45–59.</w:t>
      </w:r>
    </w:p>
    <w:p w14:paraId="2DFF3283" w14:textId="34598B12"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 xml:space="preserve">Akinwale, A., &amp; Olayiwola, L. (2022). Remote work and housing preference changes in Nigeria. </w:t>
      </w:r>
      <w:r w:rsidRPr="00BE4AF3">
        <w:rPr>
          <w:rFonts w:ascii="Times New Roman" w:hAnsi="Times New Roman" w:cs="Times New Roman"/>
          <w:i/>
          <w:iCs/>
          <w:sz w:val="24"/>
          <w:szCs w:val="24"/>
        </w:rPr>
        <w:t>Urban Studies Review,</w:t>
      </w:r>
      <w:r w:rsidRPr="00BE4AF3">
        <w:rPr>
          <w:rFonts w:ascii="Times New Roman" w:hAnsi="Times New Roman" w:cs="Times New Roman"/>
          <w:sz w:val="24"/>
          <w:szCs w:val="24"/>
        </w:rPr>
        <w:t xml:space="preserve"> 14(3), 120–135.</w:t>
      </w:r>
    </w:p>
    <w:p w14:paraId="3241A3B5" w14:textId="6A390E13"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 xml:space="preserve">Akinyemi, O. (2019). Environmental quality perceptions in peri-urban Nigeria. </w:t>
      </w:r>
      <w:r w:rsidRPr="00BE4AF3">
        <w:rPr>
          <w:rFonts w:ascii="Times New Roman" w:hAnsi="Times New Roman" w:cs="Times New Roman"/>
          <w:i/>
          <w:iCs/>
          <w:sz w:val="24"/>
          <w:szCs w:val="24"/>
        </w:rPr>
        <w:t>African Journal of Sustainable Cities,</w:t>
      </w:r>
      <w:r w:rsidRPr="00BE4AF3">
        <w:rPr>
          <w:rFonts w:ascii="Times New Roman" w:hAnsi="Times New Roman" w:cs="Times New Roman"/>
          <w:sz w:val="24"/>
          <w:szCs w:val="24"/>
        </w:rPr>
        <w:t xml:space="preserve"> 5(1), 33–48.</w:t>
      </w:r>
    </w:p>
    <w:p w14:paraId="1B32219C" w14:textId="29DDD542"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 xml:space="preserve">Allen, A. (2003). Environmental planning and management of the peri-urban interface. </w:t>
      </w:r>
      <w:r w:rsidRPr="00BE4AF3">
        <w:rPr>
          <w:rFonts w:ascii="Times New Roman" w:hAnsi="Times New Roman" w:cs="Times New Roman"/>
          <w:i/>
          <w:iCs/>
          <w:sz w:val="24"/>
          <w:szCs w:val="24"/>
        </w:rPr>
        <w:t>Environment and Urbanization</w:t>
      </w:r>
      <w:r w:rsidRPr="00BE4AF3">
        <w:rPr>
          <w:rFonts w:ascii="Times New Roman" w:hAnsi="Times New Roman" w:cs="Times New Roman"/>
          <w:sz w:val="24"/>
          <w:szCs w:val="24"/>
        </w:rPr>
        <w:t>, 15(1), 135–148.</w:t>
      </w:r>
    </w:p>
    <w:p w14:paraId="6D4022C1" w14:textId="3E4AFD19"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Angel, S., Parent, J., Civco, D. L., &amp; Blei, A. M. (2011). Making room for a planet of cities. Lincoln Institute of Land Policy.</w:t>
      </w:r>
    </w:p>
    <w:p w14:paraId="50823216" w14:textId="77777777" w:rsidR="00BE4AF3" w:rsidRPr="00BE4AF3" w:rsidRDefault="00BE4AF3" w:rsidP="0038623D">
      <w:pPr>
        <w:spacing w:after="0" w:line="240" w:lineRule="auto"/>
        <w:ind w:left="851" w:hanging="851"/>
        <w:jc w:val="both"/>
        <w:rPr>
          <w:rFonts w:ascii="Times New Roman" w:eastAsia="Calibri-BoldItalic" w:hAnsi="Times New Roman" w:cs="Times New Roman"/>
          <w:i/>
          <w:iCs/>
          <w:sz w:val="24"/>
          <w:szCs w:val="24"/>
          <w:lang w:bidi="ar"/>
        </w:rPr>
      </w:pPr>
      <w:r w:rsidRPr="00BE4AF3">
        <w:rPr>
          <w:rFonts w:ascii="Times New Roman" w:eastAsia="TimesNewRomanPS-BoldMT" w:hAnsi="Times New Roman" w:cs="Times New Roman"/>
          <w:color w:val="000000"/>
          <w:sz w:val="24"/>
          <w:szCs w:val="24"/>
          <w:lang w:bidi="ar"/>
        </w:rPr>
        <w:t xml:space="preserve">Ankeli, I A; Adebowale, A P; Okoh, G F and Sonibare, K (2025). Green Building </w:t>
      </w:r>
      <w:r w:rsidRPr="00BE4AF3">
        <w:rPr>
          <w:rFonts w:ascii="Times New Roman" w:eastAsia="TimesNewRomanPS-BoldMT" w:hAnsi="Times New Roman" w:cs="Times New Roman"/>
          <w:color w:val="000000"/>
          <w:sz w:val="24"/>
          <w:szCs w:val="24"/>
          <w:lang w:bidi="ar"/>
        </w:rPr>
        <w:tab/>
        <w:t xml:space="preserve">Certifications and Sustainable Development in Osogbo, Nigeria: The Issues and Challenges. </w:t>
      </w:r>
      <w:r w:rsidRPr="00BE4AF3">
        <w:rPr>
          <w:rFonts w:ascii="Times New Roman" w:eastAsia="Calibri-BoldItalic" w:hAnsi="Times New Roman" w:cs="Times New Roman"/>
          <w:i/>
          <w:iCs/>
          <w:color w:val="000000"/>
          <w:sz w:val="24"/>
          <w:szCs w:val="24"/>
          <w:lang w:bidi="ar"/>
        </w:rPr>
        <w:t xml:space="preserve">International Journal of Real Estate (IJRE), 1(2), 160-176 </w:t>
      </w:r>
      <w:hyperlink r:id="rId225" w:history="1">
        <w:r w:rsidRPr="00BE4AF3">
          <w:rPr>
            <w:rStyle w:val="Hyperlink"/>
            <w:rFonts w:ascii="Times New Roman" w:eastAsia="Calibri-BoldItalic" w:hAnsi="Times New Roman" w:cs="Times New Roman"/>
            <w:i/>
            <w:iCs/>
            <w:sz w:val="24"/>
            <w:szCs w:val="24"/>
            <w:lang w:bidi="ar"/>
          </w:rPr>
          <w:t>https://doi.org/10.5281/zenodo.15575705</w:t>
        </w:r>
      </w:hyperlink>
    </w:p>
    <w:p w14:paraId="2DC84618" w14:textId="6FB8E92C" w:rsidR="00BE4AF3" w:rsidRPr="00BE4AF3" w:rsidRDefault="00BE4AF3" w:rsidP="0038623D">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BE4AF3">
        <w:rPr>
          <w:rFonts w:ascii="Times New Roman" w:hAnsi="Times New Roman" w:cs="Times New Roman"/>
          <w:color w:val="000000"/>
          <w:sz w:val="24"/>
          <w:szCs w:val="24"/>
        </w:rPr>
        <w:t>Ankeli, I.A (2023). Influence of Land Use Conversion on Property Rental Values in Southwest, Nigeria. PhD Thesis Submitted to the School of Post Graduate Studies, Federal University of Technology, Akure, Nigeria.</w:t>
      </w:r>
    </w:p>
    <w:p w14:paraId="7735C0DC" w14:textId="68F3FA6D" w:rsidR="00BE4AF3" w:rsidRPr="00BE4AF3" w:rsidRDefault="00BE4AF3" w:rsidP="0038623D">
      <w:pPr>
        <w:autoSpaceDE w:val="0"/>
        <w:autoSpaceDN w:val="0"/>
        <w:adjustRightInd w:val="0"/>
        <w:spacing w:after="0" w:line="240" w:lineRule="auto"/>
        <w:ind w:left="851" w:hanging="851"/>
        <w:jc w:val="both"/>
        <w:rPr>
          <w:rFonts w:ascii="Times New Roman" w:hAnsi="Times New Roman" w:cs="Times New Roman"/>
          <w:i/>
          <w:iCs/>
          <w:color w:val="000000"/>
          <w:sz w:val="24"/>
          <w:szCs w:val="24"/>
        </w:rPr>
      </w:pPr>
      <w:r w:rsidRPr="00BE4AF3">
        <w:rPr>
          <w:rFonts w:ascii="Times New Roman" w:hAnsi="Times New Roman" w:cs="Times New Roman"/>
          <w:color w:val="000000"/>
          <w:sz w:val="24"/>
          <w:szCs w:val="24"/>
        </w:rPr>
        <w:t xml:space="preserve">Ankeli, I.A; </w:t>
      </w:r>
      <w:r w:rsidRPr="00BE4AF3">
        <w:rPr>
          <w:rFonts w:ascii="Times New Roman" w:hAnsi="Times New Roman" w:cs="Times New Roman"/>
          <w:sz w:val="24"/>
          <w:szCs w:val="24"/>
        </w:rPr>
        <w:t>Nuhu, M.B; Saheed, J; Akinremi, A.R; Tinufa, A.A (2021). Post COVID-19 pandemic and the emerging rental housing market in Nigeria.</w:t>
      </w:r>
      <w:r w:rsidRPr="00BE4AF3">
        <w:rPr>
          <w:rFonts w:ascii="Times New Roman" w:hAnsi="Times New Roman" w:cs="Times New Roman"/>
          <w:i/>
          <w:iCs/>
          <w:sz w:val="24"/>
          <w:szCs w:val="24"/>
        </w:rPr>
        <w:t xml:space="preserve"> European Modern Studies Journal, 5(3) 317 - 323</w:t>
      </w:r>
    </w:p>
    <w:p w14:paraId="6434B653" w14:textId="77777777" w:rsidR="00BE4AF3" w:rsidRPr="00BE4AF3" w:rsidRDefault="00BE4AF3" w:rsidP="0038623D">
      <w:pPr>
        <w:spacing w:after="0" w:line="240" w:lineRule="auto"/>
        <w:ind w:left="851" w:hanging="851"/>
        <w:jc w:val="both"/>
        <w:rPr>
          <w:rFonts w:ascii="Times New Roman" w:hAnsi="Times New Roman" w:cs="Times New Roman"/>
          <w:i/>
          <w:iCs/>
          <w:sz w:val="24"/>
          <w:szCs w:val="24"/>
        </w:rPr>
      </w:pPr>
      <w:r w:rsidRPr="00BE4AF3">
        <w:rPr>
          <w:rFonts w:ascii="Times New Roman" w:hAnsi="Times New Roman" w:cs="Times New Roman"/>
          <w:sz w:val="24"/>
          <w:szCs w:val="24"/>
        </w:rPr>
        <w:t xml:space="preserve">Ankeli, I.A; Nuhu, M.B; Popoola, N.I; Kemiki, A.O; Okoh, S.O and Omotehinshe, J.O (2021a). Impact of COVID-19 pandemic on tenancy agreement: The lesson from an emerging rental housing market in Nigeria. </w:t>
      </w:r>
      <w:r w:rsidRPr="00BE4AF3">
        <w:rPr>
          <w:rFonts w:ascii="Times New Roman" w:hAnsi="Times New Roman" w:cs="Times New Roman"/>
          <w:i/>
          <w:iCs/>
          <w:sz w:val="24"/>
          <w:szCs w:val="24"/>
        </w:rPr>
        <w:t>Baltic</w:t>
      </w:r>
      <w:r w:rsidRPr="00BE4AF3">
        <w:rPr>
          <w:rFonts w:ascii="Times New Roman" w:hAnsi="Times New Roman" w:cs="Times New Roman"/>
          <w:sz w:val="24"/>
          <w:szCs w:val="24"/>
        </w:rPr>
        <w:t xml:space="preserve"> </w:t>
      </w:r>
      <w:r w:rsidRPr="00BE4AF3">
        <w:rPr>
          <w:rFonts w:ascii="Times New Roman" w:hAnsi="Times New Roman" w:cs="Times New Roman"/>
          <w:i/>
          <w:iCs/>
          <w:sz w:val="24"/>
          <w:szCs w:val="24"/>
        </w:rPr>
        <w:t>Journal of Real Estate Economics and Construction Management, 2021 (9) 78-93</w:t>
      </w:r>
    </w:p>
    <w:p w14:paraId="5543787A" w14:textId="5ADAE8EE" w:rsidR="00BE4AF3" w:rsidRPr="00BE4AF3" w:rsidRDefault="00BE4AF3" w:rsidP="0038623D">
      <w:pPr>
        <w:pStyle w:val="NormalWeb"/>
        <w:spacing w:before="0" w:beforeAutospacing="0" w:after="0" w:afterAutospacing="0"/>
        <w:ind w:left="851" w:hanging="851"/>
        <w:jc w:val="both"/>
      </w:pPr>
      <w:r w:rsidRPr="00BE4AF3">
        <w:t xml:space="preserve">Ankeli, I. A (2021b). </w:t>
      </w:r>
      <w:r w:rsidRPr="00BE4AF3">
        <w:rPr>
          <w:i/>
          <w:iCs/>
        </w:rPr>
        <w:t>Residential Property Use Conversions: The Lessons from Akure Rental Market</w:t>
      </w:r>
      <w:r w:rsidRPr="00BE4AF3">
        <w:t>. Proceedings of the 2</w:t>
      </w:r>
      <w:r w:rsidRPr="00BE4AF3">
        <w:rPr>
          <w:vertAlign w:val="superscript"/>
        </w:rPr>
        <w:t>nd</w:t>
      </w:r>
      <w:r w:rsidRPr="00BE4AF3">
        <w:t xml:space="preserve"> International Conference on Engineering and Environmental Sciences, Osun State University, Osogbo. November, 23-25</w:t>
      </w:r>
    </w:p>
    <w:p w14:paraId="1871B07F" w14:textId="1B26DCA3"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 xml:space="preserve">Florida, R., Rodríguez-Pose, A., &amp; Storper, M. (2021). Cities in a post-COVID world. </w:t>
      </w:r>
      <w:r w:rsidRPr="00BE4AF3">
        <w:rPr>
          <w:rFonts w:ascii="Times New Roman" w:hAnsi="Times New Roman" w:cs="Times New Roman"/>
          <w:i/>
          <w:iCs/>
          <w:sz w:val="24"/>
          <w:szCs w:val="24"/>
        </w:rPr>
        <w:t>Urban Studies</w:t>
      </w:r>
      <w:r w:rsidRPr="00BE4AF3">
        <w:rPr>
          <w:rFonts w:ascii="Times New Roman" w:hAnsi="Times New Roman" w:cs="Times New Roman"/>
          <w:sz w:val="24"/>
          <w:szCs w:val="24"/>
        </w:rPr>
        <w:t>, 58(1), 3–24.</w:t>
      </w:r>
    </w:p>
    <w:p w14:paraId="5C8CB93F" w14:textId="3CEB1B74"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Creswell, J.W (2014). Research Design Quantitative, Qualitative and Mixed Methods Approaches (4</w:t>
      </w:r>
      <w:r w:rsidRPr="00BE4AF3">
        <w:rPr>
          <w:rFonts w:ascii="Times New Roman" w:hAnsi="Times New Roman" w:cs="Times New Roman"/>
          <w:sz w:val="24"/>
          <w:szCs w:val="24"/>
          <w:vertAlign w:val="superscript"/>
        </w:rPr>
        <w:t>th</w:t>
      </w:r>
      <w:r w:rsidRPr="00BE4AF3">
        <w:rPr>
          <w:rFonts w:ascii="Times New Roman" w:hAnsi="Times New Roman" w:cs="Times New Roman"/>
          <w:sz w:val="24"/>
          <w:szCs w:val="24"/>
        </w:rPr>
        <w:t xml:space="preserve"> ed). Thousand Oaks, CA.Sage</w:t>
      </w:r>
    </w:p>
    <w:p w14:paraId="1DABA02C" w14:textId="2288FA7F"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 xml:space="preserve">Grant, J., Lo, L., &amp; Murphy, J. (2020). Peri-urban growth in the global South. </w:t>
      </w:r>
      <w:r w:rsidRPr="00BE4AF3">
        <w:rPr>
          <w:rFonts w:ascii="Times New Roman" w:hAnsi="Times New Roman" w:cs="Times New Roman"/>
          <w:i/>
          <w:iCs/>
          <w:sz w:val="24"/>
          <w:szCs w:val="24"/>
        </w:rPr>
        <w:t>Habitat International,</w:t>
      </w:r>
      <w:r w:rsidRPr="00BE4AF3">
        <w:rPr>
          <w:rFonts w:ascii="Times New Roman" w:hAnsi="Times New Roman" w:cs="Times New Roman"/>
          <w:sz w:val="24"/>
          <w:szCs w:val="24"/>
        </w:rPr>
        <w:t xml:space="preserve"> 98, 102–115.</w:t>
      </w:r>
    </w:p>
    <w:p w14:paraId="5C2C7C3E" w14:textId="7BFEAD4E"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lastRenderedPageBreak/>
        <w:t xml:space="preserve">Kombe, W. J. (2005). Land use dynamics in peri-urban areas. </w:t>
      </w:r>
      <w:r w:rsidRPr="00BE4AF3">
        <w:rPr>
          <w:rFonts w:ascii="Times New Roman" w:hAnsi="Times New Roman" w:cs="Times New Roman"/>
          <w:i/>
          <w:iCs/>
          <w:sz w:val="24"/>
          <w:szCs w:val="24"/>
        </w:rPr>
        <w:t>Habitat International,</w:t>
      </w:r>
      <w:r w:rsidRPr="00BE4AF3">
        <w:rPr>
          <w:rFonts w:ascii="Times New Roman" w:hAnsi="Times New Roman" w:cs="Times New Roman"/>
          <w:sz w:val="24"/>
          <w:szCs w:val="24"/>
        </w:rPr>
        <w:t xml:space="preserve"> 29(1), 113–135.</w:t>
      </w:r>
    </w:p>
    <w:p w14:paraId="31A74292" w14:textId="0EBA9DF9"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Kombe, W. J. (2019). Peri-urban land management in sub-Saharan Africa. Land Use Policy, 88, 104–119.</w:t>
      </w:r>
    </w:p>
    <w:p w14:paraId="78B1B207" w14:textId="624D3DB8"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 xml:space="preserve">Mabogunje, A. L. (2020). Urban planning challenges in Nigeria. </w:t>
      </w:r>
      <w:r w:rsidRPr="00BE4AF3">
        <w:rPr>
          <w:rFonts w:ascii="Times New Roman" w:hAnsi="Times New Roman" w:cs="Times New Roman"/>
          <w:i/>
          <w:iCs/>
          <w:sz w:val="24"/>
          <w:szCs w:val="24"/>
        </w:rPr>
        <w:t>Nigerian Journal of Urban Studies,</w:t>
      </w:r>
      <w:r w:rsidRPr="00BE4AF3">
        <w:rPr>
          <w:rFonts w:ascii="Times New Roman" w:hAnsi="Times New Roman" w:cs="Times New Roman"/>
          <w:sz w:val="24"/>
          <w:szCs w:val="24"/>
        </w:rPr>
        <w:t xml:space="preserve"> 15(2), 1–12.</w:t>
      </w:r>
    </w:p>
    <w:p w14:paraId="5407B253" w14:textId="4845A2DF"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 xml:space="preserve">Mariano, A., Grigolon, A., &amp; Nijkamp, P. (2021). Remote work and residential relocation. </w:t>
      </w:r>
      <w:r w:rsidRPr="00BE4AF3">
        <w:rPr>
          <w:rFonts w:ascii="Times New Roman" w:hAnsi="Times New Roman" w:cs="Times New Roman"/>
          <w:i/>
          <w:iCs/>
          <w:sz w:val="24"/>
          <w:szCs w:val="24"/>
        </w:rPr>
        <w:t>Regional Science Policy &amp; Practice,</w:t>
      </w:r>
      <w:r w:rsidRPr="00BE4AF3">
        <w:rPr>
          <w:rFonts w:ascii="Times New Roman" w:hAnsi="Times New Roman" w:cs="Times New Roman"/>
          <w:sz w:val="24"/>
          <w:szCs w:val="24"/>
        </w:rPr>
        <w:t xml:space="preserve"> 13(2), 423–442.</w:t>
      </w:r>
    </w:p>
    <w:p w14:paraId="4650F6B0" w14:textId="3286157C"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 xml:space="preserve">Mbah, P. O., Okafor, C. A., &amp; Odo, R. C. (2022). Housing preference shifts in post-pandemic Africa. </w:t>
      </w:r>
      <w:r w:rsidRPr="00BE4AF3">
        <w:rPr>
          <w:rFonts w:ascii="Times New Roman" w:hAnsi="Times New Roman" w:cs="Times New Roman"/>
          <w:i/>
          <w:iCs/>
          <w:sz w:val="24"/>
          <w:szCs w:val="24"/>
        </w:rPr>
        <w:t>African Development Review,</w:t>
      </w:r>
      <w:r w:rsidRPr="00BE4AF3">
        <w:rPr>
          <w:rFonts w:ascii="Times New Roman" w:hAnsi="Times New Roman" w:cs="Times New Roman"/>
          <w:sz w:val="24"/>
          <w:szCs w:val="24"/>
        </w:rPr>
        <w:t xml:space="preserve"> 34(4), 563–580.</w:t>
      </w:r>
    </w:p>
    <w:p w14:paraId="2B14A44B" w14:textId="5CF31308"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 xml:space="preserve">Nubi, T. O. (2019). Housing provision and affordability in Nigeria. </w:t>
      </w:r>
      <w:r w:rsidRPr="00BE4AF3">
        <w:rPr>
          <w:rFonts w:ascii="Times New Roman" w:hAnsi="Times New Roman" w:cs="Times New Roman"/>
          <w:i/>
          <w:iCs/>
          <w:sz w:val="24"/>
          <w:szCs w:val="24"/>
        </w:rPr>
        <w:t>International Journal of Housing Policy,</w:t>
      </w:r>
      <w:r w:rsidRPr="00BE4AF3">
        <w:rPr>
          <w:rFonts w:ascii="Times New Roman" w:hAnsi="Times New Roman" w:cs="Times New Roman"/>
          <w:sz w:val="24"/>
          <w:szCs w:val="24"/>
        </w:rPr>
        <w:t xml:space="preserve"> 19(1), 101–118.</w:t>
      </w:r>
    </w:p>
    <w:p w14:paraId="51EF895E" w14:textId="742E03B4"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 xml:space="preserve">Olajide, O., Agboola, T., &amp; Yusuff, O. (2021). Peri-urban housing and affordability in Nigeria. </w:t>
      </w:r>
      <w:r w:rsidRPr="00BE4AF3">
        <w:rPr>
          <w:rFonts w:ascii="Times New Roman" w:hAnsi="Times New Roman" w:cs="Times New Roman"/>
          <w:i/>
          <w:iCs/>
          <w:sz w:val="24"/>
          <w:szCs w:val="24"/>
        </w:rPr>
        <w:t>Journal of Housing and the Built Environment</w:t>
      </w:r>
      <w:r w:rsidRPr="00BE4AF3">
        <w:rPr>
          <w:rFonts w:ascii="Times New Roman" w:hAnsi="Times New Roman" w:cs="Times New Roman"/>
          <w:sz w:val="24"/>
          <w:szCs w:val="24"/>
        </w:rPr>
        <w:t>, 36(2), 421–439.</w:t>
      </w:r>
    </w:p>
    <w:p w14:paraId="6D75B6DC" w14:textId="2450FC84"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 xml:space="preserve">Olawande, T., &amp; Oyedele, A. (2021). Peri-urban estate growth in Nigeria. </w:t>
      </w:r>
      <w:r w:rsidRPr="00BE4AF3">
        <w:rPr>
          <w:rFonts w:ascii="Times New Roman" w:hAnsi="Times New Roman" w:cs="Times New Roman"/>
          <w:i/>
          <w:iCs/>
          <w:sz w:val="24"/>
          <w:szCs w:val="24"/>
        </w:rPr>
        <w:t>Journal of Property Studies,</w:t>
      </w:r>
      <w:r w:rsidRPr="00BE4AF3">
        <w:rPr>
          <w:rFonts w:ascii="Times New Roman" w:hAnsi="Times New Roman" w:cs="Times New Roman"/>
          <w:sz w:val="24"/>
          <w:szCs w:val="24"/>
        </w:rPr>
        <w:t xml:space="preserve"> 12(3), 77–90.</w:t>
      </w:r>
    </w:p>
    <w:p w14:paraId="57F4FC59" w14:textId="51F40BA0"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 xml:space="preserve">Okewole, I. A., &amp; Aribigbola, A. (2020). Urban housing in Nigeria: Issues and prospects. </w:t>
      </w:r>
      <w:r w:rsidRPr="00BE4AF3">
        <w:rPr>
          <w:rFonts w:ascii="Times New Roman" w:hAnsi="Times New Roman" w:cs="Times New Roman"/>
          <w:i/>
          <w:iCs/>
          <w:sz w:val="24"/>
          <w:szCs w:val="24"/>
        </w:rPr>
        <w:t>Housing Studies</w:t>
      </w:r>
      <w:r w:rsidRPr="00BE4AF3">
        <w:rPr>
          <w:rFonts w:ascii="Times New Roman" w:hAnsi="Times New Roman" w:cs="Times New Roman"/>
          <w:sz w:val="24"/>
          <w:szCs w:val="24"/>
        </w:rPr>
        <w:t>, 35(4), 621–640.</w:t>
      </w:r>
    </w:p>
    <w:p w14:paraId="6C81C7DC" w14:textId="77777777"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Savills Research. (2021). UK housing market update: Suburban migration trends. Savills.</w:t>
      </w:r>
    </w:p>
    <w:p w14:paraId="49DD217B" w14:textId="1A6ED165"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 xml:space="preserve">Tacoli, C. (2003). The links between urban and rural development. </w:t>
      </w:r>
      <w:r w:rsidRPr="00BE4AF3">
        <w:rPr>
          <w:rFonts w:ascii="Times New Roman" w:hAnsi="Times New Roman" w:cs="Times New Roman"/>
          <w:i/>
          <w:iCs/>
          <w:sz w:val="24"/>
          <w:szCs w:val="24"/>
        </w:rPr>
        <w:t>Environment and Urbanization,</w:t>
      </w:r>
      <w:r w:rsidRPr="00BE4AF3">
        <w:rPr>
          <w:rFonts w:ascii="Times New Roman" w:hAnsi="Times New Roman" w:cs="Times New Roman"/>
          <w:sz w:val="24"/>
          <w:szCs w:val="24"/>
        </w:rPr>
        <w:t xml:space="preserve"> 15(1), 3–12.</w:t>
      </w:r>
    </w:p>
    <w:p w14:paraId="435A4E84" w14:textId="2863C21F"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United Nations Human Settlements Programme. (2021). Cities and pandemics: Towards a more just, green, and healthy future. UN-Habitat.</w:t>
      </w:r>
    </w:p>
    <w:p w14:paraId="7A82E7D4" w14:textId="77777777" w:rsidR="00BE4AF3" w:rsidRPr="00BE4AF3" w:rsidRDefault="00BE4AF3" w:rsidP="0038623D">
      <w:pPr>
        <w:spacing w:after="0" w:line="240" w:lineRule="auto"/>
        <w:ind w:left="851" w:hanging="851"/>
        <w:jc w:val="both"/>
        <w:rPr>
          <w:rFonts w:ascii="Times New Roman" w:hAnsi="Times New Roman" w:cs="Times New Roman"/>
          <w:sz w:val="24"/>
          <w:szCs w:val="24"/>
        </w:rPr>
      </w:pPr>
      <w:r w:rsidRPr="00BE4AF3">
        <w:rPr>
          <w:rFonts w:ascii="Times New Roman" w:hAnsi="Times New Roman" w:cs="Times New Roman"/>
          <w:sz w:val="24"/>
          <w:szCs w:val="24"/>
        </w:rPr>
        <w:t>World Health Organization. (2020). Housing and health guidelines. WHO.</w:t>
      </w:r>
    </w:p>
    <w:p w14:paraId="0B04B3F8" w14:textId="77777777" w:rsidR="00EE3A8A" w:rsidRPr="00BE4AF3" w:rsidRDefault="00EE3A8A" w:rsidP="00116291">
      <w:pPr>
        <w:spacing w:after="0" w:line="240" w:lineRule="auto"/>
        <w:rPr>
          <w:rFonts w:ascii="Times New Roman" w:hAnsi="Times New Roman" w:cs="Times New Roman"/>
          <w:sz w:val="24"/>
          <w:szCs w:val="24"/>
          <w:lang w:val="en-US"/>
        </w:rPr>
      </w:pPr>
    </w:p>
    <w:p w14:paraId="1F7ABE2B" w14:textId="77777777" w:rsidR="0038623D" w:rsidRDefault="0038623D" w:rsidP="00116291">
      <w:pPr>
        <w:spacing w:after="0" w:line="240" w:lineRule="auto"/>
        <w:rPr>
          <w:rFonts w:ascii="Times New Roman" w:hAnsi="Times New Roman" w:cs="Times New Roman"/>
          <w:b/>
          <w:sz w:val="24"/>
          <w:szCs w:val="24"/>
        </w:rPr>
      </w:pPr>
    </w:p>
    <w:p w14:paraId="63612AA3" w14:textId="77777777" w:rsidR="0038623D" w:rsidRDefault="0038623D" w:rsidP="00116291">
      <w:pPr>
        <w:spacing w:after="0" w:line="240" w:lineRule="auto"/>
        <w:rPr>
          <w:rFonts w:ascii="Times New Roman" w:hAnsi="Times New Roman" w:cs="Times New Roman"/>
          <w:b/>
          <w:sz w:val="24"/>
          <w:szCs w:val="24"/>
        </w:rPr>
      </w:pPr>
    </w:p>
    <w:p w14:paraId="1A588549" w14:textId="77777777" w:rsidR="0038623D" w:rsidRDefault="0038623D" w:rsidP="00116291">
      <w:pPr>
        <w:spacing w:after="0" w:line="240" w:lineRule="auto"/>
        <w:rPr>
          <w:rFonts w:ascii="Times New Roman" w:hAnsi="Times New Roman" w:cs="Times New Roman"/>
          <w:b/>
          <w:sz w:val="24"/>
          <w:szCs w:val="24"/>
        </w:rPr>
      </w:pPr>
    </w:p>
    <w:p w14:paraId="3B53394C" w14:textId="77777777" w:rsidR="0038623D" w:rsidRDefault="0038623D" w:rsidP="00116291">
      <w:pPr>
        <w:spacing w:after="0" w:line="240" w:lineRule="auto"/>
        <w:rPr>
          <w:rFonts w:ascii="Times New Roman" w:hAnsi="Times New Roman" w:cs="Times New Roman"/>
          <w:b/>
          <w:sz w:val="24"/>
          <w:szCs w:val="24"/>
        </w:rPr>
      </w:pPr>
    </w:p>
    <w:p w14:paraId="19894A64" w14:textId="77777777" w:rsidR="0038623D" w:rsidRDefault="0038623D" w:rsidP="00116291">
      <w:pPr>
        <w:spacing w:after="0" w:line="240" w:lineRule="auto"/>
        <w:rPr>
          <w:rFonts w:ascii="Times New Roman" w:hAnsi="Times New Roman" w:cs="Times New Roman"/>
          <w:b/>
          <w:sz w:val="24"/>
          <w:szCs w:val="24"/>
        </w:rPr>
      </w:pPr>
    </w:p>
    <w:p w14:paraId="2F6D8B54" w14:textId="77777777" w:rsidR="0038623D" w:rsidRDefault="0038623D" w:rsidP="00116291">
      <w:pPr>
        <w:spacing w:after="0" w:line="240" w:lineRule="auto"/>
        <w:rPr>
          <w:rFonts w:ascii="Times New Roman" w:hAnsi="Times New Roman" w:cs="Times New Roman"/>
          <w:b/>
          <w:sz w:val="24"/>
          <w:szCs w:val="24"/>
        </w:rPr>
      </w:pPr>
    </w:p>
    <w:p w14:paraId="0C513F75" w14:textId="77777777" w:rsidR="0038623D" w:rsidRDefault="0038623D" w:rsidP="00116291">
      <w:pPr>
        <w:spacing w:after="0" w:line="240" w:lineRule="auto"/>
        <w:rPr>
          <w:rFonts w:ascii="Times New Roman" w:hAnsi="Times New Roman" w:cs="Times New Roman"/>
          <w:b/>
          <w:sz w:val="24"/>
          <w:szCs w:val="24"/>
        </w:rPr>
      </w:pPr>
    </w:p>
    <w:p w14:paraId="1AE40D5B" w14:textId="77777777" w:rsidR="0038623D" w:rsidRDefault="0038623D" w:rsidP="00116291">
      <w:pPr>
        <w:spacing w:after="0" w:line="240" w:lineRule="auto"/>
        <w:rPr>
          <w:rFonts w:ascii="Times New Roman" w:hAnsi="Times New Roman" w:cs="Times New Roman"/>
          <w:b/>
          <w:sz w:val="24"/>
          <w:szCs w:val="24"/>
        </w:rPr>
      </w:pPr>
    </w:p>
    <w:p w14:paraId="0E791A44" w14:textId="77777777" w:rsidR="0038623D" w:rsidRDefault="0038623D" w:rsidP="00116291">
      <w:pPr>
        <w:spacing w:after="0" w:line="240" w:lineRule="auto"/>
        <w:rPr>
          <w:rFonts w:ascii="Times New Roman" w:hAnsi="Times New Roman" w:cs="Times New Roman"/>
          <w:b/>
          <w:sz w:val="24"/>
          <w:szCs w:val="24"/>
        </w:rPr>
      </w:pPr>
    </w:p>
    <w:p w14:paraId="054A1FF4" w14:textId="77777777" w:rsidR="0038623D" w:rsidRDefault="0038623D" w:rsidP="00116291">
      <w:pPr>
        <w:spacing w:after="0" w:line="240" w:lineRule="auto"/>
        <w:rPr>
          <w:rFonts w:ascii="Times New Roman" w:hAnsi="Times New Roman" w:cs="Times New Roman"/>
          <w:b/>
          <w:sz w:val="24"/>
          <w:szCs w:val="24"/>
        </w:rPr>
      </w:pPr>
    </w:p>
    <w:p w14:paraId="4D3B5A89" w14:textId="77777777" w:rsidR="0038623D" w:rsidRDefault="0038623D" w:rsidP="00116291">
      <w:pPr>
        <w:spacing w:after="0" w:line="240" w:lineRule="auto"/>
        <w:rPr>
          <w:rFonts w:ascii="Times New Roman" w:hAnsi="Times New Roman" w:cs="Times New Roman"/>
          <w:b/>
          <w:sz w:val="24"/>
          <w:szCs w:val="24"/>
        </w:rPr>
      </w:pPr>
    </w:p>
    <w:p w14:paraId="0673D0D0" w14:textId="77777777" w:rsidR="0038623D" w:rsidRDefault="0038623D" w:rsidP="00116291">
      <w:pPr>
        <w:spacing w:after="0" w:line="240" w:lineRule="auto"/>
        <w:rPr>
          <w:rFonts w:ascii="Times New Roman" w:hAnsi="Times New Roman" w:cs="Times New Roman"/>
          <w:b/>
          <w:sz w:val="24"/>
          <w:szCs w:val="24"/>
        </w:rPr>
      </w:pPr>
    </w:p>
    <w:p w14:paraId="3E012B08" w14:textId="77777777" w:rsidR="0038623D" w:rsidRDefault="0038623D" w:rsidP="00116291">
      <w:pPr>
        <w:spacing w:after="0" w:line="240" w:lineRule="auto"/>
        <w:rPr>
          <w:rFonts w:ascii="Times New Roman" w:hAnsi="Times New Roman" w:cs="Times New Roman"/>
          <w:b/>
          <w:sz w:val="24"/>
          <w:szCs w:val="24"/>
        </w:rPr>
      </w:pPr>
    </w:p>
    <w:p w14:paraId="2342EC41" w14:textId="77777777" w:rsidR="0038623D" w:rsidRDefault="0038623D" w:rsidP="00116291">
      <w:pPr>
        <w:spacing w:after="0" w:line="240" w:lineRule="auto"/>
        <w:rPr>
          <w:rFonts w:ascii="Times New Roman" w:hAnsi="Times New Roman" w:cs="Times New Roman"/>
          <w:b/>
          <w:sz w:val="24"/>
          <w:szCs w:val="24"/>
        </w:rPr>
      </w:pPr>
    </w:p>
    <w:p w14:paraId="751A8220" w14:textId="77777777" w:rsidR="0038623D" w:rsidRDefault="0038623D" w:rsidP="00116291">
      <w:pPr>
        <w:spacing w:after="0" w:line="240" w:lineRule="auto"/>
        <w:rPr>
          <w:rFonts w:ascii="Times New Roman" w:hAnsi="Times New Roman" w:cs="Times New Roman"/>
          <w:b/>
          <w:sz w:val="24"/>
          <w:szCs w:val="24"/>
        </w:rPr>
      </w:pPr>
    </w:p>
    <w:p w14:paraId="14843F4D" w14:textId="77777777" w:rsidR="0038623D" w:rsidRDefault="0038623D" w:rsidP="00116291">
      <w:pPr>
        <w:spacing w:after="0" w:line="240" w:lineRule="auto"/>
        <w:rPr>
          <w:rFonts w:ascii="Times New Roman" w:hAnsi="Times New Roman" w:cs="Times New Roman"/>
          <w:b/>
          <w:sz w:val="24"/>
          <w:szCs w:val="24"/>
        </w:rPr>
      </w:pPr>
    </w:p>
    <w:p w14:paraId="4F775DBA" w14:textId="77777777" w:rsidR="0038623D" w:rsidRDefault="0038623D" w:rsidP="00116291">
      <w:pPr>
        <w:spacing w:after="0" w:line="240" w:lineRule="auto"/>
        <w:rPr>
          <w:rFonts w:ascii="Times New Roman" w:hAnsi="Times New Roman" w:cs="Times New Roman"/>
          <w:b/>
          <w:sz w:val="24"/>
          <w:szCs w:val="24"/>
        </w:rPr>
      </w:pPr>
    </w:p>
    <w:p w14:paraId="6DC150AA" w14:textId="77777777" w:rsidR="0038623D" w:rsidRDefault="0038623D" w:rsidP="00116291">
      <w:pPr>
        <w:spacing w:after="0" w:line="240" w:lineRule="auto"/>
        <w:rPr>
          <w:rFonts w:ascii="Times New Roman" w:hAnsi="Times New Roman" w:cs="Times New Roman"/>
          <w:b/>
          <w:sz w:val="24"/>
          <w:szCs w:val="24"/>
        </w:rPr>
      </w:pPr>
    </w:p>
    <w:p w14:paraId="4197E3F2" w14:textId="77777777" w:rsidR="0038623D" w:rsidRDefault="0038623D" w:rsidP="00116291">
      <w:pPr>
        <w:spacing w:after="0" w:line="240" w:lineRule="auto"/>
        <w:rPr>
          <w:rFonts w:ascii="Times New Roman" w:hAnsi="Times New Roman" w:cs="Times New Roman"/>
          <w:b/>
          <w:sz w:val="24"/>
          <w:szCs w:val="24"/>
        </w:rPr>
      </w:pPr>
    </w:p>
    <w:p w14:paraId="474F9477" w14:textId="77777777" w:rsidR="0038623D" w:rsidRDefault="0038623D" w:rsidP="00116291">
      <w:pPr>
        <w:spacing w:after="0" w:line="240" w:lineRule="auto"/>
        <w:rPr>
          <w:rFonts w:ascii="Times New Roman" w:hAnsi="Times New Roman" w:cs="Times New Roman"/>
          <w:b/>
          <w:sz w:val="24"/>
          <w:szCs w:val="24"/>
        </w:rPr>
      </w:pPr>
    </w:p>
    <w:p w14:paraId="2C811020" w14:textId="77777777" w:rsidR="0038623D" w:rsidRDefault="0038623D" w:rsidP="00116291">
      <w:pPr>
        <w:spacing w:after="0" w:line="240" w:lineRule="auto"/>
        <w:rPr>
          <w:rFonts w:ascii="Times New Roman" w:hAnsi="Times New Roman" w:cs="Times New Roman"/>
          <w:b/>
          <w:sz w:val="24"/>
          <w:szCs w:val="24"/>
        </w:rPr>
      </w:pPr>
    </w:p>
    <w:p w14:paraId="3992A33F" w14:textId="77777777" w:rsidR="0038623D" w:rsidRDefault="0038623D" w:rsidP="00116291">
      <w:pPr>
        <w:spacing w:after="0" w:line="240" w:lineRule="auto"/>
        <w:rPr>
          <w:rFonts w:ascii="Times New Roman" w:hAnsi="Times New Roman" w:cs="Times New Roman"/>
          <w:b/>
          <w:sz w:val="24"/>
          <w:szCs w:val="24"/>
        </w:rPr>
      </w:pPr>
    </w:p>
    <w:p w14:paraId="556E85F7" w14:textId="77777777" w:rsidR="0038623D" w:rsidRDefault="0038623D" w:rsidP="00116291">
      <w:pPr>
        <w:spacing w:after="0" w:line="240" w:lineRule="auto"/>
        <w:rPr>
          <w:rFonts w:ascii="Times New Roman" w:hAnsi="Times New Roman" w:cs="Times New Roman"/>
          <w:b/>
          <w:sz w:val="24"/>
          <w:szCs w:val="24"/>
        </w:rPr>
      </w:pPr>
    </w:p>
    <w:p w14:paraId="4AAC2136" w14:textId="77777777" w:rsidR="0038623D" w:rsidRDefault="0038623D" w:rsidP="00116291">
      <w:pPr>
        <w:spacing w:after="0" w:line="240" w:lineRule="auto"/>
        <w:rPr>
          <w:rFonts w:ascii="Times New Roman" w:hAnsi="Times New Roman" w:cs="Times New Roman"/>
          <w:b/>
          <w:sz w:val="24"/>
          <w:szCs w:val="24"/>
        </w:rPr>
      </w:pPr>
    </w:p>
    <w:p w14:paraId="4E78DFA0" w14:textId="0C1632EB" w:rsidR="00116291" w:rsidRPr="0038623D" w:rsidRDefault="00116291" w:rsidP="0038623D">
      <w:pPr>
        <w:spacing w:after="0" w:line="240" w:lineRule="auto"/>
        <w:jc w:val="center"/>
        <w:rPr>
          <w:rFonts w:ascii="Times New Roman" w:hAnsi="Times New Roman" w:cs="Times New Roman"/>
          <w:b/>
          <w:sz w:val="28"/>
          <w:szCs w:val="28"/>
        </w:rPr>
      </w:pPr>
      <w:r w:rsidRPr="0038623D">
        <w:rPr>
          <w:rFonts w:ascii="Times New Roman" w:hAnsi="Times New Roman" w:cs="Times New Roman"/>
          <w:b/>
          <w:sz w:val="28"/>
          <w:szCs w:val="28"/>
        </w:rPr>
        <w:lastRenderedPageBreak/>
        <w:t>An Appraisal of Quality of Home Facilities for People with Visual Impairment in Southwestern Nigeria</w:t>
      </w:r>
    </w:p>
    <w:p w14:paraId="0E27CF40" w14:textId="77777777" w:rsidR="000C623F" w:rsidRPr="00BE4AF3" w:rsidRDefault="000C623F" w:rsidP="00116291">
      <w:pPr>
        <w:spacing w:after="0" w:line="240" w:lineRule="auto"/>
        <w:rPr>
          <w:rFonts w:ascii="Times New Roman" w:hAnsi="Times New Roman" w:cs="Times New Roman"/>
          <w:sz w:val="24"/>
          <w:szCs w:val="24"/>
        </w:rPr>
      </w:pPr>
    </w:p>
    <w:p w14:paraId="284680BA" w14:textId="77777777" w:rsidR="000C623F" w:rsidRPr="00BE4AF3" w:rsidRDefault="00116291" w:rsidP="000C623F">
      <w:pPr>
        <w:spacing w:after="0" w:line="240" w:lineRule="auto"/>
        <w:jc w:val="center"/>
        <w:rPr>
          <w:rFonts w:ascii="Times New Roman" w:hAnsi="Times New Roman" w:cs="Times New Roman"/>
          <w:sz w:val="24"/>
          <w:szCs w:val="24"/>
        </w:rPr>
      </w:pPr>
      <w:r w:rsidRPr="00BE4AF3">
        <w:rPr>
          <w:rFonts w:ascii="Times New Roman" w:hAnsi="Times New Roman" w:cs="Times New Roman"/>
          <w:sz w:val="24"/>
          <w:szCs w:val="24"/>
        </w:rPr>
        <w:t>Tomori, J. M,</w:t>
      </w:r>
      <w:r w:rsidR="000C623F" w:rsidRPr="00BE4AF3">
        <w:rPr>
          <w:rFonts w:ascii="Times New Roman" w:hAnsi="Times New Roman" w:cs="Times New Roman"/>
          <w:sz w:val="24"/>
          <w:szCs w:val="24"/>
        </w:rPr>
        <w:t xml:space="preserve"> </w:t>
      </w:r>
      <w:r w:rsidRPr="00BE4AF3">
        <w:rPr>
          <w:rFonts w:ascii="Times New Roman" w:hAnsi="Times New Roman" w:cs="Times New Roman"/>
          <w:sz w:val="24"/>
          <w:szCs w:val="24"/>
        </w:rPr>
        <w:t>Odunjo,</w:t>
      </w:r>
      <w:r w:rsidR="000C623F" w:rsidRPr="00BE4AF3">
        <w:rPr>
          <w:rFonts w:ascii="Times New Roman" w:hAnsi="Times New Roman" w:cs="Times New Roman"/>
          <w:sz w:val="24"/>
          <w:szCs w:val="24"/>
        </w:rPr>
        <w:t xml:space="preserve"> </w:t>
      </w:r>
      <w:r w:rsidRPr="00BE4AF3">
        <w:rPr>
          <w:rFonts w:ascii="Times New Roman" w:hAnsi="Times New Roman" w:cs="Times New Roman"/>
          <w:sz w:val="24"/>
          <w:szCs w:val="24"/>
        </w:rPr>
        <w:t>O.O and Adeoye,</w:t>
      </w:r>
      <w:r w:rsidR="000C623F" w:rsidRPr="00BE4AF3">
        <w:rPr>
          <w:rFonts w:ascii="Times New Roman" w:hAnsi="Times New Roman" w:cs="Times New Roman"/>
          <w:sz w:val="24"/>
          <w:szCs w:val="24"/>
        </w:rPr>
        <w:t xml:space="preserve"> </w:t>
      </w:r>
      <w:r w:rsidRPr="00BE4AF3">
        <w:rPr>
          <w:rFonts w:ascii="Times New Roman" w:hAnsi="Times New Roman" w:cs="Times New Roman"/>
          <w:sz w:val="24"/>
          <w:szCs w:val="24"/>
        </w:rPr>
        <w:t>D.O</w:t>
      </w:r>
    </w:p>
    <w:p w14:paraId="33C51512" w14:textId="77777777" w:rsidR="00116291" w:rsidRPr="0038623D" w:rsidRDefault="00116291" w:rsidP="00B640F5">
      <w:pPr>
        <w:spacing w:after="0" w:line="240" w:lineRule="auto"/>
        <w:jc w:val="center"/>
        <w:rPr>
          <w:rFonts w:ascii="Times New Roman" w:eastAsia="Calibri" w:hAnsi="Times New Roman" w:cs="Times New Roman"/>
          <w:sz w:val="20"/>
          <w:szCs w:val="20"/>
        </w:rPr>
      </w:pPr>
      <w:r w:rsidRPr="00BE4AF3">
        <w:rPr>
          <w:rFonts w:ascii="Times New Roman" w:hAnsi="Times New Roman" w:cs="Times New Roman"/>
          <w:sz w:val="24"/>
          <w:szCs w:val="24"/>
        </w:rPr>
        <w:br/>
      </w:r>
      <w:r w:rsidRPr="0038623D">
        <w:rPr>
          <w:rFonts w:ascii="Times New Roman" w:eastAsia="Calibri" w:hAnsi="Times New Roman" w:cs="Times New Roman"/>
          <w:sz w:val="20"/>
          <w:szCs w:val="20"/>
        </w:rPr>
        <w:t xml:space="preserve">Department </w:t>
      </w:r>
      <w:r w:rsidR="00B640F5" w:rsidRPr="0038623D">
        <w:rPr>
          <w:rFonts w:ascii="Times New Roman" w:eastAsia="Calibri" w:hAnsi="Times New Roman" w:cs="Times New Roman"/>
          <w:sz w:val="20"/>
          <w:szCs w:val="20"/>
        </w:rPr>
        <w:t>o</w:t>
      </w:r>
      <w:r w:rsidRPr="0038623D">
        <w:rPr>
          <w:rFonts w:ascii="Times New Roman" w:eastAsia="Calibri" w:hAnsi="Times New Roman" w:cs="Times New Roman"/>
          <w:sz w:val="20"/>
          <w:szCs w:val="20"/>
        </w:rPr>
        <w:t>f Architecture,</w:t>
      </w:r>
      <w:r w:rsidR="00B640F5" w:rsidRPr="0038623D">
        <w:rPr>
          <w:rFonts w:ascii="Times New Roman" w:eastAsia="Calibri" w:hAnsi="Times New Roman" w:cs="Times New Roman"/>
          <w:sz w:val="20"/>
          <w:szCs w:val="20"/>
        </w:rPr>
        <w:t xml:space="preserve"> </w:t>
      </w:r>
      <w:r w:rsidRPr="0038623D">
        <w:rPr>
          <w:rFonts w:ascii="Times New Roman" w:eastAsia="Calibri" w:hAnsi="Times New Roman" w:cs="Times New Roman"/>
          <w:sz w:val="20"/>
          <w:szCs w:val="20"/>
        </w:rPr>
        <w:t xml:space="preserve">Faculty </w:t>
      </w:r>
      <w:r w:rsidR="00B640F5" w:rsidRPr="0038623D">
        <w:rPr>
          <w:rFonts w:ascii="Times New Roman" w:eastAsia="Calibri" w:hAnsi="Times New Roman" w:cs="Times New Roman"/>
          <w:sz w:val="20"/>
          <w:szCs w:val="20"/>
        </w:rPr>
        <w:t>o</w:t>
      </w:r>
      <w:r w:rsidRPr="0038623D">
        <w:rPr>
          <w:rFonts w:ascii="Times New Roman" w:eastAsia="Calibri" w:hAnsi="Times New Roman" w:cs="Times New Roman"/>
          <w:sz w:val="20"/>
          <w:szCs w:val="20"/>
        </w:rPr>
        <w:t>f Environmental Science,</w:t>
      </w:r>
      <w:r w:rsidR="00B640F5" w:rsidRPr="0038623D">
        <w:rPr>
          <w:rFonts w:ascii="Times New Roman" w:eastAsia="Calibri" w:hAnsi="Times New Roman" w:cs="Times New Roman"/>
          <w:sz w:val="20"/>
          <w:szCs w:val="20"/>
        </w:rPr>
        <w:t xml:space="preserve"> </w:t>
      </w:r>
      <w:r w:rsidRPr="0038623D">
        <w:rPr>
          <w:rFonts w:ascii="Times New Roman" w:eastAsia="Calibri" w:hAnsi="Times New Roman" w:cs="Times New Roman"/>
          <w:sz w:val="20"/>
          <w:szCs w:val="20"/>
        </w:rPr>
        <w:t xml:space="preserve">Ladoke Akintola University </w:t>
      </w:r>
      <w:r w:rsidR="00B640F5" w:rsidRPr="0038623D">
        <w:rPr>
          <w:rFonts w:ascii="Times New Roman" w:eastAsia="Calibri" w:hAnsi="Times New Roman" w:cs="Times New Roman"/>
          <w:sz w:val="20"/>
          <w:szCs w:val="20"/>
        </w:rPr>
        <w:t>o</w:t>
      </w:r>
      <w:r w:rsidRPr="0038623D">
        <w:rPr>
          <w:rFonts w:ascii="Times New Roman" w:eastAsia="Calibri" w:hAnsi="Times New Roman" w:cs="Times New Roman"/>
          <w:sz w:val="20"/>
          <w:szCs w:val="20"/>
        </w:rPr>
        <w:t>f Technology, Ogbomoso, Nigeria</w:t>
      </w:r>
    </w:p>
    <w:p w14:paraId="2AC6218B" w14:textId="77777777" w:rsidR="00B640F5" w:rsidRPr="0038623D" w:rsidRDefault="00B640F5" w:rsidP="00116291">
      <w:pPr>
        <w:spacing w:after="0" w:line="240" w:lineRule="auto"/>
        <w:jc w:val="both"/>
        <w:rPr>
          <w:rFonts w:ascii="Times New Roman" w:eastAsia="Calibri" w:hAnsi="Times New Roman" w:cs="Times New Roman"/>
          <w:sz w:val="20"/>
          <w:szCs w:val="20"/>
        </w:rPr>
      </w:pPr>
    </w:p>
    <w:p w14:paraId="0E018859" w14:textId="77777777" w:rsidR="00116291" w:rsidRPr="0038623D" w:rsidRDefault="00116291" w:rsidP="00B640F5">
      <w:pPr>
        <w:spacing w:after="0" w:line="240" w:lineRule="auto"/>
        <w:jc w:val="center"/>
        <w:rPr>
          <w:rFonts w:ascii="Times New Roman" w:hAnsi="Times New Roman" w:cs="Times New Roman"/>
          <w:sz w:val="20"/>
          <w:szCs w:val="20"/>
        </w:rPr>
      </w:pPr>
      <w:r w:rsidRPr="0038623D">
        <w:rPr>
          <w:rFonts w:ascii="Times New Roman" w:hAnsi="Times New Roman" w:cs="Times New Roman"/>
          <w:bCs/>
          <w:sz w:val="20"/>
          <w:szCs w:val="20"/>
        </w:rPr>
        <w:t>E-mail:</w:t>
      </w:r>
      <w:r w:rsidR="00B640F5" w:rsidRPr="0038623D">
        <w:rPr>
          <w:rFonts w:ascii="Times New Roman" w:hAnsi="Times New Roman" w:cs="Times New Roman"/>
          <w:bCs/>
          <w:sz w:val="20"/>
          <w:szCs w:val="20"/>
        </w:rPr>
        <w:t xml:space="preserve"> </w:t>
      </w:r>
      <w:hyperlink r:id="rId226" w:history="1">
        <w:r w:rsidRPr="0038623D">
          <w:rPr>
            <w:rStyle w:val="Hyperlink"/>
            <w:rFonts w:ascii="Times New Roman" w:hAnsi="Times New Roman" w:cs="Times New Roman"/>
            <w:color w:val="auto"/>
            <w:sz w:val="20"/>
            <w:szCs w:val="20"/>
            <w:u w:val="none"/>
          </w:rPr>
          <w:t>tomorijumokemulikat@gmail.com,ooodunjo@lautech.edu.ng.and</w:t>
        </w:r>
      </w:hyperlink>
      <w:r w:rsidRPr="0038623D">
        <w:rPr>
          <w:rFonts w:ascii="Times New Roman" w:hAnsi="Times New Roman" w:cs="Times New Roman"/>
          <w:sz w:val="20"/>
          <w:szCs w:val="20"/>
        </w:rPr>
        <w:t xml:space="preserve"> </w:t>
      </w:r>
      <w:hyperlink r:id="rId227" w:history="1">
        <w:r w:rsidR="00B640F5" w:rsidRPr="0038623D">
          <w:rPr>
            <w:rStyle w:val="Hyperlink"/>
            <w:rFonts w:ascii="Times New Roman" w:hAnsi="Times New Roman" w:cs="Times New Roman"/>
            <w:color w:val="auto"/>
            <w:sz w:val="20"/>
            <w:szCs w:val="20"/>
            <w:u w:val="none"/>
          </w:rPr>
          <w:t>doadeoye@lautech.edu.ng</w:t>
        </w:r>
      </w:hyperlink>
    </w:p>
    <w:p w14:paraId="6BD8704F" w14:textId="77777777" w:rsidR="00B640F5" w:rsidRPr="00BE4AF3" w:rsidRDefault="00B640F5" w:rsidP="00B640F5">
      <w:pPr>
        <w:spacing w:after="0" w:line="240" w:lineRule="auto"/>
        <w:jc w:val="center"/>
        <w:rPr>
          <w:rFonts w:ascii="Times New Roman" w:hAnsi="Times New Roman" w:cs="Times New Roman"/>
          <w:sz w:val="24"/>
          <w:szCs w:val="24"/>
        </w:rPr>
      </w:pPr>
    </w:p>
    <w:p w14:paraId="69596675" w14:textId="77777777" w:rsidR="00116291" w:rsidRPr="00BE4AF3" w:rsidRDefault="00116291" w:rsidP="00116291">
      <w:pPr>
        <w:pStyle w:val="Heading3"/>
        <w:spacing w:line="240" w:lineRule="auto"/>
        <w:jc w:val="both"/>
        <w:rPr>
          <w:rStyle w:val="Strong"/>
          <w:rFonts w:ascii="Times New Roman" w:hAnsi="Times New Roman" w:cs="Times New Roman"/>
          <w:iCs/>
          <w:color w:val="auto"/>
        </w:rPr>
      </w:pPr>
      <w:r w:rsidRPr="00BE4AF3">
        <w:rPr>
          <w:rStyle w:val="Strong"/>
          <w:rFonts w:ascii="Times New Roman" w:hAnsi="Times New Roman" w:cs="Times New Roman"/>
          <w:iCs/>
          <w:color w:val="auto"/>
        </w:rPr>
        <w:t>LICFES 2025-060 – FP32</w:t>
      </w:r>
    </w:p>
    <w:p w14:paraId="25BC75BD" w14:textId="77777777" w:rsidR="00116291" w:rsidRPr="00BE4AF3" w:rsidRDefault="00116291" w:rsidP="00116291">
      <w:pPr>
        <w:pStyle w:val="Heading3"/>
        <w:spacing w:line="240" w:lineRule="auto"/>
        <w:jc w:val="both"/>
        <w:rPr>
          <w:rFonts w:ascii="Times New Roman" w:hAnsi="Times New Roman" w:cs="Times New Roman"/>
          <w:iCs/>
          <w:color w:val="auto"/>
        </w:rPr>
      </w:pPr>
      <w:r w:rsidRPr="00BE4AF3">
        <w:rPr>
          <w:rStyle w:val="Strong"/>
          <w:rFonts w:ascii="Times New Roman" w:hAnsi="Times New Roman" w:cs="Times New Roman"/>
          <w:iCs/>
          <w:color w:val="auto"/>
        </w:rPr>
        <w:t>Abstract</w:t>
      </w:r>
    </w:p>
    <w:p w14:paraId="49FDA854" w14:textId="77777777" w:rsidR="00116291" w:rsidRPr="00BE4AF3" w:rsidRDefault="00116291" w:rsidP="00B640F5">
      <w:pPr>
        <w:pStyle w:val="NormalWeb"/>
        <w:spacing w:before="0" w:beforeAutospacing="0" w:after="0" w:afterAutospacing="0"/>
        <w:jc w:val="both"/>
        <w:rPr>
          <w:iCs/>
        </w:rPr>
      </w:pPr>
      <w:r w:rsidRPr="00BE4AF3">
        <w:rPr>
          <w:iCs/>
        </w:rPr>
        <w:t>This paper appraises the quality of home facilities for persons with visual impairment in Southwestern Nigeria. Globally, an estimated 285 million people experience some form of visual impairment, with approximately 4.25 million residing in Nigeria. Despite Nigeria’s ratification of the United Nations Convention on the Rights of Persons with Disabilities (UNCRPD), inclusive housing design remains inadequately implemented, particularly within private residential settings. The study inventoried available facilities in</w:t>
      </w:r>
      <w:r w:rsidRPr="00BE4AF3">
        <w:rPr>
          <w:rFonts w:eastAsia="Calibri"/>
          <w:iCs/>
          <w:lang w:val="en-GB"/>
        </w:rPr>
        <w:t xml:space="preserve"> the home of pe</w:t>
      </w:r>
      <w:r w:rsidRPr="00BE4AF3">
        <w:rPr>
          <w:rFonts w:eastAsia="Calibri"/>
          <w:iCs/>
        </w:rPr>
        <w:t>rsons</w:t>
      </w:r>
      <w:r w:rsidRPr="00BE4AF3">
        <w:rPr>
          <w:rFonts w:eastAsia="Calibri"/>
          <w:iCs/>
          <w:lang w:val="en-GB"/>
        </w:rPr>
        <w:t xml:space="preserve"> with </w:t>
      </w:r>
      <w:r w:rsidRPr="00BE4AF3">
        <w:rPr>
          <w:rFonts w:eastAsia="Calibri"/>
          <w:iCs/>
        </w:rPr>
        <w:t>V</w:t>
      </w:r>
      <w:r w:rsidRPr="00BE4AF3">
        <w:rPr>
          <w:rFonts w:eastAsia="Calibri"/>
          <w:iCs/>
          <w:lang w:val="en-GB"/>
        </w:rPr>
        <w:t xml:space="preserve">isual </w:t>
      </w:r>
      <w:r w:rsidRPr="00BE4AF3">
        <w:rPr>
          <w:rFonts w:eastAsia="Calibri"/>
          <w:iCs/>
        </w:rPr>
        <w:t>I</w:t>
      </w:r>
      <w:r w:rsidRPr="00BE4AF3">
        <w:rPr>
          <w:rFonts w:eastAsia="Calibri"/>
          <w:iCs/>
          <w:lang w:val="en-GB"/>
        </w:rPr>
        <w:t>mpairment in the study area</w:t>
      </w:r>
      <w:r w:rsidRPr="00BE4AF3">
        <w:rPr>
          <w:iCs/>
        </w:rPr>
        <w:t xml:space="preserve"> A mixed-method research design was employed, integrating quantitative surveys and qualitative interviews across four Southwestern states—Ekiti, Lagos, Ondo, and Oyo. From 631 questionnaires administered, 587 valid responses (93%) were analyzed using descriptive and inferential statistics, including Chi-square tests and mean weighted indices. Findings indicated that while basic home utilities such as electricity, ventilation, and water were generally available, specialized accessibility facilities—including tactile flooring, ramps, handrails, and voice-controlled devices—were largely absent. The study concludes that the absence of adaptive housing features undermines autonomy, comfort, and safety among visually impaired individuals. It recommends the integration of universal design principles by architects, the enforcement of accessibility standards by policymakers, and increased public awareness to promote inclusive housing for all citizens.</w:t>
      </w:r>
    </w:p>
    <w:p w14:paraId="232F8219" w14:textId="77777777" w:rsidR="00B640F5" w:rsidRPr="00BE4AF3" w:rsidRDefault="00B640F5" w:rsidP="00116291">
      <w:pPr>
        <w:spacing w:after="0" w:line="240" w:lineRule="auto"/>
        <w:rPr>
          <w:rStyle w:val="Strong"/>
          <w:rFonts w:ascii="Times New Roman" w:hAnsi="Times New Roman" w:cs="Times New Roman"/>
          <w:sz w:val="24"/>
          <w:szCs w:val="24"/>
        </w:rPr>
      </w:pPr>
    </w:p>
    <w:p w14:paraId="709EBBEA" w14:textId="77777777" w:rsidR="00116291" w:rsidRPr="00BE4AF3" w:rsidRDefault="00116291" w:rsidP="00B640F5">
      <w:pPr>
        <w:spacing w:after="0" w:line="240" w:lineRule="auto"/>
        <w:jc w:val="both"/>
        <w:rPr>
          <w:rFonts w:ascii="Times New Roman" w:hAnsi="Times New Roman" w:cs="Times New Roman"/>
          <w:sz w:val="24"/>
          <w:szCs w:val="24"/>
          <w:lang w:val="en-US"/>
        </w:rPr>
      </w:pPr>
      <w:r w:rsidRPr="00BE4AF3">
        <w:rPr>
          <w:rStyle w:val="Strong"/>
          <w:rFonts w:ascii="Times New Roman" w:hAnsi="Times New Roman" w:cs="Times New Roman"/>
          <w:sz w:val="24"/>
          <w:szCs w:val="24"/>
        </w:rPr>
        <w:t>Keywords:</w:t>
      </w:r>
      <w:r w:rsidRPr="00BE4AF3">
        <w:rPr>
          <w:rFonts w:ascii="Times New Roman" w:hAnsi="Times New Roman" w:cs="Times New Roman"/>
          <w:sz w:val="24"/>
          <w:szCs w:val="24"/>
        </w:rPr>
        <w:t xml:space="preserve"> Visual impairment, Home facilities, Accessibility, Universal design, Inclusive housing.</w:t>
      </w:r>
    </w:p>
    <w:p w14:paraId="149C011D" w14:textId="77777777" w:rsidR="00B6642C" w:rsidRPr="00BE4AF3" w:rsidRDefault="00EE3A8A" w:rsidP="00116291">
      <w:pPr>
        <w:tabs>
          <w:tab w:val="left" w:pos="3422"/>
        </w:tabs>
        <w:spacing w:after="0" w:line="240" w:lineRule="auto"/>
        <w:rPr>
          <w:rFonts w:ascii="Times New Roman" w:hAnsi="Times New Roman" w:cs="Times New Roman"/>
          <w:sz w:val="24"/>
          <w:szCs w:val="24"/>
          <w:lang w:val="en-US"/>
        </w:rPr>
      </w:pPr>
      <w:r w:rsidRPr="00BE4AF3">
        <w:rPr>
          <w:rFonts w:ascii="Times New Roman" w:hAnsi="Times New Roman" w:cs="Times New Roman"/>
          <w:sz w:val="24"/>
          <w:szCs w:val="24"/>
          <w:lang w:val="en-US"/>
        </w:rPr>
        <w:tab/>
      </w:r>
    </w:p>
    <w:p w14:paraId="3FE367D0" w14:textId="77777777" w:rsidR="00BE4AF3" w:rsidRPr="003933A3" w:rsidRDefault="00BE4AF3" w:rsidP="003933A3">
      <w:pPr>
        <w:pStyle w:val="Heading3"/>
        <w:spacing w:before="0" w:line="240" w:lineRule="auto"/>
        <w:jc w:val="both"/>
        <w:rPr>
          <w:rFonts w:ascii="Times New Roman" w:hAnsi="Times New Roman" w:cs="Times New Roman"/>
          <w:color w:val="000000" w:themeColor="text1"/>
        </w:rPr>
      </w:pPr>
      <w:r w:rsidRPr="003933A3">
        <w:rPr>
          <w:rStyle w:val="Strong"/>
          <w:rFonts w:ascii="Times New Roman" w:hAnsi="Times New Roman" w:cs="Times New Roman"/>
          <w:color w:val="000000" w:themeColor="text1"/>
        </w:rPr>
        <w:t>Introduction</w:t>
      </w:r>
    </w:p>
    <w:p w14:paraId="12126BD6" w14:textId="77777777" w:rsidR="00BE4AF3" w:rsidRPr="003933A3" w:rsidRDefault="00BE4AF3" w:rsidP="003933A3">
      <w:pPr>
        <w:pStyle w:val="NormalWeb"/>
        <w:spacing w:before="0" w:beforeAutospacing="0" w:after="0" w:afterAutospacing="0"/>
        <w:jc w:val="both"/>
        <w:rPr>
          <w:color w:val="000000" w:themeColor="text1"/>
        </w:rPr>
      </w:pPr>
      <w:r w:rsidRPr="003933A3">
        <w:rPr>
          <w:color w:val="000000" w:themeColor="text1"/>
        </w:rPr>
        <w:t>Visual impairment remains one of the most disabling conditions affecting quality of life and residential independence in developing countries. The World Health Organization (WHO, 2021) estimates that over 285 million people globally live with visual impairment, with about 39 million completely blind. In Nigeria alone, approximately 4.25 million individuals experience some form of vision loss, a figure that continues to rise due to ageing, poverty, and limited access to preventive eye care (Onakoya, Uhumwangho and Aribaba, 2022). Despite this reality, most residential environments in Nigeria are designed without regard for sensory disabilities, resulting in unsafe, inconvenient, and socially excluding home environments (Adeoye and Oyetola, 2023; Oluleye, Adebayo and Ojo, 2022).</w:t>
      </w:r>
    </w:p>
    <w:p w14:paraId="67BF98FA" w14:textId="77777777" w:rsidR="00BE4AF3" w:rsidRPr="003933A3" w:rsidRDefault="00BE4AF3" w:rsidP="003933A3">
      <w:pPr>
        <w:pStyle w:val="NormalWeb"/>
        <w:spacing w:before="0" w:beforeAutospacing="0" w:after="0" w:afterAutospacing="0"/>
        <w:jc w:val="both"/>
        <w:rPr>
          <w:color w:val="000000" w:themeColor="text1"/>
        </w:rPr>
      </w:pPr>
      <w:r w:rsidRPr="003933A3">
        <w:rPr>
          <w:color w:val="000000" w:themeColor="text1"/>
        </w:rPr>
        <w:t xml:space="preserve">In Southwestern Nigeria, home environments for the visually impaired are often characterised by poor lighting, absence of tactile or auditory cues, unsafe circulation, and inadequate sanitation systems. These inadequacies compromise spatial orientation, autonomy, and daily functioning, thereby reinforcing dependence on caregivers (Ayeni  and Oloyede, 2023; Fadeyibi and Ajayi, 2024). Although the </w:t>
      </w:r>
      <w:r w:rsidRPr="003933A3">
        <w:rPr>
          <w:rStyle w:val="Strong"/>
          <w:rFonts w:eastAsiaTheme="majorEastAsia"/>
          <w:b w:val="0"/>
          <w:bCs w:val="0"/>
          <w:color w:val="000000" w:themeColor="text1"/>
        </w:rPr>
        <w:t>National Building Code of Nigeria (2018)</w:t>
      </w:r>
      <w:r w:rsidRPr="003933A3">
        <w:rPr>
          <w:color w:val="000000" w:themeColor="text1"/>
        </w:rPr>
        <w:t xml:space="preserve"> and the </w:t>
      </w:r>
      <w:r w:rsidRPr="003933A3">
        <w:rPr>
          <w:rStyle w:val="Strong"/>
          <w:rFonts w:eastAsiaTheme="majorEastAsia"/>
          <w:b w:val="0"/>
          <w:bCs w:val="0"/>
          <w:color w:val="000000" w:themeColor="text1"/>
        </w:rPr>
        <w:t>Discrimination Against Persons with Disabilities (Prohibition) Act (2018)</w:t>
      </w:r>
      <w:r w:rsidRPr="003933A3">
        <w:rPr>
          <w:color w:val="000000" w:themeColor="text1"/>
        </w:rPr>
        <w:t xml:space="preserve"> promote accessibility, their practical application in private housing remains limited due to weak enforcement mechanisms, poor </w:t>
      </w:r>
      <w:r w:rsidRPr="003933A3">
        <w:rPr>
          <w:color w:val="000000" w:themeColor="text1"/>
        </w:rPr>
        <w:lastRenderedPageBreak/>
        <w:t>professional compliance, and low public awareness (Federal Ministry of Works and Housing, 2023).</w:t>
      </w:r>
    </w:p>
    <w:p w14:paraId="3C5C9D6A" w14:textId="77777777" w:rsidR="00BE4AF3" w:rsidRPr="003933A3" w:rsidRDefault="00BE4AF3" w:rsidP="003933A3">
      <w:pPr>
        <w:pStyle w:val="NormalWeb"/>
        <w:spacing w:before="0" w:beforeAutospacing="0" w:after="0" w:afterAutospacing="0"/>
        <w:jc w:val="both"/>
        <w:rPr>
          <w:color w:val="000000" w:themeColor="text1"/>
        </w:rPr>
      </w:pPr>
      <w:r w:rsidRPr="003933A3">
        <w:rPr>
          <w:color w:val="000000" w:themeColor="text1"/>
        </w:rPr>
        <w:t>The home represents not just a shelter but a vital social and psychological domain that supports independence, comfort, and identity (Onanuga and Oviasogie, 2020). For persons with visual impairment, the home’s quality determines their capacity to perform essential tasks such as navigation, cooking, or personal care. Studies have shown that adaptive features—such as non-slip flooring, handrails, tactile markings, motion-sensor lighting, and voice-activated devices—greatly enhance safety and independent living (Jafari</w:t>
      </w:r>
      <w:r w:rsidRPr="003933A3">
        <w:rPr>
          <w:i/>
          <w:iCs/>
          <w:color w:val="000000" w:themeColor="text1"/>
        </w:rPr>
        <w:t xml:space="preserve"> et al</w:t>
      </w:r>
      <w:r w:rsidRPr="003933A3">
        <w:rPr>
          <w:color w:val="000000" w:themeColor="text1"/>
        </w:rPr>
        <w:t>., 2022; Hedvall, 2025). However, these features are rarely included in the housing stock in Nigeria due to economic constraints, low awareness of universal design, and fragmented policy implementation (Oladokun, Adeyemo and Fashina, 2024).</w:t>
      </w:r>
    </w:p>
    <w:p w14:paraId="480FC93E" w14:textId="25BB6B5D" w:rsidR="00BE4AF3" w:rsidRDefault="00BE4AF3" w:rsidP="003933A3">
      <w:pPr>
        <w:pStyle w:val="NormalWeb"/>
        <w:spacing w:before="0" w:beforeAutospacing="0" w:after="0" w:afterAutospacing="0"/>
        <w:jc w:val="both"/>
        <w:rPr>
          <w:rStyle w:val="Strong"/>
          <w:rFonts w:eastAsiaTheme="majorEastAsia"/>
          <w:b w:val="0"/>
          <w:bCs w:val="0"/>
          <w:color w:val="000000" w:themeColor="text1"/>
        </w:rPr>
      </w:pPr>
      <w:r w:rsidRPr="003933A3">
        <w:rPr>
          <w:color w:val="000000" w:themeColor="text1"/>
        </w:rPr>
        <w:t xml:space="preserve">In response to these gaps, this paper appraises the </w:t>
      </w:r>
      <w:r w:rsidRPr="003933A3">
        <w:rPr>
          <w:rStyle w:val="Strong"/>
          <w:rFonts w:eastAsiaTheme="majorEastAsia"/>
          <w:b w:val="0"/>
          <w:bCs w:val="0"/>
          <w:color w:val="000000" w:themeColor="text1"/>
        </w:rPr>
        <w:t>quality of home facilities available to persons with visual impairment in Southwestern Nigeria</w:t>
      </w:r>
      <w:r w:rsidR="003933A3">
        <w:rPr>
          <w:rStyle w:val="Strong"/>
          <w:rFonts w:eastAsiaTheme="majorEastAsia"/>
          <w:b w:val="0"/>
          <w:bCs w:val="0"/>
          <w:color w:val="000000" w:themeColor="text1"/>
        </w:rPr>
        <w:t>.</w:t>
      </w:r>
    </w:p>
    <w:p w14:paraId="40D8F3ED" w14:textId="77777777" w:rsidR="003933A3" w:rsidRPr="003933A3" w:rsidRDefault="003933A3" w:rsidP="003933A3">
      <w:pPr>
        <w:pStyle w:val="NormalWeb"/>
        <w:spacing w:before="0" w:beforeAutospacing="0" w:after="0" w:afterAutospacing="0"/>
        <w:jc w:val="both"/>
        <w:rPr>
          <w:color w:val="000000" w:themeColor="text1"/>
        </w:rPr>
      </w:pPr>
    </w:p>
    <w:p w14:paraId="20A83248" w14:textId="77777777" w:rsidR="00BE4AF3" w:rsidRPr="003933A3" w:rsidRDefault="00BE4AF3" w:rsidP="003933A3">
      <w:pPr>
        <w:pStyle w:val="NormalWeb"/>
        <w:spacing w:before="0" w:beforeAutospacing="0" w:after="0" w:afterAutospacing="0"/>
        <w:jc w:val="both"/>
        <w:rPr>
          <w:color w:val="000000" w:themeColor="text1"/>
        </w:rPr>
      </w:pPr>
      <w:r w:rsidRPr="003933A3">
        <w:rPr>
          <w:rStyle w:val="Strong"/>
          <w:rFonts w:eastAsiaTheme="majorEastAsia"/>
          <w:color w:val="000000" w:themeColor="text1"/>
        </w:rPr>
        <w:t>Materials and Methods</w:t>
      </w:r>
    </w:p>
    <w:p w14:paraId="6F9DB711" w14:textId="5E12A89B" w:rsidR="00BE4AF3" w:rsidRPr="003933A3" w:rsidRDefault="00BE4AF3" w:rsidP="003933A3">
      <w:pPr>
        <w:pStyle w:val="NormalWeb"/>
        <w:spacing w:before="0" w:beforeAutospacing="0" w:after="0" w:afterAutospacing="0"/>
        <w:jc w:val="both"/>
        <w:rPr>
          <w:color w:val="000000" w:themeColor="text1"/>
        </w:rPr>
      </w:pPr>
      <w:r w:rsidRPr="003933A3">
        <w:rPr>
          <w:color w:val="000000" w:themeColor="text1"/>
        </w:rPr>
        <w:t xml:space="preserve">The study was carried out in </w:t>
      </w:r>
      <w:r w:rsidRPr="003933A3">
        <w:rPr>
          <w:rStyle w:val="Strong"/>
          <w:rFonts w:eastAsiaTheme="majorEastAsia"/>
          <w:b w:val="0"/>
          <w:bCs w:val="0"/>
          <w:color w:val="000000" w:themeColor="text1"/>
        </w:rPr>
        <w:t>Southwestern Nigeria</w:t>
      </w:r>
      <w:r w:rsidRPr="003933A3">
        <w:rPr>
          <w:color w:val="000000" w:themeColor="text1"/>
        </w:rPr>
        <w:t xml:space="preserve">—covering </w:t>
      </w:r>
      <w:r w:rsidRPr="003933A3">
        <w:rPr>
          <w:rStyle w:val="Strong"/>
          <w:rFonts w:eastAsiaTheme="majorEastAsia"/>
          <w:b w:val="0"/>
          <w:bCs w:val="0"/>
          <w:color w:val="000000" w:themeColor="text1"/>
        </w:rPr>
        <w:t>Ekiti, Lagos, Ondo, and Oyo States</w:t>
      </w:r>
      <w:r w:rsidR="003933A3">
        <w:rPr>
          <w:rStyle w:val="Strong"/>
          <w:rFonts w:eastAsiaTheme="majorEastAsia"/>
          <w:b w:val="0"/>
          <w:bCs w:val="0"/>
          <w:color w:val="000000" w:themeColor="text1"/>
        </w:rPr>
        <w:t xml:space="preserve"> </w:t>
      </w:r>
      <w:r w:rsidRPr="003933A3">
        <w:rPr>
          <w:rStyle w:val="Strong"/>
          <w:rFonts w:eastAsiaTheme="majorEastAsia"/>
          <w:b w:val="0"/>
          <w:bCs w:val="0"/>
          <w:color w:val="000000" w:themeColor="text1"/>
        </w:rPr>
        <w:t>(Figure 1).W</w:t>
      </w:r>
      <w:r w:rsidRPr="003933A3">
        <w:rPr>
          <w:color w:val="000000" w:themeColor="text1"/>
        </w:rPr>
        <w:t xml:space="preserve">here many institutions for persons with visual impairment are located(Figure 2). The region exhibits diverse urban and socio-economic conditions that influence housing accessibility (NBS, 2023; Oladokun </w:t>
      </w:r>
      <w:r w:rsidRPr="003933A3">
        <w:rPr>
          <w:i/>
          <w:iCs/>
          <w:color w:val="000000" w:themeColor="text1"/>
        </w:rPr>
        <w:t>et al</w:t>
      </w:r>
      <w:r w:rsidRPr="003933A3">
        <w:rPr>
          <w:color w:val="000000" w:themeColor="text1"/>
        </w:rPr>
        <w:t>., 2024).</w:t>
      </w:r>
    </w:p>
    <w:p w14:paraId="1084E8E3" w14:textId="77777777" w:rsidR="00BE4AF3" w:rsidRPr="003933A3" w:rsidRDefault="00BE4AF3" w:rsidP="003933A3">
      <w:pPr>
        <w:pStyle w:val="NormalWeb"/>
        <w:spacing w:before="0" w:beforeAutospacing="0" w:after="0" w:afterAutospacing="0"/>
        <w:jc w:val="both"/>
        <w:rPr>
          <w:color w:val="000000" w:themeColor="text1"/>
        </w:rPr>
      </w:pPr>
      <w:r w:rsidRPr="003933A3">
        <w:rPr>
          <w:color w:val="000000" w:themeColor="text1"/>
        </w:rPr>
        <w:t xml:space="preserve">A </w:t>
      </w:r>
      <w:r w:rsidRPr="003933A3">
        <w:rPr>
          <w:rStyle w:val="Strong"/>
          <w:rFonts w:eastAsiaTheme="majorEastAsia"/>
          <w:b w:val="0"/>
          <w:bCs w:val="0"/>
          <w:color w:val="000000" w:themeColor="text1"/>
        </w:rPr>
        <w:t>mixed-method research design</w:t>
      </w:r>
      <w:r w:rsidRPr="003933A3">
        <w:rPr>
          <w:color w:val="000000" w:themeColor="text1"/>
        </w:rPr>
        <w:t xml:space="preserve"> was adopted, combining quantitative and qualitative approaches to capture both measurable and experiential aspects of home facilities. Data were gathered through </w:t>
      </w:r>
      <w:r w:rsidRPr="003933A3">
        <w:rPr>
          <w:rStyle w:val="Strong"/>
          <w:rFonts w:eastAsiaTheme="majorEastAsia"/>
          <w:b w:val="0"/>
          <w:bCs w:val="0"/>
          <w:color w:val="000000" w:themeColor="text1"/>
        </w:rPr>
        <w:t>structured questionnaires</w:t>
      </w:r>
      <w:r w:rsidRPr="003933A3">
        <w:rPr>
          <w:color w:val="000000" w:themeColor="text1"/>
        </w:rPr>
        <w:t xml:space="preserve">, </w:t>
      </w:r>
      <w:r w:rsidRPr="003933A3">
        <w:rPr>
          <w:rStyle w:val="Strong"/>
          <w:rFonts w:eastAsiaTheme="majorEastAsia"/>
          <w:b w:val="0"/>
          <w:bCs w:val="0"/>
          <w:color w:val="000000" w:themeColor="text1"/>
        </w:rPr>
        <w:t>direct observations</w:t>
      </w:r>
      <w:r w:rsidRPr="003933A3">
        <w:rPr>
          <w:color w:val="000000" w:themeColor="text1"/>
        </w:rPr>
        <w:t xml:space="preserve">, and </w:t>
      </w:r>
      <w:r w:rsidRPr="003933A3">
        <w:rPr>
          <w:rStyle w:val="Strong"/>
          <w:rFonts w:eastAsiaTheme="majorEastAsia"/>
          <w:b w:val="0"/>
          <w:bCs w:val="0"/>
          <w:color w:val="000000" w:themeColor="text1"/>
        </w:rPr>
        <w:t>key-informant interviews</w:t>
      </w:r>
      <w:r w:rsidRPr="003933A3">
        <w:rPr>
          <w:color w:val="000000" w:themeColor="text1"/>
        </w:rPr>
        <w:t xml:space="preserve"> with visually impaired residents and administrators (Creswell and Creswell, 2022; Yin, 2021).</w:t>
      </w:r>
    </w:p>
    <w:p w14:paraId="55E6FA8B" w14:textId="77777777" w:rsidR="00BE4AF3" w:rsidRPr="003933A3" w:rsidRDefault="00BE4AF3" w:rsidP="003933A3">
      <w:pPr>
        <w:pStyle w:val="NormalWeb"/>
        <w:spacing w:before="0" w:beforeAutospacing="0" w:after="0" w:afterAutospacing="0"/>
        <w:jc w:val="both"/>
        <w:rPr>
          <w:color w:val="000000" w:themeColor="text1"/>
        </w:rPr>
      </w:pPr>
      <w:r w:rsidRPr="003933A3">
        <w:rPr>
          <w:color w:val="000000" w:themeColor="text1"/>
        </w:rPr>
        <w:t xml:space="preserve">The </w:t>
      </w:r>
      <w:r w:rsidRPr="003933A3">
        <w:rPr>
          <w:rStyle w:val="Strong"/>
          <w:rFonts w:eastAsiaTheme="majorEastAsia"/>
          <w:b w:val="0"/>
          <w:bCs w:val="0"/>
          <w:color w:val="000000" w:themeColor="text1"/>
        </w:rPr>
        <w:t>target population</w:t>
      </w:r>
      <w:r w:rsidRPr="003933A3">
        <w:rPr>
          <w:color w:val="000000" w:themeColor="text1"/>
        </w:rPr>
        <w:t xml:space="preserve"> comprised </w:t>
      </w:r>
      <w:r w:rsidRPr="003933A3">
        <w:rPr>
          <w:rStyle w:val="Strong"/>
          <w:rFonts w:eastAsiaTheme="majorEastAsia"/>
          <w:b w:val="0"/>
          <w:bCs w:val="0"/>
          <w:color w:val="000000" w:themeColor="text1"/>
        </w:rPr>
        <w:t>1,259 visually impaired adults</w:t>
      </w:r>
      <w:r w:rsidRPr="003933A3">
        <w:rPr>
          <w:color w:val="000000" w:themeColor="text1"/>
        </w:rPr>
        <w:t xml:space="preserve"> drawn from eight schools and rehabilitation homes across the selected states. Using a </w:t>
      </w:r>
      <w:r w:rsidRPr="003933A3">
        <w:rPr>
          <w:rStyle w:val="Strong"/>
          <w:rFonts w:eastAsiaTheme="majorEastAsia"/>
          <w:b w:val="0"/>
          <w:bCs w:val="0"/>
          <w:color w:val="000000" w:themeColor="text1"/>
        </w:rPr>
        <w:t>multistage random sampling technique</w:t>
      </w:r>
      <w:r w:rsidRPr="003933A3">
        <w:rPr>
          <w:color w:val="000000" w:themeColor="text1"/>
        </w:rPr>
        <w:t xml:space="preserve">, </w:t>
      </w:r>
      <w:r w:rsidRPr="003933A3">
        <w:rPr>
          <w:rStyle w:val="Strong"/>
          <w:rFonts w:eastAsiaTheme="majorEastAsia"/>
          <w:b w:val="0"/>
          <w:bCs w:val="0"/>
          <w:color w:val="000000" w:themeColor="text1"/>
        </w:rPr>
        <w:t>631 respondents (50 %)</w:t>
      </w:r>
      <w:r w:rsidRPr="003933A3">
        <w:rPr>
          <w:color w:val="000000" w:themeColor="text1"/>
        </w:rPr>
        <w:t xml:space="preserve"> were selected to ensure adequate representation (Bassi and Camble, 2019) (Table 1). Instruments were validated through pre-testing, achieving a </w:t>
      </w:r>
      <w:r w:rsidRPr="003933A3">
        <w:rPr>
          <w:rStyle w:val="Strong"/>
          <w:rFonts w:eastAsiaTheme="majorEastAsia"/>
          <w:b w:val="0"/>
          <w:bCs w:val="0"/>
          <w:color w:val="000000" w:themeColor="text1"/>
        </w:rPr>
        <w:t>Cronbach’s Alpha of 0.82</w:t>
      </w:r>
      <w:r w:rsidRPr="003933A3">
        <w:rPr>
          <w:color w:val="000000" w:themeColor="text1"/>
        </w:rPr>
        <w:t>, which confirmed internal reliability (Field, 2021).</w:t>
      </w:r>
    </w:p>
    <w:p w14:paraId="19269B89" w14:textId="77777777" w:rsidR="00BE4AF3" w:rsidRPr="003933A3" w:rsidRDefault="00BE4AF3" w:rsidP="003933A3">
      <w:pPr>
        <w:pStyle w:val="NormalWeb"/>
        <w:spacing w:before="0" w:beforeAutospacing="0" w:after="0" w:afterAutospacing="0"/>
        <w:jc w:val="both"/>
        <w:rPr>
          <w:color w:val="000000" w:themeColor="text1"/>
        </w:rPr>
      </w:pPr>
      <w:r w:rsidRPr="003933A3">
        <w:rPr>
          <w:color w:val="000000" w:themeColor="text1"/>
        </w:rPr>
        <w:t xml:space="preserve">Data were analyzed using both </w:t>
      </w:r>
      <w:r w:rsidRPr="003933A3">
        <w:rPr>
          <w:rStyle w:val="Strong"/>
          <w:rFonts w:eastAsiaTheme="majorEastAsia"/>
          <w:b w:val="0"/>
          <w:bCs w:val="0"/>
          <w:color w:val="000000" w:themeColor="text1"/>
        </w:rPr>
        <w:t>descriptive</w:t>
      </w:r>
      <w:r w:rsidRPr="003933A3">
        <w:rPr>
          <w:color w:val="000000" w:themeColor="text1"/>
        </w:rPr>
        <w:t xml:space="preserve"> (frequencies, means, percentages) and </w:t>
      </w:r>
      <w:r w:rsidRPr="003933A3">
        <w:rPr>
          <w:rStyle w:val="Strong"/>
          <w:rFonts w:eastAsiaTheme="majorEastAsia"/>
          <w:b w:val="0"/>
          <w:bCs w:val="0"/>
          <w:color w:val="000000" w:themeColor="text1"/>
        </w:rPr>
        <w:t>inferential</w:t>
      </w:r>
      <w:r w:rsidRPr="003933A3">
        <w:rPr>
          <w:color w:val="000000" w:themeColor="text1"/>
        </w:rPr>
        <w:t xml:space="preserve"> statistics, including </w:t>
      </w:r>
      <w:r w:rsidRPr="003933A3">
        <w:rPr>
          <w:rStyle w:val="Strong"/>
          <w:rFonts w:eastAsiaTheme="majorEastAsia"/>
          <w:b w:val="0"/>
          <w:bCs w:val="0"/>
          <w:color w:val="000000" w:themeColor="text1"/>
        </w:rPr>
        <w:t>Chi-square</w:t>
      </w:r>
      <w:r w:rsidRPr="003933A3">
        <w:rPr>
          <w:color w:val="000000" w:themeColor="text1"/>
        </w:rPr>
        <w:t xml:space="preserve">, </w:t>
      </w:r>
      <w:r w:rsidRPr="003933A3">
        <w:rPr>
          <w:rStyle w:val="Strong"/>
          <w:rFonts w:eastAsiaTheme="majorEastAsia"/>
          <w:b w:val="0"/>
          <w:bCs w:val="0"/>
          <w:color w:val="000000" w:themeColor="text1"/>
        </w:rPr>
        <w:t>multiple regression</w:t>
      </w:r>
      <w:r w:rsidRPr="003933A3">
        <w:rPr>
          <w:color w:val="000000" w:themeColor="text1"/>
        </w:rPr>
        <w:t xml:space="preserve">, and </w:t>
      </w:r>
      <w:r w:rsidRPr="003933A3">
        <w:rPr>
          <w:rStyle w:val="Strong"/>
          <w:rFonts w:eastAsiaTheme="majorEastAsia"/>
          <w:b w:val="0"/>
          <w:bCs w:val="0"/>
          <w:color w:val="000000" w:themeColor="text1"/>
        </w:rPr>
        <w:t>MANOVA</w:t>
      </w:r>
      <w:r w:rsidRPr="003933A3">
        <w:rPr>
          <w:color w:val="000000" w:themeColor="text1"/>
        </w:rPr>
        <w:t xml:space="preserve">, to examine relationships between socioeconomic variables and satisfaction with facilities (Pallant, 2023). Qualitative data were interpreted through </w:t>
      </w:r>
      <w:r w:rsidRPr="003933A3">
        <w:rPr>
          <w:rStyle w:val="Strong"/>
          <w:rFonts w:eastAsiaTheme="majorEastAsia"/>
          <w:b w:val="0"/>
          <w:bCs w:val="0"/>
          <w:color w:val="000000" w:themeColor="text1"/>
        </w:rPr>
        <w:t>content analysis</w:t>
      </w:r>
      <w:r w:rsidRPr="003933A3">
        <w:rPr>
          <w:color w:val="000000" w:themeColor="text1"/>
        </w:rPr>
        <w:t>. Ethical approval and informed consent were obtained from all participating Institutions.</w:t>
      </w:r>
    </w:p>
    <w:p w14:paraId="7929A5F7" w14:textId="77777777" w:rsidR="00BE4AF3" w:rsidRPr="003933A3" w:rsidRDefault="00BE4AF3" w:rsidP="003933A3">
      <w:pPr>
        <w:pStyle w:val="NormalWeb"/>
        <w:spacing w:before="0" w:beforeAutospacing="0" w:after="0" w:afterAutospacing="0"/>
        <w:jc w:val="both"/>
        <w:rPr>
          <w:color w:val="000000" w:themeColor="text1"/>
        </w:rPr>
      </w:pPr>
    </w:p>
    <w:p w14:paraId="4DD0F4B5" w14:textId="77777777" w:rsidR="00BE4AF3" w:rsidRPr="003933A3" w:rsidRDefault="00BE4AF3" w:rsidP="003933A3">
      <w:pPr>
        <w:pStyle w:val="NormalWeb"/>
        <w:spacing w:before="0" w:beforeAutospacing="0" w:after="0" w:afterAutospacing="0"/>
        <w:jc w:val="both"/>
        <w:rPr>
          <w:color w:val="000000" w:themeColor="text1"/>
        </w:rPr>
      </w:pPr>
    </w:p>
    <w:p w14:paraId="6448A6E2" w14:textId="77777777" w:rsidR="00BE4AF3" w:rsidRDefault="00BE4AF3" w:rsidP="003933A3">
      <w:pPr>
        <w:pStyle w:val="NormalWeb"/>
        <w:spacing w:before="0" w:beforeAutospacing="0" w:after="0" w:afterAutospacing="0"/>
        <w:jc w:val="both"/>
        <w:rPr>
          <w:color w:val="000000" w:themeColor="text1"/>
        </w:rPr>
      </w:pPr>
    </w:p>
    <w:p w14:paraId="50C781F4" w14:textId="77777777" w:rsidR="003933A3" w:rsidRDefault="003933A3" w:rsidP="003933A3">
      <w:pPr>
        <w:pStyle w:val="NormalWeb"/>
        <w:spacing w:before="0" w:beforeAutospacing="0" w:after="0" w:afterAutospacing="0"/>
        <w:jc w:val="both"/>
        <w:rPr>
          <w:color w:val="000000" w:themeColor="text1"/>
        </w:rPr>
      </w:pPr>
    </w:p>
    <w:p w14:paraId="48B2BFB7" w14:textId="77777777" w:rsidR="003933A3" w:rsidRDefault="003933A3" w:rsidP="003933A3">
      <w:pPr>
        <w:pStyle w:val="NormalWeb"/>
        <w:spacing w:before="0" w:beforeAutospacing="0" w:after="0" w:afterAutospacing="0"/>
        <w:jc w:val="both"/>
        <w:rPr>
          <w:color w:val="000000" w:themeColor="text1"/>
        </w:rPr>
      </w:pPr>
    </w:p>
    <w:p w14:paraId="0150EB41" w14:textId="77777777" w:rsidR="003933A3" w:rsidRDefault="003933A3" w:rsidP="003933A3">
      <w:pPr>
        <w:pStyle w:val="NormalWeb"/>
        <w:spacing w:before="0" w:beforeAutospacing="0" w:after="0" w:afterAutospacing="0"/>
        <w:jc w:val="both"/>
        <w:rPr>
          <w:color w:val="000000" w:themeColor="text1"/>
        </w:rPr>
      </w:pPr>
    </w:p>
    <w:p w14:paraId="6426FB74" w14:textId="77777777" w:rsidR="003933A3" w:rsidRDefault="003933A3" w:rsidP="003933A3">
      <w:pPr>
        <w:pStyle w:val="NormalWeb"/>
        <w:spacing w:before="0" w:beforeAutospacing="0" w:after="0" w:afterAutospacing="0"/>
        <w:jc w:val="both"/>
        <w:rPr>
          <w:color w:val="000000" w:themeColor="text1"/>
        </w:rPr>
      </w:pPr>
    </w:p>
    <w:p w14:paraId="25E606C3" w14:textId="77777777" w:rsidR="003933A3" w:rsidRDefault="003933A3" w:rsidP="003933A3">
      <w:pPr>
        <w:pStyle w:val="NormalWeb"/>
        <w:spacing w:before="0" w:beforeAutospacing="0" w:after="0" w:afterAutospacing="0"/>
        <w:jc w:val="both"/>
        <w:rPr>
          <w:color w:val="000000" w:themeColor="text1"/>
        </w:rPr>
      </w:pPr>
    </w:p>
    <w:p w14:paraId="44F37297" w14:textId="77777777" w:rsidR="003933A3" w:rsidRDefault="003933A3" w:rsidP="003933A3">
      <w:pPr>
        <w:pStyle w:val="NormalWeb"/>
        <w:spacing w:before="0" w:beforeAutospacing="0" w:after="0" w:afterAutospacing="0"/>
        <w:jc w:val="both"/>
        <w:rPr>
          <w:color w:val="000000" w:themeColor="text1"/>
        </w:rPr>
      </w:pPr>
    </w:p>
    <w:p w14:paraId="299D3982" w14:textId="77777777" w:rsidR="003933A3" w:rsidRDefault="003933A3" w:rsidP="003933A3">
      <w:pPr>
        <w:pStyle w:val="NormalWeb"/>
        <w:spacing w:before="0" w:beforeAutospacing="0" w:after="0" w:afterAutospacing="0"/>
        <w:jc w:val="both"/>
        <w:rPr>
          <w:color w:val="000000" w:themeColor="text1"/>
        </w:rPr>
      </w:pPr>
    </w:p>
    <w:p w14:paraId="0549EA03" w14:textId="77777777" w:rsidR="003933A3" w:rsidRDefault="003933A3" w:rsidP="003933A3">
      <w:pPr>
        <w:pStyle w:val="NormalWeb"/>
        <w:spacing w:before="0" w:beforeAutospacing="0" w:after="0" w:afterAutospacing="0"/>
        <w:jc w:val="both"/>
        <w:rPr>
          <w:color w:val="000000" w:themeColor="text1"/>
        </w:rPr>
      </w:pPr>
    </w:p>
    <w:p w14:paraId="316393D5" w14:textId="77777777" w:rsidR="003933A3" w:rsidRDefault="003933A3" w:rsidP="003933A3">
      <w:pPr>
        <w:pStyle w:val="NormalWeb"/>
        <w:spacing w:before="0" w:beforeAutospacing="0" w:after="0" w:afterAutospacing="0"/>
        <w:jc w:val="both"/>
        <w:rPr>
          <w:color w:val="000000" w:themeColor="text1"/>
        </w:rPr>
      </w:pPr>
    </w:p>
    <w:p w14:paraId="14C84EFD" w14:textId="77777777" w:rsidR="003933A3" w:rsidRDefault="003933A3" w:rsidP="003933A3">
      <w:pPr>
        <w:pStyle w:val="NormalWeb"/>
        <w:spacing w:before="0" w:beforeAutospacing="0" w:after="0" w:afterAutospacing="0"/>
        <w:jc w:val="both"/>
        <w:rPr>
          <w:color w:val="000000" w:themeColor="text1"/>
        </w:rPr>
      </w:pPr>
    </w:p>
    <w:p w14:paraId="64F2AB46" w14:textId="77777777" w:rsidR="003933A3" w:rsidRDefault="003933A3" w:rsidP="003933A3">
      <w:pPr>
        <w:pStyle w:val="NormalWeb"/>
        <w:spacing w:before="0" w:beforeAutospacing="0" w:after="0" w:afterAutospacing="0"/>
        <w:jc w:val="both"/>
        <w:rPr>
          <w:color w:val="000000" w:themeColor="text1"/>
        </w:rPr>
      </w:pPr>
    </w:p>
    <w:p w14:paraId="6A6279CE" w14:textId="77777777" w:rsidR="003933A3" w:rsidRDefault="003933A3" w:rsidP="003933A3">
      <w:pPr>
        <w:pStyle w:val="NormalWeb"/>
        <w:spacing w:before="0" w:beforeAutospacing="0" w:after="0" w:afterAutospacing="0"/>
        <w:jc w:val="both"/>
        <w:rPr>
          <w:color w:val="000000" w:themeColor="text1"/>
        </w:rPr>
      </w:pPr>
    </w:p>
    <w:p w14:paraId="7A68C739" w14:textId="77777777" w:rsidR="003933A3" w:rsidRDefault="003933A3" w:rsidP="003933A3">
      <w:pPr>
        <w:pStyle w:val="NormalWeb"/>
        <w:spacing w:before="0" w:beforeAutospacing="0" w:after="0" w:afterAutospacing="0"/>
        <w:jc w:val="both"/>
        <w:rPr>
          <w:color w:val="000000" w:themeColor="text1"/>
        </w:rPr>
      </w:pPr>
    </w:p>
    <w:p w14:paraId="1189419B" w14:textId="77777777" w:rsidR="003933A3" w:rsidRPr="003933A3" w:rsidRDefault="003933A3" w:rsidP="003933A3">
      <w:pPr>
        <w:pStyle w:val="NormalWeb"/>
        <w:spacing w:before="0" w:beforeAutospacing="0" w:after="0" w:afterAutospacing="0"/>
        <w:jc w:val="both"/>
        <w:rPr>
          <w:color w:val="000000" w:themeColor="text1"/>
        </w:rPr>
      </w:pPr>
    </w:p>
    <w:p w14:paraId="523711DA" w14:textId="252F6E3F" w:rsidR="00BE4AF3" w:rsidRPr="003933A3" w:rsidRDefault="003933A3" w:rsidP="003933A3">
      <w:pPr>
        <w:pStyle w:val="NormalWeb"/>
        <w:spacing w:before="0" w:beforeAutospacing="0" w:after="0" w:afterAutospacing="0"/>
        <w:jc w:val="both"/>
        <w:rPr>
          <w:color w:val="000000" w:themeColor="text1"/>
        </w:rPr>
      </w:pPr>
      <w:r w:rsidRPr="003933A3">
        <w:rPr>
          <w:noProof/>
          <w:color w:val="000000" w:themeColor="text1"/>
          <w:lang w:eastAsia="en-GB"/>
        </w:rPr>
        <w:lastRenderedPageBreak/>
        <mc:AlternateContent>
          <mc:Choice Requires="wpg">
            <w:drawing>
              <wp:anchor distT="0" distB="0" distL="0" distR="0" simplePos="0" relativeHeight="251704320" behindDoc="0" locked="0" layoutInCell="1" allowOverlap="1" wp14:anchorId="1CDFB812" wp14:editId="666D8EDC">
                <wp:simplePos x="0" y="0"/>
                <wp:positionH relativeFrom="column">
                  <wp:posOffset>177800</wp:posOffset>
                </wp:positionH>
                <wp:positionV relativeFrom="paragraph">
                  <wp:posOffset>-206375</wp:posOffset>
                </wp:positionV>
                <wp:extent cx="5961611" cy="3752850"/>
                <wp:effectExtent l="0" t="0" r="0" b="0"/>
                <wp:wrapNone/>
                <wp:docPr id="1178787262" name="Group 98"/>
                <wp:cNvGraphicFramePr/>
                <a:graphic xmlns:a="http://schemas.openxmlformats.org/drawingml/2006/main">
                  <a:graphicData uri="http://schemas.microsoft.com/office/word/2010/wordprocessingGroup">
                    <wpg:wgp>
                      <wpg:cNvGrpSpPr/>
                      <wpg:grpSpPr>
                        <a:xfrm>
                          <a:off x="0" y="0"/>
                          <a:ext cx="5961611" cy="3752850"/>
                          <a:chOff x="2266" y="297041"/>
                          <a:chExt cx="10116" cy="8380"/>
                        </a:xfrm>
                      </wpg:grpSpPr>
                      <pic:pic xmlns:pic="http://schemas.openxmlformats.org/drawingml/2006/picture">
                        <pic:nvPicPr>
                          <pic:cNvPr id="1178787263" name="Image"/>
                          <pic:cNvPicPr/>
                        </pic:nvPicPr>
                        <pic:blipFill>
                          <a:blip r:embed="rId228" cstate="print"/>
                          <a:srcRect/>
                          <a:stretch>
                            <a:fillRect/>
                          </a:stretch>
                        </pic:blipFill>
                        <pic:spPr>
                          <a:xfrm>
                            <a:off x="2266" y="297041"/>
                            <a:ext cx="8661" cy="7373"/>
                          </a:xfrm>
                          <a:prstGeom prst="rect">
                            <a:avLst/>
                          </a:prstGeom>
                          <a:ln>
                            <a:noFill/>
                          </a:ln>
                        </pic:spPr>
                      </pic:pic>
                      <wps:wsp>
                        <wps:cNvPr id="32" name="Rectangles 1"/>
                        <wps:cNvSpPr/>
                        <wps:spPr>
                          <a:xfrm>
                            <a:off x="2670" y="304676"/>
                            <a:ext cx="9712" cy="745"/>
                          </a:xfrm>
                          <a:prstGeom prst="rect">
                            <a:avLst/>
                          </a:prstGeom>
                          <a:ln>
                            <a:noFill/>
                          </a:ln>
                        </wps:spPr>
                        <wps:txbx>
                          <w:txbxContent>
                            <w:p w14:paraId="46FBAB1A" w14:textId="77777777" w:rsidR="00BE4AF3" w:rsidRPr="003933A3" w:rsidRDefault="00BE4AF3" w:rsidP="00BE4AF3">
                              <w:pPr>
                                <w:jc w:val="both"/>
                                <w:rPr>
                                  <w:rFonts w:ascii="Times New Roman" w:eastAsia="Calibri" w:hAnsi="Times New Roman" w:cs="Times New Roman"/>
                                  <w:bCs/>
                                  <w:iCs/>
                                  <w:sz w:val="24"/>
                                  <w:szCs w:val="24"/>
                                </w:rPr>
                              </w:pPr>
                              <w:r w:rsidRPr="003933A3">
                                <w:rPr>
                                  <w:rFonts w:ascii="Times New Roman" w:eastAsia="Calibri" w:hAnsi="Times New Roman" w:cs="Times New Roman"/>
                                  <w:b/>
                                  <w:iCs/>
                                  <w:sz w:val="24"/>
                                  <w:szCs w:val="24"/>
                                </w:rPr>
                                <w:t>Figure 1.1</w:t>
                              </w:r>
                              <w:r w:rsidRPr="003933A3">
                                <w:rPr>
                                  <w:rFonts w:ascii="Times New Roman" w:eastAsia="Calibri" w:hAnsi="Times New Roman" w:cs="Times New Roman"/>
                                  <w:iCs/>
                                  <w:sz w:val="24"/>
                                  <w:szCs w:val="24"/>
                                </w:rPr>
                                <w:t>:</w:t>
                              </w:r>
                              <w:r>
                                <w:rPr>
                                  <w:rFonts w:ascii="Times New Roman" w:eastAsia="Calibri" w:hAnsi="Times New Roman" w:cs="Times New Roman"/>
                                  <w:sz w:val="24"/>
                                  <w:szCs w:val="24"/>
                                </w:rPr>
                                <w:t xml:space="preserve"> </w:t>
                              </w:r>
                              <w:r w:rsidRPr="003933A3">
                                <w:rPr>
                                  <w:rFonts w:ascii="Times New Roman" w:eastAsia="Calibri" w:hAnsi="Times New Roman" w:cs="Times New Roman"/>
                                  <w:bCs/>
                                  <w:iCs/>
                                  <w:sz w:val="24"/>
                                  <w:szCs w:val="24"/>
                                </w:rPr>
                                <w:t>Southwestern Region within the context of Nigeria</w:t>
                              </w:r>
                            </w:p>
                            <w:p w14:paraId="3FDFEFAB" w14:textId="77777777" w:rsidR="00BE4AF3" w:rsidRDefault="00BE4AF3" w:rsidP="00BE4AF3">
                              <w:pPr>
                                <w:rPr>
                                  <w:rFonts w:ascii="Times New Roman" w:eastAsia="Calibri" w:hAnsi="Times New Roman" w:cs="Times New Roman"/>
                                  <w:b/>
                                  <w:i/>
                                  <w:sz w:val="24"/>
                                  <w:szCs w:val="24"/>
                                </w:rPr>
                              </w:pPr>
                              <w:r>
                                <w:rPr>
                                  <w:rFonts w:ascii="Times New Roman" w:eastAsia="Calibri" w:hAnsi="Times New Roman" w:cs="Times New Roman"/>
                                  <w:b/>
                                  <w:i/>
                                  <w:sz w:val="24"/>
                                  <w:szCs w:val="24"/>
                                </w:rPr>
                                <w:t>Source:</w:t>
                              </w:r>
                              <w:r>
                                <w:rPr>
                                  <w:rFonts w:ascii="Times New Roman" w:eastAsia="Calibri" w:hAnsi="Times New Roman" w:cs="Times New Roman"/>
                                  <w:i/>
                                  <w:sz w:val="24"/>
                                  <w:szCs w:val="24"/>
                                </w:rPr>
                                <w:t xml:space="preserve"> </w:t>
                              </w:r>
                              <w:r>
                                <w:rPr>
                                  <w:rFonts w:ascii="Times New Roman" w:eastAsia="Calibri" w:hAnsi="Times New Roman" w:cs="Times New Roman"/>
                                  <w:b/>
                                  <w:i/>
                                  <w:sz w:val="24"/>
                                  <w:szCs w:val="24"/>
                                </w:rPr>
                                <w:t>Urban and Regional planning Department, LAUTECH</w:t>
                              </w:r>
                              <w:r>
                                <w:rPr>
                                  <w:rFonts w:ascii="Times New Roman" w:eastAsia="Calibri" w:hAnsi="Times New Roman" w:cs="Times New Roman"/>
                                  <w:i/>
                                  <w:sz w:val="24"/>
                                  <w:szCs w:val="24"/>
                                </w:rPr>
                                <w:t xml:space="preserve"> </w:t>
                              </w:r>
                              <w:r>
                                <w:rPr>
                                  <w:rFonts w:ascii="Times New Roman" w:eastAsia="Calibri" w:hAnsi="Times New Roman" w:cs="Times New Roman"/>
                                  <w:b/>
                                  <w:i/>
                                  <w:sz w:val="24"/>
                                  <w:szCs w:val="24"/>
                                </w:rPr>
                                <w:t>(2024)</w:t>
                              </w:r>
                            </w:p>
                            <w:p w14:paraId="0CFA4A31" w14:textId="77777777" w:rsidR="00BE4AF3" w:rsidRDefault="00BE4AF3" w:rsidP="00BE4AF3">
                              <w:pPr>
                                <w:rPr>
                                  <w:rFonts w:ascii="Times New Roman" w:eastAsia="Calibri" w:hAnsi="Times New Roman" w:cs="Times New Roman"/>
                                  <w:b/>
                                  <w:i/>
                                  <w:sz w:val="24"/>
                                  <w:szCs w:val="24"/>
                                </w:rPr>
                              </w:pPr>
                            </w:p>
                          </w:txbxContent>
                        </wps:txbx>
                        <wps:bodyPr vert="horz" wrap="square" lIns="91440" tIns="45720" rIns="91440" bIns="45720" anchor="t">
                          <a:noAutofit/>
                        </wps:bodyPr>
                      </wps:wsp>
                    </wpg:wgp>
                  </a:graphicData>
                </a:graphic>
                <wp14:sizeRelH relativeFrom="margin">
                  <wp14:pctWidth>0</wp14:pctWidth>
                </wp14:sizeRelH>
                <wp14:sizeRelV relativeFrom="margin">
                  <wp14:pctHeight>0</wp14:pctHeight>
                </wp14:sizeRelV>
              </wp:anchor>
            </w:drawing>
          </mc:Choice>
          <mc:Fallback>
            <w:pict>
              <v:group w14:anchorId="1CDFB812" id="Group 98" o:spid="_x0000_s1055" style="position:absolute;left:0;text-align:left;margin-left:14pt;margin-top:-16.25pt;width:469.4pt;height:295.5pt;z-index:251704320;mso-wrap-distance-left:0;mso-wrap-distance-right:0;mso-position-horizontal-relative:text;mso-position-vertical-relative:text;mso-width-relative:margin;mso-height-relative:margin" coordorigin="2266,297041" coordsize="10116,8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">
                <v:shape id="Image" o:spid="_x0000_s1056" type="#_x0000_t75" style="position:absolute;left:2266;top:297041;width:8661;height:7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">
                  <v:imagedata r:id="rId229" o:title=""/>
                </v:shape>
                <v:rect id="Rectangles 1" o:spid="_x0000_s1057" style="position:absolute;left:2670;top:304676;width:9712;height: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" filled="f" stroked="f">
                  <v:textbox>
                    <w:txbxContent>
                      <w:p w14:paraId="46FBAB1A" w14:textId="77777777" w:rsidR="00BE4AF3" w:rsidRPr="003933A3" w:rsidRDefault="00BE4AF3" w:rsidP="00BE4AF3">
                        <w:pPr>
                          <w:jc w:val="both"/>
                          <w:rPr>
                            <w:rFonts w:ascii="Times New Roman" w:eastAsia="Calibri" w:hAnsi="Times New Roman" w:cs="Times New Roman"/>
                            <w:bCs/>
                            <w:iCs/>
                            <w:sz w:val="24"/>
                            <w:szCs w:val="24"/>
                          </w:rPr>
                        </w:pPr>
                        <w:r w:rsidRPr="003933A3">
                          <w:rPr>
                            <w:rFonts w:ascii="Times New Roman" w:eastAsia="Calibri" w:hAnsi="Times New Roman" w:cs="Times New Roman"/>
                            <w:b/>
                            <w:iCs/>
                            <w:sz w:val="24"/>
                            <w:szCs w:val="24"/>
                          </w:rPr>
                          <w:t>Figure 1.1</w:t>
                        </w:r>
                        <w:r w:rsidRPr="003933A3">
                          <w:rPr>
                            <w:rFonts w:ascii="Times New Roman" w:eastAsia="Calibri" w:hAnsi="Times New Roman" w:cs="Times New Roman"/>
                            <w:iCs/>
                            <w:sz w:val="24"/>
                            <w:szCs w:val="24"/>
                          </w:rPr>
                          <w:t>:</w:t>
                        </w:r>
                        <w:r>
                          <w:rPr>
                            <w:rFonts w:ascii="Times New Roman" w:eastAsia="Calibri" w:hAnsi="Times New Roman" w:cs="Times New Roman"/>
                            <w:sz w:val="24"/>
                            <w:szCs w:val="24"/>
                          </w:rPr>
                          <w:t xml:space="preserve"> </w:t>
                        </w:r>
                        <w:r w:rsidRPr="003933A3">
                          <w:rPr>
                            <w:rFonts w:ascii="Times New Roman" w:eastAsia="Calibri" w:hAnsi="Times New Roman" w:cs="Times New Roman"/>
                            <w:bCs/>
                            <w:iCs/>
                            <w:sz w:val="24"/>
                            <w:szCs w:val="24"/>
                          </w:rPr>
                          <w:t>Southwestern Region within the context of Nigeria</w:t>
                        </w:r>
                      </w:p>
                      <w:p w14:paraId="3FDFEFAB" w14:textId="77777777" w:rsidR="00BE4AF3" w:rsidRDefault="00BE4AF3" w:rsidP="00BE4AF3">
                        <w:pPr>
                          <w:rPr>
                            <w:rFonts w:ascii="Times New Roman" w:eastAsia="Calibri" w:hAnsi="Times New Roman" w:cs="Times New Roman"/>
                            <w:b/>
                            <w:i/>
                            <w:sz w:val="24"/>
                            <w:szCs w:val="24"/>
                          </w:rPr>
                        </w:pPr>
                        <w:r>
                          <w:rPr>
                            <w:rFonts w:ascii="Times New Roman" w:eastAsia="Calibri" w:hAnsi="Times New Roman" w:cs="Times New Roman"/>
                            <w:b/>
                            <w:i/>
                            <w:sz w:val="24"/>
                            <w:szCs w:val="24"/>
                          </w:rPr>
                          <w:t>Source:</w:t>
                        </w:r>
                        <w:r>
                          <w:rPr>
                            <w:rFonts w:ascii="Times New Roman" w:eastAsia="Calibri" w:hAnsi="Times New Roman" w:cs="Times New Roman"/>
                            <w:i/>
                            <w:sz w:val="24"/>
                            <w:szCs w:val="24"/>
                          </w:rPr>
                          <w:t xml:space="preserve"> </w:t>
                        </w:r>
                        <w:r>
                          <w:rPr>
                            <w:rFonts w:ascii="Times New Roman" w:eastAsia="Calibri" w:hAnsi="Times New Roman" w:cs="Times New Roman"/>
                            <w:b/>
                            <w:i/>
                            <w:sz w:val="24"/>
                            <w:szCs w:val="24"/>
                          </w:rPr>
                          <w:t>Urban and Regional planning Department, LAUTECH</w:t>
                        </w:r>
                        <w:r>
                          <w:rPr>
                            <w:rFonts w:ascii="Times New Roman" w:eastAsia="Calibri" w:hAnsi="Times New Roman" w:cs="Times New Roman"/>
                            <w:i/>
                            <w:sz w:val="24"/>
                            <w:szCs w:val="24"/>
                          </w:rPr>
                          <w:t xml:space="preserve"> </w:t>
                        </w:r>
                        <w:r>
                          <w:rPr>
                            <w:rFonts w:ascii="Times New Roman" w:eastAsia="Calibri" w:hAnsi="Times New Roman" w:cs="Times New Roman"/>
                            <w:b/>
                            <w:i/>
                            <w:sz w:val="24"/>
                            <w:szCs w:val="24"/>
                          </w:rPr>
                          <w:t>(2024)</w:t>
                        </w:r>
                      </w:p>
                      <w:p w14:paraId="0CFA4A31" w14:textId="77777777" w:rsidR="00BE4AF3" w:rsidRDefault="00BE4AF3" w:rsidP="00BE4AF3">
                        <w:pPr>
                          <w:rPr>
                            <w:rFonts w:ascii="Times New Roman" w:eastAsia="Calibri" w:hAnsi="Times New Roman" w:cs="Times New Roman"/>
                            <w:b/>
                            <w:i/>
                            <w:sz w:val="24"/>
                            <w:szCs w:val="24"/>
                          </w:rPr>
                        </w:pPr>
                      </w:p>
                    </w:txbxContent>
                  </v:textbox>
                </v:rect>
              </v:group>
            </w:pict>
          </mc:Fallback>
        </mc:AlternateContent>
      </w:r>
    </w:p>
    <w:p w14:paraId="25B4CBA9" w14:textId="76B1FC78" w:rsidR="00BE4AF3" w:rsidRPr="003933A3" w:rsidRDefault="00BE4AF3" w:rsidP="003933A3">
      <w:pPr>
        <w:spacing w:after="0" w:line="240" w:lineRule="auto"/>
        <w:jc w:val="both"/>
        <w:rPr>
          <w:rFonts w:ascii="Times New Roman" w:eastAsia="Times New Roman" w:hAnsi="Times New Roman" w:cs="Times New Roman"/>
          <w:color w:val="000000" w:themeColor="text1"/>
          <w:sz w:val="24"/>
          <w:szCs w:val="24"/>
        </w:rPr>
      </w:pPr>
    </w:p>
    <w:p w14:paraId="23F5E8B7" w14:textId="77777777" w:rsidR="00BE4AF3" w:rsidRPr="003933A3" w:rsidRDefault="00BE4AF3" w:rsidP="003933A3">
      <w:pPr>
        <w:spacing w:after="0" w:line="240" w:lineRule="auto"/>
        <w:jc w:val="both"/>
        <w:rPr>
          <w:rFonts w:ascii="Times New Roman" w:eastAsia="Calibri" w:hAnsi="Times New Roman" w:cs="Times New Roman"/>
          <w:i/>
          <w:color w:val="000000" w:themeColor="text1"/>
          <w:sz w:val="24"/>
          <w:szCs w:val="24"/>
        </w:rPr>
      </w:pPr>
      <w:bookmarkStart w:id="107" w:name="_Hlk173935565"/>
      <w:bookmarkStart w:id="108" w:name="_Hlk175304067"/>
    </w:p>
    <w:bookmarkEnd w:id="107"/>
    <w:p w14:paraId="2BED718C" w14:textId="77777777" w:rsidR="00BE4AF3" w:rsidRPr="003933A3" w:rsidRDefault="00BE4AF3" w:rsidP="003933A3">
      <w:pPr>
        <w:spacing w:after="0" w:line="240" w:lineRule="auto"/>
        <w:jc w:val="both"/>
        <w:rPr>
          <w:rFonts w:ascii="Times New Roman" w:eastAsia="Times New Roman" w:hAnsi="Times New Roman" w:cs="Times New Roman"/>
          <w:color w:val="000000" w:themeColor="text1"/>
          <w:sz w:val="24"/>
          <w:szCs w:val="24"/>
        </w:rPr>
      </w:pPr>
    </w:p>
    <w:p w14:paraId="4F29E31F" w14:textId="77777777" w:rsidR="00BE4AF3" w:rsidRPr="003933A3" w:rsidRDefault="00BE4AF3" w:rsidP="003933A3">
      <w:pPr>
        <w:spacing w:after="0" w:line="240" w:lineRule="auto"/>
        <w:jc w:val="both"/>
        <w:rPr>
          <w:rFonts w:ascii="Times New Roman" w:eastAsia="Times New Roman" w:hAnsi="Times New Roman" w:cs="Times New Roman"/>
          <w:color w:val="000000" w:themeColor="text1"/>
          <w:sz w:val="24"/>
          <w:szCs w:val="24"/>
        </w:rPr>
      </w:pPr>
    </w:p>
    <w:p w14:paraId="14FAFF3F" w14:textId="77777777" w:rsidR="00BE4AF3" w:rsidRPr="003933A3" w:rsidRDefault="00BE4AF3" w:rsidP="003933A3">
      <w:pPr>
        <w:spacing w:after="0" w:line="240" w:lineRule="auto"/>
        <w:jc w:val="both"/>
        <w:rPr>
          <w:rFonts w:ascii="Times New Roman" w:eastAsia="Times New Roman" w:hAnsi="Times New Roman" w:cs="Times New Roman"/>
          <w:color w:val="000000" w:themeColor="text1"/>
          <w:sz w:val="24"/>
          <w:szCs w:val="24"/>
        </w:rPr>
      </w:pPr>
    </w:p>
    <w:p w14:paraId="7C1EC556" w14:textId="77777777" w:rsidR="00BE4AF3" w:rsidRPr="003933A3" w:rsidRDefault="00BE4AF3" w:rsidP="003933A3">
      <w:pPr>
        <w:spacing w:after="0" w:line="240" w:lineRule="auto"/>
        <w:jc w:val="both"/>
        <w:rPr>
          <w:rFonts w:ascii="Times New Roman" w:eastAsia="Times New Roman" w:hAnsi="Times New Roman" w:cs="Times New Roman"/>
          <w:color w:val="000000" w:themeColor="text1"/>
          <w:sz w:val="24"/>
          <w:szCs w:val="24"/>
        </w:rPr>
      </w:pPr>
    </w:p>
    <w:p w14:paraId="43856FF3" w14:textId="77777777" w:rsidR="00BE4AF3" w:rsidRPr="003933A3" w:rsidRDefault="00BE4AF3" w:rsidP="003933A3">
      <w:pPr>
        <w:spacing w:after="0" w:line="240" w:lineRule="auto"/>
        <w:jc w:val="both"/>
        <w:rPr>
          <w:rFonts w:ascii="Times New Roman" w:eastAsia="Times New Roman" w:hAnsi="Times New Roman" w:cs="Times New Roman"/>
          <w:color w:val="000000" w:themeColor="text1"/>
          <w:sz w:val="24"/>
          <w:szCs w:val="24"/>
        </w:rPr>
      </w:pPr>
    </w:p>
    <w:p w14:paraId="712492EB" w14:textId="77777777" w:rsidR="00BE4AF3" w:rsidRPr="003933A3" w:rsidRDefault="00BE4AF3" w:rsidP="003933A3">
      <w:pPr>
        <w:spacing w:after="0" w:line="240" w:lineRule="auto"/>
        <w:jc w:val="both"/>
        <w:rPr>
          <w:rFonts w:ascii="Times New Roman" w:eastAsia="Times New Roman" w:hAnsi="Times New Roman" w:cs="Times New Roman"/>
          <w:color w:val="000000" w:themeColor="text1"/>
          <w:sz w:val="24"/>
          <w:szCs w:val="24"/>
        </w:rPr>
      </w:pPr>
    </w:p>
    <w:p w14:paraId="232532D1" w14:textId="77777777" w:rsidR="00BE4AF3" w:rsidRPr="003933A3" w:rsidRDefault="00BE4AF3" w:rsidP="003933A3">
      <w:pPr>
        <w:spacing w:after="0" w:line="240" w:lineRule="auto"/>
        <w:jc w:val="both"/>
        <w:rPr>
          <w:rFonts w:ascii="Times New Roman" w:eastAsia="Times New Roman" w:hAnsi="Times New Roman" w:cs="Times New Roman"/>
          <w:color w:val="000000" w:themeColor="text1"/>
          <w:sz w:val="24"/>
          <w:szCs w:val="24"/>
        </w:rPr>
      </w:pPr>
    </w:p>
    <w:p w14:paraId="651B2FB3" w14:textId="77777777" w:rsidR="00BE4AF3" w:rsidRPr="003933A3" w:rsidRDefault="00BE4AF3" w:rsidP="003933A3">
      <w:pPr>
        <w:spacing w:after="0" w:line="240" w:lineRule="auto"/>
        <w:jc w:val="both"/>
        <w:rPr>
          <w:rFonts w:ascii="Times New Roman" w:eastAsia="Times New Roman" w:hAnsi="Times New Roman" w:cs="Times New Roman"/>
          <w:color w:val="000000" w:themeColor="text1"/>
          <w:sz w:val="24"/>
          <w:szCs w:val="24"/>
        </w:rPr>
      </w:pPr>
    </w:p>
    <w:p w14:paraId="5F01D392" w14:textId="77777777" w:rsidR="00BE4AF3" w:rsidRPr="003933A3" w:rsidRDefault="00BE4AF3" w:rsidP="003933A3">
      <w:pPr>
        <w:spacing w:after="0" w:line="240" w:lineRule="auto"/>
        <w:jc w:val="both"/>
        <w:rPr>
          <w:rFonts w:ascii="Times New Roman" w:eastAsia="Times New Roman" w:hAnsi="Times New Roman" w:cs="Times New Roman"/>
          <w:color w:val="000000" w:themeColor="text1"/>
          <w:sz w:val="24"/>
          <w:szCs w:val="24"/>
        </w:rPr>
      </w:pPr>
    </w:p>
    <w:p w14:paraId="641E774E" w14:textId="77777777" w:rsidR="00BE4AF3" w:rsidRPr="003933A3" w:rsidRDefault="00BE4AF3" w:rsidP="003933A3">
      <w:pPr>
        <w:spacing w:after="0" w:line="240" w:lineRule="auto"/>
        <w:jc w:val="both"/>
        <w:rPr>
          <w:rFonts w:ascii="Times New Roman" w:eastAsia="Times New Roman" w:hAnsi="Times New Roman" w:cs="Times New Roman"/>
          <w:color w:val="000000" w:themeColor="text1"/>
          <w:sz w:val="24"/>
          <w:szCs w:val="24"/>
        </w:rPr>
      </w:pPr>
    </w:p>
    <w:p w14:paraId="7FD3E16B" w14:textId="77777777" w:rsidR="00BE4AF3" w:rsidRPr="003933A3" w:rsidRDefault="00BE4AF3" w:rsidP="003933A3">
      <w:pPr>
        <w:spacing w:after="0" w:line="240" w:lineRule="auto"/>
        <w:jc w:val="both"/>
        <w:rPr>
          <w:rFonts w:ascii="Times New Roman" w:eastAsia="Times New Roman" w:hAnsi="Times New Roman" w:cs="Times New Roman"/>
          <w:color w:val="000000" w:themeColor="text1"/>
          <w:sz w:val="24"/>
          <w:szCs w:val="24"/>
        </w:rPr>
      </w:pPr>
    </w:p>
    <w:p w14:paraId="7E7BD043" w14:textId="77777777" w:rsidR="00BE4AF3" w:rsidRPr="003933A3" w:rsidRDefault="00BE4AF3" w:rsidP="003933A3">
      <w:pPr>
        <w:spacing w:after="0" w:line="240" w:lineRule="auto"/>
        <w:jc w:val="both"/>
        <w:rPr>
          <w:rFonts w:ascii="Times New Roman" w:eastAsia="Times New Roman" w:hAnsi="Times New Roman" w:cs="Times New Roman"/>
          <w:color w:val="000000" w:themeColor="text1"/>
          <w:sz w:val="24"/>
          <w:szCs w:val="24"/>
        </w:rPr>
      </w:pPr>
    </w:p>
    <w:p w14:paraId="6EF1870F" w14:textId="77777777" w:rsidR="00BE4AF3" w:rsidRPr="003933A3" w:rsidRDefault="00BE4AF3" w:rsidP="003933A3">
      <w:pPr>
        <w:spacing w:after="0" w:line="240" w:lineRule="auto"/>
        <w:jc w:val="both"/>
        <w:rPr>
          <w:rFonts w:ascii="Times New Roman" w:eastAsia="Times New Roman" w:hAnsi="Times New Roman" w:cs="Times New Roman"/>
          <w:color w:val="000000" w:themeColor="text1"/>
          <w:sz w:val="24"/>
          <w:szCs w:val="24"/>
        </w:rPr>
      </w:pPr>
    </w:p>
    <w:p w14:paraId="42D739DE" w14:textId="77777777" w:rsidR="00BE4AF3" w:rsidRPr="003933A3" w:rsidRDefault="00BE4AF3" w:rsidP="003933A3">
      <w:pPr>
        <w:spacing w:after="0" w:line="240" w:lineRule="auto"/>
        <w:jc w:val="both"/>
        <w:rPr>
          <w:rFonts w:ascii="Times New Roman" w:eastAsia="Times New Roman" w:hAnsi="Times New Roman" w:cs="Times New Roman"/>
          <w:color w:val="000000" w:themeColor="text1"/>
          <w:sz w:val="24"/>
          <w:szCs w:val="24"/>
        </w:rPr>
      </w:pPr>
    </w:p>
    <w:p w14:paraId="55D3D762" w14:textId="77777777" w:rsidR="00BE4AF3" w:rsidRPr="003933A3" w:rsidRDefault="00BE4AF3" w:rsidP="003933A3">
      <w:pPr>
        <w:spacing w:after="0" w:line="240" w:lineRule="auto"/>
        <w:jc w:val="both"/>
        <w:rPr>
          <w:rFonts w:ascii="Times New Roman" w:eastAsia="Times New Roman" w:hAnsi="Times New Roman" w:cs="Times New Roman"/>
          <w:color w:val="000000" w:themeColor="text1"/>
          <w:sz w:val="24"/>
          <w:szCs w:val="24"/>
        </w:rPr>
      </w:pPr>
    </w:p>
    <w:p w14:paraId="3AFAAD5C" w14:textId="77777777" w:rsidR="00BE4AF3" w:rsidRPr="003933A3" w:rsidRDefault="00BE4AF3" w:rsidP="003933A3">
      <w:pPr>
        <w:spacing w:after="0" w:line="240" w:lineRule="auto"/>
        <w:jc w:val="both"/>
        <w:rPr>
          <w:rFonts w:ascii="Times New Roman" w:eastAsia="Times New Roman" w:hAnsi="Times New Roman" w:cs="Times New Roman"/>
          <w:color w:val="000000" w:themeColor="text1"/>
          <w:sz w:val="24"/>
          <w:szCs w:val="24"/>
        </w:rPr>
      </w:pPr>
    </w:p>
    <w:p w14:paraId="3DD96555" w14:textId="77777777" w:rsidR="00BE4AF3" w:rsidRPr="003933A3" w:rsidRDefault="00BE4AF3" w:rsidP="003933A3">
      <w:pPr>
        <w:spacing w:after="0" w:line="240" w:lineRule="auto"/>
        <w:jc w:val="both"/>
        <w:rPr>
          <w:rFonts w:ascii="Times New Roman" w:eastAsia="Times New Roman" w:hAnsi="Times New Roman" w:cs="Times New Roman"/>
          <w:color w:val="000000" w:themeColor="text1"/>
          <w:sz w:val="24"/>
          <w:szCs w:val="24"/>
        </w:rPr>
      </w:pPr>
    </w:p>
    <w:bookmarkEnd w:id="108"/>
    <w:p w14:paraId="58114F96" w14:textId="77777777" w:rsidR="00BE4AF3" w:rsidRPr="003933A3" w:rsidRDefault="00BE4AF3" w:rsidP="003933A3">
      <w:pPr>
        <w:autoSpaceDE w:val="0"/>
        <w:autoSpaceDN w:val="0"/>
        <w:adjustRightInd w:val="0"/>
        <w:spacing w:after="0" w:line="240" w:lineRule="auto"/>
        <w:jc w:val="both"/>
        <w:rPr>
          <w:rFonts w:ascii="Times New Roman" w:eastAsia="Calibri" w:hAnsi="Times New Roman" w:cs="Times New Roman"/>
          <w:b/>
          <w:color w:val="000000" w:themeColor="text1"/>
          <w:sz w:val="24"/>
          <w:szCs w:val="24"/>
        </w:rPr>
      </w:pPr>
    </w:p>
    <w:p w14:paraId="2B2701F0" w14:textId="77777777" w:rsidR="00BE4AF3" w:rsidRPr="003933A3" w:rsidRDefault="00BE4AF3" w:rsidP="003933A3">
      <w:pPr>
        <w:spacing w:after="0" w:line="240" w:lineRule="auto"/>
        <w:jc w:val="both"/>
        <w:rPr>
          <w:rFonts w:ascii="Times New Roman" w:eastAsia="Calibri" w:hAnsi="Times New Roman" w:cs="Times New Roman"/>
          <w:i/>
          <w:color w:val="000000" w:themeColor="text1"/>
          <w:sz w:val="24"/>
          <w:szCs w:val="24"/>
        </w:rPr>
      </w:pPr>
    </w:p>
    <w:p w14:paraId="128222DE" w14:textId="1BB49556" w:rsidR="00BE4AF3" w:rsidRPr="003933A3" w:rsidRDefault="003933A3" w:rsidP="003933A3">
      <w:pPr>
        <w:spacing w:after="0" w:line="240" w:lineRule="auto"/>
        <w:jc w:val="both"/>
        <w:rPr>
          <w:rFonts w:ascii="Times New Roman" w:eastAsia="Calibri" w:hAnsi="Times New Roman" w:cs="Times New Roman"/>
          <w:b/>
          <w:color w:val="000000" w:themeColor="text1"/>
          <w:sz w:val="24"/>
          <w:szCs w:val="24"/>
        </w:rPr>
      </w:pPr>
      <w:r w:rsidRPr="003933A3">
        <w:rPr>
          <w:rFonts w:ascii="Times New Roman" w:hAnsi="Times New Roman" w:cs="Times New Roman"/>
          <w:noProof/>
          <w:color w:val="000000" w:themeColor="text1"/>
          <w:sz w:val="24"/>
          <w:szCs w:val="24"/>
          <w:lang w:eastAsia="en-GB"/>
        </w:rPr>
        <mc:AlternateContent>
          <mc:Choice Requires="wpg">
            <w:drawing>
              <wp:anchor distT="0" distB="0" distL="0" distR="0" simplePos="0" relativeHeight="251705344" behindDoc="0" locked="0" layoutInCell="1" allowOverlap="1" wp14:anchorId="59319B23" wp14:editId="7115E3DB">
                <wp:simplePos x="0" y="0"/>
                <wp:positionH relativeFrom="column">
                  <wp:posOffset>177800</wp:posOffset>
                </wp:positionH>
                <wp:positionV relativeFrom="paragraph">
                  <wp:posOffset>167640</wp:posOffset>
                </wp:positionV>
                <wp:extent cx="5248275" cy="4533731"/>
                <wp:effectExtent l="0" t="0" r="9525" b="0"/>
                <wp:wrapNone/>
                <wp:docPr id="33" name="Group 100"/>
                <wp:cNvGraphicFramePr/>
                <a:graphic xmlns:a="http://schemas.openxmlformats.org/drawingml/2006/main">
                  <a:graphicData uri="http://schemas.microsoft.com/office/word/2010/wordprocessingGroup">
                    <wpg:wgp>
                      <wpg:cNvGrpSpPr/>
                      <wpg:grpSpPr>
                        <a:xfrm>
                          <a:off x="0" y="0"/>
                          <a:ext cx="5248275" cy="4533731"/>
                          <a:chOff x="2322" y="308126"/>
                          <a:chExt cx="10127" cy="9473"/>
                        </a:xfrm>
                      </wpg:grpSpPr>
                      <pic:pic xmlns:pic="http://schemas.openxmlformats.org/drawingml/2006/picture">
                        <pic:nvPicPr>
                          <pic:cNvPr id="34" name="Image"/>
                          <pic:cNvPicPr/>
                        </pic:nvPicPr>
                        <pic:blipFill>
                          <a:blip r:embed="rId230" cstate="print"/>
                          <a:srcRect/>
                          <a:stretch>
                            <a:fillRect/>
                          </a:stretch>
                        </pic:blipFill>
                        <pic:spPr>
                          <a:xfrm>
                            <a:off x="2322" y="308126"/>
                            <a:ext cx="10127" cy="7919"/>
                          </a:xfrm>
                          <a:prstGeom prst="rect">
                            <a:avLst/>
                          </a:prstGeom>
                          <a:ln>
                            <a:noFill/>
                          </a:ln>
                        </pic:spPr>
                      </pic:pic>
                      <wps:wsp>
                        <wps:cNvPr id="35" name="Rectangles 2"/>
                        <wps:cNvSpPr/>
                        <wps:spPr>
                          <a:xfrm>
                            <a:off x="2529" y="316462"/>
                            <a:ext cx="9920" cy="1137"/>
                          </a:xfrm>
                          <a:prstGeom prst="rect">
                            <a:avLst/>
                          </a:prstGeom>
                          <a:ln>
                            <a:noFill/>
                          </a:ln>
                        </wps:spPr>
                        <wps:txbx>
                          <w:txbxContent>
                            <w:p w14:paraId="1A894A12" w14:textId="77777777" w:rsidR="00BE4AF3" w:rsidRPr="003933A3" w:rsidRDefault="00BE4AF3" w:rsidP="00BE4AF3">
                              <w:pPr>
                                <w:jc w:val="both"/>
                                <w:rPr>
                                  <w:rFonts w:ascii="Times New Roman" w:eastAsia="Calibri" w:hAnsi="Times New Roman" w:cs="Times New Roman"/>
                                  <w:bCs/>
                                  <w:sz w:val="24"/>
                                  <w:szCs w:val="24"/>
                                </w:rPr>
                              </w:pPr>
                              <w:r w:rsidRPr="003933A3">
                                <w:rPr>
                                  <w:rFonts w:ascii="Times New Roman" w:eastAsia="Calibri" w:hAnsi="Times New Roman" w:cs="Times New Roman"/>
                                  <w:b/>
                                  <w:iCs/>
                                  <w:sz w:val="24"/>
                                  <w:szCs w:val="24"/>
                                </w:rPr>
                                <w:t>Figure 1.2:</w:t>
                              </w:r>
                              <w:r>
                                <w:rPr>
                                  <w:rFonts w:ascii="Times New Roman" w:eastAsia="Calibri" w:hAnsi="Times New Roman" w:cs="Times New Roman"/>
                                  <w:b/>
                                  <w:sz w:val="24"/>
                                  <w:szCs w:val="24"/>
                                </w:rPr>
                                <w:t xml:space="preserve"> </w:t>
                              </w:r>
                              <w:r w:rsidRPr="003933A3">
                                <w:rPr>
                                  <w:rFonts w:ascii="Times New Roman" w:eastAsia="Calibri" w:hAnsi="Times New Roman" w:cs="Times New Roman"/>
                                  <w:bCs/>
                                  <w:sz w:val="24"/>
                                  <w:szCs w:val="24"/>
                                </w:rPr>
                                <w:t>Map of Southwest Nigeria Region Showing Location of the Blind Schools</w:t>
                              </w:r>
                            </w:p>
                            <w:p w14:paraId="1FEB54E8" w14:textId="77777777" w:rsidR="00BE4AF3" w:rsidRDefault="00BE4AF3" w:rsidP="00BE4AF3">
                              <w:r>
                                <w:rPr>
                                  <w:rFonts w:ascii="Times New Roman" w:eastAsia="Calibri" w:hAnsi="Times New Roman" w:cs="Times New Roman"/>
                                  <w:b/>
                                  <w:i/>
                                  <w:sz w:val="24"/>
                                  <w:szCs w:val="24"/>
                                </w:rPr>
                                <w:t>Source: Urban and Regional planning Department, LAUTECH (2024)</w:t>
                              </w:r>
                            </w:p>
                          </w:txbxContent>
                        </wps:txbx>
                        <wps:bodyPr vert="horz" wrap="square" lIns="91440" tIns="45720" rIns="91440" bIns="45720" anchor="t">
                          <a:noAutofit/>
                        </wps:bodyPr>
                      </wps:wsp>
                    </wpg:wgp>
                  </a:graphicData>
                </a:graphic>
                <wp14:sizeRelH relativeFrom="margin">
                  <wp14:pctWidth>0</wp14:pctWidth>
                </wp14:sizeRelH>
                <wp14:sizeRelV relativeFrom="margin">
                  <wp14:pctHeight>0</wp14:pctHeight>
                </wp14:sizeRelV>
              </wp:anchor>
            </w:drawing>
          </mc:Choice>
          <mc:Fallback>
            <w:pict>
              <v:group w14:anchorId="59319B23" id="Group 100" o:spid="_x0000_s1058" style="position:absolute;left:0;text-align:left;margin-left:14pt;margin-top:13.2pt;width:413.25pt;height:357pt;z-index:251705344;mso-wrap-distance-left:0;mso-wrap-distance-right:0;mso-position-horizontal-relative:text;mso-position-vertical-relative:text;mso-width-relative:margin;mso-height-relative:margin" coordorigin="2322,308126" coordsize="10127,9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">
                <v:shape id="Image" o:spid="_x0000_s1059" type="#_x0000_t75" style="position:absolute;left:2322;top:308126;width:10127;height:7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">
                  <v:imagedata r:id="rId231" o:title=""/>
                </v:shape>
                <v:rect id="Rectangles 2" o:spid="_x0000_s1060" style="position:absolute;left:2529;top:316462;width:9920;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" filled="f" stroked="f">
                  <v:textbox>
                    <w:txbxContent>
                      <w:p w14:paraId="1A894A12" w14:textId="77777777" w:rsidR="00BE4AF3" w:rsidRPr="003933A3" w:rsidRDefault="00BE4AF3" w:rsidP="00BE4AF3">
                        <w:pPr>
                          <w:jc w:val="both"/>
                          <w:rPr>
                            <w:rFonts w:ascii="Times New Roman" w:eastAsia="Calibri" w:hAnsi="Times New Roman" w:cs="Times New Roman"/>
                            <w:bCs/>
                            <w:sz w:val="24"/>
                            <w:szCs w:val="24"/>
                          </w:rPr>
                        </w:pPr>
                        <w:r w:rsidRPr="003933A3">
                          <w:rPr>
                            <w:rFonts w:ascii="Times New Roman" w:eastAsia="Calibri" w:hAnsi="Times New Roman" w:cs="Times New Roman"/>
                            <w:b/>
                            <w:iCs/>
                            <w:sz w:val="24"/>
                            <w:szCs w:val="24"/>
                          </w:rPr>
                          <w:t>Figure 1.2:</w:t>
                        </w:r>
                        <w:r>
                          <w:rPr>
                            <w:rFonts w:ascii="Times New Roman" w:eastAsia="Calibri" w:hAnsi="Times New Roman" w:cs="Times New Roman"/>
                            <w:b/>
                            <w:sz w:val="24"/>
                            <w:szCs w:val="24"/>
                          </w:rPr>
                          <w:t xml:space="preserve"> </w:t>
                        </w:r>
                        <w:r w:rsidRPr="003933A3">
                          <w:rPr>
                            <w:rFonts w:ascii="Times New Roman" w:eastAsia="Calibri" w:hAnsi="Times New Roman" w:cs="Times New Roman"/>
                            <w:bCs/>
                            <w:sz w:val="24"/>
                            <w:szCs w:val="24"/>
                          </w:rPr>
                          <w:t>Map of Southwest Nigeria Region Showing Location of the Blind Schools</w:t>
                        </w:r>
                      </w:p>
                      <w:p w14:paraId="1FEB54E8" w14:textId="77777777" w:rsidR="00BE4AF3" w:rsidRDefault="00BE4AF3" w:rsidP="00BE4AF3">
                        <w:r>
                          <w:rPr>
                            <w:rFonts w:ascii="Times New Roman" w:eastAsia="Calibri" w:hAnsi="Times New Roman" w:cs="Times New Roman"/>
                            <w:b/>
                            <w:i/>
                            <w:sz w:val="24"/>
                            <w:szCs w:val="24"/>
                          </w:rPr>
                          <w:t>Source: Urban and Regional planning Department, LAUTECH (2024)</w:t>
                        </w:r>
                      </w:p>
                    </w:txbxContent>
                  </v:textbox>
                </v:rect>
              </v:group>
            </w:pict>
          </mc:Fallback>
        </mc:AlternateContent>
      </w:r>
    </w:p>
    <w:p w14:paraId="2580477C" w14:textId="327A5FA9" w:rsidR="00BE4AF3" w:rsidRPr="003933A3" w:rsidRDefault="00BE4AF3" w:rsidP="003933A3">
      <w:pPr>
        <w:spacing w:after="0" w:line="240" w:lineRule="auto"/>
        <w:jc w:val="center"/>
        <w:rPr>
          <w:rFonts w:ascii="Times New Roman" w:eastAsia="Calibri" w:hAnsi="Times New Roman" w:cs="Times New Roman"/>
          <w:b/>
          <w:color w:val="000000" w:themeColor="text1"/>
          <w:sz w:val="24"/>
          <w:szCs w:val="24"/>
        </w:rPr>
      </w:pPr>
    </w:p>
    <w:p w14:paraId="454339A9" w14:textId="1927B691" w:rsidR="00BE4AF3" w:rsidRPr="003933A3" w:rsidRDefault="00BE4AF3" w:rsidP="003933A3">
      <w:pPr>
        <w:spacing w:after="0" w:line="240" w:lineRule="auto"/>
        <w:jc w:val="center"/>
        <w:rPr>
          <w:rFonts w:ascii="Times New Roman" w:eastAsia="Calibri" w:hAnsi="Times New Roman" w:cs="Times New Roman"/>
          <w:b/>
          <w:color w:val="000000" w:themeColor="text1"/>
          <w:sz w:val="24"/>
          <w:szCs w:val="24"/>
        </w:rPr>
      </w:pPr>
    </w:p>
    <w:p w14:paraId="3F07EB86" w14:textId="714DAC21" w:rsidR="00BE4AF3" w:rsidRPr="003933A3" w:rsidRDefault="00BE4AF3" w:rsidP="003933A3">
      <w:pPr>
        <w:spacing w:after="0" w:line="240" w:lineRule="auto"/>
        <w:jc w:val="center"/>
        <w:rPr>
          <w:rFonts w:ascii="Times New Roman" w:eastAsia="Calibri" w:hAnsi="Times New Roman" w:cs="Times New Roman"/>
          <w:b/>
          <w:color w:val="000000" w:themeColor="text1"/>
          <w:sz w:val="24"/>
          <w:szCs w:val="24"/>
        </w:rPr>
      </w:pPr>
    </w:p>
    <w:p w14:paraId="2DE3596F" w14:textId="6F07B702" w:rsidR="00BE4AF3" w:rsidRPr="003933A3" w:rsidRDefault="00BE4AF3" w:rsidP="003933A3">
      <w:pPr>
        <w:spacing w:after="0" w:line="240" w:lineRule="auto"/>
        <w:jc w:val="center"/>
        <w:rPr>
          <w:rFonts w:ascii="Times New Roman" w:eastAsia="Calibri" w:hAnsi="Times New Roman" w:cs="Times New Roman"/>
          <w:b/>
          <w:color w:val="000000" w:themeColor="text1"/>
          <w:sz w:val="24"/>
          <w:szCs w:val="24"/>
        </w:rPr>
      </w:pPr>
    </w:p>
    <w:p w14:paraId="05EAC46E" w14:textId="51D451DF" w:rsidR="00BE4AF3" w:rsidRPr="003933A3" w:rsidRDefault="00BE4AF3" w:rsidP="003933A3">
      <w:pPr>
        <w:spacing w:after="0" w:line="240" w:lineRule="auto"/>
        <w:jc w:val="center"/>
        <w:rPr>
          <w:rFonts w:ascii="Times New Roman" w:eastAsia="Calibri" w:hAnsi="Times New Roman" w:cs="Times New Roman"/>
          <w:b/>
          <w:color w:val="000000" w:themeColor="text1"/>
          <w:sz w:val="24"/>
          <w:szCs w:val="24"/>
        </w:rPr>
      </w:pPr>
    </w:p>
    <w:p w14:paraId="1A7E5FEB" w14:textId="6E8E3C59" w:rsidR="00BE4AF3" w:rsidRPr="003933A3" w:rsidRDefault="00BE4AF3" w:rsidP="003933A3">
      <w:pPr>
        <w:spacing w:after="0" w:line="240" w:lineRule="auto"/>
        <w:jc w:val="center"/>
        <w:rPr>
          <w:rFonts w:ascii="Times New Roman" w:eastAsia="Calibri" w:hAnsi="Times New Roman" w:cs="Times New Roman"/>
          <w:b/>
          <w:color w:val="000000" w:themeColor="text1"/>
          <w:sz w:val="24"/>
          <w:szCs w:val="24"/>
        </w:rPr>
      </w:pPr>
    </w:p>
    <w:p w14:paraId="7D32776F" w14:textId="55CF6122" w:rsidR="00BE4AF3" w:rsidRPr="003933A3" w:rsidRDefault="00BE4AF3" w:rsidP="003933A3">
      <w:pPr>
        <w:spacing w:after="0" w:line="240" w:lineRule="auto"/>
        <w:jc w:val="center"/>
        <w:rPr>
          <w:rFonts w:ascii="Times New Roman" w:eastAsia="Calibri" w:hAnsi="Times New Roman" w:cs="Times New Roman"/>
          <w:b/>
          <w:color w:val="000000" w:themeColor="text1"/>
          <w:sz w:val="24"/>
          <w:szCs w:val="24"/>
        </w:rPr>
      </w:pPr>
    </w:p>
    <w:p w14:paraId="141CDEF4" w14:textId="1074CDCE" w:rsidR="00BE4AF3" w:rsidRPr="003933A3" w:rsidRDefault="00BE4AF3" w:rsidP="003933A3">
      <w:pPr>
        <w:spacing w:after="0" w:line="240" w:lineRule="auto"/>
        <w:jc w:val="center"/>
        <w:rPr>
          <w:rFonts w:ascii="Times New Roman" w:eastAsia="Calibri" w:hAnsi="Times New Roman" w:cs="Times New Roman"/>
          <w:b/>
          <w:color w:val="000000" w:themeColor="text1"/>
          <w:sz w:val="24"/>
          <w:szCs w:val="24"/>
        </w:rPr>
      </w:pPr>
    </w:p>
    <w:p w14:paraId="32A1F369" w14:textId="0BE8A617" w:rsidR="00BE4AF3" w:rsidRPr="003933A3" w:rsidRDefault="00BE4AF3" w:rsidP="003933A3">
      <w:pPr>
        <w:spacing w:after="0" w:line="240" w:lineRule="auto"/>
        <w:jc w:val="center"/>
        <w:rPr>
          <w:rFonts w:ascii="Times New Roman" w:eastAsia="Calibri" w:hAnsi="Times New Roman" w:cs="Times New Roman"/>
          <w:b/>
          <w:color w:val="000000" w:themeColor="text1"/>
          <w:sz w:val="24"/>
          <w:szCs w:val="24"/>
        </w:rPr>
      </w:pPr>
    </w:p>
    <w:p w14:paraId="0A03C28A" w14:textId="20FD9EFE" w:rsidR="00BE4AF3" w:rsidRPr="003933A3" w:rsidRDefault="00BE4AF3" w:rsidP="003933A3">
      <w:pPr>
        <w:spacing w:after="0" w:line="240" w:lineRule="auto"/>
        <w:jc w:val="center"/>
        <w:rPr>
          <w:rFonts w:ascii="Times New Roman" w:eastAsia="Calibri" w:hAnsi="Times New Roman" w:cs="Times New Roman"/>
          <w:b/>
          <w:color w:val="000000" w:themeColor="text1"/>
          <w:sz w:val="24"/>
          <w:szCs w:val="24"/>
        </w:rPr>
      </w:pPr>
    </w:p>
    <w:p w14:paraId="4D4ACEDF" w14:textId="77777777" w:rsidR="00BE4AF3" w:rsidRPr="003933A3" w:rsidRDefault="00BE4AF3" w:rsidP="003933A3">
      <w:pPr>
        <w:spacing w:after="0" w:line="240" w:lineRule="auto"/>
        <w:jc w:val="center"/>
        <w:rPr>
          <w:rFonts w:ascii="Times New Roman" w:eastAsia="Calibri" w:hAnsi="Times New Roman" w:cs="Times New Roman"/>
          <w:b/>
          <w:color w:val="000000" w:themeColor="text1"/>
          <w:sz w:val="24"/>
          <w:szCs w:val="24"/>
        </w:rPr>
      </w:pPr>
    </w:p>
    <w:p w14:paraId="49EF1754" w14:textId="77777777" w:rsidR="00BE4AF3" w:rsidRPr="003933A3" w:rsidRDefault="00BE4AF3" w:rsidP="003933A3">
      <w:pPr>
        <w:spacing w:after="0" w:line="240" w:lineRule="auto"/>
        <w:jc w:val="center"/>
        <w:rPr>
          <w:rFonts w:ascii="Times New Roman" w:eastAsia="Calibri" w:hAnsi="Times New Roman" w:cs="Times New Roman"/>
          <w:b/>
          <w:color w:val="000000" w:themeColor="text1"/>
          <w:sz w:val="24"/>
          <w:szCs w:val="24"/>
        </w:rPr>
      </w:pPr>
    </w:p>
    <w:p w14:paraId="745ED4F1" w14:textId="77777777" w:rsidR="00BE4AF3" w:rsidRPr="003933A3" w:rsidRDefault="00BE4AF3" w:rsidP="003933A3">
      <w:pPr>
        <w:spacing w:after="0" w:line="240" w:lineRule="auto"/>
        <w:jc w:val="center"/>
        <w:rPr>
          <w:rFonts w:ascii="Times New Roman" w:eastAsia="Calibri" w:hAnsi="Times New Roman" w:cs="Times New Roman"/>
          <w:b/>
          <w:color w:val="000000" w:themeColor="text1"/>
          <w:sz w:val="24"/>
          <w:szCs w:val="24"/>
        </w:rPr>
      </w:pPr>
    </w:p>
    <w:p w14:paraId="751C232C" w14:textId="77777777" w:rsidR="00BE4AF3" w:rsidRPr="003933A3" w:rsidRDefault="00BE4AF3" w:rsidP="003933A3">
      <w:pPr>
        <w:spacing w:after="0" w:line="240" w:lineRule="auto"/>
        <w:jc w:val="center"/>
        <w:rPr>
          <w:rFonts w:ascii="Times New Roman" w:eastAsia="Calibri" w:hAnsi="Times New Roman" w:cs="Times New Roman"/>
          <w:b/>
          <w:color w:val="000000" w:themeColor="text1"/>
          <w:sz w:val="24"/>
          <w:szCs w:val="24"/>
        </w:rPr>
      </w:pPr>
    </w:p>
    <w:p w14:paraId="537E587A" w14:textId="77777777" w:rsidR="00BE4AF3" w:rsidRPr="003933A3" w:rsidRDefault="00BE4AF3" w:rsidP="003933A3">
      <w:pPr>
        <w:spacing w:after="0" w:line="240" w:lineRule="auto"/>
        <w:jc w:val="center"/>
        <w:rPr>
          <w:rFonts w:ascii="Times New Roman" w:eastAsia="Calibri" w:hAnsi="Times New Roman" w:cs="Times New Roman"/>
          <w:b/>
          <w:color w:val="000000" w:themeColor="text1"/>
          <w:sz w:val="24"/>
          <w:szCs w:val="24"/>
        </w:rPr>
      </w:pPr>
    </w:p>
    <w:p w14:paraId="31152626" w14:textId="77777777" w:rsidR="00BE4AF3" w:rsidRPr="003933A3" w:rsidRDefault="00BE4AF3" w:rsidP="003933A3">
      <w:pPr>
        <w:spacing w:after="0" w:line="240" w:lineRule="auto"/>
        <w:jc w:val="center"/>
        <w:rPr>
          <w:rFonts w:ascii="Times New Roman" w:eastAsia="Calibri" w:hAnsi="Times New Roman" w:cs="Times New Roman"/>
          <w:b/>
          <w:color w:val="000000" w:themeColor="text1"/>
          <w:sz w:val="24"/>
          <w:szCs w:val="24"/>
        </w:rPr>
      </w:pPr>
    </w:p>
    <w:p w14:paraId="136553E1" w14:textId="77777777" w:rsidR="00BE4AF3" w:rsidRPr="003933A3" w:rsidRDefault="00BE4AF3" w:rsidP="003933A3">
      <w:pPr>
        <w:spacing w:after="0" w:line="240" w:lineRule="auto"/>
        <w:jc w:val="center"/>
        <w:rPr>
          <w:rFonts w:ascii="Times New Roman" w:eastAsia="Calibri" w:hAnsi="Times New Roman" w:cs="Times New Roman"/>
          <w:b/>
          <w:color w:val="000000" w:themeColor="text1"/>
          <w:sz w:val="24"/>
          <w:szCs w:val="24"/>
        </w:rPr>
      </w:pPr>
    </w:p>
    <w:p w14:paraId="314F8A93" w14:textId="77777777" w:rsidR="00BE4AF3" w:rsidRPr="003933A3" w:rsidRDefault="00BE4AF3" w:rsidP="003933A3">
      <w:pPr>
        <w:spacing w:after="0" w:line="240" w:lineRule="auto"/>
        <w:jc w:val="center"/>
        <w:rPr>
          <w:rFonts w:ascii="Times New Roman" w:eastAsia="Calibri" w:hAnsi="Times New Roman" w:cs="Times New Roman"/>
          <w:b/>
          <w:color w:val="000000" w:themeColor="text1"/>
          <w:sz w:val="24"/>
          <w:szCs w:val="24"/>
        </w:rPr>
      </w:pPr>
    </w:p>
    <w:p w14:paraId="5383E6D8" w14:textId="77777777" w:rsidR="00BE4AF3" w:rsidRPr="003933A3" w:rsidRDefault="00BE4AF3" w:rsidP="003933A3">
      <w:pPr>
        <w:spacing w:after="0" w:line="240" w:lineRule="auto"/>
        <w:jc w:val="both"/>
        <w:rPr>
          <w:rFonts w:ascii="Times New Roman" w:eastAsia="Times New Roman" w:hAnsi="Times New Roman" w:cs="Times New Roman"/>
          <w:b/>
          <w:iCs/>
          <w:color w:val="000000" w:themeColor="text1"/>
          <w:sz w:val="24"/>
          <w:szCs w:val="24"/>
        </w:rPr>
      </w:pPr>
    </w:p>
    <w:p w14:paraId="063BC437" w14:textId="77777777" w:rsidR="00BE4AF3" w:rsidRPr="003933A3" w:rsidRDefault="00BE4AF3" w:rsidP="003933A3">
      <w:pPr>
        <w:spacing w:after="0" w:line="240" w:lineRule="auto"/>
        <w:jc w:val="both"/>
        <w:rPr>
          <w:rFonts w:ascii="Times New Roman" w:eastAsia="Times New Roman" w:hAnsi="Times New Roman" w:cs="Times New Roman"/>
          <w:b/>
          <w:iCs/>
          <w:color w:val="000000" w:themeColor="text1"/>
          <w:sz w:val="24"/>
          <w:szCs w:val="24"/>
        </w:rPr>
      </w:pPr>
    </w:p>
    <w:p w14:paraId="5B8F4DA3" w14:textId="77777777" w:rsidR="003933A3" w:rsidRDefault="003933A3" w:rsidP="003933A3">
      <w:pPr>
        <w:spacing w:after="0" w:line="240" w:lineRule="auto"/>
        <w:ind w:left="3735" w:hangingChars="1550" w:hanging="3735"/>
        <w:jc w:val="both"/>
        <w:rPr>
          <w:rFonts w:ascii="Times New Roman" w:eastAsia="Calibri" w:hAnsi="Times New Roman" w:cs="Times New Roman"/>
          <w:b/>
          <w:bCs/>
          <w:i/>
          <w:color w:val="000000" w:themeColor="text1"/>
          <w:sz w:val="24"/>
          <w:szCs w:val="24"/>
        </w:rPr>
      </w:pPr>
    </w:p>
    <w:p w14:paraId="26010269" w14:textId="77777777" w:rsidR="003933A3" w:rsidRDefault="003933A3" w:rsidP="003933A3">
      <w:pPr>
        <w:spacing w:after="0" w:line="240" w:lineRule="auto"/>
        <w:ind w:left="3735" w:hangingChars="1550" w:hanging="3735"/>
        <w:jc w:val="both"/>
        <w:rPr>
          <w:rFonts w:ascii="Times New Roman" w:eastAsia="Calibri" w:hAnsi="Times New Roman" w:cs="Times New Roman"/>
          <w:b/>
          <w:bCs/>
          <w:i/>
          <w:color w:val="000000" w:themeColor="text1"/>
          <w:sz w:val="24"/>
          <w:szCs w:val="24"/>
        </w:rPr>
      </w:pPr>
    </w:p>
    <w:p w14:paraId="42EF2B23" w14:textId="77777777" w:rsidR="003933A3" w:rsidRDefault="003933A3" w:rsidP="003933A3">
      <w:pPr>
        <w:spacing w:after="0" w:line="240" w:lineRule="auto"/>
        <w:ind w:left="3735" w:hangingChars="1550" w:hanging="3735"/>
        <w:jc w:val="both"/>
        <w:rPr>
          <w:rFonts w:ascii="Times New Roman" w:eastAsia="Calibri" w:hAnsi="Times New Roman" w:cs="Times New Roman"/>
          <w:b/>
          <w:bCs/>
          <w:i/>
          <w:color w:val="000000" w:themeColor="text1"/>
          <w:sz w:val="24"/>
          <w:szCs w:val="24"/>
        </w:rPr>
      </w:pPr>
    </w:p>
    <w:p w14:paraId="55C114C6" w14:textId="77777777" w:rsidR="003933A3" w:rsidRDefault="003933A3" w:rsidP="003933A3">
      <w:pPr>
        <w:spacing w:after="0" w:line="240" w:lineRule="auto"/>
        <w:ind w:left="3735" w:hangingChars="1550" w:hanging="3735"/>
        <w:jc w:val="both"/>
        <w:rPr>
          <w:rFonts w:ascii="Times New Roman" w:eastAsia="Calibri" w:hAnsi="Times New Roman" w:cs="Times New Roman"/>
          <w:b/>
          <w:bCs/>
          <w:i/>
          <w:color w:val="000000" w:themeColor="text1"/>
          <w:sz w:val="24"/>
          <w:szCs w:val="24"/>
        </w:rPr>
      </w:pPr>
    </w:p>
    <w:p w14:paraId="1824404E" w14:textId="77777777" w:rsidR="003933A3" w:rsidRDefault="003933A3" w:rsidP="003933A3">
      <w:pPr>
        <w:spacing w:after="0" w:line="240" w:lineRule="auto"/>
        <w:ind w:left="3735" w:hangingChars="1550" w:hanging="3735"/>
        <w:jc w:val="both"/>
        <w:rPr>
          <w:rFonts w:ascii="Times New Roman" w:eastAsia="Calibri" w:hAnsi="Times New Roman" w:cs="Times New Roman"/>
          <w:b/>
          <w:bCs/>
          <w:i/>
          <w:color w:val="000000" w:themeColor="text1"/>
          <w:sz w:val="24"/>
          <w:szCs w:val="24"/>
        </w:rPr>
      </w:pPr>
    </w:p>
    <w:p w14:paraId="0DF97FFD" w14:textId="77777777" w:rsidR="003933A3" w:rsidRDefault="003933A3" w:rsidP="003933A3">
      <w:pPr>
        <w:spacing w:after="0" w:line="240" w:lineRule="auto"/>
        <w:ind w:left="3735" w:hangingChars="1550" w:hanging="3735"/>
        <w:jc w:val="both"/>
        <w:rPr>
          <w:rFonts w:ascii="Times New Roman" w:eastAsia="Calibri" w:hAnsi="Times New Roman" w:cs="Times New Roman"/>
          <w:b/>
          <w:bCs/>
          <w:i/>
          <w:color w:val="000000" w:themeColor="text1"/>
          <w:sz w:val="24"/>
          <w:szCs w:val="24"/>
        </w:rPr>
      </w:pPr>
    </w:p>
    <w:p w14:paraId="6FD88094" w14:textId="77777777" w:rsidR="003933A3" w:rsidRDefault="003933A3" w:rsidP="003933A3">
      <w:pPr>
        <w:spacing w:after="0" w:line="240" w:lineRule="auto"/>
        <w:ind w:left="3735" w:hangingChars="1550" w:hanging="3735"/>
        <w:jc w:val="both"/>
        <w:rPr>
          <w:rFonts w:ascii="Times New Roman" w:eastAsia="Calibri" w:hAnsi="Times New Roman" w:cs="Times New Roman"/>
          <w:b/>
          <w:bCs/>
          <w:i/>
          <w:color w:val="000000" w:themeColor="text1"/>
          <w:sz w:val="24"/>
          <w:szCs w:val="24"/>
        </w:rPr>
      </w:pPr>
    </w:p>
    <w:p w14:paraId="5488F2D8" w14:textId="77777777" w:rsidR="003933A3" w:rsidRDefault="003933A3" w:rsidP="003933A3">
      <w:pPr>
        <w:spacing w:after="0" w:line="240" w:lineRule="auto"/>
        <w:ind w:left="3735" w:hangingChars="1550" w:hanging="3735"/>
        <w:jc w:val="both"/>
        <w:rPr>
          <w:rFonts w:ascii="Times New Roman" w:eastAsia="Calibri" w:hAnsi="Times New Roman" w:cs="Times New Roman"/>
          <w:b/>
          <w:bCs/>
          <w:i/>
          <w:color w:val="000000" w:themeColor="text1"/>
          <w:sz w:val="24"/>
          <w:szCs w:val="24"/>
        </w:rPr>
      </w:pPr>
    </w:p>
    <w:p w14:paraId="3DE319FE" w14:textId="5FC99C95" w:rsidR="00BE4AF3" w:rsidRPr="00C95064" w:rsidRDefault="00BE4AF3" w:rsidP="003933A3">
      <w:pPr>
        <w:spacing w:after="0" w:line="240" w:lineRule="auto"/>
        <w:ind w:left="3735" w:hangingChars="1550" w:hanging="3735"/>
        <w:jc w:val="both"/>
        <w:rPr>
          <w:rFonts w:ascii="Times New Roman" w:eastAsia="Times New Roman" w:hAnsi="Times New Roman" w:cs="Times New Roman"/>
          <w:iCs/>
          <w:color w:val="000000" w:themeColor="text1"/>
          <w:sz w:val="24"/>
          <w:szCs w:val="24"/>
        </w:rPr>
      </w:pPr>
      <w:r w:rsidRPr="00C95064">
        <w:rPr>
          <w:rFonts w:ascii="Times New Roman" w:eastAsia="Calibri" w:hAnsi="Times New Roman" w:cs="Times New Roman"/>
          <w:b/>
          <w:bCs/>
          <w:iCs/>
          <w:color w:val="000000" w:themeColor="text1"/>
          <w:sz w:val="24"/>
          <w:szCs w:val="24"/>
        </w:rPr>
        <w:t>Table 1:</w:t>
      </w:r>
      <w:r w:rsidRPr="00C95064">
        <w:rPr>
          <w:rFonts w:ascii="Times New Roman" w:eastAsia="Calibri" w:hAnsi="Times New Roman" w:cs="Times New Roman"/>
          <w:iCs/>
          <w:color w:val="000000" w:themeColor="text1"/>
          <w:sz w:val="24"/>
          <w:szCs w:val="24"/>
        </w:rPr>
        <w:t xml:space="preserve"> Sample Size; Schools and Homes for People with Visual Impairment in Southwest Nigeria</w:t>
      </w:r>
    </w:p>
    <w:tbl>
      <w:tblPr>
        <w:tblW w:w="9150" w:type="dxa"/>
        <w:jc w:val="center"/>
        <w:tblLayout w:type="fixed"/>
        <w:tblLook w:val="04A0" w:firstRow="1" w:lastRow="0" w:firstColumn="1" w:lastColumn="0" w:noHBand="0" w:noVBand="1"/>
      </w:tblPr>
      <w:tblGrid>
        <w:gridCol w:w="567"/>
        <w:gridCol w:w="993"/>
        <w:gridCol w:w="5136"/>
        <w:gridCol w:w="1101"/>
        <w:gridCol w:w="1353"/>
      </w:tblGrid>
      <w:tr w:rsidR="003933A3" w:rsidRPr="00C95064" w14:paraId="56195314" w14:textId="77777777" w:rsidTr="00C95064">
        <w:trPr>
          <w:trHeight w:val="285"/>
          <w:jc w:val="center"/>
        </w:trPr>
        <w:tc>
          <w:tcPr>
            <w:tcW w:w="567" w:type="dxa"/>
            <w:tcBorders>
              <w:top w:val="single" w:sz="18" w:space="0" w:color="auto"/>
              <w:left w:val="nil"/>
              <w:bottom w:val="single" w:sz="12" w:space="0" w:color="auto"/>
              <w:right w:val="nil"/>
            </w:tcBorders>
          </w:tcPr>
          <w:p w14:paraId="4C68FEF6"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S/N</w:t>
            </w:r>
          </w:p>
        </w:tc>
        <w:tc>
          <w:tcPr>
            <w:tcW w:w="993" w:type="dxa"/>
            <w:tcBorders>
              <w:top w:val="single" w:sz="18" w:space="0" w:color="auto"/>
              <w:left w:val="nil"/>
              <w:bottom w:val="single" w:sz="12" w:space="0" w:color="auto"/>
              <w:right w:val="nil"/>
            </w:tcBorders>
          </w:tcPr>
          <w:p w14:paraId="730A0D76"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State</w:t>
            </w:r>
          </w:p>
        </w:tc>
        <w:tc>
          <w:tcPr>
            <w:tcW w:w="5136" w:type="dxa"/>
            <w:tcBorders>
              <w:top w:val="single" w:sz="18" w:space="0" w:color="auto"/>
              <w:left w:val="nil"/>
              <w:bottom w:val="single" w:sz="12" w:space="0" w:color="auto"/>
              <w:right w:val="nil"/>
            </w:tcBorders>
          </w:tcPr>
          <w:p w14:paraId="63B36FDC"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Name of the School/Home</w:t>
            </w:r>
          </w:p>
        </w:tc>
        <w:tc>
          <w:tcPr>
            <w:tcW w:w="1101" w:type="dxa"/>
            <w:tcBorders>
              <w:top w:val="single" w:sz="18" w:space="0" w:color="auto"/>
              <w:left w:val="nil"/>
              <w:bottom w:val="single" w:sz="12" w:space="0" w:color="auto"/>
              <w:right w:val="nil"/>
            </w:tcBorders>
          </w:tcPr>
          <w:p w14:paraId="75D73ED5"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Enrolment</w:t>
            </w:r>
          </w:p>
        </w:tc>
        <w:tc>
          <w:tcPr>
            <w:tcW w:w="1353" w:type="dxa"/>
            <w:tcBorders>
              <w:top w:val="single" w:sz="18" w:space="0" w:color="auto"/>
              <w:left w:val="nil"/>
              <w:bottom w:val="single" w:sz="12" w:space="0" w:color="auto"/>
              <w:right w:val="nil"/>
            </w:tcBorders>
          </w:tcPr>
          <w:p w14:paraId="5D927181"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Sample Size</w:t>
            </w:r>
          </w:p>
        </w:tc>
      </w:tr>
      <w:tr w:rsidR="003933A3" w:rsidRPr="00C95064" w14:paraId="0A9A4D05" w14:textId="77777777" w:rsidTr="00C95064">
        <w:trPr>
          <w:trHeight w:val="638"/>
          <w:jc w:val="center"/>
        </w:trPr>
        <w:tc>
          <w:tcPr>
            <w:tcW w:w="567" w:type="dxa"/>
            <w:tcBorders>
              <w:top w:val="single" w:sz="12" w:space="0" w:color="auto"/>
              <w:left w:val="nil"/>
              <w:bottom w:val="nil"/>
              <w:right w:val="nil"/>
            </w:tcBorders>
          </w:tcPr>
          <w:p w14:paraId="249511B7"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1</w:t>
            </w:r>
          </w:p>
        </w:tc>
        <w:tc>
          <w:tcPr>
            <w:tcW w:w="993" w:type="dxa"/>
            <w:tcBorders>
              <w:top w:val="single" w:sz="12" w:space="0" w:color="auto"/>
              <w:left w:val="nil"/>
              <w:bottom w:val="nil"/>
              <w:right w:val="nil"/>
            </w:tcBorders>
          </w:tcPr>
          <w:p w14:paraId="05D55F18"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Ekiti</w:t>
            </w:r>
          </w:p>
        </w:tc>
        <w:tc>
          <w:tcPr>
            <w:tcW w:w="5136" w:type="dxa"/>
            <w:tcBorders>
              <w:top w:val="single" w:sz="12" w:space="0" w:color="auto"/>
              <w:left w:val="nil"/>
              <w:bottom w:val="nil"/>
              <w:right w:val="nil"/>
            </w:tcBorders>
          </w:tcPr>
          <w:p w14:paraId="65ADC560"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Government Special School for the Blind, Oke-Osun, Ikere, Ekiti State</w:t>
            </w:r>
          </w:p>
        </w:tc>
        <w:tc>
          <w:tcPr>
            <w:tcW w:w="1101" w:type="dxa"/>
            <w:tcBorders>
              <w:top w:val="single" w:sz="12" w:space="0" w:color="auto"/>
              <w:left w:val="nil"/>
              <w:bottom w:val="nil"/>
              <w:right w:val="nil"/>
            </w:tcBorders>
          </w:tcPr>
          <w:p w14:paraId="5679F3C7" w14:textId="77777777" w:rsidR="00BE4AF3" w:rsidRPr="00C95064" w:rsidRDefault="00BE4AF3" w:rsidP="003933A3">
            <w:pPr>
              <w:spacing w:after="0" w:line="240" w:lineRule="auto"/>
              <w:jc w:val="center"/>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208</w:t>
            </w:r>
          </w:p>
        </w:tc>
        <w:tc>
          <w:tcPr>
            <w:tcW w:w="1353" w:type="dxa"/>
            <w:tcBorders>
              <w:top w:val="single" w:sz="12" w:space="0" w:color="auto"/>
              <w:left w:val="nil"/>
              <w:bottom w:val="nil"/>
              <w:right w:val="nil"/>
            </w:tcBorders>
          </w:tcPr>
          <w:p w14:paraId="1F89F575" w14:textId="77777777" w:rsidR="00BE4AF3" w:rsidRPr="00C95064" w:rsidRDefault="00BE4AF3" w:rsidP="003933A3">
            <w:pPr>
              <w:spacing w:after="0" w:line="240" w:lineRule="auto"/>
              <w:jc w:val="center"/>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104</w:t>
            </w:r>
          </w:p>
        </w:tc>
      </w:tr>
      <w:tr w:rsidR="003933A3" w:rsidRPr="00C95064" w14:paraId="1C2E8DD0" w14:textId="77777777" w:rsidTr="00C95064">
        <w:trPr>
          <w:jc w:val="center"/>
        </w:trPr>
        <w:tc>
          <w:tcPr>
            <w:tcW w:w="567" w:type="dxa"/>
          </w:tcPr>
          <w:p w14:paraId="5C895F2E"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2</w:t>
            </w:r>
          </w:p>
        </w:tc>
        <w:tc>
          <w:tcPr>
            <w:tcW w:w="993" w:type="dxa"/>
          </w:tcPr>
          <w:p w14:paraId="1D15418D"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Oyo</w:t>
            </w:r>
          </w:p>
        </w:tc>
        <w:tc>
          <w:tcPr>
            <w:tcW w:w="5136" w:type="dxa"/>
          </w:tcPr>
          <w:p w14:paraId="53808FE5"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Nigerian Training Center for the Blind, Isale Adeniran, Ogbomoso North, Oyo State</w:t>
            </w:r>
          </w:p>
        </w:tc>
        <w:tc>
          <w:tcPr>
            <w:tcW w:w="1101" w:type="dxa"/>
          </w:tcPr>
          <w:p w14:paraId="061D1D96" w14:textId="77777777" w:rsidR="00BE4AF3" w:rsidRPr="00C95064" w:rsidRDefault="00BE4AF3" w:rsidP="003933A3">
            <w:pPr>
              <w:spacing w:after="0" w:line="240" w:lineRule="auto"/>
              <w:jc w:val="center"/>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48</w:t>
            </w:r>
          </w:p>
        </w:tc>
        <w:tc>
          <w:tcPr>
            <w:tcW w:w="1353" w:type="dxa"/>
          </w:tcPr>
          <w:p w14:paraId="2604AB5B" w14:textId="77777777" w:rsidR="00BE4AF3" w:rsidRPr="00C95064" w:rsidRDefault="00BE4AF3" w:rsidP="003933A3">
            <w:pPr>
              <w:spacing w:after="0" w:line="240" w:lineRule="auto"/>
              <w:jc w:val="center"/>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24</w:t>
            </w:r>
          </w:p>
        </w:tc>
      </w:tr>
      <w:tr w:rsidR="003933A3" w:rsidRPr="00C95064" w14:paraId="2E4C04AC" w14:textId="77777777" w:rsidTr="00C95064">
        <w:trPr>
          <w:jc w:val="center"/>
        </w:trPr>
        <w:tc>
          <w:tcPr>
            <w:tcW w:w="567" w:type="dxa"/>
          </w:tcPr>
          <w:p w14:paraId="4103308A"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3</w:t>
            </w:r>
          </w:p>
        </w:tc>
        <w:tc>
          <w:tcPr>
            <w:tcW w:w="993" w:type="dxa"/>
          </w:tcPr>
          <w:p w14:paraId="3269FF04"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Ondo</w:t>
            </w:r>
          </w:p>
        </w:tc>
        <w:tc>
          <w:tcPr>
            <w:tcW w:w="5136" w:type="dxa"/>
          </w:tcPr>
          <w:p w14:paraId="276910F9"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Ondo State Visually Impaired, Owo</w:t>
            </w:r>
          </w:p>
        </w:tc>
        <w:tc>
          <w:tcPr>
            <w:tcW w:w="1101" w:type="dxa"/>
          </w:tcPr>
          <w:p w14:paraId="04BCF61B" w14:textId="77777777" w:rsidR="00BE4AF3" w:rsidRPr="00C95064" w:rsidRDefault="00BE4AF3" w:rsidP="003933A3">
            <w:pPr>
              <w:spacing w:after="0" w:line="240" w:lineRule="auto"/>
              <w:jc w:val="center"/>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302</w:t>
            </w:r>
          </w:p>
        </w:tc>
        <w:tc>
          <w:tcPr>
            <w:tcW w:w="1353" w:type="dxa"/>
          </w:tcPr>
          <w:p w14:paraId="603A0E86" w14:textId="77777777" w:rsidR="00BE4AF3" w:rsidRPr="00C95064" w:rsidRDefault="00BE4AF3" w:rsidP="003933A3">
            <w:pPr>
              <w:spacing w:after="0" w:line="240" w:lineRule="auto"/>
              <w:jc w:val="center"/>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151</w:t>
            </w:r>
          </w:p>
        </w:tc>
      </w:tr>
      <w:tr w:rsidR="003933A3" w:rsidRPr="00C95064" w14:paraId="402E098B" w14:textId="77777777" w:rsidTr="00C95064">
        <w:trPr>
          <w:jc w:val="center"/>
        </w:trPr>
        <w:tc>
          <w:tcPr>
            <w:tcW w:w="567" w:type="dxa"/>
          </w:tcPr>
          <w:p w14:paraId="355BF3BB"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4</w:t>
            </w:r>
          </w:p>
        </w:tc>
        <w:tc>
          <w:tcPr>
            <w:tcW w:w="993" w:type="dxa"/>
          </w:tcPr>
          <w:p w14:paraId="23A21E15"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Oyo</w:t>
            </w:r>
          </w:p>
        </w:tc>
        <w:tc>
          <w:tcPr>
            <w:tcW w:w="5136" w:type="dxa"/>
          </w:tcPr>
          <w:p w14:paraId="1D68DA9B"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Federal College of Education (Special), Akinmorin, Oyo</w:t>
            </w:r>
          </w:p>
        </w:tc>
        <w:tc>
          <w:tcPr>
            <w:tcW w:w="1101" w:type="dxa"/>
          </w:tcPr>
          <w:p w14:paraId="5A973104" w14:textId="77777777" w:rsidR="00BE4AF3" w:rsidRPr="00C95064" w:rsidRDefault="00BE4AF3" w:rsidP="003933A3">
            <w:pPr>
              <w:spacing w:after="0" w:line="240" w:lineRule="auto"/>
              <w:jc w:val="center"/>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154</w:t>
            </w:r>
          </w:p>
        </w:tc>
        <w:tc>
          <w:tcPr>
            <w:tcW w:w="1353" w:type="dxa"/>
          </w:tcPr>
          <w:p w14:paraId="754055F2" w14:textId="77777777" w:rsidR="00BE4AF3" w:rsidRPr="00C95064" w:rsidRDefault="00BE4AF3" w:rsidP="003933A3">
            <w:pPr>
              <w:spacing w:after="0" w:line="240" w:lineRule="auto"/>
              <w:jc w:val="center"/>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77</w:t>
            </w:r>
          </w:p>
        </w:tc>
      </w:tr>
      <w:tr w:rsidR="003933A3" w:rsidRPr="00C95064" w14:paraId="79A5123D" w14:textId="77777777" w:rsidTr="00C95064">
        <w:trPr>
          <w:jc w:val="center"/>
        </w:trPr>
        <w:tc>
          <w:tcPr>
            <w:tcW w:w="567" w:type="dxa"/>
          </w:tcPr>
          <w:p w14:paraId="4130F13D"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5</w:t>
            </w:r>
          </w:p>
        </w:tc>
        <w:tc>
          <w:tcPr>
            <w:tcW w:w="993" w:type="dxa"/>
          </w:tcPr>
          <w:p w14:paraId="0DA37F8A"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Lagos</w:t>
            </w:r>
          </w:p>
        </w:tc>
        <w:tc>
          <w:tcPr>
            <w:tcW w:w="5136" w:type="dxa"/>
          </w:tcPr>
          <w:p w14:paraId="54608475"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Lagos Pacelli School for the Blind, Surulere</w:t>
            </w:r>
          </w:p>
        </w:tc>
        <w:tc>
          <w:tcPr>
            <w:tcW w:w="1101" w:type="dxa"/>
          </w:tcPr>
          <w:p w14:paraId="15C6669B" w14:textId="77777777" w:rsidR="00BE4AF3" w:rsidRPr="00C95064" w:rsidRDefault="00BE4AF3" w:rsidP="003933A3">
            <w:pPr>
              <w:spacing w:after="0" w:line="240" w:lineRule="auto"/>
              <w:jc w:val="center"/>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98</w:t>
            </w:r>
          </w:p>
        </w:tc>
        <w:tc>
          <w:tcPr>
            <w:tcW w:w="1353" w:type="dxa"/>
          </w:tcPr>
          <w:p w14:paraId="775B0393" w14:textId="77777777" w:rsidR="00BE4AF3" w:rsidRPr="00C95064" w:rsidRDefault="00BE4AF3" w:rsidP="003933A3">
            <w:pPr>
              <w:spacing w:after="0" w:line="240" w:lineRule="auto"/>
              <w:jc w:val="center"/>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49</w:t>
            </w:r>
          </w:p>
        </w:tc>
      </w:tr>
      <w:tr w:rsidR="003933A3" w:rsidRPr="00C95064" w14:paraId="636858F3" w14:textId="77777777" w:rsidTr="00C95064">
        <w:trPr>
          <w:jc w:val="center"/>
        </w:trPr>
        <w:tc>
          <w:tcPr>
            <w:tcW w:w="567" w:type="dxa"/>
          </w:tcPr>
          <w:p w14:paraId="4CB9A778"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6</w:t>
            </w:r>
          </w:p>
        </w:tc>
        <w:tc>
          <w:tcPr>
            <w:tcW w:w="993" w:type="dxa"/>
          </w:tcPr>
          <w:p w14:paraId="095A836F"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Lagos</w:t>
            </w:r>
          </w:p>
        </w:tc>
        <w:tc>
          <w:tcPr>
            <w:tcW w:w="5136" w:type="dxa"/>
          </w:tcPr>
          <w:p w14:paraId="7070EED2"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Bethesda Home for the Blind, Idi-Oro</w:t>
            </w:r>
          </w:p>
        </w:tc>
        <w:tc>
          <w:tcPr>
            <w:tcW w:w="1101" w:type="dxa"/>
          </w:tcPr>
          <w:p w14:paraId="3786E2A7" w14:textId="77777777" w:rsidR="00BE4AF3" w:rsidRPr="00C95064" w:rsidRDefault="00BE4AF3" w:rsidP="003933A3">
            <w:pPr>
              <w:spacing w:after="0" w:line="240" w:lineRule="auto"/>
              <w:jc w:val="center"/>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41</w:t>
            </w:r>
          </w:p>
        </w:tc>
        <w:tc>
          <w:tcPr>
            <w:tcW w:w="1353" w:type="dxa"/>
          </w:tcPr>
          <w:p w14:paraId="4CB1FDF4" w14:textId="77777777" w:rsidR="00BE4AF3" w:rsidRPr="00C95064" w:rsidRDefault="00BE4AF3" w:rsidP="003933A3">
            <w:pPr>
              <w:spacing w:after="0" w:line="240" w:lineRule="auto"/>
              <w:jc w:val="center"/>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21</w:t>
            </w:r>
          </w:p>
        </w:tc>
      </w:tr>
      <w:tr w:rsidR="003933A3" w:rsidRPr="00C95064" w14:paraId="20A8EA89" w14:textId="77777777" w:rsidTr="00C95064">
        <w:trPr>
          <w:jc w:val="center"/>
        </w:trPr>
        <w:tc>
          <w:tcPr>
            <w:tcW w:w="567" w:type="dxa"/>
          </w:tcPr>
          <w:p w14:paraId="35293DEA"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7</w:t>
            </w:r>
          </w:p>
        </w:tc>
        <w:tc>
          <w:tcPr>
            <w:tcW w:w="993" w:type="dxa"/>
          </w:tcPr>
          <w:p w14:paraId="0A391978"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Lagos</w:t>
            </w:r>
          </w:p>
        </w:tc>
        <w:tc>
          <w:tcPr>
            <w:tcW w:w="5136" w:type="dxa"/>
          </w:tcPr>
          <w:p w14:paraId="4B92D3CE"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Resource Centre for the Blind</w:t>
            </w:r>
          </w:p>
        </w:tc>
        <w:tc>
          <w:tcPr>
            <w:tcW w:w="1101" w:type="dxa"/>
          </w:tcPr>
          <w:p w14:paraId="5AD45D0D" w14:textId="77777777" w:rsidR="00BE4AF3" w:rsidRPr="00C95064" w:rsidRDefault="00BE4AF3" w:rsidP="003933A3">
            <w:pPr>
              <w:spacing w:after="0" w:line="240" w:lineRule="auto"/>
              <w:jc w:val="center"/>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67</w:t>
            </w:r>
          </w:p>
        </w:tc>
        <w:tc>
          <w:tcPr>
            <w:tcW w:w="1353" w:type="dxa"/>
          </w:tcPr>
          <w:p w14:paraId="2002A60C" w14:textId="77777777" w:rsidR="00BE4AF3" w:rsidRPr="00C95064" w:rsidRDefault="00BE4AF3" w:rsidP="003933A3">
            <w:pPr>
              <w:spacing w:after="0" w:line="240" w:lineRule="auto"/>
              <w:jc w:val="center"/>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34</w:t>
            </w:r>
          </w:p>
        </w:tc>
      </w:tr>
      <w:tr w:rsidR="003933A3" w:rsidRPr="00C95064" w14:paraId="1FCC3D0B" w14:textId="77777777" w:rsidTr="00C95064">
        <w:trPr>
          <w:jc w:val="center"/>
        </w:trPr>
        <w:tc>
          <w:tcPr>
            <w:tcW w:w="567" w:type="dxa"/>
          </w:tcPr>
          <w:p w14:paraId="0B3A4AE3"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8</w:t>
            </w:r>
          </w:p>
        </w:tc>
        <w:tc>
          <w:tcPr>
            <w:tcW w:w="993" w:type="dxa"/>
          </w:tcPr>
          <w:p w14:paraId="56579405"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Lagos</w:t>
            </w:r>
          </w:p>
        </w:tc>
        <w:tc>
          <w:tcPr>
            <w:tcW w:w="5136" w:type="dxa"/>
          </w:tcPr>
          <w:p w14:paraId="78D66E70" w14:textId="77777777" w:rsidR="00BE4AF3" w:rsidRPr="00C95064" w:rsidRDefault="00BE4AF3" w:rsidP="003933A3">
            <w:pPr>
              <w:spacing w:after="0" w:line="240" w:lineRule="auto"/>
              <w:jc w:val="both"/>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Federal Nigeria Society for the Blind, Oshodi</w:t>
            </w:r>
          </w:p>
        </w:tc>
        <w:tc>
          <w:tcPr>
            <w:tcW w:w="1101" w:type="dxa"/>
          </w:tcPr>
          <w:p w14:paraId="5557AABC" w14:textId="77777777" w:rsidR="00BE4AF3" w:rsidRPr="00C95064" w:rsidRDefault="00BE4AF3" w:rsidP="003933A3">
            <w:pPr>
              <w:spacing w:after="0" w:line="240" w:lineRule="auto"/>
              <w:jc w:val="center"/>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341</w:t>
            </w:r>
          </w:p>
        </w:tc>
        <w:tc>
          <w:tcPr>
            <w:tcW w:w="1353" w:type="dxa"/>
          </w:tcPr>
          <w:p w14:paraId="1F3DC571" w14:textId="77777777" w:rsidR="00BE4AF3" w:rsidRPr="00C95064" w:rsidRDefault="00BE4AF3" w:rsidP="003933A3">
            <w:pPr>
              <w:spacing w:after="0" w:line="240" w:lineRule="auto"/>
              <w:jc w:val="center"/>
              <w:rPr>
                <w:rFonts w:ascii="Times New Roman" w:eastAsia="Calibri" w:hAnsi="Times New Roman" w:cs="Times New Roman"/>
                <w:color w:val="000000" w:themeColor="text1"/>
                <w:sz w:val="20"/>
                <w:szCs w:val="20"/>
              </w:rPr>
            </w:pPr>
            <w:r w:rsidRPr="00C95064">
              <w:rPr>
                <w:rFonts w:ascii="Times New Roman" w:eastAsia="Calibri" w:hAnsi="Times New Roman" w:cs="Times New Roman"/>
                <w:color w:val="000000" w:themeColor="text1"/>
                <w:sz w:val="20"/>
                <w:szCs w:val="20"/>
              </w:rPr>
              <w:t>171</w:t>
            </w:r>
          </w:p>
        </w:tc>
      </w:tr>
      <w:tr w:rsidR="003933A3" w:rsidRPr="00C95064" w14:paraId="7ABBFE40" w14:textId="77777777" w:rsidTr="00C95064">
        <w:trPr>
          <w:jc w:val="center"/>
        </w:trPr>
        <w:tc>
          <w:tcPr>
            <w:tcW w:w="567" w:type="dxa"/>
            <w:tcBorders>
              <w:top w:val="nil"/>
              <w:left w:val="nil"/>
              <w:bottom w:val="single" w:sz="18" w:space="0" w:color="auto"/>
              <w:right w:val="nil"/>
            </w:tcBorders>
          </w:tcPr>
          <w:p w14:paraId="794EA34A" w14:textId="77777777" w:rsidR="00BE4AF3" w:rsidRPr="00C95064" w:rsidRDefault="00BE4AF3" w:rsidP="003933A3">
            <w:pPr>
              <w:spacing w:after="0" w:line="240" w:lineRule="auto"/>
              <w:jc w:val="both"/>
              <w:rPr>
                <w:rFonts w:ascii="Times New Roman" w:eastAsia="Calibri" w:hAnsi="Times New Roman" w:cs="Times New Roman"/>
                <w:b/>
                <w:color w:val="000000" w:themeColor="text1"/>
                <w:sz w:val="20"/>
                <w:szCs w:val="20"/>
              </w:rPr>
            </w:pPr>
          </w:p>
        </w:tc>
        <w:tc>
          <w:tcPr>
            <w:tcW w:w="6129" w:type="dxa"/>
            <w:gridSpan w:val="2"/>
            <w:tcBorders>
              <w:top w:val="nil"/>
              <w:left w:val="nil"/>
              <w:bottom w:val="single" w:sz="18" w:space="0" w:color="auto"/>
              <w:right w:val="nil"/>
            </w:tcBorders>
          </w:tcPr>
          <w:p w14:paraId="58DB34FC" w14:textId="77777777" w:rsidR="00BE4AF3" w:rsidRPr="00C95064" w:rsidRDefault="00BE4AF3" w:rsidP="003933A3">
            <w:pPr>
              <w:spacing w:after="0" w:line="240" w:lineRule="auto"/>
              <w:jc w:val="both"/>
              <w:rPr>
                <w:rFonts w:ascii="Times New Roman" w:eastAsia="Calibri" w:hAnsi="Times New Roman" w:cs="Times New Roman"/>
                <w:b/>
                <w:color w:val="000000" w:themeColor="text1"/>
                <w:sz w:val="20"/>
                <w:szCs w:val="20"/>
              </w:rPr>
            </w:pPr>
            <w:r w:rsidRPr="00C95064">
              <w:rPr>
                <w:rFonts w:ascii="Times New Roman" w:eastAsia="Calibri" w:hAnsi="Times New Roman" w:cs="Times New Roman"/>
                <w:b/>
                <w:color w:val="000000" w:themeColor="text1"/>
                <w:sz w:val="20"/>
                <w:szCs w:val="20"/>
              </w:rPr>
              <w:t>Total</w:t>
            </w:r>
          </w:p>
        </w:tc>
        <w:tc>
          <w:tcPr>
            <w:tcW w:w="1101" w:type="dxa"/>
            <w:tcBorders>
              <w:top w:val="nil"/>
              <w:left w:val="nil"/>
              <w:bottom w:val="single" w:sz="18" w:space="0" w:color="auto"/>
              <w:right w:val="nil"/>
            </w:tcBorders>
          </w:tcPr>
          <w:p w14:paraId="6C8C7EFC" w14:textId="77777777" w:rsidR="00BE4AF3" w:rsidRPr="00C95064" w:rsidRDefault="00BE4AF3" w:rsidP="003933A3">
            <w:pPr>
              <w:spacing w:after="0" w:line="240" w:lineRule="auto"/>
              <w:jc w:val="center"/>
              <w:rPr>
                <w:rFonts w:ascii="Times New Roman" w:eastAsia="Calibri" w:hAnsi="Times New Roman" w:cs="Times New Roman"/>
                <w:b/>
                <w:color w:val="000000" w:themeColor="text1"/>
                <w:sz w:val="20"/>
                <w:szCs w:val="20"/>
              </w:rPr>
            </w:pPr>
            <w:r w:rsidRPr="00C95064">
              <w:rPr>
                <w:rFonts w:ascii="Times New Roman" w:eastAsia="Calibri" w:hAnsi="Times New Roman" w:cs="Times New Roman"/>
                <w:b/>
                <w:color w:val="000000" w:themeColor="text1"/>
                <w:sz w:val="20"/>
                <w:szCs w:val="20"/>
              </w:rPr>
              <w:t>1259</w:t>
            </w:r>
          </w:p>
        </w:tc>
        <w:tc>
          <w:tcPr>
            <w:tcW w:w="1353" w:type="dxa"/>
            <w:tcBorders>
              <w:top w:val="nil"/>
              <w:left w:val="nil"/>
              <w:bottom w:val="single" w:sz="18" w:space="0" w:color="auto"/>
              <w:right w:val="nil"/>
            </w:tcBorders>
          </w:tcPr>
          <w:p w14:paraId="64F088C6" w14:textId="77777777" w:rsidR="00BE4AF3" w:rsidRPr="00C95064" w:rsidRDefault="00BE4AF3" w:rsidP="003933A3">
            <w:pPr>
              <w:spacing w:after="0" w:line="240" w:lineRule="auto"/>
              <w:jc w:val="center"/>
              <w:rPr>
                <w:rFonts w:ascii="Times New Roman" w:eastAsia="Calibri" w:hAnsi="Times New Roman" w:cs="Times New Roman"/>
                <w:b/>
                <w:color w:val="000000" w:themeColor="text1"/>
                <w:sz w:val="20"/>
                <w:szCs w:val="20"/>
              </w:rPr>
            </w:pPr>
            <w:r w:rsidRPr="00C95064">
              <w:rPr>
                <w:rFonts w:ascii="Times New Roman" w:eastAsia="Calibri" w:hAnsi="Times New Roman" w:cs="Times New Roman"/>
                <w:b/>
                <w:color w:val="000000" w:themeColor="text1"/>
                <w:sz w:val="20"/>
                <w:szCs w:val="20"/>
              </w:rPr>
              <w:t>631</w:t>
            </w:r>
          </w:p>
        </w:tc>
      </w:tr>
    </w:tbl>
    <w:p w14:paraId="1915D3CA" w14:textId="77777777" w:rsidR="00BE4AF3" w:rsidRPr="00C95064" w:rsidRDefault="00BE4AF3" w:rsidP="00C95064">
      <w:pPr>
        <w:spacing w:after="0" w:line="240" w:lineRule="auto"/>
        <w:jc w:val="center"/>
        <w:rPr>
          <w:rFonts w:ascii="Times New Roman" w:eastAsia="Calibri" w:hAnsi="Times New Roman" w:cs="Times New Roman"/>
          <w:bCs/>
          <w:color w:val="000000" w:themeColor="text1"/>
          <w:sz w:val="24"/>
          <w:szCs w:val="24"/>
        </w:rPr>
      </w:pPr>
      <w:r w:rsidRPr="00C95064">
        <w:rPr>
          <w:rFonts w:ascii="Times New Roman" w:eastAsia="Calibri" w:hAnsi="Times New Roman" w:cs="Times New Roman"/>
          <w:bCs/>
          <w:color w:val="000000" w:themeColor="text1"/>
          <w:sz w:val="24"/>
          <w:szCs w:val="24"/>
        </w:rPr>
        <w:t>Source: Author’s Compilation (2024)</w:t>
      </w:r>
    </w:p>
    <w:p w14:paraId="01BF9D92" w14:textId="77777777" w:rsidR="003933A3" w:rsidRDefault="003933A3" w:rsidP="003933A3">
      <w:pPr>
        <w:spacing w:after="0" w:line="240" w:lineRule="auto"/>
        <w:rPr>
          <w:rFonts w:ascii="Times New Roman" w:eastAsia="Times New Roman" w:hAnsi="Times New Roman" w:cs="Times New Roman"/>
          <w:b/>
          <w:iCs/>
          <w:color w:val="000000" w:themeColor="text1"/>
          <w:sz w:val="24"/>
          <w:szCs w:val="24"/>
        </w:rPr>
      </w:pPr>
    </w:p>
    <w:p w14:paraId="189474CD" w14:textId="1F14F31F" w:rsidR="00BE4AF3" w:rsidRPr="003933A3" w:rsidRDefault="00BE4AF3" w:rsidP="003933A3">
      <w:pPr>
        <w:spacing w:after="0" w:line="240" w:lineRule="auto"/>
        <w:rPr>
          <w:rFonts w:ascii="Times New Roman" w:hAnsi="Times New Roman" w:cs="Times New Roman"/>
          <w:color w:val="000000" w:themeColor="text1"/>
          <w:sz w:val="24"/>
          <w:szCs w:val="24"/>
        </w:rPr>
      </w:pPr>
      <w:r w:rsidRPr="003933A3">
        <w:rPr>
          <w:rStyle w:val="Strong"/>
          <w:rFonts w:ascii="Times New Roman" w:hAnsi="Times New Roman" w:cs="Times New Roman"/>
          <w:color w:val="000000" w:themeColor="text1"/>
        </w:rPr>
        <w:t xml:space="preserve">Results and Discussion </w:t>
      </w:r>
    </w:p>
    <w:p w14:paraId="125198A5" w14:textId="77777777" w:rsidR="00BE4AF3" w:rsidRPr="003933A3" w:rsidRDefault="00BE4AF3" w:rsidP="003933A3">
      <w:pPr>
        <w:pStyle w:val="NormalWeb"/>
        <w:spacing w:before="0" w:beforeAutospacing="0" w:after="0" w:afterAutospacing="0"/>
        <w:jc w:val="both"/>
        <w:rPr>
          <w:color w:val="000000" w:themeColor="text1"/>
        </w:rPr>
      </w:pPr>
      <w:r w:rsidRPr="003933A3">
        <w:rPr>
          <w:color w:val="000000" w:themeColor="text1"/>
        </w:rPr>
        <w:t xml:space="preserve">The study investigated the availability of essential and specialized home facilities for persons with visual impairment across selected institutions and residences in Southwestern Nigeria. Results in Table 2 show that while general household utilities such as </w:t>
      </w:r>
      <w:r w:rsidRPr="003933A3">
        <w:rPr>
          <w:rStyle w:val="Strong"/>
          <w:rFonts w:eastAsiaTheme="majorEastAsia"/>
          <w:b w:val="0"/>
          <w:bCs w:val="0"/>
          <w:color w:val="000000" w:themeColor="text1"/>
        </w:rPr>
        <w:t>electricity (mean = 4.6)</w:t>
      </w:r>
      <w:r w:rsidRPr="003933A3">
        <w:rPr>
          <w:color w:val="000000" w:themeColor="text1"/>
        </w:rPr>
        <w:t xml:space="preserve">, </w:t>
      </w:r>
      <w:r w:rsidRPr="003933A3">
        <w:rPr>
          <w:rStyle w:val="Strong"/>
          <w:rFonts w:eastAsiaTheme="majorEastAsia"/>
          <w:b w:val="0"/>
          <w:bCs w:val="0"/>
          <w:color w:val="000000" w:themeColor="text1"/>
        </w:rPr>
        <w:t>ventilation (mean = 4.4)</w:t>
      </w:r>
      <w:r w:rsidRPr="003933A3">
        <w:rPr>
          <w:color w:val="000000" w:themeColor="text1"/>
        </w:rPr>
        <w:t xml:space="preserve">, and </w:t>
      </w:r>
      <w:r w:rsidRPr="003933A3">
        <w:rPr>
          <w:rStyle w:val="Strong"/>
          <w:rFonts w:eastAsiaTheme="majorEastAsia"/>
          <w:b w:val="0"/>
          <w:bCs w:val="0"/>
          <w:color w:val="000000" w:themeColor="text1"/>
        </w:rPr>
        <w:t>running water (mean = 4.2)</w:t>
      </w:r>
      <w:r w:rsidRPr="003933A3">
        <w:rPr>
          <w:color w:val="000000" w:themeColor="text1"/>
        </w:rPr>
        <w:t xml:space="preserve"> were widely available and functional, most adaptive or accessibility-oriented facilities were either inadequate or completely lacking.</w:t>
      </w:r>
    </w:p>
    <w:p w14:paraId="5F599FF2" w14:textId="77777777" w:rsidR="00BE4AF3" w:rsidRPr="003933A3" w:rsidRDefault="00BE4AF3" w:rsidP="003933A3">
      <w:pPr>
        <w:pStyle w:val="NormalWeb"/>
        <w:spacing w:before="0" w:beforeAutospacing="0" w:after="0" w:afterAutospacing="0"/>
        <w:jc w:val="both"/>
        <w:rPr>
          <w:color w:val="000000" w:themeColor="text1"/>
        </w:rPr>
      </w:pPr>
      <w:r w:rsidRPr="003933A3">
        <w:rPr>
          <w:color w:val="000000" w:themeColor="text1"/>
        </w:rPr>
        <w:t xml:space="preserve">Basic environmental supports such as </w:t>
      </w:r>
      <w:r w:rsidRPr="003933A3">
        <w:rPr>
          <w:rStyle w:val="Strong"/>
          <w:rFonts w:eastAsiaTheme="majorEastAsia"/>
          <w:b w:val="0"/>
          <w:bCs w:val="0"/>
          <w:color w:val="000000" w:themeColor="text1"/>
        </w:rPr>
        <w:t>ramps (mean = 2.8)</w:t>
      </w:r>
      <w:r w:rsidRPr="003933A3">
        <w:rPr>
          <w:color w:val="000000" w:themeColor="text1"/>
        </w:rPr>
        <w:t xml:space="preserve">, </w:t>
      </w:r>
      <w:r w:rsidRPr="003933A3">
        <w:rPr>
          <w:rStyle w:val="Strong"/>
          <w:rFonts w:eastAsiaTheme="majorEastAsia"/>
          <w:b w:val="0"/>
          <w:bCs w:val="0"/>
          <w:color w:val="000000" w:themeColor="text1"/>
        </w:rPr>
        <w:t>handrails (mean = 2.5)</w:t>
      </w:r>
      <w:r w:rsidRPr="003933A3">
        <w:rPr>
          <w:color w:val="000000" w:themeColor="text1"/>
        </w:rPr>
        <w:t xml:space="preserve">, and </w:t>
      </w:r>
      <w:r w:rsidRPr="003933A3">
        <w:rPr>
          <w:rStyle w:val="Strong"/>
          <w:rFonts w:eastAsiaTheme="majorEastAsia"/>
          <w:b w:val="0"/>
          <w:bCs w:val="0"/>
          <w:color w:val="000000" w:themeColor="text1"/>
        </w:rPr>
        <w:t>tactile flooring (mean = 2.0)</w:t>
      </w:r>
      <w:r w:rsidRPr="003933A3">
        <w:rPr>
          <w:color w:val="000000" w:themeColor="text1"/>
        </w:rPr>
        <w:t xml:space="preserve"> were rated below average, indicating their absence in a majority of residences. Likewise, assistive technologies such as </w:t>
      </w:r>
      <w:r w:rsidRPr="003933A3">
        <w:rPr>
          <w:rStyle w:val="Strong"/>
          <w:rFonts w:eastAsiaTheme="majorEastAsia"/>
          <w:b w:val="0"/>
          <w:bCs w:val="0"/>
          <w:color w:val="000000" w:themeColor="text1"/>
        </w:rPr>
        <w:t>voice-controlled devices, tactile switches, and motion-sensor lights</w:t>
      </w:r>
      <w:r w:rsidRPr="003933A3">
        <w:rPr>
          <w:color w:val="000000" w:themeColor="text1"/>
        </w:rPr>
        <w:t xml:space="preserve"> were found to be scarce. These findings align with Adeoye and Oyetola (2023), who reported that only a small proportion of Nigerian homes incorporate universal design features despite the existence of accessibility standards.</w:t>
      </w:r>
    </w:p>
    <w:p w14:paraId="0C59F4FD" w14:textId="77777777" w:rsidR="00BE4AF3" w:rsidRPr="003933A3" w:rsidRDefault="00BE4AF3" w:rsidP="003933A3">
      <w:pPr>
        <w:pStyle w:val="NormalWeb"/>
        <w:spacing w:before="0" w:beforeAutospacing="0" w:after="0" w:afterAutospacing="0"/>
        <w:jc w:val="both"/>
        <w:rPr>
          <w:color w:val="000000" w:themeColor="text1"/>
        </w:rPr>
      </w:pPr>
      <w:r w:rsidRPr="003933A3">
        <w:rPr>
          <w:color w:val="000000" w:themeColor="text1"/>
        </w:rPr>
        <w:t xml:space="preserve">The disparity between general utilities and disability-specific facilities demonstrates that residential environments are designed primarily for sighted users, leaving persons with visual impairment dependent on informal coping strategies or human assistance for navigation. Similar studies in developing contexts (Jafari </w:t>
      </w:r>
      <w:r w:rsidRPr="003933A3">
        <w:rPr>
          <w:i/>
          <w:iCs/>
          <w:color w:val="000000" w:themeColor="text1"/>
        </w:rPr>
        <w:t>et al.</w:t>
      </w:r>
      <w:r w:rsidRPr="003933A3">
        <w:rPr>
          <w:color w:val="000000" w:themeColor="text1"/>
        </w:rPr>
        <w:t>, 2022; Oladokun, Adeyemo and Fashina, 2024) have emphasized that inadequate tactile cues, non-slip floors, and unsafe circulation patterns heighten risks of falls and reduce autonomy among visually impaired occupants.</w:t>
      </w:r>
    </w:p>
    <w:p w14:paraId="72183ADD" w14:textId="77777777" w:rsidR="00BE4AF3" w:rsidRPr="003933A3" w:rsidRDefault="00BE4AF3" w:rsidP="003933A3">
      <w:pPr>
        <w:pStyle w:val="NormalWeb"/>
        <w:spacing w:before="0" w:beforeAutospacing="0" w:after="0" w:afterAutospacing="0"/>
        <w:jc w:val="both"/>
        <w:rPr>
          <w:color w:val="000000" w:themeColor="text1"/>
        </w:rPr>
      </w:pPr>
      <w:r w:rsidRPr="003933A3">
        <w:rPr>
          <w:color w:val="000000" w:themeColor="text1"/>
        </w:rPr>
        <w:t xml:space="preserve">Overall, the findings underscore that </w:t>
      </w:r>
      <w:r w:rsidRPr="003933A3">
        <w:rPr>
          <w:rStyle w:val="Strong"/>
          <w:rFonts w:eastAsiaTheme="majorEastAsia"/>
          <w:b w:val="0"/>
          <w:bCs w:val="0"/>
          <w:color w:val="000000" w:themeColor="text1"/>
        </w:rPr>
        <w:t>the quality of home facilities available to visually impaired persons is functionally basic but far from inclusive</w:t>
      </w:r>
      <w:r w:rsidRPr="003933A3">
        <w:rPr>
          <w:color w:val="000000" w:themeColor="text1"/>
        </w:rPr>
        <w:t>, revealing a significant policy and design gap that limits independence and comfort.</w:t>
      </w:r>
    </w:p>
    <w:p w14:paraId="26972FE4" w14:textId="77777777" w:rsidR="00BE4AF3" w:rsidRPr="003933A3" w:rsidRDefault="00BE4AF3" w:rsidP="003933A3">
      <w:pPr>
        <w:spacing w:after="0" w:line="240" w:lineRule="auto"/>
        <w:jc w:val="both"/>
        <w:rPr>
          <w:rFonts w:ascii="Times New Roman" w:hAnsi="Times New Roman" w:cs="Times New Roman"/>
          <w:color w:val="000000" w:themeColor="text1"/>
          <w:sz w:val="24"/>
          <w:szCs w:val="24"/>
        </w:rPr>
      </w:pPr>
    </w:p>
    <w:p w14:paraId="1114FE32" w14:textId="77777777" w:rsidR="00BE4AF3" w:rsidRDefault="00BE4AF3" w:rsidP="003933A3">
      <w:pPr>
        <w:spacing w:after="0" w:line="240" w:lineRule="auto"/>
        <w:rPr>
          <w:rFonts w:ascii="Times New Roman" w:hAnsi="Times New Roman" w:cs="Times New Roman"/>
          <w:color w:val="000000" w:themeColor="text1"/>
          <w:sz w:val="24"/>
          <w:szCs w:val="24"/>
        </w:rPr>
      </w:pPr>
    </w:p>
    <w:p w14:paraId="61ACEBA8" w14:textId="77777777" w:rsidR="00E74216" w:rsidRDefault="00E74216" w:rsidP="003933A3">
      <w:pPr>
        <w:spacing w:after="0" w:line="240" w:lineRule="auto"/>
        <w:rPr>
          <w:rFonts w:ascii="Times New Roman" w:hAnsi="Times New Roman" w:cs="Times New Roman"/>
          <w:color w:val="000000" w:themeColor="text1"/>
          <w:sz w:val="24"/>
          <w:szCs w:val="24"/>
        </w:rPr>
      </w:pPr>
    </w:p>
    <w:p w14:paraId="4D50E03C" w14:textId="77777777" w:rsidR="00E74216" w:rsidRDefault="00E74216" w:rsidP="003933A3">
      <w:pPr>
        <w:spacing w:after="0" w:line="240" w:lineRule="auto"/>
        <w:rPr>
          <w:rFonts w:ascii="Times New Roman" w:hAnsi="Times New Roman" w:cs="Times New Roman"/>
          <w:color w:val="000000" w:themeColor="text1"/>
          <w:sz w:val="24"/>
          <w:szCs w:val="24"/>
        </w:rPr>
      </w:pPr>
    </w:p>
    <w:p w14:paraId="38D0060B" w14:textId="77777777" w:rsidR="00E74216" w:rsidRDefault="00E74216" w:rsidP="003933A3">
      <w:pPr>
        <w:spacing w:after="0" w:line="240" w:lineRule="auto"/>
        <w:rPr>
          <w:rFonts w:ascii="Times New Roman" w:hAnsi="Times New Roman" w:cs="Times New Roman"/>
          <w:color w:val="000000" w:themeColor="text1"/>
          <w:sz w:val="24"/>
          <w:szCs w:val="24"/>
        </w:rPr>
      </w:pPr>
    </w:p>
    <w:p w14:paraId="408C36B9" w14:textId="77777777" w:rsidR="00E74216" w:rsidRDefault="00E74216" w:rsidP="003933A3">
      <w:pPr>
        <w:spacing w:after="0" w:line="240" w:lineRule="auto"/>
        <w:rPr>
          <w:rFonts w:ascii="Times New Roman" w:hAnsi="Times New Roman" w:cs="Times New Roman"/>
          <w:color w:val="000000" w:themeColor="text1"/>
          <w:sz w:val="24"/>
          <w:szCs w:val="24"/>
        </w:rPr>
      </w:pPr>
    </w:p>
    <w:p w14:paraId="7C1399B3" w14:textId="77777777" w:rsidR="00E74216" w:rsidRDefault="00E74216" w:rsidP="003933A3">
      <w:pPr>
        <w:spacing w:after="0" w:line="240" w:lineRule="auto"/>
        <w:rPr>
          <w:rFonts w:ascii="Times New Roman" w:hAnsi="Times New Roman" w:cs="Times New Roman"/>
          <w:color w:val="000000" w:themeColor="text1"/>
          <w:sz w:val="24"/>
          <w:szCs w:val="24"/>
        </w:rPr>
      </w:pPr>
    </w:p>
    <w:p w14:paraId="69E18C14" w14:textId="77777777" w:rsidR="00E74216" w:rsidRDefault="00E74216" w:rsidP="003933A3">
      <w:pPr>
        <w:spacing w:after="0" w:line="240" w:lineRule="auto"/>
        <w:rPr>
          <w:rFonts w:ascii="Times New Roman" w:hAnsi="Times New Roman" w:cs="Times New Roman"/>
          <w:color w:val="000000" w:themeColor="text1"/>
          <w:sz w:val="24"/>
          <w:szCs w:val="24"/>
        </w:rPr>
      </w:pPr>
    </w:p>
    <w:p w14:paraId="676F9C77" w14:textId="77777777" w:rsidR="00E74216" w:rsidRDefault="00E74216" w:rsidP="003933A3">
      <w:pPr>
        <w:spacing w:after="0" w:line="240" w:lineRule="auto"/>
        <w:rPr>
          <w:rFonts w:ascii="Times New Roman" w:hAnsi="Times New Roman" w:cs="Times New Roman"/>
          <w:color w:val="000000" w:themeColor="text1"/>
          <w:sz w:val="24"/>
          <w:szCs w:val="24"/>
        </w:rPr>
      </w:pPr>
    </w:p>
    <w:p w14:paraId="08384275" w14:textId="77777777" w:rsidR="00E74216" w:rsidRPr="003933A3" w:rsidRDefault="00E74216" w:rsidP="003933A3">
      <w:pPr>
        <w:spacing w:after="0" w:line="240" w:lineRule="auto"/>
        <w:rPr>
          <w:rFonts w:ascii="Times New Roman" w:hAnsi="Times New Roman" w:cs="Times New Roman"/>
          <w:color w:val="000000" w:themeColor="text1"/>
          <w:sz w:val="24"/>
          <w:szCs w:val="24"/>
        </w:rPr>
      </w:pPr>
    </w:p>
    <w:tbl>
      <w:tblPr>
        <w:tblpPr w:leftFromText="180" w:rightFromText="180" w:vertAnchor="text" w:horzAnchor="page" w:tblpXSpec="center" w:tblpY="351"/>
        <w:tblOverlap w:val="never"/>
        <w:tblW w:w="0" w:type="auto"/>
        <w:tblCellSpacing w:w="15" w:type="dxa"/>
        <w:tblCellMar>
          <w:top w:w="15" w:type="dxa"/>
          <w:left w:w="15" w:type="dxa"/>
          <w:bottom w:w="15" w:type="dxa"/>
          <w:right w:w="15" w:type="dxa"/>
        </w:tblCellMar>
        <w:tblLook w:val="04A0" w:firstRow="1" w:lastRow="0" w:firstColumn="1" w:lastColumn="0" w:noHBand="0" w:noVBand="1"/>
      </w:tblPr>
      <w:tblGrid>
        <w:gridCol w:w="387"/>
        <w:gridCol w:w="2950"/>
        <w:gridCol w:w="874"/>
        <w:gridCol w:w="1563"/>
        <w:gridCol w:w="2220"/>
      </w:tblGrid>
      <w:tr w:rsidR="003933A3" w:rsidRPr="00E74216" w14:paraId="15B163A3" w14:textId="77777777" w:rsidTr="00E74216">
        <w:trPr>
          <w:tblHeader/>
          <w:tblCellSpacing w:w="15" w:type="dxa"/>
        </w:trPr>
        <w:tc>
          <w:tcPr>
            <w:tcW w:w="311" w:type="dxa"/>
            <w:tcBorders>
              <w:top w:val="single" w:sz="18" w:space="0" w:color="auto"/>
              <w:bottom w:val="single" w:sz="4" w:space="0" w:color="auto"/>
            </w:tcBorders>
            <w:shd w:val="clear" w:color="auto" w:fill="auto"/>
            <w:vAlign w:val="center"/>
          </w:tcPr>
          <w:p w14:paraId="6D6878C3"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lastRenderedPageBreak/>
              <w:t>S/N</w:t>
            </w:r>
          </w:p>
        </w:tc>
        <w:tc>
          <w:tcPr>
            <w:tcW w:w="2920" w:type="dxa"/>
            <w:tcBorders>
              <w:top w:val="single" w:sz="18" w:space="0" w:color="auto"/>
              <w:bottom w:val="single" w:sz="4" w:space="0" w:color="auto"/>
            </w:tcBorders>
            <w:shd w:val="clear" w:color="auto" w:fill="auto"/>
            <w:vAlign w:val="center"/>
          </w:tcPr>
          <w:p w14:paraId="5BEDBE4F" w14:textId="77777777" w:rsidR="00BE4AF3" w:rsidRPr="00E74216" w:rsidRDefault="00BE4AF3" w:rsidP="003933A3">
            <w:pPr>
              <w:spacing w:after="0" w:line="240" w:lineRule="auto"/>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Home Facility</w:t>
            </w:r>
          </w:p>
        </w:tc>
        <w:tc>
          <w:tcPr>
            <w:tcW w:w="844" w:type="dxa"/>
            <w:tcBorders>
              <w:top w:val="single" w:sz="18" w:space="0" w:color="auto"/>
              <w:bottom w:val="single" w:sz="4" w:space="0" w:color="auto"/>
            </w:tcBorders>
            <w:shd w:val="clear" w:color="auto" w:fill="auto"/>
            <w:vAlign w:val="center"/>
          </w:tcPr>
          <w:p w14:paraId="4AAAC513"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Mean Score</w:t>
            </w:r>
          </w:p>
        </w:tc>
        <w:tc>
          <w:tcPr>
            <w:tcW w:w="1533" w:type="dxa"/>
            <w:tcBorders>
              <w:top w:val="single" w:sz="18" w:space="0" w:color="auto"/>
              <w:bottom w:val="single" w:sz="4" w:space="0" w:color="auto"/>
            </w:tcBorders>
            <w:shd w:val="clear" w:color="auto" w:fill="auto"/>
            <w:vAlign w:val="center"/>
          </w:tcPr>
          <w:p w14:paraId="145744B8"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SD</w:t>
            </w:r>
          </w:p>
        </w:tc>
        <w:tc>
          <w:tcPr>
            <w:tcW w:w="2175" w:type="dxa"/>
            <w:tcBorders>
              <w:top w:val="single" w:sz="18" w:space="0" w:color="auto"/>
              <w:bottom w:val="single" w:sz="4" w:space="0" w:color="auto"/>
            </w:tcBorders>
            <w:shd w:val="clear" w:color="auto" w:fill="auto"/>
            <w:vAlign w:val="center"/>
          </w:tcPr>
          <w:p w14:paraId="72F40003"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Availability</w:t>
            </w:r>
          </w:p>
        </w:tc>
      </w:tr>
      <w:tr w:rsidR="003933A3" w:rsidRPr="00E74216" w14:paraId="36A6E02D" w14:textId="77777777" w:rsidTr="00E74216">
        <w:trPr>
          <w:tblCellSpacing w:w="15" w:type="dxa"/>
        </w:trPr>
        <w:tc>
          <w:tcPr>
            <w:tcW w:w="311" w:type="dxa"/>
            <w:shd w:val="clear" w:color="auto" w:fill="auto"/>
            <w:vAlign w:val="center"/>
          </w:tcPr>
          <w:p w14:paraId="51481119"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w:t>
            </w:r>
          </w:p>
        </w:tc>
        <w:tc>
          <w:tcPr>
            <w:tcW w:w="2920" w:type="dxa"/>
            <w:shd w:val="clear" w:color="auto" w:fill="auto"/>
            <w:vAlign w:val="center"/>
          </w:tcPr>
          <w:p w14:paraId="54C4BE5A" w14:textId="77777777" w:rsidR="00BE4AF3" w:rsidRPr="00E74216" w:rsidRDefault="00BE4AF3" w:rsidP="003933A3">
            <w:pPr>
              <w:spacing w:after="0" w:line="240" w:lineRule="auto"/>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Electricity</w:t>
            </w:r>
          </w:p>
        </w:tc>
        <w:tc>
          <w:tcPr>
            <w:tcW w:w="844" w:type="dxa"/>
            <w:shd w:val="clear" w:color="auto" w:fill="auto"/>
            <w:vAlign w:val="center"/>
          </w:tcPr>
          <w:p w14:paraId="1AC76D79"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4.6</w:t>
            </w:r>
          </w:p>
        </w:tc>
        <w:tc>
          <w:tcPr>
            <w:tcW w:w="1533" w:type="dxa"/>
            <w:shd w:val="clear" w:color="auto" w:fill="auto"/>
            <w:vAlign w:val="center"/>
          </w:tcPr>
          <w:p w14:paraId="6FBF6836"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0.5</w:t>
            </w:r>
          </w:p>
        </w:tc>
        <w:tc>
          <w:tcPr>
            <w:tcW w:w="2175" w:type="dxa"/>
            <w:shd w:val="clear" w:color="auto" w:fill="auto"/>
            <w:vAlign w:val="center"/>
          </w:tcPr>
          <w:p w14:paraId="1D0DD4BC"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Highly available</w:t>
            </w:r>
          </w:p>
        </w:tc>
      </w:tr>
      <w:tr w:rsidR="003933A3" w:rsidRPr="00E74216" w14:paraId="252A1F2B" w14:textId="77777777" w:rsidTr="00E74216">
        <w:trPr>
          <w:tblCellSpacing w:w="15" w:type="dxa"/>
        </w:trPr>
        <w:tc>
          <w:tcPr>
            <w:tcW w:w="311" w:type="dxa"/>
            <w:shd w:val="clear" w:color="auto" w:fill="auto"/>
            <w:vAlign w:val="center"/>
          </w:tcPr>
          <w:p w14:paraId="3AF2FACF"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2</w:t>
            </w:r>
          </w:p>
        </w:tc>
        <w:tc>
          <w:tcPr>
            <w:tcW w:w="2920" w:type="dxa"/>
            <w:shd w:val="clear" w:color="auto" w:fill="auto"/>
            <w:vAlign w:val="center"/>
          </w:tcPr>
          <w:p w14:paraId="168CB696" w14:textId="77777777" w:rsidR="00BE4AF3" w:rsidRPr="00E74216" w:rsidRDefault="00BE4AF3" w:rsidP="003933A3">
            <w:pPr>
              <w:spacing w:after="0" w:line="240" w:lineRule="auto"/>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Ventilation</w:t>
            </w:r>
          </w:p>
        </w:tc>
        <w:tc>
          <w:tcPr>
            <w:tcW w:w="844" w:type="dxa"/>
            <w:shd w:val="clear" w:color="auto" w:fill="auto"/>
            <w:vAlign w:val="center"/>
          </w:tcPr>
          <w:p w14:paraId="2F4554BC"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4.4</w:t>
            </w:r>
          </w:p>
        </w:tc>
        <w:tc>
          <w:tcPr>
            <w:tcW w:w="1533" w:type="dxa"/>
            <w:shd w:val="clear" w:color="auto" w:fill="auto"/>
            <w:vAlign w:val="center"/>
          </w:tcPr>
          <w:p w14:paraId="11D08BA3"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0.6</w:t>
            </w:r>
          </w:p>
        </w:tc>
        <w:tc>
          <w:tcPr>
            <w:tcW w:w="2175" w:type="dxa"/>
            <w:shd w:val="clear" w:color="auto" w:fill="auto"/>
            <w:vAlign w:val="center"/>
          </w:tcPr>
          <w:p w14:paraId="0889AFCE"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Highly available</w:t>
            </w:r>
          </w:p>
        </w:tc>
      </w:tr>
      <w:tr w:rsidR="003933A3" w:rsidRPr="00E74216" w14:paraId="412F0043" w14:textId="77777777" w:rsidTr="00E74216">
        <w:trPr>
          <w:tblCellSpacing w:w="15" w:type="dxa"/>
        </w:trPr>
        <w:tc>
          <w:tcPr>
            <w:tcW w:w="311" w:type="dxa"/>
            <w:shd w:val="clear" w:color="auto" w:fill="auto"/>
            <w:vAlign w:val="center"/>
          </w:tcPr>
          <w:p w14:paraId="5BFA8A56"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3</w:t>
            </w:r>
          </w:p>
        </w:tc>
        <w:tc>
          <w:tcPr>
            <w:tcW w:w="2920" w:type="dxa"/>
            <w:shd w:val="clear" w:color="auto" w:fill="auto"/>
            <w:vAlign w:val="center"/>
          </w:tcPr>
          <w:p w14:paraId="3599FDA7" w14:textId="77777777" w:rsidR="00BE4AF3" w:rsidRPr="00E74216" w:rsidRDefault="00BE4AF3" w:rsidP="003933A3">
            <w:pPr>
              <w:spacing w:after="0" w:line="240" w:lineRule="auto"/>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Running water</w:t>
            </w:r>
          </w:p>
        </w:tc>
        <w:tc>
          <w:tcPr>
            <w:tcW w:w="844" w:type="dxa"/>
            <w:shd w:val="clear" w:color="auto" w:fill="auto"/>
            <w:vAlign w:val="center"/>
          </w:tcPr>
          <w:p w14:paraId="6FA4C589"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4.2</w:t>
            </w:r>
          </w:p>
        </w:tc>
        <w:tc>
          <w:tcPr>
            <w:tcW w:w="1533" w:type="dxa"/>
            <w:shd w:val="clear" w:color="auto" w:fill="auto"/>
            <w:vAlign w:val="center"/>
          </w:tcPr>
          <w:p w14:paraId="1F3AF8C1"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0.7</w:t>
            </w:r>
          </w:p>
        </w:tc>
        <w:tc>
          <w:tcPr>
            <w:tcW w:w="2175" w:type="dxa"/>
            <w:shd w:val="clear" w:color="auto" w:fill="auto"/>
            <w:vAlign w:val="center"/>
          </w:tcPr>
          <w:p w14:paraId="3465D1D1"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Highly available</w:t>
            </w:r>
          </w:p>
        </w:tc>
      </w:tr>
      <w:tr w:rsidR="003933A3" w:rsidRPr="00E74216" w14:paraId="23DE40E1" w14:textId="77777777" w:rsidTr="00E74216">
        <w:trPr>
          <w:tblCellSpacing w:w="15" w:type="dxa"/>
        </w:trPr>
        <w:tc>
          <w:tcPr>
            <w:tcW w:w="311" w:type="dxa"/>
            <w:shd w:val="clear" w:color="auto" w:fill="auto"/>
            <w:vAlign w:val="center"/>
          </w:tcPr>
          <w:p w14:paraId="4329F32A"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4</w:t>
            </w:r>
          </w:p>
        </w:tc>
        <w:tc>
          <w:tcPr>
            <w:tcW w:w="2920" w:type="dxa"/>
            <w:shd w:val="clear" w:color="auto" w:fill="auto"/>
            <w:vAlign w:val="center"/>
          </w:tcPr>
          <w:p w14:paraId="3B627085" w14:textId="77777777" w:rsidR="00BE4AF3" w:rsidRPr="00E74216" w:rsidRDefault="00BE4AF3" w:rsidP="003933A3">
            <w:pPr>
              <w:spacing w:after="0" w:line="240" w:lineRule="auto"/>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Audible doorbells</w:t>
            </w:r>
          </w:p>
        </w:tc>
        <w:tc>
          <w:tcPr>
            <w:tcW w:w="844" w:type="dxa"/>
            <w:shd w:val="clear" w:color="auto" w:fill="auto"/>
            <w:vAlign w:val="center"/>
          </w:tcPr>
          <w:p w14:paraId="4A836520"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4.3</w:t>
            </w:r>
          </w:p>
        </w:tc>
        <w:tc>
          <w:tcPr>
            <w:tcW w:w="1533" w:type="dxa"/>
            <w:shd w:val="clear" w:color="auto" w:fill="auto"/>
            <w:vAlign w:val="center"/>
          </w:tcPr>
          <w:p w14:paraId="2DCB490E"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0.6</w:t>
            </w:r>
          </w:p>
        </w:tc>
        <w:tc>
          <w:tcPr>
            <w:tcW w:w="2175" w:type="dxa"/>
            <w:shd w:val="clear" w:color="auto" w:fill="auto"/>
            <w:vAlign w:val="center"/>
          </w:tcPr>
          <w:p w14:paraId="6ABE5C0D"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Highly available</w:t>
            </w:r>
          </w:p>
        </w:tc>
      </w:tr>
      <w:tr w:rsidR="003933A3" w:rsidRPr="00E74216" w14:paraId="3B509F32" w14:textId="77777777" w:rsidTr="00E74216">
        <w:trPr>
          <w:tblCellSpacing w:w="15" w:type="dxa"/>
        </w:trPr>
        <w:tc>
          <w:tcPr>
            <w:tcW w:w="311" w:type="dxa"/>
            <w:shd w:val="clear" w:color="auto" w:fill="auto"/>
            <w:vAlign w:val="center"/>
          </w:tcPr>
          <w:p w14:paraId="206BCFA2"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5</w:t>
            </w:r>
          </w:p>
        </w:tc>
        <w:tc>
          <w:tcPr>
            <w:tcW w:w="2920" w:type="dxa"/>
            <w:shd w:val="clear" w:color="auto" w:fill="auto"/>
            <w:vAlign w:val="center"/>
          </w:tcPr>
          <w:p w14:paraId="63092FCC" w14:textId="77777777" w:rsidR="00BE4AF3" w:rsidRPr="00E74216" w:rsidRDefault="00BE4AF3" w:rsidP="003933A3">
            <w:pPr>
              <w:spacing w:after="0" w:line="240" w:lineRule="auto"/>
              <w:rPr>
                <w:rFonts w:ascii="Times New Roman" w:eastAsia="SimSu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Lighning</w:t>
            </w:r>
          </w:p>
        </w:tc>
        <w:tc>
          <w:tcPr>
            <w:tcW w:w="844" w:type="dxa"/>
            <w:shd w:val="clear" w:color="auto" w:fill="auto"/>
            <w:vAlign w:val="center"/>
          </w:tcPr>
          <w:p w14:paraId="727B9CEB" w14:textId="77777777" w:rsidR="00BE4AF3" w:rsidRPr="00E74216" w:rsidRDefault="00BE4AF3" w:rsidP="003933A3">
            <w:pPr>
              <w:spacing w:after="0" w:line="240" w:lineRule="auto"/>
              <w:jc w:val="center"/>
              <w:rPr>
                <w:rFonts w:ascii="Times New Roman" w:eastAsia="SimSu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4.3</w:t>
            </w:r>
          </w:p>
        </w:tc>
        <w:tc>
          <w:tcPr>
            <w:tcW w:w="1533" w:type="dxa"/>
            <w:shd w:val="clear" w:color="auto" w:fill="auto"/>
            <w:vAlign w:val="center"/>
          </w:tcPr>
          <w:p w14:paraId="0B3FCE39" w14:textId="77777777" w:rsidR="00BE4AF3" w:rsidRPr="00E74216" w:rsidRDefault="00BE4AF3" w:rsidP="003933A3">
            <w:pPr>
              <w:spacing w:after="0" w:line="240" w:lineRule="auto"/>
              <w:jc w:val="center"/>
              <w:rPr>
                <w:rFonts w:ascii="Times New Roman" w:eastAsia="SimSu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0.6</w:t>
            </w:r>
          </w:p>
        </w:tc>
        <w:tc>
          <w:tcPr>
            <w:tcW w:w="2175" w:type="dxa"/>
            <w:shd w:val="clear" w:color="auto" w:fill="auto"/>
            <w:vAlign w:val="center"/>
          </w:tcPr>
          <w:p w14:paraId="29D71515" w14:textId="77777777" w:rsidR="00BE4AF3" w:rsidRPr="00E74216" w:rsidRDefault="00BE4AF3" w:rsidP="003933A3">
            <w:pPr>
              <w:spacing w:after="0" w:line="240" w:lineRule="auto"/>
              <w:jc w:val="center"/>
              <w:rPr>
                <w:rFonts w:ascii="Times New Roman" w:eastAsia="SimSu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Highly available</w:t>
            </w:r>
          </w:p>
        </w:tc>
      </w:tr>
      <w:tr w:rsidR="003933A3" w:rsidRPr="00E74216" w14:paraId="4B0B7157" w14:textId="77777777" w:rsidTr="00E74216">
        <w:trPr>
          <w:tblCellSpacing w:w="15" w:type="dxa"/>
        </w:trPr>
        <w:tc>
          <w:tcPr>
            <w:tcW w:w="311" w:type="dxa"/>
            <w:shd w:val="clear" w:color="auto" w:fill="auto"/>
            <w:vAlign w:val="center"/>
          </w:tcPr>
          <w:p w14:paraId="1EF80F77"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6</w:t>
            </w:r>
          </w:p>
        </w:tc>
        <w:tc>
          <w:tcPr>
            <w:tcW w:w="2920" w:type="dxa"/>
            <w:shd w:val="clear" w:color="auto" w:fill="auto"/>
            <w:vAlign w:val="center"/>
          </w:tcPr>
          <w:p w14:paraId="2D761AF4" w14:textId="77777777" w:rsidR="00BE4AF3" w:rsidRPr="00E74216" w:rsidRDefault="00BE4AF3" w:rsidP="003933A3">
            <w:pPr>
              <w:spacing w:after="0" w:line="240" w:lineRule="auto"/>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Accessible bathroom</w:t>
            </w:r>
          </w:p>
        </w:tc>
        <w:tc>
          <w:tcPr>
            <w:tcW w:w="844" w:type="dxa"/>
            <w:shd w:val="clear" w:color="auto" w:fill="auto"/>
            <w:vAlign w:val="center"/>
          </w:tcPr>
          <w:p w14:paraId="26F4CA80"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3.3</w:t>
            </w:r>
          </w:p>
        </w:tc>
        <w:tc>
          <w:tcPr>
            <w:tcW w:w="1533" w:type="dxa"/>
            <w:shd w:val="clear" w:color="auto" w:fill="auto"/>
            <w:vAlign w:val="center"/>
          </w:tcPr>
          <w:p w14:paraId="18094B65"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0.8</w:t>
            </w:r>
          </w:p>
        </w:tc>
        <w:tc>
          <w:tcPr>
            <w:tcW w:w="2175" w:type="dxa"/>
            <w:shd w:val="clear" w:color="auto" w:fill="auto"/>
            <w:vAlign w:val="center"/>
          </w:tcPr>
          <w:p w14:paraId="379E32B1"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Available</w:t>
            </w:r>
          </w:p>
        </w:tc>
      </w:tr>
      <w:tr w:rsidR="003933A3" w:rsidRPr="00E74216" w14:paraId="1F56BC87" w14:textId="77777777" w:rsidTr="00E74216">
        <w:trPr>
          <w:tblCellSpacing w:w="15" w:type="dxa"/>
        </w:trPr>
        <w:tc>
          <w:tcPr>
            <w:tcW w:w="311" w:type="dxa"/>
            <w:shd w:val="clear" w:color="auto" w:fill="auto"/>
            <w:vAlign w:val="center"/>
          </w:tcPr>
          <w:p w14:paraId="1107E38F"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7</w:t>
            </w:r>
          </w:p>
        </w:tc>
        <w:tc>
          <w:tcPr>
            <w:tcW w:w="2920" w:type="dxa"/>
            <w:shd w:val="clear" w:color="auto" w:fill="auto"/>
            <w:vAlign w:val="center"/>
          </w:tcPr>
          <w:p w14:paraId="76B1AD54" w14:textId="77777777" w:rsidR="00BE4AF3" w:rsidRPr="00E74216" w:rsidRDefault="00BE4AF3" w:rsidP="003933A3">
            <w:pPr>
              <w:spacing w:after="0" w:line="240" w:lineRule="auto"/>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Non-slip floors</w:t>
            </w:r>
          </w:p>
        </w:tc>
        <w:tc>
          <w:tcPr>
            <w:tcW w:w="844" w:type="dxa"/>
            <w:shd w:val="clear" w:color="auto" w:fill="auto"/>
            <w:vAlign w:val="center"/>
          </w:tcPr>
          <w:p w14:paraId="19535B31"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3.1</w:t>
            </w:r>
          </w:p>
        </w:tc>
        <w:tc>
          <w:tcPr>
            <w:tcW w:w="1533" w:type="dxa"/>
            <w:shd w:val="clear" w:color="auto" w:fill="auto"/>
            <w:vAlign w:val="center"/>
          </w:tcPr>
          <w:p w14:paraId="2DDE1B07"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0.9</w:t>
            </w:r>
          </w:p>
        </w:tc>
        <w:tc>
          <w:tcPr>
            <w:tcW w:w="2175" w:type="dxa"/>
            <w:shd w:val="clear" w:color="auto" w:fill="auto"/>
            <w:vAlign w:val="center"/>
          </w:tcPr>
          <w:p w14:paraId="3CBFA62C"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Available</w:t>
            </w:r>
          </w:p>
        </w:tc>
      </w:tr>
      <w:tr w:rsidR="003933A3" w:rsidRPr="00E74216" w14:paraId="5C352D0E" w14:textId="77777777" w:rsidTr="00E74216">
        <w:trPr>
          <w:tblCellSpacing w:w="15" w:type="dxa"/>
        </w:trPr>
        <w:tc>
          <w:tcPr>
            <w:tcW w:w="311" w:type="dxa"/>
            <w:shd w:val="clear" w:color="auto" w:fill="auto"/>
            <w:vAlign w:val="center"/>
          </w:tcPr>
          <w:p w14:paraId="5D8B5903"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8</w:t>
            </w:r>
          </w:p>
        </w:tc>
        <w:tc>
          <w:tcPr>
            <w:tcW w:w="2920" w:type="dxa"/>
            <w:shd w:val="clear" w:color="auto" w:fill="auto"/>
            <w:vAlign w:val="center"/>
          </w:tcPr>
          <w:p w14:paraId="45E2BD5A" w14:textId="77777777" w:rsidR="00BE4AF3" w:rsidRPr="00E74216" w:rsidRDefault="00BE4AF3" w:rsidP="003933A3">
            <w:pPr>
              <w:spacing w:after="0" w:line="240" w:lineRule="auto"/>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Accessible kitchen</w:t>
            </w:r>
          </w:p>
        </w:tc>
        <w:tc>
          <w:tcPr>
            <w:tcW w:w="844" w:type="dxa"/>
            <w:shd w:val="clear" w:color="auto" w:fill="auto"/>
            <w:vAlign w:val="center"/>
          </w:tcPr>
          <w:p w14:paraId="268709CD"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3.0</w:t>
            </w:r>
          </w:p>
        </w:tc>
        <w:tc>
          <w:tcPr>
            <w:tcW w:w="1533" w:type="dxa"/>
            <w:shd w:val="clear" w:color="auto" w:fill="auto"/>
            <w:vAlign w:val="center"/>
          </w:tcPr>
          <w:p w14:paraId="258FCABA"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1.0</w:t>
            </w:r>
          </w:p>
        </w:tc>
        <w:tc>
          <w:tcPr>
            <w:tcW w:w="2175" w:type="dxa"/>
            <w:shd w:val="clear" w:color="auto" w:fill="auto"/>
            <w:vAlign w:val="center"/>
          </w:tcPr>
          <w:p w14:paraId="1860FF77"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Available</w:t>
            </w:r>
          </w:p>
        </w:tc>
      </w:tr>
      <w:tr w:rsidR="003933A3" w:rsidRPr="00E74216" w14:paraId="7C57EFA4" w14:textId="77777777" w:rsidTr="00E74216">
        <w:trPr>
          <w:tblCellSpacing w:w="15" w:type="dxa"/>
        </w:trPr>
        <w:tc>
          <w:tcPr>
            <w:tcW w:w="311" w:type="dxa"/>
            <w:shd w:val="clear" w:color="auto" w:fill="auto"/>
            <w:vAlign w:val="center"/>
          </w:tcPr>
          <w:p w14:paraId="7F0E4E18"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9</w:t>
            </w:r>
          </w:p>
        </w:tc>
        <w:tc>
          <w:tcPr>
            <w:tcW w:w="2920" w:type="dxa"/>
            <w:shd w:val="clear" w:color="auto" w:fill="auto"/>
            <w:vAlign w:val="center"/>
          </w:tcPr>
          <w:p w14:paraId="62D6F104" w14:textId="77777777" w:rsidR="00BE4AF3" w:rsidRPr="00E74216" w:rsidRDefault="00BE4AF3" w:rsidP="003933A3">
            <w:pPr>
              <w:spacing w:after="0" w:line="240" w:lineRule="auto"/>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Screen readers</w:t>
            </w:r>
          </w:p>
        </w:tc>
        <w:tc>
          <w:tcPr>
            <w:tcW w:w="844" w:type="dxa"/>
            <w:shd w:val="clear" w:color="auto" w:fill="auto"/>
            <w:vAlign w:val="center"/>
          </w:tcPr>
          <w:p w14:paraId="6AE921DC"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3.0</w:t>
            </w:r>
          </w:p>
        </w:tc>
        <w:tc>
          <w:tcPr>
            <w:tcW w:w="1533" w:type="dxa"/>
            <w:shd w:val="clear" w:color="auto" w:fill="auto"/>
            <w:vAlign w:val="center"/>
          </w:tcPr>
          <w:p w14:paraId="0CC4D4FC"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1.1</w:t>
            </w:r>
          </w:p>
        </w:tc>
        <w:tc>
          <w:tcPr>
            <w:tcW w:w="2175" w:type="dxa"/>
            <w:shd w:val="clear" w:color="auto" w:fill="auto"/>
            <w:vAlign w:val="center"/>
          </w:tcPr>
          <w:p w14:paraId="762B75ED"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Available</w:t>
            </w:r>
          </w:p>
        </w:tc>
      </w:tr>
      <w:tr w:rsidR="003933A3" w:rsidRPr="00E74216" w14:paraId="73486116" w14:textId="77777777" w:rsidTr="00E74216">
        <w:trPr>
          <w:tblCellSpacing w:w="15" w:type="dxa"/>
        </w:trPr>
        <w:tc>
          <w:tcPr>
            <w:tcW w:w="311" w:type="dxa"/>
            <w:shd w:val="clear" w:color="auto" w:fill="auto"/>
            <w:vAlign w:val="center"/>
          </w:tcPr>
          <w:p w14:paraId="5491722B"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10</w:t>
            </w:r>
          </w:p>
        </w:tc>
        <w:tc>
          <w:tcPr>
            <w:tcW w:w="2920" w:type="dxa"/>
            <w:shd w:val="clear" w:color="auto" w:fill="auto"/>
            <w:vAlign w:val="center"/>
          </w:tcPr>
          <w:p w14:paraId="6AD5C4BE" w14:textId="77777777" w:rsidR="00BE4AF3" w:rsidRPr="00E74216" w:rsidRDefault="00BE4AF3" w:rsidP="003933A3">
            <w:pPr>
              <w:spacing w:after="0" w:line="240" w:lineRule="auto"/>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Grab bars</w:t>
            </w:r>
          </w:p>
        </w:tc>
        <w:tc>
          <w:tcPr>
            <w:tcW w:w="844" w:type="dxa"/>
            <w:shd w:val="clear" w:color="auto" w:fill="auto"/>
            <w:vAlign w:val="center"/>
          </w:tcPr>
          <w:p w14:paraId="25E9A729"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3.0</w:t>
            </w:r>
          </w:p>
        </w:tc>
        <w:tc>
          <w:tcPr>
            <w:tcW w:w="1533" w:type="dxa"/>
            <w:shd w:val="clear" w:color="auto" w:fill="auto"/>
            <w:vAlign w:val="center"/>
          </w:tcPr>
          <w:p w14:paraId="0FBE865F"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1.0</w:t>
            </w:r>
          </w:p>
        </w:tc>
        <w:tc>
          <w:tcPr>
            <w:tcW w:w="2175" w:type="dxa"/>
            <w:shd w:val="clear" w:color="auto" w:fill="auto"/>
            <w:vAlign w:val="center"/>
          </w:tcPr>
          <w:p w14:paraId="1B35A003"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Available</w:t>
            </w:r>
          </w:p>
        </w:tc>
      </w:tr>
      <w:tr w:rsidR="003933A3" w:rsidRPr="00E74216" w14:paraId="0F3E7316" w14:textId="77777777" w:rsidTr="00E74216">
        <w:trPr>
          <w:trHeight w:val="458"/>
          <w:tblCellSpacing w:w="15" w:type="dxa"/>
        </w:trPr>
        <w:tc>
          <w:tcPr>
            <w:tcW w:w="311" w:type="dxa"/>
            <w:shd w:val="clear" w:color="auto" w:fill="auto"/>
            <w:vAlign w:val="center"/>
          </w:tcPr>
          <w:p w14:paraId="3AC18C91"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11</w:t>
            </w:r>
          </w:p>
        </w:tc>
        <w:tc>
          <w:tcPr>
            <w:tcW w:w="2920" w:type="dxa"/>
            <w:shd w:val="clear" w:color="auto" w:fill="auto"/>
            <w:vAlign w:val="center"/>
          </w:tcPr>
          <w:p w14:paraId="2E3A6F05"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Easy-to-reach cabinets</w:t>
            </w:r>
          </w:p>
        </w:tc>
        <w:tc>
          <w:tcPr>
            <w:tcW w:w="844" w:type="dxa"/>
            <w:shd w:val="clear" w:color="auto" w:fill="auto"/>
            <w:vAlign w:val="center"/>
          </w:tcPr>
          <w:p w14:paraId="12C1CC37"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2.9</w:t>
            </w:r>
          </w:p>
        </w:tc>
        <w:tc>
          <w:tcPr>
            <w:tcW w:w="1533" w:type="dxa"/>
            <w:shd w:val="clear" w:color="auto" w:fill="auto"/>
            <w:vAlign w:val="center"/>
          </w:tcPr>
          <w:p w14:paraId="2FC412B4"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1.2</w:t>
            </w:r>
          </w:p>
        </w:tc>
        <w:tc>
          <w:tcPr>
            <w:tcW w:w="2175" w:type="dxa"/>
            <w:shd w:val="clear" w:color="auto" w:fill="auto"/>
            <w:vAlign w:val="center"/>
          </w:tcPr>
          <w:p w14:paraId="100E4A20"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Indifferent</w:t>
            </w:r>
          </w:p>
        </w:tc>
      </w:tr>
      <w:tr w:rsidR="003933A3" w:rsidRPr="00E74216" w14:paraId="65C5C8DB" w14:textId="77777777" w:rsidTr="00E74216">
        <w:trPr>
          <w:tblCellSpacing w:w="15" w:type="dxa"/>
        </w:trPr>
        <w:tc>
          <w:tcPr>
            <w:tcW w:w="311" w:type="dxa"/>
            <w:shd w:val="clear" w:color="auto" w:fill="auto"/>
            <w:vAlign w:val="center"/>
          </w:tcPr>
          <w:p w14:paraId="69D1D514"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12</w:t>
            </w:r>
          </w:p>
        </w:tc>
        <w:tc>
          <w:tcPr>
            <w:tcW w:w="2920" w:type="dxa"/>
            <w:shd w:val="clear" w:color="auto" w:fill="auto"/>
            <w:vAlign w:val="center"/>
          </w:tcPr>
          <w:p w14:paraId="31E8420C"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Magnifiers</w:t>
            </w:r>
          </w:p>
        </w:tc>
        <w:tc>
          <w:tcPr>
            <w:tcW w:w="844" w:type="dxa"/>
            <w:shd w:val="clear" w:color="auto" w:fill="auto"/>
            <w:vAlign w:val="center"/>
          </w:tcPr>
          <w:p w14:paraId="363AA1C6"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2.7</w:t>
            </w:r>
          </w:p>
        </w:tc>
        <w:tc>
          <w:tcPr>
            <w:tcW w:w="1533" w:type="dxa"/>
            <w:shd w:val="clear" w:color="auto" w:fill="auto"/>
            <w:vAlign w:val="center"/>
          </w:tcPr>
          <w:p w14:paraId="025CF37D"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1.1</w:t>
            </w:r>
          </w:p>
        </w:tc>
        <w:tc>
          <w:tcPr>
            <w:tcW w:w="2175" w:type="dxa"/>
            <w:shd w:val="clear" w:color="auto" w:fill="auto"/>
            <w:vAlign w:val="center"/>
          </w:tcPr>
          <w:p w14:paraId="42F5AB9F"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Not available</w:t>
            </w:r>
          </w:p>
        </w:tc>
      </w:tr>
      <w:tr w:rsidR="003933A3" w:rsidRPr="00E74216" w14:paraId="2590783F" w14:textId="77777777" w:rsidTr="00E74216">
        <w:trPr>
          <w:tblCellSpacing w:w="15" w:type="dxa"/>
        </w:trPr>
        <w:tc>
          <w:tcPr>
            <w:tcW w:w="311" w:type="dxa"/>
            <w:shd w:val="clear" w:color="auto" w:fill="auto"/>
            <w:vAlign w:val="center"/>
          </w:tcPr>
          <w:p w14:paraId="6FB75F15"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13</w:t>
            </w:r>
          </w:p>
        </w:tc>
        <w:tc>
          <w:tcPr>
            <w:tcW w:w="2920" w:type="dxa"/>
            <w:shd w:val="clear" w:color="auto" w:fill="auto"/>
            <w:vAlign w:val="center"/>
          </w:tcPr>
          <w:p w14:paraId="68C7AD8D"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Internet access</w:t>
            </w:r>
          </w:p>
        </w:tc>
        <w:tc>
          <w:tcPr>
            <w:tcW w:w="844" w:type="dxa"/>
            <w:shd w:val="clear" w:color="auto" w:fill="auto"/>
            <w:vAlign w:val="center"/>
          </w:tcPr>
          <w:p w14:paraId="4F59DD0D"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2.7</w:t>
            </w:r>
          </w:p>
        </w:tc>
        <w:tc>
          <w:tcPr>
            <w:tcW w:w="1533" w:type="dxa"/>
            <w:shd w:val="clear" w:color="auto" w:fill="auto"/>
            <w:vAlign w:val="center"/>
          </w:tcPr>
          <w:p w14:paraId="45822BF7"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1.2</w:t>
            </w:r>
          </w:p>
        </w:tc>
        <w:tc>
          <w:tcPr>
            <w:tcW w:w="2175" w:type="dxa"/>
            <w:shd w:val="clear" w:color="auto" w:fill="auto"/>
            <w:vAlign w:val="center"/>
          </w:tcPr>
          <w:p w14:paraId="2DDD8051"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Not available</w:t>
            </w:r>
          </w:p>
        </w:tc>
      </w:tr>
      <w:tr w:rsidR="003933A3" w:rsidRPr="00E74216" w14:paraId="38E2A36E" w14:textId="77777777" w:rsidTr="00E74216">
        <w:trPr>
          <w:tblCellSpacing w:w="15" w:type="dxa"/>
        </w:trPr>
        <w:tc>
          <w:tcPr>
            <w:tcW w:w="311" w:type="dxa"/>
            <w:shd w:val="clear" w:color="auto" w:fill="auto"/>
            <w:vAlign w:val="center"/>
          </w:tcPr>
          <w:p w14:paraId="3261D40A"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14</w:t>
            </w:r>
          </w:p>
        </w:tc>
        <w:tc>
          <w:tcPr>
            <w:tcW w:w="2920" w:type="dxa"/>
            <w:shd w:val="clear" w:color="auto" w:fill="auto"/>
            <w:vAlign w:val="center"/>
          </w:tcPr>
          <w:p w14:paraId="6E106496"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Tactile markers on switches/appliances</w:t>
            </w:r>
          </w:p>
        </w:tc>
        <w:tc>
          <w:tcPr>
            <w:tcW w:w="844" w:type="dxa"/>
            <w:shd w:val="clear" w:color="auto" w:fill="auto"/>
            <w:vAlign w:val="center"/>
          </w:tcPr>
          <w:p w14:paraId="05EFD059"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3.8</w:t>
            </w:r>
          </w:p>
        </w:tc>
        <w:tc>
          <w:tcPr>
            <w:tcW w:w="1533" w:type="dxa"/>
            <w:shd w:val="clear" w:color="auto" w:fill="auto"/>
            <w:vAlign w:val="center"/>
          </w:tcPr>
          <w:p w14:paraId="5C189190"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0.7</w:t>
            </w:r>
          </w:p>
        </w:tc>
        <w:tc>
          <w:tcPr>
            <w:tcW w:w="2175" w:type="dxa"/>
            <w:shd w:val="clear" w:color="auto" w:fill="auto"/>
            <w:vAlign w:val="center"/>
          </w:tcPr>
          <w:p w14:paraId="35953A19"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Available</w:t>
            </w:r>
          </w:p>
        </w:tc>
      </w:tr>
      <w:tr w:rsidR="003933A3" w:rsidRPr="00E74216" w14:paraId="2D5669D9" w14:textId="77777777" w:rsidTr="00E74216">
        <w:trPr>
          <w:tblCellSpacing w:w="15" w:type="dxa"/>
        </w:trPr>
        <w:tc>
          <w:tcPr>
            <w:tcW w:w="311" w:type="dxa"/>
            <w:shd w:val="clear" w:color="auto" w:fill="auto"/>
            <w:vAlign w:val="center"/>
          </w:tcPr>
          <w:p w14:paraId="69A47E56"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15</w:t>
            </w:r>
          </w:p>
        </w:tc>
        <w:tc>
          <w:tcPr>
            <w:tcW w:w="2920" w:type="dxa"/>
            <w:shd w:val="clear" w:color="auto" w:fill="auto"/>
            <w:vAlign w:val="center"/>
          </w:tcPr>
          <w:p w14:paraId="668F9F1A"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Hand rails</w:t>
            </w:r>
          </w:p>
        </w:tc>
        <w:tc>
          <w:tcPr>
            <w:tcW w:w="844" w:type="dxa"/>
            <w:shd w:val="clear" w:color="auto" w:fill="auto"/>
            <w:vAlign w:val="center"/>
          </w:tcPr>
          <w:p w14:paraId="2ED79DEF"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2.5</w:t>
            </w:r>
          </w:p>
        </w:tc>
        <w:tc>
          <w:tcPr>
            <w:tcW w:w="1533" w:type="dxa"/>
            <w:shd w:val="clear" w:color="auto" w:fill="auto"/>
            <w:vAlign w:val="center"/>
          </w:tcPr>
          <w:p w14:paraId="20D2AC79"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1.1</w:t>
            </w:r>
          </w:p>
        </w:tc>
        <w:tc>
          <w:tcPr>
            <w:tcW w:w="2175" w:type="dxa"/>
            <w:shd w:val="clear" w:color="auto" w:fill="auto"/>
            <w:vAlign w:val="center"/>
          </w:tcPr>
          <w:p w14:paraId="4D2F5ED8"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Not available</w:t>
            </w:r>
          </w:p>
        </w:tc>
      </w:tr>
      <w:tr w:rsidR="003933A3" w:rsidRPr="00E74216" w14:paraId="1FF5D988" w14:textId="77777777" w:rsidTr="00E74216">
        <w:trPr>
          <w:tblCellSpacing w:w="15" w:type="dxa"/>
        </w:trPr>
        <w:tc>
          <w:tcPr>
            <w:tcW w:w="311" w:type="dxa"/>
            <w:shd w:val="clear" w:color="auto" w:fill="auto"/>
            <w:vAlign w:val="center"/>
          </w:tcPr>
          <w:p w14:paraId="67277A74"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16</w:t>
            </w:r>
          </w:p>
        </w:tc>
        <w:tc>
          <w:tcPr>
            <w:tcW w:w="2920" w:type="dxa"/>
            <w:shd w:val="clear" w:color="auto" w:fill="auto"/>
            <w:vAlign w:val="center"/>
          </w:tcPr>
          <w:p w14:paraId="70919F10"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Ramps</w:t>
            </w:r>
          </w:p>
        </w:tc>
        <w:tc>
          <w:tcPr>
            <w:tcW w:w="844" w:type="dxa"/>
            <w:shd w:val="clear" w:color="auto" w:fill="auto"/>
            <w:vAlign w:val="center"/>
          </w:tcPr>
          <w:p w14:paraId="1D900A5F"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2.8</w:t>
            </w:r>
          </w:p>
        </w:tc>
        <w:tc>
          <w:tcPr>
            <w:tcW w:w="1533" w:type="dxa"/>
            <w:shd w:val="clear" w:color="auto" w:fill="auto"/>
            <w:vAlign w:val="center"/>
          </w:tcPr>
          <w:p w14:paraId="39EAA52B"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1.0</w:t>
            </w:r>
          </w:p>
        </w:tc>
        <w:tc>
          <w:tcPr>
            <w:tcW w:w="2175" w:type="dxa"/>
            <w:shd w:val="clear" w:color="auto" w:fill="auto"/>
            <w:vAlign w:val="center"/>
          </w:tcPr>
          <w:p w14:paraId="79CF4779"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Not available</w:t>
            </w:r>
          </w:p>
        </w:tc>
      </w:tr>
      <w:tr w:rsidR="003933A3" w:rsidRPr="00E74216" w14:paraId="4EFF1BC3" w14:textId="77777777" w:rsidTr="00E74216">
        <w:trPr>
          <w:tblCellSpacing w:w="15" w:type="dxa"/>
        </w:trPr>
        <w:tc>
          <w:tcPr>
            <w:tcW w:w="311" w:type="dxa"/>
            <w:shd w:val="clear" w:color="auto" w:fill="auto"/>
            <w:vAlign w:val="center"/>
          </w:tcPr>
          <w:p w14:paraId="35A6F187"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17</w:t>
            </w:r>
          </w:p>
        </w:tc>
        <w:tc>
          <w:tcPr>
            <w:tcW w:w="2920" w:type="dxa"/>
            <w:shd w:val="clear" w:color="auto" w:fill="auto"/>
            <w:vAlign w:val="center"/>
          </w:tcPr>
          <w:p w14:paraId="608C8795"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Height-adjustable sinks</w:t>
            </w:r>
          </w:p>
        </w:tc>
        <w:tc>
          <w:tcPr>
            <w:tcW w:w="844" w:type="dxa"/>
            <w:shd w:val="clear" w:color="auto" w:fill="auto"/>
            <w:vAlign w:val="center"/>
          </w:tcPr>
          <w:p w14:paraId="0A3A3A2C"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2.6</w:t>
            </w:r>
          </w:p>
        </w:tc>
        <w:tc>
          <w:tcPr>
            <w:tcW w:w="1533" w:type="dxa"/>
            <w:shd w:val="clear" w:color="auto" w:fill="auto"/>
            <w:vAlign w:val="center"/>
          </w:tcPr>
          <w:p w14:paraId="76D651B1"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1.2</w:t>
            </w:r>
          </w:p>
        </w:tc>
        <w:tc>
          <w:tcPr>
            <w:tcW w:w="2175" w:type="dxa"/>
            <w:shd w:val="clear" w:color="auto" w:fill="auto"/>
            <w:vAlign w:val="center"/>
          </w:tcPr>
          <w:p w14:paraId="1708FDD9"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Not available</w:t>
            </w:r>
          </w:p>
        </w:tc>
      </w:tr>
      <w:tr w:rsidR="003933A3" w:rsidRPr="00E74216" w14:paraId="5BD8ED87" w14:textId="77777777" w:rsidTr="00E74216">
        <w:trPr>
          <w:tblCellSpacing w:w="15" w:type="dxa"/>
        </w:trPr>
        <w:tc>
          <w:tcPr>
            <w:tcW w:w="311" w:type="dxa"/>
            <w:shd w:val="clear" w:color="auto" w:fill="auto"/>
            <w:vAlign w:val="center"/>
          </w:tcPr>
          <w:p w14:paraId="2BD8EEF1"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18</w:t>
            </w:r>
          </w:p>
        </w:tc>
        <w:tc>
          <w:tcPr>
            <w:tcW w:w="2920" w:type="dxa"/>
            <w:shd w:val="clear" w:color="auto" w:fill="auto"/>
            <w:vAlign w:val="center"/>
          </w:tcPr>
          <w:p w14:paraId="3C536AFE"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Voice-controlled devices</w:t>
            </w:r>
          </w:p>
        </w:tc>
        <w:tc>
          <w:tcPr>
            <w:tcW w:w="844" w:type="dxa"/>
            <w:shd w:val="clear" w:color="auto" w:fill="auto"/>
            <w:vAlign w:val="center"/>
          </w:tcPr>
          <w:p w14:paraId="673C6B23"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2.4</w:t>
            </w:r>
          </w:p>
        </w:tc>
        <w:tc>
          <w:tcPr>
            <w:tcW w:w="1533" w:type="dxa"/>
            <w:shd w:val="clear" w:color="auto" w:fill="auto"/>
            <w:vAlign w:val="center"/>
          </w:tcPr>
          <w:p w14:paraId="13E707E4"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1.0</w:t>
            </w:r>
          </w:p>
        </w:tc>
        <w:tc>
          <w:tcPr>
            <w:tcW w:w="2175" w:type="dxa"/>
            <w:shd w:val="clear" w:color="auto" w:fill="auto"/>
            <w:vAlign w:val="center"/>
          </w:tcPr>
          <w:p w14:paraId="21267811"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Not available at all</w:t>
            </w:r>
          </w:p>
        </w:tc>
      </w:tr>
      <w:tr w:rsidR="003933A3" w:rsidRPr="00E74216" w14:paraId="54A5F4A8" w14:textId="77777777" w:rsidTr="00E74216">
        <w:trPr>
          <w:tblCellSpacing w:w="15" w:type="dxa"/>
        </w:trPr>
        <w:tc>
          <w:tcPr>
            <w:tcW w:w="311" w:type="dxa"/>
            <w:shd w:val="clear" w:color="auto" w:fill="auto"/>
            <w:vAlign w:val="center"/>
          </w:tcPr>
          <w:p w14:paraId="2C1D4D94"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19</w:t>
            </w:r>
          </w:p>
        </w:tc>
        <w:tc>
          <w:tcPr>
            <w:tcW w:w="2920" w:type="dxa"/>
            <w:shd w:val="clear" w:color="auto" w:fill="auto"/>
            <w:vAlign w:val="center"/>
          </w:tcPr>
          <w:p w14:paraId="7B35F211"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Tactile flooring</w:t>
            </w:r>
          </w:p>
        </w:tc>
        <w:tc>
          <w:tcPr>
            <w:tcW w:w="844" w:type="dxa"/>
            <w:shd w:val="clear" w:color="auto" w:fill="auto"/>
            <w:vAlign w:val="center"/>
          </w:tcPr>
          <w:p w14:paraId="5F946511"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2.0</w:t>
            </w:r>
          </w:p>
        </w:tc>
        <w:tc>
          <w:tcPr>
            <w:tcW w:w="1533" w:type="dxa"/>
            <w:shd w:val="clear" w:color="auto" w:fill="auto"/>
            <w:vAlign w:val="center"/>
          </w:tcPr>
          <w:p w14:paraId="5AF636C8"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1.0</w:t>
            </w:r>
          </w:p>
        </w:tc>
        <w:tc>
          <w:tcPr>
            <w:tcW w:w="2175" w:type="dxa"/>
            <w:shd w:val="clear" w:color="auto" w:fill="auto"/>
            <w:vAlign w:val="center"/>
          </w:tcPr>
          <w:p w14:paraId="32A08F4B"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Not available</w:t>
            </w:r>
          </w:p>
        </w:tc>
      </w:tr>
      <w:tr w:rsidR="003933A3" w:rsidRPr="00E74216" w14:paraId="1FC7886D" w14:textId="77777777" w:rsidTr="00E74216">
        <w:trPr>
          <w:tblCellSpacing w:w="15" w:type="dxa"/>
        </w:trPr>
        <w:tc>
          <w:tcPr>
            <w:tcW w:w="311" w:type="dxa"/>
            <w:shd w:val="clear" w:color="auto" w:fill="auto"/>
            <w:vAlign w:val="center"/>
          </w:tcPr>
          <w:p w14:paraId="7DA7A4A6"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20</w:t>
            </w:r>
          </w:p>
        </w:tc>
        <w:tc>
          <w:tcPr>
            <w:tcW w:w="2920" w:type="dxa"/>
            <w:shd w:val="clear" w:color="auto" w:fill="auto"/>
            <w:vAlign w:val="center"/>
          </w:tcPr>
          <w:p w14:paraId="2364696B"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Braille signage</w:t>
            </w:r>
          </w:p>
        </w:tc>
        <w:tc>
          <w:tcPr>
            <w:tcW w:w="844" w:type="dxa"/>
            <w:shd w:val="clear" w:color="auto" w:fill="auto"/>
            <w:vAlign w:val="center"/>
          </w:tcPr>
          <w:p w14:paraId="5E2D041D"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2.3</w:t>
            </w:r>
          </w:p>
        </w:tc>
        <w:tc>
          <w:tcPr>
            <w:tcW w:w="1533" w:type="dxa"/>
            <w:shd w:val="clear" w:color="auto" w:fill="auto"/>
            <w:vAlign w:val="center"/>
          </w:tcPr>
          <w:p w14:paraId="0003A900"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1.1</w:t>
            </w:r>
          </w:p>
        </w:tc>
        <w:tc>
          <w:tcPr>
            <w:tcW w:w="2175" w:type="dxa"/>
            <w:shd w:val="clear" w:color="auto" w:fill="auto"/>
            <w:vAlign w:val="center"/>
          </w:tcPr>
          <w:p w14:paraId="27771E06"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Not available</w:t>
            </w:r>
          </w:p>
        </w:tc>
      </w:tr>
      <w:tr w:rsidR="003933A3" w:rsidRPr="00E74216" w14:paraId="41DBFE47" w14:textId="77777777" w:rsidTr="00E74216">
        <w:trPr>
          <w:tblCellSpacing w:w="15" w:type="dxa"/>
        </w:trPr>
        <w:tc>
          <w:tcPr>
            <w:tcW w:w="311" w:type="dxa"/>
            <w:shd w:val="clear" w:color="auto" w:fill="auto"/>
            <w:vAlign w:val="center"/>
          </w:tcPr>
          <w:p w14:paraId="44C98065" w14:textId="77777777" w:rsidR="00BE4AF3" w:rsidRPr="00E74216" w:rsidRDefault="00BE4AF3" w:rsidP="003933A3">
            <w:pPr>
              <w:spacing w:after="0" w:line="240" w:lineRule="auto"/>
              <w:jc w:val="both"/>
              <w:rPr>
                <w:rFonts w:ascii="Times New Roman" w:eastAsia="SimSu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21</w:t>
            </w:r>
          </w:p>
        </w:tc>
        <w:tc>
          <w:tcPr>
            <w:tcW w:w="2920" w:type="dxa"/>
            <w:shd w:val="clear" w:color="auto" w:fill="auto"/>
            <w:vAlign w:val="center"/>
          </w:tcPr>
          <w:p w14:paraId="014F8D22"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Motion sensor lights</w:t>
            </w:r>
          </w:p>
        </w:tc>
        <w:tc>
          <w:tcPr>
            <w:tcW w:w="844" w:type="dxa"/>
            <w:shd w:val="clear" w:color="auto" w:fill="auto"/>
            <w:vAlign w:val="center"/>
          </w:tcPr>
          <w:p w14:paraId="63E5F278"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2.2</w:t>
            </w:r>
          </w:p>
        </w:tc>
        <w:tc>
          <w:tcPr>
            <w:tcW w:w="1533" w:type="dxa"/>
            <w:shd w:val="clear" w:color="auto" w:fill="auto"/>
            <w:vAlign w:val="center"/>
          </w:tcPr>
          <w:p w14:paraId="0793CA61"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1.1</w:t>
            </w:r>
          </w:p>
        </w:tc>
        <w:tc>
          <w:tcPr>
            <w:tcW w:w="2175" w:type="dxa"/>
            <w:shd w:val="clear" w:color="auto" w:fill="auto"/>
            <w:vAlign w:val="center"/>
          </w:tcPr>
          <w:p w14:paraId="4BC78F94"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Fonts w:ascii="Times New Roman" w:eastAsia="SimSun" w:hAnsi="Times New Roman" w:cs="Times New Roman"/>
                <w:color w:val="000000" w:themeColor="text1"/>
                <w:sz w:val="20"/>
                <w:szCs w:val="20"/>
              </w:rPr>
              <w:t>Not available</w:t>
            </w:r>
          </w:p>
        </w:tc>
      </w:tr>
      <w:tr w:rsidR="003933A3" w:rsidRPr="00E74216" w14:paraId="1B6C38F4" w14:textId="77777777" w:rsidTr="00E74216">
        <w:trPr>
          <w:tblCellSpacing w:w="15" w:type="dxa"/>
        </w:trPr>
        <w:tc>
          <w:tcPr>
            <w:tcW w:w="311" w:type="dxa"/>
            <w:tcBorders>
              <w:top w:val="single" w:sz="4" w:space="0" w:color="auto"/>
              <w:bottom w:val="single" w:sz="18" w:space="0" w:color="auto"/>
            </w:tcBorders>
            <w:shd w:val="clear" w:color="auto" w:fill="auto"/>
            <w:vAlign w:val="center"/>
          </w:tcPr>
          <w:p w14:paraId="2FB6B7A5"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p>
        </w:tc>
        <w:tc>
          <w:tcPr>
            <w:tcW w:w="2920" w:type="dxa"/>
            <w:tcBorders>
              <w:top w:val="single" w:sz="4" w:space="0" w:color="auto"/>
              <w:bottom w:val="single" w:sz="18" w:space="0" w:color="auto"/>
            </w:tcBorders>
            <w:shd w:val="clear" w:color="auto" w:fill="auto"/>
            <w:vAlign w:val="center"/>
          </w:tcPr>
          <w:p w14:paraId="0FB00438"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r w:rsidRPr="00E74216">
              <w:rPr>
                <w:rStyle w:val="Strong"/>
                <w:rFonts w:ascii="Times New Roman" w:eastAsia="SimSun" w:hAnsi="Times New Roman" w:cs="Times New Roman"/>
                <w:color w:val="000000" w:themeColor="text1"/>
                <w:sz w:val="20"/>
                <w:szCs w:val="20"/>
              </w:rPr>
              <w:t>Overall mean score</w:t>
            </w:r>
          </w:p>
        </w:tc>
        <w:tc>
          <w:tcPr>
            <w:tcW w:w="844" w:type="dxa"/>
            <w:tcBorders>
              <w:top w:val="single" w:sz="4" w:space="0" w:color="auto"/>
              <w:bottom w:val="single" w:sz="18" w:space="0" w:color="auto"/>
            </w:tcBorders>
            <w:shd w:val="clear" w:color="auto" w:fill="auto"/>
            <w:vAlign w:val="center"/>
          </w:tcPr>
          <w:p w14:paraId="6E9E928F" w14:textId="77777777" w:rsidR="00BE4AF3" w:rsidRPr="00E74216" w:rsidRDefault="00BE4AF3" w:rsidP="003933A3">
            <w:pPr>
              <w:spacing w:after="0" w:line="240" w:lineRule="auto"/>
              <w:jc w:val="center"/>
              <w:rPr>
                <w:rFonts w:ascii="Times New Roman" w:hAnsi="Times New Roman" w:cs="Times New Roman"/>
                <w:color w:val="000000" w:themeColor="text1"/>
                <w:sz w:val="20"/>
                <w:szCs w:val="20"/>
              </w:rPr>
            </w:pPr>
            <w:r w:rsidRPr="00E74216">
              <w:rPr>
                <w:rStyle w:val="Strong"/>
                <w:rFonts w:ascii="Times New Roman" w:eastAsia="SimSun" w:hAnsi="Times New Roman" w:cs="Times New Roman"/>
                <w:color w:val="000000" w:themeColor="text1"/>
                <w:sz w:val="20"/>
                <w:szCs w:val="20"/>
              </w:rPr>
              <w:t>3.0</w:t>
            </w:r>
          </w:p>
        </w:tc>
        <w:tc>
          <w:tcPr>
            <w:tcW w:w="1533" w:type="dxa"/>
            <w:tcBorders>
              <w:top w:val="single" w:sz="4" w:space="0" w:color="auto"/>
              <w:bottom w:val="single" w:sz="18" w:space="0" w:color="auto"/>
            </w:tcBorders>
            <w:shd w:val="clear" w:color="auto" w:fill="auto"/>
            <w:vAlign w:val="center"/>
          </w:tcPr>
          <w:p w14:paraId="54697D52"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p>
        </w:tc>
        <w:tc>
          <w:tcPr>
            <w:tcW w:w="2175" w:type="dxa"/>
            <w:tcBorders>
              <w:top w:val="single" w:sz="4" w:space="0" w:color="auto"/>
              <w:bottom w:val="single" w:sz="18" w:space="0" w:color="auto"/>
            </w:tcBorders>
            <w:shd w:val="clear" w:color="auto" w:fill="auto"/>
            <w:vAlign w:val="center"/>
          </w:tcPr>
          <w:p w14:paraId="6DF998EA" w14:textId="77777777" w:rsidR="00BE4AF3" w:rsidRPr="00E74216" w:rsidRDefault="00BE4AF3" w:rsidP="003933A3">
            <w:pPr>
              <w:spacing w:after="0" w:line="240" w:lineRule="auto"/>
              <w:jc w:val="both"/>
              <w:rPr>
                <w:rFonts w:ascii="Times New Roman" w:hAnsi="Times New Roman" w:cs="Times New Roman"/>
                <w:color w:val="000000" w:themeColor="text1"/>
                <w:sz w:val="20"/>
                <w:szCs w:val="20"/>
              </w:rPr>
            </w:pPr>
          </w:p>
        </w:tc>
      </w:tr>
    </w:tbl>
    <w:p w14:paraId="2FA72F65" w14:textId="04D2E445" w:rsidR="00E74216" w:rsidRDefault="00BE4AF3" w:rsidP="00E74216">
      <w:pPr>
        <w:pStyle w:val="NormalWeb"/>
        <w:spacing w:before="0" w:beforeAutospacing="0" w:after="0" w:afterAutospacing="0"/>
        <w:ind w:firstLineChars="500" w:firstLine="1205"/>
        <w:rPr>
          <w:rStyle w:val="Strong"/>
          <w:rFonts w:eastAsiaTheme="majorEastAsia"/>
          <w:color w:val="000000" w:themeColor="text1"/>
        </w:rPr>
      </w:pPr>
      <w:r w:rsidRPr="00E74216">
        <w:rPr>
          <w:rStyle w:val="Strong"/>
          <w:rFonts w:eastAsiaTheme="majorEastAsia"/>
          <w:color w:val="000000" w:themeColor="text1"/>
        </w:rPr>
        <w:t xml:space="preserve">Table 2: </w:t>
      </w:r>
      <w:r w:rsidRPr="00E74216">
        <w:rPr>
          <w:rStyle w:val="Strong"/>
          <w:rFonts w:eastAsiaTheme="majorEastAsia"/>
          <w:b w:val="0"/>
          <w:bCs w:val="0"/>
          <w:color w:val="000000" w:themeColor="text1"/>
        </w:rPr>
        <w:t>Availability of Home Facilities for Persons with Visual Impairment</w:t>
      </w:r>
    </w:p>
    <w:p w14:paraId="0CD031FA" w14:textId="77777777" w:rsidR="00BE4AF3" w:rsidRPr="003933A3" w:rsidRDefault="00BE4AF3" w:rsidP="00C86F13">
      <w:pPr>
        <w:pStyle w:val="NormalWeb"/>
        <w:spacing w:before="0" w:beforeAutospacing="0" w:after="0" w:afterAutospacing="0"/>
        <w:jc w:val="both"/>
        <w:rPr>
          <w:rStyle w:val="Strong"/>
          <w:rFonts w:eastAsiaTheme="majorEastAsia"/>
          <w:i/>
          <w:iCs/>
          <w:color w:val="000000" w:themeColor="text1"/>
        </w:rPr>
      </w:pPr>
    </w:p>
    <w:p w14:paraId="2A19EA8F" w14:textId="77777777" w:rsidR="00BE4AF3" w:rsidRPr="00C86F13" w:rsidRDefault="00BE4AF3" w:rsidP="00C86F13">
      <w:pPr>
        <w:pStyle w:val="NormalWeb"/>
        <w:spacing w:before="0" w:beforeAutospacing="0" w:after="0" w:afterAutospacing="0"/>
        <w:ind w:firstLine="720"/>
        <w:jc w:val="center"/>
        <w:rPr>
          <w:color w:val="000000" w:themeColor="text1"/>
        </w:rPr>
      </w:pPr>
      <w:r w:rsidRPr="00C86F13">
        <w:rPr>
          <w:rStyle w:val="Strong"/>
          <w:rFonts w:eastAsiaTheme="majorEastAsia"/>
          <w:b w:val="0"/>
          <w:bCs w:val="0"/>
          <w:color w:val="000000" w:themeColor="text1"/>
        </w:rPr>
        <w:t>Source:</w:t>
      </w:r>
      <w:r w:rsidRPr="00C86F13">
        <w:rPr>
          <w:b/>
          <w:bCs/>
          <w:color w:val="000000" w:themeColor="text1"/>
        </w:rPr>
        <w:t xml:space="preserve"> </w:t>
      </w:r>
      <w:r w:rsidRPr="00C86F13">
        <w:rPr>
          <w:color w:val="000000" w:themeColor="text1"/>
        </w:rPr>
        <w:t>Author’s Field Survey (2025)</w:t>
      </w:r>
    </w:p>
    <w:p w14:paraId="3F484644" w14:textId="77777777" w:rsidR="00BE4AF3" w:rsidRPr="003933A3" w:rsidRDefault="00BE4AF3" w:rsidP="003933A3">
      <w:pPr>
        <w:spacing w:after="0" w:line="240" w:lineRule="auto"/>
        <w:jc w:val="both"/>
        <w:rPr>
          <w:rFonts w:ascii="Times New Roman" w:hAnsi="Times New Roman" w:cs="Times New Roman"/>
          <w:color w:val="000000" w:themeColor="text1"/>
          <w:sz w:val="24"/>
          <w:szCs w:val="24"/>
        </w:rPr>
      </w:pPr>
    </w:p>
    <w:p w14:paraId="52BC8222" w14:textId="051B699F" w:rsidR="00BE4AF3" w:rsidRPr="003933A3" w:rsidRDefault="00BE4AF3" w:rsidP="003933A3">
      <w:pPr>
        <w:pStyle w:val="NormalWeb"/>
        <w:spacing w:before="0" w:beforeAutospacing="0" w:after="0" w:afterAutospacing="0"/>
        <w:jc w:val="both"/>
        <w:rPr>
          <w:color w:val="000000" w:themeColor="text1"/>
        </w:rPr>
      </w:pPr>
      <w:r w:rsidRPr="003933A3">
        <w:rPr>
          <w:rStyle w:val="Strong"/>
          <w:rFonts w:eastAsiaTheme="majorEastAsia"/>
          <w:color w:val="000000" w:themeColor="text1"/>
        </w:rPr>
        <w:t>Interpretation</w:t>
      </w:r>
      <w:r w:rsidRPr="003933A3">
        <w:rPr>
          <w:color w:val="000000" w:themeColor="text1"/>
        </w:rPr>
        <w:br/>
        <w:t xml:space="preserve">The table indicates that while core utilities are adequately supplied, adaptive housing elements remain grossly underprovided. This imbalance reinforces previous literature that calls for a transition from conventional design to </w:t>
      </w:r>
      <w:r w:rsidRPr="00C86F13">
        <w:rPr>
          <w:rStyle w:val="Strong"/>
          <w:rFonts w:eastAsiaTheme="majorEastAsia"/>
          <w:b w:val="0"/>
          <w:bCs w:val="0"/>
          <w:color w:val="000000" w:themeColor="text1"/>
        </w:rPr>
        <w:t>universal design frameworks</w:t>
      </w:r>
      <w:r w:rsidRPr="003933A3">
        <w:rPr>
          <w:color w:val="000000" w:themeColor="text1"/>
        </w:rPr>
        <w:t xml:space="preserve"> capable of accommodating all categories of users (Hedvall, 2025; Ayeni &amp; Oloyede, 2023). The implication for policy is the urgent need to </w:t>
      </w:r>
      <w:r w:rsidRPr="00C86F13">
        <w:rPr>
          <w:rStyle w:val="Strong"/>
          <w:rFonts w:eastAsiaTheme="majorEastAsia"/>
          <w:b w:val="0"/>
          <w:bCs w:val="0"/>
          <w:color w:val="000000" w:themeColor="text1"/>
        </w:rPr>
        <w:t>mandate accessibility compliance</w:t>
      </w:r>
      <w:r w:rsidRPr="003933A3">
        <w:rPr>
          <w:color w:val="000000" w:themeColor="text1"/>
        </w:rPr>
        <w:t xml:space="preserve"> through the National Building Code and local housing programs</w:t>
      </w:r>
    </w:p>
    <w:p w14:paraId="24D92D9E" w14:textId="77777777" w:rsidR="00BE4AF3" w:rsidRPr="003933A3" w:rsidRDefault="00BE4AF3" w:rsidP="003933A3">
      <w:pPr>
        <w:spacing w:after="0" w:line="240" w:lineRule="auto"/>
        <w:jc w:val="both"/>
        <w:rPr>
          <w:rFonts w:ascii="Times New Roman" w:hAnsi="Times New Roman" w:cs="Times New Roman"/>
          <w:color w:val="000000" w:themeColor="text1"/>
          <w:sz w:val="24"/>
          <w:szCs w:val="24"/>
        </w:rPr>
      </w:pPr>
    </w:p>
    <w:p w14:paraId="3AB7C304" w14:textId="77777777" w:rsidR="00BE4AF3" w:rsidRPr="00C86F13" w:rsidRDefault="00BE4AF3" w:rsidP="003933A3">
      <w:pPr>
        <w:pStyle w:val="Heading4"/>
        <w:spacing w:before="0" w:line="240" w:lineRule="auto"/>
        <w:jc w:val="both"/>
        <w:rPr>
          <w:rFonts w:ascii="Times New Roman" w:hAnsi="Times New Roman" w:cs="Times New Roman"/>
          <w:i w:val="0"/>
          <w:iCs w:val="0"/>
          <w:color w:val="000000" w:themeColor="text1"/>
          <w:sz w:val="24"/>
          <w:szCs w:val="24"/>
        </w:rPr>
      </w:pPr>
      <w:r w:rsidRPr="00C86F13">
        <w:rPr>
          <w:rStyle w:val="Strong"/>
          <w:rFonts w:ascii="Times New Roman" w:hAnsi="Times New Roman" w:cs="Times New Roman"/>
          <w:i w:val="0"/>
          <w:iCs w:val="0"/>
          <w:color w:val="000000" w:themeColor="text1"/>
          <w:sz w:val="24"/>
          <w:szCs w:val="24"/>
        </w:rPr>
        <w:t>Conclusion</w:t>
      </w:r>
    </w:p>
    <w:p w14:paraId="36C14845" w14:textId="77777777" w:rsidR="00BE4AF3" w:rsidRPr="003933A3" w:rsidRDefault="00BE4AF3" w:rsidP="003933A3">
      <w:pPr>
        <w:pStyle w:val="NormalWeb"/>
        <w:spacing w:before="0" w:beforeAutospacing="0" w:after="0" w:afterAutospacing="0"/>
        <w:jc w:val="both"/>
        <w:rPr>
          <w:color w:val="000000" w:themeColor="text1"/>
        </w:rPr>
      </w:pPr>
      <w:r w:rsidRPr="003933A3">
        <w:rPr>
          <w:color w:val="000000" w:themeColor="text1"/>
        </w:rPr>
        <w:t>The study revealed that while general home facilities such as electricity, ventilation, and running water are largely available and functional in the homes of persons with visual impairment in Southwestern Nigeria, most disability-specific facilities that promote accessibility and safety remain inadequate. Essential adaptive components such as ramps, handrails, tactile flooring, and voice-activated devices were either poorly installed or completely absent. The imbalance between general utilities and accessibility-enhancing features highlights the continuing neglect of inclusive design principles in residential architecture within the region.</w:t>
      </w:r>
    </w:p>
    <w:p w14:paraId="2FFE5469" w14:textId="77777777" w:rsidR="00BE4AF3" w:rsidRDefault="00BE4AF3" w:rsidP="003933A3">
      <w:pPr>
        <w:pStyle w:val="NormalWeb"/>
        <w:spacing w:before="0" w:beforeAutospacing="0" w:after="0" w:afterAutospacing="0"/>
        <w:jc w:val="both"/>
        <w:rPr>
          <w:color w:val="000000" w:themeColor="text1"/>
        </w:rPr>
      </w:pPr>
      <w:r w:rsidRPr="003933A3">
        <w:rPr>
          <w:color w:val="000000" w:themeColor="text1"/>
        </w:rPr>
        <w:t xml:space="preserve">The findings affirm that housing environments for visually impaired individuals remain largely exclusionary, limiting their ability to navigate spaces safely and independently. The absence of tactile and auditory cues, coupled with poor circulation patterns, continues to expose users to avoidable physical risks and dependence on others. This situation confirms earlier research that </w:t>
      </w:r>
      <w:r w:rsidRPr="003933A3">
        <w:rPr>
          <w:color w:val="000000" w:themeColor="text1"/>
        </w:rPr>
        <w:lastRenderedPageBreak/>
        <w:t>linked the inadequacy of home facilities in developing countries to poor enforcement of building regulations, weak awareness of disability inclusion, and financial barriers to housing adaptation.</w:t>
      </w:r>
    </w:p>
    <w:p w14:paraId="58495B77" w14:textId="77777777" w:rsidR="00C86F13" w:rsidRPr="003933A3" w:rsidRDefault="00C86F13" w:rsidP="003933A3">
      <w:pPr>
        <w:pStyle w:val="NormalWeb"/>
        <w:spacing w:before="0" w:beforeAutospacing="0" w:after="0" w:afterAutospacing="0"/>
        <w:jc w:val="both"/>
        <w:rPr>
          <w:color w:val="000000" w:themeColor="text1"/>
        </w:rPr>
      </w:pPr>
    </w:p>
    <w:p w14:paraId="4AF915B6" w14:textId="77777777" w:rsidR="00BE4AF3" w:rsidRPr="00C86F13" w:rsidRDefault="00BE4AF3" w:rsidP="003933A3">
      <w:pPr>
        <w:pStyle w:val="Heading4"/>
        <w:spacing w:before="0" w:line="240" w:lineRule="auto"/>
        <w:jc w:val="both"/>
        <w:rPr>
          <w:rFonts w:ascii="Times New Roman" w:hAnsi="Times New Roman" w:cs="Times New Roman"/>
          <w:i w:val="0"/>
          <w:iCs w:val="0"/>
          <w:color w:val="000000" w:themeColor="text1"/>
          <w:sz w:val="24"/>
          <w:szCs w:val="24"/>
        </w:rPr>
      </w:pPr>
      <w:r w:rsidRPr="00C86F13">
        <w:rPr>
          <w:rStyle w:val="Strong"/>
          <w:rFonts w:ascii="Times New Roman" w:hAnsi="Times New Roman" w:cs="Times New Roman"/>
          <w:i w:val="0"/>
          <w:iCs w:val="0"/>
          <w:color w:val="000000" w:themeColor="text1"/>
          <w:sz w:val="24"/>
          <w:szCs w:val="24"/>
        </w:rPr>
        <w:t xml:space="preserve"> Recommendations</w:t>
      </w:r>
    </w:p>
    <w:p w14:paraId="50C2D197" w14:textId="77777777" w:rsidR="00BE4AF3" w:rsidRPr="003933A3" w:rsidRDefault="00BE4AF3" w:rsidP="003933A3">
      <w:pPr>
        <w:pStyle w:val="NormalWeb"/>
        <w:spacing w:before="0" w:beforeAutospacing="0" w:after="0" w:afterAutospacing="0"/>
        <w:jc w:val="both"/>
        <w:rPr>
          <w:color w:val="000000" w:themeColor="text1"/>
        </w:rPr>
      </w:pPr>
      <w:r w:rsidRPr="003933A3">
        <w:rPr>
          <w:color w:val="000000" w:themeColor="text1"/>
        </w:rPr>
        <w:t>Architects and builders should incorporate tactile, auditory, and ergonomic elements—such as non-slip surfaces, guiding rails, and contrasting textures—into residential design to ensure functional inclusivity.</w:t>
      </w:r>
    </w:p>
    <w:p w14:paraId="5CEF6BF7" w14:textId="77777777" w:rsidR="00BE4AF3" w:rsidRPr="003933A3" w:rsidRDefault="00BE4AF3" w:rsidP="003933A3">
      <w:pPr>
        <w:pStyle w:val="NormalWeb"/>
        <w:spacing w:before="0" w:beforeAutospacing="0" w:after="0" w:afterAutospacing="0"/>
        <w:jc w:val="both"/>
        <w:rPr>
          <w:color w:val="000000" w:themeColor="text1"/>
        </w:rPr>
      </w:pPr>
      <w:r w:rsidRPr="003933A3">
        <w:rPr>
          <w:color w:val="000000" w:themeColor="text1"/>
        </w:rPr>
        <w:t xml:space="preserve">The Federal Ministry of Works and Housing, in collaboration with the National Commission for Persons with Disabilities, should enforce the accessibility provisions of the </w:t>
      </w:r>
      <w:r w:rsidRPr="003933A3">
        <w:rPr>
          <w:rStyle w:val="Emphasis"/>
          <w:color w:val="000000" w:themeColor="text1"/>
        </w:rPr>
        <w:t>National Building Code (2018)</w:t>
      </w:r>
      <w:r w:rsidRPr="003933A3">
        <w:rPr>
          <w:color w:val="000000" w:themeColor="text1"/>
        </w:rPr>
        <w:t xml:space="preserve"> and the </w:t>
      </w:r>
      <w:r w:rsidRPr="003933A3">
        <w:rPr>
          <w:rStyle w:val="Emphasis"/>
          <w:color w:val="000000" w:themeColor="text1"/>
        </w:rPr>
        <w:t>Disability Act (2018)</w:t>
      </w:r>
      <w:r w:rsidRPr="003933A3">
        <w:rPr>
          <w:color w:val="000000" w:themeColor="text1"/>
        </w:rPr>
        <w:t xml:space="preserve"> across public and private housing projects.</w:t>
      </w:r>
    </w:p>
    <w:p w14:paraId="680DC1F6" w14:textId="77777777" w:rsidR="00BE4AF3" w:rsidRPr="003933A3" w:rsidRDefault="00BE4AF3" w:rsidP="003933A3">
      <w:pPr>
        <w:pStyle w:val="NormalWeb"/>
        <w:spacing w:before="0" w:beforeAutospacing="0" w:after="0" w:afterAutospacing="0"/>
        <w:jc w:val="both"/>
        <w:rPr>
          <w:color w:val="000000" w:themeColor="text1"/>
        </w:rPr>
      </w:pPr>
      <w:r w:rsidRPr="003933A3">
        <w:rPr>
          <w:color w:val="000000" w:themeColor="text1"/>
        </w:rPr>
        <w:t xml:space="preserve"> Government agencies and housing NGOs should provide grants or low-interest loans to retrofit existing residential structures with essential assistive facilities for visually impaired occupants.</w:t>
      </w:r>
    </w:p>
    <w:p w14:paraId="72D6F566" w14:textId="77777777" w:rsidR="00BE4AF3" w:rsidRPr="003933A3" w:rsidRDefault="00BE4AF3" w:rsidP="003933A3">
      <w:pPr>
        <w:pStyle w:val="NormalWeb"/>
        <w:spacing w:before="0" w:beforeAutospacing="0" w:after="0" w:afterAutospacing="0"/>
        <w:jc w:val="both"/>
        <w:rPr>
          <w:color w:val="000000" w:themeColor="text1"/>
        </w:rPr>
      </w:pPr>
      <w:r w:rsidRPr="003933A3">
        <w:rPr>
          <w:color w:val="000000" w:themeColor="text1"/>
        </w:rPr>
        <w:t xml:space="preserve"> Continuous professional development workshops should be organized for architects, planners, and builders to improve competence in designing inclusive spaces. Similarly, public enlightenment campaigns should promote awareness of accessibility standards.</w:t>
      </w:r>
    </w:p>
    <w:p w14:paraId="3B912DA3" w14:textId="77777777" w:rsidR="00BE4AF3" w:rsidRDefault="00BE4AF3" w:rsidP="003933A3">
      <w:pPr>
        <w:pStyle w:val="NormalWeb"/>
        <w:spacing w:before="0" w:beforeAutospacing="0" w:after="0" w:afterAutospacing="0"/>
        <w:jc w:val="both"/>
        <w:rPr>
          <w:color w:val="000000" w:themeColor="text1"/>
        </w:rPr>
      </w:pPr>
      <w:r w:rsidRPr="003933A3">
        <w:rPr>
          <w:color w:val="000000" w:themeColor="text1"/>
        </w:rPr>
        <w:t>Partnerships among disability advocacy groups, housing authorities, and research institutions should be strengthened to develop context-specific guidelines for accessible housing in Nigeria.</w:t>
      </w:r>
    </w:p>
    <w:p w14:paraId="6277E464" w14:textId="77777777" w:rsidR="00C86F13" w:rsidRPr="003933A3" w:rsidRDefault="00C86F13" w:rsidP="003933A3">
      <w:pPr>
        <w:pStyle w:val="NormalWeb"/>
        <w:spacing w:before="0" w:beforeAutospacing="0" w:after="0" w:afterAutospacing="0"/>
        <w:jc w:val="both"/>
        <w:rPr>
          <w:color w:val="000000" w:themeColor="text1"/>
        </w:rPr>
      </w:pPr>
    </w:p>
    <w:p w14:paraId="4B908920" w14:textId="77777777" w:rsidR="00BE4AF3" w:rsidRPr="003933A3" w:rsidRDefault="00BE4AF3" w:rsidP="003933A3">
      <w:pPr>
        <w:pStyle w:val="Heading3"/>
        <w:spacing w:before="0" w:line="240" w:lineRule="auto"/>
        <w:rPr>
          <w:rFonts w:ascii="Times New Roman" w:hAnsi="Times New Roman" w:cs="Times New Roman"/>
          <w:color w:val="000000" w:themeColor="text1"/>
        </w:rPr>
      </w:pPr>
      <w:r w:rsidRPr="003933A3">
        <w:rPr>
          <w:rStyle w:val="Strong"/>
          <w:rFonts w:ascii="Times New Roman" w:hAnsi="Times New Roman" w:cs="Times New Roman"/>
          <w:color w:val="000000" w:themeColor="text1"/>
        </w:rPr>
        <w:t>References</w:t>
      </w:r>
    </w:p>
    <w:p w14:paraId="02E97256" w14:textId="77777777" w:rsidR="00BE4AF3" w:rsidRPr="003933A3" w:rsidRDefault="00BE4AF3" w:rsidP="00C86F13">
      <w:pPr>
        <w:pStyle w:val="NormalWeb"/>
        <w:spacing w:before="0" w:beforeAutospacing="0" w:after="0" w:afterAutospacing="0"/>
        <w:ind w:left="850" w:hangingChars="354" w:hanging="850"/>
        <w:rPr>
          <w:color w:val="000000" w:themeColor="text1"/>
        </w:rPr>
      </w:pPr>
      <w:r w:rsidRPr="003933A3">
        <w:rPr>
          <w:color w:val="000000" w:themeColor="text1"/>
        </w:rPr>
        <w:t xml:space="preserve">Adeoye, D. O., and Oyetola, O. J. (2023). </w:t>
      </w:r>
      <w:r w:rsidRPr="003933A3">
        <w:rPr>
          <w:rStyle w:val="Emphasis"/>
          <w:color w:val="000000" w:themeColor="text1"/>
        </w:rPr>
        <w:t>Accessibility challenges in residential design for persons with disabilities in Nigeria.</w:t>
      </w:r>
      <w:r w:rsidRPr="003933A3">
        <w:rPr>
          <w:color w:val="000000" w:themeColor="text1"/>
        </w:rPr>
        <w:t xml:space="preserve"> Journal of Environmental Design and Architecture, 8(2), 115–128.</w:t>
      </w:r>
    </w:p>
    <w:p w14:paraId="50D3FB53" w14:textId="77777777" w:rsidR="00BE4AF3" w:rsidRPr="003933A3" w:rsidRDefault="00BE4AF3" w:rsidP="00C86F13">
      <w:pPr>
        <w:pStyle w:val="NormalWeb"/>
        <w:spacing w:before="0" w:beforeAutospacing="0" w:after="0" w:afterAutospacing="0"/>
        <w:ind w:left="850" w:hangingChars="354" w:hanging="850"/>
        <w:rPr>
          <w:color w:val="000000" w:themeColor="text1"/>
        </w:rPr>
      </w:pPr>
      <w:r w:rsidRPr="003933A3">
        <w:rPr>
          <w:color w:val="000000" w:themeColor="text1"/>
        </w:rPr>
        <w:t xml:space="preserve">Ayeni, K. A., and Oloyede, F. S. (2023). </w:t>
      </w:r>
      <w:r w:rsidRPr="003933A3">
        <w:rPr>
          <w:rStyle w:val="Emphasis"/>
          <w:color w:val="000000" w:themeColor="text1"/>
        </w:rPr>
        <w:t>Inclusive architecture and housing for persons with special needs in Southwestern Nigeria.</w:t>
      </w:r>
      <w:r w:rsidRPr="003933A3">
        <w:rPr>
          <w:color w:val="000000" w:themeColor="text1"/>
        </w:rPr>
        <w:t xml:space="preserve"> Nigerian Journal of Built Environment, 5(1), 67–82.</w:t>
      </w:r>
    </w:p>
    <w:p w14:paraId="6F5D6DD4" w14:textId="77777777" w:rsidR="00BE4AF3" w:rsidRPr="003933A3" w:rsidRDefault="00BE4AF3" w:rsidP="00C86F13">
      <w:pPr>
        <w:pStyle w:val="NormalWeb"/>
        <w:spacing w:before="0" w:beforeAutospacing="0" w:after="0" w:afterAutospacing="0"/>
        <w:ind w:left="850" w:hangingChars="354" w:hanging="850"/>
        <w:rPr>
          <w:color w:val="000000" w:themeColor="text1"/>
        </w:rPr>
      </w:pPr>
      <w:r w:rsidRPr="003933A3">
        <w:rPr>
          <w:color w:val="000000" w:themeColor="text1"/>
        </w:rPr>
        <w:t xml:space="preserve">Bassi, A., and Camble, J. (2019). </w:t>
      </w:r>
      <w:r w:rsidRPr="003933A3">
        <w:rPr>
          <w:rStyle w:val="Emphasis"/>
          <w:color w:val="000000" w:themeColor="text1"/>
        </w:rPr>
        <w:t>Sampling techniques and data representativeness in social science research.</w:t>
      </w:r>
      <w:r w:rsidRPr="003933A3">
        <w:rPr>
          <w:color w:val="000000" w:themeColor="text1"/>
        </w:rPr>
        <w:t xml:space="preserve"> Research Methods Quarterly, 12(3), 89–102.</w:t>
      </w:r>
    </w:p>
    <w:p w14:paraId="6E4B4437" w14:textId="77777777" w:rsidR="00BE4AF3" w:rsidRPr="003933A3" w:rsidRDefault="00BE4AF3" w:rsidP="00C86F13">
      <w:pPr>
        <w:pStyle w:val="NormalWeb"/>
        <w:spacing w:before="0" w:beforeAutospacing="0" w:after="0" w:afterAutospacing="0"/>
        <w:ind w:left="850" w:hangingChars="354" w:hanging="850"/>
        <w:rPr>
          <w:color w:val="000000" w:themeColor="text1"/>
        </w:rPr>
      </w:pPr>
      <w:r w:rsidRPr="003933A3">
        <w:rPr>
          <w:color w:val="000000" w:themeColor="text1"/>
        </w:rPr>
        <w:t xml:space="preserve">Creswell, J. W., and Creswell, J. D. (2022). </w:t>
      </w:r>
      <w:r w:rsidRPr="003933A3">
        <w:rPr>
          <w:rStyle w:val="Emphasis"/>
          <w:color w:val="000000" w:themeColor="text1"/>
        </w:rPr>
        <w:t>Research design: Qualitative, quantitative, and mixed methods approaches</w:t>
      </w:r>
      <w:r w:rsidRPr="003933A3">
        <w:rPr>
          <w:color w:val="000000" w:themeColor="text1"/>
        </w:rPr>
        <w:t xml:space="preserve"> (6th ed.). SAGE Publications.</w:t>
      </w:r>
    </w:p>
    <w:p w14:paraId="5884E8E4" w14:textId="77777777" w:rsidR="00BE4AF3" w:rsidRPr="003933A3" w:rsidRDefault="00BE4AF3" w:rsidP="00C86F13">
      <w:pPr>
        <w:pStyle w:val="NormalWeb"/>
        <w:spacing w:before="0" w:beforeAutospacing="0" w:after="0" w:afterAutospacing="0"/>
        <w:ind w:left="850" w:hangingChars="354" w:hanging="850"/>
        <w:rPr>
          <w:color w:val="000000" w:themeColor="text1"/>
        </w:rPr>
      </w:pPr>
      <w:r w:rsidRPr="003933A3">
        <w:rPr>
          <w:color w:val="000000" w:themeColor="text1"/>
        </w:rPr>
        <w:t xml:space="preserve">Fadeyibi, A. O., and Ajayi, M. L. (2024). </w:t>
      </w:r>
      <w:r w:rsidRPr="003933A3">
        <w:rPr>
          <w:rStyle w:val="Emphasis"/>
          <w:color w:val="000000" w:themeColor="text1"/>
        </w:rPr>
        <w:t>Design barriers and spatial accessibility for visually impaired residents in Nigeria.</w:t>
      </w:r>
      <w:r w:rsidRPr="003933A3">
        <w:rPr>
          <w:color w:val="000000" w:themeColor="text1"/>
        </w:rPr>
        <w:t xml:space="preserve"> Journal of Disability Studies and Built Environment, 3(1), 24–39.</w:t>
      </w:r>
    </w:p>
    <w:p w14:paraId="7DE756DB" w14:textId="77777777" w:rsidR="00BE4AF3" w:rsidRPr="003933A3" w:rsidRDefault="00BE4AF3" w:rsidP="00C86F13">
      <w:pPr>
        <w:pStyle w:val="NormalWeb"/>
        <w:spacing w:before="0" w:beforeAutospacing="0" w:after="0" w:afterAutospacing="0"/>
        <w:ind w:left="850" w:hangingChars="354" w:hanging="850"/>
        <w:rPr>
          <w:color w:val="000000" w:themeColor="text1"/>
        </w:rPr>
      </w:pPr>
      <w:r w:rsidRPr="003933A3">
        <w:rPr>
          <w:color w:val="000000" w:themeColor="text1"/>
        </w:rPr>
        <w:t xml:space="preserve">Federal Ministry of Works and Housing. (2023). </w:t>
      </w:r>
      <w:r w:rsidRPr="003933A3">
        <w:rPr>
          <w:rStyle w:val="Emphasis"/>
          <w:color w:val="000000" w:themeColor="text1"/>
        </w:rPr>
        <w:t>National Building Code of Nigeria (2018): Accessibility and inclusive housing implementation guide.</w:t>
      </w:r>
      <w:r w:rsidRPr="003933A3">
        <w:rPr>
          <w:color w:val="000000" w:themeColor="text1"/>
        </w:rPr>
        <w:t xml:space="preserve"> Abuja: Government Press.</w:t>
      </w:r>
    </w:p>
    <w:p w14:paraId="2EFBFC35" w14:textId="77777777" w:rsidR="00BE4AF3" w:rsidRPr="003933A3" w:rsidRDefault="00BE4AF3" w:rsidP="00C86F13">
      <w:pPr>
        <w:pStyle w:val="NormalWeb"/>
        <w:spacing w:before="0" w:beforeAutospacing="0" w:after="0" w:afterAutospacing="0"/>
        <w:ind w:left="850" w:hangingChars="354" w:hanging="850"/>
        <w:rPr>
          <w:color w:val="000000" w:themeColor="text1"/>
        </w:rPr>
      </w:pPr>
      <w:r w:rsidRPr="003933A3">
        <w:rPr>
          <w:color w:val="000000" w:themeColor="text1"/>
        </w:rPr>
        <w:t xml:space="preserve">Field, A. (2021). </w:t>
      </w:r>
      <w:r w:rsidRPr="003933A3">
        <w:rPr>
          <w:rStyle w:val="Emphasis"/>
          <w:color w:val="000000" w:themeColor="text1"/>
        </w:rPr>
        <w:t>Discovering statistics using IBM SPSS Statistics</w:t>
      </w:r>
      <w:r w:rsidRPr="003933A3">
        <w:rPr>
          <w:color w:val="000000" w:themeColor="text1"/>
        </w:rPr>
        <w:t xml:space="preserve"> (6th ed.). SAGE Publications.</w:t>
      </w:r>
    </w:p>
    <w:p w14:paraId="14073F6B" w14:textId="77777777" w:rsidR="00BE4AF3" w:rsidRPr="003933A3" w:rsidRDefault="00BE4AF3" w:rsidP="00C86F13">
      <w:pPr>
        <w:pStyle w:val="NormalWeb"/>
        <w:spacing w:before="0" w:beforeAutospacing="0" w:after="0" w:afterAutospacing="0"/>
        <w:ind w:left="850" w:hangingChars="354" w:hanging="850"/>
        <w:rPr>
          <w:color w:val="000000" w:themeColor="text1"/>
        </w:rPr>
      </w:pPr>
      <w:r w:rsidRPr="003933A3">
        <w:rPr>
          <w:color w:val="000000" w:themeColor="text1"/>
        </w:rPr>
        <w:t xml:space="preserve">Hedvall, P. (2025). </w:t>
      </w:r>
      <w:r w:rsidRPr="003933A3">
        <w:rPr>
          <w:rStyle w:val="Emphasis"/>
          <w:color w:val="000000" w:themeColor="text1"/>
        </w:rPr>
        <w:t>Universal design in practice: Inclusive housing for all.</w:t>
      </w:r>
      <w:r w:rsidRPr="003933A3">
        <w:rPr>
          <w:color w:val="000000" w:themeColor="text1"/>
        </w:rPr>
        <w:t xml:space="preserve"> Routledge.</w:t>
      </w:r>
    </w:p>
    <w:p w14:paraId="7518AE41" w14:textId="77777777" w:rsidR="00BE4AF3" w:rsidRPr="003933A3" w:rsidRDefault="00BE4AF3" w:rsidP="00C86F13">
      <w:pPr>
        <w:pStyle w:val="NormalWeb"/>
        <w:spacing w:before="0" w:beforeAutospacing="0" w:after="0" w:afterAutospacing="0"/>
        <w:ind w:left="850" w:hangingChars="354" w:hanging="850"/>
        <w:rPr>
          <w:color w:val="000000" w:themeColor="text1"/>
        </w:rPr>
      </w:pPr>
      <w:r w:rsidRPr="003933A3">
        <w:rPr>
          <w:color w:val="000000" w:themeColor="text1"/>
        </w:rPr>
        <w:t xml:space="preserve">Jafari, M., Rahman, R. A., and Lee, H. S. (2022). </w:t>
      </w:r>
      <w:r w:rsidRPr="003933A3">
        <w:rPr>
          <w:rStyle w:val="Emphasis"/>
          <w:color w:val="000000" w:themeColor="text1"/>
        </w:rPr>
        <w:t>Design adaptations for visually impaired users: Lessons from global housing models.</w:t>
      </w:r>
      <w:r w:rsidRPr="003933A3">
        <w:rPr>
          <w:color w:val="000000" w:themeColor="text1"/>
        </w:rPr>
        <w:t xml:space="preserve"> International Journal of Accessibility Studies, 9(2), 41–59.</w:t>
      </w:r>
    </w:p>
    <w:p w14:paraId="4EE1F144" w14:textId="77777777" w:rsidR="00BE4AF3" w:rsidRPr="003933A3" w:rsidRDefault="00BE4AF3" w:rsidP="00C86F13">
      <w:pPr>
        <w:pStyle w:val="NormalWeb"/>
        <w:spacing w:before="0" w:beforeAutospacing="0" w:after="0" w:afterAutospacing="0"/>
        <w:ind w:left="850" w:hangingChars="354" w:hanging="850"/>
        <w:rPr>
          <w:color w:val="000000" w:themeColor="text1"/>
        </w:rPr>
      </w:pPr>
      <w:r w:rsidRPr="003933A3">
        <w:rPr>
          <w:color w:val="000000" w:themeColor="text1"/>
        </w:rPr>
        <w:t xml:space="preserve">NBS. (2023). </w:t>
      </w:r>
      <w:r w:rsidRPr="003933A3">
        <w:rPr>
          <w:rStyle w:val="Emphasis"/>
          <w:color w:val="000000" w:themeColor="text1"/>
        </w:rPr>
        <w:t>National Bureau of Statistics report on living conditions and accessibility in Nigeria.</w:t>
      </w:r>
      <w:r w:rsidRPr="003933A3">
        <w:rPr>
          <w:color w:val="000000" w:themeColor="text1"/>
        </w:rPr>
        <w:t xml:space="preserve"> Abuja: NBS Publications.</w:t>
      </w:r>
    </w:p>
    <w:p w14:paraId="4CF1AF12" w14:textId="77777777" w:rsidR="00BE4AF3" w:rsidRPr="003933A3" w:rsidRDefault="00BE4AF3" w:rsidP="00C86F13">
      <w:pPr>
        <w:pStyle w:val="NormalWeb"/>
        <w:spacing w:before="0" w:beforeAutospacing="0" w:after="0" w:afterAutospacing="0"/>
        <w:ind w:left="850" w:hangingChars="354" w:hanging="850"/>
        <w:rPr>
          <w:color w:val="000000" w:themeColor="text1"/>
        </w:rPr>
      </w:pPr>
      <w:r w:rsidRPr="003933A3">
        <w:rPr>
          <w:color w:val="000000" w:themeColor="text1"/>
        </w:rPr>
        <w:t xml:space="preserve">Oladokun, S. A., Adeyemo, K. B., and Fashina, O. T. (2024). </w:t>
      </w:r>
      <w:r w:rsidRPr="003933A3">
        <w:rPr>
          <w:rStyle w:val="Emphasis"/>
          <w:color w:val="000000" w:themeColor="text1"/>
        </w:rPr>
        <w:t>Bridging the gap in inclusive housing policy implementation in Nigeria.</w:t>
      </w:r>
      <w:r w:rsidRPr="003933A3">
        <w:rPr>
          <w:color w:val="000000" w:themeColor="text1"/>
        </w:rPr>
        <w:t xml:space="preserve"> Journal of Urban and Regional Development, 6(2), 102–118.</w:t>
      </w:r>
    </w:p>
    <w:p w14:paraId="6ED6188F" w14:textId="77777777" w:rsidR="00BE4AF3" w:rsidRPr="003933A3" w:rsidRDefault="00BE4AF3" w:rsidP="00C86F13">
      <w:pPr>
        <w:pStyle w:val="NormalWeb"/>
        <w:spacing w:before="0" w:beforeAutospacing="0" w:after="0" w:afterAutospacing="0"/>
        <w:ind w:left="850" w:hangingChars="354" w:hanging="850"/>
        <w:rPr>
          <w:color w:val="000000" w:themeColor="text1"/>
        </w:rPr>
      </w:pPr>
      <w:r w:rsidRPr="003933A3">
        <w:rPr>
          <w:color w:val="000000" w:themeColor="text1"/>
        </w:rPr>
        <w:t xml:space="preserve">Oluleye, A. A., Adebayo, A. M., and Ojo, S. O. (2022). </w:t>
      </w:r>
      <w:r w:rsidRPr="003933A3">
        <w:rPr>
          <w:rStyle w:val="Emphasis"/>
          <w:color w:val="000000" w:themeColor="text1"/>
        </w:rPr>
        <w:t>Spatial equity and accessibility in residential buildings for persons with disabilities.</w:t>
      </w:r>
      <w:r w:rsidRPr="003933A3">
        <w:rPr>
          <w:color w:val="000000" w:themeColor="text1"/>
        </w:rPr>
        <w:t xml:space="preserve"> Journal of African Housing Studies, 4(3), 56–70.</w:t>
      </w:r>
    </w:p>
    <w:p w14:paraId="267909AE" w14:textId="77777777" w:rsidR="00BE4AF3" w:rsidRPr="003933A3" w:rsidRDefault="00BE4AF3" w:rsidP="00C86F13">
      <w:pPr>
        <w:pStyle w:val="NormalWeb"/>
        <w:spacing w:before="0" w:beforeAutospacing="0" w:after="0" w:afterAutospacing="0"/>
        <w:ind w:left="850" w:hangingChars="354" w:hanging="850"/>
        <w:rPr>
          <w:color w:val="000000" w:themeColor="text1"/>
        </w:rPr>
      </w:pPr>
      <w:r w:rsidRPr="003933A3">
        <w:rPr>
          <w:color w:val="000000" w:themeColor="text1"/>
        </w:rPr>
        <w:t xml:space="preserve">Onakoya, A. O., Uhumwangho, O. M., and Aribaba, O. T. (2022). </w:t>
      </w:r>
      <w:r w:rsidRPr="003933A3">
        <w:rPr>
          <w:rStyle w:val="Emphasis"/>
          <w:color w:val="000000" w:themeColor="text1"/>
        </w:rPr>
        <w:t>Prevalence and causes of visual impairment in Nigeria: Emerging trends and challenges.</w:t>
      </w:r>
      <w:r w:rsidRPr="003933A3">
        <w:rPr>
          <w:color w:val="000000" w:themeColor="text1"/>
        </w:rPr>
        <w:t xml:space="preserve"> Nigerian Journal of Ophthalmology, 30(1), 11–21.</w:t>
      </w:r>
    </w:p>
    <w:p w14:paraId="0C752910" w14:textId="77777777" w:rsidR="00BE4AF3" w:rsidRPr="003933A3" w:rsidRDefault="00BE4AF3" w:rsidP="00C86F13">
      <w:pPr>
        <w:pStyle w:val="NormalWeb"/>
        <w:spacing w:before="0" w:beforeAutospacing="0" w:after="0" w:afterAutospacing="0"/>
        <w:ind w:left="850" w:hangingChars="354" w:hanging="850"/>
        <w:rPr>
          <w:color w:val="000000" w:themeColor="text1"/>
        </w:rPr>
      </w:pPr>
      <w:r w:rsidRPr="003933A3">
        <w:rPr>
          <w:color w:val="000000" w:themeColor="text1"/>
        </w:rPr>
        <w:lastRenderedPageBreak/>
        <w:t xml:space="preserve">Onanuga, O. P., and Oviasogie, A. F. (2020). </w:t>
      </w:r>
      <w:r w:rsidRPr="003933A3">
        <w:rPr>
          <w:rStyle w:val="Emphasis"/>
          <w:color w:val="000000" w:themeColor="text1"/>
        </w:rPr>
        <w:t>Home as a psychological construct: Exploring identity and independence in residential environments.</w:t>
      </w:r>
      <w:r w:rsidRPr="003933A3">
        <w:rPr>
          <w:color w:val="000000" w:themeColor="text1"/>
        </w:rPr>
        <w:t xml:space="preserve"> Journal of Environmental Psychology and Housing, 12(1), 45–59.</w:t>
      </w:r>
    </w:p>
    <w:p w14:paraId="05B4FDEB" w14:textId="77777777" w:rsidR="00BE4AF3" w:rsidRPr="003933A3" w:rsidRDefault="00BE4AF3" w:rsidP="00C86F13">
      <w:pPr>
        <w:pStyle w:val="NormalWeb"/>
        <w:spacing w:before="0" w:beforeAutospacing="0" w:after="0" w:afterAutospacing="0"/>
        <w:ind w:left="850" w:hangingChars="354" w:hanging="850"/>
        <w:rPr>
          <w:color w:val="000000" w:themeColor="text1"/>
        </w:rPr>
      </w:pPr>
      <w:r w:rsidRPr="003933A3">
        <w:rPr>
          <w:color w:val="000000" w:themeColor="text1"/>
        </w:rPr>
        <w:t xml:space="preserve">Pallant, J. (2023). </w:t>
      </w:r>
      <w:r w:rsidRPr="003933A3">
        <w:rPr>
          <w:rStyle w:val="Emphasis"/>
          <w:color w:val="000000" w:themeColor="text1"/>
        </w:rPr>
        <w:t>SPSS survival manual: A step-by-step guide to data analysis using IBM SPSS</w:t>
      </w:r>
      <w:r w:rsidRPr="003933A3">
        <w:rPr>
          <w:color w:val="000000" w:themeColor="text1"/>
        </w:rPr>
        <w:t xml:space="preserve"> (8th ed.). McGraw-Hill Education.</w:t>
      </w:r>
    </w:p>
    <w:p w14:paraId="0B7DCF34" w14:textId="77777777" w:rsidR="00BE4AF3" w:rsidRPr="003933A3" w:rsidRDefault="00BE4AF3" w:rsidP="00C86F13">
      <w:pPr>
        <w:pStyle w:val="NormalWeb"/>
        <w:spacing w:before="0" w:beforeAutospacing="0" w:after="0" w:afterAutospacing="0"/>
        <w:ind w:left="850" w:hangingChars="354" w:hanging="850"/>
        <w:rPr>
          <w:color w:val="000000" w:themeColor="text1"/>
        </w:rPr>
      </w:pPr>
      <w:r w:rsidRPr="003933A3">
        <w:rPr>
          <w:color w:val="000000" w:themeColor="text1"/>
        </w:rPr>
        <w:t xml:space="preserve">World Health Organization. (2021). </w:t>
      </w:r>
      <w:r w:rsidRPr="003933A3">
        <w:rPr>
          <w:rStyle w:val="Emphasis"/>
          <w:color w:val="000000" w:themeColor="text1"/>
        </w:rPr>
        <w:t>World report on vision.</w:t>
      </w:r>
      <w:r w:rsidRPr="003933A3">
        <w:rPr>
          <w:color w:val="000000" w:themeColor="text1"/>
        </w:rPr>
        <w:t xml:space="preserve"> Geneva: WHO Press.</w:t>
      </w:r>
    </w:p>
    <w:p w14:paraId="7482C585" w14:textId="77777777" w:rsidR="00BE4AF3" w:rsidRPr="003933A3" w:rsidRDefault="00BE4AF3" w:rsidP="00C86F13">
      <w:pPr>
        <w:pStyle w:val="NormalWeb"/>
        <w:spacing w:before="0" w:beforeAutospacing="0" w:after="0" w:afterAutospacing="0"/>
        <w:ind w:left="850" w:hangingChars="354" w:hanging="850"/>
        <w:rPr>
          <w:color w:val="000000" w:themeColor="text1"/>
        </w:rPr>
      </w:pPr>
      <w:r w:rsidRPr="003933A3">
        <w:rPr>
          <w:color w:val="000000" w:themeColor="text1"/>
        </w:rPr>
        <w:t xml:space="preserve">Yin, R. K. (2021). </w:t>
      </w:r>
      <w:r w:rsidRPr="003933A3">
        <w:rPr>
          <w:rStyle w:val="Emphasis"/>
          <w:color w:val="000000" w:themeColor="text1"/>
        </w:rPr>
        <w:t>Case study research and applications: Design and methods</w:t>
      </w:r>
      <w:r w:rsidRPr="003933A3">
        <w:rPr>
          <w:color w:val="000000" w:themeColor="text1"/>
        </w:rPr>
        <w:t xml:space="preserve"> (6th ed.). SAGE Publications</w:t>
      </w:r>
    </w:p>
    <w:p w14:paraId="57E07208" w14:textId="77777777" w:rsidR="00ED4768" w:rsidRDefault="00ED4768" w:rsidP="00116291">
      <w:pPr>
        <w:tabs>
          <w:tab w:val="left" w:pos="3422"/>
        </w:tabs>
        <w:spacing w:after="0" w:line="240" w:lineRule="auto"/>
        <w:rPr>
          <w:rFonts w:ascii="Times New Roman" w:hAnsi="Times New Roman" w:cs="Times New Roman"/>
          <w:sz w:val="24"/>
          <w:szCs w:val="24"/>
        </w:rPr>
      </w:pPr>
    </w:p>
    <w:p w14:paraId="031347E8" w14:textId="77777777" w:rsidR="00C86F13" w:rsidRDefault="00C86F13" w:rsidP="00116291">
      <w:pPr>
        <w:tabs>
          <w:tab w:val="left" w:pos="3422"/>
        </w:tabs>
        <w:spacing w:after="0" w:line="240" w:lineRule="auto"/>
        <w:rPr>
          <w:rFonts w:ascii="Times New Roman" w:hAnsi="Times New Roman" w:cs="Times New Roman"/>
          <w:sz w:val="24"/>
          <w:szCs w:val="24"/>
        </w:rPr>
      </w:pPr>
    </w:p>
    <w:p w14:paraId="2532A311" w14:textId="77777777" w:rsidR="00C86F13" w:rsidRDefault="00C86F13" w:rsidP="00116291">
      <w:pPr>
        <w:tabs>
          <w:tab w:val="left" w:pos="3422"/>
        </w:tabs>
        <w:spacing w:after="0" w:line="240" w:lineRule="auto"/>
        <w:rPr>
          <w:rFonts w:ascii="Times New Roman" w:hAnsi="Times New Roman" w:cs="Times New Roman"/>
          <w:sz w:val="24"/>
          <w:szCs w:val="24"/>
        </w:rPr>
      </w:pPr>
    </w:p>
    <w:p w14:paraId="6AFCA9FB" w14:textId="77777777" w:rsidR="00C86F13" w:rsidRDefault="00C86F13" w:rsidP="00116291">
      <w:pPr>
        <w:tabs>
          <w:tab w:val="left" w:pos="3422"/>
        </w:tabs>
        <w:spacing w:after="0" w:line="240" w:lineRule="auto"/>
        <w:rPr>
          <w:rFonts w:ascii="Times New Roman" w:hAnsi="Times New Roman" w:cs="Times New Roman"/>
          <w:sz w:val="24"/>
          <w:szCs w:val="24"/>
        </w:rPr>
      </w:pPr>
    </w:p>
    <w:p w14:paraId="1B047A6A" w14:textId="77777777" w:rsidR="00C86F13" w:rsidRDefault="00C86F13" w:rsidP="00116291">
      <w:pPr>
        <w:tabs>
          <w:tab w:val="left" w:pos="3422"/>
        </w:tabs>
        <w:spacing w:after="0" w:line="240" w:lineRule="auto"/>
        <w:rPr>
          <w:rFonts w:ascii="Times New Roman" w:hAnsi="Times New Roman" w:cs="Times New Roman"/>
          <w:sz w:val="24"/>
          <w:szCs w:val="24"/>
        </w:rPr>
      </w:pPr>
    </w:p>
    <w:p w14:paraId="3E22F664" w14:textId="77777777" w:rsidR="00C86F13" w:rsidRDefault="00C86F13" w:rsidP="00116291">
      <w:pPr>
        <w:tabs>
          <w:tab w:val="left" w:pos="3422"/>
        </w:tabs>
        <w:spacing w:after="0" w:line="240" w:lineRule="auto"/>
        <w:rPr>
          <w:rFonts w:ascii="Times New Roman" w:hAnsi="Times New Roman" w:cs="Times New Roman"/>
          <w:sz w:val="24"/>
          <w:szCs w:val="24"/>
        </w:rPr>
      </w:pPr>
    </w:p>
    <w:p w14:paraId="380272EF" w14:textId="77777777" w:rsidR="00C86F13" w:rsidRDefault="00C86F13" w:rsidP="00116291">
      <w:pPr>
        <w:tabs>
          <w:tab w:val="left" w:pos="3422"/>
        </w:tabs>
        <w:spacing w:after="0" w:line="240" w:lineRule="auto"/>
        <w:rPr>
          <w:rFonts w:ascii="Times New Roman" w:hAnsi="Times New Roman" w:cs="Times New Roman"/>
          <w:sz w:val="24"/>
          <w:szCs w:val="24"/>
        </w:rPr>
      </w:pPr>
    </w:p>
    <w:p w14:paraId="092BA632" w14:textId="77777777" w:rsidR="00C86F13" w:rsidRDefault="00C86F13" w:rsidP="00116291">
      <w:pPr>
        <w:tabs>
          <w:tab w:val="left" w:pos="3422"/>
        </w:tabs>
        <w:spacing w:after="0" w:line="240" w:lineRule="auto"/>
        <w:rPr>
          <w:rFonts w:ascii="Times New Roman" w:hAnsi="Times New Roman" w:cs="Times New Roman"/>
          <w:sz w:val="24"/>
          <w:szCs w:val="24"/>
        </w:rPr>
      </w:pPr>
    </w:p>
    <w:p w14:paraId="36F94F3C" w14:textId="77777777" w:rsidR="00C86F13" w:rsidRDefault="00C86F13" w:rsidP="00116291">
      <w:pPr>
        <w:tabs>
          <w:tab w:val="left" w:pos="3422"/>
        </w:tabs>
        <w:spacing w:after="0" w:line="240" w:lineRule="auto"/>
        <w:rPr>
          <w:rFonts w:ascii="Times New Roman" w:hAnsi="Times New Roman" w:cs="Times New Roman"/>
          <w:sz w:val="24"/>
          <w:szCs w:val="24"/>
        </w:rPr>
      </w:pPr>
    </w:p>
    <w:p w14:paraId="58D9EEDA" w14:textId="77777777" w:rsidR="00C86F13" w:rsidRDefault="00C86F13" w:rsidP="00116291">
      <w:pPr>
        <w:tabs>
          <w:tab w:val="left" w:pos="3422"/>
        </w:tabs>
        <w:spacing w:after="0" w:line="240" w:lineRule="auto"/>
        <w:rPr>
          <w:rFonts w:ascii="Times New Roman" w:hAnsi="Times New Roman" w:cs="Times New Roman"/>
          <w:sz w:val="24"/>
          <w:szCs w:val="24"/>
        </w:rPr>
      </w:pPr>
    </w:p>
    <w:p w14:paraId="798B72E2" w14:textId="77777777" w:rsidR="00C86F13" w:rsidRDefault="00C86F13" w:rsidP="00116291">
      <w:pPr>
        <w:tabs>
          <w:tab w:val="left" w:pos="3422"/>
        </w:tabs>
        <w:spacing w:after="0" w:line="240" w:lineRule="auto"/>
        <w:rPr>
          <w:rFonts w:ascii="Times New Roman" w:hAnsi="Times New Roman" w:cs="Times New Roman"/>
          <w:sz w:val="24"/>
          <w:szCs w:val="24"/>
        </w:rPr>
      </w:pPr>
    </w:p>
    <w:p w14:paraId="5D1EC816" w14:textId="77777777" w:rsidR="00C86F13" w:rsidRDefault="00C86F13" w:rsidP="00116291">
      <w:pPr>
        <w:tabs>
          <w:tab w:val="left" w:pos="3422"/>
        </w:tabs>
        <w:spacing w:after="0" w:line="240" w:lineRule="auto"/>
        <w:rPr>
          <w:rFonts w:ascii="Times New Roman" w:hAnsi="Times New Roman" w:cs="Times New Roman"/>
          <w:sz w:val="24"/>
          <w:szCs w:val="24"/>
        </w:rPr>
      </w:pPr>
    </w:p>
    <w:p w14:paraId="64E52FD7" w14:textId="77777777" w:rsidR="00C86F13" w:rsidRDefault="00C86F13" w:rsidP="00116291">
      <w:pPr>
        <w:tabs>
          <w:tab w:val="left" w:pos="3422"/>
        </w:tabs>
        <w:spacing w:after="0" w:line="240" w:lineRule="auto"/>
        <w:rPr>
          <w:rFonts w:ascii="Times New Roman" w:hAnsi="Times New Roman" w:cs="Times New Roman"/>
          <w:sz w:val="24"/>
          <w:szCs w:val="24"/>
        </w:rPr>
      </w:pPr>
    </w:p>
    <w:p w14:paraId="2C83BDF5" w14:textId="77777777" w:rsidR="00C86F13" w:rsidRDefault="00C86F13" w:rsidP="00116291">
      <w:pPr>
        <w:tabs>
          <w:tab w:val="left" w:pos="3422"/>
        </w:tabs>
        <w:spacing w:after="0" w:line="240" w:lineRule="auto"/>
        <w:rPr>
          <w:rFonts w:ascii="Times New Roman" w:hAnsi="Times New Roman" w:cs="Times New Roman"/>
          <w:sz w:val="24"/>
          <w:szCs w:val="24"/>
        </w:rPr>
      </w:pPr>
    </w:p>
    <w:p w14:paraId="10A0C3FB" w14:textId="77777777" w:rsidR="00C86F13" w:rsidRDefault="00C86F13" w:rsidP="00116291">
      <w:pPr>
        <w:tabs>
          <w:tab w:val="left" w:pos="3422"/>
        </w:tabs>
        <w:spacing w:after="0" w:line="240" w:lineRule="auto"/>
        <w:rPr>
          <w:rFonts w:ascii="Times New Roman" w:hAnsi="Times New Roman" w:cs="Times New Roman"/>
          <w:sz w:val="24"/>
          <w:szCs w:val="24"/>
        </w:rPr>
      </w:pPr>
    </w:p>
    <w:p w14:paraId="2F9CEEA5" w14:textId="77777777" w:rsidR="00C86F13" w:rsidRDefault="00C86F13" w:rsidP="00116291">
      <w:pPr>
        <w:tabs>
          <w:tab w:val="left" w:pos="3422"/>
        </w:tabs>
        <w:spacing w:after="0" w:line="240" w:lineRule="auto"/>
        <w:rPr>
          <w:rFonts w:ascii="Times New Roman" w:hAnsi="Times New Roman" w:cs="Times New Roman"/>
          <w:sz w:val="24"/>
          <w:szCs w:val="24"/>
        </w:rPr>
      </w:pPr>
    </w:p>
    <w:p w14:paraId="5A739322" w14:textId="77777777" w:rsidR="00C86F13" w:rsidRDefault="00C86F13" w:rsidP="00116291">
      <w:pPr>
        <w:tabs>
          <w:tab w:val="left" w:pos="3422"/>
        </w:tabs>
        <w:spacing w:after="0" w:line="240" w:lineRule="auto"/>
        <w:rPr>
          <w:rFonts w:ascii="Times New Roman" w:hAnsi="Times New Roman" w:cs="Times New Roman"/>
          <w:sz w:val="24"/>
          <w:szCs w:val="24"/>
        </w:rPr>
      </w:pPr>
    </w:p>
    <w:p w14:paraId="2203A4DE" w14:textId="77777777" w:rsidR="00C86F13" w:rsidRDefault="00C86F13" w:rsidP="00116291">
      <w:pPr>
        <w:tabs>
          <w:tab w:val="left" w:pos="3422"/>
        </w:tabs>
        <w:spacing w:after="0" w:line="240" w:lineRule="auto"/>
        <w:rPr>
          <w:rFonts w:ascii="Times New Roman" w:hAnsi="Times New Roman" w:cs="Times New Roman"/>
          <w:sz w:val="24"/>
          <w:szCs w:val="24"/>
        </w:rPr>
      </w:pPr>
    </w:p>
    <w:p w14:paraId="12A649B5" w14:textId="77777777" w:rsidR="00C86F13" w:rsidRDefault="00C86F13" w:rsidP="00116291">
      <w:pPr>
        <w:tabs>
          <w:tab w:val="left" w:pos="3422"/>
        </w:tabs>
        <w:spacing w:after="0" w:line="240" w:lineRule="auto"/>
        <w:rPr>
          <w:rFonts w:ascii="Times New Roman" w:hAnsi="Times New Roman" w:cs="Times New Roman"/>
          <w:sz w:val="24"/>
          <w:szCs w:val="24"/>
        </w:rPr>
      </w:pPr>
    </w:p>
    <w:p w14:paraId="43F44E58" w14:textId="77777777" w:rsidR="00C86F13" w:rsidRDefault="00C86F13" w:rsidP="00116291">
      <w:pPr>
        <w:tabs>
          <w:tab w:val="left" w:pos="3422"/>
        </w:tabs>
        <w:spacing w:after="0" w:line="240" w:lineRule="auto"/>
        <w:rPr>
          <w:rFonts w:ascii="Times New Roman" w:hAnsi="Times New Roman" w:cs="Times New Roman"/>
          <w:sz w:val="24"/>
          <w:szCs w:val="24"/>
        </w:rPr>
      </w:pPr>
    </w:p>
    <w:p w14:paraId="3CB5DA74" w14:textId="77777777" w:rsidR="00C86F13" w:rsidRDefault="00C86F13" w:rsidP="00116291">
      <w:pPr>
        <w:tabs>
          <w:tab w:val="left" w:pos="3422"/>
        </w:tabs>
        <w:spacing w:after="0" w:line="240" w:lineRule="auto"/>
        <w:rPr>
          <w:rFonts w:ascii="Times New Roman" w:hAnsi="Times New Roman" w:cs="Times New Roman"/>
          <w:sz w:val="24"/>
          <w:szCs w:val="24"/>
        </w:rPr>
      </w:pPr>
    </w:p>
    <w:p w14:paraId="060E77D3" w14:textId="77777777" w:rsidR="00C86F13" w:rsidRDefault="00C86F13" w:rsidP="00116291">
      <w:pPr>
        <w:tabs>
          <w:tab w:val="left" w:pos="3422"/>
        </w:tabs>
        <w:spacing w:after="0" w:line="240" w:lineRule="auto"/>
        <w:rPr>
          <w:rFonts w:ascii="Times New Roman" w:hAnsi="Times New Roman" w:cs="Times New Roman"/>
          <w:sz w:val="24"/>
          <w:szCs w:val="24"/>
        </w:rPr>
      </w:pPr>
    </w:p>
    <w:p w14:paraId="44A552A5" w14:textId="77777777" w:rsidR="00C86F13" w:rsidRDefault="00C86F13" w:rsidP="00116291">
      <w:pPr>
        <w:tabs>
          <w:tab w:val="left" w:pos="3422"/>
        </w:tabs>
        <w:spacing w:after="0" w:line="240" w:lineRule="auto"/>
        <w:rPr>
          <w:rFonts w:ascii="Times New Roman" w:hAnsi="Times New Roman" w:cs="Times New Roman"/>
          <w:sz w:val="24"/>
          <w:szCs w:val="24"/>
        </w:rPr>
      </w:pPr>
    </w:p>
    <w:p w14:paraId="2E6A82C7" w14:textId="77777777" w:rsidR="00C86F13" w:rsidRDefault="00C86F13" w:rsidP="00116291">
      <w:pPr>
        <w:tabs>
          <w:tab w:val="left" w:pos="3422"/>
        </w:tabs>
        <w:spacing w:after="0" w:line="240" w:lineRule="auto"/>
        <w:rPr>
          <w:rFonts w:ascii="Times New Roman" w:hAnsi="Times New Roman" w:cs="Times New Roman"/>
          <w:sz w:val="24"/>
          <w:szCs w:val="24"/>
        </w:rPr>
      </w:pPr>
    </w:p>
    <w:p w14:paraId="5C536A76" w14:textId="77777777" w:rsidR="00C86F13" w:rsidRDefault="00C86F13" w:rsidP="00116291">
      <w:pPr>
        <w:tabs>
          <w:tab w:val="left" w:pos="3422"/>
        </w:tabs>
        <w:spacing w:after="0" w:line="240" w:lineRule="auto"/>
        <w:rPr>
          <w:rFonts w:ascii="Times New Roman" w:hAnsi="Times New Roman" w:cs="Times New Roman"/>
          <w:sz w:val="24"/>
          <w:szCs w:val="24"/>
        </w:rPr>
      </w:pPr>
    </w:p>
    <w:p w14:paraId="25831B30" w14:textId="77777777" w:rsidR="00C86F13" w:rsidRDefault="00C86F13" w:rsidP="00116291">
      <w:pPr>
        <w:tabs>
          <w:tab w:val="left" w:pos="3422"/>
        </w:tabs>
        <w:spacing w:after="0" w:line="240" w:lineRule="auto"/>
        <w:rPr>
          <w:rFonts w:ascii="Times New Roman" w:hAnsi="Times New Roman" w:cs="Times New Roman"/>
          <w:sz w:val="24"/>
          <w:szCs w:val="24"/>
        </w:rPr>
      </w:pPr>
    </w:p>
    <w:p w14:paraId="4B9F0CF8" w14:textId="77777777" w:rsidR="00C86F13" w:rsidRDefault="00C86F13" w:rsidP="00116291">
      <w:pPr>
        <w:tabs>
          <w:tab w:val="left" w:pos="3422"/>
        </w:tabs>
        <w:spacing w:after="0" w:line="240" w:lineRule="auto"/>
        <w:rPr>
          <w:rFonts w:ascii="Times New Roman" w:hAnsi="Times New Roman" w:cs="Times New Roman"/>
          <w:sz w:val="24"/>
          <w:szCs w:val="24"/>
        </w:rPr>
      </w:pPr>
    </w:p>
    <w:p w14:paraId="29591C30" w14:textId="77777777" w:rsidR="00C86F13" w:rsidRDefault="00C86F13" w:rsidP="00116291">
      <w:pPr>
        <w:tabs>
          <w:tab w:val="left" w:pos="3422"/>
        </w:tabs>
        <w:spacing w:after="0" w:line="240" w:lineRule="auto"/>
        <w:rPr>
          <w:rFonts w:ascii="Times New Roman" w:hAnsi="Times New Roman" w:cs="Times New Roman"/>
          <w:sz w:val="24"/>
          <w:szCs w:val="24"/>
        </w:rPr>
      </w:pPr>
    </w:p>
    <w:p w14:paraId="0B5A61DF" w14:textId="77777777" w:rsidR="00C86F13" w:rsidRDefault="00C86F13" w:rsidP="00116291">
      <w:pPr>
        <w:tabs>
          <w:tab w:val="left" w:pos="3422"/>
        </w:tabs>
        <w:spacing w:after="0" w:line="240" w:lineRule="auto"/>
        <w:rPr>
          <w:rFonts w:ascii="Times New Roman" w:hAnsi="Times New Roman" w:cs="Times New Roman"/>
          <w:sz w:val="24"/>
          <w:szCs w:val="24"/>
        </w:rPr>
      </w:pPr>
    </w:p>
    <w:p w14:paraId="560A1A87" w14:textId="77777777" w:rsidR="00C86F13" w:rsidRDefault="00C86F13" w:rsidP="00116291">
      <w:pPr>
        <w:tabs>
          <w:tab w:val="left" w:pos="3422"/>
        </w:tabs>
        <w:spacing w:after="0" w:line="240" w:lineRule="auto"/>
        <w:rPr>
          <w:rFonts w:ascii="Times New Roman" w:hAnsi="Times New Roman" w:cs="Times New Roman"/>
          <w:sz w:val="24"/>
          <w:szCs w:val="24"/>
        </w:rPr>
      </w:pPr>
    </w:p>
    <w:p w14:paraId="4C506F79" w14:textId="77777777" w:rsidR="00C86F13" w:rsidRDefault="00C86F13" w:rsidP="00116291">
      <w:pPr>
        <w:tabs>
          <w:tab w:val="left" w:pos="3422"/>
        </w:tabs>
        <w:spacing w:after="0" w:line="240" w:lineRule="auto"/>
        <w:rPr>
          <w:rFonts w:ascii="Times New Roman" w:hAnsi="Times New Roman" w:cs="Times New Roman"/>
          <w:sz w:val="24"/>
          <w:szCs w:val="24"/>
        </w:rPr>
      </w:pPr>
    </w:p>
    <w:p w14:paraId="2FD6969B" w14:textId="77777777" w:rsidR="00C86F13" w:rsidRDefault="00C86F13" w:rsidP="00116291">
      <w:pPr>
        <w:tabs>
          <w:tab w:val="left" w:pos="3422"/>
        </w:tabs>
        <w:spacing w:after="0" w:line="240" w:lineRule="auto"/>
        <w:rPr>
          <w:rFonts w:ascii="Times New Roman" w:hAnsi="Times New Roman" w:cs="Times New Roman"/>
          <w:sz w:val="24"/>
          <w:szCs w:val="24"/>
        </w:rPr>
      </w:pPr>
    </w:p>
    <w:p w14:paraId="370C5CBD" w14:textId="77777777" w:rsidR="00C86F13" w:rsidRDefault="00C86F13" w:rsidP="00116291">
      <w:pPr>
        <w:tabs>
          <w:tab w:val="left" w:pos="3422"/>
        </w:tabs>
        <w:spacing w:after="0" w:line="240" w:lineRule="auto"/>
        <w:rPr>
          <w:rFonts w:ascii="Times New Roman" w:hAnsi="Times New Roman" w:cs="Times New Roman"/>
          <w:sz w:val="24"/>
          <w:szCs w:val="24"/>
        </w:rPr>
      </w:pPr>
    </w:p>
    <w:p w14:paraId="104ECE6B" w14:textId="77777777" w:rsidR="00C86F13" w:rsidRDefault="00C86F13" w:rsidP="00116291">
      <w:pPr>
        <w:tabs>
          <w:tab w:val="left" w:pos="3422"/>
        </w:tabs>
        <w:spacing w:after="0" w:line="240" w:lineRule="auto"/>
        <w:rPr>
          <w:rFonts w:ascii="Times New Roman" w:hAnsi="Times New Roman" w:cs="Times New Roman"/>
          <w:sz w:val="24"/>
          <w:szCs w:val="24"/>
        </w:rPr>
      </w:pPr>
    </w:p>
    <w:p w14:paraId="691A12F7" w14:textId="77777777" w:rsidR="00C86F13" w:rsidRDefault="00C86F13" w:rsidP="00116291">
      <w:pPr>
        <w:tabs>
          <w:tab w:val="left" w:pos="3422"/>
        </w:tabs>
        <w:spacing w:after="0" w:line="240" w:lineRule="auto"/>
        <w:rPr>
          <w:rFonts w:ascii="Times New Roman" w:hAnsi="Times New Roman" w:cs="Times New Roman"/>
          <w:sz w:val="24"/>
          <w:szCs w:val="24"/>
        </w:rPr>
      </w:pPr>
    </w:p>
    <w:p w14:paraId="1700D001" w14:textId="77777777" w:rsidR="00C86F13" w:rsidRDefault="00C86F13" w:rsidP="00116291">
      <w:pPr>
        <w:tabs>
          <w:tab w:val="left" w:pos="3422"/>
        </w:tabs>
        <w:spacing w:after="0" w:line="240" w:lineRule="auto"/>
        <w:rPr>
          <w:rFonts w:ascii="Times New Roman" w:hAnsi="Times New Roman" w:cs="Times New Roman"/>
          <w:sz w:val="24"/>
          <w:szCs w:val="24"/>
        </w:rPr>
      </w:pPr>
    </w:p>
    <w:p w14:paraId="33B686F2" w14:textId="77777777" w:rsidR="00C86F13" w:rsidRDefault="00C86F13" w:rsidP="00116291">
      <w:pPr>
        <w:tabs>
          <w:tab w:val="left" w:pos="3422"/>
        </w:tabs>
        <w:spacing w:after="0" w:line="240" w:lineRule="auto"/>
        <w:rPr>
          <w:rFonts w:ascii="Times New Roman" w:hAnsi="Times New Roman" w:cs="Times New Roman"/>
          <w:sz w:val="24"/>
          <w:szCs w:val="24"/>
        </w:rPr>
      </w:pPr>
    </w:p>
    <w:p w14:paraId="1AFCC341" w14:textId="77777777" w:rsidR="00C86F13" w:rsidRDefault="00C86F13" w:rsidP="00116291">
      <w:pPr>
        <w:tabs>
          <w:tab w:val="left" w:pos="3422"/>
        </w:tabs>
        <w:spacing w:after="0" w:line="240" w:lineRule="auto"/>
        <w:rPr>
          <w:rFonts w:ascii="Times New Roman" w:hAnsi="Times New Roman" w:cs="Times New Roman"/>
          <w:sz w:val="24"/>
          <w:szCs w:val="24"/>
        </w:rPr>
      </w:pPr>
    </w:p>
    <w:p w14:paraId="127A543C" w14:textId="77777777" w:rsidR="00C86F13" w:rsidRDefault="00C86F13" w:rsidP="00116291">
      <w:pPr>
        <w:tabs>
          <w:tab w:val="left" w:pos="3422"/>
        </w:tabs>
        <w:spacing w:after="0" w:line="240" w:lineRule="auto"/>
        <w:rPr>
          <w:rFonts w:ascii="Times New Roman" w:hAnsi="Times New Roman" w:cs="Times New Roman"/>
          <w:sz w:val="24"/>
          <w:szCs w:val="24"/>
        </w:rPr>
      </w:pPr>
    </w:p>
    <w:p w14:paraId="299C011A" w14:textId="77777777" w:rsidR="00C86F13" w:rsidRDefault="00C86F13" w:rsidP="00116291">
      <w:pPr>
        <w:tabs>
          <w:tab w:val="left" w:pos="3422"/>
        </w:tabs>
        <w:spacing w:after="0" w:line="240" w:lineRule="auto"/>
        <w:rPr>
          <w:rFonts w:ascii="Times New Roman" w:hAnsi="Times New Roman" w:cs="Times New Roman"/>
          <w:sz w:val="24"/>
          <w:szCs w:val="24"/>
        </w:rPr>
      </w:pPr>
    </w:p>
    <w:p w14:paraId="010F0D3C" w14:textId="77777777" w:rsidR="00C86F13" w:rsidRPr="00BE4AF3" w:rsidRDefault="00C86F13" w:rsidP="00116291">
      <w:pPr>
        <w:tabs>
          <w:tab w:val="left" w:pos="3422"/>
        </w:tabs>
        <w:spacing w:after="0" w:line="240" w:lineRule="auto"/>
        <w:rPr>
          <w:rFonts w:ascii="Times New Roman" w:hAnsi="Times New Roman" w:cs="Times New Roman"/>
          <w:sz w:val="24"/>
          <w:szCs w:val="24"/>
        </w:rPr>
      </w:pPr>
    </w:p>
    <w:p w14:paraId="58837A57" w14:textId="77777777" w:rsidR="00ED4768" w:rsidRPr="00BE4AF3" w:rsidRDefault="00ED4768" w:rsidP="00ED4768">
      <w:pPr>
        <w:autoSpaceDE w:val="0"/>
        <w:autoSpaceDN w:val="0"/>
        <w:adjustRightInd w:val="0"/>
        <w:spacing w:after="0" w:line="240" w:lineRule="auto"/>
        <w:jc w:val="center"/>
        <w:rPr>
          <w:rFonts w:ascii="Times New Roman" w:hAnsi="Times New Roman" w:cs="Times New Roman"/>
          <w:b/>
          <w:bCs/>
          <w:color w:val="000000"/>
          <w:sz w:val="24"/>
          <w:szCs w:val="24"/>
        </w:rPr>
      </w:pPr>
      <w:r w:rsidRPr="00C86F13">
        <w:rPr>
          <w:rFonts w:ascii="Times New Roman" w:hAnsi="Times New Roman" w:cs="Times New Roman"/>
          <w:b/>
          <w:bCs/>
          <w:color w:val="000000"/>
          <w:sz w:val="28"/>
          <w:szCs w:val="28"/>
        </w:rPr>
        <w:lastRenderedPageBreak/>
        <w:t>An assessment of Factors Influencing Quality of Life among the Residents’ in Flood- Prone Area of Ibadan Metropolis</w:t>
      </w:r>
    </w:p>
    <w:p w14:paraId="46F948DA" w14:textId="77777777" w:rsidR="00ED4768" w:rsidRPr="00BE4AF3" w:rsidRDefault="00ED4768" w:rsidP="00ED4768">
      <w:pPr>
        <w:autoSpaceDE w:val="0"/>
        <w:autoSpaceDN w:val="0"/>
        <w:adjustRightInd w:val="0"/>
        <w:spacing w:after="0" w:line="240" w:lineRule="auto"/>
        <w:jc w:val="center"/>
        <w:rPr>
          <w:rFonts w:ascii="Times New Roman" w:hAnsi="Times New Roman" w:cs="Times New Roman"/>
          <w:b/>
          <w:bCs/>
          <w:color w:val="000000"/>
          <w:sz w:val="24"/>
          <w:szCs w:val="24"/>
        </w:rPr>
      </w:pPr>
    </w:p>
    <w:p w14:paraId="646CA697" w14:textId="77777777" w:rsidR="00ED4768" w:rsidRPr="00BE4AF3" w:rsidRDefault="00ED4768" w:rsidP="00ED4768">
      <w:pPr>
        <w:autoSpaceDE w:val="0"/>
        <w:autoSpaceDN w:val="0"/>
        <w:adjustRightInd w:val="0"/>
        <w:spacing w:after="0" w:line="240" w:lineRule="auto"/>
        <w:jc w:val="center"/>
        <w:rPr>
          <w:rFonts w:ascii="Times New Roman" w:hAnsi="Times New Roman" w:cs="Times New Roman"/>
          <w:bCs/>
          <w:color w:val="000000"/>
          <w:sz w:val="24"/>
          <w:szCs w:val="24"/>
        </w:rPr>
      </w:pPr>
      <w:r w:rsidRPr="00BE4AF3">
        <w:rPr>
          <w:rFonts w:ascii="Times New Roman" w:hAnsi="Times New Roman" w:cs="Times New Roman"/>
          <w:bCs/>
          <w:color w:val="000000"/>
          <w:sz w:val="24"/>
          <w:szCs w:val="24"/>
        </w:rPr>
        <w:t xml:space="preserve">¹Popoola Adewale Sheyi, ² David Mobolaji and </w:t>
      </w:r>
      <w:r w:rsidRPr="00BE4AF3">
        <w:rPr>
          <w:rFonts w:ascii="Times New Roman" w:hAnsi="Times New Roman" w:cs="Times New Roman"/>
          <w:color w:val="000000"/>
          <w:sz w:val="24"/>
          <w:szCs w:val="24"/>
        </w:rPr>
        <w:t>³</w:t>
      </w:r>
      <w:r w:rsidRPr="00BE4AF3">
        <w:rPr>
          <w:rFonts w:ascii="Times New Roman" w:hAnsi="Times New Roman" w:cs="Times New Roman"/>
          <w:bCs/>
          <w:color w:val="000000"/>
          <w:sz w:val="24"/>
          <w:szCs w:val="24"/>
        </w:rPr>
        <w:t>Olusesi Oluwatobi</w:t>
      </w:r>
    </w:p>
    <w:p w14:paraId="373FCF10" w14:textId="77777777" w:rsidR="00ED4768" w:rsidRPr="00BE4AF3" w:rsidRDefault="00ED4768" w:rsidP="00ED4768">
      <w:pPr>
        <w:autoSpaceDE w:val="0"/>
        <w:autoSpaceDN w:val="0"/>
        <w:adjustRightInd w:val="0"/>
        <w:spacing w:after="0" w:line="240" w:lineRule="auto"/>
        <w:jc w:val="center"/>
        <w:rPr>
          <w:rFonts w:ascii="Times New Roman" w:hAnsi="Times New Roman" w:cs="Times New Roman"/>
          <w:bCs/>
          <w:color w:val="000000"/>
          <w:sz w:val="24"/>
          <w:szCs w:val="24"/>
        </w:rPr>
      </w:pPr>
      <w:r w:rsidRPr="00BE4AF3">
        <w:rPr>
          <w:rFonts w:ascii="Times New Roman" w:hAnsi="Times New Roman" w:cs="Times New Roman"/>
          <w:bCs/>
          <w:color w:val="000000"/>
          <w:sz w:val="24"/>
          <w:szCs w:val="24"/>
        </w:rPr>
        <w:t>Funmilayo</w:t>
      </w:r>
    </w:p>
    <w:p w14:paraId="25F77B58" w14:textId="77777777" w:rsidR="00ED4768" w:rsidRPr="00BE4AF3" w:rsidRDefault="00ED4768" w:rsidP="00ED4768">
      <w:pPr>
        <w:autoSpaceDE w:val="0"/>
        <w:autoSpaceDN w:val="0"/>
        <w:adjustRightInd w:val="0"/>
        <w:spacing w:after="0" w:line="240" w:lineRule="auto"/>
        <w:jc w:val="center"/>
        <w:rPr>
          <w:rFonts w:ascii="Times New Roman" w:hAnsi="Times New Roman" w:cs="Times New Roman"/>
          <w:bCs/>
          <w:color w:val="000000"/>
          <w:sz w:val="24"/>
          <w:szCs w:val="24"/>
        </w:rPr>
      </w:pPr>
    </w:p>
    <w:p w14:paraId="2243B357" w14:textId="77777777" w:rsidR="00ED4768" w:rsidRPr="00C86F13" w:rsidRDefault="00ED4768" w:rsidP="00ED4768">
      <w:pPr>
        <w:autoSpaceDE w:val="0"/>
        <w:autoSpaceDN w:val="0"/>
        <w:adjustRightInd w:val="0"/>
        <w:spacing w:after="0" w:line="240" w:lineRule="auto"/>
        <w:jc w:val="center"/>
        <w:rPr>
          <w:rFonts w:ascii="Times New Roman" w:hAnsi="Times New Roman" w:cs="Times New Roman"/>
          <w:color w:val="000000"/>
          <w:sz w:val="20"/>
          <w:szCs w:val="20"/>
        </w:rPr>
      </w:pPr>
      <w:r w:rsidRPr="00C86F13">
        <w:rPr>
          <w:rFonts w:ascii="Times New Roman" w:hAnsi="Times New Roman" w:cs="Times New Roman"/>
          <w:color w:val="000000"/>
          <w:sz w:val="20"/>
          <w:szCs w:val="20"/>
        </w:rPr>
        <w:t>¹Department of Urban and Regional Planning, Federal University Oye-Ekiti, Nigeria</w:t>
      </w:r>
    </w:p>
    <w:p w14:paraId="1A43D851" w14:textId="77777777" w:rsidR="00ED4768" w:rsidRPr="00C86F13" w:rsidRDefault="00ED4768" w:rsidP="00ED4768">
      <w:pPr>
        <w:autoSpaceDE w:val="0"/>
        <w:autoSpaceDN w:val="0"/>
        <w:adjustRightInd w:val="0"/>
        <w:spacing w:after="0" w:line="240" w:lineRule="auto"/>
        <w:jc w:val="center"/>
        <w:rPr>
          <w:rFonts w:ascii="Times New Roman" w:hAnsi="Times New Roman" w:cs="Times New Roman"/>
          <w:color w:val="000000"/>
          <w:sz w:val="20"/>
          <w:szCs w:val="20"/>
        </w:rPr>
      </w:pPr>
      <w:r w:rsidRPr="00C86F13">
        <w:rPr>
          <w:rFonts w:ascii="Times New Roman" w:hAnsi="Times New Roman" w:cs="Times New Roman"/>
          <w:color w:val="000000"/>
          <w:sz w:val="20"/>
          <w:szCs w:val="20"/>
        </w:rPr>
        <w:t>²’³Department of Urban and Regional Planning, Obafemi Awolowo University Ile-Ife, Nigeria</w:t>
      </w:r>
    </w:p>
    <w:p w14:paraId="37CE4862" w14:textId="77777777" w:rsidR="00ED4768" w:rsidRPr="00BE4AF3" w:rsidRDefault="00ED4768" w:rsidP="00ED4768">
      <w:pPr>
        <w:autoSpaceDE w:val="0"/>
        <w:autoSpaceDN w:val="0"/>
        <w:adjustRightInd w:val="0"/>
        <w:spacing w:after="0" w:line="240" w:lineRule="auto"/>
        <w:jc w:val="center"/>
        <w:rPr>
          <w:rFonts w:ascii="Times New Roman" w:hAnsi="Times New Roman" w:cs="Times New Roman"/>
          <w:color w:val="000000"/>
          <w:sz w:val="24"/>
          <w:szCs w:val="24"/>
        </w:rPr>
      </w:pPr>
    </w:p>
    <w:p w14:paraId="7FBBB0D6" w14:textId="77777777" w:rsidR="00ED4768" w:rsidRPr="00BE4AF3" w:rsidRDefault="00ED4768" w:rsidP="00ED4768">
      <w:pPr>
        <w:autoSpaceDE w:val="0"/>
        <w:autoSpaceDN w:val="0"/>
        <w:adjustRightInd w:val="0"/>
        <w:spacing w:after="0" w:line="240" w:lineRule="auto"/>
        <w:jc w:val="both"/>
        <w:rPr>
          <w:rFonts w:ascii="Times New Roman" w:hAnsi="Times New Roman" w:cs="Times New Roman"/>
          <w:b/>
          <w:bCs/>
          <w:color w:val="000000"/>
          <w:sz w:val="24"/>
          <w:szCs w:val="24"/>
        </w:rPr>
      </w:pPr>
      <w:r w:rsidRPr="00BE4AF3">
        <w:rPr>
          <w:rFonts w:ascii="Times New Roman" w:hAnsi="Times New Roman" w:cs="Times New Roman"/>
          <w:b/>
          <w:bCs/>
          <w:color w:val="000000"/>
          <w:sz w:val="24"/>
          <w:szCs w:val="24"/>
        </w:rPr>
        <w:t>LICFES 2025-033 – FP33</w:t>
      </w:r>
    </w:p>
    <w:p w14:paraId="5E7C0EC1" w14:textId="77777777" w:rsidR="00ED4768" w:rsidRPr="00BE4AF3" w:rsidRDefault="00ED4768" w:rsidP="00ED4768">
      <w:pPr>
        <w:autoSpaceDE w:val="0"/>
        <w:autoSpaceDN w:val="0"/>
        <w:adjustRightInd w:val="0"/>
        <w:spacing w:after="0" w:line="240" w:lineRule="auto"/>
        <w:jc w:val="both"/>
        <w:rPr>
          <w:rFonts w:ascii="Times New Roman" w:hAnsi="Times New Roman" w:cs="Times New Roman"/>
          <w:b/>
          <w:bCs/>
          <w:color w:val="000000"/>
          <w:sz w:val="24"/>
          <w:szCs w:val="24"/>
        </w:rPr>
      </w:pPr>
      <w:r w:rsidRPr="00BE4AF3">
        <w:rPr>
          <w:rFonts w:ascii="Times New Roman" w:hAnsi="Times New Roman" w:cs="Times New Roman"/>
          <w:b/>
          <w:bCs/>
          <w:color w:val="000000"/>
          <w:sz w:val="24"/>
          <w:szCs w:val="24"/>
        </w:rPr>
        <w:t>Abstract</w:t>
      </w:r>
    </w:p>
    <w:p w14:paraId="693E38ED" w14:textId="13B4088F" w:rsidR="00ED4768" w:rsidRPr="00C86F13" w:rsidRDefault="00ED4768" w:rsidP="00ED4768">
      <w:pPr>
        <w:autoSpaceDE w:val="0"/>
        <w:autoSpaceDN w:val="0"/>
        <w:adjustRightInd w:val="0"/>
        <w:spacing w:after="0" w:line="240" w:lineRule="auto"/>
        <w:jc w:val="both"/>
        <w:rPr>
          <w:rFonts w:ascii="Times New Roman" w:hAnsi="Times New Roman" w:cs="Times New Roman"/>
          <w:iCs/>
          <w:color w:val="000000"/>
          <w:sz w:val="24"/>
          <w:szCs w:val="24"/>
        </w:rPr>
      </w:pPr>
      <w:r w:rsidRPr="00BE4AF3">
        <w:rPr>
          <w:rFonts w:ascii="Times New Roman" w:hAnsi="Times New Roman" w:cs="Times New Roman"/>
          <w:iCs/>
          <w:color w:val="000000"/>
          <w:sz w:val="24"/>
          <w:szCs w:val="24"/>
        </w:rPr>
        <w:t>The study assesses the factors influencing quality of life (QoL) among the residents’ in</w:t>
      </w:r>
      <w:r w:rsidR="00C86F13">
        <w:rPr>
          <w:rFonts w:ascii="Times New Roman" w:hAnsi="Times New Roman" w:cs="Times New Roman"/>
          <w:iCs/>
          <w:color w:val="000000"/>
          <w:sz w:val="24"/>
          <w:szCs w:val="24"/>
        </w:rPr>
        <w:t xml:space="preserve"> </w:t>
      </w:r>
      <w:r w:rsidRPr="00BE4AF3">
        <w:rPr>
          <w:rFonts w:ascii="Times New Roman" w:hAnsi="Times New Roman" w:cs="Times New Roman"/>
          <w:iCs/>
          <w:color w:val="000000"/>
          <w:sz w:val="24"/>
          <w:szCs w:val="24"/>
        </w:rPr>
        <w:t>flood-prone areas, with a view to provide information as input for formulating policies that could enhance the QoL among the residents’. Factor analysis technique was employed to determine the factors influencing residents’ quality of life in flood-prone areas of Ibadan metropolis</w:t>
      </w:r>
      <w:r w:rsidRPr="00BE4AF3">
        <w:rPr>
          <w:rFonts w:ascii="Times New Roman" w:hAnsi="Times New Roman" w:cs="Times New Roman"/>
          <w:b/>
          <w:bCs/>
          <w:iCs/>
          <w:color w:val="000000"/>
          <w:sz w:val="24"/>
          <w:szCs w:val="24"/>
        </w:rPr>
        <w:t xml:space="preserve">. </w:t>
      </w:r>
      <w:r w:rsidRPr="00BE4AF3">
        <w:rPr>
          <w:rFonts w:ascii="Times New Roman" w:hAnsi="Times New Roman" w:cs="Times New Roman"/>
          <w:iCs/>
          <w:color w:val="000000"/>
          <w:sz w:val="24"/>
          <w:szCs w:val="24"/>
        </w:rPr>
        <w:t>A total of two hundred and ninety (291) questionnaires were administered and sampled. Investigations include site visits, interviews of affected inhabitants, and analyses of flood data collected during the field investigations. Results obtained from infrastructure across the five local government areas indicated that 16,638 residential buildings were located within the fourth-five meters(45m) statutory set back to the rivers while 2,105 of residential buildings were flooded each time its rain. Data elicited include the available facilities, public safety measure as well as physical, social and environmental characteristics of the area</w:t>
      </w:r>
      <w:r w:rsidRPr="00BE4AF3">
        <w:rPr>
          <w:rFonts w:ascii="Times New Roman" w:hAnsi="Times New Roman" w:cs="Times New Roman"/>
          <w:b/>
          <w:bCs/>
          <w:iCs/>
          <w:color w:val="000000"/>
          <w:sz w:val="24"/>
          <w:szCs w:val="24"/>
        </w:rPr>
        <w:t xml:space="preserve">. </w:t>
      </w:r>
      <w:r w:rsidRPr="00BE4AF3">
        <w:rPr>
          <w:rFonts w:ascii="Times New Roman" w:hAnsi="Times New Roman" w:cs="Times New Roman"/>
          <w:iCs/>
          <w:color w:val="000000"/>
          <w:sz w:val="24"/>
          <w:szCs w:val="24"/>
        </w:rPr>
        <w:t>The study concludes that most residents’ rated were not satisfied about their residential conditions such as electricity supply, water supply and waste collection and disposal. The study further revealed that 16.4% of the residents across the neighborhoods were unhappy with their residential quality of life and 49.2% of the residents perceived their neighborhoods to be of medium quality. The three major variables influencing resident’s quality of life in the study area were; neighborhood quality, economic opportunities and environmental amenities. However, environment lack basic facilities and services</w:t>
      </w:r>
      <w:r w:rsidRPr="00BE4AF3">
        <w:rPr>
          <w:rFonts w:ascii="Times New Roman" w:hAnsi="Times New Roman" w:cs="Times New Roman"/>
          <w:b/>
          <w:bCs/>
          <w:iCs/>
          <w:color w:val="000000"/>
          <w:sz w:val="24"/>
          <w:szCs w:val="24"/>
        </w:rPr>
        <w:t xml:space="preserve">. </w:t>
      </w:r>
      <w:r w:rsidRPr="00BE4AF3">
        <w:rPr>
          <w:rFonts w:ascii="Times New Roman" w:hAnsi="Times New Roman" w:cs="Times New Roman"/>
          <w:iCs/>
          <w:color w:val="000000"/>
          <w:sz w:val="24"/>
          <w:szCs w:val="24"/>
        </w:rPr>
        <w:t>It is recommended that these basic needs and services should be adequately put in place through properly designed policies and massive education</w:t>
      </w:r>
      <w:r w:rsidRPr="00BE4AF3">
        <w:rPr>
          <w:rFonts w:ascii="Times New Roman" w:hAnsi="Times New Roman" w:cs="Times New Roman"/>
          <w:color w:val="000000"/>
          <w:sz w:val="24"/>
          <w:szCs w:val="24"/>
        </w:rPr>
        <w:t>.</w:t>
      </w:r>
    </w:p>
    <w:p w14:paraId="131ABBC9" w14:textId="77777777" w:rsidR="00ED4768" w:rsidRPr="00BE4AF3" w:rsidRDefault="00ED4768" w:rsidP="00ED4768">
      <w:pPr>
        <w:autoSpaceDE w:val="0"/>
        <w:autoSpaceDN w:val="0"/>
        <w:adjustRightInd w:val="0"/>
        <w:spacing w:after="0" w:line="240" w:lineRule="auto"/>
        <w:jc w:val="both"/>
        <w:rPr>
          <w:rFonts w:ascii="Times New Roman" w:hAnsi="Times New Roman" w:cs="Times New Roman"/>
          <w:b/>
          <w:bCs/>
          <w:iCs/>
          <w:color w:val="000000"/>
          <w:sz w:val="24"/>
          <w:szCs w:val="24"/>
        </w:rPr>
      </w:pPr>
    </w:p>
    <w:p w14:paraId="03A2BFC7" w14:textId="77777777" w:rsidR="00ED4768" w:rsidRPr="00BE4AF3" w:rsidRDefault="00ED4768" w:rsidP="00ED4768">
      <w:pPr>
        <w:autoSpaceDE w:val="0"/>
        <w:autoSpaceDN w:val="0"/>
        <w:adjustRightInd w:val="0"/>
        <w:spacing w:after="0" w:line="240" w:lineRule="auto"/>
        <w:jc w:val="both"/>
        <w:rPr>
          <w:rFonts w:ascii="Times New Roman" w:hAnsi="Times New Roman" w:cs="Times New Roman"/>
          <w:color w:val="000000"/>
          <w:sz w:val="24"/>
          <w:szCs w:val="24"/>
        </w:rPr>
      </w:pPr>
      <w:r w:rsidRPr="00BE4AF3">
        <w:rPr>
          <w:rFonts w:ascii="Times New Roman" w:hAnsi="Times New Roman" w:cs="Times New Roman"/>
          <w:b/>
          <w:bCs/>
          <w:iCs/>
          <w:color w:val="000000"/>
          <w:sz w:val="24"/>
          <w:szCs w:val="24"/>
        </w:rPr>
        <w:t xml:space="preserve">Keywords: </w:t>
      </w:r>
      <w:r w:rsidRPr="00BE4AF3">
        <w:rPr>
          <w:rFonts w:ascii="Times New Roman" w:hAnsi="Times New Roman" w:cs="Times New Roman"/>
          <w:color w:val="000000"/>
          <w:sz w:val="24"/>
          <w:szCs w:val="24"/>
        </w:rPr>
        <w:t>Neighbourhood</w:t>
      </w:r>
      <w:r w:rsidRPr="00BE4AF3">
        <w:rPr>
          <w:rFonts w:ascii="Times New Roman" w:hAnsi="Times New Roman" w:cs="Times New Roman"/>
          <w:b/>
          <w:bCs/>
          <w:color w:val="000000"/>
          <w:sz w:val="24"/>
          <w:szCs w:val="24"/>
        </w:rPr>
        <w:t xml:space="preserve">, </w:t>
      </w:r>
      <w:r w:rsidRPr="00BE4AF3">
        <w:rPr>
          <w:rFonts w:ascii="Times New Roman" w:hAnsi="Times New Roman" w:cs="Times New Roman"/>
          <w:color w:val="000000"/>
          <w:sz w:val="24"/>
          <w:szCs w:val="24"/>
        </w:rPr>
        <w:t>Environmental characteristics, Flood-prone, Quality of life</w:t>
      </w:r>
    </w:p>
    <w:p w14:paraId="15A3D9C9" w14:textId="77777777" w:rsidR="00ED4768" w:rsidRPr="00BE4AF3" w:rsidRDefault="00ED4768" w:rsidP="00ED4768">
      <w:pPr>
        <w:autoSpaceDE w:val="0"/>
        <w:autoSpaceDN w:val="0"/>
        <w:adjustRightInd w:val="0"/>
        <w:spacing w:after="0" w:line="240" w:lineRule="auto"/>
        <w:jc w:val="both"/>
        <w:rPr>
          <w:rFonts w:ascii="Times New Roman" w:hAnsi="Times New Roman" w:cs="Times New Roman"/>
          <w:color w:val="000000"/>
          <w:sz w:val="24"/>
          <w:szCs w:val="24"/>
        </w:rPr>
      </w:pPr>
    </w:p>
    <w:p w14:paraId="49E6B91A" w14:textId="77777777" w:rsidR="00BE4AF3" w:rsidRPr="00C86F13" w:rsidRDefault="00BE4AF3" w:rsidP="00C86F13">
      <w:pPr>
        <w:spacing w:after="0" w:line="240" w:lineRule="auto"/>
        <w:jc w:val="both"/>
        <w:rPr>
          <w:rFonts w:ascii="Times New Roman" w:eastAsia="+mn-ea" w:hAnsi="Times New Roman"/>
          <w:b/>
          <w:sz w:val="24"/>
          <w:szCs w:val="24"/>
        </w:rPr>
      </w:pPr>
      <w:r w:rsidRPr="00C86F13">
        <w:rPr>
          <w:rFonts w:ascii="Times New Roman" w:eastAsia="+mn-ea" w:hAnsi="Times New Roman"/>
          <w:b/>
          <w:sz w:val="24"/>
          <w:szCs w:val="24"/>
        </w:rPr>
        <w:t>Introduction</w:t>
      </w:r>
    </w:p>
    <w:p w14:paraId="3358066B" w14:textId="77777777" w:rsidR="00BE4AF3" w:rsidRPr="00BE4AF3" w:rsidRDefault="00BE4AF3" w:rsidP="00C86F13">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Urbanization is increasing in both the developed and developing countries. This is a result of rapidly growing population to urban areas, especially in the developing countries (Ellen and Kellogg, 2015). Particularly, the growth of large cities is associated with problems of unemployment, poverty, inadequate health facilities, urban sprawl, and urban slum, decaying city centre, poor transportation system, poor environmental quality and flood (Giroult, 2023; kemeny, 2017). Due to the disorganized and unbridled development most especially in developing nations, residential land use which used to serve the role of social support now merely functions as dormitory for people given the complex living conditions and the continued social and spatial dichotomy (Barton, 2023 and Hudsani, 2025). Areas where people reside are also noted to be infused with a plethora of environmental problems which have invariably affected not only the quality of environment but also the quality of life (Ziyari, 2009; Ugwuorah, 2022; </w:t>
      </w:r>
      <w:r w:rsidRPr="00BE4AF3">
        <w:rPr>
          <w:rFonts w:ascii="Times New Roman" w:hAnsi="Times New Roman" w:cs="Times New Roman"/>
          <w:color w:val="000000"/>
          <w:sz w:val="24"/>
          <w:szCs w:val="24"/>
        </w:rPr>
        <w:t>Olawuni and Popoola, 2014</w:t>
      </w:r>
      <w:r w:rsidRPr="00BE4AF3">
        <w:rPr>
          <w:rFonts w:ascii="Times New Roman" w:hAnsi="Times New Roman" w:cs="Times New Roman"/>
          <w:sz w:val="24"/>
          <w:szCs w:val="24"/>
        </w:rPr>
        <w:t xml:space="preserve">). </w:t>
      </w:r>
    </w:p>
    <w:p w14:paraId="52FB06E5" w14:textId="6D04F45E" w:rsidR="00BE4AF3" w:rsidRPr="00BE4AF3" w:rsidRDefault="00BE4AF3" w:rsidP="00C86F13">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Quality of life (QoL) derives from the interaction of social, health, economic and environmental conditions. It is an individuals’ overall satisfaction with the life they have (Foo, 2016). QoL evolved from the relation between individual perceptions and the feelings of people, and their experiences within the space they live in. It is the satisfaction that a person derives from </w:t>
      </w:r>
      <w:r w:rsidRPr="00BE4AF3">
        <w:rPr>
          <w:rFonts w:ascii="Times New Roman" w:hAnsi="Times New Roman" w:cs="Times New Roman"/>
          <w:sz w:val="24"/>
          <w:szCs w:val="24"/>
        </w:rPr>
        <w:lastRenderedPageBreak/>
        <w:t>surrounding human and physical conditions that are scale-dependent and can affect the behavior (Marans and Stimson, 2021). Pearl, Cabral and Mateu</w:t>
      </w:r>
      <w:r w:rsidRPr="00BE4AF3">
        <w:rPr>
          <w:rFonts w:ascii="Times New Roman" w:hAnsi="Times New Roman" w:cs="Times New Roman"/>
          <w:i/>
          <w:sz w:val="24"/>
          <w:szCs w:val="24"/>
        </w:rPr>
        <w:t>.</w:t>
      </w:r>
      <w:r w:rsidRPr="00BE4AF3">
        <w:rPr>
          <w:rFonts w:ascii="Times New Roman" w:hAnsi="Times New Roman" w:cs="Times New Roman"/>
          <w:sz w:val="24"/>
          <w:szCs w:val="24"/>
        </w:rPr>
        <w:t xml:space="preserve"> (2020) defined QoL as a measure of objective and subjective features of life. From the above, it can be submitted that QoL is a multifaceted concept that embraces objective facts, enjoyment, happiness, and life satisfaction, level of living, availability of physical and social infrastructure and the satisfaction derived from the quality of the environment. The quality of the environment is a thriving issue as forces of urbanization continue to have negative impact on urban dwellers (Aremu, 2022). As population of the urban area increases, there is a spread of population growth toward flood prone area (Torrens and Albert, 2020).</w:t>
      </w:r>
    </w:p>
    <w:p w14:paraId="034458BC" w14:textId="77777777" w:rsidR="00BE4AF3" w:rsidRDefault="00BE4AF3" w:rsidP="00C86F13">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iCs/>
          <w:sz w:val="24"/>
          <w:szCs w:val="24"/>
        </w:rPr>
        <w:t xml:space="preserve">Flooding </w:t>
      </w:r>
      <w:r w:rsidRPr="00BE4AF3">
        <w:rPr>
          <w:rFonts w:ascii="Times New Roman" w:hAnsi="Times New Roman" w:cs="Times New Roman"/>
          <w:sz w:val="24"/>
          <w:szCs w:val="24"/>
        </w:rPr>
        <w:t xml:space="preserve">accounts for approximately forty percent of natural disasters and may become more frequent and severe due to global warming (Reacher, 2024). </w:t>
      </w:r>
      <w:r w:rsidRPr="00BE4AF3">
        <w:rPr>
          <w:rFonts w:ascii="Times New Roman" w:hAnsi="Times New Roman" w:cs="Times New Roman"/>
          <w:iCs/>
          <w:sz w:val="24"/>
          <w:szCs w:val="24"/>
        </w:rPr>
        <w:t xml:space="preserve">According to UNDP (2009), it is one of the common hazards that are noted to have altered the living conditions of populace. This alteration occurs through </w:t>
      </w:r>
      <w:r w:rsidRPr="00BE4AF3">
        <w:rPr>
          <w:rFonts w:ascii="Times New Roman" w:hAnsi="Times New Roman" w:cs="Times New Roman"/>
          <w:sz w:val="24"/>
          <w:szCs w:val="24"/>
        </w:rPr>
        <w:t>loss of lives, loss of jobs or sources of income, destruction of houses and displacement of people, disruption of the network of social contact, and interruption of normal access to education, health and food services (</w:t>
      </w:r>
      <w:r w:rsidRPr="00BE4AF3">
        <w:rPr>
          <w:rFonts w:ascii="Times New Roman" w:hAnsi="Times New Roman" w:cs="Times New Roman"/>
          <w:color w:val="000000"/>
          <w:sz w:val="24"/>
          <w:szCs w:val="24"/>
        </w:rPr>
        <w:t xml:space="preserve">Etuonovbe, 2019; </w:t>
      </w:r>
      <w:r w:rsidRPr="00BE4AF3">
        <w:rPr>
          <w:rFonts w:ascii="Times New Roman" w:hAnsi="Times New Roman" w:cs="Times New Roman"/>
          <w:sz w:val="24"/>
          <w:szCs w:val="24"/>
        </w:rPr>
        <w:t xml:space="preserve">Adeaga, 2018). Similarly, it has been established that floods cause about one third of all deaths, one third of all injuries and one third of all damage from natural disasters (Askew, 2009). Olorunfemi (2021) was of the opinion that social, economic, political, cultural and historical processes influence how flood hazards affect people’s QoL in varying degrees and differing intensities. </w:t>
      </w:r>
    </w:p>
    <w:p w14:paraId="42320F00" w14:textId="6824FD4F" w:rsidR="00C86F13" w:rsidRPr="00BE4AF3" w:rsidRDefault="00C86F13" w:rsidP="00C86F13">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noProof/>
          <w:sz w:val="24"/>
          <w:szCs w:val="24"/>
          <w:lang w:eastAsia="en-GB"/>
        </w:rPr>
        <w:drawing>
          <wp:anchor distT="0" distB="0" distL="114300" distR="114300" simplePos="0" relativeHeight="251717632" behindDoc="1" locked="0" layoutInCell="1" allowOverlap="1" wp14:anchorId="70D3D425" wp14:editId="26AACCAF">
            <wp:simplePos x="0" y="0"/>
            <wp:positionH relativeFrom="column">
              <wp:posOffset>406400</wp:posOffset>
            </wp:positionH>
            <wp:positionV relativeFrom="paragraph">
              <wp:posOffset>178435</wp:posOffset>
            </wp:positionV>
            <wp:extent cx="4867275" cy="3910965"/>
            <wp:effectExtent l="0" t="0" r="0" b="0"/>
            <wp:wrapTight wrapText="bothSides">
              <wp:wrapPolygon edited="0">
                <wp:start x="169" y="210"/>
                <wp:lineTo x="169" y="21358"/>
                <wp:lineTo x="21473" y="21358"/>
                <wp:lineTo x="21473" y="210"/>
                <wp:lineTo x="169" y="21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extLst>
                        <a:ext uri="{28A0092B-C50C-407E-A947-70E740481C1C}">
                          <a14:useLocalDpi xmlns:a14="http://schemas.microsoft.com/office/drawing/2010/main" val="0"/>
                        </a:ext>
                      </a:extLst>
                    </a:blip>
                    <a:srcRect l="1282" t="2943" r="1762" b="4002"/>
                    <a:stretch>
                      <a:fillRect/>
                    </a:stretch>
                  </pic:blipFill>
                  <pic:spPr bwMode="auto">
                    <a:xfrm>
                      <a:off x="0" y="0"/>
                      <a:ext cx="4867275" cy="3910965"/>
                    </a:xfrm>
                    <a:prstGeom prst="rect">
                      <a:avLst/>
                    </a:prstGeom>
                    <a:noFill/>
                    <a:ln>
                      <a:noFill/>
                    </a:ln>
                  </pic:spPr>
                </pic:pic>
              </a:graphicData>
            </a:graphic>
          </wp:anchor>
        </w:drawing>
      </w:r>
    </w:p>
    <w:p w14:paraId="700CDA18" w14:textId="204A9438" w:rsidR="00BE4AF3" w:rsidRPr="00BE4AF3" w:rsidRDefault="00BE4AF3" w:rsidP="00C86F13">
      <w:pPr>
        <w:autoSpaceDE w:val="0"/>
        <w:autoSpaceDN w:val="0"/>
        <w:adjustRightInd w:val="0"/>
        <w:spacing w:after="0" w:line="240" w:lineRule="auto"/>
        <w:ind w:firstLine="720"/>
        <w:jc w:val="center"/>
        <w:rPr>
          <w:rFonts w:ascii="Times New Roman" w:hAnsi="Times New Roman" w:cs="Times New Roman"/>
          <w:sz w:val="24"/>
          <w:szCs w:val="24"/>
        </w:rPr>
      </w:pPr>
    </w:p>
    <w:p w14:paraId="79B013E1" w14:textId="77777777" w:rsidR="00C86F13" w:rsidRDefault="00C86F13" w:rsidP="00C86F13">
      <w:pPr>
        <w:pStyle w:val="Style"/>
        <w:jc w:val="both"/>
        <w:rPr>
          <w:b/>
        </w:rPr>
      </w:pPr>
    </w:p>
    <w:p w14:paraId="20F55129" w14:textId="77777777" w:rsidR="00C86F13" w:rsidRDefault="00C86F13" w:rsidP="00C86F13">
      <w:pPr>
        <w:pStyle w:val="Style"/>
        <w:jc w:val="both"/>
        <w:rPr>
          <w:b/>
        </w:rPr>
      </w:pPr>
    </w:p>
    <w:p w14:paraId="2DA5EE8F" w14:textId="77777777" w:rsidR="00C86F13" w:rsidRDefault="00C86F13" w:rsidP="00C86F13">
      <w:pPr>
        <w:pStyle w:val="Style"/>
        <w:jc w:val="both"/>
        <w:rPr>
          <w:b/>
        </w:rPr>
      </w:pPr>
    </w:p>
    <w:p w14:paraId="74DC5A6F" w14:textId="77777777" w:rsidR="00C86F13" w:rsidRDefault="00C86F13" w:rsidP="00C86F13">
      <w:pPr>
        <w:pStyle w:val="Style"/>
        <w:jc w:val="both"/>
        <w:rPr>
          <w:b/>
        </w:rPr>
      </w:pPr>
    </w:p>
    <w:p w14:paraId="6FD5D741" w14:textId="77777777" w:rsidR="00C86F13" w:rsidRDefault="00C86F13" w:rsidP="00C86F13">
      <w:pPr>
        <w:pStyle w:val="Style"/>
        <w:jc w:val="both"/>
        <w:rPr>
          <w:b/>
        </w:rPr>
      </w:pPr>
    </w:p>
    <w:p w14:paraId="677A19FD" w14:textId="77777777" w:rsidR="00C86F13" w:rsidRDefault="00C86F13" w:rsidP="00C86F13">
      <w:pPr>
        <w:pStyle w:val="Style"/>
        <w:jc w:val="both"/>
        <w:rPr>
          <w:b/>
        </w:rPr>
      </w:pPr>
    </w:p>
    <w:p w14:paraId="1137FFE8" w14:textId="77777777" w:rsidR="00C86F13" w:rsidRDefault="00C86F13" w:rsidP="00C86F13">
      <w:pPr>
        <w:pStyle w:val="Style"/>
        <w:jc w:val="both"/>
        <w:rPr>
          <w:b/>
        </w:rPr>
      </w:pPr>
    </w:p>
    <w:p w14:paraId="24DC0FAF" w14:textId="77777777" w:rsidR="00C86F13" w:rsidRDefault="00C86F13" w:rsidP="00C86F13">
      <w:pPr>
        <w:pStyle w:val="Style"/>
        <w:jc w:val="both"/>
        <w:rPr>
          <w:b/>
        </w:rPr>
      </w:pPr>
    </w:p>
    <w:p w14:paraId="5BC7FB87" w14:textId="77777777" w:rsidR="00C86F13" w:rsidRDefault="00C86F13" w:rsidP="00C86F13">
      <w:pPr>
        <w:pStyle w:val="Style"/>
        <w:jc w:val="both"/>
        <w:rPr>
          <w:b/>
        </w:rPr>
      </w:pPr>
    </w:p>
    <w:p w14:paraId="58BD43ED" w14:textId="77777777" w:rsidR="00C86F13" w:rsidRDefault="00C86F13" w:rsidP="00C86F13">
      <w:pPr>
        <w:pStyle w:val="Style"/>
        <w:jc w:val="both"/>
        <w:rPr>
          <w:b/>
        </w:rPr>
      </w:pPr>
    </w:p>
    <w:p w14:paraId="1139037A" w14:textId="77777777" w:rsidR="00C86F13" w:rsidRDefault="00C86F13" w:rsidP="00C86F13">
      <w:pPr>
        <w:pStyle w:val="Style"/>
        <w:jc w:val="both"/>
        <w:rPr>
          <w:b/>
        </w:rPr>
      </w:pPr>
    </w:p>
    <w:p w14:paraId="6C3544E9" w14:textId="77777777" w:rsidR="00C86F13" w:rsidRDefault="00C86F13" w:rsidP="00C86F13">
      <w:pPr>
        <w:pStyle w:val="Style"/>
        <w:jc w:val="both"/>
        <w:rPr>
          <w:b/>
        </w:rPr>
      </w:pPr>
    </w:p>
    <w:p w14:paraId="1D96F9BC" w14:textId="77777777" w:rsidR="00C86F13" w:rsidRDefault="00C86F13" w:rsidP="00C86F13">
      <w:pPr>
        <w:pStyle w:val="Style"/>
        <w:jc w:val="both"/>
        <w:rPr>
          <w:b/>
        </w:rPr>
      </w:pPr>
    </w:p>
    <w:p w14:paraId="071F2C32" w14:textId="77777777" w:rsidR="00C86F13" w:rsidRDefault="00C86F13" w:rsidP="00C86F13">
      <w:pPr>
        <w:pStyle w:val="Style"/>
        <w:jc w:val="both"/>
        <w:rPr>
          <w:b/>
        </w:rPr>
      </w:pPr>
    </w:p>
    <w:p w14:paraId="5D8BF735" w14:textId="77777777" w:rsidR="00C86F13" w:rsidRDefault="00C86F13" w:rsidP="00C86F13">
      <w:pPr>
        <w:pStyle w:val="Style"/>
        <w:jc w:val="both"/>
        <w:rPr>
          <w:b/>
        </w:rPr>
      </w:pPr>
    </w:p>
    <w:p w14:paraId="1D24C8AC" w14:textId="77777777" w:rsidR="00C86F13" w:rsidRDefault="00C86F13" w:rsidP="00C86F13">
      <w:pPr>
        <w:pStyle w:val="Style"/>
        <w:jc w:val="both"/>
        <w:rPr>
          <w:b/>
        </w:rPr>
      </w:pPr>
    </w:p>
    <w:p w14:paraId="71AD34E3" w14:textId="77777777" w:rsidR="00C86F13" w:rsidRDefault="00C86F13" w:rsidP="00C86F13">
      <w:pPr>
        <w:pStyle w:val="Style"/>
        <w:jc w:val="both"/>
        <w:rPr>
          <w:b/>
        </w:rPr>
      </w:pPr>
    </w:p>
    <w:p w14:paraId="60D329B3" w14:textId="77777777" w:rsidR="00C86F13" w:rsidRDefault="00C86F13" w:rsidP="00C86F13">
      <w:pPr>
        <w:pStyle w:val="Style"/>
        <w:jc w:val="both"/>
        <w:rPr>
          <w:b/>
        </w:rPr>
      </w:pPr>
    </w:p>
    <w:p w14:paraId="5F57D600" w14:textId="77777777" w:rsidR="00C86F13" w:rsidRDefault="00C86F13" w:rsidP="00C86F13">
      <w:pPr>
        <w:pStyle w:val="Style"/>
        <w:jc w:val="both"/>
        <w:rPr>
          <w:b/>
        </w:rPr>
      </w:pPr>
    </w:p>
    <w:p w14:paraId="3592C9D2" w14:textId="77777777" w:rsidR="00C86F13" w:rsidRDefault="00C86F13" w:rsidP="00C86F13">
      <w:pPr>
        <w:pStyle w:val="Style"/>
        <w:jc w:val="both"/>
        <w:rPr>
          <w:b/>
        </w:rPr>
      </w:pPr>
    </w:p>
    <w:p w14:paraId="7501F2E3" w14:textId="77777777" w:rsidR="00C86F13" w:rsidRDefault="00C86F13" w:rsidP="00C86F13">
      <w:pPr>
        <w:pStyle w:val="Style"/>
        <w:jc w:val="both"/>
        <w:rPr>
          <w:b/>
        </w:rPr>
      </w:pPr>
    </w:p>
    <w:p w14:paraId="533D39B2" w14:textId="77777777" w:rsidR="00C86F13" w:rsidRDefault="00C86F13" w:rsidP="00C86F13">
      <w:pPr>
        <w:pStyle w:val="Style"/>
        <w:jc w:val="both"/>
        <w:rPr>
          <w:b/>
        </w:rPr>
      </w:pPr>
    </w:p>
    <w:p w14:paraId="3817B498" w14:textId="6D431502" w:rsidR="00BE4AF3" w:rsidRPr="00C86F13" w:rsidRDefault="00BE4AF3" w:rsidP="00C86F13">
      <w:pPr>
        <w:pStyle w:val="Style"/>
        <w:jc w:val="center"/>
        <w:rPr>
          <w:iCs/>
        </w:rPr>
      </w:pPr>
      <w:r w:rsidRPr="00BE4AF3">
        <w:rPr>
          <w:b/>
        </w:rPr>
        <w:t>Figure 1.1</w:t>
      </w:r>
      <w:r w:rsidRPr="00BE4AF3">
        <w:t xml:space="preserve">: </w:t>
      </w:r>
      <w:r w:rsidRPr="00C86F13">
        <w:rPr>
          <w:iCs/>
        </w:rPr>
        <w:t>Map of Ibadan Showing Local Government Prone to Flood</w:t>
      </w:r>
    </w:p>
    <w:p w14:paraId="00780EF4" w14:textId="77777777" w:rsidR="00BE4AF3" w:rsidRPr="00C86F13" w:rsidRDefault="00BE4AF3" w:rsidP="00C86F13">
      <w:pPr>
        <w:spacing w:after="0" w:line="240" w:lineRule="auto"/>
        <w:jc w:val="center"/>
        <w:rPr>
          <w:rFonts w:ascii="Times New Roman" w:hAnsi="Times New Roman" w:cs="Times New Roman"/>
          <w:iCs/>
          <w:sz w:val="24"/>
          <w:szCs w:val="24"/>
        </w:rPr>
      </w:pPr>
      <w:r w:rsidRPr="00C86F13">
        <w:rPr>
          <w:rFonts w:ascii="Times New Roman" w:hAnsi="Times New Roman" w:cs="Times New Roman"/>
          <w:iCs/>
          <w:sz w:val="24"/>
          <w:szCs w:val="24"/>
        </w:rPr>
        <w:t>Source: Author field Compilation, 2025</w:t>
      </w:r>
    </w:p>
    <w:p w14:paraId="5F8002FD" w14:textId="77777777" w:rsidR="00C86F13" w:rsidRDefault="00C86F13" w:rsidP="00C86F13">
      <w:pPr>
        <w:autoSpaceDE w:val="0"/>
        <w:autoSpaceDN w:val="0"/>
        <w:adjustRightInd w:val="0"/>
        <w:spacing w:after="0" w:line="240" w:lineRule="auto"/>
        <w:jc w:val="both"/>
        <w:rPr>
          <w:rFonts w:ascii="Times New Roman" w:hAnsi="Times New Roman" w:cs="Times New Roman"/>
          <w:sz w:val="24"/>
          <w:szCs w:val="24"/>
        </w:rPr>
      </w:pPr>
    </w:p>
    <w:p w14:paraId="18E2510E" w14:textId="4189D368" w:rsidR="00BE4AF3" w:rsidRPr="00BE4AF3" w:rsidRDefault="00BE4AF3" w:rsidP="00C86F13">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In Nigeria, economic statistic being promoted by international organizations fail to capture the harsh realities that many Nigerians facing, more people are living in unhealthy areas as a result of poverty and poor governance which are aggravated by the effect of flood disasters </w:t>
      </w:r>
      <w:r w:rsidRPr="00BE4AF3">
        <w:rPr>
          <w:rFonts w:ascii="Times New Roman" w:hAnsi="Times New Roman" w:cs="Times New Roman"/>
          <w:sz w:val="24"/>
          <w:szCs w:val="24"/>
        </w:rPr>
        <w:lastRenderedPageBreak/>
        <w:t>(Olorunfemi, 2019; Olokesusi, 2018). There is a wide gap between what these reports present and the actual living conditions of residents’ across the flood prone areas</w:t>
      </w:r>
    </w:p>
    <w:p w14:paraId="2F2F7329" w14:textId="22FEE07F" w:rsidR="00BE4AF3" w:rsidRPr="00C86F13" w:rsidRDefault="00C86F13" w:rsidP="00C86F13">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noProof/>
          <w:sz w:val="24"/>
          <w:szCs w:val="24"/>
          <w:lang w:eastAsia="en-GB"/>
        </w:rPr>
        <w:drawing>
          <wp:anchor distT="0" distB="0" distL="114300" distR="114300" simplePos="0" relativeHeight="251718656" behindDoc="0" locked="0" layoutInCell="1" allowOverlap="1" wp14:anchorId="5781BCE0" wp14:editId="0DA51F3A">
            <wp:simplePos x="0" y="0"/>
            <wp:positionH relativeFrom="column">
              <wp:posOffset>254000</wp:posOffset>
            </wp:positionH>
            <wp:positionV relativeFrom="paragraph">
              <wp:posOffset>700405</wp:posOffset>
            </wp:positionV>
            <wp:extent cx="5284470" cy="6840220"/>
            <wp:effectExtent l="0" t="0" r="0" b="0"/>
            <wp:wrapSquare wrapText="bothSides"/>
            <wp:docPr id="38" name="Picture 38" descr="F:\Oyo Flood\Maps\vuloth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yo Flood\Maps\vulothers.pn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284470" cy="6840220"/>
                    </a:xfrm>
                    <a:prstGeom prst="rect">
                      <a:avLst/>
                    </a:prstGeom>
                    <a:noFill/>
                    <a:ln>
                      <a:noFill/>
                    </a:ln>
                  </pic:spPr>
                </pic:pic>
              </a:graphicData>
            </a:graphic>
          </wp:anchor>
        </w:drawing>
      </w:r>
      <w:r w:rsidR="00BE4AF3" w:rsidRPr="00BE4AF3">
        <w:rPr>
          <w:rFonts w:ascii="Times New Roman" w:hAnsi="Times New Roman" w:cs="Times New Roman"/>
          <w:sz w:val="24"/>
          <w:szCs w:val="24"/>
        </w:rPr>
        <w:t xml:space="preserve">Over the years, flood incidences in </w:t>
      </w:r>
      <w:r w:rsidR="00BE4AF3" w:rsidRPr="00BE4AF3">
        <w:rPr>
          <w:rFonts w:ascii="Times New Roman" w:eastAsia="Times New Roman" w:hAnsi="Times New Roman" w:cs="Times New Roman"/>
          <w:bCs/>
          <w:sz w:val="24"/>
          <w:szCs w:val="24"/>
        </w:rPr>
        <w:t xml:space="preserve">Ibadan Metropolis </w:t>
      </w:r>
      <w:r w:rsidR="00BE4AF3" w:rsidRPr="00BE4AF3">
        <w:rPr>
          <w:rFonts w:ascii="Times New Roman" w:hAnsi="Times New Roman" w:cs="Times New Roman"/>
          <w:sz w:val="24"/>
          <w:szCs w:val="24"/>
        </w:rPr>
        <w:t xml:space="preserve">showed that certain localities such as flood-prone areas are more vulnerable to flooding disaster with consequential effects on resident’s quality of life. </w:t>
      </w:r>
    </w:p>
    <w:p w14:paraId="4A61C1C3" w14:textId="77777777" w:rsidR="00BE4AF3" w:rsidRPr="00BE4AF3" w:rsidRDefault="00BE4AF3" w:rsidP="00C86F13">
      <w:pPr>
        <w:spacing w:after="0" w:line="240" w:lineRule="auto"/>
        <w:jc w:val="center"/>
        <w:rPr>
          <w:rFonts w:ascii="Times New Roman" w:hAnsi="Times New Roman" w:cs="Times New Roman"/>
          <w:sz w:val="24"/>
          <w:szCs w:val="24"/>
        </w:rPr>
      </w:pPr>
      <w:r w:rsidRPr="00C86F13">
        <w:rPr>
          <w:rFonts w:ascii="Times New Roman" w:hAnsi="Times New Roman" w:cs="Times New Roman"/>
          <w:b/>
          <w:bCs/>
          <w:sz w:val="24"/>
          <w:szCs w:val="24"/>
        </w:rPr>
        <w:t>Figure: 1.2:</w:t>
      </w:r>
      <w:r w:rsidRPr="00BE4AF3">
        <w:rPr>
          <w:rFonts w:ascii="Times New Roman" w:hAnsi="Times New Roman" w:cs="Times New Roman"/>
          <w:sz w:val="24"/>
          <w:szCs w:val="24"/>
        </w:rPr>
        <w:t xml:space="preserve"> Vulnerability Map of study area overlay with vector features weighted overlay of Reclassed datasets.</w:t>
      </w:r>
    </w:p>
    <w:p w14:paraId="235335D3" w14:textId="77777777" w:rsidR="00BE4AF3" w:rsidRPr="00BE4AF3" w:rsidRDefault="00BE4AF3" w:rsidP="00C86F13">
      <w:pPr>
        <w:spacing w:after="0" w:line="240" w:lineRule="auto"/>
        <w:jc w:val="center"/>
        <w:rPr>
          <w:rFonts w:ascii="Times New Roman" w:hAnsi="Times New Roman" w:cs="Times New Roman"/>
          <w:i/>
          <w:sz w:val="24"/>
          <w:szCs w:val="24"/>
        </w:rPr>
      </w:pPr>
      <w:r w:rsidRPr="00BE4AF3">
        <w:rPr>
          <w:rFonts w:ascii="Times New Roman" w:hAnsi="Times New Roman" w:cs="Times New Roman"/>
          <w:i/>
          <w:sz w:val="24"/>
          <w:szCs w:val="24"/>
        </w:rPr>
        <w:t>Source: Author field Compilation, 2025</w:t>
      </w:r>
    </w:p>
    <w:p w14:paraId="4A44AD47" w14:textId="77777777" w:rsidR="00BE4AF3" w:rsidRPr="00BE4AF3" w:rsidRDefault="00BE4AF3" w:rsidP="00C86F13">
      <w:pPr>
        <w:autoSpaceDE w:val="0"/>
        <w:autoSpaceDN w:val="0"/>
        <w:adjustRightInd w:val="0"/>
        <w:spacing w:after="0" w:line="240" w:lineRule="auto"/>
        <w:jc w:val="both"/>
        <w:rPr>
          <w:rFonts w:ascii="Times New Roman" w:hAnsi="Times New Roman" w:cs="Times New Roman"/>
          <w:sz w:val="24"/>
          <w:szCs w:val="24"/>
        </w:rPr>
      </w:pPr>
    </w:p>
    <w:p w14:paraId="47B85D86" w14:textId="77777777" w:rsidR="00BE4AF3" w:rsidRPr="00BE4AF3" w:rsidRDefault="00BE4AF3" w:rsidP="00C86F13">
      <w:pPr>
        <w:autoSpaceDE w:val="0"/>
        <w:autoSpaceDN w:val="0"/>
        <w:adjustRightInd w:val="0"/>
        <w:spacing w:after="0" w:line="240" w:lineRule="auto"/>
        <w:jc w:val="both"/>
        <w:rPr>
          <w:rFonts w:ascii="Times New Roman" w:hAnsi="Times New Roman" w:cs="Times New Roman"/>
          <w:sz w:val="24"/>
          <w:szCs w:val="24"/>
        </w:rPr>
      </w:pPr>
    </w:p>
    <w:p w14:paraId="2BB23A03" w14:textId="75D62F0F" w:rsidR="00BE4AF3" w:rsidRDefault="00BE4AF3" w:rsidP="00C86F13">
      <w:pPr>
        <w:autoSpaceDE w:val="0"/>
        <w:autoSpaceDN w:val="0"/>
        <w:adjustRightInd w:val="0"/>
        <w:spacing w:after="0" w:line="240" w:lineRule="auto"/>
        <w:jc w:val="both"/>
        <w:rPr>
          <w:rFonts w:ascii="Times New Roman" w:eastAsia="Times New Roman" w:hAnsi="Times New Roman" w:cs="Times New Roman"/>
          <w:bCs/>
          <w:sz w:val="24"/>
          <w:szCs w:val="24"/>
        </w:rPr>
      </w:pPr>
      <w:r w:rsidRPr="00BE4AF3">
        <w:rPr>
          <w:rFonts w:ascii="Times New Roman" w:hAnsi="Times New Roman" w:cs="Times New Roman"/>
          <w:color w:val="131313"/>
          <w:sz w:val="24"/>
          <w:szCs w:val="24"/>
        </w:rPr>
        <w:lastRenderedPageBreak/>
        <w:t xml:space="preserve">An accurate assessment of the havoc created by floods Ibadan over the years is difficult to obtain because of the paucity of official data. </w:t>
      </w:r>
      <w:r w:rsidRPr="00BE4AF3">
        <w:rPr>
          <w:rFonts w:ascii="Times New Roman" w:hAnsi="Times New Roman" w:cs="Times New Roman"/>
          <w:sz w:val="24"/>
          <w:szCs w:val="24"/>
        </w:rPr>
        <w:t xml:space="preserve">Therefore, in order to have an effective tool available for information on the risk that flood poses to residents’ QoL, it is necessary to establish the factors influence QoL. </w:t>
      </w:r>
      <w:r w:rsidRPr="00BE4AF3">
        <w:rPr>
          <w:rFonts w:ascii="Times New Roman" w:hAnsi="Times New Roman" w:cs="Times New Roman"/>
          <w:sz w:val="24"/>
          <w:szCs w:val="24"/>
          <w:lang w:bidi="he-IL"/>
        </w:rPr>
        <w:t xml:space="preserve">It is on this that the study attempts to examine </w:t>
      </w:r>
      <w:r w:rsidRPr="00BE4AF3">
        <w:rPr>
          <w:rFonts w:ascii="Times New Roman" w:hAnsi="Times New Roman" w:cs="Times New Roman"/>
          <w:sz w:val="24"/>
          <w:szCs w:val="24"/>
        </w:rPr>
        <w:t>the</w:t>
      </w:r>
      <w:r w:rsidRPr="00BE4AF3">
        <w:rPr>
          <w:rFonts w:ascii="Times New Roman" w:eastAsia="Times New Roman" w:hAnsi="Times New Roman" w:cs="Times New Roman"/>
          <w:bCs/>
          <w:sz w:val="24"/>
          <w:szCs w:val="24"/>
        </w:rPr>
        <w:t xml:space="preserve"> factors that influence quality of life among </w:t>
      </w:r>
      <w:r w:rsidRPr="00BE4AF3">
        <w:rPr>
          <w:rFonts w:ascii="Times New Roman" w:hAnsi="Times New Roman" w:cs="Times New Roman"/>
          <w:sz w:val="24"/>
          <w:szCs w:val="24"/>
        </w:rPr>
        <w:t>residents</w:t>
      </w:r>
      <w:r w:rsidRPr="00BE4AF3">
        <w:rPr>
          <w:rFonts w:ascii="Times New Roman" w:eastAsia="Times New Roman" w:hAnsi="Times New Roman" w:cs="Times New Roman"/>
          <w:bCs/>
          <w:sz w:val="24"/>
          <w:szCs w:val="24"/>
        </w:rPr>
        <w:t xml:space="preserve"> in flood prone areas, Ibadan Metropolis. </w:t>
      </w:r>
    </w:p>
    <w:p w14:paraId="698BA68D" w14:textId="77777777" w:rsidR="00C86F13" w:rsidRPr="00BE4AF3" w:rsidRDefault="00C86F13" w:rsidP="00C86F13">
      <w:pPr>
        <w:autoSpaceDE w:val="0"/>
        <w:autoSpaceDN w:val="0"/>
        <w:adjustRightInd w:val="0"/>
        <w:spacing w:after="0" w:line="240" w:lineRule="auto"/>
        <w:jc w:val="both"/>
        <w:rPr>
          <w:rFonts w:ascii="Times New Roman" w:hAnsi="Times New Roman" w:cs="Times New Roman"/>
          <w:sz w:val="24"/>
          <w:szCs w:val="24"/>
        </w:rPr>
      </w:pPr>
    </w:p>
    <w:p w14:paraId="6F684F6B" w14:textId="2469C18F" w:rsidR="00BE4AF3" w:rsidRPr="00C86F13" w:rsidRDefault="00C86F13" w:rsidP="00C86F13">
      <w:pPr>
        <w:spacing w:after="0" w:line="240" w:lineRule="auto"/>
        <w:jc w:val="both"/>
        <w:rPr>
          <w:rFonts w:ascii="Times New Roman" w:hAnsi="Times New Roman"/>
          <w:b/>
          <w:sz w:val="24"/>
          <w:szCs w:val="24"/>
        </w:rPr>
      </w:pPr>
      <w:r w:rsidRPr="00C86F13">
        <w:rPr>
          <w:rFonts w:ascii="Times New Roman" w:hAnsi="Times New Roman"/>
          <w:b/>
          <w:sz w:val="24"/>
          <w:szCs w:val="24"/>
        </w:rPr>
        <w:t>Previous Studies</w:t>
      </w:r>
    </w:p>
    <w:p w14:paraId="0FBB9CE8" w14:textId="77777777" w:rsidR="00BE4AF3" w:rsidRPr="00BE4AF3" w:rsidRDefault="00BE4AF3" w:rsidP="00C86F13">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lang w:eastAsia="en-GB"/>
        </w:rPr>
        <w:t>Studying</w:t>
      </w:r>
      <w:r w:rsidRPr="00BE4AF3">
        <w:rPr>
          <w:rFonts w:ascii="Times New Roman" w:hAnsi="Times New Roman" w:cs="Times New Roman"/>
          <w:i/>
          <w:sz w:val="24"/>
          <w:szCs w:val="24"/>
          <w:lang w:eastAsia="en-GB"/>
        </w:rPr>
        <w:t xml:space="preserve"> </w:t>
      </w:r>
      <w:r w:rsidRPr="00BE4AF3">
        <w:rPr>
          <w:rFonts w:ascii="Times New Roman" w:hAnsi="Times New Roman" w:cs="Times New Roman"/>
          <w:sz w:val="24"/>
          <w:szCs w:val="24"/>
        </w:rPr>
        <w:t xml:space="preserve">quality of life has been the focus of many scholars in the last few decades Bonchu, 2016: Oluwadare, 2015; Afon and Ojo, 2016, and Popoola 2019. This indicated that populace resides in flood prone area poses a serious challenge to mental health (Akinyemi 2022). Flood is phenomenon’s that have severe and devastating influence not only on the environment quality also on the </w:t>
      </w:r>
      <w:r w:rsidRPr="00BE4AF3">
        <w:rPr>
          <w:rFonts w:ascii="Times New Roman" w:hAnsi="Times New Roman" w:cs="Times New Roman"/>
          <w:color w:val="231F20"/>
          <w:sz w:val="24"/>
          <w:szCs w:val="24"/>
        </w:rPr>
        <w:t>overall</w:t>
      </w:r>
      <w:r w:rsidRPr="00BE4AF3">
        <w:rPr>
          <w:rFonts w:ascii="Times New Roman" w:hAnsi="Times New Roman" w:cs="Times New Roman"/>
          <w:sz w:val="24"/>
          <w:szCs w:val="24"/>
        </w:rPr>
        <w:t xml:space="preserve"> quality of life (</w:t>
      </w:r>
      <w:r w:rsidRPr="00BE4AF3">
        <w:rPr>
          <w:rFonts w:ascii="Times New Roman" w:hAnsi="Times New Roman" w:cs="Times New Roman"/>
          <w:color w:val="000000"/>
          <w:sz w:val="24"/>
          <w:szCs w:val="24"/>
        </w:rPr>
        <w:t>Strhler and Strahler 2021;</w:t>
      </w:r>
      <w:r w:rsidRPr="00BE4AF3">
        <w:rPr>
          <w:rFonts w:ascii="Times New Roman" w:hAnsi="Times New Roman" w:cs="Times New Roman"/>
          <w:b/>
          <w:sz w:val="24"/>
          <w:szCs w:val="24"/>
        </w:rPr>
        <w:t xml:space="preserve"> </w:t>
      </w:r>
      <w:r w:rsidRPr="00BE4AF3">
        <w:rPr>
          <w:rFonts w:ascii="Times New Roman" w:hAnsi="Times New Roman" w:cs="Times New Roman"/>
          <w:sz w:val="24"/>
          <w:szCs w:val="24"/>
        </w:rPr>
        <w:t xml:space="preserve">Aderogba, 2012). The frequency and severity of flooding in most Nigeria cities cannot only be attributed to increase in rainfall intensity; rather, they are response to an increasing rate of urbanization and the absence of well-articulated and comprehensive physical planning and planning control (NEST, 1917). As such, reduction of risk associated with flood occurrence will depend largely on the amount of information on floods that is available in western Nigeria. Yet, the extent to which it constitutes a threat to </w:t>
      </w:r>
      <w:r w:rsidRPr="00BE4AF3">
        <w:rPr>
          <w:rFonts w:ascii="Times New Roman" w:eastAsia="Times New Roman" w:hAnsi="Times New Roman" w:cs="Times New Roman"/>
          <w:bCs/>
          <w:sz w:val="24"/>
          <w:szCs w:val="24"/>
        </w:rPr>
        <w:t>residents’ quality of life</w:t>
      </w:r>
      <w:r w:rsidRPr="00BE4AF3">
        <w:rPr>
          <w:rFonts w:ascii="Times New Roman" w:hAnsi="Times New Roman" w:cs="Times New Roman"/>
          <w:sz w:val="24"/>
          <w:szCs w:val="24"/>
        </w:rPr>
        <w:t xml:space="preserve"> is yet to be empirically verified and documented.</w:t>
      </w:r>
    </w:p>
    <w:p w14:paraId="2B7F2C73" w14:textId="083362B2" w:rsidR="00BE4AF3" w:rsidRPr="00BE4AF3" w:rsidRDefault="00BE4AF3" w:rsidP="00C86F1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Quality of life of individual or group of individual, has received an unprecedented attention in form of research in both the developed and developing nation (Wynne, 2018, and Charron, 2012). Despite the enormity of studies on Quality of life, most of these studies reflect the experiences of developed countries, particularly Europe and North America, and only recently has there been renewed interest in research into the quality of life in Africa (Kersh and Simon 2015).  Although, some of these studies have examined Qol in different residential areas of African cities (Agbola, 2020 and Adu-Mireku, 2022), these residential areas were not delineated based on differences in the Ecology. This current study is therefore an attempt to compliment the literature on Qol in Africa and particularly in Nigeria. More specifically, the study that delineate difference areas prone to flood based in Ecology, Low-lying topography Vis-à-vis high water table using different residential areas in Nigeria hard to come by.</w:t>
      </w:r>
    </w:p>
    <w:p w14:paraId="48D90C25" w14:textId="77777777" w:rsidR="00BE4AF3" w:rsidRPr="00BE4AF3" w:rsidRDefault="00BE4AF3" w:rsidP="00C86F13">
      <w:pPr>
        <w:autoSpaceDE w:val="0"/>
        <w:autoSpaceDN w:val="0"/>
        <w:adjustRightInd w:val="0"/>
        <w:spacing w:after="0" w:line="240" w:lineRule="auto"/>
        <w:jc w:val="both"/>
        <w:rPr>
          <w:rFonts w:ascii="Times New Roman" w:hAnsi="Times New Roman" w:cs="Times New Roman"/>
          <w:color w:val="FF0000"/>
          <w:sz w:val="24"/>
          <w:szCs w:val="24"/>
        </w:rPr>
      </w:pPr>
      <w:r w:rsidRPr="00BE4AF3">
        <w:rPr>
          <w:rFonts w:ascii="Times New Roman" w:hAnsi="Times New Roman" w:cs="Times New Roman"/>
          <w:sz w:val="24"/>
          <w:szCs w:val="24"/>
        </w:rPr>
        <w:t>Development process in cities all over the world is revealed in the characteristics of the different landuse patterns (</w:t>
      </w:r>
      <w:r w:rsidRPr="00BE4AF3">
        <w:rPr>
          <w:rFonts w:ascii="Times New Roman" w:hAnsi="Times New Roman" w:cs="Times New Roman"/>
          <w:color w:val="000000"/>
          <w:sz w:val="24"/>
          <w:szCs w:val="24"/>
        </w:rPr>
        <w:t xml:space="preserve">Okewole, 2007; Onibokun, 2008; Oherein, 2024 and Afon, 2018). For instance, four different residential neighborhood typologies were identified in western Nigeria: the core, transition, sub-urban and planning schemes. The core areas are </w:t>
      </w:r>
      <w:r w:rsidRPr="00BE4AF3">
        <w:rPr>
          <w:rFonts w:ascii="Times New Roman" w:hAnsi="Times New Roman" w:cs="Times New Roman"/>
          <w:sz w:val="24"/>
          <w:szCs w:val="24"/>
        </w:rPr>
        <w:t>predominantly made up of old structures, whose construction predating the colonial period in Nigeria (i.e., pre-1914)</w:t>
      </w:r>
      <w:r w:rsidRPr="00BE4AF3">
        <w:rPr>
          <w:rFonts w:ascii="Times New Roman" w:hAnsi="Times New Roman" w:cs="Times New Roman"/>
          <w:color w:val="FF0000"/>
          <w:sz w:val="24"/>
          <w:szCs w:val="24"/>
        </w:rPr>
        <w:t xml:space="preserve">. </w:t>
      </w:r>
      <w:r w:rsidRPr="00BE4AF3">
        <w:rPr>
          <w:rFonts w:ascii="Times New Roman" w:hAnsi="Times New Roman" w:cs="Times New Roman"/>
          <w:sz w:val="24"/>
          <w:szCs w:val="24"/>
        </w:rPr>
        <w:t xml:space="preserve">Most of the residential property in the area are generally old, poorly ventilated, dilapidated, squalid and deficient in infrastructural facilities like potable pipe-borne water, drainage, electricity, sewage and refuse disposal system. </w:t>
      </w:r>
      <w:r w:rsidRPr="00BE4AF3">
        <w:rPr>
          <w:rFonts w:ascii="Times New Roman" w:hAnsi="Times New Roman" w:cs="Times New Roman"/>
          <w:color w:val="000000"/>
          <w:sz w:val="24"/>
          <w:szCs w:val="24"/>
        </w:rPr>
        <w:t>The transition is area</w:t>
      </w:r>
      <w:r w:rsidRPr="00BE4AF3">
        <w:rPr>
          <w:rFonts w:ascii="Times New Roman" w:hAnsi="Times New Roman" w:cs="Times New Roman"/>
          <w:sz w:val="24"/>
          <w:szCs w:val="24"/>
        </w:rPr>
        <w:t xml:space="preserve"> spreading all directions from the boundary of the city core. The zone is characterized by a strong mix of land uses such as commercial, administrative and residential. Unlike the core area, most of the residential property enjoys fair accessibility. However, the sanitary condition in the area is nothing to write home about. In the same vein, </w:t>
      </w:r>
      <w:r w:rsidRPr="00BE4AF3">
        <w:rPr>
          <w:rFonts w:ascii="Times New Roman" w:hAnsi="Times New Roman" w:cs="Times New Roman"/>
          <w:color w:val="000000"/>
          <w:sz w:val="24"/>
          <w:szCs w:val="24"/>
        </w:rPr>
        <w:t>suburban areas are</w:t>
      </w:r>
      <w:r w:rsidRPr="00BE4AF3">
        <w:rPr>
          <w:rFonts w:ascii="Times New Roman" w:hAnsi="Times New Roman" w:cs="Times New Roman"/>
          <w:color w:val="FF0000"/>
          <w:sz w:val="24"/>
          <w:szCs w:val="24"/>
        </w:rPr>
        <w:t xml:space="preserve"> </w:t>
      </w:r>
      <w:r w:rsidRPr="00BE4AF3">
        <w:rPr>
          <w:rFonts w:ascii="Times New Roman" w:hAnsi="Times New Roman" w:cs="Times New Roman"/>
          <w:sz w:val="24"/>
          <w:szCs w:val="24"/>
        </w:rPr>
        <w:t xml:space="preserve">located at the outskirt and the residential property is mostly of modern design and structurally sounds (Faniran, 2015 and Dada, 2018). </w:t>
      </w:r>
      <w:r w:rsidRPr="00BE4AF3">
        <w:rPr>
          <w:rFonts w:ascii="Times New Roman" w:hAnsi="Times New Roman" w:cs="Times New Roman"/>
          <w:color w:val="000000"/>
          <w:sz w:val="24"/>
          <w:szCs w:val="24"/>
        </w:rPr>
        <w:t>However, there are dearth’s in studies that have</w:t>
      </w:r>
      <w:r w:rsidRPr="00BE4AF3">
        <w:rPr>
          <w:rFonts w:ascii="Times New Roman" w:hAnsi="Times New Roman" w:cs="Times New Roman"/>
          <w:color w:val="FF0000"/>
          <w:sz w:val="24"/>
          <w:szCs w:val="24"/>
        </w:rPr>
        <w:t xml:space="preserve"> </w:t>
      </w:r>
      <w:r w:rsidRPr="00BE4AF3">
        <w:rPr>
          <w:rFonts w:ascii="Times New Roman" w:hAnsi="Times New Roman" w:cs="Times New Roman"/>
          <w:sz w:val="24"/>
          <w:szCs w:val="24"/>
        </w:rPr>
        <w:t>empirically verified and documented</w:t>
      </w:r>
      <w:r w:rsidRPr="00BE4AF3">
        <w:rPr>
          <w:rFonts w:ascii="Times New Roman" w:hAnsi="Times New Roman" w:cs="Times New Roman"/>
          <w:bCs/>
          <w:sz w:val="24"/>
          <w:szCs w:val="24"/>
        </w:rPr>
        <w:t xml:space="preserve"> the physical characteristic of areas prone to flood. </w:t>
      </w:r>
      <w:r w:rsidRPr="00BE4AF3">
        <w:rPr>
          <w:rFonts w:ascii="Times New Roman" w:hAnsi="Times New Roman" w:cs="Times New Roman"/>
          <w:sz w:val="24"/>
          <w:szCs w:val="24"/>
        </w:rPr>
        <w:t xml:space="preserve">This research intends to fill that gap. </w:t>
      </w:r>
    </w:p>
    <w:p w14:paraId="49B3D583" w14:textId="365DEEAD" w:rsidR="00BE4AF3" w:rsidRPr="00BE4AF3" w:rsidRDefault="00BE4AF3" w:rsidP="00C86F1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Different philosophies submitted that a good life is enhanced by having a positive attitude towards life or by knowing oneself deeply. Quality of life can be divided into three groups, each dealing with an aspect of a pleasant life. There is the subjective quality of life that has to do with life satisfaction and how happy the individual is in life. It has many aspects, which include satisfaction with life, happiness, and meaning in life. When an individual is positive in all these aspects it is believed that such a person is having good quality of life. However, a good life is far </w:t>
      </w:r>
      <w:r w:rsidRPr="00BE4AF3">
        <w:rPr>
          <w:rFonts w:ascii="Times New Roman" w:hAnsi="Times New Roman" w:cs="Times New Roman"/>
          <w:sz w:val="24"/>
          <w:szCs w:val="24"/>
        </w:rPr>
        <w:lastRenderedPageBreak/>
        <w:t xml:space="preserve">more than being satisfied, happy and having meaning for life. The existential quality of life indicates how pleasant an individual feels deep down or how harmonious one’s life is. In actual sense it simply means that quality of life is the agreement between a life lived and a sense of deep inner feeling of self-actualization. Two aspects constituting the biological view of quality of life are realizing life’s potential and fulfillment of needs.   </w:t>
      </w:r>
    </w:p>
    <w:p w14:paraId="1312D5EA" w14:textId="4C9A3C89" w:rsidR="00BE4AF3" w:rsidRDefault="00BE4AF3" w:rsidP="00C86F1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objective quality of life on the other hand refers to how others view one’s life, which is influenced by culture. It refers to how a person is able to conform to the values of his/her culture, which can be seen in such a person’s life. Some of the aspects of objective quality of life include income, marital status, state of health and the amount of relationships with others. In essence, objective quality of life emphasizes the conformity to societal norms and values as a sign of quality of life. This theory provides an elaborate way of measuring quality of life that includes concepts that are expressible and measurable and those that are inexpressible and immeasurable. However, the existential level, which is deep down in a human, is the center that produces the meaning to life and the center of human being. It is the reflector of quality of life and where in-depth knowledge of a human being could be attained. However, this experience at this level cannot be expressed because it is not rational and it is from this deepest pool that humans consider essence of life to emanate. Rural dwellers are subjected to denial of many amenities of life as a result of deliberate neglect by government. Such infrastructure as tarred roads, electricity, pipe borne water and good health care facilities are mostly not available in many rural areas and these have a toll on the quality of life (Development Support Monitor, 2022). Their life experiences, both subjective and objective, in most cases are negative and this may denote their quality of life. However, considering the integrative quality of life theory, both subjective and objective experiences may not be enough to measure their quality of life as it is possible for them to have the real meaning of life deep down within them despite their subjective and objective life experience. They may be satisfied with life despite what life has to offer them.   </w:t>
      </w:r>
    </w:p>
    <w:p w14:paraId="347F4F48" w14:textId="77777777" w:rsidR="00C86F13" w:rsidRPr="00BE4AF3" w:rsidRDefault="00C86F13" w:rsidP="00C86F13">
      <w:pPr>
        <w:spacing w:after="0" w:line="240" w:lineRule="auto"/>
        <w:jc w:val="both"/>
        <w:rPr>
          <w:rFonts w:ascii="Times New Roman" w:hAnsi="Times New Roman" w:cs="Times New Roman"/>
          <w:sz w:val="24"/>
          <w:szCs w:val="24"/>
        </w:rPr>
      </w:pPr>
    </w:p>
    <w:p w14:paraId="54A524E2" w14:textId="77777777" w:rsidR="00BE4AF3" w:rsidRPr="00C86F13" w:rsidRDefault="00BE4AF3" w:rsidP="00C86F13">
      <w:pPr>
        <w:spacing w:after="0" w:line="240" w:lineRule="auto"/>
        <w:jc w:val="both"/>
        <w:rPr>
          <w:rFonts w:ascii="Times New Roman" w:hAnsi="Times New Roman"/>
          <w:b/>
          <w:sz w:val="24"/>
          <w:szCs w:val="24"/>
        </w:rPr>
      </w:pPr>
      <w:r w:rsidRPr="00C86F13">
        <w:rPr>
          <w:rFonts w:ascii="Times New Roman" w:hAnsi="Times New Roman"/>
          <w:b/>
          <w:sz w:val="24"/>
          <w:szCs w:val="24"/>
        </w:rPr>
        <w:t xml:space="preserve">Methodology  </w:t>
      </w:r>
    </w:p>
    <w:p w14:paraId="5E84D8C0" w14:textId="77777777" w:rsidR="00BE4AF3" w:rsidRPr="00BE4AF3" w:rsidRDefault="00BE4AF3" w:rsidP="00C86F13">
      <w:pPr>
        <w:spacing w:after="0" w:line="240" w:lineRule="auto"/>
        <w:jc w:val="both"/>
        <w:rPr>
          <w:rFonts w:ascii="Times New Roman" w:eastAsia="Times New Roman" w:hAnsi="Times New Roman" w:cs="Times New Roman"/>
          <w:sz w:val="24"/>
          <w:szCs w:val="24"/>
        </w:rPr>
      </w:pPr>
      <w:r w:rsidRPr="00BE4AF3">
        <w:rPr>
          <w:rFonts w:ascii="Times New Roman" w:hAnsi="Times New Roman" w:cs="Times New Roman"/>
          <w:sz w:val="24"/>
          <w:szCs w:val="24"/>
        </w:rPr>
        <w:t xml:space="preserve">The researchers has used to the area very well which make familiarization to the study area possible with a view to assess factors </w:t>
      </w:r>
      <w:r w:rsidRPr="00BE4AF3">
        <w:rPr>
          <w:rFonts w:ascii="Times New Roman" w:hAnsi="Times New Roman" w:cs="Times New Roman"/>
          <w:bCs/>
          <w:sz w:val="24"/>
          <w:szCs w:val="24"/>
        </w:rPr>
        <w:t>influencing</w:t>
      </w:r>
      <w:r w:rsidRPr="00BE4AF3">
        <w:rPr>
          <w:rFonts w:ascii="Times New Roman" w:hAnsi="Times New Roman" w:cs="Times New Roman"/>
          <w:sz w:val="24"/>
          <w:szCs w:val="24"/>
        </w:rPr>
        <w:t xml:space="preserve"> quality of life among the residents’ in  the study area.</w:t>
      </w:r>
      <w:r w:rsidRPr="00BE4AF3">
        <w:rPr>
          <w:rFonts w:ascii="Times New Roman" w:hAnsi="Times New Roman" w:cs="Times New Roman"/>
          <w:i/>
          <w:sz w:val="24"/>
          <w:szCs w:val="24"/>
        </w:rPr>
        <w:t xml:space="preserve"> </w:t>
      </w:r>
      <w:r w:rsidRPr="00BE4AF3">
        <w:rPr>
          <w:rFonts w:ascii="Times New Roman" w:hAnsi="Times New Roman" w:cs="Times New Roman"/>
          <w:sz w:val="24"/>
          <w:szCs w:val="24"/>
        </w:rPr>
        <w:t xml:space="preserve">The questionnaire elicited biographical information, which included years of experience, nature of house, age of house, type of building materials, housing condition, housing facilities, </w:t>
      </w:r>
      <w:r w:rsidRPr="00BE4AF3">
        <w:rPr>
          <w:rFonts w:ascii="Times New Roman" w:eastAsia="Times New Roman" w:hAnsi="Times New Roman" w:cs="Times New Roman"/>
          <w:sz w:val="24"/>
          <w:szCs w:val="24"/>
        </w:rPr>
        <w:t>waste management control mechanism</w:t>
      </w:r>
      <w:r w:rsidRPr="00BE4AF3">
        <w:rPr>
          <w:rFonts w:ascii="Times New Roman" w:hAnsi="Times New Roman" w:cs="Times New Roman"/>
          <w:sz w:val="24"/>
          <w:szCs w:val="24"/>
        </w:rPr>
        <w:t xml:space="preserve"> and environmental sanitation </w:t>
      </w:r>
      <w:r w:rsidRPr="00BE4AF3">
        <w:rPr>
          <w:rFonts w:ascii="Times New Roman" w:eastAsia="Times New Roman" w:hAnsi="Times New Roman" w:cs="Times New Roman"/>
          <w:sz w:val="24"/>
          <w:szCs w:val="24"/>
        </w:rPr>
        <w:t>among others</w:t>
      </w:r>
      <w:r w:rsidRPr="00BE4AF3">
        <w:rPr>
          <w:rFonts w:ascii="Times New Roman" w:hAnsi="Times New Roman" w:cs="Times New Roman"/>
          <w:sz w:val="24"/>
          <w:szCs w:val="24"/>
        </w:rPr>
        <w:t xml:space="preserve">. The WHO quality of life (WHOQOL-BREF) questionnaire was used to measure </w:t>
      </w:r>
      <w:r w:rsidRPr="00BE4AF3">
        <w:rPr>
          <w:rFonts w:ascii="Times New Roman" w:hAnsi="Times New Roman" w:cs="Times New Roman"/>
          <w:iCs/>
          <w:sz w:val="24"/>
          <w:szCs w:val="24"/>
        </w:rPr>
        <w:t xml:space="preserve">neighborhood quality, economic opportunities and environmental amenities. </w:t>
      </w:r>
      <w:r w:rsidRPr="00BE4AF3">
        <w:rPr>
          <w:rFonts w:ascii="Times New Roman" w:hAnsi="Times New Roman" w:cs="Times New Roman"/>
          <w:sz w:val="24"/>
          <w:szCs w:val="24"/>
        </w:rPr>
        <w:t>The WHOQOL-BREF has a meritorious reliability (α = 0.86) (Gureje, Kola, Afolabi and Olley, 2021). High scores on the WHOQOL-BREF indicate better quality of life.</w:t>
      </w:r>
      <w:r w:rsidRPr="00BE4AF3">
        <w:rPr>
          <w:rFonts w:ascii="Times New Roman" w:hAnsi="Times New Roman" w:cs="Times New Roman"/>
          <w:i/>
          <w:sz w:val="24"/>
          <w:szCs w:val="24"/>
        </w:rPr>
        <w:t xml:space="preserve"> </w:t>
      </w:r>
      <w:r w:rsidRPr="00BE4AF3">
        <w:rPr>
          <w:rFonts w:ascii="Times New Roman" w:eastAsia="Times New Roman" w:hAnsi="Times New Roman" w:cs="Times New Roman"/>
          <w:sz w:val="24"/>
          <w:szCs w:val="24"/>
        </w:rPr>
        <w:t xml:space="preserve">The target population is composed of households’ member residing within 45m setback to the river </w:t>
      </w:r>
      <w:r w:rsidRPr="00BE4AF3">
        <w:rPr>
          <w:rFonts w:ascii="Times New Roman" w:hAnsi="Times New Roman" w:cs="Times New Roman"/>
          <w:sz w:val="24"/>
          <w:szCs w:val="24"/>
        </w:rPr>
        <w:t>(Ogunpa; Orogun, and Kudeti)</w:t>
      </w:r>
      <w:r w:rsidRPr="00BE4AF3">
        <w:rPr>
          <w:rFonts w:ascii="Times New Roman" w:eastAsia="Times New Roman" w:hAnsi="Times New Roman" w:cs="Times New Roman"/>
          <w:sz w:val="24"/>
          <w:szCs w:val="24"/>
        </w:rPr>
        <w:t>. Which was later stratified into three strata, thus, buildings below (15m) to the river formed the first stratum; between (15.1-30.0m) to the river is the second stratum, while the third stratum consist of buildings within (30.1-45m) set-back to the river in the areas. The choice of this stratification is informed by the minimum standard of building setback to a river which is 45m as stipulated in building regulation by-law. Hence, one hundred and three (103) areas prone to flood in Ibadan region were stratified into three residential strata as indicated in the table 3.1 below.</w:t>
      </w:r>
    </w:p>
    <w:p w14:paraId="297C381C" w14:textId="77777777" w:rsidR="00BE4AF3" w:rsidRPr="00BE4AF3" w:rsidRDefault="00BE4AF3" w:rsidP="00C86F13">
      <w:pPr>
        <w:spacing w:after="0" w:line="240" w:lineRule="auto"/>
        <w:jc w:val="both"/>
        <w:rPr>
          <w:rFonts w:ascii="Times New Roman" w:hAnsi="Times New Roman" w:cs="Times New Roman"/>
          <w:b/>
          <w:sz w:val="24"/>
          <w:szCs w:val="24"/>
        </w:rPr>
      </w:pPr>
    </w:p>
    <w:p w14:paraId="470E658A" w14:textId="77777777" w:rsidR="00F97ED1" w:rsidRDefault="00F97ED1" w:rsidP="00C86F13">
      <w:pPr>
        <w:autoSpaceDE w:val="0"/>
        <w:autoSpaceDN w:val="0"/>
        <w:adjustRightInd w:val="0"/>
        <w:spacing w:after="0" w:line="240" w:lineRule="auto"/>
        <w:rPr>
          <w:rFonts w:ascii="Times New Roman" w:eastAsia="Times New Roman" w:hAnsi="Times New Roman" w:cs="Times New Roman"/>
          <w:b/>
          <w:sz w:val="24"/>
          <w:szCs w:val="24"/>
        </w:rPr>
      </w:pPr>
    </w:p>
    <w:p w14:paraId="37930B42" w14:textId="77777777" w:rsidR="00F97ED1" w:rsidRDefault="00F97ED1" w:rsidP="00C86F13">
      <w:pPr>
        <w:autoSpaceDE w:val="0"/>
        <w:autoSpaceDN w:val="0"/>
        <w:adjustRightInd w:val="0"/>
        <w:spacing w:after="0" w:line="240" w:lineRule="auto"/>
        <w:rPr>
          <w:rFonts w:ascii="Times New Roman" w:eastAsia="Times New Roman" w:hAnsi="Times New Roman" w:cs="Times New Roman"/>
          <w:b/>
          <w:sz w:val="24"/>
          <w:szCs w:val="24"/>
        </w:rPr>
      </w:pPr>
    </w:p>
    <w:p w14:paraId="36F5E7C8" w14:textId="77777777" w:rsidR="00F97ED1" w:rsidRDefault="00F97ED1" w:rsidP="00C86F13">
      <w:pPr>
        <w:autoSpaceDE w:val="0"/>
        <w:autoSpaceDN w:val="0"/>
        <w:adjustRightInd w:val="0"/>
        <w:spacing w:after="0" w:line="240" w:lineRule="auto"/>
        <w:rPr>
          <w:rFonts w:ascii="Times New Roman" w:eastAsia="Times New Roman" w:hAnsi="Times New Roman" w:cs="Times New Roman"/>
          <w:b/>
          <w:sz w:val="24"/>
          <w:szCs w:val="24"/>
        </w:rPr>
      </w:pPr>
    </w:p>
    <w:p w14:paraId="60E79DC3" w14:textId="77777777" w:rsidR="00F97ED1" w:rsidRDefault="00F97ED1" w:rsidP="00C86F13">
      <w:pPr>
        <w:autoSpaceDE w:val="0"/>
        <w:autoSpaceDN w:val="0"/>
        <w:adjustRightInd w:val="0"/>
        <w:spacing w:after="0" w:line="240" w:lineRule="auto"/>
        <w:rPr>
          <w:rFonts w:ascii="Times New Roman" w:eastAsia="Times New Roman" w:hAnsi="Times New Roman" w:cs="Times New Roman"/>
          <w:b/>
          <w:sz w:val="24"/>
          <w:szCs w:val="24"/>
        </w:rPr>
      </w:pPr>
    </w:p>
    <w:p w14:paraId="74765EFC" w14:textId="77777777" w:rsidR="00F97ED1" w:rsidRDefault="00F97ED1" w:rsidP="00C86F13">
      <w:pPr>
        <w:autoSpaceDE w:val="0"/>
        <w:autoSpaceDN w:val="0"/>
        <w:adjustRightInd w:val="0"/>
        <w:spacing w:after="0" w:line="240" w:lineRule="auto"/>
        <w:rPr>
          <w:rFonts w:ascii="Times New Roman" w:eastAsia="Times New Roman" w:hAnsi="Times New Roman" w:cs="Times New Roman"/>
          <w:b/>
          <w:sz w:val="24"/>
          <w:szCs w:val="24"/>
        </w:rPr>
      </w:pPr>
    </w:p>
    <w:p w14:paraId="7C2FD914" w14:textId="77777777" w:rsidR="00F97ED1" w:rsidRDefault="00F97ED1" w:rsidP="00C86F13">
      <w:pPr>
        <w:autoSpaceDE w:val="0"/>
        <w:autoSpaceDN w:val="0"/>
        <w:adjustRightInd w:val="0"/>
        <w:spacing w:after="0" w:line="240" w:lineRule="auto"/>
        <w:rPr>
          <w:rFonts w:ascii="Times New Roman" w:eastAsia="Times New Roman" w:hAnsi="Times New Roman" w:cs="Times New Roman"/>
          <w:b/>
          <w:sz w:val="24"/>
          <w:szCs w:val="24"/>
        </w:rPr>
      </w:pPr>
    </w:p>
    <w:p w14:paraId="1D815567" w14:textId="7C26EBC5" w:rsidR="00BE4AF3" w:rsidRPr="00BE4AF3" w:rsidRDefault="00BE4AF3" w:rsidP="00C86F13">
      <w:pPr>
        <w:autoSpaceDE w:val="0"/>
        <w:autoSpaceDN w:val="0"/>
        <w:adjustRightInd w:val="0"/>
        <w:spacing w:after="0" w:line="240" w:lineRule="auto"/>
        <w:rPr>
          <w:rFonts w:ascii="Times New Roman" w:eastAsia="Times New Roman" w:hAnsi="Times New Roman" w:cs="Times New Roman"/>
          <w:b/>
          <w:sz w:val="24"/>
          <w:szCs w:val="24"/>
        </w:rPr>
      </w:pPr>
      <w:r w:rsidRPr="00BE4AF3">
        <w:rPr>
          <w:rFonts w:ascii="Times New Roman" w:eastAsia="Times New Roman" w:hAnsi="Times New Roman" w:cs="Times New Roman"/>
          <w:b/>
          <w:sz w:val="24"/>
          <w:szCs w:val="24"/>
        </w:rPr>
        <w:lastRenderedPageBreak/>
        <w:t>Table 3.1</w:t>
      </w:r>
      <w:r w:rsidR="00F97ED1">
        <w:rPr>
          <w:rFonts w:ascii="Times New Roman" w:eastAsia="Times New Roman" w:hAnsi="Times New Roman" w:cs="Times New Roman"/>
          <w:b/>
          <w:sz w:val="24"/>
          <w:szCs w:val="24"/>
        </w:rPr>
        <w:t>:</w:t>
      </w:r>
      <w:r w:rsidRPr="00BE4AF3">
        <w:rPr>
          <w:rFonts w:ascii="Times New Roman" w:eastAsia="Times New Roman" w:hAnsi="Times New Roman" w:cs="Times New Roman"/>
          <w:b/>
          <w:sz w:val="24"/>
          <w:szCs w:val="24"/>
        </w:rPr>
        <w:t xml:space="preserve"> </w:t>
      </w:r>
      <w:r w:rsidRPr="00F97ED1">
        <w:rPr>
          <w:rFonts w:ascii="Times New Roman" w:eastAsia="Times New Roman" w:hAnsi="Times New Roman" w:cs="Times New Roman"/>
          <w:bCs/>
          <w:sz w:val="24"/>
          <w:szCs w:val="24"/>
        </w:rPr>
        <w:t>Identified Areas Prone to Flood in Ibadan Region</w:t>
      </w:r>
    </w:p>
    <w:tbl>
      <w:tblPr>
        <w:tblW w:w="9356" w:type="dxa"/>
        <w:jc w:val="center"/>
        <w:tblBorders>
          <w:top w:val="single" w:sz="4" w:space="0" w:color="000000"/>
          <w:bottom w:val="single" w:sz="4" w:space="0" w:color="000000"/>
        </w:tblBorders>
        <w:tblLayout w:type="fixed"/>
        <w:tblLook w:val="04A0" w:firstRow="1" w:lastRow="0" w:firstColumn="1" w:lastColumn="0" w:noHBand="0" w:noVBand="1"/>
      </w:tblPr>
      <w:tblGrid>
        <w:gridCol w:w="993"/>
        <w:gridCol w:w="921"/>
        <w:gridCol w:w="7442"/>
      </w:tblGrid>
      <w:tr w:rsidR="00BE4AF3" w:rsidRPr="00C86F13" w14:paraId="03901D32" w14:textId="77777777" w:rsidTr="00F97ED1">
        <w:trPr>
          <w:jc w:val="center"/>
        </w:trPr>
        <w:tc>
          <w:tcPr>
            <w:tcW w:w="993" w:type="dxa"/>
            <w:tcBorders>
              <w:top w:val="single" w:sz="4" w:space="0" w:color="000000"/>
              <w:bottom w:val="single" w:sz="4" w:space="0" w:color="000000"/>
            </w:tcBorders>
          </w:tcPr>
          <w:p w14:paraId="05B611FC" w14:textId="77777777" w:rsidR="00BE4AF3" w:rsidRPr="00C86F13" w:rsidRDefault="00BE4AF3" w:rsidP="00C86F13">
            <w:pPr>
              <w:spacing w:after="0" w:line="240" w:lineRule="auto"/>
              <w:jc w:val="both"/>
              <w:rPr>
                <w:rFonts w:ascii="Times New Roman" w:hAnsi="Times New Roman" w:cs="Times New Roman"/>
                <w:b/>
                <w:sz w:val="20"/>
                <w:szCs w:val="20"/>
              </w:rPr>
            </w:pPr>
            <w:r w:rsidRPr="00C86F13">
              <w:rPr>
                <w:rFonts w:ascii="Times New Roman" w:hAnsi="Times New Roman" w:cs="Times New Roman"/>
                <w:b/>
                <w:sz w:val="20"/>
                <w:szCs w:val="20"/>
              </w:rPr>
              <w:t>LGAs</w:t>
            </w:r>
          </w:p>
        </w:tc>
        <w:tc>
          <w:tcPr>
            <w:tcW w:w="921" w:type="dxa"/>
            <w:tcBorders>
              <w:top w:val="single" w:sz="4" w:space="0" w:color="000000"/>
              <w:bottom w:val="single" w:sz="4" w:space="0" w:color="000000"/>
            </w:tcBorders>
          </w:tcPr>
          <w:p w14:paraId="34DCA18D" w14:textId="77777777" w:rsidR="00BE4AF3" w:rsidRPr="00C86F13" w:rsidRDefault="00BE4AF3" w:rsidP="00C86F13">
            <w:pPr>
              <w:spacing w:after="0" w:line="240" w:lineRule="auto"/>
              <w:jc w:val="both"/>
              <w:rPr>
                <w:rFonts w:ascii="Times New Roman" w:hAnsi="Times New Roman" w:cs="Times New Roman"/>
                <w:b/>
                <w:sz w:val="20"/>
                <w:szCs w:val="20"/>
              </w:rPr>
            </w:pPr>
            <w:r w:rsidRPr="00C86F13">
              <w:rPr>
                <w:rFonts w:ascii="Times New Roman" w:hAnsi="Times New Roman" w:cs="Times New Roman"/>
                <w:b/>
                <w:sz w:val="20"/>
                <w:szCs w:val="20"/>
              </w:rPr>
              <w:t>Areas</w:t>
            </w:r>
          </w:p>
        </w:tc>
        <w:tc>
          <w:tcPr>
            <w:tcW w:w="7442" w:type="dxa"/>
            <w:tcBorders>
              <w:top w:val="single" w:sz="4" w:space="0" w:color="000000"/>
              <w:bottom w:val="single" w:sz="4" w:space="0" w:color="000000"/>
            </w:tcBorders>
          </w:tcPr>
          <w:p w14:paraId="0F2E701F" w14:textId="77777777" w:rsidR="00BE4AF3" w:rsidRPr="00C86F13" w:rsidRDefault="00BE4AF3" w:rsidP="00C86F13">
            <w:pPr>
              <w:spacing w:after="0" w:line="240" w:lineRule="auto"/>
              <w:jc w:val="both"/>
              <w:rPr>
                <w:rFonts w:ascii="Times New Roman" w:hAnsi="Times New Roman" w:cs="Times New Roman"/>
                <w:b/>
                <w:sz w:val="20"/>
                <w:szCs w:val="20"/>
              </w:rPr>
            </w:pPr>
            <w:r w:rsidRPr="00C86F13">
              <w:rPr>
                <w:rFonts w:ascii="Times New Roman" w:hAnsi="Times New Roman" w:cs="Times New Roman"/>
                <w:b/>
                <w:sz w:val="20"/>
                <w:szCs w:val="20"/>
              </w:rPr>
              <w:t>Streets</w:t>
            </w:r>
          </w:p>
        </w:tc>
      </w:tr>
      <w:tr w:rsidR="00BE4AF3" w:rsidRPr="00C86F13" w14:paraId="3C1527BC" w14:textId="77777777" w:rsidTr="00F97ED1">
        <w:trPr>
          <w:jc w:val="center"/>
        </w:trPr>
        <w:tc>
          <w:tcPr>
            <w:tcW w:w="993" w:type="dxa"/>
            <w:tcBorders>
              <w:top w:val="single" w:sz="4" w:space="0" w:color="000000"/>
            </w:tcBorders>
          </w:tcPr>
          <w:p w14:paraId="4ABCC907"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Ibadan northeast</w:t>
            </w:r>
          </w:p>
        </w:tc>
        <w:tc>
          <w:tcPr>
            <w:tcW w:w="921" w:type="dxa"/>
            <w:tcBorders>
              <w:top w:val="single" w:sz="4" w:space="0" w:color="000000"/>
            </w:tcBorders>
          </w:tcPr>
          <w:p w14:paraId="4778DE6B"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Bodija</w:t>
            </w:r>
          </w:p>
        </w:tc>
        <w:tc>
          <w:tcPr>
            <w:tcW w:w="7442" w:type="dxa"/>
            <w:tcBorders>
              <w:top w:val="single" w:sz="4" w:space="0" w:color="000000"/>
            </w:tcBorders>
          </w:tcPr>
          <w:p w14:paraId="02F996A7"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Ilupeju, Carpenter,Ogundele, Vulcanizer,Aba-apata, kekere,aloba close.</w:t>
            </w:r>
          </w:p>
        </w:tc>
      </w:tr>
      <w:tr w:rsidR="00BE4AF3" w:rsidRPr="00C86F13" w14:paraId="5936C687" w14:textId="77777777" w:rsidTr="00F97ED1">
        <w:trPr>
          <w:jc w:val="center"/>
        </w:trPr>
        <w:tc>
          <w:tcPr>
            <w:tcW w:w="993" w:type="dxa"/>
          </w:tcPr>
          <w:p w14:paraId="12A23171" w14:textId="77777777" w:rsidR="00BE4AF3" w:rsidRPr="00C86F13" w:rsidRDefault="00BE4AF3" w:rsidP="00C86F13">
            <w:pPr>
              <w:spacing w:after="0" w:line="240" w:lineRule="auto"/>
              <w:jc w:val="both"/>
              <w:rPr>
                <w:rFonts w:ascii="Times New Roman" w:hAnsi="Times New Roman" w:cs="Times New Roman"/>
                <w:sz w:val="20"/>
                <w:szCs w:val="20"/>
              </w:rPr>
            </w:pPr>
          </w:p>
        </w:tc>
        <w:tc>
          <w:tcPr>
            <w:tcW w:w="921" w:type="dxa"/>
          </w:tcPr>
          <w:p w14:paraId="734F73DF"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Orogun</w:t>
            </w:r>
          </w:p>
        </w:tc>
        <w:tc>
          <w:tcPr>
            <w:tcW w:w="7442" w:type="dxa"/>
          </w:tcPr>
          <w:p w14:paraId="4A1D1837" w14:textId="77777777" w:rsidR="00BE4AF3" w:rsidRPr="00C86F13" w:rsidRDefault="00BE4AF3" w:rsidP="00C86F13">
            <w:pPr>
              <w:spacing w:after="0" w:line="240" w:lineRule="auto"/>
              <w:rPr>
                <w:rFonts w:ascii="Times New Roman" w:hAnsi="Times New Roman" w:cs="Times New Roman"/>
                <w:sz w:val="20"/>
                <w:szCs w:val="20"/>
              </w:rPr>
            </w:pPr>
            <w:r w:rsidRPr="00C86F13">
              <w:rPr>
                <w:rFonts w:ascii="Times New Roman" w:hAnsi="Times New Roman" w:cs="Times New Roman"/>
                <w:sz w:val="20"/>
                <w:szCs w:val="20"/>
              </w:rPr>
              <w:t>Celetia, Akande, Oyesola, Salami , GRA, Duroladipo ,Agbowo, Ijokodo, University areas, Apete.</w:t>
            </w:r>
          </w:p>
        </w:tc>
      </w:tr>
      <w:tr w:rsidR="00BE4AF3" w:rsidRPr="00C86F13" w14:paraId="61092563" w14:textId="77777777" w:rsidTr="00F97ED1">
        <w:trPr>
          <w:jc w:val="center"/>
        </w:trPr>
        <w:tc>
          <w:tcPr>
            <w:tcW w:w="993" w:type="dxa"/>
          </w:tcPr>
          <w:p w14:paraId="256B0D00" w14:textId="77777777" w:rsidR="00BE4AF3" w:rsidRPr="00C86F13" w:rsidRDefault="00BE4AF3" w:rsidP="00C86F13">
            <w:pPr>
              <w:spacing w:after="0" w:line="240" w:lineRule="auto"/>
              <w:jc w:val="both"/>
              <w:rPr>
                <w:rFonts w:ascii="Times New Roman" w:hAnsi="Times New Roman" w:cs="Times New Roman"/>
                <w:sz w:val="20"/>
                <w:szCs w:val="20"/>
              </w:rPr>
            </w:pPr>
          </w:p>
        </w:tc>
        <w:tc>
          <w:tcPr>
            <w:tcW w:w="921" w:type="dxa"/>
          </w:tcPr>
          <w:p w14:paraId="16DE7851"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Adekile</w:t>
            </w:r>
          </w:p>
        </w:tc>
        <w:tc>
          <w:tcPr>
            <w:tcW w:w="7442" w:type="dxa"/>
          </w:tcPr>
          <w:p w14:paraId="6FBA818E"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Bokusoro, Oniwata, Adeoye, Adekola, Onibudo, Ile-eja and Obisesan compound</w:t>
            </w:r>
          </w:p>
        </w:tc>
      </w:tr>
      <w:tr w:rsidR="00BE4AF3" w:rsidRPr="00C86F13" w14:paraId="2D2BA8C5" w14:textId="77777777" w:rsidTr="00F97ED1">
        <w:trPr>
          <w:jc w:val="center"/>
        </w:trPr>
        <w:tc>
          <w:tcPr>
            <w:tcW w:w="993" w:type="dxa"/>
          </w:tcPr>
          <w:p w14:paraId="36EC2A19" w14:textId="77777777" w:rsidR="00BE4AF3" w:rsidRPr="00C86F13" w:rsidRDefault="00BE4AF3" w:rsidP="00C86F13">
            <w:pPr>
              <w:spacing w:after="0" w:line="240" w:lineRule="auto"/>
              <w:jc w:val="both"/>
              <w:rPr>
                <w:rFonts w:ascii="Times New Roman" w:hAnsi="Times New Roman" w:cs="Times New Roman"/>
                <w:sz w:val="20"/>
                <w:szCs w:val="20"/>
              </w:rPr>
            </w:pPr>
          </w:p>
        </w:tc>
        <w:tc>
          <w:tcPr>
            <w:tcW w:w="921" w:type="dxa"/>
          </w:tcPr>
          <w:p w14:paraId="1D17C079"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Ogbeere</w:t>
            </w:r>
          </w:p>
        </w:tc>
        <w:tc>
          <w:tcPr>
            <w:tcW w:w="7442" w:type="dxa"/>
          </w:tcPr>
          <w:p w14:paraId="333FAF0F"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Babanla, Ojaogbeeregbangba and Moradeyo</w:t>
            </w:r>
          </w:p>
        </w:tc>
      </w:tr>
      <w:tr w:rsidR="00BE4AF3" w:rsidRPr="00C86F13" w14:paraId="7A0BF282" w14:textId="77777777" w:rsidTr="00F97ED1">
        <w:trPr>
          <w:jc w:val="center"/>
        </w:trPr>
        <w:tc>
          <w:tcPr>
            <w:tcW w:w="993" w:type="dxa"/>
          </w:tcPr>
          <w:p w14:paraId="7EF64AA1" w14:textId="77777777" w:rsidR="00BE4AF3" w:rsidRPr="00C86F13" w:rsidRDefault="00BE4AF3" w:rsidP="00C86F13">
            <w:pPr>
              <w:spacing w:after="0" w:line="240" w:lineRule="auto"/>
              <w:jc w:val="both"/>
              <w:rPr>
                <w:rFonts w:ascii="Times New Roman" w:hAnsi="Times New Roman" w:cs="Times New Roman"/>
                <w:sz w:val="20"/>
                <w:szCs w:val="20"/>
              </w:rPr>
            </w:pPr>
          </w:p>
        </w:tc>
        <w:tc>
          <w:tcPr>
            <w:tcW w:w="921" w:type="dxa"/>
          </w:tcPr>
          <w:p w14:paraId="499A041D"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Oje</w:t>
            </w:r>
          </w:p>
        </w:tc>
        <w:tc>
          <w:tcPr>
            <w:tcW w:w="7442" w:type="dxa"/>
          </w:tcPr>
          <w:p w14:paraId="349CAFAB"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olodo, Osunline, Alakia-Olosan, Ifelodun, Apata, Olomi, alafara, Ijamun compound,</w:t>
            </w:r>
          </w:p>
        </w:tc>
      </w:tr>
      <w:tr w:rsidR="00BE4AF3" w:rsidRPr="00C86F13" w14:paraId="119F4E2C" w14:textId="77777777" w:rsidTr="00F97ED1">
        <w:trPr>
          <w:jc w:val="center"/>
        </w:trPr>
        <w:tc>
          <w:tcPr>
            <w:tcW w:w="993" w:type="dxa"/>
          </w:tcPr>
          <w:p w14:paraId="376358B1" w14:textId="77777777" w:rsidR="00BE4AF3" w:rsidRPr="00C86F13" w:rsidRDefault="00BE4AF3" w:rsidP="00C86F13">
            <w:pPr>
              <w:spacing w:after="0" w:line="240" w:lineRule="auto"/>
              <w:jc w:val="both"/>
              <w:rPr>
                <w:rFonts w:ascii="Times New Roman" w:hAnsi="Times New Roman" w:cs="Times New Roman"/>
                <w:sz w:val="20"/>
                <w:szCs w:val="20"/>
              </w:rPr>
            </w:pPr>
          </w:p>
        </w:tc>
        <w:tc>
          <w:tcPr>
            <w:tcW w:w="921" w:type="dxa"/>
          </w:tcPr>
          <w:p w14:paraId="794E54B1"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Odeaje</w:t>
            </w:r>
          </w:p>
        </w:tc>
        <w:tc>
          <w:tcPr>
            <w:tcW w:w="7442" w:type="dxa"/>
          </w:tcPr>
          <w:p w14:paraId="4D13F4B3"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Adewonmodo, Lananse, Atipe, aderongba, TemidireOdo</w:t>
            </w:r>
          </w:p>
        </w:tc>
      </w:tr>
      <w:tr w:rsidR="00BE4AF3" w:rsidRPr="00C86F13" w14:paraId="09105CA9" w14:textId="77777777" w:rsidTr="00F97ED1">
        <w:trPr>
          <w:jc w:val="center"/>
        </w:trPr>
        <w:tc>
          <w:tcPr>
            <w:tcW w:w="993" w:type="dxa"/>
          </w:tcPr>
          <w:p w14:paraId="2786AAFA" w14:textId="77777777" w:rsidR="00BE4AF3" w:rsidRPr="00C86F13" w:rsidRDefault="00BE4AF3" w:rsidP="00C86F13">
            <w:pPr>
              <w:spacing w:after="0" w:line="240" w:lineRule="auto"/>
              <w:jc w:val="both"/>
              <w:rPr>
                <w:rFonts w:ascii="Times New Roman" w:hAnsi="Times New Roman" w:cs="Times New Roman"/>
                <w:sz w:val="20"/>
                <w:szCs w:val="20"/>
              </w:rPr>
            </w:pPr>
          </w:p>
        </w:tc>
        <w:tc>
          <w:tcPr>
            <w:tcW w:w="921" w:type="dxa"/>
          </w:tcPr>
          <w:p w14:paraId="745A0D1D" w14:textId="77777777" w:rsidR="00BE4AF3" w:rsidRPr="00C86F13" w:rsidRDefault="00BE4AF3" w:rsidP="00C86F13">
            <w:pPr>
              <w:spacing w:after="0" w:line="240" w:lineRule="auto"/>
              <w:jc w:val="both"/>
              <w:rPr>
                <w:rFonts w:ascii="Times New Roman" w:hAnsi="Times New Roman" w:cs="Times New Roman"/>
                <w:sz w:val="20"/>
                <w:szCs w:val="20"/>
              </w:rPr>
            </w:pPr>
          </w:p>
        </w:tc>
        <w:tc>
          <w:tcPr>
            <w:tcW w:w="7442" w:type="dxa"/>
          </w:tcPr>
          <w:p w14:paraId="3DB5F8A3" w14:textId="77777777" w:rsidR="00BE4AF3" w:rsidRPr="00C86F13" w:rsidRDefault="00BE4AF3" w:rsidP="00C86F13">
            <w:pPr>
              <w:spacing w:after="0" w:line="240" w:lineRule="auto"/>
              <w:jc w:val="both"/>
              <w:rPr>
                <w:rFonts w:ascii="Times New Roman" w:hAnsi="Times New Roman" w:cs="Times New Roman"/>
                <w:sz w:val="20"/>
                <w:szCs w:val="20"/>
              </w:rPr>
            </w:pPr>
          </w:p>
        </w:tc>
      </w:tr>
      <w:tr w:rsidR="00BE4AF3" w:rsidRPr="00C86F13" w14:paraId="01959F53" w14:textId="77777777" w:rsidTr="00F97ED1">
        <w:trPr>
          <w:jc w:val="center"/>
        </w:trPr>
        <w:tc>
          <w:tcPr>
            <w:tcW w:w="993" w:type="dxa"/>
          </w:tcPr>
          <w:p w14:paraId="53BF71E5"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Ibadan southeast</w:t>
            </w:r>
          </w:p>
        </w:tc>
        <w:tc>
          <w:tcPr>
            <w:tcW w:w="921" w:type="dxa"/>
          </w:tcPr>
          <w:p w14:paraId="7281485D"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Kudeti</w:t>
            </w:r>
          </w:p>
        </w:tc>
        <w:tc>
          <w:tcPr>
            <w:tcW w:w="7442" w:type="dxa"/>
          </w:tcPr>
          <w:p w14:paraId="64C20062"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Okeayo, Ileepo, Adeola, Motulasu, Kole, Ararorni Papa-ashafa, Ajegunle and Odo-ogun.</w:t>
            </w:r>
          </w:p>
        </w:tc>
      </w:tr>
      <w:tr w:rsidR="00BE4AF3" w:rsidRPr="00C86F13" w14:paraId="25836EEA" w14:textId="77777777" w:rsidTr="00F97ED1">
        <w:trPr>
          <w:jc w:val="center"/>
        </w:trPr>
        <w:tc>
          <w:tcPr>
            <w:tcW w:w="993" w:type="dxa"/>
          </w:tcPr>
          <w:p w14:paraId="640DDFF5" w14:textId="77777777" w:rsidR="00BE4AF3" w:rsidRPr="00C86F13" w:rsidRDefault="00BE4AF3" w:rsidP="00C86F13">
            <w:pPr>
              <w:spacing w:after="0" w:line="240" w:lineRule="auto"/>
              <w:jc w:val="both"/>
              <w:rPr>
                <w:rFonts w:ascii="Times New Roman" w:hAnsi="Times New Roman" w:cs="Times New Roman"/>
                <w:sz w:val="20"/>
                <w:szCs w:val="20"/>
              </w:rPr>
            </w:pPr>
          </w:p>
        </w:tc>
        <w:tc>
          <w:tcPr>
            <w:tcW w:w="921" w:type="dxa"/>
          </w:tcPr>
          <w:p w14:paraId="0355ABAD"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Labo</w:t>
            </w:r>
          </w:p>
        </w:tc>
        <w:tc>
          <w:tcPr>
            <w:tcW w:w="7442" w:type="dxa"/>
          </w:tcPr>
          <w:p w14:paraId="08A7B97C"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Odo-onna, Odo-Onnaelewe, Okeayo, Ileepo, Adeola, Motulasu, Kole, Araromi Papa-ashafa, and Ajegunle.</w:t>
            </w:r>
          </w:p>
        </w:tc>
      </w:tr>
      <w:tr w:rsidR="00BE4AF3" w:rsidRPr="00C86F13" w14:paraId="1F6AA625" w14:textId="77777777" w:rsidTr="00F97ED1">
        <w:trPr>
          <w:jc w:val="center"/>
        </w:trPr>
        <w:tc>
          <w:tcPr>
            <w:tcW w:w="993" w:type="dxa"/>
          </w:tcPr>
          <w:p w14:paraId="3E42C892" w14:textId="77777777" w:rsidR="00BE4AF3" w:rsidRPr="00C86F13" w:rsidRDefault="00BE4AF3" w:rsidP="00C86F13">
            <w:pPr>
              <w:spacing w:after="0" w:line="240" w:lineRule="auto"/>
              <w:jc w:val="both"/>
              <w:rPr>
                <w:rFonts w:ascii="Times New Roman" w:hAnsi="Times New Roman" w:cs="Times New Roman"/>
                <w:sz w:val="20"/>
                <w:szCs w:val="20"/>
              </w:rPr>
            </w:pPr>
          </w:p>
        </w:tc>
        <w:tc>
          <w:tcPr>
            <w:tcW w:w="921" w:type="dxa"/>
          </w:tcPr>
          <w:p w14:paraId="23156068"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Foko</w:t>
            </w:r>
          </w:p>
        </w:tc>
        <w:tc>
          <w:tcPr>
            <w:tcW w:w="7442" w:type="dxa"/>
          </w:tcPr>
          <w:p w14:paraId="062047AF"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Fawole, Oloya, Arolasade compound and Adagbada</w:t>
            </w:r>
          </w:p>
        </w:tc>
      </w:tr>
      <w:tr w:rsidR="00BE4AF3" w:rsidRPr="00C86F13" w14:paraId="4678BB1F" w14:textId="77777777" w:rsidTr="00F97ED1">
        <w:trPr>
          <w:jc w:val="center"/>
        </w:trPr>
        <w:tc>
          <w:tcPr>
            <w:tcW w:w="993" w:type="dxa"/>
          </w:tcPr>
          <w:p w14:paraId="59749B4D" w14:textId="77777777" w:rsidR="00BE4AF3" w:rsidRPr="00C86F13" w:rsidRDefault="00BE4AF3" w:rsidP="00C86F13">
            <w:pPr>
              <w:spacing w:after="0" w:line="240" w:lineRule="auto"/>
              <w:jc w:val="both"/>
              <w:rPr>
                <w:rFonts w:ascii="Times New Roman" w:hAnsi="Times New Roman" w:cs="Times New Roman"/>
                <w:sz w:val="20"/>
                <w:szCs w:val="20"/>
              </w:rPr>
            </w:pPr>
          </w:p>
        </w:tc>
        <w:tc>
          <w:tcPr>
            <w:tcW w:w="921" w:type="dxa"/>
          </w:tcPr>
          <w:p w14:paraId="6976CC36"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Eleta and Agbongbon</w:t>
            </w:r>
          </w:p>
        </w:tc>
        <w:tc>
          <w:tcPr>
            <w:tcW w:w="7442" w:type="dxa"/>
          </w:tcPr>
          <w:p w14:paraId="0D851B65" w14:textId="77777777" w:rsidR="00BE4AF3" w:rsidRPr="00C86F13" w:rsidRDefault="00BE4AF3" w:rsidP="00C86F13">
            <w:pPr>
              <w:spacing w:after="0" w:line="240" w:lineRule="auto"/>
              <w:rPr>
                <w:rFonts w:ascii="Times New Roman" w:hAnsi="Times New Roman" w:cs="Times New Roman"/>
                <w:sz w:val="20"/>
                <w:szCs w:val="20"/>
              </w:rPr>
            </w:pPr>
            <w:r w:rsidRPr="00C86F13">
              <w:rPr>
                <w:rFonts w:ascii="Times New Roman" w:hAnsi="Times New Roman" w:cs="Times New Roman"/>
                <w:sz w:val="20"/>
                <w:szCs w:val="20"/>
              </w:rPr>
              <w:t>Ajibade, church area, Ilupeju, Oluyole and Alarostram, Kadelu, Ajani, Adabale, Adegbulugbe, Moradeyo,</w:t>
            </w:r>
          </w:p>
        </w:tc>
      </w:tr>
      <w:tr w:rsidR="00BE4AF3" w:rsidRPr="00C86F13" w14:paraId="0C3DF2EC" w14:textId="77777777" w:rsidTr="00F97ED1">
        <w:trPr>
          <w:jc w:val="center"/>
        </w:trPr>
        <w:tc>
          <w:tcPr>
            <w:tcW w:w="993" w:type="dxa"/>
          </w:tcPr>
          <w:p w14:paraId="20AF6E67"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Ibadan southwest</w:t>
            </w:r>
          </w:p>
        </w:tc>
        <w:tc>
          <w:tcPr>
            <w:tcW w:w="921" w:type="dxa"/>
          </w:tcPr>
          <w:p w14:paraId="052B2C9B" w14:textId="77777777" w:rsidR="00BE4AF3" w:rsidRPr="00C86F13" w:rsidRDefault="00BE4AF3" w:rsidP="00C86F13">
            <w:pPr>
              <w:spacing w:after="0" w:line="240" w:lineRule="auto"/>
              <w:rPr>
                <w:rFonts w:ascii="Times New Roman" w:hAnsi="Times New Roman" w:cs="Times New Roman"/>
                <w:sz w:val="20"/>
                <w:szCs w:val="20"/>
              </w:rPr>
            </w:pPr>
            <w:r w:rsidRPr="00C86F13">
              <w:rPr>
                <w:rFonts w:ascii="Times New Roman" w:hAnsi="Times New Roman" w:cs="Times New Roman"/>
                <w:sz w:val="20"/>
                <w:szCs w:val="20"/>
              </w:rPr>
              <w:t>Agugu</w:t>
            </w:r>
          </w:p>
        </w:tc>
        <w:tc>
          <w:tcPr>
            <w:tcW w:w="7442" w:type="dxa"/>
          </w:tcPr>
          <w:p w14:paraId="645AD8D9" w14:textId="77777777" w:rsidR="00BE4AF3" w:rsidRPr="00C86F13" w:rsidRDefault="00BE4AF3" w:rsidP="00C86F13">
            <w:pPr>
              <w:spacing w:after="0" w:line="240" w:lineRule="auto"/>
              <w:rPr>
                <w:rFonts w:ascii="Times New Roman" w:hAnsi="Times New Roman" w:cs="Times New Roman"/>
                <w:sz w:val="20"/>
                <w:szCs w:val="20"/>
              </w:rPr>
            </w:pPr>
            <w:r w:rsidRPr="00C86F13">
              <w:rPr>
                <w:rFonts w:ascii="Times New Roman" w:hAnsi="Times New Roman" w:cs="Times New Roman"/>
                <w:sz w:val="20"/>
                <w:szCs w:val="20"/>
              </w:rPr>
              <w:t>Apete, Atako, Okeayo, Ileepo, Adeola, Motulasu, Kole, Araromi Papa-ashafa, Ajegunle and OdArolasadeii, Itaege, Efungade, Mojekobaje, Moradeyo, kobiowuMoradeyoOloya and TemidireOdo-ona, Apata, Odo-onaeleweApete, Atako</w:t>
            </w:r>
          </w:p>
        </w:tc>
      </w:tr>
      <w:tr w:rsidR="00BE4AF3" w:rsidRPr="00C86F13" w14:paraId="0E8CEF3C" w14:textId="77777777" w:rsidTr="00F97ED1">
        <w:trPr>
          <w:jc w:val="center"/>
        </w:trPr>
        <w:tc>
          <w:tcPr>
            <w:tcW w:w="993" w:type="dxa"/>
          </w:tcPr>
          <w:p w14:paraId="3F9D0567"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Ibadan north</w:t>
            </w:r>
          </w:p>
        </w:tc>
        <w:tc>
          <w:tcPr>
            <w:tcW w:w="921" w:type="dxa"/>
          </w:tcPr>
          <w:p w14:paraId="05E506B4" w14:textId="77777777" w:rsidR="00BE4AF3" w:rsidRPr="00C86F13" w:rsidRDefault="00BE4AF3" w:rsidP="00C86F13">
            <w:pPr>
              <w:spacing w:after="0" w:line="240" w:lineRule="auto"/>
              <w:rPr>
                <w:rFonts w:ascii="Times New Roman" w:hAnsi="Times New Roman" w:cs="Times New Roman"/>
                <w:sz w:val="20"/>
                <w:szCs w:val="20"/>
              </w:rPr>
            </w:pPr>
          </w:p>
        </w:tc>
        <w:tc>
          <w:tcPr>
            <w:tcW w:w="7442" w:type="dxa"/>
          </w:tcPr>
          <w:p w14:paraId="3E3EE967" w14:textId="77777777" w:rsidR="00BE4AF3" w:rsidRPr="00C86F13" w:rsidRDefault="00BE4AF3" w:rsidP="00C86F13">
            <w:pPr>
              <w:spacing w:after="0" w:line="240" w:lineRule="auto"/>
              <w:rPr>
                <w:rFonts w:ascii="Times New Roman" w:hAnsi="Times New Roman" w:cs="Times New Roman"/>
                <w:sz w:val="20"/>
                <w:szCs w:val="20"/>
              </w:rPr>
            </w:pPr>
            <w:r w:rsidRPr="00C86F13">
              <w:rPr>
                <w:rFonts w:ascii="Times New Roman" w:hAnsi="Times New Roman" w:cs="Times New Roman"/>
                <w:sz w:val="20"/>
                <w:szCs w:val="20"/>
              </w:rPr>
              <w:t>Ogbere, Oluyole, Ijokodo, Kudeti, Agbowo, Orogun, Agbokojo, Ilupeju, Moradeyo and Oluyole estate.</w:t>
            </w:r>
          </w:p>
        </w:tc>
      </w:tr>
      <w:tr w:rsidR="00BE4AF3" w:rsidRPr="00C86F13" w14:paraId="24AA5074" w14:textId="77777777" w:rsidTr="00F97ED1">
        <w:trPr>
          <w:jc w:val="center"/>
        </w:trPr>
        <w:tc>
          <w:tcPr>
            <w:tcW w:w="993" w:type="dxa"/>
            <w:tcBorders>
              <w:bottom w:val="single" w:sz="4" w:space="0" w:color="000000"/>
            </w:tcBorders>
          </w:tcPr>
          <w:p w14:paraId="4FC289F7" w14:textId="77777777" w:rsidR="00BE4AF3" w:rsidRPr="00C86F13" w:rsidRDefault="00BE4AF3" w:rsidP="00C86F13">
            <w:pPr>
              <w:spacing w:after="0" w:line="240" w:lineRule="auto"/>
              <w:jc w:val="both"/>
              <w:rPr>
                <w:rFonts w:ascii="Times New Roman" w:hAnsi="Times New Roman" w:cs="Times New Roman"/>
                <w:sz w:val="20"/>
                <w:szCs w:val="20"/>
              </w:rPr>
            </w:pPr>
            <w:r w:rsidRPr="00C86F13">
              <w:rPr>
                <w:rFonts w:ascii="Times New Roman" w:hAnsi="Times New Roman" w:cs="Times New Roman"/>
                <w:sz w:val="20"/>
                <w:szCs w:val="20"/>
              </w:rPr>
              <w:t>Ibadan Northwest</w:t>
            </w:r>
          </w:p>
        </w:tc>
        <w:tc>
          <w:tcPr>
            <w:tcW w:w="921" w:type="dxa"/>
            <w:tcBorders>
              <w:bottom w:val="single" w:sz="4" w:space="0" w:color="000000"/>
            </w:tcBorders>
          </w:tcPr>
          <w:p w14:paraId="7533B945" w14:textId="77777777" w:rsidR="00BE4AF3" w:rsidRPr="00C86F13" w:rsidRDefault="00BE4AF3" w:rsidP="00C86F13">
            <w:pPr>
              <w:spacing w:after="0" w:line="240" w:lineRule="auto"/>
              <w:rPr>
                <w:rFonts w:ascii="Times New Roman" w:hAnsi="Times New Roman" w:cs="Times New Roman"/>
                <w:sz w:val="20"/>
                <w:szCs w:val="20"/>
              </w:rPr>
            </w:pPr>
            <w:r w:rsidRPr="00C86F13">
              <w:rPr>
                <w:rFonts w:ascii="Times New Roman" w:hAnsi="Times New Roman" w:cs="Times New Roman"/>
                <w:sz w:val="20"/>
                <w:szCs w:val="20"/>
              </w:rPr>
              <w:t>Agbongbon</w:t>
            </w:r>
          </w:p>
        </w:tc>
        <w:tc>
          <w:tcPr>
            <w:tcW w:w="7442" w:type="dxa"/>
            <w:tcBorders>
              <w:bottom w:val="single" w:sz="4" w:space="0" w:color="000000"/>
            </w:tcBorders>
          </w:tcPr>
          <w:p w14:paraId="5C578586" w14:textId="77777777" w:rsidR="00BE4AF3" w:rsidRPr="00C86F13" w:rsidRDefault="00BE4AF3" w:rsidP="00C86F13">
            <w:pPr>
              <w:spacing w:after="0" w:line="240" w:lineRule="auto"/>
              <w:rPr>
                <w:rFonts w:ascii="Times New Roman" w:hAnsi="Times New Roman" w:cs="Times New Roman"/>
                <w:sz w:val="20"/>
                <w:szCs w:val="20"/>
              </w:rPr>
            </w:pPr>
            <w:r w:rsidRPr="00C86F13">
              <w:rPr>
                <w:rFonts w:ascii="Times New Roman" w:hAnsi="Times New Roman" w:cs="Times New Roman"/>
                <w:sz w:val="20"/>
                <w:szCs w:val="20"/>
              </w:rPr>
              <w:t>Adiwonmodo, Celetia 1, Celestial 2,Araromi, Isolo, Ijomun, Arolasade, Atipe and Aderogba.</w:t>
            </w:r>
          </w:p>
        </w:tc>
      </w:tr>
      <w:tr w:rsidR="00BE4AF3" w:rsidRPr="00C86F13" w14:paraId="13FECEAD" w14:textId="77777777" w:rsidTr="00F97ED1">
        <w:trPr>
          <w:jc w:val="center"/>
        </w:trPr>
        <w:tc>
          <w:tcPr>
            <w:tcW w:w="993" w:type="dxa"/>
            <w:tcBorders>
              <w:top w:val="single" w:sz="4" w:space="0" w:color="000000"/>
              <w:bottom w:val="single" w:sz="4" w:space="0" w:color="000000"/>
            </w:tcBorders>
          </w:tcPr>
          <w:p w14:paraId="34DD45C3" w14:textId="77777777" w:rsidR="00BE4AF3" w:rsidRPr="00C86F13" w:rsidRDefault="00BE4AF3" w:rsidP="00C86F13">
            <w:pPr>
              <w:spacing w:after="0" w:line="240" w:lineRule="auto"/>
              <w:jc w:val="both"/>
              <w:rPr>
                <w:rFonts w:ascii="Times New Roman" w:hAnsi="Times New Roman" w:cs="Times New Roman"/>
                <w:b/>
                <w:sz w:val="20"/>
                <w:szCs w:val="20"/>
              </w:rPr>
            </w:pPr>
            <w:r w:rsidRPr="00C86F13">
              <w:rPr>
                <w:rFonts w:ascii="Times New Roman" w:hAnsi="Times New Roman" w:cs="Times New Roman"/>
                <w:b/>
                <w:sz w:val="20"/>
                <w:szCs w:val="20"/>
              </w:rPr>
              <w:t>Total</w:t>
            </w:r>
          </w:p>
        </w:tc>
        <w:tc>
          <w:tcPr>
            <w:tcW w:w="921" w:type="dxa"/>
            <w:tcBorders>
              <w:top w:val="single" w:sz="4" w:space="0" w:color="000000"/>
              <w:bottom w:val="single" w:sz="4" w:space="0" w:color="000000"/>
            </w:tcBorders>
          </w:tcPr>
          <w:p w14:paraId="27CA1897" w14:textId="77777777" w:rsidR="00BE4AF3" w:rsidRPr="00C86F13" w:rsidRDefault="00BE4AF3" w:rsidP="00C86F13">
            <w:pPr>
              <w:spacing w:after="0" w:line="240" w:lineRule="auto"/>
              <w:rPr>
                <w:rFonts w:ascii="Times New Roman" w:hAnsi="Times New Roman" w:cs="Times New Roman"/>
                <w:b/>
                <w:sz w:val="20"/>
                <w:szCs w:val="20"/>
              </w:rPr>
            </w:pPr>
            <w:r w:rsidRPr="00C86F13">
              <w:rPr>
                <w:rFonts w:ascii="Times New Roman" w:hAnsi="Times New Roman" w:cs="Times New Roman"/>
                <w:b/>
                <w:sz w:val="20"/>
                <w:szCs w:val="20"/>
              </w:rPr>
              <w:t>20</w:t>
            </w:r>
          </w:p>
        </w:tc>
        <w:tc>
          <w:tcPr>
            <w:tcW w:w="7442" w:type="dxa"/>
            <w:tcBorders>
              <w:top w:val="single" w:sz="4" w:space="0" w:color="000000"/>
              <w:bottom w:val="single" w:sz="4" w:space="0" w:color="000000"/>
            </w:tcBorders>
          </w:tcPr>
          <w:p w14:paraId="0F1E2F07" w14:textId="77777777" w:rsidR="00BE4AF3" w:rsidRPr="00C86F13" w:rsidRDefault="00BE4AF3" w:rsidP="00C86F13">
            <w:pPr>
              <w:spacing w:after="0" w:line="240" w:lineRule="auto"/>
              <w:rPr>
                <w:rFonts w:ascii="Times New Roman" w:hAnsi="Times New Roman" w:cs="Times New Roman"/>
                <w:b/>
                <w:sz w:val="20"/>
                <w:szCs w:val="20"/>
              </w:rPr>
            </w:pPr>
            <w:r w:rsidRPr="00C86F13">
              <w:rPr>
                <w:rFonts w:ascii="Times New Roman" w:hAnsi="Times New Roman" w:cs="Times New Roman"/>
                <w:b/>
                <w:sz w:val="20"/>
                <w:szCs w:val="20"/>
              </w:rPr>
              <w:t>103</w:t>
            </w:r>
          </w:p>
        </w:tc>
      </w:tr>
    </w:tbl>
    <w:p w14:paraId="314B7FFE" w14:textId="77777777" w:rsidR="00BE4AF3" w:rsidRPr="00F97ED1" w:rsidRDefault="00BE4AF3" w:rsidP="00F97ED1">
      <w:pPr>
        <w:spacing w:after="0" w:line="240" w:lineRule="auto"/>
        <w:jc w:val="center"/>
        <w:rPr>
          <w:rFonts w:ascii="Times New Roman" w:hAnsi="Times New Roman" w:cs="Times New Roman"/>
          <w:iCs/>
          <w:sz w:val="24"/>
          <w:szCs w:val="24"/>
        </w:rPr>
      </w:pPr>
      <w:r w:rsidRPr="00BE4AF3">
        <w:rPr>
          <w:rFonts w:ascii="Times New Roman" w:hAnsi="Times New Roman" w:cs="Times New Roman"/>
          <w:b/>
          <w:sz w:val="24"/>
          <w:szCs w:val="24"/>
        </w:rPr>
        <w:t>Source</w:t>
      </w:r>
      <w:r w:rsidRPr="00BE4AF3">
        <w:rPr>
          <w:rFonts w:ascii="Times New Roman" w:hAnsi="Times New Roman" w:cs="Times New Roman"/>
          <w:sz w:val="24"/>
          <w:szCs w:val="24"/>
        </w:rPr>
        <w:t xml:space="preserve">: </w:t>
      </w:r>
      <w:r w:rsidRPr="00F97ED1">
        <w:rPr>
          <w:rFonts w:ascii="Times New Roman" w:hAnsi="Times New Roman" w:cs="Times New Roman"/>
          <w:iCs/>
          <w:sz w:val="24"/>
          <w:szCs w:val="24"/>
        </w:rPr>
        <w:t>Adapted from OYSEMA (2021).</w:t>
      </w:r>
    </w:p>
    <w:p w14:paraId="63FE0593" w14:textId="77777777" w:rsidR="00F97ED1" w:rsidRPr="00BE4AF3" w:rsidRDefault="00F97ED1" w:rsidP="00F97ED1">
      <w:pPr>
        <w:spacing w:after="0" w:line="240" w:lineRule="auto"/>
        <w:jc w:val="center"/>
        <w:rPr>
          <w:rFonts w:ascii="Times New Roman" w:hAnsi="Times New Roman" w:cs="Times New Roman"/>
          <w:sz w:val="24"/>
          <w:szCs w:val="24"/>
        </w:rPr>
      </w:pPr>
    </w:p>
    <w:p w14:paraId="3879EF24" w14:textId="52A7BF7D" w:rsidR="00BE4AF3" w:rsidRPr="00BE4AF3" w:rsidRDefault="00BE4AF3" w:rsidP="00C86F13">
      <w:pPr>
        <w:spacing w:after="0" w:line="240" w:lineRule="auto"/>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The stratification consists of 7,748 residential buildings in the first strata that is &lt;15m to the river. 3,202 residential buildings are within 15.1-30.0m to the river in the second stratum. Six-hundred and thirty sixty residential buildings (636) are between 30.0-45m to the river in the third residential stratum. Altogether, consists of eleven thousand five hundred and eighty (11,586) residential buildings. For questionnaire administration, 2.5% of the residential buildings were selected using systematic sampling technique. One out of every forty residential buildings based on the streets numbering system of houses were selected for questionnaire administration. To ensure a random start, the first buildings sampled were chosen randomly out of the first forty residential buildings. Where the sampled building is not residential, the next residential buildings were chosen for questionnaire administration. The targets were respondent adult in selected building. Using this procedure, a total of two hundred and ninety-one (291) questionnaires were administered and retrieved (286) of questionnaires in the study area which formed the sample size 96% considered appropriate for the study as contained in the Table 3.2 below.</w:t>
      </w:r>
    </w:p>
    <w:p w14:paraId="38D816F0" w14:textId="77777777" w:rsidR="00BE4AF3" w:rsidRPr="00BE4AF3" w:rsidRDefault="00BE4AF3" w:rsidP="00C86F13">
      <w:pPr>
        <w:spacing w:after="0" w:line="240" w:lineRule="auto"/>
        <w:jc w:val="both"/>
        <w:rPr>
          <w:rFonts w:ascii="Times New Roman" w:eastAsia="Times New Roman" w:hAnsi="Times New Roman" w:cs="Times New Roman"/>
          <w:b/>
          <w:sz w:val="24"/>
          <w:szCs w:val="24"/>
        </w:rPr>
      </w:pPr>
    </w:p>
    <w:p w14:paraId="54F4CD61" w14:textId="77777777" w:rsidR="00BE4AF3" w:rsidRDefault="00BE4AF3" w:rsidP="00C86F13">
      <w:pPr>
        <w:spacing w:after="0" w:line="240" w:lineRule="auto"/>
        <w:jc w:val="both"/>
        <w:rPr>
          <w:rFonts w:ascii="Times New Roman" w:eastAsia="Times New Roman" w:hAnsi="Times New Roman" w:cs="Times New Roman"/>
          <w:b/>
          <w:sz w:val="24"/>
          <w:szCs w:val="24"/>
        </w:rPr>
      </w:pPr>
    </w:p>
    <w:p w14:paraId="7035CD8C" w14:textId="77777777" w:rsidR="00F97ED1" w:rsidRDefault="00F97ED1" w:rsidP="00C86F13">
      <w:pPr>
        <w:spacing w:after="0" w:line="240" w:lineRule="auto"/>
        <w:jc w:val="both"/>
        <w:rPr>
          <w:rFonts w:ascii="Times New Roman" w:eastAsia="Times New Roman" w:hAnsi="Times New Roman" w:cs="Times New Roman"/>
          <w:b/>
          <w:sz w:val="24"/>
          <w:szCs w:val="24"/>
        </w:rPr>
      </w:pPr>
    </w:p>
    <w:p w14:paraId="46E45FB3" w14:textId="77777777" w:rsidR="00F97ED1" w:rsidRDefault="00F97ED1" w:rsidP="00C86F13">
      <w:pPr>
        <w:spacing w:after="0" w:line="240" w:lineRule="auto"/>
        <w:jc w:val="both"/>
        <w:rPr>
          <w:rFonts w:ascii="Times New Roman" w:eastAsia="Times New Roman" w:hAnsi="Times New Roman" w:cs="Times New Roman"/>
          <w:b/>
          <w:sz w:val="24"/>
          <w:szCs w:val="24"/>
        </w:rPr>
      </w:pPr>
    </w:p>
    <w:p w14:paraId="7E4F6350" w14:textId="77777777" w:rsidR="00F97ED1" w:rsidRDefault="00F97ED1" w:rsidP="00C86F13">
      <w:pPr>
        <w:spacing w:after="0" w:line="240" w:lineRule="auto"/>
        <w:jc w:val="both"/>
        <w:rPr>
          <w:rFonts w:ascii="Times New Roman" w:eastAsia="Times New Roman" w:hAnsi="Times New Roman" w:cs="Times New Roman"/>
          <w:b/>
          <w:sz w:val="24"/>
          <w:szCs w:val="24"/>
        </w:rPr>
      </w:pPr>
    </w:p>
    <w:p w14:paraId="4BBAA22E" w14:textId="77777777" w:rsidR="00F97ED1" w:rsidRDefault="00F97ED1" w:rsidP="00C86F13">
      <w:pPr>
        <w:spacing w:after="0" w:line="240" w:lineRule="auto"/>
        <w:jc w:val="both"/>
        <w:rPr>
          <w:rFonts w:ascii="Times New Roman" w:eastAsia="Times New Roman" w:hAnsi="Times New Roman" w:cs="Times New Roman"/>
          <w:b/>
          <w:sz w:val="24"/>
          <w:szCs w:val="24"/>
        </w:rPr>
      </w:pPr>
    </w:p>
    <w:p w14:paraId="7D20C554" w14:textId="77777777" w:rsidR="00F97ED1" w:rsidRDefault="00F97ED1" w:rsidP="00C86F13">
      <w:pPr>
        <w:spacing w:after="0" w:line="240" w:lineRule="auto"/>
        <w:jc w:val="both"/>
        <w:rPr>
          <w:rFonts w:ascii="Times New Roman" w:eastAsia="Times New Roman" w:hAnsi="Times New Roman" w:cs="Times New Roman"/>
          <w:b/>
          <w:sz w:val="24"/>
          <w:szCs w:val="24"/>
        </w:rPr>
      </w:pPr>
    </w:p>
    <w:p w14:paraId="2D02D713" w14:textId="77777777" w:rsidR="00F97ED1" w:rsidRPr="00BE4AF3" w:rsidRDefault="00F97ED1" w:rsidP="00C86F13">
      <w:pPr>
        <w:spacing w:after="0" w:line="240" w:lineRule="auto"/>
        <w:jc w:val="both"/>
        <w:rPr>
          <w:rFonts w:ascii="Times New Roman" w:eastAsia="Times New Roman" w:hAnsi="Times New Roman" w:cs="Times New Roman"/>
          <w:b/>
          <w:sz w:val="24"/>
          <w:szCs w:val="24"/>
        </w:rPr>
      </w:pPr>
    </w:p>
    <w:p w14:paraId="4E77D40F" w14:textId="77777777" w:rsidR="00BE4AF3" w:rsidRPr="00BE4AF3" w:rsidRDefault="00BE4AF3" w:rsidP="00C86F13">
      <w:pPr>
        <w:spacing w:after="0" w:line="240" w:lineRule="auto"/>
        <w:jc w:val="both"/>
        <w:rPr>
          <w:rFonts w:ascii="Times New Roman" w:eastAsia="Times New Roman" w:hAnsi="Times New Roman" w:cs="Times New Roman"/>
          <w:b/>
          <w:sz w:val="24"/>
          <w:szCs w:val="24"/>
        </w:rPr>
      </w:pPr>
    </w:p>
    <w:p w14:paraId="660F2AC6" w14:textId="77777777" w:rsidR="00BE4AF3" w:rsidRPr="00BE4AF3" w:rsidRDefault="00BE4AF3" w:rsidP="00C86F13">
      <w:pPr>
        <w:spacing w:after="0" w:line="240" w:lineRule="auto"/>
        <w:jc w:val="both"/>
        <w:rPr>
          <w:rFonts w:ascii="Times New Roman" w:eastAsia="Times New Roman" w:hAnsi="Times New Roman" w:cs="Times New Roman"/>
          <w:b/>
          <w:sz w:val="24"/>
          <w:szCs w:val="24"/>
        </w:rPr>
      </w:pPr>
    </w:p>
    <w:p w14:paraId="6EE8DA46" w14:textId="379D976B" w:rsidR="00BE4AF3" w:rsidRPr="00F97ED1" w:rsidRDefault="00F97ED1" w:rsidP="00F97ED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Table </w:t>
      </w:r>
      <w:r w:rsidR="00BE4AF3" w:rsidRPr="00BE4AF3">
        <w:rPr>
          <w:rFonts w:ascii="Times New Roman" w:eastAsia="Times New Roman" w:hAnsi="Times New Roman" w:cs="Times New Roman"/>
          <w:b/>
          <w:sz w:val="24"/>
          <w:szCs w:val="24"/>
        </w:rPr>
        <w:t>3.2</w:t>
      </w:r>
      <w:r>
        <w:rPr>
          <w:rFonts w:ascii="Times New Roman" w:eastAsia="Times New Roman" w:hAnsi="Times New Roman" w:cs="Times New Roman"/>
          <w:b/>
          <w:sz w:val="24"/>
          <w:szCs w:val="24"/>
        </w:rPr>
        <w:t>:</w:t>
      </w:r>
      <w:r w:rsidR="00BE4AF3" w:rsidRPr="00BE4AF3">
        <w:rPr>
          <w:rFonts w:ascii="Times New Roman" w:eastAsia="Times New Roman" w:hAnsi="Times New Roman" w:cs="Times New Roman"/>
          <w:sz w:val="24"/>
          <w:szCs w:val="24"/>
        </w:rPr>
        <w:t>.</w:t>
      </w:r>
      <w:r w:rsidR="00BE4AF3" w:rsidRPr="00F97ED1">
        <w:rPr>
          <w:rFonts w:ascii="Times New Roman" w:eastAsia="Times New Roman" w:hAnsi="Times New Roman" w:cs="Times New Roman"/>
          <w:sz w:val="24"/>
          <w:szCs w:val="24"/>
        </w:rPr>
        <w:t>Communities and buildings within 45.5m set-back to the River in Ibadan</w:t>
      </w:r>
    </w:p>
    <w:tbl>
      <w:tblPr>
        <w:tblW w:w="8660" w:type="dxa"/>
        <w:jc w:val="center"/>
        <w:tblLayout w:type="fixed"/>
        <w:tblLook w:val="04A0" w:firstRow="1" w:lastRow="0" w:firstColumn="1" w:lastColumn="0" w:noHBand="0" w:noVBand="1"/>
      </w:tblPr>
      <w:tblGrid>
        <w:gridCol w:w="1134"/>
        <w:gridCol w:w="2970"/>
        <w:gridCol w:w="858"/>
        <w:gridCol w:w="850"/>
        <w:gridCol w:w="851"/>
        <w:gridCol w:w="850"/>
        <w:gridCol w:w="1147"/>
      </w:tblGrid>
      <w:tr w:rsidR="00BE4AF3" w:rsidRPr="00F97ED1" w14:paraId="351EDEA6" w14:textId="77777777" w:rsidTr="00F97ED1">
        <w:trPr>
          <w:trHeight w:val="575"/>
          <w:jc w:val="center"/>
        </w:trPr>
        <w:tc>
          <w:tcPr>
            <w:tcW w:w="1134" w:type="dxa"/>
            <w:tcBorders>
              <w:top w:val="single" w:sz="4" w:space="0" w:color="000000"/>
              <w:bottom w:val="single" w:sz="4" w:space="0" w:color="000000"/>
            </w:tcBorders>
          </w:tcPr>
          <w:p w14:paraId="760AA24B" w14:textId="77777777" w:rsidR="00BE4AF3" w:rsidRPr="00F97ED1" w:rsidRDefault="00BE4AF3" w:rsidP="00C86F13">
            <w:pPr>
              <w:spacing w:after="0" w:line="240" w:lineRule="auto"/>
              <w:jc w:val="both"/>
              <w:rPr>
                <w:rFonts w:ascii="Times New Roman" w:eastAsia="Times New Roman" w:hAnsi="Times New Roman" w:cs="Times New Roman"/>
                <w:bCs/>
                <w:sz w:val="20"/>
                <w:szCs w:val="20"/>
              </w:rPr>
            </w:pPr>
            <w:r w:rsidRPr="00F97ED1">
              <w:rPr>
                <w:rFonts w:ascii="Times New Roman" w:eastAsia="Times New Roman" w:hAnsi="Times New Roman" w:cs="Times New Roman"/>
                <w:bCs/>
                <w:sz w:val="20"/>
                <w:szCs w:val="20"/>
              </w:rPr>
              <w:t>LGs</w:t>
            </w:r>
          </w:p>
        </w:tc>
        <w:tc>
          <w:tcPr>
            <w:tcW w:w="2970" w:type="dxa"/>
            <w:tcBorders>
              <w:top w:val="single" w:sz="4" w:space="0" w:color="000000"/>
              <w:bottom w:val="single" w:sz="4" w:space="0" w:color="000000"/>
            </w:tcBorders>
          </w:tcPr>
          <w:p w14:paraId="1101029F" w14:textId="77777777" w:rsidR="00BE4AF3" w:rsidRPr="00F97ED1" w:rsidRDefault="00BE4AF3" w:rsidP="00C86F13">
            <w:pPr>
              <w:spacing w:after="0" w:line="240" w:lineRule="auto"/>
              <w:jc w:val="both"/>
              <w:rPr>
                <w:rFonts w:ascii="Times New Roman" w:eastAsia="Times New Roman" w:hAnsi="Times New Roman" w:cs="Times New Roman"/>
                <w:bCs/>
                <w:sz w:val="20"/>
                <w:szCs w:val="20"/>
              </w:rPr>
            </w:pPr>
            <w:r w:rsidRPr="00F97ED1">
              <w:rPr>
                <w:rFonts w:ascii="Times New Roman" w:eastAsia="Times New Roman" w:hAnsi="Times New Roman" w:cs="Times New Roman"/>
                <w:bCs/>
                <w:sz w:val="20"/>
                <w:szCs w:val="20"/>
              </w:rPr>
              <w:t>Flood prone Areas</w:t>
            </w:r>
          </w:p>
        </w:tc>
        <w:tc>
          <w:tcPr>
            <w:tcW w:w="858" w:type="dxa"/>
            <w:tcBorders>
              <w:top w:val="single" w:sz="4" w:space="0" w:color="000000"/>
              <w:bottom w:val="single" w:sz="4" w:space="0" w:color="000000"/>
            </w:tcBorders>
          </w:tcPr>
          <w:p w14:paraId="6ECE4C79" w14:textId="77777777" w:rsidR="00BE4AF3" w:rsidRPr="00F97ED1" w:rsidRDefault="00BE4AF3" w:rsidP="00C86F13">
            <w:pPr>
              <w:spacing w:after="0" w:line="240" w:lineRule="auto"/>
              <w:jc w:val="both"/>
              <w:rPr>
                <w:rFonts w:ascii="Times New Roman" w:eastAsia="Times New Roman" w:hAnsi="Times New Roman" w:cs="Times New Roman"/>
                <w:bCs/>
                <w:sz w:val="20"/>
                <w:szCs w:val="20"/>
              </w:rPr>
            </w:pPr>
            <w:r w:rsidRPr="00F97ED1">
              <w:rPr>
                <w:rFonts w:ascii="Times New Roman" w:eastAsia="Times New Roman" w:hAnsi="Times New Roman" w:cs="Times New Roman"/>
                <w:bCs/>
                <w:sz w:val="20"/>
                <w:szCs w:val="20"/>
              </w:rPr>
              <w:t>&gt;15m</w:t>
            </w:r>
          </w:p>
        </w:tc>
        <w:tc>
          <w:tcPr>
            <w:tcW w:w="850" w:type="dxa"/>
            <w:tcBorders>
              <w:top w:val="single" w:sz="4" w:space="0" w:color="000000"/>
              <w:bottom w:val="single" w:sz="4" w:space="0" w:color="000000"/>
            </w:tcBorders>
          </w:tcPr>
          <w:p w14:paraId="7B58BF6E" w14:textId="77777777" w:rsidR="00BE4AF3" w:rsidRPr="00F97ED1" w:rsidRDefault="00BE4AF3" w:rsidP="00C86F13">
            <w:pPr>
              <w:spacing w:after="0" w:line="240" w:lineRule="auto"/>
              <w:jc w:val="both"/>
              <w:rPr>
                <w:rFonts w:ascii="Times New Roman" w:eastAsia="Times New Roman" w:hAnsi="Times New Roman" w:cs="Times New Roman"/>
                <w:bCs/>
                <w:sz w:val="20"/>
                <w:szCs w:val="20"/>
              </w:rPr>
            </w:pPr>
            <w:r w:rsidRPr="00F97ED1">
              <w:rPr>
                <w:rFonts w:ascii="Times New Roman" w:eastAsia="Times New Roman" w:hAnsi="Times New Roman" w:cs="Times New Roman"/>
                <w:bCs/>
                <w:sz w:val="20"/>
                <w:szCs w:val="20"/>
              </w:rPr>
              <w:t>15-30m</w:t>
            </w:r>
          </w:p>
        </w:tc>
        <w:tc>
          <w:tcPr>
            <w:tcW w:w="851" w:type="dxa"/>
            <w:tcBorders>
              <w:top w:val="single" w:sz="4" w:space="0" w:color="000000"/>
              <w:bottom w:val="single" w:sz="4" w:space="0" w:color="000000"/>
            </w:tcBorders>
          </w:tcPr>
          <w:p w14:paraId="16B4DA5F" w14:textId="77777777" w:rsidR="00BE4AF3" w:rsidRPr="00F97ED1" w:rsidRDefault="00BE4AF3" w:rsidP="00C86F13">
            <w:pPr>
              <w:spacing w:after="0" w:line="240" w:lineRule="auto"/>
              <w:jc w:val="both"/>
              <w:rPr>
                <w:rFonts w:ascii="Times New Roman" w:eastAsia="Times New Roman" w:hAnsi="Times New Roman" w:cs="Times New Roman"/>
                <w:bCs/>
                <w:sz w:val="20"/>
                <w:szCs w:val="20"/>
              </w:rPr>
            </w:pPr>
            <w:r w:rsidRPr="00F97ED1">
              <w:rPr>
                <w:rFonts w:ascii="Times New Roman" w:eastAsia="Times New Roman" w:hAnsi="Times New Roman" w:cs="Times New Roman"/>
                <w:bCs/>
                <w:sz w:val="20"/>
                <w:szCs w:val="20"/>
              </w:rPr>
              <w:t>30-45m</w:t>
            </w:r>
          </w:p>
        </w:tc>
        <w:tc>
          <w:tcPr>
            <w:tcW w:w="850" w:type="dxa"/>
            <w:tcBorders>
              <w:top w:val="single" w:sz="4" w:space="0" w:color="000000"/>
              <w:bottom w:val="single" w:sz="4" w:space="0" w:color="000000"/>
            </w:tcBorders>
          </w:tcPr>
          <w:p w14:paraId="332A2848" w14:textId="77777777" w:rsidR="00BE4AF3" w:rsidRPr="00F97ED1" w:rsidRDefault="00BE4AF3" w:rsidP="00C86F13">
            <w:pPr>
              <w:spacing w:after="0" w:line="240" w:lineRule="auto"/>
              <w:ind w:left="720" w:hanging="720"/>
              <w:jc w:val="both"/>
              <w:rPr>
                <w:rFonts w:ascii="Times New Roman" w:eastAsia="Times New Roman" w:hAnsi="Times New Roman" w:cs="Times New Roman"/>
                <w:bCs/>
                <w:sz w:val="20"/>
                <w:szCs w:val="20"/>
              </w:rPr>
            </w:pPr>
            <w:r w:rsidRPr="00F97ED1">
              <w:rPr>
                <w:rFonts w:ascii="Times New Roman" w:eastAsia="Times New Roman" w:hAnsi="Times New Roman" w:cs="Times New Roman"/>
                <w:bCs/>
                <w:sz w:val="20"/>
                <w:szCs w:val="20"/>
              </w:rPr>
              <w:t xml:space="preserve">Total </w:t>
            </w:r>
          </w:p>
          <w:p w14:paraId="73582DB7" w14:textId="77777777" w:rsidR="00BE4AF3" w:rsidRPr="00F97ED1" w:rsidRDefault="00BE4AF3" w:rsidP="00C86F13">
            <w:pPr>
              <w:spacing w:after="0" w:line="240" w:lineRule="auto"/>
              <w:ind w:left="720" w:hanging="720"/>
              <w:jc w:val="both"/>
              <w:rPr>
                <w:rFonts w:ascii="Times New Roman" w:eastAsia="Times New Roman" w:hAnsi="Times New Roman" w:cs="Times New Roman"/>
                <w:bCs/>
                <w:sz w:val="20"/>
                <w:szCs w:val="20"/>
              </w:rPr>
            </w:pPr>
            <w:r w:rsidRPr="00F97ED1">
              <w:rPr>
                <w:rFonts w:ascii="Times New Roman" w:eastAsia="Times New Roman" w:hAnsi="Times New Roman" w:cs="Times New Roman"/>
                <w:bCs/>
                <w:sz w:val="20"/>
                <w:szCs w:val="20"/>
              </w:rPr>
              <w:t>(2.5%)</w:t>
            </w:r>
          </w:p>
        </w:tc>
        <w:tc>
          <w:tcPr>
            <w:tcW w:w="1147" w:type="dxa"/>
            <w:tcBorders>
              <w:top w:val="single" w:sz="4" w:space="0" w:color="000000"/>
              <w:bottom w:val="single" w:sz="4" w:space="0" w:color="000000"/>
            </w:tcBorders>
          </w:tcPr>
          <w:p w14:paraId="18DEC456" w14:textId="77777777" w:rsidR="00BE4AF3" w:rsidRPr="00F97ED1" w:rsidRDefault="00BE4AF3" w:rsidP="00C86F13">
            <w:pPr>
              <w:spacing w:after="0" w:line="240" w:lineRule="auto"/>
              <w:jc w:val="both"/>
              <w:rPr>
                <w:rFonts w:ascii="Times New Roman" w:eastAsia="Times New Roman" w:hAnsi="Times New Roman" w:cs="Times New Roman"/>
                <w:bCs/>
                <w:sz w:val="20"/>
                <w:szCs w:val="20"/>
              </w:rPr>
            </w:pPr>
            <w:r w:rsidRPr="00F97ED1">
              <w:rPr>
                <w:rFonts w:ascii="Times New Roman" w:eastAsia="Times New Roman" w:hAnsi="Times New Roman" w:cs="Times New Roman"/>
                <w:bCs/>
                <w:sz w:val="20"/>
                <w:szCs w:val="20"/>
              </w:rPr>
              <w:t>Questionnaire</w:t>
            </w:r>
          </w:p>
        </w:tc>
      </w:tr>
      <w:tr w:rsidR="00BE4AF3" w:rsidRPr="00F97ED1" w14:paraId="2C588B46" w14:textId="77777777" w:rsidTr="00F97ED1">
        <w:trPr>
          <w:jc w:val="center"/>
        </w:trPr>
        <w:tc>
          <w:tcPr>
            <w:tcW w:w="1134" w:type="dxa"/>
            <w:tcBorders>
              <w:top w:val="single" w:sz="4" w:space="0" w:color="000000"/>
            </w:tcBorders>
          </w:tcPr>
          <w:p w14:paraId="7C50641D"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Ibadan Northeast</w:t>
            </w:r>
          </w:p>
        </w:tc>
        <w:tc>
          <w:tcPr>
            <w:tcW w:w="2970" w:type="dxa"/>
            <w:tcBorders>
              <w:top w:val="single" w:sz="4" w:space="0" w:color="000000"/>
            </w:tcBorders>
          </w:tcPr>
          <w:p w14:paraId="331D9643" w14:textId="77777777" w:rsidR="00BE4AF3" w:rsidRPr="00F97ED1" w:rsidRDefault="00BE4AF3" w:rsidP="00C86F13">
            <w:pPr>
              <w:spacing w:after="0" w:line="240" w:lineRule="auto"/>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Alarere, Sawmill, Madeko,Aperin, Saka, Omiyale and Eleta I.</w:t>
            </w:r>
          </w:p>
        </w:tc>
        <w:tc>
          <w:tcPr>
            <w:tcW w:w="858" w:type="dxa"/>
            <w:tcBorders>
              <w:top w:val="single" w:sz="4" w:space="0" w:color="000000"/>
            </w:tcBorders>
          </w:tcPr>
          <w:p w14:paraId="111A4735"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1430</w:t>
            </w:r>
          </w:p>
        </w:tc>
        <w:tc>
          <w:tcPr>
            <w:tcW w:w="850" w:type="dxa"/>
            <w:tcBorders>
              <w:top w:val="single" w:sz="4" w:space="0" w:color="000000"/>
            </w:tcBorders>
          </w:tcPr>
          <w:p w14:paraId="382A7EF1"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881</w:t>
            </w:r>
          </w:p>
        </w:tc>
        <w:tc>
          <w:tcPr>
            <w:tcW w:w="851" w:type="dxa"/>
            <w:tcBorders>
              <w:top w:val="single" w:sz="4" w:space="0" w:color="000000"/>
            </w:tcBorders>
          </w:tcPr>
          <w:p w14:paraId="5154B05A"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111</w:t>
            </w:r>
          </w:p>
        </w:tc>
        <w:tc>
          <w:tcPr>
            <w:tcW w:w="850" w:type="dxa"/>
            <w:tcBorders>
              <w:top w:val="single" w:sz="4" w:space="0" w:color="000000"/>
            </w:tcBorders>
          </w:tcPr>
          <w:p w14:paraId="38FE4D81"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2422</w:t>
            </w:r>
          </w:p>
        </w:tc>
        <w:tc>
          <w:tcPr>
            <w:tcW w:w="1147" w:type="dxa"/>
            <w:tcBorders>
              <w:top w:val="single" w:sz="4" w:space="0" w:color="000000"/>
            </w:tcBorders>
          </w:tcPr>
          <w:p w14:paraId="0EF01B6B"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60</w:t>
            </w:r>
          </w:p>
        </w:tc>
      </w:tr>
      <w:tr w:rsidR="00BE4AF3" w:rsidRPr="00F97ED1" w14:paraId="27E1999A" w14:textId="77777777" w:rsidTr="00F97ED1">
        <w:trPr>
          <w:trHeight w:val="692"/>
          <w:jc w:val="center"/>
        </w:trPr>
        <w:tc>
          <w:tcPr>
            <w:tcW w:w="1134" w:type="dxa"/>
          </w:tcPr>
          <w:p w14:paraId="5BE3C722"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Ibadan North</w:t>
            </w:r>
          </w:p>
        </w:tc>
        <w:tc>
          <w:tcPr>
            <w:tcW w:w="2970" w:type="dxa"/>
          </w:tcPr>
          <w:p w14:paraId="4C5B40DD" w14:textId="77777777" w:rsidR="00BE4AF3" w:rsidRPr="00F97ED1" w:rsidRDefault="00BE4AF3" w:rsidP="00C86F13">
            <w:pPr>
              <w:autoSpaceDE w:val="0"/>
              <w:autoSpaceDN w:val="0"/>
              <w:adjustRightInd w:val="0"/>
              <w:spacing w:after="0" w:line="240" w:lineRule="auto"/>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UI,Oke-itunu,Bodija, Secritariat, UCH, Agugu,Orogun and Foko</w:t>
            </w:r>
          </w:p>
        </w:tc>
        <w:tc>
          <w:tcPr>
            <w:tcW w:w="858" w:type="dxa"/>
          </w:tcPr>
          <w:p w14:paraId="63D42C22"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2101</w:t>
            </w:r>
          </w:p>
        </w:tc>
        <w:tc>
          <w:tcPr>
            <w:tcW w:w="850" w:type="dxa"/>
          </w:tcPr>
          <w:p w14:paraId="5DAE09FD"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622</w:t>
            </w:r>
          </w:p>
        </w:tc>
        <w:tc>
          <w:tcPr>
            <w:tcW w:w="851" w:type="dxa"/>
          </w:tcPr>
          <w:p w14:paraId="78C20F7D"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151</w:t>
            </w:r>
          </w:p>
        </w:tc>
        <w:tc>
          <w:tcPr>
            <w:tcW w:w="850" w:type="dxa"/>
          </w:tcPr>
          <w:p w14:paraId="47D933C8"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2874</w:t>
            </w:r>
          </w:p>
        </w:tc>
        <w:tc>
          <w:tcPr>
            <w:tcW w:w="1147" w:type="dxa"/>
          </w:tcPr>
          <w:p w14:paraId="72A465C8"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72</w:t>
            </w:r>
          </w:p>
        </w:tc>
      </w:tr>
      <w:tr w:rsidR="00BE4AF3" w:rsidRPr="00F97ED1" w14:paraId="0B24D5E4" w14:textId="77777777" w:rsidTr="00F97ED1">
        <w:trPr>
          <w:jc w:val="center"/>
        </w:trPr>
        <w:tc>
          <w:tcPr>
            <w:tcW w:w="1134" w:type="dxa"/>
          </w:tcPr>
          <w:p w14:paraId="14CE6ACF"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Ibadan Northwest</w:t>
            </w:r>
          </w:p>
        </w:tc>
        <w:tc>
          <w:tcPr>
            <w:tcW w:w="2970" w:type="dxa"/>
          </w:tcPr>
          <w:p w14:paraId="4DE45413" w14:textId="77777777" w:rsidR="00BE4AF3" w:rsidRPr="00F97ED1" w:rsidRDefault="00BE4AF3" w:rsidP="00C86F13">
            <w:pPr>
              <w:spacing w:after="0" w:line="240" w:lineRule="auto"/>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Jericho, Onireke, Eleyele, Sango, Aleshinloye, Alalubosa, Iyangangu and Poly Ibadan.</w:t>
            </w:r>
          </w:p>
        </w:tc>
        <w:tc>
          <w:tcPr>
            <w:tcW w:w="858" w:type="dxa"/>
          </w:tcPr>
          <w:p w14:paraId="4B7A44AD"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1282</w:t>
            </w:r>
          </w:p>
        </w:tc>
        <w:tc>
          <w:tcPr>
            <w:tcW w:w="850" w:type="dxa"/>
          </w:tcPr>
          <w:p w14:paraId="2CA990A4"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781</w:t>
            </w:r>
          </w:p>
        </w:tc>
        <w:tc>
          <w:tcPr>
            <w:tcW w:w="851" w:type="dxa"/>
          </w:tcPr>
          <w:p w14:paraId="001EBDB9"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93</w:t>
            </w:r>
          </w:p>
        </w:tc>
        <w:tc>
          <w:tcPr>
            <w:tcW w:w="850" w:type="dxa"/>
          </w:tcPr>
          <w:p w14:paraId="36610307"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2156</w:t>
            </w:r>
          </w:p>
        </w:tc>
        <w:tc>
          <w:tcPr>
            <w:tcW w:w="1147" w:type="dxa"/>
          </w:tcPr>
          <w:p w14:paraId="42BDEC73"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54</w:t>
            </w:r>
          </w:p>
        </w:tc>
      </w:tr>
      <w:tr w:rsidR="00BE4AF3" w:rsidRPr="00F97ED1" w14:paraId="6FB2D302" w14:textId="77777777" w:rsidTr="00F97ED1">
        <w:trPr>
          <w:jc w:val="center"/>
        </w:trPr>
        <w:tc>
          <w:tcPr>
            <w:tcW w:w="1134" w:type="dxa"/>
          </w:tcPr>
          <w:p w14:paraId="1F2E44B3"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Ibadan Southeast</w:t>
            </w:r>
          </w:p>
        </w:tc>
        <w:tc>
          <w:tcPr>
            <w:tcW w:w="2970" w:type="dxa"/>
          </w:tcPr>
          <w:p w14:paraId="4D0E5BB2" w14:textId="77777777" w:rsidR="00BE4AF3" w:rsidRPr="00F97ED1" w:rsidRDefault="00BE4AF3" w:rsidP="00C86F13">
            <w:pPr>
              <w:spacing w:after="0" w:line="240" w:lineRule="auto"/>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Kudeti, Labo, Foko, Oranyan, Eleta, Felele and Molete.</w:t>
            </w:r>
          </w:p>
        </w:tc>
        <w:tc>
          <w:tcPr>
            <w:tcW w:w="858" w:type="dxa"/>
          </w:tcPr>
          <w:p w14:paraId="3AE09F3F"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1,134</w:t>
            </w:r>
          </w:p>
        </w:tc>
        <w:tc>
          <w:tcPr>
            <w:tcW w:w="850" w:type="dxa"/>
          </w:tcPr>
          <w:p w14:paraId="5649F6B9"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387</w:t>
            </w:r>
          </w:p>
        </w:tc>
        <w:tc>
          <w:tcPr>
            <w:tcW w:w="851" w:type="dxa"/>
          </w:tcPr>
          <w:p w14:paraId="6E8AF1F1"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127</w:t>
            </w:r>
          </w:p>
        </w:tc>
        <w:tc>
          <w:tcPr>
            <w:tcW w:w="850" w:type="dxa"/>
          </w:tcPr>
          <w:p w14:paraId="6370A97A"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1,648</w:t>
            </w:r>
          </w:p>
        </w:tc>
        <w:tc>
          <w:tcPr>
            <w:tcW w:w="1147" w:type="dxa"/>
          </w:tcPr>
          <w:p w14:paraId="7422A221"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43</w:t>
            </w:r>
          </w:p>
        </w:tc>
      </w:tr>
      <w:tr w:rsidR="00BE4AF3" w:rsidRPr="00F97ED1" w14:paraId="706F4861" w14:textId="77777777" w:rsidTr="00F97ED1">
        <w:trPr>
          <w:jc w:val="center"/>
        </w:trPr>
        <w:tc>
          <w:tcPr>
            <w:tcW w:w="1134" w:type="dxa"/>
          </w:tcPr>
          <w:p w14:paraId="3A55D9DB"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hAnsi="Times New Roman" w:cs="Times New Roman"/>
                <w:sz w:val="20"/>
                <w:szCs w:val="20"/>
              </w:rPr>
              <w:t>Ibadan South-west</w:t>
            </w:r>
          </w:p>
        </w:tc>
        <w:tc>
          <w:tcPr>
            <w:tcW w:w="2970" w:type="dxa"/>
          </w:tcPr>
          <w:p w14:paraId="0A937037" w14:textId="77777777" w:rsidR="00BE4AF3" w:rsidRPr="00F97ED1" w:rsidRDefault="00BE4AF3" w:rsidP="00C86F13">
            <w:pPr>
              <w:spacing w:after="0" w:line="240" w:lineRule="auto"/>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Sanyo, Oke-ado, Anfani,Idi-iroko, Yabiye, Orogun, Ilupeeju, Moradeyo and</w:t>
            </w:r>
          </w:p>
          <w:p w14:paraId="5544B6A9" w14:textId="77777777" w:rsidR="00BE4AF3" w:rsidRPr="00F97ED1" w:rsidRDefault="00BE4AF3" w:rsidP="00C86F13">
            <w:pPr>
              <w:spacing w:after="0" w:line="240" w:lineRule="auto"/>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Oluyole estate.</w:t>
            </w:r>
          </w:p>
        </w:tc>
        <w:tc>
          <w:tcPr>
            <w:tcW w:w="858" w:type="dxa"/>
          </w:tcPr>
          <w:p w14:paraId="48205294"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1,801</w:t>
            </w:r>
          </w:p>
        </w:tc>
        <w:tc>
          <w:tcPr>
            <w:tcW w:w="850" w:type="dxa"/>
          </w:tcPr>
          <w:p w14:paraId="1B0CC1CC"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531</w:t>
            </w:r>
          </w:p>
        </w:tc>
        <w:tc>
          <w:tcPr>
            <w:tcW w:w="851" w:type="dxa"/>
          </w:tcPr>
          <w:p w14:paraId="53737444"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154</w:t>
            </w:r>
          </w:p>
        </w:tc>
        <w:tc>
          <w:tcPr>
            <w:tcW w:w="850" w:type="dxa"/>
          </w:tcPr>
          <w:p w14:paraId="0F4047A5"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2,486</w:t>
            </w:r>
          </w:p>
        </w:tc>
        <w:tc>
          <w:tcPr>
            <w:tcW w:w="1147" w:type="dxa"/>
          </w:tcPr>
          <w:p w14:paraId="300950D8"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r w:rsidRPr="00F97ED1">
              <w:rPr>
                <w:rFonts w:ascii="Times New Roman" w:eastAsia="Times New Roman" w:hAnsi="Times New Roman" w:cs="Times New Roman"/>
                <w:sz w:val="20"/>
                <w:szCs w:val="20"/>
              </w:rPr>
              <w:t>62</w:t>
            </w:r>
          </w:p>
        </w:tc>
      </w:tr>
      <w:tr w:rsidR="00BE4AF3" w:rsidRPr="00F97ED1" w14:paraId="1958CEF8" w14:textId="77777777" w:rsidTr="00F97ED1">
        <w:trPr>
          <w:jc w:val="center"/>
        </w:trPr>
        <w:tc>
          <w:tcPr>
            <w:tcW w:w="1134" w:type="dxa"/>
            <w:tcBorders>
              <w:bottom w:val="single" w:sz="4" w:space="0" w:color="000000"/>
            </w:tcBorders>
          </w:tcPr>
          <w:p w14:paraId="7838B03D"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p>
        </w:tc>
        <w:tc>
          <w:tcPr>
            <w:tcW w:w="2970" w:type="dxa"/>
            <w:tcBorders>
              <w:bottom w:val="single" w:sz="4" w:space="0" w:color="000000"/>
            </w:tcBorders>
          </w:tcPr>
          <w:p w14:paraId="31CE0FDE"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p>
        </w:tc>
        <w:tc>
          <w:tcPr>
            <w:tcW w:w="858" w:type="dxa"/>
            <w:tcBorders>
              <w:bottom w:val="single" w:sz="4" w:space="0" w:color="000000"/>
            </w:tcBorders>
          </w:tcPr>
          <w:p w14:paraId="49438D4B"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p>
        </w:tc>
        <w:tc>
          <w:tcPr>
            <w:tcW w:w="850" w:type="dxa"/>
            <w:tcBorders>
              <w:bottom w:val="single" w:sz="4" w:space="0" w:color="000000"/>
            </w:tcBorders>
          </w:tcPr>
          <w:p w14:paraId="3F904153"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p>
        </w:tc>
        <w:tc>
          <w:tcPr>
            <w:tcW w:w="851" w:type="dxa"/>
            <w:tcBorders>
              <w:bottom w:val="single" w:sz="4" w:space="0" w:color="000000"/>
            </w:tcBorders>
          </w:tcPr>
          <w:p w14:paraId="1C26E725"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p>
        </w:tc>
        <w:tc>
          <w:tcPr>
            <w:tcW w:w="850" w:type="dxa"/>
            <w:tcBorders>
              <w:bottom w:val="single" w:sz="4" w:space="0" w:color="000000"/>
            </w:tcBorders>
          </w:tcPr>
          <w:p w14:paraId="1B7E2FB0"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p>
        </w:tc>
        <w:tc>
          <w:tcPr>
            <w:tcW w:w="1147" w:type="dxa"/>
            <w:tcBorders>
              <w:bottom w:val="single" w:sz="4" w:space="0" w:color="000000"/>
            </w:tcBorders>
          </w:tcPr>
          <w:p w14:paraId="52F84416" w14:textId="77777777" w:rsidR="00BE4AF3" w:rsidRPr="00F97ED1" w:rsidRDefault="00BE4AF3" w:rsidP="00C86F13">
            <w:pPr>
              <w:spacing w:after="0" w:line="240" w:lineRule="auto"/>
              <w:jc w:val="both"/>
              <w:rPr>
                <w:rFonts w:ascii="Times New Roman" w:eastAsia="Times New Roman" w:hAnsi="Times New Roman" w:cs="Times New Roman"/>
                <w:sz w:val="20"/>
                <w:szCs w:val="20"/>
              </w:rPr>
            </w:pPr>
          </w:p>
        </w:tc>
      </w:tr>
      <w:tr w:rsidR="00BE4AF3" w:rsidRPr="00F97ED1" w14:paraId="04DD3FD5" w14:textId="77777777" w:rsidTr="00F97ED1">
        <w:trPr>
          <w:jc w:val="center"/>
        </w:trPr>
        <w:tc>
          <w:tcPr>
            <w:tcW w:w="1134" w:type="dxa"/>
            <w:tcBorders>
              <w:top w:val="single" w:sz="4" w:space="0" w:color="000000"/>
              <w:bottom w:val="single" w:sz="4" w:space="0" w:color="000000"/>
            </w:tcBorders>
          </w:tcPr>
          <w:p w14:paraId="7F08C4CD" w14:textId="77777777" w:rsidR="00BE4AF3" w:rsidRPr="00F97ED1" w:rsidRDefault="00BE4AF3" w:rsidP="00C86F13">
            <w:pPr>
              <w:spacing w:after="0" w:line="240" w:lineRule="auto"/>
              <w:jc w:val="both"/>
              <w:rPr>
                <w:rFonts w:ascii="Times New Roman" w:eastAsia="Times New Roman" w:hAnsi="Times New Roman" w:cs="Times New Roman"/>
                <w:b/>
                <w:sz w:val="20"/>
                <w:szCs w:val="20"/>
              </w:rPr>
            </w:pPr>
            <w:r w:rsidRPr="00F97ED1">
              <w:rPr>
                <w:rFonts w:ascii="Times New Roman" w:eastAsia="Times New Roman" w:hAnsi="Times New Roman" w:cs="Times New Roman"/>
                <w:b/>
                <w:sz w:val="20"/>
                <w:szCs w:val="20"/>
              </w:rPr>
              <w:t>Total</w:t>
            </w:r>
          </w:p>
        </w:tc>
        <w:tc>
          <w:tcPr>
            <w:tcW w:w="2970" w:type="dxa"/>
            <w:tcBorders>
              <w:top w:val="single" w:sz="4" w:space="0" w:color="000000"/>
              <w:bottom w:val="single" w:sz="4" w:space="0" w:color="000000"/>
            </w:tcBorders>
          </w:tcPr>
          <w:p w14:paraId="0E72DBF8" w14:textId="77777777" w:rsidR="00BE4AF3" w:rsidRPr="00F97ED1" w:rsidRDefault="00BE4AF3" w:rsidP="00C86F13">
            <w:pPr>
              <w:spacing w:after="0" w:line="240" w:lineRule="auto"/>
              <w:jc w:val="both"/>
              <w:rPr>
                <w:rFonts w:ascii="Times New Roman" w:eastAsia="Times New Roman" w:hAnsi="Times New Roman" w:cs="Times New Roman"/>
                <w:b/>
                <w:sz w:val="20"/>
                <w:szCs w:val="20"/>
              </w:rPr>
            </w:pPr>
          </w:p>
        </w:tc>
        <w:tc>
          <w:tcPr>
            <w:tcW w:w="858" w:type="dxa"/>
            <w:tcBorders>
              <w:top w:val="single" w:sz="4" w:space="0" w:color="000000"/>
              <w:bottom w:val="single" w:sz="4" w:space="0" w:color="000000"/>
            </w:tcBorders>
          </w:tcPr>
          <w:p w14:paraId="676D775B" w14:textId="77777777" w:rsidR="00BE4AF3" w:rsidRPr="00F97ED1" w:rsidRDefault="00BE4AF3" w:rsidP="00C86F13">
            <w:pPr>
              <w:spacing w:after="0" w:line="240" w:lineRule="auto"/>
              <w:jc w:val="both"/>
              <w:rPr>
                <w:rFonts w:ascii="Times New Roman" w:eastAsia="Times New Roman" w:hAnsi="Times New Roman" w:cs="Times New Roman"/>
                <w:b/>
                <w:sz w:val="20"/>
                <w:szCs w:val="20"/>
              </w:rPr>
            </w:pPr>
            <w:r w:rsidRPr="00F97ED1">
              <w:rPr>
                <w:rFonts w:ascii="Times New Roman" w:eastAsia="Times New Roman" w:hAnsi="Times New Roman" w:cs="Times New Roman"/>
                <w:b/>
                <w:sz w:val="20"/>
                <w:szCs w:val="20"/>
              </w:rPr>
              <w:t>7,748 (194)</w:t>
            </w:r>
          </w:p>
        </w:tc>
        <w:tc>
          <w:tcPr>
            <w:tcW w:w="850" w:type="dxa"/>
            <w:tcBorders>
              <w:top w:val="single" w:sz="4" w:space="0" w:color="000000"/>
              <w:bottom w:val="single" w:sz="4" w:space="0" w:color="000000"/>
            </w:tcBorders>
          </w:tcPr>
          <w:p w14:paraId="6D88DC16" w14:textId="77777777" w:rsidR="00BE4AF3" w:rsidRPr="00F97ED1" w:rsidRDefault="00BE4AF3" w:rsidP="00C86F13">
            <w:pPr>
              <w:spacing w:after="0" w:line="240" w:lineRule="auto"/>
              <w:jc w:val="both"/>
              <w:rPr>
                <w:rFonts w:ascii="Times New Roman" w:eastAsia="Times New Roman" w:hAnsi="Times New Roman" w:cs="Times New Roman"/>
                <w:b/>
                <w:sz w:val="20"/>
                <w:szCs w:val="20"/>
              </w:rPr>
            </w:pPr>
            <w:r w:rsidRPr="00F97ED1">
              <w:rPr>
                <w:rFonts w:ascii="Times New Roman" w:eastAsia="Times New Roman" w:hAnsi="Times New Roman" w:cs="Times New Roman"/>
                <w:b/>
                <w:sz w:val="20"/>
                <w:szCs w:val="20"/>
              </w:rPr>
              <w:t xml:space="preserve">3,202 </w:t>
            </w:r>
          </w:p>
          <w:p w14:paraId="367025C3" w14:textId="77777777" w:rsidR="00BE4AF3" w:rsidRPr="00F97ED1" w:rsidRDefault="00BE4AF3" w:rsidP="00C86F13">
            <w:pPr>
              <w:spacing w:after="0" w:line="240" w:lineRule="auto"/>
              <w:jc w:val="both"/>
              <w:rPr>
                <w:rFonts w:ascii="Times New Roman" w:eastAsia="Times New Roman" w:hAnsi="Times New Roman" w:cs="Times New Roman"/>
                <w:b/>
                <w:sz w:val="20"/>
                <w:szCs w:val="20"/>
              </w:rPr>
            </w:pPr>
            <w:r w:rsidRPr="00F97ED1">
              <w:rPr>
                <w:rFonts w:ascii="Times New Roman" w:eastAsia="Times New Roman" w:hAnsi="Times New Roman" w:cs="Times New Roman"/>
                <w:b/>
                <w:sz w:val="20"/>
                <w:szCs w:val="20"/>
              </w:rPr>
              <w:t>(81)</w:t>
            </w:r>
          </w:p>
        </w:tc>
        <w:tc>
          <w:tcPr>
            <w:tcW w:w="851" w:type="dxa"/>
            <w:tcBorders>
              <w:top w:val="single" w:sz="4" w:space="0" w:color="000000"/>
              <w:bottom w:val="single" w:sz="4" w:space="0" w:color="000000"/>
            </w:tcBorders>
          </w:tcPr>
          <w:p w14:paraId="076587BB" w14:textId="77777777" w:rsidR="00BE4AF3" w:rsidRPr="00F97ED1" w:rsidRDefault="00BE4AF3" w:rsidP="00C86F13">
            <w:pPr>
              <w:spacing w:after="0" w:line="240" w:lineRule="auto"/>
              <w:jc w:val="both"/>
              <w:rPr>
                <w:rFonts w:ascii="Times New Roman" w:eastAsia="Times New Roman" w:hAnsi="Times New Roman" w:cs="Times New Roman"/>
                <w:b/>
                <w:sz w:val="20"/>
                <w:szCs w:val="20"/>
              </w:rPr>
            </w:pPr>
            <w:r w:rsidRPr="00F97ED1">
              <w:rPr>
                <w:rFonts w:ascii="Times New Roman" w:eastAsia="Times New Roman" w:hAnsi="Times New Roman" w:cs="Times New Roman"/>
                <w:b/>
                <w:sz w:val="20"/>
                <w:szCs w:val="20"/>
              </w:rPr>
              <w:t>636</w:t>
            </w:r>
          </w:p>
          <w:p w14:paraId="5D14B4E6" w14:textId="77777777" w:rsidR="00BE4AF3" w:rsidRPr="00F97ED1" w:rsidRDefault="00BE4AF3" w:rsidP="00C86F13">
            <w:pPr>
              <w:spacing w:after="0" w:line="240" w:lineRule="auto"/>
              <w:jc w:val="both"/>
              <w:rPr>
                <w:rFonts w:ascii="Times New Roman" w:eastAsia="Times New Roman" w:hAnsi="Times New Roman" w:cs="Times New Roman"/>
                <w:b/>
                <w:sz w:val="20"/>
                <w:szCs w:val="20"/>
              </w:rPr>
            </w:pPr>
            <w:r w:rsidRPr="00F97ED1">
              <w:rPr>
                <w:rFonts w:ascii="Times New Roman" w:eastAsia="Times New Roman" w:hAnsi="Times New Roman" w:cs="Times New Roman"/>
                <w:b/>
                <w:sz w:val="20"/>
                <w:szCs w:val="20"/>
              </w:rPr>
              <w:t>(16)</w:t>
            </w:r>
          </w:p>
        </w:tc>
        <w:tc>
          <w:tcPr>
            <w:tcW w:w="850" w:type="dxa"/>
            <w:tcBorders>
              <w:top w:val="single" w:sz="4" w:space="0" w:color="000000"/>
              <w:bottom w:val="single" w:sz="4" w:space="0" w:color="000000"/>
            </w:tcBorders>
          </w:tcPr>
          <w:p w14:paraId="7E6CBC95" w14:textId="77777777" w:rsidR="00BE4AF3" w:rsidRPr="00F97ED1" w:rsidRDefault="00BE4AF3" w:rsidP="00C86F13">
            <w:pPr>
              <w:spacing w:after="0" w:line="240" w:lineRule="auto"/>
              <w:jc w:val="both"/>
              <w:rPr>
                <w:rFonts w:ascii="Times New Roman" w:eastAsia="Times New Roman" w:hAnsi="Times New Roman" w:cs="Times New Roman"/>
                <w:b/>
                <w:sz w:val="20"/>
                <w:szCs w:val="20"/>
              </w:rPr>
            </w:pPr>
            <w:r w:rsidRPr="00F97ED1">
              <w:rPr>
                <w:rFonts w:ascii="Times New Roman" w:eastAsia="Times New Roman" w:hAnsi="Times New Roman" w:cs="Times New Roman"/>
                <w:b/>
                <w:sz w:val="20"/>
                <w:szCs w:val="20"/>
              </w:rPr>
              <w:t>11,586</w:t>
            </w:r>
          </w:p>
        </w:tc>
        <w:tc>
          <w:tcPr>
            <w:tcW w:w="1147" w:type="dxa"/>
            <w:tcBorders>
              <w:top w:val="single" w:sz="4" w:space="0" w:color="000000"/>
              <w:bottom w:val="single" w:sz="4" w:space="0" w:color="000000"/>
            </w:tcBorders>
          </w:tcPr>
          <w:p w14:paraId="2C8BA8F3" w14:textId="77777777" w:rsidR="00BE4AF3" w:rsidRPr="00F97ED1" w:rsidRDefault="00BE4AF3" w:rsidP="00C86F13">
            <w:pPr>
              <w:spacing w:after="0" w:line="240" w:lineRule="auto"/>
              <w:jc w:val="both"/>
              <w:rPr>
                <w:rFonts w:ascii="Times New Roman" w:eastAsia="Times New Roman" w:hAnsi="Times New Roman" w:cs="Times New Roman"/>
                <w:b/>
                <w:sz w:val="20"/>
                <w:szCs w:val="20"/>
              </w:rPr>
            </w:pPr>
            <w:r w:rsidRPr="00F97ED1">
              <w:rPr>
                <w:rFonts w:ascii="Times New Roman" w:eastAsia="Times New Roman" w:hAnsi="Times New Roman" w:cs="Times New Roman"/>
                <w:b/>
                <w:sz w:val="20"/>
                <w:szCs w:val="20"/>
              </w:rPr>
              <w:t>291</w:t>
            </w:r>
          </w:p>
        </w:tc>
      </w:tr>
    </w:tbl>
    <w:p w14:paraId="36E681C8" w14:textId="77777777" w:rsidR="00BE4AF3" w:rsidRPr="008A0A89" w:rsidRDefault="00BE4AF3" w:rsidP="008A0A89">
      <w:pPr>
        <w:spacing w:after="0" w:line="240" w:lineRule="auto"/>
        <w:jc w:val="center"/>
        <w:rPr>
          <w:rFonts w:ascii="Times New Roman" w:eastAsia="Times New Roman" w:hAnsi="Times New Roman" w:cs="Times New Roman"/>
          <w:bCs/>
          <w:sz w:val="24"/>
          <w:szCs w:val="24"/>
        </w:rPr>
      </w:pPr>
      <w:r w:rsidRPr="008A0A89">
        <w:rPr>
          <w:rFonts w:ascii="Times New Roman" w:eastAsia="Times New Roman" w:hAnsi="Times New Roman" w:cs="Times New Roman"/>
          <w:bCs/>
          <w:sz w:val="24"/>
          <w:szCs w:val="24"/>
        </w:rPr>
        <w:t>Source: Authors field Survey, 2025.</w:t>
      </w:r>
    </w:p>
    <w:p w14:paraId="30F394FC" w14:textId="77777777" w:rsidR="008A0A89" w:rsidRPr="00BE4AF3" w:rsidRDefault="008A0A89" w:rsidP="008A0A89">
      <w:pPr>
        <w:spacing w:after="0" w:line="240" w:lineRule="auto"/>
        <w:jc w:val="center"/>
        <w:rPr>
          <w:rFonts w:ascii="Times New Roman" w:eastAsia="Times New Roman" w:hAnsi="Times New Roman" w:cs="Times New Roman"/>
          <w:sz w:val="24"/>
          <w:szCs w:val="24"/>
        </w:rPr>
      </w:pPr>
    </w:p>
    <w:p w14:paraId="440DA05C" w14:textId="0BA76549" w:rsidR="00BE4AF3" w:rsidRDefault="00BE4AF3" w:rsidP="00C86F1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Residents leaving in flood prone area were measured using items adapted from the flood prone scale developed by Araquistain (2019). The 13-item indicator to assess factors </w:t>
      </w:r>
      <w:r w:rsidRPr="00BE4AF3">
        <w:rPr>
          <w:rFonts w:ascii="Times New Roman" w:hAnsi="Times New Roman" w:cs="Times New Roman"/>
          <w:bCs/>
          <w:sz w:val="24"/>
          <w:szCs w:val="24"/>
        </w:rPr>
        <w:t>influencing</w:t>
      </w:r>
      <w:r w:rsidRPr="00BE4AF3">
        <w:rPr>
          <w:rFonts w:ascii="Times New Roman" w:hAnsi="Times New Roman" w:cs="Times New Roman"/>
          <w:sz w:val="24"/>
          <w:szCs w:val="24"/>
        </w:rPr>
        <w:t xml:space="preserve"> quality of life among the residents’ in the study area with a good psychometric property (α=.85). The research instrument was translated to Yoruba, the predominant local language and the data later-translated to English to ensure the original meaning was retained. For this paper, the scale recorded a reliability index of 0.87 cronbach alpha. Informed consent was obtained from participants before the administration of questionnaires. Useable questionnaires were analyzed using </w:t>
      </w:r>
      <w:r w:rsidRPr="00BE4AF3">
        <w:rPr>
          <w:rFonts w:ascii="Times New Roman" w:hAnsi="Times New Roman" w:cs="Times New Roman"/>
          <w:sz w:val="24"/>
          <w:szCs w:val="24"/>
          <w:lang w:eastAsia="en-GB"/>
        </w:rPr>
        <w:t xml:space="preserve">Factor analysis </w:t>
      </w:r>
      <w:r w:rsidRPr="00BE4AF3">
        <w:rPr>
          <w:rFonts w:ascii="Times New Roman" w:hAnsi="Times New Roman" w:cs="Times New Roman"/>
          <w:sz w:val="24"/>
          <w:szCs w:val="24"/>
        </w:rPr>
        <w:t xml:space="preserve">to determine the </w:t>
      </w:r>
      <w:r w:rsidRPr="00BE4AF3">
        <w:rPr>
          <w:rFonts w:ascii="Times New Roman" w:hAnsi="Times New Roman" w:cs="Times New Roman"/>
          <w:bCs/>
          <w:sz w:val="24"/>
          <w:szCs w:val="24"/>
        </w:rPr>
        <w:t xml:space="preserve">factors influencing </w:t>
      </w:r>
      <w:r w:rsidRPr="00BE4AF3">
        <w:rPr>
          <w:rFonts w:ascii="Times New Roman" w:hAnsi="Times New Roman" w:cs="Times New Roman"/>
          <w:sz w:val="24"/>
          <w:szCs w:val="24"/>
        </w:rPr>
        <w:t>residents’ quality of life</w:t>
      </w:r>
      <w:r w:rsidRPr="00BE4AF3">
        <w:rPr>
          <w:rFonts w:ascii="Times New Roman" w:hAnsi="Times New Roman" w:cs="Times New Roman"/>
          <w:bCs/>
          <w:sz w:val="24"/>
          <w:szCs w:val="24"/>
        </w:rPr>
        <w:t xml:space="preserve"> in </w:t>
      </w:r>
      <w:r w:rsidRPr="00BE4AF3">
        <w:rPr>
          <w:rFonts w:ascii="Times New Roman" w:eastAsia="+mn-ea" w:hAnsi="Times New Roman" w:cs="Times New Roman"/>
          <w:sz w:val="24"/>
          <w:szCs w:val="24"/>
        </w:rPr>
        <w:t>flood prone areas of Ibadan Metropolis</w:t>
      </w:r>
      <w:r w:rsidRPr="00BE4AF3">
        <w:rPr>
          <w:rFonts w:ascii="Times New Roman" w:hAnsi="Times New Roman" w:cs="Times New Roman"/>
          <w:sz w:val="24"/>
          <w:szCs w:val="24"/>
        </w:rPr>
        <w:t>.</w:t>
      </w:r>
    </w:p>
    <w:p w14:paraId="0D509CEC" w14:textId="77777777" w:rsidR="008A0A89" w:rsidRPr="00BE4AF3" w:rsidRDefault="008A0A89" w:rsidP="00C86F13">
      <w:pPr>
        <w:spacing w:after="0" w:line="240" w:lineRule="auto"/>
        <w:jc w:val="both"/>
        <w:rPr>
          <w:rFonts w:ascii="Times New Roman" w:hAnsi="Times New Roman" w:cs="Times New Roman"/>
          <w:sz w:val="24"/>
          <w:szCs w:val="24"/>
        </w:rPr>
      </w:pPr>
    </w:p>
    <w:p w14:paraId="59CDC6EE" w14:textId="7AF65648" w:rsidR="00BE4AF3" w:rsidRPr="00BE4AF3" w:rsidRDefault="00BE4AF3" w:rsidP="00C86F13">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 xml:space="preserve">Results   </w:t>
      </w:r>
    </w:p>
    <w:p w14:paraId="46558CAD" w14:textId="77777777" w:rsidR="00BE4AF3" w:rsidRPr="00BE4AF3" w:rsidRDefault="00BE4AF3" w:rsidP="008A0A89">
      <w:pPr>
        <w:spacing w:after="0" w:line="240" w:lineRule="auto"/>
        <w:jc w:val="both"/>
        <w:rPr>
          <w:rFonts w:ascii="Times New Roman" w:eastAsia="+mn-ea" w:hAnsi="Times New Roman" w:cs="Times New Roman"/>
          <w:sz w:val="24"/>
          <w:szCs w:val="24"/>
        </w:rPr>
      </w:pPr>
      <w:r w:rsidRPr="00BE4AF3">
        <w:rPr>
          <w:rFonts w:ascii="Times New Roman" w:hAnsi="Times New Roman" w:cs="Times New Roman"/>
          <w:sz w:val="24"/>
          <w:szCs w:val="24"/>
          <w:lang w:eastAsia="en-GB"/>
        </w:rPr>
        <w:t>Factor analysis was employed</w:t>
      </w:r>
      <w:r w:rsidRPr="00BE4AF3">
        <w:rPr>
          <w:rFonts w:ascii="Times New Roman" w:hAnsi="Times New Roman" w:cs="Times New Roman"/>
          <w:sz w:val="24"/>
          <w:szCs w:val="24"/>
        </w:rPr>
        <w:t xml:space="preserve"> to determine the </w:t>
      </w:r>
      <w:r w:rsidRPr="00BE4AF3">
        <w:rPr>
          <w:rFonts w:ascii="Times New Roman" w:hAnsi="Times New Roman" w:cs="Times New Roman"/>
          <w:bCs/>
          <w:sz w:val="24"/>
          <w:szCs w:val="24"/>
        </w:rPr>
        <w:t xml:space="preserve">factors influencing </w:t>
      </w:r>
      <w:r w:rsidRPr="00BE4AF3">
        <w:rPr>
          <w:rFonts w:ascii="Times New Roman" w:hAnsi="Times New Roman" w:cs="Times New Roman"/>
          <w:sz w:val="24"/>
          <w:szCs w:val="24"/>
        </w:rPr>
        <w:t>residents’ quality of life</w:t>
      </w:r>
      <w:r w:rsidRPr="00BE4AF3">
        <w:rPr>
          <w:rFonts w:ascii="Times New Roman" w:hAnsi="Times New Roman" w:cs="Times New Roman"/>
          <w:bCs/>
          <w:sz w:val="24"/>
          <w:szCs w:val="24"/>
        </w:rPr>
        <w:t xml:space="preserve"> in </w:t>
      </w:r>
      <w:r w:rsidRPr="00BE4AF3">
        <w:rPr>
          <w:rFonts w:ascii="Times New Roman" w:eastAsia="+mn-ea" w:hAnsi="Times New Roman" w:cs="Times New Roman"/>
          <w:sz w:val="24"/>
          <w:szCs w:val="24"/>
        </w:rPr>
        <w:t>flood prone areas of Ibadan metropolis</w:t>
      </w:r>
      <w:r w:rsidRPr="00BE4AF3">
        <w:rPr>
          <w:rFonts w:ascii="Times New Roman" w:hAnsi="Times New Roman" w:cs="Times New Roman"/>
          <w:sz w:val="24"/>
          <w:szCs w:val="24"/>
        </w:rPr>
        <w:t>.</w:t>
      </w:r>
      <w:r w:rsidRPr="00BE4AF3">
        <w:rPr>
          <w:rFonts w:ascii="Times New Roman" w:hAnsi="Times New Roman" w:cs="Times New Roman"/>
          <w:bCs/>
          <w:sz w:val="24"/>
          <w:szCs w:val="24"/>
        </w:rPr>
        <w:t xml:space="preserve"> </w:t>
      </w:r>
      <w:r w:rsidRPr="00BE4AF3">
        <w:rPr>
          <w:rFonts w:ascii="Times New Roman" w:hAnsi="Times New Roman" w:cs="Times New Roman"/>
          <w:sz w:val="24"/>
          <w:szCs w:val="24"/>
        </w:rPr>
        <w:t xml:space="preserve">In carrying out factor analysis, Tabachnick and Fidell (2021) suggested that variables with loadings 0.32 and above may be interpreted. Also, </w:t>
      </w:r>
      <w:r w:rsidRPr="00BE4AF3">
        <w:rPr>
          <w:rFonts w:ascii="Times New Roman" w:hAnsi="Times New Roman" w:cs="Times New Roman"/>
          <w:sz w:val="24"/>
          <w:szCs w:val="24"/>
          <w:lang w:eastAsia="en-GB"/>
        </w:rPr>
        <w:t>Stevens (2022) recommends interpreting only factor loadings with an absolute value greater than 0.4 (which explain around 16% of variance).</w:t>
      </w:r>
      <w:r w:rsidRPr="00BE4AF3">
        <w:rPr>
          <w:rFonts w:ascii="Times New Roman" w:hAnsi="Times New Roman" w:cs="Times New Roman"/>
          <w:sz w:val="24"/>
          <w:szCs w:val="24"/>
        </w:rPr>
        <w:t xml:space="preserve"> This study therefore used 0.450 as cut off points</w:t>
      </w:r>
      <w:r w:rsidRPr="00BE4AF3">
        <w:rPr>
          <w:rFonts w:ascii="Times New Roman" w:hAnsi="Times New Roman" w:cs="Times New Roman"/>
          <w:sz w:val="24"/>
          <w:szCs w:val="24"/>
          <w:lang w:eastAsia="en-GB"/>
        </w:rPr>
        <w:t xml:space="preserve"> </w:t>
      </w:r>
      <w:r w:rsidRPr="00BE4AF3">
        <w:rPr>
          <w:rFonts w:ascii="Times New Roman" w:hAnsi="Times New Roman" w:cs="Times New Roman"/>
          <w:sz w:val="24"/>
          <w:szCs w:val="24"/>
        </w:rPr>
        <w:t>which is considered to be good as it has 25% overlapping variance</w:t>
      </w:r>
      <w:r w:rsidRPr="00BE4AF3">
        <w:rPr>
          <w:rFonts w:ascii="Times New Roman" w:hAnsi="Times New Roman" w:cs="Times New Roman"/>
          <w:sz w:val="24"/>
          <w:szCs w:val="24"/>
          <w:lang w:eastAsia="en-GB"/>
        </w:rPr>
        <w:t>.</w:t>
      </w:r>
      <w:r w:rsidRPr="00BE4AF3">
        <w:rPr>
          <w:rFonts w:ascii="Times New Roman" w:hAnsi="Times New Roman" w:cs="Times New Roman"/>
          <w:sz w:val="24"/>
          <w:szCs w:val="24"/>
        </w:rPr>
        <w:t xml:space="preserve"> Values loading less than 0.50 will be suppressed. </w:t>
      </w:r>
      <w:r w:rsidRPr="00BE4AF3">
        <w:rPr>
          <w:rFonts w:ascii="Times New Roman" w:hAnsi="Times New Roman" w:cs="Times New Roman"/>
          <w:sz w:val="24"/>
          <w:szCs w:val="24"/>
          <w:lang w:eastAsia="en-GB"/>
        </w:rPr>
        <w:t xml:space="preserve">The logic behind suppressing loadings less than 0.50 was based on Stevens’ (2022) suggestion that this cut-off point was appropriate for interpretative purposes (that is, loadings greater than 0.4 represent substantive values). The grouping of variables is based on factor loadings, which indicate the degree of association of a variable with the factor (Ofori and Chan, 2021). Therefore, a variable which appears to have the highest loading in one factor belongs to that factor. Trost and Oberlender (2023) suggest that the value of factor loading should fall between 0.4 and 0.9. </w:t>
      </w:r>
    </w:p>
    <w:p w14:paraId="5B02981F" w14:textId="77777777" w:rsidR="00BE4AF3" w:rsidRPr="00BE4AF3" w:rsidRDefault="00BE4AF3" w:rsidP="008A0A89">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lang w:eastAsia="en-GB"/>
        </w:rPr>
        <w:t xml:space="preserve">Factor Analysis does not attach labels to the factors generated and the substantive meaning given to a factor is typically based on the examination of what the high loading variables measure (Kim and Mueller, 1978). A factor is named by examining the largest values linking the factor to the measured variables in the rotated factor matrix, and the final number of factors is based on the rotated solution that is interpretable (Green and Salkind, 2017). </w:t>
      </w:r>
      <w:r w:rsidRPr="00BE4AF3">
        <w:rPr>
          <w:rFonts w:ascii="Times New Roman" w:hAnsi="Times New Roman" w:cs="Times New Roman"/>
          <w:sz w:val="24"/>
          <w:szCs w:val="24"/>
        </w:rPr>
        <w:t xml:space="preserve">The principal components </w:t>
      </w:r>
      <w:r w:rsidRPr="00BE4AF3">
        <w:rPr>
          <w:rFonts w:ascii="Times New Roman" w:hAnsi="Times New Roman" w:cs="Times New Roman"/>
          <w:sz w:val="24"/>
          <w:szCs w:val="24"/>
        </w:rPr>
        <w:lastRenderedPageBreak/>
        <w:t xml:space="preserve">analysis with Varimax rotation of the </w:t>
      </w:r>
      <w:r w:rsidRPr="00BE4AF3">
        <w:rPr>
          <w:rFonts w:ascii="Times New Roman" w:hAnsi="Times New Roman" w:cs="Times New Roman"/>
          <w:sz w:val="24"/>
          <w:szCs w:val="24"/>
          <w:lang w:eastAsia="en-GB"/>
        </w:rPr>
        <w:t xml:space="preserve">36 identified </w:t>
      </w:r>
      <w:r w:rsidRPr="00BE4AF3">
        <w:rPr>
          <w:rFonts w:ascii="Times New Roman" w:hAnsi="Times New Roman" w:cs="Times New Roman"/>
          <w:bCs/>
          <w:sz w:val="24"/>
          <w:szCs w:val="24"/>
        </w:rPr>
        <w:t xml:space="preserve">variables influencing </w:t>
      </w:r>
      <w:r w:rsidRPr="00BE4AF3">
        <w:rPr>
          <w:rFonts w:ascii="Times New Roman" w:hAnsi="Times New Roman" w:cs="Times New Roman"/>
          <w:sz w:val="24"/>
          <w:szCs w:val="24"/>
        </w:rPr>
        <w:t>residents’ quality of life produced eleven factor categories, which are labeled and described as presented in Table 4.4.</w:t>
      </w:r>
    </w:p>
    <w:p w14:paraId="0D92BDD9" w14:textId="77777777" w:rsidR="00BE4AF3" w:rsidRDefault="00BE4AF3" w:rsidP="008A0A89">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lang w:eastAsia="en-GB"/>
        </w:rPr>
        <w:t>Similarly, t</w:t>
      </w:r>
      <w:r w:rsidRPr="00BE4AF3">
        <w:rPr>
          <w:rFonts w:ascii="Times New Roman" w:hAnsi="Times New Roman" w:cs="Times New Roman"/>
          <w:sz w:val="24"/>
          <w:szCs w:val="24"/>
        </w:rPr>
        <w:t xml:space="preserve">he need to ascertain the extent of adequacy of the data loaded for the study informed the use of Kaiser-Meyer-Olkin (KMO) and Bartlett’s test. The Bartlett’s measure tests the null hypothesis that the original correlation matrix is an identity matrix. For factor analysis to be adequate, Kaiser recommends that values greater than 0.5 is acceptable. Hence, the </w:t>
      </w:r>
      <w:r w:rsidRPr="00BE4AF3">
        <w:rPr>
          <w:rFonts w:ascii="Times New Roman" w:hAnsi="Times New Roman" w:cs="Times New Roman"/>
          <w:bCs/>
          <w:sz w:val="24"/>
          <w:szCs w:val="24"/>
        </w:rPr>
        <w:t xml:space="preserve">factors influencing </w:t>
      </w:r>
      <w:r w:rsidRPr="00BE4AF3">
        <w:rPr>
          <w:rFonts w:ascii="Times New Roman" w:hAnsi="Times New Roman" w:cs="Times New Roman"/>
          <w:sz w:val="24"/>
          <w:szCs w:val="24"/>
        </w:rPr>
        <w:t xml:space="preserve">residents’ quality of life are discussed in subsequent sections. </w:t>
      </w:r>
    </w:p>
    <w:p w14:paraId="7AB564B5" w14:textId="77777777" w:rsidR="008A0A89" w:rsidRPr="00BE4AF3" w:rsidRDefault="008A0A89" w:rsidP="008A0A89">
      <w:pPr>
        <w:autoSpaceDE w:val="0"/>
        <w:autoSpaceDN w:val="0"/>
        <w:adjustRightInd w:val="0"/>
        <w:spacing w:after="0" w:line="240" w:lineRule="auto"/>
        <w:jc w:val="both"/>
        <w:rPr>
          <w:rFonts w:ascii="Times New Roman" w:hAnsi="Times New Roman" w:cs="Times New Roman"/>
          <w:sz w:val="24"/>
          <w:szCs w:val="24"/>
        </w:rPr>
      </w:pPr>
    </w:p>
    <w:p w14:paraId="5189E67A" w14:textId="77777777" w:rsidR="00BE4AF3" w:rsidRPr="00BE4AF3" w:rsidRDefault="00BE4AF3" w:rsidP="008A0A89">
      <w:pPr>
        <w:autoSpaceDE w:val="0"/>
        <w:autoSpaceDN w:val="0"/>
        <w:adjustRightInd w:val="0"/>
        <w:spacing w:after="0" w:line="240" w:lineRule="auto"/>
        <w:jc w:val="center"/>
        <w:rPr>
          <w:rFonts w:ascii="Times New Roman" w:hAnsi="Times New Roman" w:cs="Times New Roman"/>
          <w:sz w:val="24"/>
          <w:szCs w:val="24"/>
        </w:rPr>
      </w:pPr>
      <w:r w:rsidRPr="00BE4AF3">
        <w:rPr>
          <w:rFonts w:ascii="Times New Roman" w:hAnsi="Times New Roman" w:cs="Times New Roman"/>
          <w:b/>
          <w:bCs/>
          <w:sz w:val="24"/>
          <w:szCs w:val="24"/>
        </w:rPr>
        <w:t xml:space="preserve">Table 4.1: </w:t>
      </w:r>
      <w:r w:rsidRPr="008A0A89">
        <w:rPr>
          <w:rFonts w:ascii="Times New Roman" w:hAnsi="Times New Roman" w:cs="Times New Roman"/>
          <w:sz w:val="24"/>
          <w:szCs w:val="24"/>
        </w:rPr>
        <w:t>KMO and Bartlett's Test for Residents’ Qol</w:t>
      </w:r>
    </w:p>
    <w:tbl>
      <w:tblPr>
        <w:tblW w:w="7414" w:type="dxa"/>
        <w:jc w:val="center"/>
        <w:tblBorders>
          <w:top w:val="single" w:sz="4" w:space="0" w:color="auto"/>
          <w:bottom w:val="single" w:sz="4" w:space="0" w:color="auto"/>
        </w:tblBorders>
        <w:tblLayout w:type="fixed"/>
        <w:tblCellMar>
          <w:left w:w="0" w:type="dxa"/>
          <w:right w:w="0" w:type="dxa"/>
        </w:tblCellMar>
        <w:tblLook w:val="04A0" w:firstRow="1" w:lastRow="0" w:firstColumn="1" w:lastColumn="0" w:noHBand="0" w:noVBand="1"/>
      </w:tblPr>
      <w:tblGrid>
        <w:gridCol w:w="3625"/>
        <w:gridCol w:w="2045"/>
        <w:gridCol w:w="1744"/>
      </w:tblGrid>
      <w:tr w:rsidR="00BE4AF3" w:rsidRPr="008A0A89" w14:paraId="7192F822" w14:textId="77777777" w:rsidTr="008A0A89">
        <w:trPr>
          <w:cantSplit/>
          <w:trHeight w:val="535"/>
          <w:jc w:val="center"/>
        </w:trPr>
        <w:tc>
          <w:tcPr>
            <w:tcW w:w="5670" w:type="dxa"/>
            <w:gridSpan w:val="2"/>
            <w:tcBorders>
              <w:top w:val="single" w:sz="4" w:space="0" w:color="auto"/>
              <w:left w:val="nil"/>
              <w:bottom w:val="nil"/>
              <w:right w:val="nil"/>
            </w:tcBorders>
            <w:shd w:val="clear" w:color="auto" w:fill="FFFFFF"/>
            <w:vAlign w:val="center"/>
            <w:hideMark/>
          </w:tcPr>
          <w:p w14:paraId="325BBC7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Kaiser-Meyer-Olkin Measure of Sampling Adequacy.</w:t>
            </w:r>
          </w:p>
        </w:tc>
        <w:tc>
          <w:tcPr>
            <w:tcW w:w="1744" w:type="dxa"/>
            <w:tcBorders>
              <w:top w:val="single" w:sz="4" w:space="0" w:color="auto"/>
              <w:left w:val="nil"/>
              <w:bottom w:val="nil"/>
              <w:right w:val="nil"/>
            </w:tcBorders>
            <w:shd w:val="clear" w:color="auto" w:fill="FFFFFF"/>
            <w:vAlign w:val="center"/>
            <w:hideMark/>
          </w:tcPr>
          <w:p w14:paraId="0459515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.617</w:t>
            </w:r>
          </w:p>
        </w:tc>
      </w:tr>
      <w:tr w:rsidR="00BE4AF3" w:rsidRPr="008A0A89" w14:paraId="2080A595" w14:textId="77777777" w:rsidTr="008A0A89">
        <w:trPr>
          <w:cantSplit/>
          <w:trHeight w:val="274"/>
          <w:jc w:val="center"/>
        </w:trPr>
        <w:tc>
          <w:tcPr>
            <w:tcW w:w="3625" w:type="dxa"/>
            <w:vMerge w:val="restart"/>
            <w:tcBorders>
              <w:top w:val="nil"/>
              <w:left w:val="nil"/>
              <w:bottom w:val="single" w:sz="4" w:space="0" w:color="auto"/>
              <w:right w:val="nil"/>
            </w:tcBorders>
            <w:shd w:val="clear" w:color="auto" w:fill="FFFFFF"/>
            <w:vAlign w:val="center"/>
            <w:hideMark/>
          </w:tcPr>
          <w:p w14:paraId="2E4615A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Bartlett's Test of Sphericity</w:t>
            </w:r>
          </w:p>
        </w:tc>
        <w:tc>
          <w:tcPr>
            <w:tcW w:w="2045" w:type="dxa"/>
            <w:tcBorders>
              <w:top w:val="nil"/>
              <w:left w:val="nil"/>
              <w:bottom w:val="nil"/>
              <w:right w:val="nil"/>
            </w:tcBorders>
            <w:shd w:val="clear" w:color="auto" w:fill="FFFFFF"/>
            <w:vAlign w:val="center"/>
            <w:hideMark/>
          </w:tcPr>
          <w:p w14:paraId="51B997A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Approx. Chi-Square</w:t>
            </w:r>
          </w:p>
        </w:tc>
        <w:tc>
          <w:tcPr>
            <w:tcW w:w="1744" w:type="dxa"/>
            <w:tcBorders>
              <w:top w:val="nil"/>
              <w:left w:val="nil"/>
              <w:bottom w:val="nil"/>
              <w:right w:val="nil"/>
            </w:tcBorders>
            <w:shd w:val="clear" w:color="auto" w:fill="FFFFFF"/>
            <w:vAlign w:val="center"/>
            <w:hideMark/>
          </w:tcPr>
          <w:p w14:paraId="57FD039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13611.704</w:t>
            </w:r>
          </w:p>
        </w:tc>
      </w:tr>
      <w:tr w:rsidR="00BE4AF3" w:rsidRPr="008A0A89" w14:paraId="10B292AB" w14:textId="77777777" w:rsidTr="008A0A89">
        <w:trPr>
          <w:cantSplit/>
          <w:trHeight w:val="274"/>
          <w:jc w:val="center"/>
        </w:trPr>
        <w:tc>
          <w:tcPr>
            <w:tcW w:w="3625" w:type="dxa"/>
            <w:vMerge/>
            <w:tcBorders>
              <w:top w:val="nil"/>
              <w:left w:val="nil"/>
              <w:bottom w:val="single" w:sz="4" w:space="0" w:color="auto"/>
              <w:right w:val="nil"/>
            </w:tcBorders>
            <w:vAlign w:val="center"/>
            <w:hideMark/>
          </w:tcPr>
          <w:p w14:paraId="025D0F2A" w14:textId="77777777" w:rsidR="00BE4AF3" w:rsidRPr="008A0A89" w:rsidRDefault="00BE4AF3" w:rsidP="00C86F13">
            <w:pPr>
              <w:spacing w:after="0" w:line="240" w:lineRule="auto"/>
              <w:jc w:val="both"/>
              <w:rPr>
                <w:rFonts w:ascii="Times New Roman" w:hAnsi="Times New Roman" w:cs="Times New Roman"/>
                <w:sz w:val="20"/>
                <w:szCs w:val="20"/>
              </w:rPr>
            </w:pPr>
          </w:p>
        </w:tc>
        <w:tc>
          <w:tcPr>
            <w:tcW w:w="2045" w:type="dxa"/>
            <w:tcBorders>
              <w:top w:val="nil"/>
              <w:left w:val="nil"/>
              <w:bottom w:val="nil"/>
              <w:right w:val="nil"/>
            </w:tcBorders>
            <w:shd w:val="clear" w:color="auto" w:fill="FFFFFF"/>
            <w:vAlign w:val="center"/>
            <w:hideMark/>
          </w:tcPr>
          <w:p w14:paraId="471B5D0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Df</w:t>
            </w:r>
          </w:p>
        </w:tc>
        <w:tc>
          <w:tcPr>
            <w:tcW w:w="1744" w:type="dxa"/>
            <w:tcBorders>
              <w:top w:val="nil"/>
              <w:left w:val="nil"/>
              <w:bottom w:val="nil"/>
              <w:right w:val="nil"/>
            </w:tcBorders>
            <w:shd w:val="clear" w:color="auto" w:fill="FFFFFF"/>
            <w:vAlign w:val="center"/>
            <w:hideMark/>
          </w:tcPr>
          <w:p w14:paraId="7FCDAEA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703</w:t>
            </w:r>
          </w:p>
        </w:tc>
      </w:tr>
      <w:tr w:rsidR="00BE4AF3" w:rsidRPr="008A0A89" w14:paraId="1118FF42" w14:textId="77777777" w:rsidTr="008A0A89">
        <w:trPr>
          <w:cantSplit/>
          <w:trHeight w:val="302"/>
          <w:jc w:val="center"/>
        </w:trPr>
        <w:tc>
          <w:tcPr>
            <w:tcW w:w="3625" w:type="dxa"/>
            <w:vMerge/>
            <w:tcBorders>
              <w:top w:val="nil"/>
              <w:left w:val="nil"/>
              <w:bottom w:val="single" w:sz="4" w:space="0" w:color="auto"/>
              <w:right w:val="nil"/>
            </w:tcBorders>
            <w:vAlign w:val="center"/>
            <w:hideMark/>
          </w:tcPr>
          <w:p w14:paraId="2DB1549B" w14:textId="77777777" w:rsidR="00BE4AF3" w:rsidRPr="008A0A89" w:rsidRDefault="00BE4AF3" w:rsidP="00C86F13">
            <w:pPr>
              <w:spacing w:after="0" w:line="240" w:lineRule="auto"/>
              <w:jc w:val="both"/>
              <w:rPr>
                <w:rFonts w:ascii="Times New Roman" w:hAnsi="Times New Roman" w:cs="Times New Roman"/>
                <w:sz w:val="20"/>
                <w:szCs w:val="20"/>
              </w:rPr>
            </w:pPr>
          </w:p>
        </w:tc>
        <w:tc>
          <w:tcPr>
            <w:tcW w:w="2045" w:type="dxa"/>
            <w:tcBorders>
              <w:top w:val="nil"/>
              <w:left w:val="nil"/>
              <w:bottom w:val="single" w:sz="4" w:space="0" w:color="auto"/>
              <w:right w:val="nil"/>
            </w:tcBorders>
            <w:shd w:val="clear" w:color="auto" w:fill="FFFFFF"/>
            <w:vAlign w:val="center"/>
            <w:hideMark/>
          </w:tcPr>
          <w:p w14:paraId="070797C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Sig.</w:t>
            </w:r>
          </w:p>
        </w:tc>
        <w:tc>
          <w:tcPr>
            <w:tcW w:w="1744" w:type="dxa"/>
            <w:tcBorders>
              <w:top w:val="nil"/>
              <w:left w:val="nil"/>
              <w:bottom w:val="single" w:sz="4" w:space="0" w:color="auto"/>
              <w:right w:val="nil"/>
            </w:tcBorders>
            <w:shd w:val="clear" w:color="auto" w:fill="FFFFFF"/>
            <w:vAlign w:val="center"/>
            <w:hideMark/>
          </w:tcPr>
          <w:p w14:paraId="49565C1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.000</w:t>
            </w:r>
          </w:p>
        </w:tc>
      </w:tr>
    </w:tbl>
    <w:p w14:paraId="07055355" w14:textId="77777777" w:rsidR="00BE4AF3" w:rsidRPr="00BE4AF3" w:rsidRDefault="00BE4AF3" w:rsidP="00C86F13">
      <w:pPr>
        <w:spacing w:after="0" w:line="240" w:lineRule="auto"/>
        <w:ind w:firstLine="720"/>
        <w:jc w:val="both"/>
        <w:rPr>
          <w:rFonts w:ascii="Times New Roman" w:hAnsi="Times New Roman" w:cs="Times New Roman"/>
          <w:sz w:val="24"/>
          <w:szCs w:val="24"/>
        </w:rPr>
      </w:pPr>
    </w:p>
    <w:p w14:paraId="725A9AE0" w14:textId="77777777" w:rsidR="00BE4AF3" w:rsidRPr="00BE4AF3" w:rsidRDefault="00BE4AF3" w:rsidP="008A0A8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need to ascertain the extent of adequacy of the data loaded for the study informed the use of Kaiser-Meyer-Olkin (KMO) and Bartlett’s test. The Bartlett’s measure tests the null hypothesis that the original correlation matrix is an identity matrix. For factor analysis to be adequate the minimum recommended value is 0.6 (Neill 2004). As shown in Table 8.1, the KMO is 0.617 which is a bit above the minimum recommended value of 0.600. Using a significant level of 0.05, the significant test confirms that the Bartlett’s test is highly significant (</w:t>
      </w:r>
      <w:r w:rsidRPr="00BE4AF3">
        <w:rPr>
          <w:rFonts w:ascii="Times New Roman" w:hAnsi="Times New Roman" w:cs="Times New Roman"/>
          <w:i/>
          <w:sz w:val="24"/>
          <w:szCs w:val="24"/>
        </w:rPr>
        <w:t xml:space="preserve">p </w:t>
      </w:r>
      <w:r w:rsidRPr="00BE4AF3">
        <w:rPr>
          <w:rFonts w:ascii="Times New Roman" w:hAnsi="Times New Roman" w:cs="Times New Roman"/>
          <w:sz w:val="24"/>
          <w:szCs w:val="24"/>
        </w:rPr>
        <w:t>= 0.000) which further clearly informed that the data used for the analysis were adequate.</w:t>
      </w:r>
    </w:p>
    <w:p w14:paraId="7737E1C6" w14:textId="77777777" w:rsidR="00BE4AF3" w:rsidRDefault="00BE4AF3" w:rsidP="008A0A89">
      <w:pPr>
        <w:pStyle w:val="NoSpacing"/>
        <w:rPr>
          <w:rFonts w:ascii="Times New Roman" w:hAnsi="Times New Roman" w:cs="Times New Roman"/>
          <w:bCs/>
          <w:sz w:val="24"/>
        </w:rPr>
      </w:pPr>
      <w:r w:rsidRPr="00BE4AF3">
        <w:rPr>
          <w:rFonts w:ascii="Times New Roman" w:hAnsi="Times New Roman" w:cs="Times New Roman"/>
          <w:bCs/>
          <w:sz w:val="24"/>
        </w:rPr>
        <w:t>Presented in Table 4.2 were the lists of the eigenvalues associated with linear component (factor) before extraction, after extraction and after rotation. Before extraction there were 36 linear components (same number as the available variables). The eigenvalue associated with each factor represented the variance explained by that particular linear component and it is also represented in form of a percentage of variance explained. Together they accounted for almost 78.571% (two-third) of the variability in the original variables. This suggested that eleven latent factors were associated with</w:t>
      </w:r>
      <w:r w:rsidRPr="00BE4AF3">
        <w:rPr>
          <w:rFonts w:ascii="Times New Roman" w:hAnsi="Times New Roman" w:cs="Times New Roman"/>
          <w:sz w:val="24"/>
        </w:rPr>
        <w:t xml:space="preserve"> the perception of residents QoL of the study area</w:t>
      </w:r>
      <w:r w:rsidRPr="00BE4AF3">
        <w:rPr>
          <w:rFonts w:ascii="Times New Roman" w:hAnsi="Times New Roman" w:cs="Times New Roman"/>
          <w:bCs/>
          <w:sz w:val="24"/>
        </w:rPr>
        <w:t>, but there was a room for a lot of unexplained variation.</w:t>
      </w:r>
    </w:p>
    <w:p w14:paraId="47285CDC" w14:textId="77777777" w:rsidR="008A0A89" w:rsidRPr="00BE4AF3" w:rsidRDefault="008A0A89" w:rsidP="008A0A89">
      <w:pPr>
        <w:pStyle w:val="NoSpacing"/>
        <w:rPr>
          <w:rFonts w:ascii="Times New Roman" w:hAnsi="Times New Roman" w:cs="Times New Roman"/>
          <w:bCs/>
          <w:sz w:val="24"/>
        </w:rPr>
      </w:pPr>
    </w:p>
    <w:p w14:paraId="35DD713A" w14:textId="77777777" w:rsidR="00BE4AF3" w:rsidRPr="008A0A89" w:rsidRDefault="00BE4AF3" w:rsidP="008A0A89">
      <w:pPr>
        <w:autoSpaceDE w:val="0"/>
        <w:autoSpaceDN w:val="0"/>
        <w:adjustRightInd w:val="0"/>
        <w:spacing w:after="0" w:line="240" w:lineRule="auto"/>
        <w:jc w:val="center"/>
        <w:rPr>
          <w:rFonts w:ascii="Times New Roman" w:hAnsi="Times New Roman" w:cs="Times New Roman"/>
          <w:sz w:val="24"/>
          <w:szCs w:val="24"/>
        </w:rPr>
      </w:pPr>
      <w:r w:rsidRPr="00BE4AF3">
        <w:rPr>
          <w:rFonts w:ascii="Times New Roman" w:hAnsi="Times New Roman" w:cs="Times New Roman"/>
          <w:b/>
          <w:bCs/>
          <w:sz w:val="24"/>
          <w:szCs w:val="24"/>
        </w:rPr>
        <w:t xml:space="preserve">Table 4.2:  </w:t>
      </w:r>
      <w:r w:rsidRPr="008A0A89">
        <w:rPr>
          <w:rFonts w:ascii="Times New Roman" w:hAnsi="Times New Roman" w:cs="Times New Roman"/>
          <w:sz w:val="24"/>
          <w:szCs w:val="24"/>
        </w:rPr>
        <w:t>Communalities for Residents’ Quality of life</w:t>
      </w:r>
    </w:p>
    <w:tbl>
      <w:tblPr>
        <w:tblW w:w="6450" w:type="dxa"/>
        <w:jc w:val="center"/>
        <w:tblBorders>
          <w:top w:val="single" w:sz="4" w:space="0" w:color="auto"/>
          <w:bottom w:val="single" w:sz="4" w:space="0" w:color="auto"/>
        </w:tblBorders>
        <w:tblLayout w:type="fixed"/>
        <w:tblCellMar>
          <w:left w:w="0" w:type="dxa"/>
          <w:right w:w="0" w:type="dxa"/>
        </w:tblCellMar>
        <w:tblLook w:val="04A0" w:firstRow="1" w:lastRow="0" w:firstColumn="1" w:lastColumn="0" w:noHBand="0" w:noVBand="1"/>
      </w:tblPr>
      <w:tblGrid>
        <w:gridCol w:w="3883"/>
        <w:gridCol w:w="1104"/>
        <w:gridCol w:w="1463"/>
      </w:tblGrid>
      <w:tr w:rsidR="00BE4AF3" w:rsidRPr="008A0A89" w14:paraId="63CAFD82" w14:textId="77777777" w:rsidTr="00BE4AF3">
        <w:trPr>
          <w:cantSplit/>
          <w:jc w:val="center"/>
        </w:trPr>
        <w:tc>
          <w:tcPr>
            <w:tcW w:w="3883" w:type="dxa"/>
            <w:tcBorders>
              <w:top w:val="single" w:sz="4" w:space="0" w:color="auto"/>
              <w:left w:val="nil"/>
              <w:bottom w:val="single" w:sz="4" w:space="0" w:color="auto"/>
              <w:right w:val="nil"/>
            </w:tcBorders>
            <w:shd w:val="clear" w:color="auto" w:fill="FFFFFF"/>
          </w:tcPr>
          <w:p w14:paraId="0B4D812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1104" w:type="dxa"/>
            <w:tcBorders>
              <w:top w:val="single" w:sz="4" w:space="0" w:color="auto"/>
              <w:left w:val="nil"/>
              <w:bottom w:val="single" w:sz="4" w:space="0" w:color="auto"/>
              <w:right w:val="nil"/>
            </w:tcBorders>
            <w:shd w:val="clear" w:color="auto" w:fill="FFFFFF"/>
            <w:hideMark/>
          </w:tcPr>
          <w:p w14:paraId="375FBEA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Initial</w:t>
            </w:r>
          </w:p>
        </w:tc>
        <w:tc>
          <w:tcPr>
            <w:tcW w:w="1463" w:type="dxa"/>
            <w:tcBorders>
              <w:top w:val="single" w:sz="4" w:space="0" w:color="auto"/>
              <w:left w:val="nil"/>
              <w:bottom w:val="single" w:sz="4" w:space="0" w:color="auto"/>
              <w:right w:val="nil"/>
            </w:tcBorders>
            <w:shd w:val="clear" w:color="auto" w:fill="FFFFFF"/>
            <w:hideMark/>
          </w:tcPr>
          <w:p w14:paraId="6F21190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Extraction</w:t>
            </w:r>
          </w:p>
        </w:tc>
      </w:tr>
      <w:tr w:rsidR="00BE4AF3" w:rsidRPr="008A0A89" w14:paraId="5C16F1A3" w14:textId="77777777" w:rsidTr="00BE4AF3">
        <w:trPr>
          <w:cantSplit/>
          <w:jc w:val="center"/>
        </w:trPr>
        <w:tc>
          <w:tcPr>
            <w:tcW w:w="3883" w:type="dxa"/>
            <w:tcBorders>
              <w:top w:val="single" w:sz="4" w:space="0" w:color="auto"/>
              <w:left w:val="nil"/>
              <w:bottom w:val="nil"/>
              <w:right w:val="nil"/>
            </w:tcBorders>
            <w:shd w:val="clear" w:color="auto" w:fill="FFFFFF"/>
            <w:vAlign w:val="center"/>
            <w:hideMark/>
          </w:tcPr>
          <w:p w14:paraId="7D6C52B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Public tap water supply</w:t>
            </w:r>
          </w:p>
        </w:tc>
        <w:tc>
          <w:tcPr>
            <w:tcW w:w="1104" w:type="dxa"/>
            <w:tcBorders>
              <w:top w:val="single" w:sz="4" w:space="0" w:color="auto"/>
              <w:left w:val="nil"/>
              <w:bottom w:val="nil"/>
              <w:right w:val="nil"/>
            </w:tcBorders>
            <w:shd w:val="clear" w:color="auto" w:fill="FFFFFF"/>
            <w:vAlign w:val="center"/>
            <w:hideMark/>
          </w:tcPr>
          <w:p w14:paraId="3FAF402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single" w:sz="4" w:space="0" w:color="auto"/>
              <w:left w:val="nil"/>
              <w:bottom w:val="nil"/>
              <w:right w:val="nil"/>
            </w:tcBorders>
            <w:shd w:val="clear" w:color="auto" w:fill="FFFFFF"/>
            <w:vAlign w:val="center"/>
            <w:hideMark/>
          </w:tcPr>
          <w:p w14:paraId="413CFF3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.863</w:t>
            </w:r>
          </w:p>
        </w:tc>
      </w:tr>
      <w:tr w:rsidR="00BE4AF3" w:rsidRPr="008A0A89" w14:paraId="4A2B7864" w14:textId="77777777" w:rsidTr="00BE4AF3">
        <w:trPr>
          <w:cantSplit/>
          <w:jc w:val="center"/>
        </w:trPr>
        <w:tc>
          <w:tcPr>
            <w:tcW w:w="3883" w:type="dxa"/>
            <w:tcBorders>
              <w:top w:val="nil"/>
              <w:left w:val="nil"/>
              <w:bottom w:val="nil"/>
              <w:right w:val="nil"/>
            </w:tcBorders>
            <w:shd w:val="clear" w:color="auto" w:fill="FFFFFF"/>
            <w:vAlign w:val="center"/>
            <w:hideMark/>
          </w:tcPr>
          <w:p w14:paraId="7740D73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Well water</w:t>
            </w:r>
          </w:p>
        </w:tc>
        <w:tc>
          <w:tcPr>
            <w:tcW w:w="1104" w:type="dxa"/>
            <w:tcBorders>
              <w:top w:val="nil"/>
              <w:left w:val="nil"/>
              <w:bottom w:val="nil"/>
              <w:right w:val="nil"/>
            </w:tcBorders>
            <w:shd w:val="clear" w:color="auto" w:fill="FFFFFF"/>
            <w:vAlign w:val="center"/>
            <w:hideMark/>
          </w:tcPr>
          <w:p w14:paraId="0D8CA95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6848C14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.674</w:t>
            </w:r>
          </w:p>
        </w:tc>
      </w:tr>
      <w:tr w:rsidR="00BE4AF3" w:rsidRPr="008A0A89" w14:paraId="39444EF0" w14:textId="77777777" w:rsidTr="00BE4AF3">
        <w:trPr>
          <w:cantSplit/>
          <w:jc w:val="center"/>
        </w:trPr>
        <w:tc>
          <w:tcPr>
            <w:tcW w:w="3883" w:type="dxa"/>
            <w:tcBorders>
              <w:top w:val="nil"/>
              <w:left w:val="nil"/>
              <w:bottom w:val="nil"/>
              <w:right w:val="nil"/>
            </w:tcBorders>
            <w:shd w:val="clear" w:color="auto" w:fill="FFFFFF"/>
            <w:vAlign w:val="center"/>
            <w:hideMark/>
          </w:tcPr>
          <w:p w14:paraId="00B665A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Borehole</w:t>
            </w:r>
          </w:p>
        </w:tc>
        <w:tc>
          <w:tcPr>
            <w:tcW w:w="1104" w:type="dxa"/>
            <w:tcBorders>
              <w:top w:val="nil"/>
              <w:left w:val="nil"/>
              <w:bottom w:val="nil"/>
              <w:right w:val="nil"/>
            </w:tcBorders>
            <w:shd w:val="clear" w:color="auto" w:fill="FFFFFF"/>
            <w:vAlign w:val="center"/>
            <w:hideMark/>
          </w:tcPr>
          <w:p w14:paraId="7065880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0220A41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.840</w:t>
            </w:r>
          </w:p>
        </w:tc>
      </w:tr>
      <w:tr w:rsidR="00BE4AF3" w:rsidRPr="008A0A89" w14:paraId="023EDD55" w14:textId="77777777" w:rsidTr="00BE4AF3">
        <w:trPr>
          <w:cantSplit/>
          <w:jc w:val="center"/>
        </w:trPr>
        <w:tc>
          <w:tcPr>
            <w:tcW w:w="3883" w:type="dxa"/>
            <w:tcBorders>
              <w:top w:val="nil"/>
              <w:left w:val="nil"/>
              <w:bottom w:val="nil"/>
              <w:right w:val="nil"/>
            </w:tcBorders>
            <w:shd w:val="clear" w:color="auto" w:fill="FFFFFF"/>
            <w:vAlign w:val="center"/>
            <w:hideMark/>
          </w:tcPr>
          <w:p w14:paraId="0C9530B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Electricity supply</w:t>
            </w:r>
          </w:p>
        </w:tc>
        <w:tc>
          <w:tcPr>
            <w:tcW w:w="1104" w:type="dxa"/>
            <w:tcBorders>
              <w:top w:val="nil"/>
              <w:left w:val="nil"/>
              <w:bottom w:val="nil"/>
              <w:right w:val="nil"/>
            </w:tcBorders>
            <w:shd w:val="clear" w:color="auto" w:fill="FFFFFF"/>
            <w:vAlign w:val="center"/>
            <w:hideMark/>
          </w:tcPr>
          <w:p w14:paraId="5279EF8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2AE7309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.802</w:t>
            </w:r>
          </w:p>
        </w:tc>
      </w:tr>
      <w:tr w:rsidR="00BE4AF3" w:rsidRPr="008A0A89" w14:paraId="7BF294C6" w14:textId="77777777" w:rsidTr="00BE4AF3">
        <w:trPr>
          <w:cantSplit/>
          <w:jc w:val="center"/>
        </w:trPr>
        <w:tc>
          <w:tcPr>
            <w:tcW w:w="3883" w:type="dxa"/>
            <w:tcBorders>
              <w:top w:val="nil"/>
              <w:left w:val="nil"/>
              <w:bottom w:val="nil"/>
              <w:right w:val="nil"/>
            </w:tcBorders>
            <w:shd w:val="clear" w:color="auto" w:fill="FFFFFF"/>
            <w:vAlign w:val="center"/>
            <w:hideMark/>
          </w:tcPr>
          <w:p w14:paraId="40BDB14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Housing condition</w:t>
            </w:r>
          </w:p>
        </w:tc>
        <w:tc>
          <w:tcPr>
            <w:tcW w:w="1104" w:type="dxa"/>
            <w:tcBorders>
              <w:top w:val="nil"/>
              <w:left w:val="nil"/>
              <w:bottom w:val="nil"/>
              <w:right w:val="nil"/>
            </w:tcBorders>
            <w:shd w:val="clear" w:color="auto" w:fill="FFFFFF"/>
            <w:vAlign w:val="center"/>
            <w:hideMark/>
          </w:tcPr>
          <w:p w14:paraId="484637B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48D3AF2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.720</w:t>
            </w:r>
          </w:p>
        </w:tc>
      </w:tr>
      <w:tr w:rsidR="00BE4AF3" w:rsidRPr="008A0A89" w14:paraId="7AC5933B" w14:textId="77777777" w:rsidTr="00BE4AF3">
        <w:trPr>
          <w:cantSplit/>
          <w:jc w:val="center"/>
        </w:trPr>
        <w:tc>
          <w:tcPr>
            <w:tcW w:w="3883" w:type="dxa"/>
            <w:tcBorders>
              <w:top w:val="nil"/>
              <w:left w:val="nil"/>
              <w:bottom w:val="nil"/>
              <w:right w:val="nil"/>
            </w:tcBorders>
            <w:shd w:val="clear" w:color="auto" w:fill="FFFFFF"/>
            <w:vAlign w:val="center"/>
            <w:hideMark/>
          </w:tcPr>
          <w:p w14:paraId="24425F9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Building density</w:t>
            </w:r>
          </w:p>
        </w:tc>
        <w:tc>
          <w:tcPr>
            <w:tcW w:w="1104" w:type="dxa"/>
            <w:tcBorders>
              <w:top w:val="nil"/>
              <w:left w:val="nil"/>
              <w:bottom w:val="nil"/>
              <w:right w:val="nil"/>
            </w:tcBorders>
            <w:shd w:val="clear" w:color="auto" w:fill="FFFFFF"/>
            <w:vAlign w:val="center"/>
            <w:hideMark/>
          </w:tcPr>
          <w:p w14:paraId="215956C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7B62077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.692</w:t>
            </w:r>
          </w:p>
        </w:tc>
      </w:tr>
      <w:tr w:rsidR="00BE4AF3" w:rsidRPr="008A0A89" w14:paraId="7231D097" w14:textId="77777777" w:rsidTr="00BE4AF3">
        <w:trPr>
          <w:cantSplit/>
          <w:jc w:val="center"/>
        </w:trPr>
        <w:tc>
          <w:tcPr>
            <w:tcW w:w="3883" w:type="dxa"/>
            <w:tcBorders>
              <w:top w:val="nil"/>
              <w:left w:val="nil"/>
              <w:bottom w:val="nil"/>
              <w:right w:val="nil"/>
            </w:tcBorders>
            <w:shd w:val="clear" w:color="auto" w:fill="FFFFFF"/>
            <w:vAlign w:val="center"/>
            <w:hideMark/>
          </w:tcPr>
          <w:p w14:paraId="08AE3C6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Distance to work</w:t>
            </w:r>
          </w:p>
        </w:tc>
        <w:tc>
          <w:tcPr>
            <w:tcW w:w="1104" w:type="dxa"/>
            <w:tcBorders>
              <w:top w:val="nil"/>
              <w:left w:val="nil"/>
              <w:bottom w:val="nil"/>
              <w:right w:val="nil"/>
            </w:tcBorders>
            <w:shd w:val="clear" w:color="auto" w:fill="FFFFFF"/>
            <w:vAlign w:val="center"/>
            <w:hideMark/>
          </w:tcPr>
          <w:p w14:paraId="1F4F88D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4941890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.702</w:t>
            </w:r>
          </w:p>
        </w:tc>
      </w:tr>
      <w:tr w:rsidR="00BE4AF3" w:rsidRPr="008A0A89" w14:paraId="4DDDCDE4" w14:textId="77777777" w:rsidTr="00BE4AF3">
        <w:trPr>
          <w:cantSplit/>
          <w:jc w:val="center"/>
        </w:trPr>
        <w:tc>
          <w:tcPr>
            <w:tcW w:w="3883" w:type="dxa"/>
            <w:tcBorders>
              <w:top w:val="nil"/>
              <w:left w:val="nil"/>
              <w:bottom w:val="nil"/>
              <w:right w:val="nil"/>
            </w:tcBorders>
            <w:shd w:val="clear" w:color="auto" w:fill="FFFFFF"/>
            <w:vAlign w:val="center"/>
            <w:hideMark/>
          </w:tcPr>
          <w:p w14:paraId="7C1C19E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Cost of going to and fro work</w:t>
            </w:r>
          </w:p>
        </w:tc>
        <w:tc>
          <w:tcPr>
            <w:tcW w:w="1104" w:type="dxa"/>
            <w:tcBorders>
              <w:top w:val="nil"/>
              <w:left w:val="nil"/>
              <w:bottom w:val="nil"/>
              <w:right w:val="nil"/>
            </w:tcBorders>
            <w:shd w:val="clear" w:color="auto" w:fill="FFFFFF"/>
            <w:vAlign w:val="center"/>
            <w:hideMark/>
          </w:tcPr>
          <w:p w14:paraId="5D1AA63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6268144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.758</w:t>
            </w:r>
          </w:p>
        </w:tc>
      </w:tr>
      <w:tr w:rsidR="00BE4AF3" w:rsidRPr="008A0A89" w14:paraId="4E87DE9D" w14:textId="77777777" w:rsidTr="00BE4AF3">
        <w:trPr>
          <w:cantSplit/>
          <w:jc w:val="center"/>
        </w:trPr>
        <w:tc>
          <w:tcPr>
            <w:tcW w:w="3883" w:type="dxa"/>
            <w:tcBorders>
              <w:top w:val="nil"/>
              <w:left w:val="nil"/>
              <w:bottom w:val="nil"/>
              <w:right w:val="nil"/>
            </w:tcBorders>
            <w:shd w:val="clear" w:color="auto" w:fill="FFFFFF"/>
            <w:vAlign w:val="center"/>
            <w:hideMark/>
          </w:tcPr>
          <w:p w14:paraId="51307A3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Accessibility to transport network</w:t>
            </w:r>
          </w:p>
        </w:tc>
        <w:tc>
          <w:tcPr>
            <w:tcW w:w="1104" w:type="dxa"/>
            <w:tcBorders>
              <w:top w:val="nil"/>
              <w:left w:val="nil"/>
              <w:bottom w:val="nil"/>
              <w:right w:val="nil"/>
            </w:tcBorders>
            <w:shd w:val="clear" w:color="auto" w:fill="FFFFFF"/>
            <w:vAlign w:val="center"/>
            <w:hideMark/>
          </w:tcPr>
          <w:p w14:paraId="4BCDA0B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2A9C702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.799</w:t>
            </w:r>
          </w:p>
        </w:tc>
      </w:tr>
      <w:tr w:rsidR="00BE4AF3" w:rsidRPr="008A0A89" w14:paraId="35612F0C" w14:textId="77777777" w:rsidTr="00BE4AF3">
        <w:trPr>
          <w:cantSplit/>
          <w:jc w:val="center"/>
        </w:trPr>
        <w:tc>
          <w:tcPr>
            <w:tcW w:w="3883" w:type="dxa"/>
            <w:tcBorders>
              <w:top w:val="nil"/>
              <w:left w:val="nil"/>
              <w:bottom w:val="nil"/>
              <w:right w:val="nil"/>
            </w:tcBorders>
            <w:shd w:val="clear" w:color="auto" w:fill="FFFFFF"/>
            <w:vAlign w:val="center"/>
            <w:hideMark/>
          </w:tcPr>
          <w:p w14:paraId="4D74015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Available road network</w:t>
            </w:r>
          </w:p>
        </w:tc>
        <w:tc>
          <w:tcPr>
            <w:tcW w:w="1104" w:type="dxa"/>
            <w:tcBorders>
              <w:top w:val="nil"/>
              <w:left w:val="nil"/>
              <w:bottom w:val="nil"/>
              <w:right w:val="nil"/>
            </w:tcBorders>
            <w:shd w:val="clear" w:color="auto" w:fill="FFFFFF"/>
            <w:vAlign w:val="center"/>
            <w:hideMark/>
          </w:tcPr>
          <w:p w14:paraId="7663DA9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6FC6B6D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.691</w:t>
            </w:r>
          </w:p>
        </w:tc>
      </w:tr>
      <w:tr w:rsidR="00BE4AF3" w:rsidRPr="008A0A89" w14:paraId="29FEC8C9" w14:textId="77777777" w:rsidTr="00BE4AF3">
        <w:trPr>
          <w:cantSplit/>
          <w:jc w:val="center"/>
        </w:trPr>
        <w:tc>
          <w:tcPr>
            <w:tcW w:w="3883" w:type="dxa"/>
            <w:tcBorders>
              <w:top w:val="nil"/>
              <w:left w:val="nil"/>
              <w:bottom w:val="nil"/>
              <w:right w:val="nil"/>
            </w:tcBorders>
            <w:shd w:val="clear" w:color="auto" w:fill="FFFFFF"/>
            <w:vAlign w:val="center"/>
            <w:hideMark/>
          </w:tcPr>
          <w:p w14:paraId="6C56AA3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Road condition</w:t>
            </w:r>
          </w:p>
        </w:tc>
        <w:tc>
          <w:tcPr>
            <w:tcW w:w="1104" w:type="dxa"/>
            <w:tcBorders>
              <w:top w:val="nil"/>
              <w:left w:val="nil"/>
              <w:bottom w:val="nil"/>
              <w:right w:val="nil"/>
            </w:tcBorders>
            <w:shd w:val="clear" w:color="auto" w:fill="FFFFFF"/>
            <w:vAlign w:val="center"/>
            <w:hideMark/>
          </w:tcPr>
          <w:p w14:paraId="53CCC51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71B0E2E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.824</w:t>
            </w:r>
          </w:p>
        </w:tc>
      </w:tr>
      <w:tr w:rsidR="00BE4AF3" w:rsidRPr="008A0A89" w14:paraId="37DA2930" w14:textId="77777777" w:rsidTr="00BE4AF3">
        <w:trPr>
          <w:cantSplit/>
          <w:jc w:val="center"/>
        </w:trPr>
        <w:tc>
          <w:tcPr>
            <w:tcW w:w="3883" w:type="dxa"/>
            <w:tcBorders>
              <w:top w:val="nil"/>
              <w:left w:val="nil"/>
              <w:bottom w:val="nil"/>
              <w:right w:val="nil"/>
            </w:tcBorders>
            <w:shd w:val="clear" w:color="auto" w:fill="FFFFFF"/>
            <w:vAlign w:val="center"/>
            <w:hideMark/>
          </w:tcPr>
          <w:p w14:paraId="2E69987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Traffic density</w:t>
            </w:r>
          </w:p>
        </w:tc>
        <w:tc>
          <w:tcPr>
            <w:tcW w:w="1104" w:type="dxa"/>
            <w:tcBorders>
              <w:top w:val="nil"/>
              <w:left w:val="nil"/>
              <w:bottom w:val="nil"/>
              <w:right w:val="nil"/>
            </w:tcBorders>
            <w:shd w:val="clear" w:color="auto" w:fill="FFFFFF"/>
            <w:vAlign w:val="center"/>
            <w:hideMark/>
          </w:tcPr>
          <w:p w14:paraId="240AF81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53DBF1D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.836</w:t>
            </w:r>
          </w:p>
        </w:tc>
      </w:tr>
      <w:tr w:rsidR="00BE4AF3" w:rsidRPr="008A0A89" w14:paraId="14629C25" w14:textId="77777777" w:rsidTr="00BE4AF3">
        <w:trPr>
          <w:cantSplit/>
          <w:jc w:val="center"/>
        </w:trPr>
        <w:tc>
          <w:tcPr>
            <w:tcW w:w="3883" w:type="dxa"/>
            <w:tcBorders>
              <w:top w:val="nil"/>
              <w:left w:val="nil"/>
              <w:bottom w:val="nil"/>
              <w:right w:val="nil"/>
            </w:tcBorders>
            <w:shd w:val="clear" w:color="auto" w:fill="FFFFFF"/>
            <w:vAlign w:val="center"/>
            <w:hideMark/>
          </w:tcPr>
          <w:p w14:paraId="476AECF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Road safety/pedestrian safety</w:t>
            </w:r>
          </w:p>
        </w:tc>
        <w:tc>
          <w:tcPr>
            <w:tcW w:w="1104" w:type="dxa"/>
            <w:tcBorders>
              <w:top w:val="nil"/>
              <w:left w:val="nil"/>
              <w:bottom w:val="nil"/>
              <w:right w:val="nil"/>
            </w:tcBorders>
            <w:shd w:val="clear" w:color="auto" w:fill="FFFFFF"/>
            <w:vAlign w:val="center"/>
            <w:hideMark/>
          </w:tcPr>
          <w:p w14:paraId="6C122B2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100E6C6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.760</w:t>
            </w:r>
          </w:p>
        </w:tc>
      </w:tr>
      <w:tr w:rsidR="00BE4AF3" w:rsidRPr="008A0A89" w14:paraId="584AEAFB" w14:textId="77777777" w:rsidTr="00BE4AF3">
        <w:trPr>
          <w:cantSplit/>
          <w:jc w:val="center"/>
        </w:trPr>
        <w:tc>
          <w:tcPr>
            <w:tcW w:w="3883" w:type="dxa"/>
            <w:tcBorders>
              <w:top w:val="nil"/>
              <w:left w:val="nil"/>
              <w:bottom w:val="nil"/>
              <w:right w:val="nil"/>
            </w:tcBorders>
            <w:shd w:val="clear" w:color="auto" w:fill="FFFFFF"/>
            <w:vAlign w:val="center"/>
            <w:hideMark/>
          </w:tcPr>
          <w:p w14:paraId="260CE54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Available Drainage</w:t>
            </w:r>
          </w:p>
        </w:tc>
        <w:tc>
          <w:tcPr>
            <w:tcW w:w="1104" w:type="dxa"/>
            <w:tcBorders>
              <w:top w:val="nil"/>
              <w:left w:val="nil"/>
              <w:bottom w:val="nil"/>
              <w:right w:val="nil"/>
            </w:tcBorders>
            <w:shd w:val="clear" w:color="auto" w:fill="FFFFFF"/>
            <w:vAlign w:val="center"/>
            <w:hideMark/>
          </w:tcPr>
          <w:p w14:paraId="57C574B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4D1C789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.781</w:t>
            </w:r>
          </w:p>
        </w:tc>
      </w:tr>
      <w:tr w:rsidR="00BE4AF3" w:rsidRPr="008A0A89" w14:paraId="10664E74" w14:textId="77777777" w:rsidTr="00BE4AF3">
        <w:trPr>
          <w:cantSplit/>
          <w:jc w:val="center"/>
        </w:trPr>
        <w:tc>
          <w:tcPr>
            <w:tcW w:w="3883" w:type="dxa"/>
            <w:tcBorders>
              <w:top w:val="nil"/>
              <w:left w:val="nil"/>
              <w:bottom w:val="nil"/>
              <w:right w:val="nil"/>
            </w:tcBorders>
            <w:shd w:val="clear" w:color="auto" w:fill="FFFFFF"/>
            <w:vAlign w:val="center"/>
            <w:hideMark/>
          </w:tcPr>
          <w:p w14:paraId="4D258CE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Environmental Sanitation</w:t>
            </w:r>
          </w:p>
        </w:tc>
        <w:tc>
          <w:tcPr>
            <w:tcW w:w="1104" w:type="dxa"/>
            <w:tcBorders>
              <w:top w:val="nil"/>
              <w:left w:val="nil"/>
              <w:bottom w:val="nil"/>
              <w:right w:val="nil"/>
            </w:tcBorders>
            <w:shd w:val="clear" w:color="auto" w:fill="FFFFFF"/>
            <w:vAlign w:val="center"/>
            <w:hideMark/>
          </w:tcPr>
          <w:p w14:paraId="349A6A9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22F79D9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.896</w:t>
            </w:r>
          </w:p>
        </w:tc>
      </w:tr>
      <w:tr w:rsidR="00BE4AF3" w:rsidRPr="008A0A89" w14:paraId="6A95F585" w14:textId="77777777" w:rsidTr="00BE4AF3">
        <w:trPr>
          <w:cantSplit/>
          <w:jc w:val="center"/>
        </w:trPr>
        <w:tc>
          <w:tcPr>
            <w:tcW w:w="3883" w:type="dxa"/>
            <w:tcBorders>
              <w:top w:val="nil"/>
              <w:left w:val="nil"/>
              <w:bottom w:val="nil"/>
              <w:right w:val="nil"/>
            </w:tcBorders>
            <w:shd w:val="clear" w:color="auto" w:fill="FFFFFF"/>
            <w:vAlign w:val="center"/>
            <w:hideMark/>
          </w:tcPr>
          <w:p w14:paraId="3FDC776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Waste disposal facility</w:t>
            </w:r>
          </w:p>
        </w:tc>
        <w:tc>
          <w:tcPr>
            <w:tcW w:w="1104" w:type="dxa"/>
            <w:tcBorders>
              <w:top w:val="nil"/>
              <w:left w:val="nil"/>
              <w:bottom w:val="nil"/>
              <w:right w:val="nil"/>
            </w:tcBorders>
            <w:shd w:val="clear" w:color="auto" w:fill="FFFFFF"/>
            <w:vAlign w:val="center"/>
            <w:hideMark/>
          </w:tcPr>
          <w:p w14:paraId="07DCA9C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3769A2C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.820</w:t>
            </w:r>
          </w:p>
        </w:tc>
      </w:tr>
      <w:tr w:rsidR="00BE4AF3" w:rsidRPr="008A0A89" w14:paraId="41D7D04B" w14:textId="77777777" w:rsidTr="00BE4AF3">
        <w:trPr>
          <w:cantSplit/>
          <w:jc w:val="center"/>
        </w:trPr>
        <w:tc>
          <w:tcPr>
            <w:tcW w:w="3883" w:type="dxa"/>
            <w:tcBorders>
              <w:top w:val="nil"/>
              <w:left w:val="nil"/>
              <w:bottom w:val="nil"/>
              <w:right w:val="nil"/>
            </w:tcBorders>
            <w:shd w:val="clear" w:color="auto" w:fill="FFFFFF"/>
            <w:vAlign w:val="center"/>
            <w:hideMark/>
          </w:tcPr>
          <w:p w14:paraId="15F8D1A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Amount paid for waste disposal</w:t>
            </w:r>
          </w:p>
        </w:tc>
        <w:tc>
          <w:tcPr>
            <w:tcW w:w="1104" w:type="dxa"/>
            <w:tcBorders>
              <w:top w:val="nil"/>
              <w:left w:val="nil"/>
              <w:bottom w:val="nil"/>
              <w:right w:val="nil"/>
            </w:tcBorders>
            <w:shd w:val="clear" w:color="auto" w:fill="FFFFFF"/>
            <w:vAlign w:val="center"/>
            <w:hideMark/>
          </w:tcPr>
          <w:p w14:paraId="058EA69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4C99C2E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.858</w:t>
            </w:r>
          </w:p>
        </w:tc>
      </w:tr>
      <w:tr w:rsidR="00BE4AF3" w:rsidRPr="008A0A89" w14:paraId="0B575A00" w14:textId="77777777" w:rsidTr="00BE4AF3">
        <w:trPr>
          <w:cantSplit/>
          <w:jc w:val="center"/>
        </w:trPr>
        <w:tc>
          <w:tcPr>
            <w:tcW w:w="3883" w:type="dxa"/>
            <w:tcBorders>
              <w:top w:val="nil"/>
              <w:left w:val="nil"/>
              <w:bottom w:val="nil"/>
              <w:right w:val="nil"/>
            </w:tcBorders>
            <w:shd w:val="clear" w:color="auto" w:fill="FFFFFF"/>
            <w:vAlign w:val="center"/>
            <w:hideMark/>
          </w:tcPr>
          <w:p w14:paraId="0F5EB10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Availability to recreational space</w:t>
            </w:r>
          </w:p>
        </w:tc>
        <w:tc>
          <w:tcPr>
            <w:tcW w:w="1104" w:type="dxa"/>
            <w:tcBorders>
              <w:top w:val="nil"/>
              <w:left w:val="nil"/>
              <w:bottom w:val="nil"/>
              <w:right w:val="nil"/>
            </w:tcBorders>
            <w:shd w:val="clear" w:color="auto" w:fill="FFFFFF"/>
            <w:vAlign w:val="center"/>
            <w:hideMark/>
          </w:tcPr>
          <w:p w14:paraId="3EBB177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2A7FFE9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.892</w:t>
            </w:r>
          </w:p>
        </w:tc>
      </w:tr>
      <w:tr w:rsidR="00BE4AF3" w:rsidRPr="008A0A89" w14:paraId="626882FB" w14:textId="77777777" w:rsidTr="00BE4AF3">
        <w:trPr>
          <w:cantSplit/>
          <w:jc w:val="center"/>
        </w:trPr>
        <w:tc>
          <w:tcPr>
            <w:tcW w:w="3883" w:type="dxa"/>
            <w:tcBorders>
              <w:top w:val="nil"/>
              <w:left w:val="nil"/>
              <w:bottom w:val="nil"/>
              <w:right w:val="nil"/>
            </w:tcBorders>
            <w:shd w:val="clear" w:color="auto" w:fill="FFFFFF"/>
            <w:vAlign w:val="center"/>
            <w:hideMark/>
          </w:tcPr>
          <w:p w14:paraId="312475B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Available Open space/Green area</w:t>
            </w:r>
          </w:p>
        </w:tc>
        <w:tc>
          <w:tcPr>
            <w:tcW w:w="1104" w:type="dxa"/>
            <w:tcBorders>
              <w:top w:val="nil"/>
              <w:left w:val="nil"/>
              <w:bottom w:val="nil"/>
              <w:right w:val="nil"/>
            </w:tcBorders>
            <w:shd w:val="clear" w:color="auto" w:fill="FFFFFF"/>
            <w:vAlign w:val="center"/>
            <w:hideMark/>
          </w:tcPr>
          <w:p w14:paraId="5EC58EE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5C090DE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.880</w:t>
            </w:r>
          </w:p>
        </w:tc>
      </w:tr>
      <w:tr w:rsidR="00BE4AF3" w:rsidRPr="008A0A89" w14:paraId="0486BABB" w14:textId="77777777" w:rsidTr="00BE4AF3">
        <w:trPr>
          <w:cantSplit/>
          <w:jc w:val="center"/>
        </w:trPr>
        <w:tc>
          <w:tcPr>
            <w:tcW w:w="3883" w:type="dxa"/>
            <w:tcBorders>
              <w:top w:val="nil"/>
              <w:left w:val="nil"/>
              <w:bottom w:val="nil"/>
              <w:right w:val="nil"/>
            </w:tcBorders>
            <w:shd w:val="clear" w:color="auto" w:fill="FFFFFF"/>
            <w:vAlign w:val="center"/>
            <w:hideMark/>
          </w:tcPr>
          <w:p w14:paraId="5E75CC5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Privacy in your home</w:t>
            </w:r>
          </w:p>
        </w:tc>
        <w:tc>
          <w:tcPr>
            <w:tcW w:w="1104" w:type="dxa"/>
            <w:tcBorders>
              <w:top w:val="nil"/>
              <w:left w:val="nil"/>
              <w:bottom w:val="nil"/>
              <w:right w:val="nil"/>
            </w:tcBorders>
            <w:shd w:val="clear" w:color="auto" w:fill="FFFFFF"/>
            <w:vAlign w:val="center"/>
            <w:hideMark/>
          </w:tcPr>
          <w:p w14:paraId="682E35A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4FCCF2A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.836</w:t>
            </w:r>
          </w:p>
        </w:tc>
      </w:tr>
      <w:tr w:rsidR="00BE4AF3" w:rsidRPr="008A0A89" w14:paraId="699219D4" w14:textId="77777777" w:rsidTr="00BE4AF3">
        <w:trPr>
          <w:cantSplit/>
          <w:jc w:val="center"/>
        </w:trPr>
        <w:tc>
          <w:tcPr>
            <w:tcW w:w="3883" w:type="dxa"/>
            <w:tcBorders>
              <w:top w:val="nil"/>
              <w:left w:val="nil"/>
              <w:bottom w:val="nil"/>
              <w:right w:val="nil"/>
            </w:tcBorders>
            <w:shd w:val="clear" w:color="auto" w:fill="FFFFFF"/>
            <w:vAlign w:val="center"/>
            <w:hideMark/>
          </w:tcPr>
          <w:p w14:paraId="3FB6504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lastRenderedPageBreak/>
              <w:t>Privacy in your neighbourhood</w:t>
            </w:r>
          </w:p>
        </w:tc>
        <w:tc>
          <w:tcPr>
            <w:tcW w:w="1104" w:type="dxa"/>
            <w:tcBorders>
              <w:top w:val="nil"/>
              <w:left w:val="nil"/>
              <w:bottom w:val="nil"/>
              <w:right w:val="nil"/>
            </w:tcBorders>
            <w:shd w:val="clear" w:color="auto" w:fill="FFFFFF"/>
            <w:vAlign w:val="center"/>
            <w:hideMark/>
          </w:tcPr>
          <w:p w14:paraId="5032A46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41DA2A3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.765</w:t>
            </w:r>
          </w:p>
        </w:tc>
      </w:tr>
      <w:tr w:rsidR="00BE4AF3" w:rsidRPr="008A0A89" w14:paraId="69A4AC05" w14:textId="77777777" w:rsidTr="00BE4AF3">
        <w:trPr>
          <w:cantSplit/>
          <w:jc w:val="center"/>
        </w:trPr>
        <w:tc>
          <w:tcPr>
            <w:tcW w:w="3883" w:type="dxa"/>
            <w:tcBorders>
              <w:top w:val="nil"/>
              <w:left w:val="nil"/>
              <w:bottom w:val="nil"/>
              <w:right w:val="nil"/>
            </w:tcBorders>
            <w:shd w:val="clear" w:color="auto" w:fill="FFFFFF"/>
            <w:vAlign w:val="center"/>
            <w:hideMark/>
          </w:tcPr>
          <w:p w14:paraId="24F5CD6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Accessibility to economic opportunities</w:t>
            </w:r>
          </w:p>
        </w:tc>
        <w:tc>
          <w:tcPr>
            <w:tcW w:w="1104" w:type="dxa"/>
            <w:tcBorders>
              <w:top w:val="nil"/>
              <w:left w:val="nil"/>
              <w:bottom w:val="nil"/>
              <w:right w:val="nil"/>
            </w:tcBorders>
            <w:shd w:val="clear" w:color="auto" w:fill="FFFFFF"/>
            <w:vAlign w:val="center"/>
            <w:hideMark/>
          </w:tcPr>
          <w:p w14:paraId="04D5DE2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1BB77F8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.756</w:t>
            </w:r>
          </w:p>
        </w:tc>
      </w:tr>
      <w:tr w:rsidR="00BE4AF3" w:rsidRPr="008A0A89" w14:paraId="30FCBA05" w14:textId="77777777" w:rsidTr="00BE4AF3">
        <w:trPr>
          <w:cantSplit/>
          <w:jc w:val="center"/>
        </w:trPr>
        <w:tc>
          <w:tcPr>
            <w:tcW w:w="3883" w:type="dxa"/>
            <w:tcBorders>
              <w:top w:val="nil"/>
              <w:left w:val="nil"/>
              <w:bottom w:val="nil"/>
              <w:right w:val="nil"/>
            </w:tcBorders>
            <w:shd w:val="clear" w:color="auto" w:fill="FFFFFF"/>
            <w:vAlign w:val="center"/>
            <w:hideMark/>
          </w:tcPr>
          <w:p w14:paraId="6D68225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Availability of market</w:t>
            </w:r>
          </w:p>
        </w:tc>
        <w:tc>
          <w:tcPr>
            <w:tcW w:w="1104" w:type="dxa"/>
            <w:tcBorders>
              <w:top w:val="nil"/>
              <w:left w:val="nil"/>
              <w:bottom w:val="nil"/>
              <w:right w:val="nil"/>
            </w:tcBorders>
            <w:shd w:val="clear" w:color="auto" w:fill="FFFFFF"/>
            <w:vAlign w:val="center"/>
            <w:hideMark/>
          </w:tcPr>
          <w:p w14:paraId="4EF969D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515E7D6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.754</w:t>
            </w:r>
          </w:p>
        </w:tc>
      </w:tr>
      <w:tr w:rsidR="00BE4AF3" w:rsidRPr="008A0A89" w14:paraId="03E8371A" w14:textId="77777777" w:rsidTr="00BE4AF3">
        <w:trPr>
          <w:cantSplit/>
          <w:jc w:val="center"/>
        </w:trPr>
        <w:tc>
          <w:tcPr>
            <w:tcW w:w="3883" w:type="dxa"/>
            <w:tcBorders>
              <w:top w:val="nil"/>
              <w:left w:val="nil"/>
              <w:bottom w:val="nil"/>
              <w:right w:val="nil"/>
            </w:tcBorders>
            <w:shd w:val="clear" w:color="auto" w:fill="FFFFFF"/>
            <w:vAlign w:val="center"/>
            <w:hideMark/>
          </w:tcPr>
          <w:p w14:paraId="6A792C1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Availability of shops</w:t>
            </w:r>
          </w:p>
        </w:tc>
        <w:tc>
          <w:tcPr>
            <w:tcW w:w="1104" w:type="dxa"/>
            <w:tcBorders>
              <w:top w:val="nil"/>
              <w:left w:val="nil"/>
              <w:bottom w:val="nil"/>
              <w:right w:val="nil"/>
            </w:tcBorders>
            <w:shd w:val="clear" w:color="auto" w:fill="FFFFFF"/>
            <w:vAlign w:val="center"/>
            <w:hideMark/>
          </w:tcPr>
          <w:p w14:paraId="459DDCE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5431572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.809</w:t>
            </w:r>
          </w:p>
        </w:tc>
      </w:tr>
      <w:tr w:rsidR="00BE4AF3" w:rsidRPr="008A0A89" w14:paraId="78B7A7CC" w14:textId="77777777" w:rsidTr="00BE4AF3">
        <w:trPr>
          <w:cantSplit/>
          <w:jc w:val="center"/>
        </w:trPr>
        <w:tc>
          <w:tcPr>
            <w:tcW w:w="3883" w:type="dxa"/>
            <w:tcBorders>
              <w:top w:val="nil"/>
              <w:left w:val="nil"/>
              <w:bottom w:val="nil"/>
              <w:right w:val="nil"/>
            </w:tcBorders>
            <w:shd w:val="clear" w:color="auto" w:fill="FFFFFF"/>
            <w:vAlign w:val="center"/>
            <w:hideMark/>
          </w:tcPr>
          <w:p w14:paraId="7E96971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Crime rate (Security)</w:t>
            </w:r>
          </w:p>
        </w:tc>
        <w:tc>
          <w:tcPr>
            <w:tcW w:w="1104" w:type="dxa"/>
            <w:tcBorders>
              <w:top w:val="nil"/>
              <w:left w:val="nil"/>
              <w:bottom w:val="nil"/>
              <w:right w:val="nil"/>
            </w:tcBorders>
            <w:shd w:val="clear" w:color="auto" w:fill="FFFFFF"/>
            <w:vAlign w:val="center"/>
            <w:hideMark/>
          </w:tcPr>
          <w:p w14:paraId="722E50F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75E54C9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.657</w:t>
            </w:r>
          </w:p>
        </w:tc>
      </w:tr>
      <w:tr w:rsidR="00BE4AF3" w:rsidRPr="008A0A89" w14:paraId="3EB61400" w14:textId="77777777" w:rsidTr="00BE4AF3">
        <w:trPr>
          <w:cantSplit/>
          <w:jc w:val="center"/>
        </w:trPr>
        <w:tc>
          <w:tcPr>
            <w:tcW w:w="3883" w:type="dxa"/>
            <w:tcBorders>
              <w:top w:val="nil"/>
              <w:left w:val="nil"/>
              <w:bottom w:val="nil"/>
              <w:right w:val="nil"/>
            </w:tcBorders>
            <w:shd w:val="clear" w:color="auto" w:fill="FFFFFF"/>
            <w:vAlign w:val="center"/>
            <w:hideMark/>
          </w:tcPr>
          <w:p w14:paraId="38AD3BD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Nearness to primary school</w:t>
            </w:r>
          </w:p>
        </w:tc>
        <w:tc>
          <w:tcPr>
            <w:tcW w:w="1104" w:type="dxa"/>
            <w:tcBorders>
              <w:top w:val="nil"/>
              <w:left w:val="nil"/>
              <w:bottom w:val="nil"/>
              <w:right w:val="nil"/>
            </w:tcBorders>
            <w:shd w:val="clear" w:color="auto" w:fill="FFFFFF"/>
            <w:vAlign w:val="center"/>
            <w:hideMark/>
          </w:tcPr>
          <w:p w14:paraId="68DC7A6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6D505AB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.814</w:t>
            </w:r>
          </w:p>
        </w:tc>
      </w:tr>
      <w:tr w:rsidR="00BE4AF3" w:rsidRPr="008A0A89" w14:paraId="0F3972DE" w14:textId="77777777" w:rsidTr="00BE4AF3">
        <w:trPr>
          <w:cantSplit/>
          <w:jc w:val="center"/>
        </w:trPr>
        <w:tc>
          <w:tcPr>
            <w:tcW w:w="3883" w:type="dxa"/>
            <w:tcBorders>
              <w:top w:val="nil"/>
              <w:left w:val="nil"/>
              <w:bottom w:val="nil"/>
              <w:right w:val="nil"/>
            </w:tcBorders>
            <w:shd w:val="clear" w:color="auto" w:fill="FFFFFF"/>
            <w:vAlign w:val="center"/>
            <w:hideMark/>
          </w:tcPr>
          <w:p w14:paraId="6A2A09E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Nearness to secondary school</w:t>
            </w:r>
          </w:p>
        </w:tc>
        <w:tc>
          <w:tcPr>
            <w:tcW w:w="1104" w:type="dxa"/>
            <w:tcBorders>
              <w:top w:val="nil"/>
              <w:left w:val="nil"/>
              <w:bottom w:val="nil"/>
              <w:right w:val="nil"/>
            </w:tcBorders>
            <w:shd w:val="clear" w:color="auto" w:fill="FFFFFF"/>
            <w:vAlign w:val="center"/>
            <w:hideMark/>
          </w:tcPr>
          <w:p w14:paraId="69CAF52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2A2CAEC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.802</w:t>
            </w:r>
          </w:p>
        </w:tc>
      </w:tr>
      <w:tr w:rsidR="00BE4AF3" w:rsidRPr="008A0A89" w14:paraId="6AD04B7F" w14:textId="77777777" w:rsidTr="00BE4AF3">
        <w:trPr>
          <w:cantSplit/>
          <w:jc w:val="center"/>
        </w:trPr>
        <w:tc>
          <w:tcPr>
            <w:tcW w:w="3883" w:type="dxa"/>
            <w:tcBorders>
              <w:top w:val="nil"/>
              <w:left w:val="nil"/>
              <w:bottom w:val="nil"/>
              <w:right w:val="nil"/>
            </w:tcBorders>
            <w:shd w:val="clear" w:color="auto" w:fill="FFFFFF"/>
            <w:vAlign w:val="center"/>
            <w:hideMark/>
          </w:tcPr>
          <w:p w14:paraId="29F8641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Nearness to health facilities</w:t>
            </w:r>
          </w:p>
        </w:tc>
        <w:tc>
          <w:tcPr>
            <w:tcW w:w="1104" w:type="dxa"/>
            <w:tcBorders>
              <w:top w:val="nil"/>
              <w:left w:val="nil"/>
              <w:bottom w:val="nil"/>
              <w:right w:val="nil"/>
            </w:tcBorders>
            <w:shd w:val="clear" w:color="auto" w:fill="FFFFFF"/>
            <w:vAlign w:val="center"/>
            <w:hideMark/>
          </w:tcPr>
          <w:p w14:paraId="3923F3E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3351F92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.703</w:t>
            </w:r>
          </w:p>
        </w:tc>
      </w:tr>
      <w:tr w:rsidR="00BE4AF3" w:rsidRPr="008A0A89" w14:paraId="2F7613EC" w14:textId="77777777" w:rsidTr="00BE4AF3">
        <w:trPr>
          <w:cantSplit/>
          <w:jc w:val="center"/>
        </w:trPr>
        <w:tc>
          <w:tcPr>
            <w:tcW w:w="3883" w:type="dxa"/>
            <w:tcBorders>
              <w:top w:val="nil"/>
              <w:left w:val="nil"/>
              <w:bottom w:val="nil"/>
              <w:right w:val="nil"/>
            </w:tcBorders>
            <w:shd w:val="clear" w:color="auto" w:fill="FFFFFF"/>
            <w:vAlign w:val="center"/>
            <w:hideMark/>
          </w:tcPr>
          <w:p w14:paraId="53ED2A6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Social interaction among neighbours</w:t>
            </w:r>
          </w:p>
        </w:tc>
        <w:tc>
          <w:tcPr>
            <w:tcW w:w="1104" w:type="dxa"/>
            <w:tcBorders>
              <w:top w:val="nil"/>
              <w:left w:val="nil"/>
              <w:bottom w:val="nil"/>
              <w:right w:val="nil"/>
            </w:tcBorders>
            <w:shd w:val="clear" w:color="auto" w:fill="FFFFFF"/>
            <w:vAlign w:val="center"/>
            <w:hideMark/>
          </w:tcPr>
          <w:p w14:paraId="4C81184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0F8D014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.697</w:t>
            </w:r>
          </w:p>
        </w:tc>
      </w:tr>
      <w:tr w:rsidR="00BE4AF3" w:rsidRPr="008A0A89" w14:paraId="5D5CE461" w14:textId="77777777" w:rsidTr="00BE4AF3">
        <w:trPr>
          <w:cantSplit/>
          <w:jc w:val="center"/>
        </w:trPr>
        <w:tc>
          <w:tcPr>
            <w:tcW w:w="3883" w:type="dxa"/>
            <w:tcBorders>
              <w:top w:val="nil"/>
              <w:left w:val="nil"/>
              <w:bottom w:val="nil"/>
              <w:right w:val="nil"/>
            </w:tcBorders>
            <w:shd w:val="clear" w:color="auto" w:fill="FFFFFF"/>
            <w:vAlign w:val="center"/>
            <w:hideMark/>
          </w:tcPr>
          <w:p w14:paraId="5FE7217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Cost of food</w:t>
            </w:r>
          </w:p>
        </w:tc>
        <w:tc>
          <w:tcPr>
            <w:tcW w:w="1104" w:type="dxa"/>
            <w:tcBorders>
              <w:top w:val="nil"/>
              <w:left w:val="nil"/>
              <w:bottom w:val="nil"/>
              <w:right w:val="nil"/>
            </w:tcBorders>
            <w:shd w:val="clear" w:color="auto" w:fill="FFFFFF"/>
            <w:vAlign w:val="center"/>
            <w:hideMark/>
          </w:tcPr>
          <w:p w14:paraId="40FCDA0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3F45370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.872</w:t>
            </w:r>
          </w:p>
        </w:tc>
      </w:tr>
      <w:tr w:rsidR="00BE4AF3" w:rsidRPr="008A0A89" w14:paraId="4E386478" w14:textId="77777777" w:rsidTr="00BE4AF3">
        <w:trPr>
          <w:cantSplit/>
          <w:jc w:val="center"/>
        </w:trPr>
        <w:tc>
          <w:tcPr>
            <w:tcW w:w="3883" w:type="dxa"/>
            <w:tcBorders>
              <w:top w:val="nil"/>
              <w:left w:val="nil"/>
              <w:bottom w:val="nil"/>
              <w:right w:val="nil"/>
            </w:tcBorders>
            <w:shd w:val="clear" w:color="auto" w:fill="FFFFFF"/>
            <w:vAlign w:val="center"/>
            <w:hideMark/>
          </w:tcPr>
          <w:p w14:paraId="4FB2391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Cost of living</w:t>
            </w:r>
          </w:p>
        </w:tc>
        <w:tc>
          <w:tcPr>
            <w:tcW w:w="1104" w:type="dxa"/>
            <w:tcBorders>
              <w:top w:val="nil"/>
              <w:left w:val="nil"/>
              <w:bottom w:val="nil"/>
              <w:right w:val="nil"/>
            </w:tcBorders>
            <w:shd w:val="clear" w:color="auto" w:fill="FFFFFF"/>
            <w:vAlign w:val="center"/>
            <w:hideMark/>
          </w:tcPr>
          <w:p w14:paraId="0345687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18C4BAA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.822</w:t>
            </w:r>
          </w:p>
        </w:tc>
      </w:tr>
      <w:tr w:rsidR="00BE4AF3" w:rsidRPr="008A0A89" w14:paraId="7FB94937" w14:textId="77777777" w:rsidTr="00BE4AF3">
        <w:trPr>
          <w:cantSplit/>
          <w:jc w:val="center"/>
        </w:trPr>
        <w:tc>
          <w:tcPr>
            <w:tcW w:w="3883" w:type="dxa"/>
            <w:tcBorders>
              <w:top w:val="nil"/>
              <w:left w:val="nil"/>
              <w:bottom w:val="nil"/>
              <w:right w:val="nil"/>
            </w:tcBorders>
            <w:shd w:val="clear" w:color="auto" w:fill="FFFFFF"/>
            <w:vAlign w:val="center"/>
            <w:hideMark/>
          </w:tcPr>
          <w:p w14:paraId="64731FF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Cost of Rent</w:t>
            </w:r>
          </w:p>
        </w:tc>
        <w:tc>
          <w:tcPr>
            <w:tcW w:w="1104" w:type="dxa"/>
            <w:tcBorders>
              <w:top w:val="nil"/>
              <w:left w:val="nil"/>
              <w:bottom w:val="nil"/>
              <w:right w:val="nil"/>
            </w:tcBorders>
            <w:shd w:val="clear" w:color="auto" w:fill="FFFFFF"/>
            <w:vAlign w:val="center"/>
            <w:hideMark/>
          </w:tcPr>
          <w:p w14:paraId="2F9F294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07FFE9C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.752</w:t>
            </w:r>
          </w:p>
        </w:tc>
      </w:tr>
      <w:tr w:rsidR="00BE4AF3" w:rsidRPr="008A0A89" w14:paraId="1C3B3919" w14:textId="77777777" w:rsidTr="00BE4AF3">
        <w:trPr>
          <w:cantSplit/>
          <w:jc w:val="center"/>
        </w:trPr>
        <w:tc>
          <w:tcPr>
            <w:tcW w:w="3883" w:type="dxa"/>
            <w:tcBorders>
              <w:top w:val="nil"/>
              <w:left w:val="nil"/>
              <w:bottom w:val="nil"/>
              <w:right w:val="nil"/>
            </w:tcBorders>
            <w:shd w:val="clear" w:color="auto" w:fill="FFFFFF"/>
            <w:vAlign w:val="center"/>
            <w:hideMark/>
          </w:tcPr>
          <w:p w14:paraId="023ACAD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Aesthetic quality of the environment</w:t>
            </w:r>
          </w:p>
        </w:tc>
        <w:tc>
          <w:tcPr>
            <w:tcW w:w="1104" w:type="dxa"/>
            <w:tcBorders>
              <w:top w:val="nil"/>
              <w:left w:val="nil"/>
              <w:bottom w:val="nil"/>
              <w:right w:val="nil"/>
            </w:tcBorders>
            <w:shd w:val="clear" w:color="auto" w:fill="FFFFFF"/>
            <w:vAlign w:val="center"/>
            <w:hideMark/>
          </w:tcPr>
          <w:p w14:paraId="2483E6A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7333907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.772</w:t>
            </w:r>
          </w:p>
        </w:tc>
      </w:tr>
      <w:tr w:rsidR="00BE4AF3" w:rsidRPr="008A0A89" w14:paraId="264C3E43" w14:textId="77777777" w:rsidTr="00BE4AF3">
        <w:trPr>
          <w:cantSplit/>
          <w:jc w:val="center"/>
        </w:trPr>
        <w:tc>
          <w:tcPr>
            <w:tcW w:w="3883" w:type="dxa"/>
            <w:tcBorders>
              <w:top w:val="nil"/>
              <w:left w:val="nil"/>
              <w:bottom w:val="nil"/>
              <w:right w:val="nil"/>
            </w:tcBorders>
            <w:shd w:val="clear" w:color="auto" w:fill="FFFFFF"/>
            <w:vAlign w:val="center"/>
            <w:hideMark/>
          </w:tcPr>
          <w:p w14:paraId="270A295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Degree of noise pollution</w:t>
            </w:r>
          </w:p>
        </w:tc>
        <w:tc>
          <w:tcPr>
            <w:tcW w:w="1104" w:type="dxa"/>
            <w:tcBorders>
              <w:top w:val="nil"/>
              <w:left w:val="nil"/>
              <w:bottom w:val="nil"/>
              <w:right w:val="nil"/>
            </w:tcBorders>
            <w:shd w:val="clear" w:color="auto" w:fill="FFFFFF"/>
            <w:vAlign w:val="center"/>
            <w:hideMark/>
          </w:tcPr>
          <w:p w14:paraId="4BE1678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214D1C8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.786</w:t>
            </w:r>
          </w:p>
        </w:tc>
      </w:tr>
      <w:tr w:rsidR="00BE4AF3" w:rsidRPr="008A0A89" w14:paraId="67F2C35D" w14:textId="77777777" w:rsidTr="00BE4AF3">
        <w:trPr>
          <w:cantSplit/>
          <w:jc w:val="center"/>
        </w:trPr>
        <w:tc>
          <w:tcPr>
            <w:tcW w:w="3883" w:type="dxa"/>
            <w:tcBorders>
              <w:top w:val="nil"/>
              <w:left w:val="nil"/>
              <w:bottom w:val="nil"/>
              <w:right w:val="nil"/>
            </w:tcBorders>
            <w:shd w:val="clear" w:color="auto" w:fill="FFFFFF"/>
            <w:vAlign w:val="center"/>
            <w:hideMark/>
          </w:tcPr>
          <w:p w14:paraId="55FD544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Degree of air pollution</w:t>
            </w:r>
          </w:p>
        </w:tc>
        <w:tc>
          <w:tcPr>
            <w:tcW w:w="1104" w:type="dxa"/>
            <w:tcBorders>
              <w:top w:val="nil"/>
              <w:left w:val="nil"/>
              <w:bottom w:val="nil"/>
              <w:right w:val="nil"/>
            </w:tcBorders>
            <w:shd w:val="clear" w:color="auto" w:fill="FFFFFF"/>
            <w:vAlign w:val="center"/>
            <w:hideMark/>
          </w:tcPr>
          <w:p w14:paraId="7297DE2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nil"/>
              <w:right w:val="nil"/>
            </w:tcBorders>
            <w:shd w:val="clear" w:color="auto" w:fill="FFFFFF"/>
            <w:vAlign w:val="center"/>
            <w:hideMark/>
          </w:tcPr>
          <w:p w14:paraId="473218E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.830</w:t>
            </w:r>
          </w:p>
        </w:tc>
      </w:tr>
      <w:tr w:rsidR="00BE4AF3" w:rsidRPr="008A0A89" w14:paraId="793DAF00" w14:textId="77777777" w:rsidTr="00BE4AF3">
        <w:trPr>
          <w:cantSplit/>
          <w:jc w:val="center"/>
        </w:trPr>
        <w:tc>
          <w:tcPr>
            <w:tcW w:w="3883" w:type="dxa"/>
            <w:tcBorders>
              <w:top w:val="nil"/>
              <w:left w:val="nil"/>
              <w:bottom w:val="single" w:sz="4" w:space="0" w:color="auto"/>
              <w:right w:val="nil"/>
            </w:tcBorders>
            <w:shd w:val="clear" w:color="auto" w:fill="FFFFFF"/>
            <w:vAlign w:val="center"/>
            <w:hideMark/>
          </w:tcPr>
          <w:p w14:paraId="673DB86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Living among friendly people</w:t>
            </w:r>
          </w:p>
        </w:tc>
        <w:tc>
          <w:tcPr>
            <w:tcW w:w="1104" w:type="dxa"/>
            <w:tcBorders>
              <w:top w:val="nil"/>
              <w:left w:val="nil"/>
              <w:bottom w:val="single" w:sz="4" w:space="0" w:color="auto"/>
              <w:right w:val="nil"/>
            </w:tcBorders>
            <w:shd w:val="clear" w:color="auto" w:fill="FFFFFF"/>
            <w:vAlign w:val="center"/>
            <w:hideMark/>
          </w:tcPr>
          <w:p w14:paraId="45D722C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w:t>
            </w:r>
          </w:p>
        </w:tc>
        <w:tc>
          <w:tcPr>
            <w:tcW w:w="1463" w:type="dxa"/>
            <w:tcBorders>
              <w:top w:val="nil"/>
              <w:left w:val="nil"/>
              <w:bottom w:val="single" w:sz="4" w:space="0" w:color="auto"/>
              <w:right w:val="nil"/>
            </w:tcBorders>
            <w:shd w:val="clear" w:color="auto" w:fill="FFFFFF"/>
            <w:vAlign w:val="center"/>
            <w:hideMark/>
          </w:tcPr>
          <w:p w14:paraId="695EE9D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.719</w:t>
            </w:r>
          </w:p>
        </w:tc>
      </w:tr>
      <w:tr w:rsidR="00BE4AF3" w:rsidRPr="008A0A89" w14:paraId="26C00279" w14:textId="77777777" w:rsidTr="00BE4AF3">
        <w:trPr>
          <w:cantSplit/>
          <w:jc w:val="center"/>
        </w:trPr>
        <w:tc>
          <w:tcPr>
            <w:tcW w:w="6450" w:type="dxa"/>
            <w:gridSpan w:val="3"/>
            <w:tcBorders>
              <w:top w:val="single" w:sz="4" w:space="0" w:color="auto"/>
              <w:left w:val="nil"/>
              <w:bottom w:val="nil"/>
              <w:right w:val="nil"/>
            </w:tcBorders>
            <w:shd w:val="clear" w:color="auto" w:fill="FFFFFF"/>
            <w:vAlign w:val="center"/>
            <w:hideMark/>
          </w:tcPr>
          <w:p w14:paraId="4E6F814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Extraction Method: Principal Component Analysis.</w:t>
            </w:r>
          </w:p>
        </w:tc>
      </w:tr>
    </w:tbl>
    <w:p w14:paraId="2F2BA8D6" w14:textId="77777777" w:rsidR="00BE4AF3" w:rsidRPr="00BE4AF3" w:rsidRDefault="00BE4AF3" w:rsidP="00C86F13">
      <w:pPr>
        <w:autoSpaceDE w:val="0"/>
        <w:autoSpaceDN w:val="0"/>
        <w:adjustRightInd w:val="0"/>
        <w:spacing w:after="0" w:line="240" w:lineRule="auto"/>
        <w:jc w:val="both"/>
        <w:rPr>
          <w:rFonts w:ascii="Times New Roman" w:hAnsi="Times New Roman" w:cs="Times New Roman"/>
          <w:b/>
          <w:bCs/>
          <w:sz w:val="24"/>
          <w:szCs w:val="24"/>
        </w:rPr>
      </w:pPr>
    </w:p>
    <w:p w14:paraId="38F8DB28" w14:textId="77777777" w:rsidR="00BE4AF3" w:rsidRPr="00BE4AF3" w:rsidRDefault="00BE4AF3" w:rsidP="00C86F13">
      <w:pPr>
        <w:autoSpaceDE w:val="0"/>
        <w:autoSpaceDN w:val="0"/>
        <w:adjustRightInd w:val="0"/>
        <w:spacing w:after="0" w:line="240" w:lineRule="auto"/>
        <w:jc w:val="both"/>
        <w:rPr>
          <w:rFonts w:ascii="Times New Roman" w:hAnsi="Times New Roman" w:cs="Times New Roman"/>
          <w:b/>
          <w:bCs/>
          <w:sz w:val="24"/>
          <w:szCs w:val="24"/>
        </w:rPr>
      </w:pPr>
    </w:p>
    <w:p w14:paraId="3DFC56F6" w14:textId="77777777" w:rsidR="00BE4AF3" w:rsidRPr="008A0A89" w:rsidRDefault="00BE4AF3" w:rsidP="008A0A89">
      <w:pPr>
        <w:autoSpaceDE w:val="0"/>
        <w:autoSpaceDN w:val="0"/>
        <w:adjustRightInd w:val="0"/>
        <w:spacing w:after="0" w:line="240" w:lineRule="auto"/>
        <w:jc w:val="center"/>
        <w:rPr>
          <w:rFonts w:ascii="Times New Roman" w:hAnsi="Times New Roman" w:cs="Times New Roman"/>
          <w:sz w:val="24"/>
          <w:szCs w:val="24"/>
        </w:rPr>
      </w:pPr>
      <w:r w:rsidRPr="00BE4AF3">
        <w:rPr>
          <w:rFonts w:ascii="Times New Roman" w:hAnsi="Times New Roman" w:cs="Times New Roman"/>
          <w:b/>
          <w:bCs/>
          <w:sz w:val="24"/>
          <w:szCs w:val="24"/>
        </w:rPr>
        <w:t xml:space="preserve">Table 4.3: </w:t>
      </w:r>
      <w:r w:rsidRPr="008A0A89">
        <w:rPr>
          <w:rFonts w:ascii="Times New Roman" w:hAnsi="Times New Roman" w:cs="Times New Roman"/>
          <w:sz w:val="24"/>
          <w:szCs w:val="24"/>
        </w:rPr>
        <w:t>Total Variance Explained for Residents’ Quality of life</w:t>
      </w:r>
    </w:p>
    <w:tbl>
      <w:tblPr>
        <w:tblW w:w="4876" w:type="pct"/>
        <w:jc w:val="center"/>
        <w:tblBorders>
          <w:top w:val="single" w:sz="4" w:space="0" w:color="auto"/>
          <w:bottom w:val="single" w:sz="4" w:space="0" w:color="auto"/>
        </w:tblBorders>
        <w:tblCellMar>
          <w:left w:w="0" w:type="dxa"/>
          <w:right w:w="0" w:type="dxa"/>
        </w:tblCellMar>
        <w:tblLook w:val="04A0" w:firstRow="1" w:lastRow="0" w:firstColumn="1" w:lastColumn="0" w:noHBand="0" w:noVBand="1"/>
      </w:tblPr>
      <w:tblGrid>
        <w:gridCol w:w="1054"/>
        <w:gridCol w:w="570"/>
        <w:gridCol w:w="919"/>
        <w:gridCol w:w="1117"/>
        <w:gridCol w:w="711"/>
        <w:gridCol w:w="931"/>
        <w:gridCol w:w="1054"/>
        <w:gridCol w:w="670"/>
        <w:gridCol w:w="937"/>
        <w:gridCol w:w="1054"/>
      </w:tblGrid>
      <w:tr w:rsidR="00BE4AF3" w:rsidRPr="008A0A89" w14:paraId="0E0B0F51" w14:textId="77777777" w:rsidTr="008A0A89">
        <w:trPr>
          <w:cantSplit/>
          <w:trHeight w:val="497"/>
          <w:jc w:val="center"/>
        </w:trPr>
        <w:tc>
          <w:tcPr>
            <w:tcW w:w="472" w:type="pct"/>
            <w:vMerge w:val="restart"/>
            <w:tcBorders>
              <w:top w:val="single" w:sz="4" w:space="0" w:color="auto"/>
              <w:left w:val="nil"/>
              <w:bottom w:val="single" w:sz="4" w:space="0" w:color="auto"/>
              <w:right w:val="nil"/>
            </w:tcBorders>
            <w:shd w:val="clear" w:color="auto" w:fill="FFFFFF"/>
            <w:hideMark/>
          </w:tcPr>
          <w:p w14:paraId="14A0F58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Component</w:t>
            </w:r>
          </w:p>
        </w:tc>
        <w:tc>
          <w:tcPr>
            <w:tcW w:w="1477" w:type="pct"/>
            <w:gridSpan w:val="3"/>
            <w:tcBorders>
              <w:top w:val="single" w:sz="4" w:space="0" w:color="auto"/>
              <w:left w:val="nil"/>
              <w:bottom w:val="nil"/>
              <w:right w:val="nil"/>
            </w:tcBorders>
            <w:shd w:val="clear" w:color="auto" w:fill="FFFFFF"/>
            <w:hideMark/>
          </w:tcPr>
          <w:p w14:paraId="7DF74368" w14:textId="77777777" w:rsidR="00BE4AF3" w:rsidRPr="008A0A89" w:rsidRDefault="00BE4AF3" w:rsidP="00C86F13">
            <w:pPr>
              <w:autoSpaceDE w:val="0"/>
              <w:autoSpaceDN w:val="0"/>
              <w:adjustRightInd w:val="0"/>
              <w:spacing w:after="0" w:line="240" w:lineRule="auto"/>
              <w:ind w:left="60" w:right="60"/>
              <w:jc w:val="center"/>
              <w:rPr>
                <w:rFonts w:ascii="Times New Roman" w:hAnsi="Times New Roman" w:cs="Times New Roman"/>
                <w:sz w:val="20"/>
                <w:szCs w:val="20"/>
              </w:rPr>
            </w:pPr>
            <w:r w:rsidRPr="008A0A89">
              <w:rPr>
                <w:rFonts w:ascii="Times New Roman" w:hAnsi="Times New Roman" w:cs="Times New Roman"/>
                <w:sz w:val="20"/>
                <w:szCs w:val="20"/>
              </w:rPr>
              <w:t>Initial Eigenvalues</w:t>
            </w:r>
          </w:p>
        </w:tc>
        <w:tc>
          <w:tcPr>
            <w:tcW w:w="1530" w:type="pct"/>
            <w:gridSpan w:val="3"/>
            <w:tcBorders>
              <w:top w:val="single" w:sz="4" w:space="0" w:color="auto"/>
              <w:left w:val="nil"/>
              <w:bottom w:val="nil"/>
              <w:right w:val="nil"/>
            </w:tcBorders>
            <w:shd w:val="clear" w:color="auto" w:fill="FFFFFF"/>
            <w:hideMark/>
          </w:tcPr>
          <w:p w14:paraId="11E1DC0E" w14:textId="77777777" w:rsidR="00BE4AF3" w:rsidRPr="008A0A89" w:rsidRDefault="00BE4AF3" w:rsidP="00C86F13">
            <w:pPr>
              <w:autoSpaceDE w:val="0"/>
              <w:autoSpaceDN w:val="0"/>
              <w:adjustRightInd w:val="0"/>
              <w:spacing w:after="0" w:line="240" w:lineRule="auto"/>
              <w:ind w:left="60" w:right="60"/>
              <w:jc w:val="center"/>
              <w:rPr>
                <w:rFonts w:ascii="Times New Roman" w:hAnsi="Times New Roman" w:cs="Times New Roman"/>
                <w:sz w:val="20"/>
                <w:szCs w:val="20"/>
              </w:rPr>
            </w:pPr>
            <w:r w:rsidRPr="008A0A89">
              <w:rPr>
                <w:rFonts w:ascii="Times New Roman" w:hAnsi="Times New Roman" w:cs="Times New Roman"/>
                <w:sz w:val="20"/>
                <w:szCs w:val="20"/>
              </w:rPr>
              <w:t>Extraction Sums of Squared Loadings</w:t>
            </w:r>
          </w:p>
        </w:tc>
        <w:tc>
          <w:tcPr>
            <w:tcW w:w="1519" w:type="pct"/>
            <w:gridSpan w:val="3"/>
            <w:tcBorders>
              <w:top w:val="single" w:sz="4" w:space="0" w:color="auto"/>
              <w:left w:val="nil"/>
              <w:bottom w:val="nil"/>
              <w:right w:val="nil"/>
            </w:tcBorders>
            <w:shd w:val="clear" w:color="auto" w:fill="FFFFFF"/>
            <w:hideMark/>
          </w:tcPr>
          <w:p w14:paraId="20C3AE86" w14:textId="77777777" w:rsidR="00BE4AF3" w:rsidRPr="008A0A89" w:rsidRDefault="00BE4AF3" w:rsidP="00C86F13">
            <w:pPr>
              <w:autoSpaceDE w:val="0"/>
              <w:autoSpaceDN w:val="0"/>
              <w:adjustRightInd w:val="0"/>
              <w:spacing w:after="0" w:line="240" w:lineRule="auto"/>
              <w:ind w:left="60" w:right="60"/>
              <w:jc w:val="center"/>
              <w:rPr>
                <w:rFonts w:ascii="Times New Roman" w:hAnsi="Times New Roman" w:cs="Times New Roman"/>
                <w:sz w:val="20"/>
                <w:szCs w:val="20"/>
              </w:rPr>
            </w:pPr>
            <w:r w:rsidRPr="008A0A89">
              <w:rPr>
                <w:rFonts w:ascii="Times New Roman" w:hAnsi="Times New Roman" w:cs="Times New Roman"/>
                <w:sz w:val="20"/>
                <w:szCs w:val="20"/>
              </w:rPr>
              <w:t>Rotation Sums of Squared Loadings</w:t>
            </w:r>
          </w:p>
        </w:tc>
      </w:tr>
      <w:tr w:rsidR="008A0A89" w:rsidRPr="008A0A89" w14:paraId="10529B3C" w14:textId="77777777" w:rsidTr="008A0A89">
        <w:trPr>
          <w:cantSplit/>
          <w:trHeight w:val="497"/>
          <w:jc w:val="center"/>
        </w:trPr>
        <w:tc>
          <w:tcPr>
            <w:tcW w:w="472" w:type="pct"/>
            <w:vMerge/>
            <w:tcBorders>
              <w:top w:val="single" w:sz="4" w:space="0" w:color="auto"/>
              <w:left w:val="nil"/>
              <w:bottom w:val="single" w:sz="4" w:space="0" w:color="auto"/>
              <w:right w:val="nil"/>
            </w:tcBorders>
            <w:vAlign w:val="center"/>
            <w:hideMark/>
          </w:tcPr>
          <w:p w14:paraId="59575896" w14:textId="77777777" w:rsidR="00BE4AF3" w:rsidRPr="008A0A89" w:rsidRDefault="00BE4AF3" w:rsidP="00C86F13">
            <w:pPr>
              <w:spacing w:after="0" w:line="240" w:lineRule="auto"/>
              <w:jc w:val="both"/>
              <w:rPr>
                <w:rFonts w:ascii="Times New Roman" w:hAnsi="Times New Roman" w:cs="Times New Roman"/>
                <w:sz w:val="20"/>
                <w:szCs w:val="20"/>
              </w:rPr>
            </w:pPr>
          </w:p>
        </w:tc>
        <w:tc>
          <w:tcPr>
            <w:tcW w:w="316" w:type="pct"/>
            <w:tcBorders>
              <w:top w:val="nil"/>
              <w:left w:val="nil"/>
              <w:bottom w:val="single" w:sz="4" w:space="0" w:color="auto"/>
              <w:right w:val="nil"/>
            </w:tcBorders>
            <w:shd w:val="clear" w:color="auto" w:fill="FFFFFF"/>
            <w:hideMark/>
          </w:tcPr>
          <w:p w14:paraId="06EE5B3F" w14:textId="77777777" w:rsidR="00BE4AF3" w:rsidRPr="008A0A89" w:rsidRDefault="00BE4AF3" w:rsidP="00C86F13">
            <w:pPr>
              <w:autoSpaceDE w:val="0"/>
              <w:autoSpaceDN w:val="0"/>
              <w:adjustRightInd w:val="0"/>
              <w:spacing w:after="0" w:line="240" w:lineRule="auto"/>
              <w:ind w:left="60" w:right="60"/>
              <w:jc w:val="center"/>
              <w:rPr>
                <w:rFonts w:ascii="Times New Roman" w:hAnsi="Times New Roman" w:cs="Times New Roman"/>
                <w:sz w:val="20"/>
                <w:szCs w:val="20"/>
              </w:rPr>
            </w:pPr>
            <w:r w:rsidRPr="008A0A89">
              <w:rPr>
                <w:rFonts w:ascii="Times New Roman" w:hAnsi="Times New Roman" w:cs="Times New Roman"/>
                <w:sz w:val="20"/>
                <w:szCs w:val="20"/>
              </w:rPr>
              <w:t>Total</w:t>
            </w:r>
          </w:p>
        </w:tc>
        <w:tc>
          <w:tcPr>
            <w:tcW w:w="526" w:type="pct"/>
            <w:tcBorders>
              <w:top w:val="nil"/>
              <w:left w:val="nil"/>
              <w:bottom w:val="single" w:sz="4" w:space="0" w:color="auto"/>
              <w:right w:val="nil"/>
            </w:tcBorders>
            <w:shd w:val="clear" w:color="auto" w:fill="FFFFFF"/>
            <w:hideMark/>
          </w:tcPr>
          <w:p w14:paraId="012F30D2" w14:textId="77777777" w:rsidR="00BE4AF3" w:rsidRPr="008A0A89" w:rsidRDefault="00BE4AF3" w:rsidP="00C86F13">
            <w:pPr>
              <w:autoSpaceDE w:val="0"/>
              <w:autoSpaceDN w:val="0"/>
              <w:adjustRightInd w:val="0"/>
              <w:spacing w:after="0" w:line="240" w:lineRule="auto"/>
              <w:ind w:left="60" w:right="60"/>
              <w:jc w:val="center"/>
              <w:rPr>
                <w:rFonts w:ascii="Times New Roman" w:hAnsi="Times New Roman" w:cs="Times New Roman"/>
                <w:sz w:val="20"/>
                <w:szCs w:val="20"/>
              </w:rPr>
            </w:pPr>
            <w:r w:rsidRPr="008A0A89">
              <w:rPr>
                <w:rFonts w:ascii="Times New Roman" w:hAnsi="Times New Roman" w:cs="Times New Roman"/>
                <w:sz w:val="20"/>
                <w:szCs w:val="20"/>
              </w:rPr>
              <w:t>% of Variance</w:t>
            </w:r>
          </w:p>
        </w:tc>
        <w:tc>
          <w:tcPr>
            <w:tcW w:w="636" w:type="pct"/>
            <w:tcBorders>
              <w:top w:val="nil"/>
              <w:left w:val="nil"/>
              <w:bottom w:val="single" w:sz="4" w:space="0" w:color="auto"/>
              <w:right w:val="nil"/>
            </w:tcBorders>
            <w:shd w:val="clear" w:color="auto" w:fill="FFFFFF"/>
            <w:hideMark/>
          </w:tcPr>
          <w:p w14:paraId="0A708CDC" w14:textId="77777777" w:rsidR="00BE4AF3" w:rsidRPr="008A0A89" w:rsidRDefault="00BE4AF3" w:rsidP="00C86F13">
            <w:pPr>
              <w:autoSpaceDE w:val="0"/>
              <w:autoSpaceDN w:val="0"/>
              <w:adjustRightInd w:val="0"/>
              <w:spacing w:after="0" w:line="240" w:lineRule="auto"/>
              <w:ind w:left="60" w:right="60"/>
              <w:jc w:val="center"/>
              <w:rPr>
                <w:rFonts w:ascii="Times New Roman" w:hAnsi="Times New Roman" w:cs="Times New Roman"/>
                <w:sz w:val="20"/>
                <w:szCs w:val="20"/>
              </w:rPr>
            </w:pPr>
            <w:r w:rsidRPr="008A0A89">
              <w:rPr>
                <w:rFonts w:ascii="Times New Roman" w:hAnsi="Times New Roman" w:cs="Times New Roman"/>
                <w:sz w:val="20"/>
                <w:szCs w:val="20"/>
              </w:rPr>
              <w:t>Cumulative %</w:t>
            </w:r>
          </w:p>
        </w:tc>
        <w:tc>
          <w:tcPr>
            <w:tcW w:w="411" w:type="pct"/>
            <w:tcBorders>
              <w:top w:val="nil"/>
              <w:left w:val="nil"/>
              <w:bottom w:val="single" w:sz="4" w:space="0" w:color="auto"/>
              <w:right w:val="nil"/>
            </w:tcBorders>
            <w:shd w:val="clear" w:color="auto" w:fill="FFFFFF"/>
            <w:hideMark/>
          </w:tcPr>
          <w:p w14:paraId="1AD8799D" w14:textId="77777777" w:rsidR="00BE4AF3" w:rsidRPr="008A0A89" w:rsidRDefault="00BE4AF3" w:rsidP="00C86F13">
            <w:pPr>
              <w:autoSpaceDE w:val="0"/>
              <w:autoSpaceDN w:val="0"/>
              <w:adjustRightInd w:val="0"/>
              <w:spacing w:after="0" w:line="240" w:lineRule="auto"/>
              <w:ind w:left="60" w:right="60"/>
              <w:jc w:val="center"/>
              <w:rPr>
                <w:rFonts w:ascii="Times New Roman" w:hAnsi="Times New Roman" w:cs="Times New Roman"/>
                <w:sz w:val="20"/>
                <w:szCs w:val="20"/>
              </w:rPr>
            </w:pPr>
            <w:r w:rsidRPr="008A0A89">
              <w:rPr>
                <w:rFonts w:ascii="Times New Roman" w:hAnsi="Times New Roman" w:cs="Times New Roman"/>
                <w:sz w:val="20"/>
                <w:szCs w:val="20"/>
              </w:rPr>
              <w:t>Total</w:t>
            </w:r>
          </w:p>
        </w:tc>
        <w:tc>
          <w:tcPr>
            <w:tcW w:w="533" w:type="pct"/>
            <w:tcBorders>
              <w:top w:val="nil"/>
              <w:left w:val="nil"/>
              <w:bottom w:val="single" w:sz="4" w:space="0" w:color="auto"/>
              <w:right w:val="nil"/>
            </w:tcBorders>
            <w:shd w:val="clear" w:color="auto" w:fill="FFFFFF"/>
            <w:hideMark/>
          </w:tcPr>
          <w:p w14:paraId="7DBE4905" w14:textId="77777777" w:rsidR="00BE4AF3" w:rsidRPr="008A0A89" w:rsidRDefault="00BE4AF3" w:rsidP="00C86F13">
            <w:pPr>
              <w:autoSpaceDE w:val="0"/>
              <w:autoSpaceDN w:val="0"/>
              <w:adjustRightInd w:val="0"/>
              <w:spacing w:after="0" w:line="240" w:lineRule="auto"/>
              <w:ind w:left="60" w:right="60"/>
              <w:jc w:val="center"/>
              <w:rPr>
                <w:rFonts w:ascii="Times New Roman" w:hAnsi="Times New Roman" w:cs="Times New Roman"/>
                <w:sz w:val="20"/>
                <w:szCs w:val="20"/>
              </w:rPr>
            </w:pPr>
            <w:r w:rsidRPr="008A0A89">
              <w:rPr>
                <w:rFonts w:ascii="Times New Roman" w:hAnsi="Times New Roman" w:cs="Times New Roman"/>
                <w:sz w:val="20"/>
                <w:szCs w:val="20"/>
              </w:rPr>
              <w:t>% of Variance</w:t>
            </w:r>
          </w:p>
        </w:tc>
        <w:tc>
          <w:tcPr>
            <w:tcW w:w="585" w:type="pct"/>
            <w:tcBorders>
              <w:top w:val="nil"/>
              <w:left w:val="nil"/>
              <w:bottom w:val="single" w:sz="4" w:space="0" w:color="auto"/>
              <w:right w:val="nil"/>
            </w:tcBorders>
            <w:shd w:val="clear" w:color="auto" w:fill="FFFFFF"/>
            <w:hideMark/>
          </w:tcPr>
          <w:p w14:paraId="08044A3B" w14:textId="77777777" w:rsidR="00BE4AF3" w:rsidRPr="008A0A89" w:rsidRDefault="00BE4AF3" w:rsidP="00C86F13">
            <w:pPr>
              <w:autoSpaceDE w:val="0"/>
              <w:autoSpaceDN w:val="0"/>
              <w:adjustRightInd w:val="0"/>
              <w:spacing w:after="0" w:line="240" w:lineRule="auto"/>
              <w:ind w:left="60" w:right="60"/>
              <w:jc w:val="center"/>
              <w:rPr>
                <w:rFonts w:ascii="Times New Roman" w:hAnsi="Times New Roman" w:cs="Times New Roman"/>
                <w:sz w:val="20"/>
                <w:szCs w:val="20"/>
              </w:rPr>
            </w:pPr>
            <w:r w:rsidRPr="008A0A89">
              <w:rPr>
                <w:rFonts w:ascii="Times New Roman" w:hAnsi="Times New Roman" w:cs="Times New Roman"/>
                <w:sz w:val="20"/>
                <w:szCs w:val="20"/>
              </w:rPr>
              <w:t>Cumulative %</w:t>
            </w:r>
          </w:p>
        </w:tc>
        <w:tc>
          <w:tcPr>
            <w:tcW w:w="399" w:type="pct"/>
            <w:tcBorders>
              <w:top w:val="nil"/>
              <w:left w:val="nil"/>
              <w:bottom w:val="single" w:sz="4" w:space="0" w:color="auto"/>
              <w:right w:val="nil"/>
            </w:tcBorders>
            <w:shd w:val="clear" w:color="auto" w:fill="FFFFFF"/>
            <w:hideMark/>
          </w:tcPr>
          <w:p w14:paraId="27A0699D" w14:textId="77777777" w:rsidR="00BE4AF3" w:rsidRPr="008A0A89" w:rsidRDefault="00BE4AF3" w:rsidP="00C86F13">
            <w:pPr>
              <w:autoSpaceDE w:val="0"/>
              <w:autoSpaceDN w:val="0"/>
              <w:adjustRightInd w:val="0"/>
              <w:spacing w:after="0" w:line="240" w:lineRule="auto"/>
              <w:ind w:left="60" w:right="60"/>
              <w:jc w:val="center"/>
              <w:rPr>
                <w:rFonts w:ascii="Times New Roman" w:hAnsi="Times New Roman" w:cs="Times New Roman"/>
                <w:sz w:val="20"/>
                <w:szCs w:val="20"/>
              </w:rPr>
            </w:pPr>
            <w:r w:rsidRPr="008A0A89">
              <w:rPr>
                <w:rFonts w:ascii="Times New Roman" w:hAnsi="Times New Roman" w:cs="Times New Roman"/>
                <w:sz w:val="20"/>
                <w:szCs w:val="20"/>
              </w:rPr>
              <w:t>Total</w:t>
            </w:r>
          </w:p>
        </w:tc>
        <w:tc>
          <w:tcPr>
            <w:tcW w:w="535" w:type="pct"/>
            <w:tcBorders>
              <w:top w:val="nil"/>
              <w:left w:val="nil"/>
              <w:bottom w:val="single" w:sz="4" w:space="0" w:color="auto"/>
              <w:right w:val="nil"/>
            </w:tcBorders>
            <w:shd w:val="clear" w:color="auto" w:fill="FFFFFF"/>
            <w:hideMark/>
          </w:tcPr>
          <w:p w14:paraId="50007E02" w14:textId="77777777" w:rsidR="00BE4AF3" w:rsidRPr="008A0A89" w:rsidRDefault="00BE4AF3" w:rsidP="00C86F13">
            <w:pPr>
              <w:autoSpaceDE w:val="0"/>
              <w:autoSpaceDN w:val="0"/>
              <w:adjustRightInd w:val="0"/>
              <w:spacing w:after="0" w:line="240" w:lineRule="auto"/>
              <w:ind w:left="60" w:right="60"/>
              <w:jc w:val="center"/>
              <w:rPr>
                <w:rFonts w:ascii="Times New Roman" w:hAnsi="Times New Roman" w:cs="Times New Roman"/>
                <w:sz w:val="20"/>
                <w:szCs w:val="20"/>
              </w:rPr>
            </w:pPr>
            <w:r w:rsidRPr="008A0A89">
              <w:rPr>
                <w:rFonts w:ascii="Times New Roman" w:hAnsi="Times New Roman" w:cs="Times New Roman"/>
                <w:sz w:val="20"/>
                <w:szCs w:val="20"/>
              </w:rPr>
              <w:t>% of Variance</w:t>
            </w:r>
          </w:p>
        </w:tc>
        <w:tc>
          <w:tcPr>
            <w:tcW w:w="585" w:type="pct"/>
            <w:tcBorders>
              <w:top w:val="nil"/>
              <w:left w:val="nil"/>
              <w:bottom w:val="single" w:sz="4" w:space="0" w:color="auto"/>
              <w:right w:val="nil"/>
            </w:tcBorders>
            <w:shd w:val="clear" w:color="auto" w:fill="FFFFFF"/>
            <w:hideMark/>
          </w:tcPr>
          <w:p w14:paraId="3DEEE1A0" w14:textId="77777777" w:rsidR="00BE4AF3" w:rsidRPr="008A0A89" w:rsidRDefault="00BE4AF3" w:rsidP="00C86F13">
            <w:pPr>
              <w:autoSpaceDE w:val="0"/>
              <w:autoSpaceDN w:val="0"/>
              <w:adjustRightInd w:val="0"/>
              <w:spacing w:after="0" w:line="240" w:lineRule="auto"/>
              <w:ind w:left="60" w:right="60"/>
              <w:jc w:val="center"/>
              <w:rPr>
                <w:rFonts w:ascii="Times New Roman" w:hAnsi="Times New Roman" w:cs="Times New Roman"/>
                <w:sz w:val="20"/>
                <w:szCs w:val="20"/>
              </w:rPr>
            </w:pPr>
            <w:r w:rsidRPr="008A0A89">
              <w:rPr>
                <w:rFonts w:ascii="Times New Roman" w:hAnsi="Times New Roman" w:cs="Times New Roman"/>
                <w:sz w:val="20"/>
                <w:szCs w:val="20"/>
              </w:rPr>
              <w:t>Cumulative %</w:t>
            </w:r>
          </w:p>
        </w:tc>
      </w:tr>
      <w:tr w:rsidR="008A0A89" w:rsidRPr="008A0A89" w14:paraId="03D3B36D" w14:textId="77777777" w:rsidTr="008A0A89">
        <w:trPr>
          <w:cantSplit/>
          <w:trHeight w:val="253"/>
          <w:jc w:val="center"/>
        </w:trPr>
        <w:tc>
          <w:tcPr>
            <w:tcW w:w="472" w:type="pct"/>
            <w:tcBorders>
              <w:top w:val="single" w:sz="4" w:space="0" w:color="auto"/>
              <w:left w:val="nil"/>
              <w:bottom w:val="nil"/>
              <w:right w:val="nil"/>
            </w:tcBorders>
            <w:shd w:val="clear" w:color="auto" w:fill="FFFFFF"/>
            <w:vAlign w:val="center"/>
            <w:hideMark/>
          </w:tcPr>
          <w:p w14:paraId="4C19F3A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w:t>
            </w:r>
          </w:p>
        </w:tc>
        <w:tc>
          <w:tcPr>
            <w:tcW w:w="316" w:type="pct"/>
            <w:tcBorders>
              <w:top w:val="single" w:sz="4" w:space="0" w:color="auto"/>
              <w:left w:val="nil"/>
              <w:bottom w:val="nil"/>
              <w:right w:val="nil"/>
            </w:tcBorders>
            <w:shd w:val="clear" w:color="auto" w:fill="FFFFFF"/>
            <w:vAlign w:val="center"/>
            <w:hideMark/>
          </w:tcPr>
          <w:p w14:paraId="1AA664D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8.933</w:t>
            </w:r>
          </w:p>
        </w:tc>
        <w:tc>
          <w:tcPr>
            <w:tcW w:w="526" w:type="pct"/>
            <w:tcBorders>
              <w:top w:val="single" w:sz="4" w:space="0" w:color="auto"/>
              <w:left w:val="nil"/>
              <w:bottom w:val="nil"/>
              <w:right w:val="nil"/>
            </w:tcBorders>
            <w:shd w:val="clear" w:color="auto" w:fill="FFFFFF"/>
            <w:vAlign w:val="center"/>
            <w:hideMark/>
          </w:tcPr>
          <w:p w14:paraId="7C76F43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23.509</w:t>
            </w:r>
          </w:p>
        </w:tc>
        <w:tc>
          <w:tcPr>
            <w:tcW w:w="636" w:type="pct"/>
            <w:tcBorders>
              <w:top w:val="single" w:sz="4" w:space="0" w:color="auto"/>
              <w:left w:val="nil"/>
              <w:bottom w:val="nil"/>
              <w:right w:val="nil"/>
            </w:tcBorders>
            <w:shd w:val="clear" w:color="auto" w:fill="FFFFFF"/>
            <w:vAlign w:val="center"/>
            <w:hideMark/>
          </w:tcPr>
          <w:p w14:paraId="7A834AE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23.509</w:t>
            </w:r>
          </w:p>
        </w:tc>
        <w:tc>
          <w:tcPr>
            <w:tcW w:w="411" w:type="pct"/>
            <w:tcBorders>
              <w:top w:val="single" w:sz="4" w:space="0" w:color="auto"/>
              <w:left w:val="nil"/>
              <w:bottom w:val="nil"/>
              <w:right w:val="nil"/>
            </w:tcBorders>
            <w:shd w:val="clear" w:color="auto" w:fill="FFFFFF"/>
            <w:vAlign w:val="center"/>
            <w:hideMark/>
          </w:tcPr>
          <w:p w14:paraId="19DD5BD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8.933</w:t>
            </w:r>
          </w:p>
        </w:tc>
        <w:tc>
          <w:tcPr>
            <w:tcW w:w="533" w:type="pct"/>
            <w:tcBorders>
              <w:top w:val="single" w:sz="4" w:space="0" w:color="auto"/>
              <w:left w:val="nil"/>
              <w:bottom w:val="nil"/>
              <w:right w:val="nil"/>
            </w:tcBorders>
            <w:shd w:val="clear" w:color="auto" w:fill="FFFFFF"/>
            <w:vAlign w:val="center"/>
            <w:hideMark/>
          </w:tcPr>
          <w:p w14:paraId="5C19B59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23.509</w:t>
            </w:r>
          </w:p>
        </w:tc>
        <w:tc>
          <w:tcPr>
            <w:tcW w:w="585" w:type="pct"/>
            <w:tcBorders>
              <w:top w:val="single" w:sz="4" w:space="0" w:color="auto"/>
              <w:left w:val="nil"/>
              <w:bottom w:val="nil"/>
              <w:right w:val="nil"/>
            </w:tcBorders>
            <w:shd w:val="clear" w:color="auto" w:fill="FFFFFF"/>
            <w:vAlign w:val="center"/>
            <w:hideMark/>
          </w:tcPr>
          <w:p w14:paraId="6158B50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23.509</w:t>
            </w:r>
          </w:p>
        </w:tc>
        <w:tc>
          <w:tcPr>
            <w:tcW w:w="399" w:type="pct"/>
            <w:tcBorders>
              <w:top w:val="single" w:sz="4" w:space="0" w:color="auto"/>
              <w:left w:val="nil"/>
              <w:bottom w:val="nil"/>
              <w:right w:val="nil"/>
            </w:tcBorders>
            <w:shd w:val="clear" w:color="auto" w:fill="FFFFFF"/>
            <w:vAlign w:val="center"/>
            <w:hideMark/>
          </w:tcPr>
          <w:p w14:paraId="2324BBF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5.692</w:t>
            </w:r>
          </w:p>
        </w:tc>
        <w:tc>
          <w:tcPr>
            <w:tcW w:w="535" w:type="pct"/>
            <w:tcBorders>
              <w:top w:val="single" w:sz="4" w:space="0" w:color="auto"/>
              <w:left w:val="nil"/>
              <w:bottom w:val="nil"/>
              <w:right w:val="nil"/>
            </w:tcBorders>
            <w:shd w:val="clear" w:color="auto" w:fill="FFFFFF"/>
            <w:vAlign w:val="center"/>
            <w:hideMark/>
          </w:tcPr>
          <w:p w14:paraId="534B829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14.978</w:t>
            </w:r>
          </w:p>
        </w:tc>
        <w:tc>
          <w:tcPr>
            <w:tcW w:w="585" w:type="pct"/>
            <w:tcBorders>
              <w:top w:val="single" w:sz="4" w:space="0" w:color="auto"/>
              <w:left w:val="nil"/>
              <w:bottom w:val="nil"/>
              <w:right w:val="nil"/>
            </w:tcBorders>
            <w:shd w:val="clear" w:color="auto" w:fill="FFFFFF"/>
            <w:vAlign w:val="center"/>
            <w:hideMark/>
          </w:tcPr>
          <w:p w14:paraId="12DEAE5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14.978</w:t>
            </w:r>
          </w:p>
        </w:tc>
      </w:tr>
      <w:tr w:rsidR="008A0A89" w:rsidRPr="008A0A89" w14:paraId="628D9CB8" w14:textId="77777777" w:rsidTr="008A0A89">
        <w:trPr>
          <w:cantSplit/>
          <w:trHeight w:val="243"/>
          <w:jc w:val="center"/>
        </w:trPr>
        <w:tc>
          <w:tcPr>
            <w:tcW w:w="472" w:type="pct"/>
            <w:tcBorders>
              <w:top w:val="nil"/>
              <w:left w:val="nil"/>
              <w:bottom w:val="nil"/>
              <w:right w:val="nil"/>
            </w:tcBorders>
            <w:shd w:val="clear" w:color="auto" w:fill="FFFFFF"/>
            <w:vAlign w:val="center"/>
            <w:hideMark/>
          </w:tcPr>
          <w:p w14:paraId="6B97125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w:t>
            </w:r>
          </w:p>
        </w:tc>
        <w:tc>
          <w:tcPr>
            <w:tcW w:w="316" w:type="pct"/>
            <w:tcBorders>
              <w:top w:val="nil"/>
              <w:left w:val="nil"/>
              <w:bottom w:val="nil"/>
              <w:right w:val="nil"/>
            </w:tcBorders>
            <w:shd w:val="clear" w:color="auto" w:fill="FFFFFF"/>
            <w:vAlign w:val="center"/>
            <w:hideMark/>
          </w:tcPr>
          <w:p w14:paraId="1DA6B6B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4.259</w:t>
            </w:r>
          </w:p>
        </w:tc>
        <w:tc>
          <w:tcPr>
            <w:tcW w:w="526" w:type="pct"/>
            <w:tcBorders>
              <w:top w:val="nil"/>
              <w:left w:val="nil"/>
              <w:bottom w:val="nil"/>
              <w:right w:val="nil"/>
            </w:tcBorders>
            <w:shd w:val="clear" w:color="auto" w:fill="FFFFFF"/>
            <w:vAlign w:val="center"/>
            <w:hideMark/>
          </w:tcPr>
          <w:p w14:paraId="1FBB9B8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11.208</w:t>
            </w:r>
          </w:p>
        </w:tc>
        <w:tc>
          <w:tcPr>
            <w:tcW w:w="636" w:type="pct"/>
            <w:tcBorders>
              <w:top w:val="nil"/>
              <w:left w:val="nil"/>
              <w:bottom w:val="nil"/>
              <w:right w:val="nil"/>
            </w:tcBorders>
            <w:shd w:val="clear" w:color="auto" w:fill="FFFFFF"/>
            <w:vAlign w:val="center"/>
            <w:hideMark/>
          </w:tcPr>
          <w:p w14:paraId="7B49CA0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34.716</w:t>
            </w:r>
          </w:p>
        </w:tc>
        <w:tc>
          <w:tcPr>
            <w:tcW w:w="411" w:type="pct"/>
            <w:tcBorders>
              <w:top w:val="nil"/>
              <w:left w:val="nil"/>
              <w:bottom w:val="nil"/>
              <w:right w:val="nil"/>
            </w:tcBorders>
            <w:shd w:val="clear" w:color="auto" w:fill="FFFFFF"/>
            <w:vAlign w:val="center"/>
            <w:hideMark/>
          </w:tcPr>
          <w:p w14:paraId="58D9504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4.259</w:t>
            </w:r>
          </w:p>
        </w:tc>
        <w:tc>
          <w:tcPr>
            <w:tcW w:w="533" w:type="pct"/>
            <w:tcBorders>
              <w:top w:val="nil"/>
              <w:left w:val="nil"/>
              <w:bottom w:val="nil"/>
              <w:right w:val="nil"/>
            </w:tcBorders>
            <w:shd w:val="clear" w:color="auto" w:fill="FFFFFF"/>
            <w:vAlign w:val="center"/>
            <w:hideMark/>
          </w:tcPr>
          <w:p w14:paraId="23E9A1D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11.208</w:t>
            </w:r>
          </w:p>
        </w:tc>
        <w:tc>
          <w:tcPr>
            <w:tcW w:w="585" w:type="pct"/>
            <w:tcBorders>
              <w:top w:val="nil"/>
              <w:left w:val="nil"/>
              <w:bottom w:val="nil"/>
              <w:right w:val="nil"/>
            </w:tcBorders>
            <w:shd w:val="clear" w:color="auto" w:fill="FFFFFF"/>
            <w:vAlign w:val="center"/>
            <w:hideMark/>
          </w:tcPr>
          <w:p w14:paraId="54F36E9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34.716</w:t>
            </w:r>
          </w:p>
        </w:tc>
        <w:tc>
          <w:tcPr>
            <w:tcW w:w="399" w:type="pct"/>
            <w:tcBorders>
              <w:top w:val="nil"/>
              <w:left w:val="nil"/>
              <w:bottom w:val="nil"/>
              <w:right w:val="nil"/>
            </w:tcBorders>
            <w:shd w:val="clear" w:color="auto" w:fill="FFFFFF"/>
            <w:vAlign w:val="center"/>
            <w:hideMark/>
          </w:tcPr>
          <w:p w14:paraId="19E7098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3.546</w:t>
            </w:r>
          </w:p>
        </w:tc>
        <w:tc>
          <w:tcPr>
            <w:tcW w:w="535" w:type="pct"/>
            <w:tcBorders>
              <w:top w:val="nil"/>
              <w:left w:val="nil"/>
              <w:bottom w:val="nil"/>
              <w:right w:val="nil"/>
            </w:tcBorders>
            <w:shd w:val="clear" w:color="auto" w:fill="FFFFFF"/>
            <w:vAlign w:val="center"/>
            <w:hideMark/>
          </w:tcPr>
          <w:p w14:paraId="4F66268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9.330</w:t>
            </w:r>
          </w:p>
        </w:tc>
        <w:tc>
          <w:tcPr>
            <w:tcW w:w="585" w:type="pct"/>
            <w:tcBorders>
              <w:top w:val="nil"/>
              <w:left w:val="nil"/>
              <w:bottom w:val="nil"/>
              <w:right w:val="nil"/>
            </w:tcBorders>
            <w:shd w:val="clear" w:color="auto" w:fill="FFFFFF"/>
            <w:vAlign w:val="center"/>
            <w:hideMark/>
          </w:tcPr>
          <w:p w14:paraId="1CE0439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24.309</w:t>
            </w:r>
          </w:p>
        </w:tc>
      </w:tr>
      <w:tr w:rsidR="008A0A89" w:rsidRPr="008A0A89" w14:paraId="5D510091" w14:textId="77777777" w:rsidTr="008A0A89">
        <w:trPr>
          <w:cantSplit/>
          <w:trHeight w:val="243"/>
          <w:jc w:val="center"/>
        </w:trPr>
        <w:tc>
          <w:tcPr>
            <w:tcW w:w="472" w:type="pct"/>
            <w:tcBorders>
              <w:top w:val="nil"/>
              <w:left w:val="nil"/>
              <w:bottom w:val="nil"/>
              <w:right w:val="nil"/>
            </w:tcBorders>
            <w:shd w:val="clear" w:color="auto" w:fill="FFFFFF"/>
            <w:vAlign w:val="center"/>
            <w:hideMark/>
          </w:tcPr>
          <w:p w14:paraId="6DC226C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w:t>
            </w:r>
          </w:p>
        </w:tc>
        <w:tc>
          <w:tcPr>
            <w:tcW w:w="316" w:type="pct"/>
            <w:tcBorders>
              <w:top w:val="nil"/>
              <w:left w:val="nil"/>
              <w:bottom w:val="nil"/>
              <w:right w:val="nil"/>
            </w:tcBorders>
            <w:shd w:val="clear" w:color="auto" w:fill="FFFFFF"/>
            <w:vAlign w:val="center"/>
            <w:hideMark/>
          </w:tcPr>
          <w:p w14:paraId="4C562AE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3.284</w:t>
            </w:r>
          </w:p>
        </w:tc>
        <w:tc>
          <w:tcPr>
            <w:tcW w:w="526" w:type="pct"/>
            <w:tcBorders>
              <w:top w:val="nil"/>
              <w:left w:val="nil"/>
              <w:bottom w:val="nil"/>
              <w:right w:val="nil"/>
            </w:tcBorders>
            <w:shd w:val="clear" w:color="auto" w:fill="FFFFFF"/>
            <w:vAlign w:val="center"/>
            <w:hideMark/>
          </w:tcPr>
          <w:p w14:paraId="20B9E4D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8.642</w:t>
            </w:r>
          </w:p>
        </w:tc>
        <w:tc>
          <w:tcPr>
            <w:tcW w:w="636" w:type="pct"/>
            <w:tcBorders>
              <w:top w:val="nil"/>
              <w:left w:val="nil"/>
              <w:bottom w:val="nil"/>
              <w:right w:val="nil"/>
            </w:tcBorders>
            <w:shd w:val="clear" w:color="auto" w:fill="FFFFFF"/>
            <w:vAlign w:val="center"/>
            <w:hideMark/>
          </w:tcPr>
          <w:p w14:paraId="168E14E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43.358</w:t>
            </w:r>
          </w:p>
        </w:tc>
        <w:tc>
          <w:tcPr>
            <w:tcW w:w="411" w:type="pct"/>
            <w:tcBorders>
              <w:top w:val="nil"/>
              <w:left w:val="nil"/>
              <w:bottom w:val="nil"/>
              <w:right w:val="nil"/>
            </w:tcBorders>
            <w:shd w:val="clear" w:color="auto" w:fill="FFFFFF"/>
            <w:vAlign w:val="center"/>
            <w:hideMark/>
          </w:tcPr>
          <w:p w14:paraId="63C3DBB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3.284</w:t>
            </w:r>
          </w:p>
        </w:tc>
        <w:tc>
          <w:tcPr>
            <w:tcW w:w="533" w:type="pct"/>
            <w:tcBorders>
              <w:top w:val="nil"/>
              <w:left w:val="nil"/>
              <w:bottom w:val="nil"/>
              <w:right w:val="nil"/>
            </w:tcBorders>
            <w:shd w:val="clear" w:color="auto" w:fill="FFFFFF"/>
            <w:vAlign w:val="center"/>
            <w:hideMark/>
          </w:tcPr>
          <w:p w14:paraId="6BD115D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8.642</w:t>
            </w:r>
          </w:p>
        </w:tc>
        <w:tc>
          <w:tcPr>
            <w:tcW w:w="585" w:type="pct"/>
            <w:tcBorders>
              <w:top w:val="nil"/>
              <w:left w:val="nil"/>
              <w:bottom w:val="nil"/>
              <w:right w:val="nil"/>
            </w:tcBorders>
            <w:shd w:val="clear" w:color="auto" w:fill="FFFFFF"/>
            <w:vAlign w:val="center"/>
            <w:hideMark/>
          </w:tcPr>
          <w:p w14:paraId="4F3F6D1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43.358</w:t>
            </w:r>
          </w:p>
        </w:tc>
        <w:tc>
          <w:tcPr>
            <w:tcW w:w="399" w:type="pct"/>
            <w:tcBorders>
              <w:top w:val="nil"/>
              <w:left w:val="nil"/>
              <w:bottom w:val="nil"/>
              <w:right w:val="nil"/>
            </w:tcBorders>
            <w:shd w:val="clear" w:color="auto" w:fill="FFFFFF"/>
            <w:vAlign w:val="center"/>
            <w:hideMark/>
          </w:tcPr>
          <w:p w14:paraId="4F49B83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3.334</w:t>
            </w:r>
          </w:p>
        </w:tc>
        <w:tc>
          <w:tcPr>
            <w:tcW w:w="535" w:type="pct"/>
            <w:tcBorders>
              <w:top w:val="nil"/>
              <w:left w:val="nil"/>
              <w:bottom w:val="nil"/>
              <w:right w:val="nil"/>
            </w:tcBorders>
            <w:shd w:val="clear" w:color="auto" w:fill="FFFFFF"/>
            <w:vAlign w:val="center"/>
            <w:hideMark/>
          </w:tcPr>
          <w:p w14:paraId="5A2C14A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8.774</w:t>
            </w:r>
          </w:p>
        </w:tc>
        <w:tc>
          <w:tcPr>
            <w:tcW w:w="585" w:type="pct"/>
            <w:tcBorders>
              <w:top w:val="nil"/>
              <w:left w:val="nil"/>
              <w:bottom w:val="nil"/>
              <w:right w:val="nil"/>
            </w:tcBorders>
            <w:shd w:val="clear" w:color="auto" w:fill="FFFFFF"/>
            <w:vAlign w:val="center"/>
            <w:hideMark/>
          </w:tcPr>
          <w:p w14:paraId="6821373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33.082</w:t>
            </w:r>
          </w:p>
        </w:tc>
      </w:tr>
      <w:tr w:rsidR="008A0A89" w:rsidRPr="008A0A89" w14:paraId="37D075AC" w14:textId="77777777" w:rsidTr="008A0A89">
        <w:trPr>
          <w:cantSplit/>
          <w:trHeight w:val="253"/>
          <w:jc w:val="center"/>
        </w:trPr>
        <w:tc>
          <w:tcPr>
            <w:tcW w:w="472" w:type="pct"/>
            <w:tcBorders>
              <w:top w:val="nil"/>
              <w:left w:val="nil"/>
              <w:bottom w:val="nil"/>
              <w:right w:val="nil"/>
            </w:tcBorders>
            <w:shd w:val="clear" w:color="auto" w:fill="FFFFFF"/>
            <w:vAlign w:val="center"/>
            <w:hideMark/>
          </w:tcPr>
          <w:p w14:paraId="078F999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4</w:t>
            </w:r>
          </w:p>
        </w:tc>
        <w:tc>
          <w:tcPr>
            <w:tcW w:w="316" w:type="pct"/>
            <w:tcBorders>
              <w:top w:val="nil"/>
              <w:left w:val="nil"/>
              <w:bottom w:val="nil"/>
              <w:right w:val="nil"/>
            </w:tcBorders>
            <w:shd w:val="clear" w:color="auto" w:fill="FFFFFF"/>
            <w:vAlign w:val="center"/>
            <w:hideMark/>
          </w:tcPr>
          <w:p w14:paraId="2B04D4D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2.428</w:t>
            </w:r>
          </w:p>
        </w:tc>
        <w:tc>
          <w:tcPr>
            <w:tcW w:w="526" w:type="pct"/>
            <w:tcBorders>
              <w:top w:val="nil"/>
              <w:left w:val="nil"/>
              <w:bottom w:val="nil"/>
              <w:right w:val="nil"/>
            </w:tcBorders>
            <w:shd w:val="clear" w:color="auto" w:fill="FFFFFF"/>
            <w:vAlign w:val="center"/>
            <w:hideMark/>
          </w:tcPr>
          <w:p w14:paraId="7365BD1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6.389</w:t>
            </w:r>
          </w:p>
        </w:tc>
        <w:tc>
          <w:tcPr>
            <w:tcW w:w="636" w:type="pct"/>
            <w:tcBorders>
              <w:top w:val="nil"/>
              <w:left w:val="nil"/>
              <w:bottom w:val="nil"/>
              <w:right w:val="nil"/>
            </w:tcBorders>
            <w:shd w:val="clear" w:color="auto" w:fill="FFFFFF"/>
            <w:vAlign w:val="center"/>
            <w:hideMark/>
          </w:tcPr>
          <w:p w14:paraId="21138FF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49.748</w:t>
            </w:r>
          </w:p>
        </w:tc>
        <w:tc>
          <w:tcPr>
            <w:tcW w:w="411" w:type="pct"/>
            <w:tcBorders>
              <w:top w:val="nil"/>
              <w:left w:val="nil"/>
              <w:bottom w:val="nil"/>
              <w:right w:val="nil"/>
            </w:tcBorders>
            <w:shd w:val="clear" w:color="auto" w:fill="FFFFFF"/>
            <w:vAlign w:val="center"/>
            <w:hideMark/>
          </w:tcPr>
          <w:p w14:paraId="0686DF8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2.428</w:t>
            </w:r>
          </w:p>
        </w:tc>
        <w:tc>
          <w:tcPr>
            <w:tcW w:w="533" w:type="pct"/>
            <w:tcBorders>
              <w:top w:val="nil"/>
              <w:left w:val="nil"/>
              <w:bottom w:val="nil"/>
              <w:right w:val="nil"/>
            </w:tcBorders>
            <w:shd w:val="clear" w:color="auto" w:fill="FFFFFF"/>
            <w:vAlign w:val="center"/>
            <w:hideMark/>
          </w:tcPr>
          <w:p w14:paraId="7F3B28D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6.389</w:t>
            </w:r>
          </w:p>
        </w:tc>
        <w:tc>
          <w:tcPr>
            <w:tcW w:w="585" w:type="pct"/>
            <w:tcBorders>
              <w:top w:val="nil"/>
              <w:left w:val="nil"/>
              <w:bottom w:val="nil"/>
              <w:right w:val="nil"/>
            </w:tcBorders>
            <w:shd w:val="clear" w:color="auto" w:fill="FFFFFF"/>
            <w:vAlign w:val="center"/>
            <w:hideMark/>
          </w:tcPr>
          <w:p w14:paraId="1B9AD3A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49.748</w:t>
            </w:r>
          </w:p>
        </w:tc>
        <w:tc>
          <w:tcPr>
            <w:tcW w:w="399" w:type="pct"/>
            <w:tcBorders>
              <w:top w:val="nil"/>
              <w:left w:val="nil"/>
              <w:bottom w:val="nil"/>
              <w:right w:val="nil"/>
            </w:tcBorders>
            <w:shd w:val="clear" w:color="auto" w:fill="FFFFFF"/>
            <w:vAlign w:val="center"/>
            <w:hideMark/>
          </w:tcPr>
          <w:p w14:paraId="1DB6071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3.245</w:t>
            </w:r>
          </w:p>
        </w:tc>
        <w:tc>
          <w:tcPr>
            <w:tcW w:w="535" w:type="pct"/>
            <w:tcBorders>
              <w:top w:val="nil"/>
              <w:left w:val="nil"/>
              <w:bottom w:val="nil"/>
              <w:right w:val="nil"/>
            </w:tcBorders>
            <w:shd w:val="clear" w:color="auto" w:fill="FFFFFF"/>
            <w:vAlign w:val="center"/>
            <w:hideMark/>
          </w:tcPr>
          <w:p w14:paraId="6B3A759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8.540</w:t>
            </w:r>
          </w:p>
        </w:tc>
        <w:tc>
          <w:tcPr>
            <w:tcW w:w="585" w:type="pct"/>
            <w:tcBorders>
              <w:top w:val="nil"/>
              <w:left w:val="nil"/>
              <w:bottom w:val="nil"/>
              <w:right w:val="nil"/>
            </w:tcBorders>
            <w:shd w:val="clear" w:color="auto" w:fill="FFFFFF"/>
            <w:vAlign w:val="center"/>
            <w:hideMark/>
          </w:tcPr>
          <w:p w14:paraId="3CBCF35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41.622</w:t>
            </w:r>
          </w:p>
        </w:tc>
      </w:tr>
      <w:tr w:rsidR="008A0A89" w:rsidRPr="008A0A89" w14:paraId="254A365E" w14:textId="77777777" w:rsidTr="008A0A89">
        <w:trPr>
          <w:cantSplit/>
          <w:trHeight w:val="243"/>
          <w:jc w:val="center"/>
        </w:trPr>
        <w:tc>
          <w:tcPr>
            <w:tcW w:w="472" w:type="pct"/>
            <w:tcBorders>
              <w:top w:val="nil"/>
              <w:left w:val="nil"/>
              <w:bottom w:val="nil"/>
              <w:right w:val="nil"/>
            </w:tcBorders>
            <w:shd w:val="clear" w:color="auto" w:fill="FFFFFF"/>
            <w:vAlign w:val="center"/>
            <w:hideMark/>
          </w:tcPr>
          <w:p w14:paraId="533F273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5</w:t>
            </w:r>
          </w:p>
        </w:tc>
        <w:tc>
          <w:tcPr>
            <w:tcW w:w="316" w:type="pct"/>
            <w:tcBorders>
              <w:top w:val="nil"/>
              <w:left w:val="nil"/>
              <w:bottom w:val="nil"/>
              <w:right w:val="nil"/>
            </w:tcBorders>
            <w:shd w:val="clear" w:color="auto" w:fill="FFFFFF"/>
            <w:vAlign w:val="center"/>
            <w:hideMark/>
          </w:tcPr>
          <w:p w14:paraId="38D1549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2.159</w:t>
            </w:r>
          </w:p>
        </w:tc>
        <w:tc>
          <w:tcPr>
            <w:tcW w:w="526" w:type="pct"/>
            <w:tcBorders>
              <w:top w:val="nil"/>
              <w:left w:val="nil"/>
              <w:bottom w:val="nil"/>
              <w:right w:val="nil"/>
            </w:tcBorders>
            <w:shd w:val="clear" w:color="auto" w:fill="FFFFFF"/>
            <w:vAlign w:val="center"/>
            <w:hideMark/>
          </w:tcPr>
          <w:p w14:paraId="51A7AB6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5.683</w:t>
            </w:r>
          </w:p>
        </w:tc>
        <w:tc>
          <w:tcPr>
            <w:tcW w:w="636" w:type="pct"/>
            <w:tcBorders>
              <w:top w:val="nil"/>
              <w:left w:val="nil"/>
              <w:bottom w:val="nil"/>
              <w:right w:val="nil"/>
            </w:tcBorders>
            <w:shd w:val="clear" w:color="auto" w:fill="FFFFFF"/>
            <w:vAlign w:val="center"/>
            <w:hideMark/>
          </w:tcPr>
          <w:p w14:paraId="28677A3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55.430</w:t>
            </w:r>
          </w:p>
        </w:tc>
        <w:tc>
          <w:tcPr>
            <w:tcW w:w="411" w:type="pct"/>
            <w:tcBorders>
              <w:top w:val="nil"/>
              <w:left w:val="nil"/>
              <w:bottom w:val="nil"/>
              <w:right w:val="nil"/>
            </w:tcBorders>
            <w:shd w:val="clear" w:color="auto" w:fill="FFFFFF"/>
            <w:vAlign w:val="center"/>
            <w:hideMark/>
          </w:tcPr>
          <w:p w14:paraId="24C95E9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2.159</w:t>
            </w:r>
          </w:p>
        </w:tc>
        <w:tc>
          <w:tcPr>
            <w:tcW w:w="533" w:type="pct"/>
            <w:tcBorders>
              <w:top w:val="nil"/>
              <w:left w:val="nil"/>
              <w:bottom w:val="nil"/>
              <w:right w:val="nil"/>
            </w:tcBorders>
            <w:shd w:val="clear" w:color="auto" w:fill="FFFFFF"/>
            <w:vAlign w:val="center"/>
            <w:hideMark/>
          </w:tcPr>
          <w:p w14:paraId="5C3F687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5.683</w:t>
            </w:r>
          </w:p>
        </w:tc>
        <w:tc>
          <w:tcPr>
            <w:tcW w:w="585" w:type="pct"/>
            <w:tcBorders>
              <w:top w:val="nil"/>
              <w:left w:val="nil"/>
              <w:bottom w:val="nil"/>
              <w:right w:val="nil"/>
            </w:tcBorders>
            <w:shd w:val="clear" w:color="auto" w:fill="FFFFFF"/>
            <w:vAlign w:val="center"/>
            <w:hideMark/>
          </w:tcPr>
          <w:p w14:paraId="0797058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55.430</w:t>
            </w:r>
          </w:p>
        </w:tc>
        <w:tc>
          <w:tcPr>
            <w:tcW w:w="399" w:type="pct"/>
            <w:tcBorders>
              <w:top w:val="nil"/>
              <w:left w:val="nil"/>
              <w:bottom w:val="nil"/>
              <w:right w:val="nil"/>
            </w:tcBorders>
            <w:shd w:val="clear" w:color="auto" w:fill="FFFFFF"/>
            <w:vAlign w:val="center"/>
            <w:hideMark/>
          </w:tcPr>
          <w:p w14:paraId="47BCE32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2.534</w:t>
            </w:r>
          </w:p>
        </w:tc>
        <w:tc>
          <w:tcPr>
            <w:tcW w:w="535" w:type="pct"/>
            <w:tcBorders>
              <w:top w:val="nil"/>
              <w:left w:val="nil"/>
              <w:bottom w:val="nil"/>
              <w:right w:val="nil"/>
            </w:tcBorders>
            <w:shd w:val="clear" w:color="auto" w:fill="FFFFFF"/>
            <w:vAlign w:val="center"/>
            <w:hideMark/>
          </w:tcPr>
          <w:p w14:paraId="3462ABA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6.669</w:t>
            </w:r>
          </w:p>
        </w:tc>
        <w:tc>
          <w:tcPr>
            <w:tcW w:w="585" w:type="pct"/>
            <w:tcBorders>
              <w:top w:val="nil"/>
              <w:left w:val="nil"/>
              <w:bottom w:val="nil"/>
              <w:right w:val="nil"/>
            </w:tcBorders>
            <w:shd w:val="clear" w:color="auto" w:fill="FFFFFF"/>
            <w:vAlign w:val="center"/>
            <w:hideMark/>
          </w:tcPr>
          <w:p w14:paraId="485FFBC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48.291</w:t>
            </w:r>
          </w:p>
        </w:tc>
      </w:tr>
      <w:tr w:rsidR="008A0A89" w:rsidRPr="008A0A89" w14:paraId="7A46A497" w14:textId="77777777" w:rsidTr="008A0A89">
        <w:trPr>
          <w:cantSplit/>
          <w:trHeight w:val="253"/>
          <w:jc w:val="center"/>
        </w:trPr>
        <w:tc>
          <w:tcPr>
            <w:tcW w:w="472" w:type="pct"/>
            <w:tcBorders>
              <w:top w:val="nil"/>
              <w:left w:val="nil"/>
              <w:bottom w:val="nil"/>
              <w:right w:val="nil"/>
            </w:tcBorders>
            <w:shd w:val="clear" w:color="auto" w:fill="FFFFFF"/>
            <w:vAlign w:val="center"/>
            <w:hideMark/>
          </w:tcPr>
          <w:p w14:paraId="2B14756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w:t>
            </w:r>
          </w:p>
        </w:tc>
        <w:tc>
          <w:tcPr>
            <w:tcW w:w="316" w:type="pct"/>
            <w:tcBorders>
              <w:top w:val="nil"/>
              <w:left w:val="nil"/>
              <w:bottom w:val="nil"/>
              <w:right w:val="nil"/>
            </w:tcBorders>
            <w:shd w:val="clear" w:color="auto" w:fill="FFFFFF"/>
            <w:vAlign w:val="center"/>
            <w:hideMark/>
          </w:tcPr>
          <w:p w14:paraId="4AE91F0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1.967</w:t>
            </w:r>
          </w:p>
        </w:tc>
        <w:tc>
          <w:tcPr>
            <w:tcW w:w="526" w:type="pct"/>
            <w:tcBorders>
              <w:top w:val="nil"/>
              <w:left w:val="nil"/>
              <w:bottom w:val="nil"/>
              <w:right w:val="nil"/>
            </w:tcBorders>
            <w:shd w:val="clear" w:color="auto" w:fill="FFFFFF"/>
            <w:vAlign w:val="center"/>
            <w:hideMark/>
          </w:tcPr>
          <w:p w14:paraId="6C57256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5.176</w:t>
            </w:r>
          </w:p>
        </w:tc>
        <w:tc>
          <w:tcPr>
            <w:tcW w:w="636" w:type="pct"/>
            <w:tcBorders>
              <w:top w:val="nil"/>
              <w:left w:val="nil"/>
              <w:bottom w:val="nil"/>
              <w:right w:val="nil"/>
            </w:tcBorders>
            <w:shd w:val="clear" w:color="auto" w:fill="FFFFFF"/>
            <w:vAlign w:val="center"/>
            <w:hideMark/>
          </w:tcPr>
          <w:p w14:paraId="6641E70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60.607</w:t>
            </w:r>
          </w:p>
        </w:tc>
        <w:tc>
          <w:tcPr>
            <w:tcW w:w="411" w:type="pct"/>
            <w:tcBorders>
              <w:top w:val="nil"/>
              <w:left w:val="nil"/>
              <w:bottom w:val="nil"/>
              <w:right w:val="nil"/>
            </w:tcBorders>
            <w:shd w:val="clear" w:color="auto" w:fill="FFFFFF"/>
            <w:vAlign w:val="center"/>
            <w:hideMark/>
          </w:tcPr>
          <w:p w14:paraId="0949143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1.967</w:t>
            </w:r>
          </w:p>
        </w:tc>
        <w:tc>
          <w:tcPr>
            <w:tcW w:w="533" w:type="pct"/>
            <w:tcBorders>
              <w:top w:val="nil"/>
              <w:left w:val="nil"/>
              <w:bottom w:val="nil"/>
              <w:right w:val="nil"/>
            </w:tcBorders>
            <w:shd w:val="clear" w:color="auto" w:fill="FFFFFF"/>
            <w:vAlign w:val="center"/>
            <w:hideMark/>
          </w:tcPr>
          <w:p w14:paraId="53997AE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5.176</w:t>
            </w:r>
          </w:p>
        </w:tc>
        <w:tc>
          <w:tcPr>
            <w:tcW w:w="585" w:type="pct"/>
            <w:tcBorders>
              <w:top w:val="nil"/>
              <w:left w:val="nil"/>
              <w:bottom w:val="nil"/>
              <w:right w:val="nil"/>
            </w:tcBorders>
            <w:shd w:val="clear" w:color="auto" w:fill="FFFFFF"/>
            <w:vAlign w:val="center"/>
            <w:hideMark/>
          </w:tcPr>
          <w:p w14:paraId="420D434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60.607</w:t>
            </w:r>
          </w:p>
        </w:tc>
        <w:tc>
          <w:tcPr>
            <w:tcW w:w="399" w:type="pct"/>
            <w:tcBorders>
              <w:top w:val="nil"/>
              <w:left w:val="nil"/>
              <w:bottom w:val="nil"/>
              <w:right w:val="nil"/>
            </w:tcBorders>
            <w:shd w:val="clear" w:color="auto" w:fill="FFFFFF"/>
            <w:vAlign w:val="center"/>
            <w:hideMark/>
          </w:tcPr>
          <w:p w14:paraId="11DB576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2.469</w:t>
            </w:r>
          </w:p>
        </w:tc>
        <w:tc>
          <w:tcPr>
            <w:tcW w:w="535" w:type="pct"/>
            <w:tcBorders>
              <w:top w:val="nil"/>
              <w:left w:val="nil"/>
              <w:bottom w:val="nil"/>
              <w:right w:val="nil"/>
            </w:tcBorders>
            <w:shd w:val="clear" w:color="auto" w:fill="FFFFFF"/>
            <w:vAlign w:val="center"/>
            <w:hideMark/>
          </w:tcPr>
          <w:p w14:paraId="26B41AD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6.499</w:t>
            </w:r>
          </w:p>
        </w:tc>
        <w:tc>
          <w:tcPr>
            <w:tcW w:w="585" w:type="pct"/>
            <w:tcBorders>
              <w:top w:val="nil"/>
              <w:left w:val="nil"/>
              <w:bottom w:val="nil"/>
              <w:right w:val="nil"/>
            </w:tcBorders>
            <w:shd w:val="clear" w:color="auto" w:fill="FFFFFF"/>
            <w:vAlign w:val="center"/>
            <w:hideMark/>
          </w:tcPr>
          <w:p w14:paraId="6676E54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54.790</w:t>
            </w:r>
          </w:p>
        </w:tc>
      </w:tr>
      <w:tr w:rsidR="008A0A89" w:rsidRPr="008A0A89" w14:paraId="6D78D440" w14:textId="77777777" w:rsidTr="008A0A89">
        <w:trPr>
          <w:cantSplit/>
          <w:trHeight w:val="243"/>
          <w:jc w:val="center"/>
        </w:trPr>
        <w:tc>
          <w:tcPr>
            <w:tcW w:w="472" w:type="pct"/>
            <w:tcBorders>
              <w:top w:val="nil"/>
              <w:left w:val="nil"/>
              <w:bottom w:val="nil"/>
              <w:right w:val="nil"/>
            </w:tcBorders>
            <w:shd w:val="clear" w:color="auto" w:fill="FFFFFF"/>
            <w:vAlign w:val="center"/>
            <w:hideMark/>
          </w:tcPr>
          <w:p w14:paraId="03251FD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w:t>
            </w:r>
          </w:p>
        </w:tc>
        <w:tc>
          <w:tcPr>
            <w:tcW w:w="316" w:type="pct"/>
            <w:tcBorders>
              <w:top w:val="nil"/>
              <w:left w:val="nil"/>
              <w:bottom w:val="nil"/>
              <w:right w:val="nil"/>
            </w:tcBorders>
            <w:shd w:val="clear" w:color="auto" w:fill="FFFFFF"/>
            <w:vAlign w:val="center"/>
            <w:hideMark/>
          </w:tcPr>
          <w:p w14:paraId="4243D6B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1.681</w:t>
            </w:r>
          </w:p>
        </w:tc>
        <w:tc>
          <w:tcPr>
            <w:tcW w:w="526" w:type="pct"/>
            <w:tcBorders>
              <w:top w:val="nil"/>
              <w:left w:val="nil"/>
              <w:bottom w:val="nil"/>
              <w:right w:val="nil"/>
            </w:tcBorders>
            <w:shd w:val="clear" w:color="auto" w:fill="FFFFFF"/>
            <w:vAlign w:val="center"/>
            <w:hideMark/>
          </w:tcPr>
          <w:p w14:paraId="3F91399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4.424</w:t>
            </w:r>
          </w:p>
        </w:tc>
        <w:tc>
          <w:tcPr>
            <w:tcW w:w="636" w:type="pct"/>
            <w:tcBorders>
              <w:top w:val="nil"/>
              <w:left w:val="nil"/>
              <w:bottom w:val="nil"/>
              <w:right w:val="nil"/>
            </w:tcBorders>
            <w:shd w:val="clear" w:color="auto" w:fill="FFFFFF"/>
            <w:vAlign w:val="center"/>
            <w:hideMark/>
          </w:tcPr>
          <w:p w14:paraId="415B6A8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65.031</w:t>
            </w:r>
          </w:p>
        </w:tc>
        <w:tc>
          <w:tcPr>
            <w:tcW w:w="411" w:type="pct"/>
            <w:tcBorders>
              <w:top w:val="nil"/>
              <w:left w:val="nil"/>
              <w:bottom w:val="nil"/>
              <w:right w:val="nil"/>
            </w:tcBorders>
            <w:shd w:val="clear" w:color="auto" w:fill="FFFFFF"/>
            <w:vAlign w:val="center"/>
            <w:hideMark/>
          </w:tcPr>
          <w:p w14:paraId="6B120BD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1.681</w:t>
            </w:r>
          </w:p>
        </w:tc>
        <w:tc>
          <w:tcPr>
            <w:tcW w:w="533" w:type="pct"/>
            <w:tcBorders>
              <w:top w:val="nil"/>
              <w:left w:val="nil"/>
              <w:bottom w:val="nil"/>
              <w:right w:val="nil"/>
            </w:tcBorders>
            <w:shd w:val="clear" w:color="auto" w:fill="FFFFFF"/>
            <w:vAlign w:val="center"/>
            <w:hideMark/>
          </w:tcPr>
          <w:p w14:paraId="2E5C1DC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4.424</w:t>
            </w:r>
          </w:p>
        </w:tc>
        <w:tc>
          <w:tcPr>
            <w:tcW w:w="585" w:type="pct"/>
            <w:tcBorders>
              <w:top w:val="nil"/>
              <w:left w:val="nil"/>
              <w:bottom w:val="nil"/>
              <w:right w:val="nil"/>
            </w:tcBorders>
            <w:shd w:val="clear" w:color="auto" w:fill="FFFFFF"/>
            <w:vAlign w:val="center"/>
            <w:hideMark/>
          </w:tcPr>
          <w:p w14:paraId="1EF0296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65.031</w:t>
            </w:r>
          </w:p>
        </w:tc>
        <w:tc>
          <w:tcPr>
            <w:tcW w:w="399" w:type="pct"/>
            <w:tcBorders>
              <w:top w:val="nil"/>
              <w:left w:val="nil"/>
              <w:bottom w:val="nil"/>
              <w:right w:val="nil"/>
            </w:tcBorders>
            <w:shd w:val="clear" w:color="auto" w:fill="FFFFFF"/>
            <w:vAlign w:val="center"/>
            <w:hideMark/>
          </w:tcPr>
          <w:p w14:paraId="7E71056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2.189</w:t>
            </w:r>
          </w:p>
        </w:tc>
        <w:tc>
          <w:tcPr>
            <w:tcW w:w="535" w:type="pct"/>
            <w:tcBorders>
              <w:top w:val="nil"/>
              <w:left w:val="nil"/>
              <w:bottom w:val="nil"/>
              <w:right w:val="nil"/>
            </w:tcBorders>
            <w:shd w:val="clear" w:color="auto" w:fill="FFFFFF"/>
            <w:vAlign w:val="center"/>
            <w:hideMark/>
          </w:tcPr>
          <w:p w14:paraId="50E9D22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5.760</w:t>
            </w:r>
          </w:p>
        </w:tc>
        <w:tc>
          <w:tcPr>
            <w:tcW w:w="585" w:type="pct"/>
            <w:tcBorders>
              <w:top w:val="nil"/>
              <w:left w:val="nil"/>
              <w:bottom w:val="nil"/>
              <w:right w:val="nil"/>
            </w:tcBorders>
            <w:shd w:val="clear" w:color="auto" w:fill="FFFFFF"/>
            <w:vAlign w:val="center"/>
            <w:hideMark/>
          </w:tcPr>
          <w:p w14:paraId="352F2A5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60.549</w:t>
            </w:r>
          </w:p>
        </w:tc>
      </w:tr>
      <w:tr w:rsidR="008A0A89" w:rsidRPr="008A0A89" w14:paraId="293C10A3" w14:textId="77777777" w:rsidTr="008A0A89">
        <w:trPr>
          <w:cantSplit/>
          <w:trHeight w:val="243"/>
          <w:jc w:val="center"/>
        </w:trPr>
        <w:tc>
          <w:tcPr>
            <w:tcW w:w="472" w:type="pct"/>
            <w:tcBorders>
              <w:top w:val="nil"/>
              <w:left w:val="nil"/>
              <w:bottom w:val="nil"/>
              <w:right w:val="nil"/>
            </w:tcBorders>
            <w:shd w:val="clear" w:color="auto" w:fill="FFFFFF"/>
            <w:vAlign w:val="center"/>
            <w:hideMark/>
          </w:tcPr>
          <w:p w14:paraId="4F738A5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w:t>
            </w:r>
          </w:p>
        </w:tc>
        <w:tc>
          <w:tcPr>
            <w:tcW w:w="316" w:type="pct"/>
            <w:tcBorders>
              <w:top w:val="nil"/>
              <w:left w:val="nil"/>
              <w:bottom w:val="nil"/>
              <w:right w:val="nil"/>
            </w:tcBorders>
            <w:shd w:val="clear" w:color="auto" w:fill="FFFFFF"/>
            <w:vAlign w:val="center"/>
            <w:hideMark/>
          </w:tcPr>
          <w:p w14:paraId="1E90206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1.420</w:t>
            </w:r>
          </w:p>
        </w:tc>
        <w:tc>
          <w:tcPr>
            <w:tcW w:w="526" w:type="pct"/>
            <w:tcBorders>
              <w:top w:val="nil"/>
              <w:left w:val="nil"/>
              <w:bottom w:val="nil"/>
              <w:right w:val="nil"/>
            </w:tcBorders>
            <w:shd w:val="clear" w:color="auto" w:fill="FFFFFF"/>
            <w:vAlign w:val="center"/>
            <w:hideMark/>
          </w:tcPr>
          <w:p w14:paraId="1A36CFC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3.736</w:t>
            </w:r>
          </w:p>
        </w:tc>
        <w:tc>
          <w:tcPr>
            <w:tcW w:w="636" w:type="pct"/>
            <w:tcBorders>
              <w:top w:val="nil"/>
              <w:left w:val="nil"/>
              <w:bottom w:val="nil"/>
              <w:right w:val="nil"/>
            </w:tcBorders>
            <w:shd w:val="clear" w:color="auto" w:fill="FFFFFF"/>
            <w:vAlign w:val="center"/>
            <w:hideMark/>
          </w:tcPr>
          <w:p w14:paraId="43CCE08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68.767</w:t>
            </w:r>
          </w:p>
        </w:tc>
        <w:tc>
          <w:tcPr>
            <w:tcW w:w="411" w:type="pct"/>
            <w:tcBorders>
              <w:top w:val="nil"/>
              <w:left w:val="nil"/>
              <w:bottom w:val="nil"/>
              <w:right w:val="nil"/>
            </w:tcBorders>
            <w:shd w:val="clear" w:color="auto" w:fill="FFFFFF"/>
            <w:vAlign w:val="center"/>
            <w:hideMark/>
          </w:tcPr>
          <w:p w14:paraId="25CE647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1.420</w:t>
            </w:r>
          </w:p>
        </w:tc>
        <w:tc>
          <w:tcPr>
            <w:tcW w:w="533" w:type="pct"/>
            <w:tcBorders>
              <w:top w:val="nil"/>
              <w:left w:val="nil"/>
              <w:bottom w:val="nil"/>
              <w:right w:val="nil"/>
            </w:tcBorders>
            <w:shd w:val="clear" w:color="auto" w:fill="FFFFFF"/>
            <w:vAlign w:val="center"/>
            <w:hideMark/>
          </w:tcPr>
          <w:p w14:paraId="79F1501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3.736</w:t>
            </w:r>
          </w:p>
        </w:tc>
        <w:tc>
          <w:tcPr>
            <w:tcW w:w="585" w:type="pct"/>
            <w:tcBorders>
              <w:top w:val="nil"/>
              <w:left w:val="nil"/>
              <w:bottom w:val="nil"/>
              <w:right w:val="nil"/>
            </w:tcBorders>
            <w:shd w:val="clear" w:color="auto" w:fill="FFFFFF"/>
            <w:vAlign w:val="center"/>
            <w:hideMark/>
          </w:tcPr>
          <w:p w14:paraId="399A964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68.767</w:t>
            </w:r>
          </w:p>
        </w:tc>
        <w:tc>
          <w:tcPr>
            <w:tcW w:w="399" w:type="pct"/>
            <w:tcBorders>
              <w:top w:val="nil"/>
              <w:left w:val="nil"/>
              <w:bottom w:val="nil"/>
              <w:right w:val="nil"/>
            </w:tcBorders>
            <w:shd w:val="clear" w:color="auto" w:fill="FFFFFF"/>
            <w:vAlign w:val="center"/>
            <w:hideMark/>
          </w:tcPr>
          <w:p w14:paraId="7A8377C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2.034</w:t>
            </w:r>
          </w:p>
        </w:tc>
        <w:tc>
          <w:tcPr>
            <w:tcW w:w="535" w:type="pct"/>
            <w:tcBorders>
              <w:top w:val="nil"/>
              <w:left w:val="nil"/>
              <w:bottom w:val="nil"/>
              <w:right w:val="nil"/>
            </w:tcBorders>
            <w:shd w:val="clear" w:color="auto" w:fill="FFFFFF"/>
            <w:vAlign w:val="center"/>
            <w:hideMark/>
          </w:tcPr>
          <w:p w14:paraId="20962B2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5.354</w:t>
            </w:r>
          </w:p>
        </w:tc>
        <w:tc>
          <w:tcPr>
            <w:tcW w:w="585" w:type="pct"/>
            <w:tcBorders>
              <w:top w:val="nil"/>
              <w:left w:val="nil"/>
              <w:bottom w:val="nil"/>
              <w:right w:val="nil"/>
            </w:tcBorders>
            <w:shd w:val="clear" w:color="auto" w:fill="FFFFFF"/>
            <w:vAlign w:val="center"/>
            <w:hideMark/>
          </w:tcPr>
          <w:p w14:paraId="3C01B9A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65.903</w:t>
            </w:r>
          </w:p>
        </w:tc>
      </w:tr>
      <w:tr w:rsidR="008A0A89" w:rsidRPr="008A0A89" w14:paraId="214E40C1" w14:textId="77777777" w:rsidTr="008A0A89">
        <w:trPr>
          <w:cantSplit/>
          <w:trHeight w:val="253"/>
          <w:jc w:val="center"/>
        </w:trPr>
        <w:tc>
          <w:tcPr>
            <w:tcW w:w="472" w:type="pct"/>
            <w:tcBorders>
              <w:top w:val="nil"/>
              <w:left w:val="nil"/>
              <w:bottom w:val="nil"/>
              <w:right w:val="nil"/>
            </w:tcBorders>
            <w:shd w:val="clear" w:color="auto" w:fill="FFFFFF"/>
            <w:vAlign w:val="center"/>
            <w:hideMark/>
          </w:tcPr>
          <w:p w14:paraId="0057164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w:t>
            </w:r>
          </w:p>
        </w:tc>
        <w:tc>
          <w:tcPr>
            <w:tcW w:w="316" w:type="pct"/>
            <w:tcBorders>
              <w:top w:val="nil"/>
              <w:left w:val="nil"/>
              <w:bottom w:val="nil"/>
              <w:right w:val="nil"/>
            </w:tcBorders>
            <w:shd w:val="clear" w:color="auto" w:fill="FFFFFF"/>
            <w:vAlign w:val="center"/>
            <w:hideMark/>
          </w:tcPr>
          <w:p w14:paraId="27FF870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1.384</w:t>
            </w:r>
          </w:p>
        </w:tc>
        <w:tc>
          <w:tcPr>
            <w:tcW w:w="526" w:type="pct"/>
            <w:tcBorders>
              <w:top w:val="nil"/>
              <w:left w:val="nil"/>
              <w:bottom w:val="nil"/>
              <w:right w:val="nil"/>
            </w:tcBorders>
            <w:shd w:val="clear" w:color="auto" w:fill="FFFFFF"/>
            <w:vAlign w:val="center"/>
            <w:hideMark/>
          </w:tcPr>
          <w:p w14:paraId="10ECD9F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3.643</w:t>
            </w:r>
          </w:p>
        </w:tc>
        <w:tc>
          <w:tcPr>
            <w:tcW w:w="636" w:type="pct"/>
            <w:tcBorders>
              <w:top w:val="nil"/>
              <w:left w:val="nil"/>
              <w:bottom w:val="nil"/>
              <w:right w:val="nil"/>
            </w:tcBorders>
            <w:shd w:val="clear" w:color="auto" w:fill="FFFFFF"/>
            <w:vAlign w:val="center"/>
            <w:hideMark/>
          </w:tcPr>
          <w:p w14:paraId="69728B3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72.411</w:t>
            </w:r>
          </w:p>
        </w:tc>
        <w:tc>
          <w:tcPr>
            <w:tcW w:w="411" w:type="pct"/>
            <w:tcBorders>
              <w:top w:val="nil"/>
              <w:left w:val="nil"/>
              <w:bottom w:val="nil"/>
              <w:right w:val="nil"/>
            </w:tcBorders>
            <w:shd w:val="clear" w:color="auto" w:fill="FFFFFF"/>
            <w:vAlign w:val="center"/>
            <w:hideMark/>
          </w:tcPr>
          <w:p w14:paraId="6A54409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1.384</w:t>
            </w:r>
          </w:p>
        </w:tc>
        <w:tc>
          <w:tcPr>
            <w:tcW w:w="533" w:type="pct"/>
            <w:tcBorders>
              <w:top w:val="nil"/>
              <w:left w:val="nil"/>
              <w:bottom w:val="nil"/>
              <w:right w:val="nil"/>
            </w:tcBorders>
            <w:shd w:val="clear" w:color="auto" w:fill="FFFFFF"/>
            <w:vAlign w:val="center"/>
            <w:hideMark/>
          </w:tcPr>
          <w:p w14:paraId="3D3F62E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3.643</w:t>
            </w:r>
          </w:p>
        </w:tc>
        <w:tc>
          <w:tcPr>
            <w:tcW w:w="585" w:type="pct"/>
            <w:tcBorders>
              <w:top w:val="nil"/>
              <w:left w:val="nil"/>
              <w:bottom w:val="nil"/>
              <w:right w:val="nil"/>
            </w:tcBorders>
            <w:shd w:val="clear" w:color="auto" w:fill="FFFFFF"/>
            <w:vAlign w:val="center"/>
            <w:hideMark/>
          </w:tcPr>
          <w:p w14:paraId="43C24E0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72.411</w:t>
            </w:r>
          </w:p>
        </w:tc>
        <w:tc>
          <w:tcPr>
            <w:tcW w:w="399" w:type="pct"/>
            <w:tcBorders>
              <w:top w:val="nil"/>
              <w:left w:val="nil"/>
              <w:bottom w:val="nil"/>
              <w:right w:val="nil"/>
            </w:tcBorders>
            <w:shd w:val="clear" w:color="auto" w:fill="FFFFFF"/>
            <w:vAlign w:val="center"/>
            <w:hideMark/>
          </w:tcPr>
          <w:p w14:paraId="1037292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1.894</w:t>
            </w:r>
          </w:p>
        </w:tc>
        <w:tc>
          <w:tcPr>
            <w:tcW w:w="535" w:type="pct"/>
            <w:tcBorders>
              <w:top w:val="nil"/>
              <w:left w:val="nil"/>
              <w:bottom w:val="nil"/>
              <w:right w:val="nil"/>
            </w:tcBorders>
            <w:shd w:val="clear" w:color="auto" w:fill="FFFFFF"/>
            <w:vAlign w:val="center"/>
            <w:hideMark/>
          </w:tcPr>
          <w:p w14:paraId="2F33484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4.985</w:t>
            </w:r>
          </w:p>
        </w:tc>
        <w:tc>
          <w:tcPr>
            <w:tcW w:w="585" w:type="pct"/>
            <w:tcBorders>
              <w:top w:val="nil"/>
              <w:left w:val="nil"/>
              <w:bottom w:val="nil"/>
              <w:right w:val="nil"/>
            </w:tcBorders>
            <w:shd w:val="clear" w:color="auto" w:fill="FFFFFF"/>
            <w:vAlign w:val="center"/>
            <w:hideMark/>
          </w:tcPr>
          <w:p w14:paraId="5D69076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70.888</w:t>
            </w:r>
          </w:p>
        </w:tc>
      </w:tr>
      <w:tr w:rsidR="008A0A89" w:rsidRPr="008A0A89" w14:paraId="23D43D5B" w14:textId="77777777" w:rsidTr="008A0A89">
        <w:trPr>
          <w:cantSplit/>
          <w:trHeight w:val="243"/>
          <w:jc w:val="center"/>
        </w:trPr>
        <w:tc>
          <w:tcPr>
            <w:tcW w:w="472" w:type="pct"/>
            <w:tcBorders>
              <w:top w:val="nil"/>
              <w:left w:val="nil"/>
              <w:bottom w:val="nil"/>
              <w:right w:val="nil"/>
            </w:tcBorders>
            <w:shd w:val="clear" w:color="auto" w:fill="FFFFFF"/>
            <w:vAlign w:val="center"/>
            <w:hideMark/>
          </w:tcPr>
          <w:p w14:paraId="5216FE6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w:t>
            </w:r>
          </w:p>
        </w:tc>
        <w:tc>
          <w:tcPr>
            <w:tcW w:w="316" w:type="pct"/>
            <w:tcBorders>
              <w:top w:val="nil"/>
              <w:left w:val="nil"/>
              <w:bottom w:val="nil"/>
              <w:right w:val="nil"/>
            </w:tcBorders>
            <w:shd w:val="clear" w:color="auto" w:fill="FFFFFF"/>
            <w:vAlign w:val="center"/>
            <w:hideMark/>
          </w:tcPr>
          <w:p w14:paraId="5729E06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1.238</w:t>
            </w:r>
          </w:p>
        </w:tc>
        <w:tc>
          <w:tcPr>
            <w:tcW w:w="526" w:type="pct"/>
            <w:tcBorders>
              <w:top w:val="nil"/>
              <w:left w:val="nil"/>
              <w:bottom w:val="nil"/>
              <w:right w:val="nil"/>
            </w:tcBorders>
            <w:shd w:val="clear" w:color="auto" w:fill="FFFFFF"/>
            <w:vAlign w:val="center"/>
            <w:hideMark/>
          </w:tcPr>
          <w:p w14:paraId="7C91967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3.257</w:t>
            </w:r>
          </w:p>
        </w:tc>
        <w:tc>
          <w:tcPr>
            <w:tcW w:w="636" w:type="pct"/>
            <w:tcBorders>
              <w:top w:val="nil"/>
              <w:left w:val="nil"/>
              <w:bottom w:val="nil"/>
              <w:right w:val="nil"/>
            </w:tcBorders>
            <w:shd w:val="clear" w:color="auto" w:fill="FFFFFF"/>
            <w:vAlign w:val="center"/>
            <w:hideMark/>
          </w:tcPr>
          <w:p w14:paraId="784754E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75.667</w:t>
            </w:r>
          </w:p>
        </w:tc>
        <w:tc>
          <w:tcPr>
            <w:tcW w:w="411" w:type="pct"/>
            <w:tcBorders>
              <w:top w:val="nil"/>
              <w:left w:val="nil"/>
              <w:bottom w:val="nil"/>
              <w:right w:val="nil"/>
            </w:tcBorders>
            <w:shd w:val="clear" w:color="auto" w:fill="FFFFFF"/>
            <w:vAlign w:val="center"/>
            <w:hideMark/>
          </w:tcPr>
          <w:p w14:paraId="63905EB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1.238</w:t>
            </w:r>
          </w:p>
        </w:tc>
        <w:tc>
          <w:tcPr>
            <w:tcW w:w="533" w:type="pct"/>
            <w:tcBorders>
              <w:top w:val="nil"/>
              <w:left w:val="nil"/>
              <w:bottom w:val="nil"/>
              <w:right w:val="nil"/>
            </w:tcBorders>
            <w:shd w:val="clear" w:color="auto" w:fill="FFFFFF"/>
            <w:vAlign w:val="center"/>
            <w:hideMark/>
          </w:tcPr>
          <w:p w14:paraId="348E224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3.257</w:t>
            </w:r>
          </w:p>
        </w:tc>
        <w:tc>
          <w:tcPr>
            <w:tcW w:w="585" w:type="pct"/>
            <w:tcBorders>
              <w:top w:val="nil"/>
              <w:left w:val="nil"/>
              <w:bottom w:val="nil"/>
              <w:right w:val="nil"/>
            </w:tcBorders>
            <w:shd w:val="clear" w:color="auto" w:fill="FFFFFF"/>
            <w:vAlign w:val="center"/>
            <w:hideMark/>
          </w:tcPr>
          <w:p w14:paraId="4BC6573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75.667</w:t>
            </w:r>
          </w:p>
        </w:tc>
        <w:tc>
          <w:tcPr>
            <w:tcW w:w="399" w:type="pct"/>
            <w:tcBorders>
              <w:top w:val="nil"/>
              <w:left w:val="nil"/>
              <w:bottom w:val="nil"/>
              <w:right w:val="nil"/>
            </w:tcBorders>
            <w:shd w:val="clear" w:color="auto" w:fill="FFFFFF"/>
            <w:vAlign w:val="center"/>
            <w:hideMark/>
          </w:tcPr>
          <w:p w14:paraId="130D774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1.497</w:t>
            </w:r>
          </w:p>
        </w:tc>
        <w:tc>
          <w:tcPr>
            <w:tcW w:w="535" w:type="pct"/>
            <w:tcBorders>
              <w:top w:val="nil"/>
              <w:left w:val="nil"/>
              <w:bottom w:val="nil"/>
              <w:right w:val="nil"/>
            </w:tcBorders>
            <w:shd w:val="clear" w:color="auto" w:fill="FFFFFF"/>
            <w:vAlign w:val="center"/>
            <w:hideMark/>
          </w:tcPr>
          <w:p w14:paraId="06A5E0D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3.940</w:t>
            </w:r>
          </w:p>
        </w:tc>
        <w:tc>
          <w:tcPr>
            <w:tcW w:w="585" w:type="pct"/>
            <w:tcBorders>
              <w:top w:val="nil"/>
              <w:left w:val="nil"/>
              <w:bottom w:val="nil"/>
              <w:right w:val="nil"/>
            </w:tcBorders>
            <w:shd w:val="clear" w:color="auto" w:fill="FFFFFF"/>
            <w:vAlign w:val="center"/>
            <w:hideMark/>
          </w:tcPr>
          <w:p w14:paraId="24B08B1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74.828</w:t>
            </w:r>
          </w:p>
        </w:tc>
      </w:tr>
      <w:tr w:rsidR="008A0A89" w:rsidRPr="008A0A89" w14:paraId="2DFE39FD" w14:textId="77777777" w:rsidTr="008A0A89">
        <w:trPr>
          <w:cantSplit/>
          <w:trHeight w:val="253"/>
          <w:jc w:val="center"/>
        </w:trPr>
        <w:tc>
          <w:tcPr>
            <w:tcW w:w="472" w:type="pct"/>
            <w:tcBorders>
              <w:top w:val="nil"/>
              <w:left w:val="nil"/>
              <w:bottom w:val="nil"/>
              <w:right w:val="nil"/>
            </w:tcBorders>
            <w:shd w:val="clear" w:color="auto" w:fill="FFFFFF"/>
            <w:vAlign w:val="center"/>
            <w:hideMark/>
          </w:tcPr>
          <w:p w14:paraId="2042A3A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11</w:t>
            </w:r>
          </w:p>
        </w:tc>
        <w:tc>
          <w:tcPr>
            <w:tcW w:w="316" w:type="pct"/>
            <w:tcBorders>
              <w:top w:val="nil"/>
              <w:left w:val="nil"/>
              <w:bottom w:val="nil"/>
              <w:right w:val="nil"/>
            </w:tcBorders>
            <w:shd w:val="clear" w:color="auto" w:fill="FFFFFF"/>
            <w:vAlign w:val="center"/>
            <w:hideMark/>
          </w:tcPr>
          <w:p w14:paraId="378CFE1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1.103</w:t>
            </w:r>
          </w:p>
        </w:tc>
        <w:tc>
          <w:tcPr>
            <w:tcW w:w="526" w:type="pct"/>
            <w:tcBorders>
              <w:top w:val="nil"/>
              <w:left w:val="nil"/>
              <w:bottom w:val="nil"/>
              <w:right w:val="nil"/>
            </w:tcBorders>
            <w:shd w:val="clear" w:color="auto" w:fill="FFFFFF"/>
            <w:vAlign w:val="center"/>
            <w:hideMark/>
          </w:tcPr>
          <w:p w14:paraId="36FD33B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2.903</w:t>
            </w:r>
          </w:p>
        </w:tc>
        <w:tc>
          <w:tcPr>
            <w:tcW w:w="636" w:type="pct"/>
            <w:tcBorders>
              <w:top w:val="nil"/>
              <w:left w:val="nil"/>
              <w:bottom w:val="nil"/>
              <w:right w:val="nil"/>
            </w:tcBorders>
            <w:shd w:val="clear" w:color="auto" w:fill="FFFFFF"/>
            <w:vAlign w:val="center"/>
            <w:hideMark/>
          </w:tcPr>
          <w:p w14:paraId="2AB6C30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78.571</w:t>
            </w:r>
          </w:p>
        </w:tc>
        <w:tc>
          <w:tcPr>
            <w:tcW w:w="411" w:type="pct"/>
            <w:tcBorders>
              <w:top w:val="nil"/>
              <w:left w:val="nil"/>
              <w:bottom w:val="nil"/>
              <w:right w:val="nil"/>
            </w:tcBorders>
            <w:shd w:val="clear" w:color="auto" w:fill="FFFFFF"/>
            <w:vAlign w:val="center"/>
            <w:hideMark/>
          </w:tcPr>
          <w:p w14:paraId="40640C6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1.103</w:t>
            </w:r>
          </w:p>
        </w:tc>
        <w:tc>
          <w:tcPr>
            <w:tcW w:w="533" w:type="pct"/>
            <w:tcBorders>
              <w:top w:val="nil"/>
              <w:left w:val="nil"/>
              <w:bottom w:val="nil"/>
              <w:right w:val="nil"/>
            </w:tcBorders>
            <w:shd w:val="clear" w:color="auto" w:fill="FFFFFF"/>
            <w:vAlign w:val="center"/>
            <w:hideMark/>
          </w:tcPr>
          <w:p w14:paraId="593C9BB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2.903</w:t>
            </w:r>
          </w:p>
        </w:tc>
        <w:tc>
          <w:tcPr>
            <w:tcW w:w="585" w:type="pct"/>
            <w:tcBorders>
              <w:top w:val="nil"/>
              <w:left w:val="nil"/>
              <w:bottom w:val="nil"/>
              <w:right w:val="nil"/>
            </w:tcBorders>
            <w:shd w:val="clear" w:color="auto" w:fill="FFFFFF"/>
            <w:vAlign w:val="center"/>
            <w:hideMark/>
          </w:tcPr>
          <w:p w14:paraId="052F971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78.571</w:t>
            </w:r>
          </w:p>
        </w:tc>
        <w:tc>
          <w:tcPr>
            <w:tcW w:w="399" w:type="pct"/>
            <w:tcBorders>
              <w:top w:val="nil"/>
              <w:left w:val="nil"/>
              <w:bottom w:val="nil"/>
              <w:right w:val="nil"/>
            </w:tcBorders>
            <w:shd w:val="clear" w:color="auto" w:fill="FFFFFF"/>
            <w:vAlign w:val="center"/>
            <w:hideMark/>
          </w:tcPr>
          <w:p w14:paraId="0DC37F9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1.422</w:t>
            </w:r>
          </w:p>
        </w:tc>
        <w:tc>
          <w:tcPr>
            <w:tcW w:w="535" w:type="pct"/>
            <w:tcBorders>
              <w:top w:val="nil"/>
              <w:left w:val="nil"/>
              <w:bottom w:val="nil"/>
              <w:right w:val="nil"/>
            </w:tcBorders>
            <w:shd w:val="clear" w:color="auto" w:fill="FFFFFF"/>
            <w:vAlign w:val="center"/>
            <w:hideMark/>
          </w:tcPr>
          <w:p w14:paraId="20023C2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3.742</w:t>
            </w:r>
          </w:p>
        </w:tc>
        <w:tc>
          <w:tcPr>
            <w:tcW w:w="585" w:type="pct"/>
            <w:tcBorders>
              <w:top w:val="nil"/>
              <w:left w:val="nil"/>
              <w:bottom w:val="nil"/>
              <w:right w:val="nil"/>
            </w:tcBorders>
            <w:shd w:val="clear" w:color="auto" w:fill="FFFFFF"/>
            <w:vAlign w:val="center"/>
            <w:hideMark/>
          </w:tcPr>
          <w:p w14:paraId="10C9EFB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78.571</w:t>
            </w:r>
          </w:p>
        </w:tc>
      </w:tr>
      <w:tr w:rsidR="008A0A89" w:rsidRPr="008A0A89" w14:paraId="0FE5B047" w14:textId="77777777" w:rsidTr="008A0A89">
        <w:trPr>
          <w:cantSplit/>
          <w:trHeight w:val="243"/>
          <w:jc w:val="center"/>
        </w:trPr>
        <w:tc>
          <w:tcPr>
            <w:tcW w:w="472" w:type="pct"/>
            <w:tcBorders>
              <w:top w:val="nil"/>
              <w:left w:val="nil"/>
              <w:bottom w:val="nil"/>
              <w:right w:val="nil"/>
            </w:tcBorders>
            <w:shd w:val="clear" w:color="auto" w:fill="FFFFFF"/>
            <w:vAlign w:val="center"/>
            <w:hideMark/>
          </w:tcPr>
          <w:p w14:paraId="0D03781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12</w:t>
            </w:r>
          </w:p>
        </w:tc>
        <w:tc>
          <w:tcPr>
            <w:tcW w:w="316" w:type="pct"/>
            <w:tcBorders>
              <w:top w:val="nil"/>
              <w:left w:val="nil"/>
              <w:bottom w:val="nil"/>
              <w:right w:val="nil"/>
            </w:tcBorders>
            <w:shd w:val="clear" w:color="auto" w:fill="FFFFFF"/>
            <w:vAlign w:val="center"/>
            <w:hideMark/>
          </w:tcPr>
          <w:p w14:paraId="5922509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.932</w:t>
            </w:r>
          </w:p>
        </w:tc>
        <w:tc>
          <w:tcPr>
            <w:tcW w:w="526" w:type="pct"/>
            <w:tcBorders>
              <w:top w:val="nil"/>
              <w:left w:val="nil"/>
              <w:bottom w:val="nil"/>
              <w:right w:val="nil"/>
            </w:tcBorders>
            <w:shd w:val="clear" w:color="auto" w:fill="FFFFFF"/>
            <w:vAlign w:val="center"/>
            <w:hideMark/>
          </w:tcPr>
          <w:p w14:paraId="147A629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2.454</w:t>
            </w:r>
          </w:p>
        </w:tc>
        <w:tc>
          <w:tcPr>
            <w:tcW w:w="636" w:type="pct"/>
            <w:tcBorders>
              <w:top w:val="nil"/>
              <w:left w:val="nil"/>
              <w:bottom w:val="nil"/>
              <w:right w:val="nil"/>
            </w:tcBorders>
            <w:shd w:val="clear" w:color="auto" w:fill="FFFFFF"/>
            <w:vAlign w:val="center"/>
            <w:hideMark/>
          </w:tcPr>
          <w:p w14:paraId="3625C58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81.024</w:t>
            </w:r>
          </w:p>
        </w:tc>
        <w:tc>
          <w:tcPr>
            <w:tcW w:w="411" w:type="pct"/>
            <w:tcBorders>
              <w:top w:val="nil"/>
              <w:left w:val="nil"/>
              <w:bottom w:val="nil"/>
              <w:right w:val="nil"/>
            </w:tcBorders>
            <w:shd w:val="clear" w:color="auto" w:fill="FFFFFF"/>
          </w:tcPr>
          <w:p w14:paraId="62179120"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3D276499"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2B4B119B"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79EF40D8"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6A97A0FE"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56081A4C"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4D8316AA" w14:textId="77777777" w:rsidTr="008A0A89">
        <w:trPr>
          <w:cantSplit/>
          <w:trHeight w:val="243"/>
          <w:jc w:val="center"/>
        </w:trPr>
        <w:tc>
          <w:tcPr>
            <w:tcW w:w="472" w:type="pct"/>
            <w:tcBorders>
              <w:top w:val="nil"/>
              <w:left w:val="nil"/>
              <w:bottom w:val="nil"/>
              <w:right w:val="nil"/>
            </w:tcBorders>
            <w:shd w:val="clear" w:color="auto" w:fill="FFFFFF"/>
            <w:vAlign w:val="center"/>
            <w:hideMark/>
          </w:tcPr>
          <w:p w14:paraId="79A83F0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13</w:t>
            </w:r>
          </w:p>
        </w:tc>
        <w:tc>
          <w:tcPr>
            <w:tcW w:w="316" w:type="pct"/>
            <w:tcBorders>
              <w:top w:val="nil"/>
              <w:left w:val="nil"/>
              <w:bottom w:val="nil"/>
              <w:right w:val="nil"/>
            </w:tcBorders>
            <w:shd w:val="clear" w:color="auto" w:fill="FFFFFF"/>
            <w:vAlign w:val="center"/>
            <w:hideMark/>
          </w:tcPr>
          <w:p w14:paraId="4686C1F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.814</w:t>
            </w:r>
          </w:p>
        </w:tc>
        <w:tc>
          <w:tcPr>
            <w:tcW w:w="526" w:type="pct"/>
            <w:tcBorders>
              <w:top w:val="nil"/>
              <w:left w:val="nil"/>
              <w:bottom w:val="nil"/>
              <w:right w:val="nil"/>
            </w:tcBorders>
            <w:shd w:val="clear" w:color="auto" w:fill="FFFFFF"/>
            <w:vAlign w:val="center"/>
            <w:hideMark/>
          </w:tcPr>
          <w:p w14:paraId="3ACBF31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2.143</w:t>
            </w:r>
          </w:p>
        </w:tc>
        <w:tc>
          <w:tcPr>
            <w:tcW w:w="636" w:type="pct"/>
            <w:tcBorders>
              <w:top w:val="nil"/>
              <w:left w:val="nil"/>
              <w:bottom w:val="nil"/>
              <w:right w:val="nil"/>
            </w:tcBorders>
            <w:shd w:val="clear" w:color="auto" w:fill="FFFFFF"/>
            <w:vAlign w:val="center"/>
            <w:hideMark/>
          </w:tcPr>
          <w:p w14:paraId="3D3911A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83.168</w:t>
            </w:r>
          </w:p>
        </w:tc>
        <w:tc>
          <w:tcPr>
            <w:tcW w:w="411" w:type="pct"/>
            <w:tcBorders>
              <w:top w:val="nil"/>
              <w:left w:val="nil"/>
              <w:bottom w:val="nil"/>
              <w:right w:val="nil"/>
            </w:tcBorders>
            <w:shd w:val="clear" w:color="auto" w:fill="FFFFFF"/>
          </w:tcPr>
          <w:p w14:paraId="5166B671"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6C71DC2C"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67187CFE"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3180039A"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1716F0EE"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6625A6F6"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7EFD75EE" w14:textId="77777777" w:rsidTr="008A0A89">
        <w:trPr>
          <w:cantSplit/>
          <w:trHeight w:val="253"/>
          <w:jc w:val="center"/>
        </w:trPr>
        <w:tc>
          <w:tcPr>
            <w:tcW w:w="472" w:type="pct"/>
            <w:tcBorders>
              <w:top w:val="nil"/>
              <w:left w:val="nil"/>
              <w:bottom w:val="nil"/>
              <w:right w:val="nil"/>
            </w:tcBorders>
            <w:shd w:val="clear" w:color="auto" w:fill="FFFFFF"/>
            <w:vAlign w:val="center"/>
            <w:hideMark/>
          </w:tcPr>
          <w:p w14:paraId="390955C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14</w:t>
            </w:r>
          </w:p>
        </w:tc>
        <w:tc>
          <w:tcPr>
            <w:tcW w:w="316" w:type="pct"/>
            <w:tcBorders>
              <w:top w:val="nil"/>
              <w:left w:val="nil"/>
              <w:bottom w:val="nil"/>
              <w:right w:val="nil"/>
            </w:tcBorders>
            <w:shd w:val="clear" w:color="auto" w:fill="FFFFFF"/>
            <w:vAlign w:val="center"/>
            <w:hideMark/>
          </w:tcPr>
          <w:p w14:paraId="362D250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.697</w:t>
            </w:r>
          </w:p>
        </w:tc>
        <w:tc>
          <w:tcPr>
            <w:tcW w:w="526" w:type="pct"/>
            <w:tcBorders>
              <w:top w:val="nil"/>
              <w:left w:val="nil"/>
              <w:bottom w:val="nil"/>
              <w:right w:val="nil"/>
            </w:tcBorders>
            <w:shd w:val="clear" w:color="auto" w:fill="FFFFFF"/>
            <w:vAlign w:val="center"/>
            <w:hideMark/>
          </w:tcPr>
          <w:p w14:paraId="7CF1BCE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1.833</w:t>
            </w:r>
          </w:p>
        </w:tc>
        <w:tc>
          <w:tcPr>
            <w:tcW w:w="636" w:type="pct"/>
            <w:tcBorders>
              <w:top w:val="nil"/>
              <w:left w:val="nil"/>
              <w:bottom w:val="nil"/>
              <w:right w:val="nil"/>
            </w:tcBorders>
            <w:shd w:val="clear" w:color="auto" w:fill="FFFFFF"/>
            <w:vAlign w:val="center"/>
            <w:hideMark/>
          </w:tcPr>
          <w:p w14:paraId="60E7E6F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85.000</w:t>
            </w:r>
          </w:p>
        </w:tc>
        <w:tc>
          <w:tcPr>
            <w:tcW w:w="411" w:type="pct"/>
            <w:tcBorders>
              <w:top w:val="nil"/>
              <w:left w:val="nil"/>
              <w:bottom w:val="nil"/>
              <w:right w:val="nil"/>
            </w:tcBorders>
            <w:shd w:val="clear" w:color="auto" w:fill="FFFFFF"/>
          </w:tcPr>
          <w:p w14:paraId="3B939846"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28457E69"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0D0F58D7"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20CFE9A7"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63437253"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2D85BF02"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34CBAF2F" w14:textId="77777777" w:rsidTr="008A0A89">
        <w:trPr>
          <w:cantSplit/>
          <w:trHeight w:val="243"/>
          <w:jc w:val="center"/>
        </w:trPr>
        <w:tc>
          <w:tcPr>
            <w:tcW w:w="472" w:type="pct"/>
            <w:tcBorders>
              <w:top w:val="nil"/>
              <w:left w:val="nil"/>
              <w:bottom w:val="nil"/>
              <w:right w:val="nil"/>
            </w:tcBorders>
            <w:shd w:val="clear" w:color="auto" w:fill="FFFFFF"/>
            <w:vAlign w:val="center"/>
            <w:hideMark/>
          </w:tcPr>
          <w:p w14:paraId="5CA2333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15</w:t>
            </w:r>
          </w:p>
        </w:tc>
        <w:tc>
          <w:tcPr>
            <w:tcW w:w="316" w:type="pct"/>
            <w:tcBorders>
              <w:top w:val="nil"/>
              <w:left w:val="nil"/>
              <w:bottom w:val="nil"/>
              <w:right w:val="nil"/>
            </w:tcBorders>
            <w:shd w:val="clear" w:color="auto" w:fill="FFFFFF"/>
            <w:vAlign w:val="center"/>
            <w:hideMark/>
          </w:tcPr>
          <w:p w14:paraId="55943D5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.679</w:t>
            </w:r>
          </w:p>
        </w:tc>
        <w:tc>
          <w:tcPr>
            <w:tcW w:w="526" w:type="pct"/>
            <w:tcBorders>
              <w:top w:val="nil"/>
              <w:left w:val="nil"/>
              <w:bottom w:val="nil"/>
              <w:right w:val="nil"/>
            </w:tcBorders>
            <w:shd w:val="clear" w:color="auto" w:fill="FFFFFF"/>
            <w:vAlign w:val="center"/>
            <w:hideMark/>
          </w:tcPr>
          <w:p w14:paraId="33031E4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1.786</w:t>
            </w:r>
          </w:p>
        </w:tc>
        <w:tc>
          <w:tcPr>
            <w:tcW w:w="636" w:type="pct"/>
            <w:tcBorders>
              <w:top w:val="nil"/>
              <w:left w:val="nil"/>
              <w:bottom w:val="nil"/>
              <w:right w:val="nil"/>
            </w:tcBorders>
            <w:shd w:val="clear" w:color="auto" w:fill="FFFFFF"/>
            <w:vAlign w:val="center"/>
            <w:hideMark/>
          </w:tcPr>
          <w:p w14:paraId="19AE8A6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86.787</w:t>
            </w:r>
          </w:p>
        </w:tc>
        <w:tc>
          <w:tcPr>
            <w:tcW w:w="411" w:type="pct"/>
            <w:tcBorders>
              <w:top w:val="nil"/>
              <w:left w:val="nil"/>
              <w:bottom w:val="nil"/>
              <w:right w:val="nil"/>
            </w:tcBorders>
            <w:shd w:val="clear" w:color="auto" w:fill="FFFFFF"/>
          </w:tcPr>
          <w:p w14:paraId="580052C1"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1F739EF1"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31A53B73"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2AE67196"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65A053EB"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52C042B3"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424F6D86" w14:textId="77777777" w:rsidTr="008A0A89">
        <w:trPr>
          <w:cantSplit/>
          <w:trHeight w:val="253"/>
          <w:jc w:val="center"/>
        </w:trPr>
        <w:tc>
          <w:tcPr>
            <w:tcW w:w="472" w:type="pct"/>
            <w:tcBorders>
              <w:top w:val="nil"/>
              <w:left w:val="nil"/>
              <w:bottom w:val="nil"/>
              <w:right w:val="nil"/>
            </w:tcBorders>
            <w:shd w:val="clear" w:color="auto" w:fill="FFFFFF"/>
            <w:vAlign w:val="center"/>
            <w:hideMark/>
          </w:tcPr>
          <w:p w14:paraId="050C75F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16</w:t>
            </w:r>
          </w:p>
        </w:tc>
        <w:tc>
          <w:tcPr>
            <w:tcW w:w="316" w:type="pct"/>
            <w:tcBorders>
              <w:top w:val="nil"/>
              <w:left w:val="nil"/>
              <w:bottom w:val="nil"/>
              <w:right w:val="nil"/>
            </w:tcBorders>
            <w:shd w:val="clear" w:color="auto" w:fill="FFFFFF"/>
            <w:vAlign w:val="center"/>
            <w:hideMark/>
          </w:tcPr>
          <w:p w14:paraId="4A16610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.606</w:t>
            </w:r>
          </w:p>
        </w:tc>
        <w:tc>
          <w:tcPr>
            <w:tcW w:w="526" w:type="pct"/>
            <w:tcBorders>
              <w:top w:val="nil"/>
              <w:left w:val="nil"/>
              <w:bottom w:val="nil"/>
              <w:right w:val="nil"/>
            </w:tcBorders>
            <w:shd w:val="clear" w:color="auto" w:fill="FFFFFF"/>
            <w:vAlign w:val="center"/>
            <w:hideMark/>
          </w:tcPr>
          <w:p w14:paraId="5795B47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1.594</w:t>
            </w:r>
          </w:p>
        </w:tc>
        <w:tc>
          <w:tcPr>
            <w:tcW w:w="636" w:type="pct"/>
            <w:tcBorders>
              <w:top w:val="nil"/>
              <w:left w:val="nil"/>
              <w:bottom w:val="nil"/>
              <w:right w:val="nil"/>
            </w:tcBorders>
            <w:shd w:val="clear" w:color="auto" w:fill="FFFFFF"/>
            <w:vAlign w:val="center"/>
            <w:hideMark/>
          </w:tcPr>
          <w:p w14:paraId="25383DE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88.381</w:t>
            </w:r>
          </w:p>
        </w:tc>
        <w:tc>
          <w:tcPr>
            <w:tcW w:w="411" w:type="pct"/>
            <w:tcBorders>
              <w:top w:val="nil"/>
              <w:left w:val="nil"/>
              <w:bottom w:val="nil"/>
              <w:right w:val="nil"/>
            </w:tcBorders>
            <w:shd w:val="clear" w:color="auto" w:fill="FFFFFF"/>
          </w:tcPr>
          <w:p w14:paraId="79AB7B24"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42A00512"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0FEF5A16"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6C5FA999"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2CFA47D9"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18A30DA7"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50266FB3" w14:textId="77777777" w:rsidTr="008A0A89">
        <w:trPr>
          <w:cantSplit/>
          <w:trHeight w:val="243"/>
          <w:jc w:val="center"/>
        </w:trPr>
        <w:tc>
          <w:tcPr>
            <w:tcW w:w="472" w:type="pct"/>
            <w:tcBorders>
              <w:top w:val="nil"/>
              <w:left w:val="nil"/>
              <w:bottom w:val="nil"/>
              <w:right w:val="nil"/>
            </w:tcBorders>
            <w:shd w:val="clear" w:color="auto" w:fill="FFFFFF"/>
            <w:vAlign w:val="center"/>
            <w:hideMark/>
          </w:tcPr>
          <w:p w14:paraId="7C298DC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17</w:t>
            </w:r>
          </w:p>
        </w:tc>
        <w:tc>
          <w:tcPr>
            <w:tcW w:w="316" w:type="pct"/>
            <w:tcBorders>
              <w:top w:val="nil"/>
              <w:left w:val="nil"/>
              <w:bottom w:val="nil"/>
              <w:right w:val="nil"/>
            </w:tcBorders>
            <w:shd w:val="clear" w:color="auto" w:fill="FFFFFF"/>
            <w:vAlign w:val="center"/>
            <w:hideMark/>
          </w:tcPr>
          <w:p w14:paraId="6132402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.532</w:t>
            </w:r>
          </w:p>
        </w:tc>
        <w:tc>
          <w:tcPr>
            <w:tcW w:w="526" w:type="pct"/>
            <w:tcBorders>
              <w:top w:val="nil"/>
              <w:left w:val="nil"/>
              <w:bottom w:val="nil"/>
              <w:right w:val="nil"/>
            </w:tcBorders>
            <w:shd w:val="clear" w:color="auto" w:fill="FFFFFF"/>
            <w:vAlign w:val="center"/>
            <w:hideMark/>
          </w:tcPr>
          <w:p w14:paraId="5FD2E44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1.399</w:t>
            </w:r>
          </w:p>
        </w:tc>
        <w:tc>
          <w:tcPr>
            <w:tcW w:w="636" w:type="pct"/>
            <w:tcBorders>
              <w:top w:val="nil"/>
              <w:left w:val="nil"/>
              <w:bottom w:val="nil"/>
              <w:right w:val="nil"/>
            </w:tcBorders>
            <w:shd w:val="clear" w:color="auto" w:fill="FFFFFF"/>
            <w:vAlign w:val="center"/>
            <w:hideMark/>
          </w:tcPr>
          <w:p w14:paraId="388BD9F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89.780</w:t>
            </w:r>
          </w:p>
        </w:tc>
        <w:tc>
          <w:tcPr>
            <w:tcW w:w="411" w:type="pct"/>
            <w:tcBorders>
              <w:top w:val="nil"/>
              <w:left w:val="nil"/>
              <w:bottom w:val="nil"/>
              <w:right w:val="nil"/>
            </w:tcBorders>
            <w:shd w:val="clear" w:color="auto" w:fill="FFFFFF"/>
          </w:tcPr>
          <w:p w14:paraId="6835F40E"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78E0ABAD"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5E270FF2"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1B9B99BF"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3B65FE44"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52D8544A"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0FEDED61" w14:textId="77777777" w:rsidTr="008A0A89">
        <w:trPr>
          <w:cantSplit/>
          <w:trHeight w:val="243"/>
          <w:jc w:val="center"/>
        </w:trPr>
        <w:tc>
          <w:tcPr>
            <w:tcW w:w="472" w:type="pct"/>
            <w:tcBorders>
              <w:top w:val="nil"/>
              <w:left w:val="nil"/>
              <w:bottom w:val="nil"/>
              <w:right w:val="nil"/>
            </w:tcBorders>
            <w:shd w:val="clear" w:color="auto" w:fill="FFFFFF"/>
            <w:vAlign w:val="center"/>
            <w:hideMark/>
          </w:tcPr>
          <w:p w14:paraId="6D98178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18</w:t>
            </w:r>
          </w:p>
        </w:tc>
        <w:tc>
          <w:tcPr>
            <w:tcW w:w="316" w:type="pct"/>
            <w:tcBorders>
              <w:top w:val="nil"/>
              <w:left w:val="nil"/>
              <w:bottom w:val="nil"/>
              <w:right w:val="nil"/>
            </w:tcBorders>
            <w:shd w:val="clear" w:color="auto" w:fill="FFFFFF"/>
            <w:vAlign w:val="center"/>
            <w:hideMark/>
          </w:tcPr>
          <w:p w14:paraId="7ECC107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.432</w:t>
            </w:r>
          </w:p>
        </w:tc>
        <w:tc>
          <w:tcPr>
            <w:tcW w:w="526" w:type="pct"/>
            <w:tcBorders>
              <w:top w:val="nil"/>
              <w:left w:val="nil"/>
              <w:bottom w:val="nil"/>
              <w:right w:val="nil"/>
            </w:tcBorders>
            <w:shd w:val="clear" w:color="auto" w:fill="FFFFFF"/>
            <w:vAlign w:val="center"/>
            <w:hideMark/>
          </w:tcPr>
          <w:p w14:paraId="75A00DC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1.136</w:t>
            </w:r>
          </w:p>
        </w:tc>
        <w:tc>
          <w:tcPr>
            <w:tcW w:w="636" w:type="pct"/>
            <w:tcBorders>
              <w:top w:val="nil"/>
              <w:left w:val="nil"/>
              <w:bottom w:val="nil"/>
              <w:right w:val="nil"/>
            </w:tcBorders>
            <w:shd w:val="clear" w:color="auto" w:fill="FFFFFF"/>
            <w:vAlign w:val="center"/>
            <w:hideMark/>
          </w:tcPr>
          <w:p w14:paraId="183D6AD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90.916</w:t>
            </w:r>
          </w:p>
        </w:tc>
        <w:tc>
          <w:tcPr>
            <w:tcW w:w="411" w:type="pct"/>
            <w:tcBorders>
              <w:top w:val="nil"/>
              <w:left w:val="nil"/>
              <w:bottom w:val="nil"/>
              <w:right w:val="nil"/>
            </w:tcBorders>
            <w:shd w:val="clear" w:color="auto" w:fill="FFFFFF"/>
          </w:tcPr>
          <w:p w14:paraId="07381146"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0CFB5E22"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2256FE91"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7E70CDB3"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489041BD"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6136D749"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54307784" w14:textId="77777777" w:rsidTr="008A0A89">
        <w:trPr>
          <w:cantSplit/>
          <w:trHeight w:val="253"/>
          <w:jc w:val="center"/>
        </w:trPr>
        <w:tc>
          <w:tcPr>
            <w:tcW w:w="472" w:type="pct"/>
            <w:tcBorders>
              <w:top w:val="nil"/>
              <w:left w:val="nil"/>
              <w:bottom w:val="nil"/>
              <w:right w:val="nil"/>
            </w:tcBorders>
            <w:shd w:val="clear" w:color="auto" w:fill="FFFFFF"/>
            <w:vAlign w:val="center"/>
            <w:hideMark/>
          </w:tcPr>
          <w:p w14:paraId="35B85E4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19</w:t>
            </w:r>
          </w:p>
        </w:tc>
        <w:tc>
          <w:tcPr>
            <w:tcW w:w="316" w:type="pct"/>
            <w:tcBorders>
              <w:top w:val="nil"/>
              <w:left w:val="nil"/>
              <w:bottom w:val="nil"/>
              <w:right w:val="nil"/>
            </w:tcBorders>
            <w:shd w:val="clear" w:color="auto" w:fill="FFFFFF"/>
            <w:vAlign w:val="center"/>
            <w:hideMark/>
          </w:tcPr>
          <w:p w14:paraId="7D04D06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.427</w:t>
            </w:r>
          </w:p>
        </w:tc>
        <w:tc>
          <w:tcPr>
            <w:tcW w:w="526" w:type="pct"/>
            <w:tcBorders>
              <w:top w:val="nil"/>
              <w:left w:val="nil"/>
              <w:bottom w:val="nil"/>
              <w:right w:val="nil"/>
            </w:tcBorders>
            <w:shd w:val="clear" w:color="auto" w:fill="FFFFFF"/>
            <w:vAlign w:val="center"/>
            <w:hideMark/>
          </w:tcPr>
          <w:p w14:paraId="3CBC1C1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1.124</w:t>
            </w:r>
          </w:p>
        </w:tc>
        <w:tc>
          <w:tcPr>
            <w:tcW w:w="636" w:type="pct"/>
            <w:tcBorders>
              <w:top w:val="nil"/>
              <w:left w:val="nil"/>
              <w:bottom w:val="nil"/>
              <w:right w:val="nil"/>
            </w:tcBorders>
            <w:shd w:val="clear" w:color="auto" w:fill="FFFFFF"/>
            <w:vAlign w:val="center"/>
            <w:hideMark/>
          </w:tcPr>
          <w:p w14:paraId="178E975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92.040</w:t>
            </w:r>
          </w:p>
        </w:tc>
        <w:tc>
          <w:tcPr>
            <w:tcW w:w="411" w:type="pct"/>
            <w:tcBorders>
              <w:top w:val="nil"/>
              <w:left w:val="nil"/>
              <w:bottom w:val="nil"/>
              <w:right w:val="nil"/>
            </w:tcBorders>
            <w:shd w:val="clear" w:color="auto" w:fill="FFFFFF"/>
          </w:tcPr>
          <w:p w14:paraId="5451B209"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5D27E8A5"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5F14F8ED"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429E8705"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56AEAC5F"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0617A563"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09CC623C" w14:textId="77777777" w:rsidTr="008A0A89">
        <w:trPr>
          <w:cantSplit/>
          <w:trHeight w:val="243"/>
          <w:jc w:val="center"/>
        </w:trPr>
        <w:tc>
          <w:tcPr>
            <w:tcW w:w="472" w:type="pct"/>
            <w:tcBorders>
              <w:top w:val="nil"/>
              <w:left w:val="nil"/>
              <w:bottom w:val="nil"/>
              <w:right w:val="nil"/>
            </w:tcBorders>
            <w:shd w:val="clear" w:color="auto" w:fill="FFFFFF"/>
            <w:vAlign w:val="center"/>
            <w:hideMark/>
          </w:tcPr>
          <w:p w14:paraId="6265F7C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20</w:t>
            </w:r>
          </w:p>
        </w:tc>
        <w:tc>
          <w:tcPr>
            <w:tcW w:w="316" w:type="pct"/>
            <w:tcBorders>
              <w:top w:val="nil"/>
              <w:left w:val="nil"/>
              <w:bottom w:val="nil"/>
              <w:right w:val="nil"/>
            </w:tcBorders>
            <w:shd w:val="clear" w:color="auto" w:fill="FFFFFF"/>
            <w:vAlign w:val="center"/>
            <w:hideMark/>
          </w:tcPr>
          <w:p w14:paraId="7CDEFAD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.393</w:t>
            </w:r>
          </w:p>
        </w:tc>
        <w:tc>
          <w:tcPr>
            <w:tcW w:w="526" w:type="pct"/>
            <w:tcBorders>
              <w:top w:val="nil"/>
              <w:left w:val="nil"/>
              <w:bottom w:val="nil"/>
              <w:right w:val="nil"/>
            </w:tcBorders>
            <w:shd w:val="clear" w:color="auto" w:fill="FFFFFF"/>
            <w:vAlign w:val="center"/>
            <w:hideMark/>
          </w:tcPr>
          <w:p w14:paraId="114AAFE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1.033</w:t>
            </w:r>
          </w:p>
        </w:tc>
        <w:tc>
          <w:tcPr>
            <w:tcW w:w="636" w:type="pct"/>
            <w:tcBorders>
              <w:top w:val="nil"/>
              <w:left w:val="nil"/>
              <w:bottom w:val="nil"/>
              <w:right w:val="nil"/>
            </w:tcBorders>
            <w:shd w:val="clear" w:color="auto" w:fill="FFFFFF"/>
            <w:vAlign w:val="center"/>
            <w:hideMark/>
          </w:tcPr>
          <w:p w14:paraId="794AECA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93.073</w:t>
            </w:r>
          </w:p>
        </w:tc>
        <w:tc>
          <w:tcPr>
            <w:tcW w:w="411" w:type="pct"/>
            <w:tcBorders>
              <w:top w:val="nil"/>
              <w:left w:val="nil"/>
              <w:bottom w:val="nil"/>
              <w:right w:val="nil"/>
            </w:tcBorders>
            <w:shd w:val="clear" w:color="auto" w:fill="FFFFFF"/>
          </w:tcPr>
          <w:p w14:paraId="4A64FA23"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1EDCF126"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1D1C0FE1"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5899F2BE"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25025238"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6518F719"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5D6554A9" w14:textId="77777777" w:rsidTr="008A0A89">
        <w:trPr>
          <w:cantSplit/>
          <w:trHeight w:val="253"/>
          <w:jc w:val="center"/>
        </w:trPr>
        <w:tc>
          <w:tcPr>
            <w:tcW w:w="472" w:type="pct"/>
            <w:tcBorders>
              <w:top w:val="nil"/>
              <w:left w:val="nil"/>
              <w:bottom w:val="nil"/>
              <w:right w:val="nil"/>
            </w:tcBorders>
            <w:shd w:val="clear" w:color="auto" w:fill="FFFFFF"/>
            <w:vAlign w:val="center"/>
            <w:hideMark/>
          </w:tcPr>
          <w:p w14:paraId="00E15DB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21</w:t>
            </w:r>
          </w:p>
        </w:tc>
        <w:tc>
          <w:tcPr>
            <w:tcW w:w="316" w:type="pct"/>
            <w:tcBorders>
              <w:top w:val="nil"/>
              <w:left w:val="nil"/>
              <w:bottom w:val="nil"/>
              <w:right w:val="nil"/>
            </w:tcBorders>
            <w:shd w:val="clear" w:color="auto" w:fill="FFFFFF"/>
            <w:vAlign w:val="center"/>
            <w:hideMark/>
          </w:tcPr>
          <w:p w14:paraId="60D4AE4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.377</w:t>
            </w:r>
          </w:p>
        </w:tc>
        <w:tc>
          <w:tcPr>
            <w:tcW w:w="526" w:type="pct"/>
            <w:tcBorders>
              <w:top w:val="nil"/>
              <w:left w:val="nil"/>
              <w:bottom w:val="nil"/>
              <w:right w:val="nil"/>
            </w:tcBorders>
            <w:shd w:val="clear" w:color="auto" w:fill="FFFFFF"/>
            <w:vAlign w:val="center"/>
            <w:hideMark/>
          </w:tcPr>
          <w:p w14:paraId="5A2F15F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.992</w:t>
            </w:r>
          </w:p>
        </w:tc>
        <w:tc>
          <w:tcPr>
            <w:tcW w:w="636" w:type="pct"/>
            <w:tcBorders>
              <w:top w:val="nil"/>
              <w:left w:val="nil"/>
              <w:bottom w:val="nil"/>
              <w:right w:val="nil"/>
            </w:tcBorders>
            <w:shd w:val="clear" w:color="auto" w:fill="FFFFFF"/>
            <w:vAlign w:val="center"/>
            <w:hideMark/>
          </w:tcPr>
          <w:p w14:paraId="5B69814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94.065</w:t>
            </w:r>
          </w:p>
        </w:tc>
        <w:tc>
          <w:tcPr>
            <w:tcW w:w="411" w:type="pct"/>
            <w:tcBorders>
              <w:top w:val="nil"/>
              <w:left w:val="nil"/>
              <w:bottom w:val="nil"/>
              <w:right w:val="nil"/>
            </w:tcBorders>
            <w:shd w:val="clear" w:color="auto" w:fill="FFFFFF"/>
          </w:tcPr>
          <w:p w14:paraId="7992ADD4"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0B23A112"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70E6D72C"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62D9B68F"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553D644A"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2F3D4AA4"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042E649E" w14:textId="77777777" w:rsidTr="008A0A89">
        <w:trPr>
          <w:cantSplit/>
          <w:trHeight w:val="243"/>
          <w:jc w:val="center"/>
        </w:trPr>
        <w:tc>
          <w:tcPr>
            <w:tcW w:w="472" w:type="pct"/>
            <w:tcBorders>
              <w:top w:val="nil"/>
              <w:left w:val="nil"/>
              <w:bottom w:val="nil"/>
              <w:right w:val="nil"/>
            </w:tcBorders>
            <w:shd w:val="clear" w:color="auto" w:fill="FFFFFF"/>
            <w:vAlign w:val="center"/>
            <w:hideMark/>
          </w:tcPr>
          <w:p w14:paraId="136DC47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22</w:t>
            </w:r>
          </w:p>
        </w:tc>
        <w:tc>
          <w:tcPr>
            <w:tcW w:w="316" w:type="pct"/>
            <w:tcBorders>
              <w:top w:val="nil"/>
              <w:left w:val="nil"/>
              <w:bottom w:val="nil"/>
              <w:right w:val="nil"/>
            </w:tcBorders>
            <w:shd w:val="clear" w:color="auto" w:fill="FFFFFF"/>
            <w:vAlign w:val="center"/>
            <w:hideMark/>
          </w:tcPr>
          <w:p w14:paraId="7517DB3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.300</w:t>
            </w:r>
          </w:p>
        </w:tc>
        <w:tc>
          <w:tcPr>
            <w:tcW w:w="526" w:type="pct"/>
            <w:tcBorders>
              <w:top w:val="nil"/>
              <w:left w:val="nil"/>
              <w:bottom w:val="nil"/>
              <w:right w:val="nil"/>
            </w:tcBorders>
            <w:shd w:val="clear" w:color="auto" w:fill="FFFFFF"/>
            <w:vAlign w:val="center"/>
            <w:hideMark/>
          </w:tcPr>
          <w:p w14:paraId="2F424EE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.789</w:t>
            </w:r>
          </w:p>
        </w:tc>
        <w:tc>
          <w:tcPr>
            <w:tcW w:w="636" w:type="pct"/>
            <w:tcBorders>
              <w:top w:val="nil"/>
              <w:left w:val="nil"/>
              <w:bottom w:val="nil"/>
              <w:right w:val="nil"/>
            </w:tcBorders>
            <w:shd w:val="clear" w:color="auto" w:fill="FFFFFF"/>
            <w:vAlign w:val="center"/>
            <w:hideMark/>
          </w:tcPr>
          <w:p w14:paraId="1DD9160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94.854</w:t>
            </w:r>
          </w:p>
        </w:tc>
        <w:tc>
          <w:tcPr>
            <w:tcW w:w="411" w:type="pct"/>
            <w:tcBorders>
              <w:top w:val="nil"/>
              <w:left w:val="nil"/>
              <w:bottom w:val="nil"/>
              <w:right w:val="nil"/>
            </w:tcBorders>
            <w:shd w:val="clear" w:color="auto" w:fill="FFFFFF"/>
          </w:tcPr>
          <w:p w14:paraId="2C2F1A42"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260F184A"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2C239F35"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6D9F834D"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1B7D1304"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284F459D"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61E1CEF6" w14:textId="77777777" w:rsidTr="008A0A89">
        <w:trPr>
          <w:cantSplit/>
          <w:trHeight w:val="243"/>
          <w:jc w:val="center"/>
        </w:trPr>
        <w:tc>
          <w:tcPr>
            <w:tcW w:w="472" w:type="pct"/>
            <w:tcBorders>
              <w:top w:val="nil"/>
              <w:left w:val="nil"/>
              <w:bottom w:val="nil"/>
              <w:right w:val="nil"/>
            </w:tcBorders>
            <w:shd w:val="clear" w:color="auto" w:fill="FFFFFF"/>
            <w:vAlign w:val="center"/>
            <w:hideMark/>
          </w:tcPr>
          <w:p w14:paraId="02D6A6F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23</w:t>
            </w:r>
          </w:p>
        </w:tc>
        <w:tc>
          <w:tcPr>
            <w:tcW w:w="316" w:type="pct"/>
            <w:tcBorders>
              <w:top w:val="nil"/>
              <w:left w:val="nil"/>
              <w:bottom w:val="nil"/>
              <w:right w:val="nil"/>
            </w:tcBorders>
            <w:shd w:val="clear" w:color="auto" w:fill="FFFFFF"/>
            <w:vAlign w:val="center"/>
            <w:hideMark/>
          </w:tcPr>
          <w:p w14:paraId="7FCF1F1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.265</w:t>
            </w:r>
          </w:p>
        </w:tc>
        <w:tc>
          <w:tcPr>
            <w:tcW w:w="526" w:type="pct"/>
            <w:tcBorders>
              <w:top w:val="nil"/>
              <w:left w:val="nil"/>
              <w:bottom w:val="nil"/>
              <w:right w:val="nil"/>
            </w:tcBorders>
            <w:shd w:val="clear" w:color="auto" w:fill="FFFFFF"/>
            <w:vAlign w:val="center"/>
            <w:hideMark/>
          </w:tcPr>
          <w:p w14:paraId="47E9011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.697</w:t>
            </w:r>
          </w:p>
        </w:tc>
        <w:tc>
          <w:tcPr>
            <w:tcW w:w="636" w:type="pct"/>
            <w:tcBorders>
              <w:top w:val="nil"/>
              <w:left w:val="nil"/>
              <w:bottom w:val="nil"/>
              <w:right w:val="nil"/>
            </w:tcBorders>
            <w:shd w:val="clear" w:color="auto" w:fill="FFFFFF"/>
            <w:vAlign w:val="center"/>
            <w:hideMark/>
          </w:tcPr>
          <w:p w14:paraId="50DB954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95.551</w:t>
            </w:r>
          </w:p>
        </w:tc>
        <w:tc>
          <w:tcPr>
            <w:tcW w:w="411" w:type="pct"/>
            <w:tcBorders>
              <w:top w:val="nil"/>
              <w:left w:val="nil"/>
              <w:bottom w:val="nil"/>
              <w:right w:val="nil"/>
            </w:tcBorders>
            <w:shd w:val="clear" w:color="auto" w:fill="FFFFFF"/>
          </w:tcPr>
          <w:p w14:paraId="12FA173D"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1F5A4838"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659143A4"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10DCC65E"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00B2CB2F"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6629850A"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179D16C1" w14:textId="77777777" w:rsidTr="008A0A89">
        <w:trPr>
          <w:cantSplit/>
          <w:trHeight w:val="253"/>
          <w:jc w:val="center"/>
        </w:trPr>
        <w:tc>
          <w:tcPr>
            <w:tcW w:w="472" w:type="pct"/>
            <w:tcBorders>
              <w:top w:val="nil"/>
              <w:left w:val="nil"/>
              <w:bottom w:val="nil"/>
              <w:right w:val="nil"/>
            </w:tcBorders>
            <w:shd w:val="clear" w:color="auto" w:fill="FFFFFF"/>
            <w:vAlign w:val="center"/>
            <w:hideMark/>
          </w:tcPr>
          <w:p w14:paraId="2ECDA21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24</w:t>
            </w:r>
          </w:p>
        </w:tc>
        <w:tc>
          <w:tcPr>
            <w:tcW w:w="316" w:type="pct"/>
            <w:tcBorders>
              <w:top w:val="nil"/>
              <w:left w:val="nil"/>
              <w:bottom w:val="nil"/>
              <w:right w:val="nil"/>
            </w:tcBorders>
            <w:shd w:val="clear" w:color="auto" w:fill="FFFFFF"/>
            <w:vAlign w:val="center"/>
            <w:hideMark/>
          </w:tcPr>
          <w:p w14:paraId="21D0F7D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.232</w:t>
            </w:r>
          </w:p>
        </w:tc>
        <w:tc>
          <w:tcPr>
            <w:tcW w:w="526" w:type="pct"/>
            <w:tcBorders>
              <w:top w:val="nil"/>
              <w:left w:val="nil"/>
              <w:bottom w:val="nil"/>
              <w:right w:val="nil"/>
            </w:tcBorders>
            <w:shd w:val="clear" w:color="auto" w:fill="FFFFFF"/>
            <w:vAlign w:val="center"/>
            <w:hideMark/>
          </w:tcPr>
          <w:p w14:paraId="68C0F3F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.611</w:t>
            </w:r>
          </w:p>
        </w:tc>
        <w:tc>
          <w:tcPr>
            <w:tcW w:w="636" w:type="pct"/>
            <w:tcBorders>
              <w:top w:val="nil"/>
              <w:left w:val="nil"/>
              <w:bottom w:val="nil"/>
              <w:right w:val="nil"/>
            </w:tcBorders>
            <w:shd w:val="clear" w:color="auto" w:fill="FFFFFF"/>
            <w:vAlign w:val="center"/>
            <w:hideMark/>
          </w:tcPr>
          <w:p w14:paraId="4D5CCE3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96.162</w:t>
            </w:r>
          </w:p>
        </w:tc>
        <w:tc>
          <w:tcPr>
            <w:tcW w:w="411" w:type="pct"/>
            <w:tcBorders>
              <w:top w:val="nil"/>
              <w:left w:val="nil"/>
              <w:bottom w:val="nil"/>
              <w:right w:val="nil"/>
            </w:tcBorders>
            <w:shd w:val="clear" w:color="auto" w:fill="FFFFFF"/>
          </w:tcPr>
          <w:p w14:paraId="7C5FA1EA"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7BD385F7"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7CC74D96"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04F87340"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4A6A0630"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607C3228"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5DFE846F" w14:textId="77777777" w:rsidTr="008A0A89">
        <w:trPr>
          <w:cantSplit/>
          <w:trHeight w:val="243"/>
          <w:jc w:val="center"/>
        </w:trPr>
        <w:tc>
          <w:tcPr>
            <w:tcW w:w="472" w:type="pct"/>
            <w:tcBorders>
              <w:top w:val="nil"/>
              <w:left w:val="nil"/>
              <w:bottom w:val="nil"/>
              <w:right w:val="nil"/>
            </w:tcBorders>
            <w:shd w:val="clear" w:color="auto" w:fill="FFFFFF"/>
            <w:vAlign w:val="center"/>
            <w:hideMark/>
          </w:tcPr>
          <w:p w14:paraId="007EA50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25</w:t>
            </w:r>
          </w:p>
        </w:tc>
        <w:tc>
          <w:tcPr>
            <w:tcW w:w="316" w:type="pct"/>
            <w:tcBorders>
              <w:top w:val="nil"/>
              <w:left w:val="nil"/>
              <w:bottom w:val="nil"/>
              <w:right w:val="nil"/>
            </w:tcBorders>
            <w:shd w:val="clear" w:color="auto" w:fill="FFFFFF"/>
            <w:vAlign w:val="center"/>
            <w:hideMark/>
          </w:tcPr>
          <w:p w14:paraId="158D0EB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.229</w:t>
            </w:r>
          </w:p>
        </w:tc>
        <w:tc>
          <w:tcPr>
            <w:tcW w:w="526" w:type="pct"/>
            <w:tcBorders>
              <w:top w:val="nil"/>
              <w:left w:val="nil"/>
              <w:bottom w:val="nil"/>
              <w:right w:val="nil"/>
            </w:tcBorders>
            <w:shd w:val="clear" w:color="auto" w:fill="FFFFFF"/>
            <w:vAlign w:val="center"/>
            <w:hideMark/>
          </w:tcPr>
          <w:p w14:paraId="5F7AB69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.603</w:t>
            </w:r>
          </w:p>
        </w:tc>
        <w:tc>
          <w:tcPr>
            <w:tcW w:w="636" w:type="pct"/>
            <w:tcBorders>
              <w:top w:val="nil"/>
              <w:left w:val="nil"/>
              <w:bottom w:val="nil"/>
              <w:right w:val="nil"/>
            </w:tcBorders>
            <w:shd w:val="clear" w:color="auto" w:fill="FFFFFF"/>
            <w:vAlign w:val="center"/>
            <w:hideMark/>
          </w:tcPr>
          <w:p w14:paraId="01BC572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96.765</w:t>
            </w:r>
          </w:p>
        </w:tc>
        <w:tc>
          <w:tcPr>
            <w:tcW w:w="411" w:type="pct"/>
            <w:tcBorders>
              <w:top w:val="nil"/>
              <w:left w:val="nil"/>
              <w:bottom w:val="nil"/>
              <w:right w:val="nil"/>
            </w:tcBorders>
            <w:shd w:val="clear" w:color="auto" w:fill="FFFFFF"/>
          </w:tcPr>
          <w:p w14:paraId="31673DB1"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60B68BB0"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5619CE5B"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370E56B8"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3C21ACA2"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72E889E1"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559E8C02" w14:textId="77777777" w:rsidTr="008A0A89">
        <w:trPr>
          <w:cantSplit/>
          <w:trHeight w:val="253"/>
          <w:jc w:val="center"/>
        </w:trPr>
        <w:tc>
          <w:tcPr>
            <w:tcW w:w="472" w:type="pct"/>
            <w:tcBorders>
              <w:top w:val="nil"/>
              <w:left w:val="nil"/>
              <w:bottom w:val="nil"/>
              <w:right w:val="nil"/>
            </w:tcBorders>
            <w:shd w:val="clear" w:color="auto" w:fill="FFFFFF"/>
            <w:vAlign w:val="center"/>
            <w:hideMark/>
          </w:tcPr>
          <w:p w14:paraId="082B6E5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26</w:t>
            </w:r>
          </w:p>
        </w:tc>
        <w:tc>
          <w:tcPr>
            <w:tcW w:w="316" w:type="pct"/>
            <w:tcBorders>
              <w:top w:val="nil"/>
              <w:left w:val="nil"/>
              <w:bottom w:val="nil"/>
              <w:right w:val="nil"/>
            </w:tcBorders>
            <w:shd w:val="clear" w:color="auto" w:fill="FFFFFF"/>
            <w:vAlign w:val="center"/>
            <w:hideMark/>
          </w:tcPr>
          <w:p w14:paraId="0535D00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.227</w:t>
            </w:r>
          </w:p>
        </w:tc>
        <w:tc>
          <w:tcPr>
            <w:tcW w:w="526" w:type="pct"/>
            <w:tcBorders>
              <w:top w:val="nil"/>
              <w:left w:val="nil"/>
              <w:bottom w:val="nil"/>
              <w:right w:val="nil"/>
            </w:tcBorders>
            <w:shd w:val="clear" w:color="auto" w:fill="FFFFFF"/>
            <w:vAlign w:val="center"/>
            <w:hideMark/>
          </w:tcPr>
          <w:p w14:paraId="7C7AB27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.597</w:t>
            </w:r>
          </w:p>
        </w:tc>
        <w:tc>
          <w:tcPr>
            <w:tcW w:w="636" w:type="pct"/>
            <w:tcBorders>
              <w:top w:val="nil"/>
              <w:left w:val="nil"/>
              <w:bottom w:val="nil"/>
              <w:right w:val="nil"/>
            </w:tcBorders>
            <w:shd w:val="clear" w:color="auto" w:fill="FFFFFF"/>
            <w:vAlign w:val="center"/>
            <w:hideMark/>
          </w:tcPr>
          <w:p w14:paraId="0A1DB78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97.363</w:t>
            </w:r>
          </w:p>
        </w:tc>
        <w:tc>
          <w:tcPr>
            <w:tcW w:w="411" w:type="pct"/>
            <w:tcBorders>
              <w:top w:val="nil"/>
              <w:left w:val="nil"/>
              <w:bottom w:val="nil"/>
              <w:right w:val="nil"/>
            </w:tcBorders>
            <w:shd w:val="clear" w:color="auto" w:fill="FFFFFF"/>
          </w:tcPr>
          <w:p w14:paraId="31179622"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70E75E21"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771318A3"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32A520C6"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03E713A4"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52E92789"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48ECDE40" w14:textId="77777777" w:rsidTr="008A0A89">
        <w:trPr>
          <w:cantSplit/>
          <w:trHeight w:val="243"/>
          <w:jc w:val="center"/>
        </w:trPr>
        <w:tc>
          <w:tcPr>
            <w:tcW w:w="472" w:type="pct"/>
            <w:tcBorders>
              <w:top w:val="nil"/>
              <w:left w:val="nil"/>
              <w:bottom w:val="nil"/>
              <w:right w:val="nil"/>
            </w:tcBorders>
            <w:shd w:val="clear" w:color="auto" w:fill="FFFFFF"/>
            <w:vAlign w:val="center"/>
            <w:hideMark/>
          </w:tcPr>
          <w:p w14:paraId="3E6E0F6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27</w:t>
            </w:r>
          </w:p>
        </w:tc>
        <w:tc>
          <w:tcPr>
            <w:tcW w:w="316" w:type="pct"/>
            <w:tcBorders>
              <w:top w:val="nil"/>
              <w:left w:val="nil"/>
              <w:bottom w:val="nil"/>
              <w:right w:val="nil"/>
            </w:tcBorders>
            <w:shd w:val="clear" w:color="auto" w:fill="FFFFFF"/>
            <w:vAlign w:val="center"/>
            <w:hideMark/>
          </w:tcPr>
          <w:p w14:paraId="1F50D03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.160</w:t>
            </w:r>
          </w:p>
        </w:tc>
        <w:tc>
          <w:tcPr>
            <w:tcW w:w="526" w:type="pct"/>
            <w:tcBorders>
              <w:top w:val="nil"/>
              <w:left w:val="nil"/>
              <w:bottom w:val="nil"/>
              <w:right w:val="nil"/>
            </w:tcBorders>
            <w:shd w:val="clear" w:color="auto" w:fill="FFFFFF"/>
            <w:vAlign w:val="center"/>
            <w:hideMark/>
          </w:tcPr>
          <w:p w14:paraId="7A51590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.422</w:t>
            </w:r>
          </w:p>
        </w:tc>
        <w:tc>
          <w:tcPr>
            <w:tcW w:w="636" w:type="pct"/>
            <w:tcBorders>
              <w:top w:val="nil"/>
              <w:left w:val="nil"/>
              <w:bottom w:val="nil"/>
              <w:right w:val="nil"/>
            </w:tcBorders>
            <w:shd w:val="clear" w:color="auto" w:fill="FFFFFF"/>
            <w:vAlign w:val="center"/>
            <w:hideMark/>
          </w:tcPr>
          <w:p w14:paraId="1DD1231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97.784</w:t>
            </w:r>
          </w:p>
        </w:tc>
        <w:tc>
          <w:tcPr>
            <w:tcW w:w="411" w:type="pct"/>
            <w:tcBorders>
              <w:top w:val="nil"/>
              <w:left w:val="nil"/>
              <w:bottom w:val="nil"/>
              <w:right w:val="nil"/>
            </w:tcBorders>
            <w:shd w:val="clear" w:color="auto" w:fill="FFFFFF"/>
          </w:tcPr>
          <w:p w14:paraId="7B3C9A3F"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5EF6621D"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2D1EDCDC"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140BB419"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2008E432"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10272616"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3F6C14C3" w14:textId="77777777" w:rsidTr="008A0A89">
        <w:trPr>
          <w:cantSplit/>
          <w:trHeight w:val="243"/>
          <w:jc w:val="center"/>
        </w:trPr>
        <w:tc>
          <w:tcPr>
            <w:tcW w:w="472" w:type="pct"/>
            <w:tcBorders>
              <w:top w:val="nil"/>
              <w:left w:val="nil"/>
              <w:bottom w:val="nil"/>
              <w:right w:val="nil"/>
            </w:tcBorders>
            <w:shd w:val="clear" w:color="auto" w:fill="FFFFFF"/>
            <w:vAlign w:val="center"/>
            <w:hideMark/>
          </w:tcPr>
          <w:p w14:paraId="4217294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28</w:t>
            </w:r>
          </w:p>
        </w:tc>
        <w:tc>
          <w:tcPr>
            <w:tcW w:w="316" w:type="pct"/>
            <w:tcBorders>
              <w:top w:val="nil"/>
              <w:left w:val="nil"/>
              <w:bottom w:val="nil"/>
              <w:right w:val="nil"/>
            </w:tcBorders>
            <w:shd w:val="clear" w:color="auto" w:fill="FFFFFF"/>
            <w:vAlign w:val="center"/>
            <w:hideMark/>
          </w:tcPr>
          <w:p w14:paraId="0D981F9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.140</w:t>
            </w:r>
          </w:p>
        </w:tc>
        <w:tc>
          <w:tcPr>
            <w:tcW w:w="526" w:type="pct"/>
            <w:tcBorders>
              <w:top w:val="nil"/>
              <w:left w:val="nil"/>
              <w:bottom w:val="nil"/>
              <w:right w:val="nil"/>
            </w:tcBorders>
            <w:shd w:val="clear" w:color="auto" w:fill="FFFFFF"/>
            <w:vAlign w:val="center"/>
            <w:hideMark/>
          </w:tcPr>
          <w:p w14:paraId="20012C5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.367</w:t>
            </w:r>
          </w:p>
        </w:tc>
        <w:tc>
          <w:tcPr>
            <w:tcW w:w="636" w:type="pct"/>
            <w:tcBorders>
              <w:top w:val="nil"/>
              <w:left w:val="nil"/>
              <w:bottom w:val="nil"/>
              <w:right w:val="nil"/>
            </w:tcBorders>
            <w:shd w:val="clear" w:color="auto" w:fill="FFFFFF"/>
            <w:vAlign w:val="center"/>
            <w:hideMark/>
          </w:tcPr>
          <w:p w14:paraId="680FC85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98.152</w:t>
            </w:r>
          </w:p>
        </w:tc>
        <w:tc>
          <w:tcPr>
            <w:tcW w:w="411" w:type="pct"/>
            <w:tcBorders>
              <w:top w:val="nil"/>
              <w:left w:val="nil"/>
              <w:bottom w:val="nil"/>
              <w:right w:val="nil"/>
            </w:tcBorders>
            <w:shd w:val="clear" w:color="auto" w:fill="FFFFFF"/>
          </w:tcPr>
          <w:p w14:paraId="4084D824"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4364BB90"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0A7C5F07"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60564F9B"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6A38D2C2"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20FA5A6F"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12DAD1C7" w14:textId="77777777" w:rsidTr="008A0A89">
        <w:trPr>
          <w:cantSplit/>
          <w:trHeight w:val="253"/>
          <w:jc w:val="center"/>
        </w:trPr>
        <w:tc>
          <w:tcPr>
            <w:tcW w:w="472" w:type="pct"/>
            <w:tcBorders>
              <w:top w:val="nil"/>
              <w:left w:val="nil"/>
              <w:bottom w:val="nil"/>
              <w:right w:val="nil"/>
            </w:tcBorders>
            <w:shd w:val="clear" w:color="auto" w:fill="FFFFFF"/>
            <w:vAlign w:val="center"/>
            <w:hideMark/>
          </w:tcPr>
          <w:p w14:paraId="30655EC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29</w:t>
            </w:r>
          </w:p>
        </w:tc>
        <w:tc>
          <w:tcPr>
            <w:tcW w:w="316" w:type="pct"/>
            <w:tcBorders>
              <w:top w:val="nil"/>
              <w:left w:val="nil"/>
              <w:bottom w:val="nil"/>
              <w:right w:val="nil"/>
            </w:tcBorders>
            <w:shd w:val="clear" w:color="auto" w:fill="FFFFFF"/>
            <w:vAlign w:val="center"/>
            <w:hideMark/>
          </w:tcPr>
          <w:p w14:paraId="3BF194E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.127</w:t>
            </w:r>
          </w:p>
        </w:tc>
        <w:tc>
          <w:tcPr>
            <w:tcW w:w="526" w:type="pct"/>
            <w:tcBorders>
              <w:top w:val="nil"/>
              <w:left w:val="nil"/>
              <w:bottom w:val="nil"/>
              <w:right w:val="nil"/>
            </w:tcBorders>
            <w:shd w:val="clear" w:color="auto" w:fill="FFFFFF"/>
            <w:vAlign w:val="center"/>
            <w:hideMark/>
          </w:tcPr>
          <w:p w14:paraId="3DEABDA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.334</w:t>
            </w:r>
          </w:p>
        </w:tc>
        <w:tc>
          <w:tcPr>
            <w:tcW w:w="636" w:type="pct"/>
            <w:tcBorders>
              <w:top w:val="nil"/>
              <w:left w:val="nil"/>
              <w:bottom w:val="nil"/>
              <w:right w:val="nil"/>
            </w:tcBorders>
            <w:shd w:val="clear" w:color="auto" w:fill="FFFFFF"/>
            <w:vAlign w:val="center"/>
            <w:hideMark/>
          </w:tcPr>
          <w:p w14:paraId="717BB2E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98.486</w:t>
            </w:r>
          </w:p>
        </w:tc>
        <w:tc>
          <w:tcPr>
            <w:tcW w:w="411" w:type="pct"/>
            <w:tcBorders>
              <w:top w:val="nil"/>
              <w:left w:val="nil"/>
              <w:bottom w:val="nil"/>
              <w:right w:val="nil"/>
            </w:tcBorders>
            <w:shd w:val="clear" w:color="auto" w:fill="FFFFFF"/>
          </w:tcPr>
          <w:p w14:paraId="318AF09B"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3A3D3610"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594FCFCA"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65E35943"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5DE45A39"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1C66125A"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0BCC5EDB" w14:textId="77777777" w:rsidTr="008A0A89">
        <w:trPr>
          <w:cantSplit/>
          <w:trHeight w:val="243"/>
          <w:jc w:val="center"/>
        </w:trPr>
        <w:tc>
          <w:tcPr>
            <w:tcW w:w="472" w:type="pct"/>
            <w:tcBorders>
              <w:top w:val="nil"/>
              <w:left w:val="nil"/>
              <w:bottom w:val="nil"/>
              <w:right w:val="nil"/>
            </w:tcBorders>
            <w:shd w:val="clear" w:color="auto" w:fill="FFFFFF"/>
            <w:vAlign w:val="center"/>
            <w:hideMark/>
          </w:tcPr>
          <w:p w14:paraId="6FAE72E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30</w:t>
            </w:r>
          </w:p>
        </w:tc>
        <w:tc>
          <w:tcPr>
            <w:tcW w:w="316" w:type="pct"/>
            <w:tcBorders>
              <w:top w:val="nil"/>
              <w:left w:val="nil"/>
              <w:bottom w:val="nil"/>
              <w:right w:val="nil"/>
            </w:tcBorders>
            <w:shd w:val="clear" w:color="auto" w:fill="FFFFFF"/>
            <w:vAlign w:val="center"/>
            <w:hideMark/>
          </w:tcPr>
          <w:p w14:paraId="127B80F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.111</w:t>
            </w:r>
          </w:p>
        </w:tc>
        <w:tc>
          <w:tcPr>
            <w:tcW w:w="526" w:type="pct"/>
            <w:tcBorders>
              <w:top w:val="nil"/>
              <w:left w:val="nil"/>
              <w:bottom w:val="nil"/>
              <w:right w:val="nil"/>
            </w:tcBorders>
            <w:shd w:val="clear" w:color="auto" w:fill="FFFFFF"/>
            <w:vAlign w:val="center"/>
            <w:hideMark/>
          </w:tcPr>
          <w:p w14:paraId="270FEE5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.293</w:t>
            </w:r>
          </w:p>
        </w:tc>
        <w:tc>
          <w:tcPr>
            <w:tcW w:w="636" w:type="pct"/>
            <w:tcBorders>
              <w:top w:val="nil"/>
              <w:left w:val="nil"/>
              <w:bottom w:val="nil"/>
              <w:right w:val="nil"/>
            </w:tcBorders>
            <w:shd w:val="clear" w:color="auto" w:fill="FFFFFF"/>
            <w:vAlign w:val="center"/>
            <w:hideMark/>
          </w:tcPr>
          <w:p w14:paraId="293701D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98.779</w:t>
            </w:r>
          </w:p>
        </w:tc>
        <w:tc>
          <w:tcPr>
            <w:tcW w:w="411" w:type="pct"/>
            <w:tcBorders>
              <w:top w:val="nil"/>
              <w:left w:val="nil"/>
              <w:bottom w:val="nil"/>
              <w:right w:val="nil"/>
            </w:tcBorders>
            <w:shd w:val="clear" w:color="auto" w:fill="FFFFFF"/>
          </w:tcPr>
          <w:p w14:paraId="3E4EF345"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75D76732"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639ECDCA"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5E49BC7C"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4DD0D5C9"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5FA659B5"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4ED46813" w14:textId="77777777" w:rsidTr="008A0A89">
        <w:trPr>
          <w:cantSplit/>
          <w:trHeight w:val="253"/>
          <w:jc w:val="center"/>
        </w:trPr>
        <w:tc>
          <w:tcPr>
            <w:tcW w:w="472" w:type="pct"/>
            <w:tcBorders>
              <w:top w:val="nil"/>
              <w:left w:val="nil"/>
              <w:bottom w:val="nil"/>
              <w:right w:val="nil"/>
            </w:tcBorders>
            <w:shd w:val="clear" w:color="auto" w:fill="FFFFFF"/>
            <w:vAlign w:val="center"/>
            <w:hideMark/>
          </w:tcPr>
          <w:p w14:paraId="3A5FB2D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31</w:t>
            </w:r>
          </w:p>
        </w:tc>
        <w:tc>
          <w:tcPr>
            <w:tcW w:w="316" w:type="pct"/>
            <w:tcBorders>
              <w:top w:val="nil"/>
              <w:left w:val="nil"/>
              <w:bottom w:val="nil"/>
              <w:right w:val="nil"/>
            </w:tcBorders>
            <w:shd w:val="clear" w:color="auto" w:fill="FFFFFF"/>
            <w:vAlign w:val="center"/>
            <w:hideMark/>
          </w:tcPr>
          <w:p w14:paraId="045C3C7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.085</w:t>
            </w:r>
          </w:p>
        </w:tc>
        <w:tc>
          <w:tcPr>
            <w:tcW w:w="526" w:type="pct"/>
            <w:tcBorders>
              <w:top w:val="nil"/>
              <w:left w:val="nil"/>
              <w:bottom w:val="nil"/>
              <w:right w:val="nil"/>
            </w:tcBorders>
            <w:shd w:val="clear" w:color="auto" w:fill="FFFFFF"/>
            <w:vAlign w:val="center"/>
            <w:hideMark/>
          </w:tcPr>
          <w:p w14:paraId="6189809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.225</w:t>
            </w:r>
          </w:p>
        </w:tc>
        <w:tc>
          <w:tcPr>
            <w:tcW w:w="636" w:type="pct"/>
            <w:tcBorders>
              <w:top w:val="nil"/>
              <w:left w:val="nil"/>
              <w:bottom w:val="nil"/>
              <w:right w:val="nil"/>
            </w:tcBorders>
            <w:shd w:val="clear" w:color="auto" w:fill="FFFFFF"/>
            <w:vAlign w:val="center"/>
            <w:hideMark/>
          </w:tcPr>
          <w:p w14:paraId="73162FD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99.004</w:t>
            </w:r>
          </w:p>
        </w:tc>
        <w:tc>
          <w:tcPr>
            <w:tcW w:w="411" w:type="pct"/>
            <w:tcBorders>
              <w:top w:val="nil"/>
              <w:left w:val="nil"/>
              <w:bottom w:val="nil"/>
              <w:right w:val="nil"/>
            </w:tcBorders>
            <w:shd w:val="clear" w:color="auto" w:fill="FFFFFF"/>
          </w:tcPr>
          <w:p w14:paraId="35370E6C"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1C3116AF"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223FFC10"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0BB5A60B"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52AF9843"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357118E2"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263039DF" w14:textId="77777777" w:rsidTr="008A0A89">
        <w:trPr>
          <w:cantSplit/>
          <w:trHeight w:val="243"/>
          <w:jc w:val="center"/>
        </w:trPr>
        <w:tc>
          <w:tcPr>
            <w:tcW w:w="472" w:type="pct"/>
            <w:tcBorders>
              <w:top w:val="nil"/>
              <w:left w:val="nil"/>
              <w:bottom w:val="nil"/>
              <w:right w:val="nil"/>
            </w:tcBorders>
            <w:shd w:val="clear" w:color="auto" w:fill="FFFFFF"/>
            <w:vAlign w:val="center"/>
            <w:hideMark/>
          </w:tcPr>
          <w:p w14:paraId="45A96FC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32</w:t>
            </w:r>
          </w:p>
        </w:tc>
        <w:tc>
          <w:tcPr>
            <w:tcW w:w="316" w:type="pct"/>
            <w:tcBorders>
              <w:top w:val="nil"/>
              <w:left w:val="nil"/>
              <w:bottom w:val="nil"/>
              <w:right w:val="nil"/>
            </w:tcBorders>
            <w:shd w:val="clear" w:color="auto" w:fill="FFFFFF"/>
            <w:vAlign w:val="center"/>
            <w:hideMark/>
          </w:tcPr>
          <w:p w14:paraId="1032EF9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.077</w:t>
            </w:r>
          </w:p>
        </w:tc>
        <w:tc>
          <w:tcPr>
            <w:tcW w:w="526" w:type="pct"/>
            <w:tcBorders>
              <w:top w:val="nil"/>
              <w:left w:val="nil"/>
              <w:bottom w:val="nil"/>
              <w:right w:val="nil"/>
            </w:tcBorders>
            <w:shd w:val="clear" w:color="auto" w:fill="FFFFFF"/>
            <w:vAlign w:val="center"/>
            <w:hideMark/>
          </w:tcPr>
          <w:p w14:paraId="0D1DCE0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.203</w:t>
            </w:r>
          </w:p>
        </w:tc>
        <w:tc>
          <w:tcPr>
            <w:tcW w:w="636" w:type="pct"/>
            <w:tcBorders>
              <w:top w:val="nil"/>
              <w:left w:val="nil"/>
              <w:bottom w:val="nil"/>
              <w:right w:val="nil"/>
            </w:tcBorders>
            <w:shd w:val="clear" w:color="auto" w:fill="FFFFFF"/>
            <w:vAlign w:val="center"/>
            <w:hideMark/>
          </w:tcPr>
          <w:p w14:paraId="4B7553B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99.207</w:t>
            </w:r>
          </w:p>
        </w:tc>
        <w:tc>
          <w:tcPr>
            <w:tcW w:w="411" w:type="pct"/>
            <w:tcBorders>
              <w:top w:val="nil"/>
              <w:left w:val="nil"/>
              <w:bottom w:val="nil"/>
              <w:right w:val="nil"/>
            </w:tcBorders>
            <w:shd w:val="clear" w:color="auto" w:fill="FFFFFF"/>
          </w:tcPr>
          <w:p w14:paraId="6F1921F0"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3237F690"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27FACE40"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5BC74238"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06443770"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020F760B"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44934FDE" w14:textId="77777777" w:rsidTr="008A0A89">
        <w:trPr>
          <w:cantSplit/>
          <w:trHeight w:val="243"/>
          <w:jc w:val="center"/>
        </w:trPr>
        <w:tc>
          <w:tcPr>
            <w:tcW w:w="472" w:type="pct"/>
            <w:tcBorders>
              <w:top w:val="nil"/>
              <w:left w:val="nil"/>
              <w:bottom w:val="nil"/>
              <w:right w:val="nil"/>
            </w:tcBorders>
            <w:shd w:val="clear" w:color="auto" w:fill="FFFFFF"/>
            <w:vAlign w:val="center"/>
            <w:hideMark/>
          </w:tcPr>
          <w:p w14:paraId="2328EA7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33</w:t>
            </w:r>
          </w:p>
        </w:tc>
        <w:tc>
          <w:tcPr>
            <w:tcW w:w="316" w:type="pct"/>
            <w:tcBorders>
              <w:top w:val="nil"/>
              <w:left w:val="nil"/>
              <w:bottom w:val="nil"/>
              <w:right w:val="nil"/>
            </w:tcBorders>
            <w:shd w:val="clear" w:color="auto" w:fill="FFFFFF"/>
            <w:vAlign w:val="center"/>
            <w:hideMark/>
          </w:tcPr>
          <w:p w14:paraId="73B8C36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.075</w:t>
            </w:r>
          </w:p>
        </w:tc>
        <w:tc>
          <w:tcPr>
            <w:tcW w:w="526" w:type="pct"/>
            <w:tcBorders>
              <w:top w:val="nil"/>
              <w:left w:val="nil"/>
              <w:bottom w:val="nil"/>
              <w:right w:val="nil"/>
            </w:tcBorders>
            <w:shd w:val="clear" w:color="auto" w:fill="FFFFFF"/>
            <w:vAlign w:val="center"/>
            <w:hideMark/>
          </w:tcPr>
          <w:p w14:paraId="122C57C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.197</w:t>
            </w:r>
          </w:p>
        </w:tc>
        <w:tc>
          <w:tcPr>
            <w:tcW w:w="636" w:type="pct"/>
            <w:tcBorders>
              <w:top w:val="nil"/>
              <w:left w:val="nil"/>
              <w:bottom w:val="nil"/>
              <w:right w:val="nil"/>
            </w:tcBorders>
            <w:shd w:val="clear" w:color="auto" w:fill="FFFFFF"/>
            <w:vAlign w:val="center"/>
            <w:hideMark/>
          </w:tcPr>
          <w:p w14:paraId="4A2F2FC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99.404</w:t>
            </w:r>
          </w:p>
        </w:tc>
        <w:tc>
          <w:tcPr>
            <w:tcW w:w="411" w:type="pct"/>
            <w:tcBorders>
              <w:top w:val="nil"/>
              <w:left w:val="nil"/>
              <w:bottom w:val="nil"/>
              <w:right w:val="nil"/>
            </w:tcBorders>
            <w:shd w:val="clear" w:color="auto" w:fill="FFFFFF"/>
          </w:tcPr>
          <w:p w14:paraId="0F499727"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1538782E"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32673B5A"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3D5CBFD7"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2A387446"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52D15AC0"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783697C8" w14:textId="77777777" w:rsidTr="008A0A89">
        <w:trPr>
          <w:cantSplit/>
          <w:trHeight w:val="253"/>
          <w:jc w:val="center"/>
        </w:trPr>
        <w:tc>
          <w:tcPr>
            <w:tcW w:w="472" w:type="pct"/>
            <w:tcBorders>
              <w:top w:val="nil"/>
              <w:left w:val="nil"/>
              <w:bottom w:val="nil"/>
              <w:right w:val="nil"/>
            </w:tcBorders>
            <w:shd w:val="clear" w:color="auto" w:fill="FFFFFF"/>
            <w:vAlign w:val="center"/>
            <w:hideMark/>
          </w:tcPr>
          <w:p w14:paraId="626BC28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lastRenderedPageBreak/>
              <w:t>34</w:t>
            </w:r>
          </w:p>
        </w:tc>
        <w:tc>
          <w:tcPr>
            <w:tcW w:w="316" w:type="pct"/>
            <w:tcBorders>
              <w:top w:val="nil"/>
              <w:left w:val="nil"/>
              <w:bottom w:val="nil"/>
              <w:right w:val="nil"/>
            </w:tcBorders>
            <w:shd w:val="clear" w:color="auto" w:fill="FFFFFF"/>
            <w:vAlign w:val="center"/>
            <w:hideMark/>
          </w:tcPr>
          <w:p w14:paraId="5B1193F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.069</w:t>
            </w:r>
          </w:p>
        </w:tc>
        <w:tc>
          <w:tcPr>
            <w:tcW w:w="526" w:type="pct"/>
            <w:tcBorders>
              <w:top w:val="nil"/>
              <w:left w:val="nil"/>
              <w:bottom w:val="nil"/>
              <w:right w:val="nil"/>
            </w:tcBorders>
            <w:shd w:val="clear" w:color="auto" w:fill="FFFFFF"/>
            <w:vAlign w:val="center"/>
            <w:hideMark/>
          </w:tcPr>
          <w:p w14:paraId="4C6596E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.182</w:t>
            </w:r>
          </w:p>
        </w:tc>
        <w:tc>
          <w:tcPr>
            <w:tcW w:w="636" w:type="pct"/>
            <w:tcBorders>
              <w:top w:val="nil"/>
              <w:left w:val="nil"/>
              <w:bottom w:val="nil"/>
              <w:right w:val="nil"/>
            </w:tcBorders>
            <w:shd w:val="clear" w:color="auto" w:fill="FFFFFF"/>
            <w:vAlign w:val="center"/>
            <w:hideMark/>
          </w:tcPr>
          <w:p w14:paraId="705A527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99.586</w:t>
            </w:r>
          </w:p>
        </w:tc>
        <w:tc>
          <w:tcPr>
            <w:tcW w:w="411" w:type="pct"/>
            <w:tcBorders>
              <w:top w:val="nil"/>
              <w:left w:val="nil"/>
              <w:bottom w:val="nil"/>
              <w:right w:val="nil"/>
            </w:tcBorders>
            <w:shd w:val="clear" w:color="auto" w:fill="FFFFFF"/>
          </w:tcPr>
          <w:p w14:paraId="541B5EF3"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39166C84"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2C4DCE6F"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3FF540EE"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3EC8C4AD"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372DEF00"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162E751F" w14:textId="77777777" w:rsidTr="008A0A89">
        <w:trPr>
          <w:cantSplit/>
          <w:trHeight w:val="243"/>
          <w:jc w:val="center"/>
        </w:trPr>
        <w:tc>
          <w:tcPr>
            <w:tcW w:w="472" w:type="pct"/>
            <w:tcBorders>
              <w:top w:val="nil"/>
              <w:left w:val="nil"/>
              <w:bottom w:val="nil"/>
              <w:right w:val="nil"/>
            </w:tcBorders>
            <w:shd w:val="clear" w:color="auto" w:fill="FFFFFF"/>
            <w:vAlign w:val="center"/>
            <w:hideMark/>
          </w:tcPr>
          <w:p w14:paraId="6169CA1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35</w:t>
            </w:r>
          </w:p>
        </w:tc>
        <w:tc>
          <w:tcPr>
            <w:tcW w:w="316" w:type="pct"/>
            <w:tcBorders>
              <w:top w:val="nil"/>
              <w:left w:val="nil"/>
              <w:bottom w:val="nil"/>
              <w:right w:val="nil"/>
            </w:tcBorders>
            <w:shd w:val="clear" w:color="auto" w:fill="FFFFFF"/>
            <w:vAlign w:val="center"/>
            <w:hideMark/>
          </w:tcPr>
          <w:p w14:paraId="327BC17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.054</w:t>
            </w:r>
          </w:p>
        </w:tc>
        <w:tc>
          <w:tcPr>
            <w:tcW w:w="526" w:type="pct"/>
            <w:tcBorders>
              <w:top w:val="nil"/>
              <w:left w:val="nil"/>
              <w:bottom w:val="nil"/>
              <w:right w:val="nil"/>
            </w:tcBorders>
            <w:shd w:val="clear" w:color="auto" w:fill="FFFFFF"/>
            <w:vAlign w:val="center"/>
            <w:hideMark/>
          </w:tcPr>
          <w:p w14:paraId="50BA6AB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.142</w:t>
            </w:r>
          </w:p>
        </w:tc>
        <w:tc>
          <w:tcPr>
            <w:tcW w:w="636" w:type="pct"/>
            <w:tcBorders>
              <w:top w:val="nil"/>
              <w:left w:val="nil"/>
              <w:bottom w:val="nil"/>
              <w:right w:val="nil"/>
            </w:tcBorders>
            <w:shd w:val="clear" w:color="auto" w:fill="FFFFFF"/>
            <w:vAlign w:val="center"/>
            <w:hideMark/>
          </w:tcPr>
          <w:p w14:paraId="1A9BEE6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99.728</w:t>
            </w:r>
          </w:p>
        </w:tc>
        <w:tc>
          <w:tcPr>
            <w:tcW w:w="411" w:type="pct"/>
            <w:tcBorders>
              <w:top w:val="nil"/>
              <w:left w:val="nil"/>
              <w:bottom w:val="nil"/>
              <w:right w:val="nil"/>
            </w:tcBorders>
            <w:shd w:val="clear" w:color="auto" w:fill="FFFFFF"/>
          </w:tcPr>
          <w:p w14:paraId="6B16BB8A"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nil"/>
              <w:right w:val="nil"/>
            </w:tcBorders>
            <w:shd w:val="clear" w:color="auto" w:fill="FFFFFF"/>
          </w:tcPr>
          <w:p w14:paraId="62258535"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547427A2"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nil"/>
              <w:right w:val="nil"/>
            </w:tcBorders>
            <w:shd w:val="clear" w:color="auto" w:fill="FFFFFF"/>
          </w:tcPr>
          <w:p w14:paraId="0721427A"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nil"/>
              <w:right w:val="nil"/>
            </w:tcBorders>
            <w:shd w:val="clear" w:color="auto" w:fill="FFFFFF"/>
          </w:tcPr>
          <w:p w14:paraId="220006E2"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nil"/>
              <w:right w:val="nil"/>
            </w:tcBorders>
            <w:shd w:val="clear" w:color="auto" w:fill="FFFFFF"/>
          </w:tcPr>
          <w:p w14:paraId="7614C74B"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8A0A89" w:rsidRPr="008A0A89" w14:paraId="03629657" w14:textId="77777777" w:rsidTr="008A0A89">
        <w:trPr>
          <w:cantSplit/>
          <w:trHeight w:val="253"/>
          <w:jc w:val="center"/>
        </w:trPr>
        <w:tc>
          <w:tcPr>
            <w:tcW w:w="472" w:type="pct"/>
            <w:tcBorders>
              <w:top w:val="nil"/>
              <w:left w:val="nil"/>
              <w:bottom w:val="single" w:sz="4" w:space="0" w:color="auto"/>
              <w:right w:val="nil"/>
            </w:tcBorders>
            <w:shd w:val="clear" w:color="auto" w:fill="FFFFFF"/>
            <w:vAlign w:val="center"/>
            <w:hideMark/>
          </w:tcPr>
          <w:p w14:paraId="0F4FD6E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36</w:t>
            </w:r>
          </w:p>
        </w:tc>
        <w:tc>
          <w:tcPr>
            <w:tcW w:w="316" w:type="pct"/>
            <w:tcBorders>
              <w:top w:val="nil"/>
              <w:left w:val="nil"/>
              <w:bottom w:val="single" w:sz="4" w:space="0" w:color="auto"/>
              <w:right w:val="nil"/>
            </w:tcBorders>
            <w:shd w:val="clear" w:color="auto" w:fill="FFFFFF"/>
            <w:vAlign w:val="center"/>
            <w:hideMark/>
          </w:tcPr>
          <w:p w14:paraId="04F3BE4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.022</w:t>
            </w:r>
          </w:p>
        </w:tc>
        <w:tc>
          <w:tcPr>
            <w:tcW w:w="526" w:type="pct"/>
            <w:tcBorders>
              <w:top w:val="nil"/>
              <w:left w:val="nil"/>
              <w:bottom w:val="single" w:sz="4" w:space="0" w:color="auto"/>
              <w:right w:val="nil"/>
            </w:tcBorders>
            <w:shd w:val="clear" w:color="auto" w:fill="FFFFFF"/>
            <w:vAlign w:val="center"/>
            <w:hideMark/>
          </w:tcPr>
          <w:p w14:paraId="15D6536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.058</w:t>
            </w:r>
          </w:p>
        </w:tc>
        <w:tc>
          <w:tcPr>
            <w:tcW w:w="636" w:type="pct"/>
            <w:tcBorders>
              <w:top w:val="nil"/>
              <w:left w:val="nil"/>
              <w:bottom w:val="single" w:sz="4" w:space="0" w:color="auto"/>
              <w:right w:val="nil"/>
            </w:tcBorders>
            <w:shd w:val="clear" w:color="auto" w:fill="FFFFFF"/>
            <w:vAlign w:val="center"/>
            <w:hideMark/>
          </w:tcPr>
          <w:p w14:paraId="5A4B3C9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100.000</w:t>
            </w:r>
          </w:p>
        </w:tc>
        <w:tc>
          <w:tcPr>
            <w:tcW w:w="411" w:type="pct"/>
            <w:tcBorders>
              <w:top w:val="nil"/>
              <w:left w:val="nil"/>
              <w:bottom w:val="single" w:sz="4" w:space="0" w:color="auto"/>
              <w:right w:val="nil"/>
            </w:tcBorders>
            <w:shd w:val="clear" w:color="auto" w:fill="FFFFFF"/>
          </w:tcPr>
          <w:p w14:paraId="136024FB"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3" w:type="pct"/>
            <w:tcBorders>
              <w:top w:val="nil"/>
              <w:left w:val="nil"/>
              <w:bottom w:val="single" w:sz="4" w:space="0" w:color="auto"/>
              <w:right w:val="nil"/>
            </w:tcBorders>
            <w:shd w:val="clear" w:color="auto" w:fill="FFFFFF"/>
          </w:tcPr>
          <w:p w14:paraId="6A776688"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single" w:sz="4" w:space="0" w:color="auto"/>
              <w:right w:val="nil"/>
            </w:tcBorders>
            <w:shd w:val="clear" w:color="auto" w:fill="FFFFFF"/>
          </w:tcPr>
          <w:p w14:paraId="01A555D6"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399" w:type="pct"/>
            <w:tcBorders>
              <w:top w:val="nil"/>
              <w:left w:val="nil"/>
              <w:bottom w:val="single" w:sz="4" w:space="0" w:color="auto"/>
              <w:right w:val="nil"/>
            </w:tcBorders>
            <w:shd w:val="clear" w:color="auto" w:fill="FFFFFF"/>
          </w:tcPr>
          <w:p w14:paraId="3EDAB1D5"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35" w:type="pct"/>
            <w:tcBorders>
              <w:top w:val="nil"/>
              <w:left w:val="nil"/>
              <w:bottom w:val="single" w:sz="4" w:space="0" w:color="auto"/>
              <w:right w:val="nil"/>
            </w:tcBorders>
            <w:shd w:val="clear" w:color="auto" w:fill="FFFFFF"/>
          </w:tcPr>
          <w:p w14:paraId="66E50FF8"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c>
          <w:tcPr>
            <w:tcW w:w="585" w:type="pct"/>
            <w:tcBorders>
              <w:top w:val="nil"/>
              <w:left w:val="nil"/>
              <w:bottom w:val="single" w:sz="4" w:space="0" w:color="auto"/>
              <w:right w:val="nil"/>
            </w:tcBorders>
            <w:shd w:val="clear" w:color="auto" w:fill="FFFFFF"/>
          </w:tcPr>
          <w:p w14:paraId="7CA28F5B"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0"/>
                <w:szCs w:val="20"/>
              </w:rPr>
            </w:pPr>
          </w:p>
        </w:tc>
      </w:tr>
      <w:tr w:rsidR="00BE4AF3" w:rsidRPr="008A0A89" w14:paraId="206F685F" w14:textId="77777777" w:rsidTr="008A0A89">
        <w:trPr>
          <w:cantSplit/>
          <w:trHeight w:val="243"/>
          <w:jc w:val="center"/>
        </w:trPr>
        <w:tc>
          <w:tcPr>
            <w:tcW w:w="5000" w:type="pct"/>
            <w:gridSpan w:val="10"/>
            <w:tcBorders>
              <w:top w:val="single" w:sz="4" w:space="0" w:color="auto"/>
              <w:left w:val="nil"/>
              <w:bottom w:val="nil"/>
              <w:right w:val="nil"/>
            </w:tcBorders>
            <w:shd w:val="clear" w:color="auto" w:fill="FFFFFF"/>
            <w:vAlign w:val="center"/>
            <w:hideMark/>
          </w:tcPr>
          <w:p w14:paraId="782E39E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i/>
                <w:sz w:val="20"/>
                <w:szCs w:val="20"/>
              </w:rPr>
            </w:pPr>
            <w:r w:rsidRPr="008A0A89">
              <w:rPr>
                <w:rFonts w:ascii="Times New Roman" w:hAnsi="Times New Roman" w:cs="Times New Roman"/>
                <w:i/>
                <w:sz w:val="20"/>
                <w:szCs w:val="20"/>
              </w:rPr>
              <w:t>Extraction Method: Principal Component Analysis.</w:t>
            </w:r>
          </w:p>
        </w:tc>
      </w:tr>
    </w:tbl>
    <w:p w14:paraId="6D03D342" w14:textId="77777777" w:rsidR="00BE4AF3" w:rsidRPr="00BE4AF3" w:rsidRDefault="00BE4AF3" w:rsidP="00C86F13">
      <w:pPr>
        <w:pStyle w:val="NoSpacing"/>
        <w:ind w:firstLine="720"/>
        <w:rPr>
          <w:rFonts w:ascii="Times New Roman" w:hAnsi="Times New Roman" w:cs="Times New Roman"/>
          <w:sz w:val="24"/>
        </w:rPr>
      </w:pPr>
    </w:p>
    <w:p w14:paraId="46CC8782" w14:textId="77777777" w:rsidR="00BE4AF3" w:rsidRPr="00BE4AF3" w:rsidRDefault="00BE4AF3" w:rsidP="008A0A89">
      <w:pPr>
        <w:pStyle w:val="NoSpacing"/>
        <w:rPr>
          <w:rFonts w:ascii="Times New Roman" w:hAnsi="Times New Roman" w:cs="Times New Roman"/>
          <w:sz w:val="24"/>
        </w:rPr>
      </w:pPr>
      <w:r w:rsidRPr="00BE4AF3">
        <w:rPr>
          <w:rFonts w:ascii="Times New Roman" w:hAnsi="Times New Roman" w:cs="Times New Roman"/>
          <w:sz w:val="24"/>
        </w:rPr>
        <w:t>One important decision is the number of factors to extract. By Kaiser’s criterion four factors are to be extracted (Gorsuch 2018). Rule of thumb as suggested by Tabachnick and Fidell (2016) informed that variables with loadings 0.32 and above may be interpreted. All items with primary loadings over 0.45 were observed for factor analysis in this study. The factor loading matrix is presented in Table 8.4 where it is revealed that</w:t>
      </w:r>
      <w:r w:rsidRPr="00BE4AF3">
        <w:rPr>
          <w:rFonts w:ascii="Times New Roman" w:hAnsi="Times New Roman" w:cs="Times New Roman"/>
          <w:b/>
          <w:sz w:val="24"/>
        </w:rPr>
        <w:t xml:space="preserve"> </w:t>
      </w:r>
      <w:r w:rsidRPr="00BE4AF3">
        <w:rPr>
          <w:rFonts w:ascii="Times New Roman" w:hAnsi="Times New Roman" w:cs="Times New Roman"/>
          <w:sz w:val="24"/>
        </w:rPr>
        <w:t xml:space="preserve">eleven factors had significantly influenced residents’ QoL in the study area. </w:t>
      </w:r>
    </w:p>
    <w:p w14:paraId="1EC35D59" w14:textId="77777777" w:rsidR="00BE4AF3" w:rsidRPr="00BE4AF3" w:rsidRDefault="00BE4AF3" w:rsidP="008A0A89">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Thirty six (36) variables which are closely related to factors influencing residents’ QoL were loaded for analysis. As shown in Table 8.4, eleven factors had significant influence on the residents’ QoL in Ibadan Region. It should be noted that variables loaded on factor five, factor six, factor eight factor nine, factor ten and factor eleven that do not have up to four variables with high loadings and as such were expunged and not interpreted (Velicer and Fava 2008).</w:t>
      </w:r>
    </w:p>
    <w:p w14:paraId="47E0D894" w14:textId="77777777" w:rsidR="00BE4AF3" w:rsidRPr="00BE4AF3" w:rsidRDefault="00BE4AF3" w:rsidP="008A0A89">
      <w:pPr>
        <w:autoSpaceDE w:val="0"/>
        <w:autoSpaceDN w:val="0"/>
        <w:adjustRightInd w:val="0"/>
        <w:spacing w:after="0" w:line="240" w:lineRule="auto"/>
        <w:ind w:left="60" w:right="60"/>
        <w:jc w:val="both"/>
        <w:rPr>
          <w:rFonts w:ascii="Times New Roman" w:hAnsi="Times New Roman" w:cs="Times New Roman"/>
          <w:sz w:val="24"/>
          <w:szCs w:val="24"/>
        </w:rPr>
      </w:pPr>
      <w:r w:rsidRPr="00BE4AF3">
        <w:rPr>
          <w:rFonts w:ascii="Times New Roman" w:hAnsi="Times New Roman" w:cs="Times New Roman"/>
          <w:sz w:val="24"/>
          <w:szCs w:val="24"/>
        </w:rPr>
        <w:t>Factor 1</w:t>
      </w:r>
      <w:r w:rsidRPr="00BE4AF3">
        <w:rPr>
          <w:rFonts w:ascii="Times New Roman" w:hAnsi="Times New Roman" w:cs="Times New Roman"/>
          <w:b/>
          <w:sz w:val="24"/>
          <w:szCs w:val="24"/>
        </w:rPr>
        <w:t xml:space="preserve"> </w:t>
      </w:r>
      <w:r w:rsidRPr="00BE4AF3">
        <w:rPr>
          <w:rFonts w:ascii="Times New Roman" w:hAnsi="Times New Roman" w:cs="Times New Roman"/>
          <w:sz w:val="24"/>
          <w:szCs w:val="24"/>
        </w:rPr>
        <w:t xml:space="preserve">had seven variables loaded on it. It is named </w:t>
      </w:r>
      <w:r w:rsidRPr="00BE4AF3">
        <w:rPr>
          <w:rFonts w:ascii="Times New Roman" w:hAnsi="Times New Roman" w:cs="Times New Roman"/>
          <w:i/>
          <w:sz w:val="24"/>
          <w:szCs w:val="24"/>
        </w:rPr>
        <w:t>Neighborhood quality factor</w:t>
      </w:r>
      <w:r w:rsidRPr="00BE4AF3">
        <w:rPr>
          <w:rFonts w:ascii="Times New Roman" w:hAnsi="Times New Roman" w:cs="Times New Roman"/>
          <w:sz w:val="24"/>
          <w:szCs w:val="24"/>
        </w:rPr>
        <w:t xml:space="preserve">. These are the factors that explained the immediate effect the neighborhood on the residents’ Qol. They are arranged in order of importance and they are as follows: Nearness to primary school (.819), Degree of air pollution (.814) Nearness to secondary school (.788), Living among friendly people (.777), Degree of noise pollution (.726), Aesthetic quality of the environment (.642), and Social interaction among neighbors (.588). All these accounted for 14.978% of the total variance explained on factors that influence residents’ QoL. </w:t>
      </w:r>
    </w:p>
    <w:p w14:paraId="52CBC3A2" w14:textId="3D7841BA" w:rsidR="00BE4AF3" w:rsidRDefault="00BE4AF3" w:rsidP="008A0A89">
      <w:pPr>
        <w:autoSpaceDE w:val="0"/>
        <w:autoSpaceDN w:val="0"/>
        <w:adjustRightInd w:val="0"/>
        <w:spacing w:after="0" w:line="240" w:lineRule="auto"/>
        <w:ind w:left="60" w:right="60"/>
        <w:jc w:val="both"/>
        <w:rPr>
          <w:rFonts w:ascii="Times New Roman" w:hAnsi="Times New Roman" w:cs="Times New Roman"/>
          <w:sz w:val="24"/>
          <w:szCs w:val="24"/>
        </w:rPr>
      </w:pPr>
      <w:r w:rsidRPr="00BE4AF3">
        <w:rPr>
          <w:rFonts w:ascii="Times New Roman" w:hAnsi="Times New Roman" w:cs="Times New Roman"/>
          <w:sz w:val="24"/>
          <w:szCs w:val="24"/>
        </w:rPr>
        <w:t xml:space="preserve">Five variables were loaded as Factor 2. It is called </w:t>
      </w:r>
      <w:r w:rsidRPr="00BE4AF3">
        <w:rPr>
          <w:rFonts w:ascii="Times New Roman" w:hAnsi="Times New Roman" w:cs="Times New Roman"/>
          <w:i/>
          <w:sz w:val="24"/>
          <w:szCs w:val="24"/>
        </w:rPr>
        <w:t>Environmental Amenities factor</w:t>
      </w:r>
      <w:r w:rsidRPr="00BE4AF3">
        <w:rPr>
          <w:rFonts w:ascii="Times New Roman" w:hAnsi="Times New Roman" w:cs="Times New Roman"/>
          <w:sz w:val="24"/>
          <w:szCs w:val="24"/>
        </w:rPr>
        <w:t xml:space="preserve">. This was because factors loaded here explain the infrastructure available in the study area and this can have influence on the perception of the residents. These were: Environmental Sanitation (.887), Waste disposal facility (.853), Available Drainage (.735) Road safety/pedestrian safety (.628) and Amount paid for waste disposal (.497). From Table 5.10 it was established that these factor accounted for 9.330% of the total variance explained and in cumulative term, the first and second factors accounted for 24.309% of the entire factors. </w:t>
      </w:r>
    </w:p>
    <w:p w14:paraId="0B89F111" w14:textId="77777777" w:rsidR="008A0A89" w:rsidRPr="00BE4AF3" w:rsidRDefault="008A0A89" w:rsidP="008A0A89">
      <w:pPr>
        <w:autoSpaceDE w:val="0"/>
        <w:autoSpaceDN w:val="0"/>
        <w:adjustRightInd w:val="0"/>
        <w:spacing w:after="0" w:line="240" w:lineRule="auto"/>
        <w:ind w:left="60" w:right="60"/>
        <w:jc w:val="both"/>
        <w:rPr>
          <w:rFonts w:ascii="Times New Roman" w:hAnsi="Times New Roman" w:cs="Times New Roman"/>
          <w:sz w:val="24"/>
          <w:szCs w:val="24"/>
        </w:rPr>
      </w:pPr>
    </w:p>
    <w:p w14:paraId="6E1CFAFC" w14:textId="77777777" w:rsidR="00BE4AF3" w:rsidRPr="008A0A89" w:rsidRDefault="00BE4AF3" w:rsidP="00C86F13">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b/>
          <w:bCs/>
          <w:sz w:val="24"/>
          <w:szCs w:val="24"/>
        </w:rPr>
        <w:t xml:space="preserve">Table 4.4: </w:t>
      </w:r>
      <w:r w:rsidRPr="008A0A89">
        <w:rPr>
          <w:rFonts w:ascii="Times New Roman" w:hAnsi="Times New Roman" w:cs="Times New Roman"/>
          <w:sz w:val="24"/>
          <w:szCs w:val="24"/>
        </w:rPr>
        <w:t>Rotated Component Matrix</w:t>
      </w:r>
      <w:r w:rsidRPr="008A0A89">
        <w:rPr>
          <w:rFonts w:ascii="Times New Roman" w:hAnsi="Times New Roman" w:cs="Times New Roman"/>
          <w:sz w:val="24"/>
          <w:szCs w:val="24"/>
          <w:vertAlign w:val="superscript"/>
        </w:rPr>
        <w:t xml:space="preserve">a </w:t>
      </w:r>
      <w:r w:rsidRPr="008A0A89">
        <w:rPr>
          <w:rFonts w:ascii="Times New Roman" w:hAnsi="Times New Roman" w:cs="Times New Roman"/>
          <w:sz w:val="24"/>
          <w:szCs w:val="24"/>
        </w:rPr>
        <w:t xml:space="preserve"> for Residents’ Quality of life</w:t>
      </w:r>
    </w:p>
    <w:tbl>
      <w:tblPr>
        <w:tblW w:w="4928" w:type="pct"/>
        <w:jc w:val="center"/>
        <w:tblBorders>
          <w:top w:val="single" w:sz="4" w:space="0" w:color="auto"/>
          <w:bottom w:val="single" w:sz="4" w:space="0" w:color="auto"/>
        </w:tblBorders>
        <w:tblCellMar>
          <w:left w:w="0" w:type="dxa"/>
          <w:right w:w="0" w:type="dxa"/>
        </w:tblCellMar>
        <w:tblLook w:val="04A0" w:firstRow="1" w:lastRow="0" w:firstColumn="1" w:lastColumn="0" w:noHBand="0" w:noVBand="1"/>
      </w:tblPr>
      <w:tblGrid>
        <w:gridCol w:w="3659"/>
        <w:gridCol w:w="495"/>
        <w:gridCol w:w="495"/>
        <w:gridCol w:w="470"/>
        <w:gridCol w:w="470"/>
        <w:gridCol w:w="502"/>
        <w:gridCol w:w="496"/>
        <w:gridCol w:w="575"/>
        <w:gridCol w:w="504"/>
        <w:gridCol w:w="504"/>
        <w:gridCol w:w="470"/>
        <w:gridCol w:w="473"/>
      </w:tblGrid>
      <w:tr w:rsidR="00BE4AF3" w:rsidRPr="008A0A89" w14:paraId="2246E2B9" w14:textId="77777777" w:rsidTr="008A0A89">
        <w:trPr>
          <w:cantSplit/>
          <w:jc w:val="center"/>
        </w:trPr>
        <w:tc>
          <w:tcPr>
            <w:tcW w:w="2010" w:type="pct"/>
            <w:vMerge w:val="restart"/>
            <w:tcBorders>
              <w:top w:val="single" w:sz="4" w:space="0" w:color="auto"/>
              <w:left w:val="nil"/>
              <w:bottom w:val="single" w:sz="4" w:space="0" w:color="auto"/>
              <w:right w:val="nil"/>
            </w:tcBorders>
            <w:shd w:val="clear" w:color="auto" w:fill="FFFFFF"/>
          </w:tcPr>
          <w:p w14:paraId="68D58D4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b/>
                <w:sz w:val="20"/>
                <w:szCs w:val="20"/>
              </w:rPr>
            </w:pPr>
          </w:p>
        </w:tc>
        <w:tc>
          <w:tcPr>
            <w:tcW w:w="2990" w:type="pct"/>
            <w:gridSpan w:val="11"/>
            <w:tcBorders>
              <w:top w:val="single" w:sz="4" w:space="0" w:color="auto"/>
              <w:left w:val="nil"/>
              <w:bottom w:val="nil"/>
              <w:right w:val="nil"/>
            </w:tcBorders>
            <w:shd w:val="clear" w:color="auto" w:fill="FFFFFF"/>
            <w:hideMark/>
          </w:tcPr>
          <w:p w14:paraId="6399E72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bCs/>
                <w:sz w:val="20"/>
                <w:szCs w:val="20"/>
              </w:rPr>
            </w:pPr>
            <w:r w:rsidRPr="008A0A89">
              <w:rPr>
                <w:rFonts w:ascii="Times New Roman" w:hAnsi="Times New Roman" w:cs="Times New Roman"/>
                <w:bCs/>
                <w:sz w:val="20"/>
                <w:szCs w:val="20"/>
              </w:rPr>
              <w:t>Component</w:t>
            </w:r>
          </w:p>
        </w:tc>
      </w:tr>
      <w:tr w:rsidR="008A0A89" w:rsidRPr="008A0A89" w14:paraId="3A053031" w14:textId="77777777" w:rsidTr="008A0A89">
        <w:trPr>
          <w:cantSplit/>
          <w:jc w:val="center"/>
        </w:trPr>
        <w:tc>
          <w:tcPr>
            <w:tcW w:w="2010" w:type="pct"/>
            <w:vMerge/>
            <w:tcBorders>
              <w:top w:val="single" w:sz="4" w:space="0" w:color="auto"/>
              <w:left w:val="nil"/>
              <w:bottom w:val="single" w:sz="4" w:space="0" w:color="auto"/>
              <w:right w:val="nil"/>
            </w:tcBorders>
            <w:vAlign w:val="center"/>
            <w:hideMark/>
          </w:tcPr>
          <w:p w14:paraId="14749539" w14:textId="77777777" w:rsidR="00BE4AF3" w:rsidRPr="008A0A89" w:rsidRDefault="00BE4AF3" w:rsidP="00C86F13">
            <w:pPr>
              <w:spacing w:after="0" w:line="240" w:lineRule="auto"/>
              <w:jc w:val="both"/>
              <w:rPr>
                <w:rFonts w:ascii="Times New Roman" w:hAnsi="Times New Roman" w:cs="Times New Roman"/>
                <w:b/>
                <w:sz w:val="20"/>
                <w:szCs w:val="20"/>
              </w:rPr>
            </w:pPr>
          </w:p>
        </w:tc>
        <w:tc>
          <w:tcPr>
            <w:tcW w:w="274" w:type="pct"/>
            <w:tcBorders>
              <w:top w:val="nil"/>
              <w:left w:val="nil"/>
              <w:bottom w:val="single" w:sz="4" w:space="0" w:color="auto"/>
              <w:right w:val="nil"/>
            </w:tcBorders>
            <w:shd w:val="clear" w:color="auto" w:fill="FFFFFF"/>
            <w:hideMark/>
          </w:tcPr>
          <w:p w14:paraId="578D602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bCs/>
                <w:sz w:val="20"/>
                <w:szCs w:val="20"/>
              </w:rPr>
            </w:pPr>
            <w:r w:rsidRPr="008A0A89">
              <w:rPr>
                <w:rFonts w:ascii="Times New Roman" w:hAnsi="Times New Roman" w:cs="Times New Roman"/>
                <w:bCs/>
                <w:sz w:val="20"/>
                <w:szCs w:val="20"/>
              </w:rPr>
              <w:t>1</w:t>
            </w:r>
          </w:p>
        </w:tc>
        <w:tc>
          <w:tcPr>
            <w:tcW w:w="274" w:type="pct"/>
            <w:tcBorders>
              <w:top w:val="nil"/>
              <w:left w:val="nil"/>
              <w:bottom w:val="single" w:sz="4" w:space="0" w:color="auto"/>
              <w:right w:val="nil"/>
            </w:tcBorders>
            <w:shd w:val="clear" w:color="auto" w:fill="FFFFFF"/>
            <w:hideMark/>
          </w:tcPr>
          <w:p w14:paraId="65AEBE1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bCs/>
                <w:sz w:val="20"/>
                <w:szCs w:val="20"/>
              </w:rPr>
            </w:pPr>
            <w:r w:rsidRPr="008A0A89">
              <w:rPr>
                <w:rFonts w:ascii="Times New Roman" w:hAnsi="Times New Roman" w:cs="Times New Roman"/>
                <w:bCs/>
                <w:sz w:val="20"/>
                <w:szCs w:val="20"/>
              </w:rPr>
              <w:t>2</w:t>
            </w:r>
          </w:p>
        </w:tc>
        <w:tc>
          <w:tcPr>
            <w:tcW w:w="241" w:type="pct"/>
            <w:tcBorders>
              <w:top w:val="nil"/>
              <w:left w:val="nil"/>
              <w:bottom w:val="single" w:sz="4" w:space="0" w:color="auto"/>
              <w:right w:val="nil"/>
            </w:tcBorders>
            <w:shd w:val="clear" w:color="auto" w:fill="FFFFFF"/>
            <w:hideMark/>
          </w:tcPr>
          <w:p w14:paraId="7BBE5C5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bCs/>
                <w:sz w:val="20"/>
                <w:szCs w:val="20"/>
              </w:rPr>
            </w:pPr>
            <w:r w:rsidRPr="008A0A89">
              <w:rPr>
                <w:rFonts w:ascii="Times New Roman" w:hAnsi="Times New Roman" w:cs="Times New Roman"/>
                <w:bCs/>
                <w:sz w:val="20"/>
                <w:szCs w:val="20"/>
              </w:rPr>
              <w:t>3</w:t>
            </w:r>
          </w:p>
        </w:tc>
        <w:tc>
          <w:tcPr>
            <w:tcW w:w="258" w:type="pct"/>
            <w:tcBorders>
              <w:top w:val="nil"/>
              <w:left w:val="nil"/>
              <w:bottom w:val="single" w:sz="4" w:space="0" w:color="auto"/>
              <w:right w:val="nil"/>
            </w:tcBorders>
            <w:shd w:val="clear" w:color="auto" w:fill="FFFFFF"/>
            <w:hideMark/>
          </w:tcPr>
          <w:p w14:paraId="50E9E22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bCs/>
                <w:sz w:val="20"/>
                <w:szCs w:val="20"/>
              </w:rPr>
            </w:pPr>
            <w:r w:rsidRPr="008A0A89">
              <w:rPr>
                <w:rFonts w:ascii="Times New Roman" w:hAnsi="Times New Roman" w:cs="Times New Roman"/>
                <w:bCs/>
                <w:sz w:val="20"/>
                <w:szCs w:val="20"/>
              </w:rPr>
              <w:t>4</w:t>
            </w:r>
          </w:p>
        </w:tc>
        <w:tc>
          <w:tcPr>
            <w:tcW w:w="277" w:type="pct"/>
            <w:tcBorders>
              <w:top w:val="nil"/>
              <w:left w:val="nil"/>
              <w:bottom w:val="single" w:sz="4" w:space="0" w:color="auto"/>
              <w:right w:val="nil"/>
            </w:tcBorders>
            <w:shd w:val="clear" w:color="auto" w:fill="FFFFFF"/>
            <w:hideMark/>
          </w:tcPr>
          <w:p w14:paraId="3795DCF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bCs/>
                <w:sz w:val="20"/>
                <w:szCs w:val="20"/>
              </w:rPr>
            </w:pPr>
            <w:r w:rsidRPr="008A0A89">
              <w:rPr>
                <w:rFonts w:ascii="Times New Roman" w:hAnsi="Times New Roman" w:cs="Times New Roman"/>
                <w:bCs/>
                <w:sz w:val="20"/>
                <w:szCs w:val="20"/>
              </w:rPr>
              <w:t>5</w:t>
            </w:r>
          </w:p>
        </w:tc>
        <w:tc>
          <w:tcPr>
            <w:tcW w:w="274" w:type="pct"/>
            <w:tcBorders>
              <w:top w:val="nil"/>
              <w:left w:val="nil"/>
              <w:bottom w:val="single" w:sz="4" w:space="0" w:color="auto"/>
              <w:right w:val="nil"/>
            </w:tcBorders>
            <w:shd w:val="clear" w:color="auto" w:fill="FFFFFF"/>
            <w:hideMark/>
          </w:tcPr>
          <w:p w14:paraId="0B49DD2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bCs/>
                <w:sz w:val="20"/>
                <w:szCs w:val="20"/>
              </w:rPr>
            </w:pPr>
            <w:r w:rsidRPr="008A0A89">
              <w:rPr>
                <w:rFonts w:ascii="Times New Roman" w:hAnsi="Times New Roman" w:cs="Times New Roman"/>
                <w:bCs/>
                <w:sz w:val="20"/>
                <w:szCs w:val="20"/>
              </w:rPr>
              <w:t>6</w:t>
            </w:r>
          </w:p>
        </w:tc>
        <w:tc>
          <w:tcPr>
            <w:tcW w:w="317" w:type="pct"/>
            <w:tcBorders>
              <w:top w:val="nil"/>
              <w:left w:val="nil"/>
              <w:bottom w:val="single" w:sz="4" w:space="0" w:color="auto"/>
              <w:right w:val="nil"/>
            </w:tcBorders>
            <w:shd w:val="clear" w:color="auto" w:fill="FFFFFF"/>
            <w:hideMark/>
          </w:tcPr>
          <w:p w14:paraId="2BB6AFB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bCs/>
                <w:sz w:val="20"/>
                <w:szCs w:val="20"/>
              </w:rPr>
            </w:pPr>
            <w:r w:rsidRPr="008A0A89">
              <w:rPr>
                <w:rFonts w:ascii="Times New Roman" w:hAnsi="Times New Roman" w:cs="Times New Roman"/>
                <w:bCs/>
                <w:sz w:val="20"/>
                <w:szCs w:val="20"/>
              </w:rPr>
              <w:t>7</w:t>
            </w:r>
          </w:p>
        </w:tc>
        <w:tc>
          <w:tcPr>
            <w:tcW w:w="278" w:type="pct"/>
            <w:tcBorders>
              <w:top w:val="nil"/>
              <w:left w:val="nil"/>
              <w:bottom w:val="single" w:sz="4" w:space="0" w:color="auto"/>
              <w:right w:val="nil"/>
            </w:tcBorders>
            <w:shd w:val="clear" w:color="auto" w:fill="FFFFFF"/>
            <w:hideMark/>
          </w:tcPr>
          <w:p w14:paraId="1A80957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bCs/>
                <w:sz w:val="20"/>
                <w:szCs w:val="20"/>
              </w:rPr>
            </w:pPr>
            <w:r w:rsidRPr="008A0A89">
              <w:rPr>
                <w:rFonts w:ascii="Times New Roman" w:hAnsi="Times New Roman" w:cs="Times New Roman"/>
                <w:bCs/>
                <w:sz w:val="20"/>
                <w:szCs w:val="20"/>
              </w:rPr>
              <w:t>8</w:t>
            </w:r>
          </w:p>
        </w:tc>
        <w:tc>
          <w:tcPr>
            <w:tcW w:w="278" w:type="pct"/>
            <w:tcBorders>
              <w:top w:val="nil"/>
              <w:left w:val="nil"/>
              <w:bottom w:val="single" w:sz="4" w:space="0" w:color="auto"/>
              <w:right w:val="nil"/>
            </w:tcBorders>
            <w:shd w:val="clear" w:color="auto" w:fill="FFFFFF"/>
            <w:hideMark/>
          </w:tcPr>
          <w:p w14:paraId="51F2CBB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bCs/>
                <w:sz w:val="20"/>
                <w:szCs w:val="20"/>
              </w:rPr>
            </w:pPr>
            <w:r w:rsidRPr="008A0A89">
              <w:rPr>
                <w:rFonts w:ascii="Times New Roman" w:hAnsi="Times New Roman" w:cs="Times New Roman"/>
                <w:bCs/>
                <w:sz w:val="20"/>
                <w:szCs w:val="20"/>
              </w:rPr>
              <w:t>9</w:t>
            </w:r>
          </w:p>
        </w:tc>
        <w:tc>
          <w:tcPr>
            <w:tcW w:w="258" w:type="pct"/>
            <w:tcBorders>
              <w:top w:val="nil"/>
              <w:left w:val="nil"/>
              <w:bottom w:val="single" w:sz="4" w:space="0" w:color="auto"/>
              <w:right w:val="nil"/>
            </w:tcBorders>
            <w:shd w:val="clear" w:color="auto" w:fill="FFFFFF"/>
            <w:hideMark/>
          </w:tcPr>
          <w:p w14:paraId="6A7E5BB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bCs/>
                <w:sz w:val="20"/>
                <w:szCs w:val="20"/>
              </w:rPr>
            </w:pPr>
            <w:r w:rsidRPr="008A0A89">
              <w:rPr>
                <w:rFonts w:ascii="Times New Roman" w:hAnsi="Times New Roman" w:cs="Times New Roman"/>
                <w:bCs/>
                <w:sz w:val="20"/>
                <w:szCs w:val="20"/>
              </w:rPr>
              <w:t>10</w:t>
            </w:r>
          </w:p>
        </w:tc>
        <w:tc>
          <w:tcPr>
            <w:tcW w:w="258" w:type="pct"/>
            <w:tcBorders>
              <w:top w:val="nil"/>
              <w:left w:val="nil"/>
              <w:bottom w:val="single" w:sz="4" w:space="0" w:color="auto"/>
              <w:right w:val="nil"/>
            </w:tcBorders>
            <w:shd w:val="clear" w:color="auto" w:fill="FFFFFF"/>
            <w:hideMark/>
          </w:tcPr>
          <w:p w14:paraId="0C91375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bCs/>
                <w:sz w:val="20"/>
                <w:szCs w:val="20"/>
              </w:rPr>
            </w:pPr>
            <w:r w:rsidRPr="008A0A89">
              <w:rPr>
                <w:rFonts w:ascii="Times New Roman" w:hAnsi="Times New Roman" w:cs="Times New Roman"/>
                <w:bCs/>
                <w:sz w:val="20"/>
                <w:szCs w:val="20"/>
              </w:rPr>
              <w:t>11</w:t>
            </w:r>
          </w:p>
        </w:tc>
      </w:tr>
      <w:tr w:rsidR="008A0A89" w:rsidRPr="008A0A89" w14:paraId="3791DB6D" w14:textId="77777777" w:rsidTr="008A0A89">
        <w:trPr>
          <w:cantSplit/>
          <w:jc w:val="center"/>
        </w:trPr>
        <w:tc>
          <w:tcPr>
            <w:tcW w:w="2010" w:type="pct"/>
            <w:tcBorders>
              <w:top w:val="single" w:sz="4" w:space="0" w:color="auto"/>
              <w:left w:val="nil"/>
              <w:bottom w:val="nil"/>
              <w:right w:val="nil"/>
            </w:tcBorders>
            <w:shd w:val="clear" w:color="auto" w:fill="FFFFFF"/>
            <w:vAlign w:val="center"/>
            <w:hideMark/>
          </w:tcPr>
          <w:p w14:paraId="74169FF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Nearness to primary school</w:t>
            </w:r>
          </w:p>
        </w:tc>
        <w:tc>
          <w:tcPr>
            <w:tcW w:w="274" w:type="pct"/>
            <w:tcBorders>
              <w:top w:val="single" w:sz="4" w:space="0" w:color="auto"/>
              <w:left w:val="nil"/>
              <w:bottom w:val="nil"/>
              <w:right w:val="nil"/>
            </w:tcBorders>
            <w:shd w:val="clear" w:color="auto" w:fill="FFFFFF"/>
            <w:vAlign w:val="center"/>
            <w:hideMark/>
          </w:tcPr>
          <w:p w14:paraId="2304A51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.819</w:t>
            </w:r>
          </w:p>
        </w:tc>
        <w:tc>
          <w:tcPr>
            <w:tcW w:w="274" w:type="pct"/>
            <w:tcBorders>
              <w:top w:val="single" w:sz="4" w:space="0" w:color="auto"/>
              <w:left w:val="nil"/>
              <w:bottom w:val="nil"/>
              <w:right w:val="nil"/>
            </w:tcBorders>
            <w:shd w:val="clear" w:color="auto" w:fill="FFFFFF"/>
            <w:vAlign w:val="center"/>
          </w:tcPr>
          <w:p w14:paraId="043E710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single" w:sz="4" w:space="0" w:color="auto"/>
              <w:left w:val="nil"/>
              <w:bottom w:val="nil"/>
              <w:right w:val="nil"/>
            </w:tcBorders>
            <w:shd w:val="clear" w:color="auto" w:fill="FFFFFF"/>
            <w:vAlign w:val="center"/>
          </w:tcPr>
          <w:p w14:paraId="6A839F5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single" w:sz="4" w:space="0" w:color="auto"/>
              <w:left w:val="nil"/>
              <w:bottom w:val="nil"/>
              <w:right w:val="nil"/>
            </w:tcBorders>
            <w:shd w:val="clear" w:color="auto" w:fill="FFFFFF"/>
            <w:vAlign w:val="center"/>
          </w:tcPr>
          <w:p w14:paraId="5684BF7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single" w:sz="4" w:space="0" w:color="auto"/>
              <w:left w:val="nil"/>
              <w:bottom w:val="nil"/>
              <w:right w:val="nil"/>
            </w:tcBorders>
            <w:shd w:val="clear" w:color="auto" w:fill="FFFFFF"/>
            <w:vAlign w:val="center"/>
          </w:tcPr>
          <w:p w14:paraId="3DB249E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single" w:sz="4" w:space="0" w:color="auto"/>
              <w:left w:val="nil"/>
              <w:bottom w:val="nil"/>
              <w:right w:val="nil"/>
            </w:tcBorders>
            <w:shd w:val="clear" w:color="auto" w:fill="FFFFFF"/>
            <w:vAlign w:val="center"/>
          </w:tcPr>
          <w:p w14:paraId="7BC98DD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single" w:sz="4" w:space="0" w:color="auto"/>
              <w:left w:val="nil"/>
              <w:bottom w:val="nil"/>
              <w:right w:val="nil"/>
            </w:tcBorders>
            <w:shd w:val="clear" w:color="auto" w:fill="FFFFFF"/>
            <w:vAlign w:val="center"/>
          </w:tcPr>
          <w:p w14:paraId="7E542F8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single" w:sz="4" w:space="0" w:color="auto"/>
              <w:left w:val="nil"/>
              <w:bottom w:val="nil"/>
              <w:right w:val="nil"/>
            </w:tcBorders>
            <w:shd w:val="clear" w:color="auto" w:fill="FFFFFF"/>
            <w:vAlign w:val="center"/>
          </w:tcPr>
          <w:p w14:paraId="7EB10D2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single" w:sz="4" w:space="0" w:color="auto"/>
              <w:left w:val="nil"/>
              <w:bottom w:val="nil"/>
              <w:right w:val="nil"/>
            </w:tcBorders>
            <w:shd w:val="clear" w:color="auto" w:fill="FFFFFF"/>
            <w:vAlign w:val="center"/>
          </w:tcPr>
          <w:p w14:paraId="6952CF1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single" w:sz="4" w:space="0" w:color="auto"/>
              <w:left w:val="nil"/>
              <w:bottom w:val="nil"/>
              <w:right w:val="nil"/>
            </w:tcBorders>
            <w:shd w:val="clear" w:color="auto" w:fill="FFFFFF"/>
            <w:vAlign w:val="center"/>
          </w:tcPr>
          <w:p w14:paraId="28E050B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single" w:sz="4" w:space="0" w:color="auto"/>
              <w:left w:val="nil"/>
              <w:bottom w:val="nil"/>
              <w:right w:val="nil"/>
            </w:tcBorders>
            <w:shd w:val="clear" w:color="auto" w:fill="FFFFFF"/>
            <w:vAlign w:val="center"/>
          </w:tcPr>
          <w:p w14:paraId="4084893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64B1A664" w14:textId="77777777" w:rsidTr="008A0A89">
        <w:trPr>
          <w:cantSplit/>
          <w:jc w:val="center"/>
        </w:trPr>
        <w:tc>
          <w:tcPr>
            <w:tcW w:w="2010" w:type="pct"/>
            <w:tcBorders>
              <w:top w:val="nil"/>
              <w:left w:val="nil"/>
              <w:bottom w:val="nil"/>
              <w:right w:val="nil"/>
            </w:tcBorders>
            <w:shd w:val="clear" w:color="auto" w:fill="FFFFFF"/>
            <w:vAlign w:val="center"/>
            <w:hideMark/>
          </w:tcPr>
          <w:p w14:paraId="719BBE8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Degree of air pollution</w:t>
            </w:r>
          </w:p>
        </w:tc>
        <w:tc>
          <w:tcPr>
            <w:tcW w:w="274" w:type="pct"/>
            <w:tcBorders>
              <w:top w:val="nil"/>
              <w:left w:val="nil"/>
              <w:bottom w:val="nil"/>
              <w:right w:val="nil"/>
            </w:tcBorders>
            <w:shd w:val="clear" w:color="auto" w:fill="FFFFFF"/>
            <w:vAlign w:val="center"/>
            <w:hideMark/>
          </w:tcPr>
          <w:p w14:paraId="7EE8803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.814</w:t>
            </w:r>
          </w:p>
        </w:tc>
        <w:tc>
          <w:tcPr>
            <w:tcW w:w="274" w:type="pct"/>
            <w:tcBorders>
              <w:top w:val="nil"/>
              <w:left w:val="nil"/>
              <w:bottom w:val="nil"/>
              <w:right w:val="nil"/>
            </w:tcBorders>
            <w:shd w:val="clear" w:color="auto" w:fill="FFFFFF"/>
            <w:vAlign w:val="center"/>
          </w:tcPr>
          <w:p w14:paraId="388C2CC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749EA3E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0503F94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047E7FD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03FB48A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5A1EF79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710C922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0A4EB9A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0935286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575B4D4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21473106" w14:textId="77777777" w:rsidTr="008A0A89">
        <w:trPr>
          <w:cantSplit/>
          <w:jc w:val="center"/>
        </w:trPr>
        <w:tc>
          <w:tcPr>
            <w:tcW w:w="2010" w:type="pct"/>
            <w:tcBorders>
              <w:top w:val="nil"/>
              <w:left w:val="nil"/>
              <w:bottom w:val="nil"/>
              <w:right w:val="nil"/>
            </w:tcBorders>
            <w:shd w:val="clear" w:color="auto" w:fill="FFFFFF"/>
            <w:vAlign w:val="center"/>
            <w:hideMark/>
          </w:tcPr>
          <w:p w14:paraId="0E492A3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Nearness to secondary school</w:t>
            </w:r>
          </w:p>
        </w:tc>
        <w:tc>
          <w:tcPr>
            <w:tcW w:w="274" w:type="pct"/>
            <w:tcBorders>
              <w:top w:val="nil"/>
              <w:left w:val="nil"/>
              <w:bottom w:val="nil"/>
              <w:right w:val="nil"/>
            </w:tcBorders>
            <w:shd w:val="clear" w:color="auto" w:fill="FFFFFF"/>
            <w:vAlign w:val="center"/>
            <w:hideMark/>
          </w:tcPr>
          <w:p w14:paraId="27E62CD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.788</w:t>
            </w:r>
          </w:p>
        </w:tc>
        <w:tc>
          <w:tcPr>
            <w:tcW w:w="274" w:type="pct"/>
            <w:tcBorders>
              <w:top w:val="nil"/>
              <w:left w:val="nil"/>
              <w:bottom w:val="nil"/>
              <w:right w:val="nil"/>
            </w:tcBorders>
            <w:shd w:val="clear" w:color="auto" w:fill="FFFFFF"/>
            <w:vAlign w:val="center"/>
          </w:tcPr>
          <w:p w14:paraId="445232C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2072E8D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735C47B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3637303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7E424D0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5092009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0C2CEB2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3245482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26ECC61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64796C9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5981951F" w14:textId="77777777" w:rsidTr="008A0A89">
        <w:trPr>
          <w:cantSplit/>
          <w:jc w:val="center"/>
        </w:trPr>
        <w:tc>
          <w:tcPr>
            <w:tcW w:w="2010" w:type="pct"/>
            <w:tcBorders>
              <w:top w:val="nil"/>
              <w:left w:val="nil"/>
              <w:bottom w:val="nil"/>
              <w:right w:val="nil"/>
            </w:tcBorders>
            <w:shd w:val="clear" w:color="auto" w:fill="FFFFFF"/>
            <w:vAlign w:val="center"/>
            <w:hideMark/>
          </w:tcPr>
          <w:p w14:paraId="4330830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Living among friendly people</w:t>
            </w:r>
          </w:p>
        </w:tc>
        <w:tc>
          <w:tcPr>
            <w:tcW w:w="274" w:type="pct"/>
            <w:tcBorders>
              <w:top w:val="nil"/>
              <w:left w:val="nil"/>
              <w:bottom w:val="nil"/>
              <w:right w:val="nil"/>
            </w:tcBorders>
            <w:shd w:val="clear" w:color="auto" w:fill="FFFFFF"/>
            <w:vAlign w:val="center"/>
            <w:hideMark/>
          </w:tcPr>
          <w:p w14:paraId="37207BB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.777</w:t>
            </w:r>
          </w:p>
        </w:tc>
        <w:tc>
          <w:tcPr>
            <w:tcW w:w="274" w:type="pct"/>
            <w:tcBorders>
              <w:top w:val="nil"/>
              <w:left w:val="nil"/>
              <w:bottom w:val="nil"/>
              <w:right w:val="nil"/>
            </w:tcBorders>
            <w:shd w:val="clear" w:color="auto" w:fill="FFFFFF"/>
            <w:vAlign w:val="center"/>
          </w:tcPr>
          <w:p w14:paraId="7435F35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54C539B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2D448EC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3A264BF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6A3C731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2C17C33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26AA20D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67BA2FC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6CC8633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5E9371C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2A27EC99" w14:textId="77777777" w:rsidTr="008A0A89">
        <w:trPr>
          <w:cantSplit/>
          <w:jc w:val="center"/>
        </w:trPr>
        <w:tc>
          <w:tcPr>
            <w:tcW w:w="2010" w:type="pct"/>
            <w:tcBorders>
              <w:top w:val="nil"/>
              <w:left w:val="nil"/>
              <w:bottom w:val="nil"/>
              <w:right w:val="nil"/>
            </w:tcBorders>
            <w:shd w:val="clear" w:color="auto" w:fill="FFFFFF"/>
            <w:vAlign w:val="center"/>
            <w:hideMark/>
          </w:tcPr>
          <w:p w14:paraId="5B42A35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Degree of noise pollution</w:t>
            </w:r>
          </w:p>
        </w:tc>
        <w:tc>
          <w:tcPr>
            <w:tcW w:w="274" w:type="pct"/>
            <w:tcBorders>
              <w:top w:val="nil"/>
              <w:left w:val="nil"/>
              <w:bottom w:val="nil"/>
              <w:right w:val="nil"/>
            </w:tcBorders>
            <w:shd w:val="clear" w:color="auto" w:fill="FFFFFF"/>
            <w:vAlign w:val="center"/>
            <w:hideMark/>
          </w:tcPr>
          <w:p w14:paraId="2680718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.726</w:t>
            </w:r>
          </w:p>
        </w:tc>
        <w:tc>
          <w:tcPr>
            <w:tcW w:w="274" w:type="pct"/>
            <w:tcBorders>
              <w:top w:val="nil"/>
              <w:left w:val="nil"/>
              <w:bottom w:val="nil"/>
              <w:right w:val="nil"/>
            </w:tcBorders>
            <w:shd w:val="clear" w:color="auto" w:fill="FFFFFF"/>
            <w:vAlign w:val="center"/>
          </w:tcPr>
          <w:p w14:paraId="28913C9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66CE24D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0D67A6C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5C76820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4968116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3871613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70ABFE1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113F49D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43FF96D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3F4A8D9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18189FF9" w14:textId="77777777" w:rsidTr="008A0A89">
        <w:trPr>
          <w:cantSplit/>
          <w:jc w:val="center"/>
        </w:trPr>
        <w:tc>
          <w:tcPr>
            <w:tcW w:w="2010" w:type="pct"/>
            <w:tcBorders>
              <w:top w:val="nil"/>
              <w:left w:val="nil"/>
              <w:bottom w:val="nil"/>
              <w:right w:val="nil"/>
            </w:tcBorders>
            <w:shd w:val="clear" w:color="auto" w:fill="FFFFFF"/>
            <w:vAlign w:val="center"/>
            <w:hideMark/>
          </w:tcPr>
          <w:p w14:paraId="58AC694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Aesthetic quality of the environment</w:t>
            </w:r>
          </w:p>
        </w:tc>
        <w:tc>
          <w:tcPr>
            <w:tcW w:w="274" w:type="pct"/>
            <w:tcBorders>
              <w:top w:val="nil"/>
              <w:left w:val="nil"/>
              <w:bottom w:val="nil"/>
              <w:right w:val="nil"/>
            </w:tcBorders>
            <w:shd w:val="clear" w:color="auto" w:fill="FFFFFF"/>
            <w:vAlign w:val="center"/>
            <w:hideMark/>
          </w:tcPr>
          <w:p w14:paraId="694F650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.642</w:t>
            </w:r>
          </w:p>
        </w:tc>
        <w:tc>
          <w:tcPr>
            <w:tcW w:w="274" w:type="pct"/>
            <w:tcBorders>
              <w:top w:val="nil"/>
              <w:left w:val="nil"/>
              <w:bottom w:val="nil"/>
              <w:right w:val="nil"/>
            </w:tcBorders>
            <w:shd w:val="clear" w:color="auto" w:fill="FFFFFF"/>
            <w:vAlign w:val="center"/>
          </w:tcPr>
          <w:p w14:paraId="25E41CD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3B32D5F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2846721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3193B9A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0B45A7E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0A468B1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4F5343E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4860DE7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47445EF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24FCFA3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30B534CF" w14:textId="77777777" w:rsidTr="008A0A89">
        <w:trPr>
          <w:cantSplit/>
          <w:jc w:val="center"/>
        </w:trPr>
        <w:tc>
          <w:tcPr>
            <w:tcW w:w="2010" w:type="pct"/>
            <w:tcBorders>
              <w:top w:val="nil"/>
              <w:left w:val="nil"/>
              <w:bottom w:val="nil"/>
              <w:right w:val="nil"/>
            </w:tcBorders>
            <w:shd w:val="clear" w:color="auto" w:fill="FFFFFF"/>
            <w:vAlign w:val="center"/>
            <w:hideMark/>
          </w:tcPr>
          <w:p w14:paraId="03BDD49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Social interaction among neighbours</w:t>
            </w:r>
          </w:p>
        </w:tc>
        <w:tc>
          <w:tcPr>
            <w:tcW w:w="274" w:type="pct"/>
            <w:tcBorders>
              <w:top w:val="nil"/>
              <w:left w:val="nil"/>
              <w:bottom w:val="nil"/>
              <w:right w:val="nil"/>
            </w:tcBorders>
            <w:shd w:val="clear" w:color="auto" w:fill="FFFFFF"/>
            <w:vAlign w:val="center"/>
            <w:hideMark/>
          </w:tcPr>
          <w:p w14:paraId="2490B8F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.588</w:t>
            </w:r>
          </w:p>
        </w:tc>
        <w:tc>
          <w:tcPr>
            <w:tcW w:w="274" w:type="pct"/>
            <w:tcBorders>
              <w:top w:val="nil"/>
              <w:left w:val="nil"/>
              <w:bottom w:val="nil"/>
              <w:right w:val="nil"/>
            </w:tcBorders>
            <w:shd w:val="clear" w:color="auto" w:fill="FFFFFF"/>
            <w:vAlign w:val="center"/>
          </w:tcPr>
          <w:p w14:paraId="5F1479A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2F8ADB2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7D06FDF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104A353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09E941B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548A300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5460E7F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24AEBDE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5EB806F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54F0B0A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4D11A630" w14:textId="77777777" w:rsidTr="008A0A89">
        <w:trPr>
          <w:cantSplit/>
          <w:jc w:val="center"/>
        </w:trPr>
        <w:tc>
          <w:tcPr>
            <w:tcW w:w="2010" w:type="pct"/>
            <w:tcBorders>
              <w:top w:val="nil"/>
              <w:left w:val="nil"/>
              <w:bottom w:val="nil"/>
              <w:right w:val="nil"/>
            </w:tcBorders>
            <w:shd w:val="clear" w:color="auto" w:fill="FFFFFF"/>
            <w:vAlign w:val="center"/>
            <w:hideMark/>
          </w:tcPr>
          <w:p w14:paraId="32B7A9A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Environmental Sanitation</w:t>
            </w:r>
          </w:p>
        </w:tc>
        <w:tc>
          <w:tcPr>
            <w:tcW w:w="274" w:type="pct"/>
            <w:tcBorders>
              <w:top w:val="nil"/>
              <w:left w:val="nil"/>
              <w:bottom w:val="nil"/>
              <w:right w:val="nil"/>
            </w:tcBorders>
            <w:shd w:val="clear" w:color="auto" w:fill="FFFFFF"/>
            <w:vAlign w:val="center"/>
          </w:tcPr>
          <w:p w14:paraId="4AF3B42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hideMark/>
          </w:tcPr>
          <w:p w14:paraId="0252D8C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.887</w:t>
            </w:r>
          </w:p>
        </w:tc>
        <w:tc>
          <w:tcPr>
            <w:tcW w:w="241" w:type="pct"/>
            <w:tcBorders>
              <w:top w:val="nil"/>
              <w:left w:val="nil"/>
              <w:bottom w:val="nil"/>
              <w:right w:val="nil"/>
            </w:tcBorders>
            <w:shd w:val="clear" w:color="auto" w:fill="FFFFFF"/>
            <w:vAlign w:val="center"/>
          </w:tcPr>
          <w:p w14:paraId="3F53A60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07165DC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00185AF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4167382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2FE242B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1626CC2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69722A2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5BC76F3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0D03279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78BD4236" w14:textId="77777777" w:rsidTr="008A0A89">
        <w:trPr>
          <w:cantSplit/>
          <w:jc w:val="center"/>
        </w:trPr>
        <w:tc>
          <w:tcPr>
            <w:tcW w:w="2010" w:type="pct"/>
            <w:tcBorders>
              <w:top w:val="nil"/>
              <w:left w:val="nil"/>
              <w:bottom w:val="nil"/>
              <w:right w:val="nil"/>
            </w:tcBorders>
            <w:shd w:val="clear" w:color="auto" w:fill="FFFFFF"/>
            <w:vAlign w:val="center"/>
            <w:hideMark/>
          </w:tcPr>
          <w:p w14:paraId="3921685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Waste disposal facility</w:t>
            </w:r>
          </w:p>
        </w:tc>
        <w:tc>
          <w:tcPr>
            <w:tcW w:w="274" w:type="pct"/>
            <w:tcBorders>
              <w:top w:val="nil"/>
              <w:left w:val="nil"/>
              <w:bottom w:val="nil"/>
              <w:right w:val="nil"/>
            </w:tcBorders>
            <w:shd w:val="clear" w:color="auto" w:fill="FFFFFF"/>
            <w:vAlign w:val="center"/>
          </w:tcPr>
          <w:p w14:paraId="51AC907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hideMark/>
          </w:tcPr>
          <w:p w14:paraId="642F34A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.853</w:t>
            </w:r>
          </w:p>
        </w:tc>
        <w:tc>
          <w:tcPr>
            <w:tcW w:w="241" w:type="pct"/>
            <w:tcBorders>
              <w:top w:val="nil"/>
              <w:left w:val="nil"/>
              <w:bottom w:val="nil"/>
              <w:right w:val="nil"/>
            </w:tcBorders>
            <w:shd w:val="clear" w:color="auto" w:fill="FFFFFF"/>
            <w:vAlign w:val="center"/>
          </w:tcPr>
          <w:p w14:paraId="02036AB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5822DBD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4C5847E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71CC663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497AA71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01683BE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16CDCE2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706A767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3F4FF02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79E9C76B" w14:textId="77777777" w:rsidTr="008A0A89">
        <w:trPr>
          <w:cantSplit/>
          <w:jc w:val="center"/>
        </w:trPr>
        <w:tc>
          <w:tcPr>
            <w:tcW w:w="2010" w:type="pct"/>
            <w:tcBorders>
              <w:top w:val="nil"/>
              <w:left w:val="nil"/>
              <w:bottom w:val="nil"/>
              <w:right w:val="nil"/>
            </w:tcBorders>
            <w:shd w:val="clear" w:color="auto" w:fill="FFFFFF"/>
            <w:vAlign w:val="center"/>
            <w:hideMark/>
          </w:tcPr>
          <w:p w14:paraId="0FA2125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Available Drainage</w:t>
            </w:r>
          </w:p>
        </w:tc>
        <w:tc>
          <w:tcPr>
            <w:tcW w:w="274" w:type="pct"/>
            <w:tcBorders>
              <w:top w:val="nil"/>
              <w:left w:val="nil"/>
              <w:bottom w:val="nil"/>
              <w:right w:val="nil"/>
            </w:tcBorders>
            <w:shd w:val="clear" w:color="auto" w:fill="FFFFFF"/>
            <w:vAlign w:val="center"/>
          </w:tcPr>
          <w:p w14:paraId="57A6963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hideMark/>
          </w:tcPr>
          <w:p w14:paraId="2CDD39B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.735</w:t>
            </w:r>
          </w:p>
        </w:tc>
        <w:tc>
          <w:tcPr>
            <w:tcW w:w="241" w:type="pct"/>
            <w:tcBorders>
              <w:top w:val="nil"/>
              <w:left w:val="nil"/>
              <w:bottom w:val="nil"/>
              <w:right w:val="nil"/>
            </w:tcBorders>
            <w:shd w:val="clear" w:color="auto" w:fill="FFFFFF"/>
            <w:vAlign w:val="center"/>
          </w:tcPr>
          <w:p w14:paraId="3DFCA9E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210EDD2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52462F8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69992CA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3452AC6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62ACCBE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1A181B2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29D5F7F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109687F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3FEE3D4E" w14:textId="77777777" w:rsidTr="008A0A89">
        <w:trPr>
          <w:cantSplit/>
          <w:jc w:val="center"/>
        </w:trPr>
        <w:tc>
          <w:tcPr>
            <w:tcW w:w="2010" w:type="pct"/>
            <w:tcBorders>
              <w:top w:val="nil"/>
              <w:left w:val="nil"/>
              <w:bottom w:val="nil"/>
              <w:right w:val="nil"/>
            </w:tcBorders>
            <w:shd w:val="clear" w:color="auto" w:fill="FFFFFF"/>
            <w:vAlign w:val="center"/>
            <w:hideMark/>
          </w:tcPr>
          <w:p w14:paraId="18944DC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Road safety/pedestrian safety</w:t>
            </w:r>
          </w:p>
        </w:tc>
        <w:tc>
          <w:tcPr>
            <w:tcW w:w="274" w:type="pct"/>
            <w:tcBorders>
              <w:top w:val="nil"/>
              <w:left w:val="nil"/>
              <w:bottom w:val="nil"/>
              <w:right w:val="nil"/>
            </w:tcBorders>
            <w:shd w:val="clear" w:color="auto" w:fill="FFFFFF"/>
            <w:vAlign w:val="center"/>
          </w:tcPr>
          <w:p w14:paraId="0C78B98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hideMark/>
          </w:tcPr>
          <w:p w14:paraId="0E71B7D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.628</w:t>
            </w:r>
          </w:p>
        </w:tc>
        <w:tc>
          <w:tcPr>
            <w:tcW w:w="241" w:type="pct"/>
            <w:tcBorders>
              <w:top w:val="nil"/>
              <w:left w:val="nil"/>
              <w:bottom w:val="nil"/>
              <w:right w:val="nil"/>
            </w:tcBorders>
            <w:shd w:val="clear" w:color="auto" w:fill="FFFFFF"/>
            <w:vAlign w:val="center"/>
            <w:hideMark/>
          </w:tcPr>
          <w:p w14:paraId="3BA6D0D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.522</w:t>
            </w:r>
          </w:p>
        </w:tc>
        <w:tc>
          <w:tcPr>
            <w:tcW w:w="258" w:type="pct"/>
            <w:tcBorders>
              <w:top w:val="nil"/>
              <w:left w:val="nil"/>
              <w:bottom w:val="nil"/>
              <w:right w:val="nil"/>
            </w:tcBorders>
            <w:shd w:val="clear" w:color="auto" w:fill="FFFFFF"/>
            <w:vAlign w:val="center"/>
          </w:tcPr>
          <w:p w14:paraId="09A63C6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4968A1D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4E14E40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127CF29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5E72F24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7AC577D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0492679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7F9CDD9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11D44EAE" w14:textId="77777777" w:rsidTr="008A0A89">
        <w:trPr>
          <w:cantSplit/>
          <w:jc w:val="center"/>
        </w:trPr>
        <w:tc>
          <w:tcPr>
            <w:tcW w:w="2010" w:type="pct"/>
            <w:tcBorders>
              <w:top w:val="nil"/>
              <w:left w:val="nil"/>
              <w:bottom w:val="nil"/>
              <w:right w:val="nil"/>
            </w:tcBorders>
            <w:shd w:val="clear" w:color="auto" w:fill="FFFFFF"/>
            <w:vAlign w:val="center"/>
            <w:hideMark/>
          </w:tcPr>
          <w:p w14:paraId="31B2A39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Traffic density</w:t>
            </w:r>
          </w:p>
        </w:tc>
        <w:tc>
          <w:tcPr>
            <w:tcW w:w="274" w:type="pct"/>
            <w:tcBorders>
              <w:top w:val="nil"/>
              <w:left w:val="nil"/>
              <w:bottom w:val="nil"/>
              <w:right w:val="nil"/>
            </w:tcBorders>
            <w:shd w:val="clear" w:color="auto" w:fill="FFFFFF"/>
            <w:vAlign w:val="center"/>
          </w:tcPr>
          <w:p w14:paraId="2D3AB1E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3FC86AF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hideMark/>
          </w:tcPr>
          <w:p w14:paraId="06BBB94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.862</w:t>
            </w:r>
          </w:p>
        </w:tc>
        <w:tc>
          <w:tcPr>
            <w:tcW w:w="258" w:type="pct"/>
            <w:tcBorders>
              <w:top w:val="nil"/>
              <w:left w:val="nil"/>
              <w:bottom w:val="nil"/>
              <w:right w:val="nil"/>
            </w:tcBorders>
            <w:shd w:val="clear" w:color="auto" w:fill="FFFFFF"/>
            <w:vAlign w:val="center"/>
          </w:tcPr>
          <w:p w14:paraId="6AC0B4A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7DE0851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295FF78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61A7432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68C895A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7221D0A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164E7E3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5C4D056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59FD71E2" w14:textId="77777777" w:rsidTr="008A0A89">
        <w:trPr>
          <w:cantSplit/>
          <w:jc w:val="center"/>
        </w:trPr>
        <w:tc>
          <w:tcPr>
            <w:tcW w:w="2010" w:type="pct"/>
            <w:tcBorders>
              <w:top w:val="nil"/>
              <w:left w:val="nil"/>
              <w:bottom w:val="nil"/>
              <w:right w:val="nil"/>
            </w:tcBorders>
            <w:shd w:val="clear" w:color="auto" w:fill="FFFFFF"/>
            <w:vAlign w:val="center"/>
            <w:hideMark/>
          </w:tcPr>
          <w:p w14:paraId="18DB270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Road condition</w:t>
            </w:r>
          </w:p>
        </w:tc>
        <w:tc>
          <w:tcPr>
            <w:tcW w:w="274" w:type="pct"/>
            <w:tcBorders>
              <w:top w:val="nil"/>
              <w:left w:val="nil"/>
              <w:bottom w:val="nil"/>
              <w:right w:val="nil"/>
            </w:tcBorders>
            <w:shd w:val="clear" w:color="auto" w:fill="FFFFFF"/>
            <w:vAlign w:val="center"/>
          </w:tcPr>
          <w:p w14:paraId="2A750BC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675117F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hideMark/>
          </w:tcPr>
          <w:p w14:paraId="2D11870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.717</w:t>
            </w:r>
          </w:p>
        </w:tc>
        <w:tc>
          <w:tcPr>
            <w:tcW w:w="258" w:type="pct"/>
            <w:tcBorders>
              <w:top w:val="nil"/>
              <w:left w:val="nil"/>
              <w:bottom w:val="nil"/>
              <w:right w:val="nil"/>
            </w:tcBorders>
            <w:shd w:val="clear" w:color="auto" w:fill="FFFFFF"/>
            <w:vAlign w:val="center"/>
          </w:tcPr>
          <w:p w14:paraId="1475A34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0006D50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21276AC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00370F3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5B503CD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303B38A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6AFA705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24B54AA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158ECEED" w14:textId="77777777" w:rsidTr="008A0A89">
        <w:trPr>
          <w:cantSplit/>
          <w:jc w:val="center"/>
        </w:trPr>
        <w:tc>
          <w:tcPr>
            <w:tcW w:w="2010" w:type="pct"/>
            <w:tcBorders>
              <w:top w:val="nil"/>
              <w:left w:val="nil"/>
              <w:bottom w:val="nil"/>
              <w:right w:val="nil"/>
            </w:tcBorders>
            <w:shd w:val="clear" w:color="auto" w:fill="FFFFFF"/>
            <w:vAlign w:val="center"/>
            <w:hideMark/>
          </w:tcPr>
          <w:p w14:paraId="6B06D20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Electricity supply</w:t>
            </w:r>
          </w:p>
        </w:tc>
        <w:tc>
          <w:tcPr>
            <w:tcW w:w="274" w:type="pct"/>
            <w:tcBorders>
              <w:top w:val="nil"/>
              <w:left w:val="nil"/>
              <w:bottom w:val="nil"/>
              <w:right w:val="nil"/>
            </w:tcBorders>
            <w:shd w:val="clear" w:color="auto" w:fill="FFFFFF"/>
            <w:vAlign w:val="center"/>
          </w:tcPr>
          <w:p w14:paraId="7FB52C9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647C7E0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hideMark/>
          </w:tcPr>
          <w:p w14:paraId="16FC0FB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.573</w:t>
            </w:r>
          </w:p>
        </w:tc>
        <w:tc>
          <w:tcPr>
            <w:tcW w:w="258" w:type="pct"/>
            <w:tcBorders>
              <w:top w:val="nil"/>
              <w:left w:val="nil"/>
              <w:bottom w:val="nil"/>
              <w:right w:val="nil"/>
            </w:tcBorders>
            <w:shd w:val="clear" w:color="auto" w:fill="FFFFFF"/>
            <w:vAlign w:val="center"/>
          </w:tcPr>
          <w:p w14:paraId="5EF491C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6789BAD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29D1966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688303F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053D11A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hideMark/>
          </w:tcPr>
          <w:p w14:paraId="12DBCAA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.493</w:t>
            </w:r>
          </w:p>
        </w:tc>
        <w:tc>
          <w:tcPr>
            <w:tcW w:w="258" w:type="pct"/>
            <w:tcBorders>
              <w:top w:val="nil"/>
              <w:left w:val="nil"/>
              <w:bottom w:val="nil"/>
              <w:right w:val="nil"/>
            </w:tcBorders>
            <w:shd w:val="clear" w:color="auto" w:fill="FFFFFF"/>
            <w:vAlign w:val="center"/>
          </w:tcPr>
          <w:p w14:paraId="14F93F7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390525F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6C94B018" w14:textId="77777777" w:rsidTr="008A0A89">
        <w:trPr>
          <w:cantSplit/>
          <w:jc w:val="center"/>
        </w:trPr>
        <w:tc>
          <w:tcPr>
            <w:tcW w:w="2010" w:type="pct"/>
            <w:tcBorders>
              <w:top w:val="nil"/>
              <w:left w:val="nil"/>
              <w:bottom w:val="nil"/>
              <w:right w:val="nil"/>
            </w:tcBorders>
            <w:shd w:val="clear" w:color="auto" w:fill="FFFFFF"/>
            <w:vAlign w:val="center"/>
            <w:hideMark/>
          </w:tcPr>
          <w:p w14:paraId="22A50B2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Available road network</w:t>
            </w:r>
          </w:p>
        </w:tc>
        <w:tc>
          <w:tcPr>
            <w:tcW w:w="274" w:type="pct"/>
            <w:tcBorders>
              <w:top w:val="nil"/>
              <w:left w:val="nil"/>
              <w:bottom w:val="nil"/>
              <w:right w:val="nil"/>
            </w:tcBorders>
            <w:shd w:val="clear" w:color="auto" w:fill="FFFFFF"/>
            <w:vAlign w:val="center"/>
          </w:tcPr>
          <w:p w14:paraId="30AA963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1B517FC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hideMark/>
          </w:tcPr>
          <w:p w14:paraId="20A050F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.561</w:t>
            </w:r>
          </w:p>
        </w:tc>
        <w:tc>
          <w:tcPr>
            <w:tcW w:w="258" w:type="pct"/>
            <w:tcBorders>
              <w:top w:val="nil"/>
              <w:left w:val="nil"/>
              <w:bottom w:val="nil"/>
              <w:right w:val="nil"/>
            </w:tcBorders>
            <w:shd w:val="clear" w:color="auto" w:fill="FFFFFF"/>
            <w:vAlign w:val="center"/>
          </w:tcPr>
          <w:p w14:paraId="414F9CE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26431D1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77BFC6A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133509E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74CA9C5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1BDCAE3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7C15451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5708182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415BA1E6" w14:textId="77777777" w:rsidTr="008A0A89">
        <w:trPr>
          <w:cantSplit/>
          <w:jc w:val="center"/>
        </w:trPr>
        <w:tc>
          <w:tcPr>
            <w:tcW w:w="2010" w:type="pct"/>
            <w:tcBorders>
              <w:top w:val="nil"/>
              <w:left w:val="nil"/>
              <w:bottom w:val="nil"/>
              <w:right w:val="nil"/>
            </w:tcBorders>
            <w:shd w:val="clear" w:color="auto" w:fill="FFFFFF"/>
            <w:vAlign w:val="center"/>
            <w:hideMark/>
          </w:tcPr>
          <w:p w14:paraId="1F346D9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Availability of shops</w:t>
            </w:r>
          </w:p>
        </w:tc>
        <w:tc>
          <w:tcPr>
            <w:tcW w:w="274" w:type="pct"/>
            <w:tcBorders>
              <w:top w:val="nil"/>
              <w:left w:val="nil"/>
              <w:bottom w:val="nil"/>
              <w:right w:val="nil"/>
            </w:tcBorders>
            <w:shd w:val="clear" w:color="auto" w:fill="FFFFFF"/>
            <w:vAlign w:val="center"/>
          </w:tcPr>
          <w:p w14:paraId="395C66C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28DF0FD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106EC1F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hideMark/>
          </w:tcPr>
          <w:p w14:paraId="04149A1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.771</w:t>
            </w:r>
          </w:p>
        </w:tc>
        <w:tc>
          <w:tcPr>
            <w:tcW w:w="277" w:type="pct"/>
            <w:tcBorders>
              <w:top w:val="nil"/>
              <w:left w:val="nil"/>
              <w:bottom w:val="nil"/>
              <w:right w:val="nil"/>
            </w:tcBorders>
            <w:shd w:val="clear" w:color="auto" w:fill="FFFFFF"/>
            <w:vAlign w:val="center"/>
          </w:tcPr>
          <w:p w14:paraId="2568516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2E06B4B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5250302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6953B67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4B8C91F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6AC9295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4243E2A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7B8EC715" w14:textId="77777777" w:rsidTr="008A0A89">
        <w:trPr>
          <w:cantSplit/>
          <w:jc w:val="center"/>
        </w:trPr>
        <w:tc>
          <w:tcPr>
            <w:tcW w:w="2010" w:type="pct"/>
            <w:tcBorders>
              <w:top w:val="nil"/>
              <w:left w:val="nil"/>
              <w:bottom w:val="nil"/>
              <w:right w:val="nil"/>
            </w:tcBorders>
            <w:shd w:val="clear" w:color="auto" w:fill="FFFFFF"/>
            <w:vAlign w:val="center"/>
            <w:hideMark/>
          </w:tcPr>
          <w:p w14:paraId="735EBDF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Accessibility to economic opportunities</w:t>
            </w:r>
          </w:p>
        </w:tc>
        <w:tc>
          <w:tcPr>
            <w:tcW w:w="274" w:type="pct"/>
            <w:tcBorders>
              <w:top w:val="nil"/>
              <w:left w:val="nil"/>
              <w:bottom w:val="nil"/>
              <w:right w:val="nil"/>
            </w:tcBorders>
            <w:shd w:val="clear" w:color="auto" w:fill="FFFFFF"/>
            <w:vAlign w:val="center"/>
          </w:tcPr>
          <w:p w14:paraId="14AB46B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09C3953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2F3F6F0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hideMark/>
          </w:tcPr>
          <w:p w14:paraId="2F939E3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.728</w:t>
            </w:r>
          </w:p>
        </w:tc>
        <w:tc>
          <w:tcPr>
            <w:tcW w:w="277" w:type="pct"/>
            <w:tcBorders>
              <w:top w:val="nil"/>
              <w:left w:val="nil"/>
              <w:bottom w:val="nil"/>
              <w:right w:val="nil"/>
            </w:tcBorders>
            <w:shd w:val="clear" w:color="auto" w:fill="FFFFFF"/>
            <w:vAlign w:val="center"/>
          </w:tcPr>
          <w:p w14:paraId="4D2A483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6A20B5A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03E59B7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1A88F46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1313D4C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7AD792B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3B2452F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53F94F40" w14:textId="77777777" w:rsidTr="008A0A89">
        <w:trPr>
          <w:cantSplit/>
          <w:jc w:val="center"/>
        </w:trPr>
        <w:tc>
          <w:tcPr>
            <w:tcW w:w="2010" w:type="pct"/>
            <w:tcBorders>
              <w:top w:val="nil"/>
              <w:left w:val="nil"/>
              <w:bottom w:val="nil"/>
              <w:right w:val="nil"/>
            </w:tcBorders>
            <w:shd w:val="clear" w:color="auto" w:fill="FFFFFF"/>
            <w:vAlign w:val="center"/>
            <w:hideMark/>
          </w:tcPr>
          <w:p w14:paraId="2F78612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Privacy in your neighborhood</w:t>
            </w:r>
          </w:p>
        </w:tc>
        <w:tc>
          <w:tcPr>
            <w:tcW w:w="274" w:type="pct"/>
            <w:tcBorders>
              <w:top w:val="nil"/>
              <w:left w:val="nil"/>
              <w:bottom w:val="nil"/>
              <w:right w:val="nil"/>
            </w:tcBorders>
            <w:shd w:val="clear" w:color="auto" w:fill="FFFFFF"/>
            <w:vAlign w:val="center"/>
          </w:tcPr>
          <w:p w14:paraId="3834A83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5726B1B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027C312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hideMark/>
          </w:tcPr>
          <w:p w14:paraId="7176EBE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.725</w:t>
            </w:r>
          </w:p>
        </w:tc>
        <w:tc>
          <w:tcPr>
            <w:tcW w:w="277" w:type="pct"/>
            <w:tcBorders>
              <w:top w:val="nil"/>
              <w:left w:val="nil"/>
              <w:bottom w:val="nil"/>
              <w:right w:val="nil"/>
            </w:tcBorders>
            <w:shd w:val="clear" w:color="auto" w:fill="FFFFFF"/>
            <w:vAlign w:val="center"/>
          </w:tcPr>
          <w:p w14:paraId="7A43E57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19C7D99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22F2F5A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5DC60CC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11E5590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2696465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6E15C37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51DAF1F3" w14:textId="77777777" w:rsidTr="008A0A89">
        <w:trPr>
          <w:cantSplit/>
          <w:jc w:val="center"/>
        </w:trPr>
        <w:tc>
          <w:tcPr>
            <w:tcW w:w="2010" w:type="pct"/>
            <w:tcBorders>
              <w:top w:val="nil"/>
              <w:left w:val="nil"/>
              <w:bottom w:val="nil"/>
              <w:right w:val="nil"/>
            </w:tcBorders>
            <w:shd w:val="clear" w:color="auto" w:fill="FFFFFF"/>
            <w:vAlign w:val="center"/>
            <w:hideMark/>
          </w:tcPr>
          <w:p w14:paraId="1E6236F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Availability of market</w:t>
            </w:r>
          </w:p>
        </w:tc>
        <w:tc>
          <w:tcPr>
            <w:tcW w:w="274" w:type="pct"/>
            <w:tcBorders>
              <w:top w:val="nil"/>
              <w:left w:val="nil"/>
              <w:bottom w:val="nil"/>
              <w:right w:val="nil"/>
            </w:tcBorders>
            <w:shd w:val="clear" w:color="auto" w:fill="FFFFFF"/>
            <w:vAlign w:val="center"/>
          </w:tcPr>
          <w:p w14:paraId="38E3B77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13011A6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2C5DDB2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hideMark/>
          </w:tcPr>
          <w:p w14:paraId="27AD077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.722</w:t>
            </w:r>
          </w:p>
        </w:tc>
        <w:tc>
          <w:tcPr>
            <w:tcW w:w="277" w:type="pct"/>
            <w:tcBorders>
              <w:top w:val="nil"/>
              <w:left w:val="nil"/>
              <w:bottom w:val="nil"/>
              <w:right w:val="nil"/>
            </w:tcBorders>
            <w:shd w:val="clear" w:color="auto" w:fill="FFFFFF"/>
            <w:vAlign w:val="center"/>
          </w:tcPr>
          <w:p w14:paraId="34041EB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1D1B656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3F0E74E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28A813F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5311E3B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70598AD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362F5BA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5C404C1C" w14:textId="77777777" w:rsidTr="008A0A89">
        <w:trPr>
          <w:cantSplit/>
          <w:jc w:val="center"/>
        </w:trPr>
        <w:tc>
          <w:tcPr>
            <w:tcW w:w="2010" w:type="pct"/>
            <w:tcBorders>
              <w:top w:val="nil"/>
              <w:left w:val="nil"/>
              <w:bottom w:val="nil"/>
              <w:right w:val="nil"/>
            </w:tcBorders>
            <w:shd w:val="clear" w:color="auto" w:fill="FFFFFF"/>
            <w:vAlign w:val="center"/>
            <w:hideMark/>
          </w:tcPr>
          <w:p w14:paraId="5780D58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Privacy in your home</w:t>
            </w:r>
          </w:p>
        </w:tc>
        <w:tc>
          <w:tcPr>
            <w:tcW w:w="274" w:type="pct"/>
            <w:tcBorders>
              <w:top w:val="nil"/>
              <w:left w:val="nil"/>
              <w:bottom w:val="nil"/>
              <w:right w:val="nil"/>
            </w:tcBorders>
            <w:shd w:val="clear" w:color="auto" w:fill="FFFFFF"/>
            <w:vAlign w:val="center"/>
          </w:tcPr>
          <w:p w14:paraId="048CD5F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29F84AF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35613D2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hideMark/>
          </w:tcPr>
          <w:p w14:paraId="6E73BCF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.594</w:t>
            </w:r>
          </w:p>
        </w:tc>
        <w:tc>
          <w:tcPr>
            <w:tcW w:w="277" w:type="pct"/>
            <w:tcBorders>
              <w:top w:val="nil"/>
              <w:left w:val="nil"/>
              <w:bottom w:val="nil"/>
              <w:right w:val="nil"/>
            </w:tcBorders>
            <w:shd w:val="clear" w:color="auto" w:fill="FFFFFF"/>
            <w:vAlign w:val="center"/>
          </w:tcPr>
          <w:p w14:paraId="6925014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4BAE1D5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71A9513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079CF84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2BECB0A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3241C4B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hideMark/>
          </w:tcPr>
          <w:p w14:paraId="2025913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.484</w:t>
            </w:r>
          </w:p>
        </w:tc>
      </w:tr>
      <w:tr w:rsidR="008A0A89" w:rsidRPr="008A0A89" w14:paraId="32C99BE4" w14:textId="77777777" w:rsidTr="008A0A89">
        <w:trPr>
          <w:cantSplit/>
          <w:jc w:val="center"/>
        </w:trPr>
        <w:tc>
          <w:tcPr>
            <w:tcW w:w="2010" w:type="pct"/>
            <w:tcBorders>
              <w:top w:val="nil"/>
              <w:left w:val="nil"/>
              <w:bottom w:val="nil"/>
              <w:right w:val="nil"/>
            </w:tcBorders>
            <w:shd w:val="clear" w:color="auto" w:fill="FFFFFF"/>
            <w:vAlign w:val="center"/>
            <w:hideMark/>
          </w:tcPr>
          <w:p w14:paraId="29B4AE4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lastRenderedPageBreak/>
              <w:t>Availability to recreational space</w:t>
            </w:r>
          </w:p>
        </w:tc>
        <w:tc>
          <w:tcPr>
            <w:tcW w:w="274" w:type="pct"/>
            <w:tcBorders>
              <w:top w:val="nil"/>
              <w:left w:val="nil"/>
              <w:bottom w:val="nil"/>
              <w:right w:val="nil"/>
            </w:tcBorders>
            <w:shd w:val="clear" w:color="auto" w:fill="FFFFFF"/>
            <w:vAlign w:val="center"/>
          </w:tcPr>
          <w:p w14:paraId="138FC1E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0D0E6D0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7D7A2CB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5311592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hideMark/>
          </w:tcPr>
          <w:p w14:paraId="5B95A7F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.907</w:t>
            </w:r>
          </w:p>
        </w:tc>
        <w:tc>
          <w:tcPr>
            <w:tcW w:w="274" w:type="pct"/>
            <w:tcBorders>
              <w:top w:val="nil"/>
              <w:left w:val="nil"/>
              <w:bottom w:val="nil"/>
              <w:right w:val="nil"/>
            </w:tcBorders>
            <w:shd w:val="clear" w:color="auto" w:fill="FFFFFF"/>
            <w:vAlign w:val="center"/>
          </w:tcPr>
          <w:p w14:paraId="175ACD6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11860A1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5E3DAD8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7F37157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7F3E847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1C6D93B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03BF3625" w14:textId="77777777" w:rsidTr="008A0A89">
        <w:trPr>
          <w:cantSplit/>
          <w:jc w:val="center"/>
        </w:trPr>
        <w:tc>
          <w:tcPr>
            <w:tcW w:w="2010" w:type="pct"/>
            <w:tcBorders>
              <w:top w:val="nil"/>
              <w:left w:val="nil"/>
              <w:bottom w:val="nil"/>
              <w:right w:val="nil"/>
            </w:tcBorders>
            <w:shd w:val="clear" w:color="auto" w:fill="FFFFFF"/>
            <w:vAlign w:val="center"/>
            <w:hideMark/>
          </w:tcPr>
          <w:p w14:paraId="7B6E58A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Available Open space/Green area</w:t>
            </w:r>
          </w:p>
        </w:tc>
        <w:tc>
          <w:tcPr>
            <w:tcW w:w="274" w:type="pct"/>
            <w:tcBorders>
              <w:top w:val="nil"/>
              <w:left w:val="nil"/>
              <w:bottom w:val="nil"/>
              <w:right w:val="nil"/>
            </w:tcBorders>
            <w:shd w:val="clear" w:color="auto" w:fill="FFFFFF"/>
            <w:vAlign w:val="center"/>
          </w:tcPr>
          <w:p w14:paraId="534D302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533C33E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479F536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464F31E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hideMark/>
          </w:tcPr>
          <w:p w14:paraId="673AD13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.860</w:t>
            </w:r>
          </w:p>
        </w:tc>
        <w:tc>
          <w:tcPr>
            <w:tcW w:w="274" w:type="pct"/>
            <w:tcBorders>
              <w:top w:val="nil"/>
              <w:left w:val="nil"/>
              <w:bottom w:val="nil"/>
              <w:right w:val="nil"/>
            </w:tcBorders>
            <w:shd w:val="clear" w:color="auto" w:fill="FFFFFF"/>
            <w:vAlign w:val="center"/>
          </w:tcPr>
          <w:p w14:paraId="567A45A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2BCF543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4BDD8F9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0DD9E7F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7BA41E2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6226C0C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27B6C4E7" w14:textId="77777777" w:rsidTr="008A0A89">
        <w:trPr>
          <w:cantSplit/>
          <w:jc w:val="center"/>
        </w:trPr>
        <w:tc>
          <w:tcPr>
            <w:tcW w:w="2010" w:type="pct"/>
            <w:tcBorders>
              <w:top w:val="nil"/>
              <w:left w:val="nil"/>
              <w:bottom w:val="nil"/>
              <w:right w:val="nil"/>
            </w:tcBorders>
            <w:shd w:val="clear" w:color="auto" w:fill="FFFFFF"/>
            <w:vAlign w:val="center"/>
            <w:hideMark/>
          </w:tcPr>
          <w:p w14:paraId="598CC95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Amount paid for waste disposal</w:t>
            </w:r>
          </w:p>
        </w:tc>
        <w:tc>
          <w:tcPr>
            <w:tcW w:w="274" w:type="pct"/>
            <w:tcBorders>
              <w:top w:val="nil"/>
              <w:left w:val="nil"/>
              <w:bottom w:val="nil"/>
              <w:right w:val="nil"/>
            </w:tcBorders>
            <w:shd w:val="clear" w:color="auto" w:fill="FFFFFF"/>
            <w:vAlign w:val="center"/>
          </w:tcPr>
          <w:p w14:paraId="0915B6C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hideMark/>
          </w:tcPr>
          <w:p w14:paraId="21128AE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.497</w:t>
            </w:r>
          </w:p>
        </w:tc>
        <w:tc>
          <w:tcPr>
            <w:tcW w:w="241" w:type="pct"/>
            <w:tcBorders>
              <w:top w:val="nil"/>
              <w:left w:val="nil"/>
              <w:bottom w:val="nil"/>
              <w:right w:val="nil"/>
            </w:tcBorders>
            <w:shd w:val="clear" w:color="auto" w:fill="FFFFFF"/>
            <w:vAlign w:val="center"/>
          </w:tcPr>
          <w:p w14:paraId="5F685F4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421BA43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hideMark/>
          </w:tcPr>
          <w:p w14:paraId="3978D7F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.690</w:t>
            </w:r>
          </w:p>
        </w:tc>
        <w:tc>
          <w:tcPr>
            <w:tcW w:w="274" w:type="pct"/>
            <w:tcBorders>
              <w:top w:val="nil"/>
              <w:left w:val="nil"/>
              <w:bottom w:val="nil"/>
              <w:right w:val="nil"/>
            </w:tcBorders>
            <w:shd w:val="clear" w:color="auto" w:fill="FFFFFF"/>
            <w:vAlign w:val="center"/>
          </w:tcPr>
          <w:p w14:paraId="6C02A2E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3C2F84C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0604B31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7D56233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6C91A38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2A3AAAC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3D78652C" w14:textId="77777777" w:rsidTr="008A0A89">
        <w:trPr>
          <w:cantSplit/>
          <w:jc w:val="center"/>
        </w:trPr>
        <w:tc>
          <w:tcPr>
            <w:tcW w:w="2010" w:type="pct"/>
            <w:tcBorders>
              <w:top w:val="nil"/>
              <w:left w:val="nil"/>
              <w:bottom w:val="nil"/>
              <w:right w:val="nil"/>
            </w:tcBorders>
            <w:shd w:val="clear" w:color="auto" w:fill="FFFFFF"/>
            <w:vAlign w:val="center"/>
            <w:hideMark/>
          </w:tcPr>
          <w:p w14:paraId="29AC8A4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Well water</w:t>
            </w:r>
          </w:p>
        </w:tc>
        <w:tc>
          <w:tcPr>
            <w:tcW w:w="274" w:type="pct"/>
            <w:tcBorders>
              <w:top w:val="nil"/>
              <w:left w:val="nil"/>
              <w:bottom w:val="nil"/>
              <w:right w:val="nil"/>
            </w:tcBorders>
            <w:shd w:val="clear" w:color="auto" w:fill="FFFFFF"/>
            <w:vAlign w:val="center"/>
          </w:tcPr>
          <w:p w14:paraId="5B411CF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6C00BD1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73621BC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15CF883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55A97C5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hideMark/>
          </w:tcPr>
          <w:p w14:paraId="621532E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.760</w:t>
            </w:r>
          </w:p>
        </w:tc>
        <w:tc>
          <w:tcPr>
            <w:tcW w:w="317" w:type="pct"/>
            <w:tcBorders>
              <w:top w:val="nil"/>
              <w:left w:val="nil"/>
              <w:bottom w:val="nil"/>
              <w:right w:val="nil"/>
            </w:tcBorders>
            <w:shd w:val="clear" w:color="auto" w:fill="FFFFFF"/>
            <w:vAlign w:val="center"/>
          </w:tcPr>
          <w:p w14:paraId="624EEBC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08B8616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247C742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55817CB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639A9CA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533113BC" w14:textId="77777777" w:rsidTr="008A0A89">
        <w:trPr>
          <w:cantSplit/>
          <w:jc w:val="center"/>
        </w:trPr>
        <w:tc>
          <w:tcPr>
            <w:tcW w:w="2010" w:type="pct"/>
            <w:tcBorders>
              <w:top w:val="nil"/>
              <w:left w:val="nil"/>
              <w:bottom w:val="nil"/>
              <w:right w:val="nil"/>
            </w:tcBorders>
            <w:shd w:val="clear" w:color="auto" w:fill="FFFFFF"/>
            <w:vAlign w:val="center"/>
            <w:hideMark/>
          </w:tcPr>
          <w:p w14:paraId="4ECE0CC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Accessibility to transport network</w:t>
            </w:r>
          </w:p>
        </w:tc>
        <w:tc>
          <w:tcPr>
            <w:tcW w:w="274" w:type="pct"/>
            <w:tcBorders>
              <w:top w:val="nil"/>
              <w:left w:val="nil"/>
              <w:bottom w:val="nil"/>
              <w:right w:val="nil"/>
            </w:tcBorders>
            <w:shd w:val="clear" w:color="auto" w:fill="FFFFFF"/>
            <w:vAlign w:val="center"/>
          </w:tcPr>
          <w:p w14:paraId="51CDB05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5AF30FA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hideMark/>
          </w:tcPr>
          <w:p w14:paraId="39ADA61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.503</w:t>
            </w:r>
          </w:p>
        </w:tc>
        <w:tc>
          <w:tcPr>
            <w:tcW w:w="258" w:type="pct"/>
            <w:tcBorders>
              <w:top w:val="nil"/>
              <w:left w:val="nil"/>
              <w:bottom w:val="nil"/>
              <w:right w:val="nil"/>
            </w:tcBorders>
            <w:shd w:val="clear" w:color="auto" w:fill="FFFFFF"/>
            <w:vAlign w:val="center"/>
          </w:tcPr>
          <w:p w14:paraId="55CA4B7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4CBE4FD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hideMark/>
          </w:tcPr>
          <w:p w14:paraId="3C0A317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.719</w:t>
            </w:r>
          </w:p>
        </w:tc>
        <w:tc>
          <w:tcPr>
            <w:tcW w:w="317" w:type="pct"/>
            <w:tcBorders>
              <w:top w:val="nil"/>
              <w:left w:val="nil"/>
              <w:bottom w:val="nil"/>
              <w:right w:val="nil"/>
            </w:tcBorders>
            <w:shd w:val="clear" w:color="auto" w:fill="FFFFFF"/>
            <w:vAlign w:val="center"/>
          </w:tcPr>
          <w:p w14:paraId="6E178E5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18BBCA9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7756CA0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5790847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5E35DB7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242E2070" w14:textId="77777777" w:rsidTr="008A0A89">
        <w:trPr>
          <w:cantSplit/>
          <w:jc w:val="center"/>
        </w:trPr>
        <w:tc>
          <w:tcPr>
            <w:tcW w:w="2010" w:type="pct"/>
            <w:tcBorders>
              <w:top w:val="nil"/>
              <w:left w:val="nil"/>
              <w:bottom w:val="nil"/>
              <w:right w:val="nil"/>
            </w:tcBorders>
            <w:shd w:val="clear" w:color="auto" w:fill="FFFFFF"/>
            <w:vAlign w:val="center"/>
            <w:hideMark/>
          </w:tcPr>
          <w:p w14:paraId="1CCEF34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Distance to work</w:t>
            </w:r>
          </w:p>
        </w:tc>
        <w:tc>
          <w:tcPr>
            <w:tcW w:w="274" w:type="pct"/>
            <w:tcBorders>
              <w:top w:val="nil"/>
              <w:left w:val="nil"/>
              <w:bottom w:val="nil"/>
              <w:right w:val="nil"/>
            </w:tcBorders>
            <w:shd w:val="clear" w:color="auto" w:fill="FFFFFF"/>
            <w:vAlign w:val="center"/>
          </w:tcPr>
          <w:p w14:paraId="4A57DEC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280A7F6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35C5E5E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0411F98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409EA0B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hideMark/>
          </w:tcPr>
          <w:p w14:paraId="20892D5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.716</w:t>
            </w:r>
          </w:p>
        </w:tc>
        <w:tc>
          <w:tcPr>
            <w:tcW w:w="317" w:type="pct"/>
            <w:tcBorders>
              <w:top w:val="nil"/>
              <w:left w:val="nil"/>
              <w:bottom w:val="nil"/>
              <w:right w:val="nil"/>
            </w:tcBorders>
            <w:shd w:val="clear" w:color="auto" w:fill="FFFFFF"/>
            <w:vAlign w:val="center"/>
          </w:tcPr>
          <w:p w14:paraId="499CD1F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20300AD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6E1D65B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78D549B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29790E8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1B58AE69" w14:textId="77777777" w:rsidTr="008A0A89">
        <w:trPr>
          <w:cantSplit/>
          <w:jc w:val="center"/>
        </w:trPr>
        <w:tc>
          <w:tcPr>
            <w:tcW w:w="2010" w:type="pct"/>
            <w:tcBorders>
              <w:top w:val="nil"/>
              <w:left w:val="nil"/>
              <w:bottom w:val="nil"/>
              <w:right w:val="nil"/>
            </w:tcBorders>
            <w:shd w:val="clear" w:color="auto" w:fill="FFFFFF"/>
            <w:vAlign w:val="center"/>
            <w:hideMark/>
          </w:tcPr>
          <w:p w14:paraId="189F3DA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Cost of food</w:t>
            </w:r>
          </w:p>
        </w:tc>
        <w:tc>
          <w:tcPr>
            <w:tcW w:w="274" w:type="pct"/>
            <w:tcBorders>
              <w:top w:val="nil"/>
              <w:left w:val="nil"/>
              <w:bottom w:val="nil"/>
              <w:right w:val="nil"/>
            </w:tcBorders>
            <w:shd w:val="clear" w:color="auto" w:fill="FFFFFF"/>
            <w:vAlign w:val="center"/>
          </w:tcPr>
          <w:p w14:paraId="300D2F1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04D590F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1027A30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5BA740E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3A72B31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5D4C6D6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hideMark/>
          </w:tcPr>
          <w:p w14:paraId="580D637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.796</w:t>
            </w:r>
          </w:p>
        </w:tc>
        <w:tc>
          <w:tcPr>
            <w:tcW w:w="278" w:type="pct"/>
            <w:tcBorders>
              <w:top w:val="nil"/>
              <w:left w:val="nil"/>
              <w:bottom w:val="nil"/>
              <w:right w:val="nil"/>
            </w:tcBorders>
            <w:shd w:val="clear" w:color="auto" w:fill="FFFFFF"/>
            <w:vAlign w:val="center"/>
          </w:tcPr>
          <w:p w14:paraId="14AE2A7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78A00DB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2F3A1FC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63E3203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5C472D60" w14:textId="77777777" w:rsidTr="008A0A89">
        <w:trPr>
          <w:cantSplit/>
          <w:jc w:val="center"/>
        </w:trPr>
        <w:tc>
          <w:tcPr>
            <w:tcW w:w="2010" w:type="pct"/>
            <w:tcBorders>
              <w:top w:val="nil"/>
              <w:left w:val="nil"/>
              <w:bottom w:val="nil"/>
              <w:right w:val="nil"/>
            </w:tcBorders>
            <w:shd w:val="clear" w:color="auto" w:fill="FFFFFF"/>
            <w:vAlign w:val="center"/>
            <w:hideMark/>
          </w:tcPr>
          <w:p w14:paraId="3427BB5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Cost of living</w:t>
            </w:r>
          </w:p>
        </w:tc>
        <w:tc>
          <w:tcPr>
            <w:tcW w:w="274" w:type="pct"/>
            <w:tcBorders>
              <w:top w:val="nil"/>
              <w:left w:val="nil"/>
              <w:bottom w:val="nil"/>
              <w:right w:val="nil"/>
            </w:tcBorders>
            <w:shd w:val="clear" w:color="auto" w:fill="FFFFFF"/>
            <w:vAlign w:val="center"/>
          </w:tcPr>
          <w:p w14:paraId="734B30E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26A0EE0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06D78A9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15EC576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26E141F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2AAC61C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hideMark/>
          </w:tcPr>
          <w:p w14:paraId="322F8F8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.745</w:t>
            </w:r>
          </w:p>
        </w:tc>
        <w:tc>
          <w:tcPr>
            <w:tcW w:w="278" w:type="pct"/>
            <w:tcBorders>
              <w:top w:val="nil"/>
              <w:left w:val="nil"/>
              <w:bottom w:val="nil"/>
              <w:right w:val="nil"/>
            </w:tcBorders>
            <w:shd w:val="clear" w:color="auto" w:fill="FFFFFF"/>
            <w:vAlign w:val="center"/>
          </w:tcPr>
          <w:p w14:paraId="65A1A9B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05F7FD5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15BEA6C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4E10242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5F8815A5" w14:textId="77777777" w:rsidTr="008A0A89">
        <w:trPr>
          <w:cantSplit/>
          <w:jc w:val="center"/>
        </w:trPr>
        <w:tc>
          <w:tcPr>
            <w:tcW w:w="2010" w:type="pct"/>
            <w:tcBorders>
              <w:top w:val="nil"/>
              <w:left w:val="nil"/>
              <w:bottom w:val="nil"/>
              <w:right w:val="nil"/>
            </w:tcBorders>
            <w:shd w:val="clear" w:color="auto" w:fill="FFFFFF"/>
            <w:vAlign w:val="center"/>
            <w:hideMark/>
          </w:tcPr>
          <w:p w14:paraId="31A4B3D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Cost of going to and fro work</w:t>
            </w:r>
          </w:p>
        </w:tc>
        <w:tc>
          <w:tcPr>
            <w:tcW w:w="274" w:type="pct"/>
            <w:tcBorders>
              <w:top w:val="nil"/>
              <w:left w:val="nil"/>
              <w:bottom w:val="nil"/>
              <w:right w:val="nil"/>
            </w:tcBorders>
            <w:shd w:val="clear" w:color="auto" w:fill="FFFFFF"/>
            <w:vAlign w:val="center"/>
          </w:tcPr>
          <w:p w14:paraId="1693EB2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43B17C9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0B0611B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02E15C7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1AA403D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2133153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hideMark/>
          </w:tcPr>
          <w:p w14:paraId="3FC1908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-.476</w:t>
            </w:r>
          </w:p>
        </w:tc>
        <w:tc>
          <w:tcPr>
            <w:tcW w:w="278" w:type="pct"/>
            <w:tcBorders>
              <w:top w:val="nil"/>
              <w:left w:val="nil"/>
              <w:bottom w:val="nil"/>
              <w:right w:val="nil"/>
            </w:tcBorders>
            <w:shd w:val="clear" w:color="auto" w:fill="FFFFFF"/>
            <w:vAlign w:val="center"/>
          </w:tcPr>
          <w:p w14:paraId="7FD1A78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29152A9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2C0F5AB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6416F37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7ABA74A1" w14:textId="77777777" w:rsidTr="008A0A89">
        <w:trPr>
          <w:cantSplit/>
          <w:jc w:val="center"/>
        </w:trPr>
        <w:tc>
          <w:tcPr>
            <w:tcW w:w="2010" w:type="pct"/>
            <w:tcBorders>
              <w:top w:val="nil"/>
              <w:left w:val="nil"/>
              <w:bottom w:val="nil"/>
              <w:right w:val="nil"/>
            </w:tcBorders>
            <w:shd w:val="clear" w:color="auto" w:fill="FFFFFF"/>
            <w:vAlign w:val="center"/>
            <w:hideMark/>
          </w:tcPr>
          <w:p w14:paraId="02B331D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Cost of Rent</w:t>
            </w:r>
          </w:p>
        </w:tc>
        <w:tc>
          <w:tcPr>
            <w:tcW w:w="274" w:type="pct"/>
            <w:tcBorders>
              <w:top w:val="nil"/>
              <w:left w:val="nil"/>
              <w:bottom w:val="nil"/>
              <w:right w:val="nil"/>
            </w:tcBorders>
            <w:shd w:val="clear" w:color="auto" w:fill="FFFFFF"/>
            <w:vAlign w:val="center"/>
          </w:tcPr>
          <w:p w14:paraId="2F8C936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3EFE842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4521629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2CD086E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56D37D3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0A78980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hideMark/>
          </w:tcPr>
          <w:p w14:paraId="4F6C281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.468</w:t>
            </w:r>
          </w:p>
        </w:tc>
        <w:tc>
          <w:tcPr>
            <w:tcW w:w="278" w:type="pct"/>
            <w:tcBorders>
              <w:top w:val="nil"/>
              <w:left w:val="nil"/>
              <w:bottom w:val="nil"/>
              <w:right w:val="nil"/>
            </w:tcBorders>
            <w:shd w:val="clear" w:color="auto" w:fill="FFFFFF"/>
            <w:vAlign w:val="center"/>
          </w:tcPr>
          <w:p w14:paraId="034AF05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6CF4233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6CF7990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71B653D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08EF4E1A" w14:textId="77777777" w:rsidTr="008A0A89">
        <w:trPr>
          <w:cantSplit/>
          <w:jc w:val="center"/>
        </w:trPr>
        <w:tc>
          <w:tcPr>
            <w:tcW w:w="2010" w:type="pct"/>
            <w:tcBorders>
              <w:top w:val="nil"/>
              <w:left w:val="nil"/>
              <w:bottom w:val="nil"/>
              <w:right w:val="nil"/>
            </w:tcBorders>
            <w:shd w:val="clear" w:color="auto" w:fill="FFFFFF"/>
            <w:vAlign w:val="center"/>
            <w:hideMark/>
          </w:tcPr>
          <w:p w14:paraId="5E19407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Housing condition</w:t>
            </w:r>
          </w:p>
        </w:tc>
        <w:tc>
          <w:tcPr>
            <w:tcW w:w="274" w:type="pct"/>
            <w:tcBorders>
              <w:top w:val="nil"/>
              <w:left w:val="nil"/>
              <w:bottom w:val="nil"/>
              <w:right w:val="nil"/>
            </w:tcBorders>
            <w:shd w:val="clear" w:color="auto" w:fill="FFFFFF"/>
            <w:vAlign w:val="center"/>
          </w:tcPr>
          <w:p w14:paraId="09CC134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750CDED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09CDB99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3455CDD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5AC59D5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6A3231A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22A8AB9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hideMark/>
          </w:tcPr>
          <w:p w14:paraId="3BCB8F5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.800</w:t>
            </w:r>
          </w:p>
        </w:tc>
        <w:tc>
          <w:tcPr>
            <w:tcW w:w="278" w:type="pct"/>
            <w:tcBorders>
              <w:top w:val="nil"/>
              <w:left w:val="nil"/>
              <w:bottom w:val="nil"/>
              <w:right w:val="nil"/>
            </w:tcBorders>
            <w:shd w:val="clear" w:color="auto" w:fill="FFFFFF"/>
            <w:vAlign w:val="center"/>
          </w:tcPr>
          <w:p w14:paraId="0B47653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4D018EB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4FCD101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43A07303" w14:textId="77777777" w:rsidTr="008A0A89">
        <w:trPr>
          <w:cantSplit/>
          <w:jc w:val="center"/>
        </w:trPr>
        <w:tc>
          <w:tcPr>
            <w:tcW w:w="2010" w:type="pct"/>
            <w:tcBorders>
              <w:top w:val="nil"/>
              <w:left w:val="nil"/>
              <w:bottom w:val="nil"/>
              <w:right w:val="nil"/>
            </w:tcBorders>
            <w:shd w:val="clear" w:color="auto" w:fill="FFFFFF"/>
            <w:vAlign w:val="center"/>
            <w:hideMark/>
          </w:tcPr>
          <w:p w14:paraId="5F93E5B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Building density</w:t>
            </w:r>
          </w:p>
        </w:tc>
        <w:tc>
          <w:tcPr>
            <w:tcW w:w="274" w:type="pct"/>
            <w:tcBorders>
              <w:top w:val="nil"/>
              <w:left w:val="nil"/>
              <w:bottom w:val="nil"/>
              <w:right w:val="nil"/>
            </w:tcBorders>
            <w:shd w:val="clear" w:color="auto" w:fill="FFFFFF"/>
            <w:vAlign w:val="center"/>
          </w:tcPr>
          <w:p w14:paraId="47E0155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7A9E7F9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2D92BD4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7173D70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040E2FD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2F4F343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0C91D56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hideMark/>
          </w:tcPr>
          <w:p w14:paraId="51B5951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.568</w:t>
            </w:r>
          </w:p>
        </w:tc>
        <w:tc>
          <w:tcPr>
            <w:tcW w:w="278" w:type="pct"/>
            <w:tcBorders>
              <w:top w:val="nil"/>
              <w:left w:val="nil"/>
              <w:bottom w:val="nil"/>
              <w:right w:val="nil"/>
            </w:tcBorders>
            <w:shd w:val="clear" w:color="auto" w:fill="FFFFFF"/>
            <w:vAlign w:val="center"/>
          </w:tcPr>
          <w:p w14:paraId="3E25225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31A34A0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605BFA5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7871943D" w14:textId="77777777" w:rsidTr="008A0A89">
        <w:trPr>
          <w:cantSplit/>
          <w:jc w:val="center"/>
        </w:trPr>
        <w:tc>
          <w:tcPr>
            <w:tcW w:w="2010" w:type="pct"/>
            <w:tcBorders>
              <w:top w:val="nil"/>
              <w:left w:val="nil"/>
              <w:bottom w:val="nil"/>
              <w:right w:val="nil"/>
            </w:tcBorders>
            <w:shd w:val="clear" w:color="auto" w:fill="FFFFFF"/>
            <w:vAlign w:val="center"/>
            <w:hideMark/>
          </w:tcPr>
          <w:p w14:paraId="7D6920E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Borehole</w:t>
            </w:r>
          </w:p>
        </w:tc>
        <w:tc>
          <w:tcPr>
            <w:tcW w:w="274" w:type="pct"/>
            <w:tcBorders>
              <w:top w:val="nil"/>
              <w:left w:val="nil"/>
              <w:bottom w:val="nil"/>
              <w:right w:val="nil"/>
            </w:tcBorders>
            <w:shd w:val="clear" w:color="auto" w:fill="FFFFFF"/>
            <w:vAlign w:val="center"/>
          </w:tcPr>
          <w:p w14:paraId="451FACC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6B3377E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308BA23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77DA4AE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0C77771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5E20E08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2E51C0A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1159AAC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hideMark/>
          </w:tcPr>
          <w:p w14:paraId="37FA614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.775</w:t>
            </w:r>
          </w:p>
        </w:tc>
        <w:tc>
          <w:tcPr>
            <w:tcW w:w="258" w:type="pct"/>
            <w:tcBorders>
              <w:top w:val="nil"/>
              <w:left w:val="nil"/>
              <w:bottom w:val="nil"/>
              <w:right w:val="nil"/>
            </w:tcBorders>
            <w:shd w:val="clear" w:color="auto" w:fill="FFFFFF"/>
            <w:vAlign w:val="center"/>
          </w:tcPr>
          <w:p w14:paraId="1B729C5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16E55EC6"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1849C687" w14:textId="77777777" w:rsidTr="008A0A89">
        <w:trPr>
          <w:cantSplit/>
          <w:jc w:val="center"/>
        </w:trPr>
        <w:tc>
          <w:tcPr>
            <w:tcW w:w="2010" w:type="pct"/>
            <w:tcBorders>
              <w:top w:val="nil"/>
              <w:left w:val="nil"/>
              <w:bottom w:val="nil"/>
              <w:right w:val="nil"/>
            </w:tcBorders>
            <w:shd w:val="clear" w:color="auto" w:fill="FFFFFF"/>
            <w:vAlign w:val="center"/>
            <w:hideMark/>
          </w:tcPr>
          <w:p w14:paraId="3850DED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Public tap water supply</w:t>
            </w:r>
          </w:p>
        </w:tc>
        <w:tc>
          <w:tcPr>
            <w:tcW w:w="274" w:type="pct"/>
            <w:tcBorders>
              <w:top w:val="nil"/>
              <w:left w:val="nil"/>
              <w:bottom w:val="nil"/>
              <w:right w:val="nil"/>
            </w:tcBorders>
            <w:shd w:val="clear" w:color="auto" w:fill="FFFFFF"/>
            <w:vAlign w:val="center"/>
          </w:tcPr>
          <w:p w14:paraId="1181F9E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425C1EC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6315A3AA"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503495C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0C622DF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2D8AF5B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470126C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123A5E9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hideMark/>
          </w:tcPr>
          <w:p w14:paraId="644B91B5"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.748</w:t>
            </w:r>
          </w:p>
        </w:tc>
        <w:tc>
          <w:tcPr>
            <w:tcW w:w="258" w:type="pct"/>
            <w:tcBorders>
              <w:top w:val="nil"/>
              <w:left w:val="nil"/>
              <w:bottom w:val="nil"/>
              <w:right w:val="nil"/>
            </w:tcBorders>
            <w:shd w:val="clear" w:color="auto" w:fill="FFFFFF"/>
            <w:vAlign w:val="center"/>
          </w:tcPr>
          <w:p w14:paraId="4221B83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22A4688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5C70622E" w14:textId="77777777" w:rsidTr="008A0A89">
        <w:trPr>
          <w:cantSplit/>
          <w:jc w:val="center"/>
        </w:trPr>
        <w:tc>
          <w:tcPr>
            <w:tcW w:w="2010" w:type="pct"/>
            <w:tcBorders>
              <w:top w:val="nil"/>
              <w:left w:val="nil"/>
              <w:bottom w:val="nil"/>
              <w:right w:val="nil"/>
            </w:tcBorders>
            <w:shd w:val="clear" w:color="auto" w:fill="FFFFFF"/>
            <w:vAlign w:val="center"/>
            <w:hideMark/>
          </w:tcPr>
          <w:p w14:paraId="6151DC38"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Crime rate (Security)</w:t>
            </w:r>
          </w:p>
        </w:tc>
        <w:tc>
          <w:tcPr>
            <w:tcW w:w="274" w:type="pct"/>
            <w:tcBorders>
              <w:top w:val="nil"/>
              <w:left w:val="nil"/>
              <w:bottom w:val="nil"/>
              <w:right w:val="nil"/>
            </w:tcBorders>
            <w:shd w:val="clear" w:color="auto" w:fill="FFFFFF"/>
            <w:vAlign w:val="center"/>
          </w:tcPr>
          <w:p w14:paraId="1C7A2C8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160A3AB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nil"/>
              <w:right w:val="nil"/>
            </w:tcBorders>
            <w:shd w:val="clear" w:color="auto" w:fill="FFFFFF"/>
            <w:vAlign w:val="center"/>
          </w:tcPr>
          <w:p w14:paraId="217C316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tcPr>
          <w:p w14:paraId="347F7CC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nil"/>
              <w:right w:val="nil"/>
            </w:tcBorders>
            <w:shd w:val="clear" w:color="auto" w:fill="FFFFFF"/>
            <w:vAlign w:val="center"/>
          </w:tcPr>
          <w:p w14:paraId="19E3BC83"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nil"/>
              <w:right w:val="nil"/>
            </w:tcBorders>
            <w:shd w:val="clear" w:color="auto" w:fill="FFFFFF"/>
            <w:vAlign w:val="center"/>
          </w:tcPr>
          <w:p w14:paraId="50C3A09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nil"/>
              <w:right w:val="nil"/>
            </w:tcBorders>
            <w:shd w:val="clear" w:color="auto" w:fill="FFFFFF"/>
            <w:vAlign w:val="center"/>
          </w:tcPr>
          <w:p w14:paraId="7BF59B9F"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186014E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nil"/>
              <w:right w:val="nil"/>
            </w:tcBorders>
            <w:shd w:val="clear" w:color="auto" w:fill="FFFFFF"/>
            <w:vAlign w:val="center"/>
          </w:tcPr>
          <w:p w14:paraId="390DC7C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nil"/>
              <w:right w:val="nil"/>
            </w:tcBorders>
            <w:shd w:val="clear" w:color="auto" w:fill="FFFFFF"/>
            <w:vAlign w:val="center"/>
            <w:hideMark/>
          </w:tcPr>
          <w:p w14:paraId="60B6783B"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.620</w:t>
            </w:r>
          </w:p>
        </w:tc>
        <w:tc>
          <w:tcPr>
            <w:tcW w:w="258" w:type="pct"/>
            <w:tcBorders>
              <w:top w:val="nil"/>
              <w:left w:val="nil"/>
              <w:bottom w:val="nil"/>
              <w:right w:val="nil"/>
            </w:tcBorders>
            <w:shd w:val="clear" w:color="auto" w:fill="FFFFFF"/>
            <w:vAlign w:val="center"/>
          </w:tcPr>
          <w:p w14:paraId="532F663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r>
      <w:tr w:rsidR="008A0A89" w:rsidRPr="008A0A89" w14:paraId="27523444" w14:textId="77777777" w:rsidTr="008A0A89">
        <w:trPr>
          <w:cantSplit/>
          <w:jc w:val="center"/>
        </w:trPr>
        <w:tc>
          <w:tcPr>
            <w:tcW w:w="2010" w:type="pct"/>
            <w:tcBorders>
              <w:top w:val="nil"/>
              <w:left w:val="nil"/>
              <w:bottom w:val="single" w:sz="4" w:space="0" w:color="auto"/>
              <w:right w:val="nil"/>
            </w:tcBorders>
            <w:shd w:val="clear" w:color="auto" w:fill="FFFFFF"/>
            <w:vAlign w:val="center"/>
            <w:hideMark/>
          </w:tcPr>
          <w:p w14:paraId="5E736CA1"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Nearness to health facilities</w:t>
            </w:r>
          </w:p>
        </w:tc>
        <w:tc>
          <w:tcPr>
            <w:tcW w:w="274" w:type="pct"/>
            <w:tcBorders>
              <w:top w:val="nil"/>
              <w:left w:val="nil"/>
              <w:bottom w:val="single" w:sz="4" w:space="0" w:color="auto"/>
              <w:right w:val="nil"/>
            </w:tcBorders>
            <w:shd w:val="clear" w:color="auto" w:fill="FFFFFF"/>
            <w:vAlign w:val="center"/>
          </w:tcPr>
          <w:p w14:paraId="0D1B483D"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single" w:sz="4" w:space="0" w:color="auto"/>
              <w:right w:val="nil"/>
            </w:tcBorders>
            <w:shd w:val="clear" w:color="auto" w:fill="FFFFFF"/>
            <w:vAlign w:val="center"/>
          </w:tcPr>
          <w:p w14:paraId="6AAF074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41" w:type="pct"/>
            <w:tcBorders>
              <w:top w:val="nil"/>
              <w:left w:val="nil"/>
              <w:bottom w:val="single" w:sz="4" w:space="0" w:color="auto"/>
              <w:right w:val="nil"/>
            </w:tcBorders>
            <w:shd w:val="clear" w:color="auto" w:fill="FFFFFF"/>
            <w:vAlign w:val="center"/>
          </w:tcPr>
          <w:p w14:paraId="57B714B2"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single" w:sz="4" w:space="0" w:color="auto"/>
              <w:right w:val="nil"/>
            </w:tcBorders>
            <w:shd w:val="clear" w:color="auto" w:fill="FFFFFF"/>
            <w:vAlign w:val="center"/>
          </w:tcPr>
          <w:p w14:paraId="25A1CBB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7" w:type="pct"/>
            <w:tcBorders>
              <w:top w:val="nil"/>
              <w:left w:val="nil"/>
              <w:bottom w:val="single" w:sz="4" w:space="0" w:color="auto"/>
              <w:right w:val="nil"/>
            </w:tcBorders>
            <w:shd w:val="clear" w:color="auto" w:fill="FFFFFF"/>
            <w:vAlign w:val="center"/>
          </w:tcPr>
          <w:p w14:paraId="4B108677"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4" w:type="pct"/>
            <w:tcBorders>
              <w:top w:val="nil"/>
              <w:left w:val="nil"/>
              <w:bottom w:val="single" w:sz="4" w:space="0" w:color="auto"/>
              <w:right w:val="nil"/>
            </w:tcBorders>
            <w:shd w:val="clear" w:color="auto" w:fill="FFFFFF"/>
            <w:vAlign w:val="center"/>
          </w:tcPr>
          <w:p w14:paraId="54036769"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317" w:type="pct"/>
            <w:tcBorders>
              <w:top w:val="nil"/>
              <w:left w:val="nil"/>
              <w:bottom w:val="single" w:sz="4" w:space="0" w:color="auto"/>
              <w:right w:val="nil"/>
            </w:tcBorders>
            <w:shd w:val="clear" w:color="auto" w:fill="FFFFFF"/>
            <w:vAlign w:val="center"/>
          </w:tcPr>
          <w:p w14:paraId="21A2FB5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single" w:sz="4" w:space="0" w:color="auto"/>
              <w:right w:val="nil"/>
            </w:tcBorders>
            <w:shd w:val="clear" w:color="auto" w:fill="FFFFFF"/>
            <w:vAlign w:val="center"/>
          </w:tcPr>
          <w:p w14:paraId="0491FEE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78" w:type="pct"/>
            <w:tcBorders>
              <w:top w:val="nil"/>
              <w:left w:val="nil"/>
              <w:bottom w:val="single" w:sz="4" w:space="0" w:color="auto"/>
              <w:right w:val="nil"/>
            </w:tcBorders>
            <w:shd w:val="clear" w:color="auto" w:fill="FFFFFF"/>
            <w:vAlign w:val="center"/>
          </w:tcPr>
          <w:p w14:paraId="6FED58EE"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single" w:sz="4" w:space="0" w:color="auto"/>
              <w:right w:val="nil"/>
            </w:tcBorders>
            <w:shd w:val="clear" w:color="auto" w:fill="FFFFFF"/>
            <w:vAlign w:val="center"/>
          </w:tcPr>
          <w:p w14:paraId="7F79A150"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p>
        </w:tc>
        <w:tc>
          <w:tcPr>
            <w:tcW w:w="258" w:type="pct"/>
            <w:tcBorders>
              <w:top w:val="nil"/>
              <w:left w:val="nil"/>
              <w:bottom w:val="single" w:sz="4" w:space="0" w:color="auto"/>
              <w:right w:val="nil"/>
            </w:tcBorders>
            <w:shd w:val="clear" w:color="auto" w:fill="FFFFFF"/>
            <w:vAlign w:val="center"/>
            <w:hideMark/>
          </w:tcPr>
          <w:p w14:paraId="782E67D4"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sz w:val="20"/>
                <w:szCs w:val="20"/>
              </w:rPr>
            </w:pPr>
            <w:r w:rsidRPr="008A0A89">
              <w:rPr>
                <w:rFonts w:ascii="Times New Roman" w:hAnsi="Times New Roman" w:cs="Times New Roman"/>
                <w:sz w:val="20"/>
                <w:szCs w:val="20"/>
              </w:rPr>
              <w:t>.800</w:t>
            </w:r>
          </w:p>
        </w:tc>
      </w:tr>
      <w:tr w:rsidR="00BE4AF3" w:rsidRPr="008A0A89" w14:paraId="379AF6CF" w14:textId="77777777" w:rsidTr="008A0A89">
        <w:trPr>
          <w:cantSplit/>
          <w:jc w:val="center"/>
        </w:trPr>
        <w:tc>
          <w:tcPr>
            <w:tcW w:w="5000" w:type="pct"/>
            <w:gridSpan w:val="12"/>
            <w:tcBorders>
              <w:top w:val="single" w:sz="4" w:space="0" w:color="auto"/>
              <w:left w:val="nil"/>
              <w:bottom w:val="nil"/>
              <w:right w:val="nil"/>
            </w:tcBorders>
            <w:shd w:val="clear" w:color="auto" w:fill="FFFFFF"/>
            <w:vAlign w:val="center"/>
            <w:hideMark/>
          </w:tcPr>
          <w:p w14:paraId="17ABDF1C" w14:textId="77777777" w:rsidR="00BE4AF3" w:rsidRPr="008A0A89" w:rsidRDefault="00BE4AF3" w:rsidP="00C86F13">
            <w:pPr>
              <w:autoSpaceDE w:val="0"/>
              <w:autoSpaceDN w:val="0"/>
              <w:adjustRightInd w:val="0"/>
              <w:spacing w:after="0" w:line="240" w:lineRule="auto"/>
              <w:ind w:left="60" w:right="60"/>
              <w:jc w:val="both"/>
              <w:rPr>
                <w:rFonts w:ascii="Times New Roman" w:hAnsi="Times New Roman" w:cs="Times New Roman"/>
                <w:i/>
                <w:sz w:val="20"/>
                <w:szCs w:val="20"/>
              </w:rPr>
            </w:pPr>
            <w:r w:rsidRPr="008A0A89">
              <w:rPr>
                <w:rFonts w:ascii="Times New Roman" w:hAnsi="Times New Roman" w:cs="Times New Roman"/>
                <w:b/>
                <w:i/>
                <w:sz w:val="20"/>
                <w:szCs w:val="20"/>
              </w:rPr>
              <w:t>Extraction Method</w:t>
            </w:r>
            <w:r w:rsidRPr="008A0A89">
              <w:rPr>
                <w:rFonts w:ascii="Times New Roman" w:hAnsi="Times New Roman" w:cs="Times New Roman"/>
                <w:i/>
                <w:sz w:val="20"/>
                <w:szCs w:val="20"/>
              </w:rPr>
              <w:t xml:space="preserve">: Principal Component Analysis.  </w:t>
            </w:r>
            <w:r w:rsidRPr="008A0A89">
              <w:rPr>
                <w:rFonts w:ascii="Times New Roman" w:hAnsi="Times New Roman" w:cs="Times New Roman"/>
                <w:b/>
                <w:i/>
                <w:sz w:val="20"/>
                <w:szCs w:val="20"/>
              </w:rPr>
              <w:t>Rotation Method</w:t>
            </w:r>
            <w:r w:rsidRPr="008A0A89">
              <w:rPr>
                <w:rFonts w:ascii="Times New Roman" w:hAnsi="Times New Roman" w:cs="Times New Roman"/>
                <w:i/>
                <w:sz w:val="20"/>
                <w:szCs w:val="20"/>
              </w:rPr>
              <w:t>: Varimax with Kaiser Normalization. a. Rotation converged in 9 iterations.</w:t>
            </w:r>
          </w:p>
        </w:tc>
      </w:tr>
    </w:tbl>
    <w:p w14:paraId="4EFB4189" w14:textId="77777777" w:rsidR="00BE4AF3" w:rsidRPr="00BE4AF3" w:rsidRDefault="00BE4AF3" w:rsidP="00C86F13">
      <w:pPr>
        <w:autoSpaceDE w:val="0"/>
        <w:autoSpaceDN w:val="0"/>
        <w:adjustRightInd w:val="0"/>
        <w:spacing w:after="0" w:line="240" w:lineRule="auto"/>
        <w:ind w:left="60" w:right="60" w:firstLine="660"/>
        <w:jc w:val="both"/>
        <w:rPr>
          <w:rFonts w:ascii="Times New Roman" w:hAnsi="Times New Roman" w:cs="Times New Roman"/>
          <w:sz w:val="24"/>
          <w:szCs w:val="24"/>
        </w:rPr>
      </w:pPr>
    </w:p>
    <w:p w14:paraId="180DF28C" w14:textId="77777777" w:rsidR="00BE4AF3" w:rsidRPr="00BE4AF3" w:rsidRDefault="00BE4AF3" w:rsidP="008A0A89">
      <w:pPr>
        <w:autoSpaceDE w:val="0"/>
        <w:autoSpaceDN w:val="0"/>
        <w:adjustRightInd w:val="0"/>
        <w:spacing w:after="0" w:line="240" w:lineRule="auto"/>
        <w:ind w:left="60" w:right="60"/>
        <w:jc w:val="both"/>
        <w:rPr>
          <w:rFonts w:ascii="Times New Roman" w:hAnsi="Times New Roman" w:cs="Times New Roman"/>
          <w:sz w:val="24"/>
          <w:szCs w:val="24"/>
        </w:rPr>
      </w:pPr>
      <w:r w:rsidRPr="00BE4AF3">
        <w:rPr>
          <w:rFonts w:ascii="Times New Roman" w:hAnsi="Times New Roman" w:cs="Times New Roman"/>
          <w:sz w:val="24"/>
          <w:szCs w:val="24"/>
        </w:rPr>
        <w:t xml:space="preserve">Factor 3 had six variables highly loaded on it namely Traffic density (.862), Road condition (.717), Electricity supply (.573), Available road network (.561), Road safety/pedestrian safety (.522) and Accessibility to transport network (.503). The total variance explained by these factors was 8.774% and, this third factor had contributed with first and second accounted for 33.082%. The variables loadings connoted </w:t>
      </w:r>
      <w:r w:rsidRPr="00BE4AF3">
        <w:rPr>
          <w:rFonts w:ascii="Times New Roman" w:hAnsi="Times New Roman" w:cs="Times New Roman"/>
          <w:i/>
          <w:sz w:val="24"/>
          <w:szCs w:val="24"/>
        </w:rPr>
        <w:t>Basic Amenity factor</w:t>
      </w:r>
      <w:r w:rsidRPr="00BE4AF3">
        <w:rPr>
          <w:rFonts w:ascii="Times New Roman" w:hAnsi="Times New Roman" w:cs="Times New Roman"/>
          <w:sz w:val="24"/>
          <w:szCs w:val="24"/>
        </w:rPr>
        <w:t xml:space="preserve">. </w:t>
      </w:r>
    </w:p>
    <w:p w14:paraId="6A1EAD2A" w14:textId="77777777" w:rsidR="00BE4AF3" w:rsidRPr="00BE4AF3" w:rsidRDefault="00BE4AF3" w:rsidP="008A0A89">
      <w:pPr>
        <w:autoSpaceDE w:val="0"/>
        <w:autoSpaceDN w:val="0"/>
        <w:adjustRightInd w:val="0"/>
        <w:spacing w:after="0" w:line="240" w:lineRule="auto"/>
        <w:ind w:left="60" w:right="60"/>
        <w:jc w:val="both"/>
        <w:rPr>
          <w:rFonts w:ascii="Times New Roman" w:hAnsi="Times New Roman" w:cs="Times New Roman"/>
          <w:sz w:val="24"/>
          <w:szCs w:val="24"/>
        </w:rPr>
      </w:pPr>
      <w:r w:rsidRPr="00BE4AF3">
        <w:rPr>
          <w:rFonts w:ascii="Times New Roman" w:hAnsi="Times New Roman" w:cs="Times New Roman"/>
          <w:sz w:val="24"/>
          <w:szCs w:val="24"/>
        </w:rPr>
        <w:t xml:space="preserve">Factor 4 had five variables highly loaded on it. These were: Availability of shops (.771), Accessibility to economic opportunities (.728), Privacy in your neighborhood (.725), Availability of market (.722) and Privacy in your home (.594) which accounted for 8.54% of the total variance explained.  The fourth factor along with the first second and third accounted for 41.622% and the nature of variables informed the name </w:t>
      </w:r>
      <w:r w:rsidRPr="00BE4AF3">
        <w:rPr>
          <w:rFonts w:ascii="Times New Roman" w:hAnsi="Times New Roman" w:cs="Times New Roman"/>
          <w:i/>
          <w:sz w:val="24"/>
          <w:szCs w:val="24"/>
        </w:rPr>
        <w:t>Economic Opportunities factor</w:t>
      </w:r>
      <w:r w:rsidRPr="00BE4AF3">
        <w:rPr>
          <w:rFonts w:ascii="Times New Roman" w:hAnsi="Times New Roman" w:cs="Times New Roman"/>
          <w:sz w:val="24"/>
          <w:szCs w:val="24"/>
        </w:rPr>
        <w:t xml:space="preserve">. </w:t>
      </w:r>
    </w:p>
    <w:p w14:paraId="35E608F6" w14:textId="77777777" w:rsidR="00BE4AF3" w:rsidRPr="00BE4AF3" w:rsidRDefault="00BE4AF3" w:rsidP="008A0A89">
      <w:pPr>
        <w:autoSpaceDE w:val="0"/>
        <w:autoSpaceDN w:val="0"/>
        <w:adjustRightInd w:val="0"/>
        <w:spacing w:after="0" w:line="240" w:lineRule="auto"/>
        <w:ind w:left="60" w:right="60"/>
        <w:jc w:val="both"/>
        <w:rPr>
          <w:rFonts w:ascii="Times New Roman" w:hAnsi="Times New Roman" w:cs="Times New Roman"/>
          <w:sz w:val="24"/>
          <w:szCs w:val="24"/>
        </w:rPr>
      </w:pPr>
      <w:r w:rsidRPr="00BE4AF3">
        <w:rPr>
          <w:rFonts w:ascii="Times New Roman" w:hAnsi="Times New Roman" w:cs="Times New Roman"/>
          <w:sz w:val="24"/>
          <w:szCs w:val="24"/>
        </w:rPr>
        <w:t xml:space="preserve">Factor 7 had four variables highly loaded on it; these variables were: Cost of food, (.796); Cost of living, (.745); Cost of going to and fro work, (.476) and cost of rent, (.468). This accounted for 5.760% of the total variance explained and cumulatively, the seventh factor along with the first second, third and fourth accounted for 47.382% and as such named </w:t>
      </w:r>
      <w:r w:rsidRPr="00BE4AF3">
        <w:rPr>
          <w:rFonts w:ascii="Times New Roman" w:hAnsi="Times New Roman" w:cs="Times New Roman"/>
          <w:i/>
          <w:sz w:val="24"/>
          <w:szCs w:val="24"/>
        </w:rPr>
        <w:t>Socio-Economic factor.</w:t>
      </w:r>
    </w:p>
    <w:p w14:paraId="60D1ACB8" w14:textId="77777777" w:rsidR="008A0A89" w:rsidRDefault="008A0A89" w:rsidP="008A0A89">
      <w:pPr>
        <w:spacing w:after="0" w:line="240" w:lineRule="auto"/>
        <w:rPr>
          <w:rFonts w:ascii="Times New Roman" w:hAnsi="Times New Roman"/>
          <w:b/>
          <w:sz w:val="24"/>
          <w:szCs w:val="24"/>
        </w:rPr>
      </w:pPr>
    </w:p>
    <w:p w14:paraId="54F2A400" w14:textId="15BBCDC5" w:rsidR="00BE4AF3" w:rsidRPr="008A0A89" w:rsidRDefault="00BE4AF3" w:rsidP="008A0A89">
      <w:pPr>
        <w:spacing w:after="0" w:line="240" w:lineRule="auto"/>
        <w:rPr>
          <w:rFonts w:ascii="Times New Roman" w:hAnsi="Times New Roman"/>
          <w:b/>
          <w:sz w:val="24"/>
          <w:szCs w:val="24"/>
        </w:rPr>
      </w:pPr>
      <w:r w:rsidRPr="008A0A89">
        <w:rPr>
          <w:rFonts w:ascii="Times New Roman" w:hAnsi="Times New Roman"/>
          <w:b/>
          <w:sz w:val="24"/>
          <w:szCs w:val="24"/>
        </w:rPr>
        <w:t>Conclusion and Recommendation</w:t>
      </w:r>
    </w:p>
    <w:p w14:paraId="7B8A7DA5" w14:textId="77777777" w:rsidR="00BE4AF3" w:rsidRPr="008A0A89" w:rsidRDefault="00BE4AF3" w:rsidP="008A0A89">
      <w:pPr>
        <w:spacing w:after="0" w:line="240" w:lineRule="auto"/>
        <w:rPr>
          <w:rFonts w:ascii="Times New Roman" w:hAnsi="Times New Roman"/>
          <w:b/>
          <w:sz w:val="24"/>
          <w:szCs w:val="24"/>
        </w:rPr>
      </w:pPr>
      <w:r w:rsidRPr="008A0A89">
        <w:rPr>
          <w:rFonts w:ascii="Times New Roman" w:hAnsi="Times New Roman"/>
          <w:b/>
          <w:sz w:val="24"/>
          <w:szCs w:val="24"/>
        </w:rPr>
        <w:t>Conclusions</w:t>
      </w:r>
    </w:p>
    <w:p w14:paraId="0B03277E" w14:textId="3544E6CD" w:rsidR="00BE4AF3" w:rsidRPr="00BE4AF3" w:rsidRDefault="00BE4AF3" w:rsidP="0057538F">
      <w:pPr>
        <w:spacing w:after="0" w:line="240" w:lineRule="auto"/>
        <w:jc w:val="both"/>
        <w:rPr>
          <w:rFonts w:ascii="Times New Roman" w:eastAsia="+mn-ea" w:hAnsi="Times New Roman" w:cs="Times New Roman"/>
          <w:sz w:val="24"/>
          <w:szCs w:val="24"/>
        </w:rPr>
      </w:pPr>
      <w:r w:rsidRPr="00BE4AF3">
        <w:rPr>
          <w:rFonts w:ascii="Times New Roman" w:hAnsi="Times New Roman" w:cs="Times New Roman"/>
          <w:sz w:val="24"/>
          <w:szCs w:val="24"/>
        </w:rPr>
        <w:t xml:space="preserve">In this study the factors </w:t>
      </w:r>
      <w:r w:rsidRPr="00BE4AF3">
        <w:rPr>
          <w:rFonts w:ascii="Times New Roman" w:hAnsi="Times New Roman" w:cs="Times New Roman"/>
          <w:bCs/>
          <w:sz w:val="24"/>
          <w:szCs w:val="24"/>
        </w:rPr>
        <w:t>Influencing</w:t>
      </w:r>
      <w:r w:rsidRPr="00BE4AF3">
        <w:rPr>
          <w:rFonts w:ascii="Times New Roman" w:hAnsi="Times New Roman" w:cs="Times New Roman"/>
          <w:sz w:val="24"/>
          <w:szCs w:val="24"/>
        </w:rPr>
        <w:t xml:space="preserve"> Quality of Life among the Residents’ in </w:t>
      </w:r>
      <w:r w:rsidRPr="00BE4AF3">
        <w:rPr>
          <w:rFonts w:ascii="Times New Roman" w:eastAsia="+mn-ea" w:hAnsi="Times New Roman" w:cs="Times New Roman"/>
          <w:sz w:val="24"/>
          <w:szCs w:val="24"/>
        </w:rPr>
        <w:t xml:space="preserve">Flood- Prone Area of Ibadan Metropolis was examined. The paper examined one aspect of the residential environment namely; the neighborhood. Based on the study most  residents across the neighborhoods rated maintenance of streets, recreational areas, safety of lives and properties, residential planning, provision of housing for the poor, hospitals/clinics, fire stations, police stations, waste collection and disposal inadequate. The study further reveals that most residents rated public schools, transportation and shopping facilities very adequate. </w:t>
      </w:r>
    </w:p>
    <w:p w14:paraId="130ECCB1" w14:textId="42C56A09" w:rsidR="00BE4AF3" w:rsidRPr="00BE4AF3" w:rsidRDefault="00BE4AF3" w:rsidP="0057538F">
      <w:pPr>
        <w:spacing w:after="0" w:line="240" w:lineRule="auto"/>
        <w:jc w:val="both"/>
        <w:rPr>
          <w:rFonts w:ascii="Times New Roman" w:eastAsia="+mn-ea" w:hAnsi="Times New Roman" w:cs="Times New Roman"/>
          <w:sz w:val="24"/>
          <w:szCs w:val="24"/>
        </w:rPr>
      </w:pPr>
      <w:r w:rsidRPr="00BE4AF3">
        <w:rPr>
          <w:rFonts w:ascii="Times New Roman" w:eastAsia="+mn-ea" w:hAnsi="Times New Roman" w:cs="Times New Roman"/>
          <w:sz w:val="24"/>
          <w:szCs w:val="24"/>
        </w:rPr>
        <w:t xml:space="preserve">The study concludes that most residents rated were not satisfied about their residential conditions such as electricity supply, water supply and waste collection and disposal. The study further revealed that 16.4% of the residents across the neighborhoods were unhappy with their residential quality of life and 49.2% of the residents perceived their neighborhoods to be of medium quality. </w:t>
      </w:r>
    </w:p>
    <w:p w14:paraId="39CF5374" w14:textId="77777777" w:rsidR="00BE4AF3" w:rsidRPr="00BE4AF3" w:rsidRDefault="00BE4AF3" w:rsidP="0057538F">
      <w:pPr>
        <w:spacing w:after="0" w:line="240" w:lineRule="auto"/>
        <w:jc w:val="both"/>
        <w:rPr>
          <w:rFonts w:ascii="Times New Roman" w:eastAsia="+mn-ea" w:hAnsi="Times New Roman" w:cs="Times New Roman"/>
          <w:sz w:val="24"/>
          <w:szCs w:val="24"/>
        </w:rPr>
      </w:pPr>
      <w:r w:rsidRPr="00BE4AF3">
        <w:rPr>
          <w:rFonts w:ascii="Times New Roman" w:eastAsia="+mn-ea" w:hAnsi="Times New Roman" w:cs="Times New Roman"/>
          <w:sz w:val="24"/>
          <w:szCs w:val="24"/>
        </w:rPr>
        <w:t>A key conclusion of the study was that the improvement of neighborhood residential conditions as perceived by the residents was important in raising residential quality of life and that in the provision of public infrastructure and services, the perceptions and preferences of the beneficiaries or target population must be seriously taken into account to achieve user satisfaction.</w:t>
      </w:r>
    </w:p>
    <w:p w14:paraId="61C168F9" w14:textId="77777777" w:rsidR="00BE4AF3" w:rsidRPr="00BE4AF3" w:rsidRDefault="00BE4AF3" w:rsidP="00C86F13">
      <w:pPr>
        <w:spacing w:after="0" w:line="240" w:lineRule="auto"/>
        <w:ind w:left="360"/>
        <w:jc w:val="both"/>
        <w:rPr>
          <w:rFonts w:ascii="Times New Roman" w:eastAsia="+mn-ea" w:hAnsi="Times New Roman" w:cs="Times New Roman"/>
          <w:sz w:val="24"/>
          <w:szCs w:val="24"/>
        </w:rPr>
      </w:pPr>
    </w:p>
    <w:p w14:paraId="352C6823" w14:textId="77777777" w:rsidR="00BE4AF3" w:rsidRPr="00BE4AF3" w:rsidRDefault="00BE4AF3" w:rsidP="0057538F">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lastRenderedPageBreak/>
        <w:t>Recommendations</w:t>
      </w:r>
    </w:p>
    <w:p w14:paraId="03A3D3E5" w14:textId="77777777" w:rsidR="00BE4AF3" w:rsidRPr="00BE4AF3" w:rsidRDefault="00BE4AF3" w:rsidP="0057538F">
      <w:pPr>
        <w:spacing w:after="0" w:line="240" w:lineRule="auto"/>
        <w:jc w:val="both"/>
        <w:rPr>
          <w:rFonts w:ascii="Times New Roman" w:eastAsia="+mn-ea" w:hAnsi="Times New Roman" w:cs="Times New Roman"/>
          <w:sz w:val="24"/>
          <w:szCs w:val="24"/>
        </w:rPr>
      </w:pPr>
      <w:r w:rsidRPr="00BE4AF3">
        <w:rPr>
          <w:rFonts w:ascii="Times New Roman" w:hAnsi="Times New Roman" w:cs="Times New Roman"/>
          <w:b/>
          <w:sz w:val="24"/>
          <w:szCs w:val="24"/>
        </w:rPr>
        <w:t>Maintenance of Roads and Streets</w:t>
      </w:r>
    </w:p>
    <w:p w14:paraId="3F04AF1D" w14:textId="2A81B0FD" w:rsidR="00BE4AF3" w:rsidRPr="00BE4AF3" w:rsidRDefault="00BE4AF3" w:rsidP="00C86F13">
      <w:pPr>
        <w:spacing w:after="0" w:line="240" w:lineRule="auto"/>
        <w:jc w:val="both"/>
        <w:rPr>
          <w:rFonts w:ascii="Times New Roman" w:eastAsia="+mn-ea" w:hAnsi="Times New Roman" w:cs="Times New Roman"/>
          <w:sz w:val="24"/>
          <w:szCs w:val="24"/>
        </w:rPr>
      </w:pPr>
      <w:r w:rsidRPr="00BE4AF3">
        <w:rPr>
          <w:rFonts w:ascii="Times New Roman" w:hAnsi="Times New Roman" w:cs="Times New Roman"/>
          <w:sz w:val="24"/>
          <w:szCs w:val="24"/>
        </w:rPr>
        <w:t xml:space="preserve">The study has shown that some respondents were not satisfied with street maintenance in their </w:t>
      </w:r>
      <w:r w:rsidRPr="00BE4AF3">
        <w:rPr>
          <w:rFonts w:ascii="Times New Roman" w:eastAsia="+mn-ea" w:hAnsi="Times New Roman" w:cs="Times New Roman"/>
          <w:sz w:val="24"/>
          <w:szCs w:val="24"/>
        </w:rPr>
        <w:t>neighbourhoods. Government should ensure the proper maintenance of roads and street, taking advantage of funds available in the National Development Bank, assistance from international development agencies and through private public partnership (PPP) arrangements.</w:t>
      </w:r>
    </w:p>
    <w:p w14:paraId="605DB81B" w14:textId="77777777" w:rsidR="0057538F" w:rsidRDefault="0057538F" w:rsidP="00C86F13">
      <w:pPr>
        <w:spacing w:after="0" w:line="240" w:lineRule="auto"/>
        <w:jc w:val="both"/>
        <w:rPr>
          <w:rFonts w:ascii="Times New Roman" w:eastAsia="+mn-ea" w:hAnsi="Times New Roman" w:cs="Times New Roman"/>
          <w:b/>
          <w:sz w:val="24"/>
          <w:szCs w:val="24"/>
        </w:rPr>
      </w:pPr>
    </w:p>
    <w:p w14:paraId="31BECAD8" w14:textId="3FD4C386" w:rsidR="00BE4AF3" w:rsidRPr="00BE4AF3" w:rsidRDefault="00BE4AF3" w:rsidP="00C86F13">
      <w:pPr>
        <w:spacing w:after="0" w:line="240" w:lineRule="auto"/>
        <w:jc w:val="both"/>
        <w:rPr>
          <w:rFonts w:ascii="Times New Roman" w:hAnsi="Times New Roman" w:cs="Times New Roman"/>
          <w:b/>
          <w:sz w:val="24"/>
          <w:szCs w:val="24"/>
        </w:rPr>
      </w:pPr>
      <w:r w:rsidRPr="00BE4AF3">
        <w:rPr>
          <w:rFonts w:ascii="Times New Roman" w:eastAsia="+mn-ea" w:hAnsi="Times New Roman" w:cs="Times New Roman"/>
          <w:b/>
          <w:sz w:val="24"/>
          <w:szCs w:val="24"/>
        </w:rPr>
        <w:t>Safety of Lives and property</w:t>
      </w:r>
    </w:p>
    <w:p w14:paraId="7F789C1A" w14:textId="066CC824" w:rsidR="00BE4AF3" w:rsidRPr="00BE4AF3" w:rsidRDefault="00BE4AF3" w:rsidP="00C86F1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study revealed that virtually in all the </w:t>
      </w:r>
      <w:r w:rsidRPr="00BE4AF3">
        <w:rPr>
          <w:rFonts w:ascii="Times New Roman" w:eastAsia="+mn-ea" w:hAnsi="Times New Roman" w:cs="Times New Roman"/>
          <w:sz w:val="24"/>
          <w:szCs w:val="24"/>
        </w:rPr>
        <w:t>neighbourhoods there was no street lighting. This is a security issue and these essential services should be provided by government. The study further revealed that most people in some neighbourhoods were not satisfied with the level of police protection. This is a responsibility of government and should be adequately addressed. Neighborhood vigilante group should be encouraged to work in collaboration with the police also in securing lives and properties since security is everybody‘s business</w:t>
      </w:r>
    </w:p>
    <w:p w14:paraId="3494EAE7" w14:textId="77777777" w:rsidR="0057538F" w:rsidRDefault="0057538F" w:rsidP="00C86F13">
      <w:pPr>
        <w:spacing w:after="0" w:line="240" w:lineRule="auto"/>
        <w:rPr>
          <w:rFonts w:ascii="Times New Roman" w:eastAsia="+mn-ea" w:hAnsi="Times New Roman" w:cs="Times New Roman"/>
          <w:b/>
          <w:sz w:val="24"/>
          <w:szCs w:val="24"/>
        </w:rPr>
      </w:pPr>
    </w:p>
    <w:p w14:paraId="51099744" w14:textId="1646C8E0" w:rsidR="00BE4AF3" w:rsidRPr="00BE4AF3" w:rsidRDefault="00BE4AF3" w:rsidP="00C86F13">
      <w:pPr>
        <w:spacing w:after="0" w:line="240" w:lineRule="auto"/>
        <w:rPr>
          <w:rFonts w:ascii="Times New Roman" w:eastAsia="+mn-ea" w:hAnsi="Times New Roman" w:cs="Times New Roman"/>
          <w:b/>
          <w:sz w:val="24"/>
          <w:szCs w:val="24"/>
        </w:rPr>
      </w:pPr>
      <w:r w:rsidRPr="00BE4AF3">
        <w:rPr>
          <w:rFonts w:ascii="Times New Roman" w:eastAsia="+mn-ea" w:hAnsi="Times New Roman" w:cs="Times New Roman"/>
          <w:b/>
          <w:sz w:val="24"/>
          <w:szCs w:val="24"/>
        </w:rPr>
        <w:t>Neighborhood Services</w:t>
      </w:r>
    </w:p>
    <w:p w14:paraId="77FCF56D" w14:textId="50047C3B" w:rsidR="00BE4AF3" w:rsidRPr="00BE4AF3" w:rsidRDefault="00BE4AF3" w:rsidP="00C86F13">
      <w:pPr>
        <w:spacing w:after="0" w:line="240" w:lineRule="auto"/>
        <w:jc w:val="both"/>
        <w:rPr>
          <w:rFonts w:ascii="Times New Roman" w:eastAsia="+mn-ea" w:hAnsi="Times New Roman" w:cs="Times New Roman"/>
          <w:sz w:val="24"/>
          <w:szCs w:val="24"/>
        </w:rPr>
      </w:pPr>
      <w:r w:rsidRPr="00BE4AF3">
        <w:rPr>
          <w:rFonts w:ascii="Times New Roman" w:eastAsia="+mn-ea" w:hAnsi="Times New Roman" w:cs="Times New Roman"/>
          <w:sz w:val="24"/>
          <w:szCs w:val="24"/>
        </w:rPr>
        <w:t>The study also revealed that electricity supply and water supply were inadequate. Furthermore, it was found that the main source of noise pollution was from the use of electric generators brought about by incessant power cuts in the city. People were very dissatisfied with electricity supply</w:t>
      </w:r>
      <w:r w:rsidRPr="00BE4AF3">
        <w:rPr>
          <w:rFonts w:ascii="Times New Roman" w:eastAsia="+mn-ea" w:hAnsi="Times New Roman" w:cs="Times New Roman"/>
          <w:b/>
          <w:sz w:val="24"/>
          <w:szCs w:val="24"/>
        </w:rPr>
        <w:t xml:space="preserve">. </w:t>
      </w:r>
      <w:r w:rsidRPr="00BE4AF3">
        <w:rPr>
          <w:rFonts w:ascii="Times New Roman" w:eastAsia="+mn-ea" w:hAnsi="Times New Roman" w:cs="Times New Roman"/>
          <w:sz w:val="24"/>
          <w:szCs w:val="24"/>
        </w:rPr>
        <w:t>Regular power supply could be achieved through public-private partnership and current privatization process embarked upon by the Federal Government. Government provision of water supply was virtually nonexistent. Government should partner with the private sector to provide this essential service to the residents. Government should also look into other forms of electricity generations such as solar power, biomass, wind, tidal energy which is in abundant supply in the country.</w:t>
      </w:r>
    </w:p>
    <w:p w14:paraId="3E603BC0" w14:textId="571EB4E1" w:rsidR="00BE4AF3" w:rsidRPr="00BE4AF3" w:rsidRDefault="00BE4AF3" w:rsidP="00C86F13">
      <w:pPr>
        <w:spacing w:after="0" w:line="240" w:lineRule="auto"/>
        <w:jc w:val="both"/>
        <w:rPr>
          <w:rFonts w:ascii="Times New Roman" w:eastAsia="+mn-ea" w:hAnsi="Times New Roman" w:cs="Times New Roman"/>
          <w:sz w:val="24"/>
          <w:szCs w:val="24"/>
        </w:rPr>
      </w:pPr>
      <w:r w:rsidRPr="00BE4AF3">
        <w:rPr>
          <w:rFonts w:ascii="Times New Roman" w:eastAsia="+mn-ea" w:hAnsi="Times New Roman" w:cs="Times New Roman"/>
          <w:sz w:val="24"/>
          <w:szCs w:val="24"/>
        </w:rPr>
        <w:t>The study also found that people were not satisfied with waste collection and disposal. Waste collection should be done on regular basis. Public private partnership should also be adapted. The current practice of waste disposal into drains by the residents should be used as discouraged and appropriate measures should be put in place to punish perpetrator. The monthly environmental sanitation exercise should be used as a public enlightenment tool during the exercise, the practice of removing waste from drains and putting same on the roadsides should be adequately discouraged. Finally, the study found that residents believed that residential quality of life would be improved through the provision of basic amenities, good housing and proper sanitation. These basic needs and services should be adequately put in place through properly designed policies and massive education.</w:t>
      </w:r>
    </w:p>
    <w:p w14:paraId="451F8315" w14:textId="77777777" w:rsidR="0057538F" w:rsidRDefault="0057538F" w:rsidP="0057538F">
      <w:pPr>
        <w:spacing w:after="0" w:line="240" w:lineRule="auto"/>
        <w:rPr>
          <w:rFonts w:ascii="Times New Roman" w:hAnsi="Times New Roman" w:cs="Times New Roman"/>
          <w:sz w:val="24"/>
          <w:szCs w:val="24"/>
        </w:rPr>
      </w:pPr>
    </w:p>
    <w:p w14:paraId="18206F28" w14:textId="500E0696" w:rsidR="00BE4AF3" w:rsidRPr="00BE4AF3" w:rsidRDefault="00BE4AF3" w:rsidP="0057538F">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References</w:t>
      </w:r>
    </w:p>
    <w:p w14:paraId="2F551AE3" w14:textId="77777777" w:rsidR="00BE4AF3" w:rsidRPr="00BE4AF3" w:rsidRDefault="00BE4AF3" w:rsidP="00C86F13">
      <w:pPr>
        <w:pStyle w:val="Bibliography"/>
        <w:spacing w:after="0" w:line="240" w:lineRule="auto"/>
        <w:ind w:left="720" w:hanging="720"/>
        <w:rPr>
          <w:rFonts w:ascii="Times New Roman" w:hAnsi="Times New Roman" w:cs="Times New Roman"/>
          <w:i/>
          <w:sz w:val="24"/>
          <w:szCs w:val="24"/>
        </w:rPr>
      </w:pPr>
      <w:r w:rsidRPr="00BE4AF3">
        <w:rPr>
          <w:rFonts w:ascii="Times New Roman" w:hAnsi="Times New Roman" w:cs="Times New Roman"/>
          <w:sz w:val="24"/>
          <w:szCs w:val="24"/>
        </w:rPr>
        <w:t>Action Aid (2006):</w:t>
      </w:r>
      <w:r w:rsidRPr="00BE4AF3">
        <w:rPr>
          <w:rFonts w:ascii="Times New Roman" w:hAnsi="Times New Roman" w:cs="Times New Roman"/>
          <w:i/>
          <w:sz w:val="24"/>
          <w:szCs w:val="24"/>
        </w:rPr>
        <w:t xml:space="preserve"> </w:t>
      </w:r>
      <w:r w:rsidRPr="00BE4AF3">
        <w:rPr>
          <w:rFonts w:ascii="Times New Roman" w:hAnsi="Times New Roman" w:cs="Times New Roman"/>
          <w:sz w:val="24"/>
          <w:szCs w:val="24"/>
        </w:rPr>
        <w:t>Climate Change, Urban flooding and the right soft of urban poor in African Cities:</w:t>
      </w:r>
      <w:r w:rsidRPr="00BE4AF3">
        <w:rPr>
          <w:rFonts w:ascii="Times New Roman" w:hAnsi="Times New Roman" w:cs="Times New Roman"/>
          <w:i/>
          <w:sz w:val="24"/>
          <w:szCs w:val="24"/>
        </w:rPr>
        <w:t xml:space="preserve"> A report by action aid Nigeria, Retrieved October, 2006</w:t>
      </w:r>
    </w:p>
    <w:p w14:paraId="6EF549A2" w14:textId="77777777" w:rsidR="00BE4AF3" w:rsidRPr="00BE4AF3" w:rsidRDefault="00BE4AF3" w:rsidP="00C86F13">
      <w:pPr>
        <w:spacing w:after="0" w:line="240" w:lineRule="auto"/>
        <w:rPr>
          <w:rFonts w:ascii="Times New Roman" w:hAnsi="Times New Roman" w:cs="Times New Roman"/>
          <w:i/>
          <w:sz w:val="24"/>
          <w:szCs w:val="24"/>
        </w:rPr>
      </w:pPr>
      <w:r w:rsidRPr="00BE4AF3">
        <w:rPr>
          <w:rFonts w:ascii="Times New Roman" w:hAnsi="Times New Roman" w:cs="Times New Roman"/>
          <w:sz w:val="24"/>
          <w:szCs w:val="24"/>
        </w:rPr>
        <w:t>Adeaga, O</w:t>
      </w:r>
      <w:r w:rsidRPr="00BE4AF3">
        <w:rPr>
          <w:rFonts w:ascii="Times New Roman" w:hAnsi="Times New Roman" w:cs="Times New Roman"/>
          <w:i/>
          <w:sz w:val="24"/>
          <w:szCs w:val="24"/>
        </w:rPr>
        <w:t xml:space="preserve">. </w:t>
      </w:r>
      <w:r w:rsidRPr="00BE4AF3">
        <w:rPr>
          <w:rFonts w:ascii="Times New Roman" w:hAnsi="Times New Roman" w:cs="Times New Roman"/>
          <w:sz w:val="24"/>
          <w:szCs w:val="24"/>
        </w:rPr>
        <w:t xml:space="preserve">(2018): Flood hazard Mapping and the Risk Management in Parts of Lagos, </w:t>
      </w:r>
      <w:r w:rsidRPr="00BE4AF3">
        <w:rPr>
          <w:rFonts w:ascii="Times New Roman" w:hAnsi="Times New Roman" w:cs="Times New Roman"/>
          <w:sz w:val="24"/>
          <w:szCs w:val="24"/>
        </w:rPr>
        <w:tab/>
        <w:t>M.Sc.</w:t>
      </w:r>
      <w:r w:rsidRPr="00BE4AF3">
        <w:rPr>
          <w:rFonts w:ascii="Times New Roman" w:hAnsi="Times New Roman" w:cs="Times New Roman"/>
          <w:sz w:val="24"/>
          <w:szCs w:val="24"/>
        </w:rPr>
        <w:tab/>
        <w:t>dissertation,</w:t>
      </w:r>
      <w:r w:rsidRPr="00BE4AF3">
        <w:rPr>
          <w:rFonts w:ascii="Times New Roman" w:hAnsi="Times New Roman" w:cs="Times New Roman"/>
          <w:i/>
          <w:sz w:val="24"/>
          <w:szCs w:val="24"/>
        </w:rPr>
        <w:t xml:space="preserve"> Department of Geography, Faculty of Environmental Sciences, </w:t>
      </w:r>
      <w:r w:rsidRPr="00BE4AF3">
        <w:rPr>
          <w:rFonts w:ascii="Times New Roman" w:hAnsi="Times New Roman" w:cs="Times New Roman"/>
          <w:i/>
          <w:sz w:val="24"/>
          <w:szCs w:val="24"/>
        </w:rPr>
        <w:tab/>
        <w:t xml:space="preserve">University of </w:t>
      </w:r>
      <w:r w:rsidRPr="00BE4AF3">
        <w:rPr>
          <w:rFonts w:ascii="Times New Roman" w:hAnsi="Times New Roman" w:cs="Times New Roman"/>
          <w:i/>
          <w:sz w:val="24"/>
          <w:szCs w:val="24"/>
        </w:rPr>
        <w:tab/>
        <w:t>Lagos, Akoka, Lagos, Nigeria</w:t>
      </w:r>
    </w:p>
    <w:p w14:paraId="5316BD84" w14:textId="77777777" w:rsidR="00BE4AF3" w:rsidRPr="00BE4AF3" w:rsidRDefault="00BE4AF3" w:rsidP="00C86F13">
      <w:pPr>
        <w:spacing w:after="0" w:line="240" w:lineRule="auto"/>
        <w:rPr>
          <w:rFonts w:ascii="Times New Roman" w:hAnsi="Times New Roman" w:cs="Times New Roman"/>
          <w:i/>
          <w:sz w:val="24"/>
          <w:szCs w:val="24"/>
        </w:rPr>
      </w:pPr>
      <w:r w:rsidRPr="00BE4AF3">
        <w:rPr>
          <w:rFonts w:ascii="Times New Roman" w:hAnsi="Times New Roman" w:cs="Times New Roman"/>
          <w:sz w:val="24"/>
          <w:szCs w:val="24"/>
        </w:rPr>
        <w:t xml:space="preserve">Adelye, A., and  Rustum, R. (2017): Flooding and Influence of Urban Planning in Lagos </w:t>
      </w:r>
      <w:r w:rsidRPr="00BE4AF3">
        <w:rPr>
          <w:rFonts w:ascii="Times New Roman" w:hAnsi="Times New Roman" w:cs="Times New Roman"/>
          <w:sz w:val="24"/>
          <w:szCs w:val="24"/>
        </w:rPr>
        <w:tab/>
        <w:t xml:space="preserve">Nigeria. J. </w:t>
      </w:r>
      <w:r w:rsidRPr="00BE4AF3">
        <w:rPr>
          <w:rFonts w:ascii="Times New Roman" w:hAnsi="Times New Roman" w:cs="Times New Roman"/>
          <w:i/>
          <w:sz w:val="24"/>
          <w:szCs w:val="24"/>
        </w:rPr>
        <w:t>Urban Design and Planning (ICE), Pp: 164.</w:t>
      </w:r>
    </w:p>
    <w:p w14:paraId="2A715FEC" w14:textId="77777777" w:rsidR="00BE4AF3" w:rsidRPr="00BE4AF3" w:rsidRDefault="00BE4AF3" w:rsidP="00C86F13">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 xml:space="preserve">Aderogba, K. A. (2012): Substantive Causes and Effects of Floods in South Western Nigeria </w:t>
      </w:r>
      <w:r w:rsidRPr="00BE4AF3">
        <w:rPr>
          <w:rFonts w:ascii="Times New Roman" w:hAnsi="Times New Roman" w:cs="Times New Roman"/>
          <w:sz w:val="24"/>
          <w:szCs w:val="24"/>
        </w:rPr>
        <w:tab/>
        <w:t>and Sustainable Development of the Cities and Towns. Journal of Emerging Trend sin</w:t>
      </w:r>
    </w:p>
    <w:p w14:paraId="5A79BAF2" w14:textId="77777777" w:rsidR="00BE4AF3" w:rsidRPr="00BE4AF3" w:rsidRDefault="00BE4AF3" w:rsidP="00C86F1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Adu-Mereku, Adriana H.O. (2022): Living between Urban and Rural Areas. Guidelines for </w:t>
      </w:r>
      <w:r w:rsidRPr="00BE4AF3">
        <w:rPr>
          <w:rFonts w:ascii="Times New Roman" w:hAnsi="Times New Roman" w:cs="Times New Roman"/>
          <w:sz w:val="24"/>
          <w:szCs w:val="24"/>
        </w:rPr>
        <w:tab/>
        <w:t xml:space="preserve">Strategic Environmental Planning and Management of the Peri-urban Interface Vol 3. </w:t>
      </w:r>
      <w:r w:rsidRPr="00BE4AF3">
        <w:rPr>
          <w:rFonts w:ascii="Times New Roman" w:hAnsi="Times New Roman" w:cs="Times New Roman"/>
          <w:sz w:val="24"/>
          <w:szCs w:val="24"/>
        </w:rPr>
        <w:tab/>
        <w:t xml:space="preserve">Development Planning Unit, University College London. </w:t>
      </w:r>
    </w:p>
    <w:p w14:paraId="0B05CA6E" w14:textId="77777777" w:rsidR="00BE4AF3" w:rsidRPr="00BE4AF3" w:rsidRDefault="00BE4AF3" w:rsidP="00C86F13">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lastRenderedPageBreak/>
        <w:t xml:space="preserve">Afolabi , A. And Olley, O. (2021): Evaluation of the causes and effects of flood in Apete, </w:t>
      </w:r>
      <w:r w:rsidRPr="00BE4AF3">
        <w:rPr>
          <w:rFonts w:ascii="Times New Roman" w:hAnsi="Times New Roman" w:cs="Times New Roman"/>
          <w:sz w:val="24"/>
          <w:szCs w:val="24"/>
        </w:rPr>
        <w:tab/>
        <w:t xml:space="preserve">Ido local Government Area, Oyo, State, Nigeria. Journal of Civil and Environmental </w:t>
      </w:r>
      <w:r w:rsidRPr="00BE4AF3">
        <w:rPr>
          <w:rFonts w:ascii="Times New Roman" w:hAnsi="Times New Roman" w:cs="Times New Roman"/>
          <w:sz w:val="24"/>
          <w:szCs w:val="24"/>
        </w:rPr>
        <w:tab/>
        <w:t>Research Vol.3 No 7, 2013</w:t>
      </w:r>
    </w:p>
    <w:p w14:paraId="7833A2BE" w14:textId="77777777" w:rsidR="00BE4AF3" w:rsidRPr="00BE4AF3" w:rsidRDefault="00BE4AF3" w:rsidP="00C86F13">
      <w:pPr>
        <w:tabs>
          <w:tab w:val="left" w:pos="720"/>
        </w:tabs>
        <w:autoSpaceDE w:val="0"/>
        <w:autoSpaceDN w:val="0"/>
        <w:adjustRightInd w:val="0"/>
        <w:spacing w:after="0" w:line="240" w:lineRule="auto"/>
        <w:ind w:left="630" w:hanging="630"/>
        <w:jc w:val="both"/>
        <w:rPr>
          <w:rFonts w:ascii="Times New Roman" w:hAnsi="Times New Roman" w:cs="Times New Roman"/>
          <w:i/>
          <w:sz w:val="24"/>
          <w:szCs w:val="24"/>
        </w:rPr>
      </w:pPr>
      <w:r w:rsidRPr="00BE4AF3">
        <w:rPr>
          <w:rFonts w:ascii="Times New Roman" w:hAnsi="Times New Roman" w:cs="Times New Roman"/>
          <w:sz w:val="24"/>
          <w:szCs w:val="24"/>
        </w:rPr>
        <w:t xml:space="preserve">Afon A.O., and B.O. Ojo. (2016): Residents Perception of Environmental Quality in Peri-Urban Settlements along Lagos-Ibadan Expressway, Ogun State. </w:t>
      </w:r>
      <w:r w:rsidRPr="00BE4AF3">
        <w:rPr>
          <w:rFonts w:ascii="Times New Roman" w:hAnsi="Times New Roman" w:cs="Times New Roman"/>
          <w:i/>
          <w:sz w:val="24"/>
          <w:szCs w:val="24"/>
        </w:rPr>
        <w:t>An M.Sc Dissertation, submitted to the Department of Urban and Regional Planning, Obafemi Awolowo University, Ile-Ife. Nigeria.</w:t>
      </w:r>
    </w:p>
    <w:p w14:paraId="6FF7497C" w14:textId="77777777" w:rsidR="00BE4AF3" w:rsidRPr="00BE4AF3" w:rsidRDefault="00BE4AF3" w:rsidP="00C86F13">
      <w:pPr>
        <w:pStyle w:val="Bibliography"/>
        <w:spacing w:after="0" w:line="240" w:lineRule="auto"/>
        <w:ind w:left="720" w:hanging="720"/>
        <w:rPr>
          <w:rFonts w:ascii="Times New Roman" w:hAnsi="Times New Roman" w:cs="Times New Roman"/>
          <w:sz w:val="24"/>
          <w:szCs w:val="24"/>
        </w:rPr>
      </w:pPr>
      <w:r w:rsidRPr="00BE4AF3">
        <w:rPr>
          <w:rFonts w:ascii="Times New Roman" w:hAnsi="Times New Roman" w:cs="Times New Roman"/>
          <w:sz w:val="24"/>
          <w:szCs w:val="24"/>
        </w:rPr>
        <w:t>Afon, A.O. (2018): The residents’ Perception of Property rating in a Traditional Nigerian City, Research for Development; Journal of the Nigerian Institute of Social and Economic Research (NISER). Vol 22 Nos. 1&amp;2, 41– 66.</w:t>
      </w:r>
    </w:p>
    <w:p w14:paraId="7CCAFAA0" w14:textId="77777777" w:rsidR="00BE4AF3" w:rsidRPr="00BE4AF3" w:rsidRDefault="00BE4AF3" w:rsidP="00C86F13">
      <w:pPr>
        <w:spacing w:after="0" w:line="240" w:lineRule="auto"/>
        <w:jc w:val="both"/>
        <w:rPr>
          <w:rFonts w:ascii="Times New Roman" w:hAnsi="Times New Roman" w:cs="Times New Roman"/>
          <w:sz w:val="24"/>
          <w:szCs w:val="24"/>
        </w:rPr>
      </w:pPr>
      <w:r w:rsidRPr="00BE4AF3">
        <w:rPr>
          <w:rFonts w:ascii="Times New Roman" w:eastAsia="Times New Roman" w:hAnsi="Times New Roman" w:cs="Times New Roman"/>
          <w:sz w:val="24"/>
          <w:szCs w:val="24"/>
        </w:rPr>
        <w:t xml:space="preserve">Agbola, S.B. (2020): The housing of Nigeria: A review of policy development and </w:t>
      </w:r>
      <w:r w:rsidRPr="00BE4AF3">
        <w:rPr>
          <w:rFonts w:ascii="Times New Roman" w:eastAsia="Times New Roman" w:hAnsi="Times New Roman" w:cs="Times New Roman"/>
          <w:sz w:val="24"/>
          <w:szCs w:val="24"/>
        </w:rPr>
        <w:tab/>
        <w:t>implementation, Research report No 14, Ibadan Development Policy Centre.</w:t>
      </w:r>
    </w:p>
    <w:p w14:paraId="11FDD193" w14:textId="77777777" w:rsidR="00BE4AF3" w:rsidRPr="00BE4AF3" w:rsidRDefault="00BE4AF3" w:rsidP="00C86F13">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 xml:space="preserve">Akinyemi, V.O. (2022):Socio-Spatial Transformations and  the Urban Fringe Landscape in </w:t>
      </w:r>
      <w:r w:rsidRPr="00BE4AF3">
        <w:rPr>
          <w:rFonts w:ascii="Times New Roman" w:hAnsi="Times New Roman" w:cs="Times New Roman"/>
          <w:sz w:val="24"/>
          <w:szCs w:val="24"/>
        </w:rPr>
        <w:tab/>
        <w:t>Developing Countries, Nigeria: University Ibadan, Press, Ibadan Nigeria</w:t>
      </w:r>
    </w:p>
    <w:p w14:paraId="515DBB35" w14:textId="77777777" w:rsidR="00BE4AF3" w:rsidRPr="00BE4AF3" w:rsidRDefault="00BE4AF3" w:rsidP="00C86F13">
      <w:pPr>
        <w:spacing w:after="0" w:line="240" w:lineRule="auto"/>
        <w:jc w:val="both"/>
        <w:rPr>
          <w:rFonts w:ascii="Times New Roman" w:hAnsi="Times New Roman" w:cs="Times New Roman"/>
          <w:bCs/>
          <w:sz w:val="24"/>
          <w:szCs w:val="24"/>
        </w:rPr>
      </w:pPr>
      <w:r w:rsidRPr="00BE4AF3">
        <w:rPr>
          <w:rFonts w:ascii="Times New Roman" w:hAnsi="Times New Roman" w:cs="Times New Roman"/>
          <w:bCs/>
          <w:sz w:val="24"/>
          <w:szCs w:val="24"/>
        </w:rPr>
        <w:t xml:space="preserve">Aremu, B.Y. (2022): Ibadan: A rapidly growing city in need of a master plan. Paper read at </w:t>
      </w:r>
      <w:r w:rsidRPr="00BE4AF3">
        <w:rPr>
          <w:rFonts w:ascii="Times New Roman" w:hAnsi="Times New Roman" w:cs="Times New Roman"/>
          <w:bCs/>
          <w:sz w:val="24"/>
          <w:szCs w:val="24"/>
        </w:rPr>
        <w:tab/>
        <w:t xml:space="preserve">the Architects Congress/Annual general Meeting organized by the Nigerian Institute </w:t>
      </w:r>
      <w:r w:rsidRPr="00BE4AF3">
        <w:rPr>
          <w:rFonts w:ascii="Times New Roman" w:hAnsi="Times New Roman" w:cs="Times New Roman"/>
          <w:bCs/>
          <w:sz w:val="24"/>
          <w:szCs w:val="24"/>
        </w:rPr>
        <w:tab/>
        <w:t>of Architects, Oyo State Chapter, held at Penrose Event Centre, Obafemi Awolowo</w:t>
      </w:r>
      <w:r w:rsidRPr="00BE4AF3">
        <w:rPr>
          <w:rFonts w:ascii="Times New Roman" w:hAnsi="Times New Roman" w:cs="Times New Roman"/>
          <w:bCs/>
          <w:sz w:val="24"/>
          <w:szCs w:val="24"/>
        </w:rPr>
        <w:tab/>
        <w:t>Avenue, Old Bodija Estate, and Ibadan July 7</w:t>
      </w:r>
      <w:r w:rsidRPr="00BE4AF3">
        <w:rPr>
          <w:rFonts w:ascii="Times New Roman" w:hAnsi="Times New Roman" w:cs="Times New Roman"/>
          <w:bCs/>
          <w:sz w:val="24"/>
          <w:szCs w:val="24"/>
          <w:vertAlign w:val="superscript"/>
        </w:rPr>
        <w:t>th</w:t>
      </w:r>
    </w:p>
    <w:p w14:paraId="13E3D30C" w14:textId="77777777" w:rsidR="00BE4AF3" w:rsidRPr="00BE4AF3" w:rsidRDefault="00BE4AF3" w:rsidP="00C86F13">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 xml:space="preserve">Askew, E. (2009): The Relationship between Environmental Quality Level and Housing sale </w:t>
      </w:r>
      <w:r w:rsidRPr="00BE4AF3">
        <w:rPr>
          <w:rFonts w:ascii="Times New Roman" w:hAnsi="Times New Roman" w:cs="Times New Roman"/>
          <w:sz w:val="24"/>
          <w:szCs w:val="24"/>
        </w:rPr>
        <w:tab/>
        <w:t>prices in the Istanbul Metropolitan area. ITU A/Z 6(1):60-76 Pp</w:t>
      </w:r>
    </w:p>
    <w:p w14:paraId="26243154" w14:textId="77777777" w:rsidR="00BE4AF3" w:rsidRPr="00BE4AF3" w:rsidRDefault="00BE4AF3" w:rsidP="00C86F13">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 xml:space="preserve">Bariweni, P.A, Tawari, C.C and abowei, J.F.N. (2012): Some Environmental effects of </w:t>
      </w:r>
      <w:r w:rsidRPr="00BE4AF3">
        <w:rPr>
          <w:rFonts w:ascii="Times New Roman" w:hAnsi="Times New Roman" w:cs="Times New Roman"/>
          <w:sz w:val="24"/>
          <w:szCs w:val="24"/>
        </w:rPr>
        <w:tab/>
        <w:t>flooding in the Niger Delta Region of Nigeria, International Journal</w:t>
      </w:r>
    </w:p>
    <w:p w14:paraId="55851F4F" w14:textId="77777777" w:rsidR="00BE4AF3" w:rsidRPr="00BE4AF3" w:rsidRDefault="00BE4AF3" w:rsidP="00C86F13">
      <w:pPr>
        <w:autoSpaceDE w:val="0"/>
        <w:autoSpaceDN w:val="0"/>
        <w:adjustRightInd w:val="0"/>
        <w:spacing w:after="0" w:line="240" w:lineRule="auto"/>
        <w:ind w:left="720" w:hanging="72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Bonchu, L. M. (2016): Environmental Planning and management of Urban flood Interface: Perspective on an Emerging Field, </w:t>
      </w:r>
      <w:r w:rsidRPr="00BE4AF3">
        <w:rPr>
          <w:rFonts w:ascii="Times New Roman" w:eastAsia="Times New Roman" w:hAnsi="Times New Roman" w:cs="Times New Roman"/>
          <w:i/>
          <w:sz w:val="24"/>
          <w:szCs w:val="24"/>
        </w:rPr>
        <w:t>Environment and Urbanization (15) Pp 135-148</w:t>
      </w:r>
      <w:r w:rsidRPr="00BE4AF3">
        <w:rPr>
          <w:rFonts w:ascii="Times New Roman" w:eastAsia="Times New Roman" w:hAnsi="Times New Roman" w:cs="Times New Roman"/>
          <w:sz w:val="24"/>
          <w:szCs w:val="24"/>
        </w:rPr>
        <w:t>.</w:t>
      </w:r>
    </w:p>
    <w:p w14:paraId="6F0EF196" w14:textId="77777777" w:rsidR="00BE4AF3" w:rsidRPr="00BE4AF3" w:rsidRDefault="00BE4AF3" w:rsidP="00C86F13">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Charron, F.S. (2012): The Urban Poor in Dhaka City: Their Struggles and Coping </w:t>
      </w:r>
      <w:r w:rsidRPr="00BE4AF3">
        <w:rPr>
          <w:rFonts w:ascii="Times New Roman" w:hAnsi="Times New Roman" w:cs="Times New Roman"/>
          <w:sz w:val="24"/>
          <w:szCs w:val="24"/>
        </w:rPr>
        <w:tab/>
        <w:t>Strategies</w:t>
      </w:r>
      <w:r w:rsidRPr="00BE4AF3">
        <w:rPr>
          <w:rFonts w:ascii="Times New Roman" w:hAnsi="Times New Roman" w:cs="Times New Roman"/>
          <w:sz w:val="24"/>
          <w:szCs w:val="24"/>
        </w:rPr>
        <w:tab/>
        <w:t xml:space="preserve">Satisfaction Scale (RESS). </w:t>
      </w:r>
      <w:r w:rsidRPr="00BE4AF3">
        <w:rPr>
          <w:rFonts w:ascii="Times New Roman" w:hAnsi="Times New Roman" w:cs="Times New Roman"/>
          <w:i/>
          <w:sz w:val="24"/>
          <w:szCs w:val="24"/>
        </w:rPr>
        <w:t>Journal of Housing Built Environ 22: 287-304.</w:t>
      </w:r>
    </w:p>
    <w:p w14:paraId="2B570A2B" w14:textId="77777777" w:rsidR="00BE4AF3" w:rsidRPr="00BE4AF3" w:rsidRDefault="00BE4AF3" w:rsidP="00C86F13">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 xml:space="preserve">Christopher, R. (2007): Geo-systems: An Introduction to Physical Geography. London:  </w:t>
      </w:r>
      <w:r w:rsidRPr="00BE4AF3">
        <w:rPr>
          <w:rFonts w:ascii="Times New Roman" w:hAnsi="Times New Roman" w:cs="Times New Roman"/>
          <w:sz w:val="24"/>
          <w:szCs w:val="24"/>
        </w:rPr>
        <w:tab/>
        <w:t>Prentice – Hall. (Third  Edition). Pp. 423</w:t>
      </w:r>
    </w:p>
    <w:p w14:paraId="452DE511" w14:textId="77777777" w:rsidR="00BE4AF3" w:rsidRPr="00BE4AF3" w:rsidRDefault="00BE4AF3" w:rsidP="00C86F13">
      <w:pPr>
        <w:autoSpaceDE w:val="0"/>
        <w:autoSpaceDN w:val="0"/>
        <w:adjustRightInd w:val="0"/>
        <w:spacing w:after="0" w:line="240" w:lineRule="auto"/>
        <w:rPr>
          <w:rFonts w:ascii="Times New Roman" w:hAnsi="Times New Roman" w:cs="Times New Roman"/>
          <w:sz w:val="24"/>
          <w:szCs w:val="24"/>
        </w:rPr>
      </w:pPr>
      <w:r w:rsidRPr="00BE4AF3">
        <w:rPr>
          <w:rFonts w:ascii="Times New Roman" w:hAnsi="Times New Roman" w:cs="Times New Roman"/>
          <w:sz w:val="24"/>
          <w:szCs w:val="24"/>
        </w:rPr>
        <w:t xml:space="preserve">Dada O.T (2018): Spatio-Temporal Analysis of Climate Change Effect on Residents’ </w:t>
      </w:r>
      <w:r w:rsidRPr="00BE4AF3">
        <w:rPr>
          <w:rFonts w:ascii="Times New Roman" w:hAnsi="Times New Roman" w:cs="Times New Roman"/>
          <w:sz w:val="24"/>
          <w:szCs w:val="24"/>
        </w:rPr>
        <w:tab/>
        <w:t xml:space="preserve">ill </w:t>
      </w:r>
      <w:r w:rsidRPr="00BE4AF3">
        <w:rPr>
          <w:rFonts w:ascii="Times New Roman" w:hAnsi="Times New Roman" w:cs="Times New Roman"/>
          <w:sz w:val="24"/>
          <w:szCs w:val="24"/>
        </w:rPr>
        <w:tab/>
        <w:t xml:space="preserve">Health in Selected Nigeria Metropolis; </w:t>
      </w:r>
      <w:r w:rsidRPr="00BE4AF3">
        <w:rPr>
          <w:rFonts w:ascii="Times New Roman" w:hAnsi="Times New Roman" w:cs="Times New Roman"/>
          <w:i/>
          <w:sz w:val="24"/>
          <w:szCs w:val="24"/>
        </w:rPr>
        <w:t xml:space="preserve">An unpublished Ph.D thesis Submitted to </w:t>
      </w:r>
      <w:r w:rsidRPr="00BE4AF3">
        <w:rPr>
          <w:rFonts w:ascii="Times New Roman" w:hAnsi="Times New Roman" w:cs="Times New Roman"/>
          <w:i/>
          <w:sz w:val="24"/>
          <w:szCs w:val="24"/>
        </w:rPr>
        <w:tab/>
        <w:t>Department of Urban and Regional Planning, Obafemi  Awolowo University, Ile-Ife</w:t>
      </w:r>
      <w:r w:rsidRPr="00BE4AF3">
        <w:rPr>
          <w:rFonts w:ascii="Times New Roman" w:hAnsi="Times New Roman" w:cs="Times New Roman"/>
          <w:sz w:val="24"/>
          <w:szCs w:val="24"/>
        </w:rPr>
        <w:t xml:space="preserve"> </w:t>
      </w:r>
    </w:p>
    <w:p w14:paraId="0CB9A807" w14:textId="77777777" w:rsidR="00BE4AF3" w:rsidRPr="00BE4AF3" w:rsidRDefault="00BE4AF3" w:rsidP="00C86F13">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 xml:space="preserve">Douglas, I., Alam, K., Maghenda, M., McDonnell, McLean, and Campbell (2008): Unjust  </w:t>
      </w:r>
      <w:r w:rsidRPr="00BE4AF3">
        <w:rPr>
          <w:rFonts w:ascii="Times New Roman" w:hAnsi="Times New Roman" w:cs="Times New Roman"/>
          <w:sz w:val="24"/>
          <w:szCs w:val="24"/>
        </w:rPr>
        <w:tab/>
        <w:t xml:space="preserve">waters: Climate Change, Flooding and the Urban Poor in Africa, Environ. Urban, 20 </w:t>
      </w:r>
      <w:r w:rsidRPr="00BE4AF3">
        <w:rPr>
          <w:rFonts w:ascii="Times New Roman" w:hAnsi="Times New Roman" w:cs="Times New Roman"/>
          <w:sz w:val="24"/>
          <w:szCs w:val="24"/>
        </w:rPr>
        <w:tab/>
        <w:t>(1), 187</w:t>
      </w:r>
    </w:p>
    <w:p w14:paraId="13F5C586" w14:textId="77777777" w:rsidR="0057538F" w:rsidRDefault="00BE4AF3" w:rsidP="0057538F">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 xml:space="preserve">Ellen, J.I. and Kellogg J.S. (2015): Deficiencies in drinking Water Distribution Systems in </w:t>
      </w:r>
    </w:p>
    <w:p w14:paraId="496FC8C5" w14:textId="2E81C68E" w:rsidR="00BE4AF3" w:rsidRPr="00BE4AF3" w:rsidRDefault="0057538F" w:rsidP="0057538F">
      <w:pPr>
        <w:spacing w:after="0" w:line="240" w:lineRule="auto"/>
        <w:rPr>
          <w:rFonts w:ascii="Times New Roman" w:hAnsi="Times New Roman" w:cs="Times New Roman"/>
          <w:i/>
          <w:sz w:val="24"/>
          <w:szCs w:val="24"/>
        </w:rPr>
      </w:pPr>
      <w:r>
        <w:rPr>
          <w:rFonts w:ascii="Times New Roman" w:hAnsi="Times New Roman" w:cs="Times New Roman"/>
          <w:sz w:val="24"/>
          <w:szCs w:val="24"/>
        </w:rPr>
        <w:t xml:space="preserve">            </w:t>
      </w:r>
      <w:r w:rsidR="00BE4AF3" w:rsidRPr="00BE4AF3">
        <w:rPr>
          <w:rFonts w:ascii="Times New Roman" w:hAnsi="Times New Roman" w:cs="Times New Roman"/>
          <w:sz w:val="24"/>
          <w:szCs w:val="24"/>
        </w:rPr>
        <w:t xml:space="preserve">Developing Countries. </w:t>
      </w:r>
      <w:r w:rsidR="00BE4AF3" w:rsidRPr="00BE4AF3">
        <w:rPr>
          <w:rFonts w:ascii="Times New Roman" w:hAnsi="Times New Roman" w:cs="Times New Roman"/>
          <w:i/>
          <w:sz w:val="24"/>
          <w:szCs w:val="24"/>
        </w:rPr>
        <w:t>Journal of water and Health Vol. 30(2)109-127.</w:t>
      </w:r>
    </w:p>
    <w:p w14:paraId="6075F831" w14:textId="77777777" w:rsidR="00BE4AF3" w:rsidRPr="00BE4AF3" w:rsidRDefault="00BE4AF3" w:rsidP="00C86F13">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 xml:space="preserve">Etuonovbe, A.K. (2019): The Devastating Effect of Flooding in Nigeria. Hydrograph and the </w:t>
      </w:r>
      <w:r w:rsidRPr="00BE4AF3">
        <w:rPr>
          <w:rFonts w:ascii="Times New Roman" w:hAnsi="Times New Roman" w:cs="Times New Roman"/>
          <w:sz w:val="24"/>
          <w:szCs w:val="24"/>
        </w:rPr>
        <w:tab/>
        <w:t xml:space="preserve">Environment Innocent Chirisa, Zimbabwe Inclusive Cities and Housing: Analysis of </w:t>
      </w:r>
      <w:r w:rsidRPr="00BE4AF3">
        <w:rPr>
          <w:rFonts w:ascii="Times New Roman" w:hAnsi="Times New Roman" w:cs="Times New Roman"/>
          <w:sz w:val="24"/>
          <w:szCs w:val="24"/>
        </w:rPr>
        <w:tab/>
        <w:t>stewardship instruments in Epworth, Zimbabwe Working Week</w:t>
      </w:r>
      <w:r w:rsidRPr="00BE4AF3">
        <w:rPr>
          <w:rFonts w:ascii="Times New Roman" w:hAnsi="Times New Roman" w:cs="Times New Roman"/>
          <w:b/>
          <w:sz w:val="24"/>
          <w:szCs w:val="24"/>
        </w:rPr>
        <w:t xml:space="preserve"> </w:t>
      </w:r>
      <w:r w:rsidRPr="00BE4AF3">
        <w:rPr>
          <w:rFonts w:ascii="Times New Roman" w:hAnsi="Times New Roman" w:cs="Times New Roman"/>
          <w:sz w:val="24"/>
          <w:szCs w:val="24"/>
        </w:rPr>
        <w:t>Morocco, 18</w:t>
      </w:r>
      <w:r w:rsidRPr="00BE4AF3">
        <w:rPr>
          <w:rFonts w:ascii="Times New Roman" w:hAnsi="Times New Roman" w:cs="Times New Roman"/>
          <w:sz w:val="24"/>
          <w:szCs w:val="24"/>
          <w:vertAlign w:val="superscript"/>
        </w:rPr>
        <w:t>th</w:t>
      </w:r>
      <w:r w:rsidRPr="00BE4AF3">
        <w:rPr>
          <w:rFonts w:ascii="Times New Roman" w:hAnsi="Times New Roman" w:cs="Times New Roman"/>
          <w:sz w:val="24"/>
          <w:szCs w:val="24"/>
        </w:rPr>
        <w:t xml:space="preserve"> -22rd </w:t>
      </w:r>
      <w:r w:rsidRPr="00BE4AF3">
        <w:rPr>
          <w:rFonts w:ascii="Times New Roman" w:hAnsi="Times New Roman" w:cs="Times New Roman"/>
          <w:sz w:val="24"/>
          <w:szCs w:val="24"/>
        </w:rPr>
        <w:tab/>
        <w:t xml:space="preserve">May 2011. </w:t>
      </w:r>
    </w:p>
    <w:p w14:paraId="28BF6CB5" w14:textId="77777777" w:rsidR="00BE4AF3" w:rsidRPr="00BE4AF3" w:rsidRDefault="00BE4AF3" w:rsidP="00C86F13">
      <w:pPr>
        <w:tabs>
          <w:tab w:val="left" w:pos="720"/>
        </w:tabs>
        <w:autoSpaceDE w:val="0"/>
        <w:autoSpaceDN w:val="0"/>
        <w:adjustRightInd w:val="0"/>
        <w:spacing w:after="0" w:line="240" w:lineRule="auto"/>
        <w:ind w:left="630" w:hanging="630"/>
        <w:jc w:val="both"/>
        <w:rPr>
          <w:rFonts w:ascii="Times New Roman" w:hAnsi="Times New Roman" w:cs="Times New Roman"/>
          <w:i/>
          <w:sz w:val="24"/>
          <w:szCs w:val="24"/>
        </w:rPr>
      </w:pPr>
      <w:r w:rsidRPr="00BE4AF3">
        <w:rPr>
          <w:rFonts w:ascii="Times New Roman" w:hAnsi="Times New Roman" w:cs="Times New Roman"/>
          <w:sz w:val="24"/>
          <w:szCs w:val="24"/>
        </w:rPr>
        <w:t>Faniran, G. B. (2015): Residents’ perception of the monthly environmental sanitation exercise in Ibadan metropolis, Nigeria.</w:t>
      </w:r>
      <w:r w:rsidRPr="00BE4AF3">
        <w:rPr>
          <w:rFonts w:ascii="Times New Roman" w:hAnsi="Times New Roman" w:cs="Times New Roman"/>
          <w:i/>
          <w:sz w:val="24"/>
          <w:szCs w:val="24"/>
        </w:rPr>
        <w:t xml:space="preserve"> M.Sc Dissertation, submitted to the Department of Urban and Regional Planning, Obafemi Awolowo University, Ile-Ife. Nigeria.</w:t>
      </w:r>
    </w:p>
    <w:p w14:paraId="52BA2DBA" w14:textId="77777777" w:rsidR="00BE4AF3" w:rsidRPr="00BE4AF3" w:rsidRDefault="00BE4AF3" w:rsidP="00C86F13">
      <w:pPr>
        <w:autoSpaceDE w:val="0"/>
        <w:autoSpaceDN w:val="0"/>
        <w:adjustRightInd w:val="0"/>
        <w:spacing w:after="0" w:line="240" w:lineRule="auto"/>
        <w:ind w:left="720" w:hanging="720"/>
        <w:jc w:val="both"/>
        <w:rPr>
          <w:rFonts w:ascii="Times New Roman" w:eastAsia="Times New Roman" w:hAnsi="Times New Roman" w:cs="Times New Roman"/>
          <w:b/>
          <w:sz w:val="24"/>
          <w:szCs w:val="24"/>
        </w:rPr>
      </w:pPr>
      <w:r w:rsidRPr="00BE4AF3">
        <w:rPr>
          <w:rFonts w:ascii="Times New Roman" w:eastAsia="Times New Roman" w:hAnsi="Times New Roman" w:cs="Times New Roman"/>
          <w:sz w:val="24"/>
          <w:szCs w:val="24"/>
        </w:rPr>
        <w:t xml:space="preserve">Foo.M. (2016): Environmental Planning and management of Urban flood Interface: Perspective on an Emerging Field, </w:t>
      </w:r>
      <w:r w:rsidRPr="00BE4AF3">
        <w:rPr>
          <w:rFonts w:ascii="Times New Roman" w:eastAsia="Times New Roman" w:hAnsi="Times New Roman" w:cs="Times New Roman"/>
          <w:i/>
          <w:sz w:val="24"/>
          <w:szCs w:val="24"/>
        </w:rPr>
        <w:t>Environment and Urbanization (15) Pp 135-148</w:t>
      </w:r>
      <w:r w:rsidRPr="00BE4AF3">
        <w:rPr>
          <w:rFonts w:ascii="Times New Roman" w:eastAsia="Times New Roman" w:hAnsi="Times New Roman" w:cs="Times New Roman"/>
          <w:sz w:val="24"/>
          <w:szCs w:val="24"/>
        </w:rPr>
        <w:t>.</w:t>
      </w:r>
    </w:p>
    <w:p w14:paraId="4B790778" w14:textId="77777777" w:rsidR="00BE4AF3" w:rsidRPr="00BE4AF3" w:rsidRDefault="00BE4AF3" w:rsidP="00C86F13">
      <w:pPr>
        <w:spacing w:after="0" w:line="240" w:lineRule="auto"/>
        <w:jc w:val="both"/>
        <w:rPr>
          <w:rFonts w:ascii="Times New Roman" w:hAnsi="Times New Roman" w:cs="Times New Roman"/>
          <w:i/>
          <w:sz w:val="24"/>
          <w:szCs w:val="24"/>
        </w:rPr>
      </w:pPr>
      <w:r w:rsidRPr="00BE4AF3">
        <w:rPr>
          <w:rFonts w:ascii="Times New Roman" w:hAnsi="Times New Roman" w:cs="Times New Roman"/>
          <w:sz w:val="24"/>
          <w:szCs w:val="24"/>
        </w:rPr>
        <w:t xml:space="preserve">Giroult, E. (2023): The health city Concept: Process Development Project Composition and </w:t>
      </w:r>
      <w:r w:rsidRPr="00BE4AF3">
        <w:rPr>
          <w:rFonts w:ascii="Times New Roman" w:hAnsi="Times New Roman" w:cs="Times New Roman"/>
          <w:sz w:val="24"/>
          <w:szCs w:val="24"/>
        </w:rPr>
        <w:tab/>
        <w:t xml:space="preserve">Implication. In Agbola, S.B and Egunjobi, L. (eds): </w:t>
      </w:r>
      <w:r w:rsidRPr="00BE4AF3">
        <w:rPr>
          <w:rFonts w:ascii="Times New Roman" w:hAnsi="Times New Roman" w:cs="Times New Roman"/>
          <w:i/>
          <w:sz w:val="24"/>
          <w:szCs w:val="24"/>
        </w:rPr>
        <w:t xml:space="preserve">Environmental health and the </w:t>
      </w:r>
      <w:r w:rsidRPr="00BE4AF3">
        <w:rPr>
          <w:rFonts w:ascii="Times New Roman" w:hAnsi="Times New Roman" w:cs="Times New Roman"/>
          <w:i/>
          <w:sz w:val="24"/>
          <w:szCs w:val="24"/>
        </w:rPr>
        <w:tab/>
        <w:t xml:space="preserve">Potential of the healthy city approach in Nigeria. Proceedings of the First healthy </w:t>
      </w:r>
      <w:r w:rsidRPr="00BE4AF3">
        <w:rPr>
          <w:rFonts w:ascii="Times New Roman" w:hAnsi="Times New Roman" w:cs="Times New Roman"/>
          <w:i/>
          <w:sz w:val="24"/>
          <w:szCs w:val="24"/>
        </w:rPr>
        <w:tab/>
        <w:t>City Conference in Nigeria 4</w:t>
      </w:r>
      <w:r w:rsidRPr="00BE4AF3">
        <w:rPr>
          <w:rFonts w:ascii="Times New Roman" w:hAnsi="Times New Roman" w:cs="Times New Roman"/>
          <w:i/>
          <w:sz w:val="24"/>
          <w:szCs w:val="24"/>
          <w:vertAlign w:val="superscript"/>
        </w:rPr>
        <w:t>th</w:t>
      </w:r>
      <w:r w:rsidRPr="00BE4AF3">
        <w:rPr>
          <w:rFonts w:ascii="Times New Roman" w:hAnsi="Times New Roman" w:cs="Times New Roman"/>
          <w:i/>
          <w:sz w:val="24"/>
          <w:szCs w:val="24"/>
        </w:rPr>
        <w:t>-6</w:t>
      </w:r>
      <w:r w:rsidRPr="00BE4AF3">
        <w:rPr>
          <w:rFonts w:ascii="Times New Roman" w:hAnsi="Times New Roman" w:cs="Times New Roman"/>
          <w:i/>
          <w:sz w:val="24"/>
          <w:szCs w:val="24"/>
          <w:vertAlign w:val="superscript"/>
        </w:rPr>
        <w:t>th</w:t>
      </w:r>
      <w:r w:rsidRPr="00BE4AF3">
        <w:rPr>
          <w:rFonts w:ascii="Times New Roman" w:hAnsi="Times New Roman" w:cs="Times New Roman"/>
          <w:i/>
          <w:sz w:val="24"/>
          <w:szCs w:val="24"/>
        </w:rPr>
        <w:t xml:space="preserve"> June, 1993 Pp19-33.</w:t>
      </w:r>
    </w:p>
    <w:p w14:paraId="7D206AB2" w14:textId="77777777" w:rsidR="00BE4AF3" w:rsidRPr="00BE4AF3" w:rsidRDefault="00BE4AF3" w:rsidP="00C86F13">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lastRenderedPageBreak/>
        <w:t xml:space="preserve">Green, R. And Salkind J.R (2017): Aspiration adapt to situations  but why are the Belgians so </w:t>
      </w:r>
      <w:r w:rsidRPr="00BE4AF3">
        <w:rPr>
          <w:rFonts w:ascii="Times New Roman" w:hAnsi="Times New Roman" w:cs="Times New Roman"/>
          <w:sz w:val="24"/>
          <w:szCs w:val="24"/>
        </w:rPr>
        <w:tab/>
        <w:t xml:space="preserve">much </w:t>
      </w:r>
      <w:r w:rsidRPr="00BE4AF3">
        <w:rPr>
          <w:rFonts w:ascii="Times New Roman" w:hAnsi="Times New Roman" w:cs="Times New Roman"/>
          <w:sz w:val="24"/>
          <w:szCs w:val="24"/>
        </w:rPr>
        <w:tab/>
        <w:t xml:space="preserve">Happier than the French? Survey Research Centre, University of Michigan, </w:t>
      </w:r>
      <w:r w:rsidRPr="00BE4AF3">
        <w:rPr>
          <w:rFonts w:ascii="Times New Roman" w:hAnsi="Times New Roman" w:cs="Times New Roman"/>
          <w:sz w:val="24"/>
          <w:szCs w:val="24"/>
        </w:rPr>
        <w:tab/>
        <w:t xml:space="preserve">ann Arbor, Pp </w:t>
      </w:r>
      <w:r w:rsidRPr="00BE4AF3">
        <w:rPr>
          <w:rFonts w:ascii="Times New Roman" w:hAnsi="Times New Roman" w:cs="Times New Roman"/>
          <w:sz w:val="24"/>
          <w:szCs w:val="24"/>
        </w:rPr>
        <w:tab/>
        <w:t>13-31</w:t>
      </w:r>
    </w:p>
    <w:p w14:paraId="5FAA2247" w14:textId="77777777" w:rsidR="00BE4AF3" w:rsidRPr="00BE4AF3" w:rsidRDefault="00BE4AF3" w:rsidP="00C86F13">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 xml:space="preserve">Hudsani, A.R. (2025): The environmental impacts of agricultural land drainage. Journal of </w:t>
      </w:r>
      <w:r w:rsidRPr="00BE4AF3">
        <w:rPr>
          <w:rFonts w:ascii="Times New Roman" w:hAnsi="Times New Roman" w:cs="Times New Roman"/>
          <w:sz w:val="24"/>
          <w:szCs w:val="24"/>
        </w:rPr>
        <w:tab/>
        <w:t>Environmental Management 4:251-274.</w:t>
      </w:r>
    </w:p>
    <w:p w14:paraId="1CF1E220" w14:textId="77777777" w:rsidR="00BE4AF3" w:rsidRPr="00BE4AF3" w:rsidRDefault="00BE4AF3" w:rsidP="00C86F13">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Kasalkhen, M. and May, J. (2012): A study on Poverty, Vulnerability and the Impact of</w:t>
      </w:r>
      <w:r w:rsidRPr="00BE4AF3">
        <w:rPr>
          <w:rFonts w:ascii="Times New Roman" w:hAnsi="Times New Roman" w:cs="Times New Roman"/>
          <w:sz w:val="24"/>
          <w:szCs w:val="24"/>
        </w:rPr>
        <w:tab/>
        <w:t>Management: A guide for South Asia: Sri Lanka.</w:t>
      </w:r>
    </w:p>
    <w:p w14:paraId="067CA16C" w14:textId="77777777" w:rsidR="00BE4AF3" w:rsidRPr="00BE4AF3" w:rsidRDefault="00BE4AF3" w:rsidP="00C86F13">
      <w:pPr>
        <w:spacing w:after="0" w:line="240" w:lineRule="auto"/>
        <w:jc w:val="both"/>
        <w:rPr>
          <w:rFonts w:ascii="Times New Roman" w:hAnsi="Times New Roman" w:cs="Times New Roman"/>
          <w:i/>
          <w:sz w:val="24"/>
          <w:szCs w:val="24"/>
        </w:rPr>
      </w:pPr>
      <w:r w:rsidRPr="00BE4AF3">
        <w:rPr>
          <w:rFonts w:ascii="Times New Roman" w:hAnsi="Times New Roman" w:cs="Times New Roman"/>
          <w:sz w:val="24"/>
          <w:szCs w:val="24"/>
        </w:rPr>
        <w:t>Kemeny,T. (2017</w:t>
      </w:r>
      <w:r w:rsidRPr="00BE4AF3">
        <w:rPr>
          <w:rFonts w:ascii="Times New Roman" w:hAnsi="Times New Roman" w:cs="Times New Roman"/>
          <w:b/>
          <w:sz w:val="24"/>
          <w:szCs w:val="24"/>
        </w:rPr>
        <w:t>)</w:t>
      </w:r>
      <w:r w:rsidRPr="00BE4AF3">
        <w:rPr>
          <w:rFonts w:ascii="Times New Roman" w:hAnsi="Times New Roman" w:cs="Times New Roman"/>
          <w:b/>
          <w:i/>
          <w:sz w:val="24"/>
          <w:szCs w:val="24"/>
        </w:rPr>
        <w:t xml:space="preserve">: </w:t>
      </w:r>
      <w:r w:rsidRPr="00BE4AF3">
        <w:rPr>
          <w:rFonts w:ascii="Times New Roman" w:hAnsi="Times New Roman" w:cs="Times New Roman"/>
          <w:sz w:val="24"/>
          <w:szCs w:val="24"/>
        </w:rPr>
        <w:t xml:space="preserve">Sanitation and Economic Development: Making an Economic Case for  </w:t>
      </w:r>
      <w:r w:rsidRPr="00BE4AF3">
        <w:rPr>
          <w:rFonts w:ascii="Times New Roman" w:hAnsi="Times New Roman" w:cs="Times New Roman"/>
          <w:sz w:val="24"/>
          <w:szCs w:val="24"/>
        </w:rPr>
        <w:tab/>
        <w:t xml:space="preserve">the MDG Orphan. A water Aid Discussion </w:t>
      </w:r>
      <w:r w:rsidRPr="00BE4AF3">
        <w:rPr>
          <w:rFonts w:ascii="Times New Roman" w:hAnsi="Times New Roman" w:cs="Times New Roman"/>
          <w:i/>
          <w:sz w:val="24"/>
          <w:szCs w:val="24"/>
        </w:rPr>
        <w:t xml:space="preserve">Paper </w:t>
      </w:r>
      <w:r w:rsidRPr="00BE4AF3">
        <w:rPr>
          <w:rFonts w:ascii="Times New Roman" w:hAnsi="Times New Roman" w:cs="Times New Roman"/>
          <w:i/>
          <w:sz w:val="24"/>
          <w:szCs w:val="24"/>
        </w:rPr>
        <w:tab/>
      </w:r>
      <w:hyperlink r:id="rId234" w:history="1">
        <w:r w:rsidRPr="00BE4AF3">
          <w:rPr>
            <w:rStyle w:val="Hyperlink"/>
            <w:rFonts w:ascii="Times New Roman" w:hAnsi="Times New Roman" w:cs="Times New Roman"/>
            <w:i/>
            <w:sz w:val="24"/>
            <w:szCs w:val="24"/>
          </w:rPr>
          <w:t>http://www.dewpoint.org.uk/Article.Aspx?Article</w:t>
        </w:r>
      </w:hyperlink>
      <w:r w:rsidRPr="00BE4AF3">
        <w:rPr>
          <w:rFonts w:ascii="Times New Roman" w:hAnsi="Times New Roman" w:cs="Times New Roman"/>
          <w:i/>
          <w:sz w:val="24"/>
          <w:szCs w:val="24"/>
        </w:rPr>
        <w:t xml:space="preserve"> ID=732 Accessed Online in </w:t>
      </w:r>
      <w:r w:rsidRPr="00BE4AF3">
        <w:rPr>
          <w:rFonts w:ascii="Times New Roman" w:hAnsi="Times New Roman" w:cs="Times New Roman"/>
          <w:i/>
          <w:sz w:val="24"/>
          <w:szCs w:val="24"/>
        </w:rPr>
        <w:tab/>
        <w:t>November, 2014.</w:t>
      </w:r>
    </w:p>
    <w:p w14:paraId="148CD97F" w14:textId="77777777" w:rsidR="0057538F" w:rsidRDefault="00BE4AF3" w:rsidP="00C86F13">
      <w:pPr>
        <w:spacing w:after="0" w:line="240" w:lineRule="auto"/>
        <w:jc w:val="both"/>
        <w:rPr>
          <w:rFonts w:ascii="Times New Roman" w:hAnsi="Times New Roman" w:cs="Times New Roman"/>
          <w:i/>
          <w:sz w:val="24"/>
          <w:szCs w:val="24"/>
        </w:rPr>
      </w:pPr>
      <w:r w:rsidRPr="00BE4AF3">
        <w:rPr>
          <w:rFonts w:ascii="Times New Roman" w:hAnsi="Times New Roman" w:cs="Times New Roman"/>
          <w:sz w:val="24"/>
          <w:szCs w:val="24"/>
        </w:rPr>
        <w:t xml:space="preserve">Kersh. I. and Simon, L. (2015): Urban sustainability in developing countries’ megacities: </w:t>
      </w:r>
      <w:r w:rsidRPr="00BE4AF3">
        <w:rPr>
          <w:rFonts w:ascii="Times New Roman" w:hAnsi="Times New Roman" w:cs="Times New Roman"/>
          <w:sz w:val="24"/>
          <w:szCs w:val="24"/>
        </w:rPr>
        <w:tab/>
        <w:t xml:space="preserve">modelling and predicting future urban growth in Lagos. </w:t>
      </w:r>
      <w:r w:rsidRPr="00BE4AF3">
        <w:rPr>
          <w:rFonts w:ascii="Times New Roman" w:hAnsi="Times New Roman" w:cs="Times New Roman"/>
          <w:i/>
          <w:sz w:val="24"/>
          <w:szCs w:val="24"/>
        </w:rPr>
        <w:t xml:space="preserve">Cities, Vol. 20, No.  5, p. </w:t>
      </w:r>
      <w:r w:rsidRPr="00BE4AF3">
        <w:rPr>
          <w:rFonts w:ascii="Times New Roman" w:hAnsi="Times New Roman" w:cs="Times New Roman"/>
          <w:i/>
          <w:sz w:val="24"/>
          <w:szCs w:val="24"/>
        </w:rPr>
        <w:tab/>
        <w:t>297–</w:t>
      </w:r>
    </w:p>
    <w:p w14:paraId="76495DC2" w14:textId="2B021E14" w:rsidR="00BE4AF3" w:rsidRPr="00BE4AF3" w:rsidRDefault="0057538F" w:rsidP="00C86F13">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           </w:t>
      </w:r>
      <w:r w:rsidR="00BE4AF3" w:rsidRPr="00BE4AF3">
        <w:rPr>
          <w:rFonts w:ascii="Times New Roman" w:hAnsi="Times New Roman" w:cs="Times New Roman"/>
          <w:i/>
          <w:sz w:val="24"/>
          <w:szCs w:val="24"/>
        </w:rPr>
        <w:t xml:space="preserve">310  </w:t>
      </w:r>
    </w:p>
    <w:p w14:paraId="779EDE26" w14:textId="77777777" w:rsidR="00BE4AF3" w:rsidRPr="00BE4AF3" w:rsidRDefault="00BE4AF3" w:rsidP="00C86F13">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 xml:space="preserve">Lai, H. (2009): Design for Social Sustainability Community well-being http:// www. </w:t>
      </w:r>
      <w:r w:rsidRPr="00BE4AF3">
        <w:rPr>
          <w:rFonts w:ascii="Times New Roman" w:hAnsi="Times New Roman" w:cs="Times New Roman"/>
          <w:sz w:val="24"/>
          <w:szCs w:val="24"/>
        </w:rPr>
        <w:tab/>
        <w:t>Future Communities.net/Social Design</w:t>
      </w:r>
    </w:p>
    <w:p w14:paraId="24BD4F9E" w14:textId="77777777" w:rsidR="00BE4AF3" w:rsidRPr="00BE4AF3" w:rsidRDefault="00BE4AF3" w:rsidP="00C86F13">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 xml:space="preserve">Lutz, W., Sanderson, W, and Scherbov, S. (2008): The Coming Acceleration of Global  </w:t>
      </w:r>
      <w:r w:rsidRPr="00BE4AF3">
        <w:rPr>
          <w:rFonts w:ascii="Times New Roman" w:hAnsi="Times New Roman" w:cs="Times New Roman"/>
          <w:sz w:val="24"/>
          <w:szCs w:val="24"/>
        </w:rPr>
        <w:tab/>
        <w:t xml:space="preserve">Population Ageing, Nature. 451, 716–719, doi: 10.1038/ nature 06516. Management: </w:t>
      </w:r>
      <w:r w:rsidRPr="00BE4AF3">
        <w:rPr>
          <w:rFonts w:ascii="Times New Roman" w:hAnsi="Times New Roman" w:cs="Times New Roman"/>
          <w:sz w:val="24"/>
          <w:szCs w:val="24"/>
        </w:rPr>
        <w:tab/>
        <w:t>A guide for South Asia: Sri Lanka</w:t>
      </w:r>
    </w:p>
    <w:p w14:paraId="0DA424F6" w14:textId="77777777" w:rsidR="00BE4AF3" w:rsidRPr="00BE4AF3" w:rsidRDefault="00BE4AF3" w:rsidP="00C86F13">
      <w:pPr>
        <w:widowControl w:val="0"/>
        <w:autoSpaceDE w:val="0"/>
        <w:autoSpaceDN w:val="0"/>
        <w:adjustRightInd w:val="0"/>
        <w:snapToGrid w:val="0"/>
        <w:spacing w:after="0" w:line="240" w:lineRule="auto"/>
        <w:ind w:left="630" w:hanging="630"/>
        <w:jc w:val="both"/>
        <w:rPr>
          <w:rFonts w:ascii="Times New Roman" w:hAnsi="Times New Roman" w:cs="Times New Roman"/>
          <w:sz w:val="24"/>
          <w:szCs w:val="24"/>
        </w:rPr>
      </w:pPr>
      <w:r w:rsidRPr="00BE4AF3">
        <w:rPr>
          <w:rFonts w:ascii="Times New Roman" w:hAnsi="Times New Roman" w:cs="Times New Roman"/>
          <w:sz w:val="24"/>
          <w:szCs w:val="24"/>
        </w:rPr>
        <w:t xml:space="preserve">Mabogunje, A. L. (1968): </w:t>
      </w:r>
      <w:r w:rsidRPr="00BE4AF3">
        <w:rPr>
          <w:rFonts w:ascii="Times New Roman" w:hAnsi="Times New Roman" w:cs="Times New Roman"/>
          <w:iCs/>
          <w:sz w:val="24"/>
          <w:szCs w:val="24"/>
        </w:rPr>
        <w:t>Urbanization in Nigeria</w:t>
      </w:r>
      <w:r w:rsidRPr="00BE4AF3">
        <w:rPr>
          <w:rFonts w:ascii="Times New Roman" w:hAnsi="Times New Roman" w:cs="Times New Roman"/>
          <w:i/>
          <w:iCs/>
          <w:sz w:val="24"/>
          <w:szCs w:val="24"/>
        </w:rPr>
        <w:t xml:space="preserve">. </w:t>
      </w:r>
      <w:r w:rsidRPr="00BE4AF3">
        <w:rPr>
          <w:rFonts w:ascii="Times New Roman" w:hAnsi="Times New Roman" w:cs="Times New Roman"/>
          <w:i/>
          <w:sz w:val="24"/>
          <w:szCs w:val="24"/>
        </w:rPr>
        <w:t>University of London Press, London</w:t>
      </w:r>
    </w:p>
    <w:p w14:paraId="6D2AAC8F" w14:textId="77777777" w:rsidR="00BE4AF3" w:rsidRPr="00BE4AF3" w:rsidRDefault="00BE4AF3" w:rsidP="00C86F13">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 xml:space="preserve">Marans K.Y. and Stinson Z.O.(2021): Pressure- State- Response Framework: Review of state </w:t>
      </w:r>
      <w:r w:rsidRPr="00BE4AF3">
        <w:rPr>
          <w:rFonts w:ascii="Times New Roman" w:hAnsi="Times New Roman" w:cs="Times New Roman"/>
          <w:sz w:val="24"/>
          <w:szCs w:val="24"/>
        </w:rPr>
        <w:tab/>
        <w:t xml:space="preserve">of the Environment Reporting, Report prepared for Taranaki Regional Council. Earth </w:t>
      </w:r>
      <w:r w:rsidRPr="00BE4AF3">
        <w:rPr>
          <w:rFonts w:ascii="Times New Roman" w:hAnsi="Times New Roman" w:cs="Times New Roman"/>
          <w:sz w:val="24"/>
          <w:szCs w:val="24"/>
        </w:rPr>
        <w:tab/>
        <w:t>scan Publications Ltd London, Uk</w:t>
      </w:r>
    </w:p>
    <w:p w14:paraId="192AD6D3" w14:textId="77777777" w:rsidR="00BE4AF3" w:rsidRPr="00BE4AF3" w:rsidRDefault="00BE4AF3" w:rsidP="00C86F1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National Emergency Management Agency, NEMA (2012): Annual report on Flood, Official </w:t>
      </w:r>
      <w:r w:rsidRPr="00BE4AF3">
        <w:rPr>
          <w:rFonts w:ascii="Times New Roman" w:hAnsi="Times New Roman" w:cs="Times New Roman"/>
          <w:sz w:val="24"/>
          <w:szCs w:val="24"/>
        </w:rPr>
        <w:tab/>
        <w:t>gazette, Abuja</w:t>
      </w:r>
    </w:p>
    <w:p w14:paraId="1B800D49" w14:textId="77777777" w:rsidR="00BE4AF3" w:rsidRPr="00BE4AF3" w:rsidRDefault="00BE4AF3" w:rsidP="00C86F1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Nigeria Metrological Agency Niment (2011): Official gazette o Rainfall data of Onitsha </w:t>
      </w:r>
      <w:r w:rsidRPr="00BE4AF3">
        <w:rPr>
          <w:rFonts w:ascii="Times New Roman" w:hAnsi="Times New Roman" w:cs="Times New Roman"/>
          <w:sz w:val="24"/>
          <w:szCs w:val="24"/>
        </w:rPr>
        <w:tab/>
        <w:t>Station. Anambra State</w:t>
      </w:r>
    </w:p>
    <w:p w14:paraId="1A8A5894" w14:textId="77777777" w:rsidR="00BE4AF3" w:rsidRPr="00BE4AF3" w:rsidRDefault="00BE4AF3" w:rsidP="00C86F13">
      <w:pPr>
        <w:spacing w:after="0" w:line="240" w:lineRule="auto"/>
        <w:rPr>
          <w:rFonts w:ascii="Times New Roman" w:hAnsi="Times New Roman" w:cs="Times New Roman"/>
          <w:i/>
          <w:sz w:val="24"/>
          <w:szCs w:val="24"/>
        </w:rPr>
      </w:pPr>
      <w:r w:rsidRPr="00BE4AF3">
        <w:rPr>
          <w:rFonts w:ascii="Times New Roman" w:hAnsi="Times New Roman" w:cs="Times New Roman"/>
          <w:sz w:val="24"/>
          <w:szCs w:val="24"/>
        </w:rPr>
        <w:t xml:space="preserve">Ofori G, and Chain S.L. (2021):Factors Influencing development of Construction </w:t>
      </w:r>
      <w:r w:rsidRPr="00BE4AF3">
        <w:rPr>
          <w:rFonts w:ascii="Times New Roman" w:hAnsi="Times New Roman" w:cs="Times New Roman"/>
          <w:sz w:val="24"/>
          <w:szCs w:val="24"/>
        </w:rPr>
        <w:tab/>
        <w:t xml:space="preserve">Enterprises </w:t>
      </w:r>
      <w:r w:rsidRPr="00BE4AF3">
        <w:rPr>
          <w:rFonts w:ascii="Times New Roman" w:hAnsi="Times New Roman" w:cs="Times New Roman"/>
          <w:sz w:val="24"/>
          <w:szCs w:val="24"/>
        </w:rPr>
        <w:tab/>
        <w:t>in Singapore,</w:t>
      </w:r>
      <w:r w:rsidRPr="00BE4AF3">
        <w:rPr>
          <w:rFonts w:ascii="Times New Roman" w:hAnsi="Times New Roman" w:cs="Times New Roman"/>
          <w:i/>
          <w:sz w:val="24"/>
          <w:szCs w:val="24"/>
        </w:rPr>
        <w:t xml:space="preserve"> Construction Management and Econmics,145-154.</w:t>
      </w:r>
    </w:p>
    <w:p w14:paraId="4874DBF0" w14:textId="77777777" w:rsidR="00BE4AF3" w:rsidRPr="00BE4AF3" w:rsidRDefault="00BE4AF3" w:rsidP="00C86F13">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 xml:space="preserve">Oherein, D.H and Cordery, F.S (2924): Flood Runoff in D.R madmen handbook of hydrology </w:t>
      </w:r>
      <w:r w:rsidRPr="00BE4AF3">
        <w:rPr>
          <w:rFonts w:ascii="Times New Roman" w:hAnsi="Times New Roman" w:cs="Times New Roman"/>
          <w:sz w:val="24"/>
          <w:szCs w:val="24"/>
        </w:rPr>
        <w:tab/>
        <w:t>first Edition New York: McGrow-Hill Int. Page 91-94.</w:t>
      </w:r>
    </w:p>
    <w:p w14:paraId="46266C8A" w14:textId="77777777" w:rsidR="00BE4AF3" w:rsidRPr="00BE4AF3" w:rsidRDefault="00BE4AF3" w:rsidP="00C86F1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Okewole, J O (2007): he challenges of growth and development in metropolitan Lagos. In </w:t>
      </w:r>
      <w:r w:rsidRPr="00BE4AF3">
        <w:rPr>
          <w:rFonts w:ascii="Times New Roman" w:hAnsi="Times New Roman" w:cs="Times New Roman"/>
          <w:sz w:val="24"/>
          <w:szCs w:val="24"/>
        </w:rPr>
        <w:tab/>
        <w:t xml:space="preserve">The urban challenge in Africa: growth and management of its large cities, (ed.) C </w:t>
      </w:r>
      <w:r w:rsidRPr="00BE4AF3">
        <w:rPr>
          <w:rFonts w:ascii="Times New Roman" w:hAnsi="Times New Roman" w:cs="Times New Roman"/>
          <w:sz w:val="24"/>
          <w:szCs w:val="24"/>
        </w:rPr>
        <w:tab/>
        <w:t xml:space="preserve">Rakodi., Pp  192–222. United Nations University Press </w:t>
      </w:r>
    </w:p>
    <w:p w14:paraId="4B1EC89E" w14:textId="77777777" w:rsidR="00BE4AF3" w:rsidRPr="00BE4AF3" w:rsidRDefault="00BE4AF3" w:rsidP="00C86F13">
      <w:pPr>
        <w:tabs>
          <w:tab w:val="left" w:pos="720"/>
        </w:tabs>
        <w:autoSpaceDE w:val="0"/>
        <w:autoSpaceDN w:val="0"/>
        <w:adjustRightInd w:val="0"/>
        <w:spacing w:after="0" w:line="240" w:lineRule="auto"/>
        <w:ind w:left="630" w:hanging="630"/>
        <w:jc w:val="both"/>
        <w:rPr>
          <w:rFonts w:ascii="Times New Roman" w:hAnsi="Times New Roman" w:cs="Times New Roman"/>
          <w:i/>
          <w:sz w:val="24"/>
          <w:szCs w:val="24"/>
        </w:rPr>
      </w:pPr>
      <w:r w:rsidRPr="00BE4AF3">
        <w:rPr>
          <w:rFonts w:ascii="Times New Roman" w:eastAsia="Times New Roman" w:hAnsi="Times New Roman" w:cs="Times New Roman"/>
          <w:sz w:val="24"/>
          <w:szCs w:val="24"/>
        </w:rPr>
        <w:t>Olawuni O.P. and Popoola A.S. (2023): Hazard reduction Strategies in Flood-prone Area of Ibadan Oyo state, Nigeria: Journal of Geography Department,</w:t>
      </w:r>
      <w:r w:rsidRPr="00BE4AF3">
        <w:rPr>
          <w:rFonts w:ascii="Times New Roman" w:hAnsi="Times New Roman" w:cs="Times New Roman"/>
          <w:i/>
          <w:sz w:val="24"/>
          <w:szCs w:val="24"/>
        </w:rPr>
        <w:t xml:space="preserve"> Obafemi Awolowo University, Ile-Ife. Nigeria.</w:t>
      </w:r>
    </w:p>
    <w:p w14:paraId="7703311C" w14:textId="77777777" w:rsidR="00BE4AF3" w:rsidRPr="00BE4AF3" w:rsidRDefault="00BE4AF3" w:rsidP="00C86F13">
      <w:pPr>
        <w:autoSpaceDE w:val="0"/>
        <w:autoSpaceDN w:val="0"/>
        <w:adjustRightInd w:val="0"/>
        <w:spacing w:after="0" w:line="240" w:lineRule="auto"/>
        <w:ind w:left="720" w:hanging="72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Olokesusi. Femi (2018): Financing Disaster mitigation in Nigeria; the Imperative of Public-Private Partnerships, in Ojo O.E and Ogundimu. A. (eds) Proceedings of the Consultative lauch of the National Platform of stakeholders in Disaster Risk reduction in Nigeria National Emergency Management Agency, Abuja 2010 Pg41-54</w:t>
      </w:r>
    </w:p>
    <w:p w14:paraId="507FE599" w14:textId="77777777" w:rsidR="00BE4AF3" w:rsidRPr="00BE4AF3" w:rsidRDefault="00BE4AF3" w:rsidP="00C86F13">
      <w:pPr>
        <w:autoSpaceDE w:val="0"/>
        <w:autoSpaceDN w:val="0"/>
        <w:adjustRightInd w:val="0"/>
        <w:spacing w:after="0" w:line="240" w:lineRule="auto"/>
        <w:ind w:left="720" w:hanging="720"/>
        <w:jc w:val="both"/>
        <w:rPr>
          <w:rFonts w:ascii="Times New Roman" w:eastAsia="Times New Roman" w:hAnsi="Times New Roman" w:cs="Times New Roman"/>
          <w:i/>
          <w:sz w:val="24"/>
          <w:szCs w:val="24"/>
        </w:rPr>
      </w:pPr>
      <w:r w:rsidRPr="00BE4AF3">
        <w:rPr>
          <w:rFonts w:ascii="Times New Roman" w:eastAsia="Times New Roman" w:hAnsi="Times New Roman" w:cs="Times New Roman"/>
          <w:sz w:val="24"/>
          <w:szCs w:val="24"/>
        </w:rPr>
        <w:t>Olorunfemi J.O (2021): Public perception of Environmental Quality in Ibadan and Lagos. In H.I Ajaegbu and W.T. Morgan (eds</w:t>
      </w:r>
      <w:r w:rsidRPr="00BE4AF3">
        <w:rPr>
          <w:rFonts w:ascii="Times New Roman" w:eastAsia="Times New Roman" w:hAnsi="Times New Roman" w:cs="Times New Roman"/>
          <w:i/>
          <w:sz w:val="24"/>
          <w:szCs w:val="24"/>
        </w:rPr>
        <w:t>). Geographers and Planning in Nigeria No 21 proceedings: 21</w:t>
      </w:r>
      <w:r w:rsidRPr="00BE4AF3">
        <w:rPr>
          <w:rFonts w:ascii="Times New Roman" w:eastAsia="Times New Roman" w:hAnsi="Times New Roman" w:cs="Times New Roman"/>
          <w:i/>
          <w:sz w:val="24"/>
          <w:szCs w:val="24"/>
          <w:vertAlign w:val="superscript"/>
        </w:rPr>
        <w:t>st</w:t>
      </w:r>
      <w:r w:rsidRPr="00BE4AF3">
        <w:rPr>
          <w:rFonts w:ascii="Times New Roman" w:eastAsia="Times New Roman" w:hAnsi="Times New Roman" w:cs="Times New Roman"/>
          <w:i/>
          <w:sz w:val="24"/>
          <w:szCs w:val="24"/>
        </w:rPr>
        <w:t xml:space="preserve"> Annual General Conference. Nigeria Geographical Association. University of Jos 2-8 April, 2021.</w:t>
      </w:r>
    </w:p>
    <w:p w14:paraId="5598041C" w14:textId="77777777" w:rsidR="00BE4AF3" w:rsidRPr="00BE4AF3" w:rsidRDefault="00BE4AF3" w:rsidP="00C86F13">
      <w:pPr>
        <w:autoSpaceDE w:val="0"/>
        <w:autoSpaceDN w:val="0"/>
        <w:adjustRightInd w:val="0"/>
        <w:spacing w:after="0" w:line="240" w:lineRule="auto"/>
        <w:ind w:left="720" w:hanging="720"/>
        <w:jc w:val="both"/>
        <w:rPr>
          <w:rFonts w:ascii="Times New Roman" w:eastAsia="Times New Roman" w:hAnsi="Times New Roman" w:cs="Times New Roman"/>
          <w:i/>
          <w:sz w:val="24"/>
          <w:szCs w:val="24"/>
        </w:rPr>
      </w:pPr>
      <w:r w:rsidRPr="00BE4AF3">
        <w:rPr>
          <w:rFonts w:ascii="Times New Roman" w:eastAsia="Times New Roman" w:hAnsi="Times New Roman" w:cs="Times New Roman"/>
          <w:sz w:val="24"/>
          <w:szCs w:val="24"/>
        </w:rPr>
        <w:t>Oluwadare, D.B. (2015):Residents, Quality of Life in Seme Border Settlements, Nigeria</w:t>
      </w:r>
      <w:r w:rsidRPr="00BE4AF3">
        <w:rPr>
          <w:rFonts w:ascii="Times New Roman" w:eastAsia="Times New Roman" w:hAnsi="Times New Roman" w:cs="Times New Roman"/>
          <w:i/>
          <w:sz w:val="24"/>
          <w:szCs w:val="24"/>
        </w:rPr>
        <w:t>.Anun published M.Sc thesis submitted to department of Urban and Regional Planning Obafemi Awolowo University Ile-Ife</w:t>
      </w:r>
    </w:p>
    <w:p w14:paraId="43E284BB" w14:textId="77777777" w:rsidR="00BE4AF3" w:rsidRPr="00BE4AF3" w:rsidRDefault="00BE4AF3" w:rsidP="00C86F13">
      <w:pPr>
        <w:spacing w:after="0" w:line="240" w:lineRule="auto"/>
        <w:jc w:val="both"/>
        <w:rPr>
          <w:rFonts w:ascii="Times New Roman" w:hAnsi="Times New Roman" w:cs="Times New Roman"/>
          <w:bCs/>
          <w:i/>
          <w:sz w:val="24"/>
          <w:szCs w:val="24"/>
        </w:rPr>
      </w:pPr>
      <w:r w:rsidRPr="00BE4AF3">
        <w:rPr>
          <w:rFonts w:ascii="Times New Roman" w:hAnsi="Times New Roman" w:cs="Times New Roman"/>
          <w:bCs/>
          <w:sz w:val="24"/>
          <w:szCs w:val="24"/>
        </w:rPr>
        <w:t>Onibokun, A.L (2008</w:t>
      </w:r>
      <w:r w:rsidRPr="00BE4AF3">
        <w:rPr>
          <w:rFonts w:ascii="Times New Roman" w:hAnsi="Times New Roman" w:cs="Times New Roman"/>
          <w:bCs/>
          <w:i/>
          <w:sz w:val="24"/>
          <w:szCs w:val="24"/>
        </w:rPr>
        <w:t xml:space="preserve">): </w:t>
      </w:r>
      <w:r w:rsidRPr="00BE4AF3">
        <w:rPr>
          <w:rFonts w:ascii="Times New Roman" w:hAnsi="Times New Roman" w:cs="Times New Roman"/>
          <w:bCs/>
          <w:sz w:val="24"/>
          <w:szCs w:val="24"/>
        </w:rPr>
        <w:t>Yoruba Towns, University of Ibadan press, Ibadan, Nigeria</w:t>
      </w:r>
      <w:r w:rsidRPr="00BE4AF3">
        <w:rPr>
          <w:rFonts w:ascii="Times New Roman" w:hAnsi="Times New Roman" w:cs="Times New Roman"/>
          <w:bCs/>
          <w:i/>
          <w:sz w:val="24"/>
          <w:szCs w:val="24"/>
        </w:rPr>
        <w:t>.</w:t>
      </w:r>
    </w:p>
    <w:p w14:paraId="640ADC9D" w14:textId="77777777" w:rsidR="00BE4AF3" w:rsidRPr="00BE4AF3" w:rsidRDefault="00BE4AF3" w:rsidP="00C86F13">
      <w:pPr>
        <w:autoSpaceDE w:val="0"/>
        <w:autoSpaceDN w:val="0"/>
        <w:adjustRightInd w:val="0"/>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lastRenderedPageBreak/>
        <w:t xml:space="preserve">Pearl, D. C., Cabral, P., and Mateu, J. (2020): Mapping the Quality of Life Experience in Alfama: A Case Study in Lisbon, Portugal. In B. Murgante, O. Gervasi, A. Iglesias, D. TaniarandB. Apduhan (Eds.), Computational Science and Its Applications - ICCSA 2011 (6782: 269-283): </w:t>
      </w:r>
      <w:r w:rsidRPr="00BE4AF3">
        <w:rPr>
          <w:rFonts w:ascii="Times New Roman" w:hAnsi="Times New Roman" w:cs="Times New Roman"/>
          <w:i/>
          <w:sz w:val="24"/>
          <w:szCs w:val="24"/>
        </w:rPr>
        <w:t>Springer</w:t>
      </w:r>
      <w:r w:rsidRPr="00BE4AF3">
        <w:rPr>
          <w:rFonts w:ascii="Times New Roman" w:hAnsi="Times New Roman" w:cs="Times New Roman"/>
          <w:sz w:val="24"/>
          <w:szCs w:val="24"/>
        </w:rPr>
        <w:t xml:space="preserve"> Berlin / Heidelberg. </w:t>
      </w:r>
    </w:p>
    <w:p w14:paraId="0FBE5558" w14:textId="77777777" w:rsidR="00BE4AF3" w:rsidRPr="00BE4AF3" w:rsidRDefault="00BE4AF3" w:rsidP="00C86F13">
      <w:pPr>
        <w:spacing w:after="0" w:line="240" w:lineRule="auto"/>
        <w:jc w:val="both"/>
        <w:rPr>
          <w:rFonts w:ascii="Times New Roman" w:hAnsi="Times New Roman" w:cs="Times New Roman"/>
          <w:bCs/>
          <w:i/>
          <w:sz w:val="24"/>
          <w:szCs w:val="24"/>
        </w:rPr>
      </w:pPr>
      <w:r w:rsidRPr="00BE4AF3">
        <w:rPr>
          <w:rFonts w:ascii="Times New Roman" w:hAnsi="Times New Roman" w:cs="Times New Roman"/>
          <w:bCs/>
          <w:sz w:val="24"/>
          <w:szCs w:val="24"/>
        </w:rPr>
        <w:t>Popoola A.S (2019): Residents’</w:t>
      </w:r>
      <w:r w:rsidRPr="00BE4AF3">
        <w:rPr>
          <w:rFonts w:ascii="Times New Roman" w:hAnsi="Times New Roman" w:cs="Times New Roman"/>
          <w:bCs/>
          <w:i/>
          <w:sz w:val="24"/>
          <w:szCs w:val="24"/>
        </w:rPr>
        <w:t xml:space="preserve"> </w:t>
      </w:r>
      <w:r w:rsidRPr="00BE4AF3">
        <w:rPr>
          <w:rFonts w:ascii="Times New Roman" w:hAnsi="Times New Roman" w:cs="Times New Roman"/>
          <w:bCs/>
          <w:sz w:val="24"/>
          <w:szCs w:val="24"/>
        </w:rPr>
        <w:t>Quality of Life in Flood-Prone Area of Ibadan Nigeria</w:t>
      </w:r>
      <w:r w:rsidRPr="00BE4AF3">
        <w:rPr>
          <w:rFonts w:ascii="Times New Roman" w:hAnsi="Times New Roman" w:cs="Times New Roman"/>
          <w:bCs/>
          <w:i/>
          <w:sz w:val="24"/>
          <w:szCs w:val="24"/>
        </w:rPr>
        <w:t>, Ph.D</w:t>
      </w:r>
      <w:r w:rsidRPr="00BE4AF3">
        <w:rPr>
          <w:rFonts w:ascii="Times New Roman" w:hAnsi="Times New Roman" w:cs="Times New Roman"/>
          <w:bCs/>
          <w:i/>
          <w:sz w:val="24"/>
          <w:szCs w:val="24"/>
        </w:rPr>
        <w:tab/>
        <w:t xml:space="preserve">Thesis Published Submitted to Urban and Regional Planning Department, Hezekiah </w:t>
      </w:r>
      <w:r w:rsidRPr="00BE4AF3">
        <w:rPr>
          <w:rFonts w:ascii="Times New Roman" w:hAnsi="Times New Roman" w:cs="Times New Roman"/>
          <w:bCs/>
          <w:i/>
          <w:sz w:val="24"/>
          <w:szCs w:val="24"/>
        </w:rPr>
        <w:tab/>
        <w:t>Oluwasanmi Library, Obafemi Awolowo University, Ile-Ife, Nigeria.</w:t>
      </w:r>
    </w:p>
    <w:p w14:paraId="13DCD070" w14:textId="77777777" w:rsidR="00BE4AF3" w:rsidRPr="00BE4AF3" w:rsidRDefault="00BE4AF3" w:rsidP="00C86F13">
      <w:pPr>
        <w:spacing w:after="0" w:line="240" w:lineRule="auto"/>
        <w:jc w:val="both"/>
        <w:rPr>
          <w:rFonts w:ascii="Times New Roman" w:hAnsi="Times New Roman" w:cs="Times New Roman"/>
          <w:i/>
          <w:sz w:val="24"/>
          <w:szCs w:val="24"/>
        </w:rPr>
      </w:pPr>
      <w:r w:rsidRPr="00BE4AF3">
        <w:rPr>
          <w:rFonts w:ascii="Times New Roman" w:hAnsi="Times New Roman" w:cs="Times New Roman"/>
          <w:sz w:val="24"/>
          <w:szCs w:val="24"/>
        </w:rPr>
        <w:t>Popoola A.S</w:t>
      </w:r>
      <w:r w:rsidRPr="00BE4AF3">
        <w:rPr>
          <w:rFonts w:ascii="Times New Roman" w:hAnsi="Times New Roman" w:cs="Times New Roman"/>
          <w:b/>
          <w:sz w:val="24"/>
          <w:szCs w:val="24"/>
        </w:rPr>
        <w:t>.</w:t>
      </w:r>
      <w:r w:rsidRPr="00BE4AF3">
        <w:rPr>
          <w:rFonts w:ascii="Times New Roman" w:hAnsi="Times New Roman" w:cs="Times New Roman"/>
          <w:sz w:val="24"/>
          <w:szCs w:val="24"/>
        </w:rPr>
        <w:t xml:space="preserve"> Dada O.T. and Igbalajobi O.J (2025): Perception of Residents’ Socio-Economic </w:t>
      </w:r>
      <w:r w:rsidRPr="00BE4AF3">
        <w:rPr>
          <w:rFonts w:ascii="Times New Roman" w:hAnsi="Times New Roman" w:cs="Times New Roman"/>
          <w:sz w:val="24"/>
          <w:szCs w:val="24"/>
        </w:rPr>
        <w:tab/>
        <w:t>Status</w:t>
      </w:r>
      <w:r w:rsidRPr="00BE4AF3">
        <w:rPr>
          <w:rFonts w:ascii="Times New Roman" w:hAnsi="Times New Roman" w:cs="Times New Roman"/>
          <w:sz w:val="24"/>
          <w:szCs w:val="24"/>
        </w:rPr>
        <w:tab/>
        <w:t xml:space="preserve">on Quality of Housing Environment in Flood-Prone Area of Ibadan, Nigeria, </w:t>
      </w:r>
      <w:r w:rsidRPr="00BE4AF3">
        <w:rPr>
          <w:rFonts w:ascii="Times New Roman" w:hAnsi="Times New Roman" w:cs="Times New Roman"/>
          <w:sz w:val="24"/>
          <w:szCs w:val="24"/>
        </w:rPr>
        <w:tab/>
      </w:r>
      <w:r w:rsidRPr="00BE4AF3">
        <w:rPr>
          <w:rFonts w:ascii="Times New Roman" w:hAnsi="Times New Roman" w:cs="Times New Roman"/>
          <w:i/>
          <w:sz w:val="24"/>
          <w:szCs w:val="24"/>
        </w:rPr>
        <w:t>Journal of Nigeria Institute of Town Planning</w:t>
      </w:r>
      <w:r w:rsidRPr="00BE4AF3">
        <w:rPr>
          <w:rFonts w:ascii="Times New Roman" w:hAnsi="Times New Roman" w:cs="Times New Roman"/>
          <w:b/>
          <w:i/>
          <w:sz w:val="24"/>
          <w:szCs w:val="24"/>
        </w:rPr>
        <w:t xml:space="preserve"> </w:t>
      </w:r>
      <w:r w:rsidRPr="00BE4AF3">
        <w:rPr>
          <w:rFonts w:ascii="Times New Roman" w:hAnsi="Times New Roman" w:cs="Times New Roman"/>
          <w:i/>
          <w:sz w:val="24"/>
          <w:szCs w:val="24"/>
        </w:rPr>
        <w:t>Vol. 2 No 2 2025</w:t>
      </w:r>
    </w:p>
    <w:p w14:paraId="19350665" w14:textId="77777777" w:rsidR="00BE4AF3" w:rsidRPr="00BE4AF3" w:rsidRDefault="00BE4AF3" w:rsidP="00C86F13">
      <w:pPr>
        <w:autoSpaceDE w:val="0"/>
        <w:autoSpaceDN w:val="0"/>
        <w:adjustRightInd w:val="0"/>
        <w:spacing w:after="0" w:line="240" w:lineRule="auto"/>
        <w:jc w:val="both"/>
        <w:rPr>
          <w:rFonts w:ascii="Times New Roman" w:eastAsia="Times New Roman" w:hAnsi="Times New Roman" w:cs="Times New Roman"/>
          <w:i/>
          <w:sz w:val="24"/>
          <w:szCs w:val="24"/>
        </w:rPr>
      </w:pPr>
      <w:r w:rsidRPr="00BE4AF3">
        <w:rPr>
          <w:rFonts w:ascii="Times New Roman" w:eastAsia="Times New Roman" w:hAnsi="Times New Roman" w:cs="Times New Roman"/>
          <w:sz w:val="24"/>
          <w:szCs w:val="24"/>
          <w:u w:val="single"/>
        </w:rPr>
        <w:t>Prakash, G.</w:t>
      </w:r>
      <w:r w:rsidRPr="00BE4AF3">
        <w:rPr>
          <w:rFonts w:ascii="Times New Roman" w:eastAsia="Times New Roman" w:hAnsi="Times New Roman" w:cs="Times New Roman"/>
          <w:sz w:val="24"/>
          <w:szCs w:val="24"/>
        </w:rPr>
        <w:t xml:space="preserve">. (2005): Rapid Changing Dynamics of Urbanization in China: </w:t>
      </w:r>
      <w:r w:rsidRPr="00BE4AF3">
        <w:rPr>
          <w:rFonts w:ascii="Times New Roman" w:eastAsia="Times New Roman" w:hAnsi="Times New Roman" w:cs="Times New Roman"/>
          <w:sz w:val="24"/>
          <w:szCs w:val="24"/>
        </w:rPr>
        <w:tab/>
        <w:t xml:space="preserve">Escalating </w:t>
      </w:r>
      <w:r w:rsidRPr="00BE4AF3">
        <w:rPr>
          <w:rFonts w:ascii="Times New Roman" w:eastAsia="Times New Roman" w:hAnsi="Times New Roman" w:cs="Times New Roman"/>
          <w:sz w:val="24"/>
          <w:szCs w:val="24"/>
        </w:rPr>
        <w:tab/>
        <w:t xml:space="preserve">Regional inequalities and Urban Management problems. </w:t>
      </w:r>
      <w:r w:rsidRPr="00BE4AF3">
        <w:rPr>
          <w:rFonts w:ascii="Times New Roman" w:eastAsia="Times New Roman" w:hAnsi="Times New Roman" w:cs="Times New Roman"/>
          <w:i/>
          <w:sz w:val="24"/>
          <w:szCs w:val="24"/>
        </w:rPr>
        <w:t xml:space="preserve">Journal of Sustainable </w:t>
      </w:r>
      <w:r w:rsidRPr="00BE4AF3">
        <w:rPr>
          <w:rFonts w:ascii="Times New Roman" w:eastAsia="Times New Roman" w:hAnsi="Times New Roman" w:cs="Times New Roman"/>
          <w:i/>
          <w:sz w:val="24"/>
          <w:szCs w:val="24"/>
        </w:rPr>
        <w:tab/>
        <w:t xml:space="preserve">Development, </w:t>
      </w:r>
      <w:r w:rsidRPr="00BE4AF3">
        <w:rPr>
          <w:rFonts w:ascii="Times New Roman" w:eastAsia="Times New Roman" w:hAnsi="Times New Roman" w:cs="Times New Roman"/>
          <w:i/>
          <w:sz w:val="24"/>
          <w:szCs w:val="24"/>
        </w:rPr>
        <w:tab/>
        <w:t>Vol.  3 (2).</w:t>
      </w:r>
    </w:p>
    <w:p w14:paraId="224322E4" w14:textId="77777777" w:rsidR="00BE4AF3" w:rsidRPr="00BE4AF3" w:rsidRDefault="00BE4AF3" w:rsidP="00C86F13">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 xml:space="preserve">Reacher A.G. (2024): The Relationship between Environmental Quality Level and Housing </w:t>
      </w:r>
      <w:r w:rsidRPr="00BE4AF3">
        <w:rPr>
          <w:rFonts w:ascii="Times New Roman" w:hAnsi="Times New Roman" w:cs="Times New Roman"/>
          <w:sz w:val="24"/>
          <w:szCs w:val="24"/>
        </w:rPr>
        <w:tab/>
        <w:t>sale prices in Istanbul Metropolitan area. ITU A-Z 6(11): 60-70</w:t>
      </w:r>
    </w:p>
    <w:p w14:paraId="049E4246" w14:textId="77777777" w:rsidR="00BE4AF3" w:rsidRPr="00BE4AF3" w:rsidRDefault="00BE4AF3" w:rsidP="00C86F13">
      <w:pPr>
        <w:autoSpaceDE w:val="0"/>
        <w:autoSpaceDN w:val="0"/>
        <w:adjustRightInd w:val="0"/>
        <w:spacing w:after="0" w:line="240" w:lineRule="auto"/>
        <w:ind w:left="720" w:hanging="72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Straler and Straler, M.J. (2021): Adaptive Changes in the self-concept during a life transition. Personality and Social Psychology Bulletin, 2009; 23:98-989.</w:t>
      </w:r>
    </w:p>
    <w:p w14:paraId="466128CF" w14:textId="77777777" w:rsidR="00BE4AF3" w:rsidRPr="00BE4AF3" w:rsidRDefault="00BE4AF3" w:rsidP="00C86F13">
      <w:pPr>
        <w:spacing w:after="0" w:line="240" w:lineRule="auto"/>
        <w:rPr>
          <w:rFonts w:ascii="Times New Roman" w:hAnsi="Times New Roman" w:cs="Times New Roman"/>
          <w:i/>
          <w:sz w:val="24"/>
          <w:szCs w:val="24"/>
        </w:rPr>
      </w:pPr>
      <w:r w:rsidRPr="00BE4AF3">
        <w:rPr>
          <w:rFonts w:ascii="Times New Roman" w:hAnsi="Times New Roman" w:cs="Times New Roman"/>
          <w:sz w:val="24"/>
          <w:szCs w:val="24"/>
        </w:rPr>
        <w:t xml:space="preserve"> Tabachinic. R.C and Fidell, T. (2016): Waterlogged: Pakistani Children push a motorbike </w:t>
      </w:r>
      <w:r w:rsidRPr="00BE4AF3">
        <w:rPr>
          <w:rFonts w:ascii="Times New Roman" w:hAnsi="Times New Roman" w:cs="Times New Roman"/>
          <w:sz w:val="24"/>
          <w:szCs w:val="24"/>
        </w:rPr>
        <w:tab/>
        <w:t xml:space="preserve">through flooded streets after rain in Lahorerin. </w:t>
      </w:r>
      <w:r w:rsidRPr="00BE4AF3">
        <w:rPr>
          <w:rFonts w:ascii="Times New Roman" w:hAnsi="Times New Roman" w:cs="Times New Roman"/>
          <w:i/>
          <w:sz w:val="24"/>
          <w:szCs w:val="24"/>
        </w:rPr>
        <w:t>The Wall Street Journal, London</w:t>
      </w:r>
    </w:p>
    <w:p w14:paraId="18675B94" w14:textId="77777777" w:rsidR="00BE4AF3" w:rsidRPr="00BE4AF3" w:rsidRDefault="00BE4AF3" w:rsidP="0057538F">
      <w:pPr>
        <w:spacing w:after="0" w:line="240" w:lineRule="auto"/>
        <w:ind w:left="709" w:hanging="709"/>
        <w:rPr>
          <w:rFonts w:ascii="Times New Roman" w:hAnsi="Times New Roman" w:cs="Times New Roman"/>
          <w:i/>
          <w:sz w:val="24"/>
          <w:szCs w:val="24"/>
        </w:rPr>
      </w:pPr>
      <w:r w:rsidRPr="00BE4AF3">
        <w:rPr>
          <w:rFonts w:ascii="Times New Roman" w:hAnsi="Times New Roman" w:cs="Times New Roman"/>
          <w:sz w:val="24"/>
          <w:szCs w:val="24"/>
        </w:rPr>
        <w:t xml:space="preserve">Trost S.M., and Oberlender, G. D (2023): Predicting Accuracy of Early Cost Estimates </w:t>
      </w:r>
      <w:r w:rsidRPr="00BE4AF3">
        <w:rPr>
          <w:rFonts w:ascii="Times New Roman" w:hAnsi="Times New Roman" w:cs="Times New Roman"/>
          <w:sz w:val="24"/>
          <w:szCs w:val="24"/>
        </w:rPr>
        <w:tab/>
        <w:t xml:space="preserve">Using factors Analysis and Multivariance Regression. </w:t>
      </w:r>
      <w:r w:rsidRPr="00BE4AF3">
        <w:rPr>
          <w:rFonts w:ascii="Times New Roman" w:hAnsi="Times New Roman" w:cs="Times New Roman"/>
          <w:i/>
          <w:sz w:val="24"/>
          <w:szCs w:val="24"/>
        </w:rPr>
        <w:t xml:space="preserve">Journal of Construction </w:t>
      </w:r>
      <w:r w:rsidRPr="00BE4AF3">
        <w:rPr>
          <w:rFonts w:ascii="Times New Roman" w:hAnsi="Times New Roman" w:cs="Times New Roman"/>
          <w:i/>
          <w:sz w:val="24"/>
          <w:szCs w:val="24"/>
        </w:rPr>
        <w:tab/>
        <w:t xml:space="preserve">Engineering and Management, 129 (2). </w:t>
      </w:r>
    </w:p>
    <w:p w14:paraId="5030F017" w14:textId="77777777" w:rsidR="00BE4AF3" w:rsidRPr="00BE4AF3" w:rsidRDefault="00BE4AF3" w:rsidP="0057538F">
      <w:pPr>
        <w:autoSpaceDE w:val="0"/>
        <w:autoSpaceDN w:val="0"/>
        <w:adjustRightInd w:val="0"/>
        <w:spacing w:after="0" w:line="240" w:lineRule="auto"/>
        <w:ind w:left="709" w:hanging="709"/>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Ugwuorah A.N. (2022): “The Relevance of the Urban and Regional Law (Decree. 88 of </w:t>
      </w:r>
      <w:r w:rsidRPr="00BE4AF3">
        <w:rPr>
          <w:rFonts w:ascii="Times New Roman" w:eastAsia="Times New Roman" w:hAnsi="Times New Roman" w:cs="Times New Roman"/>
          <w:sz w:val="24"/>
          <w:szCs w:val="24"/>
        </w:rPr>
        <w:tab/>
        <w:t xml:space="preserve">1992) to environmental Management in Port Harcourt Metropolis” </w:t>
      </w:r>
      <w:r w:rsidRPr="00BE4AF3">
        <w:rPr>
          <w:rFonts w:ascii="Times New Roman" w:eastAsia="Times New Roman" w:hAnsi="Times New Roman" w:cs="Times New Roman"/>
          <w:i/>
          <w:sz w:val="24"/>
          <w:szCs w:val="24"/>
        </w:rPr>
        <w:t xml:space="preserve">Unpublished </w:t>
      </w:r>
      <w:r w:rsidRPr="00BE4AF3">
        <w:rPr>
          <w:rFonts w:ascii="Times New Roman" w:eastAsia="Times New Roman" w:hAnsi="Times New Roman" w:cs="Times New Roman"/>
          <w:i/>
          <w:sz w:val="24"/>
          <w:szCs w:val="24"/>
        </w:rPr>
        <w:tab/>
        <w:t xml:space="preserve">M.Phil.Thesis, Department of Environmental Management, Institute of Geosciences </w:t>
      </w:r>
      <w:r w:rsidRPr="00BE4AF3">
        <w:rPr>
          <w:rFonts w:ascii="Times New Roman" w:eastAsia="Times New Roman" w:hAnsi="Times New Roman" w:cs="Times New Roman"/>
          <w:i/>
          <w:sz w:val="24"/>
          <w:szCs w:val="24"/>
        </w:rPr>
        <w:tab/>
        <w:t>and Space Technology, RSUST, Port-Harcourt.</w:t>
      </w:r>
    </w:p>
    <w:p w14:paraId="00778C75" w14:textId="77777777" w:rsidR="00BE4AF3" w:rsidRPr="00BE4AF3" w:rsidRDefault="00BE4AF3" w:rsidP="00C86F13">
      <w:pPr>
        <w:pStyle w:val="Bibliography"/>
        <w:spacing w:after="0" w:line="240" w:lineRule="auto"/>
        <w:ind w:left="720" w:hanging="720"/>
        <w:rPr>
          <w:rFonts w:ascii="Times New Roman" w:hAnsi="Times New Roman" w:cs="Times New Roman"/>
          <w:i/>
          <w:sz w:val="24"/>
          <w:szCs w:val="24"/>
        </w:rPr>
      </w:pPr>
      <w:r w:rsidRPr="00BE4AF3">
        <w:rPr>
          <w:rFonts w:ascii="Times New Roman" w:hAnsi="Times New Roman" w:cs="Times New Roman"/>
          <w:sz w:val="24"/>
          <w:szCs w:val="24"/>
        </w:rPr>
        <w:t>United Nation Habitant,(2017</w:t>
      </w:r>
      <w:r w:rsidRPr="00BE4AF3">
        <w:rPr>
          <w:rFonts w:ascii="Times New Roman" w:hAnsi="Times New Roman" w:cs="Times New Roman"/>
          <w:i/>
          <w:sz w:val="24"/>
          <w:szCs w:val="24"/>
        </w:rPr>
        <w:t xml:space="preserve">): </w:t>
      </w:r>
      <w:r w:rsidRPr="00BE4AF3">
        <w:rPr>
          <w:rFonts w:ascii="Times New Roman" w:hAnsi="Times New Roman" w:cs="Times New Roman"/>
          <w:sz w:val="24"/>
          <w:szCs w:val="24"/>
        </w:rPr>
        <w:t>State of the world cities 2016/2017</w:t>
      </w:r>
      <w:r w:rsidRPr="00BE4AF3">
        <w:rPr>
          <w:rFonts w:ascii="Times New Roman" w:hAnsi="Times New Roman" w:cs="Times New Roman"/>
          <w:i/>
          <w:sz w:val="24"/>
          <w:szCs w:val="24"/>
        </w:rPr>
        <w:t xml:space="preserve">, Earth Scan International Review of Social Science and Humanities, Vol. 2 No 1 (20015) Pp 176- 185 </w:t>
      </w:r>
    </w:p>
    <w:p w14:paraId="05541FC7" w14:textId="77777777" w:rsidR="00BE4AF3" w:rsidRPr="00BE4AF3" w:rsidRDefault="00BE4AF3" w:rsidP="00C86F13">
      <w:pPr>
        <w:spacing w:after="0" w:line="240" w:lineRule="auto"/>
        <w:rPr>
          <w:rFonts w:ascii="Times New Roman" w:hAnsi="Times New Roman" w:cs="Times New Roman"/>
          <w:b/>
          <w:i/>
          <w:sz w:val="24"/>
          <w:szCs w:val="24"/>
        </w:rPr>
      </w:pPr>
      <w:r w:rsidRPr="00BE4AF3">
        <w:rPr>
          <w:rFonts w:ascii="Times New Roman" w:hAnsi="Times New Roman" w:cs="Times New Roman"/>
          <w:sz w:val="24"/>
          <w:szCs w:val="24"/>
        </w:rPr>
        <w:t xml:space="preserve">Velicer and Fava (2008): Effects of Variables and Subject Sampling on factors pattern </w:t>
      </w:r>
      <w:r w:rsidRPr="00BE4AF3">
        <w:rPr>
          <w:rFonts w:ascii="Times New Roman" w:hAnsi="Times New Roman" w:cs="Times New Roman"/>
          <w:sz w:val="24"/>
          <w:szCs w:val="24"/>
        </w:rPr>
        <w:tab/>
        <w:t>recovery.</w:t>
      </w:r>
      <w:r w:rsidRPr="00BE4AF3">
        <w:rPr>
          <w:rFonts w:ascii="Times New Roman" w:hAnsi="Times New Roman" w:cs="Times New Roman"/>
          <w:i/>
          <w:sz w:val="24"/>
          <w:szCs w:val="24"/>
        </w:rPr>
        <w:t xml:space="preserve"> Psychological Methods, 3:231-251</w:t>
      </w:r>
      <w:r w:rsidRPr="00BE4AF3">
        <w:rPr>
          <w:rFonts w:ascii="Times New Roman" w:hAnsi="Times New Roman" w:cs="Times New Roman"/>
          <w:b/>
          <w:i/>
          <w:sz w:val="24"/>
          <w:szCs w:val="24"/>
        </w:rPr>
        <w:t>.</w:t>
      </w:r>
    </w:p>
    <w:p w14:paraId="0753BC69" w14:textId="77777777" w:rsidR="00BE4AF3" w:rsidRPr="00BE4AF3" w:rsidRDefault="00BE4AF3" w:rsidP="00C86F13">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Wahab, B. (2016): Town planning and entrepreneurship nexus, Paper Presented at the 2</w:t>
      </w:r>
      <w:r w:rsidRPr="00BE4AF3">
        <w:rPr>
          <w:rFonts w:ascii="Times New Roman" w:hAnsi="Times New Roman" w:cs="Times New Roman"/>
          <w:sz w:val="24"/>
          <w:szCs w:val="24"/>
          <w:vertAlign w:val="superscript"/>
        </w:rPr>
        <w:t>nd</w:t>
      </w:r>
      <w:r w:rsidRPr="00BE4AF3">
        <w:rPr>
          <w:rFonts w:ascii="Times New Roman" w:hAnsi="Times New Roman" w:cs="Times New Roman"/>
          <w:sz w:val="24"/>
          <w:szCs w:val="24"/>
        </w:rPr>
        <w:t xml:space="preserve"> Leg </w:t>
      </w:r>
      <w:r w:rsidRPr="00BE4AF3">
        <w:rPr>
          <w:rFonts w:ascii="Times New Roman" w:hAnsi="Times New Roman" w:cs="Times New Roman"/>
          <w:sz w:val="24"/>
          <w:szCs w:val="24"/>
        </w:rPr>
        <w:tab/>
        <w:t xml:space="preserve">of Mandatory Continuing Professional Planning Education Programme held at City </w:t>
      </w:r>
      <w:r w:rsidRPr="00BE4AF3">
        <w:rPr>
          <w:rFonts w:ascii="Times New Roman" w:hAnsi="Times New Roman" w:cs="Times New Roman"/>
          <w:sz w:val="24"/>
          <w:szCs w:val="24"/>
        </w:rPr>
        <w:tab/>
        <w:t>Global Hotels, Oweri by 28</w:t>
      </w:r>
      <w:r w:rsidRPr="00BE4AF3">
        <w:rPr>
          <w:rFonts w:ascii="Times New Roman" w:hAnsi="Times New Roman" w:cs="Times New Roman"/>
          <w:sz w:val="24"/>
          <w:szCs w:val="24"/>
          <w:vertAlign w:val="superscript"/>
        </w:rPr>
        <w:t>th</w:t>
      </w:r>
      <w:r w:rsidRPr="00BE4AF3">
        <w:rPr>
          <w:rFonts w:ascii="Times New Roman" w:hAnsi="Times New Roman" w:cs="Times New Roman"/>
          <w:sz w:val="24"/>
          <w:szCs w:val="24"/>
        </w:rPr>
        <w:t xml:space="preserve"> and 29</w:t>
      </w:r>
      <w:r w:rsidRPr="00BE4AF3">
        <w:rPr>
          <w:rFonts w:ascii="Times New Roman" w:hAnsi="Times New Roman" w:cs="Times New Roman"/>
          <w:sz w:val="24"/>
          <w:szCs w:val="24"/>
          <w:vertAlign w:val="superscript"/>
        </w:rPr>
        <w:t>th</w:t>
      </w:r>
      <w:r w:rsidRPr="00BE4AF3">
        <w:rPr>
          <w:rFonts w:ascii="Times New Roman" w:hAnsi="Times New Roman" w:cs="Times New Roman"/>
          <w:sz w:val="24"/>
          <w:szCs w:val="24"/>
        </w:rPr>
        <w:t xml:space="preserve"> September, 2016, PP 23-42</w:t>
      </w:r>
    </w:p>
    <w:p w14:paraId="326FC013" w14:textId="77777777" w:rsidR="00BE4AF3" w:rsidRPr="00BE4AF3" w:rsidRDefault="00BE4AF3" w:rsidP="00C86F13">
      <w:pPr>
        <w:spacing w:after="0" w:line="240" w:lineRule="auto"/>
        <w:rPr>
          <w:rFonts w:ascii="Times New Roman" w:hAnsi="Times New Roman" w:cs="Times New Roman"/>
          <w:sz w:val="24"/>
          <w:szCs w:val="24"/>
        </w:rPr>
      </w:pPr>
      <w:r w:rsidRPr="00BE4AF3">
        <w:rPr>
          <w:rFonts w:ascii="Times New Roman" w:hAnsi="Times New Roman" w:cs="Times New Roman"/>
          <w:sz w:val="24"/>
          <w:szCs w:val="24"/>
        </w:rPr>
        <w:t xml:space="preserve"> Welch, H., Symons, P. and Narver, D. (2018): Some Effects of Potato Farming and Forest </w:t>
      </w:r>
      <w:r w:rsidRPr="00BE4AF3">
        <w:rPr>
          <w:rFonts w:ascii="Times New Roman" w:hAnsi="Times New Roman" w:cs="Times New Roman"/>
          <w:sz w:val="24"/>
          <w:szCs w:val="24"/>
        </w:rPr>
        <w:tab/>
        <w:t xml:space="preserve">Clear Cutting on New Brunswick Streams, Fisheries and Marine Service. Environ. </w:t>
      </w:r>
      <w:r w:rsidRPr="00BE4AF3">
        <w:rPr>
          <w:rFonts w:ascii="Times New Roman" w:hAnsi="Times New Roman" w:cs="Times New Roman"/>
          <w:sz w:val="24"/>
          <w:szCs w:val="24"/>
        </w:rPr>
        <w:tab/>
        <w:t xml:space="preserve">Can. </w:t>
      </w:r>
      <w:r w:rsidRPr="00BE4AF3">
        <w:rPr>
          <w:rFonts w:ascii="Times New Roman" w:hAnsi="Times New Roman" w:cs="Times New Roman"/>
          <w:i/>
          <w:sz w:val="24"/>
          <w:szCs w:val="24"/>
        </w:rPr>
        <w:t>Technical Report No. 745, St. Andrew’s   New Brunswick</w:t>
      </w:r>
    </w:p>
    <w:p w14:paraId="04286EC1" w14:textId="77777777" w:rsidR="00BE4AF3" w:rsidRPr="00BE4AF3" w:rsidRDefault="00BE4AF3" w:rsidP="00C86F13">
      <w:pPr>
        <w:autoSpaceDE w:val="0"/>
        <w:autoSpaceDN w:val="0"/>
        <w:adjustRightInd w:val="0"/>
        <w:spacing w:after="0" w:line="240" w:lineRule="auto"/>
        <w:ind w:left="720" w:hanging="720"/>
        <w:jc w:val="both"/>
        <w:rPr>
          <w:rFonts w:ascii="Times New Roman" w:eastAsia="Times New Roman" w:hAnsi="Times New Roman" w:cs="Times New Roman"/>
          <w:sz w:val="24"/>
          <w:szCs w:val="24"/>
        </w:rPr>
      </w:pPr>
      <w:r w:rsidRPr="00BE4AF3">
        <w:rPr>
          <w:rFonts w:ascii="Times New Roman" w:eastAsia="Times New Roman" w:hAnsi="Times New Roman" w:cs="Times New Roman"/>
          <w:sz w:val="24"/>
          <w:szCs w:val="24"/>
        </w:rPr>
        <w:t xml:space="preserve">WHO-IASSID WORK PLAN (2000): Quality of Life its Conceptualization Measurements and Application. A Consensus Document. The Special Interest Research Group on Quality of Life, the International Association for the Scientist Study of Intellectual Disabilities. </w:t>
      </w:r>
      <w:hyperlink r:id="rId235" w:history="1">
        <w:r w:rsidRPr="00BE4AF3">
          <w:rPr>
            <w:rStyle w:val="Hyperlink"/>
            <w:rFonts w:ascii="Times New Roman" w:hAnsi="Times New Roman" w:cs="Times New Roman"/>
            <w:i/>
            <w:sz w:val="24"/>
            <w:szCs w:val="24"/>
          </w:rPr>
          <w:t>www.beachcenter</w:t>
        </w:r>
      </w:hyperlink>
      <w:r w:rsidRPr="00BE4AF3">
        <w:rPr>
          <w:rFonts w:ascii="Times New Roman" w:eastAsia="Times New Roman" w:hAnsi="Times New Roman" w:cs="Times New Roman"/>
          <w:i/>
          <w:sz w:val="24"/>
          <w:szCs w:val="24"/>
        </w:rPr>
        <w:t>. Org/boards/full publications Accessed 11/7/2008</w:t>
      </w:r>
    </w:p>
    <w:p w14:paraId="1E2DA39A" w14:textId="77777777" w:rsidR="00BE4AF3" w:rsidRPr="00BE4AF3" w:rsidRDefault="00BE4AF3" w:rsidP="00C86F13">
      <w:pPr>
        <w:autoSpaceDE w:val="0"/>
        <w:autoSpaceDN w:val="0"/>
        <w:adjustRightInd w:val="0"/>
        <w:spacing w:after="0" w:line="240" w:lineRule="auto"/>
        <w:ind w:left="720" w:hanging="720"/>
        <w:jc w:val="both"/>
        <w:rPr>
          <w:rFonts w:ascii="Times New Roman" w:eastAsia="Times New Roman" w:hAnsi="Times New Roman" w:cs="Times New Roman"/>
          <w:i/>
          <w:sz w:val="24"/>
          <w:szCs w:val="24"/>
        </w:rPr>
      </w:pPr>
      <w:r w:rsidRPr="00BE4AF3">
        <w:rPr>
          <w:rFonts w:ascii="Times New Roman" w:eastAsia="Times New Roman" w:hAnsi="Times New Roman" w:cs="Times New Roman"/>
          <w:sz w:val="24"/>
          <w:szCs w:val="24"/>
        </w:rPr>
        <w:t xml:space="preserve">World Health Organization (WHO) (2007):WHOQOL User Manual. WHO/MHN/MHP/98.4, downloaded from </w:t>
      </w:r>
      <w:hyperlink r:id="rId236" w:history="1">
        <w:r w:rsidRPr="00BE4AF3">
          <w:rPr>
            <w:rStyle w:val="Hyperlink"/>
            <w:rFonts w:ascii="Times New Roman" w:hAnsi="Times New Roman" w:cs="Times New Roman"/>
            <w:sz w:val="24"/>
            <w:szCs w:val="24"/>
          </w:rPr>
          <w:t>www.who</w:t>
        </w:r>
      </w:hyperlink>
      <w:r w:rsidRPr="00BE4AF3">
        <w:rPr>
          <w:rFonts w:ascii="Times New Roman" w:eastAsia="Times New Roman" w:hAnsi="Times New Roman" w:cs="Times New Roman"/>
          <w:sz w:val="24"/>
          <w:szCs w:val="24"/>
        </w:rPr>
        <w:t xml:space="preserve">. </w:t>
      </w:r>
      <w:r w:rsidRPr="00BE4AF3">
        <w:rPr>
          <w:rFonts w:ascii="Times New Roman" w:eastAsia="Times New Roman" w:hAnsi="Times New Roman" w:cs="Times New Roman"/>
          <w:i/>
          <w:sz w:val="24"/>
          <w:szCs w:val="24"/>
        </w:rPr>
        <w:t>Int/mental-health/evidence/who-qol-user-manual-98.pdf on September 16th, 2009.</w:t>
      </w:r>
    </w:p>
    <w:p w14:paraId="57EA1B58" w14:textId="77777777" w:rsidR="00BE4AF3" w:rsidRPr="00BE4AF3" w:rsidRDefault="00BE4AF3" w:rsidP="00C86F13">
      <w:pPr>
        <w:autoSpaceDE w:val="0"/>
        <w:autoSpaceDN w:val="0"/>
        <w:adjustRightInd w:val="0"/>
        <w:spacing w:after="0" w:line="240" w:lineRule="auto"/>
        <w:rPr>
          <w:rFonts w:ascii="Times New Roman" w:hAnsi="Times New Roman" w:cs="Times New Roman"/>
          <w:i/>
          <w:sz w:val="24"/>
          <w:szCs w:val="24"/>
        </w:rPr>
      </w:pPr>
      <w:r w:rsidRPr="00BE4AF3">
        <w:rPr>
          <w:rFonts w:ascii="Times New Roman" w:hAnsi="Times New Roman" w:cs="Times New Roman"/>
          <w:sz w:val="24"/>
          <w:szCs w:val="24"/>
        </w:rPr>
        <w:t xml:space="preserve">Wynne, A. (2018): Environmental Quality and Environmental Quality Profiles in Wikinson, </w:t>
      </w:r>
      <w:r w:rsidRPr="00BE4AF3">
        <w:rPr>
          <w:rFonts w:ascii="Times New Roman" w:hAnsi="Times New Roman" w:cs="Times New Roman"/>
          <w:sz w:val="24"/>
          <w:szCs w:val="24"/>
        </w:rPr>
        <w:tab/>
        <w:t xml:space="preserve">Need Quality in the Built Environment, </w:t>
      </w:r>
      <w:r w:rsidRPr="00BE4AF3">
        <w:rPr>
          <w:rFonts w:ascii="Times New Roman" w:hAnsi="Times New Roman" w:cs="Times New Roman"/>
          <w:i/>
          <w:sz w:val="24"/>
          <w:szCs w:val="24"/>
        </w:rPr>
        <w:t xml:space="preserve">Conference Proceedings, July 2008 New </w:t>
      </w:r>
      <w:r w:rsidRPr="00BE4AF3">
        <w:rPr>
          <w:rFonts w:ascii="Times New Roman" w:hAnsi="Times New Roman" w:cs="Times New Roman"/>
          <w:i/>
          <w:sz w:val="24"/>
          <w:szCs w:val="24"/>
        </w:rPr>
        <w:tab/>
        <w:t xml:space="preserve">Castle </w:t>
      </w:r>
      <w:r w:rsidRPr="00BE4AF3">
        <w:rPr>
          <w:rFonts w:ascii="Times New Roman" w:hAnsi="Times New Roman" w:cs="Times New Roman"/>
          <w:i/>
          <w:sz w:val="24"/>
          <w:szCs w:val="24"/>
        </w:rPr>
        <w:tab/>
        <w:t>upon Tyne. Open House International Association.</w:t>
      </w:r>
    </w:p>
    <w:p w14:paraId="4B27D4FC" w14:textId="77777777" w:rsidR="00ED4768" w:rsidRPr="00BE4AF3" w:rsidRDefault="00ED4768" w:rsidP="00ED4768">
      <w:pPr>
        <w:autoSpaceDE w:val="0"/>
        <w:autoSpaceDN w:val="0"/>
        <w:adjustRightInd w:val="0"/>
        <w:spacing w:after="0" w:line="240" w:lineRule="auto"/>
        <w:jc w:val="both"/>
        <w:rPr>
          <w:rFonts w:ascii="Times New Roman" w:hAnsi="Times New Roman" w:cs="Times New Roman"/>
          <w:color w:val="000000"/>
          <w:sz w:val="24"/>
          <w:szCs w:val="24"/>
        </w:rPr>
      </w:pPr>
    </w:p>
    <w:p w14:paraId="5222B577" w14:textId="77777777" w:rsidR="00BE4AF3" w:rsidRDefault="00BE4AF3" w:rsidP="00ED4768">
      <w:pPr>
        <w:autoSpaceDE w:val="0"/>
        <w:autoSpaceDN w:val="0"/>
        <w:adjustRightInd w:val="0"/>
        <w:spacing w:after="0" w:line="240" w:lineRule="auto"/>
        <w:jc w:val="both"/>
        <w:rPr>
          <w:rFonts w:ascii="Times New Roman" w:hAnsi="Times New Roman" w:cs="Times New Roman"/>
          <w:color w:val="000000"/>
          <w:sz w:val="24"/>
          <w:szCs w:val="24"/>
        </w:rPr>
      </w:pPr>
    </w:p>
    <w:p w14:paraId="456B885F" w14:textId="77777777" w:rsidR="0057538F" w:rsidRDefault="0057538F" w:rsidP="00ED4768">
      <w:pPr>
        <w:autoSpaceDE w:val="0"/>
        <w:autoSpaceDN w:val="0"/>
        <w:adjustRightInd w:val="0"/>
        <w:spacing w:after="0" w:line="240" w:lineRule="auto"/>
        <w:jc w:val="both"/>
        <w:rPr>
          <w:rFonts w:ascii="Times New Roman" w:hAnsi="Times New Roman" w:cs="Times New Roman"/>
          <w:color w:val="000000"/>
          <w:sz w:val="24"/>
          <w:szCs w:val="24"/>
        </w:rPr>
      </w:pPr>
    </w:p>
    <w:p w14:paraId="799F7183" w14:textId="77777777" w:rsidR="0057538F" w:rsidRPr="00BE4AF3" w:rsidRDefault="0057538F" w:rsidP="00ED4768">
      <w:pPr>
        <w:autoSpaceDE w:val="0"/>
        <w:autoSpaceDN w:val="0"/>
        <w:adjustRightInd w:val="0"/>
        <w:spacing w:after="0" w:line="240" w:lineRule="auto"/>
        <w:jc w:val="both"/>
        <w:rPr>
          <w:rFonts w:ascii="Times New Roman" w:hAnsi="Times New Roman" w:cs="Times New Roman"/>
          <w:color w:val="000000"/>
          <w:sz w:val="24"/>
          <w:szCs w:val="24"/>
        </w:rPr>
      </w:pPr>
    </w:p>
    <w:p w14:paraId="189881FB" w14:textId="77777777" w:rsidR="00ED4768" w:rsidRPr="00A1781F" w:rsidRDefault="00ED4768" w:rsidP="00ED4768">
      <w:pPr>
        <w:spacing w:after="0" w:line="240" w:lineRule="auto"/>
        <w:jc w:val="center"/>
        <w:rPr>
          <w:rFonts w:ascii="Times New Roman" w:hAnsi="Times New Roman" w:cs="Times New Roman"/>
          <w:b/>
          <w:sz w:val="28"/>
          <w:szCs w:val="28"/>
        </w:rPr>
      </w:pPr>
      <w:r w:rsidRPr="00A1781F">
        <w:rPr>
          <w:rFonts w:ascii="Times New Roman" w:hAnsi="Times New Roman" w:cs="Times New Roman"/>
          <w:b/>
          <w:sz w:val="28"/>
          <w:szCs w:val="28"/>
        </w:rPr>
        <w:lastRenderedPageBreak/>
        <w:t>Assessment of Micro Housing Development System And Household Socio Economic Characteristics in Minna, Niger State</w:t>
      </w:r>
    </w:p>
    <w:p w14:paraId="2DBF354E" w14:textId="77777777" w:rsidR="00ED4768" w:rsidRPr="00BE4AF3" w:rsidRDefault="00ED4768" w:rsidP="00ED4768">
      <w:pPr>
        <w:spacing w:after="0" w:line="240" w:lineRule="auto"/>
        <w:jc w:val="center"/>
        <w:rPr>
          <w:rFonts w:ascii="Times New Roman" w:hAnsi="Times New Roman" w:cs="Times New Roman"/>
          <w:b/>
          <w:sz w:val="24"/>
          <w:szCs w:val="24"/>
        </w:rPr>
      </w:pPr>
    </w:p>
    <w:p w14:paraId="1B6CB0E1" w14:textId="77777777" w:rsidR="00ED4768" w:rsidRPr="00BE4AF3" w:rsidRDefault="00ED4768" w:rsidP="008B649B">
      <w:pPr>
        <w:spacing w:after="0" w:line="240" w:lineRule="auto"/>
        <w:jc w:val="center"/>
        <w:rPr>
          <w:rFonts w:ascii="Times New Roman" w:hAnsi="Times New Roman" w:cs="Times New Roman"/>
          <w:sz w:val="24"/>
          <w:szCs w:val="24"/>
          <w:vertAlign w:val="superscript"/>
        </w:rPr>
      </w:pPr>
      <w:r w:rsidRPr="00BE4AF3">
        <w:rPr>
          <w:rFonts w:ascii="Times New Roman" w:hAnsi="Times New Roman" w:cs="Times New Roman"/>
          <w:sz w:val="24"/>
          <w:szCs w:val="24"/>
        </w:rPr>
        <w:t>*Bello Looqman Olasunkanmi</w:t>
      </w:r>
      <w:r w:rsidRPr="00BE4AF3">
        <w:rPr>
          <w:rFonts w:ascii="Times New Roman" w:hAnsi="Times New Roman" w:cs="Times New Roman"/>
          <w:sz w:val="24"/>
          <w:szCs w:val="24"/>
          <w:vertAlign w:val="superscript"/>
        </w:rPr>
        <w:t xml:space="preserve">1  </w:t>
      </w:r>
      <w:r w:rsidRPr="00BE4AF3">
        <w:rPr>
          <w:rFonts w:ascii="Times New Roman" w:hAnsi="Times New Roman" w:cs="Times New Roman"/>
          <w:sz w:val="24"/>
          <w:szCs w:val="24"/>
        </w:rPr>
        <w:t>and Bayo ThankGod Abinogueme</w:t>
      </w:r>
      <w:r w:rsidRPr="00BE4AF3">
        <w:rPr>
          <w:rFonts w:ascii="Times New Roman" w:hAnsi="Times New Roman" w:cs="Times New Roman"/>
          <w:sz w:val="24"/>
          <w:szCs w:val="24"/>
          <w:vertAlign w:val="superscript"/>
        </w:rPr>
        <w:t>2</w:t>
      </w:r>
    </w:p>
    <w:p w14:paraId="33CA5C6A" w14:textId="77777777" w:rsidR="00ED4768" w:rsidRPr="00BE4AF3" w:rsidRDefault="00ED4768" w:rsidP="00ED4768">
      <w:pPr>
        <w:spacing w:after="0" w:line="240" w:lineRule="auto"/>
        <w:ind w:left="720" w:firstLine="720"/>
        <w:jc w:val="both"/>
        <w:rPr>
          <w:rFonts w:ascii="Times New Roman" w:hAnsi="Times New Roman" w:cs="Times New Roman"/>
          <w:b/>
          <w:sz w:val="24"/>
          <w:szCs w:val="24"/>
        </w:rPr>
      </w:pPr>
    </w:p>
    <w:p w14:paraId="75481C95" w14:textId="77777777" w:rsidR="00ED4768" w:rsidRPr="00A1781F" w:rsidRDefault="00ED4768" w:rsidP="00ED4768">
      <w:pPr>
        <w:spacing w:after="0" w:line="240" w:lineRule="auto"/>
        <w:jc w:val="center"/>
        <w:rPr>
          <w:rFonts w:ascii="Times New Roman" w:hAnsi="Times New Roman" w:cs="Times New Roman"/>
          <w:sz w:val="20"/>
          <w:szCs w:val="20"/>
        </w:rPr>
      </w:pPr>
      <w:r w:rsidRPr="00A1781F">
        <w:rPr>
          <w:rFonts w:ascii="Times New Roman" w:hAnsi="Times New Roman" w:cs="Times New Roman"/>
          <w:sz w:val="20"/>
          <w:szCs w:val="20"/>
          <w:vertAlign w:val="superscript"/>
        </w:rPr>
        <w:t>1</w:t>
      </w:r>
      <w:r w:rsidRPr="00A1781F">
        <w:rPr>
          <w:rFonts w:ascii="Times New Roman" w:hAnsi="Times New Roman" w:cs="Times New Roman"/>
          <w:sz w:val="20"/>
          <w:szCs w:val="20"/>
        </w:rPr>
        <w:t>Department of Urban Regional Planning, Faculty of Environmental Sciences, Ladoke Akintola University of Technology, Ogbomoso, Oyo State</w:t>
      </w:r>
    </w:p>
    <w:p w14:paraId="6A7D644E" w14:textId="77777777" w:rsidR="00ED4768" w:rsidRPr="00A1781F" w:rsidRDefault="00ED4768" w:rsidP="00ED4768">
      <w:pPr>
        <w:spacing w:after="0" w:line="240" w:lineRule="auto"/>
        <w:jc w:val="center"/>
        <w:rPr>
          <w:rFonts w:ascii="Times New Roman" w:hAnsi="Times New Roman" w:cs="Times New Roman"/>
          <w:sz w:val="20"/>
          <w:szCs w:val="20"/>
        </w:rPr>
      </w:pPr>
      <w:r w:rsidRPr="00A1781F">
        <w:rPr>
          <w:rFonts w:ascii="Times New Roman" w:hAnsi="Times New Roman" w:cs="Times New Roman"/>
          <w:sz w:val="20"/>
          <w:szCs w:val="20"/>
          <w:vertAlign w:val="superscript"/>
        </w:rPr>
        <w:t>2</w:t>
      </w:r>
      <w:r w:rsidRPr="00A1781F">
        <w:rPr>
          <w:rFonts w:ascii="Times New Roman" w:hAnsi="Times New Roman" w:cs="Times New Roman"/>
          <w:sz w:val="20"/>
          <w:szCs w:val="20"/>
        </w:rPr>
        <w:t>Department of Urban Regional Planning, School of Environmental Studies, The Federal Polytechnic, Bida, Niger State</w:t>
      </w:r>
    </w:p>
    <w:p w14:paraId="677DFEFE" w14:textId="77777777" w:rsidR="008B649B" w:rsidRPr="00BE4AF3" w:rsidRDefault="008B649B" w:rsidP="00ED4768">
      <w:pPr>
        <w:spacing w:after="0" w:line="240" w:lineRule="auto"/>
        <w:jc w:val="center"/>
        <w:rPr>
          <w:rFonts w:ascii="Times New Roman" w:hAnsi="Times New Roman" w:cs="Times New Roman"/>
          <w:sz w:val="24"/>
          <w:szCs w:val="24"/>
        </w:rPr>
      </w:pPr>
    </w:p>
    <w:p w14:paraId="67AC3D5F" w14:textId="77777777" w:rsidR="00ED4768" w:rsidRPr="00BE4AF3" w:rsidRDefault="00ED4768" w:rsidP="008B649B">
      <w:pPr>
        <w:spacing w:after="0" w:line="240" w:lineRule="auto"/>
        <w:jc w:val="center"/>
        <w:rPr>
          <w:rFonts w:ascii="Times New Roman" w:hAnsi="Times New Roman" w:cs="Times New Roman"/>
          <w:b/>
          <w:sz w:val="24"/>
          <w:szCs w:val="24"/>
        </w:rPr>
      </w:pPr>
      <w:r w:rsidRPr="00BE4AF3">
        <w:rPr>
          <w:rFonts w:ascii="Times New Roman" w:hAnsi="Times New Roman" w:cs="Times New Roman"/>
          <w:sz w:val="24"/>
          <w:szCs w:val="24"/>
        </w:rPr>
        <w:t>*Corresponding Author: lobello@lautech.edu.ng</w:t>
      </w:r>
    </w:p>
    <w:p w14:paraId="55BB6351" w14:textId="77777777" w:rsidR="00ED4768" w:rsidRPr="00BE4AF3" w:rsidRDefault="00ED4768" w:rsidP="00ED4768">
      <w:pPr>
        <w:spacing w:after="0" w:line="240" w:lineRule="auto"/>
        <w:jc w:val="both"/>
        <w:rPr>
          <w:rFonts w:ascii="Times New Roman" w:hAnsi="Times New Roman" w:cs="Times New Roman"/>
          <w:b/>
          <w:sz w:val="24"/>
          <w:szCs w:val="24"/>
        </w:rPr>
      </w:pPr>
    </w:p>
    <w:p w14:paraId="10DDF34B" w14:textId="77777777" w:rsidR="008B649B" w:rsidRPr="00BE4AF3" w:rsidRDefault="008B649B" w:rsidP="00ED4768">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LICFES 2025-027 – FP34</w:t>
      </w:r>
    </w:p>
    <w:p w14:paraId="2DCB480F" w14:textId="77777777" w:rsidR="00ED4768" w:rsidRPr="00BE4AF3" w:rsidRDefault="00ED4768" w:rsidP="00ED4768">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 xml:space="preserve">Abstract </w:t>
      </w:r>
    </w:p>
    <w:p w14:paraId="6A9829AF" w14:textId="77777777" w:rsidR="00ED4768" w:rsidRPr="00BE4AF3" w:rsidRDefault="00ED4768" w:rsidP="00ED4768">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This study assessed micro housing development system and households in minna</w:t>
      </w:r>
      <w:r w:rsidRPr="00BE4AF3">
        <w:rPr>
          <w:rFonts w:ascii="Times New Roman" w:hAnsi="Times New Roman" w:cs="Times New Roman"/>
          <w:b/>
          <w:sz w:val="24"/>
          <w:szCs w:val="24"/>
        </w:rPr>
        <w:t xml:space="preserve">. </w:t>
      </w:r>
      <w:r w:rsidRPr="00BE4AF3">
        <w:rPr>
          <w:rFonts w:ascii="Times New Roman" w:hAnsi="Times New Roman" w:cs="Times New Roman"/>
          <w:sz w:val="24"/>
          <w:szCs w:val="24"/>
        </w:rPr>
        <w:t>The objectives include; to identify the type of micro housing, assess the socio economic characteristics of households and analyzed the factors responsible for the widespread of micro housing in the study area. The study area is a suburban in both</w:t>
      </w:r>
      <w:r w:rsidRPr="00BE4AF3">
        <w:rPr>
          <w:rFonts w:ascii="Times New Roman" w:eastAsia="Times New Roman" w:hAnsi="Times New Roman" w:cs="Times New Roman"/>
          <w:sz w:val="24"/>
          <w:szCs w:val="24"/>
        </w:rPr>
        <w:t xml:space="preserve"> </w:t>
      </w:r>
      <w:r w:rsidRPr="00BE4AF3">
        <w:rPr>
          <w:rFonts w:ascii="Times New Roman" w:hAnsi="Times New Roman" w:cs="Times New Roman"/>
          <w:sz w:val="24"/>
          <w:szCs w:val="24"/>
        </w:rPr>
        <w:t>Chanchaga and bosso Local Government</w:t>
      </w:r>
      <w:r w:rsidRPr="00BE4AF3">
        <w:rPr>
          <w:rFonts w:ascii="Times New Roman" w:eastAsia="Times New Roman" w:hAnsi="Times New Roman" w:cs="Times New Roman"/>
          <w:sz w:val="24"/>
          <w:szCs w:val="24"/>
        </w:rPr>
        <w:t xml:space="preserve"> of minna, the method employed are primary and secondary sources of </w:t>
      </w:r>
      <w:r w:rsidRPr="00BE4AF3">
        <w:rPr>
          <w:rFonts w:ascii="Times New Roman" w:hAnsi="Times New Roman" w:cs="Times New Roman"/>
          <w:sz w:val="24"/>
          <w:szCs w:val="24"/>
        </w:rPr>
        <w:t>data, a well structure questionnaire was produce to reflect the objectives of the study, one hundred and Ninety (190) questionnaires administer and a total 152 questionnaires were retrieved from the respondents. The data were analyzed using descriptive statistics and statistical package for social science (SPSS) was used to analyzed multiple regression to test variables that determine micro housing in the study area. However, finding revealed that 77.0% of the respondents were lower income earned who can barely complete their micro housing within three (3) years. It therefore implies that R=0.443 show</w:t>
      </w:r>
      <w:r w:rsidRPr="00BE4AF3">
        <w:rPr>
          <w:rFonts w:ascii="Times New Roman" w:hAnsi="Times New Roman" w:cs="Times New Roman"/>
          <w:sz w:val="24"/>
          <w:szCs w:val="24"/>
          <w:vertAlign w:val="superscript"/>
        </w:rPr>
        <w:t xml:space="preserve"> </w:t>
      </w:r>
      <w:r w:rsidRPr="00BE4AF3">
        <w:rPr>
          <w:rFonts w:ascii="Times New Roman" w:hAnsi="Times New Roman" w:cs="Times New Roman"/>
          <w:sz w:val="24"/>
          <w:szCs w:val="24"/>
        </w:rPr>
        <w:t>there is a weak positive relationship as established by the four independent variables and R</w:t>
      </w:r>
      <w:r w:rsidRPr="00BE4AF3">
        <w:rPr>
          <w:rFonts w:ascii="Times New Roman" w:hAnsi="Times New Roman" w:cs="Times New Roman"/>
          <w:sz w:val="24"/>
          <w:szCs w:val="24"/>
          <w:vertAlign w:val="superscript"/>
        </w:rPr>
        <w:t>2</w:t>
      </w:r>
      <w:r w:rsidRPr="00BE4AF3">
        <w:rPr>
          <w:rFonts w:ascii="Times New Roman" w:hAnsi="Times New Roman" w:cs="Times New Roman"/>
          <w:sz w:val="24"/>
          <w:szCs w:val="24"/>
        </w:rPr>
        <w:t>=19.6 revealed that size of micro housing and duration of completion are significant. The level of relationship is substantive as F- test also shows observed relationship is significant. The study revealed that there is no significant relationship between size of housing and income level viz viz other variables and recommend that basic facilities and services in the selected peri-urban neighborhoods are severely lacking or completely absent. Stakeholders should intervene by either upgrading existing infrastructure or provide essential services currently unavailable.</w:t>
      </w:r>
    </w:p>
    <w:p w14:paraId="6A840E4A" w14:textId="77777777" w:rsidR="00ED4768" w:rsidRPr="00BE4AF3" w:rsidRDefault="00ED4768" w:rsidP="00ED4768">
      <w:pPr>
        <w:spacing w:after="0" w:line="240" w:lineRule="auto"/>
        <w:jc w:val="both"/>
        <w:rPr>
          <w:rFonts w:ascii="Times New Roman" w:hAnsi="Times New Roman" w:cs="Times New Roman"/>
          <w:b/>
          <w:sz w:val="24"/>
          <w:szCs w:val="24"/>
        </w:rPr>
      </w:pPr>
    </w:p>
    <w:p w14:paraId="6725266A" w14:textId="77777777" w:rsidR="00ED4768" w:rsidRPr="00BE4AF3" w:rsidRDefault="00ED4768" w:rsidP="00ED4768">
      <w:pPr>
        <w:spacing w:after="0" w:line="240" w:lineRule="auto"/>
        <w:jc w:val="both"/>
        <w:rPr>
          <w:rFonts w:ascii="Times New Roman" w:hAnsi="Times New Roman" w:cs="Times New Roman"/>
          <w:sz w:val="24"/>
          <w:szCs w:val="24"/>
        </w:rPr>
      </w:pPr>
      <w:r w:rsidRPr="00F73B8E">
        <w:rPr>
          <w:rFonts w:ascii="Times New Roman" w:hAnsi="Times New Roman" w:cs="Times New Roman"/>
          <w:b/>
          <w:bCs/>
          <w:sz w:val="24"/>
          <w:szCs w:val="24"/>
        </w:rPr>
        <w:t>Keyword:</w:t>
      </w:r>
      <w:r w:rsidRPr="00BE4AF3">
        <w:rPr>
          <w:rFonts w:ascii="Times New Roman" w:hAnsi="Times New Roman" w:cs="Times New Roman"/>
          <w:sz w:val="24"/>
          <w:szCs w:val="24"/>
        </w:rPr>
        <w:t xml:space="preserve"> housing, micro housing, factors, poverty</w:t>
      </w:r>
    </w:p>
    <w:p w14:paraId="173FA22D" w14:textId="77777777" w:rsidR="00ED4768" w:rsidRPr="00BE4AF3" w:rsidRDefault="00ED4768" w:rsidP="00ED4768">
      <w:pPr>
        <w:autoSpaceDE w:val="0"/>
        <w:autoSpaceDN w:val="0"/>
        <w:adjustRightInd w:val="0"/>
        <w:spacing w:after="0" w:line="240" w:lineRule="auto"/>
        <w:jc w:val="both"/>
        <w:rPr>
          <w:rFonts w:ascii="Times New Roman" w:hAnsi="Times New Roman" w:cs="Times New Roman"/>
          <w:color w:val="000000"/>
          <w:sz w:val="24"/>
          <w:szCs w:val="24"/>
        </w:rPr>
      </w:pPr>
    </w:p>
    <w:p w14:paraId="7F3D60E0" w14:textId="77777777" w:rsidR="00BE4AF3" w:rsidRPr="00BE4AF3" w:rsidRDefault="00BE4AF3" w:rsidP="00BE4AF3">
      <w:pPr>
        <w:spacing w:after="0"/>
        <w:jc w:val="both"/>
        <w:rPr>
          <w:rFonts w:ascii="Times New Roman" w:hAnsi="Times New Roman" w:cs="Times New Roman"/>
          <w:b/>
          <w:sz w:val="24"/>
          <w:szCs w:val="24"/>
        </w:rPr>
      </w:pPr>
      <w:r w:rsidRPr="00BE4AF3">
        <w:rPr>
          <w:rFonts w:ascii="Times New Roman" w:hAnsi="Times New Roman" w:cs="Times New Roman"/>
          <w:b/>
          <w:sz w:val="24"/>
          <w:szCs w:val="24"/>
        </w:rPr>
        <w:t xml:space="preserve">Introduction </w:t>
      </w:r>
    </w:p>
    <w:p w14:paraId="70BA6AFB" w14:textId="77777777" w:rsidR="00BE4AF3" w:rsidRPr="00BE4AF3" w:rsidRDefault="00BE4AF3" w:rsidP="00BE4AF3">
      <w:pPr>
        <w:spacing w:after="0"/>
        <w:jc w:val="both"/>
        <w:rPr>
          <w:rFonts w:ascii="Times New Roman" w:hAnsi="Times New Roman" w:cs="Times New Roman"/>
          <w:sz w:val="24"/>
          <w:szCs w:val="24"/>
        </w:rPr>
      </w:pPr>
      <w:r w:rsidRPr="00BE4AF3">
        <w:rPr>
          <w:rFonts w:ascii="Times New Roman" w:hAnsi="Times New Roman" w:cs="Times New Roman"/>
          <w:sz w:val="24"/>
          <w:szCs w:val="24"/>
        </w:rPr>
        <w:t xml:space="preserve">Housing is widely recognized as a fundamental element of any society, playing a vital role in ensuring human comfort and well-being. The terminology ‘Housing’ has been used by some to mean having a unit of wall and roof under which people live whereas others see it as shelter and infrastructure around it (Moore, 2019). Safety, dignity, and privacy are important for any housing unit (AHA, 2022). Whatever the understanding, the problem remains to define and conceptualize ‘housing affordability’ to mean affordable ‘housing’ as a shelter for everyone. Moreover, as a basic human right, adequate housing is essential for achieving sustainable development (UN-Habitat, 2016). Bedemen (2012), stated that micro house is a relatively new style of apartment building that is becoming popular among the poor and people who want to save on rent. They are being built on land that was once too small to accommodate a home due to high rate of urbanization and high house rent in the city. Bedemen (2012) describes micro apartment as the apartment of the future, appealing especially to single people who do not require much space but </w:t>
      </w:r>
      <w:r w:rsidRPr="00BE4AF3">
        <w:rPr>
          <w:rFonts w:ascii="Times New Roman" w:hAnsi="Times New Roman" w:cs="Times New Roman"/>
          <w:sz w:val="24"/>
          <w:szCs w:val="24"/>
        </w:rPr>
        <w:lastRenderedPageBreak/>
        <w:t xml:space="preserve">want to live comfortably in the heart of the city. Cavallary (2012) was able to show that the material used to construct a micro house can vary according to the model chosen and financial capabilities. But most materials are chosen for their capital-saving capabilities as well as their strength and durability such as concrete block, mud, and aluminum roofing sheet. </w:t>
      </w:r>
    </w:p>
    <w:p w14:paraId="3AA717E5" w14:textId="77777777" w:rsidR="00BE4AF3" w:rsidRPr="00BE4AF3" w:rsidRDefault="00BE4AF3" w:rsidP="00BE4AF3">
      <w:pPr>
        <w:spacing w:after="0"/>
        <w:jc w:val="both"/>
        <w:rPr>
          <w:rFonts w:ascii="Times New Roman" w:hAnsi="Times New Roman" w:cs="Times New Roman"/>
          <w:sz w:val="24"/>
          <w:szCs w:val="24"/>
        </w:rPr>
      </w:pPr>
      <w:r w:rsidRPr="00BE4AF3">
        <w:rPr>
          <w:rFonts w:ascii="Times New Roman" w:hAnsi="Times New Roman" w:cs="Times New Roman"/>
          <w:sz w:val="24"/>
          <w:szCs w:val="24"/>
        </w:rPr>
        <w:t xml:space="preserve">Many developing nations especially in Africa face persistent housing-related challenges, including shortages, substandard quality, lack of affordability, limited accessibility, and sustainability concerns (Abdullahi, 2021; Ibem et al., 2011; Jolaoso et al., 2012; Ademiluyi, 2010; Ahmed &amp; Sipan, 2019). Nigeria, the most populous and urbanized country on the continent, with a population of approximately 211 million and an urbanization rate of 51% (World Bank, 2020), is currently contending with an estimated housing deficit of about 22 million units. One of the most critical components of housing development is land acquisition, which is heavily influenced by both the availability and cost of land factors that significantly shape overall housing prices. In many urban areas, especially at the fringes, the prevalence of poverty has led to the widespread emergence of informal and unauthorized housing, as low-income populations often lack the financial capacity to afford, construct, or maintain homes that meet established building standards (Oluwafemi, 2010).  </w:t>
      </w:r>
    </w:p>
    <w:p w14:paraId="374C77A5" w14:textId="77777777" w:rsidR="00BE4AF3" w:rsidRPr="00BE4AF3" w:rsidRDefault="00BE4AF3" w:rsidP="00BE4AF3">
      <w:pPr>
        <w:spacing w:after="0"/>
        <w:jc w:val="both"/>
        <w:rPr>
          <w:rFonts w:ascii="Times New Roman" w:hAnsi="Times New Roman" w:cs="Times New Roman"/>
          <w:sz w:val="24"/>
          <w:szCs w:val="24"/>
        </w:rPr>
      </w:pPr>
      <w:r w:rsidRPr="00BE4AF3">
        <w:rPr>
          <w:rFonts w:ascii="Times New Roman" w:hAnsi="Times New Roman" w:cs="Times New Roman"/>
          <w:sz w:val="24"/>
          <w:szCs w:val="24"/>
        </w:rPr>
        <w:t xml:space="preserve">The challenge of providing adequate and sustainable housing for rapidly growing urban populations remains a pressing issue across most states in Nigeria and the contributing factors include the high pace of urbanization, limited access to suitable land for development, escalating costs of construction materials, institutional inefficiencies, and barriers to housing finance (Agbola, 2005). In the study area, the development of micro houses on the urban periphery has become a common trend. This is largely due to the relatively small land size required for such units, the lower cost of land in these outlying areas, and the fact that micro housing remains the only affordable option for many low-income residents. These suggest that the high level of poverty of most urban households resort to constructing dwelling with all sorts of refuse materials on illegally occupies land. The buildings are badly maintained and lack sanitary facilities, light, air and privacy are grossly inadequate. Hence, the objectives of this study is to  identify the type of micro housing, assess the socio economic characteristics of households and analyzed the factors responsible for the widespread of micro housing in the study area. </w:t>
      </w:r>
    </w:p>
    <w:p w14:paraId="4C4F8D3B" w14:textId="77777777" w:rsidR="00F73B8E" w:rsidRDefault="00F73B8E" w:rsidP="00BE4AF3">
      <w:pPr>
        <w:spacing w:after="0"/>
        <w:jc w:val="both"/>
        <w:rPr>
          <w:rFonts w:ascii="Times New Roman" w:hAnsi="Times New Roman" w:cs="Times New Roman"/>
          <w:b/>
          <w:sz w:val="24"/>
          <w:szCs w:val="24"/>
        </w:rPr>
      </w:pPr>
    </w:p>
    <w:p w14:paraId="0B96CB6A" w14:textId="3B587A10" w:rsidR="00BE4AF3" w:rsidRPr="00BE4AF3" w:rsidRDefault="00BE4AF3" w:rsidP="00BE4AF3">
      <w:pPr>
        <w:spacing w:after="0"/>
        <w:jc w:val="both"/>
        <w:rPr>
          <w:rFonts w:ascii="Times New Roman" w:hAnsi="Times New Roman" w:cs="Times New Roman"/>
          <w:b/>
          <w:sz w:val="24"/>
          <w:szCs w:val="24"/>
        </w:rPr>
      </w:pPr>
      <w:r w:rsidRPr="00BE4AF3">
        <w:rPr>
          <w:rFonts w:ascii="Times New Roman" w:hAnsi="Times New Roman" w:cs="Times New Roman"/>
          <w:b/>
          <w:sz w:val="24"/>
          <w:szCs w:val="24"/>
        </w:rPr>
        <w:t>Material and Methods</w:t>
      </w:r>
    </w:p>
    <w:p w14:paraId="33064626" w14:textId="77777777" w:rsidR="00BE4AF3" w:rsidRPr="00BE4AF3" w:rsidRDefault="00BE4AF3" w:rsidP="00BE4AF3">
      <w:pPr>
        <w:jc w:val="both"/>
        <w:rPr>
          <w:rFonts w:ascii="Times New Roman" w:hAnsi="Times New Roman" w:cs="Times New Roman"/>
          <w:b/>
          <w:sz w:val="24"/>
          <w:szCs w:val="24"/>
        </w:rPr>
      </w:pPr>
      <w:r w:rsidRPr="00BE4AF3">
        <w:rPr>
          <w:rFonts w:ascii="Times New Roman" w:hAnsi="Times New Roman" w:cs="Times New Roman"/>
          <w:sz w:val="24"/>
          <w:szCs w:val="24"/>
        </w:rPr>
        <w:t>The study area are suburban in both</w:t>
      </w:r>
      <w:r w:rsidRPr="00BE4AF3">
        <w:rPr>
          <w:rFonts w:ascii="Times New Roman" w:eastAsia="Times New Roman" w:hAnsi="Times New Roman" w:cs="Times New Roman"/>
          <w:sz w:val="24"/>
          <w:szCs w:val="24"/>
        </w:rPr>
        <w:t xml:space="preserve"> </w:t>
      </w:r>
      <w:r w:rsidRPr="00BE4AF3">
        <w:rPr>
          <w:rFonts w:ascii="Times New Roman" w:hAnsi="Times New Roman" w:cs="Times New Roman"/>
          <w:sz w:val="24"/>
          <w:szCs w:val="24"/>
        </w:rPr>
        <w:t>Chanchaga and bosso Local Government</w:t>
      </w:r>
      <w:r w:rsidRPr="00BE4AF3">
        <w:rPr>
          <w:rFonts w:ascii="Times New Roman" w:eastAsia="Times New Roman" w:hAnsi="Times New Roman" w:cs="Times New Roman"/>
          <w:sz w:val="24"/>
          <w:szCs w:val="24"/>
        </w:rPr>
        <w:t xml:space="preserve"> of minna, Niger State capital, </w:t>
      </w:r>
      <w:r w:rsidRPr="00BE4AF3">
        <w:rPr>
          <w:rFonts w:ascii="Times New Roman" w:hAnsi="Times New Roman" w:cs="Times New Roman"/>
          <w:sz w:val="24"/>
          <w:szCs w:val="24"/>
        </w:rPr>
        <w:t>it is located on latitude 9</w:t>
      </w:r>
      <w:r w:rsidRPr="00BE4AF3">
        <w:rPr>
          <w:rFonts w:ascii="Times New Roman" w:hAnsi="Times New Roman" w:cs="Times New Roman"/>
          <w:sz w:val="24"/>
          <w:szCs w:val="24"/>
          <w:vertAlign w:val="superscript"/>
        </w:rPr>
        <w:t>o</w:t>
      </w:r>
      <w:r w:rsidRPr="00BE4AF3">
        <w:rPr>
          <w:rFonts w:ascii="Times New Roman" w:hAnsi="Times New Roman" w:cs="Times New Roman"/>
          <w:sz w:val="24"/>
          <w:szCs w:val="24"/>
        </w:rPr>
        <w:t>35’00’’N and longitude 6</w:t>
      </w:r>
      <w:r w:rsidRPr="00BE4AF3">
        <w:rPr>
          <w:rFonts w:ascii="Times New Roman" w:hAnsi="Times New Roman" w:cs="Times New Roman"/>
          <w:sz w:val="24"/>
          <w:szCs w:val="24"/>
          <w:vertAlign w:val="superscript"/>
        </w:rPr>
        <w:t>o</w:t>
      </w:r>
      <w:r w:rsidRPr="00BE4AF3">
        <w:rPr>
          <w:rFonts w:ascii="Times New Roman" w:hAnsi="Times New Roman" w:cs="Times New Roman"/>
          <w:sz w:val="24"/>
          <w:szCs w:val="24"/>
        </w:rPr>
        <w:t xml:space="preserve">32’00E of the Greenwich meridian (see figure 1,2 and 3 below) and has estimated population of 202,151 persons according to census NPC (2006), projected to 2025 to be 532,497 persons at growth rate increase of 3.7% (UN world urbanization www.macrotrend2025). The study area is clustered neighbourhood that accommodate both native and non native this include; maitumbi in the northern part, rafinyashi western, tundun Fulani western city gate, nyikangbe is located on the most busiest and important arterial road and gidan mangoro 7km from city centre. </w:t>
      </w:r>
    </w:p>
    <w:p w14:paraId="12BDF2D4" w14:textId="77777777" w:rsidR="00BE4AF3" w:rsidRPr="00BE4AF3" w:rsidRDefault="00BE4AF3" w:rsidP="00F73B8E">
      <w:pPr>
        <w:pStyle w:val="ListParagraph"/>
        <w:spacing w:after="0"/>
        <w:ind w:left="-57"/>
        <w:jc w:val="center"/>
        <w:rPr>
          <w:rFonts w:ascii="Times New Roman" w:hAnsi="Times New Roman"/>
          <w:sz w:val="24"/>
          <w:szCs w:val="24"/>
        </w:rPr>
      </w:pPr>
      <w:r w:rsidRPr="00BE4AF3">
        <w:rPr>
          <w:rFonts w:ascii="Times New Roman" w:hAnsi="Times New Roman"/>
          <w:noProof/>
          <w:sz w:val="24"/>
          <w:szCs w:val="24"/>
          <w:lang w:eastAsia="en-GB"/>
        </w:rPr>
        <w:lastRenderedPageBreak/>
        <w:drawing>
          <wp:inline distT="0" distB="0" distL="0" distR="0" wp14:anchorId="2350BE8E" wp14:editId="6BAB0EC5">
            <wp:extent cx="2341837" cy="2393878"/>
            <wp:effectExtent l="19050" t="0" r="1313" b="0"/>
            <wp:docPr id="39" name="Picture 4" descr="C:\Users\DAVID J\Desktop\n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 J\Desktop\nig.jpg"/>
                    <pic:cNvPicPr>
                      <a:picLocks noChangeAspect="1" noChangeArrowheads="1"/>
                    </pic:cNvPicPr>
                  </pic:nvPicPr>
                  <pic:blipFill>
                    <a:blip r:embed="rId237" cstate="print"/>
                    <a:srcRect/>
                    <a:stretch>
                      <a:fillRect/>
                    </a:stretch>
                  </pic:blipFill>
                  <pic:spPr bwMode="auto">
                    <a:xfrm>
                      <a:off x="0" y="0"/>
                      <a:ext cx="2356086" cy="2408444"/>
                    </a:xfrm>
                    <a:prstGeom prst="rect">
                      <a:avLst/>
                    </a:prstGeom>
                    <a:noFill/>
                    <a:ln w="9525">
                      <a:noFill/>
                      <a:miter lim="800000"/>
                      <a:headEnd/>
                      <a:tailEnd/>
                    </a:ln>
                  </pic:spPr>
                </pic:pic>
              </a:graphicData>
            </a:graphic>
          </wp:inline>
        </w:drawing>
      </w:r>
      <w:r w:rsidRPr="00BE4AF3">
        <w:rPr>
          <w:rFonts w:ascii="Times New Roman" w:hAnsi="Times New Roman"/>
          <w:b/>
          <w:noProof/>
          <w:sz w:val="24"/>
          <w:szCs w:val="24"/>
          <w:lang w:eastAsia="en-GB"/>
        </w:rPr>
        <w:drawing>
          <wp:inline distT="0" distB="0" distL="0" distR="0" wp14:anchorId="1C629CD2" wp14:editId="0E26E482">
            <wp:extent cx="2744698" cy="2397178"/>
            <wp:effectExtent l="19050" t="0" r="0" b="0"/>
            <wp:docPr id="40" name="Picture 2" descr="Description: YINK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YINKA.bmp"/>
                    <pic:cNvPicPr>
                      <a:picLocks noChangeAspect="1" noChangeArrowheads="1"/>
                    </pic:cNvPicPr>
                  </pic:nvPicPr>
                  <pic:blipFill>
                    <a:blip r:embed="rId238" cstate="print">
                      <a:extLst>
                        <a:ext uri="{28A0092B-C50C-407E-A947-70E740481C1C}">
                          <a14:useLocalDpi xmlns:a14="http://schemas.microsoft.com/office/drawing/2010/main" val="0"/>
                        </a:ext>
                      </a:extLst>
                    </a:blip>
                    <a:srcRect l="1428" r="4631" b="3471"/>
                    <a:stretch>
                      <a:fillRect/>
                    </a:stretch>
                  </pic:blipFill>
                  <pic:spPr bwMode="auto">
                    <a:xfrm>
                      <a:off x="0" y="0"/>
                      <a:ext cx="2749876" cy="2401700"/>
                    </a:xfrm>
                    <a:prstGeom prst="rect">
                      <a:avLst/>
                    </a:prstGeom>
                    <a:noFill/>
                    <a:ln>
                      <a:noFill/>
                    </a:ln>
                  </pic:spPr>
                </pic:pic>
              </a:graphicData>
            </a:graphic>
          </wp:inline>
        </w:drawing>
      </w:r>
    </w:p>
    <w:p w14:paraId="1C196C62" w14:textId="77777777" w:rsidR="00BE4AF3" w:rsidRPr="00BE4AF3" w:rsidRDefault="00BE4AF3" w:rsidP="00BE4AF3">
      <w:pPr>
        <w:pStyle w:val="ListParagraph"/>
        <w:spacing w:after="0"/>
        <w:ind w:left="-57"/>
        <w:jc w:val="both"/>
        <w:rPr>
          <w:rFonts w:ascii="Times New Roman" w:hAnsi="Times New Roman"/>
          <w:sz w:val="24"/>
          <w:szCs w:val="24"/>
        </w:rPr>
      </w:pPr>
      <w:r w:rsidRPr="00BE4AF3">
        <w:rPr>
          <w:rFonts w:ascii="Times New Roman" w:hAnsi="Times New Roman"/>
          <w:sz w:val="24"/>
          <w:szCs w:val="24"/>
        </w:rPr>
        <w:t xml:space="preserve">   </w:t>
      </w:r>
      <w:r w:rsidRPr="00F73B8E">
        <w:rPr>
          <w:rFonts w:ascii="Times New Roman" w:hAnsi="Times New Roman"/>
          <w:b/>
          <w:bCs/>
          <w:sz w:val="24"/>
          <w:szCs w:val="24"/>
        </w:rPr>
        <w:t>Figure 1&amp;2:</w:t>
      </w:r>
      <w:r w:rsidRPr="00BE4AF3">
        <w:rPr>
          <w:rFonts w:ascii="Times New Roman" w:hAnsi="Times New Roman"/>
          <w:sz w:val="24"/>
          <w:szCs w:val="24"/>
        </w:rPr>
        <w:t xml:space="preserve"> Map of Nigeria Showing Niger State &amp; Niger State showing the study area.</w:t>
      </w:r>
    </w:p>
    <w:p w14:paraId="165FBC61" w14:textId="77777777" w:rsidR="00BE4AF3" w:rsidRPr="00F73B8E" w:rsidRDefault="00BE4AF3" w:rsidP="00BE4AF3">
      <w:pPr>
        <w:ind w:left="2160"/>
        <w:jc w:val="both"/>
        <w:rPr>
          <w:rFonts w:ascii="Times New Roman" w:hAnsi="Times New Roman" w:cs="Times New Roman"/>
          <w:bCs/>
          <w:sz w:val="24"/>
          <w:szCs w:val="24"/>
        </w:rPr>
      </w:pPr>
      <w:r w:rsidRPr="00F73B8E">
        <w:rPr>
          <w:rFonts w:ascii="Times New Roman" w:hAnsi="Times New Roman" w:cs="Times New Roman"/>
          <w:bCs/>
          <w:sz w:val="24"/>
          <w:szCs w:val="24"/>
        </w:rPr>
        <w:t>Source: Niger State Ministry of Land and Housing 2025</w:t>
      </w:r>
    </w:p>
    <w:p w14:paraId="71CA815E" w14:textId="77777777" w:rsidR="00BE4AF3" w:rsidRPr="00BE4AF3" w:rsidRDefault="00BE4AF3" w:rsidP="00BE4AF3">
      <w:pPr>
        <w:jc w:val="both"/>
        <w:rPr>
          <w:rFonts w:ascii="Times New Roman" w:hAnsi="Times New Roman" w:cs="Times New Roman"/>
          <w:sz w:val="24"/>
          <w:szCs w:val="24"/>
        </w:rPr>
      </w:pPr>
      <w:r w:rsidRPr="00BE4AF3">
        <w:rPr>
          <w:rFonts w:ascii="Times New Roman" w:hAnsi="Times New Roman" w:cs="Times New Roman"/>
          <w:sz w:val="24"/>
          <w:szCs w:val="24"/>
        </w:rPr>
        <w:t xml:space="preserve">This study is empirical in nature and aims to gather relevant information on micro housing and associated socio-economic activities, with particular focus on variables such as income levels, household size, housing unit size, and duration of construction. Primary data served as the main source of information for this study. A well-structured questionnaire was designed in line with the research objectives to collect the required data. A total of 190 questionnaires were administered across the eight selected areas, covering 100 percent of the micro housing units identified within the study zone. Systematic random sampling method was to administer the questionnaire to household head, a total 152 questionnaires were retrieved from the respondents as showed in table 1 above and which were subjected to proper scrutiny after administration to enable study determines the validate of the data. The analyzed data were presented using descriptive statistics such as frequency table, percentage, the use of maps, and robust pictograph. However, the use of statistical package for social science (SPSS) and inferential statistics such as linear regression were used to test for the variables that determine micro housing in the study area. </w:t>
      </w:r>
    </w:p>
    <w:p w14:paraId="00D1F2D5" w14:textId="77777777" w:rsidR="00BE4AF3" w:rsidRPr="00BE4AF3" w:rsidRDefault="00BE4AF3" w:rsidP="00BE4AF3">
      <w:pPr>
        <w:jc w:val="both"/>
        <w:rPr>
          <w:rFonts w:ascii="Times New Roman" w:hAnsi="Times New Roman" w:cs="Times New Roman"/>
          <w:b/>
          <w:sz w:val="24"/>
          <w:szCs w:val="24"/>
        </w:rPr>
      </w:pPr>
      <w:r w:rsidRPr="00BE4AF3">
        <w:rPr>
          <w:rFonts w:ascii="Times New Roman" w:hAnsi="Times New Roman" w:cs="Times New Roman"/>
          <w:b/>
          <w:sz w:val="24"/>
          <w:szCs w:val="24"/>
        </w:rPr>
        <w:t xml:space="preserve">Result and Discussion </w:t>
      </w:r>
    </w:p>
    <w:p w14:paraId="115D7647" w14:textId="77777777" w:rsidR="00BE4AF3" w:rsidRPr="00BE4AF3" w:rsidRDefault="00BE4AF3" w:rsidP="00BE4AF3">
      <w:pPr>
        <w:jc w:val="both"/>
        <w:rPr>
          <w:rFonts w:ascii="Times New Roman" w:hAnsi="Times New Roman" w:cs="Times New Roman"/>
          <w:b/>
          <w:bCs/>
          <w:sz w:val="24"/>
          <w:szCs w:val="24"/>
        </w:rPr>
      </w:pPr>
      <w:r w:rsidRPr="00BE4AF3">
        <w:rPr>
          <w:rFonts w:ascii="Times New Roman" w:hAnsi="Times New Roman" w:cs="Times New Roman"/>
          <w:b/>
          <w:bCs/>
          <w:sz w:val="24"/>
          <w:szCs w:val="24"/>
        </w:rPr>
        <w:t>Socio-Economic Characteristics</w:t>
      </w:r>
    </w:p>
    <w:p w14:paraId="498F2B4E" w14:textId="77777777" w:rsidR="00BE4AF3" w:rsidRPr="00F73B8E" w:rsidRDefault="00BE4AF3" w:rsidP="00F73B8E">
      <w:pPr>
        <w:spacing w:after="0"/>
        <w:jc w:val="center"/>
        <w:rPr>
          <w:rFonts w:ascii="Times New Roman" w:hAnsi="Times New Roman" w:cs="Times New Roman"/>
          <w:sz w:val="24"/>
          <w:szCs w:val="24"/>
        </w:rPr>
      </w:pPr>
      <w:r w:rsidRPr="00BE4AF3">
        <w:rPr>
          <w:rFonts w:ascii="Times New Roman" w:hAnsi="Times New Roman" w:cs="Times New Roman"/>
          <w:b/>
          <w:bCs/>
          <w:sz w:val="24"/>
          <w:szCs w:val="24"/>
        </w:rPr>
        <w:t xml:space="preserve">Table 1: </w:t>
      </w:r>
      <w:r w:rsidRPr="00F73B8E">
        <w:rPr>
          <w:rFonts w:ascii="Times New Roman" w:hAnsi="Times New Roman" w:cs="Times New Roman"/>
          <w:sz w:val="24"/>
          <w:szCs w:val="24"/>
        </w:rPr>
        <w:t>Occupation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7"/>
        <w:gridCol w:w="2367"/>
        <w:gridCol w:w="2367"/>
      </w:tblGrid>
      <w:tr w:rsidR="00BE4AF3" w:rsidRPr="00F73B8E" w14:paraId="0FA2F707" w14:textId="77777777" w:rsidTr="00F73B8E">
        <w:trPr>
          <w:trHeight w:val="349"/>
          <w:jc w:val="center"/>
        </w:trPr>
        <w:tc>
          <w:tcPr>
            <w:tcW w:w="2367" w:type="dxa"/>
            <w:tcBorders>
              <w:top w:val="single" w:sz="4" w:space="0" w:color="auto"/>
              <w:bottom w:val="single" w:sz="4" w:space="0" w:color="auto"/>
            </w:tcBorders>
          </w:tcPr>
          <w:p w14:paraId="147D2671" w14:textId="77777777" w:rsidR="00BE4AF3" w:rsidRPr="00F73B8E" w:rsidRDefault="00BE4AF3" w:rsidP="00F73B8E">
            <w:pPr>
              <w:spacing w:after="0" w:line="240" w:lineRule="auto"/>
              <w:jc w:val="both"/>
              <w:rPr>
                <w:rFonts w:ascii="Times New Roman" w:hAnsi="Times New Roman" w:cs="Times New Roman"/>
                <w:sz w:val="20"/>
                <w:szCs w:val="20"/>
              </w:rPr>
            </w:pPr>
            <w:r w:rsidRPr="00F73B8E">
              <w:rPr>
                <w:rFonts w:ascii="Times New Roman" w:hAnsi="Times New Roman" w:cs="Times New Roman"/>
                <w:sz w:val="20"/>
                <w:szCs w:val="20"/>
              </w:rPr>
              <w:t xml:space="preserve"> Occupation</w:t>
            </w:r>
          </w:p>
        </w:tc>
        <w:tc>
          <w:tcPr>
            <w:tcW w:w="2367" w:type="dxa"/>
            <w:tcBorders>
              <w:top w:val="single" w:sz="4" w:space="0" w:color="auto"/>
              <w:bottom w:val="single" w:sz="4" w:space="0" w:color="auto"/>
            </w:tcBorders>
          </w:tcPr>
          <w:p w14:paraId="203889C8" w14:textId="77777777" w:rsidR="00BE4AF3" w:rsidRPr="00F73B8E" w:rsidRDefault="00BE4AF3" w:rsidP="00F73B8E">
            <w:pPr>
              <w:spacing w:after="0" w:line="240" w:lineRule="auto"/>
              <w:jc w:val="both"/>
              <w:rPr>
                <w:rFonts w:ascii="Times New Roman" w:hAnsi="Times New Roman" w:cs="Times New Roman"/>
                <w:sz w:val="20"/>
                <w:szCs w:val="20"/>
              </w:rPr>
            </w:pPr>
            <w:r w:rsidRPr="00F73B8E">
              <w:rPr>
                <w:rFonts w:ascii="Times New Roman" w:hAnsi="Times New Roman" w:cs="Times New Roman"/>
                <w:sz w:val="20"/>
                <w:szCs w:val="20"/>
              </w:rPr>
              <w:t xml:space="preserve">Frequency </w:t>
            </w:r>
          </w:p>
        </w:tc>
        <w:tc>
          <w:tcPr>
            <w:tcW w:w="2367" w:type="dxa"/>
            <w:tcBorders>
              <w:top w:val="single" w:sz="4" w:space="0" w:color="auto"/>
              <w:bottom w:val="single" w:sz="4" w:space="0" w:color="auto"/>
            </w:tcBorders>
          </w:tcPr>
          <w:p w14:paraId="340A7122" w14:textId="77777777" w:rsidR="00BE4AF3" w:rsidRPr="00F73B8E" w:rsidRDefault="00BE4AF3" w:rsidP="00F73B8E">
            <w:pPr>
              <w:spacing w:after="0" w:line="240" w:lineRule="auto"/>
              <w:jc w:val="both"/>
              <w:rPr>
                <w:rFonts w:ascii="Times New Roman" w:hAnsi="Times New Roman" w:cs="Times New Roman"/>
                <w:sz w:val="20"/>
                <w:szCs w:val="20"/>
              </w:rPr>
            </w:pPr>
            <w:r w:rsidRPr="00F73B8E">
              <w:rPr>
                <w:rFonts w:ascii="Times New Roman" w:hAnsi="Times New Roman" w:cs="Times New Roman"/>
                <w:sz w:val="20"/>
                <w:szCs w:val="20"/>
              </w:rPr>
              <w:t>Percent %</w:t>
            </w:r>
          </w:p>
        </w:tc>
      </w:tr>
      <w:tr w:rsidR="00BE4AF3" w:rsidRPr="00F73B8E" w14:paraId="3D37A97B" w14:textId="77777777" w:rsidTr="00F73B8E">
        <w:trPr>
          <w:trHeight w:val="362"/>
          <w:jc w:val="center"/>
        </w:trPr>
        <w:tc>
          <w:tcPr>
            <w:tcW w:w="2367" w:type="dxa"/>
            <w:tcBorders>
              <w:top w:val="single" w:sz="4" w:space="0" w:color="auto"/>
            </w:tcBorders>
          </w:tcPr>
          <w:p w14:paraId="79EB7A91" w14:textId="77777777" w:rsidR="00BE4AF3" w:rsidRPr="00F73B8E" w:rsidRDefault="00BE4AF3" w:rsidP="00F73B8E">
            <w:pPr>
              <w:spacing w:after="0" w:line="240" w:lineRule="auto"/>
              <w:jc w:val="both"/>
              <w:rPr>
                <w:rFonts w:ascii="Times New Roman" w:hAnsi="Times New Roman" w:cs="Times New Roman"/>
                <w:sz w:val="20"/>
                <w:szCs w:val="20"/>
              </w:rPr>
            </w:pPr>
            <w:r w:rsidRPr="00F73B8E">
              <w:rPr>
                <w:rFonts w:ascii="Times New Roman" w:hAnsi="Times New Roman" w:cs="Times New Roman"/>
                <w:sz w:val="20"/>
                <w:szCs w:val="20"/>
              </w:rPr>
              <w:t>Farming</w:t>
            </w:r>
          </w:p>
        </w:tc>
        <w:tc>
          <w:tcPr>
            <w:tcW w:w="2367" w:type="dxa"/>
            <w:tcBorders>
              <w:top w:val="single" w:sz="4" w:space="0" w:color="auto"/>
            </w:tcBorders>
          </w:tcPr>
          <w:p w14:paraId="59CA0143" w14:textId="77777777" w:rsidR="00BE4AF3" w:rsidRPr="00F73B8E" w:rsidRDefault="00BE4AF3" w:rsidP="00F73B8E">
            <w:pPr>
              <w:spacing w:after="0" w:line="240" w:lineRule="auto"/>
              <w:jc w:val="both"/>
              <w:rPr>
                <w:rFonts w:ascii="Times New Roman" w:hAnsi="Times New Roman" w:cs="Times New Roman"/>
                <w:sz w:val="20"/>
                <w:szCs w:val="20"/>
              </w:rPr>
            </w:pPr>
            <w:r w:rsidRPr="00F73B8E">
              <w:rPr>
                <w:rFonts w:ascii="Times New Roman" w:hAnsi="Times New Roman" w:cs="Times New Roman"/>
                <w:sz w:val="20"/>
                <w:szCs w:val="20"/>
              </w:rPr>
              <w:t xml:space="preserve"> 98</w:t>
            </w:r>
          </w:p>
        </w:tc>
        <w:tc>
          <w:tcPr>
            <w:tcW w:w="2367" w:type="dxa"/>
            <w:tcBorders>
              <w:top w:val="single" w:sz="4" w:space="0" w:color="auto"/>
            </w:tcBorders>
          </w:tcPr>
          <w:p w14:paraId="359F5975" w14:textId="77777777" w:rsidR="00BE4AF3" w:rsidRPr="00F73B8E" w:rsidRDefault="00BE4AF3" w:rsidP="00F73B8E">
            <w:pPr>
              <w:spacing w:after="0" w:line="240" w:lineRule="auto"/>
              <w:jc w:val="both"/>
              <w:rPr>
                <w:rFonts w:ascii="Times New Roman" w:hAnsi="Times New Roman" w:cs="Times New Roman"/>
                <w:sz w:val="20"/>
                <w:szCs w:val="20"/>
              </w:rPr>
            </w:pPr>
            <w:r w:rsidRPr="00F73B8E">
              <w:rPr>
                <w:rFonts w:ascii="Times New Roman" w:hAnsi="Times New Roman" w:cs="Times New Roman"/>
                <w:sz w:val="20"/>
                <w:szCs w:val="20"/>
              </w:rPr>
              <w:t xml:space="preserve">   64.5</w:t>
            </w:r>
          </w:p>
        </w:tc>
      </w:tr>
      <w:tr w:rsidR="00BE4AF3" w:rsidRPr="00F73B8E" w14:paraId="1259C248" w14:textId="77777777" w:rsidTr="00F73B8E">
        <w:trPr>
          <w:trHeight w:val="349"/>
          <w:jc w:val="center"/>
        </w:trPr>
        <w:tc>
          <w:tcPr>
            <w:tcW w:w="2367" w:type="dxa"/>
          </w:tcPr>
          <w:p w14:paraId="1B6DB492" w14:textId="77777777" w:rsidR="00BE4AF3" w:rsidRPr="00F73B8E" w:rsidRDefault="00BE4AF3" w:rsidP="00F73B8E">
            <w:pPr>
              <w:spacing w:after="0" w:line="240" w:lineRule="auto"/>
              <w:jc w:val="both"/>
              <w:rPr>
                <w:rFonts w:ascii="Times New Roman" w:hAnsi="Times New Roman" w:cs="Times New Roman"/>
                <w:sz w:val="20"/>
                <w:szCs w:val="20"/>
              </w:rPr>
            </w:pPr>
            <w:r w:rsidRPr="00F73B8E">
              <w:rPr>
                <w:rFonts w:ascii="Times New Roman" w:hAnsi="Times New Roman" w:cs="Times New Roman"/>
                <w:sz w:val="20"/>
                <w:szCs w:val="20"/>
              </w:rPr>
              <w:t>Trading</w:t>
            </w:r>
          </w:p>
        </w:tc>
        <w:tc>
          <w:tcPr>
            <w:tcW w:w="2367" w:type="dxa"/>
          </w:tcPr>
          <w:p w14:paraId="5AB4F332" w14:textId="77777777" w:rsidR="00BE4AF3" w:rsidRPr="00F73B8E" w:rsidRDefault="00BE4AF3" w:rsidP="00F73B8E">
            <w:pPr>
              <w:spacing w:after="0" w:line="240" w:lineRule="auto"/>
              <w:jc w:val="both"/>
              <w:rPr>
                <w:rFonts w:ascii="Times New Roman" w:hAnsi="Times New Roman" w:cs="Times New Roman"/>
                <w:sz w:val="20"/>
                <w:szCs w:val="20"/>
              </w:rPr>
            </w:pPr>
            <w:r w:rsidRPr="00F73B8E">
              <w:rPr>
                <w:rFonts w:ascii="Times New Roman" w:hAnsi="Times New Roman" w:cs="Times New Roman"/>
                <w:sz w:val="20"/>
                <w:szCs w:val="20"/>
              </w:rPr>
              <w:t xml:space="preserve"> 15</w:t>
            </w:r>
          </w:p>
        </w:tc>
        <w:tc>
          <w:tcPr>
            <w:tcW w:w="2367" w:type="dxa"/>
          </w:tcPr>
          <w:p w14:paraId="6AE29ACE" w14:textId="77777777" w:rsidR="00BE4AF3" w:rsidRPr="00F73B8E" w:rsidRDefault="00BE4AF3" w:rsidP="00F73B8E">
            <w:pPr>
              <w:spacing w:after="0" w:line="240" w:lineRule="auto"/>
              <w:jc w:val="both"/>
              <w:rPr>
                <w:rFonts w:ascii="Times New Roman" w:hAnsi="Times New Roman" w:cs="Times New Roman"/>
                <w:sz w:val="20"/>
                <w:szCs w:val="20"/>
              </w:rPr>
            </w:pPr>
            <w:r w:rsidRPr="00F73B8E">
              <w:rPr>
                <w:rFonts w:ascii="Times New Roman" w:hAnsi="Times New Roman" w:cs="Times New Roman"/>
                <w:sz w:val="20"/>
                <w:szCs w:val="20"/>
              </w:rPr>
              <w:t xml:space="preserve">     9.3</w:t>
            </w:r>
          </w:p>
        </w:tc>
      </w:tr>
      <w:tr w:rsidR="00BE4AF3" w:rsidRPr="00F73B8E" w14:paraId="41D5E293" w14:textId="77777777" w:rsidTr="00F73B8E">
        <w:trPr>
          <w:trHeight w:val="349"/>
          <w:jc w:val="center"/>
        </w:trPr>
        <w:tc>
          <w:tcPr>
            <w:tcW w:w="2367" w:type="dxa"/>
          </w:tcPr>
          <w:p w14:paraId="187EF7EF" w14:textId="77777777" w:rsidR="00BE4AF3" w:rsidRPr="00F73B8E" w:rsidRDefault="00BE4AF3" w:rsidP="00F73B8E">
            <w:pPr>
              <w:spacing w:after="0" w:line="240" w:lineRule="auto"/>
              <w:jc w:val="both"/>
              <w:rPr>
                <w:rFonts w:ascii="Times New Roman" w:hAnsi="Times New Roman" w:cs="Times New Roman"/>
                <w:sz w:val="20"/>
                <w:szCs w:val="20"/>
              </w:rPr>
            </w:pPr>
            <w:r w:rsidRPr="00F73B8E">
              <w:rPr>
                <w:rFonts w:ascii="Times New Roman" w:hAnsi="Times New Roman" w:cs="Times New Roman"/>
                <w:sz w:val="20"/>
                <w:szCs w:val="20"/>
              </w:rPr>
              <w:t>Self employed</w:t>
            </w:r>
          </w:p>
        </w:tc>
        <w:tc>
          <w:tcPr>
            <w:tcW w:w="2367" w:type="dxa"/>
          </w:tcPr>
          <w:p w14:paraId="59FA5301" w14:textId="77777777" w:rsidR="00BE4AF3" w:rsidRPr="00F73B8E" w:rsidRDefault="00BE4AF3" w:rsidP="00F73B8E">
            <w:pPr>
              <w:spacing w:after="0" w:line="240" w:lineRule="auto"/>
              <w:jc w:val="both"/>
              <w:rPr>
                <w:rFonts w:ascii="Times New Roman" w:hAnsi="Times New Roman" w:cs="Times New Roman"/>
                <w:sz w:val="20"/>
                <w:szCs w:val="20"/>
              </w:rPr>
            </w:pPr>
            <w:r w:rsidRPr="00F73B8E">
              <w:rPr>
                <w:rFonts w:ascii="Times New Roman" w:hAnsi="Times New Roman" w:cs="Times New Roman"/>
                <w:sz w:val="20"/>
                <w:szCs w:val="20"/>
              </w:rPr>
              <w:t xml:space="preserve"> 35</w:t>
            </w:r>
          </w:p>
        </w:tc>
        <w:tc>
          <w:tcPr>
            <w:tcW w:w="2367" w:type="dxa"/>
          </w:tcPr>
          <w:p w14:paraId="734F3CA1" w14:textId="77777777" w:rsidR="00BE4AF3" w:rsidRPr="00F73B8E" w:rsidRDefault="00BE4AF3" w:rsidP="00F73B8E">
            <w:pPr>
              <w:spacing w:after="0" w:line="240" w:lineRule="auto"/>
              <w:jc w:val="both"/>
              <w:rPr>
                <w:rFonts w:ascii="Times New Roman" w:hAnsi="Times New Roman" w:cs="Times New Roman"/>
                <w:sz w:val="20"/>
                <w:szCs w:val="20"/>
              </w:rPr>
            </w:pPr>
            <w:r w:rsidRPr="00F73B8E">
              <w:rPr>
                <w:rFonts w:ascii="Times New Roman" w:hAnsi="Times New Roman" w:cs="Times New Roman"/>
                <w:sz w:val="20"/>
                <w:szCs w:val="20"/>
              </w:rPr>
              <w:t xml:space="preserve">   23.0</w:t>
            </w:r>
          </w:p>
        </w:tc>
      </w:tr>
      <w:tr w:rsidR="00BE4AF3" w:rsidRPr="00F73B8E" w14:paraId="7A042F62" w14:textId="77777777" w:rsidTr="00F73B8E">
        <w:trPr>
          <w:trHeight w:val="349"/>
          <w:jc w:val="center"/>
        </w:trPr>
        <w:tc>
          <w:tcPr>
            <w:tcW w:w="2367" w:type="dxa"/>
          </w:tcPr>
          <w:p w14:paraId="4562056E" w14:textId="77777777" w:rsidR="00BE4AF3" w:rsidRPr="00F73B8E" w:rsidRDefault="00BE4AF3" w:rsidP="00F73B8E">
            <w:pPr>
              <w:spacing w:after="0" w:line="240" w:lineRule="auto"/>
              <w:jc w:val="both"/>
              <w:rPr>
                <w:rFonts w:ascii="Times New Roman" w:hAnsi="Times New Roman" w:cs="Times New Roman"/>
                <w:sz w:val="20"/>
                <w:szCs w:val="20"/>
              </w:rPr>
            </w:pPr>
            <w:r w:rsidRPr="00F73B8E">
              <w:rPr>
                <w:rFonts w:ascii="Times New Roman" w:hAnsi="Times New Roman" w:cs="Times New Roman"/>
                <w:sz w:val="20"/>
                <w:szCs w:val="20"/>
              </w:rPr>
              <w:t>Civil servant</w:t>
            </w:r>
          </w:p>
        </w:tc>
        <w:tc>
          <w:tcPr>
            <w:tcW w:w="2367" w:type="dxa"/>
          </w:tcPr>
          <w:p w14:paraId="5C77399B" w14:textId="77777777" w:rsidR="00BE4AF3" w:rsidRPr="00F73B8E" w:rsidRDefault="00BE4AF3" w:rsidP="00F73B8E">
            <w:pPr>
              <w:spacing w:after="0" w:line="240" w:lineRule="auto"/>
              <w:jc w:val="both"/>
              <w:rPr>
                <w:rFonts w:ascii="Times New Roman" w:hAnsi="Times New Roman" w:cs="Times New Roman"/>
                <w:sz w:val="20"/>
                <w:szCs w:val="20"/>
              </w:rPr>
            </w:pPr>
            <w:r w:rsidRPr="00F73B8E">
              <w:rPr>
                <w:rFonts w:ascii="Times New Roman" w:hAnsi="Times New Roman" w:cs="Times New Roman"/>
                <w:sz w:val="20"/>
                <w:szCs w:val="20"/>
              </w:rPr>
              <w:t xml:space="preserve"> 14</w:t>
            </w:r>
          </w:p>
        </w:tc>
        <w:tc>
          <w:tcPr>
            <w:tcW w:w="2367" w:type="dxa"/>
          </w:tcPr>
          <w:p w14:paraId="64E9D7AF" w14:textId="77777777" w:rsidR="00BE4AF3" w:rsidRPr="00F73B8E" w:rsidRDefault="00BE4AF3" w:rsidP="00F73B8E">
            <w:pPr>
              <w:spacing w:after="0" w:line="240" w:lineRule="auto"/>
              <w:jc w:val="both"/>
              <w:rPr>
                <w:rFonts w:ascii="Times New Roman" w:hAnsi="Times New Roman" w:cs="Times New Roman"/>
                <w:sz w:val="20"/>
                <w:szCs w:val="20"/>
              </w:rPr>
            </w:pPr>
            <w:r w:rsidRPr="00F73B8E">
              <w:rPr>
                <w:rFonts w:ascii="Times New Roman" w:hAnsi="Times New Roman" w:cs="Times New Roman"/>
                <w:sz w:val="20"/>
                <w:szCs w:val="20"/>
              </w:rPr>
              <w:t xml:space="preserve">     9.2 </w:t>
            </w:r>
          </w:p>
        </w:tc>
      </w:tr>
      <w:tr w:rsidR="00BE4AF3" w:rsidRPr="00F73B8E" w14:paraId="231C32ED" w14:textId="77777777" w:rsidTr="00F73B8E">
        <w:trPr>
          <w:trHeight w:val="362"/>
          <w:jc w:val="center"/>
        </w:trPr>
        <w:tc>
          <w:tcPr>
            <w:tcW w:w="2367" w:type="dxa"/>
            <w:tcBorders>
              <w:bottom w:val="single" w:sz="4" w:space="0" w:color="auto"/>
            </w:tcBorders>
          </w:tcPr>
          <w:p w14:paraId="0D9AC880" w14:textId="77777777" w:rsidR="00BE4AF3" w:rsidRPr="00F73B8E" w:rsidRDefault="00BE4AF3" w:rsidP="00F73B8E">
            <w:pPr>
              <w:spacing w:after="0" w:line="240" w:lineRule="auto"/>
              <w:jc w:val="both"/>
              <w:rPr>
                <w:rFonts w:ascii="Times New Roman" w:hAnsi="Times New Roman" w:cs="Times New Roman"/>
                <w:b/>
                <w:bCs/>
                <w:sz w:val="20"/>
                <w:szCs w:val="20"/>
              </w:rPr>
            </w:pPr>
            <w:r w:rsidRPr="00F73B8E">
              <w:rPr>
                <w:rFonts w:ascii="Times New Roman" w:hAnsi="Times New Roman" w:cs="Times New Roman"/>
                <w:b/>
                <w:bCs/>
                <w:sz w:val="20"/>
                <w:szCs w:val="20"/>
              </w:rPr>
              <w:t>Total</w:t>
            </w:r>
          </w:p>
        </w:tc>
        <w:tc>
          <w:tcPr>
            <w:tcW w:w="2367" w:type="dxa"/>
            <w:tcBorders>
              <w:bottom w:val="single" w:sz="4" w:space="0" w:color="auto"/>
            </w:tcBorders>
          </w:tcPr>
          <w:p w14:paraId="060AA0C2" w14:textId="77777777" w:rsidR="00BE4AF3" w:rsidRPr="00F73B8E" w:rsidRDefault="00BE4AF3" w:rsidP="00F73B8E">
            <w:pPr>
              <w:spacing w:after="0" w:line="240" w:lineRule="auto"/>
              <w:jc w:val="both"/>
              <w:rPr>
                <w:rFonts w:ascii="Times New Roman" w:hAnsi="Times New Roman" w:cs="Times New Roman"/>
                <w:b/>
                <w:bCs/>
                <w:sz w:val="20"/>
                <w:szCs w:val="20"/>
              </w:rPr>
            </w:pPr>
            <w:r w:rsidRPr="00F73B8E">
              <w:rPr>
                <w:rFonts w:ascii="Times New Roman" w:hAnsi="Times New Roman" w:cs="Times New Roman"/>
                <w:b/>
                <w:bCs/>
                <w:sz w:val="20"/>
                <w:szCs w:val="20"/>
              </w:rPr>
              <w:t>152</w:t>
            </w:r>
          </w:p>
        </w:tc>
        <w:tc>
          <w:tcPr>
            <w:tcW w:w="2367" w:type="dxa"/>
            <w:tcBorders>
              <w:bottom w:val="single" w:sz="4" w:space="0" w:color="auto"/>
            </w:tcBorders>
          </w:tcPr>
          <w:p w14:paraId="60C5E62D" w14:textId="77777777" w:rsidR="00BE4AF3" w:rsidRPr="00F73B8E" w:rsidRDefault="00BE4AF3" w:rsidP="00F73B8E">
            <w:pPr>
              <w:spacing w:after="0" w:line="240" w:lineRule="auto"/>
              <w:jc w:val="both"/>
              <w:rPr>
                <w:rFonts w:ascii="Times New Roman" w:hAnsi="Times New Roman" w:cs="Times New Roman"/>
                <w:b/>
                <w:bCs/>
                <w:sz w:val="20"/>
                <w:szCs w:val="20"/>
              </w:rPr>
            </w:pPr>
            <w:r w:rsidRPr="00F73B8E">
              <w:rPr>
                <w:rFonts w:ascii="Times New Roman" w:hAnsi="Times New Roman" w:cs="Times New Roman"/>
                <w:b/>
                <w:bCs/>
                <w:sz w:val="20"/>
                <w:szCs w:val="20"/>
              </w:rPr>
              <w:t xml:space="preserve">  100</w:t>
            </w:r>
          </w:p>
        </w:tc>
      </w:tr>
    </w:tbl>
    <w:p w14:paraId="0BDA7B21" w14:textId="77777777" w:rsidR="00BE4AF3" w:rsidRPr="00F73B8E" w:rsidRDefault="00BE4AF3" w:rsidP="00F73B8E">
      <w:pPr>
        <w:spacing w:after="0"/>
        <w:ind w:firstLine="720"/>
        <w:jc w:val="center"/>
        <w:rPr>
          <w:rFonts w:ascii="Times New Roman" w:hAnsi="Times New Roman" w:cs="Times New Roman"/>
          <w:bCs/>
          <w:sz w:val="24"/>
          <w:szCs w:val="24"/>
        </w:rPr>
      </w:pPr>
      <w:r w:rsidRPr="00F73B8E">
        <w:rPr>
          <w:rFonts w:ascii="Times New Roman" w:hAnsi="Times New Roman" w:cs="Times New Roman"/>
          <w:bCs/>
          <w:sz w:val="24"/>
          <w:szCs w:val="24"/>
        </w:rPr>
        <w:t>Source: Author’s Field Survey, 2025</w:t>
      </w:r>
    </w:p>
    <w:p w14:paraId="57B249F9" w14:textId="749B86BA" w:rsidR="00BE4AF3" w:rsidRPr="00BE4AF3" w:rsidRDefault="00BE4AF3" w:rsidP="00F73B8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Table 1 shows that 64.5% percent of the respondents engage in farming activities as their occupation, 9.3% engage in trading, 23% engage were </w:t>
      </w:r>
      <w:r w:rsidR="00F73B8E" w:rsidRPr="00BE4AF3">
        <w:rPr>
          <w:rFonts w:ascii="Times New Roman" w:hAnsi="Times New Roman" w:cs="Times New Roman"/>
          <w:sz w:val="24"/>
          <w:szCs w:val="24"/>
        </w:rPr>
        <w:t>self-employed</w:t>
      </w:r>
      <w:r w:rsidRPr="00BE4AF3">
        <w:rPr>
          <w:rFonts w:ascii="Times New Roman" w:hAnsi="Times New Roman" w:cs="Times New Roman"/>
          <w:sz w:val="24"/>
          <w:szCs w:val="24"/>
        </w:rPr>
        <w:t xml:space="preserve"> while 9.2% were civil servant respectively. This implied that most of the respondents were farmers which reflect the </w:t>
      </w:r>
      <w:r w:rsidRPr="00BE4AF3">
        <w:rPr>
          <w:rFonts w:ascii="Times New Roman" w:hAnsi="Times New Roman" w:cs="Times New Roman"/>
          <w:sz w:val="24"/>
          <w:szCs w:val="24"/>
        </w:rPr>
        <w:lastRenderedPageBreak/>
        <w:t>housing development practices within the study area. Also examine the various occupations engage by respondents to supplement their primary occupation</w:t>
      </w:r>
    </w:p>
    <w:p w14:paraId="29785DCB" w14:textId="77777777" w:rsidR="00F73B8E" w:rsidRDefault="00F73B8E" w:rsidP="00F73B8E">
      <w:pPr>
        <w:spacing w:after="0"/>
        <w:jc w:val="center"/>
        <w:rPr>
          <w:rFonts w:ascii="Times New Roman" w:hAnsi="Times New Roman" w:cs="Times New Roman"/>
          <w:b/>
          <w:bCs/>
          <w:sz w:val="24"/>
          <w:szCs w:val="24"/>
        </w:rPr>
      </w:pPr>
    </w:p>
    <w:p w14:paraId="6DCCBD01" w14:textId="6E901B68" w:rsidR="00BE4AF3" w:rsidRPr="00F73B8E" w:rsidRDefault="00BE4AF3" w:rsidP="00F73B8E">
      <w:pPr>
        <w:spacing w:after="0"/>
        <w:jc w:val="center"/>
        <w:rPr>
          <w:rFonts w:ascii="Times New Roman" w:hAnsi="Times New Roman" w:cs="Times New Roman"/>
          <w:sz w:val="24"/>
          <w:szCs w:val="24"/>
        </w:rPr>
      </w:pPr>
      <w:r w:rsidRPr="00F73B8E">
        <w:rPr>
          <w:rFonts w:ascii="Times New Roman" w:hAnsi="Times New Roman" w:cs="Times New Roman"/>
          <w:b/>
          <w:bCs/>
          <w:sz w:val="24"/>
          <w:szCs w:val="24"/>
        </w:rPr>
        <w:t>Table 2:</w:t>
      </w:r>
      <w:r w:rsidRPr="00F73B8E">
        <w:rPr>
          <w:rFonts w:ascii="Times New Roman" w:hAnsi="Times New Roman" w:cs="Times New Roman"/>
          <w:sz w:val="24"/>
          <w:szCs w:val="24"/>
        </w:rPr>
        <w:t xml:space="preserve">   Monthly Income</w:t>
      </w:r>
    </w:p>
    <w:tbl>
      <w:tblPr>
        <w:tblStyle w:val="TableGrid"/>
        <w:tblW w:w="0" w:type="auto"/>
        <w:jc w:val="center"/>
        <w:tblLook w:val="04A0" w:firstRow="1" w:lastRow="0" w:firstColumn="1" w:lastColumn="0" w:noHBand="0" w:noVBand="1"/>
      </w:tblPr>
      <w:tblGrid>
        <w:gridCol w:w="2410"/>
        <w:gridCol w:w="1985"/>
        <w:gridCol w:w="2409"/>
      </w:tblGrid>
      <w:tr w:rsidR="00BE4AF3" w:rsidRPr="00F73B8E" w14:paraId="79B75E29" w14:textId="77777777" w:rsidTr="00F73B8E">
        <w:trPr>
          <w:jc w:val="center"/>
        </w:trPr>
        <w:tc>
          <w:tcPr>
            <w:tcW w:w="2410" w:type="dxa"/>
            <w:tcBorders>
              <w:left w:val="nil"/>
              <w:bottom w:val="single" w:sz="4" w:space="0" w:color="000000" w:themeColor="text1"/>
              <w:right w:val="nil"/>
            </w:tcBorders>
          </w:tcPr>
          <w:p w14:paraId="627BD09D" w14:textId="77777777" w:rsidR="00BE4AF3" w:rsidRPr="00F73B8E" w:rsidRDefault="00BE4AF3" w:rsidP="00F73B8E">
            <w:pPr>
              <w:spacing w:after="0" w:line="240" w:lineRule="auto"/>
              <w:jc w:val="both"/>
              <w:rPr>
                <w:rFonts w:ascii="Times New Roman" w:hAnsi="Times New Roman" w:cs="Times New Roman"/>
                <w:sz w:val="20"/>
                <w:szCs w:val="20"/>
              </w:rPr>
            </w:pPr>
            <w:r w:rsidRPr="00F73B8E">
              <w:rPr>
                <w:rFonts w:ascii="Times New Roman" w:hAnsi="Times New Roman" w:cs="Times New Roman"/>
                <w:sz w:val="20"/>
                <w:szCs w:val="20"/>
              </w:rPr>
              <w:t>Income</w:t>
            </w:r>
          </w:p>
        </w:tc>
        <w:tc>
          <w:tcPr>
            <w:tcW w:w="1985" w:type="dxa"/>
            <w:tcBorders>
              <w:left w:val="nil"/>
              <w:bottom w:val="single" w:sz="4" w:space="0" w:color="000000" w:themeColor="text1"/>
              <w:right w:val="nil"/>
            </w:tcBorders>
          </w:tcPr>
          <w:p w14:paraId="42FEFD9D" w14:textId="77777777" w:rsidR="00BE4AF3" w:rsidRPr="00F73B8E" w:rsidRDefault="00BE4AF3" w:rsidP="00F73B8E">
            <w:pPr>
              <w:spacing w:after="0" w:line="240" w:lineRule="auto"/>
              <w:jc w:val="both"/>
              <w:rPr>
                <w:rFonts w:ascii="Times New Roman" w:hAnsi="Times New Roman" w:cs="Times New Roman"/>
                <w:sz w:val="20"/>
                <w:szCs w:val="20"/>
              </w:rPr>
            </w:pPr>
            <w:r w:rsidRPr="00F73B8E">
              <w:rPr>
                <w:rFonts w:ascii="Times New Roman" w:hAnsi="Times New Roman" w:cs="Times New Roman"/>
                <w:sz w:val="20"/>
                <w:szCs w:val="20"/>
              </w:rPr>
              <w:t>Frequency</w:t>
            </w:r>
          </w:p>
        </w:tc>
        <w:tc>
          <w:tcPr>
            <w:tcW w:w="2409" w:type="dxa"/>
            <w:tcBorders>
              <w:left w:val="nil"/>
              <w:bottom w:val="single" w:sz="4" w:space="0" w:color="000000" w:themeColor="text1"/>
              <w:right w:val="nil"/>
            </w:tcBorders>
          </w:tcPr>
          <w:p w14:paraId="4B543D10" w14:textId="77777777" w:rsidR="00BE4AF3" w:rsidRPr="00F73B8E" w:rsidRDefault="00BE4AF3" w:rsidP="00F73B8E">
            <w:pPr>
              <w:spacing w:after="0" w:line="240" w:lineRule="auto"/>
              <w:jc w:val="both"/>
              <w:rPr>
                <w:rFonts w:ascii="Times New Roman" w:hAnsi="Times New Roman" w:cs="Times New Roman"/>
                <w:sz w:val="20"/>
                <w:szCs w:val="20"/>
              </w:rPr>
            </w:pPr>
            <w:r w:rsidRPr="00F73B8E">
              <w:rPr>
                <w:rFonts w:ascii="Times New Roman" w:hAnsi="Times New Roman" w:cs="Times New Roman"/>
                <w:sz w:val="20"/>
                <w:szCs w:val="20"/>
              </w:rPr>
              <w:t xml:space="preserve">Percentage </w:t>
            </w:r>
          </w:p>
        </w:tc>
      </w:tr>
      <w:tr w:rsidR="00BE4AF3" w:rsidRPr="00F73B8E" w14:paraId="1722FC2A" w14:textId="77777777" w:rsidTr="00F73B8E">
        <w:trPr>
          <w:jc w:val="center"/>
        </w:trPr>
        <w:tc>
          <w:tcPr>
            <w:tcW w:w="2410" w:type="dxa"/>
            <w:tcBorders>
              <w:left w:val="nil"/>
              <w:bottom w:val="nil"/>
              <w:right w:val="nil"/>
            </w:tcBorders>
          </w:tcPr>
          <w:p w14:paraId="0AA43273"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bCs/>
                <w:sz w:val="20"/>
                <w:szCs w:val="20"/>
              </w:rPr>
              <w:t xml:space="preserve">Less than </w:t>
            </w:r>
            <w:r w:rsidRPr="00F73B8E">
              <w:rPr>
                <w:rFonts w:ascii="Times New Roman" w:hAnsi="Times New Roman" w:cs="Times New Roman"/>
                <w:sz w:val="20"/>
                <w:szCs w:val="20"/>
              </w:rPr>
              <w:t>₦</w:t>
            </w:r>
            <w:r w:rsidRPr="00F73B8E">
              <w:rPr>
                <w:rFonts w:ascii="Times New Roman" w:hAnsi="Times New Roman" w:cs="Times New Roman"/>
                <w:bCs/>
                <w:sz w:val="20"/>
                <w:szCs w:val="20"/>
              </w:rPr>
              <w:t>70,000</w:t>
            </w:r>
          </w:p>
        </w:tc>
        <w:tc>
          <w:tcPr>
            <w:tcW w:w="1985" w:type="dxa"/>
            <w:tcBorders>
              <w:left w:val="nil"/>
              <w:bottom w:val="nil"/>
              <w:right w:val="nil"/>
            </w:tcBorders>
          </w:tcPr>
          <w:p w14:paraId="58301A73"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bCs/>
                <w:sz w:val="20"/>
                <w:szCs w:val="20"/>
              </w:rPr>
              <w:t>12</w:t>
            </w:r>
          </w:p>
        </w:tc>
        <w:tc>
          <w:tcPr>
            <w:tcW w:w="2409" w:type="dxa"/>
            <w:tcBorders>
              <w:left w:val="nil"/>
              <w:bottom w:val="nil"/>
              <w:right w:val="nil"/>
            </w:tcBorders>
          </w:tcPr>
          <w:p w14:paraId="4873A237"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bCs/>
                <w:sz w:val="20"/>
                <w:szCs w:val="20"/>
              </w:rPr>
              <w:t>7.9</w:t>
            </w:r>
          </w:p>
        </w:tc>
      </w:tr>
      <w:tr w:rsidR="00BE4AF3" w:rsidRPr="00F73B8E" w14:paraId="791B5210" w14:textId="77777777" w:rsidTr="00F73B8E">
        <w:trPr>
          <w:jc w:val="center"/>
        </w:trPr>
        <w:tc>
          <w:tcPr>
            <w:tcW w:w="2410" w:type="dxa"/>
            <w:tcBorders>
              <w:top w:val="nil"/>
              <w:left w:val="nil"/>
              <w:bottom w:val="nil"/>
              <w:right w:val="nil"/>
            </w:tcBorders>
          </w:tcPr>
          <w:p w14:paraId="3430851D"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sz w:val="20"/>
                <w:szCs w:val="20"/>
              </w:rPr>
              <w:t>₦</w:t>
            </w:r>
            <w:r w:rsidRPr="00F73B8E">
              <w:rPr>
                <w:rFonts w:ascii="Times New Roman" w:hAnsi="Times New Roman" w:cs="Times New Roman"/>
                <w:bCs/>
                <w:sz w:val="20"/>
                <w:szCs w:val="20"/>
              </w:rPr>
              <w:t>70,001 -</w:t>
            </w:r>
            <w:r w:rsidRPr="00F73B8E">
              <w:rPr>
                <w:rFonts w:ascii="Times New Roman" w:hAnsi="Times New Roman" w:cs="Times New Roman"/>
                <w:sz w:val="20"/>
                <w:szCs w:val="20"/>
              </w:rPr>
              <w:t>₦</w:t>
            </w:r>
            <w:r w:rsidRPr="00F73B8E">
              <w:rPr>
                <w:rFonts w:ascii="Times New Roman" w:hAnsi="Times New Roman" w:cs="Times New Roman"/>
                <w:bCs/>
                <w:sz w:val="20"/>
                <w:szCs w:val="20"/>
              </w:rPr>
              <w:t>85,000</w:t>
            </w:r>
          </w:p>
        </w:tc>
        <w:tc>
          <w:tcPr>
            <w:tcW w:w="1985" w:type="dxa"/>
            <w:tcBorders>
              <w:top w:val="nil"/>
              <w:left w:val="nil"/>
              <w:bottom w:val="nil"/>
              <w:right w:val="nil"/>
            </w:tcBorders>
          </w:tcPr>
          <w:p w14:paraId="446F89AB"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bCs/>
                <w:sz w:val="20"/>
                <w:szCs w:val="20"/>
              </w:rPr>
              <w:t>43</w:t>
            </w:r>
          </w:p>
        </w:tc>
        <w:tc>
          <w:tcPr>
            <w:tcW w:w="2409" w:type="dxa"/>
            <w:tcBorders>
              <w:top w:val="nil"/>
              <w:left w:val="nil"/>
              <w:bottom w:val="nil"/>
              <w:right w:val="nil"/>
            </w:tcBorders>
          </w:tcPr>
          <w:p w14:paraId="060140B0"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bCs/>
                <w:sz w:val="20"/>
                <w:szCs w:val="20"/>
              </w:rPr>
              <w:t>28.3</w:t>
            </w:r>
          </w:p>
        </w:tc>
      </w:tr>
      <w:tr w:rsidR="00BE4AF3" w:rsidRPr="00F73B8E" w14:paraId="1923E999" w14:textId="77777777" w:rsidTr="00F73B8E">
        <w:trPr>
          <w:jc w:val="center"/>
        </w:trPr>
        <w:tc>
          <w:tcPr>
            <w:tcW w:w="2410" w:type="dxa"/>
            <w:tcBorders>
              <w:top w:val="nil"/>
              <w:left w:val="nil"/>
              <w:bottom w:val="nil"/>
              <w:right w:val="nil"/>
            </w:tcBorders>
          </w:tcPr>
          <w:p w14:paraId="28281D82"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sz w:val="20"/>
                <w:szCs w:val="20"/>
              </w:rPr>
              <w:t>₦</w:t>
            </w:r>
            <w:r w:rsidRPr="00F73B8E">
              <w:rPr>
                <w:rFonts w:ascii="Times New Roman" w:hAnsi="Times New Roman" w:cs="Times New Roman"/>
                <w:bCs/>
                <w:sz w:val="20"/>
                <w:szCs w:val="20"/>
              </w:rPr>
              <w:t>85.001-</w:t>
            </w:r>
            <w:r w:rsidRPr="00F73B8E">
              <w:rPr>
                <w:rFonts w:ascii="Times New Roman" w:hAnsi="Times New Roman" w:cs="Times New Roman"/>
                <w:sz w:val="20"/>
                <w:szCs w:val="20"/>
              </w:rPr>
              <w:t>₦</w:t>
            </w:r>
            <w:r w:rsidRPr="00F73B8E">
              <w:rPr>
                <w:rFonts w:ascii="Times New Roman" w:hAnsi="Times New Roman" w:cs="Times New Roman"/>
                <w:bCs/>
                <w:sz w:val="20"/>
                <w:szCs w:val="20"/>
              </w:rPr>
              <w:t>100,000</w:t>
            </w:r>
          </w:p>
        </w:tc>
        <w:tc>
          <w:tcPr>
            <w:tcW w:w="1985" w:type="dxa"/>
            <w:tcBorders>
              <w:top w:val="nil"/>
              <w:left w:val="nil"/>
              <w:bottom w:val="nil"/>
              <w:right w:val="nil"/>
            </w:tcBorders>
          </w:tcPr>
          <w:p w14:paraId="2600DB12"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bCs/>
                <w:sz w:val="20"/>
                <w:szCs w:val="20"/>
              </w:rPr>
              <w:t>62</w:t>
            </w:r>
          </w:p>
        </w:tc>
        <w:tc>
          <w:tcPr>
            <w:tcW w:w="2409" w:type="dxa"/>
            <w:tcBorders>
              <w:top w:val="nil"/>
              <w:left w:val="nil"/>
              <w:bottom w:val="nil"/>
              <w:right w:val="nil"/>
            </w:tcBorders>
          </w:tcPr>
          <w:p w14:paraId="09E10906"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bCs/>
                <w:sz w:val="20"/>
                <w:szCs w:val="20"/>
              </w:rPr>
              <w:t>40.8</w:t>
            </w:r>
          </w:p>
        </w:tc>
      </w:tr>
      <w:tr w:rsidR="00BE4AF3" w:rsidRPr="00F73B8E" w14:paraId="45ED81BA" w14:textId="77777777" w:rsidTr="00F73B8E">
        <w:trPr>
          <w:jc w:val="center"/>
        </w:trPr>
        <w:tc>
          <w:tcPr>
            <w:tcW w:w="2410" w:type="dxa"/>
            <w:tcBorders>
              <w:top w:val="nil"/>
              <w:left w:val="nil"/>
              <w:bottom w:val="nil"/>
              <w:right w:val="nil"/>
            </w:tcBorders>
          </w:tcPr>
          <w:p w14:paraId="11C551D3"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sz w:val="20"/>
                <w:szCs w:val="20"/>
              </w:rPr>
              <w:t>₦</w:t>
            </w:r>
            <w:r w:rsidRPr="00F73B8E">
              <w:rPr>
                <w:rFonts w:ascii="Times New Roman" w:hAnsi="Times New Roman" w:cs="Times New Roman"/>
                <w:bCs/>
                <w:sz w:val="20"/>
                <w:szCs w:val="20"/>
              </w:rPr>
              <w:t>100,001#115,000</w:t>
            </w:r>
          </w:p>
        </w:tc>
        <w:tc>
          <w:tcPr>
            <w:tcW w:w="1985" w:type="dxa"/>
            <w:tcBorders>
              <w:top w:val="nil"/>
              <w:left w:val="nil"/>
              <w:bottom w:val="nil"/>
              <w:right w:val="nil"/>
            </w:tcBorders>
          </w:tcPr>
          <w:p w14:paraId="59E0CAD1"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bCs/>
                <w:sz w:val="20"/>
                <w:szCs w:val="20"/>
              </w:rPr>
              <w:t>13</w:t>
            </w:r>
          </w:p>
        </w:tc>
        <w:tc>
          <w:tcPr>
            <w:tcW w:w="2409" w:type="dxa"/>
            <w:tcBorders>
              <w:top w:val="nil"/>
              <w:left w:val="nil"/>
              <w:bottom w:val="nil"/>
              <w:right w:val="nil"/>
            </w:tcBorders>
          </w:tcPr>
          <w:p w14:paraId="1FD1927D"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bCs/>
                <w:sz w:val="20"/>
                <w:szCs w:val="20"/>
              </w:rPr>
              <w:t>8.6</w:t>
            </w:r>
          </w:p>
        </w:tc>
      </w:tr>
      <w:tr w:rsidR="00BE4AF3" w:rsidRPr="00F73B8E" w14:paraId="26DA9A91" w14:textId="77777777" w:rsidTr="00F73B8E">
        <w:trPr>
          <w:jc w:val="center"/>
        </w:trPr>
        <w:tc>
          <w:tcPr>
            <w:tcW w:w="2410" w:type="dxa"/>
            <w:tcBorders>
              <w:top w:val="nil"/>
              <w:left w:val="nil"/>
              <w:bottom w:val="nil"/>
              <w:right w:val="nil"/>
            </w:tcBorders>
          </w:tcPr>
          <w:p w14:paraId="43969EE0"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sz w:val="20"/>
                <w:szCs w:val="20"/>
              </w:rPr>
              <w:t>₦</w:t>
            </w:r>
            <w:r w:rsidRPr="00F73B8E">
              <w:rPr>
                <w:rFonts w:ascii="Times New Roman" w:hAnsi="Times New Roman" w:cs="Times New Roman"/>
                <w:bCs/>
                <w:sz w:val="20"/>
                <w:szCs w:val="20"/>
              </w:rPr>
              <w:t>115,001-</w:t>
            </w:r>
            <w:r w:rsidRPr="00F73B8E">
              <w:rPr>
                <w:rFonts w:ascii="Times New Roman" w:hAnsi="Times New Roman" w:cs="Times New Roman"/>
                <w:sz w:val="20"/>
                <w:szCs w:val="20"/>
              </w:rPr>
              <w:t>₦</w:t>
            </w:r>
            <w:r w:rsidRPr="00F73B8E">
              <w:rPr>
                <w:rFonts w:ascii="Times New Roman" w:hAnsi="Times New Roman" w:cs="Times New Roman"/>
                <w:bCs/>
                <w:sz w:val="20"/>
                <w:szCs w:val="20"/>
              </w:rPr>
              <w:t>130,000</w:t>
            </w:r>
          </w:p>
        </w:tc>
        <w:tc>
          <w:tcPr>
            <w:tcW w:w="1985" w:type="dxa"/>
            <w:tcBorders>
              <w:top w:val="nil"/>
              <w:left w:val="nil"/>
              <w:bottom w:val="nil"/>
              <w:right w:val="nil"/>
            </w:tcBorders>
          </w:tcPr>
          <w:p w14:paraId="0459DD35"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bCs/>
                <w:sz w:val="20"/>
                <w:szCs w:val="20"/>
              </w:rPr>
              <w:t>8</w:t>
            </w:r>
          </w:p>
        </w:tc>
        <w:tc>
          <w:tcPr>
            <w:tcW w:w="2409" w:type="dxa"/>
            <w:tcBorders>
              <w:top w:val="nil"/>
              <w:left w:val="nil"/>
              <w:bottom w:val="nil"/>
              <w:right w:val="nil"/>
            </w:tcBorders>
          </w:tcPr>
          <w:p w14:paraId="0687E7F7"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bCs/>
                <w:sz w:val="20"/>
                <w:szCs w:val="20"/>
              </w:rPr>
              <w:t>5.3</w:t>
            </w:r>
          </w:p>
        </w:tc>
      </w:tr>
      <w:tr w:rsidR="00BE4AF3" w:rsidRPr="00F73B8E" w14:paraId="05203F55" w14:textId="77777777" w:rsidTr="00F73B8E">
        <w:trPr>
          <w:jc w:val="center"/>
        </w:trPr>
        <w:tc>
          <w:tcPr>
            <w:tcW w:w="2410" w:type="dxa"/>
            <w:tcBorders>
              <w:top w:val="nil"/>
              <w:left w:val="nil"/>
              <w:bottom w:val="nil"/>
              <w:right w:val="nil"/>
            </w:tcBorders>
          </w:tcPr>
          <w:p w14:paraId="2B686A1E"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sz w:val="20"/>
                <w:szCs w:val="20"/>
              </w:rPr>
              <w:t>₦</w:t>
            </w:r>
            <w:r w:rsidRPr="00F73B8E">
              <w:rPr>
                <w:rFonts w:ascii="Times New Roman" w:hAnsi="Times New Roman" w:cs="Times New Roman"/>
                <w:bCs/>
                <w:sz w:val="20"/>
                <w:szCs w:val="20"/>
              </w:rPr>
              <w:t>130,01-</w:t>
            </w:r>
            <w:r w:rsidRPr="00F73B8E">
              <w:rPr>
                <w:rFonts w:ascii="Times New Roman" w:hAnsi="Times New Roman" w:cs="Times New Roman"/>
                <w:sz w:val="20"/>
                <w:szCs w:val="20"/>
              </w:rPr>
              <w:t>₦</w:t>
            </w:r>
            <w:r w:rsidRPr="00F73B8E">
              <w:rPr>
                <w:rFonts w:ascii="Times New Roman" w:hAnsi="Times New Roman" w:cs="Times New Roman"/>
                <w:bCs/>
                <w:sz w:val="20"/>
                <w:szCs w:val="20"/>
              </w:rPr>
              <w:t>145,000</w:t>
            </w:r>
          </w:p>
        </w:tc>
        <w:tc>
          <w:tcPr>
            <w:tcW w:w="1985" w:type="dxa"/>
            <w:tcBorders>
              <w:top w:val="nil"/>
              <w:left w:val="nil"/>
              <w:bottom w:val="nil"/>
              <w:right w:val="nil"/>
            </w:tcBorders>
          </w:tcPr>
          <w:p w14:paraId="5FBBD8A3"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bCs/>
                <w:sz w:val="20"/>
                <w:szCs w:val="20"/>
              </w:rPr>
              <w:t>6</w:t>
            </w:r>
          </w:p>
        </w:tc>
        <w:tc>
          <w:tcPr>
            <w:tcW w:w="2409" w:type="dxa"/>
            <w:tcBorders>
              <w:top w:val="nil"/>
              <w:left w:val="nil"/>
              <w:bottom w:val="nil"/>
              <w:right w:val="nil"/>
            </w:tcBorders>
          </w:tcPr>
          <w:p w14:paraId="4472D9F4"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bCs/>
                <w:sz w:val="20"/>
                <w:szCs w:val="20"/>
              </w:rPr>
              <w:t>3.9</w:t>
            </w:r>
          </w:p>
        </w:tc>
      </w:tr>
      <w:tr w:rsidR="00BE4AF3" w:rsidRPr="00F73B8E" w14:paraId="70D0F060" w14:textId="77777777" w:rsidTr="00F73B8E">
        <w:trPr>
          <w:jc w:val="center"/>
        </w:trPr>
        <w:tc>
          <w:tcPr>
            <w:tcW w:w="2410" w:type="dxa"/>
            <w:tcBorders>
              <w:top w:val="nil"/>
              <w:left w:val="nil"/>
              <w:bottom w:val="nil"/>
              <w:right w:val="nil"/>
            </w:tcBorders>
          </w:tcPr>
          <w:p w14:paraId="412A639D"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sz w:val="20"/>
                <w:szCs w:val="20"/>
              </w:rPr>
              <w:t>₦</w:t>
            </w:r>
            <w:r w:rsidRPr="00F73B8E">
              <w:rPr>
                <w:rFonts w:ascii="Times New Roman" w:hAnsi="Times New Roman" w:cs="Times New Roman"/>
                <w:bCs/>
                <w:sz w:val="20"/>
                <w:szCs w:val="20"/>
              </w:rPr>
              <w:t>145.001-</w:t>
            </w:r>
            <w:r w:rsidRPr="00F73B8E">
              <w:rPr>
                <w:rFonts w:ascii="Times New Roman" w:hAnsi="Times New Roman" w:cs="Times New Roman"/>
                <w:sz w:val="20"/>
                <w:szCs w:val="20"/>
              </w:rPr>
              <w:t>₦</w:t>
            </w:r>
            <w:r w:rsidRPr="00F73B8E">
              <w:rPr>
                <w:rFonts w:ascii="Times New Roman" w:hAnsi="Times New Roman" w:cs="Times New Roman"/>
                <w:bCs/>
                <w:sz w:val="20"/>
                <w:szCs w:val="20"/>
              </w:rPr>
              <w:t>160,000</w:t>
            </w:r>
          </w:p>
        </w:tc>
        <w:tc>
          <w:tcPr>
            <w:tcW w:w="1985" w:type="dxa"/>
            <w:tcBorders>
              <w:top w:val="nil"/>
              <w:left w:val="nil"/>
              <w:bottom w:val="nil"/>
              <w:right w:val="nil"/>
            </w:tcBorders>
          </w:tcPr>
          <w:p w14:paraId="123C5FAB"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bCs/>
                <w:sz w:val="20"/>
                <w:szCs w:val="20"/>
              </w:rPr>
              <w:t>5</w:t>
            </w:r>
          </w:p>
        </w:tc>
        <w:tc>
          <w:tcPr>
            <w:tcW w:w="2409" w:type="dxa"/>
            <w:tcBorders>
              <w:top w:val="nil"/>
              <w:left w:val="nil"/>
              <w:bottom w:val="nil"/>
              <w:right w:val="nil"/>
            </w:tcBorders>
          </w:tcPr>
          <w:p w14:paraId="312EF099"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bCs/>
                <w:sz w:val="20"/>
                <w:szCs w:val="20"/>
              </w:rPr>
              <w:t>3.3</w:t>
            </w:r>
          </w:p>
        </w:tc>
      </w:tr>
      <w:tr w:rsidR="00BE4AF3" w:rsidRPr="00F73B8E" w14:paraId="22EBAD30" w14:textId="77777777" w:rsidTr="00F73B8E">
        <w:trPr>
          <w:jc w:val="center"/>
        </w:trPr>
        <w:tc>
          <w:tcPr>
            <w:tcW w:w="2410" w:type="dxa"/>
            <w:tcBorders>
              <w:top w:val="nil"/>
              <w:left w:val="nil"/>
              <w:bottom w:val="nil"/>
              <w:right w:val="nil"/>
            </w:tcBorders>
          </w:tcPr>
          <w:p w14:paraId="1AA28811"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sz w:val="20"/>
                <w:szCs w:val="20"/>
              </w:rPr>
              <w:t>₦</w:t>
            </w:r>
            <w:r w:rsidRPr="00F73B8E">
              <w:rPr>
                <w:rFonts w:ascii="Times New Roman" w:hAnsi="Times New Roman" w:cs="Times New Roman"/>
                <w:bCs/>
                <w:sz w:val="20"/>
                <w:szCs w:val="20"/>
              </w:rPr>
              <w:t>160,001 and above</w:t>
            </w:r>
          </w:p>
        </w:tc>
        <w:tc>
          <w:tcPr>
            <w:tcW w:w="1985" w:type="dxa"/>
            <w:tcBorders>
              <w:top w:val="nil"/>
              <w:left w:val="nil"/>
              <w:bottom w:val="nil"/>
              <w:right w:val="nil"/>
            </w:tcBorders>
          </w:tcPr>
          <w:p w14:paraId="684AAAF2"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bCs/>
                <w:sz w:val="20"/>
                <w:szCs w:val="20"/>
              </w:rPr>
              <w:t>3</w:t>
            </w:r>
          </w:p>
        </w:tc>
        <w:tc>
          <w:tcPr>
            <w:tcW w:w="2409" w:type="dxa"/>
            <w:tcBorders>
              <w:top w:val="nil"/>
              <w:left w:val="nil"/>
              <w:bottom w:val="nil"/>
              <w:right w:val="nil"/>
            </w:tcBorders>
          </w:tcPr>
          <w:p w14:paraId="138CFDA7" w14:textId="77777777" w:rsidR="00BE4AF3" w:rsidRPr="00F73B8E" w:rsidRDefault="00BE4AF3" w:rsidP="00F73B8E">
            <w:pPr>
              <w:spacing w:after="0" w:line="240" w:lineRule="auto"/>
              <w:jc w:val="both"/>
              <w:rPr>
                <w:rFonts w:ascii="Times New Roman" w:hAnsi="Times New Roman" w:cs="Times New Roman"/>
                <w:bCs/>
                <w:sz w:val="20"/>
                <w:szCs w:val="20"/>
              </w:rPr>
            </w:pPr>
            <w:r w:rsidRPr="00F73B8E">
              <w:rPr>
                <w:rFonts w:ascii="Times New Roman" w:hAnsi="Times New Roman" w:cs="Times New Roman"/>
                <w:bCs/>
                <w:sz w:val="20"/>
                <w:szCs w:val="20"/>
              </w:rPr>
              <w:t>1.9</w:t>
            </w:r>
          </w:p>
        </w:tc>
      </w:tr>
      <w:tr w:rsidR="00BE4AF3" w:rsidRPr="00F73B8E" w14:paraId="58A91E59" w14:textId="77777777" w:rsidTr="00F73B8E">
        <w:trPr>
          <w:jc w:val="center"/>
        </w:trPr>
        <w:tc>
          <w:tcPr>
            <w:tcW w:w="2410" w:type="dxa"/>
            <w:tcBorders>
              <w:top w:val="nil"/>
              <w:left w:val="nil"/>
              <w:bottom w:val="single" w:sz="4" w:space="0" w:color="auto"/>
              <w:right w:val="nil"/>
            </w:tcBorders>
          </w:tcPr>
          <w:p w14:paraId="465FC2C9" w14:textId="77777777" w:rsidR="00BE4AF3" w:rsidRPr="00F73B8E" w:rsidRDefault="00BE4AF3" w:rsidP="00F73B8E">
            <w:pPr>
              <w:spacing w:after="0" w:line="240" w:lineRule="auto"/>
              <w:jc w:val="both"/>
              <w:rPr>
                <w:rFonts w:ascii="Times New Roman" w:hAnsi="Times New Roman" w:cs="Times New Roman"/>
                <w:b/>
                <w:bCs/>
                <w:sz w:val="20"/>
                <w:szCs w:val="20"/>
              </w:rPr>
            </w:pPr>
            <w:r w:rsidRPr="00F73B8E">
              <w:rPr>
                <w:rFonts w:ascii="Times New Roman" w:hAnsi="Times New Roman" w:cs="Times New Roman"/>
                <w:b/>
                <w:bCs/>
                <w:sz w:val="20"/>
                <w:szCs w:val="20"/>
              </w:rPr>
              <w:t xml:space="preserve">Total </w:t>
            </w:r>
          </w:p>
        </w:tc>
        <w:tc>
          <w:tcPr>
            <w:tcW w:w="1985" w:type="dxa"/>
            <w:tcBorders>
              <w:top w:val="nil"/>
              <w:left w:val="nil"/>
              <w:bottom w:val="single" w:sz="4" w:space="0" w:color="auto"/>
              <w:right w:val="nil"/>
            </w:tcBorders>
          </w:tcPr>
          <w:p w14:paraId="62C06346" w14:textId="77777777" w:rsidR="00BE4AF3" w:rsidRPr="00F73B8E" w:rsidRDefault="00BE4AF3" w:rsidP="00F73B8E">
            <w:pPr>
              <w:spacing w:after="0" w:line="240" w:lineRule="auto"/>
              <w:jc w:val="both"/>
              <w:rPr>
                <w:rFonts w:ascii="Times New Roman" w:hAnsi="Times New Roman" w:cs="Times New Roman"/>
                <w:b/>
                <w:bCs/>
                <w:sz w:val="20"/>
                <w:szCs w:val="20"/>
              </w:rPr>
            </w:pPr>
            <w:r w:rsidRPr="00F73B8E">
              <w:rPr>
                <w:rFonts w:ascii="Times New Roman" w:hAnsi="Times New Roman" w:cs="Times New Roman"/>
                <w:b/>
                <w:bCs/>
                <w:sz w:val="20"/>
                <w:szCs w:val="20"/>
              </w:rPr>
              <w:t>152</w:t>
            </w:r>
          </w:p>
        </w:tc>
        <w:tc>
          <w:tcPr>
            <w:tcW w:w="2409" w:type="dxa"/>
            <w:tcBorders>
              <w:top w:val="nil"/>
              <w:left w:val="nil"/>
              <w:bottom w:val="single" w:sz="4" w:space="0" w:color="auto"/>
              <w:right w:val="nil"/>
            </w:tcBorders>
          </w:tcPr>
          <w:p w14:paraId="09AD4E7F" w14:textId="77777777" w:rsidR="00BE4AF3" w:rsidRPr="00F73B8E" w:rsidRDefault="00BE4AF3" w:rsidP="00F73B8E">
            <w:pPr>
              <w:spacing w:after="0" w:line="240" w:lineRule="auto"/>
              <w:jc w:val="both"/>
              <w:rPr>
                <w:rFonts w:ascii="Times New Roman" w:hAnsi="Times New Roman" w:cs="Times New Roman"/>
                <w:b/>
                <w:bCs/>
                <w:sz w:val="20"/>
                <w:szCs w:val="20"/>
              </w:rPr>
            </w:pPr>
            <w:r w:rsidRPr="00F73B8E">
              <w:rPr>
                <w:rFonts w:ascii="Times New Roman" w:hAnsi="Times New Roman" w:cs="Times New Roman"/>
                <w:b/>
                <w:bCs/>
                <w:sz w:val="20"/>
                <w:szCs w:val="20"/>
              </w:rPr>
              <w:t>100</w:t>
            </w:r>
          </w:p>
        </w:tc>
      </w:tr>
    </w:tbl>
    <w:p w14:paraId="6AFE2FB8" w14:textId="1000122F" w:rsidR="00BE4AF3" w:rsidRPr="00F73B8E" w:rsidRDefault="00BE4AF3" w:rsidP="00F73B8E">
      <w:pPr>
        <w:spacing w:after="0"/>
        <w:jc w:val="center"/>
        <w:rPr>
          <w:rFonts w:ascii="Times New Roman" w:hAnsi="Times New Roman" w:cs="Times New Roman"/>
          <w:bCs/>
          <w:sz w:val="24"/>
          <w:szCs w:val="24"/>
        </w:rPr>
      </w:pPr>
      <w:r w:rsidRPr="00F73B8E">
        <w:rPr>
          <w:rFonts w:ascii="Times New Roman" w:hAnsi="Times New Roman" w:cs="Times New Roman"/>
          <w:bCs/>
          <w:sz w:val="24"/>
          <w:szCs w:val="24"/>
        </w:rPr>
        <w:t>Source: Author’s Field Survey, 2025</w:t>
      </w:r>
    </w:p>
    <w:p w14:paraId="34799B8F" w14:textId="77777777" w:rsidR="00BE4AF3" w:rsidRPr="00BE4AF3" w:rsidRDefault="00BE4AF3" w:rsidP="00F73B8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Table 2 it was revealed that average monthly income of the respondents of less than ₦70,000 was 7.9%, 28.3% earns ₦70,001-₦85,000, 40.8% earns ₦85,001-₦100,000,8.6% earns ₦100,001-₦115,000,5.3% earns ₦115,001-$130,000,3.9% earn ₦130,001-₦145,000, 3.3% earns ₦145,001-₦160,000 monthly while 1.9% earn ₦160,001 and above respectively. This implied that most respondents are lower income earner who earn slightly above the National minimum wages of Nigeria of ₦70,000. It implied that with the meager earning household could only developed micro housing for their immediate family.</w:t>
      </w:r>
    </w:p>
    <w:p w14:paraId="7CAC06DC" w14:textId="77777777" w:rsidR="00F73B8E" w:rsidRDefault="00F73B8E" w:rsidP="00BE4AF3">
      <w:pPr>
        <w:jc w:val="both"/>
        <w:rPr>
          <w:rFonts w:ascii="Times New Roman" w:hAnsi="Times New Roman" w:cs="Times New Roman"/>
          <w:b/>
          <w:sz w:val="24"/>
          <w:szCs w:val="24"/>
        </w:rPr>
      </w:pPr>
    </w:p>
    <w:p w14:paraId="38517E36" w14:textId="2FE84501" w:rsidR="00BE4AF3" w:rsidRPr="00BE4AF3" w:rsidRDefault="00BE4AF3" w:rsidP="00BE4AF3">
      <w:pPr>
        <w:jc w:val="both"/>
        <w:rPr>
          <w:rFonts w:ascii="Times New Roman" w:hAnsi="Times New Roman" w:cs="Times New Roman"/>
          <w:b/>
          <w:sz w:val="24"/>
          <w:szCs w:val="24"/>
        </w:rPr>
      </w:pPr>
      <w:r w:rsidRPr="00BE4AF3">
        <w:rPr>
          <w:rFonts w:ascii="Times New Roman" w:hAnsi="Times New Roman" w:cs="Times New Roman"/>
          <w:b/>
          <w:sz w:val="24"/>
          <w:szCs w:val="24"/>
        </w:rPr>
        <w:t>Identification of micro housing and facilities</w:t>
      </w:r>
    </w:p>
    <w:p w14:paraId="2963BF7A" w14:textId="77777777" w:rsidR="00BE4AF3" w:rsidRPr="00BE4AF3" w:rsidRDefault="00BE4AF3" w:rsidP="00BE4AF3">
      <w:pPr>
        <w:spacing w:after="0"/>
        <w:jc w:val="both"/>
        <w:rPr>
          <w:rFonts w:ascii="Times New Roman" w:hAnsi="Times New Roman" w:cs="Times New Roman"/>
          <w:b/>
          <w:sz w:val="24"/>
          <w:szCs w:val="24"/>
        </w:rPr>
      </w:pPr>
      <w:r w:rsidRPr="00BE4AF3">
        <w:rPr>
          <w:rFonts w:ascii="Times New Roman" w:hAnsi="Times New Roman" w:cs="Times New Roman"/>
          <w:sz w:val="24"/>
          <w:szCs w:val="24"/>
        </w:rPr>
        <w:t xml:space="preserve">                    </w:t>
      </w:r>
    </w:p>
    <w:p w14:paraId="72B56756" w14:textId="77777777" w:rsidR="00BE4AF3" w:rsidRPr="00BE4AF3" w:rsidRDefault="00BE4AF3" w:rsidP="00BE4AF3">
      <w:pPr>
        <w:spacing w:after="0"/>
        <w:jc w:val="both"/>
        <w:rPr>
          <w:rFonts w:ascii="Times New Roman" w:hAnsi="Times New Roman" w:cs="Times New Roman"/>
          <w:sz w:val="24"/>
          <w:szCs w:val="24"/>
        </w:rPr>
      </w:pPr>
    </w:p>
    <w:p w14:paraId="344A3B0A" w14:textId="77777777" w:rsidR="00BE4AF3" w:rsidRPr="00BE4AF3" w:rsidRDefault="00BE4AF3" w:rsidP="00BE4AF3">
      <w:pPr>
        <w:spacing w:after="0"/>
        <w:jc w:val="both"/>
        <w:rPr>
          <w:rFonts w:ascii="Times New Roman" w:hAnsi="Times New Roman" w:cs="Times New Roman"/>
          <w:sz w:val="24"/>
          <w:szCs w:val="24"/>
        </w:rPr>
      </w:pPr>
      <w:r w:rsidRPr="00BE4AF3">
        <w:rPr>
          <w:rFonts w:ascii="Times New Roman" w:hAnsi="Times New Roman" w:cs="Times New Roman"/>
          <w:noProof/>
          <w:sz w:val="24"/>
          <w:szCs w:val="24"/>
          <w:lang w:eastAsia="en-GB"/>
        </w:rPr>
        <w:drawing>
          <wp:inline distT="0" distB="0" distL="0" distR="0" wp14:anchorId="0518F5E5" wp14:editId="299DFB2E">
            <wp:extent cx="2667000" cy="2028825"/>
            <wp:effectExtent l="19050" t="0" r="0" b="0"/>
            <wp:docPr id="41" name="Picture 6" descr="C:\Documents and Settings\user\Local Settings\Temporary Internet Files\Content.Word\DSC0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Local Settings\Temporary Internet Files\Content.Word\DSC00455.jpg"/>
                    <pic:cNvPicPr>
                      <a:picLocks noChangeAspect="1" noChangeArrowheads="1"/>
                    </pic:cNvPicPr>
                  </pic:nvPicPr>
                  <pic:blipFill>
                    <a:blip r:embed="rId239" cstate="print"/>
                    <a:srcRect/>
                    <a:stretch>
                      <a:fillRect/>
                    </a:stretch>
                  </pic:blipFill>
                  <pic:spPr bwMode="auto">
                    <a:xfrm>
                      <a:off x="0" y="0"/>
                      <a:ext cx="2668512" cy="2029975"/>
                    </a:xfrm>
                    <a:prstGeom prst="rect">
                      <a:avLst/>
                    </a:prstGeom>
                    <a:noFill/>
                    <a:ln w="9525">
                      <a:noFill/>
                      <a:miter lim="800000"/>
                      <a:headEnd/>
                      <a:tailEnd/>
                    </a:ln>
                  </pic:spPr>
                </pic:pic>
              </a:graphicData>
            </a:graphic>
          </wp:inline>
        </w:drawing>
      </w:r>
      <w:r w:rsidRPr="00BE4AF3">
        <w:rPr>
          <w:rFonts w:ascii="Times New Roman" w:hAnsi="Times New Roman" w:cs="Times New Roman"/>
          <w:noProof/>
          <w:sz w:val="24"/>
          <w:szCs w:val="24"/>
        </w:rPr>
        <w:t xml:space="preserve">            </w:t>
      </w:r>
      <w:r w:rsidRPr="00BE4AF3">
        <w:rPr>
          <w:rFonts w:ascii="Times New Roman" w:hAnsi="Times New Roman" w:cs="Times New Roman"/>
          <w:noProof/>
          <w:sz w:val="24"/>
          <w:szCs w:val="24"/>
          <w:lang w:eastAsia="en-GB"/>
        </w:rPr>
        <w:drawing>
          <wp:inline distT="0" distB="0" distL="0" distR="0" wp14:anchorId="2CB9D4E6" wp14:editId="70295671">
            <wp:extent cx="2743200" cy="1962150"/>
            <wp:effectExtent l="19050" t="0" r="0" b="0"/>
            <wp:docPr id="42" name="Picture 9" descr="C:\Documents and Settings\user\Local Settings\Temporary Internet Files\Content.Word\Image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Local Settings\Temporary Internet Files\Content.Word\Image0210.jpg"/>
                    <pic:cNvPicPr>
                      <a:picLocks noChangeAspect="1" noChangeArrowheads="1"/>
                    </pic:cNvPicPr>
                  </pic:nvPicPr>
                  <pic:blipFill>
                    <a:blip r:embed="rId240" cstate="print"/>
                    <a:srcRect/>
                    <a:stretch>
                      <a:fillRect/>
                    </a:stretch>
                  </pic:blipFill>
                  <pic:spPr bwMode="auto">
                    <a:xfrm>
                      <a:off x="0" y="0"/>
                      <a:ext cx="2743200" cy="1962150"/>
                    </a:xfrm>
                    <a:prstGeom prst="rect">
                      <a:avLst/>
                    </a:prstGeom>
                    <a:noFill/>
                    <a:ln w="9525">
                      <a:noFill/>
                      <a:miter lim="800000"/>
                      <a:headEnd/>
                      <a:tailEnd/>
                    </a:ln>
                  </pic:spPr>
                </pic:pic>
              </a:graphicData>
            </a:graphic>
          </wp:inline>
        </w:drawing>
      </w:r>
    </w:p>
    <w:p w14:paraId="1EC7BE95" w14:textId="77777777" w:rsidR="00BE4AF3" w:rsidRPr="00BE4AF3" w:rsidRDefault="00BE4AF3" w:rsidP="00F73B8E">
      <w:pPr>
        <w:spacing w:after="0" w:line="240" w:lineRule="auto"/>
        <w:jc w:val="both"/>
        <w:rPr>
          <w:rFonts w:ascii="Times New Roman" w:hAnsi="Times New Roman" w:cs="Times New Roman"/>
          <w:sz w:val="24"/>
          <w:szCs w:val="24"/>
        </w:rPr>
      </w:pPr>
      <w:r w:rsidRPr="00F73B8E">
        <w:rPr>
          <w:rFonts w:ascii="Times New Roman" w:hAnsi="Times New Roman" w:cs="Times New Roman"/>
          <w:b/>
          <w:bCs/>
          <w:sz w:val="24"/>
          <w:szCs w:val="24"/>
        </w:rPr>
        <w:t>Plate I:</w:t>
      </w:r>
      <w:r w:rsidRPr="00BE4AF3">
        <w:rPr>
          <w:rFonts w:ascii="Times New Roman" w:hAnsi="Times New Roman" w:cs="Times New Roman"/>
          <w:sz w:val="24"/>
          <w:szCs w:val="24"/>
        </w:rPr>
        <w:t xml:space="preserve"> A micro house in Gadube with its            </w:t>
      </w:r>
      <w:r w:rsidRPr="00F73B8E">
        <w:rPr>
          <w:rFonts w:ascii="Times New Roman" w:hAnsi="Times New Roman" w:cs="Times New Roman"/>
          <w:b/>
          <w:bCs/>
          <w:sz w:val="24"/>
          <w:szCs w:val="24"/>
        </w:rPr>
        <w:t>Plate II:</w:t>
      </w:r>
      <w:r w:rsidRPr="00BE4AF3">
        <w:rPr>
          <w:rFonts w:ascii="Times New Roman" w:hAnsi="Times New Roman" w:cs="Times New Roman"/>
          <w:sz w:val="24"/>
          <w:szCs w:val="24"/>
        </w:rPr>
        <w:t xml:space="preserve"> A micro house in Tundun Fulani </w:t>
      </w:r>
    </w:p>
    <w:p w14:paraId="6FE72CB3" w14:textId="77777777" w:rsidR="00BE4AF3" w:rsidRPr="00BE4AF3" w:rsidRDefault="00BE4AF3" w:rsidP="00F73B8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Uncompleted soak away                                          with its outside kitchen</w:t>
      </w:r>
    </w:p>
    <w:p w14:paraId="12AAAF50" w14:textId="77777777" w:rsidR="00BE4AF3" w:rsidRPr="00BE4AF3" w:rsidRDefault="00BE4AF3" w:rsidP="00F73B8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 Source: Author’s Field Survey, 2025                     Source: Author’s Field Survey, 2025</w:t>
      </w:r>
    </w:p>
    <w:p w14:paraId="39145346" w14:textId="77777777" w:rsidR="00BE4AF3" w:rsidRPr="00BE4AF3" w:rsidRDefault="00BE4AF3" w:rsidP="00BE4AF3">
      <w:pPr>
        <w:spacing w:after="0"/>
        <w:jc w:val="both"/>
        <w:rPr>
          <w:rFonts w:ascii="Times New Roman" w:hAnsi="Times New Roman" w:cs="Times New Roman"/>
          <w:sz w:val="24"/>
          <w:szCs w:val="24"/>
        </w:rPr>
      </w:pPr>
    </w:p>
    <w:p w14:paraId="5BCB7BA5" w14:textId="77777777" w:rsidR="00BE4AF3" w:rsidRPr="00BE4AF3" w:rsidRDefault="00BE4AF3" w:rsidP="00BE4AF3">
      <w:pPr>
        <w:spacing w:after="0"/>
        <w:jc w:val="both"/>
        <w:rPr>
          <w:rFonts w:ascii="Times New Roman" w:hAnsi="Times New Roman" w:cs="Times New Roman"/>
          <w:sz w:val="24"/>
          <w:szCs w:val="24"/>
        </w:rPr>
      </w:pPr>
      <w:r w:rsidRPr="00BE4AF3">
        <w:rPr>
          <w:rFonts w:ascii="Times New Roman" w:hAnsi="Times New Roman" w:cs="Times New Roman"/>
          <w:noProof/>
          <w:sz w:val="24"/>
          <w:szCs w:val="24"/>
          <w:lang w:eastAsia="en-GB"/>
        </w:rPr>
        <w:lastRenderedPageBreak/>
        <w:drawing>
          <wp:inline distT="0" distB="0" distL="0" distR="0" wp14:anchorId="7CE6138D" wp14:editId="2188F4A5">
            <wp:extent cx="2667000" cy="1885950"/>
            <wp:effectExtent l="19050" t="0" r="0" b="0"/>
            <wp:docPr id="43" name="Picture 15" descr="C:\Documents and Settings\user\Local Settings\Temporary Internet Files\Content.Word\DSC00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user\Local Settings\Temporary Internet Files\Content.Word\DSC00443.jpg"/>
                    <pic:cNvPicPr>
                      <a:picLocks noChangeAspect="1" noChangeArrowheads="1"/>
                    </pic:cNvPicPr>
                  </pic:nvPicPr>
                  <pic:blipFill>
                    <a:blip r:embed="rId241" cstate="print"/>
                    <a:srcRect/>
                    <a:stretch>
                      <a:fillRect/>
                    </a:stretch>
                  </pic:blipFill>
                  <pic:spPr bwMode="auto">
                    <a:xfrm>
                      <a:off x="0" y="0"/>
                      <a:ext cx="2667000" cy="1885950"/>
                    </a:xfrm>
                    <a:prstGeom prst="rect">
                      <a:avLst/>
                    </a:prstGeom>
                    <a:noFill/>
                    <a:ln w="9525">
                      <a:noFill/>
                      <a:miter lim="800000"/>
                      <a:headEnd/>
                      <a:tailEnd/>
                    </a:ln>
                  </pic:spPr>
                </pic:pic>
              </a:graphicData>
            </a:graphic>
          </wp:inline>
        </w:drawing>
      </w:r>
      <w:r w:rsidRPr="00BE4AF3">
        <w:rPr>
          <w:rFonts w:ascii="Times New Roman" w:hAnsi="Times New Roman" w:cs="Times New Roman"/>
          <w:noProof/>
          <w:sz w:val="24"/>
          <w:szCs w:val="24"/>
        </w:rPr>
        <w:t xml:space="preserve">           </w:t>
      </w:r>
      <w:r w:rsidRPr="00BE4AF3">
        <w:rPr>
          <w:rFonts w:ascii="Times New Roman" w:hAnsi="Times New Roman" w:cs="Times New Roman"/>
          <w:noProof/>
          <w:sz w:val="24"/>
          <w:szCs w:val="24"/>
          <w:lang w:eastAsia="en-GB"/>
        </w:rPr>
        <w:drawing>
          <wp:inline distT="0" distB="0" distL="0" distR="0" wp14:anchorId="1E1E317D" wp14:editId="075D5032">
            <wp:extent cx="2705100" cy="1933575"/>
            <wp:effectExtent l="0" t="0" r="0" b="9525"/>
            <wp:docPr id="46" name="Picture 24" descr="C:\Documents and Settings\user\Local Settings\Temporary Internet Files\Content.Word\DSC0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user\Local Settings\Temporary Internet Files\Content.Word\DSC00459.jpg"/>
                    <pic:cNvPicPr>
                      <a:picLocks noChangeAspect="1" noChangeArrowheads="1"/>
                    </pic:cNvPicPr>
                  </pic:nvPicPr>
                  <pic:blipFill>
                    <a:blip r:embed="rId242" cstate="print"/>
                    <a:srcRect/>
                    <a:stretch>
                      <a:fillRect/>
                    </a:stretch>
                  </pic:blipFill>
                  <pic:spPr bwMode="auto">
                    <a:xfrm>
                      <a:off x="0" y="0"/>
                      <a:ext cx="2705185" cy="1933636"/>
                    </a:xfrm>
                    <a:prstGeom prst="rect">
                      <a:avLst/>
                    </a:prstGeom>
                    <a:noFill/>
                    <a:ln w="9525">
                      <a:noFill/>
                      <a:miter lim="800000"/>
                      <a:headEnd/>
                      <a:tailEnd/>
                    </a:ln>
                  </pic:spPr>
                </pic:pic>
              </a:graphicData>
            </a:graphic>
          </wp:inline>
        </w:drawing>
      </w:r>
      <w:r w:rsidRPr="00BE4AF3">
        <w:rPr>
          <w:rFonts w:ascii="Times New Roman" w:hAnsi="Times New Roman" w:cs="Times New Roman"/>
          <w:noProof/>
          <w:sz w:val="24"/>
          <w:szCs w:val="24"/>
        </w:rPr>
        <w:t xml:space="preserve">   </w:t>
      </w:r>
    </w:p>
    <w:p w14:paraId="28535344" w14:textId="77777777" w:rsidR="00BE4AF3" w:rsidRPr="00BE4AF3" w:rsidRDefault="00BE4AF3" w:rsidP="00BE4AF3">
      <w:pPr>
        <w:spacing w:after="0"/>
        <w:jc w:val="both"/>
        <w:rPr>
          <w:rFonts w:ascii="Times New Roman" w:hAnsi="Times New Roman" w:cs="Times New Roman"/>
          <w:sz w:val="24"/>
          <w:szCs w:val="24"/>
        </w:rPr>
      </w:pPr>
      <w:r w:rsidRPr="00F73B8E">
        <w:rPr>
          <w:rFonts w:ascii="Times New Roman" w:hAnsi="Times New Roman" w:cs="Times New Roman"/>
          <w:b/>
          <w:bCs/>
          <w:sz w:val="24"/>
          <w:szCs w:val="24"/>
        </w:rPr>
        <w:t>Plate III:</w:t>
      </w:r>
      <w:r w:rsidRPr="00BE4AF3">
        <w:rPr>
          <w:rFonts w:ascii="Times New Roman" w:hAnsi="Times New Roman" w:cs="Times New Roman"/>
          <w:sz w:val="24"/>
          <w:szCs w:val="24"/>
        </w:rPr>
        <w:t xml:space="preserve"> A micro house with corrugated iron             </w:t>
      </w:r>
    </w:p>
    <w:p w14:paraId="1FAE27E1" w14:textId="77777777" w:rsidR="00BE4AF3" w:rsidRPr="00BE4AF3" w:rsidRDefault="00BE4AF3" w:rsidP="00BE4AF3">
      <w:pPr>
        <w:spacing w:after="0"/>
        <w:jc w:val="both"/>
        <w:rPr>
          <w:rFonts w:ascii="Times New Roman" w:hAnsi="Times New Roman" w:cs="Times New Roman"/>
          <w:sz w:val="24"/>
          <w:szCs w:val="24"/>
        </w:rPr>
      </w:pPr>
      <w:r w:rsidRPr="00BE4AF3">
        <w:rPr>
          <w:rFonts w:ascii="Times New Roman" w:hAnsi="Times New Roman" w:cs="Times New Roman"/>
          <w:sz w:val="24"/>
          <w:szCs w:val="24"/>
        </w:rPr>
        <w:t xml:space="preserve">Fencing in Maitumbi                                              </w:t>
      </w:r>
      <w:r w:rsidRPr="00F73B8E">
        <w:rPr>
          <w:rFonts w:ascii="Times New Roman" w:hAnsi="Times New Roman" w:cs="Times New Roman"/>
          <w:b/>
          <w:bCs/>
          <w:sz w:val="24"/>
          <w:szCs w:val="24"/>
        </w:rPr>
        <w:t>Plate IV:</w:t>
      </w:r>
      <w:r w:rsidRPr="00BE4AF3">
        <w:rPr>
          <w:rFonts w:ascii="Times New Roman" w:hAnsi="Times New Roman" w:cs="Times New Roman"/>
          <w:sz w:val="24"/>
          <w:szCs w:val="24"/>
        </w:rPr>
        <w:t xml:space="preserve"> Micro house in abandoned quarry                              </w:t>
      </w:r>
    </w:p>
    <w:p w14:paraId="6C66B61D" w14:textId="058DC92F" w:rsidR="00BE4AF3" w:rsidRPr="00BE4AF3" w:rsidRDefault="00BE4AF3" w:rsidP="00F73B8E">
      <w:pPr>
        <w:spacing w:after="0"/>
        <w:ind w:left="4320" w:firstLine="720"/>
        <w:jc w:val="both"/>
        <w:rPr>
          <w:rFonts w:ascii="Times New Roman" w:hAnsi="Times New Roman" w:cs="Times New Roman"/>
          <w:sz w:val="24"/>
          <w:szCs w:val="24"/>
        </w:rPr>
      </w:pPr>
      <w:r w:rsidRPr="00BE4AF3">
        <w:rPr>
          <w:rFonts w:ascii="Times New Roman" w:hAnsi="Times New Roman" w:cs="Times New Roman"/>
          <w:sz w:val="24"/>
          <w:szCs w:val="24"/>
        </w:rPr>
        <w:t>Site in Nyikangbe</w:t>
      </w:r>
    </w:p>
    <w:p w14:paraId="3B656129" w14:textId="77777777" w:rsidR="00BE4AF3" w:rsidRPr="00B3360F" w:rsidRDefault="00BE4AF3" w:rsidP="00BE4AF3">
      <w:pPr>
        <w:jc w:val="both"/>
        <w:rPr>
          <w:rFonts w:ascii="Times New Roman" w:hAnsi="Times New Roman" w:cs="Times New Roman"/>
          <w:bCs/>
          <w:sz w:val="24"/>
          <w:szCs w:val="24"/>
        </w:rPr>
      </w:pPr>
      <w:r w:rsidRPr="00BE4AF3">
        <w:rPr>
          <w:rFonts w:ascii="Times New Roman" w:hAnsi="Times New Roman" w:cs="Times New Roman"/>
          <w:sz w:val="24"/>
          <w:szCs w:val="24"/>
        </w:rPr>
        <w:t xml:space="preserve">                                 </w:t>
      </w:r>
      <w:r w:rsidRPr="00B3360F">
        <w:rPr>
          <w:rFonts w:ascii="Times New Roman" w:hAnsi="Times New Roman" w:cs="Times New Roman"/>
          <w:bCs/>
          <w:sz w:val="24"/>
          <w:szCs w:val="24"/>
        </w:rPr>
        <w:t xml:space="preserve">Source: Author’s Field Survey, 2025                         </w:t>
      </w:r>
    </w:p>
    <w:p w14:paraId="3B4D27A7" w14:textId="39F3439D" w:rsidR="00BE4AF3" w:rsidRPr="00BE4AF3" w:rsidRDefault="00BE4AF3" w:rsidP="00B3360F">
      <w:pPr>
        <w:spacing w:line="240" w:lineRule="auto"/>
        <w:jc w:val="both"/>
        <w:rPr>
          <w:rFonts w:ascii="Times New Roman" w:hAnsi="Times New Roman" w:cs="Times New Roman"/>
          <w:b/>
          <w:sz w:val="24"/>
          <w:szCs w:val="24"/>
        </w:rPr>
      </w:pPr>
      <w:r w:rsidRPr="00BE4AF3">
        <w:rPr>
          <w:rFonts w:ascii="Times New Roman" w:hAnsi="Times New Roman" w:cs="Times New Roman"/>
          <w:sz w:val="24"/>
          <w:szCs w:val="24"/>
        </w:rPr>
        <w:t xml:space="preserve">It was observed from the plate I-IV showed above </w:t>
      </w:r>
      <w:r w:rsidR="00B3360F" w:rsidRPr="00BE4AF3">
        <w:rPr>
          <w:rFonts w:ascii="Times New Roman" w:hAnsi="Times New Roman" w:cs="Times New Roman"/>
          <w:sz w:val="24"/>
          <w:szCs w:val="24"/>
        </w:rPr>
        <w:t>that micro house</w:t>
      </w:r>
      <w:r w:rsidRPr="00BE4AF3">
        <w:rPr>
          <w:rFonts w:ascii="Times New Roman" w:hAnsi="Times New Roman" w:cs="Times New Roman"/>
          <w:sz w:val="24"/>
          <w:szCs w:val="24"/>
        </w:rPr>
        <w:t xml:space="preserve"> in the eight selected peri-urban neighborhoods of Minna. This implied that micro houses differ in size, types, construction materials and condition as well as facilities within the study area.</w:t>
      </w:r>
    </w:p>
    <w:p w14:paraId="19F70FA1" w14:textId="12838F80" w:rsidR="00BE4AF3" w:rsidRPr="00B3360F" w:rsidRDefault="00BE4AF3" w:rsidP="00B3360F">
      <w:pPr>
        <w:spacing w:after="0" w:line="240" w:lineRule="auto"/>
        <w:jc w:val="center"/>
        <w:rPr>
          <w:rFonts w:ascii="Times New Roman" w:hAnsi="Times New Roman" w:cs="Times New Roman"/>
          <w:sz w:val="24"/>
          <w:szCs w:val="24"/>
        </w:rPr>
      </w:pPr>
      <w:r w:rsidRPr="00BE4AF3">
        <w:rPr>
          <w:rFonts w:ascii="Times New Roman" w:hAnsi="Times New Roman" w:cs="Times New Roman"/>
          <w:b/>
          <w:bCs/>
          <w:sz w:val="24"/>
          <w:szCs w:val="24"/>
        </w:rPr>
        <w:t>Table 3:</w:t>
      </w:r>
      <w:r w:rsidR="00B3360F">
        <w:rPr>
          <w:rFonts w:ascii="Times New Roman" w:hAnsi="Times New Roman" w:cs="Times New Roman"/>
          <w:b/>
          <w:bCs/>
          <w:sz w:val="24"/>
          <w:szCs w:val="24"/>
        </w:rPr>
        <w:t xml:space="preserve"> </w:t>
      </w:r>
      <w:r w:rsidRPr="00B3360F">
        <w:rPr>
          <w:rFonts w:ascii="Times New Roman" w:hAnsi="Times New Roman" w:cs="Times New Roman"/>
          <w:sz w:val="24"/>
          <w:szCs w:val="24"/>
        </w:rPr>
        <w:t>Process of Land Ownership</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8"/>
        <w:gridCol w:w="1326"/>
        <w:gridCol w:w="2367"/>
      </w:tblGrid>
      <w:tr w:rsidR="00BE4AF3" w:rsidRPr="00B3360F" w14:paraId="06744734" w14:textId="77777777" w:rsidTr="00B3360F">
        <w:trPr>
          <w:trHeight w:val="349"/>
          <w:jc w:val="center"/>
        </w:trPr>
        <w:tc>
          <w:tcPr>
            <w:tcW w:w="3408" w:type="dxa"/>
            <w:tcBorders>
              <w:top w:val="single" w:sz="4" w:space="0" w:color="auto"/>
              <w:bottom w:val="single" w:sz="4" w:space="0" w:color="auto"/>
            </w:tcBorders>
          </w:tcPr>
          <w:p w14:paraId="361F64C9"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Process of Land Purchase</w:t>
            </w:r>
          </w:p>
        </w:tc>
        <w:tc>
          <w:tcPr>
            <w:tcW w:w="1326" w:type="dxa"/>
            <w:tcBorders>
              <w:top w:val="single" w:sz="4" w:space="0" w:color="auto"/>
              <w:bottom w:val="single" w:sz="4" w:space="0" w:color="auto"/>
            </w:tcBorders>
          </w:tcPr>
          <w:p w14:paraId="6D6A4FEE"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 xml:space="preserve">Frequency </w:t>
            </w:r>
          </w:p>
        </w:tc>
        <w:tc>
          <w:tcPr>
            <w:tcW w:w="2367" w:type="dxa"/>
            <w:tcBorders>
              <w:top w:val="single" w:sz="4" w:space="0" w:color="auto"/>
              <w:bottom w:val="single" w:sz="4" w:space="0" w:color="auto"/>
            </w:tcBorders>
          </w:tcPr>
          <w:p w14:paraId="2289404B"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Percent %</w:t>
            </w:r>
          </w:p>
        </w:tc>
      </w:tr>
      <w:tr w:rsidR="00BE4AF3" w:rsidRPr="00B3360F" w14:paraId="34E6E76F" w14:textId="77777777" w:rsidTr="00B3360F">
        <w:trPr>
          <w:trHeight w:val="362"/>
          <w:jc w:val="center"/>
        </w:trPr>
        <w:tc>
          <w:tcPr>
            <w:tcW w:w="3408" w:type="dxa"/>
            <w:tcBorders>
              <w:top w:val="single" w:sz="4" w:space="0" w:color="auto"/>
            </w:tcBorders>
          </w:tcPr>
          <w:p w14:paraId="35DC5415"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Traditional title owner.</w:t>
            </w:r>
          </w:p>
        </w:tc>
        <w:tc>
          <w:tcPr>
            <w:tcW w:w="1326" w:type="dxa"/>
            <w:tcBorders>
              <w:top w:val="single" w:sz="4" w:space="0" w:color="auto"/>
            </w:tcBorders>
          </w:tcPr>
          <w:p w14:paraId="60927A53"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 xml:space="preserve">     98</w:t>
            </w:r>
          </w:p>
        </w:tc>
        <w:tc>
          <w:tcPr>
            <w:tcW w:w="2367" w:type="dxa"/>
            <w:tcBorders>
              <w:top w:val="single" w:sz="4" w:space="0" w:color="auto"/>
            </w:tcBorders>
          </w:tcPr>
          <w:p w14:paraId="6E6BB40A"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 xml:space="preserve">  64,5</w:t>
            </w:r>
          </w:p>
        </w:tc>
      </w:tr>
      <w:tr w:rsidR="00BE4AF3" w:rsidRPr="00B3360F" w14:paraId="6DB41C52" w14:textId="77777777" w:rsidTr="00B3360F">
        <w:trPr>
          <w:trHeight w:val="349"/>
          <w:jc w:val="center"/>
        </w:trPr>
        <w:tc>
          <w:tcPr>
            <w:tcW w:w="3408" w:type="dxa"/>
          </w:tcPr>
          <w:p w14:paraId="19495449"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Bought from individual</w:t>
            </w:r>
          </w:p>
        </w:tc>
        <w:tc>
          <w:tcPr>
            <w:tcW w:w="1326" w:type="dxa"/>
          </w:tcPr>
          <w:p w14:paraId="2D332885"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 xml:space="preserve">     47</w:t>
            </w:r>
          </w:p>
        </w:tc>
        <w:tc>
          <w:tcPr>
            <w:tcW w:w="2367" w:type="dxa"/>
          </w:tcPr>
          <w:p w14:paraId="1EA65268"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 xml:space="preserve">  30.9</w:t>
            </w:r>
          </w:p>
        </w:tc>
      </w:tr>
      <w:tr w:rsidR="00BE4AF3" w:rsidRPr="00B3360F" w14:paraId="0B79EEC7" w14:textId="77777777" w:rsidTr="00B3360F">
        <w:trPr>
          <w:trHeight w:val="349"/>
          <w:jc w:val="center"/>
        </w:trPr>
        <w:tc>
          <w:tcPr>
            <w:tcW w:w="3408" w:type="dxa"/>
          </w:tcPr>
          <w:p w14:paraId="31AF6D00"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Inheritance.</w:t>
            </w:r>
          </w:p>
          <w:p w14:paraId="31F5728A"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Bought from traditional title owner.</w:t>
            </w:r>
          </w:p>
        </w:tc>
        <w:tc>
          <w:tcPr>
            <w:tcW w:w="1326" w:type="dxa"/>
          </w:tcPr>
          <w:p w14:paraId="3037F44C"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 xml:space="preserve">       3</w:t>
            </w:r>
          </w:p>
          <w:p w14:paraId="6DA3CB1E"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 xml:space="preserve">       4</w:t>
            </w:r>
          </w:p>
        </w:tc>
        <w:tc>
          <w:tcPr>
            <w:tcW w:w="2367" w:type="dxa"/>
          </w:tcPr>
          <w:p w14:paraId="3FB430FD"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 xml:space="preserve">   2.0</w:t>
            </w:r>
          </w:p>
          <w:p w14:paraId="7EC833BF"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 xml:space="preserve">   2.6</w:t>
            </w:r>
          </w:p>
          <w:p w14:paraId="61761E6C" w14:textId="77777777" w:rsidR="00BE4AF3" w:rsidRPr="00B3360F" w:rsidRDefault="00BE4AF3" w:rsidP="00B3360F">
            <w:pPr>
              <w:spacing w:after="0" w:line="240" w:lineRule="auto"/>
              <w:jc w:val="both"/>
              <w:rPr>
                <w:rFonts w:ascii="Times New Roman" w:hAnsi="Times New Roman" w:cs="Times New Roman"/>
                <w:sz w:val="20"/>
                <w:szCs w:val="20"/>
              </w:rPr>
            </w:pPr>
          </w:p>
        </w:tc>
      </w:tr>
      <w:tr w:rsidR="00BE4AF3" w:rsidRPr="00B3360F" w14:paraId="276DC4BC" w14:textId="77777777" w:rsidTr="00B3360F">
        <w:trPr>
          <w:trHeight w:val="362"/>
          <w:jc w:val="center"/>
        </w:trPr>
        <w:tc>
          <w:tcPr>
            <w:tcW w:w="3408" w:type="dxa"/>
            <w:tcBorders>
              <w:bottom w:val="single" w:sz="4" w:space="0" w:color="auto"/>
            </w:tcBorders>
          </w:tcPr>
          <w:p w14:paraId="5FC9FE17" w14:textId="77777777" w:rsidR="00BE4AF3" w:rsidRPr="00B3360F" w:rsidRDefault="00BE4AF3" w:rsidP="00B3360F">
            <w:pPr>
              <w:spacing w:after="0" w:line="240" w:lineRule="auto"/>
              <w:jc w:val="both"/>
              <w:rPr>
                <w:rFonts w:ascii="Times New Roman" w:hAnsi="Times New Roman" w:cs="Times New Roman"/>
                <w:b/>
                <w:bCs/>
                <w:sz w:val="20"/>
                <w:szCs w:val="20"/>
              </w:rPr>
            </w:pPr>
            <w:r w:rsidRPr="00B3360F">
              <w:rPr>
                <w:rFonts w:ascii="Times New Roman" w:hAnsi="Times New Roman" w:cs="Times New Roman"/>
                <w:b/>
                <w:bCs/>
                <w:sz w:val="20"/>
                <w:szCs w:val="20"/>
              </w:rPr>
              <w:t>Total</w:t>
            </w:r>
          </w:p>
        </w:tc>
        <w:tc>
          <w:tcPr>
            <w:tcW w:w="1326" w:type="dxa"/>
            <w:tcBorders>
              <w:bottom w:val="single" w:sz="4" w:space="0" w:color="auto"/>
            </w:tcBorders>
          </w:tcPr>
          <w:p w14:paraId="6325A23A" w14:textId="77777777" w:rsidR="00BE4AF3" w:rsidRPr="00B3360F" w:rsidRDefault="00BE4AF3" w:rsidP="00B3360F">
            <w:pPr>
              <w:spacing w:after="0" w:line="240" w:lineRule="auto"/>
              <w:jc w:val="both"/>
              <w:rPr>
                <w:rFonts w:ascii="Times New Roman" w:hAnsi="Times New Roman" w:cs="Times New Roman"/>
                <w:b/>
                <w:bCs/>
                <w:sz w:val="20"/>
                <w:szCs w:val="20"/>
              </w:rPr>
            </w:pPr>
            <w:r w:rsidRPr="00B3360F">
              <w:rPr>
                <w:rFonts w:ascii="Times New Roman" w:hAnsi="Times New Roman" w:cs="Times New Roman"/>
                <w:b/>
                <w:bCs/>
                <w:sz w:val="20"/>
                <w:szCs w:val="20"/>
              </w:rPr>
              <w:t xml:space="preserve">   152</w:t>
            </w:r>
          </w:p>
        </w:tc>
        <w:tc>
          <w:tcPr>
            <w:tcW w:w="2367" w:type="dxa"/>
            <w:tcBorders>
              <w:bottom w:val="single" w:sz="4" w:space="0" w:color="auto"/>
            </w:tcBorders>
          </w:tcPr>
          <w:p w14:paraId="35CD7E29" w14:textId="77777777" w:rsidR="00BE4AF3" w:rsidRPr="00B3360F" w:rsidRDefault="00BE4AF3" w:rsidP="00B3360F">
            <w:pPr>
              <w:spacing w:after="0" w:line="240" w:lineRule="auto"/>
              <w:jc w:val="both"/>
              <w:rPr>
                <w:rFonts w:ascii="Times New Roman" w:hAnsi="Times New Roman" w:cs="Times New Roman"/>
                <w:b/>
                <w:bCs/>
                <w:sz w:val="20"/>
                <w:szCs w:val="20"/>
              </w:rPr>
            </w:pPr>
            <w:r w:rsidRPr="00B3360F">
              <w:rPr>
                <w:rFonts w:ascii="Times New Roman" w:hAnsi="Times New Roman" w:cs="Times New Roman"/>
                <w:b/>
                <w:bCs/>
                <w:sz w:val="20"/>
                <w:szCs w:val="20"/>
              </w:rPr>
              <w:t>100</w:t>
            </w:r>
          </w:p>
        </w:tc>
      </w:tr>
    </w:tbl>
    <w:p w14:paraId="392131F8" w14:textId="77777777" w:rsidR="00BE4AF3" w:rsidRPr="00B3360F" w:rsidRDefault="00BE4AF3" w:rsidP="00B3360F">
      <w:pPr>
        <w:spacing w:line="240" w:lineRule="auto"/>
        <w:ind w:firstLine="720"/>
        <w:jc w:val="center"/>
        <w:rPr>
          <w:rFonts w:ascii="Times New Roman" w:hAnsi="Times New Roman" w:cs="Times New Roman"/>
          <w:bCs/>
          <w:sz w:val="24"/>
          <w:szCs w:val="24"/>
        </w:rPr>
      </w:pPr>
      <w:r w:rsidRPr="00B3360F">
        <w:rPr>
          <w:rFonts w:ascii="Times New Roman" w:hAnsi="Times New Roman" w:cs="Times New Roman"/>
          <w:bCs/>
          <w:sz w:val="24"/>
          <w:szCs w:val="24"/>
        </w:rPr>
        <w:t>Source: Author’s Field Survey, 2025.</w:t>
      </w:r>
    </w:p>
    <w:p w14:paraId="4986D07C" w14:textId="77777777" w:rsidR="00BE4AF3" w:rsidRPr="00BE4AF3" w:rsidRDefault="00BE4AF3" w:rsidP="00B3360F">
      <w:pPr>
        <w:spacing w:line="240" w:lineRule="auto"/>
        <w:jc w:val="both"/>
        <w:rPr>
          <w:rFonts w:ascii="Times New Roman" w:hAnsi="Times New Roman" w:cs="Times New Roman"/>
          <w:sz w:val="24"/>
          <w:szCs w:val="24"/>
        </w:rPr>
      </w:pPr>
      <w:r w:rsidRPr="00BE4AF3">
        <w:rPr>
          <w:rFonts w:ascii="Times New Roman" w:hAnsi="Times New Roman" w:cs="Times New Roman"/>
          <w:sz w:val="24"/>
          <w:szCs w:val="24"/>
        </w:rPr>
        <w:t>Table 3 shows that 64% of the respondents purchased the land from traditional title owners, 31% purchased the land from individuals who also bought it from traditional owners; 2% inherited the land from their parents while 3% purchased the land from individual who also bought it from government.</w:t>
      </w:r>
    </w:p>
    <w:p w14:paraId="53F8F345" w14:textId="40FD1DF9" w:rsidR="00BE4AF3" w:rsidRPr="00BE4AF3" w:rsidRDefault="00BE4AF3" w:rsidP="00B3360F">
      <w:pPr>
        <w:spacing w:after="0"/>
        <w:jc w:val="center"/>
        <w:rPr>
          <w:rFonts w:ascii="Times New Roman" w:hAnsi="Times New Roman" w:cs="Times New Roman"/>
          <w:b/>
          <w:bCs/>
          <w:sz w:val="24"/>
          <w:szCs w:val="24"/>
        </w:rPr>
      </w:pPr>
      <w:r w:rsidRPr="00BE4AF3">
        <w:rPr>
          <w:rFonts w:ascii="Times New Roman" w:hAnsi="Times New Roman" w:cs="Times New Roman"/>
          <w:b/>
          <w:bCs/>
          <w:sz w:val="24"/>
          <w:szCs w:val="24"/>
        </w:rPr>
        <w:t>Table 4:</w:t>
      </w:r>
      <w:r w:rsidR="00B3360F">
        <w:rPr>
          <w:rFonts w:ascii="Times New Roman" w:hAnsi="Times New Roman" w:cs="Times New Roman"/>
          <w:b/>
          <w:bCs/>
          <w:sz w:val="24"/>
          <w:szCs w:val="24"/>
        </w:rPr>
        <w:t xml:space="preserve"> </w:t>
      </w:r>
      <w:r w:rsidRPr="00B3360F">
        <w:rPr>
          <w:rFonts w:ascii="Times New Roman" w:hAnsi="Times New Roman" w:cs="Times New Roman"/>
          <w:sz w:val="24"/>
          <w:szCs w:val="24"/>
        </w:rPr>
        <w:t>Method of Construction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8"/>
        <w:gridCol w:w="1326"/>
        <w:gridCol w:w="2367"/>
      </w:tblGrid>
      <w:tr w:rsidR="00BE4AF3" w:rsidRPr="00B3360F" w14:paraId="6FA754E6" w14:textId="77777777" w:rsidTr="00B3360F">
        <w:trPr>
          <w:trHeight w:val="349"/>
          <w:jc w:val="center"/>
        </w:trPr>
        <w:tc>
          <w:tcPr>
            <w:tcW w:w="3408" w:type="dxa"/>
            <w:tcBorders>
              <w:top w:val="single" w:sz="4" w:space="0" w:color="auto"/>
              <w:bottom w:val="single" w:sz="4" w:space="0" w:color="auto"/>
            </w:tcBorders>
          </w:tcPr>
          <w:p w14:paraId="1099902F" w14:textId="77777777" w:rsidR="00BE4AF3" w:rsidRPr="00B3360F" w:rsidRDefault="00BE4AF3" w:rsidP="00B3360F">
            <w:pPr>
              <w:spacing w:after="0" w:line="240" w:lineRule="auto"/>
              <w:jc w:val="both"/>
              <w:rPr>
                <w:rFonts w:ascii="Times New Roman" w:hAnsi="Times New Roman" w:cs="Times New Roman"/>
                <w:bCs/>
                <w:sz w:val="20"/>
                <w:szCs w:val="20"/>
              </w:rPr>
            </w:pPr>
            <w:r w:rsidRPr="00B3360F">
              <w:rPr>
                <w:rFonts w:ascii="Times New Roman" w:hAnsi="Times New Roman" w:cs="Times New Roman"/>
                <w:bCs/>
                <w:sz w:val="20"/>
                <w:szCs w:val="20"/>
              </w:rPr>
              <w:t>Method of construction</w:t>
            </w:r>
          </w:p>
        </w:tc>
        <w:tc>
          <w:tcPr>
            <w:tcW w:w="1326" w:type="dxa"/>
            <w:tcBorders>
              <w:top w:val="single" w:sz="4" w:space="0" w:color="auto"/>
              <w:bottom w:val="single" w:sz="4" w:space="0" w:color="auto"/>
            </w:tcBorders>
          </w:tcPr>
          <w:p w14:paraId="6E3D270D" w14:textId="77777777" w:rsidR="00BE4AF3" w:rsidRPr="00B3360F" w:rsidRDefault="00BE4AF3" w:rsidP="00B3360F">
            <w:pPr>
              <w:spacing w:after="0" w:line="240" w:lineRule="auto"/>
              <w:jc w:val="both"/>
              <w:rPr>
                <w:rFonts w:ascii="Times New Roman" w:hAnsi="Times New Roman" w:cs="Times New Roman"/>
                <w:bCs/>
                <w:sz w:val="20"/>
                <w:szCs w:val="20"/>
              </w:rPr>
            </w:pPr>
            <w:r w:rsidRPr="00B3360F">
              <w:rPr>
                <w:rFonts w:ascii="Times New Roman" w:hAnsi="Times New Roman" w:cs="Times New Roman"/>
                <w:bCs/>
                <w:sz w:val="20"/>
                <w:szCs w:val="20"/>
              </w:rPr>
              <w:t xml:space="preserve">Frequency </w:t>
            </w:r>
          </w:p>
        </w:tc>
        <w:tc>
          <w:tcPr>
            <w:tcW w:w="2367" w:type="dxa"/>
            <w:tcBorders>
              <w:top w:val="single" w:sz="4" w:space="0" w:color="auto"/>
              <w:bottom w:val="single" w:sz="4" w:space="0" w:color="auto"/>
            </w:tcBorders>
          </w:tcPr>
          <w:p w14:paraId="3B0FFE9B" w14:textId="77777777" w:rsidR="00BE4AF3" w:rsidRPr="00B3360F" w:rsidRDefault="00BE4AF3" w:rsidP="00B3360F">
            <w:pPr>
              <w:spacing w:after="0" w:line="240" w:lineRule="auto"/>
              <w:jc w:val="both"/>
              <w:rPr>
                <w:rFonts w:ascii="Times New Roman" w:hAnsi="Times New Roman" w:cs="Times New Roman"/>
                <w:bCs/>
                <w:sz w:val="20"/>
                <w:szCs w:val="20"/>
              </w:rPr>
            </w:pPr>
            <w:r w:rsidRPr="00B3360F">
              <w:rPr>
                <w:rFonts w:ascii="Times New Roman" w:hAnsi="Times New Roman" w:cs="Times New Roman"/>
                <w:bCs/>
                <w:sz w:val="20"/>
                <w:szCs w:val="20"/>
              </w:rPr>
              <w:t xml:space="preserve">Percent </w:t>
            </w:r>
          </w:p>
        </w:tc>
      </w:tr>
      <w:tr w:rsidR="00BE4AF3" w:rsidRPr="00B3360F" w14:paraId="34FF595B" w14:textId="77777777" w:rsidTr="00B3360F">
        <w:trPr>
          <w:trHeight w:val="362"/>
          <w:jc w:val="center"/>
        </w:trPr>
        <w:tc>
          <w:tcPr>
            <w:tcW w:w="3408" w:type="dxa"/>
            <w:tcBorders>
              <w:top w:val="single" w:sz="4" w:space="0" w:color="auto"/>
            </w:tcBorders>
          </w:tcPr>
          <w:p w14:paraId="0170FE89"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Bricklayer</w:t>
            </w:r>
          </w:p>
        </w:tc>
        <w:tc>
          <w:tcPr>
            <w:tcW w:w="1326" w:type="dxa"/>
            <w:tcBorders>
              <w:top w:val="single" w:sz="4" w:space="0" w:color="auto"/>
            </w:tcBorders>
          </w:tcPr>
          <w:p w14:paraId="66E16E5C"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 xml:space="preserve">      59</w:t>
            </w:r>
          </w:p>
        </w:tc>
        <w:tc>
          <w:tcPr>
            <w:tcW w:w="2367" w:type="dxa"/>
            <w:tcBorders>
              <w:top w:val="single" w:sz="4" w:space="0" w:color="auto"/>
            </w:tcBorders>
          </w:tcPr>
          <w:p w14:paraId="7153C026"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 xml:space="preserve">    38.8</w:t>
            </w:r>
          </w:p>
        </w:tc>
      </w:tr>
      <w:tr w:rsidR="00BE4AF3" w:rsidRPr="00B3360F" w14:paraId="1EE30857" w14:textId="77777777" w:rsidTr="00B3360F">
        <w:trPr>
          <w:trHeight w:val="349"/>
          <w:jc w:val="center"/>
        </w:trPr>
        <w:tc>
          <w:tcPr>
            <w:tcW w:w="3408" w:type="dxa"/>
          </w:tcPr>
          <w:p w14:paraId="4313D319"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Bricklayer and Family member</w:t>
            </w:r>
          </w:p>
        </w:tc>
        <w:tc>
          <w:tcPr>
            <w:tcW w:w="1326" w:type="dxa"/>
          </w:tcPr>
          <w:p w14:paraId="6A963428"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 xml:space="preserve">      82</w:t>
            </w:r>
          </w:p>
        </w:tc>
        <w:tc>
          <w:tcPr>
            <w:tcW w:w="2367" w:type="dxa"/>
          </w:tcPr>
          <w:p w14:paraId="1F5BC6B6"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 xml:space="preserve">    53.9</w:t>
            </w:r>
          </w:p>
        </w:tc>
      </w:tr>
      <w:tr w:rsidR="00BE4AF3" w:rsidRPr="00B3360F" w14:paraId="2DCA2425" w14:textId="77777777" w:rsidTr="00B3360F">
        <w:trPr>
          <w:trHeight w:val="349"/>
          <w:jc w:val="center"/>
        </w:trPr>
        <w:tc>
          <w:tcPr>
            <w:tcW w:w="3408" w:type="dxa"/>
          </w:tcPr>
          <w:p w14:paraId="06C3AB61"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Family member</w:t>
            </w:r>
          </w:p>
          <w:p w14:paraId="1B925D71"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Contractor.</w:t>
            </w:r>
          </w:p>
        </w:tc>
        <w:tc>
          <w:tcPr>
            <w:tcW w:w="1326" w:type="dxa"/>
          </w:tcPr>
          <w:p w14:paraId="59176A2D"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 xml:space="preserve">      10</w:t>
            </w:r>
          </w:p>
          <w:p w14:paraId="72512E0A"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 xml:space="preserve">        1  </w:t>
            </w:r>
          </w:p>
        </w:tc>
        <w:tc>
          <w:tcPr>
            <w:tcW w:w="2367" w:type="dxa"/>
          </w:tcPr>
          <w:p w14:paraId="2F6032D7"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 xml:space="preserve">      6.6</w:t>
            </w:r>
          </w:p>
          <w:p w14:paraId="188B29AA" w14:textId="77777777" w:rsidR="00BE4AF3" w:rsidRPr="00B3360F" w:rsidRDefault="00BE4AF3" w:rsidP="00B3360F">
            <w:pPr>
              <w:spacing w:after="0" w:line="240" w:lineRule="auto"/>
              <w:jc w:val="both"/>
              <w:rPr>
                <w:rFonts w:ascii="Times New Roman" w:hAnsi="Times New Roman" w:cs="Times New Roman"/>
                <w:sz w:val="20"/>
                <w:szCs w:val="20"/>
              </w:rPr>
            </w:pPr>
            <w:r w:rsidRPr="00B3360F">
              <w:rPr>
                <w:rFonts w:ascii="Times New Roman" w:hAnsi="Times New Roman" w:cs="Times New Roman"/>
                <w:sz w:val="20"/>
                <w:szCs w:val="20"/>
              </w:rPr>
              <w:t xml:space="preserve">      0.7</w:t>
            </w:r>
          </w:p>
        </w:tc>
      </w:tr>
      <w:tr w:rsidR="00BE4AF3" w:rsidRPr="00B3360F" w14:paraId="054C66E0" w14:textId="77777777" w:rsidTr="00B3360F">
        <w:trPr>
          <w:trHeight w:val="362"/>
          <w:jc w:val="center"/>
        </w:trPr>
        <w:tc>
          <w:tcPr>
            <w:tcW w:w="3408" w:type="dxa"/>
            <w:tcBorders>
              <w:bottom w:val="single" w:sz="4" w:space="0" w:color="auto"/>
            </w:tcBorders>
          </w:tcPr>
          <w:p w14:paraId="3ED95A8F" w14:textId="77777777" w:rsidR="00BE4AF3" w:rsidRPr="00B3360F" w:rsidRDefault="00BE4AF3" w:rsidP="00B3360F">
            <w:pPr>
              <w:spacing w:after="0" w:line="240" w:lineRule="auto"/>
              <w:jc w:val="both"/>
              <w:rPr>
                <w:rFonts w:ascii="Times New Roman" w:hAnsi="Times New Roman" w:cs="Times New Roman"/>
                <w:b/>
                <w:sz w:val="20"/>
                <w:szCs w:val="20"/>
              </w:rPr>
            </w:pPr>
            <w:r w:rsidRPr="00B3360F">
              <w:rPr>
                <w:rFonts w:ascii="Times New Roman" w:hAnsi="Times New Roman" w:cs="Times New Roman"/>
                <w:b/>
                <w:sz w:val="20"/>
                <w:szCs w:val="20"/>
              </w:rPr>
              <w:t>Total</w:t>
            </w:r>
          </w:p>
        </w:tc>
        <w:tc>
          <w:tcPr>
            <w:tcW w:w="1326" w:type="dxa"/>
            <w:tcBorders>
              <w:bottom w:val="single" w:sz="4" w:space="0" w:color="auto"/>
            </w:tcBorders>
          </w:tcPr>
          <w:p w14:paraId="337405DA" w14:textId="77777777" w:rsidR="00BE4AF3" w:rsidRPr="00B3360F" w:rsidRDefault="00BE4AF3" w:rsidP="00B3360F">
            <w:pPr>
              <w:spacing w:after="0" w:line="240" w:lineRule="auto"/>
              <w:jc w:val="both"/>
              <w:rPr>
                <w:rFonts w:ascii="Times New Roman" w:hAnsi="Times New Roman" w:cs="Times New Roman"/>
                <w:b/>
                <w:sz w:val="20"/>
                <w:szCs w:val="20"/>
              </w:rPr>
            </w:pPr>
            <w:r w:rsidRPr="00B3360F">
              <w:rPr>
                <w:rFonts w:ascii="Times New Roman" w:hAnsi="Times New Roman" w:cs="Times New Roman"/>
                <w:b/>
                <w:sz w:val="20"/>
                <w:szCs w:val="20"/>
              </w:rPr>
              <w:t xml:space="preserve">        152</w:t>
            </w:r>
          </w:p>
        </w:tc>
        <w:tc>
          <w:tcPr>
            <w:tcW w:w="2367" w:type="dxa"/>
            <w:tcBorders>
              <w:bottom w:val="single" w:sz="4" w:space="0" w:color="auto"/>
            </w:tcBorders>
          </w:tcPr>
          <w:p w14:paraId="0511573D" w14:textId="77777777" w:rsidR="00BE4AF3" w:rsidRPr="00B3360F" w:rsidRDefault="00BE4AF3" w:rsidP="00B3360F">
            <w:pPr>
              <w:spacing w:after="0" w:line="240" w:lineRule="auto"/>
              <w:jc w:val="both"/>
              <w:rPr>
                <w:rFonts w:ascii="Times New Roman" w:hAnsi="Times New Roman" w:cs="Times New Roman"/>
                <w:b/>
                <w:sz w:val="20"/>
                <w:szCs w:val="20"/>
              </w:rPr>
            </w:pPr>
            <w:r w:rsidRPr="00B3360F">
              <w:rPr>
                <w:rFonts w:ascii="Times New Roman" w:hAnsi="Times New Roman" w:cs="Times New Roman"/>
                <w:b/>
                <w:sz w:val="20"/>
                <w:szCs w:val="20"/>
              </w:rPr>
              <w:t xml:space="preserve">    100</w:t>
            </w:r>
          </w:p>
        </w:tc>
      </w:tr>
    </w:tbl>
    <w:p w14:paraId="5F135D30" w14:textId="77777777" w:rsidR="00BE4AF3" w:rsidRPr="00BE4AF3" w:rsidRDefault="00BE4AF3" w:rsidP="00BE4AF3">
      <w:pPr>
        <w:ind w:firstLine="720"/>
        <w:rPr>
          <w:rFonts w:ascii="Times New Roman" w:hAnsi="Times New Roman" w:cs="Times New Roman"/>
          <w:b/>
          <w:sz w:val="24"/>
          <w:szCs w:val="24"/>
        </w:rPr>
      </w:pPr>
      <w:r w:rsidRPr="00BE4AF3">
        <w:rPr>
          <w:rFonts w:ascii="Times New Roman" w:hAnsi="Times New Roman" w:cs="Times New Roman"/>
          <w:b/>
          <w:sz w:val="24"/>
          <w:szCs w:val="24"/>
        </w:rPr>
        <w:t>Source: Author’s Field Survey, 2025.</w:t>
      </w:r>
    </w:p>
    <w:p w14:paraId="04EAF506" w14:textId="78998BBA" w:rsidR="00BE4AF3" w:rsidRPr="00BE4AF3" w:rsidRDefault="00BE4AF3" w:rsidP="00B3360F">
      <w:pPr>
        <w:spacing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Table 4 shows that 38.8% of the micro houses were constructed by bricklayers,53.9% was constructed by family member and </w:t>
      </w:r>
      <w:r w:rsidR="00B3360F" w:rsidRPr="00BE4AF3">
        <w:rPr>
          <w:rFonts w:ascii="Times New Roman" w:hAnsi="Times New Roman" w:cs="Times New Roman"/>
          <w:sz w:val="24"/>
          <w:szCs w:val="24"/>
        </w:rPr>
        <w:t>bricklayer,</w:t>
      </w:r>
      <w:r w:rsidRPr="00BE4AF3">
        <w:rPr>
          <w:rFonts w:ascii="Times New Roman" w:hAnsi="Times New Roman" w:cs="Times New Roman"/>
          <w:sz w:val="24"/>
          <w:szCs w:val="24"/>
        </w:rPr>
        <w:t xml:space="preserve"> 6.6%  was constructed by family member while 0.7% were constructed by contractor. It implies that despite their income low they hired the services of others and 46.1 percent of the micro houses were jointly constructed to reduce the cost of construction.</w:t>
      </w:r>
    </w:p>
    <w:p w14:paraId="44C6A0F3" w14:textId="65481152" w:rsidR="00BE4AF3" w:rsidRPr="00BE4AF3" w:rsidRDefault="00BE4AF3" w:rsidP="008C779C">
      <w:pPr>
        <w:spacing w:after="0"/>
        <w:jc w:val="center"/>
        <w:rPr>
          <w:rFonts w:ascii="Times New Roman" w:hAnsi="Times New Roman" w:cs="Times New Roman"/>
          <w:b/>
          <w:bCs/>
          <w:sz w:val="24"/>
          <w:szCs w:val="24"/>
        </w:rPr>
      </w:pPr>
      <w:r w:rsidRPr="00BE4AF3">
        <w:rPr>
          <w:rFonts w:ascii="Times New Roman" w:hAnsi="Times New Roman" w:cs="Times New Roman"/>
          <w:b/>
          <w:bCs/>
          <w:sz w:val="24"/>
          <w:szCs w:val="24"/>
        </w:rPr>
        <w:lastRenderedPageBreak/>
        <w:t xml:space="preserve">Table 5: </w:t>
      </w:r>
      <w:r w:rsidRPr="008C779C">
        <w:rPr>
          <w:rFonts w:ascii="Times New Roman" w:hAnsi="Times New Roman" w:cs="Times New Roman"/>
          <w:sz w:val="24"/>
          <w:szCs w:val="24"/>
        </w:rPr>
        <w:t>Duration of Development</w:t>
      </w:r>
    </w:p>
    <w:tbl>
      <w:tblPr>
        <w:tblStyle w:val="TableGrid"/>
        <w:tblW w:w="0" w:type="auto"/>
        <w:tblInd w:w="8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8"/>
        <w:gridCol w:w="1800"/>
        <w:gridCol w:w="1893"/>
      </w:tblGrid>
      <w:tr w:rsidR="00BE4AF3" w:rsidRPr="008C779C" w14:paraId="4478D4DA" w14:textId="77777777" w:rsidTr="00BE4AF3">
        <w:trPr>
          <w:trHeight w:val="349"/>
        </w:trPr>
        <w:tc>
          <w:tcPr>
            <w:tcW w:w="3408" w:type="dxa"/>
            <w:tcBorders>
              <w:top w:val="single" w:sz="4" w:space="0" w:color="auto"/>
              <w:bottom w:val="single" w:sz="4" w:space="0" w:color="auto"/>
            </w:tcBorders>
          </w:tcPr>
          <w:p w14:paraId="131965D8" w14:textId="77777777" w:rsidR="00BE4AF3" w:rsidRPr="008C779C" w:rsidRDefault="00BE4AF3" w:rsidP="008C779C">
            <w:pPr>
              <w:spacing w:after="0" w:line="240" w:lineRule="auto"/>
              <w:jc w:val="both"/>
              <w:rPr>
                <w:rFonts w:ascii="Times New Roman" w:hAnsi="Times New Roman" w:cs="Times New Roman"/>
                <w:bCs/>
                <w:sz w:val="20"/>
                <w:szCs w:val="20"/>
              </w:rPr>
            </w:pPr>
            <w:r w:rsidRPr="008C779C">
              <w:rPr>
                <w:rFonts w:ascii="Times New Roman" w:hAnsi="Times New Roman" w:cs="Times New Roman"/>
                <w:bCs/>
                <w:sz w:val="20"/>
                <w:szCs w:val="20"/>
              </w:rPr>
              <w:t>Duration of Development</w:t>
            </w:r>
          </w:p>
        </w:tc>
        <w:tc>
          <w:tcPr>
            <w:tcW w:w="1800" w:type="dxa"/>
            <w:tcBorders>
              <w:top w:val="single" w:sz="4" w:space="0" w:color="auto"/>
              <w:bottom w:val="single" w:sz="4" w:space="0" w:color="auto"/>
            </w:tcBorders>
          </w:tcPr>
          <w:p w14:paraId="5064C198" w14:textId="77777777" w:rsidR="00BE4AF3" w:rsidRPr="008C779C" w:rsidRDefault="00BE4AF3" w:rsidP="008C779C">
            <w:pPr>
              <w:spacing w:after="0" w:line="240" w:lineRule="auto"/>
              <w:jc w:val="both"/>
              <w:rPr>
                <w:rFonts w:ascii="Times New Roman" w:hAnsi="Times New Roman" w:cs="Times New Roman"/>
                <w:bCs/>
                <w:sz w:val="20"/>
                <w:szCs w:val="20"/>
              </w:rPr>
            </w:pPr>
            <w:r w:rsidRPr="008C779C">
              <w:rPr>
                <w:rFonts w:ascii="Times New Roman" w:hAnsi="Times New Roman" w:cs="Times New Roman"/>
                <w:bCs/>
                <w:sz w:val="20"/>
                <w:szCs w:val="20"/>
              </w:rPr>
              <w:t xml:space="preserve">Frequency </w:t>
            </w:r>
          </w:p>
        </w:tc>
        <w:tc>
          <w:tcPr>
            <w:tcW w:w="1893" w:type="dxa"/>
            <w:tcBorders>
              <w:top w:val="single" w:sz="4" w:space="0" w:color="auto"/>
              <w:bottom w:val="single" w:sz="4" w:space="0" w:color="auto"/>
            </w:tcBorders>
          </w:tcPr>
          <w:p w14:paraId="4463D1EA" w14:textId="77777777" w:rsidR="00BE4AF3" w:rsidRPr="008C779C" w:rsidRDefault="00BE4AF3" w:rsidP="008C779C">
            <w:pPr>
              <w:spacing w:after="0" w:line="240" w:lineRule="auto"/>
              <w:jc w:val="both"/>
              <w:rPr>
                <w:rFonts w:ascii="Times New Roman" w:hAnsi="Times New Roman" w:cs="Times New Roman"/>
                <w:bCs/>
                <w:sz w:val="20"/>
                <w:szCs w:val="20"/>
              </w:rPr>
            </w:pPr>
            <w:r w:rsidRPr="008C779C">
              <w:rPr>
                <w:rFonts w:ascii="Times New Roman" w:hAnsi="Times New Roman" w:cs="Times New Roman"/>
                <w:bCs/>
                <w:sz w:val="20"/>
                <w:szCs w:val="20"/>
              </w:rPr>
              <w:t>Percent %</w:t>
            </w:r>
          </w:p>
        </w:tc>
      </w:tr>
      <w:tr w:rsidR="00BE4AF3" w:rsidRPr="008C779C" w14:paraId="5C532F19" w14:textId="77777777" w:rsidTr="00BE4AF3">
        <w:trPr>
          <w:trHeight w:val="362"/>
        </w:trPr>
        <w:tc>
          <w:tcPr>
            <w:tcW w:w="3408" w:type="dxa"/>
            <w:tcBorders>
              <w:top w:val="single" w:sz="4" w:space="0" w:color="auto"/>
            </w:tcBorders>
          </w:tcPr>
          <w:p w14:paraId="6A8A76AD" w14:textId="644C7ADA" w:rsidR="00BE4AF3" w:rsidRPr="008C779C" w:rsidRDefault="00BE4AF3" w:rsidP="008C779C">
            <w:pPr>
              <w:spacing w:after="0" w:line="240" w:lineRule="auto"/>
              <w:jc w:val="both"/>
              <w:rPr>
                <w:rFonts w:ascii="Times New Roman" w:hAnsi="Times New Roman" w:cs="Times New Roman"/>
                <w:sz w:val="20"/>
                <w:szCs w:val="20"/>
              </w:rPr>
            </w:pPr>
            <w:r w:rsidRPr="008C779C">
              <w:rPr>
                <w:rFonts w:ascii="Times New Roman" w:hAnsi="Times New Roman" w:cs="Times New Roman"/>
                <w:sz w:val="20"/>
                <w:szCs w:val="20"/>
              </w:rPr>
              <w:t xml:space="preserve">Less than 3 </w:t>
            </w:r>
            <w:r w:rsidR="008C779C" w:rsidRPr="008C779C">
              <w:rPr>
                <w:rFonts w:ascii="Times New Roman" w:hAnsi="Times New Roman" w:cs="Times New Roman"/>
                <w:sz w:val="20"/>
                <w:szCs w:val="20"/>
              </w:rPr>
              <w:t>years</w:t>
            </w:r>
          </w:p>
        </w:tc>
        <w:tc>
          <w:tcPr>
            <w:tcW w:w="1800" w:type="dxa"/>
            <w:tcBorders>
              <w:top w:val="single" w:sz="4" w:space="0" w:color="auto"/>
            </w:tcBorders>
          </w:tcPr>
          <w:p w14:paraId="5CF7AFA0" w14:textId="77777777" w:rsidR="00BE4AF3" w:rsidRPr="008C779C" w:rsidRDefault="00BE4AF3" w:rsidP="008C779C">
            <w:pPr>
              <w:spacing w:after="0" w:line="240" w:lineRule="auto"/>
              <w:jc w:val="both"/>
              <w:rPr>
                <w:rFonts w:ascii="Times New Roman" w:hAnsi="Times New Roman" w:cs="Times New Roman"/>
                <w:sz w:val="20"/>
                <w:szCs w:val="20"/>
              </w:rPr>
            </w:pPr>
            <w:r w:rsidRPr="008C779C">
              <w:rPr>
                <w:rFonts w:ascii="Times New Roman" w:hAnsi="Times New Roman" w:cs="Times New Roman"/>
                <w:sz w:val="20"/>
                <w:szCs w:val="20"/>
              </w:rPr>
              <w:t>88</w:t>
            </w:r>
          </w:p>
        </w:tc>
        <w:tc>
          <w:tcPr>
            <w:tcW w:w="1893" w:type="dxa"/>
            <w:tcBorders>
              <w:top w:val="single" w:sz="4" w:space="0" w:color="auto"/>
            </w:tcBorders>
          </w:tcPr>
          <w:p w14:paraId="251972BB" w14:textId="77777777" w:rsidR="00BE4AF3" w:rsidRPr="008C779C" w:rsidRDefault="00BE4AF3" w:rsidP="008C779C">
            <w:pPr>
              <w:spacing w:after="0" w:line="240" w:lineRule="auto"/>
              <w:jc w:val="both"/>
              <w:rPr>
                <w:rFonts w:ascii="Times New Roman" w:hAnsi="Times New Roman" w:cs="Times New Roman"/>
                <w:sz w:val="20"/>
                <w:szCs w:val="20"/>
              </w:rPr>
            </w:pPr>
            <w:r w:rsidRPr="008C779C">
              <w:rPr>
                <w:rFonts w:ascii="Times New Roman" w:hAnsi="Times New Roman" w:cs="Times New Roman"/>
                <w:sz w:val="20"/>
                <w:szCs w:val="20"/>
              </w:rPr>
              <w:t xml:space="preserve">   57.9</w:t>
            </w:r>
          </w:p>
        </w:tc>
      </w:tr>
      <w:tr w:rsidR="00BE4AF3" w:rsidRPr="008C779C" w14:paraId="771993DA" w14:textId="77777777" w:rsidTr="008C779C">
        <w:trPr>
          <w:trHeight w:val="349"/>
        </w:trPr>
        <w:tc>
          <w:tcPr>
            <w:tcW w:w="3408" w:type="dxa"/>
          </w:tcPr>
          <w:p w14:paraId="7E42B0A3" w14:textId="77777777" w:rsidR="00BE4AF3" w:rsidRPr="008C779C" w:rsidRDefault="00BE4AF3" w:rsidP="008C779C">
            <w:pPr>
              <w:spacing w:after="0" w:line="240" w:lineRule="auto"/>
              <w:jc w:val="both"/>
              <w:rPr>
                <w:rFonts w:ascii="Times New Roman" w:hAnsi="Times New Roman" w:cs="Times New Roman"/>
                <w:sz w:val="20"/>
                <w:szCs w:val="20"/>
              </w:rPr>
            </w:pPr>
            <w:r w:rsidRPr="008C779C">
              <w:rPr>
                <w:rFonts w:ascii="Times New Roman" w:hAnsi="Times New Roman" w:cs="Times New Roman"/>
                <w:sz w:val="20"/>
                <w:szCs w:val="20"/>
              </w:rPr>
              <w:t>4 years</w:t>
            </w:r>
          </w:p>
        </w:tc>
        <w:tc>
          <w:tcPr>
            <w:tcW w:w="1800" w:type="dxa"/>
          </w:tcPr>
          <w:p w14:paraId="5F7F6642" w14:textId="77777777" w:rsidR="00BE4AF3" w:rsidRPr="008C779C" w:rsidRDefault="00BE4AF3" w:rsidP="008C779C">
            <w:pPr>
              <w:spacing w:after="0" w:line="240" w:lineRule="auto"/>
              <w:jc w:val="both"/>
              <w:rPr>
                <w:rFonts w:ascii="Times New Roman" w:hAnsi="Times New Roman" w:cs="Times New Roman"/>
                <w:sz w:val="20"/>
                <w:szCs w:val="20"/>
              </w:rPr>
            </w:pPr>
            <w:r w:rsidRPr="008C779C">
              <w:rPr>
                <w:rFonts w:ascii="Times New Roman" w:hAnsi="Times New Roman" w:cs="Times New Roman"/>
                <w:sz w:val="20"/>
                <w:szCs w:val="20"/>
              </w:rPr>
              <w:t>38</w:t>
            </w:r>
          </w:p>
        </w:tc>
        <w:tc>
          <w:tcPr>
            <w:tcW w:w="1893" w:type="dxa"/>
          </w:tcPr>
          <w:p w14:paraId="3582D45C" w14:textId="77777777" w:rsidR="00BE4AF3" w:rsidRPr="008C779C" w:rsidRDefault="00BE4AF3" w:rsidP="008C779C">
            <w:pPr>
              <w:spacing w:after="0" w:line="240" w:lineRule="auto"/>
              <w:jc w:val="both"/>
              <w:rPr>
                <w:rFonts w:ascii="Times New Roman" w:hAnsi="Times New Roman" w:cs="Times New Roman"/>
                <w:sz w:val="20"/>
                <w:szCs w:val="20"/>
              </w:rPr>
            </w:pPr>
            <w:r w:rsidRPr="008C779C">
              <w:rPr>
                <w:rFonts w:ascii="Times New Roman" w:hAnsi="Times New Roman" w:cs="Times New Roman"/>
                <w:sz w:val="20"/>
                <w:szCs w:val="20"/>
              </w:rPr>
              <w:t xml:space="preserve">   25.0</w:t>
            </w:r>
          </w:p>
        </w:tc>
      </w:tr>
      <w:tr w:rsidR="00BE4AF3" w:rsidRPr="008C779C" w14:paraId="39FE56B8" w14:textId="77777777" w:rsidTr="00BE4AF3">
        <w:trPr>
          <w:trHeight w:val="333"/>
        </w:trPr>
        <w:tc>
          <w:tcPr>
            <w:tcW w:w="3408" w:type="dxa"/>
          </w:tcPr>
          <w:p w14:paraId="2B4A0882" w14:textId="77777777" w:rsidR="00BE4AF3" w:rsidRPr="008C779C" w:rsidRDefault="00BE4AF3" w:rsidP="008C779C">
            <w:pPr>
              <w:spacing w:after="0" w:line="240" w:lineRule="auto"/>
              <w:jc w:val="both"/>
              <w:rPr>
                <w:rFonts w:ascii="Times New Roman" w:hAnsi="Times New Roman" w:cs="Times New Roman"/>
                <w:sz w:val="20"/>
                <w:szCs w:val="20"/>
              </w:rPr>
            </w:pPr>
            <w:r w:rsidRPr="008C779C">
              <w:rPr>
                <w:rFonts w:ascii="Times New Roman" w:hAnsi="Times New Roman" w:cs="Times New Roman"/>
                <w:sz w:val="20"/>
                <w:szCs w:val="20"/>
              </w:rPr>
              <w:t>Above 4 years</w:t>
            </w:r>
          </w:p>
        </w:tc>
        <w:tc>
          <w:tcPr>
            <w:tcW w:w="1800" w:type="dxa"/>
          </w:tcPr>
          <w:p w14:paraId="523535DF" w14:textId="77777777" w:rsidR="00BE4AF3" w:rsidRPr="008C779C" w:rsidRDefault="00BE4AF3" w:rsidP="008C779C">
            <w:pPr>
              <w:spacing w:after="0" w:line="240" w:lineRule="auto"/>
              <w:jc w:val="both"/>
              <w:rPr>
                <w:rFonts w:ascii="Times New Roman" w:hAnsi="Times New Roman" w:cs="Times New Roman"/>
                <w:sz w:val="20"/>
                <w:szCs w:val="20"/>
              </w:rPr>
            </w:pPr>
            <w:r w:rsidRPr="008C779C">
              <w:rPr>
                <w:rFonts w:ascii="Times New Roman" w:hAnsi="Times New Roman" w:cs="Times New Roman"/>
                <w:sz w:val="20"/>
                <w:szCs w:val="20"/>
              </w:rPr>
              <w:t>26</w:t>
            </w:r>
          </w:p>
        </w:tc>
        <w:tc>
          <w:tcPr>
            <w:tcW w:w="1893" w:type="dxa"/>
          </w:tcPr>
          <w:p w14:paraId="5E609343" w14:textId="77777777" w:rsidR="00BE4AF3" w:rsidRPr="008C779C" w:rsidRDefault="00BE4AF3" w:rsidP="008C779C">
            <w:pPr>
              <w:spacing w:after="0" w:line="240" w:lineRule="auto"/>
              <w:jc w:val="both"/>
              <w:rPr>
                <w:rFonts w:ascii="Times New Roman" w:hAnsi="Times New Roman" w:cs="Times New Roman"/>
                <w:sz w:val="20"/>
                <w:szCs w:val="20"/>
              </w:rPr>
            </w:pPr>
            <w:r w:rsidRPr="008C779C">
              <w:rPr>
                <w:rFonts w:ascii="Times New Roman" w:hAnsi="Times New Roman" w:cs="Times New Roman"/>
                <w:sz w:val="20"/>
                <w:szCs w:val="20"/>
              </w:rPr>
              <w:t xml:space="preserve">   17.1</w:t>
            </w:r>
          </w:p>
        </w:tc>
      </w:tr>
      <w:tr w:rsidR="00BE4AF3" w:rsidRPr="008C779C" w14:paraId="12B3A007" w14:textId="77777777" w:rsidTr="008C779C">
        <w:trPr>
          <w:trHeight w:val="362"/>
        </w:trPr>
        <w:tc>
          <w:tcPr>
            <w:tcW w:w="3408" w:type="dxa"/>
            <w:tcBorders>
              <w:bottom w:val="single" w:sz="4" w:space="0" w:color="auto"/>
            </w:tcBorders>
          </w:tcPr>
          <w:p w14:paraId="6D51A177" w14:textId="77777777" w:rsidR="00BE4AF3" w:rsidRPr="008C779C" w:rsidRDefault="00BE4AF3" w:rsidP="008C779C">
            <w:pPr>
              <w:spacing w:after="0" w:line="240" w:lineRule="auto"/>
              <w:jc w:val="both"/>
              <w:rPr>
                <w:rFonts w:ascii="Times New Roman" w:hAnsi="Times New Roman" w:cs="Times New Roman"/>
                <w:b/>
                <w:sz w:val="20"/>
                <w:szCs w:val="20"/>
              </w:rPr>
            </w:pPr>
            <w:r w:rsidRPr="008C779C">
              <w:rPr>
                <w:rFonts w:ascii="Times New Roman" w:hAnsi="Times New Roman" w:cs="Times New Roman"/>
                <w:b/>
                <w:sz w:val="20"/>
                <w:szCs w:val="20"/>
              </w:rPr>
              <w:t>Total</w:t>
            </w:r>
          </w:p>
        </w:tc>
        <w:tc>
          <w:tcPr>
            <w:tcW w:w="1800" w:type="dxa"/>
            <w:tcBorders>
              <w:bottom w:val="single" w:sz="4" w:space="0" w:color="auto"/>
            </w:tcBorders>
          </w:tcPr>
          <w:p w14:paraId="6FAC3D27" w14:textId="77777777" w:rsidR="00BE4AF3" w:rsidRPr="008C779C" w:rsidRDefault="00BE4AF3" w:rsidP="008C779C">
            <w:pPr>
              <w:spacing w:after="0" w:line="240" w:lineRule="auto"/>
              <w:jc w:val="both"/>
              <w:rPr>
                <w:rFonts w:ascii="Times New Roman" w:hAnsi="Times New Roman" w:cs="Times New Roman"/>
                <w:b/>
                <w:sz w:val="20"/>
                <w:szCs w:val="20"/>
              </w:rPr>
            </w:pPr>
            <w:r w:rsidRPr="008C779C">
              <w:rPr>
                <w:rFonts w:ascii="Times New Roman" w:hAnsi="Times New Roman" w:cs="Times New Roman"/>
                <w:b/>
                <w:sz w:val="20"/>
                <w:szCs w:val="20"/>
              </w:rPr>
              <w:t>152</w:t>
            </w:r>
          </w:p>
        </w:tc>
        <w:tc>
          <w:tcPr>
            <w:tcW w:w="1893" w:type="dxa"/>
            <w:tcBorders>
              <w:bottom w:val="single" w:sz="4" w:space="0" w:color="auto"/>
            </w:tcBorders>
          </w:tcPr>
          <w:p w14:paraId="3DB2E2CD" w14:textId="77777777" w:rsidR="00BE4AF3" w:rsidRPr="008C779C" w:rsidRDefault="00BE4AF3" w:rsidP="008C779C">
            <w:pPr>
              <w:spacing w:after="0" w:line="240" w:lineRule="auto"/>
              <w:jc w:val="both"/>
              <w:rPr>
                <w:rFonts w:ascii="Times New Roman" w:hAnsi="Times New Roman" w:cs="Times New Roman"/>
                <w:b/>
                <w:sz w:val="20"/>
                <w:szCs w:val="20"/>
              </w:rPr>
            </w:pPr>
            <w:r w:rsidRPr="008C779C">
              <w:rPr>
                <w:rFonts w:ascii="Times New Roman" w:hAnsi="Times New Roman" w:cs="Times New Roman"/>
                <w:b/>
                <w:sz w:val="20"/>
                <w:szCs w:val="20"/>
              </w:rPr>
              <w:t>100</w:t>
            </w:r>
          </w:p>
        </w:tc>
      </w:tr>
    </w:tbl>
    <w:p w14:paraId="100EDFF2" w14:textId="77777777" w:rsidR="00BE4AF3" w:rsidRPr="00BE4AF3" w:rsidRDefault="00BE4AF3" w:rsidP="008C779C">
      <w:pPr>
        <w:ind w:firstLine="720"/>
        <w:jc w:val="center"/>
        <w:rPr>
          <w:rFonts w:ascii="Times New Roman" w:hAnsi="Times New Roman" w:cs="Times New Roman"/>
          <w:sz w:val="24"/>
          <w:szCs w:val="24"/>
        </w:rPr>
      </w:pPr>
      <w:r w:rsidRPr="00BE4AF3">
        <w:rPr>
          <w:rFonts w:ascii="Times New Roman" w:hAnsi="Times New Roman" w:cs="Times New Roman"/>
          <w:sz w:val="24"/>
          <w:szCs w:val="24"/>
        </w:rPr>
        <w:t>Source: Author’s Field Survey, 2025.</w:t>
      </w:r>
    </w:p>
    <w:p w14:paraId="25B2119F" w14:textId="77777777" w:rsidR="00BE4AF3" w:rsidRPr="00BE4AF3" w:rsidRDefault="00BE4AF3" w:rsidP="008C779C">
      <w:pPr>
        <w:spacing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Table 5 shows that 57.9 percent of the micro houses was completed within period of three years, 25.0 percent was completed in four years. The mean age of constructing micro house is three while only 17.1 percent was completed above the mean age, finding could be seen in the remark of Agbola (2005) </w:t>
      </w:r>
      <w:r w:rsidRPr="00BE4AF3">
        <w:rPr>
          <w:rFonts w:ascii="Times New Roman" w:hAnsi="Times New Roman" w:cs="Times New Roman"/>
          <w:i/>
          <w:sz w:val="24"/>
          <w:szCs w:val="24"/>
        </w:rPr>
        <w:t xml:space="preserve">“The most common types of builders in the private sector in Nigeria today, as in the past, are the on-site builders (and that is you and me). These are instalmental builders who are essentially individuals trying to own a house as fast as their resources could permit. </w:t>
      </w:r>
    </w:p>
    <w:p w14:paraId="3B5AB7E9" w14:textId="77777777" w:rsidR="00BE4AF3" w:rsidRPr="00BE4AF3" w:rsidRDefault="00BE4AF3" w:rsidP="008C779C">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Indicators of Micro Housing</w:t>
      </w:r>
    </w:p>
    <w:p w14:paraId="224E337F" w14:textId="77777777" w:rsidR="00BE4AF3" w:rsidRPr="00BE4AF3" w:rsidRDefault="00BE4AF3" w:rsidP="008C779C">
      <w:pPr>
        <w:pStyle w:val="Default"/>
        <w:jc w:val="both"/>
        <w:rPr>
          <w:color w:val="auto"/>
        </w:rPr>
      </w:pPr>
      <w:r w:rsidRPr="00BE4AF3">
        <w:rPr>
          <w:color w:val="auto"/>
        </w:rPr>
        <w:t>In order to identify neighborhood where there is concentration of micro houses, multi-dimensional perspective of household socio economic characteristics was used, 33 indicators are derived from the analysis of data and combined into five broad categories, reflecting the major issues being interrogated. These groups are micro nature of the residential buildings, facilities, services, condition of micro housings, and perception of the occupants of micro housing. The derived indicators are the proportion of buildings which fall below acceptable 46.5 m</w:t>
      </w:r>
      <w:r w:rsidRPr="00BE4AF3">
        <w:rPr>
          <w:color w:val="auto"/>
          <w:vertAlign w:val="superscript"/>
        </w:rPr>
        <w:t xml:space="preserve">2. </w:t>
      </w:r>
      <w:r w:rsidRPr="00BE4AF3">
        <w:rPr>
          <w:color w:val="auto"/>
        </w:rPr>
        <w:t>(Cavallari, 2012), and proportion of land plot size were recommended plot sizes for low income density residential area of 225m</w:t>
      </w:r>
      <w:r w:rsidRPr="00BE4AF3">
        <w:rPr>
          <w:color w:val="auto"/>
          <w:vertAlign w:val="superscript"/>
        </w:rPr>
        <w:t>2</w:t>
      </w:r>
      <w:r w:rsidRPr="00BE4AF3">
        <w:rPr>
          <w:color w:val="auto"/>
        </w:rPr>
        <w:t>.</w:t>
      </w:r>
      <w:r w:rsidRPr="00BE4AF3">
        <w:rPr>
          <w:b/>
          <w:color w:val="auto"/>
        </w:rPr>
        <w:t xml:space="preserve"> </w:t>
      </w:r>
      <w:r w:rsidRPr="00BE4AF3">
        <w:rPr>
          <w:color w:val="auto"/>
        </w:rPr>
        <w:t>To assess the facilities, services and condition of micro houses, 12 indicators are derived as showed in table 6 below;</w:t>
      </w:r>
    </w:p>
    <w:p w14:paraId="2D1A5E6A" w14:textId="77777777" w:rsidR="00BE4AF3" w:rsidRPr="008C779C" w:rsidRDefault="00BE4AF3" w:rsidP="008C779C">
      <w:pPr>
        <w:spacing w:after="0"/>
        <w:jc w:val="center"/>
        <w:rPr>
          <w:rFonts w:ascii="Times New Roman" w:hAnsi="Times New Roman" w:cs="Times New Roman"/>
          <w:bCs/>
          <w:sz w:val="24"/>
          <w:szCs w:val="24"/>
        </w:rPr>
      </w:pPr>
      <w:r w:rsidRPr="00BE4AF3">
        <w:rPr>
          <w:rFonts w:ascii="Times New Roman" w:hAnsi="Times New Roman" w:cs="Times New Roman"/>
          <w:b/>
          <w:sz w:val="24"/>
          <w:szCs w:val="24"/>
        </w:rPr>
        <w:t xml:space="preserve">Table 6: </w:t>
      </w:r>
      <w:r w:rsidRPr="008C779C">
        <w:rPr>
          <w:rFonts w:ascii="Times New Roman" w:hAnsi="Times New Roman" w:cs="Times New Roman"/>
          <w:bCs/>
          <w:sz w:val="24"/>
          <w:szCs w:val="24"/>
        </w:rPr>
        <w:t>Indicators to assess Facilities, Services and condition of Micro House</w:t>
      </w:r>
    </w:p>
    <w:tbl>
      <w:tblPr>
        <w:tblStyle w:val="Style1"/>
        <w:tblW w:w="8322" w:type="dxa"/>
        <w:jc w:val="center"/>
        <w:tblLayout w:type="fixed"/>
        <w:tblLook w:val="04A0" w:firstRow="1" w:lastRow="0" w:firstColumn="1" w:lastColumn="0" w:noHBand="0" w:noVBand="1"/>
      </w:tblPr>
      <w:tblGrid>
        <w:gridCol w:w="1728"/>
        <w:gridCol w:w="810"/>
        <w:gridCol w:w="900"/>
        <w:gridCol w:w="990"/>
        <w:gridCol w:w="990"/>
        <w:gridCol w:w="678"/>
        <w:gridCol w:w="640"/>
        <w:gridCol w:w="736"/>
        <w:gridCol w:w="850"/>
      </w:tblGrid>
      <w:tr w:rsidR="00BE4AF3" w:rsidRPr="008C779C" w14:paraId="6857F322" w14:textId="77777777" w:rsidTr="008C779C">
        <w:trPr>
          <w:jc w:val="center"/>
        </w:trPr>
        <w:tc>
          <w:tcPr>
            <w:tcW w:w="1728" w:type="dxa"/>
            <w:tcBorders>
              <w:top w:val="single" w:sz="4" w:space="0" w:color="auto"/>
              <w:bottom w:val="single" w:sz="4" w:space="0" w:color="auto"/>
            </w:tcBorders>
          </w:tcPr>
          <w:p w14:paraId="67A4C2BA"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Indicators.</w:t>
            </w:r>
          </w:p>
        </w:tc>
        <w:tc>
          <w:tcPr>
            <w:tcW w:w="810" w:type="dxa"/>
            <w:tcBorders>
              <w:top w:val="single" w:sz="4" w:space="0" w:color="auto"/>
              <w:bottom w:val="single" w:sz="4" w:space="0" w:color="auto"/>
            </w:tcBorders>
          </w:tcPr>
          <w:p w14:paraId="36CF3895"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Rafin</w:t>
            </w:r>
          </w:p>
          <w:p w14:paraId="46BA6BE5"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Yasih</w:t>
            </w:r>
          </w:p>
        </w:tc>
        <w:tc>
          <w:tcPr>
            <w:tcW w:w="900" w:type="dxa"/>
            <w:tcBorders>
              <w:top w:val="single" w:sz="4" w:space="0" w:color="auto"/>
              <w:bottom w:val="single" w:sz="4" w:space="0" w:color="auto"/>
            </w:tcBorders>
          </w:tcPr>
          <w:p w14:paraId="78C9F9C5"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Tundun Fulani</w:t>
            </w:r>
          </w:p>
        </w:tc>
        <w:tc>
          <w:tcPr>
            <w:tcW w:w="990" w:type="dxa"/>
            <w:tcBorders>
              <w:top w:val="single" w:sz="4" w:space="0" w:color="auto"/>
              <w:bottom w:val="single" w:sz="4" w:space="0" w:color="auto"/>
            </w:tcBorders>
          </w:tcPr>
          <w:p w14:paraId="777FE2A4"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Gidan</w:t>
            </w:r>
          </w:p>
          <w:p w14:paraId="002692F6"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Mangoro</w:t>
            </w:r>
          </w:p>
        </w:tc>
        <w:tc>
          <w:tcPr>
            <w:tcW w:w="990" w:type="dxa"/>
            <w:tcBorders>
              <w:top w:val="single" w:sz="4" w:space="0" w:color="auto"/>
              <w:bottom w:val="single" w:sz="4" w:space="0" w:color="auto"/>
            </w:tcBorders>
          </w:tcPr>
          <w:p w14:paraId="62E091B3"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Chanchaga</w:t>
            </w:r>
          </w:p>
        </w:tc>
        <w:tc>
          <w:tcPr>
            <w:tcW w:w="678" w:type="dxa"/>
            <w:tcBorders>
              <w:top w:val="single" w:sz="4" w:space="0" w:color="auto"/>
              <w:bottom w:val="single" w:sz="4" w:space="0" w:color="auto"/>
            </w:tcBorders>
          </w:tcPr>
          <w:p w14:paraId="5C4271EB"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Maitumbi</w:t>
            </w:r>
          </w:p>
        </w:tc>
        <w:tc>
          <w:tcPr>
            <w:tcW w:w="640" w:type="dxa"/>
            <w:tcBorders>
              <w:top w:val="single" w:sz="4" w:space="0" w:color="auto"/>
              <w:bottom w:val="single" w:sz="4" w:space="0" w:color="auto"/>
            </w:tcBorders>
          </w:tcPr>
          <w:p w14:paraId="7C193031"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Gbeganu</w:t>
            </w:r>
          </w:p>
        </w:tc>
        <w:tc>
          <w:tcPr>
            <w:tcW w:w="736" w:type="dxa"/>
            <w:tcBorders>
              <w:top w:val="single" w:sz="4" w:space="0" w:color="auto"/>
              <w:bottom w:val="single" w:sz="4" w:space="0" w:color="auto"/>
            </w:tcBorders>
          </w:tcPr>
          <w:p w14:paraId="6D5AB040"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Gadube</w:t>
            </w:r>
          </w:p>
        </w:tc>
        <w:tc>
          <w:tcPr>
            <w:tcW w:w="850" w:type="dxa"/>
            <w:tcBorders>
              <w:top w:val="single" w:sz="4" w:space="0" w:color="auto"/>
              <w:bottom w:val="single" w:sz="4" w:space="0" w:color="auto"/>
            </w:tcBorders>
          </w:tcPr>
          <w:p w14:paraId="4B28692E"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Nyikangbe</w:t>
            </w:r>
          </w:p>
        </w:tc>
      </w:tr>
      <w:tr w:rsidR="00BE4AF3" w:rsidRPr="008C779C" w14:paraId="636076AF" w14:textId="77777777" w:rsidTr="008C779C">
        <w:trPr>
          <w:jc w:val="center"/>
        </w:trPr>
        <w:tc>
          <w:tcPr>
            <w:tcW w:w="1728" w:type="dxa"/>
            <w:tcBorders>
              <w:top w:val="single" w:sz="4" w:space="0" w:color="auto"/>
            </w:tcBorders>
          </w:tcPr>
          <w:p w14:paraId="11174EFF" w14:textId="77777777" w:rsidR="00BE4AF3" w:rsidRPr="008C779C" w:rsidRDefault="00BE4AF3" w:rsidP="008C779C">
            <w:pPr>
              <w:spacing w:after="0" w:line="240" w:lineRule="auto"/>
              <w:jc w:val="both"/>
              <w:rPr>
                <w:rFonts w:ascii="Times New Roman" w:hAnsi="Times New Roman" w:cs="Times New Roman"/>
                <w:sz w:val="20"/>
                <w:szCs w:val="20"/>
              </w:rPr>
            </w:pPr>
            <w:r w:rsidRPr="008C779C">
              <w:rPr>
                <w:rFonts w:ascii="Times New Roman" w:hAnsi="Times New Roman" w:cs="Times New Roman"/>
                <w:sz w:val="20"/>
                <w:szCs w:val="20"/>
              </w:rPr>
              <w:t>Proportion of room and parlour.</w:t>
            </w:r>
          </w:p>
        </w:tc>
        <w:tc>
          <w:tcPr>
            <w:tcW w:w="810" w:type="dxa"/>
            <w:tcBorders>
              <w:top w:val="single" w:sz="4" w:space="0" w:color="auto"/>
            </w:tcBorders>
          </w:tcPr>
          <w:p w14:paraId="463E58D7"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23</w:t>
            </w:r>
          </w:p>
        </w:tc>
        <w:tc>
          <w:tcPr>
            <w:tcW w:w="900" w:type="dxa"/>
            <w:tcBorders>
              <w:top w:val="single" w:sz="4" w:space="0" w:color="auto"/>
            </w:tcBorders>
          </w:tcPr>
          <w:p w14:paraId="60E2FF87"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7</w:t>
            </w:r>
          </w:p>
        </w:tc>
        <w:tc>
          <w:tcPr>
            <w:tcW w:w="990" w:type="dxa"/>
            <w:tcBorders>
              <w:top w:val="single" w:sz="4" w:space="0" w:color="auto"/>
            </w:tcBorders>
          </w:tcPr>
          <w:p w14:paraId="7F71CC8F"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0</w:t>
            </w:r>
          </w:p>
        </w:tc>
        <w:tc>
          <w:tcPr>
            <w:tcW w:w="990" w:type="dxa"/>
            <w:tcBorders>
              <w:top w:val="single" w:sz="4" w:space="0" w:color="auto"/>
            </w:tcBorders>
          </w:tcPr>
          <w:p w14:paraId="4BC18714"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13</w:t>
            </w:r>
          </w:p>
        </w:tc>
        <w:tc>
          <w:tcPr>
            <w:tcW w:w="678" w:type="dxa"/>
            <w:tcBorders>
              <w:top w:val="single" w:sz="4" w:space="0" w:color="auto"/>
            </w:tcBorders>
          </w:tcPr>
          <w:p w14:paraId="5A67F14A"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15</w:t>
            </w:r>
          </w:p>
        </w:tc>
        <w:tc>
          <w:tcPr>
            <w:tcW w:w="640" w:type="dxa"/>
            <w:tcBorders>
              <w:top w:val="single" w:sz="4" w:space="0" w:color="auto"/>
            </w:tcBorders>
          </w:tcPr>
          <w:p w14:paraId="60A09AB8"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17</w:t>
            </w:r>
          </w:p>
        </w:tc>
        <w:tc>
          <w:tcPr>
            <w:tcW w:w="736" w:type="dxa"/>
            <w:tcBorders>
              <w:top w:val="single" w:sz="4" w:space="0" w:color="auto"/>
            </w:tcBorders>
          </w:tcPr>
          <w:p w14:paraId="0C5C61D5"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27</w:t>
            </w:r>
          </w:p>
        </w:tc>
        <w:tc>
          <w:tcPr>
            <w:tcW w:w="850" w:type="dxa"/>
            <w:tcBorders>
              <w:top w:val="single" w:sz="4" w:space="0" w:color="auto"/>
            </w:tcBorders>
          </w:tcPr>
          <w:p w14:paraId="4F21EBD0"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0</w:t>
            </w:r>
          </w:p>
        </w:tc>
      </w:tr>
      <w:tr w:rsidR="00BE4AF3" w:rsidRPr="008C779C" w14:paraId="3995F374" w14:textId="77777777" w:rsidTr="008C779C">
        <w:trPr>
          <w:jc w:val="center"/>
        </w:trPr>
        <w:tc>
          <w:tcPr>
            <w:tcW w:w="1728" w:type="dxa"/>
          </w:tcPr>
          <w:p w14:paraId="06B5F58A" w14:textId="77777777" w:rsidR="00BE4AF3" w:rsidRPr="008C779C" w:rsidRDefault="00BE4AF3" w:rsidP="008C779C">
            <w:pPr>
              <w:spacing w:after="0" w:line="240" w:lineRule="auto"/>
              <w:jc w:val="both"/>
              <w:rPr>
                <w:rFonts w:ascii="Times New Roman" w:hAnsi="Times New Roman" w:cs="Times New Roman"/>
                <w:sz w:val="20"/>
                <w:szCs w:val="20"/>
              </w:rPr>
            </w:pPr>
            <w:r w:rsidRPr="008C779C">
              <w:rPr>
                <w:rFonts w:ascii="Times New Roman" w:hAnsi="Times New Roman" w:cs="Times New Roman"/>
                <w:sz w:val="20"/>
                <w:szCs w:val="20"/>
              </w:rPr>
              <w:t>Proportion of row housings.</w:t>
            </w:r>
          </w:p>
        </w:tc>
        <w:tc>
          <w:tcPr>
            <w:tcW w:w="810" w:type="dxa"/>
          </w:tcPr>
          <w:p w14:paraId="0D995A12"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40</w:t>
            </w:r>
          </w:p>
        </w:tc>
        <w:tc>
          <w:tcPr>
            <w:tcW w:w="900" w:type="dxa"/>
          </w:tcPr>
          <w:p w14:paraId="4F211B16"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29</w:t>
            </w:r>
          </w:p>
        </w:tc>
        <w:tc>
          <w:tcPr>
            <w:tcW w:w="990" w:type="dxa"/>
          </w:tcPr>
          <w:p w14:paraId="4418FDD3"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45</w:t>
            </w:r>
          </w:p>
        </w:tc>
        <w:tc>
          <w:tcPr>
            <w:tcW w:w="990" w:type="dxa"/>
          </w:tcPr>
          <w:p w14:paraId="0DCE5189"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26</w:t>
            </w:r>
          </w:p>
        </w:tc>
        <w:tc>
          <w:tcPr>
            <w:tcW w:w="678" w:type="dxa"/>
          </w:tcPr>
          <w:p w14:paraId="3F1AABFE"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62</w:t>
            </w:r>
          </w:p>
        </w:tc>
        <w:tc>
          <w:tcPr>
            <w:tcW w:w="640" w:type="dxa"/>
          </w:tcPr>
          <w:p w14:paraId="7D450417"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25</w:t>
            </w:r>
          </w:p>
        </w:tc>
        <w:tc>
          <w:tcPr>
            <w:tcW w:w="736" w:type="dxa"/>
          </w:tcPr>
          <w:p w14:paraId="5BBAD7DF"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27</w:t>
            </w:r>
          </w:p>
        </w:tc>
        <w:tc>
          <w:tcPr>
            <w:tcW w:w="850" w:type="dxa"/>
          </w:tcPr>
          <w:p w14:paraId="29F8670C"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25</w:t>
            </w:r>
          </w:p>
        </w:tc>
      </w:tr>
      <w:tr w:rsidR="00BE4AF3" w:rsidRPr="008C779C" w14:paraId="3C712435" w14:textId="77777777" w:rsidTr="008C779C">
        <w:trPr>
          <w:jc w:val="center"/>
        </w:trPr>
        <w:tc>
          <w:tcPr>
            <w:tcW w:w="1728" w:type="dxa"/>
          </w:tcPr>
          <w:p w14:paraId="48A9768B"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Proportion of one bedroom flat.</w:t>
            </w:r>
          </w:p>
        </w:tc>
        <w:tc>
          <w:tcPr>
            <w:tcW w:w="810" w:type="dxa"/>
          </w:tcPr>
          <w:p w14:paraId="28357E53"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10</w:t>
            </w:r>
          </w:p>
        </w:tc>
        <w:tc>
          <w:tcPr>
            <w:tcW w:w="900" w:type="dxa"/>
          </w:tcPr>
          <w:p w14:paraId="273C091A"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21</w:t>
            </w:r>
          </w:p>
        </w:tc>
        <w:tc>
          <w:tcPr>
            <w:tcW w:w="990" w:type="dxa"/>
          </w:tcPr>
          <w:p w14:paraId="4535E0D8"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10</w:t>
            </w:r>
          </w:p>
        </w:tc>
        <w:tc>
          <w:tcPr>
            <w:tcW w:w="990" w:type="dxa"/>
          </w:tcPr>
          <w:p w14:paraId="3EFF935D"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17</w:t>
            </w:r>
          </w:p>
        </w:tc>
        <w:tc>
          <w:tcPr>
            <w:tcW w:w="678" w:type="dxa"/>
          </w:tcPr>
          <w:p w14:paraId="6DC528E7"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8</w:t>
            </w:r>
          </w:p>
        </w:tc>
        <w:tc>
          <w:tcPr>
            <w:tcW w:w="640" w:type="dxa"/>
          </w:tcPr>
          <w:p w14:paraId="3FBF291E"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33</w:t>
            </w:r>
          </w:p>
        </w:tc>
        <w:tc>
          <w:tcPr>
            <w:tcW w:w="736" w:type="dxa"/>
          </w:tcPr>
          <w:p w14:paraId="23993FD6"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53</w:t>
            </w:r>
          </w:p>
        </w:tc>
        <w:tc>
          <w:tcPr>
            <w:tcW w:w="850" w:type="dxa"/>
          </w:tcPr>
          <w:p w14:paraId="4932C9B6"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25</w:t>
            </w:r>
          </w:p>
        </w:tc>
      </w:tr>
      <w:tr w:rsidR="00BE4AF3" w:rsidRPr="008C779C" w14:paraId="19969F58" w14:textId="77777777" w:rsidTr="008C779C">
        <w:trPr>
          <w:jc w:val="center"/>
        </w:trPr>
        <w:tc>
          <w:tcPr>
            <w:tcW w:w="1728" w:type="dxa"/>
          </w:tcPr>
          <w:p w14:paraId="5B86DDF8" w14:textId="68CF12DE"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 xml:space="preserve">Proportion of buildings </w:t>
            </w:r>
            <w:r w:rsidR="008C779C" w:rsidRPr="008C779C">
              <w:rPr>
                <w:rFonts w:ascii="Times New Roman" w:hAnsi="Times New Roman" w:cs="Times New Roman"/>
                <w:sz w:val="20"/>
                <w:szCs w:val="20"/>
              </w:rPr>
              <w:t>without sitting</w:t>
            </w:r>
            <w:r w:rsidRPr="008C779C">
              <w:rPr>
                <w:rFonts w:ascii="Times New Roman" w:hAnsi="Times New Roman" w:cs="Times New Roman"/>
                <w:sz w:val="20"/>
                <w:szCs w:val="20"/>
              </w:rPr>
              <w:t xml:space="preserve"> room.</w:t>
            </w:r>
          </w:p>
        </w:tc>
        <w:tc>
          <w:tcPr>
            <w:tcW w:w="810" w:type="dxa"/>
          </w:tcPr>
          <w:p w14:paraId="5FFE4F54"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53</w:t>
            </w:r>
          </w:p>
        </w:tc>
        <w:tc>
          <w:tcPr>
            <w:tcW w:w="900" w:type="dxa"/>
          </w:tcPr>
          <w:p w14:paraId="3A363A5C"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36</w:t>
            </w:r>
          </w:p>
        </w:tc>
        <w:tc>
          <w:tcPr>
            <w:tcW w:w="990" w:type="dxa"/>
          </w:tcPr>
          <w:p w14:paraId="4D69A407"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40</w:t>
            </w:r>
          </w:p>
        </w:tc>
        <w:tc>
          <w:tcPr>
            <w:tcW w:w="990" w:type="dxa"/>
          </w:tcPr>
          <w:p w14:paraId="68C67AC1"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17</w:t>
            </w:r>
          </w:p>
        </w:tc>
        <w:tc>
          <w:tcPr>
            <w:tcW w:w="678" w:type="dxa"/>
          </w:tcPr>
          <w:p w14:paraId="216032A1"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58</w:t>
            </w:r>
          </w:p>
        </w:tc>
        <w:tc>
          <w:tcPr>
            <w:tcW w:w="640" w:type="dxa"/>
          </w:tcPr>
          <w:p w14:paraId="02830F47"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8</w:t>
            </w:r>
          </w:p>
        </w:tc>
        <w:tc>
          <w:tcPr>
            <w:tcW w:w="736" w:type="dxa"/>
          </w:tcPr>
          <w:p w14:paraId="78EDC086"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47</w:t>
            </w:r>
          </w:p>
        </w:tc>
        <w:tc>
          <w:tcPr>
            <w:tcW w:w="850" w:type="dxa"/>
          </w:tcPr>
          <w:p w14:paraId="53FFDB8D"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17</w:t>
            </w:r>
          </w:p>
        </w:tc>
      </w:tr>
      <w:tr w:rsidR="00BE4AF3" w:rsidRPr="008C779C" w14:paraId="289DA55C" w14:textId="77777777" w:rsidTr="008C779C">
        <w:trPr>
          <w:jc w:val="center"/>
        </w:trPr>
        <w:tc>
          <w:tcPr>
            <w:tcW w:w="1728" w:type="dxa"/>
          </w:tcPr>
          <w:p w14:paraId="426BB4C2" w14:textId="709A6262"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 xml:space="preserve">Proportion </w:t>
            </w:r>
            <w:r w:rsidR="008C779C" w:rsidRPr="008C779C">
              <w:rPr>
                <w:rFonts w:ascii="Times New Roman" w:hAnsi="Times New Roman" w:cs="Times New Roman"/>
                <w:sz w:val="20"/>
                <w:szCs w:val="20"/>
              </w:rPr>
              <w:t>of buildings</w:t>
            </w:r>
            <w:r w:rsidRPr="008C779C">
              <w:rPr>
                <w:rFonts w:ascii="Times New Roman" w:hAnsi="Times New Roman" w:cs="Times New Roman"/>
                <w:sz w:val="20"/>
                <w:szCs w:val="20"/>
              </w:rPr>
              <w:t xml:space="preserve"> without toilet.</w:t>
            </w:r>
          </w:p>
        </w:tc>
        <w:tc>
          <w:tcPr>
            <w:tcW w:w="810" w:type="dxa"/>
          </w:tcPr>
          <w:p w14:paraId="39023C63"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33</w:t>
            </w:r>
          </w:p>
        </w:tc>
        <w:tc>
          <w:tcPr>
            <w:tcW w:w="900" w:type="dxa"/>
          </w:tcPr>
          <w:p w14:paraId="25D36780"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0</w:t>
            </w:r>
          </w:p>
        </w:tc>
        <w:tc>
          <w:tcPr>
            <w:tcW w:w="990" w:type="dxa"/>
          </w:tcPr>
          <w:p w14:paraId="3A36628E"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35</w:t>
            </w:r>
          </w:p>
        </w:tc>
        <w:tc>
          <w:tcPr>
            <w:tcW w:w="990" w:type="dxa"/>
          </w:tcPr>
          <w:p w14:paraId="536FBF3F"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35</w:t>
            </w:r>
          </w:p>
        </w:tc>
        <w:tc>
          <w:tcPr>
            <w:tcW w:w="678" w:type="dxa"/>
          </w:tcPr>
          <w:p w14:paraId="0108AFAE"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39</w:t>
            </w:r>
          </w:p>
        </w:tc>
        <w:tc>
          <w:tcPr>
            <w:tcW w:w="640" w:type="dxa"/>
          </w:tcPr>
          <w:p w14:paraId="454846E1"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17</w:t>
            </w:r>
          </w:p>
        </w:tc>
        <w:tc>
          <w:tcPr>
            <w:tcW w:w="736" w:type="dxa"/>
          </w:tcPr>
          <w:p w14:paraId="00D40713"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40</w:t>
            </w:r>
          </w:p>
        </w:tc>
        <w:tc>
          <w:tcPr>
            <w:tcW w:w="850" w:type="dxa"/>
          </w:tcPr>
          <w:p w14:paraId="612020F8"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25</w:t>
            </w:r>
          </w:p>
        </w:tc>
      </w:tr>
      <w:tr w:rsidR="00BE4AF3" w:rsidRPr="008C779C" w14:paraId="2DFC34B8" w14:textId="77777777" w:rsidTr="008C779C">
        <w:trPr>
          <w:jc w:val="center"/>
        </w:trPr>
        <w:tc>
          <w:tcPr>
            <w:tcW w:w="1728" w:type="dxa"/>
          </w:tcPr>
          <w:p w14:paraId="42DD8281" w14:textId="1118BD58"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 xml:space="preserve">Proportion of </w:t>
            </w:r>
            <w:r w:rsidR="008C779C" w:rsidRPr="008C779C">
              <w:rPr>
                <w:rFonts w:ascii="Times New Roman" w:hAnsi="Times New Roman" w:cs="Times New Roman"/>
                <w:sz w:val="20"/>
                <w:szCs w:val="20"/>
              </w:rPr>
              <w:t>buildings with</w:t>
            </w:r>
            <w:r w:rsidRPr="008C779C">
              <w:rPr>
                <w:rFonts w:ascii="Times New Roman" w:hAnsi="Times New Roman" w:cs="Times New Roman"/>
                <w:sz w:val="20"/>
                <w:szCs w:val="20"/>
              </w:rPr>
              <w:t xml:space="preserve"> bathroom outside.</w:t>
            </w:r>
          </w:p>
        </w:tc>
        <w:tc>
          <w:tcPr>
            <w:tcW w:w="810" w:type="dxa"/>
          </w:tcPr>
          <w:p w14:paraId="46E45EA9"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60</w:t>
            </w:r>
          </w:p>
        </w:tc>
        <w:tc>
          <w:tcPr>
            <w:tcW w:w="900" w:type="dxa"/>
          </w:tcPr>
          <w:p w14:paraId="42106464"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36</w:t>
            </w:r>
          </w:p>
        </w:tc>
        <w:tc>
          <w:tcPr>
            <w:tcW w:w="990" w:type="dxa"/>
          </w:tcPr>
          <w:p w14:paraId="09E838DB"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65</w:t>
            </w:r>
          </w:p>
        </w:tc>
        <w:tc>
          <w:tcPr>
            <w:tcW w:w="990" w:type="dxa"/>
          </w:tcPr>
          <w:p w14:paraId="2CD9EBF2"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39</w:t>
            </w:r>
          </w:p>
        </w:tc>
        <w:tc>
          <w:tcPr>
            <w:tcW w:w="678" w:type="dxa"/>
          </w:tcPr>
          <w:p w14:paraId="3F3D7A35"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73</w:t>
            </w:r>
          </w:p>
        </w:tc>
        <w:tc>
          <w:tcPr>
            <w:tcW w:w="640" w:type="dxa"/>
          </w:tcPr>
          <w:p w14:paraId="34860E2F"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42</w:t>
            </w:r>
          </w:p>
        </w:tc>
        <w:tc>
          <w:tcPr>
            <w:tcW w:w="736" w:type="dxa"/>
          </w:tcPr>
          <w:p w14:paraId="15DAED21"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60</w:t>
            </w:r>
          </w:p>
        </w:tc>
        <w:tc>
          <w:tcPr>
            <w:tcW w:w="850" w:type="dxa"/>
          </w:tcPr>
          <w:p w14:paraId="0AC7CC7B"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25</w:t>
            </w:r>
          </w:p>
        </w:tc>
      </w:tr>
      <w:tr w:rsidR="00BE4AF3" w:rsidRPr="008C779C" w14:paraId="70B8B9A8" w14:textId="77777777" w:rsidTr="008C779C">
        <w:trPr>
          <w:jc w:val="center"/>
        </w:trPr>
        <w:tc>
          <w:tcPr>
            <w:tcW w:w="1728" w:type="dxa"/>
          </w:tcPr>
          <w:p w14:paraId="3F7F4CDD" w14:textId="01B91A39"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 xml:space="preserve">Proportion of buildings </w:t>
            </w:r>
            <w:r w:rsidR="008C779C" w:rsidRPr="008C779C">
              <w:rPr>
                <w:rFonts w:ascii="Times New Roman" w:hAnsi="Times New Roman" w:cs="Times New Roman"/>
                <w:sz w:val="20"/>
                <w:szCs w:val="20"/>
              </w:rPr>
              <w:t>without kitchen</w:t>
            </w:r>
            <w:r w:rsidRPr="008C779C">
              <w:rPr>
                <w:rFonts w:ascii="Times New Roman" w:hAnsi="Times New Roman" w:cs="Times New Roman"/>
                <w:sz w:val="20"/>
                <w:szCs w:val="20"/>
              </w:rPr>
              <w:t>.</w:t>
            </w:r>
          </w:p>
        </w:tc>
        <w:tc>
          <w:tcPr>
            <w:tcW w:w="810" w:type="dxa"/>
          </w:tcPr>
          <w:p w14:paraId="11B481D8"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63</w:t>
            </w:r>
          </w:p>
        </w:tc>
        <w:tc>
          <w:tcPr>
            <w:tcW w:w="900" w:type="dxa"/>
          </w:tcPr>
          <w:p w14:paraId="54E600DA"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43</w:t>
            </w:r>
          </w:p>
        </w:tc>
        <w:tc>
          <w:tcPr>
            <w:tcW w:w="990" w:type="dxa"/>
          </w:tcPr>
          <w:p w14:paraId="16BB8CAE"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60</w:t>
            </w:r>
          </w:p>
        </w:tc>
        <w:tc>
          <w:tcPr>
            <w:tcW w:w="990" w:type="dxa"/>
          </w:tcPr>
          <w:p w14:paraId="3410AEC0"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48</w:t>
            </w:r>
          </w:p>
        </w:tc>
        <w:tc>
          <w:tcPr>
            <w:tcW w:w="678" w:type="dxa"/>
          </w:tcPr>
          <w:p w14:paraId="7F0CD6C9"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81</w:t>
            </w:r>
          </w:p>
        </w:tc>
        <w:tc>
          <w:tcPr>
            <w:tcW w:w="640" w:type="dxa"/>
          </w:tcPr>
          <w:p w14:paraId="2A98D176"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42</w:t>
            </w:r>
          </w:p>
        </w:tc>
        <w:tc>
          <w:tcPr>
            <w:tcW w:w="736" w:type="dxa"/>
          </w:tcPr>
          <w:p w14:paraId="43A859D5"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73</w:t>
            </w:r>
          </w:p>
        </w:tc>
        <w:tc>
          <w:tcPr>
            <w:tcW w:w="850" w:type="dxa"/>
          </w:tcPr>
          <w:p w14:paraId="2C8B2289"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42</w:t>
            </w:r>
          </w:p>
        </w:tc>
      </w:tr>
      <w:tr w:rsidR="00BE4AF3" w:rsidRPr="008C779C" w14:paraId="3BC27A66" w14:textId="77777777" w:rsidTr="008C779C">
        <w:trPr>
          <w:jc w:val="center"/>
        </w:trPr>
        <w:tc>
          <w:tcPr>
            <w:tcW w:w="1728" w:type="dxa"/>
          </w:tcPr>
          <w:p w14:paraId="79B764B4" w14:textId="4D6CC2AA"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 xml:space="preserve">Proportion </w:t>
            </w:r>
            <w:r w:rsidR="008C779C" w:rsidRPr="008C779C">
              <w:rPr>
                <w:rFonts w:ascii="Times New Roman" w:hAnsi="Times New Roman" w:cs="Times New Roman"/>
                <w:sz w:val="20"/>
                <w:szCs w:val="20"/>
              </w:rPr>
              <w:t>of buildings with</w:t>
            </w:r>
            <w:r w:rsidRPr="008C779C">
              <w:rPr>
                <w:rFonts w:ascii="Times New Roman" w:hAnsi="Times New Roman" w:cs="Times New Roman"/>
                <w:sz w:val="20"/>
                <w:szCs w:val="20"/>
              </w:rPr>
              <w:t xml:space="preserve"> dilapidating wall.</w:t>
            </w:r>
          </w:p>
        </w:tc>
        <w:tc>
          <w:tcPr>
            <w:tcW w:w="810" w:type="dxa"/>
          </w:tcPr>
          <w:p w14:paraId="0B9F4534"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10</w:t>
            </w:r>
          </w:p>
        </w:tc>
        <w:tc>
          <w:tcPr>
            <w:tcW w:w="900" w:type="dxa"/>
          </w:tcPr>
          <w:p w14:paraId="782EA072"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14</w:t>
            </w:r>
          </w:p>
        </w:tc>
        <w:tc>
          <w:tcPr>
            <w:tcW w:w="990" w:type="dxa"/>
          </w:tcPr>
          <w:p w14:paraId="2FCE3D56"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25</w:t>
            </w:r>
          </w:p>
        </w:tc>
        <w:tc>
          <w:tcPr>
            <w:tcW w:w="990" w:type="dxa"/>
          </w:tcPr>
          <w:p w14:paraId="1613D2E7"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13</w:t>
            </w:r>
          </w:p>
        </w:tc>
        <w:tc>
          <w:tcPr>
            <w:tcW w:w="678" w:type="dxa"/>
          </w:tcPr>
          <w:p w14:paraId="118EA669"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12</w:t>
            </w:r>
          </w:p>
        </w:tc>
        <w:tc>
          <w:tcPr>
            <w:tcW w:w="640" w:type="dxa"/>
          </w:tcPr>
          <w:p w14:paraId="2892D05B"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17</w:t>
            </w:r>
          </w:p>
        </w:tc>
        <w:tc>
          <w:tcPr>
            <w:tcW w:w="736" w:type="dxa"/>
          </w:tcPr>
          <w:p w14:paraId="234FEE1B"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33</w:t>
            </w:r>
          </w:p>
        </w:tc>
        <w:tc>
          <w:tcPr>
            <w:tcW w:w="850" w:type="dxa"/>
          </w:tcPr>
          <w:p w14:paraId="4C6E3A61"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17</w:t>
            </w:r>
          </w:p>
        </w:tc>
      </w:tr>
      <w:tr w:rsidR="00BE4AF3" w:rsidRPr="008C779C" w14:paraId="23A4FB8D" w14:textId="77777777" w:rsidTr="008C779C">
        <w:trPr>
          <w:jc w:val="center"/>
        </w:trPr>
        <w:tc>
          <w:tcPr>
            <w:tcW w:w="1728" w:type="dxa"/>
          </w:tcPr>
          <w:p w14:paraId="2EDE68C2" w14:textId="5F1761AF"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 xml:space="preserve">Proportion </w:t>
            </w:r>
            <w:r w:rsidR="008C779C" w:rsidRPr="008C779C">
              <w:rPr>
                <w:rFonts w:ascii="Times New Roman" w:hAnsi="Times New Roman" w:cs="Times New Roman"/>
                <w:sz w:val="20"/>
                <w:szCs w:val="20"/>
              </w:rPr>
              <w:t>of sandcrete</w:t>
            </w:r>
            <w:r w:rsidRPr="008C779C">
              <w:rPr>
                <w:rFonts w:ascii="Times New Roman" w:hAnsi="Times New Roman" w:cs="Times New Roman"/>
                <w:sz w:val="20"/>
                <w:szCs w:val="20"/>
              </w:rPr>
              <w:t xml:space="preserve"> wall.</w:t>
            </w:r>
          </w:p>
        </w:tc>
        <w:tc>
          <w:tcPr>
            <w:tcW w:w="810" w:type="dxa"/>
          </w:tcPr>
          <w:p w14:paraId="25659BD1"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47</w:t>
            </w:r>
          </w:p>
        </w:tc>
        <w:tc>
          <w:tcPr>
            <w:tcW w:w="900" w:type="dxa"/>
          </w:tcPr>
          <w:p w14:paraId="46176363"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50</w:t>
            </w:r>
          </w:p>
        </w:tc>
        <w:tc>
          <w:tcPr>
            <w:tcW w:w="990" w:type="dxa"/>
          </w:tcPr>
          <w:p w14:paraId="0A4CAB3A"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75</w:t>
            </w:r>
          </w:p>
        </w:tc>
        <w:tc>
          <w:tcPr>
            <w:tcW w:w="990" w:type="dxa"/>
          </w:tcPr>
          <w:p w14:paraId="3A5196E1"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61</w:t>
            </w:r>
          </w:p>
        </w:tc>
        <w:tc>
          <w:tcPr>
            <w:tcW w:w="678" w:type="dxa"/>
          </w:tcPr>
          <w:p w14:paraId="6716022A"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85</w:t>
            </w:r>
          </w:p>
        </w:tc>
        <w:tc>
          <w:tcPr>
            <w:tcW w:w="640" w:type="dxa"/>
          </w:tcPr>
          <w:p w14:paraId="525DE996"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58</w:t>
            </w:r>
          </w:p>
        </w:tc>
        <w:tc>
          <w:tcPr>
            <w:tcW w:w="736" w:type="dxa"/>
          </w:tcPr>
          <w:p w14:paraId="77D701A5"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73</w:t>
            </w:r>
          </w:p>
        </w:tc>
        <w:tc>
          <w:tcPr>
            <w:tcW w:w="850" w:type="dxa"/>
          </w:tcPr>
          <w:p w14:paraId="0E671533"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50</w:t>
            </w:r>
          </w:p>
        </w:tc>
      </w:tr>
      <w:tr w:rsidR="00BE4AF3" w:rsidRPr="008C779C" w14:paraId="58133174" w14:textId="77777777" w:rsidTr="008C779C">
        <w:trPr>
          <w:jc w:val="center"/>
        </w:trPr>
        <w:tc>
          <w:tcPr>
            <w:tcW w:w="1728" w:type="dxa"/>
          </w:tcPr>
          <w:p w14:paraId="0B5328A4" w14:textId="194212C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lastRenderedPageBreak/>
              <w:t xml:space="preserve">Proportion </w:t>
            </w:r>
            <w:r w:rsidR="008C779C" w:rsidRPr="008C779C">
              <w:rPr>
                <w:rFonts w:ascii="Times New Roman" w:hAnsi="Times New Roman" w:cs="Times New Roman"/>
                <w:sz w:val="20"/>
                <w:szCs w:val="20"/>
              </w:rPr>
              <w:t>of buildings</w:t>
            </w:r>
            <w:r w:rsidRPr="008C779C">
              <w:rPr>
                <w:rFonts w:ascii="Times New Roman" w:hAnsi="Times New Roman" w:cs="Times New Roman"/>
                <w:sz w:val="20"/>
                <w:szCs w:val="20"/>
              </w:rPr>
              <w:t xml:space="preserve"> </w:t>
            </w:r>
            <w:r w:rsidR="008C779C" w:rsidRPr="008C779C">
              <w:rPr>
                <w:rFonts w:ascii="Times New Roman" w:hAnsi="Times New Roman" w:cs="Times New Roman"/>
                <w:sz w:val="20"/>
                <w:szCs w:val="20"/>
              </w:rPr>
              <w:t>without access</w:t>
            </w:r>
            <w:r w:rsidRPr="008C779C">
              <w:rPr>
                <w:rFonts w:ascii="Times New Roman" w:hAnsi="Times New Roman" w:cs="Times New Roman"/>
                <w:sz w:val="20"/>
                <w:szCs w:val="20"/>
              </w:rPr>
              <w:t>.</w:t>
            </w:r>
          </w:p>
        </w:tc>
        <w:tc>
          <w:tcPr>
            <w:tcW w:w="810" w:type="dxa"/>
          </w:tcPr>
          <w:p w14:paraId="104ADBF2"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50</w:t>
            </w:r>
          </w:p>
        </w:tc>
        <w:tc>
          <w:tcPr>
            <w:tcW w:w="900" w:type="dxa"/>
          </w:tcPr>
          <w:p w14:paraId="22E48784"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64</w:t>
            </w:r>
          </w:p>
        </w:tc>
        <w:tc>
          <w:tcPr>
            <w:tcW w:w="990" w:type="dxa"/>
          </w:tcPr>
          <w:p w14:paraId="342F9A10"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45</w:t>
            </w:r>
          </w:p>
        </w:tc>
        <w:tc>
          <w:tcPr>
            <w:tcW w:w="990" w:type="dxa"/>
          </w:tcPr>
          <w:p w14:paraId="213619C0"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33</w:t>
            </w:r>
          </w:p>
        </w:tc>
        <w:tc>
          <w:tcPr>
            <w:tcW w:w="678" w:type="dxa"/>
          </w:tcPr>
          <w:p w14:paraId="3386AE99"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81</w:t>
            </w:r>
          </w:p>
        </w:tc>
        <w:tc>
          <w:tcPr>
            <w:tcW w:w="640" w:type="dxa"/>
          </w:tcPr>
          <w:p w14:paraId="50E4E0DF"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50</w:t>
            </w:r>
          </w:p>
        </w:tc>
        <w:tc>
          <w:tcPr>
            <w:tcW w:w="736" w:type="dxa"/>
          </w:tcPr>
          <w:p w14:paraId="7793BB2D"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53</w:t>
            </w:r>
          </w:p>
        </w:tc>
        <w:tc>
          <w:tcPr>
            <w:tcW w:w="850" w:type="dxa"/>
          </w:tcPr>
          <w:p w14:paraId="7980AA53"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25</w:t>
            </w:r>
          </w:p>
        </w:tc>
      </w:tr>
      <w:tr w:rsidR="00BE4AF3" w:rsidRPr="008C779C" w14:paraId="128B24C8" w14:textId="77777777" w:rsidTr="008C779C">
        <w:trPr>
          <w:jc w:val="center"/>
        </w:trPr>
        <w:tc>
          <w:tcPr>
            <w:tcW w:w="1728" w:type="dxa"/>
          </w:tcPr>
          <w:p w14:paraId="735D205B"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Proportion of buildings without fence.</w:t>
            </w:r>
          </w:p>
        </w:tc>
        <w:tc>
          <w:tcPr>
            <w:tcW w:w="810" w:type="dxa"/>
          </w:tcPr>
          <w:p w14:paraId="56AF2E81"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83</w:t>
            </w:r>
          </w:p>
        </w:tc>
        <w:tc>
          <w:tcPr>
            <w:tcW w:w="900" w:type="dxa"/>
          </w:tcPr>
          <w:p w14:paraId="1997F6FD"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71</w:t>
            </w:r>
          </w:p>
        </w:tc>
        <w:tc>
          <w:tcPr>
            <w:tcW w:w="990" w:type="dxa"/>
          </w:tcPr>
          <w:p w14:paraId="75EAFF81"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65</w:t>
            </w:r>
          </w:p>
        </w:tc>
        <w:tc>
          <w:tcPr>
            <w:tcW w:w="990" w:type="dxa"/>
          </w:tcPr>
          <w:p w14:paraId="5358EF86"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70</w:t>
            </w:r>
          </w:p>
        </w:tc>
        <w:tc>
          <w:tcPr>
            <w:tcW w:w="678" w:type="dxa"/>
          </w:tcPr>
          <w:p w14:paraId="15E9C4AB"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65</w:t>
            </w:r>
          </w:p>
        </w:tc>
        <w:tc>
          <w:tcPr>
            <w:tcW w:w="640" w:type="dxa"/>
          </w:tcPr>
          <w:p w14:paraId="442A978E"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83</w:t>
            </w:r>
          </w:p>
        </w:tc>
        <w:tc>
          <w:tcPr>
            <w:tcW w:w="736" w:type="dxa"/>
          </w:tcPr>
          <w:p w14:paraId="31050EB5"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73</w:t>
            </w:r>
          </w:p>
        </w:tc>
        <w:tc>
          <w:tcPr>
            <w:tcW w:w="850" w:type="dxa"/>
          </w:tcPr>
          <w:p w14:paraId="2A1213B7"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75</w:t>
            </w:r>
          </w:p>
        </w:tc>
      </w:tr>
      <w:tr w:rsidR="00BE4AF3" w:rsidRPr="008C779C" w14:paraId="6BB481D8" w14:textId="77777777" w:rsidTr="008C779C">
        <w:trPr>
          <w:jc w:val="center"/>
        </w:trPr>
        <w:tc>
          <w:tcPr>
            <w:tcW w:w="1728" w:type="dxa"/>
            <w:tcBorders>
              <w:bottom w:val="single" w:sz="4" w:space="0" w:color="auto"/>
            </w:tcBorders>
          </w:tcPr>
          <w:p w14:paraId="7F0EC333" w14:textId="361C106D"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 xml:space="preserve">Proportion </w:t>
            </w:r>
            <w:r w:rsidR="008C779C" w:rsidRPr="008C779C">
              <w:rPr>
                <w:rFonts w:ascii="Times New Roman" w:hAnsi="Times New Roman" w:cs="Times New Roman"/>
                <w:sz w:val="20"/>
                <w:szCs w:val="20"/>
              </w:rPr>
              <w:t>of buildings with</w:t>
            </w:r>
            <w:r w:rsidRPr="008C779C">
              <w:rPr>
                <w:rFonts w:ascii="Times New Roman" w:hAnsi="Times New Roman" w:cs="Times New Roman"/>
                <w:sz w:val="20"/>
                <w:szCs w:val="20"/>
              </w:rPr>
              <w:t xml:space="preserve"> makeshift fencing.</w:t>
            </w:r>
          </w:p>
        </w:tc>
        <w:tc>
          <w:tcPr>
            <w:tcW w:w="810" w:type="dxa"/>
            <w:tcBorders>
              <w:bottom w:val="single" w:sz="4" w:space="0" w:color="auto"/>
            </w:tcBorders>
          </w:tcPr>
          <w:p w14:paraId="746384B8"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17</w:t>
            </w:r>
          </w:p>
        </w:tc>
        <w:tc>
          <w:tcPr>
            <w:tcW w:w="900" w:type="dxa"/>
            <w:tcBorders>
              <w:bottom w:val="single" w:sz="4" w:space="0" w:color="auto"/>
            </w:tcBorders>
          </w:tcPr>
          <w:p w14:paraId="28E7772A"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22</w:t>
            </w:r>
          </w:p>
        </w:tc>
        <w:tc>
          <w:tcPr>
            <w:tcW w:w="990" w:type="dxa"/>
            <w:tcBorders>
              <w:bottom w:val="single" w:sz="4" w:space="0" w:color="auto"/>
            </w:tcBorders>
          </w:tcPr>
          <w:p w14:paraId="52D34486"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20</w:t>
            </w:r>
          </w:p>
        </w:tc>
        <w:tc>
          <w:tcPr>
            <w:tcW w:w="990" w:type="dxa"/>
            <w:tcBorders>
              <w:bottom w:val="single" w:sz="4" w:space="0" w:color="auto"/>
            </w:tcBorders>
          </w:tcPr>
          <w:p w14:paraId="0DF8A059"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13</w:t>
            </w:r>
          </w:p>
        </w:tc>
        <w:tc>
          <w:tcPr>
            <w:tcW w:w="678" w:type="dxa"/>
            <w:tcBorders>
              <w:bottom w:val="single" w:sz="4" w:space="0" w:color="auto"/>
            </w:tcBorders>
          </w:tcPr>
          <w:p w14:paraId="162C3DBE"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26</w:t>
            </w:r>
          </w:p>
        </w:tc>
        <w:tc>
          <w:tcPr>
            <w:tcW w:w="640" w:type="dxa"/>
            <w:tcBorders>
              <w:bottom w:val="single" w:sz="4" w:space="0" w:color="auto"/>
            </w:tcBorders>
          </w:tcPr>
          <w:p w14:paraId="3A495979"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17</w:t>
            </w:r>
          </w:p>
        </w:tc>
        <w:tc>
          <w:tcPr>
            <w:tcW w:w="736" w:type="dxa"/>
            <w:tcBorders>
              <w:bottom w:val="single" w:sz="4" w:space="0" w:color="auto"/>
            </w:tcBorders>
          </w:tcPr>
          <w:p w14:paraId="2AFA3A52"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27</w:t>
            </w:r>
          </w:p>
        </w:tc>
        <w:tc>
          <w:tcPr>
            <w:tcW w:w="850" w:type="dxa"/>
            <w:tcBorders>
              <w:bottom w:val="single" w:sz="4" w:space="0" w:color="auto"/>
            </w:tcBorders>
          </w:tcPr>
          <w:p w14:paraId="5C9C1A94" w14:textId="77777777" w:rsidR="00BE4AF3" w:rsidRPr="008C779C" w:rsidRDefault="00BE4AF3" w:rsidP="008C779C">
            <w:pPr>
              <w:spacing w:after="0" w:line="240" w:lineRule="auto"/>
              <w:rPr>
                <w:rFonts w:ascii="Times New Roman" w:hAnsi="Times New Roman" w:cs="Times New Roman"/>
                <w:sz w:val="20"/>
                <w:szCs w:val="20"/>
              </w:rPr>
            </w:pPr>
            <w:r w:rsidRPr="008C779C">
              <w:rPr>
                <w:rFonts w:ascii="Times New Roman" w:hAnsi="Times New Roman" w:cs="Times New Roman"/>
                <w:sz w:val="20"/>
                <w:szCs w:val="20"/>
              </w:rPr>
              <w:t>8</w:t>
            </w:r>
          </w:p>
        </w:tc>
      </w:tr>
    </w:tbl>
    <w:p w14:paraId="06E632C2" w14:textId="77777777" w:rsidR="00BE4AF3" w:rsidRPr="00BE4AF3" w:rsidRDefault="00BE4AF3" w:rsidP="008C779C">
      <w:pPr>
        <w:spacing w:after="0"/>
        <w:jc w:val="center"/>
        <w:rPr>
          <w:rFonts w:ascii="Times New Roman" w:hAnsi="Times New Roman" w:cs="Times New Roman"/>
          <w:sz w:val="24"/>
          <w:szCs w:val="24"/>
        </w:rPr>
      </w:pPr>
      <w:r w:rsidRPr="00BE4AF3">
        <w:rPr>
          <w:rFonts w:ascii="Times New Roman" w:hAnsi="Times New Roman" w:cs="Times New Roman"/>
          <w:sz w:val="24"/>
          <w:szCs w:val="24"/>
        </w:rPr>
        <w:t>Source: author field survey 2025</w:t>
      </w:r>
    </w:p>
    <w:p w14:paraId="4835F68C" w14:textId="77777777" w:rsidR="00BE4AF3" w:rsidRPr="00BE4AF3" w:rsidRDefault="00BE4AF3" w:rsidP="008C77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Indicator for assessing facilities, services and condition of micro houses as indicated in table 10 shows that 62 percent of respondents in Maitumbi lived in row housing while 25% each in Nyikangbe and Gbeganu lived in row housing. Rafinyashi has largest proportion (25) of room and parlour. Gadube has 53% lived in one bedroom flat, 44% in Gbeganu while others have least proportion most especially RafinYashi and GidanMangoro which have 10 percent respectively. Maitumbi has the highest proportion of buildings without sitting room which is 58%, RafinYashi has 53% of the houses without sitting room while Gbeganu have the least of 8% of building without sitting room. Furthermore, construction materials, 85% of micro houses in Maintumbi have sandcrete wall (concrete block without plastered), 75% in GidanMangoro, RafinYashi has the least of 45 percent of sandcrete wall. It indicated that most of the houses are still under construction, it also reveal from the survey that Gadube have 33 percent of building with dilapidating wall which is the highest among the eight peri-urban neighborhoods while RafinYashi has the least of 10 percent. It indicated that they are new type of development. Despite of being a micro house, some facilities and services which are crucial to the quality of life of households were examined. </w:t>
      </w:r>
    </w:p>
    <w:p w14:paraId="703654F7" w14:textId="6F66781F" w:rsidR="008C779C" w:rsidRDefault="00BE4AF3" w:rsidP="008C77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Analysis as shown in Table 6 revealed that 40 percent of building in Gabugbe are without toilet, 39 percent in Maitumbi, 35 percent each in Chanchaga and Gidanmangoro, these can be apparently due to their income and inadequate water supply which make it difficult to maintain a flush toilet especially in large households. It is only Tudun Fulani house that all have toilet facilities. Maitumbi has the highest proportion of buildings without kitchen and location of bathroom outside the buildings, 81 percent and 73 percent respectively followed by Gadube, while Nyikangbe has the least proportion (25). Many of the households have to share kitchen and bathroom which is a separate structure beside or at the back of the houses. </w:t>
      </w:r>
    </w:p>
    <w:p w14:paraId="31F873AC" w14:textId="77777777" w:rsidR="008C779C" w:rsidRPr="008C779C" w:rsidRDefault="008C779C" w:rsidP="008C779C">
      <w:pPr>
        <w:spacing w:after="0" w:line="240" w:lineRule="auto"/>
        <w:jc w:val="both"/>
        <w:rPr>
          <w:rFonts w:ascii="Times New Roman" w:hAnsi="Times New Roman" w:cs="Times New Roman"/>
          <w:sz w:val="24"/>
          <w:szCs w:val="24"/>
        </w:rPr>
      </w:pPr>
    </w:p>
    <w:p w14:paraId="0D957DD5" w14:textId="3849545D" w:rsidR="00BE4AF3" w:rsidRPr="00BE4AF3" w:rsidRDefault="00BE4AF3" w:rsidP="008C779C">
      <w:pPr>
        <w:spacing w:after="0" w:line="240" w:lineRule="auto"/>
        <w:jc w:val="both"/>
        <w:rPr>
          <w:rFonts w:ascii="Times New Roman" w:hAnsi="Times New Roman" w:cs="Times New Roman"/>
          <w:b/>
          <w:sz w:val="24"/>
          <w:szCs w:val="24"/>
        </w:rPr>
      </w:pPr>
      <w:r w:rsidRPr="00BE4AF3">
        <w:rPr>
          <w:rFonts w:ascii="Times New Roman" w:hAnsi="Times New Roman" w:cs="Times New Roman"/>
          <w:b/>
          <w:sz w:val="24"/>
          <w:szCs w:val="24"/>
        </w:rPr>
        <w:t>Relationship between micro housing and duration of construction</w:t>
      </w:r>
    </w:p>
    <w:p w14:paraId="3B091D36" w14:textId="77777777" w:rsidR="00BE4AF3" w:rsidRPr="00BE4AF3" w:rsidRDefault="00BE4AF3" w:rsidP="008C779C">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relationship between the size of the micro housing and expected determinant variables income as shown below;</w:t>
      </w:r>
    </w:p>
    <w:tbl>
      <w:tblPr>
        <w:tblW w:w="566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1"/>
        <w:gridCol w:w="1000"/>
        <w:gridCol w:w="1066"/>
        <w:gridCol w:w="1440"/>
        <w:gridCol w:w="1440"/>
      </w:tblGrid>
      <w:tr w:rsidR="00BE4AF3" w:rsidRPr="00BE4AF3" w14:paraId="74F3C4AA" w14:textId="77777777" w:rsidTr="005D71CC">
        <w:trPr>
          <w:cantSplit/>
          <w:tblHeader/>
          <w:jc w:val="center"/>
        </w:trPr>
        <w:tc>
          <w:tcPr>
            <w:tcW w:w="5666" w:type="dxa"/>
            <w:gridSpan w:val="5"/>
            <w:tcBorders>
              <w:top w:val="nil"/>
              <w:left w:val="nil"/>
              <w:bottom w:val="single" w:sz="4" w:space="0" w:color="auto"/>
              <w:right w:val="nil"/>
            </w:tcBorders>
            <w:shd w:val="clear" w:color="auto" w:fill="FFFFFF"/>
            <w:tcMar>
              <w:top w:w="30" w:type="dxa"/>
              <w:left w:w="30" w:type="dxa"/>
              <w:bottom w:w="30" w:type="dxa"/>
              <w:right w:w="30" w:type="dxa"/>
            </w:tcMar>
            <w:vAlign w:val="center"/>
          </w:tcPr>
          <w:p w14:paraId="67B2695F" w14:textId="77777777" w:rsidR="00BE4AF3" w:rsidRPr="00BE4AF3" w:rsidRDefault="00BE4AF3" w:rsidP="008C779C">
            <w:pPr>
              <w:autoSpaceDE w:val="0"/>
              <w:autoSpaceDN w:val="0"/>
              <w:adjustRightInd w:val="0"/>
              <w:spacing w:after="0" w:line="240" w:lineRule="auto"/>
              <w:rPr>
                <w:rFonts w:ascii="Times New Roman" w:hAnsi="Times New Roman" w:cs="Times New Roman"/>
                <w:b/>
                <w:bCs/>
                <w:sz w:val="24"/>
                <w:szCs w:val="24"/>
              </w:rPr>
            </w:pPr>
          </w:p>
          <w:p w14:paraId="428149AA" w14:textId="3EB23EB0" w:rsidR="00BE4AF3" w:rsidRPr="00BE4AF3" w:rsidRDefault="00BE4AF3" w:rsidP="008C779C">
            <w:pPr>
              <w:autoSpaceDE w:val="0"/>
              <w:autoSpaceDN w:val="0"/>
              <w:adjustRightInd w:val="0"/>
              <w:spacing w:after="0" w:line="240" w:lineRule="auto"/>
              <w:rPr>
                <w:rFonts w:ascii="Times New Roman" w:hAnsi="Times New Roman" w:cs="Times New Roman"/>
                <w:sz w:val="24"/>
                <w:szCs w:val="24"/>
              </w:rPr>
            </w:pPr>
            <w:r w:rsidRPr="00BE4AF3">
              <w:rPr>
                <w:rFonts w:ascii="Times New Roman" w:hAnsi="Times New Roman" w:cs="Times New Roman"/>
                <w:b/>
                <w:bCs/>
                <w:sz w:val="24"/>
                <w:szCs w:val="24"/>
              </w:rPr>
              <w:t xml:space="preserve">Table 7: </w:t>
            </w:r>
            <w:r w:rsidRPr="005D71CC">
              <w:rPr>
                <w:rFonts w:ascii="Times New Roman" w:hAnsi="Times New Roman" w:cs="Times New Roman"/>
                <w:sz w:val="24"/>
                <w:szCs w:val="24"/>
              </w:rPr>
              <w:t>Model Summary</w:t>
            </w:r>
          </w:p>
        </w:tc>
      </w:tr>
      <w:tr w:rsidR="00BE4AF3" w:rsidRPr="00BE4AF3" w14:paraId="478CD61A" w14:textId="77777777" w:rsidTr="005D71CC">
        <w:trPr>
          <w:cantSplit/>
          <w:tblHeader/>
          <w:jc w:val="center"/>
        </w:trPr>
        <w:tc>
          <w:tcPr>
            <w:tcW w:w="720" w:type="dxa"/>
            <w:tcBorders>
              <w:top w:val="single" w:sz="4" w:space="0" w:color="auto"/>
              <w:left w:val="nil"/>
              <w:bottom w:val="single" w:sz="4" w:space="0" w:color="auto"/>
              <w:right w:val="nil"/>
            </w:tcBorders>
            <w:shd w:val="clear" w:color="auto" w:fill="FFFFFF"/>
            <w:tcMar>
              <w:top w:w="30" w:type="dxa"/>
              <w:left w:w="30" w:type="dxa"/>
              <w:bottom w:w="30" w:type="dxa"/>
              <w:right w:w="30" w:type="dxa"/>
            </w:tcMar>
            <w:vAlign w:val="bottom"/>
          </w:tcPr>
          <w:p w14:paraId="46CC99A8" w14:textId="77777777" w:rsidR="00BE4AF3" w:rsidRPr="008C779C" w:rsidRDefault="00BE4AF3" w:rsidP="008C779C">
            <w:pPr>
              <w:autoSpaceDE w:val="0"/>
              <w:autoSpaceDN w:val="0"/>
              <w:adjustRightInd w:val="0"/>
              <w:spacing w:after="0" w:line="240" w:lineRule="auto"/>
              <w:rPr>
                <w:rFonts w:ascii="Times New Roman" w:hAnsi="Times New Roman" w:cs="Times New Roman"/>
                <w:sz w:val="20"/>
                <w:szCs w:val="20"/>
              </w:rPr>
            </w:pPr>
            <w:r w:rsidRPr="008C779C">
              <w:rPr>
                <w:rFonts w:ascii="Times New Roman" w:hAnsi="Times New Roman" w:cs="Times New Roman"/>
                <w:sz w:val="20"/>
                <w:szCs w:val="20"/>
              </w:rPr>
              <w:t>Model</w:t>
            </w:r>
          </w:p>
        </w:tc>
        <w:tc>
          <w:tcPr>
            <w:tcW w:w="1000" w:type="dxa"/>
            <w:tcBorders>
              <w:top w:val="single" w:sz="4" w:space="0" w:color="auto"/>
              <w:left w:val="nil"/>
              <w:bottom w:val="single" w:sz="4" w:space="0" w:color="auto"/>
              <w:right w:val="nil"/>
            </w:tcBorders>
            <w:shd w:val="clear" w:color="auto" w:fill="FFFFFF"/>
            <w:tcMar>
              <w:top w:w="30" w:type="dxa"/>
              <w:left w:w="30" w:type="dxa"/>
              <w:bottom w:w="30" w:type="dxa"/>
              <w:right w:w="30" w:type="dxa"/>
            </w:tcMar>
            <w:vAlign w:val="bottom"/>
          </w:tcPr>
          <w:p w14:paraId="322F8B16" w14:textId="77777777" w:rsidR="00BE4AF3" w:rsidRPr="008C779C" w:rsidRDefault="00BE4AF3" w:rsidP="008C779C">
            <w:pPr>
              <w:autoSpaceDE w:val="0"/>
              <w:autoSpaceDN w:val="0"/>
              <w:adjustRightInd w:val="0"/>
              <w:spacing w:after="0" w:line="240" w:lineRule="auto"/>
              <w:jc w:val="center"/>
              <w:rPr>
                <w:rFonts w:ascii="Times New Roman" w:hAnsi="Times New Roman" w:cs="Times New Roman"/>
                <w:sz w:val="20"/>
                <w:szCs w:val="20"/>
              </w:rPr>
            </w:pPr>
            <w:r w:rsidRPr="008C779C">
              <w:rPr>
                <w:rFonts w:ascii="Times New Roman" w:hAnsi="Times New Roman" w:cs="Times New Roman"/>
                <w:sz w:val="20"/>
                <w:szCs w:val="20"/>
              </w:rPr>
              <w:t>R</w:t>
            </w:r>
          </w:p>
        </w:tc>
        <w:tc>
          <w:tcPr>
            <w:tcW w:w="1066" w:type="dxa"/>
            <w:tcBorders>
              <w:top w:val="single" w:sz="4" w:space="0" w:color="auto"/>
              <w:left w:val="nil"/>
              <w:bottom w:val="single" w:sz="4" w:space="0" w:color="auto"/>
              <w:right w:val="nil"/>
            </w:tcBorders>
            <w:shd w:val="clear" w:color="auto" w:fill="FFFFFF"/>
            <w:tcMar>
              <w:top w:w="30" w:type="dxa"/>
              <w:left w:w="30" w:type="dxa"/>
              <w:bottom w:w="30" w:type="dxa"/>
              <w:right w:w="30" w:type="dxa"/>
            </w:tcMar>
            <w:vAlign w:val="bottom"/>
          </w:tcPr>
          <w:p w14:paraId="64F7A8A7" w14:textId="77777777" w:rsidR="00BE4AF3" w:rsidRPr="008C779C" w:rsidRDefault="00BE4AF3" w:rsidP="008C779C">
            <w:pPr>
              <w:autoSpaceDE w:val="0"/>
              <w:autoSpaceDN w:val="0"/>
              <w:adjustRightInd w:val="0"/>
              <w:spacing w:after="0" w:line="240" w:lineRule="auto"/>
              <w:jc w:val="center"/>
              <w:rPr>
                <w:rFonts w:ascii="Times New Roman" w:hAnsi="Times New Roman" w:cs="Times New Roman"/>
                <w:sz w:val="20"/>
                <w:szCs w:val="20"/>
              </w:rPr>
            </w:pPr>
            <w:r w:rsidRPr="008C779C">
              <w:rPr>
                <w:rFonts w:ascii="Times New Roman" w:hAnsi="Times New Roman" w:cs="Times New Roman"/>
                <w:sz w:val="20"/>
                <w:szCs w:val="20"/>
              </w:rPr>
              <w:t>R Square</w:t>
            </w:r>
          </w:p>
        </w:tc>
        <w:tc>
          <w:tcPr>
            <w:tcW w:w="1440" w:type="dxa"/>
            <w:tcBorders>
              <w:top w:val="single" w:sz="4" w:space="0" w:color="auto"/>
              <w:left w:val="nil"/>
              <w:bottom w:val="single" w:sz="4" w:space="0" w:color="auto"/>
              <w:right w:val="nil"/>
            </w:tcBorders>
            <w:shd w:val="clear" w:color="auto" w:fill="FFFFFF"/>
            <w:tcMar>
              <w:top w:w="30" w:type="dxa"/>
              <w:left w:w="30" w:type="dxa"/>
              <w:bottom w:w="30" w:type="dxa"/>
              <w:right w:w="30" w:type="dxa"/>
            </w:tcMar>
            <w:vAlign w:val="bottom"/>
          </w:tcPr>
          <w:p w14:paraId="0C0DEA75" w14:textId="77777777" w:rsidR="00BE4AF3" w:rsidRPr="008C779C" w:rsidRDefault="00BE4AF3" w:rsidP="008C779C">
            <w:pPr>
              <w:autoSpaceDE w:val="0"/>
              <w:autoSpaceDN w:val="0"/>
              <w:adjustRightInd w:val="0"/>
              <w:spacing w:after="0" w:line="240" w:lineRule="auto"/>
              <w:jc w:val="center"/>
              <w:rPr>
                <w:rFonts w:ascii="Times New Roman" w:hAnsi="Times New Roman" w:cs="Times New Roman"/>
                <w:sz w:val="20"/>
                <w:szCs w:val="20"/>
              </w:rPr>
            </w:pPr>
            <w:r w:rsidRPr="008C779C">
              <w:rPr>
                <w:rFonts w:ascii="Times New Roman" w:hAnsi="Times New Roman" w:cs="Times New Roman"/>
                <w:sz w:val="20"/>
                <w:szCs w:val="20"/>
              </w:rPr>
              <w:t>Adjusted R Square</w:t>
            </w:r>
          </w:p>
        </w:tc>
        <w:tc>
          <w:tcPr>
            <w:tcW w:w="1440" w:type="dxa"/>
            <w:tcBorders>
              <w:top w:val="single" w:sz="4" w:space="0" w:color="auto"/>
              <w:left w:val="nil"/>
              <w:bottom w:val="single" w:sz="4" w:space="0" w:color="auto"/>
              <w:right w:val="nil"/>
            </w:tcBorders>
            <w:shd w:val="clear" w:color="auto" w:fill="FFFFFF"/>
            <w:tcMar>
              <w:top w:w="30" w:type="dxa"/>
              <w:left w:w="30" w:type="dxa"/>
              <w:bottom w:w="30" w:type="dxa"/>
              <w:right w:w="30" w:type="dxa"/>
            </w:tcMar>
            <w:vAlign w:val="bottom"/>
          </w:tcPr>
          <w:p w14:paraId="0CE8518A" w14:textId="77777777" w:rsidR="00BE4AF3" w:rsidRPr="008C779C" w:rsidRDefault="00BE4AF3" w:rsidP="008C779C">
            <w:pPr>
              <w:autoSpaceDE w:val="0"/>
              <w:autoSpaceDN w:val="0"/>
              <w:adjustRightInd w:val="0"/>
              <w:spacing w:after="0" w:line="240" w:lineRule="auto"/>
              <w:jc w:val="center"/>
              <w:rPr>
                <w:rFonts w:ascii="Times New Roman" w:hAnsi="Times New Roman" w:cs="Times New Roman"/>
                <w:sz w:val="20"/>
                <w:szCs w:val="20"/>
              </w:rPr>
            </w:pPr>
            <w:r w:rsidRPr="008C779C">
              <w:rPr>
                <w:rFonts w:ascii="Times New Roman" w:hAnsi="Times New Roman" w:cs="Times New Roman"/>
                <w:sz w:val="20"/>
                <w:szCs w:val="20"/>
              </w:rPr>
              <w:t>Std. Error of the Estimate</w:t>
            </w:r>
          </w:p>
        </w:tc>
      </w:tr>
      <w:tr w:rsidR="00BE4AF3" w:rsidRPr="00BE4AF3" w14:paraId="33AE4E33" w14:textId="77777777" w:rsidTr="005D71CC">
        <w:trPr>
          <w:cantSplit/>
          <w:tblHeader/>
          <w:jc w:val="center"/>
        </w:trPr>
        <w:tc>
          <w:tcPr>
            <w:tcW w:w="720" w:type="dxa"/>
            <w:tcBorders>
              <w:top w:val="single" w:sz="4" w:space="0" w:color="auto"/>
              <w:left w:val="nil"/>
              <w:bottom w:val="single" w:sz="4" w:space="0" w:color="auto"/>
              <w:right w:val="nil"/>
            </w:tcBorders>
            <w:shd w:val="clear" w:color="auto" w:fill="FFFFFF"/>
            <w:tcMar>
              <w:top w:w="30" w:type="dxa"/>
              <w:left w:w="30" w:type="dxa"/>
              <w:bottom w:w="30" w:type="dxa"/>
              <w:right w:w="30" w:type="dxa"/>
            </w:tcMar>
          </w:tcPr>
          <w:p w14:paraId="00FE7B6A" w14:textId="77777777" w:rsidR="00BE4AF3" w:rsidRPr="008C779C" w:rsidRDefault="00BE4AF3" w:rsidP="008C779C">
            <w:pPr>
              <w:autoSpaceDE w:val="0"/>
              <w:autoSpaceDN w:val="0"/>
              <w:adjustRightInd w:val="0"/>
              <w:spacing w:after="0" w:line="240" w:lineRule="auto"/>
              <w:rPr>
                <w:rFonts w:ascii="Times New Roman" w:hAnsi="Times New Roman" w:cs="Times New Roman"/>
                <w:sz w:val="20"/>
                <w:szCs w:val="20"/>
              </w:rPr>
            </w:pPr>
            <w:r w:rsidRPr="008C779C">
              <w:rPr>
                <w:rFonts w:ascii="Times New Roman" w:hAnsi="Times New Roman" w:cs="Times New Roman"/>
                <w:sz w:val="20"/>
                <w:szCs w:val="20"/>
              </w:rPr>
              <w:t>1</w:t>
            </w:r>
          </w:p>
        </w:tc>
        <w:tc>
          <w:tcPr>
            <w:tcW w:w="1000" w:type="dxa"/>
            <w:tcBorders>
              <w:top w:val="single" w:sz="4" w:space="0" w:color="auto"/>
              <w:left w:val="nil"/>
              <w:bottom w:val="single" w:sz="4" w:space="0" w:color="auto"/>
              <w:right w:val="nil"/>
            </w:tcBorders>
            <w:shd w:val="clear" w:color="auto" w:fill="FFFFFF"/>
            <w:tcMar>
              <w:top w:w="30" w:type="dxa"/>
              <w:left w:w="30" w:type="dxa"/>
              <w:bottom w:w="30" w:type="dxa"/>
              <w:right w:w="30" w:type="dxa"/>
            </w:tcMar>
            <w:vAlign w:val="center"/>
          </w:tcPr>
          <w:p w14:paraId="3DD14E6D" w14:textId="77777777" w:rsidR="00BE4AF3" w:rsidRPr="008C779C" w:rsidRDefault="00BE4AF3" w:rsidP="008C779C">
            <w:pPr>
              <w:autoSpaceDE w:val="0"/>
              <w:autoSpaceDN w:val="0"/>
              <w:adjustRightInd w:val="0"/>
              <w:spacing w:after="0" w:line="240" w:lineRule="auto"/>
              <w:jc w:val="right"/>
              <w:rPr>
                <w:rFonts w:ascii="Times New Roman" w:hAnsi="Times New Roman" w:cs="Times New Roman"/>
                <w:sz w:val="20"/>
                <w:szCs w:val="20"/>
              </w:rPr>
            </w:pPr>
            <w:r w:rsidRPr="008C779C">
              <w:rPr>
                <w:rFonts w:ascii="Times New Roman" w:hAnsi="Times New Roman" w:cs="Times New Roman"/>
                <w:sz w:val="20"/>
                <w:szCs w:val="20"/>
              </w:rPr>
              <w:t>.443</w:t>
            </w:r>
            <w:r w:rsidRPr="008C779C">
              <w:rPr>
                <w:rFonts w:ascii="Times New Roman" w:hAnsi="Times New Roman" w:cs="Times New Roman"/>
                <w:sz w:val="20"/>
                <w:szCs w:val="20"/>
                <w:vertAlign w:val="superscript"/>
              </w:rPr>
              <w:t>a</w:t>
            </w:r>
          </w:p>
        </w:tc>
        <w:tc>
          <w:tcPr>
            <w:tcW w:w="1066" w:type="dxa"/>
            <w:tcBorders>
              <w:top w:val="single" w:sz="4" w:space="0" w:color="auto"/>
              <w:left w:val="nil"/>
              <w:bottom w:val="single" w:sz="4" w:space="0" w:color="auto"/>
              <w:right w:val="nil"/>
            </w:tcBorders>
            <w:shd w:val="clear" w:color="auto" w:fill="FFFFFF"/>
            <w:tcMar>
              <w:top w:w="30" w:type="dxa"/>
              <w:left w:w="30" w:type="dxa"/>
              <w:bottom w:w="30" w:type="dxa"/>
              <w:right w:w="30" w:type="dxa"/>
            </w:tcMar>
            <w:vAlign w:val="center"/>
          </w:tcPr>
          <w:p w14:paraId="21BA78ED" w14:textId="77777777" w:rsidR="00BE4AF3" w:rsidRPr="008C779C" w:rsidRDefault="00BE4AF3" w:rsidP="008C779C">
            <w:pPr>
              <w:autoSpaceDE w:val="0"/>
              <w:autoSpaceDN w:val="0"/>
              <w:adjustRightInd w:val="0"/>
              <w:spacing w:after="0" w:line="240" w:lineRule="auto"/>
              <w:jc w:val="right"/>
              <w:rPr>
                <w:rFonts w:ascii="Times New Roman" w:hAnsi="Times New Roman" w:cs="Times New Roman"/>
                <w:sz w:val="20"/>
                <w:szCs w:val="20"/>
              </w:rPr>
            </w:pPr>
            <w:r w:rsidRPr="008C779C">
              <w:rPr>
                <w:rFonts w:ascii="Times New Roman" w:hAnsi="Times New Roman" w:cs="Times New Roman"/>
                <w:sz w:val="20"/>
                <w:szCs w:val="20"/>
              </w:rPr>
              <w:t>.196</w:t>
            </w:r>
          </w:p>
        </w:tc>
        <w:tc>
          <w:tcPr>
            <w:tcW w:w="1440" w:type="dxa"/>
            <w:tcBorders>
              <w:top w:val="single" w:sz="4" w:space="0" w:color="auto"/>
              <w:left w:val="nil"/>
              <w:bottom w:val="single" w:sz="4" w:space="0" w:color="auto"/>
              <w:right w:val="nil"/>
            </w:tcBorders>
            <w:shd w:val="clear" w:color="auto" w:fill="FFFFFF"/>
            <w:tcMar>
              <w:top w:w="30" w:type="dxa"/>
              <w:left w:w="30" w:type="dxa"/>
              <w:bottom w:w="30" w:type="dxa"/>
              <w:right w:w="30" w:type="dxa"/>
            </w:tcMar>
            <w:vAlign w:val="center"/>
          </w:tcPr>
          <w:p w14:paraId="09BDEC6D" w14:textId="77777777" w:rsidR="00BE4AF3" w:rsidRPr="008C779C" w:rsidRDefault="00BE4AF3" w:rsidP="008C779C">
            <w:pPr>
              <w:autoSpaceDE w:val="0"/>
              <w:autoSpaceDN w:val="0"/>
              <w:adjustRightInd w:val="0"/>
              <w:spacing w:after="0" w:line="240" w:lineRule="auto"/>
              <w:jc w:val="right"/>
              <w:rPr>
                <w:rFonts w:ascii="Times New Roman" w:hAnsi="Times New Roman" w:cs="Times New Roman"/>
                <w:sz w:val="20"/>
                <w:szCs w:val="20"/>
              </w:rPr>
            </w:pPr>
            <w:r w:rsidRPr="008C779C">
              <w:rPr>
                <w:rFonts w:ascii="Times New Roman" w:hAnsi="Times New Roman" w:cs="Times New Roman"/>
                <w:sz w:val="20"/>
                <w:szCs w:val="20"/>
              </w:rPr>
              <w:t>.174</w:t>
            </w:r>
          </w:p>
        </w:tc>
        <w:tc>
          <w:tcPr>
            <w:tcW w:w="1440" w:type="dxa"/>
            <w:tcBorders>
              <w:top w:val="single" w:sz="4" w:space="0" w:color="auto"/>
              <w:left w:val="nil"/>
              <w:bottom w:val="single" w:sz="4" w:space="0" w:color="auto"/>
              <w:right w:val="nil"/>
            </w:tcBorders>
            <w:shd w:val="clear" w:color="auto" w:fill="FFFFFF"/>
            <w:tcMar>
              <w:top w:w="30" w:type="dxa"/>
              <w:left w:w="30" w:type="dxa"/>
              <w:bottom w:w="30" w:type="dxa"/>
              <w:right w:w="30" w:type="dxa"/>
            </w:tcMar>
            <w:vAlign w:val="center"/>
          </w:tcPr>
          <w:p w14:paraId="5623BA48" w14:textId="77777777" w:rsidR="00BE4AF3" w:rsidRPr="008C779C" w:rsidRDefault="00BE4AF3" w:rsidP="008C779C">
            <w:pPr>
              <w:autoSpaceDE w:val="0"/>
              <w:autoSpaceDN w:val="0"/>
              <w:adjustRightInd w:val="0"/>
              <w:spacing w:after="0" w:line="240" w:lineRule="auto"/>
              <w:jc w:val="right"/>
              <w:rPr>
                <w:rFonts w:ascii="Times New Roman" w:hAnsi="Times New Roman" w:cs="Times New Roman"/>
                <w:sz w:val="20"/>
                <w:szCs w:val="20"/>
              </w:rPr>
            </w:pPr>
            <w:r w:rsidRPr="008C779C">
              <w:rPr>
                <w:rFonts w:ascii="Times New Roman" w:hAnsi="Times New Roman" w:cs="Times New Roman"/>
                <w:sz w:val="20"/>
                <w:szCs w:val="20"/>
              </w:rPr>
              <w:t>15.16</w:t>
            </w:r>
          </w:p>
        </w:tc>
      </w:tr>
      <w:tr w:rsidR="00BE4AF3" w:rsidRPr="00BE4AF3" w14:paraId="1139B314" w14:textId="77777777" w:rsidTr="005D71CC">
        <w:trPr>
          <w:cantSplit/>
          <w:jc w:val="center"/>
        </w:trPr>
        <w:tc>
          <w:tcPr>
            <w:tcW w:w="5666" w:type="dxa"/>
            <w:gridSpan w:val="5"/>
            <w:tcBorders>
              <w:top w:val="single" w:sz="4" w:space="0" w:color="auto"/>
              <w:left w:val="nil"/>
              <w:bottom w:val="nil"/>
              <w:right w:val="nil"/>
            </w:tcBorders>
            <w:shd w:val="clear" w:color="auto" w:fill="FFFFFF"/>
            <w:tcMar>
              <w:top w:w="30" w:type="dxa"/>
              <w:left w:w="30" w:type="dxa"/>
              <w:bottom w:w="30" w:type="dxa"/>
              <w:right w:w="30" w:type="dxa"/>
            </w:tcMar>
          </w:tcPr>
          <w:p w14:paraId="40FABF89" w14:textId="77777777" w:rsidR="00BE4AF3" w:rsidRPr="00BE4AF3" w:rsidRDefault="00BE4AF3" w:rsidP="008C779C">
            <w:pPr>
              <w:pStyle w:val="ListParagraph"/>
              <w:numPr>
                <w:ilvl w:val="0"/>
                <w:numId w:val="29"/>
              </w:numPr>
              <w:autoSpaceDE w:val="0"/>
              <w:autoSpaceDN w:val="0"/>
              <w:adjustRightInd w:val="0"/>
              <w:spacing w:after="0" w:line="240" w:lineRule="auto"/>
              <w:rPr>
                <w:rFonts w:ascii="Times New Roman" w:hAnsi="Times New Roman"/>
                <w:sz w:val="24"/>
                <w:szCs w:val="24"/>
              </w:rPr>
            </w:pPr>
            <w:r w:rsidRPr="00BE4AF3">
              <w:rPr>
                <w:rFonts w:ascii="Times New Roman" w:hAnsi="Times New Roman"/>
                <w:sz w:val="24"/>
                <w:szCs w:val="24"/>
              </w:rPr>
              <w:t>Predictors: (Constant), occupation status, Income level, Duration of development</w:t>
            </w:r>
          </w:p>
          <w:p w14:paraId="6E92CFC5" w14:textId="77777777" w:rsidR="00BE4AF3" w:rsidRPr="00BE4AF3" w:rsidRDefault="00BE4AF3" w:rsidP="008C779C">
            <w:pPr>
              <w:pStyle w:val="ListParagraph"/>
              <w:numPr>
                <w:ilvl w:val="0"/>
                <w:numId w:val="29"/>
              </w:numPr>
              <w:autoSpaceDE w:val="0"/>
              <w:autoSpaceDN w:val="0"/>
              <w:adjustRightInd w:val="0"/>
              <w:spacing w:after="0" w:line="240" w:lineRule="auto"/>
              <w:rPr>
                <w:rFonts w:ascii="Times New Roman" w:hAnsi="Times New Roman"/>
                <w:sz w:val="24"/>
                <w:szCs w:val="24"/>
              </w:rPr>
            </w:pPr>
            <w:r w:rsidRPr="00BE4AF3">
              <w:rPr>
                <w:rFonts w:ascii="Times New Roman" w:hAnsi="Times New Roman"/>
                <w:sz w:val="24"/>
                <w:szCs w:val="24"/>
              </w:rPr>
              <w:t>Dependent variable: size of building</w:t>
            </w:r>
          </w:p>
        </w:tc>
      </w:tr>
    </w:tbl>
    <w:p w14:paraId="6D97B924" w14:textId="77777777" w:rsidR="00BE4AF3" w:rsidRPr="00BE4AF3" w:rsidRDefault="00BE4AF3" w:rsidP="005D71CC">
      <w:pPr>
        <w:autoSpaceDE w:val="0"/>
        <w:autoSpaceDN w:val="0"/>
        <w:adjustRightInd w:val="0"/>
        <w:spacing w:after="0" w:line="240" w:lineRule="auto"/>
        <w:jc w:val="center"/>
        <w:rPr>
          <w:rFonts w:ascii="Times New Roman" w:hAnsi="Times New Roman" w:cs="Times New Roman"/>
          <w:sz w:val="24"/>
          <w:szCs w:val="24"/>
        </w:rPr>
      </w:pPr>
      <w:r w:rsidRPr="00BE4AF3">
        <w:rPr>
          <w:rFonts w:ascii="Times New Roman" w:hAnsi="Times New Roman" w:cs="Times New Roman"/>
          <w:sz w:val="24"/>
          <w:szCs w:val="24"/>
        </w:rPr>
        <w:t>Source: Author’s Field Survey,2025.</w:t>
      </w:r>
    </w:p>
    <w:p w14:paraId="70A680BA" w14:textId="77777777" w:rsidR="00BE4AF3" w:rsidRPr="00BE4AF3" w:rsidRDefault="00BE4AF3" w:rsidP="00BE4AF3">
      <w:pPr>
        <w:autoSpaceDE w:val="0"/>
        <w:autoSpaceDN w:val="0"/>
        <w:adjustRightInd w:val="0"/>
        <w:spacing w:after="0"/>
        <w:rPr>
          <w:rFonts w:ascii="Times New Roman" w:hAnsi="Times New Roman" w:cs="Times New Roman"/>
          <w:sz w:val="24"/>
          <w:szCs w:val="24"/>
        </w:rPr>
      </w:pPr>
    </w:p>
    <w:tbl>
      <w:tblPr>
        <w:tblW w:w="780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1"/>
        <w:gridCol w:w="1258"/>
        <w:gridCol w:w="1441"/>
        <w:gridCol w:w="998"/>
        <w:gridCol w:w="1383"/>
        <w:gridCol w:w="1000"/>
        <w:gridCol w:w="1000"/>
      </w:tblGrid>
      <w:tr w:rsidR="00BE4AF3" w:rsidRPr="00BE4AF3" w14:paraId="687D8A81" w14:textId="77777777" w:rsidTr="007E297E">
        <w:trPr>
          <w:cantSplit/>
          <w:tblHeader/>
          <w:jc w:val="center"/>
        </w:trPr>
        <w:tc>
          <w:tcPr>
            <w:tcW w:w="7798" w:type="dxa"/>
            <w:gridSpan w:val="7"/>
            <w:tcBorders>
              <w:top w:val="nil"/>
              <w:left w:val="nil"/>
              <w:bottom w:val="single" w:sz="4" w:space="0" w:color="auto"/>
              <w:right w:val="nil"/>
            </w:tcBorders>
            <w:shd w:val="clear" w:color="auto" w:fill="FFFFFF"/>
            <w:tcMar>
              <w:top w:w="30" w:type="dxa"/>
              <w:left w:w="30" w:type="dxa"/>
              <w:bottom w:w="30" w:type="dxa"/>
              <w:right w:w="30" w:type="dxa"/>
            </w:tcMar>
            <w:vAlign w:val="center"/>
          </w:tcPr>
          <w:p w14:paraId="3EA55A14" w14:textId="3B4DB5AF" w:rsidR="00BE4AF3" w:rsidRPr="00BE4AF3" w:rsidRDefault="00BE4AF3" w:rsidP="00BE4AF3">
            <w:pPr>
              <w:autoSpaceDE w:val="0"/>
              <w:autoSpaceDN w:val="0"/>
              <w:adjustRightInd w:val="0"/>
              <w:spacing w:after="0"/>
              <w:rPr>
                <w:rFonts w:ascii="Times New Roman" w:hAnsi="Times New Roman" w:cs="Times New Roman"/>
                <w:sz w:val="24"/>
                <w:szCs w:val="24"/>
              </w:rPr>
            </w:pPr>
            <w:r w:rsidRPr="00BE4AF3">
              <w:rPr>
                <w:rFonts w:ascii="Times New Roman" w:hAnsi="Times New Roman" w:cs="Times New Roman"/>
                <w:b/>
                <w:bCs/>
                <w:sz w:val="24"/>
                <w:szCs w:val="24"/>
              </w:rPr>
              <w:lastRenderedPageBreak/>
              <w:t xml:space="preserve">Table 8: </w:t>
            </w:r>
            <w:r w:rsidRPr="007E297E">
              <w:rPr>
                <w:rFonts w:ascii="Times New Roman" w:hAnsi="Times New Roman" w:cs="Times New Roman"/>
                <w:sz w:val="24"/>
                <w:szCs w:val="24"/>
              </w:rPr>
              <w:t>ANOVA</w:t>
            </w:r>
            <w:r w:rsidRPr="007E297E">
              <w:rPr>
                <w:rFonts w:ascii="Times New Roman" w:hAnsi="Times New Roman" w:cs="Times New Roman"/>
                <w:sz w:val="24"/>
                <w:szCs w:val="24"/>
                <w:vertAlign w:val="superscript"/>
              </w:rPr>
              <w:t>b</w:t>
            </w:r>
          </w:p>
        </w:tc>
      </w:tr>
      <w:tr w:rsidR="00BE4AF3" w:rsidRPr="00BE4AF3" w14:paraId="322C8450" w14:textId="77777777" w:rsidTr="007E297E">
        <w:trPr>
          <w:cantSplit/>
          <w:tblHeader/>
          <w:jc w:val="center"/>
        </w:trPr>
        <w:tc>
          <w:tcPr>
            <w:tcW w:w="1978" w:type="dxa"/>
            <w:gridSpan w:val="2"/>
            <w:tcBorders>
              <w:top w:val="single" w:sz="4" w:space="0" w:color="auto"/>
              <w:left w:val="nil"/>
              <w:bottom w:val="single" w:sz="4" w:space="0" w:color="auto"/>
              <w:right w:val="nil"/>
            </w:tcBorders>
            <w:shd w:val="clear" w:color="auto" w:fill="FFFFFF"/>
            <w:tcMar>
              <w:top w:w="30" w:type="dxa"/>
              <w:left w:w="30" w:type="dxa"/>
              <w:bottom w:w="30" w:type="dxa"/>
              <w:right w:w="30" w:type="dxa"/>
            </w:tcMar>
            <w:vAlign w:val="bottom"/>
          </w:tcPr>
          <w:p w14:paraId="33375D84" w14:textId="77777777" w:rsidR="00BE4AF3" w:rsidRPr="007E297E" w:rsidRDefault="00BE4AF3" w:rsidP="00BE4AF3">
            <w:pPr>
              <w:autoSpaceDE w:val="0"/>
              <w:autoSpaceDN w:val="0"/>
              <w:adjustRightInd w:val="0"/>
              <w:spacing w:after="0"/>
              <w:rPr>
                <w:rFonts w:ascii="Times New Roman" w:hAnsi="Times New Roman" w:cs="Times New Roman"/>
                <w:sz w:val="20"/>
                <w:szCs w:val="20"/>
              </w:rPr>
            </w:pPr>
            <w:r w:rsidRPr="007E297E">
              <w:rPr>
                <w:rFonts w:ascii="Times New Roman" w:hAnsi="Times New Roman" w:cs="Times New Roman"/>
                <w:sz w:val="20"/>
                <w:szCs w:val="20"/>
              </w:rPr>
              <w:t>Model</w:t>
            </w:r>
          </w:p>
        </w:tc>
        <w:tc>
          <w:tcPr>
            <w:tcW w:w="1440" w:type="dxa"/>
            <w:tcBorders>
              <w:top w:val="single" w:sz="4" w:space="0" w:color="auto"/>
              <w:left w:val="nil"/>
              <w:bottom w:val="single" w:sz="4" w:space="0" w:color="auto"/>
              <w:right w:val="nil"/>
            </w:tcBorders>
            <w:shd w:val="clear" w:color="auto" w:fill="FFFFFF"/>
            <w:tcMar>
              <w:top w:w="30" w:type="dxa"/>
              <w:left w:w="30" w:type="dxa"/>
              <w:bottom w:w="30" w:type="dxa"/>
              <w:right w:w="30" w:type="dxa"/>
            </w:tcMar>
            <w:vAlign w:val="bottom"/>
          </w:tcPr>
          <w:p w14:paraId="6E0B64F2" w14:textId="77777777" w:rsidR="00BE4AF3" w:rsidRPr="007E297E" w:rsidRDefault="00BE4AF3" w:rsidP="00BE4AF3">
            <w:pPr>
              <w:autoSpaceDE w:val="0"/>
              <w:autoSpaceDN w:val="0"/>
              <w:adjustRightInd w:val="0"/>
              <w:spacing w:after="0"/>
              <w:jc w:val="center"/>
              <w:rPr>
                <w:rFonts w:ascii="Times New Roman" w:hAnsi="Times New Roman" w:cs="Times New Roman"/>
                <w:sz w:val="20"/>
                <w:szCs w:val="20"/>
              </w:rPr>
            </w:pPr>
            <w:r w:rsidRPr="007E297E">
              <w:rPr>
                <w:rFonts w:ascii="Times New Roman" w:hAnsi="Times New Roman" w:cs="Times New Roman"/>
                <w:sz w:val="20"/>
                <w:szCs w:val="20"/>
              </w:rPr>
              <w:t>Sum of Squares</w:t>
            </w:r>
          </w:p>
        </w:tc>
        <w:tc>
          <w:tcPr>
            <w:tcW w:w="998" w:type="dxa"/>
            <w:tcBorders>
              <w:top w:val="single" w:sz="4" w:space="0" w:color="auto"/>
              <w:left w:val="nil"/>
              <w:bottom w:val="single" w:sz="4" w:space="0" w:color="auto"/>
              <w:right w:val="nil"/>
            </w:tcBorders>
            <w:shd w:val="clear" w:color="auto" w:fill="FFFFFF"/>
            <w:tcMar>
              <w:top w:w="30" w:type="dxa"/>
              <w:left w:w="30" w:type="dxa"/>
              <w:bottom w:w="30" w:type="dxa"/>
              <w:right w:w="30" w:type="dxa"/>
            </w:tcMar>
            <w:vAlign w:val="bottom"/>
          </w:tcPr>
          <w:p w14:paraId="462C8981" w14:textId="77777777" w:rsidR="00BE4AF3" w:rsidRPr="007E297E" w:rsidRDefault="00BE4AF3" w:rsidP="00BE4AF3">
            <w:pPr>
              <w:autoSpaceDE w:val="0"/>
              <w:autoSpaceDN w:val="0"/>
              <w:adjustRightInd w:val="0"/>
              <w:spacing w:after="0"/>
              <w:jc w:val="center"/>
              <w:rPr>
                <w:rFonts w:ascii="Times New Roman" w:hAnsi="Times New Roman" w:cs="Times New Roman"/>
                <w:sz w:val="20"/>
                <w:szCs w:val="20"/>
              </w:rPr>
            </w:pPr>
            <w:r w:rsidRPr="007E297E">
              <w:rPr>
                <w:rFonts w:ascii="Times New Roman" w:hAnsi="Times New Roman" w:cs="Times New Roman"/>
                <w:sz w:val="20"/>
                <w:szCs w:val="20"/>
              </w:rPr>
              <w:t>Df</w:t>
            </w:r>
          </w:p>
        </w:tc>
        <w:tc>
          <w:tcPr>
            <w:tcW w:w="1382" w:type="dxa"/>
            <w:tcBorders>
              <w:top w:val="single" w:sz="4" w:space="0" w:color="auto"/>
              <w:left w:val="nil"/>
              <w:bottom w:val="single" w:sz="4" w:space="0" w:color="auto"/>
              <w:right w:val="nil"/>
            </w:tcBorders>
            <w:shd w:val="clear" w:color="auto" w:fill="FFFFFF"/>
            <w:tcMar>
              <w:top w:w="30" w:type="dxa"/>
              <w:left w:w="30" w:type="dxa"/>
              <w:bottom w:w="30" w:type="dxa"/>
              <w:right w:w="30" w:type="dxa"/>
            </w:tcMar>
            <w:vAlign w:val="bottom"/>
          </w:tcPr>
          <w:p w14:paraId="35A401CA" w14:textId="77777777" w:rsidR="00BE4AF3" w:rsidRPr="007E297E" w:rsidRDefault="00BE4AF3" w:rsidP="00BE4AF3">
            <w:pPr>
              <w:autoSpaceDE w:val="0"/>
              <w:autoSpaceDN w:val="0"/>
              <w:adjustRightInd w:val="0"/>
              <w:spacing w:after="0"/>
              <w:jc w:val="center"/>
              <w:rPr>
                <w:rFonts w:ascii="Times New Roman" w:hAnsi="Times New Roman" w:cs="Times New Roman"/>
                <w:sz w:val="20"/>
                <w:szCs w:val="20"/>
              </w:rPr>
            </w:pPr>
            <w:r w:rsidRPr="007E297E">
              <w:rPr>
                <w:rFonts w:ascii="Times New Roman" w:hAnsi="Times New Roman" w:cs="Times New Roman"/>
                <w:sz w:val="20"/>
                <w:szCs w:val="20"/>
              </w:rPr>
              <w:t>Mean Square</w:t>
            </w:r>
          </w:p>
        </w:tc>
        <w:tc>
          <w:tcPr>
            <w:tcW w:w="1000" w:type="dxa"/>
            <w:tcBorders>
              <w:top w:val="single" w:sz="4" w:space="0" w:color="auto"/>
              <w:left w:val="nil"/>
              <w:bottom w:val="single" w:sz="4" w:space="0" w:color="auto"/>
              <w:right w:val="nil"/>
            </w:tcBorders>
            <w:shd w:val="clear" w:color="auto" w:fill="FFFFFF"/>
            <w:tcMar>
              <w:top w:w="30" w:type="dxa"/>
              <w:left w:w="30" w:type="dxa"/>
              <w:bottom w:w="30" w:type="dxa"/>
              <w:right w:w="30" w:type="dxa"/>
            </w:tcMar>
            <w:vAlign w:val="bottom"/>
          </w:tcPr>
          <w:p w14:paraId="6FE579BF" w14:textId="77777777" w:rsidR="00BE4AF3" w:rsidRPr="007E297E" w:rsidRDefault="00BE4AF3" w:rsidP="00BE4AF3">
            <w:pPr>
              <w:autoSpaceDE w:val="0"/>
              <w:autoSpaceDN w:val="0"/>
              <w:adjustRightInd w:val="0"/>
              <w:spacing w:after="0"/>
              <w:jc w:val="center"/>
              <w:rPr>
                <w:rFonts w:ascii="Times New Roman" w:hAnsi="Times New Roman" w:cs="Times New Roman"/>
                <w:sz w:val="20"/>
                <w:szCs w:val="20"/>
              </w:rPr>
            </w:pPr>
            <w:r w:rsidRPr="007E297E">
              <w:rPr>
                <w:rFonts w:ascii="Times New Roman" w:hAnsi="Times New Roman" w:cs="Times New Roman"/>
                <w:sz w:val="20"/>
                <w:szCs w:val="20"/>
              </w:rPr>
              <w:t>F</w:t>
            </w:r>
          </w:p>
        </w:tc>
        <w:tc>
          <w:tcPr>
            <w:tcW w:w="1000" w:type="dxa"/>
            <w:tcBorders>
              <w:top w:val="single" w:sz="4" w:space="0" w:color="auto"/>
              <w:left w:val="nil"/>
              <w:bottom w:val="single" w:sz="4" w:space="0" w:color="auto"/>
              <w:right w:val="nil"/>
            </w:tcBorders>
            <w:shd w:val="clear" w:color="auto" w:fill="FFFFFF"/>
            <w:tcMar>
              <w:top w:w="30" w:type="dxa"/>
              <w:left w:w="30" w:type="dxa"/>
              <w:bottom w:w="30" w:type="dxa"/>
              <w:right w:w="30" w:type="dxa"/>
            </w:tcMar>
            <w:vAlign w:val="bottom"/>
          </w:tcPr>
          <w:p w14:paraId="517C8CA5" w14:textId="77777777" w:rsidR="00BE4AF3" w:rsidRPr="007E297E" w:rsidRDefault="00BE4AF3" w:rsidP="00BE4AF3">
            <w:pPr>
              <w:autoSpaceDE w:val="0"/>
              <w:autoSpaceDN w:val="0"/>
              <w:adjustRightInd w:val="0"/>
              <w:spacing w:after="0"/>
              <w:jc w:val="center"/>
              <w:rPr>
                <w:rFonts w:ascii="Times New Roman" w:hAnsi="Times New Roman" w:cs="Times New Roman"/>
                <w:sz w:val="20"/>
                <w:szCs w:val="20"/>
              </w:rPr>
            </w:pPr>
            <w:r w:rsidRPr="007E297E">
              <w:rPr>
                <w:rFonts w:ascii="Times New Roman" w:hAnsi="Times New Roman" w:cs="Times New Roman"/>
                <w:sz w:val="20"/>
                <w:szCs w:val="20"/>
              </w:rPr>
              <w:t>Sig.</w:t>
            </w:r>
          </w:p>
        </w:tc>
      </w:tr>
      <w:tr w:rsidR="00BE4AF3" w:rsidRPr="00BE4AF3" w14:paraId="6AAA08B7" w14:textId="77777777" w:rsidTr="007E297E">
        <w:trPr>
          <w:cantSplit/>
          <w:tblHeader/>
          <w:jc w:val="center"/>
        </w:trPr>
        <w:tc>
          <w:tcPr>
            <w:tcW w:w="720" w:type="dxa"/>
            <w:vMerge w:val="restart"/>
            <w:tcBorders>
              <w:top w:val="single" w:sz="4" w:space="0" w:color="auto"/>
              <w:left w:val="nil"/>
              <w:bottom w:val="nil"/>
              <w:right w:val="nil"/>
            </w:tcBorders>
            <w:shd w:val="clear" w:color="auto" w:fill="FFFFFF"/>
            <w:tcMar>
              <w:top w:w="30" w:type="dxa"/>
              <w:left w:w="30" w:type="dxa"/>
              <w:bottom w:w="30" w:type="dxa"/>
              <w:right w:w="30" w:type="dxa"/>
            </w:tcMar>
          </w:tcPr>
          <w:p w14:paraId="70DCB9E4" w14:textId="77777777" w:rsidR="00BE4AF3" w:rsidRPr="007E297E" w:rsidRDefault="00BE4AF3" w:rsidP="00BE4AF3">
            <w:pPr>
              <w:autoSpaceDE w:val="0"/>
              <w:autoSpaceDN w:val="0"/>
              <w:adjustRightInd w:val="0"/>
              <w:spacing w:after="0"/>
              <w:rPr>
                <w:rFonts w:ascii="Times New Roman" w:hAnsi="Times New Roman" w:cs="Times New Roman"/>
                <w:sz w:val="20"/>
                <w:szCs w:val="20"/>
              </w:rPr>
            </w:pPr>
            <w:r w:rsidRPr="007E297E">
              <w:rPr>
                <w:rFonts w:ascii="Times New Roman" w:hAnsi="Times New Roman" w:cs="Times New Roman"/>
                <w:sz w:val="20"/>
                <w:szCs w:val="20"/>
              </w:rPr>
              <w:t>1</w:t>
            </w:r>
          </w:p>
        </w:tc>
        <w:tc>
          <w:tcPr>
            <w:tcW w:w="1258" w:type="dxa"/>
            <w:tcBorders>
              <w:top w:val="single" w:sz="4" w:space="0" w:color="auto"/>
              <w:left w:val="nil"/>
              <w:bottom w:val="nil"/>
              <w:right w:val="nil"/>
            </w:tcBorders>
            <w:shd w:val="clear" w:color="auto" w:fill="FFFFFF"/>
            <w:tcMar>
              <w:top w:w="30" w:type="dxa"/>
              <w:left w:w="30" w:type="dxa"/>
              <w:bottom w:w="30" w:type="dxa"/>
              <w:right w:w="30" w:type="dxa"/>
            </w:tcMar>
          </w:tcPr>
          <w:p w14:paraId="5ED44EF2" w14:textId="77777777" w:rsidR="00BE4AF3" w:rsidRPr="007E297E" w:rsidRDefault="00BE4AF3" w:rsidP="00BE4AF3">
            <w:pPr>
              <w:autoSpaceDE w:val="0"/>
              <w:autoSpaceDN w:val="0"/>
              <w:adjustRightInd w:val="0"/>
              <w:spacing w:after="0"/>
              <w:rPr>
                <w:rFonts w:ascii="Times New Roman" w:hAnsi="Times New Roman" w:cs="Times New Roman"/>
                <w:sz w:val="20"/>
                <w:szCs w:val="20"/>
              </w:rPr>
            </w:pPr>
            <w:r w:rsidRPr="007E297E">
              <w:rPr>
                <w:rFonts w:ascii="Times New Roman" w:hAnsi="Times New Roman" w:cs="Times New Roman"/>
                <w:sz w:val="20"/>
                <w:szCs w:val="20"/>
              </w:rPr>
              <w:t>Regression</w:t>
            </w:r>
          </w:p>
        </w:tc>
        <w:tc>
          <w:tcPr>
            <w:tcW w:w="1440" w:type="dxa"/>
            <w:tcBorders>
              <w:top w:val="single" w:sz="4" w:space="0" w:color="auto"/>
              <w:left w:val="nil"/>
              <w:bottom w:val="nil"/>
              <w:right w:val="nil"/>
            </w:tcBorders>
            <w:shd w:val="clear" w:color="auto" w:fill="FFFFFF"/>
            <w:tcMar>
              <w:top w:w="30" w:type="dxa"/>
              <w:left w:w="30" w:type="dxa"/>
              <w:bottom w:w="30" w:type="dxa"/>
              <w:right w:w="30" w:type="dxa"/>
            </w:tcMar>
            <w:vAlign w:val="center"/>
          </w:tcPr>
          <w:p w14:paraId="11E58224" w14:textId="77777777" w:rsidR="00BE4AF3" w:rsidRPr="007E297E" w:rsidRDefault="00BE4AF3" w:rsidP="00BE4AF3">
            <w:pPr>
              <w:autoSpaceDE w:val="0"/>
              <w:autoSpaceDN w:val="0"/>
              <w:adjustRightInd w:val="0"/>
              <w:spacing w:after="0"/>
              <w:jc w:val="right"/>
              <w:rPr>
                <w:rFonts w:ascii="Times New Roman" w:hAnsi="Times New Roman" w:cs="Times New Roman"/>
                <w:sz w:val="20"/>
                <w:szCs w:val="20"/>
              </w:rPr>
            </w:pPr>
            <w:r w:rsidRPr="007E297E">
              <w:rPr>
                <w:rFonts w:ascii="Times New Roman" w:hAnsi="Times New Roman" w:cs="Times New Roman"/>
                <w:sz w:val="20"/>
                <w:szCs w:val="20"/>
              </w:rPr>
              <w:t>8244.169</w:t>
            </w:r>
          </w:p>
        </w:tc>
        <w:tc>
          <w:tcPr>
            <w:tcW w:w="998" w:type="dxa"/>
            <w:tcBorders>
              <w:top w:val="single" w:sz="4" w:space="0" w:color="auto"/>
              <w:left w:val="nil"/>
              <w:bottom w:val="nil"/>
              <w:right w:val="nil"/>
            </w:tcBorders>
            <w:shd w:val="clear" w:color="auto" w:fill="FFFFFF"/>
            <w:tcMar>
              <w:top w:w="30" w:type="dxa"/>
              <w:left w:w="30" w:type="dxa"/>
              <w:bottom w:w="30" w:type="dxa"/>
              <w:right w:w="30" w:type="dxa"/>
            </w:tcMar>
            <w:vAlign w:val="center"/>
          </w:tcPr>
          <w:p w14:paraId="2CBE6BF5" w14:textId="77777777" w:rsidR="00BE4AF3" w:rsidRPr="007E297E" w:rsidRDefault="00BE4AF3" w:rsidP="00BE4AF3">
            <w:pPr>
              <w:autoSpaceDE w:val="0"/>
              <w:autoSpaceDN w:val="0"/>
              <w:adjustRightInd w:val="0"/>
              <w:spacing w:after="0"/>
              <w:jc w:val="right"/>
              <w:rPr>
                <w:rFonts w:ascii="Times New Roman" w:hAnsi="Times New Roman" w:cs="Times New Roman"/>
                <w:sz w:val="20"/>
                <w:szCs w:val="20"/>
              </w:rPr>
            </w:pPr>
            <w:r w:rsidRPr="007E297E">
              <w:rPr>
                <w:rFonts w:ascii="Times New Roman" w:hAnsi="Times New Roman" w:cs="Times New Roman"/>
                <w:sz w:val="20"/>
                <w:szCs w:val="20"/>
              </w:rPr>
              <w:t>4</w:t>
            </w:r>
          </w:p>
        </w:tc>
        <w:tc>
          <w:tcPr>
            <w:tcW w:w="1382" w:type="dxa"/>
            <w:tcBorders>
              <w:top w:val="single" w:sz="4" w:space="0" w:color="auto"/>
              <w:left w:val="nil"/>
              <w:bottom w:val="nil"/>
              <w:right w:val="nil"/>
            </w:tcBorders>
            <w:shd w:val="clear" w:color="auto" w:fill="FFFFFF"/>
            <w:tcMar>
              <w:top w:w="30" w:type="dxa"/>
              <w:left w:w="30" w:type="dxa"/>
              <w:bottom w:w="30" w:type="dxa"/>
              <w:right w:w="30" w:type="dxa"/>
            </w:tcMar>
            <w:vAlign w:val="center"/>
          </w:tcPr>
          <w:p w14:paraId="2040576B" w14:textId="77777777" w:rsidR="00BE4AF3" w:rsidRPr="007E297E" w:rsidRDefault="00BE4AF3" w:rsidP="00BE4AF3">
            <w:pPr>
              <w:autoSpaceDE w:val="0"/>
              <w:autoSpaceDN w:val="0"/>
              <w:adjustRightInd w:val="0"/>
              <w:spacing w:after="0"/>
              <w:jc w:val="right"/>
              <w:rPr>
                <w:rFonts w:ascii="Times New Roman" w:hAnsi="Times New Roman" w:cs="Times New Roman"/>
                <w:sz w:val="20"/>
                <w:szCs w:val="20"/>
              </w:rPr>
            </w:pPr>
            <w:r w:rsidRPr="007E297E">
              <w:rPr>
                <w:rFonts w:ascii="Times New Roman" w:hAnsi="Times New Roman" w:cs="Times New Roman"/>
                <w:sz w:val="20"/>
                <w:szCs w:val="20"/>
              </w:rPr>
              <w:t>2061.042</w:t>
            </w:r>
          </w:p>
        </w:tc>
        <w:tc>
          <w:tcPr>
            <w:tcW w:w="1000" w:type="dxa"/>
            <w:tcBorders>
              <w:top w:val="single" w:sz="4" w:space="0" w:color="auto"/>
              <w:left w:val="nil"/>
              <w:bottom w:val="nil"/>
              <w:right w:val="nil"/>
            </w:tcBorders>
            <w:shd w:val="clear" w:color="auto" w:fill="FFFFFF"/>
            <w:tcMar>
              <w:top w:w="30" w:type="dxa"/>
              <w:left w:w="30" w:type="dxa"/>
              <w:bottom w:w="30" w:type="dxa"/>
              <w:right w:w="30" w:type="dxa"/>
            </w:tcMar>
            <w:vAlign w:val="center"/>
          </w:tcPr>
          <w:p w14:paraId="5F666D4D" w14:textId="77777777" w:rsidR="00BE4AF3" w:rsidRPr="007E297E" w:rsidRDefault="00BE4AF3" w:rsidP="00BE4AF3">
            <w:pPr>
              <w:autoSpaceDE w:val="0"/>
              <w:autoSpaceDN w:val="0"/>
              <w:adjustRightInd w:val="0"/>
              <w:spacing w:after="0"/>
              <w:jc w:val="right"/>
              <w:rPr>
                <w:rFonts w:ascii="Times New Roman" w:hAnsi="Times New Roman" w:cs="Times New Roman"/>
                <w:sz w:val="20"/>
                <w:szCs w:val="20"/>
              </w:rPr>
            </w:pPr>
            <w:r w:rsidRPr="007E297E">
              <w:rPr>
                <w:rFonts w:ascii="Times New Roman" w:hAnsi="Times New Roman" w:cs="Times New Roman"/>
                <w:sz w:val="20"/>
                <w:szCs w:val="20"/>
              </w:rPr>
              <w:t>8.970</w:t>
            </w:r>
          </w:p>
        </w:tc>
        <w:tc>
          <w:tcPr>
            <w:tcW w:w="1000" w:type="dxa"/>
            <w:tcBorders>
              <w:top w:val="single" w:sz="4" w:space="0" w:color="auto"/>
              <w:left w:val="nil"/>
              <w:bottom w:val="nil"/>
              <w:right w:val="nil"/>
            </w:tcBorders>
            <w:shd w:val="clear" w:color="auto" w:fill="FFFFFF"/>
            <w:tcMar>
              <w:top w:w="30" w:type="dxa"/>
              <w:left w:w="30" w:type="dxa"/>
              <w:bottom w:w="30" w:type="dxa"/>
              <w:right w:w="30" w:type="dxa"/>
            </w:tcMar>
            <w:vAlign w:val="center"/>
          </w:tcPr>
          <w:p w14:paraId="777BFD1C" w14:textId="77777777" w:rsidR="00BE4AF3" w:rsidRPr="007E297E" w:rsidRDefault="00BE4AF3" w:rsidP="00BE4AF3">
            <w:pPr>
              <w:autoSpaceDE w:val="0"/>
              <w:autoSpaceDN w:val="0"/>
              <w:adjustRightInd w:val="0"/>
              <w:spacing w:after="0"/>
              <w:jc w:val="right"/>
              <w:rPr>
                <w:rFonts w:ascii="Times New Roman" w:hAnsi="Times New Roman" w:cs="Times New Roman"/>
                <w:sz w:val="20"/>
                <w:szCs w:val="20"/>
              </w:rPr>
            </w:pPr>
            <w:r w:rsidRPr="007E297E">
              <w:rPr>
                <w:rFonts w:ascii="Times New Roman" w:hAnsi="Times New Roman" w:cs="Times New Roman"/>
                <w:sz w:val="20"/>
                <w:szCs w:val="20"/>
              </w:rPr>
              <w:t>.000</w:t>
            </w:r>
            <w:r w:rsidRPr="007E297E">
              <w:rPr>
                <w:rFonts w:ascii="Times New Roman" w:hAnsi="Times New Roman" w:cs="Times New Roman"/>
                <w:sz w:val="20"/>
                <w:szCs w:val="20"/>
                <w:vertAlign w:val="superscript"/>
              </w:rPr>
              <w:t>a</w:t>
            </w:r>
          </w:p>
        </w:tc>
      </w:tr>
      <w:tr w:rsidR="00BE4AF3" w:rsidRPr="00BE4AF3" w14:paraId="1242D1FD" w14:textId="77777777" w:rsidTr="007E297E">
        <w:trPr>
          <w:cantSplit/>
          <w:tblHeader/>
          <w:jc w:val="center"/>
        </w:trPr>
        <w:tc>
          <w:tcPr>
            <w:tcW w:w="720" w:type="dxa"/>
            <w:vMerge/>
            <w:tcBorders>
              <w:top w:val="nil"/>
              <w:left w:val="nil"/>
              <w:bottom w:val="nil"/>
              <w:right w:val="nil"/>
            </w:tcBorders>
            <w:shd w:val="clear" w:color="auto" w:fill="FFFFFF"/>
            <w:tcMar>
              <w:top w:w="30" w:type="dxa"/>
              <w:left w:w="30" w:type="dxa"/>
              <w:bottom w:w="30" w:type="dxa"/>
              <w:right w:w="30" w:type="dxa"/>
            </w:tcMar>
          </w:tcPr>
          <w:p w14:paraId="181D43E7" w14:textId="77777777" w:rsidR="00BE4AF3" w:rsidRPr="007E297E" w:rsidRDefault="00BE4AF3" w:rsidP="00BE4AF3">
            <w:pPr>
              <w:autoSpaceDE w:val="0"/>
              <w:autoSpaceDN w:val="0"/>
              <w:adjustRightInd w:val="0"/>
              <w:spacing w:after="0"/>
              <w:rPr>
                <w:rFonts w:ascii="Times New Roman" w:hAnsi="Times New Roman" w:cs="Times New Roman"/>
                <w:sz w:val="20"/>
                <w:szCs w:val="20"/>
              </w:rPr>
            </w:pPr>
          </w:p>
        </w:tc>
        <w:tc>
          <w:tcPr>
            <w:tcW w:w="1258" w:type="dxa"/>
            <w:tcBorders>
              <w:top w:val="nil"/>
              <w:left w:val="nil"/>
              <w:bottom w:val="nil"/>
              <w:right w:val="nil"/>
            </w:tcBorders>
            <w:shd w:val="clear" w:color="auto" w:fill="FFFFFF"/>
            <w:tcMar>
              <w:top w:w="30" w:type="dxa"/>
              <w:left w:w="30" w:type="dxa"/>
              <w:bottom w:w="30" w:type="dxa"/>
              <w:right w:w="30" w:type="dxa"/>
            </w:tcMar>
          </w:tcPr>
          <w:p w14:paraId="35C2AC37" w14:textId="77777777" w:rsidR="00BE4AF3" w:rsidRPr="007E297E" w:rsidRDefault="00BE4AF3" w:rsidP="00BE4AF3">
            <w:pPr>
              <w:autoSpaceDE w:val="0"/>
              <w:autoSpaceDN w:val="0"/>
              <w:adjustRightInd w:val="0"/>
              <w:spacing w:after="0"/>
              <w:rPr>
                <w:rFonts w:ascii="Times New Roman" w:hAnsi="Times New Roman" w:cs="Times New Roman"/>
                <w:sz w:val="20"/>
                <w:szCs w:val="20"/>
              </w:rPr>
            </w:pPr>
            <w:r w:rsidRPr="007E297E">
              <w:rPr>
                <w:rFonts w:ascii="Times New Roman" w:hAnsi="Times New Roman" w:cs="Times New Roman"/>
                <w:sz w:val="20"/>
                <w:szCs w:val="20"/>
              </w:rPr>
              <w:t>Residual</w:t>
            </w:r>
          </w:p>
        </w:tc>
        <w:tc>
          <w:tcPr>
            <w:tcW w:w="1440" w:type="dxa"/>
            <w:tcBorders>
              <w:top w:val="nil"/>
              <w:left w:val="nil"/>
              <w:bottom w:val="nil"/>
              <w:right w:val="nil"/>
            </w:tcBorders>
            <w:shd w:val="clear" w:color="auto" w:fill="FFFFFF"/>
            <w:tcMar>
              <w:top w:w="30" w:type="dxa"/>
              <w:left w:w="30" w:type="dxa"/>
              <w:bottom w:w="30" w:type="dxa"/>
              <w:right w:w="30" w:type="dxa"/>
            </w:tcMar>
            <w:vAlign w:val="center"/>
          </w:tcPr>
          <w:p w14:paraId="085595C5" w14:textId="77777777" w:rsidR="00BE4AF3" w:rsidRPr="007E297E" w:rsidRDefault="00BE4AF3" w:rsidP="00BE4AF3">
            <w:pPr>
              <w:autoSpaceDE w:val="0"/>
              <w:autoSpaceDN w:val="0"/>
              <w:adjustRightInd w:val="0"/>
              <w:spacing w:after="0"/>
              <w:jc w:val="right"/>
              <w:rPr>
                <w:rFonts w:ascii="Times New Roman" w:hAnsi="Times New Roman" w:cs="Times New Roman"/>
                <w:sz w:val="20"/>
                <w:szCs w:val="20"/>
              </w:rPr>
            </w:pPr>
            <w:r w:rsidRPr="007E297E">
              <w:rPr>
                <w:rFonts w:ascii="Times New Roman" w:hAnsi="Times New Roman" w:cs="Times New Roman"/>
                <w:sz w:val="20"/>
                <w:szCs w:val="20"/>
              </w:rPr>
              <w:t>33777.456</w:t>
            </w:r>
          </w:p>
        </w:tc>
        <w:tc>
          <w:tcPr>
            <w:tcW w:w="998" w:type="dxa"/>
            <w:tcBorders>
              <w:top w:val="nil"/>
              <w:left w:val="nil"/>
              <w:bottom w:val="nil"/>
              <w:right w:val="nil"/>
            </w:tcBorders>
            <w:shd w:val="clear" w:color="auto" w:fill="FFFFFF"/>
            <w:tcMar>
              <w:top w:w="30" w:type="dxa"/>
              <w:left w:w="30" w:type="dxa"/>
              <w:bottom w:w="30" w:type="dxa"/>
              <w:right w:w="30" w:type="dxa"/>
            </w:tcMar>
            <w:vAlign w:val="center"/>
          </w:tcPr>
          <w:p w14:paraId="565F6D99" w14:textId="77777777" w:rsidR="00BE4AF3" w:rsidRPr="007E297E" w:rsidRDefault="00BE4AF3" w:rsidP="00BE4AF3">
            <w:pPr>
              <w:autoSpaceDE w:val="0"/>
              <w:autoSpaceDN w:val="0"/>
              <w:adjustRightInd w:val="0"/>
              <w:spacing w:after="0"/>
              <w:jc w:val="right"/>
              <w:rPr>
                <w:rFonts w:ascii="Times New Roman" w:hAnsi="Times New Roman" w:cs="Times New Roman"/>
                <w:sz w:val="20"/>
                <w:szCs w:val="20"/>
              </w:rPr>
            </w:pPr>
            <w:r w:rsidRPr="007E297E">
              <w:rPr>
                <w:rFonts w:ascii="Times New Roman" w:hAnsi="Times New Roman" w:cs="Times New Roman"/>
                <w:sz w:val="20"/>
                <w:szCs w:val="20"/>
              </w:rPr>
              <w:t>147</w:t>
            </w:r>
          </w:p>
        </w:tc>
        <w:tc>
          <w:tcPr>
            <w:tcW w:w="1382" w:type="dxa"/>
            <w:tcBorders>
              <w:top w:val="nil"/>
              <w:left w:val="nil"/>
              <w:bottom w:val="nil"/>
              <w:right w:val="nil"/>
            </w:tcBorders>
            <w:shd w:val="clear" w:color="auto" w:fill="FFFFFF"/>
            <w:tcMar>
              <w:top w:w="30" w:type="dxa"/>
              <w:left w:w="30" w:type="dxa"/>
              <w:bottom w:w="30" w:type="dxa"/>
              <w:right w:w="30" w:type="dxa"/>
            </w:tcMar>
            <w:vAlign w:val="center"/>
          </w:tcPr>
          <w:p w14:paraId="25FC67EA" w14:textId="77777777" w:rsidR="00BE4AF3" w:rsidRPr="007E297E" w:rsidRDefault="00BE4AF3" w:rsidP="00BE4AF3">
            <w:pPr>
              <w:autoSpaceDE w:val="0"/>
              <w:autoSpaceDN w:val="0"/>
              <w:adjustRightInd w:val="0"/>
              <w:spacing w:after="0"/>
              <w:jc w:val="right"/>
              <w:rPr>
                <w:rFonts w:ascii="Times New Roman" w:hAnsi="Times New Roman" w:cs="Times New Roman"/>
                <w:sz w:val="20"/>
                <w:szCs w:val="20"/>
              </w:rPr>
            </w:pPr>
            <w:r w:rsidRPr="007E297E">
              <w:rPr>
                <w:rFonts w:ascii="Times New Roman" w:hAnsi="Times New Roman" w:cs="Times New Roman"/>
                <w:sz w:val="20"/>
                <w:szCs w:val="20"/>
              </w:rPr>
              <w:t>229.779</w:t>
            </w:r>
          </w:p>
        </w:tc>
        <w:tc>
          <w:tcPr>
            <w:tcW w:w="1000" w:type="dxa"/>
            <w:tcBorders>
              <w:top w:val="nil"/>
              <w:left w:val="nil"/>
              <w:bottom w:val="nil"/>
              <w:right w:val="nil"/>
            </w:tcBorders>
            <w:shd w:val="clear" w:color="auto" w:fill="FFFFFF"/>
            <w:tcMar>
              <w:top w:w="30" w:type="dxa"/>
              <w:left w:w="30" w:type="dxa"/>
              <w:bottom w:w="30" w:type="dxa"/>
              <w:right w:w="30" w:type="dxa"/>
            </w:tcMar>
          </w:tcPr>
          <w:p w14:paraId="5F2B53F9" w14:textId="77777777" w:rsidR="00BE4AF3" w:rsidRPr="007E297E" w:rsidRDefault="00BE4AF3" w:rsidP="00BE4AF3">
            <w:pPr>
              <w:autoSpaceDE w:val="0"/>
              <w:autoSpaceDN w:val="0"/>
              <w:adjustRightInd w:val="0"/>
              <w:spacing w:after="0"/>
              <w:rPr>
                <w:rFonts w:ascii="Times New Roman" w:hAnsi="Times New Roman" w:cs="Times New Roman"/>
                <w:sz w:val="20"/>
                <w:szCs w:val="20"/>
              </w:rPr>
            </w:pPr>
          </w:p>
        </w:tc>
        <w:tc>
          <w:tcPr>
            <w:tcW w:w="1000" w:type="dxa"/>
            <w:tcBorders>
              <w:top w:val="nil"/>
              <w:left w:val="nil"/>
              <w:bottom w:val="nil"/>
              <w:right w:val="nil"/>
            </w:tcBorders>
            <w:shd w:val="clear" w:color="auto" w:fill="FFFFFF"/>
            <w:tcMar>
              <w:top w:w="30" w:type="dxa"/>
              <w:left w:w="30" w:type="dxa"/>
              <w:bottom w:w="30" w:type="dxa"/>
              <w:right w:w="30" w:type="dxa"/>
            </w:tcMar>
          </w:tcPr>
          <w:p w14:paraId="1C415ABD" w14:textId="77777777" w:rsidR="00BE4AF3" w:rsidRPr="007E297E" w:rsidRDefault="00BE4AF3" w:rsidP="00BE4AF3">
            <w:pPr>
              <w:autoSpaceDE w:val="0"/>
              <w:autoSpaceDN w:val="0"/>
              <w:adjustRightInd w:val="0"/>
              <w:spacing w:after="0"/>
              <w:rPr>
                <w:rFonts w:ascii="Times New Roman" w:hAnsi="Times New Roman" w:cs="Times New Roman"/>
                <w:sz w:val="20"/>
                <w:szCs w:val="20"/>
              </w:rPr>
            </w:pPr>
          </w:p>
        </w:tc>
      </w:tr>
      <w:tr w:rsidR="00BE4AF3" w:rsidRPr="00BE4AF3" w14:paraId="4BBACAB0" w14:textId="77777777" w:rsidTr="007E297E">
        <w:trPr>
          <w:cantSplit/>
          <w:tblHeader/>
          <w:jc w:val="center"/>
        </w:trPr>
        <w:tc>
          <w:tcPr>
            <w:tcW w:w="720" w:type="dxa"/>
            <w:vMerge/>
            <w:tcBorders>
              <w:top w:val="nil"/>
              <w:left w:val="nil"/>
              <w:bottom w:val="single" w:sz="4" w:space="0" w:color="auto"/>
              <w:right w:val="nil"/>
            </w:tcBorders>
            <w:shd w:val="clear" w:color="auto" w:fill="FFFFFF"/>
            <w:tcMar>
              <w:top w:w="30" w:type="dxa"/>
              <w:left w:w="30" w:type="dxa"/>
              <w:bottom w:w="30" w:type="dxa"/>
              <w:right w:w="30" w:type="dxa"/>
            </w:tcMar>
          </w:tcPr>
          <w:p w14:paraId="287E9BC5" w14:textId="77777777" w:rsidR="00BE4AF3" w:rsidRPr="007E297E" w:rsidRDefault="00BE4AF3" w:rsidP="00BE4AF3">
            <w:pPr>
              <w:autoSpaceDE w:val="0"/>
              <w:autoSpaceDN w:val="0"/>
              <w:adjustRightInd w:val="0"/>
              <w:spacing w:after="0"/>
              <w:rPr>
                <w:rFonts w:ascii="Times New Roman" w:hAnsi="Times New Roman" w:cs="Times New Roman"/>
                <w:sz w:val="20"/>
                <w:szCs w:val="20"/>
              </w:rPr>
            </w:pPr>
          </w:p>
        </w:tc>
        <w:tc>
          <w:tcPr>
            <w:tcW w:w="1258" w:type="dxa"/>
            <w:tcBorders>
              <w:top w:val="nil"/>
              <w:left w:val="nil"/>
              <w:bottom w:val="single" w:sz="4" w:space="0" w:color="auto"/>
              <w:right w:val="nil"/>
            </w:tcBorders>
            <w:shd w:val="clear" w:color="auto" w:fill="FFFFFF"/>
            <w:tcMar>
              <w:top w:w="30" w:type="dxa"/>
              <w:left w:w="30" w:type="dxa"/>
              <w:bottom w:w="30" w:type="dxa"/>
              <w:right w:w="30" w:type="dxa"/>
            </w:tcMar>
          </w:tcPr>
          <w:p w14:paraId="1C2AABA3" w14:textId="77777777" w:rsidR="00BE4AF3" w:rsidRPr="007E297E" w:rsidRDefault="00BE4AF3" w:rsidP="00BE4AF3">
            <w:pPr>
              <w:autoSpaceDE w:val="0"/>
              <w:autoSpaceDN w:val="0"/>
              <w:adjustRightInd w:val="0"/>
              <w:spacing w:after="0"/>
              <w:rPr>
                <w:rFonts w:ascii="Times New Roman" w:hAnsi="Times New Roman" w:cs="Times New Roman"/>
                <w:sz w:val="20"/>
                <w:szCs w:val="20"/>
              </w:rPr>
            </w:pPr>
            <w:r w:rsidRPr="007E297E">
              <w:rPr>
                <w:rFonts w:ascii="Times New Roman" w:hAnsi="Times New Roman" w:cs="Times New Roman"/>
                <w:sz w:val="20"/>
                <w:szCs w:val="20"/>
              </w:rPr>
              <w:t>Total</w:t>
            </w:r>
          </w:p>
        </w:tc>
        <w:tc>
          <w:tcPr>
            <w:tcW w:w="1440" w:type="dxa"/>
            <w:tcBorders>
              <w:top w:val="nil"/>
              <w:left w:val="nil"/>
              <w:bottom w:val="single" w:sz="4" w:space="0" w:color="auto"/>
              <w:right w:val="nil"/>
            </w:tcBorders>
            <w:shd w:val="clear" w:color="auto" w:fill="FFFFFF"/>
            <w:tcMar>
              <w:top w:w="30" w:type="dxa"/>
              <w:left w:w="30" w:type="dxa"/>
              <w:bottom w:w="30" w:type="dxa"/>
              <w:right w:w="30" w:type="dxa"/>
            </w:tcMar>
            <w:vAlign w:val="center"/>
          </w:tcPr>
          <w:p w14:paraId="2C07423D" w14:textId="77777777" w:rsidR="00BE4AF3" w:rsidRPr="007E297E" w:rsidRDefault="00BE4AF3" w:rsidP="00BE4AF3">
            <w:pPr>
              <w:autoSpaceDE w:val="0"/>
              <w:autoSpaceDN w:val="0"/>
              <w:adjustRightInd w:val="0"/>
              <w:spacing w:after="0"/>
              <w:jc w:val="right"/>
              <w:rPr>
                <w:rFonts w:ascii="Times New Roman" w:hAnsi="Times New Roman" w:cs="Times New Roman"/>
                <w:sz w:val="20"/>
                <w:szCs w:val="20"/>
              </w:rPr>
            </w:pPr>
            <w:r w:rsidRPr="007E297E">
              <w:rPr>
                <w:rFonts w:ascii="Times New Roman" w:hAnsi="Times New Roman" w:cs="Times New Roman"/>
                <w:sz w:val="20"/>
                <w:szCs w:val="20"/>
              </w:rPr>
              <w:t>42021.625</w:t>
            </w:r>
          </w:p>
        </w:tc>
        <w:tc>
          <w:tcPr>
            <w:tcW w:w="998" w:type="dxa"/>
            <w:tcBorders>
              <w:top w:val="nil"/>
              <w:left w:val="nil"/>
              <w:bottom w:val="single" w:sz="4" w:space="0" w:color="auto"/>
              <w:right w:val="nil"/>
            </w:tcBorders>
            <w:shd w:val="clear" w:color="auto" w:fill="FFFFFF"/>
            <w:tcMar>
              <w:top w:w="30" w:type="dxa"/>
              <w:left w:w="30" w:type="dxa"/>
              <w:bottom w:w="30" w:type="dxa"/>
              <w:right w:w="30" w:type="dxa"/>
            </w:tcMar>
            <w:vAlign w:val="center"/>
          </w:tcPr>
          <w:p w14:paraId="2D84F694" w14:textId="77777777" w:rsidR="00BE4AF3" w:rsidRPr="007E297E" w:rsidRDefault="00BE4AF3" w:rsidP="00BE4AF3">
            <w:pPr>
              <w:autoSpaceDE w:val="0"/>
              <w:autoSpaceDN w:val="0"/>
              <w:adjustRightInd w:val="0"/>
              <w:spacing w:after="0"/>
              <w:jc w:val="right"/>
              <w:rPr>
                <w:rFonts w:ascii="Times New Roman" w:hAnsi="Times New Roman" w:cs="Times New Roman"/>
                <w:sz w:val="20"/>
                <w:szCs w:val="20"/>
              </w:rPr>
            </w:pPr>
            <w:r w:rsidRPr="007E297E">
              <w:rPr>
                <w:rFonts w:ascii="Times New Roman" w:hAnsi="Times New Roman" w:cs="Times New Roman"/>
                <w:sz w:val="20"/>
                <w:szCs w:val="20"/>
              </w:rPr>
              <w:t>151</w:t>
            </w:r>
          </w:p>
        </w:tc>
        <w:tc>
          <w:tcPr>
            <w:tcW w:w="1382" w:type="dxa"/>
            <w:tcBorders>
              <w:top w:val="nil"/>
              <w:left w:val="nil"/>
              <w:bottom w:val="single" w:sz="4" w:space="0" w:color="auto"/>
              <w:right w:val="nil"/>
            </w:tcBorders>
            <w:shd w:val="clear" w:color="auto" w:fill="FFFFFF"/>
            <w:tcMar>
              <w:top w:w="30" w:type="dxa"/>
              <w:left w:w="30" w:type="dxa"/>
              <w:bottom w:w="30" w:type="dxa"/>
              <w:right w:w="30" w:type="dxa"/>
            </w:tcMar>
          </w:tcPr>
          <w:p w14:paraId="60F44C21" w14:textId="77777777" w:rsidR="00BE4AF3" w:rsidRPr="007E297E" w:rsidRDefault="00BE4AF3" w:rsidP="00BE4AF3">
            <w:pPr>
              <w:autoSpaceDE w:val="0"/>
              <w:autoSpaceDN w:val="0"/>
              <w:adjustRightInd w:val="0"/>
              <w:spacing w:after="0"/>
              <w:rPr>
                <w:rFonts w:ascii="Times New Roman" w:hAnsi="Times New Roman" w:cs="Times New Roman"/>
                <w:sz w:val="20"/>
                <w:szCs w:val="20"/>
              </w:rPr>
            </w:pPr>
          </w:p>
        </w:tc>
        <w:tc>
          <w:tcPr>
            <w:tcW w:w="1000" w:type="dxa"/>
            <w:tcBorders>
              <w:top w:val="nil"/>
              <w:left w:val="nil"/>
              <w:bottom w:val="single" w:sz="4" w:space="0" w:color="auto"/>
              <w:right w:val="nil"/>
            </w:tcBorders>
            <w:shd w:val="clear" w:color="auto" w:fill="FFFFFF"/>
            <w:tcMar>
              <w:top w:w="30" w:type="dxa"/>
              <w:left w:w="30" w:type="dxa"/>
              <w:bottom w:w="30" w:type="dxa"/>
              <w:right w:w="30" w:type="dxa"/>
            </w:tcMar>
          </w:tcPr>
          <w:p w14:paraId="171968F4" w14:textId="77777777" w:rsidR="00BE4AF3" w:rsidRPr="007E297E" w:rsidRDefault="00BE4AF3" w:rsidP="00BE4AF3">
            <w:pPr>
              <w:autoSpaceDE w:val="0"/>
              <w:autoSpaceDN w:val="0"/>
              <w:adjustRightInd w:val="0"/>
              <w:spacing w:after="0"/>
              <w:rPr>
                <w:rFonts w:ascii="Times New Roman" w:hAnsi="Times New Roman" w:cs="Times New Roman"/>
                <w:sz w:val="20"/>
                <w:szCs w:val="20"/>
              </w:rPr>
            </w:pPr>
          </w:p>
        </w:tc>
        <w:tc>
          <w:tcPr>
            <w:tcW w:w="1000" w:type="dxa"/>
            <w:tcBorders>
              <w:top w:val="nil"/>
              <w:left w:val="nil"/>
              <w:bottom w:val="single" w:sz="4" w:space="0" w:color="auto"/>
              <w:right w:val="nil"/>
            </w:tcBorders>
            <w:shd w:val="clear" w:color="auto" w:fill="FFFFFF"/>
            <w:tcMar>
              <w:top w:w="30" w:type="dxa"/>
              <w:left w:w="30" w:type="dxa"/>
              <w:bottom w:w="30" w:type="dxa"/>
              <w:right w:w="30" w:type="dxa"/>
            </w:tcMar>
          </w:tcPr>
          <w:p w14:paraId="44DC1FBF" w14:textId="77777777" w:rsidR="00BE4AF3" w:rsidRPr="007E297E" w:rsidRDefault="00BE4AF3" w:rsidP="00BE4AF3">
            <w:pPr>
              <w:autoSpaceDE w:val="0"/>
              <w:autoSpaceDN w:val="0"/>
              <w:adjustRightInd w:val="0"/>
              <w:spacing w:after="0"/>
              <w:rPr>
                <w:rFonts w:ascii="Times New Roman" w:hAnsi="Times New Roman" w:cs="Times New Roman"/>
                <w:sz w:val="20"/>
                <w:szCs w:val="20"/>
              </w:rPr>
            </w:pPr>
          </w:p>
        </w:tc>
      </w:tr>
      <w:tr w:rsidR="00BE4AF3" w:rsidRPr="00BE4AF3" w14:paraId="5CC4FD4F" w14:textId="77777777" w:rsidTr="007E297E">
        <w:trPr>
          <w:cantSplit/>
          <w:tblHeader/>
          <w:jc w:val="center"/>
        </w:trPr>
        <w:tc>
          <w:tcPr>
            <w:tcW w:w="7798" w:type="dxa"/>
            <w:gridSpan w:val="7"/>
            <w:tcBorders>
              <w:top w:val="single" w:sz="4" w:space="0" w:color="auto"/>
              <w:left w:val="nil"/>
              <w:bottom w:val="nil"/>
              <w:right w:val="nil"/>
            </w:tcBorders>
            <w:shd w:val="clear" w:color="auto" w:fill="FFFFFF"/>
            <w:tcMar>
              <w:top w:w="30" w:type="dxa"/>
              <w:left w:w="30" w:type="dxa"/>
              <w:bottom w:w="30" w:type="dxa"/>
              <w:right w:w="30" w:type="dxa"/>
            </w:tcMar>
          </w:tcPr>
          <w:p w14:paraId="57FE95C8" w14:textId="77777777" w:rsidR="00BE4AF3" w:rsidRPr="00BE4AF3" w:rsidRDefault="00BE4AF3" w:rsidP="00BE4AF3">
            <w:pPr>
              <w:autoSpaceDE w:val="0"/>
              <w:autoSpaceDN w:val="0"/>
              <w:adjustRightInd w:val="0"/>
              <w:spacing w:after="0"/>
              <w:rPr>
                <w:rFonts w:ascii="Times New Roman" w:hAnsi="Times New Roman" w:cs="Times New Roman"/>
                <w:sz w:val="24"/>
                <w:szCs w:val="24"/>
              </w:rPr>
            </w:pPr>
            <w:r w:rsidRPr="00BE4AF3">
              <w:rPr>
                <w:rFonts w:ascii="Times New Roman" w:hAnsi="Times New Roman" w:cs="Times New Roman"/>
                <w:sz w:val="24"/>
                <w:szCs w:val="24"/>
              </w:rPr>
              <w:t>a. Predictors: (Constant), occupation status, Income level , education qualification, Duration of development</w:t>
            </w:r>
          </w:p>
        </w:tc>
      </w:tr>
      <w:tr w:rsidR="00BE4AF3" w:rsidRPr="00BE4AF3" w14:paraId="2E28E253" w14:textId="77777777" w:rsidTr="007E297E">
        <w:trPr>
          <w:cantSplit/>
          <w:jc w:val="center"/>
        </w:trPr>
        <w:tc>
          <w:tcPr>
            <w:tcW w:w="4416" w:type="dxa"/>
            <w:gridSpan w:val="4"/>
            <w:tcBorders>
              <w:top w:val="nil"/>
              <w:left w:val="nil"/>
              <w:bottom w:val="nil"/>
              <w:right w:val="nil"/>
            </w:tcBorders>
            <w:shd w:val="clear" w:color="auto" w:fill="FFFFFF"/>
            <w:tcMar>
              <w:top w:w="30" w:type="dxa"/>
              <w:left w:w="30" w:type="dxa"/>
              <w:bottom w:w="30" w:type="dxa"/>
              <w:right w:w="30" w:type="dxa"/>
            </w:tcMar>
          </w:tcPr>
          <w:p w14:paraId="0C36AFDF" w14:textId="77777777" w:rsidR="00BE4AF3" w:rsidRPr="00BE4AF3" w:rsidRDefault="00BE4AF3" w:rsidP="00BE4AF3">
            <w:pPr>
              <w:autoSpaceDE w:val="0"/>
              <w:autoSpaceDN w:val="0"/>
              <w:adjustRightInd w:val="0"/>
              <w:spacing w:after="0"/>
              <w:rPr>
                <w:rFonts w:ascii="Times New Roman" w:hAnsi="Times New Roman" w:cs="Times New Roman"/>
                <w:sz w:val="24"/>
                <w:szCs w:val="24"/>
              </w:rPr>
            </w:pPr>
            <w:r w:rsidRPr="00BE4AF3">
              <w:rPr>
                <w:rFonts w:ascii="Times New Roman" w:hAnsi="Times New Roman" w:cs="Times New Roman"/>
                <w:sz w:val="24"/>
                <w:szCs w:val="24"/>
              </w:rPr>
              <w:t>b. Dependent Variable: Size of building</w:t>
            </w:r>
          </w:p>
        </w:tc>
        <w:tc>
          <w:tcPr>
            <w:tcW w:w="1382" w:type="dxa"/>
            <w:tcBorders>
              <w:top w:val="nil"/>
              <w:left w:val="nil"/>
              <w:bottom w:val="nil"/>
              <w:right w:val="nil"/>
            </w:tcBorders>
            <w:shd w:val="clear" w:color="auto" w:fill="FFFFFF"/>
            <w:tcMar>
              <w:top w:w="30" w:type="dxa"/>
              <w:left w:w="30" w:type="dxa"/>
              <w:bottom w:w="30" w:type="dxa"/>
              <w:right w:w="30" w:type="dxa"/>
            </w:tcMar>
          </w:tcPr>
          <w:p w14:paraId="2905AE44" w14:textId="77777777" w:rsidR="00BE4AF3" w:rsidRPr="00BE4AF3" w:rsidRDefault="00BE4AF3" w:rsidP="00BE4AF3">
            <w:pPr>
              <w:autoSpaceDE w:val="0"/>
              <w:autoSpaceDN w:val="0"/>
              <w:adjustRightInd w:val="0"/>
              <w:spacing w:after="0"/>
              <w:rPr>
                <w:rFonts w:ascii="Times New Roman" w:hAnsi="Times New Roman" w:cs="Times New Roman"/>
                <w:sz w:val="24"/>
                <w:szCs w:val="24"/>
              </w:rPr>
            </w:pPr>
          </w:p>
        </w:tc>
        <w:tc>
          <w:tcPr>
            <w:tcW w:w="1000" w:type="dxa"/>
            <w:tcBorders>
              <w:top w:val="nil"/>
              <w:left w:val="nil"/>
              <w:bottom w:val="nil"/>
              <w:right w:val="nil"/>
            </w:tcBorders>
            <w:shd w:val="clear" w:color="auto" w:fill="FFFFFF"/>
            <w:tcMar>
              <w:top w:w="30" w:type="dxa"/>
              <w:left w:w="30" w:type="dxa"/>
              <w:bottom w:w="30" w:type="dxa"/>
              <w:right w:w="30" w:type="dxa"/>
            </w:tcMar>
          </w:tcPr>
          <w:p w14:paraId="59FB3FA4" w14:textId="77777777" w:rsidR="00BE4AF3" w:rsidRPr="00BE4AF3" w:rsidRDefault="00BE4AF3" w:rsidP="00BE4AF3">
            <w:pPr>
              <w:autoSpaceDE w:val="0"/>
              <w:autoSpaceDN w:val="0"/>
              <w:adjustRightInd w:val="0"/>
              <w:spacing w:after="0"/>
              <w:rPr>
                <w:rFonts w:ascii="Times New Roman" w:hAnsi="Times New Roman" w:cs="Times New Roman"/>
                <w:sz w:val="24"/>
                <w:szCs w:val="24"/>
              </w:rPr>
            </w:pPr>
          </w:p>
        </w:tc>
        <w:tc>
          <w:tcPr>
            <w:tcW w:w="1000" w:type="dxa"/>
            <w:tcBorders>
              <w:top w:val="nil"/>
              <w:left w:val="nil"/>
              <w:bottom w:val="nil"/>
              <w:right w:val="nil"/>
            </w:tcBorders>
            <w:shd w:val="clear" w:color="auto" w:fill="FFFFFF"/>
            <w:tcMar>
              <w:top w:w="30" w:type="dxa"/>
              <w:left w:w="30" w:type="dxa"/>
              <w:bottom w:w="30" w:type="dxa"/>
              <w:right w:w="30" w:type="dxa"/>
            </w:tcMar>
          </w:tcPr>
          <w:p w14:paraId="16C567B9" w14:textId="77777777" w:rsidR="00BE4AF3" w:rsidRPr="00BE4AF3" w:rsidRDefault="00BE4AF3" w:rsidP="00BE4AF3">
            <w:pPr>
              <w:autoSpaceDE w:val="0"/>
              <w:autoSpaceDN w:val="0"/>
              <w:adjustRightInd w:val="0"/>
              <w:spacing w:after="0"/>
              <w:rPr>
                <w:rFonts w:ascii="Times New Roman" w:hAnsi="Times New Roman" w:cs="Times New Roman"/>
                <w:sz w:val="24"/>
                <w:szCs w:val="24"/>
              </w:rPr>
            </w:pPr>
          </w:p>
        </w:tc>
      </w:tr>
    </w:tbl>
    <w:p w14:paraId="717F53E1" w14:textId="77777777" w:rsidR="00BE4AF3" w:rsidRPr="00BE4AF3" w:rsidRDefault="00BE4AF3" w:rsidP="007E297E">
      <w:pPr>
        <w:autoSpaceDE w:val="0"/>
        <w:autoSpaceDN w:val="0"/>
        <w:adjustRightInd w:val="0"/>
        <w:spacing w:after="0"/>
        <w:jc w:val="center"/>
        <w:rPr>
          <w:rFonts w:ascii="Times New Roman" w:hAnsi="Times New Roman" w:cs="Times New Roman"/>
          <w:sz w:val="24"/>
          <w:szCs w:val="24"/>
        </w:rPr>
      </w:pPr>
      <w:r w:rsidRPr="00BE4AF3">
        <w:rPr>
          <w:rFonts w:ascii="Times New Roman" w:hAnsi="Times New Roman" w:cs="Times New Roman"/>
          <w:sz w:val="24"/>
          <w:szCs w:val="24"/>
        </w:rPr>
        <w:t>Source: Author’s Field Survey, 2025.</w:t>
      </w:r>
    </w:p>
    <w:p w14:paraId="3CC1D4C0" w14:textId="77777777" w:rsidR="00BE4AF3" w:rsidRPr="00BE4AF3" w:rsidRDefault="00BE4AF3" w:rsidP="007E297E">
      <w:pPr>
        <w:autoSpaceDE w:val="0"/>
        <w:autoSpaceDN w:val="0"/>
        <w:adjustRightInd w:val="0"/>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 xml:space="preserve">Discussion </w:t>
      </w:r>
    </w:p>
    <w:p w14:paraId="45E064DE" w14:textId="322D2831" w:rsidR="007E297E" w:rsidRDefault="00BE4AF3" w:rsidP="007E297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sizes of the buildings were dependent variables while monthly income, primary occupation, duration of development, and education qualification were the independent variable. Multiple regressions were applied to test for the significant difference between size of building and reasons for micro housing development. Table 10 shows that independent variable R= 044.3 is not a through reflection while micro housing is been developed and R</w:t>
      </w:r>
      <w:r w:rsidRPr="00BE4AF3">
        <w:rPr>
          <w:rFonts w:ascii="Times New Roman" w:hAnsi="Times New Roman" w:cs="Times New Roman"/>
          <w:sz w:val="24"/>
          <w:szCs w:val="24"/>
          <w:vertAlign w:val="superscript"/>
        </w:rPr>
        <w:t>2</w:t>
      </w:r>
      <w:r w:rsidRPr="00BE4AF3">
        <w:rPr>
          <w:rFonts w:ascii="Times New Roman" w:hAnsi="Times New Roman" w:cs="Times New Roman"/>
          <w:sz w:val="24"/>
          <w:szCs w:val="24"/>
        </w:rPr>
        <w:t>= 019.6. It therefore implies that there is a weak positive relationship as established by the four independent variables in relationship with the size of micro housing. The level of relationship is substantive low and F- test also shows that the observed relationship is significant. The study reveals that size of the micro housing is 46m</w:t>
      </w:r>
      <w:r w:rsidRPr="00BE4AF3">
        <w:rPr>
          <w:rFonts w:ascii="Times New Roman" w:hAnsi="Times New Roman" w:cs="Times New Roman"/>
          <w:sz w:val="24"/>
          <w:szCs w:val="24"/>
          <w:vertAlign w:val="superscript"/>
        </w:rPr>
        <w:t>2</w:t>
      </w:r>
      <w:r w:rsidRPr="00BE4AF3">
        <w:rPr>
          <w:rFonts w:ascii="Times New Roman" w:hAnsi="Times New Roman" w:cs="Times New Roman"/>
          <w:sz w:val="24"/>
          <w:szCs w:val="24"/>
        </w:rPr>
        <w:t xml:space="preserve"> while the standard deviation is 17m</w:t>
      </w:r>
      <w:r w:rsidRPr="00BE4AF3">
        <w:rPr>
          <w:rFonts w:ascii="Times New Roman" w:hAnsi="Times New Roman" w:cs="Times New Roman"/>
          <w:sz w:val="24"/>
          <w:szCs w:val="24"/>
          <w:vertAlign w:val="superscript"/>
        </w:rPr>
        <w:t>2</w:t>
      </w:r>
      <w:r w:rsidRPr="00BE4AF3">
        <w:rPr>
          <w:rFonts w:ascii="Times New Roman" w:hAnsi="Times New Roman" w:cs="Times New Roman"/>
          <w:sz w:val="24"/>
          <w:szCs w:val="24"/>
        </w:rPr>
        <w:t>. Larger proportions of the households (58) are living in an extreme condition below the mean size of micro housing. The sizes of the plot are too small as only 39 percent are above the standard plot size of 225 m</w:t>
      </w:r>
      <w:r w:rsidRPr="00BE4AF3">
        <w:rPr>
          <w:rFonts w:ascii="Times New Roman" w:hAnsi="Times New Roman" w:cs="Times New Roman"/>
          <w:sz w:val="24"/>
          <w:szCs w:val="24"/>
          <w:vertAlign w:val="superscript"/>
        </w:rPr>
        <w:t>2</w:t>
      </w:r>
      <w:r w:rsidRPr="00BE4AF3">
        <w:rPr>
          <w:rFonts w:ascii="Times New Roman" w:hAnsi="Times New Roman" w:cs="Times New Roman"/>
          <w:sz w:val="24"/>
          <w:szCs w:val="24"/>
        </w:rPr>
        <w:t xml:space="preserve"> for </w:t>
      </w:r>
      <w:r w:rsidR="007E297E" w:rsidRPr="00BE4AF3">
        <w:rPr>
          <w:rFonts w:ascii="Times New Roman" w:hAnsi="Times New Roman" w:cs="Times New Roman"/>
          <w:sz w:val="24"/>
          <w:szCs w:val="24"/>
        </w:rPr>
        <w:t>low-income</w:t>
      </w:r>
      <w:r w:rsidRPr="00BE4AF3">
        <w:rPr>
          <w:rFonts w:ascii="Times New Roman" w:hAnsi="Times New Roman" w:cs="Times New Roman"/>
          <w:sz w:val="24"/>
          <w:szCs w:val="24"/>
        </w:rPr>
        <w:t xml:space="preserve"> earners.</w:t>
      </w:r>
    </w:p>
    <w:p w14:paraId="7503C657" w14:textId="77777777" w:rsidR="007E297E" w:rsidRDefault="007E297E" w:rsidP="007E297E">
      <w:pPr>
        <w:spacing w:after="0" w:line="240" w:lineRule="auto"/>
        <w:jc w:val="both"/>
        <w:rPr>
          <w:rFonts w:ascii="Times New Roman" w:hAnsi="Times New Roman" w:cs="Times New Roman"/>
          <w:sz w:val="24"/>
          <w:szCs w:val="24"/>
        </w:rPr>
      </w:pPr>
    </w:p>
    <w:p w14:paraId="210E23D7" w14:textId="4C8A69A5" w:rsidR="00BE4AF3" w:rsidRPr="007E297E" w:rsidRDefault="00BE4AF3" w:rsidP="007E297E">
      <w:pPr>
        <w:spacing w:after="0" w:line="240" w:lineRule="auto"/>
        <w:jc w:val="both"/>
        <w:rPr>
          <w:rFonts w:ascii="Times New Roman" w:hAnsi="Times New Roman" w:cs="Times New Roman"/>
          <w:sz w:val="24"/>
          <w:szCs w:val="24"/>
        </w:rPr>
      </w:pPr>
      <w:r w:rsidRPr="00BE4AF3">
        <w:rPr>
          <w:rFonts w:ascii="Times New Roman" w:hAnsi="Times New Roman" w:cs="Times New Roman"/>
          <w:b/>
          <w:sz w:val="24"/>
          <w:szCs w:val="24"/>
        </w:rPr>
        <w:t>Conclusion</w:t>
      </w:r>
    </w:p>
    <w:p w14:paraId="3681ACC6" w14:textId="77777777" w:rsidR="00BE4AF3" w:rsidRPr="00BE4AF3" w:rsidRDefault="00BE4AF3" w:rsidP="007E297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The rapid pace of urbanization is evident at peri-urban neighborhoods in study area which are characterized with very small housing units typically less than 46.5 m² in size and often lack basic facilities and services such as water supply, electricity, proper road infrastructure, toilets, and kitchens. Findings from this study indicate that there is no significant relationship between housing size and income levels, or with other socio-economic variables. It was also observed that the majority of residents living in micro housing units are low-income earners without stable sources of income. </w:t>
      </w:r>
    </w:p>
    <w:p w14:paraId="27CDEE37" w14:textId="77777777" w:rsidR="00BE4AF3" w:rsidRPr="00BE4AF3" w:rsidRDefault="00BE4AF3" w:rsidP="007E297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This study recommends that unavailability of land and high land prices are major challenges faced by most households in urban area. The exaggerated prices caused owning a house to be no longer considered a necessity by the low-income society. Importantly, the findings acknowledged micro housing as affordable housing options that effectively address the above issues. </w:t>
      </w:r>
    </w:p>
    <w:p w14:paraId="223875FF" w14:textId="77777777" w:rsidR="00BE4AF3" w:rsidRPr="00BE4AF3" w:rsidRDefault="00BE4AF3" w:rsidP="007E297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study also reveals that basic facilities and services in the selected peri-urban neighborhoods are severely lacking or completely absent. Stakeholders should intervene by either upgrading existing infrastructure or provide essential services currently unavailable.</w:t>
      </w:r>
    </w:p>
    <w:p w14:paraId="6B136C16" w14:textId="77777777" w:rsidR="00BE4AF3" w:rsidRPr="00BE4AF3" w:rsidRDefault="00BE4AF3" w:rsidP="007E297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The combination of low-income levels and unstable employment among residents has contributed to the rise of micro housing in these areas. To address this, efforts should be made to improve household living conditions by encouraging income diversification, particularly through investment in agriculture, as a means of enhancing productivity and improving housing standards sustainably.</w:t>
      </w:r>
    </w:p>
    <w:p w14:paraId="63266786" w14:textId="77777777" w:rsidR="00BE4AF3" w:rsidRPr="00BE4AF3" w:rsidRDefault="00BE4AF3" w:rsidP="007E297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Micro housing as observed in the study area, is closely tied to poverty evident in the small size of dwellings, limited land availability, and inadequate access to basic services. Therefore, government policies should focus on improving the informal sector where much of the urban poor population is concentrated, while also implementing targeted strategies to address unemployment.</w:t>
      </w:r>
    </w:p>
    <w:p w14:paraId="535E704C" w14:textId="77777777" w:rsidR="00BE4AF3" w:rsidRPr="00BE4AF3" w:rsidRDefault="00BE4AF3" w:rsidP="007E297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lastRenderedPageBreak/>
        <w:t>Most residents in peri-urban areas acquire land informally from traditional landholders at lower prices due to their inability to afford titled land. To address this, both government and non-governmental organizations (NGOs) should support the urban poor through the development of inclusive land policies, subsidized building materials, and improved access to affordable loan facilities. These initiatives would help ensure that the urban poor can secure suitable, legal, and sustainable housing solutions.</w:t>
      </w:r>
    </w:p>
    <w:p w14:paraId="73889B33" w14:textId="77777777" w:rsidR="007E297E" w:rsidRDefault="007E297E" w:rsidP="007E297E">
      <w:pPr>
        <w:spacing w:after="0" w:line="240" w:lineRule="auto"/>
        <w:rPr>
          <w:rFonts w:ascii="Times New Roman" w:hAnsi="Times New Roman" w:cs="Times New Roman"/>
          <w:b/>
          <w:sz w:val="24"/>
          <w:szCs w:val="24"/>
        </w:rPr>
      </w:pPr>
    </w:p>
    <w:p w14:paraId="49D8C610" w14:textId="6341EF5C" w:rsidR="00BE4AF3" w:rsidRPr="00BE4AF3" w:rsidRDefault="00BE4AF3" w:rsidP="007E297E">
      <w:pPr>
        <w:spacing w:after="0" w:line="240" w:lineRule="auto"/>
        <w:rPr>
          <w:rFonts w:ascii="Times New Roman" w:hAnsi="Times New Roman" w:cs="Times New Roman"/>
          <w:b/>
          <w:sz w:val="24"/>
          <w:szCs w:val="24"/>
        </w:rPr>
      </w:pPr>
      <w:r w:rsidRPr="00BE4AF3">
        <w:rPr>
          <w:rFonts w:ascii="Times New Roman" w:hAnsi="Times New Roman" w:cs="Times New Roman"/>
          <w:b/>
          <w:sz w:val="24"/>
          <w:szCs w:val="24"/>
        </w:rPr>
        <w:t>References</w:t>
      </w:r>
    </w:p>
    <w:p w14:paraId="1C3320D7" w14:textId="77777777" w:rsidR="00BE4AF3" w:rsidRPr="00BE4AF3" w:rsidRDefault="00BE4AF3" w:rsidP="007E297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Abdullahi, O. L. (2021). Social Welfare and Access to Housing Among the Middle and Low-</w:t>
      </w:r>
      <w:r w:rsidRPr="00BE4AF3">
        <w:rPr>
          <w:rFonts w:ascii="Times New Roman" w:hAnsi="Times New Roman" w:cs="Times New Roman"/>
          <w:sz w:val="24"/>
          <w:szCs w:val="24"/>
        </w:rPr>
        <w:tab/>
        <w:t xml:space="preserve">income Earners in Nigeria: A Review of Frameworks for Housing Delivery. Public </w:t>
      </w:r>
      <w:r w:rsidRPr="00BE4AF3">
        <w:rPr>
          <w:rFonts w:ascii="Times New Roman" w:hAnsi="Times New Roman" w:cs="Times New Roman"/>
          <w:sz w:val="24"/>
          <w:szCs w:val="24"/>
        </w:rPr>
        <w:tab/>
        <w:t>Policy and Administration Research. doi, 10.</w:t>
      </w:r>
    </w:p>
    <w:p w14:paraId="707FA774" w14:textId="264C1DA3" w:rsidR="00BE4AF3" w:rsidRPr="00BE4AF3" w:rsidRDefault="00BE4AF3" w:rsidP="007E297E">
      <w:pPr>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 xml:space="preserve">Ademiluyi, I. A. (2010). Public housing delivery strategies in Nigeria: A historical perspective of policies and programmes. </w:t>
      </w:r>
      <w:r w:rsidRPr="00BE4AF3">
        <w:rPr>
          <w:rFonts w:ascii="Times New Roman" w:hAnsi="Times New Roman" w:cs="Times New Roman"/>
          <w:i/>
          <w:sz w:val="24"/>
          <w:szCs w:val="24"/>
        </w:rPr>
        <w:t>Journal of sustainable development in Africa, 12(6), 153-161.</w:t>
      </w:r>
    </w:p>
    <w:p w14:paraId="6C47F4B0" w14:textId="77777777" w:rsidR="00BE4AF3" w:rsidRPr="00BE4AF3" w:rsidRDefault="00BE4AF3" w:rsidP="007E297E">
      <w:pPr>
        <w:autoSpaceDE w:val="0"/>
        <w:autoSpaceDN w:val="0"/>
        <w:adjustRightInd w:val="0"/>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Agbola, T. (2005). The Housing Debacle: Inaugural lecture series of University of Ibadan.Presented at the faculty of social sciences. Ibadan, New World Press.</w:t>
      </w:r>
    </w:p>
    <w:p w14:paraId="1F830557" w14:textId="77777777" w:rsidR="00BE4AF3" w:rsidRPr="00BE4AF3" w:rsidRDefault="00BE4AF3" w:rsidP="007E297E">
      <w:pPr>
        <w:autoSpaceDE w:val="0"/>
        <w:autoSpaceDN w:val="0"/>
        <w:adjustRightInd w:val="0"/>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AHA, 2022. Elements for the Debate on Affordable Housing: global situation, determinants and barriers. Madrid, Spain</w:t>
      </w:r>
    </w:p>
    <w:p w14:paraId="0070A8C3" w14:textId="77777777" w:rsidR="00BE4AF3" w:rsidRPr="00BE4AF3" w:rsidRDefault="00BE4AF3" w:rsidP="007E297E">
      <w:pPr>
        <w:autoSpaceDE w:val="0"/>
        <w:autoSpaceDN w:val="0"/>
        <w:adjustRightInd w:val="0"/>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Ahmed, Y., &amp; Sipan, I. (2019). Public-private partnership as a determinant factor of affordable housing in Abuja Nigeria. The International Archives of the Photogrammetry, Remote Sensing and Spatial Information Sciences, 42, 71-78.</w:t>
      </w:r>
    </w:p>
    <w:p w14:paraId="7D06DF42" w14:textId="77777777" w:rsidR="00BE4AF3" w:rsidRPr="00BE4AF3" w:rsidRDefault="00BE4AF3" w:rsidP="007E297E">
      <w:pPr>
        <w:autoSpaceDE w:val="0"/>
        <w:autoSpaceDN w:val="0"/>
        <w:adjustRightInd w:val="0"/>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 xml:space="preserve">Bedemen, E. (2012). Housing preservation and development, New York Times, News from the blue room. Retrieve from </w:t>
      </w:r>
      <w:hyperlink r:id="rId243" w:history="1">
        <w:r w:rsidRPr="00BE4AF3">
          <w:rPr>
            <w:rStyle w:val="Hyperlink"/>
            <w:rFonts w:ascii="Times New Roman" w:hAnsi="Times New Roman" w:cs="Times New Roman"/>
            <w:color w:val="auto"/>
            <w:sz w:val="24"/>
            <w:szCs w:val="24"/>
          </w:rPr>
          <w:t>http://www.nycgov/../pr257-12.html</w:t>
        </w:r>
      </w:hyperlink>
      <w:r w:rsidRPr="00BE4AF3">
        <w:rPr>
          <w:rFonts w:ascii="Times New Roman" w:hAnsi="Times New Roman" w:cs="Times New Roman"/>
          <w:sz w:val="24"/>
          <w:szCs w:val="24"/>
        </w:rPr>
        <w:t>.</w:t>
      </w:r>
    </w:p>
    <w:p w14:paraId="0BAFDD71" w14:textId="77777777" w:rsidR="00BE4AF3" w:rsidRPr="00BE4AF3" w:rsidRDefault="00BE4AF3" w:rsidP="007E297E">
      <w:pPr>
        <w:autoSpaceDE w:val="0"/>
        <w:autoSpaceDN w:val="0"/>
        <w:adjustRightInd w:val="0"/>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 xml:space="preserve">Dan Cavallari. (2012). What is micro housing? </w:t>
      </w:r>
      <w:hyperlink r:id="rId244" w:history="1">
        <w:r w:rsidRPr="00BE4AF3">
          <w:rPr>
            <w:rStyle w:val="Hyperlink"/>
            <w:rFonts w:ascii="Times New Roman" w:hAnsi="Times New Roman" w:cs="Times New Roman"/>
            <w:color w:val="auto"/>
            <w:sz w:val="24"/>
            <w:szCs w:val="24"/>
          </w:rPr>
          <w:t>www.whatismicrohousing.ng</w:t>
        </w:r>
      </w:hyperlink>
    </w:p>
    <w:p w14:paraId="74CEFDCE" w14:textId="77777777" w:rsidR="00BE4AF3" w:rsidRPr="00BE4AF3" w:rsidRDefault="00BE4AF3" w:rsidP="007E297E">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Ibem, E. O., &amp; Amole, D. (2013). Subjective life satisfaction in public housing in urban areas of </w:t>
      </w:r>
      <w:r w:rsidRPr="00BE4AF3">
        <w:rPr>
          <w:rFonts w:ascii="Times New Roman" w:hAnsi="Times New Roman" w:cs="Times New Roman"/>
          <w:sz w:val="24"/>
          <w:szCs w:val="24"/>
        </w:rPr>
        <w:tab/>
        <w:t xml:space="preserve">Ogun </w:t>
      </w:r>
      <w:r w:rsidRPr="00BE4AF3">
        <w:rPr>
          <w:rFonts w:ascii="Times New Roman" w:hAnsi="Times New Roman" w:cs="Times New Roman"/>
          <w:sz w:val="24"/>
          <w:szCs w:val="24"/>
        </w:rPr>
        <w:tab/>
        <w:t>State,</w:t>
      </w:r>
    </w:p>
    <w:p w14:paraId="43EBCC29" w14:textId="77777777" w:rsidR="00BE4AF3" w:rsidRPr="00BE4AF3" w:rsidRDefault="00BE4AF3" w:rsidP="007E297E">
      <w:pPr>
        <w:autoSpaceDE w:val="0"/>
        <w:autoSpaceDN w:val="0"/>
        <w:adjustRightInd w:val="0"/>
        <w:spacing w:after="0" w:line="240" w:lineRule="auto"/>
        <w:ind w:left="720" w:hanging="720"/>
        <w:jc w:val="both"/>
        <w:rPr>
          <w:rFonts w:ascii="Times New Roman" w:hAnsi="Times New Roman" w:cs="Times New Roman"/>
          <w:color w:val="070000"/>
          <w:sz w:val="24"/>
          <w:szCs w:val="24"/>
          <w:shd w:val="clear" w:color="auto" w:fill="FFFFFF"/>
        </w:rPr>
      </w:pPr>
      <w:r w:rsidRPr="00BE4AF3">
        <w:rPr>
          <w:rFonts w:ascii="Times New Roman" w:hAnsi="Times New Roman" w:cs="Times New Roman"/>
          <w:color w:val="070000"/>
          <w:sz w:val="24"/>
          <w:szCs w:val="24"/>
          <w:shd w:val="clear" w:color="auto" w:fill="FFFFFF"/>
        </w:rPr>
        <w:t>Jolaoso, B. A., Musa, N. A., &amp; Oriola, O. A. (2012). National housing trust fund and low-income housing delivery in Nigeria: a discourse. Journal of Emerging Trends in Economics and Management Sciences, 3(5), 429-438.</w:t>
      </w:r>
    </w:p>
    <w:p w14:paraId="5F407E74" w14:textId="5119B8AD" w:rsidR="00BE4AF3" w:rsidRPr="00BE4AF3" w:rsidRDefault="00BE4AF3" w:rsidP="007E297E">
      <w:pPr>
        <w:autoSpaceDE w:val="0"/>
        <w:autoSpaceDN w:val="0"/>
        <w:adjustRightInd w:val="0"/>
        <w:spacing w:after="0" w:line="240" w:lineRule="auto"/>
        <w:ind w:left="720" w:hanging="720"/>
        <w:jc w:val="both"/>
        <w:rPr>
          <w:rFonts w:ascii="Times New Roman" w:hAnsi="Times New Roman" w:cs="Times New Roman"/>
          <w:color w:val="070000"/>
          <w:sz w:val="24"/>
          <w:szCs w:val="24"/>
          <w:shd w:val="clear" w:color="auto" w:fill="FFFFFF"/>
        </w:rPr>
      </w:pPr>
      <w:r w:rsidRPr="00BE4AF3">
        <w:rPr>
          <w:rFonts w:ascii="Times New Roman" w:hAnsi="Times New Roman" w:cs="Times New Roman"/>
          <w:color w:val="070000"/>
          <w:sz w:val="24"/>
          <w:szCs w:val="24"/>
          <w:shd w:val="clear" w:color="auto" w:fill="FFFFFF"/>
        </w:rPr>
        <w:t>Kavishe, N., Chileshe, N., &amp; Jefferson, I. (2019). Public–private partnerships in Tanzanian affordable housing schemes: Policy and regulatory issues, pitfalls and solutions. Built Environment Project and Asset Management, 9(2), 233-247</w:t>
      </w:r>
    </w:p>
    <w:p w14:paraId="484002BB" w14:textId="77777777" w:rsidR="00BE4AF3" w:rsidRPr="00BE4AF3" w:rsidRDefault="00BE4AF3" w:rsidP="007E297E">
      <w:pPr>
        <w:autoSpaceDE w:val="0"/>
        <w:autoSpaceDN w:val="0"/>
        <w:adjustRightInd w:val="0"/>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Moore, A.E., 2019. Housing Deficit in Nigeria: Issues, Challenges and Prospects, Economic and Financial Review, 57(4), pp. 177–188</w:t>
      </w:r>
    </w:p>
    <w:p w14:paraId="5AB58A90" w14:textId="77777777" w:rsidR="00BE4AF3" w:rsidRPr="00BE4AF3" w:rsidRDefault="00BE4AF3" w:rsidP="007E297E">
      <w:pPr>
        <w:autoSpaceDE w:val="0"/>
        <w:autoSpaceDN w:val="0"/>
        <w:adjustRightInd w:val="0"/>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Niger State Ministry of Land and Housing with modification (2025).</w:t>
      </w:r>
    </w:p>
    <w:p w14:paraId="01918CDC" w14:textId="77777777" w:rsidR="00BE4AF3" w:rsidRPr="00BE4AF3" w:rsidRDefault="00BE4AF3" w:rsidP="007E297E">
      <w:pPr>
        <w:autoSpaceDE w:val="0"/>
        <w:autoSpaceDN w:val="0"/>
        <w:adjustRightInd w:val="0"/>
        <w:spacing w:after="0" w:line="240" w:lineRule="auto"/>
        <w:ind w:left="720" w:hanging="720"/>
        <w:jc w:val="both"/>
        <w:rPr>
          <w:rFonts w:ascii="Times New Roman" w:hAnsi="Times New Roman" w:cs="Times New Roman"/>
          <w:sz w:val="24"/>
          <w:szCs w:val="24"/>
        </w:rPr>
      </w:pPr>
      <w:r w:rsidRPr="00BE4AF3">
        <w:rPr>
          <w:rFonts w:ascii="Times New Roman" w:hAnsi="Times New Roman" w:cs="Times New Roman"/>
          <w:sz w:val="24"/>
          <w:szCs w:val="24"/>
        </w:rPr>
        <w:t>Oluwafemi, O. (2010). Urban poverty and environmental condition in informal settlement of Ajegunle, lagos, Nigeria. Review Paper, Cities for Everyone, Liveable, Helathy and Prosperous.Real Corps.</w:t>
      </w:r>
    </w:p>
    <w:p w14:paraId="47D57F88" w14:textId="77777777" w:rsidR="00BE4AF3" w:rsidRPr="00BE4AF3" w:rsidRDefault="00BE4AF3" w:rsidP="007E297E">
      <w:pPr>
        <w:autoSpaceDE w:val="0"/>
        <w:autoSpaceDN w:val="0"/>
        <w:adjustRightInd w:val="0"/>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Padley, M., Marshall, L. and Valadez-Martinez, L., 2019. Defining and measuring housing </w:t>
      </w:r>
      <w:r w:rsidRPr="00BE4AF3">
        <w:rPr>
          <w:rFonts w:ascii="Times New Roman" w:hAnsi="Times New Roman" w:cs="Times New Roman"/>
          <w:sz w:val="24"/>
          <w:szCs w:val="24"/>
        </w:rPr>
        <w:tab/>
        <w:t>affordability using the Minimum Income Standard, Housing Studies, 34(8), pp. 1307–</w:t>
      </w:r>
      <w:r w:rsidRPr="00BE4AF3">
        <w:rPr>
          <w:rFonts w:ascii="Times New Roman" w:hAnsi="Times New Roman" w:cs="Times New Roman"/>
          <w:sz w:val="24"/>
          <w:szCs w:val="24"/>
        </w:rPr>
        <w:tab/>
        <w:t>1329.</w:t>
      </w:r>
    </w:p>
    <w:p w14:paraId="648A534E" w14:textId="77777777" w:rsidR="00BE4AF3" w:rsidRPr="00BE4AF3" w:rsidRDefault="00BE4AF3" w:rsidP="007E297E">
      <w:pPr>
        <w:autoSpaceDE w:val="0"/>
        <w:autoSpaceDN w:val="0"/>
        <w:adjustRightInd w:val="0"/>
        <w:spacing w:after="0" w:line="240" w:lineRule="auto"/>
        <w:ind w:left="709" w:hanging="709"/>
        <w:jc w:val="both"/>
        <w:rPr>
          <w:rFonts w:ascii="Times New Roman" w:hAnsi="Times New Roman" w:cs="Times New Roman"/>
          <w:sz w:val="24"/>
          <w:szCs w:val="24"/>
        </w:rPr>
      </w:pPr>
      <w:r w:rsidRPr="00BE4AF3">
        <w:rPr>
          <w:rFonts w:ascii="Times New Roman" w:hAnsi="Times New Roman" w:cs="Times New Roman"/>
          <w:sz w:val="24"/>
          <w:szCs w:val="24"/>
        </w:rPr>
        <w:t>Tajudeen O. Ajayi, Olawale W. Adeaga, Kehinde T. Odemuyiwa, Architecture Catalyzing Sustainable Low-Income Housing for SDG-11 in Nigeria, Architecture Research, Vol. 13 No. 2, 2023, pp. 45-58. doi: 10.5923/j.arch.20231302.02.</w:t>
      </w:r>
    </w:p>
    <w:p w14:paraId="29AAC6E8" w14:textId="77777777" w:rsidR="00BE4AF3" w:rsidRPr="00BE4AF3" w:rsidRDefault="00BE4AF3" w:rsidP="007E297E">
      <w:pPr>
        <w:spacing w:after="0" w:line="240" w:lineRule="auto"/>
        <w:jc w:val="both"/>
        <w:rPr>
          <w:rFonts w:ascii="Times New Roman" w:hAnsi="Times New Roman" w:cs="Times New Roman"/>
          <w:sz w:val="24"/>
          <w:szCs w:val="24"/>
        </w:rPr>
      </w:pPr>
      <w:r w:rsidRPr="00BE4AF3">
        <w:rPr>
          <w:rFonts w:ascii="Times New Roman" w:hAnsi="Times New Roman" w:cs="Times New Roman"/>
          <w:sz w:val="24"/>
          <w:szCs w:val="24"/>
        </w:rPr>
        <w:t xml:space="preserve">UN world urbanization </w:t>
      </w:r>
      <w:hyperlink r:id="rId245" w:history="1">
        <w:r w:rsidRPr="00BE4AF3">
          <w:rPr>
            <w:rStyle w:val="Hyperlink"/>
            <w:rFonts w:ascii="Times New Roman" w:hAnsi="Times New Roman" w:cs="Times New Roman"/>
            <w:sz w:val="24"/>
            <w:szCs w:val="24"/>
          </w:rPr>
          <w:t>www.macrotrend</w:t>
        </w:r>
      </w:hyperlink>
      <w:r w:rsidRPr="00BE4AF3">
        <w:rPr>
          <w:rFonts w:ascii="Times New Roman" w:hAnsi="Times New Roman" w:cs="Times New Roman"/>
          <w:sz w:val="24"/>
          <w:szCs w:val="24"/>
        </w:rPr>
        <w:t xml:space="preserve"> (2025).</w:t>
      </w:r>
    </w:p>
    <w:p w14:paraId="179D7785" w14:textId="77777777" w:rsidR="00BE4AF3" w:rsidRPr="00BE4AF3" w:rsidRDefault="00BE4AF3" w:rsidP="007E297E">
      <w:pPr>
        <w:spacing w:after="0" w:line="240" w:lineRule="auto"/>
        <w:jc w:val="both"/>
        <w:rPr>
          <w:rFonts w:ascii="Times New Roman" w:hAnsi="Times New Roman" w:cs="Times New Roman"/>
          <w:b/>
          <w:sz w:val="24"/>
          <w:szCs w:val="24"/>
        </w:rPr>
      </w:pPr>
      <w:r w:rsidRPr="00BE4AF3">
        <w:rPr>
          <w:rFonts w:ascii="Times New Roman" w:hAnsi="Times New Roman" w:cs="Times New Roman"/>
          <w:color w:val="070000"/>
          <w:sz w:val="24"/>
          <w:szCs w:val="24"/>
          <w:shd w:val="clear" w:color="auto" w:fill="FFFFFF"/>
        </w:rPr>
        <w:t xml:space="preserve">UN-Habitat (2016). World Cities Report 2016: Urbanization and development - Emerging </w:t>
      </w:r>
      <w:r w:rsidRPr="00BE4AF3">
        <w:rPr>
          <w:rFonts w:ascii="Times New Roman" w:hAnsi="Times New Roman" w:cs="Times New Roman"/>
          <w:color w:val="070000"/>
          <w:sz w:val="24"/>
          <w:szCs w:val="24"/>
          <w:shd w:val="clear" w:color="auto" w:fill="FFFFFF"/>
        </w:rPr>
        <w:tab/>
        <w:t>futures</w:t>
      </w:r>
    </w:p>
    <w:p w14:paraId="0EFED680" w14:textId="3FC60A29" w:rsidR="00BE4AF3" w:rsidRPr="00BE4AF3" w:rsidRDefault="00BE4AF3" w:rsidP="007E297E">
      <w:pPr>
        <w:spacing w:after="0" w:line="240" w:lineRule="auto"/>
        <w:rPr>
          <w:rFonts w:ascii="Times New Roman" w:eastAsia="Times New Roman" w:hAnsi="Times New Roman" w:cs="Times New Roman"/>
          <w:color w:val="070000"/>
          <w:sz w:val="24"/>
          <w:szCs w:val="24"/>
        </w:rPr>
      </w:pPr>
      <w:r w:rsidRPr="00BE4AF3">
        <w:rPr>
          <w:rFonts w:ascii="Times New Roman" w:eastAsia="Times New Roman" w:hAnsi="Times New Roman" w:cs="Times New Roman"/>
          <w:color w:val="070000"/>
          <w:sz w:val="24"/>
          <w:szCs w:val="24"/>
        </w:rPr>
        <w:t>Wilson, W. and Barton, C., 2022. Number CBP07747 Image Credits. London</w:t>
      </w:r>
      <w:r w:rsidRPr="00BE4AF3">
        <w:rPr>
          <w:rFonts w:ascii="Times New Roman" w:eastAsia="Times New Roman" w:hAnsi="Times New Roman" w:cs="Times New Roman"/>
          <w:color w:val="070000"/>
          <w:sz w:val="24"/>
          <w:szCs w:val="24"/>
        </w:rPr>
        <w:br/>
        <w:t>World Bank (2020). The World Bank in Nigeria.</w:t>
      </w:r>
      <w:hyperlink r:id="rId246" w:history="1">
        <w:r w:rsidR="00CC7AB1" w:rsidRPr="00373AB2">
          <w:rPr>
            <w:rStyle w:val="Hyperlink"/>
            <w:rFonts w:ascii="Times New Roman" w:eastAsia="Times New Roman" w:hAnsi="Times New Roman" w:cs="Times New Roman"/>
            <w:sz w:val="24"/>
            <w:szCs w:val="24"/>
          </w:rPr>
          <w:t>https://www.worldbank.org/en/country/nigeria/</w:t>
        </w:r>
      </w:hyperlink>
      <w:r w:rsidRPr="00BE4AF3">
        <w:rPr>
          <w:rFonts w:ascii="Times New Roman" w:eastAsia="Times New Roman" w:hAnsi="Times New Roman" w:cs="Times New Roman"/>
          <w:color w:val="070000"/>
          <w:sz w:val="24"/>
          <w:szCs w:val="24"/>
        </w:rPr>
        <w:t xml:space="preserve"> </w:t>
      </w:r>
    </w:p>
    <w:p w14:paraId="6177B448" w14:textId="77777777" w:rsidR="009436ED" w:rsidRPr="00BE4AF3" w:rsidRDefault="009436ED" w:rsidP="00ED4768">
      <w:pPr>
        <w:autoSpaceDE w:val="0"/>
        <w:autoSpaceDN w:val="0"/>
        <w:adjustRightInd w:val="0"/>
        <w:spacing w:after="0" w:line="240" w:lineRule="auto"/>
        <w:jc w:val="both"/>
        <w:rPr>
          <w:rFonts w:ascii="Times New Roman" w:hAnsi="Times New Roman" w:cs="Times New Roman"/>
          <w:color w:val="000000"/>
          <w:sz w:val="24"/>
          <w:szCs w:val="24"/>
        </w:rPr>
      </w:pPr>
    </w:p>
    <w:p w14:paraId="6597EC1E" w14:textId="77777777" w:rsidR="004D1527" w:rsidRPr="00BE4AF3" w:rsidRDefault="004D1527" w:rsidP="004D1527">
      <w:pPr>
        <w:autoSpaceDE w:val="0"/>
        <w:autoSpaceDN w:val="0"/>
        <w:adjustRightInd w:val="0"/>
        <w:spacing w:after="0" w:line="240" w:lineRule="auto"/>
        <w:jc w:val="center"/>
        <w:rPr>
          <w:rFonts w:ascii="Times New Roman" w:hAnsi="Times New Roman" w:cs="Times New Roman"/>
          <w:b/>
          <w:bCs/>
          <w:color w:val="000000"/>
          <w:sz w:val="24"/>
          <w:szCs w:val="24"/>
        </w:rPr>
      </w:pPr>
      <w:r w:rsidRPr="00CC7AB1">
        <w:rPr>
          <w:rFonts w:ascii="Times New Roman" w:hAnsi="Times New Roman" w:cs="Times New Roman"/>
          <w:b/>
          <w:bCs/>
          <w:color w:val="000000"/>
          <w:sz w:val="28"/>
          <w:szCs w:val="28"/>
        </w:rPr>
        <w:lastRenderedPageBreak/>
        <w:t>An Assessment of the Environmental Quality of Public Toilet in Ogbomoso</w:t>
      </w:r>
    </w:p>
    <w:p w14:paraId="104A247A" w14:textId="77777777" w:rsidR="004D1527" w:rsidRPr="00BE4AF3" w:rsidRDefault="004D1527" w:rsidP="004D1527">
      <w:pPr>
        <w:autoSpaceDE w:val="0"/>
        <w:autoSpaceDN w:val="0"/>
        <w:adjustRightInd w:val="0"/>
        <w:spacing w:after="0" w:line="240" w:lineRule="auto"/>
        <w:jc w:val="center"/>
        <w:rPr>
          <w:rFonts w:ascii="Times New Roman" w:hAnsi="Times New Roman" w:cs="Times New Roman"/>
          <w:b/>
          <w:bCs/>
          <w:color w:val="000000"/>
          <w:sz w:val="24"/>
          <w:szCs w:val="24"/>
        </w:rPr>
      </w:pPr>
    </w:p>
    <w:p w14:paraId="07660D2D" w14:textId="77777777" w:rsidR="004D1527" w:rsidRPr="00BE4AF3" w:rsidRDefault="004D1527" w:rsidP="004D1527">
      <w:pPr>
        <w:autoSpaceDE w:val="0"/>
        <w:autoSpaceDN w:val="0"/>
        <w:adjustRightInd w:val="0"/>
        <w:spacing w:after="0" w:line="240" w:lineRule="auto"/>
        <w:jc w:val="center"/>
        <w:rPr>
          <w:rFonts w:ascii="Times New Roman" w:hAnsi="Times New Roman" w:cs="Times New Roman"/>
          <w:color w:val="000000"/>
          <w:sz w:val="24"/>
          <w:szCs w:val="24"/>
        </w:rPr>
      </w:pPr>
      <w:r w:rsidRPr="00BE4AF3">
        <w:rPr>
          <w:rFonts w:ascii="Times New Roman" w:hAnsi="Times New Roman" w:cs="Times New Roman"/>
          <w:color w:val="000000"/>
          <w:sz w:val="24"/>
          <w:szCs w:val="24"/>
        </w:rPr>
        <w:t>Jeremiah Funso AYANDEJI¹, Oluronke Omolola ODUNJO², Akinfolayan Sunday AKINTOLA³, Shina Abraham OKANLAWON</w:t>
      </w:r>
      <w:r w:rsidRPr="00BE4AF3">
        <w:rPr>
          <w:rFonts w:ascii="Cambria Math" w:hAnsi="Cambria Math" w:cs="Cambria Math"/>
          <w:color w:val="000000"/>
          <w:sz w:val="24"/>
          <w:szCs w:val="24"/>
        </w:rPr>
        <w:t>⁴</w:t>
      </w:r>
      <w:r w:rsidRPr="00BE4AF3">
        <w:rPr>
          <w:rFonts w:ascii="Times New Roman" w:hAnsi="Times New Roman" w:cs="Times New Roman"/>
          <w:color w:val="000000"/>
          <w:sz w:val="24"/>
          <w:szCs w:val="24"/>
        </w:rPr>
        <w:t>, Adeola Sunday ODETOYE</w:t>
      </w:r>
      <w:r w:rsidRPr="00BE4AF3">
        <w:rPr>
          <w:rFonts w:ascii="Cambria Math" w:hAnsi="Cambria Math" w:cs="Cambria Math"/>
          <w:color w:val="000000"/>
          <w:sz w:val="24"/>
          <w:szCs w:val="24"/>
        </w:rPr>
        <w:t>⁵</w:t>
      </w:r>
    </w:p>
    <w:p w14:paraId="71143B4E" w14:textId="77777777" w:rsidR="004D1527" w:rsidRPr="00BE4AF3"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303415E0" w14:textId="77777777" w:rsidR="004D1527" w:rsidRPr="00CC7AB1" w:rsidRDefault="004D1527" w:rsidP="004D1527">
      <w:pPr>
        <w:autoSpaceDE w:val="0"/>
        <w:autoSpaceDN w:val="0"/>
        <w:adjustRightInd w:val="0"/>
        <w:spacing w:after="0" w:line="240" w:lineRule="auto"/>
        <w:jc w:val="center"/>
        <w:rPr>
          <w:rFonts w:ascii="Times New Roman" w:hAnsi="Times New Roman" w:cs="Times New Roman"/>
          <w:color w:val="000000"/>
          <w:sz w:val="20"/>
          <w:szCs w:val="20"/>
        </w:rPr>
      </w:pPr>
      <w:r w:rsidRPr="00CC7AB1">
        <w:rPr>
          <w:rFonts w:ascii="Times New Roman" w:hAnsi="Times New Roman" w:cs="Times New Roman"/>
          <w:color w:val="000000"/>
          <w:sz w:val="20"/>
          <w:szCs w:val="20"/>
        </w:rPr>
        <w:t>¹ Joseph Ayo Babalola University, Ikeji-Arakeji, Osun State.</w:t>
      </w:r>
    </w:p>
    <w:p w14:paraId="5937F3A3" w14:textId="77777777" w:rsidR="004D1527" w:rsidRPr="00CC7AB1" w:rsidRDefault="004D1527" w:rsidP="004D1527">
      <w:pPr>
        <w:autoSpaceDE w:val="0"/>
        <w:autoSpaceDN w:val="0"/>
        <w:adjustRightInd w:val="0"/>
        <w:spacing w:after="0" w:line="240" w:lineRule="auto"/>
        <w:jc w:val="center"/>
        <w:rPr>
          <w:rFonts w:ascii="Times New Roman" w:hAnsi="Times New Roman" w:cs="Times New Roman"/>
          <w:color w:val="0563C2"/>
          <w:sz w:val="20"/>
          <w:szCs w:val="20"/>
        </w:rPr>
      </w:pPr>
      <w:r w:rsidRPr="00CC7AB1">
        <w:rPr>
          <w:rFonts w:ascii="Times New Roman" w:hAnsi="Times New Roman" w:cs="Times New Roman"/>
          <w:color w:val="0563C2"/>
          <w:sz w:val="20"/>
          <w:szCs w:val="20"/>
        </w:rPr>
        <w:t>jfayandeji@jabu.edu.ng</w:t>
      </w:r>
    </w:p>
    <w:p w14:paraId="528A9612" w14:textId="77777777" w:rsidR="004D1527" w:rsidRPr="00CC7AB1" w:rsidRDefault="004D1527" w:rsidP="004D1527">
      <w:pPr>
        <w:autoSpaceDE w:val="0"/>
        <w:autoSpaceDN w:val="0"/>
        <w:adjustRightInd w:val="0"/>
        <w:spacing w:after="0" w:line="240" w:lineRule="auto"/>
        <w:jc w:val="center"/>
        <w:rPr>
          <w:rFonts w:ascii="Times New Roman" w:hAnsi="Times New Roman" w:cs="Times New Roman"/>
          <w:color w:val="000000"/>
          <w:sz w:val="20"/>
          <w:szCs w:val="20"/>
        </w:rPr>
      </w:pPr>
      <w:r w:rsidRPr="00CC7AB1">
        <w:rPr>
          <w:rFonts w:ascii="Times New Roman" w:hAnsi="Times New Roman" w:cs="Times New Roman"/>
          <w:color w:val="000000"/>
          <w:sz w:val="20"/>
          <w:szCs w:val="20"/>
        </w:rPr>
        <w:t>² Ladoke Akintola University of Technology, Ogbomoso, Oyo State.</w:t>
      </w:r>
    </w:p>
    <w:p w14:paraId="29AC12EC" w14:textId="77777777" w:rsidR="004D1527" w:rsidRPr="00CC7AB1" w:rsidRDefault="004D1527" w:rsidP="004D1527">
      <w:pPr>
        <w:autoSpaceDE w:val="0"/>
        <w:autoSpaceDN w:val="0"/>
        <w:adjustRightInd w:val="0"/>
        <w:spacing w:after="0" w:line="240" w:lineRule="auto"/>
        <w:jc w:val="center"/>
        <w:rPr>
          <w:rFonts w:ascii="Times New Roman" w:hAnsi="Times New Roman" w:cs="Times New Roman"/>
          <w:color w:val="0563C2"/>
          <w:sz w:val="20"/>
          <w:szCs w:val="20"/>
        </w:rPr>
      </w:pPr>
      <w:r w:rsidRPr="00CC7AB1">
        <w:rPr>
          <w:rFonts w:ascii="Times New Roman" w:hAnsi="Times New Roman" w:cs="Times New Roman"/>
          <w:color w:val="0563C2"/>
          <w:sz w:val="20"/>
          <w:szCs w:val="20"/>
        </w:rPr>
        <w:t>ooodunjo@lautech.edu.ng</w:t>
      </w:r>
    </w:p>
    <w:p w14:paraId="495EAE2B" w14:textId="77777777" w:rsidR="004D1527" w:rsidRPr="00CC7AB1" w:rsidRDefault="004D1527" w:rsidP="004D1527">
      <w:pPr>
        <w:autoSpaceDE w:val="0"/>
        <w:autoSpaceDN w:val="0"/>
        <w:adjustRightInd w:val="0"/>
        <w:spacing w:after="0" w:line="240" w:lineRule="auto"/>
        <w:jc w:val="center"/>
        <w:rPr>
          <w:rFonts w:ascii="Times New Roman" w:hAnsi="Times New Roman" w:cs="Times New Roman"/>
          <w:color w:val="000000"/>
          <w:sz w:val="20"/>
          <w:szCs w:val="20"/>
        </w:rPr>
      </w:pPr>
      <w:r w:rsidRPr="00CC7AB1">
        <w:rPr>
          <w:rFonts w:ascii="Times New Roman" w:hAnsi="Times New Roman" w:cs="Times New Roman"/>
          <w:color w:val="000000"/>
          <w:sz w:val="20"/>
          <w:szCs w:val="20"/>
        </w:rPr>
        <w:t>³ Ladoke Akintola University of Technology, Ogbomoso, Oyo State.</w:t>
      </w:r>
    </w:p>
    <w:p w14:paraId="504C7792" w14:textId="77777777" w:rsidR="004D1527" w:rsidRPr="00CC7AB1" w:rsidRDefault="004D1527" w:rsidP="004D1527">
      <w:pPr>
        <w:autoSpaceDE w:val="0"/>
        <w:autoSpaceDN w:val="0"/>
        <w:adjustRightInd w:val="0"/>
        <w:spacing w:after="0" w:line="240" w:lineRule="auto"/>
        <w:jc w:val="center"/>
        <w:rPr>
          <w:rFonts w:ascii="Times New Roman" w:hAnsi="Times New Roman" w:cs="Times New Roman"/>
          <w:color w:val="0563C2"/>
          <w:sz w:val="20"/>
          <w:szCs w:val="20"/>
        </w:rPr>
      </w:pPr>
      <w:r w:rsidRPr="00CC7AB1">
        <w:rPr>
          <w:rFonts w:ascii="Times New Roman" w:hAnsi="Times New Roman" w:cs="Times New Roman"/>
          <w:color w:val="0563C2"/>
          <w:sz w:val="20"/>
          <w:szCs w:val="20"/>
        </w:rPr>
        <w:t>akinfolasa@gmail.com</w:t>
      </w:r>
    </w:p>
    <w:p w14:paraId="2093EE9D" w14:textId="77777777" w:rsidR="004D1527" w:rsidRPr="00CC7AB1" w:rsidRDefault="004D1527" w:rsidP="004D1527">
      <w:pPr>
        <w:autoSpaceDE w:val="0"/>
        <w:autoSpaceDN w:val="0"/>
        <w:adjustRightInd w:val="0"/>
        <w:spacing w:after="0" w:line="240" w:lineRule="auto"/>
        <w:jc w:val="center"/>
        <w:rPr>
          <w:rFonts w:ascii="Times New Roman" w:hAnsi="Times New Roman" w:cs="Times New Roman"/>
          <w:color w:val="000000"/>
          <w:sz w:val="20"/>
          <w:szCs w:val="20"/>
        </w:rPr>
      </w:pPr>
      <w:r w:rsidRPr="00CC7AB1">
        <w:rPr>
          <w:rFonts w:ascii="Cambria Math" w:hAnsi="Cambria Math" w:cs="Cambria Math"/>
          <w:color w:val="000000"/>
          <w:sz w:val="20"/>
          <w:szCs w:val="20"/>
        </w:rPr>
        <w:t>⁴</w:t>
      </w:r>
      <w:r w:rsidRPr="00CC7AB1">
        <w:rPr>
          <w:rFonts w:ascii="Times New Roman" w:hAnsi="Times New Roman" w:cs="Times New Roman"/>
          <w:color w:val="000000"/>
          <w:sz w:val="20"/>
          <w:szCs w:val="20"/>
        </w:rPr>
        <w:t xml:space="preserve"> Ladoke Akintola University of Technology, Ogbomoso, Oyo State.</w:t>
      </w:r>
    </w:p>
    <w:p w14:paraId="6635B6F4" w14:textId="77777777" w:rsidR="004D1527" w:rsidRPr="00CC7AB1" w:rsidRDefault="004D1527" w:rsidP="004D1527">
      <w:pPr>
        <w:autoSpaceDE w:val="0"/>
        <w:autoSpaceDN w:val="0"/>
        <w:adjustRightInd w:val="0"/>
        <w:spacing w:after="0" w:line="240" w:lineRule="auto"/>
        <w:jc w:val="center"/>
        <w:rPr>
          <w:rFonts w:ascii="Times New Roman" w:hAnsi="Times New Roman" w:cs="Times New Roman"/>
          <w:color w:val="0563C2"/>
          <w:sz w:val="20"/>
          <w:szCs w:val="20"/>
        </w:rPr>
      </w:pPr>
      <w:r w:rsidRPr="00CC7AB1">
        <w:rPr>
          <w:rFonts w:ascii="Times New Roman" w:hAnsi="Times New Roman" w:cs="Times New Roman"/>
          <w:color w:val="0563C2"/>
          <w:sz w:val="20"/>
          <w:szCs w:val="20"/>
        </w:rPr>
        <w:t>saokanlawon@pgschool.lautech.edu.ng</w:t>
      </w:r>
    </w:p>
    <w:p w14:paraId="35B89824" w14:textId="77777777" w:rsidR="004D1527" w:rsidRPr="00CC7AB1" w:rsidRDefault="004D1527" w:rsidP="004D1527">
      <w:pPr>
        <w:autoSpaceDE w:val="0"/>
        <w:autoSpaceDN w:val="0"/>
        <w:adjustRightInd w:val="0"/>
        <w:spacing w:after="0" w:line="240" w:lineRule="auto"/>
        <w:jc w:val="center"/>
        <w:rPr>
          <w:rFonts w:ascii="Times New Roman" w:hAnsi="Times New Roman" w:cs="Times New Roman"/>
          <w:color w:val="000000"/>
          <w:sz w:val="20"/>
          <w:szCs w:val="20"/>
        </w:rPr>
      </w:pPr>
      <w:r w:rsidRPr="00CC7AB1">
        <w:rPr>
          <w:rFonts w:ascii="Cambria Math" w:hAnsi="Cambria Math" w:cs="Cambria Math"/>
          <w:color w:val="000000"/>
          <w:sz w:val="20"/>
          <w:szCs w:val="20"/>
        </w:rPr>
        <w:t>⁵</w:t>
      </w:r>
      <w:r w:rsidRPr="00CC7AB1">
        <w:rPr>
          <w:rFonts w:ascii="Times New Roman" w:hAnsi="Times New Roman" w:cs="Times New Roman"/>
          <w:color w:val="000000"/>
          <w:sz w:val="20"/>
          <w:szCs w:val="20"/>
        </w:rPr>
        <w:t xml:space="preserve"> Ladoke Akintola University of Technology, Ogbomoso, Oyo State.</w:t>
      </w:r>
    </w:p>
    <w:p w14:paraId="05B16D55" w14:textId="77777777" w:rsidR="004D1527" w:rsidRPr="00CC7AB1" w:rsidRDefault="004D1527" w:rsidP="004D1527">
      <w:pPr>
        <w:autoSpaceDE w:val="0"/>
        <w:autoSpaceDN w:val="0"/>
        <w:adjustRightInd w:val="0"/>
        <w:spacing w:after="0" w:line="240" w:lineRule="auto"/>
        <w:jc w:val="center"/>
        <w:rPr>
          <w:rFonts w:ascii="Times New Roman" w:hAnsi="Times New Roman" w:cs="Times New Roman"/>
          <w:color w:val="0563C2"/>
          <w:sz w:val="20"/>
          <w:szCs w:val="20"/>
        </w:rPr>
      </w:pPr>
      <w:r w:rsidRPr="00CC7AB1">
        <w:rPr>
          <w:rFonts w:ascii="Times New Roman" w:hAnsi="Times New Roman" w:cs="Times New Roman"/>
          <w:color w:val="0563C2"/>
          <w:sz w:val="20"/>
          <w:szCs w:val="20"/>
        </w:rPr>
        <w:t>asodetoye@lautech.edu.ng</w:t>
      </w:r>
    </w:p>
    <w:p w14:paraId="02BBF79A" w14:textId="77777777" w:rsidR="004D1527" w:rsidRPr="00CC7AB1"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CC7AB1">
        <w:rPr>
          <w:rFonts w:ascii="Times New Roman" w:hAnsi="Times New Roman" w:cs="Times New Roman"/>
          <w:b/>
          <w:bCs/>
          <w:color w:val="000000"/>
          <w:sz w:val="24"/>
          <w:szCs w:val="24"/>
        </w:rPr>
        <w:t>LICFES 2025 – FP35</w:t>
      </w:r>
    </w:p>
    <w:p w14:paraId="0226C2CA" w14:textId="34782EFC" w:rsidR="004D1527" w:rsidRPr="004D1527"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BE4AF3">
        <w:rPr>
          <w:rFonts w:ascii="Times New Roman" w:hAnsi="Times New Roman" w:cs="Times New Roman"/>
          <w:b/>
          <w:bCs/>
          <w:color w:val="000000"/>
          <w:sz w:val="24"/>
          <w:szCs w:val="24"/>
        </w:rPr>
        <w:t>ABSTRACT</w:t>
      </w:r>
    </w:p>
    <w:p w14:paraId="5273CD54" w14:textId="53ADC1A5"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Public toilets are essential infrastructure that support sanitation and public health, especially in densely populated cities. This study assesses the environmental quality of public toilets in Ogbomoso, Nigeria, focusing on factors such as toilet location, availability of water and handwashing materials, hygiene conditions, and user satisfaction.</w:t>
      </w:r>
      <w:r>
        <w:rPr>
          <w:rFonts w:ascii="Times New Roman" w:hAnsi="Times New Roman" w:cs="Times New Roman"/>
          <w:color w:val="000000"/>
          <w:sz w:val="24"/>
          <w:szCs w:val="24"/>
        </w:rPr>
        <w:t xml:space="preserve"> </w:t>
      </w:r>
      <w:r w:rsidRPr="004D1527">
        <w:rPr>
          <w:rFonts w:ascii="Times New Roman" w:hAnsi="Times New Roman" w:cs="Times New Roman"/>
          <w:color w:val="000000"/>
          <w:sz w:val="24"/>
          <w:szCs w:val="24"/>
        </w:rPr>
        <w:t>Using a random sampling method, 150 questionnaires were administered to users across six public toilet sites in Ogbomoso North and South, with 110 valid responses retrieved. The findings reveal a widespread inadequacy in public toilet conditions, ranging from poor design and cleanliness to limited water availability and lack of privacy. Users expressed general dissatisfaction, highlighting overcrowding during peak periods, gender- neutral facilities, and substandard hygiene as major concerns.</w:t>
      </w:r>
      <w:r>
        <w:rPr>
          <w:rFonts w:ascii="Times New Roman" w:hAnsi="Times New Roman" w:cs="Times New Roman"/>
          <w:color w:val="000000"/>
          <w:sz w:val="24"/>
          <w:szCs w:val="24"/>
        </w:rPr>
        <w:t xml:space="preserve"> </w:t>
      </w:r>
      <w:r w:rsidRPr="004D1527">
        <w:rPr>
          <w:rFonts w:ascii="Times New Roman" w:hAnsi="Times New Roman" w:cs="Times New Roman"/>
          <w:color w:val="000000"/>
          <w:sz w:val="24"/>
          <w:szCs w:val="24"/>
        </w:rPr>
        <w:t>The study concludes that improved maintenance, user-friendly designs, gender segregation, and regular water supply are critical to enhancing the environmental quality of public toilets. Recommendations include routine monitoring by local authorities, awareness campaigns, and infrastructural upgrades to align with global sanitation goals.</w:t>
      </w:r>
      <w:r>
        <w:rPr>
          <w:rFonts w:ascii="Times New Roman" w:hAnsi="Times New Roman" w:cs="Times New Roman"/>
          <w:color w:val="000000"/>
          <w:sz w:val="24"/>
          <w:szCs w:val="24"/>
        </w:rPr>
        <w:t xml:space="preserve"> </w:t>
      </w:r>
      <w:r w:rsidRPr="004D1527">
        <w:rPr>
          <w:rFonts w:ascii="Times New Roman" w:hAnsi="Times New Roman" w:cs="Times New Roman"/>
          <w:color w:val="000000"/>
          <w:sz w:val="24"/>
          <w:szCs w:val="24"/>
        </w:rPr>
        <w:t>These improvements will not only promote healthy living but also contribute to achieving the Sustainable Development Goal 6 on clean water and sanitation</w:t>
      </w:r>
    </w:p>
    <w:p w14:paraId="07362731" w14:textId="77777777" w:rsid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3F98E935" w14:textId="4BEABBDF"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b/>
          <w:bCs/>
          <w:color w:val="000000"/>
          <w:sz w:val="24"/>
          <w:szCs w:val="24"/>
        </w:rPr>
        <w:t>Keywords:</w:t>
      </w:r>
      <w:r w:rsidRPr="004D1527">
        <w:rPr>
          <w:rFonts w:ascii="Times New Roman" w:hAnsi="Times New Roman" w:cs="Times New Roman"/>
          <w:color w:val="000000"/>
          <w:sz w:val="24"/>
          <w:szCs w:val="24"/>
        </w:rPr>
        <w:t xml:space="preserve"> Public Toilet. Environmental Quality, Hygiene, Public Health</w:t>
      </w:r>
    </w:p>
    <w:p w14:paraId="683759FD"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2E84208B" w14:textId="438A39B9" w:rsidR="004D1527" w:rsidRPr="004D1527"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4D1527">
        <w:rPr>
          <w:rFonts w:ascii="Times New Roman" w:hAnsi="Times New Roman" w:cs="Times New Roman"/>
          <w:b/>
          <w:bCs/>
          <w:color w:val="000000"/>
          <w:sz w:val="24"/>
          <w:szCs w:val="24"/>
        </w:rPr>
        <w:t>Introduction</w:t>
      </w:r>
    </w:p>
    <w:p w14:paraId="1DE141F9"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Public sanitary facilities are crucial infrastructure necessary for the social wellbeing and dignity of city inhabitants (UN, 2008; Makama, 2015). Public convenience refers to toilets that are provided by public agencies to allow people meet their sanitary needs in public places such as markets, shopping areas and transport centres (Njoku, 2006; Lenason, 2009). Asabia (2009) argued that the provision of properly managed and functional public convenience facilities will consolidate sanitary efforts of the government, as well as reduce sanitary- related health problems. This is in consonance with the submission of UNICEF (2009) that human excreta need to be properly disposed through modern methods that are socially and culturally acceptable to the people. Agbo et al. (2012) maintained that apart from its availability, the facilities should also meet both the subjective and objective demands of the end users. However, Oyinloye and Oluwadare (2015) observed that there is a lack of improved public convenience facilities in most public places in Nigerian cities.</w:t>
      </w:r>
    </w:p>
    <w:p w14:paraId="65ACC040"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 xml:space="preserve">They maintained that poor quality of public convenience facilities is responsible for open defecation and urination and the associated offensive odour in Nigerian public places. This assertion is corroborated by Awoyinfa (2012) and Eromososele (2012) in their studies of public </w:t>
      </w:r>
      <w:r w:rsidRPr="004D1527">
        <w:rPr>
          <w:rFonts w:ascii="Times New Roman" w:hAnsi="Times New Roman" w:cs="Times New Roman"/>
          <w:color w:val="000000"/>
          <w:sz w:val="24"/>
          <w:szCs w:val="24"/>
        </w:rPr>
        <w:lastRenderedPageBreak/>
        <w:t>convenience facilities in Lagos, Nigeria. Whereas Eromososele (2012) maintained that most public toilets in Lagos are unhygienic, decrepit and in a state of disrepair, Awoyinfa (2012) argued that using public convenience in Lagos is synonymous with ‘purchasing infections’</w:t>
      </w:r>
    </w:p>
    <w:p w14:paraId="2F584C70"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 xml:space="preserve"> </w:t>
      </w:r>
    </w:p>
    <w:p w14:paraId="697941D2" w14:textId="28D54D84" w:rsidR="004D1527" w:rsidRPr="004D1527"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4D1527">
        <w:rPr>
          <w:rFonts w:ascii="Times New Roman" w:hAnsi="Times New Roman" w:cs="Times New Roman"/>
          <w:b/>
          <w:bCs/>
          <w:color w:val="000000"/>
          <w:sz w:val="24"/>
          <w:szCs w:val="24"/>
        </w:rPr>
        <w:t>Statement of Research Problem</w:t>
      </w:r>
    </w:p>
    <w:p w14:paraId="6BDF0D06"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Beyond the household use, public toilets are essential urban equipment that ensures reinforcing human rights to sanitation. Infact, a lot of people spend most of their time outside their homes or in an unconventional dwellings. However, little is known on the situation of sanitation in non-home spaces (Cronk et al. 2015). Although, there are numerous spheres of life where the study of sanitation could be focused on such as public spaces with social interaction and inclusion. Such spaces promote human well-being and health, while ensuring development and promotion of social inclusion (UN2016).</w:t>
      </w:r>
    </w:p>
    <w:p w14:paraId="6703830F"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Access to decent and clean convenience facilities is a basic need (UNICEF, 2014) as well as a right (UN, 2010; WHO, 2011). The rights approach to the provision of public toilets recognised that public sanitary facilities are a right and its denial constitutes a gross violation of human rights (UN, 2010). Despite being a fundamental right, UNICEF (2014) observed that almost one-third of the world’s population suffer on a daily basis from lack of access to clean, hygienic and functioning toilets. The situation is more worrisome in Nigeria, where FMWR and UNICEF (2016) citing World Bank (2012) noted that: Around 46million people in Nigeria defecate in the open. Another 56million people are estimated to be added during the next ten years. This means a total of 102million million people or 20million households should have access to a toilet and use it.</w:t>
      </w:r>
    </w:p>
    <w:p w14:paraId="36782A6E" w14:textId="5BD16ABB"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A</w:t>
      </w:r>
      <w:r w:rsidRPr="004D1527">
        <w:rPr>
          <w:rFonts w:ascii="Times New Roman" w:hAnsi="Times New Roman" w:cs="Times New Roman"/>
          <w:color w:val="000000"/>
          <w:sz w:val="24"/>
          <w:szCs w:val="24"/>
        </w:rPr>
        <w:t>round 122,000 Nigerians and 87,000 children under the age of 5 die each year from diarrhoea; nearly 90% is directly attributed to water, sanitation and hygiene problems. A comprehensive review of 21 studies, covering several countries found a 36</w:t>
      </w:r>
      <w:r w:rsidRPr="004D1527">
        <w:rPr>
          <w:rFonts w:ascii="Times New Roman" w:hAnsi="Times New Roman" w:cs="Times New Roman"/>
          <w:color w:val="000000"/>
          <w:sz w:val="24"/>
          <w:szCs w:val="24"/>
        </w:rPr>
        <w:t>%</w:t>
      </w:r>
      <w:r>
        <w:rPr>
          <w:rFonts w:ascii="Times New Roman" w:hAnsi="Times New Roman" w:cs="Times New Roman"/>
          <w:color w:val="000000"/>
          <w:sz w:val="24"/>
          <w:szCs w:val="24"/>
        </w:rPr>
        <w:t xml:space="preserve"> reduction</w:t>
      </w:r>
      <w:r w:rsidRPr="004D1527">
        <w:rPr>
          <w:rFonts w:ascii="Times New Roman" w:hAnsi="Times New Roman" w:cs="Times New Roman"/>
          <w:color w:val="000000"/>
          <w:sz w:val="24"/>
          <w:szCs w:val="24"/>
        </w:rPr>
        <w:t xml:space="preserve"> in diarrhoeal morbidity due to improved sanitation. …Nigeria loses N455bn … annually due to poor sanitation (Dangana et al, 2020)</w:t>
      </w:r>
      <w:r>
        <w:rPr>
          <w:rFonts w:ascii="Times New Roman" w:hAnsi="Times New Roman" w:cs="Times New Roman"/>
          <w:color w:val="000000"/>
          <w:sz w:val="24"/>
          <w:szCs w:val="24"/>
        </w:rPr>
        <w:t xml:space="preserve">. </w:t>
      </w:r>
      <w:r w:rsidRPr="004D1527">
        <w:rPr>
          <w:rFonts w:ascii="Times New Roman" w:hAnsi="Times New Roman" w:cs="Times New Roman"/>
          <w:color w:val="000000"/>
          <w:sz w:val="24"/>
          <w:szCs w:val="24"/>
        </w:rPr>
        <w:t>Goal 6 (clean water and sanitation) target 2(achieving access to adequate and equitable sanitation and hygiene for all and open defecation, paying special attention to the need of women and girls and those in vulnerable situations.) What this means is that sanitation has continued to occupy the forefront in global effort towards sustainable development. Ogbomoso is no exemption from this global sustainability agenda. Healthy living triggers the need of good toileting system. Consequently, the need for public toilet system is of necessity and of great importance for the society. It therefore the background which this study seeks to assess the environmental quality of public toilets/convenience in Ogbomoso.</w:t>
      </w:r>
    </w:p>
    <w:p w14:paraId="11BF384D" w14:textId="77777777" w:rsid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3B008777" w14:textId="555DFCFC" w:rsidR="004D1527" w:rsidRPr="004D1527"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4D1527">
        <w:rPr>
          <w:rFonts w:ascii="Times New Roman" w:hAnsi="Times New Roman" w:cs="Times New Roman"/>
          <w:b/>
          <w:bCs/>
          <w:color w:val="000000"/>
          <w:sz w:val="24"/>
          <w:szCs w:val="24"/>
        </w:rPr>
        <w:t>Aim and Objectives</w:t>
      </w:r>
    </w:p>
    <w:p w14:paraId="1E59C157"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The aim of this study is to assess the environmental quality of public toilets in Ogbomoso. The objectives of the study are as follows:</w:t>
      </w:r>
    </w:p>
    <w:p w14:paraId="5EC30E66" w14:textId="0D30117D"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i.</w:t>
      </w:r>
      <w:r w:rsidRPr="004D1527">
        <w:rPr>
          <w:rFonts w:ascii="Times New Roman" w:hAnsi="Times New Roman" w:cs="Times New Roman"/>
          <w:color w:val="000000"/>
          <w:sz w:val="24"/>
          <w:szCs w:val="24"/>
        </w:rPr>
        <w:tab/>
        <w:t>assess the availability and location of public toilet in Ogbomoso town</w:t>
      </w:r>
    </w:p>
    <w:p w14:paraId="7FA9CFEC" w14:textId="7A1EDDCE"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ii.</w:t>
      </w:r>
      <w:r w:rsidRPr="004D1527">
        <w:rPr>
          <w:rFonts w:ascii="Times New Roman" w:hAnsi="Times New Roman" w:cs="Times New Roman"/>
          <w:color w:val="000000"/>
          <w:sz w:val="24"/>
          <w:szCs w:val="24"/>
        </w:rPr>
        <w:tab/>
        <w:t>assess the availability of water and hand washing materials in the toilets</w:t>
      </w:r>
    </w:p>
    <w:p w14:paraId="369A0335" w14:textId="0F2E311D"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iii.</w:t>
      </w:r>
      <w:r w:rsidRPr="004D1527">
        <w:rPr>
          <w:rFonts w:ascii="Times New Roman" w:hAnsi="Times New Roman" w:cs="Times New Roman"/>
          <w:color w:val="000000"/>
          <w:sz w:val="24"/>
          <w:szCs w:val="24"/>
        </w:rPr>
        <w:tab/>
        <w:t>evaluate standard of public toilets</w:t>
      </w:r>
    </w:p>
    <w:p w14:paraId="58989C3E" w14:textId="7BE805A9"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iv.</w:t>
      </w:r>
      <w:r w:rsidRPr="004D1527">
        <w:rPr>
          <w:rFonts w:ascii="Times New Roman" w:hAnsi="Times New Roman" w:cs="Times New Roman"/>
          <w:color w:val="000000"/>
          <w:sz w:val="24"/>
          <w:szCs w:val="24"/>
        </w:rPr>
        <w:tab/>
        <w:t>observe the hygiene condition of the toilet surroundings.</w:t>
      </w:r>
    </w:p>
    <w:p w14:paraId="71AED8D4"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v.</w:t>
      </w:r>
      <w:r w:rsidRPr="004D1527">
        <w:rPr>
          <w:rFonts w:ascii="Times New Roman" w:hAnsi="Times New Roman" w:cs="Times New Roman"/>
          <w:color w:val="000000"/>
          <w:sz w:val="24"/>
          <w:szCs w:val="24"/>
        </w:rPr>
        <w:tab/>
        <w:t>evaluate the level of satisfaction of the toilets users with toilet facilities in the study area</w:t>
      </w:r>
    </w:p>
    <w:p w14:paraId="5BC122D8"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 xml:space="preserve"> </w:t>
      </w:r>
    </w:p>
    <w:p w14:paraId="1B628C9E"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 xml:space="preserve"> </w:t>
      </w:r>
    </w:p>
    <w:p w14:paraId="2EB93C34"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26E49D61" w14:textId="77777777" w:rsid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767C6B32" w14:textId="77777777" w:rsid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34A7A89F" w14:textId="77777777" w:rsid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5BC1F54D" w14:textId="77777777" w:rsid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43E5D824" w14:textId="77777777" w:rsidR="00204C31" w:rsidRDefault="00204C31" w:rsidP="00204C31">
      <w:pPr>
        <w:autoSpaceDE w:val="0"/>
        <w:autoSpaceDN w:val="0"/>
        <w:adjustRightInd w:val="0"/>
        <w:spacing w:after="0" w:line="240" w:lineRule="auto"/>
        <w:jc w:val="center"/>
        <w:rPr>
          <w:rFonts w:ascii="Times New Roman" w:hAnsi="Times New Roman" w:cs="Times New Roman"/>
          <w:color w:val="000000"/>
          <w:sz w:val="24"/>
          <w:szCs w:val="24"/>
        </w:rPr>
      </w:pPr>
      <w:r>
        <w:rPr>
          <w:noProof/>
          <w:sz w:val="20"/>
        </w:rPr>
        <w:lastRenderedPageBreak/>
        <w:drawing>
          <wp:inline distT="0" distB="0" distL="0" distR="0" wp14:anchorId="302B10D6" wp14:editId="54649AF7">
            <wp:extent cx="3838575" cy="2238014"/>
            <wp:effectExtent l="0" t="0" r="0" b="0"/>
            <wp:docPr id="460195786"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247" cstate="print"/>
                    <a:stretch>
                      <a:fillRect/>
                    </a:stretch>
                  </pic:blipFill>
                  <pic:spPr>
                    <a:xfrm>
                      <a:off x="0" y="0"/>
                      <a:ext cx="3864187" cy="2252947"/>
                    </a:xfrm>
                    <a:prstGeom prst="rect">
                      <a:avLst/>
                    </a:prstGeom>
                  </pic:spPr>
                </pic:pic>
              </a:graphicData>
            </a:graphic>
          </wp:inline>
        </w:drawing>
      </w:r>
    </w:p>
    <w:p w14:paraId="13475037" w14:textId="4070D69B" w:rsidR="004D1527" w:rsidRPr="004D1527" w:rsidRDefault="004D1527" w:rsidP="00204C31">
      <w:pPr>
        <w:autoSpaceDE w:val="0"/>
        <w:autoSpaceDN w:val="0"/>
        <w:adjustRightInd w:val="0"/>
        <w:spacing w:after="0" w:line="240" w:lineRule="auto"/>
        <w:jc w:val="center"/>
        <w:rPr>
          <w:rFonts w:ascii="Times New Roman" w:hAnsi="Times New Roman" w:cs="Times New Roman"/>
          <w:color w:val="000000"/>
          <w:sz w:val="24"/>
          <w:szCs w:val="24"/>
        </w:rPr>
      </w:pPr>
      <w:r w:rsidRPr="004D1527">
        <w:rPr>
          <w:rFonts w:ascii="Times New Roman" w:hAnsi="Times New Roman" w:cs="Times New Roman"/>
          <w:color w:val="000000"/>
          <w:sz w:val="24"/>
          <w:szCs w:val="24"/>
        </w:rPr>
        <w:t>Fig 1: Ogbomoso Map</w:t>
      </w:r>
    </w:p>
    <w:p w14:paraId="31DCFFBC" w14:textId="77777777" w:rsidR="004D1527" w:rsidRPr="004D1527" w:rsidRDefault="004D1527" w:rsidP="00204C31">
      <w:pPr>
        <w:autoSpaceDE w:val="0"/>
        <w:autoSpaceDN w:val="0"/>
        <w:adjustRightInd w:val="0"/>
        <w:spacing w:after="0" w:line="240" w:lineRule="auto"/>
        <w:jc w:val="center"/>
        <w:rPr>
          <w:rFonts w:ascii="Times New Roman" w:hAnsi="Times New Roman" w:cs="Times New Roman"/>
          <w:color w:val="000000"/>
          <w:sz w:val="24"/>
          <w:szCs w:val="24"/>
        </w:rPr>
      </w:pPr>
      <w:r w:rsidRPr="004D1527">
        <w:rPr>
          <w:rFonts w:ascii="Times New Roman" w:hAnsi="Times New Roman" w:cs="Times New Roman"/>
          <w:color w:val="000000"/>
          <w:sz w:val="24"/>
          <w:szCs w:val="24"/>
        </w:rPr>
        <w:t>Source: (www.google.com/maps)</w:t>
      </w:r>
    </w:p>
    <w:p w14:paraId="064B9A27"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1D658F41" w14:textId="63A1C321" w:rsidR="004D1527" w:rsidRPr="00204C31"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204C31">
        <w:rPr>
          <w:rFonts w:ascii="Times New Roman" w:hAnsi="Times New Roman" w:cs="Times New Roman"/>
          <w:b/>
          <w:bCs/>
          <w:color w:val="000000"/>
          <w:sz w:val="24"/>
          <w:szCs w:val="24"/>
        </w:rPr>
        <w:t>The study area</w:t>
      </w:r>
    </w:p>
    <w:p w14:paraId="5C357638"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Ogbomoso is a city located in Oyo State, Nigeria. It is situated in the southwestern part of the country and is one of the prominent urban areas in the state. Ogbomoso is known for its rich cultural heritage, historical significance, and its contribution to education in Nigeria. Ogbomoso offers various aspects that can be explored and researched across. One of it is the environmental issues – Investigating the local ecology, environmental challenges; healthcare and public health: prevalent diseases, prevention of diseases; urban planning and development - nvestigating the urbanization process, infrastructure development; and improvements in public health policies.</w:t>
      </w:r>
    </w:p>
    <w:p w14:paraId="055E377A" w14:textId="3B031690"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Key features and points of interest in Ogbomoso include: Ladoke Akintola University of Technology (LAUTECH): One of the major higher educational institutions in Nigeria, LAUTECH is a prominent university in Ogbomoso, offering various courses in engineering, science, agriculture, and technology. Local Markets: Ogbomoso has bustling markets where you can find a wide range of products, including local crafts, fabrics, fresh produce, and more.</w:t>
      </w:r>
    </w:p>
    <w:p w14:paraId="0A82F91F"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The city has a mix of modern amenities and traditional values, making it an interesting destination for travelers and a vibrant hub for residents, hence, studying the environmental quality of public toilet in Ogbomoso</w:t>
      </w:r>
    </w:p>
    <w:p w14:paraId="743D7A50" w14:textId="77777777" w:rsidR="00204C31" w:rsidRDefault="00204C31" w:rsidP="004D1527">
      <w:pPr>
        <w:autoSpaceDE w:val="0"/>
        <w:autoSpaceDN w:val="0"/>
        <w:adjustRightInd w:val="0"/>
        <w:spacing w:after="0" w:line="240" w:lineRule="auto"/>
        <w:jc w:val="both"/>
        <w:rPr>
          <w:rFonts w:ascii="Times New Roman" w:hAnsi="Times New Roman" w:cs="Times New Roman"/>
          <w:color w:val="000000"/>
          <w:sz w:val="24"/>
          <w:szCs w:val="24"/>
        </w:rPr>
      </w:pPr>
    </w:p>
    <w:p w14:paraId="5D9BDDC5" w14:textId="1B3C52B4" w:rsidR="004D1527" w:rsidRPr="00204C31"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204C31">
        <w:rPr>
          <w:rFonts w:ascii="Times New Roman" w:hAnsi="Times New Roman" w:cs="Times New Roman"/>
          <w:b/>
          <w:bCs/>
          <w:color w:val="000000"/>
          <w:sz w:val="24"/>
          <w:szCs w:val="24"/>
        </w:rPr>
        <w:t>Definition of terms</w:t>
      </w:r>
    </w:p>
    <w:p w14:paraId="3F97C1A8" w14:textId="21B3E502"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204C31">
        <w:rPr>
          <w:rFonts w:ascii="Times New Roman" w:hAnsi="Times New Roman" w:cs="Times New Roman"/>
          <w:b/>
          <w:bCs/>
          <w:color w:val="000000"/>
          <w:sz w:val="24"/>
          <w:szCs w:val="24"/>
        </w:rPr>
        <w:t>Public:</w:t>
      </w:r>
      <w:r w:rsidRPr="004D1527">
        <w:rPr>
          <w:rFonts w:ascii="Times New Roman" w:hAnsi="Times New Roman" w:cs="Times New Roman"/>
          <w:color w:val="000000"/>
          <w:sz w:val="24"/>
          <w:szCs w:val="24"/>
        </w:rPr>
        <w:t xml:space="preserve"> This pertains to a state, nation, or whole community; proceeding from, relating </w:t>
      </w:r>
      <w:r w:rsidR="00204C31" w:rsidRPr="004D1527">
        <w:rPr>
          <w:rFonts w:ascii="Times New Roman" w:hAnsi="Times New Roman" w:cs="Times New Roman"/>
          <w:color w:val="000000"/>
          <w:sz w:val="24"/>
          <w:szCs w:val="24"/>
        </w:rPr>
        <w:t xml:space="preserve">to, </w:t>
      </w:r>
      <w:r w:rsidR="00204C31">
        <w:rPr>
          <w:rFonts w:ascii="Times New Roman" w:hAnsi="Times New Roman" w:cs="Times New Roman"/>
          <w:color w:val="000000"/>
          <w:sz w:val="24"/>
          <w:szCs w:val="24"/>
        </w:rPr>
        <w:t>or</w:t>
      </w:r>
      <w:r w:rsidRPr="004D1527">
        <w:rPr>
          <w:rFonts w:ascii="Times New Roman" w:hAnsi="Times New Roman" w:cs="Times New Roman"/>
          <w:color w:val="000000"/>
          <w:sz w:val="24"/>
          <w:szCs w:val="24"/>
        </w:rPr>
        <w:t xml:space="preserve"> affecting the whole body of people.</w:t>
      </w:r>
    </w:p>
    <w:p w14:paraId="3BED23DF" w14:textId="2726C17D"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204C31">
        <w:rPr>
          <w:rFonts w:ascii="Times New Roman" w:hAnsi="Times New Roman" w:cs="Times New Roman"/>
          <w:b/>
          <w:bCs/>
          <w:color w:val="000000"/>
          <w:sz w:val="24"/>
          <w:szCs w:val="24"/>
        </w:rPr>
        <w:t>Toilet System:</w:t>
      </w:r>
      <w:r w:rsidRPr="004D1527">
        <w:rPr>
          <w:rFonts w:ascii="Times New Roman" w:hAnsi="Times New Roman" w:cs="Times New Roman"/>
          <w:color w:val="000000"/>
          <w:sz w:val="24"/>
          <w:szCs w:val="24"/>
        </w:rPr>
        <w:t xml:space="preserve"> This is a type of toilet that collects human feces in a hole.</w:t>
      </w:r>
    </w:p>
    <w:p w14:paraId="1385F3B0"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14E259F7" w14:textId="0D654823" w:rsidR="004D1527" w:rsidRPr="00204C31"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204C31">
        <w:rPr>
          <w:rFonts w:ascii="Times New Roman" w:hAnsi="Times New Roman" w:cs="Times New Roman"/>
          <w:b/>
          <w:bCs/>
          <w:color w:val="000000"/>
          <w:sz w:val="24"/>
          <w:szCs w:val="24"/>
        </w:rPr>
        <w:t>Literature Review - Introduction</w:t>
      </w:r>
    </w:p>
    <w:p w14:paraId="4AA226F5"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A core component of good environmental design are public toilets, as it adds to a city‘s quality and viability (Greed, 2004). Provision of public toilets is not only a matter of land use, but also an essential design and planning concern to make cities more inclusive, accessible and convenient for all individuals in the society. Often times, public toilet provision overlooks children, women, elderly and disabled people. Aspinall et al (2010) submission indicates that inclusively and well-designed neighbourhood outdoor spaces contributes positively to people‘s health and quality of life.</w:t>
      </w:r>
    </w:p>
    <w:p w14:paraId="49BD50C2" w14:textId="018D0D7F" w:rsidR="004D1527" w:rsidRPr="00204C31"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204C31">
        <w:rPr>
          <w:rFonts w:ascii="Times New Roman" w:hAnsi="Times New Roman" w:cs="Times New Roman"/>
          <w:b/>
          <w:bCs/>
          <w:color w:val="000000"/>
          <w:sz w:val="24"/>
          <w:szCs w:val="24"/>
        </w:rPr>
        <w:t>Public Toilet System and Health</w:t>
      </w:r>
    </w:p>
    <w:p w14:paraId="09FBB907" w14:textId="35E42DE2"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 xml:space="preserve">Public Health is paramount to the growth and well-being of any society because only healthy people can be productive. Public toilets play a role in community health and individual well-being. Where toilets are available, people can enjoy outings and physical activities in their </w:t>
      </w:r>
      <w:r w:rsidRPr="004D1527">
        <w:rPr>
          <w:rFonts w:ascii="Times New Roman" w:hAnsi="Times New Roman" w:cs="Times New Roman"/>
          <w:color w:val="000000"/>
          <w:sz w:val="24"/>
          <w:szCs w:val="24"/>
        </w:rPr>
        <w:lastRenderedPageBreak/>
        <w:t>communities. By letting people get out of their cars and onto their feet, bicycles and mass transit, public toilets can contribute to improved environmental health. Mental well-being is enhanced when people are out with families and friends and know a place "to go" is available.</w:t>
      </w:r>
    </w:p>
    <w:p w14:paraId="18F5EFC7"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Public toilets serve people who are "toilet challenged". First, some people need to go very frequently, including young and old people, females who are pregnant or menstruating, and those with some medical conditions. Second, some people need toilet access urgently, suddenly and without warning: such as those with chronic conditions such as Crohn's disease and colitis, and those temporarily afflicted with foodborne illnesses.</w:t>
      </w:r>
    </w:p>
    <w:p w14:paraId="2DFC5B8B" w14:textId="7DA89719"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 xml:space="preserve">The inability to satisfy essential physiological needs because no toilet is available contributes to health issues such as urinary tract infections, kidney infections, and digestive problems which can later develop into severe health problems. Inadequate access to a </w:t>
      </w:r>
      <w:r w:rsidR="00204C31" w:rsidRPr="004D1527">
        <w:rPr>
          <w:rFonts w:ascii="Times New Roman" w:hAnsi="Times New Roman" w:cs="Times New Roman"/>
          <w:color w:val="000000"/>
          <w:sz w:val="24"/>
          <w:szCs w:val="24"/>
        </w:rPr>
        <w:t>public toilet</w:t>
      </w:r>
      <w:r w:rsidRPr="004D1527">
        <w:rPr>
          <w:rFonts w:ascii="Times New Roman" w:hAnsi="Times New Roman" w:cs="Times New Roman"/>
          <w:color w:val="000000"/>
          <w:sz w:val="24"/>
          <w:szCs w:val="24"/>
        </w:rPr>
        <w:t xml:space="preserve"> when required can lead to substantial problems for men with prostate problems, women who are menstruating or going through the menopause and anyone with urinary and fecal incontinence.</w:t>
      </w:r>
    </w:p>
    <w:p w14:paraId="4550AA74" w14:textId="50E12CF6" w:rsid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 xml:space="preserve">Andrea Tales et al, (2017) and Bassey (2022), opines that due to lack of and/or inaccessible design of public toilets, the elderly and disabled, avoid long journeys. Furthermore, place where public toilets are available, poor design and poor signage can hamper its use, particularly for people with eye problem or dementia. Feces and urinary incontinence are common problems in older people, particularly at the moderate to severe stages. Healthy living </w:t>
      </w:r>
      <w:r w:rsidR="00204C31" w:rsidRPr="004D1527">
        <w:rPr>
          <w:rFonts w:ascii="Times New Roman" w:hAnsi="Times New Roman" w:cs="Times New Roman"/>
          <w:color w:val="000000"/>
          <w:sz w:val="24"/>
          <w:szCs w:val="24"/>
        </w:rPr>
        <w:t>necessitates</w:t>
      </w:r>
      <w:r w:rsidRPr="004D1527">
        <w:rPr>
          <w:rFonts w:ascii="Times New Roman" w:hAnsi="Times New Roman" w:cs="Times New Roman"/>
          <w:color w:val="000000"/>
          <w:sz w:val="24"/>
          <w:szCs w:val="24"/>
        </w:rPr>
        <w:t xml:space="preserve"> the need for a good toilet system. Consequently, the need for public toilet system is of necessity and of great importance for the society.</w:t>
      </w:r>
    </w:p>
    <w:p w14:paraId="5A0A61F1" w14:textId="77777777" w:rsidR="00204C31" w:rsidRPr="004D1527" w:rsidRDefault="00204C31" w:rsidP="004D1527">
      <w:pPr>
        <w:autoSpaceDE w:val="0"/>
        <w:autoSpaceDN w:val="0"/>
        <w:adjustRightInd w:val="0"/>
        <w:spacing w:after="0" w:line="240" w:lineRule="auto"/>
        <w:jc w:val="both"/>
        <w:rPr>
          <w:rFonts w:ascii="Times New Roman" w:hAnsi="Times New Roman" w:cs="Times New Roman"/>
          <w:color w:val="000000"/>
          <w:sz w:val="24"/>
          <w:szCs w:val="24"/>
        </w:rPr>
      </w:pPr>
    </w:p>
    <w:p w14:paraId="42A7FE81" w14:textId="0DC0F7B1" w:rsidR="004D1527" w:rsidRPr="00204C31"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204C31">
        <w:rPr>
          <w:rFonts w:ascii="Times New Roman" w:hAnsi="Times New Roman" w:cs="Times New Roman"/>
          <w:b/>
          <w:bCs/>
          <w:color w:val="000000"/>
          <w:sz w:val="24"/>
          <w:szCs w:val="24"/>
        </w:rPr>
        <w:t>Public Toilet</w:t>
      </w:r>
    </w:p>
    <w:p w14:paraId="1B6F2B2F" w14:textId="6E81D65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Public toilet is a room or small building with toilets, urinals and sinks that does not belong to a particular household. Rather, the toilet is available for use by the general public, travelers, customers, school pupils, employees of a business, etc. Public toilets are commonly separated into male and female facilities, although some are unisex, especially</w:t>
      </w:r>
    </w:p>
    <w:p w14:paraId="12D87AED" w14:textId="76390C69"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 xml:space="preserve">for small or single-occupancy public toilets. Synonymously, depending on the country, public toilets are known by many other names. In the United State – restroom, bathroom, men's room, and </w:t>
      </w:r>
      <w:r w:rsidR="00204C31" w:rsidRPr="004D1527">
        <w:rPr>
          <w:rFonts w:ascii="Times New Roman" w:hAnsi="Times New Roman" w:cs="Times New Roman"/>
          <w:color w:val="000000"/>
          <w:sz w:val="24"/>
          <w:szCs w:val="24"/>
        </w:rPr>
        <w:t>women ‘</w:t>
      </w:r>
      <w:r w:rsidRPr="004D1527">
        <w:rPr>
          <w:rFonts w:ascii="Times New Roman" w:hAnsi="Times New Roman" w:cs="Times New Roman"/>
          <w:color w:val="000000"/>
          <w:sz w:val="24"/>
          <w:szCs w:val="24"/>
        </w:rPr>
        <w:t>s room; in Canada – washroom and in Europe – toilets, lavatories, water closet (W.C.), ladies and gents. Some public toilets are used free of charge while others at a fee. The latter case called paid toilets. Commercial businesses or local authorities may provide public toilet facilities. According to Aspinall et al (2010), public toilets are typically found in many different places: central business district, inner-city, factories, offices, universities, schools and other places of work and study. Similarly, cinemas museums, restaurants, bars, entertainment venues usually provide public toilets. Railway stations, filling stations, and long distance public transport vehicles such as trains, ferries, and planes usually provide toilets for general use. Mobile portable toilets are often available at large outdoor events.</w:t>
      </w:r>
    </w:p>
    <w:p w14:paraId="0B8D1A61" w14:textId="77777777" w:rsidR="00204C31" w:rsidRDefault="00204C31" w:rsidP="004D1527">
      <w:pPr>
        <w:autoSpaceDE w:val="0"/>
        <w:autoSpaceDN w:val="0"/>
        <w:adjustRightInd w:val="0"/>
        <w:spacing w:after="0" w:line="240" w:lineRule="auto"/>
        <w:jc w:val="both"/>
        <w:rPr>
          <w:rFonts w:ascii="Times New Roman" w:hAnsi="Times New Roman" w:cs="Times New Roman"/>
          <w:color w:val="000000"/>
          <w:sz w:val="24"/>
          <w:szCs w:val="24"/>
        </w:rPr>
      </w:pPr>
    </w:p>
    <w:p w14:paraId="15F08934" w14:textId="1DA2D9E0" w:rsidR="004D1527" w:rsidRPr="00204C31"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204C31">
        <w:rPr>
          <w:rFonts w:ascii="Times New Roman" w:hAnsi="Times New Roman" w:cs="Times New Roman"/>
          <w:b/>
          <w:bCs/>
          <w:color w:val="000000"/>
          <w:sz w:val="24"/>
          <w:szCs w:val="24"/>
        </w:rPr>
        <w:t>Challenges of Public Toilets</w:t>
      </w:r>
    </w:p>
    <w:p w14:paraId="47CC3EB8"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Public toilets, though essential for urban sanitation and public health, face several significant challenges, particularly in developing contexts like Nigeria. One of the most prominent issues is poor maintenance, which results in unhygienic and unsafe conditions. This often deters users and leads to open defecation, exposing communities to diseases such as cholera and diarrhoea (Mahbub-Ul-Alam &amp; Farzana, 2015).</w:t>
      </w:r>
    </w:p>
    <w:p w14:paraId="018F06D8"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Another major challenge is the inadequate water supply. Without reliable access to water, basic sanitation operations such as flushing and handwashing become impossible, further compounding hygiene issues. The World Bank (2019) emphasized that water availability is critical for sustainable sanitation services. In addition, many public toilets are poorly designed and lack accessibility features for the elderly and physically</w:t>
      </w:r>
    </w:p>
    <w:p w14:paraId="67063275"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 xml:space="preserve"> </w:t>
      </w:r>
    </w:p>
    <w:p w14:paraId="73CA8FDD"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lastRenderedPageBreak/>
        <w:t>challenged. As noted by Andrea Tales et al. (2017), poor signage, narrow spaces, and lack of disability-friendly infrastructure often discourage use among vulnerable populations.</w:t>
      </w:r>
    </w:p>
    <w:p w14:paraId="3CFE0307"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Security and privacy concerns also hinder the effective use of public toilets. Facilities are often located in isolated or poorly lit areas, making users—especially women and children—feel unsafe. Vandalism and misuse further degrade the condition of these toilets, as damage to plumbing, doors, and lighting is common due to weak oversight and lack of public awareness (Mahbub-Ul-Alam &amp; Farzana, 2015).</w:t>
      </w:r>
    </w:p>
    <w:p w14:paraId="77C6F330"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Moreover, the insufficient number and poor distribution of public toilets mean that many high-traffic areas like markets, motor parks, and city centres remain underserved. This problem is exacerbated by rapid urbanization and poor spatial planning (UNICEF, 2014). Where public toilets are available, usage fees sometimes create a barrier for low- income individuals, leading them to avoid these facilities altogether.</w:t>
      </w:r>
    </w:p>
    <w:p w14:paraId="69E53E46" w14:textId="77777777" w:rsidR="00204C31" w:rsidRDefault="00204C31" w:rsidP="004D1527">
      <w:pPr>
        <w:autoSpaceDE w:val="0"/>
        <w:autoSpaceDN w:val="0"/>
        <w:adjustRightInd w:val="0"/>
        <w:spacing w:after="0" w:line="240" w:lineRule="auto"/>
        <w:jc w:val="both"/>
        <w:rPr>
          <w:rFonts w:ascii="Times New Roman" w:hAnsi="Times New Roman" w:cs="Times New Roman"/>
          <w:color w:val="000000"/>
          <w:sz w:val="24"/>
          <w:szCs w:val="24"/>
        </w:rPr>
      </w:pPr>
    </w:p>
    <w:p w14:paraId="266C7BDD" w14:textId="2346B046" w:rsidR="004D1527" w:rsidRPr="00204C31"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204C31">
        <w:rPr>
          <w:rFonts w:ascii="Times New Roman" w:hAnsi="Times New Roman" w:cs="Times New Roman"/>
          <w:b/>
          <w:bCs/>
          <w:color w:val="000000"/>
          <w:sz w:val="24"/>
          <w:szCs w:val="24"/>
        </w:rPr>
        <w:t>Research Methodology</w:t>
      </w:r>
    </w:p>
    <w:p w14:paraId="2AD897D7"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This is the systematic approach and techniques used to conduct this research, gather information, analyze data, and draw conclusions in a structured and reliable manner. It is a crucial aspect of any research study as it ensures the validity, reliability, and generalizability of the findings.</w:t>
      </w:r>
    </w:p>
    <w:p w14:paraId="5E16034D" w14:textId="14F0D02C"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The methodology adopted in this study is random sampling. A survey was carried out on the public toilet users in Ogbomoso. The assessment of environmental quality of public toilet was carried out in Ogbomoso North (New Waso Market, Atenda Market and Takie Motor Park) and in Ogbomoso South (Arada Market, Sunsun Market and Ora Motor Park).</w:t>
      </w:r>
    </w:p>
    <w:p w14:paraId="0D8995DD"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150 questionnaires were distributed in the study area in which, 110 was retrieved backin space of 7days. Of the 25 questionnaire that was distributed in each study area, 21, 18, 17, 22, 17, 15 questionnaire were retrieved from New Waso Market, Atenda Market, Takie Motor Park, Arada Market, Sunsun Market and Ora Motor Park respectively.</w:t>
      </w:r>
    </w:p>
    <w:p w14:paraId="4CEC3F2F" w14:textId="77777777" w:rsidR="00204C31" w:rsidRDefault="00204C31" w:rsidP="004D1527">
      <w:pPr>
        <w:autoSpaceDE w:val="0"/>
        <w:autoSpaceDN w:val="0"/>
        <w:adjustRightInd w:val="0"/>
        <w:spacing w:after="0" w:line="240" w:lineRule="auto"/>
        <w:jc w:val="both"/>
        <w:rPr>
          <w:rFonts w:ascii="Times New Roman" w:hAnsi="Times New Roman" w:cs="Times New Roman"/>
          <w:color w:val="000000"/>
          <w:sz w:val="24"/>
          <w:szCs w:val="24"/>
        </w:rPr>
      </w:pPr>
    </w:p>
    <w:p w14:paraId="28ECDCB8" w14:textId="1E40DB52" w:rsidR="004D1527" w:rsidRPr="00204C31"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204C31">
        <w:rPr>
          <w:rFonts w:ascii="Times New Roman" w:hAnsi="Times New Roman" w:cs="Times New Roman"/>
          <w:b/>
          <w:bCs/>
          <w:color w:val="000000"/>
          <w:sz w:val="24"/>
          <w:szCs w:val="24"/>
        </w:rPr>
        <w:t>Findings</w:t>
      </w:r>
    </w:p>
    <w:p w14:paraId="21DC3B03" w14:textId="5D924028" w:rsidR="004D1527" w:rsidRPr="00204C31"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204C31">
        <w:rPr>
          <w:rFonts w:ascii="Times New Roman" w:hAnsi="Times New Roman" w:cs="Times New Roman"/>
          <w:b/>
          <w:bCs/>
          <w:color w:val="000000"/>
          <w:sz w:val="24"/>
          <w:szCs w:val="24"/>
        </w:rPr>
        <w:t>Locational Distribution</w:t>
      </w:r>
    </w:p>
    <w:p w14:paraId="18D0B676" w14:textId="495171E2"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The research was carried out in the public areas such as market and car park. The distribution of responses is presented in Fig 2.</w:t>
      </w:r>
    </w:p>
    <w:p w14:paraId="19F49494" w14:textId="6F504456" w:rsidR="004D1527" w:rsidRDefault="00204C31" w:rsidP="004D1527">
      <w:pPr>
        <w:autoSpaceDE w:val="0"/>
        <w:autoSpaceDN w:val="0"/>
        <w:adjustRightInd w:val="0"/>
        <w:spacing w:after="0" w:line="240" w:lineRule="auto"/>
        <w:jc w:val="both"/>
        <w:rPr>
          <w:rFonts w:ascii="Times New Roman" w:hAnsi="Times New Roman" w:cs="Times New Roman"/>
          <w:color w:val="000000"/>
          <w:sz w:val="24"/>
          <w:szCs w:val="24"/>
        </w:rPr>
      </w:pPr>
      <w:r w:rsidRPr="00204C31">
        <w:rPr>
          <w:rFonts w:ascii="Times New Roman" w:eastAsia="Times New Roman" w:hAnsi="Times New Roman" w:cs="Times New Roman"/>
          <w:noProof/>
          <w:sz w:val="20"/>
          <w:lang w:val="en-US"/>
        </w:rPr>
        <mc:AlternateContent>
          <mc:Choice Requires="wpg">
            <w:drawing>
              <wp:anchor distT="0" distB="0" distL="114300" distR="114300" simplePos="0" relativeHeight="251719680" behindDoc="0" locked="0" layoutInCell="1" allowOverlap="1" wp14:anchorId="6F9BDF00" wp14:editId="169C41CE">
                <wp:simplePos x="0" y="0"/>
                <wp:positionH relativeFrom="column">
                  <wp:posOffset>732155</wp:posOffset>
                </wp:positionH>
                <wp:positionV relativeFrom="paragraph">
                  <wp:posOffset>236982</wp:posOffset>
                </wp:positionV>
                <wp:extent cx="4253865" cy="2425065"/>
                <wp:effectExtent l="0" t="0" r="13335" b="13335"/>
                <wp:wrapTopAndBottom/>
                <wp:docPr id="326579701" name="Group 326579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3865" cy="2425065"/>
                          <a:chOff x="0" y="0"/>
                          <a:chExt cx="4253865" cy="2425065"/>
                        </a:xfrm>
                      </wpg:grpSpPr>
                      <pic:pic xmlns:pic="http://schemas.openxmlformats.org/drawingml/2006/picture">
                        <pic:nvPicPr>
                          <pic:cNvPr id="592251869" name="Image 4"/>
                          <pic:cNvPicPr/>
                        </pic:nvPicPr>
                        <pic:blipFill>
                          <a:blip r:embed="rId248" cstate="print"/>
                          <a:stretch>
                            <a:fillRect/>
                          </a:stretch>
                        </pic:blipFill>
                        <pic:spPr>
                          <a:xfrm>
                            <a:off x="855858" y="662444"/>
                            <a:ext cx="2541766" cy="1451495"/>
                          </a:xfrm>
                          <a:prstGeom prst="rect">
                            <a:avLst/>
                          </a:prstGeom>
                        </pic:spPr>
                      </pic:pic>
                      <wps:wsp>
                        <wps:cNvPr id="755490625" name="Graphic 5"/>
                        <wps:cNvSpPr/>
                        <wps:spPr>
                          <a:xfrm>
                            <a:off x="4572" y="4572"/>
                            <a:ext cx="4244340" cy="2415540"/>
                          </a:xfrm>
                          <a:custGeom>
                            <a:avLst/>
                            <a:gdLst/>
                            <a:ahLst/>
                            <a:cxnLst/>
                            <a:rect l="l" t="t" r="r" b="b"/>
                            <a:pathLst>
                              <a:path w="4244340" h="2415540">
                                <a:moveTo>
                                  <a:pt x="0" y="2415540"/>
                                </a:moveTo>
                                <a:lnTo>
                                  <a:pt x="4244340" y="2415540"/>
                                </a:lnTo>
                                <a:lnTo>
                                  <a:pt x="4244340" y="0"/>
                                </a:lnTo>
                                <a:lnTo>
                                  <a:pt x="0" y="0"/>
                                </a:lnTo>
                                <a:lnTo>
                                  <a:pt x="0" y="2415540"/>
                                </a:lnTo>
                                <a:close/>
                              </a:path>
                            </a:pathLst>
                          </a:custGeom>
                          <a:ln w="9144">
                            <a:solidFill>
                              <a:srgbClr val="D9D9D9"/>
                            </a:solidFill>
                            <a:prstDash val="solid"/>
                          </a:ln>
                        </wps:spPr>
                        <wps:bodyPr wrap="square" lIns="0" tIns="0" rIns="0" bIns="0" rtlCol="0">
                          <a:prstTxWarp prst="textNoShape">
                            <a:avLst/>
                          </a:prstTxWarp>
                          <a:noAutofit/>
                        </wps:bodyPr>
                      </wps:wsp>
                      <wps:wsp>
                        <wps:cNvPr id="1472117583" name="Textbox 6"/>
                        <wps:cNvSpPr txBox="1"/>
                        <wps:spPr>
                          <a:xfrm>
                            <a:off x="1078357" y="141859"/>
                            <a:ext cx="1492885" cy="519430"/>
                          </a:xfrm>
                          <a:prstGeom prst="rect">
                            <a:avLst/>
                          </a:prstGeom>
                        </wps:spPr>
                        <wps:txbx>
                          <w:txbxContent>
                            <w:p w14:paraId="5A102403" w14:textId="77777777" w:rsidR="00204C31" w:rsidRDefault="00204C31" w:rsidP="00204C31">
                              <w:pPr>
                                <w:spacing w:line="333" w:lineRule="exact"/>
                                <w:rPr>
                                  <w:rFonts w:ascii="Calibri"/>
                                  <w:b/>
                                  <w:sz w:val="32"/>
                                </w:rPr>
                              </w:pPr>
                              <w:r>
                                <w:rPr>
                                  <w:rFonts w:ascii="Calibri"/>
                                  <w:b/>
                                  <w:color w:val="6FAC46"/>
                                  <w:position w:val="-3"/>
                                  <w:sz w:val="20"/>
                                </w:rPr>
                                <w:t>Ora</w:t>
                              </w:r>
                              <w:r>
                                <w:rPr>
                                  <w:rFonts w:ascii="Calibri"/>
                                  <w:b/>
                                  <w:color w:val="6FAC46"/>
                                  <w:spacing w:val="-6"/>
                                  <w:position w:val="-3"/>
                                  <w:sz w:val="20"/>
                                </w:rPr>
                                <w:t xml:space="preserve"> </w:t>
                              </w:r>
                              <w:r>
                                <w:rPr>
                                  <w:rFonts w:ascii="Calibri"/>
                                  <w:b/>
                                  <w:color w:val="6FAC46"/>
                                  <w:position w:val="-3"/>
                                  <w:sz w:val="20"/>
                                </w:rPr>
                                <w:t>Motor</w:t>
                              </w:r>
                              <w:r>
                                <w:rPr>
                                  <w:rFonts w:ascii="Calibri"/>
                                  <w:b/>
                                  <w:color w:val="6FAC46"/>
                                  <w:spacing w:val="43"/>
                                  <w:position w:val="-3"/>
                                  <w:sz w:val="20"/>
                                </w:rPr>
                                <w:t xml:space="preserve"> </w:t>
                              </w:r>
                              <w:r>
                                <w:rPr>
                                  <w:rFonts w:ascii="Calibri"/>
                                  <w:b/>
                                  <w:color w:val="585858"/>
                                  <w:spacing w:val="-2"/>
                                  <w:sz w:val="32"/>
                                </w:rPr>
                                <w:t>LOCATION</w:t>
                              </w:r>
                            </w:p>
                            <w:p w14:paraId="38427F93" w14:textId="77777777" w:rsidR="00204C31" w:rsidRDefault="00204C31" w:rsidP="00204C31">
                              <w:pPr>
                                <w:ind w:left="269" w:right="1717" w:hanging="12"/>
                                <w:rPr>
                                  <w:rFonts w:ascii="Calibri"/>
                                  <w:b/>
                                  <w:sz w:val="20"/>
                                </w:rPr>
                              </w:pPr>
                              <w:r>
                                <w:rPr>
                                  <w:rFonts w:ascii="Calibri"/>
                                  <w:b/>
                                  <w:color w:val="6FAC46"/>
                                  <w:spacing w:val="-4"/>
                                  <w:sz w:val="20"/>
                                </w:rPr>
                                <w:t xml:space="preserve">Park </w:t>
                              </w:r>
                              <w:r>
                                <w:rPr>
                                  <w:rFonts w:ascii="Calibri"/>
                                  <w:b/>
                                  <w:color w:val="6FAC46"/>
                                  <w:spacing w:val="-5"/>
                                  <w:sz w:val="20"/>
                                </w:rPr>
                                <w:t>14%</w:t>
                              </w:r>
                            </w:p>
                          </w:txbxContent>
                        </wps:txbx>
                        <wps:bodyPr wrap="square" lIns="0" tIns="0" rIns="0" bIns="0" rtlCol="0">
                          <a:noAutofit/>
                        </wps:bodyPr>
                      </wps:wsp>
                      <wps:wsp>
                        <wps:cNvPr id="1593525985" name="Textbox 7"/>
                        <wps:cNvSpPr txBox="1"/>
                        <wps:spPr>
                          <a:xfrm>
                            <a:off x="2785236" y="335534"/>
                            <a:ext cx="579120" cy="437515"/>
                          </a:xfrm>
                          <a:prstGeom prst="rect">
                            <a:avLst/>
                          </a:prstGeom>
                        </wps:spPr>
                        <wps:txbx>
                          <w:txbxContent>
                            <w:p w14:paraId="6A25073C" w14:textId="77777777" w:rsidR="00204C31" w:rsidRDefault="00204C31" w:rsidP="00204C31">
                              <w:pPr>
                                <w:spacing w:line="203" w:lineRule="exact"/>
                                <w:ind w:right="18"/>
                                <w:jc w:val="center"/>
                                <w:rPr>
                                  <w:rFonts w:ascii="Calibri"/>
                                  <w:b/>
                                  <w:sz w:val="20"/>
                                </w:rPr>
                              </w:pPr>
                              <w:r>
                                <w:rPr>
                                  <w:rFonts w:ascii="Calibri"/>
                                  <w:b/>
                                  <w:color w:val="5B9BD4"/>
                                  <w:sz w:val="20"/>
                                </w:rPr>
                                <w:t>New</w:t>
                              </w:r>
                              <w:r>
                                <w:rPr>
                                  <w:rFonts w:ascii="Calibri"/>
                                  <w:b/>
                                  <w:color w:val="5B9BD4"/>
                                  <w:spacing w:val="-4"/>
                                  <w:sz w:val="20"/>
                                </w:rPr>
                                <w:t xml:space="preserve"> Waso</w:t>
                              </w:r>
                            </w:p>
                            <w:p w14:paraId="29938B06" w14:textId="77777777" w:rsidR="00204C31" w:rsidRDefault="00204C31" w:rsidP="00204C31">
                              <w:pPr>
                                <w:ind w:left="2" w:right="18"/>
                                <w:jc w:val="center"/>
                                <w:rPr>
                                  <w:rFonts w:ascii="Calibri"/>
                                  <w:b/>
                                  <w:sz w:val="20"/>
                                </w:rPr>
                              </w:pPr>
                              <w:r>
                                <w:rPr>
                                  <w:rFonts w:ascii="Calibri"/>
                                  <w:b/>
                                  <w:color w:val="5B9BD4"/>
                                  <w:spacing w:val="-2"/>
                                  <w:sz w:val="20"/>
                                </w:rPr>
                                <w:t xml:space="preserve">Market </w:t>
                              </w:r>
                              <w:r>
                                <w:rPr>
                                  <w:rFonts w:ascii="Calibri"/>
                                  <w:b/>
                                  <w:color w:val="5B9BD4"/>
                                  <w:spacing w:val="-4"/>
                                  <w:sz w:val="20"/>
                                </w:rPr>
                                <w:t>19%</w:t>
                              </w:r>
                            </w:p>
                          </w:txbxContent>
                        </wps:txbx>
                        <wps:bodyPr wrap="square" lIns="0" tIns="0" rIns="0" bIns="0" rtlCol="0">
                          <a:noAutofit/>
                        </wps:bodyPr>
                      </wps:wsp>
                      <wps:wsp>
                        <wps:cNvPr id="1255079049" name="Textbox 8"/>
                        <wps:cNvSpPr txBox="1"/>
                        <wps:spPr>
                          <a:xfrm>
                            <a:off x="519048" y="765555"/>
                            <a:ext cx="400685" cy="437515"/>
                          </a:xfrm>
                          <a:prstGeom prst="rect">
                            <a:avLst/>
                          </a:prstGeom>
                        </wps:spPr>
                        <wps:txbx>
                          <w:txbxContent>
                            <w:p w14:paraId="1C49332F" w14:textId="77777777" w:rsidR="00204C31" w:rsidRDefault="00204C31" w:rsidP="00204C31">
                              <w:pPr>
                                <w:spacing w:line="203" w:lineRule="exact"/>
                                <w:ind w:left="4"/>
                                <w:rPr>
                                  <w:rFonts w:ascii="Calibri"/>
                                  <w:b/>
                                  <w:sz w:val="20"/>
                                </w:rPr>
                              </w:pPr>
                              <w:r>
                                <w:rPr>
                                  <w:rFonts w:ascii="Calibri"/>
                                  <w:b/>
                                  <w:color w:val="4471C4"/>
                                  <w:spacing w:val="-2"/>
                                  <w:sz w:val="20"/>
                                </w:rPr>
                                <w:t>Sunsun</w:t>
                              </w:r>
                            </w:p>
                            <w:p w14:paraId="3F3D48EC" w14:textId="77777777" w:rsidR="00204C31" w:rsidRDefault="00204C31" w:rsidP="00204C31">
                              <w:pPr>
                                <w:ind w:left="132" w:right="12" w:hanging="132"/>
                                <w:rPr>
                                  <w:rFonts w:ascii="Calibri"/>
                                  <w:b/>
                                  <w:sz w:val="20"/>
                                </w:rPr>
                              </w:pPr>
                              <w:r>
                                <w:rPr>
                                  <w:rFonts w:ascii="Calibri"/>
                                  <w:b/>
                                  <w:color w:val="4471C4"/>
                                  <w:spacing w:val="-2"/>
                                  <w:sz w:val="20"/>
                                </w:rPr>
                                <w:t xml:space="preserve">Market </w:t>
                              </w:r>
                              <w:r>
                                <w:rPr>
                                  <w:rFonts w:ascii="Calibri"/>
                                  <w:b/>
                                  <w:color w:val="4471C4"/>
                                  <w:spacing w:val="-4"/>
                                  <w:sz w:val="20"/>
                                </w:rPr>
                                <w:t>15%</w:t>
                              </w:r>
                            </w:p>
                          </w:txbxContent>
                        </wps:txbx>
                        <wps:bodyPr wrap="square" lIns="0" tIns="0" rIns="0" bIns="0" rtlCol="0">
                          <a:noAutofit/>
                        </wps:bodyPr>
                      </wps:wsp>
                      <wps:wsp>
                        <wps:cNvPr id="1583264034" name="Textbox 9"/>
                        <wps:cNvSpPr txBox="1"/>
                        <wps:spPr>
                          <a:xfrm>
                            <a:off x="3406394" y="1267586"/>
                            <a:ext cx="400685" cy="437515"/>
                          </a:xfrm>
                          <a:prstGeom prst="rect">
                            <a:avLst/>
                          </a:prstGeom>
                        </wps:spPr>
                        <wps:txbx>
                          <w:txbxContent>
                            <w:p w14:paraId="2D235E14" w14:textId="77777777" w:rsidR="00204C31" w:rsidRDefault="00204C31" w:rsidP="00204C31">
                              <w:pPr>
                                <w:spacing w:line="203" w:lineRule="exact"/>
                                <w:ind w:left="4"/>
                                <w:rPr>
                                  <w:rFonts w:ascii="Calibri"/>
                                  <w:b/>
                                  <w:sz w:val="20"/>
                                </w:rPr>
                              </w:pPr>
                              <w:r>
                                <w:rPr>
                                  <w:rFonts w:ascii="Calibri"/>
                                  <w:b/>
                                  <w:color w:val="EC7C30"/>
                                  <w:spacing w:val="-2"/>
                                  <w:sz w:val="20"/>
                                </w:rPr>
                                <w:t>Atenda</w:t>
                              </w:r>
                            </w:p>
                            <w:p w14:paraId="40DCDEA9" w14:textId="77777777" w:rsidR="00204C31" w:rsidRDefault="00204C31" w:rsidP="00204C31">
                              <w:pPr>
                                <w:ind w:left="131" w:right="13" w:hanging="132"/>
                                <w:rPr>
                                  <w:rFonts w:ascii="Calibri"/>
                                  <w:b/>
                                  <w:sz w:val="20"/>
                                </w:rPr>
                              </w:pPr>
                              <w:r>
                                <w:rPr>
                                  <w:rFonts w:ascii="Calibri"/>
                                  <w:b/>
                                  <w:color w:val="EC7C30"/>
                                  <w:spacing w:val="-2"/>
                                  <w:sz w:val="20"/>
                                </w:rPr>
                                <w:t xml:space="preserve">Market </w:t>
                              </w:r>
                              <w:r>
                                <w:rPr>
                                  <w:rFonts w:ascii="Calibri"/>
                                  <w:b/>
                                  <w:color w:val="EC7C30"/>
                                  <w:spacing w:val="-4"/>
                                  <w:sz w:val="20"/>
                                </w:rPr>
                                <w:t>16%</w:t>
                              </w:r>
                            </w:p>
                          </w:txbxContent>
                        </wps:txbx>
                        <wps:bodyPr wrap="square" lIns="0" tIns="0" rIns="0" bIns="0" rtlCol="0">
                          <a:noAutofit/>
                        </wps:bodyPr>
                      </wps:wsp>
                      <wps:wsp>
                        <wps:cNvPr id="496203073" name="Textbox 10"/>
                        <wps:cNvSpPr txBox="1"/>
                        <wps:spPr>
                          <a:xfrm>
                            <a:off x="446531" y="1886076"/>
                            <a:ext cx="744855" cy="281940"/>
                          </a:xfrm>
                          <a:prstGeom prst="rect">
                            <a:avLst/>
                          </a:prstGeom>
                        </wps:spPr>
                        <wps:txbx>
                          <w:txbxContent>
                            <w:p w14:paraId="7456D87A" w14:textId="77777777" w:rsidR="00204C31" w:rsidRDefault="00204C31" w:rsidP="00204C31">
                              <w:pPr>
                                <w:spacing w:line="203" w:lineRule="exact"/>
                                <w:ind w:right="18"/>
                                <w:jc w:val="center"/>
                                <w:rPr>
                                  <w:rFonts w:ascii="Calibri"/>
                                  <w:b/>
                                  <w:sz w:val="20"/>
                                </w:rPr>
                              </w:pPr>
                              <w:r>
                                <w:rPr>
                                  <w:rFonts w:ascii="Calibri"/>
                                  <w:b/>
                                  <w:color w:val="FFC000"/>
                                  <w:sz w:val="20"/>
                                </w:rPr>
                                <w:t>Arada</w:t>
                              </w:r>
                              <w:r>
                                <w:rPr>
                                  <w:rFonts w:ascii="Calibri"/>
                                  <w:b/>
                                  <w:color w:val="FFC000"/>
                                  <w:spacing w:val="-7"/>
                                  <w:sz w:val="20"/>
                                </w:rPr>
                                <w:t xml:space="preserve"> </w:t>
                              </w:r>
                              <w:r>
                                <w:rPr>
                                  <w:rFonts w:ascii="Calibri"/>
                                  <w:b/>
                                  <w:color w:val="FFC000"/>
                                  <w:spacing w:val="-2"/>
                                  <w:sz w:val="20"/>
                                </w:rPr>
                                <w:t>Market</w:t>
                              </w:r>
                            </w:p>
                            <w:p w14:paraId="42BBAD6B" w14:textId="77777777" w:rsidR="00204C31" w:rsidRDefault="00204C31" w:rsidP="00204C31">
                              <w:pPr>
                                <w:spacing w:line="240" w:lineRule="exact"/>
                                <w:ind w:right="15"/>
                                <w:jc w:val="center"/>
                                <w:rPr>
                                  <w:rFonts w:ascii="Calibri"/>
                                  <w:b/>
                                  <w:sz w:val="20"/>
                                </w:rPr>
                              </w:pPr>
                              <w:r>
                                <w:rPr>
                                  <w:rFonts w:ascii="Calibri"/>
                                  <w:b/>
                                  <w:color w:val="FFC000"/>
                                  <w:spacing w:val="-5"/>
                                  <w:sz w:val="20"/>
                                </w:rPr>
                                <w:t>20%</w:t>
                              </w:r>
                            </w:p>
                          </w:txbxContent>
                        </wps:txbx>
                        <wps:bodyPr wrap="square" lIns="0" tIns="0" rIns="0" bIns="0" rtlCol="0">
                          <a:noAutofit/>
                        </wps:bodyPr>
                      </wps:wsp>
                      <wps:wsp>
                        <wps:cNvPr id="493565859" name="Textbox 11"/>
                        <wps:cNvSpPr txBox="1"/>
                        <wps:spPr>
                          <a:xfrm>
                            <a:off x="2774314" y="1962276"/>
                            <a:ext cx="661035" cy="437515"/>
                          </a:xfrm>
                          <a:prstGeom prst="rect">
                            <a:avLst/>
                          </a:prstGeom>
                        </wps:spPr>
                        <wps:txbx>
                          <w:txbxContent>
                            <w:p w14:paraId="34F8A755" w14:textId="77777777" w:rsidR="00204C31" w:rsidRDefault="00204C31" w:rsidP="00204C31">
                              <w:pPr>
                                <w:spacing w:line="203" w:lineRule="exact"/>
                                <w:ind w:right="18"/>
                                <w:jc w:val="center"/>
                                <w:rPr>
                                  <w:rFonts w:ascii="Calibri"/>
                                  <w:b/>
                                  <w:sz w:val="20"/>
                                </w:rPr>
                              </w:pPr>
                              <w:r>
                                <w:rPr>
                                  <w:rFonts w:ascii="Calibri"/>
                                  <w:b/>
                                  <w:color w:val="A4A4A4"/>
                                  <w:sz w:val="20"/>
                                </w:rPr>
                                <w:t>Takie</w:t>
                              </w:r>
                              <w:r>
                                <w:rPr>
                                  <w:rFonts w:ascii="Calibri"/>
                                  <w:b/>
                                  <w:color w:val="A4A4A4"/>
                                  <w:spacing w:val="-4"/>
                                  <w:sz w:val="20"/>
                                </w:rPr>
                                <w:t xml:space="preserve"> </w:t>
                              </w:r>
                              <w:r>
                                <w:rPr>
                                  <w:rFonts w:ascii="Calibri"/>
                                  <w:b/>
                                  <w:color w:val="A4A4A4"/>
                                  <w:spacing w:val="-2"/>
                                  <w:sz w:val="20"/>
                                </w:rPr>
                                <w:t>Motor</w:t>
                              </w:r>
                            </w:p>
                            <w:p w14:paraId="423829F7" w14:textId="77777777" w:rsidR="00204C31" w:rsidRDefault="00204C31" w:rsidP="00204C31">
                              <w:pPr>
                                <w:ind w:left="186" w:right="205"/>
                                <w:jc w:val="center"/>
                                <w:rPr>
                                  <w:rFonts w:ascii="Calibri"/>
                                  <w:b/>
                                  <w:sz w:val="20"/>
                                </w:rPr>
                              </w:pPr>
                              <w:r>
                                <w:rPr>
                                  <w:rFonts w:ascii="Calibri"/>
                                  <w:b/>
                                  <w:color w:val="A4A4A4"/>
                                  <w:spacing w:val="-4"/>
                                  <w:sz w:val="20"/>
                                </w:rPr>
                                <w:t xml:space="preserve">Park </w:t>
                              </w:r>
                              <w:r>
                                <w:rPr>
                                  <w:rFonts w:ascii="Calibri"/>
                                  <w:b/>
                                  <w:color w:val="A4A4A4"/>
                                  <w:spacing w:val="-5"/>
                                  <w:sz w:val="20"/>
                                </w:rPr>
                                <w:t>16%</w:t>
                              </w:r>
                            </w:p>
                          </w:txbxContent>
                        </wps:txbx>
                        <wps:bodyPr wrap="square" lIns="0" tIns="0" rIns="0" bIns="0" rtlCol="0">
                          <a:noAutofit/>
                        </wps:bodyPr>
                      </wps:wsp>
                    </wpg:wgp>
                  </a:graphicData>
                </a:graphic>
              </wp:anchor>
            </w:drawing>
          </mc:Choice>
          <mc:Fallback>
            <w:pict>
              <v:group w14:anchorId="6F9BDF00" id="Group 326579701" o:spid="_x0000_s1061" style="position:absolute;left:0;text-align:left;margin-left:57.65pt;margin-top:18.65pt;width:334.95pt;height:190.95pt;z-index:251719680;mso-position-horizontal-relative:text;mso-position-vertical-relative:text" coordsize="42538,24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">
                <v:shape id="Image 4" o:spid="_x0000_s1062" type="#_x0000_t75" style="position:absolute;left:8558;top:6624;width:25418;height:14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">
                  <v:imagedata r:id="rId249" o:title=""/>
                </v:shape>
                <v:shape id="Graphic 5" o:spid="_x0000_s1063" style="position:absolute;left:45;top:45;width:42444;height:24156;visibility:visible;mso-wrap-style:square;v-text-anchor:top" coordsize="4244340,2415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" path="m,2415540r4244340,l4244340,,,,,2415540xe" filled="f" strokecolor="#d9d9d9" strokeweight=".72pt">
                  <v:path arrowok="t"/>
                </v:shape>
                <v:shape id="Textbox 6" o:spid="_x0000_s1064" type="#_x0000_t202" style="position:absolute;left:10783;top:1418;width:14929;height:5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" filled="f" stroked="f">
                  <v:textbox inset="0,0,0,0">
                    <w:txbxContent>
                      <w:p w14:paraId="5A102403" w14:textId="77777777" w:rsidR="00204C31" w:rsidRDefault="00204C31" w:rsidP="00204C31">
                        <w:pPr>
                          <w:spacing w:line="333" w:lineRule="exact"/>
                          <w:rPr>
                            <w:rFonts w:ascii="Calibri"/>
                            <w:b/>
                            <w:sz w:val="32"/>
                          </w:rPr>
                        </w:pPr>
                        <w:r>
                          <w:rPr>
                            <w:rFonts w:ascii="Calibri"/>
                            <w:b/>
                            <w:color w:val="6FAC46"/>
                            <w:position w:val="-3"/>
                            <w:sz w:val="20"/>
                          </w:rPr>
                          <w:t>Ora</w:t>
                        </w:r>
                        <w:r>
                          <w:rPr>
                            <w:rFonts w:ascii="Calibri"/>
                            <w:b/>
                            <w:color w:val="6FAC46"/>
                            <w:spacing w:val="-6"/>
                            <w:position w:val="-3"/>
                            <w:sz w:val="20"/>
                          </w:rPr>
                          <w:t xml:space="preserve"> </w:t>
                        </w:r>
                        <w:r>
                          <w:rPr>
                            <w:rFonts w:ascii="Calibri"/>
                            <w:b/>
                            <w:color w:val="6FAC46"/>
                            <w:position w:val="-3"/>
                            <w:sz w:val="20"/>
                          </w:rPr>
                          <w:t>Motor</w:t>
                        </w:r>
                        <w:r>
                          <w:rPr>
                            <w:rFonts w:ascii="Calibri"/>
                            <w:b/>
                            <w:color w:val="6FAC46"/>
                            <w:spacing w:val="43"/>
                            <w:position w:val="-3"/>
                            <w:sz w:val="20"/>
                          </w:rPr>
                          <w:t xml:space="preserve"> </w:t>
                        </w:r>
                        <w:r>
                          <w:rPr>
                            <w:rFonts w:ascii="Calibri"/>
                            <w:b/>
                            <w:color w:val="585858"/>
                            <w:spacing w:val="-2"/>
                            <w:sz w:val="32"/>
                          </w:rPr>
                          <w:t>LOCATION</w:t>
                        </w:r>
                      </w:p>
                      <w:p w14:paraId="38427F93" w14:textId="77777777" w:rsidR="00204C31" w:rsidRDefault="00204C31" w:rsidP="00204C31">
                        <w:pPr>
                          <w:ind w:left="269" w:right="1717" w:hanging="12"/>
                          <w:rPr>
                            <w:rFonts w:ascii="Calibri"/>
                            <w:b/>
                            <w:sz w:val="20"/>
                          </w:rPr>
                        </w:pPr>
                        <w:r>
                          <w:rPr>
                            <w:rFonts w:ascii="Calibri"/>
                            <w:b/>
                            <w:color w:val="6FAC46"/>
                            <w:spacing w:val="-4"/>
                            <w:sz w:val="20"/>
                          </w:rPr>
                          <w:t xml:space="preserve">Park </w:t>
                        </w:r>
                        <w:r>
                          <w:rPr>
                            <w:rFonts w:ascii="Calibri"/>
                            <w:b/>
                            <w:color w:val="6FAC46"/>
                            <w:spacing w:val="-5"/>
                            <w:sz w:val="20"/>
                          </w:rPr>
                          <w:t>14%</w:t>
                        </w:r>
                      </w:p>
                    </w:txbxContent>
                  </v:textbox>
                </v:shape>
                <v:shape id="Textbox 7" o:spid="_x0000_s1065" type="#_x0000_t202" style="position:absolute;left:27852;top:3355;width:5791;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" filled="f" stroked="f">
                  <v:textbox inset="0,0,0,0">
                    <w:txbxContent>
                      <w:p w14:paraId="6A25073C" w14:textId="77777777" w:rsidR="00204C31" w:rsidRDefault="00204C31" w:rsidP="00204C31">
                        <w:pPr>
                          <w:spacing w:line="203" w:lineRule="exact"/>
                          <w:ind w:right="18"/>
                          <w:jc w:val="center"/>
                          <w:rPr>
                            <w:rFonts w:ascii="Calibri"/>
                            <w:b/>
                            <w:sz w:val="20"/>
                          </w:rPr>
                        </w:pPr>
                        <w:r>
                          <w:rPr>
                            <w:rFonts w:ascii="Calibri"/>
                            <w:b/>
                            <w:color w:val="5B9BD4"/>
                            <w:sz w:val="20"/>
                          </w:rPr>
                          <w:t>New</w:t>
                        </w:r>
                        <w:r>
                          <w:rPr>
                            <w:rFonts w:ascii="Calibri"/>
                            <w:b/>
                            <w:color w:val="5B9BD4"/>
                            <w:spacing w:val="-4"/>
                            <w:sz w:val="20"/>
                          </w:rPr>
                          <w:t xml:space="preserve"> Waso</w:t>
                        </w:r>
                      </w:p>
                      <w:p w14:paraId="29938B06" w14:textId="77777777" w:rsidR="00204C31" w:rsidRDefault="00204C31" w:rsidP="00204C31">
                        <w:pPr>
                          <w:ind w:left="2" w:right="18"/>
                          <w:jc w:val="center"/>
                          <w:rPr>
                            <w:rFonts w:ascii="Calibri"/>
                            <w:b/>
                            <w:sz w:val="20"/>
                          </w:rPr>
                        </w:pPr>
                        <w:r>
                          <w:rPr>
                            <w:rFonts w:ascii="Calibri"/>
                            <w:b/>
                            <w:color w:val="5B9BD4"/>
                            <w:spacing w:val="-2"/>
                            <w:sz w:val="20"/>
                          </w:rPr>
                          <w:t xml:space="preserve">Market </w:t>
                        </w:r>
                        <w:r>
                          <w:rPr>
                            <w:rFonts w:ascii="Calibri"/>
                            <w:b/>
                            <w:color w:val="5B9BD4"/>
                            <w:spacing w:val="-4"/>
                            <w:sz w:val="20"/>
                          </w:rPr>
                          <w:t>19%</w:t>
                        </w:r>
                      </w:p>
                    </w:txbxContent>
                  </v:textbox>
                </v:shape>
                <v:shape id="Textbox 8" o:spid="_x0000_s1066" type="#_x0000_t202" style="position:absolute;left:5190;top:7655;width:4007;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" filled="f" stroked="f">
                  <v:textbox inset="0,0,0,0">
                    <w:txbxContent>
                      <w:p w14:paraId="1C49332F" w14:textId="77777777" w:rsidR="00204C31" w:rsidRDefault="00204C31" w:rsidP="00204C31">
                        <w:pPr>
                          <w:spacing w:line="203" w:lineRule="exact"/>
                          <w:ind w:left="4"/>
                          <w:rPr>
                            <w:rFonts w:ascii="Calibri"/>
                            <w:b/>
                            <w:sz w:val="20"/>
                          </w:rPr>
                        </w:pPr>
                        <w:r>
                          <w:rPr>
                            <w:rFonts w:ascii="Calibri"/>
                            <w:b/>
                            <w:color w:val="4471C4"/>
                            <w:spacing w:val="-2"/>
                            <w:sz w:val="20"/>
                          </w:rPr>
                          <w:t>Sunsun</w:t>
                        </w:r>
                      </w:p>
                      <w:p w14:paraId="3F3D48EC" w14:textId="77777777" w:rsidR="00204C31" w:rsidRDefault="00204C31" w:rsidP="00204C31">
                        <w:pPr>
                          <w:ind w:left="132" w:right="12" w:hanging="132"/>
                          <w:rPr>
                            <w:rFonts w:ascii="Calibri"/>
                            <w:b/>
                            <w:sz w:val="20"/>
                          </w:rPr>
                        </w:pPr>
                        <w:r>
                          <w:rPr>
                            <w:rFonts w:ascii="Calibri"/>
                            <w:b/>
                            <w:color w:val="4471C4"/>
                            <w:spacing w:val="-2"/>
                            <w:sz w:val="20"/>
                          </w:rPr>
                          <w:t xml:space="preserve">Market </w:t>
                        </w:r>
                        <w:r>
                          <w:rPr>
                            <w:rFonts w:ascii="Calibri"/>
                            <w:b/>
                            <w:color w:val="4471C4"/>
                            <w:spacing w:val="-4"/>
                            <w:sz w:val="20"/>
                          </w:rPr>
                          <w:t>15%</w:t>
                        </w:r>
                      </w:p>
                    </w:txbxContent>
                  </v:textbox>
                </v:shape>
                <v:shape id="Textbox 9" o:spid="_x0000_s1067" type="#_x0000_t202" style="position:absolute;left:34063;top:12675;width:4007;height:4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" filled="f" stroked="f">
                  <v:textbox inset="0,0,0,0">
                    <w:txbxContent>
                      <w:p w14:paraId="2D235E14" w14:textId="77777777" w:rsidR="00204C31" w:rsidRDefault="00204C31" w:rsidP="00204C31">
                        <w:pPr>
                          <w:spacing w:line="203" w:lineRule="exact"/>
                          <w:ind w:left="4"/>
                          <w:rPr>
                            <w:rFonts w:ascii="Calibri"/>
                            <w:b/>
                            <w:sz w:val="20"/>
                          </w:rPr>
                        </w:pPr>
                        <w:r>
                          <w:rPr>
                            <w:rFonts w:ascii="Calibri"/>
                            <w:b/>
                            <w:color w:val="EC7C30"/>
                            <w:spacing w:val="-2"/>
                            <w:sz w:val="20"/>
                          </w:rPr>
                          <w:t>Atenda</w:t>
                        </w:r>
                      </w:p>
                      <w:p w14:paraId="40DCDEA9" w14:textId="77777777" w:rsidR="00204C31" w:rsidRDefault="00204C31" w:rsidP="00204C31">
                        <w:pPr>
                          <w:ind w:left="131" w:right="13" w:hanging="132"/>
                          <w:rPr>
                            <w:rFonts w:ascii="Calibri"/>
                            <w:b/>
                            <w:sz w:val="20"/>
                          </w:rPr>
                        </w:pPr>
                        <w:r>
                          <w:rPr>
                            <w:rFonts w:ascii="Calibri"/>
                            <w:b/>
                            <w:color w:val="EC7C30"/>
                            <w:spacing w:val="-2"/>
                            <w:sz w:val="20"/>
                          </w:rPr>
                          <w:t xml:space="preserve">Market </w:t>
                        </w:r>
                        <w:r>
                          <w:rPr>
                            <w:rFonts w:ascii="Calibri"/>
                            <w:b/>
                            <w:color w:val="EC7C30"/>
                            <w:spacing w:val="-4"/>
                            <w:sz w:val="20"/>
                          </w:rPr>
                          <w:t>16%</w:t>
                        </w:r>
                      </w:p>
                    </w:txbxContent>
                  </v:textbox>
                </v:shape>
                <v:shape id="Textbox 10" o:spid="_x0000_s1068" type="#_x0000_t202" style="position:absolute;left:4465;top:18860;width:7448;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" filled="f" stroked="f">
                  <v:textbox inset="0,0,0,0">
                    <w:txbxContent>
                      <w:p w14:paraId="7456D87A" w14:textId="77777777" w:rsidR="00204C31" w:rsidRDefault="00204C31" w:rsidP="00204C31">
                        <w:pPr>
                          <w:spacing w:line="203" w:lineRule="exact"/>
                          <w:ind w:right="18"/>
                          <w:jc w:val="center"/>
                          <w:rPr>
                            <w:rFonts w:ascii="Calibri"/>
                            <w:b/>
                            <w:sz w:val="20"/>
                          </w:rPr>
                        </w:pPr>
                        <w:r>
                          <w:rPr>
                            <w:rFonts w:ascii="Calibri"/>
                            <w:b/>
                            <w:color w:val="FFC000"/>
                            <w:sz w:val="20"/>
                          </w:rPr>
                          <w:t>Arada</w:t>
                        </w:r>
                        <w:r>
                          <w:rPr>
                            <w:rFonts w:ascii="Calibri"/>
                            <w:b/>
                            <w:color w:val="FFC000"/>
                            <w:spacing w:val="-7"/>
                            <w:sz w:val="20"/>
                          </w:rPr>
                          <w:t xml:space="preserve"> </w:t>
                        </w:r>
                        <w:r>
                          <w:rPr>
                            <w:rFonts w:ascii="Calibri"/>
                            <w:b/>
                            <w:color w:val="FFC000"/>
                            <w:spacing w:val="-2"/>
                            <w:sz w:val="20"/>
                          </w:rPr>
                          <w:t>Market</w:t>
                        </w:r>
                      </w:p>
                      <w:p w14:paraId="42BBAD6B" w14:textId="77777777" w:rsidR="00204C31" w:rsidRDefault="00204C31" w:rsidP="00204C31">
                        <w:pPr>
                          <w:spacing w:line="240" w:lineRule="exact"/>
                          <w:ind w:right="15"/>
                          <w:jc w:val="center"/>
                          <w:rPr>
                            <w:rFonts w:ascii="Calibri"/>
                            <w:b/>
                            <w:sz w:val="20"/>
                          </w:rPr>
                        </w:pPr>
                        <w:r>
                          <w:rPr>
                            <w:rFonts w:ascii="Calibri"/>
                            <w:b/>
                            <w:color w:val="FFC000"/>
                            <w:spacing w:val="-5"/>
                            <w:sz w:val="20"/>
                          </w:rPr>
                          <w:t>20%</w:t>
                        </w:r>
                      </w:p>
                    </w:txbxContent>
                  </v:textbox>
                </v:shape>
                <v:shape id="Textbox 11" o:spid="_x0000_s1069" type="#_x0000_t202" style="position:absolute;left:27743;top:19622;width:6610;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" filled="f" stroked="f">
                  <v:textbox inset="0,0,0,0">
                    <w:txbxContent>
                      <w:p w14:paraId="34F8A755" w14:textId="77777777" w:rsidR="00204C31" w:rsidRDefault="00204C31" w:rsidP="00204C31">
                        <w:pPr>
                          <w:spacing w:line="203" w:lineRule="exact"/>
                          <w:ind w:right="18"/>
                          <w:jc w:val="center"/>
                          <w:rPr>
                            <w:rFonts w:ascii="Calibri"/>
                            <w:b/>
                            <w:sz w:val="20"/>
                          </w:rPr>
                        </w:pPr>
                        <w:r>
                          <w:rPr>
                            <w:rFonts w:ascii="Calibri"/>
                            <w:b/>
                            <w:color w:val="A4A4A4"/>
                            <w:sz w:val="20"/>
                          </w:rPr>
                          <w:t>Takie</w:t>
                        </w:r>
                        <w:r>
                          <w:rPr>
                            <w:rFonts w:ascii="Calibri"/>
                            <w:b/>
                            <w:color w:val="A4A4A4"/>
                            <w:spacing w:val="-4"/>
                            <w:sz w:val="20"/>
                          </w:rPr>
                          <w:t xml:space="preserve"> </w:t>
                        </w:r>
                        <w:r>
                          <w:rPr>
                            <w:rFonts w:ascii="Calibri"/>
                            <w:b/>
                            <w:color w:val="A4A4A4"/>
                            <w:spacing w:val="-2"/>
                            <w:sz w:val="20"/>
                          </w:rPr>
                          <w:t>Motor</w:t>
                        </w:r>
                      </w:p>
                      <w:p w14:paraId="423829F7" w14:textId="77777777" w:rsidR="00204C31" w:rsidRDefault="00204C31" w:rsidP="00204C31">
                        <w:pPr>
                          <w:ind w:left="186" w:right="205"/>
                          <w:jc w:val="center"/>
                          <w:rPr>
                            <w:rFonts w:ascii="Calibri"/>
                            <w:b/>
                            <w:sz w:val="20"/>
                          </w:rPr>
                        </w:pPr>
                        <w:r>
                          <w:rPr>
                            <w:rFonts w:ascii="Calibri"/>
                            <w:b/>
                            <w:color w:val="A4A4A4"/>
                            <w:spacing w:val="-4"/>
                            <w:sz w:val="20"/>
                          </w:rPr>
                          <w:t xml:space="preserve">Park </w:t>
                        </w:r>
                        <w:r>
                          <w:rPr>
                            <w:rFonts w:ascii="Calibri"/>
                            <w:b/>
                            <w:color w:val="A4A4A4"/>
                            <w:spacing w:val="-5"/>
                            <w:sz w:val="20"/>
                          </w:rPr>
                          <w:t>16%</w:t>
                        </w:r>
                      </w:p>
                    </w:txbxContent>
                  </v:textbox>
                </v:shape>
                <w10:wrap type="topAndBottom"/>
              </v:group>
            </w:pict>
          </mc:Fallback>
        </mc:AlternateContent>
      </w:r>
      <w:r w:rsidR="004D1527" w:rsidRPr="004D1527">
        <w:rPr>
          <w:rFonts w:ascii="Times New Roman" w:hAnsi="Times New Roman" w:cs="Times New Roman"/>
          <w:color w:val="000000"/>
          <w:sz w:val="24"/>
          <w:szCs w:val="24"/>
        </w:rPr>
        <w:t xml:space="preserve"> </w:t>
      </w:r>
    </w:p>
    <w:p w14:paraId="393F46C6" w14:textId="5EEE195F" w:rsidR="00204C31" w:rsidRPr="004D1527" w:rsidRDefault="00204C31" w:rsidP="004D1527">
      <w:pPr>
        <w:autoSpaceDE w:val="0"/>
        <w:autoSpaceDN w:val="0"/>
        <w:adjustRightInd w:val="0"/>
        <w:spacing w:after="0" w:line="240" w:lineRule="auto"/>
        <w:jc w:val="both"/>
        <w:rPr>
          <w:rFonts w:ascii="Times New Roman" w:hAnsi="Times New Roman" w:cs="Times New Roman"/>
          <w:color w:val="000000"/>
          <w:sz w:val="24"/>
          <w:szCs w:val="24"/>
        </w:rPr>
      </w:pPr>
    </w:p>
    <w:p w14:paraId="7965B4FF" w14:textId="77777777" w:rsidR="005730E3" w:rsidRDefault="004D1527" w:rsidP="00204C31">
      <w:pPr>
        <w:autoSpaceDE w:val="0"/>
        <w:autoSpaceDN w:val="0"/>
        <w:adjustRightInd w:val="0"/>
        <w:spacing w:after="0" w:line="240" w:lineRule="auto"/>
        <w:jc w:val="center"/>
        <w:rPr>
          <w:rFonts w:ascii="Times New Roman" w:hAnsi="Times New Roman" w:cs="Times New Roman"/>
          <w:color w:val="000000"/>
          <w:sz w:val="24"/>
          <w:szCs w:val="24"/>
        </w:rPr>
      </w:pPr>
      <w:r w:rsidRPr="004D1527">
        <w:rPr>
          <w:rFonts w:ascii="Times New Roman" w:hAnsi="Times New Roman" w:cs="Times New Roman"/>
          <w:color w:val="000000"/>
          <w:sz w:val="24"/>
          <w:szCs w:val="24"/>
        </w:rPr>
        <w:t xml:space="preserve">Fig 2: Locational distribution of Respondents </w:t>
      </w:r>
    </w:p>
    <w:p w14:paraId="56F49EB9" w14:textId="68D2C894" w:rsidR="004D1527" w:rsidRPr="004D1527" w:rsidRDefault="004D1527" w:rsidP="00204C31">
      <w:pPr>
        <w:autoSpaceDE w:val="0"/>
        <w:autoSpaceDN w:val="0"/>
        <w:adjustRightInd w:val="0"/>
        <w:spacing w:after="0" w:line="240" w:lineRule="auto"/>
        <w:jc w:val="center"/>
        <w:rPr>
          <w:rFonts w:ascii="Times New Roman" w:hAnsi="Times New Roman" w:cs="Times New Roman"/>
          <w:color w:val="000000"/>
          <w:sz w:val="24"/>
          <w:szCs w:val="24"/>
        </w:rPr>
      </w:pPr>
      <w:r w:rsidRPr="004D1527">
        <w:rPr>
          <w:rFonts w:ascii="Times New Roman" w:hAnsi="Times New Roman" w:cs="Times New Roman"/>
          <w:color w:val="000000"/>
          <w:sz w:val="24"/>
          <w:szCs w:val="24"/>
        </w:rPr>
        <w:t>Source: Author’s field survey, 2023</w:t>
      </w:r>
    </w:p>
    <w:p w14:paraId="0179F873"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0F196CA8" w14:textId="77777777" w:rsidR="00204C31" w:rsidRDefault="00204C31" w:rsidP="004D1527">
      <w:pPr>
        <w:autoSpaceDE w:val="0"/>
        <w:autoSpaceDN w:val="0"/>
        <w:adjustRightInd w:val="0"/>
        <w:spacing w:after="0" w:line="240" w:lineRule="auto"/>
        <w:jc w:val="both"/>
        <w:rPr>
          <w:rFonts w:ascii="Times New Roman" w:hAnsi="Times New Roman" w:cs="Times New Roman"/>
          <w:color w:val="000000"/>
          <w:sz w:val="24"/>
          <w:szCs w:val="24"/>
        </w:rPr>
      </w:pPr>
    </w:p>
    <w:p w14:paraId="4D94B937" w14:textId="77777777" w:rsidR="00204C31" w:rsidRDefault="00204C31" w:rsidP="004D1527">
      <w:pPr>
        <w:autoSpaceDE w:val="0"/>
        <w:autoSpaceDN w:val="0"/>
        <w:adjustRightInd w:val="0"/>
        <w:spacing w:after="0" w:line="240" w:lineRule="auto"/>
        <w:jc w:val="both"/>
        <w:rPr>
          <w:rFonts w:ascii="Times New Roman" w:hAnsi="Times New Roman" w:cs="Times New Roman"/>
          <w:color w:val="000000"/>
          <w:sz w:val="24"/>
          <w:szCs w:val="24"/>
        </w:rPr>
      </w:pPr>
    </w:p>
    <w:p w14:paraId="3F3D1411" w14:textId="4EB41BD1" w:rsidR="004D1527" w:rsidRPr="00204C31"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204C31">
        <w:rPr>
          <w:rFonts w:ascii="Times New Roman" w:hAnsi="Times New Roman" w:cs="Times New Roman"/>
          <w:b/>
          <w:bCs/>
          <w:color w:val="000000"/>
          <w:sz w:val="24"/>
          <w:szCs w:val="24"/>
        </w:rPr>
        <w:t>Gender Distribution</w:t>
      </w:r>
    </w:p>
    <w:p w14:paraId="2537A42C" w14:textId="25772658"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The gender distribution of public toilet users (fig 3) in Ogbomoso North and South shows that male gender uses the restroom more than the female gender. This is due to the privacy level and fear of contacting toilet diseases – urinary tract infections and yeast infections (Hanzhen, 2021) which disproportionately affect women. The absence of gender-separated facilities was cited as a key deterrent to female patronage.</w:t>
      </w:r>
    </w:p>
    <w:p w14:paraId="62A202AD" w14:textId="6706B497" w:rsidR="004D1527" w:rsidRPr="004D1527" w:rsidRDefault="005730E3" w:rsidP="004D1527">
      <w:pPr>
        <w:autoSpaceDE w:val="0"/>
        <w:autoSpaceDN w:val="0"/>
        <w:adjustRightInd w:val="0"/>
        <w:spacing w:after="0" w:line="240" w:lineRule="auto"/>
        <w:jc w:val="both"/>
        <w:rPr>
          <w:rFonts w:ascii="Times New Roman" w:hAnsi="Times New Roman" w:cs="Times New Roman"/>
          <w:color w:val="000000"/>
          <w:sz w:val="24"/>
          <w:szCs w:val="24"/>
        </w:rPr>
      </w:pPr>
      <w:r>
        <w:rPr>
          <w:noProof/>
          <w:sz w:val="20"/>
        </w:rPr>
        <mc:AlternateContent>
          <mc:Choice Requires="wpg">
            <w:drawing>
              <wp:anchor distT="0" distB="0" distL="114300" distR="114300" simplePos="0" relativeHeight="251720704" behindDoc="0" locked="0" layoutInCell="1" allowOverlap="1" wp14:anchorId="414389B1" wp14:editId="1532E4CF">
                <wp:simplePos x="0" y="0"/>
                <wp:positionH relativeFrom="column">
                  <wp:posOffset>949325</wp:posOffset>
                </wp:positionH>
                <wp:positionV relativeFrom="paragraph">
                  <wp:posOffset>179705</wp:posOffset>
                </wp:positionV>
                <wp:extent cx="4253865" cy="2425065"/>
                <wp:effectExtent l="0" t="0" r="13335" b="13335"/>
                <wp:wrapTopAndBottom/>
                <wp:docPr id="887255021" name="Group 887255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3865" cy="2425065"/>
                          <a:chOff x="0" y="0"/>
                          <a:chExt cx="4253865" cy="2425065"/>
                        </a:xfrm>
                      </wpg:grpSpPr>
                      <pic:pic xmlns:pic="http://schemas.openxmlformats.org/drawingml/2006/picture">
                        <pic:nvPicPr>
                          <pic:cNvPr id="232389400" name="Image 4"/>
                          <pic:cNvPicPr/>
                        </pic:nvPicPr>
                        <pic:blipFill>
                          <a:blip r:embed="rId248" cstate="print"/>
                          <a:stretch>
                            <a:fillRect/>
                          </a:stretch>
                        </pic:blipFill>
                        <pic:spPr>
                          <a:xfrm>
                            <a:off x="855858" y="662444"/>
                            <a:ext cx="2541766" cy="1451495"/>
                          </a:xfrm>
                          <a:prstGeom prst="rect">
                            <a:avLst/>
                          </a:prstGeom>
                        </pic:spPr>
                      </pic:pic>
                      <wps:wsp>
                        <wps:cNvPr id="1929335055" name="Graphic 5"/>
                        <wps:cNvSpPr/>
                        <wps:spPr>
                          <a:xfrm>
                            <a:off x="4572" y="4572"/>
                            <a:ext cx="4244340" cy="2415540"/>
                          </a:xfrm>
                          <a:custGeom>
                            <a:avLst/>
                            <a:gdLst/>
                            <a:ahLst/>
                            <a:cxnLst/>
                            <a:rect l="l" t="t" r="r" b="b"/>
                            <a:pathLst>
                              <a:path w="4244340" h="2415540">
                                <a:moveTo>
                                  <a:pt x="0" y="2415540"/>
                                </a:moveTo>
                                <a:lnTo>
                                  <a:pt x="4244340" y="2415540"/>
                                </a:lnTo>
                                <a:lnTo>
                                  <a:pt x="4244340" y="0"/>
                                </a:lnTo>
                                <a:lnTo>
                                  <a:pt x="0" y="0"/>
                                </a:lnTo>
                                <a:lnTo>
                                  <a:pt x="0" y="2415540"/>
                                </a:lnTo>
                                <a:close/>
                              </a:path>
                            </a:pathLst>
                          </a:custGeom>
                          <a:ln w="9144">
                            <a:solidFill>
                              <a:srgbClr val="D9D9D9"/>
                            </a:solidFill>
                            <a:prstDash val="solid"/>
                          </a:ln>
                        </wps:spPr>
                        <wps:bodyPr wrap="square" lIns="0" tIns="0" rIns="0" bIns="0" rtlCol="0">
                          <a:prstTxWarp prst="textNoShape">
                            <a:avLst/>
                          </a:prstTxWarp>
                          <a:noAutofit/>
                        </wps:bodyPr>
                      </wps:wsp>
                      <wps:wsp>
                        <wps:cNvPr id="586052384" name="Textbox 6"/>
                        <wps:cNvSpPr txBox="1"/>
                        <wps:spPr>
                          <a:xfrm>
                            <a:off x="1078357" y="141859"/>
                            <a:ext cx="1492885" cy="519430"/>
                          </a:xfrm>
                          <a:prstGeom prst="rect">
                            <a:avLst/>
                          </a:prstGeom>
                        </wps:spPr>
                        <wps:txbx>
                          <w:txbxContent>
                            <w:p w14:paraId="6E9C003B" w14:textId="77777777" w:rsidR="00204C31" w:rsidRDefault="00204C31" w:rsidP="00204C31">
                              <w:pPr>
                                <w:spacing w:line="333" w:lineRule="exact"/>
                                <w:rPr>
                                  <w:rFonts w:ascii="Calibri"/>
                                  <w:b/>
                                  <w:sz w:val="32"/>
                                </w:rPr>
                              </w:pPr>
                              <w:r>
                                <w:rPr>
                                  <w:rFonts w:ascii="Calibri"/>
                                  <w:b/>
                                  <w:color w:val="6FAC46"/>
                                  <w:position w:val="-3"/>
                                  <w:sz w:val="20"/>
                                </w:rPr>
                                <w:t>Ora</w:t>
                              </w:r>
                              <w:r>
                                <w:rPr>
                                  <w:rFonts w:ascii="Calibri"/>
                                  <w:b/>
                                  <w:color w:val="6FAC46"/>
                                  <w:spacing w:val="-6"/>
                                  <w:position w:val="-3"/>
                                  <w:sz w:val="20"/>
                                </w:rPr>
                                <w:t xml:space="preserve"> </w:t>
                              </w:r>
                              <w:r>
                                <w:rPr>
                                  <w:rFonts w:ascii="Calibri"/>
                                  <w:b/>
                                  <w:color w:val="6FAC46"/>
                                  <w:position w:val="-3"/>
                                  <w:sz w:val="20"/>
                                </w:rPr>
                                <w:t>Motor</w:t>
                              </w:r>
                              <w:r>
                                <w:rPr>
                                  <w:rFonts w:ascii="Calibri"/>
                                  <w:b/>
                                  <w:color w:val="6FAC46"/>
                                  <w:spacing w:val="43"/>
                                  <w:position w:val="-3"/>
                                  <w:sz w:val="20"/>
                                </w:rPr>
                                <w:t xml:space="preserve"> </w:t>
                              </w:r>
                              <w:r>
                                <w:rPr>
                                  <w:rFonts w:ascii="Calibri"/>
                                  <w:b/>
                                  <w:color w:val="585858"/>
                                  <w:spacing w:val="-2"/>
                                  <w:sz w:val="32"/>
                                </w:rPr>
                                <w:t>LOCATION</w:t>
                              </w:r>
                            </w:p>
                            <w:p w14:paraId="71C1D96E" w14:textId="77777777" w:rsidR="00204C31" w:rsidRDefault="00204C31" w:rsidP="00204C31">
                              <w:pPr>
                                <w:ind w:left="269" w:right="1717" w:hanging="12"/>
                                <w:rPr>
                                  <w:rFonts w:ascii="Calibri"/>
                                  <w:b/>
                                  <w:sz w:val="20"/>
                                </w:rPr>
                              </w:pPr>
                              <w:r>
                                <w:rPr>
                                  <w:rFonts w:ascii="Calibri"/>
                                  <w:b/>
                                  <w:color w:val="6FAC46"/>
                                  <w:spacing w:val="-4"/>
                                  <w:sz w:val="20"/>
                                </w:rPr>
                                <w:t xml:space="preserve">Park </w:t>
                              </w:r>
                              <w:r>
                                <w:rPr>
                                  <w:rFonts w:ascii="Calibri"/>
                                  <w:b/>
                                  <w:color w:val="6FAC46"/>
                                  <w:spacing w:val="-5"/>
                                  <w:sz w:val="20"/>
                                </w:rPr>
                                <w:t>14%</w:t>
                              </w:r>
                            </w:p>
                          </w:txbxContent>
                        </wps:txbx>
                        <wps:bodyPr wrap="square" lIns="0" tIns="0" rIns="0" bIns="0" rtlCol="0">
                          <a:noAutofit/>
                        </wps:bodyPr>
                      </wps:wsp>
                      <wps:wsp>
                        <wps:cNvPr id="1293613358" name="Textbox 7"/>
                        <wps:cNvSpPr txBox="1"/>
                        <wps:spPr>
                          <a:xfrm>
                            <a:off x="2785236" y="335534"/>
                            <a:ext cx="579120" cy="437515"/>
                          </a:xfrm>
                          <a:prstGeom prst="rect">
                            <a:avLst/>
                          </a:prstGeom>
                        </wps:spPr>
                        <wps:txbx>
                          <w:txbxContent>
                            <w:p w14:paraId="34BF56DC" w14:textId="77777777" w:rsidR="00204C31" w:rsidRDefault="00204C31" w:rsidP="00204C31">
                              <w:pPr>
                                <w:spacing w:line="203" w:lineRule="exact"/>
                                <w:ind w:right="18"/>
                                <w:jc w:val="center"/>
                                <w:rPr>
                                  <w:rFonts w:ascii="Calibri"/>
                                  <w:b/>
                                  <w:sz w:val="20"/>
                                </w:rPr>
                              </w:pPr>
                              <w:r>
                                <w:rPr>
                                  <w:rFonts w:ascii="Calibri"/>
                                  <w:b/>
                                  <w:color w:val="5B9BD4"/>
                                  <w:sz w:val="20"/>
                                </w:rPr>
                                <w:t>New</w:t>
                              </w:r>
                              <w:r>
                                <w:rPr>
                                  <w:rFonts w:ascii="Calibri"/>
                                  <w:b/>
                                  <w:color w:val="5B9BD4"/>
                                  <w:spacing w:val="-4"/>
                                  <w:sz w:val="20"/>
                                </w:rPr>
                                <w:t xml:space="preserve"> Waso</w:t>
                              </w:r>
                            </w:p>
                            <w:p w14:paraId="2B74002D" w14:textId="77777777" w:rsidR="00204C31" w:rsidRDefault="00204C31" w:rsidP="00204C31">
                              <w:pPr>
                                <w:ind w:left="2" w:right="18"/>
                                <w:jc w:val="center"/>
                                <w:rPr>
                                  <w:rFonts w:ascii="Calibri"/>
                                  <w:b/>
                                  <w:sz w:val="20"/>
                                </w:rPr>
                              </w:pPr>
                              <w:r>
                                <w:rPr>
                                  <w:rFonts w:ascii="Calibri"/>
                                  <w:b/>
                                  <w:color w:val="5B9BD4"/>
                                  <w:spacing w:val="-2"/>
                                  <w:sz w:val="20"/>
                                </w:rPr>
                                <w:t xml:space="preserve">Market </w:t>
                              </w:r>
                              <w:r>
                                <w:rPr>
                                  <w:rFonts w:ascii="Calibri"/>
                                  <w:b/>
                                  <w:color w:val="5B9BD4"/>
                                  <w:spacing w:val="-4"/>
                                  <w:sz w:val="20"/>
                                </w:rPr>
                                <w:t>19%</w:t>
                              </w:r>
                            </w:p>
                          </w:txbxContent>
                        </wps:txbx>
                        <wps:bodyPr wrap="square" lIns="0" tIns="0" rIns="0" bIns="0" rtlCol="0">
                          <a:noAutofit/>
                        </wps:bodyPr>
                      </wps:wsp>
                      <wps:wsp>
                        <wps:cNvPr id="1070769796" name="Textbox 8"/>
                        <wps:cNvSpPr txBox="1"/>
                        <wps:spPr>
                          <a:xfrm>
                            <a:off x="519048" y="765555"/>
                            <a:ext cx="400685" cy="437515"/>
                          </a:xfrm>
                          <a:prstGeom prst="rect">
                            <a:avLst/>
                          </a:prstGeom>
                        </wps:spPr>
                        <wps:txbx>
                          <w:txbxContent>
                            <w:p w14:paraId="1C37986A" w14:textId="77777777" w:rsidR="00204C31" w:rsidRDefault="00204C31" w:rsidP="00204C31">
                              <w:pPr>
                                <w:spacing w:line="203" w:lineRule="exact"/>
                                <w:ind w:left="4"/>
                                <w:rPr>
                                  <w:rFonts w:ascii="Calibri"/>
                                  <w:b/>
                                  <w:sz w:val="20"/>
                                </w:rPr>
                              </w:pPr>
                              <w:r>
                                <w:rPr>
                                  <w:rFonts w:ascii="Calibri"/>
                                  <w:b/>
                                  <w:color w:val="4471C4"/>
                                  <w:spacing w:val="-2"/>
                                  <w:sz w:val="20"/>
                                </w:rPr>
                                <w:t>Sunsun</w:t>
                              </w:r>
                            </w:p>
                            <w:p w14:paraId="1BDEDAB9" w14:textId="77777777" w:rsidR="00204C31" w:rsidRDefault="00204C31" w:rsidP="00204C31">
                              <w:pPr>
                                <w:ind w:left="132" w:right="12" w:hanging="132"/>
                                <w:rPr>
                                  <w:rFonts w:ascii="Calibri"/>
                                  <w:b/>
                                  <w:sz w:val="20"/>
                                </w:rPr>
                              </w:pPr>
                              <w:r>
                                <w:rPr>
                                  <w:rFonts w:ascii="Calibri"/>
                                  <w:b/>
                                  <w:color w:val="4471C4"/>
                                  <w:spacing w:val="-2"/>
                                  <w:sz w:val="20"/>
                                </w:rPr>
                                <w:t xml:space="preserve">Market </w:t>
                              </w:r>
                              <w:r>
                                <w:rPr>
                                  <w:rFonts w:ascii="Calibri"/>
                                  <w:b/>
                                  <w:color w:val="4471C4"/>
                                  <w:spacing w:val="-4"/>
                                  <w:sz w:val="20"/>
                                </w:rPr>
                                <w:t>15%</w:t>
                              </w:r>
                            </w:p>
                          </w:txbxContent>
                        </wps:txbx>
                        <wps:bodyPr wrap="square" lIns="0" tIns="0" rIns="0" bIns="0" rtlCol="0">
                          <a:noAutofit/>
                        </wps:bodyPr>
                      </wps:wsp>
                      <wps:wsp>
                        <wps:cNvPr id="2089935641" name="Textbox 9"/>
                        <wps:cNvSpPr txBox="1"/>
                        <wps:spPr>
                          <a:xfrm>
                            <a:off x="3406394" y="1267586"/>
                            <a:ext cx="400685" cy="437515"/>
                          </a:xfrm>
                          <a:prstGeom prst="rect">
                            <a:avLst/>
                          </a:prstGeom>
                        </wps:spPr>
                        <wps:txbx>
                          <w:txbxContent>
                            <w:p w14:paraId="4F79B83C" w14:textId="77777777" w:rsidR="00204C31" w:rsidRDefault="00204C31" w:rsidP="00204C31">
                              <w:pPr>
                                <w:spacing w:line="203" w:lineRule="exact"/>
                                <w:ind w:left="4"/>
                                <w:rPr>
                                  <w:rFonts w:ascii="Calibri"/>
                                  <w:b/>
                                  <w:sz w:val="20"/>
                                </w:rPr>
                              </w:pPr>
                              <w:r>
                                <w:rPr>
                                  <w:rFonts w:ascii="Calibri"/>
                                  <w:b/>
                                  <w:color w:val="EC7C30"/>
                                  <w:spacing w:val="-2"/>
                                  <w:sz w:val="20"/>
                                </w:rPr>
                                <w:t>Atenda</w:t>
                              </w:r>
                            </w:p>
                            <w:p w14:paraId="0B9DA526" w14:textId="77777777" w:rsidR="00204C31" w:rsidRDefault="00204C31" w:rsidP="00204C31">
                              <w:pPr>
                                <w:ind w:left="131" w:right="13" w:hanging="132"/>
                                <w:rPr>
                                  <w:rFonts w:ascii="Calibri"/>
                                  <w:b/>
                                  <w:sz w:val="20"/>
                                </w:rPr>
                              </w:pPr>
                              <w:r>
                                <w:rPr>
                                  <w:rFonts w:ascii="Calibri"/>
                                  <w:b/>
                                  <w:color w:val="EC7C30"/>
                                  <w:spacing w:val="-2"/>
                                  <w:sz w:val="20"/>
                                </w:rPr>
                                <w:t xml:space="preserve">Market </w:t>
                              </w:r>
                              <w:r>
                                <w:rPr>
                                  <w:rFonts w:ascii="Calibri"/>
                                  <w:b/>
                                  <w:color w:val="EC7C30"/>
                                  <w:spacing w:val="-4"/>
                                  <w:sz w:val="20"/>
                                </w:rPr>
                                <w:t>16%</w:t>
                              </w:r>
                            </w:p>
                          </w:txbxContent>
                        </wps:txbx>
                        <wps:bodyPr wrap="square" lIns="0" tIns="0" rIns="0" bIns="0" rtlCol="0">
                          <a:noAutofit/>
                        </wps:bodyPr>
                      </wps:wsp>
                      <wps:wsp>
                        <wps:cNvPr id="2136357703" name="Textbox 10"/>
                        <wps:cNvSpPr txBox="1"/>
                        <wps:spPr>
                          <a:xfrm>
                            <a:off x="446531" y="1886076"/>
                            <a:ext cx="744855" cy="281940"/>
                          </a:xfrm>
                          <a:prstGeom prst="rect">
                            <a:avLst/>
                          </a:prstGeom>
                        </wps:spPr>
                        <wps:txbx>
                          <w:txbxContent>
                            <w:p w14:paraId="39D563FE" w14:textId="77777777" w:rsidR="00204C31" w:rsidRDefault="00204C31" w:rsidP="00204C31">
                              <w:pPr>
                                <w:spacing w:line="203" w:lineRule="exact"/>
                                <w:ind w:right="18"/>
                                <w:jc w:val="center"/>
                                <w:rPr>
                                  <w:rFonts w:ascii="Calibri"/>
                                  <w:b/>
                                  <w:sz w:val="20"/>
                                </w:rPr>
                              </w:pPr>
                              <w:r>
                                <w:rPr>
                                  <w:rFonts w:ascii="Calibri"/>
                                  <w:b/>
                                  <w:color w:val="FFC000"/>
                                  <w:sz w:val="20"/>
                                </w:rPr>
                                <w:t>Arada</w:t>
                              </w:r>
                              <w:r>
                                <w:rPr>
                                  <w:rFonts w:ascii="Calibri"/>
                                  <w:b/>
                                  <w:color w:val="FFC000"/>
                                  <w:spacing w:val="-7"/>
                                  <w:sz w:val="20"/>
                                </w:rPr>
                                <w:t xml:space="preserve"> </w:t>
                              </w:r>
                              <w:r>
                                <w:rPr>
                                  <w:rFonts w:ascii="Calibri"/>
                                  <w:b/>
                                  <w:color w:val="FFC000"/>
                                  <w:spacing w:val="-2"/>
                                  <w:sz w:val="20"/>
                                </w:rPr>
                                <w:t>Market</w:t>
                              </w:r>
                            </w:p>
                            <w:p w14:paraId="4A69E229" w14:textId="77777777" w:rsidR="00204C31" w:rsidRDefault="00204C31" w:rsidP="00204C31">
                              <w:pPr>
                                <w:spacing w:line="240" w:lineRule="exact"/>
                                <w:ind w:right="15"/>
                                <w:jc w:val="center"/>
                                <w:rPr>
                                  <w:rFonts w:ascii="Calibri"/>
                                  <w:b/>
                                  <w:sz w:val="20"/>
                                </w:rPr>
                              </w:pPr>
                              <w:r>
                                <w:rPr>
                                  <w:rFonts w:ascii="Calibri"/>
                                  <w:b/>
                                  <w:color w:val="FFC000"/>
                                  <w:spacing w:val="-5"/>
                                  <w:sz w:val="20"/>
                                </w:rPr>
                                <w:t>20%</w:t>
                              </w:r>
                            </w:p>
                          </w:txbxContent>
                        </wps:txbx>
                        <wps:bodyPr wrap="square" lIns="0" tIns="0" rIns="0" bIns="0" rtlCol="0">
                          <a:noAutofit/>
                        </wps:bodyPr>
                      </wps:wsp>
                      <wps:wsp>
                        <wps:cNvPr id="1540941528" name="Textbox 11"/>
                        <wps:cNvSpPr txBox="1"/>
                        <wps:spPr>
                          <a:xfrm>
                            <a:off x="2774314" y="1962276"/>
                            <a:ext cx="661035" cy="437515"/>
                          </a:xfrm>
                          <a:prstGeom prst="rect">
                            <a:avLst/>
                          </a:prstGeom>
                        </wps:spPr>
                        <wps:txbx>
                          <w:txbxContent>
                            <w:p w14:paraId="5B162565" w14:textId="77777777" w:rsidR="00204C31" w:rsidRDefault="00204C31" w:rsidP="00204C31">
                              <w:pPr>
                                <w:spacing w:line="203" w:lineRule="exact"/>
                                <w:ind w:right="18"/>
                                <w:jc w:val="center"/>
                                <w:rPr>
                                  <w:rFonts w:ascii="Calibri"/>
                                  <w:b/>
                                  <w:sz w:val="20"/>
                                </w:rPr>
                              </w:pPr>
                              <w:r>
                                <w:rPr>
                                  <w:rFonts w:ascii="Calibri"/>
                                  <w:b/>
                                  <w:color w:val="A4A4A4"/>
                                  <w:sz w:val="20"/>
                                </w:rPr>
                                <w:t>Takie</w:t>
                              </w:r>
                              <w:r>
                                <w:rPr>
                                  <w:rFonts w:ascii="Calibri"/>
                                  <w:b/>
                                  <w:color w:val="A4A4A4"/>
                                  <w:spacing w:val="-4"/>
                                  <w:sz w:val="20"/>
                                </w:rPr>
                                <w:t xml:space="preserve"> </w:t>
                              </w:r>
                              <w:r>
                                <w:rPr>
                                  <w:rFonts w:ascii="Calibri"/>
                                  <w:b/>
                                  <w:color w:val="A4A4A4"/>
                                  <w:spacing w:val="-2"/>
                                  <w:sz w:val="20"/>
                                </w:rPr>
                                <w:t>Motor</w:t>
                              </w:r>
                            </w:p>
                            <w:p w14:paraId="7BA5801C" w14:textId="77777777" w:rsidR="00204C31" w:rsidRDefault="00204C31" w:rsidP="00204C31">
                              <w:pPr>
                                <w:ind w:left="186" w:right="205"/>
                                <w:jc w:val="center"/>
                                <w:rPr>
                                  <w:rFonts w:ascii="Calibri"/>
                                  <w:b/>
                                  <w:sz w:val="20"/>
                                </w:rPr>
                              </w:pPr>
                              <w:r>
                                <w:rPr>
                                  <w:rFonts w:ascii="Calibri"/>
                                  <w:b/>
                                  <w:color w:val="A4A4A4"/>
                                  <w:spacing w:val="-4"/>
                                  <w:sz w:val="20"/>
                                </w:rPr>
                                <w:t xml:space="preserve">Park </w:t>
                              </w:r>
                              <w:r>
                                <w:rPr>
                                  <w:rFonts w:ascii="Calibri"/>
                                  <w:b/>
                                  <w:color w:val="A4A4A4"/>
                                  <w:spacing w:val="-5"/>
                                  <w:sz w:val="20"/>
                                </w:rPr>
                                <w:t>16%</w:t>
                              </w:r>
                            </w:p>
                          </w:txbxContent>
                        </wps:txbx>
                        <wps:bodyPr wrap="square" lIns="0" tIns="0" rIns="0" bIns="0" rtlCol="0">
                          <a:noAutofit/>
                        </wps:bodyPr>
                      </wps:wsp>
                    </wpg:wgp>
                  </a:graphicData>
                </a:graphic>
              </wp:anchor>
            </w:drawing>
          </mc:Choice>
          <mc:Fallback>
            <w:pict>
              <v:group w14:anchorId="414389B1" id="Group 887255021" o:spid="_x0000_s1070" style="position:absolute;left:0;text-align:left;margin-left:74.75pt;margin-top:14.15pt;width:334.95pt;height:190.95pt;z-index:251720704;mso-position-horizontal-relative:text;mso-position-vertical-relative:text" coordsize="42538,24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">
                <v:shape id="Image 4" o:spid="_x0000_s1071" type="#_x0000_t75" style="position:absolute;left:8558;top:6624;width:25418;height:14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">
                  <v:imagedata r:id="rId249" o:title=""/>
                </v:shape>
                <v:shape id="Graphic 5" o:spid="_x0000_s1072" style="position:absolute;left:45;top:45;width:42444;height:24156;visibility:visible;mso-wrap-style:square;v-text-anchor:top" coordsize="4244340,2415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" path="m,2415540r4244340,l4244340,,,,,2415540xe" filled="f" strokecolor="#d9d9d9" strokeweight=".72pt">
                  <v:path arrowok="t"/>
                </v:shape>
                <v:shape id="Textbox 6" o:spid="_x0000_s1073" type="#_x0000_t202" style="position:absolute;left:10783;top:1418;width:14929;height:5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" filled="f" stroked="f">
                  <v:textbox inset="0,0,0,0">
                    <w:txbxContent>
                      <w:p w14:paraId="6E9C003B" w14:textId="77777777" w:rsidR="00204C31" w:rsidRDefault="00204C31" w:rsidP="00204C31">
                        <w:pPr>
                          <w:spacing w:line="333" w:lineRule="exact"/>
                          <w:rPr>
                            <w:rFonts w:ascii="Calibri"/>
                            <w:b/>
                            <w:sz w:val="32"/>
                          </w:rPr>
                        </w:pPr>
                        <w:r>
                          <w:rPr>
                            <w:rFonts w:ascii="Calibri"/>
                            <w:b/>
                            <w:color w:val="6FAC46"/>
                            <w:position w:val="-3"/>
                            <w:sz w:val="20"/>
                          </w:rPr>
                          <w:t>Ora</w:t>
                        </w:r>
                        <w:r>
                          <w:rPr>
                            <w:rFonts w:ascii="Calibri"/>
                            <w:b/>
                            <w:color w:val="6FAC46"/>
                            <w:spacing w:val="-6"/>
                            <w:position w:val="-3"/>
                            <w:sz w:val="20"/>
                          </w:rPr>
                          <w:t xml:space="preserve"> </w:t>
                        </w:r>
                        <w:r>
                          <w:rPr>
                            <w:rFonts w:ascii="Calibri"/>
                            <w:b/>
                            <w:color w:val="6FAC46"/>
                            <w:position w:val="-3"/>
                            <w:sz w:val="20"/>
                          </w:rPr>
                          <w:t>Motor</w:t>
                        </w:r>
                        <w:r>
                          <w:rPr>
                            <w:rFonts w:ascii="Calibri"/>
                            <w:b/>
                            <w:color w:val="6FAC46"/>
                            <w:spacing w:val="43"/>
                            <w:position w:val="-3"/>
                            <w:sz w:val="20"/>
                          </w:rPr>
                          <w:t xml:space="preserve"> </w:t>
                        </w:r>
                        <w:r>
                          <w:rPr>
                            <w:rFonts w:ascii="Calibri"/>
                            <w:b/>
                            <w:color w:val="585858"/>
                            <w:spacing w:val="-2"/>
                            <w:sz w:val="32"/>
                          </w:rPr>
                          <w:t>LOCATION</w:t>
                        </w:r>
                      </w:p>
                      <w:p w14:paraId="71C1D96E" w14:textId="77777777" w:rsidR="00204C31" w:rsidRDefault="00204C31" w:rsidP="00204C31">
                        <w:pPr>
                          <w:ind w:left="269" w:right="1717" w:hanging="12"/>
                          <w:rPr>
                            <w:rFonts w:ascii="Calibri"/>
                            <w:b/>
                            <w:sz w:val="20"/>
                          </w:rPr>
                        </w:pPr>
                        <w:r>
                          <w:rPr>
                            <w:rFonts w:ascii="Calibri"/>
                            <w:b/>
                            <w:color w:val="6FAC46"/>
                            <w:spacing w:val="-4"/>
                            <w:sz w:val="20"/>
                          </w:rPr>
                          <w:t xml:space="preserve">Park </w:t>
                        </w:r>
                        <w:r>
                          <w:rPr>
                            <w:rFonts w:ascii="Calibri"/>
                            <w:b/>
                            <w:color w:val="6FAC46"/>
                            <w:spacing w:val="-5"/>
                            <w:sz w:val="20"/>
                          </w:rPr>
                          <w:t>14%</w:t>
                        </w:r>
                      </w:p>
                    </w:txbxContent>
                  </v:textbox>
                </v:shape>
                <v:shape id="Textbox 7" o:spid="_x0000_s1074" type="#_x0000_t202" style="position:absolute;left:27852;top:3355;width:5791;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" filled="f" stroked="f">
                  <v:textbox inset="0,0,0,0">
                    <w:txbxContent>
                      <w:p w14:paraId="34BF56DC" w14:textId="77777777" w:rsidR="00204C31" w:rsidRDefault="00204C31" w:rsidP="00204C31">
                        <w:pPr>
                          <w:spacing w:line="203" w:lineRule="exact"/>
                          <w:ind w:right="18"/>
                          <w:jc w:val="center"/>
                          <w:rPr>
                            <w:rFonts w:ascii="Calibri"/>
                            <w:b/>
                            <w:sz w:val="20"/>
                          </w:rPr>
                        </w:pPr>
                        <w:r>
                          <w:rPr>
                            <w:rFonts w:ascii="Calibri"/>
                            <w:b/>
                            <w:color w:val="5B9BD4"/>
                            <w:sz w:val="20"/>
                          </w:rPr>
                          <w:t>New</w:t>
                        </w:r>
                        <w:r>
                          <w:rPr>
                            <w:rFonts w:ascii="Calibri"/>
                            <w:b/>
                            <w:color w:val="5B9BD4"/>
                            <w:spacing w:val="-4"/>
                            <w:sz w:val="20"/>
                          </w:rPr>
                          <w:t xml:space="preserve"> Waso</w:t>
                        </w:r>
                      </w:p>
                      <w:p w14:paraId="2B74002D" w14:textId="77777777" w:rsidR="00204C31" w:rsidRDefault="00204C31" w:rsidP="00204C31">
                        <w:pPr>
                          <w:ind w:left="2" w:right="18"/>
                          <w:jc w:val="center"/>
                          <w:rPr>
                            <w:rFonts w:ascii="Calibri"/>
                            <w:b/>
                            <w:sz w:val="20"/>
                          </w:rPr>
                        </w:pPr>
                        <w:r>
                          <w:rPr>
                            <w:rFonts w:ascii="Calibri"/>
                            <w:b/>
                            <w:color w:val="5B9BD4"/>
                            <w:spacing w:val="-2"/>
                            <w:sz w:val="20"/>
                          </w:rPr>
                          <w:t xml:space="preserve">Market </w:t>
                        </w:r>
                        <w:r>
                          <w:rPr>
                            <w:rFonts w:ascii="Calibri"/>
                            <w:b/>
                            <w:color w:val="5B9BD4"/>
                            <w:spacing w:val="-4"/>
                            <w:sz w:val="20"/>
                          </w:rPr>
                          <w:t>19%</w:t>
                        </w:r>
                      </w:p>
                    </w:txbxContent>
                  </v:textbox>
                </v:shape>
                <v:shape id="Textbox 8" o:spid="_x0000_s1075" type="#_x0000_t202" style="position:absolute;left:5190;top:7655;width:4007;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" filled="f" stroked="f">
                  <v:textbox inset="0,0,0,0">
                    <w:txbxContent>
                      <w:p w14:paraId="1C37986A" w14:textId="77777777" w:rsidR="00204C31" w:rsidRDefault="00204C31" w:rsidP="00204C31">
                        <w:pPr>
                          <w:spacing w:line="203" w:lineRule="exact"/>
                          <w:ind w:left="4"/>
                          <w:rPr>
                            <w:rFonts w:ascii="Calibri"/>
                            <w:b/>
                            <w:sz w:val="20"/>
                          </w:rPr>
                        </w:pPr>
                        <w:r>
                          <w:rPr>
                            <w:rFonts w:ascii="Calibri"/>
                            <w:b/>
                            <w:color w:val="4471C4"/>
                            <w:spacing w:val="-2"/>
                            <w:sz w:val="20"/>
                          </w:rPr>
                          <w:t>Sunsun</w:t>
                        </w:r>
                      </w:p>
                      <w:p w14:paraId="1BDEDAB9" w14:textId="77777777" w:rsidR="00204C31" w:rsidRDefault="00204C31" w:rsidP="00204C31">
                        <w:pPr>
                          <w:ind w:left="132" w:right="12" w:hanging="132"/>
                          <w:rPr>
                            <w:rFonts w:ascii="Calibri"/>
                            <w:b/>
                            <w:sz w:val="20"/>
                          </w:rPr>
                        </w:pPr>
                        <w:r>
                          <w:rPr>
                            <w:rFonts w:ascii="Calibri"/>
                            <w:b/>
                            <w:color w:val="4471C4"/>
                            <w:spacing w:val="-2"/>
                            <w:sz w:val="20"/>
                          </w:rPr>
                          <w:t xml:space="preserve">Market </w:t>
                        </w:r>
                        <w:r>
                          <w:rPr>
                            <w:rFonts w:ascii="Calibri"/>
                            <w:b/>
                            <w:color w:val="4471C4"/>
                            <w:spacing w:val="-4"/>
                            <w:sz w:val="20"/>
                          </w:rPr>
                          <w:t>15%</w:t>
                        </w:r>
                      </w:p>
                    </w:txbxContent>
                  </v:textbox>
                </v:shape>
                <v:shape id="Textbox 9" o:spid="_x0000_s1076" type="#_x0000_t202" style="position:absolute;left:34063;top:12675;width:4007;height:4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" filled="f" stroked="f">
                  <v:textbox inset="0,0,0,0">
                    <w:txbxContent>
                      <w:p w14:paraId="4F79B83C" w14:textId="77777777" w:rsidR="00204C31" w:rsidRDefault="00204C31" w:rsidP="00204C31">
                        <w:pPr>
                          <w:spacing w:line="203" w:lineRule="exact"/>
                          <w:ind w:left="4"/>
                          <w:rPr>
                            <w:rFonts w:ascii="Calibri"/>
                            <w:b/>
                            <w:sz w:val="20"/>
                          </w:rPr>
                        </w:pPr>
                        <w:r>
                          <w:rPr>
                            <w:rFonts w:ascii="Calibri"/>
                            <w:b/>
                            <w:color w:val="EC7C30"/>
                            <w:spacing w:val="-2"/>
                            <w:sz w:val="20"/>
                          </w:rPr>
                          <w:t>Atenda</w:t>
                        </w:r>
                      </w:p>
                      <w:p w14:paraId="0B9DA526" w14:textId="77777777" w:rsidR="00204C31" w:rsidRDefault="00204C31" w:rsidP="00204C31">
                        <w:pPr>
                          <w:ind w:left="131" w:right="13" w:hanging="132"/>
                          <w:rPr>
                            <w:rFonts w:ascii="Calibri"/>
                            <w:b/>
                            <w:sz w:val="20"/>
                          </w:rPr>
                        </w:pPr>
                        <w:r>
                          <w:rPr>
                            <w:rFonts w:ascii="Calibri"/>
                            <w:b/>
                            <w:color w:val="EC7C30"/>
                            <w:spacing w:val="-2"/>
                            <w:sz w:val="20"/>
                          </w:rPr>
                          <w:t xml:space="preserve">Market </w:t>
                        </w:r>
                        <w:r>
                          <w:rPr>
                            <w:rFonts w:ascii="Calibri"/>
                            <w:b/>
                            <w:color w:val="EC7C30"/>
                            <w:spacing w:val="-4"/>
                            <w:sz w:val="20"/>
                          </w:rPr>
                          <w:t>16%</w:t>
                        </w:r>
                      </w:p>
                    </w:txbxContent>
                  </v:textbox>
                </v:shape>
                <v:shape id="Textbox 10" o:spid="_x0000_s1077" type="#_x0000_t202" style="position:absolute;left:4465;top:18860;width:7448;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" filled="f" stroked="f">
                  <v:textbox inset="0,0,0,0">
                    <w:txbxContent>
                      <w:p w14:paraId="39D563FE" w14:textId="77777777" w:rsidR="00204C31" w:rsidRDefault="00204C31" w:rsidP="00204C31">
                        <w:pPr>
                          <w:spacing w:line="203" w:lineRule="exact"/>
                          <w:ind w:right="18"/>
                          <w:jc w:val="center"/>
                          <w:rPr>
                            <w:rFonts w:ascii="Calibri"/>
                            <w:b/>
                            <w:sz w:val="20"/>
                          </w:rPr>
                        </w:pPr>
                        <w:r>
                          <w:rPr>
                            <w:rFonts w:ascii="Calibri"/>
                            <w:b/>
                            <w:color w:val="FFC000"/>
                            <w:sz w:val="20"/>
                          </w:rPr>
                          <w:t>Arada</w:t>
                        </w:r>
                        <w:r>
                          <w:rPr>
                            <w:rFonts w:ascii="Calibri"/>
                            <w:b/>
                            <w:color w:val="FFC000"/>
                            <w:spacing w:val="-7"/>
                            <w:sz w:val="20"/>
                          </w:rPr>
                          <w:t xml:space="preserve"> </w:t>
                        </w:r>
                        <w:r>
                          <w:rPr>
                            <w:rFonts w:ascii="Calibri"/>
                            <w:b/>
                            <w:color w:val="FFC000"/>
                            <w:spacing w:val="-2"/>
                            <w:sz w:val="20"/>
                          </w:rPr>
                          <w:t>Market</w:t>
                        </w:r>
                      </w:p>
                      <w:p w14:paraId="4A69E229" w14:textId="77777777" w:rsidR="00204C31" w:rsidRDefault="00204C31" w:rsidP="00204C31">
                        <w:pPr>
                          <w:spacing w:line="240" w:lineRule="exact"/>
                          <w:ind w:right="15"/>
                          <w:jc w:val="center"/>
                          <w:rPr>
                            <w:rFonts w:ascii="Calibri"/>
                            <w:b/>
                            <w:sz w:val="20"/>
                          </w:rPr>
                        </w:pPr>
                        <w:r>
                          <w:rPr>
                            <w:rFonts w:ascii="Calibri"/>
                            <w:b/>
                            <w:color w:val="FFC000"/>
                            <w:spacing w:val="-5"/>
                            <w:sz w:val="20"/>
                          </w:rPr>
                          <w:t>20%</w:t>
                        </w:r>
                      </w:p>
                    </w:txbxContent>
                  </v:textbox>
                </v:shape>
                <v:shape id="Textbox 11" o:spid="_x0000_s1078" type="#_x0000_t202" style="position:absolute;left:27743;top:19622;width:6610;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" filled="f" stroked="f">
                  <v:textbox inset="0,0,0,0">
                    <w:txbxContent>
                      <w:p w14:paraId="5B162565" w14:textId="77777777" w:rsidR="00204C31" w:rsidRDefault="00204C31" w:rsidP="00204C31">
                        <w:pPr>
                          <w:spacing w:line="203" w:lineRule="exact"/>
                          <w:ind w:right="18"/>
                          <w:jc w:val="center"/>
                          <w:rPr>
                            <w:rFonts w:ascii="Calibri"/>
                            <w:b/>
                            <w:sz w:val="20"/>
                          </w:rPr>
                        </w:pPr>
                        <w:r>
                          <w:rPr>
                            <w:rFonts w:ascii="Calibri"/>
                            <w:b/>
                            <w:color w:val="A4A4A4"/>
                            <w:sz w:val="20"/>
                          </w:rPr>
                          <w:t>Takie</w:t>
                        </w:r>
                        <w:r>
                          <w:rPr>
                            <w:rFonts w:ascii="Calibri"/>
                            <w:b/>
                            <w:color w:val="A4A4A4"/>
                            <w:spacing w:val="-4"/>
                            <w:sz w:val="20"/>
                          </w:rPr>
                          <w:t xml:space="preserve"> </w:t>
                        </w:r>
                        <w:r>
                          <w:rPr>
                            <w:rFonts w:ascii="Calibri"/>
                            <w:b/>
                            <w:color w:val="A4A4A4"/>
                            <w:spacing w:val="-2"/>
                            <w:sz w:val="20"/>
                          </w:rPr>
                          <w:t>Motor</w:t>
                        </w:r>
                      </w:p>
                      <w:p w14:paraId="7BA5801C" w14:textId="77777777" w:rsidR="00204C31" w:rsidRDefault="00204C31" w:rsidP="00204C31">
                        <w:pPr>
                          <w:ind w:left="186" w:right="205"/>
                          <w:jc w:val="center"/>
                          <w:rPr>
                            <w:rFonts w:ascii="Calibri"/>
                            <w:b/>
                            <w:sz w:val="20"/>
                          </w:rPr>
                        </w:pPr>
                        <w:r>
                          <w:rPr>
                            <w:rFonts w:ascii="Calibri"/>
                            <w:b/>
                            <w:color w:val="A4A4A4"/>
                            <w:spacing w:val="-4"/>
                            <w:sz w:val="20"/>
                          </w:rPr>
                          <w:t xml:space="preserve">Park </w:t>
                        </w:r>
                        <w:r>
                          <w:rPr>
                            <w:rFonts w:ascii="Calibri"/>
                            <w:b/>
                            <w:color w:val="A4A4A4"/>
                            <w:spacing w:val="-5"/>
                            <w:sz w:val="20"/>
                          </w:rPr>
                          <w:t>16%</w:t>
                        </w:r>
                      </w:p>
                    </w:txbxContent>
                  </v:textbox>
                </v:shape>
                <w10:wrap type="topAndBottom"/>
              </v:group>
            </w:pict>
          </mc:Fallback>
        </mc:AlternateContent>
      </w:r>
      <w:r w:rsidR="004D1527" w:rsidRPr="004D1527">
        <w:rPr>
          <w:rFonts w:ascii="Times New Roman" w:hAnsi="Times New Roman" w:cs="Times New Roman"/>
          <w:color w:val="000000"/>
          <w:sz w:val="24"/>
          <w:szCs w:val="24"/>
        </w:rPr>
        <w:t xml:space="preserve"> </w:t>
      </w:r>
    </w:p>
    <w:p w14:paraId="7C4D86C1" w14:textId="3F4BB77F"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 xml:space="preserve"> </w:t>
      </w:r>
    </w:p>
    <w:p w14:paraId="7EF71AF9" w14:textId="77777777" w:rsidR="005730E3" w:rsidRDefault="004D1527" w:rsidP="005730E3">
      <w:pPr>
        <w:autoSpaceDE w:val="0"/>
        <w:autoSpaceDN w:val="0"/>
        <w:adjustRightInd w:val="0"/>
        <w:spacing w:after="0" w:line="240" w:lineRule="auto"/>
        <w:jc w:val="center"/>
        <w:rPr>
          <w:rFonts w:ascii="Times New Roman" w:hAnsi="Times New Roman" w:cs="Times New Roman"/>
          <w:color w:val="000000"/>
          <w:sz w:val="24"/>
          <w:szCs w:val="24"/>
        </w:rPr>
      </w:pPr>
      <w:r w:rsidRPr="004D1527">
        <w:rPr>
          <w:rFonts w:ascii="Times New Roman" w:hAnsi="Times New Roman" w:cs="Times New Roman"/>
          <w:color w:val="000000"/>
          <w:sz w:val="24"/>
          <w:szCs w:val="24"/>
        </w:rPr>
        <w:t xml:space="preserve">Fig 3: Gender of Respondents </w:t>
      </w:r>
    </w:p>
    <w:p w14:paraId="45378722" w14:textId="44FB7CFF" w:rsidR="004D1527" w:rsidRPr="004D1527" w:rsidRDefault="004D1527" w:rsidP="005730E3">
      <w:pPr>
        <w:autoSpaceDE w:val="0"/>
        <w:autoSpaceDN w:val="0"/>
        <w:adjustRightInd w:val="0"/>
        <w:spacing w:after="0" w:line="240" w:lineRule="auto"/>
        <w:jc w:val="center"/>
        <w:rPr>
          <w:rFonts w:ascii="Times New Roman" w:hAnsi="Times New Roman" w:cs="Times New Roman"/>
          <w:color w:val="000000"/>
          <w:sz w:val="24"/>
          <w:szCs w:val="24"/>
        </w:rPr>
      </w:pPr>
      <w:r w:rsidRPr="004D1527">
        <w:rPr>
          <w:rFonts w:ascii="Times New Roman" w:hAnsi="Times New Roman" w:cs="Times New Roman"/>
          <w:color w:val="000000"/>
          <w:sz w:val="24"/>
          <w:szCs w:val="24"/>
        </w:rPr>
        <w:t>Source: Author’s field survey, 2023</w:t>
      </w:r>
    </w:p>
    <w:p w14:paraId="376AEB58" w14:textId="77777777" w:rsidR="005730E3" w:rsidRDefault="005730E3" w:rsidP="004D1527">
      <w:pPr>
        <w:autoSpaceDE w:val="0"/>
        <w:autoSpaceDN w:val="0"/>
        <w:adjustRightInd w:val="0"/>
        <w:spacing w:after="0" w:line="240" w:lineRule="auto"/>
        <w:jc w:val="both"/>
        <w:rPr>
          <w:rFonts w:ascii="Times New Roman" w:hAnsi="Times New Roman" w:cs="Times New Roman"/>
          <w:b/>
          <w:bCs/>
          <w:color w:val="000000"/>
          <w:sz w:val="24"/>
          <w:szCs w:val="24"/>
        </w:rPr>
      </w:pPr>
    </w:p>
    <w:p w14:paraId="7E480847" w14:textId="60B268CA" w:rsidR="004D1527" w:rsidRPr="005730E3"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5730E3">
        <w:rPr>
          <w:rFonts w:ascii="Times New Roman" w:hAnsi="Times New Roman" w:cs="Times New Roman"/>
          <w:b/>
          <w:bCs/>
          <w:color w:val="000000"/>
          <w:sz w:val="24"/>
          <w:szCs w:val="24"/>
        </w:rPr>
        <w:t>Age Distribution</w:t>
      </w:r>
    </w:p>
    <w:p w14:paraId="2C727F55" w14:textId="41ED8AF9" w:rsidR="004D1527" w:rsidRPr="004D1527" w:rsidRDefault="005730E3" w:rsidP="004D1527">
      <w:pPr>
        <w:autoSpaceDE w:val="0"/>
        <w:autoSpaceDN w:val="0"/>
        <w:adjustRightInd w:val="0"/>
        <w:spacing w:after="0" w:line="240" w:lineRule="auto"/>
        <w:jc w:val="both"/>
        <w:rPr>
          <w:rFonts w:ascii="Times New Roman" w:hAnsi="Times New Roman" w:cs="Times New Roman"/>
          <w:color w:val="000000"/>
          <w:sz w:val="24"/>
          <w:szCs w:val="24"/>
        </w:rPr>
      </w:pPr>
      <w:r>
        <w:rPr>
          <w:noProof/>
          <w:sz w:val="20"/>
        </w:rPr>
        <mc:AlternateContent>
          <mc:Choice Requires="wpg">
            <w:drawing>
              <wp:anchor distT="0" distB="0" distL="114300" distR="114300" simplePos="0" relativeHeight="251721728" behindDoc="0" locked="0" layoutInCell="1" allowOverlap="1" wp14:anchorId="1E9CA9A4" wp14:editId="4FACF36C">
                <wp:simplePos x="0" y="0"/>
                <wp:positionH relativeFrom="column">
                  <wp:posOffset>803967</wp:posOffset>
                </wp:positionH>
                <wp:positionV relativeFrom="paragraph">
                  <wp:posOffset>875792</wp:posOffset>
                </wp:positionV>
                <wp:extent cx="4398645" cy="2607945"/>
                <wp:effectExtent l="0" t="0" r="20955" b="20955"/>
                <wp:wrapTopAndBottom/>
                <wp:docPr id="1827105645" name="Group 1827105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98645" cy="2607945"/>
                          <a:chOff x="0" y="0"/>
                          <a:chExt cx="4398645" cy="2607945"/>
                        </a:xfrm>
                      </wpg:grpSpPr>
                      <pic:pic xmlns:pic="http://schemas.openxmlformats.org/drawingml/2006/picture">
                        <pic:nvPicPr>
                          <pic:cNvPr id="1502007327" name="Image 16"/>
                          <pic:cNvPicPr/>
                        </pic:nvPicPr>
                        <pic:blipFill>
                          <a:blip r:embed="rId250" cstate="print"/>
                          <a:stretch>
                            <a:fillRect/>
                          </a:stretch>
                        </pic:blipFill>
                        <pic:spPr>
                          <a:xfrm>
                            <a:off x="807142" y="673117"/>
                            <a:ext cx="2783978" cy="1613029"/>
                          </a:xfrm>
                          <a:prstGeom prst="rect">
                            <a:avLst/>
                          </a:prstGeom>
                        </pic:spPr>
                      </pic:pic>
                      <wps:wsp>
                        <wps:cNvPr id="1482228746" name="Graphic 17"/>
                        <wps:cNvSpPr/>
                        <wps:spPr>
                          <a:xfrm>
                            <a:off x="4572" y="4572"/>
                            <a:ext cx="4389120" cy="2598420"/>
                          </a:xfrm>
                          <a:custGeom>
                            <a:avLst/>
                            <a:gdLst/>
                            <a:ahLst/>
                            <a:cxnLst/>
                            <a:rect l="l" t="t" r="r" b="b"/>
                            <a:pathLst>
                              <a:path w="4389120" h="2598420">
                                <a:moveTo>
                                  <a:pt x="0" y="2598420"/>
                                </a:moveTo>
                                <a:lnTo>
                                  <a:pt x="4389120" y="2598420"/>
                                </a:lnTo>
                                <a:lnTo>
                                  <a:pt x="4389120" y="0"/>
                                </a:lnTo>
                                <a:lnTo>
                                  <a:pt x="0" y="0"/>
                                </a:lnTo>
                                <a:lnTo>
                                  <a:pt x="0" y="2598420"/>
                                </a:lnTo>
                                <a:close/>
                              </a:path>
                            </a:pathLst>
                          </a:custGeom>
                          <a:ln w="9144">
                            <a:solidFill>
                              <a:srgbClr val="D9D9D9"/>
                            </a:solidFill>
                            <a:prstDash val="solid"/>
                          </a:ln>
                        </wps:spPr>
                        <wps:bodyPr wrap="square" lIns="0" tIns="0" rIns="0" bIns="0" rtlCol="0">
                          <a:prstTxWarp prst="textNoShape">
                            <a:avLst/>
                          </a:prstTxWarp>
                          <a:noAutofit/>
                        </wps:bodyPr>
                      </wps:wsp>
                      <wps:wsp>
                        <wps:cNvPr id="815144172" name="Textbox 18"/>
                        <wps:cNvSpPr txBox="1"/>
                        <wps:spPr>
                          <a:xfrm>
                            <a:off x="1026541" y="484886"/>
                            <a:ext cx="462915" cy="281940"/>
                          </a:xfrm>
                          <a:prstGeom prst="rect">
                            <a:avLst/>
                          </a:prstGeom>
                        </wps:spPr>
                        <wps:txbx>
                          <w:txbxContent>
                            <w:p w14:paraId="11A95557" w14:textId="77777777" w:rsidR="005730E3" w:rsidRDefault="005730E3" w:rsidP="005730E3">
                              <w:pPr>
                                <w:spacing w:line="203" w:lineRule="exact"/>
                                <w:ind w:left="-1" w:right="18"/>
                                <w:jc w:val="center"/>
                                <w:rPr>
                                  <w:rFonts w:ascii="Calibri"/>
                                  <w:b/>
                                  <w:sz w:val="20"/>
                                </w:rPr>
                              </w:pPr>
                              <w:r>
                                <w:rPr>
                                  <w:rFonts w:ascii="Calibri"/>
                                  <w:b/>
                                  <w:color w:val="997300"/>
                                  <w:spacing w:val="-2"/>
                                  <w:sz w:val="20"/>
                                </w:rPr>
                                <w:t>41-60yrs</w:t>
                              </w:r>
                            </w:p>
                            <w:p w14:paraId="283BAAE5" w14:textId="77777777" w:rsidR="005730E3" w:rsidRDefault="005730E3" w:rsidP="005730E3">
                              <w:pPr>
                                <w:spacing w:line="240" w:lineRule="exact"/>
                                <w:ind w:right="19"/>
                                <w:jc w:val="center"/>
                                <w:rPr>
                                  <w:rFonts w:ascii="Calibri"/>
                                  <w:b/>
                                  <w:sz w:val="20"/>
                                </w:rPr>
                              </w:pPr>
                              <w:r>
                                <w:rPr>
                                  <w:rFonts w:ascii="Calibri"/>
                                  <w:b/>
                                  <w:color w:val="997300"/>
                                  <w:spacing w:val="-5"/>
                                  <w:sz w:val="20"/>
                                </w:rPr>
                                <w:t>19%</w:t>
                              </w:r>
                            </w:p>
                          </w:txbxContent>
                        </wps:txbx>
                        <wps:bodyPr wrap="square" lIns="0" tIns="0" rIns="0" bIns="0" rtlCol="0">
                          <a:noAutofit/>
                        </wps:bodyPr>
                      </wps:wsp>
                      <wps:wsp>
                        <wps:cNvPr id="2046299303" name="Textbox 19"/>
                        <wps:cNvSpPr txBox="1"/>
                        <wps:spPr>
                          <a:xfrm>
                            <a:off x="2024507" y="142112"/>
                            <a:ext cx="480695" cy="488950"/>
                          </a:xfrm>
                          <a:prstGeom prst="rect">
                            <a:avLst/>
                          </a:prstGeom>
                        </wps:spPr>
                        <wps:txbx>
                          <w:txbxContent>
                            <w:p w14:paraId="1417E730" w14:textId="77777777" w:rsidR="005730E3" w:rsidRDefault="005730E3" w:rsidP="005730E3">
                              <w:pPr>
                                <w:spacing w:line="305" w:lineRule="exact"/>
                                <w:rPr>
                                  <w:rFonts w:ascii="Calibri"/>
                                  <w:b/>
                                  <w:sz w:val="32"/>
                                </w:rPr>
                              </w:pPr>
                              <w:r>
                                <w:rPr>
                                  <w:rFonts w:ascii="Calibri"/>
                                  <w:b/>
                                  <w:color w:val="585858"/>
                                  <w:spacing w:val="-5"/>
                                  <w:sz w:val="32"/>
                                </w:rPr>
                                <w:t>AGE</w:t>
                              </w:r>
                            </w:p>
                            <w:p w14:paraId="740CE7AA" w14:textId="77777777" w:rsidR="005730E3" w:rsidRDefault="005730E3" w:rsidP="005730E3">
                              <w:pPr>
                                <w:spacing w:line="224" w:lineRule="exact"/>
                                <w:ind w:left="109"/>
                                <w:jc w:val="center"/>
                                <w:rPr>
                                  <w:rFonts w:ascii="Calibri"/>
                                  <w:b/>
                                  <w:sz w:val="20"/>
                                </w:rPr>
                              </w:pPr>
                              <w:r>
                                <w:rPr>
                                  <w:rFonts w:ascii="Calibri"/>
                                  <w:b/>
                                  <w:color w:val="EC7C30"/>
                                  <w:spacing w:val="-2"/>
                                  <w:sz w:val="20"/>
                                </w:rPr>
                                <w:t>0-10yrs</w:t>
                              </w:r>
                            </w:p>
                            <w:p w14:paraId="2E204CAF" w14:textId="77777777" w:rsidR="005730E3" w:rsidRDefault="005730E3" w:rsidP="005730E3">
                              <w:pPr>
                                <w:spacing w:line="240" w:lineRule="exact"/>
                                <w:ind w:left="109" w:right="1"/>
                                <w:jc w:val="center"/>
                                <w:rPr>
                                  <w:rFonts w:ascii="Calibri"/>
                                  <w:b/>
                                  <w:sz w:val="20"/>
                                </w:rPr>
                              </w:pPr>
                              <w:r>
                                <w:rPr>
                                  <w:rFonts w:ascii="Calibri"/>
                                  <w:b/>
                                  <w:color w:val="EC7C30"/>
                                  <w:spacing w:val="-5"/>
                                  <w:sz w:val="20"/>
                                </w:rPr>
                                <w:t>1%</w:t>
                              </w:r>
                            </w:p>
                          </w:txbxContent>
                        </wps:txbx>
                        <wps:bodyPr wrap="square" lIns="0" tIns="0" rIns="0" bIns="0" rtlCol="0">
                          <a:noAutofit/>
                        </wps:bodyPr>
                      </wps:wsp>
                      <wps:wsp>
                        <wps:cNvPr id="1012454982" name="Textbox 20"/>
                        <wps:cNvSpPr txBox="1"/>
                        <wps:spPr>
                          <a:xfrm>
                            <a:off x="2884297" y="468376"/>
                            <a:ext cx="462915" cy="281940"/>
                          </a:xfrm>
                          <a:prstGeom prst="rect">
                            <a:avLst/>
                          </a:prstGeom>
                        </wps:spPr>
                        <wps:txbx>
                          <w:txbxContent>
                            <w:p w14:paraId="282AAD04" w14:textId="77777777" w:rsidR="005730E3" w:rsidRDefault="005730E3" w:rsidP="005730E3">
                              <w:pPr>
                                <w:spacing w:line="203" w:lineRule="exact"/>
                                <w:ind w:right="18"/>
                                <w:jc w:val="center"/>
                                <w:rPr>
                                  <w:rFonts w:ascii="Calibri"/>
                                  <w:b/>
                                  <w:sz w:val="20"/>
                                </w:rPr>
                              </w:pPr>
                              <w:r>
                                <w:rPr>
                                  <w:rFonts w:ascii="Calibri"/>
                                  <w:b/>
                                  <w:color w:val="FFC000"/>
                                  <w:spacing w:val="-2"/>
                                  <w:sz w:val="20"/>
                                </w:rPr>
                                <w:t>11-17yrs</w:t>
                              </w:r>
                            </w:p>
                            <w:p w14:paraId="083C4B52" w14:textId="77777777" w:rsidR="005730E3" w:rsidRDefault="005730E3" w:rsidP="005730E3">
                              <w:pPr>
                                <w:spacing w:line="240" w:lineRule="exact"/>
                                <w:ind w:right="19"/>
                                <w:jc w:val="center"/>
                                <w:rPr>
                                  <w:rFonts w:ascii="Calibri"/>
                                  <w:b/>
                                  <w:sz w:val="20"/>
                                </w:rPr>
                              </w:pPr>
                              <w:r>
                                <w:rPr>
                                  <w:rFonts w:ascii="Calibri"/>
                                  <w:b/>
                                  <w:color w:val="FFC000"/>
                                  <w:spacing w:val="-5"/>
                                  <w:sz w:val="20"/>
                                </w:rPr>
                                <w:t>16%</w:t>
                              </w:r>
                            </w:p>
                          </w:txbxContent>
                        </wps:txbx>
                        <wps:bodyPr wrap="square" lIns="0" tIns="0" rIns="0" bIns="0" rtlCol="0">
                          <a:noAutofit/>
                        </wps:bodyPr>
                      </wps:wsp>
                      <wps:wsp>
                        <wps:cNvPr id="830542516" name="Textbox 21"/>
                        <wps:cNvSpPr txBox="1"/>
                        <wps:spPr>
                          <a:xfrm>
                            <a:off x="475741" y="1815338"/>
                            <a:ext cx="462915" cy="281940"/>
                          </a:xfrm>
                          <a:prstGeom prst="rect">
                            <a:avLst/>
                          </a:prstGeom>
                        </wps:spPr>
                        <wps:txbx>
                          <w:txbxContent>
                            <w:p w14:paraId="0C224C9A" w14:textId="77777777" w:rsidR="005730E3" w:rsidRDefault="005730E3" w:rsidP="005730E3">
                              <w:pPr>
                                <w:spacing w:line="203" w:lineRule="exact"/>
                                <w:ind w:left="-1" w:right="18"/>
                                <w:jc w:val="center"/>
                                <w:rPr>
                                  <w:rFonts w:ascii="Calibri"/>
                                  <w:b/>
                                  <w:sz w:val="20"/>
                                </w:rPr>
                              </w:pPr>
                              <w:r>
                                <w:rPr>
                                  <w:rFonts w:ascii="Calibri"/>
                                  <w:b/>
                                  <w:color w:val="9E470D"/>
                                  <w:spacing w:val="-2"/>
                                  <w:sz w:val="20"/>
                                </w:rPr>
                                <w:t>26-40yrs</w:t>
                              </w:r>
                            </w:p>
                            <w:p w14:paraId="1AE1722F" w14:textId="77777777" w:rsidR="005730E3" w:rsidRDefault="005730E3" w:rsidP="005730E3">
                              <w:pPr>
                                <w:spacing w:line="240" w:lineRule="exact"/>
                                <w:ind w:right="19"/>
                                <w:jc w:val="center"/>
                                <w:rPr>
                                  <w:rFonts w:ascii="Calibri"/>
                                  <w:b/>
                                  <w:sz w:val="20"/>
                                </w:rPr>
                              </w:pPr>
                              <w:r>
                                <w:rPr>
                                  <w:rFonts w:ascii="Calibri"/>
                                  <w:b/>
                                  <w:color w:val="9E470D"/>
                                  <w:spacing w:val="-5"/>
                                  <w:sz w:val="20"/>
                                </w:rPr>
                                <w:t>31%</w:t>
                              </w:r>
                            </w:p>
                          </w:txbxContent>
                        </wps:txbx>
                        <wps:bodyPr wrap="square" lIns="0" tIns="0" rIns="0" bIns="0" rtlCol="0">
                          <a:noAutofit/>
                        </wps:bodyPr>
                      </wps:wsp>
                      <wps:wsp>
                        <wps:cNvPr id="941416733" name="Textbox 22"/>
                        <wps:cNvSpPr txBox="1"/>
                        <wps:spPr>
                          <a:xfrm>
                            <a:off x="3543300" y="1737639"/>
                            <a:ext cx="462915" cy="282575"/>
                          </a:xfrm>
                          <a:prstGeom prst="rect">
                            <a:avLst/>
                          </a:prstGeom>
                        </wps:spPr>
                        <wps:txbx>
                          <w:txbxContent>
                            <w:p w14:paraId="55E63E6E" w14:textId="77777777" w:rsidR="005730E3" w:rsidRDefault="005730E3" w:rsidP="005730E3">
                              <w:pPr>
                                <w:spacing w:line="203" w:lineRule="exact"/>
                                <w:ind w:right="18"/>
                                <w:jc w:val="center"/>
                                <w:rPr>
                                  <w:rFonts w:ascii="Calibri"/>
                                  <w:b/>
                                  <w:sz w:val="20"/>
                                </w:rPr>
                              </w:pPr>
                              <w:r>
                                <w:rPr>
                                  <w:rFonts w:ascii="Calibri"/>
                                  <w:b/>
                                  <w:color w:val="6FAC46"/>
                                  <w:spacing w:val="-4"/>
                                  <w:sz w:val="20"/>
                                </w:rPr>
                                <w:t>18-</w:t>
                              </w:r>
                              <w:r>
                                <w:rPr>
                                  <w:rFonts w:ascii="Calibri"/>
                                  <w:b/>
                                  <w:color w:val="6FAC46"/>
                                  <w:spacing w:val="-2"/>
                                  <w:sz w:val="20"/>
                                </w:rPr>
                                <w:t>25yrs</w:t>
                              </w:r>
                            </w:p>
                            <w:p w14:paraId="7CF5D521" w14:textId="77777777" w:rsidR="005730E3" w:rsidRDefault="005730E3" w:rsidP="005730E3">
                              <w:pPr>
                                <w:spacing w:before="1" w:line="240" w:lineRule="exact"/>
                                <w:ind w:right="19"/>
                                <w:jc w:val="center"/>
                                <w:rPr>
                                  <w:rFonts w:ascii="Calibri"/>
                                  <w:b/>
                                  <w:sz w:val="20"/>
                                </w:rPr>
                              </w:pPr>
                              <w:r>
                                <w:rPr>
                                  <w:rFonts w:ascii="Calibri"/>
                                  <w:b/>
                                  <w:color w:val="6FAC46"/>
                                  <w:spacing w:val="-5"/>
                                  <w:sz w:val="20"/>
                                </w:rPr>
                                <w:t>33%</w:t>
                              </w:r>
                            </w:p>
                          </w:txbxContent>
                        </wps:txbx>
                        <wps:bodyPr wrap="square" lIns="0" tIns="0" rIns="0" bIns="0" rtlCol="0">
                          <a:noAutofit/>
                        </wps:bodyPr>
                      </wps:wsp>
                    </wpg:wgp>
                  </a:graphicData>
                </a:graphic>
              </wp:anchor>
            </w:drawing>
          </mc:Choice>
          <mc:Fallback>
            <w:pict>
              <v:group w14:anchorId="1E9CA9A4" id="Group 1827105645" o:spid="_x0000_s1079" style="position:absolute;left:0;text-align:left;margin-left:63.3pt;margin-top:68.95pt;width:346.35pt;height:205.35pt;z-index:251721728;mso-position-horizontal-relative:text;mso-position-vertical-relative:text" coordsize="43986,26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">
                <v:shape id="Image 16" o:spid="_x0000_s1080" type="#_x0000_t75" style="position:absolute;left:8071;top:6731;width:27840;height:16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">
                  <v:imagedata r:id="rId251" o:title=""/>
                </v:shape>
                <v:shape id="Graphic 17" o:spid="_x0000_s1081" style="position:absolute;left:45;top:45;width:43891;height:25984;visibility:visible;mso-wrap-style:square;v-text-anchor:top" coordsize="4389120,259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" path="m,2598420r4389120,l4389120,,,,,2598420xe" filled="f" strokecolor="#d9d9d9" strokeweight=".72pt">
                  <v:path arrowok="t"/>
                </v:shape>
                <v:shape id="Textbox 18" o:spid="_x0000_s1082" type="#_x0000_t202" style="position:absolute;left:10265;top:4848;width:4629;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" filled="f" stroked="f">
                  <v:textbox inset="0,0,0,0">
                    <w:txbxContent>
                      <w:p w14:paraId="11A95557" w14:textId="77777777" w:rsidR="005730E3" w:rsidRDefault="005730E3" w:rsidP="005730E3">
                        <w:pPr>
                          <w:spacing w:line="203" w:lineRule="exact"/>
                          <w:ind w:left="-1" w:right="18"/>
                          <w:jc w:val="center"/>
                          <w:rPr>
                            <w:rFonts w:ascii="Calibri"/>
                            <w:b/>
                            <w:sz w:val="20"/>
                          </w:rPr>
                        </w:pPr>
                        <w:r>
                          <w:rPr>
                            <w:rFonts w:ascii="Calibri"/>
                            <w:b/>
                            <w:color w:val="997300"/>
                            <w:spacing w:val="-2"/>
                            <w:sz w:val="20"/>
                          </w:rPr>
                          <w:t>41-60yrs</w:t>
                        </w:r>
                      </w:p>
                      <w:p w14:paraId="283BAAE5" w14:textId="77777777" w:rsidR="005730E3" w:rsidRDefault="005730E3" w:rsidP="005730E3">
                        <w:pPr>
                          <w:spacing w:line="240" w:lineRule="exact"/>
                          <w:ind w:right="19"/>
                          <w:jc w:val="center"/>
                          <w:rPr>
                            <w:rFonts w:ascii="Calibri"/>
                            <w:b/>
                            <w:sz w:val="20"/>
                          </w:rPr>
                        </w:pPr>
                        <w:r>
                          <w:rPr>
                            <w:rFonts w:ascii="Calibri"/>
                            <w:b/>
                            <w:color w:val="997300"/>
                            <w:spacing w:val="-5"/>
                            <w:sz w:val="20"/>
                          </w:rPr>
                          <w:t>19%</w:t>
                        </w:r>
                      </w:p>
                    </w:txbxContent>
                  </v:textbox>
                </v:shape>
                <v:shape id="Textbox 19" o:spid="_x0000_s1083" type="#_x0000_t202" style="position:absolute;left:20245;top:1421;width:4807;height:4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" filled="f" stroked="f">
                  <v:textbox inset="0,0,0,0">
                    <w:txbxContent>
                      <w:p w14:paraId="1417E730" w14:textId="77777777" w:rsidR="005730E3" w:rsidRDefault="005730E3" w:rsidP="005730E3">
                        <w:pPr>
                          <w:spacing w:line="305" w:lineRule="exact"/>
                          <w:rPr>
                            <w:rFonts w:ascii="Calibri"/>
                            <w:b/>
                            <w:sz w:val="32"/>
                          </w:rPr>
                        </w:pPr>
                        <w:r>
                          <w:rPr>
                            <w:rFonts w:ascii="Calibri"/>
                            <w:b/>
                            <w:color w:val="585858"/>
                            <w:spacing w:val="-5"/>
                            <w:sz w:val="32"/>
                          </w:rPr>
                          <w:t>AGE</w:t>
                        </w:r>
                      </w:p>
                      <w:p w14:paraId="740CE7AA" w14:textId="77777777" w:rsidR="005730E3" w:rsidRDefault="005730E3" w:rsidP="005730E3">
                        <w:pPr>
                          <w:spacing w:line="224" w:lineRule="exact"/>
                          <w:ind w:left="109"/>
                          <w:jc w:val="center"/>
                          <w:rPr>
                            <w:rFonts w:ascii="Calibri"/>
                            <w:b/>
                            <w:sz w:val="20"/>
                          </w:rPr>
                        </w:pPr>
                        <w:r>
                          <w:rPr>
                            <w:rFonts w:ascii="Calibri"/>
                            <w:b/>
                            <w:color w:val="EC7C30"/>
                            <w:spacing w:val="-2"/>
                            <w:sz w:val="20"/>
                          </w:rPr>
                          <w:t>0-10yrs</w:t>
                        </w:r>
                      </w:p>
                      <w:p w14:paraId="2E204CAF" w14:textId="77777777" w:rsidR="005730E3" w:rsidRDefault="005730E3" w:rsidP="005730E3">
                        <w:pPr>
                          <w:spacing w:line="240" w:lineRule="exact"/>
                          <w:ind w:left="109" w:right="1"/>
                          <w:jc w:val="center"/>
                          <w:rPr>
                            <w:rFonts w:ascii="Calibri"/>
                            <w:b/>
                            <w:sz w:val="20"/>
                          </w:rPr>
                        </w:pPr>
                        <w:r>
                          <w:rPr>
                            <w:rFonts w:ascii="Calibri"/>
                            <w:b/>
                            <w:color w:val="EC7C30"/>
                            <w:spacing w:val="-5"/>
                            <w:sz w:val="20"/>
                          </w:rPr>
                          <w:t>1%</w:t>
                        </w:r>
                      </w:p>
                    </w:txbxContent>
                  </v:textbox>
                </v:shape>
                <v:shape id="Textbox 20" o:spid="_x0000_s1084" type="#_x0000_t202" style="position:absolute;left:28842;top:4683;width:4630;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" filled="f" stroked="f">
                  <v:textbox inset="0,0,0,0">
                    <w:txbxContent>
                      <w:p w14:paraId="282AAD04" w14:textId="77777777" w:rsidR="005730E3" w:rsidRDefault="005730E3" w:rsidP="005730E3">
                        <w:pPr>
                          <w:spacing w:line="203" w:lineRule="exact"/>
                          <w:ind w:right="18"/>
                          <w:jc w:val="center"/>
                          <w:rPr>
                            <w:rFonts w:ascii="Calibri"/>
                            <w:b/>
                            <w:sz w:val="20"/>
                          </w:rPr>
                        </w:pPr>
                        <w:r>
                          <w:rPr>
                            <w:rFonts w:ascii="Calibri"/>
                            <w:b/>
                            <w:color w:val="FFC000"/>
                            <w:spacing w:val="-2"/>
                            <w:sz w:val="20"/>
                          </w:rPr>
                          <w:t>11-17yrs</w:t>
                        </w:r>
                      </w:p>
                      <w:p w14:paraId="083C4B52" w14:textId="77777777" w:rsidR="005730E3" w:rsidRDefault="005730E3" w:rsidP="005730E3">
                        <w:pPr>
                          <w:spacing w:line="240" w:lineRule="exact"/>
                          <w:ind w:right="19"/>
                          <w:jc w:val="center"/>
                          <w:rPr>
                            <w:rFonts w:ascii="Calibri"/>
                            <w:b/>
                            <w:sz w:val="20"/>
                          </w:rPr>
                        </w:pPr>
                        <w:r>
                          <w:rPr>
                            <w:rFonts w:ascii="Calibri"/>
                            <w:b/>
                            <w:color w:val="FFC000"/>
                            <w:spacing w:val="-5"/>
                            <w:sz w:val="20"/>
                          </w:rPr>
                          <w:t>16%</w:t>
                        </w:r>
                      </w:p>
                    </w:txbxContent>
                  </v:textbox>
                </v:shape>
                <v:shape id="Textbox 21" o:spid="_x0000_s1085" type="#_x0000_t202" style="position:absolute;left:4757;top:18153;width:4629;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" filled="f" stroked="f">
                  <v:textbox inset="0,0,0,0">
                    <w:txbxContent>
                      <w:p w14:paraId="0C224C9A" w14:textId="77777777" w:rsidR="005730E3" w:rsidRDefault="005730E3" w:rsidP="005730E3">
                        <w:pPr>
                          <w:spacing w:line="203" w:lineRule="exact"/>
                          <w:ind w:left="-1" w:right="18"/>
                          <w:jc w:val="center"/>
                          <w:rPr>
                            <w:rFonts w:ascii="Calibri"/>
                            <w:b/>
                            <w:sz w:val="20"/>
                          </w:rPr>
                        </w:pPr>
                        <w:r>
                          <w:rPr>
                            <w:rFonts w:ascii="Calibri"/>
                            <w:b/>
                            <w:color w:val="9E470D"/>
                            <w:spacing w:val="-2"/>
                            <w:sz w:val="20"/>
                          </w:rPr>
                          <w:t>26-40yrs</w:t>
                        </w:r>
                      </w:p>
                      <w:p w14:paraId="1AE1722F" w14:textId="77777777" w:rsidR="005730E3" w:rsidRDefault="005730E3" w:rsidP="005730E3">
                        <w:pPr>
                          <w:spacing w:line="240" w:lineRule="exact"/>
                          <w:ind w:right="19"/>
                          <w:jc w:val="center"/>
                          <w:rPr>
                            <w:rFonts w:ascii="Calibri"/>
                            <w:b/>
                            <w:sz w:val="20"/>
                          </w:rPr>
                        </w:pPr>
                        <w:r>
                          <w:rPr>
                            <w:rFonts w:ascii="Calibri"/>
                            <w:b/>
                            <w:color w:val="9E470D"/>
                            <w:spacing w:val="-5"/>
                            <w:sz w:val="20"/>
                          </w:rPr>
                          <w:t>31%</w:t>
                        </w:r>
                      </w:p>
                    </w:txbxContent>
                  </v:textbox>
                </v:shape>
                <v:shape id="Textbox 22" o:spid="_x0000_s1086" type="#_x0000_t202" style="position:absolute;left:35433;top:17376;width:4629;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" filled="f" stroked="f">
                  <v:textbox inset="0,0,0,0">
                    <w:txbxContent>
                      <w:p w14:paraId="55E63E6E" w14:textId="77777777" w:rsidR="005730E3" w:rsidRDefault="005730E3" w:rsidP="005730E3">
                        <w:pPr>
                          <w:spacing w:line="203" w:lineRule="exact"/>
                          <w:ind w:right="18"/>
                          <w:jc w:val="center"/>
                          <w:rPr>
                            <w:rFonts w:ascii="Calibri"/>
                            <w:b/>
                            <w:sz w:val="20"/>
                          </w:rPr>
                        </w:pPr>
                        <w:r>
                          <w:rPr>
                            <w:rFonts w:ascii="Calibri"/>
                            <w:b/>
                            <w:color w:val="6FAC46"/>
                            <w:spacing w:val="-4"/>
                            <w:sz w:val="20"/>
                          </w:rPr>
                          <w:t>18-</w:t>
                        </w:r>
                        <w:r>
                          <w:rPr>
                            <w:rFonts w:ascii="Calibri"/>
                            <w:b/>
                            <w:color w:val="6FAC46"/>
                            <w:spacing w:val="-2"/>
                            <w:sz w:val="20"/>
                          </w:rPr>
                          <w:t>25yrs</w:t>
                        </w:r>
                      </w:p>
                      <w:p w14:paraId="7CF5D521" w14:textId="77777777" w:rsidR="005730E3" w:rsidRDefault="005730E3" w:rsidP="005730E3">
                        <w:pPr>
                          <w:spacing w:before="1" w:line="240" w:lineRule="exact"/>
                          <w:ind w:right="19"/>
                          <w:jc w:val="center"/>
                          <w:rPr>
                            <w:rFonts w:ascii="Calibri"/>
                            <w:b/>
                            <w:sz w:val="20"/>
                          </w:rPr>
                        </w:pPr>
                        <w:r>
                          <w:rPr>
                            <w:rFonts w:ascii="Calibri"/>
                            <w:b/>
                            <w:color w:val="6FAC46"/>
                            <w:spacing w:val="-5"/>
                            <w:sz w:val="20"/>
                          </w:rPr>
                          <w:t>33%</w:t>
                        </w:r>
                      </w:p>
                    </w:txbxContent>
                  </v:textbox>
                </v:shape>
                <w10:wrap type="topAndBottom"/>
              </v:group>
            </w:pict>
          </mc:Fallback>
        </mc:AlternateContent>
      </w:r>
      <w:r w:rsidR="004D1527" w:rsidRPr="004D1527">
        <w:rPr>
          <w:rFonts w:ascii="Times New Roman" w:hAnsi="Times New Roman" w:cs="Times New Roman"/>
          <w:color w:val="000000"/>
          <w:sz w:val="24"/>
          <w:szCs w:val="24"/>
        </w:rPr>
        <w:t>The age distribution of public toilet users (fig 4) revealed that users predominantly fall within the 26–40 age bracket. Children aged 0–10 were the least frequent users, likely due to their inability to navigate public toilet facilities independently. The working-age demographic utilizes these facilities more, possibly because they spend significant time away from home.</w:t>
      </w:r>
    </w:p>
    <w:p w14:paraId="43CC5A19" w14:textId="50F947F3" w:rsidR="005730E3"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 xml:space="preserve"> </w:t>
      </w:r>
    </w:p>
    <w:p w14:paraId="3BF8705D" w14:textId="77777777" w:rsidR="005730E3" w:rsidRDefault="004D1527" w:rsidP="005730E3">
      <w:pPr>
        <w:autoSpaceDE w:val="0"/>
        <w:autoSpaceDN w:val="0"/>
        <w:adjustRightInd w:val="0"/>
        <w:spacing w:after="0" w:line="240" w:lineRule="auto"/>
        <w:jc w:val="center"/>
        <w:rPr>
          <w:rFonts w:ascii="Times New Roman" w:hAnsi="Times New Roman" w:cs="Times New Roman"/>
          <w:color w:val="000000"/>
          <w:sz w:val="24"/>
          <w:szCs w:val="24"/>
        </w:rPr>
      </w:pPr>
      <w:r w:rsidRPr="004D1527">
        <w:rPr>
          <w:rFonts w:ascii="Times New Roman" w:hAnsi="Times New Roman" w:cs="Times New Roman"/>
          <w:color w:val="000000"/>
          <w:sz w:val="24"/>
          <w:szCs w:val="24"/>
        </w:rPr>
        <w:t xml:space="preserve">Fig 4: Age distribution of Respondents </w:t>
      </w:r>
    </w:p>
    <w:p w14:paraId="6EEA934E" w14:textId="4769AC01" w:rsidR="004D1527" w:rsidRPr="004D1527" w:rsidRDefault="004D1527" w:rsidP="005730E3">
      <w:pPr>
        <w:autoSpaceDE w:val="0"/>
        <w:autoSpaceDN w:val="0"/>
        <w:adjustRightInd w:val="0"/>
        <w:spacing w:after="0" w:line="240" w:lineRule="auto"/>
        <w:jc w:val="center"/>
        <w:rPr>
          <w:rFonts w:ascii="Times New Roman" w:hAnsi="Times New Roman" w:cs="Times New Roman"/>
          <w:color w:val="000000"/>
          <w:sz w:val="24"/>
          <w:szCs w:val="24"/>
        </w:rPr>
      </w:pPr>
      <w:r w:rsidRPr="004D1527">
        <w:rPr>
          <w:rFonts w:ascii="Times New Roman" w:hAnsi="Times New Roman" w:cs="Times New Roman"/>
          <w:color w:val="000000"/>
          <w:sz w:val="24"/>
          <w:szCs w:val="24"/>
        </w:rPr>
        <w:t>Source: Author’s field survey, 2023</w:t>
      </w:r>
    </w:p>
    <w:p w14:paraId="0DF6A601" w14:textId="3299E7D9" w:rsidR="004D1527" w:rsidRPr="005730E3"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lastRenderedPageBreak/>
        <w:t xml:space="preserve"> </w:t>
      </w:r>
      <w:r w:rsidRPr="005730E3">
        <w:rPr>
          <w:rFonts w:ascii="Times New Roman" w:hAnsi="Times New Roman" w:cs="Times New Roman"/>
          <w:b/>
          <w:bCs/>
          <w:color w:val="000000"/>
          <w:sz w:val="24"/>
          <w:szCs w:val="24"/>
        </w:rPr>
        <w:t>Frequency of Usage</w:t>
      </w:r>
    </w:p>
    <w:p w14:paraId="4A4B3780" w14:textId="2F5D7A36"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As shown in fig 5, 17% respondent uses the public toilet facility once a day while 16% does not use it often. The frequency distribution shows that there is a chance of not using the public toilet in a day, and a low chance of not using the toilet once in 7 days. This low usage pattern is indicative of dissatisfaction, mistrust in hygiene standards, and possibly a preference for alternative (often unsanitary) methods such as open defecation or "holding it in."</w:t>
      </w:r>
    </w:p>
    <w:p w14:paraId="429CF9C0" w14:textId="30264674" w:rsidR="004D1527" w:rsidRDefault="005730E3" w:rsidP="004D1527">
      <w:pPr>
        <w:autoSpaceDE w:val="0"/>
        <w:autoSpaceDN w:val="0"/>
        <w:adjustRightInd w:val="0"/>
        <w:spacing w:after="0" w:line="240" w:lineRule="auto"/>
        <w:jc w:val="both"/>
        <w:rPr>
          <w:rFonts w:ascii="Times New Roman" w:hAnsi="Times New Roman" w:cs="Times New Roman"/>
          <w:color w:val="000000"/>
          <w:sz w:val="24"/>
          <w:szCs w:val="24"/>
        </w:rPr>
      </w:pPr>
      <w:r>
        <w:rPr>
          <w:noProof/>
          <w:sz w:val="20"/>
        </w:rPr>
        <mc:AlternateContent>
          <mc:Choice Requires="wpg">
            <w:drawing>
              <wp:anchor distT="0" distB="0" distL="114300" distR="114300" simplePos="0" relativeHeight="251722752" behindDoc="0" locked="0" layoutInCell="1" allowOverlap="1" wp14:anchorId="73999A5F" wp14:editId="2C6011C7">
                <wp:simplePos x="0" y="0"/>
                <wp:positionH relativeFrom="column">
                  <wp:posOffset>730250</wp:posOffset>
                </wp:positionH>
                <wp:positionV relativeFrom="paragraph">
                  <wp:posOffset>227965</wp:posOffset>
                </wp:positionV>
                <wp:extent cx="4381500" cy="2838450"/>
                <wp:effectExtent l="0" t="0" r="19050" b="19050"/>
                <wp:wrapTopAndBottom/>
                <wp:docPr id="97086405" name="Group 97086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1500" cy="2838450"/>
                          <a:chOff x="0" y="0"/>
                          <a:chExt cx="4116704" cy="2044064"/>
                        </a:xfrm>
                      </wpg:grpSpPr>
                      <pic:pic xmlns:pic="http://schemas.openxmlformats.org/drawingml/2006/picture">
                        <pic:nvPicPr>
                          <pic:cNvPr id="2126223258" name="Image 24"/>
                          <pic:cNvPicPr/>
                        </pic:nvPicPr>
                        <pic:blipFill>
                          <a:blip r:embed="rId252" cstate="print"/>
                          <a:stretch>
                            <a:fillRect/>
                          </a:stretch>
                        </pic:blipFill>
                        <pic:spPr>
                          <a:xfrm>
                            <a:off x="1016698" y="581382"/>
                            <a:ext cx="2093595" cy="1208208"/>
                          </a:xfrm>
                          <a:prstGeom prst="rect">
                            <a:avLst/>
                          </a:prstGeom>
                        </pic:spPr>
                      </pic:pic>
                      <wps:wsp>
                        <wps:cNvPr id="560537951" name="Graphic 25"/>
                        <wps:cNvSpPr/>
                        <wps:spPr>
                          <a:xfrm>
                            <a:off x="961644" y="601980"/>
                            <a:ext cx="1826260" cy="958850"/>
                          </a:xfrm>
                          <a:custGeom>
                            <a:avLst/>
                            <a:gdLst/>
                            <a:ahLst/>
                            <a:cxnLst/>
                            <a:rect l="l" t="t" r="r" b="b"/>
                            <a:pathLst>
                              <a:path w="1826260" h="958850">
                                <a:moveTo>
                                  <a:pt x="1546860" y="22860"/>
                                </a:moveTo>
                                <a:lnTo>
                                  <a:pt x="1767839" y="0"/>
                                </a:lnTo>
                                <a:lnTo>
                                  <a:pt x="1825752" y="0"/>
                                </a:lnTo>
                              </a:path>
                              <a:path w="1826260" h="958850">
                                <a:moveTo>
                                  <a:pt x="227075" y="883919"/>
                                </a:moveTo>
                                <a:lnTo>
                                  <a:pt x="57911" y="958596"/>
                                </a:lnTo>
                                <a:lnTo>
                                  <a:pt x="0" y="958596"/>
                                </a:lnTo>
                              </a:path>
                              <a:path w="1826260" h="958850">
                                <a:moveTo>
                                  <a:pt x="702563" y="13715"/>
                                </a:moveTo>
                                <a:lnTo>
                                  <a:pt x="211835" y="3048"/>
                                </a:lnTo>
                                <a:lnTo>
                                  <a:pt x="155447" y="3048"/>
                                </a:lnTo>
                              </a:path>
                            </a:pathLst>
                          </a:custGeom>
                          <a:ln w="9144">
                            <a:solidFill>
                              <a:srgbClr val="A6A6A6"/>
                            </a:solidFill>
                            <a:prstDash val="solid"/>
                          </a:ln>
                        </wps:spPr>
                        <wps:bodyPr wrap="square" lIns="0" tIns="0" rIns="0" bIns="0" rtlCol="0">
                          <a:prstTxWarp prst="textNoShape">
                            <a:avLst/>
                          </a:prstTxWarp>
                          <a:noAutofit/>
                        </wps:bodyPr>
                      </wps:wsp>
                      <wps:wsp>
                        <wps:cNvPr id="1670393762" name="Graphic 26"/>
                        <wps:cNvSpPr/>
                        <wps:spPr>
                          <a:xfrm>
                            <a:off x="4572" y="4572"/>
                            <a:ext cx="4107179" cy="2034539"/>
                          </a:xfrm>
                          <a:custGeom>
                            <a:avLst/>
                            <a:gdLst/>
                            <a:ahLst/>
                            <a:cxnLst/>
                            <a:rect l="l" t="t" r="r" b="b"/>
                            <a:pathLst>
                              <a:path w="4107179" h="2034539">
                                <a:moveTo>
                                  <a:pt x="0" y="2034539"/>
                                </a:moveTo>
                                <a:lnTo>
                                  <a:pt x="4107179" y="2034539"/>
                                </a:lnTo>
                                <a:lnTo>
                                  <a:pt x="4107179" y="0"/>
                                </a:lnTo>
                                <a:lnTo>
                                  <a:pt x="0" y="0"/>
                                </a:lnTo>
                                <a:lnTo>
                                  <a:pt x="0" y="2034539"/>
                                </a:lnTo>
                                <a:close/>
                              </a:path>
                            </a:pathLst>
                          </a:custGeom>
                          <a:ln w="9144">
                            <a:solidFill>
                              <a:srgbClr val="D9D9D9"/>
                            </a:solidFill>
                            <a:prstDash val="solid"/>
                          </a:ln>
                        </wps:spPr>
                        <wps:bodyPr wrap="square" lIns="0" tIns="0" rIns="0" bIns="0" rtlCol="0">
                          <a:prstTxWarp prst="textNoShape">
                            <a:avLst/>
                          </a:prstTxWarp>
                          <a:noAutofit/>
                        </wps:bodyPr>
                      </wps:wsp>
                      <wps:wsp>
                        <wps:cNvPr id="1334067667" name="Textbox 27"/>
                        <wps:cNvSpPr txBox="1"/>
                        <wps:spPr>
                          <a:xfrm>
                            <a:off x="605281" y="141859"/>
                            <a:ext cx="2424430" cy="404495"/>
                          </a:xfrm>
                          <a:prstGeom prst="rect">
                            <a:avLst/>
                          </a:prstGeom>
                        </wps:spPr>
                        <wps:txbx>
                          <w:txbxContent>
                            <w:p w14:paraId="3F968AD2" w14:textId="77777777" w:rsidR="005730E3" w:rsidRDefault="005730E3" w:rsidP="005730E3">
                              <w:pPr>
                                <w:spacing w:line="325" w:lineRule="exact"/>
                                <w:ind w:left="776"/>
                                <w:rPr>
                                  <w:rFonts w:ascii="Calibri"/>
                                  <w:b/>
                                  <w:sz w:val="32"/>
                                </w:rPr>
                              </w:pPr>
                              <w:r>
                                <w:rPr>
                                  <w:rFonts w:ascii="Calibri"/>
                                  <w:b/>
                                  <w:color w:val="585858"/>
                                  <w:sz w:val="32"/>
                                </w:rPr>
                                <w:t>FREQUENCY</w:t>
                              </w:r>
                              <w:r>
                                <w:rPr>
                                  <w:rFonts w:ascii="Calibri"/>
                                  <w:b/>
                                  <w:color w:val="585858"/>
                                  <w:spacing w:val="-12"/>
                                  <w:sz w:val="32"/>
                                </w:rPr>
                                <w:t xml:space="preserve"> </w:t>
                              </w:r>
                              <w:r>
                                <w:rPr>
                                  <w:rFonts w:ascii="Calibri"/>
                                  <w:b/>
                                  <w:color w:val="585858"/>
                                  <w:sz w:val="32"/>
                                </w:rPr>
                                <w:t>OF</w:t>
                              </w:r>
                              <w:r>
                                <w:rPr>
                                  <w:rFonts w:ascii="Calibri"/>
                                  <w:b/>
                                  <w:color w:val="585858"/>
                                  <w:spacing w:val="-11"/>
                                  <w:sz w:val="32"/>
                                </w:rPr>
                                <w:t xml:space="preserve"> </w:t>
                              </w:r>
                              <w:r>
                                <w:rPr>
                                  <w:rFonts w:ascii="Calibri"/>
                                  <w:b/>
                                  <w:color w:val="585858"/>
                                  <w:spacing w:val="-4"/>
                                  <w:sz w:val="32"/>
                                </w:rPr>
                                <w:t>USAGE</w:t>
                              </w:r>
                            </w:p>
                            <w:p w14:paraId="0D5875A1" w14:textId="77777777" w:rsidR="005730E3" w:rsidRDefault="005730E3" w:rsidP="005730E3">
                              <w:pPr>
                                <w:spacing w:before="71" w:line="240" w:lineRule="exact"/>
                                <w:rPr>
                                  <w:rFonts w:ascii="Calibri"/>
                                  <w:b/>
                                  <w:sz w:val="20"/>
                                </w:rPr>
                              </w:pPr>
                              <w:r>
                                <w:rPr>
                                  <w:rFonts w:ascii="Calibri"/>
                                  <w:b/>
                                  <w:color w:val="245E91"/>
                                  <w:sz w:val="20"/>
                                </w:rPr>
                                <w:t>Once</w:t>
                              </w:r>
                              <w:r>
                                <w:rPr>
                                  <w:rFonts w:ascii="Calibri"/>
                                  <w:b/>
                                  <w:color w:val="245E91"/>
                                  <w:spacing w:val="-3"/>
                                  <w:sz w:val="20"/>
                                </w:rPr>
                                <w:t xml:space="preserve"> </w:t>
                              </w:r>
                              <w:r>
                                <w:rPr>
                                  <w:rFonts w:ascii="Calibri"/>
                                  <w:b/>
                                  <w:color w:val="245E91"/>
                                  <w:sz w:val="20"/>
                                </w:rPr>
                                <w:t>a</w:t>
                              </w:r>
                              <w:r>
                                <w:rPr>
                                  <w:rFonts w:ascii="Calibri"/>
                                  <w:b/>
                                  <w:color w:val="245E91"/>
                                  <w:spacing w:val="-2"/>
                                  <w:sz w:val="20"/>
                                </w:rPr>
                                <w:t xml:space="preserve"> </w:t>
                              </w:r>
                              <w:r>
                                <w:rPr>
                                  <w:rFonts w:ascii="Calibri"/>
                                  <w:b/>
                                  <w:color w:val="245E91"/>
                                  <w:sz w:val="20"/>
                                </w:rPr>
                                <w:t>7</w:t>
                              </w:r>
                              <w:r>
                                <w:rPr>
                                  <w:rFonts w:ascii="Calibri"/>
                                  <w:b/>
                                  <w:color w:val="245E91"/>
                                  <w:spacing w:val="-3"/>
                                  <w:sz w:val="20"/>
                                </w:rPr>
                                <w:t xml:space="preserve"> </w:t>
                              </w:r>
                              <w:r>
                                <w:rPr>
                                  <w:rFonts w:ascii="Calibri"/>
                                  <w:b/>
                                  <w:color w:val="245E91"/>
                                  <w:spacing w:val="-4"/>
                                  <w:sz w:val="20"/>
                                </w:rPr>
                                <w:t>Days</w:t>
                              </w:r>
                            </w:p>
                          </w:txbxContent>
                        </wps:txbx>
                        <wps:bodyPr wrap="square" lIns="0" tIns="0" rIns="0" bIns="0" rtlCol="0">
                          <a:noAutofit/>
                        </wps:bodyPr>
                      </wps:wsp>
                      <wps:wsp>
                        <wps:cNvPr id="1978471339" name="Textbox 28"/>
                        <wps:cNvSpPr txBox="1"/>
                        <wps:spPr>
                          <a:xfrm>
                            <a:off x="862838" y="575055"/>
                            <a:ext cx="233045" cy="127000"/>
                          </a:xfrm>
                          <a:prstGeom prst="rect">
                            <a:avLst/>
                          </a:prstGeom>
                        </wps:spPr>
                        <wps:txbx>
                          <w:txbxContent>
                            <w:p w14:paraId="15A56514" w14:textId="77777777" w:rsidR="005730E3" w:rsidRDefault="005730E3" w:rsidP="005730E3">
                              <w:pPr>
                                <w:spacing w:line="199" w:lineRule="exact"/>
                                <w:rPr>
                                  <w:rFonts w:ascii="Calibri"/>
                                  <w:b/>
                                  <w:sz w:val="20"/>
                                </w:rPr>
                              </w:pPr>
                              <w:r>
                                <w:rPr>
                                  <w:rFonts w:ascii="Calibri"/>
                                  <w:b/>
                                  <w:color w:val="245E91"/>
                                  <w:spacing w:val="-5"/>
                                  <w:sz w:val="20"/>
                                </w:rPr>
                                <w:t>16%</w:t>
                              </w:r>
                            </w:p>
                          </w:txbxContent>
                        </wps:txbx>
                        <wps:bodyPr wrap="square" lIns="0" tIns="0" rIns="0" bIns="0" rtlCol="0">
                          <a:noAutofit/>
                        </wps:bodyPr>
                      </wps:wsp>
                      <wps:wsp>
                        <wps:cNvPr id="1439133976" name="Textbox 29"/>
                        <wps:cNvSpPr txBox="1"/>
                        <wps:spPr>
                          <a:xfrm>
                            <a:off x="2807842" y="506247"/>
                            <a:ext cx="606425" cy="282575"/>
                          </a:xfrm>
                          <a:prstGeom prst="rect">
                            <a:avLst/>
                          </a:prstGeom>
                        </wps:spPr>
                        <wps:txbx>
                          <w:txbxContent>
                            <w:p w14:paraId="05235D9A" w14:textId="77777777" w:rsidR="005730E3" w:rsidRDefault="005730E3" w:rsidP="005730E3">
                              <w:pPr>
                                <w:spacing w:line="203" w:lineRule="exact"/>
                                <w:ind w:right="18"/>
                                <w:jc w:val="center"/>
                                <w:rPr>
                                  <w:rFonts w:ascii="Calibri"/>
                                  <w:b/>
                                  <w:sz w:val="20"/>
                                </w:rPr>
                              </w:pPr>
                              <w:r>
                                <w:rPr>
                                  <w:rFonts w:ascii="Calibri"/>
                                  <w:b/>
                                  <w:color w:val="5B9BD4"/>
                                  <w:sz w:val="20"/>
                                </w:rPr>
                                <w:t>Once</w:t>
                              </w:r>
                              <w:r>
                                <w:rPr>
                                  <w:rFonts w:ascii="Calibri"/>
                                  <w:b/>
                                  <w:color w:val="5B9BD4"/>
                                  <w:spacing w:val="-4"/>
                                  <w:sz w:val="20"/>
                                </w:rPr>
                                <w:t xml:space="preserve"> </w:t>
                              </w:r>
                              <w:r>
                                <w:rPr>
                                  <w:rFonts w:ascii="Calibri"/>
                                  <w:b/>
                                  <w:color w:val="5B9BD4"/>
                                  <w:sz w:val="20"/>
                                </w:rPr>
                                <w:t>a</w:t>
                              </w:r>
                              <w:r>
                                <w:rPr>
                                  <w:rFonts w:ascii="Calibri"/>
                                  <w:b/>
                                  <w:color w:val="5B9BD4"/>
                                  <w:spacing w:val="-5"/>
                                  <w:sz w:val="20"/>
                                </w:rPr>
                                <w:t xml:space="preserve"> Day</w:t>
                              </w:r>
                            </w:p>
                            <w:p w14:paraId="38CA8C4D" w14:textId="77777777" w:rsidR="005730E3" w:rsidRDefault="005730E3" w:rsidP="005730E3">
                              <w:pPr>
                                <w:spacing w:before="1" w:line="240" w:lineRule="exact"/>
                                <w:ind w:right="20"/>
                                <w:jc w:val="center"/>
                                <w:rPr>
                                  <w:rFonts w:ascii="Calibri"/>
                                  <w:b/>
                                  <w:sz w:val="20"/>
                                </w:rPr>
                              </w:pPr>
                              <w:r>
                                <w:rPr>
                                  <w:rFonts w:ascii="Calibri"/>
                                  <w:b/>
                                  <w:color w:val="5B9BD4"/>
                                  <w:spacing w:val="-5"/>
                                  <w:sz w:val="20"/>
                                </w:rPr>
                                <w:t>17%</w:t>
                              </w:r>
                            </w:p>
                          </w:txbxContent>
                        </wps:txbx>
                        <wps:bodyPr wrap="square" lIns="0" tIns="0" rIns="0" bIns="0" rtlCol="0">
                          <a:noAutofit/>
                        </wps:bodyPr>
                      </wps:wsp>
                      <wps:wsp>
                        <wps:cNvPr id="1490551733" name="Textbox 30"/>
                        <wps:cNvSpPr txBox="1"/>
                        <wps:spPr>
                          <a:xfrm>
                            <a:off x="3212338" y="1141094"/>
                            <a:ext cx="785495" cy="281940"/>
                          </a:xfrm>
                          <a:prstGeom prst="rect">
                            <a:avLst/>
                          </a:prstGeom>
                        </wps:spPr>
                        <wps:txbx>
                          <w:txbxContent>
                            <w:p w14:paraId="4D753805" w14:textId="77777777" w:rsidR="005730E3" w:rsidRDefault="005730E3" w:rsidP="005730E3">
                              <w:pPr>
                                <w:spacing w:line="203" w:lineRule="exact"/>
                                <w:ind w:right="18"/>
                                <w:jc w:val="center"/>
                                <w:rPr>
                                  <w:rFonts w:ascii="Calibri"/>
                                  <w:b/>
                                  <w:sz w:val="20"/>
                                </w:rPr>
                              </w:pPr>
                              <w:r>
                                <w:rPr>
                                  <w:rFonts w:ascii="Calibri"/>
                                  <w:b/>
                                  <w:color w:val="A4A4A4"/>
                                  <w:sz w:val="20"/>
                                </w:rPr>
                                <w:t>Once</w:t>
                              </w:r>
                              <w:r>
                                <w:rPr>
                                  <w:rFonts w:ascii="Calibri"/>
                                  <w:b/>
                                  <w:color w:val="A4A4A4"/>
                                  <w:spacing w:val="-3"/>
                                  <w:sz w:val="20"/>
                                </w:rPr>
                                <w:t xml:space="preserve"> </w:t>
                              </w:r>
                              <w:r>
                                <w:rPr>
                                  <w:rFonts w:ascii="Calibri"/>
                                  <w:b/>
                                  <w:color w:val="A4A4A4"/>
                                  <w:sz w:val="20"/>
                                </w:rPr>
                                <w:t>in</w:t>
                              </w:r>
                              <w:r>
                                <w:rPr>
                                  <w:rFonts w:ascii="Calibri"/>
                                  <w:b/>
                                  <w:color w:val="A4A4A4"/>
                                  <w:spacing w:val="-2"/>
                                  <w:sz w:val="20"/>
                                </w:rPr>
                                <w:t xml:space="preserve"> </w:t>
                              </w:r>
                              <w:r>
                                <w:rPr>
                                  <w:rFonts w:ascii="Calibri"/>
                                  <w:b/>
                                  <w:color w:val="A4A4A4"/>
                                  <w:sz w:val="20"/>
                                </w:rPr>
                                <w:t>2</w:t>
                              </w:r>
                              <w:r>
                                <w:rPr>
                                  <w:rFonts w:ascii="Calibri"/>
                                  <w:b/>
                                  <w:color w:val="A4A4A4"/>
                                  <w:spacing w:val="-2"/>
                                  <w:sz w:val="20"/>
                                </w:rPr>
                                <w:t xml:space="preserve"> </w:t>
                              </w:r>
                              <w:r>
                                <w:rPr>
                                  <w:rFonts w:ascii="Calibri"/>
                                  <w:b/>
                                  <w:color w:val="A4A4A4"/>
                                  <w:spacing w:val="-4"/>
                                  <w:sz w:val="20"/>
                                </w:rPr>
                                <w:t>Days</w:t>
                              </w:r>
                            </w:p>
                            <w:p w14:paraId="24F2EDB0" w14:textId="77777777" w:rsidR="005730E3" w:rsidRDefault="005730E3" w:rsidP="005730E3">
                              <w:pPr>
                                <w:spacing w:line="240" w:lineRule="exact"/>
                                <w:ind w:right="19"/>
                                <w:jc w:val="center"/>
                                <w:rPr>
                                  <w:rFonts w:ascii="Calibri"/>
                                  <w:b/>
                                  <w:sz w:val="20"/>
                                </w:rPr>
                              </w:pPr>
                              <w:r>
                                <w:rPr>
                                  <w:rFonts w:ascii="Calibri"/>
                                  <w:b/>
                                  <w:color w:val="A4A4A4"/>
                                  <w:spacing w:val="-5"/>
                                  <w:sz w:val="20"/>
                                </w:rPr>
                                <w:t>28%</w:t>
                              </w:r>
                            </w:p>
                          </w:txbxContent>
                        </wps:txbx>
                        <wps:bodyPr wrap="square" lIns="0" tIns="0" rIns="0" bIns="0" rtlCol="0">
                          <a:noAutofit/>
                        </wps:bodyPr>
                      </wps:wsp>
                      <wps:wsp>
                        <wps:cNvPr id="1188450524" name="Textbox 31"/>
                        <wps:cNvSpPr txBox="1"/>
                        <wps:spPr>
                          <a:xfrm>
                            <a:off x="251459" y="1427861"/>
                            <a:ext cx="785495" cy="281940"/>
                          </a:xfrm>
                          <a:prstGeom prst="rect">
                            <a:avLst/>
                          </a:prstGeom>
                        </wps:spPr>
                        <wps:txbx>
                          <w:txbxContent>
                            <w:p w14:paraId="1695328F" w14:textId="77777777" w:rsidR="005730E3" w:rsidRDefault="005730E3" w:rsidP="005730E3">
                              <w:pPr>
                                <w:spacing w:line="203" w:lineRule="exact"/>
                                <w:ind w:left="-1" w:right="18"/>
                                <w:jc w:val="center"/>
                                <w:rPr>
                                  <w:rFonts w:ascii="Calibri"/>
                                  <w:b/>
                                  <w:sz w:val="20"/>
                                </w:rPr>
                              </w:pPr>
                              <w:r>
                                <w:rPr>
                                  <w:rFonts w:ascii="Calibri"/>
                                  <w:b/>
                                  <w:color w:val="4471C4"/>
                                  <w:sz w:val="20"/>
                                </w:rPr>
                                <w:t>Once</w:t>
                              </w:r>
                              <w:r>
                                <w:rPr>
                                  <w:rFonts w:ascii="Calibri"/>
                                  <w:b/>
                                  <w:color w:val="4471C4"/>
                                  <w:spacing w:val="-3"/>
                                  <w:sz w:val="20"/>
                                </w:rPr>
                                <w:t xml:space="preserve"> </w:t>
                              </w:r>
                              <w:r>
                                <w:rPr>
                                  <w:rFonts w:ascii="Calibri"/>
                                  <w:b/>
                                  <w:color w:val="4471C4"/>
                                  <w:sz w:val="20"/>
                                </w:rPr>
                                <w:t>in</w:t>
                              </w:r>
                              <w:r>
                                <w:rPr>
                                  <w:rFonts w:ascii="Calibri"/>
                                  <w:b/>
                                  <w:color w:val="4471C4"/>
                                  <w:spacing w:val="-2"/>
                                  <w:sz w:val="20"/>
                                </w:rPr>
                                <w:t xml:space="preserve"> </w:t>
                              </w:r>
                              <w:r>
                                <w:rPr>
                                  <w:rFonts w:ascii="Calibri"/>
                                  <w:b/>
                                  <w:color w:val="4471C4"/>
                                  <w:sz w:val="20"/>
                                </w:rPr>
                                <w:t>3</w:t>
                              </w:r>
                              <w:r>
                                <w:rPr>
                                  <w:rFonts w:ascii="Calibri"/>
                                  <w:b/>
                                  <w:color w:val="4471C4"/>
                                  <w:spacing w:val="-2"/>
                                  <w:sz w:val="20"/>
                                </w:rPr>
                                <w:t xml:space="preserve"> </w:t>
                              </w:r>
                              <w:r>
                                <w:rPr>
                                  <w:rFonts w:ascii="Calibri"/>
                                  <w:b/>
                                  <w:color w:val="4471C4"/>
                                  <w:spacing w:val="-4"/>
                                  <w:sz w:val="20"/>
                                </w:rPr>
                                <w:t>Days</w:t>
                              </w:r>
                            </w:p>
                            <w:p w14:paraId="74C16592" w14:textId="77777777" w:rsidR="005730E3" w:rsidRDefault="005730E3" w:rsidP="005730E3">
                              <w:pPr>
                                <w:spacing w:line="240" w:lineRule="exact"/>
                                <w:ind w:right="19"/>
                                <w:jc w:val="center"/>
                                <w:rPr>
                                  <w:rFonts w:ascii="Calibri"/>
                                  <w:b/>
                                  <w:sz w:val="20"/>
                                </w:rPr>
                              </w:pPr>
                              <w:r>
                                <w:rPr>
                                  <w:rFonts w:ascii="Calibri"/>
                                  <w:b/>
                                  <w:color w:val="4471C4"/>
                                  <w:spacing w:val="-5"/>
                                  <w:sz w:val="20"/>
                                </w:rPr>
                                <w:t>39%</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3999A5F" id="Group 97086405" o:spid="_x0000_s1087" style="position:absolute;left:0;text-align:left;margin-left:57.5pt;margin-top:17.95pt;width:345pt;height:223.5pt;z-index:251722752;mso-position-horizontal-relative:text;mso-position-vertical-relative:text;mso-width-relative:margin;mso-height-relative:margin" coordsize="41167,20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">
                <v:shape id="Image 24" o:spid="_x0000_s1088" type="#_x0000_t75" style="position:absolute;left:10166;top:5813;width:20936;height:12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">
                  <v:imagedata r:id="rId253" o:title=""/>
                </v:shape>
                <v:shape id="Graphic 25" o:spid="_x0000_s1089" style="position:absolute;left:9616;top:6019;width:18263;height:9589;visibility:visible;mso-wrap-style:square;v-text-anchor:top" coordsize="1826260,958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" path="m1546860,22860l1767839,r57913,em227075,883919l57911,958596,,958596em702563,13715l211835,3048r-56388,e" filled="f" strokecolor="#a6a6a6" strokeweight=".72pt">
                  <v:path arrowok="t"/>
                </v:shape>
                <v:shape id="Graphic 26" o:spid="_x0000_s1090" style="position:absolute;left:45;top:45;width:41072;height:20346;visibility:visible;mso-wrap-style:square;v-text-anchor:top" coordsize="4107179,203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" path="m,2034539r4107179,l4107179,,,,,2034539xe" filled="f" strokecolor="#d9d9d9" strokeweight=".72pt">
                  <v:path arrowok="t"/>
                </v:shape>
                <v:shape id="Textbox 27" o:spid="_x0000_s1091" type="#_x0000_t202" style="position:absolute;left:6052;top:1418;width:24245;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" filled="f" stroked="f">
                  <v:textbox inset="0,0,0,0">
                    <w:txbxContent>
                      <w:p w14:paraId="3F968AD2" w14:textId="77777777" w:rsidR="005730E3" w:rsidRDefault="005730E3" w:rsidP="005730E3">
                        <w:pPr>
                          <w:spacing w:line="325" w:lineRule="exact"/>
                          <w:ind w:left="776"/>
                          <w:rPr>
                            <w:rFonts w:ascii="Calibri"/>
                            <w:b/>
                            <w:sz w:val="32"/>
                          </w:rPr>
                        </w:pPr>
                        <w:r>
                          <w:rPr>
                            <w:rFonts w:ascii="Calibri"/>
                            <w:b/>
                            <w:color w:val="585858"/>
                            <w:sz w:val="32"/>
                          </w:rPr>
                          <w:t>FREQUENCY</w:t>
                        </w:r>
                        <w:r>
                          <w:rPr>
                            <w:rFonts w:ascii="Calibri"/>
                            <w:b/>
                            <w:color w:val="585858"/>
                            <w:spacing w:val="-12"/>
                            <w:sz w:val="32"/>
                          </w:rPr>
                          <w:t xml:space="preserve"> </w:t>
                        </w:r>
                        <w:r>
                          <w:rPr>
                            <w:rFonts w:ascii="Calibri"/>
                            <w:b/>
                            <w:color w:val="585858"/>
                            <w:sz w:val="32"/>
                          </w:rPr>
                          <w:t>OF</w:t>
                        </w:r>
                        <w:r>
                          <w:rPr>
                            <w:rFonts w:ascii="Calibri"/>
                            <w:b/>
                            <w:color w:val="585858"/>
                            <w:spacing w:val="-11"/>
                            <w:sz w:val="32"/>
                          </w:rPr>
                          <w:t xml:space="preserve"> </w:t>
                        </w:r>
                        <w:r>
                          <w:rPr>
                            <w:rFonts w:ascii="Calibri"/>
                            <w:b/>
                            <w:color w:val="585858"/>
                            <w:spacing w:val="-4"/>
                            <w:sz w:val="32"/>
                          </w:rPr>
                          <w:t>USAGE</w:t>
                        </w:r>
                      </w:p>
                      <w:p w14:paraId="0D5875A1" w14:textId="77777777" w:rsidR="005730E3" w:rsidRDefault="005730E3" w:rsidP="005730E3">
                        <w:pPr>
                          <w:spacing w:before="71" w:line="240" w:lineRule="exact"/>
                          <w:rPr>
                            <w:rFonts w:ascii="Calibri"/>
                            <w:b/>
                            <w:sz w:val="20"/>
                          </w:rPr>
                        </w:pPr>
                        <w:r>
                          <w:rPr>
                            <w:rFonts w:ascii="Calibri"/>
                            <w:b/>
                            <w:color w:val="245E91"/>
                            <w:sz w:val="20"/>
                          </w:rPr>
                          <w:t>Once</w:t>
                        </w:r>
                        <w:r>
                          <w:rPr>
                            <w:rFonts w:ascii="Calibri"/>
                            <w:b/>
                            <w:color w:val="245E91"/>
                            <w:spacing w:val="-3"/>
                            <w:sz w:val="20"/>
                          </w:rPr>
                          <w:t xml:space="preserve"> </w:t>
                        </w:r>
                        <w:r>
                          <w:rPr>
                            <w:rFonts w:ascii="Calibri"/>
                            <w:b/>
                            <w:color w:val="245E91"/>
                            <w:sz w:val="20"/>
                          </w:rPr>
                          <w:t>a</w:t>
                        </w:r>
                        <w:r>
                          <w:rPr>
                            <w:rFonts w:ascii="Calibri"/>
                            <w:b/>
                            <w:color w:val="245E91"/>
                            <w:spacing w:val="-2"/>
                            <w:sz w:val="20"/>
                          </w:rPr>
                          <w:t xml:space="preserve"> </w:t>
                        </w:r>
                        <w:r>
                          <w:rPr>
                            <w:rFonts w:ascii="Calibri"/>
                            <w:b/>
                            <w:color w:val="245E91"/>
                            <w:sz w:val="20"/>
                          </w:rPr>
                          <w:t>7</w:t>
                        </w:r>
                        <w:r>
                          <w:rPr>
                            <w:rFonts w:ascii="Calibri"/>
                            <w:b/>
                            <w:color w:val="245E91"/>
                            <w:spacing w:val="-3"/>
                            <w:sz w:val="20"/>
                          </w:rPr>
                          <w:t xml:space="preserve"> </w:t>
                        </w:r>
                        <w:r>
                          <w:rPr>
                            <w:rFonts w:ascii="Calibri"/>
                            <w:b/>
                            <w:color w:val="245E91"/>
                            <w:spacing w:val="-4"/>
                            <w:sz w:val="20"/>
                          </w:rPr>
                          <w:t>Days</w:t>
                        </w:r>
                      </w:p>
                    </w:txbxContent>
                  </v:textbox>
                </v:shape>
                <v:shape id="Textbox 28" o:spid="_x0000_s1092" type="#_x0000_t202" style="position:absolute;left:8628;top:5750;width:233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" filled="f" stroked="f">
                  <v:textbox inset="0,0,0,0">
                    <w:txbxContent>
                      <w:p w14:paraId="15A56514" w14:textId="77777777" w:rsidR="005730E3" w:rsidRDefault="005730E3" w:rsidP="005730E3">
                        <w:pPr>
                          <w:spacing w:line="199" w:lineRule="exact"/>
                          <w:rPr>
                            <w:rFonts w:ascii="Calibri"/>
                            <w:b/>
                            <w:sz w:val="20"/>
                          </w:rPr>
                        </w:pPr>
                        <w:r>
                          <w:rPr>
                            <w:rFonts w:ascii="Calibri"/>
                            <w:b/>
                            <w:color w:val="245E91"/>
                            <w:spacing w:val="-5"/>
                            <w:sz w:val="20"/>
                          </w:rPr>
                          <w:t>16%</w:t>
                        </w:r>
                      </w:p>
                    </w:txbxContent>
                  </v:textbox>
                </v:shape>
                <v:shape id="Textbox 29" o:spid="_x0000_s1093" type="#_x0000_t202" style="position:absolute;left:28078;top:5062;width:6064;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" filled="f" stroked="f">
                  <v:textbox inset="0,0,0,0">
                    <w:txbxContent>
                      <w:p w14:paraId="05235D9A" w14:textId="77777777" w:rsidR="005730E3" w:rsidRDefault="005730E3" w:rsidP="005730E3">
                        <w:pPr>
                          <w:spacing w:line="203" w:lineRule="exact"/>
                          <w:ind w:right="18"/>
                          <w:jc w:val="center"/>
                          <w:rPr>
                            <w:rFonts w:ascii="Calibri"/>
                            <w:b/>
                            <w:sz w:val="20"/>
                          </w:rPr>
                        </w:pPr>
                        <w:r>
                          <w:rPr>
                            <w:rFonts w:ascii="Calibri"/>
                            <w:b/>
                            <w:color w:val="5B9BD4"/>
                            <w:sz w:val="20"/>
                          </w:rPr>
                          <w:t>Once</w:t>
                        </w:r>
                        <w:r>
                          <w:rPr>
                            <w:rFonts w:ascii="Calibri"/>
                            <w:b/>
                            <w:color w:val="5B9BD4"/>
                            <w:spacing w:val="-4"/>
                            <w:sz w:val="20"/>
                          </w:rPr>
                          <w:t xml:space="preserve"> </w:t>
                        </w:r>
                        <w:r>
                          <w:rPr>
                            <w:rFonts w:ascii="Calibri"/>
                            <w:b/>
                            <w:color w:val="5B9BD4"/>
                            <w:sz w:val="20"/>
                          </w:rPr>
                          <w:t>a</w:t>
                        </w:r>
                        <w:r>
                          <w:rPr>
                            <w:rFonts w:ascii="Calibri"/>
                            <w:b/>
                            <w:color w:val="5B9BD4"/>
                            <w:spacing w:val="-5"/>
                            <w:sz w:val="20"/>
                          </w:rPr>
                          <w:t xml:space="preserve"> Day</w:t>
                        </w:r>
                      </w:p>
                      <w:p w14:paraId="38CA8C4D" w14:textId="77777777" w:rsidR="005730E3" w:rsidRDefault="005730E3" w:rsidP="005730E3">
                        <w:pPr>
                          <w:spacing w:before="1" w:line="240" w:lineRule="exact"/>
                          <w:ind w:right="20"/>
                          <w:jc w:val="center"/>
                          <w:rPr>
                            <w:rFonts w:ascii="Calibri"/>
                            <w:b/>
                            <w:sz w:val="20"/>
                          </w:rPr>
                        </w:pPr>
                        <w:r>
                          <w:rPr>
                            <w:rFonts w:ascii="Calibri"/>
                            <w:b/>
                            <w:color w:val="5B9BD4"/>
                            <w:spacing w:val="-5"/>
                            <w:sz w:val="20"/>
                          </w:rPr>
                          <w:t>17%</w:t>
                        </w:r>
                      </w:p>
                    </w:txbxContent>
                  </v:textbox>
                </v:shape>
                <v:shape id="Textbox 30" o:spid="_x0000_s1094" type="#_x0000_t202" style="position:absolute;left:32123;top:11410;width:7855;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" filled="f" stroked="f">
                  <v:textbox inset="0,0,0,0">
                    <w:txbxContent>
                      <w:p w14:paraId="4D753805" w14:textId="77777777" w:rsidR="005730E3" w:rsidRDefault="005730E3" w:rsidP="005730E3">
                        <w:pPr>
                          <w:spacing w:line="203" w:lineRule="exact"/>
                          <w:ind w:right="18"/>
                          <w:jc w:val="center"/>
                          <w:rPr>
                            <w:rFonts w:ascii="Calibri"/>
                            <w:b/>
                            <w:sz w:val="20"/>
                          </w:rPr>
                        </w:pPr>
                        <w:r>
                          <w:rPr>
                            <w:rFonts w:ascii="Calibri"/>
                            <w:b/>
                            <w:color w:val="A4A4A4"/>
                            <w:sz w:val="20"/>
                          </w:rPr>
                          <w:t>Once</w:t>
                        </w:r>
                        <w:r>
                          <w:rPr>
                            <w:rFonts w:ascii="Calibri"/>
                            <w:b/>
                            <w:color w:val="A4A4A4"/>
                            <w:spacing w:val="-3"/>
                            <w:sz w:val="20"/>
                          </w:rPr>
                          <w:t xml:space="preserve"> </w:t>
                        </w:r>
                        <w:r>
                          <w:rPr>
                            <w:rFonts w:ascii="Calibri"/>
                            <w:b/>
                            <w:color w:val="A4A4A4"/>
                            <w:sz w:val="20"/>
                          </w:rPr>
                          <w:t>in</w:t>
                        </w:r>
                        <w:r>
                          <w:rPr>
                            <w:rFonts w:ascii="Calibri"/>
                            <w:b/>
                            <w:color w:val="A4A4A4"/>
                            <w:spacing w:val="-2"/>
                            <w:sz w:val="20"/>
                          </w:rPr>
                          <w:t xml:space="preserve"> </w:t>
                        </w:r>
                        <w:r>
                          <w:rPr>
                            <w:rFonts w:ascii="Calibri"/>
                            <w:b/>
                            <w:color w:val="A4A4A4"/>
                            <w:sz w:val="20"/>
                          </w:rPr>
                          <w:t>2</w:t>
                        </w:r>
                        <w:r>
                          <w:rPr>
                            <w:rFonts w:ascii="Calibri"/>
                            <w:b/>
                            <w:color w:val="A4A4A4"/>
                            <w:spacing w:val="-2"/>
                            <w:sz w:val="20"/>
                          </w:rPr>
                          <w:t xml:space="preserve"> </w:t>
                        </w:r>
                        <w:r>
                          <w:rPr>
                            <w:rFonts w:ascii="Calibri"/>
                            <w:b/>
                            <w:color w:val="A4A4A4"/>
                            <w:spacing w:val="-4"/>
                            <w:sz w:val="20"/>
                          </w:rPr>
                          <w:t>Days</w:t>
                        </w:r>
                      </w:p>
                      <w:p w14:paraId="24F2EDB0" w14:textId="77777777" w:rsidR="005730E3" w:rsidRDefault="005730E3" w:rsidP="005730E3">
                        <w:pPr>
                          <w:spacing w:line="240" w:lineRule="exact"/>
                          <w:ind w:right="19"/>
                          <w:jc w:val="center"/>
                          <w:rPr>
                            <w:rFonts w:ascii="Calibri"/>
                            <w:b/>
                            <w:sz w:val="20"/>
                          </w:rPr>
                        </w:pPr>
                        <w:r>
                          <w:rPr>
                            <w:rFonts w:ascii="Calibri"/>
                            <w:b/>
                            <w:color w:val="A4A4A4"/>
                            <w:spacing w:val="-5"/>
                            <w:sz w:val="20"/>
                          </w:rPr>
                          <w:t>28%</w:t>
                        </w:r>
                      </w:p>
                    </w:txbxContent>
                  </v:textbox>
                </v:shape>
                <v:shape id="Textbox 31" o:spid="_x0000_s1095" type="#_x0000_t202" style="position:absolute;left:2514;top:14278;width:7855;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" filled="f" stroked="f">
                  <v:textbox inset="0,0,0,0">
                    <w:txbxContent>
                      <w:p w14:paraId="1695328F" w14:textId="77777777" w:rsidR="005730E3" w:rsidRDefault="005730E3" w:rsidP="005730E3">
                        <w:pPr>
                          <w:spacing w:line="203" w:lineRule="exact"/>
                          <w:ind w:left="-1" w:right="18"/>
                          <w:jc w:val="center"/>
                          <w:rPr>
                            <w:rFonts w:ascii="Calibri"/>
                            <w:b/>
                            <w:sz w:val="20"/>
                          </w:rPr>
                        </w:pPr>
                        <w:r>
                          <w:rPr>
                            <w:rFonts w:ascii="Calibri"/>
                            <w:b/>
                            <w:color w:val="4471C4"/>
                            <w:sz w:val="20"/>
                          </w:rPr>
                          <w:t>Once</w:t>
                        </w:r>
                        <w:r>
                          <w:rPr>
                            <w:rFonts w:ascii="Calibri"/>
                            <w:b/>
                            <w:color w:val="4471C4"/>
                            <w:spacing w:val="-3"/>
                            <w:sz w:val="20"/>
                          </w:rPr>
                          <w:t xml:space="preserve"> </w:t>
                        </w:r>
                        <w:r>
                          <w:rPr>
                            <w:rFonts w:ascii="Calibri"/>
                            <w:b/>
                            <w:color w:val="4471C4"/>
                            <w:sz w:val="20"/>
                          </w:rPr>
                          <w:t>in</w:t>
                        </w:r>
                        <w:r>
                          <w:rPr>
                            <w:rFonts w:ascii="Calibri"/>
                            <w:b/>
                            <w:color w:val="4471C4"/>
                            <w:spacing w:val="-2"/>
                            <w:sz w:val="20"/>
                          </w:rPr>
                          <w:t xml:space="preserve"> </w:t>
                        </w:r>
                        <w:r>
                          <w:rPr>
                            <w:rFonts w:ascii="Calibri"/>
                            <w:b/>
                            <w:color w:val="4471C4"/>
                            <w:sz w:val="20"/>
                          </w:rPr>
                          <w:t>3</w:t>
                        </w:r>
                        <w:r>
                          <w:rPr>
                            <w:rFonts w:ascii="Calibri"/>
                            <w:b/>
                            <w:color w:val="4471C4"/>
                            <w:spacing w:val="-2"/>
                            <w:sz w:val="20"/>
                          </w:rPr>
                          <w:t xml:space="preserve"> </w:t>
                        </w:r>
                        <w:r>
                          <w:rPr>
                            <w:rFonts w:ascii="Calibri"/>
                            <w:b/>
                            <w:color w:val="4471C4"/>
                            <w:spacing w:val="-4"/>
                            <w:sz w:val="20"/>
                          </w:rPr>
                          <w:t>Days</w:t>
                        </w:r>
                      </w:p>
                      <w:p w14:paraId="74C16592" w14:textId="77777777" w:rsidR="005730E3" w:rsidRDefault="005730E3" w:rsidP="005730E3">
                        <w:pPr>
                          <w:spacing w:line="240" w:lineRule="exact"/>
                          <w:ind w:right="19"/>
                          <w:jc w:val="center"/>
                          <w:rPr>
                            <w:rFonts w:ascii="Calibri"/>
                            <w:b/>
                            <w:sz w:val="20"/>
                          </w:rPr>
                        </w:pPr>
                        <w:r>
                          <w:rPr>
                            <w:rFonts w:ascii="Calibri"/>
                            <w:b/>
                            <w:color w:val="4471C4"/>
                            <w:spacing w:val="-5"/>
                            <w:sz w:val="20"/>
                          </w:rPr>
                          <w:t>39%</w:t>
                        </w:r>
                      </w:p>
                    </w:txbxContent>
                  </v:textbox>
                </v:shape>
                <w10:wrap type="topAndBottom"/>
              </v:group>
            </w:pict>
          </mc:Fallback>
        </mc:AlternateContent>
      </w:r>
      <w:r w:rsidR="004D1527" w:rsidRPr="004D1527">
        <w:rPr>
          <w:rFonts w:ascii="Times New Roman" w:hAnsi="Times New Roman" w:cs="Times New Roman"/>
          <w:color w:val="000000"/>
          <w:sz w:val="24"/>
          <w:szCs w:val="24"/>
        </w:rPr>
        <w:t xml:space="preserve"> </w:t>
      </w:r>
    </w:p>
    <w:p w14:paraId="7B4C77A2" w14:textId="4CCB51A5" w:rsidR="005730E3" w:rsidRPr="004D1527" w:rsidRDefault="005730E3" w:rsidP="004D1527">
      <w:pPr>
        <w:autoSpaceDE w:val="0"/>
        <w:autoSpaceDN w:val="0"/>
        <w:adjustRightInd w:val="0"/>
        <w:spacing w:after="0" w:line="240" w:lineRule="auto"/>
        <w:jc w:val="both"/>
        <w:rPr>
          <w:rFonts w:ascii="Times New Roman" w:hAnsi="Times New Roman" w:cs="Times New Roman"/>
          <w:color w:val="000000"/>
          <w:sz w:val="24"/>
          <w:szCs w:val="24"/>
        </w:rPr>
      </w:pPr>
    </w:p>
    <w:p w14:paraId="1B2602D5" w14:textId="77777777" w:rsidR="004D1527" w:rsidRPr="004D1527" w:rsidRDefault="004D1527" w:rsidP="005730E3">
      <w:pPr>
        <w:autoSpaceDE w:val="0"/>
        <w:autoSpaceDN w:val="0"/>
        <w:adjustRightInd w:val="0"/>
        <w:spacing w:after="0" w:line="240" w:lineRule="auto"/>
        <w:jc w:val="center"/>
        <w:rPr>
          <w:rFonts w:ascii="Times New Roman" w:hAnsi="Times New Roman" w:cs="Times New Roman"/>
          <w:color w:val="000000"/>
          <w:sz w:val="24"/>
          <w:szCs w:val="24"/>
        </w:rPr>
      </w:pPr>
      <w:r w:rsidRPr="004D1527">
        <w:rPr>
          <w:rFonts w:ascii="Times New Roman" w:hAnsi="Times New Roman" w:cs="Times New Roman"/>
          <w:color w:val="000000"/>
          <w:sz w:val="24"/>
          <w:szCs w:val="24"/>
        </w:rPr>
        <w:t>Fig 5: Frequency of Usage</w:t>
      </w:r>
    </w:p>
    <w:p w14:paraId="1C47752E" w14:textId="77777777" w:rsidR="004D1527" w:rsidRPr="004D1527" w:rsidRDefault="004D1527" w:rsidP="005730E3">
      <w:pPr>
        <w:autoSpaceDE w:val="0"/>
        <w:autoSpaceDN w:val="0"/>
        <w:adjustRightInd w:val="0"/>
        <w:spacing w:after="0" w:line="240" w:lineRule="auto"/>
        <w:jc w:val="center"/>
        <w:rPr>
          <w:rFonts w:ascii="Times New Roman" w:hAnsi="Times New Roman" w:cs="Times New Roman"/>
          <w:color w:val="000000"/>
          <w:sz w:val="24"/>
          <w:szCs w:val="24"/>
        </w:rPr>
      </w:pPr>
      <w:r w:rsidRPr="004D1527">
        <w:rPr>
          <w:rFonts w:ascii="Times New Roman" w:hAnsi="Times New Roman" w:cs="Times New Roman"/>
          <w:color w:val="000000"/>
          <w:sz w:val="24"/>
          <w:szCs w:val="24"/>
        </w:rPr>
        <w:t>Source: Author’s field survey, 2023</w:t>
      </w:r>
    </w:p>
    <w:p w14:paraId="7C672A58"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1CD05A7F" w14:textId="55603BCF" w:rsidR="004D1527" w:rsidRPr="005730E3"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5730E3">
        <w:rPr>
          <w:rFonts w:ascii="Times New Roman" w:hAnsi="Times New Roman" w:cs="Times New Roman"/>
          <w:b/>
          <w:bCs/>
          <w:color w:val="000000"/>
          <w:sz w:val="24"/>
          <w:szCs w:val="24"/>
        </w:rPr>
        <w:t>Public Toilet Facility Assessment</w:t>
      </w:r>
    </w:p>
    <w:p w14:paraId="002C7C9A"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Field data indicates significant deficiencies in the facilities availability accessement of key sanitary components – water: many toilets lacked consistent running water, forcing users to carry their own or skip washing altogether; handwashing materials: absence of soap, basins, and hand dryers or towels was common; toilet paper and toiletries: most facilities were not equipped with these essentials; waste disposal: improper disposal of sanitary products and absence of bins was observed.</w:t>
      </w:r>
    </w:p>
    <w:p w14:paraId="45B4D7D8"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 xml:space="preserve"> </w:t>
      </w:r>
    </w:p>
    <w:p w14:paraId="45C94047" w14:textId="47000F21" w:rsidR="004D1527" w:rsidRPr="004D1527" w:rsidRDefault="005730E3" w:rsidP="004D1527">
      <w:pPr>
        <w:autoSpaceDE w:val="0"/>
        <w:autoSpaceDN w:val="0"/>
        <w:adjustRightInd w:val="0"/>
        <w:spacing w:after="0" w:line="240" w:lineRule="auto"/>
        <w:jc w:val="both"/>
        <w:rPr>
          <w:rFonts w:ascii="Times New Roman" w:hAnsi="Times New Roman" w:cs="Times New Roman"/>
          <w:color w:val="000000"/>
          <w:sz w:val="24"/>
          <w:szCs w:val="24"/>
        </w:rPr>
      </w:pPr>
      <w:r>
        <w:rPr>
          <w:noProof/>
          <w:sz w:val="20"/>
        </w:rPr>
        <w:lastRenderedPageBreak/>
        <mc:AlternateContent>
          <mc:Choice Requires="wpg">
            <w:drawing>
              <wp:anchor distT="0" distB="0" distL="114300" distR="114300" simplePos="0" relativeHeight="251723776" behindDoc="0" locked="0" layoutInCell="1" allowOverlap="1" wp14:anchorId="353EF736" wp14:editId="3EDADD45">
                <wp:simplePos x="0" y="0"/>
                <wp:positionH relativeFrom="column">
                  <wp:posOffset>204146</wp:posOffset>
                </wp:positionH>
                <wp:positionV relativeFrom="paragraph">
                  <wp:posOffset>7591</wp:posOffset>
                </wp:positionV>
                <wp:extent cx="5524500" cy="3608070"/>
                <wp:effectExtent l="0" t="0" r="19050" b="11430"/>
                <wp:wrapTopAndBottom/>
                <wp:docPr id="1872078113" name="Group 1872078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4500" cy="3608070"/>
                          <a:chOff x="0" y="0"/>
                          <a:chExt cx="5663565" cy="3735704"/>
                        </a:xfrm>
                      </wpg:grpSpPr>
                      <pic:pic xmlns:pic="http://schemas.openxmlformats.org/drawingml/2006/picture">
                        <pic:nvPicPr>
                          <pic:cNvPr id="886810548" name="Image 33"/>
                          <pic:cNvPicPr/>
                        </pic:nvPicPr>
                        <pic:blipFill>
                          <a:blip r:embed="rId254" cstate="print"/>
                          <a:stretch>
                            <a:fillRect/>
                          </a:stretch>
                        </pic:blipFill>
                        <pic:spPr>
                          <a:xfrm>
                            <a:off x="437769" y="564909"/>
                            <a:ext cx="4981575" cy="2144076"/>
                          </a:xfrm>
                          <a:prstGeom prst="rect">
                            <a:avLst/>
                          </a:prstGeom>
                        </pic:spPr>
                      </pic:pic>
                      <pic:pic xmlns:pic="http://schemas.openxmlformats.org/drawingml/2006/picture">
                        <pic:nvPicPr>
                          <pic:cNvPr id="1723044790" name="Image 34"/>
                          <pic:cNvPicPr/>
                        </pic:nvPicPr>
                        <pic:blipFill>
                          <a:blip r:embed="rId255" cstate="print"/>
                          <a:stretch>
                            <a:fillRect/>
                          </a:stretch>
                        </pic:blipFill>
                        <pic:spPr>
                          <a:xfrm>
                            <a:off x="2333244" y="3515867"/>
                            <a:ext cx="62484" cy="62484"/>
                          </a:xfrm>
                          <a:prstGeom prst="rect">
                            <a:avLst/>
                          </a:prstGeom>
                        </pic:spPr>
                      </pic:pic>
                      <pic:pic xmlns:pic="http://schemas.openxmlformats.org/drawingml/2006/picture">
                        <pic:nvPicPr>
                          <pic:cNvPr id="1389353143" name="Image 35"/>
                          <pic:cNvPicPr/>
                        </pic:nvPicPr>
                        <pic:blipFill>
                          <a:blip r:embed="rId256" cstate="print"/>
                          <a:stretch>
                            <a:fillRect/>
                          </a:stretch>
                        </pic:blipFill>
                        <pic:spPr>
                          <a:xfrm>
                            <a:off x="2761488" y="3515867"/>
                            <a:ext cx="62484" cy="62484"/>
                          </a:xfrm>
                          <a:prstGeom prst="rect">
                            <a:avLst/>
                          </a:prstGeom>
                        </pic:spPr>
                      </pic:pic>
                      <pic:pic xmlns:pic="http://schemas.openxmlformats.org/drawingml/2006/picture">
                        <pic:nvPicPr>
                          <pic:cNvPr id="970490957" name="Image 36"/>
                          <pic:cNvPicPr/>
                        </pic:nvPicPr>
                        <pic:blipFill>
                          <a:blip r:embed="rId257" cstate="print"/>
                          <a:stretch>
                            <a:fillRect/>
                          </a:stretch>
                        </pic:blipFill>
                        <pic:spPr>
                          <a:xfrm>
                            <a:off x="3108960" y="3515867"/>
                            <a:ext cx="62484" cy="62484"/>
                          </a:xfrm>
                          <a:prstGeom prst="rect">
                            <a:avLst/>
                          </a:prstGeom>
                        </pic:spPr>
                      </pic:pic>
                      <wps:wsp>
                        <wps:cNvPr id="201245721" name="Graphic 37"/>
                        <wps:cNvSpPr/>
                        <wps:spPr>
                          <a:xfrm>
                            <a:off x="4572" y="4572"/>
                            <a:ext cx="5654040" cy="3726179"/>
                          </a:xfrm>
                          <a:custGeom>
                            <a:avLst/>
                            <a:gdLst/>
                            <a:ahLst/>
                            <a:cxnLst/>
                            <a:rect l="l" t="t" r="r" b="b"/>
                            <a:pathLst>
                              <a:path w="5654040" h="3726179">
                                <a:moveTo>
                                  <a:pt x="0" y="3726179"/>
                                </a:moveTo>
                                <a:lnTo>
                                  <a:pt x="5654040" y="3726179"/>
                                </a:lnTo>
                                <a:lnTo>
                                  <a:pt x="5654040" y="0"/>
                                </a:lnTo>
                                <a:lnTo>
                                  <a:pt x="0" y="0"/>
                                </a:lnTo>
                                <a:lnTo>
                                  <a:pt x="0" y="3726179"/>
                                </a:lnTo>
                                <a:close/>
                              </a:path>
                            </a:pathLst>
                          </a:custGeom>
                          <a:ln w="9143">
                            <a:solidFill>
                              <a:srgbClr val="D9D9D9"/>
                            </a:solidFill>
                            <a:prstDash val="solid"/>
                          </a:ln>
                        </wps:spPr>
                        <wps:bodyPr wrap="square" lIns="0" tIns="0" rIns="0" bIns="0" rtlCol="0">
                          <a:prstTxWarp prst="textNoShape">
                            <a:avLst/>
                          </a:prstTxWarp>
                          <a:noAutofit/>
                        </wps:bodyPr>
                      </wps:wsp>
                      <wps:wsp>
                        <wps:cNvPr id="470344511" name="Textbox 38"/>
                        <wps:cNvSpPr txBox="1"/>
                        <wps:spPr>
                          <a:xfrm>
                            <a:off x="3394583" y="2111629"/>
                            <a:ext cx="128905" cy="114300"/>
                          </a:xfrm>
                          <a:prstGeom prst="rect">
                            <a:avLst/>
                          </a:prstGeom>
                        </wps:spPr>
                        <wps:txbx>
                          <w:txbxContent>
                            <w:p w14:paraId="36D7DDD7" w14:textId="77777777" w:rsidR="005730E3" w:rsidRDefault="005730E3" w:rsidP="005730E3">
                              <w:pPr>
                                <w:spacing w:line="180" w:lineRule="exact"/>
                                <w:rPr>
                                  <w:rFonts w:ascii="Calibri"/>
                                  <w:sz w:val="18"/>
                                </w:rPr>
                              </w:pPr>
                              <w:r>
                                <w:rPr>
                                  <w:rFonts w:ascii="Calibri"/>
                                  <w:color w:val="404040"/>
                                  <w:spacing w:val="-5"/>
                                  <w:sz w:val="18"/>
                                </w:rPr>
                                <w:t>24</w:t>
                              </w:r>
                            </w:p>
                          </w:txbxContent>
                        </wps:txbx>
                        <wps:bodyPr wrap="square" lIns="0" tIns="0" rIns="0" bIns="0" rtlCol="0">
                          <a:noAutofit/>
                        </wps:bodyPr>
                      </wps:wsp>
                      <wps:wsp>
                        <wps:cNvPr id="1232724569" name="Textbox 39"/>
                        <wps:cNvSpPr txBox="1"/>
                        <wps:spPr>
                          <a:xfrm>
                            <a:off x="2423795" y="3494404"/>
                            <a:ext cx="965835" cy="114300"/>
                          </a:xfrm>
                          <a:prstGeom prst="rect">
                            <a:avLst/>
                          </a:prstGeom>
                        </wps:spPr>
                        <wps:txbx>
                          <w:txbxContent>
                            <w:p w14:paraId="12664AFD" w14:textId="77777777" w:rsidR="005730E3" w:rsidRDefault="005730E3" w:rsidP="005730E3">
                              <w:pPr>
                                <w:tabs>
                                  <w:tab w:val="left" w:pos="672"/>
                                  <w:tab w:val="left" w:pos="1220"/>
                                </w:tabs>
                                <w:spacing w:line="180" w:lineRule="exact"/>
                                <w:rPr>
                                  <w:rFonts w:ascii="Calibri"/>
                                  <w:sz w:val="18"/>
                                </w:rPr>
                              </w:pPr>
                              <w:r>
                                <w:rPr>
                                  <w:rFonts w:ascii="Calibri"/>
                                  <w:color w:val="585858"/>
                                  <w:spacing w:val="-4"/>
                                  <w:sz w:val="18"/>
                                </w:rPr>
                                <w:t>Good</w:t>
                              </w:r>
                              <w:r>
                                <w:rPr>
                                  <w:rFonts w:ascii="Calibri"/>
                                  <w:color w:val="585858"/>
                                  <w:sz w:val="18"/>
                                </w:rPr>
                                <w:tab/>
                              </w:r>
                              <w:r>
                                <w:rPr>
                                  <w:rFonts w:ascii="Calibri"/>
                                  <w:color w:val="585858"/>
                                  <w:spacing w:val="-4"/>
                                  <w:sz w:val="18"/>
                                </w:rPr>
                                <w:t>Fair</w:t>
                              </w:r>
                              <w:r>
                                <w:rPr>
                                  <w:rFonts w:ascii="Calibri"/>
                                  <w:color w:val="585858"/>
                                  <w:sz w:val="18"/>
                                </w:rPr>
                                <w:tab/>
                              </w:r>
                              <w:r>
                                <w:rPr>
                                  <w:rFonts w:ascii="Calibri"/>
                                  <w:color w:val="585858"/>
                                  <w:spacing w:val="-5"/>
                                  <w:sz w:val="18"/>
                                </w:rPr>
                                <w:t>Bad</w:t>
                              </w:r>
                            </w:p>
                          </w:txbxContent>
                        </wps:txbx>
                        <wps:bodyPr wrap="square" lIns="0" tIns="0" rIns="0" bIns="0" rtlCol="0">
                          <a:noAutofit/>
                        </wps:bodyPr>
                      </wps:wsp>
                      <wps:wsp>
                        <wps:cNvPr id="406995250" name="Textbox 40"/>
                        <wps:cNvSpPr txBox="1"/>
                        <wps:spPr>
                          <a:xfrm>
                            <a:off x="231393" y="2307844"/>
                            <a:ext cx="128905" cy="114300"/>
                          </a:xfrm>
                          <a:prstGeom prst="rect">
                            <a:avLst/>
                          </a:prstGeom>
                        </wps:spPr>
                        <wps:txbx>
                          <w:txbxContent>
                            <w:p w14:paraId="79578321" w14:textId="77777777" w:rsidR="005730E3" w:rsidRDefault="005730E3" w:rsidP="005730E3">
                              <w:pPr>
                                <w:spacing w:line="180" w:lineRule="exact"/>
                                <w:rPr>
                                  <w:rFonts w:ascii="Calibri"/>
                                  <w:sz w:val="18"/>
                                </w:rPr>
                              </w:pPr>
                              <w:r>
                                <w:rPr>
                                  <w:rFonts w:ascii="Calibri"/>
                                  <w:color w:val="585858"/>
                                  <w:spacing w:val="-5"/>
                                  <w:sz w:val="18"/>
                                </w:rPr>
                                <w:t>20</w:t>
                              </w:r>
                            </w:p>
                          </w:txbxContent>
                        </wps:txbx>
                        <wps:bodyPr wrap="square" lIns="0" tIns="0" rIns="0" bIns="0" rtlCol="0">
                          <a:noAutofit/>
                        </wps:bodyPr>
                      </wps:wsp>
                      <wps:wsp>
                        <wps:cNvPr id="849031187" name="Textbox 41"/>
                        <wps:cNvSpPr txBox="1"/>
                        <wps:spPr>
                          <a:xfrm>
                            <a:off x="1291716" y="2233167"/>
                            <a:ext cx="128905" cy="114300"/>
                          </a:xfrm>
                          <a:prstGeom prst="rect">
                            <a:avLst/>
                          </a:prstGeom>
                        </wps:spPr>
                        <wps:txbx>
                          <w:txbxContent>
                            <w:p w14:paraId="2D4E842C" w14:textId="77777777" w:rsidR="005730E3" w:rsidRDefault="005730E3" w:rsidP="005730E3">
                              <w:pPr>
                                <w:spacing w:line="180" w:lineRule="exact"/>
                                <w:rPr>
                                  <w:rFonts w:ascii="Calibri"/>
                                  <w:sz w:val="18"/>
                                </w:rPr>
                              </w:pPr>
                              <w:r>
                                <w:rPr>
                                  <w:rFonts w:ascii="Calibri"/>
                                  <w:color w:val="404040"/>
                                  <w:spacing w:val="-5"/>
                                  <w:sz w:val="18"/>
                                </w:rPr>
                                <w:t>17</w:t>
                              </w:r>
                            </w:p>
                          </w:txbxContent>
                        </wps:txbx>
                        <wps:bodyPr wrap="square" lIns="0" tIns="0" rIns="0" bIns="0" rtlCol="0">
                          <a:noAutofit/>
                        </wps:bodyPr>
                      </wps:wsp>
                      <wps:wsp>
                        <wps:cNvPr id="2053998796" name="Textbox 42"/>
                        <wps:cNvSpPr txBox="1"/>
                        <wps:spPr>
                          <a:xfrm>
                            <a:off x="590676" y="2354833"/>
                            <a:ext cx="128905" cy="114300"/>
                          </a:xfrm>
                          <a:prstGeom prst="rect">
                            <a:avLst/>
                          </a:prstGeom>
                        </wps:spPr>
                        <wps:txbx>
                          <w:txbxContent>
                            <w:p w14:paraId="38315723" w14:textId="77777777" w:rsidR="005730E3" w:rsidRDefault="005730E3" w:rsidP="005730E3">
                              <w:pPr>
                                <w:spacing w:line="180" w:lineRule="exact"/>
                                <w:rPr>
                                  <w:rFonts w:ascii="Calibri"/>
                                  <w:sz w:val="18"/>
                                </w:rPr>
                              </w:pPr>
                              <w:r>
                                <w:rPr>
                                  <w:rFonts w:ascii="Calibri"/>
                                  <w:color w:val="404040"/>
                                  <w:spacing w:val="-5"/>
                                  <w:sz w:val="18"/>
                                </w:rPr>
                                <w:t>10</w:t>
                              </w:r>
                            </w:p>
                          </w:txbxContent>
                        </wps:txbx>
                        <wps:bodyPr wrap="square" lIns="0" tIns="0" rIns="0" bIns="0" rtlCol="0">
                          <a:noAutofit/>
                        </wps:bodyPr>
                      </wps:wsp>
                      <wps:wsp>
                        <wps:cNvPr id="1497109144" name="Textbox 43"/>
                        <wps:cNvSpPr txBox="1"/>
                        <wps:spPr>
                          <a:xfrm>
                            <a:off x="1992757" y="2267966"/>
                            <a:ext cx="128905" cy="114300"/>
                          </a:xfrm>
                          <a:prstGeom prst="rect">
                            <a:avLst/>
                          </a:prstGeom>
                        </wps:spPr>
                        <wps:txbx>
                          <w:txbxContent>
                            <w:p w14:paraId="57E8BAAC" w14:textId="77777777" w:rsidR="005730E3" w:rsidRDefault="005730E3" w:rsidP="005730E3">
                              <w:pPr>
                                <w:spacing w:line="180" w:lineRule="exact"/>
                                <w:rPr>
                                  <w:rFonts w:ascii="Calibri"/>
                                  <w:sz w:val="18"/>
                                </w:rPr>
                              </w:pPr>
                              <w:r>
                                <w:rPr>
                                  <w:rFonts w:ascii="Calibri"/>
                                  <w:color w:val="404040"/>
                                  <w:spacing w:val="-5"/>
                                  <w:sz w:val="18"/>
                                </w:rPr>
                                <w:t>15</w:t>
                              </w:r>
                            </w:p>
                          </w:txbxContent>
                        </wps:txbx>
                        <wps:bodyPr wrap="square" lIns="0" tIns="0" rIns="0" bIns="0" rtlCol="0">
                          <a:noAutofit/>
                        </wps:bodyPr>
                      </wps:wsp>
                      <wps:wsp>
                        <wps:cNvPr id="1629513820" name="Textbox 44"/>
                        <wps:cNvSpPr txBox="1"/>
                        <wps:spPr>
                          <a:xfrm>
                            <a:off x="2722498" y="2528570"/>
                            <a:ext cx="226695" cy="114300"/>
                          </a:xfrm>
                          <a:prstGeom prst="rect">
                            <a:avLst/>
                          </a:prstGeom>
                        </wps:spPr>
                        <wps:txbx>
                          <w:txbxContent>
                            <w:p w14:paraId="164E33FA" w14:textId="77777777" w:rsidR="005730E3" w:rsidRDefault="005730E3" w:rsidP="005730E3">
                              <w:pPr>
                                <w:spacing w:line="180" w:lineRule="exact"/>
                                <w:rPr>
                                  <w:rFonts w:ascii="Calibri"/>
                                  <w:sz w:val="18"/>
                                </w:rPr>
                              </w:pPr>
                              <w:r>
                                <w:rPr>
                                  <w:rFonts w:ascii="Calibri"/>
                                  <w:color w:val="404040"/>
                                  <w:sz w:val="18"/>
                                </w:rPr>
                                <w:t>0</w:t>
                              </w:r>
                              <w:r>
                                <w:rPr>
                                  <w:rFonts w:ascii="Calibri"/>
                                  <w:color w:val="404040"/>
                                  <w:spacing w:val="36"/>
                                  <w:sz w:val="18"/>
                                </w:rPr>
                                <w:t xml:space="preserve">  </w:t>
                              </w:r>
                              <w:r>
                                <w:rPr>
                                  <w:rFonts w:ascii="Calibri"/>
                                  <w:color w:val="404040"/>
                                  <w:spacing w:val="-10"/>
                                  <w:sz w:val="18"/>
                                </w:rPr>
                                <w:t>0</w:t>
                              </w:r>
                            </w:p>
                          </w:txbxContent>
                        </wps:txbx>
                        <wps:bodyPr wrap="square" lIns="0" tIns="0" rIns="0" bIns="0" rtlCol="0">
                          <a:noAutofit/>
                        </wps:bodyPr>
                      </wps:wsp>
                      <wps:wsp>
                        <wps:cNvPr id="1368293645" name="Textbox 45"/>
                        <wps:cNvSpPr txBox="1"/>
                        <wps:spPr>
                          <a:xfrm>
                            <a:off x="4124578" y="2528570"/>
                            <a:ext cx="226695" cy="114300"/>
                          </a:xfrm>
                          <a:prstGeom prst="rect">
                            <a:avLst/>
                          </a:prstGeom>
                        </wps:spPr>
                        <wps:txbx>
                          <w:txbxContent>
                            <w:p w14:paraId="512CA8FA" w14:textId="77777777" w:rsidR="005730E3" w:rsidRDefault="005730E3" w:rsidP="005730E3">
                              <w:pPr>
                                <w:spacing w:line="180" w:lineRule="exact"/>
                                <w:rPr>
                                  <w:rFonts w:ascii="Calibri"/>
                                  <w:sz w:val="18"/>
                                </w:rPr>
                              </w:pPr>
                              <w:r>
                                <w:rPr>
                                  <w:rFonts w:ascii="Calibri"/>
                                  <w:color w:val="404040"/>
                                  <w:sz w:val="18"/>
                                </w:rPr>
                                <w:t>0</w:t>
                              </w:r>
                              <w:r>
                                <w:rPr>
                                  <w:rFonts w:ascii="Calibri"/>
                                  <w:color w:val="404040"/>
                                  <w:spacing w:val="36"/>
                                  <w:sz w:val="18"/>
                                </w:rPr>
                                <w:t xml:space="preserve">  </w:t>
                              </w:r>
                              <w:r>
                                <w:rPr>
                                  <w:rFonts w:ascii="Calibri"/>
                                  <w:color w:val="404040"/>
                                  <w:spacing w:val="-10"/>
                                  <w:sz w:val="18"/>
                                </w:rPr>
                                <w:t>0</w:t>
                              </w:r>
                            </w:p>
                          </w:txbxContent>
                        </wps:txbx>
                        <wps:bodyPr wrap="square" lIns="0" tIns="0" rIns="0" bIns="0" rtlCol="0">
                          <a:noAutofit/>
                        </wps:bodyPr>
                      </wps:wsp>
                      <wps:wsp>
                        <wps:cNvPr id="151154652" name="Textbox 46"/>
                        <wps:cNvSpPr txBox="1"/>
                        <wps:spPr>
                          <a:xfrm>
                            <a:off x="4825619" y="2528570"/>
                            <a:ext cx="226695" cy="114300"/>
                          </a:xfrm>
                          <a:prstGeom prst="rect">
                            <a:avLst/>
                          </a:prstGeom>
                        </wps:spPr>
                        <wps:txbx>
                          <w:txbxContent>
                            <w:p w14:paraId="395B70A3" w14:textId="77777777" w:rsidR="005730E3" w:rsidRDefault="005730E3" w:rsidP="005730E3">
                              <w:pPr>
                                <w:spacing w:line="180" w:lineRule="exact"/>
                                <w:rPr>
                                  <w:rFonts w:ascii="Calibri"/>
                                  <w:sz w:val="18"/>
                                </w:rPr>
                              </w:pPr>
                              <w:r>
                                <w:rPr>
                                  <w:rFonts w:ascii="Calibri"/>
                                  <w:color w:val="404040"/>
                                  <w:sz w:val="18"/>
                                </w:rPr>
                                <w:t>0</w:t>
                              </w:r>
                              <w:r>
                                <w:rPr>
                                  <w:rFonts w:ascii="Calibri"/>
                                  <w:color w:val="404040"/>
                                  <w:spacing w:val="36"/>
                                  <w:sz w:val="18"/>
                                </w:rPr>
                                <w:t xml:space="preserve">  </w:t>
                              </w:r>
                              <w:r>
                                <w:rPr>
                                  <w:rFonts w:ascii="Calibri"/>
                                  <w:color w:val="404040"/>
                                  <w:spacing w:val="-10"/>
                                  <w:sz w:val="18"/>
                                </w:rPr>
                                <w:t>0</w:t>
                              </w:r>
                            </w:p>
                          </w:txbxContent>
                        </wps:txbx>
                        <wps:bodyPr wrap="square" lIns="0" tIns="0" rIns="0" bIns="0" rtlCol="0">
                          <a:noAutofit/>
                        </wps:bodyPr>
                      </wps:wsp>
                      <wps:wsp>
                        <wps:cNvPr id="1342426720" name="Textbox 47"/>
                        <wps:cNvSpPr txBox="1"/>
                        <wps:spPr>
                          <a:xfrm>
                            <a:off x="289306" y="2655316"/>
                            <a:ext cx="71120" cy="114300"/>
                          </a:xfrm>
                          <a:prstGeom prst="rect">
                            <a:avLst/>
                          </a:prstGeom>
                        </wps:spPr>
                        <wps:txbx>
                          <w:txbxContent>
                            <w:p w14:paraId="03FCF3B0" w14:textId="77777777" w:rsidR="005730E3" w:rsidRDefault="005730E3" w:rsidP="005730E3">
                              <w:pPr>
                                <w:spacing w:line="180" w:lineRule="exact"/>
                                <w:rPr>
                                  <w:rFonts w:ascii="Calibri"/>
                                  <w:sz w:val="18"/>
                                </w:rPr>
                              </w:pPr>
                              <w:r>
                                <w:rPr>
                                  <w:rFonts w:ascii="Calibri"/>
                                  <w:color w:val="585858"/>
                                  <w:spacing w:val="-10"/>
                                  <w:sz w:val="18"/>
                                </w:rPr>
                                <w:t>0</w:t>
                              </w:r>
                            </w:p>
                          </w:txbxContent>
                        </wps:txbx>
                        <wps:bodyPr wrap="square" lIns="0" tIns="0" rIns="0" bIns="0" rtlCol="0">
                          <a:noAutofit/>
                        </wps:bodyPr>
                      </wps:wsp>
                      <wps:wsp>
                        <wps:cNvPr id="1561937565" name="Textbox 48"/>
                        <wps:cNvSpPr txBox="1"/>
                        <wps:spPr>
                          <a:xfrm>
                            <a:off x="487044" y="2798572"/>
                            <a:ext cx="645795" cy="394970"/>
                          </a:xfrm>
                          <a:prstGeom prst="rect">
                            <a:avLst/>
                          </a:prstGeom>
                        </wps:spPr>
                        <wps:txbx>
                          <w:txbxContent>
                            <w:p w14:paraId="1A1D4B95" w14:textId="77777777" w:rsidR="005730E3" w:rsidRDefault="005730E3" w:rsidP="005730E3">
                              <w:pPr>
                                <w:spacing w:line="183" w:lineRule="exact"/>
                                <w:ind w:left="191"/>
                                <w:rPr>
                                  <w:rFonts w:ascii="Calibri" w:hAnsi="Calibri"/>
                                  <w:sz w:val="18"/>
                                </w:rPr>
                              </w:pPr>
                              <w:r>
                                <w:rPr>
                                  <w:rFonts w:ascii="Calibri" w:hAnsi="Calibri"/>
                                  <w:color w:val="585858"/>
                                  <w:sz w:val="18"/>
                                </w:rPr>
                                <w:t>Toilets</w:t>
                              </w:r>
                              <w:r>
                                <w:rPr>
                                  <w:rFonts w:ascii="Calibri" w:hAnsi="Calibri"/>
                                  <w:color w:val="585858"/>
                                  <w:spacing w:val="-4"/>
                                  <w:sz w:val="18"/>
                                </w:rPr>
                                <w:t xml:space="preserve"> </w:t>
                              </w:r>
                              <w:r>
                                <w:rPr>
                                  <w:rFonts w:ascii="Calibri" w:hAnsi="Calibri"/>
                                  <w:color w:val="585858"/>
                                  <w:spacing w:val="-10"/>
                                  <w:sz w:val="18"/>
                                </w:rPr>
                                <w:t>–</w:t>
                              </w:r>
                            </w:p>
                            <w:p w14:paraId="70E93FC9" w14:textId="77777777" w:rsidR="005730E3" w:rsidRDefault="005730E3" w:rsidP="005730E3">
                              <w:pPr>
                                <w:ind w:firstLine="268"/>
                                <w:rPr>
                                  <w:rFonts w:ascii="Calibri"/>
                                  <w:sz w:val="18"/>
                                </w:rPr>
                              </w:pPr>
                              <w:r>
                                <w:rPr>
                                  <w:rFonts w:ascii="Calibri"/>
                                  <w:color w:val="585858"/>
                                  <w:spacing w:val="-2"/>
                                  <w:sz w:val="18"/>
                                </w:rPr>
                                <w:t>Water</w:t>
                              </w:r>
                              <w:r>
                                <w:rPr>
                                  <w:rFonts w:ascii="Calibri"/>
                                  <w:color w:val="585858"/>
                                  <w:sz w:val="18"/>
                                </w:rPr>
                                <w:t xml:space="preserve"> </w:t>
                              </w:r>
                              <w:r>
                                <w:rPr>
                                  <w:rFonts w:ascii="Calibri"/>
                                  <w:color w:val="585858"/>
                                  <w:spacing w:val="-2"/>
                                  <w:sz w:val="18"/>
                                </w:rPr>
                                <w:t>Cistern/Squat</w:t>
                              </w:r>
                            </w:p>
                          </w:txbxContent>
                        </wps:txbx>
                        <wps:bodyPr wrap="square" lIns="0" tIns="0" rIns="0" bIns="0" rtlCol="0">
                          <a:noAutofit/>
                        </wps:bodyPr>
                      </wps:wsp>
                      <wps:wsp>
                        <wps:cNvPr id="380012866" name="Textbox 49"/>
                        <wps:cNvSpPr txBox="1"/>
                        <wps:spPr>
                          <a:xfrm>
                            <a:off x="1221613" y="2798572"/>
                            <a:ext cx="579755" cy="533400"/>
                          </a:xfrm>
                          <a:prstGeom prst="rect">
                            <a:avLst/>
                          </a:prstGeom>
                        </wps:spPr>
                        <wps:txbx>
                          <w:txbxContent>
                            <w:p w14:paraId="3F40E5C0" w14:textId="77777777" w:rsidR="005730E3" w:rsidRDefault="005730E3" w:rsidP="005730E3">
                              <w:pPr>
                                <w:spacing w:line="183" w:lineRule="exact"/>
                                <w:ind w:right="19"/>
                                <w:jc w:val="center"/>
                                <w:rPr>
                                  <w:rFonts w:ascii="Calibri" w:hAnsi="Calibri"/>
                                  <w:sz w:val="18"/>
                                </w:rPr>
                              </w:pPr>
                              <w:r>
                                <w:rPr>
                                  <w:rFonts w:ascii="Calibri" w:hAnsi="Calibri"/>
                                  <w:color w:val="585858"/>
                                  <w:sz w:val="18"/>
                                </w:rPr>
                                <w:t>Toiletries</w:t>
                              </w:r>
                              <w:r>
                                <w:rPr>
                                  <w:rFonts w:ascii="Calibri" w:hAnsi="Calibri"/>
                                  <w:color w:val="585858"/>
                                  <w:spacing w:val="-4"/>
                                  <w:sz w:val="18"/>
                                </w:rPr>
                                <w:t xml:space="preserve"> </w:t>
                              </w:r>
                              <w:r>
                                <w:rPr>
                                  <w:rFonts w:ascii="Calibri" w:hAnsi="Calibri"/>
                                  <w:color w:val="585858"/>
                                  <w:spacing w:val="-10"/>
                                  <w:sz w:val="18"/>
                                </w:rPr>
                                <w:t>–</w:t>
                              </w:r>
                            </w:p>
                            <w:p w14:paraId="37BAC799" w14:textId="77777777" w:rsidR="005730E3" w:rsidRDefault="005730E3" w:rsidP="005730E3">
                              <w:pPr>
                                <w:ind w:right="18" w:hanging="4"/>
                                <w:jc w:val="center"/>
                                <w:rPr>
                                  <w:rFonts w:ascii="Calibri"/>
                                  <w:sz w:val="18"/>
                                </w:rPr>
                              </w:pPr>
                              <w:r>
                                <w:rPr>
                                  <w:rFonts w:ascii="Calibri"/>
                                  <w:color w:val="585858"/>
                                  <w:spacing w:val="-2"/>
                                  <w:sz w:val="18"/>
                                </w:rPr>
                                <w:t>soap,</w:t>
                              </w:r>
                              <w:r>
                                <w:rPr>
                                  <w:rFonts w:ascii="Calibri"/>
                                  <w:color w:val="585858"/>
                                  <w:sz w:val="18"/>
                                </w:rPr>
                                <w:t xml:space="preserve"> </w:t>
                              </w:r>
                              <w:r>
                                <w:rPr>
                                  <w:rFonts w:ascii="Calibri"/>
                                  <w:color w:val="585858"/>
                                  <w:spacing w:val="-2"/>
                                  <w:sz w:val="18"/>
                                </w:rPr>
                                <w:t>sanitizer,</w:t>
                              </w:r>
                              <w:r>
                                <w:rPr>
                                  <w:rFonts w:ascii="Calibri"/>
                                  <w:color w:val="585858"/>
                                  <w:sz w:val="18"/>
                                </w:rPr>
                                <w:t xml:space="preserve"> tissue</w:t>
                              </w:r>
                              <w:r>
                                <w:rPr>
                                  <w:rFonts w:ascii="Calibri"/>
                                  <w:color w:val="585858"/>
                                  <w:spacing w:val="-11"/>
                                  <w:sz w:val="18"/>
                                </w:rPr>
                                <w:t xml:space="preserve"> </w:t>
                              </w:r>
                              <w:r>
                                <w:rPr>
                                  <w:rFonts w:ascii="Calibri"/>
                                  <w:color w:val="585858"/>
                                  <w:sz w:val="18"/>
                                </w:rPr>
                                <w:t>paper</w:t>
                              </w:r>
                            </w:p>
                          </w:txbxContent>
                        </wps:txbx>
                        <wps:bodyPr wrap="square" lIns="0" tIns="0" rIns="0" bIns="0" rtlCol="0">
                          <a:noAutofit/>
                        </wps:bodyPr>
                      </wps:wsp>
                      <wps:wsp>
                        <wps:cNvPr id="1220640561" name="Textbox 50"/>
                        <wps:cNvSpPr txBox="1"/>
                        <wps:spPr>
                          <a:xfrm>
                            <a:off x="1946401" y="2798572"/>
                            <a:ext cx="532765" cy="254000"/>
                          </a:xfrm>
                          <a:prstGeom prst="rect">
                            <a:avLst/>
                          </a:prstGeom>
                        </wps:spPr>
                        <wps:txbx>
                          <w:txbxContent>
                            <w:p w14:paraId="1388120D" w14:textId="77777777" w:rsidR="005730E3" w:rsidRDefault="005730E3" w:rsidP="005730E3">
                              <w:pPr>
                                <w:spacing w:line="183" w:lineRule="exact"/>
                                <w:ind w:left="93"/>
                                <w:rPr>
                                  <w:rFonts w:ascii="Calibri"/>
                                  <w:sz w:val="18"/>
                                </w:rPr>
                              </w:pPr>
                              <w:r>
                                <w:rPr>
                                  <w:rFonts w:ascii="Calibri"/>
                                  <w:color w:val="585858"/>
                                  <w:spacing w:val="-2"/>
                                  <w:sz w:val="18"/>
                                </w:rPr>
                                <w:t>Washing</w:t>
                              </w:r>
                            </w:p>
                            <w:p w14:paraId="66292B8D" w14:textId="77777777" w:rsidR="005730E3" w:rsidRDefault="005730E3" w:rsidP="005730E3">
                              <w:pPr>
                                <w:spacing w:line="216" w:lineRule="exact"/>
                                <w:rPr>
                                  <w:rFonts w:ascii="Calibri"/>
                                  <w:sz w:val="18"/>
                                </w:rPr>
                              </w:pPr>
                              <w:r>
                                <w:rPr>
                                  <w:rFonts w:ascii="Calibri"/>
                                  <w:color w:val="585858"/>
                                  <w:sz w:val="18"/>
                                </w:rPr>
                                <w:t>Hand</w:t>
                              </w:r>
                              <w:r>
                                <w:rPr>
                                  <w:rFonts w:ascii="Calibri"/>
                                  <w:color w:val="585858"/>
                                  <w:spacing w:val="-5"/>
                                  <w:sz w:val="18"/>
                                </w:rPr>
                                <w:t xml:space="preserve"> </w:t>
                              </w:r>
                              <w:r>
                                <w:rPr>
                                  <w:rFonts w:ascii="Calibri"/>
                                  <w:color w:val="585858"/>
                                  <w:spacing w:val="-2"/>
                                  <w:sz w:val="18"/>
                                </w:rPr>
                                <w:t>Basin</w:t>
                              </w:r>
                            </w:p>
                          </w:txbxContent>
                        </wps:txbx>
                        <wps:bodyPr wrap="square" lIns="0" tIns="0" rIns="0" bIns="0" rtlCol="0">
                          <a:noAutofit/>
                        </wps:bodyPr>
                      </wps:wsp>
                      <wps:wsp>
                        <wps:cNvPr id="724598134" name="Textbox 51"/>
                        <wps:cNvSpPr txBox="1"/>
                        <wps:spPr>
                          <a:xfrm>
                            <a:off x="2619755" y="2798572"/>
                            <a:ext cx="588010" cy="114300"/>
                          </a:xfrm>
                          <a:prstGeom prst="rect">
                            <a:avLst/>
                          </a:prstGeom>
                        </wps:spPr>
                        <wps:txbx>
                          <w:txbxContent>
                            <w:p w14:paraId="5478AE37" w14:textId="77777777" w:rsidR="005730E3" w:rsidRDefault="005730E3" w:rsidP="005730E3">
                              <w:pPr>
                                <w:spacing w:line="180" w:lineRule="exact"/>
                                <w:rPr>
                                  <w:rFonts w:ascii="Calibri"/>
                                  <w:sz w:val="18"/>
                                </w:rPr>
                              </w:pPr>
                              <w:r>
                                <w:rPr>
                                  <w:rFonts w:ascii="Calibri"/>
                                  <w:color w:val="585858"/>
                                  <w:sz w:val="18"/>
                                </w:rPr>
                                <w:t>Hand</w:t>
                              </w:r>
                              <w:r>
                                <w:rPr>
                                  <w:rFonts w:ascii="Calibri"/>
                                  <w:color w:val="585858"/>
                                  <w:spacing w:val="-5"/>
                                  <w:sz w:val="18"/>
                                </w:rPr>
                                <w:t xml:space="preserve"> </w:t>
                              </w:r>
                              <w:r>
                                <w:rPr>
                                  <w:rFonts w:ascii="Calibri"/>
                                  <w:color w:val="585858"/>
                                  <w:spacing w:val="-2"/>
                                  <w:sz w:val="18"/>
                                </w:rPr>
                                <w:t>Dryers</w:t>
                              </w:r>
                            </w:p>
                          </w:txbxContent>
                        </wps:txbx>
                        <wps:bodyPr wrap="square" lIns="0" tIns="0" rIns="0" bIns="0" rtlCol="0">
                          <a:noAutofit/>
                        </wps:bodyPr>
                      </wps:wsp>
                      <wps:wsp>
                        <wps:cNvPr id="1054505743" name="Textbox 52"/>
                        <wps:cNvSpPr txBox="1"/>
                        <wps:spPr>
                          <a:xfrm>
                            <a:off x="3371088" y="2798572"/>
                            <a:ext cx="487045" cy="114300"/>
                          </a:xfrm>
                          <a:prstGeom prst="rect">
                            <a:avLst/>
                          </a:prstGeom>
                        </wps:spPr>
                        <wps:txbx>
                          <w:txbxContent>
                            <w:p w14:paraId="34C066B2" w14:textId="77777777" w:rsidR="005730E3" w:rsidRDefault="005730E3" w:rsidP="005730E3">
                              <w:pPr>
                                <w:spacing w:line="180" w:lineRule="exact"/>
                                <w:rPr>
                                  <w:rFonts w:ascii="Calibri"/>
                                  <w:sz w:val="18"/>
                                </w:rPr>
                              </w:pPr>
                              <w:r>
                                <w:rPr>
                                  <w:rFonts w:ascii="Calibri"/>
                                  <w:color w:val="585858"/>
                                  <w:sz w:val="18"/>
                                </w:rPr>
                                <w:t>Trash</w:t>
                              </w:r>
                              <w:r>
                                <w:rPr>
                                  <w:rFonts w:ascii="Calibri"/>
                                  <w:color w:val="585858"/>
                                  <w:spacing w:val="-7"/>
                                  <w:sz w:val="18"/>
                                </w:rPr>
                                <w:t xml:space="preserve"> </w:t>
                              </w:r>
                              <w:r>
                                <w:rPr>
                                  <w:rFonts w:ascii="Calibri"/>
                                  <w:color w:val="585858"/>
                                  <w:spacing w:val="-4"/>
                                  <w:sz w:val="18"/>
                                </w:rPr>
                                <w:t>Bins</w:t>
                              </w:r>
                            </w:p>
                          </w:txbxContent>
                        </wps:txbx>
                        <wps:bodyPr wrap="square" lIns="0" tIns="0" rIns="0" bIns="0" rtlCol="0">
                          <a:noAutofit/>
                        </wps:bodyPr>
                      </wps:wsp>
                      <wps:wsp>
                        <wps:cNvPr id="242139274" name="Textbox 53"/>
                        <wps:cNvSpPr txBox="1"/>
                        <wps:spPr>
                          <a:xfrm>
                            <a:off x="4134865" y="2798572"/>
                            <a:ext cx="1195070" cy="393700"/>
                          </a:xfrm>
                          <a:prstGeom prst="rect">
                            <a:avLst/>
                          </a:prstGeom>
                        </wps:spPr>
                        <wps:txbx>
                          <w:txbxContent>
                            <w:p w14:paraId="54309806" w14:textId="77777777" w:rsidR="005730E3" w:rsidRDefault="005730E3" w:rsidP="005730E3">
                              <w:pPr>
                                <w:tabs>
                                  <w:tab w:val="left" w:pos="894"/>
                                </w:tabs>
                                <w:spacing w:line="183" w:lineRule="exact"/>
                                <w:rPr>
                                  <w:rFonts w:ascii="Calibri"/>
                                  <w:sz w:val="18"/>
                                </w:rPr>
                              </w:pPr>
                              <w:r>
                                <w:rPr>
                                  <w:rFonts w:ascii="Calibri"/>
                                  <w:color w:val="585858"/>
                                  <w:spacing w:val="-2"/>
                                  <w:sz w:val="18"/>
                                </w:rPr>
                                <w:t>Mirrors</w:t>
                              </w:r>
                              <w:r>
                                <w:rPr>
                                  <w:rFonts w:ascii="Calibri"/>
                                  <w:color w:val="585858"/>
                                  <w:sz w:val="18"/>
                                </w:rPr>
                                <w:tab/>
                                <w:t>Access</w:t>
                              </w:r>
                              <w:r>
                                <w:rPr>
                                  <w:rFonts w:ascii="Calibri"/>
                                  <w:color w:val="585858"/>
                                  <w:spacing w:val="-5"/>
                                  <w:sz w:val="18"/>
                                </w:rPr>
                                <w:t xml:space="preserve"> </w:t>
                              </w:r>
                              <w:r>
                                <w:rPr>
                                  <w:rFonts w:ascii="Calibri"/>
                                  <w:color w:val="585858"/>
                                  <w:sz w:val="18"/>
                                </w:rPr>
                                <w:t>to</w:t>
                              </w:r>
                              <w:r>
                                <w:rPr>
                                  <w:rFonts w:ascii="Calibri"/>
                                  <w:color w:val="585858"/>
                                  <w:spacing w:val="-3"/>
                                  <w:sz w:val="18"/>
                                </w:rPr>
                                <w:t xml:space="preserve"> </w:t>
                              </w:r>
                              <w:r>
                                <w:rPr>
                                  <w:rFonts w:ascii="Calibri"/>
                                  <w:color w:val="585858"/>
                                  <w:spacing w:val="-5"/>
                                  <w:sz w:val="18"/>
                                </w:rPr>
                                <w:t>the</w:t>
                              </w:r>
                            </w:p>
                            <w:p w14:paraId="67450474" w14:textId="77777777" w:rsidR="005730E3" w:rsidRDefault="005730E3" w:rsidP="005730E3">
                              <w:pPr>
                                <w:ind w:left="982" w:firstLine="42"/>
                                <w:rPr>
                                  <w:rFonts w:ascii="Calibri"/>
                                  <w:sz w:val="18"/>
                                </w:rPr>
                              </w:pPr>
                              <w:r>
                                <w:rPr>
                                  <w:rFonts w:ascii="Calibri"/>
                                  <w:color w:val="585858"/>
                                  <w:spacing w:val="-2"/>
                                  <w:sz w:val="18"/>
                                </w:rPr>
                                <w:t>Physically</w:t>
                              </w:r>
                              <w:r>
                                <w:rPr>
                                  <w:rFonts w:ascii="Calibri"/>
                                  <w:color w:val="585858"/>
                                  <w:sz w:val="18"/>
                                </w:rPr>
                                <w:t xml:space="preserve"> </w:t>
                              </w:r>
                              <w:r>
                                <w:rPr>
                                  <w:rFonts w:ascii="Calibri"/>
                                  <w:color w:val="585858"/>
                                  <w:spacing w:val="-2"/>
                                  <w:sz w:val="18"/>
                                </w:rPr>
                                <w:t>challenged</w:t>
                              </w:r>
                            </w:p>
                          </w:txbxContent>
                        </wps:txbx>
                        <wps:bodyPr wrap="square" lIns="0" tIns="0" rIns="0" bIns="0" rtlCol="0">
                          <a:noAutofit/>
                        </wps:bodyPr>
                      </wps:wsp>
                      <wps:wsp>
                        <wps:cNvPr id="1649991969" name="Textbox 54"/>
                        <wps:cNvSpPr txBox="1"/>
                        <wps:spPr>
                          <a:xfrm>
                            <a:off x="2148585" y="2042032"/>
                            <a:ext cx="128905" cy="114300"/>
                          </a:xfrm>
                          <a:prstGeom prst="rect">
                            <a:avLst/>
                          </a:prstGeom>
                        </wps:spPr>
                        <wps:txbx>
                          <w:txbxContent>
                            <w:p w14:paraId="5DC8D405" w14:textId="77777777" w:rsidR="005730E3" w:rsidRDefault="005730E3" w:rsidP="005730E3">
                              <w:pPr>
                                <w:spacing w:line="180" w:lineRule="exact"/>
                                <w:rPr>
                                  <w:rFonts w:ascii="Calibri"/>
                                  <w:sz w:val="18"/>
                                </w:rPr>
                              </w:pPr>
                              <w:r>
                                <w:rPr>
                                  <w:rFonts w:ascii="Calibri"/>
                                  <w:color w:val="404040"/>
                                  <w:spacing w:val="-5"/>
                                  <w:sz w:val="18"/>
                                </w:rPr>
                                <w:t>28</w:t>
                              </w:r>
                            </w:p>
                          </w:txbxContent>
                        </wps:txbx>
                        <wps:bodyPr wrap="square" lIns="0" tIns="0" rIns="0" bIns="0" rtlCol="0">
                          <a:noAutofit/>
                        </wps:bodyPr>
                      </wps:wsp>
                      <wps:wsp>
                        <wps:cNvPr id="891088749" name="Textbox 55"/>
                        <wps:cNvSpPr txBox="1"/>
                        <wps:spPr>
                          <a:xfrm>
                            <a:off x="3550284" y="1885695"/>
                            <a:ext cx="128905" cy="114300"/>
                          </a:xfrm>
                          <a:prstGeom prst="rect">
                            <a:avLst/>
                          </a:prstGeom>
                        </wps:spPr>
                        <wps:txbx>
                          <w:txbxContent>
                            <w:p w14:paraId="7C7AA3A5" w14:textId="77777777" w:rsidR="005730E3" w:rsidRDefault="005730E3" w:rsidP="005730E3">
                              <w:pPr>
                                <w:spacing w:line="180" w:lineRule="exact"/>
                                <w:rPr>
                                  <w:rFonts w:ascii="Calibri"/>
                                  <w:sz w:val="18"/>
                                </w:rPr>
                              </w:pPr>
                              <w:r>
                                <w:rPr>
                                  <w:rFonts w:ascii="Calibri"/>
                                  <w:color w:val="404040"/>
                                  <w:spacing w:val="-5"/>
                                  <w:sz w:val="18"/>
                                </w:rPr>
                                <w:t>37</w:t>
                              </w:r>
                            </w:p>
                          </w:txbxContent>
                        </wps:txbx>
                        <wps:bodyPr wrap="square" lIns="0" tIns="0" rIns="0" bIns="0" rtlCol="0">
                          <a:noAutofit/>
                        </wps:bodyPr>
                      </wps:wsp>
                      <wps:wsp>
                        <wps:cNvPr id="2026930289" name="Textbox 56"/>
                        <wps:cNvSpPr txBox="1"/>
                        <wps:spPr>
                          <a:xfrm>
                            <a:off x="1447546" y="1972564"/>
                            <a:ext cx="128905" cy="114300"/>
                          </a:xfrm>
                          <a:prstGeom prst="rect">
                            <a:avLst/>
                          </a:prstGeom>
                        </wps:spPr>
                        <wps:txbx>
                          <w:txbxContent>
                            <w:p w14:paraId="07E4FD5C" w14:textId="77777777" w:rsidR="005730E3" w:rsidRDefault="005730E3" w:rsidP="005730E3">
                              <w:pPr>
                                <w:spacing w:line="180" w:lineRule="exact"/>
                                <w:rPr>
                                  <w:rFonts w:ascii="Calibri"/>
                                  <w:sz w:val="18"/>
                                </w:rPr>
                              </w:pPr>
                              <w:r>
                                <w:rPr>
                                  <w:rFonts w:ascii="Calibri"/>
                                  <w:color w:val="404040"/>
                                  <w:spacing w:val="-5"/>
                                  <w:sz w:val="18"/>
                                </w:rPr>
                                <w:t>32</w:t>
                              </w:r>
                            </w:p>
                          </w:txbxContent>
                        </wps:txbx>
                        <wps:bodyPr wrap="square" lIns="0" tIns="0" rIns="0" bIns="0" rtlCol="0">
                          <a:noAutofit/>
                        </wps:bodyPr>
                      </wps:wsp>
                      <wps:wsp>
                        <wps:cNvPr id="479557027" name="Textbox 57"/>
                        <wps:cNvSpPr txBox="1"/>
                        <wps:spPr>
                          <a:xfrm>
                            <a:off x="231393" y="1960372"/>
                            <a:ext cx="128905" cy="114300"/>
                          </a:xfrm>
                          <a:prstGeom prst="rect">
                            <a:avLst/>
                          </a:prstGeom>
                        </wps:spPr>
                        <wps:txbx>
                          <w:txbxContent>
                            <w:p w14:paraId="76D8752E" w14:textId="77777777" w:rsidR="005730E3" w:rsidRDefault="005730E3" w:rsidP="005730E3">
                              <w:pPr>
                                <w:spacing w:line="180" w:lineRule="exact"/>
                                <w:rPr>
                                  <w:rFonts w:ascii="Calibri"/>
                                  <w:sz w:val="18"/>
                                </w:rPr>
                              </w:pPr>
                              <w:r>
                                <w:rPr>
                                  <w:rFonts w:ascii="Calibri"/>
                                  <w:color w:val="585858"/>
                                  <w:spacing w:val="-5"/>
                                  <w:sz w:val="18"/>
                                </w:rPr>
                                <w:t>40</w:t>
                              </w:r>
                            </w:p>
                          </w:txbxContent>
                        </wps:txbx>
                        <wps:bodyPr wrap="square" lIns="0" tIns="0" rIns="0" bIns="0" rtlCol="0">
                          <a:noAutofit/>
                        </wps:bodyPr>
                      </wps:wsp>
                      <wps:wsp>
                        <wps:cNvPr id="1218543889" name="Textbox 58"/>
                        <wps:cNvSpPr txBox="1"/>
                        <wps:spPr>
                          <a:xfrm>
                            <a:off x="746505" y="1833626"/>
                            <a:ext cx="128905" cy="114300"/>
                          </a:xfrm>
                          <a:prstGeom prst="rect">
                            <a:avLst/>
                          </a:prstGeom>
                        </wps:spPr>
                        <wps:txbx>
                          <w:txbxContent>
                            <w:p w14:paraId="69145FD8" w14:textId="77777777" w:rsidR="005730E3" w:rsidRDefault="005730E3" w:rsidP="005730E3">
                              <w:pPr>
                                <w:spacing w:line="180" w:lineRule="exact"/>
                                <w:rPr>
                                  <w:rFonts w:ascii="Calibri"/>
                                  <w:sz w:val="18"/>
                                </w:rPr>
                              </w:pPr>
                              <w:r>
                                <w:rPr>
                                  <w:rFonts w:ascii="Calibri"/>
                                  <w:color w:val="404040"/>
                                  <w:spacing w:val="-5"/>
                                  <w:sz w:val="18"/>
                                </w:rPr>
                                <w:t>40</w:t>
                              </w:r>
                            </w:p>
                          </w:txbxContent>
                        </wps:txbx>
                        <wps:bodyPr wrap="square" lIns="0" tIns="0" rIns="0" bIns="0" rtlCol="0">
                          <a:noAutofit/>
                        </wps:bodyPr>
                      </wps:wsp>
                      <wps:wsp>
                        <wps:cNvPr id="836290958" name="Textbox 59"/>
                        <wps:cNvSpPr txBox="1"/>
                        <wps:spPr>
                          <a:xfrm>
                            <a:off x="3706114" y="1677289"/>
                            <a:ext cx="128905" cy="114300"/>
                          </a:xfrm>
                          <a:prstGeom prst="rect">
                            <a:avLst/>
                          </a:prstGeom>
                        </wps:spPr>
                        <wps:txbx>
                          <w:txbxContent>
                            <w:p w14:paraId="4DADBE4E" w14:textId="77777777" w:rsidR="005730E3" w:rsidRDefault="005730E3" w:rsidP="005730E3">
                              <w:pPr>
                                <w:spacing w:line="180" w:lineRule="exact"/>
                                <w:rPr>
                                  <w:rFonts w:ascii="Calibri"/>
                                  <w:sz w:val="18"/>
                                </w:rPr>
                              </w:pPr>
                              <w:r>
                                <w:rPr>
                                  <w:rFonts w:ascii="Calibri"/>
                                  <w:color w:val="404040"/>
                                  <w:spacing w:val="-5"/>
                                  <w:sz w:val="18"/>
                                </w:rPr>
                                <w:t>49</w:t>
                              </w:r>
                            </w:p>
                          </w:txbxContent>
                        </wps:txbx>
                        <wps:bodyPr wrap="square" lIns="0" tIns="0" rIns="0" bIns="0" rtlCol="0">
                          <a:noAutofit/>
                        </wps:bodyPr>
                      </wps:wsp>
                      <wps:wsp>
                        <wps:cNvPr id="294766620" name="Textbox 60"/>
                        <wps:cNvSpPr txBox="1"/>
                        <wps:spPr>
                          <a:xfrm>
                            <a:off x="231393" y="1612900"/>
                            <a:ext cx="128905" cy="114300"/>
                          </a:xfrm>
                          <a:prstGeom prst="rect">
                            <a:avLst/>
                          </a:prstGeom>
                        </wps:spPr>
                        <wps:txbx>
                          <w:txbxContent>
                            <w:p w14:paraId="1D6A9233" w14:textId="77777777" w:rsidR="005730E3" w:rsidRDefault="005730E3" w:rsidP="005730E3">
                              <w:pPr>
                                <w:spacing w:line="180" w:lineRule="exact"/>
                                <w:rPr>
                                  <w:rFonts w:ascii="Calibri"/>
                                  <w:sz w:val="18"/>
                                </w:rPr>
                              </w:pPr>
                              <w:r>
                                <w:rPr>
                                  <w:rFonts w:ascii="Calibri"/>
                                  <w:color w:val="585858"/>
                                  <w:spacing w:val="-5"/>
                                  <w:sz w:val="18"/>
                                </w:rPr>
                                <w:t>60</w:t>
                              </w:r>
                            </w:p>
                          </w:txbxContent>
                        </wps:txbx>
                        <wps:bodyPr wrap="square" lIns="0" tIns="0" rIns="0" bIns="0" rtlCol="0">
                          <a:noAutofit/>
                        </wps:bodyPr>
                      </wps:wsp>
                      <wps:wsp>
                        <wps:cNvPr id="892529306" name="Textbox 61"/>
                        <wps:cNvSpPr txBox="1"/>
                        <wps:spPr>
                          <a:xfrm>
                            <a:off x="1603247" y="1468272"/>
                            <a:ext cx="128905" cy="114935"/>
                          </a:xfrm>
                          <a:prstGeom prst="rect">
                            <a:avLst/>
                          </a:prstGeom>
                        </wps:spPr>
                        <wps:txbx>
                          <w:txbxContent>
                            <w:p w14:paraId="1C777C88" w14:textId="77777777" w:rsidR="005730E3" w:rsidRDefault="005730E3" w:rsidP="005730E3">
                              <w:pPr>
                                <w:spacing w:line="180" w:lineRule="exact"/>
                                <w:rPr>
                                  <w:rFonts w:ascii="Calibri"/>
                                  <w:sz w:val="18"/>
                                </w:rPr>
                              </w:pPr>
                              <w:r>
                                <w:rPr>
                                  <w:rFonts w:ascii="Calibri"/>
                                  <w:color w:val="404040"/>
                                  <w:spacing w:val="-5"/>
                                  <w:sz w:val="18"/>
                                </w:rPr>
                                <w:t>61</w:t>
                              </w:r>
                            </w:p>
                          </w:txbxContent>
                        </wps:txbx>
                        <wps:bodyPr wrap="square" lIns="0" tIns="0" rIns="0" bIns="0" rtlCol="0">
                          <a:noAutofit/>
                        </wps:bodyPr>
                      </wps:wsp>
                      <wps:wsp>
                        <wps:cNvPr id="660687387" name="Textbox 62"/>
                        <wps:cNvSpPr txBox="1"/>
                        <wps:spPr>
                          <a:xfrm>
                            <a:off x="902208" y="1485544"/>
                            <a:ext cx="128905" cy="114935"/>
                          </a:xfrm>
                          <a:prstGeom prst="rect">
                            <a:avLst/>
                          </a:prstGeom>
                        </wps:spPr>
                        <wps:txbx>
                          <w:txbxContent>
                            <w:p w14:paraId="2EF12441" w14:textId="77777777" w:rsidR="005730E3" w:rsidRDefault="005730E3" w:rsidP="005730E3">
                              <w:pPr>
                                <w:spacing w:line="180" w:lineRule="exact"/>
                                <w:rPr>
                                  <w:rFonts w:ascii="Calibri"/>
                                  <w:sz w:val="18"/>
                                </w:rPr>
                              </w:pPr>
                              <w:r>
                                <w:rPr>
                                  <w:rFonts w:ascii="Calibri"/>
                                  <w:color w:val="404040"/>
                                  <w:spacing w:val="-5"/>
                                  <w:sz w:val="18"/>
                                </w:rPr>
                                <w:t>60</w:t>
                              </w:r>
                            </w:p>
                          </w:txbxContent>
                        </wps:txbx>
                        <wps:bodyPr wrap="square" lIns="0" tIns="0" rIns="0" bIns="0" rtlCol="0">
                          <a:noAutofit/>
                        </wps:bodyPr>
                      </wps:wsp>
                      <wps:wsp>
                        <wps:cNvPr id="1427578814" name="Textbox 63"/>
                        <wps:cNvSpPr txBox="1"/>
                        <wps:spPr>
                          <a:xfrm>
                            <a:off x="2304288" y="1364005"/>
                            <a:ext cx="128905" cy="114935"/>
                          </a:xfrm>
                          <a:prstGeom prst="rect">
                            <a:avLst/>
                          </a:prstGeom>
                        </wps:spPr>
                        <wps:txbx>
                          <w:txbxContent>
                            <w:p w14:paraId="7408A9F3" w14:textId="77777777" w:rsidR="005730E3" w:rsidRDefault="005730E3" w:rsidP="005730E3">
                              <w:pPr>
                                <w:spacing w:line="180" w:lineRule="exact"/>
                                <w:rPr>
                                  <w:rFonts w:ascii="Calibri"/>
                                  <w:sz w:val="18"/>
                                </w:rPr>
                              </w:pPr>
                              <w:r>
                                <w:rPr>
                                  <w:rFonts w:ascii="Calibri"/>
                                  <w:color w:val="404040"/>
                                  <w:spacing w:val="-5"/>
                                  <w:sz w:val="18"/>
                                </w:rPr>
                                <w:t>67</w:t>
                              </w:r>
                            </w:p>
                          </w:txbxContent>
                        </wps:txbx>
                        <wps:bodyPr wrap="square" lIns="0" tIns="0" rIns="0" bIns="0" rtlCol="0">
                          <a:noAutofit/>
                        </wps:bodyPr>
                      </wps:wsp>
                      <wps:wsp>
                        <wps:cNvPr id="459941491" name="Textbox 64"/>
                        <wps:cNvSpPr txBox="1"/>
                        <wps:spPr>
                          <a:xfrm>
                            <a:off x="173481" y="917955"/>
                            <a:ext cx="186690" cy="462280"/>
                          </a:xfrm>
                          <a:prstGeom prst="rect">
                            <a:avLst/>
                          </a:prstGeom>
                        </wps:spPr>
                        <wps:txbx>
                          <w:txbxContent>
                            <w:p w14:paraId="0B6CD567" w14:textId="77777777" w:rsidR="005730E3" w:rsidRDefault="005730E3" w:rsidP="005730E3">
                              <w:pPr>
                                <w:spacing w:line="183" w:lineRule="exact"/>
                                <w:rPr>
                                  <w:rFonts w:ascii="Calibri"/>
                                  <w:sz w:val="18"/>
                                </w:rPr>
                              </w:pPr>
                              <w:r>
                                <w:rPr>
                                  <w:rFonts w:ascii="Calibri"/>
                                  <w:color w:val="585858"/>
                                  <w:spacing w:val="-5"/>
                                  <w:sz w:val="18"/>
                                </w:rPr>
                                <w:t>100</w:t>
                              </w:r>
                            </w:p>
                            <w:p w14:paraId="69438949" w14:textId="77777777" w:rsidR="005730E3" w:rsidRDefault="005730E3" w:rsidP="005730E3">
                              <w:pPr>
                                <w:spacing w:before="107"/>
                                <w:rPr>
                                  <w:rFonts w:ascii="Calibri"/>
                                  <w:sz w:val="18"/>
                                </w:rPr>
                              </w:pPr>
                            </w:p>
                            <w:p w14:paraId="5EF6B08D" w14:textId="77777777" w:rsidR="005730E3" w:rsidRDefault="005730E3" w:rsidP="005730E3">
                              <w:pPr>
                                <w:spacing w:line="216" w:lineRule="exact"/>
                                <w:ind w:left="91"/>
                                <w:rPr>
                                  <w:rFonts w:ascii="Calibri"/>
                                  <w:sz w:val="18"/>
                                </w:rPr>
                              </w:pPr>
                              <w:r>
                                <w:rPr>
                                  <w:rFonts w:ascii="Calibri"/>
                                  <w:color w:val="585858"/>
                                  <w:spacing w:val="-5"/>
                                  <w:sz w:val="18"/>
                                </w:rPr>
                                <w:t>80</w:t>
                              </w:r>
                            </w:p>
                          </w:txbxContent>
                        </wps:txbx>
                        <wps:bodyPr wrap="square" lIns="0" tIns="0" rIns="0" bIns="0" rtlCol="0">
                          <a:noAutofit/>
                        </wps:bodyPr>
                      </wps:wsp>
                      <wps:wsp>
                        <wps:cNvPr id="1653342601" name="Textbox 65"/>
                        <wps:cNvSpPr txBox="1"/>
                        <wps:spPr>
                          <a:xfrm>
                            <a:off x="5079238" y="617093"/>
                            <a:ext cx="186690" cy="114300"/>
                          </a:xfrm>
                          <a:prstGeom prst="rect">
                            <a:avLst/>
                          </a:prstGeom>
                        </wps:spPr>
                        <wps:txbx>
                          <w:txbxContent>
                            <w:p w14:paraId="38DFF4CE" w14:textId="77777777" w:rsidR="005730E3" w:rsidRDefault="005730E3" w:rsidP="005730E3">
                              <w:pPr>
                                <w:spacing w:line="180" w:lineRule="exact"/>
                                <w:rPr>
                                  <w:rFonts w:ascii="Calibri"/>
                                  <w:sz w:val="18"/>
                                </w:rPr>
                              </w:pPr>
                              <w:r>
                                <w:rPr>
                                  <w:rFonts w:ascii="Calibri"/>
                                  <w:color w:val="404040"/>
                                  <w:spacing w:val="-5"/>
                                  <w:sz w:val="18"/>
                                </w:rPr>
                                <w:t>110</w:t>
                              </w:r>
                            </w:p>
                          </w:txbxContent>
                        </wps:txbx>
                        <wps:bodyPr wrap="square" lIns="0" tIns="0" rIns="0" bIns="0" rtlCol="0">
                          <a:noAutofit/>
                        </wps:bodyPr>
                      </wps:wsp>
                      <wps:wsp>
                        <wps:cNvPr id="2089431923" name="Textbox 66"/>
                        <wps:cNvSpPr txBox="1"/>
                        <wps:spPr>
                          <a:xfrm>
                            <a:off x="4378197" y="617093"/>
                            <a:ext cx="186690" cy="114300"/>
                          </a:xfrm>
                          <a:prstGeom prst="rect">
                            <a:avLst/>
                          </a:prstGeom>
                        </wps:spPr>
                        <wps:txbx>
                          <w:txbxContent>
                            <w:p w14:paraId="02BF45AD" w14:textId="77777777" w:rsidR="005730E3" w:rsidRDefault="005730E3" w:rsidP="005730E3">
                              <w:pPr>
                                <w:spacing w:line="180" w:lineRule="exact"/>
                                <w:rPr>
                                  <w:rFonts w:ascii="Calibri"/>
                                  <w:sz w:val="18"/>
                                </w:rPr>
                              </w:pPr>
                              <w:r>
                                <w:rPr>
                                  <w:rFonts w:ascii="Calibri"/>
                                  <w:color w:val="404040"/>
                                  <w:spacing w:val="-5"/>
                                  <w:sz w:val="18"/>
                                </w:rPr>
                                <w:t>110</w:t>
                              </w:r>
                            </w:p>
                          </w:txbxContent>
                        </wps:txbx>
                        <wps:bodyPr wrap="square" lIns="0" tIns="0" rIns="0" bIns="0" rtlCol="0">
                          <a:noAutofit/>
                        </wps:bodyPr>
                      </wps:wsp>
                      <wps:wsp>
                        <wps:cNvPr id="1627416073" name="Textbox 67"/>
                        <wps:cNvSpPr txBox="1"/>
                        <wps:spPr>
                          <a:xfrm>
                            <a:off x="2976117" y="617093"/>
                            <a:ext cx="187960" cy="114300"/>
                          </a:xfrm>
                          <a:prstGeom prst="rect">
                            <a:avLst/>
                          </a:prstGeom>
                        </wps:spPr>
                        <wps:txbx>
                          <w:txbxContent>
                            <w:p w14:paraId="7EE0B238" w14:textId="77777777" w:rsidR="005730E3" w:rsidRDefault="005730E3" w:rsidP="005730E3">
                              <w:pPr>
                                <w:spacing w:line="180" w:lineRule="exact"/>
                                <w:rPr>
                                  <w:rFonts w:ascii="Calibri"/>
                                  <w:sz w:val="18"/>
                                </w:rPr>
                              </w:pPr>
                              <w:r>
                                <w:rPr>
                                  <w:rFonts w:ascii="Calibri"/>
                                  <w:color w:val="404040"/>
                                  <w:spacing w:val="-5"/>
                                  <w:sz w:val="18"/>
                                </w:rPr>
                                <w:t>110</w:t>
                              </w:r>
                            </w:p>
                          </w:txbxContent>
                        </wps:txbx>
                        <wps:bodyPr wrap="square" lIns="0" tIns="0" rIns="0" bIns="0" rtlCol="0">
                          <a:noAutofit/>
                        </wps:bodyPr>
                      </wps:wsp>
                      <wps:wsp>
                        <wps:cNvPr id="120028299" name="Textbox 68"/>
                        <wps:cNvSpPr txBox="1"/>
                        <wps:spPr>
                          <a:xfrm>
                            <a:off x="173481" y="570230"/>
                            <a:ext cx="186690" cy="114300"/>
                          </a:xfrm>
                          <a:prstGeom prst="rect">
                            <a:avLst/>
                          </a:prstGeom>
                        </wps:spPr>
                        <wps:txbx>
                          <w:txbxContent>
                            <w:p w14:paraId="0D220D47" w14:textId="77777777" w:rsidR="005730E3" w:rsidRDefault="005730E3" w:rsidP="005730E3">
                              <w:pPr>
                                <w:spacing w:line="180" w:lineRule="exact"/>
                                <w:rPr>
                                  <w:rFonts w:ascii="Calibri"/>
                                  <w:sz w:val="18"/>
                                </w:rPr>
                              </w:pPr>
                              <w:r>
                                <w:rPr>
                                  <w:rFonts w:ascii="Calibri"/>
                                  <w:color w:val="585858"/>
                                  <w:spacing w:val="-5"/>
                                  <w:sz w:val="18"/>
                                </w:rPr>
                                <w:t>120</w:t>
                              </w:r>
                            </w:p>
                          </w:txbxContent>
                        </wps:txbx>
                        <wps:bodyPr wrap="square" lIns="0" tIns="0" rIns="0" bIns="0" rtlCol="0">
                          <a:noAutofit/>
                        </wps:bodyPr>
                      </wps:wsp>
                      <wps:wsp>
                        <wps:cNvPr id="141278736" name="Textbox 69"/>
                        <wps:cNvSpPr txBox="1"/>
                        <wps:spPr>
                          <a:xfrm>
                            <a:off x="2202814" y="146430"/>
                            <a:ext cx="1261745" cy="228600"/>
                          </a:xfrm>
                          <a:prstGeom prst="rect">
                            <a:avLst/>
                          </a:prstGeom>
                        </wps:spPr>
                        <wps:txbx>
                          <w:txbxContent>
                            <w:p w14:paraId="6E641BCE" w14:textId="76625257" w:rsidR="005730E3" w:rsidRDefault="005730E3" w:rsidP="005730E3">
                              <w:pPr>
                                <w:spacing w:line="360" w:lineRule="exact"/>
                                <w:rPr>
                                  <w:rFonts w:ascii="Calibri"/>
                                  <w:b/>
                                  <w:sz w:val="36"/>
                                </w:rPr>
                              </w:pPr>
                            </w:p>
                          </w:txbxContent>
                        </wps:txbx>
                        <wps:bodyPr wrap="square" lIns="0" tIns="0" rIns="0" bIns="0" rtlCol="0">
                          <a:noAutofit/>
                        </wps:bodyPr>
                      </wps:wsp>
                    </wpg:wgp>
                  </a:graphicData>
                </a:graphic>
              </wp:anchor>
            </w:drawing>
          </mc:Choice>
          <mc:Fallback>
            <w:pict>
              <v:group w14:anchorId="353EF736" id="Group 1872078113" o:spid="_x0000_s1096" style="position:absolute;left:0;text-align:left;margin-left:16.05pt;margin-top:.6pt;width:435pt;height:284.1pt;z-index:251723776;mso-position-horizontal-relative:text;mso-position-vertical-relative:text" coordsize="56635,37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">
                <v:shape id="Image 33" o:spid="_x0000_s1097" type="#_x0000_t75" style="position:absolute;left:4377;top:5649;width:49816;height:2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">
                  <v:imagedata r:id="rId258" o:title=""/>
                </v:shape>
                <v:shape id="Image 34" o:spid="_x0000_s1098" type="#_x0000_t75" style="position:absolute;left:23332;top:35158;width:625;height: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">
                  <v:imagedata r:id="rId259" o:title=""/>
                </v:shape>
                <v:shape id="Image 35" o:spid="_x0000_s1099" type="#_x0000_t75" style="position:absolute;left:27614;top:35158;width:625;height: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">
                  <v:imagedata r:id="rId260" o:title=""/>
                </v:shape>
                <v:shape id="Image 36" o:spid="_x0000_s1100" type="#_x0000_t75" style="position:absolute;left:31089;top:35158;width:625;height: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">
                  <v:imagedata r:id="rId261" o:title=""/>
                </v:shape>
                <v:shape id="Graphic 37" o:spid="_x0000_s1101" style="position:absolute;left:45;top:45;width:56541;height:37262;visibility:visible;mso-wrap-style:square;v-text-anchor:top" coordsize="5654040,3726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" path="m,3726179r5654040,l5654040,,,,,3726179xe" filled="f" strokecolor="#d9d9d9" strokeweight=".25397mm">
                  <v:path arrowok="t"/>
                </v:shape>
                <v:shape id="Textbox 38" o:spid="_x0000_s1102" type="#_x0000_t202" style="position:absolute;left:33945;top:21116;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" filled="f" stroked="f">
                  <v:textbox inset="0,0,0,0">
                    <w:txbxContent>
                      <w:p w14:paraId="36D7DDD7" w14:textId="77777777" w:rsidR="005730E3" w:rsidRDefault="005730E3" w:rsidP="005730E3">
                        <w:pPr>
                          <w:spacing w:line="180" w:lineRule="exact"/>
                          <w:rPr>
                            <w:rFonts w:ascii="Calibri"/>
                            <w:sz w:val="18"/>
                          </w:rPr>
                        </w:pPr>
                        <w:r>
                          <w:rPr>
                            <w:rFonts w:ascii="Calibri"/>
                            <w:color w:val="404040"/>
                            <w:spacing w:val="-5"/>
                            <w:sz w:val="18"/>
                          </w:rPr>
                          <w:t>24</w:t>
                        </w:r>
                      </w:p>
                    </w:txbxContent>
                  </v:textbox>
                </v:shape>
                <v:shape id="Textbox 39" o:spid="_x0000_s1103" type="#_x0000_t202" style="position:absolute;left:24237;top:34944;width:965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" filled="f" stroked="f">
                  <v:textbox inset="0,0,0,0">
                    <w:txbxContent>
                      <w:p w14:paraId="12664AFD" w14:textId="77777777" w:rsidR="005730E3" w:rsidRDefault="005730E3" w:rsidP="005730E3">
                        <w:pPr>
                          <w:tabs>
                            <w:tab w:val="left" w:pos="672"/>
                            <w:tab w:val="left" w:pos="1220"/>
                          </w:tabs>
                          <w:spacing w:line="180" w:lineRule="exact"/>
                          <w:rPr>
                            <w:rFonts w:ascii="Calibri"/>
                            <w:sz w:val="18"/>
                          </w:rPr>
                        </w:pPr>
                        <w:r>
                          <w:rPr>
                            <w:rFonts w:ascii="Calibri"/>
                            <w:color w:val="585858"/>
                            <w:spacing w:val="-4"/>
                            <w:sz w:val="18"/>
                          </w:rPr>
                          <w:t>Good</w:t>
                        </w:r>
                        <w:r>
                          <w:rPr>
                            <w:rFonts w:ascii="Calibri"/>
                            <w:color w:val="585858"/>
                            <w:sz w:val="18"/>
                          </w:rPr>
                          <w:tab/>
                        </w:r>
                        <w:r>
                          <w:rPr>
                            <w:rFonts w:ascii="Calibri"/>
                            <w:color w:val="585858"/>
                            <w:spacing w:val="-4"/>
                            <w:sz w:val="18"/>
                          </w:rPr>
                          <w:t>Fair</w:t>
                        </w:r>
                        <w:r>
                          <w:rPr>
                            <w:rFonts w:ascii="Calibri"/>
                            <w:color w:val="585858"/>
                            <w:sz w:val="18"/>
                          </w:rPr>
                          <w:tab/>
                        </w:r>
                        <w:r>
                          <w:rPr>
                            <w:rFonts w:ascii="Calibri"/>
                            <w:color w:val="585858"/>
                            <w:spacing w:val="-5"/>
                            <w:sz w:val="18"/>
                          </w:rPr>
                          <w:t>Bad</w:t>
                        </w:r>
                      </w:p>
                    </w:txbxContent>
                  </v:textbox>
                </v:shape>
                <v:shape id="Textbox 40" o:spid="_x0000_s1104" type="#_x0000_t202" style="position:absolute;left:2313;top:23078;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" filled="f" stroked="f">
                  <v:textbox inset="0,0,0,0">
                    <w:txbxContent>
                      <w:p w14:paraId="79578321" w14:textId="77777777" w:rsidR="005730E3" w:rsidRDefault="005730E3" w:rsidP="005730E3">
                        <w:pPr>
                          <w:spacing w:line="180" w:lineRule="exact"/>
                          <w:rPr>
                            <w:rFonts w:ascii="Calibri"/>
                            <w:sz w:val="18"/>
                          </w:rPr>
                        </w:pPr>
                        <w:r>
                          <w:rPr>
                            <w:rFonts w:ascii="Calibri"/>
                            <w:color w:val="585858"/>
                            <w:spacing w:val="-5"/>
                            <w:sz w:val="18"/>
                          </w:rPr>
                          <w:t>20</w:t>
                        </w:r>
                      </w:p>
                    </w:txbxContent>
                  </v:textbox>
                </v:shape>
                <v:shape id="Textbox 41" o:spid="_x0000_s1105" type="#_x0000_t202" style="position:absolute;left:12917;top:22331;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" filled="f" stroked="f">
                  <v:textbox inset="0,0,0,0">
                    <w:txbxContent>
                      <w:p w14:paraId="2D4E842C" w14:textId="77777777" w:rsidR="005730E3" w:rsidRDefault="005730E3" w:rsidP="005730E3">
                        <w:pPr>
                          <w:spacing w:line="180" w:lineRule="exact"/>
                          <w:rPr>
                            <w:rFonts w:ascii="Calibri"/>
                            <w:sz w:val="18"/>
                          </w:rPr>
                        </w:pPr>
                        <w:r>
                          <w:rPr>
                            <w:rFonts w:ascii="Calibri"/>
                            <w:color w:val="404040"/>
                            <w:spacing w:val="-5"/>
                            <w:sz w:val="18"/>
                          </w:rPr>
                          <w:t>17</w:t>
                        </w:r>
                      </w:p>
                    </w:txbxContent>
                  </v:textbox>
                </v:shape>
                <v:shape id="Textbox 42" o:spid="_x0000_s1106" type="#_x0000_t202" style="position:absolute;left:5906;top:23548;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" filled="f" stroked="f">
                  <v:textbox inset="0,0,0,0">
                    <w:txbxContent>
                      <w:p w14:paraId="38315723" w14:textId="77777777" w:rsidR="005730E3" w:rsidRDefault="005730E3" w:rsidP="005730E3">
                        <w:pPr>
                          <w:spacing w:line="180" w:lineRule="exact"/>
                          <w:rPr>
                            <w:rFonts w:ascii="Calibri"/>
                            <w:sz w:val="18"/>
                          </w:rPr>
                        </w:pPr>
                        <w:r>
                          <w:rPr>
                            <w:rFonts w:ascii="Calibri"/>
                            <w:color w:val="404040"/>
                            <w:spacing w:val="-5"/>
                            <w:sz w:val="18"/>
                          </w:rPr>
                          <w:t>10</w:t>
                        </w:r>
                      </w:p>
                    </w:txbxContent>
                  </v:textbox>
                </v:shape>
                <v:shape id="Textbox 43" o:spid="_x0000_s1107" type="#_x0000_t202" style="position:absolute;left:19927;top:22679;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" filled="f" stroked="f">
                  <v:textbox inset="0,0,0,0">
                    <w:txbxContent>
                      <w:p w14:paraId="57E8BAAC" w14:textId="77777777" w:rsidR="005730E3" w:rsidRDefault="005730E3" w:rsidP="005730E3">
                        <w:pPr>
                          <w:spacing w:line="180" w:lineRule="exact"/>
                          <w:rPr>
                            <w:rFonts w:ascii="Calibri"/>
                            <w:sz w:val="18"/>
                          </w:rPr>
                        </w:pPr>
                        <w:r>
                          <w:rPr>
                            <w:rFonts w:ascii="Calibri"/>
                            <w:color w:val="404040"/>
                            <w:spacing w:val="-5"/>
                            <w:sz w:val="18"/>
                          </w:rPr>
                          <w:t>15</w:t>
                        </w:r>
                      </w:p>
                    </w:txbxContent>
                  </v:textbox>
                </v:shape>
                <v:shape id="Textbox 44" o:spid="_x0000_s1108" type="#_x0000_t202" style="position:absolute;left:27224;top:25285;width:22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" filled="f" stroked="f">
                  <v:textbox inset="0,0,0,0">
                    <w:txbxContent>
                      <w:p w14:paraId="164E33FA" w14:textId="77777777" w:rsidR="005730E3" w:rsidRDefault="005730E3" w:rsidP="005730E3">
                        <w:pPr>
                          <w:spacing w:line="180" w:lineRule="exact"/>
                          <w:rPr>
                            <w:rFonts w:ascii="Calibri"/>
                            <w:sz w:val="18"/>
                          </w:rPr>
                        </w:pPr>
                        <w:r>
                          <w:rPr>
                            <w:rFonts w:ascii="Calibri"/>
                            <w:color w:val="404040"/>
                            <w:sz w:val="18"/>
                          </w:rPr>
                          <w:t>0</w:t>
                        </w:r>
                        <w:r>
                          <w:rPr>
                            <w:rFonts w:ascii="Calibri"/>
                            <w:color w:val="404040"/>
                            <w:spacing w:val="36"/>
                            <w:sz w:val="18"/>
                          </w:rPr>
                          <w:t xml:space="preserve">  </w:t>
                        </w:r>
                        <w:r>
                          <w:rPr>
                            <w:rFonts w:ascii="Calibri"/>
                            <w:color w:val="404040"/>
                            <w:spacing w:val="-10"/>
                            <w:sz w:val="18"/>
                          </w:rPr>
                          <w:t>0</w:t>
                        </w:r>
                      </w:p>
                    </w:txbxContent>
                  </v:textbox>
                </v:shape>
                <v:shape id="Textbox 45" o:spid="_x0000_s1109" type="#_x0000_t202" style="position:absolute;left:41245;top:25285;width:22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" filled="f" stroked="f">
                  <v:textbox inset="0,0,0,0">
                    <w:txbxContent>
                      <w:p w14:paraId="512CA8FA" w14:textId="77777777" w:rsidR="005730E3" w:rsidRDefault="005730E3" w:rsidP="005730E3">
                        <w:pPr>
                          <w:spacing w:line="180" w:lineRule="exact"/>
                          <w:rPr>
                            <w:rFonts w:ascii="Calibri"/>
                            <w:sz w:val="18"/>
                          </w:rPr>
                        </w:pPr>
                        <w:r>
                          <w:rPr>
                            <w:rFonts w:ascii="Calibri"/>
                            <w:color w:val="404040"/>
                            <w:sz w:val="18"/>
                          </w:rPr>
                          <w:t>0</w:t>
                        </w:r>
                        <w:r>
                          <w:rPr>
                            <w:rFonts w:ascii="Calibri"/>
                            <w:color w:val="404040"/>
                            <w:spacing w:val="36"/>
                            <w:sz w:val="18"/>
                          </w:rPr>
                          <w:t xml:space="preserve">  </w:t>
                        </w:r>
                        <w:r>
                          <w:rPr>
                            <w:rFonts w:ascii="Calibri"/>
                            <w:color w:val="404040"/>
                            <w:spacing w:val="-10"/>
                            <w:sz w:val="18"/>
                          </w:rPr>
                          <w:t>0</w:t>
                        </w:r>
                      </w:p>
                    </w:txbxContent>
                  </v:textbox>
                </v:shape>
                <v:shape id="Textbox 46" o:spid="_x0000_s1110" type="#_x0000_t202" style="position:absolute;left:48256;top:25285;width:22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" filled="f" stroked="f">
                  <v:textbox inset="0,0,0,0">
                    <w:txbxContent>
                      <w:p w14:paraId="395B70A3" w14:textId="77777777" w:rsidR="005730E3" w:rsidRDefault="005730E3" w:rsidP="005730E3">
                        <w:pPr>
                          <w:spacing w:line="180" w:lineRule="exact"/>
                          <w:rPr>
                            <w:rFonts w:ascii="Calibri"/>
                            <w:sz w:val="18"/>
                          </w:rPr>
                        </w:pPr>
                        <w:r>
                          <w:rPr>
                            <w:rFonts w:ascii="Calibri"/>
                            <w:color w:val="404040"/>
                            <w:sz w:val="18"/>
                          </w:rPr>
                          <w:t>0</w:t>
                        </w:r>
                        <w:r>
                          <w:rPr>
                            <w:rFonts w:ascii="Calibri"/>
                            <w:color w:val="404040"/>
                            <w:spacing w:val="36"/>
                            <w:sz w:val="18"/>
                          </w:rPr>
                          <w:t xml:space="preserve">  </w:t>
                        </w:r>
                        <w:r>
                          <w:rPr>
                            <w:rFonts w:ascii="Calibri"/>
                            <w:color w:val="404040"/>
                            <w:spacing w:val="-10"/>
                            <w:sz w:val="18"/>
                          </w:rPr>
                          <w:t>0</w:t>
                        </w:r>
                      </w:p>
                    </w:txbxContent>
                  </v:textbox>
                </v:shape>
                <v:shape id="Textbox 47" o:spid="_x0000_s1111" type="#_x0000_t202" style="position:absolute;left:2893;top:26553;width:7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" filled="f" stroked="f">
                  <v:textbox inset="0,0,0,0">
                    <w:txbxContent>
                      <w:p w14:paraId="03FCF3B0" w14:textId="77777777" w:rsidR="005730E3" w:rsidRDefault="005730E3" w:rsidP="005730E3">
                        <w:pPr>
                          <w:spacing w:line="180" w:lineRule="exact"/>
                          <w:rPr>
                            <w:rFonts w:ascii="Calibri"/>
                            <w:sz w:val="18"/>
                          </w:rPr>
                        </w:pPr>
                        <w:r>
                          <w:rPr>
                            <w:rFonts w:ascii="Calibri"/>
                            <w:color w:val="585858"/>
                            <w:spacing w:val="-10"/>
                            <w:sz w:val="18"/>
                          </w:rPr>
                          <w:t>0</w:t>
                        </w:r>
                      </w:p>
                    </w:txbxContent>
                  </v:textbox>
                </v:shape>
                <v:shape id="Textbox 48" o:spid="_x0000_s1112" type="#_x0000_t202" style="position:absolute;left:4870;top:27985;width:6458;height: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" filled="f" stroked="f">
                  <v:textbox inset="0,0,0,0">
                    <w:txbxContent>
                      <w:p w14:paraId="1A1D4B95" w14:textId="77777777" w:rsidR="005730E3" w:rsidRDefault="005730E3" w:rsidP="005730E3">
                        <w:pPr>
                          <w:spacing w:line="183" w:lineRule="exact"/>
                          <w:ind w:left="191"/>
                          <w:rPr>
                            <w:rFonts w:ascii="Calibri" w:hAnsi="Calibri"/>
                            <w:sz w:val="18"/>
                          </w:rPr>
                        </w:pPr>
                        <w:r>
                          <w:rPr>
                            <w:rFonts w:ascii="Calibri" w:hAnsi="Calibri"/>
                            <w:color w:val="585858"/>
                            <w:sz w:val="18"/>
                          </w:rPr>
                          <w:t>Toilets</w:t>
                        </w:r>
                        <w:r>
                          <w:rPr>
                            <w:rFonts w:ascii="Calibri" w:hAnsi="Calibri"/>
                            <w:color w:val="585858"/>
                            <w:spacing w:val="-4"/>
                            <w:sz w:val="18"/>
                          </w:rPr>
                          <w:t xml:space="preserve"> </w:t>
                        </w:r>
                        <w:r>
                          <w:rPr>
                            <w:rFonts w:ascii="Calibri" w:hAnsi="Calibri"/>
                            <w:color w:val="585858"/>
                            <w:spacing w:val="-10"/>
                            <w:sz w:val="18"/>
                          </w:rPr>
                          <w:t>–</w:t>
                        </w:r>
                      </w:p>
                      <w:p w14:paraId="70E93FC9" w14:textId="77777777" w:rsidR="005730E3" w:rsidRDefault="005730E3" w:rsidP="005730E3">
                        <w:pPr>
                          <w:ind w:firstLine="268"/>
                          <w:rPr>
                            <w:rFonts w:ascii="Calibri"/>
                            <w:sz w:val="18"/>
                          </w:rPr>
                        </w:pPr>
                        <w:r>
                          <w:rPr>
                            <w:rFonts w:ascii="Calibri"/>
                            <w:color w:val="585858"/>
                            <w:spacing w:val="-2"/>
                            <w:sz w:val="18"/>
                          </w:rPr>
                          <w:t>Water</w:t>
                        </w:r>
                        <w:r>
                          <w:rPr>
                            <w:rFonts w:ascii="Calibri"/>
                            <w:color w:val="585858"/>
                            <w:sz w:val="18"/>
                          </w:rPr>
                          <w:t xml:space="preserve"> </w:t>
                        </w:r>
                        <w:r>
                          <w:rPr>
                            <w:rFonts w:ascii="Calibri"/>
                            <w:color w:val="585858"/>
                            <w:spacing w:val="-2"/>
                            <w:sz w:val="18"/>
                          </w:rPr>
                          <w:t>Cistern/Squat</w:t>
                        </w:r>
                      </w:p>
                    </w:txbxContent>
                  </v:textbox>
                </v:shape>
                <v:shape id="Textbox 49" o:spid="_x0000_s1113" type="#_x0000_t202" style="position:absolute;left:12216;top:27985;width:5797;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" filled="f" stroked="f">
                  <v:textbox inset="0,0,0,0">
                    <w:txbxContent>
                      <w:p w14:paraId="3F40E5C0" w14:textId="77777777" w:rsidR="005730E3" w:rsidRDefault="005730E3" w:rsidP="005730E3">
                        <w:pPr>
                          <w:spacing w:line="183" w:lineRule="exact"/>
                          <w:ind w:right="19"/>
                          <w:jc w:val="center"/>
                          <w:rPr>
                            <w:rFonts w:ascii="Calibri" w:hAnsi="Calibri"/>
                            <w:sz w:val="18"/>
                          </w:rPr>
                        </w:pPr>
                        <w:r>
                          <w:rPr>
                            <w:rFonts w:ascii="Calibri" w:hAnsi="Calibri"/>
                            <w:color w:val="585858"/>
                            <w:sz w:val="18"/>
                          </w:rPr>
                          <w:t>Toiletries</w:t>
                        </w:r>
                        <w:r>
                          <w:rPr>
                            <w:rFonts w:ascii="Calibri" w:hAnsi="Calibri"/>
                            <w:color w:val="585858"/>
                            <w:spacing w:val="-4"/>
                            <w:sz w:val="18"/>
                          </w:rPr>
                          <w:t xml:space="preserve"> </w:t>
                        </w:r>
                        <w:r>
                          <w:rPr>
                            <w:rFonts w:ascii="Calibri" w:hAnsi="Calibri"/>
                            <w:color w:val="585858"/>
                            <w:spacing w:val="-10"/>
                            <w:sz w:val="18"/>
                          </w:rPr>
                          <w:t>–</w:t>
                        </w:r>
                      </w:p>
                      <w:p w14:paraId="37BAC799" w14:textId="77777777" w:rsidR="005730E3" w:rsidRDefault="005730E3" w:rsidP="005730E3">
                        <w:pPr>
                          <w:ind w:right="18" w:hanging="4"/>
                          <w:jc w:val="center"/>
                          <w:rPr>
                            <w:rFonts w:ascii="Calibri"/>
                            <w:sz w:val="18"/>
                          </w:rPr>
                        </w:pPr>
                        <w:r>
                          <w:rPr>
                            <w:rFonts w:ascii="Calibri"/>
                            <w:color w:val="585858"/>
                            <w:spacing w:val="-2"/>
                            <w:sz w:val="18"/>
                          </w:rPr>
                          <w:t>soap,</w:t>
                        </w:r>
                        <w:r>
                          <w:rPr>
                            <w:rFonts w:ascii="Calibri"/>
                            <w:color w:val="585858"/>
                            <w:sz w:val="18"/>
                          </w:rPr>
                          <w:t xml:space="preserve"> </w:t>
                        </w:r>
                        <w:r>
                          <w:rPr>
                            <w:rFonts w:ascii="Calibri"/>
                            <w:color w:val="585858"/>
                            <w:spacing w:val="-2"/>
                            <w:sz w:val="18"/>
                          </w:rPr>
                          <w:t>sanitizer,</w:t>
                        </w:r>
                        <w:r>
                          <w:rPr>
                            <w:rFonts w:ascii="Calibri"/>
                            <w:color w:val="585858"/>
                            <w:sz w:val="18"/>
                          </w:rPr>
                          <w:t xml:space="preserve"> tissue</w:t>
                        </w:r>
                        <w:r>
                          <w:rPr>
                            <w:rFonts w:ascii="Calibri"/>
                            <w:color w:val="585858"/>
                            <w:spacing w:val="-11"/>
                            <w:sz w:val="18"/>
                          </w:rPr>
                          <w:t xml:space="preserve"> </w:t>
                        </w:r>
                        <w:r>
                          <w:rPr>
                            <w:rFonts w:ascii="Calibri"/>
                            <w:color w:val="585858"/>
                            <w:sz w:val="18"/>
                          </w:rPr>
                          <w:t>paper</w:t>
                        </w:r>
                      </w:p>
                    </w:txbxContent>
                  </v:textbox>
                </v:shape>
                <v:shape id="Textbox 50" o:spid="_x0000_s1114" type="#_x0000_t202" style="position:absolute;left:19464;top:27985;width:5327;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" filled="f" stroked="f">
                  <v:textbox inset="0,0,0,0">
                    <w:txbxContent>
                      <w:p w14:paraId="1388120D" w14:textId="77777777" w:rsidR="005730E3" w:rsidRDefault="005730E3" w:rsidP="005730E3">
                        <w:pPr>
                          <w:spacing w:line="183" w:lineRule="exact"/>
                          <w:ind w:left="93"/>
                          <w:rPr>
                            <w:rFonts w:ascii="Calibri"/>
                            <w:sz w:val="18"/>
                          </w:rPr>
                        </w:pPr>
                        <w:r>
                          <w:rPr>
                            <w:rFonts w:ascii="Calibri"/>
                            <w:color w:val="585858"/>
                            <w:spacing w:val="-2"/>
                            <w:sz w:val="18"/>
                          </w:rPr>
                          <w:t>Washing</w:t>
                        </w:r>
                      </w:p>
                      <w:p w14:paraId="66292B8D" w14:textId="77777777" w:rsidR="005730E3" w:rsidRDefault="005730E3" w:rsidP="005730E3">
                        <w:pPr>
                          <w:spacing w:line="216" w:lineRule="exact"/>
                          <w:rPr>
                            <w:rFonts w:ascii="Calibri"/>
                            <w:sz w:val="18"/>
                          </w:rPr>
                        </w:pPr>
                        <w:r>
                          <w:rPr>
                            <w:rFonts w:ascii="Calibri"/>
                            <w:color w:val="585858"/>
                            <w:sz w:val="18"/>
                          </w:rPr>
                          <w:t>Hand</w:t>
                        </w:r>
                        <w:r>
                          <w:rPr>
                            <w:rFonts w:ascii="Calibri"/>
                            <w:color w:val="585858"/>
                            <w:spacing w:val="-5"/>
                            <w:sz w:val="18"/>
                          </w:rPr>
                          <w:t xml:space="preserve"> </w:t>
                        </w:r>
                        <w:r>
                          <w:rPr>
                            <w:rFonts w:ascii="Calibri"/>
                            <w:color w:val="585858"/>
                            <w:spacing w:val="-2"/>
                            <w:sz w:val="18"/>
                          </w:rPr>
                          <w:t>Basin</w:t>
                        </w:r>
                      </w:p>
                    </w:txbxContent>
                  </v:textbox>
                </v:shape>
                <v:shape id="Textbox 51" o:spid="_x0000_s1115" type="#_x0000_t202" style="position:absolute;left:26197;top:27985;width:588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" filled="f" stroked="f">
                  <v:textbox inset="0,0,0,0">
                    <w:txbxContent>
                      <w:p w14:paraId="5478AE37" w14:textId="77777777" w:rsidR="005730E3" w:rsidRDefault="005730E3" w:rsidP="005730E3">
                        <w:pPr>
                          <w:spacing w:line="180" w:lineRule="exact"/>
                          <w:rPr>
                            <w:rFonts w:ascii="Calibri"/>
                            <w:sz w:val="18"/>
                          </w:rPr>
                        </w:pPr>
                        <w:r>
                          <w:rPr>
                            <w:rFonts w:ascii="Calibri"/>
                            <w:color w:val="585858"/>
                            <w:sz w:val="18"/>
                          </w:rPr>
                          <w:t>Hand</w:t>
                        </w:r>
                        <w:r>
                          <w:rPr>
                            <w:rFonts w:ascii="Calibri"/>
                            <w:color w:val="585858"/>
                            <w:spacing w:val="-5"/>
                            <w:sz w:val="18"/>
                          </w:rPr>
                          <w:t xml:space="preserve"> </w:t>
                        </w:r>
                        <w:r>
                          <w:rPr>
                            <w:rFonts w:ascii="Calibri"/>
                            <w:color w:val="585858"/>
                            <w:spacing w:val="-2"/>
                            <w:sz w:val="18"/>
                          </w:rPr>
                          <w:t>Dryers</w:t>
                        </w:r>
                      </w:p>
                    </w:txbxContent>
                  </v:textbox>
                </v:shape>
                <v:shape id="Textbox 52" o:spid="_x0000_s1116" type="#_x0000_t202" style="position:absolute;left:33710;top:27985;width:487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" filled="f" stroked="f">
                  <v:textbox inset="0,0,0,0">
                    <w:txbxContent>
                      <w:p w14:paraId="34C066B2" w14:textId="77777777" w:rsidR="005730E3" w:rsidRDefault="005730E3" w:rsidP="005730E3">
                        <w:pPr>
                          <w:spacing w:line="180" w:lineRule="exact"/>
                          <w:rPr>
                            <w:rFonts w:ascii="Calibri"/>
                            <w:sz w:val="18"/>
                          </w:rPr>
                        </w:pPr>
                        <w:r>
                          <w:rPr>
                            <w:rFonts w:ascii="Calibri"/>
                            <w:color w:val="585858"/>
                            <w:sz w:val="18"/>
                          </w:rPr>
                          <w:t>Trash</w:t>
                        </w:r>
                        <w:r>
                          <w:rPr>
                            <w:rFonts w:ascii="Calibri"/>
                            <w:color w:val="585858"/>
                            <w:spacing w:val="-7"/>
                            <w:sz w:val="18"/>
                          </w:rPr>
                          <w:t xml:space="preserve"> </w:t>
                        </w:r>
                        <w:r>
                          <w:rPr>
                            <w:rFonts w:ascii="Calibri"/>
                            <w:color w:val="585858"/>
                            <w:spacing w:val="-4"/>
                            <w:sz w:val="18"/>
                          </w:rPr>
                          <w:t>Bins</w:t>
                        </w:r>
                      </w:p>
                    </w:txbxContent>
                  </v:textbox>
                </v:shape>
                <v:shape id="Textbox 53" o:spid="_x0000_s1117" type="#_x0000_t202" style="position:absolute;left:41348;top:27985;width:11951;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" filled="f" stroked="f">
                  <v:textbox inset="0,0,0,0">
                    <w:txbxContent>
                      <w:p w14:paraId="54309806" w14:textId="77777777" w:rsidR="005730E3" w:rsidRDefault="005730E3" w:rsidP="005730E3">
                        <w:pPr>
                          <w:tabs>
                            <w:tab w:val="left" w:pos="894"/>
                          </w:tabs>
                          <w:spacing w:line="183" w:lineRule="exact"/>
                          <w:rPr>
                            <w:rFonts w:ascii="Calibri"/>
                            <w:sz w:val="18"/>
                          </w:rPr>
                        </w:pPr>
                        <w:r>
                          <w:rPr>
                            <w:rFonts w:ascii="Calibri"/>
                            <w:color w:val="585858"/>
                            <w:spacing w:val="-2"/>
                            <w:sz w:val="18"/>
                          </w:rPr>
                          <w:t>Mirrors</w:t>
                        </w:r>
                        <w:r>
                          <w:rPr>
                            <w:rFonts w:ascii="Calibri"/>
                            <w:color w:val="585858"/>
                            <w:sz w:val="18"/>
                          </w:rPr>
                          <w:tab/>
                          <w:t>Access</w:t>
                        </w:r>
                        <w:r>
                          <w:rPr>
                            <w:rFonts w:ascii="Calibri"/>
                            <w:color w:val="585858"/>
                            <w:spacing w:val="-5"/>
                            <w:sz w:val="18"/>
                          </w:rPr>
                          <w:t xml:space="preserve"> </w:t>
                        </w:r>
                        <w:r>
                          <w:rPr>
                            <w:rFonts w:ascii="Calibri"/>
                            <w:color w:val="585858"/>
                            <w:sz w:val="18"/>
                          </w:rPr>
                          <w:t>to</w:t>
                        </w:r>
                        <w:r>
                          <w:rPr>
                            <w:rFonts w:ascii="Calibri"/>
                            <w:color w:val="585858"/>
                            <w:spacing w:val="-3"/>
                            <w:sz w:val="18"/>
                          </w:rPr>
                          <w:t xml:space="preserve"> </w:t>
                        </w:r>
                        <w:r>
                          <w:rPr>
                            <w:rFonts w:ascii="Calibri"/>
                            <w:color w:val="585858"/>
                            <w:spacing w:val="-5"/>
                            <w:sz w:val="18"/>
                          </w:rPr>
                          <w:t>the</w:t>
                        </w:r>
                      </w:p>
                      <w:p w14:paraId="67450474" w14:textId="77777777" w:rsidR="005730E3" w:rsidRDefault="005730E3" w:rsidP="005730E3">
                        <w:pPr>
                          <w:ind w:left="982" w:firstLine="42"/>
                          <w:rPr>
                            <w:rFonts w:ascii="Calibri"/>
                            <w:sz w:val="18"/>
                          </w:rPr>
                        </w:pPr>
                        <w:r>
                          <w:rPr>
                            <w:rFonts w:ascii="Calibri"/>
                            <w:color w:val="585858"/>
                            <w:spacing w:val="-2"/>
                            <w:sz w:val="18"/>
                          </w:rPr>
                          <w:t>Physically</w:t>
                        </w:r>
                        <w:r>
                          <w:rPr>
                            <w:rFonts w:ascii="Calibri"/>
                            <w:color w:val="585858"/>
                            <w:sz w:val="18"/>
                          </w:rPr>
                          <w:t xml:space="preserve"> </w:t>
                        </w:r>
                        <w:r>
                          <w:rPr>
                            <w:rFonts w:ascii="Calibri"/>
                            <w:color w:val="585858"/>
                            <w:spacing w:val="-2"/>
                            <w:sz w:val="18"/>
                          </w:rPr>
                          <w:t>challenged</w:t>
                        </w:r>
                      </w:p>
                    </w:txbxContent>
                  </v:textbox>
                </v:shape>
                <v:shape id="Textbox 54" o:spid="_x0000_s1118" type="#_x0000_t202" style="position:absolute;left:21485;top:20420;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" filled="f" stroked="f">
                  <v:textbox inset="0,0,0,0">
                    <w:txbxContent>
                      <w:p w14:paraId="5DC8D405" w14:textId="77777777" w:rsidR="005730E3" w:rsidRDefault="005730E3" w:rsidP="005730E3">
                        <w:pPr>
                          <w:spacing w:line="180" w:lineRule="exact"/>
                          <w:rPr>
                            <w:rFonts w:ascii="Calibri"/>
                            <w:sz w:val="18"/>
                          </w:rPr>
                        </w:pPr>
                        <w:r>
                          <w:rPr>
                            <w:rFonts w:ascii="Calibri"/>
                            <w:color w:val="404040"/>
                            <w:spacing w:val="-5"/>
                            <w:sz w:val="18"/>
                          </w:rPr>
                          <w:t>28</w:t>
                        </w:r>
                      </w:p>
                    </w:txbxContent>
                  </v:textbox>
                </v:shape>
                <v:shape id="Textbox 55" o:spid="_x0000_s1119" type="#_x0000_t202" style="position:absolute;left:35502;top:18856;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" filled="f" stroked="f">
                  <v:textbox inset="0,0,0,0">
                    <w:txbxContent>
                      <w:p w14:paraId="7C7AA3A5" w14:textId="77777777" w:rsidR="005730E3" w:rsidRDefault="005730E3" w:rsidP="005730E3">
                        <w:pPr>
                          <w:spacing w:line="180" w:lineRule="exact"/>
                          <w:rPr>
                            <w:rFonts w:ascii="Calibri"/>
                            <w:sz w:val="18"/>
                          </w:rPr>
                        </w:pPr>
                        <w:r>
                          <w:rPr>
                            <w:rFonts w:ascii="Calibri"/>
                            <w:color w:val="404040"/>
                            <w:spacing w:val="-5"/>
                            <w:sz w:val="18"/>
                          </w:rPr>
                          <w:t>37</w:t>
                        </w:r>
                      </w:p>
                    </w:txbxContent>
                  </v:textbox>
                </v:shape>
                <v:shape id="Textbox 56" o:spid="_x0000_s1120" type="#_x0000_t202" style="position:absolute;left:14475;top:19725;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" filled="f" stroked="f">
                  <v:textbox inset="0,0,0,0">
                    <w:txbxContent>
                      <w:p w14:paraId="07E4FD5C" w14:textId="77777777" w:rsidR="005730E3" w:rsidRDefault="005730E3" w:rsidP="005730E3">
                        <w:pPr>
                          <w:spacing w:line="180" w:lineRule="exact"/>
                          <w:rPr>
                            <w:rFonts w:ascii="Calibri"/>
                            <w:sz w:val="18"/>
                          </w:rPr>
                        </w:pPr>
                        <w:r>
                          <w:rPr>
                            <w:rFonts w:ascii="Calibri"/>
                            <w:color w:val="404040"/>
                            <w:spacing w:val="-5"/>
                            <w:sz w:val="18"/>
                          </w:rPr>
                          <w:t>32</w:t>
                        </w:r>
                      </w:p>
                    </w:txbxContent>
                  </v:textbox>
                </v:shape>
                <v:shape id="Textbox 57" o:spid="_x0000_s1121" type="#_x0000_t202" style="position:absolute;left:2313;top:19603;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" filled="f" stroked="f">
                  <v:textbox inset="0,0,0,0">
                    <w:txbxContent>
                      <w:p w14:paraId="76D8752E" w14:textId="77777777" w:rsidR="005730E3" w:rsidRDefault="005730E3" w:rsidP="005730E3">
                        <w:pPr>
                          <w:spacing w:line="180" w:lineRule="exact"/>
                          <w:rPr>
                            <w:rFonts w:ascii="Calibri"/>
                            <w:sz w:val="18"/>
                          </w:rPr>
                        </w:pPr>
                        <w:r>
                          <w:rPr>
                            <w:rFonts w:ascii="Calibri"/>
                            <w:color w:val="585858"/>
                            <w:spacing w:val="-5"/>
                            <w:sz w:val="18"/>
                          </w:rPr>
                          <w:t>40</w:t>
                        </w:r>
                      </w:p>
                    </w:txbxContent>
                  </v:textbox>
                </v:shape>
                <v:shape id="Textbox 58" o:spid="_x0000_s1122" type="#_x0000_t202" style="position:absolute;left:7465;top:18336;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" filled="f" stroked="f">
                  <v:textbox inset="0,0,0,0">
                    <w:txbxContent>
                      <w:p w14:paraId="69145FD8" w14:textId="77777777" w:rsidR="005730E3" w:rsidRDefault="005730E3" w:rsidP="005730E3">
                        <w:pPr>
                          <w:spacing w:line="180" w:lineRule="exact"/>
                          <w:rPr>
                            <w:rFonts w:ascii="Calibri"/>
                            <w:sz w:val="18"/>
                          </w:rPr>
                        </w:pPr>
                        <w:r>
                          <w:rPr>
                            <w:rFonts w:ascii="Calibri"/>
                            <w:color w:val="404040"/>
                            <w:spacing w:val="-5"/>
                            <w:sz w:val="18"/>
                          </w:rPr>
                          <w:t>40</w:t>
                        </w:r>
                      </w:p>
                    </w:txbxContent>
                  </v:textbox>
                </v:shape>
                <v:shape id="Textbox 59" o:spid="_x0000_s1123" type="#_x0000_t202" style="position:absolute;left:37061;top:16772;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" filled="f" stroked="f">
                  <v:textbox inset="0,0,0,0">
                    <w:txbxContent>
                      <w:p w14:paraId="4DADBE4E" w14:textId="77777777" w:rsidR="005730E3" w:rsidRDefault="005730E3" w:rsidP="005730E3">
                        <w:pPr>
                          <w:spacing w:line="180" w:lineRule="exact"/>
                          <w:rPr>
                            <w:rFonts w:ascii="Calibri"/>
                            <w:sz w:val="18"/>
                          </w:rPr>
                        </w:pPr>
                        <w:r>
                          <w:rPr>
                            <w:rFonts w:ascii="Calibri"/>
                            <w:color w:val="404040"/>
                            <w:spacing w:val="-5"/>
                            <w:sz w:val="18"/>
                          </w:rPr>
                          <w:t>49</w:t>
                        </w:r>
                      </w:p>
                    </w:txbxContent>
                  </v:textbox>
                </v:shape>
                <v:shape id="Textbox 60" o:spid="_x0000_s1124" type="#_x0000_t202" style="position:absolute;left:2313;top:16129;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" filled="f" stroked="f">
                  <v:textbox inset="0,0,0,0">
                    <w:txbxContent>
                      <w:p w14:paraId="1D6A9233" w14:textId="77777777" w:rsidR="005730E3" w:rsidRDefault="005730E3" w:rsidP="005730E3">
                        <w:pPr>
                          <w:spacing w:line="180" w:lineRule="exact"/>
                          <w:rPr>
                            <w:rFonts w:ascii="Calibri"/>
                            <w:sz w:val="18"/>
                          </w:rPr>
                        </w:pPr>
                        <w:r>
                          <w:rPr>
                            <w:rFonts w:ascii="Calibri"/>
                            <w:color w:val="585858"/>
                            <w:spacing w:val="-5"/>
                            <w:sz w:val="18"/>
                          </w:rPr>
                          <w:t>60</w:t>
                        </w:r>
                      </w:p>
                    </w:txbxContent>
                  </v:textbox>
                </v:shape>
                <v:shape id="Textbox 61" o:spid="_x0000_s1125" type="#_x0000_t202" style="position:absolute;left:16032;top:14682;width:1289;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" filled="f" stroked="f">
                  <v:textbox inset="0,0,0,0">
                    <w:txbxContent>
                      <w:p w14:paraId="1C777C88" w14:textId="77777777" w:rsidR="005730E3" w:rsidRDefault="005730E3" w:rsidP="005730E3">
                        <w:pPr>
                          <w:spacing w:line="180" w:lineRule="exact"/>
                          <w:rPr>
                            <w:rFonts w:ascii="Calibri"/>
                            <w:sz w:val="18"/>
                          </w:rPr>
                        </w:pPr>
                        <w:r>
                          <w:rPr>
                            <w:rFonts w:ascii="Calibri"/>
                            <w:color w:val="404040"/>
                            <w:spacing w:val="-5"/>
                            <w:sz w:val="18"/>
                          </w:rPr>
                          <w:t>61</w:t>
                        </w:r>
                      </w:p>
                    </w:txbxContent>
                  </v:textbox>
                </v:shape>
                <v:shape id="Textbox 62" o:spid="_x0000_s1126" type="#_x0000_t202" style="position:absolute;left:9022;top:14855;width:1289;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" filled="f" stroked="f">
                  <v:textbox inset="0,0,0,0">
                    <w:txbxContent>
                      <w:p w14:paraId="2EF12441" w14:textId="77777777" w:rsidR="005730E3" w:rsidRDefault="005730E3" w:rsidP="005730E3">
                        <w:pPr>
                          <w:spacing w:line="180" w:lineRule="exact"/>
                          <w:rPr>
                            <w:rFonts w:ascii="Calibri"/>
                            <w:sz w:val="18"/>
                          </w:rPr>
                        </w:pPr>
                        <w:r>
                          <w:rPr>
                            <w:rFonts w:ascii="Calibri"/>
                            <w:color w:val="404040"/>
                            <w:spacing w:val="-5"/>
                            <w:sz w:val="18"/>
                          </w:rPr>
                          <w:t>60</w:t>
                        </w:r>
                      </w:p>
                    </w:txbxContent>
                  </v:textbox>
                </v:shape>
                <v:shape id="Textbox 63" o:spid="_x0000_s1127" type="#_x0000_t202" style="position:absolute;left:23042;top:13640;width:1289;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" filled="f" stroked="f">
                  <v:textbox inset="0,0,0,0">
                    <w:txbxContent>
                      <w:p w14:paraId="7408A9F3" w14:textId="77777777" w:rsidR="005730E3" w:rsidRDefault="005730E3" w:rsidP="005730E3">
                        <w:pPr>
                          <w:spacing w:line="180" w:lineRule="exact"/>
                          <w:rPr>
                            <w:rFonts w:ascii="Calibri"/>
                            <w:sz w:val="18"/>
                          </w:rPr>
                        </w:pPr>
                        <w:r>
                          <w:rPr>
                            <w:rFonts w:ascii="Calibri"/>
                            <w:color w:val="404040"/>
                            <w:spacing w:val="-5"/>
                            <w:sz w:val="18"/>
                          </w:rPr>
                          <w:t>67</w:t>
                        </w:r>
                      </w:p>
                    </w:txbxContent>
                  </v:textbox>
                </v:shape>
                <v:shape id="Textbox 64" o:spid="_x0000_s1128" type="#_x0000_t202" style="position:absolute;left:1734;top:9179;width:186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" filled="f" stroked="f">
                  <v:textbox inset="0,0,0,0">
                    <w:txbxContent>
                      <w:p w14:paraId="0B6CD567" w14:textId="77777777" w:rsidR="005730E3" w:rsidRDefault="005730E3" w:rsidP="005730E3">
                        <w:pPr>
                          <w:spacing w:line="183" w:lineRule="exact"/>
                          <w:rPr>
                            <w:rFonts w:ascii="Calibri"/>
                            <w:sz w:val="18"/>
                          </w:rPr>
                        </w:pPr>
                        <w:r>
                          <w:rPr>
                            <w:rFonts w:ascii="Calibri"/>
                            <w:color w:val="585858"/>
                            <w:spacing w:val="-5"/>
                            <w:sz w:val="18"/>
                          </w:rPr>
                          <w:t>100</w:t>
                        </w:r>
                      </w:p>
                      <w:p w14:paraId="69438949" w14:textId="77777777" w:rsidR="005730E3" w:rsidRDefault="005730E3" w:rsidP="005730E3">
                        <w:pPr>
                          <w:spacing w:before="107"/>
                          <w:rPr>
                            <w:rFonts w:ascii="Calibri"/>
                            <w:sz w:val="18"/>
                          </w:rPr>
                        </w:pPr>
                      </w:p>
                      <w:p w14:paraId="5EF6B08D" w14:textId="77777777" w:rsidR="005730E3" w:rsidRDefault="005730E3" w:rsidP="005730E3">
                        <w:pPr>
                          <w:spacing w:line="216" w:lineRule="exact"/>
                          <w:ind w:left="91"/>
                          <w:rPr>
                            <w:rFonts w:ascii="Calibri"/>
                            <w:sz w:val="18"/>
                          </w:rPr>
                        </w:pPr>
                        <w:r>
                          <w:rPr>
                            <w:rFonts w:ascii="Calibri"/>
                            <w:color w:val="585858"/>
                            <w:spacing w:val="-5"/>
                            <w:sz w:val="18"/>
                          </w:rPr>
                          <w:t>80</w:t>
                        </w:r>
                      </w:p>
                    </w:txbxContent>
                  </v:textbox>
                </v:shape>
                <v:shape id="Textbox 65" o:spid="_x0000_s1129" type="#_x0000_t202" style="position:absolute;left:50792;top:6170;width:18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" filled="f" stroked="f">
                  <v:textbox inset="0,0,0,0">
                    <w:txbxContent>
                      <w:p w14:paraId="38DFF4CE" w14:textId="77777777" w:rsidR="005730E3" w:rsidRDefault="005730E3" w:rsidP="005730E3">
                        <w:pPr>
                          <w:spacing w:line="180" w:lineRule="exact"/>
                          <w:rPr>
                            <w:rFonts w:ascii="Calibri"/>
                            <w:sz w:val="18"/>
                          </w:rPr>
                        </w:pPr>
                        <w:r>
                          <w:rPr>
                            <w:rFonts w:ascii="Calibri"/>
                            <w:color w:val="404040"/>
                            <w:spacing w:val="-5"/>
                            <w:sz w:val="18"/>
                          </w:rPr>
                          <w:t>110</w:t>
                        </w:r>
                      </w:p>
                    </w:txbxContent>
                  </v:textbox>
                </v:shape>
                <v:shape id="Textbox 66" o:spid="_x0000_s1130" type="#_x0000_t202" style="position:absolute;left:43781;top:6170;width:18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" filled="f" stroked="f">
                  <v:textbox inset="0,0,0,0">
                    <w:txbxContent>
                      <w:p w14:paraId="02BF45AD" w14:textId="77777777" w:rsidR="005730E3" w:rsidRDefault="005730E3" w:rsidP="005730E3">
                        <w:pPr>
                          <w:spacing w:line="180" w:lineRule="exact"/>
                          <w:rPr>
                            <w:rFonts w:ascii="Calibri"/>
                            <w:sz w:val="18"/>
                          </w:rPr>
                        </w:pPr>
                        <w:r>
                          <w:rPr>
                            <w:rFonts w:ascii="Calibri"/>
                            <w:color w:val="404040"/>
                            <w:spacing w:val="-5"/>
                            <w:sz w:val="18"/>
                          </w:rPr>
                          <w:t>110</w:t>
                        </w:r>
                      </w:p>
                    </w:txbxContent>
                  </v:textbox>
                </v:shape>
                <v:shape id="Textbox 67" o:spid="_x0000_s1131" type="#_x0000_t202" style="position:absolute;left:29761;top:6170;width:187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" filled="f" stroked="f">
                  <v:textbox inset="0,0,0,0">
                    <w:txbxContent>
                      <w:p w14:paraId="7EE0B238" w14:textId="77777777" w:rsidR="005730E3" w:rsidRDefault="005730E3" w:rsidP="005730E3">
                        <w:pPr>
                          <w:spacing w:line="180" w:lineRule="exact"/>
                          <w:rPr>
                            <w:rFonts w:ascii="Calibri"/>
                            <w:sz w:val="18"/>
                          </w:rPr>
                        </w:pPr>
                        <w:r>
                          <w:rPr>
                            <w:rFonts w:ascii="Calibri"/>
                            <w:color w:val="404040"/>
                            <w:spacing w:val="-5"/>
                            <w:sz w:val="18"/>
                          </w:rPr>
                          <w:t>110</w:t>
                        </w:r>
                      </w:p>
                    </w:txbxContent>
                  </v:textbox>
                </v:shape>
                <v:shape id="Textbox 68" o:spid="_x0000_s1132" type="#_x0000_t202" style="position:absolute;left:1734;top:5702;width:18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" filled="f" stroked="f">
                  <v:textbox inset="0,0,0,0">
                    <w:txbxContent>
                      <w:p w14:paraId="0D220D47" w14:textId="77777777" w:rsidR="005730E3" w:rsidRDefault="005730E3" w:rsidP="005730E3">
                        <w:pPr>
                          <w:spacing w:line="180" w:lineRule="exact"/>
                          <w:rPr>
                            <w:rFonts w:ascii="Calibri"/>
                            <w:sz w:val="18"/>
                          </w:rPr>
                        </w:pPr>
                        <w:r>
                          <w:rPr>
                            <w:rFonts w:ascii="Calibri"/>
                            <w:color w:val="585858"/>
                            <w:spacing w:val="-5"/>
                            <w:sz w:val="18"/>
                          </w:rPr>
                          <w:t>120</w:t>
                        </w:r>
                      </w:p>
                    </w:txbxContent>
                  </v:textbox>
                </v:shape>
                <v:shape id="Textbox 69" o:spid="_x0000_s1133" type="#_x0000_t202" style="position:absolute;left:22028;top:1464;width:1261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" filled="f" stroked="f">
                  <v:textbox inset="0,0,0,0">
                    <w:txbxContent>
                      <w:p w14:paraId="6E641BCE" w14:textId="76625257" w:rsidR="005730E3" w:rsidRDefault="005730E3" w:rsidP="005730E3">
                        <w:pPr>
                          <w:spacing w:line="360" w:lineRule="exact"/>
                          <w:rPr>
                            <w:rFonts w:ascii="Calibri"/>
                            <w:b/>
                            <w:sz w:val="36"/>
                          </w:rPr>
                        </w:pPr>
                      </w:p>
                    </w:txbxContent>
                  </v:textbox>
                </v:shape>
                <w10:wrap type="topAndBottom"/>
              </v:group>
            </w:pict>
          </mc:Fallback>
        </mc:AlternateContent>
      </w:r>
      <w:r w:rsidR="004D1527" w:rsidRPr="004D1527">
        <w:rPr>
          <w:rFonts w:ascii="Times New Roman" w:hAnsi="Times New Roman" w:cs="Times New Roman"/>
          <w:color w:val="000000"/>
          <w:sz w:val="24"/>
          <w:szCs w:val="24"/>
        </w:rPr>
        <w:t xml:space="preserve"> </w:t>
      </w:r>
    </w:p>
    <w:p w14:paraId="54B3BE9B" w14:textId="77777777" w:rsidR="004D1527" w:rsidRPr="004D1527" w:rsidRDefault="004D1527" w:rsidP="005730E3">
      <w:pPr>
        <w:autoSpaceDE w:val="0"/>
        <w:autoSpaceDN w:val="0"/>
        <w:adjustRightInd w:val="0"/>
        <w:spacing w:after="0" w:line="240" w:lineRule="auto"/>
        <w:jc w:val="center"/>
        <w:rPr>
          <w:rFonts w:ascii="Times New Roman" w:hAnsi="Times New Roman" w:cs="Times New Roman"/>
          <w:color w:val="000000"/>
          <w:sz w:val="24"/>
          <w:szCs w:val="24"/>
        </w:rPr>
      </w:pPr>
      <w:r w:rsidRPr="004D1527">
        <w:rPr>
          <w:rFonts w:ascii="Times New Roman" w:hAnsi="Times New Roman" w:cs="Times New Roman"/>
          <w:color w:val="000000"/>
          <w:sz w:val="24"/>
          <w:szCs w:val="24"/>
        </w:rPr>
        <w:t>Fig 6: Frequency of Usage</w:t>
      </w:r>
    </w:p>
    <w:p w14:paraId="0EA41FD8" w14:textId="77777777" w:rsidR="004D1527" w:rsidRPr="004D1527" w:rsidRDefault="004D1527" w:rsidP="005730E3">
      <w:pPr>
        <w:autoSpaceDE w:val="0"/>
        <w:autoSpaceDN w:val="0"/>
        <w:adjustRightInd w:val="0"/>
        <w:spacing w:after="0" w:line="240" w:lineRule="auto"/>
        <w:jc w:val="center"/>
        <w:rPr>
          <w:rFonts w:ascii="Times New Roman" w:hAnsi="Times New Roman" w:cs="Times New Roman"/>
          <w:color w:val="000000"/>
          <w:sz w:val="24"/>
          <w:szCs w:val="24"/>
        </w:rPr>
      </w:pPr>
      <w:r w:rsidRPr="004D1527">
        <w:rPr>
          <w:rFonts w:ascii="Times New Roman" w:hAnsi="Times New Roman" w:cs="Times New Roman"/>
          <w:color w:val="000000"/>
          <w:sz w:val="24"/>
          <w:szCs w:val="24"/>
        </w:rPr>
        <w:t>Source: Author’s field survey, 2023</w:t>
      </w:r>
    </w:p>
    <w:p w14:paraId="49666BA6"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793C9266" w14:textId="0A62A283" w:rsidR="004D1527" w:rsidRPr="00994717"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994717">
        <w:rPr>
          <w:rFonts w:ascii="Times New Roman" w:hAnsi="Times New Roman" w:cs="Times New Roman"/>
          <w:b/>
          <w:bCs/>
          <w:color w:val="000000"/>
          <w:sz w:val="24"/>
          <w:szCs w:val="24"/>
        </w:rPr>
        <w:t>Environmental Qualities of Public Toilets</w:t>
      </w:r>
    </w:p>
    <w:p w14:paraId="23C93DC1"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The nexus of this research is hinged on the environmental quality of public toilets in Ogbomoso. As shown in fig 6, the respondent rates their level of satisfaction from highly satisfied to not satisfied at all on the environmental qualities of the public toilets. Parameters that were measured were the toilet design, cleanliness, air quality, availability of water, lighting, privacy and maintainability. The result shows that users were not satisfied</w:t>
      </w:r>
    </w:p>
    <w:p w14:paraId="294D6A5C" w14:textId="77777777" w:rsidR="00994717" w:rsidRDefault="00994717" w:rsidP="004D1527">
      <w:pPr>
        <w:autoSpaceDE w:val="0"/>
        <w:autoSpaceDN w:val="0"/>
        <w:adjustRightInd w:val="0"/>
        <w:spacing w:after="0" w:line="240" w:lineRule="auto"/>
        <w:jc w:val="both"/>
        <w:rPr>
          <w:rFonts w:ascii="Times New Roman" w:hAnsi="Times New Roman" w:cs="Times New Roman"/>
          <w:color w:val="000000"/>
          <w:sz w:val="24"/>
          <w:szCs w:val="24"/>
        </w:rPr>
      </w:pPr>
    </w:p>
    <w:p w14:paraId="7A52E1C3" w14:textId="1C7E0333"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Respondents rated public toilets based on several environmental parameters:</w:t>
      </w:r>
    </w:p>
    <w:p w14:paraId="58ABEF13"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2325226C" w14:textId="6465A512"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Parameter</w:t>
      </w:r>
      <w:r w:rsidRPr="004D1527">
        <w:rPr>
          <w:rFonts w:ascii="Times New Roman" w:hAnsi="Times New Roman" w:cs="Times New Roman"/>
          <w:color w:val="000000"/>
          <w:sz w:val="24"/>
          <w:szCs w:val="24"/>
        </w:rPr>
        <w:tab/>
      </w:r>
      <w:r w:rsidR="00994717">
        <w:rPr>
          <w:rFonts w:ascii="Times New Roman" w:hAnsi="Times New Roman" w:cs="Times New Roman"/>
          <w:color w:val="000000"/>
          <w:sz w:val="24"/>
          <w:szCs w:val="24"/>
        </w:rPr>
        <w:t xml:space="preserve">                           </w:t>
      </w:r>
      <w:r w:rsidRPr="004D1527">
        <w:rPr>
          <w:rFonts w:ascii="Times New Roman" w:hAnsi="Times New Roman" w:cs="Times New Roman"/>
          <w:color w:val="000000"/>
          <w:sz w:val="24"/>
          <w:szCs w:val="24"/>
        </w:rPr>
        <w:t>Overall Rating (Observation)</w:t>
      </w:r>
    </w:p>
    <w:p w14:paraId="62A652BD" w14:textId="28F3EB53"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Toilet design</w:t>
      </w:r>
      <w:r w:rsidRPr="004D1527">
        <w:rPr>
          <w:rFonts w:ascii="Times New Roman" w:hAnsi="Times New Roman" w:cs="Times New Roman"/>
          <w:color w:val="000000"/>
          <w:sz w:val="24"/>
          <w:szCs w:val="24"/>
        </w:rPr>
        <w:tab/>
      </w:r>
      <w:r w:rsidR="00994717">
        <w:rPr>
          <w:rFonts w:ascii="Times New Roman" w:hAnsi="Times New Roman" w:cs="Times New Roman"/>
          <w:color w:val="000000"/>
          <w:sz w:val="24"/>
          <w:szCs w:val="24"/>
        </w:rPr>
        <w:t xml:space="preserve">                           </w:t>
      </w:r>
      <w:r w:rsidRPr="004D1527">
        <w:rPr>
          <w:rFonts w:ascii="Times New Roman" w:hAnsi="Times New Roman" w:cs="Times New Roman"/>
          <w:color w:val="000000"/>
          <w:sz w:val="24"/>
          <w:szCs w:val="24"/>
        </w:rPr>
        <w:t>Poor (Cramped, inadequate ventilation)</w:t>
      </w:r>
    </w:p>
    <w:p w14:paraId="21C0FDC5" w14:textId="26ED1D4A"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Cleanliness</w:t>
      </w:r>
      <w:r w:rsidRPr="004D1527">
        <w:rPr>
          <w:rFonts w:ascii="Times New Roman" w:hAnsi="Times New Roman" w:cs="Times New Roman"/>
          <w:color w:val="000000"/>
          <w:sz w:val="24"/>
          <w:szCs w:val="24"/>
        </w:rPr>
        <w:tab/>
      </w:r>
      <w:r w:rsidR="00994717">
        <w:rPr>
          <w:rFonts w:ascii="Times New Roman" w:hAnsi="Times New Roman" w:cs="Times New Roman"/>
          <w:color w:val="000000"/>
          <w:sz w:val="24"/>
          <w:szCs w:val="24"/>
        </w:rPr>
        <w:t xml:space="preserve">                           </w:t>
      </w:r>
      <w:r w:rsidRPr="004D1527">
        <w:rPr>
          <w:rFonts w:ascii="Times New Roman" w:hAnsi="Times New Roman" w:cs="Times New Roman"/>
          <w:color w:val="000000"/>
          <w:sz w:val="24"/>
          <w:szCs w:val="24"/>
        </w:rPr>
        <w:t>Unsatisfactory (Presence of stench, dirt, and overflowing bins)</w:t>
      </w:r>
    </w:p>
    <w:p w14:paraId="7E80B6C4" w14:textId="1902254D"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Air quality</w:t>
      </w:r>
      <w:r w:rsidRPr="004D1527">
        <w:rPr>
          <w:rFonts w:ascii="Times New Roman" w:hAnsi="Times New Roman" w:cs="Times New Roman"/>
          <w:color w:val="000000"/>
          <w:sz w:val="24"/>
          <w:szCs w:val="24"/>
        </w:rPr>
        <w:tab/>
      </w:r>
      <w:r w:rsidR="00994717">
        <w:rPr>
          <w:rFonts w:ascii="Times New Roman" w:hAnsi="Times New Roman" w:cs="Times New Roman"/>
          <w:color w:val="000000"/>
          <w:sz w:val="24"/>
          <w:szCs w:val="24"/>
        </w:rPr>
        <w:t xml:space="preserve">                           </w:t>
      </w:r>
      <w:r w:rsidRPr="004D1527">
        <w:rPr>
          <w:rFonts w:ascii="Times New Roman" w:hAnsi="Times New Roman" w:cs="Times New Roman"/>
          <w:color w:val="000000"/>
          <w:sz w:val="24"/>
          <w:szCs w:val="24"/>
        </w:rPr>
        <w:t>Poor (Foul odors and lack of airflow)</w:t>
      </w:r>
    </w:p>
    <w:p w14:paraId="6196539E" w14:textId="7B3330D6"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Water availability</w:t>
      </w:r>
      <w:r w:rsidR="00994717">
        <w:rPr>
          <w:rFonts w:ascii="Times New Roman" w:hAnsi="Times New Roman" w:cs="Times New Roman"/>
          <w:color w:val="000000"/>
          <w:sz w:val="24"/>
          <w:szCs w:val="24"/>
        </w:rPr>
        <w:t xml:space="preserve">                      </w:t>
      </w:r>
      <w:r w:rsidRPr="004D1527">
        <w:rPr>
          <w:rFonts w:ascii="Times New Roman" w:hAnsi="Times New Roman" w:cs="Times New Roman"/>
          <w:color w:val="000000"/>
          <w:sz w:val="24"/>
          <w:szCs w:val="24"/>
        </w:rPr>
        <w:t>Inconsistent</w:t>
      </w:r>
    </w:p>
    <w:p w14:paraId="627B4F72" w14:textId="77777777" w:rsidR="0099471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Lighting</w:t>
      </w:r>
      <w:r w:rsidRPr="004D1527">
        <w:rPr>
          <w:rFonts w:ascii="Times New Roman" w:hAnsi="Times New Roman" w:cs="Times New Roman"/>
          <w:color w:val="000000"/>
          <w:sz w:val="24"/>
          <w:szCs w:val="24"/>
        </w:rPr>
        <w:tab/>
      </w:r>
      <w:r w:rsidR="00994717">
        <w:rPr>
          <w:rFonts w:ascii="Times New Roman" w:hAnsi="Times New Roman" w:cs="Times New Roman"/>
          <w:color w:val="000000"/>
          <w:sz w:val="24"/>
          <w:szCs w:val="24"/>
        </w:rPr>
        <w:t xml:space="preserve">                           </w:t>
      </w:r>
      <w:r w:rsidRPr="004D1527">
        <w:rPr>
          <w:rFonts w:ascii="Times New Roman" w:hAnsi="Times New Roman" w:cs="Times New Roman"/>
          <w:color w:val="000000"/>
          <w:sz w:val="24"/>
          <w:szCs w:val="24"/>
        </w:rPr>
        <w:t xml:space="preserve">Inadequate, especially at night </w:t>
      </w:r>
    </w:p>
    <w:p w14:paraId="04CB1362" w14:textId="3C905011" w:rsidR="0099471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Privacy</w:t>
      </w:r>
      <w:r w:rsidRPr="004D1527">
        <w:rPr>
          <w:rFonts w:ascii="Times New Roman" w:hAnsi="Times New Roman" w:cs="Times New Roman"/>
          <w:color w:val="000000"/>
          <w:sz w:val="24"/>
          <w:szCs w:val="24"/>
        </w:rPr>
        <w:tab/>
      </w:r>
      <w:r w:rsidR="00994717">
        <w:rPr>
          <w:rFonts w:ascii="Times New Roman" w:hAnsi="Times New Roman" w:cs="Times New Roman"/>
          <w:color w:val="000000"/>
          <w:sz w:val="24"/>
          <w:szCs w:val="24"/>
        </w:rPr>
        <w:t xml:space="preserve">                           </w:t>
      </w:r>
      <w:r w:rsidRPr="004D1527">
        <w:rPr>
          <w:rFonts w:ascii="Times New Roman" w:hAnsi="Times New Roman" w:cs="Times New Roman"/>
          <w:color w:val="000000"/>
          <w:sz w:val="24"/>
          <w:szCs w:val="24"/>
        </w:rPr>
        <w:t xml:space="preserve">Low (Lack of gender segregation) </w:t>
      </w:r>
    </w:p>
    <w:p w14:paraId="5F12BBA6" w14:textId="704C6426"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Maintenance</w:t>
      </w:r>
      <w:r w:rsidRPr="004D1527">
        <w:rPr>
          <w:rFonts w:ascii="Times New Roman" w:hAnsi="Times New Roman" w:cs="Times New Roman"/>
          <w:color w:val="000000"/>
          <w:sz w:val="24"/>
          <w:szCs w:val="24"/>
        </w:rPr>
        <w:tab/>
      </w:r>
      <w:r w:rsidR="00994717">
        <w:rPr>
          <w:rFonts w:ascii="Times New Roman" w:hAnsi="Times New Roman" w:cs="Times New Roman"/>
          <w:color w:val="000000"/>
          <w:sz w:val="24"/>
          <w:szCs w:val="24"/>
        </w:rPr>
        <w:t xml:space="preserve">                           </w:t>
      </w:r>
      <w:r w:rsidRPr="004D1527">
        <w:rPr>
          <w:rFonts w:ascii="Times New Roman" w:hAnsi="Times New Roman" w:cs="Times New Roman"/>
          <w:color w:val="000000"/>
          <w:sz w:val="24"/>
          <w:szCs w:val="24"/>
        </w:rPr>
        <w:t>Irregular cleaning schedules</w:t>
      </w:r>
    </w:p>
    <w:p w14:paraId="60AE5EF7" w14:textId="77777777" w:rsidR="00994717" w:rsidRDefault="00994717" w:rsidP="004D1527">
      <w:pPr>
        <w:autoSpaceDE w:val="0"/>
        <w:autoSpaceDN w:val="0"/>
        <w:adjustRightInd w:val="0"/>
        <w:spacing w:after="0" w:line="240" w:lineRule="auto"/>
        <w:jc w:val="both"/>
        <w:rPr>
          <w:rFonts w:ascii="Times New Roman" w:hAnsi="Times New Roman" w:cs="Times New Roman"/>
          <w:color w:val="000000"/>
          <w:sz w:val="24"/>
          <w:szCs w:val="24"/>
        </w:rPr>
      </w:pPr>
    </w:p>
    <w:p w14:paraId="6CB5B4AE" w14:textId="3DAAE8B6"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The majority of respondents were either “dissatisfied” or “not satisfied at all” with the facilities. The situation was worse during peak hours, with queues forming due to limited availability.</w:t>
      </w:r>
    </w:p>
    <w:p w14:paraId="11E16E33"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104D5F17"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0345B08E"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7E69F6E4"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423195FE"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10D6391D" w14:textId="791DD380" w:rsidR="004D1527" w:rsidRPr="004D1527" w:rsidRDefault="00994717" w:rsidP="004D1527">
      <w:pPr>
        <w:autoSpaceDE w:val="0"/>
        <w:autoSpaceDN w:val="0"/>
        <w:adjustRightInd w:val="0"/>
        <w:spacing w:after="0" w:line="240" w:lineRule="auto"/>
        <w:jc w:val="both"/>
        <w:rPr>
          <w:rFonts w:ascii="Times New Roman" w:hAnsi="Times New Roman" w:cs="Times New Roman"/>
          <w:color w:val="000000"/>
          <w:sz w:val="24"/>
          <w:szCs w:val="24"/>
        </w:rPr>
      </w:pPr>
      <w:r>
        <w:rPr>
          <w:noProof/>
        </w:rPr>
        <w:lastRenderedPageBreak/>
        <mc:AlternateContent>
          <mc:Choice Requires="wpg">
            <w:drawing>
              <wp:anchor distT="0" distB="0" distL="0" distR="0" simplePos="0" relativeHeight="251725824" behindDoc="1" locked="0" layoutInCell="1" allowOverlap="1" wp14:anchorId="450C8862" wp14:editId="02E21CC3">
                <wp:simplePos x="0" y="0"/>
                <wp:positionH relativeFrom="page">
                  <wp:posOffset>847725</wp:posOffset>
                </wp:positionH>
                <wp:positionV relativeFrom="paragraph">
                  <wp:posOffset>3175</wp:posOffset>
                </wp:positionV>
                <wp:extent cx="5838825" cy="3582670"/>
                <wp:effectExtent l="0" t="0" r="9525" b="17780"/>
                <wp:wrapTopAndBottom/>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8825" cy="3582670"/>
                          <a:chOff x="0" y="0"/>
                          <a:chExt cx="5785485" cy="3583304"/>
                        </a:xfrm>
                      </wpg:grpSpPr>
                      <pic:pic xmlns:pic="http://schemas.openxmlformats.org/drawingml/2006/picture">
                        <pic:nvPicPr>
                          <pic:cNvPr id="74" name="Image 74"/>
                          <pic:cNvPicPr/>
                        </pic:nvPicPr>
                        <pic:blipFill>
                          <a:blip r:embed="rId262" cstate="print"/>
                          <a:stretch>
                            <a:fillRect/>
                          </a:stretch>
                        </pic:blipFill>
                        <pic:spPr>
                          <a:xfrm>
                            <a:off x="1102214" y="502546"/>
                            <a:ext cx="4392239" cy="1314817"/>
                          </a:xfrm>
                          <a:prstGeom prst="rect">
                            <a:avLst/>
                          </a:prstGeom>
                        </pic:spPr>
                      </pic:pic>
                      <pic:pic xmlns:pic="http://schemas.openxmlformats.org/drawingml/2006/picture">
                        <pic:nvPicPr>
                          <pic:cNvPr id="75" name="Image 75"/>
                          <pic:cNvPicPr/>
                        </pic:nvPicPr>
                        <pic:blipFill>
                          <a:blip r:embed="rId263" cstate="print"/>
                          <a:stretch>
                            <a:fillRect/>
                          </a:stretch>
                        </pic:blipFill>
                        <pic:spPr>
                          <a:xfrm>
                            <a:off x="212597" y="1926463"/>
                            <a:ext cx="3721989" cy="1217676"/>
                          </a:xfrm>
                          <a:prstGeom prst="rect">
                            <a:avLst/>
                          </a:prstGeom>
                        </pic:spPr>
                      </pic:pic>
                      <pic:pic xmlns:pic="http://schemas.openxmlformats.org/drawingml/2006/picture">
                        <pic:nvPicPr>
                          <pic:cNvPr id="76" name="Image 76"/>
                          <pic:cNvPicPr/>
                        </pic:nvPicPr>
                        <pic:blipFill>
                          <a:blip r:embed="rId264" cstate="print"/>
                          <a:stretch>
                            <a:fillRect/>
                          </a:stretch>
                        </pic:blipFill>
                        <pic:spPr>
                          <a:xfrm>
                            <a:off x="4071492" y="1925573"/>
                            <a:ext cx="1155446" cy="730503"/>
                          </a:xfrm>
                          <a:prstGeom prst="rect">
                            <a:avLst/>
                          </a:prstGeom>
                        </pic:spPr>
                      </pic:pic>
                      <wps:wsp>
                        <wps:cNvPr id="77" name="Graphic 77"/>
                        <wps:cNvSpPr/>
                        <wps:spPr>
                          <a:xfrm>
                            <a:off x="856488" y="3363467"/>
                            <a:ext cx="62865" cy="62865"/>
                          </a:xfrm>
                          <a:custGeom>
                            <a:avLst/>
                            <a:gdLst/>
                            <a:ahLst/>
                            <a:cxnLst/>
                            <a:rect l="l" t="t" r="r" b="b"/>
                            <a:pathLst>
                              <a:path w="62865" h="62865">
                                <a:moveTo>
                                  <a:pt x="62483" y="0"/>
                                </a:moveTo>
                                <a:lnTo>
                                  <a:pt x="0" y="0"/>
                                </a:lnTo>
                                <a:lnTo>
                                  <a:pt x="0" y="62484"/>
                                </a:lnTo>
                                <a:lnTo>
                                  <a:pt x="62483" y="62484"/>
                                </a:lnTo>
                                <a:lnTo>
                                  <a:pt x="62483" y="0"/>
                                </a:lnTo>
                                <a:close/>
                              </a:path>
                            </a:pathLst>
                          </a:custGeom>
                          <a:solidFill>
                            <a:srgbClr val="5B9BD4"/>
                          </a:solidFill>
                        </wps:spPr>
                        <wps:bodyPr wrap="square" lIns="0" tIns="0" rIns="0" bIns="0" rtlCol="0">
                          <a:prstTxWarp prst="textNoShape">
                            <a:avLst/>
                          </a:prstTxWarp>
                          <a:noAutofit/>
                        </wps:bodyPr>
                      </wps:wsp>
                      <wps:wsp>
                        <wps:cNvPr id="78" name="Graphic 78"/>
                        <wps:cNvSpPr/>
                        <wps:spPr>
                          <a:xfrm>
                            <a:off x="1813560" y="3363467"/>
                            <a:ext cx="62865" cy="62865"/>
                          </a:xfrm>
                          <a:custGeom>
                            <a:avLst/>
                            <a:gdLst/>
                            <a:ahLst/>
                            <a:cxnLst/>
                            <a:rect l="l" t="t" r="r" b="b"/>
                            <a:pathLst>
                              <a:path w="62865" h="62865">
                                <a:moveTo>
                                  <a:pt x="62483" y="0"/>
                                </a:moveTo>
                                <a:lnTo>
                                  <a:pt x="0" y="0"/>
                                </a:lnTo>
                                <a:lnTo>
                                  <a:pt x="0" y="62484"/>
                                </a:lnTo>
                                <a:lnTo>
                                  <a:pt x="62483" y="62484"/>
                                </a:lnTo>
                                <a:lnTo>
                                  <a:pt x="62483" y="0"/>
                                </a:lnTo>
                                <a:close/>
                              </a:path>
                            </a:pathLst>
                          </a:custGeom>
                          <a:solidFill>
                            <a:srgbClr val="EC7C30"/>
                          </a:solidFill>
                        </wps:spPr>
                        <wps:bodyPr wrap="square" lIns="0" tIns="0" rIns="0" bIns="0" rtlCol="0">
                          <a:prstTxWarp prst="textNoShape">
                            <a:avLst/>
                          </a:prstTxWarp>
                          <a:noAutofit/>
                        </wps:bodyPr>
                      </wps:wsp>
                      <wps:wsp>
                        <wps:cNvPr id="79" name="Graphic 79"/>
                        <wps:cNvSpPr/>
                        <wps:spPr>
                          <a:xfrm>
                            <a:off x="2455164" y="3363467"/>
                            <a:ext cx="62865" cy="62865"/>
                          </a:xfrm>
                          <a:custGeom>
                            <a:avLst/>
                            <a:gdLst/>
                            <a:ahLst/>
                            <a:cxnLst/>
                            <a:rect l="l" t="t" r="r" b="b"/>
                            <a:pathLst>
                              <a:path w="62865" h="62865">
                                <a:moveTo>
                                  <a:pt x="62484" y="0"/>
                                </a:moveTo>
                                <a:lnTo>
                                  <a:pt x="0" y="0"/>
                                </a:lnTo>
                                <a:lnTo>
                                  <a:pt x="0" y="62484"/>
                                </a:lnTo>
                                <a:lnTo>
                                  <a:pt x="62484" y="62484"/>
                                </a:lnTo>
                                <a:lnTo>
                                  <a:pt x="62484" y="0"/>
                                </a:lnTo>
                                <a:close/>
                              </a:path>
                            </a:pathLst>
                          </a:custGeom>
                          <a:solidFill>
                            <a:srgbClr val="A4A4A4"/>
                          </a:solidFill>
                        </wps:spPr>
                        <wps:bodyPr wrap="square" lIns="0" tIns="0" rIns="0" bIns="0" rtlCol="0">
                          <a:prstTxWarp prst="textNoShape">
                            <a:avLst/>
                          </a:prstTxWarp>
                          <a:noAutofit/>
                        </wps:bodyPr>
                      </wps:wsp>
                      <wps:wsp>
                        <wps:cNvPr id="80" name="Graphic 80"/>
                        <wps:cNvSpPr/>
                        <wps:spPr>
                          <a:xfrm>
                            <a:off x="3200400" y="3363467"/>
                            <a:ext cx="62865" cy="62865"/>
                          </a:xfrm>
                          <a:custGeom>
                            <a:avLst/>
                            <a:gdLst/>
                            <a:ahLst/>
                            <a:cxnLst/>
                            <a:rect l="l" t="t" r="r" b="b"/>
                            <a:pathLst>
                              <a:path w="62865" h="62865">
                                <a:moveTo>
                                  <a:pt x="62484" y="0"/>
                                </a:moveTo>
                                <a:lnTo>
                                  <a:pt x="0" y="0"/>
                                </a:lnTo>
                                <a:lnTo>
                                  <a:pt x="0" y="62484"/>
                                </a:lnTo>
                                <a:lnTo>
                                  <a:pt x="62484" y="62484"/>
                                </a:lnTo>
                                <a:lnTo>
                                  <a:pt x="62484" y="0"/>
                                </a:lnTo>
                                <a:close/>
                              </a:path>
                            </a:pathLst>
                          </a:custGeom>
                          <a:solidFill>
                            <a:srgbClr val="FFC000"/>
                          </a:solidFill>
                        </wps:spPr>
                        <wps:bodyPr wrap="square" lIns="0" tIns="0" rIns="0" bIns="0" rtlCol="0">
                          <a:prstTxWarp prst="textNoShape">
                            <a:avLst/>
                          </a:prstTxWarp>
                          <a:noAutofit/>
                        </wps:bodyPr>
                      </wps:wsp>
                      <wps:wsp>
                        <wps:cNvPr id="81" name="Graphic 81"/>
                        <wps:cNvSpPr/>
                        <wps:spPr>
                          <a:xfrm>
                            <a:off x="4040123" y="3363467"/>
                            <a:ext cx="64135" cy="62865"/>
                          </a:xfrm>
                          <a:custGeom>
                            <a:avLst/>
                            <a:gdLst/>
                            <a:ahLst/>
                            <a:cxnLst/>
                            <a:rect l="l" t="t" r="r" b="b"/>
                            <a:pathLst>
                              <a:path w="64135" h="62865">
                                <a:moveTo>
                                  <a:pt x="64008" y="0"/>
                                </a:moveTo>
                                <a:lnTo>
                                  <a:pt x="0" y="0"/>
                                </a:lnTo>
                                <a:lnTo>
                                  <a:pt x="0" y="62484"/>
                                </a:lnTo>
                                <a:lnTo>
                                  <a:pt x="64008" y="62484"/>
                                </a:lnTo>
                                <a:lnTo>
                                  <a:pt x="64008" y="0"/>
                                </a:lnTo>
                                <a:close/>
                              </a:path>
                            </a:pathLst>
                          </a:custGeom>
                          <a:solidFill>
                            <a:srgbClr val="4471C4"/>
                          </a:solidFill>
                        </wps:spPr>
                        <wps:bodyPr wrap="square" lIns="0" tIns="0" rIns="0" bIns="0" rtlCol="0">
                          <a:prstTxWarp prst="textNoShape">
                            <a:avLst/>
                          </a:prstTxWarp>
                          <a:noAutofit/>
                        </wps:bodyPr>
                      </wps:wsp>
                      <wps:wsp>
                        <wps:cNvPr id="82" name="Graphic 82"/>
                        <wps:cNvSpPr/>
                        <wps:spPr>
                          <a:xfrm>
                            <a:off x="4572" y="4572"/>
                            <a:ext cx="5775960" cy="3573779"/>
                          </a:xfrm>
                          <a:custGeom>
                            <a:avLst/>
                            <a:gdLst/>
                            <a:ahLst/>
                            <a:cxnLst/>
                            <a:rect l="l" t="t" r="r" b="b"/>
                            <a:pathLst>
                              <a:path w="5775960" h="3573779">
                                <a:moveTo>
                                  <a:pt x="0" y="3573779"/>
                                </a:moveTo>
                                <a:lnTo>
                                  <a:pt x="5775959" y="3573779"/>
                                </a:lnTo>
                                <a:lnTo>
                                  <a:pt x="5775959" y="0"/>
                                </a:lnTo>
                                <a:lnTo>
                                  <a:pt x="0" y="0"/>
                                </a:lnTo>
                                <a:lnTo>
                                  <a:pt x="0" y="3573779"/>
                                </a:lnTo>
                                <a:close/>
                              </a:path>
                            </a:pathLst>
                          </a:custGeom>
                          <a:ln w="9144">
                            <a:solidFill>
                              <a:srgbClr val="D9D9D9"/>
                            </a:solidFill>
                            <a:prstDash val="solid"/>
                          </a:ln>
                        </wps:spPr>
                        <wps:bodyPr wrap="square" lIns="0" tIns="0" rIns="0" bIns="0" rtlCol="0">
                          <a:prstTxWarp prst="textNoShape">
                            <a:avLst/>
                          </a:prstTxWarp>
                          <a:noAutofit/>
                        </wps:bodyPr>
                      </wps:wsp>
                      <wps:wsp>
                        <wps:cNvPr id="83" name="Textbox 83"/>
                        <wps:cNvSpPr txBox="1"/>
                        <wps:spPr>
                          <a:xfrm>
                            <a:off x="2027554" y="135762"/>
                            <a:ext cx="1744345" cy="178435"/>
                          </a:xfrm>
                          <a:prstGeom prst="rect">
                            <a:avLst/>
                          </a:prstGeom>
                        </wps:spPr>
                        <wps:txbx>
                          <w:txbxContent>
                            <w:p w14:paraId="2A08E6A5" w14:textId="77777777" w:rsidR="00994717" w:rsidRDefault="00994717" w:rsidP="00994717">
                              <w:pPr>
                                <w:spacing w:line="281" w:lineRule="exact"/>
                                <w:rPr>
                                  <w:rFonts w:ascii="Calibri"/>
                                  <w:sz w:val="28"/>
                                </w:rPr>
                              </w:pPr>
                              <w:r>
                                <w:rPr>
                                  <w:rFonts w:ascii="Calibri"/>
                                  <w:color w:val="585858"/>
                                  <w:spacing w:val="-2"/>
                                  <w:sz w:val="28"/>
                                </w:rPr>
                                <w:t>Environmental</w:t>
                              </w:r>
                              <w:r>
                                <w:rPr>
                                  <w:rFonts w:ascii="Calibri"/>
                                  <w:color w:val="585858"/>
                                  <w:spacing w:val="2"/>
                                  <w:sz w:val="28"/>
                                </w:rPr>
                                <w:t xml:space="preserve"> </w:t>
                              </w:r>
                              <w:r>
                                <w:rPr>
                                  <w:rFonts w:ascii="Calibri"/>
                                  <w:color w:val="585858"/>
                                  <w:spacing w:val="-2"/>
                                  <w:sz w:val="28"/>
                                </w:rPr>
                                <w:t>Qualities</w:t>
                              </w:r>
                            </w:p>
                          </w:txbxContent>
                        </wps:txbx>
                        <wps:bodyPr wrap="square" lIns="0" tIns="0" rIns="0" bIns="0" rtlCol="0">
                          <a:noAutofit/>
                        </wps:bodyPr>
                      </wps:wsp>
                      <wps:wsp>
                        <wps:cNvPr id="84" name="Textbox 84"/>
                        <wps:cNvSpPr txBox="1"/>
                        <wps:spPr>
                          <a:xfrm>
                            <a:off x="896111" y="509523"/>
                            <a:ext cx="128905" cy="1011555"/>
                          </a:xfrm>
                          <a:prstGeom prst="rect">
                            <a:avLst/>
                          </a:prstGeom>
                        </wps:spPr>
                        <wps:txbx>
                          <w:txbxContent>
                            <w:p w14:paraId="3285186A" w14:textId="77777777" w:rsidR="00994717" w:rsidRDefault="00994717" w:rsidP="00994717">
                              <w:pPr>
                                <w:spacing w:line="183" w:lineRule="exact"/>
                                <w:rPr>
                                  <w:rFonts w:ascii="Calibri"/>
                                  <w:sz w:val="18"/>
                                </w:rPr>
                              </w:pPr>
                              <w:r>
                                <w:rPr>
                                  <w:rFonts w:ascii="Calibri"/>
                                  <w:color w:val="585858"/>
                                  <w:spacing w:val="-5"/>
                                  <w:sz w:val="18"/>
                                </w:rPr>
                                <w:t>70</w:t>
                              </w:r>
                            </w:p>
                            <w:p w14:paraId="3706777F" w14:textId="77777777" w:rsidR="00994717" w:rsidRDefault="00994717" w:rsidP="00994717">
                              <w:pPr>
                                <w:spacing w:before="62"/>
                                <w:rPr>
                                  <w:rFonts w:ascii="Calibri"/>
                                  <w:sz w:val="18"/>
                                </w:rPr>
                              </w:pPr>
                              <w:r>
                                <w:rPr>
                                  <w:rFonts w:ascii="Calibri"/>
                                  <w:color w:val="585858"/>
                                  <w:spacing w:val="-5"/>
                                  <w:sz w:val="18"/>
                                </w:rPr>
                                <w:t>60</w:t>
                              </w:r>
                            </w:p>
                            <w:p w14:paraId="0E230693" w14:textId="77777777" w:rsidR="00994717" w:rsidRDefault="00994717" w:rsidP="00994717">
                              <w:pPr>
                                <w:spacing w:before="63"/>
                                <w:rPr>
                                  <w:rFonts w:ascii="Calibri"/>
                                  <w:sz w:val="18"/>
                                </w:rPr>
                              </w:pPr>
                              <w:r>
                                <w:rPr>
                                  <w:rFonts w:ascii="Calibri"/>
                                  <w:color w:val="585858"/>
                                  <w:spacing w:val="-5"/>
                                  <w:sz w:val="18"/>
                                </w:rPr>
                                <w:t>50</w:t>
                              </w:r>
                            </w:p>
                            <w:p w14:paraId="70BFFB28" w14:textId="77777777" w:rsidR="00994717" w:rsidRDefault="00994717" w:rsidP="00994717">
                              <w:pPr>
                                <w:spacing w:before="63"/>
                                <w:rPr>
                                  <w:rFonts w:ascii="Calibri"/>
                                  <w:sz w:val="18"/>
                                </w:rPr>
                              </w:pPr>
                              <w:r>
                                <w:rPr>
                                  <w:rFonts w:ascii="Calibri"/>
                                  <w:color w:val="585858"/>
                                  <w:spacing w:val="-5"/>
                                  <w:sz w:val="18"/>
                                </w:rPr>
                                <w:t>40</w:t>
                              </w:r>
                            </w:p>
                            <w:p w14:paraId="101331DC" w14:textId="77777777" w:rsidR="00994717" w:rsidRDefault="00994717" w:rsidP="00994717">
                              <w:pPr>
                                <w:spacing w:before="62"/>
                                <w:rPr>
                                  <w:rFonts w:ascii="Calibri"/>
                                  <w:sz w:val="18"/>
                                </w:rPr>
                              </w:pPr>
                              <w:r>
                                <w:rPr>
                                  <w:rFonts w:ascii="Calibri"/>
                                  <w:color w:val="585858"/>
                                  <w:spacing w:val="-5"/>
                                  <w:sz w:val="18"/>
                                </w:rPr>
                                <w:t>30</w:t>
                              </w:r>
                            </w:p>
                            <w:p w14:paraId="4B6C7001" w14:textId="77777777" w:rsidR="00994717" w:rsidRDefault="00994717" w:rsidP="00994717">
                              <w:pPr>
                                <w:spacing w:before="63" w:line="216" w:lineRule="exact"/>
                                <w:rPr>
                                  <w:rFonts w:ascii="Calibri"/>
                                  <w:sz w:val="18"/>
                                </w:rPr>
                              </w:pPr>
                              <w:r>
                                <w:rPr>
                                  <w:rFonts w:ascii="Calibri"/>
                                  <w:color w:val="585858"/>
                                  <w:spacing w:val="-5"/>
                                  <w:sz w:val="18"/>
                                </w:rPr>
                                <w:t>20</w:t>
                              </w:r>
                            </w:p>
                          </w:txbxContent>
                        </wps:txbx>
                        <wps:bodyPr wrap="square" lIns="0" tIns="0" rIns="0" bIns="0" rtlCol="0">
                          <a:noAutofit/>
                        </wps:bodyPr>
                      </wps:wsp>
                      <wps:wsp>
                        <wps:cNvPr id="85" name="Textbox 85"/>
                        <wps:cNvSpPr txBox="1"/>
                        <wps:spPr>
                          <a:xfrm>
                            <a:off x="1359153" y="549148"/>
                            <a:ext cx="128905" cy="114300"/>
                          </a:xfrm>
                          <a:prstGeom prst="rect">
                            <a:avLst/>
                          </a:prstGeom>
                        </wps:spPr>
                        <wps:txbx>
                          <w:txbxContent>
                            <w:p w14:paraId="1A11C137" w14:textId="77777777" w:rsidR="00994717" w:rsidRDefault="00994717" w:rsidP="00994717">
                              <w:pPr>
                                <w:spacing w:line="180" w:lineRule="exact"/>
                                <w:rPr>
                                  <w:rFonts w:ascii="Calibri"/>
                                  <w:sz w:val="18"/>
                                </w:rPr>
                              </w:pPr>
                              <w:r>
                                <w:rPr>
                                  <w:rFonts w:ascii="Calibri"/>
                                  <w:color w:val="404040"/>
                                  <w:spacing w:val="-5"/>
                                  <w:sz w:val="18"/>
                                </w:rPr>
                                <w:t>60</w:t>
                              </w:r>
                            </w:p>
                          </w:txbxContent>
                        </wps:txbx>
                        <wps:bodyPr wrap="square" lIns="0" tIns="0" rIns="0" bIns="0" rtlCol="0">
                          <a:noAutofit/>
                        </wps:bodyPr>
                      </wps:wsp>
                      <wps:wsp>
                        <wps:cNvPr id="86" name="Textbox 86"/>
                        <wps:cNvSpPr txBox="1"/>
                        <wps:spPr>
                          <a:xfrm>
                            <a:off x="1789810" y="513206"/>
                            <a:ext cx="128905" cy="114300"/>
                          </a:xfrm>
                          <a:prstGeom prst="rect">
                            <a:avLst/>
                          </a:prstGeom>
                        </wps:spPr>
                        <wps:txbx>
                          <w:txbxContent>
                            <w:p w14:paraId="362E0F35" w14:textId="77777777" w:rsidR="00994717" w:rsidRDefault="00994717" w:rsidP="00994717">
                              <w:pPr>
                                <w:spacing w:line="180" w:lineRule="exact"/>
                                <w:rPr>
                                  <w:rFonts w:ascii="Calibri"/>
                                  <w:sz w:val="18"/>
                                </w:rPr>
                              </w:pPr>
                              <w:r>
                                <w:rPr>
                                  <w:rFonts w:ascii="Calibri"/>
                                  <w:color w:val="404040"/>
                                  <w:spacing w:val="-5"/>
                                  <w:sz w:val="18"/>
                                </w:rPr>
                                <w:t>62</w:t>
                              </w:r>
                            </w:p>
                          </w:txbxContent>
                        </wps:txbx>
                        <wps:bodyPr wrap="square" lIns="0" tIns="0" rIns="0" bIns="0" rtlCol="0">
                          <a:noAutofit/>
                        </wps:bodyPr>
                      </wps:wsp>
                      <wps:wsp>
                        <wps:cNvPr id="87" name="Textbox 87"/>
                        <wps:cNvSpPr txBox="1"/>
                        <wps:spPr>
                          <a:xfrm>
                            <a:off x="2220467" y="674751"/>
                            <a:ext cx="128905" cy="114300"/>
                          </a:xfrm>
                          <a:prstGeom prst="rect">
                            <a:avLst/>
                          </a:prstGeom>
                        </wps:spPr>
                        <wps:txbx>
                          <w:txbxContent>
                            <w:p w14:paraId="200A2EE2" w14:textId="77777777" w:rsidR="00994717" w:rsidRDefault="00994717" w:rsidP="00994717">
                              <w:pPr>
                                <w:spacing w:line="180" w:lineRule="exact"/>
                                <w:rPr>
                                  <w:rFonts w:ascii="Calibri"/>
                                  <w:sz w:val="18"/>
                                </w:rPr>
                              </w:pPr>
                              <w:r>
                                <w:rPr>
                                  <w:rFonts w:ascii="Calibri"/>
                                  <w:color w:val="404040"/>
                                  <w:spacing w:val="-5"/>
                                  <w:sz w:val="18"/>
                                </w:rPr>
                                <w:t>53</w:t>
                              </w:r>
                            </w:p>
                          </w:txbxContent>
                        </wps:txbx>
                        <wps:bodyPr wrap="square" lIns="0" tIns="0" rIns="0" bIns="0" rtlCol="0">
                          <a:noAutofit/>
                        </wps:bodyPr>
                      </wps:wsp>
                      <wps:wsp>
                        <wps:cNvPr id="88" name="Textbox 88"/>
                        <wps:cNvSpPr txBox="1"/>
                        <wps:spPr>
                          <a:xfrm>
                            <a:off x="4009009" y="692404"/>
                            <a:ext cx="128905" cy="114300"/>
                          </a:xfrm>
                          <a:prstGeom prst="rect">
                            <a:avLst/>
                          </a:prstGeom>
                        </wps:spPr>
                        <wps:txbx>
                          <w:txbxContent>
                            <w:p w14:paraId="41B56AA5" w14:textId="77777777" w:rsidR="00994717" w:rsidRDefault="00994717" w:rsidP="00994717">
                              <w:pPr>
                                <w:spacing w:line="180" w:lineRule="exact"/>
                                <w:rPr>
                                  <w:rFonts w:ascii="Calibri"/>
                                  <w:sz w:val="18"/>
                                </w:rPr>
                              </w:pPr>
                              <w:r>
                                <w:rPr>
                                  <w:rFonts w:ascii="Calibri"/>
                                  <w:color w:val="404040"/>
                                  <w:spacing w:val="-5"/>
                                  <w:sz w:val="18"/>
                                </w:rPr>
                                <w:t>52</w:t>
                              </w:r>
                            </w:p>
                          </w:txbxContent>
                        </wps:txbx>
                        <wps:bodyPr wrap="square" lIns="0" tIns="0" rIns="0" bIns="0" rtlCol="0">
                          <a:noAutofit/>
                        </wps:bodyPr>
                      </wps:wsp>
                      <wps:wsp>
                        <wps:cNvPr id="89" name="Textbox 89"/>
                        <wps:cNvSpPr txBox="1"/>
                        <wps:spPr>
                          <a:xfrm>
                            <a:off x="4307078" y="961516"/>
                            <a:ext cx="128905" cy="114300"/>
                          </a:xfrm>
                          <a:prstGeom prst="rect">
                            <a:avLst/>
                          </a:prstGeom>
                        </wps:spPr>
                        <wps:txbx>
                          <w:txbxContent>
                            <w:p w14:paraId="67C90DE9" w14:textId="77777777" w:rsidR="00994717" w:rsidRDefault="00994717" w:rsidP="00994717">
                              <w:pPr>
                                <w:spacing w:line="180" w:lineRule="exact"/>
                                <w:rPr>
                                  <w:rFonts w:ascii="Calibri"/>
                                  <w:sz w:val="18"/>
                                </w:rPr>
                              </w:pPr>
                              <w:r>
                                <w:rPr>
                                  <w:rFonts w:ascii="Calibri"/>
                                  <w:color w:val="404040"/>
                                  <w:spacing w:val="-5"/>
                                  <w:sz w:val="18"/>
                                </w:rPr>
                                <w:t>37</w:t>
                              </w:r>
                            </w:p>
                          </w:txbxContent>
                        </wps:txbx>
                        <wps:bodyPr wrap="square" lIns="0" tIns="0" rIns="0" bIns="0" rtlCol="0">
                          <a:noAutofit/>
                        </wps:bodyPr>
                      </wps:wsp>
                      <wps:wsp>
                        <wps:cNvPr id="90" name="Textbox 90"/>
                        <wps:cNvSpPr txBox="1"/>
                        <wps:spPr>
                          <a:xfrm>
                            <a:off x="4737861" y="1069213"/>
                            <a:ext cx="128905" cy="114300"/>
                          </a:xfrm>
                          <a:prstGeom prst="rect">
                            <a:avLst/>
                          </a:prstGeom>
                        </wps:spPr>
                        <wps:txbx>
                          <w:txbxContent>
                            <w:p w14:paraId="272798E9" w14:textId="77777777" w:rsidR="00994717" w:rsidRDefault="00994717" w:rsidP="00994717">
                              <w:pPr>
                                <w:spacing w:line="180" w:lineRule="exact"/>
                                <w:rPr>
                                  <w:rFonts w:ascii="Calibri"/>
                                  <w:sz w:val="18"/>
                                </w:rPr>
                              </w:pPr>
                              <w:r>
                                <w:rPr>
                                  <w:rFonts w:ascii="Calibri"/>
                                  <w:color w:val="404040"/>
                                  <w:spacing w:val="-5"/>
                                  <w:sz w:val="18"/>
                                </w:rPr>
                                <w:t>31</w:t>
                              </w:r>
                            </w:p>
                          </w:txbxContent>
                        </wps:txbx>
                        <wps:bodyPr wrap="square" lIns="0" tIns="0" rIns="0" bIns="0" rtlCol="0">
                          <a:noAutofit/>
                        </wps:bodyPr>
                      </wps:wsp>
                      <wps:wsp>
                        <wps:cNvPr id="91" name="Textbox 91"/>
                        <wps:cNvSpPr txBox="1"/>
                        <wps:spPr>
                          <a:xfrm>
                            <a:off x="896111" y="1585467"/>
                            <a:ext cx="128905" cy="294005"/>
                          </a:xfrm>
                          <a:prstGeom prst="rect">
                            <a:avLst/>
                          </a:prstGeom>
                        </wps:spPr>
                        <wps:txbx>
                          <w:txbxContent>
                            <w:p w14:paraId="3521E063" w14:textId="77777777" w:rsidR="00994717" w:rsidRDefault="00994717" w:rsidP="00994717">
                              <w:pPr>
                                <w:spacing w:line="183" w:lineRule="exact"/>
                                <w:rPr>
                                  <w:rFonts w:ascii="Calibri"/>
                                  <w:sz w:val="18"/>
                                </w:rPr>
                              </w:pPr>
                              <w:r>
                                <w:rPr>
                                  <w:rFonts w:ascii="Calibri"/>
                                  <w:color w:val="585858"/>
                                  <w:spacing w:val="-5"/>
                                  <w:sz w:val="18"/>
                                </w:rPr>
                                <w:t>10</w:t>
                              </w:r>
                            </w:p>
                            <w:p w14:paraId="6FAA0337" w14:textId="77777777" w:rsidR="00994717" w:rsidRDefault="00994717" w:rsidP="00994717">
                              <w:pPr>
                                <w:spacing w:before="63" w:line="216" w:lineRule="exact"/>
                                <w:ind w:left="91"/>
                                <w:rPr>
                                  <w:rFonts w:ascii="Calibri"/>
                                  <w:sz w:val="18"/>
                                </w:rPr>
                              </w:pPr>
                              <w:r>
                                <w:rPr>
                                  <w:rFonts w:ascii="Calibri"/>
                                  <w:color w:val="585858"/>
                                  <w:spacing w:val="-10"/>
                                  <w:sz w:val="18"/>
                                </w:rPr>
                                <w:t>0</w:t>
                              </w:r>
                            </w:p>
                          </w:txbxContent>
                        </wps:txbx>
                        <wps:bodyPr wrap="square" lIns="0" tIns="0" rIns="0" bIns="0" rtlCol="0">
                          <a:noAutofit/>
                        </wps:bodyPr>
                      </wps:wsp>
                      <wps:wsp>
                        <wps:cNvPr id="92" name="Textbox 92"/>
                        <wps:cNvSpPr txBox="1"/>
                        <wps:spPr>
                          <a:xfrm>
                            <a:off x="1189355" y="1625091"/>
                            <a:ext cx="71120" cy="114300"/>
                          </a:xfrm>
                          <a:prstGeom prst="rect">
                            <a:avLst/>
                          </a:prstGeom>
                        </wps:spPr>
                        <wps:txbx>
                          <w:txbxContent>
                            <w:p w14:paraId="684A393B" w14:textId="77777777" w:rsidR="00994717" w:rsidRDefault="00994717" w:rsidP="00994717">
                              <w:pPr>
                                <w:spacing w:line="180" w:lineRule="exact"/>
                                <w:rPr>
                                  <w:rFonts w:ascii="Calibri"/>
                                  <w:sz w:val="18"/>
                                </w:rPr>
                              </w:pPr>
                              <w:r>
                                <w:rPr>
                                  <w:rFonts w:ascii="Calibri"/>
                                  <w:color w:val="404040"/>
                                  <w:spacing w:val="-10"/>
                                  <w:sz w:val="18"/>
                                </w:rPr>
                                <w:t>0</w:t>
                              </w:r>
                            </w:p>
                          </w:txbxContent>
                        </wps:txbx>
                        <wps:bodyPr wrap="square" lIns="0" tIns="0" rIns="0" bIns="0" rtlCol="0">
                          <a:noAutofit/>
                        </wps:bodyPr>
                      </wps:wsp>
                      <wps:wsp>
                        <wps:cNvPr id="93" name="Textbox 93"/>
                        <wps:cNvSpPr txBox="1"/>
                        <wps:spPr>
                          <a:xfrm>
                            <a:off x="1620011" y="1625091"/>
                            <a:ext cx="71120" cy="114300"/>
                          </a:xfrm>
                          <a:prstGeom prst="rect">
                            <a:avLst/>
                          </a:prstGeom>
                        </wps:spPr>
                        <wps:txbx>
                          <w:txbxContent>
                            <w:p w14:paraId="02828E23" w14:textId="77777777" w:rsidR="00994717" w:rsidRDefault="00994717" w:rsidP="00994717">
                              <w:pPr>
                                <w:spacing w:line="180" w:lineRule="exact"/>
                                <w:rPr>
                                  <w:rFonts w:ascii="Calibri"/>
                                  <w:sz w:val="18"/>
                                </w:rPr>
                              </w:pPr>
                              <w:r>
                                <w:rPr>
                                  <w:rFonts w:ascii="Calibri"/>
                                  <w:color w:val="404040"/>
                                  <w:spacing w:val="-10"/>
                                  <w:sz w:val="18"/>
                                </w:rPr>
                                <w:t>0</w:t>
                              </w:r>
                            </w:p>
                          </w:txbxContent>
                        </wps:txbx>
                        <wps:bodyPr wrap="square" lIns="0" tIns="0" rIns="0" bIns="0" rtlCol="0">
                          <a:noAutofit/>
                        </wps:bodyPr>
                      </wps:wsp>
                      <wps:wsp>
                        <wps:cNvPr id="94" name="Textbox 94"/>
                        <wps:cNvSpPr txBox="1"/>
                        <wps:spPr>
                          <a:xfrm>
                            <a:off x="2050669" y="1625091"/>
                            <a:ext cx="71120" cy="114300"/>
                          </a:xfrm>
                          <a:prstGeom prst="rect">
                            <a:avLst/>
                          </a:prstGeom>
                        </wps:spPr>
                        <wps:txbx>
                          <w:txbxContent>
                            <w:p w14:paraId="6593984C" w14:textId="77777777" w:rsidR="00994717" w:rsidRDefault="00994717" w:rsidP="00994717">
                              <w:pPr>
                                <w:spacing w:line="180" w:lineRule="exact"/>
                                <w:rPr>
                                  <w:rFonts w:ascii="Calibri"/>
                                  <w:sz w:val="18"/>
                                </w:rPr>
                              </w:pPr>
                              <w:r>
                                <w:rPr>
                                  <w:rFonts w:ascii="Calibri"/>
                                  <w:color w:val="404040"/>
                                  <w:spacing w:val="-10"/>
                                  <w:sz w:val="18"/>
                                </w:rPr>
                                <w:t>0</w:t>
                              </w:r>
                            </w:p>
                          </w:txbxContent>
                        </wps:txbx>
                        <wps:bodyPr wrap="square" lIns="0" tIns="0" rIns="0" bIns="0" rtlCol="0">
                          <a:noAutofit/>
                        </wps:bodyPr>
                      </wps:wsp>
                      <wps:wsp>
                        <wps:cNvPr id="95" name="Textbox 95"/>
                        <wps:cNvSpPr txBox="1"/>
                        <wps:spPr>
                          <a:xfrm>
                            <a:off x="2481072" y="1625091"/>
                            <a:ext cx="137160" cy="114300"/>
                          </a:xfrm>
                          <a:prstGeom prst="rect">
                            <a:avLst/>
                          </a:prstGeom>
                        </wps:spPr>
                        <wps:txbx>
                          <w:txbxContent>
                            <w:p w14:paraId="6A4695AB" w14:textId="77777777" w:rsidR="00994717" w:rsidRDefault="00994717" w:rsidP="00994717">
                              <w:pPr>
                                <w:spacing w:line="180" w:lineRule="exact"/>
                                <w:rPr>
                                  <w:rFonts w:ascii="Calibri"/>
                                  <w:sz w:val="18"/>
                                </w:rPr>
                              </w:pPr>
                              <w:r>
                                <w:rPr>
                                  <w:rFonts w:ascii="Calibri"/>
                                  <w:color w:val="404040"/>
                                  <w:spacing w:val="-5"/>
                                  <w:sz w:val="18"/>
                                </w:rPr>
                                <w:t>00</w:t>
                              </w:r>
                            </w:p>
                          </w:txbxContent>
                        </wps:txbx>
                        <wps:bodyPr wrap="square" lIns="0" tIns="0" rIns="0" bIns="0" rtlCol="0">
                          <a:noAutofit/>
                        </wps:bodyPr>
                      </wps:wsp>
                      <wps:wsp>
                        <wps:cNvPr id="96" name="Textbox 96"/>
                        <wps:cNvSpPr txBox="1"/>
                        <wps:spPr>
                          <a:xfrm>
                            <a:off x="2911729" y="1625091"/>
                            <a:ext cx="137160" cy="114300"/>
                          </a:xfrm>
                          <a:prstGeom prst="rect">
                            <a:avLst/>
                          </a:prstGeom>
                        </wps:spPr>
                        <wps:txbx>
                          <w:txbxContent>
                            <w:p w14:paraId="30E8ADD8" w14:textId="77777777" w:rsidR="00994717" w:rsidRDefault="00994717" w:rsidP="00994717">
                              <w:pPr>
                                <w:spacing w:line="180" w:lineRule="exact"/>
                                <w:rPr>
                                  <w:rFonts w:ascii="Calibri"/>
                                  <w:sz w:val="18"/>
                                </w:rPr>
                              </w:pPr>
                              <w:r>
                                <w:rPr>
                                  <w:rFonts w:ascii="Calibri"/>
                                  <w:color w:val="404040"/>
                                  <w:spacing w:val="-5"/>
                                  <w:sz w:val="18"/>
                                </w:rPr>
                                <w:t>00</w:t>
                              </w:r>
                            </w:p>
                          </w:txbxContent>
                        </wps:txbx>
                        <wps:bodyPr wrap="square" lIns="0" tIns="0" rIns="0" bIns="0" rtlCol="0">
                          <a:noAutofit/>
                        </wps:bodyPr>
                      </wps:wsp>
                      <wps:wsp>
                        <wps:cNvPr id="97" name="Textbox 97"/>
                        <wps:cNvSpPr txBox="1"/>
                        <wps:spPr>
                          <a:xfrm>
                            <a:off x="3342385" y="1625091"/>
                            <a:ext cx="71120" cy="114300"/>
                          </a:xfrm>
                          <a:prstGeom prst="rect">
                            <a:avLst/>
                          </a:prstGeom>
                        </wps:spPr>
                        <wps:txbx>
                          <w:txbxContent>
                            <w:p w14:paraId="69620072" w14:textId="77777777" w:rsidR="00994717" w:rsidRDefault="00994717" w:rsidP="00994717">
                              <w:pPr>
                                <w:spacing w:line="180" w:lineRule="exact"/>
                                <w:rPr>
                                  <w:rFonts w:ascii="Calibri"/>
                                  <w:sz w:val="18"/>
                                </w:rPr>
                              </w:pPr>
                              <w:r>
                                <w:rPr>
                                  <w:rFonts w:ascii="Calibri"/>
                                  <w:color w:val="404040"/>
                                  <w:spacing w:val="-10"/>
                                  <w:sz w:val="18"/>
                                </w:rPr>
                                <w:t>0</w:t>
                              </w:r>
                            </w:p>
                          </w:txbxContent>
                        </wps:txbx>
                        <wps:bodyPr wrap="square" lIns="0" tIns="0" rIns="0" bIns="0" rtlCol="0">
                          <a:noAutofit/>
                        </wps:bodyPr>
                      </wps:wsp>
                      <wps:wsp>
                        <wps:cNvPr id="98" name="Textbox 98"/>
                        <wps:cNvSpPr txBox="1"/>
                        <wps:spPr>
                          <a:xfrm>
                            <a:off x="3773170" y="1625091"/>
                            <a:ext cx="137160" cy="114300"/>
                          </a:xfrm>
                          <a:prstGeom prst="rect">
                            <a:avLst/>
                          </a:prstGeom>
                        </wps:spPr>
                        <wps:txbx>
                          <w:txbxContent>
                            <w:p w14:paraId="6FB81277" w14:textId="77777777" w:rsidR="00994717" w:rsidRDefault="00994717" w:rsidP="00994717">
                              <w:pPr>
                                <w:spacing w:line="180" w:lineRule="exact"/>
                                <w:rPr>
                                  <w:rFonts w:ascii="Calibri"/>
                                  <w:sz w:val="18"/>
                                </w:rPr>
                              </w:pPr>
                              <w:r>
                                <w:rPr>
                                  <w:rFonts w:ascii="Calibri"/>
                                  <w:color w:val="404040"/>
                                  <w:spacing w:val="-5"/>
                                  <w:sz w:val="18"/>
                                </w:rPr>
                                <w:t>00</w:t>
                              </w:r>
                            </w:p>
                          </w:txbxContent>
                        </wps:txbx>
                        <wps:bodyPr wrap="square" lIns="0" tIns="0" rIns="0" bIns="0" rtlCol="0">
                          <a:noAutofit/>
                        </wps:bodyPr>
                      </wps:wsp>
                      <wps:wsp>
                        <wps:cNvPr id="99" name="Textbox 99"/>
                        <wps:cNvSpPr txBox="1"/>
                        <wps:spPr>
                          <a:xfrm>
                            <a:off x="4203446" y="1625091"/>
                            <a:ext cx="71120" cy="114300"/>
                          </a:xfrm>
                          <a:prstGeom prst="rect">
                            <a:avLst/>
                          </a:prstGeom>
                        </wps:spPr>
                        <wps:txbx>
                          <w:txbxContent>
                            <w:p w14:paraId="03A96582" w14:textId="77777777" w:rsidR="00994717" w:rsidRDefault="00994717" w:rsidP="00994717">
                              <w:pPr>
                                <w:spacing w:line="180" w:lineRule="exact"/>
                                <w:rPr>
                                  <w:rFonts w:ascii="Calibri"/>
                                  <w:sz w:val="18"/>
                                </w:rPr>
                              </w:pPr>
                              <w:r>
                                <w:rPr>
                                  <w:rFonts w:ascii="Calibri"/>
                                  <w:color w:val="404040"/>
                                  <w:spacing w:val="-10"/>
                                  <w:sz w:val="18"/>
                                </w:rPr>
                                <w:t>0</w:t>
                              </w:r>
                            </w:p>
                          </w:txbxContent>
                        </wps:txbx>
                        <wps:bodyPr wrap="square" lIns="0" tIns="0" rIns="0" bIns="0" rtlCol="0">
                          <a:noAutofit/>
                        </wps:bodyPr>
                      </wps:wsp>
                      <wps:wsp>
                        <wps:cNvPr id="100" name="Textbox 100"/>
                        <wps:cNvSpPr txBox="1"/>
                        <wps:spPr>
                          <a:xfrm>
                            <a:off x="4634229" y="1625091"/>
                            <a:ext cx="71120" cy="114300"/>
                          </a:xfrm>
                          <a:prstGeom prst="rect">
                            <a:avLst/>
                          </a:prstGeom>
                        </wps:spPr>
                        <wps:txbx>
                          <w:txbxContent>
                            <w:p w14:paraId="045DEF2D" w14:textId="77777777" w:rsidR="00994717" w:rsidRDefault="00994717" w:rsidP="00994717">
                              <w:pPr>
                                <w:spacing w:line="180" w:lineRule="exact"/>
                                <w:rPr>
                                  <w:rFonts w:ascii="Calibri"/>
                                  <w:sz w:val="18"/>
                                </w:rPr>
                              </w:pPr>
                              <w:r>
                                <w:rPr>
                                  <w:rFonts w:ascii="Calibri"/>
                                  <w:color w:val="404040"/>
                                  <w:spacing w:val="-10"/>
                                  <w:sz w:val="18"/>
                                </w:rPr>
                                <w:t>0</w:t>
                              </w:r>
                            </w:p>
                          </w:txbxContent>
                        </wps:txbx>
                        <wps:bodyPr wrap="square" lIns="0" tIns="0" rIns="0" bIns="0" rtlCol="0">
                          <a:noAutofit/>
                        </wps:bodyPr>
                      </wps:wsp>
                      <wps:wsp>
                        <wps:cNvPr id="101" name="Textbox 101"/>
                        <wps:cNvSpPr txBox="1"/>
                        <wps:spPr>
                          <a:xfrm>
                            <a:off x="5064886" y="1625091"/>
                            <a:ext cx="71120" cy="114300"/>
                          </a:xfrm>
                          <a:prstGeom prst="rect">
                            <a:avLst/>
                          </a:prstGeom>
                        </wps:spPr>
                        <wps:txbx>
                          <w:txbxContent>
                            <w:p w14:paraId="69450635" w14:textId="77777777" w:rsidR="00994717" w:rsidRDefault="00994717" w:rsidP="00994717">
                              <w:pPr>
                                <w:spacing w:line="180" w:lineRule="exact"/>
                                <w:rPr>
                                  <w:rFonts w:ascii="Calibri"/>
                                  <w:sz w:val="18"/>
                                </w:rPr>
                              </w:pPr>
                              <w:r>
                                <w:rPr>
                                  <w:rFonts w:ascii="Calibri"/>
                                  <w:color w:val="404040"/>
                                  <w:spacing w:val="-10"/>
                                  <w:sz w:val="18"/>
                                </w:rPr>
                                <w:t>0</w:t>
                              </w:r>
                            </w:p>
                          </w:txbxContent>
                        </wps:txbx>
                        <wps:bodyPr wrap="square" lIns="0" tIns="0" rIns="0" bIns="0" rtlCol="0">
                          <a:noAutofit/>
                        </wps:bodyPr>
                      </wps:wsp>
                      <wps:wsp>
                        <wps:cNvPr id="102" name="Textbox 102"/>
                        <wps:cNvSpPr txBox="1"/>
                        <wps:spPr>
                          <a:xfrm>
                            <a:off x="945769" y="3342004"/>
                            <a:ext cx="4043045" cy="114300"/>
                          </a:xfrm>
                          <a:prstGeom prst="rect">
                            <a:avLst/>
                          </a:prstGeom>
                        </wps:spPr>
                        <wps:txbx>
                          <w:txbxContent>
                            <w:p w14:paraId="1F235699" w14:textId="77777777" w:rsidR="00994717" w:rsidRDefault="00994717" w:rsidP="00994717">
                              <w:pPr>
                                <w:tabs>
                                  <w:tab w:val="left" w:pos="1508"/>
                                  <w:tab w:val="left" w:pos="2519"/>
                                  <w:tab w:val="left" w:pos="3692"/>
                                  <w:tab w:val="left" w:pos="5016"/>
                                </w:tabs>
                                <w:spacing w:line="180" w:lineRule="exact"/>
                                <w:rPr>
                                  <w:rFonts w:ascii="Calibri"/>
                                  <w:sz w:val="18"/>
                                </w:rPr>
                              </w:pPr>
                              <w:r>
                                <w:rPr>
                                  <w:rFonts w:ascii="Calibri"/>
                                  <w:color w:val="585858"/>
                                  <w:sz w:val="18"/>
                                </w:rPr>
                                <w:t>Highly</w:t>
                              </w:r>
                              <w:r>
                                <w:rPr>
                                  <w:rFonts w:ascii="Calibri"/>
                                  <w:color w:val="585858"/>
                                  <w:spacing w:val="-4"/>
                                  <w:sz w:val="18"/>
                                </w:rPr>
                                <w:t xml:space="preserve"> </w:t>
                              </w:r>
                              <w:r>
                                <w:rPr>
                                  <w:rFonts w:ascii="Calibri"/>
                                  <w:color w:val="585858"/>
                                  <w:spacing w:val="-2"/>
                                  <w:sz w:val="18"/>
                                </w:rPr>
                                <w:t>Satisfied</w:t>
                              </w:r>
                              <w:r>
                                <w:rPr>
                                  <w:rFonts w:ascii="Calibri"/>
                                  <w:color w:val="585858"/>
                                  <w:sz w:val="18"/>
                                </w:rPr>
                                <w:tab/>
                              </w:r>
                              <w:r>
                                <w:rPr>
                                  <w:rFonts w:ascii="Calibri"/>
                                  <w:color w:val="585858"/>
                                  <w:spacing w:val="-2"/>
                                  <w:sz w:val="18"/>
                                </w:rPr>
                                <w:t>Satisfied</w:t>
                              </w:r>
                              <w:r>
                                <w:rPr>
                                  <w:rFonts w:ascii="Calibri"/>
                                  <w:color w:val="585858"/>
                                  <w:sz w:val="18"/>
                                </w:rPr>
                                <w:tab/>
                              </w:r>
                              <w:r>
                                <w:rPr>
                                  <w:rFonts w:ascii="Calibri"/>
                                  <w:color w:val="585858"/>
                                  <w:spacing w:val="-2"/>
                                  <w:sz w:val="18"/>
                                </w:rPr>
                                <w:t>Indifferent</w:t>
                              </w:r>
                              <w:r>
                                <w:rPr>
                                  <w:rFonts w:ascii="Calibri"/>
                                  <w:color w:val="585858"/>
                                  <w:sz w:val="18"/>
                                </w:rPr>
                                <w:tab/>
                                <w:t>Not</w:t>
                              </w:r>
                              <w:r>
                                <w:rPr>
                                  <w:rFonts w:ascii="Calibri"/>
                                  <w:color w:val="585858"/>
                                  <w:spacing w:val="-1"/>
                                  <w:sz w:val="18"/>
                                </w:rPr>
                                <w:t xml:space="preserve"> </w:t>
                              </w:r>
                              <w:r>
                                <w:rPr>
                                  <w:rFonts w:ascii="Calibri"/>
                                  <w:color w:val="585858"/>
                                  <w:spacing w:val="-2"/>
                                  <w:sz w:val="18"/>
                                </w:rPr>
                                <w:t>Satisfied</w:t>
                              </w:r>
                              <w:r>
                                <w:rPr>
                                  <w:rFonts w:ascii="Calibri"/>
                                  <w:color w:val="585858"/>
                                  <w:sz w:val="18"/>
                                </w:rPr>
                                <w:tab/>
                                <w:t>Not</w:t>
                              </w:r>
                              <w:r>
                                <w:rPr>
                                  <w:rFonts w:ascii="Calibri"/>
                                  <w:color w:val="585858"/>
                                  <w:spacing w:val="-1"/>
                                  <w:sz w:val="18"/>
                                </w:rPr>
                                <w:t xml:space="preserve"> </w:t>
                              </w:r>
                              <w:r>
                                <w:rPr>
                                  <w:rFonts w:ascii="Calibri"/>
                                  <w:color w:val="585858"/>
                                  <w:sz w:val="18"/>
                                </w:rPr>
                                <w:t>Satisfied</w:t>
                              </w:r>
                              <w:r>
                                <w:rPr>
                                  <w:rFonts w:ascii="Calibri"/>
                                  <w:color w:val="585858"/>
                                  <w:spacing w:val="-2"/>
                                  <w:sz w:val="18"/>
                                </w:rPr>
                                <w:t xml:space="preserve"> </w:t>
                              </w:r>
                              <w:r>
                                <w:rPr>
                                  <w:rFonts w:ascii="Calibri"/>
                                  <w:color w:val="585858"/>
                                  <w:sz w:val="18"/>
                                </w:rPr>
                                <w:t>at</w:t>
                              </w:r>
                              <w:r>
                                <w:rPr>
                                  <w:rFonts w:ascii="Calibri"/>
                                  <w:color w:val="585858"/>
                                  <w:spacing w:val="-1"/>
                                  <w:sz w:val="18"/>
                                </w:rPr>
                                <w:t xml:space="preserve"> </w:t>
                              </w:r>
                              <w:r>
                                <w:rPr>
                                  <w:rFonts w:ascii="Calibri"/>
                                  <w:color w:val="585858"/>
                                  <w:spacing w:val="-5"/>
                                  <w:sz w:val="18"/>
                                </w:rPr>
                                <w:t>all</w:t>
                              </w:r>
                            </w:p>
                          </w:txbxContent>
                        </wps:txbx>
                        <wps:bodyPr wrap="square" lIns="0" tIns="0" rIns="0" bIns="0" rtlCol="0">
                          <a:noAutofit/>
                        </wps:bodyPr>
                      </wps:wsp>
                    </wpg:wgp>
                  </a:graphicData>
                </a:graphic>
                <wp14:sizeRelH relativeFrom="margin">
                  <wp14:pctWidth>0</wp14:pctWidth>
                </wp14:sizeRelH>
              </wp:anchor>
            </w:drawing>
          </mc:Choice>
          <mc:Fallback>
            <w:pict>
              <v:group w14:anchorId="450C8862" id="Group 73" o:spid="_x0000_s1134" style="position:absolute;left:0;text-align:left;margin-left:66.75pt;margin-top:.25pt;width:459.75pt;height:282.1pt;z-index:-251590656;mso-wrap-distance-left:0;mso-wrap-distance-right:0;mso-position-horizontal-relative:page;mso-position-vertical-relative:text;mso-width-relative:margin" coordsize="57854,35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">
                <v:shape id="Image 74" o:spid="_x0000_s1135" type="#_x0000_t75" style="position:absolute;left:11022;top:5025;width:43922;height:13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">
                  <v:imagedata r:id="rId265" o:title=""/>
                </v:shape>
                <v:shape id="Image 75" o:spid="_x0000_s1136" type="#_x0000_t75" style="position:absolute;left:2125;top:19264;width:37220;height:12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">
                  <v:imagedata r:id="rId266" o:title=""/>
                </v:shape>
                <v:shape id="Image 76" o:spid="_x0000_s1137" type="#_x0000_t75" style="position:absolute;left:40714;top:19255;width:11555;height:7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">
                  <v:imagedata r:id="rId267" o:title=""/>
                </v:shape>
                <v:shape id="Graphic 77" o:spid="_x0000_s1138" style="position:absolute;left:8564;top:33634;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" path="m62483,l,,,62484r62483,l62483,xe" fillcolor="#5b9bd4" stroked="f">
                  <v:path arrowok="t"/>
                </v:shape>
                <v:shape id="Graphic 78" o:spid="_x0000_s1139" style="position:absolute;left:18135;top:33634;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" path="m62483,l,,,62484r62483,l62483,xe" fillcolor="#ec7c30" stroked="f">
                  <v:path arrowok="t"/>
                </v:shape>
                <v:shape id="Graphic 79" o:spid="_x0000_s1140" style="position:absolute;left:24551;top:33634;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" path="m62484,l,,,62484r62484,l62484,xe" fillcolor="#a4a4a4" stroked="f">
                  <v:path arrowok="t"/>
                </v:shape>
                <v:shape id="Graphic 80" o:spid="_x0000_s1141" style="position:absolute;left:32004;top:33634;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" path="m62484,l,,,62484r62484,l62484,xe" fillcolor="#ffc000" stroked="f">
                  <v:path arrowok="t"/>
                </v:shape>
                <v:shape id="Graphic 81" o:spid="_x0000_s1142" style="position:absolute;left:40401;top:33634;width:641;height:629;visibility:visible;mso-wrap-style:square;v-text-anchor:top" coordsize="6413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" path="m64008,l,,,62484r64008,l64008,xe" fillcolor="#4471c4" stroked="f">
                  <v:path arrowok="t"/>
                </v:shape>
                <v:shape id="Graphic 82" o:spid="_x0000_s1143" style="position:absolute;left:45;top:45;width:57760;height:35738;visibility:visible;mso-wrap-style:square;v-text-anchor:top" coordsize="5775960,357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" path="m,3573779r5775959,l5775959,,,,,3573779xe" filled="f" strokecolor="#d9d9d9" strokeweight=".72pt">
                  <v:path arrowok="t"/>
                </v:shape>
                <v:shape id="Textbox 83" o:spid="_x0000_s1144" type="#_x0000_t202" style="position:absolute;left:20275;top:1357;width:17443;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inset="0,0,0,0">
                    <w:txbxContent>
                      <w:p w14:paraId="2A08E6A5" w14:textId="77777777" w:rsidR="00994717" w:rsidRDefault="00994717" w:rsidP="00994717">
                        <w:pPr>
                          <w:spacing w:line="281" w:lineRule="exact"/>
                          <w:rPr>
                            <w:rFonts w:ascii="Calibri"/>
                            <w:sz w:val="28"/>
                          </w:rPr>
                        </w:pPr>
                        <w:r>
                          <w:rPr>
                            <w:rFonts w:ascii="Calibri"/>
                            <w:color w:val="585858"/>
                            <w:spacing w:val="-2"/>
                            <w:sz w:val="28"/>
                          </w:rPr>
                          <w:t>Environmental</w:t>
                        </w:r>
                        <w:r>
                          <w:rPr>
                            <w:rFonts w:ascii="Calibri"/>
                            <w:color w:val="585858"/>
                            <w:spacing w:val="2"/>
                            <w:sz w:val="28"/>
                          </w:rPr>
                          <w:t xml:space="preserve"> </w:t>
                        </w:r>
                        <w:r>
                          <w:rPr>
                            <w:rFonts w:ascii="Calibri"/>
                            <w:color w:val="585858"/>
                            <w:spacing w:val="-2"/>
                            <w:sz w:val="28"/>
                          </w:rPr>
                          <w:t>Qualities</w:t>
                        </w:r>
                      </w:p>
                    </w:txbxContent>
                  </v:textbox>
                </v:shape>
                <v:shape id="Textbox 84" o:spid="_x0000_s1145" type="#_x0000_t202" style="position:absolute;left:8961;top:5095;width:1289;height:10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3285186A" w14:textId="77777777" w:rsidR="00994717" w:rsidRDefault="00994717" w:rsidP="00994717">
                        <w:pPr>
                          <w:spacing w:line="183" w:lineRule="exact"/>
                          <w:rPr>
                            <w:rFonts w:ascii="Calibri"/>
                            <w:sz w:val="18"/>
                          </w:rPr>
                        </w:pPr>
                        <w:r>
                          <w:rPr>
                            <w:rFonts w:ascii="Calibri"/>
                            <w:color w:val="585858"/>
                            <w:spacing w:val="-5"/>
                            <w:sz w:val="18"/>
                          </w:rPr>
                          <w:t>70</w:t>
                        </w:r>
                      </w:p>
                      <w:p w14:paraId="3706777F" w14:textId="77777777" w:rsidR="00994717" w:rsidRDefault="00994717" w:rsidP="00994717">
                        <w:pPr>
                          <w:spacing w:before="62"/>
                          <w:rPr>
                            <w:rFonts w:ascii="Calibri"/>
                            <w:sz w:val="18"/>
                          </w:rPr>
                        </w:pPr>
                        <w:r>
                          <w:rPr>
                            <w:rFonts w:ascii="Calibri"/>
                            <w:color w:val="585858"/>
                            <w:spacing w:val="-5"/>
                            <w:sz w:val="18"/>
                          </w:rPr>
                          <w:t>60</w:t>
                        </w:r>
                      </w:p>
                      <w:p w14:paraId="0E230693" w14:textId="77777777" w:rsidR="00994717" w:rsidRDefault="00994717" w:rsidP="00994717">
                        <w:pPr>
                          <w:spacing w:before="63"/>
                          <w:rPr>
                            <w:rFonts w:ascii="Calibri"/>
                            <w:sz w:val="18"/>
                          </w:rPr>
                        </w:pPr>
                        <w:r>
                          <w:rPr>
                            <w:rFonts w:ascii="Calibri"/>
                            <w:color w:val="585858"/>
                            <w:spacing w:val="-5"/>
                            <w:sz w:val="18"/>
                          </w:rPr>
                          <w:t>50</w:t>
                        </w:r>
                      </w:p>
                      <w:p w14:paraId="70BFFB28" w14:textId="77777777" w:rsidR="00994717" w:rsidRDefault="00994717" w:rsidP="00994717">
                        <w:pPr>
                          <w:spacing w:before="63"/>
                          <w:rPr>
                            <w:rFonts w:ascii="Calibri"/>
                            <w:sz w:val="18"/>
                          </w:rPr>
                        </w:pPr>
                        <w:r>
                          <w:rPr>
                            <w:rFonts w:ascii="Calibri"/>
                            <w:color w:val="585858"/>
                            <w:spacing w:val="-5"/>
                            <w:sz w:val="18"/>
                          </w:rPr>
                          <w:t>40</w:t>
                        </w:r>
                      </w:p>
                      <w:p w14:paraId="101331DC" w14:textId="77777777" w:rsidR="00994717" w:rsidRDefault="00994717" w:rsidP="00994717">
                        <w:pPr>
                          <w:spacing w:before="62"/>
                          <w:rPr>
                            <w:rFonts w:ascii="Calibri"/>
                            <w:sz w:val="18"/>
                          </w:rPr>
                        </w:pPr>
                        <w:r>
                          <w:rPr>
                            <w:rFonts w:ascii="Calibri"/>
                            <w:color w:val="585858"/>
                            <w:spacing w:val="-5"/>
                            <w:sz w:val="18"/>
                          </w:rPr>
                          <w:t>30</w:t>
                        </w:r>
                      </w:p>
                      <w:p w14:paraId="4B6C7001" w14:textId="77777777" w:rsidR="00994717" w:rsidRDefault="00994717" w:rsidP="00994717">
                        <w:pPr>
                          <w:spacing w:before="63" w:line="216" w:lineRule="exact"/>
                          <w:rPr>
                            <w:rFonts w:ascii="Calibri"/>
                            <w:sz w:val="18"/>
                          </w:rPr>
                        </w:pPr>
                        <w:r>
                          <w:rPr>
                            <w:rFonts w:ascii="Calibri"/>
                            <w:color w:val="585858"/>
                            <w:spacing w:val="-5"/>
                            <w:sz w:val="18"/>
                          </w:rPr>
                          <w:t>20</w:t>
                        </w:r>
                      </w:p>
                    </w:txbxContent>
                  </v:textbox>
                </v:shape>
                <v:shape id="Textbox 85" o:spid="_x0000_s1146" type="#_x0000_t202" style="position:absolute;left:13591;top:5491;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1A11C137" w14:textId="77777777" w:rsidR="00994717" w:rsidRDefault="00994717" w:rsidP="00994717">
                        <w:pPr>
                          <w:spacing w:line="180" w:lineRule="exact"/>
                          <w:rPr>
                            <w:rFonts w:ascii="Calibri"/>
                            <w:sz w:val="18"/>
                          </w:rPr>
                        </w:pPr>
                        <w:r>
                          <w:rPr>
                            <w:rFonts w:ascii="Calibri"/>
                            <w:color w:val="404040"/>
                            <w:spacing w:val="-5"/>
                            <w:sz w:val="18"/>
                          </w:rPr>
                          <w:t>60</w:t>
                        </w:r>
                      </w:p>
                    </w:txbxContent>
                  </v:textbox>
                </v:shape>
                <v:shape id="Textbox 86" o:spid="_x0000_s1147" type="#_x0000_t202" style="position:absolute;left:17898;top:5132;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362E0F35" w14:textId="77777777" w:rsidR="00994717" w:rsidRDefault="00994717" w:rsidP="00994717">
                        <w:pPr>
                          <w:spacing w:line="180" w:lineRule="exact"/>
                          <w:rPr>
                            <w:rFonts w:ascii="Calibri"/>
                            <w:sz w:val="18"/>
                          </w:rPr>
                        </w:pPr>
                        <w:r>
                          <w:rPr>
                            <w:rFonts w:ascii="Calibri"/>
                            <w:color w:val="404040"/>
                            <w:spacing w:val="-5"/>
                            <w:sz w:val="18"/>
                          </w:rPr>
                          <w:t>62</w:t>
                        </w:r>
                      </w:p>
                    </w:txbxContent>
                  </v:textbox>
                </v:shape>
                <v:shape id="Textbox 87" o:spid="_x0000_s1148" type="#_x0000_t202" style="position:absolute;left:22204;top:6747;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200A2EE2" w14:textId="77777777" w:rsidR="00994717" w:rsidRDefault="00994717" w:rsidP="00994717">
                        <w:pPr>
                          <w:spacing w:line="180" w:lineRule="exact"/>
                          <w:rPr>
                            <w:rFonts w:ascii="Calibri"/>
                            <w:sz w:val="18"/>
                          </w:rPr>
                        </w:pPr>
                        <w:r>
                          <w:rPr>
                            <w:rFonts w:ascii="Calibri"/>
                            <w:color w:val="404040"/>
                            <w:spacing w:val="-5"/>
                            <w:sz w:val="18"/>
                          </w:rPr>
                          <w:t>53</w:t>
                        </w:r>
                      </w:p>
                    </w:txbxContent>
                  </v:textbox>
                </v:shape>
                <v:shape id="Textbox 88" o:spid="_x0000_s1149" type="#_x0000_t202" style="position:absolute;left:40090;top:6924;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41B56AA5" w14:textId="77777777" w:rsidR="00994717" w:rsidRDefault="00994717" w:rsidP="00994717">
                        <w:pPr>
                          <w:spacing w:line="180" w:lineRule="exact"/>
                          <w:rPr>
                            <w:rFonts w:ascii="Calibri"/>
                            <w:sz w:val="18"/>
                          </w:rPr>
                        </w:pPr>
                        <w:r>
                          <w:rPr>
                            <w:rFonts w:ascii="Calibri"/>
                            <w:color w:val="404040"/>
                            <w:spacing w:val="-5"/>
                            <w:sz w:val="18"/>
                          </w:rPr>
                          <w:t>52</w:t>
                        </w:r>
                      </w:p>
                    </w:txbxContent>
                  </v:textbox>
                </v:shape>
                <v:shape id="Textbox 89" o:spid="_x0000_s1150" type="#_x0000_t202" style="position:absolute;left:43070;top:9615;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67C90DE9" w14:textId="77777777" w:rsidR="00994717" w:rsidRDefault="00994717" w:rsidP="00994717">
                        <w:pPr>
                          <w:spacing w:line="180" w:lineRule="exact"/>
                          <w:rPr>
                            <w:rFonts w:ascii="Calibri"/>
                            <w:sz w:val="18"/>
                          </w:rPr>
                        </w:pPr>
                        <w:r>
                          <w:rPr>
                            <w:rFonts w:ascii="Calibri"/>
                            <w:color w:val="404040"/>
                            <w:spacing w:val="-5"/>
                            <w:sz w:val="18"/>
                          </w:rPr>
                          <w:t>37</w:t>
                        </w:r>
                      </w:p>
                    </w:txbxContent>
                  </v:textbox>
                </v:shape>
                <v:shape id="Textbox 90" o:spid="_x0000_s1151" type="#_x0000_t202" style="position:absolute;left:47378;top:10692;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272798E9" w14:textId="77777777" w:rsidR="00994717" w:rsidRDefault="00994717" w:rsidP="00994717">
                        <w:pPr>
                          <w:spacing w:line="180" w:lineRule="exact"/>
                          <w:rPr>
                            <w:rFonts w:ascii="Calibri"/>
                            <w:sz w:val="18"/>
                          </w:rPr>
                        </w:pPr>
                        <w:r>
                          <w:rPr>
                            <w:rFonts w:ascii="Calibri"/>
                            <w:color w:val="404040"/>
                            <w:spacing w:val="-5"/>
                            <w:sz w:val="18"/>
                          </w:rPr>
                          <w:t>31</w:t>
                        </w:r>
                      </w:p>
                    </w:txbxContent>
                  </v:textbox>
                </v:shape>
                <v:shape id="Textbox 91" o:spid="_x0000_s1152" type="#_x0000_t202" style="position:absolute;left:8961;top:15854;width:1289;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14:paraId="3521E063" w14:textId="77777777" w:rsidR="00994717" w:rsidRDefault="00994717" w:rsidP="00994717">
                        <w:pPr>
                          <w:spacing w:line="183" w:lineRule="exact"/>
                          <w:rPr>
                            <w:rFonts w:ascii="Calibri"/>
                            <w:sz w:val="18"/>
                          </w:rPr>
                        </w:pPr>
                        <w:r>
                          <w:rPr>
                            <w:rFonts w:ascii="Calibri"/>
                            <w:color w:val="585858"/>
                            <w:spacing w:val="-5"/>
                            <w:sz w:val="18"/>
                          </w:rPr>
                          <w:t>10</w:t>
                        </w:r>
                      </w:p>
                      <w:p w14:paraId="6FAA0337" w14:textId="77777777" w:rsidR="00994717" w:rsidRDefault="00994717" w:rsidP="00994717">
                        <w:pPr>
                          <w:spacing w:before="63" w:line="216" w:lineRule="exact"/>
                          <w:ind w:left="91"/>
                          <w:rPr>
                            <w:rFonts w:ascii="Calibri"/>
                            <w:sz w:val="18"/>
                          </w:rPr>
                        </w:pPr>
                        <w:r>
                          <w:rPr>
                            <w:rFonts w:ascii="Calibri"/>
                            <w:color w:val="585858"/>
                            <w:spacing w:val="-10"/>
                            <w:sz w:val="18"/>
                          </w:rPr>
                          <w:t>0</w:t>
                        </w:r>
                      </w:p>
                    </w:txbxContent>
                  </v:textbox>
                </v:shape>
                <v:shape id="Textbox 92" o:spid="_x0000_s1153" type="#_x0000_t202" style="position:absolute;left:11893;top:16250;width:7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684A393B" w14:textId="77777777" w:rsidR="00994717" w:rsidRDefault="00994717" w:rsidP="00994717">
                        <w:pPr>
                          <w:spacing w:line="180" w:lineRule="exact"/>
                          <w:rPr>
                            <w:rFonts w:ascii="Calibri"/>
                            <w:sz w:val="18"/>
                          </w:rPr>
                        </w:pPr>
                        <w:r>
                          <w:rPr>
                            <w:rFonts w:ascii="Calibri"/>
                            <w:color w:val="404040"/>
                            <w:spacing w:val="-10"/>
                            <w:sz w:val="18"/>
                          </w:rPr>
                          <w:t>0</w:t>
                        </w:r>
                      </w:p>
                    </w:txbxContent>
                  </v:textbox>
                </v:shape>
                <v:shape id="Textbox 93" o:spid="_x0000_s1154" type="#_x0000_t202" style="position:absolute;left:16200;top:16250;width:7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02828E23" w14:textId="77777777" w:rsidR="00994717" w:rsidRDefault="00994717" w:rsidP="00994717">
                        <w:pPr>
                          <w:spacing w:line="180" w:lineRule="exact"/>
                          <w:rPr>
                            <w:rFonts w:ascii="Calibri"/>
                            <w:sz w:val="18"/>
                          </w:rPr>
                        </w:pPr>
                        <w:r>
                          <w:rPr>
                            <w:rFonts w:ascii="Calibri"/>
                            <w:color w:val="404040"/>
                            <w:spacing w:val="-10"/>
                            <w:sz w:val="18"/>
                          </w:rPr>
                          <w:t>0</w:t>
                        </w:r>
                      </w:p>
                    </w:txbxContent>
                  </v:textbox>
                </v:shape>
                <v:shape id="Textbox 94" o:spid="_x0000_s1155" type="#_x0000_t202" style="position:absolute;left:20506;top:16250;width:7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6593984C" w14:textId="77777777" w:rsidR="00994717" w:rsidRDefault="00994717" w:rsidP="00994717">
                        <w:pPr>
                          <w:spacing w:line="180" w:lineRule="exact"/>
                          <w:rPr>
                            <w:rFonts w:ascii="Calibri"/>
                            <w:sz w:val="18"/>
                          </w:rPr>
                        </w:pPr>
                        <w:r>
                          <w:rPr>
                            <w:rFonts w:ascii="Calibri"/>
                            <w:color w:val="404040"/>
                            <w:spacing w:val="-10"/>
                            <w:sz w:val="18"/>
                          </w:rPr>
                          <w:t>0</w:t>
                        </w:r>
                      </w:p>
                    </w:txbxContent>
                  </v:textbox>
                </v:shape>
                <v:shape id="Textbox 95" o:spid="_x0000_s1156" type="#_x0000_t202" style="position:absolute;left:24810;top:16250;width:13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6A4695AB" w14:textId="77777777" w:rsidR="00994717" w:rsidRDefault="00994717" w:rsidP="00994717">
                        <w:pPr>
                          <w:spacing w:line="180" w:lineRule="exact"/>
                          <w:rPr>
                            <w:rFonts w:ascii="Calibri"/>
                            <w:sz w:val="18"/>
                          </w:rPr>
                        </w:pPr>
                        <w:r>
                          <w:rPr>
                            <w:rFonts w:ascii="Calibri"/>
                            <w:color w:val="404040"/>
                            <w:spacing w:val="-5"/>
                            <w:sz w:val="18"/>
                          </w:rPr>
                          <w:t>00</w:t>
                        </w:r>
                      </w:p>
                    </w:txbxContent>
                  </v:textbox>
                </v:shape>
                <v:shape id="Textbox 96" o:spid="_x0000_s1157" type="#_x0000_t202" style="position:absolute;left:29117;top:16250;width:137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30E8ADD8" w14:textId="77777777" w:rsidR="00994717" w:rsidRDefault="00994717" w:rsidP="00994717">
                        <w:pPr>
                          <w:spacing w:line="180" w:lineRule="exact"/>
                          <w:rPr>
                            <w:rFonts w:ascii="Calibri"/>
                            <w:sz w:val="18"/>
                          </w:rPr>
                        </w:pPr>
                        <w:r>
                          <w:rPr>
                            <w:rFonts w:ascii="Calibri"/>
                            <w:color w:val="404040"/>
                            <w:spacing w:val="-5"/>
                            <w:sz w:val="18"/>
                          </w:rPr>
                          <w:t>00</w:t>
                        </w:r>
                      </w:p>
                    </w:txbxContent>
                  </v:textbox>
                </v:shape>
                <v:shape id="Textbox 97" o:spid="_x0000_s1158" type="#_x0000_t202" style="position:absolute;left:33423;top:16250;width:71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69620072" w14:textId="77777777" w:rsidR="00994717" w:rsidRDefault="00994717" w:rsidP="00994717">
                        <w:pPr>
                          <w:spacing w:line="180" w:lineRule="exact"/>
                          <w:rPr>
                            <w:rFonts w:ascii="Calibri"/>
                            <w:sz w:val="18"/>
                          </w:rPr>
                        </w:pPr>
                        <w:r>
                          <w:rPr>
                            <w:rFonts w:ascii="Calibri"/>
                            <w:color w:val="404040"/>
                            <w:spacing w:val="-10"/>
                            <w:sz w:val="18"/>
                          </w:rPr>
                          <w:t>0</w:t>
                        </w:r>
                      </w:p>
                    </w:txbxContent>
                  </v:textbox>
                </v:shape>
                <v:shape id="Textbox 98" o:spid="_x0000_s1159" type="#_x0000_t202" style="position:absolute;left:37731;top:16250;width:13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6FB81277" w14:textId="77777777" w:rsidR="00994717" w:rsidRDefault="00994717" w:rsidP="00994717">
                        <w:pPr>
                          <w:spacing w:line="180" w:lineRule="exact"/>
                          <w:rPr>
                            <w:rFonts w:ascii="Calibri"/>
                            <w:sz w:val="18"/>
                          </w:rPr>
                        </w:pPr>
                        <w:r>
                          <w:rPr>
                            <w:rFonts w:ascii="Calibri"/>
                            <w:color w:val="404040"/>
                            <w:spacing w:val="-5"/>
                            <w:sz w:val="18"/>
                          </w:rPr>
                          <w:t>00</w:t>
                        </w:r>
                      </w:p>
                    </w:txbxContent>
                  </v:textbox>
                </v:shape>
                <v:shape id="Textbox 99" o:spid="_x0000_s1160" type="#_x0000_t202" style="position:absolute;left:42034;top:16250;width:7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14:paraId="03A96582" w14:textId="77777777" w:rsidR="00994717" w:rsidRDefault="00994717" w:rsidP="00994717">
                        <w:pPr>
                          <w:spacing w:line="180" w:lineRule="exact"/>
                          <w:rPr>
                            <w:rFonts w:ascii="Calibri"/>
                            <w:sz w:val="18"/>
                          </w:rPr>
                        </w:pPr>
                        <w:r>
                          <w:rPr>
                            <w:rFonts w:ascii="Calibri"/>
                            <w:color w:val="404040"/>
                            <w:spacing w:val="-10"/>
                            <w:sz w:val="18"/>
                          </w:rPr>
                          <w:t>0</w:t>
                        </w:r>
                      </w:p>
                    </w:txbxContent>
                  </v:textbox>
                </v:shape>
                <v:shape id="Textbox 100" o:spid="_x0000_s1161" type="#_x0000_t202" style="position:absolute;left:46342;top:16250;width:7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14:paraId="045DEF2D" w14:textId="77777777" w:rsidR="00994717" w:rsidRDefault="00994717" w:rsidP="00994717">
                        <w:pPr>
                          <w:spacing w:line="180" w:lineRule="exact"/>
                          <w:rPr>
                            <w:rFonts w:ascii="Calibri"/>
                            <w:sz w:val="18"/>
                          </w:rPr>
                        </w:pPr>
                        <w:r>
                          <w:rPr>
                            <w:rFonts w:ascii="Calibri"/>
                            <w:color w:val="404040"/>
                            <w:spacing w:val="-10"/>
                            <w:sz w:val="18"/>
                          </w:rPr>
                          <w:t>0</w:t>
                        </w:r>
                      </w:p>
                    </w:txbxContent>
                  </v:textbox>
                </v:shape>
                <v:shape id="Textbox 101" o:spid="_x0000_s1162" type="#_x0000_t202" style="position:absolute;left:50648;top:16250;width:71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14:paraId="69450635" w14:textId="77777777" w:rsidR="00994717" w:rsidRDefault="00994717" w:rsidP="00994717">
                        <w:pPr>
                          <w:spacing w:line="180" w:lineRule="exact"/>
                          <w:rPr>
                            <w:rFonts w:ascii="Calibri"/>
                            <w:sz w:val="18"/>
                          </w:rPr>
                        </w:pPr>
                        <w:r>
                          <w:rPr>
                            <w:rFonts w:ascii="Calibri"/>
                            <w:color w:val="404040"/>
                            <w:spacing w:val="-10"/>
                            <w:sz w:val="18"/>
                          </w:rPr>
                          <w:t>0</w:t>
                        </w:r>
                      </w:p>
                    </w:txbxContent>
                  </v:textbox>
                </v:shape>
                <v:shape id="Textbox 102" o:spid="_x0000_s1163" type="#_x0000_t202" style="position:absolute;left:9457;top:33420;width:4043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14:paraId="1F235699" w14:textId="77777777" w:rsidR="00994717" w:rsidRDefault="00994717" w:rsidP="00994717">
                        <w:pPr>
                          <w:tabs>
                            <w:tab w:val="left" w:pos="1508"/>
                            <w:tab w:val="left" w:pos="2519"/>
                            <w:tab w:val="left" w:pos="3692"/>
                            <w:tab w:val="left" w:pos="5016"/>
                          </w:tabs>
                          <w:spacing w:line="180" w:lineRule="exact"/>
                          <w:rPr>
                            <w:rFonts w:ascii="Calibri"/>
                            <w:sz w:val="18"/>
                          </w:rPr>
                        </w:pPr>
                        <w:r>
                          <w:rPr>
                            <w:rFonts w:ascii="Calibri"/>
                            <w:color w:val="585858"/>
                            <w:sz w:val="18"/>
                          </w:rPr>
                          <w:t>Highly</w:t>
                        </w:r>
                        <w:r>
                          <w:rPr>
                            <w:rFonts w:ascii="Calibri"/>
                            <w:color w:val="585858"/>
                            <w:spacing w:val="-4"/>
                            <w:sz w:val="18"/>
                          </w:rPr>
                          <w:t xml:space="preserve"> </w:t>
                        </w:r>
                        <w:r>
                          <w:rPr>
                            <w:rFonts w:ascii="Calibri"/>
                            <w:color w:val="585858"/>
                            <w:spacing w:val="-2"/>
                            <w:sz w:val="18"/>
                          </w:rPr>
                          <w:t>Satisfied</w:t>
                        </w:r>
                        <w:r>
                          <w:rPr>
                            <w:rFonts w:ascii="Calibri"/>
                            <w:color w:val="585858"/>
                            <w:sz w:val="18"/>
                          </w:rPr>
                          <w:tab/>
                        </w:r>
                        <w:r>
                          <w:rPr>
                            <w:rFonts w:ascii="Calibri"/>
                            <w:color w:val="585858"/>
                            <w:spacing w:val="-2"/>
                            <w:sz w:val="18"/>
                          </w:rPr>
                          <w:t>Satisfied</w:t>
                        </w:r>
                        <w:r>
                          <w:rPr>
                            <w:rFonts w:ascii="Calibri"/>
                            <w:color w:val="585858"/>
                            <w:sz w:val="18"/>
                          </w:rPr>
                          <w:tab/>
                        </w:r>
                        <w:r>
                          <w:rPr>
                            <w:rFonts w:ascii="Calibri"/>
                            <w:color w:val="585858"/>
                            <w:spacing w:val="-2"/>
                            <w:sz w:val="18"/>
                          </w:rPr>
                          <w:t>Indifferent</w:t>
                        </w:r>
                        <w:r>
                          <w:rPr>
                            <w:rFonts w:ascii="Calibri"/>
                            <w:color w:val="585858"/>
                            <w:sz w:val="18"/>
                          </w:rPr>
                          <w:tab/>
                          <w:t>Not</w:t>
                        </w:r>
                        <w:r>
                          <w:rPr>
                            <w:rFonts w:ascii="Calibri"/>
                            <w:color w:val="585858"/>
                            <w:spacing w:val="-1"/>
                            <w:sz w:val="18"/>
                          </w:rPr>
                          <w:t xml:space="preserve"> </w:t>
                        </w:r>
                        <w:r>
                          <w:rPr>
                            <w:rFonts w:ascii="Calibri"/>
                            <w:color w:val="585858"/>
                            <w:spacing w:val="-2"/>
                            <w:sz w:val="18"/>
                          </w:rPr>
                          <w:t>Satisfied</w:t>
                        </w:r>
                        <w:r>
                          <w:rPr>
                            <w:rFonts w:ascii="Calibri"/>
                            <w:color w:val="585858"/>
                            <w:sz w:val="18"/>
                          </w:rPr>
                          <w:tab/>
                          <w:t>Not</w:t>
                        </w:r>
                        <w:r>
                          <w:rPr>
                            <w:rFonts w:ascii="Calibri"/>
                            <w:color w:val="585858"/>
                            <w:spacing w:val="-1"/>
                            <w:sz w:val="18"/>
                          </w:rPr>
                          <w:t xml:space="preserve"> </w:t>
                        </w:r>
                        <w:r>
                          <w:rPr>
                            <w:rFonts w:ascii="Calibri"/>
                            <w:color w:val="585858"/>
                            <w:sz w:val="18"/>
                          </w:rPr>
                          <w:t>Satisfied</w:t>
                        </w:r>
                        <w:r>
                          <w:rPr>
                            <w:rFonts w:ascii="Calibri"/>
                            <w:color w:val="585858"/>
                            <w:spacing w:val="-2"/>
                            <w:sz w:val="18"/>
                          </w:rPr>
                          <w:t xml:space="preserve"> </w:t>
                        </w:r>
                        <w:r>
                          <w:rPr>
                            <w:rFonts w:ascii="Calibri"/>
                            <w:color w:val="585858"/>
                            <w:sz w:val="18"/>
                          </w:rPr>
                          <w:t>at</w:t>
                        </w:r>
                        <w:r>
                          <w:rPr>
                            <w:rFonts w:ascii="Calibri"/>
                            <w:color w:val="585858"/>
                            <w:spacing w:val="-1"/>
                            <w:sz w:val="18"/>
                          </w:rPr>
                          <w:t xml:space="preserve"> </w:t>
                        </w:r>
                        <w:r>
                          <w:rPr>
                            <w:rFonts w:ascii="Calibri"/>
                            <w:color w:val="585858"/>
                            <w:spacing w:val="-5"/>
                            <w:sz w:val="18"/>
                          </w:rPr>
                          <w:t>all</w:t>
                        </w:r>
                      </w:p>
                    </w:txbxContent>
                  </v:textbox>
                </v:shape>
                <w10:wrap type="topAndBottom" anchorx="page"/>
              </v:group>
            </w:pict>
          </mc:Fallback>
        </mc:AlternateContent>
      </w:r>
      <w:r w:rsidR="004D1527" w:rsidRPr="004D1527">
        <w:rPr>
          <w:rFonts w:ascii="Times New Roman" w:hAnsi="Times New Roman" w:cs="Times New Roman"/>
          <w:color w:val="000000"/>
          <w:sz w:val="24"/>
          <w:szCs w:val="24"/>
        </w:rPr>
        <w:tab/>
      </w:r>
    </w:p>
    <w:p w14:paraId="0559D04D" w14:textId="77777777" w:rsidR="004D1527" w:rsidRPr="004D1527" w:rsidRDefault="004D1527" w:rsidP="00994717">
      <w:pPr>
        <w:autoSpaceDE w:val="0"/>
        <w:autoSpaceDN w:val="0"/>
        <w:adjustRightInd w:val="0"/>
        <w:spacing w:after="0" w:line="240" w:lineRule="auto"/>
        <w:jc w:val="center"/>
        <w:rPr>
          <w:rFonts w:ascii="Times New Roman" w:hAnsi="Times New Roman" w:cs="Times New Roman"/>
          <w:color w:val="000000"/>
          <w:sz w:val="24"/>
          <w:szCs w:val="24"/>
        </w:rPr>
      </w:pPr>
      <w:r w:rsidRPr="004D1527">
        <w:rPr>
          <w:rFonts w:ascii="Times New Roman" w:hAnsi="Times New Roman" w:cs="Times New Roman"/>
          <w:color w:val="000000"/>
          <w:sz w:val="24"/>
          <w:szCs w:val="24"/>
        </w:rPr>
        <w:t>Fig 7: Frequency of Usage</w:t>
      </w:r>
    </w:p>
    <w:p w14:paraId="6198C761" w14:textId="77777777" w:rsidR="004D1527" w:rsidRPr="004D1527" w:rsidRDefault="004D1527" w:rsidP="00994717">
      <w:pPr>
        <w:autoSpaceDE w:val="0"/>
        <w:autoSpaceDN w:val="0"/>
        <w:adjustRightInd w:val="0"/>
        <w:spacing w:after="0" w:line="240" w:lineRule="auto"/>
        <w:jc w:val="center"/>
        <w:rPr>
          <w:rFonts w:ascii="Times New Roman" w:hAnsi="Times New Roman" w:cs="Times New Roman"/>
          <w:color w:val="000000"/>
          <w:sz w:val="24"/>
          <w:szCs w:val="24"/>
        </w:rPr>
      </w:pPr>
      <w:r w:rsidRPr="004D1527">
        <w:rPr>
          <w:rFonts w:ascii="Times New Roman" w:hAnsi="Times New Roman" w:cs="Times New Roman"/>
          <w:color w:val="000000"/>
          <w:sz w:val="24"/>
          <w:szCs w:val="24"/>
        </w:rPr>
        <w:t>Source: Author’s field survey, 2023</w:t>
      </w:r>
    </w:p>
    <w:p w14:paraId="3D25B0ED"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6A014205" w14:textId="0847D721" w:rsidR="004D1527" w:rsidRPr="00994717"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994717">
        <w:rPr>
          <w:rFonts w:ascii="Times New Roman" w:hAnsi="Times New Roman" w:cs="Times New Roman"/>
          <w:b/>
          <w:bCs/>
          <w:color w:val="000000"/>
          <w:sz w:val="24"/>
          <w:szCs w:val="24"/>
        </w:rPr>
        <w:t>Feedback from Respondent</w:t>
      </w:r>
    </w:p>
    <w:p w14:paraId="5D81710C" w14:textId="0BD860ED"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The feedback gotten from respondent suggests that during peak period (varies with time and activities), users will have to queue to use the public facility. Most of the facilities are gender neutral, but respondent wished the facilities were separated according to male</w:t>
      </w:r>
      <w:r w:rsidR="00994717">
        <w:rPr>
          <w:rFonts w:ascii="Times New Roman" w:hAnsi="Times New Roman" w:cs="Times New Roman"/>
          <w:color w:val="000000"/>
          <w:sz w:val="24"/>
          <w:szCs w:val="24"/>
        </w:rPr>
        <w:t xml:space="preserve"> </w:t>
      </w:r>
      <w:r w:rsidRPr="004D1527">
        <w:rPr>
          <w:rFonts w:ascii="Times New Roman" w:hAnsi="Times New Roman" w:cs="Times New Roman"/>
          <w:color w:val="000000"/>
          <w:sz w:val="24"/>
          <w:szCs w:val="24"/>
        </w:rPr>
        <w:t>and female gender. Lastly, the qualities of the public toilets falls beyond users expectation as they are unlikely to recommend the toilet to others</w:t>
      </w:r>
    </w:p>
    <w:p w14:paraId="49DABBF7" w14:textId="4D9C127C" w:rsid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 xml:space="preserve"> </w:t>
      </w:r>
    </w:p>
    <w:p w14:paraId="0253EF93" w14:textId="1E44C9BC" w:rsidR="00994717" w:rsidRPr="004D1527" w:rsidRDefault="00FB07B1" w:rsidP="00FB07B1">
      <w:pPr>
        <w:autoSpaceDE w:val="0"/>
        <w:autoSpaceDN w:val="0"/>
        <w:adjustRightInd w:val="0"/>
        <w:spacing w:after="0" w:line="240" w:lineRule="auto"/>
        <w:jc w:val="center"/>
        <w:rPr>
          <w:rFonts w:ascii="Times New Roman" w:hAnsi="Times New Roman" w:cs="Times New Roman"/>
          <w:color w:val="000000"/>
          <w:sz w:val="24"/>
          <w:szCs w:val="24"/>
        </w:rPr>
      </w:pPr>
      <w:r w:rsidRPr="00FB07B1">
        <w:lastRenderedPageBreak/>
        <w:drawing>
          <wp:inline distT="0" distB="0" distL="0" distR="0" wp14:anchorId="2A9EFECD" wp14:editId="55FE77BF">
            <wp:extent cx="5734050" cy="3448050"/>
            <wp:effectExtent l="0" t="0" r="0" b="0"/>
            <wp:docPr id="70997467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34050" cy="3448050"/>
                    </a:xfrm>
                    <a:prstGeom prst="rect">
                      <a:avLst/>
                    </a:prstGeom>
                    <a:noFill/>
                    <a:ln>
                      <a:noFill/>
                    </a:ln>
                  </pic:spPr>
                </pic:pic>
              </a:graphicData>
            </a:graphic>
          </wp:inline>
        </w:drawing>
      </w:r>
    </w:p>
    <w:p w14:paraId="6769CE11" w14:textId="5EC8ED75" w:rsidR="004D1527" w:rsidRPr="004D1527" w:rsidRDefault="004D1527" w:rsidP="00994717">
      <w:pPr>
        <w:autoSpaceDE w:val="0"/>
        <w:autoSpaceDN w:val="0"/>
        <w:adjustRightInd w:val="0"/>
        <w:spacing w:after="0" w:line="240" w:lineRule="auto"/>
        <w:jc w:val="center"/>
        <w:rPr>
          <w:rFonts w:ascii="Times New Roman" w:hAnsi="Times New Roman" w:cs="Times New Roman"/>
          <w:color w:val="000000"/>
          <w:sz w:val="24"/>
          <w:szCs w:val="24"/>
        </w:rPr>
      </w:pPr>
      <w:r w:rsidRPr="004D1527">
        <w:rPr>
          <w:rFonts w:ascii="Times New Roman" w:hAnsi="Times New Roman" w:cs="Times New Roman"/>
          <w:color w:val="000000"/>
          <w:sz w:val="24"/>
          <w:szCs w:val="24"/>
        </w:rPr>
        <w:t>Fig 8: Feedback</w:t>
      </w:r>
    </w:p>
    <w:p w14:paraId="61134C1F" w14:textId="77777777" w:rsidR="004D1527" w:rsidRPr="004D1527" w:rsidRDefault="004D1527" w:rsidP="00994717">
      <w:pPr>
        <w:autoSpaceDE w:val="0"/>
        <w:autoSpaceDN w:val="0"/>
        <w:adjustRightInd w:val="0"/>
        <w:spacing w:after="0" w:line="240" w:lineRule="auto"/>
        <w:jc w:val="center"/>
        <w:rPr>
          <w:rFonts w:ascii="Times New Roman" w:hAnsi="Times New Roman" w:cs="Times New Roman"/>
          <w:color w:val="000000"/>
          <w:sz w:val="24"/>
          <w:szCs w:val="24"/>
        </w:rPr>
      </w:pPr>
      <w:r w:rsidRPr="004D1527">
        <w:rPr>
          <w:rFonts w:ascii="Times New Roman" w:hAnsi="Times New Roman" w:cs="Times New Roman"/>
          <w:color w:val="000000"/>
          <w:sz w:val="24"/>
          <w:szCs w:val="24"/>
        </w:rPr>
        <w:t>Source: Author’s field survey, 2023</w:t>
      </w:r>
    </w:p>
    <w:p w14:paraId="3C5C3B52"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p>
    <w:p w14:paraId="395C8E82"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Furthermore, the respondents were asked to share their experiences in other public toilet in Nigeria that can be replicated in Ogbomoso; response gotten were to (i) be accessible to the physically challenged, (ii) provision of wash hand basin, (iii) provision of urinals, (iv) provision of toiletries (v) encourage water cistern instead of squat toilet.</w:t>
      </w:r>
    </w:p>
    <w:p w14:paraId="2ED3E346"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The respondents’ further shares opinion to improve the environmental quality of the public toilet (i) running water should be made available in order to improve (ii) cleanliness</w:t>
      </w:r>
    </w:p>
    <w:p w14:paraId="0D0B9709" w14:textId="77777777" w:rsidR="00FB07B1" w:rsidRDefault="00FB07B1" w:rsidP="004D1527">
      <w:pPr>
        <w:autoSpaceDE w:val="0"/>
        <w:autoSpaceDN w:val="0"/>
        <w:adjustRightInd w:val="0"/>
        <w:spacing w:after="0" w:line="240" w:lineRule="auto"/>
        <w:jc w:val="both"/>
        <w:rPr>
          <w:rFonts w:ascii="Times New Roman" w:hAnsi="Times New Roman" w:cs="Times New Roman"/>
          <w:color w:val="000000"/>
          <w:sz w:val="24"/>
          <w:szCs w:val="24"/>
        </w:rPr>
      </w:pPr>
    </w:p>
    <w:p w14:paraId="11C2CA4D" w14:textId="10ADFAEE" w:rsidR="004D1527" w:rsidRPr="00FB07B1"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FB07B1">
        <w:rPr>
          <w:rFonts w:ascii="Times New Roman" w:hAnsi="Times New Roman" w:cs="Times New Roman"/>
          <w:b/>
          <w:bCs/>
          <w:color w:val="000000"/>
          <w:sz w:val="24"/>
          <w:szCs w:val="24"/>
        </w:rPr>
        <w:t>Summary of Findings</w:t>
      </w:r>
    </w:p>
    <w:p w14:paraId="70339033" w14:textId="16C698F8"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The findings clearly demonstrate that the current state of public toilets in Ogbomoso is substandard across multiple metrics—availability, hygiene, environmental</w:t>
      </w:r>
      <w:r w:rsidR="00FB07B1">
        <w:rPr>
          <w:rFonts w:ascii="Times New Roman" w:hAnsi="Times New Roman" w:cs="Times New Roman"/>
          <w:color w:val="000000"/>
          <w:sz w:val="24"/>
          <w:szCs w:val="24"/>
        </w:rPr>
        <w:t xml:space="preserve"> </w:t>
      </w:r>
      <w:r w:rsidRPr="004D1527">
        <w:rPr>
          <w:rFonts w:ascii="Times New Roman" w:hAnsi="Times New Roman" w:cs="Times New Roman"/>
          <w:color w:val="000000"/>
          <w:sz w:val="24"/>
          <w:szCs w:val="24"/>
        </w:rPr>
        <w:t>quality, user satisfaction, and inclusivity. The mismatch between infrastructure and user expectations has led to underutilization and exposes the public to preventable health risks. Despite sanitation being a fundamental human right and a key aspect of SDG 6, implementation in Ogbomoso remains insufficient.</w:t>
      </w:r>
    </w:p>
    <w:p w14:paraId="6F85E4C1" w14:textId="77777777" w:rsidR="00FB07B1" w:rsidRDefault="00FB07B1" w:rsidP="004D1527">
      <w:pPr>
        <w:autoSpaceDE w:val="0"/>
        <w:autoSpaceDN w:val="0"/>
        <w:adjustRightInd w:val="0"/>
        <w:spacing w:after="0" w:line="240" w:lineRule="auto"/>
        <w:jc w:val="both"/>
        <w:rPr>
          <w:rFonts w:ascii="Times New Roman" w:hAnsi="Times New Roman" w:cs="Times New Roman"/>
          <w:color w:val="000000"/>
          <w:sz w:val="24"/>
          <w:szCs w:val="24"/>
        </w:rPr>
      </w:pPr>
    </w:p>
    <w:p w14:paraId="052FE17A" w14:textId="4B6151A4" w:rsidR="004D1527" w:rsidRPr="00FB07B1"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FB07B1">
        <w:rPr>
          <w:rFonts w:ascii="Times New Roman" w:hAnsi="Times New Roman" w:cs="Times New Roman"/>
          <w:b/>
          <w:bCs/>
          <w:color w:val="000000"/>
          <w:sz w:val="24"/>
          <w:szCs w:val="24"/>
        </w:rPr>
        <w:t>Conclusion</w:t>
      </w:r>
    </w:p>
    <w:p w14:paraId="18E9BCFF" w14:textId="77777777"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Most of the public toilet falls under the standard of users’ perception as their ratings were either bad or not satisfied. The appraisal of the environmental quality will be good if the design is up to standard so as to allow inflow of quality air, it will also allow for good anthropometry and ergonometric. Provision of water, maintenance and cleanliness will also improve the environmental quality of public toilet.</w:t>
      </w:r>
    </w:p>
    <w:p w14:paraId="5A04348A" w14:textId="23AC2218" w:rsidR="004D1527" w:rsidRPr="004D1527" w:rsidRDefault="004D1527" w:rsidP="004D1527">
      <w:pPr>
        <w:autoSpaceDE w:val="0"/>
        <w:autoSpaceDN w:val="0"/>
        <w:adjustRightInd w:val="0"/>
        <w:spacing w:after="0" w:line="240" w:lineRule="auto"/>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Local authorities should also undertake frequent inspections of public cleaning contractors to ensure that public toilets are in good condition and safe. The perception and assessment of public toilets can help the government, policymakers, private sector to identify the key issue in a public toilet and be able to improve their services. Meanwhile, public awareness needs to be improved by displaying a poster in the public toilet to illustrate the public toilet precautions. Many platforms could be used to educate the user such as through social networks, televisions, and radio.</w:t>
      </w:r>
    </w:p>
    <w:p w14:paraId="6E606AEC" w14:textId="7EA5BAB1" w:rsidR="004D1527" w:rsidRPr="00FB07B1" w:rsidRDefault="004D1527"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FB07B1">
        <w:rPr>
          <w:rFonts w:ascii="Times New Roman" w:hAnsi="Times New Roman" w:cs="Times New Roman"/>
          <w:b/>
          <w:bCs/>
          <w:color w:val="000000"/>
          <w:sz w:val="24"/>
          <w:szCs w:val="24"/>
        </w:rPr>
        <w:lastRenderedPageBreak/>
        <w:t>Recommendation</w:t>
      </w:r>
    </w:p>
    <w:p w14:paraId="71965C8D" w14:textId="3FC84B24" w:rsidR="00FB07B1" w:rsidRPr="00FB07B1" w:rsidRDefault="004D1527" w:rsidP="00FB07B1">
      <w:pPr>
        <w:pStyle w:val="ListParagraph"/>
        <w:numPr>
          <w:ilvl w:val="0"/>
          <w:numId w:val="31"/>
        </w:numPr>
        <w:autoSpaceDE w:val="0"/>
        <w:autoSpaceDN w:val="0"/>
        <w:adjustRightInd w:val="0"/>
        <w:spacing w:after="0" w:line="240" w:lineRule="auto"/>
        <w:jc w:val="both"/>
        <w:rPr>
          <w:rFonts w:ascii="Times New Roman" w:hAnsi="Times New Roman"/>
          <w:color w:val="000000"/>
          <w:sz w:val="24"/>
          <w:szCs w:val="24"/>
        </w:rPr>
      </w:pPr>
      <w:r w:rsidRPr="00FB07B1">
        <w:rPr>
          <w:rFonts w:ascii="Times New Roman" w:hAnsi="Times New Roman"/>
          <w:color w:val="000000"/>
          <w:sz w:val="24"/>
          <w:szCs w:val="24"/>
        </w:rPr>
        <w:t xml:space="preserve">Infrastructure Investment: Public-private partnerships should be encouraged to build and </w:t>
      </w:r>
      <w:r w:rsidR="00FB07B1" w:rsidRPr="00FB07B1">
        <w:rPr>
          <w:rFonts w:ascii="Times New Roman" w:hAnsi="Times New Roman"/>
          <w:color w:val="000000"/>
          <w:sz w:val="24"/>
          <w:szCs w:val="24"/>
        </w:rPr>
        <w:t xml:space="preserve">      </w:t>
      </w:r>
    </w:p>
    <w:p w14:paraId="03F2C2F2" w14:textId="50308CCC" w:rsidR="004D1527" w:rsidRPr="00FB07B1" w:rsidRDefault="004D1527" w:rsidP="00FB07B1">
      <w:pPr>
        <w:pStyle w:val="ListParagraph"/>
        <w:numPr>
          <w:ilvl w:val="0"/>
          <w:numId w:val="31"/>
        </w:numPr>
        <w:autoSpaceDE w:val="0"/>
        <w:autoSpaceDN w:val="0"/>
        <w:adjustRightInd w:val="0"/>
        <w:spacing w:after="0" w:line="240" w:lineRule="auto"/>
        <w:jc w:val="both"/>
        <w:rPr>
          <w:rFonts w:ascii="Times New Roman" w:hAnsi="Times New Roman"/>
          <w:color w:val="000000"/>
          <w:sz w:val="24"/>
          <w:szCs w:val="24"/>
        </w:rPr>
      </w:pPr>
      <w:r w:rsidRPr="00FB07B1">
        <w:rPr>
          <w:rFonts w:ascii="Times New Roman" w:hAnsi="Times New Roman"/>
          <w:color w:val="000000"/>
          <w:sz w:val="24"/>
          <w:szCs w:val="24"/>
        </w:rPr>
        <w:t>manage new, modern, and sustainable toilet facilities.</w:t>
      </w:r>
    </w:p>
    <w:p w14:paraId="132D5DE9" w14:textId="01F7700F" w:rsidR="004D1527" w:rsidRPr="00FB07B1" w:rsidRDefault="004D1527" w:rsidP="00FB07B1">
      <w:pPr>
        <w:pStyle w:val="ListParagraph"/>
        <w:numPr>
          <w:ilvl w:val="0"/>
          <w:numId w:val="31"/>
        </w:numPr>
        <w:autoSpaceDE w:val="0"/>
        <w:autoSpaceDN w:val="0"/>
        <w:adjustRightInd w:val="0"/>
        <w:spacing w:after="0" w:line="240" w:lineRule="auto"/>
        <w:jc w:val="both"/>
        <w:rPr>
          <w:rFonts w:ascii="Times New Roman" w:hAnsi="Times New Roman"/>
          <w:color w:val="000000"/>
          <w:sz w:val="24"/>
          <w:szCs w:val="24"/>
        </w:rPr>
      </w:pPr>
      <w:r w:rsidRPr="00FB07B1">
        <w:rPr>
          <w:rFonts w:ascii="Times New Roman" w:hAnsi="Times New Roman"/>
          <w:color w:val="000000"/>
          <w:sz w:val="24"/>
          <w:szCs w:val="24"/>
        </w:rPr>
        <w:t>Maintenance Framework: Local governments should enforce a routine inspection and maintenance schedule.</w:t>
      </w:r>
    </w:p>
    <w:p w14:paraId="7F51DCD0" w14:textId="24ED6AAC" w:rsidR="004D1527" w:rsidRPr="00FB07B1" w:rsidRDefault="004D1527" w:rsidP="00FB07B1">
      <w:pPr>
        <w:pStyle w:val="ListParagraph"/>
        <w:numPr>
          <w:ilvl w:val="0"/>
          <w:numId w:val="31"/>
        </w:numPr>
        <w:autoSpaceDE w:val="0"/>
        <w:autoSpaceDN w:val="0"/>
        <w:adjustRightInd w:val="0"/>
        <w:spacing w:after="0" w:line="240" w:lineRule="auto"/>
        <w:jc w:val="both"/>
        <w:rPr>
          <w:rFonts w:ascii="Times New Roman" w:hAnsi="Times New Roman"/>
          <w:color w:val="000000"/>
          <w:sz w:val="24"/>
          <w:szCs w:val="24"/>
        </w:rPr>
      </w:pPr>
      <w:r w:rsidRPr="00FB07B1">
        <w:rPr>
          <w:rFonts w:ascii="Times New Roman" w:hAnsi="Times New Roman"/>
          <w:color w:val="000000"/>
          <w:sz w:val="24"/>
          <w:szCs w:val="24"/>
        </w:rPr>
        <w:t>Gender-Inclusive Design: Planning should prioritize women, children, elderly, and physically challenged persons.</w:t>
      </w:r>
    </w:p>
    <w:p w14:paraId="02911DD7" w14:textId="432221B9" w:rsidR="004D1527" w:rsidRPr="00FB07B1" w:rsidRDefault="004D1527" w:rsidP="00FB07B1">
      <w:pPr>
        <w:pStyle w:val="ListParagraph"/>
        <w:numPr>
          <w:ilvl w:val="0"/>
          <w:numId w:val="31"/>
        </w:numPr>
        <w:autoSpaceDE w:val="0"/>
        <w:autoSpaceDN w:val="0"/>
        <w:adjustRightInd w:val="0"/>
        <w:spacing w:after="0" w:line="240" w:lineRule="auto"/>
        <w:jc w:val="both"/>
        <w:rPr>
          <w:rFonts w:ascii="Times New Roman" w:hAnsi="Times New Roman"/>
          <w:color w:val="000000"/>
          <w:sz w:val="24"/>
          <w:szCs w:val="24"/>
        </w:rPr>
      </w:pPr>
      <w:r w:rsidRPr="00FB07B1">
        <w:rPr>
          <w:rFonts w:ascii="Times New Roman" w:hAnsi="Times New Roman"/>
          <w:color w:val="000000"/>
          <w:sz w:val="24"/>
          <w:szCs w:val="24"/>
        </w:rPr>
        <w:t>Public Awareness: Sanitation education campaigns should accompany physical upgrades to encourage proper use and maintenance by the public.</w:t>
      </w:r>
    </w:p>
    <w:p w14:paraId="002E5858" w14:textId="77777777" w:rsidR="00FB07B1" w:rsidRDefault="00FB07B1" w:rsidP="004D1527">
      <w:pPr>
        <w:autoSpaceDE w:val="0"/>
        <w:autoSpaceDN w:val="0"/>
        <w:adjustRightInd w:val="0"/>
        <w:spacing w:after="0" w:line="240" w:lineRule="auto"/>
        <w:jc w:val="both"/>
        <w:rPr>
          <w:rFonts w:ascii="Times New Roman" w:hAnsi="Times New Roman" w:cs="Times New Roman"/>
          <w:b/>
          <w:bCs/>
          <w:color w:val="000000"/>
          <w:sz w:val="24"/>
          <w:szCs w:val="24"/>
        </w:rPr>
      </w:pPr>
    </w:p>
    <w:p w14:paraId="14326167" w14:textId="37BA4679" w:rsidR="004D1527" w:rsidRPr="00FB07B1" w:rsidRDefault="00FB07B1" w:rsidP="004D1527">
      <w:pPr>
        <w:autoSpaceDE w:val="0"/>
        <w:autoSpaceDN w:val="0"/>
        <w:adjustRightInd w:val="0"/>
        <w:spacing w:after="0" w:line="240" w:lineRule="auto"/>
        <w:jc w:val="both"/>
        <w:rPr>
          <w:rFonts w:ascii="Times New Roman" w:hAnsi="Times New Roman" w:cs="Times New Roman"/>
          <w:b/>
          <w:bCs/>
          <w:color w:val="000000"/>
          <w:sz w:val="24"/>
          <w:szCs w:val="24"/>
        </w:rPr>
      </w:pPr>
      <w:r w:rsidRPr="00FB07B1">
        <w:rPr>
          <w:rFonts w:ascii="Times New Roman" w:hAnsi="Times New Roman" w:cs="Times New Roman"/>
          <w:b/>
          <w:bCs/>
          <w:color w:val="000000"/>
          <w:sz w:val="24"/>
          <w:szCs w:val="24"/>
        </w:rPr>
        <w:t>Reference</w:t>
      </w:r>
    </w:p>
    <w:p w14:paraId="6BCF6AE8"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Agbo, H. A., Envuladu, E. A, Adah, U. G. and Zoakah, A. I. (2012). An assessment of toilet facilities in secondary schools in Jos North Local Government Area of Plateau State. Greener Journal of Educational Research, 2(4), 91-94</w:t>
      </w:r>
    </w:p>
    <w:p w14:paraId="0F4549DC"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Andrea M, Bassanini, Giorgio Brunello &amp; Eve Caroli G 2017, ―Sanitary conveniences and the retreat of the frontier: Vancouver, 1886–1926‖ BC Studies 87 3–22</w:t>
      </w:r>
    </w:p>
    <w:p w14:paraId="702F2EE5"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Andrea Tales, et al. (2017). Ageing, Mobility and Toilet Access: A Human Rights Perspective.</w:t>
      </w:r>
    </w:p>
    <w:p w14:paraId="5D270D50" w14:textId="4461D552" w:rsidR="004D1527" w:rsidRPr="004D1527" w:rsidRDefault="00FB07B1"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4D1527" w:rsidRPr="004D1527">
        <w:rPr>
          <w:rFonts w:ascii="Times New Roman" w:hAnsi="Times New Roman" w:cs="Times New Roman"/>
          <w:color w:val="000000"/>
          <w:sz w:val="24"/>
          <w:szCs w:val="24"/>
        </w:rPr>
        <w:t>Gerontology &amp; Geriatric Research.</w:t>
      </w:r>
    </w:p>
    <w:p w14:paraId="3E36954C"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Asabia, A. (2009). Public, private and people partnership model for sanitation. International NGO Journal, 4(8), 362-367</w:t>
      </w:r>
    </w:p>
    <w:p w14:paraId="4F0A5947"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Aspinall P, Ward-Thompson C, Alves S, Sugiyama T, 2010, “Preference and relative importance for environmental attributes of neighborhood open space” Environment and Planning B: Planning and Design 37 1022–1039</w:t>
      </w:r>
    </w:p>
    <w:p w14:paraId="5B0FDC5F"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Awoyinfa, S. (2012). Lagos public toilets: Paying to get infected? The Sunday Punch Newspaper, 22nd January, 2015. https://www.vanguardngr.com/2012/10/using-public-toilets-in-lagos- is-like-purchasing-infections</w:t>
      </w:r>
    </w:p>
    <w:p w14:paraId="0A8611B7"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Bassey .B. Bassey (2022) Public Toilet System Impact and Associated Problem (A Case Study of Andoni L.G.A in Rivers State, Nigeria)</w:t>
      </w:r>
    </w:p>
    <w:p w14:paraId="54624DDB"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Cronk, R., Slaymaker, T. &amp; Bartram, J. (2015) Monitoring drinking water, sanitation, and hygiene in non-house hold settings: priorities for policy and practice. International Journal of Hygiene and Environmental Health 218 (8), 694–703.</w:t>
      </w:r>
    </w:p>
    <w:p w14:paraId="5A51A31F"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Dangana, Ismail, Mohammad Abdulrahman Muslim, Saidu Muhammad Babasaba and Aminu Mohammed Kandi (2020). Assessment of the quality of public facilities in Bida: a case study of public toilets in new market Bida, Niger State</w:t>
      </w:r>
    </w:p>
    <w:p w14:paraId="08EBD0EE"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Dr. Jane Hanzhen (2021). Reasons Women should avoid using Public Restroom. Health and Wellness</w:t>
      </w:r>
    </w:p>
    <w:p w14:paraId="59BAE6D1"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Eromosele, A. (2012). Public toilets in Lagos: A tale of neglect and decay. The Guardian Nigeria.</w:t>
      </w:r>
    </w:p>
    <w:p w14:paraId="7235CE24" w14:textId="30B01A66" w:rsidR="004D1527" w:rsidRPr="004D1527" w:rsidRDefault="00FB07B1"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4D1527" w:rsidRPr="004D1527">
        <w:rPr>
          <w:rFonts w:ascii="Times New Roman" w:hAnsi="Times New Roman" w:cs="Times New Roman"/>
          <w:color w:val="000000"/>
          <w:sz w:val="24"/>
          <w:szCs w:val="24"/>
        </w:rPr>
        <w:t>Retrieved from https://guardian.ng</w:t>
      </w:r>
    </w:p>
    <w:p w14:paraId="153242B4"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Greed C H, (2004) ―Public toilets: the need for compulsory provision“ Proceedings of the Institution of Civil Engineers–Municipal Engineers 157 77– 85</w:t>
      </w:r>
    </w:p>
    <w:p w14:paraId="5801F352" w14:textId="4B7ED986"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Lenason, D. N. (2009). Ministry provides subsidies for household toilets. Ghana: All Africa</w:t>
      </w:r>
    </w:p>
    <w:p w14:paraId="5DE07BDC"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Mahbub-Ul-Alam, M., &amp; Farzana, S. (2015). Public Toilet Management in Urban Slums and Health Implications in Developing Countries. International Journal of Environmental Research and Public Health.</w:t>
      </w:r>
    </w:p>
    <w:p w14:paraId="07FC966B"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Makama, A. A. (2015). Appraisal of sanitary facilities in public areas of Garki District, Abuja.</w:t>
      </w:r>
    </w:p>
    <w:p w14:paraId="00234524" w14:textId="60951C81" w:rsidR="004D1527" w:rsidRPr="004D1527" w:rsidRDefault="00FB07B1"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4D1527" w:rsidRPr="004D1527">
        <w:rPr>
          <w:rFonts w:ascii="Times New Roman" w:hAnsi="Times New Roman" w:cs="Times New Roman"/>
          <w:color w:val="000000"/>
          <w:sz w:val="24"/>
          <w:szCs w:val="24"/>
        </w:rPr>
        <w:t>Master’s Thesis, ABU, Zaria</w:t>
      </w:r>
    </w:p>
    <w:p w14:paraId="64202761"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Njoku, J. (2006). Iddo: Where waste is dumped with impunity. Vanguard Newspaper, September 18th 2006</w:t>
      </w:r>
    </w:p>
    <w:p w14:paraId="4093A203"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lastRenderedPageBreak/>
        <w:t>Oyinloye, M. A. and Oluwadare, O. I. (2015). Public convenience and sanitation challenges in developing nations: Afous on Agege, Lagos, Nigeria. International Journal of Research in Social Sciences, 5(7), 7-20</w:t>
      </w:r>
    </w:p>
    <w:p w14:paraId="7ABB12EB"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UN (2008). Better sanitation is a matter of basic human dignity. Accessed from https://www.un.org/apps/news/story.asp?NewsID=28981&amp;Cr=Sanitation&amp; Cr1 on 5th September, 2019</w:t>
      </w:r>
    </w:p>
    <w:p w14:paraId="75D1CCA9"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UN (2010). Sanitation as a human right. Accessed from https://www.unric.org/en/sanitation/27281-sanitationas-a-human-right on 7th September, 2019</w:t>
      </w:r>
    </w:p>
    <w:p w14:paraId="0CA56303"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UNICEF (2009). Equity in school water and sanitation: Overcoming Exclusion and discrimination in South Asia. Accessed from www.washresources.wordpress.com on 5th September, 2019</w:t>
      </w:r>
    </w:p>
    <w:p w14:paraId="3FD4280E"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UNICEF (2014). Lack of toilets dangerous for everyone. Accessed from https://www.unicef.org/media_77952.html on 6th September, 2019</w:t>
      </w:r>
    </w:p>
    <w:p w14:paraId="4911833E"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UNICEF. (2014). Ending Open Defecation: The Unfinished Agenda. Retrieved from https://www.unicef.org/wash/</w:t>
      </w:r>
    </w:p>
    <w:p w14:paraId="3FE4B96A"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United</w:t>
      </w:r>
      <w:r w:rsidRPr="004D1527">
        <w:rPr>
          <w:rFonts w:ascii="Times New Roman" w:hAnsi="Times New Roman" w:cs="Times New Roman"/>
          <w:color w:val="000000"/>
          <w:sz w:val="24"/>
          <w:szCs w:val="24"/>
        </w:rPr>
        <w:tab/>
      </w:r>
      <w:r w:rsidRPr="004D1527">
        <w:rPr>
          <w:rFonts w:ascii="Times New Roman" w:hAnsi="Times New Roman" w:cs="Times New Roman"/>
          <w:color w:val="000000"/>
          <w:sz w:val="24"/>
          <w:szCs w:val="24"/>
        </w:rPr>
        <w:tab/>
        <w:t>Nations</w:t>
      </w:r>
      <w:r w:rsidRPr="004D1527">
        <w:rPr>
          <w:rFonts w:ascii="Times New Roman" w:hAnsi="Times New Roman" w:cs="Times New Roman"/>
          <w:color w:val="000000"/>
          <w:sz w:val="24"/>
          <w:szCs w:val="24"/>
        </w:rPr>
        <w:tab/>
        <w:t>(UN)</w:t>
      </w:r>
      <w:r w:rsidRPr="004D1527">
        <w:rPr>
          <w:rFonts w:ascii="Times New Roman" w:hAnsi="Times New Roman" w:cs="Times New Roman"/>
          <w:color w:val="000000"/>
          <w:sz w:val="24"/>
          <w:szCs w:val="24"/>
        </w:rPr>
        <w:tab/>
        <w:t>2016.</w:t>
      </w:r>
      <w:r w:rsidRPr="004D1527">
        <w:rPr>
          <w:rFonts w:ascii="Times New Roman" w:hAnsi="Times New Roman" w:cs="Times New Roman"/>
          <w:color w:val="000000"/>
          <w:sz w:val="24"/>
          <w:szCs w:val="24"/>
        </w:rPr>
        <w:tab/>
        <w:t>New</w:t>
      </w:r>
      <w:r w:rsidRPr="004D1527">
        <w:rPr>
          <w:rFonts w:ascii="Times New Roman" w:hAnsi="Times New Roman" w:cs="Times New Roman"/>
          <w:color w:val="000000"/>
          <w:sz w:val="24"/>
          <w:szCs w:val="24"/>
        </w:rPr>
        <w:tab/>
        <w:t>Urban</w:t>
      </w:r>
      <w:r w:rsidRPr="004D1527">
        <w:rPr>
          <w:rFonts w:ascii="Times New Roman" w:hAnsi="Times New Roman" w:cs="Times New Roman"/>
          <w:color w:val="000000"/>
          <w:sz w:val="24"/>
          <w:szCs w:val="24"/>
        </w:rPr>
        <w:tab/>
        <w:t>Agenda.</w:t>
      </w:r>
      <w:r w:rsidRPr="004D1527">
        <w:rPr>
          <w:rFonts w:ascii="Times New Roman" w:hAnsi="Times New Roman" w:cs="Times New Roman"/>
          <w:color w:val="000000"/>
          <w:sz w:val="24"/>
          <w:szCs w:val="24"/>
        </w:rPr>
        <w:tab/>
        <w:t>Available</w:t>
      </w:r>
      <w:r w:rsidRPr="004D1527">
        <w:rPr>
          <w:rFonts w:ascii="Times New Roman" w:hAnsi="Times New Roman" w:cs="Times New Roman"/>
          <w:color w:val="000000"/>
          <w:sz w:val="24"/>
          <w:szCs w:val="24"/>
        </w:rPr>
        <w:tab/>
        <w:t>at: http://habitat3.org/wpcontent/uploads/NUA-Portuguese-Brazil.pdf? fbclid=IwAR2koIM7MtgBh6i57G4fxWeWpbK52Jr7sXIrGdBbJF81bF2GSzY527FWdA Y (accessed 10July2023).</w:t>
      </w:r>
    </w:p>
    <w:p w14:paraId="44A9F3D2" w14:textId="77777777" w:rsidR="004D1527" w:rsidRPr="004D1527"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WHO (2011). Water, sanitation and hygiene intervention and the prevention of diarrhoea: Biological</w:t>
      </w:r>
      <w:r w:rsidRPr="004D1527">
        <w:rPr>
          <w:rFonts w:ascii="Times New Roman" w:hAnsi="Times New Roman" w:cs="Times New Roman"/>
          <w:color w:val="000000"/>
          <w:sz w:val="24"/>
          <w:szCs w:val="24"/>
        </w:rPr>
        <w:tab/>
        <w:t>and</w:t>
      </w:r>
      <w:r w:rsidRPr="004D1527">
        <w:rPr>
          <w:rFonts w:ascii="Times New Roman" w:hAnsi="Times New Roman" w:cs="Times New Roman"/>
          <w:color w:val="000000"/>
          <w:sz w:val="24"/>
          <w:szCs w:val="24"/>
        </w:rPr>
        <w:tab/>
        <w:t>contextual</w:t>
      </w:r>
      <w:r w:rsidRPr="004D1527">
        <w:rPr>
          <w:rFonts w:ascii="Times New Roman" w:hAnsi="Times New Roman" w:cs="Times New Roman"/>
          <w:color w:val="000000"/>
          <w:sz w:val="24"/>
          <w:szCs w:val="24"/>
        </w:rPr>
        <w:tab/>
        <w:t>rationale.</w:t>
      </w:r>
      <w:r w:rsidRPr="004D1527">
        <w:rPr>
          <w:rFonts w:ascii="Times New Roman" w:hAnsi="Times New Roman" w:cs="Times New Roman"/>
          <w:color w:val="000000"/>
          <w:sz w:val="24"/>
          <w:szCs w:val="24"/>
        </w:rPr>
        <w:tab/>
        <w:t>Accessed</w:t>
      </w:r>
      <w:r w:rsidRPr="004D1527">
        <w:rPr>
          <w:rFonts w:ascii="Times New Roman" w:hAnsi="Times New Roman" w:cs="Times New Roman"/>
          <w:color w:val="000000"/>
          <w:sz w:val="24"/>
          <w:szCs w:val="24"/>
        </w:rPr>
        <w:tab/>
        <w:t>from https://www.who.int/elena/title/bbc/wsh_diarrhoea/en/ on 7th September, 2019</w:t>
      </w:r>
    </w:p>
    <w:p w14:paraId="484C0872" w14:textId="46FB90BC" w:rsidR="00BE4AF3" w:rsidRDefault="004D1527" w:rsidP="00FB07B1">
      <w:pPr>
        <w:autoSpaceDE w:val="0"/>
        <w:autoSpaceDN w:val="0"/>
        <w:adjustRightInd w:val="0"/>
        <w:spacing w:after="0" w:line="240" w:lineRule="auto"/>
        <w:ind w:left="851" w:hanging="851"/>
        <w:jc w:val="both"/>
        <w:rPr>
          <w:rFonts w:ascii="Times New Roman" w:hAnsi="Times New Roman" w:cs="Times New Roman"/>
          <w:color w:val="000000"/>
          <w:sz w:val="24"/>
          <w:szCs w:val="24"/>
        </w:rPr>
      </w:pPr>
      <w:r w:rsidRPr="004D1527">
        <w:rPr>
          <w:rFonts w:ascii="Times New Roman" w:hAnsi="Times New Roman" w:cs="Times New Roman"/>
          <w:color w:val="000000"/>
          <w:sz w:val="24"/>
          <w:szCs w:val="24"/>
        </w:rPr>
        <w:t>World Bank. (2019). WASH Poverty Diagnostic: Toward a More Equal Access to Water and Sanitation Services. Retrieved from https://www.worldbank.org/en/topic/watersanitation</w:t>
      </w:r>
    </w:p>
    <w:p w14:paraId="36FA8D9B"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2A509878"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287723A1"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4ACF4328"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78E03C15"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0A0C365C"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1323A14F"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0B86B891"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5D397B55"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26049CE4"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15818824"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1DCC38E7"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736E5005"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3C58C037"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3BA879B6"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6AECC457"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4B88B76E"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14B647BA"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4EB09250"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36F55D9D"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0D47A44D"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389602BA"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p w14:paraId="2ED61DDF" w14:textId="77777777" w:rsidR="004D7B29" w:rsidRDefault="004D7B29" w:rsidP="00ED4768">
      <w:pPr>
        <w:autoSpaceDE w:val="0"/>
        <w:autoSpaceDN w:val="0"/>
        <w:adjustRightInd w:val="0"/>
        <w:spacing w:after="0" w:line="240" w:lineRule="auto"/>
        <w:jc w:val="both"/>
        <w:rPr>
          <w:rFonts w:ascii="Times New Roman" w:hAnsi="Times New Roman" w:cs="Times New Roman"/>
          <w:color w:val="000000"/>
          <w:sz w:val="24"/>
          <w:szCs w:val="24"/>
        </w:rPr>
      </w:pPr>
    </w:p>
    <w:sectPr w:rsidR="004D7B29" w:rsidSect="00DF2A1B">
      <w:headerReference w:type="default" r:id="rId269"/>
      <w:pgSz w:w="11906" w:h="16838" w:code="9"/>
      <w:pgMar w:top="1360" w:right="1320" w:bottom="1200" w:left="1340" w:header="0" w:footer="1015"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5D3D31" w14:textId="77777777" w:rsidR="00AB53D5" w:rsidRDefault="00AB53D5">
      <w:pPr>
        <w:spacing w:after="0" w:line="240" w:lineRule="auto"/>
      </w:pPr>
      <w:r>
        <w:separator/>
      </w:r>
    </w:p>
  </w:endnote>
  <w:endnote w:type="continuationSeparator" w:id="0">
    <w:p w14:paraId="2D2F1B94" w14:textId="77777777" w:rsidR="00AB53D5" w:rsidRDefault="00AB53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NewRomanPSMT">
    <w:altName w:val="Times New Roman"/>
    <w:charset w:val="00"/>
    <w:family w:val="swiss"/>
    <w:pitch w:val="default"/>
    <w:sig w:usb0="00000000" w:usb1="00000000" w:usb2="00000000" w:usb3="00000000" w:csb0="00000001" w:csb1="00000000"/>
  </w:font>
  <w:font w:name="ITC Galliard Std">
    <w:altName w:val="Cambria"/>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LiberationSerif">
    <w:altName w:val="MS Gothic"/>
    <w:panose1 w:val="00000000000000000000"/>
    <w:charset w:val="80"/>
    <w:family w:val="auto"/>
    <w:notTrueType/>
    <w:pitch w:val="default"/>
    <w:sig w:usb0="00000000" w:usb1="08070000" w:usb2="00000010" w:usb3="00000000" w:csb0="00020001" w:csb1="00000000"/>
  </w:font>
  <w:font w:name="TimesNewRomanPS-BoldMT">
    <w:altName w:val="Segoe Print"/>
    <w:charset w:val="00"/>
    <w:family w:val="auto"/>
    <w:pitch w:val="default"/>
  </w:font>
  <w:font w:name="Calibri-BoldItalic">
    <w:altName w:val="Segoe Print"/>
    <w:charset w:val="00"/>
    <w:family w:val="auto"/>
    <w:pitch w:val="default"/>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59970629"/>
      <w:docPartObj>
        <w:docPartGallery w:val="Page Numbers (Bottom of Page)"/>
        <w:docPartUnique/>
      </w:docPartObj>
    </w:sdtPr>
    <w:sdtContent>
      <w:p w14:paraId="291166ED" w14:textId="77777777" w:rsidR="00BE4AF3" w:rsidRDefault="00BE4AF3">
        <w:pPr>
          <w:pStyle w:val="Footer"/>
          <w:jc w:val="center"/>
        </w:pPr>
        <w:r>
          <w:fldChar w:fldCharType="begin"/>
        </w:r>
        <w:r>
          <w:instrText xml:space="preserve"> PAGE   \* MERGEFORMAT </w:instrText>
        </w:r>
        <w:r>
          <w:fldChar w:fldCharType="separate"/>
        </w:r>
        <w:r w:rsidR="00B817B0">
          <w:rPr>
            <w:noProof/>
          </w:rPr>
          <w:t>436</w:t>
        </w:r>
        <w:r>
          <w:rPr>
            <w:noProof/>
          </w:rPr>
          <w:fldChar w:fldCharType="end"/>
        </w:r>
      </w:p>
    </w:sdtContent>
  </w:sdt>
  <w:p w14:paraId="1BA655E9" w14:textId="77777777" w:rsidR="00BE4AF3" w:rsidRDefault="00BE4AF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A61A4A" w14:textId="77777777" w:rsidR="00AB53D5" w:rsidRDefault="00AB53D5">
      <w:pPr>
        <w:spacing w:after="0" w:line="240" w:lineRule="auto"/>
      </w:pPr>
      <w:r>
        <w:separator/>
      </w:r>
    </w:p>
  </w:footnote>
  <w:footnote w:type="continuationSeparator" w:id="0">
    <w:p w14:paraId="494FF441" w14:textId="77777777" w:rsidR="00AB53D5" w:rsidRDefault="00AB53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BF4E5B" w14:textId="77777777" w:rsidR="00BE4AF3" w:rsidRDefault="00BE4AF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61E074" w14:textId="3C6B7693" w:rsidR="00BE4AF3" w:rsidRPr="00B5390D" w:rsidRDefault="00BE4AF3" w:rsidP="0000060D">
    <w:pPr>
      <w:pStyle w:val="Header"/>
      <w:rPr>
        <w:b/>
      </w:rPr>
    </w:pPr>
  </w:p>
  <w:p w14:paraId="51ECBBAC" w14:textId="77777777" w:rsidR="00BE4AF3" w:rsidRDefault="00BE4AF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7E381C" w14:textId="100EBEB5" w:rsidR="00BE4AF3" w:rsidRPr="00C92351" w:rsidRDefault="00BE4AF3" w:rsidP="00ED4768">
    <w:pPr>
      <w:pStyle w:val="Header"/>
      <w:rPr>
        <w: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22021CC"/>
    <w:multiLevelType w:val="singleLevel"/>
    <w:tmpl w:val="822021CC"/>
    <w:lvl w:ilvl="0">
      <w:start w:val="1"/>
      <w:numFmt w:val="decimal"/>
      <w:suff w:val="space"/>
      <w:lvlText w:val="%1."/>
      <w:lvlJc w:val="left"/>
    </w:lvl>
  </w:abstractNum>
  <w:abstractNum w:abstractNumId="1" w15:restartNumberingAfterBreak="0">
    <w:nsid w:val="00000003"/>
    <w:multiLevelType w:val="hybridMultilevel"/>
    <w:tmpl w:val="D792A182"/>
    <w:lvl w:ilvl="0" w:tplc="0409001B">
      <w:start w:val="1"/>
      <w:numFmt w:val="lowerRoman"/>
      <w:lvlText w:val="%1."/>
      <w:lvlJc w:val="right"/>
      <w:pPr>
        <w:ind w:left="720" w:hanging="360"/>
      </w:pPr>
    </w:lvl>
    <w:lvl w:ilvl="1" w:tplc="04090019">
      <w:start w:val="1"/>
      <w:numFmt w:val="lowerLetter"/>
      <w:lvlRestart w:val="0"/>
      <w:lvlText w:val="%2."/>
      <w:lvlJc w:val="left"/>
      <w:pPr>
        <w:ind w:left="1440" w:hanging="360"/>
      </w:pPr>
    </w:lvl>
    <w:lvl w:ilvl="2" w:tplc="0409001B">
      <w:start w:val="1"/>
      <w:numFmt w:val="lowerRoman"/>
      <w:lvlRestart w:val="0"/>
      <w:lvlText w:val="%3."/>
      <w:lvlJc w:val="right"/>
      <w:pPr>
        <w:ind w:left="2160" w:hanging="180"/>
      </w:pPr>
    </w:lvl>
    <w:lvl w:ilvl="3" w:tplc="0409000F">
      <w:start w:val="1"/>
      <w:numFmt w:val="decimal"/>
      <w:lvlRestart w:val="0"/>
      <w:lvlText w:val="%4."/>
      <w:lvlJc w:val="left"/>
      <w:pPr>
        <w:ind w:left="2880" w:hanging="360"/>
      </w:pPr>
    </w:lvl>
    <w:lvl w:ilvl="4" w:tplc="04090019">
      <w:start w:val="1"/>
      <w:numFmt w:val="lowerLetter"/>
      <w:lvlRestart w:val="0"/>
      <w:lvlText w:val="%5."/>
      <w:lvlJc w:val="left"/>
      <w:pPr>
        <w:ind w:left="3600" w:hanging="360"/>
      </w:pPr>
    </w:lvl>
    <w:lvl w:ilvl="5" w:tplc="0409001B">
      <w:start w:val="1"/>
      <w:numFmt w:val="lowerRoman"/>
      <w:lvlRestart w:val="0"/>
      <w:lvlText w:val="%6."/>
      <w:lvlJc w:val="right"/>
      <w:pPr>
        <w:ind w:left="4320" w:hanging="180"/>
      </w:pPr>
    </w:lvl>
    <w:lvl w:ilvl="6" w:tplc="0409000F">
      <w:start w:val="1"/>
      <w:numFmt w:val="decimal"/>
      <w:lvlRestart w:val="0"/>
      <w:lvlText w:val="%7."/>
      <w:lvlJc w:val="left"/>
      <w:pPr>
        <w:ind w:left="5040" w:hanging="360"/>
      </w:pPr>
    </w:lvl>
    <w:lvl w:ilvl="7" w:tplc="04090019">
      <w:start w:val="1"/>
      <w:numFmt w:val="lowerLetter"/>
      <w:lvlRestart w:val="0"/>
      <w:lvlText w:val="%8."/>
      <w:lvlJc w:val="left"/>
      <w:pPr>
        <w:ind w:left="5760" w:hanging="360"/>
      </w:pPr>
    </w:lvl>
    <w:lvl w:ilvl="8" w:tplc="0409001B">
      <w:start w:val="1"/>
      <w:numFmt w:val="lowerRoman"/>
      <w:lvlRestart w:val="0"/>
      <w:lvlText w:val="%9."/>
      <w:lvlJc w:val="right"/>
      <w:pPr>
        <w:ind w:left="6480" w:hanging="180"/>
      </w:pPr>
    </w:lvl>
  </w:abstractNum>
  <w:abstractNum w:abstractNumId="2" w15:restartNumberingAfterBreak="0">
    <w:nsid w:val="00000004"/>
    <w:multiLevelType w:val="hybridMultilevel"/>
    <w:tmpl w:val="2FECCBDE"/>
    <w:lvl w:ilvl="0" w:tplc="0409001B">
      <w:start w:val="1"/>
      <w:numFmt w:val="lowerRoman"/>
      <w:lvlText w:val="%1."/>
      <w:lvlJc w:val="right"/>
      <w:pPr>
        <w:ind w:left="720" w:hanging="360"/>
      </w:pPr>
    </w:lvl>
    <w:lvl w:ilvl="1" w:tplc="04090019">
      <w:start w:val="1"/>
      <w:numFmt w:val="lowerLetter"/>
      <w:lvlRestart w:val="0"/>
      <w:lvlText w:val="%2."/>
      <w:lvlJc w:val="left"/>
      <w:pPr>
        <w:ind w:left="1440" w:hanging="360"/>
      </w:pPr>
    </w:lvl>
    <w:lvl w:ilvl="2" w:tplc="0409001B">
      <w:start w:val="1"/>
      <w:numFmt w:val="lowerRoman"/>
      <w:lvlRestart w:val="0"/>
      <w:lvlText w:val="%3."/>
      <w:lvlJc w:val="right"/>
      <w:pPr>
        <w:ind w:left="2160" w:hanging="180"/>
      </w:pPr>
    </w:lvl>
    <w:lvl w:ilvl="3" w:tplc="0409000F">
      <w:start w:val="1"/>
      <w:numFmt w:val="decimal"/>
      <w:lvlRestart w:val="0"/>
      <w:lvlText w:val="%4."/>
      <w:lvlJc w:val="left"/>
      <w:pPr>
        <w:ind w:left="2880" w:hanging="360"/>
      </w:pPr>
    </w:lvl>
    <w:lvl w:ilvl="4" w:tplc="04090019">
      <w:start w:val="1"/>
      <w:numFmt w:val="lowerLetter"/>
      <w:lvlRestart w:val="0"/>
      <w:lvlText w:val="%5."/>
      <w:lvlJc w:val="left"/>
      <w:pPr>
        <w:ind w:left="3600" w:hanging="360"/>
      </w:pPr>
    </w:lvl>
    <w:lvl w:ilvl="5" w:tplc="0409001B">
      <w:start w:val="1"/>
      <w:numFmt w:val="lowerRoman"/>
      <w:lvlRestart w:val="0"/>
      <w:lvlText w:val="%6."/>
      <w:lvlJc w:val="right"/>
      <w:pPr>
        <w:ind w:left="4320" w:hanging="180"/>
      </w:pPr>
    </w:lvl>
    <w:lvl w:ilvl="6" w:tplc="0409000F">
      <w:start w:val="1"/>
      <w:numFmt w:val="decimal"/>
      <w:lvlRestart w:val="0"/>
      <w:lvlText w:val="%7."/>
      <w:lvlJc w:val="left"/>
      <w:pPr>
        <w:ind w:left="5040" w:hanging="360"/>
      </w:pPr>
    </w:lvl>
    <w:lvl w:ilvl="7" w:tplc="04090019">
      <w:start w:val="1"/>
      <w:numFmt w:val="lowerLetter"/>
      <w:lvlRestart w:val="0"/>
      <w:lvlText w:val="%8."/>
      <w:lvlJc w:val="left"/>
      <w:pPr>
        <w:ind w:left="5760" w:hanging="360"/>
      </w:pPr>
    </w:lvl>
    <w:lvl w:ilvl="8" w:tplc="0409001B">
      <w:start w:val="1"/>
      <w:numFmt w:val="lowerRoman"/>
      <w:lvlRestart w:val="0"/>
      <w:lvlText w:val="%9."/>
      <w:lvlJc w:val="right"/>
      <w:pPr>
        <w:ind w:left="6480" w:hanging="180"/>
      </w:pPr>
    </w:lvl>
  </w:abstractNum>
  <w:abstractNum w:abstractNumId="3" w15:restartNumberingAfterBreak="0">
    <w:nsid w:val="00000008"/>
    <w:multiLevelType w:val="hybridMultilevel"/>
    <w:tmpl w:val="DEBA0FEA"/>
    <w:lvl w:ilvl="0" w:tplc="0409001B">
      <w:start w:val="1"/>
      <w:numFmt w:val="lowerRoman"/>
      <w:lvlText w:val="%1."/>
      <w:lvlJc w:val="right"/>
      <w:pPr>
        <w:ind w:left="720" w:hanging="360"/>
      </w:pPr>
    </w:lvl>
    <w:lvl w:ilvl="1" w:tplc="04090019">
      <w:start w:val="1"/>
      <w:numFmt w:val="lowerLetter"/>
      <w:lvlRestart w:val="0"/>
      <w:lvlText w:val="%2."/>
      <w:lvlJc w:val="left"/>
      <w:pPr>
        <w:ind w:left="1440" w:hanging="360"/>
      </w:pPr>
    </w:lvl>
    <w:lvl w:ilvl="2" w:tplc="0409001B">
      <w:start w:val="1"/>
      <w:numFmt w:val="lowerRoman"/>
      <w:lvlRestart w:val="0"/>
      <w:lvlText w:val="%3."/>
      <w:lvlJc w:val="right"/>
      <w:pPr>
        <w:ind w:left="2160" w:hanging="180"/>
      </w:pPr>
    </w:lvl>
    <w:lvl w:ilvl="3" w:tplc="0409000F">
      <w:start w:val="1"/>
      <w:numFmt w:val="decimal"/>
      <w:lvlRestart w:val="0"/>
      <w:lvlText w:val="%4."/>
      <w:lvlJc w:val="left"/>
      <w:pPr>
        <w:ind w:left="2880" w:hanging="360"/>
      </w:pPr>
    </w:lvl>
    <w:lvl w:ilvl="4" w:tplc="04090019">
      <w:start w:val="1"/>
      <w:numFmt w:val="lowerLetter"/>
      <w:lvlRestart w:val="0"/>
      <w:lvlText w:val="%5."/>
      <w:lvlJc w:val="left"/>
      <w:pPr>
        <w:ind w:left="3600" w:hanging="360"/>
      </w:pPr>
    </w:lvl>
    <w:lvl w:ilvl="5" w:tplc="0409001B">
      <w:start w:val="1"/>
      <w:numFmt w:val="lowerRoman"/>
      <w:lvlRestart w:val="0"/>
      <w:lvlText w:val="%6."/>
      <w:lvlJc w:val="right"/>
      <w:pPr>
        <w:ind w:left="4320" w:hanging="180"/>
      </w:pPr>
    </w:lvl>
    <w:lvl w:ilvl="6" w:tplc="0409000F">
      <w:start w:val="1"/>
      <w:numFmt w:val="decimal"/>
      <w:lvlRestart w:val="0"/>
      <w:lvlText w:val="%7."/>
      <w:lvlJc w:val="left"/>
      <w:pPr>
        <w:ind w:left="5040" w:hanging="360"/>
      </w:pPr>
    </w:lvl>
    <w:lvl w:ilvl="7" w:tplc="04090019">
      <w:start w:val="1"/>
      <w:numFmt w:val="lowerLetter"/>
      <w:lvlRestart w:val="0"/>
      <w:lvlText w:val="%8."/>
      <w:lvlJc w:val="left"/>
      <w:pPr>
        <w:ind w:left="5760" w:hanging="360"/>
      </w:pPr>
    </w:lvl>
    <w:lvl w:ilvl="8" w:tplc="0409001B">
      <w:start w:val="1"/>
      <w:numFmt w:val="lowerRoman"/>
      <w:lvlRestart w:val="0"/>
      <w:lvlText w:val="%9."/>
      <w:lvlJc w:val="right"/>
      <w:pPr>
        <w:ind w:left="6480" w:hanging="180"/>
      </w:pPr>
    </w:lvl>
  </w:abstractNum>
  <w:abstractNum w:abstractNumId="4" w15:restartNumberingAfterBreak="0">
    <w:nsid w:val="0000000B"/>
    <w:multiLevelType w:val="hybridMultilevel"/>
    <w:tmpl w:val="CEB21E90"/>
    <w:lvl w:ilvl="0" w:tplc="0409001B">
      <w:start w:val="1"/>
      <w:numFmt w:val="lowerRoman"/>
      <w:lvlText w:val="%1."/>
      <w:lvlJc w:val="right"/>
      <w:pPr>
        <w:ind w:left="720" w:hanging="360"/>
      </w:pPr>
    </w:lvl>
    <w:lvl w:ilvl="1" w:tplc="04090019">
      <w:start w:val="1"/>
      <w:numFmt w:val="lowerLetter"/>
      <w:lvlRestart w:val="0"/>
      <w:lvlText w:val="%2."/>
      <w:lvlJc w:val="left"/>
      <w:pPr>
        <w:ind w:left="1440" w:hanging="360"/>
      </w:pPr>
    </w:lvl>
    <w:lvl w:ilvl="2" w:tplc="0409001B">
      <w:start w:val="1"/>
      <w:numFmt w:val="lowerRoman"/>
      <w:lvlRestart w:val="0"/>
      <w:lvlText w:val="%3."/>
      <w:lvlJc w:val="right"/>
      <w:pPr>
        <w:ind w:left="2160" w:hanging="180"/>
      </w:pPr>
    </w:lvl>
    <w:lvl w:ilvl="3" w:tplc="0409000F">
      <w:start w:val="1"/>
      <w:numFmt w:val="decimal"/>
      <w:lvlRestart w:val="0"/>
      <w:lvlText w:val="%4."/>
      <w:lvlJc w:val="left"/>
      <w:pPr>
        <w:ind w:left="2880" w:hanging="360"/>
      </w:pPr>
    </w:lvl>
    <w:lvl w:ilvl="4" w:tplc="04090019">
      <w:start w:val="1"/>
      <w:numFmt w:val="lowerLetter"/>
      <w:lvlRestart w:val="0"/>
      <w:lvlText w:val="%5."/>
      <w:lvlJc w:val="left"/>
      <w:pPr>
        <w:ind w:left="3600" w:hanging="360"/>
      </w:pPr>
    </w:lvl>
    <w:lvl w:ilvl="5" w:tplc="0409001B">
      <w:start w:val="1"/>
      <w:numFmt w:val="lowerRoman"/>
      <w:lvlRestart w:val="0"/>
      <w:lvlText w:val="%6."/>
      <w:lvlJc w:val="right"/>
      <w:pPr>
        <w:ind w:left="4320" w:hanging="180"/>
      </w:pPr>
    </w:lvl>
    <w:lvl w:ilvl="6" w:tplc="0409000F">
      <w:start w:val="1"/>
      <w:numFmt w:val="decimal"/>
      <w:lvlRestart w:val="0"/>
      <w:lvlText w:val="%7."/>
      <w:lvlJc w:val="left"/>
      <w:pPr>
        <w:ind w:left="5040" w:hanging="360"/>
      </w:pPr>
    </w:lvl>
    <w:lvl w:ilvl="7" w:tplc="04090019">
      <w:start w:val="1"/>
      <w:numFmt w:val="lowerLetter"/>
      <w:lvlRestart w:val="0"/>
      <w:lvlText w:val="%8."/>
      <w:lvlJc w:val="left"/>
      <w:pPr>
        <w:ind w:left="5760" w:hanging="360"/>
      </w:pPr>
    </w:lvl>
    <w:lvl w:ilvl="8" w:tplc="0409001B">
      <w:start w:val="1"/>
      <w:numFmt w:val="lowerRoman"/>
      <w:lvlRestart w:val="0"/>
      <w:lvlText w:val="%9."/>
      <w:lvlJc w:val="right"/>
      <w:pPr>
        <w:ind w:left="6480" w:hanging="180"/>
      </w:pPr>
    </w:lvl>
  </w:abstractNum>
  <w:abstractNum w:abstractNumId="5" w15:restartNumberingAfterBreak="0">
    <w:nsid w:val="0000A991"/>
    <w:multiLevelType w:val="multilevel"/>
    <w:tmpl w:val="494ECCCA"/>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6" w15:restartNumberingAfterBreak="0">
    <w:nsid w:val="01FE116F"/>
    <w:multiLevelType w:val="hybridMultilevel"/>
    <w:tmpl w:val="0E3A30DC"/>
    <w:lvl w:ilvl="0" w:tplc="4409001B">
      <w:start w:val="1"/>
      <w:numFmt w:val="lowerRoman"/>
      <w:lvlText w:val="%1."/>
      <w:lvlJc w:val="righ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7" w15:restartNumberingAfterBreak="0">
    <w:nsid w:val="060E73AB"/>
    <w:multiLevelType w:val="multilevel"/>
    <w:tmpl w:val="BA249048"/>
    <w:lvl w:ilvl="0">
      <w:start w:val="1"/>
      <w:numFmt w:val="lowerRoman"/>
      <w:lvlText w:val="(%1)"/>
      <w:lvlJc w:val="left"/>
      <w:pPr>
        <w:tabs>
          <w:tab w:val="num" w:pos="720"/>
        </w:tabs>
        <w:ind w:left="720" w:hanging="360"/>
      </w:pPr>
      <w:rPr>
        <w:rFonts w:ascii="Times New Roman"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76A11F2"/>
    <w:multiLevelType w:val="multilevel"/>
    <w:tmpl w:val="A35EDB4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9" w15:restartNumberingAfterBreak="0">
    <w:nsid w:val="082C236F"/>
    <w:multiLevelType w:val="multilevel"/>
    <w:tmpl w:val="0A1E680C"/>
    <w:lvl w:ilvl="0">
      <w:start w:val="3"/>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0C890949"/>
    <w:multiLevelType w:val="hybridMultilevel"/>
    <w:tmpl w:val="D382C90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93615C"/>
    <w:multiLevelType w:val="hybridMultilevel"/>
    <w:tmpl w:val="95E4D5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F6B3506"/>
    <w:multiLevelType w:val="multilevel"/>
    <w:tmpl w:val="E64ED59E"/>
    <w:lvl w:ilvl="0">
      <w:start w:val="1"/>
      <w:numFmt w:val="lowerRoman"/>
      <w:lvlText w:val="%1."/>
      <w:lvlJc w:val="left"/>
      <w:pPr>
        <w:tabs>
          <w:tab w:val="num" w:pos="720"/>
        </w:tabs>
        <w:ind w:left="720" w:hanging="360"/>
      </w:pPr>
    </w:lvl>
    <w:lvl w:ilvl="1">
      <w:start w:val="1"/>
      <w:numFmt w:val="lowerRoman"/>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lowerRoman"/>
      <w:lvlText w:val="%4."/>
      <w:lvlJc w:val="left"/>
      <w:pPr>
        <w:tabs>
          <w:tab w:val="num" w:pos="1800"/>
        </w:tabs>
        <w:ind w:left="1800" w:hanging="360"/>
      </w:pPr>
    </w:lvl>
    <w:lvl w:ilvl="4">
      <w:start w:val="1"/>
      <w:numFmt w:val="lowerRoman"/>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lowerRoman"/>
      <w:lvlText w:val="%7."/>
      <w:lvlJc w:val="left"/>
      <w:pPr>
        <w:tabs>
          <w:tab w:val="num" w:pos="2880"/>
        </w:tabs>
        <w:ind w:left="2880" w:hanging="360"/>
      </w:pPr>
    </w:lvl>
    <w:lvl w:ilvl="7">
      <w:start w:val="1"/>
      <w:numFmt w:val="lowerRoman"/>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13" w15:restartNumberingAfterBreak="0">
    <w:nsid w:val="16DD590F"/>
    <w:multiLevelType w:val="hybridMultilevel"/>
    <w:tmpl w:val="057A645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978455D"/>
    <w:multiLevelType w:val="hybridMultilevel"/>
    <w:tmpl w:val="A2B2F676"/>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B312376"/>
    <w:multiLevelType w:val="singleLevel"/>
    <w:tmpl w:val="1B312376"/>
    <w:lvl w:ilvl="0">
      <w:start w:val="2"/>
      <w:numFmt w:val="decimal"/>
      <w:suff w:val="space"/>
      <w:lvlText w:val="%1."/>
      <w:lvlJc w:val="left"/>
    </w:lvl>
  </w:abstractNum>
  <w:abstractNum w:abstractNumId="16" w15:restartNumberingAfterBreak="0">
    <w:nsid w:val="28F275DA"/>
    <w:multiLevelType w:val="hybridMultilevel"/>
    <w:tmpl w:val="181400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0597864"/>
    <w:multiLevelType w:val="hybridMultilevel"/>
    <w:tmpl w:val="BD9E106E"/>
    <w:lvl w:ilvl="0" w:tplc="887206DA">
      <w:start w:val="1"/>
      <w:numFmt w:val="lowerRoman"/>
      <w:lvlText w:val="%1."/>
      <w:lvlJc w:val="left"/>
      <w:pPr>
        <w:ind w:left="1080" w:hanging="720"/>
      </w:pPr>
      <w:rPr>
        <w:rFonts w:ascii="Times New Roman" w:eastAsiaTheme="minorHAnsi" w:hAnsi="Times New Roman" w:cs="Times New Roman"/>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1327B4A"/>
    <w:multiLevelType w:val="hybridMultilevel"/>
    <w:tmpl w:val="5B7038A2"/>
    <w:lvl w:ilvl="0" w:tplc="0809000F">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20F2C2F"/>
    <w:multiLevelType w:val="multilevel"/>
    <w:tmpl w:val="8B388CE4"/>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304540D"/>
    <w:multiLevelType w:val="multilevel"/>
    <w:tmpl w:val="67F22B90"/>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1" w15:restartNumberingAfterBreak="0">
    <w:nsid w:val="347B22A1"/>
    <w:multiLevelType w:val="hybridMultilevel"/>
    <w:tmpl w:val="45FC3E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7A1631D"/>
    <w:multiLevelType w:val="hybridMultilevel"/>
    <w:tmpl w:val="A7DE68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9064CAE"/>
    <w:multiLevelType w:val="hybridMultilevel"/>
    <w:tmpl w:val="01381F80"/>
    <w:lvl w:ilvl="0" w:tplc="D6121904">
      <w:start w:val="2"/>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4" w15:restartNumberingAfterBreak="0">
    <w:nsid w:val="4A4E5F2C"/>
    <w:multiLevelType w:val="hybridMultilevel"/>
    <w:tmpl w:val="EB92EE82"/>
    <w:lvl w:ilvl="0" w:tplc="64E2B4A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4B1F381D"/>
    <w:multiLevelType w:val="hybridMultilevel"/>
    <w:tmpl w:val="5E6AA2B2"/>
    <w:lvl w:ilvl="0" w:tplc="11786CC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B36C611"/>
    <w:multiLevelType w:val="singleLevel"/>
    <w:tmpl w:val="4B36C611"/>
    <w:lvl w:ilvl="0">
      <w:start w:val="1"/>
      <w:numFmt w:val="decimal"/>
      <w:suff w:val="space"/>
      <w:lvlText w:val="%1."/>
      <w:lvlJc w:val="left"/>
    </w:lvl>
  </w:abstractNum>
  <w:abstractNum w:abstractNumId="27" w15:restartNumberingAfterBreak="0">
    <w:nsid w:val="4BA82835"/>
    <w:multiLevelType w:val="hybridMultilevel"/>
    <w:tmpl w:val="CA3C08C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E233504"/>
    <w:multiLevelType w:val="multilevel"/>
    <w:tmpl w:val="366E81C6"/>
    <w:lvl w:ilvl="0">
      <w:start w:val="1"/>
      <w:numFmt w:val="lowerRoman"/>
      <w:lvlText w:val="%1."/>
      <w:lvlJc w:val="left"/>
      <w:pPr>
        <w:tabs>
          <w:tab w:val="num" w:pos="720"/>
        </w:tabs>
        <w:ind w:left="720" w:hanging="360"/>
      </w:pPr>
    </w:lvl>
    <w:lvl w:ilvl="1">
      <w:start w:val="1"/>
      <w:numFmt w:val="lowerRoman"/>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lowerRoman"/>
      <w:lvlText w:val="%4."/>
      <w:lvlJc w:val="left"/>
      <w:pPr>
        <w:tabs>
          <w:tab w:val="num" w:pos="1800"/>
        </w:tabs>
        <w:ind w:left="1800" w:hanging="360"/>
      </w:pPr>
    </w:lvl>
    <w:lvl w:ilvl="4">
      <w:start w:val="1"/>
      <w:numFmt w:val="lowerRoman"/>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lowerRoman"/>
      <w:lvlText w:val="%7."/>
      <w:lvlJc w:val="left"/>
      <w:pPr>
        <w:tabs>
          <w:tab w:val="num" w:pos="2880"/>
        </w:tabs>
        <w:ind w:left="2880" w:hanging="360"/>
      </w:pPr>
    </w:lvl>
    <w:lvl w:ilvl="7">
      <w:start w:val="1"/>
      <w:numFmt w:val="lowerRoman"/>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29" w15:restartNumberingAfterBreak="0">
    <w:nsid w:val="5FF57E76"/>
    <w:multiLevelType w:val="hybridMultilevel"/>
    <w:tmpl w:val="A3F6BA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AE942D3"/>
    <w:multiLevelType w:val="hybridMultilevel"/>
    <w:tmpl w:val="9BCA2920"/>
    <w:lvl w:ilvl="0" w:tplc="4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119127C"/>
    <w:multiLevelType w:val="hybridMultilevel"/>
    <w:tmpl w:val="31A62A80"/>
    <w:lvl w:ilvl="0" w:tplc="E804A43C">
      <w:start w:val="1"/>
      <w:numFmt w:val="lowerRoman"/>
      <w:lvlText w:val="%1."/>
      <w:lvlJc w:val="right"/>
      <w:pPr>
        <w:ind w:left="720" w:hanging="360"/>
      </w:pPr>
      <w:rPr>
        <w:rFonts w:ascii="Times New Roman" w:eastAsia="Calibr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5EC38BA"/>
    <w:multiLevelType w:val="hybridMultilevel"/>
    <w:tmpl w:val="D6F6170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3" w15:restartNumberingAfterBreak="0">
    <w:nsid w:val="78953127"/>
    <w:multiLevelType w:val="multilevel"/>
    <w:tmpl w:val="A2CE21EA"/>
    <w:lvl w:ilvl="0">
      <w:start w:val="1"/>
      <w:numFmt w:val="decimal"/>
      <w:lvlText w:val="%1.0"/>
      <w:lvlJc w:val="left"/>
      <w:pPr>
        <w:ind w:left="719" w:hanging="360"/>
      </w:pPr>
      <w:rPr>
        <w:rFonts w:ascii="Times New Roman" w:eastAsia="Times New Roman" w:hAnsi="Times New Roman" w:cs="Times New Roman" w:hint="default"/>
        <w:b/>
        <w:bCs/>
        <w:i w:val="0"/>
        <w:iCs w:val="0"/>
        <w:spacing w:val="0"/>
        <w:w w:val="99"/>
        <w:sz w:val="24"/>
        <w:szCs w:val="24"/>
        <w:lang w:val="en-US" w:eastAsia="en-US" w:bidi="ar-SA"/>
      </w:rPr>
    </w:lvl>
    <w:lvl w:ilvl="1">
      <w:start w:val="1"/>
      <w:numFmt w:val="decimal"/>
      <w:lvlText w:val="%1.%2"/>
      <w:lvlJc w:val="left"/>
      <w:pPr>
        <w:ind w:left="719" w:hanging="360"/>
      </w:pPr>
      <w:rPr>
        <w:rFonts w:ascii="Times New Roman" w:eastAsia="Times New Roman" w:hAnsi="Times New Roman" w:cs="Times New Roman" w:hint="default"/>
        <w:b/>
        <w:bCs/>
        <w:i w:val="0"/>
        <w:iCs w:val="0"/>
        <w:spacing w:val="0"/>
        <w:w w:val="99"/>
        <w:sz w:val="24"/>
        <w:szCs w:val="24"/>
        <w:lang w:val="en-US" w:eastAsia="en-US" w:bidi="ar-SA"/>
      </w:rPr>
    </w:lvl>
    <w:lvl w:ilvl="2">
      <w:start w:val="2"/>
      <w:numFmt w:val="decimalZero"/>
      <w:lvlText w:val="%3"/>
      <w:lvlJc w:val="left"/>
      <w:pPr>
        <w:ind w:left="1056" w:hanging="589"/>
      </w:pPr>
      <w:rPr>
        <w:rFonts w:ascii="Times New Roman" w:eastAsia="Times New Roman" w:hAnsi="Times New Roman" w:cs="Times New Roman" w:hint="default"/>
        <w:b w:val="0"/>
        <w:bCs w:val="0"/>
        <w:i w:val="0"/>
        <w:iCs w:val="0"/>
        <w:spacing w:val="0"/>
        <w:w w:val="99"/>
        <w:sz w:val="20"/>
        <w:szCs w:val="20"/>
        <w:lang w:val="en-US" w:eastAsia="en-US" w:bidi="ar-SA"/>
      </w:rPr>
    </w:lvl>
    <w:lvl w:ilvl="3">
      <w:numFmt w:val="bullet"/>
      <w:lvlText w:val="•"/>
      <w:lvlJc w:val="left"/>
      <w:pPr>
        <w:ind w:left="1264" w:hanging="589"/>
      </w:pPr>
      <w:rPr>
        <w:rFonts w:hint="default"/>
        <w:lang w:val="en-US" w:eastAsia="en-US" w:bidi="ar-SA"/>
      </w:rPr>
    </w:lvl>
    <w:lvl w:ilvl="4">
      <w:numFmt w:val="bullet"/>
      <w:lvlText w:val="•"/>
      <w:lvlJc w:val="left"/>
      <w:pPr>
        <w:ind w:left="1366" w:hanging="589"/>
      </w:pPr>
      <w:rPr>
        <w:rFonts w:hint="default"/>
        <w:lang w:val="en-US" w:eastAsia="en-US" w:bidi="ar-SA"/>
      </w:rPr>
    </w:lvl>
    <w:lvl w:ilvl="5">
      <w:numFmt w:val="bullet"/>
      <w:lvlText w:val="•"/>
      <w:lvlJc w:val="left"/>
      <w:pPr>
        <w:ind w:left="1468" w:hanging="589"/>
      </w:pPr>
      <w:rPr>
        <w:rFonts w:hint="default"/>
        <w:lang w:val="en-US" w:eastAsia="en-US" w:bidi="ar-SA"/>
      </w:rPr>
    </w:lvl>
    <w:lvl w:ilvl="6">
      <w:numFmt w:val="bullet"/>
      <w:lvlText w:val="•"/>
      <w:lvlJc w:val="left"/>
      <w:pPr>
        <w:ind w:left="1570" w:hanging="589"/>
      </w:pPr>
      <w:rPr>
        <w:rFonts w:hint="default"/>
        <w:lang w:val="en-US" w:eastAsia="en-US" w:bidi="ar-SA"/>
      </w:rPr>
    </w:lvl>
    <w:lvl w:ilvl="7">
      <w:numFmt w:val="bullet"/>
      <w:lvlText w:val="•"/>
      <w:lvlJc w:val="left"/>
      <w:pPr>
        <w:ind w:left="1672" w:hanging="589"/>
      </w:pPr>
      <w:rPr>
        <w:rFonts w:hint="default"/>
        <w:lang w:val="en-US" w:eastAsia="en-US" w:bidi="ar-SA"/>
      </w:rPr>
    </w:lvl>
    <w:lvl w:ilvl="8">
      <w:numFmt w:val="bullet"/>
      <w:lvlText w:val="•"/>
      <w:lvlJc w:val="left"/>
      <w:pPr>
        <w:ind w:left="1774" w:hanging="589"/>
      </w:pPr>
      <w:rPr>
        <w:rFonts w:hint="default"/>
        <w:lang w:val="en-US" w:eastAsia="en-US" w:bidi="ar-SA"/>
      </w:rPr>
    </w:lvl>
  </w:abstractNum>
  <w:num w:numId="1" w16cid:durableId="465439512">
    <w:abstractNumId w:val="27"/>
  </w:num>
  <w:num w:numId="2" w16cid:durableId="865751984">
    <w:abstractNumId w:val="15"/>
  </w:num>
  <w:num w:numId="3" w16cid:durableId="2064404620">
    <w:abstractNumId w:val="17"/>
  </w:num>
  <w:num w:numId="4" w16cid:durableId="695035050">
    <w:abstractNumId w:val="8"/>
  </w:num>
  <w:num w:numId="5" w16cid:durableId="976643331">
    <w:abstractNumId w:val="9"/>
  </w:num>
  <w:num w:numId="6" w16cid:durableId="164253172">
    <w:abstractNumId w:val="11"/>
  </w:num>
  <w:num w:numId="7" w16cid:durableId="1390885131">
    <w:abstractNumId w:val="20"/>
  </w:num>
  <w:num w:numId="8" w16cid:durableId="135151375">
    <w:abstractNumId w:val="21"/>
  </w:num>
  <w:num w:numId="9" w16cid:durableId="1337265025">
    <w:abstractNumId w:val="5"/>
  </w:num>
  <w:num w:numId="10" w16cid:durableId="1788112987">
    <w:abstractNumId w:val="12"/>
  </w:num>
  <w:num w:numId="11" w16cid:durableId="1137643575">
    <w:abstractNumId w:val="28"/>
  </w:num>
  <w:num w:numId="12" w16cid:durableId="1682975134">
    <w:abstractNumId w:val="16"/>
  </w:num>
  <w:num w:numId="13" w16cid:durableId="531236221">
    <w:abstractNumId w:val="29"/>
  </w:num>
  <w:num w:numId="14" w16cid:durableId="1914466473">
    <w:abstractNumId w:val="7"/>
  </w:num>
  <w:num w:numId="15" w16cid:durableId="201019679">
    <w:abstractNumId w:val="24"/>
  </w:num>
  <w:num w:numId="16" w16cid:durableId="757754092">
    <w:abstractNumId w:val="2"/>
  </w:num>
  <w:num w:numId="17" w16cid:durableId="2059355266">
    <w:abstractNumId w:val="4"/>
  </w:num>
  <w:num w:numId="18" w16cid:durableId="527455697">
    <w:abstractNumId w:val="1"/>
  </w:num>
  <w:num w:numId="19" w16cid:durableId="1530988137">
    <w:abstractNumId w:val="3"/>
  </w:num>
  <w:num w:numId="20" w16cid:durableId="961034176">
    <w:abstractNumId w:val="0"/>
  </w:num>
  <w:num w:numId="21" w16cid:durableId="898787612">
    <w:abstractNumId w:val="19"/>
  </w:num>
  <w:num w:numId="22" w16cid:durableId="998265783">
    <w:abstractNumId w:val="25"/>
  </w:num>
  <w:num w:numId="23" w16cid:durableId="249390473">
    <w:abstractNumId w:val="31"/>
  </w:num>
  <w:num w:numId="24" w16cid:durableId="1418476788">
    <w:abstractNumId w:val="14"/>
  </w:num>
  <w:num w:numId="25" w16cid:durableId="1713312437">
    <w:abstractNumId w:val="10"/>
  </w:num>
  <w:num w:numId="26" w16cid:durableId="610169484">
    <w:abstractNumId w:val="26"/>
  </w:num>
  <w:num w:numId="27" w16cid:durableId="541745265">
    <w:abstractNumId w:val="22"/>
  </w:num>
  <w:num w:numId="28" w16cid:durableId="849300902">
    <w:abstractNumId w:val="18"/>
  </w:num>
  <w:num w:numId="29" w16cid:durableId="1870215057">
    <w:abstractNumId w:val="13"/>
  </w:num>
  <w:num w:numId="30" w16cid:durableId="1413624961">
    <w:abstractNumId w:val="23"/>
  </w:num>
  <w:num w:numId="31" w16cid:durableId="2046709928">
    <w:abstractNumId w:val="6"/>
  </w:num>
  <w:num w:numId="32" w16cid:durableId="1111167202">
    <w:abstractNumId w:val="33"/>
  </w:num>
  <w:num w:numId="33" w16cid:durableId="1932858088">
    <w:abstractNumId w:val="32"/>
  </w:num>
  <w:num w:numId="34" w16cid:durableId="1698702887">
    <w:abstractNumId w:val="3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7876"/>
    <w:rsid w:val="0000060D"/>
    <w:rsid w:val="0000229F"/>
    <w:rsid w:val="000067A5"/>
    <w:rsid w:val="000072CF"/>
    <w:rsid w:val="00013474"/>
    <w:rsid w:val="0002104B"/>
    <w:rsid w:val="00042A7F"/>
    <w:rsid w:val="00045FC7"/>
    <w:rsid w:val="00047652"/>
    <w:rsid w:val="000500C1"/>
    <w:rsid w:val="00051219"/>
    <w:rsid w:val="00051BE1"/>
    <w:rsid w:val="00065029"/>
    <w:rsid w:val="000704D9"/>
    <w:rsid w:val="000B0F14"/>
    <w:rsid w:val="000C623F"/>
    <w:rsid w:val="000C7355"/>
    <w:rsid w:val="000D5E6D"/>
    <w:rsid w:val="000F1BBB"/>
    <w:rsid w:val="000F499B"/>
    <w:rsid w:val="00114425"/>
    <w:rsid w:val="00116291"/>
    <w:rsid w:val="00136F88"/>
    <w:rsid w:val="0014525F"/>
    <w:rsid w:val="00152DDF"/>
    <w:rsid w:val="00154C77"/>
    <w:rsid w:val="0016089C"/>
    <w:rsid w:val="001623CF"/>
    <w:rsid w:val="0016640C"/>
    <w:rsid w:val="001B6CC4"/>
    <w:rsid w:val="001E3408"/>
    <w:rsid w:val="001E38AC"/>
    <w:rsid w:val="001E4F74"/>
    <w:rsid w:val="00204779"/>
    <w:rsid w:val="00204C31"/>
    <w:rsid w:val="0020515F"/>
    <w:rsid w:val="00207803"/>
    <w:rsid w:val="002327E1"/>
    <w:rsid w:val="002370CA"/>
    <w:rsid w:val="00244A2E"/>
    <w:rsid w:val="00245B2C"/>
    <w:rsid w:val="002645BB"/>
    <w:rsid w:val="00275273"/>
    <w:rsid w:val="00280688"/>
    <w:rsid w:val="002A3ABC"/>
    <w:rsid w:val="002B293A"/>
    <w:rsid w:val="002C342A"/>
    <w:rsid w:val="00337E0F"/>
    <w:rsid w:val="00342286"/>
    <w:rsid w:val="0034248D"/>
    <w:rsid w:val="0038623D"/>
    <w:rsid w:val="003933A3"/>
    <w:rsid w:val="003A4ACC"/>
    <w:rsid w:val="003A666E"/>
    <w:rsid w:val="003C648A"/>
    <w:rsid w:val="003D68D9"/>
    <w:rsid w:val="003F40E8"/>
    <w:rsid w:val="00401EAA"/>
    <w:rsid w:val="00406BA9"/>
    <w:rsid w:val="0042118D"/>
    <w:rsid w:val="00433976"/>
    <w:rsid w:val="004371E3"/>
    <w:rsid w:val="00441FBB"/>
    <w:rsid w:val="00473646"/>
    <w:rsid w:val="004A5969"/>
    <w:rsid w:val="004B13C1"/>
    <w:rsid w:val="004B60E9"/>
    <w:rsid w:val="004D1527"/>
    <w:rsid w:val="004D1C5E"/>
    <w:rsid w:val="004D40EE"/>
    <w:rsid w:val="004D7B29"/>
    <w:rsid w:val="005158DE"/>
    <w:rsid w:val="0052113D"/>
    <w:rsid w:val="005240D1"/>
    <w:rsid w:val="005320EC"/>
    <w:rsid w:val="00535FED"/>
    <w:rsid w:val="0054012E"/>
    <w:rsid w:val="005463FE"/>
    <w:rsid w:val="005730E3"/>
    <w:rsid w:val="0057538F"/>
    <w:rsid w:val="00596BBD"/>
    <w:rsid w:val="005A6978"/>
    <w:rsid w:val="005C1151"/>
    <w:rsid w:val="005C1FE0"/>
    <w:rsid w:val="005D154C"/>
    <w:rsid w:val="005D568D"/>
    <w:rsid w:val="005D71CC"/>
    <w:rsid w:val="005D7C53"/>
    <w:rsid w:val="005E02BF"/>
    <w:rsid w:val="005E27A9"/>
    <w:rsid w:val="005E515E"/>
    <w:rsid w:val="00601D03"/>
    <w:rsid w:val="00601EE7"/>
    <w:rsid w:val="00602FDE"/>
    <w:rsid w:val="00615853"/>
    <w:rsid w:val="00626F3E"/>
    <w:rsid w:val="00656A14"/>
    <w:rsid w:val="00660949"/>
    <w:rsid w:val="00664C94"/>
    <w:rsid w:val="0066719E"/>
    <w:rsid w:val="00680209"/>
    <w:rsid w:val="00680C6F"/>
    <w:rsid w:val="00685BCD"/>
    <w:rsid w:val="006A4C84"/>
    <w:rsid w:val="006A700E"/>
    <w:rsid w:val="006C32B2"/>
    <w:rsid w:val="00717939"/>
    <w:rsid w:val="00734378"/>
    <w:rsid w:val="00735E1D"/>
    <w:rsid w:val="00742E86"/>
    <w:rsid w:val="00755C04"/>
    <w:rsid w:val="0075695E"/>
    <w:rsid w:val="00773CB0"/>
    <w:rsid w:val="007770E7"/>
    <w:rsid w:val="007A25AE"/>
    <w:rsid w:val="007A5D8C"/>
    <w:rsid w:val="007A6BE7"/>
    <w:rsid w:val="007A7D48"/>
    <w:rsid w:val="007C330F"/>
    <w:rsid w:val="007C62BD"/>
    <w:rsid w:val="007C6D6B"/>
    <w:rsid w:val="007E297E"/>
    <w:rsid w:val="007E7AF9"/>
    <w:rsid w:val="007F7159"/>
    <w:rsid w:val="007F7543"/>
    <w:rsid w:val="008053B3"/>
    <w:rsid w:val="00806A12"/>
    <w:rsid w:val="00821843"/>
    <w:rsid w:val="00823CC5"/>
    <w:rsid w:val="00847331"/>
    <w:rsid w:val="00851684"/>
    <w:rsid w:val="00876316"/>
    <w:rsid w:val="00883B5D"/>
    <w:rsid w:val="008848D7"/>
    <w:rsid w:val="00891DB0"/>
    <w:rsid w:val="00895636"/>
    <w:rsid w:val="008A0A89"/>
    <w:rsid w:val="008B649B"/>
    <w:rsid w:val="008C779C"/>
    <w:rsid w:val="0090056C"/>
    <w:rsid w:val="0092276B"/>
    <w:rsid w:val="0093036C"/>
    <w:rsid w:val="00933BD9"/>
    <w:rsid w:val="009365E8"/>
    <w:rsid w:val="009436ED"/>
    <w:rsid w:val="009506B8"/>
    <w:rsid w:val="00977773"/>
    <w:rsid w:val="009905AA"/>
    <w:rsid w:val="00994717"/>
    <w:rsid w:val="009B16DE"/>
    <w:rsid w:val="009E559E"/>
    <w:rsid w:val="00A020B0"/>
    <w:rsid w:val="00A034BA"/>
    <w:rsid w:val="00A10321"/>
    <w:rsid w:val="00A1781F"/>
    <w:rsid w:val="00A226D9"/>
    <w:rsid w:val="00A42158"/>
    <w:rsid w:val="00A4549A"/>
    <w:rsid w:val="00A457E1"/>
    <w:rsid w:val="00A50BE9"/>
    <w:rsid w:val="00A512AD"/>
    <w:rsid w:val="00A63CD3"/>
    <w:rsid w:val="00A822A2"/>
    <w:rsid w:val="00A84E96"/>
    <w:rsid w:val="00A95426"/>
    <w:rsid w:val="00AB53D5"/>
    <w:rsid w:val="00AB7367"/>
    <w:rsid w:val="00AD00E5"/>
    <w:rsid w:val="00AD5605"/>
    <w:rsid w:val="00AE2454"/>
    <w:rsid w:val="00B03EED"/>
    <w:rsid w:val="00B070B8"/>
    <w:rsid w:val="00B12329"/>
    <w:rsid w:val="00B306C2"/>
    <w:rsid w:val="00B3360F"/>
    <w:rsid w:val="00B3575A"/>
    <w:rsid w:val="00B455A9"/>
    <w:rsid w:val="00B473AC"/>
    <w:rsid w:val="00B63807"/>
    <w:rsid w:val="00B640F5"/>
    <w:rsid w:val="00B65669"/>
    <w:rsid w:val="00B6642C"/>
    <w:rsid w:val="00B817B0"/>
    <w:rsid w:val="00B84A11"/>
    <w:rsid w:val="00B92C6F"/>
    <w:rsid w:val="00B978AC"/>
    <w:rsid w:val="00BB2D51"/>
    <w:rsid w:val="00BB43B7"/>
    <w:rsid w:val="00BD1B26"/>
    <w:rsid w:val="00BE055A"/>
    <w:rsid w:val="00BE4AF3"/>
    <w:rsid w:val="00C00D59"/>
    <w:rsid w:val="00C12A84"/>
    <w:rsid w:val="00C12B44"/>
    <w:rsid w:val="00C17E13"/>
    <w:rsid w:val="00C2089D"/>
    <w:rsid w:val="00C22C3A"/>
    <w:rsid w:val="00C316A1"/>
    <w:rsid w:val="00C80680"/>
    <w:rsid w:val="00C86F13"/>
    <w:rsid w:val="00C95064"/>
    <w:rsid w:val="00CC7AB1"/>
    <w:rsid w:val="00D2549D"/>
    <w:rsid w:val="00D32BD6"/>
    <w:rsid w:val="00D47876"/>
    <w:rsid w:val="00D51CEF"/>
    <w:rsid w:val="00D75102"/>
    <w:rsid w:val="00DD10E3"/>
    <w:rsid w:val="00DD1ACE"/>
    <w:rsid w:val="00DF0A76"/>
    <w:rsid w:val="00DF280C"/>
    <w:rsid w:val="00DF2A1B"/>
    <w:rsid w:val="00E224AA"/>
    <w:rsid w:val="00E308A0"/>
    <w:rsid w:val="00E67C2D"/>
    <w:rsid w:val="00E73A3A"/>
    <w:rsid w:val="00E74216"/>
    <w:rsid w:val="00E76AD2"/>
    <w:rsid w:val="00E77DDF"/>
    <w:rsid w:val="00E90BB6"/>
    <w:rsid w:val="00EC006E"/>
    <w:rsid w:val="00EC25A8"/>
    <w:rsid w:val="00ED4768"/>
    <w:rsid w:val="00EE3A8A"/>
    <w:rsid w:val="00F03AC5"/>
    <w:rsid w:val="00F15B77"/>
    <w:rsid w:val="00F17F1B"/>
    <w:rsid w:val="00F25A8A"/>
    <w:rsid w:val="00F4410D"/>
    <w:rsid w:val="00F53A50"/>
    <w:rsid w:val="00F61FBE"/>
    <w:rsid w:val="00F639C6"/>
    <w:rsid w:val="00F73B8E"/>
    <w:rsid w:val="00F75F3B"/>
    <w:rsid w:val="00F80416"/>
    <w:rsid w:val="00F80687"/>
    <w:rsid w:val="00F92397"/>
    <w:rsid w:val="00F97ED1"/>
    <w:rsid w:val="00FA6103"/>
    <w:rsid w:val="00FB07B1"/>
    <w:rsid w:val="00FB0908"/>
    <w:rsid w:val="00FB5413"/>
    <w:rsid w:val="00FB5F15"/>
    <w:rsid w:val="00FD4D91"/>
    <w:rsid w:val="00FE10B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3D6866"/>
  <w15:chartTrackingRefBased/>
  <w15:docId w15:val="{03FE1564-F609-4C04-8982-5502C950A5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iPriority="0"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1527"/>
    <w:pPr>
      <w:spacing w:after="200" w:line="276" w:lineRule="auto"/>
    </w:pPr>
  </w:style>
  <w:style w:type="paragraph" w:styleId="Heading1">
    <w:name w:val="heading 1"/>
    <w:basedOn w:val="Normal"/>
    <w:next w:val="Normal"/>
    <w:link w:val="Heading1Char"/>
    <w:uiPriority w:val="9"/>
    <w:qFormat/>
    <w:rsid w:val="00B6642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B6CC4"/>
    <w:pPr>
      <w:keepNext/>
      <w:keepLines/>
      <w:spacing w:before="200" w:after="0" w:line="259" w:lineRule="auto"/>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A9542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4371E3"/>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00060D"/>
    <w:pPr>
      <w:keepNext/>
      <w:keepLines/>
      <w:spacing w:before="40" w:after="0" w:line="259" w:lineRule="auto"/>
      <w:outlineLvl w:val="4"/>
    </w:pPr>
    <w:rPr>
      <w:rFonts w:asciiTheme="majorHAnsi" w:eastAsiaTheme="majorEastAsia" w:hAnsiTheme="majorHAnsi" w:cstheme="majorBidi"/>
      <w:color w:val="2E74B5" w:themeColor="accent1" w:themeShade="BF"/>
      <w:sz w:val="24"/>
    </w:rPr>
  </w:style>
  <w:style w:type="paragraph" w:styleId="Heading6">
    <w:name w:val="heading 6"/>
    <w:basedOn w:val="Normal"/>
    <w:next w:val="Normal"/>
    <w:link w:val="Heading6Char"/>
    <w:uiPriority w:val="9"/>
    <w:semiHidden/>
    <w:unhideWhenUsed/>
    <w:qFormat/>
    <w:rsid w:val="0000060D"/>
    <w:pPr>
      <w:keepNext/>
      <w:keepLines/>
      <w:spacing w:before="40" w:after="0" w:line="259" w:lineRule="auto"/>
      <w:outlineLvl w:val="5"/>
    </w:pPr>
    <w:rPr>
      <w:rFonts w:asciiTheme="majorHAnsi" w:eastAsiaTheme="majorEastAsia" w:hAnsiTheme="majorHAnsi" w:cstheme="majorBidi"/>
      <w:color w:val="1F4D78" w:themeColor="accent1" w:themeShade="7F"/>
      <w:sz w:val="24"/>
      <w:szCs w:val="24"/>
      <w:lang w:eastAsia="en-GB"/>
    </w:rPr>
  </w:style>
  <w:style w:type="paragraph" w:styleId="Heading8">
    <w:name w:val="heading 8"/>
    <w:basedOn w:val="Normal"/>
    <w:next w:val="Normal"/>
    <w:link w:val="Heading8Char"/>
    <w:uiPriority w:val="9"/>
    <w:semiHidden/>
    <w:unhideWhenUsed/>
    <w:qFormat/>
    <w:rsid w:val="006A700E"/>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qFormat/>
    <w:rsid w:val="00D47876"/>
    <w:rPr>
      <w:color w:val="0563C1" w:themeColor="hyperlink"/>
      <w:u w:val="single"/>
    </w:rPr>
  </w:style>
  <w:style w:type="paragraph" w:styleId="BodyText">
    <w:name w:val="Body Text"/>
    <w:basedOn w:val="Normal"/>
    <w:link w:val="BodyTextChar"/>
    <w:qFormat/>
    <w:rsid w:val="00D47876"/>
    <w:pPr>
      <w:spacing w:after="120"/>
    </w:pPr>
    <w:rPr>
      <w:rFonts w:ascii="Calibri" w:eastAsia="Times New Roman" w:hAnsi="Calibri" w:cs="Times New Roman"/>
      <w:sz w:val="20"/>
      <w:szCs w:val="20"/>
    </w:rPr>
  </w:style>
  <w:style w:type="character" w:customStyle="1" w:styleId="BodyTextChar">
    <w:name w:val="Body Text Char"/>
    <w:basedOn w:val="DefaultParagraphFont"/>
    <w:link w:val="BodyText"/>
    <w:rsid w:val="00D47876"/>
    <w:rPr>
      <w:rFonts w:ascii="Calibri" w:eastAsia="Times New Roman" w:hAnsi="Calibri" w:cs="Times New Roman"/>
      <w:sz w:val="20"/>
      <w:szCs w:val="20"/>
    </w:rPr>
  </w:style>
  <w:style w:type="character" w:customStyle="1" w:styleId="Heading2Char">
    <w:name w:val="Heading 2 Char"/>
    <w:basedOn w:val="DefaultParagraphFont"/>
    <w:link w:val="Heading2"/>
    <w:uiPriority w:val="9"/>
    <w:rsid w:val="001B6CC4"/>
    <w:rPr>
      <w:rFonts w:asciiTheme="majorHAnsi" w:eastAsiaTheme="majorEastAsia" w:hAnsiTheme="majorHAnsi" w:cstheme="majorBidi"/>
      <w:b/>
      <w:bCs/>
      <w:color w:val="5B9BD5" w:themeColor="accent1"/>
      <w:sz w:val="26"/>
      <w:szCs w:val="26"/>
    </w:rPr>
  </w:style>
  <w:style w:type="paragraph" w:styleId="ListParagraph">
    <w:name w:val="List Paragraph"/>
    <w:basedOn w:val="Normal"/>
    <w:uiPriority w:val="1"/>
    <w:qFormat/>
    <w:rsid w:val="001B6CC4"/>
    <w:pPr>
      <w:spacing w:after="160" w:line="259" w:lineRule="auto"/>
      <w:ind w:left="720"/>
      <w:contextualSpacing/>
    </w:pPr>
    <w:rPr>
      <w:rFonts w:ascii="Calibri" w:eastAsia="Calibri" w:hAnsi="Calibri" w:cs="Times New Roman"/>
    </w:rPr>
  </w:style>
  <w:style w:type="paragraph" w:customStyle="1" w:styleId="Default">
    <w:name w:val="Default"/>
    <w:rsid w:val="001B6CC4"/>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Heading3Char">
    <w:name w:val="Heading 3 Char"/>
    <w:basedOn w:val="DefaultParagraphFont"/>
    <w:link w:val="Heading3"/>
    <w:uiPriority w:val="9"/>
    <w:rsid w:val="00A95426"/>
    <w:rPr>
      <w:rFonts w:asciiTheme="majorHAnsi" w:eastAsiaTheme="majorEastAsia" w:hAnsiTheme="majorHAnsi" w:cstheme="majorBidi"/>
      <w:color w:val="1F4D78" w:themeColor="accent1" w:themeShade="7F"/>
      <w:sz w:val="24"/>
      <w:szCs w:val="24"/>
    </w:rPr>
  </w:style>
  <w:style w:type="paragraph" w:styleId="NormalWeb">
    <w:name w:val="Normal (Web)"/>
    <w:basedOn w:val="Normal"/>
    <w:unhideWhenUsed/>
    <w:qFormat/>
    <w:rsid w:val="00A95426"/>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CETBodytext">
    <w:name w:val="CET Body text"/>
    <w:link w:val="CETBodytextCarattere"/>
    <w:rsid w:val="00F53A50"/>
    <w:pPr>
      <w:tabs>
        <w:tab w:val="right" w:pos="7100"/>
      </w:tabs>
      <w:spacing w:after="0" w:line="264" w:lineRule="auto"/>
      <w:jc w:val="both"/>
    </w:pPr>
    <w:rPr>
      <w:rFonts w:ascii="Arial" w:eastAsia="Times New Roman" w:hAnsi="Arial" w:cs="Times New Roman"/>
      <w:sz w:val="18"/>
      <w:szCs w:val="20"/>
      <w:lang w:val="en-US"/>
    </w:rPr>
  </w:style>
  <w:style w:type="character" w:customStyle="1" w:styleId="CETBodytextCarattere">
    <w:name w:val="CET Body text Carattere"/>
    <w:link w:val="CETBodytext"/>
    <w:rsid w:val="00F53A50"/>
    <w:rPr>
      <w:rFonts w:ascii="Arial" w:eastAsia="Times New Roman" w:hAnsi="Arial" w:cs="Times New Roman"/>
      <w:sz w:val="18"/>
      <w:szCs w:val="20"/>
      <w:lang w:val="en-US"/>
    </w:rPr>
  </w:style>
  <w:style w:type="character" w:styleId="Strong">
    <w:name w:val="Strong"/>
    <w:basedOn w:val="DefaultParagraphFont"/>
    <w:qFormat/>
    <w:rsid w:val="00F53A50"/>
    <w:rPr>
      <w:b/>
      <w:bCs/>
    </w:rPr>
  </w:style>
  <w:style w:type="paragraph" w:styleId="Footer">
    <w:name w:val="footer"/>
    <w:basedOn w:val="Normal"/>
    <w:link w:val="FooterChar"/>
    <w:uiPriority w:val="99"/>
    <w:unhideWhenUsed/>
    <w:qFormat/>
    <w:rsid w:val="00F53A50"/>
    <w:pPr>
      <w:tabs>
        <w:tab w:val="center" w:pos="4680"/>
        <w:tab w:val="right" w:pos="9360"/>
      </w:tabs>
      <w:spacing w:after="0" w:line="240" w:lineRule="auto"/>
    </w:pPr>
    <w:rPr>
      <w:rFonts w:ascii="Calibri" w:eastAsia="SimSun" w:hAnsi="Calibri" w:cs="Times New Roman"/>
      <w:lang w:eastAsia="zh-CN"/>
    </w:rPr>
  </w:style>
  <w:style w:type="character" w:customStyle="1" w:styleId="FooterChar">
    <w:name w:val="Footer Char"/>
    <w:basedOn w:val="DefaultParagraphFont"/>
    <w:link w:val="Footer"/>
    <w:uiPriority w:val="99"/>
    <w:qFormat/>
    <w:rsid w:val="00F53A50"/>
    <w:rPr>
      <w:rFonts w:ascii="Calibri" w:eastAsia="SimSun" w:hAnsi="Calibri" w:cs="Times New Roman"/>
      <w:lang w:eastAsia="zh-CN"/>
    </w:rPr>
  </w:style>
  <w:style w:type="character" w:styleId="Emphasis">
    <w:name w:val="Emphasis"/>
    <w:basedOn w:val="DefaultParagraphFont"/>
    <w:qFormat/>
    <w:rsid w:val="00AD00E5"/>
    <w:rPr>
      <w:i/>
      <w:iCs/>
    </w:rPr>
  </w:style>
  <w:style w:type="paragraph" w:customStyle="1" w:styleId="FirstParagraph">
    <w:name w:val="First Paragraph"/>
    <w:basedOn w:val="BodyText"/>
    <w:next w:val="BodyText"/>
    <w:qFormat/>
    <w:rsid w:val="009B16DE"/>
    <w:pPr>
      <w:spacing w:before="180" w:after="180" w:line="240" w:lineRule="auto"/>
    </w:pPr>
    <w:rPr>
      <w:rFonts w:asciiTheme="minorHAnsi" w:eastAsiaTheme="minorHAnsi" w:hAnsiTheme="minorHAnsi" w:cstheme="minorBidi"/>
      <w:sz w:val="24"/>
      <w:szCs w:val="24"/>
      <w:lang w:val="en-US"/>
    </w:rPr>
  </w:style>
  <w:style w:type="paragraph" w:styleId="CommentText">
    <w:name w:val="annotation text"/>
    <w:basedOn w:val="Normal"/>
    <w:link w:val="CommentTextChar"/>
    <w:uiPriority w:val="99"/>
    <w:unhideWhenUsed/>
    <w:rsid w:val="009B16DE"/>
    <w:pPr>
      <w:spacing w:after="160" w:line="240" w:lineRule="auto"/>
    </w:pPr>
    <w:rPr>
      <w:rFonts w:ascii="Calibri" w:eastAsia="Calibri" w:hAnsi="Calibri" w:cs="Times New Roman"/>
      <w:sz w:val="20"/>
      <w:szCs w:val="20"/>
      <w:lang w:val="en-US"/>
    </w:rPr>
  </w:style>
  <w:style w:type="character" w:customStyle="1" w:styleId="CommentTextChar">
    <w:name w:val="Comment Text Char"/>
    <w:basedOn w:val="DefaultParagraphFont"/>
    <w:link w:val="CommentText"/>
    <w:uiPriority w:val="99"/>
    <w:qFormat/>
    <w:rsid w:val="009B16DE"/>
    <w:rPr>
      <w:rFonts w:ascii="Calibri" w:eastAsia="Calibri" w:hAnsi="Calibri" w:cs="Times New Roman"/>
      <w:sz w:val="20"/>
      <w:szCs w:val="20"/>
      <w:lang w:val="en-US"/>
    </w:rPr>
  </w:style>
  <w:style w:type="character" w:customStyle="1" w:styleId="Heading1Char">
    <w:name w:val="Heading 1 Char"/>
    <w:basedOn w:val="DefaultParagraphFont"/>
    <w:link w:val="Heading1"/>
    <w:uiPriority w:val="9"/>
    <w:rsid w:val="00B6642C"/>
    <w:rPr>
      <w:rFonts w:asciiTheme="majorHAnsi" w:eastAsiaTheme="majorEastAsia" w:hAnsiTheme="majorHAnsi" w:cstheme="majorBidi"/>
      <w:color w:val="2E74B5" w:themeColor="accent1" w:themeShade="BF"/>
      <w:sz w:val="32"/>
      <w:szCs w:val="32"/>
    </w:rPr>
  </w:style>
  <w:style w:type="paragraph" w:styleId="Header">
    <w:name w:val="header"/>
    <w:basedOn w:val="Normal"/>
    <w:link w:val="HeaderChar"/>
    <w:uiPriority w:val="99"/>
    <w:unhideWhenUsed/>
    <w:rsid w:val="00B6642C"/>
    <w:pPr>
      <w:tabs>
        <w:tab w:val="center" w:pos="4680"/>
        <w:tab w:val="right" w:pos="9360"/>
      </w:tabs>
      <w:spacing w:after="160" w:line="259" w:lineRule="auto"/>
    </w:pPr>
    <w:rPr>
      <w:rFonts w:ascii="Calibri" w:eastAsia="Calibri" w:hAnsi="Calibri" w:cs="Times New Roman"/>
      <w:lang w:val="en-MY"/>
    </w:rPr>
  </w:style>
  <w:style w:type="character" w:customStyle="1" w:styleId="HeaderChar">
    <w:name w:val="Header Char"/>
    <w:basedOn w:val="DefaultParagraphFont"/>
    <w:link w:val="Header"/>
    <w:uiPriority w:val="99"/>
    <w:qFormat/>
    <w:rsid w:val="00B6642C"/>
    <w:rPr>
      <w:rFonts w:ascii="Calibri" w:eastAsia="Calibri" w:hAnsi="Calibri" w:cs="Times New Roman"/>
      <w:lang w:val="en-MY"/>
    </w:rPr>
  </w:style>
  <w:style w:type="paragraph" w:styleId="NoSpacing">
    <w:name w:val="No Spacing"/>
    <w:link w:val="NoSpacingChar"/>
    <w:uiPriority w:val="1"/>
    <w:qFormat/>
    <w:rsid w:val="00D2549D"/>
    <w:pPr>
      <w:widowControl w:val="0"/>
      <w:spacing w:after="0" w:line="240" w:lineRule="auto"/>
      <w:jc w:val="both"/>
    </w:pPr>
    <w:rPr>
      <w:rFonts w:eastAsiaTheme="minorEastAsia"/>
      <w:kern w:val="2"/>
      <w:sz w:val="21"/>
      <w:szCs w:val="24"/>
      <w:lang w:val="en-US" w:eastAsia="zh-CN"/>
    </w:rPr>
  </w:style>
  <w:style w:type="paragraph" w:customStyle="1" w:styleId="CETAuthors">
    <w:name w:val="CET Authors"/>
    <w:basedOn w:val="Normal"/>
    <w:link w:val="CETAuthorsCarattere"/>
    <w:rsid w:val="00116291"/>
    <w:pPr>
      <w:keepNext/>
      <w:tabs>
        <w:tab w:val="right" w:pos="7100"/>
      </w:tabs>
      <w:suppressAutoHyphens/>
      <w:spacing w:after="120" w:line="264" w:lineRule="auto"/>
      <w:jc w:val="both"/>
    </w:pPr>
    <w:rPr>
      <w:rFonts w:ascii="Arial" w:eastAsia="Times New Roman" w:hAnsi="Arial" w:cs="Times New Roman"/>
      <w:szCs w:val="20"/>
    </w:rPr>
  </w:style>
  <w:style w:type="character" w:customStyle="1" w:styleId="CETAuthorsCarattere">
    <w:name w:val="CET Authors Carattere"/>
    <w:link w:val="CETAuthors"/>
    <w:rsid w:val="00116291"/>
    <w:rPr>
      <w:rFonts w:ascii="Arial" w:eastAsia="Times New Roman" w:hAnsi="Arial" w:cs="Times New Roman"/>
      <w:szCs w:val="20"/>
    </w:rPr>
  </w:style>
  <w:style w:type="character" w:customStyle="1" w:styleId="fontstyle01">
    <w:name w:val="fontstyle01"/>
    <w:basedOn w:val="DefaultParagraphFont"/>
    <w:rsid w:val="003F40E8"/>
    <w:rPr>
      <w:rFonts w:ascii="TimesNewRomanPSMT" w:hAnsi="TimesNewRomanPSMT" w:hint="default"/>
      <w:b w:val="0"/>
      <w:bCs w:val="0"/>
      <w:i w:val="0"/>
      <w:iCs w:val="0"/>
      <w:color w:val="000000"/>
      <w:sz w:val="20"/>
      <w:szCs w:val="20"/>
    </w:rPr>
  </w:style>
  <w:style w:type="table" w:styleId="ListTable6Colorful-Accent5">
    <w:name w:val="List Table 6 Colorful Accent 5"/>
    <w:basedOn w:val="TableNormal"/>
    <w:uiPriority w:val="51"/>
    <w:rsid w:val="003F40E8"/>
    <w:pPr>
      <w:spacing w:after="0" w:line="240" w:lineRule="auto"/>
    </w:pPr>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6Colorful-Accent1">
    <w:name w:val="Grid Table 6 Colorful Accent 1"/>
    <w:basedOn w:val="TableNormal"/>
    <w:uiPriority w:val="51"/>
    <w:rsid w:val="003F40E8"/>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eGrid">
    <w:name w:val="Table Grid"/>
    <w:basedOn w:val="TableNormal"/>
    <w:uiPriority w:val="59"/>
    <w:qFormat/>
    <w:rsid w:val="00A84E9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A84E96"/>
    <w:pPr>
      <w:spacing w:line="240" w:lineRule="auto"/>
    </w:pPr>
    <w:rPr>
      <w:i/>
      <w:iCs/>
      <w:color w:val="44546A" w:themeColor="text2"/>
      <w:sz w:val="18"/>
      <w:szCs w:val="18"/>
      <w:lang w:val="en-US"/>
    </w:rPr>
  </w:style>
  <w:style w:type="character" w:customStyle="1" w:styleId="css-2yp7ui">
    <w:name w:val="css-2yp7ui"/>
    <w:basedOn w:val="DefaultParagraphFont"/>
    <w:rsid w:val="00A84E96"/>
  </w:style>
  <w:style w:type="character" w:customStyle="1" w:styleId="css-15iwe0d">
    <w:name w:val="css-15iwe0d"/>
    <w:basedOn w:val="DefaultParagraphFont"/>
    <w:rsid w:val="00A84E96"/>
  </w:style>
  <w:style w:type="character" w:customStyle="1" w:styleId="css-0">
    <w:name w:val="css-0"/>
    <w:basedOn w:val="DefaultParagraphFont"/>
    <w:rsid w:val="00A84E96"/>
  </w:style>
  <w:style w:type="character" w:customStyle="1" w:styleId="css-1eh0vfs">
    <w:name w:val="css-1eh0vfs"/>
    <w:basedOn w:val="DefaultParagraphFont"/>
    <w:rsid w:val="00A84E96"/>
  </w:style>
  <w:style w:type="character" w:customStyle="1" w:styleId="css-rh820s">
    <w:name w:val="css-rh820s"/>
    <w:basedOn w:val="DefaultParagraphFont"/>
    <w:rsid w:val="00A84E96"/>
  </w:style>
  <w:style w:type="character" w:customStyle="1" w:styleId="NoSpacingChar">
    <w:name w:val="No Spacing Char"/>
    <w:basedOn w:val="DefaultParagraphFont"/>
    <w:link w:val="NoSpacing"/>
    <w:uiPriority w:val="1"/>
    <w:qFormat/>
    <w:locked/>
    <w:rsid w:val="00A84E96"/>
    <w:rPr>
      <w:rFonts w:eastAsiaTheme="minorEastAsia"/>
      <w:kern w:val="2"/>
      <w:sz w:val="21"/>
      <w:szCs w:val="24"/>
      <w:lang w:val="en-US" w:eastAsia="zh-CN"/>
    </w:rPr>
  </w:style>
  <w:style w:type="table" w:styleId="PlainTable2">
    <w:name w:val="Plain Table 2"/>
    <w:basedOn w:val="TableNormal"/>
    <w:uiPriority w:val="42"/>
    <w:rsid w:val="00A84E9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nchor-text">
    <w:name w:val="anchor-text"/>
    <w:basedOn w:val="DefaultParagraphFont"/>
    <w:rsid w:val="00F4410D"/>
  </w:style>
  <w:style w:type="table" w:styleId="ListTable6Colorful">
    <w:name w:val="List Table 6 Colorful"/>
    <w:basedOn w:val="TableNormal"/>
    <w:uiPriority w:val="51"/>
    <w:rsid w:val="00F4410D"/>
    <w:pPr>
      <w:spacing w:after="0" w:line="240" w:lineRule="auto"/>
    </w:pPr>
    <w:rPr>
      <w:rFonts w:eastAsiaTheme="minorEastAsia"/>
      <w:color w:val="000000" w:themeColor="text1"/>
      <w:kern w:val="2"/>
      <w:sz w:val="24"/>
      <w:szCs w:val="24"/>
      <w:lang w:val="en-US"/>
      <w14:ligatures w14:val="standardContextual"/>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title-text">
    <w:name w:val="title-text"/>
    <w:basedOn w:val="DefaultParagraphFont"/>
    <w:rsid w:val="00F4410D"/>
  </w:style>
  <w:style w:type="character" w:customStyle="1" w:styleId="text">
    <w:name w:val="text"/>
    <w:basedOn w:val="DefaultParagraphFont"/>
    <w:rsid w:val="00F4410D"/>
  </w:style>
  <w:style w:type="character" w:customStyle="1" w:styleId="react-xocs-alternative-link">
    <w:name w:val="react-xocs-alternative-link"/>
    <w:basedOn w:val="DefaultParagraphFont"/>
    <w:rsid w:val="00F4410D"/>
  </w:style>
  <w:style w:type="paragraph" w:customStyle="1" w:styleId="nova-legacy-e-listitem">
    <w:name w:val="nova-legacy-e-list__item"/>
    <w:basedOn w:val="Normal"/>
    <w:rsid w:val="00F4410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eading4Char">
    <w:name w:val="Heading 4 Char"/>
    <w:basedOn w:val="DefaultParagraphFont"/>
    <w:link w:val="Heading4"/>
    <w:uiPriority w:val="9"/>
    <w:rsid w:val="004371E3"/>
    <w:rPr>
      <w:rFonts w:asciiTheme="majorHAnsi" w:eastAsiaTheme="majorEastAsia" w:hAnsiTheme="majorHAnsi" w:cstheme="majorBidi"/>
      <w:i/>
      <w:iCs/>
      <w:color w:val="2E74B5" w:themeColor="accent1" w:themeShade="BF"/>
    </w:rPr>
  </w:style>
  <w:style w:type="paragraph" w:customStyle="1" w:styleId="Compact">
    <w:name w:val="Compact"/>
    <w:basedOn w:val="BodyText"/>
    <w:qFormat/>
    <w:rsid w:val="004371E3"/>
    <w:pPr>
      <w:spacing w:before="36" w:after="36" w:line="240" w:lineRule="auto"/>
    </w:pPr>
    <w:rPr>
      <w:rFonts w:ascii="Times New Roman" w:eastAsiaTheme="minorHAnsi" w:hAnsi="Times New Roman" w:cstheme="minorBidi"/>
      <w:sz w:val="24"/>
      <w:szCs w:val="24"/>
      <w:lang w:val="en-US"/>
    </w:rPr>
  </w:style>
  <w:style w:type="table" w:customStyle="1" w:styleId="Table">
    <w:name w:val="Table"/>
    <w:semiHidden/>
    <w:unhideWhenUsed/>
    <w:qFormat/>
    <w:rsid w:val="004371E3"/>
    <w:pPr>
      <w:spacing w:after="200" w:line="240" w:lineRule="auto"/>
    </w:pPr>
    <w:rPr>
      <w:sz w:val="24"/>
      <w:szCs w:val="24"/>
      <w:lang w:val="en-US"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Pa15">
    <w:name w:val="Pa15"/>
    <w:basedOn w:val="Default"/>
    <w:next w:val="Default"/>
    <w:uiPriority w:val="99"/>
    <w:rsid w:val="004371E3"/>
    <w:pPr>
      <w:spacing w:line="191" w:lineRule="atLeast"/>
    </w:pPr>
    <w:rPr>
      <w:rFonts w:ascii="ITC Galliard Std" w:hAnsi="ITC Galliard Std" w:cstheme="minorBidi"/>
      <w:color w:val="auto"/>
    </w:rPr>
  </w:style>
  <w:style w:type="paragraph" w:styleId="BalloonText">
    <w:name w:val="Balloon Text"/>
    <w:basedOn w:val="Normal"/>
    <w:link w:val="BalloonTextChar"/>
    <w:uiPriority w:val="99"/>
    <w:semiHidden/>
    <w:unhideWhenUsed/>
    <w:qFormat/>
    <w:rsid w:val="00A63CD3"/>
    <w:pPr>
      <w:spacing w:after="0" w:line="240" w:lineRule="auto"/>
    </w:pPr>
    <w:rPr>
      <w:rFonts w:ascii="Tahoma" w:hAnsi="Tahoma" w:cs="Tahoma"/>
      <w:sz w:val="16"/>
      <w:szCs w:val="16"/>
      <w:lang w:val="en-US"/>
    </w:rPr>
  </w:style>
  <w:style w:type="character" w:customStyle="1" w:styleId="BalloonTextChar">
    <w:name w:val="Balloon Text Char"/>
    <w:basedOn w:val="DefaultParagraphFont"/>
    <w:link w:val="BalloonText"/>
    <w:uiPriority w:val="99"/>
    <w:semiHidden/>
    <w:qFormat/>
    <w:rsid w:val="00A63CD3"/>
    <w:rPr>
      <w:rFonts w:ascii="Tahoma" w:hAnsi="Tahoma" w:cs="Tahoma"/>
      <w:sz w:val="16"/>
      <w:szCs w:val="16"/>
      <w:lang w:val="en-US"/>
    </w:rPr>
  </w:style>
  <w:style w:type="paragraph" w:customStyle="1" w:styleId="comp">
    <w:name w:val="comp"/>
    <w:basedOn w:val="Normal"/>
    <w:rsid w:val="00A63CD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eaderChar1">
    <w:name w:val="Header Char1"/>
    <w:basedOn w:val="DefaultParagraphFont"/>
    <w:rsid w:val="00A63CD3"/>
  </w:style>
  <w:style w:type="character" w:customStyle="1" w:styleId="fontstyle21">
    <w:name w:val="fontstyle21"/>
    <w:rsid w:val="00A63CD3"/>
    <w:rPr>
      <w:rFonts w:ascii="TimesNewRomanPSMT" w:eastAsia="SimSun" w:hAnsi="TimesNewRomanPSMT" w:cs="Times New Roman" w:hint="default"/>
      <w:b w:val="0"/>
      <w:bCs w:val="0"/>
      <w:i w:val="0"/>
      <w:iCs w:val="0"/>
      <w:color w:val="000000"/>
      <w:sz w:val="24"/>
      <w:szCs w:val="24"/>
    </w:rPr>
  </w:style>
  <w:style w:type="character" w:customStyle="1" w:styleId="mntl-sc-block-headingtext">
    <w:name w:val="mntl-sc-block-heading__text"/>
    <w:rsid w:val="00A63CD3"/>
    <w:rPr>
      <w:rFonts w:ascii="Calibri" w:eastAsia="SimSun" w:hAnsi="Calibri" w:cs="Times New Roman"/>
    </w:rPr>
  </w:style>
  <w:style w:type="character" w:styleId="HTMLDefinition">
    <w:name w:val="HTML Definition"/>
    <w:rsid w:val="00A63CD3"/>
    <w:rPr>
      <w:rFonts w:ascii="Calibri" w:eastAsia="SimSun" w:hAnsi="Calibri" w:cs="Times New Roman"/>
      <w:i/>
      <w:iCs/>
    </w:rPr>
  </w:style>
  <w:style w:type="character" w:styleId="PlaceholderText">
    <w:name w:val="Placeholder Text"/>
    <w:rsid w:val="00A63CD3"/>
    <w:rPr>
      <w:rFonts w:ascii="Calibri" w:eastAsia="SimSun" w:hAnsi="Calibri" w:cs="Times New Roman"/>
      <w:color w:val="808080"/>
    </w:rPr>
  </w:style>
  <w:style w:type="character" w:customStyle="1" w:styleId="UnresolvedMention1">
    <w:name w:val="Unresolved Mention1"/>
    <w:uiPriority w:val="99"/>
    <w:rsid w:val="00A63CD3"/>
    <w:rPr>
      <w:rFonts w:ascii="Calibri" w:eastAsia="SimSun" w:hAnsi="Calibri" w:cs="Times New Roman"/>
      <w:color w:val="605E5C"/>
      <w:shd w:val="clear" w:color="auto" w:fill="E1DFDD"/>
    </w:rPr>
  </w:style>
  <w:style w:type="numbering" w:customStyle="1" w:styleId="NoList1">
    <w:name w:val="No List1"/>
    <w:next w:val="NoList"/>
    <w:uiPriority w:val="99"/>
    <w:semiHidden/>
    <w:unhideWhenUsed/>
    <w:rsid w:val="00A63CD3"/>
  </w:style>
  <w:style w:type="table" w:customStyle="1" w:styleId="DNew">
    <w:name w:val="D New"/>
    <w:basedOn w:val="TableNormal"/>
    <w:uiPriority w:val="99"/>
    <w:rsid w:val="00A63CD3"/>
    <w:pPr>
      <w:spacing w:after="0" w:line="240" w:lineRule="auto"/>
    </w:pPr>
    <w:rPr>
      <w:rFonts w:ascii="Calibri" w:eastAsia="Calibri" w:hAnsi="Calibri" w:cs="SimSun"/>
      <w:sz w:val="20"/>
      <w:szCs w:val="20"/>
      <w:lang w:eastAsia="en-GB"/>
    </w:rPr>
    <w:tblPr/>
  </w:style>
  <w:style w:type="character" w:styleId="IntenseEmphasis">
    <w:name w:val="Intense Emphasis"/>
    <w:basedOn w:val="DefaultParagraphFont"/>
    <w:uiPriority w:val="21"/>
    <w:qFormat/>
    <w:rsid w:val="00A63CD3"/>
    <w:rPr>
      <w:b/>
      <w:bCs/>
      <w:i/>
      <w:iCs/>
      <w:color w:val="5B9BD5" w:themeColor="accent1"/>
    </w:rPr>
  </w:style>
  <w:style w:type="paragraph" w:styleId="Quote">
    <w:name w:val="Quote"/>
    <w:basedOn w:val="Normal"/>
    <w:next w:val="Normal"/>
    <w:link w:val="QuoteChar"/>
    <w:uiPriority w:val="29"/>
    <w:qFormat/>
    <w:rsid w:val="00A63CD3"/>
    <w:pPr>
      <w:jc w:val="both"/>
    </w:pPr>
    <w:rPr>
      <w:rFonts w:ascii="Times New Roman" w:hAnsi="Times New Roman"/>
      <w:i/>
      <w:iCs/>
      <w:color w:val="000000" w:themeColor="text1"/>
      <w:sz w:val="24"/>
    </w:rPr>
  </w:style>
  <w:style w:type="character" w:customStyle="1" w:styleId="QuoteChar">
    <w:name w:val="Quote Char"/>
    <w:basedOn w:val="DefaultParagraphFont"/>
    <w:link w:val="Quote"/>
    <w:uiPriority w:val="29"/>
    <w:rsid w:val="00A63CD3"/>
    <w:rPr>
      <w:rFonts w:ascii="Times New Roman" w:hAnsi="Times New Roman"/>
      <w:i/>
      <w:iCs/>
      <w:color w:val="000000" w:themeColor="text1"/>
      <w:sz w:val="24"/>
    </w:rPr>
  </w:style>
  <w:style w:type="character" w:customStyle="1" w:styleId="reference-accessdate">
    <w:name w:val="reference-accessdate"/>
    <w:basedOn w:val="DefaultParagraphFont"/>
    <w:rsid w:val="00A63CD3"/>
  </w:style>
  <w:style w:type="character" w:customStyle="1" w:styleId="nowrap">
    <w:name w:val="nowrap"/>
    <w:basedOn w:val="DefaultParagraphFont"/>
    <w:rsid w:val="00A63CD3"/>
  </w:style>
  <w:style w:type="paragraph" w:styleId="TOC1">
    <w:name w:val="toc 1"/>
    <w:basedOn w:val="Normal"/>
    <w:next w:val="Normal"/>
    <w:autoRedefine/>
    <w:uiPriority w:val="39"/>
    <w:unhideWhenUsed/>
    <w:rsid w:val="00A63CD3"/>
    <w:pPr>
      <w:spacing w:after="100" w:line="480" w:lineRule="auto"/>
      <w:jc w:val="both"/>
    </w:pPr>
    <w:rPr>
      <w:rFonts w:ascii="Times New Roman" w:hAnsi="Times New Roman"/>
      <w:sz w:val="24"/>
      <w:lang w:val="en-US"/>
    </w:rPr>
  </w:style>
  <w:style w:type="paragraph" w:styleId="TOC2">
    <w:name w:val="toc 2"/>
    <w:basedOn w:val="Normal"/>
    <w:next w:val="Normal"/>
    <w:autoRedefine/>
    <w:uiPriority w:val="39"/>
    <w:unhideWhenUsed/>
    <w:rsid w:val="00A63CD3"/>
    <w:pPr>
      <w:spacing w:after="100" w:line="480" w:lineRule="auto"/>
      <w:ind w:left="240"/>
      <w:jc w:val="both"/>
    </w:pPr>
    <w:rPr>
      <w:rFonts w:ascii="Times New Roman" w:hAnsi="Times New Roman"/>
      <w:sz w:val="24"/>
      <w:lang w:val="en-US"/>
    </w:rPr>
  </w:style>
  <w:style w:type="paragraph" w:styleId="TOC3">
    <w:name w:val="toc 3"/>
    <w:basedOn w:val="Normal"/>
    <w:next w:val="Normal"/>
    <w:autoRedefine/>
    <w:uiPriority w:val="39"/>
    <w:unhideWhenUsed/>
    <w:rsid w:val="00A63CD3"/>
    <w:pPr>
      <w:spacing w:after="100" w:line="480" w:lineRule="auto"/>
      <w:ind w:left="480"/>
      <w:jc w:val="both"/>
    </w:pPr>
    <w:rPr>
      <w:rFonts w:ascii="Times New Roman" w:hAnsi="Times New Roman"/>
      <w:sz w:val="24"/>
      <w:lang w:val="en-US"/>
    </w:rPr>
  </w:style>
  <w:style w:type="character" w:customStyle="1" w:styleId="flex-grow">
    <w:name w:val="flex-grow"/>
    <w:basedOn w:val="DefaultParagraphFont"/>
    <w:rsid w:val="00A63CD3"/>
  </w:style>
  <w:style w:type="character" w:customStyle="1" w:styleId="line-clamp-1">
    <w:name w:val="line-clamp-1"/>
    <w:basedOn w:val="DefaultParagraphFont"/>
    <w:rsid w:val="00A63CD3"/>
  </w:style>
  <w:style w:type="character" w:customStyle="1" w:styleId="overflow-hidden">
    <w:name w:val="overflow-hidden"/>
    <w:basedOn w:val="DefaultParagraphFont"/>
    <w:rsid w:val="00A63CD3"/>
  </w:style>
  <w:style w:type="character" w:customStyle="1" w:styleId="ls6">
    <w:name w:val="ls6"/>
    <w:basedOn w:val="DefaultParagraphFont"/>
    <w:rsid w:val="00A63CD3"/>
  </w:style>
  <w:style w:type="character" w:customStyle="1" w:styleId="ls1">
    <w:name w:val="ls1"/>
    <w:basedOn w:val="DefaultParagraphFont"/>
    <w:rsid w:val="00A63CD3"/>
  </w:style>
  <w:style w:type="character" w:customStyle="1" w:styleId="a">
    <w:name w:val="_"/>
    <w:basedOn w:val="DefaultParagraphFont"/>
    <w:rsid w:val="00A63CD3"/>
  </w:style>
  <w:style w:type="character" w:customStyle="1" w:styleId="lsb">
    <w:name w:val="lsb"/>
    <w:basedOn w:val="DefaultParagraphFont"/>
    <w:rsid w:val="00A63CD3"/>
  </w:style>
  <w:style w:type="character" w:customStyle="1" w:styleId="ls5">
    <w:name w:val="ls5"/>
    <w:basedOn w:val="DefaultParagraphFont"/>
    <w:rsid w:val="00A63CD3"/>
  </w:style>
  <w:style w:type="character" w:customStyle="1" w:styleId="lsc">
    <w:name w:val="lsc"/>
    <w:basedOn w:val="DefaultParagraphFont"/>
    <w:rsid w:val="00A63CD3"/>
  </w:style>
  <w:style w:type="character" w:customStyle="1" w:styleId="lsd">
    <w:name w:val="lsd"/>
    <w:basedOn w:val="DefaultParagraphFont"/>
    <w:rsid w:val="00A63CD3"/>
  </w:style>
  <w:style w:type="character" w:customStyle="1" w:styleId="ff3">
    <w:name w:val="ff3"/>
    <w:basedOn w:val="DefaultParagraphFont"/>
    <w:rsid w:val="00A63CD3"/>
  </w:style>
  <w:style w:type="character" w:customStyle="1" w:styleId="lsa">
    <w:name w:val="lsa"/>
    <w:basedOn w:val="DefaultParagraphFont"/>
    <w:rsid w:val="00A63CD3"/>
  </w:style>
  <w:style w:type="character" w:customStyle="1" w:styleId="ls0">
    <w:name w:val="ls0"/>
    <w:basedOn w:val="DefaultParagraphFont"/>
    <w:rsid w:val="00A63CD3"/>
  </w:style>
  <w:style w:type="character" w:customStyle="1" w:styleId="ff1">
    <w:name w:val="ff1"/>
    <w:basedOn w:val="DefaultParagraphFont"/>
    <w:rsid w:val="00A63CD3"/>
  </w:style>
  <w:style w:type="paragraph" w:styleId="IntenseQuote">
    <w:name w:val="Intense Quote"/>
    <w:basedOn w:val="Normal"/>
    <w:next w:val="Normal"/>
    <w:link w:val="IntenseQuoteChar"/>
    <w:uiPriority w:val="30"/>
    <w:qFormat/>
    <w:rsid w:val="00A63CD3"/>
    <w:pPr>
      <w:pBdr>
        <w:bottom w:val="single" w:sz="4" w:space="4" w:color="5B9BD5" w:themeColor="accent1"/>
      </w:pBdr>
      <w:spacing w:before="200" w:after="280"/>
      <w:ind w:left="936" w:right="936"/>
    </w:pPr>
    <w:rPr>
      <w:b/>
      <w:bCs/>
      <w:i/>
      <w:iCs/>
      <w:color w:val="5B9BD5" w:themeColor="accent1"/>
    </w:rPr>
  </w:style>
  <w:style w:type="character" w:customStyle="1" w:styleId="IntenseQuoteChar">
    <w:name w:val="Intense Quote Char"/>
    <w:basedOn w:val="DefaultParagraphFont"/>
    <w:link w:val="IntenseQuote"/>
    <w:uiPriority w:val="30"/>
    <w:rsid w:val="00A63CD3"/>
    <w:rPr>
      <w:b/>
      <w:bCs/>
      <w:i/>
      <w:iCs/>
      <w:color w:val="5B9BD5" w:themeColor="accent1"/>
    </w:rPr>
  </w:style>
  <w:style w:type="paragraph" w:styleId="z-TopofForm">
    <w:name w:val="HTML Top of Form"/>
    <w:basedOn w:val="Normal"/>
    <w:next w:val="Normal"/>
    <w:link w:val="z-TopofFormChar"/>
    <w:hidden/>
    <w:uiPriority w:val="99"/>
    <w:semiHidden/>
    <w:unhideWhenUsed/>
    <w:rsid w:val="00A63CD3"/>
    <w:pPr>
      <w:pBdr>
        <w:bottom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TopofFormChar">
    <w:name w:val="z-Top of Form Char"/>
    <w:basedOn w:val="DefaultParagraphFont"/>
    <w:link w:val="z-TopofForm"/>
    <w:uiPriority w:val="99"/>
    <w:semiHidden/>
    <w:rsid w:val="00A63CD3"/>
    <w:rPr>
      <w:rFonts w:ascii="Arial" w:eastAsia="Times New Roman" w:hAnsi="Arial" w:cs="Arial"/>
      <w:vanish/>
      <w:sz w:val="16"/>
      <w:szCs w:val="16"/>
      <w:lang w:eastAsia="en-GB"/>
    </w:rPr>
  </w:style>
  <w:style w:type="character" w:customStyle="1" w:styleId="ls7">
    <w:name w:val="ls7"/>
    <w:basedOn w:val="DefaultParagraphFont"/>
    <w:rsid w:val="00A63CD3"/>
  </w:style>
  <w:style w:type="character" w:customStyle="1" w:styleId="ff2">
    <w:name w:val="ff2"/>
    <w:basedOn w:val="DefaultParagraphFont"/>
    <w:rsid w:val="00A63CD3"/>
  </w:style>
  <w:style w:type="character" w:customStyle="1" w:styleId="ff4">
    <w:name w:val="ff4"/>
    <w:basedOn w:val="DefaultParagraphFont"/>
    <w:rsid w:val="00A63CD3"/>
  </w:style>
  <w:style w:type="character" w:styleId="HTMLCite">
    <w:name w:val="HTML Cite"/>
    <w:basedOn w:val="DefaultParagraphFont"/>
    <w:uiPriority w:val="99"/>
    <w:semiHidden/>
    <w:unhideWhenUsed/>
    <w:rsid w:val="00A63CD3"/>
    <w:rPr>
      <w:i/>
      <w:iCs/>
    </w:rPr>
  </w:style>
  <w:style w:type="character" w:customStyle="1" w:styleId="a0">
    <w:name w:val="a"/>
    <w:basedOn w:val="DefaultParagraphFont"/>
    <w:rsid w:val="00A63CD3"/>
  </w:style>
  <w:style w:type="paragraph" w:customStyle="1" w:styleId="Pa16">
    <w:name w:val="Pa16"/>
    <w:basedOn w:val="Default"/>
    <w:next w:val="Default"/>
    <w:uiPriority w:val="99"/>
    <w:rsid w:val="00A63CD3"/>
    <w:pPr>
      <w:spacing w:line="251" w:lineRule="atLeast"/>
    </w:pPr>
    <w:rPr>
      <w:rFonts w:ascii="Book Antiqua" w:hAnsi="Book Antiqua" w:cstheme="minorBidi"/>
      <w:color w:val="auto"/>
      <w:lang w:val="en-GB"/>
    </w:rPr>
  </w:style>
  <w:style w:type="paragraph" w:customStyle="1" w:styleId="Pa11">
    <w:name w:val="Pa11"/>
    <w:basedOn w:val="Default"/>
    <w:next w:val="Default"/>
    <w:uiPriority w:val="99"/>
    <w:rsid w:val="00A63CD3"/>
    <w:pPr>
      <w:spacing w:line="211" w:lineRule="atLeast"/>
    </w:pPr>
    <w:rPr>
      <w:rFonts w:ascii="Book Antiqua" w:hAnsi="Book Antiqua" w:cstheme="minorBidi"/>
      <w:color w:val="auto"/>
      <w:lang w:val="en-GB"/>
    </w:rPr>
  </w:style>
  <w:style w:type="character" w:customStyle="1" w:styleId="A4">
    <w:name w:val="A4"/>
    <w:uiPriority w:val="99"/>
    <w:rsid w:val="00A63CD3"/>
    <w:rPr>
      <w:rFonts w:cs="Book Antiqua"/>
      <w:color w:val="000000"/>
      <w:sz w:val="15"/>
      <w:szCs w:val="15"/>
    </w:rPr>
  </w:style>
  <w:style w:type="character" w:customStyle="1" w:styleId="Heading8Char">
    <w:name w:val="Heading 8 Char"/>
    <w:basedOn w:val="DefaultParagraphFont"/>
    <w:link w:val="Heading8"/>
    <w:uiPriority w:val="9"/>
    <w:semiHidden/>
    <w:rsid w:val="006A700E"/>
    <w:rPr>
      <w:rFonts w:asciiTheme="majorHAnsi" w:eastAsiaTheme="majorEastAsia" w:hAnsiTheme="majorHAnsi" w:cstheme="majorBidi"/>
      <w:color w:val="272727" w:themeColor="text1" w:themeTint="D8"/>
      <w:sz w:val="21"/>
      <w:szCs w:val="21"/>
    </w:rPr>
  </w:style>
  <w:style w:type="character" w:customStyle="1" w:styleId="Heading5Char">
    <w:name w:val="Heading 5 Char"/>
    <w:basedOn w:val="DefaultParagraphFont"/>
    <w:link w:val="Heading5"/>
    <w:uiPriority w:val="9"/>
    <w:semiHidden/>
    <w:rsid w:val="0000060D"/>
    <w:rPr>
      <w:rFonts w:asciiTheme="majorHAnsi" w:eastAsiaTheme="majorEastAsia" w:hAnsiTheme="majorHAnsi" w:cstheme="majorBidi"/>
      <w:color w:val="2E74B5" w:themeColor="accent1" w:themeShade="BF"/>
      <w:sz w:val="24"/>
    </w:rPr>
  </w:style>
  <w:style w:type="character" w:customStyle="1" w:styleId="Heading6Char">
    <w:name w:val="Heading 6 Char"/>
    <w:basedOn w:val="DefaultParagraphFont"/>
    <w:link w:val="Heading6"/>
    <w:uiPriority w:val="9"/>
    <w:semiHidden/>
    <w:rsid w:val="0000060D"/>
    <w:rPr>
      <w:rFonts w:asciiTheme="majorHAnsi" w:eastAsiaTheme="majorEastAsia" w:hAnsiTheme="majorHAnsi" w:cstheme="majorBidi"/>
      <w:color w:val="1F4D78" w:themeColor="accent1" w:themeShade="7F"/>
      <w:sz w:val="24"/>
      <w:szCs w:val="24"/>
      <w:lang w:eastAsia="en-GB"/>
    </w:rPr>
  </w:style>
  <w:style w:type="table" w:customStyle="1" w:styleId="TableGridLight1">
    <w:name w:val="Table Grid Light1"/>
    <w:basedOn w:val="TableNormal"/>
    <w:uiPriority w:val="40"/>
    <w:rsid w:val="0000060D"/>
    <w:pPr>
      <w:spacing w:after="0" w:line="240" w:lineRule="auto"/>
    </w:pPr>
    <w:rPr>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eNormal"/>
    <w:uiPriority w:val="41"/>
    <w:rsid w:val="0000060D"/>
    <w:pPr>
      <w:spacing w:after="0" w:line="240" w:lineRule="auto"/>
    </w:pPr>
    <w:rPr>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Heading">
    <w:name w:val="TOC Heading"/>
    <w:basedOn w:val="Heading1"/>
    <w:next w:val="Normal"/>
    <w:uiPriority w:val="39"/>
    <w:unhideWhenUsed/>
    <w:qFormat/>
    <w:rsid w:val="0000060D"/>
    <w:pPr>
      <w:spacing w:line="259" w:lineRule="auto"/>
      <w:outlineLvl w:val="9"/>
    </w:pPr>
    <w:rPr>
      <w:lang w:val="en-US"/>
    </w:rPr>
  </w:style>
  <w:style w:type="paragraph" w:styleId="TableofFigures">
    <w:name w:val="table of figures"/>
    <w:basedOn w:val="Normal"/>
    <w:next w:val="Normal"/>
    <w:uiPriority w:val="99"/>
    <w:unhideWhenUsed/>
    <w:rsid w:val="0000060D"/>
    <w:pPr>
      <w:spacing w:after="0" w:line="259" w:lineRule="auto"/>
    </w:pPr>
    <w:rPr>
      <w:rFonts w:ascii="Times New Roman" w:hAnsi="Times New Roman"/>
      <w:sz w:val="24"/>
    </w:rPr>
  </w:style>
  <w:style w:type="paragraph" w:customStyle="1" w:styleId="break-words">
    <w:name w:val="break-words"/>
    <w:basedOn w:val="Normal"/>
    <w:rsid w:val="0000060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relative">
    <w:name w:val="relative"/>
    <w:basedOn w:val="DefaultParagraphFont"/>
    <w:rsid w:val="0000060D"/>
  </w:style>
  <w:style w:type="character" w:customStyle="1" w:styleId="fadein4f9by7">
    <w:name w:val="_fadein_4f9by_7"/>
    <w:basedOn w:val="DefaultParagraphFont"/>
    <w:rsid w:val="0000060D"/>
  </w:style>
  <w:style w:type="paragraph" w:styleId="Title">
    <w:name w:val="Title"/>
    <w:basedOn w:val="Normal"/>
    <w:next w:val="Normal"/>
    <w:link w:val="TitleChar"/>
    <w:autoRedefine/>
    <w:uiPriority w:val="10"/>
    <w:qFormat/>
    <w:rsid w:val="0000060D"/>
    <w:pPr>
      <w:tabs>
        <w:tab w:val="left" w:pos="2324"/>
        <w:tab w:val="left" w:pos="3136"/>
      </w:tabs>
      <w:spacing w:after="240"/>
      <w:contextualSpacing/>
    </w:pPr>
    <w:rPr>
      <w:rFonts w:ascii="Times New Roman" w:eastAsia="Times New Roman" w:hAnsi="Times New Roman" w:cs="Times New Roman"/>
      <w:b/>
      <w:spacing w:val="-10"/>
      <w:kern w:val="28"/>
      <w:sz w:val="24"/>
      <w:szCs w:val="56"/>
      <w:lang w:val="en-US"/>
    </w:rPr>
  </w:style>
  <w:style w:type="character" w:customStyle="1" w:styleId="TitleChar">
    <w:name w:val="Title Char"/>
    <w:basedOn w:val="DefaultParagraphFont"/>
    <w:link w:val="Title"/>
    <w:uiPriority w:val="10"/>
    <w:rsid w:val="0000060D"/>
    <w:rPr>
      <w:rFonts w:ascii="Times New Roman" w:eastAsia="Times New Roman" w:hAnsi="Times New Roman" w:cs="Times New Roman"/>
      <w:b/>
      <w:spacing w:val="-10"/>
      <w:kern w:val="28"/>
      <w:sz w:val="24"/>
      <w:szCs w:val="56"/>
      <w:lang w:val="en-US"/>
    </w:rPr>
  </w:style>
  <w:style w:type="paragraph" w:styleId="BodyTextIndent">
    <w:name w:val="Body Text Indent"/>
    <w:basedOn w:val="Normal"/>
    <w:link w:val="BodyTextIndentChar"/>
    <w:qFormat/>
    <w:rsid w:val="0000060D"/>
    <w:pPr>
      <w:spacing w:after="160" w:line="259" w:lineRule="auto"/>
      <w:ind w:left="2160"/>
      <w:jc w:val="both"/>
    </w:pPr>
    <w:rPr>
      <w:rFonts w:ascii="Calibri" w:eastAsia="Calibri" w:hAnsi="Calibri" w:cs="Times New Roman"/>
    </w:rPr>
  </w:style>
  <w:style w:type="character" w:customStyle="1" w:styleId="BodyTextIndentChar">
    <w:name w:val="Body Text Indent Char"/>
    <w:basedOn w:val="DefaultParagraphFont"/>
    <w:link w:val="BodyTextIndent"/>
    <w:rsid w:val="0000060D"/>
    <w:rPr>
      <w:rFonts w:ascii="Calibri" w:eastAsia="Calibri" w:hAnsi="Calibri" w:cs="Times New Roman"/>
    </w:rPr>
  </w:style>
  <w:style w:type="paragraph" w:styleId="CommentSubject">
    <w:name w:val="annotation subject"/>
    <w:basedOn w:val="CommentText"/>
    <w:next w:val="CommentText"/>
    <w:link w:val="CommentSubjectChar"/>
    <w:uiPriority w:val="99"/>
    <w:semiHidden/>
    <w:unhideWhenUsed/>
    <w:qFormat/>
    <w:rsid w:val="0000060D"/>
    <w:rPr>
      <w:b/>
      <w:bCs/>
      <w:lang w:val="en-GB"/>
    </w:rPr>
  </w:style>
  <w:style w:type="character" w:customStyle="1" w:styleId="CommentSubjectChar">
    <w:name w:val="Comment Subject Char"/>
    <w:basedOn w:val="CommentTextChar"/>
    <w:link w:val="CommentSubject"/>
    <w:uiPriority w:val="99"/>
    <w:semiHidden/>
    <w:qFormat/>
    <w:rsid w:val="0000060D"/>
    <w:rPr>
      <w:rFonts w:ascii="Calibri" w:eastAsia="Calibri" w:hAnsi="Calibri" w:cs="Times New Roman"/>
      <w:b/>
      <w:bCs/>
      <w:sz w:val="20"/>
      <w:szCs w:val="20"/>
      <w:lang w:val="en-US"/>
    </w:rPr>
  </w:style>
  <w:style w:type="character" w:styleId="CommentReference">
    <w:name w:val="annotation reference"/>
    <w:uiPriority w:val="99"/>
    <w:semiHidden/>
    <w:unhideWhenUsed/>
    <w:qFormat/>
    <w:rsid w:val="0000060D"/>
    <w:rPr>
      <w:sz w:val="16"/>
      <w:szCs w:val="16"/>
    </w:rPr>
  </w:style>
  <w:style w:type="paragraph" w:customStyle="1" w:styleId="Bibliography1">
    <w:name w:val="Bibliography1"/>
    <w:basedOn w:val="Normal"/>
    <w:next w:val="Normal"/>
    <w:uiPriority w:val="37"/>
    <w:unhideWhenUsed/>
    <w:rsid w:val="0000060D"/>
    <w:pPr>
      <w:spacing w:after="160" w:line="259" w:lineRule="auto"/>
    </w:pPr>
    <w:rPr>
      <w:rFonts w:ascii="Calibri" w:eastAsia="Calibri" w:hAnsi="Calibri" w:cs="Times New Roman"/>
    </w:rPr>
  </w:style>
  <w:style w:type="character" w:customStyle="1" w:styleId="UnresolvedMention10">
    <w:name w:val="Unresolved Mention1"/>
    <w:uiPriority w:val="99"/>
    <w:semiHidden/>
    <w:unhideWhenUsed/>
    <w:qFormat/>
    <w:rsid w:val="0000060D"/>
    <w:rPr>
      <w:color w:val="808080"/>
      <w:shd w:val="clear" w:color="auto" w:fill="E6E6E6"/>
    </w:rPr>
  </w:style>
  <w:style w:type="character" w:customStyle="1" w:styleId="plainlinks">
    <w:name w:val="plainlinks"/>
    <w:basedOn w:val="DefaultParagraphFont"/>
    <w:rsid w:val="0000060D"/>
  </w:style>
  <w:style w:type="character" w:customStyle="1" w:styleId="geo-dms">
    <w:name w:val="geo-dms"/>
    <w:basedOn w:val="DefaultParagraphFont"/>
    <w:rsid w:val="0000060D"/>
  </w:style>
  <w:style w:type="character" w:customStyle="1" w:styleId="latitude">
    <w:name w:val="latitude"/>
    <w:basedOn w:val="DefaultParagraphFont"/>
    <w:rsid w:val="0000060D"/>
  </w:style>
  <w:style w:type="character" w:customStyle="1" w:styleId="longitude">
    <w:name w:val="longitude"/>
    <w:basedOn w:val="DefaultParagraphFont"/>
    <w:rsid w:val="0000060D"/>
  </w:style>
  <w:style w:type="paragraph" w:customStyle="1" w:styleId="Style">
    <w:name w:val="Style"/>
    <w:rsid w:val="00BE4AF3"/>
    <w:pPr>
      <w:widowControl w:val="0"/>
      <w:autoSpaceDE w:val="0"/>
      <w:autoSpaceDN w:val="0"/>
      <w:adjustRightInd w:val="0"/>
      <w:spacing w:after="0" w:line="240" w:lineRule="auto"/>
    </w:pPr>
    <w:rPr>
      <w:rFonts w:ascii="Times New Roman" w:eastAsia="Times New Roman" w:hAnsi="Times New Roman" w:cs="Times New Roman"/>
      <w:sz w:val="24"/>
      <w:szCs w:val="24"/>
      <w:lang w:val="en-US"/>
    </w:rPr>
  </w:style>
  <w:style w:type="paragraph" w:styleId="Bibliography">
    <w:name w:val="Bibliography"/>
    <w:basedOn w:val="Normal"/>
    <w:next w:val="Normal"/>
    <w:uiPriority w:val="37"/>
    <w:semiHidden/>
    <w:unhideWhenUsed/>
    <w:rsid w:val="00BE4AF3"/>
  </w:style>
  <w:style w:type="table" w:customStyle="1" w:styleId="Style1">
    <w:name w:val="Style1"/>
    <w:basedOn w:val="TableNormal"/>
    <w:uiPriority w:val="99"/>
    <w:qFormat/>
    <w:rsid w:val="00BE4AF3"/>
    <w:pPr>
      <w:spacing w:after="0" w:line="240" w:lineRule="auto"/>
    </w:pPr>
    <w:rPr>
      <w:lang w:val="en-US"/>
    </w:rPr>
    <w:tblPr/>
  </w:style>
  <w:style w:type="character" w:styleId="UnresolvedMention">
    <w:name w:val="Unresolved Mention"/>
    <w:basedOn w:val="DefaultParagraphFont"/>
    <w:uiPriority w:val="99"/>
    <w:semiHidden/>
    <w:unhideWhenUsed/>
    <w:rsid w:val="00342286"/>
    <w:rPr>
      <w:color w:val="605E5C"/>
      <w:shd w:val="clear" w:color="auto" w:fill="E1DFDD"/>
    </w:rPr>
  </w:style>
  <w:style w:type="character" w:styleId="FollowedHyperlink">
    <w:name w:val="FollowedHyperlink"/>
    <w:basedOn w:val="DefaultParagraphFont"/>
    <w:uiPriority w:val="99"/>
    <w:semiHidden/>
    <w:unhideWhenUsed/>
    <w:rsid w:val="0016640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unhabitat.org/wcr/" TargetMode="External"/><Relationship Id="rId21" Type="http://schemas.openxmlformats.org/officeDocument/2006/relationships/hyperlink" Target="https://doi.org/10.1007/s10708-019-10009-1" TargetMode="External"/><Relationship Id="rId63" Type="http://schemas.openxmlformats.org/officeDocument/2006/relationships/image" Target="media/image4.png"/><Relationship Id="rId159" Type="http://schemas.openxmlformats.org/officeDocument/2006/relationships/hyperlink" Target="https://doi.org/10.3390/rs15153710" TargetMode="External"/><Relationship Id="rId170" Type="http://schemas.openxmlformats.org/officeDocument/2006/relationships/hyperlink" Target="https://doi.org/10.1016/j.ecolind.2024.112209" TargetMode="External"/><Relationship Id="rId226" Type="http://schemas.openxmlformats.org/officeDocument/2006/relationships/hyperlink" Target="mailto:tomorijumokemulikat@gmail.com,ooodunjo@lautech.edu.ng.and" TargetMode="External"/><Relationship Id="rId268" Type="http://schemas.openxmlformats.org/officeDocument/2006/relationships/image" Target="media/image86.emf"/><Relationship Id="rId11" Type="http://schemas.openxmlformats.org/officeDocument/2006/relationships/diagramColors" Target="diagrams/colors1.xml"/><Relationship Id="rId32" Type="http://schemas.openxmlformats.org/officeDocument/2006/relationships/hyperlink" Target="https://doi.org/10.1108/PM-05-2023-0042" TargetMode="External"/><Relationship Id="rId53" Type="http://schemas.openxmlformats.org/officeDocument/2006/relationships/chart" Target="charts/chart3.xml"/><Relationship Id="rId74" Type="http://schemas.openxmlformats.org/officeDocument/2006/relationships/hyperlink" Target="https://doi.org/10.1016/j.jobe.2021.103678" TargetMode="External"/><Relationship Id="rId128" Type="http://schemas.openxmlformats.org/officeDocument/2006/relationships/hyperlink" Target="https://realestate.usnews.com/real-estate/articles/sustainable-building-materials-toconsider-" TargetMode="External"/><Relationship Id="rId149" Type="http://schemas.openxmlformats.org/officeDocument/2006/relationships/hyperlink" Target="https://www.semanticscholar.org/paper/The-Benefits-and-Importance-of-Commercial-Real-Shaukat/cd1bafff7167160d24792f6480424e776b42f3fa" TargetMode="External"/><Relationship Id="rId5" Type="http://schemas.openxmlformats.org/officeDocument/2006/relationships/footnotes" Target="footnotes.xml"/><Relationship Id="rId95" Type="http://schemas.openxmlformats.org/officeDocument/2006/relationships/hyperlink" Target="https://water.ca.gov/" TargetMode="External"/><Relationship Id="rId160" Type="http://schemas.openxmlformats.org/officeDocument/2006/relationships/hyperlink" Target="https://doi.org/10.1029/2021EA001796" TargetMode="External"/><Relationship Id="rId181" Type="http://schemas.openxmlformats.org/officeDocument/2006/relationships/hyperlink" Target="https://www.emeraldinsight.com/author/Lind%2C%2BHans" TargetMode="External"/><Relationship Id="rId216" Type="http://schemas.openxmlformats.org/officeDocument/2006/relationships/hyperlink" Target="mailto:babatunde.akinbami@uniabuja.edu.ng" TargetMode="External"/><Relationship Id="rId237" Type="http://schemas.openxmlformats.org/officeDocument/2006/relationships/image" Target="media/image59.jpeg"/><Relationship Id="rId258" Type="http://schemas.openxmlformats.org/officeDocument/2006/relationships/image" Target="media/image76.png"/><Relationship Id="rId22" Type="http://schemas.openxmlformats.org/officeDocument/2006/relationships/hyperlink" Target="https://doi.org/10.1007/s11146-015-9515-2" TargetMode="External"/><Relationship Id="rId43" Type="http://schemas.openxmlformats.org/officeDocument/2006/relationships/hyperlink" Target="https://doi.org/10.32604/cmes.2023.044809" TargetMode="External"/><Relationship Id="rId64" Type="http://schemas.openxmlformats.org/officeDocument/2006/relationships/hyperlink" Target="mailto:okaugusta@yahoo.com" TargetMode="External"/><Relationship Id="rId118" Type="http://schemas.openxmlformats.org/officeDocument/2006/relationships/image" Target="media/image8.png"/><Relationship Id="rId139" Type="http://schemas.openxmlformats.org/officeDocument/2006/relationships/image" Target="media/image14.jpeg"/><Relationship Id="rId85" Type="http://schemas.openxmlformats.org/officeDocument/2006/relationships/hyperlink" Target="https://doi.org/10.1080/096132199369174" TargetMode="External"/><Relationship Id="rId150" Type="http://schemas.openxmlformats.org/officeDocument/2006/relationships/hyperlink" Target="https://doi.org/10.1108/PM-07-2020-0046" TargetMode="External"/><Relationship Id="rId171" Type="http://schemas.openxmlformats.org/officeDocument/2006/relationships/hyperlink" Target="Https://Doi.Org/10.21837/Pm.V10i3.101" TargetMode="External"/><Relationship Id="rId192" Type="http://schemas.openxmlformats.org/officeDocument/2006/relationships/image" Target="media/image29.jpeg"/><Relationship Id="rId206" Type="http://schemas.openxmlformats.org/officeDocument/2006/relationships/image" Target="media/image40.jpeg"/><Relationship Id="rId227" Type="http://schemas.openxmlformats.org/officeDocument/2006/relationships/hyperlink" Target="mailto:doadeoye@lautech.edu.ng" TargetMode="External"/><Relationship Id="rId248" Type="http://schemas.openxmlformats.org/officeDocument/2006/relationships/image" Target="media/image66.png"/><Relationship Id="rId269" Type="http://schemas.openxmlformats.org/officeDocument/2006/relationships/header" Target="header3.xml"/><Relationship Id="rId12" Type="http://schemas.microsoft.com/office/2007/relationships/diagramDrawing" Target="diagrams/drawing1.xml"/><Relationship Id="rId33" Type="http://schemas.openxmlformats.org/officeDocument/2006/relationships/hyperlink" Target="https://doi.org/10.1108/PM-12-2024-0125" TargetMode="External"/><Relationship Id="rId108" Type="http://schemas.openxmlformats.org/officeDocument/2006/relationships/hyperlink" Target="https://doi.org/10.3390/rs9040384" TargetMode="External"/><Relationship Id="rId129" Type="http://schemas.openxmlformats.org/officeDocument/2006/relationships/hyperlink" Target="mailto:obedlabija22@gmail.com" TargetMode="External"/><Relationship Id="rId54" Type="http://schemas.openxmlformats.org/officeDocument/2006/relationships/chart" Target="charts/chart4.xml"/><Relationship Id="rId75" Type="http://schemas.openxmlformats.org/officeDocument/2006/relationships/hyperlink" Target="https://www.sciencedirect.com/journal/renewable-and-sustainable-energy-reviews" TargetMode="External"/><Relationship Id="rId96" Type="http://schemas.openxmlformats.org/officeDocument/2006/relationships/hyperlink" Target="https://doi.org/10.3390/app8091558" TargetMode="External"/><Relationship Id="rId140" Type="http://schemas.openxmlformats.org/officeDocument/2006/relationships/image" Target="media/image15.jpeg"/><Relationship Id="rId161" Type="http://schemas.openxmlformats.org/officeDocument/2006/relationships/hyperlink" Target="https://doi.org/10.1080/01431161.2018.1437298" TargetMode="External"/><Relationship Id="rId182" Type="http://schemas.openxmlformats.org/officeDocument/2006/relationships/hyperlink" Target="https://www.emeraldinsight.com/author/Muyingo%2C%2BHenry" TargetMode="External"/><Relationship Id="rId217" Type="http://schemas.openxmlformats.org/officeDocument/2006/relationships/image" Target="media/image46.jpg"/><Relationship Id="rId6" Type="http://schemas.openxmlformats.org/officeDocument/2006/relationships/endnotes" Target="endnotes.xml"/><Relationship Id="rId238" Type="http://schemas.openxmlformats.org/officeDocument/2006/relationships/image" Target="media/image60.png"/><Relationship Id="rId259" Type="http://schemas.openxmlformats.org/officeDocument/2006/relationships/image" Target="media/image77.png"/><Relationship Id="rId23" Type="http://schemas.openxmlformats.org/officeDocument/2006/relationships/hyperlink" Target="https://doi.org/10.1177/1525822X05279903" TargetMode="External"/><Relationship Id="rId119" Type="http://schemas.openxmlformats.org/officeDocument/2006/relationships/image" Target="media/image9.png"/><Relationship Id="rId270" Type="http://schemas.openxmlformats.org/officeDocument/2006/relationships/fontTable" Target="fontTable.xml"/><Relationship Id="rId44" Type="http://schemas.openxmlformats.org/officeDocument/2006/relationships/hyperlink" Target="https://doi.org/10.1016/j.firesaf.2013.09.022" TargetMode="External"/><Relationship Id="rId65" Type="http://schemas.openxmlformats.org/officeDocument/2006/relationships/hyperlink" Target="https://doi.org/10.26190/unsworks/30334" TargetMode="External"/><Relationship Id="rId86" Type="http://schemas.openxmlformats.org/officeDocument/2006/relationships/hyperlink" Target="https://unece.org/sustainable-development" TargetMode="External"/><Relationship Id="rId130" Type="http://schemas.openxmlformats.org/officeDocument/2006/relationships/hyperlink" Target="mailto:sharafadeen2014@gmail.com" TargetMode="External"/><Relationship Id="rId151" Type="http://schemas.openxmlformats.org/officeDocument/2006/relationships/hyperlink" Target="http://ssrn.com/abstract" TargetMode="External"/><Relationship Id="rId172" Type="http://schemas.openxmlformats.org/officeDocument/2006/relationships/hyperlink" Target="http://www.iiste.org" TargetMode="External"/><Relationship Id="rId193" Type="http://schemas.openxmlformats.org/officeDocument/2006/relationships/image" Target="media/image30.jpeg"/><Relationship Id="rId207" Type="http://schemas.openxmlformats.org/officeDocument/2006/relationships/image" Target="media/image41.jpeg"/><Relationship Id="rId228" Type="http://schemas.openxmlformats.org/officeDocument/2006/relationships/image" Target="media/image53.png"/><Relationship Id="rId249" Type="http://schemas.openxmlformats.org/officeDocument/2006/relationships/image" Target="media/image67.png"/><Relationship Id="rId13" Type="http://schemas.openxmlformats.org/officeDocument/2006/relationships/diagramData" Target="diagrams/data2.xml"/><Relationship Id="rId109" Type="http://schemas.openxmlformats.org/officeDocument/2006/relationships/hyperlink" Target="https://doi.org/10.3390/urbansci2010008" TargetMode="External"/><Relationship Id="rId260" Type="http://schemas.openxmlformats.org/officeDocument/2006/relationships/image" Target="media/image78.png"/><Relationship Id="rId34" Type="http://schemas.openxmlformats.org/officeDocument/2006/relationships/hyperlink" Target="https://doi.org/10.6007/ijarbss/v7-i4/2832" TargetMode="External"/><Relationship Id="rId55" Type="http://schemas.openxmlformats.org/officeDocument/2006/relationships/hyperlink" Target="mailto:Chimajohnson2019@gmail.com" TargetMode="External"/><Relationship Id="rId76" Type="http://schemas.openxmlformats.org/officeDocument/2006/relationships/hyperlink" Target="https://www.sciencedirect.com/journal/procedia-engineering" TargetMode="External"/><Relationship Id="rId97" Type="http://schemas.openxmlformats.org/officeDocument/2006/relationships/hyperlink" Target="https://doi.org/10.5281/zenodo.10431948" TargetMode="External"/><Relationship Id="rId120" Type="http://schemas.openxmlformats.org/officeDocument/2006/relationships/image" Target="media/image10.png"/><Relationship Id="rId141" Type="http://schemas.openxmlformats.org/officeDocument/2006/relationships/image" Target="media/image16.jpeg"/><Relationship Id="rId7" Type="http://schemas.openxmlformats.org/officeDocument/2006/relationships/hyperlink" Target="mailto:maakeju@lautech.edu.ng" TargetMode="External"/><Relationship Id="rId162" Type="http://schemas.openxmlformats.org/officeDocument/2006/relationships/hyperlink" Target="https://doi.org/10.5194/amt-11-" TargetMode="External"/><Relationship Id="rId183" Type="http://schemas.openxmlformats.org/officeDocument/2006/relationships/hyperlink" Target="http://www.makeuseof.com/tag/what-is-data-analysis" TargetMode="External"/><Relationship Id="rId218" Type="http://schemas.openxmlformats.org/officeDocument/2006/relationships/image" Target="media/image47.jpeg"/><Relationship Id="rId239" Type="http://schemas.openxmlformats.org/officeDocument/2006/relationships/image" Target="media/image61.jpeg"/><Relationship Id="rId250" Type="http://schemas.openxmlformats.org/officeDocument/2006/relationships/image" Target="media/image68.png"/><Relationship Id="rId271" Type="http://schemas.openxmlformats.org/officeDocument/2006/relationships/glossaryDocument" Target="glossary/document.xml"/><Relationship Id="rId24" Type="http://schemas.openxmlformats.org/officeDocument/2006/relationships/hyperlink" Target="https://doi.org/10.1007/s11146-007-9075-1" TargetMode="External"/><Relationship Id="rId45" Type="http://schemas.openxmlformats.org/officeDocument/2006/relationships/hyperlink" Target="mailto:chidimma.azike@ust.edu.ng" TargetMode="External"/><Relationship Id="rId66" Type="http://schemas.openxmlformats.org/officeDocument/2006/relationships/hyperlink" Target="https://doi.org/10.30574/wjarr.2025.25.2.0638" TargetMode="External"/><Relationship Id="rId87" Type="http://schemas.openxmlformats.org/officeDocument/2006/relationships/hyperlink" Target="https://www.un.org/development/desa/pd/news/world-urbanization-prospects-2018" TargetMode="External"/><Relationship Id="rId110" Type="http://schemas.openxmlformats.org/officeDocument/2006/relationships/hyperlink" Target="https://doi.org/10.1109/JURSE.2017.7924589" TargetMode="External"/><Relationship Id="rId131" Type="http://schemas.openxmlformats.org/officeDocument/2006/relationships/hyperlink" Target="https://doi.org/10.4236/jbcpr.2021.92011" TargetMode="External"/><Relationship Id="rId152" Type="http://schemas.openxmlformats.org/officeDocument/2006/relationships/hyperlink" Target="https://file:///C:/Users/SAC%20VALUATION%20UNIT/Downloads/CommercialPropertyInvestmentUpdated2020%20(1).pdf" TargetMode="External"/><Relationship Id="rId173" Type="http://schemas.openxmlformats.org/officeDocument/2006/relationships/hyperlink" Target="https://doi.org/10.1016/j.landurbplan.2011.02.014" TargetMode="External"/><Relationship Id="rId194" Type="http://schemas.openxmlformats.org/officeDocument/2006/relationships/hyperlink" Target="https://doi-org/10.4236/jgis.2020.125025" TargetMode="External"/><Relationship Id="rId208" Type="http://schemas.openxmlformats.org/officeDocument/2006/relationships/image" Target="media/image42.jpeg"/><Relationship Id="rId229" Type="http://schemas.openxmlformats.org/officeDocument/2006/relationships/image" Target="media/image54.png"/><Relationship Id="rId240" Type="http://schemas.openxmlformats.org/officeDocument/2006/relationships/image" Target="media/image62.jpeg"/><Relationship Id="rId261" Type="http://schemas.openxmlformats.org/officeDocument/2006/relationships/image" Target="media/image79.png"/><Relationship Id="rId14" Type="http://schemas.openxmlformats.org/officeDocument/2006/relationships/diagramLayout" Target="diagrams/layout2.xml"/><Relationship Id="rId35" Type="http://schemas.openxmlformats.org/officeDocument/2006/relationships/hyperlink" Target="https://doi.org/10.1177/1473325002001003636" TargetMode="External"/><Relationship Id="rId56" Type="http://schemas.openxmlformats.org/officeDocument/2006/relationships/image" Target="media/image1.jpeg"/><Relationship Id="rId77" Type="http://schemas.openxmlformats.org/officeDocument/2006/relationships/hyperlink" Target="https://www.sciencedirect.com/journal/procedia-engineering/vol/200/suppl/C" TargetMode="External"/><Relationship Id="rId100" Type="http://schemas.openxmlformats.org/officeDocument/2006/relationships/hyperlink" Target="http://www.usgs.gov/circ/1968/0554/report.pdf" TargetMode="External"/><Relationship Id="rId8" Type="http://schemas.openxmlformats.org/officeDocument/2006/relationships/diagramData" Target="diagrams/data1.xml"/><Relationship Id="rId98" Type="http://schemas.openxmlformats.org/officeDocument/2006/relationships/hyperlink" Target="https://www.researchgate.net/journal/Risk-Analysis-1539-6924" TargetMode="External"/><Relationship Id="rId121" Type="http://schemas.openxmlformats.org/officeDocument/2006/relationships/image" Target="media/image11.png"/><Relationship Id="rId142" Type="http://schemas.openxmlformats.org/officeDocument/2006/relationships/hyperlink" Target="https://www.thehouseplanshop.com/commercial-buildings/house-plans/63/1.php" TargetMode="External"/><Relationship Id="rId163" Type="http://schemas.openxmlformats.org/officeDocument/2006/relationships/hyperlink" Target="https://doi.org/10.1175/JTECH-D-13-" TargetMode="External"/><Relationship Id="rId184" Type="http://schemas.openxmlformats.org/officeDocument/2006/relationships/hyperlink" Target="http://www.makeuseof.com/tag/what-is-data-analysis" TargetMode="External"/><Relationship Id="rId219" Type="http://schemas.openxmlformats.org/officeDocument/2006/relationships/image" Target="media/image48.png"/><Relationship Id="rId230" Type="http://schemas.openxmlformats.org/officeDocument/2006/relationships/image" Target="media/image55.png"/><Relationship Id="rId251" Type="http://schemas.openxmlformats.org/officeDocument/2006/relationships/image" Target="media/image69.png"/><Relationship Id="rId25" Type="http://schemas.openxmlformats.org/officeDocument/2006/relationships/hyperlink" Target="https://doi.org/10.1163/15730255-12314030" TargetMode="External"/><Relationship Id="rId46" Type="http://schemas.openxmlformats.org/officeDocument/2006/relationships/hyperlink" Target="mailto:kelechukwu.dimkpa@ust.edu.ng" TargetMode="External"/><Relationship Id="rId67" Type="http://schemas.openxmlformats.org/officeDocument/2006/relationships/hyperlink" Target="mailto:adedamolajo@afued.edu.ng" TargetMode="External"/><Relationship Id="rId272" Type="http://schemas.openxmlformats.org/officeDocument/2006/relationships/theme" Target="theme/theme1.xml"/><Relationship Id="rId88" Type="http://schemas.openxmlformats.org/officeDocument/2006/relationships/hyperlink" Target="https://www.unep.org/resources/report/global-resources-outlook-2024" TargetMode="External"/><Relationship Id="rId111" Type="http://schemas.openxmlformats.org/officeDocument/2006/relationships/hyperlink" Target="http://eprints.hud.ac.uk/id/eprints/30335/" TargetMode="External"/><Relationship Id="rId132" Type="http://schemas.openxmlformats.org/officeDocument/2006/relationships/hyperlink" Target="https://www.sciencedirect.com/journal/cleaner-engineering-and-technology" TargetMode="External"/><Relationship Id="rId153" Type="http://schemas.openxmlformats.org/officeDocument/2006/relationships/hyperlink" Target="https://data.cosmic.ucar.edu/gnss-ro/" TargetMode="External"/><Relationship Id="rId174" Type="http://schemas.openxmlformats.org/officeDocument/2006/relationships/hyperlink" Target="Https://Doi.Org/10.21837/Pm.V10i3.101" TargetMode="External"/><Relationship Id="rId195" Type="http://schemas.openxmlformats.org/officeDocument/2006/relationships/hyperlink" Target="http://journals.ui.edu.ng/index.php/ipj/issue/view/7" TargetMode="External"/><Relationship Id="rId209" Type="http://schemas.openxmlformats.org/officeDocument/2006/relationships/image" Target="media/image43.jpeg"/><Relationship Id="rId220" Type="http://schemas.openxmlformats.org/officeDocument/2006/relationships/image" Target="media/image49.png"/><Relationship Id="rId241" Type="http://schemas.openxmlformats.org/officeDocument/2006/relationships/image" Target="media/image63.jpeg"/><Relationship Id="rId15" Type="http://schemas.openxmlformats.org/officeDocument/2006/relationships/diagramQuickStyle" Target="diagrams/quickStyle2.xml"/><Relationship Id="rId36" Type="http://schemas.openxmlformats.org/officeDocument/2006/relationships/hyperlink" Target="https://doi.org/10.1108/02637470110366202" TargetMode="External"/><Relationship Id="rId57" Type="http://schemas.openxmlformats.org/officeDocument/2006/relationships/image" Target="media/image2.jpeg"/><Relationship Id="rId262" Type="http://schemas.openxmlformats.org/officeDocument/2006/relationships/image" Target="media/image80.png"/><Relationship Id="rId78" Type="http://schemas.openxmlformats.org/officeDocument/2006/relationships/hyperlink" Target="https://www.dgnb.de" TargetMode="External"/><Relationship Id="rId99" Type="http://schemas.openxmlformats.org/officeDocument/2006/relationships/hyperlink" Target="http://www.pnas.org/cgi/doi/10.1073/pnas.1818227115" TargetMode="External"/><Relationship Id="rId101" Type="http://schemas.openxmlformats.org/officeDocument/2006/relationships/hyperlink" Target="https://doi.org/10.4324/9780367855765" TargetMode="External"/><Relationship Id="rId122" Type="http://schemas.openxmlformats.org/officeDocument/2006/relationships/image" Target="media/image12.png"/><Relationship Id="rId143" Type="http://schemas.openxmlformats.org/officeDocument/2006/relationships/image" Target="media/image17.jpeg"/><Relationship Id="rId164" Type="http://schemas.openxmlformats.org/officeDocument/2006/relationships/hyperlink" Target="https://doi.org/10.1029/2023EA003021" TargetMode="External"/><Relationship Id="rId185" Type="http://schemas.openxmlformats.org/officeDocument/2006/relationships/hyperlink" Target="mailto:ayokola1@gmail.com" TargetMode="External"/><Relationship Id="rId9" Type="http://schemas.openxmlformats.org/officeDocument/2006/relationships/diagramLayout" Target="diagrams/layout1.xml"/><Relationship Id="rId210" Type="http://schemas.openxmlformats.org/officeDocument/2006/relationships/image" Target="media/image44.jpeg"/><Relationship Id="rId26" Type="http://schemas.openxmlformats.org/officeDocument/2006/relationships/hyperlink" Target="https://doi.org/10.14311/bit.2023.01.13" TargetMode="External"/><Relationship Id="rId231" Type="http://schemas.openxmlformats.org/officeDocument/2006/relationships/image" Target="media/image56.png"/><Relationship Id="rId252" Type="http://schemas.openxmlformats.org/officeDocument/2006/relationships/image" Target="media/image70.png"/><Relationship Id="rId47" Type="http://schemas.openxmlformats.org/officeDocument/2006/relationships/hyperlink" Target="https://doi.org/10.1007/s11205-015-1188-y" TargetMode="External"/><Relationship Id="rId68" Type="http://schemas.openxmlformats.org/officeDocument/2006/relationships/hyperlink" Target="mailto:jofegg@gmail.com" TargetMode="External"/><Relationship Id="rId89" Type="http://schemas.openxmlformats.org/officeDocument/2006/relationships/hyperlink" Target="https://www.unep.org/resources/publication/2022-global-status-report-buildings-and-construction" TargetMode="External"/><Relationship Id="rId112" Type="http://schemas.openxmlformats.org/officeDocument/2006/relationships/hyperlink" Target="http://www.patrec.org/atrf.aspx" TargetMode="External"/><Relationship Id="rId133" Type="http://schemas.openxmlformats.org/officeDocument/2006/relationships/hyperlink" Target="https://www.sciencedirect.com/journal/cleaner-engineering-and-technology/vol/4/suppl/C" TargetMode="External"/><Relationship Id="rId154" Type="http://schemas.openxmlformats.org/officeDocument/2006/relationships/hyperlink" Target="https://data.cosmic.ucar.edu/gnss-ro/" TargetMode="External"/><Relationship Id="rId175" Type="http://schemas.openxmlformats.org/officeDocument/2006/relationships/image" Target="media/image26.png"/><Relationship Id="rId196" Type="http://schemas.openxmlformats.org/officeDocument/2006/relationships/hyperlink" Target="https://doi.org/10.33005/border:v7i1.1281" TargetMode="External"/><Relationship Id="rId200" Type="http://schemas.openxmlformats.org/officeDocument/2006/relationships/image" Target="media/image34.jpeg"/><Relationship Id="rId16" Type="http://schemas.openxmlformats.org/officeDocument/2006/relationships/diagramColors" Target="diagrams/colors2.xml"/><Relationship Id="rId221" Type="http://schemas.openxmlformats.org/officeDocument/2006/relationships/image" Target="media/image50.png"/><Relationship Id="rId242" Type="http://schemas.openxmlformats.org/officeDocument/2006/relationships/image" Target="media/image64.jpeg"/><Relationship Id="rId263" Type="http://schemas.openxmlformats.org/officeDocument/2006/relationships/image" Target="media/image81.png"/><Relationship Id="rId37" Type="http://schemas.openxmlformats.org/officeDocument/2006/relationships/hyperlink" Target="https://zetterberg.com/communities/the-pre-sale-process/" TargetMode="External"/><Relationship Id="rId58" Type="http://schemas.openxmlformats.org/officeDocument/2006/relationships/image" Target="media/image3.jpeg"/><Relationship Id="rId79" Type="http://schemas.openxmlformats.org/officeDocument/2006/relationships/hyperlink" Target="https://globalabc.org/sustainable-materials-hub/home" TargetMode="External"/><Relationship Id="rId102" Type="http://schemas.openxmlformats.org/officeDocument/2006/relationships/hyperlink" Target="https://doi.org/10.24425/gac.2022.141172" TargetMode="External"/><Relationship Id="rId123" Type="http://schemas.openxmlformats.org/officeDocument/2006/relationships/image" Target="media/image13.png"/><Relationship Id="rId144" Type="http://schemas.openxmlformats.org/officeDocument/2006/relationships/image" Target="media/image18.png"/><Relationship Id="rId90" Type="http://schemas.openxmlformats.org/officeDocument/2006/relationships/hyperlink" Target="https://unfccc.int/sites/default/files/resource/UNClimateChange_AnnualReport_2022.pdf" TargetMode="External"/><Relationship Id="rId165" Type="http://schemas.openxmlformats.org/officeDocument/2006/relationships/hyperlink" Target="https://doi.org/10.1016/S1364-6826(01)00190-XThayer,%20G.%20D.%20(1974).%20An%20improved%20equation%20for%20the%20radio%20refractive%20index%20of%20air.%20%09Radio%20Science,%209(10),%20803-807.%20https://doi.org/10.1029/RS009i010p00803" TargetMode="External"/><Relationship Id="rId186" Type="http://schemas.openxmlformats.org/officeDocument/2006/relationships/hyperlink" Target="mailto:joshuaabayomio@gmail.com" TargetMode="External"/><Relationship Id="rId211" Type="http://schemas.openxmlformats.org/officeDocument/2006/relationships/hyperlink" Target="mailto:odadeoye@lautech.edu.ng" TargetMode="External"/><Relationship Id="rId232" Type="http://schemas.openxmlformats.org/officeDocument/2006/relationships/image" Target="media/image57.emf"/><Relationship Id="rId253" Type="http://schemas.openxmlformats.org/officeDocument/2006/relationships/image" Target="media/image71.png"/><Relationship Id="rId27" Type="http://schemas.openxmlformats.org/officeDocument/2006/relationships/hyperlink" Target="https://doi.org/10.1111/j.1080-8620.2004.00094.x" TargetMode="External"/><Relationship Id="rId48" Type="http://schemas.openxmlformats.org/officeDocument/2006/relationships/hyperlink" Target="https://doi.org/10.36941/ajis-2020-0047" TargetMode="External"/><Relationship Id="rId69" Type="http://schemas.openxmlformats.org/officeDocument/2006/relationships/hyperlink" Target="https://elanatsui.art" TargetMode="External"/><Relationship Id="rId113" Type="http://schemas.openxmlformats.org/officeDocument/2006/relationships/hyperlink" Target="mailto:oreofeolaotan@gmail.com.edu.ng" TargetMode="External"/><Relationship Id="rId134" Type="http://schemas.openxmlformats.org/officeDocument/2006/relationships/hyperlink" Target="file:///C:\Users\PC\Downloads\nbs%20Nigerian%20Construction%20report%202010_2012.pdf" TargetMode="External"/><Relationship Id="rId80" Type="http://schemas.openxmlformats.org/officeDocument/2006/relationships/hyperlink" Target="https://www.sciencedirect.com/author/37116869600/ali-ghaffarianhoseini" TargetMode="External"/><Relationship Id="rId155" Type="http://schemas.openxmlformats.org/officeDocument/2006/relationships/image" Target="media/image21.png"/><Relationship Id="rId176" Type="http://schemas.openxmlformats.org/officeDocument/2006/relationships/hyperlink" Target="https://www.fiixsoftware.com/author/jeffdutschke/" TargetMode="External"/><Relationship Id="rId197" Type="http://schemas.openxmlformats.org/officeDocument/2006/relationships/image" Target="media/image31.png"/><Relationship Id="rId201" Type="http://schemas.openxmlformats.org/officeDocument/2006/relationships/image" Target="media/image35.jpeg"/><Relationship Id="rId222" Type="http://schemas.openxmlformats.org/officeDocument/2006/relationships/image" Target="media/image51.png"/><Relationship Id="rId243" Type="http://schemas.openxmlformats.org/officeDocument/2006/relationships/hyperlink" Target="http://www.nycgov/../pr257-12.html" TargetMode="External"/><Relationship Id="rId264" Type="http://schemas.openxmlformats.org/officeDocument/2006/relationships/image" Target="media/image82.png"/><Relationship Id="rId17" Type="http://schemas.microsoft.com/office/2007/relationships/diagramDrawing" Target="diagrams/drawing2.xml"/><Relationship Id="rId38" Type="http://schemas.openxmlformats.org/officeDocument/2006/relationships/hyperlink" Target="https://doi.org/10.3846/ijspm.2018.1547" TargetMode="External"/><Relationship Id="rId59" Type="http://schemas.openxmlformats.org/officeDocument/2006/relationships/hyperlink" Target="mailto:dairoelisha@gmail.com" TargetMode="External"/><Relationship Id="rId103" Type="http://schemas.openxmlformats.org/officeDocument/2006/relationships/hyperlink" Target="https://doi.org/10.1080/01431161.2017.1285085" TargetMode="External"/><Relationship Id="rId124" Type="http://schemas.openxmlformats.org/officeDocument/2006/relationships/hyperlink" Target="https://www.homedit.com/construction-budget-with-these-cheap-buildingmaterials/" TargetMode="External"/><Relationship Id="rId70" Type="http://schemas.openxmlformats.org/officeDocument/2006/relationships/hyperlink" Target="https://unctad.org/webflyer/creative-economy-outlook-2022" TargetMode="External"/><Relationship Id="rId91" Type="http://schemas.openxmlformats.org/officeDocument/2006/relationships/hyperlink" Target="https://www.usgbc.org" TargetMode="External"/><Relationship Id="rId145" Type="http://schemas.openxmlformats.org/officeDocument/2006/relationships/image" Target="media/image19.png"/><Relationship Id="rId166" Type="http://schemas.openxmlformats.org/officeDocument/2006/relationships/hyperlink" Target="mailto:makindeolusola2012@yahoo.com" TargetMode="External"/><Relationship Id="rId187" Type="http://schemas.openxmlformats.org/officeDocument/2006/relationships/image" Target="media/image27.jpeg"/><Relationship Id="rId1" Type="http://schemas.openxmlformats.org/officeDocument/2006/relationships/numbering" Target="numbering.xml"/><Relationship Id="rId212" Type="http://schemas.openxmlformats.org/officeDocument/2006/relationships/hyperlink" Target="TEL:(+234)8035605729" TargetMode="External"/><Relationship Id="rId233" Type="http://schemas.openxmlformats.org/officeDocument/2006/relationships/image" Target="media/image58.png"/><Relationship Id="rId254" Type="http://schemas.openxmlformats.org/officeDocument/2006/relationships/image" Target="media/image72.png"/><Relationship Id="rId28" Type="http://schemas.openxmlformats.org/officeDocument/2006/relationships/hyperlink" Target="https://doi.org/10.3846/ijspm.2010.19" TargetMode="External"/><Relationship Id="rId49" Type="http://schemas.openxmlformats.org/officeDocument/2006/relationships/hyperlink" Target="https://doi.org/10.1177/21582440211045079" TargetMode="External"/><Relationship Id="rId114" Type="http://schemas.openxmlformats.org/officeDocument/2006/relationships/image" Target="media/image5.jpeg"/><Relationship Id="rId60" Type="http://schemas.openxmlformats.org/officeDocument/2006/relationships/hyperlink" Target="mailto:joyfaithmoses@gmail.com" TargetMode="External"/><Relationship Id="rId81" Type="http://schemas.openxmlformats.org/officeDocument/2006/relationships/hyperlink" Target="https://www.sciencedirect.com/journal/renewable-and-sustainable-energy-reviews" TargetMode="External"/><Relationship Id="rId135" Type="http://schemas.openxmlformats.org/officeDocument/2006/relationships/hyperlink" Target="https://www.mdpi.com/editorial_process" TargetMode="External"/><Relationship Id="rId156" Type="http://schemas.openxmlformats.org/officeDocument/2006/relationships/image" Target="media/image22.png"/><Relationship Id="rId177" Type="http://schemas.openxmlformats.org/officeDocument/2006/relationships/hyperlink" Target="https://www.fiixsoftware.com/blog/evolution-maintenance-practice/" TargetMode="External"/><Relationship Id="rId198" Type="http://schemas.openxmlformats.org/officeDocument/2006/relationships/image" Target="media/image32.jpeg"/><Relationship Id="rId202" Type="http://schemas.openxmlformats.org/officeDocument/2006/relationships/image" Target="media/image36.jpeg"/><Relationship Id="rId223" Type="http://schemas.openxmlformats.org/officeDocument/2006/relationships/image" Target="media/image52.jpeg"/><Relationship Id="rId244" Type="http://schemas.openxmlformats.org/officeDocument/2006/relationships/hyperlink" Target="http://www.whatismicrohousing.ng" TargetMode="External"/><Relationship Id="rId18" Type="http://schemas.openxmlformats.org/officeDocument/2006/relationships/chart" Target="charts/chart1.xml"/><Relationship Id="rId39" Type="http://schemas.openxmlformats.org/officeDocument/2006/relationships/hyperlink" Target="https://opencivilengineeringjournal.com/VOLUME/11/PAGE/786/" TargetMode="External"/><Relationship Id="rId265" Type="http://schemas.openxmlformats.org/officeDocument/2006/relationships/image" Target="media/image83.png"/><Relationship Id="rId50" Type="http://schemas.openxmlformats.org/officeDocument/2006/relationships/hyperlink" Target="https://doi.org/10.56556/jssms.v1i2.139" TargetMode="External"/><Relationship Id="rId104" Type="http://schemas.openxmlformats.org/officeDocument/2006/relationships/hyperlink" Target="https://doi.org/10.48130/tia-0024-0009" TargetMode="External"/><Relationship Id="rId125" Type="http://schemas.openxmlformats.org/officeDocument/2006/relationships/hyperlink" Target="https://www4.unfccc.int/sites/submissions" TargetMode="External"/><Relationship Id="rId146" Type="http://schemas.openxmlformats.org/officeDocument/2006/relationships/image" Target="media/image20.png"/><Relationship Id="rId167" Type="http://schemas.openxmlformats.org/officeDocument/2006/relationships/image" Target="media/image25.jpeg"/><Relationship Id="rId188" Type="http://schemas.openxmlformats.org/officeDocument/2006/relationships/header" Target="header1.xml"/><Relationship Id="rId71" Type="http://schemas.openxmlformats.org/officeDocument/2006/relationships/hyperlink" Target="https://www.washedashore.org" TargetMode="External"/><Relationship Id="rId92" Type="http://schemas.openxmlformats.org/officeDocument/2006/relationships/hyperlink" Target="mailto:alaoniyi@yahoo.com" TargetMode="External"/><Relationship Id="rId213" Type="http://schemas.openxmlformats.org/officeDocument/2006/relationships/image" Target="media/image45.jpeg"/><Relationship Id="rId234" Type="http://schemas.openxmlformats.org/officeDocument/2006/relationships/hyperlink" Target="http://www.dewpoint.org.uk/Article.Aspx?Article" TargetMode="External"/><Relationship Id="rId2" Type="http://schemas.openxmlformats.org/officeDocument/2006/relationships/styles" Target="styles.xml"/><Relationship Id="rId29" Type="http://schemas.openxmlformats.org/officeDocument/2006/relationships/hyperlink" Target="https://doi.org/10.1080/1648715X.2007.9637563" TargetMode="External"/><Relationship Id="rId255" Type="http://schemas.openxmlformats.org/officeDocument/2006/relationships/image" Target="media/image73.png"/><Relationship Id="rId40" Type="http://schemas.openxmlformats.org/officeDocument/2006/relationships/hyperlink" Target="https://opencivilengineeringjournal.com/VOLUME/11/PAGE/786/" TargetMode="External"/><Relationship Id="rId115" Type="http://schemas.openxmlformats.org/officeDocument/2006/relationships/image" Target="media/image6.jpeg"/><Relationship Id="rId136" Type="http://schemas.openxmlformats.org/officeDocument/2006/relationships/hyperlink" Target="mailto:suleiman.ar@unilorin.edu.ng" TargetMode="External"/><Relationship Id="rId157" Type="http://schemas.openxmlformats.org/officeDocument/2006/relationships/image" Target="media/image23.png"/><Relationship Id="rId178" Type="http://schemas.openxmlformats.org/officeDocument/2006/relationships/hyperlink" Target="http://www/" TargetMode="External"/><Relationship Id="rId61" Type="http://schemas.openxmlformats.org/officeDocument/2006/relationships/hyperlink" Target="mailto:oluyemigbadebo18@gmail.com" TargetMode="External"/><Relationship Id="rId82" Type="http://schemas.openxmlformats.org/officeDocument/2006/relationships/hyperlink" Target="https://www.sciencedirect.com/journal/renewable-and-sustainable-energy-reviews/vol/82/part/P3" TargetMode="External"/><Relationship Id="rId199" Type="http://schemas.openxmlformats.org/officeDocument/2006/relationships/image" Target="media/image33.jpeg"/><Relationship Id="rId203" Type="http://schemas.openxmlformats.org/officeDocument/2006/relationships/image" Target="media/image37.jpeg"/><Relationship Id="rId19" Type="http://schemas.openxmlformats.org/officeDocument/2006/relationships/chart" Target="charts/chart2.xml"/><Relationship Id="rId224" Type="http://schemas.openxmlformats.org/officeDocument/2006/relationships/hyperlink" Target="mailto:thonyankeli@gmail.com," TargetMode="External"/><Relationship Id="rId245" Type="http://schemas.openxmlformats.org/officeDocument/2006/relationships/hyperlink" Target="http://www.macrotrend" TargetMode="External"/><Relationship Id="rId266" Type="http://schemas.openxmlformats.org/officeDocument/2006/relationships/image" Target="media/image84.png"/><Relationship Id="rId30" Type="http://schemas.openxmlformats.org/officeDocument/2006/relationships/hyperlink" Target="https://doi.org/10.1007/s11146-018-9662-3" TargetMode="External"/><Relationship Id="rId105" Type="http://schemas.openxmlformats.org/officeDocument/2006/relationships/hyperlink" Target="https://doi.org/10.5194/isprs-annals-III-3-317-2016" TargetMode="External"/><Relationship Id="rId126" Type="http://schemas.openxmlformats.org/officeDocument/2006/relationships/hyperlink" Target="https://inhabitat.com/11-green-building-materials-that-are-way-better-than-concrete" TargetMode="External"/><Relationship Id="rId147" Type="http://schemas.openxmlformats.org/officeDocument/2006/relationships/hyperlink" Target="http://www" TargetMode="External"/><Relationship Id="rId168" Type="http://schemas.openxmlformats.org/officeDocument/2006/relationships/hyperlink" Target="https://doi.org/10.1016/j.ufug.2019.126488" TargetMode="External"/><Relationship Id="rId51" Type="http://schemas.openxmlformats.org/officeDocument/2006/relationships/hyperlink" Target="https://doi.org/10.56556/jssms.v1i2.139%E2%80%8B" TargetMode="External"/><Relationship Id="rId72" Type="http://schemas.openxmlformats.org/officeDocument/2006/relationships/hyperlink" Target="https://doi.org/10.1016/j.jue.2006.06.004" TargetMode="External"/><Relationship Id="rId93" Type="http://schemas.openxmlformats.org/officeDocument/2006/relationships/hyperlink" Target="mailto:alaoto@dsust.edu.ng" TargetMode="External"/><Relationship Id="rId189" Type="http://schemas.openxmlformats.org/officeDocument/2006/relationships/footer" Target="footer1.xml"/><Relationship Id="rId3" Type="http://schemas.openxmlformats.org/officeDocument/2006/relationships/settings" Target="settings.xml"/><Relationship Id="rId214" Type="http://schemas.openxmlformats.org/officeDocument/2006/relationships/hyperlink" Target="https://doi.org/10.1108/ECAM-09-" TargetMode="External"/><Relationship Id="rId235" Type="http://schemas.openxmlformats.org/officeDocument/2006/relationships/hyperlink" Target="http://www.beachcenter" TargetMode="External"/><Relationship Id="rId256" Type="http://schemas.openxmlformats.org/officeDocument/2006/relationships/image" Target="media/image74.png"/><Relationship Id="rId116" Type="http://schemas.openxmlformats.org/officeDocument/2006/relationships/image" Target="media/image7.jpeg"/><Relationship Id="rId137" Type="http://schemas.openxmlformats.org/officeDocument/2006/relationships/hyperlink" Target="http://wcr.unhabitat.org" TargetMode="External"/><Relationship Id="rId158" Type="http://schemas.openxmlformats.org/officeDocument/2006/relationships/image" Target="media/image24.png"/><Relationship Id="rId20" Type="http://schemas.openxmlformats.org/officeDocument/2006/relationships/hyperlink" Target="http://dx.doi.org/10.5772/50439" TargetMode="External"/><Relationship Id="rId41" Type="http://schemas.openxmlformats.org/officeDocument/2006/relationships/hyperlink" Target="https://opencivilengineeringjournal.com/VOLUME/11/PAGE/786/" TargetMode="External"/><Relationship Id="rId62" Type="http://schemas.openxmlformats.org/officeDocument/2006/relationships/hyperlink" Target="mailto:dairoelisha@gmail.com" TargetMode="External"/><Relationship Id="rId83" Type="http://schemas.openxmlformats.org/officeDocument/2006/relationships/hyperlink" Target="https://www.local2030.org/library/302/UN-and-SDGs-A-handbook-for-youth.pdf" TargetMode="External"/><Relationship Id="rId179" Type="http://schemas.openxmlformats.org/officeDocument/2006/relationships/hyperlink" Target="https://www.surveymonkey.com/mp/sample-size-calculator/" TargetMode="External"/><Relationship Id="rId190" Type="http://schemas.openxmlformats.org/officeDocument/2006/relationships/header" Target="header2.xml"/><Relationship Id="rId204" Type="http://schemas.openxmlformats.org/officeDocument/2006/relationships/image" Target="media/image38.png"/><Relationship Id="rId225" Type="http://schemas.openxmlformats.org/officeDocument/2006/relationships/hyperlink" Target="https://doi.org/10.5281/zenodo.15575705" TargetMode="External"/><Relationship Id="rId246" Type="http://schemas.openxmlformats.org/officeDocument/2006/relationships/hyperlink" Target="https://www.worldbank.org/en/country/nigeria/" TargetMode="External"/><Relationship Id="rId267" Type="http://schemas.openxmlformats.org/officeDocument/2006/relationships/image" Target="media/image85.png"/><Relationship Id="rId106" Type="http://schemas.openxmlformats.org/officeDocument/2006/relationships/hyperlink" Target="https://isprs-annals.copernicus.org/articles/III-3/317/2016/?utm_source=chatgpt.com" TargetMode="External"/><Relationship Id="rId127" Type="http://schemas.openxmlformats.org/officeDocument/2006/relationships/hyperlink" Target="https://lagospost.ng/exploring-alternative-building-methods-and-practices-in-nig" TargetMode="External"/><Relationship Id="rId10" Type="http://schemas.openxmlformats.org/officeDocument/2006/relationships/diagramQuickStyle" Target="diagrams/quickStyle1.xml"/><Relationship Id="rId31" Type="http://schemas.openxmlformats.org/officeDocument/2006/relationships/hyperlink" Target="https://doi.org/10.1016/j.ijnurstu.2020.103632" TargetMode="External"/><Relationship Id="rId52" Type="http://schemas.openxmlformats.org/officeDocument/2006/relationships/hyperlink" Target="mailto:%20Corresponding%20Author%20E-mail:%20akeemakanbi91@gmail.com" TargetMode="External"/><Relationship Id="rId73" Type="http://schemas.openxmlformats.org/officeDocument/2006/relationships/hyperlink" Target="https://doi.org/10.1108/AJEMS-11-2018-0353" TargetMode="External"/><Relationship Id="rId94" Type="http://schemas.openxmlformats.org/officeDocument/2006/relationships/hyperlink" Target="https://doi.org/10.1111/jfr3.12179" TargetMode="External"/><Relationship Id="rId148" Type="http://schemas.openxmlformats.org/officeDocument/2006/relationships/hyperlink" Target="https://file:///C:/Users/SAC%20VALUATION%20UNIT/Downloads/w14708.pdf" TargetMode="External"/><Relationship Id="rId169" Type="http://schemas.openxmlformats.org/officeDocument/2006/relationships/hyperlink" Target="http://www.iiste.org" TargetMode="External"/><Relationship Id="rId4" Type="http://schemas.openxmlformats.org/officeDocument/2006/relationships/webSettings" Target="webSettings.xml"/><Relationship Id="rId180" Type="http://schemas.openxmlformats.org/officeDocument/2006/relationships/hyperlink" Target="https://www.youtube.com/watch?v=KT_sooVMQD0" TargetMode="External"/><Relationship Id="rId215" Type="http://schemas.openxmlformats.org/officeDocument/2006/relationships/hyperlink" Target="https://doi.org/10.1007/978-" TargetMode="External"/><Relationship Id="rId236" Type="http://schemas.openxmlformats.org/officeDocument/2006/relationships/hyperlink" Target="http://www.who" TargetMode="External"/><Relationship Id="rId257" Type="http://schemas.openxmlformats.org/officeDocument/2006/relationships/image" Target="media/image75.png"/><Relationship Id="rId42" Type="http://schemas.openxmlformats.org/officeDocument/2006/relationships/hyperlink" Target="http://dx.doi.org/10.2174/1874149501711010786" TargetMode="External"/><Relationship Id="rId84" Type="http://schemas.openxmlformats.org/officeDocument/2006/relationships/hyperlink" Target="http://dx.doi.org/10.1016/j.scs.2019.101869" TargetMode="External"/><Relationship Id="rId138" Type="http://schemas.openxmlformats.org/officeDocument/2006/relationships/hyperlink" Target="mailto:ayodele.awoyera@uniosun.edu.ng" TargetMode="External"/><Relationship Id="rId191" Type="http://schemas.openxmlformats.org/officeDocument/2006/relationships/image" Target="media/image28.jpeg"/><Relationship Id="rId205" Type="http://schemas.openxmlformats.org/officeDocument/2006/relationships/image" Target="media/image39.jpeg"/><Relationship Id="rId247" Type="http://schemas.openxmlformats.org/officeDocument/2006/relationships/image" Target="media/image65.jpeg"/><Relationship Id="rId107" Type="http://schemas.openxmlformats.org/officeDocument/2006/relationships/hyperlink" Target="https://doi.org/10.3390/rs8060455"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rc%20Akanbi\Documents\SPSS%20EXCELL.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rc%20Akanbi\Documents\SPSS%20EXCELL.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400" b="1" i="0" u="none" strike="noStrike" baseline="0">
                <a:solidFill>
                  <a:sysClr val="windowText" lastClr="000000"/>
                </a:solidFill>
                <a:effectLst/>
              </a:rPr>
              <a:t>CATEGORY </a:t>
            </a:r>
            <a:r>
              <a:rPr lang="en-GB" b="1" baseline="0">
                <a:solidFill>
                  <a:sysClr val="windowText" lastClr="000000"/>
                </a:solidFill>
              </a:rPr>
              <a:t> A</a:t>
            </a:r>
            <a:endParaRPr lang="en-GB" b="1">
              <a:solidFill>
                <a:sysClr val="windowText" lastClr="000000"/>
              </a:solidFill>
            </a:endParaRPr>
          </a:p>
        </c:rich>
      </c:tx>
      <c:layout>
        <c:manualLayout>
          <c:xMode val="edge"/>
          <c:yMode val="edge"/>
          <c:x val="3.281233595800525E-2"/>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tx>
            <c:strRef>
              <c:f>Sheet2!$B$1</c:f>
              <c:strCache>
                <c:ptCount val="1"/>
                <c:pt idx="0">
                  <c:v>Asset Base</c:v>
                </c:pt>
              </c:strCache>
            </c:strRef>
          </c:tx>
          <c:spPr>
            <a:solidFill>
              <a:schemeClr val="accent1"/>
            </a:solidFill>
            <a:ln>
              <a:noFill/>
            </a:ln>
            <a:effectLst/>
          </c:spPr>
          <c:invertIfNegative val="0"/>
          <c:cat>
            <c:strRef>
              <c:f>Sheet2!$A$2:$A$9</c:f>
              <c:strCache>
                <c:ptCount val="8"/>
                <c:pt idx="0">
                  <c:v>Firm 2</c:v>
                </c:pt>
                <c:pt idx="1">
                  <c:v>Firm 3</c:v>
                </c:pt>
                <c:pt idx="2">
                  <c:v>Firm 4</c:v>
                </c:pt>
                <c:pt idx="3">
                  <c:v>Firm 5</c:v>
                </c:pt>
                <c:pt idx="4">
                  <c:v>Firm 8</c:v>
                </c:pt>
                <c:pt idx="5">
                  <c:v>Firm 10</c:v>
                </c:pt>
                <c:pt idx="6">
                  <c:v>Firm 12</c:v>
                </c:pt>
                <c:pt idx="7">
                  <c:v>Firm 13</c:v>
                </c:pt>
              </c:strCache>
            </c:strRef>
          </c:cat>
          <c:val>
            <c:numRef>
              <c:f>Sheet2!$B$2:$B$9</c:f>
              <c:numCache>
                <c:formatCode>General</c:formatCode>
                <c:ptCount val="8"/>
                <c:pt idx="0">
                  <c:v>2</c:v>
                </c:pt>
                <c:pt idx="1">
                  <c:v>1</c:v>
                </c:pt>
                <c:pt idx="2">
                  <c:v>1</c:v>
                </c:pt>
                <c:pt idx="3">
                  <c:v>3</c:v>
                </c:pt>
                <c:pt idx="4">
                  <c:v>1</c:v>
                </c:pt>
                <c:pt idx="5">
                  <c:v>2</c:v>
                </c:pt>
                <c:pt idx="6">
                  <c:v>2</c:v>
                </c:pt>
                <c:pt idx="7">
                  <c:v>2</c:v>
                </c:pt>
              </c:numCache>
            </c:numRef>
          </c:val>
          <c:extLst>
            <c:ext xmlns:c16="http://schemas.microsoft.com/office/drawing/2014/chart" uri="{C3380CC4-5D6E-409C-BE32-E72D297353CC}">
              <c16:uniqueId val="{00000000-331C-4CB5-B6F6-7596DA785533}"/>
            </c:ext>
          </c:extLst>
        </c:ser>
        <c:ser>
          <c:idx val="1"/>
          <c:order val="1"/>
          <c:tx>
            <c:strRef>
              <c:f>Sheet2!$C$1</c:f>
              <c:strCache>
                <c:ptCount val="1"/>
                <c:pt idx="0">
                  <c:v>Year of Establishment</c:v>
                </c:pt>
              </c:strCache>
            </c:strRef>
          </c:tx>
          <c:spPr>
            <a:solidFill>
              <a:schemeClr val="accent2"/>
            </a:solidFill>
            <a:ln>
              <a:noFill/>
            </a:ln>
            <a:effectLst/>
          </c:spPr>
          <c:invertIfNegative val="0"/>
          <c:cat>
            <c:strRef>
              <c:f>Sheet2!$A$2:$A$9</c:f>
              <c:strCache>
                <c:ptCount val="8"/>
                <c:pt idx="0">
                  <c:v>Firm 2</c:v>
                </c:pt>
                <c:pt idx="1">
                  <c:v>Firm 3</c:v>
                </c:pt>
                <c:pt idx="2">
                  <c:v>Firm 4</c:v>
                </c:pt>
                <c:pt idx="3">
                  <c:v>Firm 5</c:v>
                </c:pt>
                <c:pt idx="4">
                  <c:v>Firm 8</c:v>
                </c:pt>
                <c:pt idx="5">
                  <c:v>Firm 10</c:v>
                </c:pt>
                <c:pt idx="6">
                  <c:v>Firm 12</c:v>
                </c:pt>
                <c:pt idx="7">
                  <c:v>Firm 13</c:v>
                </c:pt>
              </c:strCache>
            </c:strRef>
          </c:cat>
          <c:val>
            <c:numRef>
              <c:f>Sheet2!$C$2:$C$9</c:f>
              <c:numCache>
                <c:formatCode>General</c:formatCode>
                <c:ptCount val="8"/>
                <c:pt idx="0">
                  <c:v>1</c:v>
                </c:pt>
                <c:pt idx="1">
                  <c:v>2</c:v>
                </c:pt>
                <c:pt idx="2">
                  <c:v>2</c:v>
                </c:pt>
                <c:pt idx="3">
                  <c:v>6</c:v>
                </c:pt>
                <c:pt idx="4">
                  <c:v>3</c:v>
                </c:pt>
                <c:pt idx="5">
                  <c:v>2</c:v>
                </c:pt>
                <c:pt idx="6">
                  <c:v>3</c:v>
                </c:pt>
                <c:pt idx="7">
                  <c:v>3</c:v>
                </c:pt>
              </c:numCache>
            </c:numRef>
          </c:val>
          <c:extLst>
            <c:ext xmlns:c16="http://schemas.microsoft.com/office/drawing/2014/chart" uri="{C3380CC4-5D6E-409C-BE32-E72D297353CC}">
              <c16:uniqueId val="{00000001-331C-4CB5-B6F6-7596DA785533}"/>
            </c:ext>
          </c:extLst>
        </c:ser>
        <c:ser>
          <c:idx val="2"/>
          <c:order val="2"/>
          <c:tx>
            <c:strRef>
              <c:f>Sheet2!$D$1</c:f>
              <c:strCache>
                <c:ptCount val="1"/>
                <c:pt idx="0">
                  <c:v>Ownership Type</c:v>
                </c:pt>
              </c:strCache>
            </c:strRef>
          </c:tx>
          <c:spPr>
            <a:solidFill>
              <a:schemeClr val="accent3"/>
            </a:solidFill>
            <a:ln>
              <a:noFill/>
            </a:ln>
            <a:effectLst/>
          </c:spPr>
          <c:invertIfNegative val="0"/>
          <c:cat>
            <c:strRef>
              <c:f>Sheet2!$A$2:$A$9</c:f>
              <c:strCache>
                <c:ptCount val="8"/>
                <c:pt idx="0">
                  <c:v>Firm 2</c:v>
                </c:pt>
                <c:pt idx="1">
                  <c:v>Firm 3</c:v>
                </c:pt>
                <c:pt idx="2">
                  <c:v>Firm 4</c:v>
                </c:pt>
                <c:pt idx="3">
                  <c:v>Firm 5</c:v>
                </c:pt>
                <c:pt idx="4">
                  <c:v>Firm 8</c:v>
                </c:pt>
                <c:pt idx="5">
                  <c:v>Firm 10</c:v>
                </c:pt>
                <c:pt idx="6">
                  <c:v>Firm 12</c:v>
                </c:pt>
                <c:pt idx="7">
                  <c:v>Firm 13</c:v>
                </c:pt>
              </c:strCache>
            </c:strRef>
          </c:cat>
          <c:val>
            <c:numRef>
              <c:f>Sheet2!$D$2:$D$9</c:f>
              <c:numCache>
                <c:formatCode>General</c:formatCode>
                <c:ptCount val="8"/>
                <c:pt idx="0">
                  <c:v>1</c:v>
                </c:pt>
                <c:pt idx="1">
                  <c:v>1</c:v>
                </c:pt>
                <c:pt idx="2">
                  <c:v>1</c:v>
                </c:pt>
                <c:pt idx="3">
                  <c:v>4</c:v>
                </c:pt>
                <c:pt idx="4">
                  <c:v>2</c:v>
                </c:pt>
                <c:pt idx="5">
                  <c:v>2</c:v>
                </c:pt>
                <c:pt idx="6">
                  <c:v>1</c:v>
                </c:pt>
                <c:pt idx="7">
                  <c:v>4</c:v>
                </c:pt>
              </c:numCache>
            </c:numRef>
          </c:val>
          <c:extLst>
            <c:ext xmlns:c16="http://schemas.microsoft.com/office/drawing/2014/chart" uri="{C3380CC4-5D6E-409C-BE32-E72D297353CC}">
              <c16:uniqueId val="{00000002-331C-4CB5-B6F6-7596DA785533}"/>
            </c:ext>
          </c:extLst>
        </c:ser>
        <c:dLbls>
          <c:showLegendKey val="0"/>
          <c:showVal val="0"/>
          <c:showCatName val="0"/>
          <c:showSerName val="0"/>
          <c:showPercent val="0"/>
          <c:showBubbleSize val="0"/>
        </c:dLbls>
        <c:gapWidth val="219"/>
        <c:overlap val="-27"/>
        <c:axId val="641390040"/>
        <c:axId val="641384160"/>
      </c:barChart>
      <c:catAx>
        <c:axId val="6413900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FIRMS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1384160"/>
        <c:crosses val="autoZero"/>
        <c:auto val="1"/>
        <c:lblAlgn val="ctr"/>
        <c:lblOffset val="100"/>
        <c:noMultiLvlLbl val="0"/>
      </c:catAx>
      <c:valAx>
        <c:axId val="641384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CODES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1390040"/>
        <c:crosses val="autoZero"/>
        <c:crossBetween val="between"/>
      </c:valAx>
      <c:spPr>
        <a:noFill/>
        <a:ln>
          <a:noFill/>
        </a:ln>
        <a:effectLst/>
      </c:spPr>
    </c:plotArea>
    <c:legend>
      <c:legendPos val="b"/>
      <c:layout>
        <c:manualLayout>
          <c:xMode val="edge"/>
          <c:yMode val="edge"/>
          <c:x val="0.27335912450196059"/>
          <c:y val="3.6207088844772586E-3"/>
          <c:w val="0.69260104986876636"/>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1" i="0" u="none" strike="noStrike" baseline="0">
                <a:effectLst/>
              </a:rPr>
              <a:t>CATEGORY </a:t>
            </a:r>
            <a:r>
              <a:rPr lang="en-GB" b="1"/>
              <a:t> B</a:t>
            </a:r>
          </a:p>
        </c:rich>
      </c:tx>
      <c:layout>
        <c:manualLayout>
          <c:xMode val="edge"/>
          <c:yMode val="edge"/>
          <c:x val="3.369444444444443E-2"/>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Sheet2!$G$1</c:f>
              <c:strCache>
                <c:ptCount val="1"/>
                <c:pt idx="0">
                  <c:v>Asset Base</c:v>
                </c:pt>
              </c:strCache>
            </c:strRef>
          </c:tx>
          <c:spPr>
            <a:solidFill>
              <a:schemeClr val="accent1"/>
            </a:solidFill>
            <a:ln>
              <a:noFill/>
            </a:ln>
            <a:effectLst/>
          </c:spPr>
          <c:invertIfNegative val="0"/>
          <c:cat>
            <c:strRef>
              <c:f>Sheet2!$F$2:$F$8</c:f>
              <c:strCache>
                <c:ptCount val="7"/>
                <c:pt idx="0">
                  <c:v>Firm 1</c:v>
                </c:pt>
                <c:pt idx="1">
                  <c:v>Firm 6</c:v>
                </c:pt>
                <c:pt idx="2">
                  <c:v>Firm 7</c:v>
                </c:pt>
                <c:pt idx="3">
                  <c:v>Firm 9</c:v>
                </c:pt>
                <c:pt idx="4">
                  <c:v>Firm 11</c:v>
                </c:pt>
                <c:pt idx="5">
                  <c:v>Firm 14</c:v>
                </c:pt>
                <c:pt idx="6">
                  <c:v>Firm 15</c:v>
                </c:pt>
              </c:strCache>
            </c:strRef>
          </c:cat>
          <c:val>
            <c:numRef>
              <c:f>Sheet2!$G$2:$G$8</c:f>
              <c:numCache>
                <c:formatCode>General</c:formatCode>
                <c:ptCount val="7"/>
                <c:pt idx="0">
                  <c:v>4</c:v>
                </c:pt>
                <c:pt idx="1">
                  <c:v>4</c:v>
                </c:pt>
                <c:pt idx="2">
                  <c:v>5</c:v>
                </c:pt>
                <c:pt idx="3">
                  <c:v>5</c:v>
                </c:pt>
                <c:pt idx="4">
                  <c:v>5</c:v>
                </c:pt>
                <c:pt idx="5">
                  <c:v>4</c:v>
                </c:pt>
                <c:pt idx="6">
                  <c:v>1</c:v>
                </c:pt>
              </c:numCache>
            </c:numRef>
          </c:val>
          <c:extLst>
            <c:ext xmlns:c16="http://schemas.microsoft.com/office/drawing/2014/chart" uri="{C3380CC4-5D6E-409C-BE32-E72D297353CC}">
              <c16:uniqueId val="{00000000-14F2-49AA-85E3-754B10FA87C6}"/>
            </c:ext>
          </c:extLst>
        </c:ser>
        <c:ser>
          <c:idx val="1"/>
          <c:order val="1"/>
          <c:tx>
            <c:strRef>
              <c:f>Sheet2!$H$1</c:f>
              <c:strCache>
                <c:ptCount val="1"/>
                <c:pt idx="0">
                  <c:v>Year of Establishment</c:v>
                </c:pt>
              </c:strCache>
            </c:strRef>
          </c:tx>
          <c:spPr>
            <a:solidFill>
              <a:schemeClr val="accent2"/>
            </a:solidFill>
            <a:ln>
              <a:noFill/>
            </a:ln>
            <a:effectLst/>
          </c:spPr>
          <c:invertIfNegative val="0"/>
          <c:cat>
            <c:strRef>
              <c:f>Sheet2!$F$2:$F$8</c:f>
              <c:strCache>
                <c:ptCount val="7"/>
                <c:pt idx="0">
                  <c:v>Firm 1</c:v>
                </c:pt>
                <c:pt idx="1">
                  <c:v>Firm 6</c:v>
                </c:pt>
                <c:pt idx="2">
                  <c:v>Firm 7</c:v>
                </c:pt>
                <c:pt idx="3">
                  <c:v>Firm 9</c:v>
                </c:pt>
                <c:pt idx="4">
                  <c:v>Firm 11</c:v>
                </c:pt>
                <c:pt idx="5">
                  <c:v>Firm 14</c:v>
                </c:pt>
                <c:pt idx="6">
                  <c:v>Firm 15</c:v>
                </c:pt>
              </c:strCache>
            </c:strRef>
          </c:cat>
          <c:val>
            <c:numRef>
              <c:f>Sheet2!$H$2:$H$8</c:f>
              <c:numCache>
                <c:formatCode>General</c:formatCode>
                <c:ptCount val="7"/>
                <c:pt idx="0">
                  <c:v>5</c:v>
                </c:pt>
                <c:pt idx="1">
                  <c:v>5</c:v>
                </c:pt>
                <c:pt idx="2">
                  <c:v>6</c:v>
                </c:pt>
                <c:pt idx="3">
                  <c:v>2</c:v>
                </c:pt>
                <c:pt idx="4">
                  <c:v>2</c:v>
                </c:pt>
                <c:pt idx="5">
                  <c:v>4</c:v>
                </c:pt>
                <c:pt idx="6">
                  <c:v>3</c:v>
                </c:pt>
              </c:numCache>
            </c:numRef>
          </c:val>
          <c:extLst>
            <c:ext xmlns:c16="http://schemas.microsoft.com/office/drawing/2014/chart" uri="{C3380CC4-5D6E-409C-BE32-E72D297353CC}">
              <c16:uniqueId val="{00000001-14F2-49AA-85E3-754B10FA87C6}"/>
            </c:ext>
          </c:extLst>
        </c:ser>
        <c:ser>
          <c:idx val="2"/>
          <c:order val="2"/>
          <c:tx>
            <c:strRef>
              <c:f>Sheet2!$I$1</c:f>
              <c:strCache>
                <c:ptCount val="1"/>
                <c:pt idx="0">
                  <c:v>Ownership Type</c:v>
                </c:pt>
              </c:strCache>
            </c:strRef>
          </c:tx>
          <c:spPr>
            <a:solidFill>
              <a:schemeClr val="accent3"/>
            </a:solidFill>
            <a:ln>
              <a:noFill/>
            </a:ln>
            <a:effectLst/>
          </c:spPr>
          <c:invertIfNegative val="0"/>
          <c:cat>
            <c:strRef>
              <c:f>Sheet2!$F$2:$F$8</c:f>
              <c:strCache>
                <c:ptCount val="7"/>
                <c:pt idx="0">
                  <c:v>Firm 1</c:v>
                </c:pt>
                <c:pt idx="1">
                  <c:v>Firm 6</c:v>
                </c:pt>
                <c:pt idx="2">
                  <c:v>Firm 7</c:v>
                </c:pt>
                <c:pt idx="3">
                  <c:v>Firm 9</c:v>
                </c:pt>
                <c:pt idx="4">
                  <c:v>Firm 11</c:v>
                </c:pt>
                <c:pt idx="5">
                  <c:v>Firm 14</c:v>
                </c:pt>
                <c:pt idx="6">
                  <c:v>Firm 15</c:v>
                </c:pt>
              </c:strCache>
            </c:strRef>
          </c:cat>
          <c:val>
            <c:numRef>
              <c:f>Sheet2!$I$2:$I$8</c:f>
              <c:numCache>
                <c:formatCode>General</c:formatCode>
                <c:ptCount val="7"/>
                <c:pt idx="0">
                  <c:v>2</c:v>
                </c:pt>
                <c:pt idx="1">
                  <c:v>4</c:v>
                </c:pt>
                <c:pt idx="2">
                  <c:v>4</c:v>
                </c:pt>
                <c:pt idx="3">
                  <c:v>4</c:v>
                </c:pt>
                <c:pt idx="4">
                  <c:v>4</c:v>
                </c:pt>
                <c:pt idx="5">
                  <c:v>4</c:v>
                </c:pt>
                <c:pt idx="6">
                  <c:v>4</c:v>
                </c:pt>
              </c:numCache>
            </c:numRef>
          </c:val>
          <c:extLst>
            <c:ext xmlns:c16="http://schemas.microsoft.com/office/drawing/2014/chart" uri="{C3380CC4-5D6E-409C-BE32-E72D297353CC}">
              <c16:uniqueId val="{00000002-14F2-49AA-85E3-754B10FA87C6}"/>
            </c:ext>
          </c:extLst>
        </c:ser>
        <c:dLbls>
          <c:showLegendKey val="0"/>
          <c:showVal val="0"/>
          <c:showCatName val="0"/>
          <c:showSerName val="0"/>
          <c:showPercent val="0"/>
          <c:showBubbleSize val="0"/>
        </c:dLbls>
        <c:gapWidth val="219"/>
        <c:overlap val="-27"/>
        <c:axId val="641385336"/>
        <c:axId val="641386120"/>
      </c:barChart>
      <c:catAx>
        <c:axId val="6413853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FIRMS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1386120"/>
        <c:crosses val="autoZero"/>
        <c:auto val="1"/>
        <c:lblAlgn val="ctr"/>
        <c:lblOffset val="100"/>
        <c:noMultiLvlLbl val="0"/>
      </c:catAx>
      <c:valAx>
        <c:axId val="641386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CODES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1385336"/>
        <c:crosses val="autoZero"/>
        <c:crossBetween val="between"/>
      </c:valAx>
      <c:spPr>
        <a:noFill/>
        <a:ln>
          <a:noFill/>
        </a:ln>
        <a:effectLst/>
      </c:spPr>
    </c:plotArea>
    <c:legend>
      <c:legendPos val="b"/>
      <c:layout>
        <c:manualLayout>
          <c:xMode val="edge"/>
          <c:yMode val="edge"/>
          <c:x val="0.32036614173228339"/>
          <c:y val="3.761519393409158E-2"/>
          <c:w val="0.6620454943132108"/>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factors inhibiting  adoption of modular  construction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Sheet4!$B$1</c:f>
              <c:strCache>
                <c:ptCount val="1"/>
                <c:pt idx="0">
                  <c:v>1</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Sheet4!$A$2:$A$17</c:f>
              <c:strCache>
                <c:ptCount val="16"/>
                <c:pt idx="0">
                  <c:v>Impaired aesthetics</c:v>
                </c:pt>
                <c:pt idx="1">
                  <c:v>Inflexibility in early design</c:v>
                </c:pt>
                <c:pt idx="2">
                  <c:v>Laco of policy statement</c:v>
                </c:pt>
                <c:pt idx="3">
                  <c:v>Perceive limitation in small project</c:v>
                </c:pt>
                <c:pt idx="4">
                  <c:v>Negative perception of Government</c:v>
                </c:pt>
                <c:pt idx="5">
                  <c:v>Lack of legal backing</c:v>
                </c:pt>
                <c:pt idx="6">
                  <c:v>insufficient previous exprience</c:v>
                </c:pt>
                <c:pt idx="7">
                  <c:v>Insufficient knowledge of modular system</c:v>
                </c:pt>
                <c:pt idx="8">
                  <c:v>Lack of promotion of the technique</c:v>
                </c:pt>
                <c:pt idx="9">
                  <c:v>Long design  time</c:v>
                </c:pt>
                <c:pt idx="10">
                  <c:v>Difficulty in acheiving economy of scale</c:v>
                </c:pt>
                <c:pt idx="11">
                  <c:v>Initial attachment to traditonal system</c:v>
                </c:pt>
                <c:pt idx="12">
                  <c:v>Initial hihg cost</c:v>
                </c:pt>
                <c:pt idx="13">
                  <c:v>Lack of manufacturing industry</c:v>
                </c:pt>
                <c:pt idx="14">
                  <c:v>Negative perception of client</c:v>
                </c:pt>
                <c:pt idx="15">
                  <c:v>Resistance to innovation</c:v>
                </c:pt>
              </c:strCache>
            </c:strRef>
          </c:cat>
          <c:val>
            <c:numRef>
              <c:f>Sheet4!$B$2:$B$17</c:f>
            </c:numRef>
          </c:val>
          <c:extLst>
            <c:ext xmlns:c16="http://schemas.microsoft.com/office/drawing/2014/chart" uri="{C3380CC4-5D6E-409C-BE32-E72D297353CC}">
              <c16:uniqueId val="{00000000-DFBC-4048-AF86-5550890472BD}"/>
            </c:ext>
          </c:extLst>
        </c:ser>
        <c:ser>
          <c:idx val="1"/>
          <c:order val="1"/>
          <c:tx>
            <c:strRef>
              <c:f>Sheet4!$C$1</c:f>
              <c:strCache>
                <c:ptCount val="1"/>
                <c:pt idx="0">
                  <c:v>2</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Sheet4!$A$2:$A$17</c:f>
              <c:strCache>
                <c:ptCount val="16"/>
                <c:pt idx="0">
                  <c:v>Impaired aesthetics</c:v>
                </c:pt>
                <c:pt idx="1">
                  <c:v>Inflexibility in early design</c:v>
                </c:pt>
                <c:pt idx="2">
                  <c:v>Laco of policy statement</c:v>
                </c:pt>
                <c:pt idx="3">
                  <c:v>Perceive limitation in small project</c:v>
                </c:pt>
                <c:pt idx="4">
                  <c:v>Negative perception of Government</c:v>
                </c:pt>
                <c:pt idx="5">
                  <c:v>Lack of legal backing</c:v>
                </c:pt>
                <c:pt idx="6">
                  <c:v>insufficient previous exprience</c:v>
                </c:pt>
                <c:pt idx="7">
                  <c:v>Insufficient knowledge of modular system</c:v>
                </c:pt>
                <c:pt idx="8">
                  <c:v>Lack of promotion of the technique</c:v>
                </c:pt>
                <c:pt idx="9">
                  <c:v>Long design  time</c:v>
                </c:pt>
                <c:pt idx="10">
                  <c:v>Difficulty in acheiving economy of scale</c:v>
                </c:pt>
                <c:pt idx="11">
                  <c:v>Initial attachment to traditonal system</c:v>
                </c:pt>
                <c:pt idx="12">
                  <c:v>Initial hihg cost</c:v>
                </c:pt>
                <c:pt idx="13">
                  <c:v>Lack of manufacturing industry</c:v>
                </c:pt>
                <c:pt idx="14">
                  <c:v>Negative perception of client</c:v>
                </c:pt>
                <c:pt idx="15">
                  <c:v>Resistance to innovation</c:v>
                </c:pt>
              </c:strCache>
            </c:strRef>
          </c:cat>
          <c:val>
            <c:numRef>
              <c:f>Sheet4!$C$2:$C$17</c:f>
            </c:numRef>
          </c:val>
          <c:extLst>
            <c:ext xmlns:c16="http://schemas.microsoft.com/office/drawing/2014/chart" uri="{C3380CC4-5D6E-409C-BE32-E72D297353CC}">
              <c16:uniqueId val="{00000001-DFBC-4048-AF86-5550890472BD}"/>
            </c:ext>
          </c:extLst>
        </c:ser>
        <c:ser>
          <c:idx val="2"/>
          <c:order val="2"/>
          <c:tx>
            <c:strRef>
              <c:f>Sheet4!$D$1</c:f>
              <c:strCache>
                <c:ptCount val="1"/>
                <c:pt idx="0">
                  <c:v>3</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Sheet4!$A$2:$A$17</c:f>
              <c:strCache>
                <c:ptCount val="16"/>
                <c:pt idx="0">
                  <c:v>Impaired aesthetics</c:v>
                </c:pt>
                <c:pt idx="1">
                  <c:v>Inflexibility in early design</c:v>
                </c:pt>
                <c:pt idx="2">
                  <c:v>Laco of policy statement</c:v>
                </c:pt>
                <c:pt idx="3">
                  <c:v>Perceive limitation in small project</c:v>
                </c:pt>
                <c:pt idx="4">
                  <c:v>Negative perception of Government</c:v>
                </c:pt>
                <c:pt idx="5">
                  <c:v>Lack of legal backing</c:v>
                </c:pt>
                <c:pt idx="6">
                  <c:v>insufficient previous exprience</c:v>
                </c:pt>
                <c:pt idx="7">
                  <c:v>Insufficient knowledge of modular system</c:v>
                </c:pt>
                <c:pt idx="8">
                  <c:v>Lack of promotion of the technique</c:v>
                </c:pt>
                <c:pt idx="9">
                  <c:v>Long design  time</c:v>
                </c:pt>
                <c:pt idx="10">
                  <c:v>Difficulty in acheiving economy of scale</c:v>
                </c:pt>
                <c:pt idx="11">
                  <c:v>Initial attachment to traditonal system</c:v>
                </c:pt>
                <c:pt idx="12">
                  <c:v>Initial hihg cost</c:v>
                </c:pt>
                <c:pt idx="13">
                  <c:v>Lack of manufacturing industry</c:v>
                </c:pt>
                <c:pt idx="14">
                  <c:v>Negative perception of client</c:v>
                </c:pt>
                <c:pt idx="15">
                  <c:v>Resistance to innovation</c:v>
                </c:pt>
              </c:strCache>
            </c:strRef>
          </c:cat>
          <c:val>
            <c:numRef>
              <c:f>Sheet4!$D$2:$D$17</c:f>
            </c:numRef>
          </c:val>
          <c:extLst>
            <c:ext xmlns:c16="http://schemas.microsoft.com/office/drawing/2014/chart" uri="{C3380CC4-5D6E-409C-BE32-E72D297353CC}">
              <c16:uniqueId val="{00000002-DFBC-4048-AF86-5550890472BD}"/>
            </c:ext>
          </c:extLst>
        </c:ser>
        <c:ser>
          <c:idx val="3"/>
          <c:order val="3"/>
          <c:tx>
            <c:strRef>
              <c:f>Sheet4!$E$1</c:f>
              <c:strCache>
                <c:ptCount val="1"/>
                <c:pt idx="0">
                  <c:v>4</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Sheet4!$A$2:$A$17</c:f>
              <c:strCache>
                <c:ptCount val="16"/>
                <c:pt idx="0">
                  <c:v>Impaired aesthetics</c:v>
                </c:pt>
                <c:pt idx="1">
                  <c:v>Inflexibility in early design</c:v>
                </c:pt>
                <c:pt idx="2">
                  <c:v>Laco of policy statement</c:v>
                </c:pt>
                <c:pt idx="3">
                  <c:v>Perceive limitation in small project</c:v>
                </c:pt>
                <c:pt idx="4">
                  <c:v>Negative perception of Government</c:v>
                </c:pt>
                <c:pt idx="5">
                  <c:v>Lack of legal backing</c:v>
                </c:pt>
                <c:pt idx="6">
                  <c:v>insufficient previous exprience</c:v>
                </c:pt>
                <c:pt idx="7">
                  <c:v>Insufficient knowledge of modular system</c:v>
                </c:pt>
                <c:pt idx="8">
                  <c:v>Lack of promotion of the technique</c:v>
                </c:pt>
                <c:pt idx="9">
                  <c:v>Long design  time</c:v>
                </c:pt>
                <c:pt idx="10">
                  <c:v>Difficulty in acheiving economy of scale</c:v>
                </c:pt>
                <c:pt idx="11">
                  <c:v>Initial attachment to traditonal system</c:v>
                </c:pt>
                <c:pt idx="12">
                  <c:v>Initial hihg cost</c:v>
                </c:pt>
                <c:pt idx="13">
                  <c:v>Lack of manufacturing industry</c:v>
                </c:pt>
                <c:pt idx="14">
                  <c:v>Negative perception of client</c:v>
                </c:pt>
                <c:pt idx="15">
                  <c:v>Resistance to innovation</c:v>
                </c:pt>
              </c:strCache>
            </c:strRef>
          </c:cat>
          <c:val>
            <c:numRef>
              <c:f>Sheet4!$E$2:$E$17</c:f>
            </c:numRef>
          </c:val>
          <c:extLst>
            <c:ext xmlns:c16="http://schemas.microsoft.com/office/drawing/2014/chart" uri="{C3380CC4-5D6E-409C-BE32-E72D297353CC}">
              <c16:uniqueId val="{00000003-DFBC-4048-AF86-5550890472BD}"/>
            </c:ext>
          </c:extLst>
        </c:ser>
        <c:ser>
          <c:idx val="4"/>
          <c:order val="4"/>
          <c:tx>
            <c:strRef>
              <c:f>Sheet4!$F$1</c:f>
              <c:strCache>
                <c:ptCount val="1"/>
                <c:pt idx="0">
                  <c:v>5</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Sheet4!$A$2:$A$17</c:f>
              <c:strCache>
                <c:ptCount val="16"/>
                <c:pt idx="0">
                  <c:v>Impaired aesthetics</c:v>
                </c:pt>
                <c:pt idx="1">
                  <c:v>Inflexibility in early design</c:v>
                </c:pt>
                <c:pt idx="2">
                  <c:v>Laco of policy statement</c:v>
                </c:pt>
                <c:pt idx="3">
                  <c:v>Perceive limitation in small project</c:v>
                </c:pt>
                <c:pt idx="4">
                  <c:v>Negative perception of Government</c:v>
                </c:pt>
                <c:pt idx="5">
                  <c:v>Lack of legal backing</c:v>
                </c:pt>
                <c:pt idx="6">
                  <c:v>insufficient previous exprience</c:v>
                </c:pt>
                <c:pt idx="7">
                  <c:v>Insufficient knowledge of modular system</c:v>
                </c:pt>
                <c:pt idx="8">
                  <c:v>Lack of promotion of the technique</c:v>
                </c:pt>
                <c:pt idx="9">
                  <c:v>Long design  time</c:v>
                </c:pt>
                <c:pt idx="10">
                  <c:v>Difficulty in acheiving economy of scale</c:v>
                </c:pt>
                <c:pt idx="11">
                  <c:v>Initial attachment to traditonal system</c:v>
                </c:pt>
                <c:pt idx="12">
                  <c:v>Initial hihg cost</c:v>
                </c:pt>
                <c:pt idx="13">
                  <c:v>Lack of manufacturing industry</c:v>
                </c:pt>
                <c:pt idx="14">
                  <c:v>Negative perception of client</c:v>
                </c:pt>
                <c:pt idx="15">
                  <c:v>Resistance to innovation</c:v>
                </c:pt>
              </c:strCache>
            </c:strRef>
          </c:cat>
          <c:val>
            <c:numRef>
              <c:f>Sheet4!$F$2:$F$17</c:f>
            </c:numRef>
          </c:val>
          <c:extLst>
            <c:ext xmlns:c16="http://schemas.microsoft.com/office/drawing/2014/chart" uri="{C3380CC4-5D6E-409C-BE32-E72D297353CC}">
              <c16:uniqueId val="{00000004-DFBC-4048-AF86-5550890472BD}"/>
            </c:ext>
          </c:extLst>
        </c:ser>
        <c:ser>
          <c:idx val="5"/>
          <c:order val="5"/>
          <c:tx>
            <c:strRef>
              <c:f>Sheet4!$G$1</c:f>
              <c:strCache>
                <c:ptCount val="1"/>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Sheet4!$A$2:$A$17</c:f>
              <c:strCache>
                <c:ptCount val="16"/>
                <c:pt idx="0">
                  <c:v>Impaired aesthetics</c:v>
                </c:pt>
                <c:pt idx="1">
                  <c:v>Inflexibility in early design</c:v>
                </c:pt>
                <c:pt idx="2">
                  <c:v>Laco of policy statement</c:v>
                </c:pt>
                <c:pt idx="3">
                  <c:v>Perceive limitation in small project</c:v>
                </c:pt>
                <c:pt idx="4">
                  <c:v>Negative perception of Government</c:v>
                </c:pt>
                <c:pt idx="5">
                  <c:v>Lack of legal backing</c:v>
                </c:pt>
                <c:pt idx="6">
                  <c:v>insufficient previous exprience</c:v>
                </c:pt>
                <c:pt idx="7">
                  <c:v>Insufficient knowledge of modular system</c:v>
                </c:pt>
                <c:pt idx="8">
                  <c:v>Lack of promotion of the technique</c:v>
                </c:pt>
                <c:pt idx="9">
                  <c:v>Long design  time</c:v>
                </c:pt>
                <c:pt idx="10">
                  <c:v>Difficulty in acheiving economy of scale</c:v>
                </c:pt>
                <c:pt idx="11">
                  <c:v>Initial attachment to traditonal system</c:v>
                </c:pt>
                <c:pt idx="12">
                  <c:v>Initial hihg cost</c:v>
                </c:pt>
                <c:pt idx="13">
                  <c:v>Lack of manufacturing industry</c:v>
                </c:pt>
                <c:pt idx="14">
                  <c:v>Negative perception of client</c:v>
                </c:pt>
                <c:pt idx="15">
                  <c:v>Resistance to innovation</c:v>
                </c:pt>
              </c:strCache>
            </c:strRef>
          </c:cat>
          <c:val>
            <c:numRef>
              <c:f>Sheet4!$G$2:$G$17</c:f>
            </c:numRef>
          </c:val>
          <c:extLst>
            <c:ext xmlns:c16="http://schemas.microsoft.com/office/drawing/2014/chart" uri="{C3380CC4-5D6E-409C-BE32-E72D297353CC}">
              <c16:uniqueId val="{00000005-DFBC-4048-AF86-5550890472BD}"/>
            </c:ext>
          </c:extLst>
        </c:ser>
        <c:ser>
          <c:idx val="6"/>
          <c:order val="6"/>
          <c:tx>
            <c:strRef>
              <c:f>Sheet4!$H$1</c:f>
              <c:strCache>
                <c:ptCount val="1"/>
              </c:strCache>
            </c:strRef>
          </c:tx>
          <c:spPr>
            <a:solidFill>
              <a:schemeClr val="accent1">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Sheet4!$A$2:$A$17</c:f>
              <c:strCache>
                <c:ptCount val="16"/>
                <c:pt idx="0">
                  <c:v>Impaired aesthetics</c:v>
                </c:pt>
                <c:pt idx="1">
                  <c:v>Inflexibility in early design</c:v>
                </c:pt>
                <c:pt idx="2">
                  <c:v>Laco of policy statement</c:v>
                </c:pt>
                <c:pt idx="3">
                  <c:v>Perceive limitation in small project</c:v>
                </c:pt>
                <c:pt idx="4">
                  <c:v>Negative perception of Government</c:v>
                </c:pt>
                <c:pt idx="5">
                  <c:v>Lack of legal backing</c:v>
                </c:pt>
                <c:pt idx="6">
                  <c:v>insufficient previous exprience</c:v>
                </c:pt>
                <c:pt idx="7">
                  <c:v>Insufficient knowledge of modular system</c:v>
                </c:pt>
                <c:pt idx="8">
                  <c:v>Lack of promotion of the technique</c:v>
                </c:pt>
                <c:pt idx="9">
                  <c:v>Long design  time</c:v>
                </c:pt>
                <c:pt idx="10">
                  <c:v>Difficulty in acheiving economy of scale</c:v>
                </c:pt>
                <c:pt idx="11">
                  <c:v>Initial attachment to traditonal system</c:v>
                </c:pt>
                <c:pt idx="12">
                  <c:v>Initial hihg cost</c:v>
                </c:pt>
                <c:pt idx="13">
                  <c:v>Lack of manufacturing industry</c:v>
                </c:pt>
                <c:pt idx="14">
                  <c:v>Negative perception of client</c:v>
                </c:pt>
                <c:pt idx="15">
                  <c:v>Resistance to innovation</c:v>
                </c:pt>
              </c:strCache>
            </c:strRef>
          </c:cat>
          <c:val>
            <c:numRef>
              <c:f>Sheet4!$H$2:$H$17</c:f>
            </c:numRef>
          </c:val>
          <c:extLst>
            <c:ext xmlns:c16="http://schemas.microsoft.com/office/drawing/2014/chart" uri="{C3380CC4-5D6E-409C-BE32-E72D297353CC}">
              <c16:uniqueId val="{00000006-DFBC-4048-AF86-5550890472BD}"/>
            </c:ext>
          </c:extLst>
        </c:ser>
        <c:ser>
          <c:idx val="7"/>
          <c:order val="7"/>
          <c:tx>
            <c:strRef>
              <c:f>Sheet4!$I$1</c:f>
              <c:strCache>
                <c:ptCount val="1"/>
                <c:pt idx="0">
                  <c:v>MIS</c:v>
                </c:pt>
              </c:strCache>
            </c:strRef>
          </c:tx>
          <c:spPr>
            <a:solidFill>
              <a:schemeClr val="accent2">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Sheet4!$A$2:$A$17</c:f>
              <c:strCache>
                <c:ptCount val="16"/>
                <c:pt idx="0">
                  <c:v>Impaired aesthetics</c:v>
                </c:pt>
                <c:pt idx="1">
                  <c:v>Inflexibility in early design</c:v>
                </c:pt>
                <c:pt idx="2">
                  <c:v>Laco of policy statement</c:v>
                </c:pt>
                <c:pt idx="3">
                  <c:v>Perceive limitation in small project</c:v>
                </c:pt>
                <c:pt idx="4">
                  <c:v>Negative perception of Government</c:v>
                </c:pt>
                <c:pt idx="5">
                  <c:v>Lack of legal backing</c:v>
                </c:pt>
                <c:pt idx="6">
                  <c:v>insufficient previous exprience</c:v>
                </c:pt>
                <c:pt idx="7">
                  <c:v>Insufficient knowledge of modular system</c:v>
                </c:pt>
                <c:pt idx="8">
                  <c:v>Lack of promotion of the technique</c:v>
                </c:pt>
                <c:pt idx="9">
                  <c:v>Long design  time</c:v>
                </c:pt>
                <c:pt idx="10">
                  <c:v>Difficulty in acheiving economy of scale</c:v>
                </c:pt>
                <c:pt idx="11">
                  <c:v>Initial attachment to traditonal system</c:v>
                </c:pt>
                <c:pt idx="12">
                  <c:v>Initial hihg cost</c:v>
                </c:pt>
                <c:pt idx="13">
                  <c:v>Lack of manufacturing industry</c:v>
                </c:pt>
                <c:pt idx="14">
                  <c:v>Negative perception of client</c:v>
                </c:pt>
                <c:pt idx="15">
                  <c:v>Resistance to innovation</c:v>
                </c:pt>
              </c:strCache>
            </c:strRef>
          </c:cat>
          <c:val>
            <c:numRef>
              <c:f>Sheet4!$I$2:$I$17</c:f>
              <c:numCache>
                <c:formatCode>0.00</c:formatCode>
                <c:ptCount val="16"/>
                <c:pt idx="0">
                  <c:v>2.597826086956522</c:v>
                </c:pt>
                <c:pt idx="1">
                  <c:v>2.5108695652173911</c:v>
                </c:pt>
                <c:pt idx="2">
                  <c:v>2.4782608695652173</c:v>
                </c:pt>
                <c:pt idx="3">
                  <c:v>2.4456521739130435</c:v>
                </c:pt>
                <c:pt idx="4">
                  <c:v>2.4130434782608696</c:v>
                </c:pt>
                <c:pt idx="5">
                  <c:v>2.4130434782608696</c:v>
                </c:pt>
                <c:pt idx="6">
                  <c:v>2.2282608695652173</c:v>
                </c:pt>
                <c:pt idx="7">
                  <c:v>2.2282608695652173</c:v>
                </c:pt>
                <c:pt idx="8">
                  <c:v>2.1956521739130435</c:v>
                </c:pt>
                <c:pt idx="9">
                  <c:v>2.152173913043478</c:v>
                </c:pt>
                <c:pt idx="10">
                  <c:v>2.0869565217391304</c:v>
                </c:pt>
                <c:pt idx="11">
                  <c:v>2.0326086956521738</c:v>
                </c:pt>
                <c:pt idx="12">
                  <c:v>1.9456521739130435</c:v>
                </c:pt>
                <c:pt idx="13">
                  <c:v>1.9021739130434783</c:v>
                </c:pt>
                <c:pt idx="14">
                  <c:v>1.8586956521739131</c:v>
                </c:pt>
                <c:pt idx="15">
                  <c:v>1.8369565217391304</c:v>
                </c:pt>
              </c:numCache>
            </c:numRef>
          </c:val>
          <c:extLst>
            <c:ext xmlns:c16="http://schemas.microsoft.com/office/drawing/2014/chart" uri="{C3380CC4-5D6E-409C-BE32-E72D297353CC}">
              <c16:uniqueId val="{00000007-DFBC-4048-AF86-5550890472BD}"/>
            </c:ext>
          </c:extLst>
        </c:ser>
        <c:ser>
          <c:idx val="8"/>
          <c:order val="8"/>
          <c:tx>
            <c:strRef>
              <c:f>Sheet4!$J$1</c:f>
              <c:strCache>
                <c:ptCount val="1"/>
                <c:pt idx="0">
                  <c:v>SD</c:v>
                </c:pt>
              </c:strCache>
            </c:strRef>
          </c:tx>
          <c:spPr>
            <a:solidFill>
              <a:schemeClr val="accent3">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Sheet4!$A$2:$A$17</c:f>
              <c:strCache>
                <c:ptCount val="16"/>
                <c:pt idx="0">
                  <c:v>Impaired aesthetics</c:v>
                </c:pt>
                <c:pt idx="1">
                  <c:v>Inflexibility in early design</c:v>
                </c:pt>
                <c:pt idx="2">
                  <c:v>Laco of policy statement</c:v>
                </c:pt>
                <c:pt idx="3">
                  <c:v>Perceive limitation in small project</c:v>
                </c:pt>
                <c:pt idx="4">
                  <c:v>Negative perception of Government</c:v>
                </c:pt>
                <c:pt idx="5">
                  <c:v>Lack of legal backing</c:v>
                </c:pt>
                <c:pt idx="6">
                  <c:v>insufficient previous exprience</c:v>
                </c:pt>
                <c:pt idx="7">
                  <c:v>Insufficient knowledge of modular system</c:v>
                </c:pt>
                <c:pt idx="8">
                  <c:v>Lack of promotion of the technique</c:v>
                </c:pt>
                <c:pt idx="9">
                  <c:v>Long design  time</c:v>
                </c:pt>
                <c:pt idx="10">
                  <c:v>Difficulty in acheiving economy of scale</c:v>
                </c:pt>
                <c:pt idx="11">
                  <c:v>Initial attachment to traditonal system</c:v>
                </c:pt>
                <c:pt idx="12">
                  <c:v>Initial hihg cost</c:v>
                </c:pt>
                <c:pt idx="13">
                  <c:v>Lack of manufacturing industry</c:v>
                </c:pt>
                <c:pt idx="14">
                  <c:v>Negative perception of client</c:v>
                </c:pt>
                <c:pt idx="15">
                  <c:v>Resistance to innovation</c:v>
                </c:pt>
              </c:strCache>
            </c:strRef>
          </c:cat>
          <c:val>
            <c:numRef>
              <c:f>Sheet4!$J$2:$J$17</c:f>
              <c:numCache>
                <c:formatCode>0.00</c:formatCode>
                <c:ptCount val="16"/>
                <c:pt idx="0">
                  <c:v>1.5832903741835611</c:v>
                </c:pt>
                <c:pt idx="1">
                  <c:v>1.3134516662226692</c:v>
                </c:pt>
                <c:pt idx="2">
                  <c:v>1.4786261879618889</c:v>
                </c:pt>
                <c:pt idx="3">
                  <c:v>1.0829764685964713</c:v>
                </c:pt>
                <c:pt idx="4">
                  <c:v>1.2057752411435567</c:v>
                </c:pt>
                <c:pt idx="5">
                  <c:v>1.4231382587729744</c:v>
                </c:pt>
                <c:pt idx="6">
                  <c:v>1.0066074113823051</c:v>
                </c:pt>
                <c:pt idx="7">
                  <c:v>1.0803261704207385</c:v>
                </c:pt>
                <c:pt idx="8">
                  <c:v>1.215641018754607</c:v>
                </c:pt>
                <c:pt idx="9">
                  <c:v>1.2037923829672683</c:v>
                </c:pt>
                <c:pt idx="10">
                  <c:v>1.0959683751858667</c:v>
                </c:pt>
                <c:pt idx="11">
                  <c:v>1.1993687621477651</c:v>
                </c:pt>
                <c:pt idx="12">
                  <c:v>0.95346828358232227</c:v>
                </c:pt>
                <c:pt idx="13">
                  <c:v>1.1000477772710717</c:v>
                </c:pt>
                <c:pt idx="14">
                  <c:v>1.0750059722719914</c:v>
                </c:pt>
                <c:pt idx="15">
                  <c:v>0.92910418764283964</c:v>
                </c:pt>
              </c:numCache>
            </c:numRef>
          </c:val>
          <c:extLst>
            <c:ext xmlns:c16="http://schemas.microsoft.com/office/drawing/2014/chart" uri="{C3380CC4-5D6E-409C-BE32-E72D297353CC}">
              <c16:uniqueId val="{00000008-DFBC-4048-AF86-5550890472BD}"/>
            </c:ext>
          </c:extLst>
        </c:ser>
        <c:dLbls>
          <c:showLegendKey val="0"/>
          <c:showVal val="1"/>
          <c:showCatName val="0"/>
          <c:showSerName val="0"/>
          <c:showPercent val="0"/>
          <c:showBubbleSize val="0"/>
        </c:dLbls>
        <c:gapWidth val="150"/>
        <c:shape val="box"/>
        <c:axId val="641386904"/>
        <c:axId val="641387296"/>
        <c:axId val="0"/>
      </c:bar3DChart>
      <c:catAx>
        <c:axId val="641386904"/>
        <c:scaling>
          <c:orientation val="minMax"/>
        </c:scaling>
        <c:delete val="0"/>
        <c:axPos val="b"/>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1387296"/>
        <c:crosses val="autoZero"/>
        <c:auto val="0"/>
        <c:lblAlgn val="ctr"/>
        <c:lblOffset val="100"/>
        <c:noMultiLvlLbl val="0"/>
      </c:catAx>
      <c:valAx>
        <c:axId val="641387296"/>
        <c:scaling>
          <c:orientation val="minMax"/>
        </c:scaling>
        <c:delete val="0"/>
        <c:axPos val="l"/>
        <c:majorGridlines>
          <c:spPr>
            <a:ln w="9525" cap="flat" cmpd="sng" algn="ctr">
              <a:solidFill>
                <a:schemeClr val="tx1">
                  <a:lumMod val="15000"/>
                  <a:lumOff val="85000"/>
                </a:schemeClr>
              </a:solidFill>
              <a:round/>
            </a:ln>
            <a:effectLst/>
          </c:spPr>
        </c:majorGridlines>
        <c:title>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1386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031632228609403"/>
          <c:y val="0.12284352515637038"/>
          <c:w val="0.82807240004090399"/>
          <c:h val="0.39811796531568522"/>
        </c:manualLayout>
      </c:layout>
      <c:bar3DChart>
        <c:barDir val="col"/>
        <c:grouping val="stacked"/>
        <c:varyColors val="0"/>
        <c:ser>
          <c:idx val="0"/>
          <c:order val="0"/>
          <c:tx>
            <c:strRef>
              <c:f>Sheet2!$B$1</c:f>
              <c:strCache>
                <c:ptCount val="1"/>
                <c:pt idx="0">
                  <c:v>1</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Sheet2!$A$2:$A$11</c:f>
              <c:strCache>
                <c:ptCount val="10"/>
                <c:pt idx="0">
                  <c:v>Reduce substandard work</c:v>
                </c:pt>
                <c:pt idx="1">
                  <c:v>Reducetransportation</c:v>
                </c:pt>
                <c:pt idx="2">
                  <c:v>Reduce waste</c:v>
                </c:pt>
                <c:pt idx="3">
                  <c:v>Reduce construction time</c:v>
                </c:pt>
                <c:pt idx="4">
                  <c:v>Reduce weather delay</c:v>
                </c:pt>
                <c:pt idx="5">
                  <c:v>Reduce environmental pollutio</c:v>
                </c:pt>
                <c:pt idx="6">
                  <c:v>Reduce maintainance and repairs</c:v>
                </c:pt>
                <c:pt idx="7">
                  <c:v>Reduce skill shortage</c:v>
                </c:pt>
                <c:pt idx="8">
                  <c:v>Reduce hazard</c:v>
                </c:pt>
                <c:pt idx="9">
                  <c:v>Reduce construction cost</c:v>
                </c:pt>
              </c:strCache>
            </c:strRef>
          </c:cat>
          <c:val>
            <c:numRef>
              <c:f>Sheet2!$B$2:$B$11</c:f>
            </c:numRef>
          </c:val>
          <c:extLst>
            <c:ext xmlns:c16="http://schemas.microsoft.com/office/drawing/2014/chart" uri="{C3380CC4-5D6E-409C-BE32-E72D297353CC}">
              <c16:uniqueId val="{00000000-51B8-4728-8959-60DE2699F8AD}"/>
            </c:ext>
          </c:extLst>
        </c:ser>
        <c:ser>
          <c:idx val="1"/>
          <c:order val="1"/>
          <c:tx>
            <c:strRef>
              <c:f>Sheet2!$C$1</c:f>
              <c:strCache>
                <c:ptCount val="1"/>
                <c:pt idx="0">
                  <c:v>2</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Sheet2!$A$2:$A$11</c:f>
              <c:strCache>
                <c:ptCount val="10"/>
                <c:pt idx="0">
                  <c:v>Reduce substandard work</c:v>
                </c:pt>
                <c:pt idx="1">
                  <c:v>Reducetransportation</c:v>
                </c:pt>
                <c:pt idx="2">
                  <c:v>Reduce waste</c:v>
                </c:pt>
                <c:pt idx="3">
                  <c:v>Reduce construction time</c:v>
                </c:pt>
                <c:pt idx="4">
                  <c:v>Reduce weather delay</c:v>
                </c:pt>
                <c:pt idx="5">
                  <c:v>Reduce environmental pollutio</c:v>
                </c:pt>
                <c:pt idx="6">
                  <c:v>Reduce maintainance and repairs</c:v>
                </c:pt>
                <c:pt idx="7">
                  <c:v>Reduce skill shortage</c:v>
                </c:pt>
                <c:pt idx="8">
                  <c:v>Reduce hazard</c:v>
                </c:pt>
                <c:pt idx="9">
                  <c:v>Reduce construction cost</c:v>
                </c:pt>
              </c:strCache>
            </c:strRef>
          </c:cat>
          <c:val>
            <c:numRef>
              <c:f>Sheet2!$C$2:$C$11</c:f>
            </c:numRef>
          </c:val>
          <c:extLst>
            <c:ext xmlns:c16="http://schemas.microsoft.com/office/drawing/2014/chart" uri="{C3380CC4-5D6E-409C-BE32-E72D297353CC}">
              <c16:uniqueId val="{00000001-51B8-4728-8959-60DE2699F8AD}"/>
            </c:ext>
          </c:extLst>
        </c:ser>
        <c:ser>
          <c:idx val="2"/>
          <c:order val="2"/>
          <c:tx>
            <c:strRef>
              <c:f>Sheet2!$D$1</c:f>
              <c:strCache>
                <c:ptCount val="1"/>
                <c:pt idx="0">
                  <c:v>3</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Sheet2!$A$2:$A$11</c:f>
              <c:strCache>
                <c:ptCount val="10"/>
                <c:pt idx="0">
                  <c:v>Reduce substandard work</c:v>
                </c:pt>
                <c:pt idx="1">
                  <c:v>Reducetransportation</c:v>
                </c:pt>
                <c:pt idx="2">
                  <c:v>Reduce waste</c:v>
                </c:pt>
                <c:pt idx="3">
                  <c:v>Reduce construction time</c:v>
                </c:pt>
                <c:pt idx="4">
                  <c:v>Reduce weather delay</c:v>
                </c:pt>
                <c:pt idx="5">
                  <c:v>Reduce environmental pollutio</c:v>
                </c:pt>
                <c:pt idx="6">
                  <c:v>Reduce maintainance and repairs</c:v>
                </c:pt>
                <c:pt idx="7">
                  <c:v>Reduce skill shortage</c:v>
                </c:pt>
                <c:pt idx="8">
                  <c:v>Reduce hazard</c:v>
                </c:pt>
                <c:pt idx="9">
                  <c:v>Reduce construction cost</c:v>
                </c:pt>
              </c:strCache>
            </c:strRef>
          </c:cat>
          <c:val>
            <c:numRef>
              <c:f>Sheet2!$D$2:$D$11</c:f>
            </c:numRef>
          </c:val>
          <c:extLst>
            <c:ext xmlns:c16="http://schemas.microsoft.com/office/drawing/2014/chart" uri="{C3380CC4-5D6E-409C-BE32-E72D297353CC}">
              <c16:uniqueId val="{00000002-51B8-4728-8959-60DE2699F8AD}"/>
            </c:ext>
          </c:extLst>
        </c:ser>
        <c:ser>
          <c:idx val="3"/>
          <c:order val="3"/>
          <c:tx>
            <c:strRef>
              <c:f>Sheet2!$E$1</c:f>
              <c:strCache>
                <c:ptCount val="1"/>
                <c:pt idx="0">
                  <c:v>4</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Sheet2!$A$2:$A$11</c:f>
              <c:strCache>
                <c:ptCount val="10"/>
                <c:pt idx="0">
                  <c:v>Reduce substandard work</c:v>
                </c:pt>
                <c:pt idx="1">
                  <c:v>Reducetransportation</c:v>
                </c:pt>
                <c:pt idx="2">
                  <c:v>Reduce waste</c:v>
                </c:pt>
                <c:pt idx="3">
                  <c:v>Reduce construction time</c:v>
                </c:pt>
                <c:pt idx="4">
                  <c:v>Reduce weather delay</c:v>
                </c:pt>
                <c:pt idx="5">
                  <c:v>Reduce environmental pollutio</c:v>
                </c:pt>
                <c:pt idx="6">
                  <c:v>Reduce maintainance and repairs</c:v>
                </c:pt>
                <c:pt idx="7">
                  <c:v>Reduce skill shortage</c:v>
                </c:pt>
                <c:pt idx="8">
                  <c:v>Reduce hazard</c:v>
                </c:pt>
                <c:pt idx="9">
                  <c:v>Reduce construction cost</c:v>
                </c:pt>
              </c:strCache>
            </c:strRef>
          </c:cat>
          <c:val>
            <c:numRef>
              <c:f>Sheet2!$E$2:$E$11</c:f>
            </c:numRef>
          </c:val>
          <c:extLst>
            <c:ext xmlns:c16="http://schemas.microsoft.com/office/drawing/2014/chart" uri="{C3380CC4-5D6E-409C-BE32-E72D297353CC}">
              <c16:uniqueId val="{00000003-51B8-4728-8959-60DE2699F8AD}"/>
            </c:ext>
          </c:extLst>
        </c:ser>
        <c:ser>
          <c:idx val="4"/>
          <c:order val="4"/>
          <c:tx>
            <c:strRef>
              <c:f>Sheet2!$F$1</c:f>
              <c:strCache>
                <c:ptCount val="1"/>
                <c:pt idx="0">
                  <c:v>5</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Sheet2!$A$2:$A$11</c:f>
              <c:strCache>
                <c:ptCount val="10"/>
                <c:pt idx="0">
                  <c:v>Reduce substandard work</c:v>
                </c:pt>
                <c:pt idx="1">
                  <c:v>Reducetransportation</c:v>
                </c:pt>
                <c:pt idx="2">
                  <c:v>Reduce waste</c:v>
                </c:pt>
                <c:pt idx="3">
                  <c:v>Reduce construction time</c:v>
                </c:pt>
                <c:pt idx="4">
                  <c:v>Reduce weather delay</c:v>
                </c:pt>
                <c:pt idx="5">
                  <c:v>Reduce environmental pollutio</c:v>
                </c:pt>
                <c:pt idx="6">
                  <c:v>Reduce maintainance and repairs</c:v>
                </c:pt>
                <c:pt idx="7">
                  <c:v>Reduce skill shortage</c:v>
                </c:pt>
                <c:pt idx="8">
                  <c:v>Reduce hazard</c:v>
                </c:pt>
                <c:pt idx="9">
                  <c:v>Reduce construction cost</c:v>
                </c:pt>
              </c:strCache>
            </c:strRef>
          </c:cat>
          <c:val>
            <c:numRef>
              <c:f>Sheet2!$F$2:$F$11</c:f>
            </c:numRef>
          </c:val>
          <c:extLst>
            <c:ext xmlns:c16="http://schemas.microsoft.com/office/drawing/2014/chart" uri="{C3380CC4-5D6E-409C-BE32-E72D297353CC}">
              <c16:uniqueId val="{00000004-51B8-4728-8959-60DE2699F8AD}"/>
            </c:ext>
          </c:extLst>
        </c:ser>
        <c:ser>
          <c:idx val="5"/>
          <c:order val="5"/>
          <c:tx>
            <c:strRef>
              <c:f>Sheet2!$G$1</c:f>
              <c:strCache>
                <c:ptCount val="1"/>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Sheet2!$A$2:$A$11</c:f>
              <c:strCache>
                <c:ptCount val="10"/>
                <c:pt idx="0">
                  <c:v>Reduce substandard work</c:v>
                </c:pt>
                <c:pt idx="1">
                  <c:v>Reducetransportation</c:v>
                </c:pt>
                <c:pt idx="2">
                  <c:v>Reduce waste</c:v>
                </c:pt>
                <c:pt idx="3">
                  <c:v>Reduce construction time</c:v>
                </c:pt>
                <c:pt idx="4">
                  <c:v>Reduce weather delay</c:v>
                </c:pt>
                <c:pt idx="5">
                  <c:v>Reduce environmental pollutio</c:v>
                </c:pt>
                <c:pt idx="6">
                  <c:v>Reduce maintainance and repairs</c:v>
                </c:pt>
                <c:pt idx="7">
                  <c:v>Reduce skill shortage</c:v>
                </c:pt>
                <c:pt idx="8">
                  <c:v>Reduce hazard</c:v>
                </c:pt>
                <c:pt idx="9">
                  <c:v>Reduce construction cost</c:v>
                </c:pt>
              </c:strCache>
            </c:strRef>
          </c:cat>
          <c:val>
            <c:numRef>
              <c:f>Sheet2!$G$2:$G$11</c:f>
            </c:numRef>
          </c:val>
          <c:extLst>
            <c:ext xmlns:c16="http://schemas.microsoft.com/office/drawing/2014/chart" uri="{C3380CC4-5D6E-409C-BE32-E72D297353CC}">
              <c16:uniqueId val="{00000005-51B8-4728-8959-60DE2699F8AD}"/>
            </c:ext>
          </c:extLst>
        </c:ser>
        <c:ser>
          <c:idx val="6"/>
          <c:order val="6"/>
          <c:tx>
            <c:strRef>
              <c:f>Sheet2!$H$1</c:f>
              <c:strCache>
                <c:ptCount val="1"/>
              </c:strCache>
            </c:strRef>
          </c:tx>
          <c:spPr>
            <a:solidFill>
              <a:schemeClr val="accent1">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Sheet2!$A$2:$A$11</c:f>
              <c:strCache>
                <c:ptCount val="10"/>
                <c:pt idx="0">
                  <c:v>Reduce substandard work</c:v>
                </c:pt>
                <c:pt idx="1">
                  <c:v>Reducetransportation</c:v>
                </c:pt>
                <c:pt idx="2">
                  <c:v>Reduce waste</c:v>
                </c:pt>
                <c:pt idx="3">
                  <c:v>Reduce construction time</c:v>
                </c:pt>
                <c:pt idx="4">
                  <c:v>Reduce weather delay</c:v>
                </c:pt>
                <c:pt idx="5">
                  <c:v>Reduce environmental pollutio</c:v>
                </c:pt>
                <c:pt idx="6">
                  <c:v>Reduce maintainance and repairs</c:v>
                </c:pt>
                <c:pt idx="7">
                  <c:v>Reduce skill shortage</c:v>
                </c:pt>
                <c:pt idx="8">
                  <c:v>Reduce hazard</c:v>
                </c:pt>
                <c:pt idx="9">
                  <c:v>Reduce construction cost</c:v>
                </c:pt>
              </c:strCache>
            </c:strRef>
          </c:cat>
          <c:val>
            <c:numRef>
              <c:f>Sheet2!$H$2:$H$11</c:f>
            </c:numRef>
          </c:val>
          <c:extLst>
            <c:ext xmlns:c16="http://schemas.microsoft.com/office/drawing/2014/chart" uri="{C3380CC4-5D6E-409C-BE32-E72D297353CC}">
              <c16:uniqueId val="{00000006-51B8-4728-8959-60DE2699F8AD}"/>
            </c:ext>
          </c:extLst>
        </c:ser>
        <c:ser>
          <c:idx val="7"/>
          <c:order val="7"/>
          <c:tx>
            <c:strRef>
              <c:f>Sheet2!$I$1</c:f>
              <c:strCache>
                <c:ptCount val="1"/>
                <c:pt idx="0">
                  <c:v>MIS</c:v>
                </c:pt>
              </c:strCache>
            </c:strRef>
          </c:tx>
          <c:spPr>
            <a:solidFill>
              <a:schemeClr val="accent2">
                <a:lumMod val="60000"/>
              </a:schemeClr>
            </a:solidFill>
            <a:ln>
              <a:noFill/>
            </a:ln>
            <a:effectLst/>
            <a:sp3d/>
          </c:spPr>
          <c:invertIfNegative val="0"/>
          <c:dLbls>
            <c:dLbl>
              <c:idx val="0"/>
              <c:layout>
                <c:manualLayout>
                  <c:x val="-3.0803074971531411E-2"/>
                  <c:y val="-0.325041459369817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1B8-4728-8959-60DE2699F8AD}"/>
                </c:ext>
              </c:extLst>
            </c:dLbl>
            <c:dLbl>
              <c:idx val="1"/>
              <c:layout>
                <c:manualLayout>
                  <c:x val="-8.8008785632946885E-3"/>
                  <c:y val="-0.3184079601990049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1B8-4728-8959-60DE2699F8AD}"/>
                </c:ext>
              </c:extLst>
            </c:dLbl>
            <c:dLbl>
              <c:idx val="2"/>
              <c:layout>
                <c:manualLayout>
                  <c:x val="1.3201317844941992E-2"/>
                  <c:y val="-0.288557213930348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1B8-4728-8959-60DE2699F8AD}"/>
                </c:ext>
              </c:extLst>
            </c:dLbl>
            <c:dLbl>
              <c:idx val="3"/>
              <c:layout>
                <c:manualLayout>
                  <c:x val="1.100109820411836E-2"/>
                  <c:y val="-0.308457711442786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1B8-4728-8959-60DE2699F8AD}"/>
                </c:ext>
              </c:extLst>
            </c:dLbl>
            <c:dLbl>
              <c:idx val="4"/>
              <c:layout>
                <c:manualLayout>
                  <c:x val="1.9801976767413049E-2"/>
                  <c:y val="-0.315091210613598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1B8-4728-8959-60DE2699F8AD}"/>
                </c:ext>
              </c:extLst>
            </c:dLbl>
            <c:dLbl>
              <c:idx val="5"/>
              <c:layout>
                <c:manualLayout>
                  <c:x val="1.3201317844941952E-2"/>
                  <c:y val="-0.301824212271973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1B8-4728-8959-60DE2699F8AD}"/>
                </c:ext>
              </c:extLst>
            </c:dLbl>
            <c:dLbl>
              <c:idx val="6"/>
              <c:layout>
                <c:manualLayout>
                  <c:x val="-4.4004392816473442E-3"/>
                  <c:y val="-0.33830845771144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1B8-4728-8959-60DE2699F8AD}"/>
                </c:ext>
              </c:extLst>
            </c:dLbl>
            <c:dLbl>
              <c:idx val="7"/>
              <c:layout>
                <c:manualLayout>
                  <c:x val="-2.2002196408236721E-3"/>
                  <c:y val="-0.308457711442786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1B8-4728-8959-60DE2699F8AD}"/>
                </c:ext>
              </c:extLst>
            </c:dLbl>
            <c:dLbl>
              <c:idx val="8"/>
              <c:layout>
                <c:manualLayout>
                  <c:x val="-2.2002196408236721E-3"/>
                  <c:y val="-0.331674958540630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51B8-4728-8959-60DE2699F8AD}"/>
                </c:ext>
              </c:extLst>
            </c:dLbl>
            <c:dLbl>
              <c:idx val="9"/>
              <c:layout>
                <c:manualLayout>
                  <c:x val="-1.9801976767413049E-2"/>
                  <c:y val="-0.31177446102819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51B8-4728-8959-60DE2699F8A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Sheet2!$A$2:$A$11</c:f>
              <c:strCache>
                <c:ptCount val="10"/>
                <c:pt idx="0">
                  <c:v>Reduce substandard work</c:v>
                </c:pt>
                <c:pt idx="1">
                  <c:v>Reducetransportation</c:v>
                </c:pt>
                <c:pt idx="2">
                  <c:v>Reduce waste</c:v>
                </c:pt>
                <c:pt idx="3">
                  <c:v>Reduce construction time</c:v>
                </c:pt>
                <c:pt idx="4">
                  <c:v>Reduce weather delay</c:v>
                </c:pt>
                <c:pt idx="5">
                  <c:v>Reduce environmental pollutio</c:v>
                </c:pt>
                <c:pt idx="6">
                  <c:v>Reduce maintainance and repairs</c:v>
                </c:pt>
                <c:pt idx="7">
                  <c:v>Reduce skill shortage</c:v>
                </c:pt>
                <c:pt idx="8">
                  <c:v>Reduce hazard</c:v>
                </c:pt>
                <c:pt idx="9">
                  <c:v>Reduce construction cost</c:v>
                </c:pt>
              </c:strCache>
            </c:strRef>
          </c:cat>
          <c:val>
            <c:numRef>
              <c:f>Sheet2!$I$2:$I$11</c:f>
              <c:numCache>
                <c:formatCode>0.00</c:formatCode>
                <c:ptCount val="10"/>
                <c:pt idx="0">
                  <c:v>2.5652173913043477</c:v>
                </c:pt>
                <c:pt idx="1">
                  <c:v>2.5434782608695654</c:v>
                </c:pt>
                <c:pt idx="2">
                  <c:v>2.5</c:v>
                </c:pt>
                <c:pt idx="3">
                  <c:v>2.4565217391304346</c:v>
                </c:pt>
                <c:pt idx="4">
                  <c:v>2.402173913043478</c:v>
                </c:pt>
                <c:pt idx="5">
                  <c:v>2.3369565217391304</c:v>
                </c:pt>
                <c:pt idx="6">
                  <c:v>2.2282608695652173</c:v>
                </c:pt>
                <c:pt idx="7">
                  <c:v>2.1086956521739131</c:v>
                </c:pt>
                <c:pt idx="8">
                  <c:v>1.9782608695652173</c:v>
                </c:pt>
                <c:pt idx="9">
                  <c:v>1.9673913043478262</c:v>
                </c:pt>
              </c:numCache>
            </c:numRef>
          </c:val>
          <c:extLst>
            <c:ext xmlns:c16="http://schemas.microsoft.com/office/drawing/2014/chart" uri="{C3380CC4-5D6E-409C-BE32-E72D297353CC}">
              <c16:uniqueId val="{00000011-51B8-4728-8959-60DE2699F8AD}"/>
            </c:ext>
          </c:extLst>
        </c:ser>
        <c:ser>
          <c:idx val="8"/>
          <c:order val="8"/>
          <c:tx>
            <c:strRef>
              <c:f>Sheet2!$J$1</c:f>
              <c:strCache>
                <c:ptCount val="1"/>
                <c:pt idx="0">
                  <c:v>SD</c:v>
                </c:pt>
              </c:strCache>
            </c:strRef>
          </c:tx>
          <c:spPr>
            <a:solidFill>
              <a:schemeClr val="accent3">
                <a:lumMod val="60000"/>
              </a:schemeClr>
            </a:solidFill>
            <a:ln>
              <a:noFill/>
            </a:ln>
            <a:effectLst/>
            <a:sp3d/>
          </c:spPr>
          <c:invertIfNegative val="0"/>
          <c:dLbls>
            <c:dLbl>
              <c:idx val="0"/>
              <c:layout>
                <c:manualLayout>
                  <c:x val="4.4004392816473442E-3"/>
                  <c:y val="-9.9502487562189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51B8-4728-8959-60DE2699F8AD}"/>
                </c:ext>
              </c:extLst>
            </c:dLbl>
            <c:dLbl>
              <c:idx val="1"/>
              <c:layout>
                <c:manualLayout>
                  <c:x val="6.600658922470976E-3"/>
                  <c:y val="-8.62354892205638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51B8-4728-8959-60DE2699F8AD}"/>
                </c:ext>
              </c:extLst>
            </c:dLbl>
            <c:dLbl>
              <c:idx val="2"/>
              <c:layout>
                <c:manualLayout>
                  <c:x val="4.0336894106524525E-17"/>
                  <c:y val="-8.62354892205638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51B8-4728-8959-60DE2699F8AD}"/>
                </c:ext>
              </c:extLst>
            </c:dLbl>
            <c:dLbl>
              <c:idx val="3"/>
              <c:layout>
                <c:manualLayout>
                  <c:x val="6.6006589224709361E-3"/>
                  <c:y val="-8.29187396351575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51B8-4728-8959-60DE2699F8AD}"/>
                </c:ext>
              </c:extLst>
            </c:dLbl>
            <c:dLbl>
              <c:idx val="4"/>
              <c:layout>
                <c:manualLayout>
                  <c:x val="6.6006589224710168E-3"/>
                  <c:y val="-8.62354892205638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51B8-4728-8959-60DE2699F8AD}"/>
                </c:ext>
              </c:extLst>
            </c:dLbl>
            <c:dLbl>
              <c:idx val="5"/>
              <c:layout>
                <c:manualLayout>
                  <c:x val="0"/>
                  <c:y val="-7.9601990049751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51B8-4728-8959-60DE2699F8AD}"/>
                </c:ext>
              </c:extLst>
            </c:dLbl>
            <c:dLbl>
              <c:idx val="6"/>
              <c:layout>
                <c:manualLayout>
                  <c:x val="8.80087856329477E-3"/>
                  <c:y val="-8.95522388059701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51B8-4728-8959-60DE2699F8AD}"/>
                </c:ext>
              </c:extLst>
            </c:dLbl>
            <c:dLbl>
              <c:idx val="7"/>
              <c:layout>
                <c:manualLayout>
                  <c:x val="8.8008785632946885E-3"/>
                  <c:y val="-8.95522388059701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51B8-4728-8959-60DE2699F8AD}"/>
                </c:ext>
              </c:extLst>
            </c:dLbl>
            <c:dLbl>
              <c:idx val="8"/>
              <c:layout>
                <c:manualLayout>
                  <c:x val="-2.2002196408236721E-3"/>
                  <c:y val="-9.95024875621890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51B8-4728-8959-60DE2699F8AD}"/>
                </c:ext>
              </c:extLst>
            </c:dLbl>
            <c:dLbl>
              <c:idx val="9"/>
              <c:layout>
                <c:manualLayout>
                  <c:x val="6.6006589224710168E-3"/>
                  <c:y val="-0.122719734660033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51B8-4728-8959-60DE2699F8A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Sheet2!$A$2:$A$11</c:f>
              <c:strCache>
                <c:ptCount val="10"/>
                <c:pt idx="0">
                  <c:v>Reduce substandard work</c:v>
                </c:pt>
                <c:pt idx="1">
                  <c:v>Reducetransportation</c:v>
                </c:pt>
                <c:pt idx="2">
                  <c:v>Reduce waste</c:v>
                </c:pt>
                <c:pt idx="3">
                  <c:v>Reduce construction time</c:v>
                </c:pt>
                <c:pt idx="4">
                  <c:v>Reduce weather delay</c:v>
                </c:pt>
                <c:pt idx="5">
                  <c:v>Reduce environmental pollutio</c:v>
                </c:pt>
                <c:pt idx="6">
                  <c:v>Reduce maintainance and repairs</c:v>
                </c:pt>
                <c:pt idx="7">
                  <c:v>Reduce skill shortage</c:v>
                </c:pt>
                <c:pt idx="8">
                  <c:v>Reduce hazard</c:v>
                </c:pt>
                <c:pt idx="9">
                  <c:v>Reduce construction cost</c:v>
                </c:pt>
              </c:strCache>
            </c:strRef>
          </c:cat>
          <c:val>
            <c:numRef>
              <c:f>Sheet2!$J$2:$J$11</c:f>
              <c:numCache>
                <c:formatCode>0.00</c:formatCode>
                <c:ptCount val="10"/>
                <c:pt idx="0">
                  <c:v>1.0088002647698466</c:v>
                </c:pt>
                <c:pt idx="1">
                  <c:v>0.84402285628992268</c:v>
                </c:pt>
                <c:pt idx="2">
                  <c:v>0.89565495711116472</c:v>
                </c:pt>
                <c:pt idx="3">
                  <c:v>0.97679722752372777</c:v>
                </c:pt>
                <c:pt idx="4">
                  <c:v>0.89023743725851434</c:v>
                </c:pt>
                <c:pt idx="5">
                  <c:v>1.05118639320232</c:v>
                </c:pt>
                <c:pt idx="6">
                  <c:v>1.0597870496188821</c:v>
                </c:pt>
                <c:pt idx="7">
                  <c:v>1.0425720702853738</c:v>
                </c:pt>
                <c:pt idx="8">
                  <c:v>1.0375188161361693</c:v>
                </c:pt>
                <c:pt idx="9">
                  <c:v>0.97722512457436284</c:v>
                </c:pt>
              </c:numCache>
            </c:numRef>
          </c:val>
          <c:extLst>
            <c:ext xmlns:c16="http://schemas.microsoft.com/office/drawing/2014/chart" uri="{C3380CC4-5D6E-409C-BE32-E72D297353CC}">
              <c16:uniqueId val="{0000001C-51B8-4728-8959-60DE2699F8AD}"/>
            </c:ext>
          </c:extLst>
        </c:ser>
        <c:dLbls>
          <c:showLegendKey val="0"/>
          <c:showVal val="1"/>
          <c:showCatName val="0"/>
          <c:showSerName val="0"/>
          <c:showPercent val="0"/>
          <c:showBubbleSize val="0"/>
        </c:dLbls>
        <c:gapWidth val="150"/>
        <c:shape val="box"/>
        <c:axId val="641387688"/>
        <c:axId val="641388080"/>
        <c:axId val="0"/>
      </c:bar3DChart>
      <c:catAx>
        <c:axId val="6413876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1388080"/>
        <c:crosses val="autoZero"/>
        <c:auto val="1"/>
        <c:lblAlgn val="ctr"/>
        <c:lblOffset val="100"/>
        <c:noMultiLvlLbl val="0"/>
      </c:catAx>
      <c:valAx>
        <c:axId val="6413880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1387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3555029-2A7C-4CD7-BD8D-FD61DAF5E585}" type="doc">
      <dgm:prSet loTypeId="urn:microsoft.com/office/officeart/2005/8/layout/bProcess3" loCatId="process" qsTypeId="urn:microsoft.com/office/officeart/2005/8/quickstyle/simple1" qsCatId="simple" csTypeId="urn:microsoft.com/office/officeart/2005/8/colors/accent0_1" csCatId="mainScheme" phldr="1"/>
      <dgm:spPr/>
      <dgm:t>
        <a:bodyPr/>
        <a:lstStyle/>
        <a:p>
          <a:endParaRPr lang="en-GB"/>
        </a:p>
      </dgm:t>
    </dgm:pt>
    <dgm:pt modelId="{F3E36778-89FC-43F8-8111-DBE6128410E9}">
      <dgm:prSet phldrT="[Text]"/>
      <dgm:spPr/>
      <dgm:t>
        <a:bodyPr/>
        <a:lstStyle/>
        <a:p>
          <a:pPr algn="ctr">
            <a:buFont typeface="Calibri" panose="020F0502020204030204" pitchFamily="34" charset="0"/>
            <a:buChar char="-"/>
          </a:pPr>
          <a:r>
            <a:rPr lang="en-US"/>
            <a:t>Site Acquisition</a:t>
          </a:r>
          <a:endParaRPr lang="en-GB"/>
        </a:p>
      </dgm:t>
    </dgm:pt>
    <dgm:pt modelId="{9144DFCF-56F1-47AC-9E9F-465D9290F053}" type="parTrans" cxnId="{B78BB9D8-FDD0-4A48-AFFE-82412A889F77}">
      <dgm:prSet/>
      <dgm:spPr/>
      <dgm:t>
        <a:bodyPr/>
        <a:lstStyle/>
        <a:p>
          <a:pPr algn="ctr"/>
          <a:endParaRPr lang="en-GB"/>
        </a:p>
      </dgm:t>
    </dgm:pt>
    <dgm:pt modelId="{08F24DE7-9451-481D-8B67-0508407137BD}" type="sibTrans" cxnId="{B78BB9D8-FDD0-4A48-AFFE-82412A889F77}">
      <dgm:prSet/>
      <dgm:spPr/>
      <dgm:t>
        <a:bodyPr/>
        <a:lstStyle/>
        <a:p>
          <a:pPr algn="ctr"/>
          <a:endParaRPr lang="en-GB"/>
        </a:p>
      </dgm:t>
    </dgm:pt>
    <dgm:pt modelId="{26203243-C6F3-4EFC-B484-57A8D3F66297}">
      <dgm:prSet phldrT="[Text]"/>
      <dgm:spPr/>
      <dgm:t>
        <a:bodyPr/>
        <a:lstStyle/>
        <a:p>
          <a:pPr algn="ctr">
            <a:buFont typeface="Calibri" panose="020F0502020204030204" pitchFamily="34" charset="0"/>
            <a:buChar char="-"/>
          </a:pPr>
          <a:r>
            <a:rPr lang="en-US"/>
            <a:t>Security of Necessary Approval</a:t>
          </a:r>
          <a:endParaRPr lang="en-GB"/>
        </a:p>
      </dgm:t>
    </dgm:pt>
    <dgm:pt modelId="{32BD9242-46FC-44C8-914D-C7F633F5DA66}" type="parTrans" cxnId="{4A5D106C-2BEE-4EB1-9230-A9BBCEB5E4E4}">
      <dgm:prSet/>
      <dgm:spPr/>
      <dgm:t>
        <a:bodyPr/>
        <a:lstStyle/>
        <a:p>
          <a:pPr algn="ctr"/>
          <a:endParaRPr lang="en-GB"/>
        </a:p>
      </dgm:t>
    </dgm:pt>
    <dgm:pt modelId="{83498DAE-DB6B-43CC-A022-0E4754C1FE0E}" type="sibTrans" cxnId="{4A5D106C-2BEE-4EB1-9230-A9BBCEB5E4E4}">
      <dgm:prSet/>
      <dgm:spPr/>
      <dgm:t>
        <a:bodyPr/>
        <a:lstStyle/>
        <a:p>
          <a:pPr algn="ctr"/>
          <a:endParaRPr lang="en-GB"/>
        </a:p>
      </dgm:t>
    </dgm:pt>
    <dgm:pt modelId="{299999E9-2255-413B-9215-A97DB9F8A8F7}">
      <dgm:prSet phldrT="[Text]"/>
      <dgm:spPr/>
      <dgm:t>
        <a:bodyPr/>
        <a:lstStyle/>
        <a:p>
          <a:pPr algn="ctr">
            <a:buFont typeface="Calibri" panose="020F0502020204030204" pitchFamily="34" charset="0"/>
            <a:buChar char="-"/>
          </a:pPr>
          <a:r>
            <a:rPr lang="en-US" b="1"/>
            <a:t>CONSTRUCTION OF PROTOTYPE UNITS</a:t>
          </a:r>
          <a:endParaRPr lang="en-GB"/>
        </a:p>
      </dgm:t>
    </dgm:pt>
    <dgm:pt modelId="{16E48851-01AF-45C3-A554-D5013B6C211D}" type="parTrans" cxnId="{4D2243FC-0725-47B7-B373-399EB1C58BD4}">
      <dgm:prSet/>
      <dgm:spPr/>
      <dgm:t>
        <a:bodyPr/>
        <a:lstStyle/>
        <a:p>
          <a:pPr algn="ctr"/>
          <a:endParaRPr lang="en-GB"/>
        </a:p>
      </dgm:t>
    </dgm:pt>
    <dgm:pt modelId="{F91472F4-2DDB-476C-9A72-6E3E80AC254E}" type="sibTrans" cxnId="{4D2243FC-0725-47B7-B373-399EB1C58BD4}">
      <dgm:prSet/>
      <dgm:spPr/>
      <dgm:t>
        <a:bodyPr/>
        <a:lstStyle/>
        <a:p>
          <a:pPr algn="ctr"/>
          <a:endParaRPr lang="en-GB"/>
        </a:p>
      </dgm:t>
    </dgm:pt>
    <dgm:pt modelId="{AFED2B01-CB5F-4A7D-8F9D-209EEE12FA47}">
      <dgm:prSet phldrT="[Text]"/>
      <dgm:spPr/>
      <dgm:t>
        <a:bodyPr/>
        <a:lstStyle/>
        <a:p>
          <a:pPr algn="ctr">
            <a:buFont typeface="Calibri" panose="020F0502020204030204" pitchFamily="34" charset="0"/>
            <a:buChar char="-"/>
          </a:pPr>
          <a:r>
            <a:rPr lang="en-US"/>
            <a:t>Selection of Suitable Medium for Marketing</a:t>
          </a:r>
          <a:endParaRPr lang="en-GB"/>
        </a:p>
      </dgm:t>
    </dgm:pt>
    <dgm:pt modelId="{215C3571-9ED0-49EE-A4FA-FEBCA255C8C5}" type="parTrans" cxnId="{DB3628BA-9413-4120-902C-209430B00256}">
      <dgm:prSet/>
      <dgm:spPr/>
      <dgm:t>
        <a:bodyPr/>
        <a:lstStyle/>
        <a:p>
          <a:pPr algn="ctr"/>
          <a:endParaRPr lang="en-GB"/>
        </a:p>
      </dgm:t>
    </dgm:pt>
    <dgm:pt modelId="{34D51F87-9E7C-46B2-A572-B74CDAD4683E}" type="sibTrans" cxnId="{DB3628BA-9413-4120-902C-209430B00256}">
      <dgm:prSet/>
      <dgm:spPr/>
      <dgm:t>
        <a:bodyPr/>
        <a:lstStyle/>
        <a:p>
          <a:pPr algn="ctr"/>
          <a:endParaRPr lang="en-GB"/>
        </a:p>
      </dgm:t>
    </dgm:pt>
    <dgm:pt modelId="{B7424AAB-3109-4B8D-898A-CF3A166DB3AC}">
      <dgm:prSet phldrT="[Text]"/>
      <dgm:spPr/>
      <dgm:t>
        <a:bodyPr/>
        <a:lstStyle/>
        <a:p>
          <a:pPr algn="ctr">
            <a:buFont typeface="Calibri" panose="020F0502020204030204" pitchFamily="34" charset="0"/>
            <a:buChar char="-"/>
          </a:pPr>
          <a:r>
            <a:rPr lang="en-US"/>
            <a:t>Preparation of Detailed Sales/Lease Contract</a:t>
          </a:r>
          <a:endParaRPr lang="en-GB"/>
        </a:p>
      </dgm:t>
    </dgm:pt>
    <dgm:pt modelId="{BA0B4479-F3FE-464C-A36B-62EC31621575}" type="parTrans" cxnId="{D32A0E77-B1B9-491F-975C-339C5CAA6B18}">
      <dgm:prSet/>
      <dgm:spPr/>
      <dgm:t>
        <a:bodyPr/>
        <a:lstStyle/>
        <a:p>
          <a:pPr algn="ctr"/>
          <a:endParaRPr lang="en-GB"/>
        </a:p>
      </dgm:t>
    </dgm:pt>
    <dgm:pt modelId="{D53674F0-D16A-4318-8391-42B8723B01A4}" type="sibTrans" cxnId="{D32A0E77-B1B9-491F-975C-339C5CAA6B18}">
      <dgm:prSet/>
      <dgm:spPr/>
      <dgm:t>
        <a:bodyPr/>
        <a:lstStyle/>
        <a:p>
          <a:pPr algn="ctr"/>
          <a:endParaRPr lang="en-GB"/>
        </a:p>
      </dgm:t>
    </dgm:pt>
    <dgm:pt modelId="{D86A4732-8FC2-4CC1-ADEB-D40D1ECAAA91}">
      <dgm:prSet/>
      <dgm:spPr/>
      <dgm:t>
        <a:bodyPr/>
        <a:lstStyle/>
        <a:p>
          <a:pPr algn="ctr">
            <a:buFont typeface="Calibri" panose="020F0502020204030204" pitchFamily="34" charset="0"/>
            <a:buChar char="-"/>
          </a:pPr>
          <a:r>
            <a:rPr lang="en-US"/>
            <a:t>Site Surveying</a:t>
          </a:r>
          <a:endParaRPr lang="en-GB"/>
        </a:p>
      </dgm:t>
    </dgm:pt>
    <dgm:pt modelId="{370BDA79-C33C-484B-B8EB-62AF608CD36E}" type="parTrans" cxnId="{D192D240-87D7-4968-95FB-EAF0D23C11BD}">
      <dgm:prSet/>
      <dgm:spPr/>
      <dgm:t>
        <a:bodyPr/>
        <a:lstStyle/>
        <a:p>
          <a:pPr algn="ctr"/>
          <a:endParaRPr lang="en-GB"/>
        </a:p>
      </dgm:t>
    </dgm:pt>
    <dgm:pt modelId="{BE8D09CC-D574-4C52-A87E-9338629CD4F3}" type="sibTrans" cxnId="{D192D240-87D7-4968-95FB-EAF0D23C11BD}">
      <dgm:prSet/>
      <dgm:spPr/>
      <dgm:t>
        <a:bodyPr/>
        <a:lstStyle/>
        <a:p>
          <a:pPr algn="ctr"/>
          <a:endParaRPr lang="en-GB"/>
        </a:p>
      </dgm:t>
    </dgm:pt>
    <dgm:pt modelId="{E2378AD5-5BEA-49E5-8556-2C283736399A}">
      <dgm:prSet/>
      <dgm:spPr/>
      <dgm:t>
        <a:bodyPr/>
        <a:lstStyle/>
        <a:p>
          <a:pPr algn="ctr"/>
          <a:r>
            <a:rPr lang="en-US"/>
            <a:t>Feasibility and Viability Study</a:t>
          </a:r>
          <a:endParaRPr lang="en-GB"/>
        </a:p>
      </dgm:t>
    </dgm:pt>
    <dgm:pt modelId="{47A9EC7C-E322-43AC-8B5C-AA3B5EBDBF39}" type="parTrans" cxnId="{3652B6CC-2CEA-4962-9656-D8AAF9911F08}">
      <dgm:prSet/>
      <dgm:spPr/>
      <dgm:t>
        <a:bodyPr/>
        <a:lstStyle/>
        <a:p>
          <a:pPr algn="ctr"/>
          <a:endParaRPr lang="en-GB"/>
        </a:p>
      </dgm:t>
    </dgm:pt>
    <dgm:pt modelId="{4D7DD7D9-D224-4BFF-B2A1-672FDFB806C4}" type="sibTrans" cxnId="{3652B6CC-2CEA-4962-9656-D8AAF9911F08}">
      <dgm:prSet/>
      <dgm:spPr/>
      <dgm:t>
        <a:bodyPr/>
        <a:lstStyle/>
        <a:p>
          <a:pPr algn="ctr"/>
          <a:endParaRPr lang="en-GB"/>
        </a:p>
      </dgm:t>
    </dgm:pt>
    <dgm:pt modelId="{AD4E41AF-50CD-407A-A0FD-ADEE2AE5860F}">
      <dgm:prSet/>
      <dgm:spPr/>
      <dgm:t>
        <a:bodyPr/>
        <a:lstStyle/>
        <a:p>
          <a:pPr algn="ctr">
            <a:buFont typeface="Calibri" panose="020F0502020204030204" pitchFamily="34" charset="0"/>
            <a:buChar char="-"/>
          </a:pPr>
          <a:r>
            <a:rPr lang="en-US"/>
            <a:t>Project Costing</a:t>
          </a:r>
          <a:endParaRPr lang="en-GB"/>
        </a:p>
      </dgm:t>
    </dgm:pt>
    <dgm:pt modelId="{F19FF832-BEFA-43A4-B9AB-E02E9290CE34}" type="parTrans" cxnId="{3607D1D9-12C7-4AB1-95C4-A855399DE570}">
      <dgm:prSet/>
      <dgm:spPr/>
      <dgm:t>
        <a:bodyPr/>
        <a:lstStyle/>
        <a:p>
          <a:pPr algn="ctr"/>
          <a:endParaRPr lang="en-GB"/>
        </a:p>
      </dgm:t>
    </dgm:pt>
    <dgm:pt modelId="{C8584F43-F33C-463F-8679-FB205F62AF5B}" type="sibTrans" cxnId="{3607D1D9-12C7-4AB1-95C4-A855399DE570}">
      <dgm:prSet/>
      <dgm:spPr/>
      <dgm:t>
        <a:bodyPr/>
        <a:lstStyle/>
        <a:p>
          <a:pPr algn="ctr"/>
          <a:endParaRPr lang="en-GB"/>
        </a:p>
      </dgm:t>
    </dgm:pt>
    <dgm:pt modelId="{0830A4A3-D15F-48E8-8ED6-E78461B26EAF}">
      <dgm:prSet/>
      <dgm:spPr/>
      <dgm:t>
        <a:bodyPr/>
        <a:lstStyle/>
        <a:p>
          <a:pPr algn="ctr"/>
          <a:r>
            <a:rPr lang="en-US"/>
            <a:t>Proposed Development Blueprint Design </a:t>
          </a:r>
          <a:endParaRPr lang="en-GB"/>
        </a:p>
      </dgm:t>
    </dgm:pt>
    <dgm:pt modelId="{B2B29B9B-8F28-4859-8D0B-B58A8EB38B89}" type="parTrans" cxnId="{04D3E291-05F6-4FA8-98B8-EF02CBDED0B7}">
      <dgm:prSet/>
      <dgm:spPr/>
      <dgm:t>
        <a:bodyPr/>
        <a:lstStyle/>
        <a:p>
          <a:pPr algn="ctr"/>
          <a:endParaRPr lang="en-GB"/>
        </a:p>
      </dgm:t>
    </dgm:pt>
    <dgm:pt modelId="{1D1013F6-2E2A-4A08-BE25-9E9A81050392}" type="sibTrans" cxnId="{04D3E291-05F6-4FA8-98B8-EF02CBDED0B7}">
      <dgm:prSet/>
      <dgm:spPr/>
      <dgm:t>
        <a:bodyPr/>
        <a:lstStyle/>
        <a:p>
          <a:pPr algn="ctr"/>
          <a:endParaRPr lang="en-GB"/>
        </a:p>
      </dgm:t>
    </dgm:pt>
    <dgm:pt modelId="{0D17093C-38AD-42C8-948B-632ECA9A72B8}">
      <dgm:prSet/>
      <dgm:spPr/>
      <dgm:t>
        <a:bodyPr/>
        <a:lstStyle/>
        <a:p>
          <a:pPr algn="ctr"/>
          <a:r>
            <a:rPr lang="en-US"/>
            <a:t>Receipt of Initial Deposit</a:t>
          </a:r>
          <a:endParaRPr lang="en-GB"/>
        </a:p>
      </dgm:t>
    </dgm:pt>
    <dgm:pt modelId="{E5A7038F-5684-4673-B502-9EB9320BBD31}" type="parTrans" cxnId="{7E792620-346E-4CE0-A1DB-C6009B097FA7}">
      <dgm:prSet/>
      <dgm:spPr/>
      <dgm:t>
        <a:bodyPr/>
        <a:lstStyle/>
        <a:p>
          <a:pPr algn="ctr"/>
          <a:endParaRPr lang="en-GB"/>
        </a:p>
      </dgm:t>
    </dgm:pt>
    <dgm:pt modelId="{7C554B0B-3DB7-448D-BF0F-1D17B046D39F}" type="sibTrans" cxnId="{7E792620-346E-4CE0-A1DB-C6009B097FA7}">
      <dgm:prSet/>
      <dgm:spPr/>
      <dgm:t>
        <a:bodyPr/>
        <a:lstStyle/>
        <a:p>
          <a:pPr algn="ctr"/>
          <a:endParaRPr lang="en-GB"/>
        </a:p>
      </dgm:t>
    </dgm:pt>
    <dgm:pt modelId="{1A8B8DD6-4A84-45C5-8E9A-E79A2595BA5C}">
      <dgm:prSet/>
      <dgm:spPr/>
      <dgm:t>
        <a:bodyPr/>
        <a:lstStyle/>
        <a:p>
          <a:pPr algn="ctr"/>
          <a:r>
            <a:rPr lang="en-US"/>
            <a:t>Kick-starting the Project Construction</a:t>
          </a:r>
          <a:endParaRPr lang="en-GB"/>
        </a:p>
      </dgm:t>
    </dgm:pt>
    <dgm:pt modelId="{BD0F6BA8-820B-46F4-8841-DDCFCC7EF88F}" type="parTrans" cxnId="{695FD560-EDEA-4893-9A79-42F88ABD6395}">
      <dgm:prSet/>
      <dgm:spPr/>
      <dgm:t>
        <a:bodyPr/>
        <a:lstStyle/>
        <a:p>
          <a:pPr algn="ctr"/>
          <a:endParaRPr lang="en-GB"/>
        </a:p>
      </dgm:t>
    </dgm:pt>
    <dgm:pt modelId="{36EF18E2-927D-47C0-BCE0-619B5E077B4C}" type="sibTrans" cxnId="{695FD560-EDEA-4893-9A79-42F88ABD6395}">
      <dgm:prSet/>
      <dgm:spPr/>
      <dgm:t>
        <a:bodyPr/>
        <a:lstStyle/>
        <a:p>
          <a:pPr algn="ctr"/>
          <a:endParaRPr lang="en-GB"/>
        </a:p>
      </dgm:t>
    </dgm:pt>
    <dgm:pt modelId="{EB79E2F2-DF40-4CFA-982F-E95D1061863F}">
      <dgm:prSet/>
      <dgm:spPr/>
      <dgm:t>
        <a:bodyPr/>
        <a:lstStyle/>
        <a:p>
          <a:pPr algn="ctr">
            <a:buFont typeface="Calibri" panose="020F0502020204030204" pitchFamily="34" charset="0"/>
            <a:buChar char="-"/>
          </a:pPr>
          <a:r>
            <a:rPr lang="en-US"/>
            <a:t>Project Delivery after Completion</a:t>
          </a:r>
          <a:endParaRPr lang="en-GB"/>
        </a:p>
      </dgm:t>
    </dgm:pt>
    <dgm:pt modelId="{F964F58C-2E95-4F22-BE72-4A31891A10E1}" type="parTrans" cxnId="{A0D04802-2B10-4EE5-8CAD-1127FA2F2A8D}">
      <dgm:prSet/>
      <dgm:spPr/>
      <dgm:t>
        <a:bodyPr/>
        <a:lstStyle/>
        <a:p>
          <a:pPr algn="ctr"/>
          <a:endParaRPr lang="en-GB"/>
        </a:p>
      </dgm:t>
    </dgm:pt>
    <dgm:pt modelId="{CB1EB4FB-283F-4A69-B5E8-8E2404BAAEBC}" type="sibTrans" cxnId="{A0D04802-2B10-4EE5-8CAD-1127FA2F2A8D}">
      <dgm:prSet/>
      <dgm:spPr/>
      <dgm:t>
        <a:bodyPr/>
        <a:lstStyle/>
        <a:p>
          <a:pPr algn="ctr"/>
          <a:endParaRPr lang="en-GB"/>
        </a:p>
      </dgm:t>
    </dgm:pt>
    <dgm:pt modelId="{9F029627-FEB1-4668-A8C4-9FFE414916F9}">
      <dgm:prSet/>
      <dgm:spPr/>
      <dgm:t>
        <a:bodyPr/>
        <a:lstStyle/>
        <a:p>
          <a:pPr algn="ctr">
            <a:buFont typeface="Calibri" panose="020F0502020204030204" pitchFamily="34" charset="0"/>
            <a:buChar char="-"/>
          </a:pPr>
          <a:r>
            <a:rPr lang="en-US"/>
            <a:t>Handover of Deed of Assignment upon Completion of Payment</a:t>
          </a:r>
          <a:endParaRPr lang="en-GB"/>
        </a:p>
      </dgm:t>
    </dgm:pt>
    <dgm:pt modelId="{9AE53610-2907-4CA5-8F72-7764BBE83601}" type="parTrans" cxnId="{39E2C2EB-FD02-4723-9622-AE8DD61FBC00}">
      <dgm:prSet/>
      <dgm:spPr/>
      <dgm:t>
        <a:bodyPr/>
        <a:lstStyle/>
        <a:p>
          <a:pPr algn="ctr"/>
          <a:endParaRPr lang="en-GB"/>
        </a:p>
      </dgm:t>
    </dgm:pt>
    <dgm:pt modelId="{A7AD7376-468A-4F71-B40E-129898FB20DB}" type="sibTrans" cxnId="{39E2C2EB-FD02-4723-9622-AE8DD61FBC00}">
      <dgm:prSet/>
      <dgm:spPr/>
      <dgm:t>
        <a:bodyPr/>
        <a:lstStyle/>
        <a:p>
          <a:pPr algn="ctr"/>
          <a:endParaRPr lang="en-GB"/>
        </a:p>
      </dgm:t>
    </dgm:pt>
    <dgm:pt modelId="{F0486A3C-8900-4750-985E-7543434DC9EB}" type="pres">
      <dgm:prSet presAssocID="{13555029-2A7C-4CD7-BD8D-FD61DAF5E585}" presName="Name0" presStyleCnt="0">
        <dgm:presLayoutVars>
          <dgm:dir/>
          <dgm:resizeHandles val="exact"/>
        </dgm:presLayoutVars>
      </dgm:prSet>
      <dgm:spPr/>
    </dgm:pt>
    <dgm:pt modelId="{2841044B-0F6F-4DC7-A651-7405B2E452F7}" type="pres">
      <dgm:prSet presAssocID="{F3E36778-89FC-43F8-8111-DBE6128410E9}" presName="node" presStyleLbl="node1" presStyleIdx="0" presStyleCnt="13" custScaleY="49186">
        <dgm:presLayoutVars>
          <dgm:bulletEnabled val="1"/>
        </dgm:presLayoutVars>
      </dgm:prSet>
      <dgm:spPr/>
    </dgm:pt>
    <dgm:pt modelId="{BD5D8753-FD0C-4BCC-AAA0-FE6B8675E1B8}" type="pres">
      <dgm:prSet presAssocID="{08F24DE7-9451-481D-8B67-0508407137BD}" presName="sibTrans" presStyleLbl="sibTrans1D1" presStyleIdx="0" presStyleCnt="12"/>
      <dgm:spPr/>
    </dgm:pt>
    <dgm:pt modelId="{15B4CD8A-6B0C-4D48-9AF7-579F0E6A06CB}" type="pres">
      <dgm:prSet presAssocID="{08F24DE7-9451-481D-8B67-0508407137BD}" presName="connectorText" presStyleLbl="sibTrans1D1" presStyleIdx="0" presStyleCnt="12"/>
      <dgm:spPr/>
    </dgm:pt>
    <dgm:pt modelId="{EF8046AB-06EF-4D3F-8FDC-640879C8BFAD}" type="pres">
      <dgm:prSet presAssocID="{D86A4732-8FC2-4CC1-ADEB-D40D1ECAAA91}" presName="node" presStyleLbl="node1" presStyleIdx="1" presStyleCnt="13" custScaleY="49186">
        <dgm:presLayoutVars>
          <dgm:bulletEnabled val="1"/>
        </dgm:presLayoutVars>
      </dgm:prSet>
      <dgm:spPr/>
    </dgm:pt>
    <dgm:pt modelId="{D8A79277-32C5-4AB2-A9D3-EC890333E9FC}" type="pres">
      <dgm:prSet presAssocID="{BE8D09CC-D574-4C52-A87E-9338629CD4F3}" presName="sibTrans" presStyleLbl="sibTrans1D1" presStyleIdx="1" presStyleCnt="12"/>
      <dgm:spPr/>
    </dgm:pt>
    <dgm:pt modelId="{93BD2460-C8A8-4A1B-B7BD-805A90C4DC77}" type="pres">
      <dgm:prSet presAssocID="{BE8D09CC-D574-4C52-A87E-9338629CD4F3}" presName="connectorText" presStyleLbl="sibTrans1D1" presStyleIdx="1" presStyleCnt="12"/>
      <dgm:spPr/>
    </dgm:pt>
    <dgm:pt modelId="{48F1C7A3-828D-4451-AB40-7E7213E4E669}" type="pres">
      <dgm:prSet presAssocID="{E2378AD5-5BEA-49E5-8556-2C283736399A}" presName="node" presStyleLbl="node1" presStyleIdx="2" presStyleCnt="13" custScaleY="54663">
        <dgm:presLayoutVars>
          <dgm:bulletEnabled val="1"/>
        </dgm:presLayoutVars>
      </dgm:prSet>
      <dgm:spPr/>
    </dgm:pt>
    <dgm:pt modelId="{4424E786-4A32-49DF-8C8D-9E7511E7E97D}" type="pres">
      <dgm:prSet presAssocID="{4D7DD7D9-D224-4BFF-B2A1-672FDFB806C4}" presName="sibTrans" presStyleLbl="sibTrans1D1" presStyleIdx="2" presStyleCnt="12"/>
      <dgm:spPr/>
    </dgm:pt>
    <dgm:pt modelId="{E84CC960-2635-40CB-BCA3-35F2495EF935}" type="pres">
      <dgm:prSet presAssocID="{4D7DD7D9-D224-4BFF-B2A1-672FDFB806C4}" presName="connectorText" presStyleLbl="sibTrans1D1" presStyleIdx="2" presStyleCnt="12"/>
      <dgm:spPr/>
    </dgm:pt>
    <dgm:pt modelId="{9BF70A82-61C0-4B71-9E61-31BF8BE32C3A}" type="pres">
      <dgm:prSet presAssocID="{AD4E41AF-50CD-407A-A0FD-ADEE2AE5860F}" presName="node" presStyleLbl="node1" presStyleIdx="3" presStyleCnt="13" custScaleY="46448">
        <dgm:presLayoutVars>
          <dgm:bulletEnabled val="1"/>
        </dgm:presLayoutVars>
      </dgm:prSet>
      <dgm:spPr/>
    </dgm:pt>
    <dgm:pt modelId="{AE3A6DCB-8775-48B1-AB46-98895FEB41BA}" type="pres">
      <dgm:prSet presAssocID="{C8584F43-F33C-463F-8679-FB205F62AF5B}" presName="sibTrans" presStyleLbl="sibTrans1D1" presStyleIdx="3" presStyleCnt="12"/>
      <dgm:spPr/>
    </dgm:pt>
    <dgm:pt modelId="{11F69AEA-7CF9-458D-985A-0A81B80993A4}" type="pres">
      <dgm:prSet presAssocID="{C8584F43-F33C-463F-8679-FB205F62AF5B}" presName="connectorText" presStyleLbl="sibTrans1D1" presStyleIdx="3" presStyleCnt="12"/>
      <dgm:spPr/>
    </dgm:pt>
    <dgm:pt modelId="{C6156878-4788-456F-A961-6CB839AC476B}" type="pres">
      <dgm:prSet presAssocID="{0830A4A3-D15F-48E8-8ED6-E78461B26EAF}" presName="node" presStyleLbl="node1" presStyleIdx="4" presStyleCnt="13" custScaleY="71267">
        <dgm:presLayoutVars>
          <dgm:bulletEnabled val="1"/>
        </dgm:presLayoutVars>
      </dgm:prSet>
      <dgm:spPr/>
    </dgm:pt>
    <dgm:pt modelId="{ADB8182B-2506-4E77-A465-BD8913EE040D}" type="pres">
      <dgm:prSet presAssocID="{1D1013F6-2E2A-4A08-BE25-9E9A81050392}" presName="sibTrans" presStyleLbl="sibTrans1D1" presStyleIdx="4" presStyleCnt="12"/>
      <dgm:spPr/>
    </dgm:pt>
    <dgm:pt modelId="{9287BE1B-4701-4AEF-B9D7-ADFF584412AC}" type="pres">
      <dgm:prSet presAssocID="{1D1013F6-2E2A-4A08-BE25-9E9A81050392}" presName="connectorText" presStyleLbl="sibTrans1D1" presStyleIdx="4" presStyleCnt="12"/>
      <dgm:spPr/>
    </dgm:pt>
    <dgm:pt modelId="{18A53E05-742E-4A0D-8D74-3564720D845B}" type="pres">
      <dgm:prSet presAssocID="{26203243-C6F3-4EFC-B484-57A8D3F66297}" presName="node" presStyleLbl="node1" presStyleIdx="5" presStyleCnt="13" custScaleY="71267">
        <dgm:presLayoutVars>
          <dgm:bulletEnabled val="1"/>
        </dgm:presLayoutVars>
      </dgm:prSet>
      <dgm:spPr/>
    </dgm:pt>
    <dgm:pt modelId="{0344A703-A4E0-4E03-A99A-9B69986CDA53}" type="pres">
      <dgm:prSet presAssocID="{83498DAE-DB6B-43CC-A022-0E4754C1FE0E}" presName="sibTrans" presStyleLbl="sibTrans1D1" presStyleIdx="5" presStyleCnt="12"/>
      <dgm:spPr/>
    </dgm:pt>
    <dgm:pt modelId="{673FADE2-EA7E-4FA6-A301-65FE7E9B0B6E}" type="pres">
      <dgm:prSet presAssocID="{83498DAE-DB6B-43CC-A022-0E4754C1FE0E}" presName="connectorText" presStyleLbl="sibTrans1D1" presStyleIdx="5" presStyleCnt="12"/>
      <dgm:spPr/>
    </dgm:pt>
    <dgm:pt modelId="{8EDE588D-4B2C-43AA-8C73-8BCDCEE4FA6D}" type="pres">
      <dgm:prSet presAssocID="{299999E9-2255-413B-9215-A97DB9F8A8F7}" presName="node" presStyleLbl="node1" presStyleIdx="6" presStyleCnt="13" custScaleY="71267">
        <dgm:presLayoutVars>
          <dgm:bulletEnabled val="1"/>
        </dgm:presLayoutVars>
      </dgm:prSet>
      <dgm:spPr/>
    </dgm:pt>
    <dgm:pt modelId="{437F258E-AF0B-47FC-9105-302DD43E5947}" type="pres">
      <dgm:prSet presAssocID="{F91472F4-2DDB-476C-9A72-6E3E80AC254E}" presName="sibTrans" presStyleLbl="sibTrans1D1" presStyleIdx="6" presStyleCnt="12"/>
      <dgm:spPr/>
    </dgm:pt>
    <dgm:pt modelId="{668D902F-1236-4934-8A90-CE2FA48ED01F}" type="pres">
      <dgm:prSet presAssocID="{F91472F4-2DDB-476C-9A72-6E3E80AC254E}" presName="connectorText" presStyleLbl="sibTrans1D1" presStyleIdx="6" presStyleCnt="12"/>
      <dgm:spPr/>
    </dgm:pt>
    <dgm:pt modelId="{3D094731-6820-426C-A04C-02C87AABA20C}" type="pres">
      <dgm:prSet presAssocID="{AFED2B01-CB5F-4A7D-8F9D-209EEE12FA47}" presName="node" presStyleLbl="node1" presStyleIdx="7" presStyleCnt="13" custScaleY="68529">
        <dgm:presLayoutVars>
          <dgm:bulletEnabled val="1"/>
        </dgm:presLayoutVars>
      </dgm:prSet>
      <dgm:spPr/>
    </dgm:pt>
    <dgm:pt modelId="{BF164523-ED65-4A31-8815-B209D2842CD2}" type="pres">
      <dgm:prSet presAssocID="{34D51F87-9E7C-46B2-A572-B74CDAD4683E}" presName="sibTrans" presStyleLbl="sibTrans1D1" presStyleIdx="7" presStyleCnt="12"/>
      <dgm:spPr/>
    </dgm:pt>
    <dgm:pt modelId="{689CFAEF-4AF1-4AEA-B275-638AC67FE133}" type="pres">
      <dgm:prSet presAssocID="{34D51F87-9E7C-46B2-A572-B74CDAD4683E}" presName="connectorText" presStyleLbl="sibTrans1D1" presStyleIdx="7" presStyleCnt="12"/>
      <dgm:spPr/>
    </dgm:pt>
    <dgm:pt modelId="{A554F2F7-66DC-4877-B941-C13FCB06B215}" type="pres">
      <dgm:prSet presAssocID="{B7424AAB-3109-4B8D-898A-CF3A166DB3AC}" presName="node" presStyleLbl="node1" presStyleIdx="8" presStyleCnt="13" custScaleY="76633">
        <dgm:presLayoutVars>
          <dgm:bulletEnabled val="1"/>
        </dgm:presLayoutVars>
      </dgm:prSet>
      <dgm:spPr/>
    </dgm:pt>
    <dgm:pt modelId="{F11D824B-785A-40EC-A12D-6E0E977B4981}" type="pres">
      <dgm:prSet presAssocID="{D53674F0-D16A-4318-8391-42B8723B01A4}" presName="sibTrans" presStyleLbl="sibTrans1D1" presStyleIdx="8" presStyleCnt="12"/>
      <dgm:spPr/>
    </dgm:pt>
    <dgm:pt modelId="{D1F640A9-66B2-446A-B046-69E8E602D76B}" type="pres">
      <dgm:prSet presAssocID="{D53674F0-D16A-4318-8391-42B8723B01A4}" presName="connectorText" presStyleLbl="sibTrans1D1" presStyleIdx="8" presStyleCnt="12"/>
      <dgm:spPr/>
    </dgm:pt>
    <dgm:pt modelId="{075B0004-986B-405B-B68A-90875282F937}" type="pres">
      <dgm:prSet presAssocID="{0D17093C-38AD-42C8-948B-632ECA9A72B8}" presName="node" presStyleLbl="node1" presStyleIdx="9" presStyleCnt="13" custScaleY="71156">
        <dgm:presLayoutVars>
          <dgm:bulletEnabled val="1"/>
        </dgm:presLayoutVars>
      </dgm:prSet>
      <dgm:spPr/>
    </dgm:pt>
    <dgm:pt modelId="{5EBB1A9D-F0D4-4739-9133-A068F742EE54}" type="pres">
      <dgm:prSet presAssocID="{7C554B0B-3DB7-448D-BF0F-1D17B046D39F}" presName="sibTrans" presStyleLbl="sibTrans1D1" presStyleIdx="9" presStyleCnt="12"/>
      <dgm:spPr/>
    </dgm:pt>
    <dgm:pt modelId="{8BA0F220-D935-4CD7-8AF3-F2AA486BE7EE}" type="pres">
      <dgm:prSet presAssocID="{7C554B0B-3DB7-448D-BF0F-1D17B046D39F}" presName="connectorText" presStyleLbl="sibTrans1D1" presStyleIdx="9" presStyleCnt="12"/>
      <dgm:spPr/>
    </dgm:pt>
    <dgm:pt modelId="{D8598088-70F1-4847-844F-7795054E80FA}" type="pres">
      <dgm:prSet presAssocID="{1A8B8DD6-4A84-45C5-8E9A-E79A2595BA5C}" presName="node" presStyleLbl="node1" presStyleIdx="10" presStyleCnt="13" custScaleY="71156">
        <dgm:presLayoutVars>
          <dgm:bulletEnabled val="1"/>
        </dgm:presLayoutVars>
      </dgm:prSet>
      <dgm:spPr/>
    </dgm:pt>
    <dgm:pt modelId="{45C2C970-6D8C-47D0-9A04-5035EBE04F9E}" type="pres">
      <dgm:prSet presAssocID="{36EF18E2-927D-47C0-BCE0-619B5E077B4C}" presName="sibTrans" presStyleLbl="sibTrans1D1" presStyleIdx="10" presStyleCnt="12"/>
      <dgm:spPr/>
    </dgm:pt>
    <dgm:pt modelId="{E3FAADE9-452C-42EC-BBE3-06BA4C730CD7}" type="pres">
      <dgm:prSet presAssocID="{36EF18E2-927D-47C0-BCE0-619B5E077B4C}" presName="connectorText" presStyleLbl="sibTrans1D1" presStyleIdx="10" presStyleCnt="12"/>
      <dgm:spPr/>
    </dgm:pt>
    <dgm:pt modelId="{C60CC4F7-7022-4507-8E10-38C4703ADEBB}" type="pres">
      <dgm:prSet presAssocID="{EB79E2F2-DF40-4CFA-982F-E95D1061863F}" presName="node" presStyleLbl="node1" presStyleIdx="11" presStyleCnt="13" custScaleY="70566">
        <dgm:presLayoutVars>
          <dgm:bulletEnabled val="1"/>
        </dgm:presLayoutVars>
      </dgm:prSet>
      <dgm:spPr/>
    </dgm:pt>
    <dgm:pt modelId="{D274FA50-0D2D-4F63-8134-A24549CBA398}" type="pres">
      <dgm:prSet presAssocID="{CB1EB4FB-283F-4A69-B5E8-8E2404BAAEBC}" presName="sibTrans" presStyleLbl="sibTrans1D1" presStyleIdx="11" presStyleCnt="12"/>
      <dgm:spPr/>
    </dgm:pt>
    <dgm:pt modelId="{78001690-D48D-48DD-908A-7D1C8AB83492}" type="pres">
      <dgm:prSet presAssocID="{CB1EB4FB-283F-4A69-B5E8-8E2404BAAEBC}" presName="connectorText" presStyleLbl="sibTrans1D1" presStyleIdx="11" presStyleCnt="12"/>
      <dgm:spPr/>
    </dgm:pt>
    <dgm:pt modelId="{D23F5394-BF4D-4625-B791-A3F84973463A}" type="pres">
      <dgm:prSet presAssocID="{9F029627-FEB1-4668-A8C4-9FFE414916F9}" presName="node" presStyleLbl="node1" presStyleIdx="12" presStyleCnt="13" custScaleX="132858" custScaleY="82050">
        <dgm:presLayoutVars>
          <dgm:bulletEnabled val="1"/>
        </dgm:presLayoutVars>
      </dgm:prSet>
      <dgm:spPr/>
    </dgm:pt>
  </dgm:ptLst>
  <dgm:cxnLst>
    <dgm:cxn modelId="{A0D04802-2B10-4EE5-8CAD-1127FA2F2A8D}" srcId="{13555029-2A7C-4CD7-BD8D-FD61DAF5E585}" destId="{EB79E2F2-DF40-4CFA-982F-E95D1061863F}" srcOrd="11" destOrd="0" parTransId="{F964F58C-2E95-4F22-BE72-4A31891A10E1}" sibTransId="{CB1EB4FB-283F-4A69-B5E8-8E2404BAAEBC}"/>
    <dgm:cxn modelId="{F1C3120A-7D00-43D3-806B-28518B79DCA7}" type="presOf" srcId="{34D51F87-9E7C-46B2-A572-B74CDAD4683E}" destId="{BF164523-ED65-4A31-8815-B209D2842CD2}" srcOrd="0" destOrd="0" presId="urn:microsoft.com/office/officeart/2005/8/layout/bProcess3"/>
    <dgm:cxn modelId="{60E6D116-7E94-43B6-AB9A-5C4F495C4E07}" type="presOf" srcId="{7C554B0B-3DB7-448D-BF0F-1D17B046D39F}" destId="{5EBB1A9D-F0D4-4739-9133-A068F742EE54}" srcOrd="0" destOrd="0" presId="urn:microsoft.com/office/officeart/2005/8/layout/bProcess3"/>
    <dgm:cxn modelId="{3F9CEA1C-11EC-49C3-9640-3A90F5364093}" type="presOf" srcId="{9F029627-FEB1-4668-A8C4-9FFE414916F9}" destId="{D23F5394-BF4D-4625-B791-A3F84973463A}" srcOrd="0" destOrd="0" presId="urn:microsoft.com/office/officeart/2005/8/layout/bProcess3"/>
    <dgm:cxn modelId="{A5EA961F-359A-416E-8778-6D95189665F5}" type="presOf" srcId="{1D1013F6-2E2A-4A08-BE25-9E9A81050392}" destId="{9287BE1B-4701-4AEF-B9D7-ADFF584412AC}" srcOrd="1" destOrd="0" presId="urn:microsoft.com/office/officeart/2005/8/layout/bProcess3"/>
    <dgm:cxn modelId="{7E792620-346E-4CE0-A1DB-C6009B097FA7}" srcId="{13555029-2A7C-4CD7-BD8D-FD61DAF5E585}" destId="{0D17093C-38AD-42C8-948B-632ECA9A72B8}" srcOrd="9" destOrd="0" parTransId="{E5A7038F-5684-4673-B502-9EB9320BBD31}" sibTransId="{7C554B0B-3DB7-448D-BF0F-1D17B046D39F}"/>
    <dgm:cxn modelId="{1DA04727-01B9-499A-BEA4-A298BC74E428}" type="presOf" srcId="{C8584F43-F33C-463F-8679-FB205F62AF5B}" destId="{11F69AEA-7CF9-458D-985A-0A81B80993A4}" srcOrd="1" destOrd="0" presId="urn:microsoft.com/office/officeart/2005/8/layout/bProcess3"/>
    <dgm:cxn modelId="{4FD6DB31-0EE0-4F9C-A950-71EFF4C1B2AC}" type="presOf" srcId="{83498DAE-DB6B-43CC-A022-0E4754C1FE0E}" destId="{0344A703-A4E0-4E03-A99A-9B69986CDA53}" srcOrd="0" destOrd="0" presId="urn:microsoft.com/office/officeart/2005/8/layout/bProcess3"/>
    <dgm:cxn modelId="{F636DB32-BA75-44F3-843D-E08F5D9B9EDE}" type="presOf" srcId="{1D1013F6-2E2A-4A08-BE25-9E9A81050392}" destId="{ADB8182B-2506-4E77-A465-BD8913EE040D}" srcOrd="0" destOrd="0" presId="urn:microsoft.com/office/officeart/2005/8/layout/bProcess3"/>
    <dgm:cxn modelId="{342EBB3C-EC83-4FB0-8992-8FC49E0ADFEE}" type="presOf" srcId="{299999E9-2255-413B-9215-A97DB9F8A8F7}" destId="{8EDE588D-4B2C-43AA-8C73-8BCDCEE4FA6D}" srcOrd="0" destOrd="0" presId="urn:microsoft.com/office/officeart/2005/8/layout/bProcess3"/>
    <dgm:cxn modelId="{D192D240-87D7-4968-95FB-EAF0D23C11BD}" srcId="{13555029-2A7C-4CD7-BD8D-FD61DAF5E585}" destId="{D86A4732-8FC2-4CC1-ADEB-D40D1ECAAA91}" srcOrd="1" destOrd="0" parTransId="{370BDA79-C33C-484B-B8EB-62AF608CD36E}" sibTransId="{BE8D09CC-D574-4C52-A87E-9338629CD4F3}"/>
    <dgm:cxn modelId="{AAE1CA5E-D4BB-438B-B8F8-6D423080CA43}" type="presOf" srcId="{7C554B0B-3DB7-448D-BF0F-1D17B046D39F}" destId="{8BA0F220-D935-4CD7-8AF3-F2AA486BE7EE}" srcOrd="1" destOrd="0" presId="urn:microsoft.com/office/officeart/2005/8/layout/bProcess3"/>
    <dgm:cxn modelId="{695FD560-EDEA-4893-9A79-42F88ABD6395}" srcId="{13555029-2A7C-4CD7-BD8D-FD61DAF5E585}" destId="{1A8B8DD6-4A84-45C5-8E9A-E79A2595BA5C}" srcOrd="10" destOrd="0" parTransId="{BD0F6BA8-820B-46F4-8841-DDCFCC7EF88F}" sibTransId="{36EF18E2-927D-47C0-BCE0-619B5E077B4C}"/>
    <dgm:cxn modelId="{EC775F62-2FF6-4ECD-8260-227954DAD8C6}" type="presOf" srcId="{F91472F4-2DDB-476C-9A72-6E3E80AC254E}" destId="{668D902F-1236-4934-8A90-CE2FA48ED01F}" srcOrd="1" destOrd="0" presId="urn:microsoft.com/office/officeart/2005/8/layout/bProcess3"/>
    <dgm:cxn modelId="{AFC4144A-D61B-4F0A-88E3-64E74DC59019}" type="presOf" srcId="{0D17093C-38AD-42C8-948B-632ECA9A72B8}" destId="{075B0004-986B-405B-B68A-90875282F937}" srcOrd="0" destOrd="0" presId="urn:microsoft.com/office/officeart/2005/8/layout/bProcess3"/>
    <dgm:cxn modelId="{8BD9016B-07D8-4F69-8280-0E4F2B2BD859}" type="presOf" srcId="{36EF18E2-927D-47C0-BCE0-619B5E077B4C}" destId="{E3FAADE9-452C-42EC-BBE3-06BA4C730CD7}" srcOrd="1" destOrd="0" presId="urn:microsoft.com/office/officeart/2005/8/layout/bProcess3"/>
    <dgm:cxn modelId="{52E0626B-D3BE-4E96-956C-FD68161E34A8}" type="presOf" srcId="{1A8B8DD6-4A84-45C5-8E9A-E79A2595BA5C}" destId="{D8598088-70F1-4847-844F-7795054E80FA}" srcOrd="0" destOrd="0" presId="urn:microsoft.com/office/officeart/2005/8/layout/bProcess3"/>
    <dgm:cxn modelId="{4A5D106C-2BEE-4EB1-9230-A9BBCEB5E4E4}" srcId="{13555029-2A7C-4CD7-BD8D-FD61DAF5E585}" destId="{26203243-C6F3-4EFC-B484-57A8D3F66297}" srcOrd="5" destOrd="0" parTransId="{32BD9242-46FC-44C8-914D-C7F633F5DA66}" sibTransId="{83498DAE-DB6B-43CC-A022-0E4754C1FE0E}"/>
    <dgm:cxn modelId="{D32A0E77-B1B9-491F-975C-339C5CAA6B18}" srcId="{13555029-2A7C-4CD7-BD8D-FD61DAF5E585}" destId="{B7424AAB-3109-4B8D-898A-CF3A166DB3AC}" srcOrd="8" destOrd="0" parTransId="{BA0B4479-F3FE-464C-A36B-62EC31621575}" sibTransId="{D53674F0-D16A-4318-8391-42B8723B01A4}"/>
    <dgm:cxn modelId="{B324AB77-13D7-456D-9584-3B9FDCDFE87A}" type="presOf" srcId="{36EF18E2-927D-47C0-BCE0-619B5E077B4C}" destId="{45C2C970-6D8C-47D0-9A04-5035EBE04F9E}" srcOrd="0" destOrd="0" presId="urn:microsoft.com/office/officeart/2005/8/layout/bProcess3"/>
    <dgm:cxn modelId="{B23D917C-4E2A-4B79-BE42-965AE27FC687}" type="presOf" srcId="{4D7DD7D9-D224-4BFF-B2A1-672FDFB806C4}" destId="{E84CC960-2635-40CB-BCA3-35F2495EF935}" srcOrd="1" destOrd="0" presId="urn:microsoft.com/office/officeart/2005/8/layout/bProcess3"/>
    <dgm:cxn modelId="{9CD6417E-6C0D-47FA-A80E-0647246B7F6C}" type="presOf" srcId="{E2378AD5-5BEA-49E5-8556-2C283736399A}" destId="{48F1C7A3-828D-4451-AB40-7E7213E4E669}" srcOrd="0" destOrd="0" presId="urn:microsoft.com/office/officeart/2005/8/layout/bProcess3"/>
    <dgm:cxn modelId="{AB5E5F85-8957-4AC7-B940-408307E8A7DF}" type="presOf" srcId="{D53674F0-D16A-4318-8391-42B8723B01A4}" destId="{D1F640A9-66B2-446A-B046-69E8E602D76B}" srcOrd="1" destOrd="0" presId="urn:microsoft.com/office/officeart/2005/8/layout/bProcess3"/>
    <dgm:cxn modelId="{A5053786-7AF8-4577-AAB4-044C701AFAD9}" type="presOf" srcId="{B7424AAB-3109-4B8D-898A-CF3A166DB3AC}" destId="{A554F2F7-66DC-4877-B941-C13FCB06B215}" srcOrd="0" destOrd="0" presId="urn:microsoft.com/office/officeart/2005/8/layout/bProcess3"/>
    <dgm:cxn modelId="{FBF2FC88-2ADC-4981-AB69-74A36F2A2C6F}" type="presOf" srcId="{08F24DE7-9451-481D-8B67-0508407137BD}" destId="{BD5D8753-FD0C-4BCC-AAA0-FE6B8675E1B8}" srcOrd="0" destOrd="0" presId="urn:microsoft.com/office/officeart/2005/8/layout/bProcess3"/>
    <dgm:cxn modelId="{D6BB608F-B3DC-4FBA-914D-5C733EFDC863}" type="presOf" srcId="{0830A4A3-D15F-48E8-8ED6-E78461B26EAF}" destId="{C6156878-4788-456F-A961-6CB839AC476B}" srcOrd="0" destOrd="0" presId="urn:microsoft.com/office/officeart/2005/8/layout/bProcess3"/>
    <dgm:cxn modelId="{8DA2A18F-55AE-4DF5-A4B4-DC8F1E77796E}" type="presOf" srcId="{BE8D09CC-D574-4C52-A87E-9338629CD4F3}" destId="{D8A79277-32C5-4AB2-A9D3-EC890333E9FC}" srcOrd="0" destOrd="0" presId="urn:microsoft.com/office/officeart/2005/8/layout/bProcess3"/>
    <dgm:cxn modelId="{04D3E291-05F6-4FA8-98B8-EF02CBDED0B7}" srcId="{13555029-2A7C-4CD7-BD8D-FD61DAF5E585}" destId="{0830A4A3-D15F-48E8-8ED6-E78461B26EAF}" srcOrd="4" destOrd="0" parTransId="{B2B29B9B-8F28-4859-8D0B-B58A8EB38B89}" sibTransId="{1D1013F6-2E2A-4A08-BE25-9E9A81050392}"/>
    <dgm:cxn modelId="{B07E1D92-BE7F-4138-9C0F-6972A81EB787}" type="presOf" srcId="{AD4E41AF-50CD-407A-A0FD-ADEE2AE5860F}" destId="{9BF70A82-61C0-4B71-9E61-31BF8BE32C3A}" srcOrd="0" destOrd="0" presId="urn:microsoft.com/office/officeart/2005/8/layout/bProcess3"/>
    <dgm:cxn modelId="{473407A5-5A47-4434-9A74-4910D8A4A44C}" type="presOf" srcId="{AFED2B01-CB5F-4A7D-8F9D-209EEE12FA47}" destId="{3D094731-6820-426C-A04C-02C87AABA20C}" srcOrd="0" destOrd="0" presId="urn:microsoft.com/office/officeart/2005/8/layout/bProcess3"/>
    <dgm:cxn modelId="{AF9F0CA7-AAB4-431F-82E1-21483D02ADA4}" type="presOf" srcId="{F91472F4-2DDB-476C-9A72-6E3E80AC254E}" destId="{437F258E-AF0B-47FC-9105-302DD43E5947}" srcOrd="0" destOrd="0" presId="urn:microsoft.com/office/officeart/2005/8/layout/bProcess3"/>
    <dgm:cxn modelId="{F168FBAB-F433-41CD-B7FE-26F18BBEFC09}" type="presOf" srcId="{C8584F43-F33C-463F-8679-FB205F62AF5B}" destId="{AE3A6DCB-8775-48B1-AB46-98895FEB41BA}" srcOrd="0" destOrd="0" presId="urn:microsoft.com/office/officeart/2005/8/layout/bProcess3"/>
    <dgm:cxn modelId="{DB3628BA-9413-4120-902C-209430B00256}" srcId="{13555029-2A7C-4CD7-BD8D-FD61DAF5E585}" destId="{AFED2B01-CB5F-4A7D-8F9D-209EEE12FA47}" srcOrd="7" destOrd="0" parTransId="{215C3571-9ED0-49EE-A4FA-FEBCA255C8C5}" sibTransId="{34D51F87-9E7C-46B2-A572-B74CDAD4683E}"/>
    <dgm:cxn modelId="{1E8D33BA-FDCD-4625-A036-BD59C3753FB0}" type="presOf" srcId="{08F24DE7-9451-481D-8B67-0508407137BD}" destId="{15B4CD8A-6B0C-4D48-9AF7-579F0E6A06CB}" srcOrd="1" destOrd="0" presId="urn:microsoft.com/office/officeart/2005/8/layout/bProcess3"/>
    <dgm:cxn modelId="{625394C1-2F46-493A-AC38-782DB51F62A2}" type="presOf" srcId="{13555029-2A7C-4CD7-BD8D-FD61DAF5E585}" destId="{F0486A3C-8900-4750-985E-7543434DC9EB}" srcOrd="0" destOrd="0" presId="urn:microsoft.com/office/officeart/2005/8/layout/bProcess3"/>
    <dgm:cxn modelId="{CEB7DDC4-ACC5-4CB8-B8AA-EB1E877E9AF9}" type="presOf" srcId="{34D51F87-9E7C-46B2-A572-B74CDAD4683E}" destId="{689CFAEF-4AF1-4AEA-B275-638AC67FE133}" srcOrd="1" destOrd="0" presId="urn:microsoft.com/office/officeart/2005/8/layout/bProcess3"/>
    <dgm:cxn modelId="{00B702C9-505E-44AD-9441-8BCBF0E05701}" type="presOf" srcId="{D86A4732-8FC2-4CC1-ADEB-D40D1ECAAA91}" destId="{EF8046AB-06EF-4D3F-8FDC-640879C8BFAD}" srcOrd="0" destOrd="0" presId="urn:microsoft.com/office/officeart/2005/8/layout/bProcess3"/>
    <dgm:cxn modelId="{3652B6CC-2CEA-4962-9656-D8AAF9911F08}" srcId="{13555029-2A7C-4CD7-BD8D-FD61DAF5E585}" destId="{E2378AD5-5BEA-49E5-8556-2C283736399A}" srcOrd="2" destOrd="0" parTransId="{47A9EC7C-E322-43AC-8B5C-AA3B5EBDBF39}" sibTransId="{4D7DD7D9-D224-4BFF-B2A1-672FDFB806C4}"/>
    <dgm:cxn modelId="{8716B5CE-585B-404C-8369-4A70CBBEDBFA}" type="presOf" srcId="{F3E36778-89FC-43F8-8111-DBE6128410E9}" destId="{2841044B-0F6F-4DC7-A651-7405B2E452F7}" srcOrd="0" destOrd="0" presId="urn:microsoft.com/office/officeart/2005/8/layout/bProcess3"/>
    <dgm:cxn modelId="{399BABD2-D54B-4E5C-A6AA-F537415A4B6E}" type="presOf" srcId="{4D7DD7D9-D224-4BFF-B2A1-672FDFB806C4}" destId="{4424E786-4A32-49DF-8C8D-9E7511E7E97D}" srcOrd="0" destOrd="0" presId="urn:microsoft.com/office/officeart/2005/8/layout/bProcess3"/>
    <dgm:cxn modelId="{30FDDDD2-FDAB-410E-B2F6-B4995F7983C9}" type="presOf" srcId="{D53674F0-D16A-4318-8391-42B8723B01A4}" destId="{F11D824B-785A-40EC-A12D-6E0E977B4981}" srcOrd="0" destOrd="0" presId="urn:microsoft.com/office/officeart/2005/8/layout/bProcess3"/>
    <dgm:cxn modelId="{CF560DD3-3A9D-4C2F-8363-EBA78A1BDAAF}" type="presOf" srcId="{CB1EB4FB-283F-4A69-B5E8-8E2404BAAEBC}" destId="{D274FA50-0D2D-4F63-8134-A24549CBA398}" srcOrd="0" destOrd="0" presId="urn:microsoft.com/office/officeart/2005/8/layout/bProcess3"/>
    <dgm:cxn modelId="{07A0B7D5-5018-4E20-AA59-780B56799008}" type="presOf" srcId="{EB79E2F2-DF40-4CFA-982F-E95D1061863F}" destId="{C60CC4F7-7022-4507-8E10-38C4703ADEBB}" srcOrd="0" destOrd="0" presId="urn:microsoft.com/office/officeart/2005/8/layout/bProcess3"/>
    <dgm:cxn modelId="{B78BB9D8-FDD0-4A48-AFFE-82412A889F77}" srcId="{13555029-2A7C-4CD7-BD8D-FD61DAF5E585}" destId="{F3E36778-89FC-43F8-8111-DBE6128410E9}" srcOrd="0" destOrd="0" parTransId="{9144DFCF-56F1-47AC-9E9F-465D9290F053}" sibTransId="{08F24DE7-9451-481D-8B67-0508407137BD}"/>
    <dgm:cxn modelId="{3607D1D9-12C7-4AB1-95C4-A855399DE570}" srcId="{13555029-2A7C-4CD7-BD8D-FD61DAF5E585}" destId="{AD4E41AF-50CD-407A-A0FD-ADEE2AE5860F}" srcOrd="3" destOrd="0" parTransId="{F19FF832-BEFA-43A4-B9AB-E02E9290CE34}" sibTransId="{C8584F43-F33C-463F-8679-FB205F62AF5B}"/>
    <dgm:cxn modelId="{39E2C2EB-FD02-4723-9622-AE8DD61FBC00}" srcId="{13555029-2A7C-4CD7-BD8D-FD61DAF5E585}" destId="{9F029627-FEB1-4668-A8C4-9FFE414916F9}" srcOrd="12" destOrd="0" parTransId="{9AE53610-2907-4CA5-8F72-7764BBE83601}" sibTransId="{A7AD7376-468A-4F71-B40E-129898FB20DB}"/>
    <dgm:cxn modelId="{CEDD0AF1-6B33-4585-81A9-E84699906277}" type="presOf" srcId="{CB1EB4FB-283F-4A69-B5E8-8E2404BAAEBC}" destId="{78001690-D48D-48DD-908A-7D1C8AB83492}" srcOrd="1" destOrd="0" presId="urn:microsoft.com/office/officeart/2005/8/layout/bProcess3"/>
    <dgm:cxn modelId="{85F2C8FA-48ED-4BE7-984F-2B97F8983845}" type="presOf" srcId="{BE8D09CC-D574-4C52-A87E-9338629CD4F3}" destId="{93BD2460-C8A8-4A1B-B7BD-805A90C4DC77}" srcOrd="1" destOrd="0" presId="urn:microsoft.com/office/officeart/2005/8/layout/bProcess3"/>
    <dgm:cxn modelId="{4D2243FC-0725-47B7-B373-399EB1C58BD4}" srcId="{13555029-2A7C-4CD7-BD8D-FD61DAF5E585}" destId="{299999E9-2255-413B-9215-A97DB9F8A8F7}" srcOrd="6" destOrd="0" parTransId="{16E48851-01AF-45C3-A554-D5013B6C211D}" sibTransId="{F91472F4-2DDB-476C-9A72-6E3E80AC254E}"/>
    <dgm:cxn modelId="{EC846AFD-92EC-4920-9CB7-F0734BFE3FD8}" type="presOf" srcId="{83498DAE-DB6B-43CC-A022-0E4754C1FE0E}" destId="{673FADE2-EA7E-4FA6-A301-65FE7E9B0B6E}" srcOrd="1" destOrd="0" presId="urn:microsoft.com/office/officeart/2005/8/layout/bProcess3"/>
    <dgm:cxn modelId="{444B27FF-AFE0-4218-B56A-6A1EFBC57EBC}" type="presOf" srcId="{26203243-C6F3-4EFC-B484-57A8D3F66297}" destId="{18A53E05-742E-4A0D-8D74-3564720D845B}" srcOrd="0" destOrd="0" presId="urn:microsoft.com/office/officeart/2005/8/layout/bProcess3"/>
    <dgm:cxn modelId="{9E08197A-2FD5-4D6D-B30D-06DA46585E16}" type="presParOf" srcId="{F0486A3C-8900-4750-985E-7543434DC9EB}" destId="{2841044B-0F6F-4DC7-A651-7405B2E452F7}" srcOrd="0" destOrd="0" presId="urn:microsoft.com/office/officeart/2005/8/layout/bProcess3"/>
    <dgm:cxn modelId="{BDB91C32-069A-4FD8-B33A-F1AF8F32D271}" type="presParOf" srcId="{F0486A3C-8900-4750-985E-7543434DC9EB}" destId="{BD5D8753-FD0C-4BCC-AAA0-FE6B8675E1B8}" srcOrd="1" destOrd="0" presId="urn:microsoft.com/office/officeart/2005/8/layout/bProcess3"/>
    <dgm:cxn modelId="{709A0B0F-998E-4F65-B6A3-76796F1D30D0}" type="presParOf" srcId="{BD5D8753-FD0C-4BCC-AAA0-FE6B8675E1B8}" destId="{15B4CD8A-6B0C-4D48-9AF7-579F0E6A06CB}" srcOrd="0" destOrd="0" presId="urn:microsoft.com/office/officeart/2005/8/layout/bProcess3"/>
    <dgm:cxn modelId="{3030B2D6-B9AA-4BD3-90A8-04B6CFE0BC85}" type="presParOf" srcId="{F0486A3C-8900-4750-985E-7543434DC9EB}" destId="{EF8046AB-06EF-4D3F-8FDC-640879C8BFAD}" srcOrd="2" destOrd="0" presId="urn:microsoft.com/office/officeart/2005/8/layout/bProcess3"/>
    <dgm:cxn modelId="{7172A94C-1825-4E97-805A-39474DE31C12}" type="presParOf" srcId="{F0486A3C-8900-4750-985E-7543434DC9EB}" destId="{D8A79277-32C5-4AB2-A9D3-EC890333E9FC}" srcOrd="3" destOrd="0" presId="urn:microsoft.com/office/officeart/2005/8/layout/bProcess3"/>
    <dgm:cxn modelId="{CB3CB65B-A265-4F02-AC2B-DD8C5FF6C376}" type="presParOf" srcId="{D8A79277-32C5-4AB2-A9D3-EC890333E9FC}" destId="{93BD2460-C8A8-4A1B-B7BD-805A90C4DC77}" srcOrd="0" destOrd="0" presId="urn:microsoft.com/office/officeart/2005/8/layout/bProcess3"/>
    <dgm:cxn modelId="{2D92A144-EEFD-4EF0-B40A-90484C149B5E}" type="presParOf" srcId="{F0486A3C-8900-4750-985E-7543434DC9EB}" destId="{48F1C7A3-828D-4451-AB40-7E7213E4E669}" srcOrd="4" destOrd="0" presId="urn:microsoft.com/office/officeart/2005/8/layout/bProcess3"/>
    <dgm:cxn modelId="{95F039AB-2A2B-43C8-977D-02FB737B48BF}" type="presParOf" srcId="{F0486A3C-8900-4750-985E-7543434DC9EB}" destId="{4424E786-4A32-49DF-8C8D-9E7511E7E97D}" srcOrd="5" destOrd="0" presId="urn:microsoft.com/office/officeart/2005/8/layout/bProcess3"/>
    <dgm:cxn modelId="{5F2FC950-10F9-4548-90D5-125307E1C00C}" type="presParOf" srcId="{4424E786-4A32-49DF-8C8D-9E7511E7E97D}" destId="{E84CC960-2635-40CB-BCA3-35F2495EF935}" srcOrd="0" destOrd="0" presId="urn:microsoft.com/office/officeart/2005/8/layout/bProcess3"/>
    <dgm:cxn modelId="{237C1329-4BEC-4AC8-A555-2E8B70A11C62}" type="presParOf" srcId="{F0486A3C-8900-4750-985E-7543434DC9EB}" destId="{9BF70A82-61C0-4B71-9E61-31BF8BE32C3A}" srcOrd="6" destOrd="0" presId="urn:microsoft.com/office/officeart/2005/8/layout/bProcess3"/>
    <dgm:cxn modelId="{9B87B7F8-AE4A-41E1-B64D-4031EC5E7F7C}" type="presParOf" srcId="{F0486A3C-8900-4750-985E-7543434DC9EB}" destId="{AE3A6DCB-8775-48B1-AB46-98895FEB41BA}" srcOrd="7" destOrd="0" presId="urn:microsoft.com/office/officeart/2005/8/layout/bProcess3"/>
    <dgm:cxn modelId="{AE7570D6-63BC-4058-BBB5-3E6D1CC7236A}" type="presParOf" srcId="{AE3A6DCB-8775-48B1-AB46-98895FEB41BA}" destId="{11F69AEA-7CF9-458D-985A-0A81B80993A4}" srcOrd="0" destOrd="0" presId="urn:microsoft.com/office/officeart/2005/8/layout/bProcess3"/>
    <dgm:cxn modelId="{209B441F-D836-4DC8-A1D7-67390601AFA2}" type="presParOf" srcId="{F0486A3C-8900-4750-985E-7543434DC9EB}" destId="{C6156878-4788-456F-A961-6CB839AC476B}" srcOrd="8" destOrd="0" presId="urn:microsoft.com/office/officeart/2005/8/layout/bProcess3"/>
    <dgm:cxn modelId="{EEC6585B-E7D5-4709-925D-2786CA35DF62}" type="presParOf" srcId="{F0486A3C-8900-4750-985E-7543434DC9EB}" destId="{ADB8182B-2506-4E77-A465-BD8913EE040D}" srcOrd="9" destOrd="0" presId="urn:microsoft.com/office/officeart/2005/8/layout/bProcess3"/>
    <dgm:cxn modelId="{7DB98FFB-2D35-4155-80DD-CADE0B513599}" type="presParOf" srcId="{ADB8182B-2506-4E77-A465-BD8913EE040D}" destId="{9287BE1B-4701-4AEF-B9D7-ADFF584412AC}" srcOrd="0" destOrd="0" presId="urn:microsoft.com/office/officeart/2005/8/layout/bProcess3"/>
    <dgm:cxn modelId="{7A7EA69D-D231-4A35-9D7B-4681995BF970}" type="presParOf" srcId="{F0486A3C-8900-4750-985E-7543434DC9EB}" destId="{18A53E05-742E-4A0D-8D74-3564720D845B}" srcOrd="10" destOrd="0" presId="urn:microsoft.com/office/officeart/2005/8/layout/bProcess3"/>
    <dgm:cxn modelId="{90E23881-914E-4B3F-872B-49B5C5798E8F}" type="presParOf" srcId="{F0486A3C-8900-4750-985E-7543434DC9EB}" destId="{0344A703-A4E0-4E03-A99A-9B69986CDA53}" srcOrd="11" destOrd="0" presId="urn:microsoft.com/office/officeart/2005/8/layout/bProcess3"/>
    <dgm:cxn modelId="{B7B05BD0-1FD1-445D-8126-6A0A6FF86C00}" type="presParOf" srcId="{0344A703-A4E0-4E03-A99A-9B69986CDA53}" destId="{673FADE2-EA7E-4FA6-A301-65FE7E9B0B6E}" srcOrd="0" destOrd="0" presId="urn:microsoft.com/office/officeart/2005/8/layout/bProcess3"/>
    <dgm:cxn modelId="{0AFCD477-5B74-4DD5-9563-D6DECAEE676F}" type="presParOf" srcId="{F0486A3C-8900-4750-985E-7543434DC9EB}" destId="{8EDE588D-4B2C-43AA-8C73-8BCDCEE4FA6D}" srcOrd="12" destOrd="0" presId="urn:microsoft.com/office/officeart/2005/8/layout/bProcess3"/>
    <dgm:cxn modelId="{13EBE8FC-9FD4-4103-A3B5-45F4751CE3FE}" type="presParOf" srcId="{F0486A3C-8900-4750-985E-7543434DC9EB}" destId="{437F258E-AF0B-47FC-9105-302DD43E5947}" srcOrd="13" destOrd="0" presId="urn:microsoft.com/office/officeart/2005/8/layout/bProcess3"/>
    <dgm:cxn modelId="{2AA9D4A0-11D8-493F-8D7E-5697E6BD101B}" type="presParOf" srcId="{437F258E-AF0B-47FC-9105-302DD43E5947}" destId="{668D902F-1236-4934-8A90-CE2FA48ED01F}" srcOrd="0" destOrd="0" presId="urn:microsoft.com/office/officeart/2005/8/layout/bProcess3"/>
    <dgm:cxn modelId="{2FA3A949-CC43-45D1-A00A-CB3CA3E83C31}" type="presParOf" srcId="{F0486A3C-8900-4750-985E-7543434DC9EB}" destId="{3D094731-6820-426C-A04C-02C87AABA20C}" srcOrd="14" destOrd="0" presId="urn:microsoft.com/office/officeart/2005/8/layout/bProcess3"/>
    <dgm:cxn modelId="{FF08E972-4FBE-4EFD-8CD9-501E6A0EC943}" type="presParOf" srcId="{F0486A3C-8900-4750-985E-7543434DC9EB}" destId="{BF164523-ED65-4A31-8815-B209D2842CD2}" srcOrd="15" destOrd="0" presId="urn:microsoft.com/office/officeart/2005/8/layout/bProcess3"/>
    <dgm:cxn modelId="{AA9C7208-2014-4207-87CA-E63C3044DA6E}" type="presParOf" srcId="{BF164523-ED65-4A31-8815-B209D2842CD2}" destId="{689CFAEF-4AF1-4AEA-B275-638AC67FE133}" srcOrd="0" destOrd="0" presId="urn:microsoft.com/office/officeart/2005/8/layout/bProcess3"/>
    <dgm:cxn modelId="{295C8877-3CB9-4767-88BE-A4C17F365FAC}" type="presParOf" srcId="{F0486A3C-8900-4750-985E-7543434DC9EB}" destId="{A554F2F7-66DC-4877-B941-C13FCB06B215}" srcOrd="16" destOrd="0" presId="urn:microsoft.com/office/officeart/2005/8/layout/bProcess3"/>
    <dgm:cxn modelId="{76846578-8A9B-4229-AA0A-4DF7C46362B5}" type="presParOf" srcId="{F0486A3C-8900-4750-985E-7543434DC9EB}" destId="{F11D824B-785A-40EC-A12D-6E0E977B4981}" srcOrd="17" destOrd="0" presId="urn:microsoft.com/office/officeart/2005/8/layout/bProcess3"/>
    <dgm:cxn modelId="{54BD8377-897E-4EA2-B58F-7AD4F4D81A5C}" type="presParOf" srcId="{F11D824B-785A-40EC-A12D-6E0E977B4981}" destId="{D1F640A9-66B2-446A-B046-69E8E602D76B}" srcOrd="0" destOrd="0" presId="urn:microsoft.com/office/officeart/2005/8/layout/bProcess3"/>
    <dgm:cxn modelId="{CFEB328C-BB58-4C2F-A952-F339CED9D4CC}" type="presParOf" srcId="{F0486A3C-8900-4750-985E-7543434DC9EB}" destId="{075B0004-986B-405B-B68A-90875282F937}" srcOrd="18" destOrd="0" presId="urn:microsoft.com/office/officeart/2005/8/layout/bProcess3"/>
    <dgm:cxn modelId="{E6EBB5BF-4356-4059-BED6-7DD5D295B54D}" type="presParOf" srcId="{F0486A3C-8900-4750-985E-7543434DC9EB}" destId="{5EBB1A9D-F0D4-4739-9133-A068F742EE54}" srcOrd="19" destOrd="0" presId="urn:microsoft.com/office/officeart/2005/8/layout/bProcess3"/>
    <dgm:cxn modelId="{3A8DE947-8B0E-4E7A-ADE7-F3D7ED1ECC17}" type="presParOf" srcId="{5EBB1A9D-F0D4-4739-9133-A068F742EE54}" destId="{8BA0F220-D935-4CD7-8AF3-F2AA486BE7EE}" srcOrd="0" destOrd="0" presId="urn:microsoft.com/office/officeart/2005/8/layout/bProcess3"/>
    <dgm:cxn modelId="{FBD281AF-4A11-434D-A75A-5388D3D17731}" type="presParOf" srcId="{F0486A3C-8900-4750-985E-7543434DC9EB}" destId="{D8598088-70F1-4847-844F-7795054E80FA}" srcOrd="20" destOrd="0" presId="urn:microsoft.com/office/officeart/2005/8/layout/bProcess3"/>
    <dgm:cxn modelId="{53B1E8E6-B880-4520-8875-135E38BF377B}" type="presParOf" srcId="{F0486A3C-8900-4750-985E-7543434DC9EB}" destId="{45C2C970-6D8C-47D0-9A04-5035EBE04F9E}" srcOrd="21" destOrd="0" presId="urn:microsoft.com/office/officeart/2005/8/layout/bProcess3"/>
    <dgm:cxn modelId="{6C502B56-1F74-444E-AEA4-3826AFA57AF5}" type="presParOf" srcId="{45C2C970-6D8C-47D0-9A04-5035EBE04F9E}" destId="{E3FAADE9-452C-42EC-BBE3-06BA4C730CD7}" srcOrd="0" destOrd="0" presId="urn:microsoft.com/office/officeart/2005/8/layout/bProcess3"/>
    <dgm:cxn modelId="{8A340616-E044-4FBA-A0B9-EF51BC6CEA66}" type="presParOf" srcId="{F0486A3C-8900-4750-985E-7543434DC9EB}" destId="{C60CC4F7-7022-4507-8E10-38C4703ADEBB}" srcOrd="22" destOrd="0" presId="urn:microsoft.com/office/officeart/2005/8/layout/bProcess3"/>
    <dgm:cxn modelId="{3AD89133-B381-4922-99D0-EAAEDB451249}" type="presParOf" srcId="{F0486A3C-8900-4750-985E-7543434DC9EB}" destId="{D274FA50-0D2D-4F63-8134-A24549CBA398}" srcOrd="23" destOrd="0" presId="urn:microsoft.com/office/officeart/2005/8/layout/bProcess3"/>
    <dgm:cxn modelId="{232CAC2C-2382-4053-8E0A-DCBFF657D75D}" type="presParOf" srcId="{D274FA50-0D2D-4F63-8134-A24549CBA398}" destId="{78001690-D48D-48DD-908A-7D1C8AB83492}" srcOrd="0" destOrd="0" presId="urn:microsoft.com/office/officeart/2005/8/layout/bProcess3"/>
    <dgm:cxn modelId="{399730DD-00CE-43FA-984B-63DD724DA5E5}" type="presParOf" srcId="{F0486A3C-8900-4750-985E-7543434DC9EB}" destId="{D23F5394-BF4D-4625-B791-A3F84973463A}" srcOrd="24" destOrd="0" presId="urn:microsoft.com/office/officeart/2005/8/layout/bProcess3"/>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E0DBA61-50A0-41B8-8D7C-A2A9CA0AB686}" type="doc">
      <dgm:prSet loTypeId="urn:microsoft.com/office/officeart/2005/8/layout/bProcess3" loCatId="process" qsTypeId="urn:microsoft.com/office/officeart/2005/8/quickstyle/simple1" qsCatId="simple" csTypeId="urn:microsoft.com/office/officeart/2005/8/colors/accent0_1" csCatId="mainScheme" phldr="1"/>
      <dgm:spPr/>
      <dgm:t>
        <a:bodyPr/>
        <a:lstStyle/>
        <a:p>
          <a:endParaRPr lang="en-GB"/>
        </a:p>
      </dgm:t>
    </dgm:pt>
    <dgm:pt modelId="{E1A0F8AC-CDA2-4EC8-B582-593029E60308}">
      <dgm:prSet phldrT="[Text]"/>
      <dgm:spPr/>
      <dgm:t>
        <a:bodyPr/>
        <a:lstStyle/>
        <a:p>
          <a:pPr>
            <a:buFont typeface="Calibri" panose="020F0502020204030204" pitchFamily="34" charset="0"/>
            <a:buChar char="-"/>
          </a:pPr>
          <a:r>
            <a:rPr lang="en-US"/>
            <a:t>Site Acquisition</a:t>
          </a:r>
          <a:endParaRPr lang="en-GB"/>
        </a:p>
      </dgm:t>
    </dgm:pt>
    <dgm:pt modelId="{531B4553-B8A4-4149-B4A1-C0877B0A2A19}" type="parTrans" cxnId="{6FC23DEA-448B-4B1D-8D58-A0AE12BDAA23}">
      <dgm:prSet/>
      <dgm:spPr/>
      <dgm:t>
        <a:bodyPr/>
        <a:lstStyle/>
        <a:p>
          <a:endParaRPr lang="en-GB"/>
        </a:p>
      </dgm:t>
    </dgm:pt>
    <dgm:pt modelId="{B96929F4-142B-4D71-9021-167B9396E561}" type="sibTrans" cxnId="{6FC23DEA-448B-4B1D-8D58-A0AE12BDAA23}">
      <dgm:prSet/>
      <dgm:spPr/>
      <dgm:t>
        <a:bodyPr/>
        <a:lstStyle/>
        <a:p>
          <a:endParaRPr lang="en-GB"/>
        </a:p>
      </dgm:t>
    </dgm:pt>
    <dgm:pt modelId="{7E39B74F-279D-43A0-A592-CEBD27EB7807}">
      <dgm:prSet phldrT="[Text]"/>
      <dgm:spPr/>
      <dgm:t>
        <a:bodyPr/>
        <a:lstStyle/>
        <a:p>
          <a:pPr>
            <a:buFont typeface="Calibri" panose="020F0502020204030204" pitchFamily="34" charset="0"/>
            <a:buChar char="-"/>
          </a:pPr>
          <a:r>
            <a:rPr lang="en-US"/>
            <a:t>Site Surveying</a:t>
          </a:r>
          <a:endParaRPr lang="en-GB"/>
        </a:p>
      </dgm:t>
    </dgm:pt>
    <dgm:pt modelId="{938AF6B4-3A41-4E7C-82EB-3DB3D18D4164}" type="parTrans" cxnId="{15F0A089-66FF-4EDE-A8B7-951ADAE2F32E}">
      <dgm:prSet/>
      <dgm:spPr/>
      <dgm:t>
        <a:bodyPr/>
        <a:lstStyle/>
        <a:p>
          <a:endParaRPr lang="en-GB"/>
        </a:p>
      </dgm:t>
    </dgm:pt>
    <dgm:pt modelId="{D2C19DD0-8CCA-4CFB-A43F-6EFAF1106DB8}" type="sibTrans" cxnId="{15F0A089-66FF-4EDE-A8B7-951ADAE2F32E}">
      <dgm:prSet/>
      <dgm:spPr/>
      <dgm:t>
        <a:bodyPr/>
        <a:lstStyle/>
        <a:p>
          <a:endParaRPr lang="en-GB"/>
        </a:p>
      </dgm:t>
    </dgm:pt>
    <dgm:pt modelId="{5D906663-2493-498A-A2E9-ECEF745FB5FF}">
      <dgm:prSet phldrT="[Text]"/>
      <dgm:spPr/>
      <dgm:t>
        <a:bodyPr/>
        <a:lstStyle/>
        <a:p>
          <a:r>
            <a:rPr lang="en-US"/>
            <a:t>Feasibility and Viability Study</a:t>
          </a:r>
          <a:endParaRPr lang="en-GB"/>
        </a:p>
      </dgm:t>
    </dgm:pt>
    <dgm:pt modelId="{A69F8353-1BB9-4F6D-BBE0-6420ED7E8FDB}" type="parTrans" cxnId="{B04F93A1-1779-4F06-8ADB-14C219C2E138}">
      <dgm:prSet/>
      <dgm:spPr/>
      <dgm:t>
        <a:bodyPr/>
        <a:lstStyle/>
        <a:p>
          <a:endParaRPr lang="en-GB"/>
        </a:p>
      </dgm:t>
    </dgm:pt>
    <dgm:pt modelId="{B3D3929C-474A-44EF-9DB9-9811B0001616}" type="sibTrans" cxnId="{B04F93A1-1779-4F06-8ADB-14C219C2E138}">
      <dgm:prSet/>
      <dgm:spPr/>
      <dgm:t>
        <a:bodyPr/>
        <a:lstStyle/>
        <a:p>
          <a:endParaRPr lang="en-GB"/>
        </a:p>
      </dgm:t>
    </dgm:pt>
    <dgm:pt modelId="{82501B25-7E0D-43B5-AAB3-AEE45A56B4C4}">
      <dgm:prSet phldrT="[Text]"/>
      <dgm:spPr/>
      <dgm:t>
        <a:bodyPr/>
        <a:lstStyle/>
        <a:p>
          <a:pPr>
            <a:buFont typeface="Calibri" panose="020F0502020204030204" pitchFamily="34" charset="0"/>
            <a:buChar char="-"/>
          </a:pPr>
          <a:r>
            <a:rPr lang="en-US"/>
            <a:t>Project Costing</a:t>
          </a:r>
          <a:endParaRPr lang="en-GB"/>
        </a:p>
      </dgm:t>
    </dgm:pt>
    <dgm:pt modelId="{5AD44F87-B83E-41BC-AD90-8431BDE95156}" type="parTrans" cxnId="{885C9009-99DF-4B35-8127-69AEA3B0C977}">
      <dgm:prSet/>
      <dgm:spPr/>
      <dgm:t>
        <a:bodyPr/>
        <a:lstStyle/>
        <a:p>
          <a:endParaRPr lang="en-GB"/>
        </a:p>
      </dgm:t>
    </dgm:pt>
    <dgm:pt modelId="{DE0236C1-C13F-428A-9C11-DB11D7211AA1}" type="sibTrans" cxnId="{885C9009-99DF-4B35-8127-69AEA3B0C977}">
      <dgm:prSet/>
      <dgm:spPr/>
      <dgm:t>
        <a:bodyPr/>
        <a:lstStyle/>
        <a:p>
          <a:endParaRPr lang="en-GB"/>
        </a:p>
      </dgm:t>
    </dgm:pt>
    <dgm:pt modelId="{65F14199-6BA4-4EA3-A992-58A1F609CA4B}">
      <dgm:prSet phldrT="[Text]"/>
      <dgm:spPr/>
      <dgm:t>
        <a:bodyPr/>
        <a:lstStyle/>
        <a:p>
          <a:r>
            <a:rPr lang="en-US"/>
            <a:t>Proposed Development Blueprint Design </a:t>
          </a:r>
          <a:endParaRPr lang="en-GB"/>
        </a:p>
      </dgm:t>
    </dgm:pt>
    <dgm:pt modelId="{2E2242EC-0567-4CFF-8AE5-9453B1227446}" type="parTrans" cxnId="{C09A6AB7-9E48-4502-AEB4-2C2DA986171A}">
      <dgm:prSet/>
      <dgm:spPr/>
      <dgm:t>
        <a:bodyPr/>
        <a:lstStyle/>
        <a:p>
          <a:endParaRPr lang="en-GB"/>
        </a:p>
      </dgm:t>
    </dgm:pt>
    <dgm:pt modelId="{E72E375A-A007-42B4-9B6D-5ADB5EA5F4A6}" type="sibTrans" cxnId="{C09A6AB7-9E48-4502-AEB4-2C2DA986171A}">
      <dgm:prSet/>
      <dgm:spPr/>
      <dgm:t>
        <a:bodyPr/>
        <a:lstStyle/>
        <a:p>
          <a:endParaRPr lang="en-GB"/>
        </a:p>
      </dgm:t>
    </dgm:pt>
    <dgm:pt modelId="{8A660C41-E217-4DE5-9E93-7228F233DEF4}">
      <dgm:prSet/>
      <dgm:spPr/>
      <dgm:t>
        <a:bodyPr/>
        <a:lstStyle/>
        <a:p>
          <a:pPr>
            <a:buFont typeface="Calibri" panose="020F0502020204030204" pitchFamily="34" charset="0"/>
            <a:buChar char="-"/>
          </a:pPr>
          <a:r>
            <a:rPr lang="en-US"/>
            <a:t>Security of Necessary Approval</a:t>
          </a:r>
          <a:endParaRPr lang="en-GB"/>
        </a:p>
      </dgm:t>
    </dgm:pt>
    <dgm:pt modelId="{5D0C71AE-81A5-4992-ADEE-46CBAC97DCB2}" type="parTrans" cxnId="{828F849C-4A23-4AD9-A892-F086CD168C94}">
      <dgm:prSet/>
      <dgm:spPr/>
      <dgm:t>
        <a:bodyPr/>
        <a:lstStyle/>
        <a:p>
          <a:endParaRPr lang="en-GB"/>
        </a:p>
      </dgm:t>
    </dgm:pt>
    <dgm:pt modelId="{0AF1F7A8-759E-4CDD-AD66-27BF55C55F93}" type="sibTrans" cxnId="{828F849C-4A23-4AD9-A892-F086CD168C94}">
      <dgm:prSet/>
      <dgm:spPr/>
      <dgm:t>
        <a:bodyPr/>
        <a:lstStyle/>
        <a:p>
          <a:endParaRPr lang="en-GB"/>
        </a:p>
      </dgm:t>
    </dgm:pt>
    <dgm:pt modelId="{AB315B3A-A939-4689-9983-34C2D1F76B21}">
      <dgm:prSet/>
      <dgm:spPr/>
      <dgm:t>
        <a:bodyPr/>
        <a:lstStyle/>
        <a:p>
          <a:pPr>
            <a:buFont typeface="Calibri" panose="020F0502020204030204" pitchFamily="34" charset="0"/>
            <a:buChar char="-"/>
          </a:pPr>
          <a:r>
            <a:rPr lang="en-US" b="1"/>
            <a:t>DESIGN OF A 3D MODEL</a:t>
          </a:r>
          <a:endParaRPr lang="en-GB"/>
        </a:p>
      </dgm:t>
    </dgm:pt>
    <dgm:pt modelId="{3CE50C45-0EA1-4210-90AE-8D4E0A95EF77}" type="parTrans" cxnId="{A8010F1B-C358-4E67-9B36-B6D724E04E63}">
      <dgm:prSet/>
      <dgm:spPr/>
      <dgm:t>
        <a:bodyPr/>
        <a:lstStyle/>
        <a:p>
          <a:endParaRPr lang="en-GB"/>
        </a:p>
      </dgm:t>
    </dgm:pt>
    <dgm:pt modelId="{1D6CA294-D1F8-422F-A1A0-3DD31042D490}" type="sibTrans" cxnId="{A8010F1B-C358-4E67-9B36-B6D724E04E63}">
      <dgm:prSet/>
      <dgm:spPr/>
      <dgm:t>
        <a:bodyPr/>
        <a:lstStyle/>
        <a:p>
          <a:endParaRPr lang="en-GB"/>
        </a:p>
      </dgm:t>
    </dgm:pt>
    <dgm:pt modelId="{2E9EC371-616B-42E3-BC23-7CCD3C57F2A2}">
      <dgm:prSet/>
      <dgm:spPr/>
      <dgm:t>
        <a:bodyPr/>
        <a:lstStyle/>
        <a:p>
          <a:pPr>
            <a:buFont typeface="Calibri" panose="020F0502020204030204" pitchFamily="34" charset="0"/>
            <a:buChar char="-"/>
          </a:pPr>
          <a:r>
            <a:rPr lang="en-US"/>
            <a:t>Selection of Suitable Medium for Marketing</a:t>
          </a:r>
          <a:endParaRPr lang="en-GB"/>
        </a:p>
      </dgm:t>
    </dgm:pt>
    <dgm:pt modelId="{B241B43E-83B1-4C75-88E5-CEAC1A2EDE7B}" type="parTrans" cxnId="{AD03D6C4-FB5E-4854-92C0-AE7FF74B8C64}">
      <dgm:prSet/>
      <dgm:spPr/>
      <dgm:t>
        <a:bodyPr/>
        <a:lstStyle/>
        <a:p>
          <a:endParaRPr lang="en-GB"/>
        </a:p>
      </dgm:t>
    </dgm:pt>
    <dgm:pt modelId="{97BAA1A2-44A5-445C-A164-BB9056262E0B}" type="sibTrans" cxnId="{AD03D6C4-FB5E-4854-92C0-AE7FF74B8C64}">
      <dgm:prSet/>
      <dgm:spPr/>
      <dgm:t>
        <a:bodyPr/>
        <a:lstStyle/>
        <a:p>
          <a:endParaRPr lang="en-GB"/>
        </a:p>
      </dgm:t>
    </dgm:pt>
    <dgm:pt modelId="{82FC4BDF-1C74-4848-9F1C-C596E15287C6}">
      <dgm:prSet/>
      <dgm:spPr/>
      <dgm:t>
        <a:bodyPr/>
        <a:lstStyle/>
        <a:p>
          <a:pPr>
            <a:buFont typeface="Calibri" panose="020F0502020204030204" pitchFamily="34" charset="0"/>
            <a:buChar char="-"/>
          </a:pPr>
          <a:r>
            <a:rPr lang="en-US"/>
            <a:t>Preparation of Detailed Sales/Lease Contract</a:t>
          </a:r>
          <a:endParaRPr lang="en-GB"/>
        </a:p>
      </dgm:t>
    </dgm:pt>
    <dgm:pt modelId="{BFB81E01-9B1C-4E1C-B6F5-E9B6D5D28AAF}" type="parTrans" cxnId="{0B4C8E28-B586-4E35-A9FC-CC614462688D}">
      <dgm:prSet/>
      <dgm:spPr/>
      <dgm:t>
        <a:bodyPr/>
        <a:lstStyle/>
        <a:p>
          <a:endParaRPr lang="en-GB"/>
        </a:p>
      </dgm:t>
    </dgm:pt>
    <dgm:pt modelId="{C4A6B299-BE5A-4A2C-9527-A8F677BD71A4}" type="sibTrans" cxnId="{0B4C8E28-B586-4E35-A9FC-CC614462688D}">
      <dgm:prSet/>
      <dgm:spPr/>
      <dgm:t>
        <a:bodyPr/>
        <a:lstStyle/>
        <a:p>
          <a:endParaRPr lang="en-GB"/>
        </a:p>
      </dgm:t>
    </dgm:pt>
    <dgm:pt modelId="{C81D4F2F-64EB-43A5-A8B3-3D45DC6B8B84}">
      <dgm:prSet/>
      <dgm:spPr/>
      <dgm:t>
        <a:bodyPr/>
        <a:lstStyle/>
        <a:p>
          <a:r>
            <a:rPr lang="en-US"/>
            <a:t>Receipt of Initial Deposit</a:t>
          </a:r>
          <a:endParaRPr lang="en-GB"/>
        </a:p>
      </dgm:t>
    </dgm:pt>
    <dgm:pt modelId="{EF7D379C-1030-43F6-BCA0-867CA29FE167}" type="parTrans" cxnId="{85C9C753-93C3-4C4D-A13B-EC6D252575EA}">
      <dgm:prSet/>
      <dgm:spPr/>
      <dgm:t>
        <a:bodyPr/>
        <a:lstStyle/>
        <a:p>
          <a:endParaRPr lang="en-GB"/>
        </a:p>
      </dgm:t>
    </dgm:pt>
    <dgm:pt modelId="{DFC57468-C947-47F0-B55E-A9BEE0A559B3}" type="sibTrans" cxnId="{85C9C753-93C3-4C4D-A13B-EC6D252575EA}">
      <dgm:prSet/>
      <dgm:spPr/>
      <dgm:t>
        <a:bodyPr/>
        <a:lstStyle/>
        <a:p>
          <a:endParaRPr lang="en-GB"/>
        </a:p>
      </dgm:t>
    </dgm:pt>
    <dgm:pt modelId="{3ACFD5FC-BC69-477B-A2C3-6CE04A4569E7}">
      <dgm:prSet/>
      <dgm:spPr/>
      <dgm:t>
        <a:bodyPr/>
        <a:lstStyle/>
        <a:p>
          <a:r>
            <a:rPr lang="en-US"/>
            <a:t>Kick-starting the Project Construction</a:t>
          </a:r>
          <a:endParaRPr lang="en-GB"/>
        </a:p>
      </dgm:t>
    </dgm:pt>
    <dgm:pt modelId="{6B66E356-AAE5-41F3-9A93-E994065B7586}" type="parTrans" cxnId="{A2430741-9A0F-4779-B135-5D7BD3ED4BCC}">
      <dgm:prSet/>
      <dgm:spPr/>
      <dgm:t>
        <a:bodyPr/>
        <a:lstStyle/>
        <a:p>
          <a:endParaRPr lang="en-GB"/>
        </a:p>
      </dgm:t>
    </dgm:pt>
    <dgm:pt modelId="{BA5DB03C-9EA4-4FEE-A04F-BBCE1C4807EF}" type="sibTrans" cxnId="{A2430741-9A0F-4779-B135-5D7BD3ED4BCC}">
      <dgm:prSet/>
      <dgm:spPr/>
      <dgm:t>
        <a:bodyPr/>
        <a:lstStyle/>
        <a:p>
          <a:endParaRPr lang="en-GB"/>
        </a:p>
      </dgm:t>
    </dgm:pt>
    <dgm:pt modelId="{166EC58C-F609-4FE9-95AC-3441DC5C2214}">
      <dgm:prSet/>
      <dgm:spPr/>
      <dgm:t>
        <a:bodyPr/>
        <a:lstStyle/>
        <a:p>
          <a:pPr>
            <a:buFont typeface="Calibri" panose="020F0502020204030204" pitchFamily="34" charset="0"/>
            <a:buChar char="-"/>
          </a:pPr>
          <a:r>
            <a:rPr lang="en-US"/>
            <a:t>Project Delivery after Completion</a:t>
          </a:r>
          <a:endParaRPr lang="en-GB"/>
        </a:p>
      </dgm:t>
    </dgm:pt>
    <dgm:pt modelId="{A4071AAF-B511-4317-A6B3-EC0AD3B3D28D}" type="parTrans" cxnId="{94AF8560-7455-43FB-B732-8376D8447D8C}">
      <dgm:prSet/>
      <dgm:spPr/>
      <dgm:t>
        <a:bodyPr/>
        <a:lstStyle/>
        <a:p>
          <a:endParaRPr lang="en-GB"/>
        </a:p>
      </dgm:t>
    </dgm:pt>
    <dgm:pt modelId="{8F5C4B8E-739E-427B-A0E1-EC261357A915}" type="sibTrans" cxnId="{94AF8560-7455-43FB-B732-8376D8447D8C}">
      <dgm:prSet/>
      <dgm:spPr/>
      <dgm:t>
        <a:bodyPr/>
        <a:lstStyle/>
        <a:p>
          <a:endParaRPr lang="en-GB"/>
        </a:p>
      </dgm:t>
    </dgm:pt>
    <dgm:pt modelId="{62B9F618-29C8-48BA-A253-456972D42B48}">
      <dgm:prSet/>
      <dgm:spPr/>
      <dgm:t>
        <a:bodyPr/>
        <a:lstStyle/>
        <a:p>
          <a:pPr>
            <a:buFont typeface="Calibri" panose="020F0502020204030204" pitchFamily="34" charset="0"/>
            <a:buChar char="-"/>
          </a:pPr>
          <a:r>
            <a:rPr lang="en-US"/>
            <a:t>Handover of Deed of Assignment upon Completion of Payment</a:t>
          </a:r>
          <a:endParaRPr lang="en-GB"/>
        </a:p>
      </dgm:t>
    </dgm:pt>
    <dgm:pt modelId="{D4DBC069-8929-4C59-9665-C9FE1D30BBB7}" type="parTrans" cxnId="{CB0B4ED6-B572-4EA2-97B1-D7ADE8604D53}">
      <dgm:prSet/>
      <dgm:spPr/>
      <dgm:t>
        <a:bodyPr/>
        <a:lstStyle/>
        <a:p>
          <a:endParaRPr lang="en-GB"/>
        </a:p>
      </dgm:t>
    </dgm:pt>
    <dgm:pt modelId="{EC3188B5-DCDE-48D2-9D0E-0B252DABCB59}" type="sibTrans" cxnId="{CB0B4ED6-B572-4EA2-97B1-D7ADE8604D53}">
      <dgm:prSet/>
      <dgm:spPr/>
      <dgm:t>
        <a:bodyPr/>
        <a:lstStyle/>
        <a:p>
          <a:endParaRPr lang="en-GB"/>
        </a:p>
      </dgm:t>
    </dgm:pt>
    <dgm:pt modelId="{49F21675-28D8-4B6A-B69C-EE3060974852}" type="pres">
      <dgm:prSet presAssocID="{BE0DBA61-50A0-41B8-8D7C-A2A9CA0AB686}" presName="Name0" presStyleCnt="0">
        <dgm:presLayoutVars>
          <dgm:dir/>
          <dgm:resizeHandles val="exact"/>
        </dgm:presLayoutVars>
      </dgm:prSet>
      <dgm:spPr/>
    </dgm:pt>
    <dgm:pt modelId="{AC41E0F6-5379-414D-AE79-A2363A9A4922}" type="pres">
      <dgm:prSet presAssocID="{E1A0F8AC-CDA2-4EC8-B582-593029E60308}" presName="node" presStyleLbl="node1" presStyleIdx="0" presStyleCnt="13" custScaleY="74042">
        <dgm:presLayoutVars>
          <dgm:bulletEnabled val="1"/>
        </dgm:presLayoutVars>
      </dgm:prSet>
      <dgm:spPr/>
    </dgm:pt>
    <dgm:pt modelId="{29227A78-AEE3-48E1-953B-112F66F3216F}" type="pres">
      <dgm:prSet presAssocID="{B96929F4-142B-4D71-9021-167B9396E561}" presName="sibTrans" presStyleLbl="sibTrans1D1" presStyleIdx="0" presStyleCnt="12"/>
      <dgm:spPr/>
    </dgm:pt>
    <dgm:pt modelId="{E9B09A25-332D-4DDF-A656-DACCFA8E4FE5}" type="pres">
      <dgm:prSet presAssocID="{B96929F4-142B-4D71-9021-167B9396E561}" presName="connectorText" presStyleLbl="sibTrans1D1" presStyleIdx="0" presStyleCnt="12"/>
      <dgm:spPr/>
    </dgm:pt>
    <dgm:pt modelId="{93ACE202-9568-4B5C-B019-014DD07FC4C1}" type="pres">
      <dgm:prSet presAssocID="{7E39B74F-279D-43A0-A592-CEBD27EB7807}" presName="node" presStyleLbl="node1" presStyleIdx="1" presStyleCnt="13" custScaleY="74042">
        <dgm:presLayoutVars>
          <dgm:bulletEnabled val="1"/>
        </dgm:presLayoutVars>
      </dgm:prSet>
      <dgm:spPr/>
    </dgm:pt>
    <dgm:pt modelId="{5F50CFAB-EED1-4DE1-8D6A-FD3B5D0CD7D5}" type="pres">
      <dgm:prSet presAssocID="{D2C19DD0-8CCA-4CFB-A43F-6EFAF1106DB8}" presName="sibTrans" presStyleLbl="sibTrans1D1" presStyleIdx="1" presStyleCnt="12"/>
      <dgm:spPr/>
    </dgm:pt>
    <dgm:pt modelId="{9CCC99CB-C535-45E2-81CD-18EFF9877EB1}" type="pres">
      <dgm:prSet presAssocID="{D2C19DD0-8CCA-4CFB-A43F-6EFAF1106DB8}" presName="connectorText" presStyleLbl="sibTrans1D1" presStyleIdx="1" presStyleCnt="12"/>
      <dgm:spPr/>
    </dgm:pt>
    <dgm:pt modelId="{3C382A4C-08E3-4229-B5E5-9EC7C9AE3263}" type="pres">
      <dgm:prSet presAssocID="{5D906663-2493-498A-A2E9-ECEF745FB5FF}" presName="node" presStyleLbl="node1" presStyleIdx="2" presStyleCnt="13" custScaleY="74042">
        <dgm:presLayoutVars>
          <dgm:bulletEnabled val="1"/>
        </dgm:presLayoutVars>
      </dgm:prSet>
      <dgm:spPr/>
    </dgm:pt>
    <dgm:pt modelId="{7B6BB5F0-1AF7-4238-9B97-D650A5991F45}" type="pres">
      <dgm:prSet presAssocID="{B3D3929C-474A-44EF-9DB9-9811B0001616}" presName="sibTrans" presStyleLbl="sibTrans1D1" presStyleIdx="2" presStyleCnt="12"/>
      <dgm:spPr/>
    </dgm:pt>
    <dgm:pt modelId="{355823FD-2724-4853-B80A-A7838F7001B1}" type="pres">
      <dgm:prSet presAssocID="{B3D3929C-474A-44EF-9DB9-9811B0001616}" presName="connectorText" presStyleLbl="sibTrans1D1" presStyleIdx="2" presStyleCnt="12"/>
      <dgm:spPr/>
    </dgm:pt>
    <dgm:pt modelId="{884C70D7-C281-43DD-9DA4-C36FFE938F7E}" type="pres">
      <dgm:prSet presAssocID="{82501B25-7E0D-43B5-AAB3-AEE45A56B4C4}" presName="node" presStyleLbl="node1" presStyleIdx="3" presStyleCnt="13" custScaleY="70314">
        <dgm:presLayoutVars>
          <dgm:bulletEnabled val="1"/>
        </dgm:presLayoutVars>
      </dgm:prSet>
      <dgm:spPr/>
    </dgm:pt>
    <dgm:pt modelId="{AC6F25E6-D35B-41D0-BF80-73BB2252AB91}" type="pres">
      <dgm:prSet presAssocID="{DE0236C1-C13F-428A-9C11-DB11D7211AA1}" presName="sibTrans" presStyleLbl="sibTrans1D1" presStyleIdx="3" presStyleCnt="12"/>
      <dgm:spPr/>
    </dgm:pt>
    <dgm:pt modelId="{D4081DB0-277F-4DA2-AE02-8038D322A2DE}" type="pres">
      <dgm:prSet presAssocID="{DE0236C1-C13F-428A-9C11-DB11D7211AA1}" presName="connectorText" presStyleLbl="sibTrans1D1" presStyleIdx="3" presStyleCnt="12"/>
      <dgm:spPr/>
    </dgm:pt>
    <dgm:pt modelId="{49327F3A-E08D-4914-9E22-65C4611ED0F7}" type="pres">
      <dgm:prSet presAssocID="{65F14199-6BA4-4EA3-A992-58A1F609CA4B}" presName="node" presStyleLbl="node1" presStyleIdx="4" presStyleCnt="13" custScaleY="74343">
        <dgm:presLayoutVars>
          <dgm:bulletEnabled val="1"/>
        </dgm:presLayoutVars>
      </dgm:prSet>
      <dgm:spPr/>
    </dgm:pt>
    <dgm:pt modelId="{744F16A1-07DD-4F1F-8630-84466599F3BB}" type="pres">
      <dgm:prSet presAssocID="{E72E375A-A007-42B4-9B6D-5ADB5EA5F4A6}" presName="sibTrans" presStyleLbl="sibTrans1D1" presStyleIdx="4" presStyleCnt="12"/>
      <dgm:spPr/>
    </dgm:pt>
    <dgm:pt modelId="{65E2DD58-56F7-438A-9236-B916D942341F}" type="pres">
      <dgm:prSet presAssocID="{E72E375A-A007-42B4-9B6D-5ADB5EA5F4A6}" presName="connectorText" presStyleLbl="sibTrans1D1" presStyleIdx="4" presStyleCnt="12"/>
      <dgm:spPr/>
    </dgm:pt>
    <dgm:pt modelId="{3A472145-83B5-46B6-B650-93D2BBD0C093}" type="pres">
      <dgm:prSet presAssocID="{8A660C41-E217-4DE5-9E93-7228F233DEF4}" presName="node" presStyleLbl="node1" presStyleIdx="5" presStyleCnt="13" custScaleY="71492">
        <dgm:presLayoutVars>
          <dgm:bulletEnabled val="1"/>
        </dgm:presLayoutVars>
      </dgm:prSet>
      <dgm:spPr/>
    </dgm:pt>
    <dgm:pt modelId="{9C622E64-434A-4572-A6BC-000F811EFC3A}" type="pres">
      <dgm:prSet presAssocID="{0AF1F7A8-759E-4CDD-AD66-27BF55C55F93}" presName="sibTrans" presStyleLbl="sibTrans1D1" presStyleIdx="5" presStyleCnt="12"/>
      <dgm:spPr/>
    </dgm:pt>
    <dgm:pt modelId="{182B56A7-63C6-4E37-8D43-B04F08D633BE}" type="pres">
      <dgm:prSet presAssocID="{0AF1F7A8-759E-4CDD-AD66-27BF55C55F93}" presName="connectorText" presStyleLbl="sibTrans1D1" presStyleIdx="5" presStyleCnt="12"/>
      <dgm:spPr/>
    </dgm:pt>
    <dgm:pt modelId="{6EE15D9A-8065-4CE4-BA95-2BB1CB8DB2BC}" type="pres">
      <dgm:prSet presAssocID="{AB315B3A-A939-4689-9983-34C2D1F76B21}" presName="node" presStyleLbl="node1" presStyleIdx="6" presStyleCnt="13" custScaleY="71492">
        <dgm:presLayoutVars>
          <dgm:bulletEnabled val="1"/>
        </dgm:presLayoutVars>
      </dgm:prSet>
      <dgm:spPr/>
    </dgm:pt>
    <dgm:pt modelId="{5879C6CB-BA46-4499-A658-6B59A480B803}" type="pres">
      <dgm:prSet presAssocID="{1D6CA294-D1F8-422F-A1A0-3DD31042D490}" presName="sibTrans" presStyleLbl="sibTrans1D1" presStyleIdx="6" presStyleCnt="12"/>
      <dgm:spPr/>
    </dgm:pt>
    <dgm:pt modelId="{35276135-3F42-4E82-A05E-C09C2EBC7F5A}" type="pres">
      <dgm:prSet presAssocID="{1D6CA294-D1F8-422F-A1A0-3DD31042D490}" presName="connectorText" presStyleLbl="sibTrans1D1" presStyleIdx="6" presStyleCnt="12"/>
      <dgm:spPr/>
    </dgm:pt>
    <dgm:pt modelId="{E2FA9768-6986-4C8E-9A5E-A30D02266166}" type="pres">
      <dgm:prSet presAssocID="{2E9EC371-616B-42E3-BC23-7CCD3C57F2A2}" presName="node" presStyleLbl="node1" presStyleIdx="7" presStyleCnt="13" custScaleY="69936">
        <dgm:presLayoutVars>
          <dgm:bulletEnabled val="1"/>
        </dgm:presLayoutVars>
      </dgm:prSet>
      <dgm:spPr/>
    </dgm:pt>
    <dgm:pt modelId="{9272CD00-17B7-4273-8DAD-6A101D6DE933}" type="pres">
      <dgm:prSet presAssocID="{97BAA1A2-44A5-445C-A164-BB9056262E0B}" presName="sibTrans" presStyleLbl="sibTrans1D1" presStyleIdx="7" presStyleCnt="12"/>
      <dgm:spPr/>
    </dgm:pt>
    <dgm:pt modelId="{896339FF-61BE-4306-905F-96BFCA8668B8}" type="pres">
      <dgm:prSet presAssocID="{97BAA1A2-44A5-445C-A164-BB9056262E0B}" presName="connectorText" presStyleLbl="sibTrans1D1" presStyleIdx="7" presStyleCnt="12"/>
      <dgm:spPr/>
    </dgm:pt>
    <dgm:pt modelId="{3A921A6F-5123-4D97-97C0-A3AA4E87E98B}" type="pres">
      <dgm:prSet presAssocID="{82FC4BDF-1C74-4848-9F1C-C596E15287C6}" presName="node" presStyleLbl="node1" presStyleIdx="8" presStyleCnt="13" custScaleY="73571">
        <dgm:presLayoutVars>
          <dgm:bulletEnabled val="1"/>
        </dgm:presLayoutVars>
      </dgm:prSet>
      <dgm:spPr/>
    </dgm:pt>
    <dgm:pt modelId="{9FAE240D-FEF1-47C2-8AFB-D1CBE0C69415}" type="pres">
      <dgm:prSet presAssocID="{C4A6B299-BE5A-4A2C-9527-A8F677BD71A4}" presName="sibTrans" presStyleLbl="sibTrans1D1" presStyleIdx="8" presStyleCnt="12"/>
      <dgm:spPr/>
    </dgm:pt>
    <dgm:pt modelId="{10385A82-E16F-4001-B0D6-5AAF093F41BF}" type="pres">
      <dgm:prSet presAssocID="{C4A6B299-BE5A-4A2C-9527-A8F677BD71A4}" presName="connectorText" presStyleLbl="sibTrans1D1" presStyleIdx="8" presStyleCnt="12"/>
      <dgm:spPr/>
    </dgm:pt>
    <dgm:pt modelId="{4A6EDF05-2D28-4338-B225-35FDDD17C7BA}" type="pres">
      <dgm:prSet presAssocID="{C81D4F2F-64EB-43A5-A8B3-3D45DC6B8B84}" presName="node" presStyleLbl="node1" presStyleIdx="9" presStyleCnt="13" custScaleY="73571">
        <dgm:presLayoutVars>
          <dgm:bulletEnabled val="1"/>
        </dgm:presLayoutVars>
      </dgm:prSet>
      <dgm:spPr/>
    </dgm:pt>
    <dgm:pt modelId="{9EBFAB49-766D-4775-9C35-C075DF6D9B3A}" type="pres">
      <dgm:prSet presAssocID="{DFC57468-C947-47F0-B55E-A9BEE0A559B3}" presName="sibTrans" presStyleLbl="sibTrans1D1" presStyleIdx="9" presStyleCnt="12"/>
      <dgm:spPr/>
    </dgm:pt>
    <dgm:pt modelId="{C88DC3B7-25B8-4EE4-9978-E38C6BD850B7}" type="pres">
      <dgm:prSet presAssocID="{DFC57468-C947-47F0-B55E-A9BEE0A559B3}" presName="connectorText" presStyleLbl="sibTrans1D1" presStyleIdx="9" presStyleCnt="12"/>
      <dgm:spPr/>
    </dgm:pt>
    <dgm:pt modelId="{3F7C678E-9CAB-4060-9C52-2B026BE1DB3D}" type="pres">
      <dgm:prSet presAssocID="{3ACFD5FC-BC69-477B-A2C3-6CE04A4569E7}" presName="node" presStyleLbl="node1" presStyleIdx="10" presStyleCnt="13" custScaleY="73571">
        <dgm:presLayoutVars>
          <dgm:bulletEnabled val="1"/>
        </dgm:presLayoutVars>
      </dgm:prSet>
      <dgm:spPr/>
    </dgm:pt>
    <dgm:pt modelId="{ACC449F9-5E6D-4C50-8C68-48E16959AECA}" type="pres">
      <dgm:prSet presAssocID="{BA5DB03C-9EA4-4FEE-A04F-BBCE1C4807EF}" presName="sibTrans" presStyleLbl="sibTrans1D1" presStyleIdx="10" presStyleCnt="12"/>
      <dgm:spPr/>
    </dgm:pt>
    <dgm:pt modelId="{9BE24B3B-D7E1-4581-9E3C-802BA57D6728}" type="pres">
      <dgm:prSet presAssocID="{BA5DB03C-9EA4-4FEE-A04F-BBCE1C4807EF}" presName="connectorText" presStyleLbl="sibTrans1D1" presStyleIdx="10" presStyleCnt="12"/>
      <dgm:spPr/>
    </dgm:pt>
    <dgm:pt modelId="{FA9C25B9-A143-49D5-9788-5EFC7262BC81}" type="pres">
      <dgm:prSet presAssocID="{166EC58C-F609-4FE9-95AC-3441DC5C2214}" presName="node" presStyleLbl="node1" presStyleIdx="11" presStyleCnt="13" custScaleY="76361">
        <dgm:presLayoutVars>
          <dgm:bulletEnabled val="1"/>
        </dgm:presLayoutVars>
      </dgm:prSet>
      <dgm:spPr/>
    </dgm:pt>
    <dgm:pt modelId="{6501C177-AFBE-4E1B-B979-95BABB52EC85}" type="pres">
      <dgm:prSet presAssocID="{8F5C4B8E-739E-427B-A0E1-EC261357A915}" presName="sibTrans" presStyleLbl="sibTrans1D1" presStyleIdx="11" presStyleCnt="12"/>
      <dgm:spPr/>
    </dgm:pt>
    <dgm:pt modelId="{61E5406B-C421-40A9-A4CD-14F30F8323D9}" type="pres">
      <dgm:prSet presAssocID="{8F5C4B8E-739E-427B-A0E1-EC261357A915}" presName="connectorText" presStyleLbl="sibTrans1D1" presStyleIdx="11" presStyleCnt="12"/>
      <dgm:spPr/>
    </dgm:pt>
    <dgm:pt modelId="{3A2F8B77-37E2-42A7-AE3B-9ECFBD74AE5F}" type="pres">
      <dgm:prSet presAssocID="{62B9F618-29C8-48BA-A253-456972D42B48}" presName="node" presStyleLbl="node1" presStyleIdx="12" presStyleCnt="13" custScaleX="121899" custScaleY="71613">
        <dgm:presLayoutVars>
          <dgm:bulletEnabled val="1"/>
        </dgm:presLayoutVars>
      </dgm:prSet>
      <dgm:spPr/>
    </dgm:pt>
  </dgm:ptLst>
  <dgm:cxnLst>
    <dgm:cxn modelId="{D5B29206-55A5-4418-A453-99E1B8B50623}" type="presOf" srcId="{DE0236C1-C13F-428A-9C11-DB11D7211AA1}" destId="{AC6F25E6-D35B-41D0-BF80-73BB2252AB91}" srcOrd="0" destOrd="0" presId="urn:microsoft.com/office/officeart/2005/8/layout/bProcess3"/>
    <dgm:cxn modelId="{885C9009-99DF-4B35-8127-69AEA3B0C977}" srcId="{BE0DBA61-50A0-41B8-8D7C-A2A9CA0AB686}" destId="{82501B25-7E0D-43B5-AAB3-AEE45A56B4C4}" srcOrd="3" destOrd="0" parTransId="{5AD44F87-B83E-41BC-AD90-8431BDE95156}" sibTransId="{DE0236C1-C13F-428A-9C11-DB11D7211AA1}"/>
    <dgm:cxn modelId="{CE63950F-77A7-4EED-9CC7-D7E5D9F219D8}" type="presOf" srcId="{E1A0F8AC-CDA2-4EC8-B582-593029E60308}" destId="{AC41E0F6-5379-414D-AE79-A2363A9A4922}" srcOrd="0" destOrd="0" presId="urn:microsoft.com/office/officeart/2005/8/layout/bProcess3"/>
    <dgm:cxn modelId="{5F34451A-0283-4474-89A3-204C38AFAC1E}" type="presOf" srcId="{0AF1F7A8-759E-4CDD-AD66-27BF55C55F93}" destId="{182B56A7-63C6-4E37-8D43-B04F08D633BE}" srcOrd="1" destOrd="0" presId="urn:microsoft.com/office/officeart/2005/8/layout/bProcess3"/>
    <dgm:cxn modelId="{328F921A-AA4F-4370-B137-805E59D5E85F}" type="presOf" srcId="{8A660C41-E217-4DE5-9E93-7228F233DEF4}" destId="{3A472145-83B5-46B6-B650-93D2BBD0C093}" srcOrd="0" destOrd="0" presId="urn:microsoft.com/office/officeart/2005/8/layout/bProcess3"/>
    <dgm:cxn modelId="{A8010F1B-C358-4E67-9B36-B6D724E04E63}" srcId="{BE0DBA61-50A0-41B8-8D7C-A2A9CA0AB686}" destId="{AB315B3A-A939-4689-9983-34C2D1F76B21}" srcOrd="6" destOrd="0" parTransId="{3CE50C45-0EA1-4210-90AE-8D4E0A95EF77}" sibTransId="{1D6CA294-D1F8-422F-A1A0-3DD31042D490}"/>
    <dgm:cxn modelId="{50FDA525-E32D-48E7-BF29-FE5B1B4EEEAB}" type="presOf" srcId="{D2C19DD0-8CCA-4CFB-A43F-6EFAF1106DB8}" destId="{9CCC99CB-C535-45E2-81CD-18EFF9877EB1}" srcOrd="1" destOrd="0" presId="urn:microsoft.com/office/officeart/2005/8/layout/bProcess3"/>
    <dgm:cxn modelId="{0B4C8E28-B586-4E35-A9FC-CC614462688D}" srcId="{BE0DBA61-50A0-41B8-8D7C-A2A9CA0AB686}" destId="{82FC4BDF-1C74-4848-9F1C-C596E15287C6}" srcOrd="8" destOrd="0" parTransId="{BFB81E01-9B1C-4E1C-B6F5-E9B6D5D28AAF}" sibTransId="{C4A6B299-BE5A-4A2C-9527-A8F677BD71A4}"/>
    <dgm:cxn modelId="{761A732E-41AE-4375-8997-BE64707222A7}" type="presOf" srcId="{B3D3929C-474A-44EF-9DB9-9811B0001616}" destId="{7B6BB5F0-1AF7-4238-9B97-D650A5991F45}" srcOrd="0" destOrd="0" presId="urn:microsoft.com/office/officeart/2005/8/layout/bProcess3"/>
    <dgm:cxn modelId="{CD0CF92E-53BD-491A-AF35-252D2C8E24A3}" type="presOf" srcId="{E72E375A-A007-42B4-9B6D-5ADB5EA5F4A6}" destId="{744F16A1-07DD-4F1F-8630-84466599F3BB}" srcOrd="0" destOrd="0" presId="urn:microsoft.com/office/officeart/2005/8/layout/bProcess3"/>
    <dgm:cxn modelId="{C10B1A32-3810-4EF8-AD67-3026BCDB3294}" type="presOf" srcId="{5D906663-2493-498A-A2E9-ECEF745FB5FF}" destId="{3C382A4C-08E3-4229-B5E5-9EC7C9AE3263}" srcOrd="0" destOrd="0" presId="urn:microsoft.com/office/officeart/2005/8/layout/bProcess3"/>
    <dgm:cxn modelId="{022C3532-D101-40ED-ABA5-3299350A0B27}" type="presOf" srcId="{BA5DB03C-9EA4-4FEE-A04F-BBCE1C4807EF}" destId="{ACC449F9-5E6D-4C50-8C68-48E16959AECA}" srcOrd="0" destOrd="0" presId="urn:microsoft.com/office/officeart/2005/8/layout/bProcess3"/>
    <dgm:cxn modelId="{AB1F7832-55FC-465B-8C64-348AB1A0467C}" type="presOf" srcId="{97BAA1A2-44A5-445C-A164-BB9056262E0B}" destId="{896339FF-61BE-4306-905F-96BFCA8668B8}" srcOrd="1" destOrd="0" presId="urn:microsoft.com/office/officeart/2005/8/layout/bProcess3"/>
    <dgm:cxn modelId="{8654D838-D485-4703-9627-539EE07654D9}" type="presOf" srcId="{DFC57468-C947-47F0-B55E-A9BEE0A559B3}" destId="{9EBFAB49-766D-4775-9C35-C075DF6D9B3A}" srcOrd="0" destOrd="0" presId="urn:microsoft.com/office/officeart/2005/8/layout/bProcess3"/>
    <dgm:cxn modelId="{F906A53D-951D-450B-91E7-CD990700A4CF}" type="presOf" srcId="{8F5C4B8E-739E-427B-A0E1-EC261357A915}" destId="{6501C177-AFBE-4E1B-B979-95BABB52EC85}" srcOrd="0" destOrd="0" presId="urn:microsoft.com/office/officeart/2005/8/layout/bProcess3"/>
    <dgm:cxn modelId="{2D89195F-AA8E-4B44-B0F6-8B9C09BFEABC}" type="presOf" srcId="{1D6CA294-D1F8-422F-A1A0-3DD31042D490}" destId="{35276135-3F42-4E82-A05E-C09C2EBC7F5A}" srcOrd="1" destOrd="0" presId="urn:microsoft.com/office/officeart/2005/8/layout/bProcess3"/>
    <dgm:cxn modelId="{5D3F9F5F-0ECE-414D-842D-D4C273B1EE5A}" type="presOf" srcId="{B3D3929C-474A-44EF-9DB9-9811B0001616}" destId="{355823FD-2724-4853-B80A-A7838F7001B1}" srcOrd="1" destOrd="0" presId="urn:microsoft.com/office/officeart/2005/8/layout/bProcess3"/>
    <dgm:cxn modelId="{94AF8560-7455-43FB-B732-8376D8447D8C}" srcId="{BE0DBA61-50A0-41B8-8D7C-A2A9CA0AB686}" destId="{166EC58C-F609-4FE9-95AC-3441DC5C2214}" srcOrd="11" destOrd="0" parTransId="{A4071AAF-B511-4317-A6B3-EC0AD3B3D28D}" sibTransId="{8F5C4B8E-739E-427B-A0E1-EC261357A915}"/>
    <dgm:cxn modelId="{58F4CA60-3C4A-4BF7-8DA1-DC4F9AF00818}" type="presOf" srcId="{DFC57468-C947-47F0-B55E-A9BEE0A559B3}" destId="{C88DC3B7-25B8-4EE4-9978-E38C6BD850B7}" srcOrd="1" destOrd="0" presId="urn:microsoft.com/office/officeart/2005/8/layout/bProcess3"/>
    <dgm:cxn modelId="{A2430741-9A0F-4779-B135-5D7BD3ED4BCC}" srcId="{BE0DBA61-50A0-41B8-8D7C-A2A9CA0AB686}" destId="{3ACFD5FC-BC69-477B-A2C3-6CE04A4569E7}" srcOrd="10" destOrd="0" parTransId="{6B66E356-AAE5-41F3-9A93-E994065B7586}" sibTransId="{BA5DB03C-9EA4-4FEE-A04F-BBCE1C4807EF}"/>
    <dgm:cxn modelId="{777BE468-A046-4314-BF79-749617FA8645}" type="presOf" srcId="{62B9F618-29C8-48BA-A253-456972D42B48}" destId="{3A2F8B77-37E2-42A7-AE3B-9ECFBD74AE5F}" srcOrd="0" destOrd="0" presId="urn:microsoft.com/office/officeart/2005/8/layout/bProcess3"/>
    <dgm:cxn modelId="{FF2E704D-DB35-4151-B354-AA05D3E3915D}" type="presOf" srcId="{82FC4BDF-1C74-4848-9F1C-C596E15287C6}" destId="{3A921A6F-5123-4D97-97C0-A3AA4E87E98B}" srcOrd="0" destOrd="0" presId="urn:microsoft.com/office/officeart/2005/8/layout/bProcess3"/>
    <dgm:cxn modelId="{85C9C753-93C3-4C4D-A13B-EC6D252575EA}" srcId="{BE0DBA61-50A0-41B8-8D7C-A2A9CA0AB686}" destId="{C81D4F2F-64EB-43A5-A8B3-3D45DC6B8B84}" srcOrd="9" destOrd="0" parTransId="{EF7D379C-1030-43F6-BCA0-867CA29FE167}" sibTransId="{DFC57468-C947-47F0-B55E-A9BEE0A559B3}"/>
    <dgm:cxn modelId="{06670481-5ACC-417F-96EA-43B3BF7BCF97}" type="presOf" srcId="{0AF1F7A8-759E-4CDD-AD66-27BF55C55F93}" destId="{9C622E64-434A-4572-A6BC-000F811EFC3A}" srcOrd="0" destOrd="0" presId="urn:microsoft.com/office/officeart/2005/8/layout/bProcess3"/>
    <dgm:cxn modelId="{E1093384-100C-4000-BD76-10A8B1771CA5}" type="presOf" srcId="{C4A6B299-BE5A-4A2C-9527-A8F677BD71A4}" destId="{9FAE240D-FEF1-47C2-8AFB-D1CBE0C69415}" srcOrd="0" destOrd="0" presId="urn:microsoft.com/office/officeart/2005/8/layout/bProcess3"/>
    <dgm:cxn modelId="{B36B5485-5E1D-40DD-99CD-94631DBD1D57}" type="presOf" srcId="{8F5C4B8E-739E-427B-A0E1-EC261357A915}" destId="{61E5406B-C421-40A9-A4CD-14F30F8323D9}" srcOrd="1" destOrd="0" presId="urn:microsoft.com/office/officeart/2005/8/layout/bProcess3"/>
    <dgm:cxn modelId="{AEDDAD85-DAAE-42C3-B6DD-590A4DD1F2B2}" type="presOf" srcId="{E72E375A-A007-42B4-9B6D-5ADB5EA5F4A6}" destId="{65E2DD58-56F7-438A-9236-B916D942341F}" srcOrd="1" destOrd="0" presId="urn:microsoft.com/office/officeart/2005/8/layout/bProcess3"/>
    <dgm:cxn modelId="{EF621186-4471-48EE-8B00-73BAF1BE1B2C}" type="presOf" srcId="{D2C19DD0-8CCA-4CFB-A43F-6EFAF1106DB8}" destId="{5F50CFAB-EED1-4DE1-8D6A-FD3B5D0CD7D5}" srcOrd="0" destOrd="0" presId="urn:microsoft.com/office/officeart/2005/8/layout/bProcess3"/>
    <dgm:cxn modelId="{15F0A089-66FF-4EDE-A8B7-951ADAE2F32E}" srcId="{BE0DBA61-50A0-41B8-8D7C-A2A9CA0AB686}" destId="{7E39B74F-279D-43A0-A592-CEBD27EB7807}" srcOrd="1" destOrd="0" parTransId="{938AF6B4-3A41-4E7C-82EB-3DB3D18D4164}" sibTransId="{D2C19DD0-8CCA-4CFB-A43F-6EFAF1106DB8}"/>
    <dgm:cxn modelId="{D18EA98F-A675-4C16-8BD8-727DD84280F7}" type="presOf" srcId="{C81D4F2F-64EB-43A5-A8B3-3D45DC6B8B84}" destId="{4A6EDF05-2D28-4338-B225-35FDDD17C7BA}" srcOrd="0" destOrd="0" presId="urn:microsoft.com/office/officeart/2005/8/layout/bProcess3"/>
    <dgm:cxn modelId="{828F849C-4A23-4AD9-A892-F086CD168C94}" srcId="{BE0DBA61-50A0-41B8-8D7C-A2A9CA0AB686}" destId="{8A660C41-E217-4DE5-9E93-7228F233DEF4}" srcOrd="5" destOrd="0" parTransId="{5D0C71AE-81A5-4992-ADEE-46CBAC97DCB2}" sibTransId="{0AF1F7A8-759E-4CDD-AD66-27BF55C55F93}"/>
    <dgm:cxn modelId="{B04F93A1-1779-4F06-8ADB-14C219C2E138}" srcId="{BE0DBA61-50A0-41B8-8D7C-A2A9CA0AB686}" destId="{5D906663-2493-498A-A2E9-ECEF745FB5FF}" srcOrd="2" destOrd="0" parTransId="{A69F8353-1BB9-4F6D-BBE0-6420ED7E8FDB}" sibTransId="{B3D3929C-474A-44EF-9DB9-9811B0001616}"/>
    <dgm:cxn modelId="{D34700AF-1813-4A02-ABBC-957AF64F9C1F}" type="presOf" srcId="{166EC58C-F609-4FE9-95AC-3441DC5C2214}" destId="{FA9C25B9-A143-49D5-9788-5EFC7262BC81}" srcOrd="0" destOrd="0" presId="urn:microsoft.com/office/officeart/2005/8/layout/bProcess3"/>
    <dgm:cxn modelId="{43039DB4-B863-4614-83B9-D86BF79515CD}" type="presOf" srcId="{97BAA1A2-44A5-445C-A164-BB9056262E0B}" destId="{9272CD00-17B7-4273-8DAD-6A101D6DE933}" srcOrd="0" destOrd="0" presId="urn:microsoft.com/office/officeart/2005/8/layout/bProcess3"/>
    <dgm:cxn modelId="{3699F9B6-E64E-421D-92D3-477433E460E1}" type="presOf" srcId="{B96929F4-142B-4D71-9021-167B9396E561}" destId="{29227A78-AEE3-48E1-953B-112F66F3216F}" srcOrd="0" destOrd="0" presId="urn:microsoft.com/office/officeart/2005/8/layout/bProcess3"/>
    <dgm:cxn modelId="{C09A6AB7-9E48-4502-AEB4-2C2DA986171A}" srcId="{BE0DBA61-50A0-41B8-8D7C-A2A9CA0AB686}" destId="{65F14199-6BA4-4EA3-A992-58A1F609CA4B}" srcOrd="4" destOrd="0" parTransId="{2E2242EC-0567-4CFF-8AE5-9453B1227446}" sibTransId="{E72E375A-A007-42B4-9B6D-5ADB5EA5F4A6}"/>
    <dgm:cxn modelId="{9BE0ABBB-C049-4503-8D85-3C15625BB11A}" type="presOf" srcId="{7E39B74F-279D-43A0-A592-CEBD27EB7807}" destId="{93ACE202-9568-4B5C-B019-014DD07FC4C1}" srcOrd="0" destOrd="0" presId="urn:microsoft.com/office/officeart/2005/8/layout/bProcess3"/>
    <dgm:cxn modelId="{0DB23BC0-093F-457A-AD70-5D26FA4DD020}" type="presOf" srcId="{BE0DBA61-50A0-41B8-8D7C-A2A9CA0AB686}" destId="{49F21675-28D8-4B6A-B69C-EE3060974852}" srcOrd="0" destOrd="0" presId="urn:microsoft.com/office/officeart/2005/8/layout/bProcess3"/>
    <dgm:cxn modelId="{AD03D6C4-FB5E-4854-92C0-AE7FF74B8C64}" srcId="{BE0DBA61-50A0-41B8-8D7C-A2A9CA0AB686}" destId="{2E9EC371-616B-42E3-BC23-7CCD3C57F2A2}" srcOrd="7" destOrd="0" parTransId="{B241B43E-83B1-4C75-88E5-CEAC1A2EDE7B}" sibTransId="{97BAA1A2-44A5-445C-A164-BB9056262E0B}"/>
    <dgm:cxn modelId="{10C9A6C5-4FB9-41C8-BBA0-9A847819EFF3}" type="presOf" srcId="{65F14199-6BA4-4EA3-A992-58A1F609CA4B}" destId="{49327F3A-E08D-4914-9E22-65C4611ED0F7}" srcOrd="0" destOrd="0" presId="urn:microsoft.com/office/officeart/2005/8/layout/bProcess3"/>
    <dgm:cxn modelId="{CB0B4ED6-B572-4EA2-97B1-D7ADE8604D53}" srcId="{BE0DBA61-50A0-41B8-8D7C-A2A9CA0AB686}" destId="{62B9F618-29C8-48BA-A253-456972D42B48}" srcOrd="12" destOrd="0" parTransId="{D4DBC069-8929-4C59-9665-C9FE1D30BBB7}" sibTransId="{EC3188B5-DCDE-48D2-9D0E-0B252DABCB59}"/>
    <dgm:cxn modelId="{8A21A3DF-A042-4F91-A2EE-C7AA139A12E4}" type="presOf" srcId="{2E9EC371-616B-42E3-BC23-7CCD3C57F2A2}" destId="{E2FA9768-6986-4C8E-9A5E-A30D02266166}" srcOrd="0" destOrd="0" presId="urn:microsoft.com/office/officeart/2005/8/layout/bProcess3"/>
    <dgm:cxn modelId="{A1622CE1-C83D-4C2E-BC56-29EEEA4A0983}" type="presOf" srcId="{82501B25-7E0D-43B5-AAB3-AEE45A56B4C4}" destId="{884C70D7-C281-43DD-9DA4-C36FFE938F7E}" srcOrd="0" destOrd="0" presId="urn:microsoft.com/office/officeart/2005/8/layout/bProcess3"/>
    <dgm:cxn modelId="{10BD13E8-5892-43D8-A500-BCF826096CBF}" type="presOf" srcId="{DE0236C1-C13F-428A-9C11-DB11D7211AA1}" destId="{D4081DB0-277F-4DA2-AE02-8038D322A2DE}" srcOrd="1" destOrd="0" presId="urn:microsoft.com/office/officeart/2005/8/layout/bProcess3"/>
    <dgm:cxn modelId="{6FC23DEA-448B-4B1D-8D58-A0AE12BDAA23}" srcId="{BE0DBA61-50A0-41B8-8D7C-A2A9CA0AB686}" destId="{E1A0F8AC-CDA2-4EC8-B582-593029E60308}" srcOrd="0" destOrd="0" parTransId="{531B4553-B8A4-4149-B4A1-C0877B0A2A19}" sibTransId="{B96929F4-142B-4D71-9021-167B9396E561}"/>
    <dgm:cxn modelId="{C7074FEC-C977-42DE-82C3-C77C91E19D85}" type="presOf" srcId="{B96929F4-142B-4D71-9021-167B9396E561}" destId="{E9B09A25-332D-4DDF-A656-DACCFA8E4FE5}" srcOrd="1" destOrd="0" presId="urn:microsoft.com/office/officeart/2005/8/layout/bProcess3"/>
    <dgm:cxn modelId="{6BB5C6EE-68E2-4AED-8159-86F614FD2A58}" type="presOf" srcId="{C4A6B299-BE5A-4A2C-9527-A8F677BD71A4}" destId="{10385A82-E16F-4001-B0D6-5AAF093F41BF}" srcOrd="1" destOrd="0" presId="urn:microsoft.com/office/officeart/2005/8/layout/bProcess3"/>
    <dgm:cxn modelId="{675A06F4-3326-42F8-AE28-2CB172034DA0}" type="presOf" srcId="{3ACFD5FC-BC69-477B-A2C3-6CE04A4569E7}" destId="{3F7C678E-9CAB-4060-9C52-2B026BE1DB3D}" srcOrd="0" destOrd="0" presId="urn:microsoft.com/office/officeart/2005/8/layout/bProcess3"/>
    <dgm:cxn modelId="{40A669F7-BB62-4C39-A4FC-97B7CC408260}" type="presOf" srcId="{AB315B3A-A939-4689-9983-34C2D1F76B21}" destId="{6EE15D9A-8065-4CE4-BA95-2BB1CB8DB2BC}" srcOrd="0" destOrd="0" presId="urn:microsoft.com/office/officeart/2005/8/layout/bProcess3"/>
    <dgm:cxn modelId="{0706F7F7-33E6-4434-A785-7E6D6DB4ECC1}" type="presOf" srcId="{BA5DB03C-9EA4-4FEE-A04F-BBCE1C4807EF}" destId="{9BE24B3B-D7E1-4581-9E3C-802BA57D6728}" srcOrd="1" destOrd="0" presId="urn:microsoft.com/office/officeart/2005/8/layout/bProcess3"/>
    <dgm:cxn modelId="{B0C493FA-23D7-4FB6-B94B-43E3CF47DC71}" type="presOf" srcId="{1D6CA294-D1F8-422F-A1A0-3DD31042D490}" destId="{5879C6CB-BA46-4499-A658-6B59A480B803}" srcOrd="0" destOrd="0" presId="urn:microsoft.com/office/officeart/2005/8/layout/bProcess3"/>
    <dgm:cxn modelId="{5DF1F5B4-6AB4-46B4-B819-D89155BA3D8C}" type="presParOf" srcId="{49F21675-28D8-4B6A-B69C-EE3060974852}" destId="{AC41E0F6-5379-414D-AE79-A2363A9A4922}" srcOrd="0" destOrd="0" presId="urn:microsoft.com/office/officeart/2005/8/layout/bProcess3"/>
    <dgm:cxn modelId="{40A6189E-9B30-4385-9DEB-4FD0B71C784C}" type="presParOf" srcId="{49F21675-28D8-4B6A-B69C-EE3060974852}" destId="{29227A78-AEE3-48E1-953B-112F66F3216F}" srcOrd="1" destOrd="0" presId="urn:microsoft.com/office/officeart/2005/8/layout/bProcess3"/>
    <dgm:cxn modelId="{46454C1B-149F-4C00-9816-3D93091488DC}" type="presParOf" srcId="{29227A78-AEE3-48E1-953B-112F66F3216F}" destId="{E9B09A25-332D-4DDF-A656-DACCFA8E4FE5}" srcOrd="0" destOrd="0" presId="urn:microsoft.com/office/officeart/2005/8/layout/bProcess3"/>
    <dgm:cxn modelId="{66074E47-999E-477F-8744-F0ED9586F2D4}" type="presParOf" srcId="{49F21675-28D8-4B6A-B69C-EE3060974852}" destId="{93ACE202-9568-4B5C-B019-014DD07FC4C1}" srcOrd="2" destOrd="0" presId="urn:microsoft.com/office/officeart/2005/8/layout/bProcess3"/>
    <dgm:cxn modelId="{ED687F9A-6117-4D98-8073-13D913B9A726}" type="presParOf" srcId="{49F21675-28D8-4B6A-B69C-EE3060974852}" destId="{5F50CFAB-EED1-4DE1-8D6A-FD3B5D0CD7D5}" srcOrd="3" destOrd="0" presId="urn:microsoft.com/office/officeart/2005/8/layout/bProcess3"/>
    <dgm:cxn modelId="{489990FC-F898-4F2B-8F0E-5E130FC45508}" type="presParOf" srcId="{5F50CFAB-EED1-4DE1-8D6A-FD3B5D0CD7D5}" destId="{9CCC99CB-C535-45E2-81CD-18EFF9877EB1}" srcOrd="0" destOrd="0" presId="urn:microsoft.com/office/officeart/2005/8/layout/bProcess3"/>
    <dgm:cxn modelId="{7DF73E52-5084-4A44-A6AF-A941F79079B7}" type="presParOf" srcId="{49F21675-28D8-4B6A-B69C-EE3060974852}" destId="{3C382A4C-08E3-4229-B5E5-9EC7C9AE3263}" srcOrd="4" destOrd="0" presId="urn:microsoft.com/office/officeart/2005/8/layout/bProcess3"/>
    <dgm:cxn modelId="{ED2F85EA-EED8-4989-8C13-D656A27F6EEC}" type="presParOf" srcId="{49F21675-28D8-4B6A-B69C-EE3060974852}" destId="{7B6BB5F0-1AF7-4238-9B97-D650A5991F45}" srcOrd="5" destOrd="0" presId="urn:microsoft.com/office/officeart/2005/8/layout/bProcess3"/>
    <dgm:cxn modelId="{1026CF59-E7EF-4DF0-919D-2EB98081FB90}" type="presParOf" srcId="{7B6BB5F0-1AF7-4238-9B97-D650A5991F45}" destId="{355823FD-2724-4853-B80A-A7838F7001B1}" srcOrd="0" destOrd="0" presId="urn:microsoft.com/office/officeart/2005/8/layout/bProcess3"/>
    <dgm:cxn modelId="{F9E29C2D-6E71-46E2-951D-B9D5F07E1B7D}" type="presParOf" srcId="{49F21675-28D8-4B6A-B69C-EE3060974852}" destId="{884C70D7-C281-43DD-9DA4-C36FFE938F7E}" srcOrd="6" destOrd="0" presId="urn:microsoft.com/office/officeart/2005/8/layout/bProcess3"/>
    <dgm:cxn modelId="{F484FCDA-8530-4E12-B8DE-2A4F4F974FDF}" type="presParOf" srcId="{49F21675-28D8-4B6A-B69C-EE3060974852}" destId="{AC6F25E6-D35B-41D0-BF80-73BB2252AB91}" srcOrd="7" destOrd="0" presId="urn:microsoft.com/office/officeart/2005/8/layout/bProcess3"/>
    <dgm:cxn modelId="{F830FB05-DAAC-48D5-B980-8A0BC75573A5}" type="presParOf" srcId="{AC6F25E6-D35B-41D0-BF80-73BB2252AB91}" destId="{D4081DB0-277F-4DA2-AE02-8038D322A2DE}" srcOrd="0" destOrd="0" presId="urn:microsoft.com/office/officeart/2005/8/layout/bProcess3"/>
    <dgm:cxn modelId="{8B55EAD9-D187-4A3A-ACD5-4B66C876B018}" type="presParOf" srcId="{49F21675-28D8-4B6A-B69C-EE3060974852}" destId="{49327F3A-E08D-4914-9E22-65C4611ED0F7}" srcOrd="8" destOrd="0" presId="urn:microsoft.com/office/officeart/2005/8/layout/bProcess3"/>
    <dgm:cxn modelId="{771C9C6E-16B5-4427-8822-299440F7B457}" type="presParOf" srcId="{49F21675-28D8-4B6A-B69C-EE3060974852}" destId="{744F16A1-07DD-4F1F-8630-84466599F3BB}" srcOrd="9" destOrd="0" presId="urn:microsoft.com/office/officeart/2005/8/layout/bProcess3"/>
    <dgm:cxn modelId="{6B171B88-A0C1-4B5A-B3FF-5E44005D78BA}" type="presParOf" srcId="{744F16A1-07DD-4F1F-8630-84466599F3BB}" destId="{65E2DD58-56F7-438A-9236-B916D942341F}" srcOrd="0" destOrd="0" presId="urn:microsoft.com/office/officeart/2005/8/layout/bProcess3"/>
    <dgm:cxn modelId="{92284927-3F5B-4A7D-A864-7EEC7F6A654D}" type="presParOf" srcId="{49F21675-28D8-4B6A-B69C-EE3060974852}" destId="{3A472145-83B5-46B6-B650-93D2BBD0C093}" srcOrd="10" destOrd="0" presId="urn:microsoft.com/office/officeart/2005/8/layout/bProcess3"/>
    <dgm:cxn modelId="{BFDB077E-D769-40BD-A4B2-4316491C3A03}" type="presParOf" srcId="{49F21675-28D8-4B6A-B69C-EE3060974852}" destId="{9C622E64-434A-4572-A6BC-000F811EFC3A}" srcOrd="11" destOrd="0" presId="urn:microsoft.com/office/officeart/2005/8/layout/bProcess3"/>
    <dgm:cxn modelId="{720A7CAD-C079-475A-BAEE-13B18EE7AEDF}" type="presParOf" srcId="{9C622E64-434A-4572-A6BC-000F811EFC3A}" destId="{182B56A7-63C6-4E37-8D43-B04F08D633BE}" srcOrd="0" destOrd="0" presId="urn:microsoft.com/office/officeart/2005/8/layout/bProcess3"/>
    <dgm:cxn modelId="{F8B6BDBF-7D56-475D-AD3D-462A53D9C7D5}" type="presParOf" srcId="{49F21675-28D8-4B6A-B69C-EE3060974852}" destId="{6EE15D9A-8065-4CE4-BA95-2BB1CB8DB2BC}" srcOrd="12" destOrd="0" presId="urn:microsoft.com/office/officeart/2005/8/layout/bProcess3"/>
    <dgm:cxn modelId="{13DE587B-C0A4-420D-A549-96BEA4A1127C}" type="presParOf" srcId="{49F21675-28D8-4B6A-B69C-EE3060974852}" destId="{5879C6CB-BA46-4499-A658-6B59A480B803}" srcOrd="13" destOrd="0" presId="urn:microsoft.com/office/officeart/2005/8/layout/bProcess3"/>
    <dgm:cxn modelId="{6988EE15-E23B-458B-8A9D-1A1C55322058}" type="presParOf" srcId="{5879C6CB-BA46-4499-A658-6B59A480B803}" destId="{35276135-3F42-4E82-A05E-C09C2EBC7F5A}" srcOrd="0" destOrd="0" presId="urn:microsoft.com/office/officeart/2005/8/layout/bProcess3"/>
    <dgm:cxn modelId="{113F5D53-DA0E-47F8-9E44-8ED2AF38D831}" type="presParOf" srcId="{49F21675-28D8-4B6A-B69C-EE3060974852}" destId="{E2FA9768-6986-4C8E-9A5E-A30D02266166}" srcOrd="14" destOrd="0" presId="urn:microsoft.com/office/officeart/2005/8/layout/bProcess3"/>
    <dgm:cxn modelId="{D679FE9E-1FBA-42D5-BE63-46B4580E1726}" type="presParOf" srcId="{49F21675-28D8-4B6A-B69C-EE3060974852}" destId="{9272CD00-17B7-4273-8DAD-6A101D6DE933}" srcOrd="15" destOrd="0" presId="urn:microsoft.com/office/officeart/2005/8/layout/bProcess3"/>
    <dgm:cxn modelId="{942B9492-6B95-4883-A425-77E7B7C94DF7}" type="presParOf" srcId="{9272CD00-17B7-4273-8DAD-6A101D6DE933}" destId="{896339FF-61BE-4306-905F-96BFCA8668B8}" srcOrd="0" destOrd="0" presId="urn:microsoft.com/office/officeart/2005/8/layout/bProcess3"/>
    <dgm:cxn modelId="{B4914B0D-A5AF-4536-8211-1E8562277F3C}" type="presParOf" srcId="{49F21675-28D8-4B6A-B69C-EE3060974852}" destId="{3A921A6F-5123-4D97-97C0-A3AA4E87E98B}" srcOrd="16" destOrd="0" presId="urn:microsoft.com/office/officeart/2005/8/layout/bProcess3"/>
    <dgm:cxn modelId="{1D5928B5-4188-4CBA-B025-2F7C51DD7D49}" type="presParOf" srcId="{49F21675-28D8-4B6A-B69C-EE3060974852}" destId="{9FAE240D-FEF1-47C2-8AFB-D1CBE0C69415}" srcOrd="17" destOrd="0" presId="urn:microsoft.com/office/officeart/2005/8/layout/bProcess3"/>
    <dgm:cxn modelId="{E4BB9796-14AE-4582-8D5E-843C9BDE774D}" type="presParOf" srcId="{9FAE240D-FEF1-47C2-8AFB-D1CBE0C69415}" destId="{10385A82-E16F-4001-B0D6-5AAF093F41BF}" srcOrd="0" destOrd="0" presId="urn:microsoft.com/office/officeart/2005/8/layout/bProcess3"/>
    <dgm:cxn modelId="{18154155-05CE-4931-AA4C-E3C6E5A30F8B}" type="presParOf" srcId="{49F21675-28D8-4B6A-B69C-EE3060974852}" destId="{4A6EDF05-2D28-4338-B225-35FDDD17C7BA}" srcOrd="18" destOrd="0" presId="urn:microsoft.com/office/officeart/2005/8/layout/bProcess3"/>
    <dgm:cxn modelId="{A6E1E074-1A67-4FC4-BF71-AF022961063F}" type="presParOf" srcId="{49F21675-28D8-4B6A-B69C-EE3060974852}" destId="{9EBFAB49-766D-4775-9C35-C075DF6D9B3A}" srcOrd="19" destOrd="0" presId="urn:microsoft.com/office/officeart/2005/8/layout/bProcess3"/>
    <dgm:cxn modelId="{DEB8454C-5444-40A4-B4E0-109A62BA6368}" type="presParOf" srcId="{9EBFAB49-766D-4775-9C35-C075DF6D9B3A}" destId="{C88DC3B7-25B8-4EE4-9978-E38C6BD850B7}" srcOrd="0" destOrd="0" presId="urn:microsoft.com/office/officeart/2005/8/layout/bProcess3"/>
    <dgm:cxn modelId="{1E6DCC1A-3AE7-461A-9C8B-B97DC6A8657F}" type="presParOf" srcId="{49F21675-28D8-4B6A-B69C-EE3060974852}" destId="{3F7C678E-9CAB-4060-9C52-2B026BE1DB3D}" srcOrd="20" destOrd="0" presId="urn:microsoft.com/office/officeart/2005/8/layout/bProcess3"/>
    <dgm:cxn modelId="{D1E4A57B-8230-40C7-9CEA-871753C26932}" type="presParOf" srcId="{49F21675-28D8-4B6A-B69C-EE3060974852}" destId="{ACC449F9-5E6D-4C50-8C68-48E16959AECA}" srcOrd="21" destOrd="0" presId="urn:microsoft.com/office/officeart/2005/8/layout/bProcess3"/>
    <dgm:cxn modelId="{358F1771-F370-4330-8323-DDBCA5BCD311}" type="presParOf" srcId="{ACC449F9-5E6D-4C50-8C68-48E16959AECA}" destId="{9BE24B3B-D7E1-4581-9E3C-802BA57D6728}" srcOrd="0" destOrd="0" presId="urn:microsoft.com/office/officeart/2005/8/layout/bProcess3"/>
    <dgm:cxn modelId="{0394A3DB-44EB-447F-9EFD-515F124FE841}" type="presParOf" srcId="{49F21675-28D8-4B6A-B69C-EE3060974852}" destId="{FA9C25B9-A143-49D5-9788-5EFC7262BC81}" srcOrd="22" destOrd="0" presId="urn:microsoft.com/office/officeart/2005/8/layout/bProcess3"/>
    <dgm:cxn modelId="{F98C5C34-7FED-4D48-8927-6CCD3D3BAE4C}" type="presParOf" srcId="{49F21675-28D8-4B6A-B69C-EE3060974852}" destId="{6501C177-AFBE-4E1B-B979-95BABB52EC85}" srcOrd="23" destOrd="0" presId="urn:microsoft.com/office/officeart/2005/8/layout/bProcess3"/>
    <dgm:cxn modelId="{92E4351A-5321-4237-8029-C3FFC96E5A4F}" type="presParOf" srcId="{6501C177-AFBE-4E1B-B979-95BABB52EC85}" destId="{61E5406B-C421-40A9-A4CD-14F30F8323D9}" srcOrd="0" destOrd="0" presId="urn:microsoft.com/office/officeart/2005/8/layout/bProcess3"/>
    <dgm:cxn modelId="{752F7A95-7874-4082-9578-81D9511F2BD5}" type="presParOf" srcId="{49F21675-28D8-4B6A-B69C-EE3060974852}" destId="{3A2F8B77-37E2-42A7-AE3B-9ECFBD74AE5F}" srcOrd="24" destOrd="0" presId="urn:microsoft.com/office/officeart/2005/8/layout/bProcess3"/>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D5D8753-FD0C-4BCC-AAA0-FE6B8675E1B8}">
      <dsp:nvSpPr>
        <dsp:cNvPr id="0" name=""/>
        <dsp:cNvSpPr/>
      </dsp:nvSpPr>
      <dsp:spPr>
        <a:xfrm>
          <a:off x="1209274" y="153281"/>
          <a:ext cx="247687" cy="91440"/>
        </a:xfrm>
        <a:custGeom>
          <a:avLst/>
          <a:gdLst/>
          <a:ahLst/>
          <a:cxnLst/>
          <a:rect l="0" t="0" r="0" b="0"/>
          <a:pathLst>
            <a:path>
              <a:moveTo>
                <a:pt x="0" y="45720"/>
              </a:moveTo>
              <a:lnTo>
                <a:pt x="247687" y="45720"/>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1326160" y="197610"/>
        <a:ext cx="13914" cy="2782"/>
      </dsp:txXfrm>
    </dsp:sp>
    <dsp:sp modelId="{2841044B-0F6F-4DC7-A651-7405B2E452F7}">
      <dsp:nvSpPr>
        <dsp:cNvPr id="0" name=""/>
        <dsp:cNvSpPr/>
      </dsp:nvSpPr>
      <dsp:spPr>
        <a:xfrm>
          <a:off x="1129" y="20464"/>
          <a:ext cx="1209944" cy="35707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Font typeface="Calibri" panose="020F0502020204030204" pitchFamily="34" charset="0"/>
            <a:buNone/>
          </a:pPr>
          <a:r>
            <a:rPr lang="en-US" sz="900" kern="1200"/>
            <a:t>Site Acquisition</a:t>
          </a:r>
          <a:endParaRPr lang="en-GB" sz="900" kern="1200"/>
        </a:p>
      </dsp:txBody>
      <dsp:txXfrm>
        <a:off x="1129" y="20464"/>
        <a:ext cx="1209944" cy="357074"/>
      </dsp:txXfrm>
    </dsp:sp>
    <dsp:sp modelId="{D8A79277-32C5-4AB2-A9D3-EC890333E9FC}">
      <dsp:nvSpPr>
        <dsp:cNvPr id="0" name=""/>
        <dsp:cNvSpPr/>
      </dsp:nvSpPr>
      <dsp:spPr>
        <a:xfrm>
          <a:off x="2697506" y="153281"/>
          <a:ext cx="247687" cy="91440"/>
        </a:xfrm>
        <a:custGeom>
          <a:avLst/>
          <a:gdLst/>
          <a:ahLst/>
          <a:cxnLst/>
          <a:rect l="0" t="0" r="0" b="0"/>
          <a:pathLst>
            <a:path>
              <a:moveTo>
                <a:pt x="0" y="45720"/>
              </a:moveTo>
              <a:lnTo>
                <a:pt x="247687" y="45720"/>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814392" y="197610"/>
        <a:ext cx="13914" cy="2782"/>
      </dsp:txXfrm>
    </dsp:sp>
    <dsp:sp modelId="{EF8046AB-06EF-4D3F-8FDC-640879C8BFAD}">
      <dsp:nvSpPr>
        <dsp:cNvPr id="0" name=""/>
        <dsp:cNvSpPr/>
      </dsp:nvSpPr>
      <dsp:spPr>
        <a:xfrm>
          <a:off x="1489361" y="20464"/>
          <a:ext cx="1209944" cy="35707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Font typeface="Calibri" panose="020F0502020204030204" pitchFamily="34" charset="0"/>
            <a:buNone/>
          </a:pPr>
          <a:r>
            <a:rPr lang="en-US" sz="900" kern="1200"/>
            <a:t>Site Surveying</a:t>
          </a:r>
          <a:endParaRPr lang="en-GB" sz="900" kern="1200"/>
        </a:p>
      </dsp:txBody>
      <dsp:txXfrm>
        <a:off x="1489361" y="20464"/>
        <a:ext cx="1209944" cy="357074"/>
      </dsp:txXfrm>
    </dsp:sp>
    <dsp:sp modelId="{4424E786-4A32-49DF-8C8D-9E7511E7E97D}">
      <dsp:nvSpPr>
        <dsp:cNvPr id="0" name=""/>
        <dsp:cNvSpPr/>
      </dsp:nvSpPr>
      <dsp:spPr>
        <a:xfrm>
          <a:off x="4185738" y="153281"/>
          <a:ext cx="247687" cy="91440"/>
        </a:xfrm>
        <a:custGeom>
          <a:avLst/>
          <a:gdLst/>
          <a:ahLst/>
          <a:cxnLst/>
          <a:rect l="0" t="0" r="0" b="0"/>
          <a:pathLst>
            <a:path>
              <a:moveTo>
                <a:pt x="0" y="45720"/>
              </a:moveTo>
              <a:lnTo>
                <a:pt x="247687" y="45720"/>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4302624" y="197610"/>
        <a:ext cx="13914" cy="2782"/>
      </dsp:txXfrm>
    </dsp:sp>
    <dsp:sp modelId="{48F1C7A3-828D-4451-AB40-7E7213E4E669}">
      <dsp:nvSpPr>
        <dsp:cNvPr id="0" name=""/>
        <dsp:cNvSpPr/>
      </dsp:nvSpPr>
      <dsp:spPr>
        <a:xfrm>
          <a:off x="2977593" y="584"/>
          <a:ext cx="1209944" cy="39683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t>Feasibility and Viability Study</a:t>
          </a:r>
          <a:endParaRPr lang="en-GB" sz="900" kern="1200"/>
        </a:p>
      </dsp:txBody>
      <dsp:txXfrm>
        <a:off x="2977593" y="584"/>
        <a:ext cx="1209944" cy="396835"/>
      </dsp:txXfrm>
    </dsp:sp>
    <dsp:sp modelId="{AE3A6DCB-8775-48B1-AB46-98895FEB41BA}">
      <dsp:nvSpPr>
        <dsp:cNvPr id="0" name=""/>
        <dsp:cNvSpPr/>
      </dsp:nvSpPr>
      <dsp:spPr>
        <a:xfrm>
          <a:off x="606101" y="365800"/>
          <a:ext cx="4464696" cy="277506"/>
        </a:xfrm>
        <a:custGeom>
          <a:avLst/>
          <a:gdLst/>
          <a:ahLst/>
          <a:cxnLst/>
          <a:rect l="0" t="0" r="0" b="0"/>
          <a:pathLst>
            <a:path>
              <a:moveTo>
                <a:pt x="4464696" y="0"/>
              </a:moveTo>
              <a:lnTo>
                <a:pt x="4464696" y="155853"/>
              </a:lnTo>
              <a:lnTo>
                <a:pt x="0" y="155853"/>
              </a:lnTo>
              <a:lnTo>
                <a:pt x="0" y="277506"/>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726567" y="503161"/>
        <a:ext cx="223765" cy="2782"/>
      </dsp:txXfrm>
    </dsp:sp>
    <dsp:sp modelId="{9BF70A82-61C0-4B71-9E61-31BF8BE32C3A}">
      <dsp:nvSpPr>
        <dsp:cNvPr id="0" name=""/>
        <dsp:cNvSpPr/>
      </dsp:nvSpPr>
      <dsp:spPr>
        <a:xfrm>
          <a:off x="4465825" y="30403"/>
          <a:ext cx="1209944" cy="33719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Font typeface="Calibri" panose="020F0502020204030204" pitchFamily="34" charset="0"/>
            <a:buNone/>
          </a:pPr>
          <a:r>
            <a:rPr lang="en-US" sz="900" kern="1200"/>
            <a:t>Project Costing</a:t>
          </a:r>
          <a:endParaRPr lang="en-GB" sz="900" kern="1200"/>
        </a:p>
      </dsp:txBody>
      <dsp:txXfrm>
        <a:off x="4465825" y="30403"/>
        <a:ext cx="1209944" cy="337197"/>
      </dsp:txXfrm>
    </dsp:sp>
    <dsp:sp modelId="{ADB8182B-2506-4E77-A465-BD8913EE040D}">
      <dsp:nvSpPr>
        <dsp:cNvPr id="0" name=""/>
        <dsp:cNvSpPr/>
      </dsp:nvSpPr>
      <dsp:spPr>
        <a:xfrm>
          <a:off x="1209274" y="888673"/>
          <a:ext cx="247687" cy="91440"/>
        </a:xfrm>
        <a:custGeom>
          <a:avLst/>
          <a:gdLst/>
          <a:ahLst/>
          <a:cxnLst/>
          <a:rect l="0" t="0" r="0" b="0"/>
          <a:pathLst>
            <a:path>
              <a:moveTo>
                <a:pt x="0" y="45720"/>
              </a:moveTo>
              <a:lnTo>
                <a:pt x="247687" y="45720"/>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1326160" y="933002"/>
        <a:ext cx="13914" cy="2782"/>
      </dsp:txXfrm>
    </dsp:sp>
    <dsp:sp modelId="{C6156878-4788-456F-A961-6CB839AC476B}">
      <dsp:nvSpPr>
        <dsp:cNvPr id="0" name=""/>
        <dsp:cNvSpPr/>
      </dsp:nvSpPr>
      <dsp:spPr>
        <a:xfrm>
          <a:off x="1129" y="675706"/>
          <a:ext cx="1209944" cy="51737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t>Proposed Development Blueprint Design </a:t>
          </a:r>
          <a:endParaRPr lang="en-GB" sz="900" kern="1200"/>
        </a:p>
      </dsp:txBody>
      <dsp:txXfrm>
        <a:off x="1129" y="675706"/>
        <a:ext cx="1209944" cy="517374"/>
      </dsp:txXfrm>
    </dsp:sp>
    <dsp:sp modelId="{0344A703-A4E0-4E03-A99A-9B69986CDA53}">
      <dsp:nvSpPr>
        <dsp:cNvPr id="0" name=""/>
        <dsp:cNvSpPr/>
      </dsp:nvSpPr>
      <dsp:spPr>
        <a:xfrm>
          <a:off x="2697506" y="888673"/>
          <a:ext cx="247687" cy="91440"/>
        </a:xfrm>
        <a:custGeom>
          <a:avLst/>
          <a:gdLst/>
          <a:ahLst/>
          <a:cxnLst/>
          <a:rect l="0" t="0" r="0" b="0"/>
          <a:pathLst>
            <a:path>
              <a:moveTo>
                <a:pt x="0" y="45720"/>
              </a:moveTo>
              <a:lnTo>
                <a:pt x="247687" y="45720"/>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814392" y="933002"/>
        <a:ext cx="13914" cy="2782"/>
      </dsp:txXfrm>
    </dsp:sp>
    <dsp:sp modelId="{18A53E05-742E-4A0D-8D74-3564720D845B}">
      <dsp:nvSpPr>
        <dsp:cNvPr id="0" name=""/>
        <dsp:cNvSpPr/>
      </dsp:nvSpPr>
      <dsp:spPr>
        <a:xfrm>
          <a:off x="1489361" y="675706"/>
          <a:ext cx="1209944" cy="51737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Font typeface="Calibri" panose="020F0502020204030204" pitchFamily="34" charset="0"/>
            <a:buNone/>
          </a:pPr>
          <a:r>
            <a:rPr lang="en-US" sz="900" kern="1200"/>
            <a:t>Security of Necessary Approval</a:t>
          </a:r>
          <a:endParaRPr lang="en-GB" sz="900" kern="1200"/>
        </a:p>
      </dsp:txBody>
      <dsp:txXfrm>
        <a:off x="1489361" y="675706"/>
        <a:ext cx="1209944" cy="517374"/>
      </dsp:txXfrm>
    </dsp:sp>
    <dsp:sp modelId="{437F258E-AF0B-47FC-9105-302DD43E5947}">
      <dsp:nvSpPr>
        <dsp:cNvPr id="0" name=""/>
        <dsp:cNvSpPr/>
      </dsp:nvSpPr>
      <dsp:spPr>
        <a:xfrm>
          <a:off x="4185738" y="888673"/>
          <a:ext cx="247687" cy="91440"/>
        </a:xfrm>
        <a:custGeom>
          <a:avLst/>
          <a:gdLst/>
          <a:ahLst/>
          <a:cxnLst/>
          <a:rect l="0" t="0" r="0" b="0"/>
          <a:pathLst>
            <a:path>
              <a:moveTo>
                <a:pt x="0" y="45720"/>
              </a:moveTo>
              <a:lnTo>
                <a:pt x="247687" y="45720"/>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4302624" y="933002"/>
        <a:ext cx="13914" cy="2782"/>
      </dsp:txXfrm>
    </dsp:sp>
    <dsp:sp modelId="{8EDE588D-4B2C-43AA-8C73-8BCDCEE4FA6D}">
      <dsp:nvSpPr>
        <dsp:cNvPr id="0" name=""/>
        <dsp:cNvSpPr/>
      </dsp:nvSpPr>
      <dsp:spPr>
        <a:xfrm>
          <a:off x="2977593" y="675706"/>
          <a:ext cx="1209944" cy="51737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Font typeface="Calibri" panose="020F0502020204030204" pitchFamily="34" charset="0"/>
            <a:buNone/>
          </a:pPr>
          <a:r>
            <a:rPr lang="en-US" sz="900" b="1" kern="1200"/>
            <a:t>CONSTRUCTION OF PROTOTYPE UNITS</a:t>
          </a:r>
          <a:endParaRPr lang="en-GB" sz="900" kern="1200"/>
        </a:p>
      </dsp:txBody>
      <dsp:txXfrm>
        <a:off x="2977593" y="675706"/>
        <a:ext cx="1209944" cy="517374"/>
      </dsp:txXfrm>
    </dsp:sp>
    <dsp:sp modelId="{BF164523-ED65-4A31-8815-B209D2842CD2}">
      <dsp:nvSpPr>
        <dsp:cNvPr id="0" name=""/>
        <dsp:cNvSpPr/>
      </dsp:nvSpPr>
      <dsp:spPr>
        <a:xfrm>
          <a:off x="606101" y="1181342"/>
          <a:ext cx="4464696" cy="257625"/>
        </a:xfrm>
        <a:custGeom>
          <a:avLst/>
          <a:gdLst/>
          <a:ahLst/>
          <a:cxnLst/>
          <a:rect l="0" t="0" r="0" b="0"/>
          <a:pathLst>
            <a:path>
              <a:moveTo>
                <a:pt x="4464696" y="0"/>
              </a:moveTo>
              <a:lnTo>
                <a:pt x="4464696" y="145912"/>
              </a:lnTo>
              <a:lnTo>
                <a:pt x="0" y="145912"/>
              </a:lnTo>
              <a:lnTo>
                <a:pt x="0" y="257625"/>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726600" y="1308764"/>
        <a:ext cx="223699" cy="2782"/>
      </dsp:txXfrm>
    </dsp:sp>
    <dsp:sp modelId="{3D094731-6820-426C-A04C-02C87AABA20C}">
      <dsp:nvSpPr>
        <dsp:cNvPr id="0" name=""/>
        <dsp:cNvSpPr/>
      </dsp:nvSpPr>
      <dsp:spPr>
        <a:xfrm>
          <a:off x="4465825" y="685645"/>
          <a:ext cx="1209944" cy="49749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Font typeface="Calibri" panose="020F0502020204030204" pitchFamily="34" charset="0"/>
            <a:buNone/>
          </a:pPr>
          <a:r>
            <a:rPr lang="en-US" sz="900" kern="1200"/>
            <a:t>Selection of Suitable Medium for Marketing</a:t>
          </a:r>
          <a:endParaRPr lang="en-GB" sz="900" kern="1200"/>
        </a:p>
      </dsp:txBody>
      <dsp:txXfrm>
        <a:off x="4465825" y="685645"/>
        <a:ext cx="1209944" cy="497497"/>
      </dsp:txXfrm>
    </dsp:sp>
    <dsp:sp modelId="{F11D824B-785A-40EC-A12D-6E0E977B4981}">
      <dsp:nvSpPr>
        <dsp:cNvPr id="0" name=""/>
        <dsp:cNvSpPr/>
      </dsp:nvSpPr>
      <dsp:spPr>
        <a:xfrm>
          <a:off x="1209274" y="1703813"/>
          <a:ext cx="247687" cy="91440"/>
        </a:xfrm>
        <a:custGeom>
          <a:avLst/>
          <a:gdLst/>
          <a:ahLst/>
          <a:cxnLst/>
          <a:rect l="0" t="0" r="0" b="0"/>
          <a:pathLst>
            <a:path>
              <a:moveTo>
                <a:pt x="0" y="45720"/>
              </a:moveTo>
              <a:lnTo>
                <a:pt x="247687" y="45720"/>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1326160" y="1748142"/>
        <a:ext cx="13914" cy="2782"/>
      </dsp:txXfrm>
    </dsp:sp>
    <dsp:sp modelId="{A554F2F7-66DC-4877-B941-C13FCB06B215}">
      <dsp:nvSpPr>
        <dsp:cNvPr id="0" name=""/>
        <dsp:cNvSpPr/>
      </dsp:nvSpPr>
      <dsp:spPr>
        <a:xfrm>
          <a:off x="1129" y="1471368"/>
          <a:ext cx="1209944" cy="55633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Font typeface="Calibri" panose="020F0502020204030204" pitchFamily="34" charset="0"/>
            <a:buNone/>
          </a:pPr>
          <a:r>
            <a:rPr lang="en-US" sz="900" kern="1200"/>
            <a:t>Preparation of Detailed Sales/Lease Contract</a:t>
          </a:r>
          <a:endParaRPr lang="en-GB" sz="900" kern="1200"/>
        </a:p>
      </dsp:txBody>
      <dsp:txXfrm>
        <a:off x="1129" y="1471368"/>
        <a:ext cx="1209944" cy="556330"/>
      </dsp:txXfrm>
    </dsp:sp>
    <dsp:sp modelId="{5EBB1A9D-F0D4-4739-9133-A068F742EE54}">
      <dsp:nvSpPr>
        <dsp:cNvPr id="0" name=""/>
        <dsp:cNvSpPr/>
      </dsp:nvSpPr>
      <dsp:spPr>
        <a:xfrm>
          <a:off x="2697506" y="1703813"/>
          <a:ext cx="247687" cy="91440"/>
        </a:xfrm>
        <a:custGeom>
          <a:avLst/>
          <a:gdLst/>
          <a:ahLst/>
          <a:cxnLst/>
          <a:rect l="0" t="0" r="0" b="0"/>
          <a:pathLst>
            <a:path>
              <a:moveTo>
                <a:pt x="0" y="45720"/>
              </a:moveTo>
              <a:lnTo>
                <a:pt x="247687" y="45720"/>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814392" y="1748142"/>
        <a:ext cx="13914" cy="2782"/>
      </dsp:txXfrm>
    </dsp:sp>
    <dsp:sp modelId="{075B0004-986B-405B-B68A-90875282F937}">
      <dsp:nvSpPr>
        <dsp:cNvPr id="0" name=""/>
        <dsp:cNvSpPr/>
      </dsp:nvSpPr>
      <dsp:spPr>
        <a:xfrm>
          <a:off x="1489361" y="1491249"/>
          <a:ext cx="1209944" cy="51656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t>Receipt of Initial Deposit</a:t>
          </a:r>
          <a:endParaRPr lang="en-GB" sz="900" kern="1200"/>
        </a:p>
      </dsp:txBody>
      <dsp:txXfrm>
        <a:off x="1489361" y="1491249"/>
        <a:ext cx="1209944" cy="516568"/>
      </dsp:txXfrm>
    </dsp:sp>
    <dsp:sp modelId="{45C2C970-6D8C-47D0-9A04-5035EBE04F9E}">
      <dsp:nvSpPr>
        <dsp:cNvPr id="0" name=""/>
        <dsp:cNvSpPr/>
      </dsp:nvSpPr>
      <dsp:spPr>
        <a:xfrm>
          <a:off x="4185738" y="1703813"/>
          <a:ext cx="247687" cy="91440"/>
        </a:xfrm>
        <a:custGeom>
          <a:avLst/>
          <a:gdLst/>
          <a:ahLst/>
          <a:cxnLst/>
          <a:rect l="0" t="0" r="0" b="0"/>
          <a:pathLst>
            <a:path>
              <a:moveTo>
                <a:pt x="0" y="45720"/>
              </a:moveTo>
              <a:lnTo>
                <a:pt x="247687" y="45720"/>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4302624" y="1748142"/>
        <a:ext cx="13914" cy="2782"/>
      </dsp:txXfrm>
    </dsp:sp>
    <dsp:sp modelId="{D8598088-70F1-4847-844F-7795054E80FA}">
      <dsp:nvSpPr>
        <dsp:cNvPr id="0" name=""/>
        <dsp:cNvSpPr/>
      </dsp:nvSpPr>
      <dsp:spPr>
        <a:xfrm>
          <a:off x="2977593" y="1491249"/>
          <a:ext cx="1209944" cy="51656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t>Kick-starting the Project Construction</a:t>
          </a:r>
          <a:endParaRPr lang="en-GB" sz="900" kern="1200"/>
        </a:p>
      </dsp:txBody>
      <dsp:txXfrm>
        <a:off x="2977593" y="1491249"/>
        <a:ext cx="1209944" cy="516568"/>
      </dsp:txXfrm>
    </dsp:sp>
    <dsp:sp modelId="{D274FA50-0D2D-4F63-8134-A24549CBA398}">
      <dsp:nvSpPr>
        <dsp:cNvPr id="0" name=""/>
        <dsp:cNvSpPr/>
      </dsp:nvSpPr>
      <dsp:spPr>
        <a:xfrm>
          <a:off x="804883" y="2003876"/>
          <a:ext cx="4265914" cy="269709"/>
        </a:xfrm>
        <a:custGeom>
          <a:avLst/>
          <a:gdLst/>
          <a:ahLst/>
          <a:cxnLst/>
          <a:rect l="0" t="0" r="0" b="0"/>
          <a:pathLst>
            <a:path>
              <a:moveTo>
                <a:pt x="4265914" y="0"/>
              </a:moveTo>
              <a:lnTo>
                <a:pt x="4265914" y="151954"/>
              </a:lnTo>
              <a:lnTo>
                <a:pt x="0" y="151954"/>
              </a:lnTo>
              <a:lnTo>
                <a:pt x="0" y="269709"/>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830929" y="2137339"/>
        <a:ext cx="213823" cy="2782"/>
      </dsp:txXfrm>
    </dsp:sp>
    <dsp:sp modelId="{C60CC4F7-7022-4507-8E10-38C4703ADEBB}">
      <dsp:nvSpPr>
        <dsp:cNvPr id="0" name=""/>
        <dsp:cNvSpPr/>
      </dsp:nvSpPr>
      <dsp:spPr>
        <a:xfrm>
          <a:off x="4465825" y="1493390"/>
          <a:ext cx="1209944" cy="51228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Font typeface="Calibri" panose="020F0502020204030204" pitchFamily="34" charset="0"/>
            <a:buNone/>
          </a:pPr>
          <a:r>
            <a:rPr lang="en-US" sz="900" kern="1200"/>
            <a:t>Project Delivery after Completion</a:t>
          </a:r>
          <a:endParaRPr lang="en-GB" sz="900" kern="1200"/>
        </a:p>
      </dsp:txBody>
      <dsp:txXfrm>
        <a:off x="4465825" y="1493390"/>
        <a:ext cx="1209944" cy="512285"/>
      </dsp:txXfrm>
    </dsp:sp>
    <dsp:sp modelId="{D23F5394-BF4D-4625-B791-A3F84973463A}">
      <dsp:nvSpPr>
        <dsp:cNvPr id="0" name=""/>
        <dsp:cNvSpPr/>
      </dsp:nvSpPr>
      <dsp:spPr>
        <a:xfrm>
          <a:off x="1129" y="2305986"/>
          <a:ext cx="1607508" cy="59565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Font typeface="Calibri" panose="020F0502020204030204" pitchFamily="34" charset="0"/>
            <a:buNone/>
          </a:pPr>
          <a:r>
            <a:rPr lang="en-US" sz="900" kern="1200"/>
            <a:t>Handover of Deed of Assignment upon Completion of Payment</a:t>
          </a:r>
          <a:endParaRPr lang="en-GB" sz="900" kern="1200"/>
        </a:p>
      </dsp:txBody>
      <dsp:txXfrm>
        <a:off x="1129" y="2305986"/>
        <a:ext cx="1607508" cy="59565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227A78-AEE3-48E1-953B-112F66F3216F}">
      <dsp:nvSpPr>
        <dsp:cNvPr id="0" name=""/>
        <dsp:cNvSpPr/>
      </dsp:nvSpPr>
      <dsp:spPr>
        <a:xfrm>
          <a:off x="1186922" y="223464"/>
          <a:ext cx="242551" cy="91440"/>
        </a:xfrm>
        <a:custGeom>
          <a:avLst/>
          <a:gdLst/>
          <a:ahLst/>
          <a:cxnLst/>
          <a:rect l="0" t="0" r="0" b="0"/>
          <a:pathLst>
            <a:path>
              <a:moveTo>
                <a:pt x="0" y="45720"/>
              </a:moveTo>
              <a:lnTo>
                <a:pt x="242551" y="45720"/>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1301369" y="267818"/>
        <a:ext cx="13657" cy="2731"/>
      </dsp:txXfrm>
    </dsp:sp>
    <dsp:sp modelId="{AC41E0F6-5379-414D-AE79-A2363A9A4922}">
      <dsp:nvSpPr>
        <dsp:cNvPr id="0" name=""/>
        <dsp:cNvSpPr/>
      </dsp:nvSpPr>
      <dsp:spPr>
        <a:xfrm>
          <a:off x="1108" y="5384"/>
          <a:ext cx="1187613" cy="52759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Font typeface="Calibri" panose="020F0502020204030204" pitchFamily="34" charset="0"/>
            <a:buNone/>
          </a:pPr>
          <a:r>
            <a:rPr lang="en-US" sz="900" kern="1200"/>
            <a:t>Site Acquisition</a:t>
          </a:r>
          <a:endParaRPr lang="en-GB" sz="900" kern="1200"/>
        </a:p>
      </dsp:txBody>
      <dsp:txXfrm>
        <a:off x="1108" y="5384"/>
        <a:ext cx="1187613" cy="527599"/>
      </dsp:txXfrm>
    </dsp:sp>
    <dsp:sp modelId="{5F50CFAB-EED1-4DE1-8D6A-FD3B5D0CD7D5}">
      <dsp:nvSpPr>
        <dsp:cNvPr id="0" name=""/>
        <dsp:cNvSpPr/>
      </dsp:nvSpPr>
      <dsp:spPr>
        <a:xfrm>
          <a:off x="2647686" y="223464"/>
          <a:ext cx="242551" cy="91440"/>
        </a:xfrm>
        <a:custGeom>
          <a:avLst/>
          <a:gdLst/>
          <a:ahLst/>
          <a:cxnLst/>
          <a:rect l="0" t="0" r="0" b="0"/>
          <a:pathLst>
            <a:path>
              <a:moveTo>
                <a:pt x="0" y="45720"/>
              </a:moveTo>
              <a:lnTo>
                <a:pt x="242551" y="45720"/>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762133" y="267818"/>
        <a:ext cx="13657" cy="2731"/>
      </dsp:txXfrm>
    </dsp:sp>
    <dsp:sp modelId="{93ACE202-9568-4B5C-B019-014DD07FC4C1}">
      <dsp:nvSpPr>
        <dsp:cNvPr id="0" name=""/>
        <dsp:cNvSpPr/>
      </dsp:nvSpPr>
      <dsp:spPr>
        <a:xfrm>
          <a:off x="1461873" y="5384"/>
          <a:ext cx="1187613" cy="52759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Font typeface="Calibri" panose="020F0502020204030204" pitchFamily="34" charset="0"/>
            <a:buNone/>
          </a:pPr>
          <a:r>
            <a:rPr lang="en-US" sz="900" kern="1200"/>
            <a:t>Site Surveying</a:t>
          </a:r>
          <a:endParaRPr lang="en-GB" sz="900" kern="1200"/>
        </a:p>
      </dsp:txBody>
      <dsp:txXfrm>
        <a:off x="1461873" y="5384"/>
        <a:ext cx="1187613" cy="527599"/>
      </dsp:txXfrm>
    </dsp:sp>
    <dsp:sp modelId="{7B6BB5F0-1AF7-4238-9B97-D650A5991F45}">
      <dsp:nvSpPr>
        <dsp:cNvPr id="0" name=""/>
        <dsp:cNvSpPr/>
      </dsp:nvSpPr>
      <dsp:spPr>
        <a:xfrm>
          <a:off x="4108451" y="223464"/>
          <a:ext cx="242551" cy="91440"/>
        </a:xfrm>
        <a:custGeom>
          <a:avLst/>
          <a:gdLst/>
          <a:ahLst/>
          <a:cxnLst/>
          <a:rect l="0" t="0" r="0" b="0"/>
          <a:pathLst>
            <a:path>
              <a:moveTo>
                <a:pt x="0" y="45720"/>
              </a:moveTo>
              <a:lnTo>
                <a:pt x="242551" y="45720"/>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4222898" y="267818"/>
        <a:ext cx="13657" cy="2731"/>
      </dsp:txXfrm>
    </dsp:sp>
    <dsp:sp modelId="{3C382A4C-08E3-4229-B5E5-9EC7C9AE3263}">
      <dsp:nvSpPr>
        <dsp:cNvPr id="0" name=""/>
        <dsp:cNvSpPr/>
      </dsp:nvSpPr>
      <dsp:spPr>
        <a:xfrm>
          <a:off x="2922638" y="5384"/>
          <a:ext cx="1187613" cy="52759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t>Feasibility and Viability Study</a:t>
          </a:r>
          <a:endParaRPr lang="en-GB" sz="900" kern="1200"/>
        </a:p>
      </dsp:txBody>
      <dsp:txXfrm>
        <a:off x="2922638" y="5384"/>
        <a:ext cx="1187613" cy="527599"/>
      </dsp:txXfrm>
    </dsp:sp>
    <dsp:sp modelId="{AC6F25E6-D35B-41D0-BF80-73BB2252AB91}">
      <dsp:nvSpPr>
        <dsp:cNvPr id="0" name=""/>
        <dsp:cNvSpPr/>
      </dsp:nvSpPr>
      <dsp:spPr>
        <a:xfrm>
          <a:off x="594915" y="517901"/>
          <a:ext cx="4382294" cy="255833"/>
        </a:xfrm>
        <a:custGeom>
          <a:avLst/>
          <a:gdLst/>
          <a:ahLst/>
          <a:cxnLst/>
          <a:rect l="0" t="0" r="0" b="0"/>
          <a:pathLst>
            <a:path>
              <a:moveTo>
                <a:pt x="4382294" y="0"/>
              </a:moveTo>
              <a:lnTo>
                <a:pt x="4382294" y="145016"/>
              </a:lnTo>
              <a:lnTo>
                <a:pt x="0" y="145016"/>
              </a:lnTo>
              <a:lnTo>
                <a:pt x="0" y="255833"/>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676271" y="644452"/>
        <a:ext cx="219582" cy="2731"/>
      </dsp:txXfrm>
    </dsp:sp>
    <dsp:sp modelId="{884C70D7-C281-43DD-9DA4-C36FFE938F7E}">
      <dsp:nvSpPr>
        <dsp:cNvPr id="0" name=""/>
        <dsp:cNvSpPr/>
      </dsp:nvSpPr>
      <dsp:spPr>
        <a:xfrm>
          <a:off x="4383402" y="18666"/>
          <a:ext cx="1187613" cy="50103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Font typeface="Calibri" panose="020F0502020204030204" pitchFamily="34" charset="0"/>
            <a:buNone/>
          </a:pPr>
          <a:r>
            <a:rPr lang="en-US" sz="900" kern="1200"/>
            <a:t>Project Costing</a:t>
          </a:r>
          <a:endParaRPr lang="en-GB" sz="900" kern="1200"/>
        </a:p>
      </dsp:txBody>
      <dsp:txXfrm>
        <a:off x="4383402" y="18666"/>
        <a:ext cx="1187613" cy="501035"/>
      </dsp:txXfrm>
    </dsp:sp>
    <dsp:sp modelId="{744F16A1-07DD-4F1F-8630-84466599F3BB}">
      <dsp:nvSpPr>
        <dsp:cNvPr id="0" name=""/>
        <dsp:cNvSpPr/>
      </dsp:nvSpPr>
      <dsp:spPr>
        <a:xfrm>
          <a:off x="1186922" y="1025287"/>
          <a:ext cx="242551" cy="91440"/>
        </a:xfrm>
        <a:custGeom>
          <a:avLst/>
          <a:gdLst/>
          <a:ahLst/>
          <a:cxnLst/>
          <a:rect l="0" t="0" r="0" b="0"/>
          <a:pathLst>
            <a:path>
              <a:moveTo>
                <a:pt x="0" y="45720"/>
              </a:moveTo>
              <a:lnTo>
                <a:pt x="242551" y="45720"/>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1301369" y="1069641"/>
        <a:ext cx="13657" cy="2731"/>
      </dsp:txXfrm>
    </dsp:sp>
    <dsp:sp modelId="{49327F3A-E08D-4914-9E22-65C4611ED0F7}">
      <dsp:nvSpPr>
        <dsp:cNvPr id="0" name=""/>
        <dsp:cNvSpPr/>
      </dsp:nvSpPr>
      <dsp:spPr>
        <a:xfrm>
          <a:off x="1108" y="806135"/>
          <a:ext cx="1187613" cy="52974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t>Proposed Development Blueprint Design </a:t>
          </a:r>
          <a:endParaRPr lang="en-GB" sz="900" kern="1200"/>
        </a:p>
      </dsp:txBody>
      <dsp:txXfrm>
        <a:off x="1108" y="806135"/>
        <a:ext cx="1187613" cy="529744"/>
      </dsp:txXfrm>
    </dsp:sp>
    <dsp:sp modelId="{9C622E64-434A-4572-A6BC-000F811EFC3A}">
      <dsp:nvSpPr>
        <dsp:cNvPr id="0" name=""/>
        <dsp:cNvSpPr/>
      </dsp:nvSpPr>
      <dsp:spPr>
        <a:xfrm>
          <a:off x="2647686" y="1025287"/>
          <a:ext cx="242551" cy="91440"/>
        </a:xfrm>
        <a:custGeom>
          <a:avLst/>
          <a:gdLst/>
          <a:ahLst/>
          <a:cxnLst/>
          <a:rect l="0" t="0" r="0" b="0"/>
          <a:pathLst>
            <a:path>
              <a:moveTo>
                <a:pt x="0" y="45720"/>
              </a:moveTo>
              <a:lnTo>
                <a:pt x="242551" y="45720"/>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762133" y="1069641"/>
        <a:ext cx="13657" cy="2731"/>
      </dsp:txXfrm>
    </dsp:sp>
    <dsp:sp modelId="{3A472145-83B5-46B6-B650-93D2BBD0C093}">
      <dsp:nvSpPr>
        <dsp:cNvPr id="0" name=""/>
        <dsp:cNvSpPr/>
      </dsp:nvSpPr>
      <dsp:spPr>
        <a:xfrm>
          <a:off x="1461873" y="816292"/>
          <a:ext cx="1187613" cy="50942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Font typeface="Calibri" panose="020F0502020204030204" pitchFamily="34" charset="0"/>
            <a:buNone/>
          </a:pPr>
          <a:r>
            <a:rPr lang="en-US" sz="900" kern="1200"/>
            <a:t>Security of Necessary Approval</a:t>
          </a:r>
          <a:endParaRPr lang="en-GB" sz="900" kern="1200"/>
        </a:p>
      </dsp:txBody>
      <dsp:txXfrm>
        <a:off x="1461873" y="816292"/>
        <a:ext cx="1187613" cy="509429"/>
      </dsp:txXfrm>
    </dsp:sp>
    <dsp:sp modelId="{5879C6CB-BA46-4499-A658-6B59A480B803}">
      <dsp:nvSpPr>
        <dsp:cNvPr id="0" name=""/>
        <dsp:cNvSpPr/>
      </dsp:nvSpPr>
      <dsp:spPr>
        <a:xfrm>
          <a:off x="4108451" y="1025287"/>
          <a:ext cx="242551" cy="91440"/>
        </a:xfrm>
        <a:custGeom>
          <a:avLst/>
          <a:gdLst/>
          <a:ahLst/>
          <a:cxnLst/>
          <a:rect l="0" t="0" r="0" b="0"/>
          <a:pathLst>
            <a:path>
              <a:moveTo>
                <a:pt x="0" y="45720"/>
              </a:moveTo>
              <a:lnTo>
                <a:pt x="242551" y="45720"/>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4222898" y="1069641"/>
        <a:ext cx="13657" cy="2731"/>
      </dsp:txXfrm>
    </dsp:sp>
    <dsp:sp modelId="{6EE15D9A-8065-4CE4-BA95-2BB1CB8DB2BC}">
      <dsp:nvSpPr>
        <dsp:cNvPr id="0" name=""/>
        <dsp:cNvSpPr/>
      </dsp:nvSpPr>
      <dsp:spPr>
        <a:xfrm>
          <a:off x="2922638" y="816292"/>
          <a:ext cx="1187613" cy="50942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Font typeface="Calibri" panose="020F0502020204030204" pitchFamily="34" charset="0"/>
            <a:buNone/>
          </a:pPr>
          <a:r>
            <a:rPr lang="en-US" sz="900" b="1" kern="1200"/>
            <a:t>DESIGN OF A 3D MODEL</a:t>
          </a:r>
          <a:endParaRPr lang="en-GB" sz="900" kern="1200"/>
        </a:p>
      </dsp:txBody>
      <dsp:txXfrm>
        <a:off x="2922638" y="816292"/>
        <a:ext cx="1187613" cy="509429"/>
      </dsp:txXfrm>
    </dsp:sp>
    <dsp:sp modelId="{9272CD00-17B7-4273-8DAD-6A101D6DE933}">
      <dsp:nvSpPr>
        <dsp:cNvPr id="0" name=""/>
        <dsp:cNvSpPr/>
      </dsp:nvSpPr>
      <dsp:spPr>
        <a:xfrm>
          <a:off x="594915" y="1318378"/>
          <a:ext cx="4382294" cy="268192"/>
        </a:xfrm>
        <a:custGeom>
          <a:avLst/>
          <a:gdLst/>
          <a:ahLst/>
          <a:cxnLst/>
          <a:rect l="0" t="0" r="0" b="0"/>
          <a:pathLst>
            <a:path>
              <a:moveTo>
                <a:pt x="4382294" y="0"/>
              </a:moveTo>
              <a:lnTo>
                <a:pt x="4382294" y="151196"/>
              </a:lnTo>
              <a:lnTo>
                <a:pt x="0" y="151196"/>
              </a:lnTo>
              <a:lnTo>
                <a:pt x="0" y="268192"/>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676250" y="1451109"/>
        <a:ext cx="219623" cy="2731"/>
      </dsp:txXfrm>
    </dsp:sp>
    <dsp:sp modelId="{E2FA9768-6986-4C8E-9A5E-A30D02266166}">
      <dsp:nvSpPr>
        <dsp:cNvPr id="0" name=""/>
        <dsp:cNvSpPr/>
      </dsp:nvSpPr>
      <dsp:spPr>
        <a:xfrm>
          <a:off x="4383402" y="821836"/>
          <a:ext cx="1187613" cy="49834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Font typeface="Calibri" panose="020F0502020204030204" pitchFamily="34" charset="0"/>
            <a:buNone/>
          </a:pPr>
          <a:r>
            <a:rPr lang="en-US" sz="900" kern="1200"/>
            <a:t>Selection of Suitable Medium for Marketing</a:t>
          </a:r>
          <a:endParaRPr lang="en-GB" sz="900" kern="1200"/>
        </a:p>
      </dsp:txBody>
      <dsp:txXfrm>
        <a:off x="4383402" y="821836"/>
        <a:ext cx="1187613" cy="498341"/>
      </dsp:txXfrm>
    </dsp:sp>
    <dsp:sp modelId="{9FAE240D-FEF1-47C2-8AFB-D1CBE0C69415}">
      <dsp:nvSpPr>
        <dsp:cNvPr id="0" name=""/>
        <dsp:cNvSpPr/>
      </dsp:nvSpPr>
      <dsp:spPr>
        <a:xfrm>
          <a:off x="1186922" y="1835372"/>
          <a:ext cx="242551" cy="91440"/>
        </a:xfrm>
        <a:custGeom>
          <a:avLst/>
          <a:gdLst/>
          <a:ahLst/>
          <a:cxnLst/>
          <a:rect l="0" t="0" r="0" b="0"/>
          <a:pathLst>
            <a:path>
              <a:moveTo>
                <a:pt x="0" y="45720"/>
              </a:moveTo>
              <a:lnTo>
                <a:pt x="242551" y="45720"/>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1301369" y="1879727"/>
        <a:ext cx="13657" cy="2731"/>
      </dsp:txXfrm>
    </dsp:sp>
    <dsp:sp modelId="{3A921A6F-5123-4D97-97C0-A3AA4E87E98B}">
      <dsp:nvSpPr>
        <dsp:cNvPr id="0" name=""/>
        <dsp:cNvSpPr/>
      </dsp:nvSpPr>
      <dsp:spPr>
        <a:xfrm>
          <a:off x="1108" y="1618971"/>
          <a:ext cx="1187613" cy="52424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Font typeface="Calibri" panose="020F0502020204030204" pitchFamily="34" charset="0"/>
            <a:buNone/>
          </a:pPr>
          <a:r>
            <a:rPr lang="en-US" sz="900" kern="1200"/>
            <a:t>Preparation of Detailed Sales/Lease Contract</a:t>
          </a:r>
          <a:endParaRPr lang="en-GB" sz="900" kern="1200"/>
        </a:p>
      </dsp:txBody>
      <dsp:txXfrm>
        <a:off x="1108" y="1618971"/>
        <a:ext cx="1187613" cy="524243"/>
      </dsp:txXfrm>
    </dsp:sp>
    <dsp:sp modelId="{9EBFAB49-766D-4775-9C35-C075DF6D9B3A}">
      <dsp:nvSpPr>
        <dsp:cNvPr id="0" name=""/>
        <dsp:cNvSpPr/>
      </dsp:nvSpPr>
      <dsp:spPr>
        <a:xfrm>
          <a:off x="2647686" y="1835372"/>
          <a:ext cx="242551" cy="91440"/>
        </a:xfrm>
        <a:custGeom>
          <a:avLst/>
          <a:gdLst/>
          <a:ahLst/>
          <a:cxnLst/>
          <a:rect l="0" t="0" r="0" b="0"/>
          <a:pathLst>
            <a:path>
              <a:moveTo>
                <a:pt x="0" y="45720"/>
              </a:moveTo>
              <a:lnTo>
                <a:pt x="242551" y="45720"/>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762133" y="1879727"/>
        <a:ext cx="13657" cy="2731"/>
      </dsp:txXfrm>
    </dsp:sp>
    <dsp:sp modelId="{4A6EDF05-2D28-4338-B225-35FDDD17C7BA}">
      <dsp:nvSpPr>
        <dsp:cNvPr id="0" name=""/>
        <dsp:cNvSpPr/>
      </dsp:nvSpPr>
      <dsp:spPr>
        <a:xfrm>
          <a:off x="1461873" y="1618971"/>
          <a:ext cx="1187613" cy="52424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t>Receipt of Initial Deposit</a:t>
          </a:r>
          <a:endParaRPr lang="en-GB" sz="900" kern="1200"/>
        </a:p>
      </dsp:txBody>
      <dsp:txXfrm>
        <a:off x="1461873" y="1618971"/>
        <a:ext cx="1187613" cy="524243"/>
      </dsp:txXfrm>
    </dsp:sp>
    <dsp:sp modelId="{ACC449F9-5E6D-4C50-8C68-48E16959AECA}">
      <dsp:nvSpPr>
        <dsp:cNvPr id="0" name=""/>
        <dsp:cNvSpPr/>
      </dsp:nvSpPr>
      <dsp:spPr>
        <a:xfrm>
          <a:off x="4108451" y="1835372"/>
          <a:ext cx="242551" cy="91440"/>
        </a:xfrm>
        <a:custGeom>
          <a:avLst/>
          <a:gdLst/>
          <a:ahLst/>
          <a:cxnLst/>
          <a:rect l="0" t="0" r="0" b="0"/>
          <a:pathLst>
            <a:path>
              <a:moveTo>
                <a:pt x="0" y="45720"/>
              </a:moveTo>
              <a:lnTo>
                <a:pt x="242551" y="45720"/>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4222898" y="1879727"/>
        <a:ext cx="13657" cy="2731"/>
      </dsp:txXfrm>
    </dsp:sp>
    <dsp:sp modelId="{3F7C678E-9CAB-4060-9C52-2B026BE1DB3D}">
      <dsp:nvSpPr>
        <dsp:cNvPr id="0" name=""/>
        <dsp:cNvSpPr/>
      </dsp:nvSpPr>
      <dsp:spPr>
        <a:xfrm>
          <a:off x="2922638" y="1618971"/>
          <a:ext cx="1187613" cy="52424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t>Kick-starting the Project Construction</a:t>
          </a:r>
          <a:endParaRPr lang="en-GB" sz="900" kern="1200"/>
        </a:p>
      </dsp:txBody>
      <dsp:txXfrm>
        <a:off x="2922638" y="1618971"/>
        <a:ext cx="1187613" cy="524243"/>
      </dsp:txXfrm>
    </dsp:sp>
    <dsp:sp modelId="{6501C177-AFBE-4E1B-B979-95BABB52EC85}">
      <dsp:nvSpPr>
        <dsp:cNvPr id="0" name=""/>
        <dsp:cNvSpPr/>
      </dsp:nvSpPr>
      <dsp:spPr>
        <a:xfrm>
          <a:off x="724953" y="2151355"/>
          <a:ext cx="4252256" cy="242551"/>
        </a:xfrm>
        <a:custGeom>
          <a:avLst/>
          <a:gdLst/>
          <a:ahLst/>
          <a:cxnLst/>
          <a:rect l="0" t="0" r="0" b="0"/>
          <a:pathLst>
            <a:path>
              <a:moveTo>
                <a:pt x="4252256" y="0"/>
              </a:moveTo>
              <a:lnTo>
                <a:pt x="4252256" y="138375"/>
              </a:lnTo>
              <a:lnTo>
                <a:pt x="0" y="138375"/>
              </a:lnTo>
              <a:lnTo>
                <a:pt x="0" y="242551"/>
              </a:lnTo>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744555" y="2271264"/>
        <a:ext cx="213051" cy="2731"/>
      </dsp:txXfrm>
    </dsp:sp>
    <dsp:sp modelId="{FA9C25B9-A143-49D5-9788-5EFC7262BC81}">
      <dsp:nvSpPr>
        <dsp:cNvPr id="0" name=""/>
        <dsp:cNvSpPr/>
      </dsp:nvSpPr>
      <dsp:spPr>
        <a:xfrm>
          <a:off x="4383402" y="1609030"/>
          <a:ext cx="1187613" cy="5441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Font typeface="Calibri" panose="020F0502020204030204" pitchFamily="34" charset="0"/>
            <a:buNone/>
          </a:pPr>
          <a:r>
            <a:rPr lang="en-US" sz="900" kern="1200"/>
            <a:t>Project Delivery after Completion</a:t>
          </a:r>
          <a:endParaRPr lang="en-GB" sz="900" kern="1200"/>
        </a:p>
      </dsp:txBody>
      <dsp:txXfrm>
        <a:off x="4383402" y="1609030"/>
        <a:ext cx="1187613" cy="544124"/>
      </dsp:txXfrm>
    </dsp:sp>
    <dsp:sp modelId="{3A2F8B77-37E2-42A7-AE3B-9ECFBD74AE5F}">
      <dsp:nvSpPr>
        <dsp:cNvPr id="0" name=""/>
        <dsp:cNvSpPr/>
      </dsp:nvSpPr>
      <dsp:spPr>
        <a:xfrm>
          <a:off x="1108" y="2426306"/>
          <a:ext cx="1447689" cy="51029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Font typeface="Calibri" panose="020F0502020204030204" pitchFamily="34" charset="0"/>
            <a:buNone/>
          </a:pPr>
          <a:r>
            <a:rPr lang="en-US" sz="900" kern="1200"/>
            <a:t>Handover of Deed of Assignment upon Completion of Payment</a:t>
          </a:r>
          <a:endParaRPr lang="en-GB" sz="900" kern="1200"/>
        </a:p>
      </dsp:txBody>
      <dsp:txXfrm>
        <a:off x="1108" y="2426306"/>
        <a:ext cx="1447689" cy="510291"/>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AEAC248930B417EAFC92CCCA21CB8A9"/>
        <w:category>
          <w:name w:val="General"/>
          <w:gallery w:val="placeholder"/>
        </w:category>
        <w:types>
          <w:type w:val="bbPlcHdr"/>
        </w:types>
        <w:behaviors>
          <w:behavior w:val="content"/>
        </w:behaviors>
        <w:guid w:val="{3D604CAD-2EB0-44CE-BF13-EF5258A00E82}"/>
      </w:docPartPr>
      <w:docPartBody>
        <w:p w:rsidR="0023638E" w:rsidRDefault="0023638E" w:rsidP="0023638E">
          <w:pPr>
            <w:pStyle w:val="FAEAC248930B417EAFC92CCCA21CB8A9"/>
          </w:pPr>
          <w:r w:rsidRPr="00BE6595">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NewRomanPSMT">
    <w:altName w:val="Times New Roman"/>
    <w:charset w:val="00"/>
    <w:family w:val="swiss"/>
    <w:pitch w:val="default"/>
    <w:sig w:usb0="00000000" w:usb1="00000000" w:usb2="00000000" w:usb3="00000000" w:csb0="00000001" w:csb1="00000000"/>
  </w:font>
  <w:font w:name="ITC Galliard Std">
    <w:altName w:val="Cambria"/>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LiberationSerif">
    <w:altName w:val="MS Gothic"/>
    <w:panose1 w:val="00000000000000000000"/>
    <w:charset w:val="80"/>
    <w:family w:val="auto"/>
    <w:notTrueType/>
    <w:pitch w:val="default"/>
    <w:sig w:usb0="00000000" w:usb1="08070000" w:usb2="00000010" w:usb3="00000000" w:csb0="00020001" w:csb1="00000000"/>
  </w:font>
  <w:font w:name="TimesNewRomanPS-BoldMT">
    <w:altName w:val="Segoe Print"/>
    <w:charset w:val="00"/>
    <w:family w:val="auto"/>
    <w:pitch w:val="default"/>
  </w:font>
  <w:font w:name="Calibri-BoldItalic">
    <w:altName w:val="Segoe Print"/>
    <w:charset w:val="00"/>
    <w:family w:val="auto"/>
    <w:pitch w:val="default"/>
  </w:font>
  <w:font w:name="+mn-ea">
    <w:altName w:val="Times New Roman"/>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638E"/>
    <w:rsid w:val="0023638E"/>
    <w:rsid w:val="00601D03"/>
    <w:rsid w:val="00651706"/>
    <w:rsid w:val="00714BDD"/>
    <w:rsid w:val="00773CB0"/>
    <w:rsid w:val="008A6695"/>
    <w:rsid w:val="009A29AD"/>
    <w:rsid w:val="00F774D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3638E"/>
    <w:rPr>
      <w:color w:val="808080"/>
    </w:rPr>
  </w:style>
  <w:style w:type="paragraph" w:customStyle="1" w:styleId="FAEAC248930B417EAFC92CCCA21CB8A9">
    <w:name w:val="FAEAC248930B417EAFC92CCCA21CB8A9"/>
    <w:rsid w:val="0023638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10526</TotalTime>
  <Pages>361</Pages>
  <Words>173023</Words>
  <Characters>986236</Characters>
  <Application>Microsoft Office Word</Application>
  <DocSecurity>0</DocSecurity>
  <Lines>8218</Lines>
  <Paragraphs>2313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1156946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 AKINLABI</dc:creator>
  <cp:keywords/>
  <dc:description/>
  <cp:lastModifiedBy>Anonymous</cp:lastModifiedBy>
  <cp:revision>114</cp:revision>
  <dcterms:created xsi:type="dcterms:W3CDTF">2025-12-26T08:27:00Z</dcterms:created>
  <dcterms:modified xsi:type="dcterms:W3CDTF">2026-01-12T16:26:00Z</dcterms:modified>
</cp:coreProperties>
</file>